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10EC6E46" w14:textId="32E1D3FA" w:rsidR="00FA36CF" w:rsidRDefault="00FA36CF">
          <w:pPr>
            <w:pStyle w:val="En-ttedetabledesmatires"/>
          </w:pPr>
          <w:r w:rsidRPr="00FA36CF">
            <w:t>TABLE DES MATIÈRES</w:t>
          </w:r>
        </w:p>
        <w:p w14:paraId="1585E77C" w14:textId="77777777" w:rsidR="00FA36CF" w:rsidRDefault="00000000">
          <w:pPr>
            <w:pStyle w:val="TM1"/>
            <w:tabs>
              <w:tab w:val="right" w:leader="dot" w:pos="9016"/>
            </w:tabs>
            <w:rPr>
              <w:rFonts w:asciiTheme="minorHAnsi" w:eastAsiaTheme="minorEastAsia" w:hAnsiTheme="minorHAnsi" w:cstheme="minorBidi"/>
              <w:noProof/>
              <w:kern w:val="2"/>
              <w:sz w:val="24"/>
              <w:szCs w:val="24"/>
              <w14:ligatures w14:val="standardContextual"/>
            </w:rPr>
          </w:pPr>
          <w:r>
            <w:fldChar w:fldCharType="begin"/>
          </w:r>
          <w:r>
            <w:instrText xml:space="preserve"> TOC \o "1-9" \h \z \u  \t " Author-eSectionHeading1,1,Author-eSectionHeading2,2,Author-eSectionHeading3,3,Author-eSectionHeading4,4,Author-eSectionHeading5,5,Author-eSectionHeading6,6"</w:instrText>
          </w:r>
          <w:r>
            <w:fldChar w:fldCharType="separate"/>
          </w:r>
          <w:hyperlink w:anchor="_Toc220489765" w:history="1">
            <w:r w:rsidR="00FA36CF" w:rsidRPr="000D551A">
              <w:rPr>
                <w:rStyle w:val="Lienhypertexte"/>
                <w:noProof/>
              </w:rPr>
              <w:t>4 T4 Fermetures / Finitions extérieures CCTB 01.13</w:t>
            </w:r>
            <w:r w:rsidR="00FA36CF">
              <w:rPr>
                <w:noProof/>
                <w:webHidden/>
              </w:rPr>
              <w:tab/>
            </w:r>
            <w:r w:rsidR="00FA36CF">
              <w:rPr>
                <w:noProof/>
                <w:webHidden/>
              </w:rPr>
              <w:fldChar w:fldCharType="begin"/>
            </w:r>
            <w:r w:rsidR="00FA36CF">
              <w:rPr>
                <w:noProof/>
                <w:webHidden/>
              </w:rPr>
              <w:instrText xml:space="preserve"> PAGEREF _Toc220489765 \h </w:instrText>
            </w:r>
            <w:r w:rsidR="00FA36CF">
              <w:rPr>
                <w:noProof/>
                <w:webHidden/>
              </w:rPr>
            </w:r>
            <w:r w:rsidR="00FA36CF">
              <w:rPr>
                <w:noProof/>
                <w:webHidden/>
              </w:rPr>
              <w:fldChar w:fldCharType="separate"/>
            </w:r>
            <w:r w:rsidR="00FA36CF">
              <w:rPr>
                <w:noProof/>
                <w:webHidden/>
              </w:rPr>
              <w:t>37</w:t>
            </w:r>
            <w:r w:rsidR="00FA36CF">
              <w:rPr>
                <w:noProof/>
                <w:webHidden/>
              </w:rPr>
              <w:fldChar w:fldCharType="end"/>
            </w:r>
          </w:hyperlink>
        </w:p>
        <w:p w14:paraId="4D0E5012" w14:textId="77777777" w:rsidR="00FA36CF" w:rsidRDefault="00FA36CF">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89766" w:history="1">
            <w:r w:rsidRPr="000D551A">
              <w:rPr>
                <w:rStyle w:val="Lienhypertexte"/>
                <w:noProof/>
              </w:rPr>
              <w:t>41 Menuiseries extérieures CCTB 01.12</w:t>
            </w:r>
            <w:r>
              <w:rPr>
                <w:noProof/>
                <w:webHidden/>
              </w:rPr>
              <w:tab/>
            </w:r>
            <w:r>
              <w:rPr>
                <w:noProof/>
                <w:webHidden/>
              </w:rPr>
              <w:fldChar w:fldCharType="begin"/>
            </w:r>
            <w:r>
              <w:rPr>
                <w:noProof/>
                <w:webHidden/>
              </w:rPr>
              <w:instrText xml:space="preserve"> PAGEREF _Toc220489766 \h </w:instrText>
            </w:r>
            <w:r>
              <w:rPr>
                <w:noProof/>
                <w:webHidden/>
              </w:rPr>
            </w:r>
            <w:r>
              <w:rPr>
                <w:noProof/>
                <w:webHidden/>
              </w:rPr>
              <w:fldChar w:fldCharType="separate"/>
            </w:r>
            <w:r>
              <w:rPr>
                <w:noProof/>
                <w:webHidden/>
              </w:rPr>
              <w:t>37</w:t>
            </w:r>
            <w:r>
              <w:rPr>
                <w:noProof/>
                <w:webHidden/>
              </w:rPr>
              <w:fldChar w:fldCharType="end"/>
            </w:r>
          </w:hyperlink>
        </w:p>
        <w:p w14:paraId="39229C14"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89767" w:history="1">
            <w:r w:rsidRPr="000D551A">
              <w:rPr>
                <w:rStyle w:val="Lienhypertexte"/>
                <w:noProof/>
              </w:rPr>
              <w:t>41.1 Fenêtres et portes-fenêtres CCTB 01.13</w:t>
            </w:r>
            <w:r>
              <w:rPr>
                <w:noProof/>
                <w:webHidden/>
              </w:rPr>
              <w:tab/>
            </w:r>
            <w:r>
              <w:rPr>
                <w:noProof/>
                <w:webHidden/>
              </w:rPr>
              <w:fldChar w:fldCharType="begin"/>
            </w:r>
            <w:r>
              <w:rPr>
                <w:noProof/>
                <w:webHidden/>
              </w:rPr>
              <w:instrText xml:space="preserve"> PAGEREF _Toc220489767 \h </w:instrText>
            </w:r>
            <w:r>
              <w:rPr>
                <w:noProof/>
                <w:webHidden/>
              </w:rPr>
            </w:r>
            <w:r>
              <w:rPr>
                <w:noProof/>
                <w:webHidden/>
              </w:rPr>
              <w:fldChar w:fldCharType="separate"/>
            </w:r>
            <w:r>
              <w:rPr>
                <w:noProof/>
                <w:webHidden/>
              </w:rPr>
              <w:t>37</w:t>
            </w:r>
            <w:r>
              <w:rPr>
                <w:noProof/>
                <w:webHidden/>
              </w:rPr>
              <w:fldChar w:fldCharType="end"/>
            </w:r>
          </w:hyperlink>
        </w:p>
        <w:p w14:paraId="7FCA876D"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768" w:history="1">
            <w:r w:rsidRPr="000D551A">
              <w:rPr>
                <w:rStyle w:val="Lienhypertexte"/>
                <w:noProof/>
              </w:rPr>
              <w:t>41.11 Fenêtres et portes-fenêtres en bois CCTB 01.11</w:t>
            </w:r>
            <w:r>
              <w:rPr>
                <w:noProof/>
                <w:webHidden/>
              </w:rPr>
              <w:tab/>
            </w:r>
            <w:r>
              <w:rPr>
                <w:noProof/>
                <w:webHidden/>
              </w:rPr>
              <w:fldChar w:fldCharType="begin"/>
            </w:r>
            <w:r>
              <w:rPr>
                <w:noProof/>
                <w:webHidden/>
              </w:rPr>
              <w:instrText xml:space="preserve"> PAGEREF _Toc220489768 \h </w:instrText>
            </w:r>
            <w:r>
              <w:rPr>
                <w:noProof/>
                <w:webHidden/>
              </w:rPr>
            </w:r>
            <w:r>
              <w:rPr>
                <w:noProof/>
                <w:webHidden/>
              </w:rPr>
              <w:fldChar w:fldCharType="separate"/>
            </w:r>
            <w:r>
              <w:rPr>
                <w:noProof/>
                <w:webHidden/>
              </w:rPr>
              <w:t>48</w:t>
            </w:r>
            <w:r>
              <w:rPr>
                <w:noProof/>
                <w:webHidden/>
              </w:rPr>
              <w:fldChar w:fldCharType="end"/>
            </w:r>
          </w:hyperlink>
        </w:p>
        <w:p w14:paraId="17BA4A7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769" w:history="1">
            <w:r w:rsidRPr="000D551A">
              <w:rPr>
                <w:rStyle w:val="Lienhypertexte"/>
                <w:noProof/>
              </w:rPr>
              <w:t>41.11.1 Fenêtres et portes-fenêtres en bois CCTB 01.08</w:t>
            </w:r>
            <w:r>
              <w:rPr>
                <w:noProof/>
                <w:webHidden/>
              </w:rPr>
              <w:tab/>
            </w:r>
            <w:r>
              <w:rPr>
                <w:noProof/>
                <w:webHidden/>
              </w:rPr>
              <w:fldChar w:fldCharType="begin"/>
            </w:r>
            <w:r>
              <w:rPr>
                <w:noProof/>
                <w:webHidden/>
              </w:rPr>
              <w:instrText xml:space="preserve"> PAGEREF _Toc220489769 \h </w:instrText>
            </w:r>
            <w:r>
              <w:rPr>
                <w:noProof/>
                <w:webHidden/>
              </w:rPr>
            </w:r>
            <w:r>
              <w:rPr>
                <w:noProof/>
                <w:webHidden/>
              </w:rPr>
              <w:fldChar w:fldCharType="separate"/>
            </w:r>
            <w:r>
              <w:rPr>
                <w:noProof/>
                <w:webHidden/>
              </w:rPr>
              <w:t>50</w:t>
            </w:r>
            <w:r>
              <w:rPr>
                <w:noProof/>
                <w:webHidden/>
              </w:rPr>
              <w:fldChar w:fldCharType="end"/>
            </w:r>
          </w:hyperlink>
        </w:p>
        <w:p w14:paraId="60C7D0C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770" w:history="1">
            <w:r w:rsidRPr="000D551A">
              <w:rPr>
                <w:rStyle w:val="Lienhypertexte"/>
                <w:noProof/>
              </w:rPr>
              <w:t>41.11.1a Fenêtres et portes-fenêtres en bois CCTB 01.11</w:t>
            </w:r>
            <w:r>
              <w:rPr>
                <w:noProof/>
                <w:webHidden/>
              </w:rPr>
              <w:tab/>
            </w:r>
            <w:r>
              <w:rPr>
                <w:noProof/>
                <w:webHidden/>
              </w:rPr>
              <w:fldChar w:fldCharType="begin"/>
            </w:r>
            <w:r>
              <w:rPr>
                <w:noProof/>
                <w:webHidden/>
              </w:rPr>
              <w:instrText xml:space="preserve"> PAGEREF _Toc220489770 \h </w:instrText>
            </w:r>
            <w:r>
              <w:rPr>
                <w:noProof/>
                <w:webHidden/>
              </w:rPr>
            </w:r>
            <w:r>
              <w:rPr>
                <w:noProof/>
                <w:webHidden/>
              </w:rPr>
              <w:fldChar w:fldCharType="separate"/>
            </w:r>
            <w:r>
              <w:rPr>
                <w:noProof/>
                <w:webHidden/>
              </w:rPr>
              <w:t>50</w:t>
            </w:r>
            <w:r>
              <w:rPr>
                <w:noProof/>
                <w:webHidden/>
              </w:rPr>
              <w:fldChar w:fldCharType="end"/>
            </w:r>
          </w:hyperlink>
        </w:p>
        <w:p w14:paraId="6CA0834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771" w:history="1">
            <w:r w:rsidRPr="000D551A">
              <w:rPr>
                <w:rStyle w:val="Lienhypertexte"/>
                <w:noProof/>
              </w:rPr>
              <w:t>41.11.2 Fenêtres et portes-fenêtres en bois à composition mixte - profilés collaborants CCTB 01.02</w:t>
            </w:r>
            <w:r>
              <w:rPr>
                <w:noProof/>
                <w:webHidden/>
              </w:rPr>
              <w:tab/>
            </w:r>
            <w:r>
              <w:rPr>
                <w:noProof/>
                <w:webHidden/>
              </w:rPr>
              <w:fldChar w:fldCharType="begin"/>
            </w:r>
            <w:r>
              <w:rPr>
                <w:noProof/>
                <w:webHidden/>
              </w:rPr>
              <w:instrText xml:space="preserve"> PAGEREF _Toc220489771 \h </w:instrText>
            </w:r>
            <w:r>
              <w:rPr>
                <w:noProof/>
                <w:webHidden/>
              </w:rPr>
            </w:r>
            <w:r>
              <w:rPr>
                <w:noProof/>
                <w:webHidden/>
              </w:rPr>
              <w:fldChar w:fldCharType="separate"/>
            </w:r>
            <w:r>
              <w:rPr>
                <w:noProof/>
                <w:webHidden/>
              </w:rPr>
              <w:t>53</w:t>
            </w:r>
            <w:r>
              <w:rPr>
                <w:noProof/>
                <w:webHidden/>
              </w:rPr>
              <w:fldChar w:fldCharType="end"/>
            </w:r>
          </w:hyperlink>
        </w:p>
        <w:p w14:paraId="64D9551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772" w:history="1">
            <w:r w:rsidRPr="000D551A">
              <w:rPr>
                <w:rStyle w:val="Lienhypertexte"/>
                <w:noProof/>
              </w:rPr>
              <w:t>41.11.2a Fenêtres et portes-fenêtres en bois à composition mixte - profilés collaborants en aluminium CCTB 01.02</w:t>
            </w:r>
            <w:r>
              <w:rPr>
                <w:noProof/>
                <w:webHidden/>
              </w:rPr>
              <w:tab/>
            </w:r>
            <w:r>
              <w:rPr>
                <w:noProof/>
                <w:webHidden/>
              </w:rPr>
              <w:fldChar w:fldCharType="begin"/>
            </w:r>
            <w:r>
              <w:rPr>
                <w:noProof/>
                <w:webHidden/>
              </w:rPr>
              <w:instrText xml:space="preserve"> PAGEREF _Toc220489772 \h </w:instrText>
            </w:r>
            <w:r>
              <w:rPr>
                <w:noProof/>
                <w:webHidden/>
              </w:rPr>
            </w:r>
            <w:r>
              <w:rPr>
                <w:noProof/>
                <w:webHidden/>
              </w:rPr>
              <w:fldChar w:fldCharType="separate"/>
            </w:r>
            <w:r>
              <w:rPr>
                <w:noProof/>
                <w:webHidden/>
              </w:rPr>
              <w:t>53</w:t>
            </w:r>
            <w:r>
              <w:rPr>
                <w:noProof/>
                <w:webHidden/>
              </w:rPr>
              <w:fldChar w:fldCharType="end"/>
            </w:r>
          </w:hyperlink>
        </w:p>
        <w:p w14:paraId="00A16D6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773" w:history="1">
            <w:r w:rsidRPr="000D551A">
              <w:rPr>
                <w:rStyle w:val="Lienhypertexte"/>
                <w:noProof/>
              </w:rPr>
              <w:t>41.11.3 Fenêtres et portes-fenêtres en bois à composition mixte - profilés de finition CCTB 01.02</w:t>
            </w:r>
            <w:r>
              <w:rPr>
                <w:noProof/>
                <w:webHidden/>
              </w:rPr>
              <w:tab/>
            </w:r>
            <w:r>
              <w:rPr>
                <w:noProof/>
                <w:webHidden/>
              </w:rPr>
              <w:fldChar w:fldCharType="begin"/>
            </w:r>
            <w:r>
              <w:rPr>
                <w:noProof/>
                <w:webHidden/>
              </w:rPr>
              <w:instrText xml:space="preserve"> PAGEREF _Toc220489773 \h </w:instrText>
            </w:r>
            <w:r>
              <w:rPr>
                <w:noProof/>
                <w:webHidden/>
              </w:rPr>
            </w:r>
            <w:r>
              <w:rPr>
                <w:noProof/>
                <w:webHidden/>
              </w:rPr>
              <w:fldChar w:fldCharType="separate"/>
            </w:r>
            <w:r>
              <w:rPr>
                <w:noProof/>
                <w:webHidden/>
              </w:rPr>
              <w:t>53</w:t>
            </w:r>
            <w:r>
              <w:rPr>
                <w:noProof/>
                <w:webHidden/>
              </w:rPr>
              <w:fldChar w:fldCharType="end"/>
            </w:r>
          </w:hyperlink>
        </w:p>
        <w:p w14:paraId="4BEDF3E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774" w:history="1">
            <w:r w:rsidRPr="000D551A">
              <w:rPr>
                <w:rStyle w:val="Lienhypertexte"/>
                <w:noProof/>
              </w:rPr>
              <w:t>41.11.3a Fenêtres et portes-fenêtres en bois à composition mixte - profilés de finition en aluminium CCTB 01.02</w:t>
            </w:r>
            <w:r>
              <w:rPr>
                <w:noProof/>
                <w:webHidden/>
              </w:rPr>
              <w:tab/>
            </w:r>
            <w:r>
              <w:rPr>
                <w:noProof/>
                <w:webHidden/>
              </w:rPr>
              <w:fldChar w:fldCharType="begin"/>
            </w:r>
            <w:r>
              <w:rPr>
                <w:noProof/>
                <w:webHidden/>
              </w:rPr>
              <w:instrText xml:space="preserve"> PAGEREF _Toc220489774 \h </w:instrText>
            </w:r>
            <w:r>
              <w:rPr>
                <w:noProof/>
                <w:webHidden/>
              </w:rPr>
            </w:r>
            <w:r>
              <w:rPr>
                <w:noProof/>
                <w:webHidden/>
              </w:rPr>
              <w:fldChar w:fldCharType="separate"/>
            </w:r>
            <w:r>
              <w:rPr>
                <w:noProof/>
                <w:webHidden/>
              </w:rPr>
              <w:t>54</w:t>
            </w:r>
            <w:r>
              <w:rPr>
                <w:noProof/>
                <w:webHidden/>
              </w:rPr>
              <w:fldChar w:fldCharType="end"/>
            </w:r>
          </w:hyperlink>
        </w:p>
        <w:p w14:paraId="02B30B0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775" w:history="1">
            <w:r w:rsidRPr="000D551A">
              <w:rPr>
                <w:rStyle w:val="Lienhypertexte"/>
                <w:noProof/>
              </w:rPr>
              <w:t>41.11.3b Fenêtres et portes-fenêtres en bois à composition mixte - profilés de finition en inox CCTB 01.02</w:t>
            </w:r>
            <w:r>
              <w:rPr>
                <w:noProof/>
                <w:webHidden/>
              </w:rPr>
              <w:tab/>
            </w:r>
            <w:r>
              <w:rPr>
                <w:noProof/>
                <w:webHidden/>
              </w:rPr>
              <w:fldChar w:fldCharType="begin"/>
            </w:r>
            <w:r>
              <w:rPr>
                <w:noProof/>
                <w:webHidden/>
              </w:rPr>
              <w:instrText xml:space="preserve"> PAGEREF _Toc220489775 \h </w:instrText>
            </w:r>
            <w:r>
              <w:rPr>
                <w:noProof/>
                <w:webHidden/>
              </w:rPr>
            </w:r>
            <w:r>
              <w:rPr>
                <w:noProof/>
                <w:webHidden/>
              </w:rPr>
              <w:fldChar w:fldCharType="separate"/>
            </w:r>
            <w:r>
              <w:rPr>
                <w:noProof/>
                <w:webHidden/>
              </w:rPr>
              <w:t>54</w:t>
            </w:r>
            <w:r>
              <w:rPr>
                <w:noProof/>
                <w:webHidden/>
              </w:rPr>
              <w:fldChar w:fldCharType="end"/>
            </w:r>
          </w:hyperlink>
        </w:p>
        <w:p w14:paraId="29BB31F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776" w:history="1">
            <w:r w:rsidRPr="000D551A">
              <w:rPr>
                <w:rStyle w:val="Lienhypertexte"/>
                <w:noProof/>
              </w:rPr>
              <w:t>41.11.3c Fenêtres et portes-fenêtres en bois à composition mixte - profilés de finition en PVC CCTB 01.02</w:t>
            </w:r>
            <w:r>
              <w:rPr>
                <w:noProof/>
                <w:webHidden/>
              </w:rPr>
              <w:tab/>
            </w:r>
            <w:r>
              <w:rPr>
                <w:noProof/>
                <w:webHidden/>
              </w:rPr>
              <w:fldChar w:fldCharType="begin"/>
            </w:r>
            <w:r>
              <w:rPr>
                <w:noProof/>
                <w:webHidden/>
              </w:rPr>
              <w:instrText xml:space="preserve"> PAGEREF _Toc220489776 \h </w:instrText>
            </w:r>
            <w:r>
              <w:rPr>
                <w:noProof/>
                <w:webHidden/>
              </w:rPr>
            </w:r>
            <w:r>
              <w:rPr>
                <w:noProof/>
                <w:webHidden/>
              </w:rPr>
              <w:fldChar w:fldCharType="separate"/>
            </w:r>
            <w:r>
              <w:rPr>
                <w:noProof/>
                <w:webHidden/>
              </w:rPr>
              <w:t>54</w:t>
            </w:r>
            <w:r>
              <w:rPr>
                <w:noProof/>
                <w:webHidden/>
              </w:rPr>
              <w:fldChar w:fldCharType="end"/>
            </w:r>
          </w:hyperlink>
        </w:p>
        <w:p w14:paraId="0D786E1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777" w:history="1">
            <w:r w:rsidRPr="000D551A">
              <w:rPr>
                <w:rStyle w:val="Lienhypertexte"/>
                <w:noProof/>
              </w:rPr>
              <w:t>41.11.4 Fenêtres et portes-fenêtres en bois à composition mixte - isolation intégrée CCTB 01.02</w:t>
            </w:r>
            <w:r>
              <w:rPr>
                <w:noProof/>
                <w:webHidden/>
              </w:rPr>
              <w:tab/>
            </w:r>
            <w:r>
              <w:rPr>
                <w:noProof/>
                <w:webHidden/>
              </w:rPr>
              <w:fldChar w:fldCharType="begin"/>
            </w:r>
            <w:r>
              <w:rPr>
                <w:noProof/>
                <w:webHidden/>
              </w:rPr>
              <w:instrText xml:space="preserve"> PAGEREF _Toc220489777 \h </w:instrText>
            </w:r>
            <w:r>
              <w:rPr>
                <w:noProof/>
                <w:webHidden/>
              </w:rPr>
            </w:r>
            <w:r>
              <w:rPr>
                <w:noProof/>
                <w:webHidden/>
              </w:rPr>
              <w:fldChar w:fldCharType="separate"/>
            </w:r>
            <w:r>
              <w:rPr>
                <w:noProof/>
                <w:webHidden/>
              </w:rPr>
              <w:t>54</w:t>
            </w:r>
            <w:r>
              <w:rPr>
                <w:noProof/>
                <w:webHidden/>
              </w:rPr>
              <w:fldChar w:fldCharType="end"/>
            </w:r>
          </w:hyperlink>
        </w:p>
        <w:p w14:paraId="6024D41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778" w:history="1">
            <w:r w:rsidRPr="000D551A">
              <w:rPr>
                <w:rStyle w:val="Lienhypertexte"/>
                <w:noProof/>
              </w:rPr>
              <w:t>41.11.4a Fenêtres et portes-fenêtres en bois à composition mixte - isolation intégrée - finition en bois CCTB 01.02</w:t>
            </w:r>
            <w:r>
              <w:rPr>
                <w:noProof/>
                <w:webHidden/>
              </w:rPr>
              <w:tab/>
            </w:r>
            <w:r>
              <w:rPr>
                <w:noProof/>
                <w:webHidden/>
              </w:rPr>
              <w:fldChar w:fldCharType="begin"/>
            </w:r>
            <w:r>
              <w:rPr>
                <w:noProof/>
                <w:webHidden/>
              </w:rPr>
              <w:instrText xml:space="preserve"> PAGEREF _Toc220489778 \h </w:instrText>
            </w:r>
            <w:r>
              <w:rPr>
                <w:noProof/>
                <w:webHidden/>
              </w:rPr>
            </w:r>
            <w:r>
              <w:rPr>
                <w:noProof/>
                <w:webHidden/>
              </w:rPr>
              <w:fldChar w:fldCharType="separate"/>
            </w:r>
            <w:r>
              <w:rPr>
                <w:noProof/>
                <w:webHidden/>
              </w:rPr>
              <w:t>54</w:t>
            </w:r>
            <w:r>
              <w:rPr>
                <w:noProof/>
                <w:webHidden/>
              </w:rPr>
              <w:fldChar w:fldCharType="end"/>
            </w:r>
          </w:hyperlink>
        </w:p>
        <w:p w14:paraId="7FE8EE0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779" w:history="1">
            <w:r w:rsidRPr="000D551A">
              <w:rPr>
                <w:rStyle w:val="Lienhypertexte"/>
                <w:noProof/>
              </w:rPr>
              <w:t>41.11.4b Fenêtres et portes-fenêtres en bois à composition mixte - isolation intégrée - finition en aluminium CCTB 01.13</w:t>
            </w:r>
            <w:r>
              <w:rPr>
                <w:noProof/>
                <w:webHidden/>
              </w:rPr>
              <w:tab/>
            </w:r>
            <w:r>
              <w:rPr>
                <w:noProof/>
                <w:webHidden/>
              </w:rPr>
              <w:fldChar w:fldCharType="begin"/>
            </w:r>
            <w:r>
              <w:rPr>
                <w:noProof/>
                <w:webHidden/>
              </w:rPr>
              <w:instrText xml:space="preserve"> PAGEREF _Toc220489779 \h </w:instrText>
            </w:r>
            <w:r>
              <w:rPr>
                <w:noProof/>
                <w:webHidden/>
              </w:rPr>
            </w:r>
            <w:r>
              <w:rPr>
                <w:noProof/>
                <w:webHidden/>
              </w:rPr>
              <w:fldChar w:fldCharType="separate"/>
            </w:r>
            <w:r>
              <w:rPr>
                <w:noProof/>
                <w:webHidden/>
              </w:rPr>
              <w:t>54</w:t>
            </w:r>
            <w:r>
              <w:rPr>
                <w:noProof/>
                <w:webHidden/>
              </w:rPr>
              <w:fldChar w:fldCharType="end"/>
            </w:r>
          </w:hyperlink>
        </w:p>
        <w:p w14:paraId="2600C94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780" w:history="1">
            <w:r w:rsidRPr="000D551A">
              <w:rPr>
                <w:rStyle w:val="Lienhypertexte"/>
                <w:noProof/>
              </w:rPr>
              <w:t>41.11.4c Fenêtres et portes-fenêtres en bois à composition mixte - isolation intégrée - finition en inox CCTB 01.02</w:t>
            </w:r>
            <w:r>
              <w:rPr>
                <w:noProof/>
                <w:webHidden/>
              </w:rPr>
              <w:tab/>
            </w:r>
            <w:r>
              <w:rPr>
                <w:noProof/>
                <w:webHidden/>
              </w:rPr>
              <w:fldChar w:fldCharType="begin"/>
            </w:r>
            <w:r>
              <w:rPr>
                <w:noProof/>
                <w:webHidden/>
              </w:rPr>
              <w:instrText xml:space="preserve"> PAGEREF _Toc220489780 \h </w:instrText>
            </w:r>
            <w:r>
              <w:rPr>
                <w:noProof/>
                <w:webHidden/>
              </w:rPr>
            </w:r>
            <w:r>
              <w:rPr>
                <w:noProof/>
                <w:webHidden/>
              </w:rPr>
              <w:fldChar w:fldCharType="separate"/>
            </w:r>
            <w:r>
              <w:rPr>
                <w:noProof/>
                <w:webHidden/>
              </w:rPr>
              <w:t>60</w:t>
            </w:r>
            <w:r>
              <w:rPr>
                <w:noProof/>
                <w:webHidden/>
              </w:rPr>
              <w:fldChar w:fldCharType="end"/>
            </w:r>
          </w:hyperlink>
        </w:p>
        <w:p w14:paraId="0735915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781" w:history="1">
            <w:r w:rsidRPr="000D551A">
              <w:rPr>
                <w:rStyle w:val="Lienhypertexte"/>
                <w:noProof/>
              </w:rPr>
              <w:t>41.11.4d Fenêtres et portes-fenêtres en bois à composition mixte - isolation intégrée - finition en PVC CCTB 01.02</w:t>
            </w:r>
            <w:r>
              <w:rPr>
                <w:noProof/>
                <w:webHidden/>
              </w:rPr>
              <w:tab/>
            </w:r>
            <w:r>
              <w:rPr>
                <w:noProof/>
                <w:webHidden/>
              </w:rPr>
              <w:fldChar w:fldCharType="begin"/>
            </w:r>
            <w:r>
              <w:rPr>
                <w:noProof/>
                <w:webHidden/>
              </w:rPr>
              <w:instrText xml:space="preserve"> PAGEREF _Toc220489781 \h </w:instrText>
            </w:r>
            <w:r>
              <w:rPr>
                <w:noProof/>
                <w:webHidden/>
              </w:rPr>
            </w:r>
            <w:r>
              <w:rPr>
                <w:noProof/>
                <w:webHidden/>
              </w:rPr>
              <w:fldChar w:fldCharType="separate"/>
            </w:r>
            <w:r>
              <w:rPr>
                <w:noProof/>
                <w:webHidden/>
              </w:rPr>
              <w:t>60</w:t>
            </w:r>
            <w:r>
              <w:rPr>
                <w:noProof/>
                <w:webHidden/>
              </w:rPr>
              <w:fldChar w:fldCharType="end"/>
            </w:r>
          </w:hyperlink>
        </w:p>
        <w:p w14:paraId="2D1672F4"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782" w:history="1">
            <w:r w:rsidRPr="000D551A">
              <w:rPr>
                <w:rStyle w:val="Lienhypertexte"/>
                <w:noProof/>
              </w:rPr>
              <w:t>41.12 Fenêtres et portes-fenêtres en aluminium CCTB 01.13</w:t>
            </w:r>
            <w:r>
              <w:rPr>
                <w:noProof/>
                <w:webHidden/>
              </w:rPr>
              <w:tab/>
            </w:r>
            <w:r>
              <w:rPr>
                <w:noProof/>
                <w:webHidden/>
              </w:rPr>
              <w:fldChar w:fldCharType="begin"/>
            </w:r>
            <w:r>
              <w:rPr>
                <w:noProof/>
                <w:webHidden/>
              </w:rPr>
              <w:instrText xml:space="preserve"> PAGEREF _Toc220489782 \h </w:instrText>
            </w:r>
            <w:r>
              <w:rPr>
                <w:noProof/>
                <w:webHidden/>
              </w:rPr>
            </w:r>
            <w:r>
              <w:rPr>
                <w:noProof/>
                <w:webHidden/>
              </w:rPr>
              <w:fldChar w:fldCharType="separate"/>
            </w:r>
            <w:r>
              <w:rPr>
                <w:noProof/>
                <w:webHidden/>
              </w:rPr>
              <w:t>60</w:t>
            </w:r>
            <w:r>
              <w:rPr>
                <w:noProof/>
                <w:webHidden/>
              </w:rPr>
              <w:fldChar w:fldCharType="end"/>
            </w:r>
          </w:hyperlink>
        </w:p>
        <w:p w14:paraId="5144D02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783" w:history="1">
            <w:r w:rsidRPr="000D551A">
              <w:rPr>
                <w:rStyle w:val="Lienhypertexte"/>
                <w:noProof/>
              </w:rPr>
              <w:t>41.12.1 Fenêtres et portes-fenêtres en aluminium sans coupure thermique CCTB 01.02</w:t>
            </w:r>
            <w:r>
              <w:rPr>
                <w:noProof/>
                <w:webHidden/>
              </w:rPr>
              <w:tab/>
            </w:r>
            <w:r>
              <w:rPr>
                <w:noProof/>
                <w:webHidden/>
              </w:rPr>
              <w:fldChar w:fldCharType="begin"/>
            </w:r>
            <w:r>
              <w:rPr>
                <w:noProof/>
                <w:webHidden/>
              </w:rPr>
              <w:instrText xml:space="preserve"> PAGEREF _Toc220489783 \h </w:instrText>
            </w:r>
            <w:r>
              <w:rPr>
                <w:noProof/>
                <w:webHidden/>
              </w:rPr>
            </w:r>
            <w:r>
              <w:rPr>
                <w:noProof/>
                <w:webHidden/>
              </w:rPr>
              <w:fldChar w:fldCharType="separate"/>
            </w:r>
            <w:r>
              <w:rPr>
                <w:noProof/>
                <w:webHidden/>
              </w:rPr>
              <w:t>63</w:t>
            </w:r>
            <w:r>
              <w:rPr>
                <w:noProof/>
                <w:webHidden/>
              </w:rPr>
              <w:fldChar w:fldCharType="end"/>
            </w:r>
          </w:hyperlink>
        </w:p>
        <w:p w14:paraId="57F18BD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784" w:history="1">
            <w:r w:rsidRPr="000D551A">
              <w:rPr>
                <w:rStyle w:val="Lienhypertexte"/>
                <w:noProof/>
              </w:rPr>
              <w:t>41.12.1a Fenêtres et portes-fenêtres en aluminium sans coupure thermique CCTB 01.02</w:t>
            </w:r>
            <w:r>
              <w:rPr>
                <w:noProof/>
                <w:webHidden/>
              </w:rPr>
              <w:tab/>
            </w:r>
            <w:r>
              <w:rPr>
                <w:noProof/>
                <w:webHidden/>
              </w:rPr>
              <w:fldChar w:fldCharType="begin"/>
            </w:r>
            <w:r>
              <w:rPr>
                <w:noProof/>
                <w:webHidden/>
              </w:rPr>
              <w:instrText xml:space="preserve"> PAGEREF _Toc220489784 \h </w:instrText>
            </w:r>
            <w:r>
              <w:rPr>
                <w:noProof/>
                <w:webHidden/>
              </w:rPr>
            </w:r>
            <w:r>
              <w:rPr>
                <w:noProof/>
                <w:webHidden/>
              </w:rPr>
              <w:fldChar w:fldCharType="separate"/>
            </w:r>
            <w:r>
              <w:rPr>
                <w:noProof/>
                <w:webHidden/>
              </w:rPr>
              <w:t>63</w:t>
            </w:r>
            <w:r>
              <w:rPr>
                <w:noProof/>
                <w:webHidden/>
              </w:rPr>
              <w:fldChar w:fldCharType="end"/>
            </w:r>
          </w:hyperlink>
        </w:p>
        <w:p w14:paraId="688F32C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785" w:history="1">
            <w:r w:rsidRPr="000D551A">
              <w:rPr>
                <w:rStyle w:val="Lienhypertexte"/>
                <w:noProof/>
              </w:rPr>
              <w:t>41.12.2 Fenêtres et portes-fenêtres en aluminium avec coupure thermique CCTB 01.12</w:t>
            </w:r>
            <w:r>
              <w:rPr>
                <w:noProof/>
                <w:webHidden/>
              </w:rPr>
              <w:tab/>
            </w:r>
            <w:r>
              <w:rPr>
                <w:noProof/>
                <w:webHidden/>
              </w:rPr>
              <w:fldChar w:fldCharType="begin"/>
            </w:r>
            <w:r>
              <w:rPr>
                <w:noProof/>
                <w:webHidden/>
              </w:rPr>
              <w:instrText xml:space="preserve"> PAGEREF _Toc220489785 \h </w:instrText>
            </w:r>
            <w:r>
              <w:rPr>
                <w:noProof/>
                <w:webHidden/>
              </w:rPr>
            </w:r>
            <w:r>
              <w:rPr>
                <w:noProof/>
                <w:webHidden/>
              </w:rPr>
              <w:fldChar w:fldCharType="separate"/>
            </w:r>
            <w:r>
              <w:rPr>
                <w:noProof/>
                <w:webHidden/>
              </w:rPr>
              <w:t>63</w:t>
            </w:r>
            <w:r>
              <w:rPr>
                <w:noProof/>
                <w:webHidden/>
              </w:rPr>
              <w:fldChar w:fldCharType="end"/>
            </w:r>
          </w:hyperlink>
        </w:p>
        <w:p w14:paraId="589C4E3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786" w:history="1">
            <w:r w:rsidRPr="000D551A">
              <w:rPr>
                <w:rStyle w:val="Lienhypertexte"/>
                <w:noProof/>
              </w:rPr>
              <w:t>41.12.2a Fenêtres et portes-fenêtres en aluminium avec coupure thermique CCTB 01.13</w:t>
            </w:r>
            <w:r>
              <w:rPr>
                <w:noProof/>
                <w:webHidden/>
              </w:rPr>
              <w:tab/>
            </w:r>
            <w:r>
              <w:rPr>
                <w:noProof/>
                <w:webHidden/>
              </w:rPr>
              <w:fldChar w:fldCharType="begin"/>
            </w:r>
            <w:r>
              <w:rPr>
                <w:noProof/>
                <w:webHidden/>
              </w:rPr>
              <w:instrText xml:space="preserve"> PAGEREF _Toc220489786 \h </w:instrText>
            </w:r>
            <w:r>
              <w:rPr>
                <w:noProof/>
                <w:webHidden/>
              </w:rPr>
            </w:r>
            <w:r>
              <w:rPr>
                <w:noProof/>
                <w:webHidden/>
              </w:rPr>
              <w:fldChar w:fldCharType="separate"/>
            </w:r>
            <w:r>
              <w:rPr>
                <w:noProof/>
                <w:webHidden/>
              </w:rPr>
              <w:t>64</w:t>
            </w:r>
            <w:r>
              <w:rPr>
                <w:noProof/>
                <w:webHidden/>
              </w:rPr>
              <w:fldChar w:fldCharType="end"/>
            </w:r>
          </w:hyperlink>
        </w:p>
        <w:p w14:paraId="7F7278B6"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787" w:history="1">
            <w:r w:rsidRPr="000D551A">
              <w:rPr>
                <w:rStyle w:val="Lienhypertexte"/>
                <w:noProof/>
              </w:rPr>
              <w:t>41.13 Fenêtres et portes-fenêtres en acier CCTB 01.11</w:t>
            </w:r>
            <w:r>
              <w:rPr>
                <w:noProof/>
                <w:webHidden/>
              </w:rPr>
              <w:tab/>
            </w:r>
            <w:r>
              <w:rPr>
                <w:noProof/>
                <w:webHidden/>
              </w:rPr>
              <w:fldChar w:fldCharType="begin"/>
            </w:r>
            <w:r>
              <w:rPr>
                <w:noProof/>
                <w:webHidden/>
              </w:rPr>
              <w:instrText xml:space="preserve"> PAGEREF _Toc220489787 \h </w:instrText>
            </w:r>
            <w:r>
              <w:rPr>
                <w:noProof/>
                <w:webHidden/>
              </w:rPr>
            </w:r>
            <w:r>
              <w:rPr>
                <w:noProof/>
                <w:webHidden/>
              </w:rPr>
              <w:fldChar w:fldCharType="separate"/>
            </w:r>
            <w:r>
              <w:rPr>
                <w:noProof/>
                <w:webHidden/>
              </w:rPr>
              <w:t>70</w:t>
            </w:r>
            <w:r>
              <w:rPr>
                <w:noProof/>
                <w:webHidden/>
              </w:rPr>
              <w:fldChar w:fldCharType="end"/>
            </w:r>
          </w:hyperlink>
        </w:p>
        <w:p w14:paraId="658DD64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788" w:history="1">
            <w:r w:rsidRPr="000D551A">
              <w:rPr>
                <w:rStyle w:val="Lienhypertexte"/>
                <w:noProof/>
              </w:rPr>
              <w:t>41.13.1 Fenêtres et portes-fenêtres en acier sans coupure thermique CCTB 01.02</w:t>
            </w:r>
            <w:r>
              <w:rPr>
                <w:noProof/>
                <w:webHidden/>
              </w:rPr>
              <w:tab/>
            </w:r>
            <w:r>
              <w:rPr>
                <w:noProof/>
                <w:webHidden/>
              </w:rPr>
              <w:fldChar w:fldCharType="begin"/>
            </w:r>
            <w:r>
              <w:rPr>
                <w:noProof/>
                <w:webHidden/>
              </w:rPr>
              <w:instrText xml:space="preserve"> PAGEREF _Toc220489788 \h </w:instrText>
            </w:r>
            <w:r>
              <w:rPr>
                <w:noProof/>
                <w:webHidden/>
              </w:rPr>
            </w:r>
            <w:r>
              <w:rPr>
                <w:noProof/>
                <w:webHidden/>
              </w:rPr>
              <w:fldChar w:fldCharType="separate"/>
            </w:r>
            <w:r>
              <w:rPr>
                <w:noProof/>
                <w:webHidden/>
              </w:rPr>
              <w:t>71</w:t>
            </w:r>
            <w:r>
              <w:rPr>
                <w:noProof/>
                <w:webHidden/>
              </w:rPr>
              <w:fldChar w:fldCharType="end"/>
            </w:r>
          </w:hyperlink>
        </w:p>
        <w:p w14:paraId="0D632F4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789" w:history="1">
            <w:r w:rsidRPr="000D551A">
              <w:rPr>
                <w:rStyle w:val="Lienhypertexte"/>
                <w:noProof/>
              </w:rPr>
              <w:t>41.13.1a Fenêtres et portes-fenêtres en acier sans coupure thermique CCTB 01.12</w:t>
            </w:r>
            <w:r>
              <w:rPr>
                <w:noProof/>
                <w:webHidden/>
              </w:rPr>
              <w:tab/>
            </w:r>
            <w:r>
              <w:rPr>
                <w:noProof/>
                <w:webHidden/>
              </w:rPr>
              <w:fldChar w:fldCharType="begin"/>
            </w:r>
            <w:r>
              <w:rPr>
                <w:noProof/>
                <w:webHidden/>
              </w:rPr>
              <w:instrText xml:space="preserve"> PAGEREF _Toc220489789 \h </w:instrText>
            </w:r>
            <w:r>
              <w:rPr>
                <w:noProof/>
                <w:webHidden/>
              </w:rPr>
            </w:r>
            <w:r>
              <w:rPr>
                <w:noProof/>
                <w:webHidden/>
              </w:rPr>
              <w:fldChar w:fldCharType="separate"/>
            </w:r>
            <w:r>
              <w:rPr>
                <w:noProof/>
                <w:webHidden/>
              </w:rPr>
              <w:t>71</w:t>
            </w:r>
            <w:r>
              <w:rPr>
                <w:noProof/>
                <w:webHidden/>
              </w:rPr>
              <w:fldChar w:fldCharType="end"/>
            </w:r>
          </w:hyperlink>
        </w:p>
        <w:p w14:paraId="311A62F5"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790" w:history="1">
            <w:r w:rsidRPr="000D551A">
              <w:rPr>
                <w:rStyle w:val="Lienhypertexte"/>
                <w:noProof/>
              </w:rPr>
              <w:t>41.13.2 Fenêtres et portes-fenêtres en acier avec coupure thermique CCTB 01.02</w:t>
            </w:r>
            <w:r>
              <w:rPr>
                <w:noProof/>
                <w:webHidden/>
              </w:rPr>
              <w:tab/>
            </w:r>
            <w:r>
              <w:rPr>
                <w:noProof/>
                <w:webHidden/>
              </w:rPr>
              <w:fldChar w:fldCharType="begin"/>
            </w:r>
            <w:r>
              <w:rPr>
                <w:noProof/>
                <w:webHidden/>
              </w:rPr>
              <w:instrText xml:space="preserve"> PAGEREF _Toc220489790 \h </w:instrText>
            </w:r>
            <w:r>
              <w:rPr>
                <w:noProof/>
                <w:webHidden/>
              </w:rPr>
            </w:r>
            <w:r>
              <w:rPr>
                <w:noProof/>
                <w:webHidden/>
              </w:rPr>
              <w:fldChar w:fldCharType="separate"/>
            </w:r>
            <w:r>
              <w:rPr>
                <w:noProof/>
                <w:webHidden/>
              </w:rPr>
              <w:t>73</w:t>
            </w:r>
            <w:r>
              <w:rPr>
                <w:noProof/>
                <w:webHidden/>
              </w:rPr>
              <w:fldChar w:fldCharType="end"/>
            </w:r>
          </w:hyperlink>
        </w:p>
        <w:p w14:paraId="5C531D8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791" w:history="1">
            <w:r w:rsidRPr="000D551A">
              <w:rPr>
                <w:rStyle w:val="Lienhypertexte"/>
                <w:noProof/>
              </w:rPr>
              <w:t>41.13.2a Fenêtres et portes-fenêtres en acier avec coupure thermique CCTB 01.02</w:t>
            </w:r>
            <w:r>
              <w:rPr>
                <w:noProof/>
                <w:webHidden/>
              </w:rPr>
              <w:tab/>
            </w:r>
            <w:r>
              <w:rPr>
                <w:noProof/>
                <w:webHidden/>
              </w:rPr>
              <w:fldChar w:fldCharType="begin"/>
            </w:r>
            <w:r>
              <w:rPr>
                <w:noProof/>
                <w:webHidden/>
              </w:rPr>
              <w:instrText xml:space="preserve"> PAGEREF _Toc220489791 \h </w:instrText>
            </w:r>
            <w:r>
              <w:rPr>
                <w:noProof/>
                <w:webHidden/>
              </w:rPr>
            </w:r>
            <w:r>
              <w:rPr>
                <w:noProof/>
                <w:webHidden/>
              </w:rPr>
              <w:fldChar w:fldCharType="separate"/>
            </w:r>
            <w:r>
              <w:rPr>
                <w:noProof/>
                <w:webHidden/>
              </w:rPr>
              <w:t>73</w:t>
            </w:r>
            <w:r>
              <w:rPr>
                <w:noProof/>
                <w:webHidden/>
              </w:rPr>
              <w:fldChar w:fldCharType="end"/>
            </w:r>
          </w:hyperlink>
        </w:p>
        <w:p w14:paraId="7B9FC928"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792" w:history="1">
            <w:r w:rsidRPr="000D551A">
              <w:rPr>
                <w:rStyle w:val="Lienhypertexte"/>
                <w:noProof/>
              </w:rPr>
              <w:t>41.14 Fenêtres et portes-fenêtres en PVC CCTB 01.13</w:t>
            </w:r>
            <w:r>
              <w:rPr>
                <w:noProof/>
                <w:webHidden/>
              </w:rPr>
              <w:tab/>
            </w:r>
            <w:r>
              <w:rPr>
                <w:noProof/>
                <w:webHidden/>
              </w:rPr>
              <w:fldChar w:fldCharType="begin"/>
            </w:r>
            <w:r>
              <w:rPr>
                <w:noProof/>
                <w:webHidden/>
              </w:rPr>
              <w:instrText xml:space="preserve"> PAGEREF _Toc220489792 \h </w:instrText>
            </w:r>
            <w:r>
              <w:rPr>
                <w:noProof/>
                <w:webHidden/>
              </w:rPr>
            </w:r>
            <w:r>
              <w:rPr>
                <w:noProof/>
                <w:webHidden/>
              </w:rPr>
              <w:fldChar w:fldCharType="separate"/>
            </w:r>
            <w:r>
              <w:rPr>
                <w:noProof/>
                <w:webHidden/>
              </w:rPr>
              <w:t>73</w:t>
            </w:r>
            <w:r>
              <w:rPr>
                <w:noProof/>
                <w:webHidden/>
              </w:rPr>
              <w:fldChar w:fldCharType="end"/>
            </w:r>
          </w:hyperlink>
        </w:p>
        <w:p w14:paraId="3BF507E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793" w:history="1">
            <w:r w:rsidRPr="000D551A">
              <w:rPr>
                <w:rStyle w:val="Lienhypertexte"/>
                <w:noProof/>
              </w:rPr>
              <w:t>41.14.1 Fenêtre et portes-fenêtres en PVC sans coupure thermique CCTB 01.02</w:t>
            </w:r>
            <w:r>
              <w:rPr>
                <w:noProof/>
                <w:webHidden/>
              </w:rPr>
              <w:tab/>
            </w:r>
            <w:r>
              <w:rPr>
                <w:noProof/>
                <w:webHidden/>
              </w:rPr>
              <w:fldChar w:fldCharType="begin"/>
            </w:r>
            <w:r>
              <w:rPr>
                <w:noProof/>
                <w:webHidden/>
              </w:rPr>
              <w:instrText xml:space="preserve"> PAGEREF _Toc220489793 \h </w:instrText>
            </w:r>
            <w:r>
              <w:rPr>
                <w:noProof/>
                <w:webHidden/>
              </w:rPr>
            </w:r>
            <w:r>
              <w:rPr>
                <w:noProof/>
                <w:webHidden/>
              </w:rPr>
              <w:fldChar w:fldCharType="separate"/>
            </w:r>
            <w:r>
              <w:rPr>
                <w:noProof/>
                <w:webHidden/>
              </w:rPr>
              <w:t>75</w:t>
            </w:r>
            <w:r>
              <w:rPr>
                <w:noProof/>
                <w:webHidden/>
              </w:rPr>
              <w:fldChar w:fldCharType="end"/>
            </w:r>
          </w:hyperlink>
        </w:p>
        <w:p w14:paraId="423E0DC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794" w:history="1">
            <w:r w:rsidRPr="000D551A">
              <w:rPr>
                <w:rStyle w:val="Lienhypertexte"/>
                <w:noProof/>
              </w:rPr>
              <w:t>41.14.1a Fenêtre et portes-fenêtres en PVC sans coupure thermique CCTB 01.11</w:t>
            </w:r>
            <w:r>
              <w:rPr>
                <w:noProof/>
                <w:webHidden/>
              </w:rPr>
              <w:tab/>
            </w:r>
            <w:r>
              <w:rPr>
                <w:noProof/>
                <w:webHidden/>
              </w:rPr>
              <w:fldChar w:fldCharType="begin"/>
            </w:r>
            <w:r>
              <w:rPr>
                <w:noProof/>
                <w:webHidden/>
              </w:rPr>
              <w:instrText xml:space="preserve"> PAGEREF _Toc220489794 \h </w:instrText>
            </w:r>
            <w:r>
              <w:rPr>
                <w:noProof/>
                <w:webHidden/>
              </w:rPr>
            </w:r>
            <w:r>
              <w:rPr>
                <w:noProof/>
                <w:webHidden/>
              </w:rPr>
              <w:fldChar w:fldCharType="separate"/>
            </w:r>
            <w:r>
              <w:rPr>
                <w:noProof/>
                <w:webHidden/>
              </w:rPr>
              <w:t>75</w:t>
            </w:r>
            <w:r>
              <w:rPr>
                <w:noProof/>
                <w:webHidden/>
              </w:rPr>
              <w:fldChar w:fldCharType="end"/>
            </w:r>
          </w:hyperlink>
        </w:p>
        <w:p w14:paraId="61A4513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795" w:history="1">
            <w:r w:rsidRPr="000D551A">
              <w:rPr>
                <w:rStyle w:val="Lienhypertexte"/>
                <w:noProof/>
              </w:rPr>
              <w:t>41.14.2 Fenêtre et portes-fenêtres en PVC avec coupure thermique CCTB 01.02</w:t>
            </w:r>
            <w:r>
              <w:rPr>
                <w:noProof/>
                <w:webHidden/>
              </w:rPr>
              <w:tab/>
            </w:r>
            <w:r>
              <w:rPr>
                <w:noProof/>
                <w:webHidden/>
              </w:rPr>
              <w:fldChar w:fldCharType="begin"/>
            </w:r>
            <w:r>
              <w:rPr>
                <w:noProof/>
                <w:webHidden/>
              </w:rPr>
              <w:instrText xml:space="preserve"> PAGEREF _Toc220489795 \h </w:instrText>
            </w:r>
            <w:r>
              <w:rPr>
                <w:noProof/>
                <w:webHidden/>
              </w:rPr>
            </w:r>
            <w:r>
              <w:rPr>
                <w:noProof/>
                <w:webHidden/>
              </w:rPr>
              <w:fldChar w:fldCharType="separate"/>
            </w:r>
            <w:r>
              <w:rPr>
                <w:noProof/>
                <w:webHidden/>
              </w:rPr>
              <w:t>78</w:t>
            </w:r>
            <w:r>
              <w:rPr>
                <w:noProof/>
                <w:webHidden/>
              </w:rPr>
              <w:fldChar w:fldCharType="end"/>
            </w:r>
          </w:hyperlink>
        </w:p>
        <w:p w14:paraId="77CD238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796" w:history="1">
            <w:r w:rsidRPr="000D551A">
              <w:rPr>
                <w:rStyle w:val="Lienhypertexte"/>
                <w:noProof/>
              </w:rPr>
              <w:t>41.14.2a Fenêtre et porte-fenêtre en PVC avec coupure thermique CCTB 01.13</w:t>
            </w:r>
            <w:r>
              <w:rPr>
                <w:noProof/>
                <w:webHidden/>
              </w:rPr>
              <w:tab/>
            </w:r>
            <w:r>
              <w:rPr>
                <w:noProof/>
                <w:webHidden/>
              </w:rPr>
              <w:fldChar w:fldCharType="begin"/>
            </w:r>
            <w:r>
              <w:rPr>
                <w:noProof/>
                <w:webHidden/>
              </w:rPr>
              <w:instrText xml:space="preserve"> PAGEREF _Toc220489796 \h </w:instrText>
            </w:r>
            <w:r>
              <w:rPr>
                <w:noProof/>
                <w:webHidden/>
              </w:rPr>
            </w:r>
            <w:r>
              <w:rPr>
                <w:noProof/>
                <w:webHidden/>
              </w:rPr>
              <w:fldChar w:fldCharType="separate"/>
            </w:r>
            <w:r>
              <w:rPr>
                <w:noProof/>
                <w:webHidden/>
              </w:rPr>
              <w:t>78</w:t>
            </w:r>
            <w:r>
              <w:rPr>
                <w:noProof/>
                <w:webHidden/>
              </w:rPr>
              <w:fldChar w:fldCharType="end"/>
            </w:r>
          </w:hyperlink>
        </w:p>
        <w:p w14:paraId="13D86C0D"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797" w:history="1">
            <w:r w:rsidRPr="000D551A">
              <w:rPr>
                <w:rStyle w:val="Lienhypertexte"/>
                <w:noProof/>
              </w:rPr>
              <w:t>41.15 Fenêtres et portes-fenêtres en PUR CCTB 01.02</w:t>
            </w:r>
            <w:r>
              <w:rPr>
                <w:noProof/>
                <w:webHidden/>
              </w:rPr>
              <w:tab/>
            </w:r>
            <w:r>
              <w:rPr>
                <w:noProof/>
                <w:webHidden/>
              </w:rPr>
              <w:fldChar w:fldCharType="begin"/>
            </w:r>
            <w:r>
              <w:rPr>
                <w:noProof/>
                <w:webHidden/>
              </w:rPr>
              <w:instrText xml:space="preserve"> PAGEREF _Toc220489797 \h </w:instrText>
            </w:r>
            <w:r>
              <w:rPr>
                <w:noProof/>
                <w:webHidden/>
              </w:rPr>
            </w:r>
            <w:r>
              <w:rPr>
                <w:noProof/>
                <w:webHidden/>
              </w:rPr>
              <w:fldChar w:fldCharType="separate"/>
            </w:r>
            <w:r>
              <w:rPr>
                <w:noProof/>
                <w:webHidden/>
              </w:rPr>
              <w:t>83</w:t>
            </w:r>
            <w:r>
              <w:rPr>
                <w:noProof/>
                <w:webHidden/>
              </w:rPr>
              <w:fldChar w:fldCharType="end"/>
            </w:r>
          </w:hyperlink>
        </w:p>
        <w:p w14:paraId="70B5F42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798" w:history="1">
            <w:r w:rsidRPr="000D551A">
              <w:rPr>
                <w:rStyle w:val="Lienhypertexte"/>
                <w:noProof/>
              </w:rPr>
              <w:t>41.15.1 Fenêtres et portes-fenêtres en PUR</w:t>
            </w:r>
            <w:r>
              <w:rPr>
                <w:noProof/>
                <w:webHidden/>
              </w:rPr>
              <w:tab/>
            </w:r>
            <w:r>
              <w:rPr>
                <w:noProof/>
                <w:webHidden/>
              </w:rPr>
              <w:fldChar w:fldCharType="begin"/>
            </w:r>
            <w:r>
              <w:rPr>
                <w:noProof/>
                <w:webHidden/>
              </w:rPr>
              <w:instrText xml:space="preserve"> PAGEREF _Toc220489798 \h </w:instrText>
            </w:r>
            <w:r>
              <w:rPr>
                <w:noProof/>
                <w:webHidden/>
              </w:rPr>
            </w:r>
            <w:r>
              <w:rPr>
                <w:noProof/>
                <w:webHidden/>
              </w:rPr>
              <w:fldChar w:fldCharType="separate"/>
            </w:r>
            <w:r>
              <w:rPr>
                <w:noProof/>
                <w:webHidden/>
              </w:rPr>
              <w:t>83</w:t>
            </w:r>
            <w:r>
              <w:rPr>
                <w:noProof/>
                <w:webHidden/>
              </w:rPr>
              <w:fldChar w:fldCharType="end"/>
            </w:r>
          </w:hyperlink>
        </w:p>
        <w:p w14:paraId="0F65712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799" w:history="1">
            <w:r w:rsidRPr="000D551A">
              <w:rPr>
                <w:rStyle w:val="Lienhypertexte"/>
                <w:noProof/>
              </w:rPr>
              <w:t>41.15.1a Fenêtres et portes-fenêtres en PUR</w:t>
            </w:r>
            <w:r>
              <w:rPr>
                <w:noProof/>
                <w:webHidden/>
              </w:rPr>
              <w:tab/>
            </w:r>
            <w:r>
              <w:rPr>
                <w:noProof/>
                <w:webHidden/>
              </w:rPr>
              <w:fldChar w:fldCharType="begin"/>
            </w:r>
            <w:r>
              <w:rPr>
                <w:noProof/>
                <w:webHidden/>
              </w:rPr>
              <w:instrText xml:space="preserve"> PAGEREF _Toc220489799 \h </w:instrText>
            </w:r>
            <w:r>
              <w:rPr>
                <w:noProof/>
                <w:webHidden/>
              </w:rPr>
            </w:r>
            <w:r>
              <w:rPr>
                <w:noProof/>
                <w:webHidden/>
              </w:rPr>
              <w:fldChar w:fldCharType="separate"/>
            </w:r>
            <w:r>
              <w:rPr>
                <w:noProof/>
                <w:webHidden/>
              </w:rPr>
              <w:t>83</w:t>
            </w:r>
            <w:r>
              <w:rPr>
                <w:noProof/>
                <w:webHidden/>
              </w:rPr>
              <w:fldChar w:fldCharType="end"/>
            </w:r>
          </w:hyperlink>
        </w:p>
        <w:p w14:paraId="41B313D3"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800" w:history="1">
            <w:r w:rsidRPr="000D551A">
              <w:rPr>
                <w:rStyle w:val="Lienhypertexte"/>
                <w:noProof/>
              </w:rPr>
              <w:t>41.16 Fenêtres et portes-fenêtres en verre CCTB 01.12</w:t>
            </w:r>
            <w:r>
              <w:rPr>
                <w:noProof/>
                <w:webHidden/>
              </w:rPr>
              <w:tab/>
            </w:r>
            <w:r>
              <w:rPr>
                <w:noProof/>
                <w:webHidden/>
              </w:rPr>
              <w:fldChar w:fldCharType="begin"/>
            </w:r>
            <w:r>
              <w:rPr>
                <w:noProof/>
                <w:webHidden/>
              </w:rPr>
              <w:instrText xml:space="preserve"> PAGEREF _Toc220489800 \h </w:instrText>
            </w:r>
            <w:r>
              <w:rPr>
                <w:noProof/>
                <w:webHidden/>
              </w:rPr>
            </w:r>
            <w:r>
              <w:rPr>
                <w:noProof/>
                <w:webHidden/>
              </w:rPr>
              <w:fldChar w:fldCharType="separate"/>
            </w:r>
            <w:r>
              <w:rPr>
                <w:noProof/>
                <w:webHidden/>
              </w:rPr>
              <w:t>83</w:t>
            </w:r>
            <w:r>
              <w:rPr>
                <w:noProof/>
                <w:webHidden/>
              </w:rPr>
              <w:fldChar w:fldCharType="end"/>
            </w:r>
          </w:hyperlink>
        </w:p>
        <w:p w14:paraId="0E0C6F0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01" w:history="1">
            <w:r w:rsidRPr="000D551A">
              <w:rPr>
                <w:rStyle w:val="Lienhypertexte"/>
                <w:noProof/>
              </w:rPr>
              <w:t>41.16.1 Fenêtres et portes-fenêtres en verre CCTB 01.12</w:t>
            </w:r>
            <w:r>
              <w:rPr>
                <w:noProof/>
                <w:webHidden/>
              </w:rPr>
              <w:tab/>
            </w:r>
            <w:r>
              <w:rPr>
                <w:noProof/>
                <w:webHidden/>
              </w:rPr>
              <w:fldChar w:fldCharType="begin"/>
            </w:r>
            <w:r>
              <w:rPr>
                <w:noProof/>
                <w:webHidden/>
              </w:rPr>
              <w:instrText xml:space="preserve"> PAGEREF _Toc220489801 \h </w:instrText>
            </w:r>
            <w:r>
              <w:rPr>
                <w:noProof/>
                <w:webHidden/>
              </w:rPr>
            </w:r>
            <w:r>
              <w:rPr>
                <w:noProof/>
                <w:webHidden/>
              </w:rPr>
              <w:fldChar w:fldCharType="separate"/>
            </w:r>
            <w:r>
              <w:rPr>
                <w:noProof/>
                <w:webHidden/>
              </w:rPr>
              <w:t>85</w:t>
            </w:r>
            <w:r>
              <w:rPr>
                <w:noProof/>
                <w:webHidden/>
              </w:rPr>
              <w:fldChar w:fldCharType="end"/>
            </w:r>
          </w:hyperlink>
        </w:p>
        <w:p w14:paraId="0E0B3BA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02" w:history="1">
            <w:r w:rsidRPr="000D551A">
              <w:rPr>
                <w:rStyle w:val="Lienhypertexte"/>
                <w:noProof/>
              </w:rPr>
              <w:t>41.16.1a Fenêtres et portes-fenêtres en verre CCTB 01.12</w:t>
            </w:r>
            <w:r>
              <w:rPr>
                <w:noProof/>
                <w:webHidden/>
              </w:rPr>
              <w:tab/>
            </w:r>
            <w:r>
              <w:rPr>
                <w:noProof/>
                <w:webHidden/>
              </w:rPr>
              <w:fldChar w:fldCharType="begin"/>
            </w:r>
            <w:r>
              <w:rPr>
                <w:noProof/>
                <w:webHidden/>
              </w:rPr>
              <w:instrText xml:space="preserve"> PAGEREF _Toc220489802 \h </w:instrText>
            </w:r>
            <w:r>
              <w:rPr>
                <w:noProof/>
                <w:webHidden/>
              </w:rPr>
            </w:r>
            <w:r>
              <w:rPr>
                <w:noProof/>
                <w:webHidden/>
              </w:rPr>
              <w:fldChar w:fldCharType="separate"/>
            </w:r>
            <w:r>
              <w:rPr>
                <w:noProof/>
                <w:webHidden/>
              </w:rPr>
              <w:t>87</w:t>
            </w:r>
            <w:r>
              <w:rPr>
                <w:noProof/>
                <w:webHidden/>
              </w:rPr>
              <w:fldChar w:fldCharType="end"/>
            </w:r>
          </w:hyperlink>
        </w:p>
        <w:p w14:paraId="5FFD2C2B"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803" w:history="1">
            <w:r w:rsidRPr="000D551A">
              <w:rPr>
                <w:rStyle w:val="Lienhypertexte"/>
                <w:noProof/>
              </w:rPr>
              <w:t>41.17 Fenêtres et portes-fenêtres matériaux composites CCTB 01.12</w:t>
            </w:r>
            <w:r>
              <w:rPr>
                <w:noProof/>
                <w:webHidden/>
              </w:rPr>
              <w:tab/>
            </w:r>
            <w:r>
              <w:rPr>
                <w:noProof/>
                <w:webHidden/>
              </w:rPr>
              <w:fldChar w:fldCharType="begin"/>
            </w:r>
            <w:r>
              <w:rPr>
                <w:noProof/>
                <w:webHidden/>
              </w:rPr>
              <w:instrText xml:space="preserve"> PAGEREF _Toc220489803 \h </w:instrText>
            </w:r>
            <w:r>
              <w:rPr>
                <w:noProof/>
                <w:webHidden/>
              </w:rPr>
            </w:r>
            <w:r>
              <w:rPr>
                <w:noProof/>
                <w:webHidden/>
              </w:rPr>
              <w:fldChar w:fldCharType="separate"/>
            </w:r>
            <w:r>
              <w:rPr>
                <w:noProof/>
                <w:webHidden/>
              </w:rPr>
              <w:t>90</w:t>
            </w:r>
            <w:r>
              <w:rPr>
                <w:noProof/>
                <w:webHidden/>
              </w:rPr>
              <w:fldChar w:fldCharType="end"/>
            </w:r>
          </w:hyperlink>
        </w:p>
        <w:p w14:paraId="0E94630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04" w:history="1">
            <w:r w:rsidRPr="000D551A">
              <w:rPr>
                <w:rStyle w:val="Lienhypertexte"/>
                <w:noProof/>
              </w:rPr>
              <w:t>41.17.1 Fenêtres et portes-fenêtres en mélange PVC/bois (dans la masse) CCTB 01.12</w:t>
            </w:r>
            <w:r>
              <w:rPr>
                <w:noProof/>
                <w:webHidden/>
              </w:rPr>
              <w:tab/>
            </w:r>
            <w:r>
              <w:rPr>
                <w:noProof/>
                <w:webHidden/>
              </w:rPr>
              <w:fldChar w:fldCharType="begin"/>
            </w:r>
            <w:r>
              <w:rPr>
                <w:noProof/>
                <w:webHidden/>
              </w:rPr>
              <w:instrText xml:space="preserve"> PAGEREF _Toc220489804 \h </w:instrText>
            </w:r>
            <w:r>
              <w:rPr>
                <w:noProof/>
                <w:webHidden/>
              </w:rPr>
            </w:r>
            <w:r>
              <w:rPr>
                <w:noProof/>
                <w:webHidden/>
              </w:rPr>
              <w:fldChar w:fldCharType="separate"/>
            </w:r>
            <w:r>
              <w:rPr>
                <w:noProof/>
                <w:webHidden/>
              </w:rPr>
              <w:t>90</w:t>
            </w:r>
            <w:r>
              <w:rPr>
                <w:noProof/>
                <w:webHidden/>
              </w:rPr>
              <w:fldChar w:fldCharType="end"/>
            </w:r>
          </w:hyperlink>
        </w:p>
        <w:p w14:paraId="6DA81BF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05" w:history="1">
            <w:r w:rsidRPr="000D551A">
              <w:rPr>
                <w:rStyle w:val="Lienhypertexte"/>
                <w:noProof/>
              </w:rPr>
              <w:t>41.17.1a Fenêtres et portes-fenêtres en mélange PVC/bois (dans la masse)</w:t>
            </w:r>
            <w:r>
              <w:rPr>
                <w:noProof/>
                <w:webHidden/>
              </w:rPr>
              <w:tab/>
            </w:r>
            <w:r>
              <w:rPr>
                <w:noProof/>
                <w:webHidden/>
              </w:rPr>
              <w:fldChar w:fldCharType="begin"/>
            </w:r>
            <w:r>
              <w:rPr>
                <w:noProof/>
                <w:webHidden/>
              </w:rPr>
              <w:instrText xml:space="preserve"> PAGEREF _Toc220489805 \h </w:instrText>
            </w:r>
            <w:r>
              <w:rPr>
                <w:noProof/>
                <w:webHidden/>
              </w:rPr>
            </w:r>
            <w:r>
              <w:rPr>
                <w:noProof/>
                <w:webHidden/>
              </w:rPr>
              <w:fldChar w:fldCharType="separate"/>
            </w:r>
            <w:r>
              <w:rPr>
                <w:noProof/>
                <w:webHidden/>
              </w:rPr>
              <w:t>92</w:t>
            </w:r>
            <w:r>
              <w:rPr>
                <w:noProof/>
                <w:webHidden/>
              </w:rPr>
              <w:fldChar w:fldCharType="end"/>
            </w:r>
          </w:hyperlink>
        </w:p>
        <w:p w14:paraId="6544FE4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06" w:history="1">
            <w:r w:rsidRPr="000D551A">
              <w:rPr>
                <w:rStyle w:val="Lienhypertexte"/>
                <w:noProof/>
              </w:rPr>
              <w:t>41.17.1b Fenêtres et portes-fenêtres en mélange PVC fibres de verre (dans la masse) CCTB 01.13</w:t>
            </w:r>
            <w:r>
              <w:rPr>
                <w:noProof/>
                <w:webHidden/>
              </w:rPr>
              <w:tab/>
            </w:r>
            <w:r>
              <w:rPr>
                <w:noProof/>
                <w:webHidden/>
              </w:rPr>
              <w:fldChar w:fldCharType="begin"/>
            </w:r>
            <w:r>
              <w:rPr>
                <w:noProof/>
                <w:webHidden/>
              </w:rPr>
              <w:instrText xml:space="preserve"> PAGEREF _Toc220489806 \h </w:instrText>
            </w:r>
            <w:r>
              <w:rPr>
                <w:noProof/>
                <w:webHidden/>
              </w:rPr>
            </w:r>
            <w:r>
              <w:rPr>
                <w:noProof/>
                <w:webHidden/>
              </w:rPr>
              <w:fldChar w:fldCharType="separate"/>
            </w:r>
            <w:r>
              <w:rPr>
                <w:noProof/>
                <w:webHidden/>
              </w:rPr>
              <w:t>92</w:t>
            </w:r>
            <w:r>
              <w:rPr>
                <w:noProof/>
                <w:webHidden/>
              </w:rPr>
              <w:fldChar w:fldCharType="end"/>
            </w:r>
          </w:hyperlink>
        </w:p>
        <w:p w14:paraId="22DC1B9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07" w:history="1">
            <w:r w:rsidRPr="000D551A">
              <w:rPr>
                <w:rStyle w:val="Lienhypertexte"/>
                <w:noProof/>
              </w:rPr>
              <w:t>41.17.2 Fenêtres et portes-fenêtres Bois/ Fibre de verre CCTB 01.02</w:t>
            </w:r>
            <w:r>
              <w:rPr>
                <w:noProof/>
                <w:webHidden/>
              </w:rPr>
              <w:tab/>
            </w:r>
            <w:r>
              <w:rPr>
                <w:noProof/>
                <w:webHidden/>
              </w:rPr>
              <w:fldChar w:fldCharType="begin"/>
            </w:r>
            <w:r>
              <w:rPr>
                <w:noProof/>
                <w:webHidden/>
              </w:rPr>
              <w:instrText xml:space="preserve"> PAGEREF _Toc220489807 \h </w:instrText>
            </w:r>
            <w:r>
              <w:rPr>
                <w:noProof/>
                <w:webHidden/>
              </w:rPr>
            </w:r>
            <w:r>
              <w:rPr>
                <w:noProof/>
                <w:webHidden/>
              </w:rPr>
              <w:fldChar w:fldCharType="separate"/>
            </w:r>
            <w:r>
              <w:rPr>
                <w:noProof/>
                <w:webHidden/>
              </w:rPr>
              <w:t>99</w:t>
            </w:r>
            <w:r>
              <w:rPr>
                <w:noProof/>
                <w:webHidden/>
              </w:rPr>
              <w:fldChar w:fldCharType="end"/>
            </w:r>
          </w:hyperlink>
        </w:p>
        <w:p w14:paraId="711B97B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08" w:history="1">
            <w:r w:rsidRPr="000D551A">
              <w:rPr>
                <w:rStyle w:val="Lienhypertexte"/>
                <w:noProof/>
              </w:rPr>
              <w:t>41.17.2a Fenêtres et portes-fenêtres bois/ fibre de verre</w:t>
            </w:r>
            <w:r>
              <w:rPr>
                <w:noProof/>
                <w:webHidden/>
              </w:rPr>
              <w:tab/>
            </w:r>
            <w:r>
              <w:rPr>
                <w:noProof/>
                <w:webHidden/>
              </w:rPr>
              <w:fldChar w:fldCharType="begin"/>
            </w:r>
            <w:r>
              <w:rPr>
                <w:noProof/>
                <w:webHidden/>
              </w:rPr>
              <w:instrText xml:space="preserve"> PAGEREF _Toc220489808 \h </w:instrText>
            </w:r>
            <w:r>
              <w:rPr>
                <w:noProof/>
                <w:webHidden/>
              </w:rPr>
            </w:r>
            <w:r>
              <w:rPr>
                <w:noProof/>
                <w:webHidden/>
              </w:rPr>
              <w:fldChar w:fldCharType="separate"/>
            </w:r>
            <w:r>
              <w:rPr>
                <w:noProof/>
                <w:webHidden/>
              </w:rPr>
              <w:t>99</w:t>
            </w:r>
            <w:r>
              <w:rPr>
                <w:noProof/>
                <w:webHidden/>
              </w:rPr>
              <w:fldChar w:fldCharType="end"/>
            </w:r>
          </w:hyperlink>
        </w:p>
        <w:p w14:paraId="4A975CB5"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89809" w:history="1">
            <w:r w:rsidRPr="000D551A">
              <w:rPr>
                <w:rStyle w:val="Lienhypertexte"/>
                <w:noProof/>
              </w:rPr>
              <w:t>41.2 Portes d'entrée CCTB 01.13</w:t>
            </w:r>
            <w:r>
              <w:rPr>
                <w:noProof/>
                <w:webHidden/>
              </w:rPr>
              <w:tab/>
            </w:r>
            <w:r>
              <w:rPr>
                <w:noProof/>
                <w:webHidden/>
              </w:rPr>
              <w:fldChar w:fldCharType="begin"/>
            </w:r>
            <w:r>
              <w:rPr>
                <w:noProof/>
                <w:webHidden/>
              </w:rPr>
              <w:instrText xml:space="preserve"> PAGEREF _Toc220489809 \h </w:instrText>
            </w:r>
            <w:r>
              <w:rPr>
                <w:noProof/>
                <w:webHidden/>
              </w:rPr>
            </w:r>
            <w:r>
              <w:rPr>
                <w:noProof/>
                <w:webHidden/>
              </w:rPr>
              <w:fldChar w:fldCharType="separate"/>
            </w:r>
            <w:r>
              <w:rPr>
                <w:noProof/>
                <w:webHidden/>
              </w:rPr>
              <w:t>99</w:t>
            </w:r>
            <w:r>
              <w:rPr>
                <w:noProof/>
                <w:webHidden/>
              </w:rPr>
              <w:fldChar w:fldCharType="end"/>
            </w:r>
          </w:hyperlink>
        </w:p>
        <w:p w14:paraId="2BCC6BE3"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810" w:history="1">
            <w:r w:rsidRPr="000D551A">
              <w:rPr>
                <w:rStyle w:val="Lienhypertexte"/>
                <w:noProof/>
              </w:rPr>
              <w:t>41.21 Portes d'entrée en bois CCTB 01.13</w:t>
            </w:r>
            <w:r>
              <w:rPr>
                <w:noProof/>
                <w:webHidden/>
              </w:rPr>
              <w:tab/>
            </w:r>
            <w:r>
              <w:rPr>
                <w:noProof/>
                <w:webHidden/>
              </w:rPr>
              <w:fldChar w:fldCharType="begin"/>
            </w:r>
            <w:r>
              <w:rPr>
                <w:noProof/>
                <w:webHidden/>
              </w:rPr>
              <w:instrText xml:space="preserve"> PAGEREF _Toc220489810 \h </w:instrText>
            </w:r>
            <w:r>
              <w:rPr>
                <w:noProof/>
                <w:webHidden/>
              </w:rPr>
            </w:r>
            <w:r>
              <w:rPr>
                <w:noProof/>
                <w:webHidden/>
              </w:rPr>
              <w:fldChar w:fldCharType="separate"/>
            </w:r>
            <w:r>
              <w:rPr>
                <w:noProof/>
                <w:webHidden/>
              </w:rPr>
              <w:t>111</w:t>
            </w:r>
            <w:r>
              <w:rPr>
                <w:noProof/>
                <w:webHidden/>
              </w:rPr>
              <w:fldChar w:fldCharType="end"/>
            </w:r>
          </w:hyperlink>
        </w:p>
        <w:p w14:paraId="5C53BF0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11" w:history="1">
            <w:r w:rsidRPr="000D551A">
              <w:rPr>
                <w:rStyle w:val="Lienhypertexte"/>
                <w:noProof/>
              </w:rPr>
              <w:t>41.21.1 Portes d'entrée en bois CCTB 01.02</w:t>
            </w:r>
            <w:r>
              <w:rPr>
                <w:noProof/>
                <w:webHidden/>
              </w:rPr>
              <w:tab/>
            </w:r>
            <w:r>
              <w:rPr>
                <w:noProof/>
                <w:webHidden/>
              </w:rPr>
              <w:fldChar w:fldCharType="begin"/>
            </w:r>
            <w:r>
              <w:rPr>
                <w:noProof/>
                <w:webHidden/>
              </w:rPr>
              <w:instrText xml:space="preserve"> PAGEREF _Toc220489811 \h </w:instrText>
            </w:r>
            <w:r>
              <w:rPr>
                <w:noProof/>
                <w:webHidden/>
              </w:rPr>
            </w:r>
            <w:r>
              <w:rPr>
                <w:noProof/>
                <w:webHidden/>
              </w:rPr>
              <w:fldChar w:fldCharType="separate"/>
            </w:r>
            <w:r>
              <w:rPr>
                <w:noProof/>
                <w:webHidden/>
              </w:rPr>
              <w:t>119</w:t>
            </w:r>
            <w:r>
              <w:rPr>
                <w:noProof/>
                <w:webHidden/>
              </w:rPr>
              <w:fldChar w:fldCharType="end"/>
            </w:r>
          </w:hyperlink>
        </w:p>
        <w:p w14:paraId="13D4480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12" w:history="1">
            <w:r w:rsidRPr="000D551A">
              <w:rPr>
                <w:rStyle w:val="Lienhypertexte"/>
                <w:noProof/>
              </w:rPr>
              <w:t>41.21.1a Portes d'entrée en bois CCTB 01.11</w:t>
            </w:r>
            <w:r>
              <w:rPr>
                <w:noProof/>
                <w:webHidden/>
              </w:rPr>
              <w:tab/>
            </w:r>
            <w:r>
              <w:rPr>
                <w:noProof/>
                <w:webHidden/>
              </w:rPr>
              <w:fldChar w:fldCharType="begin"/>
            </w:r>
            <w:r>
              <w:rPr>
                <w:noProof/>
                <w:webHidden/>
              </w:rPr>
              <w:instrText xml:space="preserve"> PAGEREF _Toc220489812 \h </w:instrText>
            </w:r>
            <w:r>
              <w:rPr>
                <w:noProof/>
                <w:webHidden/>
              </w:rPr>
            </w:r>
            <w:r>
              <w:rPr>
                <w:noProof/>
                <w:webHidden/>
              </w:rPr>
              <w:fldChar w:fldCharType="separate"/>
            </w:r>
            <w:r>
              <w:rPr>
                <w:noProof/>
                <w:webHidden/>
              </w:rPr>
              <w:t>119</w:t>
            </w:r>
            <w:r>
              <w:rPr>
                <w:noProof/>
                <w:webHidden/>
              </w:rPr>
              <w:fldChar w:fldCharType="end"/>
            </w:r>
          </w:hyperlink>
        </w:p>
        <w:p w14:paraId="51DC489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13" w:history="1">
            <w:r w:rsidRPr="000D551A">
              <w:rPr>
                <w:rStyle w:val="Lienhypertexte"/>
                <w:noProof/>
              </w:rPr>
              <w:t>41.21.2 Portes d'entrée en bois à composition mixte - profilé collaborant CCTB 01.02</w:t>
            </w:r>
            <w:r>
              <w:rPr>
                <w:noProof/>
                <w:webHidden/>
              </w:rPr>
              <w:tab/>
            </w:r>
            <w:r>
              <w:rPr>
                <w:noProof/>
                <w:webHidden/>
              </w:rPr>
              <w:fldChar w:fldCharType="begin"/>
            </w:r>
            <w:r>
              <w:rPr>
                <w:noProof/>
                <w:webHidden/>
              </w:rPr>
              <w:instrText xml:space="preserve"> PAGEREF _Toc220489813 \h </w:instrText>
            </w:r>
            <w:r>
              <w:rPr>
                <w:noProof/>
                <w:webHidden/>
              </w:rPr>
            </w:r>
            <w:r>
              <w:rPr>
                <w:noProof/>
                <w:webHidden/>
              </w:rPr>
              <w:fldChar w:fldCharType="separate"/>
            </w:r>
            <w:r>
              <w:rPr>
                <w:noProof/>
                <w:webHidden/>
              </w:rPr>
              <w:t>123</w:t>
            </w:r>
            <w:r>
              <w:rPr>
                <w:noProof/>
                <w:webHidden/>
              </w:rPr>
              <w:fldChar w:fldCharType="end"/>
            </w:r>
          </w:hyperlink>
        </w:p>
        <w:p w14:paraId="0ADA12C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14" w:history="1">
            <w:r w:rsidRPr="000D551A">
              <w:rPr>
                <w:rStyle w:val="Lienhypertexte"/>
                <w:noProof/>
              </w:rPr>
              <w:t>41.21.2a Portes d'entrée en bois à composition mixte - profilé collaborant en aluminium CCTB 01.02</w:t>
            </w:r>
            <w:r>
              <w:rPr>
                <w:noProof/>
                <w:webHidden/>
              </w:rPr>
              <w:tab/>
            </w:r>
            <w:r>
              <w:rPr>
                <w:noProof/>
                <w:webHidden/>
              </w:rPr>
              <w:fldChar w:fldCharType="begin"/>
            </w:r>
            <w:r>
              <w:rPr>
                <w:noProof/>
                <w:webHidden/>
              </w:rPr>
              <w:instrText xml:space="preserve"> PAGEREF _Toc220489814 \h </w:instrText>
            </w:r>
            <w:r>
              <w:rPr>
                <w:noProof/>
                <w:webHidden/>
              </w:rPr>
            </w:r>
            <w:r>
              <w:rPr>
                <w:noProof/>
                <w:webHidden/>
              </w:rPr>
              <w:fldChar w:fldCharType="separate"/>
            </w:r>
            <w:r>
              <w:rPr>
                <w:noProof/>
                <w:webHidden/>
              </w:rPr>
              <w:t>123</w:t>
            </w:r>
            <w:r>
              <w:rPr>
                <w:noProof/>
                <w:webHidden/>
              </w:rPr>
              <w:fldChar w:fldCharType="end"/>
            </w:r>
          </w:hyperlink>
        </w:p>
        <w:p w14:paraId="6B0F96D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15" w:history="1">
            <w:r w:rsidRPr="000D551A">
              <w:rPr>
                <w:rStyle w:val="Lienhypertexte"/>
                <w:noProof/>
              </w:rPr>
              <w:t>41.21.3 Portes d'entrée en bois à composition mixte - profilé de finition CCTB 01.02</w:t>
            </w:r>
            <w:r>
              <w:rPr>
                <w:noProof/>
                <w:webHidden/>
              </w:rPr>
              <w:tab/>
            </w:r>
            <w:r>
              <w:rPr>
                <w:noProof/>
                <w:webHidden/>
              </w:rPr>
              <w:fldChar w:fldCharType="begin"/>
            </w:r>
            <w:r>
              <w:rPr>
                <w:noProof/>
                <w:webHidden/>
              </w:rPr>
              <w:instrText xml:space="preserve"> PAGEREF _Toc220489815 \h </w:instrText>
            </w:r>
            <w:r>
              <w:rPr>
                <w:noProof/>
                <w:webHidden/>
              </w:rPr>
            </w:r>
            <w:r>
              <w:rPr>
                <w:noProof/>
                <w:webHidden/>
              </w:rPr>
              <w:fldChar w:fldCharType="separate"/>
            </w:r>
            <w:r>
              <w:rPr>
                <w:noProof/>
                <w:webHidden/>
              </w:rPr>
              <w:t>124</w:t>
            </w:r>
            <w:r>
              <w:rPr>
                <w:noProof/>
                <w:webHidden/>
              </w:rPr>
              <w:fldChar w:fldCharType="end"/>
            </w:r>
          </w:hyperlink>
        </w:p>
        <w:p w14:paraId="501B811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16" w:history="1">
            <w:r w:rsidRPr="000D551A">
              <w:rPr>
                <w:rStyle w:val="Lienhypertexte"/>
                <w:noProof/>
              </w:rPr>
              <w:t>41.21.3a Portes d'entrée en bois à composition mixte - profilé de finition en aluminium CCTB 01.02</w:t>
            </w:r>
            <w:r>
              <w:rPr>
                <w:noProof/>
                <w:webHidden/>
              </w:rPr>
              <w:tab/>
            </w:r>
            <w:r>
              <w:rPr>
                <w:noProof/>
                <w:webHidden/>
              </w:rPr>
              <w:fldChar w:fldCharType="begin"/>
            </w:r>
            <w:r>
              <w:rPr>
                <w:noProof/>
                <w:webHidden/>
              </w:rPr>
              <w:instrText xml:space="preserve"> PAGEREF _Toc220489816 \h </w:instrText>
            </w:r>
            <w:r>
              <w:rPr>
                <w:noProof/>
                <w:webHidden/>
              </w:rPr>
            </w:r>
            <w:r>
              <w:rPr>
                <w:noProof/>
                <w:webHidden/>
              </w:rPr>
              <w:fldChar w:fldCharType="separate"/>
            </w:r>
            <w:r>
              <w:rPr>
                <w:noProof/>
                <w:webHidden/>
              </w:rPr>
              <w:t>124</w:t>
            </w:r>
            <w:r>
              <w:rPr>
                <w:noProof/>
                <w:webHidden/>
              </w:rPr>
              <w:fldChar w:fldCharType="end"/>
            </w:r>
          </w:hyperlink>
        </w:p>
        <w:p w14:paraId="4A33287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17" w:history="1">
            <w:r w:rsidRPr="000D551A">
              <w:rPr>
                <w:rStyle w:val="Lienhypertexte"/>
                <w:noProof/>
              </w:rPr>
              <w:t>41.21.3b Portes d'entrée en bois à composition mixte - profilé de finition en inox CCTB 01.02</w:t>
            </w:r>
            <w:r>
              <w:rPr>
                <w:noProof/>
                <w:webHidden/>
              </w:rPr>
              <w:tab/>
            </w:r>
            <w:r>
              <w:rPr>
                <w:noProof/>
                <w:webHidden/>
              </w:rPr>
              <w:fldChar w:fldCharType="begin"/>
            </w:r>
            <w:r>
              <w:rPr>
                <w:noProof/>
                <w:webHidden/>
              </w:rPr>
              <w:instrText xml:space="preserve"> PAGEREF _Toc220489817 \h </w:instrText>
            </w:r>
            <w:r>
              <w:rPr>
                <w:noProof/>
                <w:webHidden/>
              </w:rPr>
            </w:r>
            <w:r>
              <w:rPr>
                <w:noProof/>
                <w:webHidden/>
              </w:rPr>
              <w:fldChar w:fldCharType="separate"/>
            </w:r>
            <w:r>
              <w:rPr>
                <w:noProof/>
                <w:webHidden/>
              </w:rPr>
              <w:t>124</w:t>
            </w:r>
            <w:r>
              <w:rPr>
                <w:noProof/>
                <w:webHidden/>
              </w:rPr>
              <w:fldChar w:fldCharType="end"/>
            </w:r>
          </w:hyperlink>
        </w:p>
        <w:p w14:paraId="27A52FE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18" w:history="1">
            <w:r w:rsidRPr="000D551A">
              <w:rPr>
                <w:rStyle w:val="Lienhypertexte"/>
                <w:noProof/>
              </w:rPr>
              <w:t>41.21.3c Portes d'entrée en bois à composition mixte - profilé de finition en PVC CCTB 01.02</w:t>
            </w:r>
            <w:r>
              <w:rPr>
                <w:noProof/>
                <w:webHidden/>
              </w:rPr>
              <w:tab/>
            </w:r>
            <w:r>
              <w:rPr>
                <w:noProof/>
                <w:webHidden/>
              </w:rPr>
              <w:fldChar w:fldCharType="begin"/>
            </w:r>
            <w:r>
              <w:rPr>
                <w:noProof/>
                <w:webHidden/>
              </w:rPr>
              <w:instrText xml:space="preserve"> PAGEREF _Toc220489818 \h </w:instrText>
            </w:r>
            <w:r>
              <w:rPr>
                <w:noProof/>
                <w:webHidden/>
              </w:rPr>
            </w:r>
            <w:r>
              <w:rPr>
                <w:noProof/>
                <w:webHidden/>
              </w:rPr>
              <w:fldChar w:fldCharType="separate"/>
            </w:r>
            <w:r>
              <w:rPr>
                <w:noProof/>
                <w:webHidden/>
              </w:rPr>
              <w:t>124</w:t>
            </w:r>
            <w:r>
              <w:rPr>
                <w:noProof/>
                <w:webHidden/>
              </w:rPr>
              <w:fldChar w:fldCharType="end"/>
            </w:r>
          </w:hyperlink>
        </w:p>
        <w:p w14:paraId="072BB1B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19" w:history="1">
            <w:r w:rsidRPr="000D551A">
              <w:rPr>
                <w:rStyle w:val="Lienhypertexte"/>
                <w:noProof/>
              </w:rPr>
              <w:t>41.21.4 Portes d'entrée en bois à composition mixte - isolation intégrée  CCTB 01.12</w:t>
            </w:r>
            <w:r>
              <w:rPr>
                <w:noProof/>
                <w:webHidden/>
              </w:rPr>
              <w:tab/>
            </w:r>
            <w:r>
              <w:rPr>
                <w:noProof/>
                <w:webHidden/>
              </w:rPr>
              <w:fldChar w:fldCharType="begin"/>
            </w:r>
            <w:r>
              <w:rPr>
                <w:noProof/>
                <w:webHidden/>
              </w:rPr>
              <w:instrText xml:space="preserve"> PAGEREF _Toc220489819 \h </w:instrText>
            </w:r>
            <w:r>
              <w:rPr>
                <w:noProof/>
                <w:webHidden/>
              </w:rPr>
            </w:r>
            <w:r>
              <w:rPr>
                <w:noProof/>
                <w:webHidden/>
              </w:rPr>
              <w:fldChar w:fldCharType="separate"/>
            </w:r>
            <w:r>
              <w:rPr>
                <w:noProof/>
                <w:webHidden/>
              </w:rPr>
              <w:t>124</w:t>
            </w:r>
            <w:r>
              <w:rPr>
                <w:noProof/>
                <w:webHidden/>
              </w:rPr>
              <w:fldChar w:fldCharType="end"/>
            </w:r>
          </w:hyperlink>
        </w:p>
        <w:p w14:paraId="324DC2E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20" w:history="1">
            <w:r w:rsidRPr="000D551A">
              <w:rPr>
                <w:rStyle w:val="Lienhypertexte"/>
                <w:noProof/>
              </w:rPr>
              <w:t>41.21.4a Portes d'entrée en bois à composition mixte - isolation intégrée - finition en bois CCTB 01.02</w:t>
            </w:r>
            <w:r>
              <w:rPr>
                <w:noProof/>
                <w:webHidden/>
              </w:rPr>
              <w:tab/>
            </w:r>
            <w:r>
              <w:rPr>
                <w:noProof/>
                <w:webHidden/>
              </w:rPr>
              <w:fldChar w:fldCharType="begin"/>
            </w:r>
            <w:r>
              <w:rPr>
                <w:noProof/>
                <w:webHidden/>
              </w:rPr>
              <w:instrText xml:space="preserve"> PAGEREF _Toc220489820 \h </w:instrText>
            </w:r>
            <w:r>
              <w:rPr>
                <w:noProof/>
                <w:webHidden/>
              </w:rPr>
            </w:r>
            <w:r>
              <w:rPr>
                <w:noProof/>
                <w:webHidden/>
              </w:rPr>
              <w:fldChar w:fldCharType="separate"/>
            </w:r>
            <w:r>
              <w:rPr>
                <w:noProof/>
                <w:webHidden/>
              </w:rPr>
              <w:t>127</w:t>
            </w:r>
            <w:r>
              <w:rPr>
                <w:noProof/>
                <w:webHidden/>
              </w:rPr>
              <w:fldChar w:fldCharType="end"/>
            </w:r>
          </w:hyperlink>
        </w:p>
        <w:p w14:paraId="6C3AD05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21" w:history="1">
            <w:r w:rsidRPr="000D551A">
              <w:rPr>
                <w:rStyle w:val="Lienhypertexte"/>
                <w:noProof/>
              </w:rPr>
              <w:t>41.21.4b Portes d'entrée en bois à composition mixte - isolation intégrée - finition en aluminium CCTB 01.13</w:t>
            </w:r>
            <w:r>
              <w:rPr>
                <w:noProof/>
                <w:webHidden/>
              </w:rPr>
              <w:tab/>
            </w:r>
            <w:r>
              <w:rPr>
                <w:noProof/>
                <w:webHidden/>
              </w:rPr>
              <w:fldChar w:fldCharType="begin"/>
            </w:r>
            <w:r>
              <w:rPr>
                <w:noProof/>
                <w:webHidden/>
              </w:rPr>
              <w:instrText xml:space="preserve"> PAGEREF _Toc220489821 \h </w:instrText>
            </w:r>
            <w:r>
              <w:rPr>
                <w:noProof/>
                <w:webHidden/>
              </w:rPr>
            </w:r>
            <w:r>
              <w:rPr>
                <w:noProof/>
                <w:webHidden/>
              </w:rPr>
              <w:fldChar w:fldCharType="separate"/>
            </w:r>
            <w:r>
              <w:rPr>
                <w:noProof/>
                <w:webHidden/>
              </w:rPr>
              <w:t>127</w:t>
            </w:r>
            <w:r>
              <w:rPr>
                <w:noProof/>
                <w:webHidden/>
              </w:rPr>
              <w:fldChar w:fldCharType="end"/>
            </w:r>
          </w:hyperlink>
        </w:p>
        <w:p w14:paraId="27576AD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22" w:history="1">
            <w:r w:rsidRPr="000D551A">
              <w:rPr>
                <w:rStyle w:val="Lienhypertexte"/>
                <w:noProof/>
              </w:rPr>
              <w:t>41.21.4c Portes d'entrée en bois à composition mixte - isolation intégrée - finition en inox CCTB 01.02</w:t>
            </w:r>
            <w:r>
              <w:rPr>
                <w:noProof/>
                <w:webHidden/>
              </w:rPr>
              <w:tab/>
            </w:r>
            <w:r>
              <w:rPr>
                <w:noProof/>
                <w:webHidden/>
              </w:rPr>
              <w:fldChar w:fldCharType="begin"/>
            </w:r>
            <w:r>
              <w:rPr>
                <w:noProof/>
                <w:webHidden/>
              </w:rPr>
              <w:instrText xml:space="preserve"> PAGEREF _Toc220489822 \h </w:instrText>
            </w:r>
            <w:r>
              <w:rPr>
                <w:noProof/>
                <w:webHidden/>
              </w:rPr>
            </w:r>
            <w:r>
              <w:rPr>
                <w:noProof/>
                <w:webHidden/>
              </w:rPr>
              <w:fldChar w:fldCharType="separate"/>
            </w:r>
            <w:r>
              <w:rPr>
                <w:noProof/>
                <w:webHidden/>
              </w:rPr>
              <w:t>133</w:t>
            </w:r>
            <w:r>
              <w:rPr>
                <w:noProof/>
                <w:webHidden/>
              </w:rPr>
              <w:fldChar w:fldCharType="end"/>
            </w:r>
          </w:hyperlink>
        </w:p>
        <w:p w14:paraId="5FAA1CF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23" w:history="1">
            <w:r w:rsidRPr="000D551A">
              <w:rPr>
                <w:rStyle w:val="Lienhypertexte"/>
                <w:noProof/>
              </w:rPr>
              <w:t>41.21.4d Portes d'entrée en bois à composition mixte - isolation intégrée - finition en PVC CCTB 01.02</w:t>
            </w:r>
            <w:r>
              <w:rPr>
                <w:noProof/>
                <w:webHidden/>
              </w:rPr>
              <w:tab/>
            </w:r>
            <w:r>
              <w:rPr>
                <w:noProof/>
                <w:webHidden/>
              </w:rPr>
              <w:fldChar w:fldCharType="begin"/>
            </w:r>
            <w:r>
              <w:rPr>
                <w:noProof/>
                <w:webHidden/>
              </w:rPr>
              <w:instrText xml:space="preserve"> PAGEREF _Toc220489823 \h </w:instrText>
            </w:r>
            <w:r>
              <w:rPr>
                <w:noProof/>
                <w:webHidden/>
              </w:rPr>
            </w:r>
            <w:r>
              <w:rPr>
                <w:noProof/>
                <w:webHidden/>
              </w:rPr>
              <w:fldChar w:fldCharType="separate"/>
            </w:r>
            <w:r>
              <w:rPr>
                <w:noProof/>
                <w:webHidden/>
              </w:rPr>
              <w:t>133</w:t>
            </w:r>
            <w:r>
              <w:rPr>
                <w:noProof/>
                <w:webHidden/>
              </w:rPr>
              <w:fldChar w:fldCharType="end"/>
            </w:r>
          </w:hyperlink>
        </w:p>
        <w:p w14:paraId="1C25C9F5"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824" w:history="1">
            <w:r w:rsidRPr="000D551A">
              <w:rPr>
                <w:rStyle w:val="Lienhypertexte"/>
                <w:noProof/>
              </w:rPr>
              <w:t>41.22 Portes d'entrée en aluminium CCTB 01.13</w:t>
            </w:r>
            <w:r>
              <w:rPr>
                <w:noProof/>
                <w:webHidden/>
              </w:rPr>
              <w:tab/>
            </w:r>
            <w:r>
              <w:rPr>
                <w:noProof/>
                <w:webHidden/>
              </w:rPr>
              <w:fldChar w:fldCharType="begin"/>
            </w:r>
            <w:r>
              <w:rPr>
                <w:noProof/>
                <w:webHidden/>
              </w:rPr>
              <w:instrText xml:space="preserve"> PAGEREF _Toc220489824 \h </w:instrText>
            </w:r>
            <w:r>
              <w:rPr>
                <w:noProof/>
                <w:webHidden/>
              </w:rPr>
            </w:r>
            <w:r>
              <w:rPr>
                <w:noProof/>
                <w:webHidden/>
              </w:rPr>
              <w:fldChar w:fldCharType="separate"/>
            </w:r>
            <w:r>
              <w:rPr>
                <w:noProof/>
                <w:webHidden/>
              </w:rPr>
              <w:t>133</w:t>
            </w:r>
            <w:r>
              <w:rPr>
                <w:noProof/>
                <w:webHidden/>
              </w:rPr>
              <w:fldChar w:fldCharType="end"/>
            </w:r>
          </w:hyperlink>
        </w:p>
        <w:p w14:paraId="70C1858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25" w:history="1">
            <w:r w:rsidRPr="000D551A">
              <w:rPr>
                <w:rStyle w:val="Lienhypertexte"/>
                <w:noProof/>
              </w:rPr>
              <w:t>41.22.1 Portes d'entrée en aluminium sans coupure thermique CCTB 01.02</w:t>
            </w:r>
            <w:r>
              <w:rPr>
                <w:noProof/>
                <w:webHidden/>
              </w:rPr>
              <w:tab/>
            </w:r>
            <w:r>
              <w:rPr>
                <w:noProof/>
                <w:webHidden/>
              </w:rPr>
              <w:fldChar w:fldCharType="begin"/>
            </w:r>
            <w:r>
              <w:rPr>
                <w:noProof/>
                <w:webHidden/>
              </w:rPr>
              <w:instrText xml:space="preserve"> PAGEREF _Toc220489825 \h </w:instrText>
            </w:r>
            <w:r>
              <w:rPr>
                <w:noProof/>
                <w:webHidden/>
              </w:rPr>
            </w:r>
            <w:r>
              <w:rPr>
                <w:noProof/>
                <w:webHidden/>
              </w:rPr>
              <w:fldChar w:fldCharType="separate"/>
            </w:r>
            <w:r>
              <w:rPr>
                <w:noProof/>
                <w:webHidden/>
              </w:rPr>
              <w:t>144</w:t>
            </w:r>
            <w:r>
              <w:rPr>
                <w:noProof/>
                <w:webHidden/>
              </w:rPr>
              <w:fldChar w:fldCharType="end"/>
            </w:r>
          </w:hyperlink>
        </w:p>
        <w:p w14:paraId="4B2BAD5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26" w:history="1">
            <w:r w:rsidRPr="000D551A">
              <w:rPr>
                <w:rStyle w:val="Lienhypertexte"/>
                <w:noProof/>
              </w:rPr>
              <w:t>41.22.1a Portes d'entrée en aluminium sans coupure thermique CCTB 01.10</w:t>
            </w:r>
            <w:r>
              <w:rPr>
                <w:noProof/>
                <w:webHidden/>
              </w:rPr>
              <w:tab/>
            </w:r>
            <w:r>
              <w:rPr>
                <w:noProof/>
                <w:webHidden/>
              </w:rPr>
              <w:fldChar w:fldCharType="begin"/>
            </w:r>
            <w:r>
              <w:rPr>
                <w:noProof/>
                <w:webHidden/>
              </w:rPr>
              <w:instrText xml:space="preserve"> PAGEREF _Toc220489826 \h </w:instrText>
            </w:r>
            <w:r>
              <w:rPr>
                <w:noProof/>
                <w:webHidden/>
              </w:rPr>
            </w:r>
            <w:r>
              <w:rPr>
                <w:noProof/>
                <w:webHidden/>
              </w:rPr>
              <w:fldChar w:fldCharType="separate"/>
            </w:r>
            <w:r>
              <w:rPr>
                <w:noProof/>
                <w:webHidden/>
              </w:rPr>
              <w:t>144</w:t>
            </w:r>
            <w:r>
              <w:rPr>
                <w:noProof/>
                <w:webHidden/>
              </w:rPr>
              <w:fldChar w:fldCharType="end"/>
            </w:r>
          </w:hyperlink>
        </w:p>
        <w:p w14:paraId="65A57F4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27" w:history="1">
            <w:r w:rsidRPr="000D551A">
              <w:rPr>
                <w:rStyle w:val="Lienhypertexte"/>
                <w:noProof/>
              </w:rPr>
              <w:t>41.22.2 Portes d'entrée en aluminium avec coupure thermique CCTB 01.12</w:t>
            </w:r>
            <w:r>
              <w:rPr>
                <w:noProof/>
                <w:webHidden/>
              </w:rPr>
              <w:tab/>
            </w:r>
            <w:r>
              <w:rPr>
                <w:noProof/>
                <w:webHidden/>
              </w:rPr>
              <w:fldChar w:fldCharType="begin"/>
            </w:r>
            <w:r>
              <w:rPr>
                <w:noProof/>
                <w:webHidden/>
              </w:rPr>
              <w:instrText xml:space="preserve"> PAGEREF _Toc220489827 \h </w:instrText>
            </w:r>
            <w:r>
              <w:rPr>
                <w:noProof/>
                <w:webHidden/>
              </w:rPr>
            </w:r>
            <w:r>
              <w:rPr>
                <w:noProof/>
                <w:webHidden/>
              </w:rPr>
              <w:fldChar w:fldCharType="separate"/>
            </w:r>
            <w:r>
              <w:rPr>
                <w:noProof/>
                <w:webHidden/>
              </w:rPr>
              <w:t>144</w:t>
            </w:r>
            <w:r>
              <w:rPr>
                <w:noProof/>
                <w:webHidden/>
              </w:rPr>
              <w:fldChar w:fldCharType="end"/>
            </w:r>
          </w:hyperlink>
        </w:p>
        <w:p w14:paraId="19119C9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28" w:history="1">
            <w:r w:rsidRPr="000D551A">
              <w:rPr>
                <w:rStyle w:val="Lienhypertexte"/>
                <w:noProof/>
              </w:rPr>
              <w:t>41.22.2a Portes d'entrée en aluminium avec coupure thermique CCTB 01.12</w:t>
            </w:r>
            <w:r>
              <w:rPr>
                <w:noProof/>
                <w:webHidden/>
              </w:rPr>
              <w:tab/>
            </w:r>
            <w:r>
              <w:rPr>
                <w:noProof/>
                <w:webHidden/>
              </w:rPr>
              <w:fldChar w:fldCharType="begin"/>
            </w:r>
            <w:r>
              <w:rPr>
                <w:noProof/>
                <w:webHidden/>
              </w:rPr>
              <w:instrText xml:space="preserve"> PAGEREF _Toc220489828 \h </w:instrText>
            </w:r>
            <w:r>
              <w:rPr>
                <w:noProof/>
                <w:webHidden/>
              </w:rPr>
            </w:r>
            <w:r>
              <w:rPr>
                <w:noProof/>
                <w:webHidden/>
              </w:rPr>
              <w:fldChar w:fldCharType="separate"/>
            </w:r>
            <w:r>
              <w:rPr>
                <w:noProof/>
                <w:webHidden/>
              </w:rPr>
              <w:t>145</w:t>
            </w:r>
            <w:r>
              <w:rPr>
                <w:noProof/>
                <w:webHidden/>
              </w:rPr>
              <w:fldChar w:fldCharType="end"/>
            </w:r>
          </w:hyperlink>
        </w:p>
        <w:p w14:paraId="53B2259A"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829" w:history="1">
            <w:r w:rsidRPr="000D551A">
              <w:rPr>
                <w:rStyle w:val="Lienhypertexte"/>
                <w:noProof/>
              </w:rPr>
              <w:t>41.23 Portes d'entrée en acier CCTB 01.02</w:t>
            </w:r>
            <w:r>
              <w:rPr>
                <w:noProof/>
                <w:webHidden/>
              </w:rPr>
              <w:tab/>
            </w:r>
            <w:r>
              <w:rPr>
                <w:noProof/>
                <w:webHidden/>
              </w:rPr>
              <w:fldChar w:fldCharType="begin"/>
            </w:r>
            <w:r>
              <w:rPr>
                <w:noProof/>
                <w:webHidden/>
              </w:rPr>
              <w:instrText xml:space="preserve"> PAGEREF _Toc220489829 \h </w:instrText>
            </w:r>
            <w:r>
              <w:rPr>
                <w:noProof/>
                <w:webHidden/>
              </w:rPr>
            </w:r>
            <w:r>
              <w:rPr>
                <w:noProof/>
                <w:webHidden/>
              </w:rPr>
              <w:fldChar w:fldCharType="separate"/>
            </w:r>
            <w:r>
              <w:rPr>
                <w:noProof/>
                <w:webHidden/>
              </w:rPr>
              <w:t>150</w:t>
            </w:r>
            <w:r>
              <w:rPr>
                <w:noProof/>
                <w:webHidden/>
              </w:rPr>
              <w:fldChar w:fldCharType="end"/>
            </w:r>
          </w:hyperlink>
        </w:p>
        <w:p w14:paraId="7459545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30" w:history="1">
            <w:r w:rsidRPr="000D551A">
              <w:rPr>
                <w:rStyle w:val="Lienhypertexte"/>
                <w:noProof/>
              </w:rPr>
              <w:t>41.23.1 Portes d'entrée en acier sans coupure thermique CCTB 01.02</w:t>
            </w:r>
            <w:r>
              <w:rPr>
                <w:noProof/>
                <w:webHidden/>
              </w:rPr>
              <w:tab/>
            </w:r>
            <w:r>
              <w:rPr>
                <w:noProof/>
                <w:webHidden/>
              </w:rPr>
              <w:fldChar w:fldCharType="begin"/>
            </w:r>
            <w:r>
              <w:rPr>
                <w:noProof/>
                <w:webHidden/>
              </w:rPr>
              <w:instrText xml:space="preserve"> PAGEREF _Toc220489830 \h </w:instrText>
            </w:r>
            <w:r>
              <w:rPr>
                <w:noProof/>
                <w:webHidden/>
              </w:rPr>
            </w:r>
            <w:r>
              <w:rPr>
                <w:noProof/>
                <w:webHidden/>
              </w:rPr>
              <w:fldChar w:fldCharType="separate"/>
            </w:r>
            <w:r>
              <w:rPr>
                <w:noProof/>
                <w:webHidden/>
              </w:rPr>
              <w:t>150</w:t>
            </w:r>
            <w:r>
              <w:rPr>
                <w:noProof/>
                <w:webHidden/>
              </w:rPr>
              <w:fldChar w:fldCharType="end"/>
            </w:r>
          </w:hyperlink>
        </w:p>
        <w:p w14:paraId="220688A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31" w:history="1">
            <w:r w:rsidRPr="000D551A">
              <w:rPr>
                <w:rStyle w:val="Lienhypertexte"/>
                <w:noProof/>
              </w:rPr>
              <w:t>41.23.1a Portes d'entrée en acier sans coupure thermique</w:t>
            </w:r>
            <w:r>
              <w:rPr>
                <w:noProof/>
                <w:webHidden/>
              </w:rPr>
              <w:tab/>
            </w:r>
            <w:r>
              <w:rPr>
                <w:noProof/>
                <w:webHidden/>
              </w:rPr>
              <w:fldChar w:fldCharType="begin"/>
            </w:r>
            <w:r>
              <w:rPr>
                <w:noProof/>
                <w:webHidden/>
              </w:rPr>
              <w:instrText xml:space="preserve"> PAGEREF _Toc220489831 \h </w:instrText>
            </w:r>
            <w:r>
              <w:rPr>
                <w:noProof/>
                <w:webHidden/>
              </w:rPr>
            </w:r>
            <w:r>
              <w:rPr>
                <w:noProof/>
                <w:webHidden/>
              </w:rPr>
              <w:fldChar w:fldCharType="separate"/>
            </w:r>
            <w:r>
              <w:rPr>
                <w:noProof/>
                <w:webHidden/>
              </w:rPr>
              <w:t>150</w:t>
            </w:r>
            <w:r>
              <w:rPr>
                <w:noProof/>
                <w:webHidden/>
              </w:rPr>
              <w:fldChar w:fldCharType="end"/>
            </w:r>
          </w:hyperlink>
        </w:p>
        <w:p w14:paraId="6FB5DEF6"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32" w:history="1">
            <w:r w:rsidRPr="000D551A">
              <w:rPr>
                <w:rStyle w:val="Lienhypertexte"/>
                <w:noProof/>
              </w:rPr>
              <w:t>41.23.2 Portes d'entrée en acier avec coupure thermique CCTB 01.02</w:t>
            </w:r>
            <w:r>
              <w:rPr>
                <w:noProof/>
                <w:webHidden/>
              </w:rPr>
              <w:tab/>
            </w:r>
            <w:r>
              <w:rPr>
                <w:noProof/>
                <w:webHidden/>
              </w:rPr>
              <w:fldChar w:fldCharType="begin"/>
            </w:r>
            <w:r>
              <w:rPr>
                <w:noProof/>
                <w:webHidden/>
              </w:rPr>
              <w:instrText xml:space="preserve"> PAGEREF _Toc220489832 \h </w:instrText>
            </w:r>
            <w:r>
              <w:rPr>
                <w:noProof/>
                <w:webHidden/>
              </w:rPr>
            </w:r>
            <w:r>
              <w:rPr>
                <w:noProof/>
                <w:webHidden/>
              </w:rPr>
              <w:fldChar w:fldCharType="separate"/>
            </w:r>
            <w:r>
              <w:rPr>
                <w:noProof/>
                <w:webHidden/>
              </w:rPr>
              <w:t>150</w:t>
            </w:r>
            <w:r>
              <w:rPr>
                <w:noProof/>
                <w:webHidden/>
              </w:rPr>
              <w:fldChar w:fldCharType="end"/>
            </w:r>
          </w:hyperlink>
        </w:p>
        <w:p w14:paraId="2F37713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33" w:history="1">
            <w:r w:rsidRPr="000D551A">
              <w:rPr>
                <w:rStyle w:val="Lienhypertexte"/>
                <w:noProof/>
              </w:rPr>
              <w:t>41.23.2a Portes d'entrée en acier avec coupure thermique CCTB 01.13</w:t>
            </w:r>
            <w:r>
              <w:rPr>
                <w:noProof/>
                <w:webHidden/>
              </w:rPr>
              <w:tab/>
            </w:r>
            <w:r>
              <w:rPr>
                <w:noProof/>
                <w:webHidden/>
              </w:rPr>
              <w:fldChar w:fldCharType="begin"/>
            </w:r>
            <w:r>
              <w:rPr>
                <w:noProof/>
                <w:webHidden/>
              </w:rPr>
              <w:instrText xml:space="preserve"> PAGEREF _Toc220489833 \h </w:instrText>
            </w:r>
            <w:r>
              <w:rPr>
                <w:noProof/>
                <w:webHidden/>
              </w:rPr>
            </w:r>
            <w:r>
              <w:rPr>
                <w:noProof/>
                <w:webHidden/>
              </w:rPr>
              <w:fldChar w:fldCharType="separate"/>
            </w:r>
            <w:r>
              <w:rPr>
                <w:noProof/>
                <w:webHidden/>
              </w:rPr>
              <w:t>150</w:t>
            </w:r>
            <w:r>
              <w:rPr>
                <w:noProof/>
                <w:webHidden/>
              </w:rPr>
              <w:fldChar w:fldCharType="end"/>
            </w:r>
          </w:hyperlink>
        </w:p>
        <w:p w14:paraId="7CFF098B"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834" w:history="1">
            <w:r w:rsidRPr="000D551A">
              <w:rPr>
                <w:rStyle w:val="Lienhypertexte"/>
                <w:noProof/>
              </w:rPr>
              <w:t>41.24 Portes d'entrée en PVC CCTB 01.02</w:t>
            </w:r>
            <w:r>
              <w:rPr>
                <w:noProof/>
                <w:webHidden/>
              </w:rPr>
              <w:tab/>
            </w:r>
            <w:r>
              <w:rPr>
                <w:noProof/>
                <w:webHidden/>
              </w:rPr>
              <w:fldChar w:fldCharType="begin"/>
            </w:r>
            <w:r>
              <w:rPr>
                <w:noProof/>
                <w:webHidden/>
              </w:rPr>
              <w:instrText xml:space="preserve"> PAGEREF _Toc220489834 \h </w:instrText>
            </w:r>
            <w:r>
              <w:rPr>
                <w:noProof/>
                <w:webHidden/>
              </w:rPr>
            </w:r>
            <w:r>
              <w:rPr>
                <w:noProof/>
                <w:webHidden/>
              </w:rPr>
              <w:fldChar w:fldCharType="separate"/>
            </w:r>
            <w:r>
              <w:rPr>
                <w:noProof/>
                <w:webHidden/>
              </w:rPr>
              <w:t>154</w:t>
            </w:r>
            <w:r>
              <w:rPr>
                <w:noProof/>
                <w:webHidden/>
              </w:rPr>
              <w:fldChar w:fldCharType="end"/>
            </w:r>
          </w:hyperlink>
        </w:p>
        <w:p w14:paraId="5F1E0D0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35" w:history="1">
            <w:r w:rsidRPr="000D551A">
              <w:rPr>
                <w:rStyle w:val="Lienhypertexte"/>
                <w:noProof/>
              </w:rPr>
              <w:t>41.24.1 Portes d'entrée en PVC sans coupure thermique CCTB 01.02</w:t>
            </w:r>
            <w:r>
              <w:rPr>
                <w:noProof/>
                <w:webHidden/>
              </w:rPr>
              <w:tab/>
            </w:r>
            <w:r>
              <w:rPr>
                <w:noProof/>
                <w:webHidden/>
              </w:rPr>
              <w:fldChar w:fldCharType="begin"/>
            </w:r>
            <w:r>
              <w:rPr>
                <w:noProof/>
                <w:webHidden/>
              </w:rPr>
              <w:instrText xml:space="preserve"> PAGEREF _Toc220489835 \h </w:instrText>
            </w:r>
            <w:r>
              <w:rPr>
                <w:noProof/>
                <w:webHidden/>
              </w:rPr>
            </w:r>
            <w:r>
              <w:rPr>
                <w:noProof/>
                <w:webHidden/>
              </w:rPr>
              <w:fldChar w:fldCharType="separate"/>
            </w:r>
            <w:r>
              <w:rPr>
                <w:noProof/>
                <w:webHidden/>
              </w:rPr>
              <w:t>154</w:t>
            </w:r>
            <w:r>
              <w:rPr>
                <w:noProof/>
                <w:webHidden/>
              </w:rPr>
              <w:fldChar w:fldCharType="end"/>
            </w:r>
          </w:hyperlink>
        </w:p>
        <w:p w14:paraId="1EE6EFB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36" w:history="1">
            <w:r w:rsidRPr="000D551A">
              <w:rPr>
                <w:rStyle w:val="Lienhypertexte"/>
                <w:noProof/>
              </w:rPr>
              <w:t>41.24.1a Portes d'entrée en PVC sans coupure thermique</w:t>
            </w:r>
            <w:r>
              <w:rPr>
                <w:noProof/>
                <w:webHidden/>
              </w:rPr>
              <w:tab/>
            </w:r>
            <w:r>
              <w:rPr>
                <w:noProof/>
                <w:webHidden/>
              </w:rPr>
              <w:fldChar w:fldCharType="begin"/>
            </w:r>
            <w:r>
              <w:rPr>
                <w:noProof/>
                <w:webHidden/>
              </w:rPr>
              <w:instrText xml:space="preserve"> PAGEREF _Toc220489836 \h </w:instrText>
            </w:r>
            <w:r>
              <w:rPr>
                <w:noProof/>
                <w:webHidden/>
              </w:rPr>
            </w:r>
            <w:r>
              <w:rPr>
                <w:noProof/>
                <w:webHidden/>
              </w:rPr>
              <w:fldChar w:fldCharType="separate"/>
            </w:r>
            <w:r>
              <w:rPr>
                <w:noProof/>
                <w:webHidden/>
              </w:rPr>
              <w:t>154</w:t>
            </w:r>
            <w:r>
              <w:rPr>
                <w:noProof/>
                <w:webHidden/>
              </w:rPr>
              <w:fldChar w:fldCharType="end"/>
            </w:r>
          </w:hyperlink>
        </w:p>
        <w:p w14:paraId="1C86B9A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37" w:history="1">
            <w:r w:rsidRPr="000D551A">
              <w:rPr>
                <w:rStyle w:val="Lienhypertexte"/>
                <w:noProof/>
              </w:rPr>
              <w:t>41.24.2 Portes d'entrée en PVC avec coupure thermique CCTB 01.02</w:t>
            </w:r>
            <w:r>
              <w:rPr>
                <w:noProof/>
                <w:webHidden/>
              </w:rPr>
              <w:tab/>
            </w:r>
            <w:r>
              <w:rPr>
                <w:noProof/>
                <w:webHidden/>
              </w:rPr>
              <w:fldChar w:fldCharType="begin"/>
            </w:r>
            <w:r>
              <w:rPr>
                <w:noProof/>
                <w:webHidden/>
              </w:rPr>
              <w:instrText xml:space="preserve"> PAGEREF _Toc220489837 \h </w:instrText>
            </w:r>
            <w:r>
              <w:rPr>
                <w:noProof/>
                <w:webHidden/>
              </w:rPr>
            </w:r>
            <w:r>
              <w:rPr>
                <w:noProof/>
                <w:webHidden/>
              </w:rPr>
              <w:fldChar w:fldCharType="separate"/>
            </w:r>
            <w:r>
              <w:rPr>
                <w:noProof/>
                <w:webHidden/>
              </w:rPr>
              <w:t>154</w:t>
            </w:r>
            <w:r>
              <w:rPr>
                <w:noProof/>
                <w:webHidden/>
              </w:rPr>
              <w:fldChar w:fldCharType="end"/>
            </w:r>
          </w:hyperlink>
        </w:p>
        <w:p w14:paraId="778C759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38" w:history="1">
            <w:r w:rsidRPr="000D551A">
              <w:rPr>
                <w:rStyle w:val="Lienhypertexte"/>
                <w:noProof/>
              </w:rPr>
              <w:t>41.24.2a Portes d'entrée en PVC avec coupure thermique</w:t>
            </w:r>
            <w:r>
              <w:rPr>
                <w:noProof/>
                <w:webHidden/>
              </w:rPr>
              <w:tab/>
            </w:r>
            <w:r>
              <w:rPr>
                <w:noProof/>
                <w:webHidden/>
              </w:rPr>
              <w:fldChar w:fldCharType="begin"/>
            </w:r>
            <w:r>
              <w:rPr>
                <w:noProof/>
                <w:webHidden/>
              </w:rPr>
              <w:instrText xml:space="preserve"> PAGEREF _Toc220489838 \h </w:instrText>
            </w:r>
            <w:r>
              <w:rPr>
                <w:noProof/>
                <w:webHidden/>
              </w:rPr>
            </w:r>
            <w:r>
              <w:rPr>
                <w:noProof/>
                <w:webHidden/>
              </w:rPr>
              <w:fldChar w:fldCharType="separate"/>
            </w:r>
            <w:r>
              <w:rPr>
                <w:noProof/>
                <w:webHidden/>
              </w:rPr>
              <w:t>154</w:t>
            </w:r>
            <w:r>
              <w:rPr>
                <w:noProof/>
                <w:webHidden/>
              </w:rPr>
              <w:fldChar w:fldCharType="end"/>
            </w:r>
          </w:hyperlink>
        </w:p>
        <w:p w14:paraId="6288C1E1"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839" w:history="1">
            <w:r w:rsidRPr="000D551A">
              <w:rPr>
                <w:rStyle w:val="Lienhypertexte"/>
                <w:noProof/>
              </w:rPr>
              <w:t>41.25 Portes d'entrée en PUR CCTB 01.02</w:t>
            </w:r>
            <w:r>
              <w:rPr>
                <w:noProof/>
                <w:webHidden/>
              </w:rPr>
              <w:tab/>
            </w:r>
            <w:r>
              <w:rPr>
                <w:noProof/>
                <w:webHidden/>
              </w:rPr>
              <w:fldChar w:fldCharType="begin"/>
            </w:r>
            <w:r>
              <w:rPr>
                <w:noProof/>
                <w:webHidden/>
              </w:rPr>
              <w:instrText xml:space="preserve"> PAGEREF _Toc220489839 \h </w:instrText>
            </w:r>
            <w:r>
              <w:rPr>
                <w:noProof/>
                <w:webHidden/>
              </w:rPr>
            </w:r>
            <w:r>
              <w:rPr>
                <w:noProof/>
                <w:webHidden/>
              </w:rPr>
              <w:fldChar w:fldCharType="separate"/>
            </w:r>
            <w:r>
              <w:rPr>
                <w:noProof/>
                <w:webHidden/>
              </w:rPr>
              <w:t>154</w:t>
            </w:r>
            <w:r>
              <w:rPr>
                <w:noProof/>
                <w:webHidden/>
              </w:rPr>
              <w:fldChar w:fldCharType="end"/>
            </w:r>
          </w:hyperlink>
        </w:p>
        <w:p w14:paraId="3382B745"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40" w:history="1">
            <w:r w:rsidRPr="000D551A">
              <w:rPr>
                <w:rStyle w:val="Lienhypertexte"/>
                <w:noProof/>
              </w:rPr>
              <w:t>41.25.1 Portes d'entrée en PUR</w:t>
            </w:r>
            <w:r>
              <w:rPr>
                <w:noProof/>
                <w:webHidden/>
              </w:rPr>
              <w:tab/>
            </w:r>
            <w:r>
              <w:rPr>
                <w:noProof/>
                <w:webHidden/>
              </w:rPr>
              <w:fldChar w:fldCharType="begin"/>
            </w:r>
            <w:r>
              <w:rPr>
                <w:noProof/>
                <w:webHidden/>
              </w:rPr>
              <w:instrText xml:space="preserve"> PAGEREF _Toc220489840 \h </w:instrText>
            </w:r>
            <w:r>
              <w:rPr>
                <w:noProof/>
                <w:webHidden/>
              </w:rPr>
            </w:r>
            <w:r>
              <w:rPr>
                <w:noProof/>
                <w:webHidden/>
              </w:rPr>
              <w:fldChar w:fldCharType="separate"/>
            </w:r>
            <w:r>
              <w:rPr>
                <w:noProof/>
                <w:webHidden/>
              </w:rPr>
              <w:t>154</w:t>
            </w:r>
            <w:r>
              <w:rPr>
                <w:noProof/>
                <w:webHidden/>
              </w:rPr>
              <w:fldChar w:fldCharType="end"/>
            </w:r>
          </w:hyperlink>
        </w:p>
        <w:p w14:paraId="38BDA67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41" w:history="1">
            <w:r w:rsidRPr="000D551A">
              <w:rPr>
                <w:rStyle w:val="Lienhypertexte"/>
                <w:noProof/>
              </w:rPr>
              <w:t>41.25.1a Portes d'entrée en PUR</w:t>
            </w:r>
            <w:r>
              <w:rPr>
                <w:noProof/>
                <w:webHidden/>
              </w:rPr>
              <w:tab/>
            </w:r>
            <w:r>
              <w:rPr>
                <w:noProof/>
                <w:webHidden/>
              </w:rPr>
              <w:fldChar w:fldCharType="begin"/>
            </w:r>
            <w:r>
              <w:rPr>
                <w:noProof/>
                <w:webHidden/>
              </w:rPr>
              <w:instrText xml:space="preserve"> PAGEREF _Toc220489841 \h </w:instrText>
            </w:r>
            <w:r>
              <w:rPr>
                <w:noProof/>
                <w:webHidden/>
              </w:rPr>
            </w:r>
            <w:r>
              <w:rPr>
                <w:noProof/>
                <w:webHidden/>
              </w:rPr>
              <w:fldChar w:fldCharType="separate"/>
            </w:r>
            <w:r>
              <w:rPr>
                <w:noProof/>
                <w:webHidden/>
              </w:rPr>
              <w:t>154</w:t>
            </w:r>
            <w:r>
              <w:rPr>
                <w:noProof/>
                <w:webHidden/>
              </w:rPr>
              <w:fldChar w:fldCharType="end"/>
            </w:r>
          </w:hyperlink>
        </w:p>
        <w:p w14:paraId="5EA6DE64"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842" w:history="1">
            <w:r w:rsidRPr="000D551A">
              <w:rPr>
                <w:rStyle w:val="Lienhypertexte"/>
                <w:noProof/>
              </w:rPr>
              <w:t>41.26 Portes d'entrée en verre CCTB 01.11</w:t>
            </w:r>
            <w:r>
              <w:rPr>
                <w:noProof/>
                <w:webHidden/>
              </w:rPr>
              <w:tab/>
            </w:r>
            <w:r>
              <w:rPr>
                <w:noProof/>
                <w:webHidden/>
              </w:rPr>
              <w:fldChar w:fldCharType="begin"/>
            </w:r>
            <w:r>
              <w:rPr>
                <w:noProof/>
                <w:webHidden/>
              </w:rPr>
              <w:instrText xml:space="preserve"> PAGEREF _Toc220489842 \h </w:instrText>
            </w:r>
            <w:r>
              <w:rPr>
                <w:noProof/>
                <w:webHidden/>
              </w:rPr>
            </w:r>
            <w:r>
              <w:rPr>
                <w:noProof/>
                <w:webHidden/>
              </w:rPr>
              <w:fldChar w:fldCharType="separate"/>
            </w:r>
            <w:r>
              <w:rPr>
                <w:noProof/>
                <w:webHidden/>
              </w:rPr>
              <w:t>154</w:t>
            </w:r>
            <w:r>
              <w:rPr>
                <w:noProof/>
                <w:webHidden/>
              </w:rPr>
              <w:fldChar w:fldCharType="end"/>
            </w:r>
          </w:hyperlink>
        </w:p>
        <w:p w14:paraId="42AE9C0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43" w:history="1">
            <w:r w:rsidRPr="000D551A">
              <w:rPr>
                <w:rStyle w:val="Lienhypertexte"/>
                <w:noProof/>
              </w:rPr>
              <w:t>41.26.1 Portes d'entrée en verre CCTB 01.12</w:t>
            </w:r>
            <w:r>
              <w:rPr>
                <w:noProof/>
                <w:webHidden/>
              </w:rPr>
              <w:tab/>
            </w:r>
            <w:r>
              <w:rPr>
                <w:noProof/>
                <w:webHidden/>
              </w:rPr>
              <w:fldChar w:fldCharType="begin"/>
            </w:r>
            <w:r>
              <w:rPr>
                <w:noProof/>
                <w:webHidden/>
              </w:rPr>
              <w:instrText xml:space="preserve"> PAGEREF _Toc220489843 \h </w:instrText>
            </w:r>
            <w:r>
              <w:rPr>
                <w:noProof/>
                <w:webHidden/>
              </w:rPr>
            </w:r>
            <w:r>
              <w:rPr>
                <w:noProof/>
                <w:webHidden/>
              </w:rPr>
              <w:fldChar w:fldCharType="separate"/>
            </w:r>
            <w:r>
              <w:rPr>
                <w:noProof/>
                <w:webHidden/>
              </w:rPr>
              <w:t>155</w:t>
            </w:r>
            <w:r>
              <w:rPr>
                <w:noProof/>
                <w:webHidden/>
              </w:rPr>
              <w:fldChar w:fldCharType="end"/>
            </w:r>
          </w:hyperlink>
        </w:p>
        <w:p w14:paraId="3FA3F85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44" w:history="1">
            <w:r w:rsidRPr="000D551A">
              <w:rPr>
                <w:rStyle w:val="Lienhypertexte"/>
                <w:noProof/>
              </w:rPr>
              <w:t>41.26.1a Portes d'entrée en verre CCTB 01.12</w:t>
            </w:r>
            <w:r>
              <w:rPr>
                <w:noProof/>
                <w:webHidden/>
              </w:rPr>
              <w:tab/>
            </w:r>
            <w:r>
              <w:rPr>
                <w:noProof/>
                <w:webHidden/>
              </w:rPr>
              <w:fldChar w:fldCharType="begin"/>
            </w:r>
            <w:r>
              <w:rPr>
                <w:noProof/>
                <w:webHidden/>
              </w:rPr>
              <w:instrText xml:space="preserve"> PAGEREF _Toc220489844 \h </w:instrText>
            </w:r>
            <w:r>
              <w:rPr>
                <w:noProof/>
                <w:webHidden/>
              </w:rPr>
            </w:r>
            <w:r>
              <w:rPr>
                <w:noProof/>
                <w:webHidden/>
              </w:rPr>
              <w:fldChar w:fldCharType="separate"/>
            </w:r>
            <w:r>
              <w:rPr>
                <w:noProof/>
                <w:webHidden/>
              </w:rPr>
              <w:t>157</w:t>
            </w:r>
            <w:r>
              <w:rPr>
                <w:noProof/>
                <w:webHidden/>
              </w:rPr>
              <w:fldChar w:fldCharType="end"/>
            </w:r>
          </w:hyperlink>
        </w:p>
        <w:p w14:paraId="107A952C"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845" w:history="1">
            <w:r w:rsidRPr="000D551A">
              <w:rPr>
                <w:rStyle w:val="Lienhypertexte"/>
                <w:noProof/>
              </w:rPr>
              <w:t>41.27 Portes d'entrée matériaux composites CCTB 01.12</w:t>
            </w:r>
            <w:r>
              <w:rPr>
                <w:noProof/>
                <w:webHidden/>
              </w:rPr>
              <w:tab/>
            </w:r>
            <w:r>
              <w:rPr>
                <w:noProof/>
                <w:webHidden/>
              </w:rPr>
              <w:fldChar w:fldCharType="begin"/>
            </w:r>
            <w:r>
              <w:rPr>
                <w:noProof/>
                <w:webHidden/>
              </w:rPr>
              <w:instrText xml:space="preserve"> PAGEREF _Toc220489845 \h </w:instrText>
            </w:r>
            <w:r>
              <w:rPr>
                <w:noProof/>
                <w:webHidden/>
              </w:rPr>
            </w:r>
            <w:r>
              <w:rPr>
                <w:noProof/>
                <w:webHidden/>
              </w:rPr>
              <w:fldChar w:fldCharType="separate"/>
            </w:r>
            <w:r>
              <w:rPr>
                <w:noProof/>
                <w:webHidden/>
              </w:rPr>
              <w:t>160</w:t>
            </w:r>
            <w:r>
              <w:rPr>
                <w:noProof/>
                <w:webHidden/>
              </w:rPr>
              <w:fldChar w:fldCharType="end"/>
            </w:r>
          </w:hyperlink>
        </w:p>
        <w:p w14:paraId="49B9669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46" w:history="1">
            <w:r w:rsidRPr="000D551A">
              <w:rPr>
                <w:rStyle w:val="Lienhypertexte"/>
                <w:noProof/>
              </w:rPr>
              <w:t>41.27.1 Portes d'entrée en mélange PVC/bois (dans la masse) CCTB 01.12</w:t>
            </w:r>
            <w:r>
              <w:rPr>
                <w:noProof/>
                <w:webHidden/>
              </w:rPr>
              <w:tab/>
            </w:r>
            <w:r>
              <w:rPr>
                <w:noProof/>
                <w:webHidden/>
              </w:rPr>
              <w:fldChar w:fldCharType="begin"/>
            </w:r>
            <w:r>
              <w:rPr>
                <w:noProof/>
                <w:webHidden/>
              </w:rPr>
              <w:instrText xml:space="preserve"> PAGEREF _Toc220489846 \h </w:instrText>
            </w:r>
            <w:r>
              <w:rPr>
                <w:noProof/>
                <w:webHidden/>
              </w:rPr>
            </w:r>
            <w:r>
              <w:rPr>
                <w:noProof/>
                <w:webHidden/>
              </w:rPr>
              <w:fldChar w:fldCharType="separate"/>
            </w:r>
            <w:r>
              <w:rPr>
                <w:noProof/>
                <w:webHidden/>
              </w:rPr>
              <w:t>161</w:t>
            </w:r>
            <w:r>
              <w:rPr>
                <w:noProof/>
                <w:webHidden/>
              </w:rPr>
              <w:fldChar w:fldCharType="end"/>
            </w:r>
          </w:hyperlink>
        </w:p>
        <w:p w14:paraId="68A286A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47" w:history="1">
            <w:r w:rsidRPr="000D551A">
              <w:rPr>
                <w:rStyle w:val="Lienhypertexte"/>
                <w:noProof/>
              </w:rPr>
              <w:t>41.27.1a Portes d'entrée en mélange PVC/bois (dans la masse)</w:t>
            </w:r>
            <w:r>
              <w:rPr>
                <w:noProof/>
                <w:webHidden/>
              </w:rPr>
              <w:tab/>
            </w:r>
            <w:r>
              <w:rPr>
                <w:noProof/>
                <w:webHidden/>
              </w:rPr>
              <w:fldChar w:fldCharType="begin"/>
            </w:r>
            <w:r>
              <w:rPr>
                <w:noProof/>
                <w:webHidden/>
              </w:rPr>
              <w:instrText xml:space="preserve"> PAGEREF _Toc220489847 \h </w:instrText>
            </w:r>
            <w:r>
              <w:rPr>
                <w:noProof/>
                <w:webHidden/>
              </w:rPr>
            </w:r>
            <w:r>
              <w:rPr>
                <w:noProof/>
                <w:webHidden/>
              </w:rPr>
              <w:fldChar w:fldCharType="separate"/>
            </w:r>
            <w:r>
              <w:rPr>
                <w:noProof/>
                <w:webHidden/>
              </w:rPr>
              <w:t>163</w:t>
            </w:r>
            <w:r>
              <w:rPr>
                <w:noProof/>
                <w:webHidden/>
              </w:rPr>
              <w:fldChar w:fldCharType="end"/>
            </w:r>
          </w:hyperlink>
        </w:p>
        <w:p w14:paraId="3E13900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48" w:history="1">
            <w:r w:rsidRPr="000D551A">
              <w:rPr>
                <w:rStyle w:val="Lienhypertexte"/>
                <w:noProof/>
              </w:rPr>
              <w:t>41.27.1b Portes d'entrée en mélange PVC fibres de verre (dans la masse) CCTB 01.13</w:t>
            </w:r>
            <w:r>
              <w:rPr>
                <w:noProof/>
                <w:webHidden/>
              </w:rPr>
              <w:tab/>
            </w:r>
            <w:r>
              <w:rPr>
                <w:noProof/>
                <w:webHidden/>
              </w:rPr>
              <w:fldChar w:fldCharType="begin"/>
            </w:r>
            <w:r>
              <w:rPr>
                <w:noProof/>
                <w:webHidden/>
              </w:rPr>
              <w:instrText xml:space="preserve"> PAGEREF _Toc220489848 \h </w:instrText>
            </w:r>
            <w:r>
              <w:rPr>
                <w:noProof/>
                <w:webHidden/>
              </w:rPr>
            </w:r>
            <w:r>
              <w:rPr>
                <w:noProof/>
                <w:webHidden/>
              </w:rPr>
              <w:fldChar w:fldCharType="separate"/>
            </w:r>
            <w:r>
              <w:rPr>
                <w:noProof/>
                <w:webHidden/>
              </w:rPr>
              <w:t>163</w:t>
            </w:r>
            <w:r>
              <w:rPr>
                <w:noProof/>
                <w:webHidden/>
              </w:rPr>
              <w:fldChar w:fldCharType="end"/>
            </w:r>
          </w:hyperlink>
        </w:p>
        <w:p w14:paraId="0F8A1A1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49" w:history="1">
            <w:r w:rsidRPr="000D551A">
              <w:rPr>
                <w:rStyle w:val="Lienhypertexte"/>
                <w:noProof/>
              </w:rPr>
              <w:t>41.27.2 Portes d'entrée en Bois/ Fibre de verre CCTB 01.02</w:t>
            </w:r>
            <w:r>
              <w:rPr>
                <w:noProof/>
                <w:webHidden/>
              </w:rPr>
              <w:tab/>
            </w:r>
            <w:r>
              <w:rPr>
                <w:noProof/>
                <w:webHidden/>
              </w:rPr>
              <w:fldChar w:fldCharType="begin"/>
            </w:r>
            <w:r>
              <w:rPr>
                <w:noProof/>
                <w:webHidden/>
              </w:rPr>
              <w:instrText xml:space="preserve"> PAGEREF _Toc220489849 \h </w:instrText>
            </w:r>
            <w:r>
              <w:rPr>
                <w:noProof/>
                <w:webHidden/>
              </w:rPr>
            </w:r>
            <w:r>
              <w:rPr>
                <w:noProof/>
                <w:webHidden/>
              </w:rPr>
              <w:fldChar w:fldCharType="separate"/>
            </w:r>
            <w:r>
              <w:rPr>
                <w:noProof/>
                <w:webHidden/>
              </w:rPr>
              <w:t>169</w:t>
            </w:r>
            <w:r>
              <w:rPr>
                <w:noProof/>
                <w:webHidden/>
              </w:rPr>
              <w:fldChar w:fldCharType="end"/>
            </w:r>
          </w:hyperlink>
        </w:p>
        <w:p w14:paraId="4017B64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50" w:history="1">
            <w:r w:rsidRPr="000D551A">
              <w:rPr>
                <w:rStyle w:val="Lienhypertexte"/>
                <w:noProof/>
              </w:rPr>
              <w:t>41.27.2a Portes d'entrée en Bois/ Fibre de verre</w:t>
            </w:r>
            <w:r>
              <w:rPr>
                <w:noProof/>
                <w:webHidden/>
              </w:rPr>
              <w:tab/>
            </w:r>
            <w:r>
              <w:rPr>
                <w:noProof/>
                <w:webHidden/>
              </w:rPr>
              <w:fldChar w:fldCharType="begin"/>
            </w:r>
            <w:r>
              <w:rPr>
                <w:noProof/>
                <w:webHidden/>
              </w:rPr>
              <w:instrText xml:space="preserve"> PAGEREF _Toc220489850 \h </w:instrText>
            </w:r>
            <w:r>
              <w:rPr>
                <w:noProof/>
                <w:webHidden/>
              </w:rPr>
            </w:r>
            <w:r>
              <w:rPr>
                <w:noProof/>
                <w:webHidden/>
              </w:rPr>
              <w:fldChar w:fldCharType="separate"/>
            </w:r>
            <w:r>
              <w:rPr>
                <w:noProof/>
                <w:webHidden/>
              </w:rPr>
              <w:t>169</w:t>
            </w:r>
            <w:r>
              <w:rPr>
                <w:noProof/>
                <w:webHidden/>
              </w:rPr>
              <w:fldChar w:fldCharType="end"/>
            </w:r>
          </w:hyperlink>
        </w:p>
        <w:p w14:paraId="68B7A38B"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89851" w:history="1">
            <w:r w:rsidRPr="000D551A">
              <w:rPr>
                <w:rStyle w:val="Lienhypertexte"/>
                <w:noProof/>
              </w:rPr>
              <w:t>41.3 Portes de garage CCTB 01.13</w:t>
            </w:r>
            <w:r>
              <w:rPr>
                <w:noProof/>
                <w:webHidden/>
              </w:rPr>
              <w:tab/>
            </w:r>
            <w:r>
              <w:rPr>
                <w:noProof/>
                <w:webHidden/>
              </w:rPr>
              <w:fldChar w:fldCharType="begin"/>
            </w:r>
            <w:r>
              <w:rPr>
                <w:noProof/>
                <w:webHidden/>
              </w:rPr>
              <w:instrText xml:space="preserve"> PAGEREF _Toc220489851 \h </w:instrText>
            </w:r>
            <w:r>
              <w:rPr>
                <w:noProof/>
                <w:webHidden/>
              </w:rPr>
            </w:r>
            <w:r>
              <w:rPr>
                <w:noProof/>
                <w:webHidden/>
              </w:rPr>
              <w:fldChar w:fldCharType="separate"/>
            </w:r>
            <w:r>
              <w:rPr>
                <w:noProof/>
                <w:webHidden/>
              </w:rPr>
              <w:t>169</w:t>
            </w:r>
            <w:r>
              <w:rPr>
                <w:noProof/>
                <w:webHidden/>
              </w:rPr>
              <w:fldChar w:fldCharType="end"/>
            </w:r>
          </w:hyperlink>
        </w:p>
        <w:p w14:paraId="6809F3B8"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852" w:history="1">
            <w:r w:rsidRPr="000D551A">
              <w:rPr>
                <w:rStyle w:val="Lienhypertexte"/>
                <w:noProof/>
              </w:rPr>
              <w:t>41.31 Portes de garage à usage privé CCTB 01.11</w:t>
            </w:r>
            <w:r>
              <w:rPr>
                <w:noProof/>
                <w:webHidden/>
              </w:rPr>
              <w:tab/>
            </w:r>
            <w:r>
              <w:rPr>
                <w:noProof/>
                <w:webHidden/>
              </w:rPr>
              <w:fldChar w:fldCharType="begin"/>
            </w:r>
            <w:r>
              <w:rPr>
                <w:noProof/>
                <w:webHidden/>
              </w:rPr>
              <w:instrText xml:space="preserve"> PAGEREF _Toc220489852 \h </w:instrText>
            </w:r>
            <w:r>
              <w:rPr>
                <w:noProof/>
                <w:webHidden/>
              </w:rPr>
            </w:r>
            <w:r>
              <w:rPr>
                <w:noProof/>
                <w:webHidden/>
              </w:rPr>
              <w:fldChar w:fldCharType="separate"/>
            </w:r>
            <w:r>
              <w:rPr>
                <w:noProof/>
                <w:webHidden/>
              </w:rPr>
              <w:t>174</w:t>
            </w:r>
            <w:r>
              <w:rPr>
                <w:noProof/>
                <w:webHidden/>
              </w:rPr>
              <w:fldChar w:fldCharType="end"/>
            </w:r>
          </w:hyperlink>
        </w:p>
        <w:p w14:paraId="60D7CD15"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53" w:history="1">
            <w:r w:rsidRPr="000D551A">
              <w:rPr>
                <w:rStyle w:val="Lienhypertexte"/>
                <w:noProof/>
              </w:rPr>
              <w:t>41.31.1 Portes de garage à usage privé basculantes CCTB 01.11</w:t>
            </w:r>
            <w:r>
              <w:rPr>
                <w:noProof/>
                <w:webHidden/>
              </w:rPr>
              <w:tab/>
            </w:r>
            <w:r>
              <w:rPr>
                <w:noProof/>
                <w:webHidden/>
              </w:rPr>
              <w:fldChar w:fldCharType="begin"/>
            </w:r>
            <w:r>
              <w:rPr>
                <w:noProof/>
                <w:webHidden/>
              </w:rPr>
              <w:instrText xml:space="preserve"> PAGEREF _Toc220489853 \h </w:instrText>
            </w:r>
            <w:r>
              <w:rPr>
                <w:noProof/>
                <w:webHidden/>
              </w:rPr>
            </w:r>
            <w:r>
              <w:rPr>
                <w:noProof/>
                <w:webHidden/>
              </w:rPr>
              <w:fldChar w:fldCharType="separate"/>
            </w:r>
            <w:r>
              <w:rPr>
                <w:noProof/>
                <w:webHidden/>
              </w:rPr>
              <w:t>174</w:t>
            </w:r>
            <w:r>
              <w:rPr>
                <w:noProof/>
                <w:webHidden/>
              </w:rPr>
              <w:fldChar w:fldCharType="end"/>
            </w:r>
          </w:hyperlink>
        </w:p>
        <w:p w14:paraId="51E3866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54" w:history="1">
            <w:r w:rsidRPr="000D551A">
              <w:rPr>
                <w:rStyle w:val="Lienhypertexte"/>
                <w:noProof/>
              </w:rPr>
              <w:t>41.31.1a Portes de garage à usage privé basculantes en bois CCTB 01.11</w:t>
            </w:r>
            <w:r>
              <w:rPr>
                <w:noProof/>
                <w:webHidden/>
              </w:rPr>
              <w:tab/>
            </w:r>
            <w:r>
              <w:rPr>
                <w:noProof/>
                <w:webHidden/>
              </w:rPr>
              <w:fldChar w:fldCharType="begin"/>
            </w:r>
            <w:r>
              <w:rPr>
                <w:noProof/>
                <w:webHidden/>
              </w:rPr>
              <w:instrText xml:space="preserve"> PAGEREF _Toc220489854 \h </w:instrText>
            </w:r>
            <w:r>
              <w:rPr>
                <w:noProof/>
                <w:webHidden/>
              </w:rPr>
            </w:r>
            <w:r>
              <w:rPr>
                <w:noProof/>
                <w:webHidden/>
              </w:rPr>
              <w:fldChar w:fldCharType="separate"/>
            </w:r>
            <w:r>
              <w:rPr>
                <w:noProof/>
                <w:webHidden/>
              </w:rPr>
              <w:t>176</w:t>
            </w:r>
            <w:r>
              <w:rPr>
                <w:noProof/>
                <w:webHidden/>
              </w:rPr>
              <w:fldChar w:fldCharType="end"/>
            </w:r>
          </w:hyperlink>
        </w:p>
        <w:p w14:paraId="20A80D3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55" w:history="1">
            <w:r w:rsidRPr="000D551A">
              <w:rPr>
                <w:rStyle w:val="Lienhypertexte"/>
                <w:noProof/>
              </w:rPr>
              <w:t>41.31.1b Portes de garage à usage privé basculantes en aluminium CCTB 01.10</w:t>
            </w:r>
            <w:r>
              <w:rPr>
                <w:noProof/>
                <w:webHidden/>
              </w:rPr>
              <w:tab/>
            </w:r>
            <w:r>
              <w:rPr>
                <w:noProof/>
                <w:webHidden/>
              </w:rPr>
              <w:fldChar w:fldCharType="begin"/>
            </w:r>
            <w:r>
              <w:rPr>
                <w:noProof/>
                <w:webHidden/>
              </w:rPr>
              <w:instrText xml:space="preserve"> PAGEREF _Toc220489855 \h </w:instrText>
            </w:r>
            <w:r>
              <w:rPr>
                <w:noProof/>
                <w:webHidden/>
              </w:rPr>
            </w:r>
            <w:r>
              <w:rPr>
                <w:noProof/>
                <w:webHidden/>
              </w:rPr>
              <w:fldChar w:fldCharType="separate"/>
            </w:r>
            <w:r>
              <w:rPr>
                <w:noProof/>
                <w:webHidden/>
              </w:rPr>
              <w:t>177</w:t>
            </w:r>
            <w:r>
              <w:rPr>
                <w:noProof/>
                <w:webHidden/>
              </w:rPr>
              <w:fldChar w:fldCharType="end"/>
            </w:r>
          </w:hyperlink>
        </w:p>
        <w:p w14:paraId="6A0FAAC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56" w:history="1">
            <w:r w:rsidRPr="000D551A">
              <w:rPr>
                <w:rStyle w:val="Lienhypertexte"/>
                <w:noProof/>
              </w:rPr>
              <w:t>41.31.1c Portes de garage à usage privé basculantes en acier CCTB 01.11</w:t>
            </w:r>
            <w:r>
              <w:rPr>
                <w:noProof/>
                <w:webHidden/>
              </w:rPr>
              <w:tab/>
            </w:r>
            <w:r>
              <w:rPr>
                <w:noProof/>
                <w:webHidden/>
              </w:rPr>
              <w:fldChar w:fldCharType="begin"/>
            </w:r>
            <w:r>
              <w:rPr>
                <w:noProof/>
                <w:webHidden/>
              </w:rPr>
              <w:instrText xml:space="preserve"> PAGEREF _Toc220489856 \h </w:instrText>
            </w:r>
            <w:r>
              <w:rPr>
                <w:noProof/>
                <w:webHidden/>
              </w:rPr>
            </w:r>
            <w:r>
              <w:rPr>
                <w:noProof/>
                <w:webHidden/>
              </w:rPr>
              <w:fldChar w:fldCharType="separate"/>
            </w:r>
            <w:r>
              <w:rPr>
                <w:noProof/>
                <w:webHidden/>
              </w:rPr>
              <w:t>177</w:t>
            </w:r>
            <w:r>
              <w:rPr>
                <w:noProof/>
                <w:webHidden/>
              </w:rPr>
              <w:fldChar w:fldCharType="end"/>
            </w:r>
          </w:hyperlink>
        </w:p>
        <w:p w14:paraId="76169BA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57" w:history="1">
            <w:r w:rsidRPr="000D551A">
              <w:rPr>
                <w:rStyle w:val="Lienhypertexte"/>
                <w:noProof/>
              </w:rPr>
              <w:t>41.31.1d Portes de garage à usage privé basculantes en PVC CCTB 01.04</w:t>
            </w:r>
            <w:r>
              <w:rPr>
                <w:noProof/>
                <w:webHidden/>
              </w:rPr>
              <w:tab/>
            </w:r>
            <w:r>
              <w:rPr>
                <w:noProof/>
                <w:webHidden/>
              </w:rPr>
              <w:fldChar w:fldCharType="begin"/>
            </w:r>
            <w:r>
              <w:rPr>
                <w:noProof/>
                <w:webHidden/>
              </w:rPr>
              <w:instrText xml:space="preserve"> PAGEREF _Toc220489857 \h </w:instrText>
            </w:r>
            <w:r>
              <w:rPr>
                <w:noProof/>
                <w:webHidden/>
              </w:rPr>
            </w:r>
            <w:r>
              <w:rPr>
                <w:noProof/>
                <w:webHidden/>
              </w:rPr>
              <w:fldChar w:fldCharType="separate"/>
            </w:r>
            <w:r>
              <w:rPr>
                <w:noProof/>
                <w:webHidden/>
              </w:rPr>
              <w:t>178</w:t>
            </w:r>
            <w:r>
              <w:rPr>
                <w:noProof/>
                <w:webHidden/>
              </w:rPr>
              <w:fldChar w:fldCharType="end"/>
            </w:r>
          </w:hyperlink>
        </w:p>
        <w:p w14:paraId="5C5E6B4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58" w:history="1">
            <w:r w:rsidRPr="000D551A">
              <w:rPr>
                <w:rStyle w:val="Lienhypertexte"/>
                <w:noProof/>
              </w:rPr>
              <w:t>41.31.1e Portes de garage à usage privé basculantes en verre</w:t>
            </w:r>
            <w:r>
              <w:rPr>
                <w:noProof/>
                <w:webHidden/>
              </w:rPr>
              <w:tab/>
            </w:r>
            <w:r>
              <w:rPr>
                <w:noProof/>
                <w:webHidden/>
              </w:rPr>
              <w:fldChar w:fldCharType="begin"/>
            </w:r>
            <w:r>
              <w:rPr>
                <w:noProof/>
                <w:webHidden/>
              </w:rPr>
              <w:instrText xml:space="preserve"> PAGEREF _Toc220489858 \h </w:instrText>
            </w:r>
            <w:r>
              <w:rPr>
                <w:noProof/>
                <w:webHidden/>
              </w:rPr>
            </w:r>
            <w:r>
              <w:rPr>
                <w:noProof/>
                <w:webHidden/>
              </w:rPr>
              <w:fldChar w:fldCharType="separate"/>
            </w:r>
            <w:r>
              <w:rPr>
                <w:noProof/>
                <w:webHidden/>
              </w:rPr>
              <w:t>178</w:t>
            </w:r>
            <w:r>
              <w:rPr>
                <w:noProof/>
                <w:webHidden/>
              </w:rPr>
              <w:fldChar w:fldCharType="end"/>
            </w:r>
          </w:hyperlink>
        </w:p>
        <w:p w14:paraId="2D4738C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59" w:history="1">
            <w:r w:rsidRPr="000D551A">
              <w:rPr>
                <w:rStyle w:val="Lienhypertexte"/>
                <w:noProof/>
              </w:rPr>
              <w:t>41.31.1f Portes de garage à usage privé basculantes en matériaux composites</w:t>
            </w:r>
            <w:r>
              <w:rPr>
                <w:noProof/>
                <w:webHidden/>
              </w:rPr>
              <w:tab/>
            </w:r>
            <w:r>
              <w:rPr>
                <w:noProof/>
                <w:webHidden/>
              </w:rPr>
              <w:fldChar w:fldCharType="begin"/>
            </w:r>
            <w:r>
              <w:rPr>
                <w:noProof/>
                <w:webHidden/>
              </w:rPr>
              <w:instrText xml:space="preserve"> PAGEREF _Toc220489859 \h </w:instrText>
            </w:r>
            <w:r>
              <w:rPr>
                <w:noProof/>
                <w:webHidden/>
              </w:rPr>
            </w:r>
            <w:r>
              <w:rPr>
                <w:noProof/>
                <w:webHidden/>
              </w:rPr>
              <w:fldChar w:fldCharType="separate"/>
            </w:r>
            <w:r>
              <w:rPr>
                <w:noProof/>
                <w:webHidden/>
              </w:rPr>
              <w:t>178</w:t>
            </w:r>
            <w:r>
              <w:rPr>
                <w:noProof/>
                <w:webHidden/>
              </w:rPr>
              <w:fldChar w:fldCharType="end"/>
            </w:r>
          </w:hyperlink>
        </w:p>
        <w:p w14:paraId="2059C89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60" w:history="1">
            <w:r w:rsidRPr="000D551A">
              <w:rPr>
                <w:rStyle w:val="Lienhypertexte"/>
                <w:noProof/>
              </w:rPr>
              <w:t>41.31.2 Portes de garage à usage privé sectionnelles CCTB 01.11</w:t>
            </w:r>
            <w:r>
              <w:rPr>
                <w:noProof/>
                <w:webHidden/>
              </w:rPr>
              <w:tab/>
            </w:r>
            <w:r>
              <w:rPr>
                <w:noProof/>
                <w:webHidden/>
              </w:rPr>
              <w:fldChar w:fldCharType="begin"/>
            </w:r>
            <w:r>
              <w:rPr>
                <w:noProof/>
                <w:webHidden/>
              </w:rPr>
              <w:instrText xml:space="preserve"> PAGEREF _Toc220489860 \h </w:instrText>
            </w:r>
            <w:r>
              <w:rPr>
                <w:noProof/>
                <w:webHidden/>
              </w:rPr>
            </w:r>
            <w:r>
              <w:rPr>
                <w:noProof/>
                <w:webHidden/>
              </w:rPr>
              <w:fldChar w:fldCharType="separate"/>
            </w:r>
            <w:r>
              <w:rPr>
                <w:noProof/>
                <w:webHidden/>
              </w:rPr>
              <w:t>178</w:t>
            </w:r>
            <w:r>
              <w:rPr>
                <w:noProof/>
                <w:webHidden/>
              </w:rPr>
              <w:fldChar w:fldCharType="end"/>
            </w:r>
          </w:hyperlink>
        </w:p>
        <w:p w14:paraId="2F7024D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61" w:history="1">
            <w:r w:rsidRPr="000D551A">
              <w:rPr>
                <w:rStyle w:val="Lienhypertexte"/>
                <w:noProof/>
              </w:rPr>
              <w:t>41.31.2a Portes de garage à usage privé sectionnelles en bois</w:t>
            </w:r>
            <w:r>
              <w:rPr>
                <w:noProof/>
                <w:webHidden/>
              </w:rPr>
              <w:tab/>
            </w:r>
            <w:r>
              <w:rPr>
                <w:noProof/>
                <w:webHidden/>
              </w:rPr>
              <w:fldChar w:fldCharType="begin"/>
            </w:r>
            <w:r>
              <w:rPr>
                <w:noProof/>
                <w:webHidden/>
              </w:rPr>
              <w:instrText xml:space="preserve"> PAGEREF _Toc220489861 \h </w:instrText>
            </w:r>
            <w:r>
              <w:rPr>
                <w:noProof/>
                <w:webHidden/>
              </w:rPr>
            </w:r>
            <w:r>
              <w:rPr>
                <w:noProof/>
                <w:webHidden/>
              </w:rPr>
              <w:fldChar w:fldCharType="separate"/>
            </w:r>
            <w:r>
              <w:rPr>
                <w:noProof/>
                <w:webHidden/>
              </w:rPr>
              <w:t>179</w:t>
            </w:r>
            <w:r>
              <w:rPr>
                <w:noProof/>
                <w:webHidden/>
              </w:rPr>
              <w:fldChar w:fldCharType="end"/>
            </w:r>
          </w:hyperlink>
        </w:p>
        <w:p w14:paraId="7C420E7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62" w:history="1">
            <w:r w:rsidRPr="000D551A">
              <w:rPr>
                <w:rStyle w:val="Lienhypertexte"/>
                <w:noProof/>
              </w:rPr>
              <w:t>41.31.2b Portes de garage à usage privé sectionnelles en aluminium</w:t>
            </w:r>
            <w:r>
              <w:rPr>
                <w:noProof/>
                <w:webHidden/>
              </w:rPr>
              <w:tab/>
            </w:r>
            <w:r>
              <w:rPr>
                <w:noProof/>
                <w:webHidden/>
              </w:rPr>
              <w:fldChar w:fldCharType="begin"/>
            </w:r>
            <w:r>
              <w:rPr>
                <w:noProof/>
                <w:webHidden/>
              </w:rPr>
              <w:instrText xml:space="preserve"> PAGEREF _Toc220489862 \h </w:instrText>
            </w:r>
            <w:r>
              <w:rPr>
                <w:noProof/>
                <w:webHidden/>
              </w:rPr>
            </w:r>
            <w:r>
              <w:rPr>
                <w:noProof/>
                <w:webHidden/>
              </w:rPr>
              <w:fldChar w:fldCharType="separate"/>
            </w:r>
            <w:r>
              <w:rPr>
                <w:noProof/>
                <w:webHidden/>
              </w:rPr>
              <w:t>179</w:t>
            </w:r>
            <w:r>
              <w:rPr>
                <w:noProof/>
                <w:webHidden/>
              </w:rPr>
              <w:fldChar w:fldCharType="end"/>
            </w:r>
          </w:hyperlink>
        </w:p>
        <w:p w14:paraId="0D32CF1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63" w:history="1">
            <w:r w:rsidRPr="000D551A">
              <w:rPr>
                <w:rStyle w:val="Lienhypertexte"/>
                <w:noProof/>
              </w:rPr>
              <w:t>41.31.2c Portes de garage à usage privé sectionnelles en acier CCTB 01.11</w:t>
            </w:r>
            <w:r>
              <w:rPr>
                <w:noProof/>
                <w:webHidden/>
              </w:rPr>
              <w:tab/>
            </w:r>
            <w:r>
              <w:rPr>
                <w:noProof/>
                <w:webHidden/>
              </w:rPr>
              <w:fldChar w:fldCharType="begin"/>
            </w:r>
            <w:r>
              <w:rPr>
                <w:noProof/>
                <w:webHidden/>
              </w:rPr>
              <w:instrText xml:space="preserve"> PAGEREF _Toc220489863 \h </w:instrText>
            </w:r>
            <w:r>
              <w:rPr>
                <w:noProof/>
                <w:webHidden/>
              </w:rPr>
            </w:r>
            <w:r>
              <w:rPr>
                <w:noProof/>
                <w:webHidden/>
              </w:rPr>
              <w:fldChar w:fldCharType="separate"/>
            </w:r>
            <w:r>
              <w:rPr>
                <w:noProof/>
                <w:webHidden/>
              </w:rPr>
              <w:t>179</w:t>
            </w:r>
            <w:r>
              <w:rPr>
                <w:noProof/>
                <w:webHidden/>
              </w:rPr>
              <w:fldChar w:fldCharType="end"/>
            </w:r>
          </w:hyperlink>
        </w:p>
        <w:p w14:paraId="713E8A2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64" w:history="1">
            <w:r w:rsidRPr="000D551A">
              <w:rPr>
                <w:rStyle w:val="Lienhypertexte"/>
                <w:noProof/>
              </w:rPr>
              <w:t>41.31.2d Portes de garage à usage privé sectionnelles en PVC</w:t>
            </w:r>
            <w:r>
              <w:rPr>
                <w:noProof/>
                <w:webHidden/>
              </w:rPr>
              <w:tab/>
            </w:r>
            <w:r>
              <w:rPr>
                <w:noProof/>
                <w:webHidden/>
              </w:rPr>
              <w:fldChar w:fldCharType="begin"/>
            </w:r>
            <w:r>
              <w:rPr>
                <w:noProof/>
                <w:webHidden/>
              </w:rPr>
              <w:instrText xml:space="preserve"> PAGEREF _Toc220489864 \h </w:instrText>
            </w:r>
            <w:r>
              <w:rPr>
                <w:noProof/>
                <w:webHidden/>
              </w:rPr>
            </w:r>
            <w:r>
              <w:rPr>
                <w:noProof/>
                <w:webHidden/>
              </w:rPr>
              <w:fldChar w:fldCharType="separate"/>
            </w:r>
            <w:r>
              <w:rPr>
                <w:noProof/>
                <w:webHidden/>
              </w:rPr>
              <w:t>181</w:t>
            </w:r>
            <w:r>
              <w:rPr>
                <w:noProof/>
                <w:webHidden/>
              </w:rPr>
              <w:fldChar w:fldCharType="end"/>
            </w:r>
          </w:hyperlink>
        </w:p>
        <w:p w14:paraId="0747D9B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65" w:history="1">
            <w:r w:rsidRPr="000D551A">
              <w:rPr>
                <w:rStyle w:val="Lienhypertexte"/>
                <w:noProof/>
              </w:rPr>
              <w:t>41.31.2e Portes de garage à usage privé sectionnelles en verre</w:t>
            </w:r>
            <w:r>
              <w:rPr>
                <w:noProof/>
                <w:webHidden/>
              </w:rPr>
              <w:tab/>
            </w:r>
            <w:r>
              <w:rPr>
                <w:noProof/>
                <w:webHidden/>
              </w:rPr>
              <w:fldChar w:fldCharType="begin"/>
            </w:r>
            <w:r>
              <w:rPr>
                <w:noProof/>
                <w:webHidden/>
              </w:rPr>
              <w:instrText xml:space="preserve"> PAGEREF _Toc220489865 \h </w:instrText>
            </w:r>
            <w:r>
              <w:rPr>
                <w:noProof/>
                <w:webHidden/>
              </w:rPr>
            </w:r>
            <w:r>
              <w:rPr>
                <w:noProof/>
                <w:webHidden/>
              </w:rPr>
              <w:fldChar w:fldCharType="separate"/>
            </w:r>
            <w:r>
              <w:rPr>
                <w:noProof/>
                <w:webHidden/>
              </w:rPr>
              <w:t>181</w:t>
            </w:r>
            <w:r>
              <w:rPr>
                <w:noProof/>
                <w:webHidden/>
              </w:rPr>
              <w:fldChar w:fldCharType="end"/>
            </w:r>
          </w:hyperlink>
        </w:p>
        <w:p w14:paraId="6A78BEA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66" w:history="1">
            <w:r w:rsidRPr="000D551A">
              <w:rPr>
                <w:rStyle w:val="Lienhypertexte"/>
                <w:noProof/>
              </w:rPr>
              <w:t>41.31.2f Portes de garage à usage privé sectionnelles en matériaux composites CCTB 01.10</w:t>
            </w:r>
            <w:r>
              <w:rPr>
                <w:noProof/>
                <w:webHidden/>
              </w:rPr>
              <w:tab/>
            </w:r>
            <w:r>
              <w:rPr>
                <w:noProof/>
                <w:webHidden/>
              </w:rPr>
              <w:fldChar w:fldCharType="begin"/>
            </w:r>
            <w:r>
              <w:rPr>
                <w:noProof/>
                <w:webHidden/>
              </w:rPr>
              <w:instrText xml:space="preserve"> PAGEREF _Toc220489866 \h </w:instrText>
            </w:r>
            <w:r>
              <w:rPr>
                <w:noProof/>
                <w:webHidden/>
              </w:rPr>
            </w:r>
            <w:r>
              <w:rPr>
                <w:noProof/>
                <w:webHidden/>
              </w:rPr>
              <w:fldChar w:fldCharType="separate"/>
            </w:r>
            <w:r>
              <w:rPr>
                <w:noProof/>
                <w:webHidden/>
              </w:rPr>
              <w:t>181</w:t>
            </w:r>
            <w:r>
              <w:rPr>
                <w:noProof/>
                <w:webHidden/>
              </w:rPr>
              <w:fldChar w:fldCharType="end"/>
            </w:r>
          </w:hyperlink>
        </w:p>
        <w:p w14:paraId="3537508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67" w:history="1">
            <w:r w:rsidRPr="000D551A">
              <w:rPr>
                <w:rStyle w:val="Lienhypertexte"/>
                <w:noProof/>
              </w:rPr>
              <w:t>41.31.3 Portes de garage à usage privé coulissantes CCTB 01.04</w:t>
            </w:r>
            <w:r>
              <w:rPr>
                <w:noProof/>
                <w:webHidden/>
              </w:rPr>
              <w:tab/>
            </w:r>
            <w:r>
              <w:rPr>
                <w:noProof/>
                <w:webHidden/>
              </w:rPr>
              <w:fldChar w:fldCharType="begin"/>
            </w:r>
            <w:r>
              <w:rPr>
                <w:noProof/>
                <w:webHidden/>
              </w:rPr>
              <w:instrText xml:space="preserve"> PAGEREF _Toc220489867 \h </w:instrText>
            </w:r>
            <w:r>
              <w:rPr>
                <w:noProof/>
                <w:webHidden/>
              </w:rPr>
            </w:r>
            <w:r>
              <w:rPr>
                <w:noProof/>
                <w:webHidden/>
              </w:rPr>
              <w:fldChar w:fldCharType="separate"/>
            </w:r>
            <w:r>
              <w:rPr>
                <w:noProof/>
                <w:webHidden/>
              </w:rPr>
              <w:t>181</w:t>
            </w:r>
            <w:r>
              <w:rPr>
                <w:noProof/>
                <w:webHidden/>
              </w:rPr>
              <w:fldChar w:fldCharType="end"/>
            </w:r>
          </w:hyperlink>
        </w:p>
        <w:p w14:paraId="261943E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68" w:history="1">
            <w:r w:rsidRPr="000D551A">
              <w:rPr>
                <w:rStyle w:val="Lienhypertexte"/>
                <w:noProof/>
              </w:rPr>
              <w:t>41.31.3a Portes de garage à usage privé coulissantes en bois</w:t>
            </w:r>
            <w:r>
              <w:rPr>
                <w:noProof/>
                <w:webHidden/>
              </w:rPr>
              <w:tab/>
            </w:r>
            <w:r>
              <w:rPr>
                <w:noProof/>
                <w:webHidden/>
              </w:rPr>
              <w:fldChar w:fldCharType="begin"/>
            </w:r>
            <w:r>
              <w:rPr>
                <w:noProof/>
                <w:webHidden/>
              </w:rPr>
              <w:instrText xml:space="preserve"> PAGEREF _Toc220489868 \h </w:instrText>
            </w:r>
            <w:r>
              <w:rPr>
                <w:noProof/>
                <w:webHidden/>
              </w:rPr>
            </w:r>
            <w:r>
              <w:rPr>
                <w:noProof/>
                <w:webHidden/>
              </w:rPr>
              <w:fldChar w:fldCharType="separate"/>
            </w:r>
            <w:r>
              <w:rPr>
                <w:noProof/>
                <w:webHidden/>
              </w:rPr>
              <w:t>181</w:t>
            </w:r>
            <w:r>
              <w:rPr>
                <w:noProof/>
                <w:webHidden/>
              </w:rPr>
              <w:fldChar w:fldCharType="end"/>
            </w:r>
          </w:hyperlink>
        </w:p>
        <w:p w14:paraId="324ECE3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69" w:history="1">
            <w:r w:rsidRPr="000D551A">
              <w:rPr>
                <w:rStyle w:val="Lienhypertexte"/>
                <w:noProof/>
              </w:rPr>
              <w:t>41.31.3b Portes de garage à usage privé coulissantes en aluminium</w:t>
            </w:r>
            <w:r>
              <w:rPr>
                <w:noProof/>
                <w:webHidden/>
              </w:rPr>
              <w:tab/>
            </w:r>
            <w:r>
              <w:rPr>
                <w:noProof/>
                <w:webHidden/>
              </w:rPr>
              <w:fldChar w:fldCharType="begin"/>
            </w:r>
            <w:r>
              <w:rPr>
                <w:noProof/>
                <w:webHidden/>
              </w:rPr>
              <w:instrText xml:space="preserve"> PAGEREF _Toc220489869 \h </w:instrText>
            </w:r>
            <w:r>
              <w:rPr>
                <w:noProof/>
                <w:webHidden/>
              </w:rPr>
            </w:r>
            <w:r>
              <w:rPr>
                <w:noProof/>
                <w:webHidden/>
              </w:rPr>
              <w:fldChar w:fldCharType="separate"/>
            </w:r>
            <w:r>
              <w:rPr>
                <w:noProof/>
                <w:webHidden/>
              </w:rPr>
              <w:t>181</w:t>
            </w:r>
            <w:r>
              <w:rPr>
                <w:noProof/>
                <w:webHidden/>
              </w:rPr>
              <w:fldChar w:fldCharType="end"/>
            </w:r>
          </w:hyperlink>
        </w:p>
        <w:p w14:paraId="144A9B0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70" w:history="1">
            <w:r w:rsidRPr="000D551A">
              <w:rPr>
                <w:rStyle w:val="Lienhypertexte"/>
                <w:noProof/>
              </w:rPr>
              <w:t>41.31.3c Portes de garage à usage privé coulissantes en acier</w:t>
            </w:r>
            <w:r>
              <w:rPr>
                <w:noProof/>
                <w:webHidden/>
              </w:rPr>
              <w:tab/>
            </w:r>
            <w:r>
              <w:rPr>
                <w:noProof/>
                <w:webHidden/>
              </w:rPr>
              <w:fldChar w:fldCharType="begin"/>
            </w:r>
            <w:r>
              <w:rPr>
                <w:noProof/>
                <w:webHidden/>
              </w:rPr>
              <w:instrText xml:space="preserve"> PAGEREF _Toc220489870 \h </w:instrText>
            </w:r>
            <w:r>
              <w:rPr>
                <w:noProof/>
                <w:webHidden/>
              </w:rPr>
            </w:r>
            <w:r>
              <w:rPr>
                <w:noProof/>
                <w:webHidden/>
              </w:rPr>
              <w:fldChar w:fldCharType="separate"/>
            </w:r>
            <w:r>
              <w:rPr>
                <w:noProof/>
                <w:webHidden/>
              </w:rPr>
              <w:t>181</w:t>
            </w:r>
            <w:r>
              <w:rPr>
                <w:noProof/>
                <w:webHidden/>
              </w:rPr>
              <w:fldChar w:fldCharType="end"/>
            </w:r>
          </w:hyperlink>
        </w:p>
        <w:p w14:paraId="0D2B37F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71" w:history="1">
            <w:r w:rsidRPr="000D551A">
              <w:rPr>
                <w:rStyle w:val="Lienhypertexte"/>
                <w:noProof/>
              </w:rPr>
              <w:t>41.31.3d Portes de garage à usage privé coulissantes en PVC</w:t>
            </w:r>
            <w:r>
              <w:rPr>
                <w:noProof/>
                <w:webHidden/>
              </w:rPr>
              <w:tab/>
            </w:r>
            <w:r>
              <w:rPr>
                <w:noProof/>
                <w:webHidden/>
              </w:rPr>
              <w:fldChar w:fldCharType="begin"/>
            </w:r>
            <w:r>
              <w:rPr>
                <w:noProof/>
                <w:webHidden/>
              </w:rPr>
              <w:instrText xml:space="preserve"> PAGEREF _Toc220489871 \h </w:instrText>
            </w:r>
            <w:r>
              <w:rPr>
                <w:noProof/>
                <w:webHidden/>
              </w:rPr>
            </w:r>
            <w:r>
              <w:rPr>
                <w:noProof/>
                <w:webHidden/>
              </w:rPr>
              <w:fldChar w:fldCharType="separate"/>
            </w:r>
            <w:r>
              <w:rPr>
                <w:noProof/>
                <w:webHidden/>
              </w:rPr>
              <w:t>181</w:t>
            </w:r>
            <w:r>
              <w:rPr>
                <w:noProof/>
                <w:webHidden/>
              </w:rPr>
              <w:fldChar w:fldCharType="end"/>
            </w:r>
          </w:hyperlink>
        </w:p>
        <w:p w14:paraId="4E0EA3F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72" w:history="1">
            <w:r w:rsidRPr="000D551A">
              <w:rPr>
                <w:rStyle w:val="Lienhypertexte"/>
                <w:noProof/>
              </w:rPr>
              <w:t>41.31.3e Portes de garage à usage privé coulissantes en verre</w:t>
            </w:r>
            <w:r>
              <w:rPr>
                <w:noProof/>
                <w:webHidden/>
              </w:rPr>
              <w:tab/>
            </w:r>
            <w:r>
              <w:rPr>
                <w:noProof/>
                <w:webHidden/>
              </w:rPr>
              <w:fldChar w:fldCharType="begin"/>
            </w:r>
            <w:r>
              <w:rPr>
                <w:noProof/>
                <w:webHidden/>
              </w:rPr>
              <w:instrText xml:space="preserve"> PAGEREF _Toc220489872 \h </w:instrText>
            </w:r>
            <w:r>
              <w:rPr>
                <w:noProof/>
                <w:webHidden/>
              </w:rPr>
            </w:r>
            <w:r>
              <w:rPr>
                <w:noProof/>
                <w:webHidden/>
              </w:rPr>
              <w:fldChar w:fldCharType="separate"/>
            </w:r>
            <w:r>
              <w:rPr>
                <w:noProof/>
                <w:webHidden/>
              </w:rPr>
              <w:t>181</w:t>
            </w:r>
            <w:r>
              <w:rPr>
                <w:noProof/>
                <w:webHidden/>
              </w:rPr>
              <w:fldChar w:fldCharType="end"/>
            </w:r>
          </w:hyperlink>
        </w:p>
        <w:p w14:paraId="22B5458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73" w:history="1">
            <w:r w:rsidRPr="000D551A">
              <w:rPr>
                <w:rStyle w:val="Lienhypertexte"/>
                <w:noProof/>
              </w:rPr>
              <w:t>41.31.3f Portes de garage à usage privé coulissantes en matériaux composites</w:t>
            </w:r>
            <w:r>
              <w:rPr>
                <w:noProof/>
                <w:webHidden/>
              </w:rPr>
              <w:tab/>
            </w:r>
            <w:r>
              <w:rPr>
                <w:noProof/>
                <w:webHidden/>
              </w:rPr>
              <w:fldChar w:fldCharType="begin"/>
            </w:r>
            <w:r>
              <w:rPr>
                <w:noProof/>
                <w:webHidden/>
              </w:rPr>
              <w:instrText xml:space="preserve"> PAGEREF _Toc220489873 \h </w:instrText>
            </w:r>
            <w:r>
              <w:rPr>
                <w:noProof/>
                <w:webHidden/>
              </w:rPr>
            </w:r>
            <w:r>
              <w:rPr>
                <w:noProof/>
                <w:webHidden/>
              </w:rPr>
              <w:fldChar w:fldCharType="separate"/>
            </w:r>
            <w:r>
              <w:rPr>
                <w:noProof/>
                <w:webHidden/>
              </w:rPr>
              <w:t>181</w:t>
            </w:r>
            <w:r>
              <w:rPr>
                <w:noProof/>
                <w:webHidden/>
              </w:rPr>
              <w:fldChar w:fldCharType="end"/>
            </w:r>
          </w:hyperlink>
        </w:p>
        <w:p w14:paraId="1F38024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74" w:history="1">
            <w:r w:rsidRPr="000D551A">
              <w:rPr>
                <w:rStyle w:val="Lienhypertexte"/>
                <w:noProof/>
              </w:rPr>
              <w:t>41.31.4 Portes de garage à usage privé accordéon CCTB 01.04</w:t>
            </w:r>
            <w:r>
              <w:rPr>
                <w:noProof/>
                <w:webHidden/>
              </w:rPr>
              <w:tab/>
            </w:r>
            <w:r>
              <w:rPr>
                <w:noProof/>
                <w:webHidden/>
              </w:rPr>
              <w:fldChar w:fldCharType="begin"/>
            </w:r>
            <w:r>
              <w:rPr>
                <w:noProof/>
                <w:webHidden/>
              </w:rPr>
              <w:instrText xml:space="preserve"> PAGEREF _Toc220489874 \h </w:instrText>
            </w:r>
            <w:r>
              <w:rPr>
                <w:noProof/>
                <w:webHidden/>
              </w:rPr>
            </w:r>
            <w:r>
              <w:rPr>
                <w:noProof/>
                <w:webHidden/>
              </w:rPr>
              <w:fldChar w:fldCharType="separate"/>
            </w:r>
            <w:r>
              <w:rPr>
                <w:noProof/>
                <w:webHidden/>
              </w:rPr>
              <w:t>181</w:t>
            </w:r>
            <w:r>
              <w:rPr>
                <w:noProof/>
                <w:webHidden/>
              </w:rPr>
              <w:fldChar w:fldCharType="end"/>
            </w:r>
          </w:hyperlink>
        </w:p>
        <w:p w14:paraId="42BB981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75" w:history="1">
            <w:r w:rsidRPr="000D551A">
              <w:rPr>
                <w:rStyle w:val="Lienhypertexte"/>
                <w:noProof/>
              </w:rPr>
              <w:t>41.31.4a Portes de garage à usage privé accordéon en bois</w:t>
            </w:r>
            <w:r>
              <w:rPr>
                <w:noProof/>
                <w:webHidden/>
              </w:rPr>
              <w:tab/>
            </w:r>
            <w:r>
              <w:rPr>
                <w:noProof/>
                <w:webHidden/>
              </w:rPr>
              <w:fldChar w:fldCharType="begin"/>
            </w:r>
            <w:r>
              <w:rPr>
                <w:noProof/>
                <w:webHidden/>
              </w:rPr>
              <w:instrText xml:space="preserve"> PAGEREF _Toc220489875 \h </w:instrText>
            </w:r>
            <w:r>
              <w:rPr>
                <w:noProof/>
                <w:webHidden/>
              </w:rPr>
            </w:r>
            <w:r>
              <w:rPr>
                <w:noProof/>
                <w:webHidden/>
              </w:rPr>
              <w:fldChar w:fldCharType="separate"/>
            </w:r>
            <w:r>
              <w:rPr>
                <w:noProof/>
                <w:webHidden/>
              </w:rPr>
              <w:t>182</w:t>
            </w:r>
            <w:r>
              <w:rPr>
                <w:noProof/>
                <w:webHidden/>
              </w:rPr>
              <w:fldChar w:fldCharType="end"/>
            </w:r>
          </w:hyperlink>
        </w:p>
        <w:p w14:paraId="31C746D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76" w:history="1">
            <w:r w:rsidRPr="000D551A">
              <w:rPr>
                <w:rStyle w:val="Lienhypertexte"/>
                <w:noProof/>
              </w:rPr>
              <w:t>41.31.4b Portes de garage à usage privé accordéon en aluminium</w:t>
            </w:r>
            <w:r>
              <w:rPr>
                <w:noProof/>
                <w:webHidden/>
              </w:rPr>
              <w:tab/>
            </w:r>
            <w:r>
              <w:rPr>
                <w:noProof/>
                <w:webHidden/>
              </w:rPr>
              <w:fldChar w:fldCharType="begin"/>
            </w:r>
            <w:r>
              <w:rPr>
                <w:noProof/>
                <w:webHidden/>
              </w:rPr>
              <w:instrText xml:space="preserve"> PAGEREF _Toc220489876 \h </w:instrText>
            </w:r>
            <w:r>
              <w:rPr>
                <w:noProof/>
                <w:webHidden/>
              </w:rPr>
            </w:r>
            <w:r>
              <w:rPr>
                <w:noProof/>
                <w:webHidden/>
              </w:rPr>
              <w:fldChar w:fldCharType="separate"/>
            </w:r>
            <w:r>
              <w:rPr>
                <w:noProof/>
                <w:webHidden/>
              </w:rPr>
              <w:t>182</w:t>
            </w:r>
            <w:r>
              <w:rPr>
                <w:noProof/>
                <w:webHidden/>
              </w:rPr>
              <w:fldChar w:fldCharType="end"/>
            </w:r>
          </w:hyperlink>
        </w:p>
        <w:p w14:paraId="44F633D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77" w:history="1">
            <w:r w:rsidRPr="000D551A">
              <w:rPr>
                <w:rStyle w:val="Lienhypertexte"/>
                <w:noProof/>
              </w:rPr>
              <w:t>41.31.4c Portes de garage à usage privé accordéon en acier</w:t>
            </w:r>
            <w:r>
              <w:rPr>
                <w:noProof/>
                <w:webHidden/>
              </w:rPr>
              <w:tab/>
            </w:r>
            <w:r>
              <w:rPr>
                <w:noProof/>
                <w:webHidden/>
              </w:rPr>
              <w:fldChar w:fldCharType="begin"/>
            </w:r>
            <w:r>
              <w:rPr>
                <w:noProof/>
                <w:webHidden/>
              </w:rPr>
              <w:instrText xml:space="preserve"> PAGEREF _Toc220489877 \h </w:instrText>
            </w:r>
            <w:r>
              <w:rPr>
                <w:noProof/>
                <w:webHidden/>
              </w:rPr>
            </w:r>
            <w:r>
              <w:rPr>
                <w:noProof/>
                <w:webHidden/>
              </w:rPr>
              <w:fldChar w:fldCharType="separate"/>
            </w:r>
            <w:r>
              <w:rPr>
                <w:noProof/>
                <w:webHidden/>
              </w:rPr>
              <w:t>182</w:t>
            </w:r>
            <w:r>
              <w:rPr>
                <w:noProof/>
                <w:webHidden/>
              </w:rPr>
              <w:fldChar w:fldCharType="end"/>
            </w:r>
          </w:hyperlink>
        </w:p>
        <w:p w14:paraId="342FE21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78" w:history="1">
            <w:r w:rsidRPr="000D551A">
              <w:rPr>
                <w:rStyle w:val="Lienhypertexte"/>
                <w:noProof/>
              </w:rPr>
              <w:t>41.31.4d Portes de garage à usage privé accordéon en PVC</w:t>
            </w:r>
            <w:r>
              <w:rPr>
                <w:noProof/>
                <w:webHidden/>
              </w:rPr>
              <w:tab/>
            </w:r>
            <w:r>
              <w:rPr>
                <w:noProof/>
                <w:webHidden/>
              </w:rPr>
              <w:fldChar w:fldCharType="begin"/>
            </w:r>
            <w:r>
              <w:rPr>
                <w:noProof/>
                <w:webHidden/>
              </w:rPr>
              <w:instrText xml:space="preserve"> PAGEREF _Toc220489878 \h </w:instrText>
            </w:r>
            <w:r>
              <w:rPr>
                <w:noProof/>
                <w:webHidden/>
              </w:rPr>
            </w:r>
            <w:r>
              <w:rPr>
                <w:noProof/>
                <w:webHidden/>
              </w:rPr>
              <w:fldChar w:fldCharType="separate"/>
            </w:r>
            <w:r>
              <w:rPr>
                <w:noProof/>
                <w:webHidden/>
              </w:rPr>
              <w:t>182</w:t>
            </w:r>
            <w:r>
              <w:rPr>
                <w:noProof/>
                <w:webHidden/>
              </w:rPr>
              <w:fldChar w:fldCharType="end"/>
            </w:r>
          </w:hyperlink>
        </w:p>
        <w:p w14:paraId="2C00CF5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79" w:history="1">
            <w:r w:rsidRPr="000D551A">
              <w:rPr>
                <w:rStyle w:val="Lienhypertexte"/>
                <w:noProof/>
              </w:rPr>
              <w:t>41.31.4e Portes de garage à usage privé accordéon en verre</w:t>
            </w:r>
            <w:r>
              <w:rPr>
                <w:noProof/>
                <w:webHidden/>
              </w:rPr>
              <w:tab/>
            </w:r>
            <w:r>
              <w:rPr>
                <w:noProof/>
                <w:webHidden/>
              </w:rPr>
              <w:fldChar w:fldCharType="begin"/>
            </w:r>
            <w:r>
              <w:rPr>
                <w:noProof/>
                <w:webHidden/>
              </w:rPr>
              <w:instrText xml:space="preserve"> PAGEREF _Toc220489879 \h </w:instrText>
            </w:r>
            <w:r>
              <w:rPr>
                <w:noProof/>
                <w:webHidden/>
              </w:rPr>
            </w:r>
            <w:r>
              <w:rPr>
                <w:noProof/>
                <w:webHidden/>
              </w:rPr>
              <w:fldChar w:fldCharType="separate"/>
            </w:r>
            <w:r>
              <w:rPr>
                <w:noProof/>
                <w:webHidden/>
              </w:rPr>
              <w:t>182</w:t>
            </w:r>
            <w:r>
              <w:rPr>
                <w:noProof/>
                <w:webHidden/>
              </w:rPr>
              <w:fldChar w:fldCharType="end"/>
            </w:r>
          </w:hyperlink>
        </w:p>
        <w:p w14:paraId="3620022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80" w:history="1">
            <w:r w:rsidRPr="000D551A">
              <w:rPr>
                <w:rStyle w:val="Lienhypertexte"/>
                <w:noProof/>
              </w:rPr>
              <w:t>41.31.4f Portes de garage à usage privé accordéon en matériaux composites</w:t>
            </w:r>
            <w:r>
              <w:rPr>
                <w:noProof/>
                <w:webHidden/>
              </w:rPr>
              <w:tab/>
            </w:r>
            <w:r>
              <w:rPr>
                <w:noProof/>
                <w:webHidden/>
              </w:rPr>
              <w:fldChar w:fldCharType="begin"/>
            </w:r>
            <w:r>
              <w:rPr>
                <w:noProof/>
                <w:webHidden/>
              </w:rPr>
              <w:instrText xml:space="preserve"> PAGEREF _Toc220489880 \h </w:instrText>
            </w:r>
            <w:r>
              <w:rPr>
                <w:noProof/>
                <w:webHidden/>
              </w:rPr>
            </w:r>
            <w:r>
              <w:rPr>
                <w:noProof/>
                <w:webHidden/>
              </w:rPr>
              <w:fldChar w:fldCharType="separate"/>
            </w:r>
            <w:r>
              <w:rPr>
                <w:noProof/>
                <w:webHidden/>
              </w:rPr>
              <w:t>182</w:t>
            </w:r>
            <w:r>
              <w:rPr>
                <w:noProof/>
                <w:webHidden/>
              </w:rPr>
              <w:fldChar w:fldCharType="end"/>
            </w:r>
          </w:hyperlink>
        </w:p>
        <w:p w14:paraId="05000E3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81" w:history="1">
            <w:r w:rsidRPr="000D551A">
              <w:rPr>
                <w:rStyle w:val="Lienhypertexte"/>
                <w:noProof/>
              </w:rPr>
              <w:t>41.31.5 Portes de garage à usage privé à enroulement à lamelles CCTB 01.04</w:t>
            </w:r>
            <w:r>
              <w:rPr>
                <w:noProof/>
                <w:webHidden/>
              </w:rPr>
              <w:tab/>
            </w:r>
            <w:r>
              <w:rPr>
                <w:noProof/>
                <w:webHidden/>
              </w:rPr>
              <w:fldChar w:fldCharType="begin"/>
            </w:r>
            <w:r>
              <w:rPr>
                <w:noProof/>
                <w:webHidden/>
              </w:rPr>
              <w:instrText xml:space="preserve"> PAGEREF _Toc220489881 \h </w:instrText>
            </w:r>
            <w:r>
              <w:rPr>
                <w:noProof/>
                <w:webHidden/>
              </w:rPr>
            </w:r>
            <w:r>
              <w:rPr>
                <w:noProof/>
                <w:webHidden/>
              </w:rPr>
              <w:fldChar w:fldCharType="separate"/>
            </w:r>
            <w:r>
              <w:rPr>
                <w:noProof/>
                <w:webHidden/>
              </w:rPr>
              <w:t>182</w:t>
            </w:r>
            <w:r>
              <w:rPr>
                <w:noProof/>
                <w:webHidden/>
              </w:rPr>
              <w:fldChar w:fldCharType="end"/>
            </w:r>
          </w:hyperlink>
        </w:p>
        <w:p w14:paraId="6E2EA26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82" w:history="1">
            <w:r w:rsidRPr="000D551A">
              <w:rPr>
                <w:rStyle w:val="Lienhypertexte"/>
                <w:noProof/>
              </w:rPr>
              <w:t>41.31.5a Portes de garage à usage privé à enroulement à lamelles en bois</w:t>
            </w:r>
            <w:r>
              <w:rPr>
                <w:noProof/>
                <w:webHidden/>
              </w:rPr>
              <w:tab/>
            </w:r>
            <w:r>
              <w:rPr>
                <w:noProof/>
                <w:webHidden/>
              </w:rPr>
              <w:fldChar w:fldCharType="begin"/>
            </w:r>
            <w:r>
              <w:rPr>
                <w:noProof/>
                <w:webHidden/>
              </w:rPr>
              <w:instrText xml:space="preserve"> PAGEREF _Toc220489882 \h </w:instrText>
            </w:r>
            <w:r>
              <w:rPr>
                <w:noProof/>
                <w:webHidden/>
              </w:rPr>
            </w:r>
            <w:r>
              <w:rPr>
                <w:noProof/>
                <w:webHidden/>
              </w:rPr>
              <w:fldChar w:fldCharType="separate"/>
            </w:r>
            <w:r>
              <w:rPr>
                <w:noProof/>
                <w:webHidden/>
              </w:rPr>
              <w:t>182</w:t>
            </w:r>
            <w:r>
              <w:rPr>
                <w:noProof/>
                <w:webHidden/>
              </w:rPr>
              <w:fldChar w:fldCharType="end"/>
            </w:r>
          </w:hyperlink>
        </w:p>
        <w:p w14:paraId="0E1959B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83" w:history="1">
            <w:r w:rsidRPr="000D551A">
              <w:rPr>
                <w:rStyle w:val="Lienhypertexte"/>
                <w:noProof/>
              </w:rPr>
              <w:t>41.31.5b Portes de garage à usage privé à enroulement à lamelles en aluminium</w:t>
            </w:r>
            <w:r>
              <w:rPr>
                <w:noProof/>
                <w:webHidden/>
              </w:rPr>
              <w:tab/>
            </w:r>
            <w:r>
              <w:rPr>
                <w:noProof/>
                <w:webHidden/>
              </w:rPr>
              <w:fldChar w:fldCharType="begin"/>
            </w:r>
            <w:r>
              <w:rPr>
                <w:noProof/>
                <w:webHidden/>
              </w:rPr>
              <w:instrText xml:space="preserve"> PAGEREF _Toc220489883 \h </w:instrText>
            </w:r>
            <w:r>
              <w:rPr>
                <w:noProof/>
                <w:webHidden/>
              </w:rPr>
            </w:r>
            <w:r>
              <w:rPr>
                <w:noProof/>
                <w:webHidden/>
              </w:rPr>
              <w:fldChar w:fldCharType="separate"/>
            </w:r>
            <w:r>
              <w:rPr>
                <w:noProof/>
                <w:webHidden/>
              </w:rPr>
              <w:t>182</w:t>
            </w:r>
            <w:r>
              <w:rPr>
                <w:noProof/>
                <w:webHidden/>
              </w:rPr>
              <w:fldChar w:fldCharType="end"/>
            </w:r>
          </w:hyperlink>
        </w:p>
        <w:p w14:paraId="7D942EC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84" w:history="1">
            <w:r w:rsidRPr="000D551A">
              <w:rPr>
                <w:rStyle w:val="Lienhypertexte"/>
                <w:noProof/>
              </w:rPr>
              <w:t>41.31.5c Portes de garage à usage privé à enroulement à lamelles en acier</w:t>
            </w:r>
            <w:r>
              <w:rPr>
                <w:noProof/>
                <w:webHidden/>
              </w:rPr>
              <w:tab/>
            </w:r>
            <w:r>
              <w:rPr>
                <w:noProof/>
                <w:webHidden/>
              </w:rPr>
              <w:fldChar w:fldCharType="begin"/>
            </w:r>
            <w:r>
              <w:rPr>
                <w:noProof/>
                <w:webHidden/>
              </w:rPr>
              <w:instrText xml:space="preserve"> PAGEREF _Toc220489884 \h </w:instrText>
            </w:r>
            <w:r>
              <w:rPr>
                <w:noProof/>
                <w:webHidden/>
              </w:rPr>
            </w:r>
            <w:r>
              <w:rPr>
                <w:noProof/>
                <w:webHidden/>
              </w:rPr>
              <w:fldChar w:fldCharType="separate"/>
            </w:r>
            <w:r>
              <w:rPr>
                <w:noProof/>
                <w:webHidden/>
              </w:rPr>
              <w:t>182</w:t>
            </w:r>
            <w:r>
              <w:rPr>
                <w:noProof/>
                <w:webHidden/>
              </w:rPr>
              <w:fldChar w:fldCharType="end"/>
            </w:r>
          </w:hyperlink>
        </w:p>
        <w:p w14:paraId="38D36BF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85" w:history="1">
            <w:r w:rsidRPr="000D551A">
              <w:rPr>
                <w:rStyle w:val="Lienhypertexte"/>
                <w:noProof/>
              </w:rPr>
              <w:t>41.31.5d Portes de garage à usage privé à enroulement à lamelles en PVC</w:t>
            </w:r>
            <w:r>
              <w:rPr>
                <w:noProof/>
                <w:webHidden/>
              </w:rPr>
              <w:tab/>
            </w:r>
            <w:r>
              <w:rPr>
                <w:noProof/>
                <w:webHidden/>
              </w:rPr>
              <w:fldChar w:fldCharType="begin"/>
            </w:r>
            <w:r>
              <w:rPr>
                <w:noProof/>
                <w:webHidden/>
              </w:rPr>
              <w:instrText xml:space="preserve"> PAGEREF _Toc220489885 \h </w:instrText>
            </w:r>
            <w:r>
              <w:rPr>
                <w:noProof/>
                <w:webHidden/>
              </w:rPr>
            </w:r>
            <w:r>
              <w:rPr>
                <w:noProof/>
                <w:webHidden/>
              </w:rPr>
              <w:fldChar w:fldCharType="separate"/>
            </w:r>
            <w:r>
              <w:rPr>
                <w:noProof/>
                <w:webHidden/>
              </w:rPr>
              <w:t>182</w:t>
            </w:r>
            <w:r>
              <w:rPr>
                <w:noProof/>
                <w:webHidden/>
              </w:rPr>
              <w:fldChar w:fldCharType="end"/>
            </w:r>
          </w:hyperlink>
        </w:p>
        <w:p w14:paraId="21E1133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86" w:history="1">
            <w:r w:rsidRPr="000D551A">
              <w:rPr>
                <w:rStyle w:val="Lienhypertexte"/>
                <w:noProof/>
              </w:rPr>
              <w:t>41.31.5e Portes de garage à usage privé à enroulement à lamelles en matériaux composites</w:t>
            </w:r>
            <w:r>
              <w:rPr>
                <w:noProof/>
                <w:webHidden/>
              </w:rPr>
              <w:tab/>
            </w:r>
            <w:r>
              <w:rPr>
                <w:noProof/>
                <w:webHidden/>
              </w:rPr>
              <w:fldChar w:fldCharType="begin"/>
            </w:r>
            <w:r>
              <w:rPr>
                <w:noProof/>
                <w:webHidden/>
              </w:rPr>
              <w:instrText xml:space="preserve"> PAGEREF _Toc220489886 \h </w:instrText>
            </w:r>
            <w:r>
              <w:rPr>
                <w:noProof/>
                <w:webHidden/>
              </w:rPr>
            </w:r>
            <w:r>
              <w:rPr>
                <w:noProof/>
                <w:webHidden/>
              </w:rPr>
              <w:fldChar w:fldCharType="separate"/>
            </w:r>
            <w:r>
              <w:rPr>
                <w:noProof/>
                <w:webHidden/>
              </w:rPr>
              <w:t>182</w:t>
            </w:r>
            <w:r>
              <w:rPr>
                <w:noProof/>
                <w:webHidden/>
              </w:rPr>
              <w:fldChar w:fldCharType="end"/>
            </w:r>
          </w:hyperlink>
        </w:p>
        <w:p w14:paraId="52ABA2FD"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887" w:history="1">
            <w:r w:rsidRPr="000D551A">
              <w:rPr>
                <w:rStyle w:val="Lienhypertexte"/>
                <w:noProof/>
              </w:rPr>
              <w:t>41.32 Portes de garage à usage collectif CCTB 01.11</w:t>
            </w:r>
            <w:r>
              <w:rPr>
                <w:noProof/>
                <w:webHidden/>
              </w:rPr>
              <w:tab/>
            </w:r>
            <w:r>
              <w:rPr>
                <w:noProof/>
                <w:webHidden/>
              </w:rPr>
              <w:fldChar w:fldCharType="begin"/>
            </w:r>
            <w:r>
              <w:rPr>
                <w:noProof/>
                <w:webHidden/>
              </w:rPr>
              <w:instrText xml:space="preserve"> PAGEREF _Toc220489887 \h </w:instrText>
            </w:r>
            <w:r>
              <w:rPr>
                <w:noProof/>
                <w:webHidden/>
              </w:rPr>
            </w:r>
            <w:r>
              <w:rPr>
                <w:noProof/>
                <w:webHidden/>
              </w:rPr>
              <w:fldChar w:fldCharType="separate"/>
            </w:r>
            <w:r>
              <w:rPr>
                <w:noProof/>
                <w:webHidden/>
              </w:rPr>
              <w:t>182</w:t>
            </w:r>
            <w:r>
              <w:rPr>
                <w:noProof/>
                <w:webHidden/>
              </w:rPr>
              <w:fldChar w:fldCharType="end"/>
            </w:r>
          </w:hyperlink>
        </w:p>
        <w:p w14:paraId="1D98949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88" w:history="1">
            <w:r w:rsidRPr="000D551A">
              <w:rPr>
                <w:rStyle w:val="Lienhypertexte"/>
                <w:noProof/>
              </w:rPr>
              <w:t>41.32.1 Portes de garage à usage collectif basculantes CCTB 01.11</w:t>
            </w:r>
            <w:r>
              <w:rPr>
                <w:noProof/>
                <w:webHidden/>
              </w:rPr>
              <w:tab/>
            </w:r>
            <w:r>
              <w:rPr>
                <w:noProof/>
                <w:webHidden/>
              </w:rPr>
              <w:fldChar w:fldCharType="begin"/>
            </w:r>
            <w:r>
              <w:rPr>
                <w:noProof/>
                <w:webHidden/>
              </w:rPr>
              <w:instrText xml:space="preserve"> PAGEREF _Toc220489888 \h </w:instrText>
            </w:r>
            <w:r>
              <w:rPr>
                <w:noProof/>
                <w:webHidden/>
              </w:rPr>
            </w:r>
            <w:r>
              <w:rPr>
                <w:noProof/>
                <w:webHidden/>
              </w:rPr>
              <w:fldChar w:fldCharType="separate"/>
            </w:r>
            <w:r>
              <w:rPr>
                <w:noProof/>
                <w:webHidden/>
              </w:rPr>
              <w:t>183</w:t>
            </w:r>
            <w:r>
              <w:rPr>
                <w:noProof/>
                <w:webHidden/>
              </w:rPr>
              <w:fldChar w:fldCharType="end"/>
            </w:r>
          </w:hyperlink>
        </w:p>
        <w:p w14:paraId="0189F03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89" w:history="1">
            <w:r w:rsidRPr="000D551A">
              <w:rPr>
                <w:rStyle w:val="Lienhypertexte"/>
                <w:noProof/>
              </w:rPr>
              <w:t>41.32.1a Portes de garage à usage collectif basculantes en bois CCTB 01.11</w:t>
            </w:r>
            <w:r>
              <w:rPr>
                <w:noProof/>
                <w:webHidden/>
              </w:rPr>
              <w:tab/>
            </w:r>
            <w:r>
              <w:rPr>
                <w:noProof/>
                <w:webHidden/>
              </w:rPr>
              <w:fldChar w:fldCharType="begin"/>
            </w:r>
            <w:r>
              <w:rPr>
                <w:noProof/>
                <w:webHidden/>
              </w:rPr>
              <w:instrText xml:space="preserve"> PAGEREF _Toc220489889 \h </w:instrText>
            </w:r>
            <w:r>
              <w:rPr>
                <w:noProof/>
                <w:webHidden/>
              </w:rPr>
            </w:r>
            <w:r>
              <w:rPr>
                <w:noProof/>
                <w:webHidden/>
              </w:rPr>
              <w:fldChar w:fldCharType="separate"/>
            </w:r>
            <w:r>
              <w:rPr>
                <w:noProof/>
                <w:webHidden/>
              </w:rPr>
              <w:t>185</w:t>
            </w:r>
            <w:r>
              <w:rPr>
                <w:noProof/>
                <w:webHidden/>
              </w:rPr>
              <w:fldChar w:fldCharType="end"/>
            </w:r>
          </w:hyperlink>
        </w:p>
        <w:p w14:paraId="23D0B1F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90" w:history="1">
            <w:r w:rsidRPr="000D551A">
              <w:rPr>
                <w:rStyle w:val="Lienhypertexte"/>
                <w:noProof/>
              </w:rPr>
              <w:t>41.32.1b Portes de garage à usage collectif basculantes en aluminium</w:t>
            </w:r>
            <w:r>
              <w:rPr>
                <w:noProof/>
                <w:webHidden/>
              </w:rPr>
              <w:tab/>
            </w:r>
            <w:r>
              <w:rPr>
                <w:noProof/>
                <w:webHidden/>
              </w:rPr>
              <w:fldChar w:fldCharType="begin"/>
            </w:r>
            <w:r>
              <w:rPr>
                <w:noProof/>
                <w:webHidden/>
              </w:rPr>
              <w:instrText xml:space="preserve"> PAGEREF _Toc220489890 \h </w:instrText>
            </w:r>
            <w:r>
              <w:rPr>
                <w:noProof/>
                <w:webHidden/>
              </w:rPr>
            </w:r>
            <w:r>
              <w:rPr>
                <w:noProof/>
                <w:webHidden/>
              </w:rPr>
              <w:fldChar w:fldCharType="separate"/>
            </w:r>
            <w:r>
              <w:rPr>
                <w:noProof/>
                <w:webHidden/>
              </w:rPr>
              <w:t>186</w:t>
            </w:r>
            <w:r>
              <w:rPr>
                <w:noProof/>
                <w:webHidden/>
              </w:rPr>
              <w:fldChar w:fldCharType="end"/>
            </w:r>
          </w:hyperlink>
        </w:p>
        <w:p w14:paraId="1848179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91" w:history="1">
            <w:r w:rsidRPr="000D551A">
              <w:rPr>
                <w:rStyle w:val="Lienhypertexte"/>
                <w:noProof/>
              </w:rPr>
              <w:t>41.32.1c Portes de garage à usage collectif basculantes en acier CCTB 01.11</w:t>
            </w:r>
            <w:r>
              <w:rPr>
                <w:noProof/>
                <w:webHidden/>
              </w:rPr>
              <w:tab/>
            </w:r>
            <w:r>
              <w:rPr>
                <w:noProof/>
                <w:webHidden/>
              </w:rPr>
              <w:fldChar w:fldCharType="begin"/>
            </w:r>
            <w:r>
              <w:rPr>
                <w:noProof/>
                <w:webHidden/>
              </w:rPr>
              <w:instrText xml:space="preserve"> PAGEREF _Toc220489891 \h </w:instrText>
            </w:r>
            <w:r>
              <w:rPr>
                <w:noProof/>
                <w:webHidden/>
              </w:rPr>
            </w:r>
            <w:r>
              <w:rPr>
                <w:noProof/>
                <w:webHidden/>
              </w:rPr>
              <w:fldChar w:fldCharType="separate"/>
            </w:r>
            <w:r>
              <w:rPr>
                <w:noProof/>
                <w:webHidden/>
              </w:rPr>
              <w:t>186</w:t>
            </w:r>
            <w:r>
              <w:rPr>
                <w:noProof/>
                <w:webHidden/>
              </w:rPr>
              <w:fldChar w:fldCharType="end"/>
            </w:r>
          </w:hyperlink>
        </w:p>
        <w:p w14:paraId="20BEC0E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92" w:history="1">
            <w:r w:rsidRPr="000D551A">
              <w:rPr>
                <w:rStyle w:val="Lienhypertexte"/>
                <w:noProof/>
              </w:rPr>
              <w:t>41.32.1d Portes de garage à usage collectif basculantes en PVC</w:t>
            </w:r>
            <w:r>
              <w:rPr>
                <w:noProof/>
                <w:webHidden/>
              </w:rPr>
              <w:tab/>
            </w:r>
            <w:r>
              <w:rPr>
                <w:noProof/>
                <w:webHidden/>
              </w:rPr>
              <w:fldChar w:fldCharType="begin"/>
            </w:r>
            <w:r>
              <w:rPr>
                <w:noProof/>
                <w:webHidden/>
              </w:rPr>
              <w:instrText xml:space="preserve"> PAGEREF _Toc220489892 \h </w:instrText>
            </w:r>
            <w:r>
              <w:rPr>
                <w:noProof/>
                <w:webHidden/>
              </w:rPr>
            </w:r>
            <w:r>
              <w:rPr>
                <w:noProof/>
                <w:webHidden/>
              </w:rPr>
              <w:fldChar w:fldCharType="separate"/>
            </w:r>
            <w:r>
              <w:rPr>
                <w:noProof/>
                <w:webHidden/>
              </w:rPr>
              <w:t>186</w:t>
            </w:r>
            <w:r>
              <w:rPr>
                <w:noProof/>
                <w:webHidden/>
              </w:rPr>
              <w:fldChar w:fldCharType="end"/>
            </w:r>
          </w:hyperlink>
        </w:p>
        <w:p w14:paraId="50FC595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93" w:history="1">
            <w:r w:rsidRPr="000D551A">
              <w:rPr>
                <w:rStyle w:val="Lienhypertexte"/>
                <w:noProof/>
              </w:rPr>
              <w:t>41.32.1e Portes de garage à usage collectif basculantes en verre</w:t>
            </w:r>
            <w:r>
              <w:rPr>
                <w:noProof/>
                <w:webHidden/>
              </w:rPr>
              <w:tab/>
            </w:r>
            <w:r>
              <w:rPr>
                <w:noProof/>
                <w:webHidden/>
              </w:rPr>
              <w:fldChar w:fldCharType="begin"/>
            </w:r>
            <w:r>
              <w:rPr>
                <w:noProof/>
                <w:webHidden/>
              </w:rPr>
              <w:instrText xml:space="preserve"> PAGEREF _Toc220489893 \h </w:instrText>
            </w:r>
            <w:r>
              <w:rPr>
                <w:noProof/>
                <w:webHidden/>
              </w:rPr>
            </w:r>
            <w:r>
              <w:rPr>
                <w:noProof/>
                <w:webHidden/>
              </w:rPr>
              <w:fldChar w:fldCharType="separate"/>
            </w:r>
            <w:r>
              <w:rPr>
                <w:noProof/>
                <w:webHidden/>
              </w:rPr>
              <w:t>186</w:t>
            </w:r>
            <w:r>
              <w:rPr>
                <w:noProof/>
                <w:webHidden/>
              </w:rPr>
              <w:fldChar w:fldCharType="end"/>
            </w:r>
          </w:hyperlink>
        </w:p>
        <w:p w14:paraId="7BFB5B5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94" w:history="1">
            <w:r w:rsidRPr="000D551A">
              <w:rPr>
                <w:rStyle w:val="Lienhypertexte"/>
                <w:noProof/>
              </w:rPr>
              <w:t>41.32.1f Portes de garage à usage collectif basculantes en matériaux composites</w:t>
            </w:r>
            <w:r>
              <w:rPr>
                <w:noProof/>
                <w:webHidden/>
              </w:rPr>
              <w:tab/>
            </w:r>
            <w:r>
              <w:rPr>
                <w:noProof/>
                <w:webHidden/>
              </w:rPr>
              <w:fldChar w:fldCharType="begin"/>
            </w:r>
            <w:r>
              <w:rPr>
                <w:noProof/>
                <w:webHidden/>
              </w:rPr>
              <w:instrText xml:space="preserve"> PAGEREF _Toc220489894 \h </w:instrText>
            </w:r>
            <w:r>
              <w:rPr>
                <w:noProof/>
                <w:webHidden/>
              </w:rPr>
            </w:r>
            <w:r>
              <w:rPr>
                <w:noProof/>
                <w:webHidden/>
              </w:rPr>
              <w:fldChar w:fldCharType="separate"/>
            </w:r>
            <w:r>
              <w:rPr>
                <w:noProof/>
                <w:webHidden/>
              </w:rPr>
              <w:t>186</w:t>
            </w:r>
            <w:r>
              <w:rPr>
                <w:noProof/>
                <w:webHidden/>
              </w:rPr>
              <w:fldChar w:fldCharType="end"/>
            </w:r>
          </w:hyperlink>
        </w:p>
        <w:p w14:paraId="74ED0CB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895" w:history="1">
            <w:r w:rsidRPr="000D551A">
              <w:rPr>
                <w:rStyle w:val="Lienhypertexte"/>
                <w:noProof/>
              </w:rPr>
              <w:t>41.32.2 Portes de garage à usage collectif sectionnelles CCTB 01.11</w:t>
            </w:r>
            <w:r>
              <w:rPr>
                <w:noProof/>
                <w:webHidden/>
              </w:rPr>
              <w:tab/>
            </w:r>
            <w:r>
              <w:rPr>
                <w:noProof/>
                <w:webHidden/>
              </w:rPr>
              <w:fldChar w:fldCharType="begin"/>
            </w:r>
            <w:r>
              <w:rPr>
                <w:noProof/>
                <w:webHidden/>
              </w:rPr>
              <w:instrText xml:space="preserve"> PAGEREF _Toc220489895 \h </w:instrText>
            </w:r>
            <w:r>
              <w:rPr>
                <w:noProof/>
                <w:webHidden/>
              </w:rPr>
            </w:r>
            <w:r>
              <w:rPr>
                <w:noProof/>
                <w:webHidden/>
              </w:rPr>
              <w:fldChar w:fldCharType="separate"/>
            </w:r>
            <w:r>
              <w:rPr>
                <w:noProof/>
                <w:webHidden/>
              </w:rPr>
              <w:t>187</w:t>
            </w:r>
            <w:r>
              <w:rPr>
                <w:noProof/>
                <w:webHidden/>
              </w:rPr>
              <w:fldChar w:fldCharType="end"/>
            </w:r>
          </w:hyperlink>
        </w:p>
        <w:p w14:paraId="450D0A1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96" w:history="1">
            <w:r w:rsidRPr="000D551A">
              <w:rPr>
                <w:rStyle w:val="Lienhypertexte"/>
                <w:noProof/>
              </w:rPr>
              <w:t>41.32.2a Portes de garage à usage collectif sectionnelles en bois</w:t>
            </w:r>
            <w:r>
              <w:rPr>
                <w:noProof/>
                <w:webHidden/>
              </w:rPr>
              <w:tab/>
            </w:r>
            <w:r>
              <w:rPr>
                <w:noProof/>
                <w:webHidden/>
              </w:rPr>
              <w:fldChar w:fldCharType="begin"/>
            </w:r>
            <w:r>
              <w:rPr>
                <w:noProof/>
                <w:webHidden/>
              </w:rPr>
              <w:instrText xml:space="preserve"> PAGEREF _Toc220489896 \h </w:instrText>
            </w:r>
            <w:r>
              <w:rPr>
                <w:noProof/>
                <w:webHidden/>
              </w:rPr>
            </w:r>
            <w:r>
              <w:rPr>
                <w:noProof/>
                <w:webHidden/>
              </w:rPr>
              <w:fldChar w:fldCharType="separate"/>
            </w:r>
            <w:r>
              <w:rPr>
                <w:noProof/>
                <w:webHidden/>
              </w:rPr>
              <w:t>188</w:t>
            </w:r>
            <w:r>
              <w:rPr>
                <w:noProof/>
                <w:webHidden/>
              </w:rPr>
              <w:fldChar w:fldCharType="end"/>
            </w:r>
          </w:hyperlink>
        </w:p>
        <w:p w14:paraId="2047FC5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97" w:history="1">
            <w:r w:rsidRPr="000D551A">
              <w:rPr>
                <w:rStyle w:val="Lienhypertexte"/>
                <w:noProof/>
              </w:rPr>
              <w:t>41.32.2b Portes de garage à usage collectif sectionnelles en aluminium</w:t>
            </w:r>
            <w:r>
              <w:rPr>
                <w:noProof/>
                <w:webHidden/>
              </w:rPr>
              <w:tab/>
            </w:r>
            <w:r>
              <w:rPr>
                <w:noProof/>
                <w:webHidden/>
              </w:rPr>
              <w:fldChar w:fldCharType="begin"/>
            </w:r>
            <w:r>
              <w:rPr>
                <w:noProof/>
                <w:webHidden/>
              </w:rPr>
              <w:instrText xml:space="preserve"> PAGEREF _Toc220489897 \h </w:instrText>
            </w:r>
            <w:r>
              <w:rPr>
                <w:noProof/>
                <w:webHidden/>
              </w:rPr>
            </w:r>
            <w:r>
              <w:rPr>
                <w:noProof/>
                <w:webHidden/>
              </w:rPr>
              <w:fldChar w:fldCharType="separate"/>
            </w:r>
            <w:r>
              <w:rPr>
                <w:noProof/>
                <w:webHidden/>
              </w:rPr>
              <w:t>188</w:t>
            </w:r>
            <w:r>
              <w:rPr>
                <w:noProof/>
                <w:webHidden/>
              </w:rPr>
              <w:fldChar w:fldCharType="end"/>
            </w:r>
          </w:hyperlink>
        </w:p>
        <w:p w14:paraId="04A7E74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98" w:history="1">
            <w:r w:rsidRPr="000D551A">
              <w:rPr>
                <w:rStyle w:val="Lienhypertexte"/>
                <w:noProof/>
              </w:rPr>
              <w:t>41.32.2c Portes de garage à usage collectif sectionnelles en acier CCTB 01.10</w:t>
            </w:r>
            <w:r>
              <w:rPr>
                <w:noProof/>
                <w:webHidden/>
              </w:rPr>
              <w:tab/>
            </w:r>
            <w:r>
              <w:rPr>
                <w:noProof/>
                <w:webHidden/>
              </w:rPr>
              <w:fldChar w:fldCharType="begin"/>
            </w:r>
            <w:r>
              <w:rPr>
                <w:noProof/>
                <w:webHidden/>
              </w:rPr>
              <w:instrText xml:space="preserve"> PAGEREF _Toc220489898 \h </w:instrText>
            </w:r>
            <w:r>
              <w:rPr>
                <w:noProof/>
                <w:webHidden/>
              </w:rPr>
            </w:r>
            <w:r>
              <w:rPr>
                <w:noProof/>
                <w:webHidden/>
              </w:rPr>
              <w:fldChar w:fldCharType="separate"/>
            </w:r>
            <w:r>
              <w:rPr>
                <w:noProof/>
                <w:webHidden/>
              </w:rPr>
              <w:t>188</w:t>
            </w:r>
            <w:r>
              <w:rPr>
                <w:noProof/>
                <w:webHidden/>
              </w:rPr>
              <w:fldChar w:fldCharType="end"/>
            </w:r>
          </w:hyperlink>
        </w:p>
        <w:p w14:paraId="3861451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899" w:history="1">
            <w:r w:rsidRPr="000D551A">
              <w:rPr>
                <w:rStyle w:val="Lienhypertexte"/>
                <w:noProof/>
              </w:rPr>
              <w:t>41.32.2d Portes de garage à usage collectif sectionnelles en PVC</w:t>
            </w:r>
            <w:r>
              <w:rPr>
                <w:noProof/>
                <w:webHidden/>
              </w:rPr>
              <w:tab/>
            </w:r>
            <w:r>
              <w:rPr>
                <w:noProof/>
                <w:webHidden/>
              </w:rPr>
              <w:fldChar w:fldCharType="begin"/>
            </w:r>
            <w:r>
              <w:rPr>
                <w:noProof/>
                <w:webHidden/>
              </w:rPr>
              <w:instrText xml:space="preserve"> PAGEREF _Toc220489899 \h </w:instrText>
            </w:r>
            <w:r>
              <w:rPr>
                <w:noProof/>
                <w:webHidden/>
              </w:rPr>
            </w:r>
            <w:r>
              <w:rPr>
                <w:noProof/>
                <w:webHidden/>
              </w:rPr>
              <w:fldChar w:fldCharType="separate"/>
            </w:r>
            <w:r>
              <w:rPr>
                <w:noProof/>
                <w:webHidden/>
              </w:rPr>
              <w:t>189</w:t>
            </w:r>
            <w:r>
              <w:rPr>
                <w:noProof/>
                <w:webHidden/>
              </w:rPr>
              <w:fldChar w:fldCharType="end"/>
            </w:r>
          </w:hyperlink>
        </w:p>
        <w:p w14:paraId="06A3A40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00" w:history="1">
            <w:r w:rsidRPr="000D551A">
              <w:rPr>
                <w:rStyle w:val="Lienhypertexte"/>
                <w:noProof/>
              </w:rPr>
              <w:t>41.32.2e Portes de garage à usage collectif sectionnelles en verre</w:t>
            </w:r>
            <w:r>
              <w:rPr>
                <w:noProof/>
                <w:webHidden/>
              </w:rPr>
              <w:tab/>
            </w:r>
            <w:r>
              <w:rPr>
                <w:noProof/>
                <w:webHidden/>
              </w:rPr>
              <w:fldChar w:fldCharType="begin"/>
            </w:r>
            <w:r>
              <w:rPr>
                <w:noProof/>
                <w:webHidden/>
              </w:rPr>
              <w:instrText xml:space="preserve"> PAGEREF _Toc220489900 \h </w:instrText>
            </w:r>
            <w:r>
              <w:rPr>
                <w:noProof/>
                <w:webHidden/>
              </w:rPr>
            </w:r>
            <w:r>
              <w:rPr>
                <w:noProof/>
                <w:webHidden/>
              </w:rPr>
              <w:fldChar w:fldCharType="separate"/>
            </w:r>
            <w:r>
              <w:rPr>
                <w:noProof/>
                <w:webHidden/>
              </w:rPr>
              <w:t>189</w:t>
            </w:r>
            <w:r>
              <w:rPr>
                <w:noProof/>
                <w:webHidden/>
              </w:rPr>
              <w:fldChar w:fldCharType="end"/>
            </w:r>
          </w:hyperlink>
        </w:p>
        <w:p w14:paraId="4ED9386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01" w:history="1">
            <w:r w:rsidRPr="000D551A">
              <w:rPr>
                <w:rStyle w:val="Lienhypertexte"/>
                <w:noProof/>
              </w:rPr>
              <w:t>41.32.2f Portes de garage à usage collectif sectionnelles en matériaux composites CCTB 01.13</w:t>
            </w:r>
            <w:r>
              <w:rPr>
                <w:noProof/>
                <w:webHidden/>
              </w:rPr>
              <w:tab/>
            </w:r>
            <w:r>
              <w:rPr>
                <w:noProof/>
                <w:webHidden/>
              </w:rPr>
              <w:fldChar w:fldCharType="begin"/>
            </w:r>
            <w:r>
              <w:rPr>
                <w:noProof/>
                <w:webHidden/>
              </w:rPr>
              <w:instrText xml:space="preserve"> PAGEREF _Toc220489901 \h </w:instrText>
            </w:r>
            <w:r>
              <w:rPr>
                <w:noProof/>
                <w:webHidden/>
              </w:rPr>
            </w:r>
            <w:r>
              <w:rPr>
                <w:noProof/>
                <w:webHidden/>
              </w:rPr>
              <w:fldChar w:fldCharType="separate"/>
            </w:r>
            <w:r>
              <w:rPr>
                <w:noProof/>
                <w:webHidden/>
              </w:rPr>
              <w:t>189</w:t>
            </w:r>
            <w:r>
              <w:rPr>
                <w:noProof/>
                <w:webHidden/>
              </w:rPr>
              <w:fldChar w:fldCharType="end"/>
            </w:r>
          </w:hyperlink>
        </w:p>
        <w:p w14:paraId="7E558B4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02" w:history="1">
            <w:r w:rsidRPr="000D551A">
              <w:rPr>
                <w:rStyle w:val="Lienhypertexte"/>
                <w:noProof/>
              </w:rPr>
              <w:t>41.32.3 Portes de garage à usage collectif coulissantes CCTB 01.02</w:t>
            </w:r>
            <w:r>
              <w:rPr>
                <w:noProof/>
                <w:webHidden/>
              </w:rPr>
              <w:tab/>
            </w:r>
            <w:r>
              <w:rPr>
                <w:noProof/>
                <w:webHidden/>
              </w:rPr>
              <w:fldChar w:fldCharType="begin"/>
            </w:r>
            <w:r>
              <w:rPr>
                <w:noProof/>
                <w:webHidden/>
              </w:rPr>
              <w:instrText xml:space="preserve"> PAGEREF _Toc220489902 \h </w:instrText>
            </w:r>
            <w:r>
              <w:rPr>
                <w:noProof/>
                <w:webHidden/>
              </w:rPr>
            </w:r>
            <w:r>
              <w:rPr>
                <w:noProof/>
                <w:webHidden/>
              </w:rPr>
              <w:fldChar w:fldCharType="separate"/>
            </w:r>
            <w:r>
              <w:rPr>
                <w:noProof/>
                <w:webHidden/>
              </w:rPr>
              <w:t>194</w:t>
            </w:r>
            <w:r>
              <w:rPr>
                <w:noProof/>
                <w:webHidden/>
              </w:rPr>
              <w:fldChar w:fldCharType="end"/>
            </w:r>
          </w:hyperlink>
        </w:p>
        <w:p w14:paraId="32CDF88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03" w:history="1">
            <w:r w:rsidRPr="000D551A">
              <w:rPr>
                <w:rStyle w:val="Lienhypertexte"/>
                <w:noProof/>
              </w:rPr>
              <w:t>41.32.3a Portes de garage à usage collectif coulissantes en bois</w:t>
            </w:r>
            <w:r>
              <w:rPr>
                <w:noProof/>
                <w:webHidden/>
              </w:rPr>
              <w:tab/>
            </w:r>
            <w:r>
              <w:rPr>
                <w:noProof/>
                <w:webHidden/>
              </w:rPr>
              <w:fldChar w:fldCharType="begin"/>
            </w:r>
            <w:r>
              <w:rPr>
                <w:noProof/>
                <w:webHidden/>
              </w:rPr>
              <w:instrText xml:space="preserve"> PAGEREF _Toc220489903 \h </w:instrText>
            </w:r>
            <w:r>
              <w:rPr>
                <w:noProof/>
                <w:webHidden/>
              </w:rPr>
            </w:r>
            <w:r>
              <w:rPr>
                <w:noProof/>
                <w:webHidden/>
              </w:rPr>
              <w:fldChar w:fldCharType="separate"/>
            </w:r>
            <w:r>
              <w:rPr>
                <w:noProof/>
                <w:webHidden/>
              </w:rPr>
              <w:t>194</w:t>
            </w:r>
            <w:r>
              <w:rPr>
                <w:noProof/>
                <w:webHidden/>
              </w:rPr>
              <w:fldChar w:fldCharType="end"/>
            </w:r>
          </w:hyperlink>
        </w:p>
        <w:p w14:paraId="22C4B1C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04" w:history="1">
            <w:r w:rsidRPr="000D551A">
              <w:rPr>
                <w:rStyle w:val="Lienhypertexte"/>
                <w:noProof/>
              </w:rPr>
              <w:t>41.32.3b Portes de garage à usage collectif coulissantes en aluminium</w:t>
            </w:r>
            <w:r>
              <w:rPr>
                <w:noProof/>
                <w:webHidden/>
              </w:rPr>
              <w:tab/>
            </w:r>
            <w:r>
              <w:rPr>
                <w:noProof/>
                <w:webHidden/>
              </w:rPr>
              <w:fldChar w:fldCharType="begin"/>
            </w:r>
            <w:r>
              <w:rPr>
                <w:noProof/>
                <w:webHidden/>
              </w:rPr>
              <w:instrText xml:space="preserve"> PAGEREF _Toc220489904 \h </w:instrText>
            </w:r>
            <w:r>
              <w:rPr>
                <w:noProof/>
                <w:webHidden/>
              </w:rPr>
            </w:r>
            <w:r>
              <w:rPr>
                <w:noProof/>
                <w:webHidden/>
              </w:rPr>
              <w:fldChar w:fldCharType="separate"/>
            </w:r>
            <w:r>
              <w:rPr>
                <w:noProof/>
                <w:webHidden/>
              </w:rPr>
              <w:t>194</w:t>
            </w:r>
            <w:r>
              <w:rPr>
                <w:noProof/>
                <w:webHidden/>
              </w:rPr>
              <w:fldChar w:fldCharType="end"/>
            </w:r>
          </w:hyperlink>
        </w:p>
        <w:p w14:paraId="6EE6065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05" w:history="1">
            <w:r w:rsidRPr="000D551A">
              <w:rPr>
                <w:rStyle w:val="Lienhypertexte"/>
                <w:noProof/>
              </w:rPr>
              <w:t>41.32.3c Portes de garage à usage collectif coulissantes en acier</w:t>
            </w:r>
            <w:r>
              <w:rPr>
                <w:noProof/>
                <w:webHidden/>
              </w:rPr>
              <w:tab/>
            </w:r>
            <w:r>
              <w:rPr>
                <w:noProof/>
                <w:webHidden/>
              </w:rPr>
              <w:fldChar w:fldCharType="begin"/>
            </w:r>
            <w:r>
              <w:rPr>
                <w:noProof/>
                <w:webHidden/>
              </w:rPr>
              <w:instrText xml:space="preserve"> PAGEREF _Toc220489905 \h </w:instrText>
            </w:r>
            <w:r>
              <w:rPr>
                <w:noProof/>
                <w:webHidden/>
              </w:rPr>
            </w:r>
            <w:r>
              <w:rPr>
                <w:noProof/>
                <w:webHidden/>
              </w:rPr>
              <w:fldChar w:fldCharType="separate"/>
            </w:r>
            <w:r>
              <w:rPr>
                <w:noProof/>
                <w:webHidden/>
              </w:rPr>
              <w:t>194</w:t>
            </w:r>
            <w:r>
              <w:rPr>
                <w:noProof/>
                <w:webHidden/>
              </w:rPr>
              <w:fldChar w:fldCharType="end"/>
            </w:r>
          </w:hyperlink>
        </w:p>
        <w:p w14:paraId="098E6E5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06" w:history="1">
            <w:r w:rsidRPr="000D551A">
              <w:rPr>
                <w:rStyle w:val="Lienhypertexte"/>
                <w:noProof/>
              </w:rPr>
              <w:t>41.32.3d Portes de garage à usage collectif coulissantes en PVC</w:t>
            </w:r>
            <w:r>
              <w:rPr>
                <w:noProof/>
                <w:webHidden/>
              </w:rPr>
              <w:tab/>
            </w:r>
            <w:r>
              <w:rPr>
                <w:noProof/>
                <w:webHidden/>
              </w:rPr>
              <w:fldChar w:fldCharType="begin"/>
            </w:r>
            <w:r>
              <w:rPr>
                <w:noProof/>
                <w:webHidden/>
              </w:rPr>
              <w:instrText xml:space="preserve"> PAGEREF _Toc220489906 \h </w:instrText>
            </w:r>
            <w:r>
              <w:rPr>
                <w:noProof/>
                <w:webHidden/>
              </w:rPr>
            </w:r>
            <w:r>
              <w:rPr>
                <w:noProof/>
                <w:webHidden/>
              </w:rPr>
              <w:fldChar w:fldCharType="separate"/>
            </w:r>
            <w:r>
              <w:rPr>
                <w:noProof/>
                <w:webHidden/>
              </w:rPr>
              <w:t>195</w:t>
            </w:r>
            <w:r>
              <w:rPr>
                <w:noProof/>
                <w:webHidden/>
              </w:rPr>
              <w:fldChar w:fldCharType="end"/>
            </w:r>
          </w:hyperlink>
        </w:p>
        <w:p w14:paraId="382C73C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07" w:history="1">
            <w:r w:rsidRPr="000D551A">
              <w:rPr>
                <w:rStyle w:val="Lienhypertexte"/>
                <w:noProof/>
              </w:rPr>
              <w:t>41.32.3e Portes de garage à usage collectif coulissantes en verre</w:t>
            </w:r>
            <w:r>
              <w:rPr>
                <w:noProof/>
                <w:webHidden/>
              </w:rPr>
              <w:tab/>
            </w:r>
            <w:r>
              <w:rPr>
                <w:noProof/>
                <w:webHidden/>
              </w:rPr>
              <w:fldChar w:fldCharType="begin"/>
            </w:r>
            <w:r>
              <w:rPr>
                <w:noProof/>
                <w:webHidden/>
              </w:rPr>
              <w:instrText xml:space="preserve"> PAGEREF _Toc220489907 \h </w:instrText>
            </w:r>
            <w:r>
              <w:rPr>
                <w:noProof/>
                <w:webHidden/>
              </w:rPr>
            </w:r>
            <w:r>
              <w:rPr>
                <w:noProof/>
                <w:webHidden/>
              </w:rPr>
              <w:fldChar w:fldCharType="separate"/>
            </w:r>
            <w:r>
              <w:rPr>
                <w:noProof/>
                <w:webHidden/>
              </w:rPr>
              <w:t>195</w:t>
            </w:r>
            <w:r>
              <w:rPr>
                <w:noProof/>
                <w:webHidden/>
              </w:rPr>
              <w:fldChar w:fldCharType="end"/>
            </w:r>
          </w:hyperlink>
        </w:p>
        <w:p w14:paraId="1C6331A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08" w:history="1">
            <w:r w:rsidRPr="000D551A">
              <w:rPr>
                <w:rStyle w:val="Lienhypertexte"/>
                <w:noProof/>
              </w:rPr>
              <w:t>41.32.3f Portes de garage à usage collectif coulissantes en matériaux composites</w:t>
            </w:r>
            <w:r>
              <w:rPr>
                <w:noProof/>
                <w:webHidden/>
              </w:rPr>
              <w:tab/>
            </w:r>
            <w:r>
              <w:rPr>
                <w:noProof/>
                <w:webHidden/>
              </w:rPr>
              <w:fldChar w:fldCharType="begin"/>
            </w:r>
            <w:r>
              <w:rPr>
                <w:noProof/>
                <w:webHidden/>
              </w:rPr>
              <w:instrText xml:space="preserve"> PAGEREF _Toc220489908 \h </w:instrText>
            </w:r>
            <w:r>
              <w:rPr>
                <w:noProof/>
                <w:webHidden/>
              </w:rPr>
            </w:r>
            <w:r>
              <w:rPr>
                <w:noProof/>
                <w:webHidden/>
              </w:rPr>
              <w:fldChar w:fldCharType="separate"/>
            </w:r>
            <w:r>
              <w:rPr>
                <w:noProof/>
                <w:webHidden/>
              </w:rPr>
              <w:t>195</w:t>
            </w:r>
            <w:r>
              <w:rPr>
                <w:noProof/>
                <w:webHidden/>
              </w:rPr>
              <w:fldChar w:fldCharType="end"/>
            </w:r>
          </w:hyperlink>
        </w:p>
        <w:p w14:paraId="24758826"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09" w:history="1">
            <w:r w:rsidRPr="000D551A">
              <w:rPr>
                <w:rStyle w:val="Lienhypertexte"/>
                <w:noProof/>
              </w:rPr>
              <w:t>41.32.4 Portes de garage à usage collectif accordéon CCTB 01.02</w:t>
            </w:r>
            <w:r>
              <w:rPr>
                <w:noProof/>
                <w:webHidden/>
              </w:rPr>
              <w:tab/>
            </w:r>
            <w:r>
              <w:rPr>
                <w:noProof/>
                <w:webHidden/>
              </w:rPr>
              <w:fldChar w:fldCharType="begin"/>
            </w:r>
            <w:r>
              <w:rPr>
                <w:noProof/>
                <w:webHidden/>
              </w:rPr>
              <w:instrText xml:space="preserve"> PAGEREF _Toc220489909 \h </w:instrText>
            </w:r>
            <w:r>
              <w:rPr>
                <w:noProof/>
                <w:webHidden/>
              </w:rPr>
            </w:r>
            <w:r>
              <w:rPr>
                <w:noProof/>
                <w:webHidden/>
              </w:rPr>
              <w:fldChar w:fldCharType="separate"/>
            </w:r>
            <w:r>
              <w:rPr>
                <w:noProof/>
                <w:webHidden/>
              </w:rPr>
              <w:t>195</w:t>
            </w:r>
            <w:r>
              <w:rPr>
                <w:noProof/>
                <w:webHidden/>
              </w:rPr>
              <w:fldChar w:fldCharType="end"/>
            </w:r>
          </w:hyperlink>
        </w:p>
        <w:p w14:paraId="4BF4EC8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10" w:history="1">
            <w:r w:rsidRPr="000D551A">
              <w:rPr>
                <w:rStyle w:val="Lienhypertexte"/>
                <w:noProof/>
              </w:rPr>
              <w:t>41.32.4a Portes de garage à usage collectif accordéon en bois</w:t>
            </w:r>
            <w:r>
              <w:rPr>
                <w:noProof/>
                <w:webHidden/>
              </w:rPr>
              <w:tab/>
            </w:r>
            <w:r>
              <w:rPr>
                <w:noProof/>
                <w:webHidden/>
              </w:rPr>
              <w:fldChar w:fldCharType="begin"/>
            </w:r>
            <w:r>
              <w:rPr>
                <w:noProof/>
                <w:webHidden/>
              </w:rPr>
              <w:instrText xml:space="preserve"> PAGEREF _Toc220489910 \h </w:instrText>
            </w:r>
            <w:r>
              <w:rPr>
                <w:noProof/>
                <w:webHidden/>
              </w:rPr>
            </w:r>
            <w:r>
              <w:rPr>
                <w:noProof/>
                <w:webHidden/>
              </w:rPr>
              <w:fldChar w:fldCharType="separate"/>
            </w:r>
            <w:r>
              <w:rPr>
                <w:noProof/>
                <w:webHidden/>
              </w:rPr>
              <w:t>195</w:t>
            </w:r>
            <w:r>
              <w:rPr>
                <w:noProof/>
                <w:webHidden/>
              </w:rPr>
              <w:fldChar w:fldCharType="end"/>
            </w:r>
          </w:hyperlink>
        </w:p>
        <w:p w14:paraId="0E22BEE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11" w:history="1">
            <w:r w:rsidRPr="000D551A">
              <w:rPr>
                <w:rStyle w:val="Lienhypertexte"/>
                <w:noProof/>
              </w:rPr>
              <w:t>41.32.4b Portes de garage à usage collectif accordéon en aluminium</w:t>
            </w:r>
            <w:r>
              <w:rPr>
                <w:noProof/>
                <w:webHidden/>
              </w:rPr>
              <w:tab/>
            </w:r>
            <w:r>
              <w:rPr>
                <w:noProof/>
                <w:webHidden/>
              </w:rPr>
              <w:fldChar w:fldCharType="begin"/>
            </w:r>
            <w:r>
              <w:rPr>
                <w:noProof/>
                <w:webHidden/>
              </w:rPr>
              <w:instrText xml:space="preserve"> PAGEREF _Toc220489911 \h </w:instrText>
            </w:r>
            <w:r>
              <w:rPr>
                <w:noProof/>
                <w:webHidden/>
              </w:rPr>
            </w:r>
            <w:r>
              <w:rPr>
                <w:noProof/>
                <w:webHidden/>
              </w:rPr>
              <w:fldChar w:fldCharType="separate"/>
            </w:r>
            <w:r>
              <w:rPr>
                <w:noProof/>
                <w:webHidden/>
              </w:rPr>
              <w:t>195</w:t>
            </w:r>
            <w:r>
              <w:rPr>
                <w:noProof/>
                <w:webHidden/>
              </w:rPr>
              <w:fldChar w:fldCharType="end"/>
            </w:r>
          </w:hyperlink>
        </w:p>
        <w:p w14:paraId="66025EC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12" w:history="1">
            <w:r w:rsidRPr="000D551A">
              <w:rPr>
                <w:rStyle w:val="Lienhypertexte"/>
                <w:noProof/>
              </w:rPr>
              <w:t>41.32.4c Portes de garage à usage collectif accordéon en acier</w:t>
            </w:r>
            <w:r>
              <w:rPr>
                <w:noProof/>
                <w:webHidden/>
              </w:rPr>
              <w:tab/>
            </w:r>
            <w:r>
              <w:rPr>
                <w:noProof/>
                <w:webHidden/>
              </w:rPr>
              <w:fldChar w:fldCharType="begin"/>
            </w:r>
            <w:r>
              <w:rPr>
                <w:noProof/>
                <w:webHidden/>
              </w:rPr>
              <w:instrText xml:space="preserve"> PAGEREF _Toc220489912 \h </w:instrText>
            </w:r>
            <w:r>
              <w:rPr>
                <w:noProof/>
                <w:webHidden/>
              </w:rPr>
            </w:r>
            <w:r>
              <w:rPr>
                <w:noProof/>
                <w:webHidden/>
              </w:rPr>
              <w:fldChar w:fldCharType="separate"/>
            </w:r>
            <w:r>
              <w:rPr>
                <w:noProof/>
                <w:webHidden/>
              </w:rPr>
              <w:t>195</w:t>
            </w:r>
            <w:r>
              <w:rPr>
                <w:noProof/>
                <w:webHidden/>
              </w:rPr>
              <w:fldChar w:fldCharType="end"/>
            </w:r>
          </w:hyperlink>
        </w:p>
        <w:p w14:paraId="03FC229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13" w:history="1">
            <w:r w:rsidRPr="000D551A">
              <w:rPr>
                <w:rStyle w:val="Lienhypertexte"/>
                <w:noProof/>
              </w:rPr>
              <w:t>41.32.4d Portes de garage à usage collectif accordéon en PVC</w:t>
            </w:r>
            <w:r>
              <w:rPr>
                <w:noProof/>
                <w:webHidden/>
              </w:rPr>
              <w:tab/>
            </w:r>
            <w:r>
              <w:rPr>
                <w:noProof/>
                <w:webHidden/>
              </w:rPr>
              <w:fldChar w:fldCharType="begin"/>
            </w:r>
            <w:r>
              <w:rPr>
                <w:noProof/>
                <w:webHidden/>
              </w:rPr>
              <w:instrText xml:space="preserve"> PAGEREF _Toc220489913 \h </w:instrText>
            </w:r>
            <w:r>
              <w:rPr>
                <w:noProof/>
                <w:webHidden/>
              </w:rPr>
            </w:r>
            <w:r>
              <w:rPr>
                <w:noProof/>
                <w:webHidden/>
              </w:rPr>
              <w:fldChar w:fldCharType="separate"/>
            </w:r>
            <w:r>
              <w:rPr>
                <w:noProof/>
                <w:webHidden/>
              </w:rPr>
              <w:t>195</w:t>
            </w:r>
            <w:r>
              <w:rPr>
                <w:noProof/>
                <w:webHidden/>
              </w:rPr>
              <w:fldChar w:fldCharType="end"/>
            </w:r>
          </w:hyperlink>
        </w:p>
        <w:p w14:paraId="7AC6AF5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14" w:history="1">
            <w:r w:rsidRPr="000D551A">
              <w:rPr>
                <w:rStyle w:val="Lienhypertexte"/>
                <w:noProof/>
              </w:rPr>
              <w:t>41.32.4e Portes de garage à usage collectif accordéon en verre</w:t>
            </w:r>
            <w:r>
              <w:rPr>
                <w:noProof/>
                <w:webHidden/>
              </w:rPr>
              <w:tab/>
            </w:r>
            <w:r>
              <w:rPr>
                <w:noProof/>
                <w:webHidden/>
              </w:rPr>
              <w:fldChar w:fldCharType="begin"/>
            </w:r>
            <w:r>
              <w:rPr>
                <w:noProof/>
                <w:webHidden/>
              </w:rPr>
              <w:instrText xml:space="preserve"> PAGEREF _Toc220489914 \h </w:instrText>
            </w:r>
            <w:r>
              <w:rPr>
                <w:noProof/>
                <w:webHidden/>
              </w:rPr>
            </w:r>
            <w:r>
              <w:rPr>
                <w:noProof/>
                <w:webHidden/>
              </w:rPr>
              <w:fldChar w:fldCharType="separate"/>
            </w:r>
            <w:r>
              <w:rPr>
                <w:noProof/>
                <w:webHidden/>
              </w:rPr>
              <w:t>195</w:t>
            </w:r>
            <w:r>
              <w:rPr>
                <w:noProof/>
                <w:webHidden/>
              </w:rPr>
              <w:fldChar w:fldCharType="end"/>
            </w:r>
          </w:hyperlink>
        </w:p>
        <w:p w14:paraId="3341DCA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15" w:history="1">
            <w:r w:rsidRPr="000D551A">
              <w:rPr>
                <w:rStyle w:val="Lienhypertexte"/>
                <w:noProof/>
              </w:rPr>
              <w:t>41.32.4f Portes de garage à usage collectif accordéon en matériaux composites</w:t>
            </w:r>
            <w:r>
              <w:rPr>
                <w:noProof/>
                <w:webHidden/>
              </w:rPr>
              <w:tab/>
            </w:r>
            <w:r>
              <w:rPr>
                <w:noProof/>
                <w:webHidden/>
              </w:rPr>
              <w:fldChar w:fldCharType="begin"/>
            </w:r>
            <w:r>
              <w:rPr>
                <w:noProof/>
                <w:webHidden/>
              </w:rPr>
              <w:instrText xml:space="preserve"> PAGEREF _Toc220489915 \h </w:instrText>
            </w:r>
            <w:r>
              <w:rPr>
                <w:noProof/>
                <w:webHidden/>
              </w:rPr>
            </w:r>
            <w:r>
              <w:rPr>
                <w:noProof/>
                <w:webHidden/>
              </w:rPr>
              <w:fldChar w:fldCharType="separate"/>
            </w:r>
            <w:r>
              <w:rPr>
                <w:noProof/>
                <w:webHidden/>
              </w:rPr>
              <w:t>195</w:t>
            </w:r>
            <w:r>
              <w:rPr>
                <w:noProof/>
                <w:webHidden/>
              </w:rPr>
              <w:fldChar w:fldCharType="end"/>
            </w:r>
          </w:hyperlink>
        </w:p>
        <w:p w14:paraId="00BA94C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16" w:history="1">
            <w:r w:rsidRPr="000D551A">
              <w:rPr>
                <w:rStyle w:val="Lienhypertexte"/>
                <w:noProof/>
              </w:rPr>
              <w:t>41.32.5 Portes de garage à usage collectif à enroulement à lamelles CCTB 01.02</w:t>
            </w:r>
            <w:r>
              <w:rPr>
                <w:noProof/>
                <w:webHidden/>
              </w:rPr>
              <w:tab/>
            </w:r>
            <w:r>
              <w:rPr>
                <w:noProof/>
                <w:webHidden/>
              </w:rPr>
              <w:fldChar w:fldCharType="begin"/>
            </w:r>
            <w:r>
              <w:rPr>
                <w:noProof/>
                <w:webHidden/>
              </w:rPr>
              <w:instrText xml:space="preserve"> PAGEREF _Toc220489916 \h </w:instrText>
            </w:r>
            <w:r>
              <w:rPr>
                <w:noProof/>
                <w:webHidden/>
              </w:rPr>
            </w:r>
            <w:r>
              <w:rPr>
                <w:noProof/>
                <w:webHidden/>
              </w:rPr>
              <w:fldChar w:fldCharType="separate"/>
            </w:r>
            <w:r>
              <w:rPr>
                <w:noProof/>
                <w:webHidden/>
              </w:rPr>
              <w:t>195</w:t>
            </w:r>
            <w:r>
              <w:rPr>
                <w:noProof/>
                <w:webHidden/>
              </w:rPr>
              <w:fldChar w:fldCharType="end"/>
            </w:r>
          </w:hyperlink>
        </w:p>
        <w:p w14:paraId="10E9C91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17" w:history="1">
            <w:r w:rsidRPr="000D551A">
              <w:rPr>
                <w:rStyle w:val="Lienhypertexte"/>
                <w:noProof/>
              </w:rPr>
              <w:t>41.32.5a Portes de garage à usage collectif à enroulement à lamelles en bois</w:t>
            </w:r>
            <w:r>
              <w:rPr>
                <w:noProof/>
                <w:webHidden/>
              </w:rPr>
              <w:tab/>
            </w:r>
            <w:r>
              <w:rPr>
                <w:noProof/>
                <w:webHidden/>
              </w:rPr>
              <w:fldChar w:fldCharType="begin"/>
            </w:r>
            <w:r>
              <w:rPr>
                <w:noProof/>
                <w:webHidden/>
              </w:rPr>
              <w:instrText xml:space="preserve"> PAGEREF _Toc220489917 \h </w:instrText>
            </w:r>
            <w:r>
              <w:rPr>
                <w:noProof/>
                <w:webHidden/>
              </w:rPr>
            </w:r>
            <w:r>
              <w:rPr>
                <w:noProof/>
                <w:webHidden/>
              </w:rPr>
              <w:fldChar w:fldCharType="separate"/>
            </w:r>
            <w:r>
              <w:rPr>
                <w:noProof/>
                <w:webHidden/>
              </w:rPr>
              <w:t>195</w:t>
            </w:r>
            <w:r>
              <w:rPr>
                <w:noProof/>
                <w:webHidden/>
              </w:rPr>
              <w:fldChar w:fldCharType="end"/>
            </w:r>
          </w:hyperlink>
        </w:p>
        <w:p w14:paraId="73D55A4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18" w:history="1">
            <w:r w:rsidRPr="000D551A">
              <w:rPr>
                <w:rStyle w:val="Lienhypertexte"/>
                <w:noProof/>
              </w:rPr>
              <w:t>41.32.5b Portes de garage à usage collectif à enroulement à lamelles en aluminium</w:t>
            </w:r>
            <w:r>
              <w:rPr>
                <w:noProof/>
                <w:webHidden/>
              </w:rPr>
              <w:tab/>
            </w:r>
            <w:r>
              <w:rPr>
                <w:noProof/>
                <w:webHidden/>
              </w:rPr>
              <w:fldChar w:fldCharType="begin"/>
            </w:r>
            <w:r>
              <w:rPr>
                <w:noProof/>
                <w:webHidden/>
              </w:rPr>
              <w:instrText xml:space="preserve"> PAGEREF _Toc220489918 \h </w:instrText>
            </w:r>
            <w:r>
              <w:rPr>
                <w:noProof/>
                <w:webHidden/>
              </w:rPr>
            </w:r>
            <w:r>
              <w:rPr>
                <w:noProof/>
                <w:webHidden/>
              </w:rPr>
              <w:fldChar w:fldCharType="separate"/>
            </w:r>
            <w:r>
              <w:rPr>
                <w:noProof/>
                <w:webHidden/>
              </w:rPr>
              <w:t>195</w:t>
            </w:r>
            <w:r>
              <w:rPr>
                <w:noProof/>
                <w:webHidden/>
              </w:rPr>
              <w:fldChar w:fldCharType="end"/>
            </w:r>
          </w:hyperlink>
        </w:p>
        <w:p w14:paraId="5AF5BEC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19" w:history="1">
            <w:r w:rsidRPr="000D551A">
              <w:rPr>
                <w:rStyle w:val="Lienhypertexte"/>
                <w:noProof/>
              </w:rPr>
              <w:t>41.32.5c Portes de garage à usage collectif à enroulement à lamelles en acier</w:t>
            </w:r>
            <w:r>
              <w:rPr>
                <w:noProof/>
                <w:webHidden/>
              </w:rPr>
              <w:tab/>
            </w:r>
            <w:r>
              <w:rPr>
                <w:noProof/>
                <w:webHidden/>
              </w:rPr>
              <w:fldChar w:fldCharType="begin"/>
            </w:r>
            <w:r>
              <w:rPr>
                <w:noProof/>
                <w:webHidden/>
              </w:rPr>
              <w:instrText xml:space="preserve"> PAGEREF _Toc220489919 \h </w:instrText>
            </w:r>
            <w:r>
              <w:rPr>
                <w:noProof/>
                <w:webHidden/>
              </w:rPr>
            </w:r>
            <w:r>
              <w:rPr>
                <w:noProof/>
                <w:webHidden/>
              </w:rPr>
              <w:fldChar w:fldCharType="separate"/>
            </w:r>
            <w:r>
              <w:rPr>
                <w:noProof/>
                <w:webHidden/>
              </w:rPr>
              <w:t>195</w:t>
            </w:r>
            <w:r>
              <w:rPr>
                <w:noProof/>
                <w:webHidden/>
              </w:rPr>
              <w:fldChar w:fldCharType="end"/>
            </w:r>
          </w:hyperlink>
        </w:p>
        <w:p w14:paraId="20A4E47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20" w:history="1">
            <w:r w:rsidRPr="000D551A">
              <w:rPr>
                <w:rStyle w:val="Lienhypertexte"/>
                <w:noProof/>
              </w:rPr>
              <w:t>41.32.5d Portes de garage à usage collectif à enroulement à lamelles en PVC</w:t>
            </w:r>
            <w:r>
              <w:rPr>
                <w:noProof/>
                <w:webHidden/>
              </w:rPr>
              <w:tab/>
            </w:r>
            <w:r>
              <w:rPr>
                <w:noProof/>
                <w:webHidden/>
              </w:rPr>
              <w:fldChar w:fldCharType="begin"/>
            </w:r>
            <w:r>
              <w:rPr>
                <w:noProof/>
                <w:webHidden/>
              </w:rPr>
              <w:instrText xml:space="preserve"> PAGEREF _Toc220489920 \h </w:instrText>
            </w:r>
            <w:r>
              <w:rPr>
                <w:noProof/>
                <w:webHidden/>
              </w:rPr>
            </w:r>
            <w:r>
              <w:rPr>
                <w:noProof/>
                <w:webHidden/>
              </w:rPr>
              <w:fldChar w:fldCharType="separate"/>
            </w:r>
            <w:r>
              <w:rPr>
                <w:noProof/>
                <w:webHidden/>
              </w:rPr>
              <w:t>195</w:t>
            </w:r>
            <w:r>
              <w:rPr>
                <w:noProof/>
                <w:webHidden/>
              </w:rPr>
              <w:fldChar w:fldCharType="end"/>
            </w:r>
          </w:hyperlink>
        </w:p>
        <w:p w14:paraId="70DE3D1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21" w:history="1">
            <w:r w:rsidRPr="000D551A">
              <w:rPr>
                <w:rStyle w:val="Lienhypertexte"/>
                <w:noProof/>
              </w:rPr>
              <w:t>41.32.5e Portes de garage à usage collectif à enroulement à lamelles en matériaux composites</w:t>
            </w:r>
            <w:r>
              <w:rPr>
                <w:noProof/>
                <w:webHidden/>
              </w:rPr>
              <w:tab/>
            </w:r>
            <w:r>
              <w:rPr>
                <w:noProof/>
                <w:webHidden/>
              </w:rPr>
              <w:fldChar w:fldCharType="begin"/>
            </w:r>
            <w:r>
              <w:rPr>
                <w:noProof/>
                <w:webHidden/>
              </w:rPr>
              <w:instrText xml:space="preserve"> PAGEREF _Toc220489921 \h </w:instrText>
            </w:r>
            <w:r>
              <w:rPr>
                <w:noProof/>
                <w:webHidden/>
              </w:rPr>
            </w:r>
            <w:r>
              <w:rPr>
                <w:noProof/>
                <w:webHidden/>
              </w:rPr>
              <w:fldChar w:fldCharType="separate"/>
            </w:r>
            <w:r>
              <w:rPr>
                <w:noProof/>
                <w:webHidden/>
              </w:rPr>
              <w:t>195</w:t>
            </w:r>
            <w:r>
              <w:rPr>
                <w:noProof/>
                <w:webHidden/>
              </w:rPr>
              <w:fldChar w:fldCharType="end"/>
            </w:r>
          </w:hyperlink>
        </w:p>
        <w:p w14:paraId="18DB7A1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22" w:history="1">
            <w:r w:rsidRPr="000D551A">
              <w:rPr>
                <w:rStyle w:val="Lienhypertexte"/>
                <w:noProof/>
              </w:rPr>
              <w:t>41.32.6 Portes de garage à usage collectif à enroulement en toile CCTB 01.04</w:t>
            </w:r>
            <w:r>
              <w:rPr>
                <w:noProof/>
                <w:webHidden/>
              </w:rPr>
              <w:tab/>
            </w:r>
            <w:r>
              <w:rPr>
                <w:noProof/>
                <w:webHidden/>
              </w:rPr>
              <w:fldChar w:fldCharType="begin"/>
            </w:r>
            <w:r>
              <w:rPr>
                <w:noProof/>
                <w:webHidden/>
              </w:rPr>
              <w:instrText xml:space="preserve"> PAGEREF _Toc220489922 \h </w:instrText>
            </w:r>
            <w:r>
              <w:rPr>
                <w:noProof/>
                <w:webHidden/>
              </w:rPr>
            </w:r>
            <w:r>
              <w:rPr>
                <w:noProof/>
                <w:webHidden/>
              </w:rPr>
              <w:fldChar w:fldCharType="separate"/>
            </w:r>
            <w:r>
              <w:rPr>
                <w:noProof/>
                <w:webHidden/>
              </w:rPr>
              <w:t>195</w:t>
            </w:r>
            <w:r>
              <w:rPr>
                <w:noProof/>
                <w:webHidden/>
              </w:rPr>
              <w:fldChar w:fldCharType="end"/>
            </w:r>
          </w:hyperlink>
        </w:p>
        <w:p w14:paraId="36E7CE9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23" w:history="1">
            <w:r w:rsidRPr="000D551A">
              <w:rPr>
                <w:rStyle w:val="Lienhypertexte"/>
                <w:noProof/>
              </w:rPr>
              <w:t>41.32.6a Portes de garage à usage collectif à enroulement en toile</w:t>
            </w:r>
            <w:r>
              <w:rPr>
                <w:noProof/>
                <w:webHidden/>
              </w:rPr>
              <w:tab/>
            </w:r>
            <w:r>
              <w:rPr>
                <w:noProof/>
                <w:webHidden/>
              </w:rPr>
              <w:fldChar w:fldCharType="begin"/>
            </w:r>
            <w:r>
              <w:rPr>
                <w:noProof/>
                <w:webHidden/>
              </w:rPr>
              <w:instrText xml:space="preserve"> PAGEREF _Toc220489923 \h </w:instrText>
            </w:r>
            <w:r>
              <w:rPr>
                <w:noProof/>
                <w:webHidden/>
              </w:rPr>
            </w:r>
            <w:r>
              <w:rPr>
                <w:noProof/>
                <w:webHidden/>
              </w:rPr>
              <w:fldChar w:fldCharType="separate"/>
            </w:r>
            <w:r>
              <w:rPr>
                <w:noProof/>
                <w:webHidden/>
              </w:rPr>
              <w:t>195</w:t>
            </w:r>
            <w:r>
              <w:rPr>
                <w:noProof/>
                <w:webHidden/>
              </w:rPr>
              <w:fldChar w:fldCharType="end"/>
            </w:r>
          </w:hyperlink>
        </w:p>
        <w:p w14:paraId="75EDA24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24" w:history="1">
            <w:r w:rsidRPr="000D551A">
              <w:rPr>
                <w:rStyle w:val="Lienhypertexte"/>
                <w:noProof/>
              </w:rPr>
              <w:t>41.32.7 Portes de garage à usage collectif à enroulement en grillage CCTB 01.04</w:t>
            </w:r>
            <w:r>
              <w:rPr>
                <w:noProof/>
                <w:webHidden/>
              </w:rPr>
              <w:tab/>
            </w:r>
            <w:r>
              <w:rPr>
                <w:noProof/>
                <w:webHidden/>
              </w:rPr>
              <w:fldChar w:fldCharType="begin"/>
            </w:r>
            <w:r>
              <w:rPr>
                <w:noProof/>
                <w:webHidden/>
              </w:rPr>
              <w:instrText xml:space="preserve"> PAGEREF _Toc220489924 \h </w:instrText>
            </w:r>
            <w:r>
              <w:rPr>
                <w:noProof/>
                <w:webHidden/>
              </w:rPr>
            </w:r>
            <w:r>
              <w:rPr>
                <w:noProof/>
                <w:webHidden/>
              </w:rPr>
              <w:fldChar w:fldCharType="separate"/>
            </w:r>
            <w:r>
              <w:rPr>
                <w:noProof/>
                <w:webHidden/>
              </w:rPr>
              <w:t>195</w:t>
            </w:r>
            <w:r>
              <w:rPr>
                <w:noProof/>
                <w:webHidden/>
              </w:rPr>
              <w:fldChar w:fldCharType="end"/>
            </w:r>
          </w:hyperlink>
        </w:p>
        <w:p w14:paraId="3877E18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25" w:history="1">
            <w:r w:rsidRPr="000D551A">
              <w:rPr>
                <w:rStyle w:val="Lienhypertexte"/>
                <w:noProof/>
              </w:rPr>
              <w:t>41.32.7a Portes de garage à usage collectif à enroulement en grillage en acier</w:t>
            </w:r>
            <w:r>
              <w:rPr>
                <w:noProof/>
                <w:webHidden/>
              </w:rPr>
              <w:tab/>
            </w:r>
            <w:r>
              <w:rPr>
                <w:noProof/>
                <w:webHidden/>
              </w:rPr>
              <w:fldChar w:fldCharType="begin"/>
            </w:r>
            <w:r>
              <w:rPr>
                <w:noProof/>
                <w:webHidden/>
              </w:rPr>
              <w:instrText xml:space="preserve"> PAGEREF _Toc220489925 \h </w:instrText>
            </w:r>
            <w:r>
              <w:rPr>
                <w:noProof/>
                <w:webHidden/>
              </w:rPr>
            </w:r>
            <w:r>
              <w:rPr>
                <w:noProof/>
                <w:webHidden/>
              </w:rPr>
              <w:fldChar w:fldCharType="separate"/>
            </w:r>
            <w:r>
              <w:rPr>
                <w:noProof/>
                <w:webHidden/>
              </w:rPr>
              <w:t>195</w:t>
            </w:r>
            <w:r>
              <w:rPr>
                <w:noProof/>
                <w:webHidden/>
              </w:rPr>
              <w:fldChar w:fldCharType="end"/>
            </w:r>
          </w:hyperlink>
        </w:p>
        <w:p w14:paraId="6A12C5A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26" w:history="1">
            <w:r w:rsidRPr="000D551A">
              <w:rPr>
                <w:rStyle w:val="Lienhypertexte"/>
                <w:noProof/>
              </w:rPr>
              <w:t>41.32.7b Portes de garage à usage collectif à enroulement en grillage en aluminium</w:t>
            </w:r>
            <w:r>
              <w:rPr>
                <w:noProof/>
                <w:webHidden/>
              </w:rPr>
              <w:tab/>
            </w:r>
            <w:r>
              <w:rPr>
                <w:noProof/>
                <w:webHidden/>
              </w:rPr>
              <w:fldChar w:fldCharType="begin"/>
            </w:r>
            <w:r>
              <w:rPr>
                <w:noProof/>
                <w:webHidden/>
              </w:rPr>
              <w:instrText xml:space="preserve"> PAGEREF _Toc220489926 \h </w:instrText>
            </w:r>
            <w:r>
              <w:rPr>
                <w:noProof/>
                <w:webHidden/>
              </w:rPr>
            </w:r>
            <w:r>
              <w:rPr>
                <w:noProof/>
                <w:webHidden/>
              </w:rPr>
              <w:fldChar w:fldCharType="separate"/>
            </w:r>
            <w:r>
              <w:rPr>
                <w:noProof/>
                <w:webHidden/>
              </w:rPr>
              <w:t>195</w:t>
            </w:r>
            <w:r>
              <w:rPr>
                <w:noProof/>
                <w:webHidden/>
              </w:rPr>
              <w:fldChar w:fldCharType="end"/>
            </w:r>
          </w:hyperlink>
        </w:p>
        <w:p w14:paraId="6D34EBC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27" w:history="1">
            <w:r w:rsidRPr="000D551A">
              <w:rPr>
                <w:rStyle w:val="Lienhypertexte"/>
                <w:noProof/>
              </w:rPr>
              <w:t>41.32.7c Portes de garage à usage collectif à enroulement en grillage en matières synthétiques</w:t>
            </w:r>
            <w:r>
              <w:rPr>
                <w:noProof/>
                <w:webHidden/>
              </w:rPr>
              <w:tab/>
            </w:r>
            <w:r>
              <w:rPr>
                <w:noProof/>
                <w:webHidden/>
              </w:rPr>
              <w:fldChar w:fldCharType="begin"/>
            </w:r>
            <w:r>
              <w:rPr>
                <w:noProof/>
                <w:webHidden/>
              </w:rPr>
              <w:instrText xml:space="preserve"> PAGEREF _Toc220489927 \h </w:instrText>
            </w:r>
            <w:r>
              <w:rPr>
                <w:noProof/>
                <w:webHidden/>
              </w:rPr>
            </w:r>
            <w:r>
              <w:rPr>
                <w:noProof/>
                <w:webHidden/>
              </w:rPr>
              <w:fldChar w:fldCharType="separate"/>
            </w:r>
            <w:r>
              <w:rPr>
                <w:noProof/>
                <w:webHidden/>
              </w:rPr>
              <w:t>195</w:t>
            </w:r>
            <w:r>
              <w:rPr>
                <w:noProof/>
                <w:webHidden/>
              </w:rPr>
              <w:fldChar w:fldCharType="end"/>
            </w:r>
          </w:hyperlink>
        </w:p>
        <w:p w14:paraId="224560BF"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89928" w:history="1">
            <w:r w:rsidRPr="000D551A">
              <w:rPr>
                <w:rStyle w:val="Lienhypertexte"/>
                <w:noProof/>
              </w:rPr>
              <w:t>41.4 Systèmes de façades CCTB 01.11</w:t>
            </w:r>
            <w:r>
              <w:rPr>
                <w:noProof/>
                <w:webHidden/>
              </w:rPr>
              <w:tab/>
            </w:r>
            <w:r>
              <w:rPr>
                <w:noProof/>
                <w:webHidden/>
              </w:rPr>
              <w:fldChar w:fldCharType="begin"/>
            </w:r>
            <w:r>
              <w:rPr>
                <w:noProof/>
                <w:webHidden/>
              </w:rPr>
              <w:instrText xml:space="preserve"> PAGEREF _Toc220489928 \h </w:instrText>
            </w:r>
            <w:r>
              <w:rPr>
                <w:noProof/>
                <w:webHidden/>
              </w:rPr>
            </w:r>
            <w:r>
              <w:rPr>
                <w:noProof/>
                <w:webHidden/>
              </w:rPr>
              <w:fldChar w:fldCharType="separate"/>
            </w:r>
            <w:r>
              <w:rPr>
                <w:noProof/>
                <w:webHidden/>
              </w:rPr>
              <w:t>195</w:t>
            </w:r>
            <w:r>
              <w:rPr>
                <w:noProof/>
                <w:webHidden/>
              </w:rPr>
              <w:fldChar w:fldCharType="end"/>
            </w:r>
          </w:hyperlink>
        </w:p>
        <w:p w14:paraId="5A9D4F2F"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929" w:history="1">
            <w:r w:rsidRPr="000D551A">
              <w:rPr>
                <w:rStyle w:val="Lienhypertexte"/>
                <w:noProof/>
              </w:rPr>
              <w:t>41.41 Systèmes de façade VEP (vitrage extérieur parclosé) CCTB 01.02</w:t>
            </w:r>
            <w:r>
              <w:rPr>
                <w:noProof/>
                <w:webHidden/>
              </w:rPr>
              <w:tab/>
            </w:r>
            <w:r>
              <w:rPr>
                <w:noProof/>
                <w:webHidden/>
              </w:rPr>
              <w:fldChar w:fldCharType="begin"/>
            </w:r>
            <w:r>
              <w:rPr>
                <w:noProof/>
                <w:webHidden/>
              </w:rPr>
              <w:instrText xml:space="preserve"> PAGEREF _Toc220489929 \h </w:instrText>
            </w:r>
            <w:r>
              <w:rPr>
                <w:noProof/>
                <w:webHidden/>
              </w:rPr>
            </w:r>
            <w:r>
              <w:rPr>
                <w:noProof/>
                <w:webHidden/>
              </w:rPr>
              <w:fldChar w:fldCharType="separate"/>
            </w:r>
            <w:r>
              <w:rPr>
                <w:noProof/>
                <w:webHidden/>
              </w:rPr>
              <w:t>205</w:t>
            </w:r>
            <w:r>
              <w:rPr>
                <w:noProof/>
                <w:webHidden/>
              </w:rPr>
              <w:fldChar w:fldCharType="end"/>
            </w:r>
          </w:hyperlink>
        </w:p>
        <w:p w14:paraId="5FF3A91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30" w:history="1">
            <w:r w:rsidRPr="000D551A">
              <w:rPr>
                <w:rStyle w:val="Lienhypertexte"/>
                <w:noProof/>
              </w:rPr>
              <w:t>41.41.1 Systèmes de façade VEP - structure bois CCTB 01.02</w:t>
            </w:r>
            <w:r>
              <w:rPr>
                <w:noProof/>
                <w:webHidden/>
              </w:rPr>
              <w:tab/>
            </w:r>
            <w:r>
              <w:rPr>
                <w:noProof/>
                <w:webHidden/>
              </w:rPr>
              <w:fldChar w:fldCharType="begin"/>
            </w:r>
            <w:r>
              <w:rPr>
                <w:noProof/>
                <w:webHidden/>
              </w:rPr>
              <w:instrText xml:space="preserve"> PAGEREF _Toc220489930 \h </w:instrText>
            </w:r>
            <w:r>
              <w:rPr>
                <w:noProof/>
                <w:webHidden/>
              </w:rPr>
            </w:r>
            <w:r>
              <w:rPr>
                <w:noProof/>
                <w:webHidden/>
              </w:rPr>
              <w:fldChar w:fldCharType="separate"/>
            </w:r>
            <w:r>
              <w:rPr>
                <w:noProof/>
                <w:webHidden/>
              </w:rPr>
              <w:t>205</w:t>
            </w:r>
            <w:r>
              <w:rPr>
                <w:noProof/>
                <w:webHidden/>
              </w:rPr>
              <w:fldChar w:fldCharType="end"/>
            </w:r>
          </w:hyperlink>
        </w:p>
        <w:p w14:paraId="21AA001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31" w:history="1">
            <w:r w:rsidRPr="000D551A">
              <w:rPr>
                <w:rStyle w:val="Lienhypertexte"/>
                <w:noProof/>
              </w:rPr>
              <w:t>41.41.1a Systèmes de façade VEP - structure bois</w:t>
            </w:r>
            <w:r>
              <w:rPr>
                <w:noProof/>
                <w:webHidden/>
              </w:rPr>
              <w:tab/>
            </w:r>
            <w:r>
              <w:rPr>
                <w:noProof/>
                <w:webHidden/>
              </w:rPr>
              <w:fldChar w:fldCharType="begin"/>
            </w:r>
            <w:r>
              <w:rPr>
                <w:noProof/>
                <w:webHidden/>
              </w:rPr>
              <w:instrText xml:space="preserve"> PAGEREF _Toc220489931 \h </w:instrText>
            </w:r>
            <w:r>
              <w:rPr>
                <w:noProof/>
                <w:webHidden/>
              </w:rPr>
            </w:r>
            <w:r>
              <w:rPr>
                <w:noProof/>
                <w:webHidden/>
              </w:rPr>
              <w:fldChar w:fldCharType="separate"/>
            </w:r>
            <w:r>
              <w:rPr>
                <w:noProof/>
                <w:webHidden/>
              </w:rPr>
              <w:t>205</w:t>
            </w:r>
            <w:r>
              <w:rPr>
                <w:noProof/>
                <w:webHidden/>
              </w:rPr>
              <w:fldChar w:fldCharType="end"/>
            </w:r>
          </w:hyperlink>
        </w:p>
        <w:p w14:paraId="11D14E9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32" w:history="1">
            <w:r w:rsidRPr="000D551A">
              <w:rPr>
                <w:rStyle w:val="Lienhypertexte"/>
                <w:noProof/>
              </w:rPr>
              <w:t>41.41.2 Systèmes de façade VEP - structure inox CCTB 01.02</w:t>
            </w:r>
            <w:r>
              <w:rPr>
                <w:noProof/>
                <w:webHidden/>
              </w:rPr>
              <w:tab/>
            </w:r>
            <w:r>
              <w:rPr>
                <w:noProof/>
                <w:webHidden/>
              </w:rPr>
              <w:fldChar w:fldCharType="begin"/>
            </w:r>
            <w:r>
              <w:rPr>
                <w:noProof/>
                <w:webHidden/>
              </w:rPr>
              <w:instrText xml:space="preserve"> PAGEREF _Toc220489932 \h </w:instrText>
            </w:r>
            <w:r>
              <w:rPr>
                <w:noProof/>
                <w:webHidden/>
              </w:rPr>
            </w:r>
            <w:r>
              <w:rPr>
                <w:noProof/>
                <w:webHidden/>
              </w:rPr>
              <w:fldChar w:fldCharType="separate"/>
            </w:r>
            <w:r>
              <w:rPr>
                <w:noProof/>
                <w:webHidden/>
              </w:rPr>
              <w:t>205</w:t>
            </w:r>
            <w:r>
              <w:rPr>
                <w:noProof/>
                <w:webHidden/>
              </w:rPr>
              <w:fldChar w:fldCharType="end"/>
            </w:r>
          </w:hyperlink>
        </w:p>
        <w:p w14:paraId="25BFC19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33" w:history="1">
            <w:r w:rsidRPr="000D551A">
              <w:rPr>
                <w:rStyle w:val="Lienhypertexte"/>
                <w:noProof/>
              </w:rPr>
              <w:t>41.41.2a Systèmes de façade VEP - structure inox</w:t>
            </w:r>
            <w:r>
              <w:rPr>
                <w:noProof/>
                <w:webHidden/>
              </w:rPr>
              <w:tab/>
            </w:r>
            <w:r>
              <w:rPr>
                <w:noProof/>
                <w:webHidden/>
              </w:rPr>
              <w:fldChar w:fldCharType="begin"/>
            </w:r>
            <w:r>
              <w:rPr>
                <w:noProof/>
                <w:webHidden/>
              </w:rPr>
              <w:instrText xml:space="preserve"> PAGEREF _Toc220489933 \h </w:instrText>
            </w:r>
            <w:r>
              <w:rPr>
                <w:noProof/>
                <w:webHidden/>
              </w:rPr>
            </w:r>
            <w:r>
              <w:rPr>
                <w:noProof/>
                <w:webHidden/>
              </w:rPr>
              <w:fldChar w:fldCharType="separate"/>
            </w:r>
            <w:r>
              <w:rPr>
                <w:noProof/>
                <w:webHidden/>
              </w:rPr>
              <w:t>206</w:t>
            </w:r>
            <w:r>
              <w:rPr>
                <w:noProof/>
                <w:webHidden/>
              </w:rPr>
              <w:fldChar w:fldCharType="end"/>
            </w:r>
          </w:hyperlink>
        </w:p>
        <w:p w14:paraId="4873223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34" w:history="1">
            <w:r w:rsidRPr="000D551A">
              <w:rPr>
                <w:rStyle w:val="Lienhypertexte"/>
                <w:noProof/>
              </w:rPr>
              <w:t>41.41.3 Systèmes de façade VEP - structure alu CCTB 01.02</w:t>
            </w:r>
            <w:r>
              <w:rPr>
                <w:noProof/>
                <w:webHidden/>
              </w:rPr>
              <w:tab/>
            </w:r>
            <w:r>
              <w:rPr>
                <w:noProof/>
                <w:webHidden/>
              </w:rPr>
              <w:fldChar w:fldCharType="begin"/>
            </w:r>
            <w:r>
              <w:rPr>
                <w:noProof/>
                <w:webHidden/>
              </w:rPr>
              <w:instrText xml:space="preserve"> PAGEREF _Toc220489934 \h </w:instrText>
            </w:r>
            <w:r>
              <w:rPr>
                <w:noProof/>
                <w:webHidden/>
              </w:rPr>
            </w:r>
            <w:r>
              <w:rPr>
                <w:noProof/>
                <w:webHidden/>
              </w:rPr>
              <w:fldChar w:fldCharType="separate"/>
            </w:r>
            <w:r>
              <w:rPr>
                <w:noProof/>
                <w:webHidden/>
              </w:rPr>
              <w:t>206</w:t>
            </w:r>
            <w:r>
              <w:rPr>
                <w:noProof/>
                <w:webHidden/>
              </w:rPr>
              <w:fldChar w:fldCharType="end"/>
            </w:r>
          </w:hyperlink>
        </w:p>
        <w:p w14:paraId="03F54A3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35" w:history="1">
            <w:r w:rsidRPr="000D551A">
              <w:rPr>
                <w:rStyle w:val="Lienhypertexte"/>
                <w:noProof/>
              </w:rPr>
              <w:t>41.41.3a Systèmes de façade VEP - structure alu CCTB 01.11</w:t>
            </w:r>
            <w:r>
              <w:rPr>
                <w:noProof/>
                <w:webHidden/>
              </w:rPr>
              <w:tab/>
            </w:r>
            <w:r>
              <w:rPr>
                <w:noProof/>
                <w:webHidden/>
              </w:rPr>
              <w:fldChar w:fldCharType="begin"/>
            </w:r>
            <w:r>
              <w:rPr>
                <w:noProof/>
                <w:webHidden/>
              </w:rPr>
              <w:instrText xml:space="preserve"> PAGEREF _Toc220489935 \h </w:instrText>
            </w:r>
            <w:r>
              <w:rPr>
                <w:noProof/>
                <w:webHidden/>
              </w:rPr>
            </w:r>
            <w:r>
              <w:rPr>
                <w:noProof/>
                <w:webHidden/>
              </w:rPr>
              <w:fldChar w:fldCharType="separate"/>
            </w:r>
            <w:r>
              <w:rPr>
                <w:noProof/>
                <w:webHidden/>
              </w:rPr>
              <w:t>206</w:t>
            </w:r>
            <w:r>
              <w:rPr>
                <w:noProof/>
                <w:webHidden/>
              </w:rPr>
              <w:fldChar w:fldCharType="end"/>
            </w:r>
          </w:hyperlink>
        </w:p>
        <w:p w14:paraId="742CE17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36" w:history="1">
            <w:r w:rsidRPr="000D551A">
              <w:rPr>
                <w:rStyle w:val="Lienhypertexte"/>
                <w:noProof/>
              </w:rPr>
              <w:t>41.41.4 Systèmes de façade VEP - structure mixte CCTB 01.02</w:t>
            </w:r>
            <w:r>
              <w:rPr>
                <w:noProof/>
                <w:webHidden/>
              </w:rPr>
              <w:tab/>
            </w:r>
            <w:r>
              <w:rPr>
                <w:noProof/>
                <w:webHidden/>
              </w:rPr>
              <w:fldChar w:fldCharType="begin"/>
            </w:r>
            <w:r>
              <w:rPr>
                <w:noProof/>
                <w:webHidden/>
              </w:rPr>
              <w:instrText xml:space="preserve"> PAGEREF _Toc220489936 \h </w:instrText>
            </w:r>
            <w:r>
              <w:rPr>
                <w:noProof/>
                <w:webHidden/>
              </w:rPr>
            </w:r>
            <w:r>
              <w:rPr>
                <w:noProof/>
                <w:webHidden/>
              </w:rPr>
              <w:fldChar w:fldCharType="separate"/>
            </w:r>
            <w:r>
              <w:rPr>
                <w:noProof/>
                <w:webHidden/>
              </w:rPr>
              <w:t>211</w:t>
            </w:r>
            <w:r>
              <w:rPr>
                <w:noProof/>
                <w:webHidden/>
              </w:rPr>
              <w:fldChar w:fldCharType="end"/>
            </w:r>
          </w:hyperlink>
        </w:p>
        <w:p w14:paraId="78D288F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37" w:history="1">
            <w:r w:rsidRPr="000D551A">
              <w:rPr>
                <w:rStyle w:val="Lienhypertexte"/>
                <w:noProof/>
              </w:rPr>
              <w:t>41.41.4a Systèmes de façade VEP - structure mixte</w:t>
            </w:r>
            <w:r>
              <w:rPr>
                <w:noProof/>
                <w:webHidden/>
              </w:rPr>
              <w:tab/>
            </w:r>
            <w:r>
              <w:rPr>
                <w:noProof/>
                <w:webHidden/>
              </w:rPr>
              <w:fldChar w:fldCharType="begin"/>
            </w:r>
            <w:r>
              <w:rPr>
                <w:noProof/>
                <w:webHidden/>
              </w:rPr>
              <w:instrText xml:space="preserve"> PAGEREF _Toc220489937 \h </w:instrText>
            </w:r>
            <w:r>
              <w:rPr>
                <w:noProof/>
                <w:webHidden/>
              </w:rPr>
            </w:r>
            <w:r>
              <w:rPr>
                <w:noProof/>
                <w:webHidden/>
              </w:rPr>
              <w:fldChar w:fldCharType="separate"/>
            </w:r>
            <w:r>
              <w:rPr>
                <w:noProof/>
                <w:webHidden/>
              </w:rPr>
              <w:t>211</w:t>
            </w:r>
            <w:r>
              <w:rPr>
                <w:noProof/>
                <w:webHidden/>
              </w:rPr>
              <w:fldChar w:fldCharType="end"/>
            </w:r>
          </w:hyperlink>
        </w:p>
        <w:p w14:paraId="3FDE4E5E"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938" w:history="1">
            <w:r w:rsidRPr="000D551A">
              <w:rPr>
                <w:rStyle w:val="Lienhypertexte"/>
                <w:noProof/>
              </w:rPr>
              <w:t>41.42 Systèmes de façade VEC (vitrage extérieur collé) CCTB 01.12</w:t>
            </w:r>
            <w:r>
              <w:rPr>
                <w:noProof/>
                <w:webHidden/>
              </w:rPr>
              <w:tab/>
            </w:r>
            <w:r>
              <w:rPr>
                <w:noProof/>
                <w:webHidden/>
              </w:rPr>
              <w:fldChar w:fldCharType="begin"/>
            </w:r>
            <w:r>
              <w:rPr>
                <w:noProof/>
                <w:webHidden/>
              </w:rPr>
              <w:instrText xml:space="preserve"> PAGEREF _Toc220489938 \h </w:instrText>
            </w:r>
            <w:r>
              <w:rPr>
                <w:noProof/>
                <w:webHidden/>
              </w:rPr>
            </w:r>
            <w:r>
              <w:rPr>
                <w:noProof/>
                <w:webHidden/>
              </w:rPr>
              <w:fldChar w:fldCharType="separate"/>
            </w:r>
            <w:r>
              <w:rPr>
                <w:noProof/>
                <w:webHidden/>
              </w:rPr>
              <w:t>212</w:t>
            </w:r>
            <w:r>
              <w:rPr>
                <w:noProof/>
                <w:webHidden/>
              </w:rPr>
              <w:fldChar w:fldCharType="end"/>
            </w:r>
          </w:hyperlink>
        </w:p>
        <w:p w14:paraId="4E713AB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39" w:history="1">
            <w:r w:rsidRPr="000D551A">
              <w:rPr>
                <w:rStyle w:val="Lienhypertexte"/>
                <w:noProof/>
              </w:rPr>
              <w:t>41.42.1 Systèmes de façade VEC - structure bois CCTB 01.02</w:t>
            </w:r>
            <w:r>
              <w:rPr>
                <w:noProof/>
                <w:webHidden/>
              </w:rPr>
              <w:tab/>
            </w:r>
            <w:r>
              <w:rPr>
                <w:noProof/>
                <w:webHidden/>
              </w:rPr>
              <w:fldChar w:fldCharType="begin"/>
            </w:r>
            <w:r>
              <w:rPr>
                <w:noProof/>
                <w:webHidden/>
              </w:rPr>
              <w:instrText xml:space="preserve"> PAGEREF _Toc220489939 \h </w:instrText>
            </w:r>
            <w:r>
              <w:rPr>
                <w:noProof/>
                <w:webHidden/>
              </w:rPr>
            </w:r>
            <w:r>
              <w:rPr>
                <w:noProof/>
                <w:webHidden/>
              </w:rPr>
              <w:fldChar w:fldCharType="separate"/>
            </w:r>
            <w:r>
              <w:rPr>
                <w:noProof/>
                <w:webHidden/>
              </w:rPr>
              <w:t>215</w:t>
            </w:r>
            <w:r>
              <w:rPr>
                <w:noProof/>
                <w:webHidden/>
              </w:rPr>
              <w:fldChar w:fldCharType="end"/>
            </w:r>
          </w:hyperlink>
        </w:p>
        <w:p w14:paraId="68E79FF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40" w:history="1">
            <w:r w:rsidRPr="000D551A">
              <w:rPr>
                <w:rStyle w:val="Lienhypertexte"/>
                <w:noProof/>
              </w:rPr>
              <w:t>41.42.1a Systèmes de façade VEC - structure bois</w:t>
            </w:r>
            <w:r>
              <w:rPr>
                <w:noProof/>
                <w:webHidden/>
              </w:rPr>
              <w:tab/>
            </w:r>
            <w:r>
              <w:rPr>
                <w:noProof/>
                <w:webHidden/>
              </w:rPr>
              <w:fldChar w:fldCharType="begin"/>
            </w:r>
            <w:r>
              <w:rPr>
                <w:noProof/>
                <w:webHidden/>
              </w:rPr>
              <w:instrText xml:space="preserve"> PAGEREF _Toc220489940 \h </w:instrText>
            </w:r>
            <w:r>
              <w:rPr>
                <w:noProof/>
                <w:webHidden/>
              </w:rPr>
            </w:r>
            <w:r>
              <w:rPr>
                <w:noProof/>
                <w:webHidden/>
              </w:rPr>
              <w:fldChar w:fldCharType="separate"/>
            </w:r>
            <w:r>
              <w:rPr>
                <w:noProof/>
                <w:webHidden/>
              </w:rPr>
              <w:t>215</w:t>
            </w:r>
            <w:r>
              <w:rPr>
                <w:noProof/>
                <w:webHidden/>
              </w:rPr>
              <w:fldChar w:fldCharType="end"/>
            </w:r>
          </w:hyperlink>
        </w:p>
        <w:p w14:paraId="18F13DE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41" w:history="1">
            <w:r w:rsidRPr="000D551A">
              <w:rPr>
                <w:rStyle w:val="Lienhypertexte"/>
                <w:noProof/>
              </w:rPr>
              <w:t>41.42.2 Systèmes de façade VEC - structure inox CCTB 01.02</w:t>
            </w:r>
            <w:r>
              <w:rPr>
                <w:noProof/>
                <w:webHidden/>
              </w:rPr>
              <w:tab/>
            </w:r>
            <w:r>
              <w:rPr>
                <w:noProof/>
                <w:webHidden/>
              </w:rPr>
              <w:fldChar w:fldCharType="begin"/>
            </w:r>
            <w:r>
              <w:rPr>
                <w:noProof/>
                <w:webHidden/>
              </w:rPr>
              <w:instrText xml:space="preserve"> PAGEREF _Toc220489941 \h </w:instrText>
            </w:r>
            <w:r>
              <w:rPr>
                <w:noProof/>
                <w:webHidden/>
              </w:rPr>
            </w:r>
            <w:r>
              <w:rPr>
                <w:noProof/>
                <w:webHidden/>
              </w:rPr>
              <w:fldChar w:fldCharType="separate"/>
            </w:r>
            <w:r>
              <w:rPr>
                <w:noProof/>
                <w:webHidden/>
              </w:rPr>
              <w:t>215</w:t>
            </w:r>
            <w:r>
              <w:rPr>
                <w:noProof/>
                <w:webHidden/>
              </w:rPr>
              <w:fldChar w:fldCharType="end"/>
            </w:r>
          </w:hyperlink>
        </w:p>
        <w:p w14:paraId="79E1432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42" w:history="1">
            <w:r w:rsidRPr="000D551A">
              <w:rPr>
                <w:rStyle w:val="Lienhypertexte"/>
                <w:noProof/>
              </w:rPr>
              <w:t>41.42.2a Systèmes de façade VEC - structure inox CCTB 01.11</w:t>
            </w:r>
            <w:r>
              <w:rPr>
                <w:noProof/>
                <w:webHidden/>
              </w:rPr>
              <w:tab/>
            </w:r>
            <w:r>
              <w:rPr>
                <w:noProof/>
                <w:webHidden/>
              </w:rPr>
              <w:fldChar w:fldCharType="begin"/>
            </w:r>
            <w:r>
              <w:rPr>
                <w:noProof/>
                <w:webHidden/>
              </w:rPr>
              <w:instrText xml:space="preserve"> PAGEREF _Toc220489942 \h </w:instrText>
            </w:r>
            <w:r>
              <w:rPr>
                <w:noProof/>
                <w:webHidden/>
              </w:rPr>
            </w:r>
            <w:r>
              <w:rPr>
                <w:noProof/>
                <w:webHidden/>
              </w:rPr>
              <w:fldChar w:fldCharType="separate"/>
            </w:r>
            <w:r>
              <w:rPr>
                <w:noProof/>
                <w:webHidden/>
              </w:rPr>
              <w:t>215</w:t>
            </w:r>
            <w:r>
              <w:rPr>
                <w:noProof/>
                <w:webHidden/>
              </w:rPr>
              <w:fldChar w:fldCharType="end"/>
            </w:r>
          </w:hyperlink>
        </w:p>
        <w:p w14:paraId="51D90BE6"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43" w:history="1">
            <w:r w:rsidRPr="000D551A">
              <w:rPr>
                <w:rStyle w:val="Lienhypertexte"/>
                <w:noProof/>
              </w:rPr>
              <w:t>41.42.3 Systèmes de façade VEC - structure alu CCTB 01.12</w:t>
            </w:r>
            <w:r>
              <w:rPr>
                <w:noProof/>
                <w:webHidden/>
              </w:rPr>
              <w:tab/>
            </w:r>
            <w:r>
              <w:rPr>
                <w:noProof/>
                <w:webHidden/>
              </w:rPr>
              <w:fldChar w:fldCharType="begin"/>
            </w:r>
            <w:r>
              <w:rPr>
                <w:noProof/>
                <w:webHidden/>
              </w:rPr>
              <w:instrText xml:space="preserve"> PAGEREF _Toc220489943 \h </w:instrText>
            </w:r>
            <w:r>
              <w:rPr>
                <w:noProof/>
                <w:webHidden/>
              </w:rPr>
            </w:r>
            <w:r>
              <w:rPr>
                <w:noProof/>
                <w:webHidden/>
              </w:rPr>
              <w:fldChar w:fldCharType="separate"/>
            </w:r>
            <w:r>
              <w:rPr>
                <w:noProof/>
                <w:webHidden/>
              </w:rPr>
              <w:t>221</w:t>
            </w:r>
            <w:r>
              <w:rPr>
                <w:noProof/>
                <w:webHidden/>
              </w:rPr>
              <w:fldChar w:fldCharType="end"/>
            </w:r>
          </w:hyperlink>
        </w:p>
        <w:p w14:paraId="0EAA585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44" w:history="1">
            <w:r w:rsidRPr="000D551A">
              <w:rPr>
                <w:rStyle w:val="Lienhypertexte"/>
                <w:noProof/>
              </w:rPr>
              <w:t>41.42.3a Systèmes de façade VEC - structure alu CCTB 01.12</w:t>
            </w:r>
            <w:r>
              <w:rPr>
                <w:noProof/>
                <w:webHidden/>
              </w:rPr>
              <w:tab/>
            </w:r>
            <w:r>
              <w:rPr>
                <w:noProof/>
                <w:webHidden/>
              </w:rPr>
              <w:fldChar w:fldCharType="begin"/>
            </w:r>
            <w:r>
              <w:rPr>
                <w:noProof/>
                <w:webHidden/>
              </w:rPr>
              <w:instrText xml:space="preserve"> PAGEREF _Toc220489944 \h </w:instrText>
            </w:r>
            <w:r>
              <w:rPr>
                <w:noProof/>
                <w:webHidden/>
              </w:rPr>
            </w:r>
            <w:r>
              <w:rPr>
                <w:noProof/>
                <w:webHidden/>
              </w:rPr>
              <w:fldChar w:fldCharType="separate"/>
            </w:r>
            <w:r>
              <w:rPr>
                <w:noProof/>
                <w:webHidden/>
              </w:rPr>
              <w:t>224</w:t>
            </w:r>
            <w:r>
              <w:rPr>
                <w:noProof/>
                <w:webHidden/>
              </w:rPr>
              <w:fldChar w:fldCharType="end"/>
            </w:r>
          </w:hyperlink>
        </w:p>
        <w:p w14:paraId="380BB6A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45" w:history="1">
            <w:r w:rsidRPr="000D551A">
              <w:rPr>
                <w:rStyle w:val="Lienhypertexte"/>
                <w:noProof/>
              </w:rPr>
              <w:t>41.42.4 Systèmes de façade VEC - structure mixte CCTB 01.02</w:t>
            </w:r>
            <w:r>
              <w:rPr>
                <w:noProof/>
                <w:webHidden/>
              </w:rPr>
              <w:tab/>
            </w:r>
            <w:r>
              <w:rPr>
                <w:noProof/>
                <w:webHidden/>
              </w:rPr>
              <w:fldChar w:fldCharType="begin"/>
            </w:r>
            <w:r>
              <w:rPr>
                <w:noProof/>
                <w:webHidden/>
              </w:rPr>
              <w:instrText xml:space="preserve"> PAGEREF _Toc220489945 \h </w:instrText>
            </w:r>
            <w:r>
              <w:rPr>
                <w:noProof/>
                <w:webHidden/>
              </w:rPr>
            </w:r>
            <w:r>
              <w:rPr>
                <w:noProof/>
                <w:webHidden/>
              </w:rPr>
              <w:fldChar w:fldCharType="separate"/>
            </w:r>
            <w:r>
              <w:rPr>
                <w:noProof/>
                <w:webHidden/>
              </w:rPr>
              <w:t>227</w:t>
            </w:r>
            <w:r>
              <w:rPr>
                <w:noProof/>
                <w:webHidden/>
              </w:rPr>
              <w:fldChar w:fldCharType="end"/>
            </w:r>
          </w:hyperlink>
        </w:p>
        <w:p w14:paraId="346B159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46" w:history="1">
            <w:r w:rsidRPr="000D551A">
              <w:rPr>
                <w:rStyle w:val="Lienhypertexte"/>
                <w:noProof/>
              </w:rPr>
              <w:t>41.42.4a Systèmes de façade VEC - structure mixte</w:t>
            </w:r>
            <w:r>
              <w:rPr>
                <w:noProof/>
                <w:webHidden/>
              </w:rPr>
              <w:tab/>
            </w:r>
            <w:r>
              <w:rPr>
                <w:noProof/>
                <w:webHidden/>
              </w:rPr>
              <w:fldChar w:fldCharType="begin"/>
            </w:r>
            <w:r>
              <w:rPr>
                <w:noProof/>
                <w:webHidden/>
              </w:rPr>
              <w:instrText xml:space="preserve"> PAGEREF _Toc220489946 \h </w:instrText>
            </w:r>
            <w:r>
              <w:rPr>
                <w:noProof/>
                <w:webHidden/>
              </w:rPr>
            </w:r>
            <w:r>
              <w:rPr>
                <w:noProof/>
                <w:webHidden/>
              </w:rPr>
              <w:fldChar w:fldCharType="separate"/>
            </w:r>
            <w:r>
              <w:rPr>
                <w:noProof/>
                <w:webHidden/>
              </w:rPr>
              <w:t>227</w:t>
            </w:r>
            <w:r>
              <w:rPr>
                <w:noProof/>
                <w:webHidden/>
              </w:rPr>
              <w:fldChar w:fldCharType="end"/>
            </w:r>
          </w:hyperlink>
        </w:p>
        <w:p w14:paraId="0B27EB12"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947" w:history="1">
            <w:r w:rsidRPr="000D551A">
              <w:rPr>
                <w:rStyle w:val="Lienhypertexte"/>
                <w:noProof/>
              </w:rPr>
              <w:t>41.43 Systèmes de façade VEA (vitrage extérieur attaché) CCTB 01.02</w:t>
            </w:r>
            <w:r>
              <w:rPr>
                <w:noProof/>
                <w:webHidden/>
              </w:rPr>
              <w:tab/>
            </w:r>
            <w:r>
              <w:rPr>
                <w:noProof/>
                <w:webHidden/>
              </w:rPr>
              <w:fldChar w:fldCharType="begin"/>
            </w:r>
            <w:r>
              <w:rPr>
                <w:noProof/>
                <w:webHidden/>
              </w:rPr>
              <w:instrText xml:space="preserve"> PAGEREF _Toc220489947 \h </w:instrText>
            </w:r>
            <w:r>
              <w:rPr>
                <w:noProof/>
                <w:webHidden/>
              </w:rPr>
            </w:r>
            <w:r>
              <w:rPr>
                <w:noProof/>
                <w:webHidden/>
              </w:rPr>
              <w:fldChar w:fldCharType="separate"/>
            </w:r>
            <w:r>
              <w:rPr>
                <w:noProof/>
                <w:webHidden/>
              </w:rPr>
              <w:t>227</w:t>
            </w:r>
            <w:r>
              <w:rPr>
                <w:noProof/>
                <w:webHidden/>
              </w:rPr>
              <w:fldChar w:fldCharType="end"/>
            </w:r>
          </w:hyperlink>
        </w:p>
        <w:p w14:paraId="1571C145"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48" w:history="1">
            <w:r w:rsidRPr="000D551A">
              <w:rPr>
                <w:rStyle w:val="Lienhypertexte"/>
                <w:noProof/>
              </w:rPr>
              <w:t>41.43.1 Systèmes de façade VEA - structure bois CCTB 01.02</w:t>
            </w:r>
            <w:r>
              <w:rPr>
                <w:noProof/>
                <w:webHidden/>
              </w:rPr>
              <w:tab/>
            </w:r>
            <w:r>
              <w:rPr>
                <w:noProof/>
                <w:webHidden/>
              </w:rPr>
              <w:fldChar w:fldCharType="begin"/>
            </w:r>
            <w:r>
              <w:rPr>
                <w:noProof/>
                <w:webHidden/>
              </w:rPr>
              <w:instrText xml:space="preserve"> PAGEREF _Toc220489948 \h </w:instrText>
            </w:r>
            <w:r>
              <w:rPr>
                <w:noProof/>
                <w:webHidden/>
              </w:rPr>
            </w:r>
            <w:r>
              <w:rPr>
                <w:noProof/>
                <w:webHidden/>
              </w:rPr>
              <w:fldChar w:fldCharType="separate"/>
            </w:r>
            <w:r>
              <w:rPr>
                <w:noProof/>
                <w:webHidden/>
              </w:rPr>
              <w:t>227</w:t>
            </w:r>
            <w:r>
              <w:rPr>
                <w:noProof/>
                <w:webHidden/>
              </w:rPr>
              <w:fldChar w:fldCharType="end"/>
            </w:r>
          </w:hyperlink>
        </w:p>
        <w:p w14:paraId="4810429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49" w:history="1">
            <w:r w:rsidRPr="000D551A">
              <w:rPr>
                <w:rStyle w:val="Lienhypertexte"/>
                <w:noProof/>
              </w:rPr>
              <w:t>41.43.1a Systèmes de façade VEA - structure bois</w:t>
            </w:r>
            <w:r>
              <w:rPr>
                <w:noProof/>
                <w:webHidden/>
              </w:rPr>
              <w:tab/>
            </w:r>
            <w:r>
              <w:rPr>
                <w:noProof/>
                <w:webHidden/>
              </w:rPr>
              <w:fldChar w:fldCharType="begin"/>
            </w:r>
            <w:r>
              <w:rPr>
                <w:noProof/>
                <w:webHidden/>
              </w:rPr>
              <w:instrText xml:space="preserve"> PAGEREF _Toc220489949 \h </w:instrText>
            </w:r>
            <w:r>
              <w:rPr>
                <w:noProof/>
                <w:webHidden/>
              </w:rPr>
            </w:r>
            <w:r>
              <w:rPr>
                <w:noProof/>
                <w:webHidden/>
              </w:rPr>
              <w:fldChar w:fldCharType="separate"/>
            </w:r>
            <w:r>
              <w:rPr>
                <w:noProof/>
                <w:webHidden/>
              </w:rPr>
              <w:t>227</w:t>
            </w:r>
            <w:r>
              <w:rPr>
                <w:noProof/>
                <w:webHidden/>
              </w:rPr>
              <w:fldChar w:fldCharType="end"/>
            </w:r>
          </w:hyperlink>
        </w:p>
        <w:p w14:paraId="32D7827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50" w:history="1">
            <w:r w:rsidRPr="000D551A">
              <w:rPr>
                <w:rStyle w:val="Lienhypertexte"/>
                <w:noProof/>
              </w:rPr>
              <w:t>41.43.2 Systèmes de façade VEA - structure inox CCTB 01.02</w:t>
            </w:r>
            <w:r>
              <w:rPr>
                <w:noProof/>
                <w:webHidden/>
              </w:rPr>
              <w:tab/>
            </w:r>
            <w:r>
              <w:rPr>
                <w:noProof/>
                <w:webHidden/>
              </w:rPr>
              <w:fldChar w:fldCharType="begin"/>
            </w:r>
            <w:r>
              <w:rPr>
                <w:noProof/>
                <w:webHidden/>
              </w:rPr>
              <w:instrText xml:space="preserve"> PAGEREF _Toc220489950 \h </w:instrText>
            </w:r>
            <w:r>
              <w:rPr>
                <w:noProof/>
                <w:webHidden/>
              </w:rPr>
            </w:r>
            <w:r>
              <w:rPr>
                <w:noProof/>
                <w:webHidden/>
              </w:rPr>
              <w:fldChar w:fldCharType="separate"/>
            </w:r>
            <w:r>
              <w:rPr>
                <w:noProof/>
                <w:webHidden/>
              </w:rPr>
              <w:t>227</w:t>
            </w:r>
            <w:r>
              <w:rPr>
                <w:noProof/>
                <w:webHidden/>
              </w:rPr>
              <w:fldChar w:fldCharType="end"/>
            </w:r>
          </w:hyperlink>
        </w:p>
        <w:p w14:paraId="10B58A8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51" w:history="1">
            <w:r w:rsidRPr="000D551A">
              <w:rPr>
                <w:rStyle w:val="Lienhypertexte"/>
                <w:noProof/>
              </w:rPr>
              <w:t>41.43.2a Systèmes de façade VEA - structure inox</w:t>
            </w:r>
            <w:r>
              <w:rPr>
                <w:noProof/>
                <w:webHidden/>
              </w:rPr>
              <w:tab/>
            </w:r>
            <w:r>
              <w:rPr>
                <w:noProof/>
                <w:webHidden/>
              </w:rPr>
              <w:fldChar w:fldCharType="begin"/>
            </w:r>
            <w:r>
              <w:rPr>
                <w:noProof/>
                <w:webHidden/>
              </w:rPr>
              <w:instrText xml:space="preserve"> PAGEREF _Toc220489951 \h </w:instrText>
            </w:r>
            <w:r>
              <w:rPr>
                <w:noProof/>
                <w:webHidden/>
              </w:rPr>
            </w:r>
            <w:r>
              <w:rPr>
                <w:noProof/>
                <w:webHidden/>
              </w:rPr>
              <w:fldChar w:fldCharType="separate"/>
            </w:r>
            <w:r>
              <w:rPr>
                <w:noProof/>
                <w:webHidden/>
              </w:rPr>
              <w:t>227</w:t>
            </w:r>
            <w:r>
              <w:rPr>
                <w:noProof/>
                <w:webHidden/>
              </w:rPr>
              <w:fldChar w:fldCharType="end"/>
            </w:r>
          </w:hyperlink>
        </w:p>
        <w:p w14:paraId="1F90B28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52" w:history="1">
            <w:r w:rsidRPr="000D551A">
              <w:rPr>
                <w:rStyle w:val="Lienhypertexte"/>
                <w:noProof/>
              </w:rPr>
              <w:t>41.43.3 Systèmes de façade VEA - structure alu CCTB 01.02</w:t>
            </w:r>
            <w:r>
              <w:rPr>
                <w:noProof/>
                <w:webHidden/>
              </w:rPr>
              <w:tab/>
            </w:r>
            <w:r>
              <w:rPr>
                <w:noProof/>
                <w:webHidden/>
              </w:rPr>
              <w:fldChar w:fldCharType="begin"/>
            </w:r>
            <w:r>
              <w:rPr>
                <w:noProof/>
                <w:webHidden/>
              </w:rPr>
              <w:instrText xml:space="preserve"> PAGEREF _Toc220489952 \h </w:instrText>
            </w:r>
            <w:r>
              <w:rPr>
                <w:noProof/>
                <w:webHidden/>
              </w:rPr>
            </w:r>
            <w:r>
              <w:rPr>
                <w:noProof/>
                <w:webHidden/>
              </w:rPr>
              <w:fldChar w:fldCharType="separate"/>
            </w:r>
            <w:r>
              <w:rPr>
                <w:noProof/>
                <w:webHidden/>
              </w:rPr>
              <w:t>227</w:t>
            </w:r>
            <w:r>
              <w:rPr>
                <w:noProof/>
                <w:webHidden/>
              </w:rPr>
              <w:fldChar w:fldCharType="end"/>
            </w:r>
          </w:hyperlink>
        </w:p>
        <w:p w14:paraId="0D1D386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53" w:history="1">
            <w:r w:rsidRPr="000D551A">
              <w:rPr>
                <w:rStyle w:val="Lienhypertexte"/>
                <w:noProof/>
              </w:rPr>
              <w:t>41.43.3a Systèmes de façade VEA - structure alu CCTB 01.07</w:t>
            </w:r>
            <w:r>
              <w:rPr>
                <w:noProof/>
                <w:webHidden/>
              </w:rPr>
              <w:tab/>
            </w:r>
            <w:r>
              <w:rPr>
                <w:noProof/>
                <w:webHidden/>
              </w:rPr>
              <w:fldChar w:fldCharType="begin"/>
            </w:r>
            <w:r>
              <w:rPr>
                <w:noProof/>
                <w:webHidden/>
              </w:rPr>
              <w:instrText xml:space="preserve"> PAGEREF _Toc220489953 \h </w:instrText>
            </w:r>
            <w:r>
              <w:rPr>
                <w:noProof/>
                <w:webHidden/>
              </w:rPr>
            </w:r>
            <w:r>
              <w:rPr>
                <w:noProof/>
                <w:webHidden/>
              </w:rPr>
              <w:fldChar w:fldCharType="separate"/>
            </w:r>
            <w:r>
              <w:rPr>
                <w:noProof/>
                <w:webHidden/>
              </w:rPr>
              <w:t>227</w:t>
            </w:r>
            <w:r>
              <w:rPr>
                <w:noProof/>
                <w:webHidden/>
              </w:rPr>
              <w:fldChar w:fldCharType="end"/>
            </w:r>
          </w:hyperlink>
        </w:p>
        <w:p w14:paraId="3508FDE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54" w:history="1">
            <w:r w:rsidRPr="000D551A">
              <w:rPr>
                <w:rStyle w:val="Lienhypertexte"/>
                <w:noProof/>
              </w:rPr>
              <w:t>41.43.4 Systèmes de façade VEA - structure mixte CCTB 01.02</w:t>
            </w:r>
            <w:r>
              <w:rPr>
                <w:noProof/>
                <w:webHidden/>
              </w:rPr>
              <w:tab/>
            </w:r>
            <w:r>
              <w:rPr>
                <w:noProof/>
                <w:webHidden/>
              </w:rPr>
              <w:fldChar w:fldCharType="begin"/>
            </w:r>
            <w:r>
              <w:rPr>
                <w:noProof/>
                <w:webHidden/>
              </w:rPr>
              <w:instrText xml:space="preserve"> PAGEREF _Toc220489954 \h </w:instrText>
            </w:r>
            <w:r>
              <w:rPr>
                <w:noProof/>
                <w:webHidden/>
              </w:rPr>
            </w:r>
            <w:r>
              <w:rPr>
                <w:noProof/>
                <w:webHidden/>
              </w:rPr>
              <w:fldChar w:fldCharType="separate"/>
            </w:r>
            <w:r>
              <w:rPr>
                <w:noProof/>
                <w:webHidden/>
              </w:rPr>
              <w:t>227</w:t>
            </w:r>
            <w:r>
              <w:rPr>
                <w:noProof/>
                <w:webHidden/>
              </w:rPr>
              <w:fldChar w:fldCharType="end"/>
            </w:r>
          </w:hyperlink>
        </w:p>
        <w:p w14:paraId="3501CC9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55" w:history="1">
            <w:r w:rsidRPr="000D551A">
              <w:rPr>
                <w:rStyle w:val="Lienhypertexte"/>
                <w:noProof/>
              </w:rPr>
              <w:t>41.43.4a Systèmes de façade VEA - structure mixte CCTB 01.11</w:t>
            </w:r>
            <w:r>
              <w:rPr>
                <w:noProof/>
                <w:webHidden/>
              </w:rPr>
              <w:tab/>
            </w:r>
            <w:r>
              <w:rPr>
                <w:noProof/>
                <w:webHidden/>
              </w:rPr>
              <w:fldChar w:fldCharType="begin"/>
            </w:r>
            <w:r>
              <w:rPr>
                <w:noProof/>
                <w:webHidden/>
              </w:rPr>
              <w:instrText xml:space="preserve"> PAGEREF _Toc220489955 \h </w:instrText>
            </w:r>
            <w:r>
              <w:rPr>
                <w:noProof/>
                <w:webHidden/>
              </w:rPr>
            </w:r>
            <w:r>
              <w:rPr>
                <w:noProof/>
                <w:webHidden/>
              </w:rPr>
              <w:fldChar w:fldCharType="separate"/>
            </w:r>
            <w:r>
              <w:rPr>
                <w:noProof/>
                <w:webHidden/>
              </w:rPr>
              <w:t>227</w:t>
            </w:r>
            <w:r>
              <w:rPr>
                <w:noProof/>
                <w:webHidden/>
              </w:rPr>
              <w:fldChar w:fldCharType="end"/>
            </w:r>
          </w:hyperlink>
        </w:p>
        <w:p w14:paraId="21122A0D"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956" w:history="1">
            <w:r w:rsidRPr="000D551A">
              <w:rPr>
                <w:rStyle w:val="Lienhypertexte"/>
                <w:noProof/>
              </w:rPr>
              <w:t>41.44 Systèmes de façade double peau CCTB 01.02</w:t>
            </w:r>
            <w:r>
              <w:rPr>
                <w:noProof/>
                <w:webHidden/>
              </w:rPr>
              <w:tab/>
            </w:r>
            <w:r>
              <w:rPr>
                <w:noProof/>
                <w:webHidden/>
              </w:rPr>
              <w:fldChar w:fldCharType="begin"/>
            </w:r>
            <w:r>
              <w:rPr>
                <w:noProof/>
                <w:webHidden/>
              </w:rPr>
              <w:instrText xml:space="preserve"> PAGEREF _Toc220489956 \h </w:instrText>
            </w:r>
            <w:r>
              <w:rPr>
                <w:noProof/>
                <w:webHidden/>
              </w:rPr>
            </w:r>
            <w:r>
              <w:rPr>
                <w:noProof/>
                <w:webHidden/>
              </w:rPr>
              <w:fldChar w:fldCharType="separate"/>
            </w:r>
            <w:r>
              <w:rPr>
                <w:noProof/>
                <w:webHidden/>
              </w:rPr>
              <w:t>231</w:t>
            </w:r>
            <w:r>
              <w:rPr>
                <w:noProof/>
                <w:webHidden/>
              </w:rPr>
              <w:fldChar w:fldCharType="end"/>
            </w:r>
          </w:hyperlink>
        </w:p>
        <w:p w14:paraId="50E3F7D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57" w:history="1">
            <w:r w:rsidRPr="000D551A">
              <w:rPr>
                <w:rStyle w:val="Lienhypertexte"/>
                <w:noProof/>
              </w:rPr>
              <w:t>41.44.1 Systèmes de façade double peau CCTB 01.12</w:t>
            </w:r>
            <w:r>
              <w:rPr>
                <w:noProof/>
                <w:webHidden/>
              </w:rPr>
              <w:tab/>
            </w:r>
            <w:r>
              <w:rPr>
                <w:noProof/>
                <w:webHidden/>
              </w:rPr>
              <w:fldChar w:fldCharType="begin"/>
            </w:r>
            <w:r>
              <w:rPr>
                <w:noProof/>
                <w:webHidden/>
              </w:rPr>
              <w:instrText xml:space="preserve"> PAGEREF _Toc220489957 \h </w:instrText>
            </w:r>
            <w:r>
              <w:rPr>
                <w:noProof/>
                <w:webHidden/>
              </w:rPr>
            </w:r>
            <w:r>
              <w:rPr>
                <w:noProof/>
                <w:webHidden/>
              </w:rPr>
              <w:fldChar w:fldCharType="separate"/>
            </w:r>
            <w:r>
              <w:rPr>
                <w:noProof/>
                <w:webHidden/>
              </w:rPr>
              <w:t>232</w:t>
            </w:r>
            <w:r>
              <w:rPr>
                <w:noProof/>
                <w:webHidden/>
              </w:rPr>
              <w:fldChar w:fldCharType="end"/>
            </w:r>
          </w:hyperlink>
        </w:p>
        <w:p w14:paraId="54A8832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58" w:history="1">
            <w:r w:rsidRPr="000D551A">
              <w:rPr>
                <w:rStyle w:val="Lienhypertexte"/>
                <w:noProof/>
              </w:rPr>
              <w:t>41.44.1a Systèmes de façade double peau CCTB 01.12</w:t>
            </w:r>
            <w:r>
              <w:rPr>
                <w:noProof/>
                <w:webHidden/>
              </w:rPr>
              <w:tab/>
            </w:r>
            <w:r>
              <w:rPr>
                <w:noProof/>
                <w:webHidden/>
              </w:rPr>
              <w:fldChar w:fldCharType="begin"/>
            </w:r>
            <w:r>
              <w:rPr>
                <w:noProof/>
                <w:webHidden/>
              </w:rPr>
              <w:instrText xml:space="preserve"> PAGEREF _Toc220489958 \h </w:instrText>
            </w:r>
            <w:r>
              <w:rPr>
                <w:noProof/>
                <w:webHidden/>
              </w:rPr>
            </w:r>
            <w:r>
              <w:rPr>
                <w:noProof/>
                <w:webHidden/>
              </w:rPr>
              <w:fldChar w:fldCharType="separate"/>
            </w:r>
            <w:r>
              <w:rPr>
                <w:noProof/>
                <w:webHidden/>
              </w:rPr>
              <w:t>233</w:t>
            </w:r>
            <w:r>
              <w:rPr>
                <w:noProof/>
                <w:webHidden/>
              </w:rPr>
              <w:fldChar w:fldCharType="end"/>
            </w:r>
          </w:hyperlink>
        </w:p>
        <w:p w14:paraId="5FBCF710"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959" w:history="1">
            <w:r w:rsidRPr="000D551A">
              <w:rPr>
                <w:rStyle w:val="Lienhypertexte"/>
                <w:noProof/>
              </w:rPr>
              <w:t>41.45 Systèmes de façade synthétiques CCTB 01.02</w:t>
            </w:r>
            <w:r>
              <w:rPr>
                <w:noProof/>
                <w:webHidden/>
              </w:rPr>
              <w:tab/>
            </w:r>
            <w:r>
              <w:rPr>
                <w:noProof/>
                <w:webHidden/>
              </w:rPr>
              <w:fldChar w:fldCharType="begin"/>
            </w:r>
            <w:r>
              <w:rPr>
                <w:noProof/>
                <w:webHidden/>
              </w:rPr>
              <w:instrText xml:space="preserve"> PAGEREF _Toc220489959 \h </w:instrText>
            </w:r>
            <w:r>
              <w:rPr>
                <w:noProof/>
                <w:webHidden/>
              </w:rPr>
            </w:r>
            <w:r>
              <w:rPr>
                <w:noProof/>
                <w:webHidden/>
              </w:rPr>
              <w:fldChar w:fldCharType="separate"/>
            </w:r>
            <w:r>
              <w:rPr>
                <w:noProof/>
                <w:webHidden/>
              </w:rPr>
              <w:t>235</w:t>
            </w:r>
            <w:r>
              <w:rPr>
                <w:noProof/>
                <w:webHidden/>
              </w:rPr>
              <w:fldChar w:fldCharType="end"/>
            </w:r>
          </w:hyperlink>
        </w:p>
        <w:p w14:paraId="6F5F16F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60" w:history="1">
            <w:r w:rsidRPr="000D551A">
              <w:rPr>
                <w:rStyle w:val="Lienhypertexte"/>
                <w:noProof/>
              </w:rPr>
              <w:t>41.45.1 Systèmes de façade synthétiques</w:t>
            </w:r>
            <w:r>
              <w:rPr>
                <w:noProof/>
                <w:webHidden/>
              </w:rPr>
              <w:tab/>
            </w:r>
            <w:r>
              <w:rPr>
                <w:noProof/>
                <w:webHidden/>
              </w:rPr>
              <w:fldChar w:fldCharType="begin"/>
            </w:r>
            <w:r>
              <w:rPr>
                <w:noProof/>
                <w:webHidden/>
              </w:rPr>
              <w:instrText xml:space="preserve"> PAGEREF _Toc220489960 \h </w:instrText>
            </w:r>
            <w:r>
              <w:rPr>
                <w:noProof/>
                <w:webHidden/>
              </w:rPr>
            </w:r>
            <w:r>
              <w:rPr>
                <w:noProof/>
                <w:webHidden/>
              </w:rPr>
              <w:fldChar w:fldCharType="separate"/>
            </w:r>
            <w:r>
              <w:rPr>
                <w:noProof/>
                <w:webHidden/>
              </w:rPr>
              <w:t>235</w:t>
            </w:r>
            <w:r>
              <w:rPr>
                <w:noProof/>
                <w:webHidden/>
              </w:rPr>
              <w:fldChar w:fldCharType="end"/>
            </w:r>
          </w:hyperlink>
        </w:p>
        <w:p w14:paraId="2E01397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61" w:history="1">
            <w:r w:rsidRPr="000D551A">
              <w:rPr>
                <w:rStyle w:val="Lienhypertexte"/>
                <w:noProof/>
              </w:rPr>
              <w:t>41.45.1a Systèmes de façade synthétiques</w:t>
            </w:r>
            <w:r>
              <w:rPr>
                <w:noProof/>
                <w:webHidden/>
              </w:rPr>
              <w:tab/>
            </w:r>
            <w:r>
              <w:rPr>
                <w:noProof/>
                <w:webHidden/>
              </w:rPr>
              <w:fldChar w:fldCharType="begin"/>
            </w:r>
            <w:r>
              <w:rPr>
                <w:noProof/>
                <w:webHidden/>
              </w:rPr>
              <w:instrText xml:space="preserve"> PAGEREF _Toc220489961 \h </w:instrText>
            </w:r>
            <w:r>
              <w:rPr>
                <w:noProof/>
                <w:webHidden/>
              </w:rPr>
            </w:r>
            <w:r>
              <w:rPr>
                <w:noProof/>
                <w:webHidden/>
              </w:rPr>
              <w:fldChar w:fldCharType="separate"/>
            </w:r>
            <w:r>
              <w:rPr>
                <w:noProof/>
                <w:webHidden/>
              </w:rPr>
              <w:t>235</w:t>
            </w:r>
            <w:r>
              <w:rPr>
                <w:noProof/>
                <w:webHidden/>
              </w:rPr>
              <w:fldChar w:fldCharType="end"/>
            </w:r>
          </w:hyperlink>
        </w:p>
        <w:p w14:paraId="0005FFAB"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89962" w:history="1">
            <w:r w:rsidRPr="000D551A">
              <w:rPr>
                <w:rStyle w:val="Lienhypertexte"/>
                <w:noProof/>
              </w:rPr>
              <w:t>41.5 Volets et protections solaires extérieures CCTB 01.02</w:t>
            </w:r>
            <w:r>
              <w:rPr>
                <w:noProof/>
                <w:webHidden/>
              </w:rPr>
              <w:tab/>
            </w:r>
            <w:r>
              <w:rPr>
                <w:noProof/>
                <w:webHidden/>
              </w:rPr>
              <w:fldChar w:fldCharType="begin"/>
            </w:r>
            <w:r>
              <w:rPr>
                <w:noProof/>
                <w:webHidden/>
              </w:rPr>
              <w:instrText xml:space="preserve"> PAGEREF _Toc220489962 \h </w:instrText>
            </w:r>
            <w:r>
              <w:rPr>
                <w:noProof/>
                <w:webHidden/>
              </w:rPr>
            </w:r>
            <w:r>
              <w:rPr>
                <w:noProof/>
                <w:webHidden/>
              </w:rPr>
              <w:fldChar w:fldCharType="separate"/>
            </w:r>
            <w:r>
              <w:rPr>
                <w:noProof/>
                <w:webHidden/>
              </w:rPr>
              <w:t>235</w:t>
            </w:r>
            <w:r>
              <w:rPr>
                <w:noProof/>
                <w:webHidden/>
              </w:rPr>
              <w:fldChar w:fldCharType="end"/>
            </w:r>
          </w:hyperlink>
        </w:p>
        <w:p w14:paraId="012E0583"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89963" w:history="1">
            <w:r w:rsidRPr="000D551A">
              <w:rPr>
                <w:rStyle w:val="Lienhypertexte"/>
                <w:noProof/>
              </w:rPr>
              <w:t>41.51 Volets CCTB 01.11</w:t>
            </w:r>
            <w:r>
              <w:rPr>
                <w:noProof/>
                <w:webHidden/>
              </w:rPr>
              <w:tab/>
            </w:r>
            <w:r>
              <w:rPr>
                <w:noProof/>
                <w:webHidden/>
              </w:rPr>
              <w:fldChar w:fldCharType="begin"/>
            </w:r>
            <w:r>
              <w:rPr>
                <w:noProof/>
                <w:webHidden/>
              </w:rPr>
              <w:instrText xml:space="preserve"> PAGEREF _Toc220489963 \h </w:instrText>
            </w:r>
            <w:r>
              <w:rPr>
                <w:noProof/>
                <w:webHidden/>
              </w:rPr>
            </w:r>
            <w:r>
              <w:rPr>
                <w:noProof/>
                <w:webHidden/>
              </w:rPr>
              <w:fldChar w:fldCharType="separate"/>
            </w:r>
            <w:r>
              <w:rPr>
                <w:noProof/>
                <w:webHidden/>
              </w:rPr>
              <w:t>235</w:t>
            </w:r>
            <w:r>
              <w:rPr>
                <w:noProof/>
                <w:webHidden/>
              </w:rPr>
              <w:fldChar w:fldCharType="end"/>
            </w:r>
          </w:hyperlink>
        </w:p>
        <w:p w14:paraId="5D962385"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64" w:history="1">
            <w:r w:rsidRPr="000D551A">
              <w:rPr>
                <w:rStyle w:val="Lienhypertexte"/>
                <w:noProof/>
              </w:rPr>
              <w:t>41.51.1 Volets roulants encastrés CCTB 01.11</w:t>
            </w:r>
            <w:r>
              <w:rPr>
                <w:noProof/>
                <w:webHidden/>
              </w:rPr>
              <w:tab/>
            </w:r>
            <w:r>
              <w:rPr>
                <w:noProof/>
                <w:webHidden/>
              </w:rPr>
              <w:fldChar w:fldCharType="begin"/>
            </w:r>
            <w:r>
              <w:rPr>
                <w:noProof/>
                <w:webHidden/>
              </w:rPr>
              <w:instrText xml:space="preserve"> PAGEREF _Toc220489964 \h </w:instrText>
            </w:r>
            <w:r>
              <w:rPr>
                <w:noProof/>
                <w:webHidden/>
              </w:rPr>
            </w:r>
            <w:r>
              <w:rPr>
                <w:noProof/>
                <w:webHidden/>
              </w:rPr>
              <w:fldChar w:fldCharType="separate"/>
            </w:r>
            <w:r>
              <w:rPr>
                <w:noProof/>
                <w:webHidden/>
              </w:rPr>
              <w:t>242</w:t>
            </w:r>
            <w:r>
              <w:rPr>
                <w:noProof/>
                <w:webHidden/>
              </w:rPr>
              <w:fldChar w:fldCharType="end"/>
            </w:r>
          </w:hyperlink>
        </w:p>
        <w:p w14:paraId="63DD7DE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65" w:history="1">
            <w:r w:rsidRPr="000D551A">
              <w:rPr>
                <w:rStyle w:val="Lienhypertexte"/>
                <w:noProof/>
              </w:rPr>
              <w:t>41.51.1a Volets roulants encastrés en bois massif / lamellé-collé</w:t>
            </w:r>
            <w:r>
              <w:rPr>
                <w:noProof/>
                <w:webHidden/>
              </w:rPr>
              <w:tab/>
            </w:r>
            <w:r>
              <w:rPr>
                <w:noProof/>
                <w:webHidden/>
              </w:rPr>
              <w:fldChar w:fldCharType="begin"/>
            </w:r>
            <w:r>
              <w:rPr>
                <w:noProof/>
                <w:webHidden/>
              </w:rPr>
              <w:instrText xml:space="preserve"> PAGEREF _Toc220489965 \h </w:instrText>
            </w:r>
            <w:r>
              <w:rPr>
                <w:noProof/>
                <w:webHidden/>
              </w:rPr>
            </w:r>
            <w:r>
              <w:rPr>
                <w:noProof/>
                <w:webHidden/>
              </w:rPr>
              <w:fldChar w:fldCharType="separate"/>
            </w:r>
            <w:r>
              <w:rPr>
                <w:noProof/>
                <w:webHidden/>
              </w:rPr>
              <w:t>244</w:t>
            </w:r>
            <w:r>
              <w:rPr>
                <w:noProof/>
                <w:webHidden/>
              </w:rPr>
              <w:fldChar w:fldCharType="end"/>
            </w:r>
          </w:hyperlink>
        </w:p>
        <w:p w14:paraId="4333C1E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66" w:history="1">
            <w:r w:rsidRPr="000D551A">
              <w:rPr>
                <w:rStyle w:val="Lienhypertexte"/>
                <w:noProof/>
              </w:rPr>
              <w:t>41.51.1b Volets roulants encastrés en aluminium CCTB 01.11</w:t>
            </w:r>
            <w:r>
              <w:rPr>
                <w:noProof/>
                <w:webHidden/>
              </w:rPr>
              <w:tab/>
            </w:r>
            <w:r>
              <w:rPr>
                <w:noProof/>
                <w:webHidden/>
              </w:rPr>
              <w:fldChar w:fldCharType="begin"/>
            </w:r>
            <w:r>
              <w:rPr>
                <w:noProof/>
                <w:webHidden/>
              </w:rPr>
              <w:instrText xml:space="preserve"> PAGEREF _Toc220489966 \h </w:instrText>
            </w:r>
            <w:r>
              <w:rPr>
                <w:noProof/>
                <w:webHidden/>
              </w:rPr>
            </w:r>
            <w:r>
              <w:rPr>
                <w:noProof/>
                <w:webHidden/>
              </w:rPr>
              <w:fldChar w:fldCharType="separate"/>
            </w:r>
            <w:r>
              <w:rPr>
                <w:noProof/>
                <w:webHidden/>
              </w:rPr>
              <w:t>244</w:t>
            </w:r>
            <w:r>
              <w:rPr>
                <w:noProof/>
                <w:webHidden/>
              </w:rPr>
              <w:fldChar w:fldCharType="end"/>
            </w:r>
          </w:hyperlink>
        </w:p>
        <w:p w14:paraId="33A1F96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67" w:history="1">
            <w:r w:rsidRPr="000D551A">
              <w:rPr>
                <w:rStyle w:val="Lienhypertexte"/>
                <w:noProof/>
              </w:rPr>
              <w:t>41.51.1c Volets roulants encastrés en acier</w:t>
            </w:r>
            <w:r>
              <w:rPr>
                <w:noProof/>
                <w:webHidden/>
              </w:rPr>
              <w:tab/>
            </w:r>
            <w:r>
              <w:rPr>
                <w:noProof/>
                <w:webHidden/>
              </w:rPr>
              <w:fldChar w:fldCharType="begin"/>
            </w:r>
            <w:r>
              <w:rPr>
                <w:noProof/>
                <w:webHidden/>
              </w:rPr>
              <w:instrText xml:space="preserve"> PAGEREF _Toc220489967 \h </w:instrText>
            </w:r>
            <w:r>
              <w:rPr>
                <w:noProof/>
                <w:webHidden/>
              </w:rPr>
            </w:r>
            <w:r>
              <w:rPr>
                <w:noProof/>
                <w:webHidden/>
              </w:rPr>
              <w:fldChar w:fldCharType="separate"/>
            </w:r>
            <w:r>
              <w:rPr>
                <w:noProof/>
                <w:webHidden/>
              </w:rPr>
              <w:t>248</w:t>
            </w:r>
            <w:r>
              <w:rPr>
                <w:noProof/>
                <w:webHidden/>
              </w:rPr>
              <w:fldChar w:fldCharType="end"/>
            </w:r>
          </w:hyperlink>
        </w:p>
        <w:p w14:paraId="67EAD43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68" w:history="1">
            <w:r w:rsidRPr="000D551A">
              <w:rPr>
                <w:rStyle w:val="Lienhypertexte"/>
                <w:noProof/>
              </w:rPr>
              <w:t>41.51.1d Volets roulants encastrés en PVC CCTB 01.11</w:t>
            </w:r>
            <w:r>
              <w:rPr>
                <w:noProof/>
                <w:webHidden/>
              </w:rPr>
              <w:tab/>
            </w:r>
            <w:r>
              <w:rPr>
                <w:noProof/>
                <w:webHidden/>
              </w:rPr>
              <w:fldChar w:fldCharType="begin"/>
            </w:r>
            <w:r>
              <w:rPr>
                <w:noProof/>
                <w:webHidden/>
              </w:rPr>
              <w:instrText xml:space="preserve"> PAGEREF _Toc220489968 \h </w:instrText>
            </w:r>
            <w:r>
              <w:rPr>
                <w:noProof/>
                <w:webHidden/>
              </w:rPr>
            </w:r>
            <w:r>
              <w:rPr>
                <w:noProof/>
                <w:webHidden/>
              </w:rPr>
              <w:fldChar w:fldCharType="separate"/>
            </w:r>
            <w:r>
              <w:rPr>
                <w:noProof/>
                <w:webHidden/>
              </w:rPr>
              <w:t>248</w:t>
            </w:r>
            <w:r>
              <w:rPr>
                <w:noProof/>
                <w:webHidden/>
              </w:rPr>
              <w:fldChar w:fldCharType="end"/>
            </w:r>
          </w:hyperlink>
        </w:p>
        <w:p w14:paraId="36DD1BD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69" w:history="1">
            <w:r w:rsidRPr="000D551A">
              <w:rPr>
                <w:rStyle w:val="Lienhypertexte"/>
                <w:noProof/>
              </w:rPr>
              <w:t>41.51.1e Volets roulants encastrés en matériaux composites</w:t>
            </w:r>
            <w:r>
              <w:rPr>
                <w:noProof/>
                <w:webHidden/>
              </w:rPr>
              <w:tab/>
            </w:r>
            <w:r>
              <w:rPr>
                <w:noProof/>
                <w:webHidden/>
              </w:rPr>
              <w:fldChar w:fldCharType="begin"/>
            </w:r>
            <w:r>
              <w:rPr>
                <w:noProof/>
                <w:webHidden/>
              </w:rPr>
              <w:instrText xml:space="preserve"> PAGEREF _Toc220489969 \h </w:instrText>
            </w:r>
            <w:r>
              <w:rPr>
                <w:noProof/>
                <w:webHidden/>
              </w:rPr>
            </w:r>
            <w:r>
              <w:rPr>
                <w:noProof/>
                <w:webHidden/>
              </w:rPr>
              <w:fldChar w:fldCharType="separate"/>
            </w:r>
            <w:r>
              <w:rPr>
                <w:noProof/>
                <w:webHidden/>
              </w:rPr>
              <w:t>249</w:t>
            </w:r>
            <w:r>
              <w:rPr>
                <w:noProof/>
                <w:webHidden/>
              </w:rPr>
              <w:fldChar w:fldCharType="end"/>
            </w:r>
          </w:hyperlink>
        </w:p>
        <w:p w14:paraId="5B823F0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70" w:history="1">
            <w:r w:rsidRPr="000D551A">
              <w:rPr>
                <w:rStyle w:val="Lienhypertexte"/>
                <w:noProof/>
              </w:rPr>
              <w:t>41.51.2 Volets roulants appliqués CCTB 01.11</w:t>
            </w:r>
            <w:r>
              <w:rPr>
                <w:noProof/>
                <w:webHidden/>
              </w:rPr>
              <w:tab/>
            </w:r>
            <w:r>
              <w:rPr>
                <w:noProof/>
                <w:webHidden/>
              </w:rPr>
              <w:fldChar w:fldCharType="begin"/>
            </w:r>
            <w:r>
              <w:rPr>
                <w:noProof/>
                <w:webHidden/>
              </w:rPr>
              <w:instrText xml:space="preserve"> PAGEREF _Toc220489970 \h </w:instrText>
            </w:r>
            <w:r>
              <w:rPr>
                <w:noProof/>
                <w:webHidden/>
              </w:rPr>
            </w:r>
            <w:r>
              <w:rPr>
                <w:noProof/>
                <w:webHidden/>
              </w:rPr>
              <w:fldChar w:fldCharType="separate"/>
            </w:r>
            <w:r>
              <w:rPr>
                <w:noProof/>
                <w:webHidden/>
              </w:rPr>
              <w:t>249</w:t>
            </w:r>
            <w:r>
              <w:rPr>
                <w:noProof/>
                <w:webHidden/>
              </w:rPr>
              <w:fldChar w:fldCharType="end"/>
            </w:r>
          </w:hyperlink>
        </w:p>
        <w:p w14:paraId="2EB9D32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71" w:history="1">
            <w:r w:rsidRPr="000D551A">
              <w:rPr>
                <w:rStyle w:val="Lienhypertexte"/>
                <w:noProof/>
              </w:rPr>
              <w:t>41.51.2a Volets roulants appliqués en bois massif / lamellé-collé</w:t>
            </w:r>
            <w:r>
              <w:rPr>
                <w:noProof/>
                <w:webHidden/>
              </w:rPr>
              <w:tab/>
            </w:r>
            <w:r>
              <w:rPr>
                <w:noProof/>
                <w:webHidden/>
              </w:rPr>
              <w:fldChar w:fldCharType="begin"/>
            </w:r>
            <w:r>
              <w:rPr>
                <w:noProof/>
                <w:webHidden/>
              </w:rPr>
              <w:instrText xml:space="preserve"> PAGEREF _Toc220489971 \h </w:instrText>
            </w:r>
            <w:r>
              <w:rPr>
                <w:noProof/>
                <w:webHidden/>
              </w:rPr>
            </w:r>
            <w:r>
              <w:rPr>
                <w:noProof/>
                <w:webHidden/>
              </w:rPr>
              <w:fldChar w:fldCharType="separate"/>
            </w:r>
            <w:r>
              <w:rPr>
                <w:noProof/>
                <w:webHidden/>
              </w:rPr>
              <w:t>252</w:t>
            </w:r>
            <w:r>
              <w:rPr>
                <w:noProof/>
                <w:webHidden/>
              </w:rPr>
              <w:fldChar w:fldCharType="end"/>
            </w:r>
          </w:hyperlink>
        </w:p>
        <w:p w14:paraId="29E65B8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72" w:history="1">
            <w:r w:rsidRPr="000D551A">
              <w:rPr>
                <w:rStyle w:val="Lienhypertexte"/>
                <w:noProof/>
              </w:rPr>
              <w:t>41.51.2b Volets roulants appliqués en aluminium</w:t>
            </w:r>
            <w:r>
              <w:rPr>
                <w:noProof/>
                <w:webHidden/>
              </w:rPr>
              <w:tab/>
            </w:r>
            <w:r>
              <w:rPr>
                <w:noProof/>
                <w:webHidden/>
              </w:rPr>
              <w:fldChar w:fldCharType="begin"/>
            </w:r>
            <w:r>
              <w:rPr>
                <w:noProof/>
                <w:webHidden/>
              </w:rPr>
              <w:instrText xml:space="preserve"> PAGEREF _Toc220489972 \h </w:instrText>
            </w:r>
            <w:r>
              <w:rPr>
                <w:noProof/>
                <w:webHidden/>
              </w:rPr>
            </w:r>
            <w:r>
              <w:rPr>
                <w:noProof/>
                <w:webHidden/>
              </w:rPr>
              <w:fldChar w:fldCharType="separate"/>
            </w:r>
            <w:r>
              <w:rPr>
                <w:noProof/>
                <w:webHidden/>
              </w:rPr>
              <w:t>252</w:t>
            </w:r>
            <w:r>
              <w:rPr>
                <w:noProof/>
                <w:webHidden/>
              </w:rPr>
              <w:fldChar w:fldCharType="end"/>
            </w:r>
          </w:hyperlink>
        </w:p>
        <w:p w14:paraId="05532F0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73" w:history="1">
            <w:r w:rsidRPr="000D551A">
              <w:rPr>
                <w:rStyle w:val="Lienhypertexte"/>
                <w:noProof/>
              </w:rPr>
              <w:t>41.51.2c Volets roulants appliqués en acier</w:t>
            </w:r>
            <w:r>
              <w:rPr>
                <w:noProof/>
                <w:webHidden/>
              </w:rPr>
              <w:tab/>
            </w:r>
            <w:r>
              <w:rPr>
                <w:noProof/>
                <w:webHidden/>
              </w:rPr>
              <w:fldChar w:fldCharType="begin"/>
            </w:r>
            <w:r>
              <w:rPr>
                <w:noProof/>
                <w:webHidden/>
              </w:rPr>
              <w:instrText xml:space="preserve"> PAGEREF _Toc220489973 \h </w:instrText>
            </w:r>
            <w:r>
              <w:rPr>
                <w:noProof/>
                <w:webHidden/>
              </w:rPr>
            </w:r>
            <w:r>
              <w:rPr>
                <w:noProof/>
                <w:webHidden/>
              </w:rPr>
              <w:fldChar w:fldCharType="separate"/>
            </w:r>
            <w:r>
              <w:rPr>
                <w:noProof/>
                <w:webHidden/>
              </w:rPr>
              <w:t>252</w:t>
            </w:r>
            <w:r>
              <w:rPr>
                <w:noProof/>
                <w:webHidden/>
              </w:rPr>
              <w:fldChar w:fldCharType="end"/>
            </w:r>
          </w:hyperlink>
        </w:p>
        <w:p w14:paraId="633EF9B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74" w:history="1">
            <w:r w:rsidRPr="000D551A">
              <w:rPr>
                <w:rStyle w:val="Lienhypertexte"/>
                <w:noProof/>
              </w:rPr>
              <w:t>41.51.2d Volets roulants appliqués en PVC CCTB 01.10</w:t>
            </w:r>
            <w:r>
              <w:rPr>
                <w:noProof/>
                <w:webHidden/>
              </w:rPr>
              <w:tab/>
            </w:r>
            <w:r>
              <w:rPr>
                <w:noProof/>
                <w:webHidden/>
              </w:rPr>
              <w:fldChar w:fldCharType="begin"/>
            </w:r>
            <w:r>
              <w:rPr>
                <w:noProof/>
                <w:webHidden/>
              </w:rPr>
              <w:instrText xml:space="preserve"> PAGEREF _Toc220489974 \h </w:instrText>
            </w:r>
            <w:r>
              <w:rPr>
                <w:noProof/>
                <w:webHidden/>
              </w:rPr>
            </w:r>
            <w:r>
              <w:rPr>
                <w:noProof/>
                <w:webHidden/>
              </w:rPr>
              <w:fldChar w:fldCharType="separate"/>
            </w:r>
            <w:r>
              <w:rPr>
                <w:noProof/>
                <w:webHidden/>
              </w:rPr>
              <w:t>252</w:t>
            </w:r>
            <w:r>
              <w:rPr>
                <w:noProof/>
                <w:webHidden/>
              </w:rPr>
              <w:fldChar w:fldCharType="end"/>
            </w:r>
          </w:hyperlink>
        </w:p>
        <w:p w14:paraId="01FF2F8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75" w:history="1">
            <w:r w:rsidRPr="000D551A">
              <w:rPr>
                <w:rStyle w:val="Lienhypertexte"/>
                <w:noProof/>
              </w:rPr>
              <w:t>41.51.2e Volets roulants appliqués en matériaux composites</w:t>
            </w:r>
            <w:r>
              <w:rPr>
                <w:noProof/>
                <w:webHidden/>
              </w:rPr>
              <w:tab/>
            </w:r>
            <w:r>
              <w:rPr>
                <w:noProof/>
                <w:webHidden/>
              </w:rPr>
              <w:fldChar w:fldCharType="begin"/>
            </w:r>
            <w:r>
              <w:rPr>
                <w:noProof/>
                <w:webHidden/>
              </w:rPr>
              <w:instrText xml:space="preserve"> PAGEREF _Toc220489975 \h </w:instrText>
            </w:r>
            <w:r>
              <w:rPr>
                <w:noProof/>
                <w:webHidden/>
              </w:rPr>
            </w:r>
            <w:r>
              <w:rPr>
                <w:noProof/>
                <w:webHidden/>
              </w:rPr>
              <w:fldChar w:fldCharType="separate"/>
            </w:r>
            <w:r>
              <w:rPr>
                <w:noProof/>
                <w:webHidden/>
              </w:rPr>
              <w:t>252</w:t>
            </w:r>
            <w:r>
              <w:rPr>
                <w:noProof/>
                <w:webHidden/>
              </w:rPr>
              <w:fldChar w:fldCharType="end"/>
            </w:r>
          </w:hyperlink>
        </w:p>
        <w:p w14:paraId="35CF61E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76" w:history="1">
            <w:r w:rsidRPr="000D551A">
              <w:rPr>
                <w:rStyle w:val="Lienhypertexte"/>
                <w:noProof/>
              </w:rPr>
              <w:t>41.51.3 Volets roulants projetants CCTB 01.11</w:t>
            </w:r>
            <w:r>
              <w:rPr>
                <w:noProof/>
                <w:webHidden/>
              </w:rPr>
              <w:tab/>
            </w:r>
            <w:r>
              <w:rPr>
                <w:noProof/>
                <w:webHidden/>
              </w:rPr>
              <w:fldChar w:fldCharType="begin"/>
            </w:r>
            <w:r>
              <w:rPr>
                <w:noProof/>
                <w:webHidden/>
              </w:rPr>
              <w:instrText xml:space="preserve"> PAGEREF _Toc220489976 \h </w:instrText>
            </w:r>
            <w:r>
              <w:rPr>
                <w:noProof/>
                <w:webHidden/>
              </w:rPr>
            </w:r>
            <w:r>
              <w:rPr>
                <w:noProof/>
                <w:webHidden/>
              </w:rPr>
              <w:fldChar w:fldCharType="separate"/>
            </w:r>
            <w:r>
              <w:rPr>
                <w:noProof/>
                <w:webHidden/>
              </w:rPr>
              <w:t>252</w:t>
            </w:r>
            <w:r>
              <w:rPr>
                <w:noProof/>
                <w:webHidden/>
              </w:rPr>
              <w:fldChar w:fldCharType="end"/>
            </w:r>
          </w:hyperlink>
        </w:p>
        <w:p w14:paraId="6FEAB6A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77" w:history="1">
            <w:r w:rsidRPr="000D551A">
              <w:rPr>
                <w:rStyle w:val="Lienhypertexte"/>
                <w:noProof/>
              </w:rPr>
              <w:t>41.51.3a Volets roulants projetants en bois massif / lamellé-collé</w:t>
            </w:r>
            <w:r>
              <w:rPr>
                <w:noProof/>
                <w:webHidden/>
              </w:rPr>
              <w:tab/>
            </w:r>
            <w:r>
              <w:rPr>
                <w:noProof/>
                <w:webHidden/>
              </w:rPr>
              <w:fldChar w:fldCharType="begin"/>
            </w:r>
            <w:r>
              <w:rPr>
                <w:noProof/>
                <w:webHidden/>
              </w:rPr>
              <w:instrText xml:space="preserve"> PAGEREF _Toc220489977 \h </w:instrText>
            </w:r>
            <w:r>
              <w:rPr>
                <w:noProof/>
                <w:webHidden/>
              </w:rPr>
            </w:r>
            <w:r>
              <w:rPr>
                <w:noProof/>
                <w:webHidden/>
              </w:rPr>
              <w:fldChar w:fldCharType="separate"/>
            </w:r>
            <w:r>
              <w:rPr>
                <w:noProof/>
                <w:webHidden/>
              </w:rPr>
              <w:t>254</w:t>
            </w:r>
            <w:r>
              <w:rPr>
                <w:noProof/>
                <w:webHidden/>
              </w:rPr>
              <w:fldChar w:fldCharType="end"/>
            </w:r>
          </w:hyperlink>
        </w:p>
        <w:p w14:paraId="1A6EF5B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78" w:history="1">
            <w:r w:rsidRPr="000D551A">
              <w:rPr>
                <w:rStyle w:val="Lienhypertexte"/>
                <w:noProof/>
              </w:rPr>
              <w:t>41.51.3b Volets roulants projetants en aluminium</w:t>
            </w:r>
            <w:r>
              <w:rPr>
                <w:noProof/>
                <w:webHidden/>
              </w:rPr>
              <w:tab/>
            </w:r>
            <w:r>
              <w:rPr>
                <w:noProof/>
                <w:webHidden/>
              </w:rPr>
              <w:fldChar w:fldCharType="begin"/>
            </w:r>
            <w:r>
              <w:rPr>
                <w:noProof/>
                <w:webHidden/>
              </w:rPr>
              <w:instrText xml:space="preserve"> PAGEREF _Toc220489978 \h </w:instrText>
            </w:r>
            <w:r>
              <w:rPr>
                <w:noProof/>
                <w:webHidden/>
              </w:rPr>
            </w:r>
            <w:r>
              <w:rPr>
                <w:noProof/>
                <w:webHidden/>
              </w:rPr>
              <w:fldChar w:fldCharType="separate"/>
            </w:r>
            <w:r>
              <w:rPr>
                <w:noProof/>
                <w:webHidden/>
              </w:rPr>
              <w:t>254</w:t>
            </w:r>
            <w:r>
              <w:rPr>
                <w:noProof/>
                <w:webHidden/>
              </w:rPr>
              <w:fldChar w:fldCharType="end"/>
            </w:r>
          </w:hyperlink>
        </w:p>
        <w:p w14:paraId="2DD4886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79" w:history="1">
            <w:r w:rsidRPr="000D551A">
              <w:rPr>
                <w:rStyle w:val="Lienhypertexte"/>
                <w:noProof/>
              </w:rPr>
              <w:t>41.51.3c Volets roulants projetants en acier</w:t>
            </w:r>
            <w:r>
              <w:rPr>
                <w:noProof/>
                <w:webHidden/>
              </w:rPr>
              <w:tab/>
            </w:r>
            <w:r>
              <w:rPr>
                <w:noProof/>
                <w:webHidden/>
              </w:rPr>
              <w:fldChar w:fldCharType="begin"/>
            </w:r>
            <w:r>
              <w:rPr>
                <w:noProof/>
                <w:webHidden/>
              </w:rPr>
              <w:instrText xml:space="preserve"> PAGEREF _Toc220489979 \h </w:instrText>
            </w:r>
            <w:r>
              <w:rPr>
                <w:noProof/>
                <w:webHidden/>
              </w:rPr>
            </w:r>
            <w:r>
              <w:rPr>
                <w:noProof/>
                <w:webHidden/>
              </w:rPr>
              <w:fldChar w:fldCharType="separate"/>
            </w:r>
            <w:r>
              <w:rPr>
                <w:noProof/>
                <w:webHidden/>
              </w:rPr>
              <w:t>254</w:t>
            </w:r>
            <w:r>
              <w:rPr>
                <w:noProof/>
                <w:webHidden/>
              </w:rPr>
              <w:fldChar w:fldCharType="end"/>
            </w:r>
          </w:hyperlink>
        </w:p>
        <w:p w14:paraId="4D81AFF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80" w:history="1">
            <w:r w:rsidRPr="000D551A">
              <w:rPr>
                <w:rStyle w:val="Lienhypertexte"/>
                <w:noProof/>
              </w:rPr>
              <w:t>41.51.3d Volets roulants projetants en PVC CCTB 01.11</w:t>
            </w:r>
            <w:r>
              <w:rPr>
                <w:noProof/>
                <w:webHidden/>
              </w:rPr>
              <w:tab/>
            </w:r>
            <w:r>
              <w:rPr>
                <w:noProof/>
                <w:webHidden/>
              </w:rPr>
              <w:fldChar w:fldCharType="begin"/>
            </w:r>
            <w:r>
              <w:rPr>
                <w:noProof/>
                <w:webHidden/>
              </w:rPr>
              <w:instrText xml:space="preserve"> PAGEREF _Toc220489980 \h </w:instrText>
            </w:r>
            <w:r>
              <w:rPr>
                <w:noProof/>
                <w:webHidden/>
              </w:rPr>
            </w:r>
            <w:r>
              <w:rPr>
                <w:noProof/>
                <w:webHidden/>
              </w:rPr>
              <w:fldChar w:fldCharType="separate"/>
            </w:r>
            <w:r>
              <w:rPr>
                <w:noProof/>
                <w:webHidden/>
              </w:rPr>
              <w:t>254</w:t>
            </w:r>
            <w:r>
              <w:rPr>
                <w:noProof/>
                <w:webHidden/>
              </w:rPr>
              <w:fldChar w:fldCharType="end"/>
            </w:r>
          </w:hyperlink>
        </w:p>
        <w:p w14:paraId="034924D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81" w:history="1">
            <w:r w:rsidRPr="000D551A">
              <w:rPr>
                <w:rStyle w:val="Lienhypertexte"/>
                <w:noProof/>
              </w:rPr>
              <w:t>41.51.3e Volets roulants projetants en matériaux composites</w:t>
            </w:r>
            <w:r>
              <w:rPr>
                <w:noProof/>
                <w:webHidden/>
              </w:rPr>
              <w:tab/>
            </w:r>
            <w:r>
              <w:rPr>
                <w:noProof/>
                <w:webHidden/>
              </w:rPr>
              <w:fldChar w:fldCharType="begin"/>
            </w:r>
            <w:r>
              <w:rPr>
                <w:noProof/>
                <w:webHidden/>
              </w:rPr>
              <w:instrText xml:space="preserve"> PAGEREF _Toc220489981 \h </w:instrText>
            </w:r>
            <w:r>
              <w:rPr>
                <w:noProof/>
                <w:webHidden/>
              </w:rPr>
            </w:r>
            <w:r>
              <w:rPr>
                <w:noProof/>
                <w:webHidden/>
              </w:rPr>
              <w:fldChar w:fldCharType="separate"/>
            </w:r>
            <w:r>
              <w:rPr>
                <w:noProof/>
                <w:webHidden/>
              </w:rPr>
              <w:t>255</w:t>
            </w:r>
            <w:r>
              <w:rPr>
                <w:noProof/>
                <w:webHidden/>
              </w:rPr>
              <w:fldChar w:fldCharType="end"/>
            </w:r>
          </w:hyperlink>
        </w:p>
        <w:p w14:paraId="28176B8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82" w:history="1">
            <w:r w:rsidRPr="000D551A">
              <w:rPr>
                <w:rStyle w:val="Lienhypertexte"/>
                <w:noProof/>
              </w:rPr>
              <w:t>41.51.4 Volets battants CCTB 01.02</w:t>
            </w:r>
            <w:r>
              <w:rPr>
                <w:noProof/>
                <w:webHidden/>
              </w:rPr>
              <w:tab/>
            </w:r>
            <w:r>
              <w:rPr>
                <w:noProof/>
                <w:webHidden/>
              </w:rPr>
              <w:fldChar w:fldCharType="begin"/>
            </w:r>
            <w:r>
              <w:rPr>
                <w:noProof/>
                <w:webHidden/>
              </w:rPr>
              <w:instrText xml:space="preserve"> PAGEREF _Toc220489982 \h </w:instrText>
            </w:r>
            <w:r>
              <w:rPr>
                <w:noProof/>
                <w:webHidden/>
              </w:rPr>
            </w:r>
            <w:r>
              <w:rPr>
                <w:noProof/>
                <w:webHidden/>
              </w:rPr>
              <w:fldChar w:fldCharType="separate"/>
            </w:r>
            <w:r>
              <w:rPr>
                <w:noProof/>
                <w:webHidden/>
              </w:rPr>
              <w:t>255</w:t>
            </w:r>
            <w:r>
              <w:rPr>
                <w:noProof/>
                <w:webHidden/>
              </w:rPr>
              <w:fldChar w:fldCharType="end"/>
            </w:r>
          </w:hyperlink>
        </w:p>
        <w:p w14:paraId="2585EE7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83" w:history="1">
            <w:r w:rsidRPr="000D551A">
              <w:rPr>
                <w:rStyle w:val="Lienhypertexte"/>
                <w:noProof/>
              </w:rPr>
              <w:t>41.51.4a Volets battants en bois massif / lamellé-collé</w:t>
            </w:r>
            <w:r>
              <w:rPr>
                <w:noProof/>
                <w:webHidden/>
              </w:rPr>
              <w:tab/>
            </w:r>
            <w:r>
              <w:rPr>
                <w:noProof/>
                <w:webHidden/>
              </w:rPr>
              <w:fldChar w:fldCharType="begin"/>
            </w:r>
            <w:r>
              <w:rPr>
                <w:noProof/>
                <w:webHidden/>
              </w:rPr>
              <w:instrText xml:space="preserve"> PAGEREF _Toc220489983 \h </w:instrText>
            </w:r>
            <w:r>
              <w:rPr>
                <w:noProof/>
                <w:webHidden/>
              </w:rPr>
            </w:r>
            <w:r>
              <w:rPr>
                <w:noProof/>
                <w:webHidden/>
              </w:rPr>
              <w:fldChar w:fldCharType="separate"/>
            </w:r>
            <w:r>
              <w:rPr>
                <w:noProof/>
                <w:webHidden/>
              </w:rPr>
              <w:t>255</w:t>
            </w:r>
            <w:r>
              <w:rPr>
                <w:noProof/>
                <w:webHidden/>
              </w:rPr>
              <w:fldChar w:fldCharType="end"/>
            </w:r>
          </w:hyperlink>
        </w:p>
        <w:p w14:paraId="1E195D5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84" w:history="1">
            <w:r w:rsidRPr="000D551A">
              <w:rPr>
                <w:rStyle w:val="Lienhypertexte"/>
                <w:noProof/>
              </w:rPr>
              <w:t>41.51.4b Volets battants en aluminium</w:t>
            </w:r>
            <w:r>
              <w:rPr>
                <w:noProof/>
                <w:webHidden/>
              </w:rPr>
              <w:tab/>
            </w:r>
            <w:r>
              <w:rPr>
                <w:noProof/>
                <w:webHidden/>
              </w:rPr>
              <w:fldChar w:fldCharType="begin"/>
            </w:r>
            <w:r>
              <w:rPr>
                <w:noProof/>
                <w:webHidden/>
              </w:rPr>
              <w:instrText xml:space="preserve"> PAGEREF _Toc220489984 \h </w:instrText>
            </w:r>
            <w:r>
              <w:rPr>
                <w:noProof/>
                <w:webHidden/>
              </w:rPr>
            </w:r>
            <w:r>
              <w:rPr>
                <w:noProof/>
                <w:webHidden/>
              </w:rPr>
              <w:fldChar w:fldCharType="separate"/>
            </w:r>
            <w:r>
              <w:rPr>
                <w:noProof/>
                <w:webHidden/>
              </w:rPr>
              <w:t>255</w:t>
            </w:r>
            <w:r>
              <w:rPr>
                <w:noProof/>
                <w:webHidden/>
              </w:rPr>
              <w:fldChar w:fldCharType="end"/>
            </w:r>
          </w:hyperlink>
        </w:p>
        <w:p w14:paraId="4E1D8DF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85" w:history="1">
            <w:r w:rsidRPr="000D551A">
              <w:rPr>
                <w:rStyle w:val="Lienhypertexte"/>
                <w:noProof/>
              </w:rPr>
              <w:t>41.51.4c Volets battants en acier</w:t>
            </w:r>
            <w:r>
              <w:rPr>
                <w:noProof/>
                <w:webHidden/>
              </w:rPr>
              <w:tab/>
            </w:r>
            <w:r>
              <w:rPr>
                <w:noProof/>
                <w:webHidden/>
              </w:rPr>
              <w:fldChar w:fldCharType="begin"/>
            </w:r>
            <w:r>
              <w:rPr>
                <w:noProof/>
                <w:webHidden/>
              </w:rPr>
              <w:instrText xml:space="preserve"> PAGEREF _Toc220489985 \h </w:instrText>
            </w:r>
            <w:r>
              <w:rPr>
                <w:noProof/>
                <w:webHidden/>
              </w:rPr>
            </w:r>
            <w:r>
              <w:rPr>
                <w:noProof/>
                <w:webHidden/>
              </w:rPr>
              <w:fldChar w:fldCharType="separate"/>
            </w:r>
            <w:r>
              <w:rPr>
                <w:noProof/>
                <w:webHidden/>
              </w:rPr>
              <w:t>255</w:t>
            </w:r>
            <w:r>
              <w:rPr>
                <w:noProof/>
                <w:webHidden/>
              </w:rPr>
              <w:fldChar w:fldCharType="end"/>
            </w:r>
          </w:hyperlink>
        </w:p>
        <w:p w14:paraId="5EDD317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86" w:history="1">
            <w:r w:rsidRPr="000D551A">
              <w:rPr>
                <w:rStyle w:val="Lienhypertexte"/>
                <w:noProof/>
              </w:rPr>
              <w:t>41.51.4d Volets battants en PVC</w:t>
            </w:r>
            <w:r>
              <w:rPr>
                <w:noProof/>
                <w:webHidden/>
              </w:rPr>
              <w:tab/>
            </w:r>
            <w:r>
              <w:rPr>
                <w:noProof/>
                <w:webHidden/>
              </w:rPr>
              <w:fldChar w:fldCharType="begin"/>
            </w:r>
            <w:r>
              <w:rPr>
                <w:noProof/>
                <w:webHidden/>
              </w:rPr>
              <w:instrText xml:space="preserve"> PAGEREF _Toc220489986 \h </w:instrText>
            </w:r>
            <w:r>
              <w:rPr>
                <w:noProof/>
                <w:webHidden/>
              </w:rPr>
            </w:r>
            <w:r>
              <w:rPr>
                <w:noProof/>
                <w:webHidden/>
              </w:rPr>
              <w:fldChar w:fldCharType="separate"/>
            </w:r>
            <w:r>
              <w:rPr>
                <w:noProof/>
                <w:webHidden/>
              </w:rPr>
              <w:t>255</w:t>
            </w:r>
            <w:r>
              <w:rPr>
                <w:noProof/>
                <w:webHidden/>
              </w:rPr>
              <w:fldChar w:fldCharType="end"/>
            </w:r>
          </w:hyperlink>
        </w:p>
        <w:p w14:paraId="66C0C86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87" w:history="1">
            <w:r w:rsidRPr="000D551A">
              <w:rPr>
                <w:rStyle w:val="Lienhypertexte"/>
                <w:noProof/>
              </w:rPr>
              <w:t>41.51.4e Volets battants en matériaux composites</w:t>
            </w:r>
            <w:r>
              <w:rPr>
                <w:noProof/>
                <w:webHidden/>
              </w:rPr>
              <w:tab/>
            </w:r>
            <w:r>
              <w:rPr>
                <w:noProof/>
                <w:webHidden/>
              </w:rPr>
              <w:fldChar w:fldCharType="begin"/>
            </w:r>
            <w:r>
              <w:rPr>
                <w:noProof/>
                <w:webHidden/>
              </w:rPr>
              <w:instrText xml:space="preserve"> PAGEREF _Toc220489987 \h </w:instrText>
            </w:r>
            <w:r>
              <w:rPr>
                <w:noProof/>
                <w:webHidden/>
              </w:rPr>
            </w:r>
            <w:r>
              <w:rPr>
                <w:noProof/>
                <w:webHidden/>
              </w:rPr>
              <w:fldChar w:fldCharType="separate"/>
            </w:r>
            <w:r>
              <w:rPr>
                <w:noProof/>
                <w:webHidden/>
              </w:rPr>
              <w:t>255</w:t>
            </w:r>
            <w:r>
              <w:rPr>
                <w:noProof/>
                <w:webHidden/>
              </w:rPr>
              <w:fldChar w:fldCharType="end"/>
            </w:r>
          </w:hyperlink>
        </w:p>
        <w:p w14:paraId="0CD3F2A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88" w:history="1">
            <w:r w:rsidRPr="000D551A">
              <w:rPr>
                <w:rStyle w:val="Lienhypertexte"/>
                <w:noProof/>
              </w:rPr>
              <w:t>41.51.5 Volets coulissants CCTB 01.02</w:t>
            </w:r>
            <w:r>
              <w:rPr>
                <w:noProof/>
                <w:webHidden/>
              </w:rPr>
              <w:tab/>
            </w:r>
            <w:r>
              <w:rPr>
                <w:noProof/>
                <w:webHidden/>
              </w:rPr>
              <w:fldChar w:fldCharType="begin"/>
            </w:r>
            <w:r>
              <w:rPr>
                <w:noProof/>
                <w:webHidden/>
              </w:rPr>
              <w:instrText xml:space="preserve"> PAGEREF _Toc220489988 \h </w:instrText>
            </w:r>
            <w:r>
              <w:rPr>
                <w:noProof/>
                <w:webHidden/>
              </w:rPr>
            </w:r>
            <w:r>
              <w:rPr>
                <w:noProof/>
                <w:webHidden/>
              </w:rPr>
              <w:fldChar w:fldCharType="separate"/>
            </w:r>
            <w:r>
              <w:rPr>
                <w:noProof/>
                <w:webHidden/>
              </w:rPr>
              <w:t>255</w:t>
            </w:r>
            <w:r>
              <w:rPr>
                <w:noProof/>
                <w:webHidden/>
              </w:rPr>
              <w:fldChar w:fldCharType="end"/>
            </w:r>
          </w:hyperlink>
        </w:p>
        <w:p w14:paraId="3A10BA1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89" w:history="1">
            <w:r w:rsidRPr="000D551A">
              <w:rPr>
                <w:rStyle w:val="Lienhypertexte"/>
                <w:noProof/>
              </w:rPr>
              <w:t>41.51.5a Volets coulissants en bois massif / lamellé-collé</w:t>
            </w:r>
            <w:r>
              <w:rPr>
                <w:noProof/>
                <w:webHidden/>
              </w:rPr>
              <w:tab/>
            </w:r>
            <w:r>
              <w:rPr>
                <w:noProof/>
                <w:webHidden/>
              </w:rPr>
              <w:fldChar w:fldCharType="begin"/>
            </w:r>
            <w:r>
              <w:rPr>
                <w:noProof/>
                <w:webHidden/>
              </w:rPr>
              <w:instrText xml:space="preserve"> PAGEREF _Toc220489989 \h </w:instrText>
            </w:r>
            <w:r>
              <w:rPr>
                <w:noProof/>
                <w:webHidden/>
              </w:rPr>
            </w:r>
            <w:r>
              <w:rPr>
                <w:noProof/>
                <w:webHidden/>
              </w:rPr>
              <w:fldChar w:fldCharType="separate"/>
            </w:r>
            <w:r>
              <w:rPr>
                <w:noProof/>
                <w:webHidden/>
              </w:rPr>
              <w:t>255</w:t>
            </w:r>
            <w:r>
              <w:rPr>
                <w:noProof/>
                <w:webHidden/>
              </w:rPr>
              <w:fldChar w:fldCharType="end"/>
            </w:r>
          </w:hyperlink>
        </w:p>
        <w:p w14:paraId="2EC02B3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90" w:history="1">
            <w:r w:rsidRPr="000D551A">
              <w:rPr>
                <w:rStyle w:val="Lienhypertexte"/>
                <w:noProof/>
              </w:rPr>
              <w:t>41.51.5b Volets coulissants en aluminium</w:t>
            </w:r>
            <w:r>
              <w:rPr>
                <w:noProof/>
                <w:webHidden/>
              </w:rPr>
              <w:tab/>
            </w:r>
            <w:r>
              <w:rPr>
                <w:noProof/>
                <w:webHidden/>
              </w:rPr>
              <w:fldChar w:fldCharType="begin"/>
            </w:r>
            <w:r>
              <w:rPr>
                <w:noProof/>
                <w:webHidden/>
              </w:rPr>
              <w:instrText xml:space="preserve"> PAGEREF _Toc220489990 \h </w:instrText>
            </w:r>
            <w:r>
              <w:rPr>
                <w:noProof/>
                <w:webHidden/>
              </w:rPr>
            </w:r>
            <w:r>
              <w:rPr>
                <w:noProof/>
                <w:webHidden/>
              </w:rPr>
              <w:fldChar w:fldCharType="separate"/>
            </w:r>
            <w:r>
              <w:rPr>
                <w:noProof/>
                <w:webHidden/>
              </w:rPr>
              <w:t>255</w:t>
            </w:r>
            <w:r>
              <w:rPr>
                <w:noProof/>
                <w:webHidden/>
              </w:rPr>
              <w:fldChar w:fldCharType="end"/>
            </w:r>
          </w:hyperlink>
        </w:p>
        <w:p w14:paraId="1D46F0E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91" w:history="1">
            <w:r w:rsidRPr="000D551A">
              <w:rPr>
                <w:rStyle w:val="Lienhypertexte"/>
                <w:noProof/>
              </w:rPr>
              <w:t>41.51.5c Volets coulissants en acier</w:t>
            </w:r>
            <w:r>
              <w:rPr>
                <w:noProof/>
                <w:webHidden/>
              </w:rPr>
              <w:tab/>
            </w:r>
            <w:r>
              <w:rPr>
                <w:noProof/>
                <w:webHidden/>
              </w:rPr>
              <w:fldChar w:fldCharType="begin"/>
            </w:r>
            <w:r>
              <w:rPr>
                <w:noProof/>
                <w:webHidden/>
              </w:rPr>
              <w:instrText xml:space="preserve"> PAGEREF _Toc220489991 \h </w:instrText>
            </w:r>
            <w:r>
              <w:rPr>
                <w:noProof/>
                <w:webHidden/>
              </w:rPr>
            </w:r>
            <w:r>
              <w:rPr>
                <w:noProof/>
                <w:webHidden/>
              </w:rPr>
              <w:fldChar w:fldCharType="separate"/>
            </w:r>
            <w:r>
              <w:rPr>
                <w:noProof/>
                <w:webHidden/>
              </w:rPr>
              <w:t>255</w:t>
            </w:r>
            <w:r>
              <w:rPr>
                <w:noProof/>
                <w:webHidden/>
              </w:rPr>
              <w:fldChar w:fldCharType="end"/>
            </w:r>
          </w:hyperlink>
        </w:p>
        <w:p w14:paraId="459423B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92" w:history="1">
            <w:r w:rsidRPr="000D551A">
              <w:rPr>
                <w:rStyle w:val="Lienhypertexte"/>
                <w:noProof/>
              </w:rPr>
              <w:t>41.51.5d Volets coulissants en PVC</w:t>
            </w:r>
            <w:r>
              <w:rPr>
                <w:noProof/>
                <w:webHidden/>
              </w:rPr>
              <w:tab/>
            </w:r>
            <w:r>
              <w:rPr>
                <w:noProof/>
                <w:webHidden/>
              </w:rPr>
              <w:fldChar w:fldCharType="begin"/>
            </w:r>
            <w:r>
              <w:rPr>
                <w:noProof/>
                <w:webHidden/>
              </w:rPr>
              <w:instrText xml:space="preserve"> PAGEREF _Toc220489992 \h </w:instrText>
            </w:r>
            <w:r>
              <w:rPr>
                <w:noProof/>
                <w:webHidden/>
              </w:rPr>
            </w:r>
            <w:r>
              <w:rPr>
                <w:noProof/>
                <w:webHidden/>
              </w:rPr>
              <w:fldChar w:fldCharType="separate"/>
            </w:r>
            <w:r>
              <w:rPr>
                <w:noProof/>
                <w:webHidden/>
              </w:rPr>
              <w:t>255</w:t>
            </w:r>
            <w:r>
              <w:rPr>
                <w:noProof/>
                <w:webHidden/>
              </w:rPr>
              <w:fldChar w:fldCharType="end"/>
            </w:r>
          </w:hyperlink>
        </w:p>
        <w:p w14:paraId="5F2BB30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93" w:history="1">
            <w:r w:rsidRPr="000D551A">
              <w:rPr>
                <w:rStyle w:val="Lienhypertexte"/>
                <w:noProof/>
              </w:rPr>
              <w:t>41.51.5e Volets coulissants en matériaux composites</w:t>
            </w:r>
            <w:r>
              <w:rPr>
                <w:noProof/>
                <w:webHidden/>
              </w:rPr>
              <w:tab/>
            </w:r>
            <w:r>
              <w:rPr>
                <w:noProof/>
                <w:webHidden/>
              </w:rPr>
              <w:fldChar w:fldCharType="begin"/>
            </w:r>
            <w:r>
              <w:rPr>
                <w:noProof/>
                <w:webHidden/>
              </w:rPr>
              <w:instrText xml:space="preserve"> PAGEREF _Toc220489993 \h </w:instrText>
            </w:r>
            <w:r>
              <w:rPr>
                <w:noProof/>
                <w:webHidden/>
              </w:rPr>
            </w:r>
            <w:r>
              <w:rPr>
                <w:noProof/>
                <w:webHidden/>
              </w:rPr>
              <w:fldChar w:fldCharType="separate"/>
            </w:r>
            <w:r>
              <w:rPr>
                <w:noProof/>
                <w:webHidden/>
              </w:rPr>
              <w:t>255</w:t>
            </w:r>
            <w:r>
              <w:rPr>
                <w:noProof/>
                <w:webHidden/>
              </w:rPr>
              <w:fldChar w:fldCharType="end"/>
            </w:r>
          </w:hyperlink>
        </w:p>
        <w:p w14:paraId="2A7FAAD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89994" w:history="1">
            <w:r w:rsidRPr="000D551A">
              <w:rPr>
                <w:rStyle w:val="Lienhypertexte"/>
                <w:noProof/>
              </w:rPr>
              <w:t>41.51.6 Volets pliants ou à accordéon CCTB 01.02</w:t>
            </w:r>
            <w:r>
              <w:rPr>
                <w:noProof/>
                <w:webHidden/>
              </w:rPr>
              <w:tab/>
            </w:r>
            <w:r>
              <w:rPr>
                <w:noProof/>
                <w:webHidden/>
              </w:rPr>
              <w:fldChar w:fldCharType="begin"/>
            </w:r>
            <w:r>
              <w:rPr>
                <w:noProof/>
                <w:webHidden/>
              </w:rPr>
              <w:instrText xml:space="preserve"> PAGEREF _Toc220489994 \h </w:instrText>
            </w:r>
            <w:r>
              <w:rPr>
                <w:noProof/>
                <w:webHidden/>
              </w:rPr>
            </w:r>
            <w:r>
              <w:rPr>
                <w:noProof/>
                <w:webHidden/>
              </w:rPr>
              <w:fldChar w:fldCharType="separate"/>
            </w:r>
            <w:r>
              <w:rPr>
                <w:noProof/>
                <w:webHidden/>
              </w:rPr>
              <w:t>255</w:t>
            </w:r>
            <w:r>
              <w:rPr>
                <w:noProof/>
                <w:webHidden/>
              </w:rPr>
              <w:fldChar w:fldCharType="end"/>
            </w:r>
          </w:hyperlink>
        </w:p>
        <w:p w14:paraId="7ECA0D1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95" w:history="1">
            <w:r w:rsidRPr="000D551A">
              <w:rPr>
                <w:rStyle w:val="Lienhypertexte"/>
                <w:noProof/>
              </w:rPr>
              <w:t>41.51.6a Volets pliants ou à accordéon en bois massif / lamellé-collé</w:t>
            </w:r>
            <w:r>
              <w:rPr>
                <w:noProof/>
                <w:webHidden/>
              </w:rPr>
              <w:tab/>
            </w:r>
            <w:r>
              <w:rPr>
                <w:noProof/>
                <w:webHidden/>
              </w:rPr>
              <w:fldChar w:fldCharType="begin"/>
            </w:r>
            <w:r>
              <w:rPr>
                <w:noProof/>
                <w:webHidden/>
              </w:rPr>
              <w:instrText xml:space="preserve"> PAGEREF _Toc220489995 \h </w:instrText>
            </w:r>
            <w:r>
              <w:rPr>
                <w:noProof/>
                <w:webHidden/>
              </w:rPr>
            </w:r>
            <w:r>
              <w:rPr>
                <w:noProof/>
                <w:webHidden/>
              </w:rPr>
              <w:fldChar w:fldCharType="separate"/>
            </w:r>
            <w:r>
              <w:rPr>
                <w:noProof/>
                <w:webHidden/>
              </w:rPr>
              <w:t>255</w:t>
            </w:r>
            <w:r>
              <w:rPr>
                <w:noProof/>
                <w:webHidden/>
              </w:rPr>
              <w:fldChar w:fldCharType="end"/>
            </w:r>
          </w:hyperlink>
        </w:p>
        <w:p w14:paraId="2865F9E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96" w:history="1">
            <w:r w:rsidRPr="000D551A">
              <w:rPr>
                <w:rStyle w:val="Lienhypertexte"/>
                <w:noProof/>
              </w:rPr>
              <w:t>41.51.6b Volets pliants ou à accordéon en aluminium</w:t>
            </w:r>
            <w:r>
              <w:rPr>
                <w:noProof/>
                <w:webHidden/>
              </w:rPr>
              <w:tab/>
            </w:r>
            <w:r>
              <w:rPr>
                <w:noProof/>
                <w:webHidden/>
              </w:rPr>
              <w:fldChar w:fldCharType="begin"/>
            </w:r>
            <w:r>
              <w:rPr>
                <w:noProof/>
                <w:webHidden/>
              </w:rPr>
              <w:instrText xml:space="preserve"> PAGEREF _Toc220489996 \h </w:instrText>
            </w:r>
            <w:r>
              <w:rPr>
                <w:noProof/>
                <w:webHidden/>
              </w:rPr>
            </w:r>
            <w:r>
              <w:rPr>
                <w:noProof/>
                <w:webHidden/>
              </w:rPr>
              <w:fldChar w:fldCharType="separate"/>
            </w:r>
            <w:r>
              <w:rPr>
                <w:noProof/>
                <w:webHidden/>
              </w:rPr>
              <w:t>255</w:t>
            </w:r>
            <w:r>
              <w:rPr>
                <w:noProof/>
                <w:webHidden/>
              </w:rPr>
              <w:fldChar w:fldCharType="end"/>
            </w:r>
          </w:hyperlink>
        </w:p>
        <w:p w14:paraId="6B313A8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97" w:history="1">
            <w:r w:rsidRPr="000D551A">
              <w:rPr>
                <w:rStyle w:val="Lienhypertexte"/>
                <w:noProof/>
              </w:rPr>
              <w:t>41.51.6c Volets pliants ou à accordéon en acier</w:t>
            </w:r>
            <w:r>
              <w:rPr>
                <w:noProof/>
                <w:webHidden/>
              </w:rPr>
              <w:tab/>
            </w:r>
            <w:r>
              <w:rPr>
                <w:noProof/>
                <w:webHidden/>
              </w:rPr>
              <w:fldChar w:fldCharType="begin"/>
            </w:r>
            <w:r>
              <w:rPr>
                <w:noProof/>
                <w:webHidden/>
              </w:rPr>
              <w:instrText xml:space="preserve"> PAGEREF _Toc220489997 \h </w:instrText>
            </w:r>
            <w:r>
              <w:rPr>
                <w:noProof/>
                <w:webHidden/>
              </w:rPr>
            </w:r>
            <w:r>
              <w:rPr>
                <w:noProof/>
                <w:webHidden/>
              </w:rPr>
              <w:fldChar w:fldCharType="separate"/>
            </w:r>
            <w:r>
              <w:rPr>
                <w:noProof/>
                <w:webHidden/>
              </w:rPr>
              <w:t>255</w:t>
            </w:r>
            <w:r>
              <w:rPr>
                <w:noProof/>
                <w:webHidden/>
              </w:rPr>
              <w:fldChar w:fldCharType="end"/>
            </w:r>
          </w:hyperlink>
        </w:p>
        <w:p w14:paraId="5A9F59E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98" w:history="1">
            <w:r w:rsidRPr="000D551A">
              <w:rPr>
                <w:rStyle w:val="Lienhypertexte"/>
                <w:noProof/>
              </w:rPr>
              <w:t>41.51.6d Volets pliants ou à accordéon en PVC</w:t>
            </w:r>
            <w:r>
              <w:rPr>
                <w:noProof/>
                <w:webHidden/>
              </w:rPr>
              <w:tab/>
            </w:r>
            <w:r>
              <w:rPr>
                <w:noProof/>
                <w:webHidden/>
              </w:rPr>
              <w:fldChar w:fldCharType="begin"/>
            </w:r>
            <w:r>
              <w:rPr>
                <w:noProof/>
                <w:webHidden/>
              </w:rPr>
              <w:instrText xml:space="preserve"> PAGEREF _Toc220489998 \h </w:instrText>
            </w:r>
            <w:r>
              <w:rPr>
                <w:noProof/>
                <w:webHidden/>
              </w:rPr>
            </w:r>
            <w:r>
              <w:rPr>
                <w:noProof/>
                <w:webHidden/>
              </w:rPr>
              <w:fldChar w:fldCharType="separate"/>
            </w:r>
            <w:r>
              <w:rPr>
                <w:noProof/>
                <w:webHidden/>
              </w:rPr>
              <w:t>255</w:t>
            </w:r>
            <w:r>
              <w:rPr>
                <w:noProof/>
                <w:webHidden/>
              </w:rPr>
              <w:fldChar w:fldCharType="end"/>
            </w:r>
          </w:hyperlink>
        </w:p>
        <w:p w14:paraId="2E4905B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89999" w:history="1">
            <w:r w:rsidRPr="000D551A">
              <w:rPr>
                <w:rStyle w:val="Lienhypertexte"/>
                <w:noProof/>
              </w:rPr>
              <w:t>41.51.6e Volets pliants ou à accordéon en matériaux composites</w:t>
            </w:r>
            <w:r>
              <w:rPr>
                <w:noProof/>
                <w:webHidden/>
              </w:rPr>
              <w:tab/>
            </w:r>
            <w:r>
              <w:rPr>
                <w:noProof/>
                <w:webHidden/>
              </w:rPr>
              <w:fldChar w:fldCharType="begin"/>
            </w:r>
            <w:r>
              <w:rPr>
                <w:noProof/>
                <w:webHidden/>
              </w:rPr>
              <w:instrText xml:space="preserve"> PAGEREF _Toc220489999 \h </w:instrText>
            </w:r>
            <w:r>
              <w:rPr>
                <w:noProof/>
                <w:webHidden/>
              </w:rPr>
            </w:r>
            <w:r>
              <w:rPr>
                <w:noProof/>
                <w:webHidden/>
              </w:rPr>
              <w:fldChar w:fldCharType="separate"/>
            </w:r>
            <w:r>
              <w:rPr>
                <w:noProof/>
                <w:webHidden/>
              </w:rPr>
              <w:t>255</w:t>
            </w:r>
            <w:r>
              <w:rPr>
                <w:noProof/>
                <w:webHidden/>
              </w:rPr>
              <w:fldChar w:fldCharType="end"/>
            </w:r>
          </w:hyperlink>
        </w:p>
        <w:p w14:paraId="426C9DDC"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000" w:history="1">
            <w:r w:rsidRPr="000D551A">
              <w:rPr>
                <w:rStyle w:val="Lienhypertexte"/>
                <w:noProof/>
              </w:rPr>
              <w:t>41.52 Protections solaires extérieures CCTB 01.11</w:t>
            </w:r>
            <w:r>
              <w:rPr>
                <w:noProof/>
                <w:webHidden/>
              </w:rPr>
              <w:tab/>
            </w:r>
            <w:r>
              <w:rPr>
                <w:noProof/>
                <w:webHidden/>
              </w:rPr>
              <w:fldChar w:fldCharType="begin"/>
            </w:r>
            <w:r>
              <w:rPr>
                <w:noProof/>
                <w:webHidden/>
              </w:rPr>
              <w:instrText xml:space="preserve"> PAGEREF _Toc220490000 \h </w:instrText>
            </w:r>
            <w:r>
              <w:rPr>
                <w:noProof/>
                <w:webHidden/>
              </w:rPr>
            </w:r>
            <w:r>
              <w:rPr>
                <w:noProof/>
                <w:webHidden/>
              </w:rPr>
              <w:fldChar w:fldCharType="separate"/>
            </w:r>
            <w:r>
              <w:rPr>
                <w:noProof/>
                <w:webHidden/>
              </w:rPr>
              <w:t>255</w:t>
            </w:r>
            <w:r>
              <w:rPr>
                <w:noProof/>
                <w:webHidden/>
              </w:rPr>
              <w:fldChar w:fldCharType="end"/>
            </w:r>
          </w:hyperlink>
        </w:p>
        <w:p w14:paraId="5BF0E81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01" w:history="1">
            <w:r w:rsidRPr="000D551A">
              <w:rPr>
                <w:rStyle w:val="Lienhypertexte"/>
                <w:noProof/>
              </w:rPr>
              <w:t>41.52.1 Protections solaires extérieures fixes CCTB 01.12</w:t>
            </w:r>
            <w:r>
              <w:rPr>
                <w:noProof/>
                <w:webHidden/>
              </w:rPr>
              <w:tab/>
            </w:r>
            <w:r>
              <w:rPr>
                <w:noProof/>
                <w:webHidden/>
              </w:rPr>
              <w:fldChar w:fldCharType="begin"/>
            </w:r>
            <w:r>
              <w:rPr>
                <w:noProof/>
                <w:webHidden/>
              </w:rPr>
              <w:instrText xml:space="preserve"> PAGEREF _Toc220490001 \h </w:instrText>
            </w:r>
            <w:r>
              <w:rPr>
                <w:noProof/>
                <w:webHidden/>
              </w:rPr>
            </w:r>
            <w:r>
              <w:rPr>
                <w:noProof/>
                <w:webHidden/>
              </w:rPr>
              <w:fldChar w:fldCharType="separate"/>
            </w:r>
            <w:r>
              <w:rPr>
                <w:noProof/>
                <w:webHidden/>
              </w:rPr>
              <w:t>260</w:t>
            </w:r>
            <w:r>
              <w:rPr>
                <w:noProof/>
                <w:webHidden/>
              </w:rPr>
              <w:fldChar w:fldCharType="end"/>
            </w:r>
          </w:hyperlink>
        </w:p>
        <w:p w14:paraId="4404E57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02" w:history="1">
            <w:r w:rsidRPr="000D551A">
              <w:rPr>
                <w:rStyle w:val="Lienhypertexte"/>
                <w:noProof/>
              </w:rPr>
              <w:t>41.52.1a Protections solaires extérieures fixes à lamelles orientables CCTB 01.12</w:t>
            </w:r>
            <w:r>
              <w:rPr>
                <w:noProof/>
                <w:webHidden/>
              </w:rPr>
              <w:tab/>
            </w:r>
            <w:r>
              <w:rPr>
                <w:noProof/>
                <w:webHidden/>
              </w:rPr>
              <w:fldChar w:fldCharType="begin"/>
            </w:r>
            <w:r>
              <w:rPr>
                <w:noProof/>
                <w:webHidden/>
              </w:rPr>
              <w:instrText xml:space="preserve"> PAGEREF _Toc220490002 \h </w:instrText>
            </w:r>
            <w:r>
              <w:rPr>
                <w:noProof/>
                <w:webHidden/>
              </w:rPr>
            </w:r>
            <w:r>
              <w:rPr>
                <w:noProof/>
                <w:webHidden/>
              </w:rPr>
              <w:fldChar w:fldCharType="separate"/>
            </w:r>
            <w:r>
              <w:rPr>
                <w:noProof/>
                <w:webHidden/>
              </w:rPr>
              <w:t>261</w:t>
            </w:r>
            <w:r>
              <w:rPr>
                <w:noProof/>
                <w:webHidden/>
              </w:rPr>
              <w:fldChar w:fldCharType="end"/>
            </w:r>
          </w:hyperlink>
        </w:p>
        <w:p w14:paraId="0AE4E78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03" w:history="1">
            <w:r w:rsidRPr="000D551A">
              <w:rPr>
                <w:rStyle w:val="Lienhypertexte"/>
                <w:noProof/>
              </w:rPr>
              <w:t>41.52.1b Protections solaires extérieures fixes à lamelles fixes CCTB 01.12</w:t>
            </w:r>
            <w:r>
              <w:rPr>
                <w:noProof/>
                <w:webHidden/>
              </w:rPr>
              <w:tab/>
            </w:r>
            <w:r>
              <w:rPr>
                <w:noProof/>
                <w:webHidden/>
              </w:rPr>
              <w:fldChar w:fldCharType="begin"/>
            </w:r>
            <w:r>
              <w:rPr>
                <w:noProof/>
                <w:webHidden/>
              </w:rPr>
              <w:instrText xml:space="preserve"> PAGEREF _Toc220490003 \h </w:instrText>
            </w:r>
            <w:r>
              <w:rPr>
                <w:noProof/>
                <w:webHidden/>
              </w:rPr>
            </w:r>
            <w:r>
              <w:rPr>
                <w:noProof/>
                <w:webHidden/>
              </w:rPr>
              <w:fldChar w:fldCharType="separate"/>
            </w:r>
            <w:r>
              <w:rPr>
                <w:noProof/>
                <w:webHidden/>
              </w:rPr>
              <w:t>264</w:t>
            </w:r>
            <w:r>
              <w:rPr>
                <w:noProof/>
                <w:webHidden/>
              </w:rPr>
              <w:fldChar w:fldCharType="end"/>
            </w:r>
          </w:hyperlink>
        </w:p>
        <w:p w14:paraId="0A929D8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04" w:history="1">
            <w:r w:rsidRPr="000D551A">
              <w:rPr>
                <w:rStyle w:val="Lienhypertexte"/>
                <w:noProof/>
              </w:rPr>
              <w:t>41.52.1c Protections solaires extérieures fixes par panneaux CCTB 01.12</w:t>
            </w:r>
            <w:r>
              <w:rPr>
                <w:noProof/>
                <w:webHidden/>
              </w:rPr>
              <w:tab/>
            </w:r>
            <w:r>
              <w:rPr>
                <w:noProof/>
                <w:webHidden/>
              </w:rPr>
              <w:fldChar w:fldCharType="begin"/>
            </w:r>
            <w:r>
              <w:rPr>
                <w:noProof/>
                <w:webHidden/>
              </w:rPr>
              <w:instrText xml:space="preserve"> PAGEREF _Toc220490004 \h </w:instrText>
            </w:r>
            <w:r>
              <w:rPr>
                <w:noProof/>
                <w:webHidden/>
              </w:rPr>
            </w:r>
            <w:r>
              <w:rPr>
                <w:noProof/>
                <w:webHidden/>
              </w:rPr>
              <w:fldChar w:fldCharType="separate"/>
            </w:r>
            <w:r>
              <w:rPr>
                <w:noProof/>
                <w:webHidden/>
              </w:rPr>
              <w:t>267</w:t>
            </w:r>
            <w:r>
              <w:rPr>
                <w:noProof/>
                <w:webHidden/>
              </w:rPr>
              <w:fldChar w:fldCharType="end"/>
            </w:r>
          </w:hyperlink>
        </w:p>
        <w:p w14:paraId="35B11C9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05" w:history="1">
            <w:r w:rsidRPr="000D551A">
              <w:rPr>
                <w:rStyle w:val="Lienhypertexte"/>
                <w:noProof/>
              </w:rPr>
              <w:t>41.52.1d Protections solaires extérieures fixes par toile</w:t>
            </w:r>
            <w:r>
              <w:rPr>
                <w:noProof/>
                <w:webHidden/>
              </w:rPr>
              <w:tab/>
            </w:r>
            <w:r>
              <w:rPr>
                <w:noProof/>
                <w:webHidden/>
              </w:rPr>
              <w:fldChar w:fldCharType="begin"/>
            </w:r>
            <w:r>
              <w:rPr>
                <w:noProof/>
                <w:webHidden/>
              </w:rPr>
              <w:instrText xml:space="preserve"> PAGEREF _Toc220490005 \h </w:instrText>
            </w:r>
            <w:r>
              <w:rPr>
                <w:noProof/>
                <w:webHidden/>
              </w:rPr>
            </w:r>
            <w:r>
              <w:rPr>
                <w:noProof/>
                <w:webHidden/>
              </w:rPr>
              <w:fldChar w:fldCharType="separate"/>
            </w:r>
            <w:r>
              <w:rPr>
                <w:noProof/>
                <w:webHidden/>
              </w:rPr>
              <w:t>268</w:t>
            </w:r>
            <w:r>
              <w:rPr>
                <w:noProof/>
                <w:webHidden/>
              </w:rPr>
              <w:fldChar w:fldCharType="end"/>
            </w:r>
          </w:hyperlink>
        </w:p>
        <w:p w14:paraId="66A234E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06" w:history="1">
            <w:r w:rsidRPr="000D551A">
              <w:rPr>
                <w:rStyle w:val="Lienhypertexte"/>
                <w:noProof/>
              </w:rPr>
              <w:t>41.52.2 Protections solaires extérieures mobiles CCTB 01.12</w:t>
            </w:r>
            <w:r>
              <w:rPr>
                <w:noProof/>
                <w:webHidden/>
              </w:rPr>
              <w:tab/>
            </w:r>
            <w:r>
              <w:rPr>
                <w:noProof/>
                <w:webHidden/>
              </w:rPr>
              <w:fldChar w:fldCharType="begin"/>
            </w:r>
            <w:r>
              <w:rPr>
                <w:noProof/>
                <w:webHidden/>
              </w:rPr>
              <w:instrText xml:space="preserve"> PAGEREF _Toc220490006 \h </w:instrText>
            </w:r>
            <w:r>
              <w:rPr>
                <w:noProof/>
                <w:webHidden/>
              </w:rPr>
            </w:r>
            <w:r>
              <w:rPr>
                <w:noProof/>
                <w:webHidden/>
              </w:rPr>
              <w:fldChar w:fldCharType="separate"/>
            </w:r>
            <w:r>
              <w:rPr>
                <w:noProof/>
                <w:webHidden/>
              </w:rPr>
              <w:t>268</w:t>
            </w:r>
            <w:r>
              <w:rPr>
                <w:noProof/>
                <w:webHidden/>
              </w:rPr>
              <w:fldChar w:fldCharType="end"/>
            </w:r>
          </w:hyperlink>
        </w:p>
        <w:p w14:paraId="77D370C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07" w:history="1">
            <w:r w:rsidRPr="000D551A">
              <w:rPr>
                <w:rStyle w:val="Lienhypertexte"/>
                <w:noProof/>
              </w:rPr>
              <w:t>41.52.2a Protections solaires extérieures mobiles à lamelles orientables CCTB 01.12</w:t>
            </w:r>
            <w:r>
              <w:rPr>
                <w:noProof/>
                <w:webHidden/>
              </w:rPr>
              <w:tab/>
            </w:r>
            <w:r>
              <w:rPr>
                <w:noProof/>
                <w:webHidden/>
              </w:rPr>
              <w:fldChar w:fldCharType="begin"/>
            </w:r>
            <w:r>
              <w:rPr>
                <w:noProof/>
                <w:webHidden/>
              </w:rPr>
              <w:instrText xml:space="preserve"> PAGEREF _Toc220490007 \h </w:instrText>
            </w:r>
            <w:r>
              <w:rPr>
                <w:noProof/>
                <w:webHidden/>
              </w:rPr>
            </w:r>
            <w:r>
              <w:rPr>
                <w:noProof/>
                <w:webHidden/>
              </w:rPr>
              <w:fldChar w:fldCharType="separate"/>
            </w:r>
            <w:r>
              <w:rPr>
                <w:noProof/>
                <w:webHidden/>
              </w:rPr>
              <w:t>269</w:t>
            </w:r>
            <w:r>
              <w:rPr>
                <w:noProof/>
                <w:webHidden/>
              </w:rPr>
              <w:fldChar w:fldCharType="end"/>
            </w:r>
          </w:hyperlink>
        </w:p>
        <w:p w14:paraId="059A88B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08" w:history="1">
            <w:r w:rsidRPr="000D551A">
              <w:rPr>
                <w:rStyle w:val="Lienhypertexte"/>
                <w:noProof/>
              </w:rPr>
              <w:t>41.52.2b Protections solaires extérieures mobiles à lamelles fixes CCTB 01.11</w:t>
            </w:r>
            <w:r>
              <w:rPr>
                <w:noProof/>
                <w:webHidden/>
              </w:rPr>
              <w:tab/>
            </w:r>
            <w:r>
              <w:rPr>
                <w:noProof/>
                <w:webHidden/>
              </w:rPr>
              <w:fldChar w:fldCharType="begin"/>
            </w:r>
            <w:r>
              <w:rPr>
                <w:noProof/>
                <w:webHidden/>
              </w:rPr>
              <w:instrText xml:space="preserve"> PAGEREF _Toc220490008 \h </w:instrText>
            </w:r>
            <w:r>
              <w:rPr>
                <w:noProof/>
                <w:webHidden/>
              </w:rPr>
            </w:r>
            <w:r>
              <w:rPr>
                <w:noProof/>
                <w:webHidden/>
              </w:rPr>
              <w:fldChar w:fldCharType="separate"/>
            </w:r>
            <w:r>
              <w:rPr>
                <w:noProof/>
                <w:webHidden/>
              </w:rPr>
              <w:t>273</w:t>
            </w:r>
            <w:r>
              <w:rPr>
                <w:noProof/>
                <w:webHidden/>
              </w:rPr>
              <w:fldChar w:fldCharType="end"/>
            </w:r>
          </w:hyperlink>
        </w:p>
        <w:p w14:paraId="147BA93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09" w:history="1">
            <w:r w:rsidRPr="000D551A">
              <w:rPr>
                <w:rStyle w:val="Lienhypertexte"/>
                <w:noProof/>
              </w:rPr>
              <w:t>41.52.2c Protections solaires extérieures mobiles par panneaux CCTB 01.12</w:t>
            </w:r>
            <w:r>
              <w:rPr>
                <w:noProof/>
                <w:webHidden/>
              </w:rPr>
              <w:tab/>
            </w:r>
            <w:r>
              <w:rPr>
                <w:noProof/>
                <w:webHidden/>
              </w:rPr>
              <w:fldChar w:fldCharType="begin"/>
            </w:r>
            <w:r>
              <w:rPr>
                <w:noProof/>
                <w:webHidden/>
              </w:rPr>
              <w:instrText xml:space="preserve"> PAGEREF _Toc220490009 \h </w:instrText>
            </w:r>
            <w:r>
              <w:rPr>
                <w:noProof/>
                <w:webHidden/>
              </w:rPr>
            </w:r>
            <w:r>
              <w:rPr>
                <w:noProof/>
                <w:webHidden/>
              </w:rPr>
              <w:fldChar w:fldCharType="separate"/>
            </w:r>
            <w:r>
              <w:rPr>
                <w:noProof/>
                <w:webHidden/>
              </w:rPr>
              <w:t>277</w:t>
            </w:r>
            <w:r>
              <w:rPr>
                <w:noProof/>
                <w:webHidden/>
              </w:rPr>
              <w:fldChar w:fldCharType="end"/>
            </w:r>
          </w:hyperlink>
        </w:p>
        <w:p w14:paraId="6717DA4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10" w:history="1">
            <w:r w:rsidRPr="000D551A">
              <w:rPr>
                <w:rStyle w:val="Lienhypertexte"/>
                <w:noProof/>
              </w:rPr>
              <w:t>41.52.2d Protections solaires extérieures mobiles par toile CCTB 01.12</w:t>
            </w:r>
            <w:r>
              <w:rPr>
                <w:noProof/>
                <w:webHidden/>
              </w:rPr>
              <w:tab/>
            </w:r>
            <w:r>
              <w:rPr>
                <w:noProof/>
                <w:webHidden/>
              </w:rPr>
              <w:fldChar w:fldCharType="begin"/>
            </w:r>
            <w:r>
              <w:rPr>
                <w:noProof/>
                <w:webHidden/>
              </w:rPr>
              <w:instrText xml:space="preserve"> PAGEREF _Toc220490010 \h </w:instrText>
            </w:r>
            <w:r>
              <w:rPr>
                <w:noProof/>
                <w:webHidden/>
              </w:rPr>
            </w:r>
            <w:r>
              <w:rPr>
                <w:noProof/>
                <w:webHidden/>
              </w:rPr>
              <w:fldChar w:fldCharType="separate"/>
            </w:r>
            <w:r>
              <w:rPr>
                <w:noProof/>
                <w:webHidden/>
              </w:rPr>
              <w:t>279</w:t>
            </w:r>
            <w:r>
              <w:rPr>
                <w:noProof/>
                <w:webHidden/>
              </w:rPr>
              <w:fldChar w:fldCharType="end"/>
            </w:r>
          </w:hyperlink>
        </w:p>
        <w:p w14:paraId="191CD4B2"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011" w:history="1">
            <w:r w:rsidRPr="000D551A">
              <w:rPr>
                <w:rStyle w:val="Lienhypertexte"/>
                <w:noProof/>
              </w:rPr>
              <w:t>41.6 Vérandas / verrières CCTB 01.02</w:t>
            </w:r>
            <w:r>
              <w:rPr>
                <w:noProof/>
                <w:webHidden/>
              </w:rPr>
              <w:tab/>
            </w:r>
            <w:r>
              <w:rPr>
                <w:noProof/>
                <w:webHidden/>
              </w:rPr>
              <w:fldChar w:fldCharType="begin"/>
            </w:r>
            <w:r>
              <w:rPr>
                <w:noProof/>
                <w:webHidden/>
              </w:rPr>
              <w:instrText xml:space="preserve"> PAGEREF _Toc220490011 \h </w:instrText>
            </w:r>
            <w:r>
              <w:rPr>
                <w:noProof/>
                <w:webHidden/>
              </w:rPr>
            </w:r>
            <w:r>
              <w:rPr>
                <w:noProof/>
                <w:webHidden/>
              </w:rPr>
              <w:fldChar w:fldCharType="separate"/>
            </w:r>
            <w:r>
              <w:rPr>
                <w:noProof/>
                <w:webHidden/>
              </w:rPr>
              <w:t>282</w:t>
            </w:r>
            <w:r>
              <w:rPr>
                <w:noProof/>
                <w:webHidden/>
              </w:rPr>
              <w:fldChar w:fldCharType="end"/>
            </w:r>
          </w:hyperlink>
        </w:p>
        <w:p w14:paraId="0218656B"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012" w:history="1">
            <w:r w:rsidRPr="000D551A">
              <w:rPr>
                <w:rStyle w:val="Lienhypertexte"/>
                <w:noProof/>
              </w:rPr>
              <w:t>41.61 Vérandas / verrières en bois CCTB 01.02</w:t>
            </w:r>
            <w:r>
              <w:rPr>
                <w:noProof/>
                <w:webHidden/>
              </w:rPr>
              <w:tab/>
            </w:r>
            <w:r>
              <w:rPr>
                <w:noProof/>
                <w:webHidden/>
              </w:rPr>
              <w:fldChar w:fldCharType="begin"/>
            </w:r>
            <w:r>
              <w:rPr>
                <w:noProof/>
                <w:webHidden/>
              </w:rPr>
              <w:instrText xml:space="preserve"> PAGEREF _Toc220490012 \h </w:instrText>
            </w:r>
            <w:r>
              <w:rPr>
                <w:noProof/>
                <w:webHidden/>
              </w:rPr>
            </w:r>
            <w:r>
              <w:rPr>
                <w:noProof/>
                <w:webHidden/>
              </w:rPr>
              <w:fldChar w:fldCharType="separate"/>
            </w:r>
            <w:r>
              <w:rPr>
                <w:noProof/>
                <w:webHidden/>
              </w:rPr>
              <w:t>282</w:t>
            </w:r>
            <w:r>
              <w:rPr>
                <w:noProof/>
                <w:webHidden/>
              </w:rPr>
              <w:fldChar w:fldCharType="end"/>
            </w:r>
          </w:hyperlink>
        </w:p>
        <w:p w14:paraId="7CF7688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13" w:history="1">
            <w:r w:rsidRPr="000D551A">
              <w:rPr>
                <w:rStyle w:val="Lienhypertexte"/>
                <w:noProof/>
              </w:rPr>
              <w:t>41.61.1 Vérandas / verrières en bois CCTB 01.04</w:t>
            </w:r>
            <w:r>
              <w:rPr>
                <w:noProof/>
                <w:webHidden/>
              </w:rPr>
              <w:tab/>
            </w:r>
            <w:r>
              <w:rPr>
                <w:noProof/>
                <w:webHidden/>
              </w:rPr>
              <w:fldChar w:fldCharType="begin"/>
            </w:r>
            <w:r>
              <w:rPr>
                <w:noProof/>
                <w:webHidden/>
              </w:rPr>
              <w:instrText xml:space="preserve"> PAGEREF _Toc220490013 \h </w:instrText>
            </w:r>
            <w:r>
              <w:rPr>
                <w:noProof/>
                <w:webHidden/>
              </w:rPr>
            </w:r>
            <w:r>
              <w:rPr>
                <w:noProof/>
                <w:webHidden/>
              </w:rPr>
              <w:fldChar w:fldCharType="separate"/>
            </w:r>
            <w:r>
              <w:rPr>
                <w:noProof/>
                <w:webHidden/>
              </w:rPr>
              <w:t>282</w:t>
            </w:r>
            <w:r>
              <w:rPr>
                <w:noProof/>
                <w:webHidden/>
              </w:rPr>
              <w:fldChar w:fldCharType="end"/>
            </w:r>
          </w:hyperlink>
        </w:p>
        <w:p w14:paraId="3A72C94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14" w:history="1">
            <w:r w:rsidRPr="000D551A">
              <w:rPr>
                <w:rStyle w:val="Lienhypertexte"/>
                <w:noProof/>
              </w:rPr>
              <w:t>41.61.1a Vérandas / verrières en bois</w:t>
            </w:r>
            <w:r>
              <w:rPr>
                <w:noProof/>
                <w:webHidden/>
              </w:rPr>
              <w:tab/>
            </w:r>
            <w:r>
              <w:rPr>
                <w:noProof/>
                <w:webHidden/>
              </w:rPr>
              <w:fldChar w:fldCharType="begin"/>
            </w:r>
            <w:r>
              <w:rPr>
                <w:noProof/>
                <w:webHidden/>
              </w:rPr>
              <w:instrText xml:space="preserve"> PAGEREF _Toc220490014 \h </w:instrText>
            </w:r>
            <w:r>
              <w:rPr>
                <w:noProof/>
                <w:webHidden/>
              </w:rPr>
            </w:r>
            <w:r>
              <w:rPr>
                <w:noProof/>
                <w:webHidden/>
              </w:rPr>
              <w:fldChar w:fldCharType="separate"/>
            </w:r>
            <w:r>
              <w:rPr>
                <w:noProof/>
                <w:webHidden/>
              </w:rPr>
              <w:t>282</w:t>
            </w:r>
            <w:r>
              <w:rPr>
                <w:noProof/>
                <w:webHidden/>
              </w:rPr>
              <w:fldChar w:fldCharType="end"/>
            </w:r>
          </w:hyperlink>
        </w:p>
        <w:p w14:paraId="60A0BAD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15" w:history="1">
            <w:r w:rsidRPr="000D551A">
              <w:rPr>
                <w:rStyle w:val="Lienhypertexte"/>
                <w:noProof/>
              </w:rPr>
              <w:t>41.61.2 Vérandas / verrières en bois à composition mixte - profilés collaborants CCTB 01.02</w:t>
            </w:r>
            <w:r>
              <w:rPr>
                <w:noProof/>
                <w:webHidden/>
              </w:rPr>
              <w:tab/>
            </w:r>
            <w:r>
              <w:rPr>
                <w:noProof/>
                <w:webHidden/>
              </w:rPr>
              <w:fldChar w:fldCharType="begin"/>
            </w:r>
            <w:r>
              <w:rPr>
                <w:noProof/>
                <w:webHidden/>
              </w:rPr>
              <w:instrText xml:space="preserve"> PAGEREF _Toc220490015 \h </w:instrText>
            </w:r>
            <w:r>
              <w:rPr>
                <w:noProof/>
                <w:webHidden/>
              </w:rPr>
            </w:r>
            <w:r>
              <w:rPr>
                <w:noProof/>
                <w:webHidden/>
              </w:rPr>
              <w:fldChar w:fldCharType="separate"/>
            </w:r>
            <w:r>
              <w:rPr>
                <w:noProof/>
                <w:webHidden/>
              </w:rPr>
              <w:t>282</w:t>
            </w:r>
            <w:r>
              <w:rPr>
                <w:noProof/>
                <w:webHidden/>
              </w:rPr>
              <w:fldChar w:fldCharType="end"/>
            </w:r>
          </w:hyperlink>
        </w:p>
        <w:p w14:paraId="112C318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16" w:history="1">
            <w:r w:rsidRPr="000D551A">
              <w:rPr>
                <w:rStyle w:val="Lienhypertexte"/>
                <w:noProof/>
              </w:rPr>
              <w:t>41.61.2a Vérandas / verrières en bois à composition mixte - profilés collaborants en aluminium CCTB 01.02</w:t>
            </w:r>
            <w:r>
              <w:rPr>
                <w:noProof/>
                <w:webHidden/>
              </w:rPr>
              <w:tab/>
            </w:r>
            <w:r>
              <w:rPr>
                <w:noProof/>
                <w:webHidden/>
              </w:rPr>
              <w:fldChar w:fldCharType="begin"/>
            </w:r>
            <w:r>
              <w:rPr>
                <w:noProof/>
                <w:webHidden/>
              </w:rPr>
              <w:instrText xml:space="preserve"> PAGEREF _Toc220490016 \h </w:instrText>
            </w:r>
            <w:r>
              <w:rPr>
                <w:noProof/>
                <w:webHidden/>
              </w:rPr>
            </w:r>
            <w:r>
              <w:rPr>
                <w:noProof/>
                <w:webHidden/>
              </w:rPr>
              <w:fldChar w:fldCharType="separate"/>
            </w:r>
            <w:r>
              <w:rPr>
                <w:noProof/>
                <w:webHidden/>
              </w:rPr>
              <w:t>282</w:t>
            </w:r>
            <w:r>
              <w:rPr>
                <w:noProof/>
                <w:webHidden/>
              </w:rPr>
              <w:fldChar w:fldCharType="end"/>
            </w:r>
          </w:hyperlink>
        </w:p>
        <w:p w14:paraId="6774F21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17" w:history="1">
            <w:r w:rsidRPr="000D551A">
              <w:rPr>
                <w:rStyle w:val="Lienhypertexte"/>
                <w:noProof/>
              </w:rPr>
              <w:t>41.61.3 Vérandas / verrières en bois à composition mixte - profilés de finition CCTB 01.02</w:t>
            </w:r>
            <w:r>
              <w:rPr>
                <w:noProof/>
                <w:webHidden/>
              </w:rPr>
              <w:tab/>
            </w:r>
            <w:r>
              <w:rPr>
                <w:noProof/>
                <w:webHidden/>
              </w:rPr>
              <w:fldChar w:fldCharType="begin"/>
            </w:r>
            <w:r>
              <w:rPr>
                <w:noProof/>
                <w:webHidden/>
              </w:rPr>
              <w:instrText xml:space="preserve"> PAGEREF _Toc220490017 \h </w:instrText>
            </w:r>
            <w:r>
              <w:rPr>
                <w:noProof/>
                <w:webHidden/>
              </w:rPr>
            </w:r>
            <w:r>
              <w:rPr>
                <w:noProof/>
                <w:webHidden/>
              </w:rPr>
              <w:fldChar w:fldCharType="separate"/>
            </w:r>
            <w:r>
              <w:rPr>
                <w:noProof/>
                <w:webHidden/>
              </w:rPr>
              <w:t>282</w:t>
            </w:r>
            <w:r>
              <w:rPr>
                <w:noProof/>
                <w:webHidden/>
              </w:rPr>
              <w:fldChar w:fldCharType="end"/>
            </w:r>
          </w:hyperlink>
        </w:p>
        <w:p w14:paraId="0C7750D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18" w:history="1">
            <w:r w:rsidRPr="000D551A">
              <w:rPr>
                <w:rStyle w:val="Lienhypertexte"/>
                <w:noProof/>
              </w:rPr>
              <w:t>41.61.3a Vérandas / verrières en bois à composition mixte - profilés de finition en aluminium CCTB 01.02</w:t>
            </w:r>
            <w:r>
              <w:rPr>
                <w:noProof/>
                <w:webHidden/>
              </w:rPr>
              <w:tab/>
            </w:r>
            <w:r>
              <w:rPr>
                <w:noProof/>
                <w:webHidden/>
              </w:rPr>
              <w:fldChar w:fldCharType="begin"/>
            </w:r>
            <w:r>
              <w:rPr>
                <w:noProof/>
                <w:webHidden/>
              </w:rPr>
              <w:instrText xml:space="preserve"> PAGEREF _Toc220490018 \h </w:instrText>
            </w:r>
            <w:r>
              <w:rPr>
                <w:noProof/>
                <w:webHidden/>
              </w:rPr>
            </w:r>
            <w:r>
              <w:rPr>
                <w:noProof/>
                <w:webHidden/>
              </w:rPr>
              <w:fldChar w:fldCharType="separate"/>
            </w:r>
            <w:r>
              <w:rPr>
                <w:noProof/>
                <w:webHidden/>
              </w:rPr>
              <w:t>283</w:t>
            </w:r>
            <w:r>
              <w:rPr>
                <w:noProof/>
                <w:webHidden/>
              </w:rPr>
              <w:fldChar w:fldCharType="end"/>
            </w:r>
          </w:hyperlink>
        </w:p>
        <w:p w14:paraId="586519B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19" w:history="1">
            <w:r w:rsidRPr="000D551A">
              <w:rPr>
                <w:rStyle w:val="Lienhypertexte"/>
                <w:noProof/>
              </w:rPr>
              <w:t>41.61.3b Vérandas / verrières en bois à composition mixte - profilés de finition en inox CCTB 01.02</w:t>
            </w:r>
            <w:r>
              <w:rPr>
                <w:noProof/>
                <w:webHidden/>
              </w:rPr>
              <w:tab/>
            </w:r>
            <w:r>
              <w:rPr>
                <w:noProof/>
                <w:webHidden/>
              </w:rPr>
              <w:fldChar w:fldCharType="begin"/>
            </w:r>
            <w:r>
              <w:rPr>
                <w:noProof/>
                <w:webHidden/>
              </w:rPr>
              <w:instrText xml:space="preserve"> PAGEREF _Toc220490019 \h </w:instrText>
            </w:r>
            <w:r>
              <w:rPr>
                <w:noProof/>
                <w:webHidden/>
              </w:rPr>
            </w:r>
            <w:r>
              <w:rPr>
                <w:noProof/>
                <w:webHidden/>
              </w:rPr>
              <w:fldChar w:fldCharType="separate"/>
            </w:r>
            <w:r>
              <w:rPr>
                <w:noProof/>
                <w:webHidden/>
              </w:rPr>
              <w:t>283</w:t>
            </w:r>
            <w:r>
              <w:rPr>
                <w:noProof/>
                <w:webHidden/>
              </w:rPr>
              <w:fldChar w:fldCharType="end"/>
            </w:r>
          </w:hyperlink>
        </w:p>
        <w:p w14:paraId="3997E0D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20" w:history="1">
            <w:r w:rsidRPr="000D551A">
              <w:rPr>
                <w:rStyle w:val="Lienhypertexte"/>
                <w:noProof/>
              </w:rPr>
              <w:t>41.61.3c Vérandas / verrières en bois à composition mixte - profilés de finition en PVC CCTB 01.02</w:t>
            </w:r>
            <w:r>
              <w:rPr>
                <w:noProof/>
                <w:webHidden/>
              </w:rPr>
              <w:tab/>
            </w:r>
            <w:r>
              <w:rPr>
                <w:noProof/>
                <w:webHidden/>
              </w:rPr>
              <w:fldChar w:fldCharType="begin"/>
            </w:r>
            <w:r>
              <w:rPr>
                <w:noProof/>
                <w:webHidden/>
              </w:rPr>
              <w:instrText xml:space="preserve"> PAGEREF _Toc220490020 \h </w:instrText>
            </w:r>
            <w:r>
              <w:rPr>
                <w:noProof/>
                <w:webHidden/>
              </w:rPr>
            </w:r>
            <w:r>
              <w:rPr>
                <w:noProof/>
                <w:webHidden/>
              </w:rPr>
              <w:fldChar w:fldCharType="separate"/>
            </w:r>
            <w:r>
              <w:rPr>
                <w:noProof/>
                <w:webHidden/>
              </w:rPr>
              <w:t>283</w:t>
            </w:r>
            <w:r>
              <w:rPr>
                <w:noProof/>
                <w:webHidden/>
              </w:rPr>
              <w:fldChar w:fldCharType="end"/>
            </w:r>
          </w:hyperlink>
        </w:p>
        <w:p w14:paraId="12985DE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21" w:history="1">
            <w:r w:rsidRPr="000D551A">
              <w:rPr>
                <w:rStyle w:val="Lienhypertexte"/>
                <w:noProof/>
              </w:rPr>
              <w:t>41.61.4 Vérandas / verrières en bois à composition mixte - isolation intégrée CCTB 01.02</w:t>
            </w:r>
            <w:r>
              <w:rPr>
                <w:noProof/>
                <w:webHidden/>
              </w:rPr>
              <w:tab/>
            </w:r>
            <w:r>
              <w:rPr>
                <w:noProof/>
                <w:webHidden/>
              </w:rPr>
              <w:fldChar w:fldCharType="begin"/>
            </w:r>
            <w:r>
              <w:rPr>
                <w:noProof/>
                <w:webHidden/>
              </w:rPr>
              <w:instrText xml:space="preserve"> PAGEREF _Toc220490021 \h </w:instrText>
            </w:r>
            <w:r>
              <w:rPr>
                <w:noProof/>
                <w:webHidden/>
              </w:rPr>
            </w:r>
            <w:r>
              <w:rPr>
                <w:noProof/>
                <w:webHidden/>
              </w:rPr>
              <w:fldChar w:fldCharType="separate"/>
            </w:r>
            <w:r>
              <w:rPr>
                <w:noProof/>
                <w:webHidden/>
              </w:rPr>
              <w:t>283</w:t>
            </w:r>
            <w:r>
              <w:rPr>
                <w:noProof/>
                <w:webHidden/>
              </w:rPr>
              <w:fldChar w:fldCharType="end"/>
            </w:r>
          </w:hyperlink>
        </w:p>
        <w:p w14:paraId="7A577F0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22" w:history="1">
            <w:r w:rsidRPr="000D551A">
              <w:rPr>
                <w:rStyle w:val="Lienhypertexte"/>
                <w:noProof/>
              </w:rPr>
              <w:t>41.61.4a Vérandas / verrières en bois à composition mixte - isolation intégrée - finition en bois CCTB 01.02</w:t>
            </w:r>
            <w:r>
              <w:rPr>
                <w:noProof/>
                <w:webHidden/>
              </w:rPr>
              <w:tab/>
            </w:r>
            <w:r>
              <w:rPr>
                <w:noProof/>
                <w:webHidden/>
              </w:rPr>
              <w:fldChar w:fldCharType="begin"/>
            </w:r>
            <w:r>
              <w:rPr>
                <w:noProof/>
                <w:webHidden/>
              </w:rPr>
              <w:instrText xml:space="preserve"> PAGEREF _Toc220490022 \h </w:instrText>
            </w:r>
            <w:r>
              <w:rPr>
                <w:noProof/>
                <w:webHidden/>
              </w:rPr>
            </w:r>
            <w:r>
              <w:rPr>
                <w:noProof/>
                <w:webHidden/>
              </w:rPr>
              <w:fldChar w:fldCharType="separate"/>
            </w:r>
            <w:r>
              <w:rPr>
                <w:noProof/>
                <w:webHidden/>
              </w:rPr>
              <w:t>283</w:t>
            </w:r>
            <w:r>
              <w:rPr>
                <w:noProof/>
                <w:webHidden/>
              </w:rPr>
              <w:fldChar w:fldCharType="end"/>
            </w:r>
          </w:hyperlink>
        </w:p>
        <w:p w14:paraId="09B0D8A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23" w:history="1">
            <w:r w:rsidRPr="000D551A">
              <w:rPr>
                <w:rStyle w:val="Lienhypertexte"/>
                <w:noProof/>
              </w:rPr>
              <w:t>41.61.4b Vérandas / verrières en bois à composition mixte - isolation intégrée - finition en aluminium CCTB 01.02</w:t>
            </w:r>
            <w:r>
              <w:rPr>
                <w:noProof/>
                <w:webHidden/>
              </w:rPr>
              <w:tab/>
            </w:r>
            <w:r>
              <w:rPr>
                <w:noProof/>
                <w:webHidden/>
              </w:rPr>
              <w:fldChar w:fldCharType="begin"/>
            </w:r>
            <w:r>
              <w:rPr>
                <w:noProof/>
                <w:webHidden/>
              </w:rPr>
              <w:instrText xml:space="preserve"> PAGEREF _Toc220490023 \h </w:instrText>
            </w:r>
            <w:r>
              <w:rPr>
                <w:noProof/>
                <w:webHidden/>
              </w:rPr>
            </w:r>
            <w:r>
              <w:rPr>
                <w:noProof/>
                <w:webHidden/>
              </w:rPr>
              <w:fldChar w:fldCharType="separate"/>
            </w:r>
            <w:r>
              <w:rPr>
                <w:noProof/>
                <w:webHidden/>
              </w:rPr>
              <w:t>283</w:t>
            </w:r>
            <w:r>
              <w:rPr>
                <w:noProof/>
                <w:webHidden/>
              </w:rPr>
              <w:fldChar w:fldCharType="end"/>
            </w:r>
          </w:hyperlink>
        </w:p>
        <w:p w14:paraId="60755A6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24" w:history="1">
            <w:r w:rsidRPr="000D551A">
              <w:rPr>
                <w:rStyle w:val="Lienhypertexte"/>
                <w:noProof/>
              </w:rPr>
              <w:t>41.61.4c Vérandas / verrières en bois à composition mixte - isolation intégrée - finition en inox CCTB 01.11</w:t>
            </w:r>
            <w:r>
              <w:rPr>
                <w:noProof/>
                <w:webHidden/>
              </w:rPr>
              <w:tab/>
            </w:r>
            <w:r>
              <w:rPr>
                <w:noProof/>
                <w:webHidden/>
              </w:rPr>
              <w:fldChar w:fldCharType="begin"/>
            </w:r>
            <w:r>
              <w:rPr>
                <w:noProof/>
                <w:webHidden/>
              </w:rPr>
              <w:instrText xml:space="preserve"> PAGEREF _Toc220490024 \h </w:instrText>
            </w:r>
            <w:r>
              <w:rPr>
                <w:noProof/>
                <w:webHidden/>
              </w:rPr>
            </w:r>
            <w:r>
              <w:rPr>
                <w:noProof/>
                <w:webHidden/>
              </w:rPr>
              <w:fldChar w:fldCharType="separate"/>
            </w:r>
            <w:r>
              <w:rPr>
                <w:noProof/>
                <w:webHidden/>
              </w:rPr>
              <w:t>283</w:t>
            </w:r>
            <w:r>
              <w:rPr>
                <w:noProof/>
                <w:webHidden/>
              </w:rPr>
              <w:fldChar w:fldCharType="end"/>
            </w:r>
          </w:hyperlink>
        </w:p>
        <w:p w14:paraId="111A47C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25" w:history="1">
            <w:r w:rsidRPr="000D551A">
              <w:rPr>
                <w:rStyle w:val="Lienhypertexte"/>
                <w:noProof/>
              </w:rPr>
              <w:t>41.61.4d Vérandas / verrières en bois à composition mixte - isolation intégrée - finition en PVC CCTB 01.02</w:t>
            </w:r>
            <w:r>
              <w:rPr>
                <w:noProof/>
                <w:webHidden/>
              </w:rPr>
              <w:tab/>
            </w:r>
            <w:r>
              <w:rPr>
                <w:noProof/>
                <w:webHidden/>
              </w:rPr>
              <w:fldChar w:fldCharType="begin"/>
            </w:r>
            <w:r>
              <w:rPr>
                <w:noProof/>
                <w:webHidden/>
              </w:rPr>
              <w:instrText xml:space="preserve"> PAGEREF _Toc220490025 \h </w:instrText>
            </w:r>
            <w:r>
              <w:rPr>
                <w:noProof/>
                <w:webHidden/>
              </w:rPr>
            </w:r>
            <w:r>
              <w:rPr>
                <w:noProof/>
                <w:webHidden/>
              </w:rPr>
              <w:fldChar w:fldCharType="separate"/>
            </w:r>
            <w:r>
              <w:rPr>
                <w:noProof/>
                <w:webHidden/>
              </w:rPr>
              <w:t>291</w:t>
            </w:r>
            <w:r>
              <w:rPr>
                <w:noProof/>
                <w:webHidden/>
              </w:rPr>
              <w:fldChar w:fldCharType="end"/>
            </w:r>
          </w:hyperlink>
        </w:p>
        <w:p w14:paraId="383FC09C"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026" w:history="1">
            <w:r w:rsidRPr="000D551A">
              <w:rPr>
                <w:rStyle w:val="Lienhypertexte"/>
                <w:noProof/>
              </w:rPr>
              <w:t>41.62 Vérandas / verrières métalliques CCTB 01.04</w:t>
            </w:r>
            <w:r>
              <w:rPr>
                <w:noProof/>
                <w:webHidden/>
              </w:rPr>
              <w:tab/>
            </w:r>
            <w:r>
              <w:rPr>
                <w:noProof/>
                <w:webHidden/>
              </w:rPr>
              <w:fldChar w:fldCharType="begin"/>
            </w:r>
            <w:r>
              <w:rPr>
                <w:noProof/>
                <w:webHidden/>
              </w:rPr>
              <w:instrText xml:space="preserve"> PAGEREF _Toc220490026 \h </w:instrText>
            </w:r>
            <w:r>
              <w:rPr>
                <w:noProof/>
                <w:webHidden/>
              </w:rPr>
            </w:r>
            <w:r>
              <w:rPr>
                <w:noProof/>
                <w:webHidden/>
              </w:rPr>
              <w:fldChar w:fldCharType="separate"/>
            </w:r>
            <w:r>
              <w:rPr>
                <w:noProof/>
                <w:webHidden/>
              </w:rPr>
              <w:t>291</w:t>
            </w:r>
            <w:r>
              <w:rPr>
                <w:noProof/>
                <w:webHidden/>
              </w:rPr>
              <w:fldChar w:fldCharType="end"/>
            </w:r>
          </w:hyperlink>
        </w:p>
        <w:p w14:paraId="00CCE01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27" w:history="1">
            <w:r w:rsidRPr="000D551A">
              <w:rPr>
                <w:rStyle w:val="Lienhypertexte"/>
                <w:noProof/>
              </w:rPr>
              <w:t>41.62.1 Vérandas / verrières en aluminium  CCTB 01.04</w:t>
            </w:r>
            <w:r>
              <w:rPr>
                <w:noProof/>
                <w:webHidden/>
              </w:rPr>
              <w:tab/>
            </w:r>
            <w:r>
              <w:rPr>
                <w:noProof/>
                <w:webHidden/>
              </w:rPr>
              <w:fldChar w:fldCharType="begin"/>
            </w:r>
            <w:r>
              <w:rPr>
                <w:noProof/>
                <w:webHidden/>
              </w:rPr>
              <w:instrText xml:space="preserve"> PAGEREF _Toc220490027 \h </w:instrText>
            </w:r>
            <w:r>
              <w:rPr>
                <w:noProof/>
                <w:webHidden/>
              </w:rPr>
            </w:r>
            <w:r>
              <w:rPr>
                <w:noProof/>
                <w:webHidden/>
              </w:rPr>
              <w:fldChar w:fldCharType="separate"/>
            </w:r>
            <w:r>
              <w:rPr>
                <w:noProof/>
                <w:webHidden/>
              </w:rPr>
              <w:t>291</w:t>
            </w:r>
            <w:r>
              <w:rPr>
                <w:noProof/>
                <w:webHidden/>
              </w:rPr>
              <w:fldChar w:fldCharType="end"/>
            </w:r>
          </w:hyperlink>
        </w:p>
        <w:p w14:paraId="4EBC92E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28" w:history="1">
            <w:r w:rsidRPr="000D551A">
              <w:rPr>
                <w:rStyle w:val="Lienhypertexte"/>
                <w:noProof/>
              </w:rPr>
              <w:t>41.62.1a Vérandas / verrières en aluminium sans coupure thermique</w:t>
            </w:r>
            <w:r>
              <w:rPr>
                <w:noProof/>
                <w:webHidden/>
              </w:rPr>
              <w:tab/>
            </w:r>
            <w:r>
              <w:rPr>
                <w:noProof/>
                <w:webHidden/>
              </w:rPr>
              <w:fldChar w:fldCharType="begin"/>
            </w:r>
            <w:r>
              <w:rPr>
                <w:noProof/>
                <w:webHidden/>
              </w:rPr>
              <w:instrText xml:space="preserve"> PAGEREF _Toc220490028 \h </w:instrText>
            </w:r>
            <w:r>
              <w:rPr>
                <w:noProof/>
                <w:webHidden/>
              </w:rPr>
            </w:r>
            <w:r>
              <w:rPr>
                <w:noProof/>
                <w:webHidden/>
              </w:rPr>
              <w:fldChar w:fldCharType="separate"/>
            </w:r>
            <w:r>
              <w:rPr>
                <w:noProof/>
                <w:webHidden/>
              </w:rPr>
              <w:t>291</w:t>
            </w:r>
            <w:r>
              <w:rPr>
                <w:noProof/>
                <w:webHidden/>
              </w:rPr>
              <w:fldChar w:fldCharType="end"/>
            </w:r>
          </w:hyperlink>
        </w:p>
        <w:p w14:paraId="335CF15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29" w:history="1">
            <w:r w:rsidRPr="000D551A">
              <w:rPr>
                <w:rStyle w:val="Lienhypertexte"/>
                <w:noProof/>
              </w:rPr>
              <w:t>41.62.1b Vérandas / verrières en aluminium avec coupure thermique</w:t>
            </w:r>
            <w:r>
              <w:rPr>
                <w:noProof/>
                <w:webHidden/>
              </w:rPr>
              <w:tab/>
            </w:r>
            <w:r>
              <w:rPr>
                <w:noProof/>
                <w:webHidden/>
              </w:rPr>
              <w:fldChar w:fldCharType="begin"/>
            </w:r>
            <w:r>
              <w:rPr>
                <w:noProof/>
                <w:webHidden/>
              </w:rPr>
              <w:instrText xml:space="preserve"> PAGEREF _Toc220490029 \h </w:instrText>
            </w:r>
            <w:r>
              <w:rPr>
                <w:noProof/>
                <w:webHidden/>
              </w:rPr>
            </w:r>
            <w:r>
              <w:rPr>
                <w:noProof/>
                <w:webHidden/>
              </w:rPr>
              <w:fldChar w:fldCharType="separate"/>
            </w:r>
            <w:r>
              <w:rPr>
                <w:noProof/>
                <w:webHidden/>
              </w:rPr>
              <w:t>291</w:t>
            </w:r>
            <w:r>
              <w:rPr>
                <w:noProof/>
                <w:webHidden/>
              </w:rPr>
              <w:fldChar w:fldCharType="end"/>
            </w:r>
          </w:hyperlink>
        </w:p>
        <w:p w14:paraId="0FA2EC0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30" w:history="1">
            <w:r w:rsidRPr="000D551A">
              <w:rPr>
                <w:rStyle w:val="Lienhypertexte"/>
                <w:noProof/>
              </w:rPr>
              <w:t>41.62.2 Vérandas / verrières en acier  CCTB 01.04</w:t>
            </w:r>
            <w:r>
              <w:rPr>
                <w:noProof/>
                <w:webHidden/>
              </w:rPr>
              <w:tab/>
            </w:r>
            <w:r>
              <w:rPr>
                <w:noProof/>
                <w:webHidden/>
              </w:rPr>
              <w:fldChar w:fldCharType="begin"/>
            </w:r>
            <w:r>
              <w:rPr>
                <w:noProof/>
                <w:webHidden/>
              </w:rPr>
              <w:instrText xml:space="preserve"> PAGEREF _Toc220490030 \h </w:instrText>
            </w:r>
            <w:r>
              <w:rPr>
                <w:noProof/>
                <w:webHidden/>
              </w:rPr>
            </w:r>
            <w:r>
              <w:rPr>
                <w:noProof/>
                <w:webHidden/>
              </w:rPr>
              <w:fldChar w:fldCharType="separate"/>
            </w:r>
            <w:r>
              <w:rPr>
                <w:noProof/>
                <w:webHidden/>
              </w:rPr>
              <w:t>291</w:t>
            </w:r>
            <w:r>
              <w:rPr>
                <w:noProof/>
                <w:webHidden/>
              </w:rPr>
              <w:fldChar w:fldCharType="end"/>
            </w:r>
          </w:hyperlink>
        </w:p>
        <w:p w14:paraId="78465B9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31" w:history="1">
            <w:r w:rsidRPr="000D551A">
              <w:rPr>
                <w:rStyle w:val="Lienhypertexte"/>
                <w:noProof/>
              </w:rPr>
              <w:t>41.62.2a Vérandas / verrières en acier sans coupure thermique</w:t>
            </w:r>
            <w:r>
              <w:rPr>
                <w:noProof/>
                <w:webHidden/>
              </w:rPr>
              <w:tab/>
            </w:r>
            <w:r>
              <w:rPr>
                <w:noProof/>
                <w:webHidden/>
              </w:rPr>
              <w:fldChar w:fldCharType="begin"/>
            </w:r>
            <w:r>
              <w:rPr>
                <w:noProof/>
                <w:webHidden/>
              </w:rPr>
              <w:instrText xml:space="preserve"> PAGEREF _Toc220490031 \h </w:instrText>
            </w:r>
            <w:r>
              <w:rPr>
                <w:noProof/>
                <w:webHidden/>
              </w:rPr>
            </w:r>
            <w:r>
              <w:rPr>
                <w:noProof/>
                <w:webHidden/>
              </w:rPr>
              <w:fldChar w:fldCharType="separate"/>
            </w:r>
            <w:r>
              <w:rPr>
                <w:noProof/>
                <w:webHidden/>
              </w:rPr>
              <w:t>291</w:t>
            </w:r>
            <w:r>
              <w:rPr>
                <w:noProof/>
                <w:webHidden/>
              </w:rPr>
              <w:fldChar w:fldCharType="end"/>
            </w:r>
          </w:hyperlink>
        </w:p>
        <w:p w14:paraId="3E351B9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32" w:history="1">
            <w:r w:rsidRPr="000D551A">
              <w:rPr>
                <w:rStyle w:val="Lienhypertexte"/>
                <w:noProof/>
              </w:rPr>
              <w:t>41.62.2b Vérandas / verrières en acier avec coupure thermique</w:t>
            </w:r>
            <w:r>
              <w:rPr>
                <w:noProof/>
                <w:webHidden/>
              </w:rPr>
              <w:tab/>
            </w:r>
            <w:r>
              <w:rPr>
                <w:noProof/>
                <w:webHidden/>
              </w:rPr>
              <w:fldChar w:fldCharType="begin"/>
            </w:r>
            <w:r>
              <w:rPr>
                <w:noProof/>
                <w:webHidden/>
              </w:rPr>
              <w:instrText xml:space="preserve"> PAGEREF _Toc220490032 \h </w:instrText>
            </w:r>
            <w:r>
              <w:rPr>
                <w:noProof/>
                <w:webHidden/>
              </w:rPr>
            </w:r>
            <w:r>
              <w:rPr>
                <w:noProof/>
                <w:webHidden/>
              </w:rPr>
              <w:fldChar w:fldCharType="separate"/>
            </w:r>
            <w:r>
              <w:rPr>
                <w:noProof/>
                <w:webHidden/>
              </w:rPr>
              <w:t>291</w:t>
            </w:r>
            <w:r>
              <w:rPr>
                <w:noProof/>
                <w:webHidden/>
              </w:rPr>
              <w:fldChar w:fldCharType="end"/>
            </w:r>
          </w:hyperlink>
        </w:p>
        <w:p w14:paraId="166FE7B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33" w:history="1">
            <w:r w:rsidRPr="000D551A">
              <w:rPr>
                <w:rStyle w:val="Lienhypertexte"/>
                <w:noProof/>
              </w:rPr>
              <w:t>41.62.3 Vérandas / verrières en fonte</w:t>
            </w:r>
            <w:r>
              <w:rPr>
                <w:noProof/>
                <w:webHidden/>
              </w:rPr>
              <w:tab/>
            </w:r>
            <w:r>
              <w:rPr>
                <w:noProof/>
                <w:webHidden/>
              </w:rPr>
              <w:fldChar w:fldCharType="begin"/>
            </w:r>
            <w:r>
              <w:rPr>
                <w:noProof/>
                <w:webHidden/>
              </w:rPr>
              <w:instrText xml:space="preserve"> PAGEREF _Toc220490033 \h </w:instrText>
            </w:r>
            <w:r>
              <w:rPr>
                <w:noProof/>
                <w:webHidden/>
              </w:rPr>
            </w:r>
            <w:r>
              <w:rPr>
                <w:noProof/>
                <w:webHidden/>
              </w:rPr>
              <w:fldChar w:fldCharType="separate"/>
            </w:r>
            <w:r>
              <w:rPr>
                <w:noProof/>
                <w:webHidden/>
              </w:rPr>
              <w:t>291</w:t>
            </w:r>
            <w:r>
              <w:rPr>
                <w:noProof/>
                <w:webHidden/>
              </w:rPr>
              <w:fldChar w:fldCharType="end"/>
            </w:r>
          </w:hyperlink>
        </w:p>
        <w:p w14:paraId="5E182C7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34" w:history="1">
            <w:r w:rsidRPr="000D551A">
              <w:rPr>
                <w:rStyle w:val="Lienhypertexte"/>
                <w:noProof/>
              </w:rPr>
              <w:t>41.62.3a Vérandas / verrières en fonte</w:t>
            </w:r>
            <w:r>
              <w:rPr>
                <w:noProof/>
                <w:webHidden/>
              </w:rPr>
              <w:tab/>
            </w:r>
            <w:r>
              <w:rPr>
                <w:noProof/>
                <w:webHidden/>
              </w:rPr>
              <w:fldChar w:fldCharType="begin"/>
            </w:r>
            <w:r>
              <w:rPr>
                <w:noProof/>
                <w:webHidden/>
              </w:rPr>
              <w:instrText xml:space="preserve"> PAGEREF _Toc220490034 \h </w:instrText>
            </w:r>
            <w:r>
              <w:rPr>
                <w:noProof/>
                <w:webHidden/>
              </w:rPr>
            </w:r>
            <w:r>
              <w:rPr>
                <w:noProof/>
                <w:webHidden/>
              </w:rPr>
              <w:fldChar w:fldCharType="separate"/>
            </w:r>
            <w:r>
              <w:rPr>
                <w:noProof/>
                <w:webHidden/>
              </w:rPr>
              <w:t>291</w:t>
            </w:r>
            <w:r>
              <w:rPr>
                <w:noProof/>
                <w:webHidden/>
              </w:rPr>
              <w:fldChar w:fldCharType="end"/>
            </w:r>
          </w:hyperlink>
        </w:p>
        <w:p w14:paraId="606FCAA5"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35" w:history="1">
            <w:r w:rsidRPr="000D551A">
              <w:rPr>
                <w:rStyle w:val="Lienhypertexte"/>
                <w:noProof/>
              </w:rPr>
              <w:t>41.62.4 Vérandas / verrières en fer forgé</w:t>
            </w:r>
            <w:r>
              <w:rPr>
                <w:noProof/>
                <w:webHidden/>
              </w:rPr>
              <w:tab/>
            </w:r>
            <w:r>
              <w:rPr>
                <w:noProof/>
                <w:webHidden/>
              </w:rPr>
              <w:fldChar w:fldCharType="begin"/>
            </w:r>
            <w:r>
              <w:rPr>
                <w:noProof/>
                <w:webHidden/>
              </w:rPr>
              <w:instrText xml:space="preserve"> PAGEREF _Toc220490035 \h </w:instrText>
            </w:r>
            <w:r>
              <w:rPr>
                <w:noProof/>
                <w:webHidden/>
              </w:rPr>
            </w:r>
            <w:r>
              <w:rPr>
                <w:noProof/>
                <w:webHidden/>
              </w:rPr>
              <w:fldChar w:fldCharType="separate"/>
            </w:r>
            <w:r>
              <w:rPr>
                <w:noProof/>
                <w:webHidden/>
              </w:rPr>
              <w:t>291</w:t>
            </w:r>
            <w:r>
              <w:rPr>
                <w:noProof/>
                <w:webHidden/>
              </w:rPr>
              <w:fldChar w:fldCharType="end"/>
            </w:r>
          </w:hyperlink>
        </w:p>
        <w:p w14:paraId="3BBDF2D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36" w:history="1">
            <w:r w:rsidRPr="000D551A">
              <w:rPr>
                <w:rStyle w:val="Lienhypertexte"/>
                <w:noProof/>
              </w:rPr>
              <w:t>41.62.4a Vérandas / verrières en fer forgé</w:t>
            </w:r>
            <w:r>
              <w:rPr>
                <w:noProof/>
                <w:webHidden/>
              </w:rPr>
              <w:tab/>
            </w:r>
            <w:r>
              <w:rPr>
                <w:noProof/>
                <w:webHidden/>
              </w:rPr>
              <w:fldChar w:fldCharType="begin"/>
            </w:r>
            <w:r>
              <w:rPr>
                <w:noProof/>
                <w:webHidden/>
              </w:rPr>
              <w:instrText xml:space="preserve"> PAGEREF _Toc220490036 \h </w:instrText>
            </w:r>
            <w:r>
              <w:rPr>
                <w:noProof/>
                <w:webHidden/>
              </w:rPr>
            </w:r>
            <w:r>
              <w:rPr>
                <w:noProof/>
                <w:webHidden/>
              </w:rPr>
              <w:fldChar w:fldCharType="separate"/>
            </w:r>
            <w:r>
              <w:rPr>
                <w:noProof/>
                <w:webHidden/>
              </w:rPr>
              <w:t>291</w:t>
            </w:r>
            <w:r>
              <w:rPr>
                <w:noProof/>
                <w:webHidden/>
              </w:rPr>
              <w:fldChar w:fldCharType="end"/>
            </w:r>
          </w:hyperlink>
        </w:p>
        <w:p w14:paraId="011AB060"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037" w:history="1">
            <w:r w:rsidRPr="000D551A">
              <w:rPr>
                <w:rStyle w:val="Lienhypertexte"/>
                <w:noProof/>
              </w:rPr>
              <w:t>41.63 Vérandas / verrières en PVC CCTB 01.02</w:t>
            </w:r>
            <w:r>
              <w:rPr>
                <w:noProof/>
                <w:webHidden/>
              </w:rPr>
              <w:tab/>
            </w:r>
            <w:r>
              <w:rPr>
                <w:noProof/>
                <w:webHidden/>
              </w:rPr>
              <w:fldChar w:fldCharType="begin"/>
            </w:r>
            <w:r>
              <w:rPr>
                <w:noProof/>
                <w:webHidden/>
              </w:rPr>
              <w:instrText xml:space="preserve"> PAGEREF _Toc220490037 \h </w:instrText>
            </w:r>
            <w:r>
              <w:rPr>
                <w:noProof/>
                <w:webHidden/>
              </w:rPr>
            </w:r>
            <w:r>
              <w:rPr>
                <w:noProof/>
                <w:webHidden/>
              </w:rPr>
              <w:fldChar w:fldCharType="separate"/>
            </w:r>
            <w:r>
              <w:rPr>
                <w:noProof/>
                <w:webHidden/>
              </w:rPr>
              <w:t>291</w:t>
            </w:r>
            <w:r>
              <w:rPr>
                <w:noProof/>
                <w:webHidden/>
              </w:rPr>
              <w:fldChar w:fldCharType="end"/>
            </w:r>
          </w:hyperlink>
        </w:p>
        <w:p w14:paraId="77ED0D2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38" w:history="1">
            <w:r w:rsidRPr="000D551A">
              <w:rPr>
                <w:rStyle w:val="Lienhypertexte"/>
                <w:noProof/>
              </w:rPr>
              <w:t>41.63.1 Vérandas / verrières en PVC</w:t>
            </w:r>
            <w:r>
              <w:rPr>
                <w:noProof/>
                <w:webHidden/>
              </w:rPr>
              <w:tab/>
            </w:r>
            <w:r>
              <w:rPr>
                <w:noProof/>
                <w:webHidden/>
              </w:rPr>
              <w:fldChar w:fldCharType="begin"/>
            </w:r>
            <w:r>
              <w:rPr>
                <w:noProof/>
                <w:webHidden/>
              </w:rPr>
              <w:instrText xml:space="preserve"> PAGEREF _Toc220490038 \h </w:instrText>
            </w:r>
            <w:r>
              <w:rPr>
                <w:noProof/>
                <w:webHidden/>
              </w:rPr>
            </w:r>
            <w:r>
              <w:rPr>
                <w:noProof/>
                <w:webHidden/>
              </w:rPr>
              <w:fldChar w:fldCharType="separate"/>
            </w:r>
            <w:r>
              <w:rPr>
                <w:noProof/>
                <w:webHidden/>
              </w:rPr>
              <w:t>291</w:t>
            </w:r>
            <w:r>
              <w:rPr>
                <w:noProof/>
                <w:webHidden/>
              </w:rPr>
              <w:fldChar w:fldCharType="end"/>
            </w:r>
          </w:hyperlink>
        </w:p>
        <w:p w14:paraId="5C1F109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39" w:history="1">
            <w:r w:rsidRPr="000D551A">
              <w:rPr>
                <w:rStyle w:val="Lienhypertexte"/>
                <w:noProof/>
              </w:rPr>
              <w:t>41.63.1a Vérandas / verrières en PVC</w:t>
            </w:r>
            <w:r>
              <w:rPr>
                <w:noProof/>
                <w:webHidden/>
              </w:rPr>
              <w:tab/>
            </w:r>
            <w:r>
              <w:rPr>
                <w:noProof/>
                <w:webHidden/>
              </w:rPr>
              <w:fldChar w:fldCharType="begin"/>
            </w:r>
            <w:r>
              <w:rPr>
                <w:noProof/>
                <w:webHidden/>
              </w:rPr>
              <w:instrText xml:space="preserve"> PAGEREF _Toc220490039 \h </w:instrText>
            </w:r>
            <w:r>
              <w:rPr>
                <w:noProof/>
                <w:webHidden/>
              </w:rPr>
            </w:r>
            <w:r>
              <w:rPr>
                <w:noProof/>
                <w:webHidden/>
              </w:rPr>
              <w:fldChar w:fldCharType="separate"/>
            </w:r>
            <w:r>
              <w:rPr>
                <w:noProof/>
                <w:webHidden/>
              </w:rPr>
              <w:t>291</w:t>
            </w:r>
            <w:r>
              <w:rPr>
                <w:noProof/>
                <w:webHidden/>
              </w:rPr>
              <w:fldChar w:fldCharType="end"/>
            </w:r>
          </w:hyperlink>
        </w:p>
        <w:p w14:paraId="2ECCAB34"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040" w:history="1">
            <w:r w:rsidRPr="000D551A">
              <w:rPr>
                <w:rStyle w:val="Lienhypertexte"/>
                <w:noProof/>
              </w:rPr>
              <w:t>41.64 Vérandas / verrières en matériaux composites CCTB 01.02</w:t>
            </w:r>
            <w:r>
              <w:rPr>
                <w:noProof/>
                <w:webHidden/>
              </w:rPr>
              <w:tab/>
            </w:r>
            <w:r>
              <w:rPr>
                <w:noProof/>
                <w:webHidden/>
              </w:rPr>
              <w:fldChar w:fldCharType="begin"/>
            </w:r>
            <w:r>
              <w:rPr>
                <w:noProof/>
                <w:webHidden/>
              </w:rPr>
              <w:instrText xml:space="preserve"> PAGEREF _Toc220490040 \h </w:instrText>
            </w:r>
            <w:r>
              <w:rPr>
                <w:noProof/>
                <w:webHidden/>
              </w:rPr>
            </w:r>
            <w:r>
              <w:rPr>
                <w:noProof/>
                <w:webHidden/>
              </w:rPr>
              <w:fldChar w:fldCharType="separate"/>
            </w:r>
            <w:r>
              <w:rPr>
                <w:noProof/>
                <w:webHidden/>
              </w:rPr>
              <w:t>291</w:t>
            </w:r>
            <w:r>
              <w:rPr>
                <w:noProof/>
                <w:webHidden/>
              </w:rPr>
              <w:fldChar w:fldCharType="end"/>
            </w:r>
          </w:hyperlink>
        </w:p>
        <w:p w14:paraId="7CD0B9C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41" w:history="1">
            <w:r w:rsidRPr="000D551A">
              <w:rPr>
                <w:rStyle w:val="Lienhypertexte"/>
                <w:noProof/>
              </w:rPr>
              <w:t>41.64.1 Vérandas / verrières en mélange PVC/bois (dans la masse) CCTB 01.02</w:t>
            </w:r>
            <w:r>
              <w:rPr>
                <w:noProof/>
                <w:webHidden/>
              </w:rPr>
              <w:tab/>
            </w:r>
            <w:r>
              <w:rPr>
                <w:noProof/>
                <w:webHidden/>
              </w:rPr>
              <w:fldChar w:fldCharType="begin"/>
            </w:r>
            <w:r>
              <w:rPr>
                <w:noProof/>
                <w:webHidden/>
              </w:rPr>
              <w:instrText xml:space="preserve"> PAGEREF _Toc220490041 \h </w:instrText>
            </w:r>
            <w:r>
              <w:rPr>
                <w:noProof/>
                <w:webHidden/>
              </w:rPr>
            </w:r>
            <w:r>
              <w:rPr>
                <w:noProof/>
                <w:webHidden/>
              </w:rPr>
              <w:fldChar w:fldCharType="separate"/>
            </w:r>
            <w:r>
              <w:rPr>
                <w:noProof/>
                <w:webHidden/>
              </w:rPr>
              <w:t>291</w:t>
            </w:r>
            <w:r>
              <w:rPr>
                <w:noProof/>
                <w:webHidden/>
              </w:rPr>
              <w:fldChar w:fldCharType="end"/>
            </w:r>
          </w:hyperlink>
        </w:p>
        <w:p w14:paraId="6E735FC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42" w:history="1">
            <w:r w:rsidRPr="000D551A">
              <w:rPr>
                <w:rStyle w:val="Lienhypertexte"/>
                <w:noProof/>
              </w:rPr>
              <w:t>41.64.1a Vérandas / verrières en mélange PVC/bois (dans la masse)</w:t>
            </w:r>
            <w:r>
              <w:rPr>
                <w:noProof/>
                <w:webHidden/>
              </w:rPr>
              <w:tab/>
            </w:r>
            <w:r>
              <w:rPr>
                <w:noProof/>
                <w:webHidden/>
              </w:rPr>
              <w:fldChar w:fldCharType="begin"/>
            </w:r>
            <w:r>
              <w:rPr>
                <w:noProof/>
                <w:webHidden/>
              </w:rPr>
              <w:instrText xml:space="preserve"> PAGEREF _Toc220490042 \h </w:instrText>
            </w:r>
            <w:r>
              <w:rPr>
                <w:noProof/>
                <w:webHidden/>
              </w:rPr>
            </w:r>
            <w:r>
              <w:rPr>
                <w:noProof/>
                <w:webHidden/>
              </w:rPr>
              <w:fldChar w:fldCharType="separate"/>
            </w:r>
            <w:r>
              <w:rPr>
                <w:noProof/>
                <w:webHidden/>
              </w:rPr>
              <w:t>291</w:t>
            </w:r>
            <w:r>
              <w:rPr>
                <w:noProof/>
                <w:webHidden/>
              </w:rPr>
              <w:fldChar w:fldCharType="end"/>
            </w:r>
          </w:hyperlink>
        </w:p>
        <w:p w14:paraId="5B2F4650"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043" w:history="1">
            <w:r w:rsidRPr="000D551A">
              <w:rPr>
                <w:rStyle w:val="Lienhypertexte"/>
                <w:noProof/>
              </w:rPr>
              <w:t>41.65 Vérandas / verrières - éléments de renfort</w:t>
            </w:r>
            <w:r>
              <w:rPr>
                <w:noProof/>
                <w:webHidden/>
              </w:rPr>
              <w:tab/>
            </w:r>
            <w:r>
              <w:rPr>
                <w:noProof/>
                <w:webHidden/>
              </w:rPr>
              <w:fldChar w:fldCharType="begin"/>
            </w:r>
            <w:r>
              <w:rPr>
                <w:noProof/>
                <w:webHidden/>
              </w:rPr>
              <w:instrText xml:space="preserve"> PAGEREF _Toc220490043 \h </w:instrText>
            </w:r>
            <w:r>
              <w:rPr>
                <w:noProof/>
                <w:webHidden/>
              </w:rPr>
            </w:r>
            <w:r>
              <w:rPr>
                <w:noProof/>
                <w:webHidden/>
              </w:rPr>
              <w:fldChar w:fldCharType="separate"/>
            </w:r>
            <w:r>
              <w:rPr>
                <w:noProof/>
                <w:webHidden/>
              </w:rPr>
              <w:t>292</w:t>
            </w:r>
            <w:r>
              <w:rPr>
                <w:noProof/>
                <w:webHidden/>
              </w:rPr>
              <w:fldChar w:fldCharType="end"/>
            </w:r>
          </w:hyperlink>
        </w:p>
        <w:p w14:paraId="3FA95B3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44" w:history="1">
            <w:r w:rsidRPr="000D551A">
              <w:rPr>
                <w:rStyle w:val="Lienhypertexte"/>
                <w:noProof/>
              </w:rPr>
              <w:t>41.65.1 Vérandas / verrières - éléments de renfort en bois</w:t>
            </w:r>
            <w:r>
              <w:rPr>
                <w:noProof/>
                <w:webHidden/>
              </w:rPr>
              <w:tab/>
            </w:r>
            <w:r>
              <w:rPr>
                <w:noProof/>
                <w:webHidden/>
              </w:rPr>
              <w:fldChar w:fldCharType="begin"/>
            </w:r>
            <w:r>
              <w:rPr>
                <w:noProof/>
                <w:webHidden/>
              </w:rPr>
              <w:instrText xml:space="preserve"> PAGEREF _Toc220490044 \h </w:instrText>
            </w:r>
            <w:r>
              <w:rPr>
                <w:noProof/>
                <w:webHidden/>
              </w:rPr>
            </w:r>
            <w:r>
              <w:rPr>
                <w:noProof/>
                <w:webHidden/>
              </w:rPr>
              <w:fldChar w:fldCharType="separate"/>
            </w:r>
            <w:r>
              <w:rPr>
                <w:noProof/>
                <w:webHidden/>
              </w:rPr>
              <w:t>292</w:t>
            </w:r>
            <w:r>
              <w:rPr>
                <w:noProof/>
                <w:webHidden/>
              </w:rPr>
              <w:fldChar w:fldCharType="end"/>
            </w:r>
          </w:hyperlink>
        </w:p>
        <w:p w14:paraId="5F1DBD0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45" w:history="1">
            <w:r w:rsidRPr="000D551A">
              <w:rPr>
                <w:rStyle w:val="Lienhypertexte"/>
                <w:noProof/>
              </w:rPr>
              <w:t>41.65.1a Vérandas / verrières - éléments de renfort en bois</w:t>
            </w:r>
            <w:r>
              <w:rPr>
                <w:noProof/>
                <w:webHidden/>
              </w:rPr>
              <w:tab/>
            </w:r>
            <w:r>
              <w:rPr>
                <w:noProof/>
                <w:webHidden/>
              </w:rPr>
              <w:fldChar w:fldCharType="begin"/>
            </w:r>
            <w:r>
              <w:rPr>
                <w:noProof/>
                <w:webHidden/>
              </w:rPr>
              <w:instrText xml:space="preserve"> PAGEREF _Toc220490045 \h </w:instrText>
            </w:r>
            <w:r>
              <w:rPr>
                <w:noProof/>
                <w:webHidden/>
              </w:rPr>
            </w:r>
            <w:r>
              <w:rPr>
                <w:noProof/>
                <w:webHidden/>
              </w:rPr>
              <w:fldChar w:fldCharType="separate"/>
            </w:r>
            <w:r>
              <w:rPr>
                <w:noProof/>
                <w:webHidden/>
              </w:rPr>
              <w:t>292</w:t>
            </w:r>
            <w:r>
              <w:rPr>
                <w:noProof/>
                <w:webHidden/>
              </w:rPr>
              <w:fldChar w:fldCharType="end"/>
            </w:r>
          </w:hyperlink>
        </w:p>
        <w:p w14:paraId="12EA74A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46" w:history="1">
            <w:r w:rsidRPr="000D551A">
              <w:rPr>
                <w:rStyle w:val="Lienhypertexte"/>
                <w:noProof/>
              </w:rPr>
              <w:t>41.65.2 Vérandas / verrières - éléments de renfort en aluminium</w:t>
            </w:r>
            <w:r>
              <w:rPr>
                <w:noProof/>
                <w:webHidden/>
              </w:rPr>
              <w:tab/>
            </w:r>
            <w:r>
              <w:rPr>
                <w:noProof/>
                <w:webHidden/>
              </w:rPr>
              <w:fldChar w:fldCharType="begin"/>
            </w:r>
            <w:r>
              <w:rPr>
                <w:noProof/>
                <w:webHidden/>
              </w:rPr>
              <w:instrText xml:space="preserve"> PAGEREF _Toc220490046 \h </w:instrText>
            </w:r>
            <w:r>
              <w:rPr>
                <w:noProof/>
                <w:webHidden/>
              </w:rPr>
            </w:r>
            <w:r>
              <w:rPr>
                <w:noProof/>
                <w:webHidden/>
              </w:rPr>
              <w:fldChar w:fldCharType="separate"/>
            </w:r>
            <w:r>
              <w:rPr>
                <w:noProof/>
                <w:webHidden/>
              </w:rPr>
              <w:t>292</w:t>
            </w:r>
            <w:r>
              <w:rPr>
                <w:noProof/>
                <w:webHidden/>
              </w:rPr>
              <w:fldChar w:fldCharType="end"/>
            </w:r>
          </w:hyperlink>
        </w:p>
        <w:p w14:paraId="478A688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47" w:history="1">
            <w:r w:rsidRPr="000D551A">
              <w:rPr>
                <w:rStyle w:val="Lienhypertexte"/>
                <w:noProof/>
              </w:rPr>
              <w:t>41.65.2a Vérandas / verrières - éléments de renfort en aluminium</w:t>
            </w:r>
            <w:r>
              <w:rPr>
                <w:noProof/>
                <w:webHidden/>
              </w:rPr>
              <w:tab/>
            </w:r>
            <w:r>
              <w:rPr>
                <w:noProof/>
                <w:webHidden/>
              </w:rPr>
              <w:fldChar w:fldCharType="begin"/>
            </w:r>
            <w:r>
              <w:rPr>
                <w:noProof/>
                <w:webHidden/>
              </w:rPr>
              <w:instrText xml:space="preserve"> PAGEREF _Toc220490047 \h </w:instrText>
            </w:r>
            <w:r>
              <w:rPr>
                <w:noProof/>
                <w:webHidden/>
              </w:rPr>
            </w:r>
            <w:r>
              <w:rPr>
                <w:noProof/>
                <w:webHidden/>
              </w:rPr>
              <w:fldChar w:fldCharType="separate"/>
            </w:r>
            <w:r>
              <w:rPr>
                <w:noProof/>
                <w:webHidden/>
              </w:rPr>
              <w:t>292</w:t>
            </w:r>
            <w:r>
              <w:rPr>
                <w:noProof/>
                <w:webHidden/>
              </w:rPr>
              <w:fldChar w:fldCharType="end"/>
            </w:r>
          </w:hyperlink>
        </w:p>
        <w:p w14:paraId="23D9344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48" w:history="1">
            <w:r w:rsidRPr="000D551A">
              <w:rPr>
                <w:rStyle w:val="Lienhypertexte"/>
                <w:noProof/>
              </w:rPr>
              <w:t>41.65.3 Vérandas / verrières - éléments de renfort en acier</w:t>
            </w:r>
            <w:r>
              <w:rPr>
                <w:noProof/>
                <w:webHidden/>
              </w:rPr>
              <w:tab/>
            </w:r>
            <w:r>
              <w:rPr>
                <w:noProof/>
                <w:webHidden/>
              </w:rPr>
              <w:fldChar w:fldCharType="begin"/>
            </w:r>
            <w:r>
              <w:rPr>
                <w:noProof/>
                <w:webHidden/>
              </w:rPr>
              <w:instrText xml:space="preserve"> PAGEREF _Toc220490048 \h </w:instrText>
            </w:r>
            <w:r>
              <w:rPr>
                <w:noProof/>
                <w:webHidden/>
              </w:rPr>
            </w:r>
            <w:r>
              <w:rPr>
                <w:noProof/>
                <w:webHidden/>
              </w:rPr>
              <w:fldChar w:fldCharType="separate"/>
            </w:r>
            <w:r>
              <w:rPr>
                <w:noProof/>
                <w:webHidden/>
              </w:rPr>
              <w:t>292</w:t>
            </w:r>
            <w:r>
              <w:rPr>
                <w:noProof/>
                <w:webHidden/>
              </w:rPr>
              <w:fldChar w:fldCharType="end"/>
            </w:r>
          </w:hyperlink>
        </w:p>
        <w:p w14:paraId="5EB644F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49" w:history="1">
            <w:r w:rsidRPr="000D551A">
              <w:rPr>
                <w:rStyle w:val="Lienhypertexte"/>
                <w:noProof/>
              </w:rPr>
              <w:t>41.65.3a Vérandas / verrières - éléments de renfort en acier</w:t>
            </w:r>
            <w:r>
              <w:rPr>
                <w:noProof/>
                <w:webHidden/>
              </w:rPr>
              <w:tab/>
            </w:r>
            <w:r>
              <w:rPr>
                <w:noProof/>
                <w:webHidden/>
              </w:rPr>
              <w:fldChar w:fldCharType="begin"/>
            </w:r>
            <w:r>
              <w:rPr>
                <w:noProof/>
                <w:webHidden/>
              </w:rPr>
              <w:instrText xml:space="preserve"> PAGEREF _Toc220490049 \h </w:instrText>
            </w:r>
            <w:r>
              <w:rPr>
                <w:noProof/>
                <w:webHidden/>
              </w:rPr>
            </w:r>
            <w:r>
              <w:rPr>
                <w:noProof/>
                <w:webHidden/>
              </w:rPr>
              <w:fldChar w:fldCharType="separate"/>
            </w:r>
            <w:r>
              <w:rPr>
                <w:noProof/>
                <w:webHidden/>
              </w:rPr>
              <w:t>292</w:t>
            </w:r>
            <w:r>
              <w:rPr>
                <w:noProof/>
                <w:webHidden/>
              </w:rPr>
              <w:fldChar w:fldCharType="end"/>
            </w:r>
          </w:hyperlink>
        </w:p>
        <w:p w14:paraId="118120D6"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50" w:history="1">
            <w:r w:rsidRPr="000D551A">
              <w:rPr>
                <w:rStyle w:val="Lienhypertexte"/>
                <w:noProof/>
              </w:rPr>
              <w:t>41.65.4 Vérandas / verrières - éléments de renfort mixte</w:t>
            </w:r>
            <w:r>
              <w:rPr>
                <w:noProof/>
                <w:webHidden/>
              </w:rPr>
              <w:tab/>
            </w:r>
            <w:r>
              <w:rPr>
                <w:noProof/>
                <w:webHidden/>
              </w:rPr>
              <w:fldChar w:fldCharType="begin"/>
            </w:r>
            <w:r>
              <w:rPr>
                <w:noProof/>
                <w:webHidden/>
              </w:rPr>
              <w:instrText xml:space="preserve"> PAGEREF _Toc220490050 \h </w:instrText>
            </w:r>
            <w:r>
              <w:rPr>
                <w:noProof/>
                <w:webHidden/>
              </w:rPr>
            </w:r>
            <w:r>
              <w:rPr>
                <w:noProof/>
                <w:webHidden/>
              </w:rPr>
              <w:fldChar w:fldCharType="separate"/>
            </w:r>
            <w:r>
              <w:rPr>
                <w:noProof/>
                <w:webHidden/>
              </w:rPr>
              <w:t>292</w:t>
            </w:r>
            <w:r>
              <w:rPr>
                <w:noProof/>
                <w:webHidden/>
              </w:rPr>
              <w:fldChar w:fldCharType="end"/>
            </w:r>
          </w:hyperlink>
        </w:p>
        <w:p w14:paraId="21D5687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51" w:history="1">
            <w:r w:rsidRPr="000D551A">
              <w:rPr>
                <w:rStyle w:val="Lienhypertexte"/>
                <w:noProof/>
              </w:rPr>
              <w:t>41.65.4a Vérandas / verrières - éléments de renfort mixte</w:t>
            </w:r>
            <w:r>
              <w:rPr>
                <w:noProof/>
                <w:webHidden/>
              </w:rPr>
              <w:tab/>
            </w:r>
            <w:r>
              <w:rPr>
                <w:noProof/>
                <w:webHidden/>
              </w:rPr>
              <w:fldChar w:fldCharType="begin"/>
            </w:r>
            <w:r>
              <w:rPr>
                <w:noProof/>
                <w:webHidden/>
              </w:rPr>
              <w:instrText xml:space="preserve"> PAGEREF _Toc220490051 \h </w:instrText>
            </w:r>
            <w:r>
              <w:rPr>
                <w:noProof/>
                <w:webHidden/>
              </w:rPr>
            </w:r>
            <w:r>
              <w:rPr>
                <w:noProof/>
                <w:webHidden/>
              </w:rPr>
              <w:fldChar w:fldCharType="separate"/>
            </w:r>
            <w:r>
              <w:rPr>
                <w:noProof/>
                <w:webHidden/>
              </w:rPr>
              <w:t>292</w:t>
            </w:r>
            <w:r>
              <w:rPr>
                <w:noProof/>
                <w:webHidden/>
              </w:rPr>
              <w:fldChar w:fldCharType="end"/>
            </w:r>
          </w:hyperlink>
        </w:p>
        <w:p w14:paraId="13148175"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052" w:history="1">
            <w:r w:rsidRPr="000D551A">
              <w:rPr>
                <w:rStyle w:val="Lienhypertexte"/>
                <w:noProof/>
              </w:rPr>
              <w:t>41.7 Eléments particuliers / accessoires / signalétique CCTB 01.02</w:t>
            </w:r>
            <w:r>
              <w:rPr>
                <w:noProof/>
                <w:webHidden/>
              </w:rPr>
              <w:tab/>
            </w:r>
            <w:r>
              <w:rPr>
                <w:noProof/>
                <w:webHidden/>
              </w:rPr>
              <w:fldChar w:fldCharType="begin"/>
            </w:r>
            <w:r>
              <w:rPr>
                <w:noProof/>
                <w:webHidden/>
              </w:rPr>
              <w:instrText xml:space="preserve"> PAGEREF _Toc220490052 \h </w:instrText>
            </w:r>
            <w:r>
              <w:rPr>
                <w:noProof/>
                <w:webHidden/>
              </w:rPr>
            </w:r>
            <w:r>
              <w:rPr>
                <w:noProof/>
                <w:webHidden/>
              </w:rPr>
              <w:fldChar w:fldCharType="separate"/>
            </w:r>
            <w:r>
              <w:rPr>
                <w:noProof/>
                <w:webHidden/>
              </w:rPr>
              <w:t>292</w:t>
            </w:r>
            <w:r>
              <w:rPr>
                <w:noProof/>
                <w:webHidden/>
              </w:rPr>
              <w:fldChar w:fldCharType="end"/>
            </w:r>
          </w:hyperlink>
        </w:p>
        <w:p w14:paraId="14B72725"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053" w:history="1">
            <w:r w:rsidRPr="000D551A">
              <w:rPr>
                <w:rStyle w:val="Lienhypertexte"/>
                <w:noProof/>
              </w:rPr>
              <w:t>41.71 Seuils CCTB 01.11</w:t>
            </w:r>
            <w:r>
              <w:rPr>
                <w:noProof/>
                <w:webHidden/>
              </w:rPr>
              <w:tab/>
            </w:r>
            <w:r>
              <w:rPr>
                <w:noProof/>
                <w:webHidden/>
              </w:rPr>
              <w:fldChar w:fldCharType="begin"/>
            </w:r>
            <w:r>
              <w:rPr>
                <w:noProof/>
                <w:webHidden/>
              </w:rPr>
              <w:instrText xml:space="preserve"> PAGEREF _Toc220490053 \h </w:instrText>
            </w:r>
            <w:r>
              <w:rPr>
                <w:noProof/>
                <w:webHidden/>
              </w:rPr>
            </w:r>
            <w:r>
              <w:rPr>
                <w:noProof/>
                <w:webHidden/>
              </w:rPr>
              <w:fldChar w:fldCharType="separate"/>
            </w:r>
            <w:r>
              <w:rPr>
                <w:noProof/>
                <w:webHidden/>
              </w:rPr>
              <w:t>292</w:t>
            </w:r>
            <w:r>
              <w:rPr>
                <w:noProof/>
                <w:webHidden/>
              </w:rPr>
              <w:fldChar w:fldCharType="end"/>
            </w:r>
          </w:hyperlink>
        </w:p>
        <w:p w14:paraId="51656E6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54" w:history="1">
            <w:r w:rsidRPr="000D551A">
              <w:rPr>
                <w:rStyle w:val="Lienhypertexte"/>
                <w:noProof/>
              </w:rPr>
              <w:t>41.71.1 Seuils intégrés au système de châssis CCTB 01.11</w:t>
            </w:r>
            <w:r>
              <w:rPr>
                <w:noProof/>
                <w:webHidden/>
              </w:rPr>
              <w:tab/>
            </w:r>
            <w:r>
              <w:rPr>
                <w:noProof/>
                <w:webHidden/>
              </w:rPr>
              <w:fldChar w:fldCharType="begin"/>
            </w:r>
            <w:r>
              <w:rPr>
                <w:noProof/>
                <w:webHidden/>
              </w:rPr>
              <w:instrText xml:space="preserve"> PAGEREF _Toc220490054 \h </w:instrText>
            </w:r>
            <w:r>
              <w:rPr>
                <w:noProof/>
                <w:webHidden/>
              </w:rPr>
            </w:r>
            <w:r>
              <w:rPr>
                <w:noProof/>
                <w:webHidden/>
              </w:rPr>
              <w:fldChar w:fldCharType="separate"/>
            </w:r>
            <w:r>
              <w:rPr>
                <w:noProof/>
                <w:webHidden/>
              </w:rPr>
              <w:t>292</w:t>
            </w:r>
            <w:r>
              <w:rPr>
                <w:noProof/>
                <w:webHidden/>
              </w:rPr>
              <w:fldChar w:fldCharType="end"/>
            </w:r>
          </w:hyperlink>
        </w:p>
        <w:p w14:paraId="3B49A64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55" w:history="1">
            <w:r w:rsidRPr="000D551A">
              <w:rPr>
                <w:rStyle w:val="Lienhypertexte"/>
                <w:noProof/>
              </w:rPr>
              <w:t>41.71.1a Seuils intégrés au système de châssis en bois CCTB 01.02</w:t>
            </w:r>
            <w:r>
              <w:rPr>
                <w:noProof/>
                <w:webHidden/>
              </w:rPr>
              <w:tab/>
            </w:r>
            <w:r>
              <w:rPr>
                <w:noProof/>
                <w:webHidden/>
              </w:rPr>
              <w:fldChar w:fldCharType="begin"/>
            </w:r>
            <w:r>
              <w:rPr>
                <w:noProof/>
                <w:webHidden/>
              </w:rPr>
              <w:instrText xml:space="preserve"> PAGEREF _Toc220490055 \h </w:instrText>
            </w:r>
            <w:r>
              <w:rPr>
                <w:noProof/>
                <w:webHidden/>
              </w:rPr>
            </w:r>
            <w:r>
              <w:rPr>
                <w:noProof/>
                <w:webHidden/>
              </w:rPr>
              <w:fldChar w:fldCharType="separate"/>
            </w:r>
            <w:r>
              <w:rPr>
                <w:noProof/>
                <w:webHidden/>
              </w:rPr>
              <w:t>292</w:t>
            </w:r>
            <w:r>
              <w:rPr>
                <w:noProof/>
                <w:webHidden/>
              </w:rPr>
              <w:fldChar w:fldCharType="end"/>
            </w:r>
          </w:hyperlink>
        </w:p>
        <w:p w14:paraId="137D06D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56" w:history="1">
            <w:r w:rsidRPr="000D551A">
              <w:rPr>
                <w:rStyle w:val="Lienhypertexte"/>
                <w:noProof/>
              </w:rPr>
              <w:t>41.71.1b Seuils intégrés au système de châssis en aluminium CCTB 01.11</w:t>
            </w:r>
            <w:r>
              <w:rPr>
                <w:noProof/>
                <w:webHidden/>
              </w:rPr>
              <w:tab/>
            </w:r>
            <w:r>
              <w:rPr>
                <w:noProof/>
                <w:webHidden/>
              </w:rPr>
              <w:fldChar w:fldCharType="begin"/>
            </w:r>
            <w:r>
              <w:rPr>
                <w:noProof/>
                <w:webHidden/>
              </w:rPr>
              <w:instrText xml:space="preserve"> PAGEREF _Toc220490056 \h </w:instrText>
            </w:r>
            <w:r>
              <w:rPr>
                <w:noProof/>
                <w:webHidden/>
              </w:rPr>
            </w:r>
            <w:r>
              <w:rPr>
                <w:noProof/>
                <w:webHidden/>
              </w:rPr>
              <w:fldChar w:fldCharType="separate"/>
            </w:r>
            <w:r>
              <w:rPr>
                <w:noProof/>
                <w:webHidden/>
              </w:rPr>
              <w:t>293</w:t>
            </w:r>
            <w:r>
              <w:rPr>
                <w:noProof/>
                <w:webHidden/>
              </w:rPr>
              <w:fldChar w:fldCharType="end"/>
            </w:r>
          </w:hyperlink>
        </w:p>
        <w:p w14:paraId="3E7BB15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57" w:history="1">
            <w:r w:rsidRPr="000D551A">
              <w:rPr>
                <w:rStyle w:val="Lienhypertexte"/>
                <w:noProof/>
              </w:rPr>
              <w:t>41.71.1c Seuils intégrés au système de châssis en acier CCTB 01.02</w:t>
            </w:r>
            <w:r>
              <w:rPr>
                <w:noProof/>
                <w:webHidden/>
              </w:rPr>
              <w:tab/>
            </w:r>
            <w:r>
              <w:rPr>
                <w:noProof/>
                <w:webHidden/>
              </w:rPr>
              <w:fldChar w:fldCharType="begin"/>
            </w:r>
            <w:r>
              <w:rPr>
                <w:noProof/>
                <w:webHidden/>
              </w:rPr>
              <w:instrText xml:space="preserve"> PAGEREF _Toc220490057 \h </w:instrText>
            </w:r>
            <w:r>
              <w:rPr>
                <w:noProof/>
                <w:webHidden/>
              </w:rPr>
            </w:r>
            <w:r>
              <w:rPr>
                <w:noProof/>
                <w:webHidden/>
              </w:rPr>
              <w:fldChar w:fldCharType="separate"/>
            </w:r>
            <w:r>
              <w:rPr>
                <w:noProof/>
                <w:webHidden/>
              </w:rPr>
              <w:t>293</w:t>
            </w:r>
            <w:r>
              <w:rPr>
                <w:noProof/>
                <w:webHidden/>
              </w:rPr>
              <w:fldChar w:fldCharType="end"/>
            </w:r>
          </w:hyperlink>
        </w:p>
        <w:p w14:paraId="2A4FCEB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58" w:history="1">
            <w:r w:rsidRPr="000D551A">
              <w:rPr>
                <w:rStyle w:val="Lienhypertexte"/>
                <w:noProof/>
              </w:rPr>
              <w:t>41.71.1d Seuils intégrés au système de châssis en PVC CCTB 01.02</w:t>
            </w:r>
            <w:r>
              <w:rPr>
                <w:noProof/>
                <w:webHidden/>
              </w:rPr>
              <w:tab/>
            </w:r>
            <w:r>
              <w:rPr>
                <w:noProof/>
                <w:webHidden/>
              </w:rPr>
              <w:fldChar w:fldCharType="begin"/>
            </w:r>
            <w:r>
              <w:rPr>
                <w:noProof/>
                <w:webHidden/>
              </w:rPr>
              <w:instrText xml:space="preserve"> PAGEREF _Toc220490058 \h </w:instrText>
            </w:r>
            <w:r>
              <w:rPr>
                <w:noProof/>
                <w:webHidden/>
              </w:rPr>
            </w:r>
            <w:r>
              <w:rPr>
                <w:noProof/>
                <w:webHidden/>
              </w:rPr>
              <w:fldChar w:fldCharType="separate"/>
            </w:r>
            <w:r>
              <w:rPr>
                <w:noProof/>
                <w:webHidden/>
              </w:rPr>
              <w:t>293</w:t>
            </w:r>
            <w:r>
              <w:rPr>
                <w:noProof/>
                <w:webHidden/>
              </w:rPr>
              <w:fldChar w:fldCharType="end"/>
            </w:r>
          </w:hyperlink>
        </w:p>
        <w:p w14:paraId="52B945F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59" w:history="1">
            <w:r w:rsidRPr="000D551A">
              <w:rPr>
                <w:rStyle w:val="Lienhypertexte"/>
                <w:noProof/>
              </w:rPr>
              <w:t>41.71.2 Seuils posés a posteriori CCTB 01.12</w:t>
            </w:r>
            <w:r>
              <w:rPr>
                <w:noProof/>
                <w:webHidden/>
              </w:rPr>
              <w:tab/>
            </w:r>
            <w:r>
              <w:rPr>
                <w:noProof/>
                <w:webHidden/>
              </w:rPr>
              <w:fldChar w:fldCharType="begin"/>
            </w:r>
            <w:r>
              <w:rPr>
                <w:noProof/>
                <w:webHidden/>
              </w:rPr>
              <w:instrText xml:space="preserve"> PAGEREF _Toc220490059 \h </w:instrText>
            </w:r>
            <w:r>
              <w:rPr>
                <w:noProof/>
                <w:webHidden/>
              </w:rPr>
            </w:r>
            <w:r>
              <w:rPr>
                <w:noProof/>
                <w:webHidden/>
              </w:rPr>
              <w:fldChar w:fldCharType="separate"/>
            </w:r>
            <w:r>
              <w:rPr>
                <w:noProof/>
                <w:webHidden/>
              </w:rPr>
              <w:t>293</w:t>
            </w:r>
            <w:r>
              <w:rPr>
                <w:noProof/>
                <w:webHidden/>
              </w:rPr>
              <w:fldChar w:fldCharType="end"/>
            </w:r>
          </w:hyperlink>
        </w:p>
        <w:p w14:paraId="28BD597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60" w:history="1">
            <w:r w:rsidRPr="000D551A">
              <w:rPr>
                <w:rStyle w:val="Lienhypertexte"/>
                <w:noProof/>
              </w:rPr>
              <w:t>41.71.2a Seuils posés a posteriori en pierre / béton / fibre ciment</w:t>
            </w:r>
            <w:r>
              <w:rPr>
                <w:noProof/>
                <w:webHidden/>
              </w:rPr>
              <w:tab/>
            </w:r>
            <w:r>
              <w:rPr>
                <w:noProof/>
                <w:webHidden/>
              </w:rPr>
              <w:fldChar w:fldCharType="begin"/>
            </w:r>
            <w:r>
              <w:rPr>
                <w:noProof/>
                <w:webHidden/>
              </w:rPr>
              <w:instrText xml:space="preserve"> PAGEREF _Toc220490060 \h </w:instrText>
            </w:r>
            <w:r>
              <w:rPr>
                <w:noProof/>
                <w:webHidden/>
              </w:rPr>
            </w:r>
            <w:r>
              <w:rPr>
                <w:noProof/>
                <w:webHidden/>
              </w:rPr>
              <w:fldChar w:fldCharType="separate"/>
            </w:r>
            <w:r>
              <w:rPr>
                <w:noProof/>
                <w:webHidden/>
              </w:rPr>
              <w:t>294</w:t>
            </w:r>
            <w:r>
              <w:rPr>
                <w:noProof/>
                <w:webHidden/>
              </w:rPr>
              <w:fldChar w:fldCharType="end"/>
            </w:r>
          </w:hyperlink>
        </w:p>
        <w:p w14:paraId="031DEA1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61" w:history="1">
            <w:r w:rsidRPr="000D551A">
              <w:rPr>
                <w:rStyle w:val="Lienhypertexte"/>
                <w:noProof/>
              </w:rPr>
              <w:t>41.71.2b Seuils posés a posteriori métalliques CCTB 01.11</w:t>
            </w:r>
            <w:r>
              <w:rPr>
                <w:noProof/>
                <w:webHidden/>
              </w:rPr>
              <w:tab/>
            </w:r>
            <w:r>
              <w:rPr>
                <w:noProof/>
                <w:webHidden/>
              </w:rPr>
              <w:fldChar w:fldCharType="begin"/>
            </w:r>
            <w:r>
              <w:rPr>
                <w:noProof/>
                <w:webHidden/>
              </w:rPr>
              <w:instrText xml:space="preserve"> PAGEREF _Toc220490061 \h </w:instrText>
            </w:r>
            <w:r>
              <w:rPr>
                <w:noProof/>
                <w:webHidden/>
              </w:rPr>
            </w:r>
            <w:r>
              <w:rPr>
                <w:noProof/>
                <w:webHidden/>
              </w:rPr>
              <w:fldChar w:fldCharType="separate"/>
            </w:r>
            <w:r>
              <w:rPr>
                <w:noProof/>
                <w:webHidden/>
              </w:rPr>
              <w:t>294</w:t>
            </w:r>
            <w:r>
              <w:rPr>
                <w:noProof/>
                <w:webHidden/>
              </w:rPr>
              <w:fldChar w:fldCharType="end"/>
            </w:r>
          </w:hyperlink>
        </w:p>
        <w:p w14:paraId="2DA9851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62" w:history="1">
            <w:r w:rsidRPr="000D551A">
              <w:rPr>
                <w:rStyle w:val="Lienhypertexte"/>
                <w:noProof/>
              </w:rPr>
              <w:t>41.71.2c Seuils posés a posteriori synthétiques</w:t>
            </w:r>
            <w:r>
              <w:rPr>
                <w:noProof/>
                <w:webHidden/>
              </w:rPr>
              <w:tab/>
            </w:r>
            <w:r>
              <w:rPr>
                <w:noProof/>
                <w:webHidden/>
              </w:rPr>
              <w:fldChar w:fldCharType="begin"/>
            </w:r>
            <w:r>
              <w:rPr>
                <w:noProof/>
                <w:webHidden/>
              </w:rPr>
              <w:instrText xml:space="preserve"> PAGEREF _Toc220490062 \h </w:instrText>
            </w:r>
            <w:r>
              <w:rPr>
                <w:noProof/>
                <w:webHidden/>
              </w:rPr>
            </w:r>
            <w:r>
              <w:rPr>
                <w:noProof/>
                <w:webHidden/>
              </w:rPr>
              <w:fldChar w:fldCharType="separate"/>
            </w:r>
            <w:r>
              <w:rPr>
                <w:noProof/>
                <w:webHidden/>
              </w:rPr>
              <w:t>295</w:t>
            </w:r>
            <w:r>
              <w:rPr>
                <w:noProof/>
                <w:webHidden/>
              </w:rPr>
              <w:fldChar w:fldCharType="end"/>
            </w:r>
          </w:hyperlink>
        </w:p>
        <w:p w14:paraId="5B6380F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63" w:history="1">
            <w:r w:rsidRPr="000D551A">
              <w:rPr>
                <w:rStyle w:val="Lienhypertexte"/>
                <w:noProof/>
              </w:rPr>
              <w:t>41.71.2d Seuils posés a posteriori en matériau composite</w:t>
            </w:r>
            <w:r>
              <w:rPr>
                <w:noProof/>
                <w:webHidden/>
              </w:rPr>
              <w:tab/>
            </w:r>
            <w:r>
              <w:rPr>
                <w:noProof/>
                <w:webHidden/>
              </w:rPr>
              <w:fldChar w:fldCharType="begin"/>
            </w:r>
            <w:r>
              <w:rPr>
                <w:noProof/>
                <w:webHidden/>
              </w:rPr>
              <w:instrText xml:space="preserve"> PAGEREF _Toc220490063 \h </w:instrText>
            </w:r>
            <w:r>
              <w:rPr>
                <w:noProof/>
                <w:webHidden/>
              </w:rPr>
            </w:r>
            <w:r>
              <w:rPr>
                <w:noProof/>
                <w:webHidden/>
              </w:rPr>
              <w:fldChar w:fldCharType="separate"/>
            </w:r>
            <w:r>
              <w:rPr>
                <w:noProof/>
                <w:webHidden/>
              </w:rPr>
              <w:t>295</w:t>
            </w:r>
            <w:r>
              <w:rPr>
                <w:noProof/>
                <w:webHidden/>
              </w:rPr>
              <w:fldChar w:fldCharType="end"/>
            </w:r>
          </w:hyperlink>
        </w:p>
        <w:p w14:paraId="1356C09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64" w:history="1">
            <w:r w:rsidRPr="000D551A">
              <w:rPr>
                <w:rStyle w:val="Lienhypertexte"/>
                <w:noProof/>
              </w:rPr>
              <w:t>41.71.3 Seuils - protections en plomb pour seuil existant</w:t>
            </w:r>
            <w:r>
              <w:rPr>
                <w:noProof/>
                <w:webHidden/>
              </w:rPr>
              <w:tab/>
            </w:r>
            <w:r>
              <w:rPr>
                <w:noProof/>
                <w:webHidden/>
              </w:rPr>
              <w:fldChar w:fldCharType="begin"/>
            </w:r>
            <w:r>
              <w:rPr>
                <w:noProof/>
                <w:webHidden/>
              </w:rPr>
              <w:instrText xml:space="preserve"> PAGEREF _Toc220490064 \h </w:instrText>
            </w:r>
            <w:r>
              <w:rPr>
                <w:noProof/>
                <w:webHidden/>
              </w:rPr>
            </w:r>
            <w:r>
              <w:rPr>
                <w:noProof/>
                <w:webHidden/>
              </w:rPr>
              <w:fldChar w:fldCharType="separate"/>
            </w:r>
            <w:r>
              <w:rPr>
                <w:noProof/>
                <w:webHidden/>
              </w:rPr>
              <w:t>295</w:t>
            </w:r>
            <w:r>
              <w:rPr>
                <w:noProof/>
                <w:webHidden/>
              </w:rPr>
              <w:fldChar w:fldCharType="end"/>
            </w:r>
          </w:hyperlink>
        </w:p>
        <w:p w14:paraId="02276AA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65" w:history="1">
            <w:r w:rsidRPr="000D551A">
              <w:rPr>
                <w:rStyle w:val="Lienhypertexte"/>
                <w:noProof/>
              </w:rPr>
              <w:t>41.71.3a Seuils - protections en plomb pour seuil existant</w:t>
            </w:r>
            <w:r>
              <w:rPr>
                <w:noProof/>
                <w:webHidden/>
              </w:rPr>
              <w:tab/>
            </w:r>
            <w:r>
              <w:rPr>
                <w:noProof/>
                <w:webHidden/>
              </w:rPr>
              <w:fldChar w:fldCharType="begin"/>
            </w:r>
            <w:r>
              <w:rPr>
                <w:noProof/>
                <w:webHidden/>
              </w:rPr>
              <w:instrText xml:space="preserve"> PAGEREF _Toc220490065 \h </w:instrText>
            </w:r>
            <w:r>
              <w:rPr>
                <w:noProof/>
                <w:webHidden/>
              </w:rPr>
            </w:r>
            <w:r>
              <w:rPr>
                <w:noProof/>
                <w:webHidden/>
              </w:rPr>
              <w:fldChar w:fldCharType="separate"/>
            </w:r>
            <w:r>
              <w:rPr>
                <w:noProof/>
                <w:webHidden/>
              </w:rPr>
              <w:t>295</w:t>
            </w:r>
            <w:r>
              <w:rPr>
                <w:noProof/>
                <w:webHidden/>
              </w:rPr>
              <w:fldChar w:fldCharType="end"/>
            </w:r>
          </w:hyperlink>
        </w:p>
        <w:p w14:paraId="3D333D91"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066" w:history="1">
            <w:r w:rsidRPr="000D551A">
              <w:rPr>
                <w:rStyle w:val="Lienhypertexte"/>
                <w:noProof/>
              </w:rPr>
              <w:t>41.72 Quincailleries CCTB 01.11</w:t>
            </w:r>
            <w:r>
              <w:rPr>
                <w:noProof/>
                <w:webHidden/>
              </w:rPr>
              <w:tab/>
            </w:r>
            <w:r>
              <w:rPr>
                <w:noProof/>
                <w:webHidden/>
              </w:rPr>
              <w:fldChar w:fldCharType="begin"/>
            </w:r>
            <w:r>
              <w:rPr>
                <w:noProof/>
                <w:webHidden/>
              </w:rPr>
              <w:instrText xml:space="preserve"> PAGEREF _Toc220490066 \h </w:instrText>
            </w:r>
            <w:r>
              <w:rPr>
                <w:noProof/>
                <w:webHidden/>
              </w:rPr>
            </w:r>
            <w:r>
              <w:rPr>
                <w:noProof/>
                <w:webHidden/>
              </w:rPr>
              <w:fldChar w:fldCharType="separate"/>
            </w:r>
            <w:r>
              <w:rPr>
                <w:noProof/>
                <w:webHidden/>
              </w:rPr>
              <w:t>296</w:t>
            </w:r>
            <w:r>
              <w:rPr>
                <w:noProof/>
                <w:webHidden/>
              </w:rPr>
              <w:fldChar w:fldCharType="end"/>
            </w:r>
          </w:hyperlink>
        </w:p>
        <w:p w14:paraId="71CDC6A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67" w:history="1">
            <w:r w:rsidRPr="000D551A">
              <w:rPr>
                <w:rStyle w:val="Lienhypertexte"/>
                <w:noProof/>
              </w:rPr>
              <w:t>41.72.1 Charnières et paumelles CCTB 01.04</w:t>
            </w:r>
            <w:r>
              <w:rPr>
                <w:noProof/>
                <w:webHidden/>
              </w:rPr>
              <w:tab/>
            </w:r>
            <w:r>
              <w:rPr>
                <w:noProof/>
                <w:webHidden/>
              </w:rPr>
              <w:fldChar w:fldCharType="begin"/>
            </w:r>
            <w:r>
              <w:rPr>
                <w:noProof/>
                <w:webHidden/>
              </w:rPr>
              <w:instrText xml:space="preserve"> PAGEREF _Toc220490067 \h </w:instrText>
            </w:r>
            <w:r>
              <w:rPr>
                <w:noProof/>
                <w:webHidden/>
              </w:rPr>
            </w:r>
            <w:r>
              <w:rPr>
                <w:noProof/>
                <w:webHidden/>
              </w:rPr>
              <w:fldChar w:fldCharType="separate"/>
            </w:r>
            <w:r>
              <w:rPr>
                <w:noProof/>
                <w:webHidden/>
              </w:rPr>
              <w:t>297</w:t>
            </w:r>
            <w:r>
              <w:rPr>
                <w:noProof/>
                <w:webHidden/>
              </w:rPr>
              <w:fldChar w:fldCharType="end"/>
            </w:r>
          </w:hyperlink>
        </w:p>
        <w:p w14:paraId="7E4B09D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68" w:history="1">
            <w:r w:rsidRPr="000D551A">
              <w:rPr>
                <w:rStyle w:val="Lienhypertexte"/>
                <w:noProof/>
              </w:rPr>
              <w:t>41.72.1a Charnières et paumelles CCTB 01.11</w:t>
            </w:r>
            <w:r>
              <w:rPr>
                <w:noProof/>
                <w:webHidden/>
              </w:rPr>
              <w:tab/>
            </w:r>
            <w:r>
              <w:rPr>
                <w:noProof/>
                <w:webHidden/>
              </w:rPr>
              <w:fldChar w:fldCharType="begin"/>
            </w:r>
            <w:r>
              <w:rPr>
                <w:noProof/>
                <w:webHidden/>
              </w:rPr>
              <w:instrText xml:space="preserve"> PAGEREF _Toc220490068 \h </w:instrText>
            </w:r>
            <w:r>
              <w:rPr>
                <w:noProof/>
                <w:webHidden/>
              </w:rPr>
            </w:r>
            <w:r>
              <w:rPr>
                <w:noProof/>
                <w:webHidden/>
              </w:rPr>
              <w:fldChar w:fldCharType="separate"/>
            </w:r>
            <w:r>
              <w:rPr>
                <w:noProof/>
                <w:webHidden/>
              </w:rPr>
              <w:t>297</w:t>
            </w:r>
            <w:r>
              <w:rPr>
                <w:noProof/>
                <w:webHidden/>
              </w:rPr>
              <w:fldChar w:fldCharType="end"/>
            </w:r>
          </w:hyperlink>
        </w:p>
        <w:p w14:paraId="1FC5BC8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69" w:history="1">
            <w:r w:rsidRPr="000D551A">
              <w:rPr>
                <w:rStyle w:val="Lienhypertexte"/>
                <w:noProof/>
              </w:rPr>
              <w:t>41.72.2 Serrures CCTB 01.02</w:t>
            </w:r>
            <w:r>
              <w:rPr>
                <w:noProof/>
                <w:webHidden/>
              </w:rPr>
              <w:tab/>
            </w:r>
            <w:r>
              <w:rPr>
                <w:noProof/>
                <w:webHidden/>
              </w:rPr>
              <w:fldChar w:fldCharType="begin"/>
            </w:r>
            <w:r>
              <w:rPr>
                <w:noProof/>
                <w:webHidden/>
              </w:rPr>
              <w:instrText xml:space="preserve"> PAGEREF _Toc220490069 \h </w:instrText>
            </w:r>
            <w:r>
              <w:rPr>
                <w:noProof/>
                <w:webHidden/>
              </w:rPr>
            </w:r>
            <w:r>
              <w:rPr>
                <w:noProof/>
                <w:webHidden/>
              </w:rPr>
              <w:fldChar w:fldCharType="separate"/>
            </w:r>
            <w:r>
              <w:rPr>
                <w:noProof/>
                <w:webHidden/>
              </w:rPr>
              <w:t>298</w:t>
            </w:r>
            <w:r>
              <w:rPr>
                <w:noProof/>
                <w:webHidden/>
              </w:rPr>
              <w:fldChar w:fldCharType="end"/>
            </w:r>
          </w:hyperlink>
        </w:p>
        <w:p w14:paraId="7FDF244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70" w:history="1">
            <w:r w:rsidRPr="000D551A">
              <w:rPr>
                <w:rStyle w:val="Lienhypertexte"/>
                <w:noProof/>
              </w:rPr>
              <w:t>41.72.2a Serrures CCTB 01.11</w:t>
            </w:r>
            <w:r>
              <w:rPr>
                <w:noProof/>
                <w:webHidden/>
              </w:rPr>
              <w:tab/>
            </w:r>
            <w:r>
              <w:rPr>
                <w:noProof/>
                <w:webHidden/>
              </w:rPr>
              <w:fldChar w:fldCharType="begin"/>
            </w:r>
            <w:r>
              <w:rPr>
                <w:noProof/>
                <w:webHidden/>
              </w:rPr>
              <w:instrText xml:space="preserve"> PAGEREF _Toc220490070 \h </w:instrText>
            </w:r>
            <w:r>
              <w:rPr>
                <w:noProof/>
                <w:webHidden/>
              </w:rPr>
            </w:r>
            <w:r>
              <w:rPr>
                <w:noProof/>
                <w:webHidden/>
              </w:rPr>
              <w:fldChar w:fldCharType="separate"/>
            </w:r>
            <w:r>
              <w:rPr>
                <w:noProof/>
                <w:webHidden/>
              </w:rPr>
              <w:t>298</w:t>
            </w:r>
            <w:r>
              <w:rPr>
                <w:noProof/>
                <w:webHidden/>
              </w:rPr>
              <w:fldChar w:fldCharType="end"/>
            </w:r>
          </w:hyperlink>
        </w:p>
        <w:p w14:paraId="2E803E7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71" w:history="1">
            <w:r w:rsidRPr="000D551A">
              <w:rPr>
                <w:rStyle w:val="Lienhypertexte"/>
                <w:noProof/>
              </w:rPr>
              <w:t>41.72.3 Poignées CCTB 01.11</w:t>
            </w:r>
            <w:r>
              <w:rPr>
                <w:noProof/>
                <w:webHidden/>
              </w:rPr>
              <w:tab/>
            </w:r>
            <w:r>
              <w:rPr>
                <w:noProof/>
                <w:webHidden/>
              </w:rPr>
              <w:fldChar w:fldCharType="begin"/>
            </w:r>
            <w:r>
              <w:rPr>
                <w:noProof/>
                <w:webHidden/>
              </w:rPr>
              <w:instrText xml:space="preserve"> PAGEREF _Toc220490071 \h </w:instrText>
            </w:r>
            <w:r>
              <w:rPr>
                <w:noProof/>
                <w:webHidden/>
              </w:rPr>
            </w:r>
            <w:r>
              <w:rPr>
                <w:noProof/>
                <w:webHidden/>
              </w:rPr>
              <w:fldChar w:fldCharType="separate"/>
            </w:r>
            <w:r>
              <w:rPr>
                <w:noProof/>
                <w:webHidden/>
              </w:rPr>
              <w:t>301</w:t>
            </w:r>
            <w:r>
              <w:rPr>
                <w:noProof/>
                <w:webHidden/>
              </w:rPr>
              <w:fldChar w:fldCharType="end"/>
            </w:r>
          </w:hyperlink>
        </w:p>
        <w:p w14:paraId="08EA3B5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72" w:history="1">
            <w:r w:rsidRPr="000D551A">
              <w:rPr>
                <w:rStyle w:val="Lienhypertexte"/>
                <w:noProof/>
              </w:rPr>
              <w:t>41.72.3a Poignées CCTB 01.11</w:t>
            </w:r>
            <w:r>
              <w:rPr>
                <w:noProof/>
                <w:webHidden/>
              </w:rPr>
              <w:tab/>
            </w:r>
            <w:r>
              <w:rPr>
                <w:noProof/>
                <w:webHidden/>
              </w:rPr>
              <w:fldChar w:fldCharType="begin"/>
            </w:r>
            <w:r>
              <w:rPr>
                <w:noProof/>
                <w:webHidden/>
              </w:rPr>
              <w:instrText xml:space="preserve"> PAGEREF _Toc220490072 \h </w:instrText>
            </w:r>
            <w:r>
              <w:rPr>
                <w:noProof/>
                <w:webHidden/>
              </w:rPr>
            </w:r>
            <w:r>
              <w:rPr>
                <w:noProof/>
                <w:webHidden/>
              </w:rPr>
              <w:fldChar w:fldCharType="separate"/>
            </w:r>
            <w:r>
              <w:rPr>
                <w:noProof/>
                <w:webHidden/>
              </w:rPr>
              <w:t>302</w:t>
            </w:r>
            <w:r>
              <w:rPr>
                <w:noProof/>
                <w:webHidden/>
              </w:rPr>
              <w:fldChar w:fldCharType="end"/>
            </w:r>
          </w:hyperlink>
        </w:p>
        <w:p w14:paraId="1CF2809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73" w:history="1">
            <w:r w:rsidRPr="000D551A">
              <w:rPr>
                <w:rStyle w:val="Lienhypertexte"/>
                <w:noProof/>
              </w:rPr>
              <w:t>41.72.4 Systèmes d'ouverture et de fermeture CCTB 01.02</w:t>
            </w:r>
            <w:r>
              <w:rPr>
                <w:noProof/>
                <w:webHidden/>
              </w:rPr>
              <w:tab/>
            </w:r>
            <w:r>
              <w:rPr>
                <w:noProof/>
                <w:webHidden/>
              </w:rPr>
              <w:fldChar w:fldCharType="begin"/>
            </w:r>
            <w:r>
              <w:rPr>
                <w:noProof/>
                <w:webHidden/>
              </w:rPr>
              <w:instrText xml:space="preserve"> PAGEREF _Toc220490073 \h </w:instrText>
            </w:r>
            <w:r>
              <w:rPr>
                <w:noProof/>
                <w:webHidden/>
              </w:rPr>
            </w:r>
            <w:r>
              <w:rPr>
                <w:noProof/>
                <w:webHidden/>
              </w:rPr>
              <w:fldChar w:fldCharType="separate"/>
            </w:r>
            <w:r>
              <w:rPr>
                <w:noProof/>
                <w:webHidden/>
              </w:rPr>
              <w:t>304</w:t>
            </w:r>
            <w:r>
              <w:rPr>
                <w:noProof/>
                <w:webHidden/>
              </w:rPr>
              <w:fldChar w:fldCharType="end"/>
            </w:r>
          </w:hyperlink>
        </w:p>
        <w:p w14:paraId="1E3B3B5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74" w:history="1">
            <w:r w:rsidRPr="000D551A">
              <w:rPr>
                <w:rStyle w:val="Lienhypertexte"/>
                <w:noProof/>
              </w:rPr>
              <w:t>41.72.4a Systèmes d'ouverture mécaniques CCTB 01.11</w:t>
            </w:r>
            <w:r>
              <w:rPr>
                <w:noProof/>
                <w:webHidden/>
              </w:rPr>
              <w:tab/>
            </w:r>
            <w:r>
              <w:rPr>
                <w:noProof/>
                <w:webHidden/>
              </w:rPr>
              <w:fldChar w:fldCharType="begin"/>
            </w:r>
            <w:r>
              <w:rPr>
                <w:noProof/>
                <w:webHidden/>
              </w:rPr>
              <w:instrText xml:space="preserve"> PAGEREF _Toc220490074 \h </w:instrText>
            </w:r>
            <w:r>
              <w:rPr>
                <w:noProof/>
                <w:webHidden/>
              </w:rPr>
            </w:r>
            <w:r>
              <w:rPr>
                <w:noProof/>
                <w:webHidden/>
              </w:rPr>
              <w:fldChar w:fldCharType="separate"/>
            </w:r>
            <w:r>
              <w:rPr>
                <w:noProof/>
                <w:webHidden/>
              </w:rPr>
              <w:t>304</w:t>
            </w:r>
            <w:r>
              <w:rPr>
                <w:noProof/>
                <w:webHidden/>
              </w:rPr>
              <w:fldChar w:fldCharType="end"/>
            </w:r>
          </w:hyperlink>
        </w:p>
        <w:p w14:paraId="615FDAA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75" w:history="1">
            <w:r w:rsidRPr="000D551A">
              <w:rPr>
                <w:rStyle w:val="Lienhypertexte"/>
                <w:noProof/>
              </w:rPr>
              <w:t>41.72.4b Systèmes d'ouverture électroniques CCTB 01.11</w:t>
            </w:r>
            <w:r>
              <w:rPr>
                <w:noProof/>
                <w:webHidden/>
              </w:rPr>
              <w:tab/>
            </w:r>
            <w:r>
              <w:rPr>
                <w:noProof/>
                <w:webHidden/>
              </w:rPr>
              <w:fldChar w:fldCharType="begin"/>
            </w:r>
            <w:r>
              <w:rPr>
                <w:noProof/>
                <w:webHidden/>
              </w:rPr>
              <w:instrText xml:space="preserve"> PAGEREF _Toc220490075 \h </w:instrText>
            </w:r>
            <w:r>
              <w:rPr>
                <w:noProof/>
                <w:webHidden/>
              </w:rPr>
            </w:r>
            <w:r>
              <w:rPr>
                <w:noProof/>
                <w:webHidden/>
              </w:rPr>
              <w:fldChar w:fldCharType="separate"/>
            </w:r>
            <w:r>
              <w:rPr>
                <w:noProof/>
                <w:webHidden/>
              </w:rPr>
              <w:t>308</w:t>
            </w:r>
            <w:r>
              <w:rPr>
                <w:noProof/>
                <w:webHidden/>
              </w:rPr>
              <w:fldChar w:fldCharType="end"/>
            </w:r>
          </w:hyperlink>
        </w:p>
        <w:p w14:paraId="35535FE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76" w:history="1">
            <w:r w:rsidRPr="000D551A">
              <w:rPr>
                <w:rStyle w:val="Lienhypertexte"/>
                <w:noProof/>
              </w:rPr>
              <w:t>41.72.4c Barres anti-panique CCTB 01.11</w:t>
            </w:r>
            <w:r>
              <w:rPr>
                <w:noProof/>
                <w:webHidden/>
              </w:rPr>
              <w:tab/>
            </w:r>
            <w:r>
              <w:rPr>
                <w:noProof/>
                <w:webHidden/>
              </w:rPr>
              <w:fldChar w:fldCharType="begin"/>
            </w:r>
            <w:r>
              <w:rPr>
                <w:noProof/>
                <w:webHidden/>
              </w:rPr>
              <w:instrText xml:space="preserve"> PAGEREF _Toc220490076 \h </w:instrText>
            </w:r>
            <w:r>
              <w:rPr>
                <w:noProof/>
                <w:webHidden/>
              </w:rPr>
            </w:r>
            <w:r>
              <w:rPr>
                <w:noProof/>
                <w:webHidden/>
              </w:rPr>
              <w:fldChar w:fldCharType="separate"/>
            </w:r>
            <w:r>
              <w:rPr>
                <w:noProof/>
                <w:webHidden/>
              </w:rPr>
              <w:t>310</w:t>
            </w:r>
            <w:r>
              <w:rPr>
                <w:noProof/>
                <w:webHidden/>
              </w:rPr>
              <w:fldChar w:fldCharType="end"/>
            </w:r>
          </w:hyperlink>
        </w:p>
        <w:p w14:paraId="5A920B3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77" w:history="1">
            <w:r w:rsidRPr="000D551A">
              <w:rPr>
                <w:rStyle w:val="Lienhypertexte"/>
                <w:noProof/>
              </w:rPr>
              <w:t>41.72.4d Ferme-portes CCTB 01.11</w:t>
            </w:r>
            <w:r>
              <w:rPr>
                <w:noProof/>
                <w:webHidden/>
              </w:rPr>
              <w:tab/>
            </w:r>
            <w:r>
              <w:rPr>
                <w:noProof/>
                <w:webHidden/>
              </w:rPr>
              <w:fldChar w:fldCharType="begin"/>
            </w:r>
            <w:r>
              <w:rPr>
                <w:noProof/>
                <w:webHidden/>
              </w:rPr>
              <w:instrText xml:space="preserve"> PAGEREF _Toc220490077 \h </w:instrText>
            </w:r>
            <w:r>
              <w:rPr>
                <w:noProof/>
                <w:webHidden/>
              </w:rPr>
            </w:r>
            <w:r>
              <w:rPr>
                <w:noProof/>
                <w:webHidden/>
              </w:rPr>
              <w:fldChar w:fldCharType="separate"/>
            </w:r>
            <w:r>
              <w:rPr>
                <w:noProof/>
                <w:webHidden/>
              </w:rPr>
              <w:t>313</w:t>
            </w:r>
            <w:r>
              <w:rPr>
                <w:noProof/>
                <w:webHidden/>
              </w:rPr>
              <w:fldChar w:fldCharType="end"/>
            </w:r>
          </w:hyperlink>
        </w:p>
        <w:p w14:paraId="2FC4F39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78" w:history="1">
            <w:r w:rsidRPr="000D551A">
              <w:rPr>
                <w:rStyle w:val="Lienhypertexte"/>
                <w:noProof/>
              </w:rPr>
              <w:t>41.72.4e Dispositifs d'arrêt de porte CCTB 01.11</w:t>
            </w:r>
            <w:r>
              <w:rPr>
                <w:noProof/>
                <w:webHidden/>
              </w:rPr>
              <w:tab/>
            </w:r>
            <w:r>
              <w:rPr>
                <w:noProof/>
                <w:webHidden/>
              </w:rPr>
              <w:fldChar w:fldCharType="begin"/>
            </w:r>
            <w:r>
              <w:rPr>
                <w:noProof/>
                <w:webHidden/>
              </w:rPr>
              <w:instrText xml:space="preserve"> PAGEREF _Toc220490078 \h </w:instrText>
            </w:r>
            <w:r>
              <w:rPr>
                <w:noProof/>
                <w:webHidden/>
              </w:rPr>
            </w:r>
            <w:r>
              <w:rPr>
                <w:noProof/>
                <w:webHidden/>
              </w:rPr>
              <w:fldChar w:fldCharType="separate"/>
            </w:r>
            <w:r>
              <w:rPr>
                <w:noProof/>
                <w:webHidden/>
              </w:rPr>
              <w:t>315</w:t>
            </w:r>
            <w:r>
              <w:rPr>
                <w:noProof/>
                <w:webHidden/>
              </w:rPr>
              <w:fldChar w:fldCharType="end"/>
            </w:r>
          </w:hyperlink>
        </w:p>
        <w:p w14:paraId="31C244B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79" w:history="1">
            <w:r w:rsidRPr="000D551A">
              <w:rPr>
                <w:rStyle w:val="Lienhypertexte"/>
                <w:noProof/>
              </w:rPr>
              <w:t>41.72.4f Espagnolettes</w:t>
            </w:r>
            <w:r>
              <w:rPr>
                <w:noProof/>
                <w:webHidden/>
              </w:rPr>
              <w:tab/>
            </w:r>
            <w:r>
              <w:rPr>
                <w:noProof/>
                <w:webHidden/>
              </w:rPr>
              <w:fldChar w:fldCharType="begin"/>
            </w:r>
            <w:r>
              <w:rPr>
                <w:noProof/>
                <w:webHidden/>
              </w:rPr>
              <w:instrText xml:space="preserve"> PAGEREF _Toc220490079 \h </w:instrText>
            </w:r>
            <w:r>
              <w:rPr>
                <w:noProof/>
                <w:webHidden/>
              </w:rPr>
            </w:r>
            <w:r>
              <w:rPr>
                <w:noProof/>
                <w:webHidden/>
              </w:rPr>
              <w:fldChar w:fldCharType="separate"/>
            </w:r>
            <w:r>
              <w:rPr>
                <w:noProof/>
                <w:webHidden/>
              </w:rPr>
              <w:t>316</w:t>
            </w:r>
            <w:r>
              <w:rPr>
                <w:noProof/>
                <w:webHidden/>
              </w:rPr>
              <w:fldChar w:fldCharType="end"/>
            </w:r>
          </w:hyperlink>
        </w:p>
        <w:p w14:paraId="04D4192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80" w:history="1">
            <w:r w:rsidRPr="000D551A">
              <w:rPr>
                <w:rStyle w:val="Lienhypertexte"/>
                <w:noProof/>
              </w:rPr>
              <w:t>41.72.4g Crémones</w:t>
            </w:r>
            <w:r>
              <w:rPr>
                <w:noProof/>
                <w:webHidden/>
              </w:rPr>
              <w:tab/>
            </w:r>
            <w:r>
              <w:rPr>
                <w:noProof/>
                <w:webHidden/>
              </w:rPr>
              <w:fldChar w:fldCharType="begin"/>
            </w:r>
            <w:r>
              <w:rPr>
                <w:noProof/>
                <w:webHidden/>
              </w:rPr>
              <w:instrText xml:space="preserve"> PAGEREF _Toc220490080 \h </w:instrText>
            </w:r>
            <w:r>
              <w:rPr>
                <w:noProof/>
                <w:webHidden/>
              </w:rPr>
            </w:r>
            <w:r>
              <w:rPr>
                <w:noProof/>
                <w:webHidden/>
              </w:rPr>
              <w:fldChar w:fldCharType="separate"/>
            </w:r>
            <w:r>
              <w:rPr>
                <w:noProof/>
                <w:webHidden/>
              </w:rPr>
              <w:t>316</w:t>
            </w:r>
            <w:r>
              <w:rPr>
                <w:noProof/>
                <w:webHidden/>
              </w:rPr>
              <w:fldChar w:fldCharType="end"/>
            </w:r>
          </w:hyperlink>
        </w:p>
        <w:p w14:paraId="57D57E6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81" w:history="1">
            <w:r w:rsidRPr="000D551A">
              <w:rPr>
                <w:rStyle w:val="Lienhypertexte"/>
                <w:noProof/>
              </w:rPr>
              <w:t>41.72.4h Verrous</w:t>
            </w:r>
            <w:r>
              <w:rPr>
                <w:noProof/>
                <w:webHidden/>
              </w:rPr>
              <w:tab/>
            </w:r>
            <w:r>
              <w:rPr>
                <w:noProof/>
                <w:webHidden/>
              </w:rPr>
              <w:fldChar w:fldCharType="begin"/>
            </w:r>
            <w:r>
              <w:rPr>
                <w:noProof/>
                <w:webHidden/>
              </w:rPr>
              <w:instrText xml:space="preserve"> PAGEREF _Toc220490081 \h </w:instrText>
            </w:r>
            <w:r>
              <w:rPr>
                <w:noProof/>
                <w:webHidden/>
              </w:rPr>
            </w:r>
            <w:r>
              <w:rPr>
                <w:noProof/>
                <w:webHidden/>
              </w:rPr>
              <w:fldChar w:fldCharType="separate"/>
            </w:r>
            <w:r>
              <w:rPr>
                <w:noProof/>
                <w:webHidden/>
              </w:rPr>
              <w:t>316</w:t>
            </w:r>
            <w:r>
              <w:rPr>
                <w:noProof/>
                <w:webHidden/>
              </w:rPr>
              <w:fldChar w:fldCharType="end"/>
            </w:r>
          </w:hyperlink>
        </w:p>
        <w:p w14:paraId="345F06B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82" w:history="1">
            <w:r w:rsidRPr="000D551A">
              <w:rPr>
                <w:rStyle w:val="Lienhypertexte"/>
                <w:noProof/>
              </w:rPr>
              <w:t>41.72.5 Axes d'ouverture sur pivots CCTB 01.02</w:t>
            </w:r>
            <w:r>
              <w:rPr>
                <w:noProof/>
                <w:webHidden/>
              </w:rPr>
              <w:tab/>
            </w:r>
            <w:r>
              <w:rPr>
                <w:noProof/>
                <w:webHidden/>
              </w:rPr>
              <w:fldChar w:fldCharType="begin"/>
            </w:r>
            <w:r>
              <w:rPr>
                <w:noProof/>
                <w:webHidden/>
              </w:rPr>
              <w:instrText xml:space="preserve"> PAGEREF _Toc220490082 \h </w:instrText>
            </w:r>
            <w:r>
              <w:rPr>
                <w:noProof/>
                <w:webHidden/>
              </w:rPr>
            </w:r>
            <w:r>
              <w:rPr>
                <w:noProof/>
                <w:webHidden/>
              </w:rPr>
              <w:fldChar w:fldCharType="separate"/>
            </w:r>
            <w:r>
              <w:rPr>
                <w:noProof/>
                <w:webHidden/>
              </w:rPr>
              <w:t>316</w:t>
            </w:r>
            <w:r>
              <w:rPr>
                <w:noProof/>
                <w:webHidden/>
              </w:rPr>
              <w:fldChar w:fldCharType="end"/>
            </w:r>
          </w:hyperlink>
        </w:p>
        <w:p w14:paraId="3C91776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83" w:history="1">
            <w:r w:rsidRPr="000D551A">
              <w:rPr>
                <w:rStyle w:val="Lienhypertexte"/>
                <w:noProof/>
              </w:rPr>
              <w:t>41.72.5a Axes d'ouverture sur pivots</w:t>
            </w:r>
            <w:r>
              <w:rPr>
                <w:noProof/>
                <w:webHidden/>
              </w:rPr>
              <w:tab/>
            </w:r>
            <w:r>
              <w:rPr>
                <w:noProof/>
                <w:webHidden/>
              </w:rPr>
              <w:fldChar w:fldCharType="begin"/>
            </w:r>
            <w:r>
              <w:rPr>
                <w:noProof/>
                <w:webHidden/>
              </w:rPr>
              <w:instrText xml:space="preserve"> PAGEREF _Toc220490083 \h </w:instrText>
            </w:r>
            <w:r>
              <w:rPr>
                <w:noProof/>
                <w:webHidden/>
              </w:rPr>
            </w:r>
            <w:r>
              <w:rPr>
                <w:noProof/>
                <w:webHidden/>
              </w:rPr>
              <w:fldChar w:fldCharType="separate"/>
            </w:r>
            <w:r>
              <w:rPr>
                <w:noProof/>
                <w:webHidden/>
              </w:rPr>
              <w:t>316</w:t>
            </w:r>
            <w:r>
              <w:rPr>
                <w:noProof/>
                <w:webHidden/>
              </w:rPr>
              <w:fldChar w:fldCharType="end"/>
            </w:r>
          </w:hyperlink>
        </w:p>
        <w:p w14:paraId="339E1A29"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084" w:history="1">
            <w:r w:rsidRPr="000D551A">
              <w:rPr>
                <w:rStyle w:val="Lienhypertexte"/>
                <w:noProof/>
              </w:rPr>
              <w:t>41.73 Huisseries extérieures CCTB 01.02</w:t>
            </w:r>
            <w:r>
              <w:rPr>
                <w:noProof/>
                <w:webHidden/>
              </w:rPr>
              <w:tab/>
            </w:r>
            <w:r>
              <w:rPr>
                <w:noProof/>
                <w:webHidden/>
              </w:rPr>
              <w:fldChar w:fldCharType="begin"/>
            </w:r>
            <w:r>
              <w:rPr>
                <w:noProof/>
                <w:webHidden/>
              </w:rPr>
              <w:instrText xml:space="preserve"> PAGEREF _Toc220490084 \h </w:instrText>
            </w:r>
            <w:r>
              <w:rPr>
                <w:noProof/>
                <w:webHidden/>
              </w:rPr>
            </w:r>
            <w:r>
              <w:rPr>
                <w:noProof/>
                <w:webHidden/>
              </w:rPr>
              <w:fldChar w:fldCharType="separate"/>
            </w:r>
            <w:r>
              <w:rPr>
                <w:noProof/>
                <w:webHidden/>
              </w:rPr>
              <w:t>316</w:t>
            </w:r>
            <w:r>
              <w:rPr>
                <w:noProof/>
                <w:webHidden/>
              </w:rPr>
              <w:fldChar w:fldCharType="end"/>
            </w:r>
          </w:hyperlink>
        </w:p>
        <w:p w14:paraId="535E60C6"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85" w:history="1">
            <w:r w:rsidRPr="000D551A">
              <w:rPr>
                <w:rStyle w:val="Lienhypertexte"/>
                <w:noProof/>
              </w:rPr>
              <w:t>41.73.1 Huisseries extérieures intégrées au système de châssis</w:t>
            </w:r>
            <w:r>
              <w:rPr>
                <w:noProof/>
                <w:webHidden/>
              </w:rPr>
              <w:tab/>
            </w:r>
            <w:r>
              <w:rPr>
                <w:noProof/>
                <w:webHidden/>
              </w:rPr>
              <w:fldChar w:fldCharType="begin"/>
            </w:r>
            <w:r>
              <w:rPr>
                <w:noProof/>
                <w:webHidden/>
              </w:rPr>
              <w:instrText xml:space="preserve"> PAGEREF _Toc220490085 \h </w:instrText>
            </w:r>
            <w:r>
              <w:rPr>
                <w:noProof/>
                <w:webHidden/>
              </w:rPr>
            </w:r>
            <w:r>
              <w:rPr>
                <w:noProof/>
                <w:webHidden/>
              </w:rPr>
              <w:fldChar w:fldCharType="separate"/>
            </w:r>
            <w:r>
              <w:rPr>
                <w:noProof/>
                <w:webHidden/>
              </w:rPr>
              <w:t>316</w:t>
            </w:r>
            <w:r>
              <w:rPr>
                <w:noProof/>
                <w:webHidden/>
              </w:rPr>
              <w:fldChar w:fldCharType="end"/>
            </w:r>
          </w:hyperlink>
        </w:p>
        <w:p w14:paraId="66B3698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86" w:history="1">
            <w:r w:rsidRPr="000D551A">
              <w:rPr>
                <w:rStyle w:val="Lienhypertexte"/>
                <w:noProof/>
              </w:rPr>
              <w:t>41.73.1a Huisseries extérieures en bois intégrées au système de châssis en bois CCTB 01.11</w:t>
            </w:r>
            <w:r>
              <w:rPr>
                <w:noProof/>
                <w:webHidden/>
              </w:rPr>
              <w:tab/>
            </w:r>
            <w:r>
              <w:rPr>
                <w:noProof/>
                <w:webHidden/>
              </w:rPr>
              <w:fldChar w:fldCharType="begin"/>
            </w:r>
            <w:r>
              <w:rPr>
                <w:noProof/>
                <w:webHidden/>
              </w:rPr>
              <w:instrText xml:space="preserve"> PAGEREF _Toc220490086 \h </w:instrText>
            </w:r>
            <w:r>
              <w:rPr>
                <w:noProof/>
                <w:webHidden/>
              </w:rPr>
            </w:r>
            <w:r>
              <w:rPr>
                <w:noProof/>
                <w:webHidden/>
              </w:rPr>
              <w:fldChar w:fldCharType="separate"/>
            </w:r>
            <w:r>
              <w:rPr>
                <w:noProof/>
                <w:webHidden/>
              </w:rPr>
              <w:t>316</w:t>
            </w:r>
            <w:r>
              <w:rPr>
                <w:noProof/>
                <w:webHidden/>
              </w:rPr>
              <w:fldChar w:fldCharType="end"/>
            </w:r>
          </w:hyperlink>
        </w:p>
        <w:p w14:paraId="0BE3C1C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87" w:history="1">
            <w:r w:rsidRPr="000D551A">
              <w:rPr>
                <w:rStyle w:val="Lienhypertexte"/>
                <w:noProof/>
              </w:rPr>
              <w:t>41.73.1b Huisseries extérieures en aluminium intégrées au système de châssis en aluminium CCTB 01.11</w:t>
            </w:r>
            <w:r>
              <w:rPr>
                <w:noProof/>
                <w:webHidden/>
              </w:rPr>
              <w:tab/>
            </w:r>
            <w:r>
              <w:rPr>
                <w:noProof/>
                <w:webHidden/>
              </w:rPr>
              <w:fldChar w:fldCharType="begin"/>
            </w:r>
            <w:r>
              <w:rPr>
                <w:noProof/>
                <w:webHidden/>
              </w:rPr>
              <w:instrText xml:space="preserve"> PAGEREF _Toc220490087 \h </w:instrText>
            </w:r>
            <w:r>
              <w:rPr>
                <w:noProof/>
                <w:webHidden/>
              </w:rPr>
            </w:r>
            <w:r>
              <w:rPr>
                <w:noProof/>
                <w:webHidden/>
              </w:rPr>
              <w:fldChar w:fldCharType="separate"/>
            </w:r>
            <w:r>
              <w:rPr>
                <w:noProof/>
                <w:webHidden/>
              </w:rPr>
              <w:t>316</w:t>
            </w:r>
            <w:r>
              <w:rPr>
                <w:noProof/>
                <w:webHidden/>
              </w:rPr>
              <w:fldChar w:fldCharType="end"/>
            </w:r>
          </w:hyperlink>
        </w:p>
        <w:p w14:paraId="3B8D941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88" w:history="1">
            <w:r w:rsidRPr="000D551A">
              <w:rPr>
                <w:rStyle w:val="Lienhypertexte"/>
                <w:noProof/>
              </w:rPr>
              <w:t>41.73.1c Huisseries extérieures en acier intégrées au système de châssis en acier</w:t>
            </w:r>
            <w:r>
              <w:rPr>
                <w:noProof/>
                <w:webHidden/>
              </w:rPr>
              <w:tab/>
            </w:r>
            <w:r>
              <w:rPr>
                <w:noProof/>
                <w:webHidden/>
              </w:rPr>
              <w:fldChar w:fldCharType="begin"/>
            </w:r>
            <w:r>
              <w:rPr>
                <w:noProof/>
                <w:webHidden/>
              </w:rPr>
              <w:instrText xml:space="preserve"> PAGEREF _Toc220490088 \h </w:instrText>
            </w:r>
            <w:r>
              <w:rPr>
                <w:noProof/>
                <w:webHidden/>
              </w:rPr>
            </w:r>
            <w:r>
              <w:rPr>
                <w:noProof/>
                <w:webHidden/>
              </w:rPr>
              <w:fldChar w:fldCharType="separate"/>
            </w:r>
            <w:r>
              <w:rPr>
                <w:noProof/>
                <w:webHidden/>
              </w:rPr>
              <w:t>319</w:t>
            </w:r>
            <w:r>
              <w:rPr>
                <w:noProof/>
                <w:webHidden/>
              </w:rPr>
              <w:fldChar w:fldCharType="end"/>
            </w:r>
          </w:hyperlink>
        </w:p>
        <w:p w14:paraId="4176CA9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89" w:history="1">
            <w:r w:rsidRPr="000D551A">
              <w:rPr>
                <w:rStyle w:val="Lienhypertexte"/>
                <w:noProof/>
              </w:rPr>
              <w:t>41.73.1d Huisseries extérieures en PVC intégrées au système de châssis en PVC</w:t>
            </w:r>
            <w:r>
              <w:rPr>
                <w:noProof/>
                <w:webHidden/>
              </w:rPr>
              <w:tab/>
            </w:r>
            <w:r>
              <w:rPr>
                <w:noProof/>
                <w:webHidden/>
              </w:rPr>
              <w:fldChar w:fldCharType="begin"/>
            </w:r>
            <w:r>
              <w:rPr>
                <w:noProof/>
                <w:webHidden/>
              </w:rPr>
              <w:instrText xml:space="preserve"> PAGEREF _Toc220490089 \h </w:instrText>
            </w:r>
            <w:r>
              <w:rPr>
                <w:noProof/>
                <w:webHidden/>
              </w:rPr>
            </w:r>
            <w:r>
              <w:rPr>
                <w:noProof/>
                <w:webHidden/>
              </w:rPr>
              <w:fldChar w:fldCharType="separate"/>
            </w:r>
            <w:r>
              <w:rPr>
                <w:noProof/>
                <w:webHidden/>
              </w:rPr>
              <w:t>319</w:t>
            </w:r>
            <w:r>
              <w:rPr>
                <w:noProof/>
                <w:webHidden/>
              </w:rPr>
              <w:fldChar w:fldCharType="end"/>
            </w:r>
          </w:hyperlink>
        </w:p>
        <w:p w14:paraId="0546B7FC"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090" w:history="1">
            <w:r w:rsidRPr="000D551A">
              <w:rPr>
                <w:rStyle w:val="Lienhypertexte"/>
                <w:noProof/>
              </w:rPr>
              <w:t>41.74 Ouvrages de raccord et finition CCTB 01.02</w:t>
            </w:r>
            <w:r>
              <w:rPr>
                <w:noProof/>
                <w:webHidden/>
              </w:rPr>
              <w:tab/>
            </w:r>
            <w:r>
              <w:rPr>
                <w:noProof/>
                <w:webHidden/>
              </w:rPr>
              <w:fldChar w:fldCharType="begin"/>
            </w:r>
            <w:r>
              <w:rPr>
                <w:noProof/>
                <w:webHidden/>
              </w:rPr>
              <w:instrText xml:space="preserve"> PAGEREF _Toc220490090 \h </w:instrText>
            </w:r>
            <w:r>
              <w:rPr>
                <w:noProof/>
                <w:webHidden/>
              </w:rPr>
            </w:r>
            <w:r>
              <w:rPr>
                <w:noProof/>
                <w:webHidden/>
              </w:rPr>
              <w:fldChar w:fldCharType="separate"/>
            </w:r>
            <w:r>
              <w:rPr>
                <w:noProof/>
                <w:webHidden/>
              </w:rPr>
              <w:t>320</w:t>
            </w:r>
            <w:r>
              <w:rPr>
                <w:noProof/>
                <w:webHidden/>
              </w:rPr>
              <w:fldChar w:fldCharType="end"/>
            </w:r>
          </w:hyperlink>
        </w:p>
        <w:p w14:paraId="050CE9B6"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91" w:history="1">
            <w:r w:rsidRPr="000D551A">
              <w:rPr>
                <w:rStyle w:val="Lienhypertexte"/>
                <w:noProof/>
              </w:rPr>
              <w:t>41.74.1 Joints de resserrage CCTB 01.04</w:t>
            </w:r>
            <w:r>
              <w:rPr>
                <w:noProof/>
                <w:webHidden/>
              </w:rPr>
              <w:tab/>
            </w:r>
            <w:r>
              <w:rPr>
                <w:noProof/>
                <w:webHidden/>
              </w:rPr>
              <w:fldChar w:fldCharType="begin"/>
            </w:r>
            <w:r>
              <w:rPr>
                <w:noProof/>
                <w:webHidden/>
              </w:rPr>
              <w:instrText xml:space="preserve"> PAGEREF _Toc220490091 \h </w:instrText>
            </w:r>
            <w:r>
              <w:rPr>
                <w:noProof/>
                <w:webHidden/>
              </w:rPr>
            </w:r>
            <w:r>
              <w:rPr>
                <w:noProof/>
                <w:webHidden/>
              </w:rPr>
              <w:fldChar w:fldCharType="separate"/>
            </w:r>
            <w:r>
              <w:rPr>
                <w:noProof/>
                <w:webHidden/>
              </w:rPr>
              <w:t>320</w:t>
            </w:r>
            <w:r>
              <w:rPr>
                <w:noProof/>
                <w:webHidden/>
              </w:rPr>
              <w:fldChar w:fldCharType="end"/>
            </w:r>
          </w:hyperlink>
        </w:p>
        <w:p w14:paraId="5B6E9035"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92" w:history="1">
            <w:r w:rsidRPr="000D551A">
              <w:rPr>
                <w:rStyle w:val="Lienhypertexte"/>
                <w:noProof/>
              </w:rPr>
              <w:t>41.74.2 Profilés de resserrage CCTB 01.10</w:t>
            </w:r>
            <w:r>
              <w:rPr>
                <w:noProof/>
                <w:webHidden/>
              </w:rPr>
              <w:tab/>
            </w:r>
            <w:r>
              <w:rPr>
                <w:noProof/>
                <w:webHidden/>
              </w:rPr>
              <w:fldChar w:fldCharType="begin"/>
            </w:r>
            <w:r>
              <w:rPr>
                <w:noProof/>
                <w:webHidden/>
              </w:rPr>
              <w:instrText xml:space="preserve"> PAGEREF _Toc220490092 \h </w:instrText>
            </w:r>
            <w:r>
              <w:rPr>
                <w:noProof/>
                <w:webHidden/>
              </w:rPr>
            </w:r>
            <w:r>
              <w:rPr>
                <w:noProof/>
                <w:webHidden/>
              </w:rPr>
              <w:fldChar w:fldCharType="separate"/>
            </w:r>
            <w:r>
              <w:rPr>
                <w:noProof/>
                <w:webHidden/>
              </w:rPr>
              <w:t>320</w:t>
            </w:r>
            <w:r>
              <w:rPr>
                <w:noProof/>
                <w:webHidden/>
              </w:rPr>
              <w:fldChar w:fldCharType="end"/>
            </w:r>
          </w:hyperlink>
        </w:p>
        <w:p w14:paraId="3B9F17B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93" w:history="1">
            <w:r w:rsidRPr="000D551A">
              <w:rPr>
                <w:rStyle w:val="Lienhypertexte"/>
                <w:noProof/>
              </w:rPr>
              <w:t>41.74.2a Profilés de resserrage en bois CCTB 01.11</w:t>
            </w:r>
            <w:r>
              <w:rPr>
                <w:noProof/>
                <w:webHidden/>
              </w:rPr>
              <w:tab/>
            </w:r>
            <w:r>
              <w:rPr>
                <w:noProof/>
                <w:webHidden/>
              </w:rPr>
              <w:fldChar w:fldCharType="begin"/>
            </w:r>
            <w:r>
              <w:rPr>
                <w:noProof/>
                <w:webHidden/>
              </w:rPr>
              <w:instrText xml:space="preserve"> PAGEREF _Toc220490093 \h </w:instrText>
            </w:r>
            <w:r>
              <w:rPr>
                <w:noProof/>
                <w:webHidden/>
              </w:rPr>
            </w:r>
            <w:r>
              <w:rPr>
                <w:noProof/>
                <w:webHidden/>
              </w:rPr>
              <w:fldChar w:fldCharType="separate"/>
            </w:r>
            <w:r>
              <w:rPr>
                <w:noProof/>
                <w:webHidden/>
              </w:rPr>
              <w:t>320</w:t>
            </w:r>
            <w:r>
              <w:rPr>
                <w:noProof/>
                <w:webHidden/>
              </w:rPr>
              <w:fldChar w:fldCharType="end"/>
            </w:r>
          </w:hyperlink>
        </w:p>
        <w:p w14:paraId="615DDF3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94" w:history="1">
            <w:r w:rsidRPr="000D551A">
              <w:rPr>
                <w:rStyle w:val="Lienhypertexte"/>
                <w:noProof/>
              </w:rPr>
              <w:t>41.74.2b Profilés de resserrage en métal CCTB 01.11</w:t>
            </w:r>
            <w:r>
              <w:rPr>
                <w:noProof/>
                <w:webHidden/>
              </w:rPr>
              <w:tab/>
            </w:r>
            <w:r>
              <w:rPr>
                <w:noProof/>
                <w:webHidden/>
              </w:rPr>
              <w:fldChar w:fldCharType="begin"/>
            </w:r>
            <w:r>
              <w:rPr>
                <w:noProof/>
                <w:webHidden/>
              </w:rPr>
              <w:instrText xml:space="preserve"> PAGEREF _Toc220490094 \h </w:instrText>
            </w:r>
            <w:r>
              <w:rPr>
                <w:noProof/>
                <w:webHidden/>
              </w:rPr>
            </w:r>
            <w:r>
              <w:rPr>
                <w:noProof/>
                <w:webHidden/>
              </w:rPr>
              <w:fldChar w:fldCharType="separate"/>
            </w:r>
            <w:r>
              <w:rPr>
                <w:noProof/>
                <w:webHidden/>
              </w:rPr>
              <w:t>322</w:t>
            </w:r>
            <w:r>
              <w:rPr>
                <w:noProof/>
                <w:webHidden/>
              </w:rPr>
              <w:fldChar w:fldCharType="end"/>
            </w:r>
          </w:hyperlink>
        </w:p>
        <w:p w14:paraId="6948EDA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95" w:history="1">
            <w:r w:rsidRPr="000D551A">
              <w:rPr>
                <w:rStyle w:val="Lienhypertexte"/>
                <w:noProof/>
              </w:rPr>
              <w:t>41.74.2c Profilés de resserrage en synthétique CCTB 01.11</w:t>
            </w:r>
            <w:r>
              <w:rPr>
                <w:noProof/>
                <w:webHidden/>
              </w:rPr>
              <w:tab/>
            </w:r>
            <w:r>
              <w:rPr>
                <w:noProof/>
                <w:webHidden/>
              </w:rPr>
              <w:fldChar w:fldCharType="begin"/>
            </w:r>
            <w:r>
              <w:rPr>
                <w:noProof/>
                <w:webHidden/>
              </w:rPr>
              <w:instrText xml:space="preserve"> PAGEREF _Toc220490095 \h </w:instrText>
            </w:r>
            <w:r>
              <w:rPr>
                <w:noProof/>
                <w:webHidden/>
              </w:rPr>
            </w:r>
            <w:r>
              <w:rPr>
                <w:noProof/>
                <w:webHidden/>
              </w:rPr>
              <w:fldChar w:fldCharType="separate"/>
            </w:r>
            <w:r>
              <w:rPr>
                <w:noProof/>
                <w:webHidden/>
              </w:rPr>
              <w:t>327</w:t>
            </w:r>
            <w:r>
              <w:rPr>
                <w:noProof/>
                <w:webHidden/>
              </w:rPr>
              <w:fldChar w:fldCharType="end"/>
            </w:r>
          </w:hyperlink>
        </w:p>
        <w:p w14:paraId="2DD169F2"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096" w:history="1">
            <w:r w:rsidRPr="000D551A">
              <w:rPr>
                <w:rStyle w:val="Lienhypertexte"/>
                <w:noProof/>
              </w:rPr>
              <w:t>41.75 Ouvertures de ventilation CCTB 01.11</w:t>
            </w:r>
            <w:r>
              <w:rPr>
                <w:noProof/>
                <w:webHidden/>
              </w:rPr>
              <w:tab/>
            </w:r>
            <w:r>
              <w:rPr>
                <w:noProof/>
                <w:webHidden/>
              </w:rPr>
              <w:fldChar w:fldCharType="begin"/>
            </w:r>
            <w:r>
              <w:rPr>
                <w:noProof/>
                <w:webHidden/>
              </w:rPr>
              <w:instrText xml:space="preserve"> PAGEREF _Toc220490096 \h </w:instrText>
            </w:r>
            <w:r>
              <w:rPr>
                <w:noProof/>
                <w:webHidden/>
              </w:rPr>
            </w:r>
            <w:r>
              <w:rPr>
                <w:noProof/>
                <w:webHidden/>
              </w:rPr>
              <w:fldChar w:fldCharType="separate"/>
            </w:r>
            <w:r>
              <w:rPr>
                <w:noProof/>
                <w:webHidden/>
              </w:rPr>
              <w:t>329</w:t>
            </w:r>
            <w:r>
              <w:rPr>
                <w:noProof/>
                <w:webHidden/>
              </w:rPr>
              <w:fldChar w:fldCharType="end"/>
            </w:r>
          </w:hyperlink>
        </w:p>
        <w:p w14:paraId="55DA39B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097" w:history="1">
            <w:r w:rsidRPr="000D551A">
              <w:rPr>
                <w:rStyle w:val="Lienhypertexte"/>
                <w:noProof/>
              </w:rPr>
              <w:t>41.75.1 Ouvertures d'amenée d'air réglables CCTB 01.02</w:t>
            </w:r>
            <w:r>
              <w:rPr>
                <w:noProof/>
                <w:webHidden/>
              </w:rPr>
              <w:tab/>
            </w:r>
            <w:r>
              <w:rPr>
                <w:noProof/>
                <w:webHidden/>
              </w:rPr>
              <w:fldChar w:fldCharType="begin"/>
            </w:r>
            <w:r>
              <w:rPr>
                <w:noProof/>
                <w:webHidden/>
              </w:rPr>
              <w:instrText xml:space="preserve"> PAGEREF _Toc220490097 \h </w:instrText>
            </w:r>
            <w:r>
              <w:rPr>
                <w:noProof/>
                <w:webHidden/>
              </w:rPr>
            </w:r>
            <w:r>
              <w:rPr>
                <w:noProof/>
                <w:webHidden/>
              </w:rPr>
              <w:fldChar w:fldCharType="separate"/>
            </w:r>
            <w:r>
              <w:rPr>
                <w:noProof/>
                <w:webHidden/>
              </w:rPr>
              <w:t>331</w:t>
            </w:r>
            <w:r>
              <w:rPr>
                <w:noProof/>
                <w:webHidden/>
              </w:rPr>
              <w:fldChar w:fldCharType="end"/>
            </w:r>
          </w:hyperlink>
        </w:p>
        <w:p w14:paraId="2FE3E76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98" w:history="1">
            <w:r w:rsidRPr="000D551A">
              <w:rPr>
                <w:rStyle w:val="Lienhypertexte"/>
                <w:noProof/>
              </w:rPr>
              <w:t>41.75.1a Ouvertures d'amenée d'air dans le mur CCTB 01.11</w:t>
            </w:r>
            <w:r>
              <w:rPr>
                <w:noProof/>
                <w:webHidden/>
              </w:rPr>
              <w:tab/>
            </w:r>
            <w:r>
              <w:rPr>
                <w:noProof/>
                <w:webHidden/>
              </w:rPr>
              <w:fldChar w:fldCharType="begin"/>
            </w:r>
            <w:r>
              <w:rPr>
                <w:noProof/>
                <w:webHidden/>
              </w:rPr>
              <w:instrText xml:space="preserve"> PAGEREF _Toc220490098 \h </w:instrText>
            </w:r>
            <w:r>
              <w:rPr>
                <w:noProof/>
                <w:webHidden/>
              </w:rPr>
            </w:r>
            <w:r>
              <w:rPr>
                <w:noProof/>
                <w:webHidden/>
              </w:rPr>
              <w:fldChar w:fldCharType="separate"/>
            </w:r>
            <w:r>
              <w:rPr>
                <w:noProof/>
                <w:webHidden/>
              </w:rPr>
              <w:t>331</w:t>
            </w:r>
            <w:r>
              <w:rPr>
                <w:noProof/>
                <w:webHidden/>
              </w:rPr>
              <w:fldChar w:fldCharType="end"/>
            </w:r>
          </w:hyperlink>
        </w:p>
        <w:p w14:paraId="553266A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099" w:history="1">
            <w:r w:rsidRPr="000D551A">
              <w:rPr>
                <w:rStyle w:val="Lienhypertexte"/>
                <w:noProof/>
              </w:rPr>
              <w:t>41.75.1b Ouvertures d'amenée d'air dans baie hors châssis CCTB 01.11</w:t>
            </w:r>
            <w:r>
              <w:rPr>
                <w:noProof/>
                <w:webHidden/>
              </w:rPr>
              <w:tab/>
            </w:r>
            <w:r>
              <w:rPr>
                <w:noProof/>
                <w:webHidden/>
              </w:rPr>
              <w:fldChar w:fldCharType="begin"/>
            </w:r>
            <w:r>
              <w:rPr>
                <w:noProof/>
                <w:webHidden/>
              </w:rPr>
              <w:instrText xml:space="preserve"> PAGEREF _Toc220490099 \h </w:instrText>
            </w:r>
            <w:r>
              <w:rPr>
                <w:noProof/>
                <w:webHidden/>
              </w:rPr>
            </w:r>
            <w:r>
              <w:rPr>
                <w:noProof/>
                <w:webHidden/>
              </w:rPr>
              <w:fldChar w:fldCharType="separate"/>
            </w:r>
            <w:r>
              <w:rPr>
                <w:noProof/>
                <w:webHidden/>
              </w:rPr>
              <w:t>333</w:t>
            </w:r>
            <w:r>
              <w:rPr>
                <w:noProof/>
                <w:webHidden/>
              </w:rPr>
              <w:fldChar w:fldCharType="end"/>
            </w:r>
          </w:hyperlink>
        </w:p>
        <w:p w14:paraId="099868D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00" w:history="1">
            <w:r w:rsidRPr="000D551A">
              <w:rPr>
                <w:rStyle w:val="Lienhypertexte"/>
                <w:noProof/>
              </w:rPr>
              <w:t>41.75.1c Ouvertures d'amenée d'air dans quincaillerie CCTB 01.02</w:t>
            </w:r>
            <w:r>
              <w:rPr>
                <w:noProof/>
                <w:webHidden/>
              </w:rPr>
              <w:tab/>
            </w:r>
            <w:r>
              <w:rPr>
                <w:noProof/>
                <w:webHidden/>
              </w:rPr>
              <w:fldChar w:fldCharType="begin"/>
            </w:r>
            <w:r>
              <w:rPr>
                <w:noProof/>
                <w:webHidden/>
              </w:rPr>
              <w:instrText xml:space="preserve"> PAGEREF _Toc220490100 \h </w:instrText>
            </w:r>
            <w:r>
              <w:rPr>
                <w:noProof/>
                <w:webHidden/>
              </w:rPr>
            </w:r>
            <w:r>
              <w:rPr>
                <w:noProof/>
                <w:webHidden/>
              </w:rPr>
              <w:fldChar w:fldCharType="separate"/>
            </w:r>
            <w:r>
              <w:rPr>
                <w:noProof/>
                <w:webHidden/>
              </w:rPr>
              <w:t>334</w:t>
            </w:r>
            <w:r>
              <w:rPr>
                <w:noProof/>
                <w:webHidden/>
              </w:rPr>
              <w:fldChar w:fldCharType="end"/>
            </w:r>
          </w:hyperlink>
        </w:p>
        <w:p w14:paraId="36FAA99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01" w:history="1">
            <w:r w:rsidRPr="000D551A">
              <w:rPr>
                <w:rStyle w:val="Lienhypertexte"/>
                <w:noProof/>
              </w:rPr>
              <w:t>41.75.1d Ouvertures d'amenée d'air dans vitrage CCTB 01.11</w:t>
            </w:r>
            <w:r>
              <w:rPr>
                <w:noProof/>
                <w:webHidden/>
              </w:rPr>
              <w:tab/>
            </w:r>
            <w:r>
              <w:rPr>
                <w:noProof/>
                <w:webHidden/>
              </w:rPr>
              <w:fldChar w:fldCharType="begin"/>
            </w:r>
            <w:r>
              <w:rPr>
                <w:noProof/>
                <w:webHidden/>
              </w:rPr>
              <w:instrText xml:space="preserve"> PAGEREF _Toc220490101 \h </w:instrText>
            </w:r>
            <w:r>
              <w:rPr>
                <w:noProof/>
                <w:webHidden/>
              </w:rPr>
            </w:r>
            <w:r>
              <w:rPr>
                <w:noProof/>
                <w:webHidden/>
              </w:rPr>
              <w:fldChar w:fldCharType="separate"/>
            </w:r>
            <w:r>
              <w:rPr>
                <w:noProof/>
                <w:webHidden/>
              </w:rPr>
              <w:t>334</w:t>
            </w:r>
            <w:r>
              <w:rPr>
                <w:noProof/>
                <w:webHidden/>
              </w:rPr>
              <w:fldChar w:fldCharType="end"/>
            </w:r>
          </w:hyperlink>
        </w:p>
        <w:p w14:paraId="4949DE0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02" w:history="1">
            <w:r w:rsidRPr="000D551A">
              <w:rPr>
                <w:rStyle w:val="Lienhypertexte"/>
                <w:noProof/>
              </w:rPr>
              <w:t>41.75.1e Ouvertures d'amenée d'air dans le profil de châssis CCTB 01.11</w:t>
            </w:r>
            <w:r>
              <w:rPr>
                <w:noProof/>
                <w:webHidden/>
              </w:rPr>
              <w:tab/>
            </w:r>
            <w:r>
              <w:rPr>
                <w:noProof/>
                <w:webHidden/>
              </w:rPr>
              <w:fldChar w:fldCharType="begin"/>
            </w:r>
            <w:r>
              <w:rPr>
                <w:noProof/>
                <w:webHidden/>
              </w:rPr>
              <w:instrText xml:space="preserve"> PAGEREF _Toc220490102 \h </w:instrText>
            </w:r>
            <w:r>
              <w:rPr>
                <w:noProof/>
                <w:webHidden/>
              </w:rPr>
            </w:r>
            <w:r>
              <w:rPr>
                <w:noProof/>
                <w:webHidden/>
              </w:rPr>
              <w:fldChar w:fldCharType="separate"/>
            </w:r>
            <w:r>
              <w:rPr>
                <w:noProof/>
                <w:webHidden/>
              </w:rPr>
              <w:t>337</w:t>
            </w:r>
            <w:r>
              <w:rPr>
                <w:noProof/>
                <w:webHidden/>
              </w:rPr>
              <w:fldChar w:fldCharType="end"/>
            </w:r>
          </w:hyperlink>
        </w:p>
        <w:p w14:paraId="31D68A68"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103" w:history="1">
            <w:r w:rsidRPr="000D551A">
              <w:rPr>
                <w:rStyle w:val="Lienhypertexte"/>
                <w:noProof/>
              </w:rPr>
              <w:t>41.76 Accessoires et signalétique CCTB 01.04</w:t>
            </w:r>
            <w:r>
              <w:rPr>
                <w:noProof/>
                <w:webHidden/>
              </w:rPr>
              <w:tab/>
            </w:r>
            <w:r>
              <w:rPr>
                <w:noProof/>
                <w:webHidden/>
              </w:rPr>
              <w:fldChar w:fldCharType="begin"/>
            </w:r>
            <w:r>
              <w:rPr>
                <w:noProof/>
                <w:webHidden/>
              </w:rPr>
              <w:instrText xml:space="preserve"> PAGEREF _Toc220490103 \h </w:instrText>
            </w:r>
            <w:r>
              <w:rPr>
                <w:noProof/>
                <w:webHidden/>
              </w:rPr>
            </w:r>
            <w:r>
              <w:rPr>
                <w:noProof/>
                <w:webHidden/>
              </w:rPr>
              <w:fldChar w:fldCharType="separate"/>
            </w:r>
            <w:r>
              <w:rPr>
                <w:noProof/>
                <w:webHidden/>
              </w:rPr>
              <w:t>342</w:t>
            </w:r>
            <w:r>
              <w:rPr>
                <w:noProof/>
                <w:webHidden/>
              </w:rPr>
              <w:fldChar w:fldCharType="end"/>
            </w:r>
          </w:hyperlink>
        </w:p>
        <w:p w14:paraId="0E887A8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104" w:history="1">
            <w:r w:rsidRPr="000D551A">
              <w:rPr>
                <w:rStyle w:val="Lienhypertexte"/>
                <w:noProof/>
              </w:rPr>
              <w:t>41.76.1 Accessoires CCTB 01.02</w:t>
            </w:r>
            <w:r>
              <w:rPr>
                <w:noProof/>
                <w:webHidden/>
              </w:rPr>
              <w:tab/>
            </w:r>
            <w:r>
              <w:rPr>
                <w:noProof/>
                <w:webHidden/>
              </w:rPr>
              <w:fldChar w:fldCharType="begin"/>
            </w:r>
            <w:r>
              <w:rPr>
                <w:noProof/>
                <w:webHidden/>
              </w:rPr>
              <w:instrText xml:space="preserve"> PAGEREF _Toc220490104 \h </w:instrText>
            </w:r>
            <w:r>
              <w:rPr>
                <w:noProof/>
                <w:webHidden/>
              </w:rPr>
            </w:r>
            <w:r>
              <w:rPr>
                <w:noProof/>
                <w:webHidden/>
              </w:rPr>
              <w:fldChar w:fldCharType="separate"/>
            </w:r>
            <w:r>
              <w:rPr>
                <w:noProof/>
                <w:webHidden/>
              </w:rPr>
              <w:t>342</w:t>
            </w:r>
            <w:r>
              <w:rPr>
                <w:noProof/>
                <w:webHidden/>
              </w:rPr>
              <w:fldChar w:fldCharType="end"/>
            </w:r>
          </w:hyperlink>
        </w:p>
        <w:p w14:paraId="24D1FA4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05" w:history="1">
            <w:r w:rsidRPr="000D551A">
              <w:rPr>
                <w:rStyle w:val="Lienhypertexte"/>
                <w:noProof/>
              </w:rPr>
              <w:t>41.76.1a Boîtes aux lettres CCTB 01.13</w:t>
            </w:r>
            <w:r>
              <w:rPr>
                <w:noProof/>
                <w:webHidden/>
              </w:rPr>
              <w:tab/>
            </w:r>
            <w:r>
              <w:rPr>
                <w:noProof/>
                <w:webHidden/>
              </w:rPr>
              <w:fldChar w:fldCharType="begin"/>
            </w:r>
            <w:r>
              <w:rPr>
                <w:noProof/>
                <w:webHidden/>
              </w:rPr>
              <w:instrText xml:space="preserve"> PAGEREF _Toc220490105 \h </w:instrText>
            </w:r>
            <w:r>
              <w:rPr>
                <w:noProof/>
                <w:webHidden/>
              </w:rPr>
            </w:r>
            <w:r>
              <w:rPr>
                <w:noProof/>
                <w:webHidden/>
              </w:rPr>
              <w:fldChar w:fldCharType="separate"/>
            </w:r>
            <w:r>
              <w:rPr>
                <w:noProof/>
                <w:webHidden/>
              </w:rPr>
              <w:t>343</w:t>
            </w:r>
            <w:r>
              <w:rPr>
                <w:noProof/>
                <w:webHidden/>
              </w:rPr>
              <w:fldChar w:fldCharType="end"/>
            </w:r>
          </w:hyperlink>
        </w:p>
        <w:p w14:paraId="267ADF6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06" w:history="1">
            <w:r w:rsidRPr="000D551A">
              <w:rPr>
                <w:rStyle w:val="Lienhypertexte"/>
                <w:noProof/>
              </w:rPr>
              <w:t>41.76.1b Judas CCTB 01.11</w:t>
            </w:r>
            <w:r>
              <w:rPr>
                <w:noProof/>
                <w:webHidden/>
              </w:rPr>
              <w:tab/>
            </w:r>
            <w:r>
              <w:rPr>
                <w:noProof/>
                <w:webHidden/>
              </w:rPr>
              <w:fldChar w:fldCharType="begin"/>
            </w:r>
            <w:r>
              <w:rPr>
                <w:noProof/>
                <w:webHidden/>
              </w:rPr>
              <w:instrText xml:space="preserve"> PAGEREF _Toc220490106 \h </w:instrText>
            </w:r>
            <w:r>
              <w:rPr>
                <w:noProof/>
                <w:webHidden/>
              </w:rPr>
            </w:r>
            <w:r>
              <w:rPr>
                <w:noProof/>
                <w:webHidden/>
              </w:rPr>
              <w:fldChar w:fldCharType="separate"/>
            </w:r>
            <w:r>
              <w:rPr>
                <w:noProof/>
                <w:webHidden/>
              </w:rPr>
              <w:t>344</w:t>
            </w:r>
            <w:r>
              <w:rPr>
                <w:noProof/>
                <w:webHidden/>
              </w:rPr>
              <w:fldChar w:fldCharType="end"/>
            </w:r>
          </w:hyperlink>
        </w:p>
        <w:p w14:paraId="52D8CD4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07" w:history="1">
            <w:r w:rsidRPr="000D551A">
              <w:rPr>
                <w:rStyle w:val="Lienhypertexte"/>
                <w:noProof/>
              </w:rPr>
              <w:t>41.76.1c Plaques de protection CCTB 01.11</w:t>
            </w:r>
            <w:r>
              <w:rPr>
                <w:noProof/>
                <w:webHidden/>
              </w:rPr>
              <w:tab/>
            </w:r>
            <w:r>
              <w:rPr>
                <w:noProof/>
                <w:webHidden/>
              </w:rPr>
              <w:fldChar w:fldCharType="begin"/>
            </w:r>
            <w:r>
              <w:rPr>
                <w:noProof/>
                <w:webHidden/>
              </w:rPr>
              <w:instrText xml:space="preserve"> PAGEREF _Toc220490107 \h </w:instrText>
            </w:r>
            <w:r>
              <w:rPr>
                <w:noProof/>
                <w:webHidden/>
              </w:rPr>
            </w:r>
            <w:r>
              <w:rPr>
                <w:noProof/>
                <w:webHidden/>
              </w:rPr>
              <w:fldChar w:fldCharType="separate"/>
            </w:r>
            <w:r>
              <w:rPr>
                <w:noProof/>
                <w:webHidden/>
              </w:rPr>
              <w:t>345</w:t>
            </w:r>
            <w:r>
              <w:rPr>
                <w:noProof/>
                <w:webHidden/>
              </w:rPr>
              <w:fldChar w:fldCharType="end"/>
            </w:r>
          </w:hyperlink>
        </w:p>
        <w:p w14:paraId="62470CD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08" w:history="1">
            <w:r w:rsidRPr="000D551A">
              <w:rPr>
                <w:rStyle w:val="Lienhypertexte"/>
                <w:noProof/>
              </w:rPr>
              <w:t>41.76.1d Plaquettes - n° de maison CCTB 01.10</w:t>
            </w:r>
            <w:r>
              <w:rPr>
                <w:noProof/>
                <w:webHidden/>
              </w:rPr>
              <w:tab/>
            </w:r>
            <w:r>
              <w:rPr>
                <w:noProof/>
                <w:webHidden/>
              </w:rPr>
              <w:fldChar w:fldCharType="begin"/>
            </w:r>
            <w:r>
              <w:rPr>
                <w:noProof/>
                <w:webHidden/>
              </w:rPr>
              <w:instrText xml:space="preserve"> PAGEREF _Toc220490108 \h </w:instrText>
            </w:r>
            <w:r>
              <w:rPr>
                <w:noProof/>
                <w:webHidden/>
              </w:rPr>
            </w:r>
            <w:r>
              <w:rPr>
                <w:noProof/>
                <w:webHidden/>
              </w:rPr>
              <w:fldChar w:fldCharType="separate"/>
            </w:r>
            <w:r>
              <w:rPr>
                <w:noProof/>
                <w:webHidden/>
              </w:rPr>
              <w:t>346</w:t>
            </w:r>
            <w:r>
              <w:rPr>
                <w:noProof/>
                <w:webHidden/>
              </w:rPr>
              <w:fldChar w:fldCharType="end"/>
            </w:r>
          </w:hyperlink>
        </w:p>
        <w:p w14:paraId="5AC50A05"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109" w:history="1">
            <w:r w:rsidRPr="000D551A">
              <w:rPr>
                <w:rStyle w:val="Lienhypertexte"/>
                <w:noProof/>
              </w:rPr>
              <w:t>41.76.2 Signalétique CCTB 01.02</w:t>
            </w:r>
            <w:r>
              <w:rPr>
                <w:noProof/>
                <w:webHidden/>
              </w:rPr>
              <w:tab/>
            </w:r>
            <w:r>
              <w:rPr>
                <w:noProof/>
                <w:webHidden/>
              </w:rPr>
              <w:fldChar w:fldCharType="begin"/>
            </w:r>
            <w:r>
              <w:rPr>
                <w:noProof/>
                <w:webHidden/>
              </w:rPr>
              <w:instrText xml:space="preserve"> PAGEREF _Toc220490109 \h </w:instrText>
            </w:r>
            <w:r>
              <w:rPr>
                <w:noProof/>
                <w:webHidden/>
              </w:rPr>
            </w:r>
            <w:r>
              <w:rPr>
                <w:noProof/>
                <w:webHidden/>
              </w:rPr>
              <w:fldChar w:fldCharType="separate"/>
            </w:r>
            <w:r>
              <w:rPr>
                <w:noProof/>
                <w:webHidden/>
              </w:rPr>
              <w:t>347</w:t>
            </w:r>
            <w:r>
              <w:rPr>
                <w:noProof/>
                <w:webHidden/>
              </w:rPr>
              <w:fldChar w:fldCharType="end"/>
            </w:r>
          </w:hyperlink>
        </w:p>
        <w:p w14:paraId="541E413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10" w:history="1">
            <w:r w:rsidRPr="000D551A">
              <w:rPr>
                <w:rStyle w:val="Lienhypertexte"/>
                <w:noProof/>
              </w:rPr>
              <w:t>41.76.2a Motifs de visibilité sur vitrage CCTB 01.11</w:t>
            </w:r>
            <w:r>
              <w:rPr>
                <w:noProof/>
                <w:webHidden/>
              </w:rPr>
              <w:tab/>
            </w:r>
            <w:r>
              <w:rPr>
                <w:noProof/>
                <w:webHidden/>
              </w:rPr>
              <w:fldChar w:fldCharType="begin"/>
            </w:r>
            <w:r>
              <w:rPr>
                <w:noProof/>
                <w:webHidden/>
              </w:rPr>
              <w:instrText xml:space="preserve"> PAGEREF _Toc220490110 \h </w:instrText>
            </w:r>
            <w:r>
              <w:rPr>
                <w:noProof/>
                <w:webHidden/>
              </w:rPr>
            </w:r>
            <w:r>
              <w:rPr>
                <w:noProof/>
                <w:webHidden/>
              </w:rPr>
              <w:fldChar w:fldCharType="separate"/>
            </w:r>
            <w:r>
              <w:rPr>
                <w:noProof/>
                <w:webHidden/>
              </w:rPr>
              <w:t>347</w:t>
            </w:r>
            <w:r>
              <w:rPr>
                <w:noProof/>
                <w:webHidden/>
              </w:rPr>
              <w:fldChar w:fldCharType="end"/>
            </w:r>
          </w:hyperlink>
        </w:p>
        <w:p w14:paraId="27B8242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11" w:history="1">
            <w:r w:rsidRPr="000D551A">
              <w:rPr>
                <w:rStyle w:val="Lienhypertexte"/>
                <w:noProof/>
              </w:rPr>
              <w:t>41.76.2b Plaques indicatives</w:t>
            </w:r>
            <w:r>
              <w:rPr>
                <w:noProof/>
                <w:webHidden/>
              </w:rPr>
              <w:tab/>
            </w:r>
            <w:r>
              <w:rPr>
                <w:noProof/>
                <w:webHidden/>
              </w:rPr>
              <w:fldChar w:fldCharType="begin"/>
            </w:r>
            <w:r>
              <w:rPr>
                <w:noProof/>
                <w:webHidden/>
              </w:rPr>
              <w:instrText xml:space="preserve"> PAGEREF _Toc220490111 \h </w:instrText>
            </w:r>
            <w:r>
              <w:rPr>
                <w:noProof/>
                <w:webHidden/>
              </w:rPr>
            </w:r>
            <w:r>
              <w:rPr>
                <w:noProof/>
                <w:webHidden/>
              </w:rPr>
              <w:fldChar w:fldCharType="separate"/>
            </w:r>
            <w:r>
              <w:rPr>
                <w:noProof/>
                <w:webHidden/>
              </w:rPr>
              <w:t>347</w:t>
            </w:r>
            <w:r>
              <w:rPr>
                <w:noProof/>
                <w:webHidden/>
              </w:rPr>
              <w:fldChar w:fldCharType="end"/>
            </w:r>
          </w:hyperlink>
        </w:p>
        <w:p w14:paraId="5E4F07B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12" w:history="1">
            <w:r w:rsidRPr="000D551A">
              <w:rPr>
                <w:rStyle w:val="Lienhypertexte"/>
                <w:noProof/>
              </w:rPr>
              <w:t>41.76.2c Motifs indicatifs</w:t>
            </w:r>
            <w:r>
              <w:rPr>
                <w:noProof/>
                <w:webHidden/>
              </w:rPr>
              <w:tab/>
            </w:r>
            <w:r>
              <w:rPr>
                <w:noProof/>
                <w:webHidden/>
              </w:rPr>
              <w:fldChar w:fldCharType="begin"/>
            </w:r>
            <w:r>
              <w:rPr>
                <w:noProof/>
                <w:webHidden/>
              </w:rPr>
              <w:instrText xml:space="preserve"> PAGEREF _Toc220490112 \h </w:instrText>
            </w:r>
            <w:r>
              <w:rPr>
                <w:noProof/>
                <w:webHidden/>
              </w:rPr>
            </w:r>
            <w:r>
              <w:rPr>
                <w:noProof/>
                <w:webHidden/>
              </w:rPr>
              <w:fldChar w:fldCharType="separate"/>
            </w:r>
            <w:r>
              <w:rPr>
                <w:noProof/>
                <w:webHidden/>
              </w:rPr>
              <w:t>347</w:t>
            </w:r>
            <w:r>
              <w:rPr>
                <w:noProof/>
                <w:webHidden/>
              </w:rPr>
              <w:fldChar w:fldCharType="end"/>
            </w:r>
          </w:hyperlink>
        </w:p>
        <w:p w14:paraId="18E6D4E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13" w:history="1">
            <w:r w:rsidRPr="000D551A">
              <w:rPr>
                <w:rStyle w:val="Lienhypertexte"/>
                <w:noProof/>
              </w:rPr>
              <w:t>41.76.2d Enseignes</w:t>
            </w:r>
            <w:r>
              <w:rPr>
                <w:noProof/>
                <w:webHidden/>
              </w:rPr>
              <w:tab/>
            </w:r>
            <w:r>
              <w:rPr>
                <w:noProof/>
                <w:webHidden/>
              </w:rPr>
              <w:fldChar w:fldCharType="begin"/>
            </w:r>
            <w:r>
              <w:rPr>
                <w:noProof/>
                <w:webHidden/>
              </w:rPr>
              <w:instrText xml:space="preserve"> PAGEREF _Toc220490113 \h </w:instrText>
            </w:r>
            <w:r>
              <w:rPr>
                <w:noProof/>
                <w:webHidden/>
              </w:rPr>
            </w:r>
            <w:r>
              <w:rPr>
                <w:noProof/>
                <w:webHidden/>
              </w:rPr>
              <w:fldChar w:fldCharType="separate"/>
            </w:r>
            <w:r>
              <w:rPr>
                <w:noProof/>
                <w:webHidden/>
              </w:rPr>
              <w:t>347</w:t>
            </w:r>
            <w:r>
              <w:rPr>
                <w:noProof/>
                <w:webHidden/>
              </w:rPr>
              <w:fldChar w:fldCharType="end"/>
            </w:r>
          </w:hyperlink>
        </w:p>
        <w:p w14:paraId="6A81DC28"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114" w:history="1">
            <w:r w:rsidRPr="000D551A">
              <w:rPr>
                <w:rStyle w:val="Lienhypertexte"/>
                <w:noProof/>
              </w:rPr>
              <w:t>41.77 Eléments de renfort CCTB 01.12</w:t>
            </w:r>
            <w:r>
              <w:rPr>
                <w:noProof/>
                <w:webHidden/>
              </w:rPr>
              <w:tab/>
            </w:r>
            <w:r>
              <w:rPr>
                <w:noProof/>
                <w:webHidden/>
              </w:rPr>
              <w:fldChar w:fldCharType="begin"/>
            </w:r>
            <w:r>
              <w:rPr>
                <w:noProof/>
                <w:webHidden/>
              </w:rPr>
              <w:instrText xml:space="preserve"> PAGEREF _Toc220490114 \h </w:instrText>
            </w:r>
            <w:r>
              <w:rPr>
                <w:noProof/>
                <w:webHidden/>
              </w:rPr>
            </w:r>
            <w:r>
              <w:rPr>
                <w:noProof/>
                <w:webHidden/>
              </w:rPr>
              <w:fldChar w:fldCharType="separate"/>
            </w:r>
            <w:r>
              <w:rPr>
                <w:noProof/>
                <w:webHidden/>
              </w:rPr>
              <w:t>347</w:t>
            </w:r>
            <w:r>
              <w:rPr>
                <w:noProof/>
                <w:webHidden/>
              </w:rPr>
              <w:fldChar w:fldCharType="end"/>
            </w:r>
          </w:hyperlink>
        </w:p>
        <w:p w14:paraId="12E7E69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115" w:history="1">
            <w:r w:rsidRPr="000D551A">
              <w:rPr>
                <w:rStyle w:val="Lienhypertexte"/>
                <w:noProof/>
              </w:rPr>
              <w:t>41.77.1 Eléments de renfort en bois pour menuiseries extérieures CCTB 01.12</w:t>
            </w:r>
            <w:r>
              <w:rPr>
                <w:noProof/>
                <w:webHidden/>
              </w:rPr>
              <w:tab/>
            </w:r>
            <w:r>
              <w:rPr>
                <w:noProof/>
                <w:webHidden/>
              </w:rPr>
              <w:fldChar w:fldCharType="begin"/>
            </w:r>
            <w:r>
              <w:rPr>
                <w:noProof/>
                <w:webHidden/>
              </w:rPr>
              <w:instrText xml:space="preserve"> PAGEREF _Toc220490115 \h </w:instrText>
            </w:r>
            <w:r>
              <w:rPr>
                <w:noProof/>
                <w:webHidden/>
              </w:rPr>
            </w:r>
            <w:r>
              <w:rPr>
                <w:noProof/>
                <w:webHidden/>
              </w:rPr>
              <w:fldChar w:fldCharType="separate"/>
            </w:r>
            <w:r>
              <w:rPr>
                <w:noProof/>
                <w:webHidden/>
              </w:rPr>
              <w:t>348</w:t>
            </w:r>
            <w:r>
              <w:rPr>
                <w:noProof/>
                <w:webHidden/>
              </w:rPr>
              <w:fldChar w:fldCharType="end"/>
            </w:r>
          </w:hyperlink>
        </w:p>
        <w:p w14:paraId="6586E71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16" w:history="1">
            <w:r w:rsidRPr="000D551A">
              <w:rPr>
                <w:rStyle w:val="Lienhypertexte"/>
                <w:noProof/>
              </w:rPr>
              <w:t>41.77.1a Eléments de renfort en bois pour menuiseries extérieures</w:t>
            </w:r>
            <w:r>
              <w:rPr>
                <w:noProof/>
                <w:webHidden/>
              </w:rPr>
              <w:tab/>
            </w:r>
            <w:r>
              <w:rPr>
                <w:noProof/>
                <w:webHidden/>
              </w:rPr>
              <w:fldChar w:fldCharType="begin"/>
            </w:r>
            <w:r>
              <w:rPr>
                <w:noProof/>
                <w:webHidden/>
              </w:rPr>
              <w:instrText xml:space="preserve"> PAGEREF _Toc220490116 \h </w:instrText>
            </w:r>
            <w:r>
              <w:rPr>
                <w:noProof/>
                <w:webHidden/>
              </w:rPr>
            </w:r>
            <w:r>
              <w:rPr>
                <w:noProof/>
                <w:webHidden/>
              </w:rPr>
              <w:fldChar w:fldCharType="separate"/>
            </w:r>
            <w:r>
              <w:rPr>
                <w:noProof/>
                <w:webHidden/>
              </w:rPr>
              <w:t>348</w:t>
            </w:r>
            <w:r>
              <w:rPr>
                <w:noProof/>
                <w:webHidden/>
              </w:rPr>
              <w:fldChar w:fldCharType="end"/>
            </w:r>
          </w:hyperlink>
        </w:p>
        <w:p w14:paraId="035BE68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117" w:history="1">
            <w:r w:rsidRPr="000D551A">
              <w:rPr>
                <w:rStyle w:val="Lienhypertexte"/>
                <w:noProof/>
              </w:rPr>
              <w:t>41.77.2 Eléments de renfort en aluminium pour menuiseries extérieures</w:t>
            </w:r>
            <w:r>
              <w:rPr>
                <w:noProof/>
                <w:webHidden/>
              </w:rPr>
              <w:tab/>
            </w:r>
            <w:r>
              <w:rPr>
                <w:noProof/>
                <w:webHidden/>
              </w:rPr>
              <w:fldChar w:fldCharType="begin"/>
            </w:r>
            <w:r>
              <w:rPr>
                <w:noProof/>
                <w:webHidden/>
              </w:rPr>
              <w:instrText xml:space="preserve"> PAGEREF _Toc220490117 \h </w:instrText>
            </w:r>
            <w:r>
              <w:rPr>
                <w:noProof/>
                <w:webHidden/>
              </w:rPr>
            </w:r>
            <w:r>
              <w:rPr>
                <w:noProof/>
                <w:webHidden/>
              </w:rPr>
              <w:fldChar w:fldCharType="separate"/>
            </w:r>
            <w:r>
              <w:rPr>
                <w:noProof/>
                <w:webHidden/>
              </w:rPr>
              <w:t>348</w:t>
            </w:r>
            <w:r>
              <w:rPr>
                <w:noProof/>
                <w:webHidden/>
              </w:rPr>
              <w:fldChar w:fldCharType="end"/>
            </w:r>
          </w:hyperlink>
        </w:p>
        <w:p w14:paraId="77A6761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18" w:history="1">
            <w:r w:rsidRPr="000D551A">
              <w:rPr>
                <w:rStyle w:val="Lienhypertexte"/>
                <w:noProof/>
              </w:rPr>
              <w:t>41.77.2a Eléments de renfort en aluminium pour menuiseries extérieures</w:t>
            </w:r>
            <w:r>
              <w:rPr>
                <w:noProof/>
                <w:webHidden/>
              </w:rPr>
              <w:tab/>
            </w:r>
            <w:r>
              <w:rPr>
                <w:noProof/>
                <w:webHidden/>
              </w:rPr>
              <w:fldChar w:fldCharType="begin"/>
            </w:r>
            <w:r>
              <w:rPr>
                <w:noProof/>
                <w:webHidden/>
              </w:rPr>
              <w:instrText xml:space="preserve"> PAGEREF _Toc220490118 \h </w:instrText>
            </w:r>
            <w:r>
              <w:rPr>
                <w:noProof/>
                <w:webHidden/>
              </w:rPr>
            </w:r>
            <w:r>
              <w:rPr>
                <w:noProof/>
                <w:webHidden/>
              </w:rPr>
              <w:fldChar w:fldCharType="separate"/>
            </w:r>
            <w:r>
              <w:rPr>
                <w:noProof/>
                <w:webHidden/>
              </w:rPr>
              <w:t>348</w:t>
            </w:r>
            <w:r>
              <w:rPr>
                <w:noProof/>
                <w:webHidden/>
              </w:rPr>
              <w:fldChar w:fldCharType="end"/>
            </w:r>
          </w:hyperlink>
        </w:p>
        <w:p w14:paraId="480E50E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119" w:history="1">
            <w:r w:rsidRPr="000D551A">
              <w:rPr>
                <w:rStyle w:val="Lienhypertexte"/>
                <w:noProof/>
              </w:rPr>
              <w:t>41.77.3 Eléments de renfort en acier pour menuiseries extérieures</w:t>
            </w:r>
            <w:r>
              <w:rPr>
                <w:noProof/>
                <w:webHidden/>
              </w:rPr>
              <w:tab/>
            </w:r>
            <w:r>
              <w:rPr>
                <w:noProof/>
                <w:webHidden/>
              </w:rPr>
              <w:fldChar w:fldCharType="begin"/>
            </w:r>
            <w:r>
              <w:rPr>
                <w:noProof/>
                <w:webHidden/>
              </w:rPr>
              <w:instrText xml:space="preserve"> PAGEREF _Toc220490119 \h </w:instrText>
            </w:r>
            <w:r>
              <w:rPr>
                <w:noProof/>
                <w:webHidden/>
              </w:rPr>
            </w:r>
            <w:r>
              <w:rPr>
                <w:noProof/>
                <w:webHidden/>
              </w:rPr>
              <w:fldChar w:fldCharType="separate"/>
            </w:r>
            <w:r>
              <w:rPr>
                <w:noProof/>
                <w:webHidden/>
              </w:rPr>
              <w:t>348</w:t>
            </w:r>
            <w:r>
              <w:rPr>
                <w:noProof/>
                <w:webHidden/>
              </w:rPr>
              <w:fldChar w:fldCharType="end"/>
            </w:r>
          </w:hyperlink>
        </w:p>
        <w:p w14:paraId="6841F53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20" w:history="1">
            <w:r w:rsidRPr="000D551A">
              <w:rPr>
                <w:rStyle w:val="Lienhypertexte"/>
                <w:noProof/>
              </w:rPr>
              <w:t>41.77.3a Eléments de renfort en acier pour menuiseries extérieures CCTB 01.12</w:t>
            </w:r>
            <w:r>
              <w:rPr>
                <w:noProof/>
                <w:webHidden/>
              </w:rPr>
              <w:tab/>
            </w:r>
            <w:r>
              <w:rPr>
                <w:noProof/>
                <w:webHidden/>
              </w:rPr>
              <w:fldChar w:fldCharType="begin"/>
            </w:r>
            <w:r>
              <w:rPr>
                <w:noProof/>
                <w:webHidden/>
              </w:rPr>
              <w:instrText xml:space="preserve"> PAGEREF _Toc220490120 \h </w:instrText>
            </w:r>
            <w:r>
              <w:rPr>
                <w:noProof/>
                <w:webHidden/>
              </w:rPr>
            </w:r>
            <w:r>
              <w:rPr>
                <w:noProof/>
                <w:webHidden/>
              </w:rPr>
              <w:fldChar w:fldCharType="separate"/>
            </w:r>
            <w:r>
              <w:rPr>
                <w:noProof/>
                <w:webHidden/>
              </w:rPr>
              <w:t>348</w:t>
            </w:r>
            <w:r>
              <w:rPr>
                <w:noProof/>
                <w:webHidden/>
              </w:rPr>
              <w:fldChar w:fldCharType="end"/>
            </w:r>
          </w:hyperlink>
        </w:p>
        <w:p w14:paraId="45686C1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121" w:history="1">
            <w:r w:rsidRPr="000D551A">
              <w:rPr>
                <w:rStyle w:val="Lienhypertexte"/>
                <w:noProof/>
              </w:rPr>
              <w:t>41.77.4 Eléments de renfort mixtes pour menuiseries extérieures</w:t>
            </w:r>
            <w:r>
              <w:rPr>
                <w:noProof/>
                <w:webHidden/>
              </w:rPr>
              <w:tab/>
            </w:r>
            <w:r>
              <w:rPr>
                <w:noProof/>
                <w:webHidden/>
              </w:rPr>
              <w:fldChar w:fldCharType="begin"/>
            </w:r>
            <w:r>
              <w:rPr>
                <w:noProof/>
                <w:webHidden/>
              </w:rPr>
              <w:instrText xml:space="preserve"> PAGEREF _Toc220490121 \h </w:instrText>
            </w:r>
            <w:r>
              <w:rPr>
                <w:noProof/>
                <w:webHidden/>
              </w:rPr>
            </w:r>
            <w:r>
              <w:rPr>
                <w:noProof/>
                <w:webHidden/>
              </w:rPr>
              <w:fldChar w:fldCharType="separate"/>
            </w:r>
            <w:r>
              <w:rPr>
                <w:noProof/>
                <w:webHidden/>
              </w:rPr>
              <w:t>349</w:t>
            </w:r>
            <w:r>
              <w:rPr>
                <w:noProof/>
                <w:webHidden/>
              </w:rPr>
              <w:fldChar w:fldCharType="end"/>
            </w:r>
          </w:hyperlink>
        </w:p>
        <w:p w14:paraId="52084C0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22" w:history="1">
            <w:r w:rsidRPr="000D551A">
              <w:rPr>
                <w:rStyle w:val="Lienhypertexte"/>
                <w:noProof/>
              </w:rPr>
              <w:t>41.77.4a Eléments de renfort mixtes pour menuiseries extérieures CCTB 01.12</w:t>
            </w:r>
            <w:r>
              <w:rPr>
                <w:noProof/>
                <w:webHidden/>
              </w:rPr>
              <w:tab/>
            </w:r>
            <w:r>
              <w:rPr>
                <w:noProof/>
                <w:webHidden/>
              </w:rPr>
              <w:fldChar w:fldCharType="begin"/>
            </w:r>
            <w:r>
              <w:rPr>
                <w:noProof/>
                <w:webHidden/>
              </w:rPr>
              <w:instrText xml:space="preserve"> PAGEREF _Toc220490122 \h </w:instrText>
            </w:r>
            <w:r>
              <w:rPr>
                <w:noProof/>
                <w:webHidden/>
              </w:rPr>
            </w:r>
            <w:r>
              <w:rPr>
                <w:noProof/>
                <w:webHidden/>
              </w:rPr>
              <w:fldChar w:fldCharType="separate"/>
            </w:r>
            <w:r>
              <w:rPr>
                <w:noProof/>
                <w:webHidden/>
              </w:rPr>
              <w:t>349</w:t>
            </w:r>
            <w:r>
              <w:rPr>
                <w:noProof/>
                <w:webHidden/>
              </w:rPr>
              <w:fldChar w:fldCharType="end"/>
            </w:r>
          </w:hyperlink>
        </w:p>
        <w:p w14:paraId="235AA5C8"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123" w:history="1">
            <w:r w:rsidRPr="000D551A">
              <w:rPr>
                <w:rStyle w:val="Lienhypertexte"/>
                <w:noProof/>
              </w:rPr>
              <w:t>41.8 Menuiseries extérieures - rénovation CCTB 01.02</w:t>
            </w:r>
            <w:r>
              <w:rPr>
                <w:noProof/>
                <w:webHidden/>
              </w:rPr>
              <w:tab/>
            </w:r>
            <w:r>
              <w:rPr>
                <w:noProof/>
                <w:webHidden/>
              </w:rPr>
              <w:fldChar w:fldCharType="begin"/>
            </w:r>
            <w:r>
              <w:rPr>
                <w:noProof/>
                <w:webHidden/>
              </w:rPr>
              <w:instrText xml:space="preserve"> PAGEREF _Toc220490123 \h </w:instrText>
            </w:r>
            <w:r>
              <w:rPr>
                <w:noProof/>
                <w:webHidden/>
              </w:rPr>
            </w:r>
            <w:r>
              <w:rPr>
                <w:noProof/>
                <w:webHidden/>
              </w:rPr>
              <w:fldChar w:fldCharType="separate"/>
            </w:r>
            <w:r>
              <w:rPr>
                <w:noProof/>
                <w:webHidden/>
              </w:rPr>
              <w:t>350</w:t>
            </w:r>
            <w:r>
              <w:rPr>
                <w:noProof/>
                <w:webHidden/>
              </w:rPr>
              <w:fldChar w:fldCharType="end"/>
            </w:r>
          </w:hyperlink>
        </w:p>
        <w:p w14:paraId="6796A453"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124" w:history="1">
            <w:r w:rsidRPr="000D551A">
              <w:rPr>
                <w:rStyle w:val="Lienhypertexte"/>
                <w:noProof/>
              </w:rPr>
              <w:t>41.81 Fenêtres et portes-fenêtres - rénovation</w:t>
            </w:r>
            <w:r>
              <w:rPr>
                <w:noProof/>
                <w:webHidden/>
              </w:rPr>
              <w:tab/>
            </w:r>
            <w:r>
              <w:rPr>
                <w:noProof/>
                <w:webHidden/>
              </w:rPr>
              <w:fldChar w:fldCharType="begin"/>
            </w:r>
            <w:r>
              <w:rPr>
                <w:noProof/>
                <w:webHidden/>
              </w:rPr>
              <w:instrText xml:space="preserve"> PAGEREF _Toc220490124 \h </w:instrText>
            </w:r>
            <w:r>
              <w:rPr>
                <w:noProof/>
                <w:webHidden/>
              </w:rPr>
            </w:r>
            <w:r>
              <w:rPr>
                <w:noProof/>
                <w:webHidden/>
              </w:rPr>
              <w:fldChar w:fldCharType="separate"/>
            </w:r>
            <w:r>
              <w:rPr>
                <w:noProof/>
                <w:webHidden/>
              </w:rPr>
              <w:t>351</w:t>
            </w:r>
            <w:r>
              <w:rPr>
                <w:noProof/>
                <w:webHidden/>
              </w:rPr>
              <w:fldChar w:fldCharType="end"/>
            </w:r>
          </w:hyperlink>
        </w:p>
        <w:p w14:paraId="192AE69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125" w:history="1">
            <w:r w:rsidRPr="000D551A">
              <w:rPr>
                <w:rStyle w:val="Lienhypertexte"/>
                <w:noProof/>
              </w:rPr>
              <w:t>41.81.1 Fenêtres et portes-fenêtres en bois - rénovation CCTB 01.11</w:t>
            </w:r>
            <w:r>
              <w:rPr>
                <w:noProof/>
                <w:webHidden/>
              </w:rPr>
              <w:tab/>
            </w:r>
            <w:r>
              <w:rPr>
                <w:noProof/>
                <w:webHidden/>
              </w:rPr>
              <w:fldChar w:fldCharType="begin"/>
            </w:r>
            <w:r>
              <w:rPr>
                <w:noProof/>
                <w:webHidden/>
              </w:rPr>
              <w:instrText xml:space="preserve"> PAGEREF _Toc220490125 \h </w:instrText>
            </w:r>
            <w:r>
              <w:rPr>
                <w:noProof/>
                <w:webHidden/>
              </w:rPr>
            </w:r>
            <w:r>
              <w:rPr>
                <w:noProof/>
                <w:webHidden/>
              </w:rPr>
              <w:fldChar w:fldCharType="separate"/>
            </w:r>
            <w:r>
              <w:rPr>
                <w:noProof/>
                <w:webHidden/>
              </w:rPr>
              <w:t>351</w:t>
            </w:r>
            <w:r>
              <w:rPr>
                <w:noProof/>
                <w:webHidden/>
              </w:rPr>
              <w:fldChar w:fldCharType="end"/>
            </w:r>
          </w:hyperlink>
        </w:p>
        <w:p w14:paraId="1DDDBC1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26" w:history="1">
            <w:r w:rsidRPr="000D551A">
              <w:rPr>
                <w:rStyle w:val="Lienhypertexte"/>
                <w:noProof/>
              </w:rPr>
              <w:t>41.81.1a Fenêtres et portes-fenêtres en bois - rénovation - greffes de bois</w:t>
            </w:r>
            <w:r>
              <w:rPr>
                <w:noProof/>
                <w:webHidden/>
              </w:rPr>
              <w:tab/>
            </w:r>
            <w:r>
              <w:rPr>
                <w:noProof/>
                <w:webHidden/>
              </w:rPr>
              <w:fldChar w:fldCharType="begin"/>
            </w:r>
            <w:r>
              <w:rPr>
                <w:noProof/>
                <w:webHidden/>
              </w:rPr>
              <w:instrText xml:space="preserve"> PAGEREF _Toc220490126 \h </w:instrText>
            </w:r>
            <w:r>
              <w:rPr>
                <w:noProof/>
                <w:webHidden/>
              </w:rPr>
            </w:r>
            <w:r>
              <w:rPr>
                <w:noProof/>
                <w:webHidden/>
              </w:rPr>
              <w:fldChar w:fldCharType="separate"/>
            </w:r>
            <w:r>
              <w:rPr>
                <w:noProof/>
                <w:webHidden/>
              </w:rPr>
              <w:t>351</w:t>
            </w:r>
            <w:r>
              <w:rPr>
                <w:noProof/>
                <w:webHidden/>
              </w:rPr>
              <w:fldChar w:fldCharType="end"/>
            </w:r>
          </w:hyperlink>
        </w:p>
        <w:p w14:paraId="5E84F0B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27" w:history="1">
            <w:r w:rsidRPr="000D551A">
              <w:rPr>
                <w:rStyle w:val="Lienhypertexte"/>
                <w:noProof/>
              </w:rPr>
              <w:t>41.81.1b Fenêtres et portes-fenêtres en bois - rénovation - réparation résine</w:t>
            </w:r>
            <w:r>
              <w:rPr>
                <w:noProof/>
                <w:webHidden/>
              </w:rPr>
              <w:tab/>
            </w:r>
            <w:r>
              <w:rPr>
                <w:noProof/>
                <w:webHidden/>
              </w:rPr>
              <w:fldChar w:fldCharType="begin"/>
            </w:r>
            <w:r>
              <w:rPr>
                <w:noProof/>
                <w:webHidden/>
              </w:rPr>
              <w:instrText xml:space="preserve"> PAGEREF _Toc220490127 \h </w:instrText>
            </w:r>
            <w:r>
              <w:rPr>
                <w:noProof/>
                <w:webHidden/>
              </w:rPr>
            </w:r>
            <w:r>
              <w:rPr>
                <w:noProof/>
                <w:webHidden/>
              </w:rPr>
              <w:fldChar w:fldCharType="separate"/>
            </w:r>
            <w:r>
              <w:rPr>
                <w:noProof/>
                <w:webHidden/>
              </w:rPr>
              <w:t>351</w:t>
            </w:r>
            <w:r>
              <w:rPr>
                <w:noProof/>
                <w:webHidden/>
              </w:rPr>
              <w:fldChar w:fldCharType="end"/>
            </w:r>
          </w:hyperlink>
        </w:p>
        <w:p w14:paraId="2D1408E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28" w:history="1">
            <w:r w:rsidRPr="000D551A">
              <w:rPr>
                <w:rStyle w:val="Lienhypertexte"/>
                <w:noProof/>
              </w:rPr>
              <w:t>41.81.1c Fenêtres et portes-fenêtres en bois - rénovation - révision des quincailleries</w:t>
            </w:r>
            <w:r>
              <w:rPr>
                <w:noProof/>
                <w:webHidden/>
              </w:rPr>
              <w:tab/>
            </w:r>
            <w:r>
              <w:rPr>
                <w:noProof/>
                <w:webHidden/>
              </w:rPr>
              <w:fldChar w:fldCharType="begin"/>
            </w:r>
            <w:r>
              <w:rPr>
                <w:noProof/>
                <w:webHidden/>
              </w:rPr>
              <w:instrText xml:space="preserve"> PAGEREF _Toc220490128 \h </w:instrText>
            </w:r>
            <w:r>
              <w:rPr>
                <w:noProof/>
                <w:webHidden/>
              </w:rPr>
            </w:r>
            <w:r>
              <w:rPr>
                <w:noProof/>
                <w:webHidden/>
              </w:rPr>
              <w:fldChar w:fldCharType="separate"/>
            </w:r>
            <w:r>
              <w:rPr>
                <w:noProof/>
                <w:webHidden/>
              </w:rPr>
              <w:t>351</w:t>
            </w:r>
            <w:r>
              <w:rPr>
                <w:noProof/>
                <w:webHidden/>
              </w:rPr>
              <w:fldChar w:fldCharType="end"/>
            </w:r>
          </w:hyperlink>
        </w:p>
        <w:p w14:paraId="74A57C7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29" w:history="1">
            <w:r w:rsidRPr="000D551A">
              <w:rPr>
                <w:rStyle w:val="Lienhypertexte"/>
                <w:noProof/>
              </w:rPr>
              <w:t>41.81.1d Fenêtres et portes-fenêtres en bois - rénovation - restitution des quincailleries à l'identique</w:t>
            </w:r>
            <w:r>
              <w:rPr>
                <w:noProof/>
                <w:webHidden/>
              </w:rPr>
              <w:tab/>
            </w:r>
            <w:r>
              <w:rPr>
                <w:noProof/>
                <w:webHidden/>
              </w:rPr>
              <w:fldChar w:fldCharType="begin"/>
            </w:r>
            <w:r>
              <w:rPr>
                <w:noProof/>
                <w:webHidden/>
              </w:rPr>
              <w:instrText xml:space="preserve"> PAGEREF _Toc220490129 \h </w:instrText>
            </w:r>
            <w:r>
              <w:rPr>
                <w:noProof/>
                <w:webHidden/>
              </w:rPr>
            </w:r>
            <w:r>
              <w:rPr>
                <w:noProof/>
                <w:webHidden/>
              </w:rPr>
              <w:fldChar w:fldCharType="separate"/>
            </w:r>
            <w:r>
              <w:rPr>
                <w:noProof/>
                <w:webHidden/>
              </w:rPr>
              <w:t>351</w:t>
            </w:r>
            <w:r>
              <w:rPr>
                <w:noProof/>
                <w:webHidden/>
              </w:rPr>
              <w:fldChar w:fldCharType="end"/>
            </w:r>
          </w:hyperlink>
        </w:p>
        <w:p w14:paraId="0BA60F6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30" w:history="1">
            <w:r w:rsidRPr="000D551A">
              <w:rPr>
                <w:rStyle w:val="Lienhypertexte"/>
                <w:noProof/>
              </w:rPr>
              <w:t>41.81.1e Fenêtres et portes-fenêtres en bois - rénovation - masticage</w:t>
            </w:r>
            <w:r>
              <w:rPr>
                <w:noProof/>
                <w:webHidden/>
              </w:rPr>
              <w:tab/>
            </w:r>
            <w:r>
              <w:rPr>
                <w:noProof/>
                <w:webHidden/>
              </w:rPr>
              <w:fldChar w:fldCharType="begin"/>
            </w:r>
            <w:r>
              <w:rPr>
                <w:noProof/>
                <w:webHidden/>
              </w:rPr>
              <w:instrText xml:space="preserve"> PAGEREF _Toc220490130 \h </w:instrText>
            </w:r>
            <w:r>
              <w:rPr>
                <w:noProof/>
                <w:webHidden/>
              </w:rPr>
            </w:r>
            <w:r>
              <w:rPr>
                <w:noProof/>
                <w:webHidden/>
              </w:rPr>
              <w:fldChar w:fldCharType="separate"/>
            </w:r>
            <w:r>
              <w:rPr>
                <w:noProof/>
                <w:webHidden/>
              </w:rPr>
              <w:t>351</w:t>
            </w:r>
            <w:r>
              <w:rPr>
                <w:noProof/>
                <w:webHidden/>
              </w:rPr>
              <w:fldChar w:fldCharType="end"/>
            </w:r>
          </w:hyperlink>
        </w:p>
        <w:p w14:paraId="7CA967E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31" w:history="1">
            <w:r w:rsidRPr="000D551A">
              <w:rPr>
                <w:rStyle w:val="Lienhypertexte"/>
                <w:noProof/>
              </w:rPr>
              <w:t>41.81.1f Fenêtres et portes-fenêtres en bois - rénovation - traitements de préservation du bois</w:t>
            </w:r>
            <w:r>
              <w:rPr>
                <w:noProof/>
                <w:webHidden/>
              </w:rPr>
              <w:tab/>
            </w:r>
            <w:r>
              <w:rPr>
                <w:noProof/>
                <w:webHidden/>
              </w:rPr>
              <w:fldChar w:fldCharType="begin"/>
            </w:r>
            <w:r>
              <w:rPr>
                <w:noProof/>
                <w:webHidden/>
              </w:rPr>
              <w:instrText xml:space="preserve"> PAGEREF _Toc220490131 \h </w:instrText>
            </w:r>
            <w:r>
              <w:rPr>
                <w:noProof/>
                <w:webHidden/>
              </w:rPr>
            </w:r>
            <w:r>
              <w:rPr>
                <w:noProof/>
                <w:webHidden/>
              </w:rPr>
              <w:fldChar w:fldCharType="separate"/>
            </w:r>
            <w:r>
              <w:rPr>
                <w:noProof/>
                <w:webHidden/>
              </w:rPr>
              <w:t>351</w:t>
            </w:r>
            <w:r>
              <w:rPr>
                <w:noProof/>
                <w:webHidden/>
              </w:rPr>
              <w:fldChar w:fldCharType="end"/>
            </w:r>
          </w:hyperlink>
        </w:p>
        <w:p w14:paraId="0A03534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32" w:history="1">
            <w:r w:rsidRPr="000D551A">
              <w:rPr>
                <w:rStyle w:val="Lienhypertexte"/>
                <w:noProof/>
              </w:rPr>
              <w:t>41.81.1g Fenêtres et portes-fenêtres en bois - rénovation - déposes et reposes des tablettes intérieures CCTB 01.07</w:t>
            </w:r>
            <w:r>
              <w:rPr>
                <w:noProof/>
                <w:webHidden/>
              </w:rPr>
              <w:tab/>
            </w:r>
            <w:r>
              <w:rPr>
                <w:noProof/>
                <w:webHidden/>
              </w:rPr>
              <w:fldChar w:fldCharType="begin"/>
            </w:r>
            <w:r>
              <w:rPr>
                <w:noProof/>
                <w:webHidden/>
              </w:rPr>
              <w:instrText xml:space="preserve"> PAGEREF _Toc220490132 \h </w:instrText>
            </w:r>
            <w:r>
              <w:rPr>
                <w:noProof/>
                <w:webHidden/>
              </w:rPr>
            </w:r>
            <w:r>
              <w:rPr>
                <w:noProof/>
                <w:webHidden/>
              </w:rPr>
              <w:fldChar w:fldCharType="separate"/>
            </w:r>
            <w:r>
              <w:rPr>
                <w:noProof/>
                <w:webHidden/>
              </w:rPr>
              <w:t>351</w:t>
            </w:r>
            <w:r>
              <w:rPr>
                <w:noProof/>
                <w:webHidden/>
              </w:rPr>
              <w:fldChar w:fldCharType="end"/>
            </w:r>
          </w:hyperlink>
        </w:p>
        <w:p w14:paraId="3C9E55C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33" w:history="1">
            <w:r w:rsidRPr="000D551A">
              <w:rPr>
                <w:rStyle w:val="Lienhypertexte"/>
                <w:noProof/>
              </w:rPr>
              <w:t>41.81.1h Fenêtres et portes-fenêtres en bois - rénovation - amélioration de l'étanchéité / embrèvement du joint</w:t>
            </w:r>
            <w:r>
              <w:rPr>
                <w:noProof/>
                <w:webHidden/>
              </w:rPr>
              <w:tab/>
            </w:r>
            <w:r>
              <w:rPr>
                <w:noProof/>
                <w:webHidden/>
              </w:rPr>
              <w:fldChar w:fldCharType="begin"/>
            </w:r>
            <w:r>
              <w:rPr>
                <w:noProof/>
                <w:webHidden/>
              </w:rPr>
              <w:instrText xml:space="preserve"> PAGEREF _Toc220490133 \h </w:instrText>
            </w:r>
            <w:r>
              <w:rPr>
                <w:noProof/>
                <w:webHidden/>
              </w:rPr>
            </w:r>
            <w:r>
              <w:rPr>
                <w:noProof/>
                <w:webHidden/>
              </w:rPr>
              <w:fldChar w:fldCharType="separate"/>
            </w:r>
            <w:r>
              <w:rPr>
                <w:noProof/>
                <w:webHidden/>
              </w:rPr>
              <w:t>351</w:t>
            </w:r>
            <w:r>
              <w:rPr>
                <w:noProof/>
                <w:webHidden/>
              </w:rPr>
              <w:fldChar w:fldCharType="end"/>
            </w:r>
          </w:hyperlink>
        </w:p>
        <w:p w14:paraId="214EB49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34" w:history="1">
            <w:r w:rsidRPr="000D551A">
              <w:rPr>
                <w:rStyle w:val="Lienhypertexte"/>
                <w:noProof/>
              </w:rPr>
              <w:t>41.81.1i Fenêtres et portes-fenêtres en bois - rénovation - survitrages</w:t>
            </w:r>
            <w:r>
              <w:rPr>
                <w:noProof/>
                <w:webHidden/>
              </w:rPr>
              <w:tab/>
            </w:r>
            <w:r>
              <w:rPr>
                <w:noProof/>
                <w:webHidden/>
              </w:rPr>
              <w:fldChar w:fldCharType="begin"/>
            </w:r>
            <w:r>
              <w:rPr>
                <w:noProof/>
                <w:webHidden/>
              </w:rPr>
              <w:instrText xml:space="preserve"> PAGEREF _Toc220490134 \h </w:instrText>
            </w:r>
            <w:r>
              <w:rPr>
                <w:noProof/>
                <w:webHidden/>
              </w:rPr>
            </w:r>
            <w:r>
              <w:rPr>
                <w:noProof/>
                <w:webHidden/>
              </w:rPr>
              <w:fldChar w:fldCharType="separate"/>
            </w:r>
            <w:r>
              <w:rPr>
                <w:noProof/>
                <w:webHidden/>
              </w:rPr>
              <w:t>351</w:t>
            </w:r>
            <w:r>
              <w:rPr>
                <w:noProof/>
                <w:webHidden/>
              </w:rPr>
              <w:fldChar w:fldCharType="end"/>
            </w:r>
          </w:hyperlink>
        </w:p>
        <w:p w14:paraId="6372451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135" w:history="1">
            <w:r w:rsidRPr="000D551A">
              <w:rPr>
                <w:rStyle w:val="Lienhypertexte"/>
                <w:noProof/>
              </w:rPr>
              <w:t>41.81.2 Fenêtres et portes-fenêtres en aluminium - rénovation  CCTB 01.11</w:t>
            </w:r>
            <w:r>
              <w:rPr>
                <w:noProof/>
                <w:webHidden/>
              </w:rPr>
              <w:tab/>
            </w:r>
            <w:r>
              <w:rPr>
                <w:noProof/>
                <w:webHidden/>
              </w:rPr>
              <w:fldChar w:fldCharType="begin"/>
            </w:r>
            <w:r>
              <w:rPr>
                <w:noProof/>
                <w:webHidden/>
              </w:rPr>
              <w:instrText xml:space="preserve"> PAGEREF _Toc220490135 \h </w:instrText>
            </w:r>
            <w:r>
              <w:rPr>
                <w:noProof/>
                <w:webHidden/>
              </w:rPr>
            </w:r>
            <w:r>
              <w:rPr>
                <w:noProof/>
                <w:webHidden/>
              </w:rPr>
              <w:fldChar w:fldCharType="separate"/>
            </w:r>
            <w:r>
              <w:rPr>
                <w:noProof/>
                <w:webHidden/>
              </w:rPr>
              <w:t>351</w:t>
            </w:r>
            <w:r>
              <w:rPr>
                <w:noProof/>
                <w:webHidden/>
              </w:rPr>
              <w:fldChar w:fldCharType="end"/>
            </w:r>
          </w:hyperlink>
        </w:p>
        <w:p w14:paraId="31D16D7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36" w:history="1">
            <w:r w:rsidRPr="000D551A">
              <w:rPr>
                <w:rStyle w:val="Lienhypertexte"/>
                <w:noProof/>
              </w:rPr>
              <w:t>41.81.2a Fenêtres et portes-fenêtres en aluminium - rénovation - remplacement de profilés en aluminium</w:t>
            </w:r>
            <w:r>
              <w:rPr>
                <w:noProof/>
                <w:webHidden/>
              </w:rPr>
              <w:tab/>
            </w:r>
            <w:r>
              <w:rPr>
                <w:noProof/>
                <w:webHidden/>
              </w:rPr>
              <w:fldChar w:fldCharType="begin"/>
            </w:r>
            <w:r>
              <w:rPr>
                <w:noProof/>
                <w:webHidden/>
              </w:rPr>
              <w:instrText xml:space="preserve"> PAGEREF _Toc220490136 \h </w:instrText>
            </w:r>
            <w:r>
              <w:rPr>
                <w:noProof/>
                <w:webHidden/>
              </w:rPr>
            </w:r>
            <w:r>
              <w:rPr>
                <w:noProof/>
                <w:webHidden/>
              </w:rPr>
              <w:fldChar w:fldCharType="separate"/>
            </w:r>
            <w:r>
              <w:rPr>
                <w:noProof/>
                <w:webHidden/>
              </w:rPr>
              <w:t>351</w:t>
            </w:r>
            <w:r>
              <w:rPr>
                <w:noProof/>
                <w:webHidden/>
              </w:rPr>
              <w:fldChar w:fldCharType="end"/>
            </w:r>
          </w:hyperlink>
        </w:p>
        <w:p w14:paraId="4A60DCC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37" w:history="1">
            <w:r w:rsidRPr="000D551A">
              <w:rPr>
                <w:rStyle w:val="Lienhypertexte"/>
                <w:noProof/>
              </w:rPr>
              <w:t>41.81.2b Fenêtres et portes-fenêtres en aluminium - rénovation - réparation de profilés en aluminium</w:t>
            </w:r>
            <w:r>
              <w:rPr>
                <w:noProof/>
                <w:webHidden/>
              </w:rPr>
              <w:tab/>
            </w:r>
            <w:r>
              <w:rPr>
                <w:noProof/>
                <w:webHidden/>
              </w:rPr>
              <w:fldChar w:fldCharType="begin"/>
            </w:r>
            <w:r>
              <w:rPr>
                <w:noProof/>
                <w:webHidden/>
              </w:rPr>
              <w:instrText xml:space="preserve"> PAGEREF _Toc220490137 \h </w:instrText>
            </w:r>
            <w:r>
              <w:rPr>
                <w:noProof/>
                <w:webHidden/>
              </w:rPr>
            </w:r>
            <w:r>
              <w:rPr>
                <w:noProof/>
                <w:webHidden/>
              </w:rPr>
              <w:fldChar w:fldCharType="separate"/>
            </w:r>
            <w:r>
              <w:rPr>
                <w:noProof/>
                <w:webHidden/>
              </w:rPr>
              <w:t>351</w:t>
            </w:r>
            <w:r>
              <w:rPr>
                <w:noProof/>
                <w:webHidden/>
              </w:rPr>
              <w:fldChar w:fldCharType="end"/>
            </w:r>
          </w:hyperlink>
        </w:p>
        <w:p w14:paraId="0102656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38" w:history="1">
            <w:r w:rsidRPr="000D551A">
              <w:rPr>
                <w:rStyle w:val="Lienhypertexte"/>
                <w:noProof/>
              </w:rPr>
              <w:t>41.81.2c Fenêtres et portes-fenêtres en aluminium - rénovation - révision des quincailleries</w:t>
            </w:r>
            <w:r>
              <w:rPr>
                <w:noProof/>
                <w:webHidden/>
              </w:rPr>
              <w:tab/>
            </w:r>
            <w:r>
              <w:rPr>
                <w:noProof/>
                <w:webHidden/>
              </w:rPr>
              <w:fldChar w:fldCharType="begin"/>
            </w:r>
            <w:r>
              <w:rPr>
                <w:noProof/>
                <w:webHidden/>
              </w:rPr>
              <w:instrText xml:space="preserve"> PAGEREF _Toc220490138 \h </w:instrText>
            </w:r>
            <w:r>
              <w:rPr>
                <w:noProof/>
                <w:webHidden/>
              </w:rPr>
            </w:r>
            <w:r>
              <w:rPr>
                <w:noProof/>
                <w:webHidden/>
              </w:rPr>
              <w:fldChar w:fldCharType="separate"/>
            </w:r>
            <w:r>
              <w:rPr>
                <w:noProof/>
                <w:webHidden/>
              </w:rPr>
              <w:t>351</w:t>
            </w:r>
            <w:r>
              <w:rPr>
                <w:noProof/>
                <w:webHidden/>
              </w:rPr>
              <w:fldChar w:fldCharType="end"/>
            </w:r>
          </w:hyperlink>
        </w:p>
        <w:p w14:paraId="53F9199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39" w:history="1">
            <w:r w:rsidRPr="000D551A">
              <w:rPr>
                <w:rStyle w:val="Lienhypertexte"/>
                <w:noProof/>
              </w:rPr>
              <w:t>41.81.2d Fenêtres et portes-fenêtres en aluminium - rénovation - restitution des quincailleries à l'identique</w:t>
            </w:r>
            <w:r>
              <w:rPr>
                <w:noProof/>
                <w:webHidden/>
              </w:rPr>
              <w:tab/>
            </w:r>
            <w:r>
              <w:rPr>
                <w:noProof/>
                <w:webHidden/>
              </w:rPr>
              <w:fldChar w:fldCharType="begin"/>
            </w:r>
            <w:r>
              <w:rPr>
                <w:noProof/>
                <w:webHidden/>
              </w:rPr>
              <w:instrText xml:space="preserve"> PAGEREF _Toc220490139 \h </w:instrText>
            </w:r>
            <w:r>
              <w:rPr>
                <w:noProof/>
                <w:webHidden/>
              </w:rPr>
            </w:r>
            <w:r>
              <w:rPr>
                <w:noProof/>
                <w:webHidden/>
              </w:rPr>
              <w:fldChar w:fldCharType="separate"/>
            </w:r>
            <w:r>
              <w:rPr>
                <w:noProof/>
                <w:webHidden/>
              </w:rPr>
              <w:t>351</w:t>
            </w:r>
            <w:r>
              <w:rPr>
                <w:noProof/>
                <w:webHidden/>
              </w:rPr>
              <w:fldChar w:fldCharType="end"/>
            </w:r>
          </w:hyperlink>
        </w:p>
        <w:p w14:paraId="1657119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40" w:history="1">
            <w:r w:rsidRPr="000D551A">
              <w:rPr>
                <w:rStyle w:val="Lienhypertexte"/>
                <w:noProof/>
              </w:rPr>
              <w:t>41.81.2e Fenêtres et portes-fenêtres en aluminium - rénovation - masticage</w:t>
            </w:r>
            <w:r>
              <w:rPr>
                <w:noProof/>
                <w:webHidden/>
              </w:rPr>
              <w:tab/>
            </w:r>
            <w:r>
              <w:rPr>
                <w:noProof/>
                <w:webHidden/>
              </w:rPr>
              <w:fldChar w:fldCharType="begin"/>
            </w:r>
            <w:r>
              <w:rPr>
                <w:noProof/>
                <w:webHidden/>
              </w:rPr>
              <w:instrText xml:space="preserve"> PAGEREF _Toc220490140 \h </w:instrText>
            </w:r>
            <w:r>
              <w:rPr>
                <w:noProof/>
                <w:webHidden/>
              </w:rPr>
            </w:r>
            <w:r>
              <w:rPr>
                <w:noProof/>
                <w:webHidden/>
              </w:rPr>
              <w:fldChar w:fldCharType="separate"/>
            </w:r>
            <w:r>
              <w:rPr>
                <w:noProof/>
                <w:webHidden/>
              </w:rPr>
              <w:t>351</w:t>
            </w:r>
            <w:r>
              <w:rPr>
                <w:noProof/>
                <w:webHidden/>
              </w:rPr>
              <w:fldChar w:fldCharType="end"/>
            </w:r>
          </w:hyperlink>
        </w:p>
        <w:p w14:paraId="254AB67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41" w:history="1">
            <w:r w:rsidRPr="000D551A">
              <w:rPr>
                <w:rStyle w:val="Lienhypertexte"/>
                <w:noProof/>
              </w:rPr>
              <w:t>41.81.2f Fenêtres et portes-fenêtres en aluminium - rénovation - traitements des profilés</w:t>
            </w:r>
            <w:r>
              <w:rPr>
                <w:noProof/>
                <w:webHidden/>
              </w:rPr>
              <w:tab/>
            </w:r>
            <w:r>
              <w:rPr>
                <w:noProof/>
                <w:webHidden/>
              </w:rPr>
              <w:fldChar w:fldCharType="begin"/>
            </w:r>
            <w:r>
              <w:rPr>
                <w:noProof/>
                <w:webHidden/>
              </w:rPr>
              <w:instrText xml:space="preserve"> PAGEREF _Toc220490141 \h </w:instrText>
            </w:r>
            <w:r>
              <w:rPr>
                <w:noProof/>
                <w:webHidden/>
              </w:rPr>
            </w:r>
            <w:r>
              <w:rPr>
                <w:noProof/>
                <w:webHidden/>
              </w:rPr>
              <w:fldChar w:fldCharType="separate"/>
            </w:r>
            <w:r>
              <w:rPr>
                <w:noProof/>
                <w:webHidden/>
              </w:rPr>
              <w:t>351</w:t>
            </w:r>
            <w:r>
              <w:rPr>
                <w:noProof/>
                <w:webHidden/>
              </w:rPr>
              <w:fldChar w:fldCharType="end"/>
            </w:r>
          </w:hyperlink>
        </w:p>
        <w:p w14:paraId="3E466FD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42" w:history="1">
            <w:r w:rsidRPr="000D551A">
              <w:rPr>
                <w:rStyle w:val="Lienhypertexte"/>
                <w:noProof/>
              </w:rPr>
              <w:t>41.81.2g Fenêtres et portes-fenêtres en aluminium - rénovation - déposes et reposes des tablettes intérieures CCTB 01.07</w:t>
            </w:r>
            <w:r>
              <w:rPr>
                <w:noProof/>
                <w:webHidden/>
              </w:rPr>
              <w:tab/>
            </w:r>
            <w:r>
              <w:rPr>
                <w:noProof/>
                <w:webHidden/>
              </w:rPr>
              <w:fldChar w:fldCharType="begin"/>
            </w:r>
            <w:r>
              <w:rPr>
                <w:noProof/>
                <w:webHidden/>
              </w:rPr>
              <w:instrText xml:space="preserve"> PAGEREF _Toc220490142 \h </w:instrText>
            </w:r>
            <w:r>
              <w:rPr>
                <w:noProof/>
                <w:webHidden/>
              </w:rPr>
            </w:r>
            <w:r>
              <w:rPr>
                <w:noProof/>
                <w:webHidden/>
              </w:rPr>
              <w:fldChar w:fldCharType="separate"/>
            </w:r>
            <w:r>
              <w:rPr>
                <w:noProof/>
                <w:webHidden/>
              </w:rPr>
              <w:t>352</w:t>
            </w:r>
            <w:r>
              <w:rPr>
                <w:noProof/>
                <w:webHidden/>
              </w:rPr>
              <w:fldChar w:fldCharType="end"/>
            </w:r>
          </w:hyperlink>
        </w:p>
        <w:p w14:paraId="2F3E1E1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43" w:history="1">
            <w:r w:rsidRPr="000D551A">
              <w:rPr>
                <w:rStyle w:val="Lienhypertexte"/>
                <w:noProof/>
              </w:rPr>
              <w:t>41.81.2h Fenêtres et portes-fenêtres en aluminium - rénovation - amélioration de l'étanchéité</w:t>
            </w:r>
            <w:r>
              <w:rPr>
                <w:noProof/>
                <w:webHidden/>
              </w:rPr>
              <w:tab/>
            </w:r>
            <w:r>
              <w:rPr>
                <w:noProof/>
                <w:webHidden/>
              </w:rPr>
              <w:fldChar w:fldCharType="begin"/>
            </w:r>
            <w:r>
              <w:rPr>
                <w:noProof/>
                <w:webHidden/>
              </w:rPr>
              <w:instrText xml:space="preserve"> PAGEREF _Toc220490143 \h </w:instrText>
            </w:r>
            <w:r>
              <w:rPr>
                <w:noProof/>
                <w:webHidden/>
              </w:rPr>
            </w:r>
            <w:r>
              <w:rPr>
                <w:noProof/>
                <w:webHidden/>
              </w:rPr>
              <w:fldChar w:fldCharType="separate"/>
            </w:r>
            <w:r>
              <w:rPr>
                <w:noProof/>
                <w:webHidden/>
              </w:rPr>
              <w:t>352</w:t>
            </w:r>
            <w:r>
              <w:rPr>
                <w:noProof/>
                <w:webHidden/>
              </w:rPr>
              <w:fldChar w:fldCharType="end"/>
            </w:r>
          </w:hyperlink>
        </w:p>
        <w:p w14:paraId="7D154A0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44" w:history="1">
            <w:r w:rsidRPr="000D551A">
              <w:rPr>
                <w:rStyle w:val="Lienhypertexte"/>
                <w:noProof/>
              </w:rPr>
              <w:t>41.81.2i Fenêtres et portes-fenêtres en aluminium - rénovation - survitrages</w:t>
            </w:r>
            <w:r>
              <w:rPr>
                <w:noProof/>
                <w:webHidden/>
              </w:rPr>
              <w:tab/>
            </w:r>
            <w:r>
              <w:rPr>
                <w:noProof/>
                <w:webHidden/>
              </w:rPr>
              <w:fldChar w:fldCharType="begin"/>
            </w:r>
            <w:r>
              <w:rPr>
                <w:noProof/>
                <w:webHidden/>
              </w:rPr>
              <w:instrText xml:space="preserve"> PAGEREF _Toc220490144 \h </w:instrText>
            </w:r>
            <w:r>
              <w:rPr>
                <w:noProof/>
                <w:webHidden/>
              </w:rPr>
            </w:r>
            <w:r>
              <w:rPr>
                <w:noProof/>
                <w:webHidden/>
              </w:rPr>
              <w:fldChar w:fldCharType="separate"/>
            </w:r>
            <w:r>
              <w:rPr>
                <w:noProof/>
                <w:webHidden/>
              </w:rPr>
              <w:t>352</w:t>
            </w:r>
            <w:r>
              <w:rPr>
                <w:noProof/>
                <w:webHidden/>
              </w:rPr>
              <w:fldChar w:fldCharType="end"/>
            </w:r>
          </w:hyperlink>
        </w:p>
        <w:p w14:paraId="34C590B6"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145" w:history="1">
            <w:r w:rsidRPr="000D551A">
              <w:rPr>
                <w:rStyle w:val="Lienhypertexte"/>
                <w:noProof/>
              </w:rPr>
              <w:t>41.81.3 Fenêtres et portes-fenêtres en acier - rénovation</w:t>
            </w:r>
            <w:r>
              <w:rPr>
                <w:noProof/>
                <w:webHidden/>
              </w:rPr>
              <w:tab/>
            </w:r>
            <w:r>
              <w:rPr>
                <w:noProof/>
                <w:webHidden/>
              </w:rPr>
              <w:fldChar w:fldCharType="begin"/>
            </w:r>
            <w:r>
              <w:rPr>
                <w:noProof/>
                <w:webHidden/>
              </w:rPr>
              <w:instrText xml:space="preserve"> PAGEREF _Toc220490145 \h </w:instrText>
            </w:r>
            <w:r>
              <w:rPr>
                <w:noProof/>
                <w:webHidden/>
              </w:rPr>
            </w:r>
            <w:r>
              <w:rPr>
                <w:noProof/>
                <w:webHidden/>
              </w:rPr>
              <w:fldChar w:fldCharType="separate"/>
            </w:r>
            <w:r>
              <w:rPr>
                <w:noProof/>
                <w:webHidden/>
              </w:rPr>
              <w:t>352</w:t>
            </w:r>
            <w:r>
              <w:rPr>
                <w:noProof/>
                <w:webHidden/>
              </w:rPr>
              <w:fldChar w:fldCharType="end"/>
            </w:r>
          </w:hyperlink>
        </w:p>
        <w:p w14:paraId="1A4D695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46" w:history="1">
            <w:r w:rsidRPr="000D551A">
              <w:rPr>
                <w:rStyle w:val="Lienhypertexte"/>
                <w:noProof/>
              </w:rPr>
              <w:t>41.81.3a Fenêtres et portes-fenêtres en acier - rénovation - remplacement de profilés métalliques</w:t>
            </w:r>
            <w:r>
              <w:rPr>
                <w:noProof/>
                <w:webHidden/>
              </w:rPr>
              <w:tab/>
            </w:r>
            <w:r>
              <w:rPr>
                <w:noProof/>
                <w:webHidden/>
              </w:rPr>
              <w:fldChar w:fldCharType="begin"/>
            </w:r>
            <w:r>
              <w:rPr>
                <w:noProof/>
                <w:webHidden/>
              </w:rPr>
              <w:instrText xml:space="preserve"> PAGEREF _Toc220490146 \h </w:instrText>
            </w:r>
            <w:r>
              <w:rPr>
                <w:noProof/>
                <w:webHidden/>
              </w:rPr>
            </w:r>
            <w:r>
              <w:rPr>
                <w:noProof/>
                <w:webHidden/>
              </w:rPr>
              <w:fldChar w:fldCharType="separate"/>
            </w:r>
            <w:r>
              <w:rPr>
                <w:noProof/>
                <w:webHidden/>
              </w:rPr>
              <w:t>352</w:t>
            </w:r>
            <w:r>
              <w:rPr>
                <w:noProof/>
                <w:webHidden/>
              </w:rPr>
              <w:fldChar w:fldCharType="end"/>
            </w:r>
          </w:hyperlink>
        </w:p>
        <w:p w14:paraId="26CFE70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47" w:history="1">
            <w:r w:rsidRPr="000D551A">
              <w:rPr>
                <w:rStyle w:val="Lienhypertexte"/>
                <w:noProof/>
              </w:rPr>
              <w:t>41.81.3b Fenêtres et portes-fenêtres en acier - rénovation - réparation de profilés métalliques</w:t>
            </w:r>
            <w:r>
              <w:rPr>
                <w:noProof/>
                <w:webHidden/>
              </w:rPr>
              <w:tab/>
            </w:r>
            <w:r>
              <w:rPr>
                <w:noProof/>
                <w:webHidden/>
              </w:rPr>
              <w:fldChar w:fldCharType="begin"/>
            </w:r>
            <w:r>
              <w:rPr>
                <w:noProof/>
                <w:webHidden/>
              </w:rPr>
              <w:instrText xml:space="preserve"> PAGEREF _Toc220490147 \h </w:instrText>
            </w:r>
            <w:r>
              <w:rPr>
                <w:noProof/>
                <w:webHidden/>
              </w:rPr>
            </w:r>
            <w:r>
              <w:rPr>
                <w:noProof/>
                <w:webHidden/>
              </w:rPr>
              <w:fldChar w:fldCharType="separate"/>
            </w:r>
            <w:r>
              <w:rPr>
                <w:noProof/>
                <w:webHidden/>
              </w:rPr>
              <w:t>352</w:t>
            </w:r>
            <w:r>
              <w:rPr>
                <w:noProof/>
                <w:webHidden/>
              </w:rPr>
              <w:fldChar w:fldCharType="end"/>
            </w:r>
          </w:hyperlink>
        </w:p>
        <w:p w14:paraId="10DFEED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48" w:history="1">
            <w:r w:rsidRPr="000D551A">
              <w:rPr>
                <w:rStyle w:val="Lienhypertexte"/>
                <w:noProof/>
              </w:rPr>
              <w:t>41.81.3c Fenêtres et portes-fenêtres en acier - rénovation - révision des quincailleries</w:t>
            </w:r>
            <w:r>
              <w:rPr>
                <w:noProof/>
                <w:webHidden/>
              </w:rPr>
              <w:tab/>
            </w:r>
            <w:r>
              <w:rPr>
                <w:noProof/>
                <w:webHidden/>
              </w:rPr>
              <w:fldChar w:fldCharType="begin"/>
            </w:r>
            <w:r>
              <w:rPr>
                <w:noProof/>
                <w:webHidden/>
              </w:rPr>
              <w:instrText xml:space="preserve"> PAGEREF _Toc220490148 \h </w:instrText>
            </w:r>
            <w:r>
              <w:rPr>
                <w:noProof/>
                <w:webHidden/>
              </w:rPr>
            </w:r>
            <w:r>
              <w:rPr>
                <w:noProof/>
                <w:webHidden/>
              </w:rPr>
              <w:fldChar w:fldCharType="separate"/>
            </w:r>
            <w:r>
              <w:rPr>
                <w:noProof/>
                <w:webHidden/>
              </w:rPr>
              <w:t>352</w:t>
            </w:r>
            <w:r>
              <w:rPr>
                <w:noProof/>
                <w:webHidden/>
              </w:rPr>
              <w:fldChar w:fldCharType="end"/>
            </w:r>
          </w:hyperlink>
        </w:p>
        <w:p w14:paraId="79DB418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49" w:history="1">
            <w:r w:rsidRPr="000D551A">
              <w:rPr>
                <w:rStyle w:val="Lienhypertexte"/>
                <w:noProof/>
              </w:rPr>
              <w:t>41.81.3d Fenêtres et portes-fenêtres en acier - rénovation - restitution des quincailleries à l'identique</w:t>
            </w:r>
            <w:r>
              <w:rPr>
                <w:noProof/>
                <w:webHidden/>
              </w:rPr>
              <w:tab/>
            </w:r>
            <w:r>
              <w:rPr>
                <w:noProof/>
                <w:webHidden/>
              </w:rPr>
              <w:fldChar w:fldCharType="begin"/>
            </w:r>
            <w:r>
              <w:rPr>
                <w:noProof/>
                <w:webHidden/>
              </w:rPr>
              <w:instrText xml:space="preserve"> PAGEREF _Toc220490149 \h </w:instrText>
            </w:r>
            <w:r>
              <w:rPr>
                <w:noProof/>
                <w:webHidden/>
              </w:rPr>
            </w:r>
            <w:r>
              <w:rPr>
                <w:noProof/>
                <w:webHidden/>
              </w:rPr>
              <w:fldChar w:fldCharType="separate"/>
            </w:r>
            <w:r>
              <w:rPr>
                <w:noProof/>
                <w:webHidden/>
              </w:rPr>
              <w:t>352</w:t>
            </w:r>
            <w:r>
              <w:rPr>
                <w:noProof/>
                <w:webHidden/>
              </w:rPr>
              <w:fldChar w:fldCharType="end"/>
            </w:r>
          </w:hyperlink>
        </w:p>
        <w:p w14:paraId="6B6E403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50" w:history="1">
            <w:r w:rsidRPr="000D551A">
              <w:rPr>
                <w:rStyle w:val="Lienhypertexte"/>
                <w:noProof/>
              </w:rPr>
              <w:t>41.81.3e Fenêtres et portes-fenêtres en acier - rénovation - masticage</w:t>
            </w:r>
            <w:r>
              <w:rPr>
                <w:noProof/>
                <w:webHidden/>
              </w:rPr>
              <w:tab/>
            </w:r>
            <w:r>
              <w:rPr>
                <w:noProof/>
                <w:webHidden/>
              </w:rPr>
              <w:fldChar w:fldCharType="begin"/>
            </w:r>
            <w:r>
              <w:rPr>
                <w:noProof/>
                <w:webHidden/>
              </w:rPr>
              <w:instrText xml:space="preserve"> PAGEREF _Toc220490150 \h </w:instrText>
            </w:r>
            <w:r>
              <w:rPr>
                <w:noProof/>
                <w:webHidden/>
              </w:rPr>
            </w:r>
            <w:r>
              <w:rPr>
                <w:noProof/>
                <w:webHidden/>
              </w:rPr>
              <w:fldChar w:fldCharType="separate"/>
            </w:r>
            <w:r>
              <w:rPr>
                <w:noProof/>
                <w:webHidden/>
              </w:rPr>
              <w:t>352</w:t>
            </w:r>
            <w:r>
              <w:rPr>
                <w:noProof/>
                <w:webHidden/>
              </w:rPr>
              <w:fldChar w:fldCharType="end"/>
            </w:r>
          </w:hyperlink>
        </w:p>
        <w:p w14:paraId="7FA3872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51" w:history="1">
            <w:r w:rsidRPr="000D551A">
              <w:rPr>
                <w:rStyle w:val="Lienhypertexte"/>
                <w:noProof/>
              </w:rPr>
              <w:t>41.81.3f Fenêtres et portes-fenêtres en acier - rénovation - traitements des profilés</w:t>
            </w:r>
            <w:r>
              <w:rPr>
                <w:noProof/>
                <w:webHidden/>
              </w:rPr>
              <w:tab/>
            </w:r>
            <w:r>
              <w:rPr>
                <w:noProof/>
                <w:webHidden/>
              </w:rPr>
              <w:fldChar w:fldCharType="begin"/>
            </w:r>
            <w:r>
              <w:rPr>
                <w:noProof/>
                <w:webHidden/>
              </w:rPr>
              <w:instrText xml:space="preserve"> PAGEREF _Toc220490151 \h </w:instrText>
            </w:r>
            <w:r>
              <w:rPr>
                <w:noProof/>
                <w:webHidden/>
              </w:rPr>
            </w:r>
            <w:r>
              <w:rPr>
                <w:noProof/>
                <w:webHidden/>
              </w:rPr>
              <w:fldChar w:fldCharType="separate"/>
            </w:r>
            <w:r>
              <w:rPr>
                <w:noProof/>
                <w:webHidden/>
              </w:rPr>
              <w:t>352</w:t>
            </w:r>
            <w:r>
              <w:rPr>
                <w:noProof/>
                <w:webHidden/>
              </w:rPr>
              <w:fldChar w:fldCharType="end"/>
            </w:r>
          </w:hyperlink>
        </w:p>
        <w:p w14:paraId="3F83D98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52" w:history="1">
            <w:r w:rsidRPr="000D551A">
              <w:rPr>
                <w:rStyle w:val="Lienhypertexte"/>
                <w:noProof/>
              </w:rPr>
              <w:t>41.81.3g Fenêtres et portes-fenêtres en acier - rénovation - déposes et reposes des tablettes intérieures CCTB 01.07</w:t>
            </w:r>
            <w:r>
              <w:rPr>
                <w:noProof/>
                <w:webHidden/>
              </w:rPr>
              <w:tab/>
            </w:r>
            <w:r>
              <w:rPr>
                <w:noProof/>
                <w:webHidden/>
              </w:rPr>
              <w:fldChar w:fldCharType="begin"/>
            </w:r>
            <w:r>
              <w:rPr>
                <w:noProof/>
                <w:webHidden/>
              </w:rPr>
              <w:instrText xml:space="preserve"> PAGEREF _Toc220490152 \h </w:instrText>
            </w:r>
            <w:r>
              <w:rPr>
                <w:noProof/>
                <w:webHidden/>
              </w:rPr>
            </w:r>
            <w:r>
              <w:rPr>
                <w:noProof/>
                <w:webHidden/>
              </w:rPr>
              <w:fldChar w:fldCharType="separate"/>
            </w:r>
            <w:r>
              <w:rPr>
                <w:noProof/>
                <w:webHidden/>
              </w:rPr>
              <w:t>352</w:t>
            </w:r>
            <w:r>
              <w:rPr>
                <w:noProof/>
                <w:webHidden/>
              </w:rPr>
              <w:fldChar w:fldCharType="end"/>
            </w:r>
          </w:hyperlink>
        </w:p>
        <w:p w14:paraId="403CD01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53" w:history="1">
            <w:r w:rsidRPr="000D551A">
              <w:rPr>
                <w:rStyle w:val="Lienhypertexte"/>
                <w:noProof/>
              </w:rPr>
              <w:t>41.81.3h Fenêtres et portes-fenêtres en acier - rénovation - amélioration de l'étanchéité</w:t>
            </w:r>
            <w:r>
              <w:rPr>
                <w:noProof/>
                <w:webHidden/>
              </w:rPr>
              <w:tab/>
            </w:r>
            <w:r>
              <w:rPr>
                <w:noProof/>
                <w:webHidden/>
              </w:rPr>
              <w:fldChar w:fldCharType="begin"/>
            </w:r>
            <w:r>
              <w:rPr>
                <w:noProof/>
                <w:webHidden/>
              </w:rPr>
              <w:instrText xml:space="preserve"> PAGEREF _Toc220490153 \h </w:instrText>
            </w:r>
            <w:r>
              <w:rPr>
                <w:noProof/>
                <w:webHidden/>
              </w:rPr>
            </w:r>
            <w:r>
              <w:rPr>
                <w:noProof/>
                <w:webHidden/>
              </w:rPr>
              <w:fldChar w:fldCharType="separate"/>
            </w:r>
            <w:r>
              <w:rPr>
                <w:noProof/>
                <w:webHidden/>
              </w:rPr>
              <w:t>352</w:t>
            </w:r>
            <w:r>
              <w:rPr>
                <w:noProof/>
                <w:webHidden/>
              </w:rPr>
              <w:fldChar w:fldCharType="end"/>
            </w:r>
          </w:hyperlink>
        </w:p>
        <w:p w14:paraId="7808814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54" w:history="1">
            <w:r w:rsidRPr="000D551A">
              <w:rPr>
                <w:rStyle w:val="Lienhypertexte"/>
                <w:noProof/>
              </w:rPr>
              <w:t>41.81.3i Fenêtres et portes-fenêtres en acier - rénovation - survitrages</w:t>
            </w:r>
            <w:r>
              <w:rPr>
                <w:noProof/>
                <w:webHidden/>
              </w:rPr>
              <w:tab/>
            </w:r>
            <w:r>
              <w:rPr>
                <w:noProof/>
                <w:webHidden/>
              </w:rPr>
              <w:fldChar w:fldCharType="begin"/>
            </w:r>
            <w:r>
              <w:rPr>
                <w:noProof/>
                <w:webHidden/>
              </w:rPr>
              <w:instrText xml:space="preserve"> PAGEREF _Toc220490154 \h </w:instrText>
            </w:r>
            <w:r>
              <w:rPr>
                <w:noProof/>
                <w:webHidden/>
              </w:rPr>
            </w:r>
            <w:r>
              <w:rPr>
                <w:noProof/>
                <w:webHidden/>
              </w:rPr>
              <w:fldChar w:fldCharType="separate"/>
            </w:r>
            <w:r>
              <w:rPr>
                <w:noProof/>
                <w:webHidden/>
              </w:rPr>
              <w:t>352</w:t>
            </w:r>
            <w:r>
              <w:rPr>
                <w:noProof/>
                <w:webHidden/>
              </w:rPr>
              <w:fldChar w:fldCharType="end"/>
            </w:r>
          </w:hyperlink>
        </w:p>
        <w:p w14:paraId="7953BEE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155" w:history="1">
            <w:r w:rsidRPr="000D551A">
              <w:rPr>
                <w:rStyle w:val="Lienhypertexte"/>
                <w:noProof/>
              </w:rPr>
              <w:t>41.81.4 Fenêtres et portes-fenêtres en PVC - rénovation</w:t>
            </w:r>
            <w:r>
              <w:rPr>
                <w:noProof/>
                <w:webHidden/>
              </w:rPr>
              <w:tab/>
            </w:r>
            <w:r>
              <w:rPr>
                <w:noProof/>
                <w:webHidden/>
              </w:rPr>
              <w:fldChar w:fldCharType="begin"/>
            </w:r>
            <w:r>
              <w:rPr>
                <w:noProof/>
                <w:webHidden/>
              </w:rPr>
              <w:instrText xml:space="preserve"> PAGEREF _Toc220490155 \h </w:instrText>
            </w:r>
            <w:r>
              <w:rPr>
                <w:noProof/>
                <w:webHidden/>
              </w:rPr>
            </w:r>
            <w:r>
              <w:rPr>
                <w:noProof/>
                <w:webHidden/>
              </w:rPr>
              <w:fldChar w:fldCharType="separate"/>
            </w:r>
            <w:r>
              <w:rPr>
                <w:noProof/>
                <w:webHidden/>
              </w:rPr>
              <w:t>352</w:t>
            </w:r>
            <w:r>
              <w:rPr>
                <w:noProof/>
                <w:webHidden/>
              </w:rPr>
              <w:fldChar w:fldCharType="end"/>
            </w:r>
          </w:hyperlink>
        </w:p>
        <w:p w14:paraId="1CD0975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56" w:history="1">
            <w:r w:rsidRPr="000D551A">
              <w:rPr>
                <w:rStyle w:val="Lienhypertexte"/>
                <w:noProof/>
              </w:rPr>
              <w:t>41.81.4a Fenêtres et portes-fenêtres en PVC - rénovation</w:t>
            </w:r>
            <w:r>
              <w:rPr>
                <w:noProof/>
                <w:webHidden/>
              </w:rPr>
              <w:tab/>
            </w:r>
            <w:r>
              <w:rPr>
                <w:noProof/>
                <w:webHidden/>
              </w:rPr>
              <w:fldChar w:fldCharType="begin"/>
            </w:r>
            <w:r>
              <w:rPr>
                <w:noProof/>
                <w:webHidden/>
              </w:rPr>
              <w:instrText xml:space="preserve"> PAGEREF _Toc220490156 \h </w:instrText>
            </w:r>
            <w:r>
              <w:rPr>
                <w:noProof/>
                <w:webHidden/>
              </w:rPr>
            </w:r>
            <w:r>
              <w:rPr>
                <w:noProof/>
                <w:webHidden/>
              </w:rPr>
              <w:fldChar w:fldCharType="separate"/>
            </w:r>
            <w:r>
              <w:rPr>
                <w:noProof/>
                <w:webHidden/>
              </w:rPr>
              <w:t>352</w:t>
            </w:r>
            <w:r>
              <w:rPr>
                <w:noProof/>
                <w:webHidden/>
              </w:rPr>
              <w:fldChar w:fldCharType="end"/>
            </w:r>
          </w:hyperlink>
        </w:p>
        <w:p w14:paraId="094AA738"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157" w:history="1">
            <w:r w:rsidRPr="000D551A">
              <w:rPr>
                <w:rStyle w:val="Lienhypertexte"/>
                <w:noProof/>
              </w:rPr>
              <w:t>41.82 Portes d'entrée - rénovation CCTB 01.12</w:t>
            </w:r>
            <w:r>
              <w:rPr>
                <w:noProof/>
                <w:webHidden/>
              </w:rPr>
              <w:tab/>
            </w:r>
            <w:r>
              <w:rPr>
                <w:noProof/>
                <w:webHidden/>
              </w:rPr>
              <w:fldChar w:fldCharType="begin"/>
            </w:r>
            <w:r>
              <w:rPr>
                <w:noProof/>
                <w:webHidden/>
              </w:rPr>
              <w:instrText xml:space="preserve"> PAGEREF _Toc220490157 \h </w:instrText>
            </w:r>
            <w:r>
              <w:rPr>
                <w:noProof/>
                <w:webHidden/>
              </w:rPr>
            </w:r>
            <w:r>
              <w:rPr>
                <w:noProof/>
                <w:webHidden/>
              </w:rPr>
              <w:fldChar w:fldCharType="separate"/>
            </w:r>
            <w:r>
              <w:rPr>
                <w:noProof/>
                <w:webHidden/>
              </w:rPr>
              <w:t>352</w:t>
            </w:r>
            <w:r>
              <w:rPr>
                <w:noProof/>
                <w:webHidden/>
              </w:rPr>
              <w:fldChar w:fldCharType="end"/>
            </w:r>
          </w:hyperlink>
        </w:p>
        <w:p w14:paraId="0FFDD52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158" w:history="1">
            <w:r w:rsidRPr="000D551A">
              <w:rPr>
                <w:rStyle w:val="Lienhypertexte"/>
                <w:noProof/>
              </w:rPr>
              <w:t>41.82.1 Portes d'entrée en bois - rénovation CCTB 01.11</w:t>
            </w:r>
            <w:r>
              <w:rPr>
                <w:noProof/>
                <w:webHidden/>
              </w:rPr>
              <w:tab/>
            </w:r>
            <w:r>
              <w:rPr>
                <w:noProof/>
                <w:webHidden/>
              </w:rPr>
              <w:fldChar w:fldCharType="begin"/>
            </w:r>
            <w:r>
              <w:rPr>
                <w:noProof/>
                <w:webHidden/>
              </w:rPr>
              <w:instrText xml:space="preserve"> PAGEREF _Toc220490158 \h </w:instrText>
            </w:r>
            <w:r>
              <w:rPr>
                <w:noProof/>
                <w:webHidden/>
              </w:rPr>
            </w:r>
            <w:r>
              <w:rPr>
                <w:noProof/>
                <w:webHidden/>
              </w:rPr>
              <w:fldChar w:fldCharType="separate"/>
            </w:r>
            <w:r>
              <w:rPr>
                <w:noProof/>
                <w:webHidden/>
              </w:rPr>
              <w:t>353</w:t>
            </w:r>
            <w:r>
              <w:rPr>
                <w:noProof/>
                <w:webHidden/>
              </w:rPr>
              <w:fldChar w:fldCharType="end"/>
            </w:r>
          </w:hyperlink>
        </w:p>
        <w:p w14:paraId="17E8044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59" w:history="1">
            <w:r w:rsidRPr="000D551A">
              <w:rPr>
                <w:rStyle w:val="Lienhypertexte"/>
                <w:noProof/>
              </w:rPr>
              <w:t>41.82.1a Portes d'entrée en bois - rénovation - greffes de bois</w:t>
            </w:r>
            <w:r>
              <w:rPr>
                <w:noProof/>
                <w:webHidden/>
              </w:rPr>
              <w:tab/>
            </w:r>
            <w:r>
              <w:rPr>
                <w:noProof/>
                <w:webHidden/>
              </w:rPr>
              <w:fldChar w:fldCharType="begin"/>
            </w:r>
            <w:r>
              <w:rPr>
                <w:noProof/>
                <w:webHidden/>
              </w:rPr>
              <w:instrText xml:space="preserve"> PAGEREF _Toc220490159 \h </w:instrText>
            </w:r>
            <w:r>
              <w:rPr>
                <w:noProof/>
                <w:webHidden/>
              </w:rPr>
            </w:r>
            <w:r>
              <w:rPr>
                <w:noProof/>
                <w:webHidden/>
              </w:rPr>
              <w:fldChar w:fldCharType="separate"/>
            </w:r>
            <w:r>
              <w:rPr>
                <w:noProof/>
                <w:webHidden/>
              </w:rPr>
              <w:t>353</w:t>
            </w:r>
            <w:r>
              <w:rPr>
                <w:noProof/>
                <w:webHidden/>
              </w:rPr>
              <w:fldChar w:fldCharType="end"/>
            </w:r>
          </w:hyperlink>
        </w:p>
        <w:p w14:paraId="3AF8E4F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60" w:history="1">
            <w:r w:rsidRPr="000D551A">
              <w:rPr>
                <w:rStyle w:val="Lienhypertexte"/>
                <w:noProof/>
              </w:rPr>
              <w:t>41.82.1b Portes d'entrée en bois - rénovation - réparation résine</w:t>
            </w:r>
            <w:r>
              <w:rPr>
                <w:noProof/>
                <w:webHidden/>
              </w:rPr>
              <w:tab/>
            </w:r>
            <w:r>
              <w:rPr>
                <w:noProof/>
                <w:webHidden/>
              </w:rPr>
              <w:fldChar w:fldCharType="begin"/>
            </w:r>
            <w:r>
              <w:rPr>
                <w:noProof/>
                <w:webHidden/>
              </w:rPr>
              <w:instrText xml:space="preserve"> PAGEREF _Toc220490160 \h </w:instrText>
            </w:r>
            <w:r>
              <w:rPr>
                <w:noProof/>
                <w:webHidden/>
              </w:rPr>
            </w:r>
            <w:r>
              <w:rPr>
                <w:noProof/>
                <w:webHidden/>
              </w:rPr>
              <w:fldChar w:fldCharType="separate"/>
            </w:r>
            <w:r>
              <w:rPr>
                <w:noProof/>
                <w:webHidden/>
              </w:rPr>
              <w:t>353</w:t>
            </w:r>
            <w:r>
              <w:rPr>
                <w:noProof/>
                <w:webHidden/>
              </w:rPr>
              <w:fldChar w:fldCharType="end"/>
            </w:r>
          </w:hyperlink>
        </w:p>
        <w:p w14:paraId="7974DB6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61" w:history="1">
            <w:r w:rsidRPr="000D551A">
              <w:rPr>
                <w:rStyle w:val="Lienhypertexte"/>
                <w:noProof/>
              </w:rPr>
              <w:t>41.82.1c Portes d'entrée en bois - rénovation - révision des quincailleries</w:t>
            </w:r>
            <w:r>
              <w:rPr>
                <w:noProof/>
                <w:webHidden/>
              </w:rPr>
              <w:tab/>
            </w:r>
            <w:r>
              <w:rPr>
                <w:noProof/>
                <w:webHidden/>
              </w:rPr>
              <w:fldChar w:fldCharType="begin"/>
            </w:r>
            <w:r>
              <w:rPr>
                <w:noProof/>
                <w:webHidden/>
              </w:rPr>
              <w:instrText xml:space="preserve"> PAGEREF _Toc220490161 \h </w:instrText>
            </w:r>
            <w:r>
              <w:rPr>
                <w:noProof/>
                <w:webHidden/>
              </w:rPr>
            </w:r>
            <w:r>
              <w:rPr>
                <w:noProof/>
                <w:webHidden/>
              </w:rPr>
              <w:fldChar w:fldCharType="separate"/>
            </w:r>
            <w:r>
              <w:rPr>
                <w:noProof/>
                <w:webHidden/>
              </w:rPr>
              <w:t>353</w:t>
            </w:r>
            <w:r>
              <w:rPr>
                <w:noProof/>
                <w:webHidden/>
              </w:rPr>
              <w:fldChar w:fldCharType="end"/>
            </w:r>
          </w:hyperlink>
        </w:p>
        <w:p w14:paraId="1310F78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62" w:history="1">
            <w:r w:rsidRPr="000D551A">
              <w:rPr>
                <w:rStyle w:val="Lienhypertexte"/>
                <w:noProof/>
              </w:rPr>
              <w:t>41.82.1d Portes d'entrée en bois - rénovation - restitution des quincailleries à l'identique</w:t>
            </w:r>
            <w:r>
              <w:rPr>
                <w:noProof/>
                <w:webHidden/>
              </w:rPr>
              <w:tab/>
            </w:r>
            <w:r>
              <w:rPr>
                <w:noProof/>
                <w:webHidden/>
              </w:rPr>
              <w:fldChar w:fldCharType="begin"/>
            </w:r>
            <w:r>
              <w:rPr>
                <w:noProof/>
                <w:webHidden/>
              </w:rPr>
              <w:instrText xml:space="preserve"> PAGEREF _Toc220490162 \h </w:instrText>
            </w:r>
            <w:r>
              <w:rPr>
                <w:noProof/>
                <w:webHidden/>
              </w:rPr>
            </w:r>
            <w:r>
              <w:rPr>
                <w:noProof/>
                <w:webHidden/>
              </w:rPr>
              <w:fldChar w:fldCharType="separate"/>
            </w:r>
            <w:r>
              <w:rPr>
                <w:noProof/>
                <w:webHidden/>
              </w:rPr>
              <w:t>353</w:t>
            </w:r>
            <w:r>
              <w:rPr>
                <w:noProof/>
                <w:webHidden/>
              </w:rPr>
              <w:fldChar w:fldCharType="end"/>
            </w:r>
          </w:hyperlink>
        </w:p>
        <w:p w14:paraId="0CF5918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63" w:history="1">
            <w:r w:rsidRPr="000D551A">
              <w:rPr>
                <w:rStyle w:val="Lienhypertexte"/>
                <w:noProof/>
              </w:rPr>
              <w:t>41.82.1e Portes d'entrée en bois - rénovation - masticage</w:t>
            </w:r>
            <w:r>
              <w:rPr>
                <w:noProof/>
                <w:webHidden/>
              </w:rPr>
              <w:tab/>
            </w:r>
            <w:r>
              <w:rPr>
                <w:noProof/>
                <w:webHidden/>
              </w:rPr>
              <w:fldChar w:fldCharType="begin"/>
            </w:r>
            <w:r>
              <w:rPr>
                <w:noProof/>
                <w:webHidden/>
              </w:rPr>
              <w:instrText xml:space="preserve"> PAGEREF _Toc220490163 \h </w:instrText>
            </w:r>
            <w:r>
              <w:rPr>
                <w:noProof/>
                <w:webHidden/>
              </w:rPr>
            </w:r>
            <w:r>
              <w:rPr>
                <w:noProof/>
                <w:webHidden/>
              </w:rPr>
              <w:fldChar w:fldCharType="separate"/>
            </w:r>
            <w:r>
              <w:rPr>
                <w:noProof/>
                <w:webHidden/>
              </w:rPr>
              <w:t>353</w:t>
            </w:r>
            <w:r>
              <w:rPr>
                <w:noProof/>
                <w:webHidden/>
              </w:rPr>
              <w:fldChar w:fldCharType="end"/>
            </w:r>
          </w:hyperlink>
        </w:p>
        <w:p w14:paraId="43DB949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64" w:history="1">
            <w:r w:rsidRPr="000D551A">
              <w:rPr>
                <w:rStyle w:val="Lienhypertexte"/>
                <w:noProof/>
              </w:rPr>
              <w:t>41.82.1f Portes d'entrée en bois - rénovation - traitements de préservation du bois</w:t>
            </w:r>
            <w:r>
              <w:rPr>
                <w:noProof/>
                <w:webHidden/>
              </w:rPr>
              <w:tab/>
            </w:r>
            <w:r>
              <w:rPr>
                <w:noProof/>
                <w:webHidden/>
              </w:rPr>
              <w:fldChar w:fldCharType="begin"/>
            </w:r>
            <w:r>
              <w:rPr>
                <w:noProof/>
                <w:webHidden/>
              </w:rPr>
              <w:instrText xml:space="preserve"> PAGEREF _Toc220490164 \h </w:instrText>
            </w:r>
            <w:r>
              <w:rPr>
                <w:noProof/>
                <w:webHidden/>
              </w:rPr>
            </w:r>
            <w:r>
              <w:rPr>
                <w:noProof/>
                <w:webHidden/>
              </w:rPr>
              <w:fldChar w:fldCharType="separate"/>
            </w:r>
            <w:r>
              <w:rPr>
                <w:noProof/>
                <w:webHidden/>
              </w:rPr>
              <w:t>353</w:t>
            </w:r>
            <w:r>
              <w:rPr>
                <w:noProof/>
                <w:webHidden/>
              </w:rPr>
              <w:fldChar w:fldCharType="end"/>
            </w:r>
          </w:hyperlink>
        </w:p>
        <w:p w14:paraId="59E074C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65" w:history="1">
            <w:r w:rsidRPr="000D551A">
              <w:rPr>
                <w:rStyle w:val="Lienhypertexte"/>
                <w:noProof/>
              </w:rPr>
              <w:t>41.82.1g Portes d'entrée en bois - rénovation - déposes et reposes des tablettes intérieures CCTB 01.07</w:t>
            </w:r>
            <w:r>
              <w:rPr>
                <w:noProof/>
                <w:webHidden/>
              </w:rPr>
              <w:tab/>
            </w:r>
            <w:r>
              <w:rPr>
                <w:noProof/>
                <w:webHidden/>
              </w:rPr>
              <w:fldChar w:fldCharType="begin"/>
            </w:r>
            <w:r>
              <w:rPr>
                <w:noProof/>
                <w:webHidden/>
              </w:rPr>
              <w:instrText xml:space="preserve"> PAGEREF _Toc220490165 \h </w:instrText>
            </w:r>
            <w:r>
              <w:rPr>
                <w:noProof/>
                <w:webHidden/>
              </w:rPr>
            </w:r>
            <w:r>
              <w:rPr>
                <w:noProof/>
                <w:webHidden/>
              </w:rPr>
              <w:fldChar w:fldCharType="separate"/>
            </w:r>
            <w:r>
              <w:rPr>
                <w:noProof/>
                <w:webHidden/>
              </w:rPr>
              <w:t>353</w:t>
            </w:r>
            <w:r>
              <w:rPr>
                <w:noProof/>
                <w:webHidden/>
              </w:rPr>
              <w:fldChar w:fldCharType="end"/>
            </w:r>
          </w:hyperlink>
        </w:p>
        <w:p w14:paraId="12ED66F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66" w:history="1">
            <w:r w:rsidRPr="000D551A">
              <w:rPr>
                <w:rStyle w:val="Lienhypertexte"/>
                <w:noProof/>
              </w:rPr>
              <w:t>41.82.1h Portes d'entrée en bois - rénovation - amélioration de l'étanchéité / embrèvement du joint</w:t>
            </w:r>
            <w:r>
              <w:rPr>
                <w:noProof/>
                <w:webHidden/>
              </w:rPr>
              <w:tab/>
            </w:r>
            <w:r>
              <w:rPr>
                <w:noProof/>
                <w:webHidden/>
              </w:rPr>
              <w:fldChar w:fldCharType="begin"/>
            </w:r>
            <w:r>
              <w:rPr>
                <w:noProof/>
                <w:webHidden/>
              </w:rPr>
              <w:instrText xml:space="preserve"> PAGEREF _Toc220490166 \h </w:instrText>
            </w:r>
            <w:r>
              <w:rPr>
                <w:noProof/>
                <w:webHidden/>
              </w:rPr>
            </w:r>
            <w:r>
              <w:rPr>
                <w:noProof/>
                <w:webHidden/>
              </w:rPr>
              <w:fldChar w:fldCharType="separate"/>
            </w:r>
            <w:r>
              <w:rPr>
                <w:noProof/>
                <w:webHidden/>
              </w:rPr>
              <w:t>353</w:t>
            </w:r>
            <w:r>
              <w:rPr>
                <w:noProof/>
                <w:webHidden/>
              </w:rPr>
              <w:fldChar w:fldCharType="end"/>
            </w:r>
          </w:hyperlink>
        </w:p>
        <w:p w14:paraId="3893D5B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167" w:history="1">
            <w:r w:rsidRPr="000D551A">
              <w:rPr>
                <w:rStyle w:val="Lienhypertexte"/>
                <w:noProof/>
              </w:rPr>
              <w:t>41.82.2 Portes d'entrée en aluminium - rénovation</w:t>
            </w:r>
            <w:r>
              <w:rPr>
                <w:noProof/>
                <w:webHidden/>
              </w:rPr>
              <w:tab/>
            </w:r>
            <w:r>
              <w:rPr>
                <w:noProof/>
                <w:webHidden/>
              </w:rPr>
              <w:fldChar w:fldCharType="begin"/>
            </w:r>
            <w:r>
              <w:rPr>
                <w:noProof/>
                <w:webHidden/>
              </w:rPr>
              <w:instrText xml:space="preserve"> PAGEREF _Toc220490167 \h </w:instrText>
            </w:r>
            <w:r>
              <w:rPr>
                <w:noProof/>
                <w:webHidden/>
              </w:rPr>
            </w:r>
            <w:r>
              <w:rPr>
                <w:noProof/>
                <w:webHidden/>
              </w:rPr>
              <w:fldChar w:fldCharType="separate"/>
            </w:r>
            <w:r>
              <w:rPr>
                <w:noProof/>
                <w:webHidden/>
              </w:rPr>
              <w:t>353</w:t>
            </w:r>
            <w:r>
              <w:rPr>
                <w:noProof/>
                <w:webHidden/>
              </w:rPr>
              <w:fldChar w:fldCharType="end"/>
            </w:r>
          </w:hyperlink>
        </w:p>
        <w:p w14:paraId="1A79B77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68" w:history="1">
            <w:r w:rsidRPr="000D551A">
              <w:rPr>
                <w:rStyle w:val="Lienhypertexte"/>
                <w:noProof/>
              </w:rPr>
              <w:t>41.82.2a Portes d'entrée en aluminium - rénovation - remplacement de profilés en aluminium</w:t>
            </w:r>
            <w:r>
              <w:rPr>
                <w:noProof/>
                <w:webHidden/>
              </w:rPr>
              <w:tab/>
            </w:r>
            <w:r>
              <w:rPr>
                <w:noProof/>
                <w:webHidden/>
              </w:rPr>
              <w:fldChar w:fldCharType="begin"/>
            </w:r>
            <w:r>
              <w:rPr>
                <w:noProof/>
                <w:webHidden/>
              </w:rPr>
              <w:instrText xml:space="preserve"> PAGEREF _Toc220490168 \h </w:instrText>
            </w:r>
            <w:r>
              <w:rPr>
                <w:noProof/>
                <w:webHidden/>
              </w:rPr>
            </w:r>
            <w:r>
              <w:rPr>
                <w:noProof/>
                <w:webHidden/>
              </w:rPr>
              <w:fldChar w:fldCharType="separate"/>
            </w:r>
            <w:r>
              <w:rPr>
                <w:noProof/>
                <w:webHidden/>
              </w:rPr>
              <w:t>353</w:t>
            </w:r>
            <w:r>
              <w:rPr>
                <w:noProof/>
                <w:webHidden/>
              </w:rPr>
              <w:fldChar w:fldCharType="end"/>
            </w:r>
          </w:hyperlink>
        </w:p>
        <w:p w14:paraId="4A80846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69" w:history="1">
            <w:r w:rsidRPr="000D551A">
              <w:rPr>
                <w:rStyle w:val="Lienhypertexte"/>
                <w:noProof/>
              </w:rPr>
              <w:t>41.82.2b Portes d'entrée en aluminium - rénovation - réparation de profilés en aluminium</w:t>
            </w:r>
            <w:r>
              <w:rPr>
                <w:noProof/>
                <w:webHidden/>
              </w:rPr>
              <w:tab/>
            </w:r>
            <w:r>
              <w:rPr>
                <w:noProof/>
                <w:webHidden/>
              </w:rPr>
              <w:fldChar w:fldCharType="begin"/>
            </w:r>
            <w:r>
              <w:rPr>
                <w:noProof/>
                <w:webHidden/>
              </w:rPr>
              <w:instrText xml:space="preserve"> PAGEREF _Toc220490169 \h </w:instrText>
            </w:r>
            <w:r>
              <w:rPr>
                <w:noProof/>
                <w:webHidden/>
              </w:rPr>
            </w:r>
            <w:r>
              <w:rPr>
                <w:noProof/>
                <w:webHidden/>
              </w:rPr>
              <w:fldChar w:fldCharType="separate"/>
            </w:r>
            <w:r>
              <w:rPr>
                <w:noProof/>
                <w:webHidden/>
              </w:rPr>
              <w:t>353</w:t>
            </w:r>
            <w:r>
              <w:rPr>
                <w:noProof/>
                <w:webHidden/>
              </w:rPr>
              <w:fldChar w:fldCharType="end"/>
            </w:r>
          </w:hyperlink>
        </w:p>
        <w:p w14:paraId="3F656A3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70" w:history="1">
            <w:r w:rsidRPr="000D551A">
              <w:rPr>
                <w:rStyle w:val="Lienhypertexte"/>
                <w:noProof/>
              </w:rPr>
              <w:t>41.82.2c Portes d'entrée en aluminium - rénovation - révision des quincailleries CCTB 01.12</w:t>
            </w:r>
            <w:r>
              <w:rPr>
                <w:noProof/>
                <w:webHidden/>
              </w:rPr>
              <w:tab/>
            </w:r>
            <w:r>
              <w:rPr>
                <w:noProof/>
                <w:webHidden/>
              </w:rPr>
              <w:fldChar w:fldCharType="begin"/>
            </w:r>
            <w:r>
              <w:rPr>
                <w:noProof/>
                <w:webHidden/>
              </w:rPr>
              <w:instrText xml:space="preserve"> PAGEREF _Toc220490170 \h </w:instrText>
            </w:r>
            <w:r>
              <w:rPr>
                <w:noProof/>
                <w:webHidden/>
              </w:rPr>
            </w:r>
            <w:r>
              <w:rPr>
                <w:noProof/>
                <w:webHidden/>
              </w:rPr>
              <w:fldChar w:fldCharType="separate"/>
            </w:r>
            <w:r>
              <w:rPr>
                <w:noProof/>
                <w:webHidden/>
              </w:rPr>
              <w:t>354</w:t>
            </w:r>
            <w:r>
              <w:rPr>
                <w:noProof/>
                <w:webHidden/>
              </w:rPr>
              <w:fldChar w:fldCharType="end"/>
            </w:r>
          </w:hyperlink>
        </w:p>
        <w:p w14:paraId="30A9B72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71" w:history="1">
            <w:r w:rsidRPr="000D551A">
              <w:rPr>
                <w:rStyle w:val="Lienhypertexte"/>
                <w:noProof/>
              </w:rPr>
              <w:t>41.82.2d Portes d'entrée en aluminium - rénovation - restitution des quincailleries à l'identique</w:t>
            </w:r>
            <w:r>
              <w:rPr>
                <w:noProof/>
                <w:webHidden/>
              </w:rPr>
              <w:tab/>
            </w:r>
            <w:r>
              <w:rPr>
                <w:noProof/>
                <w:webHidden/>
              </w:rPr>
              <w:fldChar w:fldCharType="begin"/>
            </w:r>
            <w:r>
              <w:rPr>
                <w:noProof/>
                <w:webHidden/>
              </w:rPr>
              <w:instrText xml:space="preserve"> PAGEREF _Toc220490171 \h </w:instrText>
            </w:r>
            <w:r>
              <w:rPr>
                <w:noProof/>
                <w:webHidden/>
              </w:rPr>
            </w:r>
            <w:r>
              <w:rPr>
                <w:noProof/>
                <w:webHidden/>
              </w:rPr>
              <w:fldChar w:fldCharType="separate"/>
            </w:r>
            <w:r>
              <w:rPr>
                <w:noProof/>
                <w:webHidden/>
              </w:rPr>
              <w:t>357</w:t>
            </w:r>
            <w:r>
              <w:rPr>
                <w:noProof/>
                <w:webHidden/>
              </w:rPr>
              <w:fldChar w:fldCharType="end"/>
            </w:r>
          </w:hyperlink>
        </w:p>
        <w:p w14:paraId="79E3F27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72" w:history="1">
            <w:r w:rsidRPr="000D551A">
              <w:rPr>
                <w:rStyle w:val="Lienhypertexte"/>
                <w:noProof/>
              </w:rPr>
              <w:t>41.82.2e Portes d'entrée en aluminium - rénovation - masticage</w:t>
            </w:r>
            <w:r>
              <w:rPr>
                <w:noProof/>
                <w:webHidden/>
              </w:rPr>
              <w:tab/>
            </w:r>
            <w:r>
              <w:rPr>
                <w:noProof/>
                <w:webHidden/>
              </w:rPr>
              <w:fldChar w:fldCharType="begin"/>
            </w:r>
            <w:r>
              <w:rPr>
                <w:noProof/>
                <w:webHidden/>
              </w:rPr>
              <w:instrText xml:space="preserve"> PAGEREF _Toc220490172 \h </w:instrText>
            </w:r>
            <w:r>
              <w:rPr>
                <w:noProof/>
                <w:webHidden/>
              </w:rPr>
            </w:r>
            <w:r>
              <w:rPr>
                <w:noProof/>
                <w:webHidden/>
              </w:rPr>
              <w:fldChar w:fldCharType="separate"/>
            </w:r>
            <w:r>
              <w:rPr>
                <w:noProof/>
                <w:webHidden/>
              </w:rPr>
              <w:t>357</w:t>
            </w:r>
            <w:r>
              <w:rPr>
                <w:noProof/>
                <w:webHidden/>
              </w:rPr>
              <w:fldChar w:fldCharType="end"/>
            </w:r>
          </w:hyperlink>
        </w:p>
        <w:p w14:paraId="38DA7C6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73" w:history="1">
            <w:r w:rsidRPr="000D551A">
              <w:rPr>
                <w:rStyle w:val="Lienhypertexte"/>
                <w:noProof/>
              </w:rPr>
              <w:t>41.82.2f Portes d'entrée en aluminium - rénovation - traitements des profilés</w:t>
            </w:r>
            <w:r>
              <w:rPr>
                <w:noProof/>
                <w:webHidden/>
              </w:rPr>
              <w:tab/>
            </w:r>
            <w:r>
              <w:rPr>
                <w:noProof/>
                <w:webHidden/>
              </w:rPr>
              <w:fldChar w:fldCharType="begin"/>
            </w:r>
            <w:r>
              <w:rPr>
                <w:noProof/>
                <w:webHidden/>
              </w:rPr>
              <w:instrText xml:space="preserve"> PAGEREF _Toc220490173 \h </w:instrText>
            </w:r>
            <w:r>
              <w:rPr>
                <w:noProof/>
                <w:webHidden/>
              </w:rPr>
            </w:r>
            <w:r>
              <w:rPr>
                <w:noProof/>
                <w:webHidden/>
              </w:rPr>
              <w:fldChar w:fldCharType="separate"/>
            </w:r>
            <w:r>
              <w:rPr>
                <w:noProof/>
                <w:webHidden/>
              </w:rPr>
              <w:t>357</w:t>
            </w:r>
            <w:r>
              <w:rPr>
                <w:noProof/>
                <w:webHidden/>
              </w:rPr>
              <w:fldChar w:fldCharType="end"/>
            </w:r>
          </w:hyperlink>
        </w:p>
        <w:p w14:paraId="30E350E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74" w:history="1">
            <w:r w:rsidRPr="000D551A">
              <w:rPr>
                <w:rStyle w:val="Lienhypertexte"/>
                <w:noProof/>
              </w:rPr>
              <w:t>41.82.2g Portes d'entrée en aluminium - rénovation - déposes et reposes des tablettes intérieures CCTB 01.07</w:t>
            </w:r>
            <w:r>
              <w:rPr>
                <w:noProof/>
                <w:webHidden/>
              </w:rPr>
              <w:tab/>
            </w:r>
            <w:r>
              <w:rPr>
                <w:noProof/>
                <w:webHidden/>
              </w:rPr>
              <w:fldChar w:fldCharType="begin"/>
            </w:r>
            <w:r>
              <w:rPr>
                <w:noProof/>
                <w:webHidden/>
              </w:rPr>
              <w:instrText xml:space="preserve"> PAGEREF _Toc220490174 \h </w:instrText>
            </w:r>
            <w:r>
              <w:rPr>
                <w:noProof/>
                <w:webHidden/>
              </w:rPr>
            </w:r>
            <w:r>
              <w:rPr>
                <w:noProof/>
                <w:webHidden/>
              </w:rPr>
              <w:fldChar w:fldCharType="separate"/>
            </w:r>
            <w:r>
              <w:rPr>
                <w:noProof/>
                <w:webHidden/>
              </w:rPr>
              <w:t>357</w:t>
            </w:r>
            <w:r>
              <w:rPr>
                <w:noProof/>
                <w:webHidden/>
              </w:rPr>
              <w:fldChar w:fldCharType="end"/>
            </w:r>
          </w:hyperlink>
        </w:p>
        <w:p w14:paraId="1BA3DE2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75" w:history="1">
            <w:r w:rsidRPr="000D551A">
              <w:rPr>
                <w:rStyle w:val="Lienhypertexte"/>
                <w:noProof/>
              </w:rPr>
              <w:t>41.82.2h Portes d'entrée en aluminium - rénovation - amélioration de l'étanchéité</w:t>
            </w:r>
            <w:r>
              <w:rPr>
                <w:noProof/>
                <w:webHidden/>
              </w:rPr>
              <w:tab/>
            </w:r>
            <w:r>
              <w:rPr>
                <w:noProof/>
                <w:webHidden/>
              </w:rPr>
              <w:fldChar w:fldCharType="begin"/>
            </w:r>
            <w:r>
              <w:rPr>
                <w:noProof/>
                <w:webHidden/>
              </w:rPr>
              <w:instrText xml:space="preserve"> PAGEREF _Toc220490175 \h </w:instrText>
            </w:r>
            <w:r>
              <w:rPr>
                <w:noProof/>
                <w:webHidden/>
              </w:rPr>
            </w:r>
            <w:r>
              <w:rPr>
                <w:noProof/>
                <w:webHidden/>
              </w:rPr>
              <w:fldChar w:fldCharType="separate"/>
            </w:r>
            <w:r>
              <w:rPr>
                <w:noProof/>
                <w:webHidden/>
              </w:rPr>
              <w:t>357</w:t>
            </w:r>
            <w:r>
              <w:rPr>
                <w:noProof/>
                <w:webHidden/>
              </w:rPr>
              <w:fldChar w:fldCharType="end"/>
            </w:r>
          </w:hyperlink>
        </w:p>
        <w:p w14:paraId="788E3A0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76" w:history="1">
            <w:r w:rsidRPr="000D551A">
              <w:rPr>
                <w:rStyle w:val="Lienhypertexte"/>
                <w:noProof/>
              </w:rPr>
              <w:t>41.82.2i Portes d'entrée en aluminium - rénovation - survitrages</w:t>
            </w:r>
            <w:r>
              <w:rPr>
                <w:noProof/>
                <w:webHidden/>
              </w:rPr>
              <w:tab/>
            </w:r>
            <w:r>
              <w:rPr>
                <w:noProof/>
                <w:webHidden/>
              </w:rPr>
              <w:fldChar w:fldCharType="begin"/>
            </w:r>
            <w:r>
              <w:rPr>
                <w:noProof/>
                <w:webHidden/>
              </w:rPr>
              <w:instrText xml:space="preserve"> PAGEREF _Toc220490176 \h </w:instrText>
            </w:r>
            <w:r>
              <w:rPr>
                <w:noProof/>
                <w:webHidden/>
              </w:rPr>
            </w:r>
            <w:r>
              <w:rPr>
                <w:noProof/>
                <w:webHidden/>
              </w:rPr>
              <w:fldChar w:fldCharType="separate"/>
            </w:r>
            <w:r>
              <w:rPr>
                <w:noProof/>
                <w:webHidden/>
              </w:rPr>
              <w:t>357</w:t>
            </w:r>
            <w:r>
              <w:rPr>
                <w:noProof/>
                <w:webHidden/>
              </w:rPr>
              <w:fldChar w:fldCharType="end"/>
            </w:r>
          </w:hyperlink>
        </w:p>
        <w:p w14:paraId="03554A2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177" w:history="1">
            <w:r w:rsidRPr="000D551A">
              <w:rPr>
                <w:rStyle w:val="Lienhypertexte"/>
                <w:noProof/>
              </w:rPr>
              <w:t>41.82.3 Portes d'entrée en acier - rénovation</w:t>
            </w:r>
            <w:r>
              <w:rPr>
                <w:noProof/>
                <w:webHidden/>
              </w:rPr>
              <w:tab/>
            </w:r>
            <w:r>
              <w:rPr>
                <w:noProof/>
                <w:webHidden/>
              </w:rPr>
              <w:fldChar w:fldCharType="begin"/>
            </w:r>
            <w:r>
              <w:rPr>
                <w:noProof/>
                <w:webHidden/>
              </w:rPr>
              <w:instrText xml:space="preserve"> PAGEREF _Toc220490177 \h </w:instrText>
            </w:r>
            <w:r>
              <w:rPr>
                <w:noProof/>
                <w:webHidden/>
              </w:rPr>
            </w:r>
            <w:r>
              <w:rPr>
                <w:noProof/>
                <w:webHidden/>
              </w:rPr>
              <w:fldChar w:fldCharType="separate"/>
            </w:r>
            <w:r>
              <w:rPr>
                <w:noProof/>
                <w:webHidden/>
              </w:rPr>
              <w:t>357</w:t>
            </w:r>
            <w:r>
              <w:rPr>
                <w:noProof/>
                <w:webHidden/>
              </w:rPr>
              <w:fldChar w:fldCharType="end"/>
            </w:r>
          </w:hyperlink>
        </w:p>
        <w:p w14:paraId="7A09AC5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78" w:history="1">
            <w:r w:rsidRPr="000D551A">
              <w:rPr>
                <w:rStyle w:val="Lienhypertexte"/>
                <w:noProof/>
              </w:rPr>
              <w:t>41.82.3a Portes d'entrée en acier - rénovation - remplacement de profilés en acier</w:t>
            </w:r>
            <w:r>
              <w:rPr>
                <w:noProof/>
                <w:webHidden/>
              </w:rPr>
              <w:tab/>
            </w:r>
            <w:r>
              <w:rPr>
                <w:noProof/>
                <w:webHidden/>
              </w:rPr>
              <w:fldChar w:fldCharType="begin"/>
            </w:r>
            <w:r>
              <w:rPr>
                <w:noProof/>
                <w:webHidden/>
              </w:rPr>
              <w:instrText xml:space="preserve"> PAGEREF _Toc220490178 \h </w:instrText>
            </w:r>
            <w:r>
              <w:rPr>
                <w:noProof/>
                <w:webHidden/>
              </w:rPr>
            </w:r>
            <w:r>
              <w:rPr>
                <w:noProof/>
                <w:webHidden/>
              </w:rPr>
              <w:fldChar w:fldCharType="separate"/>
            </w:r>
            <w:r>
              <w:rPr>
                <w:noProof/>
                <w:webHidden/>
              </w:rPr>
              <w:t>357</w:t>
            </w:r>
            <w:r>
              <w:rPr>
                <w:noProof/>
                <w:webHidden/>
              </w:rPr>
              <w:fldChar w:fldCharType="end"/>
            </w:r>
          </w:hyperlink>
        </w:p>
        <w:p w14:paraId="6024F24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79" w:history="1">
            <w:r w:rsidRPr="000D551A">
              <w:rPr>
                <w:rStyle w:val="Lienhypertexte"/>
                <w:noProof/>
              </w:rPr>
              <w:t>41.82.3b Portes d'entrée en acier - rénovation - réparation de profilés en acier</w:t>
            </w:r>
            <w:r>
              <w:rPr>
                <w:noProof/>
                <w:webHidden/>
              </w:rPr>
              <w:tab/>
            </w:r>
            <w:r>
              <w:rPr>
                <w:noProof/>
                <w:webHidden/>
              </w:rPr>
              <w:fldChar w:fldCharType="begin"/>
            </w:r>
            <w:r>
              <w:rPr>
                <w:noProof/>
                <w:webHidden/>
              </w:rPr>
              <w:instrText xml:space="preserve"> PAGEREF _Toc220490179 \h </w:instrText>
            </w:r>
            <w:r>
              <w:rPr>
                <w:noProof/>
                <w:webHidden/>
              </w:rPr>
            </w:r>
            <w:r>
              <w:rPr>
                <w:noProof/>
                <w:webHidden/>
              </w:rPr>
              <w:fldChar w:fldCharType="separate"/>
            </w:r>
            <w:r>
              <w:rPr>
                <w:noProof/>
                <w:webHidden/>
              </w:rPr>
              <w:t>357</w:t>
            </w:r>
            <w:r>
              <w:rPr>
                <w:noProof/>
                <w:webHidden/>
              </w:rPr>
              <w:fldChar w:fldCharType="end"/>
            </w:r>
          </w:hyperlink>
        </w:p>
        <w:p w14:paraId="046F5D9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80" w:history="1">
            <w:r w:rsidRPr="000D551A">
              <w:rPr>
                <w:rStyle w:val="Lienhypertexte"/>
                <w:noProof/>
              </w:rPr>
              <w:t>41.82.3c Portes d'entrée en acier - rénovation - révision des quincailleries</w:t>
            </w:r>
            <w:r>
              <w:rPr>
                <w:noProof/>
                <w:webHidden/>
              </w:rPr>
              <w:tab/>
            </w:r>
            <w:r>
              <w:rPr>
                <w:noProof/>
                <w:webHidden/>
              </w:rPr>
              <w:fldChar w:fldCharType="begin"/>
            </w:r>
            <w:r>
              <w:rPr>
                <w:noProof/>
                <w:webHidden/>
              </w:rPr>
              <w:instrText xml:space="preserve"> PAGEREF _Toc220490180 \h </w:instrText>
            </w:r>
            <w:r>
              <w:rPr>
                <w:noProof/>
                <w:webHidden/>
              </w:rPr>
            </w:r>
            <w:r>
              <w:rPr>
                <w:noProof/>
                <w:webHidden/>
              </w:rPr>
              <w:fldChar w:fldCharType="separate"/>
            </w:r>
            <w:r>
              <w:rPr>
                <w:noProof/>
                <w:webHidden/>
              </w:rPr>
              <w:t>357</w:t>
            </w:r>
            <w:r>
              <w:rPr>
                <w:noProof/>
                <w:webHidden/>
              </w:rPr>
              <w:fldChar w:fldCharType="end"/>
            </w:r>
          </w:hyperlink>
        </w:p>
        <w:p w14:paraId="3F6654D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81" w:history="1">
            <w:r w:rsidRPr="000D551A">
              <w:rPr>
                <w:rStyle w:val="Lienhypertexte"/>
                <w:noProof/>
              </w:rPr>
              <w:t>41.82.3d Portes d'entrée en acier - rénovation - restitution des quincailleries à l'identique</w:t>
            </w:r>
            <w:r>
              <w:rPr>
                <w:noProof/>
                <w:webHidden/>
              </w:rPr>
              <w:tab/>
            </w:r>
            <w:r>
              <w:rPr>
                <w:noProof/>
                <w:webHidden/>
              </w:rPr>
              <w:fldChar w:fldCharType="begin"/>
            </w:r>
            <w:r>
              <w:rPr>
                <w:noProof/>
                <w:webHidden/>
              </w:rPr>
              <w:instrText xml:space="preserve"> PAGEREF _Toc220490181 \h </w:instrText>
            </w:r>
            <w:r>
              <w:rPr>
                <w:noProof/>
                <w:webHidden/>
              </w:rPr>
            </w:r>
            <w:r>
              <w:rPr>
                <w:noProof/>
                <w:webHidden/>
              </w:rPr>
              <w:fldChar w:fldCharType="separate"/>
            </w:r>
            <w:r>
              <w:rPr>
                <w:noProof/>
                <w:webHidden/>
              </w:rPr>
              <w:t>357</w:t>
            </w:r>
            <w:r>
              <w:rPr>
                <w:noProof/>
                <w:webHidden/>
              </w:rPr>
              <w:fldChar w:fldCharType="end"/>
            </w:r>
          </w:hyperlink>
        </w:p>
        <w:p w14:paraId="53D217B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82" w:history="1">
            <w:r w:rsidRPr="000D551A">
              <w:rPr>
                <w:rStyle w:val="Lienhypertexte"/>
                <w:noProof/>
              </w:rPr>
              <w:t>41.82.3e Portes d'entrée en acier - rénovation - masticage</w:t>
            </w:r>
            <w:r>
              <w:rPr>
                <w:noProof/>
                <w:webHidden/>
              </w:rPr>
              <w:tab/>
            </w:r>
            <w:r>
              <w:rPr>
                <w:noProof/>
                <w:webHidden/>
              </w:rPr>
              <w:fldChar w:fldCharType="begin"/>
            </w:r>
            <w:r>
              <w:rPr>
                <w:noProof/>
                <w:webHidden/>
              </w:rPr>
              <w:instrText xml:space="preserve"> PAGEREF _Toc220490182 \h </w:instrText>
            </w:r>
            <w:r>
              <w:rPr>
                <w:noProof/>
                <w:webHidden/>
              </w:rPr>
            </w:r>
            <w:r>
              <w:rPr>
                <w:noProof/>
                <w:webHidden/>
              </w:rPr>
              <w:fldChar w:fldCharType="separate"/>
            </w:r>
            <w:r>
              <w:rPr>
                <w:noProof/>
                <w:webHidden/>
              </w:rPr>
              <w:t>357</w:t>
            </w:r>
            <w:r>
              <w:rPr>
                <w:noProof/>
                <w:webHidden/>
              </w:rPr>
              <w:fldChar w:fldCharType="end"/>
            </w:r>
          </w:hyperlink>
        </w:p>
        <w:p w14:paraId="3DE4D69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83" w:history="1">
            <w:r w:rsidRPr="000D551A">
              <w:rPr>
                <w:rStyle w:val="Lienhypertexte"/>
                <w:noProof/>
              </w:rPr>
              <w:t>41.82.3f Portes d'entrée en acier - rénovation - traitements des profilés</w:t>
            </w:r>
            <w:r>
              <w:rPr>
                <w:noProof/>
                <w:webHidden/>
              </w:rPr>
              <w:tab/>
            </w:r>
            <w:r>
              <w:rPr>
                <w:noProof/>
                <w:webHidden/>
              </w:rPr>
              <w:fldChar w:fldCharType="begin"/>
            </w:r>
            <w:r>
              <w:rPr>
                <w:noProof/>
                <w:webHidden/>
              </w:rPr>
              <w:instrText xml:space="preserve"> PAGEREF _Toc220490183 \h </w:instrText>
            </w:r>
            <w:r>
              <w:rPr>
                <w:noProof/>
                <w:webHidden/>
              </w:rPr>
            </w:r>
            <w:r>
              <w:rPr>
                <w:noProof/>
                <w:webHidden/>
              </w:rPr>
              <w:fldChar w:fldCharType="separate"/>
            </w:r>
            <w:r>
              <w:rPr>
                <w:noProof/>
                <w:webHidden/>
              </w:rPr>
              <w:t>357</w:t>
            </w:r>
            <w:r>
              <w:rPr>
                <w:noProof/>
                <w:webHidden/>
              </w:rPr>
              <w:fldChar w:fldCharType="end"/>
            </w:r>
          </w:hyperlink>
        </w:p>
        <w:p w14:paraId="0F095C8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84" w:history="1">
            <w:r w:rsidRPr="000D551A">
              <w:rPr>
                <w:rStyle w:val="Lienhypertexte"/>
                <w:noProof/>
              </w:rPr>
              <w:t>41.82.3g Portes d'entrée en acier - rénovation - déposes et reposes des tablettes intérieures CCTB 01.07</w:t>
            </w:r>
            <w:r>
              <w:rPr>
                <w:noProof/>
                <w:webHidden/>
              </w:rPr>
              <w:tab/>
            </w:r>
            <w:r>
              <w:rPr>
                <w:noProof/>
                <w:webHidden/>
              </w:rPr>
              <w:fldChar w:fldCharType="begin"/>
            </w:r>
            <w:r>
              <w:rPr>
                <w:noProof/>
                <w:webHidden/>
              </w:rPr>
              <w:instrText xml:space="preserve"> PAGEREF _Toc220490184 \h </w:instrText>
            </w:r>
            <w:r>
              <w:rPr>
                <w:noProof/>
                <w:webHidden/>
              </w:rPr>
            </w:r>
            <w:r>
              <w:rPr>
                <w:noProof/>
                <w:webHidden/>
              </w:rPr>
              <w:fldChar w:fldCharType="separate"/>
            </w:r>
            <w:r>
              <w:rPr>
                <w:noProof/>
                <w:webHidden/>
              </w:rPr>
              <w:t>357</w:t>
            </w:r>
            <w:r>
              <w:rPr>
                <w:noProof/>
                <w:webHidden/>
              </w:rPr>
              <w:fldChar w:fldCharType="end"/>
            </w:r>
          </w:hyperlink>
        </w:p>
        <w:p w14:paraId="752ED88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85" w:history="1">
            <w:r w:rsidRPr="000D551A">
              <w:rPr>
                <w:rStyle w:val="Lienhypertexte"/>
                <w:noProof/>
              </w:rPr>
              <w:t>41.82.3h Portes d'entrée en acier - rénovation - amélioration de l'étanchéité</w:t>
            </w:r>
            <w:r>
              <w:rPr>
                <w:noProof/>
                <w:webHidden/>
              </w:rPr>
              <w:tab/>
            </w:r>
            <w:r>
              <w:rPr>
                <w:noProof/>
                <w:webHidden/>
              </w:rPr>
              <w:fldChar w:fldCharType="begin"/>
            </w:r>
            <w:r>
              <w:rPr>
                <w:noProof/>
                <w:webHidden/>
              </w:rPr>
              <w:instrText xml:space="preserve"> PAGEREF _Toc220490185 \h </w:instrText>
            </w:r>
            <w:r>
              <w:rPr>
                <w:noProof/>
                <w:webHidden/>
              </w:rPr>
            </w:r>
            <w:r>
              <w:rPr>
                <w:noProof/>
                <w:webHidden/>
              </w:rPr>
              <w:fldChar w:fldCharType="separate"/>
            </w:r>
            <w:r>
              <w:rPr>
                <w:noProof/>
                <w:webHidden/>
              </w:rPr>
              <w:t>357</w:t>
            </w:r>
            <w:r>
              <w:rPr>
                <w:noProof/>
                <w:webHidden/>
              </w:rPr>
              <w:fldChar w:fldCharType="end"/>
            </w:r>
          </w:hyperlink>
        </w:p>
        <w:p w14:paraId="2135325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86" w:history="1">
            <w:r w:rsidRPr="000D551A">
              <w:rPr>
                <w:rStyle w:val="Lienhypertexte"/>
                <w:noProof/>
              </w:rPr>
              <w:t>41.82.3i Portes d'entrée en acier - rénovation - survitrages</w:t>
            </w:r>
            <w:r>
              <w:rPr>
                <w:noProof/>
                <w:webHidden/>
              </w:rPr>
              <w:tab/>
            </w:r>
            <w:r>
              <w:rPr>
                <w:noProof/>
                <w:webHidden/>
              </w:rPr>
              <w:fldChar w:fldCharType="begin"/>
            </w:r>
            <w:r>
              <w:rPr>
                <w:noProof/>
                <w:webHidden/>
              </w:rPr>
              <w:instrText xml:space="preserve"> PAGEREF _Toc220490186 \h </w:instrText>
            </w:r>
            <w:r>
              <w:rPr>
                <w:noProof/>
                <w:webHidden/>
              </w:rPr>
            </w:r>
            <w:r>
              <w:rPr>
                <w:noProof/>
                <w:webHidden/>
              </w:rPr>
              <w:fldChar w:fldCharType="separate"/>
            </w:r>
            <w:r>
              <w:rPr>
                <w:noProof/>
                <w:webHidden/>
              </w:rPr>
              <w:t>357</w:t>
            </w:r>
            <w:r>
              <w:rPr>
                <w:noProof/>
                <w:webHidden/>
              </w:rPr>
              <w:fldChar w:fldCharType="end"/>
            </w:r>
          </w:hyperlink>
        </w:p>
        <w:p w14:paraId="10DA281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187" w:history="1">
            <w:r w:rsidRPr="000D551A">
              <w:rPr>
                <w:rStyle w:val="Lienhypertexte"/>
                <w:noProof/>
              </w:rPr>
              <w:t>41.82.4 Portes d'entrée en PVC - rénovation</w:t>
            </w:r>
            <w:r>
              <w:rPr>
                <w:noProof/>
                <w:webHidden/>
              </w:rPr>
              <w:tab/>
            </w:r>
            <w:r>
              <w:rPr>
                <w:noProof/>
                <w:webHidden/>
              </w:rPr>
              <w:fldChar w:fldCharType="begin"/>
            </w:r>
            <w:r>
              <w:rPr>
                <w:noProof/>
                <w:webHidden/>
              </w:rPr>
              <w:instrText xml:space="preserve"> PAGEREF _Toc220490187 \h </w:instrText>
            </w:r>
            <w:r>
              <w:rPr>
                <w:noProof/>
                <w:webHidden/>
              </w:rPr>
            </w:r>
            <w:r>
              <w:rPr>
                <w:noProof/>
                <w:webHidden/>
              </w:rPr>
              <w:fldChar w:fldCharType="separate"/>
            </w:r>
            <w:r>
              <w:rPr>
                <w:noProof/>
                <w:webHidden/>
              </w:rPr>
              <w:t>357</w:t>
            </w:r>
            <w:r>
              <w:rPr>
                <w:noProof/>
                <w:webHidden/>
              </w:rPr>
              <w:fldChar w:fldCharType="end"/>
            </w:r>
          </w:hyperlink>
        </w:p>
        <w:p w14:paraId="1C40384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88" w:history="1">
            <w:r w:rsidRPr="000D551A">
              <w:rPr>
                <w:rStyle w:val="Lienhypertexte"/>
                <w:noProof/>
              </w:rPr>
              <w:t>41.82.4a Portes d'entrée en PVC - rénovation</w:t>
            </w:r>
            <w:r>
              <w:rPr>
                <w:noProof/>
                <w:webHidden/>
              </w:rPr>
              <w:tab/>
            </w:r>
            <w:r>
              <w:rPr>
                <w:noProof/>
                <w:webHidden/>
              </w:rPr>
              <w:fldChar w:fldCharType="begin"/>
            </w:r>
            <w:r>
              <w:rPr>
                <w:noProof/>
                <w:webHidden/>
              </w:rPr>
              <w:instrText xml:space="preserve"> PAGEREF _Toc220490188 \h </w:instrText>
            </w:r>
            <w:r>
              <w:rPr>
                <w:noProof/>
                <w:webHidden/>
              </w:rPr>
            </w:r>
            <w:r>
              <w:rPr>
                <w:noProof/>
                <w:webHidden/>
              </w:rPr>
              <w:fldChar w:fldCharType="separate"/>
            </w:r>
            <w:r>
              <w:rPr>
                <w:noProof/>
                <w:webHidden/>
              </w:rPr>
              <w:t>357</w:t>
            </w:r>
            <w:r>
              <w:rPr>
                <w:noProof/>
                <w:webHidden/>
              </w:rPr>
              <w:fldChar w:fldCharType="end"/>
            </w:r>
          </w:hyperlink>
        </w:p>
        <w:p w14:paraId="66BB80F6"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189" w:history="1">
            <w:r w:rsidRPr="000D551A">
              <w:rPr>
                <w:rStyle w:val="Lienhypertexte"/>
                <w:noProof/>
              </w:rPr>
              <w:t>41.83 Volets extérieurs (contrevents) et intérieurs / persiennes - manuels ou motorisés - rénovation</w:t>
            </w:r>
            <w:r>
              <w:rPr>
                <w:noProof/>
                <w:webHidden/>
              </w:rPr>
              <w:tab/>
            </w:r>
            <w:r>
              <w:rPr>
                <w:noProof/>
                <w:webHidden/>
              </w:rPr>
              <w:fldChar w:fldCharType="begin"/>
            </w:r>
            <w:r>
              <w:rPr>
                <w:noProof/>
                <w:webHidden/>
              </w:rPr>
              <w:instrText xml:space="preserve"> PAGEREF _Toc220490189 \h </w:instrText>
            </w:r>
            <w:r>
              <w:rPr>
                <w:noProof/>
                <w:webHidden/>
              </w:rPr>
            </w:r>
            <w:r>
              <w:rPr>
                <w:noProof/>
                <w:webHidden/>
              </w:rPr>
              <w:fldChar w:fldCharType="separate"/>
            </w:r>
            <w:r>
              <w:rPr>
                <w:noProof/>
                <w:webHidden/>
              </w:rPr>
              <w:t>357</w:t>
            </w:r>
            <w:r>
              <w:rPr>
                <w:noProof/>
                <w:webHidden/>
              </w:rPr>
              <w:fldChar w:fldCharType="end"/>
            </w:r>
          </w:hyperlink>
        </w:p>
        <w:p w14:paraId="424F4BA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190" w:history="1">
            <w:r w:rsidRPr="000D551A">
              <w:rPr>
                <w:rStyle w:val="Lienhypertexte"/>
                <w:noProof/>
              </w:rPr>
              <w:t>41.83.1 Volets extérieurs (contrevents) - rénovation</w:t>
            </w:r>
            <w:r>
              <w:rPr>
                <w:noProof/>
                <w:webHidden/>
              </w:rPr>
              <w:tab/>
            </w:r>
            <w:r>
              <w:rPr>
                <w:noProof/>
                <w:webHidden/>
              </w:rPr>
              <w:fldChar w:fldCharType="begin"/>
            </w:r>
            <w:r>
              <w:rPr>
                <w:noProof/>
                <w:webHidden/>
              </w:rPr>
              <w:instrText xml:space="preserve"> PAGEREF _Toc220490190 \h </w:instrText>
            </w:r>
            <w:r>
              <w:rPr>
                <w:noProof/>
                <w:webHidden/>
              </w:rPr>
            </w:r>
            <w:r>
              <w:rPr>
                <w:noProof/>
                <w:webHidden/>
              </w:rPr>
              <w:fldChar w:fldCharType="separate"/>
            </w:r>
            <w:r>
              <w:rPr>
                <w:noProof/>
                <w:webHidden/>
              </w:rPr>
              <w:t>357</w:t>
            </w:r>
            <w:r>
              <w:rPr>
                <w:noProof/>
                <w:webHidden/>
              </w:rPr>
              <w:fldChar w:fldCharType="end"/>
            </w:r>
          </w:hyperlink>
        </w:p>
        <w:p w14:paraId="77167A9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91" w:history="1">
            <w:r w:rsidRPr="000D551A">
              <w:rPr>
                <w:rStyle w:val="Lienhypertexte"/>
                <w:noProof/>
              </w:rPr>
              <w:t>41.83.1a Volets roulants extérieurs (contrevents) encastrés - rénovation</w:t>
            </w:r>
            <w:r>
              <w:rPr>
                <w:noProof/>
                <w:webHidden/>
              </w:rPr>
              <w:tab/>
            </w:r>
            <w:r>
              <w:rPr>
                <w:noProof/>
                <w:webHidden/>
              </w:rPr>
              <w:fldChar w:fldCharType="begin"/>
            </w:r>
            <w:r>
              <w:rPr>
                <w:noProof/>
                <w:webHidden/>
              </w:rPr>
              <w:instrText xml:space="preserve"> PAGEREF _Toc220490191 \h </w:instrText>
            </w:r>
            <w:r>
              <w:rPr>
                <w:noProof/>
                <w:webHidden/>
              </w:rPr>
            </w:r>
            <w:r>
              <w:rPr>
                <w:noProof/>
                <w:webHidden/>
              </w:rPr>
              <w:fldChar w:fldCharType="separate"/>
            </w:r>
            <w:r>
              <w:rPr>
                <w:noProof/>
                <w:webHidden/>
              </w:rPr>
              <w:t>357</w:t>
            </w:r>
            <w:r>
              <w:rPr>
                <w:noProof/>
                <w:webHidden/>
              </w:rPr>
              <w:fldChar w:fldCharType="end"/>
            </w:r>
          </w:hyperlink>
        </w:p>
        <w:p w14:paraId="346AF2A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92" w:history="1">
            <w:r w:rsidRPr="000D551A">
              <w:rPr>
                <w:rStyle w:val="Lienhypertexte"/>
                <w:noProof/>
              </w:rPr>
              <w:t>41.83.1b Volets roulants extérieurs (contrevents) appliqués - rénovation</w:t>
            </w:r>
            <w:r>
              <w:rPr>
                <w:noProof/>
                <w:webHidden/>
              </w:rPr>
              <w:tab/>
            </w:r>
            <w:r>
              <w:rPr>
                <w:noProof/>
                <w:webHidden/>
              </w:rPr>
              <w:fldChar w:fldCharType="begin"/>
            </w:r>
            <w:r>
              <w:rPr>
                <w:noProof/>
                <w:webHidden/>
              </w:rPr>
              <w:instrText xml:space="preserve"> PAGEREF _Toc220490192 \h </w:instrText>
            </w:r>
            <w:r>
              <w:rPr>
                <w:noProof/>
                <w:webHidden/>
              </w:rPr>
            </w:r>
            <w:r>
              <w:rPr>
                <w:noProof/>
                <w:webHidden/>
              </w:rPr>
              <w:fldChar w:fldCharType="separate"/>
            </w:r>
            <w:r>
              <w:rPr>
                <w:noProof/>
                <w:webHidden/>
              </w:rPr>
              <w:t>358</w:t>
            </w:r>
            <w:r>
              <w:rPr>
                <w:noProof/>
                <w:webHidden/>
              </w:rPr>
              <w:fldChar w:fldCharType="end"/>
            </w:r>
          </w:hyperlink>
        </w:p>
        <w:p w14:paraId="05EB3F2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93" w:history="1">
            <w:r w:rsidRPr="000D551A">
              <w:rPr>
                <w:rStyle w:val="Lienhypertexte"/>
                <w:noProof/>
              </w:rPr>
              <w:t>41.83.1c Volets roulants extérieurs (contrevents) projetants - rénovation</w:t>
            </w:r>
            <w:r>
              <w:rPr>
                <w:noProof/>
                <w:webHidden/>
              </w:rPr>
              <w:tab/>
            </w:r>
            <w:r>
              <w:rPr>
                <w:noProof/>
                <w:webHidden/>
              </w:rPr>
              <w:fldChar w:fldCharType="begin"/>
            </w:r>
            <w:r>
              <w:rPr>
                <w:noProof/>
                <w:webHidden/>
              </w:rPr>
              <w:instrText xml:space="preserve"> PAGEREF _Toc220490193 \h </w:instrText>
            </w:r>
            <w:r>
              <w:rPr>
                <w:noProof/>
                <w:webHidden/>
              </w:rPr>
            </w:r>
            <w:r>
              <w:rPr>
                <w:noProof/>
                <w:webHidden/>
              </w:rPr>
              <w:fldChar w:fldCharType="separate"/>
            </w:r>
            <w:r>
              <w:rPr>
                <w:noProof/>
                <w:webHidden/>
              </w:rPr>
              <w:t>358</w:t>
            </w:r>
            <w:r>
              <w:rPr>
                <w:noProof/>
                <w:webHidden/>
              </w:rPr>
              <w:fldChar w:fldCharType="end"/>
            </w:r>
          </w:hyperlink>
        </w:p>
        <w:p w14:paraId="2CE21F7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94" w:history="1">
            <w:r w:rsidRPr="000D551A">
              <w:rPr>
                <w:rStyle w:val="Lienhypertexte"/>
                <w:noProof/>
              </w:rPr>
              <w:t>41.83.1d Volets extérieurs (contrevents) battants - rénovation</w:t>
            </w:r>
            <w:r>
              <w:rPr>
                <w:noProof/>
                <w:webHidden/>
              </w:rPr>
              <w:tab/>
            </w:r>
            <w:r>
              <w:rPr>
                <w:noProof/>
                <w:webHidden/>
              </w:rPr>
              <w:fldChar w:fldCharType="begin"/>
            </w:r>
            <w:r>
              <w:rPr>
                <w:noProof/>
                <w:webHidden/>
              </w:rPr>
              <w:instrText xml:space="preserve"> PAGEREF _Toc220490194 \h </w:instrText>
            </w:r>
            <w:r>
              <w:rPr>
                <w:noProof/>
                <w:webHidden/>
              </w:rPr>
            </w:r>
            <w:r>
              <w:rPr>
                <w:noProof/>
                <w:webHidden/>
              </w:rPr>
              <w:fldChar w:fldCharType="separate"/>
            </w:r>
            <w:r>
              <w:rPr>
                <w:noProof/>
                <w:webHidden/>
              </w:rPr>
              <w:t>358</w:t>
            </w:r>
            <w:r>
              <w:rPr>
                <w:noProof/>
                <w:webHidden/>
              </w:rPr>
              <w:fldChar w:fldCharType="end"/>
            </w:r>
          </w:hyperlink>
        </w:p>
        <w:p w14:paraId="79DD2A4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195" w:history="1">
            <w:r w:rsidRPr="000D551A">
              <w:rPr>
                <w:rStyle w:val="Lienhypertexte"/>
                <w:noProof/>
              </w:rPr>
              <w:t>41.83.2 Volets intérieurs - rénovation</w:t>
            </w:r>
            <w:r>
              <w:rPr>
                <w:noProof/>
                <w:webHidden/>
              </w:rPr>
              <w:tab/>
            </w:r>
            <w:r>
              <w:rPr>
                <w:noProof/>
                <w:webHidden/>
              </w:rPr>
              <w:fldChar w:fldCharType="begin"/>
            </w:r>
            <w:r>
              <w:rPr>
                <w:noProof/>
                <w:webHidden/>
              </w:rPr>
              <w:instrText xml:space="preserve"> PAGEREF _Toc220490195 \h </w:instrText>
            </w:r>
            <w:r>
              <w:rPr>
                <w:noProof/>
                <w:webHidden/>
              </w:rPr>
            </w:r>
            <w:r>
              <w:rPr>
                <w:noProof/>
                <w:webHidden/>
              </w:rPr>
              <w:fldChar w:fldCharType="separate"/>
            </w:r>
            <w:r>
              <w:rPr>
                <w:noProof/>
                <w:webHidden/>
              </w:rPr>
              <w:t>358</w:t>
            </w:r>
            <w:r>
              <w:rPr>
                <w:noProof/>
                <w:webHidden/>
              </w:rPr>
              <w:fldChar w:fldCharType="end"/>
            </w:r>
          </w:hyperlink>
        </w:p>
        <w:p w14:paraId="34AD06F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96" w:history="1">
            <w:r w:rsidRPr="000D551A">
              <w:rPr>
                <w:rStyle w:val="Lienhypertexte"/>
                <w:noProof/>
              </w:rPr>
              <w:t>41.83.2a Volets roulants intérieurs encastrés - rénovation</w:t>
            </w:r>
            <w:r>
              <w:rPr>
                <w:noProof/>
                <w:webHidden/>
              </w:rPr>
              <w:tab/>
            </w:r>
            <w:r>
              <w:rPr>
                <w:noProof/>
                <w:webHidden/>
              </w:rPr>
              <w:fldChar w:fldCharType="begin"/>
            </w:r>
            <w:r>
              <w:rPr>
                <w:noProof/>
                <w:webHidden/>
              </w:rPr>
              <w:instrText xml:space="preserve"> PAGEREF _Toc220490196 \h </w:instrText>
            </w:r>
            <w:r>
              <w:rPr>
                <w:noProof/>
                <w:webHidden/>
              </w:rPr>
            </w:r>
            <w:r>
              <w:rPr>
                <w:noProof/>
                <w:webHidden/>
              </w:rPr>
              <w:fldChar w:fldCharType="separate"/>
            </w:r>
            <w:r>
              <w:rPr>
                <w:noProof/>
                <w:webHidden/>
              </w:rPr>
              <w:t>358</w:t>
            </w:r>
            <w:r>
              <w:rPr>
                <w:noProof/>
                <w:webHidden/>
              </w:rPr>
              <w:fldChar w:fldCharType="end"/>
            </w:r>
          </w:hyperlink>
        </w:p>
        <w:p w14:paraId="6CF2267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97" w:history="1">
            <w:r w:rsidRPr="000D551A">
              <w:rPr>
                <w:rStyle w:val="Lienhypertexte"/>
                <w:noProof/>
              </w:rPr>
              <w:t>41.83.2b Volets roulants intérieurs appliqués - rénovation</w:t>
            </w:r>
            <w:r>
              <w:rPr>
                <w:noProof/>
                <w:webHidden/>
              </w:rPr>
              <w:tab/>
            </w:r>
            <w:r>
              <w:rPr>
                <w:noProof/>
                <w:webHidden/>
              </w:rPr>
              <w:fldChar w:fldCharType="begin"/>
            </w:r>
            <w:r>
              <w:rPr>
                <w:noProof/>
                <w:webHidden/>
              </w:rPr>
              <w:instrText xml:space="preserve"> PAGEREF _Toc220490197 \h </w:instrText>
            </w:r>
            <w:r>
              <w:rPr>
                <w:noProof/>
                <w:webHidden/>
              </w:rPr>
            </w:r>
            <w:r>
              <w:rPr>
                <w:noProof/>
                <w:webHidden/>
              </w:rPr>
              <w:fldChar w:fldCharType="separate"/>
            </w:r>
            <w:r>
              <w:rPr>
                <w:noProof/>
                <w:webHidden/>
              </w:rPr>
              <w:t>358</w:t>
            </w:r>
            <w:r>
              <w:rPr>
                <w:noProof/>
                <w:webHidden/>
              </w:rPr>
              <w:fldChar w:fldCharType="end"/>
            </w:r>
          </w:hyperlink>
        </w:p>
        <w:p w14:paraId="20BBC96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98" w:history="1">
            <w:r w:rsidRPr="000D551A">
              <w:rPr>
                <w:rStyle w:val="Lienhypertexte"/>
                <w:noProof/>
              </w:rPr>
              <w:t>41.83.2c Volets roulants intérieurs projetants - rénovation</w:t>
            </w:r>
            <w:r>
              <w:rPr>
                <w:noProof/>
                <w:webHidden/>
              </w:rPr>
              <w:tab/>
            </w:r>
            <w:r>
              <w:rPr>
                <w:noProof/>
                <w:webHidden/>
              </w:rPr>
              <w:fldChar w:fldCharType="begin"/>
            </w:r>
            <w:r>
              <w:rPr>
                <w:noProof/>
                <w:webHidden/>
              </w:rPr>
              <w:instrText xml:space="preserve"> PAGEREF _Toc220490198 \h </w:instrText>
            </w:r>
            <w:r>
              <w:rPr>
                <w:noProof/>
                <w:webHidden/>
              </w:rPr>
            </w:r>
            <w:r>
              <w:rPr>
                <w:noProof/>
                <w:webHidden/>
              </w:rPr>
              <w:fldChar w:fldCharType="separate"/>
            </w:r>
            <w:r>
              <w:rPr>
                <w:noProof/>
                <w:webHidden/>
              </w:rPr>
              <w:t>358</w:t>
            </w:r>
            <w:r>
              <w:rPr>
                <w:noProof/>
                <w:webHidden/>
              </w:rPr>
              <w:fldChar w:fldCharType="end"/>
            </w:r>
          </w:hyperlink>
        </w:p>
        <w:p w14:paraId="5F294FC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199" w:history="1">
            <w:r w:rsidRPr="000D551A">
              <w:rPr>
                <w:rStyle w:val="Lienhypertexte"/>
                <w:noProof/>
              </w:rPr>
              <w:t>41.83.2d Volets intérieurs battants - rénovation</w:t>
            </w:r>
            <w:r>
              <w:rPr>
                <w:noProof/>
                <w:webHidden/>
              </w:rPr>
              <w:tab/>
            </w:r>
            <w:r>
              <w:rPr>
                <w:noProof/>
                <w:webHidden/>
              </w:rPr>
              <w:fldChar w:fldCharType="begin"/>
            </w:r>
            <w:r>
              <w:rPr>
                <w:noProof/>
                <w:webHidden/>
              </w:rPr>
              <w:instrText xml:space="preserve"> PAGEREF _Toc220490199 \h </w:instrText>
            </w:r>
            <w:r>
              <w:rPr>
                <w:noProof/>
                <w:webHidden/>
              </w:rPr>
            </w:r>
            <w:r>
              <w:rPr>
                <w:noProof/>
                <w:webHidden/>
              </w:rPr>
              <w:fldChar w:fldCharType="separate"/>
            </w:r>
            <w:r>
              <w:rPr>
                <w:noProof/>
                <w:webHidden/>
              </w:rPr>
              <w:t>358</w:t>
            </w:r>
            <w:r>
              <w:rPr>
                <w:noProof/>
                <w:webHidden/>
              </w:rPr>
              <w:fldChar w:fldCharType="end"/>
            </w:r>
          </w:hyperlink>
        </w:p>
        <w:p w14:paraId="4EE742D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00" w:history="1">
            <w:r w:rsidRPr="000D551A">
              <w:rPr>
                <w:rStyle w:val="Lienhypertexte"/>
                <w:noProof/>
              </w:rPr>
              <w:t>41.83.3 Persiennes - rénovation</w:t>
            </w:r>
            <w:r>
              <w:rPr>
                <w:noProof/>
                <w:webHidden/>
              </w:rPr>
              <w:tab/>
            </w:r>
            <w:r>
              <w:rPr>
                <w:noProof/>
                <w:webHidden/>
              </w:rPr>
              <w:fldChar w:fldCharType="begin"/>
            </w:r>
            <w:r>
              <w:rPr>
                <w:noProof/>
                <w:webHidden/>
              </w:rPr>
              <w:instrText xml:space="preserve"> PAGEREF _Toc220490200 \h </w:instrText>
            </w:r>
            <w:r>
              <w:rPr>
                <w:noProof/>
                <w:webHidden/>
              </w:rPr>
            </w:r>
            <w:r>
              <w:rPr>
                <w:noProof/>
                <w:webHidden/>
              </w:rPr>
              <w:fldChar w:fldCharType="separate"/>
            </w:r>
            <w:r>
              <w:rPr>
                <w:noProof/>
                <w:webHidden/>
              </w:rPr>
              <w:t>358</w:t>
            </w:r>
            <w:r>
              <w:rPr>
                <w:noProof/>
                <w:webHidden/>
              </w:rPr>
              <w:fldChar w:fldCharType="end"/>
            </w:r>
          </w:hyperlink>
        </w:p>
        <w:p w14:paraId="18FC040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01" w:history="1">
            <w:r w:rsidRPr="000D551A">
              <w:rPr>
                <w:rStyle w:val="Lienhypertexte"/>
                <w:noProof/>
              </w:rPr>
              <w:t>41.83.3a Persiennes - rénovation</w:t>
            </w:r>
            <w:r>
              <w:rPr>
                <w:noProof/>
                <w:webHidden/>
              </w:rPr>
              <w:tab/>
            </w:r>
            <w:r>
              <w:rPr>
                <w:noProof/>
                <w:webHidden/>
              </w:rPr>
              <w:fldChar w:fldCharType="begin"/>
            </w:r>
            <w:r>
              <w:rPr>
                <w:noProof/>
                <w:webHidden/>
              </w:rPr>
              <w:instrText xml:space="preserve"> PAGEREF _Toc220490201 \h </w:instrText>
            </w:r>
            <w:r>
              <w:rPr>
                <w:noProof/>
                <w:webHidden/>
              </w:rPr>
            </w:r>
            <w:r>
              <w:rPr>
                <w:noProof/>
                <w:webHidden/>
              </w:rPr>
              <w:fldChar w:fldCharType="separate"/>
            </w:r>
            <w:r>
              <w:rPr>
                <w:noProof/>
                <w:webHidden/>
              </w:rPr>
              <w:t>358</w:t>
            </w:r>
            <w:r>
              <w:rPr>
                <w:noProof/>
                <w:webHidden/>
              </w:rPr>
              <w:fldChar w:fldCharType="end"/>
            </w:r>
          </w:hyperlink>
        </w:p>
        <w:p w14:paraId="1732624C"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02" w:history="1">
            <w:r w:rsidRPr="000D551A">
              <w:rPr>
                <w:rStyle w:val="Lienhypertexte"/>
                <w:noProof/>
              </w:rPr>
              <w:t>41.84 Vérandas / verrières - rénovation</w:t>
            </w:r>
            <w:r>
              <w:rPr>
                <w:noProof/>
                <w:webHidden/>
              </w:rPr>
              <w:tab/>
            </w:r>
            <w:r>
              <w:rPr>
                <w:noProof/>
                <w:webHidden/>
              </w:rPr>
              <w:fldChar w:fldCharType="begin"/>
            </w:r>
            <w:r>
              <w:rPr>
                <w:noProof/>
                <w:webHidden/>
              </w:rPr>
              <w:instrText xml:space="preserve"> PAGEREF _Toc220490202 \h </w:instrText>
            </w:r>
            <w:r>
              <w:rPr>
                <w:noProof/>
                <w:webHidden/>
              </w:rPr>
            </w:r>
            <w:r>
              <w:rPr>
                <w:noProof/>
                <w:webHidden/>
              </w:rPr>
              <w:fldChar w:fldCharType="separate"/>
            </w:r>
            <w:r>
              <w:rPr>
                <w:noProof/>
                <w:webHidden/>
              </w:rPr>
              <w:t>358</w:t>
            </w:r>
            <w:r>
              <w:rPr>
                <w:noProof/>
                <w:webHidden/>
              </w:rPr>
              <w:fldChar w:fldCharType="end"/>
            </w:r>
          </w:hyperlink>
        </w:p>
        <w:p w14:paraId="02F1BF7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03" w:history="1">
            <w:r w:rsidRPr="000D551A">
              <w:rPr>
                <w:rStyle w:val="Lienhypertexte"/>
                <w:noProof/>
              </w:rPr>
              <w:t>41.84.1 Vérandas / verrières en bois - rénovation</w:t>
            </w:r>
            <w:r>
              <w:rPr>
                <w:noProof/>
                <w:webHidden/>
              </w:rPr>
              <w:tab/>
            </w:r>
            <w:r>
              <w:rPr>
                <w:noProof/>
                <w:webHidden/>
              </w:rPr>
              <w:fldChar w:fldCharType="begin"/>
            </w:r>
            <w:r>
              <w:rPr>
                <w:noProof/>
                <w:webHidden/>
              </w:rPr>
              <w:instrText xml:space="preserve"> PAGEREF _Toc220490203 \h </w:instrText>
            </w:r>
            <w:r>
              <w:rPr>
                <w:noProof/>
                <w:webHidden/>
              </w:rPr>
            </w:r>
            <w:r>
              <w:rPr>
                <w:noProof/>
                <w:webHidden/>
              </w:rPr>
              <w:fldChar w:fldCharType="separate"/>
            </w:r>
            <w:r>
              <w:rPr>
                <w:noProof/>
                <w:webHidden/>
              </w:rPr>
              <w:t>358</w:t>
            </w:r>
            <w:r>
              <w:rPr>
                <w:noProof/>
                <w:webHidden/>
              </w:rPr>
              <w:fldChar w:fldCharType="end"/>
            </w:r>
          </w:hyperlink>
        </w:p>
        <w:p w14:paraId="0F4B51D6"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04" w:history="1">
            <w:r w:rsidRPr="000D551A">
              <w:rPr>
                <w:rStyle w:val="Lienhypertexte"/>
                <w:noProof/>
              </w:rPr>
              <w:t>41.84.2 Vérandas / verrières en aluminium - rénovation</w:t>
            </w:r>
            <w:r>
              <w:rPr>
                <w:noProof/>
                <w:webHidden/>
              </w:rPr>
              <w:tab/>
            </w:r>
            <w:r>
              <w:rPr>
                <w:noProof/>
                <w:webHidden/>
              </w:rPr>
              <w:fldChar w:fldCharType="begin"/>
            </w:r>
            <w:r>
              <w:rPr>
                <w:noProof/>
                <w:webHidden/>
              </w:rPr>
              <w:instrText xml:space="preserve"> PAGEREF _Toc220490204 \h </w:instrText>
            </w:r>
            <w:r>
              <w:rPr>
                <w:noProof/>
                <w:webHidden/>
              </w:rPr>
            </w:r>
            <w:r>
              <w:rPr>
                <w:noProof/>
                <w:webHidden/>
              </w:rPr>
              <w:fldChar w:fldCharType="separate"/>
            </w:r>
            <w:r>
              <w:rPr>
                <w:noProof/>
                <w:webHidden/>
              </w:rPr>
              <w:t>358</w:t>
            </w:r>
            <w:r>
              <w:rPr>
                <w:noProof/>
                <w:webHidden/>
              </w:rPr>
              <w:fldChar w:fldCharType="end"/>
            </w:r>
          </w:hyperlink>
        </w:p>
        <w:p w14:paraId="578F402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05" w:history="1">
            <w:r w:rsidRPr="000D551A">
              <w:rPr>
                <w:rStyle w:val="Lienhypertexte"/>
                <w:noProof/>
              </w:rPr>
              <w:t>41.84.3 Vérandas / verrières en acier - rénovation</w:t>
            </w:r>
            <w:r>
              <w:rPr>
                <w:noProof/>
                <w:webHidden/>
              </w:rPr>
              <w:tab/>
            </w:r>
            <w:r>
              <w:rPr>
                <w:noProof/>
                <w:webHidden/>
              </w:rPr>
              <w:fldChar w:fldCharType="begin"/>
            </w:r>
            <w:r>
              <w:rPr>
                <w:noProof/>
                <w:webHidden/>
              </w:rPr>
              <w:instrText xml:space="preserve"> PAGEREF _Toc220490205 \h </w:instrText>
            </w:r>
            <w:r>
              <w:rPr>
                <w:noProof/>
                <w:webHidden/>
              </w:rPr>
            </w:r>
            <w:r>
              <w:rPr>
                <w:noProof/>
                <w:webHidden/>
              </w:rPr>
              <w:fldChar w:fldCharType="separate"/>
            </w:r>
            <w:r>
              <w:rPr>
                <w:noProof/>
                <w:webHidden/>
              </w:rPr>
              <w:t>358</w:t>
            </w:r>
            <w:r>
              <w:rPr>
                <w:noProof/>
                <w:webHidden/>
              </w:rPr>
              <w:fldChar w:fldCharType="end"/>
            </w:r>
          </w:hyperlink>
        </w:p>
        <w:p w14:paraId="2D9D1EF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06" w:history="1">
            <w:r w:rsidRPr="000D551A">
              <w:rPr>
                <w:rStyle w:val="Lienhypertexte"/>
                <w:noProof/>
              </w:rPr>
              <w:t>41.84.4 Vérandas / verrières en fonte - rénovation</w:t>
            </w:r>
            <w:r>
              <w:rPr>
                <w:noProof/>
                <w:webHidden/>
              </w:rPr>
              <w:tab/>
            </w:r>
            <w:r>
              <w:rPr>
                <w:noProof/>
                <w:webHidden/>
              </w:rPr>
              <w:fldChar w:fldCharType="begin"/>
            </w:r>
            <w:r>
              <w:rPr>
                <w:noProof/>
                <w:webHidden/>
              </w:rPr>
              <w:instrText xml:space="preserve"> PAGEREF _Toc220490206 \h </w:instrText>
            </w:r>
            <w:r>
              <w:rPr>
                <w:noProof/>
                <w:webHidden/>
              </w:rPr>
            </w:r>
            <w:r>
              <w:rPr>
                <w:noProof/>
                <w:webHidden/>
              </w:rPr>
              <w:fldChar w:fldCharType="separate"/>
            </w:r>
            <w:r>
              <w:rPr>
                <w:noProof/>
                <w:webHidden/>
              </w:rPr>
              <w:t>358</w:t>
            </w:r>
            <w:r>
              <w:rPr>
                <w:noProof/>
                <w:webHidden/>
              </w:rPr>
              <w:fldChar w:fldCharType="end"/>
            </w:r>
          </w:hyperlink>
        </w:p>
        <w:p w14:paraId="7FB9BAC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07" w:history="1">
            <w:r w:rsidRPr="000D551A">
              <w:rPr>
                <w:rStyle w:val="Lienhypertexte"/>
                <w:noProof/>
              </w:rPr>
              <w:t>41.84.5 Vérandas / verrières en fer forgé - rénovation</w:t>
            </w:r>
            <w:r>
              <w:rPr>
                <w:noProof/>
                <w:webHidden/>
              </w:rPr>
              <w:tab/>
            </w:r>
            <w:r>
              <w:rPr>
                <w:noProof/>
                <w:webHidden/>
              </w:rPr>
              <w:fldChar w:fldCharType="begin"/>
            </w:r>
            <w:r>
              <w:rPr>
                <w:noProof/>
                <w:webHidden/>
              </w:rPr>
              <w:instrText xml:space="preserve"> PAGEREF _Toc220490207 \h </w:instrText>
            </w:r>
            <w:r>
              <w:rPr>
                <w:noProof/>
                <w:webHidden/>
              </w:rPr>
            </w:r>
            <w:r>
              <w:rPr>
                <w:noProof/>
                <w:webHidden/>
              </w:rPr>
              <w:fldChar w:fldCharType="separate"/>
            </w:r>
            <w:r>
              <w:rPr>
                <w:noProof/>
                <w:webHidden/>
              </w:rPr>
              <w:t>358</w:t>
            </w:r>
            <w:r>
              <w:rPr>
                <w:noProof/>
                <w:webHidden/>
              </w:rPr>
              <w:fldChar w:fldCharType="end"/>
            </w:r>
          </w:hyperlink>
        </w:p>
        <w:p w14:paraId="134038D8"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08" w:history="1">
            <w:r w:rsidRPr="000D551A">
              <w:rPr>
                <w:rStyle w:val="Lienhypertexte"/>
                <w:noProof/>
              </w:rPr>
              <w:t>41.85 Eléments particuliers et accessoires - rénovation</w:t>
            </w:r>
            <w:r>
              <w:rPr>
                <w:noProof/>
                <w:webHidden/>
              </w:rPr>
              <w:tab/>
            </w:r>
            <w:r>
              <w:rPr>
                <w:noProof/>
                <w:webHidden/>
              </w:rPr>
              <w:fldChar w:fldCharType="begin"/>
            </w:r>
            <w:r>
              <w:rPr>
                <w:noProof/>
                <w:webHidden/>
              </w:rPr>
              <w:instrText xml:space="preserve"> PAGEREF _Toc220490208 \h </w:instrText>
            </w:r>
            <w:r>
              <w:rPr>
                <w:noProof/>
                <w:webHidden/>
              </w:rPr>
            </w:r>
            <w:r>
              <w:rPr>
                <w:noProof/>
                <w:webHidden/>
              </w:rPr>
              <w:fldChar w:fldCharType="separate"/>
            </w:r>
            <w:r>
              <w:rPr>
                <w:noProof/>
                <w:webHidden/>
              </w:rPr>
              <w:t>358</w:t>
            </w:r>
            <w:r>
              <w:rPr>
                <w:noProof/>
                <w:webHidden/>
              </w:rPr>
              <w:fldChar w:fldCharType="end"/>
            </w:r>
          </w:hyperlink>
        </w:p>
        <w:p w14:paraId="21D17F6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09" w:history="1">
            <w:r w:rsidRPr="000D551A">
              <w:rPr>
                <w:rStyle w:val="Lienhypertexte"/>
                <w:noProof/>
              </w:rPr>
              <w:t>41.85.1 Seuils - rénovation</w:t>
            </w:r>
            <w:r>
              <w:rPr>
                <w:noProof/>
                <w:webHidden/>
              </w:rPr>
              <w:tab/>
            </w:r>
            <w:r>
              <w:rPr>
                <w:noProof/>
                <w:webHidden/>
              </w:rPr>
              <w:fldChar w:fldCharType="begin"/>
            </w:r>
            <w:r>
              <w:rPr>
                <w:noProof/>
                <w:webHidden/>
              </w:rPr>
              <w:instrText xml:space="preserve"> PAGEREF _Toc220490209 \h </w:instrText>
            </w:r>
            <w:r>
              <w:rPr>
                <w:noProof/>
                <w:webHidden/>
              </w:rPr>
            </w:r>
            <w:r>
              <w:rPr>
                <w:noProof/>
                <w:webHidden/>
              </w:rPr>
              <w:fldChar w:fldCharType="separate"/>
            </w:r>
            <w:r>
              <w:rPr>
                <w:noProof/>
                <w:webHidden/>
              </w:rPr>
              <w:t>358</w:t>
            </w:r>
            <w:r>
              <w:rPr>
                <w:noProof/>
                <w:webHidden/>
              </w:rPr>
              <w:fldChar w:fldCharType="end"/>
            </w:r>
          </w:hyperlink>
        </w:p>
        <w:p w14:paraId="7D10559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10" w:history="1">
            <w:r w:rsidRPr="000D551A">
              <w:rPr>
                <w:rStyle w:val="Lienhypertexte"/>
                <w:noProof/>
              </w:rPr>
              <w:t>41.85.1a Seuils - rénovation</w:t>
            </w:r>
            <w:r>
              <w:rPr>
                <w:noProof/>
                <w:webHidden/>
              </w:rPr>
              <w:tab/>
            </w:r>
            <w:r>
              <w:rPr>
                <w:noProof/>
                <w:webHidden/>
              </w:rPr>
              <w:fldChar w:fldCharType="begin"/>
            </w:r>
            <w:r>
              <w:rPr>
                <w:noProof/>
                <w:webHidden/>
              </w:rPr>
              <w:instrText xml:space="preserve"> PAGEREF _Toc220490210 \h </w:instrText>
            </w:r>
            <w:r>
              <w:rPr>
                <w:noProof/>
                <w:webHidden/>
              </w:rPr>
            </w:r>
            <w:r>
              <w:rPr>
                <w:noProof/>
                <w:webHidden/>
              </w:rPr>
              <w:fldChar w:fldCharType="separate"/>
            </w:r>
            <w:r>
              <w:rPr>
                <w:noProof/>
                <w:webHidden/>
              </w:rPr>
              <w:t>358</w:t>
            </w:r>
            <w:r>
              <w:rPr>
                <w:noProof/>
                <w:webHidden/>
              </w:rPr>
              <w:fldChar w:fldCharType="end"/>
            </w:r>
          </w:hyperlink>
        </w:p>
        <w:p w14:paraId="76B0B29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11" w:history="1">
            <w:r w:rsidRPr="000D551A">
              <w:rPr>
                <w:rStyle w:val="Lienhypertexte"/>
                <w:noProof/>
              </w:rPr>
              <w:t>41.85.2 Quincailleries - rénovation</w:t>
            </w:r>
            <w:r>
              <w:rPr>
                <w:noProof/>
                <w:webHidden/>
              </w:rPr>
              <w:tab/>
            </w:r>
            <w:r>
              <w:rPr>
                <w:noProof/>
                <w:webHidden/>
              </w:rPr>
              <w:fldChar w:fldCharType="begin"/>
            </w:r>
            <w:r>
              <w:rPr>
                <w:noProof/>
                <w:webHidden/>
              </w:rPr>
              <w:instrText xml:space="preserve"> PAGEREF _Toc220490211 \h </w:instrText>
            </w:r>
            <w:r>
              <w:rPr>
                <w:noProof/>
                <w:webHidden/>
              </w:rPr>
            </w:r>
            <w:r>
              <w:rPr>
                <w:noProof/>
                <w:webHidden/>
              </w:rPr>
              <w:fldChar w:fldCharType="separate"/>
            </w:r>
            <w:r>
              <w:rPr>
                <w:noProof/>
                <w:webHidden/>
              </w:rPr>
              <w:t>358</w:t>
            </w:r>
            <w:r>
              <w:rPr>
                <w:noProof/>
                <w:webHidden/>
              </w:rPr>
              <w:fldChar w:fldCharType="end"/>
            </w:r>
          </w:hyperlink>
        </w:p>
        <w:p w14:paraId="73C0F76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12" w:history="1">
            <w:r w:rsidRPr="000D551A">
              <w:rPr>
                <w:rStyle w:val="Lienhypertexte"/>
                <w:noProof/>
              </w:rPr>
              <w:t>41.85.2a Quincailleries - rénovation - charnières et paumelles</w:t>
            </w:r>
            <w:r>
              <w:rPr>
                <w:noProof/>
                <w:webHidden/>
              </w:rPr>
              <w:tab/>
            </w:r>
            <w:r>
              <w:rPr>
                <w:noProof/>
                <w:webHidden/>
              </w:rPr>
              <w:fldChar w:fldCharType="begin"/>
            </w:r>
            <w:r>
              <w:rPr>
                <w:noProof/>
                <w:webHidden/>
              </w:rPr>
              <w:instrText xml:space="preserve"> PAGEREF _Toc220490212 \h </w:instrText>
            </w:r>
            <w:r>
              <w:rPr>
                <w:noProof/>
                <w:webHidden/>
              </w:rPr>
            </w:r>
            <w:r>
              <w:rPr>
                <w:noProof/>
                <w:webHidden/>
              </w:rPr>
              <w:fldChar w:fldCharType="separate"/>
            </w:r>
            <w:r>
              <w:rPr>
                <w:noProof/>
                <w:webHidden/>
              </w:rPr>
              <w:t>358</w:t>
            </w:r>
            <w:r>
              <w:rPr>
                <w:noProof/>
                <w:webHidden/>
              </w:rPr>
              <w:fldChar w:fldCharType="end"/>
            </w:r>
          </w:hyperlink>
        </w:p>
        <w:p w14:paraId="4CDFA6B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13" w:history="1">
            <w:r w:rsidRPr="000D551A">
              <w:rPr>
                <w:rStyle w:val="Lienhypertexte"/>
                <w:noProof/>
              </w:rPr>
              <w:t>41.85.2b Quincailleries - rénovation - serrures</w:t>
            </w:r>
            <w:r>
              <w:rPr>
                <w:noProof/>
                <w:webHidden/>
              </w:rPr>
              <w:tab/>
            </w:r>
            <w:r>
              <w:rPr>
                <w:noProof/>
                <w:webHidden/>
              </w:rPr>
              <w:fldChar w:fldCharType="begin"/>
            </w:r>
            <w:r>
              <w:rPr>
                <w:noProof/>
                <w:webHidden/>
              </w:rPr>
              <w:instrText xml:space="preserve"> PAGEREF _Toc220490213 \h </w:instrText>
            </w:r>
            <w:r>
              <w:rPr>
                <w:noProof/>
                <w:webHidden/>
              </w:rPr>
            </w:r>
            <w:r>
              <w:rPr>
                <w:noProof/>
                <w:webHidden/>
              </w:rPr>
              <w:fldChar w:fldCharType="separate"/>
            </w:r>
            <w:r>
              <w:rPr>
                <w:noProof/>
                <w:webHidden/>
              </w:rPr>
              <w:t>358</w:t>
            </w:r>
            <w:r>
              <w:rPr>
                <w:noProof/>
                <w:webHidden/>
              </w:rPr>
              <w:fldChar w:fldCharType="end"/>
            </w:r>
          </w:hyperlink>
        </w:p>
        <w:p w14:paraId="3B0CCB1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14" w:history="1">
            <w:r w:rsidRPr="000D551A">
              <w:rPr>
                <w:rStyle w:val="Lienhypertexte"/>
                <w:noProof/>
              </w:rPr>
              <w:t>41.85.2c Quincailleries - rénovation - poignées</w:t>
            </w:r>
            <w:r>
              <w:rPr>
                <w:noProof/>
                <w:webHidden/>
              </w:rPr>
              <w:tab/>
            </w:r>
            <w:r>
              <w:rPr>
                <w:noProof/>
                <w:webHidden/>
              </w:rPr>
              <w:fldChar w:fldCharType="begin"/>
            </w:r>
            <w:r>
              <w:rPr>
                <w:noProof/>
                <w:webHidden/>
              </w:rPr>
              <w:instrText xml:space="preserve"> PAGEREF _Toc220490214 \h </w:instrText>
            </w:r>
            <w:r>
              <w:rPr>
                <w:noProof/>
                <w:webHidden/>
              </w:rPr>
            </w:r>
            <w:r>
              <w:rPr>
                <w:noProof/>
                <w:webHidden/>
              </w:rPr>
              <w:fldChar w:fldCharType="separate"/>
            </w:r>
            <w:r>
              <w:rPr>
                <w:noProof/>
                <w:webHidden/>
              </w:rPr>
              <w:t>358</w:t>
            </w:r>
            <w:r>
              <w:rPr>
                <w:noProof/>
                <w:webHidden/>
              </w:rPr>
              <w:fldChar w:fldCharType="end"/>
            </w:r>
          </w:hyperlink>
        </w:p>
        <w:p w14:paraId="74D9470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15" w:history="1">
            <w:r w:rsidRPr="000D551A">
              <w:rPr>
                <w:rStyle w:val="Lienhypertexte"/>
                <w:noProof/>
              </w:rPr>
              <w:t>41.85.2d Quincailleries - rénovation - systèmes d'ouverture mécanique</w:t>
            </w:r>
            <w:r>
              <w:rPr>
                <w:noProof/>
                <w:webHidden/>
              </w:rPr>
              <w:tab/>
            </w:r>
            <w:r>
              <w:rPr>
                <w:noProof/>
                <w:webHidden/>
              </w:rPr>
              <w:fldChar w:fldCharType="begin"/>
            </w:r>
            <w:r>
              <w:rPr>
                <w:noProof/>
                <w:webHidden/>
              </w:rPr>
              <w:instrText xml:space="preserve"> PAGEREF _Toc220490215 \h </w:instrText>
            </w:r>
            <w:r>
              <w:rPr>
                <w:noProof/>
                <w:webHidden/>
              </w:rPr>
            </w:r>
            <w:r>
              <w:rPr>
                <w:noProof/>
                <w:webHidden/>
              </w:rPr>
              <w:fldChar w:fldCharType="separate"/>
            </w:r>
            <w:r>
              <w:rPr>
                <w:noProof/>
                <w:webHidden/>
              </w:rPr>
              <w:t>358</w:t>
            </w:r>
            <w:r>
              <w:rPr>
                <w:noProof/>
                <w:webHidden/>
              </w:rPr>
              <w:fldChar w:fldCharType="end"/>
            </w:r>
          </w:hyperlink>
        </w:p>
        <w:p w14:paraId="4E864DB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16" w:history="1">
            <w:r w:rsidRPr="000D551A">
              <w:rPr>
                <w:rStyle w:val="Lienhypertexte"/>
                <w:noProof/>
              </w:rPr>
              <w:t>41.85.2e Quincailleries - rénovation - systèmes d'ouverture électronique</w:t>
            </w:r>
            <w:r>
              <w:rPr>
                <w:noProof/>
                <w:webHidden/>
              </w:rPr>
              <w:tab/>
            </w:r>
            <w:r>
              <w:rPr>
                <w:noProof/>
                <w:webHidden/>
              </w:rPr>
              <w:fldChar w:fldCharType="begin"/>
            </w:r>
            <w:r>
              <w:rPr>
                <w:noProof/>
                <w:webHidden/>
              </w:rPr>
              <w:instrText xml:space="preserve"> PAGEREF _Toc220490216 \h </w:instrText>
            </w:r>
            <w:r>
              <w:rPr>
                <w:noProof/>
                <w:webHidden/>
              </w:rPr>
            </w:r>
            <w:r>
              <w:rPr>
                <w:noProof/>
                <w:webHidden/>
              </w:rPr>
              <w:fldChar w:fldCharType="separate"/>
            </w:r>
            <w:r>
              <w:rPr>
                <w:noProof/>
                <w:webHidden/>
              </w:rPr>
              <w:t>358</w:t>
            </w:r>
            <w:r>
              <w:rPr>
                <w:noProof/>
                <w:webHidden/>
              </w:rPr>
              <w:fldChar w:fldCharType="end"/>
            </w:r>
          </w:hyperlink>
        </w:p>
        <w:p w14:paraId="1160BA5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17" w:history="1">
            <w:r w:rsidRPr="000D551A">
              <w:rPr>
                <w:rStyle w:val="Lienhypertexte"/>
                <w:noProof/>
              </w:rPr>
              <w:t>41.85.2f Quincailleries - rénovation - barres anti-panique</w:t>
            </w:r>
            <w:r>
              <w:rPr>
                <w:noProof/>
                <w:webHidden/>
              </w:rPr>
              <w:tab/>
            </w:r>
            <w:r>
              <w:rPr>
                <w:noProof/>
                <w:webHidden/>
              </w:rPr>
              <w:fldChar w:fldCharType="begin"/>
            </w:r>
            <w:r>
              <w:rPr>
                <w:noProof/>
                <w:webHidden/>
              </w:rPr>
              <w:instrText xml:space="preserve"> PAGEREF _Toc220490217 \h </w:instrText>
            </w:r>
            <w:r>
              <w:rPr>
                <w:noProof/>
                <w:webHidden/>
              </w:rPr>
            </w:r>
            <w:r>
              <w:rPr>
                <w:noProof/>
                <w:webHidden/>
              </w:rPr>
              <w:fldChar w:fldCharType="separate"/>
            </w:r>
            <w:r>
              <w:rPr>
                <w:noProof/>
                <w:webHidden/>
              </w:rPr>
              <w:t>358</w:t>
            </w:r>
            <w:r>
              <w:rPr>
                <w:noProof/>
                <w:webHidden/>
              </w:rPr>
              <w:fldChar w:fldCharType="end"/>
            </w:r>
          </w:hyperlink>
        </w:p>
        <w:p w14:paraId="46D9EA1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18" w:history="1">
            <w:r w:rsidRPr="000D551A">
              <w:rPr>
                <w:rStyle w:val="Lienhypertexte"/>
                <w:noProof/>
              </w:rPr>
              <w:t>41.85.2g Quincailleries - rénovation - ferme-portes</w:t>
            </w:r>
            <w:r>
              <w:rPr>
                <w:noProof/>
                <w:webHidden/>
              </w:rPr>
              <w:tab/>
            </w:r>
            <w:r>
              <w:rPr>
                <w:noProof/>
                <w:webHidden/>
              </w:rPr>
              <w:fldChar w:fldCharType="begin"/>
            </w:r>
            <w:r>
              <w:rPr>
                <w:noProof/>
                <w:webHidden/>
              </w:rPr>
              <w:instrText xml:space="preserve"> PAGEREF _Toc220490218 \h </w:instrText>
            </w:r>
            <w:r>
              <w:rPr>
                <w:noProof/>
                <w:webHidden/>
              </w:rPr>
            </w:r>
            <w:r>
              <w:rPr>
                <w:noProof/>
                <w:webHidden/>
              </w:rPr>
              <w:fldChar w:fldCharType="separate"/>
            </w:r>
            <w:r>
              <w:rPr>
                <w:noProof/>
                <w:webHidden/>
              </w:rPr>
              <w:t>358</w:t>
            </w:r>
            <w:r>
              <w:rPr>
                <w:noProof/>
                <w:webHidden/>
              </w:rPr>
              <w:fldChar w:fldCharType="end"/>
            </w:r>
          </w:hyperlink>
        </w:p>
        <w:p w14:paraId="30F6FEB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19" w:history="1">
            <w:r w:rsidRPr="000D551A">
              <w:rPr>
                <w:rStyle w:val="Lienhypertexte"/>
                <w:noProof/>
              </w:rPr>
              <w:t>41.85.2h Quincailleries - rénovation - dispositifs d'arrêt de porte</w:t>
            </w:r>
            <w:r>
              <w:rPr>
                <w:noProof/>
                <w:webHidden/>
              </w:rPr>
              <w:tab/>
            </w:r>
            <w:r>
              <w:rPr>
                <w:noProof/>
                <w:webHidden/>
              </w:rPr>
              <w:fldChar w:fldCharType="begin"/>
            </w:r>
            <w:r>
              <w:rPr>
                <w:noProof/>
                <w:webHidden/>
              </w:rPr>
              <w:instrText xml:space="preserve"> PAGEREF _Toc220490219 \h </w:instrText>
            </w:r>
            <w:r>
              <w:rPr>
                <w:noProof/>
                <w:webHidden/>
              </w:rPr>
            </w:r>
            <w:r>
              <w:rPr>
                <w:noProof/>
                <w:webHidden/>
              </w:rPr>
              <w:fldChar w:fldCharType="separate"/>
            </w:r>
            <w:r>
              <w:rPr>
                <w:noProof/>
                <w:webHidden/>
              </w:rPr>
              <w:t>358</w:t>
            </w:r>
            <w:r>
              <w:rPr>
                <w:noProof/>
                <w:webHidden/>
              </w:rPr>
              <w:fldChar w:fldCharType="end"/>
            </w:r>
          </w:hyperlink>
        </w:p>
        <w:p w14:paraId="0E96F52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20" w:history="1">
            <w:r w:rsidRPr="000D551A">
              <w:rPr>
                <w:rStyle w:val="Lienhypertexte"/>
                <w:noProof/>
              </w:rPr>
              <w:t>41.85.2i Quincailleries - rénovation - axes d'ouverture sur pivots</w:t>
            </w:r>
            <w:r>
              <w:rPr>
                <w:noProof/>
                <w:webHidden/>
              </w:rPr>
              <w:tab/>
            </w:r>
            <w:r>
              <w:rPr>
                <w:noProof/>
                <w:webHidden/>
              </w:rPr>
              <w:fldChar w:fldCharType="begin"/>
            </w:r>
            <w:r>
              <w:rPr>
                <w:noProof/>
                <w:webHidden/>
              </w:rPr>
              <w:instrText xml:space="preserve"> PAGEREF _Toc220490220 \h </w:instrText>
            </w:r>
            <w:r>
              <w:rPr>
                <w:noProof/>
                <w:webHidden/>
              </w:rPr>
            </w:r>
            <w:r>
              <w:rPr>
                <w:noProof/>
                <w:webHidden/>
              </w:rPr>
              <w:fldChar w:fldCharType="separate"/>
            </w:r>
            <w:r>
              <w:rPr>
                <w:noProof/>
                <w:webHidden/>
              </w:rPr>
              <w:t>358</w:t>
            </w:r>
            <w:r>
              <w:rPr>
                <w:noProof/>
                <w:webHidden/>
              </w:rPr>
              <w:fldChar w:fldCharType="end"/>
            </w:r>
          </w:hyperlink>
        </w:p>
        <w:p w14:paraId="5047628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21" w:history="1">
            <w:r w:rsidRPr="000D551A">
              <w:rPr>
                <w:rStyle w:val="Lienhypertexte"/>
                <w:noProof/>
              </w:rPr>
              <w:t>41.85.2j Quincailleries - rénovation - espagnolettes</w:t>
            </w:r>
            <w:r>
              <w:rPr>
                <w:noProof/>
                <w:webHidden/>
              </w:rPr>
              <w:tab/>
            </w:r>
            <w:r>
              <w:rPr>
                <w:noProof/>
                <w:webHidden/>
              </w:rPr>
              <w:fldChar w:fldCharType="begin"/>
            </w:r>
            <w:r>
              <w:rPr>
                <w:noProof/>
                <w:webHidden/>
              </w:rPr>
              <w:instrText xml:space="preserve"> PAGEREF _Toc220490221 \h </w:instrText>
            </w:r>
            <w:r>
              <w:rPr>
                <w:noProof/>
                <w:webHidden/>
              </w:rPr>
            </w:r>
            <w:r>
              <w:rPr>
                <w:noProof/>
                <w:webHidden/>
              </w:rPr>
              <w:fldChar w:fldCharType="separate"/>
            </w:r>
            <w:r>
              <w:rPr>
                <w:noProof/>
                <w:webHidden/>
              </w:rPr>
              <w:t>358</w:t>
            </w:r>
            <w:r>
              <w:rPr>
                <w:noProof/>
                <w:webHidden/>
              </w:rPr>
              <w:fldChar w:fldCharType="end"/>
            </w:r>
          </w:hyperlink>
        </w:p>
        <w:p w14:paraId="5D9BF04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22" w:history="1">
            <w:r w:rsidRPr="000D551A">
              <w:rPr>
                <w:rStyle w:val="Lienhypertexte"/>
                <w:noProof/>
              </w:rPr>
              <w:t>41.85.2k Quincailleries - rénovation - crémones</w:t>
            </w:r>
            <w:r>
              <w:rPr>
                <w:noProof/>
                <w:webHidden/>
              </w:rPr>
              <w:tab/>
            </w:r>
            <w:r>
              <w:rPr>
                <w:noProof/>
                <w:webHidden/>
              </w:rPr>
              <w:fldChar w:fldCharType="begin"/>
            </w:r>
            <w:r>
              <w:rPr>
                <w:noProof/>
                <w:webHidden/>
              </w:rPr>
              <w:instrText xml:space="preserve"> PAGEREF _Toc220490222 \h </w:instrText>
            </w:r>
            <w:r>
              <w:rPr>
                <w:noProof/>
                <w:webHidden/>
              </w:rPr>
            </w:r>
            <w:r>
              <w:rPr>
                <w:noProof/>
                <w:webHidden/>
              </w:rPr>
              <w:fldChar w:fldCharType="separate"/>
            </w:r>
            <w:r>
              <w:rPr>
                <w:noProof/>
                <w:webHidden/>
              </w:rPr>
              <w:t>358</w:t>
            </w:r>
            <w:r>
              <w:rPr>
                <w:noProof/>
                <w:webHidden/>
              </w:rPr>
              <w:fldChar w:fldCharType="end"/>
            </w:r>
          </w:hyperlink>
        </w:p>
        <w:p w14:paraId="425E54D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23" w:history="1">
            <w:r w:rsidRPr="000D551A">
              <w:rPr>
                <w:rStyle w:val="Lienhypertexte"/>
                <w:noProof/>
              </w:rPr>
              <w:t>41.85.2l Quincailleries - rénovation - verrous</w:t>
            </w:r>
            <w:r>
              <w:rPr>
                <w:noProof/>
                <w:webHidden/>
              </w:rPr>
              <w:tab/>
            </w:r>
            <w:r>
              <w:rPr>
                <w:noProof/>
                <w:webHidden/>
              </w:rPr>
              <w:fldChar w:fldCharType="begin"/>
            </w:r>
            <w:r>
              <w:rPr>
                <w:noProof/>
                <w:webHidden/>
              </w:rPr>
              <w:instrText xml:space="preserve"> PAGEREF _Toc220490223 \h </w:instrText>
            </w:r>
            <w:r>
              <w:rPr>
                <w:noProof/>
                <w:webHidden/>
              </w:rPr>
            </w:r>
            <w:r>
              <w:rPr>
                <w:noProof/>
                <w:webHidden/>
              </w:rPr>
              <w:fldChar w:fldCharType="separate"/>
            </w:r>
            <w:r>
              <w:rPr>
                <w:noProof/>
                <w:webHidden/>
              </w:rPr>
              <w:t>358</w:t>
            </w:r>
            <w:r>
              <w:rPr>
                <w:noProof/>
                <w:webHidden/>
              </w:rPr>
              <w:fldChar w:fldCharType="end"/>
            </w:r>
          </w:hyperlink>
        </w:p>
        <w:p w14:paraId="37EAD0DE" w14:textId="77777777" w:rsidR="00FA36CF" w:rsidRDefault="00FA36CF">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0224" w:history="1">
            <w:r w:rsidRPr="000D551A">
              <w:rPr>
                <w:rStyle w:val="Lienhypertexte"/>
                <w:noProof/>
              </w:rPr>
              <w:t>42 Vitrages extérieurs et éléments de remplissage CCTB 01.11</w:t>
            </w:r>
            <w:r>
              <w:rPr>
                <w:noProof/>
                <w:webHidden/>
              </w:rPr>
              <w:tab/>
            </w:r>
            <w:r>
              <w:rPr>
                <w:noProof/>
                <w:webHidden/>
              </w:rPr>
              <w:fldChar w:fldCharType="begin"/>
            </w:r>
            <w:r>
              <w:rPr>
                <w:noProof/>
                <w:webHidden/>
              </w:rPr>
              <w:instrText xml:space="preserve"> PAGEREF _Toc220490224 \h </w:instrText>
            </w:r>
            <w:r>
              <w:rPr>
                <w:noProof/>
                <w:webHidden/>
              </w:rPr>
            </w:r>
            <w:r>
              <w:rPr>
                <w:noProof/>
                <w:webHidden/>
              </w:rPr>
              <w:fldChar w:fldCharType="separate"/>
            </w:r>
            <w:r>
              <w:rPr>
                <w:noProof/>
                <w:webHidden/>
              </w:rPr>
              <w:t>359</w:t>
            </w:r>
            <w:r>
              <w:rPr>
                <w:noProof/>
                <w:webHidden/>
              </w:rPr>
              <w:fldChar w:fldCharType="end"/>
            </w:r>
          </w:hyperlink>
        </w:p>
        <w:p w14:paraId="465BB707"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225" w:history="1">
            <w:r w:rsidRPr="000D551A">
              <w:rPr>
                <w:rStyle w:val="Lienhypertexte"/>
                <w:noProof/>
              </w:rPr>
              <w:t>42.1 Vitrages simples CCTB 01.10</w:t>
            </w:r>
            <w:r>
              <w:rPr>
                <w:noProof/>
                <w:webHidden/>
              </w:rPr>
              <w:tab/>
            </w:r>
            <w:r>
              <w:rPr>
                <w:noProof/>
                <w:webHidden/>
              </w:rPr>
              <w:fldChar w:fldCharType="begin"/>
            </w:r>
            <w:r>
              <w:rPr>
                <w:noProof/>
                <w:webHidden/>
              </w:rPr>
              <w:instrText xml:space="preserve"> PAGEREF _Toc220490225 \h </w:instrText>
            </w:r>
            <w:r>
              <w:rPr>
                <w:noProof/>
                <w:webHidden/>
              </w:rPr>
            </w:r>
            <w:r>
              <w:rPr>
                <w:noProof/>
                <w:webHidden/>
              </w:rPr>
              <w:fldChar w:fldCharType="separate"/>
            </w:r>
            <w:r>
              <w:rPr>
                <w:noProof/>
                <w:webHidden/>
              </w:rPr>
              <w:t>362</w:t>
            </w:r>
            <w:r>
              <w:rPr>
                <w:noProof/>
                <w:webHidden/>
              </w:rPr>
              <w:fldChar w:fldCharType="end"/>
            </w:r>
          </w:hyperlink>
        </w:p>
        <w:p w14:paraId="47897457"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26" w:history="1">
            <w:r w:rsidRPr="000D551A">
              <w:rPr>
                <w:rStyle w:val="Lienhypertexte"/>
                <w:noProof/>
              </w:rPr>
              <w:t>42.11 Vitrages simples floatés (ordinaires) CCTB 01.02</w:t>
            </w:r>
            <w:r>
              <w:rPr>
                <w:noProof/>
                <w:webHidden/>
              </w:rPr>
              <w:tab/>
            </w:r>
            <w:r>
              <w:rPr>
                <w:noProof/>
                <w:webHidden/>
              </w:rPr>
              <w:fldChar w:fldCharType="begin"/>
            </w:r>
            <w:r>
              <w:rPr>
                <w:noProof/>
                <w:webHidden/>
              </w:rPr>
              <w:instrText xml:space="preserve"> PAGEREF _Toc220490226 \h </w:instrText>
            </w:r>
            <w:r>
              <w:rPr>
                <w:noProof/>
                <w:webHidden/>
              </w:rPr>
            </w:r>
            <w:r>
              <w:rPr>
                <w:noProof/>
                <w:webHidden/>
              </w:rPr>
              <w:fldChar w:fldCharType="separate"/>
            </w:r>
            <w:r>
              <w:rPr>
                <w:noProof/>
                <w:webHidden/>
              </w:rPr>
              <w:t>363</w:t>
            </w:r>
            <w:r>
              <w:rPr>
                <w:noProof/>
                <w:webHidden/>
              </w:rPr>
              <w:fldChar w:fldCharType="end"/>
            </w:r>
          </w:hyperlink>
        </w:p>
        <w:p w14:paraId="7F40FD8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27" w:history="1">
            <w:r w:rsidRPr="000D551A">
              <w:rPr>
                <w:rStyle w:val="Lienhypertexte"/>
                <w:noProof/>
              </w:rPr>
              <w:t>42.11.1 Vitrages simples floatés (ordinaires)</w:t>
            </w:r>
            <w:r>
              <w:rPr>
                <w:noProof/>
                <w:webHidden/>
              </w:rPr>
              <w:tab/>
            </w:r>
            <w:r>
              <w:rPr>
                <w:noProof/>
                <w:webHidden/>
              </w:rPr>
              <w:fldChar w:fldCharType="begin"/>
            </w:r>
            <w:r>
              <w:rPr>
                <w:noProof/>
                <w:webHidden/>
              </w:rPr>
              <w:instrText xml:space="preserve"> PAGEREF _Toc220490227 \h </w:instrText>
            </w:r>
            <w:r>
              <w:rPr>
                <w:noProof/>
                <w:webHidden/>
              </w:rPr>
            </w:r>
            <w:r>
              <w:rPr>
                <w:noProof/>
                <w:webHidden/>
              </w:rPr>
              <w:fldChar w:fldCharType="separate"/>
            </w:r>
            <w:r>
              <w:rPr>
                <w:noProof/>
                <w:webHidden/>
              </w:rPr>
              <w:t>363</w:t>
            </w:r>
            <w:r>
              <w:rPr>
                <w:noProof/>
                <w:webHidden/>
              </w:rPr>
              <w:fldChar w:fldCharType="end"/>
            </w:r>
          </w:hyperlink>
        </w:p>
        <w:p w14:paraId="7B4C032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28" w:history="1">
            <w:r w:rsidRPr="000D551A">
              <w:rPr>
                <w:rStyle w:val="Lienhypertexte"/>
                <w:noProof/>
              </w:rPr>
              <w:t>42.11.1a Vitrages simples floatés transparents CCTB 01.13</w:t>
            </w:r>
            <w:r>
              <w:rPr>
                <w:noProof/>
                <w:webHidden/>
              </w:rPr>
              <w:tab/>
            </w:r>
            <w:r>
              <w:rPr>
                <w:noProof/>
                <w:webHidden/>
              </w:rPr>
              <w:fldChar w:fldCharType="begin"/>
            </w:r>
            <w:r>
              <w:rPr>
                <w:noProof/>
                <w:webHidden/>
              </w:rPr>
              <w:instrText xml:space="preserve"> PAGEREF _Toc220490228 \h </w:instrText>
            </w:r>
            <w:r>
              <w:rPr>
                <w:noProof/>
                <w:webHidden/>
              </w:rPr>
            </w:r>
            <w:r>
              <w:rPr>
                <w:noProof/>
                <w:webHidden/>
              </w:rPr>
              <w:fldChar w:fldCharType="separate"/>
            </w:r>
            <w:r>
              <w:rPr>
                <w:noProof/>
                <w:webHidden/>
              </w:rPr>
              <w:t>363</w:t>
            </w:r>
            <w:r>
              <w:rPr>
                <w:noProof/>
                <w:webHidden/>
              </w:rPr>
              <w:fldChar w:fldCharType="end"/>
            </w:r>
          </w:hyperlink>
        </w:p>
        <w:p w14:paraId="2E21F5F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29" w:history="1">
            <w:r w:rsidRPr="000D551A">
              <w:rPr>
                <w:rStyle w:val="Lienhypertexte"/>
                <w:noProof/>
              </w:rPr>
              <w:t>42.11.1b Vitrages simples floatés imprimés CCTB 01.02</w:t>
            </w:r>
            <w:r>
              <w:rPr>
                <w:noProof/>
                <w:webHidden/>
              </w:rPr>
              <w:tab/>
            </w:r>
            <w:r>
              <w:rPr>
                <w:noProof/>
                <w:webHidden/>
              </w:rPr>
              <w:fldChar w:fldCharType="begin"/>
            </w:r>
            <w:r>
              <w:rPr>
                <w:noProof/>
                <w:webHidden/>
              </w:rPr>
              <w:instrText xml:space="preserve"> PAGEREF _Toc220490229 \h </w:instrText>
            </w:r>
            <w:r>
              <w:rPr>
                <w:noProof/>
                <w:webHidden/>
              </w:rPr>
            </w:r>
            <w:r>
              <w:rPr>
                <w:noProof/>
                <w:webHidden/>
              </w:rPr>
              <w:fldChar w:fldCharType="separate"/>
            </w:r>
            <w:r>
              <w:rPr>
                <w:noProof/>
                <w:webHidden/>
              </w:rPr>
              <w:t>365</w:t>
            </w:r>
            <w:r>
              <w:rPr>
                <w:noProof/>
                <w:webHidden/>
              </w:rPr>
              <w:fldChar w:fldCharType="end"/>
            </w:r>
          </w:hyperlink>
        </w:p>
        <w:p w14:paraId="67E5D5E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0" w:history="1">
            <w:r w:rsidRPr="000D551A">
              <w:rPr>
                <w:rStyle w:val="Lienhypertexte"/>
                <w:noProof/>
              </w:rPr>
              <w:t>42.11.1c Vitrages simples floatés matés CCTB 01.11</w:t>
            </w:r>
            <w:r>
              <w:rPr>
                <w:noProof/>
                <w:webHidden/>
              </w:rPr>
              <w:tab/>
            </w:r>
            <w:r>
              <w:rPr>
                <w:noProof/>
                <w:webHidden/>
              </w:rPr>
              <w:fldChar w:fldCharType="begin"/>
            </w:r>
            <w:r>
              <w:rPr>
                <w:noProof/>
                <w:webHidden/>
              </w:rPr>
              <w:instrText xml:space="preserve"> PAGEREF _Toc220490230 \h </w:instrText>
            </w:r>
            <w:r>
              <w:rPr>
                <w:noProof/>
                <w:webHidden/>
              </w:rPr>
            </w:r>
            <w:r>
              <w:rPr>
                <w:noProof/>
                <w:webHidden/>
              </w:rPr>
              <w:fldChar w:fldCharType="separate"/>
            </w:r>
            <w:r>
              <w:rPr>
                <w:noProof/>
                <w:webHidden/>
              </w:rPr>
              <w:t>365</w:t>
            </w:r>
            <w:r>
              <w:rPr>
                <w:noProof/>
                <w:webHidden/>
              </w:rPr>
              <w:fldChar w:fldCharType="end"/>
            </w:r>
          </w:hyperlink>
        </w:p>
        <w:p w14:paraId="774AE7B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1" w:history="1">
            <w:r w:rsidRPr="000D551A">
              <w:rPr>
                <w:rStyle w:val="Lienhypertexte"/>
                <w:noProof/>
              </w:rPr>
              <w:t>42.11.1d Vitrages simples floatés sablés CCTB 01.11</w:t>
            </w:r>
            <w:r>
              <w:rPr>
                <w:noProof/>
                <w:webHidden/>
              </w:rPr>
              <w:tab/>
            </w:r>
            <w:r>
              <w:rPr>
                <w:noProof/>
                <w:webHidden/>
              </w:rPr>
              <w:fldChar w:fldCharType="begin"/>
            </w:r>
            <w:r>
              <w:rPr>
                <w:noProof/>
                <w:webHidden/>
              </w:rPr>
              <w:instrText xml:space="preserve"> PAGEREF _Toc220490231 \h </w:instrText>
            </w:r>
            <w:r>
              <w:rPr>
                <w:noProof/>
                <w:webHidden/>
              </w:rPr>
            </w:r>
            <w:r>
              <w:rPr>
                <w:noProof/>
                <w:webHidden/>
              </w:rPr>
              <w:fldChar w:fldCharType="separate"/>
            </w:r>
            <w:r>
              <w:rPr>
                <w:noProof/>
                <w:webHidden/>
              </w:rPr>
              <w:t>366</w:t>
            </w:r>
            <w:r>
              <w:rPr>
                <w:noProof/>
                <w:webHidden/>
              </w:rPr>
              <w:fldChar w:fldCharType="end"/>
            </w:r>
          </w:hyperlink>
        </w:p>
        <w:p w14:paraId="0FA81C3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2" w:history="1">
            <w:r w:rsidRPr="000D551A">
              <w:rPr>
                <w:rStyle w:val="Lienhypertexte"/>
                <w:noProof/>
              </w:rPr>
              <w:t>42.11.1e Vitrages simples floatés laqués CCTB 01.02</w:t>
            </w:r>
            <w:r>
              <w:rPr>
                <w:noProof/>
                <w:webHidden/>
              </w:rPr>
              <w:tab/>
            </w:r>
            <w:r>
              <w:rPr>
                <w:noProof/>
                <w:webHidden/>
              </w:rPr>
              <w:fldChar w:fldCharType="begin"/>
            </w:r>
            <w:r>
              <w:rPr>
                <w:noProof/>
                <w:webHidden/>
              </w:rPr>
              <w:instrText xml:space="preserve"> PAGEREF _Toc220490232 \h </w:instrText>
            </w:r>
            <w:r>
              <w:rPr>
                <w:noProof/>
                <w:webHidden/>
              </w:rPr>
            </w:r>
            <w:r>
              <w:rPr>
                <w:noProof/>
                <w:webHidden/>
              </w:rPr>
              <w:fldChar w:fldCharType="separate"/>
            </w:r>
            <w:r>
              <w:rPr>
                <w:noProof/>
                <w:webHidden/>
              </w:rPr>
              <w:t>367</w:t>
            </w:r>
            <w:r>
              <w:rPr>
                <w:noProof/>
                <w:webHidden/>
              </w:rPr>
              <w:fldChar w:fldCharType="end"/>
            </w:r>
          </w:hyperlink>
        </w:p>
        <w:p w14:paraId="3F4E4D0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3" w:history="1">
            <w:r w:rsidRPr="000D551A">
              <w:rPr>
                <w:rStyle w:val="Lienhypertexte"/>
                <w:noProof/>
              </w:rPr>
              <w:t>42.11.1f Vitrages simples floatés émaillés CCTB 01.02</w:t>
            </w:r>
            <w:r>
              <w:rPr>
                <w:noProof/>
                <w:webHidden/>
              </w:rPr>
              <w:tab/>
            </w:r>
            <w:r>
              <w:rPr>
                <w:noProof/>
                <w:webHidden/>
              </w:rPr>
              <w:fldChar w:fldCharType="begin"/>
            </w:r>
            <w:r>
              <w:rPr>
                <w:noProof/>
                <w:webHidden/>
              </w:rPr>
              <w:instrText xml:space="preserve"> PAGEREF _Toc220490233 \h </w:instrText>
            </w:r>
            <w:r>
              <w:rPr>
                <w:noProof/>
                <w:webHidden/>
              </w:rPr>
            </w:r>
            <w:r>
              <w:rPr>
                <w:noProof/>
                <w:webHidden/>
              </w:rPr>
              <w:fldChar w:fldCharType="separate"/>
            </w:r>
            <w:r>
              <w:rPr>
                <w:noProof/>
                <w:webHidden/>
              </w:rPr>
              <w:t>367</w:t>
            </w:r>
            <w:r>
              <w:rPr>
                <w:noProof/>
                <w:webHidden/>
              </w:rPr>
              <w:fldChar w:fldCharType="end"/>
            </w:r>
          </w:hyperlink>
        </w:p>
        <w:p w14:paraId="39ED0AF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4" w:history="1">
            <w:r w:rsidRPr="000D551A">
              <w:rPr>
                <w:rStyle w:val="Lienhypertexte"/>
                <w:noProof/>
              </w:rPr>
              <w:t>42.11.1g Vitrages simples floatés sérigraphiés CCTB 01.02</w:t>
            </w:r>
            <w:r>
              <w:rPr>
                <w:noProof/>
                <w:webHidden/>
              </w:rPr>
              <w:tab/>
            </w:r>
            <w:r>
              <w:rPr>
                <w:noProof/>
                <w:webHidden/>
              </w:rPr>
              <w:fldChar w:fldCharType="begin"/>
            </w:r>
            <w:r>
              <w:rPr>
                <w:noProof/>
                <w:webHidden/>
              </w:rPr>
              <w:instrText xml:space="preserve"> PAGEREF _Toc220490234 \h </w:instrText>
            </w:r>
            <w:r>
              <w:rPr>
                <w:noProof/>
                <w:webHidden/>
              </w:rPr>
            </w:r>
            <w:r>
              <w:rPr>
                <w:noProof/>
                <w:webHidden/>
              </w:rPr>
              <w:fldChar w:fldCharType="separate"/>
            </w:r>
            <w:r>
              <w:rPr>
                <w:noProof/>
                <w:webHidden/>
              </w:rPr>
              <w:t>367</w:t>
            </w:r>
            <w:r>
              <w:rPr>
                <w:noProof/>
                <w:webHidden/>
              </w:rPr>
              <w:fldChar w:fldCharType="end"/>
            </w:r>
          </w:hyperlink>
        </w:p>
        <w:p w14:paraId="55CA52E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5" w:history="1">
            <w:r w:rsidRPr="000D551A">
              <w:rPr>
                <w:rStyle w:val="Lienhypertexte"/>
                <w:noProof/>
              </w:rPr>
              <w:t>42.11.1h Vitrages simples floatés teintés (dans la masse) CCTB 01.02</w:t>
            </w:r>
            <w:r>
              <w:rPr>
                <w:noProof/>
                <w:webHidden/>
              </w:rPr>
              <w:tab/>
            </w:r>
            <w:r>
              <w:rPr>
                <w:noProof/>
                <w:webHidden/>
              </w:rPr>
              <w:fldChar w:fldCharType="begin"/>
            </w:r>
            <w:r>
              <w:rPr>
                <w:noProof/>
                <w:webHidden/>
              </w:rPr>
              <w:instrText xml:space="preserve"> PAGEREF _Toc220490235 \h </w:instrText>
            </w:r>
            <w:r>
              <w:rPr>
                <w:noProof/>
                <w:webHidden/>
              </w:rPr>
            </w:r>
            <w:r>
              <w:rPr>
                <w:noProof/>
                <w:webHidden/>
              </w:rPr>
              <w:fldChar w:fldCharType="separate"/>
            </w:r>
            <w:r>
              <w:rPr>
                <w:noProof/>
                <w:webHidden/>
              </w:rPr>
              <w:t>367</w:t>
            </w:r>
            <w:r>
              <w:rPr>
                <w:noProof/>
                <w:webHidden/>
              </w:rPr>
              <w:fldChar w:fldCharType="end"/>
            </w:r>
          </w:hyperlink>
        </w:p>
        <w:p w14:paraId="4DDBA2C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6" w:history="1">
            <w:r w:rsidRPr="000D551A">
              <w:rPr>
                <w:rStyle w:val="Lienhypertexte"/>
                <w:noProof/>
              </w:rPr>
              <w:t>42.11.1i Vitrages simples floatés armés CCTB 01.11</w:t>
            </w:r>
            <w:r>
              <w:rPr>
                <w:noProof/>
                <w:webHidden/>
              </w:rPr>
              <w:tab/>
            </w:r>
            <w:r>
              <w:rPr>
                <w:noProof/>
                <w:webHidden/>
              </w:rPr>
              <w:fldChar w:fldCharType="begin"/>
            </w:r>
            <w:r>
              <w:rPr>
                <w:noProof/>
                <w:webHidden/>
              </w:rPr>
              <w:instrText xml:space="preserve"> PAGEREF _Toc220490236 \h </w:instrText>
            </w:r>
            <w:r>
              <w:rPr>
                <w:noProof/>
                <w:webHidden/>
              </w:rPr>
            </w:r>
            <w:r>
              <w:rPr>
                <w:noProof/>
                <w:webHidden/>
              </w:rPr>
              <w:fldChar w:fldCharType="separate"/>
            </w:r>
            <w:r>
              <w:rPr>
                <w:noProof/>
                <w:webHidden/>
              </w:rPr>
              <w:t>367</w:t>
            </w:r>
            <w:r>
              <w:rPr>
                <w:noProof/>
                <w:webHidden/>
              </w:rPr>
              <w:fldChar w:fldCharType="end"/>
            </w:r>
          </w:hyperlink>
        </w:p>
        <w:p w14:paraId="7E00F9A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7" w:history="1">
            <w:r w:rsidRPr="000D551A">
              <w:rPr>
                <w:rStyle w:val="Lienhypertexte"/>
                <w:noProof/>
              </w:rPr>
              <w:t>42.11.1j Vitrages simples floatés filmés</w:t>
            </w:r>
            <w:r>
              <w:rPr>
                <w:noProof/>
                <w:webHidden/>
              </w:rPr>
              <w:tab/>
            </w:r>
            <w:r>
              <w:rPr>
                <w:noProof/>
                <w:webHidden/>
              </w:rPr>
              <w:fldChar w:fldCharType="begin"/>
            </w:r>
            <w:r>
              <w:rPr>
                <w:noProof/>
                <w:webHidden/>
              </w:rPr>
              <w:instrText xml:space="preserve"> PAGEREF _Toc220490237 \h </w:instrText>
            </w:r>
            <w:r>
              <w:rPr>
                <w:noProof/>
                <w:webHidden/>
              </w:rPr>
            </w:r>
            <w:r>
              <w:rPr>
                <w:noProof/>
                <w:webHidden/>
              </w:rPr>
              <w:fldChar w:fldCharType="separate"/>
            </w:r>
            <w:r>
              <w:rPr>
                <w:noProof/>
                <w:webHidden/>
              </w:rPr>
              <w:t>368</w:t>
            </w:r>
            <w:r>
              <w:rPr>
                <w:noProof/>
                <w:webHidden/>
              </w:rPr>
              <w:fldChar w:fldCharType="end"/>
            </w:r>
          </w:hyperlink>
        </w:p>
        <w:p w14:paraId="0677109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8" w:history="1">
            <w:r w:rsidRPr="000D551A">
              <w:rPr>
                <w:rStyle w:val="Lienhypertexte"/>
                <w:noProof/>
              </w:rPr>
              <w:t>42.11.1k Vitrages - vitraux simples floatés décoratifs CCTB 01.02</w:t>
            </w:r>
            <w:r>
              <w:rPr>
                <w:noProof/>
                <w:webHidden/>
              </w:rPr>
              <w:tab/>
            </w:r>
            <w:r>
              <w:rPr>
                <w:noProof/>
                <w:webHidden/>
              </w:rPr>
              <w:fldChar w:fldCharType="begin"/>
            </w:r>
            <w:r>
              <w:rPr>
                <w:noProof/>
                <w:webHidden/>
              </w:rPr>
              <w:instrText xml:space="preserve"> PAGEREF _Toc220490238 \h </w:instrText>
            </w:r>
            <w:r>
              <w:rPr>
                <w:noProof/>
                <w:webHidden/>
              </w:rPr>
            </w:r>
            <w:r>
              <w:rPr>
                <w:noProof/>
                <w:webHidden/>
              </w:rPr>
              <w:fldChar w:fldCharType="separate"/>
            </w:r>
            <w:r>
              <w:rPr>
                <w:noProof/>
                <w:webHidden/>
              </w:rPr>
              <w:t>368</w:t>
            </w:r>
            <w:r>
              <w:rPr>
                <w:noProof/>
                <w:webHidden/>
              </w:rPr>
              <w:fldChar w:fldCharType="end"/>
            </w:r>
          </w:hyperlink>
        </w:p>
        <w:p w14:paraId="20C4CAF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39" w:history="1">
            <w:r w:rsidRPr="000D551A">
              <w:rPr>
                <w:rStyle w:val="Lienhypertexte"/>
                <w:noProof/>
              </w:rPr>
              <w:t>42.11.1l Vitrages simples floatés profilés</w:t>
            </w:r>
            <w:r>
              <w:rPr>
                <w:noProof/>
                <w:webHidden/>
              </w:rPr>
              <w:tab/>
            </w:r>
            <w:r>
              <w:rPr>
                <w:noProof/>
                <w:webHidden/>
              </w:rPr>
              <w:fldChar w:fldCharType="begin"/>
            </w:r>
            <w:r>
              <w:rPr>
                <w:noProof/>
                <w:webHidden/>
              </w:rPr>
              <w:instrText xml:space="preserve"> PAGEREF _Toc220490239 \h </w:instrText>
            </w:r>
            <w:r>
              <w:rPr>
                <w:noProof/>
                <w:webHidden/>
              </w:rPr>
            </w:r>
            <w:r>
              <w:rPr>
                <w:noProof/>
                <w:webHidden/>
              </w:rPr>
              <w:fldChar w:fldCharType="separate"/>
            </w:r>
            <w:r>
              <w:rPr>
                <w:noProof/>
                <w:webHidden/>
              </w:rPr>
              <w:t>368</w:t>
            </w:r>
            <w:r>
              <w:rPr>
                <w:noProof/>
                <w:webHidden/>
              </w:rPr>
              <w:fldChar w:fldCharType="end"/>
            </w:r>
          </w:hyperlink>
        </w:p>
        <w:p w14:paraId="38AB82E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40" w:history="1">
            <w:r w:rsidRPr="000D551A">
              <w:rPr>
                <w:rStyle w:val="Lienhypertexte"/>
                <w:noProof/>
              </w:rPr>
              <w:t>42.11.1m Vitrages simples floatés bombés CCTB 01.02</w:t>
            </w:r>
            <w:r>
              <w:rPr>
                <w:noProof/>
                <w:webHidden/>
              </w:rPr>
              <w:tab/>
            </w:r>
            <w:r>
              <w:rPr>
                <w:noProof/>
                <w:webHidden/>
              </w:rPr>
              <w:fldChar w:fldCharType="begin"/>
            </w:r>
            <w:r>
              <w:rPr>
                <w:noProof/>
                <w:webHidden/>
              </w:rPr>
              <w:instrText xml:space="preserve"> PAGEREF _Toc220490240 \h </w:instrText>
            </w:r>
            <w:r>
              <w:rPr>
                <w:noProof/>
                <w:webHidden/>
              </w:rPr>
            </w:r>
            <w:r>
              <w:rPr>
                <w:noProof/>
                <w:webHidden/>
              </w:rPr>
              <w:fldChar w:fldCharType="separate"/>
            </w:r>
            <w:r>
              <w:rPr>
                <w:noProof/>
                <w:webHidden/>
              </w:rPr>
              <w:t>368</w:t>
            </w:r>
            <w:r>
              <w:rPr>
                <w:noProof/>
                <w:webHidden/>
              </w:rPr>
              <w:fldChar w:fldCharType="end"/>
            </w:r>
          </w:hyperlink>
        </w:p>
        <w:p w14:paraId="26CAC17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41" w:history="1">
            <w:r w:rsidRPr="000D551A">
              <w:rPr>
                <w:rStyle w:val="Lienhypertexte"/>
                <w:noProof/>
              </w:rPr>
              <w:t>42.11.1n Vitrages simples floatés miroir CCTB 01.02</w:t>
            </w:r>
            <w:r>
              <w:rPr>
                <w:noProof/>
                <w:webHidden/>
              </w:rPr>
              <w:tab/>
            </w:r>
            <w:r>
              <w:rPr>
                <w:noProof/>
                <w:webHidden/>
              </w:rPr>
              <w:fldChar w:fldCharType="begin"/>
            </w:r>
            <w:r>
              <w:rPr>
                <w:noProof/>
                <w:webHidden/>
              </w:rPr>
              <w:instrText xml:space="preserve"> PAGEREF _Toc220490241 \h </w:instrText>
            </w:r>
            <w:r>
              <w:rPr>
                <w:noProof/>
                <w:webHidden/>
              </w:rPr>
            </w:r>
            <w:r>
              <w:rPr>
                <w:noProof/>
                <w:webHidden/>
              </w:rPr>
              <w:fldChar w:fldCharType="separate"/>
            </w:r>
            <w:r>
              <w:rPr>
                <w:noProof/>
                <w:webHidden/>
              </w:rPr>
              <w:t>368</w:t>
            </w:r>
            <w:r>
              <w:rPr>
                <w:noProof/>
                <w:webHidden/>
              </w:rPr>
              <w:fldChar w:fldCharType="end"/>
            </w:r>
          </w:hyperlink>
        </w:p>
        <w:p w14:paraId="4B6C1C3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42" w:history="1">
            <w:r w:rsidRPr="000D551A">
              <w:rPr>
                <w:rStyle w:val="Lienhypertexte"/>
                <w:noProof/>
              </w:rPr>
              <w:t>42.11.1o Vitrages simples floatés chromogènes CCTB 01.02</w:t>
            </w:r>
            <w:r>
              <w:rPr>
                <w:noProof/>
                <w:webHidden/>
              </w:rPr>
              <w:tab/>
            </w:r>
            <w:r>
              <w:rPr>
                <w:noProof/>
                <w:webHidden/>
              </w:rPr>
              <w:fldChar w:fldCharType="begin"/>
            </w:r>
            <w:r>
              <w:rPr>
                <w:noProof/>
                <w:webHidden/>
              </w:rPr>
              <w:instrText xml:space="preserve"> PAGEREF _Toc220490242 \h </w:instrText>
            </w:r>
            <w:r>
              <w:rPr>
                <w:noProof/>
                <w:webHidden/>
              </w:rPr>
            </w:r>
            <w:r>
              <w:rPr>
                <w:noProof/>
                <w:webHidden/>
              </w:rPr>
              <w:fldChar w:fldCharType="separate"/>
            </w:r>
            <w:r>
              <w:rPr>
                <w:noProof/>
                <w:webHidden/>
              </w:rPr>
              <w:t>368</w:t>
            </w:r>
            <w:r>
              <w:rPr>
                <w:noProof/>
                <w:webHidden/>
              </w:rPr>
              <w:fldChar w:fldCharType="end"/>
            </w:r>
          </w:hyperlink>
        </w:p>
        <w:p w14:paraId="0D832FBE"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43" w:history="1">
            <w:r w:rsidRPr="000D551A">
              <w:rPr>
                <w:rStyle w:val="Lienhypertexte"/>
                <w:noProof/>
              </w:rPr>
              <w:t>42.12 Vitrages simples étirés</w:t>
            </w:r>
            <w:r>
              <w:rPr>
                <w:noProof/>
                <w:webHidden/>
              </w:rPr>
              <w:tab/>
            </w:r>
            <w:r>
              <w:rPr>
                <w:noProof/>
                <w:webHidden/>
              </w:rPr>
              <w:fldChar w:fldCharType="begin"/>
            </w:r>
            <w:r>
              <w:rPr>
                <w:noProof/>
                <w:webHidden/>
              </w:rPr>
              <w:instrText xml:space="preserve"> PAGEREF _Toc220490243 \h </w:instrText>
            </w:r>
            <w:r>
              <w:rPr>
                <w:noProof/>
                <w:webHidden/>
              </w:rPr>
            </w:r>
            <w:r>
              <w:rPr>
                <w:noProof/>
                <w:webHidden/>
              </w:rPr>
              <w:fldChar w:fldCharType="separate"/>
            </w:r>
            <w:r>
              <w:rPr>
                <w:noProof/>
                <w:webHidden/>
              </w:rPr>
              <w:t>369</w:t>
            </w:r>
            <w:r>
              <w:rPr>
                <w:noProof/>
                <w:webHidden/>
              </w:rPr>
              <w:fldChar w:fldCharType="end"/>
            </w:r>
          </w:hyperlink>
        </w:p>
        <w:p w14:paraId="7CCB439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44" w:history="1">
            <w:r w:rsidRPr="000D551A">
              <w:rPr>
                <w:rStyle w:val="Lienhypertexte"/>
                <w:noProof/>
              </w:rPr>
              <w:t>42.12.1 Vitrages simples étirés</w:t>
            </w:r>
            <w:r>
              <w:rPr>
                <w:noProof/>
                <w:webHidden/>
              </w:rPr>
              <w:tab/>
            </w:r>
            <w:r>
              <w:rPr>
                <w:noProof/>
                <w:webHidden/>
              </w:rPr>
              <w:fldChar w:fldCharType="begin"/>
            </w:r>
            <w:r>
              <w:rPr>
                <w:noProof/>
                <w:webHidden/>
              </w:rPr>
              <w:instrText xml:space="preserve"> PAGEREF _Toc220490244 \h </w:instrText>
            </w:r>
            <w:r>
              <w:rPr>
                <w:noProof/>
                <w:webHidden/>
              </w:rPr>
            </w:r>
            <w:r>
              <w:rPr>
                <w:noProof/>
                <w:webHidden/>
              </w:rPr>
              <w:fldChar w:fldCharType="separate"/>
            </w:r>
            <w:r>
              <w:rPr>
                <w:noProof/>
                <w:webHidden/>
              </w:rPr>
              <w:t>369</w:t>
            </w:r>
            <w:r>
              <w:rPr>
                <w:noProof/>
                <w:webHidden/>
              </w:rPr>
              <w:fldChar w:fldCharType="end"/>
            </w:r>
          </w:hyperlink>
        </w:p>
        <w:p w14:paraId="1CEDFC1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45" w:history="1">
            <w:r w:rsidRPr="000D551A">
              <w:rPr>
                <w:rStyle w:val="Lienhypertexte"/>
                <w:noProof/>
              </w:rPr>
              <w:t>42.12.1a Vitrages simples étirés transparents CCTB 01.04</w:t>
            </w:r>
            <w:r>
              <w:rPr>
                <w:noProof/>
                <w:webHidden/>
              </w:rPr>
              <w:tab/>
            </w:r>
            <w:r>
              <w:rPr>
                <w:noProof/>
                <w:webHidden/>
              </w:rPr>
              <w:fldChar w:fldCharType="begin"/>
            </w:r>
            <w:r>
              <w:rPr>
                <w:noProof/>
                <w:webHidden/>
              </w:rPr>
              <w:instrText xml:space="preserve"> PAGEREF _Toc220490245 \h </w:instrText>
            </w:r>
            <w:r>
              <w:rPr>
                <w:noProof/>
                <w:webHidden/>
              </w:rPr>
            </w:r>
            <w:r>
              <w:rPr>
                <w:noProof/>
                <w:webHidden/>
              </w:rPr>
              <w:fldChar w:fldCharType="separate"/>
            </w:r>
            <w:r>
              <w:rPr>
                <w:noProof/>
                <w:webHidden/>
              </w:rPr>
              <w:t>369</w:t>
            </w:r>
            <w:r>
              <w:rPr>
                <w:noProof/>
                <w:webHidden/>
              </w:rPr>
              <w:fldChar w:fldCharType="end"/>
            </w:r>
          </w:hyperlink>
        </w:p>
        <w:p w14:paraId="70EBA86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46" w:history="1">
            <w:r w:rsidRPr="000D551A">
              <w:rPr>
                <w:rStyle w:val="Lienhypertexte"/>
                <w:noProof/>
              </w:rPr>
              <w:t>42.12.1b Vitrages simples étirés teintés (dans la masse)</w:t>
            </w:r>
            <w:r>
              <w:rPr>
                <w:noProof/>
                <w:webHidden/>
              </w:rPr>
              <w:tab/>
            </w:r>
            <w:r>
              <w:rPr>
                <w:noProof/>
                <w:webHidden/>
              </w:rPr>
              <w:fldChar w:fldCharType="begin"/>
            </w:r>
            <w:r>
              <w:rPr>
                <w:noProof/>
                <w:webHidden/>
              </w:rPr>
              <w:instrText xml:space="preserve"> PAGEREF _Toc220490246 \h </w:instrText>
            </w:r>
            <w:r>
              <w:rPr>
                <w:noProof/>
                <w:webHidden/>
              </w:rPr>
            </w:r>
            <w:r>
              <w:rPr>
                <w:noProof/>
                <w:webHidden/>
              </w:rPr>
              <w:fldChar w:fldCharType="separate"/>
            </w:r>
            <w:r>
              <w:rPr>
                <w:noProof/>
                <w:webHidden/>
              </w:rPr>
              <w:t>369</w:t>
            </w:r>
            <w:r>
              <w:rPr>
                <w:noProof/>
                <w:webHidden/>
              </w:rPr>
              <w:fldChar w:fldCharType="end"/>
            </w:r>
          </w:hyperlink>
        </w:p>
        <w:p w14:paraId="1BA9942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47" w:history="1">
            <w:r w:rsidRPr="000D551A">
              <w:rPr>
                <w:rStyle w:val="Lienhypertexte"/>
                <w:noProof/>
              </w:rPr>
              <w:t>42.12.1c Vitrages simples étirés filmés</w:t>
            </w:r>
            <w:r>
              <w:rPr>
                <w:noProof/>
                <w:webHidden/>
              </w:rPr>
              <w:tab/>
            </w:r>
            <w:r>
              <w:rPr>
                <w:noProof/>
                <w:webHidden/>
              </w:rPr>
              <w:fldChar w:fldCharType="begin"/>
            </w:r>
            <w:r>
              <w:rPr>
                <w:noProof/>
                <w:webHidden/>
              </w:rPr>
              <w:instrText xml:space="preserve"> PAGEREF _Toc220490247 \h </w:instrText>
            </w:r>
            <w:r>
              <w:rPr>
                <w:noProof/>
                <w:webHidden/>
              </w:rPr>
            </w:r>
            <w:r>
              <w:rPr>
                <w:noProof/>
                <w:webHidden/>
              </w:rPr>
              <w:fldChar w:fldCharType="separate"/>
            </w:r>
            <w:r>
              <w:rPr>
                <w:noProof/>
                <w:webHidden/>
              </w:rPr>
              <w:t>369</w:t>
            </w:r>
            <w:r>
              <w:rPr>
                <w:noProof/>
                <w:webHidden/>
              </w:rPr>
              <w:fldChar w:fldCharType="end"/>
            </w:r>
          </w:hyperlink>
        </w:p>
        <w:p w14:paraId="53A4556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48" w:history="1">
            <w:r w:rsidRPr="000D551A">
              <w:rPr>
                <w:rStyle w:val="Lienhypertexte"/>
                <w:noProof/>
              </w:rPr>
              <w:t>42.12.1d Vitrages simples étirés martelés</w:t>
            </w:r>
            <w:r>
              <w:rPr>
                <w:noProof/>
                <w:webHidden/>
              </w:rPr>
              <w:tab/>
            </w:r>
            <w:r>
              <w:rPr>
                <w:noProof/>
                <w:webHidden/>
              </w:rPr>
              <w:fldChar w:fldCharType="begin"/>
            </w:r>
            <w:r>
              <w:rPr>
                <w:noProof/>
                <w:webHidden/>
              </w:rPr>
              <w:instrText xml:space="preserve"> PAGEREF _Toc220490248 \h </w:instrText>
            </w:r>
            <w:r>
              <w:rPr>
                <w:noProof/>
                <w:webHidden/>
              </w:rPr>
            </w:r>
            <w:r>
              <w:rPr>
                <w:noProof/>
                <w:webHidden/>
              </w:rPr>
              <w:fldChar w:fldCharType="separate"/>
            </w:r>
            <w:r>
              <w:rPr>
                <w:noProof/>
                <w:webHidden/>
              </w:rPr>
              <w:t>369</w:t>
            </w:r>
            <w:r>
              <w:rPr>
                <w:noProof/>
                <w:webHidden/>
              </w:rPr>
              <w:fldChar w:fldCharType="end"/>
            </w:r>
          </w:hyperlink>
        </w:p>
        <w:p w14:paraId="626C6E8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49" w:history="1">
            <w:r w:rsidRPr="000D551A">
              <w:rPr>
                <w:rStyle w:val="Lienhypertexte"/>
                <w:noProof/>
              </w:rPr>
              <w:t>42.12.1e Vitrages - vitraux simples étirés décoratifs</w:t>
            </w:r>
            <w:r>
              <w:rPr>
                <w:noProof/>
                <w:webHidden/>
              </w:rPr>
              <w:tab/>
            </w:r>
            <w:r>
              <w:rPr>
                <w:noProof/>
                <w:webHidden/>
              </w:rPr>
              <w:fldChar w:fldCharType="begin"/>
            </w:r>
            <w:r>
              <w:rPr>
                <w:noProof/>
                <w:webHidden/>
              </w:rPr>
              <w:instrText xml:space="preserve"> PAGEREF _Toc220490249 \h </w:instrText>
            </w:r>
            <w:r>
              <w:rPr>
                <w:noProof/>
                <w:webHidden/>
              </w:rPr>
            </w:r>
            <w:r>
              <w:rPr>
                <w:noProof/>
                <w:webHidden/>
              </w:rPr>
              <w:fldChar w:fldCharType="separate"/>
            </w:r>
            <w:r>
              <w:rPr>
                <w:noProof/>
                <w:webHidden/>
              </w:rPr>
              <w:t>369</w:t>
            </w:r>
            <w:r>
              <w:rPr>
                <w:noProof/>
                <w:webHidden/>
              </w:rPr>
              <w:fldChar w:fldCharType="end"/>
            </w:r>
          </w:hyperlink>
        </w:p>
        <w:p w14:paraId="74DA5B9B"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50" w:history="1">
            <w:r w:rsidRPr="000D551A">
              <w:rPr>
                <w:rStyle w:val="Lienhypertexte"/>
                <w:noProof/>
              </w:rPr>
              <w:t>42.13 Vitrages simples soufflés</w:t>
            </w:r>
            <w:r>
              <w:rPr>
                <w:noProof/>
                <w:webHidden/>
              </w:rPr>
              <w:tab/>
            </w:r>
            <w:r>
              <w:rPr>
                <w:noProof/>
                <w:webHidden/>
              </w:rPr>
              <w:fldChar w:fldCharType="begin"/>
            </w:r>
            <w:r>
              <w:rPr>
                <w:noProof/>
                <w:webHidden/>
              </w:rPr>
              <w:instrText xml:space="preserve"> PAGEREF _Toc220490250 \h </w:instrText>
            </w:r>
            <w:r>
              <w:rPr>
                <w:noProof/>
                <w:webHidden/>
              </w:rPr>
            </w:r>
            <w:r>
              <w:rPr>
                <w:noProof/>
                <w:webHidden/>
              </w:rPr>
              <w:fldChar w:fldCharType="separate"/>
            </w:r>
            <w:r>
              <w:rPr>
                <w:noProof/>
                <w:webHidden/>
              </w:rPr>
              <w:t>369</w:t>
            </w:r>
            <w:r>
              <w:rPr>
                <w:noProof/>
                <w:webHidden/>
              </w:rPr>
              <w:fldChar w:fldCharType="end"/>
            </w:r>
          </w:hyperlink>
        </w:p>
        <w:p w14:paraId="77F94C9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51" w:history="1">
            <w:r w:rsidRPr="000D551A">
              <w:rPr>
                <w:rStyle w:val="Lienhypertexte"/>
                <w:noProof/>
              </w:rPr>
              <w:t>42.13.1 Vitrages simples soufflés</w:t>
            </w:r>
            <w:r>
              <w:rPr>
                <w:noProof/>
                <w:webHidden/>
              </w:rPr>
              <w:tab/>
            </w:r>
            <w:r>
              <w:rPr>
                <w:noProof/>
                <w:webHidden/>
              </w:rPr>
              <w:fldChar w:fldCharType="begin"/>
            </w:r>
            <w:r>
              <w:rPr>
                <w:noProof/>
                <w:webHidden/>
              </w:rPr>
              <w:instrText xml:space="preserve"> PAGEREF _Toc220490251 \h </w:instrText>
            </w:r>
            <w:r>
              <w:rPr>
                <w:noProof/>
                <w:webHidden/>
              </w:rPr>
            </w:r>
            <w:r>
              <w:rPr>
                <w:noProof/>
                <w:webHidden/>
              </w:rPr>
              <w:fldChar w:fldCharType="separate"/>
            </w:r>
            <w:r>
              <w:rPr>
                <w:noProof/>
                <w:webHidden/>
              </w:rPr>
              <w:t>369</w:t>
            </w:r>
            <w:r>
              <w:rPr>
                <w:noProof/>
                <w:webHidden/>
              </w:rPr>
              <w:fldChar w:fldCharType="end"/>
            </w:r>
          </w:hyperlink>
        </w:p>
        <w:p w14:paraId="31FBD2F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52" w:history="1">
            <w:r w:rsidRPr="000D551A">
              <w:rPr>
                <w:rStyle w:val="Lienhypertexte"/>
                <w:noProof/>
              </w:rPr>
              <w:t>42.13.1a Vitrages simples soufflés CCTB 01.02</w:t>
            </w:r>
            <w:r>
              <w:rPr>
                <w:noProof/>
                <w:webHidden/>
              </w:rPr>
              <w:tab/>
            </w:r>
            <w:r>
              <w:rPr>
                <w:noProof/>
                <w:webHidden/>
              </w:rPr>
              <w:fldChar w:fldCharType="begin"/>
            </w:r>
            <w:r>
              <w:rPr>
                <w:noProof/>
                <w:webHidden/>
              </w:rPr>
              <w:instrText xml:space="preserve"> PAGEREF _Toc220490252 \h </w:instrText>
            </w:r>
            <w:r>
              <w:rPr>
                <w:noProof/>
                <w:webHidden/>
              </w:rPr>
            </w:r>
            <w:r>
              <w:rPr>
                <w:noProof/>
                <w:webHidden/>
              </w:rPr>
              <w:fldChar w:fldCharType="separate"/>
            </w:r>
            <w:r>
              <w:rPr>
                <w:noProof/>
                <w:webHidden/>
              </w:rPr>
              <w:t>369</w:t>
            </w:r>
            <w:r>
              <w:rPr>
                <w:noProof/>
                <w:webHidden/>
              </w:rPr>
              <w:fldChar w:fldCharType="end"/>
            </w:r>
          </w:hyperlink>
        </w:p>
        <w:p w14:paraId="24D8F15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53" w:history="1">
            <w:r w:rsidRPr="000D551A">
              <w:rPr>
                <w:rStyle w:val="Lienhypertexte"/>
                <w:noProof/>
              </w:rPr>
              <w:t>42.13.1b Vitrages simples soufflés teintés (dans la masse)</w:t>
            </w:r>
            <w:r>
              <w:rPr>
                <w:noProof/>
                <w:webHidden/>
              </w:rPr>
              <w:tab/>
            </w:r>
            <w:r>
              <w:rPr>
                <w:noProof/>
                <w:webHidden/>
              </w:rPr>
              <w:fldChar w:fldCharType="begin"/>
            </w:r>
            <w:r>
              <w:rPr>
                <w:noProof/>
                <w:webHidden/>
              </w:rPr>
              <w:instrText xml:space="preserve"> PAGEREF _Toc220490253 \h </w:instrText>
            </w:r>
            <w:r>
              <w:rPr>
                <w:noProof/>
                <w:webHidden/>
              </w:rPr>
            </w:r>
            <w:r>
              <w:rPr>
                <w:noProof/>
                <w:webHidden/>
              </w:rPr>
              <w:fldChar w:fldCharType="separate"/>
            </w:r>
            <w:r>
              <w:rPr>
                <w:noProof/>
                <w:webHidden/>
              </w:rPr>
              <w:t>369</w:t>
            </w:r>
            <w:r>
              <w:rPr>
                <w:noProof/>
                <w:webHidden/>
              </w:rPr>
              <w:fldChar w:fldCharType="end"/>
            </w:r>
          </w:hyperlink>
        </w:p>
        <w:p w14:paraId="31AEBB5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54" w:history="1">
            <w:r w:rsidRPr="000D551A">
              <w:rPr>
                <w:rStyle w:val="Lienhypertexte"/>
                <w:noProof/>
              </w:rPr>
              <w:t>42.13.1c Vitrages simples soufflés filmés</w:t>
            </w:r>
            <w:r>
              <w:rPr>
                <w:noProof/>
                <w:webHidden/>
              </w:rPr>
              <w:tab/>
            </w:r>
            <w:r>
              <w:rPr>
                <w:noProof/>
                <w:webHidden/>
              </w:rPr>
              <w:fldChar w:fldCharType="begin"/>
            </w:r>
            <w:r>
              <w:rPr>
                <w:noProof/>
                <w:webHidden/>
              </w:rPr>
              <w:instrText xml:space="preserve"> PAGEREF _Toc220490254 \h </w:instrText>
            </w:r>
            <w:r>
              <w:rPr>
                <w:noProof/>
                <w:webHidden/>
              </w:rPr>
            </w:r>
            <w:r>
              <w:rPr>
                <w:noProof/>
                <w:webHidden/>
              </w:rPr>
              <w:fldChar w:fldCharType="separate"/>
            </w:r>
            <w:r>
              <w:rPr>
                <w:noProof/>
                <w:webHidden/>
              </w:rPr>
              <w:t>369</w:t>
            </w:r>
            <w:r>
              <w:rPr>
                <w:noProof/>
                <w:webHidden/>
              </w:rPr>
              <w:fldChar w:fldCharType="end"/>
            </w:r>
          </w:hyperlink>
        </w:p>
        <w:p w14:paraId="1755EFA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55" w:history="1">
            <w:r w:rsidRPr="000D551A">
              <w:rPr>
                <w:rStyle w:val="Lienhypertexte"/>
                <w:noProof/>
              </w:rPr>
              <w:t>42.13.1d Vitrages - vitraux simples soufflés décoratifs</w:t>
            </w:r>
            <w:r>
              <w:rPr>
                <w:noProof/>
                <w:webHidden/>
              </w:rPr>
              <w:tab/>
            </w:r>
            <w:r>
              <w:rPr>
                <w:noProof/>
                <w:webHidden/>
              </w:rPr>
              <w:fldChar w:fldCharType="begin"/>
            </w:r>
            <w:r>
              <w:rPr>
                <w:noProof/>
                <w:webHidden/>
              </w:rPr>
              <w:instrText xml:space="preserve"> PAGEREF _Toc220490255 \h </w:instrText>
            </w:r>
            <w:r>
              <w:rPr>
                <w:noProof/>
                <w:webHidden/>
              </w:rPr>
            </w:r>
            <w:r>
              <w:rPr>
                <w:noProof/>
                <w:webHidden/>
              </w:rPr>
              <w:fldChar w:fldCharType="separate"/>
            </w:r>
            <w:r>
              <w:rPr>
                <w:noProof/>
                <w:webHidden/>
              </w:rPr>
              <w:t>369</w:t>
            </w:r>
            <w:r>
              <w:rPr>
                <w:noProof/>
                <w:webHidden/>
              </w:rPr>
              <w:fldChar w:fldCharType="end"/>
            </w:r>
          </w:hyperlink>
        </w:p>
        <w:p w14:paraId="56D83EA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56" w:history="1">
            <w:r w:rsidRPr="000D551A">
              <w:rPr>
                <w:rStyle w:val="Lienhypertexte"/>
                <w:noProof/>
              </w:rPr>
              <w:t>42.13.1e Vitrages simples soufflés profilés</w:t>
            </w:r>
            <w:r>
              <w:rPr>
                <w:noProof/>
                <w:webHidden/>
              </w:rPr>
              <w:tab/>
            </w:r>
            <w:r>
              <w:rPr>
                <w:noProof/>
                <w:webHidden/>
              </w:rPr>
              <w:fldChar w:fldCharType="begin"/>
            </w:r>
            <w:r>
              <w:rPr>
                <w:noProof/>
                <w:webHidden/>
              </w:rPr>
              <w:instrText xml:space="preserve"> PAGEREF _Toc220490256 \h </w:instrText>
            </w:r>
            <w:r>
              <w:rPr>
                <w:noProof/>
                <w:webHidden/>
              </w:rPr>
            </w:r>
            <w:r>
              <w:rPr>
                <w:noProof/>
                <w:webHidden/>
              </w:rPr>
              <w:fldChar w:fldCharType="separate"/>
            </w:r>
            <w:r>
              <w:rPr>
                <w:noProof/>
                <w:webHidden/>
              </w:rPr>
              <w:t>369</w:t>
            </w:r>
            <w:r>
              <w:rPr>
                <w:noProof/>
                <w:webHidden/>
              </w:rPr>
              <w:fldChar w:fldCharType="end"/>
            </w:r>
          </w:hyperlink>
        </w:p>
        <w:p w14:paraId="40E843BE"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57" w:history="1">
            <w:r w:rsidRPr="000D551A">
              <w:rPr>
                <w:rStyle w:val="Lienhypertexte"/>
                <w:noProof/>
              </w:rPr>
              <w:t>42.14 Vitrages simples trempés CCTB 01.11</w:t>
            </w:r>
            <w:r>
              <w:rPr>
                <w:noProof/>
                <w:webHidden/>
              </w:rPr>
              <w:tab/>
            </w:r>
            <w:r>
              <w:rPr>
                <w:noProof/>
                <w:webHidden/>
              </w:rPr>
              <w:fldChar w:fldCharType="begin"/>
            </w:r>
            <w:r>
              <w:rPr>
                <w:noProof/>
                <w:webHidden/>
              </w:rPr>
              <w:instrText xml:space="preserve"> PAGEREF _Toc220490257 \h </w:instrText>
            </w:r>
            <w:r>
              <w:rPr>
                <w:noProof/>
                <w:webHidden/>
              </w:rPr>
            </w:r>
            <w:r>
              <w:rPr>
                <w:noProof/>
                <w:webHidden/>
              </w:rPr>
              <w:fldChar w:fldCharType="separate"/>
            </w:r>
            <w:r>
              <w:rPr>
                <w:noProof/>
                <w:webHidden/>
              </w:rPr>
              <w:t>369</w:t>
            </w:r>
            <w:r>
              <w:rPr>
                <w:noProof/>
                <w:webHidden/>
              </w:rPr>
              <w:fldChar w:fldCharType="end"/>
            </w:r>
          </w:hyperlink>
        </w:p>
        <w:p w14:paraId="297B96E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58" w:history="1">
            <w:r w:rsidRPr="000D551A">
              <w:rPr>
                <w:rStyle w:val="Lienhypertexte"/>
                <w:noProof/>
              </w:rPr>
              <w:t>42.14.1 Vitrages simples trempés CCTB 01.04</w:t>
            </w:r>
            <w:r>
              <w:rPr>
                <w:noProof/>
                <w:webHidden/>
              </w:rPr>
              <w:tab/>
            </w:r>
            <w:r>
              <w:rPr>
                <w:noProof/>
                <w:webHidden/>
              </w:rPr>
              <w:fldChar w:fldCharType="begin"/>
            </w:r>
            <w:r>
              <w:rPr>
                <w:noProof/>
                <w:webHidden/>
              </w:rPr>
              <w:instrText xml:space="preserve"> PAGEREF _Toc220490258 \h </w:instrText>
            </w:r>
            <w:r>
              <w:rPr>
                <w:noProof/>
                <w:webHidden/>
              </w:rPr>
            </w:r>
            <w:r>
              <w:rPr>
                <w:noProof/>
                <w:webHidden/>
              </w:rPr>
              <w:fldChar w:fldCharType="separate"/>
            </w:r>
            <w:r>
              <w:rPr>
                <w:noProof/>
                <w:webHidden/>
              </w:rPr>
              <w:t>370</w:t>
            </w:r>
            <w:r>
              <w:rPr>
                <w:noProof/>
                <w:webHidden/>
              </w:rPr>
              <w:fldChar w:fldCharType="end"/>
            </w:r>
          </w:hyperlink>
        </w:p>
        <w:p w14:paraId="055915A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59" w:history="1">
            <w:r w:rsidRPr="000D551A">
              <w:rPr>
                <w:rStyle w:val="Lienhypertexte"/>
                <w:noProof/>
              </w:rPr>
              <w:t>42.14.1a Vitrages simples trempés CCTB 01.11</w:t>
            </w:r>
            <w:r>
              <w:rPr>
                <w:noProof/>
                <w:webHidden/>
              </w:rPr>
              <w:tab/>
            </w:r>
            <w:r>
              <w:rPr>
                <w:noProof/>
                <w:webHidden/>
              </w:rPr>
              <w:fldChar w:fldCharType="begin"/>
            </w:r>
            <w:r>
              <w:rPr>
                <w:noProof/>
                <w:webHidden/>
              </w:rPr>
              <w:instrText xml:space="preserve"> PAGEREF _Toc220490259 \h </w:instrText>
            </w:r>
            <w:r>
              <w:rPr>
                <w:noProof/>
                <w:webHidden/>
              </w:rPr>
            </w:r>
            <w:r>
              <w:rPr>
                <w:noProof/>
                <w:webHidden/>
              </w:rPr>
              <w:fldChar w:fldCharType="separate"/>
            </w:r>
            <w:r>
              <w:rPr>
                <w:noProof/>
                <w:webHidden/>
              </w:rPr>
              <w:t>370</w:t>
            </w:r>
            <w:r>
              <w:rPr>
                <w:noProof/>
                <w:webHidden/>
              </w:rPr>
              <w:fldChar w:fldCharType="end"/>
            </w:r>
          </w:hyperlink>
        </w:p>
        <w:p w14:paraId="45A16E0E"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60" w:history="1">
            <w:r w:rsidRPr="000D551A">
              <w:rPr>
                <w:rStyle w:val="Lienhypertexte"/>
                <w:noProof/>
              </w:rPr>
              <w:t>42.15 Vitrages simples durcis CCTB 01.11</w:t>
            </w:r>
            <w:r>
              <w:rPr>
                <w:noProof/>
                <w:webHidden/>
              </w:rPr>
              <w:tab/>
            </w:r>
            <w:r>
              <w:rPr>
                <w:noProof/>
                <w:webHidden/>
              </w:rPr>
              <w:fldChar w:fldCharType="begin"/>
            </w:r>
            <w:r>
              <w:rPr>
                <w:noProof/>
                <w:webHidden/>
              </w:rPr>
              <w:instrText xml:space="preserve"> PAGEREF _Toc220490260 \h </w:instrText>
            </w:r>
            <w:r>
              <w:rPr>
                <w:noProof/>
                <w:webHidden/>
              </w:rPr>
            </w:r>
            <w:r>
              <w:rPr>
                <w:noProof/>
                <w:webHidden/>
              </w:rPr>
              <w:fldChar w:fldCharType="separate"/>
            </w:r>
            <w:r>
              <w:rPr>
                <w:noProof/>
                <w:webHidden/>
              </w:rPr>
              <w:t>371</w:t>
            </w:r>
            <w:r>
              <w:rPr>
                <w:noProof/>
                <w:webHidden/>
              </w:rPr>
              <w:fldChar w:fldCharType="end"/>
            </w:r>
          </w:hyperlink>
        </w:p>
        <w:p w14:paraId="5D07F19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61" w:history="1">
            <w:r w:rsidRPr="000D551A">
              <w:rPr>
                <w:rStyle w:val="Lienhypertexte"/>
                <w:noProof/>
              </w:rPr>
              <w:t>42.15.1 Vitrages simples durcis CCTB 01.02</w:t>
            </w:r>
            <w:r>
              <w:rPr>
                <w:noProof/>
                <w:webHidden/>
              </w:rPr>
              <w:tab/>
            </w:r>
            <w:r>
              <w:rPr>
                <w:noProof/>
                <w:webHidden/>
              </w:rPr>
              <w:fldChar w:fldCharType="begin"/>
            </w:r>
            <w:r>
              <w:rPr>
                <w:noProof/>
                <w:webHidden/>
              </w:rPr>
              <w:instrText xml:space="preserve"> PAGEREF _Toc220490261 \h </w:instrText>
            </w:r>
            <w:r>
              <w:rPr>
                <w:noProof/>
                <w:webHidden/>
              </w:rPr>
            </w:r>
            <w:r>
              <w:rPr>
                <w:noProof/>
                <w:webHidden/>
              </w:rPr>
              <w:fldChar w:fldCharType="separate"/>
            </w:r>
            <w:r>
              <w:rPr>
                <w:noProof/>
                <w:webHidden/>
              </w:rPr>
              <w:t>372</w:t>
            </w:r>
            <w:r>
              <w:rPr>
                <w:noProof/>
                <w:webHidden/>
              </w:rPr>
              <w:fldChar w:fldCharType="end"/>
            </w:r>
          </w:hyperlink>
        </w:p>
        <w:p w14:paraId="14CD0EC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62" w:history="1">
            <w:r w:rsidRPr="000D551A">
              <w:rPr>
                <w:rStyle w:val="Lienhypertexte"/>
                <w:noProof/>
              </w:rPr>
              <w:t>42.15.1a Vitrages simples durcis CCTB 01.04</w:t>
            </w:r>
            <w:r>
              <w:rPr>
                <w:noProof/>
                <w:webHidden/>
              </w:rPr>
              <w:tab/>
            </w:r>
            <w:r>
              <w:rPr>
                <w:noProof/>
                <w:webHidden/>
              </w:rPr>
              <w:fldChar w:fldCharType="begin"/>
            </w:r>
            <w:r>
              <w:rPr>
                <w:noProof/>
                <w:webHidden/>
              </w:rPr>
              <w:instrText xml:space="preserve"> PAGEREF _Toc220490262 \h </w:instrText>
            </w:r>
            <w:r>
              <w:rPr>
                <w:noProof/>
                <w:webHidden/>
              </w:rPr>
            </w:r>
            <w:r>
              <w:rPr>
                <w:noProof/>
                <w:webHidden/>
              </w:rPr>
              <w:fldChar w:fldCharType="separate"/>
            </w:r>
            <w:r>
              <w:rPr>
                <w:noProof/>
                <w:webHidden/>
              </w:rPr>
              <w:t>372</w:t>
            </w:r>
            <w:r>
              <w:rPr>
                <w:noProof/>
                <w:webHidden/>
              </w:rPr>
              <w:fldChar w:fldCharType="end"/>
            </w:r>
          </w:hyperlink>
        </w:p>
        <w:p w14:paraId="19BC6347"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63" w:history="1">
            <w:r w:rsidRPr="000D551A">
              <w:rPr>
                <w:rStyle w:val="Lienhypertexte"/>
                <w:noProof/>
              </w:rPr>
              <w:t>42.16 Vitrages simples feuilletés CCTB 01.10</w:t>
            </w:r>
            <w:r>
              <w:rPr>
                <w:noProof/>
                <w:webHidden/>
              </w:rPr>
              <w:tab/>
            </w:r>
            <w:r>
              <w:rPr>
                <w:noProof/>
                <w:webHidden/>
              </w:rPr>
              <w:fldChar w:fldCharType="begin"/>
            </w:r>
            <w:r>
              <w:rPr>
                <w:noProof/>
                <w:webHidden/>
              </w:rPr>
              <w:instrText xml:space="preserve"> PAGEREF _Toc220490263 \h </w:instrText>
            </w:r>
            <w:r>
              <w:rPr>
                <w:noProof/>
                <w:webHidden/>
              </w:rPr>
            </w:r>
            <w:r>
              <w:rPr>
                <w:noProof/>
                <w:webHidden/>
              </w:rPr>
              <w:fldChar w:fldCharType="separate"/>
            </w:r>
            <w:r>
              <w:rPr>
                <w:noProof/>
                <w:webHidden/>
              </w:rPr>
              <w:t>372</w:t>
            </w:r>
            <w:r>
              <w:rPr>
                <w:noProof/>
                <w:webHidden/>
              </w:rPr>
              <w:fldChar w:fldCharType="end"/>
            </w:r>
          </w:hyperlink>
        </w:p>
        <w:p w14:paraId="6B3947B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64" w:history="1">
            <w:r w:rsidRPr="000D551A">
              <w:rPr>
                <w:rStyle w:val="Lienhypertexte"/>
                <w:noProof/>
              </w:rPr>
              <w:t>42.16.1 Vitrages simples feuilletés composés de verre CCTB 01.02</w:t>
            </w:r>
            <w:r>
              <w:rPr>
                <w:noProof/>
                <w:webHidden/>
              </w:rPr>
              <w:tab/>
            </w:r>
            <w:r>
              <w:rPr>
                <w:noProof/>
                <w:webHidden/>
              </w:rPr>
              <w:fldChar w:fldCharType="begin"/>
            </w:r>
            <w:r>
              <w:rPr>
                <w:noProof/>
                <w:webHidden/>
              </w:rPr>
              <w:instrText xml:space="preserve"> PAGEREF _Toc220490264 \h </w:instrText>
            </w:r>
            <w:r>
              <w:rPr>
                <w:noProof/>
                <w:webHidden/>
              </w:rPr>
            </w:r>
            <w:r>
              <w:rPr>
                <w:noProof/>
                <w:webHidden/>
              </w:rPr>
              <w:fldChar w:fldCharType="separate"/>
            </w:r>
            <w:r>
              <w:rPr>
                <w:noProof/>
                <w:webHidden/>
              </w:rPr>
              <w:t>372</w:t>
            </w:r>
            <w:r>
              <w:rPr>
                <w:noProof/>
                <w:webHidden/>
              </w:rPr>
              <w:fldChar w:fldCharType="end"/>
            </w:r>
          </w:hyperlink>
        </w:p>
        <w:p w14:paraId="0F8269F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65" w:history="1">
            <w:r w:rsidRPr="000D551A">
              <w:rPr>
                <w:rStyle w:val="Lienhypertexte"/>
                <w:noProof/>
              </w:rPr>
              <w:t>42.16.1a Vitrages simples feuilletés composés de verre à intercalaires transparents CCTB 01.11</w:t>
            </w:r>
            <w:r>
              <w:rPr>
                <w:noProof/>
                <w:webHidden/>
              </w:rPr>
              <w:tab/>
            </w:r>
            <w:r>
              <w:rPr>
                <w:noProof/>
                <w:webHidden/>
              </w:rPr>
              <w:fldChar w:fldCharType="begin"/>
            </w:r>
            <w:r>
              <w:rPr>
                <w:noProof/>
                <w:webHidden/>
              </w:rPr>
              <w:instrText xml:space="preserve"> PAGEREF _Toc220490265 \h </w:instrText>
            </w:r>
            <w:r>
              <w:rPr>
                <w:noProof/>
                <w:webHidden/>
              </w:rPr>
            </w:r>
            <w:r>
              <w:rPr>
                <w:noProof/>
                <w:webHidden/>
              </w:rPr>
              <w:fldChar w:fldCharType="separate"/>
            </w:r>
            <w:r>
              <w:rPr>
                <w:noProof/>
                <w:webHidden/>
              </w:rPr>
              <w:t>373</w:t>
            </w:r>
            <w:r>
              <w:rPr>
                <w:noProof/>
                <w:webHidden/>
              </w:rPr>
              <w:fldChar w:fldCharType="end"/>
            </w:r>
          </w:hyperlink>
        </w:p>
        <w:p w14:paraId="1928F5A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66" w:history="1">
            <w:r w:rsidRPr="000D551A">
              <w:rPr>
                <w:rStyle w:val="Lienhypertexte"/>
                <w:noProof/>
              </w:rPr>
              <w:t>42.16.1b Vitrages simples feuilletés composés de verre à intercalaires décoratifs CCTB 01.04</w:t>
            </w:r>
            <w:r>
              <w:rPr>
                <w:noProof/>
                <w:webHidden/>
              </w:rPr>
              <w:tab/>
            </w:r>
            <w:r>
              <w:rPr>
                <w:noProof/>
                <w:webHidden/>
              </w:rPr>
              <w:fldChar w:fldCharType="begin"/>
            </w:r>
            <w:r>
              <w:rPr>
                <w:noProof/>
                <w:webHidden/>
              </w:rPr>
              <w:instrText xml:space="preserve"> PAGEREF _Toc220490266 \h </w:instrText>
            </w:r>
            <w:r>
              <w:rPr>
                <w:noProof/>
                <w:webHidden/>
              </w:rPr>
            </w:r>
            <w:r>
              <w:rPr>
                <w:noProof/>
                <w:webHidden/>
              </w:rPr>
              <w:fldChar w:fldCharType="separate"/>
            </w:r>
            <w:r>
              <w:rPr>
                <w:noProof/>
                <w:webHidden/>
              </w:rPr>
              <w:t>374</w:t>
            </w:r>
            <w:r>
              <w:rPr>
                <w:noProof/>
                <w:webHidden/>
              </w:rPr>
              <w:fldChar w:fldCharType="end"/>
            </w:r>
          </w:hyperlink>
        </w:p>
        <w:p w14:paraId="5364492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67" w:history="1">
            <w:r w:rsidRPr="000D551A">
              <w:rPr>
                <w:rStyle w:val="Lienhypertexte"/>
                <w:noProof/>
              </w:rPr>
              <w:t>42.16.1c Vitrages simples feuilletés composés de verre résistants au feu CCTB 01.11</w:t>
            </w:r>
            <w:r>
              <w:rPr>
                <w:noProof/>
                <w:webHidden/>
              </w:rPr>
              <w:tab/>
            </w:r>
            <w:r>
              <w:rPr>
                <w:noProof/>
                <w:webHidden/>
              </w:rPr>
              <w:fldChar w:fldCharType="begin"/>
            </w:r>
            <w:r>
              <w:rPr>
                <w:noProof/>
                <w:webHidden/>
              </w:rPr>
              <w:instrText xml:space="preserve"> PAGEREF _Toc220490267 \h </w:instrText>
            </w:r>
            <w:r>
              <w:rPr>
                <w:noProof/>
                <w:webHidden/>
              </w:rPr>
            </w:r>
            <w:r>
              <w:rPr>
                <w:noProof/>
                <w:webHidden/>
              </w:rPr>
              <w:fldChar w:fldCharType="separate"/>
            </w:r>
            <w:r>
              <w:rPr>
                <w:noProof/>
                <w:webHidden/>
              </w:rPr>
              <w:t>374</w:t>
            </w:r>
            <w:r>
              <w:rPr>
                <w:noProof/>
                <w:webHidden/>
              </w:rPr>
              <w:fldChar w:fldCharType="end"/>
            </w:r>
          </w:hyperlink>
        </w:p>
        <w:p w14:paraId="495830D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68" w:history="1">
            <w:r w:rsidRPr="000D551A">
              <w:rPr>
                <w:rStyle w:val="Lienhypertexte"/>
                <w:noProof/>
              </w:rPr>
              <w:t>42.16.2 Vitrages simples feuilletés composés mixtes</w:t>
            </w:r>
            <w:r>
              <w:rPr>
                <w:noProof/>
                <w:webHidden/>
              </w:rPr>
              <w:tab/>
            </w:r>
            <w:r>
              <w:rPr>
                <w:noProof/>
                <w:webHidden/>
              </w:rPr>
              <w:fldChar w:fldCharType="begin"/>
            </w:r>
            <w:r>
              <w:rPr>
                <w:noProof/>
                <w:webHidden/>
              </w:rPr>
              <w:instrText xml:space="preserve"> PAGEREF _Toc220490268 \h </w:instrText>
            </w:r>
            <w:r>
              <w:rPr>
                <w:noProof/>
                <w:webHidden/>
              </w:rPr>
            </w:r>
            <w:r>
              <w:rPr>
                <w:noProof/>
                <w:webHidden/>
              </w:rPr>
              <w:fldChar w:fldCharType="separate"/>
            </w:r>
            <w:r>
              <w:rPr>
                <w:noProof/>
                <w:webHidden/>
              </w:rPr>
              <w:t>375</w:t>
            </w:r>
            <w:r>
              <w:rPr>
                <w:noProof/>
                <w:webHidden/>
              </w:rPr>
              <w:fldChar w:fldCharType="end"/>
            </w:r>
          </w:hyperlink>
        </w:p>
        <w:p w14:paraId="5755AA3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69" w:history="1">
            <w:r w:rsidRPr="000D551A">
              <w:rPr>
                <w:rStyle w:val="Lienhypertexte"/>
                <w:noProof/>
              </w:rPr>
              <w:t>42.16.2a Vitrages simples feuilletés composés mixtes</w:t>
            </w:r>
            <w:r>
              <w:rPr>
                <w:noProof/>
                <w:webHidden/>
              </w:rPr>
              <w:tab/>
            </w:r>
            <w:r>
              <w:rPr>
                <w:noProof/>
                <w:webHidden/>
              </w:rPr>
              <w:fldChar w:fldCharType="begin"/>
            </w:r>
            <w:r>
              <w:rPr>
                <w:noProof/>
                <w:webHidden/>
              </w:rPr>
              <w:instrText xml:space="preserve"> PAGEREF _Toc220490269 \h </w:instrText>
            </w:r>
            <w:r>
              <w:rPr>
                <w:noProof/>
                <w:webHidden/>
              </w:rPr>
            </w:r>
            <w:r>
              <w:rPr>
                <w:noProof/>
                <w:webHidden/>
              </w:rPr>
              <w:fldChar w:fldCharType="separate"/>
            </w:r>
            <w:r>
              <w:rPr>
                <w:noProof/>
                <w:webHidden/>
              </w:rPr>
              <w:t>375</w:t>
            </w:r>
            <w:r>
              <w:rPr>
                <w:noProof/>
                <w:webHidden/>
              </w:rPr>
              <w:fldChar w:fldCharType="end"/>
            </w:r>
          </w:hyperlink>
        </w:p>
        <w:p w14:paraId="0C7046E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70" w:history="1">
            <w:r w:rsidRPr="000D551A">
              <w:rPr>
                <w:rStyle w:val="Lienhypertexte"/>
                <w:noProof/>
              </w:rPr>
              <w:t>42.16.3 Vitrages simples feuilletés à traitements combinés</w:t>
            </w:r>
            <w:r>
              <w:rPr>
                <w:noProof/>
                <w:webHidden/>
              </w:rPr>
              <w:tab/>
            </w:r>
            <w:r>
              <w:rPr>
                <w:noProof/>
                <w:webHidden/>
              </w:rPr>
              <w:fldChar w:fldCharType="begin"/>
            </w:r>
            <w:r>
              <w:rPr>
                <w:noProof/>
                <w:webHidden/>
              </w:rPr>
              <w:instrText xml:space="preserve"> PAGEREF _Toc220490270 \h </w:instrText>
            </w:r>
            <w:r>
              <w:rPr>
                <w:noProof/>
                <w:webHidden/>
              </w:rPr>
            </w:r>
            <w:r>
              <w:rPr>
                <w:noProof/>
                <w:webHidden/>
              </w:rPr>
              <w:fldChar w:fldCharType="separate"/>
            </w:r>
            <w:r>
              <w:rPr>
                <w:noProof/>
                <w:webHidden/>
              </w:rPr>
              <w:t>375</w:t>
            </w:r>
            <w:r>
              <w:rPr>
                <w:noProof/>
                <w:webHidden/>
              </w:rPr>
              <w:fldChar w:fldCharType="end"/>
            </w:r>
          </w:hyperlink>
        </w:p>
        <w:p w14:paraId="4A5D62A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71" w:history="1">
            <w:r w:rsidRPr="000D551A">
              <w:rPr>
                <w:rStyle w:val="Lienhypertexte"/>
                <w:noProof/>
              </w:rPr>
              <w:t>42.16.3a Vitrages simples feuilletés à traitements combinés CCTB 01.04</w:t>
            </w:r>
            <w:r>
              <w:rPr>
                <w:noProof/>
                <w:webHidden/>
              </w:rPr>
              <w:tab/>
            </w:r>
            <w:r>
              <w:rPr>
                <w:noProof/>
                <w:webHidden/>
              </w:rPr>
              <w:fldChar w:fldCharType="begin"/>
            </w:r>
            <w:r>
              <w:rPr>
                <w:noProof/>
                <w:webHidden/>
              </w:rPr>
              <w:instrText xml:space="preserve"> PAGEREF _Toc220490271 \h </w:instrText>
            </w:r>
            <w:r>
              <w:rPr>
                <w:noProof/>
                <w:webHidden/>
              </w:rPr>
            </w:r>
            <w:r>
              <w:rPr>
                <w:noProof/>
                <w:webHidden/>
              </w:rPr>
              <w:fldChar w:fldCharType="separate"/>
            </w:r>
            <w:r>
              <w:rPr>
                <w:noProof/>
                <w:webHidden/>
              </w:rPr>
              <w:t>375</w:t>
            </w:r>
            <w:r>
              <w:rPr>
                <w:noProof/>
                <w:webHidden/>
              </w:rPr>
              <w:fldChar w:fldCharType="end"/>
            </w:r>
          </w:hyperlink>
        </w:p>
        <w:p w14:paraId="7B9EDD8F"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72" w:history="1">
            <w:r w:rsidRPr="000D551A">
              <w:rPr>
                <w:rStyle w:val="Lienhypertexte"/>
                <w:noProof/>
              </w:rPr>
              <w:t>42.17 Vitrages simples anti-radiations CCTB 01.11</w:t>
            </w:r>
            <w:r>
              <w:rPr>
                <w:noProof/>
                <w:webHidden/>
              </w:rPr>
              <w:tab/>
            </w:r>
            <w:r>
              <w:rPr>
                <w:noProof/>
                <w:webHidden/>
              </w:rPr>
              <w:fldChar w:fldCharType="begin"/>
            </w:r>
            <w:r>
              <w:rPr>
                <w:noProof/>
                <w:webHidden/>
              </w:rPr>
              <w:instrText xml:space="preserve"> PAGEREF _Toc220490272 \h </w:instrText>
            </w:r>
            <w:r>
              <w:rPr>
                <w:noProof/>
                <w:webHidden/>
              </w:rPr>
            </w:r>
            <w:r>
              <w:rPr>
                <w:noProof/>
                <w:webHidden/>
              </w:rPr>
              <w:fldChar w:fldCharType="separate"/>
            </w:r>
            <w:r>
              <w:rPr>
                <w:noProof/>
                <w:webHidden/>
              </w:rPr>
              <w:t>375</w:t>
            </w:r>
            <w:r>
              <w:rPr>
                <w:noProof/>
                <w:webHidden/>
              </w:rPr>
              <w:fldChar w:fldCharType="end"/>
            </w:r>
          </w:hyperlink>
        </w:p>
        <w:p w14:paraId="18A6B3E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73" w:history="1">
            <w:r w:rsidRPr="000D551A">
              <w:rPr>
                <w:rStyle w:val="Lienhypertexte"/>
                <w:noProof/>
              </w:rPr>
              <w:t>42.17.1 Vitrages simples anti-radiations CCTB 01.04</w:t>
            </w:r>
            <w:r>
              <w:rPr>
                <w:noProof/>
                <w:webHidden/>
              </w:rPr>
              <w:tab/>
            </w:r>
            <w:r>
              <w:rPr>
                <w:noProof/>
                <w:webHidden/>
              </w:rPr>
              <w:fldChar w:fldCharType="begin"/>
            </w:r>
            <w:r>
              <w:rPr>
                <w:noProof/>
                <w:webHidden/>
              </w:rPr>
              <w:instrText xml:space="preserve"> PAGEREF _Toc220490273 \h </w:instrText>
            </w:r>
            <w:r>
              <w:rPr>
                <w:noProof/>
                <w:webHidden/>
              </w:rPr>
            </w:r>
            <w:r>
              <w:rPr>
                <w:noProof/>
                <w:webHidden/>
              </w:rPr>
              <w:fldChar w:fldCharType="separate"/>
            </w:r>
            <w:r>
              <w:rPr>
                <w:noProof/>
                <w:webHidden/>
              </w:rPr>
              <w:t>376</w:t>
            </w:r>
            <w:r>
              <w:rPr>
                <w:noProof/>
                <w:webHidden/>
              </w:rPr>
              <w:fldChar w:fldCharType="end"/>
            </w:r>
          </w:hyperlink>
        </w:p>
        <w:p w14:paraId="4E518A6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74" w:history="1">
            <w:r w:rsidRPr="000D551A">
              <w:rPr>
                <w:rStyle w:val="Lienhypertexte"/>
                <w:noProof/>
              </w:rPr>
              <w:t>42.17.1a Vitrages simples anti-radiations CCTB 01.02</w:t>
            </w:r>
            <w:r>
              <w:rPr>
                <w:noProof/>
                <w:webHidden/>
              </w:rPr>
              <w:tab/>
            </w:r>
            <w:r>
              <w:rPr>
                <w:noProof/>
                <w:webHidden/>
              </w:rPr>
              <w:fldChar w:fldCharType="begin"/>
            </w:r>
            <w:r>
              <w:rPr>
                <w:noProof/>
                <w:webHidden/>
              </w:rPr>
              <w:instrText xml:space="preserve"> PAGEREF _Toc220490274 \h </w:instrText>
            </w:r>
            <w:r>
              <w:rPr>
                <w:noProof/>
                <w:webHidden/>
              </w:rPr>
            </w:r>
            <w:r>
              <w:rPr>
                <w:noProof/>
                <w:webHidden/>
              </w:rPr>
              <w:fldChar w:fldCharType="separate"/>
            </w:r>
            <w:r>
              <w:rPr>
                <w:noProof/>
                <w:webHidden/>
              </w:rPr>
              <w:t>376</w:t>
            </w:r>
            <w:r>
              <w:rPr>
                <w:noProof/>
                <w:webHidden/>
              </w:rPr>
              <w:fldChar w:fldCharType="end"/>
            </w:r>
          </w:hyperlink>
        </w:p>
        <w:p w14:paraId="29375C33"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275" w:history="1">
            <w:r w:rsidRPr="000D551A">
              <w:rPr>
                <w:rStyle w:val="Lienhypertexte"/>
                <w:noProof/>
              </w:rPr>
              <w:t>42.2 Vitrages multiples</w:t>
            </w:r>
            <w:r>
              <w:rPr>
                <w:noProof/>
                <w:webHidden/>
              </w:rPr>
              <w:tab/>
            </w:r>
            <w:r>
              <w:rPr>
                <w:noProof/>
                <w:webHidden/>
              </w:rPr>
              <w:fldChar w:fldCharType="begin"/>
            </w:r>
            <w:r>
              <w:rPr>
                <w:noProof/>
                <w:webHidden/>
              </w:rPr>
              <w:instrText xml:space="preserve"> PAGEREF _Toc220490275 \h </w:instrText>
            </w:r>
            <w:r>
              <w:rPr>
                <w:noProof/>
                <w:webHidden/>
              </w:rPr>
            </w:r>
            <w:r>
              <w:rPr>
                <w:noProof/>
                <w:webHidden/>
              </w:rPr>
              <w:fldChar w:fldCharType="separate"/>
            </w:r>
            <w:r>
              <w:rPr>
                <w:noProof/>
                <w:webHidden/>
              </w:rPr>
              <w:t>376</w:t>
            </w:r>
            <w:r>
              <w:rPr>
                <w:noProof/>
                <w:webHidden/>
              </w:rPr>
              <w:fldChar w:fldCharType="end"/>
            </w:r>
          </w:hyperlink>
        </w:p>
        <w:p w14:paraId="4BD8CEA4"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76" w:history="1">
            <w:r w:rsidRPr="000D551A">
              <w:rPr>
                <w:rStyle w:val="Lienhypertexte"/>
                <w:noProof/>
              </w:rPr>
              <w:t>42.21 Vitrages multiples - Air CCTB 01.11</w:t>
            </w:r>
            <w:r>
              <w:rPr>
                <w:noProof/>
                <w:webHidden/>
              </w:rPr>
              <w:tab/>
            </w:r>
            <w:r>
              <w:rPr>
                <w:noProof/>
                <w:webHidden/>
              </w:rPr>
              <w:fldChar w:fldCharType="begin"/>
            </w:r>
            <w:r>
              <w:rPr>
                <w:noProof/>
                <w:webHidden/>
              </w:rPr>
              <w:instrText xml:space="preserve"> PAGEREF _Toc220490276 \h </w:instrText>
            </w:r>
            <w:r>
              <w:rPr>
                <w:noProof/>
                <w:webHidden/>
              </w:rPr>
            </w:r>
            <w:r>
              <w:rPr>
                <w:noProof/>
                <w:webHidden/>
              </w:rPr>
              <w:fldChar w:fldCharType="separate"/>
            </w:r>
            <w:r>
              <w:rPr>
                <w:noProof/>
                <w:webHidden/>
              </w:rPr>
              <w:t>376</w:t>
            </w:r>
            <w:r>
              <w:rPr>
                <w:noProof/>
                <w:webHidden/>
              </w:rPr>
              <w:fldChar w:fldCharType="end"/>
            </w:r>
          </w:hyperlink>
        </w:p>
        <w:p w14:paraId="577C59A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77" w:history="1">
            <w:r w:rsidRPr="000D551A">
              <w:rPr>
                <w:rStyle w:val="Lienhypertexte"/>
                <w:noProof/>
              </w:rPr>
              <w:t>42.21.1 Vitrages doubles - Air CCTB 01.04</w:t>
            </w:r>
            <w:r>
              <w:rPr>
                <w:noProof/>
                <w:webHidden/>
              </w:rPr>
              <w:tab/>
            </w:r>
            <w:r>
              <w:rPr>
                <w:noProof/>
                <w:webHidden/>
              </w:rPr>
              <w:fldChar w:fldCharType="begin"/>
            </w:r>
            <w:r>
              <w:rPr>
                <w:noProof/>
                <w:webHidden/>
              </w:rPr>
              <w:instrText xml:space="preserve"> PAGEREF _Toc220490277 \h </w:instrText>
            </w:r>
            <w:r>
              <w:rPr>
                <w:noProof/>
                <w:webHidden/>
              </w:rPr>
            </w:r>
            <w:r>
              <w:rPr>
                <w:noProof/>
                <w:webHidden/>
              </w:rPr>
              <w:fldChar w:fldCharType="separate"/>
            </w:r>
            <w:r>
              <w:rPr>
                <w:noProof/>
                <w:webHidden/>
              </w:rPr>
              <w:t>378</w:t>
            </w:r>
            <w:r>
              <w:rPr>
                <w:noProof/>
                <w:webHidden/>
              </w:rPr>
              <w:fldChar w:fldCharType="end"/>
            </w:r>
          </w:hyperlink>
        </w:p>
        <w:p w14:paraId="5888EB2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78" w:history="1">
            <w:r w:rsidRPr="000D551A">
              <w:rPr>
                <w:rStyle w:val="Lienhypertexte"/>
                <w:noProof/>
              </w:rPr>
              <w:t>42.21.1a Vitrages doubles - Air CCTB 01.10</w:t>
            </w:r>
            <w:r>
              <w:rPr>
                <w:noProof/>
                <w:webHidden/>
              </w:rPr>
              <w:tab/>
            </w:r>
            <w:r>
              <w:rPr>
                <w:noProof/>
                <w:webHidden/>
              </w:rPr>
              <w:fldChar w:fldCharType="begin"/>
            </w:r>
            <w:r>
              <w:rPr>
                <w:noProof/>
                <w:webHidden/>
              </w:rPr>
              <w:instrText xml:space="preserve"> PAGEREF _Toc220490278 \h </w:instrText>
            </w:r>
            <w:r>
              <w:rPr>
                <w:noProof/>
                <w:webHidden/>
              </w:rPr>
            </w:r>
            <w:r>
              <w:rPr>
                <w:noProof/>
                <w:webHidden/>
              </w:rPr>
              <w:fldChar w:fldCharType="separate"/>
            </w:r>
            <w:r>
              <w:rPr>
                <w:noProof/>
                <w:webHidden/>
              </w:rPr>
              <w:t>378</w:t>
            </w:r>
            <w:r>
              <w:rPr>
                <w:noProof/>
                <w:webHidden/>
              </w:rPr>
              <w:fldChar w:fldCharType="end"/>
            </w:r>
          </w:hyperlink>
        </w:p>
        <w:p w14:paraId="17B1546A"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79" w:history="1">
            <w:r w:rsidRPr="000D551A">
              <w:rPr>
                <w:rStyle w:val="Lienhypertexte"/>
                <w:noProof/>
              </w:rPr>
              <w:t>42.22 Vitrages multiples - Gaz CCTB 01.11</w:t>
            </w:r>
            <w:r>
              <w:rPr>
                <w:noProof/>
                <w:webHidden/>
              </w:rPr>
              <w:tab/>
            </w:r>
            <w:r>
              <w:rPr>
                <w:noProof/>
                <w:webHidden/>
              </w:rPr>
              <w:fldChar w:fldCharType="begin"/>
            </w:r>
            <w:r>
              <w:rPr>
                <w:noProof/>
                <w:webHidden/>
              </w:rPr>
              <w:instrText xml:space="preserve"> PAGEREF _Toc220490279 \h </w:instrText>
            </w:r>
            <w:r>
              <w:rPr>
                <w:noProof/>
                <w:webHidden/>
              </w:rPr>
            </w:r>
            <w:r>
              <w:rPr>
                <w:noProof/>
                <w:webHidden/>
              </w:rPr>
              <w:fldChar w:fldCharType="separate"/>
            </w:r>
            <w:r>
              <w:rPr>
                <w:noProof/>
                <w:webHidden/>
              </w:rPr>
              <w:t>379</w:t>
            </w:r>
            <w:r>
              <w:rPr>
                <w:noProof/>
                <w:webHidden/>
              </w:rPr>
              <w:fldChar w:fldCharType="end"/>
            </w:r>
          </w:hyperlink>
        </w:p>
        <w:p w14:paraId="090030E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80" w:history="1">
            <w:r w:rsidRPr="000D551A">
              <w:rPr>
                <w:rStyle w:val="Lienhypertexte"/>
                <w:noProof/>
              </w:rPr>
              <w:t>42.22.1 Vitrages doubles - Gaz CCTB 01.02</w:t>
            </w:r>
            <w:r>
              <w:rPr>
                <w:noProof/>
                <w:webHidden/>
              </w:rPr>
              <w:tab/>
            </w:r>
            <w:r>
              <w:rPr>
                <w:noProof/>
                <w:webHidden/>
              </w:rPr>
              <w:fldChar w:fldCharType="begin"/>
            </w:r>
            <w:r>
              <w:rPr>
                <w:noProof/>
                <w:webHidden/>
              </w:rPr>
              <w:instrText xml:space="preserve"> PAGEREF _Toc220490280 \h </w:instrText>
            </w:r>
            <w:r>
              <w:rPr>
                <w:noProof/>
                <w:webHidden/>
              </w:rPr>
            </w:r>
            <w:r>
              <w:rPr>
                <w:noProof/>
                <w:webHidden/>
              </w:rPr>
              <w:fldChar w:fldCharType="separate"/>
            </w:r>
            <w:r>
              <w:rPr>
                <w:noProof/>
                <w:webHidden/>
              </w:rPr>
              <w:t>381</w:t>
            </w:r>
            <w:r>
              <w:rPr>
                <w:noProof/>
                <w:webHidden/>
              </w:rPr>
              <w:fldChar w:fldCharType="end"/>
            </w:r>
          </w:hyperlink>
        </w:p>
        <w:p w14:paraId="676142A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81" w:history="1">
            <w:r w:rsidRPr="000D551A">
              <w:rPr>
                <w:rStyle w:val="Lienhypertexte"/>
                <w:noProof/>
              </w:rPr>
              <w:t>42.22.1a Vitrages doubles - Gaz CCTB 01.11</w:t>
            </w:r>
            <w:r>
              <w:rPr>
                <w:noProof/>
                <w:webHidden/>
              </w:rPr>
              <w:tab/>
            </w:r>
            <w:r>
              <w:rPr>
                <w:noProof/>
                <w:webHidden/>
              </w:rPr>
              <w:fldChar w:fldCharType="begin"/>
            </w:r>
            <w:r>
              <w:rPr>
                <w:noProof/>
                <w:webHidden/>
              </w:rPr>
              <w:instrText xml:space="preserve"> PAGEREF _Toc220490281 \h </w:instrText>
            </w:r>
            <w:r>
              <w:rPr>
                <w:noProof/>
                <w:webHidden/>
              </w:rPr>
            </w:r>
            <w:r>
              <w:rPr>
                <w:noProof/>
                <w:webHidden/>
              </w:rPr>
              <w:fldChar w:fldCharType="separate"/>
            </w:r>
            <w:r>
              <w:rPr>
                <w:noProof/>
                <w:webHidden/>
              </w:rPr>
              <w:t>381</w:t>
            </w:r>
            <w:r>
              <w:rPr>
                <w:noProof/>
                <w:webHidden/>
              </w:rPr>
              <w:fldChar w:fldCharType="end"/>
            </w:r>
          </w:hyperlink>
        </w:p>
        <w:p w14:paraId="1946924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82" w:history="1">
            <w:r w:rsidRPr="000D551A">
              <w:rPr>
                <w:rStyle w:val="Lienhypertexte"/>
                <w:noProof/>
              </w:rPr>
              <w:t>42.22.2 Vitrages triples - Gaz CCTB 01.04</w:t>
            </w:r>
            <w:r>
              <w:rPr>
                <w:noProof/>
                <w:webHidden/>
              </w:rPr>
              <w:tab/>
            </w:r>
            <w:r>
              <w:rPr>
                <w:noProof/>
                <w:webHidden/>
              </w:rPr>
              <w:fldChar w:fldCharType="begin"/>
            </w:r>
            <w:r>
              <w:rPr>
                <w:noProof/>
                <w:webHidden/>
              </w:rPr>
              <w:instrText xml:space="preserve"> PAGEREF _Toc220490282 \h </w:instrText>
            </w:r>
            <w:r>
              <w:rPr>
                <w:noProof/>
                <w:webHidden/>
              </w:rPr>
            </w:r>
            <w:r>
              <w:rPr>
                <w:noProof/>
                <w:webHidden/>
              </w:rPr>
              <w:fldChar w:fldCharType="separate"/>
            </w:r>
            <w:r>
              <w:rPr>
                <w:noProof/>
                <w:webHidden/>
              </w:rPr>
              <w:t>382</w:t>
            </w:r>
            <w:r>
              <w:rPr>
                <w:noProof/>
                <w:webHidden/>
              </w:rPr>
              <w:fldChar w:fldCharType="end"/>
            </w:r>
          </w:hyperlink>
        </w:p>
        <w:p w14:paraId="43667B9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83" w:history="1">
            <w:r w:rsidRPr="000D551A">
              <w:rPr>
                <w:rStyle w:val="Lienhypertexte"/>
                <w:noProof/>
              </w:rPr>
              <w:t>42.22.2a Vitrages triples - Gaz CCTB 01.11</w:t>
            </w:r>
            <w:r>
              <w:rPr>
                <w:noProof/>
                <w:webHidden/>
              </w:rPr>
              <w:tab/>
            </w:r>
            <w:r>
              <w:rPr>
                <w:noProof/>
                <w:webHidden/>
              </w:rPr>
              <w:fldChar w:fldCharType="begin"/>
            </w:r>
            <w:r>
              <w:rPr>
                <w:noProof/>
                <w:webHidden/>
              </w:rPr>
              <w:instrText xml:space="preserve"> PAGEREF _Toc220490283 \h </w:instrText>
            </w:r>
            <w:r>
              <w:rPr>
                <w:noProof/>
                <w:webHidden/>
              </w:rPr>
            </w:r>
            <w:r>
              <w:rPr>
                <w:noProof/>
                <w:webHidden/>
              </w:rPr>
              <w:fldChar w:fldCharType="separate"/>
            </w:r>
            <w:r>
              <w:rPr>
                <w:noProof/>
                <w:webHidden/>
              </w:rPr>
              <w:t>382</w:t>
            </w:r>
            <w:r>
              <w:rPr>
                <w:noProof/>
                <w:webHidden/>
              </w:rPr>
              <w:fldChar w:fldCharType="end"/>
            </w:r>
          </w:hyperlink>
        </w:p>
        <w:p w14:paraId="4D9F585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84" w:history="1">
            <w:r w:rsidRPr="000D551A">
              <w:rPr>
                <w:rStyle w:val="Lienhypertexte"/>
                <w:noProof/>
              </w:rPr>
              <w:t>42.22.3 Vitrages multiples à séparations par films tendus - Gaz CCTB 01.04</w:t>
            </w:r>
            <w:r>
              <w:rPr>
                <w:noProof/>
                <w:webHidden/>
              </w:rPr>
              <w:tab/>
            </w:r>
            <w:r>
              <w:rPr>
                <w:noProof/>
                <w:webHidden/>
              </w:rPr>
              <w:fldChar w:fldCharType="begin"/>
            </w:r>
            <w:r>
              <w:rPr>
                <w:noProof/>
                <w:webHidden/>
              </w:rPr>
              <w:instrText xml:space="preserve"> PAGEREF _Toc220490284 \h </w:instrText>
            </w:r>
            <w:r>
              <w:rPr>
                <w:noProof/>
                <w:webHidden/>
              </w:rPr>
            </w:r>
            <w:r>
              <w:rPr>
                <w:noProof/>
                <w:webHidden/>
              </w:rPr>
              <w:fldChar w:fldCharType="separate"/>
            </w:r>
            <w:r>
              <w:rPr>
                <w:noProof/>
                <w:webHidden/>
              </w:rPr>
              <w:t>385</w:t>
            </w:r>
            <w:r>
              <w:rPr>
                <w:noProof/>
                <w:webHidden/>
              </w:rPr>
              <w:fldChar w:fldCharType="end"/>
            </w:r>
          </w:hyperlink>
        </w:p>
        <w:p w14:paraId="750D0CA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85" w:history="1">
            <w:r w:rsidRPr="000D551A">
              <w:rPr>
                <w:rStyle w:val="Lienhypertexte"/>
                <w:noProof/>
              </w:rPr>
              <w:t>42.22.3a Vitrages multiples à séparations par films tendus - Gaz CCTB 01.04</w:t>
            </w:r>
            <w:r>
              <w:rPr>
                <w:noProof/>
                <w:webHidden/>
              </w:rPr>
              <w:tab/>
            </w:r>
            <w:r>
              <w:rPr>
                <w:noProof/>
                <w:webHidden/>
              </w:rPr>
              <w:fldChar w:fldCharType="begin"/>
            </w:r>
            <w:r>
              <w:rPr>
                <w:noProof/>
                <w:webHidden/>
              </w:rPr>
              <w:instrText xml:space="preserve"> PAGEREF _Toc220490285 \h </w:instrText>
            </w:r>
            <w:r>
              <w:rPr>
                <w:noProof/>
                <w:webHidden/>
              </w:rPr>
            </w:r>
            <w:r>
              <w:rPr>
                <w:noProof/>
                <w:webHidden/>
              </w:rPr>
              <w:fldChar w:fldCharType="separate"/>
            </w:r>
            <w:r>
              <w:rPr>
                <w:noProof/>
                <w:webHidden/>
              </w:rPr>
              <w:t>385</w:t>
            </w:r>
            <w:r>
              <w:rPr>
                <w:noProof/>
                <w:webHidden/>
              </w:rPr>
              <w:fldChar w:fldCharType="end"/>
            </w:r>
          </w:hyperlink>
        </w:p>
        <w:p w14:paraId="10AC011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86" w:history="1">
            <w:r w:rsidRPr="000D551A">
              <w:rPr>
                <w:rStyle w:val="Lienhypertexte"/>
                <w:noProof/>
              </w:rPr>
              <w:t>42.22.4 Vitrages multiples (+ de trois) - Gaz</w:t>
            </w:r>
            <w:r>
              <w:rPr>
                <w:noProof/>
                <w:webHidden/>
              </w:rPr>
              <w:tab/>
            </w:r>
            <w:r>
              <w:rPr>
                <w:noProof/>
                <w:webHidden/>
              </w:rPr>
              <w:fldChar w:fldCharType="begin"/>
            </w:r>
            <w:r>
              <w:rPr>
                <w:noProof/>
                <w:webHidden/>
              </w:rPr>
              <w:instrText xml:space="preserve"> PAGEREF _Toc220490286 \h </w:instrText>
            </w:r>
            <w:r>
              <w:rPr>
                <w:noProof/>
                <w:webHidden/>
              </w:rPr>
            </w:r>
            <w:r>
              <w:rPr>
                <w:noProof/>
                <w:webHidden/>
              </w:rPr>
              <w:fldChar w:fldCharType="separate"/>
            </w:r>
            <w:r>
              <w:rPr>
                <w:noProof/>
                <w:webHidden/>
              </w:rPr>
              <w:t>385</w:t>
            </w:r>
            <w:r>
              <w:rPr>
                <w:noProof/>
                <w:webHidden/>
              </w:rPr>
              <w:fldChar w:fldCharType="end"/>
            </w:r>
          </w:hyperlink>
        </w:p>
        <w:p w14:paraId="31B3C5A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87" w:history="1">
            <w:r w:rsidRPr="000D551A">
              <w:rPr>
                <w:rStyle w:val="Lienhypertexte"/>
                <w:noProof/>
              </w:rPr>
              <w:t>42.22.4a Vitrages multiples (+ de trois) - Gaz</w:t>
            </w:r>
            <w:r>
              <w:rPr>
                <w:noProof/>
                <w:webHidden/>
              </w:rPr>
              <w:tab/>
            </w:r>
            <w:r>
              <w:rPr>
                <w:noProof/>
                <w:webHidden/>
              </w:rPr>
              <w:fldChar w:fldCharType="begin"/>
            </w:r>
            <w:r>
              <w:rPr>
                <w:noProof/>
                <w:webHidden/>
              </w:rPr>
              <w:instrText xml:space="preserve"> PAGEREF _Toc220490287 \h </w:instrText>
            </w:r>
            <w:r>
              <w:rPr>
                <w:noProof/>
                <w:webHidden/>
              </w:rPr>
            </w:r>
            <w:r>
              <w:rPr>
                <w:noProof/>
                <w:webHidden/>
              </w:rPr>
              <w:fldChar w:fldCharType="separate"/>
            </w:r>
            <w:r>
              <w:rPr>
                <w:noProof/>
                <w:webHidden/>
              </w:rPr>
              <w:t>385</w:t>
            </w:r>
            <w:r>
              <w:rPr>
                <w:noProof/>
                <w:webHidden/>
              </w:rPr>
              <w:fldChar w:fldCharType="end"/>
            </w:r>
          </w:hyperlink>
        </w:p>
        <w:p w14:paraId="58B149EA"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88" w:history="1">
            <w:r w:rsidRPr="000D551A">
              <w:rPr>
                <w:rStyle w:val="Lienhypertexte"/>
                <w:noProof/>
              </w:rPr>
              <w:t>42.23 Vitrages multiples - Sous vide</w:t>
            </w:r>
            <w:r>
              <w:rPr>
                <w:noProof/>
                <w:webHidden/>
              </w:rPr>
              <w:tab/>
            </w:r>
            <w:r>
              <w:rPr>
                <w:noProof/>
                <w:webHidden/>
              </w:rPr>
              <w:fldChar w:fldCharType="begin"/>
            </w:r>
            <w:r>
              <w:rPr>
                <w:noProof/>
                <w:webHidden/>
              </w:rPr>
              <w:instrText xml:space="preserve"> PAGEREF _Toc220490288 \h </w:instrText>
            </w:r>
            <w:r>
              <w:rPr>
                <w:noProof/>
                <w:webHidden/>
              </w:rPr>
            </w:r>
            <w:r>
              <w:rPr>
                <w:noProof/>
                <w:webHidden/>
              </w:rPr>
              <w:fldChar w:fldCharType="separate"/>
            </w:r>
            <w:r>
              <w:rPr>
                <w:noProof/>
                <w:webHidden/>
              </w:rPr>
              <w:t>385</w:t>
            </w:r>
            <w:r>
              <w:rPr>
                <w:noProof/>
                <w:webHidden/>
              </w:rPr>
              <w:fldChar w:fldCharType="end"/>
            </w:r>
          </w:hyperlink>
        </w:p>
        <w:p w14:paraId="246D781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89" w:history="1">
            <w:r w:rsidRPr="000D551A">
              <w:rPr>
                <w:rStyle w:val="Lienhypertexte"/>
                <w:noProof/>
              </w:rPr>
              <w:t>42.23.1 Vitrages multiples - Sous vide</w:t>
            </w:r>
            <w:r>
              <w:rPr>
                <w:noProof/>
                <w:webHidden/>
              </w:rPr>
              <w:tab/>
            </w:r>
            <w:r>
              <w:rPr>
                <w:noProof/>
                <w:webHidden/>
              </w:rPr>
              <w:fldChar w:fldCharType="begin"/>
            </w:r>
            <w:r>
              <w:rPr>
                <w:noProof/>
                <w:webHidden/>
              </w:rPr>
              <w:instrText xml:space="preserve"> PAGEREF _Toc220490289 \h </w:instrText>
            </w:r>
            <w:r>
              <w:rPr>
                <w:noProof/>
                <w:webHidden/>
              </w:rPr>
            </w:r>
            <w:r>
              <w:rPr>
                <w:noProof/>
                <w:webHidden/>
              </w:rPr>
              <w:fldChar w:fldCharType="separate"/>
            </w:r>
            <w:r>
              <w:rPr>
                <w:noProof/>
                <w:webHidden/>
              </w:rPr>
              <w:t>385</w:t>
            </w:r>
            <w:r>
              <w:rPr>
                <w:noProof/>
                <w:webHidden/>
              </w:rPr>
              <w:fldChar w:fldCharType="end"/>
            </w:r>
          </w:hyperlink>
        </w:p>
        <w:p w14:paraId="16A4DB4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90" w:history="1">
            <w:r w:rsidRPr="000D551A">
              <w:rPr>
                <w:rStyle w:val="Lienhypertexte"/>
                <w:noProof/>
              </w:rPr>
              <w:t>42.23.1a Vitrages multiples - Sous vide CCTB 01.12</w:t>
            </w:r>
            <w:r>
              <w:rPr>
                <w:noProof/>
                <w:webHidden/>
              </w:rPr>
              <w:tab/>
            </w:r>
            <w:r>
              <w:rPr>
                <w:noProof/>
                <w:webHidden/>
              </w:rPr>
              <w:fldChar w:fldCharType="begin"/>
            </w:r>
            <w:r>
              <w:rPr>
                <w:noProof/>
                <w:webHidden/>
              </w:rPr>
              <w:instrText xml:space="preserve"> PAGEREF _Toc220490290 \h </w:instrText>
            </w:r>
            <w:r>
              <w:rPr>
                <w:noProof/>
                <w:webHidden/>
              </w:rPr>
            </w:r>
            <w:r>
              <w:rPr>
                <w:noProof/>
                <w:webHidden/>
              </w:rPr>
              <w:fldChar w:fldCharType="separate"/>
            </w:r>
            <w:r>
              <w:rPr>
                <w:noProof/>
                <w:webHidden/>
              </w:rPr>
              <w:t>385</w:t>
            </w:r>
            <w:r>
              <w:rPr>
                <w:noProof/>
                <w:webHidden/>
              </w:rPr>
              <w:fldChar w:fldCharType="end"/>
            </w:r>
          </w:hyperlink>
        </w:p>
        <w:p w14:paraId="4D7D133A"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91" w:history="1">
            <w:r w:rsidRPr="000D551A">
              <w:rPr>
                <w:rStyle w:val="Lienhypertexte"/>
                <w:noProof/>
              </w:rPr>
              <w:t>42.24 Eléments complémentaires aux vitrages multiples</w:t>
            </w:r>
            <w:r>
              <w:rPr>
                <w:noProof/>
                <w:webHidden/>
              </w:rPr>
              <w:tab/>
            </w:r>
            <w:r>
              <w:rPr>
                <w:noProof/>
                <w:webHidden/>
              </w:rPr>
              <w:fldChar w:fldCharType="begin"/>
            </w:r>
            <w:r>
              <w:rPr>
                <w:noProof/>
                <w:webHidden/>
              </w:rPr>
              <w:instrText xml:space="preserve"> PAGEREF _Toc220490291 \h </w:instrText>
            </w:r>
            <w:r>
              <w:rPr>
                <w:noProof/>
                <w:webHidden/>
              </w:rPr>
            </w:r>
            <w:r>
              <w:rPr>
                <w:noProof/>
                <w:webHidden/>
              </w:rPr>
              <w:fldChar w:fldCharType="separate"/>
            </w:r>
            <w:r>
              <w:rPr>
                <w:noProof/>
                <w:webHidden/>
              </w:rPr>
              <w:t>387</w:t>
            </w:r>
            <w:r>
              <w:rPr>
                <w:noProof/>
                <w:webHidden/>
              </w:rPr>
              <w:fldChar w:fldCharType="end"/>
            </w:r>
          </w:hyperlink>
        </w:p>
        <w:p w14:paraId="5257692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92" w:history="1">
            <w:r w:rsidRPr="000D551A">
              <w:rPr>
                <w:rStyle w:val="Lienhypertexte"/>
                <w:noProof/>
              </w:rPr>
              <w:t>42.24.1 Stores intégrés aux vitrages multiples CCTB 01.02</w:t>
            </w:r>
            <w:r>
              <w:rPr>
                <w:noProof/>
                <w:webHidden/>
              </w:rPr>
              <w:tab/>
            </w:r>
            <w:r>
              <w:rPr>
                <w:noProof/>
                <w:webHidden/>
              </w:rPr>
              <w:fldChar w:fldCharType="begin"/>
            </w:r>
            <w:r>
              <w:rPr>
                <w:noProof/>
                <w:webHidden/>
              </w:rPr>
              <w:instrText xml:space="preserve"> PAGEREF _Toc220490292 \h </w:instrText>
            </w:r>
            <w:r>
              <w:rPr>
                <w:noProof/>
                <w:webHidden/>
              </w:rPr>
            </w:r>
            <w:r>
              <w:rPr>
                <w:noProof/>
                <w:webHidden/>
              </w:rPr>
              <w:fldChar w:fldCharType="separate"/>
            </w:r>
            <w:r>
              <w:rPr>
                <w:noProof/>
                <w:webHidden/>
              </w:rPr>
              <w:t>387</w:t>
            </w:r>
            <w:r>
              <w:rPr>
                <w:noProof/>
                <w:webHidden/>
              </w:rPr>
              <w:fldChar w:fldCharType="end"/>
            </w:r>
          </w:hyperlink>
        </w:p>
        <w:p w14:paraId="7E69787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93" w:history="1">
            <w:r w:rsidRPr="000D551A">
              <w:rPr>
                <w:rStyle w:val="Lienhypertexte"/>
                <w:noProof/>
              </w:rPr>
              <w:t>42.24.1a Stores intégrés aux vitrages multiples</w:t>
            </w:r>
            <w:r>
              <w:rPr>
                <w:noProof/>
                <w:webHidden/>
              </w:rPr>
              <w:tab/>
            </w:r>
            <w:r>
              <w:rPr>
                <w:noProof/>
                <w:webHidden/>
              </w:rPr>
              <w:fldChar w:fldCharType="begin"/>
            </w:r>
            <w:r>
              <w:rPr>
                <w:noProof/>
                <w:webHidden/>
              </w:rPr>
              <w:instrText xml:space="preserve"> PAGEREF _Toc220490293 \h </w:instrText>
            </w:r>
            <w:r>
              <w:rPr>
                <w:noProof/>
                <w:webHidden/>
              </w:rPr>
            </w:r>
            <w:r>
              <w:rPr>
                <w:noProof/>
                <w:webHidden/>
              </w:rPr>
              <w:fldChar w:fldCharType="separate"/>
            </w:r>
            <w:r>
              <w:rPr>
                <w:noProof/>
                <w:webHidden/>
              </w:rPr>
              <w:t>387</w:t>
            </w:r>
            <w:r>
              <w:rPr>
                <w:noProof/>
                <w:webHidden/>
              </w:rPr>
              <w:fldChar w:fldCharType="end"/>
            </w:r>
          </w:hyperlink>
        </w:p>
        <w:p w14:paraId="2F3E9C9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94" w:history="1">
            <w:r w:rsidRPr="000D551A">
              <w:rPr>
                <w:rStyle w:val="Lienhypertexte"/>
                <w:noProof/>
              </w:rPr>
              <w:t>42.24.2 Croisillons intégrés aux vitrages multiples</w:t>
            </w:r>
            <w:r>
              <w:rPr>
                <w:noProof/>
                <w:webHidden/>
              </w:rPr>
              <w:tab/>
            </w:r>
            <w:r>
              <w:rPr>
                <w:noProof/>
                <w:webHidden/>
              </w:rPr>
              <w:fldChar w:fldCharType="begin"/>
            </w:r>
            <w:r>
              <w:rPr>
                <w:noProof/>
                <w:webHidden/>
              </w:rPr>
              <w:instrText xml:space="preserve"> PAGEREF _Toc220490294 \h </w:instrText>
            </w:r>
            <w:r>
              <w:rPr>
                <w:noProof/>
                <w:webHidden/>
              </w:rPr>
            </w:r>
            <w:r>
              <w:rPr>
                <w:noProof/>
                <w:webHidden/>
              </w:rPr>
              <w:fldChar w:fldCharType="separate"/>
            </w:r>
            <w:r>
              <w:rPr>
                <w:noProof/>
                <w:webHidden/>
              </w:rPr>
              <w:t>387</w:t>
            </w:r>
            <w:r>
              <w:rPr>
                <w:noProof/>
                <w:webHidden/>
              </w:rPr>
              <w:fldChar w:fldCharType="end"/>
            </w:r>
          </w:hyperlink>
        </w:p>
        <w:p w14:paraId="100AD56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95" w:history="1">
            <w:r w:rsidRPr="000D551A">
              <w:rPr>
                <w:rStyle w:val="Lienhypertexte"/>
                <w:noProof/>
              </w:rPr>
              <w:t>42.24.2a Croisillons intégrés aux vitrages multiples</w:t>
            </w:r>
            <w:r>
              <w:rPr>
                <w:noProof/>
                <w:webHidden/>
              </w:rPr>
              <w:tab/>
            </w:r>
            <w:r>
              <w:rPr>
                <w:noProof/>
                <w:webHidden/>
              </w:rPr>
              <w:fldChar w:fldCharType="begin"/>
            </w:r>
            <w:r>
              <w:rPr>
                <w:noProof/>
                <w:webHidden/>
              </w:rPr>
              <w:instrText xml:space="preserve"> PAGEREF _Toc220490295 \h </w:instrText>
            </w:r>
            <w:r>
              <w:rPr>
                <w:noProof/>
                <w:webHidden/>
              </w:rPr>
            </w:r>
            <w:r>
              <w:rPr>
                <w:noProof/>
                <w:webHidden/>
              </w:rPr>
              <w:fldChar w:fldCharType="separate"/>
            </w:r>
            <w:r>
              <w:rPr>
                <w:noProof/>
                <w:webHidden/>
              </w:rPr>
              <w:t>387</w:t>
            </w:r>
            <w:r>
              <w:rPr>
                <w:noProof/>
                <w:webHidden/>
              </w:rPr>
              <w:fldChar w:fldCharType="end"/>
            </w:r>
          </w:hyperlink>
        </w:p>
        <w:p w14:paraId="0AAA9EC0"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296" w:history="1">
            <w:r w:rsidRPr="000D551A">
              <w:rPr>
                <w:rStyle w:val="Lienhypertexte"/>
                <w:noProof/>
              </w:rPr>
              <w:t>42.3 Eléments de remplissage CCTB 01.10</w:t>
            </w:r>
            <w:r>
              <w:rPr>
                <w:noProof/>
                <w:webHidden/>
              </w:rPr>
              <w:tab/>
            </w:r>
            <w:r>
              <w:rPr>
                <w:noProof/>
                <w:webHidden/>
              </w:rPr>
              <w:fldChar w:fldCharType="begin"/>
            </w:r>
            <w:r>
              <w:rPr>
                <w:noProof/>
                <w:webHidden/>
              </w:rPr>
              <w:instrText xml:space="preserve"> PAGEREF _Toc220490296 \h </w:instrText>
            </w:r>
            <w:r>
              <w:rPr>
                <w:noProof/>
                <w:webHidden/>
              </w:rPr>
            </w:r>
            <w:r>
              <w:rPr>
                <w:noProof/>
                <w:webHidden/>
              </w:rPr>
              <w:fldChar w:fldCharType="separate"/>
            </w:r>
            <w:r>
              <w:rPr>
                <w:noProof/>
                <w:webHidden/>
              </w:rPr>
              <w:t>387</w:t>
            </w:r>
            <w:r>
              <w:rPr>
                <w:noProof/>
                <w:webHidden/>
              </w:rPr>
              <w:fldChar w:fldCharType="end"/>
            </w:r>
          </w:hyperlink>
        </w:p>
        <w:p w14:paraId="4E98F1A8"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297" w:history="1">
            <w:r w:rsidRPr="000D551A">
              <w:rPr>
                <w:rStyle w:val="Lienhypertexte"/>
                <w:noProof/>
              </w:rPr>
              <w:t>42.31 Eléments de remplissage en planchettes CCTB 01.02</w:t>
            </w:r>
            <w:r>
              <w:rPr>
                <w:noProof/>
                <w:webHidden/>
              </w:rPr>
              <w:tab/>
            </w:r>
            <w:r>
              <w:rPr>
                <w:noProof/>
                <w:webHidden/>
              </w:rPr>
              <w:fldChar w:fldCharType="begin"/>
            </w:r>
            <w:r>
              <w:rPr>
                <w:noProof/>
                <w:webHidden/>
              </w:rPr>
              <w:instrText xml:space="preserve"> PAGEREF _Toc220490297 \h </w:instrText>
            </w:r>
            <w:r>
              <w:rPr>
                <w:noProof/>
                <w:webHidden/>
              </w:rPr>
            </w:r>
            <w:r>
              <w:rPr>
                <w:noProof/>
                <w:webHidden/>
              </w:rPr>
              <w:fldChar w:fldCharType="separate"/>
            </w:r>
            <w:r>
              <w:rPr>
                <w:noProof/>
                <w:webHidden/>
              </w:rPr>
              <w:t>389</w:t>
            </w:r>
            <w:r>
              <w:rPr>
                <w:noProof/>
                <w:webHidden/>
              </w:rPr>
              <w:fldChar w:fldCharType="end"/>
            </w:r>
          </w:hyperlink>
        </w:p>
        <w:p w14:paraId="5C7BA5E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298" w:history="1">
            <w:r w:rsidRPr="000D551A">
              <w:rPr>
                <w:rStyle w:val="Lienhypertexte"/>
                <w:noProof/>
              </w:rPr>
              <w:t>42.31.1 Eléments de remplissage en planchettes en bois CCTB 01.02</w:t>
            </w:r>
            <w:r>
              <w:rPr>
                <w:noProof/>
                <w:webHidden/>
              </w:rPr>
              <w:tab/>
            </w:r>
            <w:r>
              <w:rPr>
                <w:noProof/>
                <w:webHidden/>
              </w:rPr>
              <w:fldChar w:fldCharType="begin"/>
            </w:r>
            <w:r>
              <w:rPr>
                <w:noProof/>
                <w:webHidden/>
              </w:rPr>
              <w:instrText xml:space="preserve"> PAGEREF _Toc220490298 \h </w:instrText>
            </w:r>
            <w:r>
              <w:rPr>
                <w:noProof/>
                <w:webHidden/>
              </w:rPr>
            </w:r>
            <w:r>
              <w:rPr>
                <w:noProof/>
                <w:webHidden/>
              </w:rPr>
              <w:fldChar w:fldCharType="separate"/>
            </w:r>
            <w:r>
              <w:rPr>
                <w:noProof/>
                <w:webHidden/>
              </w:rPr>
              <w:t>389</w:t>
            </w:r>
            <w:r>
              <w:rPr>
                <w:noProof/>
                <w:webHidden/>
              </w:rPr>
              <w:fldChar w:fldCharType="end"/>
            </w:r>
          </w:hyperlink>
        </w:p>
        <w:p w14:paraId="0E99648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299" w:history="1">
            <w:r w:rsidRPr="000D551A">
              <w:rPr>
                <w:rStyle w:val="Lienhypertexte"/>
                <w:noProof/>
              </w:rPr>
              <w:t>42.31.1a Eléments de remplissage en planchettes en bois CCTB 01.11</w:t>
            </w:r>
            <w:r>
              <w:rPr>
                <w:noProof/>
                <w:webHidden/>
              </w:rPr>
              <w:tab/>
            </w:r>
            <w:r>
              <w:rPr>
                <w:noProof/>
                <w:webHidden/>
              </w:rPr>
              <w:fldChar w:fldCharType="begin"/>
            </w:r>
            <w:r>
              <w:rPr>
                <w:noProof/>
                <w:webHidden/>
              </w:rPr>
              <w:instrText xml:space="preserve"> PAGEREF _Toc220490299 \h </w:instrText>
            </w:r>
            <w:r>
              <w:rPr>
                <w:noProof/>
                <w:webHidden/>
              </w:rPr>
            </w:r>
            <w:r>
              <w:rPr>
                <w:noProof/>
                <w:webHidden/>
              </w:rPr>
              <w:fldChar w:fldCharType="separate"/>
            </w:r>
            <w:r>
              <w:rPr>
                <w:noProof/>
                <w:webHidden/>
              </w:rPr>
              <w:t>389</w:t>
            </w:r>
            <w:r>
              <w:rPr>
                <w:noProof/>
                <w:webHidden/>
              </w:rPr>
              <w:fldChar w:fldCharType="end"/>
            </w:r>
          </w:hyperlink>
        </w:p>
        <w:p w14:paraId="2DB1F99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00" w:history="1">
            <w:r w:rsidRPr="000D551A">
              <w:rPr>
                <w:rStyle w:val="Lienhypertexte"/>
                <w:noProof/>
              </w:rPr>
              <w:t>42.31.2 Eléments de remplissage en planchettes métalliques CCTB 01.02</w:t>
            </w:r>
            <w:r>
              <w:rPr>
                <w:noProof/>
                <w:webHidden/>
              </w:rPr>
              <w:tab/>
            </w:r>
            <w:r>
              <w:rPr>
                <w:noProof/>
                <w:webHidden/>
              </w:rPr>
              <w:fldChar w:fldCharType="begin"/>
            </w:r>
            <w:r>
              <w:rPr>
                <w:noProof/>
                <w:webHidden/>
              </w:rPr>
              <w:instrText xml:space="preserve"> PAGEREF _Toc220490300 \h </w:instrText>
            </w:r>
            <w:r>
              <w:rPr>
                <w:noProof/>
                <w:webHidden/>
              </w:rPr>
            </w:r>
            <w:r>
              <w:rPr>
                <w:noProof/>
                <w:webHidden/>
              </w:rPr>
              <w:fldChar w:fldCharType="separate"/>
            </w:r>
            <w:r>
              <w:rPr>
                <w:noProof/>
                <w:webHidden/>
              </w:rPr>
              <w:t>391</w:t>
            </w:r>
            <w:r>
              <w:rPr>
                <w:noProof/>
                <w:webHidden/>
              </w:rPr>
              <w:fldChar w:fldCharType="end"/>
            </w:r>
          </w:hyperlink>
        </w:p>
        <w:p w14:paraId="1FC1D7D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01" w:history="1">
            <w:r w:rsidRPr="000D551A">
              <w:rPr>
                <w:rStyle w:val="Lienhypertexte"/>
                <w:noProof/>
              </w:rPr>
              <w:t>42.31.2a Eléments de remplissage en planchettes métalliques CCTB 01.11</w:t>
            </w:r>
            <w:r>
              <w:rPr>
                <w:noProof/>
                <w:webHidden/>
              </w:rPr>
              <w:tab/>
            </w:r>
            <w:r>
              <w:rPr>
                <w:noProof/>
                <w:webHidden/>
              </w:rPr>
              <w:fldChar w:fldCharType="begin"/>
            </w:r>
            <w:r>
              <w:rPr>
                <w:noProof/>
                <w:webHidden/>
              </w:rPr>
              <w:instrText xml:space="preserve"> PAGEREF _Toc220490301 \h </w:instrText>
            </w:r>
            <w:r>
              <w:rPr>
                <w:noProof/>
                <w:webHidden/>
              </w:rPr>
            </w:r>
            <w:r>
              <w:rPr>
                <w:noProof/>
                <w:webHidden/>
              </w:rPr>
              <w:fldChar w:fldCharType="separate"/>
            </w:r>
            <w:r>
              <w:rPr>
                <w:noProof/>
                <w:webHidden/>
              </w:rPr>
              <w:t>391</w:t>
            </w:r>
            <w:r>
              <w:rPr>
                <w:noProof/>
                <w:webHidden/>
              </w:rPr>
              <w:fldChar w:fldCharType="end"/>
            </w:r>
          </w:hyperlink>
        </w:p>
        <w:p w14:paraId="6A8180A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02" w:history="1">
            <w:r w:rsidRPr="000D551A">
              <w:rPr>
                <w:rStyle w:val="Lienhypertexte"/>
                <w:noProof/>
              </w:rPr>
              <w:t>42.31.3 Eléments de remplissage en planchettes en matière synthétique CCTB 01.02</w:t>
            </w:r>
            <w:r>
              <w:rPr>
                <w:noProof/>
                <w:webHidden/>
              </w:rPr>
              <w:tab/>
            </w:r>
            <w:r>
              <w:rPr>
                <w:noProof/>
                <w:webHidden/>
              </w:rPr>
              <w:fldChar w:fldCharType="begin"/>
            </w:r>
            <w:r>
              <w:rPr>
                <w:noProof/>
                <w:webHidden/>
              </w:rPr>
              <w:instrText xml:space="preserve"> PAGEREF _Toc220490302 \h </w:instrText>
            </w:r>
            <w:r>
              <w:rPr>
                <w:noProof/>
                <w:webHidden/>
              </w:rPr>
            </w:r>
            <w:r>
              <w:rPr>
                <w:noProof/>
                <w:webHidden/>
              </w:rPr>
              <w:fldChar w:fldCharType="separate"/>
            </w:r>
            <w:r>
              <w:rPr>
                <w:noProof/>
                <w:webHidden/>
              </w:rPr>
              <w:t>392</w:t>
            </w:r>
            <w:r>
              <w:rPr>
                <w:noProof/>
                <w:webHidden/>
              </w:rPr>
              <w:fldChar w:fldCharType="end"/>
            </w:r>
          </w:hyperlink>
        </w:p>
        <w:p w14:paraId="05329AE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03" w:history="1">
            <w:r w:rsidRPr="000D551A">
              <w:rPr>
                <w:rStyle w:val="Lienhypertexte"/>
                <w:noProof/>
              </w:rPr>
              <w:t>42.31.3a Eléments de remplissage en planchettes en matière synthétique CCTB 01.11</w:t>
            </w:r>
            <w:r>
              <w:rPr>
                <w:noProof/>
                <w:webHidden/>
              </w:rPr>
              <w:tab/>
            </w:r>
            <w:r>
              <w:rPr>
                <w:noProof/>
                <w:webHidden/>
              </w:rPr>
              <w:fldChar w:fldCharType="begin"/>
            </w:r>
            <w:r>
              <w:rPr>
                <w:noProof/>
                <w:webHidden/>
              </w:rPr>
              <w:instrText xml:space="preserve"> PAGEREF _Toc220490303 \h </w:instrText>
            </w:r>
            <w:r>
              <w:rPr>
                <w:noProof/>
                <w:webHidden/>
              </w:rPr>
            </w:r>
            <w:r>
              <w:rPr>
                <w:noProof/>
                <w:webHidden/>
              </w:rPr>
              <w:fldChar w:fldCharType="separate"/>
            </w:r>
            <w:r>
              <w:rPr>
                <w:noProof/>
                <w:webHidden/>
              </w:rPr>
              <w:t>392</w:t>
            </w:r>
            <w:r>
              <w:rPr>
                <w:noProof/>
                <w:webHidden/>
              </w:rPr>
              <w:fldChar w:fldCharType="end"/>
            </w:r>
          </w:hyperlink>
        </w:p>
        <w:p w14:paraId="016D8E4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04" w:history="1">
            <w:r w:rsidRPr="000D551A">
              <w:rPr>
                <w:rStyle w:val="Lienhypertexte"/>
                <w:noProof/>
              </w:rPr>
              <w:t>42.31.4 Eléments de remplissage en planchettes en fibres ciment CCTB 01.02</w:t>
            </w:r>
            <w:r>
              <w:rPr>
                <w:noProof/>
                <w:webHidden/>
              </w:rPr>
              <w:tab/>
            </w:r>
            <w:r>
              <w:rPr>
                <w:noProof/>
                <w:webHidden/>
              </w:rPr>
              <w:fldChar w:fldCharType="begin"/>
            </w:r>
            <w:r>
              <w:rPr>
                <w:noProof/>
                <w:webHidden/>
              </w:rPr>
              <w:instrText xml:space="preserve"> PAGEREF _Toc220490304 \h </w:instrText>
            </w:r>
            <w:r>
              <w:rPr>
                <w:noProof/>
                <w:webHidden/>
              </w:rPr>
            </w:r>
            <w:r>
              <w:rPr>
                <w:noProof/>
                <w:webHidden/>
              </w:rPr>
              <w:fldChar w:fldCharType="separate"/>
            </w:r>
            <w:r>
              <w:rPr>
                <w:noProof/>
                <w:webHidden/>
              </w:rPr>
              <w:t>394</w:t>
            </w:r>
            <w:r>
              <w:rPr>
                <w:noProof/>
                <w:webHidden/>
              </w:rPr>
              <w:fldChar w:fldCharType="end"/>
            </w:r>
          </w:hyperlink>
        </w:p>
        <w:p w14:paraId="62F6EA2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05" w:history="1">
            <w:r w:rsidRPr="000D551A">
              <w:rPr>
                <w:rStyle w:val="Lienhypertexte"/>
                <w:noProof/>
              </w:rPr>
              <w:t>42.31.4a Eléments de remplissage en planchettes en fibres ciment CCTB 01.11</w:t>
            </w:r>
            <w:r>
              <w:rPr>
                <w:noProof/>
                <w:webHidden/>
              </w:rPr>
              <w:tab/>
            </w:r>
            <w:r>
              <w:rPr>
                <w:noProof/>
                <w:webHidden/>
              </w:rPr>
              <w:fldChar w:fldCharType="begin"/>
            </w:r>
            <w:r>
              <w:rPr>
                <w:noProof/>
                <w:webHidden/>
              </w:rPr>
              <w:instrText xml:space="preserve"> PAGEREF _Toc220490305 \h </w:instrText>
            </w:r>
            <w:r>
              <w:rPr>
                <w:noProof/>
                <w:webHidden/>
              </w:rPr>
            </w:r>
            <w:r>
              <w:rPr>
                <w:noProof/>
                <w:webHidden/>
              </w:rPr>
              <w:fldChar w:fldCharType="separate"/>
            </w:r>
            <w:r>
              <w:rPr>
                <w:noProof/>
                <w:webHidden/>
              </w:rPr>
              <w:t>394</w:t>
            </w:r>
            <w:r>
              <w:rPr>
                <w:noProof/>
                <w:webHidden/>
              </w:rPr>
              <w:fldChar w:fldCharType="end"/>
            </w:r>
          </w:hyperlink>
        </w:p>
        <w:p w14:paraId="358240F3"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06" w:history="1">
            <w:r w:rsidRPr="000D551A">
              <w:rPr>
                <w:rStyle w:val="Lienhypertexte"/>
                <w:noProof/>
              </w:rPr>
              <w:t>42.32 Eléments de remplissage en panneaux transparents / translucides CCTB 01.11</w:t>
            </w:r>
            <w:r>
              <w:rPr>
                <w:noProof/>
                <w:webHidden/>
              </w:rPr>
              <w:tab/>
            </w:r>
            <w:r>
              <w:rPr>
                <w:noProof/>
                <w:webHidden/>
              </w:rPr>
              <w:fldChar w:fldCharType="begin"/>
            </w:r>
            <w:r>
              <w:rPr>
                <w:noProof/>
                <w:webHidden/>
              </w:rPr>
              <w:instrText xml:space="preserve"> PAGEREF _Toc220490306 \h </w:instrText>
            </w:r>
            <w:r>
              <w:rPr>
                <w:noProof/>
                <w:webHidden/>
              </w:rPr>
            </w:r>
            <w:r>
              <w:rPr>
                <w:noProof/>
                <w:webHidden/>
              </w:rPr>
              <w:fldChar w:fldCharType="separate"/>
            </w:r>
            <w:r>
              <w:rPr>
                <w:noProof/>
                <w:webHidden/>
              </w:rPr>
              <w:t>395</w:t>
            </w:r>
            <w:r>
              <w:rPr>
                <w:noProof/>
                <w:webHidden/>
              </w:rPr>
              <w:fldChar w:fldCharType="end"/>
            </w:r>
          </w:hyperlink>
        </w:p>
        <w:p w14:paraId="61027A9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07" w:history="1">
            <w:r w:rsidRPr="000D551A">
              <w:rPr>
                <w:rStyle w:val="Lienhypertexte"/>
                <w:noProof/>
              </w:rPr>
              <w:t>42.32.1 Eléments de remplissage en panneaux translucides / transparents en polycarbonate CCTB 01.02</w:t>
            </w:r>
            <w:r>
              <w:rPr>
                <w:noProof/>
                <w:webHidden/>
              </w:rPr>
              <w:tab/>
            </w:r>
            <w:r>
              <w:rPr>
                <w:noProof/>
                <w:webHidden/>
              </w:rPr>
              <w:fldChar w:fldCharType="begin"/>
            </w:r>
            <w:r>
              <w:rPr>
                <w:noProof/>
                <w:webHidden/>
              </w:rPr>
              <w:instrText xml:space="preserve"> PAGEREF _Toc220490307 \h </w:instrText>
            </w:r>
            <w:r>
              <w:rPr>
                <w:noProof/>
                <w:webHidden/>
              </w:rPr>
            </w:r>
            <w:r>
              <w:rPr>
                <w:noProof/>
                <w:webHidden/>
              </w:rPr>
              <w:fldChar w:fldCharType="separate"/>
            </w:r>
            <w:r>
              <w:rPr>
                <w:noProof/>
                <w:webHidden/>
              </w:rPr>
              <w:t>396</w:t>
            </w:r>
            <w:r>
              <w:rPr>
                <w:noProof/>
                <w:webHidden/>
              </w:rPr>
              <w:fldChar w:fldCharType="end"/>
            </w:r>
          </w:hyperlink>
        </w:p>
        <w:p w14:paraId="372634F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08" w:history="1">
            <w:r w:rsidRPr="000D551A">
              <w:rPr>
                <w:rStyle w:val="Lienhypertexte"/>
                <w:noProof/>
              </w:rPr>
              <w:t>42.32.1a Eléments de remplissage en panneaux translucides / transparents en polycarbonate CCTB 01.11</w:t>
            </w:r>
            <w:r>
              <w:rPr>
                <w:noProof/>
                <w:webHidden/>
              </w:rPr>
              <w:tab/>
            </w:r>
            <w:r>
              <w:rPr>
                <w:noProof/>
                <w:webHidden/>
              </w:rPr>
              <w:fldChar w:fldCharType="begin"/>
            </w:r>
            <w:r>
              <w:rPr>
                <w:noProof/>
                <w:webHidden/>
              </w:rPr>
              <w:instrText xml:space="preserve"> PAGEREF _Toc220490308 \h </w:instrText>
            </w:r>
            <w:r>
              <w:rPr>
                <w:noProof/>
                <w:webHidden/>
              </w:rPr>
            </w:r>
            <w:r>
              <w:rPr>
                <w:noProof/>
                <w:webHidden/>
              </w:rPr>
              <w:fldChar w:fldCharType="separate"/>
            </w:r>
            <w:r>
              <w:rPr>
                <w:noProof/>
                <w:webHidden/>
              </w:rPr>
              <w:t>396</w:t>
            </w:r>
            <w:r>
              <w:rPr>
                <w:noProof/>
                <w:webHidden/>
              </w:rPr>
              <w:fldChar w:fldCharType="end"/>
            </w:r>
          </w:hyperlink>
        </w:p>
        <w:p w14:paraId="4FCBE65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09" w:history="1">
            <w:r w:rsidRPr="000D551A">
              <w:rPr>
                <w:rStyle w:val="Lienhypertexte"/>
                <w:noProof/>
              </w:rPr>
              <w:t>42.32.2 Eléments de remplissage en panneaux translucides / transparents en PMMA CCTB 01.02</w:t>
            </w:r>
            <w:r>
              <w:rPr>
                <w:noProof/>
                <w:webHidden/>
              </w:rPr>
              <w:tab/>
            </w:r>
            <w:r>
              <w:rPr>
                <w:noProof/>
                <w:webHidden/>
              </w:rPr>
              <w:fldChar w:fldCharType="begin"/>
            </w:r>
            <w:r>
              <w:rPr>
                <w:noProof/>
                <w:webHidden/>
              </w:rPr>
              <w:instrText xml:space="preserve"> PAGEREF _Toc220490309 \h </w:instrText>
            </w:r>
            <w:r>
              <w:rPr>
                <w:noProof/>
                <w:webHidden/>
              </w:rPr>
            </w:r>
            <w:r>
              <w:rPr>
                <w:noProof/>
                <w:webHidden/>
              </w:rPr>
              <w:fldChar w:fldCharType="separate"/>
            </w:r>
            <w:r>
              <w:rPr>
                <w:noProof/>
                <w:webHidden/>
              </w:rPr>
              <w:t>398</w:t>
            </w:r>
            <w:r>
              <w:rPr>
                <w:noProof/>
                <w:webHidden/>
              </w:rPr>
              <w:fldChar w:fldCharType="end"/>
            </w:r>
          </w:hyperlink>
        </w:p>
        <w:p w14:paraId="5C4F766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10" w:history="1">
            <w:r w:rsidRPr="000D551A">
              <w:rPr>
                <w:rStyle w:val="Lienhypertexte"/>
                <w:noProof/>
              </w:rPr>
              <w:t>42.32.2a Eléments de remplissage en panneaux translucides / transparents en PMMA</w:t>
            </w:r>
            <w:r>
              <w:rPr>
                <w:noProof/>
                <w:webHidden/>
              </w:rPr>
              <w:tab/>
            </w:r>
            <w:r>
              <w:rPr>
                <w:noProof/>
                <w:webHidden/>
              </w:rPr>
              <w:fldChar w:fldCharType="begin"/>
            </w:r>
            <w:r>
              <w:rPr>
                <w:noProof/>
                <w:webHidden/>
              </w:rPr>
              <w:instrText xml:space="preserve"> PAGEREF _Toc220490310 \h </w:instrText>
            </w:r>
            <w:r>
              <w:rPr>
                <w:noProof/>
                <w:webHidden/>
              </w:rPr>
            </w:r>
            <w:r>
              <w:rPr>
                <w:noProof/>
                <w:webHidden/>
              </w:rPr>
              <w:fldChar w:fldCharType="separate"/>
            </w:r>
            <w:r>
              <w:rPr>
                <w:noProof/>
                <w:webHidden/>
              </w:rPr>
              <w:t>398</w:t>
            </w:r>
            <w:r>
              <w:rPr>
                <w:noProof/>
                <w:webHidden/>
              </w:rPr>
              <w:fldChar w:fldCharType="end"/>
            </w:r>
          </w:hyperlink>
        </w:p>
        <w:p w14:paraId="6F7F655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11" w:history="1">
            <w:r w:rsidRPr="000D551A">
              <w:rPr>
                <w:rStyle w:val="Lienhypertexte"/>
                <w:noProof/>
              </w:rPr>
              <w:t>42.32.3 Eléments de remplissage en panneaux translucides / transparents en acrylique CCTB 01.02</w:t>
            </w:r>
            <w:r>
              <w:rPr>
                <w:noProof/>
                <w:webHidden/>
              </w:rPr>
              <w:tab/>
            </w:r>
            <w:r>
              <w:rPr>
                <w:noProof/>
                <w:webHidden/>
              </w:rPr>
              <w:fldChar w:fldCharType="begin"/>
            </w:r>
            <w:r>
              <w:rPr>
                <w:noProof/>
                <w:webHidden/>
              </w:rPr>
              <w:instrText xml:space="preserve"> PAGEREF _Toc220490311 \h </w:instrText>
            </w:r>
            <w:r>
              <w:rPr>
                <w:noProof/>
                <w:webHidden/>
              </w:rPr>
            </w:r>
            <w:r>
              <w:rPr>
                <w:noProof/>
                <w:webHidden/>
              </w:rPr>
              <w:fldChar w:fldCharType="separate"/>
            </w:r>
            <w:r>
              <w:rPr>
                <w:noProof/>
                <w:webHidden/>
              </w:rPr>
              <w:t>398</w:t>
            </w:r>
            <w:r>
              <w:rPr>
                <w:noProof/>
                <w:webHidden/>
              </w:rPr>
              <w:fldChar w:fldCharType="end"/>
            </w:r>
          </w:hyperlink>
        </w:p>
        <w:p w14:paraId="055F1BA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12" w:history="1">
            <w:r w:rsidRPr="000D551A">
              <w:rPr>
                <w:rStyle w:val="Lienhypertexte"/>
                <w:noProof/>
              </w:rPr>
              <w:t>42.32.3a Eléments de remplissage en panneaux translucides / transparents en acrylique CCTB 01.10</w:t>
            </w:r>
            <w:r>
              <w:rPr>
                <w:noProof/>
                <w:webHidden/>
              </w:rPr>
              <w:tab/>
            </w:r>
            <w:r>
              <w:rPr>
                <w:noProof/>
                <w:webHidden/>
              </w:rPr>
              <w:fldChar w:fldCharType="begin"/>
            </w:r>
            <w:r>
              <w:rPr>
                <w:noProof/>
                <w:webHidden/>
              </w:rPr>
              <w:instrText xml:space="preserve"> PAGEREF _Toc220490312 \h </w:instrText>
            </w:r>
            <w:r>
              <w:rPr>
                <w:noProof/>
                <w:webHidden/>
              </w:rPr>
            </w:r>
            <w:r>
              <w:rPr>
                <w:noProof/>
                <w:webHidden/>
              </w:rPr>
              <w:fldChar w:fldCharType="separate"/>
            </w:r>
            <w:r>
              <w:rPr>
                <w:noProof/>
                <w:webHidden/>
              </w:rPr>
              <w:t>398</w:t>
            </w:r>
            <w:r>
              <w:rPr>
                <w:noProof/>
                <w:webHidden/>
              </w:rPr>
              <w:fldChar w:fldCharType="end"/>
            </w:r>
          </w:hyperlink>
        </w:p>
        <w:p w14:paraId="2CB4FBA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13" w:history="1">
            <w:r w:rsidRPr="000D551A">
              <w:rPr>
                <w:rStyle w:val="Lienhypertexte"/>
                <w:noProof/>
              </w:rPr>
              <w:t>42.32.4 Eléments de remplissage en panneaux translucides / transparents en PVC CCTB 01.02</w:t>
            </w:r>
            <w:r>
              <w:rPr>
                <w:noProof/>
                <w:webHidden/>
              </w:rPr>
              <w:tab/>
            </w:r>
            <w:r>
              <w:rPr>
                <w:noProof/>
                <w:webHidden/>
              </w:rPr>
              <w:fldChar w:fldCharType="begin"/>
            </w:r>
            <w:r>
              <w:rPr>
                <w:noProof/>
                <w:webHidden/>
              </w:rPr>
              <w:instrText xml:space="preserve"> PAGEREF _Toc220490313 \h </w:instrText>
            </w:r>
            <w:r>
              <w:rPr>
                <w:noProof/>
                <w:webHidden/>
              </w:rPr>
            </w:r>
            <w:r>
              <w:rPr>
                <w:noProof/>
                <w:webHidden/>
              </w:rPr>
              <w:fldChar w:fldCharType="separate"/>
            </w:r>
            <w:r>
              <w:rPr>
                <w:noProof/>
                <w:webHidden/>
              </w:rPr>
              <w:t>399</w:t>
            </w:r>
            <w:r>
              <w:rPr>
                <w:noProof/>
                <w:webHidden/>
              </w:rPr>
              <w:fldChar w:fldCharType="end"/>
            </w:r>
          </w:hyperlink>
        </w:p>
        <w:p w14:paraId="36265C8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14" w:history="1">
            <w:r w:rsidRPr="000D551A">
              <w:rPr>
                <w:rStyle w:val="Lienhypertexte"/>
                <w:noProof/>
              </w:rPr>
              <w:t>42.32.4a Eléments de remplissage en panneaux translucides / transparents en PVC CCTB 01.10</w:t>
            </w:r>
            <w:r>
              <w:rPr>
                <w:noProof/>
                <w:webHidden/>
              </w:rPr>
              <w:tab/>
            </w:r>
            <w:r>
              <w:rPr>
                <w:noProof/>
                <w:webHidden/>
              </w:rPr>
              <w:fldChar w:fldCharType="begin"/>
            </w:r>
            <w:r>
              <w:rPr>
                <w:noProof/>
                <w:webHidden/>
              </w:rPr>
              <w:instrText xml:space="preserve"> PAGEREF _Toc220490314 \h </w:instrText>
            </w:r>
            <w:r>
              <w:rPr>
                <w:noProof/>
                <w:webHidden/>
              </w:rPr>
            </w:r>
            <w:r>
              <w:rPr>
                <w:noProof/>
                <w:webHidden/>
              </w:rPr>
              <w:fldChar w:fldCharType="separate"/>
            </w:r>
            <w:r>
              <w:rPr>
                <w:noProof/>
                <w:webHidden/>
              </w:rPr>
              <w:t>399</w:t>
            </w:r>
            <w:r>
              <w:rPr>
                <w:noProof/>
                <w:webHidden/>
              </w:rPr>
              <w:fldChar w:fldCharType="end"/>
            </w:r>
          </w:hyperlink>
        </w:p>
        <w:p w14:paraId="78B794DB"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15" w:history="1">
            <w:r w:rsidRPr="000D551A">
              <w:rPr>
                <w:rStyle w:val="Lienhypertexte"/>
                <w:noProof/>
              </w:rPr>
              <w:t>42.33 Eléments de remplissage en panneaux opaques CCTB 01.02</w:t>
            </w:r>
            <w:r>
              <w:rPr>
                <w:noProof/>
                <w:webHidden/>
              </w:rPr>
              <w:tab/>
            </w:r>
            <w:r>
              <w:rPr>
                <w:noProof/>
                <w:webHidden/>
              </w:rPr>
              <w:fldChar w:fldCharType="begin"/>
            </w:r>
            <w:r>
              <w:rPr>
                <w:noProof/>
                <w:webHidden/>
              </w:rPr>
              <w:instrText xml:space="preserve"> PAGEREF _Toc220490315 \h </w:instrText>
            </w:r>
            <w:r>
              <w:rPr>
                <w:noProof/>
                <w:webHidden/>
              </w:rPr>
            </w:r>
            <w:r>
              <w:rPr>
                <w:noProof/>
                <w:webHidden/>
              </w:rPr>
              <w:fldChar w:fldCharType="separate"/>
            </w:r>
            <w:r>
              <w:rPr>
                <w:noProof/>
                <w:webHidden/>
              </w:rPr>
              <w:t>400</w:t>
            </w:r>
            <w:r>
              <w:rPr>
                <w:noProof/>
                <w:webHidden/>
              </w:rPr>
              <w:fldChar w:fldCharType="end"/>
            </w:r>
          </w:hyperlink>
        </w:p>
        <w:p w14:paraId="35D6872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16" w:history="1">
            <w:r w:rsidRPr="000D551A">
              <w:rPr>
                <w:rStyle w:val="Lienhypertexte"/>
                <w:noProof/>
              </w:rPr>
              <w:t>42.33.1 Eléments de remplissage en panneaux opaques en bois CCTB 01.02</w:t>
            </w:r>
            <w:r>
              <w:rPr>
                <w:noProof/>
                <w:webHidden/>
              </w:rPr>
              <w:tab/>
            </w:r>
            <w:r>
              <w:rPr>
                <w:noProof/>
                <w:webHidden/>
              </w:rPr>
              <w:fldChar w:fldCharType="begin"/>
            </w:r>
            <w:r>
              <w:rPr>
                <w:noProof/>
                <w:webHidden/>
              </w:rPr>
              <w:instrText xml:space="preserve"> PAGEREF _Toc220490316 \h </w:instrText>
            </w:r>
            <w:r>
              <w:rPr>
                <w:noProof/>
                <w:webHidden/>
              </w:rPr>
            </w:r>
            <w:r>
              <w:rPr>
                <w:noProof/>
                <w:webHidden/>
              </w:rPr>
              <w:fldChar w:fldCharType="separate"/>
            </w:r>
            <w:r>
              <w:rPr>
                <w:noProof/>
                <w:webHidden/>
              </w:rPr>
              <w:t>400</w:t>
            </w:r>
            <w:r>
              <w:rPr>
                <w:noProof/>
                <w:webHidden/>
              </w:rPr>
              <w:fldChar w:fldCharType="end"/>
            </w:r>
          </w:hyperlink>
        </w:p>
        <w:p w14:paraId="020BA4B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17" w:history="1">
            <w:r w:rsidRPr="000D551A">
              <w:rPr>
                <w:rStyle w:val="Lienhypertexte"/>
                <w:noProof/>
              </w:rPr>
              <w:t>42.33.1a Eléments de remplissage en panneaux opaques en bois CCTB 01.11</w:t>
            </w:r>
            <w:r>
              <w:rPr>
                <w:noProof/>
                <w:webHidden/>
              </w:rPr>
              <w:tab/>
            </w:r>
            <w:r>
              <w:rPr>
                <w:noProof/>
                <w:webHidden/>
              </w:rPr>
              <w:fldChar w:fldCharType="begin"/>
            </w:r>
            <w:r>
              <w:rPr>
                <w:noProof/>
                <w:webHidden/>
              </w:rPr>
              <w:instrText xml:space="preserve"> PAGEREF _Toc220490317 \h </w:instrText>
            </w:r>
            <w:r>
              <w:rPr>
                <w:noProof/>
                <w:webHidden/>
              </w:rPr>
            </w:r>
            <w:r>
              <w:rPr>
                <w:noProof/>
                <w:webHidden/>
              </w:rPr>
              <w:fldChar w:fldCharType="separate"/>
            </w:r>
            <w:r>
              <w:rPr>
                <w:noProof/>
                <w:webHidden/>
              </w:rPr>
              <w:t>400</w:t>
            </w:r>
            <w:r>
              <w:rPr>
                <w:noProof/>
                <w:webHidden/>
              </w:rPr>
              <w:fldChar w:fldCharType="end"/>
            </w:r>
          </w:hyperlink>
        </w:p>
        <w:p w14:paraId="13BB714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18" w:history="1">
            <w:r w:rsidRPr="000D551A">
              <w:rPr>
                <w:rStyle w:val="Lienhypertexte"/>
                <w:noProof/>
              </w:rPr>
              <w:t>42.33.2 Eléments de remplissage en panneaux opaques métalliques CCTB 01.02</w:t>
            </w:r>
            <w:r>
              <w:rPr>
                <w:noProof/>
                <w:webHidden/>
              </w:rPr>
              <w:tab/>
            </w:r>
            <w:r>
              <w:rPr>
                <w:noProof/>
                <w:webHidden/>
              </w:rPr>
              <w:fldChar w:fldCharType="begin"/>
            </w:r>
            <w:r>
              <w:rPr>
                <w:noProof/>
                <w:webHidden/>
              </w:rPr>
              <w:instrText xml:space="preserve"> PAGEREF _Toc220490318 \h </w:instrText>
            </w:r>
            <w:r>
              <w:rPr>
                <w:noProof/>
                <w:webHidden/>
              </w:rPr>
            </w:r>
            <w:r>
              <w:rPr>
                <w:noProof/>
                <w:webHidden/>
              </w:rPr>
              <w:fldChar w:fldCharType="separate"/>
            </w:r>
            <w:r>
              <w:rPr>
                <w:noProof/>
                <w:webHidden/>
              </w:rPr>
              <w:t>402</w:t>
            </w:r>
            <w:r>
              <w:rPr>
                <w:noProof/>
                <w:webHidden/>
              </w:rPr>
              <w:fldChar w:fldCharType="end"/>
            </w:r>
          </w:hyperlink>
        </w:p>
        <w:p w14:paraId="18F668E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19" w:history="1">
            <w:r w:rsidRPr="000D551A">
              <w:rPr>
                <w:rStyle w:val="Lienhypertexte"/>
                <w:noProof/>
              </w:rPr>
              <w:t>42.33.2a Eléments de remplissage en panneaux opaques métalliques CCTB 01.11</w:t>
            </w:r>
            <w:r>
              <w:rPr>
                <w:noProof/>
                <w:webHidden/>
              </w:rPr>
              <w:tab/>
            </w:r>
            <w:r>
              <w:rPr>
                <w:noProof/>
                <w:webHidden/>
              </w:rPr>
              <w:fldChar w:fldCharType="begin"/>
            </w:r>
            <w:r>
              <w:rPr>
                <w:noProof/>
                <w:webHidden/>
              </w:rPr>
              <w:instrText xml:space="preserve"> PAGEREF _Toc220490319 \h </w:instrText>
            </w:r>
            <w:r>
              <w:rPr>
                <w:noProof/>
                <w:webHidden/>
              </w:rPr>
            </w:r>
            <w:r>
              <w:rPr>
                <w:noProof/>
                <w:webHidden/>
              </w:rPr>
              <w:fldChar w:fldCharType="separate"/>
            </w:r>
            <w:r>
              <w:rPr>
                <w:noProof/>
                <w:webHidden/>
              </w:rPr>
              <w:t>402</w:t>
            </w:r>
            <w:r>
              <w:rPr>
                <w:noProof/>
                <w:webHidden/>
              </w:rPr>
              <w:fldChar w:fldCharType="end"/>
            </w:r>
          </w:hyperlink>
        </w:p>
        <w:p w14:paraId="402211F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20" w:history="1">
            <w:r w:rsidRPr="000D551A">
              <w:rPr>
                <w:rStyle w:val="Lienhypertexte"/>
                <w:noProof/>
              </w:rPr>
              <w:t>42.33.3 Eléments de remplissage en panneaux opaques en matière synthétique CCTB 01.02</w:t>
            </w:r>
            <w:r>
              <w:rPr>
                <w:noProof/>
                <w:webHidden/>
              </w:rPr>
              <w:tab/>
            </w:r>
            <w:r>
              <w:rPr>
                <w:noProof/>
                <w:webHidden/>
              </w:rPr>
              <w:fldChar w:fldCharType="begin"/>
            </w:r>
            <w:r>
              <w:rPr>
                <w:noProof/>
                <w:webHidden/>
              </w:rPr>
              <w:instrText xml:space="preserve"> PAGEREF _Toc220490320 \h </w:instrText>
            </w:r>
            <w:r>
              <w:rPr>
                <w:noProof/>
                <w:webHidden/>
              </w:rPr>
            </w:r>
            <w:r>
              <w:rPr>
                <w:noProof/>
                <w:webHidden/>
              </w:rPr>
              <w:fldChar w:fldCharType="separate"/>
            </w:r>
            <w:r>
              <w:rPr>
                <w:noProof/>
                <w:webHidden/>
              </w:rPr>
              <w:t>403</w:t>
            </w:r>
            <w:r>
              <w:rPr>
                <w:noProof/>
                <w:webHidden/>
              </w:rPr>
              <w:fldChar w:fldCharType="end"/>
            </w:r>
          </w:hyperlink>
        </w:p>
        <w:p w14:paraId="7617501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21" w:history="1">
            <w:r w:rsidRPr="000D551A">
              <w:rPr>
                <w:rStyle w:val="Lienhypertexte"/>
                <w:noProof/>
              </w:rPr>
              <w:t>42.33.3a Eléments de remplissage en panneaux opaques en matière synthétique CCTB 01.11</w:t>
            </w:r>
            <w:r>
              <w:rPr>
                <w:noProof/>
                <w:webHidden/>
              </w:rPr>
              <w:tab/>
            </w:r>
            <w:r>
              <w:rPr>
                <w:noProof/>
                <w:webHidden/>
              </w:rPr>
              <w:fldChar w:fldCharType="begin"/>
            </w:r>
            <w:r>
              <w:rPr>
                <w:noProof/>
                <w:webHidden/>
              </w:rPr>
              <w:instrText xml:space="preserve"> PAGEREF _Toc220490321 \h </w:instrText>
            </w:r>
            <w:r>
              <w:rPr>
                <w:noProof/>
                <w:webHidden/>
              </w:rPr>
            </w:r>
            <w:r>
              <w:rPr>
                <w:noProof/>
                <w:webHidden/>
              </w:rPr>
              <w:fldChar w:fldCharType="separate"/>
            </w:r>
            <w:r>
              <w:rPr>
                <w:noProof/>
                <w:webHidden/>
              </w:rPr>
              <w:t>403</w:t>
            </w:r>
            <w:r>
              <w:rPr>
                <w:noProof/>
                <w:webHidden/>
              </w:rPr>
              <w:fldChar w:fldCharType="end"/>
            </w:r>
          </w:hyperlink>
        </w:p>
        <w:p w14:paraId="7767B69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22" w:history="1">
            <w:r w:rsidRPr="000D551A">
              <w:rPr>
                <w:rStyle w:val="Lienhypertexte"/>
                <w:noProof/>
              </w:rPr>
              <w:t>42.33.4 Eléments de remplissage en panneaux opaques en fibres ciment CCTB 01.02</w:t>
            </w:r>
            <w:r>
              <w:rPr>
                <w:noProof/>
                <w:webHidden/>
              </w:rPr>
              <w:tab/>
            </w:r>
            <w:r>
              <w:rPr>
                <w:noProof/>
                <w:webHidden/>
              </w:rPr>
              <w:fldChar w:fldCharType="begin"/>
            </w:r>
            <w:r>
              <w:rPr>
                <w:noProof/>
                <w:webHidden/>
              </w:rPr>
              <w:instrText xml:space="preserve"> PAGEREF _Toc220490322 \h </w:instrText>
            </w:r>
            <w:r>
              <w:rPr>
                <w:noProof/>
                <w:webHidden/>
              </w:rPr>
            </w:r>
            <w:r>
              <w:rPr>
                <w:noProof/>
                <w:webHidden/>
              </w:rPr>
              <w:fldChar w:fldCharType="separate"/>
            </w:r>
            <w:r>
              <w:rPr>
                <w:noProof/>
                <w:webHidden/>
              </w:rPr>
              <w:t>405</w:t>
            </w:r>
            <w:r>
              <w:rPr>
                <w:noProof/>
                <w:webHidden/>
              </w:rPr>
              <w:fldChar w:fldCharType="end"/>
            </w:r>
          </w:hyperlink>
        </w:p>
        <w:p w14:paraId="60D519B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23" w:history="1">
            <w:r w:rsidRPr="000D551A">
              <w:rPr>
                <w:rStyle w:val="Lienhypertexte"/>
                <w:noProof/>
              </w:rPr>
              <w:t>42.33.4a Eléments de remplissage en panneaux opaques en fibres ciment CCTB 01.11</w:t>
            </w:r>
            <w:r>
              <w:rPr>
                <w:noProof/>
                <w:webHidden/>
              </w:rPr>
              <w:tab/>
            </w:r>
            <w:r>
              <w:rPr>
                <w:noProof/>
                <w:webHidden/>
              </w:rPr>
              <w:fldChar w:fldCharType="begin"/>
            </w:r>
            <w:r>
              <w:rPr>
                <w:noProof/>
                <w:webHidden/>
              </w:rPr>
              <w:instrText xml:space="preserve"> PAGEREF _Toc220490323 \h </w:instrText>
            </w:r>
            <w:r>
              <w:rPr>
                <w:noProof/>
                <w:webHidden/>
              </w:rPr>
            </w:r>
            <w:r>
              <w:rPr>
                <w:noProof/>
                <w:webHidden/>
              </w:rPr>
              <w:fldChar w:fldCharType="separate"/>
            </w:r>
            <w:r>
              <w:rPr>
                <w:noProof/>
                <w:webHidden/>
              </w:rPr>
              <w:t>405</w:t>
            </w:r>
            <w:r>
              <w:rPr>
                <w:noProof/>
                <w:webHidden/>
              </w:rPr>
              <w:fldChar w:fldCharType="end"/>
            </w:r>
          </w:hyperlink>
        </w:p>
        <w:p w14:paraId="6A4897B6"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24" w:history="1">
            <w:r w:rsidRPr="000D551A">
              <w:rPr>
                <w:rStyle w:val="Lienhypertexte"/>
                <w:noProof/>
              </w:rPr>
              <w:t>42.34 Eléments de remplissage en panneaux sandwichs CCTB 01.10</w:t>
            </w:r>
            <w:r>
              <w:rPr>
                <w:noProof/>
                <w:webHidden/>
              </w:rPr>
              <w:tab/>
            </w:r>
            <w:r>
              <w:rPr>
                <w:noProof/>
                <w:webHidden/>
              </w:rPr>
              <w:fldChar w:fldCharType="begin"/>
            </w:r>
            <w:r>
              <w:rPr>
                <w:noProof/>
                <w:webHidden/>
              </w:rPr>
              <w:instrText xml:space="preserve"> PAGEREF _Toc220490324 \h </w:instrText>
            </w:r>
            <w:r>
              <w:rPr>
                <w:noProof/>
                <w:webHidden/>
              </w:rPr>
            </w:r>
            <w:r>
              <w:rPr>
                <w:noProof/>
                <w:webHidden/>
              </w:rPr>
              <w:fldChar w:fldCharType="separate"/>
            </w:r>
            <w:r>
              <w:rPr>
                <w:noProof/>
                <w:webHidden/>
              </w:rPr>
              <w:t>406</w:t>
            </w:r>
            <w:r>
              <w:rPr>
                <w:noProof/>
                <w:webHidden/>
              </w:rPr>
              <w:fldChar w:fldCharType="end"/>
            </w:r>
          </w:hyperlink>
        </w:p>
        <w:p w14:paraId="7DF1023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25" w:history="1">
            <w:r w:rsidRPr="000D551A">
              <w:rPr>
                <w:rStyle w:val="Lienhypertexte"/>
                <w:noProof/>
              </w:rPr>
              <w:t>42.34.1 Eléments de remplissage en panneaux sandwichs en bois CCTB 01.02</w:t>
            </w:r>
            <w:r>
              <w:rPr>
                <w:noProof/>
                <w:webHidden/>
              </w:rPr>
              <w:tab/>
            </w:r>
            <w:r>
              <w:rPr>
                <w:noProof/>
                <w:webHidden/>
              </w:rPr>
              <w:fldChar w:fldCharType="begin"/>
            </w:r>
            <w:r>
              <w:rPr>
                <w:noProof/>
                <w:webHidden/>
              </w:rPr>
              <w:instrText xml:space="preserve"> PAGEREF _Toc220490325 \h </w:instrText>
            </w:r>
            <w:r>
              <w:rPr>
                <w:noProof/>
                <w:webHidden/>
              </w:rPr>
            </w:r>
            <w:r>
              <w:rPr>
                <w:noProof/>
                <w:webHidden/>
              </w:rPr>
              <w:fldChar w:fldCharType="separate"/>
            </w:r>
            <w:r>
              <w:rPr>
                <w:noProof/>
                <w:webHidden/>
              </w:rPr>
              <w:t>407</w:t>
            </w:r>
            <w:r>
              <w:rPr>
                <w:noProof/>
                <w:webHidden/>
              </w:rPr>
              <w:fldChar w:fldCharType="end"/>
            </w:r>
          </w:hyperlink>
        </w:p>
        <w:p w14:paraId="21EF2E2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26" w:history="1">
            <w:r w:rsidRPr="000D551A">
              <w:rPr>
                <w:rStyle w:val="Lienhypertexte"/>
                <w:noProof/>
              </w:rPr>
              <w:t>42.34.1a Eléments de remplissage en panneaux sandwichs en bois CCTB 01.11</w:t>
            </w:r>
            <w:r>
              <w:rPr>
                <w:noProof/>
                <w:webHidden/>
              </w:rPr>
              <w:tab/>
            </w:r>
            <w:r>
              <w:rPr>
                <w:noProof/>
                <w:webHidden/>
              </w:rPr>
              <w:fldChar w:fldCharType="begin"/>
            </w:r>
            <w:r>
              <w:rPr>
                <w:noProof/>
                <w:webHidden/>
              </w:rPr>
              <w:instrText xml:space="preserve"> PAGEREF _Toc220490326 \h </w:instrText>
            </w:r>
            <w:r>
              <w:rPr>
                <w:noProof/>
                <w:webHidden/>
              </w:rPr>
            </w:r>
            <w:r>
              <w:rPr>
                <w:noProof/>
                <w:webHidden/>
              </w:rPr>
              <w:fldChar w:fldCharType="separate"/>
            </w:r>
            <w:r>
              <w:rPr>
                <w:noProof/>
                <w:webHidden/>
              </w:rPr>
              <w:t>407</w:t>
            </w:r>
            <w:r>
              <w:rPr>
                <w:noProof/>
                <w:webHidden/>
              </w:rPr>
              <w:fldChar w:fldCharType="end"/>
            </w:r>
          </w:hyperlink>
        </w:p>
        <w:p w14:paraId="6FC997B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27" w:history="1">
            <w:r w:rsidRPr="000D551A">
              <w:rPr>
                <w:rStyle w:val="Lienhypertexte"/>
                <w:noProof/>
              </w:rPr>
              <w:t>42.34.2 Eléments de remplissage en panneaux sandwichs métalliques CCTB 01.02</w:t>
            </w:r>
            <w:r>
              <w:rPr>
                <w:noProof/>
                <w:webHidden/>
              </w:rPr>
              <w:tab/>
            </w:r>
            <w:r>
              <w:rPr>
                <w:noProof/>
                <w:webHidden/>
              </w:rPr>
              <w:fldChar w:fldCharType="begin"/>
            </w:r>
            <w:r>
              <w:rPr>
                <w:noProof/>
                <w:webHidden/>
              </w:rPr>
              <w:instrText xml:space="preserve"> PAGEREF _Toc220490327 \h </w:instrText>
            </w:r>
            <w:r>
              <w:rPr>
                <w:noProof/>
                <w:webHidden/>
              </w:rPr>
            </w:r>
            <w:r>
              <w:rPr>
                <w:noProof/>
                <w:webHidden/>
              </w:rPr>
              <w:fldChar w:fldCharType="separate"/>
            </w:r>
            <w:r>
              <w:rPr>
                <w:noProof/>
                <w:webHidden/>
              </w:rPr>
              <w:t>408</w:t>
            </w:r>
            <w:r>
              <w:rPr>
                <w:noProof/>
                <w:webHidden/>
              </w:rPr>
              <w:fldChar w:fldCharType="end"/>
            </w:r>
          </w:hyperlink>
        </w:p>
        <w:p w14:paraId="23CDCDE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28" w:history="1">
            <w:r w:rsidRPr="000D551A">
              <w:rPr>
                <w:rStyle w:val="Lienhypertexte"/>
                <w:noProof/>
              </w:rPr>
              <w:t>42.34.2a Eléments de remplissage en panneaux sandwichs métalliques CCTB 01.11</w:t>
            </w:r>
            <w:r>
              <w:rPr>
                <w:noProof/>
                <w:webHidden/>
              </w:rPr>
              <w:tab/>
            </w:r>
            <w:r>
              <w:rPr>
                <w:noProof/>
                <w:webHidden/>
              </w:rPr>
              <w:fldChar w:fldCharType="begin"/>
            </w:r>
            <w:r>
              <w:rPr>
                <w:noProof/>
                <w:webHidden/>
              </w:rPr>
              <w:instrText xml:space="preserve"> PAGEREF _Toc220490328 \h </w:instrText>
            </w:r>
            <w:r>
              <w:rPr>
                <w:noProof/>
                <w:webHidden/>
              </w:rPr>
            </w:r>
            <w:r>
              <w:rPr>
                <w:noProof/>
                <w:webHidden/>
              </w:rPr>
              <w:fldChar w:fldCharType="separate"/>
            </w:r>
            <w:r>
              <w:rPr>
                <w:noProof/>
                <w:webHidden/>
              </w:rPr>
              <w:t>408</w:t>
            </w:r>
            <w:r>
              <w:rPr>
                <w:noProof/>
                <w:webHidden/>
              </w:rPr>
              <w:fldChar w:fldCharType="end"/>
            </w:r>
          </w:hyperlink>
        </w:p>
        <w:p w14:paraId="2961C88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29" w:history="1">
            <w:r w:rsidRPr="000D551A">
              <w:rPr>
                <w:rStyle w:val="Lienhypertexte"/>
                <w:noProof/>
              </w:rPr>
              <w:t>42.34.3 Eléments de remplissage en panneaux sandwichs en matière synthétique CCTB 01.02</w:t>
            </w:r>
            <w:r>
              <w:rPr>
                <w:noProof/>
                <w:webHidden/>
              </w:rPr>
              <w:tab/>
            </w:r>
            <w:r>
              <w:rPr>
                <w:noProof/>
                <w:webHidden/>
              </w:rPr>
              <w:fldChar w:fldCharType="begin"/>
            </w:r>
            <w:r>
              <w:rPr>
                <w:noProof/>
                <w:webHidden/>
              </w:rPr>
              <w:instrText xml:space="preserve"> PAGEREF _Toc220490329 \h </w:instrText>
            </w:r>
            <w:r>
              <w:rPr>
                <w:noProof/>
                <w:webHidden/>
              </w:rPr>
            </w:r>
            <w:r>
              <w:rPr>
                <w:noProof/>
                <w:webHidden/>
              </w:rPr>
              <w:fldChar w:fldCharType="separate"/>
            </w:r>
            <w:r>
              <w:rPr>
                <w:noProof/>
                <w:webHidden/>
              </w:rPr>
              <w:t>410</w:t>
            </w:r>
            <w:r>
              <w:rPr>
                <w:noProof/>
                <w:webHidden/>
              </w:rPr>
              <w:fldChar w:fldCharType="end"/>
            </w:r>
          </w:hyperlink>
        </w:p>
        <w:p w14:paraId="27579FB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30" w:history="1">
            <w:r w:rsidRPr="000D551A">
              <w:rPr>
                <w:rStyle w:val="Lienhypertexte"/>
                <w:noProof/>
              </w:rPr>
              <w:t>42.34.3a Eléments de remplissage en panneaux sandwichs en matière synthétique CCTB 01.11</w:t>
            </w:r>
            <w:r>
              <w:rPr>
                <w:noProof/>
                <w:webHidden/>
              </w:rPr>
              <w:tab/>
            </w:r>
            <w:r>
              <w:rPr>
                <w:noProof/>
                <w:webHidden/>
              </w:rPr>
              <w:fldChar w:fldCharType="begin"/>
            </w:r>
            <w:r>
              <w:rPr>
                <w:noProof/>
                <w:webHidden/>
              </w:rPr>
              <w:instrText xml:space="preserve"> PAGEREF _Toc220490330 \h </w:instrText>
            </w:r>
            <w:r>
              <w:rPr>
                <w:noProof/>
                <w:webHidden/>
              </w:rPr>
            </w:r>
            <w:r>
              <w:rPr>
                <w:noProof/>
                <w:webHidden/>
              </w:rPr>
              <w:fldChar w:fldCharType="separate"/>
            </w:r>
            <w:r>
              <w:rPr>
                <w:noProof/>
                <w:webHidden/>
              </w:rPr>
              <w:t>410</w:t>
            </w:r>
            <w:r>
              <w:rPr>
                <w:noProof/>
                <w:webHidden/>
              </w:rPr>
              <w:fldChar w:fldCharType="end"/>
            </w:r>
          </w:hyperlink>
        </w:p>
        <w:p w14:paraId="6796144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31" w:history="1">
            <w:r w:rsidRPr="000D551A">
              <w:rPr>
                <w:rStyle w:val="Lienhypertexte"/>
                <w:noProof/>
              </w:rPr>
              <w:t>42.34.4 Eléments de remplissage en panneaux sandwichs en fibres ciment CCTB 01.02</w:t>
            </w:r>
            <w:r>
              <w:rPr>
                <w:noProof/>
                <w:webHidden/>
              </w:rPr>
              <w:tab/>
            </w:r>
            <w:r>
              <w:rPr>
                <w:noProof/>
                <w:webHidden/>
              </w:rPr>
              <w:fldChar w:fldCharType="begin"/>
            </w:r>
            <w:r>
              <w:rPr>
                <w:noProof/>
                <w:webHidden/>
              </w:rPr>
              <w:instrText xml:space="preserve"> PAGEREF _Toc220490331 \h </w:instrText>
            </w:r>
            <w:r>
              <w:rPr>
                <w:noProof/>
                <w:webHidden/>
              </w:rPr>
            </w:r>
            <w:r>
              <w:rPr>
                <w:noProof/>
                <w:webHidden/>
              </w:rPr>
              <w:fldChar w:fldCharType="separate"/>
            </w:r>
            <w:r>
              <w:rPr>
                <w:noProof/>
                <w:webHidden/>
              </w:rPr>
              <w:t>412</w:t>
            </w:r>
            <w:r>
              <w:rPr>
                <w:noProof/>
                <w:webHidden/>
              </w:rPr>
              <w:fldChar w:fldCharType="end"/>
            </w:r>
          </w:hyperlink>
        </w:p>
        <w:p w14:paraId="0395C75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32" w:history="1">
            <w:r w:rsidRPr="000D551A">
              <w:rPr>
                <w:rStyle w:val="Lienhypertexte"/>
                <w:noProof/>
              </w:rPr>
              <w:t>42.34.4a Eléments de remplissage en panneaux sandwichs en fibres ciment CCTB 01.11</w:t>
            </w:r>
            <w:r>
              <w:rPr>
                <w:noProof/>
                <w:webHidden/>
              </w:rPr>
              <w:tab/>
            </w:r>
            <w:r>
              <w:rPr>
                <w:noProof/>
                <w:webHidden/>
              </w:rPr>
              <w:fldChar w:fldCharType="begin"/>
            </w:r>
            <w:r>
              <w:rPr>
                <w:noProof/>
                <w:webHidden/>
              </w:rPr>
              <w:instrText xml:space="preserve"> PAGEREF _Toc220490332 \h </w:instrText>
            </w:r>
            <w:r>
              <w:rPr>
                <w:noProof/>
                <w:webHidden/>
              </w:rPr>
            </w:r>
            <w:r>
              <w:rPr>
                <w:noProof/>
                <w:webHidden/>
              </w:rPr>
              <w:fldChar w:fldCharType="separate"/>
            </w:r>
            <w:r>
              <w:rPr>
                <w:noProof/>
                <w:webHidden/>
              </w:rPr>
              <w:t>412</w:t>
            </w:r>
            <w:r>
              <w:rPr>
                <w:noProof/>
                <w:webHidden/>
              </w:rPr>
              <w:fldChar w:fldCharType="end"/>
            </w:r>
          </w:hyperlink>
        </w:p>
        <w:p w14:paraId="240DD1CA"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333" w:history="1">
            <w:r w:rsidRPr="000D551A">
              <w:rPr>
                <w:rStyle w:val="Lienhypertexte"/>
                <w:noProof/>
              </w:rPr>
              <w:t>42.4 Systèmes en vitrages CCTB 01.11</w:t>
            </w:r>
            <w:r>
              <w:rPr>
                <w:noProof/>
                <w:webHidden/>
              </w:rPr>
              <w:tab/>
            </w:r>
            <w:r>
              <w:rPr>
                <w:noProof/>
                <w:webHidden/>
              </w:rPr>
              <w:fldChar w:fldCharType="begin"/>
            </w:r>
            <w:r>
              <w:rPr>
                <w:noProof/>
                <w:webHidden/>
              </w:rPr>
              <w:instrText xml:space="preserve"> PAGEREF _Toc220490333 \h </w:instrText>
            </w:r>
            <w:r>
              <w:rPr>
                <w:noProof/>
                <w:webHidden/>
              </w:rPr>
            </w:r>
            <w:r>
              <w:rPr>
                <w:noProof/>
                <w:webHidden/>
              </w:rPr>
              <w:fldChar w:fldCharType="separate"/>
            </w:r>
            <w:r>
              <w:rPr>
                <w:noProof/>
                <w:webHidden/>
              </w:rPr>
              <w:t>413</w:t>
            </w:r>
            <w:r>
              <w:rPr>
                <w:noProof/>
                <w:webHidden/>
              </w:rPr>
              <w:fldChar w:fldCharType="end"/>
            </w:r>
          </w:hyperlink>
        </w:p>
        <w:p w14:paraId="41360328"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34" w:history="1">
            <w:r w:rsidRPr="000D551A">
              <w:rPr>
                <w:rStyle w:val="Lienhypertexte"/>
                <w:noProof/>
              </w:rPr>
              <w:t>42.41 Vitrages structuraux CCTB 01.10</w:t>
            </w:r>
            <w:r>
              <w:rPr>
                <w:noProof/>
                <w:webHidden/>
              </w:rPr>
              <w:tab/>
            </w:r>
            <w:r>
              <w:rPr>
                <w:noProof/>
                <w:webHidden/>
              </w:rPr>
              <w:fldChar w:fldCharType="begin"/>
            </w:r>
            <w:r>
              <w:rPr>
                <w:noProof/>
                <w:webHidden/>
              </w:rPr>
              <w:instrText xml:space="preserve"> PAGEREF _Toc220490334 \h </w:instrText>
            </w:r>
            <w:r>
              <w:rPr>
                <w:noProof/>
                <w:webHidden/>
              </w:rPr>
            </w:r>
            <w:r>
              <w:rPr>
                <w:noProof/>
                <w:webHidden/>
              </w:rPr>
              <w:fldChar w:fldCharType="separate"/>
            </w:r>
            <w:r>
              <w:rPr>
                <w:noProof/>
                <w:webHidden/>
              </w:rPr>
              <w:t>414</w:t>
            </w:r>
            <w:r>
              <w:rPr>
                <w:noProof/>
                <w:webHidden/>
              </w:rPr>
              <w:fldChar w:fldCharType="end"/>
            </w:r>
          </w:hyperlink>
        </w:p>
        <w:p w14:paraId="5023E807"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335" w:history="1">
            <w:r w:rsidRPr="000D551A">
              <w:rPr>
                <w:rStyle w:val="Lienhypertexte"/>
                <w:noProof/>
              </w:rPr>
              <w:t>42.5 Vitraux</w:t>
            </w:r>
            <w:r>
              <w:rPr>
                <w:noProof/>
                <w:webHidden/>
              </w:rPr>
              <w:tab/>
            </w:r>
            <w:r>
              <w:rPr>
                <w:noProof/>
                <w:webHidden/>
              </w:rPr>
              <w:fldChar w:fldCharType="begin"/>
            </w:r>
            <w:r>
              <w:rPr>
                <w:noProof/>
                <w:webHidden/>
              </w:rPr>
              <w:instrText xml:space="preserve"> PAGEREF _Toc220490335 \h </w:instrText>
            </w:r>
            <w:r>
              <w:rPr>
                <w:noProof/>
                <w:webHidden/>
              </w:rPr>
            </w:r>
            <w:r>
              <w:rPr>
                <w:noProof/>
                <w:webHidden/>
              </w:rPr>
              <w:fldChar w:fldCharType="separate"/>
            </w:r>
            <w:r>
              <w:rPr>
                <w:noProof/>
                <w:webHidden/>
              </w:rPr>
              <w:t>414</w:t>
            </w:r>
            <w:r>
              <w:rPr>
                <w:noProof/>
                <w:webHidden/>
              </w:rPr>
              <w:fldChar w:fldCharType="end"/>
            </w:r>
          </w:hyperlink>
        </w:p>
        <w:p w14:paraId="0C892DDC"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336" w:history="1">
            <w:r w:rsidRPr="000D551A">
              <w:rPr>
                <w:rStyle w:val="Lienhypertexte"/>
                <w:noProof/>
              </w:rPr>
              <w:t>42.6 - CCTB 01.02</w:t>
            </w:r>
            <w:r>
              <w:rPr>
                <w:noProof/>
                <w:webHidden/>
              </w:rPr>
              <w:tab/>
            </w:r>
            <w:r>
              <w:rPr>
                <w:noProof/>
                <w:webHidden/>
              </w:rPr>
              <w:fldChar w:fldCharType="begin"/>
            </w:r>
            <w:r>
              <w:rPr>
                <w:noProof/>
                <w:webHidden/>
              </w:rPr>
              <w:instrText xml:space="preserve"> PAGEREF _Toc220490336 \h </w:instrText>
            </w:r>
            <w:r>
              <w:rPr>
                <w:noProof/>
                <w:webHidden/>
              </w:rPr>
            </w:r>
            <w:r>
              <w:rPr>
                <w:noProof/>
                <w:webHidden/>
              </w:rPr>
              <w:fldChar w:fldCharType="separate"/>
            </w:r>
            <w:r>
              <w:rPr>
                <w:noProof/>
                <w:webHidden/>
              </w:rPr>
              <w:t>414</w:t>
            </w:r>
            <w:r>
              <w:rPr>
                <w:noProof/>
                <w:webHidden/>
              </w:rPr>
              <w:fldChar w:fldCharType="end"/>
            </w:r>
          </w:hyperlink>
        </w:p>
        <w:p w14:paraId="05B1182F"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337" w:history="1">
            <w:r w:rsidRPr="000D551A">
              <w:rPr>
                <w:rStyle w:val="Lienhypertexte"/>
                <w:noProof/>
              </w:rPr>
              <w:t>42.7 - CCTB 01.02</w:t>
            </w:r>
            <w:r>
              <w:rPr>
                <w:noProof/>
                <w:webHidden/>
              </w:rPr>
              <w:tab/>
            </w:r>
            <w:r>
              <w:rPr>
                <w:noProof/>
                <w:webHidden/>
              </w:rPr>
              <w:fldChar w:fldCharType="begin"/>
            </w:r>
            <w:r>
              <w:rPr>
                <w:noProof/>
                <w:webHidden/>
              </w:rPr>
              <w:instrText xml:space="preserve"> PAGEREF _Toc220490337 \h </w:instrText>
            </w:r>
            <w:r>
              <w:rPr>
                <w:noProof/>
                <w:webHidden/>
              </w:rPr>
            </w:r>
            <w:r>
              <w:rPr>
                <w:noProof/>
                <w:webHidden/>
              </w:rPr>
              <w:fldChar w:fldCharType="separate"/>
            </w:r>
            <w:r>
              <w:rPr>
                <w:noProof/>
                <w:webHidden/>
              </w:rPr>
              <w:t>414</w:t>
            </w:r>
            <w:r>
              <w:rPr>
                <w:noProof/>
                <w:webHidden/>
              </w:rPr>
              <w:fldChar w:fldCharType="end"/>
            </w:r>
          </w:hyperlink>
        </w:p>
        <w:p w14:paraId="75F96C95"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338" w:history="1">
            <w:r w:rsidRPr="000D551A">
              <w:rPr>
                <w:rStyle w:val="Lienhypertexte"/>
                <w:noProof/>
              </w:rPr>
              <w:t>42.8 Vitrages extérieurs et éléments de remplissage - rénovation CCTB 01.02</w:t>
            </w:r>
            <w:r>
              <w:rPr>
                <w:noProof/>
                <w:webHidden/>
              </w:rPr>
              <w:tab/>
            </w:r>
            <w:r>
              <w:rPr>
                <w:noProof/>
                <w:webHidden/>
              </w:rPr>
              <w:fldChar w:fldCharType="begin"/>
            </w:r>
            <w:r>
              <w:rPr>
                <w:noProof/>
                <w:webHidden/>
              </w:rPr>
              <w:instrText xml:space="preserve"> PAGEREF _Toc220490338 \h </w:instrText>
            </w:r>
            <w:r>
              <w:rPr>
                <w:noProof/>
                <w:webHidden/>
              </w:rPr>
            </w:r>
            <w:r>
              <w:rPr>
                <w:noProof/>
                <w:webHidden/>
              </w:rPr>
              <w:fldChar w:fldCharType="separate"/>
            </w:r>
            <w:r>
              <w:rPr>
                <w:noProof/>
                <w:webHidden/>
              </w:rPr>
              <w:t>414</w:t>
            </w:r>
            <w:r>
              <w:rPr>
                <w:noProof/>
                <w:webHidden/>
              </w:rPr>
              <w:fldChar w:fldCharType="end"/>
            </w:r>
          </w:hyperlink>
        </w:p>
        <w:p w14:paraId="7CC78217"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39" w:history="1">
            <w:r w:rsidRPr="000D551A">
              <w:rPr>
                <w:rStyle w:val="Lienhypertexte"/>
                <w:noProof/>
              </w:rPr>
              <w:t>42.81 Vitrages extérieurs et éléments de remplissage - rénovation</w:t>
            </w:r>
            <w:r>
              <w:rPr>
                <w:noProof/>
                <w:webHidden/>
              </w:rPr>
              <w:tab/>
            </w:r>
            <w:r>
              <w:rPr>
                <w:noProof/>
                <w:webHidden/>
              </w:rPr>
              <w:fldChar w:fldCharType="begin"/>
            </w:r>
            <w:r>
              <w:rPr>
                <w:noProof/>
                <w:webHidden/>
              </w:rPr>
              <w:instrText xml:space="preserve"> PAGEREF _Toc220490339 \h </w:instrText>
            </w:r>
            <w:r>
              <w:rPr>
                <w:noProof/>
                <w:webHidden/>
              </w:rPr>
            </w:r>
            <w:r>
              <w:rPr>
                <w:noProof/>
                <w:webHidden/>
              </w:rPr>
              <w:fldChar w:fldCharType="separate"/>
            </w:r>
            <w:r>
              <w:rPr>
                <w:noProof/>
                <w:webHidden/>
              </w:rPr>
              <w:t>414</w:t>
            </w:r>
            <w:r>
              <w:rPr>
                <w:noProof/>
                <w:webHidden/>
              </w:rPr>
              <w:fldChar w:fldCharType="end"/>
            </w:r>
          </w:hyperlink>
        </w:p>
        <w:p w14:paraId="0CD6B733"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40" w:history="1">
            <w:r w:rsidRPr="000D551A">
              <w:rPr>
                <w:rStyle w:val="Lienhypertexte"/>
                <w:noProof/>
              </w:rPr>
              <w:t>42.82 Vitraux - rénovation</w:t>
            </w:r>
            <w:r>
              <w:rPr>
                <w:noProof/>
                <w:webHidden/>
              </w:rPr>
              <w:tab/>
            </w:r>
            <w:r>
              <w:rPr>
                <w:noProof/>
                <w:webHidden/>
              </w:rPr>
              <w:fldChar w:fldCharType="begin"/>
            </w:r>
            <w:r>
              <w:rPr>
                <w:noProof/>
                <w:webHidden/>
              </w:rPr>
              <w:instrText xml:space="preserve"> PAGEREF _Toc220490340 \h </w:instrText>
            </w:r>
            <w:r>
              <w:rPr>
                <w:noProof/>
                <w:webHidden/>
              </w:rPr>
            </w:r>
            <w:r>
              <w:rPr>
                <w:noProof/>
                <w:webHidden/>
              </w:rPr>
              <w:fldChar w:fldCharType="separate"/>
            </w:r>
            <w:r>
              <w:rPr>
                <w:noProof/>
                <w:webHidden/>
              </w:rPr>
              <w:t>414</w:t>
            </w:r>
            <w:r>
              <w:rPr>
                <w:noProof/>
                <w:webHidden/>
              </w:rPr>
              <w:fldChar w:fldCharType="end"/>
            </w:r>
          </w:hyperlink>
        </w:p>
        <w:p w14:paraId="243EE955"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41" w:history="1">
            <w:r w:rsidRPr="000D551A">
              <w:rPr>
                <w:rStyle w:val="Lienhypertexte"/>
                <w:noProof/>
              </w:rPr>
              <w:t>42.82.1 Vitraux - rénovation - études préalables</w:t>
            </w:r>
            <w:r>
              <w:rPr>
                <w:noProof/>
                <w:webHidden/>
              </w:rPr>
              <w:tab/>
            </w:r>
            <w:r>
              <w:rPr>
                <w:noProof/>
                <w:webHidden/>
              </w:rPr>
              <w:fldChar w:fldCharType="begin"/>
            </w:r>
            <w:r>
              <w:rPr>
                <w:noProof/>
                <w:webHidden/>
              </w:rPr>
              <w:instrText xml:space="preserve"> PAGEREF _Toc220490341 \h </w:instrText>
            </w:r>
            <w:r>
              <w:rPr>
                <w:noProof/>
                <w:webHidden/>
              </w:rPr>
            </w:r>
            <w:r>
              <w:rPr>
                <w:noProof/>
                <w:webHidden/>
              </w:rPr>
              <w:fldChar w:fldCharType="separate"/>
            </w:r>
            <w:r>
              <w:rPr>
                <w:noProof/>
                <w:webHidden/>
              </w:rPr>
              <w:t>414</w:t>
            </w:r>
            <w:r>
              <w:rPr>
                <w:noProof/>
                <w:webHidden/>
              </w:rPr>
              <w:fldChar w:fldCharType="end"/>
            </w:r>
          </w:hyperlink>
        </w:p>
        <w:p w14:paraId="1C8A388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42" w:history="1">
            <w:r w:rsidRPr="000D551A">
              <w:rPr>
                <w:rStyle w:val="Lienhypertexte"/>
                <w:noProof/>
              </w:rPr>
              <w:t>42.82.1a Vitraux - rénovation - études préalables - études préliminaires in situ</w:t>
            </w:r>
            <w:r>
              <w:rPr>
                <w:noProof/>
                <w:webHidden/>
              </w:rPr>
              <w:tab/>
            </w:r>
            <w:r>
              <w:rPr>
                <w:noProof/>
                <w:webHidden/>
              </w:rPr>
              <w:fldChar w:fldCharType="begin"/>
            </w:r>
            <w:r>
              <w:rPr>
                <w:noProof/>
                <w:webHidden/>
              </w:rPr>
              <w:instrText xml:space="preserve"> PAGEREF _Toc220490342 \h </w:instrText>
            </w:r>
            <w:r>
              <w:rPr>
                <w:noProof/>
                <w:webHidden/>
              </w:rPr>
            </w:r>
            <w:r>
              <w:rPr>
                <w:noProof/>
                <w:webHidden/>
              </w:rPr>
              <w:fldChar w:fldCharType="separate"/>
            </w:r>
            <w:r>
              <w:rPr>
                <w:noProof/>
                <w:webHidden/>
              </w:rPr>
              <w:t>414</w:t>
            </w:r>
            <w:r>
              <w:rPr>
                <w:noProof/>
                <w:webHidden/>
              </w:rPr>
              <w:fldChar w:fldCharType="end"/>
            </w:r>
          </w:hyperlink>
        </w:p>
        <w:p w14:paraId="7DA6391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43" w:history="1">
            <w:r w:rsidRPr="000D551A">
              <w:rPr>
                <w:rStyle w:val="Lienhypertexte"/>
                <w:noProof/>
              </w:rPr>
              <w:t>42.82.1b Vitraux - rénovation - études préalables - études préliminaires et diagnostics en atelier</w:t>
            </w:r>
            <w:r>
              <w:rPr>
                <w:noProof/>
                <w:webHidden/>
              </w:rPr>
              <w:tab/>
            </w:r>
            <w:r>
              <w:rPr>
                <w:noProof/>
                <w:webHidden/>
              </w:rPr>
              <w:fldChar w:fldCharType="begin"/>
            </w:r>
            <w:r>
              <w:rPr>
                <w:noProof/>
                <w:webHidden/>
              </w:rPr>
              <w:instrText xml:space="preserve"> PAGEREF _Toc220490343 \h </w:instrText>
            </w:r>
            <w:r>
              <w:rPr>
                <w:noProof/>
                <w:webHidden/>
              </w:rPr>
            </w:r>
            <w:r>
              <w:rPr>
                <w:noProof/>
                <w:webHidden/>
              </w:rPr>
              <w:fldChar w:fldCharType="separate"/>
            </w:r>
            <w:r>
              <w:rPr>
                <w:noProof/>
                <w:webHidden/>
              </w:rPr>
              <w:t>414</w:t>
            </w:r>
            <w:r>
              <w:rPr>
                <w:noProof/>
                <w:webHidden/>
              </w:rPr>
              <w:fldChar w:fldCharType="end"/>
            </w:r>
          </w:hyperlink>
        </w:p>
        <w:p w14:paraId="6CE87F0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44" w:history="1">
            <w:r w:rsidRPr="000D551A">
              <w:rPr>
                <w:rStyle w:val="Lienhypertexte"/>
                <w:noProof/>
              </w:rPr>
              <w:t>42.82.1c Vitraux - rénovation - études préalables - documentation après travaux</w:t>
            </w:r>
            <w:r>
              <w:rPr>
                <w:noProof/>
                <w:webHidden/>
              </w:rPr>
              <w:tab/>
            </w:r>
            <w:r>
              <w:rPr>
                <w:noProof/>
                <w:webHidden/>
              </w:rPr>
              <w:fldChar w:fldCharType="begin"/>
            </w:r>
            <w:r>
              <w:rPr>
                <w:noProof/>
                <w:webHidden/>
              </w:rPr>
              <w:instrText xml:space="preserve"> PAGEREF _Toc220490344 \h </w:instrText>
            </w:r>
            <w:r>
              <w:rPr>
                <w:noProof/>
                <w:webHidden/>
              </w:rPr>
            </w:r>
            <w:r>
              <w:rPr>
                <w:noProof/>
                <w:webHidden/>
              </w:rPr>
              <w:fldChar w:fldCharType="separate"/>
            </w:r>
            <w:r>
              <w:rPr>
                <w:noProof/>
                <w:webHidden/>
              </w:rPr>
              <w:t>414</w:t>
            </w:r>
            <w:r>
              <w:rPr>
                <w:noProof/>
                <w:webHidden/>
              </w:rPr>
              <w:fldChar w:fldCharType="end"/>
            </w:r>
          </w:hyperlink>
        </w:p>
        <w:p w14:paraId="2E5EADA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45" w:history="1">
            <w:r w:rsidRPr="000D551A">
              <w:rPr>
                <w:rStyle w:val="Lienhypertexte"/>
                <w:noProof/>
              </w:rPr>
              <w:t>42.82.1d Vitraux - rénovation - études préalables - critiques d'authenticité</w:t>
            </w:r>
            <w:r>
              <w:rPr>
                <w:noProof/>
                <w:webHidden/>
              </w:rPr>
              <w:tab/>
            </w:r>
            <w:r>
              <w:rPr>
                <w:noProof/>
                <w:webHidden/>
              </w:rPr>
              <w:fldChar w:fldCharType="begin"/>
            </w:r>
            <w:r>
              <w:rPr>
                <w:noProof/>
                <w:webHidden/>
              </w:rPr>
              <w:instrText xml:space="preserve"> PAGEREF _Toc220490345 \h </w:instrText>
            </w:r>
            <w:r>
              <w:rPr>
                <w:noProof/>
                <w:webHidden/>
              </w:rPr>
            </w:r>
            <w:r>
              <w:rPr>
                <w:noProof/>
                <w:webHidden/>
              </w:rPr>
              <w:fldChar w:fldCharType="separate"/>
            </w:r>
            <w:r>
              <w:rPr>
                <w:noProof/>
                <w:webHidden/>
              </w:rPr>
              <w:t>414</w:t>
            </w:r>
            <w:r>
              <w:rPr>
                <w:noProof/>
                <w:webHidden/>
              </w:rPr>
              <w:fldChar w:fldCharType="end"/>
            </w:r>
          </w:hyperlink>
        </w:p>
        <w:p w14:paraId="0137AAD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46" w:history="1">
            <w:r w:rsidRPr="000D551A">
              <w:rPr>
                <w:rStyle w:val="Lienhypertexte"/>
                <w:noProof/>
              </w:rPr>
              <w:t>42.82.1e Vitraux - rénovation - études préalables - numérotation des baies et panneaux</w:t>
            </w:r>
            <w:r>
              <w:rPr>
                <w:noProof/>
                <w:webHidden/>
              </w:rPr>
              <w:tab/>
            </w:r>
            <w:r>
              <w:rPr>
                <w:noProof/>
                <w:webHidden/>
              </w:rPr>
              <w:fldChar w:fldCharType="begin"/>
            </w:r>
            <w:r>
              <w:rPr>
                <w:noProof/>
                <w:webHidden/>
              </w:rPr>
              <w:instrText xml:space="preserve"> PAGEREF _Toc220490346 \h </w:instrText>
            </w:r>
            <w:r>
              <w:rPr>
                <w:noProof/>
                <w:webHidden/>
              </w:rPr>
            </w:r>
            <w:r>
              <w:rPr>
                <w:noProof/>
                <w:webHidden/>
              </w:rPr>
              <w:fldChar w:fldCharType="separate"/>
            </w:r>
            <w:r>
              <w:rPr>
                <w:noProof/>
                <w:webHidden/>
              </w:rPr>
              <w:t>414</w:t>
            </w:r>
            <w:r>
              <w:rPr>
                <w:noProof/>
                <w:webHidden/>
              </w:rPr>
              <w:fldChar w:fldCharType="end"/>
            </w:r>
          </w:hyperlink>
        </w:p>
        <w:p w14:paraId="4FA2D506"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47" w:history="1">
            <w:r w:rsidRPr="000D551A">
              <w:rPr>
                <w:rStyle w:val="Lienhypertexte"/>
                <w:noProof/>
              </w:rPr>
              <w:t>42.82.2 Vitraux - rénovation - déposes en conservation</w:t>
            </w:r>
            <w:r>
              <w:rPr>
                <w:noProof/>
                <w:webHidden/>
              </w:rPr>
              <w:tab/>
            </w:r>
            <w:r>
              <w:rPr>
                <w:noProof/>
                <w:webHidden/>
              </w:rPr>
              <w:fldChar w:fldCharType="begin"/>
            </w:r>
            <w:r>
              <w:rPr>
                <w:noProof/>
                <w:webHidden/>
              </w:rPr>
              <w:instrText xml:space="preserve"> PAGEREF _Toc220490347 \h </w:instrText>
            </w:r>
            <w:r>
              <w:rPr>
                <w:noProof/>
                <w:webHidden/>
              </w:rPr>
            </w:r>
            <w:r>
              <w:rPr>
                <w:noProof/>
                <w:webHidden/>
              </w:rPr>
              <w:fldChar w:fldCharType="separate"/>
            </w:r>
            <w:r>
              <w:rPr>
                <w:noProof/>
                <w:webHidden/>
              </w:rPr>
              <w:t>414</w:t>
            </w:r>
            <w:r>
              <w:rPr>
                <w:noProof/>
                <w:webHidden/>
              </w:rPr>
              <w:fldChar w:fldCharType="end"/>
            </w:r>
          </w:hyperlink>
        </w:p>
        <w:p w14:paraId="34D320D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48" w:history="1">
            <w:r w:rsidRPr="000D551A">
              <w:rPr>
                <w:rStyle w:val="Lienhypertexte"/>
                <w:noProof/>
              </w:rPr>
              <w:t>42.82.2a Vitraux - rénovation - déposes en conservation</w:t>
            </w:r>
            <w:r>
              <w:rPr>
                <w:noProof/>
                <w:webHidden/>
              </w:rPr>
              <w:tab/>
            </w:r>
            <w:r>
              <w:rPr>
                <w:noProof/>
                <w:webHidden/>
              </w:rPr>
              <w:fldChar w:fldCharType="begin"/>
            </w:r>
            <w:r>
              <w:rPr>
                <w:noProof/>
                <w:webHidden/>
              </w:rPr>
              <w:instrText xml:space="preserve"> PAGEREF _Toc220490348 \h </w:instrText>
            </w:r>
            <w:r>
              <w:rPr>
                <w:noProof/>
                <w:webHidden/>
              </w:rPr>
            </w:r>
            <w:r>
              <w:rPr>
                <w:noProof/>
                <w:webHidden/>
              </w:rPr>
              <w:fldChar w:fldCharType="separate"/>
            </w:r>
            <w:r>
              <w:rPr>
                <w:noProof/>
                <w:webHidden/>
              </w:rPr>
              <w:t>415</w:t>
            </w:r>
            <w:r>
              <w:rPr>
                <w:noProof/>
                <w:webHidden/>
              </w:rPr>
              <w:fldChar w:fldCharType="end"/>
            </w:r>
          </w:hyperlink>
        </w:p>
        <w:p w14:paraId="22A0DA3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49" w:history="1">
            <w:r w:rsidRPr="000D551A">
              <w:rPr>
                <w:rStyle w:val="Lienhypertexte"/>
                <w:noProof/>
              </w:rPr>
              <w:t>42.82.3 Vitraux - rénovation - traitements des armatures métalliques</w:t>
            </w:r>
            <w:r>
              <w:rPr>
                <w:noProof/>
                <w:webHidden/>
              </w:rPr>
              <w:tab/>
            </w:r>
            <w:r>
              <w:rPr>
                <w:noProof/>
                <w:webHidden/>
              </w:rPr>
              <w:fldChar w:fldCharType="begin"/>
            </w:r>
            <w:r>
              <w:rPr>
                <w:noProof/>
                <w:webHidden/>
              </w:rPr>
              <w:instrText xml:space="preserve"> PAGEREF _Toc220490349 \h </w:instrText>
            </w:r>
            <w:r>
              <w:rPr>
                <w:noProof/>
                <w:webHidden/>
              </w:rPr>
            </w:r>
            <w:r>
              <w:rPr>
                <w:noProof/>
                <w:webHidden/>
              </w:rPr>
              <w:fldChar w:fldCharType="separate"/>
            </w:r>
            <w:r>
              <w:rPr>
                <w:noProof/>
                <w:webHidden/>
              </w:rPr>
              <w:t>415</w:t>
            </w:r>
            <w:r>
              <w:rPr>
                <w:noProof/>
                <w:webHidden/>
              </w:rPr>
              <w:fldChar w:fldCharType="end"/>
            </w:r>
          </w:hyperlink>
        </w:p>
        <w:p w14:paraId="0FE0233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50" w:history="1">
            <w:r w:rsidRPr="000D551A">
              <w:rPr>
                <w:rStyle w:val="Lienhypertexte"/>
                <w:noProof/>
              </w:rPr>
              <w:t>42.82.3a Vitraux - rénovation - traitements des armatures métalliques - traitements contre la rouille</w:t>
            </w:r>
            <w:r>
              <w:rPr>
                <w:noProof/>
                <w:webHidden/>
              </w:rPr>
              <w:tab/>
            </w:r>
            <w:r>
              <w:rPr>
                <w:noProof/>
                <w:webHidden/>
              </w:rPr>
              <w:fldChar w:fldCharType="begin"/>
            </w:r>
            <w:r>
              <w:rPr>
                <w:noProof/>
                <w:webHidden/>
              </w:rPr>
              <w:instrText xml:space="preserve"> PAGEREF _Toc220490350 \h </w:instrText>
            </w:r>
            <w:r>
              <w:rPr>
                <w:noProof/>
                <w:webHidden/>
              </w:rPr>
            </w:r>
            <w:r>
              <w:rPr>
                <w:noProof/>
                <w:webHidden/>
              </w:rPr>
              <w:fldChar w:fldCharType="separate"/>
            </w:r>
            <w:r>
              <w:rPr>
                <w:noProof/>
                <w:webHidden/>
              </w:rPr>
              <w:t>415</w:t>
            </w:r>
            <w:r>
              <w:rPr>
                <w:noProof/>
                <w:webHidden/>
              </w:rPr>
              <w:fldChar w:fldCharType="end"/>
            </w:r>
          </w:hyperlink>
        </w:p>
        <w:p w14:paraId="24B4719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51" w:history="1">
            <w:r w:rsidRPr="000D551A">
              <w:rPr>
                <w:rStyle w:val="Lienhypertexte"/>
                <w:noProof/>
              </w:rPr>
              <w:t>42.82.3b Vitraux - rénovation - traitements des armatures métalliques - réparation des barlotières</w:t>
            </w:r>
            <w:r>
              <w:rPr>
                <w:noProof/>
                <w:webHidden/>
              </w:rPr>
              <w:tab/>
            </w:r>
            <w:r>
              <w:rPr>
                <w:noProof/>
                <w:webHidden/>
              </w:rPr>
              <w:fldChar w:fldCharType="begin"/>
            </w:r>
            <w:r>
              <w:rPr>
                <w:noProof/>
                <w:webHidden/>
              </w:rPr>
              <w:instrText xml:space="preserve"> PAGEREF _Toc220490351 \h </w:instrText>
            </w:r>
            <w:r>
              <w:rPr>
                <w:noProof/>
                <w:webHidden/>
              </w:rPr>
            </w:r>
            <w:r>
              <w:rPr>
                <w:noProof/>
                <w:webHidden/>
              </w:rPr>
              <w:fldChar w:fldCharType="separate"/>
            </w:r>
            <w:r>
              <w:rPr>
                <w:noProof/>
                <w:webHidden/>
              </w:rPr>
              <w:t>415</w:t>
            </w:r>
            <w:r>
              <w:rPr>
                <w:noProof/>
                <w:webHidden/>
              </w:rPr>
              <w:fldChar w:fldCharType="end"/>
            </w:r>
          </w:hyperlink>
        </w:p>
        <w:p w14:paraId="3975871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52" w:history="1">
            <w:r w:rsidRPr="000D551A">
              <w:rPr>
                <w:rStyle w:val="Lienhypertexte"/>
                <w:noProof/>
              </w:rPr>
              <w:t>42.82.3c Vitraux - rénovation - traitements des armatures métalliques - renouvellement des feuillard</w:t>
            </w:r>
            <w:r>
              <w:rPr>
                <w:noProof/>
                <w:webHidden/>
              </w:rPr>
              <w:tab/>
            </w:r>
            <w:r>
              <w:rPr>
                <w:noProof/>
                <w:webHidden/>
              </w:rPr>
              <w:fldChar w:fldCharType="begin"/>
            </w:r>
            <w:r>
              <w:rPr>
                <w:noProof/>
                <w:webHidden/>
              </w:rPr>
              <w:instrText xml:space="preserve"> PAGEREF _Toc220490352 \h </w:instrText>
            </w:r>
            <w:r>
              <w:rPr>
                <w:noProof/>
                <w:webHidden/>
              </w:rPr>
            </w:r>
            <w:r>
              <w:rPr>
                <w:noProof/>
                <w:webHidden/>
              </w:rPr>
              <w:fldChar w:fldCharType="separate"/>
            </w:r>
            <w:r>
              <w:rPr>
                <w:noProof/>
                <w:webHidden/>
              </w:rPr>
              <w:t>415</w:t>
            </w:r>
            <w:r>
              <w:rPr>
                <w:noProof/>
                <w:webHidden/>
              </w:rPr>
              <w:fldChar w:fldCharType="end"/>
            </w:r>
          </w:hyperlink>
        </w:p>
        <w:p w14:paraId="6CCB644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53" w:history="1">
            <w:r w:rsidRPr="000D551A">
              <w:rPr>
                <w:rStyle w:val="Lienhypertexte"/>
                <w:noProof/>
              </w:rPr>
              <w:t>42.82.3d Vitraux - rénovation - traitements des armatures métalliques - renouvellement des vergettes</w:t>
            </w:r>
            <w:r>
              <w:rPr>
                <w:noProof/>
                <w:webHidden/>
              </w:rPr>
              <w:tab/>
            </w:r>
            <w:r>
              <w:rPr>
                <w:noProof/>
                <w:webHidden/>
              </w:rPr>
              <w:fldChar w:fldCharType="begin"/>
            </w:r>
            <w:r>
              <w:rPr>
                <w:noProof/>
                <w:webHidden/>
              </w:rPr>
              <w:instrText xml:space="preserve"> PAGEREF _Toc220490353 \h </w:instrText>
            </w:r>
            <w:r>
              <w:rPr>
                <w:noProof/>
                <w:webHidden/>
              </w:rPr>
            </w:r>
            <w:r>
              <w:rPr>
                <w:noProof/>
                <w:webHidden/>
              </w:rPr>
              <w:fldChar w:fldCharType="separate"/>
            </w:r>
            <w:r>
              <w:rPr>
                <w:noProof/>
                <w:webHidden/>
              </w:rPr>
              <w:t>415</w:t>
            </w:r>
            <w:r>
              <w:rPr>
                <w:noProof/>
                <w:webHidden/>
              </w:rPr>
              <w:fldChar w:fldCharType="end"/>
            </w:r>
          </w:hyperlink>
        </w:p>
        <w:p w14:paraId="51D2CE1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54" w:history="1">
            <w:r w:rsidRPr="000D551A">
              <w:rPr>
                <w:rStyle w:val="Lienhypertexte"/>
                <w:noProof/>
              </w:rPr>
              <w:t>42.82.3e Vitraux - rénovation - traitements des armatures métalliques - poses d'un bac d'égouttage en plomb</w:t>
            </w:r>
            <w:r>
              <w:rPr>
                <w:noProof/>
                <w:webHidden/>
              </w:rPr>
              <w:tab/>
            </w:r>
            <w:r>
              <w:rPr>
                <w:noProof/>
                <w:webHidden/>
              </w:rPr>
              <w:fldChar w:fldCharType="begin"/>
            </w:r>
            <w:r>
              <w:rPr>
                <w:noProof/>
                <w:webHidden/>
              </w:rPr>
              <w:instrText xml:space="preserve"> PAGEREF _Toc220490354 \h </w:instrText>
            </w:r>
            <w:r>
              <w:rPr>
                <w:noProof/>
                <w:webHidden/>
              </w:rPr>
            </w:r>
            <w:r>
              <w:rPr>
                <w:noProof/>
                <w:webHidden/>
              </w:rPr>
              <w:fldChar w:fldCharType="separate"/>
            </w:r>
            <w:r>
              <w:rPr>
                <w:noProof/>
                <w:webHidden/>
              </w:rPr>
              <w:t>415</w:t>
            </w:r>
            <w:r>
              <w:rPr>
                <w:noProof/>
                <w:webHidden/>
              </w:rPr>
              <w:fldChar w:fldCharType="end"/>
            </w:r>
          </w:hyperlink>
        </w:p>
        <w:p w14:paraId="1F39EB9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55" w:history="1">
            <w:r w:rsidRPr="000D551A">
              <w:rPr>
                <w:rStyle w:val="Lienhypertexte"/>
                <w:noProof/>
              </w:rPr>
              <w:t>42.82.4 Vitraux - rénovation - restauration-conservation en atelier</w:t>
            </w:r>
            <w:r>
              <w:rPr>
                <w:noProof/>
                <w:webHidden/>
              </w:rPr>
              <w:tab/>
            </w:r>
            <w:r>
              <w:rPr>
                <w:noProof/>
                <w:webHidden/>
              </w:rPr>
              <w:fldChar w:fldCharType="begin"/>
            </w:r>
            <w:r>
              <w:rPr>
                <w:noProof/>
                <w:webHidden/>
              </w:rPr>
              <w:instrText xml:space="preserve"> PAGEREF _Toc220490355 \h </w:instrText>
            </w:r>
            <w:r>
              <w:rPr>
                <w:noProof/>
                <w:webHidden/>
              </w:rPr>
            </w:r>
            <w:r>
              <w:rPr>
                <w:noProof/>
                <w:webHidden/>
              </w:rPr>
              <w:fldChar w:fldCharType="separate"/>
            </w:r>
            <w:r>
              <w:rPr>
                <w:noProof/>
                <w:webHidden/>
              </w:rPr>
              <w:t>415</w:t>
            </w:r>
            <w:r>
              <w:rPr>
                <w:noProof/>
                <w:webHidden/>
              </w:rPr>
              <w:fldChar w:fldCharType="end"/>
            </w:r>
          </w:hyperlink>
        </w:p>
        <w:p w14:paraId="0C104E3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56" w:history="1">
            <w:r w:rsidRPr="000D551A">
              <w:rPr>
                <w:rStyle w:val="Lienhypertexte"/>
                <w:noProof/>
              </w:rPr>
              <w:t>42.82.4a Vitraux - rénovation - restauration-conservation en atelier - nettoyage</w:t>
            </w:r>
            <w:r>
              <w:rPr>
                <w:noProof/>
                <w:webHidden/>
              </w:rPr>
              <w:tab/>
            </w:r>
            <w:r>
              <w:rPr>
                <w:noProof/>
                <w:webHidden/>
              </w:rPr>
              <w:fldChar w:fldCharType="begin"/>
            </w:r>
            <w:r>
              <w:rPr>
                <w:noProof/>
                <w:webHidden/>
              </w:rPr>
              <w:instrText xml:space="preserve"> PAGEREF _Toc220490356 \h </w:instrText>
            </w:r>
            <w:r>
              <w:rPr>
                <w:noProof/>
                <w:webHidden/>
              </w:rPr>
            </w:r>
            <w:r>
              <w:rPr>
                <w:noProof/>
                <w:webHidden/>
              </w:rPr>
              <w:fldChar w:fldCharType="separate"/>
            </w:r>
            <w:r>
              <w:rPr>
                <w:noProof/>
                <w:webHidden/>
              </w:rPr>
              <w:t>415</w:t>
            </w:r>
            <w:r>
              <w:rPr>
                <w:noProof/>
                <w:webHidden/>
              </w:rPr>
              <w:fldChar w:fldCharType="end"/>
            </w:r>
          </w:hyperlink>
        </w:p>
        <w:p w14:paraId="68952A3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57" w:history="1">
            <w:r w:rsidRPr="000D551A">
              <w:rPr>
                <w:rStyle w:val="Lienhypertexte"/>
                <w:noProof/>
              </w:rPr>
              <w:t>42.82.4b Vitraux - rénovation - restauration-conservation en atelier - infiltration résine, casses simples / casses multiples</w:t>
            </w:r>
            <w:r>
              <w:rPr>
                <w:noProof/>
                <w:webHidden/>
              </w:rPr>
              <w:tab/>
            </w:r>
            <w:r>
              <w:rPr>
                <w:noProof/>
                <w:webHidden/>
              </w:rPr>
              <w:fldChar w:fldCharType="begin"/>
            </w:r>
            <w:r>
              <w:rPr>
                <w:noProof/>
                <w:webHidden/>
              </w:rPr>
              <w:instrText xml:space="preserve"> PAGEREF _Toc220490357 \h </w:instrText>
            </w:r>
            <w:r>
              <w:rPr>
                <w:noProof/>
                <w:webHidden/>
              </w:rPr>
            </w:r>
            <w:r>
              <w:rPr>
                <w:noProof/>
                <w:webHidden/>
              </w:rPr>
              <w:fldChar w:fldCharType="separate"/>
            </w:r>
            <w:r>
              <w:rPr>
                <w:noProof/>
                <w:webHidden/>
              </w:rPr>
              <w:t>415</w:t>
            </w:r>
            <w:r>
              <w:rPr>
                <w:noProof/>
                <w:webHidden/>
              </w:rPr>
              <w:fldChar w:fldCharType="end"/>
            </w:r>
          </w:hyperlink>
        </w:p>
        <w:p w14:paraId="3D82179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58" w:history="1">
            <w:r w:rsidRPr="000D551A">
              <w:rPr>
                <w:rStyle w:val="Lienhypertexte"/>
                <w:noProof/>
              </w:rPr>
              <w:t>42.82.4c Vitraux - rénovation - restauration-conservation en atelier - collage à la résine, casses simples / casses multiples</w:t>
            </w:r>
            <w:r>
              <w:rPr>
                <w:noProof/>
                <w:webHidden/>
              </w:rPr>
              <w:tab/>
            </w:r>
            <w:r>
              <w:rPr>
                <w:noProof/>
                <w:webHidden/>
              </w:rPr>
              <w:fldChar w:fldCharType="begin"/>
            </w:r>
            <w:r>
              <w:rPr>
                <w:noProof/>
                <w:webHidden/>
              </w:rPr>
              <w:instrText xml:space="preserve"> PAGEREF _Toc220490358 \h </w:instrText>
            </w:r>
            <w:r>
              <w:rPr>
                <w:noProof/>
                <w:webHidden/>
              </w:rPr>
            </w:r>
            <w:r>
              <w:rPr>
                <w:noProof/>
                <w:webHidden/>
              </w:rPr>
              <w:fldChar w:fldCharType="separate"/>
            </w:r>
            <w:r>
              <w:rPr>
                <w:noProof/>
                <w:webHidden/>
              </w:rPr>
              <w:t>415</w:t>
            </w:r>
            <w:r>
              <w:rPr>
                <w:noProof/>
                <w:webHidden/>
              </w:rPr>
              <w:fldChar w:fldCharType="end"/>
            </w:r>
          </w:hyperlink>
        </w:p>
        <w:p w14:paraId="42D0B76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59" w:history="1">
            <w:r w:rsidRPr="000D551A">
              <w:rPr>
                <w:rStyle w:val="Lienhypertexte"/>
                <w:noProof/>
              </w:rPr>
              <w:t>42.82.4d Vitraux - rénovation - restauration-conservation en atelier - collage au silicone CAF3, casses simples / casses multiples</w:t>
            </w:r>
            <w:r>
              <w:rPr>
                <w:noProof/>
                <w:webHidden/>
              </w:rPr>
              <w:tab/>
            </w:r>
            <w:r>
              <w:rPr>
                <w:noProof/>
                <w:webHidden/>
              </w:rPr>
              <w:fldChar w:fldCharType="begin"/>
            </w:r>
            <w:r>
              <w:rPr>
                <w:noProof/>
                <w:webHidden/>
              </w:rPr>
              <w:instrText xml:space="preserve"> PAGEREF _Toc220490359 \h </w:instrText>
            </w:r>
            <w:r>
              <w:rPr>
                <w:noProof/>
                <w:webHidden/>
              </w:rPr>
            </w:r>
            <w:r>
              <w:rPr>
                <w:noProof/>
                <w:webHidden/>
              </w:rPr>
              <w:fldChar w:fldCharType="separate"/>
            </w:r>
            <w:r>
              <w:rPr>
                <w:noProof/>
                <w:webHidden/>
              </w:rPr>
              <w:t>415</w:t>
            </w:r>
            <w:r>
              <w:rPr>
                <w:noProof/>
                <w:webHidden/>
              </w:rPr>
              <w:fldChar w:fldCharType="end"/>
            </w:r>
          </w:hyperlink>
        </w:p>
        <w:p w14:paraId="5C17D9C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0" w:history="1">
            <w:r w:rsidRPr="000D551A">
              <w:rPr>
                <w:rStyle w:val="Lienhypertexte"/>
                <w:noProof/>
              </w:rPr>
              <w:t>42.82.4e Vitraux - rénovation - restauration-conservation en atelier - comblement à la résine</w:t>
            </w:r>
            <w:r>
              <w:rPr>
                <w:noProof/>
                <w:webHidden/>
              </w:rPr>
              <w:tab/>
            </w:r>
            <w:r>
              <w:rPr>
                <w:noProof/>
                <w:webHidden/>
              </w:rPr>
              <w:fldChar w:fldCharType="begin"/>
            </w:r>
            <w:r>
              <w:rPr>
                <w:noProof/>
                <w:webHidden/>
              </w:rPr>
              <w:instrText xml:space="preserve"> PAGEREF _Toc220490360 \h </w:instrText>
            </w:r>
            <w:r>
              <w:rPr>
                <w:noProof/>
                <w:webHidden/>
              </w:rPr>
            </w:r>
            <w:r>
              <w:rPr>
                <w:noProof/>
                <w:webHidden/>
              </w:rPr>
              <w:fldChar w:fldCharType="separate"/>
            </w:r>
            <w:r>
              <w:rPr>
                <w:noProof/>
                <w:webHidden/>
              </w:rPr>
              <w:t>415</w:t>
            </w:r>
            <w:r>
              <w:rPr>
                <w:noProof/>
                <w:webHidden/>
              </w:rPr>
              <w:fldChar w:fldCharType="end"/>
            </w:r>
          </w:hyperlink>
        </w:p>
        <w:p w14:paraId="1A0B9E5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1" w:history="1">
            <w:r w:rsidRPr="000D551A">
              <w:rPr>
                <w:rStyle w:val="Lienhypertexte"/>
                <w:noProof/>
              </w:rPr>
              <w:t>42.82.4f Vitraux - rénovation - restauration-conservation en atelier - montage Tiffany</w:t>
            </w:r>
            <w:r>
              <w:rPr>
                <w:noProof/>
                <w:webHidden/>
              </w:rPr>
              <w:tab/>
            </w:r>
            <w:r>
              <w:rPr>
                <w:noProof/>
                <w:webHidden/>
              </w:rPr>
              <w:fldChar w:fldCharType="begin"/>
            </w:r>
            <w:r>
              <w:rPr>
                <w:noProof/>
                <w:webHidden/>
              </w:rPr>
              <w:instrText xml:space="preserve"> PAGEREF _Toc220490361 \h </w:instrText>
            </w:r>
            <w:r>
              <w:rPr>
                <w:noProof/>
                <w:webHidden/>
              </w:rPr>
            </w:r>
            <w:r>
              <w:rPr>
                <w:noProof/>
                <w:webHidden/>
              </w:rPr>
              <w:fldChar w:fldCharType="separate"/>
            </w:r>
            <w:r>
              <w:rPr>
                <w:noProof/>
                <w:webHidden/>
              </w:rPr>
              <w:t>415</w:t>
            </w:r>
            <w:r>
              <w:rPr>
                <w:noProof/>
                <w:webHidden/>
              </w:rPr>
              <w:fldChar w:fldCharType="end"/>
            </w:r>
          </w:hyperlink>
        </w:p>
        <w:p w14:paraId="4AC51AC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2" w:history="1">
            <w:r w:rsidRPr="000D551A">
              <w:rPr>
                <w:rStyle w:val="Lienhypertexte"/>
                <w:noProof/>
              </w:rPr>
              <w:t>42.82.4g Vitraux - rénovation - restauration-conservation en atelier - plomb de casse</w:t>
            </w:r>
            <w:r>
              <w:rPr>
                <w:noProof/>
                <w:webHidden/>
              </w:rPr>
              <w:tab/>
            </w:r>
            <w:r>
              <w:rPr>
                <w:noProof/>
                <w:webHidden/>
              </w:rPr>
              <w:fldChar w:fldCharType="begin"/>
            </w:r>
            <w:r>
              <w:rPr>
                <w:noProof/>
                <w:webHidden/>
              </w:rPr>
              <w:instrText xml:space="preserve"> PAGEREF _Toc220490362 \h </w:instrText>
            </w:r>
            <w:r>
              <w:rPr>
                <w:noProof/>
                <w:webHidden/>
              </w:rPr>
            </w:r>
            <w:r>
              <w:rPr>
                <w:noProof/>
                <w:webHidden/>
              </w:rPr>
              <w:fldChar w:fldCharType="separate"/>
            </w:r>
            <w:r>
              <w:rPr>
                <w:noProof/>
                <w:webHidden/>
              </w:rPr>
              <w:t>415</w:t>
            </w:r>
            <w:r>
              <w:rPr>
                <w:noProof/>
                <w:webHidden/>
              </w:rPr>
              <w:fldChar w:fldCharType="end"/>
            </w:r>
          </w:hyperlink>
        </w:p>
        <w:p w14:paraId="06A2567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3" w:history="1">
            <w:r w:rsidRPr="000D551A">
              <w:rPr>
                <w:rStyle w:val="Lienhypertexte"/>
                <w:noProof/>
              </w:rPr>
              <w:t>42.82.4h Vitraux - rénovation - restauration-conservation en atelier - complément de verre (non peint / peint simple / peint moyen / peint complexe)</w:t>
            </w:r>
            <w:r>
              <w:rPr>
                <w:noProof/>
                <w:webHidden/>
              </w:rPr>
              <w:tab/>
            </w:r>
            <w:r>
              <w:rPr>
                <w:noProof/>
                <w:webHidden/>
              </w:rPr>
              <w:fldChar w:fldCharType="begin"/>
            </w:r>
            <w:r>
              <w:rPr>
                <w:noProof/>
                <w:webHidden/>
              </w:rPr>
              <w:instrText xml:space="preserve"> PAGEREF _Toc220490363 \h </w:instrText>
            </w:r>
            <w:r>
              <w:rPr>
                <w:noProof/>
                <w:webHidden/>
              </w:rPr>
            </w:r>
            <w:r>
              <w:rPr>
                <w:noProof/>
                <w:webHidden/>
              </w:rPr>
              <w:fldChar w:fldCharType="separate"/>
            </w:r>
            <w:r>
              <w:rPr>
                <w:noProof/>
                <w:webHidden/>
              </w:rPr>
              <w:t>415</w:t>
            </w:r>
            <w:r>
              <w:rPr>
                <w:noProof/>
                <w:webHidden/>
              </w:rPr>
              <w:fldChar w:fldCharType="end"/>
            </w:r>
          </w:hyperlink>
        </w:p>
        <w:p w14:paraId="1CDAB4F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4" w:history="1">
            <w:r w:rsidRPr="000D551A">
              <w:rPr>
                <w:rStyle w:val="Lienhypertexte"/>
                <w:noProof/>
              </w:rPr>
              <w:t>42.82.4i Vitraux - rénovation - restauration-conservation en atelier - nouveau verre (non peint / peint simple / peint moyen / peint complexe)</w:t>
            </w:r>
            <w:r>
              <w:rPr>
                <w:noProof/>
                <w:webHidden/>
              </w:rPr>
              <w:tab/>
            </w:r>
            <w:r>
              <w:rPr>
                <w:noProof/>
                <w:webHidden/>
              </w:rPr>
              <w:fldChar w:fldCharType="begin"/>
            </w:r>
            <w:r>
              <w:rPr>
                <w:noProof/>
                <w:webHidden/>
              </w:rPr>
              <w:instrText xml:space="preserve"> PAGEREF _Toc220490364 \h </w:instrText>
            </w:r>
            <w:r>
              <w:rPr>
                <w:noProof/>
                <w:webHidden/>
              </w:rPr>
            </w:r>
            <w:r>
              <w:rPr>
                <w:noProof/>
                <w:webHidden/>
              </w:rPr>
              <w:fldChar w:fldCharType="separate"/>
            </w:r>
            <w:r>
              <w:rPr>
                <w:noProof/>
                <w:webHidden/>
              </w:rPr>
              <w:t>415</w:t>
            </w:r>
            <w:r>
              <w:rPr>
                <w:noProof/>
                <w:webHidden/>
              </w:rPr>
              <w:fldChar w:fldCharType="end"/>
            </w:r>
          </w:hyperlink>
        </w:p>
        <w:p w14:paraId="0D5E57D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5" w:history="1">
            <w:r w:rsidRPr="000D551A">
              <w:rPr>
                <w:rStyle w:val="Lienhypertexte"/>
                <w:noProof/>
              </w:rPr>
              <w:t>42.82.4j Vitraux - rénovation - restauration-conservation en atelier - attaque à l'acide</w:t>
            </w:r>
            <w:r>
              <w:rPr>
                <w:noProof/>
                <w:webHidden/>
              </w:rPr>
              <w:tab/>
            </w:r>
            <w:r>
              <w:rPr>
                <w:noProof/>
                <w:webHidden/>
              </w:rPr>
              <w:fldChar w:fldCharType="begin"/>
            </w:r>
            <w:r>
              <w:rPr>
                <w:noProof/>
                <w:webHidden/>
              </w:rPr>
              <w:instrText xml:space="preserve"> PAGEREF _Toc220490365 \h </w:instrText>
            </w:r>
            <w:r>
              <w:rPr>
                <w:noProof/>
                <w:webHidden/>
              </w:rPr>
            </w:r>
            <w:r>
              <w:rPr>
                <w:noProof/>
                <w:webHidden/>
              </w:rPr>
              <w:fldChar w:fldCharType="separate"/>
            </w:r>
            <w:r>
              <w:rPr>
                <w:noProof/>
                <w:webHidden/>
              </w:rPr>
              <w:t>415</w:t>
            </w:r>
            <w:r>
              <w:rPr>
                <w:noProof/>
                <w:webHidden/>
              </w:rPr>
              <w:fldChar w:fldCharType="end"/>
            </w:r>
          </w:hyperlink>
        </w:p>
        <w:p w14:paraId="775D2F6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6" w:history="1">
            <w:r w:rsidRPr="000D551A">
              <w:rPr>
                <w:rStyle w:val="Lienhypertexte"/>
                <w:noProof/>
              </w:rPr>
              <w:t>42.82.4k Vitraux - rénovation - restauration-conservation en atelier - doublage</w:t>
            </w:r>
            <w:r>
              <w:rPr>
                <w:noProof/>
                <w:webHidden/>
              </w:rPr>
              <w:tab/>
            </w:r>
            <w:r>
              <w:rPr>
                <w:noProof/>
                <w:webHidden/>
              </w:rPr>
              <w:fldChar w:fldCharType="begin"/>
            </w:r>
            <w:r>
              <w:rPr>
                <w:noProof/>
                <w:webHidden/>
              </w:rPr>
              <w:instrText xml:space="preserve"> PAGEREF _Toc220490366 \h </w:instrText>
            </w:r>
            <w:r>
              <w:rPr>
                <w:noProof/>
                <w:webHidden/>
              </w:rPr>
            </w:r>
            <w:r>
              <w:rPr>
                <w:noProof/>
                <w:webHidden/>
              </w:rPr>
              <w:fldChar w:fldCharType="separate"/>
            </w:r>
            <w:r>
              <w:rPr>
                <w:noProof/>
                <w:webHidden/>
              </w:rPr>
              <w:t>415</w:t>
            </w:r>
            <w:r>
              <w:rPr>
                <w:noProof/>
                <w:webHidden/>
              </w:rPr>
              <w:fldChar w:fldCharType="end"/>
            </w:r>
          </w:hyperlink>
        </w:p>
        <w:p w14:paraId="4CF0106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7" w:history="1">
            <w:r w:rsidRPr="000D551A">
              <w:rPr>
                <w:rStyle w:val="Lienhypertexte"/>
                <w:noProof/>
              </w:rPr>
              <w:t>42.82.4l Vitraux - rénovation - restauration-conservation en atelier - dépiquage-repiquage</w:t>
            </w:r>
            <w:r>
              <w:rPr>
                <w:noProof/>
                <w:webHidden/>
              </w:rPr>
              <w:tab/>
            </w:r>
            <w:r>
              <w:rPr>
                <w:noProof/>
                <w:webHidden/>
              </w:rPr>
              <w:fldChar w:fldCharType="begin"/>
            </w:r>
            <w:r>
              <w:rPr>
                <w:noProof/>
                <w:webHidden/>
              </w:rPr>
              <w:instrText xml:space="preserve"> PAGEREF _Toc220490367 \h </w:instrText>
            </w:r>
            <w:r>
              <w:rPr>
                <w:noProof/>
                <w:webHidden/>
              </w:rPr>
            </w:r>
            <w:r>
              <w:rPr>
                <w:noProof/>
                <w:webHidden/>
              </w:rPr>
              <w:fldChar w:fldCharType="separate"/>
            </w:r>
            <w:r>
              <w:rPr>
                <w:noProof/>
                <w:webHidden/>
              </w:rPr>
              <w:t>415</w:t>
            </w:r>
            <w:r>
              <w:rPr>
                <w:noProof/>
                <w:webHidden/>
              </w:rPr>
              <w:fldChar w:fldCharType="end"/>
            </w:r>
          </w:hyperlink>
        </w:p>
        <w:p w14:paraId="30B3249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8" w:history="1">
            <w:r w:rsidRPr="000D551A">
              <w:rPr>
                <w:rStyle w:val="Lienhypertexte"/>
                <w:noProof/>
              </w:rPr>
              <w:t>42.82.4m Vitraux - rénovation - restauration-conservation en atelier - réparation de plomb par soudure</w:t>
            </w:r>
            <w:r>
              <w:rPr>
                <w:noProof/>
                <w:webHidden/>
              </w:rPr>
              <w:tab/>
            </w:r>
            <w:r>
              <w:rPr>
                <w:noProof/>
                <w:webHidden/>
              </w:rPr>
              <w:fldChar w:fldCharType="begin"/>
            </w:r>
            <w:r>
              <w:rPr>
                <w:noProof/>
                <w:webHidden/>
              </w:rPr>
              <w:instrText xml:space="preserve"> PAGEREF _Toc220490368 \h </w:instrText>
            </w:r>
            <w:r>
              <w:rPr>
                <w:noProof/>
                <w:webHidden/>
              </w:rPr>
            </w:r>
            <w:r>
              <w:rPr>
                <w:noProof/>
                <w:webHidden/>
              </w:rPr>
              <w:fldChar w:fldCharType="separate"/>
            </w:r>
            <w:r>
              <w:rPr>
                <w:noProof/>
                <w:webHidden/>
              </w:rPr>
              <w:t>415</w:t>
            </w:r>
            <w:r>
              <w:rPr>
                <w:noProof/>
                <w:webHidden/>
              </w:rPr>
              <w:fldChar w:fldCharType="end"/>
            </w:r>
          </w:hyperlink>
        </w:p>
        <w:p w14:paraId="638FFD3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69" w:history="1">
            <w:r w:rsidRPr="000D551A">
              <w:rPr>
                <w:rStyle w:val="Lienhypertexte"/>
                <w:noProof/>
              </w:rPr>
              <w:t>42.82.4n Vitraux - rénovation - restauration-conservation en atelier - remplacement de plomb de bordure</w:t>
            </w:r>
            <w:r>
              <w:rPr>
                <w:noProof/>
                <w:webHidden/>
              </w:rPr>
              <w:tab/>
            </w:r>
            <w:r>
              <w:rPr>
                <w:noProof/>
                <w:webHidden/>
              </w:rPr>
              <w:fldChar w:fldCharType="begin"/>
            </w:r>
            <w:r>
              <w:rPr>
                <w:noProof/>
                <w:webHidden/>
              </w:rPr>
              <w:instrText xml:space="preserve"> PAGEREF _Toc220490369 \h </w:instrText>
            </w:r>
            <w:r>
              <w:rPr>
                <w:noProof/>
                <w:webHidden/>
              </w:rPr>
            </w:r>
            <w:r>
              <w:rPr>
                <w:noProof/>
                <w:webHidden/>
              </w:rPr>
              <w:fldChar w:fldCharType="separate"/>
            </w:r>
            <w:r>
              <w:rPr>
                <w:noProof/>
                <w:webHidden/>
              </w:rPr>
              <w:t>415</w:t>
            </w:r>
            <w:r>
              <w:rPr>
                <w:noProof/>
                <w:webHidden/>
              </w:rPr>
              <w:fldChar w:fldCharType="end"/>
            </w:r>
          </w:hyperlink>
        </w:p>
        <w:p w14:paraId="25F1F59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70" w:history="1">
            <w:r w:rsidRPr="000D551A">
              <w:rPr>
                <w:rStyle w:val="Lienhypertexte"/>
                <w:noProof/>
              </w:rPr>
              <w:t>42.82.4o Vitraux - rénovation - restauration-conservation en atelier - renforcement de nouveaux plombs</w:t>
            </w:r>
            <w:r>
              <w:rPr>
                <w:noProof/>
                <w:webHidden/>
              </w:rPr>
              <w:tab/>
            </w:r>
            <w:r>
              <w:rPr>
                <w:noProof/>
                <w:webHidden/>
              </w:rPr>
              <w:fldChar w:fldCharType="begin"/>
            </w:r>
            <w:r>
              <w:rPr>
                <w:noProof/>
                <w:webHidden/>
              </w:rPr>
              <w:instrText xml:space="preserve"> PAGEREF _Toc220490370 \h </w:instrText>
            </w:r>
            <w:r>
              <w:rPr>
                <w:noProof/>
                <w:webHidden/>
              </w:rPr>
            </w:r>
            <w:r>
              <w:rPr>
                <w:noProof/>
                <w:webHidden/>
              </w:rPr>
              <w:fldChar w:fldCharType="separate"/>
            </w:r>
            <w:r>
              <w:rPr>
                <w:noProof/>
                <w:webHidden/>
              </w:rPr>
              <w:t>415</w:t>
            </w:r>
            <w:r>
              <w:rPr>
                <w:noProof/>
                <w:webHidden/>
              </w:rPr>
              <w:fldChar w:fldCharType="end"/>
            </w:r>
          </w:hyperlink>
        </w:p>
        <w:p w14:paraId="4E671D5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71" w:history="1">
            <w:r w:rsidRPr="000D551A">
              <w:rPr>
                <w:rStyle w:val="Lienhypertexte"/>
                <w:noProof/>
              </w:rPr>
              <w:t>42.82.4p Vitraux - rénovation - restauration-conservation en atelier - réduction d'un plomb de casse</w:t>
            </w:r>
            <w:r>
              <w:rPr>
                <w:noProof/>
                <w:webHidden/>
              </w:rPr>
              <w:tab/>
            </w:r>
            <w:r>
              <w:rPr>
                <w:noProof/>
                <w:webHidden/>
              </w:rPr>
              <w:fldChar w:fldCharType="begin"/>
            </w:r>
            <w:r>
              <w:rPr>
                <w:noProof/>
                <w:webHidden/>
              </w:rPr>
              <w:instrText xml:space="preserve"> PAGEREF _Toc220490371 \h </w:instrText>
            </w:r>
            <w:r>
              <w:rPr>
                <w:noProof/>
                <w:webHidden/>
              </w:rPr>
            </w:r>
            <w:r>
              <w:rPr>
                <w:noProof/>
                <w:webHidden/>
              </w:rPr>
              <w:fldChar w:fldCharType="separate"/>
            </w:r>
            <w:r>
              <w:rPr>
                <w:noProof/>
                <w:webHidden/>
              </w:rPr>
              <w:t>416</w:t>
            </w:r>
            <w:r>
              <w:rPr>
                <w:noProof/>
                <w:webHidden/>
              </w:rPr>
              <w:fldChar w:fldCharType="end"/>
            </w:r>
          </w:hyperlink>
        </w:p>
        <w:p w14:paraId="64DE302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72" w:history="1">
            <w:r w:rsidRPr="000D551A">
              <w:rPr>
                <w:rStyle w:val="Lienhypertexte"/>
                <w:noProof/>
              </w:rPr>
              <w:t>42.82.4q Vitraux - rénovation - restauration-conservation en atelier - remplacement de plombs intérieurs</w:t>
            </w:r>
            <w:r>
              <w:rPr>
                <w:noProof/>
                <w:webHidden/>
              </w:rPr>
              <w:tab/>
            </w:r>
            <w:r>
              <w:rPr>
                <w:noProof/>
                <w:webHidden/>
              </w:rPr>
              <w:fldChar w:fldCharType="begin"/>
            </w:r>
            <w:r>
              <w:rPr>
                <w:noProof/>
                <w:webHidden/>
              </w:rPr>
              <w:instrText xml:space="preserve"> PAGEREF _Toc220490372 \h </w:instrText>
            </w:r>
            <w:r>
              <w:rPr>
                <w:noProof/>
                <w:webHidden/>
              </w:rPr>
            </w:r>
            <w:r>
              <w:rPr>
                <w:noProof/>
                <w:webHidden/>
              </w:rPr>
              <w:fldChar w:fldCharType="separate"/>
            </w:r>
            <w:r>
              <w:rPr>
                <w:noProof/>
                <w:webHidden/>
              </w:rPr>
              <w:t>416</w:t>
            </w:r>
            <w:r>
              <w:rPr>
                <w:noProof/>
                <w:webHidden/>
              </w:rPr>
              <w:fldChar w:fldCharType="end"/>
            </w:r>
          </w:hyperlink>
        </w:p>
        <w:p w14:paraId="3AEA514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73" w:history="1">
            <w:r w:rsidRPr="000D551A">
              <w:rPr>
                <w:rStyle w:val="Lienhypertexte"/>
                <w:noProof/>
              </w:rPr>
              <w:t>42.82.4r Vitraux - rénovation - restauration-conservation en atelier - remise en plomb partielle / complète</w:t>
            </w:r>
            <w:r>
              <w:rPr>
                <w:noProof/>
                <w:webHidden/>
              </w:rPr>
              <w:tab/>
            </w:r>
            <w:r>
              <w:rPr>
                <w:noProof/>
                <w:webHidden/>
              </w:rPr>
              <w:fldChar w:fldCharType="begin"/>
            </w:r>
            <w:r>
              <w:rPr>
                <w:noProof/>
                <w:webHidden/>
              </w:rPr>
              <w:instrText xml:space="preserve"> PAGEREF _Toc220490373 \h </w:instrText>
            </w:r>
            <w:r>
              <w:rPr>
                <w:noProof/>
                <w:webHidden/>
              </w:rPr>
            </w:r>
            <w:r>
              <w:rPr>
                <w:noProof/>
                <w:webHidden/>
              </w:rPr>
              <w:fldChar w:fldCharType="separate"/>
            </w:r>
            <w:r>
              <w:rPr>
                <w:noProof/>
                <w:webHidden/>
              </w:rPr>
              <w:t>416</w:t>
            </w:r>
            <w:r>
              <w:rPr>
                <w:noProof/>
                <w:webHidden/>
              </w:rPr>
              <w:fldChar w:fldCharType="end"/>
            </w:r>
          </w:hyperlink>
        </w:p>
        <w:p w14:paraId="4A3D46C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74" w:history="1">
            <w:r w:rsidRPr="000D551A">
              <w:rPr>
                <w:rStyle w:val="Lienhypertexte"/>
                <w:noProof/>
              </w:rPr>
              <w:t>42.82.4s Vitraux - rénovation - restauration-conservation en atelier - fixation grisaille en recherche</w:t>
            </w:r>
            <w:r>
              <w:rPr>
                <w:noProof/>
                <w:webHidden/>
              </w:rPr>
              <w:tab/>
            </w:r>
            <w:r>
              <w:rPr>
                <w:noProof/>
                <w:webHidden/>
              </w:rPr>
              <w:fldChar w:fldCharType="begin"/>
            </w:r>
            <w:r>
              <w:rPr>
                <w:noProof/>
                <w:webHidden/>
              </w:rPr>
              <w:instrText xml:space="preserve"> PAGEREF _Toc220490374 \h </w:instrText>
            </w:r>
            <w:r>
              <w:rPr>
                <w:noProof/>
                <w:webHidden/>
              </w:rPr>
            </w:r>
            <w:r>
              <w:rPr>
                <w:noProof/>
                <w:webHidden/>
              </w:rPr>
              <w:fldChar w:fldCharType="separate"/>
            </w:r>
            <w:r>
              <w:rPr>
                <w:noProof/>
                <w:webHidden/>
              </w:rPr>
              <w:t>416</w:t>
            </w:r>
            <w:r>
              <w:rPr>
                <w:noProof/>
                <w:webHidden/>
              </w:rPr>
              <w:fldChar w:fldCharType="end"/>
            </w:r>
          </w:hyperlink>
        </w:p>
        <w:p w14:paraId="2BD1BB7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75" w:history="1">
            <w:r w:rsidRPr="000D551A">
              <w:rPr>
                <w:rStyle w:val="Lienhypertexte"/>
                <w:noProof/>
              </w:rPr>
              <w:t>42.82.4t Vitraux - rénovation - restauration-conservation en atelier - fixation grisaille générale</w:t>
            </w:r>
            <w:r>
              <w:rPr>
                <w:noProof/>
                <w:webHidden/>
              </w:rPr>
              <w:tab/>
            </w:r>
            <w:r>
              <w:rPr>
                <w:noProof/>
                <w:webHidden/>
              </w:rPr>
              <w:fldChar w:fldCharType="begin"/>
            </w:r>
            <w:r>
              <w:rPr>
                <w:noProof/>
                <w:webHidden/>
              </w:rPr>
              <w:instrText xml:space="preserve"> PAGEREF _Toc220490375 \h </w:instrText>
            </w:r>
            <w:r>
              <w:rPr>
                <w:noProof/>
                <w:webHidden/>
              </w:rPr>
            </w:r>
            <w:r>
              <w:rPr>
                <w:noProof/>
                <w:webHidden/>
              </w:rPr>
              <w:fldChar w:fldCharType="separate"/>
            </w:r>
            <w:r>
              <w:rPr>
                <w:noProof/>
                <w:webHidden/>
              </w:rPr>
              <w:t>416</w:t>
            </w:r>
            <w:r>
              <w:rPr>
                <w:noProof/>
                <w:webHidden/>
              </w:rPr>
              <w:fldChar w:fldCharType="end"/>
            </w:r>
          </w:hyperlink>
        </w:p>
        <w:p w14:paraId="2811259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76" w:history="1">
            <w:r w:rsidRPr="000D551A">
              <w:rPr>
                <w:rStyle w:val="Lienhypertexte"/>
                <w:noProof/>
              </w:rPr>
              <w:t>42.82.4u Vitraux - rénovation - restauration-conservation en atelier - restitution grisaille au revers</w:t>
            </w:r>
            <w:r>
              <w:rPr>
                <w:noProof/>
                <w:webHidden/>
              </w:rPr>
              <w:tab/>
            </w:r>
            <w:r>
              <w:rPr>
                <w:noProof/>
                <w:webHidden/>
              </w:rPr>
              <w:fldChar w:fldCharType="begin"/>
            </w:r>
            <w:r>
              <w:rPr>
                <w:noProof/>
                <w:webHidden/>
              </w:rPr>
              <w:instrText xml:space="preserve"> PAGEREF _Toc220490376 \h </w:instrText>
            </w:r>
            <w:r>
              <w:rPr>
                <w:noProof/>
                <w:webHidden/>
              </w:rPr>
            </w:r>
            <w:r>
              <w:rPr>
                <w:noProof/>
                <w:webHidden/>
              </w:rPr>
              <w:fldChar w:fldCharType="separate"/>
            </w:r>
            <w:r>
              <w:rPr>
                <w:noProof/>
                <w:webHidden/>
              </w:rPr>
              <w:t>416</w:t>
            </w:r>
            <w:r>
              <w:rPr>
                <w:noProof/>
                <w:webHidden/>
              </w:rPr>
              <w:fldChar w:fldCharType="end"/>
            </w:r>
          </w:hyperlink>
        </w:p>
        <w:p w14:paraId="34DBBA2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77" w:history="1">
            <w:r w:rsidRPr="000D551A">
              <w:rPr>
                <w:rStyle w:val="Lienhypertexte"/>
                <w:noProof/>
              </w:rPr>
              <w:t>42.82.4v Vitraux - rénovation - restauration-conservation en atelier - restitution grisaille sur verre de doublage</w:t>
            </w:r>
            <w:r>
              <w:rPr>
                <w:noProof/>
                <w:webHidden/>
              </w:rPr>
              <w:tab/>
            </w:r>
            <w:r>
              <w:rPr>
                <w:noProof/>
                <w:webHidden/>
              </w:rPr>
              <w:fldChar w:fldCharType="begin"/>
            </w:r>
            <w:r>
              <w:rPr>
                <w:noProof/>
                <w:webHidden/>
              </w:rPr>
              <w:instrText xml:space="preserve"> PAGEREF _Toc220490377 \h </w:instrText>
            </w:r>
            <w:r>
              <w:rPr>
                <w:noProof/>
                <w:webHidden/>
              </w:rPr>
            </w:r>
            <w:r>
              <w:rPr>
                <w:noProof/>
                <w:webHidden/>
              </w:rPr>
              <w:fldChar w:fldCharType="separate"/>
            </w:r>
            <w:r>
              <w:rPr>
                <w:noProof/>
                <w:webHidden/>
              </w:rPr>
              <w:t>416</w:t>
            </w:r>
            <w:r>
              <w:rPr>
                <w:noProof/>
                <w:webHidden/>
              </w:rPr>
              <w:fldChar w:fldCharType="end"/>
            </w:r>
          </w:hyperlink>
        </w:p>
        <w:p w14:paraId="6C81D2D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78" w:history="1">
            <w:r w:rsidRPr="000D551A">
              <w:rPr>
                <w:rStyle w:val="Lienhypertexte"/>
                <w:noProof/>
              </w:rPr>
              <w:t>42.82.4w Vitraux - rénovation - restauration-conservation en atelier - masticage</w:t>
            </w:r>
            <w:r>
              <w:rPr>
                <w:noProof/>
                <w:webHidden/>
              </w:rPr>
              <w:tab/>
            </w:r>
            <w:r>
              <w:rPr>
                <w:noProof/>
                <w:webHidden/>
              </w:rPr>
              <w:fldChar w:fldCharType="begin"/>
            </w:r>
            <w:r>
              <w:rPr>
                <w:noProof/>
                <w:webHidden/>
              </w:rPr>
              <w:instrText xml:space="preserve"> PAGEREF _Toc220490378 \h </w:instrText>
            </w:r>
            <w:r>
              <w:rPr>
                <w:noProof/>
                <w:webHidden/>
              </w:rPr>
            </w:r>
            <w:r>
              <w:rPr>
                <w:noProof/>
                <w:webHidden/>
              </w:rPr>
              <w:fldChar w:fldCharType="separate"/>
            </w:r>
            <w:r>
              <w:rPr>
                <w:noProof/>
                <w:webHidden/>
              </w:rPr>
              <w:t>416</w:t>
            </w:r>
            <w:r>
              <w:rPr>
                <w:noProof/>
                <w:webHidden/>
              </w:rPr>
              <w:fldChar w:fldCharType="end"/>
            </w:r>
          </w:hyperlink>
        </w:p>
        <w:p w14:paraId="4B819BE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79" w:history="1">
            <w:r w:rsidRPr="000D551A">
              <w:rPr>
                <w:rStyle w:val="Lienhypertexte"/>
                <w:noProof/>
              </w:rPr>
              <w:t>42.82.5 Vitraux - rénovation - restauration-conservation in situ</w:t>
            </w:r>
            <w:r>
              <w:rPr>
                <w:noProof/>
                <w:webHidden/>
              </w:rPr>
              <w:tab/>
            </w:r>
            <w:r>
              <w:rPr>
                <w:noProof/>
                <w:webHidden/>
              </w:rPr>
              <w:fldChar w:fldCharType="begin"/>
            </w:r>
            <w:r>
              <w:rPr>
                <w:noProof/>
                <w:webHidden/>
              </w:rPr>
              <w:instrText xml:space="preserve"> PAGEREF _Toc220490379 \h </w:instrText>
            </w:r>
            <w:r>
              <w:rPr>
                <w:noProof/>
                <w:webHidden/>
              </w:rPr>
            </w:r>
            <w:r>
              <w:rPr>
                <w:noProof/>
                <w:webHidden/>
              </w:rPr>
              <w:fldChar w:fldCharType="separate"/>
            </w:r>
            <w:r>
              <w:rPr>
                <w:noProof/>
                <w:webHidden/>
              </w:rPr>
              <w:t>416</w:t>
            </w:r>
            <w:r>
              <w:rPr>
                <w:noProof/>
                <w:webHidden/>
              </w:rPr>
              <w:fldChar w:fldCharType="end"/>
            </w:r>
          </w:hyperlink>
        </w:p>
        <w:p w14:paraId="4646D00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80" w:history="1">
            <w:r w:rsidRPr="000D551A">
              <w:rPr>
                <w:rStyle w:val="Lienhypertexte"/>
                <w:noProof/>
              </w:rPr>
              <w:t>42.82.5a Vitraux - rénovation - restauration-conservation in situ - dépiquage-repiquage verres non peints</w:t>
            </w:r>
            <w:r>
              <w:rPr>
                <w:noProof/>
                <w:webHidden/>
              </w:rPr>
              <w:tab/>
            </w:r>
            <w:r>
              <w:rPr>
                <w:noProof/>
                <w:webHidden/>
              </w:rPr>
              <w:fldChar w:fldCharType="begin"/>
            </w:r>
            <w:r>
              <w:rPr>
                <w:noProof/>
                <w:webHidden/>
              </w:rPr>
              <w:instrText xml:space="preserve"> PAGEREF _Toc220490380 \h </w:instrText>
            </w:r>
            <w:r>
              <w:rPr>
                <w:noProof/>
                <w:webHidden/>
              </w:rPr>
            </w:r>
            <w:r>
              <w:rPr>
                <w:noProof/>
                <w:webHidden/>
              </w:rPr>
              <w:fldChar w:fldCharType="separate"/>
            </w:r>
            <w:r>
              <w:rPr>
                <w:noProof/>
                <w:webHidden/>
              </w:rPr>
              <w:t>416</w:t>
            </w:r>
            <w:r>
              <w:rPr>
                <w:noProof/>
                <w:webHidden/>
              </w:rPr>
              <w:fldChar w:fldCharType="end"/>
            </w:r>
          </w:hyperlink>
        </w:p>
        <w:p w14:paraId="25A8421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81" w:history="1">
            <w:r w:rsidRPr="000D551A">
              <w:rPr>
                <w:rStyle w:val="Lienhypertexte"/>
                <w:noProof/>
              </w:rPr>
              <w:t>42.82.5b Vitraux - rénovation - restauration-conservation in situ - verres peints</w:t>
            </w:r>
            <w:r>
              <w:rPr>
                <w:noProof/>
                <w:webHidden/>
              </w:rPr>
              <w:tab/>
            </w:r>
            <w:r>
              <w:rPr>
                <w:noProof/>
                <w:webHidden/>
              </w:rPr>
              <w:fldChar w:fldCharType="begin"/>
            </w:r>
            <w:r>
              <w:rPr>
                <w:noProof/>
                <w:webHidden/>
              </w:rPr>
              <w:instrText xml:space="preserve"> PAGEREF _Toc220490381 \h </w:instrText>
            </w:r>
            <w:r>
              <w:rPr>
                <w:noProof/>
                <w:webHidden/>
              </w:rPr>
            </w:r>
            <w:r>
              <w:rPr>
                <w:noProof/>
                <w:webHidden/>
              </w:rPr>
              <w:fldChar w:fldCharType="separate"/>
            </w:r>
            <w:r>
              <w:rPr>
                <w:noProof/>
                <w:webHidden/>
              </w:rPr>
              <w:t>416</w:t>
            </w:r>
            <w:r>
              <w:rPr>
                <w:noProof/>
                <w:webHidden/>
              </w:rPr>
              <w:fldChar w:fldCharType="end"/>
            </w:r>
          </w:hyperlink>
        </w:p>
        <w:p w14:paraId="42FD1FA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82" w:history="1">
            <w:r w:rsidRPr="000D551A">
              <w:rPr>
                <w:rStyle w:val="Lienhypertexte"/>
                <w:noProof/>
              </w:rPr>
              <w:t>42.82.6 Vitraux - rénovation - placement</w:t>
            </w:r>
            <w:r>
              <w:rPr>
                <w:noProof/>
                <w:webHidden/>
              </w:rPr>
              <w:tab/>
            </w:r>
            <w:r>
              <w:rPr>
                <w:noProof/>
                <w:webHidden/>
              </w:rPr>
              <w:fldChar w:fldCharType="begin"/>
            </w:r>
            <w:r>
              <w:rPr>
                <w:noProof/>
                <w:webHidden/>
              </w:rPr>
              <w:instrText xml:space="preserve"> PAGEREF _Toc220490382 \h </w:instrText>
            </w:r>
            <w:r>
              <w:rPr>
                <w:noProof/>
                <w:webHidden/>
              </w:rPr>
            </w:r>
            <w:r>
              <w:rPr>
                <w:noProof/>
                <w:webHidden/>
              </w:rPr>
              <w:fldChar w:fldCharType="separate"/>
            </w:r>
            <w:r>
              <w:rPr>
                <w:noProof/>
                <w:webHidden/>
              </w:rPr>
              <w:t>416</w:t>
            </w:r>
            <w:r>
              <w:rPr>
                <w:noProof/>
                <w:webHidden/>
              </w:rPr>
              <w:fldChar w:fldCharType="end"/>
            </w:r>
          </w:hyperlink>
        </w:p>
        <w:p w14:paraId="03B3868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83" w:history="1">
            <w:r w:rsidRPr="000D551A">
              <w:rPr>
                <w:rStyle w:val="Lienhypertexte"/>
                <w:noProof/>
              </w:rPr>
              <w:t>42.82.6a Vitraux - rénovation - restauration-conservation in situ - placement - poses des vitraux en feuillure ou en rainure</w:t>
            </w:r>
            <w:r>
              <w:rPr>
                <w:noProof/>
                <w:webHidden/>
              </w:rPr>
              <w:tab/>
            </w:r>
            <w:r>
              <w:rPr>
                <w:noProof/>
                <w:webHidden/>
              </w:rPr>
              <w:fldChar w:fldCharType="begin"/>
            </w:r>
            <w:r>
              <w:rPr>
                <w:noProof/>
                <w:webHidden/>
              </w:rPr>
              <w:instrText xml:space="preserve"> PAGEREF _Toc220490383 \h </w:instrText>
            </w:r>
            <w:r>
              <w:rPr>
                <w:noProof/>
                <w:webHidden/>
              </w:rPr>
            </w:r>
            <w:r>
              <w:rPr>
                <w:noProof/>
                <w:webHidden/>
              </w:rPr>
              <w:fldChar w:fldCharType="separate"/>
            </w:r>
            <w:r>
              <w:rPr>
                <w:noProof/>
                <w:webHidden/>
              </w:rPr>
              <w:t>416</w:t>
            </w:r>
            <w:r>
              <w:rPr>
                <w:noProof/>
                <w:webHidden/>
              </w:rPr>
              <w:fldChar w:fldCharType="end"/>
            </w:r>
          </w:hyperlink>
        </w:p>
        <w:p w14:paraId="193CF2D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84" w:history="1">
            <w:r w:rsidRPr="000D551A">
              <w:rPr>
                <w:rStyle w:val="Lienhypertexte"/>
                <w:noProof/>
              </w:rPr>
              <w:t>42.82.6b Vitraux - rénovation - restauration-conservation in situ - poses des vitraux en tableau</w:t>
            </w:r>
            <w:r>
              <w:rPr>
                <w:noProof/>
                <w:webHidden/>
              </w:rPr>
              <w:tab/>
            </w:r>
            <w:r>
              <w:rPr>
                <w:noProof/>
                <w:webHidden/>
              </w:rPr>
              <w:fldChar w:fldCharType="begin"/>
            </w:r>
            <w:r>
              <w:rPr>
                <w:noProof/>
                <w:webHidden/>
              </w:rPr>
              <w:instrText xml:space="preserve"> PAGEREF _Toc220490384 \h </w:instrText>
            </w:r>
            <w:r>
              <w:rPr>
                <w:noProof/>
                <w:webHidden/>
              </w:rPr>
            </w:r>
            <w:r>
              <w:rPr>
                <w:noProof/>
                <w:webHidden/>
              </w:rPr>
              <w:fldChar w:fldCharType="separate"/>
            </w:r>
            <w:r>
              <w:rPr>
                <w:noProof/>
                <w:webHidden/>
              </w:rPr>
              <w:t>416</w:t>
            </w:r>
            <w:r>
              <w:rPr>
                <w:noProof/>
                <w:webHidden/>
              </w:rPr>
              <w:fldChar w:fldCharType="end"/>
            </w:r>
          </w:hyperlink>
        </w:p>
        <w:p w14:paraId="523CD70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85" w:history="1">
            <w:r w:rsidRPr="000D551A">
              <w:rPr>
                <w:rStyle w:val="Lienhypertexte"/>
                <w:noProof/>
              </w:rPr>
              <w:t>42.82.6c Vitraux - rénovation - restauration-conservation in situ - poses isothermiques</w:t>
            </w:r>
            <w:r>
              <w:rPr>
                <w:noProof/>
                <w:webHidden/>
              </w:rPr>
              <w:tab/>
            </w:r>
            <w:r>
              <w:rPr>
                <w:noProof/>
                <w:webHidden/>
              </w:rPr>
              <w:fldChar w:fldCharType="begin"/>
            </w:r>
            <w:r>
              <w:rPr>
                <w:noProof/>
                <w:webHidden/>
              </w:rPr>
              <w:instrText xml:space="preserve"> PAGEREF _Toc220490385 \h </w:instrText>
            </w:r>
            <w:r>
              <w:rPr>
                <w:noProof/>
                <w:webHidden/>
              </w:rPr>
            </w:r>
            <w:r>
              <w:rPr>
                <w:noProof/>
                <w:webHidden/>
              </w:rPr>
              <w:fldChar w:fldCharType="separate"/>
            </w:r>
            <w:r>
              <w:rPr>
                <w:noProof/>
                <w:webHidden/>
              </w:rPr>
              <w:t>416</w:t>
            </w:r>
            <w:r>
              <w:rPr>
                <w:noProof/>
                <w:webHidden/>
              </w:rPr>
              <w:fldChar w:fldCharType="end"/>
            </w:r>
          </w:hyperlink>
        </w:p>
        <w:p w14:paraId="03112459" w14:textId="77777777" w:rsidR="00FA36CF" w:rsidRDefault="00FA36CF">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0386" w:history="1">
            <w:r w:rsidRPr="000D551A">
              <w:rPr>
                <w:rStyle w:val="Lienhypertexte"/>
                <w:noProof/>
              </w:rPr>
              <w:t>43 Revêtements de façade CCTB 01.12</w:t>
            </w:r>
            <w:r>
              <w:rPr>
                <w:noProof/>
                <w:webHidden/>
              </w:rPr>
              <w:tab/>
            </w:r>
            <w:r>
              <w:rPr>
                <w:noProof/>
                <w:webHidden/>
              </w:rPr>
              <w:fldChar w:fldCharType="begin"/>
            </w:r>
            <w:r>
              <w:rPr>
                <w:noProof/>
                <w:webHidden/>
              </w:rPr>
              <w:instrText xml:space="preserve"> PAGEREF _Toc220490386 \h </w:instrText>
            </w:r>
            <w:r>
              <w:rPr>
                <w:noProof/>
                <w:webHidden/>
              </w:rPr>
            </w:r>
            <w:r>
              <w:rPr>
                <w:noProof/>
                <w:webHidden/>
              </w:rPr>
              <w:fldChar w:fldCharType="separate"/>
            </w:r>
            <w:r>
              <w:rPr>
                <w:noProof/>
                <w:webHidden/>
              </w:rPr>
              <w:t>416</w:t>
            </w:r>
            <w:r>
              <w:rPr>
                <w:noProof/>
                <w:webHidden/>
              </w:rPr>
              <w:fldChar w:fldCharType="end"/>
            </w:r>
          </w:hyperlink>
        </w:p>
        <w:p w14:paraId="43AC1BC9"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387" w:history="1">
            <w:r w:rsidRPr="000D551A">
              <w:rPr>
                <w:rStyle w:val="Lienhypertexte"/>
                <w:noProof/>
              </w:rPr>
              <w:t>43.1 Structures de support du revêtement de façade CCTB 01.02</w:t>
            </w:r>
            <w:r>
              <w:rPr>
                <w:noProof/>
                <w:webHidden/>
              </w:rPr>
              <w:tab/>
            </w:r>
            <w:r>
              <w:rPr>
                <w:noProof/>
                <w:webHidden/>
              </w:rPr>
              <w:fldChar w:fldCharType="begin"/>
            </w:r>
            <w:r>
              <w:rPr>
                <w:noProof/>
                <w:webHidden/>
              </w:rPr>
              <w:instrText xml:space="preserve"> PAGEREF _Toc220490387 \h </w:instrText>
            </w:r>
            <w:r>
              <w:rPr>
                <w:noProof/>
                <w:webHidden/>
              </w:rPr>
            </w:r>
            <w:r>
              <w:rPr>
                <w:noProof/>
                <w:webHidden/>
              </w:rPr>
              <w:fldChar w:fldCharType="separate"/>
            </w:r>
            <w:r>
              <w:rPr>
                <w:noProof/>
                <w:webHidden/>
              </w:rPr>
              <w:t>418</w:t>
            </w:r>
            <w:r>
              <w:rPr>
                <w:noProof/>
                <w:webHidden/>
              </w:rPr>
              <w:fldChar w:fldCharType="end"/>
            </w:r>
          </w:hyperlink>
        </w:p>
        <w:p w14:paraId="3CB2C35E"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88" w:history="1">
            <w:r w:rsidRPr="000D551A">
              <w:rPr>
                <w:rStyle w:val="Lienhypertexte"/>
                <w:noProof/>
              </w:rPr>
              <w:t>43.11 Profilés de support continu du revêtement de façade CCTB 01.02</w:t>
            </w:r>
            <w:r>
              <w:rPr>
                <w:noProof/>
                <w:webHidden/>
              </w:rPr>
              <w:tab/>
            </w:r>
            <w:r>
              <w:rPr>
                <w:noProof/>
                <w:webHidden/>
              </w:rPr>
              <w:fldChar w:fldCharType="begin"/>
            </w:r>
            <w:r>
              <w:rPr>
                <w:noProof/>
                <w:webHidden/>
              </w:rPr>
              <w:instrText xml:space="preserve"> PAGEREF _Toc220490388 \h </w:instrText>
            </w:r>
            <w:r>
              <w:rPr>
                <w:noProof/>
                <w:webHidden/>
              </w:rPr>
            </w:r>
            <w:r>
              <w:rPr>
                <w:noProof/>
                <w:webHidden/>
              </w:rPr>
              <w:fldChar w:fldCharType="separate"/>
            </w:r>
            <w:r>
              <w:rPr>
                <w:noProof/>
                <w:webHidden/>
              </w:rPr>
              <w:t>418</w:t>
            </w:r>
            <w:r>
              <w:rPr>
                <w:noProof/>
                <w:webHidden/>
              </w:rPr>
              <w:fldChar w:fldCharType="end"/>
            </w:r>
          </w:hyperlink>
        </w:p>
        <w:p w14:paraId="30FDB35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89" w:history="1">
            <w:r w:rsidRPr="000D551A">
              <w:rPr>
                <w:rStyle w:val="Lienhypertexte"/>
                <w:noProof/>
              </w:rPr>
              <w:t>43.11.1 Profilés de support continu en bois du revêtement de façade CCTB 01.02</w:t>
            </w:r>
            <w:r>
              <w:rPr>
                <w:noProof/>
                <w:webHidden/>
              </w:rPr>
              <w:tab/>
            </w:r>
            <w:r>
              <w:rPr>
                <w:noProof/>
                <w:webHidden/>
              </w:rPr>
              <w:fldChar w:fldCharType="begin"/>
            </w:r>
            <w:r>
              <w:rPr>
                <w:noProof/>
                <w:webHidden/>
              </w:rPr>
              <w:instrText xml:space="preserve"> PAGEREF _Toc220490389 \h </w:instrText>
            </w:r>
            <w:r>
              <w:rPr>
                <w:noProof/>
                <w:webHidden/>
              </w:rPr>
            </w:r>
            <w:r>
              <w:rPr>
                <w:noProof/>
                <w:webHidden/>
              </w:rPr>
              <w:fldChar w:fldCharType="separate"/>
            </w:r>
            <w:r>
              <w:rPr>
                <w:noProof/>
                <w:webHidden/>
              </w:rPr>
              <w:t>418</w:t>
            </w:r>
            <w:r>
              <w:rPr>
                <w:noProof/>
                <w:webHidden/>
              </w:rPr>
              <w:fldChar w:fldCharType="end"/>
            </w:r>
          </w:hyperlink>
        </w:p>
        <w:p w14:paraId="0FD68B7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90" w:history="1">
            <w:r w:rsidRPr="000D551A">
              <w:rPr>
                <w:rStyle w:val="Lienhypertexte"/>
                <w:noProof/>
              </w:rPr>
              <w:t>43.11.1a Profilés de support continu en bois du revêtement de façade CCTB 01.11</w:t>
            </w:r>
            <w:r>
              <w:rPr>
                <w:noProof/>
                <w:webHidden/>
              </w:rPr>
              <w:tab/>
            </w:r>
            <w:r>
              <w:rPr>
                <w:noProof/>
                <w:webHidden/>
              </w:rPr>
              <w:fldChar w:fldCharType="begin"/>
            </w:r>
            <w:r>
              <w:rPr>
                <w:noProof/>
                <w:webHidden/>
              </w:rPr>
              <w:instrText xml:space="preserve"> PAGEREF _Toc220490390 \h </w:instrText>
            </w:r>
            <w:r>
              <w:rPr>
                <w:noProof/>
                <w:webHidden/>
              </w:rPr>
            </w:r>
            <w:r>
              <w:rPr>
                <w:noProof/>
                <w:webHidden/>
              </w:rPr>
              <w:fldChar w:fldCharType="separate"/>
            </w:r>
            <w:r>
              <w:rPr>
                <w:noProof/>
                <w:webHidden/>
              </w:rPr>
              <w:t>418</w:t>
            </w:r>
            <w:r>
              <w:rPr>
                <w:noProof/>
                <w:webHidden/>
              </w:rPr>
              <w:fldChar w:fldCharType="end"/>
            </w:r>
          </w:hyperlink>
        </w:p>
        <w:p w14:paraId="34B1332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91" w:history="1">
            <w:r w:rsidRPr="000D551A">
              <w:rPr>
                <w:rStyle w:val="Lienhypertexte"/>
                <w:noProof/>
              </w:rPr>
              <w:t>43.11.2 Profilés de support continu métallique du revêtement de façade CCTB 01.02</w:t>
            </w:r>
            <w:r>
              <w:rPr>
                <w:noProof/>
                <w:webHidden/>
              </w:rPr>
              <w:tab/>
            </w:r>
            <w:r>
              <w:rPr>
                <w:noProof/>
                <w:webHidden/>
              </w:rPr>
              <w:fldChar w:fldCharType="begin"/>
            </w:r>
            <w:r>
              <w:rPr>
                <w:noProof/>
                <w:webHidden/>
              </w:rPr>
              <w:instrText xml:space="preserve"> PAGEREF _Toc220490391 \h </w:instrText>
            </w:r>
            <w:r>
              <w:rPr>
                <w:noProof/>
                <w:webHidden/>
              </w:rPr>
            </w:r>
            <w:r>
              <w:rPr>
                <w:noProof/>
                <w:webHidden/>
              </w:rPr>
              <w:fldChar w:fldCharType="separate"/>
            </w:r>
            <w:r>
              <w:rPr>
                <w:noProof/>
                <w:webHidden/>
              </w:rPr>
              <w:t>419</w:t>
            </w:r>
            <w:r>
              <w:rPr>
                <w:noProof/>
                <w:webHidden/>
              </w:rPr>
              <w:fldChar w:fldCharType="end"/>
            </w:r>
          </w:hyperlink>
        </w:p>
        <w:p w14:paraId="0D04B16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92" w:history="1">
            <w:r w:rsidRPr="000D551A">
              <w:rPr>
                <w:rStyle w:val="Lienhypertexte"/>
                <w:noProof/>
              </w:rPr>
              <w:t>43.11.2a Profilés de support continu en acier galvanisé du revêtement de façade CCTB 01.02</w:t>
            </w:r>
            <w:r>
              <w:rPr>
                <w:noProof/>
                <w:webHidden/>
              </w:rPr>
              <w:tab/>
            </w:r>
            <w:r>
              <w:rPr>
                <w:noProof/>
                <w:webHidden/>
              </w:rPr>
              <w:fldChar w:fldCharType="begin"/>
            </w:r>
            <w:r>
              <w:rPr>
                <w:noProof/>
                <w:webHidden/>
              </w:rPr>
              <w:instrText xml:space="preserve"> PAGEREF _Toc220490392 \h </w:instrText>
            </w:r>
            <w:r>
              <w:rPr>
                <w:noProof/>
                <w:webHidden/>
              </w:rPr>
            </w:r>
            <w:r>
              <w:rPr>
                <w:noProof/>
                <w:webHidden/>
              </w:rPr>
              <w:fldChar w:fldCharType="separate"/>
            </w:r>
            <w:r>
              <w:rPr>
                <w:noProof/>
                <w:webHidden/>
              </w:rPr>
              <w:t>419</w:t>
            </w:r>
            <w:r>
              <w:rPr>
                <w:noProof/>
                <w:webHidden/>
              </w:rPr>
              <w:fldChar w:fldCharType="end"/>
            </w:r>
          </w:hyperlink>
        </w:p>
        <w:p w14:paraId="0817239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93" w:history="1">
            <w:r w:rsidRPr="000D551A">
              <w:rPr>
                <w:rStyle w:val="Lienhypertexte"/>
                <w:noProof/>
              </w:rPr>
              <w:t>43.11.2b Profilés de support continu en acier inoxydable du revêtement de façade CCTB 01.02</w:t>
            </w:r>
            <w:r>
              <w:rPr>
                <w:noProof/>
                <w:webHidden/>
              </w:rPr>
              <w:tab/>
            </w:r>
            <w:r>
              <w:rPr>
                <w:noProof/>
                <w:webHidden/>
              </w:rPr>
              <w:fldChar w:fldCharType="begin"/>
            </w:r>
            <w:r>
              <w:rPr>
                <w:noProof/>
                <w:webHidden/>
              </w:rPr>
              <w:instrText xml:space="preserve"> PAGEREF _Toc220490393 \h </w:instrText>
            </w:r>
            <w:r>
              <w:rPr>
                <w:noProof/>
                <w:webHidden/>
              </w:rPr>
            </w:r>
            <w:r>
              <w:rPr>
                <w:noProof/>
                <w:webHidden/>
              </w:rPr>
              <w:fldChar w:fldCharType="separate"/>
            </w:r>
            <w:r>
              <w:rPr>
                <w:noProof/>
                <w:webHidden/>
              </w:rPr>
              <w:t>419</w:t>
            </w:r>
            <w:r>
              <w:rPr>
                <w:noProof/>
                <w:webHidden/>
              </w:rPr>
              <w:fldChar w:fldCharType="end"/>
            </w:r>
          </w:hyperlink>
        </w:p>
        <w:p w14:paraId="7ABC7FB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94" w:history="1">
            <w:r w:rsidRPr="000D551A">
              <w:rPr>
                <w:rStyle w:val="Lienhypertexte"/>
                <w:noProof/>
              </w:rPr>
              <w:t>43.11.2c Profilés de support continu en aluminium du revêtement de façade CCTB 01.10</w:t>
            </w:r>
            <w:r>
              <w:rPr>
                <w:noProof/>
                <w:webHidden/>
              </w:rPr>
              <w:tab/>
            </w:r>
            <w:r>
              <w:rPr>
                <w:noProof/>
                <w:webHidden/>
              </w:rPr>
              <w:fldChar w:fldCharType="begin"/>
            </w:r>
            <w:r>
              <w:rPr>
                <w:noProof/>
                <w:webHidden/>
              </w:rPr>
              <w:instrText xml:space="preserve"> PAGEREF _Toc220490394 \h </w:instrText>
            </w:r>
            <w:r>
              <w:rPr>
                <w:noProof/>
                <w:webHidden/>
              </w:rPr>
            </w:r>
            <w:r>
              <w:rPr>
                <w:noProof/>
                <w:webHidden/>
              </w:rPr>
              <w:fldChar w:fldCharType="separate"/>
            </w:r>
            <w:r>
              <w:rPr>
                <w:noProof/>
                <w:webHidden/>
              </w:rPr>
              <w:t>419</w:t>
            </w:r>
            <w:r>
              <w:rPr>
                <w:noProof/>
                <w:webHidden/>
              </w:rPr>
              <w:fldChar w:fldCharType="end"/>
            </w:r>
          </w:hyperlink>
        </w:p>
        <w:p w14:paraId="2C7D5E7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95" w:history="1">
            <w:r w:rsidRPr="000D551A">
              <w:rPr>
                <w:rStyle w:val="Lienhypertexte"/>
                <w:noProof/>
              </w:rPr>
              <w:t>43.11.3 Profilés de support continu en matière synthétique du revêtement de façade CCTB 01.02</w:t>
            </w:r>
            <w:r>
              <w:rPr>
                <w:noProof/>
                <w:webHidden/>
              </w:rPr>
              <w:tab/>
            </w:r>
            <w:r>
              <w:rPr>
                <w:noProof/>
                <w:webHidden/>
              </w:rPr>
              <w:fldChar w:fldCharType="begin"/>
            </w:r>
            <w:r>
              <w:rPr>
                <w:noProof/>
                <w:webHidden/>
              </w:rPr>
              <w:instrText xml:space="preserve"> PAGEREF _Toc220490395 \h </w:instrText>
            </w:r>
            <w:r>
              <w:rPr>
                <w:noProof/>
                <w:webHidden/>
              </w:rPr>
            </w:r>
            <w:r>
              <w:rPr>
                <w:noProof/>
                <w:webHidden/>
              </w:rPr>
              <w:fldChar w:fldCharType="separate"/>
            </w:r>
            <w:r>
              <w:rPr>
                <w:noProof/>
                <w:webHidden/>
              </w:rPr>
              <w:t>420</w:t>
            </w:r>
            <w:r>
              <w:rPr>
                <w:noProof/>
                <w:webHidden/>
              </w:rPr>
              <w:fldChar w:fldCharType="end"/>
            </w:r>
          </w:hyperlink>
        </w:p>
        <w:p w14:paraId="609E996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96" w:history="1">
            <w:r w:rsidRPr="000D551A">
              <w:rPr>
                <w:rStyle w:val="Lienhypertexte"/>
                <w:noProof/>
              </w:rPr>
              <w:t>43.11.3a Profilés de support continu en matière synthétique du revêtement de façade</w:t>
            </w:r>
            <w:r>
              <w:rPr>
                <w:noProof/>
                <w:webHidden/>
              </w:rPr>
              <w:tab/>
            </w:r>
            <w:r>
              <w:rPr>
                <w:noProof/>
                <w:webHidden/>
              </w:rPr>
              <w:fldChar w:fldCharType="begin"/>
            </w:r>
            <w:r>
              <w:rPr>
                <w:noProof/>
                <w:webHidden/>
              </w:rPr>
              <w:instrText xml:space="preserve"> PAGEREF _Toc220490396 \h </w:instrText>
            </w:r>
            <w:r>
              <w:rPr>
                <w:noProof/>
                <w:webHidden/>
              </w:rPr>
            </w:r>
            <w:r>
              <w:rPr>
                <w:noProof/>
                <w:webHidden/>
              </w:rPr>
              <w:fldChar w:fldCharType="separate"/>
            </w:r>
            <w:r>
              <w:rPr>
                <w:noProof/>
                <w:webHidden/>
              </w:rPr>
              <w:t>420</w:t>
            </w:r>
            <w:r>
              <w:rPr>
                <w:noProof/>
                <w:webHidden/>
              </w:rPr>
              <w:fldChar w:fldCharType="end"/>
            </w:r>
          </w:hyperlink>
        </w:p>
        <w:p w14:paraId="3F6F126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397" w:history="1">
            <w:r w:rsidRPr="000D551A">
              <w:rPr>
                <w:rStyle w:val="Lienhypertexte"/>
                <w:noProof/>
              </w:rPr>
              <w:t>43.11.4 Profilés de support continu mixte du revêtement de façade CCTB 01.02</w:t>
            </w:r>
            <w:r>
              <w:rPr>
                <w:noProof/>
                <w:webHidden/>
              </w:rPr>
              <w:tab/>
            </w:r>
            <w:r>
              <w:rPr>
                <w:noProof/>
                <w:webHidden/>
              </w:rPr>
              <w:fldChar w:fldCharType="begin"/>
            </w:r>
            <w:r>
              <w:rPr>
                <w:noProof/>
                <w:webHidden/>
              </w:rPr>
              <w:instrText xml:space="preserve"> PAGEREF _Toc220490397 \h </w:instrText>
            </w:r>
            <w:r>
              <w:rPr>
                <w:noProof/>
                <w:webHidden/>
              </w:rPr>
            </w:r>
            <w:r>
              <w:rPr>
                <w:noProof/>
                <w:webHidden/>
              </w:rPr>
              <w:fldChar w:fldCharType="separate"/>
            </w:r>
            <w:r>
              <w:rPr>
                <w:noProof/>
                <w:webHidden/>
              </w:rPr>
              <w:t>420</w:t>
            </w:r>
            <w:r>
              <w:rPr>
                <w:noProof/>
                <w:webHidden/>
              </w:rPr>
              <w:fldChar w:fldCharType="end"/>
            </w:r>
          </w:hyperlink>
        </w:p>
        <w:p w14:paraId="2320DB8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398" w:history="1">
            <w:r w:rsidRPr="000D551A">
              <w:rPr>
                <w:rStyle w:val="Lienhypertexte"/>
                <w:noProof/>
              </w:rPr>
              <w:t>43.11.4a Profilés de support continu mixte du revêtement de façade</w:t>
            </w:r>
            <w:r>
              <w:rPr>
                <w:noProof/>
                <w:webHidden/>
              </w:rPr>
              <w:tab/>
            </w:r>
            <w:r>
              <w:rPr>
                <w:noProof/>
                <w:webHidden/>
              </w:rPr>
              <w:fldChar w:fldCharType="begin"/>
            </w:r>
            <w:r>
              <w:rPr>
                <w:noProof/>
                <w:webHidden/>
              </w:rPr>
              <w:instrText xml:space="preserve"> PAGEREF _Toc220490398 \h </w:instrText>
            </w:r>
            <w:r>
              <w:rPr>
                <w:noProof/>
                <w:webHidden/>
              </w:rPr>
            </w:r>
            <w:r>
              <w:rPr>
                <w:noProof/>
                <w:webHidden/>
              </w:rPr>
              <w:fldChar w:fldCharType="separate"/>
            </w:r>
            <w:r>
              <w:rPr>
                <w:noProof/>
                <w:webHidden/>
              </w:rPr>
              <w:t>420</w:t>
            </w:r>
            <w:r>
              <w:rPr>
                <w:noProof/>
                <w:webHidden/>
              </w:rPr>
              <w:fldChar w:fldCharType="end"/>
            </w:r>
          </w:hyperlink>
        </w:p>
        <w:p w14:paraId="3E934833"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399" w:history="1">
            <w:r w:rsidRPr="000D551A">
              <w:rPr>
                <w:rStyle w:val="Lienhypertexte"/>
                <w:noProof/>
              </w:rPr>
              <w:t>43.12 Supports par plots du revêtement de façade CCTB 01.02</w:t>
            </w:r>
            <w:r>
              <w:rPr>
                <w:noProof/>
                <w:webHidden/>
              </w:rPr>
              <w:tab/>
            </w:r>
            <w:r>
              <w:rPr>
                <w:noProof/>
                <w:webHidden/>
              </w:rPr>
              <w:fldChar w:fldCharType="begin"/>
            </w:r>
            <w:r>
              <w:rPr>
                <w:noProof/>
                <w:webHidden/>
              </w:rPr>
              <w:instrText xml:space="preserve"> PAGEREF _Toc220490399 \h </w:instrText>
            </w:r>
            <w:r>
              <w:rPr>
                <w:noProof/>
                <w:webHidden/>
              </w:rPr>
            </w:r>
            <w:r>
              <w:rPr>
                <w:noProof/>
                <w:webHidden/>
              </w:rPr>
              <w:fldChar w:fldCharType="separate"/>
            </w:r>
            <w:r>
              <w:rPr>
                <w:noProof/>
                <w:webHidden/>
              </w:rPr>
              <w:t>420</w:t>
            </w:r>
            <w:r>
              <w:rPr>
                <w:noProof/>
                <w:webHidden/>
              </w:rPr>
              <w:fldChar w:fldCharType="end"/>
            </w:r>
          </w:hyperlink>
        </w:p>
        <w:p w14:paraId="3345AB2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00" w:history="1">
            <w:r w:rsidRPr="000D551A">
              <w:rPr>
                <w:rStyle w:val="Lienhypertexte"/>
                <w:noProof/>
              </w:rPr>
              <w:t>43.12.1 Supports par plots synthétiques du revêtement de façade CCTB 01.02</w:t>
            </w:r>
            <w:r>
              <w:rPr>
                <w:noProof/>
                <w:webHidden/>
              </w:rPr>
              <w:tab/>
            </w:r>
            <w:r>
              <w:rPr>
                <w:noProof/>
                <w:webHidden/>
              </w:rPr>
              <w:fldChar w:fldCharType="begin"/>
            </w:r>
            <w:r>
              <w:rPr>
                <w:noProof/>
                <w:webHidden/>
              </w:rPr>
              <w:instrText xml:space="preserve"> PAGEREF _Toc220490400 \h </w:instrText>
            </w:r>
            <w:r>
              <w:rPr>
                <w:noProof/>
                <w:webHidden/>
              </w:rPr>
            </w:r>
            <w:r>
              <w:rPr>
                <w:noProof/>
                <w:webHidden/>
              </w:rPr>
              <w:fldChar w:fldCharType="separate"/>
            </w:r>
            <w:r>
              <w:rPr>
                <w:noProof/>
                <w:webHidden/>
              </w:rPr>
              <w:t>420</w:t>
            </w:r>
            <w:r>
              <w:rPr>
                <w:noProof/>
                <w:webHidden/>
              </w:rPr>
              <w:fldChar w:fldCharType="end"/>
            </w:r>
          </w:hyperlink>
        </w:p>
        <w:p w14:paraId="12C42D8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01" w:history="1">
            <w:r w:rsidRPr="000D551A">
              <w:rPr>
                <w:rStyle w:val="Lienhypertexte"/>
                <w:noProof/>
              </w:rPr>
              <w:t>43.12.1a Supports par plots synthétiques du revêtement de façade CCTB 01.11</w:t>
            </w:r>
            <w:r>
              <w:rPr>
                <w:noProof/>
                <w:webHidden/>
              </w:rPr>
              <w:tab/>
            </w:r>
            <w:r>
              <w:rPr>
                <w:noProof/>
                <w:webHidden/>
              </w:rPr>
              <w:fldChar w:fldCharType="begin"/>
            </w:r>
            <w:r>
              <w:rPr>
                <w:noProof/>
                <w:webHidden/>
              </w:rPr>
              <w:instrText xml:space="preserve"> PAGEREF _Toc220490401 \h </w:instrText>
            </w:r>
            <w:r>
              <w:rPr>
                <w:noProof/>
                <w:webHidden/>
              </w:rPr>
            </w:r>
            <w:r>
              <w:rPr>
                <w:noProof/>
                <w:webHidden/>
              </w:rPr>
              <w:fldChar w:fldCharType="separate"/>
            </w:r>
            <w:r>
              <w:rPr>
                <w:noProof/>
                <w:webHidden/>
              </w:rPr>
              <w:t>420</w:t>
            </w:r>
            <w:r>
              <w:rPr>
                <w:noProof/>
                <w:webHidden/>
              </w:rPr>
              <w:fldChar w:fldCharType="end"/>
            </w:r>
          </w:hyperlink>
        </w:p>
        <w:p w14:paraId="0B140BA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02" w:history="1">
            <w:r w:rsidRPr="000D551A">
              <w:rPr>
                <w:rStyle w:val="Lienhypertexte"/>
                <w:noProof/>
              </w:rPr>
              <w:t>43.12.2 Supports par plots métalliques du revêtement de façade  CCTB 01.02</w:t>
            </w:r>
            <w:r>
              <w:rPr>
                <w:noProof/>
                <w:webHidden/>
              </w:rPr>
              <w:tab/>
            </w:r>
            <w:r>
              <w:rPr>
                <w:noProof/>
                <w:webHidden/>
              </w:rPr>
              <w:fldChar w:fldCharType="begin"/>
            </w:r>
            <w:r>
              <w:rPr>
                <w:noProof/>
                <w:webHidden/>
              </w:rPr>
              <w:instrText xml:space="preserve"> PAGEREF _Toc220490402 \h </w:instrText>
            </w:r>
            <w:r>
              <w:rPr>
                <w:noProof/>
                <w:webHidden/>
              </w:rPr>
            </w:r>
            <w:r>
              <w:rPr>
                <w:noProof/>
                <w:webHidden/>
              </w:rPr>
              <w:fldChar w:fldCharType="separate"/>
            </w:r>
            <w:r>
              <w:rPr>
                <w:noProof/>
                <w:webHidden/>
              </w:rPr>
              <w:t>421</w:t>
            </w:r>
            <w:r>
              <w:rPr>
                <w:noProof/>
                <w:webHidden/>
              </w:rPr>
              <w:fldChar w:fldCharType="end"/>
            </w:r>
          </w:hyperlink>
        </w:p>
        <w:p w14:paraId="1B10F86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03" w:history="1">
            <w:r w:rsidRPr="000D551A">
              <w:rPr>
                <w:rStyle w:val="Lienhypertexte"/>
                <w:noProof/>
              </w:rPr>
              <w:t>43.12.2a Supports par plots métalliques du revêtement de façade</w:t>
            </w:r>
            <w:r>
              <w:rPr>
                <w:noProof/>
                <w:webHidden/>
              </w:rPr>
              <w:tab/>
            </w:r>
            <w:r>
              <w:rPr>
                <w:noProof/>
                <w:webHidden/>
              </w:rPr>
              <w:fldChar w:fldCharType="begin"/>
            </w:r>
            <w:r>
              <w:rPr>
                <w:noProof/>
                <w:webHidden/>
              </w:rPr>
              <w:instrText xml:space="preserve"> PAGEREF _Toc220490403 \h </w:instrText>
            </w:r>
            <w:r>
              <w:rPr>
                <w:noProof/>
                <w:webHidden/>
              </w:rPr>
            </w:r>
            <w:r>
              <w:rPr>
                <w:noProof/>
                <w:webHidden/>
              </w:rPr>
              <w:fldChar w:fldCharType="separate"/>
            </w:r>
            <w:r>
              <w:rPr>
                <w:noProof/>
                <w:webHidden/>
              </w:rPr>
              <w:t>421</w:t>
            </w:r>
            <w:r>
              <w:rPr>
                <w:noProof/>
                <w:webHidden/>
              </w:rPr>
              <w:fldChar w:fldCharType="end"/>
            </w:r>
          </w:hyperlink>
        </w:p>
        <w:p w14:paraId="7516CB0E"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04" w:history="1">
            <w:r w:rsidRPr="000D551A">
              <w:rPr>
                <w:rStyle w:val="Lienhypertexte"/>
                <w:noProof/>
              </w:rPr>
              <w:t>43.13 Panneaux sandwiches (autoportant et isolant) CCTB 01.02</w:t>
            </w:r>
            <w:r>
              <w:rPr>
                <w:noProof/>
                <w:webHidden/>
              </w:rPr>
              <w:tab/>
            </w:r>
            <w:r>
              <w:rPr>
                <w:noProof/>
                <w:webHidden/>
              </w:rPr>
              <w:fldChar w:fldCharType="begin"/>
            </w:r>
            <w:r>
              <w:rPr>
                <w:noProof/>
                <w:webHidden/>
              </w:rPr>
              <w:instrText xml:space="preserve"> PAGEREF _Toc220490404 \h </w:instrText>
            </w:r>
            <w:r>
              <w:rPr>
                <w:noProof/>
                <w:webHidden/>
              </w:rPr>
            </w:r>
            <w:r>
              <w:rPr>
                <w:noProof/>
                <w:webHidden/>
              </w:rPr>
              <w:fldChar w:fldCharType="separate"/>
            </w:r>
            <w:r>
              <w:rPr>
                <w:noProof/>
                <w:webHidden/>
              </w:rPr>
              <w:t>421</w:t>
            </w:r>
            <w:r>
              <w:rPr>
                <w:noProof/>
                <w:webHidden/>
              </w:rPr>
              <w:fldChar w:fldCharType="end"/>
            </w:r>
          </w:hyperlink>
        </w:p>
        <w:p w14:paraId="0678BC0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05" w:history="1">
            <w:r w:rsidRPr="000D551A">
              <w:rPr>
                <w:rStyle w:val="Lienhypertexte"/>
                <w:noProof/>
              </w:rPr>
              <w:t>43.13.1 Panneaux sandwiches (autoportant et isolant) CCTB 01.12</w:t>
            </w:r>
            <w:r>
              <w:rPr>
                <w:noProof/>
                <w:webHidden/>
              </w:rPr>
              <w:tab/>
            </w:r>
            <w:r>
              <w:rPr>
                <w:noProof/>
                <w:webHidden/>
              </w:rPr>
              <w:fldChar w:fldCharType="begin"/>
            </w:r>
            <w:r>
              <w:rPr>
                <w:noProof/>
                <w:webHidden/>
              </w:rPr>
              <w:instrText xml:space="preserve"> PAGEREF _Toc220490405 \h </w:instrText>
            </w:r>
            <w:r>
              <w:rPr>
                <w:noProof/>
                <w:webHidden/>
              </w:rPr>
            </w:r>
            <w:r>
              <w:rPr>
                <w:noProof/>
                <w:webHidden/>
              </w:rPr>
              <w:fldChar w:fldCharType="separate"/>
            </w:r>
            <w:r>
              <w:rPr>
                <w:noProof/>
                <w:webHidden/>
              </w:rPr>
              <w:t>421</w:t>
            </w:r>
            <w:r>
              <w:rPr>
                <w:noProof/>
                <w:webHidden/>
              </w:rPr>
              <w:fldChar w:fldCharType="end"/>
            </w:r>
          </w:hyperlink>
        </w:p>
        <w:p w14:paraId="60D2B17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06" w:history="1">
            <w:r w:rsidRPr="000D551A">
              <w:rPr>
                <w:rStyle w:val="Lienhypertexte"/>
                <w:noProof/>
              </w:rPr>
              <w:t>43.13.1a Panneaux sandwiches (autoportant et isolant) CCTB 01.12</w:t>
            </w:r>
            <w:r>
              <w:rPr>
                <w:noProof/>
                <w:webHidden/>
              </w:rPr>
              <w:tab/>
            </w:r>
            <w:r>
              <w:rPr>
                <w:noProof/>
                <w:webHidden/>
              </w:rPr>
              <w:fldChar w:fldCharType="begin"/>
            </w:r>
            <w:r>
              <w:rPr>
                <w:noProof/>
                <w:webHidden/>
              </w:rPr>
              <w:instrText xml:space="preserve"> PAGEREF _Toc220490406 \h </w:instrText>
            </w:r>
            <w:r>
              <w:rPr>
                <w:noProof/>
                <w:webHidden/>
              </w:rPr>
            </w:r>
            <w:r>
              <w:rPr>
                <w:noProof/>
                <w:webHidden/>
              </w:rPr>
              <w:fldChar w:fldCharType="separate"/>
            </w:r>
            <w:r>
              <w:rPr>
                <w:noProof/>
                <w:webHidden/>
              </w:rPr>
              <w:t>422</w:t>
            </w:r>
            <w:r>
              <w:rPr>
                <w:noProof/>
                <w:webHidden/>
              </w:rPr>
              <w:fldChar w:fldCharType="end"/>
            </w:r>
          </w:hyperlink>
        </w:p>
        <w:p w14:paraId="0DEECFF1"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07" w:history="1">
            <w:r w:rsidRPr="000D551A">
              <w:rPr>
                <w:rStyle w:val="Lienhypertexte"/>
                <w:noProof/>
              </w:rPr>
              <w:t>43.14 Panneaux sandwiches (autoportant et isolant) revêtus d'un parement extérieur CCTB 01.02</w:t>
            </w:r>
            <w:r>
              <w:rPr>
                <w:noProof/>
                <w:webHidden/>
              </w:rPr>
              <w:tab/>
            </w:r>
            <w:r>
              <w:rPr>
                <w:noProof/>
                <w:webHidden/>
              </w:rPr>
              <w:fldChar w:fldCharType="begin"/>
            </w:r>
            <w:r>
              <w:rPr>
                <w:noProof/>
                <w:webHidden/>
              </w:rPr>
              <w:instrText xml:space="preserve"> PAGEREF _Toc220490407 \h </w:instrText>
            </w:r>
            <w:r>
              <w:rPr>
                <w:noProof/>
                <w:webHidden/>
              </w:rPr>
            </w:r>
            <w:r>
              <w:rPr>
                <w:noProof/>
                <w:webHidden/>
              </w:rPr>
              <w:fldChar w:fldCharType="separate"/>
            </w:r>
            <w:r>
              <w:rPr>
                <w:noProof/>
                <w:webHidden/>
              </w:rPr>
              <w:t>425</w:t>
            </w:r>
            <w:r>
              <w:rPr>
                <w:noProof/>
                <w:webHidden/>
              </w:rPr>
              <w:fldChar w:fldCharType="end"/>
            </w:r>
          </w:hyperlink>
        </w:p>
        <w:p w14:paraId="1DABFC6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08" w:history="1">
            <w:r w:rsidRPr="000D551A">
              <w:rPr>
                <w:rStyle w:val="Lienhypertexte"/>
                <w:noProof/>
              </w:rPr>
              <w:t>43.14.1 Panneaux sandwiches (autoportant et isolant) revêtus d'un parement extérieur CCTB 01.11</w:t>
            </w:r>
            <w:r>
              <w:rPr>
                <w:noProof/>
                <w:webHidden/>
              </w:rPr>
              <w:tab/>
            </w:r>
            <w:r>
              <w:rPr>
                <w:noProof/>
                <w:webHidden/>
              </w:rPr>
              <w:fldChar w:fldCharType="begin"/>
            </w:r>
            <w:r>
              <w:rPr>
                <w:noProof/>
                <w:webHidden/>
              </w:rPr>
              <w:instrText xml:space="preserve"> PAGEREF _Toc220490408 \h </w:instrText>
            </w:r>
            <w:r>
              <w:rPr>
                <w:noProof/>
                <w:webHidden/>
              </w:rPr>
            </w:r>
            <w:r>
              <w:rPr>
                <w:noProof/>
                <w:webHidden/>
              </w:rPr>
              <w:fldChar w:fldCharType="separate"/>
            </w:r>
            <w:r>
              <w:rPr>
                <w:noProof/>
                <w:webHidden/>
              </w:rPr>
              <w:t>425</w:t>
            </w:r>
            <w:r>
              <w:rPr>
                <w:noProof/>
                <w:webHidden/>
              </w:rPr>
              <w:fldChar w:fldCharType="end"/>
            </w:r>
          </w:hyperlink>
        </w:p>
        <w:p w14:paraId="69FE1F6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09" w:history="1">
            <w:r w:rsidRPr="000D551A">
              <w:rPr>
                <w:rStyle w:val="Lienhypertexte"/>
                <w:noProof/>
              </w:rPr>
              <w:t>43.14.1a Panneaux sandwiches (autoportant et isolant) revêtus d'un parement extérieur CCTB 01.11</w:t>
            </w:r>
            <w:r>
              <w:rPr>
                <w:noProof/>
                <w:webHidden/>
              </w:rPr>
              <w:tab/>
            </w:r>
            <w:r>
              <w:rPr>
                <w:noProof/>
                <w:webHidden/>
              </w:rPr>
              <w:fldChar w:fldCharType="begin"/>
            </w:r>
            <w:r>
              <w:rPr>
                <w:noProof/>
                <w:webHidden/>
              </w:rPr>
              <w:instrText xml:space="preserve"> PAGEREF _Toc220490409 \h </w:instrText>
            </w:r>
            <w:r>
              <w:rPr>
                <w:noProof/>
                <w:webHidden/>
              </w:rPr>
            </w:r>
            <w:r>
              <w:rPr>
                <w:noProof/>
                <w:webHidden/>
              </w:rPr>
              <w:fldChar w:fldCharType="separate"/>
            </w:r>
            <w:r>
              <w:rPr>
                <w:noProof/>
                <w:webHidden/>
              </w:rPr>
              <w:t>425</w:t>
            </w:r>
            <w:r>
              <w:rPr>
                <w:noProof/>
                <w:webHidden/>
              </w:rPr>
              <w:fldChar w:fldCharType="end"/>
            </w:r>
          </w:hyperlink>
        </w:p>
        <w:p w14:paraId="5507B085"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410" w:history="1">
            <w:r w:rsidRPr="000D551A">
              <w:rPr>
                <w:rStyle w:val="Lienhypertexte"/>
                <w:noProof/>
              </w:rPr>
              <w:t>43.2 Revêtements de façade rigides fixés mécaniquement CCTB 01.12</w:t>
            </w:r>
            <w:r>
              <w:rPr>
                <w:noProof/>
                <w:webHidden/>
              </w:rPr>
              <w:tab/>
            </w:r>
            <w:r>
              <w:rPr>
                <w:noProof/>
                <w:webHidden/>
              </w:rPr>
              <w:fldChar w:fldCharType="begin"/>
            </w:r>
            <w:r>
              <w:rPr>
                <w:noProof/>
                <w:webHidden/>
              </w:rPr>
              <w:instrText xml:space="preserve"> PAGEREF _Toc220490410 \h </w:instrText>
            </w:r>
            <w:r>
              <w:rPr>
                <w:noProof/>
                <w:webHidden/>
              </w:rPr>
            </w:r>
            <w:r>
              <w:rPr>
                <w:noProof/>
                <w:webHidden/>
              </w:rPr>
              <w:fldChar w:fldCharType="separate"/>
            </w:r>
            <w:r>
              <w:rPr>
                <w:noProof/>
                <w:webHidden/>
              </w:rPr>
              <w:t>428</w:t>
            </w:r>
            <w:r>
              <w:rPr>
                <w:noProof/>
                <w:webHidden/>
              </w:rPr>
              <w:fldChar w:fldCharType="end"/>
            </w:r>
          </w:hyperlink>
        </w:p>
        <w:p w14:paraId="230BD30F"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11" w:history="1">
            <w:r w:rsidRPr="000D551A">
              <w:rPr>
                <w:rStyle w:val="Lienhypertexte"/>
                <w:noProof/>
              </w:rPr>
              <w:t>43.21 Revêtements de façade rigides fixés mécaniquement - tuiles CCTB 01.11</w:t>
            </w:r>
            <w:r>
              <w:rPr>
                <w:noProof/>
                <w:webHidden/>
              </w:rPr>
              <w:tab/>
            </w:r>
            <w:r>
              <w:rPr>
                <w:noProof/>
                <w:webHidden/>
              </w:rPr>
              <w:fldChar w:fldCharType="begin"/>
            </w:r>
            <w:r>
              <w:rPr>
                <w:noProof/>
                <w:webHidden/>
              </w:rPr>
              <w:instrText xml:space="preserve"> PAGEREF _Toc220490411 \h </w:instrText>
            </w:r>
            <w:r>
              <w:rPr>
                <w:noProof/>
                <w:webHidden/>
              </w:rPr>
            </w:r>
            <w:r>
              <w:rPr>
                <w:noProof/>
                <w:webHidden/>
              </w:rPr>
              <w:fldChar w:fldCharType="separate"/>
            </w:r>
            <w:r>
              <w:rPr>
                <w:noProof/>
                <w:webHidden/>
              </w:rPr>
              <w:t>430</w:t>
            </w:r>
            <w:r>
              <w:rPr>
                <w:noProof/>
                <w:webHidden/>
              </w:rPr>
              <w:fldChar w:fldCharType="end"/>
            </w:r>
          </w:hyperlink>
        </w:p>
        <w:p w14:paraId="17AC99C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12" w:history="1">
            <w:r w:rsidRPr="000D551A">
              <w:rPr>
                <w:rStyle w:val="Lienhypertexte"/>
                <w:noProof/>
              </w:rPr>
              <w:t>43.21.1 Revêtements de façade rigides fixés mécaniquement - tuiles en terre cuite CCTB 01.02</w:t>
            </w:r>
            <w:r>
              <w:rPr>
                <w:noProof/>
                <w:webHidden/>
              </w:rPr>
              <w:tab/>
            </w:r>
            <w:r>
              <w:rPr>
                <w:noProof/>
                <w:webHidden/>
              </w:rPr>
              <w:fldChar w:fldCharType="begin"/>
            </w:r>
            <w:r>
              <w:rPr>
                <w:noProof/>
                <w:webHidden/>
              </w:rPr>
              <w:instrText xml:space="preserve"> PAGEREF _Toc220490412 \h </w:instrText>
            </w:r>
            <w:r>
              <w:rPr>
                <w:noProof/>
                <w:webHidden/>
              </w:rPr>
            </w:r>
            <w:r>
              <w:rPr>
                <w:noProof/>
                <w:webHidden/>
              </w:rPr>
              <w:fldChar w:fldCharType="separate"/>
            </w:r>
            <w:r>
              <w:rPr>
                <w:noProof/>
                <w:webHidden/>
              </w:rPr>
              <w:t>431</w:t>
            </w:r>
            <w:r>
              <w:rPr>
                <w:noProof/>
                <w:webHidden/>
              </w:rPr>
              <w:fldChar w:fldCharType="end"/>
            </w:r>
          </w:hyperlink>
        </w:p>
        <w:p w14:paraId="53942B0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13" w:history="1">
            <w:r w:rsidRPr="000D551A">
              <w:rPr>
                <w:rStyle w:val="Lienhypertexte"/>
                <w:noProof/>
              </w:rPr>
              <w:t>43.21.1a Revêtements de façade rigides fixés mécaniquement - tuiles en terre cuite CCTB 01.11</w:t>
            </w:r>
            <w:r>
              <w:rPr>
                <w:noProof/>
                <w:webHidden/>
              </w:rPr>
              <w:tab/>
            </w:r>
            <w:r>
              <w:rPr>
                <w:noProof/>
                <w:webHidden/>
              </w:rPr>
              <w:fldChar w:fldCharType="begin"/>
            </w:r>
            <w:r>
              <w:rPr>
                <w:noProof/>
                <w:webHidden/>
              </w:rPr>
              <w:instrText xml:space="preserve"> PAGEREF _Toc220490413 \h </w:instrText>
            </w:r>
            <w:r>
              <w:rPr>
                <w:noProof/>
                <w:webHidden/>
              </w:rPr>
            </w:r>
            <w:r>
              <w:rPr>
                <w:noProof/>
                <w:webHidden/>
              </w:rPr>
              <w:fldChar w:fldCharType="separate"/>
            </w:r>
            <w:r>
              <w:rPr>
                <w:noProof/>
                <w:webHidden/>
              </w:rPr>
              <w:t>431</w:t>
            </w:r>
            <w:r>
              <w:rPr>
                <w:noProof/>
                <w:webHidden/>
              </w:rPr>
              <w:fldChar w:fldCharType="end"/>
            </w:r>
          </w:hyperlink>
        </w:p>
        <w:p w14:paraId="76438D2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14" w:history="1">
            <w:r w:rsidRPr="000D551A">
              <w:rPr>
                <w:rStyle w:val="Lienhypertexte"/>
                <w:noProof/>
              </w:rPr>
              <w:t>43.21.2 Revêtements de façade rigides fixés mécaniquement - tuiles en béton CCTB 01.02</w:t>
            </w:r>
            <w:r>
              <w:rPr>
                <w:noProof/>
                <w:webHidden/>
              </w:rPr>
              <w:tab/>
            </w:r>
            <w:r>
              <w:rPr>
                <w:noProof/>
                <w:webHidden/>
              </w:rPr>
              <w:fldChar w:fldCharType="begin"/>
            </w:r>
            <w:r>
              <w:rPr>
                <w:noProof/>
                <w:webHidden/>
              </w:rPr>
              <w:instrText xml:space="preserve"> PAGEREF _Toc220490414 \h </w:instrText>
            </w:r>
            <w:r>
              <w:rPr>
                <w:noProof/>
                <w:webHidden/>
              </w:rPr>
            </w:r>
            <w:r>
              <w:rPr>
                <w:noProof/>
                <w:webHidden/>
              </w:rPr>
              <w:fldChar w:fldCharType="separate"/>
            </w:r>
            <w:r>
              <w:rPr>
                <w:noProof/>
                <w:webHidden/>
              </w:rPr>
              <w:t>431</w:t>
            </w:r>
            <w:r>
              <w:rPr>
                <w:noProof/>
                <w:webHidden/>
              </w:rPr>
              <w:fldChar w:fldCharType="end"/>
            </w:r>
          </w:hyperlink>
        </w:p>
        <w:p w14:paraId="188BC4D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15" w:history="1">
            <w:r w:rsidRPr="000D551A">
              <w:rPr>
                <w:rStyle w:val="Lienhypertexte"/>
                <w:noProof/>
              </w:rPr>
              <w:t>43.21.2a Revêtements de façade rigides fixés mécaniquement - tuiles en béton</w:t>
            </w:r>
            <w:r>
              <w:rPr>
                <w:noProof/>
                <w:webHidden/>
              </w:rPr>
              <w:tab/>
            </w:r>
            <w:r>
              <w:rPr>
                <w:noProof/>
                <w:webHidden/>
              </w:rPr>
              <w:fldChar w:fldCharType="begin"/>
            </w:r>
            <w:r>
              <w:rPr>
                <w:noProof/>
                <w:webHidden/>
              </w:rPr>
              <w:instrText xml:space="preserve"> PAGEREF _Toc220490415 \h </w:instrText>
            </w:r>
            <w:r>
              <w:rPr>
                <w:noProof/>
                <w:webHidden/>
              </w:rPr>
            </w:r>
            <w:r>
              <w:rPr>
                <w:noProof/>
                <w:webHidden/>
              </w:rPr>
              <w:fldChar w:fldCharType="separate"/>
            </w:r>
            <w:r>
              <w:rPr>
                <w:noProof/>
                <w:webHidden/>
              </w:rPr>
              <w:t>431</w:t>
            </w:r>
            <w:r>
              <w:rPr>
                <w:noProof/>
                <w:webHidden/>
              </w:rPr>
              <w:fldChar w:fldCharType="end"/>
            </w:r>
          </w:hyperlink>
        </w:p>
        <w:p w14:paraId="450AA599"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16" w:history="1">
            <w:r w:rsidRPr="000D551A">
              <w:rPr>
                <w:rStyle w:val="Lienhypertexte"/>
                <w:noProof/>
              </w:rPr>
              <w:t>43.22 Revêtements de façade rigides fixés mécaniquement - ardoises CCTB 01.02</w:t>
            </w:r>
            <w:r>
              <w:rPr>
                <w:noProof/>
                <w:webHidden/>
              </w:rPr>
              <w:tab/>
            </w:r>
            <w:r>
              <w:rPr>
                <w:noProof/>
                <w:webHidden/>
              </w:rPr>
              <w:fldChar w:fldCharType="begin"/>
            </w:r>
            <w:r>
              <w:rPr>
                <w:noProof/>
                <w:webHidden/>
              </w:rPr>
              <w:instrText xml:space="preserve"> PAGEREF _Toc220490416 \h </w:instrText>
            </w:r>
            <w:r>
              <w:rPr>
                <w:noProof/>
                <w:webHidden/>
              </w:rPr>
            </w:r>
            <w:r>
              <w:rPr>
                <w:noProof/>
                <w:webHidden/>
              </w:rPr>
              <w:fldChar w:fldCharType="separate"/>
            </w:r>
            <w:r>
              <w:rPr>
                <w:noProof/>
                <w:webHidden/>
              </w:rPr>
              <w:t>431</w:t>
            </w:r>
            <w:r>
              <w:rPr>
                <w:noProof/>
                <w:webHidden/>
              </w:rPr>
              <w:fldChar w:fldCharType="end"/>
            </w:r>
          </w:hyperlink>
        </w:p>
        <w:p w14:paraId="447FBB5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17" w:history="1">
            <w:r w:rsidRPr="000D551A">
              <w:rPr>
                <w:rStyle w:val="Lienhypertexte"/>
                <w:noProof/>
              </w:rPr>
              <w:t>43.22.1 Revêtements de façade rigides fixés mécaniquement - ardoises en pierre naturelle CCTB 01.02</w:t>
            </w:r>
            <w:r>
              <w:rPr>
                <w:noProof/>
                <w:webHidden/>
              </w:rPr>
              <w:tab/>
            </w:r>
            <w:r>
              <w:rPr>
                <w:noProof/>
                <w:webHidden/>
              </w:rPr>
              <w:fldChar w:fldCharType="begin"/>
            </w:r>
            <w:r>
              <w:rPr>
                <w:noProof/>
                <w:webHidden/>
              </w:rPr>
              <w:instrText xml:space="preserve"> PAGEREF _Toc220490417 \h </w:instrText>
            </w:r>
            <w:r>
              <w:rPr>
                <w:noProof/>
                <w:webHidden/>
              </w:rPr>
            </w:r>
            <w:r>
              <w:rPr>
                <w:noProof/>
                <w:webHidden/>
              </w:rPr>
              <w:fldChar w:fldCharType="separate"/>
            </w:r>
            <w:r>
              <w:rPr>
                <w:noProof/>
                <w:webHidden/>
              </w:rPr>
              <w:t>432</w:t>
            </w:r>
            <w:r>
              <w:rPr>
                <w:noProof/>
                <w:webHidden/>
              </w:rPr>
              <w:fldChar w:fldCharType="end"/>
            </w:r>
          </w:hyperlink>
        </w:p>
        <w:p w14:paraId="7342F3D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18" w:history="1">
            <w:r w:rsidRPr="000D551A">
              <w:rPr>
                <w:rStyle w:val="Lienhypertexte"/>
                <w:noProof/>
              </w:rPr>
              <w:t>43.22.1a Revêtements de façade rigides fixés mécaniquement - ardoises en pierre naturelle CCTB 01.11</w:t>
            </w:r>
            <w:r>
              <w:rPr>
                <w:noProof/>
                <w:webHidden/>
              </w:rPr>
              <w:tab/>
            </w:r>
            <w:r>
              <w:rPr>
                <w:noProof/>
                <w:webHidden/>
              </w:rPr>
              <w:fldChar w:fldCharType="begin"/>
            </w:r>
            <w:r>
              <w:rPr>
                <w:noProof/>
                <w:webHidden/>
              </w:rPr>
              <w:instrText xml:space="preserve"> PAGEREF _Toc220490418 \h </w:instrText>
            </w:r>
            <w:r>
              <w:rPr>
                <w:noProof/>
                <w:webHidden/>
              </w:rPr>
            </w:r>
            <w:r>
              <w:rPr>
                <w:noProof/>
                <w:webHidden/>
              </w:rPr>
              <w:fldChar w:fldCharType="separate"/>
            </w:r>
            <w:r>
              <w:rPr>
                <w:noProof/>
                <w:webHidden/>
              </w:rPr>
              <w:t>432</w:t>
            </w:r>
            <w:r>
              <w:rPr>
                <w:noProof/>
                <w:webHidden/>
              </w:rPr>
              <w:fldChar w:fldCharType="end"/>
            </w:r>
          </w:hyperlink>
        </w:p>
        <w:p w14:paraId="6A92376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19" w:history="1">
            <w:r w:rsidRPr="000D551A">
              <w:rPr>
                <w:rStyle w:val="Lienhypertexte"/>
                <w:noProof/>
              </w:rPr>
              <w:t>43.22.2 Revêtements de façade rigides fixés mécaniquement - ardoises en fibres ciment CCTB 01.02</w:t>
            </w:r>
            <w:r>
              <w:rPr>
                <w:noProof/>
                <w:webHidden/>
              </w:rPr>
              <w:tab/>
            </w:r>
            <w:r>
              <w:rPr>
                <w:noProof/>
                <w:webHidden/>
              </w:rPr>
              <w:fldChar w:fldCharType="begin"/>
            </w:r>
            <w:r>
              <w:rPr>
                <w:noProof/>
                <w:webHidden/>
              </w:rPr>
              <w:instrText xml:space="preserve"> PAGEREF _Toc220490419 \h </w:instrText>
            </w:r>
            <w:r>
              <w:rPr>
                <w:noProof/>
                <w:webHidden/>
              </w:rPr>
            </w:r>
            <w:r>
              <w:rPr>
                <w:noProof/>
                <w:webHidden/>
              </w:rPr>
              <w:fldChar w:fldCharType="separate"/>
            </w:r>
            <w:r>
              <w:rPr>
                <w:noProof/>
                <w:webHidden/>
              </w:rPr>
              <w:t>434</w:t>
            </w:r>
            <w:r>
              <w:rPr>
                <w:noProof/>
                <w:webHidden/>
              </w:rPr>
              <w:fldChar w:fldCharType="end"/>
            </w:r>
          </w:hyperlink>
        </w:p>
        <w:p w14:paraId="06646D9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20" w:history="1">
            <w:r w:rsidRPr="000D551A">
              <w:rPr>
                <w:rStyle w:val="Lienhypertexte"/>
                <w:noProof/>
              </w:rPr>
              <w:t>43.22.2a Revêtements de façade rigides fixés mécaniquement - ardoises en fibres ciment CCTB 01.11</w:t>
            </w:r>
            <w:r>
              <w:rPr>
                <w:noProof/>
                <w:webHidden/>
              </w:rPr>
              <w:tab/>
            </w:r>
            <w:r>
              <w:rPr>
                <w:noProof/>
                <w:webHidden/>
              </w:rPr>
              <w:fldChar w:fldCharType="begin"/>
            </w:r>
            <w:r>
              <w:rPr>
                <w:noProof/>
                <w:webHidden/>
              </w:rPr>
              <w:instrText xml:space="preserve"> PAGEREF _Toc220490420 \h </w:instrText>
            </w:r>
            <w:r>
              <w:rPr>
                <w:noProof/>
                <w:webHidden/>
              </w:rPr>
            </w:r>
            <w:r>
              <w:rPr>
                <w:noProof/>
                <w:webHidden/>
              </w:rPr>
              <w:fldChar w:fldCharType="separate"/>
            </w:r>
            <w:r>
              <w:rPr>
                <w:noProof/>
                <w:webHidden/>
              </w:rPr>
              <w:t>434</w:t>
            </w:r>
            <w:r>
              <w:rPr>
                <w:noProof/>
                <w:webHidden/>
              </w:rPr>
              <w:fldChar w:fldCharType="end"/>
            </w:r>
          </w:hyperlink>
        </w:p>
        <w:p w14:paraId="55CE2242"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21" w:history="1">
            <w:r w:rsidRPr="000D551A">
              <w:rPr>
                <w:rStyle w:val="Lienhypertexte"/>
                <w:noProof/>
              </w:rPr>
              <w:t>43.23 Revêtements de façade rigides fixés mécaniquement - bardeaux CCTB 01.02</w:t>
            </w:r>
            <w:r>
              <w:rPr>
                <w:noProof/>
                <w:webHidden/>
              </w:rPr>
              <w:tab/>
            </w:r>
            <w:r>
              <w:rPr>
                <w:noProof/>
                <w:webHidden/>
              </w:rPr>
              <w:fldChar w:fldCharType="begin"/>
            </w:r>
            <w:r>
              <w:rPr>
                <w:noProof/>
                <w:webHidden/>
              </w:rPr>
              <w:instrText xml:space="preserve"> PAGEREF _Toc220490421 \h </w:instrText>
            </w:r>
            <w:r>
              <w:rPr>
                <w:noProof/>
                <w:webHidden/>
              </w:rPr>
            </w:r>
            <w:r>
              <w:rPr>
                <w:noProof/>
                <w:webHidden/>
              </w:rPr>
              <w:fldChar w:fldCharType="separate"/>
            </w:r>
            <w:r>
              <w:rPr>
                <w:noProof/>
                <w:webHidden/>
              </w:rPr>
              <w:t>435</w:t>
            </w:r>
            <w:r>
              <w:rPr>
                <w:noProof/>
                <w:webHidden/>
              </w:rPr>
              <w:fldChar w:fldCharType="end"/>
            </w:r>
          </w:hyperlink>
        </w:p>
        <w:p w14:paraId="6005325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22" w:history="1">
            <w:r w:rsidRPr="000D551A">
              <w:rPr>
                <w:rStyle w:val="Lienhypertexte"/>
                <w:noProof/>
              </w:rPr>
              <w:t>43.23.1 Revêtements de façade rigides fixés mécaniquement - bardeaux en fibres ciment CCTB 01.02</w:t>
            </w:r>
            <w:r>
              <w:rPr>
                <w:noProof/>
                <w:webHidden/>
              </w:rPr>
              <w:tab/>
            </w:r>
            <w:r>
              <w:rPr>
                <w:noProof/>
                <w:webHidden/>
              </w:rPr>
              <w:fldChar w:fldCharType="begin"/>
            </w:r>
            <w:r>
              <w:rPr>
                <w:noProof/>
                <w:webHidden/>
              </w:rPr>
              <w:instrText xml:space="preserve"> PAGEREF _Toc220490422 \h </w:instrText>
            </w:r>
            <w:r>
              <w:rPr>
                <w:noProof/>
                <w:webHidden/>
              </w:rPr>
            </w:r>
            <w:r>
              <w:rPr>
                <w:noProof/>
                <w:webHidden/>
              </w:rPr>
              <w:fldChar w:fldCharType="separate"/>
            </w:r>
            <w:r>
              <w:rPr>
                <w:noProof/>
                <w:webHidden/>
              </w:rPr>
              <w:t>435</w:t>
            </w:r>
            <w:r>
              <w:rPr>
                <w:noProof/>
                <w:webHidden/>
              </w:rPr>
              <w:fldChar w:fldCharType="end"/>
            </w:r>
          </w:hyperlink>
        </w:p>
        <w:p w14:paraId="426910D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23" w:history="1">
            <w:r w:rsidRPr="000D551A">
              <w:rPr>
                <w:rStyle w:val="Lienhypertexte"/>
                <w:noProof/>
              </w:rPr>
              <w:t>43.23.1a Revêtements de façade rigides fixés mécaniquement - bardeaux en fibres ciment CCTB 01.11</w:t>
            </w:r>
            <w:r>
              <w:rPr>
                <w:noProof/>
                <w:webHidden/>
              </w:rPr>
              <w:tab/>
            </w:r>
            <w:r>
              <w:rPr>
                <w:noProof/>
                <w:webHidden/>
              </w:rPr>
              <w:fldChar w:fldCharType="begin"/>
            </w:r>
            <w:r>
              <w:rPr>
                <w:noProof/>
                <w:webHidden/>
              </w:rPr>
              <w:instrText xml:space="preserve"> PAGEREF _Toc220490423 \h </w:instrText>
            </w:r>
            <w:r>
              <w:rPr>
                <w:noProof/>
                <w:webHidden/>
              </w:rPr>
            </w:r>
            <w:r>
              <w:rPr>
                <w:noProof/>
                <w:webHidden/>
              </w:rPr>
              <w:fldChar w:fldCharType="separate"/>
            </w:r>
            <w:r>
              <w:rPr>
                <w:noProof/>
                <w:webHidden/>
              </w:rPr>
              <w:t>435</w:t>
            </w:r>
            <w:r>
              <w:rPr>
                <w:noProof/>
                <w:webHidden/>
              </w:rPr>
              <w:fldChar w:fldCharType="end"/>
            </w:r>
          </w:hyperlink>
        </w:p>
        <w:p w14:paraId="53B6FA4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24" w:history="1">
            <w:r w:rsidRPr="000D551A">
              <w:rPr>
                <w:rStyle w:val="Lienhypertexte"/>
                <w:noProof/>
              </w:rPr>
              <w:t>43.23.2 Revêtements de façade rigides fixés mécaniquement - bardeaux en bois CCTB 01.02</w:t>
            </w:r>
            <w:r>
              <w:rPr>
                <w:noProof/>
                <w:webHidden/>
              </w:rPr>
              <w:tab/>
            </w:r>
            <w:r>
              <w:rPr>
                <w:noProof/>
                <w:webHidden/>
              </w:rPr>
              <w:fldChar w:fldCharType="begin"/>
            </w:r>
            <w:r>
              <w:rPr>
                <w:noProof/>
                <w:webHidden/>
              </w:rPr>
              <w:instrText xml:space="preserve"> PAGEREF _Toc220490424 \h </w:instrText>
            </w:r>
            <w:r>
              <w:rPr>
                <w:noProof/>
                <w:webHidden/>
              </w:rPr>
            </w:r>
            <w:r>
              <w:rPr>
                <w:noProof/>
                <w:webHidden/>
              </w:rPr>
              <w:fldChar w:fldCharType="separate"/>
            </w:r>
            <w:r>
              <w:rPr>
                <w:noProof/>
                <w:webHidden/>
              </w:rPr>
              <w:t>438</w:t>
            </w:r>
            <w:r>
              <w:rPr>
                <w:noProof/>
                <w:webHidden/>
              </w:rPr>
              <w:fldChar w:fldCharType="end"/>
            </w:r>
          </w:hyperlink>
        </w:p>
        <w:p w14:paraId="2DABE27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25" w:history="1">
            <w:r w:rsidRPr="000D551A">
              <w:rPr>
                <w:rStyle w:val="Lienhypertexte"/>
                <w:noProof/>
              </w:rPr>
              <w:t>43.23.2a Revêtements de façade rigides fixés mécaniquement - bardeaux en bois CCTB 01.12</w:t>
            </w:r>
            <w:r>
              <w:rPr>
                <w:noProof/>
                <w:webHidden/>
              </w:rPr>
              <w:tab/>
            </w:r>
            <w:r>
              <w:rPr>
                <w:noProof/>
                <w:webHidden/>
              </w:rPr>
              <w:fldChar w:fldCharType="begin"/>
            </w:r>
            <w:r>
              <w:rPr>
                <w:noProof/>
                <w:webHidden/>
              </w:rPr>
              <w:instrText xml:space="preserve"> PAGEREF _Toc220490425 \h </w:instrText>
            </w:r>
            <w:r>
              <w:rPr>
                <w:noProof/>
                <w:webHidden/>
              </w:rPr>
            </w:r>
            <w:r>
              <w:rPr>
                <w:noProof/>
                <w:webHidden/>
              </w:rPr>
              <w:fldChar w:fldCharType="separate"/>
            </w:r>
            <w:r>
              <w:rPr>
                <w:noProof/>
                <w:webHidden/>
              </w:rPr>
              <w:t>438</w:t>
            </w:r>
            <w:r>
              <w:rPr>
                <w:noProof/>
                <w:webHidden/>
              </w:rPr>
              <w:fldChar w:fldCharType="end"/>
            </w:r>
          </w:hyperlink>
        </w:p>
        <w:p w14:paraId="361BA7F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26" w:history="1">
            <w:r w:rsidRPr="000D551A">
              <w:rPr>
                <w:rStyle w:val="Lienhypertexte"/>
                <w:noProof/>
              </w:rPr>
              <w:t>43.23.3 Revêtements de façade rigides fixés mécaniquement - bardeaux métalliques CCTB 01.02</w:t>
            </w:r>
            <w:r>
              <w:rPr>
                <w:noProof/>
                <w:webHidden/>
              </w:rPr>
              <w:tab/>
            </w:r>
            <w:r>
              <w:rPr>
                <w:noProof/>
                <w:webHidden/>
              </w:rPr>
              <w:fldChar w:fldCharType="begin"/>
            </w:r>
            <w:r>
              <w:rPr>
                <w:noProof/>
                <w:webHidden/>
              </w:rPr>
              <w:instrText xml:space="preserve"> PAGEREF _Toc220490426 \h </w:instrText>
            </w:r>
            <w:r>
              <w:rPr>
                <w:noProof/>
                <w:webHidden/>
              </w:rPr>
            </w:r>
            <w:r>
              <w:rPr>
                <w:noProof/>
                <w:webHidden/>
              </w:rPr>
              <w:fldChar w:fldCharType="separate"/>
            </w:r>
            <w:r>
              <w:rPr>
                <w:noProof/>
                <w:webHidden/>
              </w:rPr>
              <w:t>440</w:t>
            </w:r>
            <w:r>
              <w:rPr>
                <w:noProof/>
                <w:webHidden/>
              </w:rPr>
              <w:fldChar w:fldCharType="end"/>
            </w:r>
          </w:hyperlink>
        </w:p>
        <w:p w14:paraId="5E07025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27" w:history="1">
            <w:r w:rsidRPr="000D551A">
              <w:rPr>
                <w:rStyle w:val="Lienhypertexte"/>
                <w:noProof/>
              </w:rPr>
              <w:t>43.23.3a Revêtements de façade rigides fixés mécaniquement - bardeaux métalliques</w:t>
            </w:r>
            <w:r>
              <w:rPr>
                <w:noProof/>
                <w:webHidden/>
              </w:rPr>
              <w:tab/>
            </w:r>
            <w:r>
              <w:rPr>
                <w:noProof/>
                <w:webHidden/>
              </w:rPr>
              <w:fldChar w:fldCharType="begin"/>
            </w:r>
            <w:r>
              <w:rPr>
                <w:noProof/>
                <w:webHidden/>
              </w:rPr>
              <w:instrText xml:space="preserve"> PAGEREF _Toc220490427 \h </w:instrText>
            </w:r>
            <w:r>
              <w:rPr>
                <w:noProof/>
                <w:webHidden/>
              </w:rPr>
            </w:r>
            <w:r>
              <w:rPr>
                <w:noProof/>
                <w:webHidden/>
              </w:rPr>
              <w:fldChar w:fldCharType="separate"/>
            </w:r>
            <w:r>
              <w:rPr>
                <w:noProof/>
                <w:webHidden/>
              </w:rPr>
              <w:t>440</w:t>
            </w:r>
            <w:r>
              <w:rPr>
                <w:noProof/>
                <w:webHidden/>
              </w:rPr>
              <w:fldChar w:fldCharType="end"/>
            </w:r>
          </w:hyperlink>
        </w:p>
        <w:p w14:paraId="4DF2E255"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28" w:history="1">
            <w:r w:rsidRPr="000D551A">
              <w:rPr>
                <w:rStyle w:val="Lienhypertexte"/>
                <w:noProof/>
              </w:rPr>
              <w:t>43.23.4 Revêtements de façade rigides fixés mécaniquement - bardeaux en matière synthétique CCTB 01.02</w:t>
            </w:r>
            <w:r>
              <w:rPr>
                <w:noProof/>
                <w:webHidden/>
              </w:rPr>
              <w:tab/>
            </w:r>
            <w:r>
              <w:rPr>
                <w:noProof/>
                <w:webHidden/>
              </w:rPr>
              <w:fldChar w:fldCharType="begin"/>
            </w:r>
            <w:r>
              <w:rPr>
                <w:noProof/>
                <w:webHidden/>
              </w:rPr>
              <w:instrText xml:space="preserve"> PAGEREF _Toc220490428 \h </w:instrText>
            </w:r>
            <w:r>
              <w:rPr>
                <w:noProof/>
                <w:webHidden/>
              </w:rPr>
            </w:r>
            <w:r>
              <w:rPr>
                <w:noProof/>
                <w:webHidden/>
              </w:rPr>
              <w:fldChar w:fldCharType="separate"/>
            </w:r>
            <w:r>
              <w:rPr>
                <w:noProof/>
                <w:webHidden/>
              </w:rPr>
              <w:t>440</w:t>
            </w:r>
            <w:r>
              <w:rPr>
                <w:noProof/>
                <w:webHidden/>
              </w:rPr>
              <w:fldChar w:fldCharType="end"/>
            </w:r>
          </w:hyperlink>
        </w:p>
        <w:p w14:paraId="79E1BF5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29" w:history="1">
            <w:r w:rsidRPr="000D551A">
              <w:rPr>
                <w:rStyle w:val="Lienhypertexte"/>
                <w:noProof/>
              </w:rPr>
              <w:t>43.23.4a Revêtements de façade rigides fixés mécaniquement - bardeaux en matière synthétique CCTB 01.12</w:t>
            </w:r>
            <w:r>
              <w:rPr>
                <w:noProof/>
                <w:webHidden/>
              </w:rPr>
              <w:tab/>
            </w:r>
            <w:r>
              <w:rPr>
                <w:noProof/>
                <w:webHidden/>
              </w:rPr>
              <w:fldChar w:fldCharType="begin"/>
            </w:r>
            <w:r>
              <w:rPr>
                <w:noProof/>
                <w:webHidden/>
              </w:rPr>
              <w:instrText xml:space="preserve"> PAGEREF _Toc220490429 \h </w:instrText>
            </w:r>
            <w:r>
              <w:rPr>
                <w:noProof/>
                <w:webHidden/>
              </w:rPr>
            </w:r>
            <w:r>
              <w:rPr>
                <w:noProof/>
                <w:webHidden/>
              </w:rPr>
              <w:fldChar w:fldCharType="separate"/>
            </w:r>
            <w:r>
              <w:rPr>
                <w:noProof/>
                <w:webHidden/>
              </w:rPr>
              <w:t>440</w:t>
            </w:r>
            <w:r>
              <w:rPr>
                <w:noProof/>
                <w:webHidden/>
              </w:rPr>
              <w:fldChar w:fldCharType="end"/>
            </w:r>
          </w:hyperlink>
        </w:p>
        <w:p w14:paraId="6475DB4C"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30" w:history="1">
            <w:r w:rsidRPr="000D551A">
              <w:rPr>
                <w:rStyle w:val="Lienhypertexte"/>
                <w:noProof/>
              </w:rPr>
              <w:t>43.24 Revêtements de façade rigides fixés mécaniquement - planches / panneaux CCTB 01.11</w:t>
            </w:r>
            <w:r>
              <w:rPr>
                <w:noProof/>
                <w:webHidden/>
              </w:rPr>
              <w:tab/>
            </w:r>
            <w:r>
              <w:rPr>
                <w:noProof/>
                <w:webHidden/>
              </w:rPr>
              <w:fldChar w:fldCharType="begin"/>
            </w:r>
            <w:r>
              <w:rPr>
                <w:noProof/>
                <w:webHidden/>
              </w:rPr>
              <w:instrText xml:space="preserve"> PAGEREF _Toc220490430 \h </w:instrText>
            </w:r>
            <w:r>
              <w:rPr>
                <w:noProof/>
                <w:webHidden/>
              </w:rPr>
            </w:r>
            <w:r>
              <w:rPr>
                <w:noProof/>
                <w:webHidden/>
              </w:rPr>
              <w:fldChar w:fldCharType="separate"/>
            </w:r>
            <w:r>
              <w:rPr>
                <w:noProof/>
                <w:webHidden/>
              </w:rPr>
              <w:t>442</w:t>
            </w:r>
            <w:r>
              <w:rPr>
                <w:noProof/>
                <w:webHidden/>
              </w:rPr>
              <w:fldChar w:fldCharType="end"/>
            </w:r>
          </w:hyperlink>
        </w:p>
        <w:p w14:paraId="186ACE1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31" w:history="1">
            <w:r w:rsidRPr="000D551A">
              <w:rPr>
                <w:rStyle w:val="Lienhypertexte"/>
                <w:noProof/>
              </w:rPr>
              <w:t>43.24.1 Revêtements de façade rigides fixés mécaniquement - planches en fibres ciment CCTB 01.02</w:t>
            </w:r>
            <w:r>
              <w:rPr>
                <w:noProof/>
                <w:webHidden/>
              </w:rPr>
              <w:tab/>
            </w:r>
            <w:r>
              <w:rPr>
                <w:noProof/>
                <w:webHidden/>
              </w:rPr>
              <w:fldChar w:fldCharType="begin"/>
            </w:r>
            <w:r>
              <w:rPr>
                <w:noProof/>
                <w:webHidden/>
              </w:rPr>
              <w:instrText xml:space="preserve"> PAGEREF _Toc220490431 \h </w:instrText>
            </w:r>
            <w:r>
              <w:rPr>
                <w:noProof/>
                <w:webHidden/>
              </w:rPr>
            </w:r>
            <w:r>
              <w:rPr>
                <w:noProof/>
                <w:webHidden/>
              </w:rPr>
              <w:fldChar w:fldCharType="separate"/>
            </w:r>
            <w:r>
              <w:rPr>
                <w:noProof/>
                <w:webHidden/>
              </w:rPr>
              <w:t>443</w:t>
            </w:r>
            <w:r>
              <w:rPr>
                <w:noProof/>
                <w:webHidden/>
              </w:rPr>
              <w:fldChar w:fldCharType="end"/>
            </w:r>
          </w:hyperlink>
        </w:p>
        <w:p w14:paraId="5471669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32" w:history="1">
            <w:r w:rsidRPr="000D551A">
              <w:rPr>
                <w:rStyle w:val="Lienhypertexte"/>
                <w:noProof/>
              </w:rPr>
              <w:t>43.24.1a Revêtements de façade rigides fixés mécaniquement - planches en fibres ciment CCTB 01.11</w:t>
            </w:r>
            <w:r>
              <w:rPr>
                <w:noProof/>
                <w:webHidden/>
              </w:rPr>
              <w:tab/>
            </w:r>
            <w:r>
              <w:rPr>
                <w:noProof/>
                <w:webHidden/>
              </w:rPr>
              <w:fldChar w:fldCharType="begin"/>
            </w:r>
            <w:r>
              <w:rPr>
                <w:noProof/>
                <w:webHidden/>
              </w:rPr>
              <w:instrText xml:space="preserve"> PAGEREF _Toc220490432 \h </w:instrText>
            </w:r>
            <w:r>
              <w:rPr>
                <w:noProof/>
                <w:webHidden/>
              </w:rPr>
            </w:r>
            <w:r>
              <w:rPr>
                <w:noProof/>
                <w:webHidden/>
              </w:rPr>
              <w:fldChar w:fldCharType="separate"/>
            </w:r>
            <w:r>
              <w:rPr>
                <w:noProof/>
                <w:webHidden/>
              </w:rPr>
              <w:t>443</w:t>
            </w:r>
            <w:r>
              <w:rPr>
                <w:noProof/>
                <w:webHidden/>
              </w:rPr>
              <w:fldChar w:fldCharType="end"/>
            </w:r>
          </w:hyperlink>
        </w:p>
        <w:p w14:paraId="1D7A13C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33" w:history="1">
            <w:r w:rsidRPr="000D551A">
              <w:rPr>
                <w:rStyle w:val="Lienhypertexte"/>
                <w:noProof/>
              </w:rPr>
              <w:t>43.24.2 Revêtements de façade rigides fixés mécaniquement - planches et panneaux en bois et bois composite CCTB 01.12</w:t>
            </w:r>
            <w:r>
              <w:rPr>
                <w:noProof/>
                <w:webHidden/>
              </w:rPr>
              <w:tab/>
            </w:r>
            <w:r>
              <w:rPr>
                <w:noProof/>
                <w:webHidden/>
              </w:rPr>
              <w:fldChar w:fldCharType="begin"/>
            </w:r>
            <w:r>
              <w:rPr>
                <w:noProof/>
                <w:webHidden/>
              </w:rPr>
              <w:instrText xml:space="preserve"> PAGEREF _Toc220490433 \h </w:instrText>
            </w:r>
            <w:r>
              <w:rPr>
                <w:noProof/>
                <w:webHidden/>
              </w:rPr>
            </w:r>
            <w:r>
              <w:rPr>
                <w:noProof/>
                <w:webHidden/>
              </w:rPr>
              <w:fldChar w:fldCharType="separate"/>
            </w:r>
            <w:r>
              <w:rPr>
                <w:noProof/>
                <w:webHidden/>
              </w:rPr>
              <w:t>446</w:t>
            </w:r>
            <w:r>
              <w:rPr>
                <w:noProof/>
                <w:webHidden/>
              </w:rPr>
              <w:fldChar w:fldCharType="end"/>
            </w:r>
          </w:hyperlink>
        </w:p>
        <w:p w14:paraId="6F54F64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34" w:history="1">
            <w:r w:rsidRPr="000D551A">
              <w:rPr>
                <w:rStyle w:val="Lienhypertexte"/>
                <w:noProof/>
              </w:rPr>
              <w:t>43.24.2a Revêtements de façade rigides fixés mécaniquement - planches en bois massif CCTB 01.12</w:t>
            </w:r>
            <w:r>
              <w:rPr>
                <w:noProof/>
                <w:webHidden/>
              </w:rPr>
              <w:tab/>
            </w:r>
            <w:r>
              <w:rPr>
                <w:noProof/>
                <w:webHidden/>
              </w:rPr>
              <w:fldChar w:fldCharType="begin"/>
            </w:r>
            <w:r>
              <w:rPr>
                <w:noProof/>
                <w:webHidden/>
              </w:rPr>
              <w:instrText xml:space="preserve"> PAGEREF _Toc220490434 \h </w:instrText>
            </w:r>
            <w:r>
              <w:rPr>
                <w:noProof/>
                <w:webHidden/>
              </w:rPr>
            </w:r>
            <w:r>
              <w:rPr>
                <w:noProof/>
                <w:webHidden/>
              </w:rPr>
              <w:fldChar w:fldCharType="separate"/>
            </w:r>
            <w:r>
              <w:rPr>
                <w:noProof/>
                <w:webHidden/>
              </w:rPr>
              <w:t>446</w:t>
            </w:r>
            <w:r>
              <w:rPr>
                <w:noProof/>
                <w:webHidden/>
              </w:rPr>
              <w:fldChar w:fldCharType="end"/>
            </w:r>
          </w:hyperlink>
        </w:p>
        <w:p w14:paraId="2979FFB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35" w:history="1">
            <w:r w:rsidRPr="000D551A">
              <w:rPr>
                <w:rStyle w:val="Lienhypertexte"/>
                <w:noProof/>
              </w:rPr>
              <w:t>43.24.2b Revêtements de façade rigides fixés mécaniquement - planches en contreplaqué CCTB 01.11</w:t>
            </w:r>
            <w:r>
              <w:rPr>
                <w:noProof/>
                <w:webHidden/>
              </w:rPr>
              <w:tab/>
            </w:r>
            <w:r>
              <w:rPr>
                <w:noProof/>
                <w:webHidden/>
              </w:rPr>
              <w:fldChar w:fldCharType="begin"/>
            </w:r>
            <w:r>
              <w:rPr>
                <w:noProof/>
                <w:webHidden/>
              </w:rPr>
              <w:instrText xml:space="preserve"> PAGEREF _Toc220490435 \h </w:instrText>
            </w:r>
            <w:r>
              <w:rPr>
                <w:noProof/>
                <w:webHidden/>
              </w:rPr>
            </w:r>
            <w:r>
              <w:rPr>
                <w:noProof/>
                <w:webHidden/>
              </w:rPr>
              <w:fldChar w:fldCharType="separate"/>
            </w:r>
            <w:r>
              <w:rPr>
                <w:noProof/>
                <w:webHidden/>
              </w:rPr>
              <w:t>448</w:t>
            </w:r>
            <w:r>
              <w:rPr>
                <w:noProof/>
                <w:webHidden/>
              </w:rPr>
              <w:fldChar w:fldCharType="end"/>
            </w:r>
          </w:hyperlink>
        </w:p>
        <w:p w14:paraId="48536F7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36" w:history="1">
            <w:r w:rsidRPr="000D551A">
              <w:rPr>
                <w:rStyle w:val="Lienhypertexte"/>
                <w:noProof/>
              </w:rPr>
              <w:t>43.24.2c Revêtements de façade rigides fixés mécaniquement - panneaux en stratifié décoratif haute pression (HPL) CCTB 01.11</w:t>
            </w:r>
            <w:r>
              <w:rPr>
                <w:noProof/>
                <w:webHidden/>
              </w:rPr>
              <w:tab/>
            </w:r>
            <w:r>
              <w:rPr>
                <w:noProof/>
                <w:webHidden/>
              </w:rPr>
              <w:fldChar w:fldCharType="begin"/>
            </w:r>
            <w:r>
              <w:rPr>
                <w:noProof/>
                <w:webHidden/>
              </w:rPr>
              <w:instrText xml:space="preserve"> PAGEREF _Toc220490436 \h </w:instrText>
            </w:r>
            <w:r>
              <w:rPr>
                <w:noProof/>
                <w:webHidden/>
              </w:rPr>
            </w:r>
            <w:r>
              <w:rPr>
                <w:noProof/>
                <w:webHidden/>
              </w:rPr>
              <w:fldChar w:fldCharType="separate"/>
            </w:r>
            <w:r>
              <w:rPr>
                <w:noProof/>
                <w:webHidden/>
              </w:rPr>
              <w:t>449</w:t>
            </w:r>
            <w:r>
              <w:rPr>
                <w:noProof/>
                <w:webHidden/>
              </w:rPr>
              <w:fldChar w:fldCharType="end"/>
            </w:r>
          </w:hyperlink>
        </w:p>
        <w:p w14:paraId="43E8D2B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37" w:history="1">
            <w:r w:rsidRPr="000D551A">
              <w:rPr>
                <w:rStyle w:val="Lienhypertexte"/>
                <w:noProof/>
              </w:rPr>
              <w:t>43.24.2d Revêtements de façade rigides fixés mécaniquement - planches et panneaux composites en bois-plastique CCTB 01.11</w:t>
            </w:r>
            <w:r>
              <w:rPr>
                <w:noProof/>
                <w:webHidden/>
              </w:rPr>
              <w:tab/>
            </w:r>
            <w:r>
              <w:rPr>
                <w:noProof/>
                <w:webHidden/>
              </w:rPr>
              <w:fldChar w:fldCharType="begin"/>
            </w:r>
            <w:r>
              <w:rPr>
                <w:noProof/>
                <w:webHidden/>
              </w:rPr>
              <w:instrText xml:space="preserve"> PAGEREF _Toc220490437 \h </w:instrText>
            </w:r>
            <w:r>
              <w:rPr>
                <w:noProof/>
                <w:webHidden/>
              </w:rPr>
            </w:r>
            <w:r>
              <w:rPr>
                <w:noProof/>
                <w:webHidden/>
              </w:rPr>
              <w:fldChar w:fldCharType="separate"/>
            </w:r>
            <w:r>
              <w:rPr>
                <w:noProof/>
                <w:webHidden/>
              </w:rPr>
              <w:t>450</w:t>
            </w:r>
            <w:r>
              <w:rPr>
                <w:noProof/>
                <w:webHidden/>
              </w:rPr>
              <w:fldChar w:fldCharType="end"/>
            </w:r>
          </w:hyperlink>
        </w:p>
        <w:p w14:paraId="55E9B60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38" w:history="1">
            <w:r w:rsidRPr="000D551A">
              <w:rPr>
                <w:rStyle w:val="Lienhypertexte"/>
                <w:noProof/>
              </w:rPr>
              <w:t>43.24.3 Revêtements de façade rigides fixés mécaniquement - planches en matière synthétique CCTB 01.02</w:t>
            </w:r>
            <w:r>
              <w:rPr>
                <w:noProof/>
                <w:webHidden/>
              </w:rPr>
              <w:tab/>
            </w:r>
            <w:r>
              <w:rPr>
                <w:noProof/>
                <w:webHidden/>
              </w:rPr>
              <w:fldChar w:fldCharType="begin"/>
            </w:r>
            <w:r>
              <w:rPr>
                <w:noProof/>
                <w:webHidden/>
              </w:rPr>
              <w:instrText xml:space="preserve"> PAGEREF _Toc220490438 \h </w:instrText>
            </w:r>
            <w:r>
              <w:rPr>
                <w:noProof/>
                <w:webHidden/>
              </w:rPr>
            </w:r>
            <w:r>
              <w:rPr>
                <w:noProof/>
                <w:webHidden/>
              </w:rPr>
              <w:fldChar w:fldCharType="separate"/>
            </w:r>
            <w:r>
              <w:rPr>
                <w:noProof/>
                <w:webHidden/>
              </w:rPr>
              <w:t>454</w:t>
            </w:r>
            <w:r>
              <w:rPr>
                <w:noProof/>
                <w:webHidden/>
              </w:rPr>
              <w:fldChar w:fldCharType="end"/>
            </w:r>
          </w:hyperlink>
        </w:p>
        <w:p w14:paraId="01F9708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39" w:history="1">
            <w:r w:rsidRPr="000D551A">
              <w:rPr>
                <w:rStyle w:val="Lienhypertexte"/>
                <w:noProof/>
              </w:rPr>
              <w:t>43.24.3a Revêtements de façade rigides fixés mécaniquement - planches en PVC CCTB 01.11</w:t>
            </w:r>
            <w:r>
              <w:rPr>
                <w:noProof/>
                <w:webHidden/>
              </w:rPr>
              <w:tab/>
            </w:r>
            <w:r>
              <w:rPr>
                <w:noProof/>
                <w:webHidden/>
              </w:rPr>
              <w:fldChar w:fldCharType="begin"/>
            </w:r>
            <w:r>
              <w:rPr>
                <w:noProof/>
                <w:webHidden/>
              </w:rPr>
              <w:instrText xml:space="preserve"> PAGEREF _Toc220490439 \h </w:instrText>
            </w:r>
            <w:r>
              <w:rPr>
                <w:noProof/>
                <w:webHidden/>
              </w:rPr>
            </w:r>
            <w:r>
              <w:rPr>
                <w:noProof/>
                <w:webHidden/>
              </w:rPr>
              <w:fldChar w:fldCharType="separate"/>
            </w:r>
            <w:r>
              <w:rPr>
                <w:noProof/>
                <w:webHidden/>
              </w:rPr>
              <w:t>454</w:t>
            </w:r>
            <w:r>
              <w:rPr>
                <w:noProof/>
                <w:webHidden/>
              </w:rPr>
              <w:fldChar w:fldCharType="end"/>
            </w:r>
          </w:hyperlink>
        </w:p>
        <w:p w14:paraId="595DDAA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40" w:history="1">
            <w:r w:rsidRPr="000D551A">
              <w:rPr>
                <w:rStyle w:val="Lienhypertexte"/>
                <w:noProof/>
              </w:rPr>
              <w:t>43.24.4 Revêtements de façade rigides fixés mécaniquement - panneaux en verre CCTB 01.02</w:t>
            </w:r>
            <w:r>
              <w:rPr>
                <w:noProof/>
                <w:webHidden/>
              </w:rPr>
              <w:tab/>
            </w:r>
            <w:r>
              <w:rPr>
                <w:noProof/>
                <w:webHidden/>
              </w:rPr>
              <w:fldChar w:fldCharType="begin"/>
            </w:r>
            <w:r>
              <w:rPr>
                <w:noProof/>
                <w:webHidden/>
              </w:rPr>
              <w:instrText xml:space="preserve"> PAGEREF _Toc220490440 \h </w:instrText>
            </w:r>
            <w:r>
              <w:rPr>
                <w:noProof/>
                <w:webHidden/>
              </w:rPr>
            </w:r>
            <w:r>
              <w:rPr>
                <w:noProof/>
                <w:webHidden/>
              </w:rPr>
              <w:fldChar w:fldCharType="separate"/>
            </w:r>
            <w:r>
              <w:rPr>
                <w:noProof/>
                <w:webHidden/>
              </w:rPr>
              <w:t>455</w:t>
            </w:r>
            <w:r>
              <w:rPr>
                <w:noProof/>
                <w:webHidden/>
              </w:rPr>
              <w:fldChar w:fldCharType="end"/>
            </w:r>
          </w:hyperlink>
        </w:p>
        <w:p w14:paraId="009A380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41" w:history="1">
            <w:r w:rsidRPr="000D551A">
              <w:rPr>
                <w:rStyle w:val="Lienhypertexte"/>
                <w:noProof/>
              </w:rPr>
              <w:t>43.24.4a Revêtements de façade rigides fixés mécaniquement - panneaux en verre</w:t>
            </w:r>
            <w:r>
              <w:rPr>
                <w:noProof/>
                <w:webHidden/>
              </w:rPr>
              <w:tab/>
            </w:r>
            <w:r>
              <w:rPr>
                <w:noProof/>
                <w:webHidden/>
              </w:rPr>
              <w:fldChar w:fldCharType="begin"/>
            </w:r>
            <w:r>
              <w:rPr>
                <w:noProof/>
                <w:webHidden/>
              </w:rPr>
              <w:instrText xml:space="preserve"> PAGEREF _Toc220490441 \h </w:instrText>
            </w:r>
            <w:r>
              <w:rPr>
                <w:noProof/>
                <w:webHidden/>
              </w:rPr>
            </w:r>
            <w:r>
              <w:rPr>
                <w:noProof/>
                <w:webHidden/>
              </w:rPr>
              <w:fldChar w:fldCharType="separate"/>
            </w:r>
            <w:r>
              <w:rPr>
                <w:noProof/>
                <w:webHidden/>
              </w:rPr>
              <w:t>455</w:t>
            </w:r>
            <w:r>
              <w:rPr>
                <w:noProof/>
                <w:webHidden/>
              </w:rPr>
              <w:fldChar w:fldCharType="end"/>
            </w:r>
          </w:hyperlink>
        </w:p>
        <w:p w14:paraId="37650D1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42" w:history="1">
            <w:r w:rsidRPr="000D551A">
              <w:rPr>
                <w:rStyle w:val="Lienhypertexte"/>
                <w:noProof/>
              </w:rPr>
              <w:t>43.24.4b Revêtements de façade rigides fixés mécaniquement - panneaux en verre supports d'enduit CCTB 01.13</w:t>
            </w:r>
            <w:r>
              <w:rPr>
                <w:noProof/>
                <w:webHidden/>
              </w:rPr>
              <w:tab/>
            </w:r>
            <w:r>
              <w:rPr>
                <w:noProof/>
                <w:webHidden/>
              </w:rPr>
              <w:fldChar w:fldCharType="begin"/>
            </w:r>
            <w:r>
              <w:rPr>
                <w:noProof/>
                <w:webHidden/>
              </w:rPr>
              <w:instrText xml:space="preserve"> PAGEREF _Toc220490442 \h </w:instrText>
            </w:r>
            <w:r>
              <w:rPr>
                <w:noProof/>
                <w:webHidden/>
              </w:rPr>
            </w:r>
            <w:r>
              <w:rPr>
                <w:noProof/>
                <w:webHidden/>
              </w:rPr>
              <w:fldChar w:fldCharType="separate"/>
            </w:r>
            <w:r>
              <w:rPr>
                <w:noProof/>
                <w:webHidden/>
              </w:rPr>
              <w:t>455</w:t>
            </w:r>
            <w:r>
              <w:rPr>
                <w:noProof/>
                <w:webHidden/>
              </w:rPr>
              <w:fldChar w:fldCharType="end"/>
            </w:r>
          </w:hyperlink>
        </w:p>
        <w:p w14:paraId="3AB4C27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43" w:history="1">
            <w:r w:rsidRPr="000D551A">
              <w:rPr>
                <w:rStyle w:val="Lienhypertexte"/>
                <w:noProof/>
              </w:rPr>
              <w:t>43.24.5 Revêtements de façade rigides fixés mécaniquement - panneaux en céramique CCTB 01.02</w:t>
            </w:r>
            <w:r>
              <w:rPr>
                <w:noProof/>
                <w:webHidden/>
              </w:rPr>
              <w:tab/>
            </w:r>
            <w:r>
              <w:rPr>
                <w:noProof/>
                <w:webHidden/>
              </w:rPr>
              <w:fldChar w:fldCharType="begin"/>
            </w:r>
            <w:r>
              <w:rPr>
                <w:noProof/>
                <w:webHidden/>
              </w:rPr>
              <w:instrText xml:space="preserve"> PAGEREF _Toc220490443 \h </w:instrText>
            </w:r>
            <w:r>
              <w:rPr>
                <w:noProof/>
                <w:webHidden/>
              </w:rPr>
            </w:r>
            <w:r>
              <w:rPr>
                <w:noProof/>
                <w:webHidden/>
              </w:rPr>
              <w:fldChar w:fldCharType="separate"/>
            </w:r>
            <w:r>
              <w:rPr>
                <w:noProof/>
                <w:webHidden/>
              </w:rPr>
              <w:t>457</w:t>
            </w:r>
            <w:r>
              <w:rPr>
                <w:noProof/>
                <w:webHidden/>
              </w:rPr>
              <w:fldChar w:fldCharType="end"/>
            </w:r>
          </w:hyperlink>
        </w:p>
        <w:p w14:paraId="4395259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44" w:history="1">
            <w:r w:rsidRPr="000D551A">
              <w:rPr>
                <w:rStyle w:val="Lienhypertexte"/>
                <w:noProof/>
              </w:rPr>
              <w:t>43.24.5a Revêtements de façade rigides fixés mécaniquement - panneaux en céramique</w:t>
            </w:r>
            <w:r>
              <w:rPr>
                <w:noProof/>
                <w:webHidden/>
              </w:rPr>
              <w:tab/>
            </w:r>
            <w:r>
              <w:rPr>
                <w:noProof/>
                <w:webHidden/>
              </w:rPr>
              <w:fldChar w:fldCharType="begin"/>
            </w:r>
            <w:r>
              <w:rPr>
                <w:noProof/>
                <w:webHidden/>
              </w:rPr>
              <w:instrText xml:space="preserve"> PAGEREF _Toc220490444 \h </w:instrText>
            </w:r>
            <w:r>
              <w:rPr>
                <w:noProof/>
                <w:webHidden/>
              </w:rPr>
            </w:r>
            <w:r>
              <w:rPr>
                <w:noProof/>
                <w:webHidden/>
              </w:rPr>
              <w:fldChar w:fldCharType="separate"/>
            </w:r>
            <w:r>
              <w:rPr>
                <w:noProof/>
                <w:webHidden/>
              </w:rPr>
              <w:t>457</w:t>
            </w:r>
            <w:r>
              <w:rPr>
                <w:noProof/>
                <w:webHidden/>
              </w:rPr>
              <w:fldChar w:fldCharType="end"/>
            </w:r>
          </w:hyperlink>
        </w:p>
        <w:p w14:paraId="4BD12F2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45" w:history="1">
            <w:r w:rsidRPr="000D551A">
              <w:rPr>
                <w:rStyle w:val="Lienhypertexte"/>
                <w:noProof/>
              </w:rPr>
              <w:t>43.24.6 Revêtements de façade rigides fixés mécaniquement - panneaux divers CCTB 01.02</w:t>
            </w:r>
            <w:r>
              <w:rPr>
                <w:noProof/>
                <w:webHidden/>
              </w:rPr>
              <w:tab/>
            </w:r>
            <w:r>
              <w:rPr>
                <w:noProof/>
                <w:webHidden/>
              </w:rPr>
              <w:fldChar w:fldCharType="begin"/>
            </w:r>
            <w:r>
              <w:rPr>
                <w:noProof/>
                <w:webHidden/>
              </w:rPr>
              <w:instrText xml:space="preserve"> PAGEREF _Toc220490445 \h </w:instrText>
            </w:r>
            <w:r>
              <w:rPr>
                <w:noProof/>
                <w:webHidden/>
              </w:rPr>
            </w:r>
            <w:r>
              <w:rPr>
                <w:noProof/>
                <w:webHidden/>
              </w:rPr>
              <w:fldChar w:fldCharType="separate"/>
            </w:r>
            <w:r>
              <w:rPr>
                <w:noProof/>
                <w:webHidden/>
              </w:rPr>
              <w:t>457</w:t>
            </w:r>
            <w:r>
              <w:rPr>
                <w:noProof/>
                <w:webHidden/>
              </w:rPr>
              <w:fldChar w:fldCharType="end"/>
            </w:r>
          </w:hyperlink>
        </w:p>
        <w:p w14:paraId="330B0F0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46" w:history="1">
            <w:r w:rsidRPr="000D551A">
              <w:rPr>
                <w:rStyle w:val="Lienhypertexte"/>
                <w:noProof/>
              </w:rPr>
              <w:t>43.24.6a Revêtements de façade rigides fixés mécaniquement - panneaux divers CCTB 01.02</w:t>
            </w:r>
            <w:r>
              <w:rPr>
                <w:noProof/>
                <w:webHidden/>
              </w:rPr>
              <w:tab/>
            </w:r>
            <w:r>
              <w:rPr>
                <w:noProof/>
                <w:webHidden/>
              </w:rPr>
              <w:fldChar w:fldCharType="begin"/>
            </w:r>
            <w:r>
              <w:rPr>
                <w:noProof/>
                <w:webHidden/>
              </w:rPr>
              <w:instrText xml:space="preserve"> PAGEREF _Toc220490446 \h </w:instrText>
            </w:r>
            <w:r>
              <w:rPr>
                <w:noProof/>
                <w:webHidden/>
              </w:rPr>
            </w:r>
            <w:r>
              <w:rPr>
                <w:noProof/>
                <w:webHidden/>
              </w:rPr>
              <w:fldChar w:fldCharType="separate"/>
            </w:r>
            <w:r>
              <w:rPr>
                <w:noProof/>
                <w:webHidden/>
              </w:rPr>
              <w:t>457</w:t>
            </w:r>
            <w:r>
              <w:rPr>
                <w:noProof/>
                <w:webHidden/>
              </w:rPr>
              <w:fldChar w:fldCharType="end"/>
            </w:r>
          </w:hyperlink>
        </w:p>
        <w:p w14:paraId="4A4CAFA0"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47" w:history="1">
            <w:r w:rsidRPr="000D551A">
              <w:rPr>
                <w:rStyle w:val="Lienhypertexte"/>
                <w:noProof/>
              </w:rPr>
              <w:t>43.25 Revêtements de façade rigides fixés mécaniquement - plaques, tôles et cassettes CCTB 01.12</w:t>
            </w:r>
            <w:r>
              <w:rPr>
                <w:noProof/>
                <w:webHidden/>
              </w:rPr>
              <w:tab/>
            </w:r>
            <w:r>
              <w:rPr>
                <w:noProof/>
                <w:webHidden/>
              </w:rPr>
              <w:fldChar w:fldCharType="begin"/>
            </w:r>
            <w:r>
              <w:rPr>
                <w:noProof/>
                <w:webHidden/>
              </w:rPr>
              <w:instrText xml:space="preserve"> PAGEREF _Toc220490447 \h </w:instrText>
            </w:r>
            <w:r>
              <w:rPr>
                <w:noProof/>
                <w:webHidden/>
              </w:rPr>
            </w:r>
            <w:r>
              <w:rPr>
                <w:noProof/>
                <w:webHidden/>
              </w:rPr>
              <w:fldChar w:fldCharType="separate"/>
            </w:r>
            <w:r>
              <w:rPr>
                <w:noProof/>
                <w:webHidden/>
              </w:rPr>
              <w:t>457</w:t>
            </w:r>
            <w:r>
              <w:rPr>
                <w:noProof/>
                <w:webHidden/>
              </w:rPr>
              <w:fldChar w:fldCharType="end"/>
            </w:r>
          </w:hyperlink>
        </w:p>
        <w:p w14:paraId="7AFA616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48" w:history="1">
            <w:r w:rsidRPr="000D551A">
              <w:rPr>
                <w:rStyle w:val="Lienhypertexte"/>
                <w:noProof/>
              </w:rPr>
              <w:t>43.25.1 Revêtements de façade rigides fixés mécaniquement - plaques en fibres-ciment CCTB 01.02</w:t>
            </w:r>
            <w:r>
              <w:rPr>
                <w:noProof/>
                <w:webHidden/>
              </w:rPr>
              <w:tab/>
            </w:r>
            <w:r>
              <w:rPr>
                <w:noProof/>
                <w:webHidden/>
              </w:rPr>
              <w:fldChar w:fldCharType="begin"/>
            </w:r>
            <w:r>
              <w:rPr>
                <w:noProof/>
                <w:webHidden/>
              </w:rPr>
              <w:instrText xml:space="preserve"> PAGEREF _Toc220490448 \h </w:instrText>
            </w:r>
            <w:r>
              <w:rPr>
                <w:noProof/>
                <w:webHidden/>
              </w:rPr>
            </w:r>
            <w:r>
              <w:rPr>
                <w:noProof/>
                <w:webHidden/>
              </w:rPr>
              <w:fldChar w:fldCharType="separate"/>
            </w:r>
            <w:r>
              <w:rPr>
                <w:noProof/>
                <w:webHidden/>
              </w:rPr>
              <w:t>458</w:t>
            </w:r>
            <w:r>
              <w:rPr>
                <w:noProof/>
                <w:webHidden/>
              </w:rPr>
              <w:fldChar w:fldCharType="end"/>
            </w:r>
          </w:hyperlink>
        </w:p>
        <w:p w14:paraId="72782CF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49" w:history="1">
            <w:r w:rsidRPr="000D551A">
              <w:rPr>
                <w:rStyle w:val="Lienhypertexte"/>
                <w:noProof/>
              </w:rPr>
              <w:t>43.25.1a Revêtements de façade rigides fixés mécaniquement - plaques en fibres-ciment CCTB 01.12</w:t>
            </w:r>
            <w:r>
              <w:rPr>
                <w:noProof/>
                <w:webHidden/>
              </w:rPr>
              <w:tab/>
            </w:r>
            <w:r>
              <w:rPr>
                <w:noProof/>
                <w:webHidden/>
              </w:rPr>
              <w:fldChar w:fldCharType="begin"/>
            </w:r>
            <w:r>
              <w:rPr>
                <w:noProof/>
                <w:webHidden/>
              </w:rPr>
              <w:instrText xml:space="preserve"> PAGEREF _Toc220490449 \h </w:instrText>
            </w:r>
            <w:r>
              <w:rPr>
                <w:noProof/>
                <w:webHidden/>
              </w:rPr>
            </w:r>
            <w:r>
              <w:rPr>
                <w:noProof/>
                <w:webHidden/>
              </w:rPr>
              <w:fldChar w:fldCharType="separate"/>
            </w:r>
            <w:r>
              <w:rPr>
                <w:noProof/>
                <w:webHidden/>
              </w:rPr>
              <w:t>458</w:t>
            </w:r>
            <w:r>
              <w:rPr>
                <w:noProof/>
                <w:webHidden/>
              </w:rPr>
              <w:fldChar w:fldCharType="end"/>
            </w:r>
          </w:hyperlink>
        </w:p>
        <w:p w14:paraId="076223E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50" w:history="1">
            <w:r w:rsidRPr="000D551A">
              <w:rPr>
                <w:rStyle w:val="Lienhypertexte"/>
                <w:noProof/>
              </w:rPr>
              <w:t>43.25.2 Revêtements de façade rigides fixés mécaniquement - tôles métalliques CCTB 01.02</w:t>
            </w:r>
            <w:r>
              <w:rPr>
                <w:noProof/>
                <w:webHidden/>
              </w:rPr>
              <w:tab/>
            </w:r>
            <w:r>
              <w:rPr>
                <w:noProof/>
                <w:webHidden/>
              </w:rPr>
              <w:fldChar w:fldCharType="begin"/>
            </w:r>
            <w:r>
              <w:rPr>
                <w:noProof/>
                <w:webHidden/>
              </w:rPr>
              <w:instrText xml:space="preserve"> PAGEREF _Toc220490450 \h </w:instrText>
            </w:r>
            <w:r>
              <w:rPr>
                <w:noProof/>
                <w:webHidden/>
              </w:rPr>
            </w:r>
            <w:r>
              <w:rPr>
                <w:noProof/>
                <w:webHidden/>
              </w:rPr>
              <w:fldChar w:fldCharType="separate"/>
            </w:r>
            <w:r>
              <w:rPr>
                <w:noProof/>
                <w:webHidden/>
              </w:rPr>
              <w:t>463</w:t>
            </w:r>
            <w:r>
              <w:rPr>
                <w:noProof/>
                <w:webHidden/>
              </w:rPr>
              <w:fldChar w:fldCharType="end"/>
            </w:r>
          </w:hyperlink>
        </w:p>
        <w:p w14:paraId="5B08077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51" w:history="1">
            <w:r w:rsidRPr="000D551A">
              <w:rPr>
                <w:rStyle w:val="Lienhypertexte"/>
                <w:noProof/>
              </w:rPr>
              <w:t>43.25.2a Revêtements de façade rigides fixés mécaniquement - tôles métalliques CCTB 01.11</w:t>
            </w:r>
            <w:r>
              <w:rPr>
                <w:noProof/>
                <w:webHidden/>
              </w:rPr>
              <w:tab/>
            </w:r>
            <w:r>
              <w:rPr>
                <w:noProof/>
                <w:webHidden/>
              </w:rPr>
              <w:fldChar w:fldCharType="begin"/>
            </w:r>
            <w:r>
              <w:rPr>
                <w:noProof/>
                <w:webHidden/>
              </w:rPr>
              <w:instrText xml:space="preserve"> PAGEREF _Toc220490451 \h </w:instrText>
            </w:r>
            <w:r>
              <w:rPr>
                <w:noProof/>
                <w:webHidden/>
              </w:rPr>
            </w:r>
            <w:r>
              <w:rPr>
                <w:noProof/>
                <w:webHidden/>
              </w:rPr>
              <w:fldChar w:fldCharType="separate"/>
            </w:r>
            <w:r>
              <w:rPr>
                <w:noProof/>
                <w:webHidden/>
              </w:rPr>
              <w:t>463</w:t>
            </w:r>
            <w:r>
              <w:rPr>
                <w:noProof/>
                <w:webHidden/>
              </w:rPr>
              <w:fldChar w:fldCharType="end"/>
            </w:r>
          </w:hyperlink>
        </w:p>
        <w:p w14:paraId="5E145DE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52" w:history="1">
            <w:r w:rsidRPr="000D551A">
              <w:rPr>
                <w:rStyle w:val="Lienhypertexte"/>
                <w:noProof/>
              </w:rPr>
              <w:t>43.25.3 Revêtements de façade rigides fixés mécaniquement - plaques en matière synthétique CCTB 01.02</w:t>
            </w:r>
            <w:r>
              <w:rPr>
                <w:noProof/>
                <w:webHidden/>
              </w:rPr>
              <w:tab/>
            </w:r>
            <w:r>
              <w:rPr>
                <w:noProof/>
                <w:webHidden/>
              </w:rPr>
              <w:fldChar w:fldCharType="begin"/>
            </w:r>
            <w:r>
              <w:rPr>
                <w:noProof/>
                <w:webHidden/>
              </w:rPr>
              <w:instrText xml:space="preserve"> PAGEREF _Toc220490452 \h </w:instrText>
            </w:r>
            <w:r>
              <w:rPr>
                <w:noProof/>
                <w:webHidden/>
              </w:rPr>
            </w:r>
            <w:r>
              <w:rPr>
                <w:noProof/>
                <w:webHidden/>
              </w:rPr>
              <w:fldChar w:fldCharType="separate"/>
            </w:r>
            <w:r>
              <w:rPr>
                <w:noProof/>
                <w:webHidden/>
              </w:rPr>
              <w:t>466</w:t>
            </w:r>
            <w:r>
              <w:rPr>
                <w:noProof/>
                <w:webHidden/>
              </w:rPr>
              <w:fldChar w:fldCharType="end"/>
            </w:r>
          </w:hyperlink>
        </w:p>
        <w:p w14:paraId="4E63BE7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53" w:history="1">
            <w:r w:rsidRPr="000D551A">
              <w:rPr>
                <w:rStyle w:val="Lienhypertexte"/>
                <w:noProof/>
              </w:rPr>
              <w:t>43.25.3a Revêtements de façade rigides fixés mécaniquement - plaques en matière synthétique CCTB 01.12</w:t>
            </w:r>
            <w:r>
              <w:rPr>
                <w:noProof/>
                <w:webHidden/>
              </w:rPr>
              <w:tab/>
            </w:r>
            <w:r>
              <w:rPr>
                <w:noProof/>
                <w:webHidden/>
              </w:rPr>
              <w:fldChar w:fldCharType="begin"/>
            </w:r>
            <w:r>
              <w:rPr>
                <w:noProof/>
                <w:webHidden/>
              </w:rPr>
              <w:instrText xml:space="preserve"> PAGEREF _Toc220490453 \h </w:instrText>
            </w:r>
            <w:r>
              <w:rPr>
                <w:noProof/>
                <w:webHidden/>
              </w:rPr>
            </w:r>
            <w:r>
              <w:rPr>
                <w:noProof/>
                <w:webHidden/>
              </w:rPr>
              <w:fldChar w:fldCharType="separate"/>
            </w:r>
            <w:r>
              <w:rPr>
                <w:noProof/>
                <w:webHidden/>
              </w:rPr>
              <w:t>466</w:t>
            </w:r>
            <w:r>
              <w:rPr>
                <w:noProof/>
                <w:webHidden/>
              </w:rPr>
              <w:fldChar w:fldCharType="end"/>
            </w:r>
          </w:hyperlink>
        </w:p>
        <w:p w14:paraId="638F8B23"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54" w:history="1">
            <w:r w:rsidRPr="000D551A">
              <w:rPr>
                <w:rStyle w:val="Lienhypertexte"/>
                <w:noProof/>
              </w:rPr>
              <w:t>43.26 Revêtements de façade rigides fixés mécaniquement - pierres naturelles et céramiques CCTB 01.02</w:t>
            </w:r>
            <w:r>
              <w:rPr>
                <w:noProof/>
                <w:webHidden/>
              </w:rPr>
              <w:tab/>
            </w:r>
            <w:r>
              <w:rPr>
                <w:noProof/>
                <w:webHidden/>
              </w:rPr>
              <w:fldChar w:fldCharType="begin"/>
            </w:r>
            <w:r>
              <w:rPr>
                <w:noProof/>
                <w:webHidden/>
              </w:rPr>
              <w:instrText xml:space="preserve"> PAGEREF _Toc220490454 \h </w:instrText>
            </w:r>
            <w:r>
              <w:rPr>
                <w:noProof/>
                <w:webHidden/>
              </w:rPr>
            </w:r>
            <w:r>
              <w:rPr>
                <w:noProof/>
                <w:webHidden/>
              </w:rPr>
              <w:fldChar w:fldCharType="separate"/>
            </w:r>
            <w:r>
              <w:rPr>
                <w:noProof/>
                <w:webHidden/>
              </w:rPr>
              <w:t>469</w:t>
            </w:r>
            <w:r>
              <w:rPr>
                <w:noProof/>
                <w:webHidden/>
              </w:rPr>
              <w:fldChar w:fldCharType="end"/>
            </w:r>
          </w:hyperlink>
        </w:p>
        <w:p w14:paraId="14D9B3B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55" w:history="1">
            <w:r w:rsidRPr="000D551A">
              <w:rPr>
                <w:rStyle w:val="Lienhypertexte"/>
                <w:noProof/>
              </w:rPr>
              <w:t>43.26.1 Revêtements de façade rigides fixés mécaniquement - plaques en pierres naturelles  CCTB 01.12</w:t>
            </w:r>
            <w:r>
              <w:rPr>
                <w:noProof/>
                <w:webHidden/>
              </w:rPr>
              <w:tab/>
            </w:r>
            <w:r>
              <w:rPr>
                <w:noProof/>
                <w:webHidden/>
              </w:rPr>
              <w:fldChar w:fldCharType="begin"/>
            </w:r>
            <w:r>
              <w:rPr>
                <w:noProof/>
                <w:webHidden/>
              </w:rPr>
              <w:instrText xml:space="preserve"> PAGEREF _Toc220490455 \h </w:instrText>
            </w:r>
            <w:r>
              <w:rPr>
                <w:noProof/>
                <w:webHidden/>
              </w:rPr>
            </w:r>
            <w:r>
              <w:rPr>
                <w:noProof/>
                <w:webHidden/>
              </w:rPr>
              <w:fldChar w:fldCharType="separate"/>
            </w:r>
            <w:r>
              <w:rPr>
                <w:noProof/>
                <w:webHidden/>
              </w:rPr>
              <w:t>469</w:t>
            </w:r>
            <w:r>
              <w:rPr>
                <w:noProof/>
                <w:webHidden/>
              </w:rPr>
              <w:fldChar w:fldCharType="end"/>
            </w:r>
          </w:hyperlink>
        </w:p>
        <w:p w14:paraId="7ED0C3A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56" w:history="1">
            <w:r w:rsidRPr="000D551A">
              <w:rPr>
                <w:rStyle w:val="Lienhypertexte"/>
                <w:noProof/>
              </w:rPr>
              <w:t>43.26.1a Revêtements de façade rigides fixés mécaniquement - plaques en pierres naturelles CCTB 01.12</w:t>
            </w:r>
            <w:r>
              <w:rPr>
                <w:noProof/>
                <w:webHidden/>
              </w:rPr>
              <w:tab/>
            </w:r>
            <w:r>
              <w:rPr>
                <w:noProof/>
                <w:webHidden/>
              </w:rPr>
              <w:fldChar w:fldCharType="begin"/>
            </w:r>
            <w:r>
              <w:rPr>
                <w:noProof/>
                <w:webHidden/>
              </w:rPr>
              <w:instrText xml:space="preserve"> PAGEREF _Toc220490456 \h </w:instrText>
            </w:r>
            <w:r>
              <w:rPr>
                <w:noProof/>
                <w:webHidden/>
              </w:rPr>
            </w:r>
            <w:r>
              <w:rPr>
                <w:noProof/>
                <w:webHidden/>
              </w:rPr>
              <w:fldChar w:fldCharType="separate"/>
            </w:r>
            <w:r>
              <w:rPr>
                <w:noProof/>
                <w:webHidden/>
              </w:rPr>
              <w:t>470</w:t>
            </w:r>
            <w:r>
              <w:rPr>
                <w:noProof/>
                <w:webHidden/>
              </w:rPr>
              <w:fldChar w:fldCharType="end"/>
            </w:r>
          </w:hyperlink>
        </w:p>
        <w:p w14:paraId="29EDE84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57" w:history="1">
            <w:r w:rsidRPr="000D551A">
              <w:rPr>
                <w:rStyle w:val="Lienhypertexte"/>
                <w:noProof/>
              </w:rPr>
              <w:t>43.26.2 Revêtements de façade rigides fixés mécaniquement - céramiques fixées mécaniquement</w:t>
            </w:r>
            <w:r>
              <w:rPr>
                <w:noProof/>
                <w:webHidden/>
              </w:rPr>
              <w:tab/>
            </w:r>
            <w:r>
              <w:rPr>
                <w:noProof/>
                <w:webHidden/>
              </w:rPr>
              <w:fldChar w:fldCharType="begin"/>
            </w:r>
            <w:r>
              <w:rPr>
                <w:noProof/>
                <w:webHidden/>
              </w:rPr>
              <w:instrText xml:space="preserve"> PAGEREF _Toc220490457 \h </w:instrText>
            </w:r>
            <w:r>
              <w:rPr>
                <w:noProof/>
                <w:webHidden/>
              </w:rPr>
            </w:r>
            <w:r>
              <w:rPr>
                <w:noProof/>
                <w:webHidden/>
              </w:rPr>
              <w:fldChar w:fldCharType="separate"/>
            </w:r>
            <w:r>
              <w:rPr>
                <w:noProof/>
                <w:webHidden/>
              </w:rPr>
              <w:t>473</w:t>
            </w:r>
            <w:r>
              <w:rPr>
                <w:noProof/>
                <w:webHidden/>
              </w:rPr>
              <w:fldChar w:fldCharType="end"/>
            </w:r>
          </w:hyperlink>
        </w:p>
        <w:p w14:paraId="26F3EDB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58" w:history="1">
            <w:r w:rsidRPr="000D551A">
              <w:rPr>
                <w:rStyle w:val="Lienhypertexte"/>
                <w:noProof/>
              </w:rPr>
              <w:t>43.26.2a Revêtements de façade rigides fixés mécaniquement - céramiques fixées mécaniquement</w:t>
            </w:r>
            <w:r>
              <w:rPr>
                <w:noProof/>
                <w:webHidden/>
              </w:rPr>
              <w:tab/>
            </w:r>
            <w:r>
              <w:rPr>
                <w:noProof/>
                <w:webHidden/>
              </w:rPr>
              <w:fldChar w:fldCharType="begin"/>
            </w:r>
            <w:r>
              <w:rPr>
                <w:noProof/>
                <w:webHidden/>
              </w:rPr>
              <w:instrText xml:space="preserve"> PAGEREF _Toc220490458 \h </w:instrText>
            </w:r>
            <w:r>
              <w:rPr>
                <w:noProof/>
                <w:webHidden/>
              </w:rPr>
            </w:r>
            <w:r>
              <w:rPr>
                <w:noProof/>
                <w:webHidden/>
              </w:rPr>
              <w:fldChar w:fldCharType="separate"/>
            </w:r>
            <w:r>
              <w:rPr>
                <w:noProof/>
                <w:webHidden/>
              </w:rPr>
              <w:t>473</w:t>
            </w:r>
            <w:r>
              <w:rPr>
                <w:noProof/>
                <w:webHidden/>
              </w:rPr>
              <w:fldChar w:fldCharType="end"/>
            </w:r>
          </w:hyperlink>
        </w:p>
        <w:p w14:paraId="76F25E3D"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59" w:history="1">
            <w:r w:rsidRPr="000D551A">
              <w:rPr>
                <w:rStyle w:val="Lienhypertexte"/>
                <w:noProof/>
              </w:rPr>
              <w:t>43.27 Revêtements de façade rigides fixés mécaniquement - feuilles / bandes métalliques CCTB 01.02</w:t>
            </w:r>
            <w:r>
              <w:rPr>
                <w:noProof/>
                <w:webHidden/>
              </w:rPr>
              <w:tab/>
            </w:r>
            <w:r>
              <w:rPr>
                <w:noProof/>
                <w:webHidden/>
              </w:rPr>
              <w:fldChar w:fldCharType="begin"/>
            </w:r>
            <w:r>
              <w:rPr>
                <w:noProof/>
                <w:webHidden/>
              </w:rPr>
              <w:instrText xml:space="preserve"> PAGEREF _Toc220490459 \h </w:instrText>
            </w:r>
            <w:r>
              <w:rPr>
                <w:noProof/>
                <w:webHidden/>
              </w:rPr>
            </w:r>
            <w:r>
              <w:rPr>
                <w:noProof/>
                <w:webHidden/>
              </w:rPr>
              <w:fldChar w:fldCharType="separate"/>
            </w:r>
            <w:r>
              <w:rPr>
                <w:noProof/>
                <w:webHidden/>
              </w:rPr>
              <w:t>473</w:t>
            </w:r>
            <w:r>
              <w:rPr>
                <w:noProof/>
                <w:webHidden/>
              </w:rPr>
              <w:fldChar w:fldCharType="end"/>
            </w:r>
          </w:hyperlink>
        </w:p>
        <w:p w14:paraId="4B163A2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60" w:history="1">
            <w:r w:rsidRPr="000D551A">
              <w:rPr>
                <w:rStyle w:val="Lienhypertexte"/>
                <w:noProof/>
              </w:rPr>
              <w:t>43.27.1 Revêtements de façade rigides fixés mécaniquement - feuilles métalliques CCTB 01.04</w:t>
            </w:r>
            <w:r>
              <w:rPr>
                <w:noProof/>
                <w:webHidden/>
              </w:rPr>
              <w:tab/>
            </w:r>
            <w:r>
              <w:rPr>
                <w:noProof/>
                <w:webHidden/>
              </w:rPr>
              <w:fldChar w:fldCharType="begin"/>
            </w:r>
            <w:r>
              <w:rPr>
                <w:noProof/>
                <w:webHidden/>
              </w:rPr>
              <w:instrText xml:space="preserve"> PAGEREF _Toc220490460 \h </w:instrText>
            </w:r>
            <w:r>
              <w:rPr>
                <w:noProof/>
                <w:webHidden/>
              </w:rPr>
            </w:r>
            <w:r>
              <w:rPr>
                <w:noProof/>
                <w:webHidden/>
              </w:rPr>
              <w:fldChar w:fldCharType="separate"/>
            </w:r>
            <w:r>
              <w:rPr>
                <w:noProof/>
                <w:webHidden/>
              </w:rPr>
              <w:t>473</w:t>
            </w:r>
            <w:r>
              <w:rPr>
                <w:noProof/>
                <w:webHidden/>
              </w:rPr>
              <w:fldChar w:fldCharType="end"/>
            </w:r>
          </w:hyperlink>
        </w:p>
        <w:p w14:paraId="2EC2BF7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61" w:history="1">
            <w:r w:rsidRPr="000D551A">
              <w:rPr>
                <w:rStyle w:val="Lienhypertexte"/>
                <w:noProof/>
              </w:rPr>
              <w:t>43.27.1a Revêtements de façade rigides fixés mécaniquement - feuilles en aluminium CCTB 01.04</w:t>
            </w:r>
            <w:r>
              <w:rPr>
                <w:noProof/>
                <w:webHidden/>
              </w:rPr>
              <w:tab/>
            </w:r>
            <w:r>
              <w:rPr>
                <w:noProof/>
                <w:webHidden/>
              </w:rPr>
              <w:fldChar w:fldCharType="begin"/>
            </w:r>
            <w:r>
              <w:rPr>
                <w:noProof/>
                <w:webHidden/>
              </w:rPr>
              <w:instrText xml:space="preserve"> PAGEREF _Toc220490461 \h </w:instrText>
            </w:r>
            <w:r>
              <w:rPr>
                <w:noProof/>
                <w:webHidden/>
              </w:rPr>
            </w:r>
            <w:r>
              <w:rPr>
                <w:noProof/>
                <w:webHidden/>
              </w:rPr>
              <w:fldChar w:fldCharType="separate"/>
            </w:r>
            <w:r>
              <w:rPr>
                <w:noProof/>
                <w:webHidden/>
              </w:rPr>
              <w:t>474</w:t>
            </w:r>
            <w:r>
              <w:rPr>
                <w:noProof/>
                <w:webHidden/>
              </w:rPr>
              <w:fldChar w:fldCharType="end"/>
            </w:r>
          </w:hyperlink>
        </w:p>
        <w:p w14:paraId="0038206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62" w:history="1">
            <w:r w:rsidRPr="000D551A">
              <w:rPr>
                <w:rStyle w:val="Lienhypertexte"/>
                <w:noProof/>
              </w:rPr>
              <w:t>43.27.1b Revêtements de façade rigides fixés mécaniquement - feuilles en zinc CCTB 01.04</w:t>
            </w:r>
            <w:r>
              <w:rPr>
                <w:noProof/>
                <w:webHidden/>
              </w:rPr>
              <w:tab/>
            </w:r>
            <w:r>
              <w:rPr>
                <w:noProof/>
                <w:webHidden/>
              </w:rPr>
              <w:fldChar w:fldCharType="begin"/>
            </w:r>
            <w:r>
              <w:rPr>
                <w:noProof/>
                <w:webHidden/>
              </w:rPr>
              <w:instrText xml:space="preserve"> PAGEREF _Toc220490462 \h </w:instrText>
            </w:r>
            <w:r>
              <w:rPr>
                <w:noProof/>
                <w:webHidden/>
              </w:rPr>
            </w:r>
            <w:r>
              <w:rPr>
                <w:noProof/>
                <w:webHidden/>
              </w:rPr>
              <w:fldChar w:fldCharType="separate"/>
            </w:r>
            <w:r>
              <w:rPr>
                <w:noProof/>
                <w:webHidden/>
              </w:rPr>
              <w:t>474</w:t>
            </w:r>
            <w:r>
              <w:rPr>
                <w:noProof/>
                <w:webHidden/>
              </w:rPr>
              <w:fldChar w:fldCharType="end"/>
            </w:r>
          </w:hyperlink>
        </w:p>
        <w:p w14:paraId="043F158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63" w:history="1">
            <w:r w:rsidRPr="000D551A">
              <w:rPr>
                <w:rStyle w:val="Lienhypertexte"/>
                <w:noProof/>
              </w:rPr>
              <w:t>43.27.1c Revêtements de façade rigides fixés mécaniquement - feuilles en cuivre CCTB 01.04</w:t>
            </w:r>
            <w:r>
              <w:rPr>
                <w:noProof/>
                <w:webHidden/>
              </w:rPr>
              <w:tab/>
            </w:r>
            <w:r>
              <w:rPr>
                <w:noProof/>
                <w:webHidden/>
              </w:rPr>
              <w:fldChar w:fldCharType="begin"/>
            </w:r>
            <w:r>
              <w:rPr>
                <w:noProof/>
                <w:webHidden/>
              </w:rPr>
              <w:instrText xml:space="preserve"> PAGEREF _Toc220490463 \h </w:instrText>
            </w:r>
            <w:r>
              <w:rPr>
                <w:noProof/>
                <w:webHidden/>
              </w:rPr>
            </w:r>
            <w:r>
              <w:rPr>
                <w:noProof/>
                <w:webHidden/>
              </w:rPr>
              <w:fldChar w:fldCharType="separate"/>
            </w:r>
            <w:r>
              <w:rPr>
                <w:noProof/>
                <w:webHidden/>
              </w:rPr>
              <w:t>474</w:t>
            </w:r>
            <w:r>
              <w:rPr>
                <w:noProof/>
                <w:webHidden/>
              </w:rPr>
              <w:fldChar w:fldCharType="end"/>
            </w:r>
          </w:hyperlink>
        </w:p>
        <w:p w14:paraId="0329082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64" w:history="1">
            <w:r w:rsidRPr="000D551A">
              <w:rPr>
                <w:rStyle w:val="Lienhypertexte"/>
                <w:noProof/>
              </w:rPr>
              <w:t>43.27.1d Revêtements de façade rigides fixés mécaniquement - feuilles en plomb</w:t>
            </w:r>
            <w:r>
              <w:rPr>
                <w:noProof/>
                <w:webHidden/>
              </w:rPr>
              <w:tab/>
            </w:r>
            <w:r>
              <w:rPr>
                <w:noProof/>
                <w:webHidden/>
              </w:rPr>
              <w:fldChar w:fldCharType="begin"/>
            </w:r>
            <w:r>
              <w:rPr>
                <w:noProof/>
                <w:webHidden/>
              </w:rPr>
              <w:instrText xml:space="preserve"> PAGEREF _Toc220490464 \h </w:instrText>
            </w:r>
            <w:r>
              <w:rPr>
                <w:noProof/>
                <w:webHidden/>
              </w:rPr>
            </w:r>
            <w:r>
              <w:rPr>
                <w:noProof/>
                <w:webHidden/>
              </w:rPr>
              <w:fldChar w:fldCharType="separate"/>
            </w:r>
            <w:r>
              <w:rPr>
                <w:noProof/>
                <w:webHidden/>
              </w:rPr>
              <w:t>474</w:t>
            </w:r>
            <w:r>
              <w:rPr>
                <w:noProof/>
                <w:webHidden/>
              </w:rPr>
              <w:fldChar w:fldCharType="end"/>
            </w:r>
          </w:hyperlink>
        </w:p>
        <w:p w14:paraId="58298B0D"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65" w:history="1">
            <w:r w:rsidRPr="000D551A">
              <w:rPr>
                <w:rStyle w:val="Lienhypertexte"/>
                <w:noProof/>
              </w:rPr>
              <w:t>43.28 Revêtements de façade rigides fixés mécaniquement - mailles métalliques CCTB 01.02</w:t>
            </w:r>
            <w:r>
              <w:rPr>
                <w:noProof/>
                <w:webHidden/>
              </w:rPr>
              <w:tab/>
            </w:r>
            <w:r>
              <w:rPr>
                <w:noProof/>
                <w:webHidden/>
              </w:rPr>
              <w:fldChar w:fldCharType="begin"/>
            </w:r>
            <w:r>
              <w:rPr>
                <w:noProof/>
                <w:webHidden/>
              </w:rPr>
              <w:instrText xml:space="preserve"> PAGEREF _Toc220490465 \h </w:instrText>
            </w:r>
            <w:r>
              <w:rPr>
                <w:noProof/>
                <w:webHidden/>
              </w:rPr>
            </w:r>
            <w:r>
              <w:rPr>
                <w:noProof/>
                <w:webHidden/>
              </w:rPr>
              <w:fldChar w:fldCharType="separate"/>
            </w:r>
            <w:r>
              <w:rPr>
                <w:noProof/>
                <w:webHidden/>
              </w:rPr>
              <w:t>474</w:t>
            </w:r>
            <w:r>
              <w:rPr>
                <w:noProof/>
                <w:webHidden/>
              </w:rPr>
              <w:fldChar w:fldCharType="end"/>
            </w:r>
          </w:hyperlink>
        </w:p>
        <w:p w14:paraId="4CC85A1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66" w:history="1">
            <w:r w:rsidRPr="000D551A">
              <w:rPr>
                <w:rStyle w:val="Lienhypertexte"/>
                <w:noProof/>
              </w:rPr>
              <w:t>43.28.1 Revêtements de façade rigides fixés mécaniquement - mailles métalliques</w:t>
            </w:r>
            <w:r>
              <w:rPr>
                <w:noProof/>
                <w:webHidden/>
              </w:rPr>
              <w:tab/>
            </w:r>
            <w:r>
              <w:rPr>
                <w:noProof/>
                <w:webHidden/>
              </w:rPr>
              <w:fldChar w:fldCharType="begin"/>
            </w:r>
            <w:r>
              <w:rPr>
                <w:noProof/>
                <w:webHidden/>
              </w:rPr>
              <w:instrText xml:space="preserve"> PAGEREF _Toc220490466 \h </w:instrText>
            </w:r>
            <w:r>
              <w:rPr>
                <w:noProof/>
                <w:webHidden/>
              </w:rPr>
            </w:r>
            <w:r>
              <w:rPr>
                <w:noProof/>
                <w:webHidden/>
              </w:rPr>
              <w:fldChar w:fldCharType="separate"/>
            </w:r>
            <w:r>
              <w:rPr>
                <w:noProof/>
                <w:webHidden/>
              </w:rPr>
              <w:t>474</w:t>
            </w:r>
            <w:r>
              <w:rPr>
                <w:noProof/>
                <w:webHidden/>
              </w:rPr>
              <w:fldChar w:fldCharType="end"/>
            </w:r>
          </w:hyperlink>
        </w:p>
        <w:p w14:paraId="3D3420E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67" w:history="1">
            <w:r w:rsidRPr="000D551A">
              <w:rPr>
                <w:rStyle w:val="Lienhypertexte"/>
                <w:noProof/>
              </w:rPr>
              <w:t>43.28.1a Revêtements de façade rigides fixés mécaniquement - mailles métalliques</w:t>
            </w:r>
            <w:r>
              <w:rPr>
                <w:noProof/>
                <w:webHidden/>
              </w:rPr>
              <w:tab/>
            </w:r>
            <w:r>
              <w:rPr>
                <w:noProof/>
                <w:webHidden/>
              </w:rPr>
              <w:fldChar w:fldCharType="begin"/>
            </w:r>
            <w:r>
              <w:rPr>
                <w:noProof/>
                <w:webHidden/>
              </w:rPr>
              <w:instrText xml:space="preserve"> PAGEREF _Toc220490467 \h </w:instrText>
            </w:r>
            <w:r>
              <w:rPr>
                <w:noProof/>
                <w:webHidden/>
              </w:rPr>
            </w:r>
            <w:r>
              <w:rPr>
                <w:noProof/>
                <w:webHidden/>
              </w:rPr>
              <w:fldChar w:fldCharType="separate"/>
            </w:r>
            <w:r>
              <w:rPr>
                <w:noProof/>
                <w:webHidden/>
              </w:rPr>
              <w:t>474</w:t>
            </w:r>
            <w:r>
              <w:rPr>
                <w:noProof/>
                <w:webHidden/>
              </w:rPr>
              <w:fldChar w:fldCharType="end"/>
            </w:r>
          </w:hyperlink>
        </w:p>
        <w:p w14:paraId="13E033BD"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468" w:history="1">
            <w:r w:rsidRPr="000D551A">
              <w:rPr>
                <w:rStyle w:val="Lienhypertexte"/>
                <w:noProof/>
              </w:rPr>
              <w:t>43.3 Revêtements de façade rigides collés CCTB 01.02</w:t>
            </w:r>
            <w:r>
              <w:rPr>
                <w:noProof/>
                <w:webHidden/>
              </w:rPr>
              <w:tab/>
            </w:r>
            <w:r>
              <w:rPr>
                <w:noProof/>
                <w:webHidden/>
              </w:rPr>
              <w:fldChar w:fldCharType="begin"/>
            </w:r>
            <w:r>
              <w:rPr>
                <w:noProof/>
                <w:webHidden/>
              </w:rPr>
              <w:instrText xml:space="preserve"> PAGEREF _Toc220490468 \h </w:instrText>
            </w:r>
            <w:r>
              <w:rPr>
                <w:noProof/>
                <w:webHidden/>
              </w:rPr>
            </w:r>
            <w:r>
              <w:rPr>
                <w:noProof/>
                <w:webHidden/>
              </w:rPr>
              <w:fldChar w:fldCharType="separate"/>
            </w:r>
            <w:r>
              <w:rPr>
                <w:noProof/>
                <w:webHidden/>
              </w:rPr>
              <w:t>475</w:t>
            </w:r>
            <w:r>
              <w:rPr>
                <w:noProof/>
                <w:webHidden/>
              </w:rPr>
              <w:fldChar w:fldCharType="end"/>
            </w:r>
          </w:hyperlink>
        </w:p>
        <w:p w14:paraId="1B2D9502"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69" w:history="1">
            <w:r w:rsidRPr="000D551A">
              <w:rPr>
                <w:rStyle w:val="Lienhypertexte"/>
                <w:noProof/>
              </w:rPr>
              <w:t>43.31 Revêtements de façade rigides collés - préparation du support</w:t>
            </w:r>
            <w:r>
              <w:rPr>
                <w:noProof/>
                <w:webHidden/>
              </w:rPr>
              <w:tab/>
            </w:r>
            <w:r>
              <w:rPr>
                <w:noProof/>
                <w:webHidden/>
              </w:rPr>
              <w:fldChar w:fldCharType="begin"/>
            </w:r>
            <w:r>
              <w:rPr>
                <w:noProof/>
                <w:webHidden/>
              </w:rPr>
              <w:instrText xml:space="preserve"> PAGEREF _Toc220490469 \h </w:instrText>
            </w:r>
            <w:r>
              <w:rPr>
                <w:noProof/>
                <w:webHidden/>
              </w:rPr>
            </w:r>
            <w:r>
              <w:rPr>
                <w:noProof/>
                <w:webHidden/>
              </w:rPr>
              <w:fldChar w:fldCharType="separate"/>
            </w:r>
            <w:r>
              <w:rPr>
                <w:noProof/>
                <w:webHidden/>
              </w:rPr>
              <w:t>475</w:t>
            </w:r>
            <w:r>
              <w:rPr>
                <w:noProof/>
                <w:webHidden/>
              </w:rPr>
              <w:fldChar w:fldCharType="end"/>
            </w:r>
          </w:hyperlink>
        </w:p>
        <w:p w14:paraId="3EBA1BCF"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70" w:history="1">
            <w:r w:rsidRPr="000D551A">
              <w:rPr>
                <w:rStyle w:val="Lienhypertexte"/>
                <w:noProof/>
              </w:rPr>
              <w:t>43.32 Revêtements de façade rigides collés - céramiques  CCTB 01.12</w:t>
            </w:r>
            <w:r>
              <w:rPr>
                <w:noProof/>
                <w:webHidden/>
              </w:rPr>
              <w:tab/>
            </w:r>
            <w:r>
              <w:rPr>
                <w:noProof/>
                <w:webHidden/>
              </w:rPr>
              <w:fldChar w:fldCharType="begin"/>
            </w:r>
            <w:r>
              <w:rPr>
                <w:noProof/>
                <w:webHidden/>
              </w:rPr>
              <w:instrText xml:space="preserve"> PAGEREF _Toc220490470 \h </w:instrText>
            </w:r>
            <w:r>
              <w:rPr>
                <w:noProof/>
                <w:webHidden/>
              </w:rPr>
            </w:r>
            <w:r>
              <w:rPr>
                <w:noProof/>
                <w:webHidden/>
              </w:rPr>
              <w:fldChar w:fldCharType="separate"/>
            </w:r>
            <w:r>
              <w:rPr>
                <w:noProof/>
                <w:webHidden/>
              </w:rPr>
              <w:t>475</w:t>
            </w:r>
            <w:r>
              <w:rPr>
                <w:noProof/>
                <w:webHidden/>
              </w:rPr>
              <w:fldChar w:fldCharType="end"/>
            </w:r>
          </w:hyperlink>
        </w:p>
        <w:p w14:paraId="04C9A2E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71" w:history="1">
            <w:r w:rsidRPr="000D551A">
              <w:rPr>
                <w:rStyle w:val="Lienhypertexte"/>
                <w:noProof/>
              </w:rPr>
              <w:t>43.32.1 Revêtements de façade rigides collés - céramiques</w:t>
            </w:r>
            <w:r>
              <w:rPr>
                <w:noProof/>
                <w:webHidden/>
              </w:rPr>
              <w:tab/>
            </w:r>
            <w:r>
              <w:rPr>
                <w:noProof/>
                <w:webHidden/>
              </w:rPr>
              <w:fldChar w:fldCharType="begin"/>
            </w:r>
            <w:r>
              <w:rPr>
                <w:noProof/>
                <w:webHidden/>
              </w:rPr>
              <w:instrText xml:space="preserve"> PAGEREF _Toc220490471 \h </w:instrText>
            </w:r>
            <w:r>
              <w:rPr>
                <w:noProof/>
                <w:webHidden/>
              </w:rPr>
            </w:r>
            <w:r>
              <w:rPr>
                <w:noProof/>
                <w:webHidden/>
              </w:rPr>
              <w:fldChar w:fldCharType="separate"/>
            </w:r>
            <w:r>
              <w:rPr>
                <w:noProof/>
                <w:webHidden/>
              </w:rPr>
              <w:t>476</w:t>
            </w:r>
            <w:r>
              <w:rPr>
                <w:noProof/>
                <w:webHidden/>
              </w:rPr>
              <w:fldChar w:fldCharType="end"/>
            </w:r>
          </w:hyperlink>
        </w:p>
        <w:p w14:paraId="467A3A9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72" w:history="1">
            <w:r w:rsidRPr="000D551A">
              <w:rPr>
                <w:rStyle w:val="Lienhypertexte"/>
                <w:noProof/>
              </w:rPr>
              <w:t>43.32.1a Revêtements de façade rigides collés - céramiques  CCTB 01.12</w:t>
            </w:r>
            <w:r>
              <w:rPr>
                <w:noProof/>
                <w:webHidden/>
              </w:rPr>
              <w:tab/>
            </w:r>
            <w:r>
              <w:rPr>
                <w:noProof/>
                <w:webHidden/>
              </w:rPr>
              <w:fldChar w:fldCharType="begin"/>
            </w:r>
            <w:r>
              <w:rPr>
                <w:noProof/>
                <w:webHidden/>
              </w:rPr>
              <w:instrText xml:space="preserve"> PAGEREF _Toc220490472 \h </w:instrText>
            </w:r>
            <w:r>
              <w:rPr>
                <w:noProof/>
                <w:webHidden/>
              </w:rPr>
            </w:r>
            <w:r>
              <w:rPr>
                <w:noProof/>
                <w:webHidden/>
              </w:rPr>
              <w:fldChar w:fldCharType="separate"/>
            </w:r>
            <w:r>
              <w:rPr>
                <w:noProof/>
                <w:webHidden/>
              </w:rPr>
              <w:t>476</w:t>
            </w:r>
            <w:r>
              <w:rPr>
                <w:noProof/>
                <w:webHidden/>
              </w:rPr>
              <w:fldChar w:fldCharType="end"/>
            </w:r>
          </w:hyperlink>
        </w:p>
        <w:p w14:paraId="5A25F30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73" w:history="1">
            <w:r w:rsidRPr="000D551A">
              <w:rPr>
                <w:rStyle w:val="Lienhypertexte"/>
                <w:noProof/>
              </w:rPr>
              <w:t>43.32.2 Revêtements de façades rigides collés – système « isolant + carreaux céramiques » CCTB 01.11</w:t>
            </w:r>
            <w:r>
              <w:rPr>
                <w:noProof/>
                <w:webHidden/>
              </w:rPr>
              <w:tab/>
            </w:r>
            <w:r>
              <w:rPr>
                <w:noProof/>
                <w:webHidden/>
              </w:rPr>
              <w:fldChar w:fldCharType="begin"/>
            </w:r>
            <w:r>
              <w:rPr>
                <w:noProof/>
                <w:webHidden/>
              </w:rPr>
              <w:instrText xml:space="preserve"> PAGEREF _Toc220490473 \h </w:instrText>
            </w:r>
            <w:r>
              <w:rPr>
                <w:noProof/>
                <w:webHidden/>
              </w:rPr>
            </w:r>
            <w:r>
              <w:rPr>
                <w:noProof/>
                <w:webHidden/>
              </w:rPr>
              <w:fldChar w:fldCharType="separate"/>
            </w:r>
            <w:r>
              <w:rPr>
                <w:noProof/>
                <w:webHidden/>
              </w:rPr>
              <w:t>478</w:t>
            </w:r>
            <w:r>
              <w:rPr>
                <w:noProof/>
                <w:webHidden/>
              </w:rPr>
              <w:fldChar w:fldCharType="end"/>
            </w:r>
          </w:hyperlink>
        </w:p>
        <w:p w14:paraId="7CE8C39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74" w:history="1">
            <w:r w:rsidRPr="000D551A">
              <w:rPr>
                <w:rStyle w:val="Lienhypertexte"/>
                <w:noProof/>
              </w:rPr>
              <w:t>43.32.2a Revêtements de façades rigides collés – système « isolant + carreaux céramiques » - préfabriqué</w:t>
            </w:r>
            <w:r>
              <w:rPr>
                <w:noProof/>
                <w:webHidden/>
              </w:rPr>
              <w:tab/>
            </w:r>
            <w:r>
              <w:rPr>
                <w:noProof/>
                <w:webHidden/>
              </w:rPr>
              <w:fldChar w:fldCharType="begin"/>
            </w:r>
            <w:r>
              <w:rPr>
                <w:noProof/>
                <w:webHidden/>
              </w:rPr>
              <w:instrText xml:space="preserve"> PAGEREF _Toc220490474 \h </w:instrText>
            </w:r>
            <w:r>
              <w:rPr>
                <w:noProof/>
                <w:webHidden/>
              </w:rPr>
            </w:r>
            <w:r>
              <w:rPr>
                <w:noProof/>
                <w:webHidden/>
              </w:rPr>
              <w:fldChar w:fldCharType="separate"/>
            </w:r>
            <w:r>
              <w:rPr>
                <w:noProof/>
                <w:webHidden/>
              </w:rPr>
              <w:t>482</w:t>
            </w:r>
            <w:r>
              <w:rPr>
                <w:noProof/>
                <w:webHidden/>
              </w:rPr>
              <w:fldChar w:fldCharType="end"/>
            </w:r>
          </w:hyperlink>
        </w:p>
        <w:p w14:paraId="08A410E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75" w:history="1">
            <w:r w:rsidRPr="000D551A">
              <w:rPr>
                <w:rStyle w:val="Lienhypertexte"/>
                <w:noProof/>
              </w:rPr>
              <w:t>43.32.2b Revêtements de façades rigides collés – système « isolant + carreaux céramiques » - assemblé sur place CCTB 01.11</w:t>
            </w:r>
            <w:r>
              <w:rPr>
                <w:noProof/>
                <w:webHidden/>
              </w:rPr>
              <w:tab/>
            </w:r>
            <w:r>
              <w:rPr>
                <w:noProof/>
                <w:webHidden/>
              </w:rPr>
              <w:fldChar w:fldCharType="begin"/>
            </w:r>
            <w:r>
              <w:rPr>
                <w:noProof/>
                <w:webHidden/>
              </w:rPr>
              <w:instrText xml:space="preserve"> PAGEREF _Toc220490475 \h </w:instrText>
            </w:r>
            <w:r>
              <w:rPr>
                <w:noProof/>
                <w:webHidden/>
              </w:rPr>
            </w:r>
            <w:r>
              <w:rPr>
                <w:noProof/>
                <w:webHidden/>
              </w:rPr>
              <w:fldChar w:fldCharType="separate"/>
            </w:r>
            <w:r>
              <w:rPr>
                <w:noProof/>
                <w:webHidden/>
              </w:rPr>
              <w:t>482</w:t>
            </w:r>
            <w:r>
              <w:rPr>
                <w:noProof/>
                <w:webHidden/>
              </w:rPr>
              <w:fldChar w:fldCharType="end"/>
            </w:r>
          </w:hyperlink>
        </w:p>
        <w:p w14:paraId="19287B5B"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76" w:history="1">
            <w:r w:rsidRPr="000D551A">
              <w:rPr>
                <w:rStyle w:val="Lienhypertexte"/>
                <w:noProof/>
              </w:rPr>
              <w:t>43.33 Revêtements de façade rigides collés - plaquettes en terre cuite CCTB 01.11</w:t>
            </w:r>
            <w:r>
              <w:rPr>
                <w:noProof/>
                <w:webHidden/>
              </w:rPr>
              <w:tab/>
            </w:r>
            <w:r>
              <w:rPr>
                <w:noProof/>
                <w:webHidden/>
              </w:rPr>
              <w:fldChar w:fldCharType="begin"/>
            </w:r>
            <w:r>
              <w:rPr>
                <w:noProof/>
                <w:webHidden/>
              </w:rPr>
              <w:instrText xml:space="preserve"> PAGEREF _Toc220490476 \h </w:instrText>
            </w:r>
            <w:r>
              <w:rPr>
                <w:noProof/>
                <w:webHidden/>
              </w:rPr>
            </w:r>
            <w:r>
              <w:rPr>
                <w:noProof/>
                <w:webHidden/>
              </w:rPr>
              <w:fldChar w:fldCharType="separate"/>
            </w:r>
            <w:r>
              <w:rPr>
                <w:noProof/>
                <w:webHidden/>
              </w:rPr>
              <w:t>486</w:t>
            </w:r>
            <w:r>
              <w:rPr>
                <w:noProof/>
                <w:webHidden/>
              </w:rPr>
              <w:fldChar w:fldCharType="end"/>
            </w:r>
          </w:hyperlink>
        </w:p>
        <w:p w14:paraId="41110FF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77" w:history="1">
            <w:r w:rsidRPr="000D551A">
              <w:rPr>
                <w:rStyle w:val="Lienhypertexte"/>
                <w:noProof/>
              </w:rPr>
              <w:t>43.33.1 Revêtements de façade rigides collés - plaquettes en terre cuite CCTB 01.11</w:t>
            </w:r>
            <w:r>
              <w:rPr>
                <w:noProof/>
                <w:webHidden/>
              </w:rPr>
              <w:tab/>
            </w:r>
            <w:r>
              <w:rPr>
                <w:noProof/>
                <w:webHidden/>
              </w:rPr>
              <w:fldChar w:fldCharType="begin"/>
            </w:r>
            <w:r>
              <w:rPr>
                <w:noProof/>
                <w:webHidden/>
              </w:rPr>
              <w:instrText xml:space="preserve"> PAGEREF _Toc220490477 \h </w:instrText>
            </w:r>
            <w:r>
              <w:rPr>
                <w:noProof/>
                <w:webHidden/>
              </w:rPr>
            </w:r>
            <w:r>
              <w:rPr>
                <w:noProof/>
                <w:webHidden/>
              </w:rPr>
              <w:fldChar w:fldCharType="separate"/>
            </w:r>
            <w:r>
              <w:rPr>
                <w:noProof/>
                <w:webHidden/>
              </w:rPr>
              <w:t>487</w:t>
            </w:r>
            <w:r>
              <w:rPr>
                <w:noProof/>
                <w:webHidden/>
              </w:rPr>
              <w:fldChar w:fldCharType="end"/>
            </w:r>
          </w:hyperlink>
        </w:p>
        <w:p w14:paraId="469DB87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78" w:history="1">
            <w:r w:rsidRPr="000D551A">
              <w:rPr>
                <w:rStyle w:val="Lienhypertexte"/>
                <w:noProof/>
              </w:rPr>
              <w:t>43.33.1a Revêtements de façade rigides collés - plaquettes en terre cuite CCTB 01.11</w:t>
            </w:r>
            <w:r>
              <w:rPr>
                <w:noProof/>
                <w:webHidden/>
              </w:rPr>
              <w:tab/>
            </w:r>
            <w:r>
              <w:rPr>
                <w:noProof/>
                <w:webHidden/>
              </w:rPr>
              <w:fldChar w:fldCharType="begin"/>
            </w:r>
            <w:r>
              <w:rPr>
                <w:noProof/>
                <w:webHidden/>
              </w:rPr>
              <w:instrText xml:space="preserve"> PAGEREF _Toc220490478 \h </w:instrText>
            </w:r>
            <w:r>
              <w:rPr>
                <w:noProof/>
                <w:webHidden/>
              </w:rPr>
            </w:r>
            <w:r>
              <w:rPr>
                <w:noProof/>
                <w:webHidden/>
              </w:rPr>
              <w:fldChar w:fldCharType="separate"/>
            </w:r>
            <w:r>
              <w:rPr>
                <w:noProof/>
                <w:webHidden/>
              </w:rPr>
              <w:t>488</w:t>
            </w:r>
            <w:r>
              <w:rPr>
                <w:noProof/>
                <w:webHidden/>
              </w:rPr>
              <w:fldChar w:fldCharType="end"/>
            </w:r>
          </w:hyperlink>
        </w:p>
        <w:p w14:paraId="2BBA893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79" w:history="1">
            <w:r w:rsidRPr="000D551A">
              <w:rPr>
                <w:rStyle w:val="Lienhypertexte"/>
                <w:noProof/>
              </w:rPr>
              <w:t>43.33.2 Revêtements de façade rigides collés - système " isolant+plaquettes en terre cuite collées" CCTB 01.12</w:t>
            </w:r>
            <w:r>
              <w:rPr>
                <w:noProof/>
                <w:webHidden/>
              </w:rPr>
              <w:tab/>
            </w:r>
            <w:r>
              <w:rPr>
                <w:noProof/>
                <w:webHidden/>
              </w:rPr>
              <w:fldChar w:fldCharType="begin"/>
            </w:r>
            <w:r>
              <w:rPr>
                <w:noProof/>
                <w:webHidden/>
              </w:rPr>
              <w:instrText xml:space="preserve"> PAGEREF _Toc220490479 \h </w:instrText>
            </w:r>
            <w:r>
              <w:rPr>
                <w:noProof/>
                <w:webHidden/>
              </w:rPr>
            </w:r>
            <w:r>
              <w:rPr>
                <w:noProof/>
                <w:webHidden/>
              </w:rPr>
              <w:fldChar w:fldCharType="separate"/>
            </w:r>
            <w:r>
              <w:rPr>
                <w:noProof/>
                <w:webHidden/>
              </w:rPr>
              <w:t>490</w:t>
            </w:r>
            <w:r>
              <w:rPr>
                <w:noProof/>
                <w:webHidden/>
              </w:rPr>
              <w:fldChar w:fldCharType="end"/>
            </w:r>
          </w:hyperlink>
        </w:p>
        <w:p w14:paraId="2E2FEB7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80" w:history="1">
            <w:r w:rsidRPr="000D551A">
              <w:rPr>
                <w:rStyle w:val="Lienhypertexte"/>
                <w:noProof/>
              </w:rPr>
              <w:t>43.33.2a Revêtements de façade rigides collés - système " isolant+plaquettes en terre cuite collées" préfabriqué CCTB 01.12</w:t>
            </w:r>
            <w:r>
              <w:rPr>
                <w:noProof/>
                <w:webHidden/>
              </w:rPr>
              <w:tab/>
            </w:r>
            <w:r>
              <w:rPr>
                <w:noProof/>
                <w:webHidden/>
              </w:rPr>
              <w:fldChar w:fldCharType="begin"/>
            </w:r>
            <w:r>
              <w:rPr>
                <w:noProof/>
                <w:webHidden/>
              </w:rPr>
              <w:instrText xml:space="preserve"> PAGEREF _Toc220490480 \h </w:instrText>
            </w:r>
            <w:r>
              <w:rPr>
                <w:noProof/>
                <w:webHidden/>
              </w:rPr>
            </w:r>
            <w:r>
              <w:rPr>
                <w:noProof/>
                <w:webHidden/>
              </w:rPr>
              <w:fldChar w:fldCharType="separate"/>
            </w:r>
            <w:r>
              <w:rPr>
                <w:noProof/>
                <w:webHidden/>
              </w:rPr>
              <w:t>494</w:t>
            </w:r>
            <w:r>
              <w:rPr>
                <w:noProof/>
                <w:webHidden/>
              </w:rPr>
              <w:fldChar w:fldCharType="end"/>
            </w:r>
          </w:hyperlink>
        </w:p>
        <w:p w14:paraId="7F68E2D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81" w:history="1">
            <w:r w:rsidRPr="000D551A">
              <w:rPr>
                <w:rStyle w:val="Lienhypertexte"/>
                <w:noProof/>
              </w:rPr>
              <w:t>43.33.2b Revêtements de façade rigides collés - système "isolant+plaquettes en terre cuite collées" assemblé sur place CCTB 01.11</w:t>
            </w:r>
            <w:r>
              <w:rPr>
                <w:noProof/>
                <w:webHidden/>
              </w:rPr>
              <w:tab/>
            </w:r>
            <w:r>
              <w:rPr>
                <w:noProof/>
                <w:webHidden/>
              </w:rPr>
              <w:fldChar w:fldCharType="begin"/>
            </w:r>
            <w:r>
              <w:rPr>
                <w:noProof/>
                <w:webHidden/>
              </w:rPr>
              <w:instrText xml:space="preserve"> PAGEREF _Toc220490481 \h </w:instrText>
            </w:r>
            <w:r>
              <w:rPr>
                <w:noProof/>
                <w:webHidden/>
              </w:rPr>
            </w:r>
            <w:r>
              <w:rPr>
                <w:noProof/>
                <w:webHidden/>
              </w:rPr>
              <w:fldChar w:fldCharType="separate"/>
            </w:r>
            <w:r>
              <w:rPr>
                <w:noProof/>
                <w:webHidden/>
              </w:rPr>
              <w:t>498</w:t>
            </w:r>
            <w:r>
              <w:rPr>
                <w:noProof/>
                <w:webHidden/>
              </w:rPr>
              <w:fldChar w:fldCharType="end"/>
            </w:r>
          </w:hyperlink>
        </w:p>
        <w:p w14:paraId="75D304D4"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82" w:history="1">
            <w:r w:rsidRPr="000D551A">
              <w:rPr>
                <w:rStyle w:val="Lienhypertexte"/>
                <w:noProof/>
              </w:rPr>
              <w:t>43.34 Revêtements de façade rigides collés - pierre agglomérée (béton) CCTB 01.11</w:t>
            </w:r>
            <w:r>
              <w:rPr>
                <w:noProof/>
                <w:webHidden/>
              </w:rPr>
              <w:tab/>
            </w:r>
            <w:r>
              <w:rPr>
                <w:noProof/>
                <w:webHidden/>
              </w:rPr>
              <w:fldChar w:fldCharType="begin"/>
            </w:r>
            <w:r>
              <w:rPr>
                <w:noProof/>
                <w:webHidden/>
              </w:rPr>
              <w:instrText xml:space="preserve"> PAGEREF _Toc220490482 \h </w:instrText>
            </w:r>
            <w:r>
              <w:rPr>
                <w:noProof/>
                <w:webHidden/>
              </w:rPr>
            </w:r>
            <w:r>
              <w:rPr>
                <w:noProof/>
                <w:webHidden/>
              </w:rPr>
              <w:fldChar w:fldCharType="separate"/>
            </w:r>
            <w:r>
              <w:rPr>
                <w:noProof/>
                <w:webHidden/>
              </w:rPr>
              <w:t>503</w:t>
            </w:r>
            <w:r>
              <w:rPr>
                <w:noProof/>
                <w:webHidden/>
              </w:rPr>
              <w:fldChar w:fldCharType="end"/>
            </w:r>
          </w:hyperlink>
        </w:p>
        <w:p w14:paraId="3B6D382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83" w:history="1">
            <w:r w:rsidRPr="000D551A">
              <w:rPr>
                <w:rStyle w:val="Lienhypertexte"/>
                <w:noProof/>
              </w:rPr>
              <w:t>43.34.1 Revêtements de façade rigides collés - pierre agglomérée (béton) CCTB 01.11</w:t>
            </w:r>
            <w:r>
              <w:rPr>
                <w:noProof/>
                <w:webHidden/>
              </w:rPr>
              <w:tab/>
            </w:r>
            <w:r>
              <w:rPr>
                <w:noProof/>
                <w:webHidden/>
              </w:rPr>
              <w:fldChar w:fldCharType="begin"/>
            </w:r>
            <w:r>
              <w:rPr>
                <w:noProof/>
                <w:webHidden/>
              </w:rPr>
              <w:instrText xml:space="preserve"> PAGEREF _Toc220490483 \h </w:instrText>
            </w:r>
            <w:r>
              <w:rPr>
                <w:noProof/>
                <w:webHidden/>
              </w:rPr>
            </w:r>
            <w:r>
              <w:rPr>
                <w:noProof/>
                <w:webHidden/>
              </w:rPr>
              <w:fldChar w:fldCharType="separate"/>
            </w:r>
            <w:r>
              <w:rPr>
                <w:noProof/>
                <w:webHidden/>
              </w:rPr>
              <w:t>503</w:t>
            </w:r>
            <w:r>
              <w:rPr>
                <w:noProof/>
                <w:webHidden/>
              </w:rPr>
              <w:fldChar w:fldCharType="end"/>
            </w:r>
          </w:hyperlink>
        </w:p>
        <w:p w14:paraId="6810ACE6"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84" w:history="1">
            <w:r w:rsidRPr="000D551A">
              <w:rPr>
                <w:rStyle w:val="Lienhypertexte"/>
                <w:noProof/>
              </w:rPr>
              <w:t>43.34.2 Revêtements de façades rigides collés – système « isolant + pierre agglomérée (béton, …) » CCTB 01.11</w:t>
            </w:r>
            <w:r>
              <w:rPr>
                <w:noProof/>
                <w:webHidden/>
              </w:rPr>
              <w:tab/>
            </w:r>
            <w:r>
              <w:rPr>
                <w:noProof/>
                <w:webHidden/>
              </w:rPr>
              <w:fldChar w:fldCharType="begin"/>
            </w:r>
            <w:r>
              <w:rPr>
                <w:noProof/>
                <w:webHidden/>
              </w:rPr>
              <w:instrText xml:space="preserve"> PAGEREF _Toc220490484 \h </w:instrText>
            </w:r>
            <w:r>
              <w:rPr>
                <w:noProof/>
                <w:webHidden/>
              </w:rPr>
            </w:r>
            <w:r>
              <w:rPr>
                <w:noProof/>
                <w:webHidden/>
              </w:rPr>
              <w:fldChar w:fldCharType="separate"/>
            </w:r>
            <w:r>
              <w:rPr>
                <w:noProof/>
                <w:webHidden/>
              </w:rPr>
              <w:t>503</w:t>
            </w:r>
            <w:r>
              <w:rPr>
                <w:noProof/>
                <w:webHidden/>
              </w:rPr>
              <w:fldChar w:fldCharType="end"/>
            </w:r>
          </w:hyperlink>
        </w:p>
        <w:p w14:paraId="62C5E73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85" w:history="1">
            <w:r w:rsidRPr="000D551A">
              <w:rPr>
                <w:rStyle w:val="Lienhypertexte"/>
                <w:noProof/>
              </w:rPr>
              <w:t>43.34.2a Revêtements de façades rigides collés – système « isolant + pierre agglomérée (béton, …) » - préfabriqué CCTB 01.11</w:t>
            </w:r>
            <w:r>
              <w:rPr>
                <w:noProof/>
                <w:webHidden/>
              </w:rPr>
              <w:tab/>
            </w:r>
            <w:r>
              <w:rPr>
                <w:noProof/>
                <w:webHidden/>
              </w:rPr>
              <w:fldChar w:fldCharType="begin"/>
            </w:r>
            <w:r>
              <w:rPr>
                <w:noProof/>
                <w:webHidden/>
              </w:rPr>
              <w:instrText xml:space="preserve"> PAGEREF _Toc220490485 \h </w:instrText>
            </w:r>
            <w:r>
              <w:rPr>
                <w:noProof/>
                <w:webHidden/>
              </w:rPr>
            </w:r>
            <w:r>
              <w:rPr>
                <w:noProof/>
                <w:webHidden/>
              </w:rPr>
              <w:fldChar w:fldCharType="separate"/>
            </w:r>
            <w:r>
              <w:rPr>
                <w:noProof/>
                <w:webHidden/>
              </w:rPr>
              <w:t>507</w:t>
            </w:r>
            <w:r>
              <w:rPr>
                <w:noProof/>
                <w:webHidden/>
              </w:rPr>
              <w:fldChar w:fldCharType="end"/>
            </w:r>
          </w:hyperlink>
        </w:p>
        <w:p w14:paraId="5D4520B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86" w:history="1">
            <w:r w:rsidRPr="000D551A">
              <w:rPr>
                <w:rStyle w:val="Lienhypertexte"/>
                <w:noProof/>
              </w:rPr>
              <w:t>43.34.2b Revêtements de façades rigides collés – système « isolant + pierre agglomérée (béton, …) » - assemblé sur place CCTB 01.11</w:t>
            </w:r>
            <w:r>
              <w:rPr>
                <w:noProof/>
                <w:webHidden/>
              </w:rPr>
              <w:tab/>
            </w:r>
            <w:r>
              <w:rPr>
                <w:noProof/>
                <w:webHidden/>
              </w:rPr>
              <w:fldChar w:fldCharType="begin"/>
            </w:r>
            <w:r>
              <w:rPr>
                <w:noProof/>
                <w:webHidden/>
              </w:rPr>
              <w:instrText xml:space="preserve"> PAGEREF _Toc220490486 \h </w:instrText>
            </w:r>
            <w:r>
              <w:rPr>
                <w:noProof/>
                <w:webHidden/>
              </w:rPr>
            </w:r>
            <w:r>
              <w:rPr>
                <w:noProof/>
                <w:webHidden/>
              </w:rPr>
              <w:fldChar w:fldCharType="separate"/>
            </w:r>
            <w:r>
              <w:rPr>
                <w:noProof/>
                <w:webHidden/>
              </w:rPr>
              <w:t>507</w:t>
            </w:r>
            <w:r>
              <w:rPr>
                <w:noProof/>
                <w:webHidden/>
              </w:rPr>
              <w:fldChar w:fldCharType="end"/>
            </w:r>
          </w:hyperlink>
        </w:p>
        <w:p w14:paraId="40061674"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87" w:history="1">
            <w:r w:rsidRPr="000D551A">
              <w:rPr>
                <w:rStyle w:val="Lienhypertexte"/>
                <w:noProof/>
              </w:rPr>
              <w:t>43.35 Revêtements de façade rigides collés - pierres naturelles  CCTB 01.12</w:t>
            </w:r>
            <w:r>
              <w:rPr>
                <w:noProof/>
                <w:webHidden/>
              </w:rPr>
              <w:tab/>
            </w:r>
            <w:r>
              <w:rPr>
                <w:noProof/>
                <w:webHidden/>
              </w:rPr>
              <w:fldChar w:fldCharType="begin"/>
            </w:r>
            <w:r>
              <w:rPr>
                <w:noProof/>
                <w:webHidden/>
              </w:rPr>
              <w:instrText xml:space="preserve"> PAGEREF _Toc220490487 \h </w:instrText>
            </w:r>
            <w:r>
              <w:rPr>
                <w:noProof/>
                <w:webHidden/>
              </w:rPr>
            </w:r>
            <w:r>
              <w:rPr>
                <w:noProof/>
                <w:webHidden/>
              </w:rPr>
              <w:fldChar w:fldCharType="separate"/>
            </w:r>
            <w:r>
              <w:rPr>
                <w:noProof/>
                <w:webHidden/>
              </w:rPr>
              <w:t>512</w:t>
            </w:r>
            <w:r>
              <w:rPr>
                <w:noProof/>
                <w:webHidden/>
              </w:rPr>
              <w:fldChar w:fldCharType="end"/>
            </w:r>
          </w:hyperlink>
        </w:p>
        <w:p w14:paraId="44983C8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88" w:history="1">
            <w:r w:rsidRPr="000D551A">
              <w:rPr>
                <w:rStyle w:val="Lienhypertexte"/>
                <w:noProof/>
              </w:rPr>
              <w:t>43.35.1 Revêtements de façade rigides collés - pierres naturelles CCTB 01.11</w:t>
            </w:r>
            <w:r>
              <w:rPr>
                <w:noProof/>
                <w:webHidden/>
              </w:rPr>
              <w:tab/>
            </w:r>
            <w:r>
              <w:rPr>
                <w:noProof/>
                <w:webHidden/>
              </w:rPr>
              <w:fldChar w:fldCharType="begin"/>
            </w:r>
            <w:r>
              <w:rPr>
                <w:noProof/>
                <w:webHidden/>
              </w:rPr>
              <w:instrText xml:space="preserve"> PAGEREF _Toc220490488 \h </w:instrText>
            </w:r>
            <w:r>
              <w:rPr>
                <w:noProof/>
                <w:webHidden/>
              </w:rPr>
            </w:r>
            <w:r>
              <w:rPr>
                <w:noProof/>
                <w:webHidden/>
              </w:rPr>
              <w:fldChar w:fldCharType="separate"/>
            </w:r>
            <w:r>
              <w:rPr>
                <w:noProof/>
                <w:webHidden/>
              </w:rPr>
              <w:t>514</w:t>
            </w:r>
            <w:r>
              <w:rPr>
                <w:noProof/>
                <w:webHidden/>
              </w:rPr>
              <w:fldChar w:fldCharType="end"/>
            </w:r>
          </w:hyperlink>
        </w:p>
        <w:p w14:paraId="1F56DF7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89" w:history="1">
            <w:r w:rsidRPr="000D551A">
              <w:rPr>
                <w:rStyle w:val="Lienhypertexte"/>
                <w:noProof/>
              </w:rPr>
              <w:t>43.35.1a Revêtements de façade rigides collés - pierres naturelles  CCTB 01.12</w:t>
            </w:r>
            <w:r>
              <w:rPr>
                <w:noProof/>
                <w:webHidden/>
              </w:rPr>
              <w:tab/>
            </w:r>
            <w:r>
              <w:rPr>
                <w:noProof/>
                <w:webHidden/>
              </w:rPr>
              <w:fldChar w:fldCharType="begin"/>
            </w:r>
            <w:r>
              <w:rPr>
                <w:noProof/>
                <w:webHidden/>
              </w:rPr>
              <w:instrText xml:space="preserve"> PAGEREF _Toc220490489 \h </w:instrText>
            </w:r>
            <w:r>
              <w:rPr>
                <w:noProof/>
                <w:webHidden/>
              </w:rPr>
            </w:r>
            <w:r>
              <w:rPr>
                <w:noProof/>
                <w:webHidden/>
              </w:rPr>
              <w:fldChar w:fldCharType="separate"/>
            </w:r>
            <w:r>
              <w:rPr>
                <w:noProof/>
                <w:webHidden/>
              </w:rPr>
              <w:t>514</w:t>
            </w:r>
            <w:r>
              <w:rPr>
                <w:noProof/>
                <w:webHidden/>
              </w:rPr>
              <w:fldChar w:fldCharType="end"/>
            </w:r>
          </w:hyperlink>
        </w:p>
        <w:p w14:paraId="62C7723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90" w:history="1">
            <w:r w:rsidRPr="000D551A">
              <w:rPr>
                <w:rStyle w:val="Lienhypertexte"/>
                <w:noProof/>
              </w:rPr>
              <w:t>43.35.2 Revêtements de façades rigides collés – système « isolant + pierre naturelle » CCTB 01.11</w:t>
            </w:r>
            <w:r>
              <w:rPr>
                <w:noProof/>
                <w:webHidden/>
              </w:rPr>
              <w:tab/>
            </w:r>
            <w:r>
              <w:rPr>
                <w:noProof/>
                <w:webHidden/>
              </w:rPr>
              <w:fldChar w:fldCharType="begin"/>
            </w:r>
            <w:r>
              <w:rPr>
                <w:noProof/>
                <w:webHidden/>
              </w:rPr>
              <w:instrText xml:space="preserve"> PAGEREF _Toc220490490 \h </w:instrText>
            </w:r>
            <w:r>
              <w:rPr>
                <w:noProof/>
                <w:webHidden/>
              </w:rPr>
            </w:r>
            <w:r>
              <w:rPr>
                <w:noProof/>
                <w:webHidden/>
              </w:rPr>
              <w:fldChar w:fldCharType="separate"/>
            </w:r>
            <w:r>
              <w:rPr>
                <w:noProof/>
                <w:webHidden/>
              </w:rPr>
              <w:t>516</w:t>
            </w:r>
            <w:r>
              <w:rPr>
                <w:noProof/>
                <w:webHidden/>
              </w:rPr>
              <w:fldChar w:fldCharType="end"/>
            </w:r>
          </w:hyperlink>
        </w:p>
        <w:p w14:paraId="18761C6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91" w:history="1">
            <w:r w:rsidRPr="000D551A">
              <w:rPr>
                <w:rStyle w:val="Lienhypertexte"/>
                <w:noProof/>
              </w:rPr>
              <w:t>43.35.2a Revêtements de façades rigides collés – système « isolant + pierre naturelle » - préfabriqué CCTB 01.11</w:t>
            </w:r>
            <w:r>
              <w:rPr>
                <w:noProof/>
                <w:webHidden/>
              </w:rPr>
              <w:tab/>
            </w:r>
            <w:r>
              <w:rPr>
                <w:noProof/>
                <w:webHidden/>
              </w:rPr>
              <w:fldChar w:fldCharType="begin"/>
            </w:r>
            <w:r>
              <w:rPr>
                <w:noProof/>
                <w:webHidden/>
              </w:rPr>
              <w:instrText xml:space="preserve"> PAGEREF _Toc220490491 \h </w:instrText>
            </w:r>
            <w:r>
              <w:rPr>
                <w:noProof/>
                <w:webHidden/>
              </w:rPr>
            </w:r>
            <w:r>
              <w:rPr>
                <w:noProof/>
                <w:webHidden/>
              </w:rPr>
              <w:fldChar w:fldCharType="separate"/>
            </w:r>
            <w:r>
              <w:rPr>
                <w:noProof/>
                <w:webHidden/>
              </w:rPr>
              <w:t>520</w:t>
            </w:r>
            <w:r>
              <w:rPr>
                <w:noProof/>
                <w:webHidden/>
              </w:rPr>
              <w:fldChar w:fldCharType="end"/>
            </w:r>
          </w:hyperlink>
        </w:p>
        <w:p w14:paraId="062C3C2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92" w:history="1">
            <w:r w:rsidRPr="000D551A">
              <w:rPr>
                <w:rStyle w:val="Lienhypertexte"/>
                <w:noProof/>
              </w:rPr>
              <w:t>43.35.2b Revêtements de façades rigides collés – système « isolant + pierre naturelle » - assemblé sur place CCTB 01.11</w:t>
            </w:r>
            <w:r>
              <w:rPr>
                <w:noProof/>
                <w:webHidden/>
              </w:rPr>
              <w:tab/>
            </w:r>
            <w:r>
              <w:rPr>
                <w:noProof/>
                <w:webHidden/>
              </w:rPr>
              <w:fldChar w:fldCharType="begin"/>
            </w:r>
            <w:r>
              <w:rPr>
                <w:noProof/>
                <w:webHidden/>
              </w:rPr>
              <w:instrText xml:space="preserve"> PAGEREF _Toc220490492 \h </w:instrText>
            </w:r>
            <w:r>
              <w:rPr>
                <w:noProof/>
                <w:webHidden/>
              </w:rPr>
            </w:r>
            <w:r>
              <w:rPr>
                <w:noProof/>
                <w:webHidden/>
              </w:rPr>
              <w:fldChar w:fldCharType="separate"/>
            </w:r>
            <w:r>
              <w:rPr>
                <w:noProof/>
                <w:webHidden/>
              </w:rPr>
              <w:t>524</w:t>
            </w:r>
            <w:r>
              <w:rPr>
                <w:noProof/>
                <w:webHidden/>
              </w:rPr>
              <w:fldChar w:fldCharType="end"/>
            </w:r>
          </w:hyperlink>
        </w:p>
        <w:p w14:paraId="6A0CD931"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93" w:history="1">
            <w:r w:rsidRPr="000D551A">
              <w:rPr>
                <w:rStyle w:val="Lienhypertexte"/>
                <w:noProof/>
              </w:rPr>
              <w:t>43.36 Revêtements de façade rigides collés - tôles  CCTB 01.11</w:t>
            </w:r>
            <w:r>
              <w:rPr>
                <w:noProof/>
                <w:webHidden/>
              </w:rPr>
              <w:tab/>
            </w:r>
            <w:r>
              <w:rPr>
                <w:noProof/>
                <w:webHidden/>
              </w:rPr>
              <w:fldChar w:fldCharType="begin"/>
            </w:r>
            <w:r>
              <w:rPr>
                <w:noProof/>
                <w:webHidden/>
              </w:rPr>
              <w:instrText xml:space="preserve"> PAGEREF _Toc220490493 \h </w:instrText>
            </w:r>
            <w:r>
              <w:rPr>
                <w:noProof/>
                <w:webHidden/>
              </w:rPr>
            </w:r>
            <w:r>
              <w:rPr>
                <w:noProof/>
                <w:webHidden/>
              </w:rPr>
              <w:fldChar w:fldCharType="separate"/>
            </w:r>
            <w:r>
              <w:rPr>
                <w:noProof/>
                <w:webHidden/>
              </w:rPr>
              <w:t>528</w:t>
            </w:r>
            <w:r>
              <w:rPr>
                <w:noProof/>
                <w:webHidden/>
              </w:rPr>
              <w:fldChar w:fldCharType="end"/>
            </w:r>
          </w:hyperlink>
        </w:p>
        <w:p w14:paraId="09F5270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94" w:history="1">
            <w:r w:rsidRPr="000D551A">
              <w:rPr>
                <w:rStyle w:val="Lienhypertexte"/>
                <w:noProof/>
              </w:rPr>
              <w:t>43.36.1 Revêtements de façade rigides collés - tôles  CCTB 01.11</w:t>
            </w:r>
            <w:r>
              <w:rPr>
                <w:noProof/>
                <w:webHidden/>
              </w:rPr>
              <w:tab/>
            </w:r>
            <w:r>
              <w:rPr>
                <w:noProof/>
                <w:webHidden/>
              </w:rPr>
              <w:fldChar w:fldCharType="begin"/>
            </w:r>
            <w:r>
              <w:rPr>
                <w:noProof/>
                <w:webHidden/>
              </w:rPr>
              <w:instrText xml:space="preserve"> PAGEREF _Toc220490494 \h </w:instrText>
            </w:r>
            <w:r>
              <w:rPr>
                <w:noProof/>
                <w:webHidden/>
              </w:rPr>
            </w:r>
            <w:r>
              <w:rPr>
                <w:noProof/>
                <w:webHidden/>
              </w:rPr>
              <w:fldChar w:fldCharType="separate"/>
            </w:r>
            <w:r>
              <w:rPr>
                <w:noProof/>
                <w:webHidden/>
              </w:rPr>
              <w:t>528</w:t>
            </w:r>
            <w:r>
              <w:rPr>
                <w:noProof/>
                <w:webHidden/>
              </w:rPr>
              <w:fldChar w:fldCharType="end"/>
            </w:r>
          </w:hyperlink>
        </w:p>
        <w:p w14:paraId="1CE65B6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495" w:history="1">
            <w:r w:rsidRPr="000D551A">
              <w:rPr>
                <w:rStyle w:val="Lienhypertexte"/>
                <w:noProof/>
              </w:rPr>
              <w:t>43.36.1a Revêtements de façade rigides collés - tôles  CCTB 01.11</w:t>
            </w:r>
            <w:r>
              <w:rPr>
                <w:noProof/>
                <w:webHidden/>
              </w:rPr>
              <w:tab/>
            </w:r>
            <w:r>
              <w:rPr>
                <w:noProof/>
                <w:webHidden/>
              </w:rPr>
              <w:fldChar w:fldCharType="begin"/>
            </w:r>
            <w:r>
              <w:rPr>
                <w:noProof/>
                <w:webHidden/>
              </w:rPr>
              <w:instrText xml:space="preserve"> PAGEREF _Toc220490495 \h </w:instrText>
            </w:r>
            <w:r>
              <w:rPr>
                <w:noProof/>
                <w:webHidden/>
              </w:rPr>
            </w:r>
            <w:r>
              <w:rPr>
                <w:noProof/>
                <w:webHidden/>
              </w:rPr>
              <w:fldChar w:fldCharType="separate"/>
            </w:r>
            <w:r>
              <w:rPr>
                <w:noProof/>
                <w:webHidden/>
              </w:rPr>
              <w:t>528</w:t>
            </w:r>
            <w:r>
              <w:rPr>
                <w:noProof/>
                <w:webHidden/>
              </w:rPr>
              <w:fldChar w:fldCharType="end"/>
            </w:r>
          </w:hyperlink>
        </w:p>
        <w:p w14:paraId="4C4C8868"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496" w:history="1">
            <w:r w:rsidRPr="000D551A">
              <w:rPr>
                <w:rStyle w:val="Lienhypertexte"/>
                <w:noProof/>
              </w:rPr>
              <w:t>43.4 Revêtements de façade maçonnés (parement)  CCTB 01.04</w:t>
            </w:r>
            <w:r>
              <w:rPr>
                <w:noProof/>
                <w:webHidden/>
              </w:rPr>
              <w:tab/>
            </w:r>
            <w:r>
              <w:rPr>
                <w:noProof/>
                <w:webHidden/>
              </w:rPr>
              <w:fldChar w:fldCharType="begin"/>
            </w:r>
            <w:r>
              <w:rPr>
                <w:noProof/>
                <w:webHidden/>
              </w:rPr>
              <w:instrText xml:space="preserve"> PAGEREF _Toc220490496 \h </w:instrText>
            </w:r>
            <w:r>
              <w:rPr>
                <w:noProof/>
                <w:webHidden/>
              </w:rPr>
            </w:r>
            <w:r>
              <w:rPr>
                <w:noProof/>
                <w:webHidden/>
              </w:rPr>
              <w:fldChar w:fldCharType="separate"/>
            </w:r>
            <w:r>
              <w:rPr>
                <w:noProof/>
                <w:webHidden/>
              </w:rPr>
              <w:t>528</w:t>
            </w:r>
            <w:r>
              <w:rPr>
                <w:noProof/>
                <w:webHidden/>
              </w:rPr>
              <w:fldChar w:fldCharType="end"/>
            </w:r>
          </w:hyperlink>
        </w:p>
        <w:p w14:paraId="2F19D466"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497" w:history="1">
            <w:r w:rsidRPr="000D551A">
              <w:rPr>
                <w:rStyle w:val="Lienhypertexte"/>
                <w:noProof/>
              </w:rPr>
              <w:t>43.5 Enduits de façade CCTB 01.13</w:t>
            </w:r>
            <w:r>
              <w:rPr>
                <w:noProof/>
                <w:webHidden/>
              </w:rPr>
              <w:tab/>
            </w:r>
            <w:r>
              <w:rPr>
                <w:noProof/>
                <w:webHidden/>
              </w:rPr>
              <w:fldChar w:fldCharType="begin"/>
            </w:r>
            <w:r>
              <w:rPr>
                <w:noProof/>
                <w:webHidden/>
              </w:rPr>
              <w:instrText xml:space="preserve"> PAGEREF _Toc220490497 \h </w:instrText>
            </w:r>
            <w:r>
              <w:rPr>
                <w:noProof/>
                <w:webHidden/>
              </w:rPr>
            </w:r>
            <w:r>
              <w:rPr>
                <w:noProof/>
                <w:webHidden/>
              </w:rPr>
              <w:fldChar w:fldCharType="separate"/>
            </w:r>
            <w:r>
              <w:rPr>
                <w:noProof/>
                <w:webHidden/>
              </w:rPr>
              <w:t>528</w:t>
            </w:r>
            <w:r>
              <w:rPr>
                <w:noProof/>
                <w:webHidden/>
              </w:rPr>
              <w:fldChar w:fldCharType="end"/>
            </w:r>
          </w:hyperlink>
        </w:p>
        <w:p w14:paraId="0CF625FF"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498" w:history="1">
            <w:r w:rsidRPr="000D551A">
              <w:rPr>
                <w:rStyle w:val="Lienhypertexte"/>
                <w:noProof/>
              </w:rPr>
              <w:t>43.51 Préparation du support CCTB 01.04</w:t>
            </w:r>
            <w:r>
              <w:rPr>
                <w:noProof/>
                <w:webHidden/>
              </w:rPr>
              <w:tab/>
            </w:r>
            <w:r>
              <w:rPr>
                <w:noProof/>
                <w:webHidden/>
              </w:rPr>
              <w:fldChar w:fldCharType="begin"/>
            </w:r>
            <w:r>
              <w:rPr>
                <w:noProof/>
                <w:webHidden/>
              </w:rPr>
              <w:instrText xml:space="preserve"> PAGEREF _Toc220490498 \h </w:instrText>
            </w:r>
            <w:r>
              <w:rPr>
                <w:noProof/>
                <w:webHidden/>
              </w:rPr>
            </w:r>
            <w:r>
              <w:rPr>
                <w:noProof/>
                <w:webHidden/>
              </w:rPr>
              <w:fldChar w:fldCharType="separate"/>
            </w:r>
            <w:r>
              <w:rPr>
                <w:noProof/>
                <w:webHidden/>
              </w:rPr>
              <w:t>529</w:t>
            </w:r>
            <w:r>
              <w:rPr>
                <w:noProof/>
                <w:webHidden/>
              </w:rPr>
              <w:fldChar w:fldCharType="end"/>
            </w:r>
          </w:hyperlink>
        </w:p>
        <w:p w14:paraId="5A1C726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499" w:history="1">
            <w:r w:rsidRPr="000D551A">
              <w:rPr>
                <w:rStyle w:val="Lienhypertexte"/>
                <w:noProof/>
              </w:rPr>
              <w:t>43.51.1 Traitements de surfaces préalables</w:t>
            </w:r>
            <w:r>
              <w:rPr>
                <w:noProof/>
                <w:webHidden/>
              </w:rPr>
              <w:tab/>
            </w:r>
            <w:r>
              <w:rPr>
                <w:noProof/>
                <w:webHidden/>
              </w:rPr>
              <w:fldChar w:fldCharType="begin"/>
            </w:r>
            <w:r>
              <w:rPr>
                <w:noProof/>
                <w:webHidden/>
              </w:rPr>
              <w:instrText xml:space="preserve"> PAGEREF _Toc220490499 \h </w:instrText>
            </w:r>
            <w:r>
              <w:rPr>
                <w:noProof/>
                <w:webHidden/>
              </w:rPr>
            </w:r>
            <w:r>
              <w:rPr>
                <w:noProof/>
                <w:webHidden/>
              </w:rPr>
              <w:fldChar w:fldCharType="separate"/>
            </w:r>
            <w:r>
              <w:rPr>
                <w:noProof/>
                <w:webHidden/>
              </w:rPr>
              <w:t>529</w:t>
            </w:r>
            <w:r>
              <w:rPr>
                <w:noProof/>
                <w:webHidden/>
              </w:rPr>
              <w:fldChar w:fldCharType="end"/>
            </w:r>
          </w:hyperlink>
        </w:p>
        <w:p w14:paraId="105E30F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00" w:history="1">
            <w:r w:rsidRPr="000D551A">
              <w:rPr>
                <w:rStyle w:val="Lienhypertexte"/>
                <w:noProof/>
              </w:rPr>
              <w:t>43.51.1a Couche d'accrochage et d'imprégnation pour support particulier pour enduits de façade CCTB 01.04</w:t>
            </w:r>
            <w:r>
              <w:rPr>
                <w:noProof/>
                <w:webHidden/>
              </w:rPr>
              <w:tab/>
            </w:r>
            <w:r>
              <w:rPr>
                <w:noProof/>
                <w:webHidden/>
              </w:rPr>
              <w:fldChar w:fldCharType="begin"/>
            </w:r>
            <w:r>
              <w:rPr>
                <w:noProof/>
                <w:webHidden/>
              </w:rPr>
              <w:instrText xml:space="preserve"> PAGEREF _Toc220490500 \h </w:instrText>
            </w:r>
            <w:r>
              <w:rPr>
                <w:noProof/>
                <w:webHidden/>
              </w:rPr>
            </w:r>
            <w:r>
              <w:rPr>
                <w:noProof/>
                <w:webHidden/>
              </w:rPr>
              <w:fldChar w:fldCharType="separate"/>
            </w:r>
            <w:r>
              <w:rPr>
                <w:noProof/>
                <w:webHidden/>
              </w:rPr>
              <w:t>529</w:t>
            </w:r>
            <w:r>
              <w:rPr>
                <w:noProof/>
                <w:webHidden/>
              </w:rPr>
              <w:fldChar w:fldCharType="end"/>
            </w:r>
          </w:hyperlink>
        </w:p>
        <w:p w14:paraId="088A23A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01" w:history="1">
            <w:r w:rsidRPr="000D551A">
              <w:rPr>
                <w:rStyle w:val="Lienhypertexte"/>
                <w:noProof/>
              </w:rPr>
              <w:t>43.51.1b Enduit d'égalisation ou de fond pour enduits de façade CCTB 01.04</w:t>
            </w:r>
            <w:r>
              <w:rPr>
                <w:noProof/>
                <w:webHidden/>
              </w:rPr>
              <w:tab/>
            </w:r>
            <w:r>
              <w:rPr>
                <w:noProof/>
                <w:webHidden/>
              </w:rPr>
              <w:fldChar w:fldCharType="begin"/>
            </w:r>
            <w:r>
              <w:rPr>
                <w:noProof/>
                <w:webHidden/>
              </w:rPr>
              <w:instrText xml:space="preserve"> PAGEREF _Toc220490501 \h </w:instrText>
            </w:r>
            <w:r>
              <w:rPr>
                <w:noProof/>
                <w:webHidden/>
              </w:rPr>
            </w:r>
            <w:r>
              <w:rPr>
                <w:noProof/>
                <w:webHidden/>
              </w:rPr>
              <w:fldChar w:fldCharType="separate"/>
            </w:r>
            <w:r>
              <w:rPr>
                <w:noProof/>
                <w:webHidden/>
              </w:rPr>
              <w:t>529</w:t>
            </w:r>
            <w:r>
              <w:rPr>
                <w:noProof/>
                <w:webHidden/>
              </w:rPr>
              <w:fldChar w:fldCharType="end"/>
            </w:r>
          </w:hyperlink>
        </w:p>
        <w:p w14:paraId="36861A3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02" w:history="1">
            <w:r w:rsidRPr="000D551A">
              <w:rPr>
                <w:rStyle w:val="Lienhypertexte"/>
                <w:noProof/>
              </w:rPr>
              <w:t>43.51.2 Accessoires rigides de support</w:t>
            </w:r>
            <w:r>
              <w:rPr>
                <w:noProof/>
                <w:webHidden/>
              </w:rPr>
              <w:tab/>
            </w:r>
            <w:r>
              <w:rPr>
                <w:noProof/>
                <w:webHidden/>
              </w:rPr>
              <w:fldChar w:fldCharType="begin"/>
            </w:r>
            <w:r>
              <w:rPr>
                <w:noProof/>
                <w:webHidden/>
              </w:rPr>
              <w:instrText xml:space="preserve"> PAGEREF _Toc220490502 \h </w:instrText>
            </w:r>
            <w:r>
              <w:rPr>
                <w:noProof/>
                <w:webHidden/>
              </w:rPr>
            </w:r>
            <w:r>
              <w:rPr>
                <w:noProof/>
                <w:webHidden/>
              </w:rPr>
              <w:fldChar w:fldCharType="separate"/>
            </w:r>
            <w:r>
              <w:rPr>
                <w:noProof/>
                <w:webHidden/>
              </w:rPr>
              <w:t>529</w:t>
            </w:r>
            <w:r>
              <w:rPr>
                <w:noProof/>
                <w:webHidden/>
              </w:rPr>
              <w:fldChar w:fldCharType="end"/>
            </w:r>
          </w:hyperlink>
        </w:p>
        <w:p w14:paraId="51A9002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03" w:history="1">
            <w:r w:rsidRPr="000D551A">
              <w:rPr>
                <w:rStyle w:val="Lienhypertexte"/>
                <w:noProof/>
              </w:rPr>
              <w:t>43.51.2a Cassettes pour enduits de façades</w:t>
            </w:r>
            <w:r>
              <w:rPr>
                <w:noProof/>
                <w:webHidden/>
              </w:rPr>
              <w:tab/>
            </w:r>
            <w:r>
              <w:rPr>
                <w:noProof/>
                <w:webHidden/>
              </w:rPr>
              <w:fldChar w:fldCharType="begin"/>
            </w:r>
            <w:r>
              <w:rPr>
                <w:noProof/>
                <w:webHidden/>
              </w:rPr>
              <w:instrText xml:space="preserve"> PAGEREF _Toc220490503 \h </w:instrText>
            </w:r>
            <w:r>
              <w:rPr>
                <w:noProof/>
                <w:webHidden/>
              </w:rPr>
            </w:r>
            <w:r>
              <w:rPr>
                <w:noProof/>
                <w:webHidden/>
              </w:rPr>
              <w:fldChar w:fldCharType="separate"/>
            </w:r>
            <w:r>
              <w:rPr>
                <w:noProof/>
                <w:webHidden/>
              </w:rPr>
              <w:t>529</w:t>
            </w:r>
            <w:r>
              <w:rPr>
                <w:noProof/>
                <w:webHidden/>
              </w:rPr>
              <w:fldChar w:fldCharType="end"/>
            </w:r>
          </w:hyperlink>
        </w:p>
        <w:p w14:paraId="5B76E2C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04" w:history="1">
            <w:r w:rsidRPr="000D551A">
              <w:rPr>
                <w:rStyle w:val="Lienhypertexte"/>
                <w:noProof/>
              </w:rPr>
              <w:t>43.51.2b Gaines pour enduits de façades</w:t>
            </w:r>
            <w:r>
              <w:rPr>
                <w:noProof/>
                <w:webHidden/>
              </w:rPr>
              <w:tab/>
            </w:r>
            <w:r>
              <w:rPr>
                <w:noProof/>
                <w:webHidden/>
              </w:rPr>
              <w:fldChar w:fldCharType="begin"/>
            </w:r>
            <w:r>
              <w:rPr>
                <w:noProof/>
                <w:webHidden/>
              </w:rPr>
              <w:instrText xml:space="preserve"> PAGEREF _Toc220490504 \h </w:instrText>
            </w:r>
            <w:r>
              <w:rPr>
                <w:noProof/>
                <w:webHidden/>
              </w:rPr>
            </w:r>
            <w:r>
              <w:rPr>
                <w:noProof/>
                <w:webHidden/>
              </w:rPr>
              <w:fldChar w:fldCharType="separate"/>
            </w:r>
            <w:r>
              <w:rPr>
                <w:noProof/>
                <w:webHidden/>
              </w:rPr>
              <w:t>529</w:t>
            </w:r>
            <w:r>
              <w:rPr>
                <w:noProof/>
                <w:webHidden/>
              </w:rPr>
              <w:fldChar w:fldCharType="end"/>
            </w:r>
          </w:hyperlink>
        </w:p>
        <w:p w14:paraId="7AE5EE1C"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05" w:history="1">
            <w:r w:rsidRPr="000D551A">
              <w:rPr>
                <w:rStyle w:val="Lienhypertexte"/>
                <w:noProof/>
              </w:rPr>
              <w:t>43.52 Systèmes d'enduits sur supports non isolants neufs ou anciens CCTB 01.13</w:t>
            </w:r>
            <w:r>
              <w:rPr>
                <w:noProof/>
                <w:webHidden/>
              </w:rPr>
              <w:tab/>
            </w:r>
            <w:r>
              <w:rPr>
                <w:noProof/>
                <w:webHidden/>
              </w:rPr>
              <w:fldChar w:fldCharType="begin"/>
            </w:r>
            <w:r>
              <w:rPr>
                <w:noProof/>
                <w:webHidden/>
              </w:rPr>
              <w:instrText xml:space="preserve"> PAGEREF _Toc220490505 \h </w:instrText>
            </w:r>
            <w:r>
              <w:rPr>
                <w:noProof/>
                <w:webHidden/>
              </w:rPr>
            </w:r>
            <w:r>
              <w:rPr>
                <w:noProof/>
                <w:webHidden/>
              </w:rPr>
              <w:fldChar w:fldCharType="separate"/>
            </w:r>
            <w:r>
              <w:rPr>
                <w:noProof/>
                <w:webHidden/>
              </w:rPr>
              <w:t>530</w:t>
            </w:r>
            <w:r>
              <w:rPr>
                <w:noProof/>
                <w:webHidden/>
              </w:rPr>
              <w:fldChar w:fldCharType="end"/>
            </w:r>
          </w:hyperlink>
        </w:p>
        <w:p w14:paraId="61ECACD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06" w:history="1">
            <w:r w:rsidRPr="000D551A">
              <w:rPr>
                <w:rStyle w:val="Lienhypertexte"/>
                <w:noProof/>
              </w:rPr>
              <w:t>43.52.1 Systèmes d'enduits à base de mortier à liant minéral sur supports non isolants CCTB 01.13</w:t>
            </w:r>
            <w:r>
              <w:rPr>
                <w:noProof/>
                <w:webHidden/>
              </w:rPr>
              <w:tab/>
            </w:r>
            <w:r>
              <w:rPr>
                <w:noProof/>
                <w:webHidden/>
              </w:rPr>
              <w:fldChar w:fldCharType="begin"/>
            </w:r>
            <w:r>
              <w:rPr>
                <w:noProof/>
                <w:webHidden/>
              </w:rPr>
              <w:instrText xml:space="preserve"> PAGEREF _Toc220490506 \h </w:instrText>
            </w:r>
            <w:r>
              <w:rPr>
                <w:noProof/>
                <w:webHidden/>
              </w:rPr>
            </w:r>
            <w:r>
              <w:rPr>
                <w:noProof/>
                <w:webHidden/>
              </w:rPr>
              <w:fldChar w:fldCharType="separate"/>
            </w:r>
            <w:r>
              <w:rPr>
                <w:noProof/>
                <w:webHidden/>
              </w:rPr>
              <w:t>531</w:t>
            </w:r>
            <w:r>
              <w:rPr>
                <w:noProof/>
                <w:webHidden/>
              </w:rPr>
              <w:fldChar w:fldCharType="end"/>
            </w:r>
          </w:hyperlink>
        </w:p>
        <w:p w14:paraId="4FB0B4D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07" w:history="1">
            <w:r w:rsidRPr="000D551A">
              <w:rPr>
                <w:rStyle w:val="Lienhypertexte"/>
                <w:noProof/>
              </w:rPr>
              <w:t>43.52.1a Systèmes d'enduits de façades décoratifs à base de mortier à liant minéral sur supports non isolants</w:t>
            </w:r>
            <w:r>
              <w:rPr>
                <w:noProof/>
                <w:webHidden/>
              </w:rPr>
              <w:tab/>
            </w:r>
            <w:r>
              <w:rPr>
                <w:noProof/>
                <w:webHidden/>
              </w:rPr>
              <w:fldChar w:fldCharType="begin"/>
            </w:r>
            <w:r>
              <w:rPr>
                <w:noProof/>
                <w:webHidden/>
              </w:rPr>
              <w:instrText xml:space="preserve"> PAGEREF _Toc220490507 \h </w:instrText>
            </w:r>
            <w:r>
              <w:rPr>
                <w:noProof/>
                <w:webHidden/>
              </w:rPr>
            </w:r>
            <w:r>
              <w:rPr>
                <w:noProof/>
                <w:webHidden/>
              </w:rPr>
              <w:fldChar w:fldCharType="separate"/>
            </w:r>
            <w:r>
              <w:rPr>
                <w:noProof/>
                <w:webHidden/>
              </w:rPr>
              <w:t>532</w:t>
            </w:r>
            <w:r>
              <w:rPr>
                <w:noProof/>
                <w:webHidden/>
              </w:rPr>
              <w:fldChar w:fldCharType="end"/>
            </w:r>
          </w:hyperlink>
        </w:p>
        <w:p w14:paraId="4917518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08" w:history="1">
            <w:r w:rsidRPr="000D551A">
              <w:rPr>
                <w:rStyle w:val="Lienhypertexte"/>
                <w:noProof/>
              </w:rPr>
              <w:t>43.52.1b Systèmes d'enduits d'isolation thermique (T) de façades à base de mortier à liant minéral sur supports non isolants CCTB 01.11</w:t>
            </w:r>
            <w:r>
              <w:rPr>
                <w:noProof/>
                <w:webHidden/>
              </w:rPr>
              <w:tab/>
            </w:r>
            <w:r>
              <w:rPr>
                <w:noProof/>
                <w:webHidden/>
              </w:rPr>
              <w:fldChar w:fldCharType="begin"/>
            </w:r>
            <w:r>
              <w:rPr>
                <w:noProof/>
                <w:webHidden/>
              </w:rPr>
              <w:instrText xml:space="preserve"> PAGEREF _Toc220490508 \h </w:instrText>
            </w:r>
            <w:r>
              <w:rPr>
                <w:noProof/>
                <w:webHidden/>
              </w:rPr>
            </w:r>
            <w:r>
              <w:rPr>
                <w:noProof/>
                <w:webHidden/>
              </w:rPr>
              <w:fldChar w:fldCharType="separate"/>
            </w:r>
            <w:r>
              <w:rPr>
                <w:noProof/>
                <w:webHidden/>
              </w:rPr>
              <w:t>532</w:t>
            </w:r>
            <w:r>
              <w:rPr>
                <w:noProof/>
                <w:webHidden/>
              </w:rPr>
              <w:fldChar w:fldCharType="end"/>
            </w:r>
          </w:hyperlink>
        </w:p>
        <w:p w14:paraId="1EA0BB8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09" w:history="1">
            <w:r w:rsidRPr="000D551A">
              <w:rPr>
                <w:rStyle w:val="Lienhypertexte"/>
                <w:noProof/>
              </w:rPr>
              <w:t>43.52.1c Systèmes d'enduits d'imperméabilisation de façades à base de mortier à liant minéral sur supports non isolants CCTB 01.02</w:t>
            </w:r>
            <w:r>
              <w:rPr>
                <w:noProof/>
                <w:webHidden/>
              </w:rPr>
              <w:tab/>
            </w:r>
            <w:r>
              <w:rPr>
                <w:noProof/>
                <w:webHidden/>
              </w:rPr>
              <w:fldChar w:fldCharType="begin"/>
            </w:r>
            <w:r>
              <w:rPr>
                <w:noProof/>
                <w:webHidden/>
              </w:rPr>
              <w:instrText xml:space="preserve"> PAGEREF _Toc220490509 \h </w:instrText>
            </w:r>
            <w:r>
              <w:rPr>
                <w:noProof/>
                <w:webHidden/>
              </w:rPr>
            </w:r>
            <w:r>
              <w:rPr>
                <w:noProof/>
                <w:webHidden/>
              </w:rPr>
              <w:fldChar w:fldCharType="separate"/>
            </w:r>
            <w:r>
              <w:rPr>
                <w:noProof/>
                <w:webHidden/>
              </w:rPr>
              <w:t>533</w:t>
            </w:r>
            <w:r>
              <w:rPr>
                <w:noProof/>
                <w:webHidden/>
              </w:rPr>
              <w:fldChar w:fldCharType="end"/>
            </w:r>
          </w:hyperlink>
        </w:p>
        <w:p w14:paraId="17472F6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10" w:history="1">
            <w:r w:rsidRPr="000D551A">
              <w:rPr>
                <w:rStyle w:val="Lienhypertexte"/>
                <w:noProof/>
              </w:rPr>
              <w:t>43.52.2 Systèmes d'enduits à base de mortier à liant organique (synthétique) sur supports non isolants CCTB 01.13</w:t>
            </w:r>
            <w:r>
              <w:rPr>
                <w:noProof/>
                <w:webHidden/>
              </w:rPr>
              <w:tab/>
            </w:r>
            <w:r>
              <w:rPr>
                <w:noProof/>
                <w:webHidden/>
              </w:rPr>
              <w:fldChar w:fldCharType="begin"/>
            </w:r>
            <w:r>
              <w:rPr>
                <w:noProof/>
                <w:webHidden/>
              </w:rPr>
              <w:instrText xml:space="preserve"> PAGEREF _Toc220490510 \h </w:instrText>
            </w:r>
            <w:r>
              <w:rPr>
                <w:noProof/>
                <w:webHidden/>
              </w:rPr>
            </w:r>
            <w:r>
              <w:rPr>
                <w:noProof/>
                <w:webHidden/>
              </w:rPr>
              <w:fldChar w:fldCharType="separate"/>
            </w:r>
            <w:r>
              <w:rPr>
                <w:noProof/>
                <w:webHidden/>
              </w:rPr>
              <w:t>533</w:t>
            </w:r>
            <w:r>
              <w:rPr>
                <w:noProof/>
                <w:webHidden/>
              </w:rPr>
              <w:fldChar w:fldCharType="end"/>
            </w:r>
          </w:hyperlink>
        </w:p>
        <w:p w14:paraId="20F2DBA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11" w:history="1">
            <w:r w:rsidRPr="000D551A">
              <w:rPr>
                <w:rStyle w:val="Lienhypertexte"/>
                <w:noProof/>
              </w:rPr>
              <w:t>43.52.2a Systèmes d'enduits de façades décoratifs à base de mortier à liant organique sur supports non isolants</w:t>
            </w:r>
            <w:r>
              <w:rPr>
                <w:noProof/>
                <w:webHidden/>
              </w:rPr>
              <w:tab/>
            </w:r>
            <w:r>
              <w:rPr>
                <w:noProof/>
                <w:webHidden/>
              </w:rPr>
              <w:fldChar w:fldCharType="begin"/>
            </w:r>
            <w:r>
              <w:rPr>
                <w:noProof/>
                <w:webHidden/>
              </w:rPr>
              <w:instrText xml:space="preserve"> PAGEREF _Toc220490511 \h </w:instrText>
            </w:r>
            <w:r>
              <w:rPr>
                <w:noProof/>
                <w:webHidden/>
              </w:rPr>
            </w:r>
            <w:r>
              <w:rPr>
                <w:noProof/>
                <w:webHidden/>
              </w:rPr>
              <w:fldChar w:fldCharType="separate"/>
            </w:r>
            <w:r>
              <w:rPr>
                <w:noProof/>
                <w:webHidden/>
              </w:rPr>
              <w:t>533</w:t>
            </w:r>
            <w:r>
              <w:rPr>
                <w:noProof/>
                <w:webHidden/>
              </w:rPr>
              <w:fldChar w:fldCharType="end"/>
            </w:r>
          </w:hyperlink>
        </w:p>
        <w:p w14:paraId="1FE0C5C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12" w:history="1">
            <w:r w:rsidRPr="000D551A">
              <w:rPr>
                <w:rStyle w:val="Lienhypertexte"/>
                <w:noProof/>
              </w:rPr>
              <w:t>43.52.2b Systèmes d'enduits d'isolation thermique (T) de façades à base de mortier à liant organique sur supports non isolants CCTB 01.11</w:t>
            </w:r>
            <w:r>
              <w:rPr>
                <w:noProof/>
                <w:webHidden/>
              </w:rPr>
              <w:tab/>
            </w:r>
            <w:r>
              <w:rPr>
                <w:noProof/>
                <w:webHidden/>
              </w:rPr>
              <w:fldChar w:fldCharType="begin"/>
            </w:r>
            <w:r>
              <w:rPr>
                <w:noProof/>
                <w:webHidden/>
              </w:rPr>
              <w:instrText xml:space="preserve"> PAGEREF _Toc220490512 \h </w:instrText>
            </w:r>
            <w:r>
              <w:rPr>
                <w:noProof/>
                <w:webHidden/>
              </w:rPr>
            </w:r>
            <w:r>
              <w:rPr>
                <w:noProof/>
                <w:webHidden/>
              </w:rPr>
              <w:fldChar w:fldCharType="separate"/>
            </w:r>
            <w:r>
              <w:rPr>
                <w:noProof/>
                <w:webHidden/>
              </w:rPr>
              <w:t>533</w:t>
            </w:r>
            <w:r>
              <w:rPr>
                <w:noProof/>
                <w:webHidden/>
              </w:rPr>
              <w:fldChar w:fldCharType="end"/>
            </w:r>
          </w:hyperlink>
        </w:p>
        <w:p w14:paraId="0D10E4D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13" w:history="1">
            <w:r w:rsidRPr="000D551A">
              <w:rPr>
                <w:rStyle w:val="Lienhypertexte"/>
                <w:noProof/>
              </w:rPr>
              <w:t>43.52.2c Systèmes d'enduits d'imperméabilisation de façades à base de mortier à liant organique sur supports non isolants CCTB 01.02</w:t>
            </w:r>
            <w:r>
              <w:rPr>
                <w:noProof/>
                <w:webHidden/>
              </w:rPr>
              <w:tab/>
            </w:r>
            <w:r>
              <w:rPr>
                <w:noProof/>
                <w:webHidden/>
              </w:rPr>
              <w:fldChar w:fldCharType="begin"/>
            </w:r>
            <w:r>
              <w:rPr>
                <w:noProof/>
                <w:webHidden/>
              </w:rPr>
              <w:instrText xml:space="preserve"> PAGEREF _Toc220490513 \h </w:instrText>
            </w:r>
            <w:r>
              <w:rPr>
                <w:noProof/>
                <w:webHidden/>
              </w:rPr>
            </w:r>
            <w:r>
              <w:rPr>
                <w:noProof/>
                <w:webHidden/>
              </w:rPr>
              <w:fldChar w:fldCharType="separate"/>
            </w:r>
            <w:r>
              <w:rPr>
                <w:noProof/>
                <w:webHidden/>
              </w:rPr>
              <w:t>534</w:t>
            </w:r>
            <w:r>
              <w:rPr>
                <w:noProof/>
                <w:webHidden/>
              </w:rPr>
              <w:fldChar w:fldCharType="end"/>
            </w:r>
          </w:hyperlink>
        </w:p>
        <w:p w14:paraId="5C273197"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14" w:history="1">
            <w:r w:rsidRPr="000D551A">
              <w:rPr>
                <w:rStyle w:val="Lienhypertexte"/>
                <w:noProof/>
              </w:rPr>
              <w:t>43.53 Systèmes d'enduits sur panneaux isolants CCTB 01.13</w:t>
            </w:r>
            <w:r>
              <w:rPr>
                <w:noProof/>
                <w:webHidden/>
              </w:rPr>
              <w:tab/>
            </w:r>
            <w:r>
              <w:rPr>
                <w:noProof/>
                <w:webHidden/>
              </w:rPr>
              <w:fldChar w:fldCharType="begin"/>
            </w:r>
            <w:r>
              <w:rPr>
                <w:noProof/>
                <w:webHidden/>
              </w:rPr>
              <w:instrText xml:space="preserve"> PAGEREF _Toc220490514 \h </w:instrText>
            </w:r>
            <w:r>
              <w:rPr>
                <w:noProof/>
                <w:webHidden/>
              </w:rPr>
            </w:r>
            <w:r>
              <w:rPr>
                <w:noProof/>
                <w:webHidden/>
              </w:rPr>
              <w:fldChar w:fldCharType="separate"/>
            </w:r>
            <w:r>
              <w:rPr>
                <w:noProof/>
                <w:webHidden/>
              </w:rPr>
              <w:t>534</w:t>
            </w:r>
            <w:r>
              <w:rPr>
                <w:noProof/>
                <w:webHidden/>
              </w:rPr>
              <w:fldChar w:fldCharType="end"/>
            </w:r>
          </w:hyperlink>
        </w:p>
        <w:p w14:paraId="66A65DD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15" w:history="1">
            <w:r w:rsidRPr="000D551A">
              <w:rPr>
                <w:rStyle w:val="Lienhypertexte"/>
                <w:noProof/>
              </w:rPr>
              <w:t>43.53.1 Systèmes d'enduits à base de mortier à liant minéral sur panneaux isolants CCTB 01.04</w:t>
            </w:r>
            <w:r>
              <w:rPr>
                <w:noProof/>
                <w:webHidden/>
              </w:rPr>
              <w:tab/>
            </w:r>
            <w:r>
              <w:rPr>
                <w:noProof/>
                <w:webHidden/>
              </w:rPr>
              <w:fldChar w:fldCharType="begin"/>
            </w:r>
            <w:r>
              <w:rPr>
                <w:noProof/>
                <w:webHidden/>
              </w:rPr>
              <w:instrText xml:space="preserve"> PAGEREF _Toc220490515 \h </w:instrText>
            </w:r>
            <w:r>
              <w:rPr>
                <w:noProof/>
                <w:webHidden/>
              </w:rPr>
            </w:r>
            <w:r>
              <w:rPr>
                <w:noProof/>
                <w:webHidden/>
              </w:rPr>
              <w:fldChar w:fldCharType="separate"/>
            </w:r>
            <w:r>
              <w:rPr>
                <w:noProof/>
                <w:webHidden/>
              </w:rPr>
              <w:t>538</w:t>
            </w:r>
            <w:r>
              <w:rPr>
                <w:noProof/>
                <w:webHidden/>
              </w:rPr>
              <w:fldChar w:fldCharType="end"/>
            </w:r>
          </w:hyperlink>
        </w:p>
        <w:p w14:paraId="176C230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16" w:history="1">
            <w:r w:rsidRPr="000D551A">
              <w:rPr>
                <w:rStyle w:val="Lienhypertexte"/>
                <w:noProof/>
              </w:rPr>
              <w:t>43.53.1a Systèmes d'enduits de façades à base de mortier à liant minéral sur panneaux en polystyrène expansé (EPS) / extrudé (XPS) CCTB 01.11</w:t>
            </w:r>
            <w:r>
              <w:rPr>
                <w:noProof/>
                <w:webHidden/>
              </w:rPr>
              <w:tab/>
            </w:r>
            <w:r>
              <w:rPr>
                <w:noProof/>
                <w:webHidden/>
              </w:rPr>
              <w:fldChar w:fldCharType="begin"/>
            </w:r>
            <w:r>
              <w:rPr>
                <w:noProof/>
                <w:webHidden/>
              </w:rPr>
              <w:instrText xml:space="preserve"> PAGEREF _Toc220490516 \h </w:instrText>
            </w:r>
            <w:r>
              <w:rPr>
                <w:noProof/>
                <w:webHidden/>
              </w:rPr>
            </w:r>
            <w:r>
              <w:rPr>
                <w:noProof/>
                <w:webHidden/>
              </w:rPr>
              <w:fldChar w:fldCharType="separate"/>
            </w:r>
            <w:r>
              <w:rPr>
                <w:noProof/>
                <w:webHidden/>
              </w:rPr>
              <w:t>539</w:t>
            </w:r>
            <w:r>
              <w:rPr>
                <w:noProof/>
                <w:webHidden/>
              </w:rPr>
              <w:fldChar w:fldCharType="end"/>
            </w:r>
          </w:hyperlink>
        </w:p>
        <w:p w14:paraId="2A89B14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17" w:history="1">
            <w:r w:rsidRPr="000D551A">
              <w:rPr>
                <w:rStyle w:val="Lienhypertexte"/>
                <w:noProof/>
              </w:rPr>
              <w:t>43.53.1b Systèmes d'enduits de façades à base de mortier à liant minéral sur panneaux en polyuréthane (PUR) CCTB 01.10</w:t>
            </w:r>
            <w:r>
              <w:rPr>
                <w:noProof/>
                <w:webHidden/>
              </w:rPr>
              <w:tab/>
            </w:r>
            <w:r>
              <w:rPr>
                <w:noProof/>
                <w:webHidden/>
              </w:rPr>
              <w:fldChar w:fldCharType="begin"/>
            </w:r>
            <w:r>
              <w:rPr>
                <w:noProof/>
                <w:webHidden/>
              </w:rPr>
              <w:instrText xml:space="preserve"> PAGEREF _Toc220490517 \h </w:instrText>
            </w:r>
            <w:r>
              <w:rPr>
                <w:noProof/>
                <w:webHidden/>
              </w:rPr>
            </w:r>
            <w:r>
              <w:rPr>
                <w:noProof/>
                <w:webHidden/>
              </w:rPr>
              <w:fldChar w:fldCharType="separate"/>
            </w:r>
            <w:r>
              <w:rPr>
                <w:noProof/>
                <w:webHidden/>
              </w:rPr>
              <w:t>541</w:t>
            </w:r>
            <w:r>
              <w:rPr>
                <w:noProof/>
                <w:webHidden/>
              </w:rPr>
              <w:fldChar w:fldCharType="end"/>
            </w:r>
          </w:hyperlink>
        </w:p>
        <w:p w14:paraId="7F626E1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18" w:history="1">
            <w:r w:rsidRPr="000D551A">
              <w:rPr>
                <w:rStyle w:val="Lienhypertexte"/>
                <w:noProof/>
              </w:rPr>
              <w:t>43.53.1c Systèmes d'enduits de façades à base de mortier à liant minéral sur panneaux en résine phénolique</w:t>
            </w:r>
            <w:r>
              <w:rPr>
                <w:noProof/>
                <w:webHidden/>
              </w:rPr>
              <w:tab/>
            </w:r>
            <w:r>
              <w:rPr>
                <w:noProof/>
                <w:webHidden/>
              </w:rPr>
              <w:fldChar w:fldCharType="begin"/>
            </w:r>
            <w:r>
              <w:rPr>
                <w:noProof/>
                <w:webHidden/>
              </w:rPr>
              <w:instrText xml:space="preserve"> PAGEREF _Toc220490518 \h </w:instrText>
            </w:r>
            <w:r>
              <w:rPr>
                <w:noProof/>
                <w:webHidden/>
              </w:rPr>
            </w:r>
            <w:r>
              <w:rPr>
                <w:noProof/>
                <w:webHidden/>
              </w:rPr>
              <w:fldChar w:fldCharType="separate"/>
            </w:r>
            <w:r>
              <w:rPr>
                <w:noProof/>
                <w:webHidden/>
              </w:rPr>
              <w:t>542</w:t>
            </w:r>
            <w:r>
              <w:rPr>
                <w:noProof/>
                <w:webHidden/>
              </w:rPr>
              <w:fldChar w:fldCharType="end"/>
            </w:r>
          </w:hyperlink>
        </w:p>
        <w:p w14:paraId="7E267A3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19" w:history="1">
            <w:r w:rsidRPr="000D551A">
              <w:rPr>
                <w:rStyle w:val="Lienhypertexte"/>
                <w:noProof/>
              </w:rPr>
              <w:t>43.53.1d Systèmes d'enduits de façades à base de mortier à liant minéral sur panneaux en laine minérale (MW) CCTB 01.11</w:t>
            </w:r>
            <w:r>
              <w:rPr>
                <w:noProof/>
                <w:webHidden/>
              </w:rPr>
              <w:tab/>
            </w:r>
            <w:r>
              <w:rPr>
                <w:noProof/>
                <w:webHidden/>
              </w:rPr>
              <w:fldChar w:fldCharType="begin"/>
            </w:r>
            <w:r>
              <w:rPr>
                <w:noProof/>
                <w:webHidden/>
              </w:rPr>
              <w:instrText xml:space="preserve"> PAGEREF _Toc220490519 \h </w:instrText>
            </w:r>
            <w:r>
              <w:rPr>
                <w:noProof/>
                <w:webHidden/>
              </w:rPr>
            </w:r>
            <w:r>
              <w:rPr>
                <w:noProof/>
                <w:webHidden/>
              </w:rPr>
              <w:fldChar w:fldCharType="separate"/>
            </w:r>
            <w:r>
              <w:rPr>
                <w:noProof/>
                <w:webHidden/>
              </w:rPr>
              <w:t>542</w:t>
            </w:r>
            <w:r>
              <w:rPr>
                <w:noProof/>
                <w:webHidden/>
              </w:rPr>
              <w:fldChar w:fldCharType="end"/>
            </w:r>
          </w:hyperlink>
        </w:p>
        <w:p w14:paraId="252C692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20" w:history="1">
            <w:r w:rsidRPr="000D551A">
              <w:rPr>
                <w:rStyle w:val="Lienhypertexte"/>
                <w:noProof/>
              </w:rPr>
              <w:t>43.53.1e Systèmes d'enduits de façades à base de mortier à liant minéral sur panneaux en verre cellulaire (CG) CCTB 01.02</w:t>
            </w:r>
            <w:r>
              <w:rPr>
                <w:noProof/>
                <w:webHidden/>
              </w:rPr>
              <w:tab/>
            </w:r>
            <w:r>
              <w:rPr>
                <w:noProof/>
                <w:webHidden/>
              </w:rPr>
              <w:fldChar w:fldCharType="begin"/>
            </w:r>
            <w:r>
              <w:rPr>
                <w:noProof/>
                <w:webHidden/>
              </w:rPr>
              <w:instrText xml:space="preserve"> PAGEREF _Toc220490520 \h </w:instrText>
            </w:r>
            <w:r>
              <w:rPr>
                <w:noProof/>
                <w:webHidden/>
              </w:rPr>
            </w:r>
            <w:r>
              <w:rPr>
                <w:noProof/>
                <w:webHidden/>
              </w:rPr>
              <w:fldChar w:fldCharType="separate"/>
            </w:r>
            <w:r>
              <w:rPr>
                <w:noProof/>
                <w:webHidden/>
              </w:rPr>
              <w:t>544</w:t>
            </w:r>
            <w:r>
              <w:rPr>
                <w:noProof/>
                <w:webHidden/>
              </w:rPr>
              <w:fldChar w:fldCharType="end"/>
            </w:r>
          </w:hyperlink>
        </w:p>
        <w:p w14:paraId="33CBB64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21" w:history="1">
            <w:r w:rsidRPr="000D551A">
              <w:rPr>
                <w:rStyle w:val="Lienhypertexte"/>
                <w:noProof/>
              </w:rPr>
              <w:t>43.53.1f Systèmes d'enduits de façades à base de mortier à liant minéral sur panneaux en fibres de bois (WF) CCTB 01.11</w:t>
            </w:r>
            <w:r>
              <w:rPr>
                <w:noProof/>
                <w:webHidden/>
              </w:rPr>
              <w:tab/>
            </w:r>
            <w:r>
              <w:rPr>
                <w:noProof/>
                <w:webHidden/>
              </w:rPr>
              <w:fldChar w:fldCharType="begin"/>
            </w:r>
            <w:r>
              <w:rPr>
                <w:noProof/>
                <w:webHidden/>
              </w:rPr>
              <w:instrText xml:space="preserve"> PAGEREF _Toc220490521 \h </w:instrText>
            </w:r>
            <w:r>
              <w:rPr>
                <w:noProof/>
                <w:webHidden/>
              </w:rPr>
            </w:r>
            <w:r>
              <w:rPr>
                <w:noProof/>
                <w:webHidden/>
              </w:rPr>
              <w:fldChar w:fldCharType="separate"/>
            </w:r>
            <w:r>
              <w:rPr>
                <w:noProof/>
                <w:webHidden/>
              </w:rPr>
              <w:t>544</w:t>
            </w:r>
            <w:r>
              <w:rPr>
                <w:noProof/>
                <w:webHidden/>
              </w:rPr>
              <w:fldChar w:fldCharType="end"/>
            </w:r>
          </w:hyperlink>
        </w:p>
        <w:p w14:paraId="291D380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22" w:history="1">
            <w:r w:rsidRPr="000D551A">
              <w:rPr>
                <w:rStyle w:val="Lienhypertexte"/>
                <w:noProof/>
              </w:rPr>
              <w:t>43.53.1g Systèmes d'enduits de façades à base de mortier à liant minéral sur panneaux en liège</w:t>
            </w:r>
            <w:r>
              <w:rPr>
                <w:noProof/>
                <w:webHidden/>
              </w:rPr>
              <w:tab/>
            </w:r>
            <w:r>
              <w:rPr>
                <w:noProof/>
                <w:webHidden/>
              </w:rPr>
              <w:fldChar w:fldCharType="begin"/>
            </w:r>
            <w:r>
              <w:rPr>
                <w:noProof/>
                <w:webHidden/>
              </w:rPr>
              <w:instrText xml:space="preserve"> PAGEREF _Toc220490522 \h </w:instrText>
            </w:r>
            <w:r>
              <w:rPr>
                <w:noProof/>
                <w:webHidden/>
              </w:rPr>
            </w:r>
            <w:r>
              <w:rPr>
                <w:noProof/>
                <w:webHidden/>
              </w:rPr>
              <w:fldChar w:fldCharType="separate"/>
            </w:r>
            <w:r>
              <w:rPr>
                <w:noProof/>
                <w:webHidden/>
              </w:rPr>
              <w:t>547</w:t>
            </w:r>
            <w:r>
              <w:rPr>
                <w:noProof/>
                <w:webHidden/>
              </w:rPr>
              <w:fldChar w:fldCharType="end"/>
            </w:r>
          </w:hyperlink>
        </w:p>
        <w:p w14:paraId="60FA799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23" w:history="1">
            <w:r w:rsidRPr="000D551A">
              <w:rPr>
                <w:rStyle w:val="Lienhypertexte"/>
                <w:noProof/>
              </w:rPr>
              <w:t>43.53.2 Systèmes d'enduits à base de mortier à liant organique (synthétique) sur panneaux isolants CCTB 01.04</w:t>
            </w:r>
            <w:r>
              <w:rPr>
                <w:noProof/>
                <w:webHidden/>
              </w:rPr>
              <w:tab/>
            </w:r>
            <w:r>
              <w:rPr>
                <w:noProof/>
                <w:webHidden/>
              </w:rPr>
              <w:fldChar w:fldCharType="begin"/>
            </w:r>
            <w:r>
              <w:rPr>
                <w:noProof/>
                <w:webHidden/>
              </w:rPr>
              <w:instrText xml:space="preserve"> PAGEREF _Toc220490523 \h </w:instrText>
            </w:r>
            <w:r>
              <w:rPr>
                <w:noProof/>
                <w:webHidden/>
              </w:rPr>
            </w:r>
            <w:r>
              <w:rPr>
                <w:noProof/>
                <w:webHidden/>
              </w:rPr>
              <w:fldChar w:fldCharType="separate"/>
            </w:r>
            <w:r>
              <w:rPr>
                <w:noProof/>
                <w:webHidden/>
              </w:rPr>
              <w:t>547</w:t>
            </w:r>
            <w:r>
              <w:rPr>
                <w:noProof/>
                <w:webHidden/>
              </w:rPr>
              <w:fldChar w:fldCharType="end"/>
            </w:r>
          </w:hyperlink>
        </w:p>
        <w:p w14:paraId="04189AE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24" w:history="1">
            <w:r w:rsidRPr="000D551A">
              <w:rPr>
                <w:rStyle w:val="Lienhypertexte"/>
                <w:noProof/>
              </w:rPr>
              <w:t>43.53.2a Systèmes d'enduits de façades à base de mortier à liant organique sur panneaux en polystyrène expansé (EPS) / extrudé (XPS) CCTB 01.02</w:t>
            </w:r>
            <w:r>
              <w:rPr>
                <w:noProof/>
                <w:webHidden/>
              </w:rPr>
              <w:tab/>
            </w:r>
            <w:r>
              <w:rPr>
                <w:noProof/>
                <w:webHidden/>
              </w:rPr>
              <w:fldChar w:fldCharType="begin"/>
            </w:r>
            <w:r>
              <w:rPr>
                <w:noProof/>
                <w:webHidden/>
              </w:rPr>
              <w:instrText xml:space="preserve"> PAGEREF _Toc220490524 \h </w:instrText>
            </w:r>
            <w:r>
              <w:rPr>
                <w:noProof/>
                <w:webHidden/>
              </w:rPr>
            </w:r>
            <w:r>
              <w:rPr>
                <w:noProof/>
                <w:webHidden/>
              </w:rPr>
              <w:fldChar w:fldCharType="separate"/>
            </w:r>
            <w:r>
              <w:rPr>
                <w:noProof/>
                <w:webHidden/>
              </w:rPr>
              <w:t>547</w:t>
            </w:r>
            <w:r>
              <w:rPr>
                <w:noProof/>
                <w:webHidden/>
              </w:rPr>
              <w:fldChar w:fldCharType="end"/>
            </w:r>
          </w:hyperlink>
        </w:p>
        <w:p w14:paraId="3EFAACF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25" w:history="1">
            <w:r w:rsidRPr="000D551A">
              <w:rPr>
                <w:rStyle w:val="Lienhypertexte"/>
                <w:noProof/>
              </w:rPr>
              <w:t>43.53.2b Systèmes d'enduits de façades à base de mortier à liant organique sur panneaux en polyuréthane (PUR)</w:t>
            </w:r>
            <w:r>
              <w:rPr>
                <w:noProof/>
                <w:webHidden/>
              </w:rPr>
              <w:tab/>
            </w:r>
            <w:r>
              <w:rPr>
                <w:noProof/>
                <w:webHidden/>
              </w:rPr>
              <w:fldChar w:fldCharType="begin"/>
            </w:r>
            <w:r>
              <w:rPr>
                <w:noProof/>
                <w:webHidden/>
              </w:rPr>
              <w:instrText xml:space="preserve"> PAGEREF _Toc220490525 \h </w:instrText>
            </w:r>
            <w:r>
              <w:rPr>
                <w:noProof/>
                <w:webHidden/>
              </w:rPr>
            </w:r>
            <w:r>
              <w:rPr>
                <w:noProof/>
                <w:webHidden/>
              </w:rPr>
              <w:fldChar w:fldCharType="separate"/>
            </w:r>
            <w:r>
              <w:rPr>
                <w:noProof/>
                <w:webHidden/>
              </w:rPr>
              <w:t>547</w:t>
            </w:r>
            <w:r>
              <w:rPr>
                <w:noProof/>
                <w:webHidden/>
              </w:rPr>
              <w:fldChar w:fldCharType="end"/>
            </w:r>
          </w:hyperlink>
        </w:p>
        <w:p w14:paraId="31C94F0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26" w:history="1">
            <w:r w:rsidRPr="000D551A">
              <w:rPr>
                <w:rStyle w:val="Lienhypertexte"/>
                <w:noProof/>
              </w:rPr>
              <w:t>43.53.2c Systèmes d'enduits de façades à base de mortier à liant organique sur panneaux en résine phénolique</w:t>
            </w:r>
            <w:r>
              <w:rPr>
                <w:noProof/>
                <w:webHidden/>
              </w:rPr>
              <w:tab/>
            </w:r>
            <w:r>
              <w:rPr>
                <w:noProof/>
                <w:webHidden/>
              </w:rPr>
              <w:fldChar w:fldCharType="begin"/>
            </w:r>
            <w:r>
              <w:rPr>
                <w:noProof/>
                <w:webHidden/>
              </w:rPr>
              <w:instrText xml:space="preserve"> PAGEREF _Toc220490526 \h </w:instrText>
            </w:r>
            <w:r>
              <w:rPr>
                <w:noProof/>
                <w:webHidden/>
              </w:rPr>
            </w:r>
            <w:r>
              <w:rPr>
                <w:noProof/>
                <w:webHidden/>
              </w:rPr>
              <w:fldChar w:fldCharType="separate"/>
            </w:r>
            <w:r>
              <w:rPr>
                <w:noProof/>
                <w:webHidden/>
              </w:rPr>
              <w:t>547</w:t>
            </w:r>
            <w:r>
              <w:rPr>
                <w:noProof/>
                <w:webHidden/>
              </w:rPr>
              <w:fldChar w:fldCharType="end"/>
            </w:r>
          </w:hyperlink>
        </w:p>
        <w:p w14:paraId="12EA73B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27" w:history="1">
            <w:r w:rsidRPr="000D551A">
              <w:rPr>
                <w:rStyle w:val="Lienhypertexte"/>
                <w:noProof/>
              </w:rPr>
              <w:t>43.53.2d Systèmes d'enduits de façades à base de mortier à liant organique sur panneaux en laine minérale (MW) CCTB 01.02</w:t>
            </w:r>
            <w:r>
              <w:rPr>
                <w:noProof/>
                <w:webHidden/>
              </w:rPr>
              <w:tab/>
            </w:r>
            <w:r>
              <w:rPr>
                <w:noProof/>
                <w:webHidden/>
              </w:rPr>
              <w:fldChar w:fldCharType="begin"/>
            </w:r>
            <w:r>
              <w:rPr>
                <w:noProof/>
                <w:webHidden/>
              </w:rPr>
              <w:instrText xml:space="preserve"> PAGEREF _Toc220490527 \h </w:instrText>
            </w:r>
            <w:r>
              <w:rPr>
                <w:noProof/>
                <w:webHidden/>
              </w:rPr>
            </w:r>
            <w:r>
              <w:rPr>
                <w:noProof/>
                <w:webHidden/>
              </w:rPr>
              <w:fldChar w:fldCharType="separate"/>
            </w:r>
            <w:r>
              <w:rPr>
                <w:noProof/>
                <w:webHidden/>
              </w:rPr>
              <w:t>547</w:t>
            </w:r>
            <w:r>
              <w:rPr>
                <w:noProof/>
                <w:webHidden/>
              </w:rPr>
              <w:fldChar w:fldCharType="end"/>
            </w:r>
          </w:hyperlink>
        </w:p>
        <w:p w14:paraId="47665D6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28" w:history="1">
            <w:r w:rsidRPr="000D551A">
              <w:rPr>
                <w:rStyle w:val="Lienhypertexte"/>
                <w:noProof/>
              </w:rPr>
              <w:t>43.53.2e Systèmes d'enduits de façades à base de mortier à liant organique sur panneaux en verre cellulaire (CG) CCTB 01.02</w:t>
            </w:r>
            <w:r>
              <w:rPr>
                <w:noProof/>
                <w:webHidden/>
              </w:rPr>
              <w:tab/>
            </w:r>
            <w:r>
              <w:rPr>
                <w:noProof/>
                <w:webHidden/>
              </w:rPr>
              <w:fldChar w:fldCharType="begin"/>
            </w:r>
            <w:r>
              <w:rPr>
                <w:noProof/>
                <w:webHidden/>
              </w:rPr>
              <w:instrText xml:space="preserve"> PAGEREF _Toc220490528 \h </w:instrText>
            </w:r>
            <w:r>
              <w:rPr>
                <w:noProof/>
                <w:webHidden/>
              </w:rPr>
            </w:r>
            <w:r>
              <w:rPr>
                <w:noProof/>
                <w:webHidden/>
              </w:rPr>
              <w:fldChar w:fldCharType="separate"/>
            </w:r>
            <w:r>
              <w:rPr>
                <w:noProof/>
                <w:webHidden/>
              </w:rPr>
              <w:t>547</w:t>
            </w:r>
            <w:r>
              <w:rPr>
                <w:noProof/>
                <w:webHidden/>
              </w:rPr>
              <w:fldChar w:fldCharType="end"/>
            </w:r>
          </w:hyperlink>
        </w:p>
        <w:p w14:paraId="3D1AAA3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29" w:history="1">
            <w:r w:rsidRPr="000D551A">
              <w:rPr>
                <w:rStyle w:val="Lienhypertexte"/>
                <w:noProof/>
              </w:rPr>
              <w:t>43.53.2f Systèmes d'enduits de façades à base de mortier à liant organique sur panneaux en fibres de bois (WF) CCTB 01.02</w:t>
            </w:r>
            <w:r>
              <w:rPr>
                <w:noProof/>
                <w:webHidden/>
              </w:rPr>
              <w:tab/>
            </w:r>
            <w:r>
              <w:rPr>
                <w:noProof/>
                <w:webHidden/>
              </w:rPr>
              <w:fldChar w:fldCharType="begin"/>
            </w:r>
            <w:r>
              <w:rPr>
                <w:noProof/>
                <w:webHidden/>
              </w:rPr>
              <w:instrText xml:space="preserve"> PAGEREF _Toc220490529 \h </w:instrText>
            </w:r>
            <w:r>
              <w:rPr>
                <w:noProof/>
                <w:webHidden/>
              </w:rPr>
            </w:r>
            <w:r>
              <w:rPr>
                <w:noProof/>
                <w:webHidden/>
              </w:rPr>
              <w:fldChar w:fldCharType="separate"/>
            </w:r>
            <w:r>
              <w:rPr>
                <w:noProof/>
                <w:webHidden/>
              </w:rPr>
              <w:t>547</w:t>
            </w:r>
            <w:r>
              <w:rPr>
                <w:noProof/>
                <w:webHidden/>
              </w:rPr>
              <w:fldChar w:fldCharType="end"/>
            </w:r>
          </w:hyperlink>
        </w:p>
        <w:p w14:paraId="4300B96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30" w:history="1">
            <w:r w:rsidRPr="000D551A">
              <w:rPr>
                <w:rStyle w:val="Lienhypertexte"/>
                <w:noProof/>
              </w:rPr>
              <w:t>43.53.2g Systèmes d'enduits de façades à base de mortier à liant organique sur panneaux en liège</w:t>
            </w:r>
            <w:r>
              <w:rPr>
                <w:noProof/>
                <w:webHidden/>
              </w:rPr>
              <w:tab/>
            </w:r>
            <w:r>
              <w:rPr>
                <w:noProof/>
                <w:webHidden/>
              </w:rPr>
              <w:fldChar w:fldCharType="begin"/>
            </w:r>
            <w:r>
              <w:rPr>
                <w:noProof/>
                <w:webHidden/>
              </w:rPr>
              <w:instrText xml:space="preserve"> PAGEREF _Toc220490530 \h </w:instrText>
            </w:r>
            <w:r>
              <w:rPr>
                <w:noProof/>
                <w:webHidden/>
              </w:rPr>
            </w:r>
            <w:r>
              <w:rPr>
                <w:noProof/>
                <w:webHidden/>
              </w:rPr>
              <w:fldChar w:fldCharType="separate"/>
            </w:r>
            <w:r>
              <w:rPr>
                <w:noProof/>
                <w:webHidden/>
              </w:rPr>
              <w:t>547</w:t>
            </w:r>
            <w:r>
              <w:rPr>
                <w:noProof/>
                <w:webHidden/>
              </w:rPr>
              <w:fldChar w:fldCharType="end"/>
            </w:r>
          </w:hyperlink>
        </w:p>
        <w:p w14:paraId="0DD476F6"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31" w:history="1">
            <w:r w:rsidRPr="000D551A">
              <w:rPr>
                <w:rStyle w:val="Lienhypertexte"/>
                <w:noProof/>
              </w:rPr>
              <w:t>43.54 Ouvrages de raccords et finition pour enduits extérieurs CCTB 01.02</w:t>
            </w:r>
            <w:r>
              <w:rPr>
                <w:noProof/>
                <w:webHidden/>
              </w:rPr>
              <w:tab/>
            </w:r>
            <w:r>
              <w:rPr>
                <w:noProof/>
                <w:webHidden/>
              </w:rPr>
              <w:fldChar w:fldCharType="begin"/>
            </w:r>
            <w:r>
              <w:rPr>
                <w:noProof/>
                <w:webHidden/>
              </w:rPr>
              <w:instrText xml:space="preserve"> PAGEREF _Toc220490531 \h </w:instrText>
            </w:r>
            <w:r>
              <w:rPr>
                <w:noProof/>
                <w:webHidden/>
              </w:rPr>
            </w:r>
            <w:r>
              <w:rPr>
                <w:noProof/>
                <w:webHidden/>
              </w:rPr>
              <w:fldChar w:fldCharType="separate"/>
            </w:r>
            <w:r>
              <w:rPr>
                <w:noProof/>
                <w:webHidden/>
              </w:rPr>
              <w:t>548</w:t>
            </w:r>
            <w:r>
              <w:rPr>
                <w:noProof/>
                <w:webHidden/>
              </w:rPr>
              <w:fldChar w:fldCharType="end"/>
            </w:r>
          </w:hyperlink>
        </w:p>
        <w:p w14:paraId="2AE4821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32" w:history="1">
            <w:r w:rsidRPr="000D551A">
              <w:rPr>
                <w:rStyle w:val="Lienhypertexte"/>
                <w:noProof/>
              </w:rPr>
              <w:t>43.54.1 Accessoires pour enduits de façade extérieurs CCTB 01.11</w:t>
            </w:r>
            <w:r>
              <w:rPr>
                <w:noProof/>
                <w:webHidden/>
              </w:rPr>
              <w:tab/>
            </w:r>
            <w:r>
              <w:rPr>
                <w:noProof/>
                <w:webHidden/>
              </w:rPr>
              <w:fldChar w:fldCharType="begin"/>
            </w:r>
            <w:r>
              <w:rPr>
                <w:noProof/>
                <w:webHidden/>
              </w:rPr>
              <w:instrText xml:space="preserve"> PAGEREF _Toc220490532 \h </w:instrText>
            </w:r>
            <w:r>
              <w:rPr>
                <w:noProof/>
                <w:webHidden/>
              </w:rPr>
            </w:r>
            <w:r>
              <w:rPr>
                <w:noProof/>
                <w:webHidden/>
              </w:rPr>
              <w:fldChar w:fldCharType="separate"/>
            </w:r>
            <w:r>
              <w:rPr>
                <w:noProof/>
                <w:webHidden/>
              </w:rPr>
              <w:t>548</w:t>
            </w:r>
            <w:r>
              <w:rPr>
                <w:noProof/>
                <w:webHidden/>
              </w:rPr>
              <w:fldChar w:fldCharType="end"/>
            </w:r>
          </w:hyperlink>
        </w:p>
        <w:p w14:paraId="1B5FE4E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33" w:history="1">
            <w:r w:rsidRPr="000D551A">
              <w:rPr>
                <w:rStyle w:val="Lienhypertexte"/>
                <w:noProof/>
              </w:rPr>
              <w:t>43.54.1a Plots de montage pour fixation de charges légères pour enduits de façade extérieurs CCTB 01.11</w:t>
            </w:r>
            <w:r>
              <w:rPr>
                <w:noProof/>
                <w:webHidden/>
              </w:rPr>
              <w:tab/>
            </w:r>
            <w:r>
              <w:rPr>
                <w:noProof/>
                <w:webHidden/>
              </w:rPr>
              <w:fldChar w:fldCharType="begin"/>
            </w:r>
            <w:r>
              <w:rPr>
                <w:noProof/>
                <w:webHidden/>
              </w:rPr>
              <w:instrText xml:space="preserve"> PAGEREF _Toc220490533 \h </w:instrText>
            </w:r>
            <w:r>
              <w:rPr>
                <w:noProof/>
                <w:webHidden/>
              </w:rPr>
            </w:r>
            <w:r>
              <w:rPr>
                <w:noProof/>
                <w:webHidden/>
              </w:rPr>
              <w:fldChar w:fldCharType="separate"/>
            </w:r>
            <w:r>
              <w:rPr>
                <w:noProof/>
                <w:webHidden/>
              </w:rPr>
              <w:t>548</w:t>
            </w:r>
            <w:r>
              <w:rPr>
                <w:noProof/>
                <w:webHidden/>
              </w:rPr>
              <w:fldChar w:fldCharType="end"/>
            </w:r>
          </w:hyperlink>
        </w:p>
        <w:p w14:paraId="48DD5A5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34" w:history="1">
            <w:r w:rsidRPr="000D551A">
              <w:rPr>
                <w:rStyle w:val="Lienhypertexte"/>
                <w:noProof/>
              </w:rPr>
              <w:t>43.54.1b Plaques de montage pour fixation de charges lourdes pour enduits de façade extérieurs CCTB 01.11</w:t>
            </w:r>
            <w:r>
              <w:rPr>
                <w:noProof/>
                <w:webHidden/>
              </w:rPr>
              <w:tab/>
            </w:r>
            <w:r>
              <w:rPr>
                <w:noProof/>
                <w:webHidden/>
              </w:rPr>
              <w:fldChar w:fldCharType="begin"/>
            </w:r>
            <w:r>
              <w:rPr>
                <w:noProof/>
                <w:webHidden/>
              </w:rPr>
              <w:instrText xml:space="preserve"> PAGEREF _Toc220490534 \h </w:instrText>
            </w:r>
            <w:r>
              <w:rPr>
                <w:noProof/>
                <w:webHidden/>
              </w:rPr>
            </w:r>
            <w:r>
              <w:rPr>
                <w:noProof/>
                <w:webHidden/>
              </w:rPr>
              <w:fldChar w:fldCharType="separate"/>
            </w:r>
            <w:r>
              <w:rPr>
                <w:noProof/>
                <w:webHidden/>
              </w:rPr>
              <w:t>549</w:t>
            </w:r>
            <w:r>
              <w:rPr>
                <w:noProof/>
                <w:webHidden/>
              </w:rPr>
              <w:fldChar w:fldCharType="end"/>
            </w:r>
          </w:hyperlink>
        </w:p>
        <w:p w14:paraId="6EE0A9E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35" w:history="1">
            <w:r w:rsidRPr="000D551A">
              <w:rPr>
                <w:rStyle w:val="Lienhypertexte"/>
                <w:noProof/>
              </w:rPr>
              <w:t>43.54.1c Profilés de montage pour enduits de façade extérieurs</w:t>
            </w:r>
            <w:r>
              <w:rPr>
                <w:noProof/>
                <w:webHidden/>
              </w:rPr>
              <w:tab/>
            </w:r>
            <w:r>
              <w:rPr>
                <w:noProof/>
                <w:webHidden/>
              </w:rPr>
              <w:fldChar w:fldCharType="begin"/>
            </w:r>
            <w:r>
              <w:rPr>
                <w:noProof/>
                <w:webHidden/>
              </w:rPr>
              <w:instrText xml:space="preserve"> PAGEREF _Toc220490535 \h </w:instrText>
            </w:r>
            <w:r>
              <w:rPr>
                <w:noProof/>
                <w:webHidden/>
              </w:rPr>
            </w:r>
            <w:r>
              <w:rPr>
                <w:noProof/>
                <w:webHidden/>
              </w:rPr>
              <w:fldChar w:fldCharType="separate"/>
            </w:r>
            <w:r>
              <w:rPr>
                <w:noProof/>
                <w:webHidden/>
              </w:rPr>
              <w:t>550</w:t>
            </w:r>
            <w:r>
              <w:rPr>
                <w:noProof/>
                <w:webHidden/>
              </w:rPr>
              <w:fldChar w:fldCharType="end"/>
            </w:r>
          </w:hyperlink>
        </w:p>
        <w:p w14:paraId="3BE3EAE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36" w:history="1">
            <w:r w:rsidRPr="000D551A">
              <w:rPr>
                <w:rStyle w:val="Lienhypertexte"/>
                <w:noProof/>
              </w:rPr>
              <w:t>43.54.2 Produits de finition pour enduits de façade extérieurs</w:t>
            </w:r>
            <w:r>
              <w:rPr>
                <w:noProof/>
                <w:webHidden/>
              </w:rPr>
              <w:tab/>
            </w:r>
            <w:r>
              <w:rPr>
                <w:noProof/>
                <w:webHidden/>
              </w:rPr>
              <w:fldChar w:fldCharType="begin"/>
            </w:r>
            <w:r>
              <w:rPr>
                <w:noProof/>
                <w:webHidden/>
              </w:rPr>
              <w:instrText xml:space="preserve"> PAGEREF _Toc220490536 \h </w:instrText>
            </w:r>
            <w:r>
              <w:rPr>
                <w:noProof/>
                <w:webHidden/>
              </w:rPr>
            </w:r>
            <w:r>
              <w:rPr>
                <w:noProof/>
                <w:webHidden/>
              </w:rPr>
              <w:fldChar w:fldCharType="separate"/>
            </w:r>
            <w:r>
              <w:rPr>
                <w:noProof/>
                <w:webHidden/>
              </w:rPr>
              <w:t>550</w:t>
            </w:r>
            <w:r>
              <w:rPr>
                <w:noProof/>
                <w:webHidden/>
              </w:rPr>
              <w:fldChar w:fldCharType="end"/>
            </w:r>
          </w:hyperlink>
        </w:p>
        <w:p w14:paraId="31B65DE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37" w:history="1">
            <w:r w:rsidRPr="000D551A">
              <w:rPr>
                <w:rStyle w:val="Lienhypertexte"/>
                <w:noProof/>
              </w:rPr>
              <w:t>43.54.2a Traitements hydrofuges pour enduits de façade extérieurs</w:t>
            </w:r>
            <w:r>
              <w:rPr>
                <w:noProof/>
                <w:webHidden/>
              </w:rPr>
              <w:tab/>
            </w:r>
            <w:r>
              <w:rPr>
                <w:noProof/>
                <w:webHidden/>
              </w:rPr>
              <w:fldChar w:fldCharType="begin"/>
            </w:r>
            <w:r>
              <w:rPr>
                <w:noProof/>
                <w:webHidden/>
              </w:rPr>
              <w:instrText xml:space="preserve"> PAGEREF _Toc220490537 \h </w:instrText>
            </w:r>
            <w:r>
              <w:rPr>
                <w:noProof/>
                <w:webHidden/>
              </w:rPr>
            </w:r>
            <w:r>
              <w:rPr>
                <w:noProof/>
                <w:webHidden/>
              </w:rPr>
              <w:fldChar w:fldCharType="separate"/>
            </w:r>
            <w:r>
              <w:rPr>
                <w:noProof/>
                <w:webHidden/>
              </w:rPr>
              <w:t>550</w:t>
            </w:r>
            <w:r>
              <w:rPr>
                <w:noProof/>
                <w:webHidden/>
              </w:rPr>
              <w:fldChar w:fldCharType="end"/>
            </w:r>
          </w:hyperlink>
        </w:p>
        <w:p w14:paraId="3C3E430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38" w:history="1">
            <w:r w:rsidRPr="000D551A">
              <w:rPr>
                <w:rStyle w:val="Lienhypertexte"/>
                <w:noProof/>
              </w:rPr>
              <w:t>43.54.3 Réalisation de joints pour enduits de façade extérieurs CCTB 01.02</w:t>
            </w:r>
            <w:r>
              <w:rPr>
                <w:noProof/>
                <w:webHidden/>
              </w:rPr>
              <w:tab/>
            </w:r>
            <w:r>
              <w:rPr>
                <w:noProof/>
                <w:webHidden/>
              </w:rPr>
              <w:fldChar w:fldCharType="begin"/>
            </w:r>
            <w:r>
              <w:rPr>
                <w:noProof/>
                <w:webHidden/>
              </w:rPr>
              <w:instrText xml:space="preserve"> PAGEREF _Toc220490538 \h </w:instrText>
            </w:r>
            <w:r>
              <w:rPr>
                <w:noProof/>
                <w:webHidden/>
              </w:rPr>
            </w:r>
            <w:r>
              <w:rPr>
                <w:noProof/>
                <w:webHidden/>
              </w:rPr>
              <w:fldChar w:fldCharType="separate"/>
            </w:r>
            <w:r>
              <w:rPr>
                <w:noProof/>
                <w:webHidden/>
              </w:rPr>
              <w:t>550</w:t>
            </w:r>
            <w:r>
              <w:rPr>
                <w:noProof/>
                <w:webHidden/>
              </w:rPr>
              <w:fldChar w:fldCharType="end"/>
            </w:r>
          </w:hyperlink>
        </w:p>
        <w:p w14:paraId="3B9E865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39" w:history="1">
            <w:r w:rsidRPr="000D551A">
              <w:rPr>
                <w:rStyle w:val="Lienhypertexte"/>
                <w:noProof/>
              </w:rPr>
              <w:t>43.54.3a Réalisation de joints pour enduits de façade extérieurs</w:t>
            </w:r>
            <w:r>
              <w:rPr>
                <w:noProof/>
                <w:webHidden/>
              </w:rPr>
              <w:tab/>
            </w:r>
            <w:r>
              <w:rPr>
                <w:noProof/>
                <w:webHidden/>
              </w:rPr>
              <w:fldChar w:fldCharType="begin"/>
            </w:r>
            <w:r>
              <w:rPr>
                <w:noProof/>
                <w:webHidden/>
              </w:rPr>
              <w:instrText xml:space="preserve"> PAGEREF _Toc220490539 \h </w:instrText>
            </w:r>
            <w:r>
              <w:rPr>
                <w:noProof/>
                <w:webHidden/>
              </w:rPr>
            </w:r>
            <w:r>
              <w:rPr>
                <w:noProof/>
                <w:webHidden/>
              </w:rPr>
              <w:fldChar w:fldCharType="separate"/>
            </w:r>
            <w:r>
              <w:rPr>
                <w:noProof/>
                <w:webHidden/>
              </w:rPr>
              <w:t>550</w:t>
            </w:r>
            <w:r>
              <w:rPr>
                <w:noProof/>
                <w:webHidden/>
              </w:rPr>
              <w:fldChar w:fldCharType="end"/>
            </w:r>
          </w:hyperlink>
        </w:p>
        <w:p w14:paraId="4B956C4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40" w:history="1">
            <w:r w:rsidRPr="000D551A">
              <w:rPr>
                <w:rStyle w:val="Lienhypertexte"/>
                <w:noProof/>
              </w:rPr>
              <w:t>43.54.4 Etanchéisation de joints pour enduits de façade extérieurs CCTB 01.04</w:t>
            </w:r>
            <w:r>
              <w:rPr>
                <w:noProof/>
                <w:webHidden/>
              </w:rPr>
              <w:tab/>
            </w:r>
            <w:r>
              <w:rPr>
                <w:noProof/>
                <w:webHidden/>
              </w:rPr>
              <w:fldChar w:fldCharType="begin"/>
            </w:r>
            <w:r>
              <w:rPr>
                <w:noProof/>
                <w:webHidden/>
              </w:rPr>
              <w:instrText xml:space="preserve"> PAGEREF _Toc220490540 \h </w:instrText>
            </w:r>
            <w:r>
              <w:rPr>
                <w:noProof/>
                <w:webHidden/>
              </w:rPr>
            </w:r>
            <w:r>
              <w:rPr>
                <w:noProof/>
                <w:webHidden/>
              </w:rPr>
              <w:fldChar w:fldCharType="separate"/>
            </w:r>
            <w:r>
              <w:rPr>
                <w:noProof/>
                <w:webHidden/>
              </w:rPr>
              <w:t>550</w:t>
            </w:r>
            <w:r>
              <w:rPr>
                <w:noProof/>
                <w:webHidden/>
              </w:rPr>
              <w:fldChar w:fldCharType="end"/>
            </w:r>
          </w:hyperlink>
        </w:p>
        <w:p w14:paraId="3E68FA5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41" w:history="1">
            <w:r w:rsidRPr="000D551A">
              <w:rPr>
                <w:rStyle w:val="Lienhypertexte"/>
                <w:noProof/>
              </w:rPr>
              <w:t>43.54.5 Finitions particulières de joints pour enduits de façade extérieurs CCTB 01.02</w:t>
            </w:r>
            <w:r>
              <w:rPr>
                <w:noProof/>
                <w:webHidden/>
              </w:rPr>
              <w:tab/>
            </w:r>
            <w:r>
              <w:rPr>
                <w:noProof/>
                <w:webHidden/>
              </w:rPr>
              <w:fldChar w:fldCharType="begin"/>
            </w:r>
            <w:r>
              <w:rPr>
                <w:noProof/>
                <w:webHidden/>
              </w:rPr>
              <w:instrText xml:space="preserve"> PAGEREF _Toc220490541 \h </w:instrText>
            </w:r>
            <w:r>
              <w:rPr>
                <w:noProof/>
                <w:webHidden/>
              </w:rPr>
            </w:r>
            <w:r>
              <w:rPr>
                <w:noProof/>
                <w:webHidden/>
              </w:rPr>
              <w:fldChar w:fldCharType="separate"/>
            </w:r>
            <w:r>
              <w:rPr>
                <w:noProof/>
                <w:webHidden/>
              </w:rPr>
              <w:t>550</w:t>
            </w:r>
            <w:r>
              <w:rPr>
                <w:noProof/>
                <w:webHidden/>
              </w:rPr>
              <w:fldChar w:fldCharType="end"/>
            </w:r>
          </w:hyperlink>
        </w:p>
        <w:p w14:paraId="5C58240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42" w:history="1">
            <w:r w:rsidRPr="000D551A">
              <w:rPr>
                <w:rStyle w:val="Lienhypertexte"/>
                <w:noProof/>
              </w:rPr>
              <w:t>43.54.5a Finitions particulières de joints pour enduits de façade extérieurs</w:t>
            </w:r>
            <w:r>
              <w:rPr>
                <w:noProof/>
                <w:webHidden/>
              </w:rPr>
              <w:tab/>
            </w:r>
            <w:r>
              <w:rPr>
                <w:noProof/>
                <w:webHidden/>
              </w:rPr>
              <w:fldChar w:fldCharType="begin"/>
            </w:r>
            <w:r>
              <w:rPr>
                <w:noProof/>
                <w:webHidden/>
              </w:rPr>
              <w:instrText xml:space="preserve"> PAGEREF _Toc220490542 \h </w:instrText>
            </w:r>
            <w:r>
              <w:rPr>
                <w:noProof/>
                <w:webHidden/>
              </w:rPr>
            </w:r>
            <w:r>
              <w:rPr>
                <w:noProof/>
                <w:webHidden/>
              </w:rPr>
              <w:fldChar w:fldCharType="separate"/>
            </w:r>
            <w:r>
              <w:rPr>
                <w:noProof/>
                <w:webHidden/>
              </w:rPr>
              <w:t>551</w:t>
            </w:r>
            <w:r>
              <w:rPr>
                <w:noProof/>
                <w:webHidden/>
              </w:rPr>
              <w:fldChar w:fldCharType="end"/>
            </w:r>
          </w:hyperlink>
        </w:p>
        <w:p w14:paraId="3C6A431C"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543" w:history="1">
            <w:r w:rsidRPr="000D551A">
              <w:rPr>
                <w:rStyle w:val="Lienhypertexte"/>
                <w:noProof/>
              </w:rPr>
              <w:t>43.6 Ouvrages de raccords et de finition CCTB 01.04</w:t>
            </w:r>
            <w:r>
              <w:rPr>
                <w:noProof/>
                <w:webHidden/>
              </w:rPr>
              <w:tab/>
            </w:r>
            <w:r>
              <w:rPr>
                <w:noProof/>
                <w:webHidden/>
              </w:rPr>
              <w:fldChar w:fldCharType="begin"/>
            </w:r>
            <w:r>
              <w:rPr>
                <w:noProof/>
                <w:webHidden/>
              </w:rPr>
              <w:instrText xml:space="preserve"> PAGEREF _Toc220490543 \h </w:instrText>
            </w:r>
            <w:r>
              <w:rPr>
                <w:noProof/>
                <w:webHidden/>
              </w:rPr>
            </w:r>
            <w:r>
              <w:rPr>
                <w:noProof/>
                <w:webHidden/>
              </w:rPr>
              <w:fldChar w:fldCharType="separate"/>
            </w:r>
            <w:r>
              <w:rPr>
                <w:noProof/>
                <w:webHidden/>
              </w:rPr>
              <w:t>551</w:t>
            </w:r>
            <w:r>
              <w:rPr>
                <w:noProof/>
                <w:webHidden/>
              </w:rPr>
              <w:fldChar w:fldCharType="end"/>
            </w:r>
          </w:hyperlink>
        </w:p>
        <w:p w14:paraId="539D4F9B"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44" w:history="1">
            <w:r w:rsidRPr="000D551A">
              <w:rPr>
                <w:rStyle w:val="Lienhypertexte"/>
                <w:noProof/>
              </w:rPr>
              <w:t>43.61 Raccords de rive CCTB 01.02</w:t>
            </w:r>
            <w:r>
              <w:rPr>
                <w:noProof/>
                <w:webHidden/>
              </w:rPr>
              <w:tab/>
            </w:r>
            <w:r>
              <w:rPr>
                <w:noProof/>
                <w:webHidden/>
              </w:rPr>
              <w:fldChar w:fldCharType="begin"/>
            </w:r>
            <w:r>
              <w:rPr>
                <w:noProof/>
                <w:webHidden/>
              </w:rPr>
              <w:instrText xml:space="preserve"> PAGEREF _Toc220490544 \h </w:instrText>
            </w:r>
            <w:r>
              <w:rPr>
                <w:noProof/>
                <w:webHidden/>
              </w:rPr>
            </w:r>
            <w:r>
              <w:rPr>
                <w:noProof/>
                <w:webHidden/>
              </w:rPr>
              <w:fldChar w:fldCharType="separate"/>
            </w:r>
            <w:r>
              <w:rPr>
                <w:noProof/>
                <w:webHidden/>
              </w:rPr>
              <w:t>551</w:t>
            </w:r>
            <w:r>
              <w:rPr>
                <w:noProof/>
                <w:webHidden/>
              </w:rPr>
              <w:fldChar w:fldCharType="end"/>
            </w:r>
          </w:hyperlink>
        </w:p>
        <w:p w14:paraId="5503BD4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45" w:history="1">
            <w:r w:rsidRPr="000D551A">
              <w:rPr>
                <w:rStyle w:val="Lienhypertexte"/>
                <w:noProof/>
              </w:rPr>
              <w:t>43.61.1 Planches et éléments de rives CCTB 01.04</w:t>
            </w:r>
            <w:r>
              <w:rPr>
                <w:noProof/>
                <w:webHidden/>
              </w:rPr>
              <w:tab/>
            </w:r>
            <w:r>
              <w:rPr>
                <w:noProof/>
                <w:webHidden/>
              </w:rPr>
              <w:fldChar w:fldCharType="begin"/>
            </w:r>
            <w:r>
              <w:rPr>
                <w:noProof/>
                <w:webHidden/>
              </w:rPr>
              <w:instrText xml:space="preserve"> PAGEREF _Toc220490545 \h </w:instrText>
            </w:r>
            <w:r>
              <w:rPr>
                <w:noProof/>
                <w:webHidden/>
              </w:rPr>
            </w:r>
            <w:r>
              <w:rPr>
                <w:noProof/>
                <w:webHidden/>
              </w:rPr>
              <w:fldChar w:fldCharType="separate"/>
            </w:r>
            <w:r>
              <w:rPr>
                <w:noProof/>
                <w:webHidden/>
              </w:rPr>
              <w:t>551</w:t>
            </w:r>
            <w:r>
              <w:rPr>
                <w:noProof/>
                <w:webHidden/>
              </w:rPr>
              <w:fldChar w:fldCharType="end"/>
            </w:r>
          </w:hyperlink>
        </w:p>
        <w:p w14:paraId="0B805F8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46" w:history="1">
            <w:r w:rsidRPr="000D551A">
              <w:rPr>
                <w:rStyle w:val="Lienhypertexte"/>
                <w:noProof/>
              </w:rPr>
              <w:t>43.61.1a Planches de rive en bois CCTB 01.02</w:t>
            </w:r>
            <w:r>
              <w:rPr>
                <w:noProof/>
                <w:webHidden/>
              </w:rPr>
              <w:tab/>
            </w:r>
            <w:r>
              <w:rPr>
                <w:noProof/>
                <w:webHidden/>
              </w:rPr>
              <w:fldChar w:fldCharType="begin"/>
            </w:r>
            <w:r>
              <w:rPr>
                <w:noProof/>
                <w:webHidden/>
              </w:rPr>
              <w:instrText xml:space="preserve"> PAGEREF _Toc220490546 \h </w:instrText>
            </w:r>
            <w:r>
              <w:rPr>
                <w:noProof/>
                <w:webHidden/>
              </w:rPr>
            </w:r>
            <w:r>
              <w:rPr>
                <w:noProof/>
                <w:webHidden/>
              </w:rPr>
              <w:fldChar w:fldCharType="separate"/>
            </w:r>
            <w:r>
              <w:rPr>
                <w:noProof/>
                <w:webHidden/>
              </w:rPr>
              <w:t>551</w:t>
            </w:r>
            <w:r>
              <w:rPr>
                <w:noProof/>
                <w:webHidden/>
              </w:rPr>
              <w:fldChar w:fldCharType="end"/>
            </w:r>
          </w:hyperlink>
        </w:p>
        <w:p w14:paraId="56DE5E2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47" w:history="1">
            <w:r w:rsidRPr="000D551A">
              <w:rPr>
                <w:rStyle w:val="Lienhypertexte"/>
                <w:noProof/>
              </w:rPr>
              <w:t>43.61.1b Planches de rive en panneaux de bois CCTB 01.02</w:t>
            </w:r>
            <w:r>
              <w:rPr>
                <w:noProof/>
                <w:webHidden/>
              </w:rPr>
              <w:tab/>
            </w:r>
            <w:r>
              <w:rPr>
                <w:noProof/>
                <w:webHidden/>
              </w:rPr>
              <w:fldChar w:fldCharType="begin"/>
            </w:r>
            <w:r>
              <w:rPr>
                <w:noProof/>
                <w:webHidden/>
              </w:rPr>
              <w:instrText xml:space="preserve"> PAGEREF _Toc220490547 \h </w:instrText>
            </w:r>
            <w:r>
              <w:rPr>
                <w:noProof/>
                <w:webHidden/>
              </w:rPr>
            </w:r>
            <w:r>
              <w:rPr>
                <w:noProof/>
                <w:webHidden/>
              </w:rPr>
              <w:fldChar w:fldCharType="separate"/>
            </w:r>
            <w:r>
              <w:rPr>
                <w:noProof/>
                <w:webHidden/>
              </w:rPr>
              <w:t>551</w:t>
            </w:r>
            <w:r>
              <w:rPr>
                <w:noProof/>
                <w:webHidden/>
              </w:rPr>
              <w:fldChar w:fldCharType="end"/>
            </w:r>
          </w:hyperlink>
        </w:p>
        <w:p w14:paraId="2BCE749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48" w:history="1">
            <w:r w:rsidRPr="000D551A">
              <w:rPr>
                <w:rStyle w:val="Lienhypertexte"/>
                <w:noProof/>
              </w:rPr>
              <w:t>43.61.1c Planches de rive en PVC CCTB 01.02</w:t>
            </w:r>
            <w:r>
              <w:rPr>
                <w:noProof/>
                <w:webHidden/>
              </w:rPr>
              <w:tab/>
            </w:r>
            <w:r>
              <w:rPr>
                <w:noProof/>
                <w:webHidden/>
              </w:rPr>
              <w:fldChar w:fldCharType="begin"/>
            </w:r>
            <w:r>
              <w:rPr>
                <w:noProof/>
                <w:webHidden/>
              </w:rPr>
              <w:instrText xml:space="preserve"> PAGEREF _Toc220490548 \h </w:instrText>
            </w:r>
            <w:r>
              <w:rPr>
                <w:noProof/>
                <w:webHidden/>
              </w:rPr>
            </w:r>
            <w:r>
              <w:rPr>
                <w:noProof/>
                <w:webHidden/>
              </w:rPr>
              <w:fldChar w:fldCharType="separate"/>
            </w:r>
            <w:r>
              <w:rPr>
                <w:noProof/>
                <w:webHidden/>
              </w:rPr>
              <w:t>551</w:t>
            </w:r>
            <w:r>
              <w:rPr>
                <w:noProof/>
                <w:webHidden/>
              </w:rPr>
              <w:fldChar w:fldCharType="end"/>
            </w:r>
          </w:hyperlink>
        </w:p>
        <w:p w14:paraId="2A5B220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49" w:history="1">
            <w:r w:rsidRPr="000D551A">
              <w:rPr>
                <w:rStyle w:val="Lienhypertexte"/>
                <w:noProof/>
              </w:rPr>
              <w:t>43.61.1d Planches de rive en panneaux de résines synthétiques  CCTB 01.02</w:t>
            </w:r>
            <w:r>
              <w:rPr>
                <w:noProof/>
                <w:webHidden/>
              </w:rPr>
              <w:tab/>
            </w:r>
            <w:r>
              <w:rPr>
                <w:noProof/>
                <w:webHidden/>
              </w:rPr>
              <w:fldChar w:fldCharType="begin"/>
            </w:r>
            <w:r>
              <w:rPr>
                <w:noProof/>
                <w:webHidden/>
              </w:rPr>
              <w:instrText xml:space="preserve"> PAGEREF _Toc220490549 \h </w:instrText>
            </w:r>
            <w:r>
              <w:rPr>
                <w:noProof/>
                <w:webHidden/>
              </w:rPr>
            </w:r>
            <w:r>
              <w:rPr>
                <w:noProof/>
                <w:webHidden/>
              </w:rPr>
              <w:fldChar w:fldCharType="separate"/>
            </w:r>
            <w:r>
              <w:rPr>
                <w:noProof/>
                <w:webHidden/>
              </w:rPr>
              <w:t>551</w:t>
            </w:r>
            <w:r>
              <w:rPr>
                <w:noProof/>
                <w:webHidden/>
              </w:rPr>
              <w:fldChar w:fldCharType="end"/>
            </w:r>
          </w:hyperlink>
        </w:p>
        <w:p w14:paraId="0534BB8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50" w:history="1">
            <w:r w:rsidRPr="000D551A">
              <w:rPr>
                <w:rStyle w:val="Lienhypertexte"/>
                <w:noProof/>
              </w:rPr>
              <w:t>43.61.1e Planches de rive en fibres-ciment CCTB 01.02</w:t>
            </w:r>
            <w:r>
              <w:rPr>
                <w:noProof/>
                <w:webHidden/>
              </w:rPr>
              <w:tab/>
            </w:r>
            <w:r>
              <w:rPr>
                <w:noProof/>
                <w:webHidden/>
              </w:rPr>
              <w:fldChar w:fldCharType="begin"/>
            </w:r>
            <w:r>
              <w:rPr>
                <w:noProof/>
                <w:webHidden/>
              </w:rPr>
              <w:instrText xml:space="preserve"> PAGEREF _Toc220490550 \h </w:instrText>
            </w:r>
            <w:r>
              <w:rPr>
                <w:noProof/>
                <w:webHidden/>
              </w:rPr>
            </w:r>
            <w:r>
              <w:rPr>
                <w:noProof/>
                <w:webHidden/>
              </w:rPr>
              <w:fldChar w:fldCharType="separate"/>
            </w:r>
            <w:r>
              <w:rPr>
                <w:noProof/>
                <w:webHidden/>
              </w:rPr>
              <w:t>551</w:t>
            </w:r>
            <w:r>
              <w:rPr>
                <w:noProof/>
                <w:webHidden/>
              </w:rPr>
              <w:fldChar w:fldCharType="end"/>
            </w:r>
          </w:hyperlink>
        </w:p>
        <w:p w14:paraId="530B469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51" w:history="1">
            <w:r w:rsidRPr="000D551A">
              <w:rPr>
                <w:rStyle w:val="Lienhypertexte"/>
                <w:noProof/>
              </w:rPr>
              <w:t>43.61.1f Eléments de rive en ardoises naturelles</w:t>
            </w:r>
            <w:r>
              <w:rPr>
                <w:noProof/>
                <w:webHidden/>
              </w:rPr>
              <w:tab/>
            </w:r>
            <w:r>
              <w:rPr>
                <w:noProof/>
                <w:webHidden/>
              </w:rPr>
              <w:fldChar w:fldCharType="begin"/>
            </w:r>
            <w:r>
              <w:rPr>
                <w:noProof/>
                <w:webHidden/>
              </w:rPr>
              <w:instrText xml:space="preserve"> PAGEREF _Toc220490551 \h </w:instrText>
            </w:r>
            <w:r>
              <w:rPr>
                <w:noProof/>
                <w:webHidden/>
              </w:rPr>
            </w:r>
            <w:r>
              <w:rPr>
                <w:noProof/>
                <w:webHidden/>
              </w:rPr>
              <w:fldChar w:fldCharType="separate"/>
            </w:r>
            <w:r>
              <w:rPr>
                <w:noProof/>
                <w:webHidden/>
              </w:rPr>
              <w:t>551</w:t>
            </w:r>
            <w:r>
              <w:rPr>
                <w:noProof/>
                <w:webHidden/>
              </w:rPr>
              <w:fldChar w:fldCharType="end"/>
            </w:r>
          </w:hyperlink>
        </w:p>
        <w:p w14:paraId="729F13A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52" w:history="1">
            <w:r w:rsidRPr="000D551A">
              <w:rPr>
                <w:rStyle w:val="Lienhypertexte"/>
                <w:noProof/>
              </w:rPr>
              <w:t>43.61.1g Eléments de rive en ardoises artificielles</w:t>
            </w:r>
            <w:r>
              <w:rPr>
                <w:noProof/>
                <w:webHidden/>
              </w:rPr>
              <w:tab/>
            </w:r>
            <w:r>
              <w:rPr>
                <w:noProof/>
                <w:webHidden/>
              </w:rPr>
              <w:fldChar w:fldCharType="begin"/>
            </w:r>
            <w:r>
              <w:rPr>
                <w:noProof/>
                <w:webHidden/>
              </w:rPr>
              <w:instrText xml:space="preserve"> PAGEREF _Toc220490552 \h </w:instrText>
            </w:r>
            <w:r>
              <w:rPr>
                <w:noProof/>
                <w:webHidden/>
              </w:rPr>
            </w:r>
            <w:r>
              <w:rPr>
                <w:noProof/>
                <w:webHidden/>
              </w:rPr>
              <w:fldChar w:fldCharType="separate"/>
            </w:r>
            <w:r>
              <w:rPr>
                <w:noProof/>
                <w:webHidden/>
              </w:rPr>
              <w:t>551</w:t>
            </w:r>
            <w:r>
              <w:rPr>
                <w:noProof/>
                <w:webHidden/>
              </w:rPr>
              <w:fldChar w:fldCharType="end"/>
            </w:r>
          </w:hyperlink>
        </w:p>
        <w:p w14:paraId="5BC2960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53" w:history="1">
            <w:r w:rsidRPr="000D551A">
              <w:rPr>
                <w:rStyle w:val="Lienhypertexte"/>
                <w:noProof/>
              </w:rPr>
              <w:t>43.61.1h Eléments de rive en tuiles en terre cuite</w:t>
            </w:r>
            <w:r>
              <w:rPr>
                <w:noProof/>
                <w:webHidden/>
              </w:rPr>
              <w:tab/>
            </w:r>
            <w:r>
              <w:rPr>
                <w:noProof/>
                <w:webHidden/>
              </w:rPr>
              <w:fldChar w:fldCharType="begin"/>
            </w:r>
            <w:r>
              <w:rPr>
                <w:noProof/>
                <w:webHidden/>
              </w:rPr>
              <w:instrText xml:space="preserve"> PAGEREF _Toc220490553 \h </w:instrText>
            </w:r>
            <w:r>
              <w:rPr>
                <w:noProof/>
                <w:webHidden/>
              </w:rPr>
            </w:r>
            <w:r>
              <w:rPr>
                <w:noProof/>
                <w:webHidden/>
              </w:rPr>
              <w:fldChar w:fldCharType="separate"/>
            </w:r>
            <w:r>
              <w:rPr>
                <w:noProof/>
                <w:webHidden/>
              </w:rPr>
              <w:t>551</w:t>
            </w:r>
            <w:r>
              <w:rPr>
                <w:noProof/>
                <w:webHidden/>
              </w:rPr>
              <w:fldChar w:fldCharType="end"/>
            </w:r>
          </w:hyperlink>
        </w:p>
        <w:p w14:paraId="5301B38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54" w:history="1">
            <w:r w:rsidRPr="000D551A">
              <w:rPr>
                <w:rStyle w:val="Lienhypertexte"/>
                <w:noProof/>
              </w:rPr>
              <w:t>43.61.1i Eléments de rive en tuiles en béton</w:t>
            </w:r>
            <w:r>
              <w:rPr>
                <w:noProof/>
                <w:webHidden/>
              </w:rPr>
              <w:tab/>
            </w:r>
            <w:r>
              <w:rPr>
                <w:noProof/>
                <w:webHidden/>
              </w:rPr>
              <w:fldChar w:fldCharType="begin"/>
            </w:r>
            <w:r>
              <w:rPr>
                <w:noProof/>
                <w:webHidden/>
              </w:rPr>
              <w:instrText xml:space="preserve"> PAGEREF _Toc220490554 \h </w:instrText>
            </w:r>
            <w:r>
              <w:rPr>
                <w:noProof/>
                <w:webHidden/>
              </w:rPr>
            </w:r>
            <w:r>
              <w:rPr>
                <w:noProof/>
                <w:webHidden/>
              </w:rPr>
              <w:fldChar w:fldCharType="separate"/>
            </w:r>
            <w:r>
              <w:rPr>
                <w:noProof/>
                <w:webHidden/>
              </w:rPr>
              <w:t>551</w:t>
            </w:r>
            <w:r>
              <w:rPr>
                <w:noProof/>
                <w:webHidden/>
              </w:rPr>
              <w:fldChar w:fldCharType="end"/>
            </w:r>
          </w:hyperlink>
        </w:p>
        <w:p w14:paraId="0352067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55" w:history="1">
            <w:r w:rsidRPr="000D551A">
              <w:rPr>
                <w:rStyle w:val="Lienhypertexte"/>
                <w:noProof/>
              </w:rPr>
              <w:t>43.61.1j Eléments de rive en zinc</w:t>
            </w:r>
            <w:r>
              <w:rPr>
                <w:noProof/>
                <w:webHidden/>
              </w:rPr>
              <w:tab/>
            </w:r>
            <w:r>
              <w:rPr>
                <w:noProof/>
                <w:webHidden/>
              </w:rPr>
              <w:fldChar w:fldCharType="begin"/>
            </w:r>
            <w:r>
              <w:rPr>
                <w:noProof/>
                <w:webHidden/>
              </w:rPr>
              <w:instrText xml:space="preserve"> PAGEREF _Toc220490555 \h </w:instrText>
            </w:r>
            <w:r>
              <w:rPr>
                <w:noProof/>
                <w:webHidden/>
              </w:rPr>
            </w:r>
            <w:r>
              <w:rPr>
                <w:noProof/>
                <w:webHidden/>
              </w:rPr>
              <w:fldChar w:fldCharType="separate"/>
            </w:r>
            <w:r>
              <w:rPr>
                <w:noProof/>
                <w:webHidden/>
              </w:rPr>
              <w:t>551</w:t>
            </w:r>
            <w:r>
              <w:rPr>
                <w:noProof/>
                <w:webHidden/>
              </w:rPr>
              <w:fldChar w:fldCharType="end"/>
            </w:r>
          </w:hyperlink>
        </w:p>
        <w:p w14:paraId="7CCF89D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56" w:history="1">
            <w:r w:rsidRPr="000D551A">
              <w:rPr>
                <w:rStyle w:val="Lienhypertexte"/>
                <w:noProof/>
              </w:rPr>
              <w:t>43.61.2 Raccords de rive par éléments rigides CCTB 01.02</w:t>
            </w:r>
            <w:r>
              <w:rPr>
                <w:noProof/>
                <w:webHidden/>
              </w:rPr>
              <w:tab/>
            </w:r>
            <w:r>
              <w:rPr>
                <w:noProof/>
                <w:webHidden/>
              </w:rPr>
              <w:fldChar w:fldCharType="begin"/>
            </w:r>
            <w:r>
              <w:rPr>
                <w:noProof/>
                <w:webHidden/>
              </w:rPr>
              <w:instrText xml:space="preserve"> PAGEREF _Toc220490556 \h </w:instrText>
            </w:r>
            <w:r>
              <w:rPr>
                <w:noProof/>
                <w:webHidden/>
              </w:rPr>
            </w:r>
            <w:r>
              <w:rPr>
                <w:noProof/>
                <w:webHidden/>
              </w:rPr>
              <w:fldChar w:fldCharType="separate"/>
            </w:r>
            <w:r>
              <w:rPr>
                <w:noProof/>
                <w:webHidden/>
              </w:rPr>
              <w:t>551</w:t>
            </w:r>
            <w:r>
              <w:rPr>
                <w:noProof/>
                <w:webHidden/>
              </w:rPr>
              <w:fldChar w:fldCharType="end"/>
            </w:r>
          </w:hyperlink>
        </w:p>
        <w:p w14:paraId="40E862F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57" w:history="1">
            <w:r w:rsidRPr="000D551A">
              <w:rPr>
                <w:rStyle w:val="Lienhypertexte"/>
                <w:noProof/>
              </w:rPr>
              <w:t>43.61.2a Profils de rive de toiture en aluminium CCTB 01.02</w:t>
            </w:r>
            <w:r>
              <w:rPr>
                <w:noProof/>
                <w:webHidden/>
              </w:rPr>
              <w:tab/>
            </w:r>
            <w:r>
              <w:rPr>
                <w:noProof/>
                <w:webHidden/>
              </w:rPr>
              <w:fldChar w:fldCharType="begin"/>
            </w:r>
            <w:r>
              <w:rPr>
                <w:noProof/>
                <w:webHidden/>
              </w:rPr>
              <w:instrText xml:space="preserve"> PAGEREF _Toc220490557 \h </w:instrText>
            </w:r>
            <w:r>
              <w:rPr>
                <w:noProof/>
                <w:webHidden/>
              </w:rPr>
            </w:r>
            <w:r>
              <w:rPr>
                <w:noProof/>
                <w:webHidden/>
              </w:rPr>
              <w:fldChar w:fldCharType="separate"/>
            </w:r>
            <w:r>
              <w:rPr>
                <w:noProof/>
                <w:webHidden/>
              </w:rPr>
              <w:t>551</w:t>
            </w:r>
            <w:r>
              <w:rPr>
                <w:noProof/>
                <w:webHidden/>
              </w:rPr>
              <w:fldChar w:fldCharType="end"/>
            </w:r>
          </w:hyperlink>
        </w:p>
        <w:p w14:paraId="2E2A58F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58" w:history="1">
            <w:r w:rsidRPr="000D551A">
              <w:rPr>
                <w:rStyle w:val="Lienhypertexte"/>
                <w:noProof/>
              </w:rPr>
              <w:t>43.61.2b Profils de rive de toiture en zinc CCTB 01.02</w:t>
            </w:r>
            <w:r>
              <w:rPr>
                <w:noProof/>
                <w:webHidden/>
              </w:rPr>
              <w:tab/>
            </w:r>
            <w:r>
              <w:rPr>
                <w:noProof/>
                <w:webHidden/>
              </w:rPr>
              <w:fldChar w:fldCharType="begin"/>
            </w:r>
            <w:r>
              <w:rPr>
                <w:noProof/>
                <w:webHidden/>
              </w:rPr>
              <w:instrText xml:space="preserve"> PAGEREF _Toc220490558 \h </w:instrText>
            </w:r>
            <w:r>
              <w:rPr>
                <w:noProof/>
                <w:webHidden/>
              </w:rPr>
            </w:r>
            <w:r>
              <w:rPr>
                <w:noProof/>
                <w:webHidden/>
              </w:rPr>
              <w:fldChar w:fldCharType="separate"/>
            </w:r>
            <w:r>
              <w:rPr>
                <w:noProof/>
                <w:webHidden/>
              </w:rPr>
              <w:t>551</w:t>
            </w:r>
            <w:r>
              <w:rPr>
                <w:noProof/>
                <w:webHidden/>
              </w:rPr>
              <w:fldChar w:fldCharType="end"/>
            </w:r>
          </w:hyperlink>
        </w:p>
        <w:p w14:paraId="29A368B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59" w:history="1">
            <w:r w:rsidRPr="000D551A">
              <w:rPr>
                <w:rStyle w:val="Lienhypertexte"/>
                <w:noProof/>
              </w:rPr>
              <w:t>43.61.2c Profils de rive de toiture en acier laqué CCTB 01.02</w:t>
            </w:r>
            <w:r>
              <w:rPr>
                <w:noProof/>
                <w:webHidden/>
              </w:rPr>
              <w:tab/>
            </w:r>
            <w:r>
              <w:rPr>
                <w:noProof/>
                <w:webHidden/>
              </w:rPr>
              <w:fldChar w:fldCharType="begin"/>
            </w:r>
            <w:r>
              <w:rPr>
                <w:noProof/>
                <w:webHidden/>
              </w:rPr>
              <w:instrText xml:space="preserve"> PAGEREF _Toc220490559 \h </w:instrText>
            </w:r>
            <w:r>
              <w:rPr>
                <w:noProof/>
                <w:webHidden/>
              </w:rPr>
            </w:r>
            <w:r>
              <w:rPr>
                <w:noProof/>
                <w:webHidden/>
              </w:rPr>
              <w:fldChar w:fldCharType="separate"/>
            </w:r>
            <w:r>
              <w:rPr>
                <w:noProof/>
                <w:webHidden/>
              </w:rPr>
              <w:t>551</w:t>
            </w:r>
            <w:r>
              <w:rPr>
                <w:noProof/>
                <w:webHidden/>
              </w:rPr>
              <w:fldChar w:fldCharType="end"/>
            </w:r>
          </w:hyperlink>
        </w:p>
        <w:p w14:paraId="7CF46F9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60" w:history="1">
            <w:r w:rsidRPr="000D551A">
              <w:rPr>
                <w:rStyle w:val="Lienhypertexte"/>
                <w:noProof/>
              </w:rPr>
              <w:t>43.61.2d Profils de rive de toiture en acier inoxydable CCTB 01.02</w:t>
            </w:r>
            <w:r>
              <w:rPr>
                <w:noProof/>
                <w:webHidden/>
              </w:rPr>
              <w:tab/>
            </w:r>
            <w:r>
              <w:rPr>
                <w:noProof/>
                <w:webHidden/>
              </w:rPr>
              <w:fldChar w:fldCharType="begin"/>
            </w:r>
            <w:r>
              <w:rPr>
                <w:noProof/>
                <w:webHidden/>
              </w:rPr>
              <w:instrText xml:space="preserve"> PAGEREF _Toc220490560 \h </w:instrText>
            </w:r>
            <w:r>
              <w:rPr>
                <w:noProof/>
                <w:webHidden/>
              </w:rPr>
            </w:r>
            <w:r>
              <w:rPr>
                <w:noProof/>
                <w:webHidden/>
              </w:rPr>
              <w:fldChar w:fldCharType="separate"/>
            </w:r>
            <w:r>
              <w:rPr>
                <w:noProof/>
                <w:webHidden/>
              </w:rPr>
              <w:t>551</w:t>
            </w:r>
            <w:r>
              <w:rPr>
                <w:noProof/>
                <w:webHidden/>
              </w:rPr>
              <w:fldChar w:fldCharType="end"/>
            </w:r>
          </w:hyperlink>
        </w:p>
        <w:p w14:paraId="486B035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61" w:history="1">
            <w:r w:rsidRPr="000D551A">
              <w:rPr>
                <w:rStyle w:val="Lienhypertexte"/>
                <w:noProof/>
              </w:rPr>
              <w:t>43.61.2e Profils de rive de toiture en matière synthétique CCTB 01.02</w:t>
            </w:r>
            <w:r>
              <w:rPr>
                <w:noProof/>
                <w:webHidden/>
              </w:rPr>
              <w:tab/>
            </w:r>
            <w:r>
              <w:rPr>
                <w:noProof/>
                <w:webHidden/>
              </w:rPr>
              <w:fldChar w:fldCharType="begin"/>
            </w:r>
            <w:r>
              <w:rPr>
                <w:noProof/>
                <w:webHidden/>
              </w:rPr>
              <w:instrText xml:space="preserve"> PAGEREF _Toc220490561 \h </w:instrText>
            </w:r>
            <w:r>
              <w:rPr>
                <w:noProof/>
                <w:webHidden/>
              </w:rPr>
            </w:r>
            <w:r>
              <w:rPr>
                <w:noProof/>
                <w:webHidden/>
              </w:rPr>
              <w:fldChar w:fldCharType="separate"/>
            </w:r>
            <w:r>
              <w:rPr>
                <w:noProof/>
                <w:webHidden/>
              </w:rPr>
              <w:t>551</w:t>
            </w:r>
            <w:r>
              <w:rPr>
                <w:noProof/>
                <w:webHidden/>
              </w:rPr>
              <w:fldChar w:fldCharType="end"/>
            </w:r>
          </w:hyperlink>
        </w:p>
        <w:p w14:paraId="4C6D40D5"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62" w:history="1">
            <w:r w:rsidRPr="000D551A">
              <w:rPr>
                <w:rStyle w:val="Lienhypertexte"/>
                <w:noProof/>
              </w:rPr>
              <w:t>43.61.3 Raccords de rive par éléments souples CCTB 01.02</w:t>
            </w:r>
            <w:r>
              <w:rPr>
                <w:noProof/>
                <w:webHidden/>
              </w:rPr>
              <w:tab/>
            </w:r>
            <w:r>
              <w:rPr>
                <w:noProof/>
                <w:webHidden/>
              </w:rPr>
              <w:fldChar w:fldCharType="begin"/>
            </w:r>
            <w:r>
              <w:rPr>
                <w:noProof/>
                <w:webHidden/>
              </w:rPr>
              <w:instrText xml:space="preserve"> PAGEREF _Toc220490562 \h </w:instrText>
            </w:r>
            <w:r>
              <w:rPr>
                <w:noProof/>
                <w:webHidden/>
              </w:rPr>
            </w:r>
            <w:r>
              <w:rPr>
                <w:noProof/>
                <w:webHidden/>
              </w:rPr>
              <w:fldChar w:fldCharType="separate"/>
            </w:r>
            <w:r>
              <w:rPr>
                <w:noProof/>
                <w:webHidden/>
              </w:rPr>
              <w:t>551</w:t>
            </w:r>
            <w:r>
              <w:rPr>
                <w:noProof/>
                <w:webHidden/>
              </w:rPr>
              <w:fldChar w:fldCharType="end"/>
            </w:r>
          </w:hyperlink>
        </w:p>
        <w:p w14:paraId="165D05BF"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63" w:history="1">
            <w:r w:rsidRPr="000D551A">
              <w:rPr>
                <w:rStyle w:val="Lienhypertexte"/>
                <w:noProof/>
              </w:rPr>
              <w:t>43.62 Solins / contre-solins / bandes de raccords CCTB 01.02</w:t>
            </w:r>
            <w:r>
              <w:rPr>
                <w:noProof/>
                <w:webHidden/>
              </w:rPr>
              <w:tab/>
            </w:r>
            <w:r>
              <w:rPr>
                <w:noProof/>
                <w:webHidden/>
              </w:rPr>
              <w:fldChar w:fldCharType="begin"/>
            </w:r>
            <w:r>
              <w:rPr>
                <w:noProof/>
                <w:webHidden/>
              </w:rPr>
              <w:instrText xml:space="preserve"> PAGEREF _Toc220490563 \h </w:instrText>
            </w:r>
            <w:r>
              <w:rPr>
                <w:noProof/>
                <w:webHidden/>
              </w:rPr>
            </w:r>
            <w:r>
              <w:rPr>
                <w:noProof/>
                <w:webHidden/>
              </w:rPr>
              <w:fldChar w:fldCharType="separate"/>
            </w:r>
            <w:r>
              <w:rPr>
                <w:noProof/>
                <w:webHidden/>
              </w:rPr>
              <w:t>551</w:t>
            </w:r>
            <w:r>
              <w:rPr>
                <w:noProof/>
                <w:webHidden/>
              </w:rPr>
              <w:fldChar w:fldCharType="end"/>
            </w:r>
          </w:hyperlink>
        </w:p>
        <w:p w14:paraId="09B2261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64" w:history="1">
            <w:r w:rsidRPr="000D551A">
              <w:rPr>
                <w:rStyle w:val="Lienhypertexte"/>
                <w:noProof/>
              </w:rPr>
              <w:t>43.62.1 Solins CCTB 01.02</w:t>
            </w:r>
            <w:r>
              <w:rPr>
                <w:noProof/>
                <w:webHidden/>
              </w:rPr>
              <w:tab/>
            </w:r>
            <w:r>
              <w:rPr>
                <w:noProof/>
                <w:webHidden/>
              </w:rPr>
              <w:fldChar w:fldCharType="begin"/>
            </w:r>
            <w:r>
              <w:rPr>
                <w:noProof/>
                <w:webHidden/>
              </w:rPr>
              <w:instrText xml:space="preserve"> PAGEREF _Toc220490564 \h </w:instrText>
            </w:r>
            <w:r>
              <w:rPr>
                <w:noProof/>
                <w:webHidden/>
              </w:rPr>
            </w:r>
            <w:r>
              <w:rPr>
                <w:noProof/>
                <w:webHidden/>
              </w:rPr>
              <w:fldChar w:fldCharType="separate"/>
            </w:r>
            <w:r>
              <w:rPr>
                <w:noProof/>
                <w:webHidden/>
              </w:rPr>
              <w:t>552</w:t>
            </w:r>
            <w:r>
              <w:rPr>
                <w:noProof/>
                <w:webHidden/>
              </w:rPr>
              <w:fldChar w:fldCharType="end"/>
            </w:r>
          </w:hyperlink>
        </w:p>
        <w:p w14:paraId="126CE315"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65" w:history="1">
            <w:r w:rsidRPr="000D551A">
              <w:rPr>
                <w:rStyle w:val="Lienhypertexte"/>
                <w:noProof/>
              </w:rPr>
              <w:t>43.62.2 Contre-solins CCTB 01.02</w:t>
            </w:r>
            <w:r>
              <w:rPr>
                <w:noProof/>
                <w:webHidden/>
              </w:rPr>
              <w:tab/>
            </w:r>
            <w:r>
              <w:rPr>
                <w:noProof/>
                <w:webHidden/>
              </w:rPr>
              <w:fldChar w:fldCharType="begin"/>
            </w:r>
            <w:r>
              <w:rPr>
                <w:noProof/>
                <w:webHidden/>
              </w:rPr>
              <w:instrText xml:space="preserve"> PAGEREF _Toc220490565 \h </w:instrText>
            </w:r>
            <w:r>
              <w:rPr>
                <w:noProof/>
                <w:webHidden/>
              </w:rPr>
            </w:r>
            <w:r>
              <w:rPr>
                <w:noProof/>
                <w:webHidden/>
              </w:rPr>
              <w:fldChar w:fldCharType="separate"/>
            </w:r>
            <w:r>
              <w:rPr>
                <w:noProof/>
                <w:webHidden/>
              </w:rPr>
              <w:t>552</w:t>
            </w:r>
            <w:r>
              <w:rPr>
                <w:noProof/>
                <w:webHidden/>
              </w:rPr>
              <w:fldChar w:fldCharType="end"/>
            </w:r>
          </w:hyperlink>
        </w:p>
        <w:p w14:paraId="7650471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66" w:history="1">
            <w:r w:rsidRPr="000D551A">
              <w:rPr>
                <w:rStyle w:val="Lienhypertexte"/>
                <w:noProof/>
              </w:rPr>
              <w:t>43.62.3 Bandes de raccord CCTB 01.02</w:t>
            </w:r>
            <w:r>
              <w:rPr>
                <w:noProof/>
                <w:webHidden/>
              </w:rPr>
              <w:tab/>
            </w:r>
            <w:r>
              <w:rPr>
                <w:noProof/>
                <w:webHidden/>
              </w:rPr>
              <w:fldChar w:fldCharType="begin"/>
            </w:r>
            <w:r>
              <w:rPr>
                <w:noProof/>
                <w:webHidden/>
              </w:rPr>
              <w:instrText xml:space="preserve"> PAGEREF _Toc220490566 \h </w:instrText>
            </w:r>
            <w:r>
              <w:rPr>
                <w:noProof/>
                <w:webHidden/>
              </w:rPr>
            </w:r>
            <w:r>
              <w:rPr>
                <w:noProof/>
                <w:webHidden/>
              </w:rPr>
              <w:fldChar w:fldCharType="separate"/>
            </w:r>
            <w:r>
              <w:rPr>
                <w:noProof/>
                <w:webHidden/>
              </w:rPr>
              <w:t>552</w:t>
            </w:r>
            <w:r>
              <w:rPr>
                <w:noProof/>
                <w:webHidden/>
              </w:rPr>
              <w:fldChar w:fldCharType="end"/>
            </w:r>
          </w:hyperlink>
        </w:p>
        <w:p w14:paraId="00C4FD01"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67" w:history="1">
            <w:r w:rsidRPr="000D551A">
              <w:rPr>
                <w:rStyle w:val="Lienhypertexte"/>
                <w:noProof/>
              </w:rPr>
              <w:t>43.63 Acrotère / couvre-murs  CCTB 01.02</w:t>
            </w:r>
            <w:r>
              <w:rPr>
                <w:noProof/>
                <w:webHidden/>
              </w:rPr>
              <w:tab/>
            </w:r>
            <w:r>
              <w:rPr>
                <w:noProof/>
                <w:webHidden/>
              </w:rPr>
              <w:fldChar w:fldCharType="begin"/>
            </w:r>
            <w:r>
              <w:rPr>
                <w:noProof/>
                <w:webHidden/>
              </w:rPr>
              <w:instrText xml:space="preserve"> PAGEREF _Toc220490567 \h </w:instrText>
            </w:r>
            <w:r>
              <w:rPr>
                <w:noProof/>
                <w:webHidden/>
              </w:rPr>
            </w:r>
            <w:r>
              <w:rPr>
                <w:noProof/>
                <w:webHidden/>
              </w:rPr>
              <w:fldChar w:fldCharType="separate"/>
            </w:r>
            <w:r>
              <w:rPr>
                <w:noProof/>
                <w:webHidden/>
              </w:rPr>
              <w:t>552</w:t>
            </w:r>
            <w:r>
              <w:rPr>
                <w:noProof/>
                <w:webHidden/>
              </w:rPr>
              <w:fldChar w:fldCharType="end"/>
            </w:r>
          </w:hyperlink>
        </w:p>
        <w:p w14:paraId="202ABE5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68" w:history="1">
            <w:r w:rsidRPr="000D551A">
              <w:rPr>
                <w:rStyle w:val="Lienhypertexte"/>
                <w:noProof/>
              </w:rPr>
              <w:t>43.63.1 Couvre-murs en pierre CCTB 01.02</w:t>
            </w:r>
            <w:r>
              <w:rPr>
                <w:noProof/>
                <w:webHidden/>
              </w:rPr>
              <w:tab/>
            </w:r>
            <w:r>
              <w:rPr>
                <w:noProof/>
                <w:webHidden/>
              </w:rPr>
              <w:fldChar w:fldCharType="begin"/>
            </w:r>
            <w:r>
              <w:rPr>
                <w:noProof/>
                <w:webHidden/>
              </w:rPr>
              <w:instrText xml:space="preserve"> PAGEREF _Toc220490568 \h </w:instrText>
            </w:r>
            <w:r>
              <w:rPr>
                <w:noProof/>
                <w:webHidden/>
              </w:rPr>
            </w:r>
            <w:r>
              <w:rPr>
                <w:noProof/>
                <w:webHidden/>
              </w:rPr>
              <w:fldChar w:fldCharType="separate"/>
            </w:r>
            <w:r>
              <w:rPr>
                <w:noProof/>
                <w:webHidden/>
              </w:rPr>
              <w:t>552</w:t>
            </w:r>
            <w:r>
              <w:rPr>
                <w:noProof/>
                <w:webHidden/>
              </w:rPr>
              <w:fldChar w:fldCharType="end"/>
            </w:r>
          </w:hyperlink>
        </w:p>
        <w:p w14:paraId="22D50B8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69" w:history="1">
            <w:r w:rsidRPr="000D551A">
              <w:rPr>
                <w:rStyle w:val="Lienhypertexte"/>
                <w:noProof/>
              </w:rPr>
              <w:t>43.63.2 Couvre-murs en béton CCTB 01.02</w:t>
            </w:r>
            <w:r>
              <w:rPr>
                <w:noProof/>
                <w:webHidden/>
              </w:rPr>
              <w:tab/>
            </w:r>
            <w:r>
              <w:rPr>
                <w:noProof/>
                <w:webHidden/>
              </w:rPr>
              <w:fldChar w:fldCharType="begin"/>
            </w:r>
            <w:r>
              <w:rPr>
                <w:noProof/>
                <w:webHidden/>
              </w:rPr>
              <w:instrText xml:space="preserve"> PAGEREF _Toc220490569 \h </w:instrText>
            </w:r>
            <w:r>
              <w:rPr>
                <w:noProof/>
                <w:webHidden/>
              </w:rPr>
            </w:r>
            <w:r>
              <w:rPr>
                <w:noProof/>
                <w:webHidden/>
              </w:rPr>
              <w:fldChar w:fldCharType="separate"/>
            </w:r>
            <w:r>
              <w:rPr>
                <w:noProof/>
                <w:webHidden/>
              </w:rPr>
              <w:t>552</w:t>
            </w:r>
            <w:r>
              <w:rPr>
                <w:noProof/>
                <w:webHidden/>
              </w:rPr>
              <w:fldChar w:fldCharType="end"/>
            </w:r>
          </w:hyperlink>
        </w:p>
        <w:p w14:paraId="62287CB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70" w:history="1">
            <w:r w:rsidRPr="000D551A">
              <w:rPr>
                <w:rStyle w:val="Lienhypertexte"/>
                <w:noProof/>
              </w:rPr>
              <w:t>43.63.3 Couvre-murs en terre cuite CCTB 01.02</w:t>
            </w:r>
            <w:r>
              <w:rPr>
                <w:noProof/>
                <w:webHidden/>
              </w:rPr>
              <w:tab/>
            </w:r>
            <w:r>
              <w:rPr>
                <w:noProof/>
                <w:webHidden/>
              </w:rPr>
              <w:fldChar w:fldCharType="begin"/>
            </w:r>
            <w:r>
              <w:rPr>
                <w:noProof/>
                <w:webHidden/>
              </w:rPr>
              <w:instrText xml:space="preserve"> PAGEREF _Toc220490570 \h </w:instrText>
            </w:r>
            <w:r>
              <w:rPr>
                <w:noProof/>
                <w:webHidden/>
              </w:rPr>
            </w:r>
            <w:r>
              <w:rPr>
                <w:noProof/>
                <w:webHidden/>
              </w:rPr>
              <w:fldChar w:fldCharType="separate"/>
            </w:r>
            <w:r>
              <w:rPr>
                <w:noProof/>
                <w:webHidden/>
              </w:rPr>
              <w:t>552</w:t>
            </w:r>
            <w:r>
              <w:rPr>
                <w:noProof/>
                <w:webHidden/>
              </w:rPr>
              <w:fldChar w:fldCharType="end"/>
            </w:r>
          </w:hyperlink>
        </w:p>
        <w:p w14:paraId="464671C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71" w:history="1">
            <w:r w:rsidRPr="000D551A">
              <w:rPr>
                <w:rStyle w:val="Lienhypertexte"/>
                <w:noProof/>
              </w:rPr>
              <w:t>43.63.4 Couvre-murs en fibro-ciment CCTB 01.02</w:t>
            </w:r>
            <w:r>
              <w:rPr>
                <w:noProof/>
                <w:webHidden/>
              </w:rPr>
              <w:tab/>
            </w:r>
            <w:r>
              <w:rPr>
                <w:noProof/>
                <w:webHidden/>
              </w:rPr>
              <w:fldChar w:fldCharType="begin"/>
            </w:r>
            <w:r>
              <w:rPr>
                <w:noProof/>
                <w:webHidden/>
              </w:rPr>
              <w:instrText xml:space="preserve"> PAGEREF _Toc220490571 \h </w:instrText>
            </w:r>
            <w:r>
              <w:rPr>
                <w:noProof/>
                <w:webHidden/>
              </w:rPr>
            </w:r>
            <w:r>
              <w:rPr>
                <w:noProof/>
                <w:webHidden/>
              </w:rPr>
              <w:fldChar w:fldCharType="separate"/>
            </w:r>
            <w:r>
              <w:rPr>
                <w:noProof/>
                <w:webHidden/>
              </w:rPr>
              <w:t>552</w:t>
            </w:r>
            <w:r>
              <w:rPr>
                <w:noProof/>
                <w:webHidden/>
              </w:rPr>
              <w:fldChar w:fldCharType="end"/>
            </w:r>
          </w:hyperlink>
        </w:p>
        <w:p w14:paraId="1787E54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72" w:history="1">
            <w:r w:rsidRPr="000D551A">
              <w:rPr>
                <w:rStyle w:val="Lienhypertexte"/>
                <w:noProof/>
              </w:rPr>
              <w:t>43.63.5 Couvre-murs métalliques CCTB 01.02</w:t>
            </w:r>
            <w:r>
              <w:rPr>
                <w:noProof/>
                <w:webHidden/>
              </w:rPr>
              <w:tab/>
            </w:r>
            <w:r>
              <w:rPr>
                <w:noProof/>
                <w:webHidden/>
              </w:rPr>
              <w:fldChar w:fldCharType="begin"/>
            </w:r>
            <w:r>
              <w:rPr>
                <w:noProof/>
                <w:webHidden/>
              </w:rPr>
              <w:instrText xml:space="preserve"> PAGEREF _Toc220490572 \h </w:instrText>
            </w:r>
            <w:r>
              <w:rPr>
                <w:noProof/>
                <w:webHidden/>
              </w:rPr>
            </w:r>
            <w:r>
              <w:rPr>
                <w:noProof/>
                <w:webHidden/>
              </w:rPr>
              <w:fldChar w:fldCharType="separate"/>
            </w:r>
            <w:r>
              <w:rPr>
                <w:noProof/>
                <w:webHidden/>
              </w:rPr>
              <w:t>552</w:t>
            </w:r>
            <w:r>
              <w:rPr>
                <w:noProof/>
                <w:webHidden/>
              </w:rPr>
              <w:fldChar w:fldCharType="end"/>
            </w:r>
          </w:hyperlink>
        </w:p>
        <w:p w14:paraId="537332D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73" w:history="1">
            <w:r w:rsidRPr="000D551A">
              <w:rPr>
                <w:rStyle w:val="Lienhypertexte"/>
                <w:noProof/>
              </w:rPr>
              <w:t>43.63.5a Couvre-murs en aluminium CCTB 01.02</w:t>
            </w:r>
            <w:r>
              <w:rPr>
                <w:noProof/>
                <w:webHidden/>
              </w:rPr>
              <w:tab/>
            </w:r>
            <w:r>
              <w:rPr>
                <w:noProof/>
                <w:webHidden/>
              </w:rPr>
              <w:fldChar w:fldCharType="begin"/>
            </w:r>
            <w:r>
              <w:rPr>
                <w:noProof/>
                <w:webHidden/>
              </w:rPr>
              <w:instrText xml:space="preserve"> PAGEREF _Toc220490573 \h </w:instrText>
            </w:r>
            <w:r>
              <w:rPr>
                <w:noProof/>
                <w:webHidden/>
              </w:rPr>
            </w:r>
            <w:r>
              <w:rPr>
                <w:noProof/>
                <w:webHidden/>
              </w:rPr>
              <w:fldChar w:fldCharType="separate"/>
            </w:r>
            <w:r>
              <w:rPr>
                <w:noProof/>
                <w:webHidden/>
              </w:rPr>
              <w:t>552</w:t>
            </w:r>
            <w:r>
              <w:rPr>
                <w:noProof/>
                <w:webHidden/>
              </w:rPr>
              <w:fldChar w:fldCharType="end"/>
            </w:r>
          </w:hyperlink>
        </w:p>
        <w:p w14:paraId="0572A42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74" w:history="1">
            <w:r w:rsidRPr="000D551A">
              <w:rPr>
                <w:rStyle w:val="Lienhypertexte"/>
                <w:noProof/>
              </w:rPr>
              <w:t>43.63.5b Couvre-murs en zinc CCTB 01.02</w:t>
            </w:r>
            <w:r>
              <w:rPr>
                <w:noProof/>
                <w:webHidden/>
              </w:rPr>
              <w:tab/>
            </w:r>
            <w:r>
              <w:rPr>
                <w:noProof/>
                <w:webHidden/>
              </w:rPr>
              <w:fldChar w:fldCharType="begin"/>
            </w:r>
            <w:r>
              <w:rPr>
                <w:noProof/>
                <w:webHidden/>
              </w:rPr>
              <w:instrText xml:space="preserve"> PAGEREF _Toc220490574 \h </w:instrText>
            </w:r>
            <w:r>
              <w:rPr>
                <w:noProof/>
                <w:webHidden/>
              </w:rPr>
            </w:r>
            <w:r>
              <w:rPr>
                <w:noProof/>
                <w:webHidden/>
              </w:rPr>
              <w:fldChar w:fldCharType="separate"/>
            </w:r>
            <w:r>
              <w:rPr>
                <w:noProof/>
                <w:webHidden/>
              </w:rPr>
              <w:t>552</w:t>
            </w:r>
            <w:r>
              <w:rPr>
                <w:noProof/>
                <w:webHidden/>
              </w:rPr>
              <w:fldChar w:fldCharType="end"/>
            </w:r>
          </w:hyperlink>
        </w:p>
        <w:p w14:paraId="1A10F0B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75" w:history="1">
            <w:r w:rsidRPr="000D551A">
              <w:rPr>
                <w:rStyle w:val="Lienhypertexte"/>
                <w:noProof/>
              </w:rPr>
              <w:t>43.63.5c Couvre-murs en acier laqué CCTB 01.02</w:t>
            </w:r>
            <w:r>
              <w:rPr>
                <w:noProof/>
                <w:webHidden/>
              </w:rPr>
              <w:tab/>
            </w:r>
            <w:r>
              <w:rPr>
                <w:noProof/>
                <w:webHidden/>
              </w:rPr>
              <w:fldChar w:fldCharType="begin"/>
            </w:r>
            <w:r>
              <w:rPr>
                <w:noProof/>
                <w:webHidden/>
              </w:rPr>
              <w:instrText xml:space="preserve"> PAGEREF _Toc220490575 \h </w:instrText>
            </w:r>
            <w:r>
              <w:rPr>
                <w:noProof/>
                <w:webHidden/>
              </w:rPr>
            </w:r>
            <w:r>
              <w:rPr>
                <w:noProof/>
                <w:webHidden/>
              </w:rPr>
              <w:fldChar w:fldCharType="separate"/>
            </w:r>
            <w:r>
              <w:rPr>
                <w:noProof/>
                <w:webHidden/>
              </w:rPr>
              <w:t>552</w:t>
            </w:r>
            <w:r>
              <w:rPr>
                <w:noProof/>
                <w:webHidden/>
              </w:rPr>
              <w:fldChar w:fldCharType="end"/>
            </w:r>
          </w:hyperlink>
        </w:p>
        <w:p w14:paraId="16EEA5C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76" w:history="1">
            <w:r w:rsidRPr="000D551A">
              <w:rPr>
                <w:rStyle w:val="Lienhypertexte"/>
                <w:noProof/>
              </w:rPr>
              <w:t>43.63.5d Couvre-murs en acier inoxydable CCTB 01.02</w:t>
            </w:r>
            <w:r>
              <w:rPr>
                <w:noProof/>
                <w:webHidden/>
              </w:rPr>
              <w:tab/>
            </w:r>
            <w:r>
              <w:rPr>
                <w:noProof/>
                <w:webHidden/>
              </w:rPr>
              <w:fldChar w:fldCharType="begin"/>
            </w:r>
            <w:r>
              <w:rPr>
                <w:noProof/>
                <w:webHidden/>
              </w:rPr>
              <w:instrText xml:space="preserve"> PAGEREF _Toc220490576 \h </w:instrText>
            </w:r>
            <w:r>
              <w:rPr>
                <w:noProof/>
                <w:webHidden/>
              </w:rPr>
            </w:r>
            <w:r>
              <w:rPr>
                <w:noProof/>
                <w:webHidden/>
              </w:rPr>
              <w:fldChar w:fldCharType="separate"/>
            </w:r>
            <w:r>
              <w:rPr>
                <w:noProof/>
                <w:webHidden/>
              </w:rPr>
              <w:t>552</w:t>
            </w:r>
            <w:r>
              <w:rPr>
                <w:noProof/>
                <w:webHidden/>
              </w:rPr>
              <w:fldChar w:fldCharType="end"/>
            </w:r>
          </w:hyperlink>
        </w:p>
        <w:p w14:paraId="5C5B416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77" w:history="1">
            <w:r w:rsidRPr="000D551A">
              <w:rPr>
                <w:rStyle w:val="Lienhypertexte"/>
                <w:noProof/>
              </w:rPr>
              <w:t>43.63.5e Couvre-murs en plomb</w:t>
            </w:r>
            <w:r>
              <w:rPr>
                <w:noProof/>
                <w:webHidden/>
              </w:rPr>
              <w:tab/>
            </w:r>
            <w:r>
              <w:rPr>
                <w:noProof/>
                <w:webHidden/>
              </w:rPr>
              <w:fldChar w:fldCharType="begin"/>
            </w:r>
            <w:r>
              <w:rPr>
                <w:noProof/>
                <w:webHidden/>
              </w:rPr>
              <w:instrText xml:space="preserve"> PAGEREF _Toc220490577 \h </w:instrText>
            </w:r>
            <w:r>
              <w:rPr>
                <w:noProof/>
                <w:webHidden/>
              </w:rPr>
            </w:r>
            <w:r>
              <w:rPr>
                <w:noProof/>
                <w:webHidden/>
              </w:rPr>
              <w:fldChar w:fldCharType="separate"/>
            </w:r>
            <w:r>
              <w:rPr>
                <w:noProof/>
                <w:webHidden/>
              </w:rPr>
              <w:t>552</w:t>
            </w:r>
            <w:r>
              <w:rPr>
                <w:noProof/>
                <w:webHidden/>
              </w:rPr>
              <w:fldChar w:fldCharType="end"/>
            </w:r>
          </w:hyperlink>
        </w:p>
        <w:p w14:paraId="33E7D78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78" w:history="1">
            <w:r w:rsidRPr="000D551A">
              <w:rPr>
                <w:rStyle w:val="Lienhypertexte"/>
                <w:noProof/>
              </w:rPr>
              <w:t>43.63.6 Couvre-murs en matières synthétiques CCTB 01.02</w:t>
            </w:r>
            <w:r>
              <w:rPr>
                <w:noProof/>
                <w:webHidden/>
              </w:rPr>
              <w:tab/>
            </w:r>
            <w:r>
              <w:rPr>
                <w:noProof/>
                <w:webHidden/>
              </w:rPr>
              <w:fldChar w:fldCharType="begin"/>
            </w:r>
            <w:r>
              <w:rPr>
                <w:noProof/>
                <w:webHidden/>
              </w:rPr>
              <w:instrText xml:space="preserve"> PAGEREF _Toc220490578 \h </w:instrText>
            </w:r>
            <w:r>
              <w:rPr>
                <w:noProof/>
                <w:webHidden/>
              </w:rPr>
            </w:r>
            <w:r>
              <w:rPr>
                <w:noProof/>
                <w:webHidden/>
              </w:rPr>
              <w:fldChar w:fldCharType="separate"/>
            </w:r>
            <w:r>
              <w:rPr>
                <w:noProof/>
                <w:webHidden/>
              </w:rPr>
              <w:t>552</w:t>
            </w:r>
            <w:r>
              <w:rPr>
                <w:noProof/>
                <w:webHidden/>
              </w:rPr>
              <w:fldChar w:fldCharType="end"/>
            </w:r>
          </w:hyperlink>
        </w:p>
        <w:p w14:paraId="6044B6E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79" w:history="1">
            <w:r w:rsidRPr="000D551A">
              <w:rPr>
                <w:rStyle w:val="Lienhypertexte"/>
                <w:noProof/>
              </w:rPr>
              <w:t>43.63.6a Couvre-murs en matière synthétique CCTB 01.02</w:t>
            </w:r>
            <w:r>
              <w:rPr>
                <w:noProof/>
                <w:webHidden/>
              </w:rPr>
              <w:tab/>
            </w:r>
            <w:r>
              <w:rPr>
                <w:noProof/>
                <w:webHidden/>
              </w:rPr>
              <w:fldChar w:fldCharType="begin"/>
            </w:r>
            <w:r>
              <w:rPr>
                <w:noProof/>
                <w:webHidden/>
              </w:rPr>
              <w:instrText xml:space="preserve"> PAGEREF _Toc220490579 \h </w:instrText>
            </w:r>
            <w:r>
              <w:rPr>
                <w:noProof/>
                <w:webHidden/>
              </w:rPr>
            </w:r>
            <w:r>
              <w:rPr>
                <w:noProof/>
                <w:webHidden/>
              </w:rPr>
              <w:fldChar w:fldCharType="separate"/>
            </w:r>
            <w:r>
              <w:rPr>
                <w:noProof/>
                <w:webHidden/>
              </w:rPr>
              <w:t>552</w:t>
            </w:r>
            <w:r>
              <w:rPr>
                <w:noProof/>
                <w:webHidden/>
              </w:rPr>
              <w:fldChar w:fldCharType="end"/>
            </w:r>
          </w:hyperlink>
        </w:p>
        <w:p w14:paraId="472999B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80" w:history="1">
            <w:r w:rsidRPr="000D551A">
              <w:rPr>
                <w:rStyle w:val="Lienhypertexte"/>
                <w:noProof/>
              </w:rPr>
              <w:t>43.63.7 Couvre-murs à base de chaux</w:t>
            </w:r>
            <w:r>
              <w:rPr>
                <w:noProof/>
                <w:webHidden/>
              </w:rPr>
              <w:tab/>
            </w:r>
            <w:r>
              <w:rPr>
                <w:noProof/>
                <w:webHidden/>
              </w:rPr>
              <w:fldChar w:fldCharType="begin"/>
            </w:r>
            <w:r>
              <w:rPr>
                <w:noProof/>
                <w:webHidden/>
              </w:rPr>
              <w:instrText xml:space="preserve"> PAGEREF _Toc220490580 \h </w:instrText>
            </w:r>
            <w:r>
              <w:rPr>
                <w:noProof/>
                <w:webHidden/>
              </w:rPr>
            </w:r>
            <w:r>
              <w:rPr>
                <w:noProof/>
                <w:webHidden/>
              </w:rPr>
              <w:fldChar w:fldCharType="separate"/>
            </w:r>
            <w:r>
              <w:rPr>
                <w:noProof/>
                <w:webHidden/>
              </w:rPr>
              <w:t>552</w:t>
            </w:r>
            <w:r>
              <w:rPr>
                <w:noProof/>
                <w:webHidden/>
              </w:rPr>
              <w:fldChar w:fldCharType="end"/>
            </w:r>
          </w:hyperlink>
        </w:p>
        <w:p w14:paraId="21FB5E4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81" w:history="1">
            <w:r w:rsidRPr="000D551A">
              <w:rPr>
                <w:rStyle w:val="Lienhypertexte"/>
                <w:noProof/>
              </w:rPr>
              <w:t>43.63.7a Couvre-murs à base de chaux</w:t>
            </w:r>
            <w:r>
              <w:rPr>
                <w:noProof/>
                <w:webHidden/>
              </w:rPr>
              <w:tab/>
            </w:r>
            <w:r>
              <w:rPr>
                <w:noProof/>
                <w:webHidden/>
              </w:rPr>
              <w:fldChar w:fldCharType="begin"/>
            </w:r>
            <w:r>
              <w:rPr>
                <w:noProof/>
                <w:webHidden/>
              </w:rPr>
              <w:instrText xml:space="preserve"> PAGEREF _Toc220490581 \h </w:instrText>
            </w:r>
            <w:r>
              <w:rPr>
                <w:noProof/>
                <w:webHidden/>
              </w:rPr>
            </w:r>
            <w:r>
              <w:rPr>
                <w:noProof/>
                <w:webHidden/>
              </w:rPr>
              <w:fldChar w:fldCharType="separate"/>
            </w:r>
            <w:r>
              <w:rPr>
                <w:noProof/>
                <w:webHidden/>
              </w:rPr>
              <w:t>552</w:t>
            </w:r>
            <w:r>
              <w:rPr>
                <w:noProof/>
                <w:webHidden/>
              </w:rPr>
              <w:fldChar w:fldCharType="end"/>
            </w:r>
          </w:hyperlink>
        </w:p>
        <w:p w14:paraId="435D4866"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82" w:history="1">
            <w:r w:rsidRPr="000D551A">
              <w:rPr>
                <w:rStyle w:val="Lienhypertexte"/>
                <w:noProof/>
              </w:rPr>
              <w:t>43.63.8 Couvre-murs végétaux</w:t>
            </w:r>
            <w:r>
              <w:rPr>
                <w:noProof/>
                <w:webHidden/>
              </w:rPr>
              <w:tab/>
            </w:r>
            <w:r>
              <w:rPr>
                <w:noProof/>
                <w:webHidden/>
              </w:rPr>
              <w:fldChar w:fldCharType="begin"/>
            </w:r>
            <w:r>
              <w:rPr>
                <w:noProof/>
                <w:webHidden/>
              </w:rPr>
              <w:instrText xml:space="preserve"> PAGEREF _Toc220490582 \h </w:instrText>
            </w:r>
            <w:r>
              <w:rPr>
                <w:noProof/>
                <w:webHidden/>
              </w:rPr>
            </w:r>
            <w:r>
              <w:rPr>
                <w:noProof/>
                <w:webHidden/>
              </w:rPr>
              <w:fldChar w:fldCharType="separate"/>
            </w:r>
            <w:r>
              <w:rPr>
                <w:noProof/>
                <w:webHidden/>
              </w:rPr>
              <w:t>552</w:t>
            </w:r>
            <w:r>
              <w:rPr>
                <w:noProof/>
                <w:webHidden/>
              </w:rPr>
              <w:fldChar w:fldCharType="end"/>
            </w:r>
          </w:hyperlink>
        </w:p>
        <w:p w14:paraId="6CAF532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83" w:history="1">
            <w:r w:rsidRPr="000D551A">
              <w:rPr>
                <w:rStyle w:val="Lienhypertexte"/>
                <w:noProof/>
              </w:rPr>
              <w:t>43.63.8a Couvre-murs végétaux</w:t>
            </w:r>
            <w:r>
              <w:rPr>
                <w:noProof/>
                <w:webHidden/>
              </w:rPr>
              <w:tab/>
            </w:r>
            <w:r>
              <w:rPr>
                <w:noProof/>
                <w:webHidden/>
              </w:rPr>
              <w:fldChar w:fldCharType="begin"/>
            </w:r>
            <w:r>
              <w:rPr>
                <w:noProof/>
                <w:webHidden/>
              </w:rPr>
              <w:instrText xml:space="preserve"> PAGEREF _Toc220490583 \h </w:instrText>
            </w:r>
            <w:r>
              <w:rPr>
                <w:noProof/>
                <w:webHidden/>
              </w:rPr>
            </w:r>
            <w:r>
              <w:rPr>
                <w:noProof/>
                <w:webHidden/>
              </w:rPr>
              <w:fldChar w:fldCharType="separate"/>
            </w:r>
            <w:r>
              <w:rPr>
                <w:noProof/>
                <w:webHidden/>
              </w:rPr>
              <w:t>553</w:t>
            </w:r>
            <w:r>
              <w:rPr>
                <w:noProof/>
                <w:webHidden/>
              </w:rPr>
              <w:fldChar w:fldCharType="end"/>
            </w:r>
          </w:hyperlink>
        </w:p>
        <w:p w14:paraId="1D1536A4"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584" w:history="1">
            <w:r w:rsidRPr="000D551A">
              <w:rPr>
                <w:rStyle w:val="Lienhypertexte"/>
                <w:noProof/>
              </w:rPr>
              <w:t>43.64 Réalisation de joints CCTB 01.13</w:t>
            </w:r>
            <w:r>
              <w:rPr>
                <w:noProof/>
                <w:webHidden/>
              </w:rPr>
              <w:tab/>
            </w:r>
            <w:r>
              <w:rPr>
                <w:noProof/>
                <w:webHidden/>
              </w:rPr>
              <w:fldChar w:fldCharType="begin"/>
            </w:r>
            <w:r>
              <w:rPr>
                <w:noProof/>
                <w:webHidden/>
              </w:rPr>
              <w:instrText xml:space="preserve"> PAGEREF _Toc220490584 \h </w:instrText>
            </w:r>
            <w:r>
              <w:rPr>
                <w:noProof/>
                <w:webHidden/>
              </w:rPr>
            </w:r>
            <w:r>
              <w:rPr>
                <w:noProof/>
                <w:webHidden/>
              </w:rPr>
              <w:fldChar w:fldCharType="separate"/>
            </w:r>
            <w:r>
              <w:rPr>
                <w:noProof/>
                <w:webHidden/>
              </w:rPr>
              <w:t>553</w:t>
            </w:r>
            <w:r>
              <w:rPr>
                <w:noProof/>
                <w:webHidden/>
              </w:rPr>
              <w:fldChar w:fldCharType="end"/>
            </w:r>
          </w:hyperlink>
        </w:p>
        <w:p w14:paraId="51DDEBA6"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85" w:history="1">
            <w:r w:rsidRPr="000D551A">
              <w:rPr>
                <w:rStyle w:val="Lienhypertexte"/>
                <w:noProof/>
              </w:rPr>
              <w:t>43.64.1 Revêtements de façade - joints de tassement CCTB 01.13</w:t>
            </w:r>
            <w:r>
              <w:rPr>
                <w:noProof/>
                <w:webHidden/>
              </w:rPr>
              <w:tab/>
            </w:r>
            <w:r>
              <w:rPr>
                <w:noProof/>
                <w:webHidden/>
              </w:rPr>
              <w:fldChar w:fldCharType="begin"/>
            </w:r>
            <w:r>
              <w:rPr>
                <w:noProof/>
                <w:webHidden/>
              </w:rPr>
              <w:instrText xml:space="preserve"> PAGEREF _Toc220490585 \h </w:instrText>
            </w:r>
            <w:r>
              <w:rPr>
                <w:noProof/>
                <w:webHidden/>
              </w:rPr>
            </w:r>
            <w:r>
              <w:rPr>
                <w:noProof/>
                <w:webHidden/>
              </w:rPr>
              <w:fldChar w:fldCharType="separate"/>
            </w:r>
            <w:r>
              <w:rPr>
                <w:noProof/>
                <w:webHidden/>
              </w:rPr>
              <w:t>553</w:t>
            </w:r>
            <w:r>
              <w:rPr>
                <w:noProof/>
                <w:webHidden/>
              </w:rPr>
              <w:fldChar w:fldCharType="end"/>
            </w:r>
          </w:hyperlink>
        </w:p>
        <w:p w14:paraId="49A6106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86" w:history="1">
            <w:r w:rsidRPr="000D551A">
              <w:rPr>
                <w:rStyle w:val="Lienhypertexte"/>
                <w:noProof/>
              </w:rPr>
              <w:t>43.64.1a Revêtements de façade - joints de tassement - réalisé in-situ CCTB 01.02</w:t>
            </w:r>
            <w:r>
              <w:rPr>
                <w:noProof/>
                <w:webHidden/>
              </w:rPr>
              <w:tab/>
            </w:r>
            <w:r>
              <w:rPr>
                <w:noProof/>
                <w:webHidden/>
              </w:rPr>
              <w:fldChar w:fldCharType="begin"/>
            </w:r>
            <w:r>
              <w:rPr>
                <w:noProof/>
                <w:webHidden/>
              </w:rPr>
              <w:instrText xml:space="preserve"> PAGEREF _Toc220490586 \h </w:instrText>
            </w:r>
            <w:r>
              <w:rPr>
                <w:noProof/>
                <w:webHidden/>
              </w:rPr>
            </w:r>
            <w:r>
              <w:rPr>
                <w:noProof/>
                <w:webHidden/>
              </w:rPr>
              <w:fldChar w:fldCharType="separate"/>
            </w:r>
            <w:r>
              <w:rPr>
                <w:noProof/>
                <w:webHidden/>
              </w:rPr>
              <w:t>554</w:t>
            </w:r>
            <w:r>
              <w:rPr>
                <w:noProof/>
                <w:webHidden/>
              </w:rPr>
              <w:fldChar w:fldCharType="end"/>
            </w:r>
          </w:hyperlink>
        </w:p>
        <w:p w14:paraId="02CF214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87" w:history="1">
            <w:r w:rsidRPr="000D551A">
              <w:rPr>
                <w:rStyle w:val="Lienhypertexte"/>
                <w:noProof/>
              </w:rPr>
              <w:t>43.64.1b Revêtements de façade - joints de tassement - systèmes préfabriqués CCTB 01.02</w:t>
            </w:r>
            <w:r>
              <w:rPr>
                <w:noProof/>
                <w:webHidden/>
              </w:rPr>
              <w:tab/>
            </w:r>
            <w:r>
              <w:rPr>
                <w:noProof/>
                <w:webHidden/>
              </w:rPr>
              <w:fldChar w:fldCharType="begin"/>
            </w:r>
            <w:r>
              <w:rPr>
                <w:noProof/>
                <w:webHidden/>
              </w:rPr>
              <w:instrText xml:space="preserve"> PAGEREF _Toc220490587 \h </w:instrText>
            </w:r>
            <w:r>
              <w:rPr>
                <w:noProof/>
                <w:webHidden/>
              </w:rPr>
            </w:r>
            <w:r>
              <w:rPr>
                <w:noProof/>
                <w:webHidden/>
              </w:rPr>
              <w:fldChar w:fldCharType="separate"/>
            </w:r>
            <w:r>
              <w:rPr>
                <w:noProof/>
                <w:webHidden/>
              </w:rPr>
              <w:t>554</w:t>
            </w:r>
            <w:r>
              <w:rPr>
                <w:noProof/>
                <w:webHidden/>
              </w:rPr>
              <w:fldChar w:fldCharType="end"/>
            </w:r>
          </w:hyperlink>
        </w:p>
        <w:p w14:paraId="5F3B36B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88" w:history="1">
            <w:r w:rsidRPr="000D551A">
              <w:rPr>
                <w:rStyle w:val="Lienhypertexte"/>
                <w:noProof/>
              </w:rPr>
              <w:t>43.64.2 Revêtements de façade - joints de dilatation CCTB 01.12</w:t>
            </w:r>
            <w:r>
              <w:rPr>
                <w:noProof/>
                <w:webHidden/>
              </w:rPr>
              <w:tab/>
            </w:r>
            <w:r>
              <w:rPr>
                <w:noProof/>
                <w:webHidden/>
              </w:rPr>
              <w:fldChar w:fldCharType="begin"/>
            </w:r>
            <w:r>
              <w:rPr>
                <w:noProof/>
                <w:webHidden/>
              </w:rPr>
              <w:instrText xml:space="preserve"> PAGEREF _Toc220490588 \h </w:instrText>
            </w:r>
            <w:r>
              <w:rPr>
                <w:noProof/>
                <w:webHidden/>
              </w:rPr>
            </w:r>
            <w:r>
              <w:rPr>
                <w:noProof/>
                <w:webHidden/>
              </w:rPr>
              <w:fldChar w:fldCharType="separate"/>
            </w:r>
            <w:r>
              <w:rPr>
                <w:noProof/>
                <w:webHidden/>
              </w:rPr>
              <w:t>554</w:t>
            </w:r>
            <w:r>
              <w:rPr>
                <w:noProof/>
                <w:webHidden/>
              </w:rPr>
              <w:fldChar w:fldCharType="end"/>
            </w:r>
          </w:hyperlink>
        </w:p>
        <w:p w14:paraId="7DAEF99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89" w:history="1">
            <w:r w:rsidRPr="000D551A">
              <w:rPr>
                <w:rStyle w:val="Lienhypertexte"/>
                <w:noProof/>
              </w:rPr>
              <w:t>43.64.2a Revêtements de façade - joints de dilatation - réalisés in-situ CCTB 01.12</w:t>
            </w:r>
            <w:r>
              <w:rPr>
                <w:noProof/>
                <w:webHidden/>
              </w:rPr>
              <w:tab/>
            </w:r>
            <w:r>
              <w:rPr>
                <w:noProof/>
                <w:webHidden/>
              </w:rPr>
              <w:fldChar w:fldCharType="begin"/>
            </w:r>
            <w:r>
              <w:rPr>
                <w:noProof/>
                <w:webHidden/>
              </w:rPr>
              <w:instrText xml:space="preserve"> PAGEREF _Toc220490589 \h </w:instrText>
            </w:r>
            <w:r>
              <w:rPr>
                <w:noProof/>
                <w:webHidden/>
              </w:rPr>
            </w:r>
            <w:r>
              <w:rPr>
                <w:noProof/>
                <w:webHidden/>
              </w:rPr>
              <w:fldChar w:fldCharType="separate"/>
            </w:r>
            <w:r>
              <w:rPr>
                <w:noProof/>
                <w:webHidden/>
              </w:rPr>
              <w:t>555</w:t>
            </w:r>
            <w:r>
              <w:rPr>
                <w:noProof/>
                <w:webHidden/>
              </w:rPr>
              <w:fldChar w:fldCharType="end"/>
            </w:r>
          </w:hyperlink>
        </w:p>
        <w:p w14:paraId="3CAA61B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0" w:history="1">
            <w:r w:rsidRPr="000D551A">
              <w:rPr>
                <w:rStyle w:val="Lienhypertexte"/>
                <w:noProof/>
              </w:rPr>
              <w:t>43.64.2b Revêtements de façade - joints de dilatation - systèmes préfabriqués CCTB 01.02</w:t>
            </w:r>
            <w:r>
              <w:rPr>
                <w:noProof/>
                <w:webHidden/>
              </w:rPr>
              <w:tab/>
            </w:r>
            <w:r>
              <w:rPr>
                <w:noProof/>
                <w:webHidden/>
              </w:rPr>
              <w:fldChar w:fldCharType="begin"/>
            </w:r>
            <w:r>
              <w:rPr>
                <w:noProof/>
                <w:webHidden/>
              </w:rPr>
              <w:instrText xml:space="preserve"> PAGEREF _Toc220490590 \h </w:instrText>
            </w:r>
            <w:r>
              <w:rPr>
                <w:noProof/>
                <w:webHidden/>
              </w:rPr>
            </w:r>
            <w:r>
              <w:rPr>
                <w:noProof/>
                <w:webHidden/>
              </w:rPr>
              <w:fldChar w:fldCharType="separate"/>
            </w:r>
            <w:r>
              <w:rPr>
                <w:noProof/>
                <w:webHidden/>
              </w:rPr>
              <w:t>557</w:t>
            </w:r>
            <w:r>
              <w:rPr>
                <w:noProof/>
                <w:webHidden/>
              </w:rPr>
              <w:fldChar w:fldCharType="end"/>
            </w:r>
          </w:hyperlink>
        </w:p>
        <w:p w14:paraId="6F744C9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91" w:history="1">
            <w:r w:rsidRPr="000D551A">
              <w:rPr>
                <w:rStyle w:val="Lienhypertexte"/>
                <w:noProof/>
              </w:rPr>
              <w:t>43.64.3 Revêtements de façade - joints de désolidarisation CCTB 01.13</w:t>
            </w:r>
            <w:r>
              <w:rPr>
                <w:noProof/>
                <w:webHidden/>
              </w:rPr>
              <w:tab/>
            </w:r>
            <w:r>
              <w:rPr>
                <w:noProof/>
                <w:webHidden/>
              </w:rPr>
              <w:fldChar w:fldCharType="begin"/>
            </w:r>
            <w:r>
              <w:rPr>
                <w:noProof/>
                <w:webHidden/>
              </w:rPr>
              <w:instrText xml:space="preserve"> PAGEREF _Toc220490591 \h </w:instrText>
            </w:r>
            <w:r>
              <w:rPr>
                <w:noProof/>
                <w:webHidden/>
              </w:rPr>
            </w:r>
            <w:r>
              <w:rPr>
                <w:noProof/>
                <w:webHidden/>
              </w:rPr>
              <w:fldChar w:fldCharType="separate"/>
            </w:r>
            <w:r>
              <w:rPr>
                <w:noProof/>
                <w:webHidden/>
              </w:rPr>
              <w:t>557</w:t>
            </w:r>
            <w:r>
              <w:rPr>
                <w:noProof/>
                <w:webHidden/>
              </w:rPr>
              <w:fldChar w:fldCharType="end"/>
            </w:r>
          </w:hyperlink>
        </w:p>
        <w:p w14:paraId="5BAA971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2" w:history="1">
            <w:r w:rsidRPr="000D551A">
              <w:rPr>
                <w:rStyle w:val="Lienhypertexte"/>
                <w:noProof/>
              </w:rPr>
              <w:t>43.64.3a Revêtements de façade - joints de désolidarisation - réalisé in-situ CCTB 01.02</w:t>
            </w:r>
            <w:r>
              <w:rPr>
                <w:noProof/>
                <w:webHidden/>
              </w:rPr>
              <w:tab/>
            </w:r>
            <w:r>
              <w:rPr>
                <w:noProof/>
                <w:webHidden/>
              </w:rPr>
              <w:fldChar w:fldCharType="begin"/>
            </w:r>
            <w:r>
              <w:rPr>
                <w:noProof/>
                <w:webHidden/>
              </w:rPr>
              <w:instrText xml:space="preserve"> PAGEREF _Toc220490592 \h </w:instrText>
            </w:r>
            <w:r>
              <w:rPr>
                <w:noProof/>
                <w:webHidden/>
              </w:rPr>
            </w:r>
            <w:r>
              <w:rPr>
                <w:noProof/>
                <w:webHidden/>
              </w:rPr>
              <w:fldChar w:fldCharType="separate"/>
            </w:r>
            <w:r>
              <w:rPr>
                <w:noProof/>
                <w:webHidden/>
              </w:rPr>
              <w:t>557</w:t>
            </w:r>
            <w:r>
              <w:rPr>
                <w:noProof/>
                <w:webHidden/>
              </w:rPr>
              <w:fldChar w:fldCharType="end"/>
            </w:r>
          </w:hyperlink>
        </w:p>
        <w:p w14:paraId="3A73389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3" w:history="1">
            <w:r w:rsidRPr="000D551A">
              <w:rPr>
                <w:rStyle w:val="Lienhypertexte"/>
                <w:noProof/>
              </w:rPr>
              <w:t>43.64.3b Revêtements de façade - joints de désolidarisation - systèmes préfabriqués CCTB 01.13</w:t>
            </w:r>
            <w:r>
              <w:rPr>
                <w:noProof/>
                <w:webHidden/>
              </w:rPr>
              <w:tab/>
            </w:r>
            <w:r>
              <w:rPr>
                <w:noProof/>
                <w:webHidden/>
              </w:rPr>
              <w:fldChar w:fldCharType="begin"/>
            </w:r>
            <w:r>
              <w:rPr>
                <w:noProof/>
                <w:webHidden/>
              </w:rPr>
              <w:instrText xml:space="preserve"> PAGEREF _Toc220490593 \h </w:instrText>
            </w:r>
            <w:r>
              <w:rPr>
                <w:noProof/>
                <w:webHidden/>
              </w:rPr>
            </w:r>
            <w:r>
              <w:rPr>
                <w:noProof/>
                <w:webHidden/>
              </w:rPr>
              <w:fldChar w:fldCharType="separate"/>
            </w:r>
            <w:r>
              <w:rPr>
                <w:noProof/>
                <w:webHidden/>
              </w:rPr>
              <w:t>557</w:t>
            </w:r>
            <w:r>
              <w:rPr>
                <w:noProof/>
                <w:webHidden/>
              </w:rPr>
              <w:fldChar w:fldCharType="end"/>
            </w:r>
          </w:hyperlink>
        </w:p>
        <w:p w14:paraId="714E5CD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594" w:history="1">
            <w:r w:rsidRPr="000D551A">
              <w:rPr>
                <w:rStyle w:val="Lienhypertexte"/>
                <w:noProof/>
              </w:rPr>
              <w:t>43.64.4 Joints d'étanchéité - systèmes étanches</w:t>
            </w:r>
            <w:r>
              <w:rPr>
                <w:noProof/>
                <w:webHidden/>
              </w:rPr>
              <w:tab/>
            </w:r>
            <w:r>
              <w:rPr>
                <w:noProof/>
                <w:webHidden/>
              </w:rPr>
              <w:fldChar w:fldCharType="begin"/>
            </w:r>
            <w:r>
              <w:rPr>
                <w:noProof/>
                <w:webHidden/>
              </w:rPr>
              <w:instrText xml:space="preserve"> PAGEREF _Toc220490594 \h </w:instrText>
            </w:r>
            <w:r>
              <w:rPr>
                <w:noProof/>
                <w:webHidden/>
              </w:rPr>
            </w:r>
            <w:r>
              <w:rPr>
                <w:noProof/>
                <w:webHidden/>
              </w:rPr>
              <w:fldChar w:fldCharType="separate"/>
            </w:r>
            <w:r>
              <w:rPr>
                <w:noProof/>
                <w:webHidden/>
              </w:rPr>
              <w:t>559</w:t>
            </w:r>
            <w:r>
              <w:rPr>
                <w:noProof/>
                <w:webHidden/>
              </w:rPr>
              <w:fldChar w:fldCharType="end"/>
            </w:r>
          </w:hyperlink>
        </w:p>
        <w:p w14:paraId="664C33C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5" w:history="1">
            <w:r w:rsidRPr="000D551A">
              <w:rPr>
                <w:rStyle w:val="Lienhypertexte"/>
                <w:noProof/>
              </w:rPr>
              <w:t>43.64.4a Joints d'étanchéité préformés</w:t>
            </w:r>
            <w:r>
              <w:rPr>
                <w:noProof/>
                <w:webHidden/>
              </w:rPr>
              <w:tab/>
            </w:r>
            <w:r>
              <w:rPr>
                <w:noProof/>
                <w:webHidden/>
              </w:rPr>
              <w:fldChar w:fldCharType="begin"/>
            </w:r>
            <w:r>
              <w:rPr>
                <w:noProof/>
                <w:webHidden/>
              </w:rPr>
              <w:instrText xml:space="preserve"> PAGEREF _Toc220490595 \h </w:instrText>
            </w:r>
            <w:r>
              <w:rPr>
                <w:noProof/>
                <w:webHidden/>
              </w:rPr>
            </w:r>
            <w:r>
              <w:rPr>
                <w:noProof/>
                <w:webHidden/>
              </w:rPr>
              <w:fldChar w:fldCharType="separate"/>
            </w:r>
            <w:r>
              <w:rPr>
                <w:noProof/>
                <w:webHidden/>
              </w:rPr>
              <w:t>559</w:t>
            </w:r>
            <w:r>
              <w:rPr>
                <w:noProof/>
                <w:webHidden/>
              </w:rPr>
              <w:fldChar w:fldCharType="end"/>
            </w:r>
          </w:hyperlink>
        </w:p>
        <w:p w14:paraId="146ABEB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6" w:history="1">
            <w:r w:rsidRPr="000D551A">
              <w:rPr>
                <w:rStyle w:val="Lienhypertexte"/>
                <w:noProof/>
              </w:rPr>
              <w:t>43.64.4b Joints d'étanchéité gonflants</w:t>
            </w:r>
            <w:r>
              <w:rPr>
                <w:noProof/>
                <w:webHidden/>
              </w:rPr>
              <w:tab/>
            </w:r>
            <w:r>
              <w:rPr>
                <w:noProof/>
                <w:webHidden/>
              </w:rPr>
              <w:fldChar w:fldCharType="begin"/>
            </w:r>
            <w:r>
              <w:rPr>
                <w:noProof/>
                <w:webHidden/>
              </w:rPr>
              <w:instrText xml:space="preserve"> PAGEREF _Toc220490596 \h </w:instrText>
            </w:r>
            <w:r>
              <w:rPr>
                <w:noProof/>
                <w:webHidden/>
              </w:rPr>
            </w:r>
            <w:r>
              <w:rPr>
                <w:noProof/>
                <w:webHidden/>
              </w:rPr>
              <w:fldChar w:fldCharType="separate"/>
            </w:r>
            <w:r>
              <w:rPr>
                <w:noProof/>
                <w:webHidden/>
              </w:rPr>
              <w:t>559</w:t>
            </w:r>
            <w:r>
              <w:rPr>
                <w:noProof/>
                <w:webHidden/>
              </w:rPr>
              <w:fldChar w:fldCharType="end"/>
            </w:r>
          </w:hyperlink>
        </w:p>
        <w:p w14:paraId="5E2279F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7" w:history="1">
            <w:r w:rsidRPr="000D551A">
              <w:rPr>
                <w:rStyle w:val="Lienhypertexte"/>
                <w:noProof/>
              </w:rPr>
              <w:t>43.64.4c Systèmes étanches pour traversées de murs CCTB 01.12</w:t>
            </w:r>
            <w:r>
              <w:rPr>
                <w:noProof/>
                <w:webHidden/>
              </w:rPr>
              <w:tab/>
            </w:r>
            <w:r>
              <w:rPr>
                <w:noProof/>
                <w:webHidden/>
              </w:rPr>
              <w:fldChar w:fldCharType="begin"/>
            </w:r>
            <w:r>
              <w:rPr>
                <w:noProof/>
                <w:webHidden/>
              </w:rPr>
              <w:instrText xml:space="preserve"> PAGEREF _Toc220490597 \h </w:instrText>
            </w:r>
            <w:r>
              <w:rPr>
                <w:noProof/>
                <w:webHidden/>
              </w:rPr>
            </w:r>
            <w:r>
              <w:rPr>
                <w:noProof/>
                <w:webHidden/>
              </w:rPr>
              <w:fldChar w:fldCharType="separate"/>
            </w:r>
            <w:r>
              <w:rPr>
                <w:noProof/>
                <w:webHidden/>
              </w:rPr>
              <w:t>559</w:t>
            </w:r>
            <w:r>
              <w:rPr>
                <w:noProof/>
                <w:webHidden/>
              </w:rPr>
              <w:fldChar w:fldCharType="end"/>
            </w:r>
          </w:hyperlink>
        </w:p>
        <w:p w14:paraId="6BAF027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8" w:history="1">
            <w:r w:rsidRPr="000D551A">
              <w:rPr>
                <w:rStyle w:val="Lienhypertexte"/>
                <w:noProof/>
              </w:rPr>
              <w:t>43.64.4d Mastics d'étanchéité élastiques CCTB 01.11</w:t>
            </w:r>
            <w:r>
              <w:rPr>
                <w:noProof/>
                <w:webHidden/>
              </w:rPr>
              <w:tab/>
            </w:r>
            <w:r>
              <w:rPr>
                <w:noProof/>
                <w:webHidden/>
              </w:rPr>
              <w:fldChar w:fldCharType="begin"/>
            </w:r>
            <w:r>
              <w:rPr>
                <w:noProof/>
                <w:webHidden/>
              </w:rPr>
              <w:instrText xml:space="preserve"> PAGEREF _Toc220490598 \h </w:instrText>
            </w:r>
            <w:r>
              <w:rPr>
                <w:noProof/>
                <w:webHidden/>
              </w:rPr>
            </w:r>
            <w:r>
              <w:rPr>
                <w:noProof/>
                <w:webHidden/>
              </w:rPr>
              <w:fldChar w:fldCharType="separate"/>
            </w:r>
            <w:r>
              <w:rPr>
                <w:noProof/>
                <w:webHidden/>
              </w:rPr>
              <w:t>561</w:t>
            </w:r>
            <w:r>
              <w:rPr>
                <w:noProof/>
                <w:webHidden/>
              </w:rPr>
              <w:fldChar w:fldCharType="end"/>
            </w:r>
          </w:hyperlink>
        </w:p>
        <w:p w14:paraId="33FEF02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599" w:history="1">
            <w:r w:rsidRPr="000D551A">
              <w:rPr>
                <w:rStyle w:val="Lienhypertexte"/>
                <w:noProof/>
              </w:rPr>
              <w:t>43.64.4e Mastics d'étanchéité plastiques CCTB 01.11</w:t>
            </w:r>
            <w:r>
              <w:rPr>
                <w:noProof/>
                <w:webHidden/>
              </w:rPr>
              <w:tab/>
            </w:r>
            <w:r>
              <w:rPr>
                <w:noProof/>
                <w:webHidden/>
              </w:rPr>
              <w:fldChar w:fldCharType="begin"/>
            </w:r>
            <w:r>
              <w:rPr>
                <w:noProof/>
                <w:webHidden/>
              </w:rPr>
              <w:instrText xml:space="preserve"> PAGEREF _Toc220490599 \h </w:instrText>
            </w:r>
            <w:r>
              <w:rPr>
                <w:noProof/>
                <w:webHidden/>
              </w:rPr>
            </w:r>
            <w:r>
              <w:rPr>
                <w:noProof/>
                <w:webHidden/>
              </w:rPr>
              <w:fldChar w:fldCharType="separate"/>
            </w:r>
            <w:r>
              <w:rPr>
                <w:noProof/>
                <w:webHidden/>
              </w:rPr>
              <w:t>562</w:t>
            </w:r>
            <w:r>
              <w:rPr>
                <w:noProof/>
                <w:webHidden/>
              </w:rPr>
              <w:fldChar w:fldCharType="end"/>
            </w:r>
          </w:hyperlink>
        </w:p>
        <w:p w14:paraId="5650602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00" w:history="1">
            <w:r w:rsidRPr="000D551A">
              <w:rPr>
                <w:rStyle w:val="Lienhypertexte"/>
                <w:noProof/>
              </w:rPr>
              <w:t>43.64.4f Mastics d'étanchéité gonflants CCTB 01.02</w:t>
            </w:r>
            <w:r>
              <w:rPr>
                <w:noProof/>
                <w:webHidden/>
              </w:rPr>
              <w:tab/>
            </w:r>
            <w:r>
              <w:rPr>
                <w:noProof/>
                <w:webHidden/>
              </w:rPr>
              <w:fldChar w:fldCharType="begin"/>
            </w:r>
            <w:r>
              <w:rPr>
                <w:noProof/>
                <w:webHidden/>
              </w:rPr>
              <w:instrText xml:space="preserve"> PAGEREF _Toc220490600 \h </w:instrText>
            </w:r>
            <w:r>
              <w:rPr>
                <w:noProof/>
                <w:webHidden/>
              </w:rPr>
            </w:r>
            <w:r>
              <w:rPr>
                <w:noProof/>
                <w:webHidden/>
              </w:rPr>
              <w:fldChar w:fldCharType="separate"/>
            </w:r>
            <w:r>
              <w:rPr>
                <w:noProof/>
                <w:webHidden/>
              </w:rPr>
              <w:t>562</w:t>
            </w:r>
            <w:r>
              <w:rPr>
                <w:noProof/>
                <w:webHidden/>
              </w:rPr>
              <w:fldChar w:fldCharType="end"/>
            </w:r>
          </w:hyperlink>
        </w:p>
        <w:p w14:paraId="6486DE9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01" w:history="1">
            <w:r w:rsidRPr="000D551A">
              <w:rPr>
                <w:rStyle w:val="Lienhypertexte"/>
                <w:noProof/>
              </w:rPr>
              <w:t>43.64.4g Mastics résistants au feu CCTB 01.02</w:t>
            </w:r>
            <w:r>
              <w:rPr>
                <w:noProof/>
                <w:webHidden/>
              </w:rPr>
              <w:tab/>
            </w:r>
            <w:r>
              <w:rPr>
                <w:noProof/>
                <w:webHidden/>
              </w:rPr>
              <w:fldChar w:fldCharType="begin"/>
            </w:r>
            <w:r>
              <w:rPr>
                <w:noProof/>
                <w:webHidden/>
              </w:rPr>
              <w:instrText xml:space="preserve"> PAGEREF _Toc220490601 \h </w:instrText>
            </w:r>
            <w:r>
              <w:rPr>
                <w:noProof/>
                <w:webHidden/>
              </w:rPr>
            </w:r>
            <w:r>
              <w:rPr>
                <w:noProof/>
                <w:webHidden/>
              </w:rPr>
              <w:fldChar w:fldCharType="separate"/>
            </w:r>
            <w:r>
              <w:rPr>
                <w:noProof/>
                <w:webHidden/>
              </w:rPr>
              <w:t>562</w:t>
            </w:r>
            <w:r>
              <w:rPr>
                <w:noProof/>
                <w:webHidden/>
              </w:rPr>
              <w:fldChar w:fldCharType="end"/>
            </w:r>
          </w:hyperlink>
        </w:p>
        <w:p w14:paraId="25170A53"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02" w:history="1">
            <w:r w:rsidRPr="000D551A">
              <w:rPr>
                <w:rStyle w:val="Lienhypertexte"/>
                <w:noProof/>
              </w:rPr>
              <w:t>43.65 Etanchéisation de joints CCTB 01.02</w:t>
            </w:r>
            <w:r>
              <w:rPr>
                <w:noProof/>
                <w:webHidden/>
              </w:rPr>
              <w:tab/>
            </w:r>
            <w:r>
              <w:rPr>
                <w:noProof/>
                <w:webHidden/>
              </w:rPr>
              <w:fldChar w:fldCharType="begin"/>
            </w:r>
            <w:r>
              <w:rPr>
                <w:noProof/>
                <w:webHidden/>
              </w:rPr>
              <w:instrText xml:space="preserve"> PAGEREF _Toc220490602 \h </w:instrText>
            </w:r>
            <w:r>
              <w:rPr>
                <w:noProof/>
                <w:webHidden/>
              </w:rPr>
            </w:r>
            <w:r>
              <w:rPr>
                <w:noProof/>
                <w:webHidden/>
              </w:rPr>
              <w:fldChar w:fldCharType="separate"/>
            </w:r>
            <w:r>
              <w:rPr>
                <w:noProof/>
                <w:webHidden/>
              </w:rPr>
              <w:t>562</w:t>
            </w:r>
            <w:r>
              <w:rPr>
                <w:noProof/>
                <w:webHidden/>
              </w:rPr>
              <w:fldChar w:fldCharType="end"/>
            </w:r>
          </w:hyperlink>
        </w:p>
        <w:p w14:paraId="7FF3CB18"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03" w:history="1">
            <w:r w:rsidRPr="000D551A">
              <w:rPr>
                <w:rStyle w:val="Lienhypertexte"/>
                <w:noProof/>
              </w:rPr>
              <w:t>43.66 Finitions particulières de joints CCTB 01.02</w:t>
            </w:r>
            <w:r>
              <w:rPr>
                <w:noProof/>
                <w:webHidden/>
              </w:rPr>
              <w:tab/>
            </w:r>
            <w:r>
              <w:rPr>
                <w:noProof/>
                <w:webHidden/>
              </w:rPr>
              <w:fldChar w:fldCharType="begin"/>
            </w:r>
            <w:r>
              <w:rPr>
                <w:noProof/>
                <w:webHidden/>
              </w:rPr>
              <w:instrText xml:space="preserve"> PAGEREF _Toc220490603 \h </w:instrText>
            </w:r>
            <w:r>
              <w:rPr>
                <w:noProof/>
                <w:webHidden/>
              </w:rPr>
            </w:r>
            <w:r>
              <w:rPr>
                <w:noProof/>
                <w:webHidden/>
              </w:rPr>
              <w:fldChar w:fldCharType="separate"/>
            </w:r>
            <w:r>
              <w:rPr>
                <w:noProof/>
                <w:webHidden/>
              </w:rPr>
              <w:t>562</w:t>
            </w:r>
            <w:r>
              <w:rPr>
                <w:noProof/>
                <w:webHidden/>
              </w:rPr>
              <w:fldChar w:fldCharType="end"/>
            </w:r>
          </w:hyperlink>
        </w:p>
        <w:p w14:paraId="46C359B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04" w:history="1">
            <w:r w:rsidRPr="000D551A">
              <w:rPr>
                <w:rStyle w:val="Lienhypertexte"/>
                <w:noProof/>
              </w:rPr>
              <w:t>43.66.1 Couvre-joints  CCTB 01.02</w:t>
            </w:r>
            <w:r>
              <w:rPr>
                <w:noProof/>
                <w:webHidden/>
              </w:rPr>
              <w:tab/>
            </w:r>
            <w:r>
              <w:rPr>
                <w:noProof/>
                <w:webHidden/>
              </w:rPr>
              <w:fldChar w:fldCharType="begin"/>
            </w:r>
            <w:r>
              <w:rPr>
                <w:noProof/>
                <w:webHidden/>
              </w:rPr>
              <w:instrText xml:space="preserve"> PAGEREF _Toc220490604 \h </w:instrText>
            </w:r>
            <w:r>
              <w:rPr>
                <w:noProof/>
                <w:webHidden/>
              </w:rPr>
            </w:r>
            <w:r>
              <w:rPr>
                <w:noProof/>
                <w:webHidden/>
              </w:rPr>
              <w:fldChar w:fldCharType="separate"/>
            </w:r>
            <w:r>
              <w:rPr>
                <w:noProof/>
                <w:webHidden/>
              </w:rPr>
              <w:t>562</w:t>
            </w:r>
            <w:r>
              <w:rPr>
                <w:noProof/>
                <w:webHidden/>
              </w:rPr>
              <w:fldChar w:fldCharType="end"/>
            </w:r>
          </w:hyperlink>
        </w:p>
        <w:p w14:paraId="4F55C76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05" w:history="1">
            <w:r w:rsidRPr="000D551A">
              <w:rPr>
                <w:rStyle w:val="Lienhypertexte"/>
                <w:noProof/>
              </w:rPr>
              <w:t>43.66.1a Couvre-joints métallique CCTB 01.02</w:t>
            </w:r>
            <w:r>
              <w:rPr>
                <w:noProof/>
                <w:webHidden/>
              </w:rPr>
              <w:tab/>
            </w:r>
            <w:r>
              <w:rPr>
                <w:noProof/>
                <w:webHidden/>
              </w:rPr>
              <w:fldChar w:fldCharType="begin"/>
            </w:r>
            <w:r>
              <w:rPr>
                <w:noProof/>
                <w:webHidden/>
              </w:rPr>
              <w:instrText xml:space="preserve"> PAGEREF _Toc220490605 \h </w:instrText>
            </w:r>
            <w:r>
              <w:rPr>
                <w:noProof/>
                <w:webHidden/>
              </w:rPr>
            </w:r>
            <w:r>
              <w:rPr>
                <w:noProof/>
                <w:webHidden/>
              </w:rPr>
              <w:fldChar w:fldCharType="separate"/>
            </w:r>
            <w:r>
              <w:rPr>
                <w:noProof/>
                <w:webHidden/>
              </w:rPr>
              <w:t>562</w:t>
            </w:r>
            <w:r>
              <w:rPr>
                <w:noProof/>
                <w:webHidden/>
              </w:rPr>
              <w:fldChar w:fldCharType="end"/>
            </w:r>
          </w:hyperlink>
        </w:p>
        <w:p w14:paraId="28CE9E6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06" w:history="1">
            <w:r w:rsidRPr="000D551A">
              <w:rPr>
                <w:rStyle w:val="Lienhypertexte"/>
                <w:noProof/>
              </w:rPr>
              <w:t>43.66.1b Couvre-joints synthétique CCTB 01.02</w:t>
            </w:r>
            <w:r>
              <w:rPr>
                <w:noProof/>
                <w:webHidden/>
              </w:rPr>
              <w:tab/>
            </w:r>
            <w:r>
              <w:rPr>
                <w:noProof/>
                <w:webHidden/>
              </w:rPr>
              <w:fldChar w:fldCharType="begin"/>
            </w:r>
            <w:r>
              <w:rPr>
                <w:noProof/>
                <w:webHidden/>
              </w:rPr>
              <w:instrText xml:space="preserve"> PAGEREF _Toc220490606 \h </w:instrText>
            </w:r>
            <w:r>
              <w:rPr>
                <w:noProof/>
                <w:webHidden/>
              </w:rPr>
            </w:r>
            <w:r>
              <w:rPr>
                <w:noProof/>
                <w:webHidden/>
              </w:rPr>
              <w:fldChar w:fldCharType="separate"/>
            </w:r>
            <w:r>
              <w:rPr>
                <w:noProof/>
                <w:webHidden/>
              </w:rPr>
              <w:t>562</w:t>
            </w:r>
            <w:r>
              <w:rPr>
                <w:noProof/>
                <w:webHidden/>
              </w:rPr>
              <w:fldChar w:fldCharType="end"/>
            </w:r>
          </w:hyperlink>
        </w:p>
        <w:p w14:paraId="19A041F8"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07" w:history="1">
            <w:r w:rsidRPr="000D551A">
              <w:rPr>
                <w:rStyle w:val="Lienhypertexte"/>
                <w:noProof/>
              </w:rPr>
              <w:t>43.7 -</w:t>
            </w:r>
            <w:r>
              <w:rPr>
                <w:noProof/>
                <w:webHidden/>
              </w:rPr>
              <w:tab/>
            </w:r>
            <w:r>
              <w:rPr>
                <w:noProof/>
                <w:webHidden/>
              </w:rPr>
              <w:fldChar w:fldCharType="begin"/>
            </w:r>
            <w:r>
              <w:rPr>
                <w:noProof/>
                <w:webHidden/>
              </w:rPr>
              <w:instrText xml:space="preserve"> PAGEREF _Toc220490607 \h </w:instrText>
            </w:r>
            <w:r>
              <w:rPr>
                <w:noProof/>
                <w:webHidden/>
              </w:rPr>
            </w:r>
            <w:r>
              <w:rPr>
                <w:noProof/>
                <w:webHidden/>
              </w:rPr>
              <w:fldChar w:fldCharType="separate"/>
            </w:r>
            <w:r>
              <w:rPr>
                <w:noProof/>
                <w:webHidden/>
              </w:rPr>
              <w:t>563</w:t>
            </w:r>
            <w:r>
              <w:rPr>
                <w:noProof/>
                <w:webHidden/>
              </w:rPr>
              <w:fldChar w:fldCharType="end"/>
            </w:r>
          </w:hyperlink>
        </w:p>
        <w:p w14:paraId="340F8B6E"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08" w:history="1">
            <w:r w:rsidRPr="000D551A">
              <w:rPr>
                <w:rStyle w:val="Lienhypertexte"/>
                <w:noProof/>
              </w:rPr>
              <w:t>43.71 Revêtements de façade rigides fixés mécaniquement - façades et murs verts (végétalisés) CCTB 01.13</w:t>
            </w:r>
            <w:r>
              <w:rPr>
                <w:noProof/>
                <w:webHidden/>
              </w:rPr>
              <w:tab/>
            </w:r>
            <w:r>
              <w:rPr>
                <w:noProof/>
                <w:webHidden/>
              </w:rPr>
              <w:fldChar w:fldCharType="begin"/>
            </w:r>
            <w:r>
              <w:rPr>
                <w:noProof/>
                <w:webHidden/>
              </w:rPr>
              <w:instrText xml:space="preserve"> PAGEREF _Toc220490608 \h </w:instrText>
            </w:r>
            <w:r>
              <w:rPr>
                <w:noProof/>
                <w:webHidden/>
              </w:rPr>
            </w:r>
            <w:r>
              <w:rPr>
                <w:noProof/>
                <w:webHidden/>
              </w:rPr>
              <w:fldChar w:fldCharType="separate"/>
            </w:r>
            <w:r>
              <w:rPr>
                <w:noProof/>
                <w:webHidden/>
              </w:rPr>
              <w:t>563</w:t>
            </w:r>
            <w:r>
              <w:rPr>
                <w:noProof/>
                <w:webHidden/>
              </w:rPr>
              <w:fldChar w:fldCharType="end"/>
            </w:r>
          </w:hyperlink>
        </w:p>
        <w:p w14:paraId="5364C79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09" w:history="1">
            <w:r w:rsidRPr="000D551A">
              <w:rPr>
                <w:rStyle w:val="Lienhypertexte"/>
                <w:noProof/>
              </w:rPr>
              <w:t>43.71.1 Revêtements de façade rigides fixés mécaniquement - façades vertes CCTB 01.13</w:t>
            </w:r>
            <w:r>
              <w:rPr>
                <w:noProof/>
                <w:webHidden/>
              </w:rPr>
              <w:tab/>
            </w:r>
            <w:r>
              <w:rPr>
                <w:noProof/>
                <w:webHidden/>
              </w:rPr>
              <w:fldChar w:fldCharType="begin"/>
            </w:r>
            <w:r>
              <w:rPr>
                <w:noProof/>
                <w:webHidden/>
              </w:rPr>
              <w:instrText xml:space="preserve"> PAGEREF _Toc220490609 \h </w:instrText>
            </w:r>
            <w:r>
              <w:rPr>
                <w:noProof/>
                <w:webHidden/>
              </w:rPr>
            </w:r>
            <w:r>
              <w:rPr>
                <w:noProof/>
                <w:webHidden/>
              </w:rPr>
              <w:fldChar w:fldCharType="separate"/>
            </w:r>
            <w:r>
              <w:rPr>
                <w:noProof/>
                <w:webHidden/>
              </w:rPr>
              <w:t>564</w:t>
            </w:r>
            <w:r>
              <w:rPr>
                <w:noProof/>
                <w:webHidden/>
              </w:rPr>
              <w:fldChar w:fldCharType="end"/>
            </w:r>
          </w:hyperlink>
        </w:p>
        <w:p w14:paraId="5C4AA4E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10" w:history="1">
            <w:r w:rsidRPr="000D551A">
              <w:rPr>
                <w:rStyle w:val="Lienhypertexte"/>
                <w:noProof/>
              </w:rPr>
              <w:t>43.71.1a Revêtements de façade rigides fixés mécaniquement - façades vertes sans support d'accrochage CCTB 01.13</w:t>
            </w:r>
            <w:r>
              <w:rPr>
                <w:noProof/>
                <w:webHidden/>
              </w:rPr>
              <w:tab/>
            </w:r>
            <w:r>
              <w:rPr>
                <w:noProof/>
                <w:webHidden/>
              </w:rPr>
              <w:fldChar w:fldCharType="begin"/>
            </w:r>
            <w:r>
              <w:rPr>
                <w:noProof/>
                <w:webHidden/>
              </w:rPr>
              <w:instrText xml:space="preserve"> PAGEREF _Toc220490610 \h </w:instrText>
            </w:r>
            <w:r>
              <w:rPr>
                <w:noProof/>
                <w:webHidden/>
              </w:rPr>
            </w:r>
            <w:r>
              <w:rPr>
                <w:noProof/>
                <w:webHidden/>
              </w:rPr>
              <w:fldChar w:fldCharType="separate"/>
            </w:r>
            <w:r>
              <w:rPr>
                <w:noProof/>
                <w:webHidden/>
              </w:rPr>
              <w:t>565</w:t>
            </w:r>
            <w:r>
              <w:rPr>
                <w:noProof/>
                <w:webHidden/>
              </w:rPr>
              <w:fldChar w:fldCharType="end"/>
            </w:r>
          </w:hyperlink>
        </w:p>
        <w:p w14:paraId="36A52E1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11" w:history="1">
            <w:r w:rsidRPr="000D551A">
              <w:rPr>
                <w:rStyle w:val="Lienhypertexte"/>
                <w:noProof/>
              </w:rPr>
              <w:t>43.71.1b Revêtements de façade rigides fixés mécaniquement - façades vertes avec support d'accrochage CCTB 01.13</w:t>
            </w:r>
            <w:r>
              <w:rPr>
                <w:noProof/>
                <w:webHidden/>
              </w:rPr>
              <w:tab/>
            </w:r>
            <w:r>
              <w:rPr>
                <w:noProof/>
                <w:webHidden/>
              </w:rPr>
              <w:fldChar w:fldCharType="begin"/>
            </w:r>
            <w:r>
              <w:rPr>
                <w:noProof/>
                <w:webHidden/>
              </w:rPr>
              <w:instrText xml:space="preserve"> PAGEREF _Toc220490611 \h </w:instrText>
            </w:r>
            <w:r>
              <w:rPr>
                <w:noProof/>
                <w:webHidden/>
              </w:rPr>
            </w:r>
            <w:r>
              <w:rPr>
                <w:noProof/>
                <w:webHidden/>
              </w:rPr>
              <w:fldChar w:fldCharType="separate"/>
            </w:r>
            <w:r>
              <w:rPr>
                <w:noProof/>
                <w:webHidden/>
              </w:rPr>
              <w:t>566</w:t>
            </w:r>
            <w:r>
              <w:rPr>
                <w:noProof/>
                <w:webHidden/>
              </w:rPr>
              <w:fldChar w:fldCharType="end"/>
            </w:r>
          </w:hyperlink>
        </w:p>
        <w:p w14:paraId="79E567EA"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12" w:history="1">
            <w:r w:rsidRPr="000D551A">
              <w:rPr>
                <w:rStyle w:val="Lienhypertexte"/>
                <w:noProof/>
              </w:rPr>
              <w:t>43.8 Revêtements de façade - rénovation</w:t>
            </w:r>
            <w:r>
              <w:rPr>
                <w:noProof/>
                <w:webHidden/>
              </w:rPr>
              <w:tab/>
            </w:r>
            <w:r>
              <w:rPr>
                <w:noProof/>
                <w:webHidden/>
              </w:rPr>
              <w:fldChar w:fldCharType="begin"/>
            </w:r>
            <w:r>
              <w:rPr>
                <w:noProof/>
                <w:webHidden/>
              </w:rPr>
              <w:instrText xml:space="preserve"> PAGEREF _Toc220490612 \h </w:instrText>
            </w:r>
            <w:r>
              <w:rPr>
                <w:noProof/>
                <w:webHidden/>
              </w:rPr>
            </w:r>
            <w:r>
              <w:rPr>
                <w:noProof/>
                <w:webHidden/>
              </w:rPr>
              <w:fldChar w:fldCharType="separate"/>
            </w:r>
            <w:r>
              <w:rPr>
                <w:noProof/>
                <w:webHidden/>
              </w:rPr>
              <w:t>569</w:t>
            </w:r>
            <w:r>
              <w:rPr>
                <w:noProof/>
                <w:webHidden/>
              </w:rPr>
              <w:fldChar w:fldCharType="end"/>
            </w:r>
          </w:hyperlink>
        </w:p>
        <w:p w14:paraId="70D0741D" w14:textId="77777777" w:rsidR="00FA36CF" w:rsidRDefault="00FA36CF">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0613" w:history="1">
            <w:r w:rsidRPr="000D551A">
              <w:rPr>
                <w:rStyle w:val="Lienhypertexte"/>
                <w:noProof/>
              </w:rPr>
              <w:t>44 Etanchéisation et isolation des parois extérieures CCTB 01.04</w:t>
            </w:r>
            <w:r>
              <w:rPr>
                <w:noProof/>
                <w:webHidden/>
              </w:rPr>
              <w:tab/>
            </w:r>
            <w:r>
              <w:rPr>
                <w:noProof/>
                <w:webHidden/>
              </w:rPr>
              <w:fldChar w:fldCharType="begin"/>
            </w:r>
            <w:r>
              <w:rPr>
                <w:noProof/>
                <w:webHidden/>
              </w:rPr>
              <w:instrText xml:space="preserve"> PAGEREF _Toc220490613 \h </w:instrText>
            </w:r>
            <w:r>
              <w:rPr>
                <w:noProof/>
                <w:webHidden/>
              </w:rPr>
            </w:r>
            <w:r>
              <w:rPr>
                <w:noProof/>
                <w:webHidden/>
              </w:rPr>
              <w:fldChar w:fldCharType="separate"/>
            </w:r>
            <w:r>
              <w:rPr>
                <w:noProof/>
                <w:webHidden/>
              </w:rPr>
              <w:t>569</w:t>
            </w:r>
            <w:r>
              <w:rPr>
                <w:noProof/>
                <w:webHidden/>
              </w:rPr>
              <w:fldChar w:fldCharType="end"/>
            </w:r>
          </w:hyperlink>
        </w:p>
        <w:p w14:paraId="08038356"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14" w:history="1">
            <w:r w:rsidRPr="000D551A">
              <w:rPr>
                <w:rStyle w:val="Lienhypertexte"/>
                <w:noProof/>
              </w:rPr>
              <w:t>44.1 Etanchéité aux matières liquides CCTB 01.04</w:t>
            </w:r>
            <w:r>
              <w:rPr>
                <w:noProof/>
                <w:webHidden/>
              </w:rPr>
              <w:tab/>
            </w:r>
            <w:r>
              <w:rPr>
                <w:noProof/>
                <w:webHidden/>
              </w:rPr>
              <w:fldChar w:fldCharType="begin"/>
            </w:r>
            <w:r>
              <w:rPr>
                <w:noProof/>
                <w:webHidden/>
              </w:rPr>
              <w:instrText xml:space="preserve"> PAGEREF _Toc220490614 \h </w:instrText>
            </w:r>
            <w:r>
              <w:rPr>
                <w:noProof/>
                <w:webHidden/>
              </w:rPr>
            </w:r>
            <w:r>
              <w:rPr>
                <w:noProof/>
                <w:webHidden/>
              </w:rPr>
              <w:fldChar w:fldCharType="separate"/>
            </w:r>
            <w:r>
              <w:rPr>
                <w:noProof/>
                <w:webHidden/>
              </w:rPr>
              <w:t>569</w:t>
            </w:r>
            <w:r>
              <w:rPr>
                <w:noProof/>
                <w:webHidden/>
              </w:rPr>
              <w:fldChar w:fldCharType="end"/>
            </w:r>
          </w:hyperlink>
        </w:p>
        <w:p w14:paraId="09D22508"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15" w:history="1">
            <w:r w:rsidRPr="000D551A">
              <w:rPr>
                <w:rStyle w:val="Lienhypertexte"/>
                <w:noProof/>
              </w:rPr>
              <w:t>44.11 Etanchéité par membrane  CCTB 01.04</w:t>
            </w:r>
            <w:r>
              <w:rPr>
                <w:noProof/>
                <w:webHidden/>
              </w:rPr>
              <w:tab/>
            </w:r>
            <w:r>
              <w:rPr>
                <w:noProof/>
                <w:webHidden/>
              </w:rPr>
              <w:fldChar w:fldCharType="begin"/>
            </w:r>
            <w:r>
              <w:rPr>
                <w:noProof/>
                <w:webHidden/>
              </w:rPr>
              <w:instrText xml:space="preserve"> PAGEREF _Toc220490615 \h </w:instrText>
            </w:r>
            <w:r>
              <w:rPr>
                <w:noProof/>
                <w:webHidden/>
              </w:rPr>
            </w:r>
            <w:r>
              <w:rPr>
                <w:noProof/>
                <w:webHidden/>
              </w:rPr>
              <w:fldChar w:fldCharType="separate"/>
            </w:r>
            <w:r>
              <w:rPr>
                <w:noProof/>
                <w:webHidden/>
              </w:rPr>
              <w:t>569</w:t>
            </w:r>
            <w:r>
              <w:rPr>
                <w:noProof/>
                <w:webHidden/>
              </w:rPr>
              <w:fldChar w:fldCharType="end"/>
            </w:r>
          </w:hyperlink>
        </w:p>
        <w:p w14:paraId="5DE34C8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16" w:history="1">
            <w:r w:rsidRPr="000D551A">
              <w:rPr>
                <w:rStyle w:val="Lienhypertexte"/>
                <w:noProof/>
              </w:rPr>
              <w:t>44.11.1 Membranes bitumineuses CCTB 01.10</w:t>
            </w:r>
            <w:r>
              <w:rPr>
                <w:noProof/>
                <w:webHidden/>
              </w:rPr>
              <w:tab/>
            </w:r>
            <w:r>
              <w:rPr>
                <w:noProof/>
                <w:webHidden/>
              </w:rPr>
              <w:fldChar w:fldCharType="begin"/>
            </w:r>
            <w:r>
              <w:rPr>
                <w:noProof/>
                <w:webHidden/>
              </w:rPr>
              <w:instrText xml:space="preserve"> PAGEREF _Toc220490616 \h </w:instrText>
            </w:r>
            <w:r>
              <w:rPr>
                <w:noProof/>
                <w:webHidden/>
              </w:rPr>
            </w:r>
            <w:r>
              <w:rPr>
                <w:noProof/>
                <w:webHidden/>
              </w:rPr>
              <w:fldChar w:fldCharType="separate"/>
            </w:r>
            <w:r>
              <w:rPr>
                <w:noProof/>
                <w:webHidden/>
              </w:rPr>
              <w:t>569</w:t>
            </w:r>
            <w:r>
              <w:rPr>
                <w:noProof/>
                <w:webHidden/>
              </w:rPr>
              <w:fldChar w:fldCharType="end"/>
            </w:r>
          </w:hyperlink>
        </w:p>
        <w:p w14:paraId="73FB4F06"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17" w:history="1">
            <w:r w:rsidRPr="000D551A">
              <w:rPr>
                <w:rStyle w:val="Lienhypertexte"/>
                <w:noProof/>
              </w:rPr>
              <w:t>44.11.2 Membranes synthétiques CCTB 01.10</w:t>
            </w:r>
            <w:r>
              <w:rPr>
                <w:noProof/>
                <w:webHidden/>
              </w:rPr>
              <w:tab/>
            </w:r>
            <w:r>
              <w:rPr>
                <w:noProof/>
                <w:webHidden/>
              </w:rPr>
              <w:fldChar w:fldCharType="begin"/>
            </w:r>
            <w:r>
              <w:rPr>
                <w:noProof/>
                <w:webHidden/>
              </w:rPr>
              <w:instrText xml:space="preserve"> PAGEREF _Toc220490617 \h </w:instrText>
            </w:r>
            <w:r>
              <w:rPr>
                <w:noProof/>
                <w:webHidden/>
              </w:rPr>
            </w:r>
            <w:r>
              <w:rPr>
                <w:noProof/>
                <w:webHidden/>
              </w:rPr>
              <w:fldChar w:fldCharType="separate"/>
            </w:r>
            <w:r>
              <w:rPr>
                <w:noProof/>
                <w:webHidden/>
              </w:rPr>
              <w:t>569</w:t>
            </w:r>
            <w:r>
              <w:rPr>
                <w:noProof/>
                <w:webHidden/>
              </w:rPr>
              <w:fldChar w:fldCharType="end"/>
            </w:r>
          </w:hyperlink>
        </w:p>
        <w:p w14:paraId="0B1388AD"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18" w:history="1">
            <w:r w:rsidRPr="000D551A">
              <w:rPr>
                <w:rStyle w:val="Lienhypertexte"/>
                <w:noProof/>
              </w:rPr>
              <w:t>44.12 Etanchéité liquide CCTB 01.04</w:t>
            </w:r>
            <w:r>
              <w:rPr>
                <w:noProof/>
                <w:webHidden/>
              </w:rPr>
              <w:tab/>
            </w:r>
            <w:r>
              <w:rPr>
                <w:noProof/>
                <w:webHidden/>
              </w:rPr>
              <w:fldChar w:fldCharType="begin"/>
            </w:r>
            <w:r>
              <w:rPr>
                <w:noProof/>
                <w:webHidden/>
              </w:rPr>
              <w:instrText xml:space="preserve"> PAGEREF _Toc220490618 \h </w:instrText>
            </w:r>
            <w:r>
              <w:rPr>
                <w:noProof/>
                <w:webHidden/>
              </w:rPr>
            </w:r>
            <w:r>
              <w:rPr>
                <w:noProof/>
                <w:webHidden/>
              </w:rPr>
              <w:fldChar w:fldCharType="separate"/>
            </w:r>
            <w:r>
              <w:rPr>
                <w:noProof/>
                <w:webHidden/>
              </w:rPr>
              <w:t>569</w:t>
            </w:r>
            <w:r>
              <w:rPr>
                <w:noProof/>
                <w:webHidden/>
              </w:rPr>
              <w:fldChar w:fldCharType="end"/>
            </w:r>
          </w:hyperlink>
        </w:p>
        <w:p w14:paraId="076F131E"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19" w:history="1">
            <w:r w:rsidRPr="000D551A">
              <w:rPr>
                <w:rStyle w:val="Lienhypertexte"/>
                <w:noProof/>
              </w:rPr>
              <w:t>44.13 Pare-pluie souples CCTB 01.10</w:t>
            </w:r>
            <w:r>
              <w:rPr>
                <w:noProof/>
                <w:webHidden/>
              </w:rPr>
              <w:tab/>
            </w:r>
            <w:r>
              <w:rPr>
                <w:noProof/>
                <w:webHidden/>
              </w:rPr>
              <w:fldChar w:fldCharType="begin"/>
            </w:r>
            <w:r>
              <w:rPr>
                <w:noProof/>
                <w:webHidden/>
              </w:rPr>
              <w:instrText xml:space="preserve"> PAGEREF _Toc220490619 \h </w:instrText>
            </w:r>
            <w:r>
              <w:rPr>
                <w:noProof/>
                <w:webHidden/>
              </w:rPr>
            </w:r>
            <w:r>
              <w:rPr>
                <w:noProof/>
                <w:webHidden/>
              </w:rPr>
              <w:fldChar w:fldCharType="separate"/>
            </w:r>
            <w:r>
              <w:rPr>
                <w:noProof/>
                <w:webHidden/>
              </w:rPr>
              <w:t>569</w:t>
            </w:r>
            <w:r>
              <w:rPr>
                <w:noProof/>
                <w:webHidden/>
              </w:rPr>
              <w:fldChar w:fldCharType="end"/>
            </w:r>
          </w:hyperlink>
        </w:p>
        <w:p w14:paraId="4B3D173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20" w:history="1">
            <w:r w:rsidRPr="000D551A">
              <w:rPr>
                <w:rStyle w:val="Lienhypertexte"/>
                <w:noProof/>
              </w:rPr>
              <w:t>44.13.1 Pare-pluie en membranes CCTB 01.02</w:t>
            </w:r>
            <w:r>
              <w:rPr>
                <w:noProof/>
                <w:webHidden/>
              </w:rPr>
              <w:tab/>
            </w:r>
            <w:r>
              <w:rPr>
                <w:noProof/>
                <w:webHidden/>
              </w:rPr>
              <w:fldChar w:fldCharType="begin"/>
            </w:r>
            <w:r>
              <w:rPr>
                <w:noProof/>
                <w:webHidden/>
              </w:rPr>
              <w:instrText xml:space="preserve"> PAGEREF _Toc220490620 \h </w:instrText>
            </w:r>
            <w:r>
              <w:rPr>
                <w:noProof/>
                <w:webHidden/>
              </w:rPr>
            </w:r>
            <w:r>
              <w:rPr>
                <w:noProof/>
                <w:webHidden/>
              </w:rPr>
              <w:fldChar w:fldCharType="separate"/>
            </w:r>
            <w:r>
              <w:rPr>
                <w:noProof/>
                <w:webHidden/>
              </w:rPr>
              <w:t>569</w:t>
            </w:r>
            <w:r>
              <w:rPr>
                <w:noProof/>
                <w:webHidden/>
              </w:rPr>
              <w:fldChar w:fldCharType="end"/>
            </w:r>
          </w:hyperlink>
        </w:p>
        <w:p w14:paraId="01AFED4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21" w:history="1">
            <w:r w:rsidRPr="000D551A">
              <w:rPr>
                <w:rStyle w:val="Lienhypertexte"/>
                <w:noProof/>
              </w:rPr>
              <w:t>44.13.1a Membranes en polypropylène CCTB 01.02</w:t>
            </w:r>
            <w:r>
              <w:rPr>
                <w:noProof/>
                <w:webHidden/>
              </w:rPr>
              <w:tab/>
            </w:r>
            <w:r>
              <w:rPr>
                <w:noProof/>
                <w:webHidden/>
              </w:rPr>
              <w:fldChar w:fldCharType="begin"/>
            </w:r>
            <w:r>
              <w:rPr>
                <w:noProof/>
                <w:webHidden/>
              </w:rPr>
              <w:instrText xml:space="preserve"> PAGEREF _Toc220490621 \h </w:instrText>
            </w:r>
            <w:r>
              <w:rPr>
                <w:noProof/>
                <w:webHidden/>
              </w:rPr>
            </w:r>
            <w:r>
              <w:rPr>
                <w:noProof/>
                <w:webHidden/>
              </w:rPr>
              <w:fldChar w:fldCharType="separate"/>
            </w:r>
            <w:r>
              <w:rPr>
                <w:noProof/>
                <w:webHidden/>
              </w:rPr>
              <w:t>569</w:t>
            </w:r>
            <w:r>
              <w:rPr>
                <w:noProof/>
                <w:webHidden/>
              </w:rPr>
              <w:fldChar w:fldCharType="end"/>
            </w:r>
          </w:hyperlink>
        </w:p>
        <w:p w14:paraId="552F5A6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22" w:history="1">
            <w:r w:rsidRPr="000D551A">
              <w:rPr>
                <w:rStyle w:val="Lienhypertexte"/>
                <w:noProof/>
              </w:rPr>
              <w:t>44.13.1b Membranes en matière synthétique CCTB 01.10</w:t>
            </w:r>
            <w:r>
              <w:rPr>
                <w:noProof/>
                <w:webHidden/>
              </w:rPr>
              <w:tab/>
            </w:r>
            <w:r>
              <w:rPr>
                <w:noProof/>
                <w:webHidden/>
              </w:rPr>
              <w:fldChar w:fldCharType="begin"/>
            </w:r>
            <w:r>
              <w:rPr>
                <w:noProof/>
                <w:webHidden/>
              </w:rPr>
              <w:instrText xml:space="preserve"> PAGEREF _Toc220490622 \h </w:instrText>
            </w:r>
            <w:r>
              <w:rPr>
                <w:noProof/>
                <w:webHidden/>
              </w:rPr>
            </w:r>
            <w:r>
              <w:rPr>
                <w:noProof/>
                <w:webHidden/>
              </w:rPr>
              <w:fldChar w:fldCharType="separate"/>
            </w:r>
            <w:r>
              <w:rPr>
                <w:noProof/>
                <w:webHidden/>
              </w:rPr>
              <w:t>570</w:t>
            </w:r>
            <w:r>
              <w:rPr>
                <w:noProof/>
                <w:webHidden/>
              </w:rPr>
              <w:fldChar w:fldCharType="end"/>
            </w:r>
          </w:hyperlink>
        </w:p>
        <w:p w14:paraId="14ACA49A"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23" w:history="1">
            <w:r w:rsidRPr="000D551A">
              <w:rPr>
                <w:rStyle w:val="Lienhypertexte"/>
                <w:noProof/>
              </w:rPr>
              <w:t>44.14 Pare-pluie rigides CCTB 01.11</w:t>
            </w:r>
            <w:r>
              <w:rPr>
                <w:noProof/>
                <w:webHidden/>
              </w:rPr>
              <w:tab/>
            </w:r>
            <w:r>
              <w:rPr>
                <w:noProof/>
                <w:webHidden/>
              </w:rPr>
              <w:fldChar w:fldCharType="begin"/>
            </w:r>
            <w:r>
              <w:rPr>
                <w:noProof/>
                <w:webHidden/>
              </w:rPr>
              <w:instrText xml:space="preserve"> PAGEREF _Toc220490623 \h </w:instrText>
            </w:r>
            <w:r>
              <w:rPr>
                <w:noProof/>
                <w:webHidden/>
              </w:rPr>
            </w:r>
            <w:r>
              <w:rPr>
                <w:noProof/>
                <w:webHidden/>
              </w:rPr>
              <w:fldChar w:fldCharType="separate"/>
            </w:r>
            <w:r>
              <w:rPr>
                <w:noProof/>
                <w:webHidden/>
              </w:rPr>
              <w:t>571</w:t>
            </w:r>
            <w:r>
              <w:rPr>
                <w:noProof/>
                <w:webHidden/>
              </w:rPr>
              <w:fldChar w:fldCharType="end"/>
            </w:r>
          </w:hyperlink>
        </w:p>
        <w:p w14:paraId="3E33576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24" w:history="1">
            <w:r w:rsidRPr="000D551A">
              <w:rPr>
                <w:rStyle w:val="Lienhypertexte"/>
                <w:noProof/>
              </w:rPr>
              <w:t>44.14.1 Pare-pluie en plaques CCTB 01.02</w:t>
            </w:r>
            <w:r>
              <w:rPr>
                <w:noProof/>
                <w:webHidden/>
              </w:rPr>
              <w:tab/>
            </w:r>
            <w:r>
              <w:rPr>
                <w:noProof/>
                <w:webHidden/>
              </w:rPr>
              <w:fldChar w:fldCharType="begin"/>
            </w:r>
            <w:r>
              <w:rPr>
                <w:noProof/>
                <w:webHidden/>
              </w:rPr>
              <w:instrText xml:space="preserve"> PAGEREF _Toc220490624 \h </w:instrText>
            </w:r>
            <w:r>
              <w:rPr>
                <w:noProof/>
                <w:webHidden/>
              </w:rPr>
            </w:r>
            <w:r>
              <w:rPr>
                <w:noProof/>
                <w:webHidden/>
              </w:rPr>
              <w:fldChar w:fldCharType="separate"/>
            </w:r>
            <w:r>
              <w:rPr>
                <w:noProof/>
                <w:webHidden/>
              </w:rPr>
              <w:t>572</w:t>
            </w:r>
            <w:r>
              <w:rPr>
                <w:noProof/>
                <w:webHidden/>
              </w:rPr>
              <w:fldChar w:fldCharType="end"/>
            </w:r>
          </w:hyperlink>
        </w:p>
        <w:p w14:paraId="52ABD6E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25" w:history="1">
            <w:r w:rsidRPr="000D551A">
              <w:rPr>
                <w:rStyle w:val="Lienhypertexte"/>
                <w:noProof/>
              </w:rPr>
              <w:t>44.14.1a Plaques en fibres-ciment CCTB 01.02</w:t>
            </w:r>
            <w:r>
              <w:rPr>
                <w:noProof/>
                <w:webHidden/>
              </w:rPr>
              <w:tab/>
            </w:r>
            <w:r>
              <w:rPr>
                <w:noProof/>
                <w:webHidden/>
              </w:rPr>
              <w:fldChar w:fldCharType="begin"/>
            </w:r>
            <w:r>
              <w:rPr>
                <w:noProof/>
                <w:webHidden/>
              </w:rPr>
              <w:instrText xml:space="preserve"> PAGEREF _Toc220490625 \h </w:instrText>
            </w:r>
            <w:r>
              <w:rPr>
                <w:noProof/>
                <w:webHidden/>
              </w:rPr>
            </w:r>
            <w:r>
              <w:rPr>
                <w:noProof/>
                <w:webHidden/>
              </w:rPr>
              <w:fldChar w:fldCharType="separate"/>
            </w:r>
            <w:r>
              <w:rPr>
                <w:noProof/>
                <w:webHidden/>
              </w:rPr>
              <w:t>572</w:t>
            </w:r>
            <w:r>
              <w:rPr>
                <w:noProof/>
                <w:webHidden/>
              </w:rPr>
              <w:fldChar w:fldCharType="end"/>
            </w:r>
          </w:hyperlink>
        </w:p>
        <w:p w14:paraId="255FBA9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26" w:history="1">
            <w:r w:rsidRPr="000D551A">
              <w:rPr>
                <w:rStyle w:val="Lienhypertexte"/>
                <w:noProof/>
              </w:rPr>
              <w:t>44.14.2 Pare-pluie en panneaux CCTB 01.11</w:t>
            </w:r>
            <w:r>
              <w:rPr>
                <w:noProof/>
                <w:webHidden/>
              </w:rPr>
              <w:tab/>
            </w:r>
            <w:r>
              <w:rPr>
                <w:noProof/>
                <w:webHidden/>
              </w:rPr>
              <w:fldChar w:fldCharType="begin"/>
            </w:r>
            <w:r>
              <w:rPr>
                <w:noProof/>
                <w:webHidden/>
              </w:rPr>
              <w:instrText xml:space="preserve"> PAGEREF _Toc220490626 \h </w:instrText>
            </w:r>
            <w:r>
              <w:rPr>
                <w:noProof/>
                <w:webHidden/>
              </w:rPr>
            </w:r>
            <w:r>
              <w:rPr>
                <w:noProof/>
                <w:webHidden/>
              </w:rPr>
              <w:fldChar w:fldCharType="separate"/>
            </w:r>
            <w:r>
              <w:rPr>
                <w:noProof/>
                <w:webHidden/>
              </w:rPr>
              <w:t>572</w:t>
            </w:r>
            <w:r>
              <w:rPr>
                <w:noProof/>
                <w:webHidden/>
              </w:rPr>
              <w:fldChar w:fldCharType="end"/>
            </w:r>
          </w:hyperlink>
        </w:p>
        <w:p w14:paraId="648579C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27" w:history="1">
            <w:r w:rsidRPr="000D551A">
              <w:rPr>
                <w:rStyle w:val="Lienhypertexte"/>
                <w:noProof/>
              </w:rPr>
              <w:t>44.14.2a Panneaux pare-pluie à une face en polystyrène extrudé (XPS) CCTB 01.02</w:t>
            </w:r>
            <w:r>
              <w:rPr>
                <w:noProof/>
                <w:webHidden/>
              </w:rPr>
              <w:tab/>
            </w:r>
            <w:r>
              <w:rPr>
                <w:noProof/>
                <w:webHidden/>
              </w:rPr>
              <w:fldChar w:fldCharType="begin"/>
            </w:r>
            <w:r>
              <w:rPr>
                <w:noProof/>
                <w:webHidden/>
              </w:rPr>
              <w:instrText xml:space="preserve"> PAGEREF _Toc220490627 \h </w:instrText>
            </w:r>
            <w:r>
              <w:rPr>
                <w:noProof/>
                <w:webHidden/>
              </w:rPr>
            </w:r>
            <w:r>
              <w:rPr>
                <w:noProof/>
                <w:webHidden/>
              </w:rPr>
              <w:fldChar w:fldCharType="separate"/>
            </w:r>
            <w:r>
              <w:rPr>
                <w:noProof/>
                <w:webHidden/>
              </w:rPr>
              <w:t>572</w:t>
            </w:r>
            <w:r>
              <w:rPr>
                <w:noProof/>
                <w:webHidden/>
              </w:rPr>
              <w:fldChar w:fldCharType="end"/>
            </w:r>
          </w:hyperlink>
        </w:p>
        <w:p w14:paraId="6F9CF7F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28" w:history="1">
            <w:r w:rsidRPr="000D551A">
              <w:rPr>
                <w:rStyle w:val="Lienhypertexte"/>
                <w:noProof/>
              </w:rPr>
              <w:t>44.14.2b Panneaux pare-pluie à une face en polyuréthane (PUR) CCTB 01.11</w:t>
            </w:r>
            <w:r>
              <w:rPr>
                <w:noProof/>
                <w:webHidden/>
              </w:rPr>
              <w:tab/>
            </w:r>
            <w:r>
              <w:rPr>
                <w:noProof/>
                <w:webHidden/>
              </w:rPr>
              <w:fldChar w:fldCharType="begin"/>
            </w:r>
            <w:r>
              <w:rPr>
                <w:noProof/>
                <w:webHidden/>
              </w:rPr>
              <w:instrText xml:space="preserve"> PAGEREF _Toc220490628 \h </w:instrText>
            </w:r>
            <w:r>
              <w:rPr>
                <w:noProof/>
                <w:webHidden/>
              </w:rPr>
            </w:r>
            <w:r>
              <w:rPr>
                <w:noProof/>
                <w:webHidden/>
              </w:rPr>
              <w:fldChar w:fldCharType="separate"/>
            </w:r>
            <w:r>
              <w:rPr>
                <w:noProof/>
                <w:webHidden/>
              </w:rPr>
              <w:t>572</w:t>
            </w:r>
            <w:r>
              <w:rPr>
                <w:noProof/>
                <w:webHidden/>
              </w:rPr>
              <w:fldChar w:fldCharType="end"/>
            </w:r>
          </w:hyperlink>
        </w:p>
        <w:p w14:paraId="73E0CB0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29" w:history="1">
            <w:r w:rsidRPr="000D551A">
              <w:rPr>
                <w:rStyle w:val="Lienhypertexte"/>
                <w:noProof/>
              </w:rPr>
              <w:t>44.14.2c Panneaux pare-pluie bifaces en polystyrène extrudé (XPS) CCTB 01.02</w:t>
            </w:r>
            <w:r>
              <w:rPr>
                <w:noProof/>
                <w:webHidden/>
              </w:rPr>
              <w:tab/>
            </w:r>
            <w:r>
              <w:rPr>
                <w:noProof/>
                <w:webHidden/>
              </w:rPr>
              <w:fldChar w:fldCharType="begin"/>
            </w:r>
            <w:r>
              <w:rPr>
                <w:noProof/>
                <w:webHidden/>
              </w:rPr>
              <w:instrText xml:space="preserve"> PAGEREF _Toc220490629 \h </w:instrText>
            </w:r>
            <w:r>
              <w:rPr>
                <w:noProof/>
                <w:webHidden/>
              </w:rPr>
            </w:r>
            <w:r>
              <w:rPr>
                <w:noProof/>
                <w:webHidden/>
              </w:rPr>
              <w:fldChar w:fldCharType="separate"/>
            </w:r>
            <w:r>
              <w:rPr>
                <w:noProof/>
                <w:webHidden/>
              </w:rPr>
              <w:t>574</w:t>
            </w:r>
            <w:r>
              <w:rPr>
                <w:noProof/>
                <w:webHidden/>
              </w:rPr>
              <w:fldChar w:fldCharType="end"/>
            </w:r>
          </w:hyperlink>
        </w:p>
        <w:p w14:paraId="11DA2D7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30" w:history="1">
            <w:r w:rsidRPr="000D551A">
              <w:rPr>
                <w:rStyle w:val="Lienhypertexte"/>
                <w:noProof/>
              </w:rPr>
              <w:t>44.14.2d Panneaux pare-pluie bifaces en polyuréthane (PUR) CCTB 01.02</w:t>
            </w:r>
            <w:r>
              <w:rPr>
                <w:noProof/>
                <w:webHidden/>
              </w:rPr>
              <w:tab/>
            </w:r>
            <w:r>
              <w:rPr>
                <w:noProof/>
                <w:webHidden/>
              </w:rPr>
              <w:fldChar w:fldCharType="begin"/>
            </w:r>
            <w:r>
              <w:rPr>
                <w:noProof/>
                <w:webHidden/>
              </w:rPr>
              <w:instrText xml:space="preserve"> PAGEREF _Toc220490630 \h </w:instrText>
            </w:r>
            <w:r>
              <w:rPr>
                <w:noProof/>
                <w:webHidden/>
              </w:rPr>
            </w:r>
            <w:r>
              <w:rPr>
                <w:noProof/>
                <w:webHidden/>
              </w:rPr>
              <w:fldChar w:fldCharType="separate"/>
            </w:r>
            <w:r>
              <w:rPr>
                <w:noProof/>
                <w:webHidden/>
              </w:rPr>
              <w:t>574</w:t>
            </w:r>
            <w:r>
              <w:rPr>
                <w:noProof/>
                <w:webHidden/>
              </w:rPr>
              <w:fldChar w:fldCharType="end"/>
            </w:r>
          </w:hyperlink>
        </w:p>
        <w:p w14:paraId="7A0E877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31" w:history="1">
            <w:r w:rsidRPr="000D551A">
              <w:rPr>
                <w:rStyle w:val="Lienhypertexte"/>
                <w:noProof/>
              </w:rPr>
              <w:t>44.14.2e Panneau pare-pluie bifaces en laine minérale (LM) CCTB 01.11</w:t>
            </w:r>
            <w:r>
              <w:rPr>
                <w:noProof/>
                <w:webHidden/>
              </w:rPr>
              <w:tab/>
            </w:r>
            <w:r>
              <w:rPr>
                <w:noProof/>
                <w:webHidden/>
              </w:rPr>
              <w:fldChar w:fldCharType="begin"/>
            </w:r>
            <w:r>
              <w:rPr>
                <w:noProof/>
                <w:webHidden/>
              </w:rPr>
              <w:instrText xml:space="preserve"> PAGEREF _Toc220490631 \h </w:instrText>
            </w:r>
            <w:r>
              <w:rPr>
                <w:noProof/>
                <w:webHidden/>
              </w:rPr>
            </w:r>
            <w:r>
              <w:rPr>
                <w:noProof/>
                <w:webHidden/>
              </w:rPr>
              <w:fldChar w:fldCharType="separate"/>
            </w:r>
            <w:r>
              <w:rPr>
                <w:noProof/>
                <w:webHidden/>
              </w:rPr>
              <w:t>574</w:t>
            </w:r>
            <w:r>
              <w:rPr>
                <w:noProof/>
                <w:webHidden/>
              </w:rPr>
              <w:fldChar w:fldCharType="end"/>
            </w:r>
          </w:hyperlink>
        </w:p>
        <w:p w14:paraId="1A70CA2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32" w:history="1">
            <w:r w:rsidRPr="000D551A">
              <w:rPr>
                <w:rStyle w:val="Lienhypertexte"/>
                <w:noProof/>
              </w:rPr>
              <w:t>44.14.2f Panneaux pare-pluie en fibres de bois CCTB 01.11</w:t>
            </w:r>
            <w:r>
              <w:rPr>
                <w:noProof/>
                <w:webHidden/>
              </w:rPr>
              <w:tab/>
            </w:r>
            <w:r>
              <w:rPr>
                <w:noProof/>
                <w:webHidden/>
              </w:rPr>
              <w:fldChar w:fldCharType="begin"/>
            </w:r>
            <w:r>
              <w:rPr>
                <w:noProof/>
                <w:webHidden/>
              </w:rPr>
              <w:instrText xml:space="preserve"> PAGEREF _Toc220490632 \h </w:instrText>
            </w:r>
            <w:r>
              <w:rPr>
                <w:noProof/>
                <w:webHidden/>
              </w:rPr>
            </w:r>
            <w:r>
              <w:rPr>
                <w:noProof/>
                <w:webHidden/>
              </w:rPr>
              <w:fldChar w:fldCharType="separate"/>
            </w:r>
            <w:r>
              <w:rPr>
                <w:noProof/>
                <w:webHidden/>
              </w:rPr>
              <w:t>576</w:t>
            </w:r>
            <w:r>
              <w:rPr>
                <w:noProof/>
                <w:webHidden/>
              </w:rPr>
              <w:fldChar w:fldCharType="end"/>
            </w:r>
          </w:hyperlink>
        </w:p>
        <w:p w14:paraId="740760C7"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33" w:history="1">
            <w:r w:rsidRPr="000D551A">
              <w:rPr>
                <w:rStyle w:val="Lienhypertexte"/>
                <w:noProof/>
              </w:rPr>
              <w:t>44.2 Etanchéisation aux matières gazeuses CCTB 01.11</w:t>
            </w:r>
            <w:r>
              <w:rPr>
                <w:noProof/>
                <w:webHidden/>
              </w:rPr>
              <w:tab/>
            </w:r>
            <w:r>
              <w:rPr>
                <w:noProof/>
                <w:webHidden/>
              </w:rPr>
              <w:fldChar w:fldCharType="begin"/>
            </w:r>
            <w:r>
              <w:rPr>
                <w:noProof/>
                <w:webHidden/>
              </w:rPr>
              <w:instrText xml:space="preserve"> PAGEREF _Toc220490633 \h </w:instrText>
            </w:r>
            <w:r>
              <w:rPr>
                <w:noProof/>
                <w:webHidden/>
              </w:rPr>
            </w:r>
            <w:r>
              <w:rPr>
                <w:noProof/>
                <w:webHidden/>
              </w:rPr>
              <w:fldChar w:fldCharType="separate"/>
            </w:r>
            <w:r>
              <w:rPr>
                <w:noProof/>
                <w:webHidden/>
              </w:rPr>
              <w:t>578</w:t>
            </w:r>
            <w:r>
              <w:rPr>
                <w:noProof/>
                <w:webHidden/>
              </w:rPr>
              <w:fldChar w:fldCharType="end"/>
            </w:r>
          </w:hyperlink>
        </w:p>
        <w:p w14:paraId="5A1897BF"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34" w:history="1">
            <w:r w:rsidRPr="000D551A">
              <w:rPr>
                <w:rStyle w:val="Lienhypertexte"/>
                <w:noProof/>
              </w:rPr>
              <w:t>44.3 (titre réservé)</w:t>
            </w:r>
            <w:r>
              <w:rPr>
                <w:noProof/>
                <w:webHidden/>
              </w:rPr>
              <w:tab/>
            </w:r>
            <w:r>
              <w:rPr>
                <w:noProof/>
                <w:webHidden/>
              </w:rPr>
              <w:fldChar w:fldCharType="begin"/>
            </w:r>
            <w:r>
              <w:rPr>
                <w:noProof/>
                <w:webHidden/>
              </w:rPr>
              <w:instrText xml:space="preserve"> PAGEREF _Toc220490634 \h </w:instrText>
            </w:r>
            <w:r>
              <w:rPr>
                <w:noProof/>
                <w:webHidden/>
              </w:rPr>
            </w:r>
            <w:r>
              <w:rPr>
                <w:noProof/>
                <w:webHidden/>
              </w:rPr>
              <w:fldChar w:fldCharType="separate"/>
            </w:r>
            <w:r>
              <w:rPr>
                <w:noProof/>
                <w:webHidden/>
              </w:rPr>
              <w:t>578</w:t>
            </w:r>
            <w:r>
              <w:rPr>
                <w:noProof/>
                <w:webHidden/>
              </w:rPr>
              <w:fldChar w:fldCharType="end"/>
            </w:r>
          </w:hyperlink>
        </w:p>
        <w:p w14:paraId="7C825220"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635" w:history="1">
            <w:r w:rsidRPr="000D551A">
              <w:rPr>
                <w:rStyle w:val="Lienhypertexte"/>
                <w:noProof/>
              </w:rPr>
              <w:t>44.4 Isolation CCTB 01.11</w:t>
            </w:r>
            <w:r>
              <w:rPr>
                <w:noProof/>
                <w:webHidden/>
              </w:rPr>
              <w:tab/>
            </w:r>
            <w:r>
              <w:rPr>
                <w:noProof/>
                <w:webHidden/>
              </w:rPr>
              <w:fldChar w:fldCharType="begin"/>
            </w:r>
            <w:r>
              <w:rPr>
                <w:noProof/>
                <w:webHidden/>
              </w:rPr>
              <w:instrText xml:space="preserve"> PAGEREF _Toc220490635 \h </w:instrText>
            </w:r>
            <w:r>
              <w:rPr>
                <w:noProof/>
                <w:webHidden/>
              </w:rPr>
            </w:r>
            <w:r>
              <w:rPr>
                <w:noProof/>
                <w:webHidden/>
              </w:rPr>
              <w:fldChar w:fldCharType="separate"/>
            </w:r>
            <w:r>
              <w:rPr>
                <w:noProof/>
                <w:webHidden/>
              </w:rPr>
              <w:t>578</w:t>
            </w:r>
            <w:r>
              <w:rPr>
                <w:noProof/>
                <w:webHidden/>
              </w:rPr>
              <w:fldChar w:fldCharType="end"/>
            </w:r>
          </w:hyperlink>
        </w:p>
        <w:p w14:paraId="2E958A5D"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36" w:history="1">
            <w:r w:rsidRPr="000D551A">
              <w:rPr>
                <w:rStyle w:val="Lienhypertexte"/>
                <w:noProof/>
              </w:rPr>
              <w:t>44.41 Isolation en panneaux CCTB 01.02</w:t>
            </w:r>
            <w:r>
              <w:rPr>
                <w:noProof/>
                <w:webHidden/>
              </w:rPr>
              <w:tab/>
            </w:r>
            <w:r>
              <w:rPr>
                <w:noProof/>
                <w:webHidden/>
              </w:rPr>
              <w:fldChar w:fldCharType="begin"/>
            </w:r>
            <w:r>
              <w:rPr>
                <w:noProof/>
                <w:webHidden/>
              </w:rPr>
              <w:instrText xml:space="preserve"> PAGEREF _Toc220490636 \h </w:instrText>
            </w:r>
            <w:r>
              <w:rPr>
                <w:noProof/>
                <w:webHidden/>
              </w:rPr>
            </w:r>
            <w:r>
              <w:rPr>
                <w:noProof/>
                <w:webHidden/>
              </w:rPr>
              <w:fldChar w:fldCharType="separate"/>
            </w:r>
            <w:r>
              <w:rPr>
                <w:noProof/>
                <w:webHidden/>
              </w:rPr>
              <w:t>579</w:t>
            </w:r>
            <w:r>
              <w:rPr>
                <w:noProof/>
                <w:webHidden/>
              </w:rPr>
              <w:fldChar w:fldCharType="end"/>
            </w:r>
          </w:hyperlink>
        </w:p>
        <w:p w14:paraId="39E9EBA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37" w:history="1">
            <w:r w:rsidRPr="000D551A">
              <w:rPr>
                <w:rStyle w:val="Lienhypertexte"/>
                <w:noProof/>
              </w:rPr>
              <w:t>44.41.1 Isolation en panneaux - matières synthétiques CCTB 01.02</w:t>
            </w:r>
            <w:r>
              <w:rPr>
                <w:noProof/>
                <w:webHidden/>
              </w:rPr>
              <w:tab/>
            </w:r>
            <w:r>
              <w:rPr>
                <w:noProof/>
                <w:webHidden/>
              </w:rPr>
              <w:fldChar w:fldCharType="begin"/>
            </w:r>
            <w:r>
              <w:rPr>
                <w:noProof/>
                <w:webHidden/>
              </w:rPr>
              <w:instrText xml:space="preserve"> PAGEREF _Toc220490637 \h </w:instrText>
            </w:r>
            <w:r>
              <w:rPr>
                <w:noProof/>
                <w:webHidden/>
              </w:rPr>
            </w:r>
            <w:r>
              <w:rPr>
                <w:noProof/>
                <w:webHidden/>
              </w:rPr>
              <w:fldChar w:fldCharType="separate"/>
            </w:r>
            <w:r>
              <w:rPr>
                <w:noProof/>
                <w:webHidden/>
              </w:rPr>
              <w:t>579</w:t>
            </w:r>
            <w:r>
              <w:rPr>
                <w:noProof/>
                <w:webHidden/>
              </w:rPr>
              <w:fldChar w:fldCharType="end"/>
            </w:r>
          </w:hyperlink>
        </w:p>
        <w:p w14:paraId="5E012AC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38" w:history="1">
            <w:r w:rsidRPr="000D551A">
              <w:rPr>
                <w:rStyle w:val="Lienhypertexte"/>
                <w:noProof/>
              </w:rPr>
              <w:t>44.41.1a Isolation en panneaux - polystyrène extrudé (XPS) CCTB 01.02</w:t>
            </w:r>
            <w:r>
              <w:rPr>
                <w:noProof/>
                <w:webHidden/>
              </w:rPr>
              <w:tab/>
            </w:r>
            <w:r>
              <w:rPr>
                <w:noProof/>
                <w:webHidden/>
              </w:rPr>
              <w:fldChar w:fldCharType="begin"/>
            </w:r>
            <w:r>
              <w:rPr>
                <w:noProof/>
                <w:webHidden/>
              </w:rPr>
              <w:instrText xml:space="preserve"> PAGEREF _Toc220490638 \h </w:instrText>
            </w:r>
            <w:r>
              <w:rPr>
                <w:noProof/>
                <w:webHidden/>
              </w:rPr>
            </w:r>
            <w:r>
              <w:rPr>
                <w:noProof/>
                <w:webHidden/>
              </w:rPr>
              <w:fldChar w:fldCharType="separate"/>
            </w:r>
            <w:r>
              <w:rPr>
                <w:noProof/>
                <w:webHidden/>
              </w:rPr>
              <w:t>580</w:t>
            </w:r>
            <w:r>
              <w:rPr>
                <w:noProof/>
                <w:webHidden/>
              </w:rPr>
              <w:fldChar w:fldCharType="end"/>
            </w:r>
          </w:hyperlink>
        </w:p>
        <w:p w14:paraId="6DD3AD7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39" w:history="1">
            <w:r w:rsidRPr="000D551A">
              <w:rPr>
                <w:rStyle w:val="Lienhypertexte"/>
                <w:noProof/>
              </w:rPr>
              <w:t>44.41.1b Isolation en panneaux - polystyrène expansé (EPS / EPS HD) CCTB 01.10</w:t>
            </w:r>
            <w:r>
              <w:rPr>
                <w:noProof/>
                <w:webHidden/>
              </w:rPr>
              <w:tab/>
            </w:r>
            <w:r>
              <w:rPr>
                <w:noProof/>
                <w:webHidden/>
              </w:rPr>
              <w:fldChar w:fldCharType="begin"/>
            </w:r>
            <w:r>
              <w:rPr>
                <w:noProof/>
                <w:webHidden/>
              </w:rPr>
              <w:instrText xml:space="preserve"> PAGEREF _Toc220490639 \h </w:instrText>
            </w:r>
            <w:r>
              <w:rPr>
                <w:noProof/>
                <w:webHidden/>
              </w:rPr>
            </w:r>
            <w:r>
              <w:rPr>
                <w:noProof/>
                <w:webHidden/>
              </w:rPr>
              <w:fldChar w:fldCharType="separate"/>
            </w:r>
            <w:r>
              <w:rPr>
                <w:noProof/>
                <w:webHidden/>
              </w:rPr>
              <w:t>580</w:t>
            </w:r>
            <w:r>
              <w:rPr>
                <w:noProof/>
                <w:webHidden/>
              </w:rPr>
              <w:fldChar w:fldCharType="end"/>
            </w:r>
          </w:hyperlink>
        </w:p>
        <w:p w14:paraId="6CB3D5B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0" w:history="1">
            <w:r w:rsidRPr="000D551A">
              <w:rPr>
                <w:rStyle w:val="Lienhypertexte"/>
                <w:noProof/>
              </w:rPr>
              <w:t>44.41.1c Isolation en panneaux - polystyrène expansé additionné de graphite/carbone CCTB 01.10</w:t>
            </w:r>
            <w:r>
              <w:rPr>
                <w:noProof/>
                <w:webHidden/>
              </w:rPr>
              <w:tab/>
            </w:r>
            <w:r>
              <w:rPr>
                <w:noProof/>
                <w:webHidden/>
              </w:rPr>
              <w:fldChar w:fldCharType="begin"/>
            </w:r>
            <w:r>
              <w:rPr>
                <w:noProof/>
                <w:webHidden/>
              </w:rPr>
              <w:instrText xml:space="preserve"> PAGEREF _Toc220490640 \h </w:instrText>
            </w:r>
            <w:r>
              <w:rPr>
                <w:noProof/>
                <w:webHidden/>
              </w:rPr>
            </w:r>
            <w:r>
              <w:rPr>
                <w:noProof/>
                <w:webHidden/>
              </w:rPr>
              <w:fldChar w:fldCharType="separate"/>
            </w:r>
            <w:r>
              <w:rPr>
                <w:noProof/>
                <w:webHidden/>
              </w:rPr>
              <w:t>580</w:t>
            </w:r>
            <w:r>
              <w:rPr>
                <w:noProof/>
                <w:webHidden/>
              </w:rPr>
              <w:fldChar w:fldCharType="end"/>
            </w:r>
          </w:hyperlink>
        </w:p>
        <w:p w14:paraId="4A1B0C5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1" w:history="1">
            <w:r w:rsidRPr="000D551A">
              <w:rPr>
                <w:rStyle w:val="Lienhypertexte"/>
                <w:noProof/>
              </w:rPr>
              <w:t>44.41.1d Isolation en panneaux - polyuréthane (PUR) CCTB 01.02</w:t>
            </w:r>
            <w:r>
              <w:rPr>
                <w:noProof/>
                <w:webHidden/>
              </w:rPr>
              <w:tab/>
            </w:r>
            <w:r>
              <w:rPr>
                <w:noProof/>
                <w:webHidden/>
              </w:rPr>
              <w:fldChar w:fldCharType="begin"/>
            </w:r>
            <w:r>
              <w:rPr>
                <w:noProof/>
                <w:webHidden/>
              </w:rPr>
              <w:instrText xml:space="preserve"> PAGEREF _Toc220490641 \h </w:instrText>
            </w:r>
            <w:r>
              <w:rPr>
                <w:noProof/>
                <w:webHidden/>
              </w:rPr>
            </w:r>
            <w:r>
              <w:rPr>
                <w:noProof/>
                <w:webHidden/>
              </w:rPr>
              <w:fldChar w:fldCharType="separate"/>
            </w:r>
            <w:r>
              <w:rPr>
                <w:noProof/>
                <w:webHidden/>
              </w:rPr>
              <w:t>580</w:t>
            </w:r>
            <w:r>
              <w:rPr>
                <w:noProof/>
                <w:webHidden/>
              </w:rPr>
              <w:fldChar w:fldCharType="end"/>
            </w:r>
          </w:hyperlink>
        </w:p>
        <w:p w14:paraId="0AB4983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2" w:history="1">
            <w:r w:rsidRPr="000D551A">
              <w:rPr>
                <w:rStyle w:val="Lienhypertexte"/>
                <w:noProof/>
              </w:rPr>
              <w:t>44.41.1e Isolation en panneaux - polyisocyanurate (PIR) CCTB 01.04</w:t>
            </w:r>
            <w:r>
              <w:rPr>
                <w:noProof/>
                <w:webHidden/>
              </w:rPr>
              <w:tab/>
            </w:r>
            <w:r>
              <w:rPr>
                <w:noProof/>
                <w:webHidden/>
              </w:rPr>
              <w:fldChar w:fldCharType="begin"/>
            </w:r>
            <w:r>
              <w:rPr>
                <w:noProof/>
                <w:webHidden/>
              </w:rPr>
              <w:instrText xml:space="preserve"> PAGEREF _Toc220490642 \h </w:instrText>
            </w:r>
            <w:r>
              <w:rPr>
                <w:noProof/>
                <w:webHidden/>
              </w:rPr>
            </w:r>
            <w:r>
              <w:rPr>
                <w:noProof/>
                <w:webHidden/>
              </w:rPr>
              <w:fldChar w:fldCharType="separate"/>
            </w:r>
            <w:r>
              <w:rPr>
                <w:noProof/>
                <w:webHidden/>
              </w:rPr>
              <w:t>580</w:t>
            </w:r>
            <w:r>
              <w:rPr>
                <w:noProof/>
                <w:webHidden/>
              </w:rPr>
              <w:fldChar w:fldCharType="end"/>
            </w:r>
          </w:hyperlink>
        </w:p>
        <w:p w14:paraId="4D3FEAB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3" w:history="1">
            <w:r w:rsidRPr="000D551A">
              <w:rPr>
                <w:rStyle w:val="Lienhypertexte"/>
                <w:noProof/>
              </w:rPr>
              <w:t>44.41.1f Isolation en panneaux - mousse phénolique (PF) CCTB 01.02</w:t>
            </w:r>
            <w:r>
              <w:rPr>
                <w:noProof/>
                <w:webHidden/>
              </w:rPr>
              <w:tab/>
            </w:r>
            <w:r>
              <w:rPr>
                <w:noProof/>
                <w:webHidden/>
              </w:rPr>
              <w:fldChar w:fldCharType="begin"/>
            </w:r>
            <w:r>
              <w:rPr>
                <w:noProof/>
                <w:webHidden/>
              </w:rPr>
              <w:instrText xml:space="preserve"> PAGEREF _Toc220490643 \h </w:instrText>
            </w:r>
            <w:r>
              <w:rPr>
                <w:noProof/>
                <w:webHidden/>
              </w:rPr>
            </w:r>
            <w:r>
              <w:rPr>
                <w:noProof/>
                <w:webHidden/>
              </w:rPr>
              <w:fldChar w:fldCharType="separate"/>
            </w:r>
            <w:r>
              <w:rPr>
                <w:noProof/>
                <w:webHidden/>
              </w:rPr>
              <w:t>580</w:t>
            </w:r>
            <w:r>
              <w:rPr>
                <w:noProof/>
                <w:webHidden/>
              </w:rPr>
              <w:fldChar w:fldCharType="end"/>
            </w:r>
          </w:hyperlink>
        </w:p>
        <w:p w14:paraId="281D4B6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4" w:history="1">
            <w:r w:rsidRPr="000D551A">
              <w:rPr>
                <w:rStyle w:val="Lienhypertexte"/>
                <w:noProof/>
              </w:rPr>
              <w:t>44.41.1g (titre réservé) CCTB 01.02</w:t>
            </w:r>
            <w:r>
              <w:rPr>
                <w:noProof/>
                <w:webHidden/>
              </w:rPr>
              <w:tab/>
            </w:r>
            <w:r>
              <w:rPr>
                <w:noProof/>
                <w:webHidden/>
              </w:rPr>
              <w:fldChar w:fldCharType="begin"/>
            </w:r>
            <w:r>
              <w:rPr>
                <w:noProof/>
                <w:webHidden/>
              </w:rPr>
              <w:instrText xml:space="preserve"> PAGEREF _Toc220490644 \h </w:instrText>
            </w:r>
            <w:r>
              <w:rPr>
                <w:noProof/>
                <w:webHidden/>
              </w:rPr>
            </w:r>
            <w:r>
              <w:rPr>
                <w:noProof/>
                <w:webHidden/>
              </w:rPr>
              <w:fldChar w:fldCharType="separate"/>
            </w:r>
            <w:r>
              <w:rPr>
                <w:noProof/>
                <w:webHidden/>
              </w:rPr>
              <w:t>580</w:t>
            </w:r>
            <w:r>
              <w:rPr>
                <w:noProof/>
                <w:webHidden/>
              </w:rPr>
              <w:fldChar w:fldCharType="end"/>
            </w:r>
          </w:hyperlink>
        </w:p>
        <w:p w14:paraId="06E3444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45" w:history="1">
            <w:r w:rsidRPr="000D551A">
              <w:rPr>
                <w:rStyle w:val="Lienhypertexte"/>
                <w:noProof/>
              </w:rPr>
              <w:t>44.41.2 Isolation en panneaux - matières minérales CCTB 01.02</w:t>
            </w:r>
            <w:r>
              <w:rPr>
                <w:noProof/>
                <w:webHidden/>
              </w:rPr>
              <w:tab/>
            </w:r>
            <w:r>
              <w:rPr>
                <w:noProof/>
                <w:webHidden/>
              </w:rPr>
              <w:fldChar w:fldCharType="begin"/>
            </w:r>
            <w:r>
              <w:rPr>
                <w:noProof/>
                <w:webHidden/>
              </w:rPr>
              <w:instrText xml:space="preserve"> PAGEREF _Toc220490645 \h </w:instrText>
            </w:r>
            <w:r>
              <w:rPr>
                <w:noProof/>
                <w:webHidden/>
              </w:rPr>
            </w:r>
            <w:r>
              <w:rPr>
                <w:noProof/>
                <w:webHidden/>
              </w:rPr>
              <w:fldChar w:fldCharType="separate"/>
            </w:r>
            <w:r>
              <w:rPr>
                <w:noProof/>
                <w:webHidden/>
              </w:rPr>
              <w:t>580</w:t>
            </w:r>
            <w:r>
              <w:rPr>
                <w:noProof/>
                <w:webHidden/>
              </w:rPr>
              <w:fldChar w:fldCharType="end"/>
            </w:r>
          </w:hyperlink>
        </w:p>
        <w:p w14:paraId="57BE392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6" w:history="1">
            <w:r w:rsidRPr="000D551A">
              <w:rPr>
                <w:rStyle w:val="Lienhypertexte"/>
                <w:noProof/>
              </w:rPr>
              <w:t>44.41.2a Isolation en panneaux - laine minérale (MW) CCTB 01.11</w:t>
            </w:r>
            <w:r>
              <w:rPr>
                <w:noProof/>
                <w:webHidden/>
              </w:rPr>
              <w:tab/>
            </w:r>
            <w:r>
              <w:rPr>
                <w:noProof/>
                <w:webHidden/>
              </w:rPr>
              <w:fldChar w:fldCharType="begin"/>
            </w:r>
            <w:r>
              <w:rPr>
                <w:noProof/>
                <w:webHidden/>
              </w:rPr>
              <w:instrText xml:space="preserve"> PAGEREF _Toc220490646 \h </w:instrText>
            </w:r>
            <w:r>
              <w:rPr>
                <w:noProof/>
                <w:webHidden/>
              </w:rPr>
            </w:r>
            <w:r>
              <w:rPr>
                <w:noProof/>
                <w:webHidden/>
              </w:rPr>
              <w:fldChar w:fldCharType="separate"/>
            </w:r>
            <w:r>
              <w:rPr>
                <w:noProof/>
                <w:webHidden/>
              </w:rPr>
              <w:t>580</w:t>
            </w:r>
            <w:r>
              <w:rPr>
                <w:noProof/>
                <w:webHidden/>
              </w:rPr>
              <w:fldChar w:fldCharType="end"/>
            </w:r>
          </w:hyperlink>
        </w:p>
        <w:p w14:paraId="37A4125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7" w:history="1">
            <w:r w:rsidRPr="000D551A">
              <w:rPr>
                <w:rStyle w:val="Lienhypertexte"/>
                <w:noProof/>
              </w:rPr>
              <w:t>44.41.2b Isolation en panneaux - verre cellulaire (CG) CCTB 01.02</w:t>
            </w:r>
            <w:r>
              <w:rPr>
                <w:noProof/>
                <w:webHidden/>
              </w:rPr>
              <w:tab/>
            </w:r>
            <w:r>
              <w:rPr>
                <w:noProof/>
                <w:webHidden/>
              </w:rPr>
              <w:fldChar w:fldCharType="begin"/>
            </w:r>
            <w:r>
              <w:rPr>
                <w:noProof/>
                <w:webHidden/>
              </w:rPr>
              <w:instrText xml:space="preserve"> PAGEREF _Toc220490647 \h </w:instrText>
            </w:r>
            <w:r>
              <w:rPr>
                <w:noProof/>
                <w:webHidden/>
              </w:rPr>
            </w:r>
            <w:r>
              <w:rPr>
                <w:noProof/>
                <w:webHidden/>
              </w:rPr>
              <w:fldChar w:fldCharType="separate"/>
            </w:r>
            <w:r>
              <w:rPr>
                <w:noProof/>
                <w:webHidden/>
              </w:rPr>
              <w:t>584</w:t>
            </w:r>
            <w:r>
              <w:rPr>
                <w:noProof/>
                <w:webHidden/>
              </w:rPr>
              <w:fldChar w:fldCharType="end"/>
            </w:r>
          </w:hyperlink>
        </w:p>
        <w:p w14:paraId="2C6181A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8" w:history="1">
            <w:r w:rsidRPr="000D551A">
              <w:rPr>
                <w:rStyle w:val="Lienhypertexte"/>
                <w:noProof/>
              </w:rPr>
              <w:t>44.41.2c Isolation en panneaux - perlite expansée (EPB) CCTB 01.02</w:t>
            </w:r>
            <w:r>
              <w:rPr>
                <w:noProof/>
                <w:webHidden/>
              </w:rPr>
              <w:tab/>
            </w:r>
            <w:r>
              <w:rPr>
                <w:noProof/>
                <w:webHidden/>
              </w:rPr>
              <w:fldChar w:fldCharType="begin"/>
            </w:r>
            <w:r>
              <w:rPr>
                <w:noProof/>
                <w:webHidden/>
              </w:rPr>
              <w:instrText xml:space="preserve"> PAGEREF _Toc220490648 \h </w:instrText>
            </w:r>
            <w:r>
              <w:rPr>
                <w:noProof/>
                <w:webHidden/>
              </w:rPr>
            </w:r>
            <w:r>
              <w:rPr>
                <w:noProof/>
                <w:webHidden/>
              </w:rPr>
              <w:fldChar w:fldCharType="separate"/>
            </w:r>
            <w:r>
              <w:rPr>
                <w:noProof/>
                <w:webHidden/>
              </w:rPr>
              <w:t>584</w:t>
            </w:r>
            <w:r>
              <w:rPr>
                <w:noProof/>
                <w:webHidden/>
              </w:rPr>
              <w:fldChar w:fldCharType="end"/>
            </w:r>
          </w:hyperlink>
        </w:p>
        <w:p w14:paraId="33B6E36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49" w:history="1">
            <w:r w:rsidRPr="000D551A">
              <w:rPr>
                <w:rStyle w:val="Lienhypertexte"/>
                <w:noProof/>
              </w:rPr>
              <w:t>44.41.2d (titre réservé) CCTB 01.02</w:t>
            </w:r>
            <w:r>
              <w:rPr>
                <w:noProof/>
                <w:webHidden/>
              </w:rPr>
              <w:tab/>
            </w:r>
            <w:r>
              <w:rPr>
                <w:noProof/>
                <w:webHidden/>
              </w:rPr>
              <w:fldChar w:fldCharType="begin"/>
            </w:r>
            <w:r>
              <w:rPr>
                <w:noProof/>
                <w:webHidden/>
              </w:rPr>
              <w:instrText xml:space="preserve"> PAGEREF _Toc220490649 \h </w:instrText>
            </w:r>
            <w:r>
              <w:rPr>
                <w:noProof/>
                <w:webHidden/>
              </w:rPr>
            </w:r>
            <w:r>
              <w:rPr>
                <w:noProof/>
                <w:webHidden/>
              </w:rPr>
              <w:fldChar w:fldCharType="separate"/>
            </w:r>
            <w:r>
              <w:rPr>
                <w:noProof/>
                <w:webHidden/>
              </w:rPr>
              <w:t>584</w:t>
            </w:r>
            <w:r>
              <w:rPr>
                <w:noProof/>
                <w:webHidden/>
              </w:rPr>
              <w:fldChar w:fldCharType="end"/>
            </w:r>
          </w:hyperlink>
        </w:p>
        <w:p w14:paraId="0A3E4E5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0" w:history="1">
            <w:r w:rsidRPr="000D551A">
              <w:rPr>
                <w:rStyle w:val="Lienhypertexte"/>
                <w:noProof/>
              </w:rPr>
              <w:t>44.41.2e (titre réservé) CCTB 01.02</w:t>
            </w:r>
            <w:r>
              <w:rPr>
                <w:noProof/>
                <w:webHidden/>
              </w:rPr>
              <w:tab/>
            </w:r>
            <w:r>
              <w:rPr>
                <w:noProof/>
                <w:webHidden/>
              </w:rPr>
              <w:fldChar w:fldCharType="begin"/>
            </w:r>
            <w:r>
              <w:rPr>
                <w:noProof/>
                <w:webHidden/>
              </w:rPr>
              <w:instrText xml:space="preserve"> PAGEREF _Toc220490650 \h </w:instrText>
            </w:r>
            <w:r>
              <w:rPr>
                <w:noProof/>
                <w:webHidden/>
              </w:rPr>
            </w:r>
            <w:r>
              <w:rPr>
                <w:noProof/>
                <w:webHidden/>
              </w:rPr>
              <w:fldChar w:fldCharType="separate"/>
            </w:r>
            <w:r>
              <w:rPr>
                <w:noProof/>
                <w:webHidden/>
              </w:rPr>
              <w:t>584</w:t>
            </w:r>
            <w:r>
              <w:rPr>
                <w:noProof/>
                <w:webHidden/>
              </w:rPr>
              <w:fldChar w:fldCharType="end"/>
            </w:r>
          </w:hyperlink>
        </w:p>
        <w:p w14:paraId="13513A3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1" w:history="1">
            <w:r w:rsidRPr="000D551A">
              <w:rPr>
                <w:rStyle w:val="Lienhypertexte"/>
                <w:noProof/>
              </w:rPr>
              <w:t>44.41.2f (titre réservé) CCTB 01.02</w:t>
            </w:r>
            <w:r>
              <w:rPr>
                <w:noProof/>
                <w:webHidden/>
              </w:rPr>
              <w:tab/>
            </w:r>
            <w:r>
              <w:rPr>
                <w:noProof/>
                <w:webHidden/>
              </w:rPr>
              <w:fldChar w:fldCharType="begin"/>
            </w:r>
            <w:r>
              <w:rPr>
                <w:noProof/>
                <w:webHidden/>
              </w:rPr>
              <w:instrText xml:space="preserve"> PAGEREF _Toc220490651 \h </w:instrText>
            </w:r>
            <w:r>
              <w:rPr>
                <w:noProof/>
                <w:webHidden/>
              </w:rPr>
            </w:r>
            <w:r>
              <w:rPr>
                <w:noProof/>
                <w:webHidden/>
              </w:rPr>
              <w:fldChar w:fldCharType="separate"/>
            </w:r>
            <w:r>
              <w:rPr>
                <w:noProof/>
                <w:webHidden/>
              </w:rPr>
              <w:t>584</w:t>
            </w:r>
            <w:r>
              <w:rPr>
                <w:noProof/>
                <w:webHidden/>
              </w:rPr>
              <w:fldChar w:fldCharType="end"/>
            </w:r>
          </w:hyperlink>
        </w:p>
        <w:p w14:paraId="2E3380E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2" w:history="1">
            <w:r w:rsidRPr="000D551A">
              <w:rPr>
                <w:rStyle w:val="Lienhypertexte"/>
                <w:noProof/>
              </w:rPr>
              <w:t>44.41.2g (titre réservé) CCTB 01.02</w:t>
            </w:r>
            <w:r>
              <w:rPr>
                <w:noProof/>
                <w:webHidden/>
              </w:rPr>
              <w:tab/>
            </w:r>
            <w:r>
              <w:rPr>
                <w:noProof/>
                <w:webHidden/>
              </w:rPr>
              <w:fldChar w:fldCharType="begin"/>
            </w:r>
            <w:r>
              <w:rPr>
                <w:noProof/>
                <w:webHidden/>
              </w:rPr>
              <w:instrText xml:space="preserve"> PAGEREF _Toc220490652 \h </w:instrText>
            </w:r>
            <w:r>
              <w:rPr>
                <w:noProof/>
                <w:webHidden/>
              </w:rPr>
            </w:r>
            <w:r>
              <w:rPr>
                <w:noProof/>
                <w:webHidden/>
              </w:rPr>
              <w:fldChar w:fldCharType="separate"/>
            </w:r>
            <w:r>
              <w:rPr>
                <w:noProof/>
                <w:webHidden/>
              </w:rPr>
              <w:t>584</w:t>
            </w:r>
            <w:r>
              <w:rPr>
                <w:noProof/>
                <w:webHidden/>
              </w:rPr>
              <w:fldChar w:fldCharType="end"/>
            </w:r>
          </w:hyperlink>
        </w:p>
        <w:p w14:paraId="08E458B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53" w:history="1">
            <w:r w:rsidRPr="000D551A">
              <w:rPr>
                <w:rStyle w:val="Lienhypertexte"/>
                <w:noProof/>
              </w:rPr>
              <w:t>44.41.3 Isolation en panneaux - matières végétales CCTB 01.04</w:t>
            </w:r>
            <w:r>
              <w:rPr>
                <w:noProof/>
                <w:webHidden/>
              </w:rPr>
              <w:tab/>
            </w:r>
            <w:r>
              <w:rPr>
                <w:noProof/>
                <w:webHidden/>
              </w:rPr>
              <w:fldChar w:fldCharType="begin"/>
            </w:r>
            <w:r>
              <w:rPr>
                <w:noProof/>
                <w:webHidden/>
              </w:rPr>
              <w:instrText xml:space="preserve"> PAGEREF _Toc220490653 \h </w:instrText>
            </w:r>
            <w:r>
              <w:rPr>
                <w:noProof/>
                <w:webHidden/>
              </w:rPr>
            </w:r>
            <w:r>
              <w:rPr>
                <w:noProof/>
                <w:webHidden/>
              </w:rPr>
              <w:fldChar w:fldCharType="separate"/>
            </w:r>
            <w:r>
              <w:rPr>
                <w:noProof/>
                <w:webHidden/>
              </w:rPr>
              <w:t>584</w:t>
            </w:r>
            <w:r>
              <w:rPr>
                <w:noProof/>
                <w:webHidden/>
              </w:rPr>
              <w:fldChar w:fldCharType="end"/>
            </w:r>
          </w:hyperlink>
        </w:p>
        <w:p w14:paraId="3B2B11B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4" w:history="1">
            <w:r w:rsidRPr="000D551A">
              <w:rPr>
                <w:rStyle w:val="Lienhypertexte"/>
                <w:noProof/>
              </w:rPr>
              <w:t>44.41.3a Isolation en panneaux - liège expansé (ICB) CCTB 01.10</w:t>
            </w:r>
            <w:r>
              <w:rPr>
                <w:noProof/>
                <w:webHidden/>
              </w:rPr>
              <w:tab/>
            </w:r>
            <w:r>
              <w:rPr>
                <w:noProof/>
                <w:webHidden/>
              </w:rPr>
              <w:fldChar w:fldCharType="begin"/>
            </w:r>
            <w:r>
              <w:rPr>
                <w:noProof/>
                <w:webHidden/>
              </w:rPr>
              <w:instrText xml:space="preserve"> PAGEREF _Toc220490654 \h </w:instrText>
            </w:r>
            <w:r>
              <w:rPr>
                <w:noProof/>
                <w:webHidden/>
              </w:rPr>
            </w:r>
            <w:r>
              <w:rPr>
                <w:noProof/>
                <w:webHidden/>
              </w:rPr>
              <w:fldChar w:fldCharType="separate"/>
            </w:r>
            <w:r>
              <w:rPr>
                <w:noProof/>
                <w:webHidden/>
              </w:rPr>
              <w:t>584</w:t>
            </w:r>
            <w:r>
              <w:rPr>
                <w:noProof/>
                <w:webHidden/>
              </w:rPr>
              <w:fldChar w:fldCharType="end"/>
            </w:r>
          </w:hyperlink>
        </w:p>
        <w:p w14:paraId="7E53285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5" w:history="1">
            <w:r w:rsidRPr="000D551A">
              <w:rPr>
                <w:rStyle w:val="Lienhypertexte"/>
                <w:noProof/>
              </w:rPr>
              <w:t>44.41.3b Isolation en panneaux - laine de bois (WW) CCTB 01.10</w:t>
            </w:r>
            <w:r>
              <w:rPr>
                <w:noProof/>
                <w:webHidden/>
              </w:rPr>
              <w:tab/>
            </w:r>
            <w:r>
              <w:rPr>
                <w:noProof/>
                <w:webHidden/>
              </w:rPr>
              <w:fldChar w:fldCharType="begin"/>
            </w:r>
            <w:r>
              <w:rPr>
                <w:noProof/>
                <w:webHidden/>
              </w:rPr>
              <w:instrText xml:space="preserve"> PAGEREF _Toc220490655 \h </w:instrText>
            </w:r>
            <w:r>
              <w:rPr>
                <w:noProof/>
                <w:webHidden/>
              </w:rPr>
            </w:r>
            <w:r>
              <w:rPr>
                <w:noProof/>
                <w:webHidden/>
              </w:rPr>
              <w:fldChar w:fldCharType="separate"/>
            </w:r>
            <w:r>
              <w:rPr>
                <w:noProof/>
                <w:webHidden/>
              </w:rPr>
              <w:t>585</w:t>
            </w:r>
            <w:r>
              <w:rPr>
                <w:noProof/>
                <w:webHidden/>
              </w:rPr>
              <w:fldChar w:fldCharType="end"/>
            </w:r>
          </w:hyperlink>
        </w:p>
        <w:p w14:paraId="573E83E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6" w:history="1">
            <w:r w:rsidRPr="000D551A">
              <w:rPr>
                <w:rStyle w:val="Lienhypertexte"/>
                <w:noProof/>
              </w:rPr>
              <w:t>44.41.3c Isolation en panneaux - fibres de bois (WF) CCTB 01.10</w:t>
            </w:r>
            <w:r>
              <w:rPr>
                <w:noProof/>
                <w:webHidden/>
              </w:rPr>
              <w:tab/>
            </w:r>
            <w:r>
              <w:rPr>
                <w:noProof/>
                <w:webHidden/>
              </w:rPr>
              <w:fldChar w:fldCharType="begin"/>
            </w:r>
            <w:r>
              <w:rPr>
                <w:noProof/>
                <w:webHidden/>
              </w:rPr>
              <w:instrText xml:space="preserve"> PAGEREF _Toc220490656 \h </w:instrText>
            </w:r>
            <w:r>
              <w:rPr>
                <w:noProof/>
                <w:webHidden/>
              </w:rPr>
            </w:r>
            <w:r>
              <w:rPr>
                <w:noProof/>
                <w:webHidden/>
              </w:rPr>
              <w:fldChar w:fldCharType="separate"/>
            </w:r>
            <w:r>
              <w:rPr>
                <w:noProof/>
                <w:webHidden/>
              </w:rPr>
              <w:t>586</w:t>
            </w:r>
            <w:r>
              <w:rPr>
                <w:noProof/>
                <w:webHidden/>
              </w:rPr>
              <w:fldChar w:fldCharType="end"/>
            </w:r>
          </w:hyperlink>
        </w:p>
        <w:p w14:paraId="145795C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7" w:history="1">
            <w:r w:rsidRPr="000D551A">
              <w:rPr>
                <w:rStyle w:val="Lienhypertexte"/>
                <w:noProof/>
              </w:rPr>
              <w:t>44.41.3d Isolation en panneaux - cellulose CCTB 01.10</w:t>
            </w:r>
            <w:r>
              <w:rPr>
                <w:noProof/>
                <w:webHidden/>
              </w:rPr>
              <w:tab/>
            </w:r>
            <w:r>
              <w:rPr>
                <w:noProof/>
                <w:webHidden/>
              </w:rPr>
              <w:fldChar w:fldCharType="begin"/>
            </w:r>
            <w:r>
              <w:rPr>
                <w:noProof/>
                <w:webHidden/>
              </w:rPr>
              <w:instrText xml:space="preserve"> PAGEREF _Toc220490657 \h </w:instrText>
            </w:r>
            <w:r>
              <w:rPr>
                <w:noProof/>
                <w:webHidden/>
              </w:rPr>
            </w:r>
            <w:r>
              <w:rPr>
                <w:noProof/>
                <w:webHidden/>
              </w:rPr>
              <w:fldChar w:fldCharType="separate"/>
            </w:r>
            <w:r>
              <w:rPr>
                <w:noProof/>
                <w:webHidden/>
              </w:rPr>
              <w:t>587</w:t>
            </w:r>
            <w:r>
              <w:rPr>
                <w:noProof/>
                <w:webHidden/>
              </w:rPr>
              <w:fldChar w:fldCharType="end"/>
            </w:r>
          </w:hyperlink>
        </w:p>
        <w:p w14:paraId="7F19D11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8" w:history="1">
            <w:r w:rsidRPr="000D551A">
              <w:rPr>
                <w:rStyle w:val="Lienhypertexte"/>
                <w:noProof/>
              </w:rPr>
              <w:t>44.41.3e Isolation en panneaux - laine de chanvre CCTB 01.10</w:t>
            </w:r>
            <w:r>
              <w:rPr>
                <w:noProof/>
                <w:webHidden/>
              </w:rPr>
              <w:tab/>
            </w:r>
            <w:r>
              <w:rPr>
                <w:noProof/>
                <w:webHidden/>
              </w:rPr>
              <w:fldChar w:fldCharType="begin"/>
            </w:r>
            <w:r>
              <w:rPr>
                <w:noProof/>
                <w:webHidden/>
              </w:rPr>
              <w:instrText xml:space="preserve"> PAGEREF _Toc220490658 \h </w:instrText>
            </w:r>
            <w:r>
              <w:rPr>
                <w:noProof/>
                <w:webHidden/>
              </w:rPr>
            </w:r>
            <w:r>
              <w:rPr>
                <w:noProof/>
                <w:webHidden/>
              </w:rPr>
              <w:fldChar w:fldCharType="separate"/>
            </w:r>
            <w:r>
              <w:rPr>
                <w:noProof/>
                <w:webHidden/>
              </w:rPr>
              <w:t>588</w:t>
            </w:r>
            <w:r>
              <w:rPr>
                <w:noProof/>
                <w:webHidden/>
              </w:rPr>
              <w:fldChar w:fldCharType="end"/>
            </w:r>
          </w:hyperlink>
        </w:p>
        <w:p w14:paraId="1C77BC2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59" w:history="1">
            <w:r w:rsidRPr="000D551A">
              <w:rPr>
                <w:rStyle w:val="Lienhypertexte"/>
                <w:noProof/>
              </w:rPr>
              <w:t>44.41.3f Isolation en panneaux - laine de lin CCTB 01.12</w:t>
            </w:r>
            <w:r>
              <w:rPr>
                <w:noProof/>
                <w:webHidden/>
              </w:rPr>
              <w:tab/>
            </w:r>
            <w:r>
              <w:rPr>
                <w:noProof/>
                <w:webHidden/>
              </w:rPr>
              <w:fldChar w:fldCharType="begin"/>
            </w:r>
            <w:r>
              <w:rPr>
                <w:noProof/>
                <w:webHidden/>
              </w:rPr>
              <w:instrText xml:space="preserve"> PAGEREF _Toc220490659 \h </w:instrText>
            </w:r>
            <w:r>
              <w:rPr>
                <w:noProof/>
                <w:webHidden/>
              </w:rPr>
            </w:r>
            <w:r>
              <w:rPr>
                <w:noProof/>
                <w:webHidden/>
              </w:rPr>
              <w:fldChar w:fldCharType="separate"/>
            </w:r>
            <w:r>
              <w:rPr>
                <w:noProof/>
                <w:webHidden/>
              </w:rPr>
              <w:t>588</w:t>
            </w:r>
            <w:r>
              <w:rPr>
                <w:noProof/>
                <w:webHidden/>
              </w:rPr>
              <w:fldChar w:fldCharType="end"/>
            </w:r>
          </w:hyperlink>
        </w:p>
        <w:p w14:paraId="387AA2D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0" w:history="1">
            <w:r w:rsidRPr="000D551A">
              <w:rPr>
                <w:rStyle w:val="Lienhypertexte"/>
                <w:noProof/>
              </w:rPr>
              <w:t>44.41.3g Isolation en panneaux - coton CCTB 01.12</w:t>
            </w:r>
            <w:r>
              <w:rPr>
                <w:noProof/>
                <w:webHidden/>
              </w:rPr>
              <w:tab/>
            </w:r>
            <w:r>
              <w:rPr>
                <w:noProof/>
                <w:webHidden/>
              </w:rPr>
              <w:fldChar w:fldCharType="begin"/>
            </w:r>
            <w:r>
              <w:rPr>
                <w:noProof/>
                <w:webHidden/>
              </w:rPr>
              <w:instrText xml:space="preserve"> PAGEREF _Toc220490660 \h </w:instrText>
            </w:r>
            <w:r>
              <w:rPr>
                <w:noProof/>
                <w:webHidden/>
              </w:rPr>
            </w:r>
            <w:r>
              <w:rPr>
                <w:noProof/>
                <w:webHidden/>
              </w:rPr>
              <w:fldChar w:fldCharType="separate"/>
            </w:r>
            <w:r>
              <w:rPr>
                <w:noProof/>
                <w:webHidden/>
              </w:rPr>
              <w:t>591</w:t>
            </w:r>
            <w:r>
              <w:rPr>
                <w:noProof/>
                <w:webHidden/>
              </w:rPr>
              <w:fldChar w:fldCharType="end"/>
            </w:r>
          </w:hyperlink>
        </w:p>
        <w:p w14:paraId="53C647E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1" w:history="1">
            <w:r w:rsidRPr="000D551A">
              <w:rPr>
                <w:rStyle w:val="Lienhypertexte"/>
                <w:noProof/>
              </w:rPr>
              <w:t>44.41.3h Isolation en panneaux - herbe CCTB 01.10</w:t>
            </w:r>
            <w:r>
              <w:rPr>
                <w:noProof/>
                <w:webHidden/>
              </w:rPr>
              <w:tab/>
            </w:r>
            <w:r>
              <w:rPr>
                <w:noProof/>
                <w:webHidden/>
              </w:rPr>
              <w:fldChar w:fldCharType="begin"/>
            </w:r>
            <w:r>
              <w:rPr>
                <w:noProof/>
                <w:webHidden/>
              </w:rPr>
              <w:instrText xml:space="preserve"> PAGEREF _Toc220490661 \h </w:instrText>
            </w:r>
            <w:r>
              <w:rPr>
                <w:noProof/>
                <w:webHidden/>
              </w:rPr>
            </w:r>
            <w:r>
              <w:rPr>
                <w:noProof/>
                <w:webHidden/>
              </w:rPr>
              <w:fldChar w:fldCharType="separate"/>
            </w:r>
            <w:r>
              <w:rPr>
                <w:noProof/>
                <w:webHidden/>
              </w:rPr>
              <w:t>594</w:t>
            </w:r>
            <w:r>
              <w:rPr>
                <w:noProof/>
                <w:webHidden/>
              </w:rPr>
              <w:fldChar w:fldCharType="end"/>
            </w:r>
          </w:hyperlink>
        </w:p>
        <w:p w14:paraId="78C075E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2" w:history="1">
            <w:r w:rsidRPr="000D551A">
              <w:rPr>
                <w:rStyle w:val="Lienhypertexte"/>
                <w:noProof/>
              </w:rPr>
              <w:t>44.41.3i (titre réservé)</w:t>
            </w:r>
            <w:r>
              <w:rPr>
                <w:noProof/>
                <w:webHidden/>
              </w:rPr>
              <w:tab/>
            </w:r>
            <w:r>
              <w:rPr>
                <w:noProof/>
                <w:webHidden/>
              </w:rPr>
              <w:fldChar w:fldCharType="begin"/>
            </w:r>
            <w:r>
              <w:rPr>
                <w:noProof/>
                <w:webHidden/>
              </w:rPr>
              <w:instrText xml:space="preserve"> PAGEREF _Toc220490662 \h </w:instrText>
            </w:r>
            <w:r>
              <w:rPr>
                <w:noProof/>
                <w:webHidden/>
              </w:rPr>
            </w:r>
            <w:r>
              <w:rPr>
                <w:noProof/>
                <w:webHidden/>
              </w:rPr>
              <w:fldChar w:fldCharType="separate"/>
            </w:r>
            <w:r>
              <w:rPr>
                <w:noProof/>
                <w:webHidden/>
              </w:rPr>
              <w:t>594</w:t>
            </w:r>
            <w:r>
              <w:rPr>
                <w:noProof/>
                <w:webHidden/>
              </w:rPr>
              <w:fldChar w:fldCharType="end"/>
            </w:r>
          </w:hyperlink>
        </w:p>
        <w:p w14:paraId="0A77FFB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3" w:history="1">
            <w:r w:rsidRPr="000D551A">
              <w:rPr>
                <w:rStyle w:val="Lienhypertexte"/>
                <w:noProof/>
              </w:rPr>
              <w:t>44.41.3j Isolation en panneaux - paille CCTB 01.11</w:t>
            </w:r>
            <w:r>
              <w:rPr>
                <w:noProof/>
                <w:webHidden/>
              </w:rPr>
              <w:tab/>
            </w:r>
            <w:r>
              <w:rPr>
                <w:noProof/>
                <w:webHidden/>
              </w:rPr>
              <w:fldChar w:fldCharType="begin"/>
            </w:r>
            <w:r>
              <w:rPr>
                <w:noProof/>
                <w:webHidden/>
              </w:rPr>
              <w:instrText xml:space="preserve"> PAGEREF _Toc220490663 \h </w:instrText>
            </w:r>
            <w:r>
              <w:rPr>
                <w:noProof/>
                <w:webHidden/>
              </w:rPr>
            </w:r>
            <w:r>
              <w:rPr>
                <w:noProof/>
                <w:webHidden/>
              </w:rPr>
              <w:fldChar w:fldCharType="separate"/>
            </w:r>
            <w:r>
              <w:rPr>
                <w:noProof/>
                <w:webHidden/>
              </w:rPr>
              <w:t>594</w:t>
            </w:r>
            <w:r>
              <w:rPr>
                <w:noProof/>
                <w:webHidden/>
              </w:rPr>
              <w:fldChar w:fldCharType="end"/>
            </w:r>
          </w:hyperlink>
        </w:p>
        <w:p w14:paraId="389A501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4" w:history="1">
            <w:r w:rsidRPr="000D551A">
              <w:rPr>
                <w:rStyle w:val="Lienhypertexte"/>
                <w:noProof/>
              </w:rPr>
              <w:t>44.41.3k (titre réservé)</w:t>
            </w:r>
            <w:r>
              <w:rPr>
                <w:noProof/>
                <w:webHidden/>
              </w:rPr>
              <w:tab/>
            </w:r>
            <w:r>
              <w:rPr>
                <w:noProof/>
                <w:webHidden/>
              </w:rPr>
              <w:fldChar w:fldCharType="begin"/>
            </w:r>
            <w:r>
              <w:rPr>
                <w:noProof/>
                <w:webHidden/>
              </w:rPr>
              <w:instrText xml:space="preserve"> PAGEREF _Toc220490664 \h </w:instrText>
            </w:r>
            <w:r>
              <w:rPr>
                <w:noProof/>
                <w:webHidden/>
              </w:rPr>
            </w:r>
            <w:r>
              <w:rPr>
                <w:noProof/>
                <w:webHidden/>
              </w:rPr>
              <w:fldChar w:fldCharType="separate"/>
            </w:r>
            <w:r>
              <w:rPr>
                <w:noProof/>
                <w:webHidden/>
              </w:rPr>
              <w:t>597</w:t>
            </w:r>
            <w:r>
              <w:rPr>
                <w:noProof/>
                <w:webHidden/>
              </w:rPr>
              <w:fldChar w:fldCharType="end"/>
            </w:r>
          </w:hyperlink>
        </w:p>
        <w:p w14:paraId="13008F0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5" w:history="1">
            <w:r w:rsidRPr="000D551A">
              <w:rPr>
                <w:rStyle w:val="Lienhypertexte"/>
                <w:noProof/>
              </w:rPr>
              <w:t>44.41.3l Isolation en panneaux - biopolymères CCTB 01.12</w:t>
            </w:r>
            <w:r>
              <w:rPr>
                <w:noProof/>
                <w:webHidden/>
              </w:rPr>
              <w:tab/>
            </w:r>
            <w:r>
              <w:rPr>
                <w:noProof/>
                <w:webHidden/>
              </w:rPr>
              <w:fldChar w:fldCharType="begin"/>
            </w:r>
            <w:r>
              <w:rPr>
                <w:noProof/>
                <w:webHidden/>
              </w:rPr>
              <w:instrText xml:space="preserve"> PAGEREF _Toc220490665 \h </w:instrText>
            </w:r>
            <w:r>
              <w:rPr>
                <w:noProof/>
                <w:webHidden/>
              </w:rPr>
            </w:r>
            <w:r>
              <w:rPr>
                <w:noProof/>
                <w:webHidden/>
              </w:rPr>
              <w:fldChar w:fldCharType="separate"/>
            </w:r>
            <w:r>
              <w:rPr>
                <w:noProof/>
                <w:webHidden/>
              </w:rPr>
              <w:t>597</w:t>
            </w:r>
            <w:r>
              <w:rPr>
                <w:noProof/>
                <w:webHidden/>
              </w:rPr>
              <w:fldChar w:fldCharType="end"/>
            </w:r>
          </w:hyperlink>
        </w:p>
        <w:p w14:paraId="177BCA4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66" w:history="1">
            <w:r w:rsidRPr="000D551A">
              <w:rPr>
                <w:rStyle w:val="Lienhypertexte"/>
                <w:noProof/>
              </w:rPr>
              <w:t>44.41.4 Isolation en panneaux - matières animales CCTB 01.02</w:t>
            </w:r>
            <w:r>
              <w:rPr>
                <w:noProof/>
                <w:webHidden/>
              </w:rPr>
              <w:tab/>
            </w:r>
            <w:r>
              <w:rPr>
                <w:noProof/>
                <w:webHidden/>
              </w:rPr>
              <w:fldChar w:fldCharType="begin"/>
            </w:r>
            <w:r>
              <w:rPr>
                <w:noProof/>
                <w:webHidden/>
              </w:rPr>
              <w:instrText xml:space="preserve"> PAGEREF _Toc220490666 \h </w:instrText>
            </w:r>
            <w:r>
              <w:rPr>
                <w:noProof/>
                <w:webHidden/>
              </w:rPr>
            </w:r>
            <w:r>
              <w:rPr>
                <w:noProof/>
                <w:webHidden/>
              </w:rPr>
              <w:fldChar w:fldCharType="separate"/>
            </w:r>
            <w:r>
              <w:rPr>
                <w:noProof/>
                <w:webHidden/>
              </w:rPr>
              <w:t>598</w:t>
            </w:r>
            <w:r>
              <w:rPr>
                <w:noProof/>
                <w:webHidden/>
              </w:rPr>
              <w:fldChar w:fldCharType="end"/>
            </w:r>
          </w:hyperlink>
        </w:p>
        <w:p w14:paraId="030AB06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7" w:history="1">
            <w:r w:rsidRPr="000D551A">
              <w:rPr>
                <w:rStyle w:val="Lienhypertexte"/>
                <w:noProof/>
              </w:rPr>
              <w:t>44.41.4a Isolation en panneaux - laine de mouton CCTB 01.11</w:t>
            </w:r>
            <w:r>
              <w:rPr>
                <w:noProof/>
                <w:webHidden/>
              </w:rPr>
              <w:tab/>
            </w:r>
            <w:r>
              <w:rPr>
                <w:noProof/>
                <w:webHidden/>
              </w:rPr>
              <w:fldChar w:fldCharType="begin"/>
            </w:r>
            <w:r>
              <w:rPr>
                <w:noProof/>
                <w:webHidden/>
              </w:rPr>
              <w:instrText xml:space="preserve"> PAGEREF _Toc220490667 \h </w:instrText>
            </w:r>
            <w:r>
              <w:rPr>
                <w:noProof/>
                <w:webHidden/>
              </w:rPr>
            </w:r>
            <w:r>
              <w:rPr>
                <w:noProof/>
                <w:webHidden/>
              </w:rPr>
              <w:fldChar w:fldCharType="separate"/>
            </w:r>
            <w:r>
              <w:rPr>
                <w:noProof/>
                <w:webHidden/>
              </w:rPr>
              <w:t>598</w:t>
            </w:r>
            <w:r>
              <w:rPr>
                <w:noProof/>
                <w:webHidden/>
              </w:rPr>
              <w:fldChar w:fldCharType="end"/>
            </w:r>
          </w:hyperlink>
        </w:p>
        <w:p w14:paraId="4C1E06E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68" w:history="1">
            <w:r w:rsidRPr="000D551A">
              <w:rPr>
                <w:rStyle w:val="Lienhypertexte"/>
                <w:noProof/>
              </w:rPr>
              <w:t>44.41.4b Isolation en panneaux - plumes de canard CCTB 01.02</w:t>
            </w:r>
            <w:r>
              <w:rPr>
                <w:noProof/>
                <w:webHidden/>
              </w:rPr>
              <w:tab/>
            </w:r>
            <w:r>
              <w:rPr>
                <w:noProof/>
                <w:webHidden/>
              </w:rPr>
              <w:fldChar w:fldCharType="begin"/>
            </w:r>
            <w:r>
              <w:rPr>
                <w:noProof/>
                <w:webHidden/>
              </w:rPr>
              <w:instrText xml:space="preserve"> PAGEREF _Toc220490668 \h </w:instrText>
            </w:r>
            <w:r>
              <w:rPr>
                <w:noProof/>
                <w:webHidden/>
              </w:rPr>
            </w:r>
            <w:r>
              <w:rPr>
                <w:noProof/>
                <w:webHidden/>
              </w:rPr>
              <w:fldChar w:fldCharType="separate"/>
            </w:r>
            <w:r>
              <w:rPr>
                <w:noProof/>
                <w:webHidden/>
              </w:rPr>
              <w:t>599</w:t>
            </w:r>
            <w:r>
              <w:rPr>
                <w:noProof/>
                <w:webHidden/>
              </w:rPr>
              <w:fldChar w:fldCharType="end"/>
            </w:r>
          </w:hyperlink>
        </w:p>
        <w:p w14:paraId="36FBC18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69" w:history="1">
            <w:r w:rsidRPr="000D551A">
              <w:rPr>
                <w:rStyle w:val="Lienhypertexte"/>
                <w:noProof/>
              </w:rPr>
              <w:t>44.41.5 Isolation en panneaux - matières composites CCTB 01.02</w:t>
            </w:r>
            <w:r>
              <w:rPr>
                <w:noProof/>
                <w:webHidden/>
              </w:rPr>
              <w:tab/>
            </w:r>
            <w:r>
              <w:rPr>
                <w:noProof/>
                <w:webHidden/>
              </w:rPr>
              <w:fldChar w:fldCharType="begin"/>
            </w:r>
            <w:r>
              <w:rPr>
                <w:noProof/>
                <w:webHidden/>
              </w:rPr>
              <w:instrText xml:space="preserve"> PAGEREF _Toc220490669 \h </w:instrText>
            </w:r>
            <w:r>
              <w:rPr>
                <w:noProof/>
                <w:webHidden/>
              </w:rPr>
            </w:r>
            <w:r>
              <w:rPr>
                <w:noProof/>
                <w:webHidden/>
              </w:rPr>
              <w:fldChar w:fldCharType="separate"/>
            </w:r>
            <w:r>
              <w:rPr>
                <w:noProof/>
                <w:webHidden/>
              </w:rPr>
              <w:t>599</w:t>
            </w:r>
            <w:r>
              <w:rPr>
                <w:noProof/>
                <w:webHidden/>
              </w:rPr>
              <w:fldChar w:fldCharType="end"/>
            </w:r>
          </w:hyperlink>
        </w:p>
        <w:p w14:paraId="733D5C2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0" w:history="1">
            <w:r w:rsidRPr="000D551A">
              <w:rPr>
                <w:rStyle w:val="Lienhypertexte"/>
                <w:noProof/>
              </w:rPr>
              <w:t>44.41.5a Isolation en panneaux - fibres de bois - ciment CCTB 01.02</w:t>
            </w:r>
            <w:r>
              <w:rPr>
                <w:noProof/>
                <w:webHidden/>
              </w:rPr>
              <w:tab/>
            </w:r>
            <w:r>
              <w:rPr>
                <w:noProof/>
                <w:webHidden/>
              </w:rPr>
              <w:fldChar w:fldCharType="begin"/>
            </w:r>
            <w:r>
              <w:rPr>
                <w:noProof/>
                <w:webHidden/>
              </w:rPr>
              <w:instrText xml:space="preserve"> PAGEREF _Toc220490670 \h </w:instrText>
            </w:r>
            <w:r>
              <w:rPr>
                <w:noProof/>
                <w:webHidden/>
              </w:rPr>
            </w:r>
            <w:r>
              <w:rPr>
                <w:noProof/>
                <w:webHidden/>
              </w:rPr>
              <w:fldChar w:fldCharType="separate"/>
            </w:r>
            <w:r>
              <w:rPr>
                <w:noProof/>
                <w:webHidden/>
              </w:rPr>
              <w:t>599</w:t>
            </w:r>
            <w:r>
              <w:rPr>
                <w:noProof/>
                <w:webHidden/>
              </w:rPr>
              <w:fldChar w:fldCharType="end"/>
            </w:r>
          </w:hyperlink>
        </w:p>
        <w:p w14:paraId="1405D9E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1" w:history="1">
            <w:r w:rsidRPr="000D551A">
              <w:rPr>
                <w:rStyle w:val="Lienhypertexte"/>
                <w:noProof/>
              </w:rPr>
              <w:t>44.41.5b Isolation en panneaux - fibres de cellulose - plâtre CCTB 01.02</w:t>
            </w:r>
            <w:r>
              <w:rPr>
                <w:noProof/>
                <w:webHidden/>
              </w:rPr>
              <w:tab/>
            </w:r>
            <w:r>
              <w:rPr>
                <w:noProof/>
                <w:webHidden/>
              </w:rPr>
              <w:fldChar w:fldCharType="begin"/>
            </w:r>
            <w:r>
              <w:rPr>
                <w:noProof/>
                <w:webHidden/>
              </w:rPr>
              <w:instrText xml:space="preserve"> PAGEREF _Toc220490671 \h </w:instrText>
            </w:r>
            <w:r>
              <w:rPr>
                <w:noProof/>
                <w:webHidden/>
              </w:rPr>
            </w:r>
            <w:r>
              <w:rPr>
                <w:noProof/>
                <w:webHidden/>
              </w:rPr>
              <w:fldChar w:fldCharType="separate"/>
            </w:r>
            <w:r>
              <w:rPr>
                <w:noProof/>
                <w:webHidden/>
              </w:rPr>
              <w:t>599</w:t>
            </w:r>
            <w:r>
              <w:rPr>
                <w:noProof/>
                <w:webHidden/>
              </w:rPr>
              <w:fldChar w:fldCharType="end"/>
            </w:r>
          </w:hyperlink>
        </w:p>
        <w:p w14:paraId="3F86402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2" w:history="1">
            <w:r w:rsidRPr="000D551A">
              <w:rPr>
                <w:rStyle w:val="Lienhypertexte"/>
                <w:noProof/>
              </w:rPr>
              <w:t>44.41.5c Isolation en panneaux - polystyrène expansé (EPS) - ciment CCTB 01.02</w:t>
            </w:r>
            <w:r>
              <w:rPr>
                <w:noProof/>
                <w:webHidden/>
              </w:rPr>
              <w:tab/>
            </w:r>
            <w:r>
              <w:rPr>
                <w:noProof/>
                <w:webHidden/>
              </w:rPr>
              <w:fldChar w:fldCharType="begin"/>
            </w:r>
            <w:r>
              <w:rPr>
                <w:noProof/>
                <w:webHidden/>
              </w:rPr>
              <w:instrText xml:space="preserve"> PAGEREF _Toc220490672 \h </w:instrText>
            </w:r>
            <w:r>
              <w:rPr>
                <w:noProof/>
                <w:webHidden/>
              </w:rPr>
            </w:r>
            <w:r>
              <w:rPr>
                <w:noProof/>
                <w:webHidden/>
              </w:rPr>
              <w:fldChar w:fldCharType="separate"/>
            </w:r>
            <w:r>
              <w:rPr>
                <w:noProof/>
                <w:webHidden/>
              </w:rPr>
              <w:t>599</w:t>
            </w:r>
            <w:r>
              <w:rPr>
                <w:noProof/>
                <w:webHidden/>
              </w:rPr>
              <w:fldChar w:fldCharType="end"/>
            </w:r>
          </w:hyperlink>
        </w:p>
        <w:p w14:paraId="1C56DC1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3" w:history="1">
            <w:r w:rsidRPr="000D551A">
              <w:rPr>
                <w:rStyle w:val="Lienhypertexte"/>
                <w:noProof/>
              </w:rPr>
              <w:t>44.41.5d (titre réservé) CCTB 01.02</w:t>
            </w:r>
            <w:r>
              <w:rPr>
                <w:noProof/>
                <w:webHidden/>
              </w:rPr>
              <w:tab/>
            </w:r>
            <w:r>
              <w:rPr>
                <w:noProof/>
                <w:webHidden/>
              </w:rPr>
              <w:fldChar w:fldCharType="begin"/>
            </w:r>
            <w:r>
              <w:rPr>
                <w:noProof/>
                <w:webHidden/>
              </w:rPr>
              <w:instrText xml:space="preserve"> PAGEREF _Toc220490673 \h </w:instrText>
            </w:r>
            <w:r>
              <w:rPr>
                <w:noProof/>
                <w:webHidden/>
              </w:rPr>
            </w:r>
            <w:r>
              <w:rPr>
                <w:noProof/>
                <w:webHidden/>
              </w:rPr>
              <w:fldChar w:fldCharType="separate"/>
            </w:r>
            <w:r>
              <w:rPr>
                <w:noProof/>
                <w:webHidden/>
              </w:rPr>
              <w:t>599</w:t>
            </w:r>
            <w:r>
              <w:rPr>
                <w:noProof/>
                <w:webHidden/>
              </w:rPr>
              <w:fldChar w:fldCharType="end"/>
            </w:r>
          </w:hyperlink>
        </w:p>
        <w:p w14:paraId="4B46881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4" w:history="1">
            <w:r w:rsidRPr="000D551A">
              <w:rPr>
                <w:rStyle w:val="Lienhypertexte"/>
                <w:noProof/>
              </w:rPr>
              <w:t>44.41.5e (titre réservé) CCTB 01.02</w:t>
            </w:r>
            <w:r>
              <w:rPr>
                <w:noProof/>
                <w:webHidden/>
              </w:rPr>
              <w:tab/>
            </w:r>
            <w:r>
              <w:rPr>
                <w:noProof/>
                <w:webHidden/>
              </w:rPr>
              <w:fldChar w:fldCharType="begin"/>
            </w:r>
            <w:r>
              <w:rPr>
                <w:noProof/>
                <w:webHidden/>
              </w:rPr>
              <w:instrText xml:space="preserve"> PAGEREF _Toc220490674 \h </w:instrText>
            </w:r>
            <w:r>
              <w:rPr>
                <w:noProof/>
                <w:webHidden/>
              </w:rPr>
            </w:r>
            <w:r>
              <w:rPr>
                <w:noProof/>
                <w:webHidden/>
              </w:rPr>
              <w:fldChar w:fldCharType="separate"/>
            </w:r>
            <w:r>
              <w:rPr>
                <w:noProof/>
                <w:webHidden/>
              </w:rPr>
              <w:t>599</w:t>
            </w:r>
            <w:r>
              <w:rPr>
                <w:noProof/>
                <w:webHidden/>
              </w:rPr>
              <w:fldChar w:fldCharType="end"/>
            </w:r>
          </w:hyperlink>
        </w:p>
        <w:p w14:paraId="6BDEDDF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75" w:history="1">
            <w:r w:rsidRPr="000D551A">
              <w:rPr>
                <w:rStyle w:val="Lienhypertexte"/>
                <w:noProof/>
              </w:rPr>
              <w:t>44.41.6 Isolation en panneaux sandwich (autoportant et isolant) CCTB 01.02</w:t>
            </w:r>
            <w:r>
              <w:rPr>
                <w:noProof/>
                <w:webHidden/>
              </w:rPr>
              <w:tab/>
            </w:r>
            <w:r>
              <w:rPr>
                <w:noProof/>
                <w:webHidden/>
              </w:rPr>
              <w:fldChar w:fldCharType="begin"/>
            </w:r>
            <w:r>
              <w:rPr>
                <w:noProof/>
                <w:webHidden/>
              </w:rPr>
              <w:instrText xml:space="preserve"> PAGEREF _Toc220490675 \h </w:instrText>
            </w:r>
            <w:r>
              <w:rPr>
                <w:noProof/>
                <w:webHidden/>
              </w:rPr>
            </w:r>
            <w:r>
              <w:rPr>
                <w:noProof/>
                <w:webHidden/>
              </w:rPr>
              <w:fldChar w:fldCharType="separate"/>
            </w:r>
            <w:r>
              <w:rPr>
                <w:noProof/>
                <w:webHidden/>
              </w:rPr>
              <w:t>599</w:t>
            </w:r>
            <w:r>
              <w:rPr>
                <w:noProof/>
                <w:webHidden/>
              </w:rPr>
              <w:fldChar w:fldCharType="end"/>
            </w:r>
          </w:hyperlink>
        </w:p>
        <w:p w14:paraId="5FF6859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6" w:history="1">
            <w:r w:rsidRPr="000D551A">
              <w:rPr>
                <w:rStyle w:val="Lienhypertexte"/>
                <w:noProof/>
              </w:rPr>
              <w:t>44.41.6a (titre réservé) CCTB 01.02</w:t>
            </w:r>
            <w:r>
              <w:rPr>
                <w:noProof/>
                <w:webHidden/>
              </w:rPr>
              <w:tab/>
            </w:r>
            <w:r>
              <w:rPr>
                <w:noProof/>
                <w:webHidden/>
              </w:rPr>
              <w:fldChar w:fldCharType="begin"/>
            </w:r>
            <w:r>
              <w:rPr>
                <w:noProof/>
                <w:webHidden/>
              </w:rPr>
              <w:instrText xml:space="preserve"> PAGEREF _Toc220490676 \h </w:instrText>
            </w:r>
            <w:r>
              <w:rPr>
                <w:noProof/>
                <w:webHidden/>
              </w:rPr>
            </w:r>
            <w:r>
              <w:rPr>
                <w:noProof/>
                <w:webHidden/>
              </w:rPr>
              <w:fldChar w:fldCharType="separate"/>
            </w:r>
            <w:r>
              <w:rPr>
                <w:noProof/>
                <w:webHidden/>
              </w:rPr>
              <w:t>599</w:t>
            </w:r>
            <w:r>
              <w:rPr>
                <w:noProof/>
                <w:webHidden/>
              </w:rPr>
              <w:fldChar w:fldCharType="end"/>
            </w:r>
          </w:hyperlink>
        </w:p>
        <w:p w14:paraId="0F6F5CC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7" w:history="1">
            <w:r w:rsidRPr="000D551A">
              <w:rPr>
                <w:rStyle w:val="Lienhypertexte"/>
                <w:noProof/>
              </w:rPr>
              <w:t>44.41.6b (titre réservé) CCTB 01.02</w:t>
            </w:r>
            <w:r>
              <w:rPr>
                <w:noProof/>
                <w:webHidden/>
              </w:rPr>
              <w:tab/>
            </w:r>
            <w:r>
              <w:rPr>
                <w:noProof/>
                <w:webHidden/>
              </w:rPr>
              <w:fldChar w:fldCharType="begin"/>
            </w:r>
            <w:r>
              <w:rPr>
                <w:noProof/>
                <w:webHidden/>
              </w:rPr>
              <w:instrText xml:space="preserve"> PAGEREF _Toc220490677 \h </w:instrText>
            </w:r>
            <w:r>
              <w:rPr>
                <w:noProof/>
                <w:webHidden/>
              </w:rPr>
            </w:r>
            <w:r>
              <w:rPr>
                <w:noProof/>
                <w:webHidden/>
              </w:rPr>
              <w:fldChar w:fldCharType="separate"/>
            </w:r>
            <w:r>
              <w:rPr>
                <w:noProof/>
                <w:webHidden/>
              </w:rPr>
              <w:t>599</w:t>
            </w:r>
            <w:r>
              <w:rPr>
                <w:noProof/>
                <w:webHidden/>
              </w:rPr>
              <w:fldChar w:fldCharType="end"/>
            </w:r>
          </w:hyperlink>
        </w:p>
        <w:p w14:paraId="3E47FCB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8" w:history="1">
            <w:r w:rsidRPr="000D551A">
              <w:rPr>
                <w:rStyle w:val="Lienhypertexte"/>
                <w:noProof/>
              </w:rPr>
              <w:t>44.41.6c (titre réservé) CCTB 01.02</w:t>
            </w:r>
            <w:r>
              <w:rPr>
                <w:noProof/>
                <w:webHidden/>
              </w:rPr>
              <w:tab/>
            </w:r>
            <w:r>
              <w:rPr>
                <w:noProof/>
                <w:webHidden/>
              </w:rPr>
              <w:fldChar w:fldCharType="begin"/>
            </w:r>
            <w:r>
              <w:rPr>
                <w:noProof/>
                <w:webHidden/>
              </w:rPr>
              <w:instrText xml:space="preserve"> PAGEREF _Toc220490678 \h </w:instrText>
            </w:r>
            <w:r>
              <w:rPr>
                <w:noProof/>
                <w:webHidden/>
              </w:rPr>
            </w:r>
            <w:r>
              <w:rPr>
                <w:noProof/>
                <w:webHidden/>
              </w:rPr>
              <w:fldChar w:fldCharType="separate"/>
            </w:r>
            <w:r>
              <w:rPr>
                <w:noProof/>
                <w:webHidden/>
              </w:rPr>
              <w:t>599</w:t>
            </w:r>
            <w:r>
              <w:rPr>
                <w:noProof/>
                <w:webHidden/>
              </w:rPr>
              <w:fldChar w:fldCharType="end"/>
            </w:r>
          </w:hyperlink>
        </w:p>
        <w:p w14:paraId="6AB7B77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79" w:history="1">
            <w:r w:rsidRPr="000D551A">
              <w:rPr>
                <w:rStyle w:val="Lienhypertexte"/>
                <w:noProof/>
              </w:rPr>
              <w:t>44.41.6d (titre réservé) CCTB 01.02</w:t>
            </w:r>
            <w:r>
              <w:rPr>
                <w:noProof/>
                <w:webHidden/>
              </w:rPr>
              <w:tab/>
            </w:r>
            <w:r>
              <w:rPr>
                <w:noProof/>
                <w:webHidden/>
              </w:rPr>
              <w:fldChar w:fldCharType="begin"/>
            </w:r>
            <w:r>
              <w:rPr>
                <w:noProof/>
                <w:webHidden/>
              </w:rPr>
              <w:instrText xml:space="preserve"> PAGEREF _Toc220490679 \h </w:instrText>
            </w:r>
            <w:r>
              <w:rPr>
                <w:noProof/>
                <w:webHidden/>
              </w:rPr>
            </w:r>
            <w:r>
              <w:rPr>
                <w:noProof/>
                <w:webHidden/>
              </w:rPr>
              <w:fldChar w:fldCharType="separate"/>
            </w:r>
            <w:r>
              <w:rPr>
                <w:noProof/>
                <w:webHidden/>
              </w:rPr>
              <w:t>599</w:t>
            </w:r>
            <w:r>
              <w:rPr>
                <w:noProof/>
                <w:webHidden/>
              </w:rPr>
              <w:fldChar w:fldCharType="end"/>
            </w:r>
          </w:hyperlink>
        </w:p>
        <w:p w14:paraId="250599F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80" w:history="1">
            <w:r w:rsidRPr="000D551A">
              <w:rPr>
                <w:rStyle w:val="Lienhypertexte"/>
                <w:noProof/>
              </w:rPr>
              <w:t>44.41.6e Isolation en panneaux sandwich - polystyrène extrudé (XPS) + fibres de bois - ciment CCTB 01.02</w:t>
            </w:r>
            <w:r>
              <w:rPr>
                <w:noProof/>
                <w:webHidden/>
              </w:rPr>
              <w:tab/>
            </w:r>
            <w:r>
              <w:rPr>
                <w:noProof/>
                <w:webHidden/>
              </w:rPr>
              <w:fldChar w:fldCharType="begin"/>
            </w:r>
            <w:r>
              <w:rPr>
                <w:noProof/>
                <w:webHidden/>
              </w:rPr>
              <w:instrText xml:space="preserve"> PAGEREF _Toc220490680 \h </w:instrText>
            </w:r>
            <w:r>
              <w:rPr>
                <w:noProof/>
                <w:webHidden/>
              </w:rPr>
            </w:r>
            <w:r>
              <w:rPr>
                <w:noProof/>
                <w:webHidden/>
              </w:rPr>
              <w:fldChar w:fldCharType="separate"/>
            </w:r>
            <w:r>
              <w:rPr>
                <w:noProof/>
                <w:webHidden/>
              </w:rPr>
              <w:t>599</w:t>
            </w:r>
            <w:r>
              <w:rPr>
                <w:noProof/>
                <w:webHidden/>
              </w:rPr>
              <w:fldChar w:fldCharType="end"/>
            </w:r>
          </w:hyperlink>
        </w:p>
        <w:p w14:paraId="62F11EE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81" w:history="1">
            <w:r w:rsidRPr="000D551A">
              <w:rPr>
                <w:rStyle w:val="Lienhypertexte"/>
                <w:noProof/>
              </w:rPr>
              <w:t>44.41.6f Isolation en panneaux sandwich - polystyrène expansé (EPS) + fibres de bois - ciment CCTB 01.02</w:t>
            </w:r>
            <w:r>
              <w:rPr>
                <w:noProof/>
                <w:webHidden/>
              </w:rPr>
              <w:tab/>
            </w:r>
            <w:r>
              <w:rPr>
                <w:noProof/>
                <w:webHidden/>
              </w:rPr>
              <w:fldChar w:fldCharType="begin"/>
            </w:r>
            <w:r>
              <w:rPr>
                <w:noProof/>
                <w:webHidden/>
              </w:rPr>
              <w:instrText xml:space="preserve"> PAGEREF _Toc220490681 \h </w:instrText>
            </w:r>
            <w:r>
              <w:rPr>
                <w:noProof/>
                <w:webHidden/>
              </w:rPr>
            </w:r>
            <w:r>
              <w:rPr>
                <w:noProof/>
                <w:webHidden/>
              </w:rPr>
              <w:fldChar w:fldCharType="separate"/>
            </w:r>
            <w:r>
              <w:rPr>
                <w:noProof/>
                <w:webHidden/>
              </w:rPr>
              <w:t>599</w:t>
            </w:r>
            <w:r>
              <w:rPr>
                <w:noProof/>
                <w:webHidden/>
              </w:rPr>
              <w:fldChar w:fldCharType="end"/>
            </w:r>
          </w:hyperlink>
        </w:p>
        <w:p w14:paraId="573B734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82" w:history="1">
            <w:r w:rsidRPr="000D551A">
              <w:rPr>
                <w:rStyle w:val="Lienhypertexte"/>
                <w:noProof/>
              </w:rPr>
              <w:t>44.41.6g (titre réservé) CCTB 01.02</w:t>
            </w:r>
            <w:r>
              <w:rPr>
                <w:noProof/>
                <w:webHidden/>
              </w:rPr>
              <w:tab/>
            </w:r>
            <w:r>
              <w:rPr>
                <w:noProof/>
                <w:webHidden/>
              </w:rPr>
              <w:fldChar w:fldCharType="begin"/>
            </w:r>
            <w:r>
              <w:rPr>
                <w:noProof/>
                <w:webHidden/>
              </w:rPr>
              <w:instrText xml:space="preserve"> PAGEREF _Toc220490682 \h </w:instrText>
            </w:r>
            <w:r>
              <w:rPr>
                <w:noProof/>
                <w:webHidden/>
              </w:rPr>
            </w:r>
            <w:r>
              <w:rPr>
                <w:noProof/>
                <w:webHidden/>
              </w:rPr>
              <w:fldChar w:fldCharType="separate"/>
            </w:r>
            <w:r>
              <w:rPr>
                <w:noProof/>
                <w:webHidden/>
              </w:rPr>
              <w:t>599</w:t>
            </w:r>
            <w:r>
              <w:rPr>
                <w:noProof/>
                <w:webHidden/>
              </w:rPr>
              <w:fldChar w:fldCharType="end"/>
            </w:r>
          </w:hyperlink>
        </w:p>
        <w:p w14:paraId="1EC1A809"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683" w:history="1">
            <w:r w:rsidRPr="000D551A">
              <w:rPr>
                <w:rStyle w:val="Lienhypertexte"/>
                <w:noProof/>
              </w:rPr>
              <w:t>44.42 Isolation en rouleaux/matelas CCTB 01.04</w:t>
            </w:r>
            <w:r>
              <w:rPr>
                <w:noProof/>
                <w:webHidden/>
              </w:rPr>
              <w:tab/>
            </w:r>
            <w:r>
              <w:rPr>
                <w:noProof/>
                <w:webHidden/>
              </w:rPr>
              <w:fldChar w:fldCharType="begin"/>
            </w:r>
            <w:r>
              <w:rPr>
                <w:noProof/>
                <w:webHidden/>
              </w:rPr>
              <w:instrText xml:space="preserve"> PAGEREF _Toc220490683 \h </w:instrText>
            </w:r>
            <w:r>
              <w:rPr>
                <w:noProof/>
                <w:webHidden/>
              </w:rPr>
            </w:r>
            <w:r>
              <w:rPr>
                <w:noProof/>
                <w:webHidden/>
              </w:rPr>
              <w:fldChar w:fldCharType="separate"/>
            </w:r>
            <w:r>
              <w:rPr>
                <w:noProof/>
                <w:webHidden/>
              </w:rPr>
              <w:t>599</w:t>
            </w:r>
            <w:r>
              <w:rPr>
                <w:noProof/>
                <w:webHidden/>
              </w:rPr>
              <w:fldChar w:fldCharType="end"/>
            </w:r>
          </w:hyperlink>
        </w:p>
        <w:p w14:paraId="06581AD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84" w:history="1">
            <w:r w:rsidRPr="000D551A">
              <w:rPr>
                <w:rStyle w:val="Lienhypertexte"/>
                <w:noProof/>
              </w:rPr>
              <w:t>44.42.1 Isolation en rouleaux/matelas - matières synthétiques CCTB 01.04</w:t>
            </w:r>
            <w:r>
              <w:rPr>
                <w:noProof/>
                <w:webHidden/>
              </w:rPr>
              <w:tab/>
            </w:r>
            <w:r>
              <w:rPr>
                <w:noProof/>
                <w:webHidden/>
              </w:rPr>
              <w:fldChar w:fldCharType="begin"/>
            </w:r>
            <w:r>
              <w:rPr>
                <w:noProof/>
                <w:webHidden/>
              </w:rPr>
              <w:instrText xml:space="preserve"> PAGEREF _Toc220490684 \h </w:instrText>
            </w:r>
            <w:r>
              <w:rPr>
                <w:noProof/>
                <w:webHidden/>
              </w:rPr>
            </w:r>
            <w:r>
              <w:rPr>
                <w:noProof/>
                <w:webHidden/>
              </w:rPr>
              <w:fldChar w:fldCharType="separate"/>
            </w:r>
            <w:r>
              <w:rPr>
                <w:noProof/>
                <w:webHidden/>
              </w:rPr>
              <w:t>599</w:t>
            </w:r>
            <w:r>
              <w:rPr>
                <w:noProof/>
                <w:webHidden/>
              </w:rPr>
              <w:fldChar w:fldCharType="end"/>
            </w:r>
          </w:hyperlink>
        </w:p>
        <w:p w14:paraId="7D098A9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85" w:history="1">
            <w:r w:rsidRPr="000D551A">
              <w:rPr>
                <w:rStyle w:val="Lienhypertexte"/>
                <w:noProof/>
              </w:rPr>
              <w:t>44.42.2 Isolation en rouleaux/matelas - matières minérales CCTB 01.02</w:t>
            </w:r>
            <w:r>
              <w:rPr>
                <w:noProof/>
                <w:webHidden/>
              </w:rPr>
              <w:tab/>
            </w:r>
            <w:r>
              <w:rPr>
                <w:noProof/>
                <w:webHidden/>
              </w:rPr>
              <w:fldChar w:fldCharType="begin"/>
            </w:r>
            <w:r>
              <w:rPr>
                <w:noProof/>
                <w:webHidden/>
              </w:rPr>
              <w:instrText xml:space="preserve"> PAGEREF _Toc220490685 \h </w:instrText>
            </w:r>
            <w:r>
              <w:rPr>
                <w:noProof/>
                <w:webHidden/>
              </w:rPr>
            </w:r>
            <w:r>
              <w:rPr>
                <w:noProof/>
                <w:webHidden/>
              </w:rPr>
              <w:fldChar w:fldCharType="separate"/>
            </w:r>
            <w:r>
              <w:rPr>
                <w:noProof/>
                <w:webHidden/>
              </w:rPr>
              <w:t>600</w:t>
            </w:r>
            <w:r>
              <w:rPr>
                <w:noProof/>
                <w:webHidden/>
              </w:rPr>
              <w:fldChar w:fldCharType="end"/>
            </w:r>
          </w:hyperlink>
        </w:p>
        <w:p w14:paraId="72165AF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86" w:history="1">
            <w:r w:rsidRPr="000D551A">
              <w:rPr>
                <w:rStyle w:val="Lienhypertexte"/>
                <w:noProof/>
              </w:rPr>
              <w:t>44.42.2a Isolation en rouleaux/matelas - laine minérale (MW) CCTB 01.11</w:t>
            </w:r>
            <w:r>
              <w:rPr>
                <w:noProof/>
                <w:webHidden/>
              </w:rPr>
              <w:tab/>
            </w:r>
            <w:r>
              <w:rPr>
                <w:noProof/>
                <w:webHidden/>
              </w:rPr>
              <w:fldChar w:fldCharType="begin"/>
            </w:r>
            <w:r>
              <w:rPr>
                <w:noProof/>
                <w:webHidden/>
              </w:rPr>
              <w:instrText xml:space="preserve"> PAGEREF _Toc220490686 \h </w:instrText>
            </w:r>
            <w:r>
              <w:rPr>
                <w:noProof/>
                <w:webHidden/>
              </w:rPr>
            </w:r>
            <w:r>
              <w:rPr>
                <w:noProof/>
                <w:webHidden/>
              </w:rPr>
              <w:fldChar w:fldCharType="separate"/>
            </w:r>
            <w:r>
              <w:rPr>
                <w:noProof/>
                <w:webHidden/>
              </w:rPr>
              <w:t>600</w:t>
            </w:r>
            <w:r>
              <w:rPr>
                <w:noProof/>
                <w:webHidden/>
              </w:rPr>
              <w:fldChar w:fldCharType="end"/>
            </w:r>
          </w:hyperlink>
        </w:p>
        <w:p w14:paraId="5EAD3BE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87" w:history="1">
            <w:r w:rsidRPr="000D551A">
              <w:rPr>
                <w:rStyle w:val="Lienhypertexte"/>
                <w:noProof/>
              </w:rPr>
              <w:t>44.42.3 Isolation en rouleaux/matelas - matières végétales CCTB 01.04</w:t>
            </w:r>
            <w:r>
              <w:rPr>
                <w:noProof/>
                <w:webHidden/>
              </w:rPr>
              <w:tab/>
            </w:r>
            <w:r>
              <w:rPr>
                <w:noProof/>
                <w:webHidden/>
              </w:rPr>
              <w:fldChar w:fldCharType="begin"/>
            </w:r>
            <w:r>
              <w:rPr>
                <w:noProof/>
                <w:webHidden/>
              </w:rPr>
              <w:instrText xml:space="preserve"> PAGEREF _Toc220490687 \h </w:instrText>
            </w:r>
            <w:r>
              <w:rPr>
                <w:noProof/>
                <w:webHidden/>
              </w:rPr>
            </w:r>
            <w:r>
              <w:rPr>
                <w:noProof/>
                <w:webHidden/>
              </w:rPr>
              <w:fldChar w:fldCharType="separate"/>
            </w:r>
            <w:r>
              <w:rPr>
                <w:noProof/>
                <w:webHidden/>
              </w:rPr>
              <w:t>602</w:t>
            </w:r>
            <w:r>
              <w:rPr>
                <w:noProof/>
                <w:webHidden/>
              </w:rPr>
              <w:fldChar w:fldCharType="end"/>
            </w:r>
          </w:hyperlink>
        </w:p>
        <w:p w14:paraId="36DFFC5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88" w:history="1">
            <w:r w:rsidRPr="000D551A">
              <w:rPr>
                <w:rStyle w:val="Lienhypertexte"/>
                <w:noProof/>
              </w:rPr>
              <w:t>44.42.3a Isolation en rouleaux/matelas - liège (ICB) CCTB 01.11</w:t>
            </w:r>
            <w:r>
              <w:rPr>
                <w:noProof/>
                <w:webHidden/>
              </w:rPr>
              <w:tab/>
            </w:r>
            <w:r>
              <w:rPr>
                <w:noProof/>
                <w:webHidden/>
              </w:rPr>
              <w:fldChar w:fldCharType="begin"/>
            </w:r>
            <w:r>
              <w:rPr>
                <w:noProof/>
                <w:webHidden/>
              </w:rPr>
              <w:instrText xml:space="preserve"> PAGEREF _Toc220490688 \h </w:instrText>
            </w:r>
            <w:r>
              <w:rPr>
                <w:noProof/>
                <w:webHidden/>
              </w:rPr>
            </w:r>
            <w:r>
              <w:rPr>
                <w:noProof/>
                <w:webHidden/>
              </w:rPr>
              <w:fldChar w:fldCharType="separate"/>
            </w:r>
            <w:r>
              <w:rPr>
                <w:noProof/>
                <w:webHidden/>
              </w:rPr>
              <w:t>603</w:t>
            </w:r>
            <w:r>
              <w:rPr>
                <w:noProof/>
                <w:webHidden/>
              </w:rPr>
              <w:fldChar w:fldCharType="end"/>
            </w:r>
          </w:hyperlink>
        </w:p>
        <w:p w14:paraId="49E04CE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89" w:history="1">
            <w:r w:rsidRPr="000D551A">
              <w:rPr>
                <w:rStyle w:val="Lienhypertexte"/>
                <w:noProof/>
              </w:rPr>
              <w:t>44.42.3b Isolation en rouleaux/matelas - laine de chanvre CCTB 01.11</w:t>
            </w:r>
            <w:r>
              <w:rPr>
                <w:noProof/>
                <w:webHidden/>
              </w:rPr>
              <w:tab/>
            </w:r>
            <w:r>
              <w:rPr>
                <w:noProof/>
                <w:webHidden/>
              </w:rPr>
              <w:fldChar w:fldCharType="begin"/>
            </w:r>
            <w:r>
              <w:rPr>
                <w:noProof/>
                <w:webHidden/>
              </w:rPr>
              <w:instrText xml:space="preserve"> PAGEREF _Toc220490689 \h </w:instrText>
            </w:r>
            <w:r>
              <w:rPr>
                <w:noProof/>
                <w:webHidden/>
              </w:rPr>
            </w:r>
            <w:r>
              <w:rPr>
                <w:noProof/>
                <w:webHidden/>
              </w:rPr>
              <w:fldChar w:fldCharType="separate"/>
            </w:r>
            <w:r>
              <w:rPr>
                <w:noProof/>
                <w:webHidden/>
              </w:rPr>
              <w:t>603</w:t>
            </w:r>
            <w:r>
              <w:rPr>
                <w:noProof/>
                <w:webHidden/>
              </w:rPr>
              <w:fldChar w:fldCharType="end"/>
            </w:r>
          </w:hyperlink>
        </w:p>
        <w:p w14:paraId="3CF315B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90" w:history="1">
            <w:r w:rsidRPr="000D551A">
              <w:rPr>
                <w:rStyle w:val="Lienhypertexte"/>
                <w:noProof/>
              </w:rPr>
              <w:t>44.42.3c Isolation en rouleaux/matelas - feutre de bois CCTB 01.02</w:t>
            </w:r>
            <w:r>
              <w:rPr>
                <w:noProof/>
                <w:webHidden/>
              </w:rPr>
              <w:tab/>
            </w:r>
            <w:r>
              <w:rPr>
                <w:noProof/>
                <w:webHidden/>
              </w:rPr>
              <w:fldChar w:fldCharType="begin"/>
            </w:r>
            <w:r>
              <w:rPr>
                <w:noProof/>
                <w:webHidden/>
              </w:rPr>
              <w:instrText xml:space="preserve"> PAGEREF _Toc220490690 \h </w:instrText>
            </w:r>
            <w:r>
              <w:rPr>
                <w:noProof/>
                <w:webHidden/>
              </w:rPr>
            </w:r>
            <w:r>
              <w:rPr>
                <w:noProof/>
                <w:webHidden/>
              </w:rPr>
              <w:fldChar w:fldCharType="separate"/>
            </w:r>
            <w:r>
              <w:rPr>
                <w:noProof/>
                <w:webHidden/>
              </w:rPr>
              <w:t>604</w:t>
            </w:r>
            <w:r>
              <w:rPr>
                <w:noProof/>
                <w:webHidden/>
              </w:rPr>
              <w:fldChar w:fldCharType="end"/>
            </w:r>
          </w:hyperlink>
        </w:p>
        <w:p w14:paraId="549487C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91" w:history="1">
            <w:r w:rsidRPr="000D551A">
              <w:rPr>
                <w:rStyle w:val="Lienhypertexte"/>
                <w:noProof/>
              </w:rPr>
              <w:t>44.42.3d Isolation en rouleaux/matelas - fibres de coco CCTB 01.11</w:t>
            </w:r>
            <w:r>
              <w:rPr>
                <w:noProof/>
                <w:webHidden/>
              </w:rPr>
              <w:tab/>
            </w:r>
            <w:r>
              <w:rPr>
                <w:noProof/>
                <w:webHidden/>
              </w:rPr>
              <w:fldChar w:fldCharType="begin"/>
            </w:r>
            <w:r>
              <w:rPr>
                <w:noProof/>
                <w:webHidden/>
              </w:rPr>
              <w:instrText xml:space="preserve"> PAGEREF _Toc220490691 \h </w:instrText>
            </w:r>
            <w:r>
              <w:rPr>
                <w:noProof/>
                <w:webHidden/>
              </w:rPr>
            </w:r>
            <w:r>
              <w:rPr>
                <w:noProof/>
                <w:webHidden/>
              </w:rPr>
              <w:fldChar w:fldCharType="separate"/>
            </w:r>
            <w:r>
              <w:rPr>
                <w:noProof/>
                <w:webHidden/>
              </w:rPr>
              <w:t>604</w:t>
            </w:r>
            <w:r>
              <w:rPr>
                <w:noProof/>
                <w:webHidden/>
              </w:rPr>
              <w:fldChar w:fldCharType="end"/>
            </w:r>
          </w:hyperlink>
        </w:p>
        <w:p w14:paraId="612A0B5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92" w:history="1">
            <w:r w:rsidRPr="000D551A">
              <w:rPr>
                <w:rStyle w:val="Lienhypertexte"/>
                <w:noProof/>
              </w:rPr>
              <w:t>44.42.3e Isolation en rouleaux/matelas - fibres de lin CCTB 01.11</w:t>
            </w:r>
            <w:r>
              <w:rPr>
                <w:noProof/>
                <w:webHidden/>
              </w:rPr>
              <w:tab/>
            </w:r>
            <w:r>
              <w:rPr>
                <w:noProof/>
                <w:webHidden/>
              </w:rPr>
              <w:fldChar w:fldCharType="begin"/>
            </w:r>
            <w:r>
              <w:rPr>
                <w:noProof/>
                <w:webHidden/>
              </w:rPr>
              <w:instrText xml:space="preserve"> PAGEREF _Toc220490692 \h </w:instrText>
            </w:r>
            <w:r>
              <w:rPr>
                <w:noProof/>
                <w:webHidden/>
              </w:rPr>
            </w:r>
            <w:r>
              <w:rPr>
                <w:noProof/>
                <w:webHidden/>
              </w:rPr>
              <w:fldChar w:fldCharType="separate"/>
            </w:r>
            <w:r>
              <w:rPr>
                <w:noProof/>
                <w:webHidden/>
              </w:rPr>
              <w:t>605</w:t>
            </w:r>
            <w:r>
              <w:rPr>
                <w:noProof/>
                <w:webHidden/>
              </w:rPr>
              <w:fldChar w:fldCharType="end"/>
            </w:r>
          </w:hyperlink>
        </w:p>
        <w:p w14:paraId="250253A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93" w:history="1">
            <w:r w:rsidRPr="000D551A">
              <w:rPr>
                <w:rStyle w:val="Lienhypertexte"/>
                <w:noProof/>
              </w:rPr>
              <w:t>44.42.3f Isolation en rouleaux/matelas - paille CCTB 01.11</w:t>
            </w:r>
            <w:r>
              <w:rPr>
                <w:noProof/>
                <w:webHidden/>
              </w:rPr>
              <w:tab/>
            </w:r>
            <w:r>
              <w:rPr>
                <w:noProof/>
                <w:webHidden/>
              </w:rPr>
              <w:fldChar w:fldCharType="begin"/>
            </w:r>
            <w:r>
              <w:rPr>
                <w:noProof/>
                <w:webHidden/>
              </w:rPr>
              <w:instrText xml:space="preserve"> PAGEREF _Toc220490693 \h </w:instrText>
            </w:r>
            <w:r>
              <w:rPr>
                <w:noProof/>
                <w:webHidden/>
              </w:rPr>
            </w:r>
            <w:r>
              <w:rPr>
                <w:noProof/>
                <w:webHidden/>
              </w:rPr>
              <w:fldChar w:fldCharType="separate"/>
            </w:r>
            <w:r>
              <w:rPr>
                <w:noProof/>
                <w:webHidden/>
              </w:rPr>
              <w:t>605</w:t>
            </w:r>
            <w:r>
              <w:rPr>
                <w:noProof/>
                <w:webHidden/>
              </w:rPr>
              <w:fldChar w:fldCharType="end"/>
            </w:r>
          </w:hyperlink>
        </w:p>
        <w:p w14:paraId="65505DA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94" w:history="1">
            <w:r w:rsidRPr="000D551A">
              <w:rPr>
                <w:rStyle w:val="Lienhypertexte"/>
                <w:noProof/>
              </w:rPr>
              <w:t>44.42.3g Isolation en rouleaux/matelas - biopolymères CCTB 01.12</w:t>
            </w:r>
            <w:r>
              <w:rPr>
                <w:noProof/>
                <w:webHidden/>
              </w:rPr>
              <w:tab/>
            </w:r>
            <w:r>
              <w:rPr>
                <w:noProof/>
                <w:webHidden/>
              </w:rPr>
              <w:fldChar w:fldCharType="begin"/>
            </w:r>
            <w:r>
              <w:rPr>
                <w:noProof/>
                <w:webHidden/>
              </w:rPr>
              <w:instrText xml:space="preserve"> PAGEREF _Toc220490694 \h </w:instrText>
            </w:r>
            <w:r>
              <w:rPr>
                <w:noProof/>
                <w:webHidden/>
              </w:rPr>
            </w:r>
            <w:r>
              <w:rPr>
                <w:noProof/>
                <w:webHidden/>
              </w:rPr>
              <w:fldChar w:fldCharType="separate"/>
            </w:r>
            <w:r>
              <w:rPr>
                <w:noProof/>
                <w:webHidden/>
              </w:rPr>
              <w:t>608</w:t>
            </w:r>
            <w:r>
              <w:rPr>
                <w:noProof/>
                <w:webHidden/>
              </w:rPr>
              <w:fldChar w:fldCharType="end"/>
            </w:r>
          </w:hyperlink>
        </w:p>
        <w:p w14:paraId="5726832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95" w:history="1">
            <w:r w:rsidRPr="000D551A">
              <w:rPr>
                <w:rStyle w:val="Lienhypertexte"/>
                <w:noProof/>
              </w:rPr>
              <w:t>44.42.4 Isolation en rouleaux/matelas - matières animales CCTB 01.02</w:t>
            </w:r>
            <w:r>
              <w:rPr>
                <w:noProof/>
                <w:webHidden/>
              </w:rPr>
              <w:tab/>
            </w:r>
            <w:r>
              <w:rPr>
                <w:noProof/>
                <w:webHidden/>
              </w:rPr>
              <w:fldChar w:fldCharType="begin"/>
            </w:r>
            <w:r>
              <w:rPr>
                <w:noProof/>
                <w:webHidden/>
              </w:rPr>
              <w:instrText xml:space="preserve"> PAGEREF _Toc220490695 \h </w:instrText>
            </w:r>
            <w:r>
              <w:rPr>
                <w:noProof/>
                <w:webHidden/>
              </w:rPr>
            </w:r>
            <w:r>
              <w:rPr>
                <w:noProof/>
                <w:webHidden/>
              </w:rPr>
              <w:fldChar w:fldCharType="separate"/>
            </w:r>
            <w:r>
              <w:rPr>
                <w:noProof/>
                <w:webHidden/>
              </w:rPr>
              <w:t>609</w:t>
            </w:r>
            <w:r>
              <w:rPr>
                <w:noProof/>
                <w:webHidden/>
              </w:rPr>
              <w:fldChar w:fldCharType="end"/>
            </w:r>
          </w:hyperlink>
        </w:p>
        <w:p w14:paraId="7B831A3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96" w:history="1">
            <w:r w:rsidRPr="000D551A">
              <w:rPr>
                <w:rStyle w:val="Lienhypertexte"/>
                <w:noProof/>
              </w:rPr>
              <w:t>44.42.4a Isolation en rouleaux/matelas - laine de mouton CCTB 01.11</w:t>
            </w:r>
            <w:r>
              <w:rPr>
                <w:noProof/>
                <w:webHidden/>
              </w:rPr>
              <w:tab/>
            </w:r>
            <w:r>
              <w:rPr>
                <w:noProof/>
                <w:webHidden/>
              </w:rPr>
              <w:fldChar w:fldCharType="begin"/>
            </w:r>
            <w:r>
              <w:rPr>
                <w:noProof/>
                <w:webHidden/>
              </w:rPr>
              <w:instrText xml:space="preserve"> PAGEREF _Toc220490696 \h </w:instrText>
            </w:r>
            <w:r>
              <w:rPr>
                <w:noProof/>
                <w:webHidden/>
              </w:rPr>
            </w:r>
            <w:r>
              <w:rPr>
                <w:noProof/>
                <w:webHidden/>
              </w:rPr>
              <w:fldChar w:fldCharType="separate"/>
            </w:r>
            <w:r>
              <w:rPr>
                <w:noProof/>
                <w:webHidden/>
              </w:rPr>
              <w:t>609</w:t>
            </w:r>
            <w:r>
              <w:rPr>
                <w:noProof/>
                <w:webHidden/>
              </w:rPr>
              <w:fldChar w:fldCharType="end"/>
            </w:r>
          </w:hyperlink>
        </w:p>
        <w:p w14:paraId="6F913A5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97" w:history="1">
            <w:r w:rsidRPr="000D551A">
              <w:rPr>
                <w:rStyle w:val="Lienhypertexte"/>
                <w:noProof/>
              </w:rPr>
              <w:t>44.42.4b Isolation en rouleaux/matelas - plumes de canard CCTB 01.02</w:t>
            </w:r>
            <w:r>
              <w:rPr>
                <w:noProof/>
                <w:webHidden/>
              </w:rPr>
              <w:tab/>
            </w:r>
            <w:r>
              <w:rPr>
                <w:noProof/>
                <w:webHidden/>
              </w:rPr>
              <w:fldChar w:fldCharType="begin"/>
            </w:r>
            <w:r>
              <w:rPr>
                <w:noProof/>
                <w:webHidden/>
              </w:rPr>
              <w:instrText xml:space="preserve"> PAGEREF _Toc220490697 \h </w:instrText>
            </w:r>
            <w:r>
              <w:rPr>
                <w:noProof/>
                <w:webHidden/>
              </w:rPr>
            </w:r>
            <w:r>
              <w:rPr>
                <w:noProof/>
                <w:webHidden/>
              </w:rPr>
              <w:fldChar w:fldCharType="separate"/>
            </w:r>
            <w:r>
              <w:rPr>
                <w:noProof/>
                <w:webHidden/>
              </w:rPr>
              <w:t>610</w:t>
            </w:r>
            <w:r>
              <w:rPr>
                <w:noProof/>
                <w:webHidden/>
              </w:rPr>
              <w:fldChar w:fldCharType="end"/>
            </w:r>
          </w:hyperlink>
        </w:p>
        <w:p w14:paraId="3177385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698" w:history="1">
            <w:r w:rsidRPr="000D551A">
              <w:rPr>
                <w:rStyle w:val="Lienhypertexte"/>
                <w:noProof/>
              </w:rPr>
              <w:t>44.42.5 Isolation en rouleaux/matelas - matières composites CCTB 01.02</w:t>
            </w:r>
            <w:r>
              <w:rPr>
                <w:noProof/>
                <w:webHidden/>
              </w:rPr>
              <w:tab/>
            </w:r>
            <w:r>
              <w:rPr>
                <w:noProof/>
                <w:webHidden/>
              </w:rPr>
              <w:fldChar w:fldCharType="begin"/>
            </w:r>
            <w:r>
              <w:rPr>
                <w:noProof/>
                <w:webHidden/>
              </w:rPr>
              <w:instrText xml:space="preserve"> PAGEREF _Toc220490698 \h </w:instrText>
            </w:r>
            <w:r>
              <w:rPr>
                <w:noProof/>
                <w:webHidden/>
              </w:rPr>
            </w:r>
            <w:r>
              <w:rPr>
                <w:noProof/>
                <w:webHidden/>
              </w:rPr>
              <w:fldChar w:fldCharType="separate"/>
            </w:r>
            <w:r>
              <w:rPr>
                <w:noProof/>
                <w:webHidden/>
              </w:rPr>
              <w:t>610</w:t>
            </w:r>
            <w:r>
              <w:rPr>
                <w:noProof/>
                <w:webHidden/>
              </w:rPr>
              <w:fldChar w:fldCharType="end"/>
            </w:r>
          </w:hyperlink>
        </w:p>
        <w:p w14:paraId="45B8AE9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699" w:history="1">
            <w:r w:rsidRPr="000D551A">
              <w:rPr>
                <w:rStyle w:val="Lienhypertexte"/>
                <w:noProof/>
              </w:rPr>
              <w:t>44.42.5a Isolation en rouleaux/matelas - matières composites CCTB 01.02</w:t>
            </w:r>
            <w:r>
              <w:rPr>
                <w:noProof/>
                <w:webHidden/>
              </w:rPr>
              <w:tab/>
            </w:r>
            <w:r>
              <w:rPr>
                <w:noProof/>
                <w:webHidden/>
              </w:rPr>
              <w:fldChar w:fldCharType="begin"/>
            </w:r>
            <w:r>
              <w:rPr>
                <w:noProof/>
                <w:webHidden/>
              </w:rPr>
              <w:instrText xml:space="preserve"> PAGEREF _Toc220490699 \h </w:instrText>
            </w:r>
            <w:r>
              <w:rPr>
                <w:noProof/>
                <w:webHidden/>
              </w:rPr>
            </w:r>
            <w:r>
              <w:rPr>
                <w:noProof/>
                <w:webHidden/>
              </w:rPr>
              <w:fldChar w:fldCharType="separate"/>
            </w:r>
            <w:r>
              <w:rPr>
                <w:noProof/>
                <w:webHidden/>
              </w:rPr>
              <w:t>610</w:t>
            </w:r>
            <w:r>
              <w:rPr>
                <w:noProof/>
                <w:webHidden/>
              </w:rPr>
              <w:fldChar w:fldCharType="end"/>
            </w:r>
          </w:hyperlink>
        </w:p>
        <w:p w14:paraId="590E4938"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00" w:history="1">
            <w:r w:rsidRPr="000D551A">
              <w:rPr>
                <w:rStyle w:val="Lienhypertexte"/>
                <w:noProof/>
              </w:rPr>
              <w:t>44.43 Isolation à projeter CCTB 01.12</w:t>
            </w:r>
            <w:r>
              <w:rPr>
                <w:noProof/>
                <w:webHidden/>
              </w:rPr>
              <w:tab/>
            </w:r>
            <w:r>
              <w:rPr>
                <w:noProof/>
                <w:webHidden/>
              </w:rPr>
              <w:fldChar w:fldCharType="begin"/>
            </w:r>
            <w:r>
              <w:rPr>
                <w:noProof/>
                <w:webHidden/>
              </w:rPr>
              <w:instrText xml:space="preserve"> PAGEREF _Toc220490700 \h </w:instrText>
            </w:r>
            <w:r>
              <w:rPr>
                <w:noProof/>
                <w:webHidden/>
              </w:rPr>
            </w:r>
            <w:r>
              <w:rPr>
                <w:noProof/>
                <w:webHidden/>
              </w:rPr>
              <w:fldChar w:fldCharType="separate"/>
            </w:r>
            <w:r>
              <w:rPr>
                <w:noProof/>
                <w:webHidden/>
              </w:rPr>
              <w:t>610</w:t>
            </w:r>
            <w:r>
              <w:rPr>
                <w:noProof/>
                <w:webHidden/>
              </w:rPr>
              <w:fldChar w:fldCharType="end"/>
            </w:r>
          </w:hyperlink>
        </w:p>
        <w:p w14:paraId="141BC0F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01" w:history="1">
            <w:r w:rsidRPr="000D551A">
              <w:rPr>
                <w:rStyle w:val="Lienhypertexte"/>
                <w:noProof/>
              </w:rPr>
              <w:t>44.43.1 Isolation à projeter - matières synthétiques CCTB 01.07</w:t>
            </w:r>
            <w:r>
              <w:rPr>
                <w:noProof/>
                <w:webHidden/>
              </w:rPr>
              <w:tab/>
            </w:r>
            <w:r>
              <w:rPr>
                <w:noProof/>
                <w:webHidden/>
              </w:rPr>
              <w:fldChar w:fldCharType="begin"/>
            </w:r>
            <w:r>
              <w:rPr>
                <w:noProof/>
                <w:webHidden/>
              </w:rPr>
              <w:instrText xml:space="preserve"> PAGEREF _Toc220490701 \h </w:instrText>
            </w:r>
            <w:r>
              <w:rPr>
                <w:noProof/>
                <w:webHidden/>
              </w:rPr>
            </w:r>
            <w:r>
              <w:rPr>
                <w:noProof/>
                <w:webHidden/>
              </w:rPr>
              <w:fldChar w:fldCharType="separate"/>
            </w:r>
            <w:r>
              <w:rPr>
                <w:noProof/>
                <w:webHidden/>
              </w:rPr>
              <w:t>611</w:t>
            </w:r>
            <w:r>
              <w:rPr>
                <w:noProof/>
                <w:webHidden/>
              </w:rPr>
              <w:fldChar w:fldCharType="end"/>
            </w:r>
          </w:hyperlink>
        </w:p>
        <w:p w14:paraId="07C577A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02" w:history="1">
            <w:r w:rsidRPr="000D551A">
              <w:rPr>
                <w:rStyle w:val="Lienhypertexte"/>
                <w:noProof/>
              </w:rPr>
              <w:t>44.43.1a Isolation à projeter - polyuréthane (PUR) CCTB 01.11</w:t>
            </w:r>
            <w:r>
              <w:rPr>
                <w:noProof/>
                <w:webHidden/>
              </w:rPr>
              <w:tab/>
            </w:r>
            <w:r>
              <w:rPr>
                <w:noProof/>
                <w:webHidden/>
              </w:rPr>
              <w:fldChar w:fldCharType="begin"/>
            </w:r>
            <w:r>
              <w:rPr>
                <w:noProof/>
                <w:webHidden/>
              </w:rPr>
              <w:instrText xml:space="preserve"> PAGEREF _Toc220490702 \h </w:instrText>
            </w:r>
            <w:r>
              <w:rPr>
                <w:noProof/>
                <w:webHidden/>
              </w:rPr>
            </w:r>
            <w:r>
              <w:rPr>
                <w:noProof/>
                <w:webHidden/>
              </w:rPr>
              <w:fldChar w:fldCharType="separate"/>
            </w:r>
            <w:r>
              <w:rPr>
                <w:noProof/>
                <w:webHidden/>
              </w:rPr>
              <w:t>611</w:t>
            </w:r>
            <w:r>
              <w:rPr>
                <w:noProof/>
                <w:webHidden/>
              </w:rPr>
              <w:fldChar w:fldCharType="end"/>
            </w:r>
          </w:hyperlink>
        </w:p>
        <w:p w14:paraId="3D8B170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03" w:history="1">
            <w:r w:rsidRPr="000D551A">
              <w:rPr>
                <w:rStyle w:val="Lienhypertexte"/>
                <w:noProof/>
              </w:rPr>
              <w:t>44.43.1b Isolation à projeter - polyisocyanurate (PIR) CCTB 01.10</w:t>
            </w:r>
            <w:r>
              <w:rPr>
                <w:noProof/>
                <w:webHidden/>
              </w:rPr>
              <w:tab/>
            </w:r>
            <w:r>
              <w:rPr>
                <w:noProof/>
                <w:webHidden/>
              </w:rPr>
              <w:fldChar w:fldCharType="begin"/>
            </w:r>
            <w:r>
              <w:rPr>
                <w:noProof/>
                <w:webHidden/>
              </w:rPr>
              <w:instrText xml:space="preserve"> PAGEREF _Toc220490703 \h </w:instrText>
            </w:r>
            <w:r>
              <w:rPr>
                <w:noProof/>
                <w:webHidden/>
              </w:rPr>
            </w:r>
            <w:r>
              <w:rPr>
                <w:noProof/>
                <w:webHidden/>
              </w:rPr>
              <w:fldChar w:fldCharType="separate"/>
            </w:r>
            <w:r>
              <w:rPr>
                <w:noProof/>
                <w:webHidden/>
              </w:rPr>
              <w:t>612</w:t>
            </w:r>
            <w:r>
              <w:rPr>
                <w:noProof/>
                <w:webHidden/>
              </w:rPr>
              <w:fldChar w:fldCharType="end"/>
            </w:r>
          </w:hyperlink>
        </w:p>
        <w:p w14:paraId="1C005D7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04" w:history="1">
            <w:r w:rsidRPr="000D551A">
              <w:rPr>
                <w:rStyle w:val="Lienhypertexte"/>
                <w:noProof/>
              </w:rPr>
              <w:t>44.43.1c Isolation à projeter - mousse phénolique (PF) CCTB 01.10</w:t>
            </w:r>
            <w:r>
              <w:rPr>
                <w:noProof/>
                <w:webHidden/>
              </w:rPr>
              <w:tab/>
            </w:r>
            <w:r>
              <w:rPr>
                <w:noProof/>
                <w:webHidden/>
              </w:rPr>
              <w:fldChar w:fldCharType="begin"/>
            </w:r>
            <w:r>
              <w:rPr>
                <w:noProof/>
                <w:webHidden/>
              </w:rPr>
              <w:instrText xml:space="preserve"> PAGEREF _Toc220490704 \h </w:instrText>
            </w:r>
            <w:r>
              <w:rPr>
                <w:noProof/>
                <w:webHidden/>
              </w:rPr>
            </w:r>
            <w:r>
              <w:rPr>
                <w:noProof/>
                <w:webHidden/>
              </w:rPr>
              <w:fldChar w:fldCharType="separate"/>
            </w:r>
            <w:r>
              <w:rPr>
                <w:noProof/>
                <w:webHidden/>
              </w:rPr>
              <w:t>613</w:t>
            </w:r>
            <w:r>
              <w:rPr>
                <w:noProof/>
                <w:webHidden/>
              </w:rPr>
              <w:fldChar w:fldCharType="end"/>
            </w:r>
          </w:hyperlink>
        </w:p>
        <w:p w14:paraId="550D540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05" w:history="1">
            <w:r w:rsidRPr="000D551A">
              <w:rPr>
                <w:rStyle w:val="Lienhypertexte"/>
                <w:noProof/>
              </w:rPr>
              <w:t>44.43.1d Isolation à projeter - icynene CCTB 01.02</w:t>
            </w:r>
            <w:r>
              <w:rPr>
                <w:noProof/>
                <w:webHidden/>
              </w:rPr>
              <w:tab/>
            </w:r>
            <w:r>
              <w:rPr>
                <w:noProof/>
                <w:webHidden/>
              </w:rPr>
              <w:fldChar w:fldCharType="begin"/>
            </w:r>
            <w:r>
              <w:rPr>
                <w:noProof/>
                <w:webHidden/>
              </w:rPr>
              <w:instrText xml:space="preserve"> PAGEREF _Toc220490705 \h </w:instrText>
            </w:r>
            <w:r>
              <w:rPr>
                <w:noProof/>
                <w:webHidden/>
              </w:rPr>
            </w:r>
            <w:r>
              <w:rPr>
                <w:noProof/>
                <w:webHidden/>
              </w:rPr>
              <w:fldChar w:fldCharType="separate"/>
            </w:r>
            <w:r>
              <w:rPr>
                <w:noProof/>
                <w:webHidden/>
              </w:rPr>
              <w:t>613</w:t>
            </w:r>
            <w:r>
              <w:rPr>
                <w:noProof/>
                <w:webHidden/>
              </w:rPr>
              <w:fldChar w:fldCharType="end"/>
            </w:r>
          </w:hyperlink>
        </w:p>
        <w:p w14:paraId="7B5C545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06" w:history="1">
            <w:r w:rsidRPr="000D551A">
              <w:rPr>
                <w:rStyle w:val="Lienhypertexte"/>
                <w:noProof/>
              </w:rPr>
              <w:t>44.43.2 Isolation à projeter - matières minérales CCTB 01.07</w:t>
            </w:r>
            <w:r>
              <w:rPr>
                <w:noProof/>
                <w:webHidden/>
              </w:rPr>
              <w:tab/>
            </w:r>
            <w:r>
              <w:rPr>
                <w:noProof/>
                <w:webHidden/>
              </w:rPr>
              <w:fldChar w:fldCharType="begin"/>
            </w:r>
            <w:r>
              <w:rPr>
                <w:noProof/>
                <w:webHidden/>
              </w:rPr>
              <w:instrText xml:space="preserve"> PAGEREF _Toc220490706 \h </w:instrText>
            </w:r>
            <w:r>
              <w:rPr>
                <w:noProof/>
                <w:webHidden/>
              </w:rPr>
            </w:r>
            <w:r>
              <w:rPr>
                <w:noProof/>
                <w:webHidden/>
              </w:rPr>
              <w:fldChar w:fldCharType="separate"/>
            </w:r>
            <w:r>
              <w:rPr>
                <w:noProof/>
                <w:webHidden/>
              </w:rPr>
              <w:t>613</w:t>
            </w:r>
            <w:r>
              <w:rPr>
                <w:noProof/>
                <w:webHidden/>
              </w:rPr>
              <w:fldChar w:fldCharType="end"/>
            </w:r>
          </w:hyperlink>
        </w:p>
        <w:p w14:paraId="201BC33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07" w:history="1">
            <w:r w:rsidRPr="000D551A">
              <w:rPr>
                <w:rStyle w:val="Lienhypertexte"/>
                <w:noProof/>
              </w:rPr>
              <w:t>44.43.2a Isolation à projeter - laine de roche (MW) CCTB 01.11</w:t>
            </w:r>
            <w:r>
              <w:rPr>
                <w:noProof/>
                <w:webHidden/>
              </w:rPr>
              <w:tab/>
            </w:r>
            <w:r>
              <w:rPr>
                <w:noProof/>
                <w:webHidden/>
              </w:rPr>
              <w:fldChar w:fldCharType="begin"/>
            </w:r>
            <w:r>
              <w:rPr>
                <w:noProof/>
                <w:webHidden/>
              </w:rPr>
              <w:instrText xml:space="preserve"> PAGEREF _Toc220490707 \h </w:instrText>
            </w:r>
            <w:r>
              <w:rPr>
                <w:noProof/>
                <w:webHidden/>
              </w:rPr>
            </w:r>
            <w:r>
              <w:rPr>
                <w:noProof/>
                <w:webHidden/>
              </w:rPr>
              <w:fldChar w:fldCharType="separate"/>
            </w:r>
            <w:r>
              <w:rPr>
                <w:noProof/>
                <w:webHidden/>
              </w:rPr>
              <w:t>614</w:t>
            </w:r>
            <w:r>
              <w:rPr>
                <w:noProof/>
                <w:webHidden/>
              </w:rPr>
              <w:fldChar w:fldCharType="end"/>
            </w:r>
          </w:hyperlink>
        </w:p>
        <w:p w14:paraId="641C6DA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08" w:history="1">
            <w:r w:rsidRPr="000D551A">
              <w:rPr>
                <w:rStyle w:val="Lienhypertexte"/>
                <w:noProof/>
              </w:rPr>
              <w:t>44.43.2b Isolation à projeter - laine de verre (MW) CCTB 01.11</w:t>
            </w:r>
            <w:r>
              <w:rPr>
                <w:noProof/>
                <w:webHidden/>
              </w:rPr>
              <w:tab/>
            </w:r>
            <w:r>
              <w:rPr>
                <w:noProof/>
                <w:webHidden/>
              </w:rPr>
              <w:fldChar w:fldCharType="begin"/>
            </w:r>
            <w:r>
              <w:rPr>
                <w:noProof/>
                <w:webHidden/>
              </w:rPr>
              <w:instrText xml:space="preserve"> PAGEREF _Toc220490708 \h </w:instrText>
            </w:r>
            <w:r>
              <w:rPr>
                <w:noProof/>
                <w:webHidden/>
              </w:rPr>
            </w:r>
            <w:r>
              <w:rPr>
                <w:noProof/>
                <w:webHidden/>
              </w:rPr>
              <w:fldChar w:fldCharType="separate"/>
            </w:r>
            <w:r>
              <w:rPr>
                <w:noProof/>
                <w:webHidden/>
              </w:rPr>
              <w:t>615</w:t>
            </w:r>
            <w:r>
              <w:rPr>
                <w:noProof/>
                <w:webHidden/>
              </w:rPr>
              <w:fldChar w:fldCharType="end"/>
            </w:r>
          </w:hyperlink>
        </w:p>
        <w:p w14:paraId="31A71EE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09" w:history="1">
            <w:r w:rsidRPr="000D551A">
              <w:rPr>
                <w:rStyle w:val="Lienhypertexte"/>
                <w:noProof/>
              </w:rPr>
              <w:t>44.43.3 Isolation à projeter - matières végétales CCTB 01.02</w:t>
            </w:r>
            <w:r>
              <w:rPr>
                <w:noProof/>
                <w:webHidden/>
              </w:rPr>
              <w:tab/>
            </w:r>
            <w:r>
              <w:rPr>
                <w:noProof/>
                <w:webHidden/>
              </w:rPr>
              <w:fldChar w:fldCharType="begin"/>
            </w:r>
            <w:r>
              <w:rPr>
                <w:noProof/>
                <w:webHidden/>
              </w:rPr>
              <w:instrText xml:space="preserve"> PAGEREF _Toc220490709 \h </w:instrText>
            </w:r>
            <w:r>
              <w:rPr>
                <w:noProof/>
                <w:webHidden/>
              </w:rPr>
            </w:r>
            <w:r>
              <w:rPr>
                <w:noProof/>
                <w:webHidden/>
              </w:rPr>
              <w:fldChar w:fldCharType="separate"/>
            </w:r>
            <w:r>
              <w:rPr>
                <w:noProof/>
                <w:webHidden/>
              </w:rPr>
              <w:t>617</w:t>
            </w:r>
            <w:r>
              <w:rPr>
                <w:noProof/>
                <w:webHidden/>
              </w:rPr>
              <w:fldChar w:fldCharType="end"/>
            </w:r>
          </w:hyperlink>
        </w:p>
        <w:p w14:paraId="7359FE4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0" w:history="1">
            <w:r w:rsidRPr="000D551A">
              <w:rPr>
                <w:rStyle w:val="Lienhypertexte"/>
                <w:noProof/>
              </w:rPr>
              <w:t>44.43.3a Isolation à projeter - ouate de cellulose CCTB 01.11</w:t>
            </w:r>
            <w:r>
              <w:rPr>
                <w:noProof/>
                <w:webHidden/>
              </w:rPr>
              <w:tab/>
            </w:r>
            <w:r>
              <w:rPr>
                <w:noProof/>
                <w:webHidden/>
              </w:rPr>
              <w:fldChar w:fldCharType="begin"/>
            </w:r>
            <w:r>
              <w:rPr>
                <w:noProof/>
                <w:webHidden/>
              </w:rPr>
              <w:instrText xml:space="preserve"> PAGEREF _Toc220490710 \h </w:instrText>
            </w:r>
            <w:r>
              <w:rPr>
                <w:noProof/>
                <w:webHidden/>
              </w:rPr>
            </w:r>
            <w:r>
              <w:rPr>
                <w:noProof/>
                <w:webHidden/>
              </w:rPr>
              <w:fldChar w:fldCharType="separate"/>
            </w:r>
            <w:r>
              <w:rPr>
                <w:noProof/>
                <w:webHidden/>
              </w:rPr>
              <w:t>617</w:t>
            </w:r>
            <w:r>
              <w:rPr>
                <w:noProof/>
                <w:webHidden/>
              </w:rPr>
              <w:fldChar w:fldCharType="end"/>
            </w:r>
          </w:hyperlink>
        </w:p>
        <w:p w14:paraId="5E7BD82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1" w:history="1">
            <w:r w:rsidRPr="000D551A">
              <w:rPr>
                <w:rStyle w:val="Lienhypertexte"/>
                <w:noProof/>
              </w:rPr>
              <w:t>44.43.3b (titre réservé)</w:t>
            </w:r>
            <w:r>
              <w:rPr>
                <w:noProof/>
                <w:webHidden/>
              </w:rPr>
              <w:tab/>
            </w:r>
            <w:r>
              <w:rPr>
                <w:noProof/>
                <w:webHidden/>
              </w:rPr>
              <w:fldChar w:fldCharType="begin"/>
            </w:r>
            <w:r>
              <w:rPr>
                <w:noProof/>
                <w:webHidden/>
              </w:rPr>
              <w:instrText xml:space="preserve"> PAGEREF _Toc220490711 \h </w:instrText>
            </w:r>
            <w:r>
              <w:rPr>
                <w:noProof/>
                <w:webHidden/>
              </w:rPr>
            </w:r>
            <w:r>
              <w:rPr>
                <w:noProof/>
                <w:webHidden/>
              </w:rPr>
              <w:fldChar w:fldCharType="separate"/>
            </w:r>
            <w:r>
              <w:rPr>
                <w:noProof/>
                <w:webHidden/>
              </w:rPr>
              <w:t>618</w:t>
            </w:r>
            <w:r>
              <w:rPr>
                <w:noProof/>
                <w:webHidden/>
              </w:rPr>
              <w:fldChar w:fldCharType="end"/>
            </w:r>
          </w:hyperlink>
        </w:p>
        <w:p w14:paraId="501F65FE"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12" w:history="1">
            <w:r w:rsidRPr="000D551A">
              <w:rPr>
                <w:rStyle w:val="Lienhypertexte"/>
                <w:noProof/>
              </w:rPr>
              <w:t>44.44 Isolation à souffler CCTB 01.11</w:t>
            </w:r>
            <w:r>
              <w:rPr>
                <w:noProof/>
                <w:webHidden/>
              </w:rPr>
              <w:tab/>
            </w:r>
            <w:r>
              <w:rPr>
                <w:noProof/>
                <w:webHidden/>
              </w:rPr>
              <w:fldChar w:fldCharType="begin"/>
            </w:r>
            <w:r>
              <w:rPr>
                <w:noProof/>
                <w:webHidden/>
              </w:rPr>
              <w:instrText xml:space="preserve"> PAGEREF _Toc220490712 \h </w:instrText>
            </w:r>
            <w:r>
              <w:rPr>
                <w:noProof/>
                <w:webHidden/>
              </w:rPr>
            </w:r>
            <w:r>
              <w:rPr>
                <w:noProof/>
                <w:webHidden/>
              </w:rPr>
              <w:fldChar w:fldCharType="separate"/>
            </w:r>
            <w:r>
              <w:rPr>
                <w:noProof/>
                <w:webHidden/>
              </w:rPr>
              <w:t>618</w:t>
            </w:r>
            <w:r>
              <w:rPr>
                <w:noProof/>
                <w:webHidden/>
              </w:rPr>
              <w:fldChar w:fldCharType="end"/>
            </w:r>
          </w:hyperlink>
        </w:p>
        <w:p w14:paraId="5F98B2B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13" w:history="1">
            <w:r w:rsidRPr="000D551A">
              <w:rPr>
                <w:rStyle w:val="Lienhypertexte"/>
                <w:noProof/>
              </w:rPr>
              <w:t>44.44.1 Isolation à souffler - matières synthétiques CCTB 01.04</w:t>
            </w:r>
            <w:r>
              <w:rPr>
                <w:noProof/>
                <w:webHidden/>
              </w:rPr>
              <w:tab/>
            </w:r>
            <w:r>
              <w:rPr>
                <w:noProof/>
                <w:webHidden/>
              </w:rPr>
              <w:fldChar w:fldCharType="begin"/>
            </w:r>
            <w:r>
              <w:rPr>
                <w:noProof/>
                <w:webHidden/>
              </w:rPr>
              <w:instrText xml:space="preserve"> PAGEREF _Toc220490713 \h </w:instrText>
            </w:r>
            <w:r>
              <w:rPr>
                <w:noProof/>
                <w:webHidden/>
              </w:rPr>
            </w:r>
            <w:r>
              <w:rPr>
                <w:noProof/>
                <w:webHidden/>
              </w:rPr>
              <w:fldChar w:fldCharType="separate"/>
            </w:r>
            <w:r>
              <w:rPr>
                <w:noProof/>
                <w:webHidden/>
              </w:rPr>
              <w:t>618</w:t>
            </w:r>
            <w:r>
              <w:rPr>
                <w:noProof/>
                <w:webHidden/>
              </w:rPr>
              <w:fldChar w:fldCharType="end"/>
            </w:r>
          </w:hyperlink>
        </w:p>
        <w:p w14:paraId="000CF07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4" w:history="1">
            <w:r w:rsidRPr="000D551A">
              <w:rPr>
                <w:rStyle w:val="Lienhypertexte"/>
                <w:noProof/>
              </w:rPr>
              <w:t>44.44.1a Isolation à souffler - polystyrène expansé (EPS) CCTB 01.11</w:t>
            </w:r>
            <w:r>
              <w:rPr>
                <w:noProof/>
                <w:webHidden/>
              </w:rPr>
              <w:tab/>
            </w:r>
            <w:r>
              <w:rPr>
                <w:noProof/>
                <w:webHidden/>
              </w:rPr>
              <w:fldChar w:fldCharType="begin"/>
            </w:r>
            <w:r>
              <w:rPr>
                <w:noProof/>
                <w:webHidden/>
              </w:rPr>
              <w:instrText xml:space="preserve"> PAGEREF _Toc220490714 \h </w:instrText>
            </w:r>
            <w:r>
              <w:rPr>
                <w:noProof/>
                <w:webHidden/>
              </w:rPr>
            </w:r>
            <w:r>
              <w:rPr>
                <w:noProof/>
                <w:webHidden/>
              </w:rPr>
              <w:fldChar w:fldCharType="separate"/>
            </w:r>
            <w:r>
              <w:rPr>
                <w:noProof/>
                <w:webHidden/>
              </w:rPr>
              <w:t>618</w:t>
            </w:r>
            <w:r>
              <w:rPr>
                <w:noProof/>
                <w:webHidden/>
              </w:rPr>
              <w:fldChar w:fldCharType="end"/>
            </w:r>
          </w:hyperlink>
        </w:p>
        <w:p w14:paraId="0B720B35"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15" w:history="1">
            <w:r w:rsidRPr="000D551A">
              <w:rPr>
                <w:rStyle w:val="Lienhypertexte"/>
                <w:noProof/>
              </w:rPr>
              <w:t>44.44.2 Isolation à souffler - matières minérales CCTB 01.04</w:t>
            </w:r>
            <w:r>
              <w:rPr>
                <w:noProof/>
                <w:webHidden/>
              </w:rPr>
              <w:tab/>
            </w:r>
            <w:r>
              <w:rPr>
                <w:noProof/>
                <w:webHidden/>
              </w:rPr>
              <w:fldChar w:fldCharType="begin"/>
            </w:r>
            <w:r>
              <w:rPr>
                <w:noProof/>
                <w:webHidden/>
              </w:rPr>
              <w:instrText xml:space="preserve"> PAGEREF _Toc220490715 \h </w:instrText>
            </w:r>
            <w:r>
              <w:rPr>
                <w:noProof/>
                <w:webHidden/>
              </w:rPr>
            </w:r>
            <w:r>
              <w:rPr>
                <w:noProof/>
                <w:webHidden/>
              </w:rPr>
              <w:fldChar w:fldCharType="separate"/>
            </w:r>
            <w:r>
              <w:rPr>
                <w:noProof/>
                <w:webHidden/>
              </w:rPr>
              <w:t>619</w:t>
            </w:r>
            <w:r>
              <w:rPr>
                <w:noProof/>
                <w:webHidden/>
              </w:rPr>
              <w:fldChar w:fldCharType="end"/>
            </w:r>
          </w:hyperlink>
        </w:p>
        <w:p w14:paraId="31249B0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6" w:history="1">
            <w:r w:rsidRPr="000D551A">
              <w:rPr>
                <w:rStyle w:val="Lienhypertexte"/>
                <w:noProof/>
              </w:rPr>
              <w:t>44.44.2a Isolation à souffler - laine de verre CCTB 01.11</w:t>
            </w:r>
            <w:r>
              <w:rPr>
                <w:noProof/>
                <w:webHidden/>
              </w:rPr>
              <w:tab/>
            </w:r>
            <w:r>
              <w:rPr>
                <w:noProof/>
                <w:webHidden/>
              </w:rPr>
              <w:fldChar w:fldCharType="begin"/>
            </w:r>
            <w:r>
              <w:rPr>
                <w:noProof/>
                <w:webHidden/>
              </w:rPr>
              <w:instrText xml:space="preserve"> PAGEREF _Toc220490716 \h </w:instrText>
            </w:r>
            <w:r>
              <w:rPr>
                <w:noProof/>
                <w:webHidden/>
              </w:rPr>
            </w:r>
            <w:r>
              <w:rPr>
                <w:noProof/>
                <w:webHidden/>
              </w:rPr>
              <w:fldChar w:fldCharType="separate"/>
            </w:r>
            <w:r>
              <w:rPr>
                <w:noProof/>
                <w:webHidden/>
              </w:rPr>
              <w:t>619</w:t>
            </w:r>
            <w:r>
              <w:rPr>
                <w:noProof/>
                <w:webHidden/>
              </w:rPr>
              <w:fldChar w:fldCharType="end"/>
            </w:r>
          </w:hyperlink>
        </w:p>
        <w:p w14:paraId="645CAB4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7" w:history="1">
            <w:r w:rsidRPr="000D551A">
              <w:rPr>
                <w:rStyle w:val="Lienhypertexte"/>
                <w:noProof/>
              </w:rPr>
              <w:t>44.44.2b Isolation à souffler - laine de roche CCTB 01.10</w:t>
            </w:r>
            <w:r>
              <w:rPr>
                <w:noProof/>
                <w:webHidden/>
              </w:rPr>
              <w:tab/>
            </w:r>
            <w:r>
              <w:rPr>
                <w:noProof/>
                <w:webHidden/>
              </w:rPr>
              <w:fldChar w:fldCharType="begin"/>
            </w:r>
            <w:r>
              <w:rPr>
                <w:noProof/>
                <w:webHidden/>
              </w:rPr>
              <w:instrText xml:space="preserve"> PAGEREF _Toc220490717 \h </w:instrText>
            </w:r>
            <w:r>
              <w:rPr>
                <w:noProof/>
                <w:webHidden/>
              </w:rPr>
            </w:r>
            <w:r>
              <w:rPr>
                <w:noProof/>
                <w:webHidden/>
              </w:rPr>
              <w:fldChar w:fldCharType="separate"/>
            </w:r>
            <w:r>
              <w:rPr>
                <w:noProof/>
                <w:webHidden/>
              </w:rPr>
              <w:t>620</w:t>
            </w:r>
            <w:r>
              <w:rPr>
                <w:noProof/>
                <w:webHidden/>
              </w:rPr>
              <w:fldChar w:fldCharType="end"/>
            </w:r>
          </w:hyperlink>
        </w:p>
        <w:p w14:paraId="52230EC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8" w:history="1">
            <w:r w:rsidRPr="000D551A">
              <w:rPr>
                <w:rStyle w:val="Lienhypertexte"/>
                <w:noProof/>
              </w:rPr>
              <w:t>44.44.2c Isolation à souffler - fibres de verre CCTB 01.10</w:t>
            </w:r>
            <w:r>
              <w:rPr>
                <w:noProof/>
                <w:webHidden/>
              </w:rPr>
              <w:tab/>
            </w:r>
            <w:r>
              <w:rPr>
                <w:noProof/>
                <w:webHidden/>
              </w:rPr>
              <w:fldChar w:fldCharType="begin"/>
            </w:r>
            <w:r>
              <w:rPr>
                <w:noProof/>
                <w:webHidden/>
              </w:rPr>
              <w:instrText xml:space="preserve"> PAGEREF _Toc220490718 \h </w:instrText>
            </w:r>
            <w:r>
              <w:rPr>
                <w:noProof/>
                <w:webHidden/>
              </w:rPr>
            </w:r>
            <w:r>
              <w:rPr>
                <w:noProof/>
                <w:webHidden/>
              </w:rPr>
              <w:fldChar w:fldCharType="separate"/>
            </w:r>
            <w:r>
              <w:rPr>
                <w:noProof/>
                <w:webHidden/>
              </w:rPr>
              <w:t>621</w:t>
            </w:r>
            <w:r>
              <w:rPr>
                <w:noProof/>
                <w:webHidden/>
              </w:rPr>
              <w:fldChar w:fldCharType="end"/>
            </w:r>
          </w:hyperlink>
        </w:p>
        <w:p w14:paraId="25FB595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19" w:history="1">
            <w:r w:rsidRPr="000D551A">
              <w:rPr>
                <w:rStyle w:val="Lienhypertexte"/>
                <w:noProof/>
              </w:rPr>
              <w:t>44.44.2d Isolation à souffler - vermiculite expansée CCTB 01.10</w:t>
            </w:r>
            <w:r>
              <w:rPr>
                <w:noProof/>
                <w:webHidden/>
              </w:rPr>
              <w:tab/>
            </w:r>
            <w:r>
              <w:rPr>
                <w:noProof/>
                <w:webHidden/>
              </w:rPr>
              <w:fldChar w:fldCharType="begin"/>
            </w:r>
            <w:r>
              <w:rPr>
                <w:noProof/>
                <w:webHidden/>
              </w:rPr>
              <w:instrText xml:space="preserve"> PAGEREF _Toc220490719 \h </w:instrText>
            </w:r>
            <w:r>
              <w:rPr>
                <w:noProof/>
                <w:webHidden/>
              </w:rPr>
            </w:r>
            <w:r>
              <w:rPr>
                <w:noProof/>
                <w:webHidden/>
              </w:rPr>
              <w:fldChar w:fldCharType="separate"/>
            </w:r>
            <w:r>
              <w:rPr>
                <w:noProof/>
                <w:webHidden/>
              </w:rPr>
              <w:t>622</w:t>
            </w:r>
            <w:r>
              <w:rPr>
                <w:noProof/>
                <w:webHidden/>
              </w:rPr>
              <w:fldChar w:fldCharType="end"/>
            </w:r>
          </w:hyperlink>
        </w:p>
        <w:p w14:paraId="369F1F0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0" w:history="1">
            <w:r w:rsidRPr="000D551A">
              <w:rPr>
                <w:rStyle w:val="Lienhypertexte"/>
                <w:noProof/>
              </w:rPr>
              <w:t>44.44.2e Isolation à souffler - perlite expansée CCTB 01.04</w:t>
            </w:r>
            <w:r>
              <w:rPr>
                <w:noProof/>
                <w:webHidden/>
              </w:rPr>
              <w:tab/>
            </w:r>
            <w:r>
              <w:rPr>
                <w:noProof/>
                <w:webHidden/>
              </w:rPr>
              <w:fldChar w:fldCharType="begin"/>
            </w:r>
            <w:r>
              <w:rPr>
                <w:noProof/>
                <w:webHidden/>
              </w:rPr>
              <w:instrText xml:space="preserve"> PAGEREF _Toc220490720 \h </w:instrText>
            </w:r>
            <w:r>
              <w:rPr>
                <w:noProof/>
                <w:webHidden/>
              </w:rPr>
            </w:r>
            <w:r>
              <w:rPr>
                <w:noProof/>
                <w:webHidden/>
              </w:rPr>
              <w:fldChar w:fldCharType="separate"/>
            </w:r>
            <w:r>
              <w:rPr>
                <w:noProof/>
                <w:webHidden/>
              </w:rPr>
              <w:t>622</w:t>
            </w:r>
            <w:r>
              <w:rPr>
                <w:noProof/>
                <w:webHidden/>
              </w:rPr>
              <w:fldChar w:fldCharType="end"/>
            </w:r>
          </w:hyperlink>
        </w:p>
        <w:p w14:paraId="1176CAE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21" w:history="1">
            <w:r w:rsidRPr="000D551A">
              <w:rPr>
                <w:rStyle w:val="Lienhypertexte"/>
                <w:noProof/>
              </w:rPr>
              <w:t>44.44.3 Isolation à souffler - matières végétales CCTB 01.04</w:t>
            </w:r>
            <w:r>
              <w:rPr>
                <w:noProof/>
                <w:webHidden/>
              </w:rPr>
              <w:tab/>
            </w:r>
            <w:r>
              <w:rPr>
                <w:noProof/>
                <w:webHidden/>
              </w:rPr>
              <w:fldChar w:fldCharType="begin"/>
            </w:r>
            <w:r>
              <w:rPr>
                <w:noProof/>
                <w:webHidden/>
              </w:rPr>
              <w:instrText xml:space="preserve"> PAGEREF _Toc220490721 \h </w:instrText>
            </w:r>
            <w:r>
              <w:rPr>
                <w:noProof/>
                <w:webHidden/>
              </w:rPr>
            </w:r>
            <w:r>
              <w:rPr>
                <w:noProof/>
                <w:webHidden/>
              </w:rPr>
              <w:fldChar w:fldCharType="separate"/>
            </w:r>
            <w:r>
              <w:rPr>
                <w:noProof/>
                <w:webHidden/>
              </w:rPr>
              <w:t>623</w:t>
            </w:r>
            <w:r>
              <w:rPr>
                <w:noProof/>
                <w:webHidden/>
              </w:rPr>
              <w:fldChar w:fldCharType="end"/>
            </w:r>
          </w:hyperlink>
        </w:p>
        <w:p w14:paraId="1553CF7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2" w:history="1">
            <w:r w:rsidRPr="000D551A">
              <w:rPr>
                <w:rStyle w:val="Lienhypertexte"/>
                <w:noProof/>
              </w:rPr>
              <w:t>44.44.3a Isolation à souffler - fibres cellulosiques CCTB 01.11</w:t>
            </w:r>
            <w:r>
              <w:rPr>
                <w:noProof/>
                <w:webHidden/>
              </w:rPr>
              <w:tab/>
            </w:r>
            <w:r>
              <w:rPr>
                <w:noProof/>
                <w:webHidden/>
              </w:rPr>
              <w:fldChar w:fldCharType="begin"/>
            </w:r>
            <w:r>
              <w:rPr>
                <w:noProof/>
                <w:webHidden/>
              </w:rPr>
              <w:instrText xml:space="preserve"> PAGEREF _Toc220490722 \h </w:instrText>
            </w:r>
            <w:r>
              <w:rPr>
                <w:noProof/>
                <w:webHidden/>
              </w:rPr>
            </w:r>
            <w:r>
              <w:rPr>
                <w:noProof/>
                <w:webHidden/>
              </w:rPr>
              <w:fldChar w:fldCharType="separate"/>
            </w:r>
            <w:r>
              <w:rPr>
                <w:noProof/>
                <w:webHidden/>
              </w:rPr>
              <w:t>623</w:t>
            </w:r>
            <w:r>
              <w:rPr>
                <w:noProof/>
                <w:webHidden/>
              </w:rPr>
              <w:fldChar w:fldCharType="end"/>
            </w:r>
          </w:hyperlink>
        </w:p>
        <w:p w14:paraId="4B4A311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3" w:history="1">
            <w:r w:rsidRPr="000D551A">
              <w:rPr>
                <w:rStyle w:val="Lienhypertexte"/>
                <w:noProof/>
              </w:rPr>
              <w:t>44.44.3b Isolation à souffler - granulés d'argile expansée CCTB 01.10</w:t>
            </w:r>
            <w:r>
              <w:rPr>
                <w:noProof/>
                <w:webHidden/>
              </w:rPr>
              <w:tab/>
            </w:r>
            <w:r>
              <w:rPr>
                <w:noProof/>
                <w:webHidden/>
              </w:rPr>
              <w:fldChar w:fldCharType="begin"/>
            </w:r>
            <w:r>
              <w:rPr>
                <w:noProof/>
                <w:webHidden/>
              </w:rPr>
              <w:instrText xml:space="preserve"> PAGEREF _Toc220490723 \h </w:instrText>
            </w:r>
            <w:r>
              <w:rPr>
                <w:noProof/>
                <w:webHidden/>
              </w:rPr>
            </w:r>
            <w:r>
              <w:rPr>
                <w:noProof/>
                <w:webHidden/>
              </w:rPr>
              <w:fldChar w:fldCharType="separate"/>
            </w:r>
            <w:r>
              <w:rPr>
                <w:noProof/>
                <w:webHidden/>
              </w:rPr>
              <w:t>624</w:t>
            </w:r>
            <w:r>
              <w:rPr>
                <w:noProof/>
                <w:webHidden/>
              </w:rPr>
              <w:fldChar w:fldCharType="end"/>
            </w:r>
          </w:hyperlink>
        </w:p>
        <w:p w14:paraId="784A0FA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4" w:history="1">
            <w:r w:rsidRPr="000D551A">
              <w:rPr>
                <w:rStyle w:val="Lienhypertexte"/>
                <w:noProof/>
              </w:rPr>
              <w:t>44.44.3c Isolation à souffler - fibres de lin CCTB 01.11</w:t>
            </w:r>
            <w:r>
              <w:rPr>
                <w:noProof/>
                <w:webHidden/>
              </w:rPr>
              <w:tab/>
            </w:r>
            <w:r>
              <w:rPr>
                <w:noProof/>
                <w:webHidden/>
              </w:rPr>
              <w:fldChar w:fldCharType="begin"/>
            </w:r>
            <w:r>
              <w:rPr>
                <w:noProof/>
                <w:webHidden/>
              </w:rPr>
              <w:instrText xml:space="preserve"> PAGEREF _Toc220490724 \h </w:instrText>
            </w:r>
            <w:r>
              <w:rPr>
                <w:noProof/>
                <w:webHidden/>
              </w:rPr>
            </w:r>
            <w:r>
              <w:rPr>
                <w:noProof/>
                <w:webHidden/>
              </w:rPr>
              <w:fldChar w:fldCharType="separate"/>
            </w:r>
            <w:r>
              <w:rPr>
                <w:noProof/>
                <w:webHidden/>
              </w:rPr>
              <w:t>625</w:t>
            </w:r>
            <w:r>
              <w:rPr>
                <w:noProof/>
                <w:webHidden/>
              </w:rPr>
              <w:fldChar w:fldCharType="end"/>
            </w:r>
          </w:hyperlink>
        </w:p>
        <w:p w14:paraId="4C48554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5" w:history="1">
            <w:r w:rsidRPr="000D551A">
              <w:rPr>
                <w:rStyle w:val="Lienhypertexte"/>
                <w:noProof/>
              </w:rPr>
              <w:t>44.44.3d Isolation à souffler - fibres de coco CCTB 01.11</w:t>
            </w:r>
            <w:r>
              <w:rPr>
                <w:noProof/>
                <w:webHidden/>
              </w:rPr>
              <w:tab/>
            </w:r>
            <w:r>
              <w:rPr>
                <w:noProof/>
                <w:webHidden/>
              </w:rPr>
              <w:fldChar w:fldCharType="begin"/>
            </w:r>
            <w:r>
              <w:rPr>
                <w:noProof/>
                <w:webHidden/>
              </w:rPr>
              <w:instrText xml:space="preserve"> PAGEREF _Toc220490725 \h </w:instrText>
            </w:r>
            <w:r>
              <w:rPr>
                <w:noProof/>
                <w:webHidden/>
              </w:rPr>
            </w:r>
            <w:r>
              <w:rPr>
                <w:noProof/>
                <w:webHidden/>
              </w:rPr>
              <w:fldChar w:fldCharType="separate"/>
            </w:r>
            <w:r>
              <w:rPr>
                <w:noProof/>
                <w:webHidden/>
              </w:rPr>
              <w:t>626</w:t>
            </w:r>
            <w:r>
              <w:rPr>
                <w:noProof/>
                <w:webHidden/>
              </w:rPr>
              <w:fldChar w:fldCharType="end"/>
            </w:r>
          </w:hyperlink>
        </w:p>
        <w:p w14:paraId="0DFBB71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6" w:history="1">
            <w:r w:rsidRPr="000D551A">
              <w:rPr>
                <w:rStyle w:val="Lienhypertexte"/>
                <w:noProof/>
              </w:rPr>
              <w:t>44.44.3e Isolation à souffler - granulés de liège expansé CCTB 01.11</w:t>
            </w:r>
            <w:r>
              <w:rPr>
                <w:noProof/>
                <w:webHidden/>
              </w:rPr>
              <w:tab/>
            </w:r>
            <w:r>
              <w:rPr>
                <w:noProof/>
                <w:webHidden/>
              </w:rPr>
              <w:fldChar w:fldCharType="begin"/>
            </w:r>
            <w:r>
              <w:rPr>
                <w:noProof/>
                <w:webHidden/>
              </w:rPr>
              <w:instrText xml:space="preserve"> PAGEREF _Toc220490726 \h </w:instrText>
            </w:r>
            <w:r>
              <w:rPr>
                <w:noProof/>
                <w:webHidden/>
              </w:rPr>
            </w:r>
            <w:r>
              <w:rPr>
                <w:noProof/>
                <w:webHidden/>
              </w:rPr>
              <w:fldChar w:fldCharType="separate"/>
            </w:r>
            <w:r>
              <w:rPr>
                <w:noProof/>
                <w:webHidden/>
              </w:rPr>
              <w:t>626</w:t>
            </w:r>
            <w:r>
              <w:rPr>
                <w:noProof/>
                <w:webHidden/>
              </w:rPr>
              <w:fldChar w:fldCharType="end"/>
            </w:r>
          </w:hyperlink>
        </w:p>
        <w:p w14:paraId="0CABDFB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7" w:history="1">
            <w:r w:rsidRPr="000D551A">
              <w:rPr>
                <w:rStyle w:val="Lienhypertexte"/>
                <w:noProof/>
              </w:rPr>
              <w:t>44.44.3f Isolation à souffler - coton CCTB 01.12</w:t>
            </w:r>
            <w:r>
              <w:rPr>
                <w:noProof/>
                <w:webHidden/>
              </w:rPr>
              <w:tab/>
            </w:r>
            <w:r>
              <w:rPr>
                <w:noProof/>
                <w:webHidden/>
              </w:rPr>
              <w:fldChar w:fldCharType="begin"/>
            </w:r>
            <w:r>
              <w:rPr>
                <w:noProof/>
                <w:webHidden/>
              </w:rPr>
              <w:instrText xml:space="preserve"> PAGEREF _Toc220490727 \h </w:instrText>
            </w:r>
            <w:r>
              <w:rPr>
                <w:noProof/>
                <w:webHidden/>
              </w:rPr>
            </w:r>
            <w:r>
              <w:rPr>
                <w:noProof/>
                <w:webHidden/>
              </w:rPr>
              <w:fldChar w:fldCharType="separate"/>
            </w:r>
            <w:r>
              <w:rPr>
                <w:noProof/>
                <w:webHidden/>
              </w:rPr>
              <w:t>627</w:t>
            </w:r>
            <w:r>
              <w:rPr>
                <w:noProof/>
                <w:webHidden/>
              </w:rPr>
              <w:fldChar w:fldCharType="end"/>
            </w:r>
          </w:hyperlink>
        </w:p>
        <w:p w14:paraId="38B1908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28" w:history="1">
            <w:r w:rsidRPr="000D551A">
              <w:rPr>
                <w:rStyle w:val="Lienhypertexte"/>
                <w:noProof/>
              </w:rPr>
              <w:t>44.44.3g Isolation à souffler - fibres de bois CCTB 01.12</w:t>
            </w:r>
            <w:r>
              <w:rPr>
                <w:noProof/>
                <w:webHidden/>
              </w:rPr>
              <w:tab/>
            </w:r>
            <w:r>
              <w:rPr>
                <w:noProof/>
                <w:webHidden/>
              </w:rPr>
              <w:fldChar w:fldCharType="begin"/>
            </w:r>
            <w:r>
              <w:rPr>
                <w:noProof/>
                <w:webHidden/>
              </w:rPr>
              <w:instrText xml:space="preserve"> PAGEREF _Toc220490728 \h </w:instrText>
            </w:r>
            <w:r>
              <w:rPr>
                <w:noProof/>
                <w:webHidden/>
              </w:rPr>
            </w:r>
            <w:r>
              <w:rPr>
                <w:noProof/>
                <w:webHidden/>
              </w:rPr>
              <w:fldChar w:fldCharType="separate"/>
            </w:r>
            <w:r>
              <w:rPr>
                <w:noProof/>
                <w:webHidden/>
              </w:rPr>
              <w:t>629</w:t>
            </w:r>
            <w:r>
              <w:rPr>
                <w:noProof/>
                <w:webHidden/>
              </w:rPr>
              <w:fldChar w:fldCharType="end"/>
            </w:r>
          </w:hyperlink>
        </w:p>
        <w:p w14:paraId="0F031F6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29" w:history="1">
            <w:r w:rsidRPr="000D551A">
              <w:rPr>
                <w:rStyle w:val="Lienhypertexte"/>
                <w:noProof/>
              </w:rPr>
              <w:t>44.44.4 Isolation à souffler - matières animales CCTB 01.04</w:t>
            </w:r>
            <w:r>
              <w:rPr>
                <w:noProof/>
                <w:webHidden/>
              </w:rPr>
              <w:tab/>
            </w:r>
            <w:r>
              <w:rPr>
                <w:noProof/>
                <w:webHidden/>
              </w:rPr>
              <w:fldChar w:fldCharType="begin"/>
            </w:r>
            <w:r>
              <w:rPr>
                <w:noProof/>
                <w:webHidden/>
              </w:rPr>
              <w:instrText xml:space="preserve"> PAGEREF _Toc220490729 \h </w:instrText>
            </w:r>
            <w:r>
              <w:rPr>
                <w:noProof/>
                <w:webHidden/>
              </w:rPr>
            </w:r>
            <w:r>
              <w:rPr>
                <w:noProof/>
                <w:webHidden/>
              </w:rPr>
              <w:fldChar w:fldCharType="separate"/>
            </w:r>
            <w:r>
              <w:rPr>
                <w:noProof/>
                <w:webHidden/>
              </w:rPr>
              <w:t>631</w:t>
            </w:r>
            <w:r>
              <w:rPr>
                <w:noProof/>
                <w:webHidden/>
              </w:rPr>
              <w:fldChar w:fldCharType="end"/>
            </w:r>
          </w:hyperlink>
        </w:p>
        <w:p w14:paraId="05D7A1E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0" w:history="1">
            <w:r w:rsidRPr="000D551A">
              <w:rPr>
                <w:rStyle w:val="Lienhypertexte"/>
                <w:noProof/>
              </w:rPr>
              <w:t>44.44.4a Isolation à souffler - laine de mouton CCTB 01.11</w:t>
            </w:r>
            <w:r>
              <w:rPr>
                <w:noProof/>
                <w:webHidden/>
              </w:rPr>
              <w:tab/>
            </w:r>
            <w:r>
              <w:rPr>
                <w:noProof/>
                <w:webHidden/>
              </w:rPr>
              <w:fldChar w:fldCharType="begin"/>
            </w:r>
            <w:r>
              <w:rPr>
                <w:noProof/>
                <w:webHidden/>
              </w:rPr>
              <w:instrText xml:space="preserve"> PAGEREF _Toc220490730 \h </w:instrText>
            </w:r>
            <w:r>
              <w:rPr>
                <w:noProof/>
                <w:webHidden/>
              </w:rPr>
            </w:r>
            <w:r>
              <w:rPr>
                <w:noProof/>
                <w:webHidden/>
              </w:rPr>
              <w:fldChar w:fldCharType="separate"/>
            </w:r>
            <w:r>
              <w:rPr>
                <w:noProof/>
                <w:webHidden/>
              </w:rPr>
              <w:t>631</w:t>
            </w:r>
            <w:r>
              <w:rPr>
                <w:noProof/>
                <w:webHidden/>
              </w:rPr>
              <w:fldChar w:fldCharType="end"/>
            </w:r>
          </w:hyperlink>
        </w:p>
        <w:p w14:paraId="3C6A262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1" w:history="1">
            <w:r w:rsidRPr="000D551A">
              <w:rPr>
                <w:rStyle w:val="Lienhypertexte"/>
                <w:noProof/>
              </w:rPr>
              <w:t>44.44.4b Isolation à souffler - plumes CCTB 01.02</w:t>
            </w:r>
            <w:r>
              <w:rPr>
                <w:noProof/>
                <w:webHidden/>
              </w:rPr>
              <w:tab/>
            </w:r>
            <w:r>
              <w:rPr>
                <w:noProof/>
                <w:webHidden/>
              </w:rPr>
              <w:fldChar w:fldCharType="begin"/>
            </w:r>
            <w:r>
              <w:rPr>
                <w:noProof/>
                <w:webHidden/>
              </w:rPr>
              <w:instrText xml:space="preserve"> PAGEREF _Toc220490731 \h </w:instrText>
            </w:r>
            <w:r>
              <w:rPr>
                <w:noProof/>
                <w:webHidden/>
              </w:rPr>
            </w:r>
            <w:r>
              <w:rPr>
                <w:noProof/>
                <w:webHidden/>
              </w:rPr>
              <w:fldChar w:fldCharType="separate"/>
            </w:r>
            <w:r>
              <w:rPr>
                <w:noProof/>
                <w:webHidden/>
              </w:rPr>
              <w:t>632</w:t>
            </w:r>
            <w:r>
              <w:rPr>
                <w:noProof/>
                <w:webHidden/>
              </w:rPr>
              <w:fldChar w:fldCharType="end"/>
            </w:r>
          </w:hyperlink>
        </w:p>
        <w:p w14:paraId="4F478CB3"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32" w:history="1">
            <w:r w:rsidRPr="000D551A">
              <w:rPr>
                <w:rStyle w:val="Lienhypertexte"/>
                <w:noProof/>
              </w:rPr>
              <w:t>44.45 Isolation à injecter CCTB 01.02</w:t>
            </w:r>
            <w:r>
              <w:rPr>
                <w:noProof/>
                <w:webHidden/>
              </w:rPr>
              <w:tab/>
            </w:r>
            <w:r>
              <w:rPr>
                <w:noProof/>
                <w:webHidden/>
              </w:rPr>
              <w:fldChar w:fldCharType="begin"/>
            </w:r>
            <w:r>
              <w:rPr>
                <w:noProof/>
                <w:webHidden/>
              </w:rPr>
              <w:instrText xml:space="preserve"> PAGEREF _Toc220490732 \h </w:instrText>
            </w:r>
            <w:r>
              <w:rPr>
                <w:noProof/>
                <w:webHidden/>
              </w:rPr>
            </w:r>
            <w:r>
              <w:rPr>
                <w:noProof/>
                <w:webHidden/>
              </w:rPr>
              <w:fldChar w:fldCharType="separate"/>
            </w:r>
            <w:r>
              <w:rPr>
                <w:noProof/>
                <w:webHidden/>
              </w:rPr>
              <w:t>632</w:t>
            </w:r>
            <w:r>
              <w:rPr>
                <w:noProof/>
                <w:webHidden/>
              </w:rPr>
              <w:fldChar w:fldCharType="end"/>
            </w:r>
          </w:hyperlink>
        </w:p>
        <w:p w14:paraId="06ED8EA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33" w:history="1">
            <w:r w:rsidRPr="000D551A">
              <w:rPr>
                <w:rStyle w:val="Lienhypertexte"/>
                <w:noProof/>
              </w:rPr>
              <w:t>44.45.1 Isolation à injecter - matières synthétiques CCTB 01.02</w:t>
            </w:r>
            <w:r>
              <w:rPr>
                <w:noProof/>
                <w:webHidden/>
              </w:rPr>
              <w:tab/>
            </w:r>
            <w:r>
              <w:rPr>
                <w:noProof/>
                <w:webHidden/>
              </w:rPr>
              <w:fldChar w:fldCharType="begin"/>
            </w:r>
            <w:r>
              <w:rPr>
                <w:noProof/>
                <w:webHidden/>
              </w:rPr>
              <w:instrText xml:space="preserve"> PAGEREF _Toc220490733 \h </w:instrText>
            </w:r>
            <w:r>
              <w:rPr>
                <w:noProof/>
                <w:webHidden/>
              </w:rPr>
            </w:r>
            <w:r>
              <w:rPr>
                <w:noProof/>
                <w:webHidden/>
              </w:rPr>
              <w:fldChar w:fldCharType="separate"/>
            </w:r>
            <w:r>
              <w:rPr>
                <w:noProof/>
                <w:webHidden/>
              </w:rPr>
              <w:t>633</w:t>
            </w:r>
            <w:r>
              <w:rPr>
                <w:noProof/>
                <w:webHidden/>
              </w:rPr>
              <w:fldChar w:fldCharType="end"/>
            </w:r>
          </w:hyperlink>
        </w:p>
        <w:p w14:paraId="6285D45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4" w:history="1">
            <w:r w:rsidRPr="000D551A">
              <w:rPr>
                <w:rStyle w:val="Lienhypertexte"/>
                <w:noProof/>
              </w:rPr>
              <w:t>44.45.1a Isolation à injecter - mousse de polystyrène (EPS) CCTB 01.10</w:t>
            </w:r>
            <w:r>
              <w:rPr>
                <w:noProof/>
                <w:webHidden/>
              </w:rPr>
              <w:tab/>
            </w:r>
            <w:r>
              <w:rPr>
                <w:noProof/>
                <w:webHidden/>
              </w:rPr>
              <w:fldChar w:fldCharType="begin"/>
            </w:r>
            <w:r>
              <w:rPr>
                <w:noProof/>
                <w:webHidden/>
              </w:rPr>
              <w:instrText xml:space="preserve"> PAGEREF _Toc220490734 \h </w:instrText>
            </w:r>
            <w:r>
              <w:rPr>
                <w:noProof/>
                <w:webHidden/>
              </w:rPr>
            </w:r>
            <w:r>
              <w:rPr>
                <w:noProof/>
                <w:webHidden/>
              </w:rPr>
              <w:fldChar w:fldCharType="separate"/>
            </w:r>
            <w:r>
              <w:rPr>
                <w:noProof/>
                <w:webHidden/>
              </w:rPr>
              <w:t>633</w:t>
            </w:r>
            <w:r>
              <w:rPr>
                <w:noProof/>
                <w:webHidden/>
              </w:rPr>
              <w:fldChar w:fldCharType="end"/>
            </w:r>
          </w:hyperlink>
        </w:p>
        <w:p w14:paraId="4330C2C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5" w:history="1">
            <w:r w:rsidRPr="000D551A">
              <w:rPr>
                <w:rStyle w:val="Lienhypertexte"/>
                <w:noProof/>
              </w:rPr>
              <w:t>44.45.1b Isolation à injecter - mousse de polyuréthane (PUR) CCTB 01.10</w:t>
            </w:r>
            <w:r>
              <w:rPr>
                <w:noProof/>
                <w:webHidden/>
              </w:rPr>
              <w:tab/>
            </w:r>
            <w:r>
              <w:rPr>
                <w:noProof/>
                <w:webHidden/>
              </w:rPr>
              <w:fldChar w:fldCharType="begin"/>
            </w:r>
            <w:r>
              <w:rPr>
                <w:noProof/>
                <w:webHidden/>
              </w:rPr>
              <w:instrText xml:space="preserve"> PAGEREF _Toc220490735 \h </w:instrText>
            </w:r>
            <w:r>
              <w:rPr>
                <w:noProof/>
                <w:webHidden/>
              </w:rPr>
            </w:r>
            <w:r>
              <w:rPr>
                <w:noProof/>
                <w:webHidden/>
              </w:rPr>
              <w:fldChar w:fldCharType="separate"/>
            </w:r>
            <w:r>
              <w:rPr>
                <w:noProof/>
                <w:webHidden/>
              </w:rPr>
              <w:t>634</w:t>
            </w:r>
            <w:r>
              <w:rPr>
                <w:noProof/>
                <w:webHidden/>
              </w:rPr>
              <w:fldChar w:fldCharType="end"/>
            </w:r>
          </w:hyperlink>
        </w:p>
        <w:p w14:paraId="40AC778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6" w:history="1">
            <w:r w:rsidRPr="000D551A">
              <w:rPr>
                <w:rStyle w:val="Lienhypertexte"/>
                <w:noProof/>
              </w:rPr>
              <w:t>44.45.1c Isolation à injecter - mousse de polyisocyanurate (PIR) CCTB 01.04</w:t>
            </w:r>
            <w:r>
              <w:rPr>
                <w:noProof/>
                <w:webHidden/>
              </w:rPr>
              <w:tab/>
            </w:r>
            <w:r>
              <w:rPr>
                <w:noProof/>
                <w:webHidden/>
              </w:rPr>
              <w:fldChar w:fldCharType="begin"/>
            </w:r>
            <w:r>
              <w:rPr>
                <w:noProof/>
                <w:webHidden/>
              </w:rPr>
              <w:instrText xml:space="preserve"> PAGEREF _Toc220490736 \h </w:instrText>
            </w:r>
            <w:r>
              <w:rPr>
                <w:noProof/>
                <w:webHidden/>
              </w:rPr>
            </w:r>
            <w:r>
              <w:rPr>
                <w:noProof/>
                <w:webHidden/>
              </w:rPr>
              <w:fldChar w:fldCharType="separate"/>
            </w:r>
            <w:r>
              <w:rPr>
                <w:noProof/>
                <w:webHidden/>
              </w:rPr>
              <w:t>634</w:t>
            </w:r>
            <w:r>
              <w:rPr>
                <w:noProof/>
                <w:webHidden/>
              </w:rPr>
              <w:fldChar w:fldCharType="end"/>
            </w:r>
          </w:hyperlink>
        </w:p>
        <w:p w14:paraId="3373255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37" w:history="1">
            <w:r w:rsidRPr="000D551A">
              <w:rPr>
                <w:rStyle w:val="Lienhypertexte"/>
                <w:noProof/>
              </w:rPr>
              <w:t>44.45.1d Isolation à injecter - mousse phénolique (PF) CCTB 01.02</w:t>
            </w:r>
            <w:r>
              <w:rPr>
                <w:noProof/>
                <w:webHidden/>
              </w:rPr>
              <w:tab/>
            </w:r>
            <w:r>
              <w:rPr>
                <w:noProof/>
                <w:webHidden/>
              </w:rPr>
              <w:fldChar w:fldCharType="begin"/>
            </w:r>
            <w:r>
              <w:rPr>
                <w:noProof/>
                <w:webHidden/>
              </w:rPr>
              <w:instrText xml:space="preserve"> PAGEREF _Toc220490737 \h </w:instrText>
            </w:r>
            <w:r>
              <w:rPr>
                <w:noProof/>
                <w:webHidden/>
              </w:rPr>
            </w:r>
            <w:r>
              <w:rPr>
                <w:noProof/>
                <w:webHidden/>
              </w:rPr>
              <w:fldChar w:fldCharType="separate"/>
            </w:r>
            <w:r>
              <w:rPr>
                <w:noProof/>
                <w:webHidden/>
              </w:rPr>
              <w:t>634</w:t>
            </w:r>
            <w:r>
              <w:rPr>
                <w:noProof/>
                <w:webHidden/>
              </w:rPr>
              <w:fldChar w:fldCharType="end"/>
            </w:r>
          </w:hyperlink>
        </w:p>
        <w:p w14:paraId="636CD252"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38" w:history="1">
            <w:r w:rsidRPr="000D551A">
              <w:rPr>
                <w:rStyle w:val="Lienhypertexte"/>
                <w:noProof/>
              </w:rPr>
              <w:t>44.46 Isolation à verser en vrac CCTB 01.02</w:t>
            </w:r>
            <w:r>
              <w:rPr>
                <w:noProof/>
                <w:webHidden/>
              </w:rPr>
              <w:tab/>
            </w:r>
            <w:r>
              <w:rPr>
                <w:noProof/>
                <w:webHidden/>
              </w:rPr>
              <w:fldChar w:fldCharType="begin"/>
            </w:r>
            <w:r>
              <w:rPr>
                <w:noProof/>
                <w:webHidden/>
              </w:rPr>
              <w:instrText xml:space="preserve"> PAGEREF _Toc220490738 \h </w:instrText>
            </w:r>
            <w:r>
              <w:rPr>
                <w:noProof/>
                <w:webHidden/>
              </w:rPr>
            </w:r>
            <w:r>
              <w:rPr>
                <w:noProof/>
                <w:webHidden/>
              </w:rPr>
              <w:fldChar w:fldCharType="separate"/>
            </w:r>
            <w:r>
              <w:rPr>
                <w:noProof/>
                <w:webHidden/>
              </w:rPr>
              <w:t>634</w:t>
            </w:r>
            <w:r>
              <w:rPr>
                <w:noProof/>
                <w:webHidden/>
              </w:rPr>
              <w:fldChar w:fldCharType="end"/>
            </w:r>
          </w:hyperlink>
        </w:p>
        <w:p w14:paraId="60CD91D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39" w:history="1">
            <w:r w:rsidRPr="000D551A">
              <w:rPr>
                <w:rStyle w:val="Lienhypertexte"/>
                <w:noProof/>
              </w:rPr>
              <w:t>44.46.1 Isolation à verser en vrac - matières synthétiques CCTB 01.02</w:t>
            </w:r>
            <w:r>
              <w:rPr>
                <w:noProof/>
                <w:webHidden/>
              </w:rPr>
              <w:tab/>
            </w:r>
            <w:r>
              <w:rPr>
                <w:noProof/>
                <w:webHidden/>
              </w:rPr>
              <w:fldChar w:fldCharType="begin"/>
            </w:r>
            <w:r>
              <w:rPr>
                <w:noProof/>
                <w:webHidden/>
              </w:rPr>
              <w:instrText xml:space="preserve"> PAGEREF _Toc220490739 \h </w:instrText>
            </w:r>
            <w:r>
              <w:rPr>
                <w:noProof/>
                <w:webHidden/>
              </w:rPr>
            </w:r>
            <w:r>
              <w:rPr>
                <w:noProof/>
                <w:webHidden/>
              </w:rPr>
              <w:fldChar w:fldCharType="separate"/>
            </w:r>
            <w:r>
              <w:rPr>
                <w:noProof/>
                <w:webHidden/>
              </w:rPr>
              <w:t>634</w:t>
            </w:r>
            <w:r>
              <w:rPr>
                <w:noProof/>
                <w:webHidden/>
              </w:rPr>
              <w:fldChar w:fldCharType="end"/>
            </w:r>
          </w:hyperlink>
        </w:p>
        <w:p w14:paraId="495FECB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40" w:history="1">
            <w:r w:rsidRPr="000D551A">
              <w:rPr>
                <w:rStyle w:val="Lienhypertexte"/>
                <w:noProof/>
              </w:rPr>
              <w:t>44.46.2 Isolation à verser en vrac - matières minérales CCTB 01.02</w:t>
            </w:r>
            <w:r>
              <w:rPr>
                <w:noProof/>
                <w:webHidden/>
              </w:rPr>
              <w:tab/>
            </w:r>
            <w:r>
              <w:rPr>
                <w:noProof/>
                <w:webHidden/>
              </w:rPr>
              <w:fldChar w:fldCharType="begin"/>
            </w:r>
            <w:r>
              <w:rPr>
                <w:noProof/>
                <w:webHidden/>
              </w:rPr>
              <w:instrText xml:space="preserve"> PAGEREF _Toc220490740 \h </w:instrText>
            </w:r>
            <w:r>
              <w:rPr>
                <w:noProof/>
                <w:webHidden/>
              </w:rPr>
            </w:r>
            <w:r>
              <w:rPr>
                <w:noProof/>
                <w:webHidden/>
              </w:rPr>
              <w:fldChar w:fldCharType="separate"/>
            </w:r>
            <w:r>
              <w:rPr>
                <w:noProof/>
                <w:webHidden/>
              </w:rPr>
              <w:t>634</w:t>
            </w:r>
            <w:r>
              <w:rPr>
                <w:noProof/>
                <w:webHidden/>
              </w:rPr>
              <w:fldChar w:fldCharType="end"/>
            </w:r>
          </w:hyperlink>
        </w:p>
        <w:p w14:paraId="0008467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1" w:history="1">
            <w:r w:rsidRPr="000D551A">
              <w:rPr>
                <w:rStyle w:val="Lienhypertexte"/>
                <w:noProof/>
              </w:rPr>
              <w:t>44.46.2a Isolation à verser en vrac - laine de verre CCTB 01.02</w:t>
            </w:r>
            <w:r>
              <w:rPr>
                <w:noProof/>
                <w:webHidden/>
              </w:rPr>
              <w:tab/>
            </w:r>
            <w:r>
              <w:rPr>
                <w:noProof/>
                <w:webHidden/>
              </w:rPr>
              <w:fldChar w:fldCharType="begin"/>
            </w:r>
            <w:r>
              <w:rPr>
                <w:noProof/>
                <w:webHidden/>
              </w:rPr>
              <w:instrText xml:space="preserve"> PAGEREF _Toc220490741 \h </w:instrText>
            </w:r>
            <w:r>
              <w:rPr>
                <w:noProof/>
                <w:webHidden/>
              </w:rPr>
            </w:r>
            <w:r>
              <w:rPr>
                <w:noProof/>
                <w:webHidden/>
              </w:rPr>
              <w:fldChar w:fldCharType="separate"/>
            </w:r>
            <w:r>
              <w:rPr>
                <w:noProof/>
                <w:webHidden/>
              </w:rPr>
              <w:t>634</w:t>
            </w:r>
            <w:r>
              <w:rPr>
                <w:noProof/>
                <w:webHidden/>
              </w:rPr>
              <w:fldChar w:fldCharType="end"/>
            </w:r>
          </w:hyperlink>
        </w:p>
        <w:p w14:paraId="588479A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2" w:history="1">
            <w:r w:rsidRPr="000D551A">
              <w:rPr>
                <w:rStyle w:val="Lienhypertexte"/>
                <w:noProof/>
              </w:rPr>
              <w:t>44.46.2b Isolation à verser en vrac - laine de roche CCTB 01.02</w:t>
            </w:r>
            <w:r>
              <w:rPr>
                <w:noProof/>
                <w:webHidden/>
              </w:rPr>
              <w:tab/>
            </w:r>
            <w:r>
              <w:rPr>
                <w:noProof/>
                <w:webHidden/>
              </w:rPr>
              <w:fldChar w:fldCharType="begin"/>
            </w:r>
            <w:r>
              <w:rPr>
                <w:noProof/>
                <w:webHidden/>
              </w:rPr>
              <w:instrText xml:space="preserve"> PAGEREF _Toc220490742 \h </w:instrText>
            </w:r>
            <w:r>
              <w:rPr>
                <w:noProof/>
                <w:webHidden/>
              </w:rPr>
            </w:r>
            <w:r>
              <w:rPr>
                <w:noProof/>
                <w:webHidden/>
              </w:rPr>
              <w:fldChar w:fldCharType="separate"/>
            </w:r>
            <w:r>
              <w:rPr>
                <w:noProof/>
                <w:webHidden/>
              </w:rPr>
              <w:t>634</w:t>
            </w:r>
            <w:r>
              <w:rPr>
                <w:noProof/>
                <w:webHidden/>
              </w:rPr>
              <w:fldChar w:fldCharType="end"/>
            </w:r>
          </w:hyperlink>
        </w:p>
        <w:p w14:paraId="6D3CED5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3" w:history="1">
            <w:r w:rsidRPr="000D551A">
              <w:rPr>
                <w:rStyle w:val="Lienhypertexte"/>
                <w:noProof/>
              </w:rPr>
              <w:t>44.46.2c Isolation à verser en vrac - fibres de verre CCTB 01.02</w:t>
            </w:r>
            <w:r>
              <w:rPr>
                <w:noProof/>
                <w:webHidden/>
              </w:rPr>
              <w:tab/>
            </w:r>
            <w:r>
              <w:rPr>
                <w:noProof/>
                <w:webHidden/>
              </w:rPr>
              <w:fldChar w:fldCharType="begin"/>
            </w:r>
            <w:r>
              <w:rPr>
                <w:noProof/>
                <w:webHidden/>
              </w:rPr>
              <w:instrText xml:space="preserve"> PAGEREF _Toc220490743 \h </w:instrText>
            </w:r>
            <w:r>
              <w:rPr>
                <w:noProof/>
                <w:webHidden/>
              </w:rPr>
            </w:r>
            <w:r>
              <w:rPr>
                <w:noProof/>
                <w:webHidden/>
              </w:rPr>
              <w:fldChar w:fldCharType="separate"/>
            </w:r>
            <w:r>
              <w:rPr>
                <w:noProof/>
                <w:webHidden/>
              </w:rPr>
              <w:t>634</w:t>
            </w:r>
            <w:r>
              <w:rPr>
                <w:noProof/>
                <w:webHidden/>
              </w:rPr>
              <w:fldChar w:fldCharType="end"/>
            </w:r>
          </w:hyperlink>
        </w:p>
        <w:p w14:paraId="556AF88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4" w:history="1">
            <w:r w:rsidRPr="000D551A">
              <w:rPr>
                <w:rStyle w:val="Lienhypertexte"/>
                <w:noProof/>
              </w:rPr>
              <w:t>44.46.2d Isolation à verser en vrac - vermiculite expansée (EV) CCTB 01.02</w:t>
            </w:r>
            <w:r>
              <w:rPr>
                <w:noProof/>
                <w:webHidden/>
              </w:rPr>
              <w:tab/>
            </w:r>
            <w:r>
              <w:rPr>
                <w:noProof/>
                <w:webHidden/>
              </w:rPr>
              <w:fldChar w:fldCharType="begin"/>
            </w:r>
            <w:r>
              <w:rPr>
                <w:noProof/>
                <w:webHidden/>
              </w:rPr>
              <w:instrText xml:space="preserve"> PAGEREF _Toc220490744 \h </w:instrText>
            </w:r>
            <w:r>
              <w:rPr>
                <w:noProof/>
                <w:webHidden/>
              </w:rPr>
            </w:r>
            <w:r>
              <w:rPr>
                <w:noProof/>
                <w:webHidden/>
              </w:rPr>
              <w:fldChar w:fldCharType="separate"/>
            </w:r>
            <w:r>
              <w:rPr>
                <w:noProof/>
                <w:webHidden/>
              </w:rPr>
              <w:t>634</w:t>
            </w:r>
            <w:r>
              <w:rPr>
                <w:noProof/>
                <w:webHidden/>
              </w:rPr>
              <w:fldChar w:fldCharType="end"/>
            </w:r>
          </w:hyperlink>
        </w:p>
        <w:p w14:paraId="03CC401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5" w:history="1">
            <w:r w:rsidRPr="000D551A">
              <w:rPr>
                <w:rStyle w:val="Lienhypertexte"/>
                <w:noProof/>
              </w:rPr>
              <w:t>44.46.2e Isolation à verser en vrac - perlite expansée (EPB) CCTB 01.02</w:t>
            </w:r>
            <w:r>
              <w:rPr>
                <w:noProof/>
                <w:webHidden/>
              </w:rPr>
              <w:tab/>
            </w:r>
            <w:r>
              <w:rPr>
                <w:noProof/>
                <w:webHidden/>
              </w:rPr>
              <w:fldChar w:fldCharType="begin"/>
            </w:r>
            <w:r>
              <w:rPr>
                <w:noProof/>
                <w:webHidden/>
              </w:rPr>
              <w:instrText xml:space="preserve"> PAGEREF _Toc220490745 \h </w:instrText>
            </w:r>
            <w:r>
              <w:rPr>
                <w:noProof/>
                <w:webHidden/>
              </w:rPr>
            </w:r>
            <w:r>
              <w:rPr>
                <w:noProof/>
                <w:webHidden/>
              </w:rPr>
              <w:fldChar w:fldCharType="separate"/>
            </w:r>
            <w:r>
              <w:rPr>
                <w:noProof/>
                <w:webHidden/>
              </w:rPr>
              <w:t>634</w:t>
            </w:r>
            <w:r>
              <w:rPr>
                <w:noProof/>
                <w:webHidden/>
              </w:rPr>
              <w:fldChar w:fldCharType="end"/>
            </w:r>
          </w:hyperlink>
        </w:p>
        <w:p w14:paraId="4DC4447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6" w:history="1">
            <w:r w:rsidRPr="000D551A">
              <w:rPr>
                <w:rStyle w:val="Lienhypertexte"/>
                <w:noProof/>
              </w:rPr>
              <w:t>44.46.2f (titre réservé)</w:t>
            </w:r>
            <w:r>
              <w:rPr>
                <w:noProof/>
                <w:webHidden/>
              </w:rPr>
              <w:tab/>
            </w:r>
            <w:r>
              <w:rPr>
                <w:noProof/>
                <w:webHidden/>
              </w:rPr>
              <w:fldChar w:fldCharType="begin"/>
            </w:r>
            <w:r>
              <w:rPr>
                <w:noProof/>
                <w:webHidden/>
              </w:rPr>
              <w:instrText xml:space="preserve"> PAGEREF _Toc220490746 \h </w:instrText>
            </w:r>
            <w:r>
              <w:rPr>
                <w:noProof/>
                <w:webHidden/>
              </w:rPr>
            </w:r>
            <w:r>
              <w:rPr>
                <w:noProof/>
                <w:webHidden/>
              </w:rPr>
              <w:fldChar w:fldCharType="separate"/>
            </w:r>
            <w:r>
              <w:rPr>
                <w:noProof/>
                <w:webHidden/>
              </w:rPr>
              <w:t>634</w:t>
            </w:r>
            <w:r>
              <w:rPr>
                <w:noProof/>
                <w:webHidden/>
              </w:rPr>
              <w:fldChar w:fldCharType="end"/>
            </w:r>
          </w:hyperlink>
        </w:p>
        <w:p w14:paraId="7D828DD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47" w:history="1">
            <w:r w:rsidRPr="000D551A">
              <w:rPr>
                <w:rStyle w:val="Lienhypertexte"/>
                <w:noProof/>
              </w:rPr>
              <w:t>44.46.3 Isolation à verser en vrac - matières végétales CCTB 01.02</w:t>
            </w:r>
            <w:r>
              <w:rPr>
                <w:noProof/>
                <w:webHidden/>
              </w:rPr>
              <w:tab/>
            </w:r>
            <w:r>
              <w:rPr>
                <w:noProof/>
                <w:webHidden/>
              </w:rPr>
              <w:fldChar w:fldCharType="begin"/>
            </w:r>
            <w:r>
              <w:rPr>
                <w:noProof/>
                <w:webHidden/>
              </w:rPr>
              <w:instrText xml:space="preserve"> PAGEREF _Toc220490747 \h </w:instrText>
            </w:r>
            <w:r>
              <w:rPr>
                <w:noProof/>
                <w:webHidden/>
              </w:rPr>
            </w:r>
            <w:r>
              <w:rPr>
                <w:noProof/>
                <w:webHidden/>
              </w:rPr>
              <w:fldChar w:fldCharType="separate"/>
            </w:r>
            <w:r>
              <w:rPr>
                <w:noProof/>
                <w:webHidden/>
              </w:rPr>
              <w:t>634</w:t>
            </w:r>
            <w:r>
              <w:rPr>
                <w:noProof/>
                <w:webHidden/>
              </w:rPr>
              <w:fldChar w:fldCharType="end"/>
            </w:r>
          </w:hyperlink>
        </w:p>
        <w:p w14:paraId="1487AB4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8" w:history="1">
            <w:r w:rsidRPr="000D551A">
              <w:rPr>
                <w:rStyle w:val="Lienhypertexte"/>
                <w:noProof/>
              </w:rPr>
              <w:t>44.46.3a Isolation à verser en vrac - fibres cellulosiques CCTB 01.12</w:t>
            </w:r>
            <w:r>
              <w:rPr>
                <w:noProof/>
                <w:webHidden/>
              </w:rPr>
              <w:tab/>
            </w:r>
            <w:r>
              <w:rPr>
                <w:noProof/>
                <w:webHidden/>
              </w:rPr>
              <w:fldChar w:fldCharType="begin"/>
            </w:r>
            <w:r>
              <w:rPr>
                <w:noProof/>
                <w:webHidden/>
              </w:rPr>
              <w:instrText xml:space="preserve"> PAGEREF _Toc220490748 \h </w:instrText>
            </w:r>
            <w:r>
              <w:rPr>
                <w:noProof/>
                <w:webHidden/>
              </w:rPr>
            </w:r>
            <w:r>
              <w:rPr>
                <w:noProof/>
                <w:webHidden/>
              </w:rPr>
              <w:fldChar w:fldCharType="separate"/>
            </w:r>
            <w:r>
              <w:rPr>
                <w:noProof/>
                <w:webHidden/>
              </w:rPr>
              <w:t>634</w:t>
            </w:r>
            <w:r>
              <w:rPr>
                <w:noProof/>
                <w:webHidden/>
              </w:rPr>
              <w:fldChar w:fldCharType="end"/>
            </w:r>
          </w:hyperlink>
        </w:p>
        <w:p w14:paraId="33C26B2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49" w:history="1">
            <w:r w:rsidRPr="000D551A">
              <w:rPr>
                <w:rStyle w:val="Lienhypertexte"/>
                <w:noProof/>
              </w:rPr>
              <w:t>44.46.3b Isolation à verser en vrac - granulés d'argile expansée (LWA) CCTB 01.11</w:t>
            </w:r>
            <w:r>
              <w:rPr>
                <w:noProof/>
                <w:webHidden/>
              </w:rPr>
              <w:tab/>
            </w:r>
            <w:r>
              <w:rPr>
                <w:noProof/>
                <w:webHidden/>
              </w:rPr>
              <w:fldChar w:fldCharType="begin"/>
            </w:r>
            <w:r>
              <w:rPr>
                <w:noProof/>
                <w:webHidden/>
              </w:rPr>
              <w:instrText xml:space="preserve"> PAGEREF _Toc220490749 \h </w:instrText>
            </w:r>
            <w:r>
              <w:rPr>
                <w:noProof/>
                <w:webHidden/>
              </w:rPr>
            </w:r>
            <w:r>
              <w:rPr>
                <w:noProof/>
                <w:webHidden/>
              </w:rPr>
              <w:fldChar w:fldCharType="separate"/>
            </w:r>
            <w:r>
              <w:rPr>
                <w:noProof/>
                <w:webHidden/>
              </w:rPr>
              <w:t>637</w:t>
            </w:r>
            <w:r>
              <w:rPr>
                <w:noProof/>
                <w:webHidden/>
              </w:rPr>
              <w:fldChar w:fldCharType="end"/>
            </w:r>
          </w:hyperlink>
        </w:p>
        <w:p w14:paraId="449699E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0" w:history="1">
            <w:r w:rsidRPr="000D551A">
              <w:rPr>
                <w:rStyle w:val="Lienhypertexte"/>
                <w:noProof/>
              </w:rPr>
              <w:t>44.46.3c Isolation à verser en vrac - fibres de lin CCTB 01.12</w:t>
            </w:r>
            <w:r>
              <w:rPr>
                <w:noProof/>
                <w:webHidden/>
              </w:rPr>
              <w:tab/>
            </w:r>
            <w:r>
              <w:rPr>
                <w:noProof/>
                <w:webHidden/>
              </w:rPr>
              <w:fldChar w:fldCharType="begin"/>
            </w:r>
            <w:r>
              <w:rPr>
                <w:noProof/>
                <w:webHidden/>
              </w:rPr>
              <w:instrText xml:space="preserve"> PAGEREF _Toc220490750 \h </w:instrText>
            </w:r>
            <w:r>
              <w:rPr>
                <w:noProof/>
                <w:webHidden/>
              </w:rPr>
            </w:r>
            <w:r>
              <w:rPr>
                <w:noProof/>
                <w:webHidden/>
              </w:rPr>
              <w:fldChar w:fldCharType="separate"/>
            </w:r>
            <w:r>
              <w:rPr>
                <w:noProof/>
                <w:webHidden/>
              </w:rPr>
              <w:t>638</w:t>
            </w:r>
            <w:r>
              <w:rPr>
                <w:noProof/>
                <w:webHidden/>
              </w:rPr>
              <w:fldChar w:fldCharType="end"/>
            </w:r>
          </w:hyperlink>
        </w:p>
        <w:p w14:paraId="609A223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1" w:history="1">
            <w:r w:rsidRPr="000D551A">
              <w:rPr>
                <w:rStyle w:val="Lienhypertexte"/>
                <w:noProof/>
              </w:rPr>
              <w:t>44.46.3d Isolation à verser en vrac - chaume CCTB 01.12</w:t>
            </w:r>
            <w:r>
              <w:rPr>
                <w:noProof/>
                <w:webHidden/>
              </w:rPr>
              <w:tab/>
            </w:r>
            <w:r>
              <w:rPr>
                <w:noProof/>
                <w:webHidden/>
              </w:rPr>
              <w:fldChar w:fldCharType="begin"/>
            </w:r>
            <w:r>
              <w:rPr>
                <w:noProof/>
                <w:webHidden/>
              </w:rPr>
              <w:instrText xml:space="preserve"> PAGEREF _Toc220490751 \h </w:instrText>
            </w:r>
            <w:r>
              <w:rPr>
                <w:noProof/>
                <w:webHidden/>
              </w:rPr>
            </w:r>
            <w:r>
              <w:rPr>
                <w:noProof/>
                <w:webHidden/>
              </w:rPr>
              <w:fldChar w:fldCharType="separate"/>
            </w:r>
            <w:r>
              <w:rPr>
                <w:noProof/>
                <w:webHidden/>
              </w:rPr>
              <w:t>640</w:t>
            </w:r>
            <w:r>
              <w:rPr>
                <w:noProof/>
                <w:webHidden/>
              </w:rPr>
              <w:fldChar w:fldCharType="end"/>
            </w:r>
          </w:hyperlink>
        </w:p>
        <w:p w14:paraId="142014F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2" w:history="1">
            <w:r w:rsidRPr="000D551A">
              <w:rPr>
                <w:rStyle w:val="Lienhypertexte"/>
                <w:noProof/>
              </w:rPr>
              <w:t>44.46.3e Isolation à verser en vrac - chanvre CCTB 01.12</w:t>
            </w:r>
            <w:r>
              <w:rPr>
                <w:noProof/>
                <w:webHidden/>
              </w:rPr>
              <w:tab/>
            </w:r>
            <w:r>
              <w:rPr>
                <w:noProof/>
                <w:webHidden/>
              </w:rPr>
              <w:fldChar w:fldCharType="begin"/>
            </w:r>
            <w:r>
              <w:rPr>
                <w:noProof/>
                <w:webHidden/>
              </w:rPr>
              <w:instrText xml:space="preserve"> PAGEREF _Toc220490752 \h </w:instrText>
            </w:r>
            <w:r>
              <w:rPr>
                <w:noProof/>
                <w:webHidden/>
              </w:rPr>
            </w:r>
            <w:r>
              <w:rPr>
                <w:noProof/>
                <w:webHidden/>
              </w:rPr>
              <w:fldChar w:fldCharType="separate"/>
            </w:r>
            <w:r>
              <w:rPr>
                <w:noProof/>
                <w:webHidden/>
              </w:rPr>
              <w:t>641</w:t>
            </w:r>
            <w:r>
              <w:rPr>
                <w:noProof/>
                <w:webHidden/>
              </w:rPr>
              <w:fldChar w:fldCharType="end"/>
            </w:r>
          </w:hyperlink>
        </w:p>
        <w:p w14:paraId="2DD01D6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3" w:history="1">
            <w:r w:rsidRPr="000D551A">
              <w:rPr>
                <w:rStyle w:val="Lienhypertexte"/>
                <w:noProof/>
              </w:rPr>
              <w:t>44.46.3f Isolation à verser en vrac - fibres de coco CCTB 01.12</w:t>
            </w:r>
            <w:r>
              <w:rPr>
                <w:noProof/>
                <w:webHidden/>
              </w:rPr>
              <w:tab/>
            </w:r>
            <w:r>
              <w:rPr>
                <w:noProof/>
                <w:webHidden/>
              </w:rPr>
              <w:fldChar w:fldCharType="begin"/>
            </w:r>
            <w:r>
              <w:rPr>
                <w:noProof/>
                <w:webHidden/>
              </w:rPr>
              <w:instrText xml:space="preserve"> PAGEREF _Toc220490753 \h </w:instrText>
            </w:r>
            <w:r>
              <w:rPr>
                <w:noProof/>
                <w:webHidden/>
              </w:rPr>
            </w:r>
            <w:r>
              <w:rPr>
                <w:noProof/>
                <w:webHidden/>
              </w:rPr>
              <w:fldChar w:fldCharType="separate"/>
            </w:r>
            <w:r>
              <w:rPr>
                <w:noProof/>
                <w:webHidden/>
              </w:rPr>
              <w:t>643</w:t>
            </w:r>
            <w:r>
              <w:rPr>
                <w:noProof/>
                <w:webHidden/>
              </w:rPr>
              <w:fldChar w:fldCharType="end"/>
            </w:r>
          </w:hyperlink>
        </w:p>
        <w:p w14:paraId="240570B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4" w:history="1">
            <w:r w:rsidRPr="000D551A">
              <w:rPr>
                <w:rStyle w:val="Lienhypertexte"/>
                <w:noProof/>
              </w:rPr>
              <w:t>44.46.3g Isolation à verser en vrac - granulés de liège expansé CCTB 01.11</w:t>
            </w:r>
            <w:r>
              <w:rPr>
                <w:noProof/>
                <w:webHidden/>
              </w:rPr>
              <w:tab/>
            </w:r>
            <w:r>
              <w:rPr>
                <w:noProof/>
                <w:webHidden/>
              </w:rPr>
              <w:fldChar w:fldCharType="begin"/>
            </w:r>
            <w:r>
              <w:rPr>
                <w:noProof/>
                <w:webHidden/>
              </w:rPr>
              <w:instrText xml:space="preserve"> PAGEREF _Toc220490754 \h </w:instrText>
            </w:r>
            <w:r>
              <w:rPr>
                <w:noProof/>
                <w:webHidden/>
              </w:rPr>
            </w:r>
            <w:r>
              <w:rPr>
                <w:noProof/>
                <w:webHidden/>
              </w:rPr>
              <w:fldChar w:fldCharType="separate"/>
            </w:r>
            <w:r>
              <w:rPr>
                <w:noProof/>
                <w:webHidden/>
              </w:rPr>
              <w:t>645</w:t>
            </w:r>
            <w:r>
              <w:rPr>
                <w:noProof/>
                <w:webHidden/>
              </w:rPr>
              <w:fldChar w:fldCharType="end"/>
            </w:r>
          </w:hyperlink>
        </w:p>
        <w:p w14:paraId="7FC28E1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5" w:history="1">
            <w:r w:rsidRPr="000D551A">
              <w:rPr>
                <w:rStyle w:val="Lienhypertexte"/>
                <w:noProof/>
              </w:rPr>
              <w:t>44.46.3h Isolation à verser en vrac - fibres de bois CCTB 01.12</w:t>
            </w:r>
            <w:r>
              <w:rPr>
                <w:noProof/>
                <w:webHidden/>
              </w:rPr>
              <w:tab/>
            </w:r>
            <w:r>
              <w:rPr>
                <w:noProof/>
                <w:webHidden/>
              </w:rPr>
              <w:fldChar w:fldCharType="begin"/>
            </w:r>
            <w:r>
              <w:rPr>
                <w:noProof/>
                <w:webHidden/>
              </w:rPr>
              <w:instrText xml:space="preserve"> PAGEREF _Toc220490755 \h </w:instrText>
            </w:r>
            <w:r>
              <w:rPr>
                <w:noProof/>
                <w:webHidden/>
              </w:rPr>
            </w:r>
            <w:r>
              <w:rPr>
                <w:noProof/>
                <w:webHidden/>
              </w:rPr>
              <w:fldChar w:fldCharType="separate"/>
            </w:r>
            <w:r>
              <w:rPr>
                <w:noProof/>
                <w:webHidden/>
              </w:rPr>
              <w:t>647</w:t>
            </w:r>
            <w:r>
              <w:rPr>
                <w:noProof/>
                <w:webHidden/>
              </w:rPr>
              <w:fldChar w:fldCharType="end"/>
            </w:r>
          </w:hyperlink>
        </w:p>
        <w:p w14:paraId="65D3337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56" w:history="1">
            <w:r w:rsidRPr="000D551A">
              <w:rPr>
                <w:rStyle w:val="Lienhypertexte"/>
                <w:noProof/>
              </w:rPr>
              <w:t>44.46.4 Isolation à verser en vrac - matières animales CCTB 01.02</w:t>
            </w:r>
            <w:r>
              <w:rPr>
                <w:noProof/>
                <w:webHidden/>
              </w:rPr>
              <w:tab/>
            </w:r>
            <w:r>
              <w:rPr>
                <w:noProof/>
                <w:webHidden/>
              </w:rPr>
              <w:fldChar w:fldCharType="begin"/>
            </w:r>
            <w:r>
              <w:rPr>
                <w:noProof/>
                <w:webHidden/>
              </w:rPr>
              <w:instrText xml:space="preserve"> PAGEREF _Toc220490756 \h </w:instrText>
            </w:r>
            <w:r>
              <w:rPr>
                <w:noProof/>
                <w:webHidden/>
              </w:rPr>
            </w:r>
            <w:r>
              <w:rPr>
                <w:noProof/>
                <w:webHidden/>
              </w:rPr>
              <w:fldChar w:fldCharType="separate"/>
            </w:r>
            <w:r>
              <w:rPr>
                <w:noProof/>
                <w:webHidden/>
              </w:rPr>
              <w:t>649</w:t>
            </w:r>
            <w:r>
              <w:rPr>
                <w:noProof/>
                <w:webHidden/>
              </w:rPr>
              <w:fldChar w:fldCharType="end"/>
            </w:r>
          </w:hyperlink>
        </w:p>
        <w:p w14:paraId="726983B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7" w:history="1">
            <w:r w:rsidRPr="000D551A">
              <w:rPr>
                <w:rStyle w:val="Lienhypertexte"/>
                <w:noProof/>
              </w:rPr>
              <w:t>44.46.4a Isolation à verser en vrac - laine de mouton CCTB 01.12</w:t>
            </w:r>
            <w:r>
              <w:rPr>
                <w:noProof/>
                <w:webHidden/>
              </w:rPr>
              <w:tab/>
            </w:r>
            <w:r>
              <w:rPr>
                <w:noProof/>
                <w:webHidden/>
              </w:rPr>
              <w:fldChar w:fldCharType="begin"/>
            </w:r>
            <w:r>
              <w:rPr>
                <w:noProof/>
                <w:webHidden/>
              </w:rPr>
              <w:instrText xml:space="preserve"> PAGEREF _Toc220490757 \h </w:instrText>
            </w:r>
            <w:r>
              <w:rPr>
                <w:noProof/>
                <w:webHidden/>
              </w:rPr>
            </w:r>
            <w:r>
              <w:rPr>
                <w:noProof/>
                <w:webHidden/>
              </w:rPr>
              <w:fldChar w:fldCharType="separate"/>
            </w:r>
            <w:r>
              <w:rPr>
                <w:noProof/>
                <w:webHidden/>
              </w:rPr>
              <w:t>649</w:t>
            </w:r>
            <w:r>
              <w:rPr>
                <w:noProof/>
                <w:webHidden/>
              </w:rPr>
              <w:fldChar w:fldCharType="end"/>
            </w:r>
          </w:hyperlink>
        </w:p>
        <w:p w14:paraId="54EFD60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58" w:history="1">
            <w:r w:rsidRPr="000D551A">
              <w:rPr>
                <w:rStyle w:val="Lienhypertexte"/>
                <w:noProof/>
              </w:rPr>
              <w:t>44.46.4b Isolation à verser en vrac - plumes de canard CCTB 01.02</w:t>
            </w:r>
            <w:r>
              <w:rPr>
                <w:noProof/>
                <w:webHidden/>
              </w:rPr>
              <w:tab/>
            </w:r>
            <w:r>
              <w:rPr>
                <w:noProof/>
                <w:webHidden/>
              </w:rPr>
              <w:fldChar w:fldCharType="begin"/>
            </w:r>
            <w:r>
              <w:rPr>
                <w:noProof/>
                <w:webHidden/>
              </w:rPr>
              <w:instrText xml:space="preserve"> PAGEREF _Toc220490758 \h </w:instrText>
            </w:r>
            <w:r>
              <w:rPr>
                <w:noProof/>
                <w:webHidden/>
              </w:rPr>
            </w:r>
            <w:r>
              <w:rPr>
                <w:noProof/>
                <w:webHidden/>
              </w:rPr>
              <w:fldChar w:fldCharType="separate"/>
            </w:r>
            <w:r>
              <w:rPr>
                <w:noProof/>
                <w:webHidden/>
              </w:rPr>
              <w:t>650</w:t>
            </w:r>
            <w:r>
              <w:rPr>
                <w:noProof/>
                <w:webHidden/>
              </w:rPr>
              <w:fldChar w:fldCharType="end"/>
            </w:r>
          </w:hyperlink>
        </w:p>
        <w:p w14:paraId="0FF1D762"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59" w:history="1">
            <w:r w:rsidRPr="000D551A">
              <w:rPr>
                <w:rStyle w:val="Lienhypertexte"/>
                <w:noProof/>
              </w:rPr>
              <w:t>44.47 (titre réservé) CCTB 01.02</w:t>
            </w:r>
            <w:r>
              <w:rPr>
                <w:noProof/>
                <w:webHidden/>
              </w:rPr>
              <w:tab/>
            </w:r>
            <w:r>
              <w:rPr>
                <w:noProof/>
                <w:webHidden/>
              </w:rPr>
              <w:fldChar w:fldCharType="begin"/>
            </w:r>
            <w:r>
              <w:rPr>
                <w:noProof/>
                <w:webHidden/>
              </w:rPr>
              <w:instrText xml:space="preserve"> PAGEREF _Toc220490759 \h </w:instrText>
            </w:r>
            <w:r>
              <w:rPr>
                <w:noProof/>
                <w:webHidden/>
              </w:rPr>
            </w:r>
            <w:r>
              <w:rPr>
                <w:noProof/>
                <w:webHidden/>
              </w:rPr>
              <w:fldChar w:fldCharType="separate"/>
            </w:r>
            <w:r>
              <w:rPr>
                <w:noProof/>
                <w:webHidden/>
              </w:rPr>
              <w:t>650</w:t>
            </w:r>
            <w:r>
              <w:rPr>
                <w:noProof/>
                <w:webHidden/>
              </w:rPr>
              <w:fldChar w:fldCharType="end"/>
            </w:r>
          </w:hyperlink>
        </w:p>
        <w:p w14:paraId="4BE0771C"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760" w:history="1">
            <w:r w:rsidRPr="000D551A">
              <w:rPr>
                <w:rStyle w:val="Lienhypertexte"/>
                <w:noProof/>
              </w:rPr>
              <w:t>44.5 Isolations à usages spécifiques CCTB 01.04</w:t>
            </w:r>
            <w:r>
              <w:rPr>
                <w:noProof/>
                <w:webHidden/>
              </w:rPr>
              <w:tab/>
            </w:r>
            <w:r>
              <w:rPr>
                <w:noProof/>
                <w:webHidden/>
              </w:rPr>
              <w:fldChar w:fldCharType="begin"/>
            </w:r>
            <w:r>
              <w:rPr>
                <w:noProof/>
                <w:webHidden/>
              </w:rPr>
              <w:instrText xml:space="preserve"> PAGEREF _Toc220490760 \h </w:instrText>
            </w:r>
            <w:r>
              <w:rPr>
                <w:noProof/>
                <w:webHidden/>
              </w:rPr>
            </w:r>
            <w:r>
              <w:rPr>
                <w:noProof/>
                <w:webHidden/>
              </w:rPr>
              <w:fldChar w:fldCharType="separate"/>
            </w:r>
            <w:r>
              <w:rPr>
                <w:noProof/>
                <w:webHidden/>
              </w:rPr>
              <w:t>650</w:t>
            </w:r>
            <w:r>
              <w:rPr>
                <w:noProof/>
                <w:webHidden/>
              </w:rPr>
              <w:fldChar w:fldCharType="end"/>
            </w:r>
          </w:hyperlink>
        </w:p>
        <w:p w14:paraId="7D4642F6"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761" w:history="1">
            <w:r w:rsidRPr="000D551A">
              <w:rPr>
                <w:rStyle w:val="Lienhypertexte"/>
                <w:noProof/>
              </w:rPr>
              <w:t>44.6 - CCTB 01.02</w:t>
            </w:r>
            <w:r>
              <w:rPr>
                <w:noProof/>
                <w:webHidden/>
              </w:rPr>
              <w:tab/>
            </w:r>
            <w:r>
              <w:rPr>
                <w:noProof/>
                <w:webHidden/>
              </w:rPr>
              <w:fldChar w:fldCharType="begin"/>
            </w:r>
            <w:r>
              <w:rPr>
                <w:noProof/>
                <w:webHidden/>
              </w:rPr>
              <w:instrText xml:space="preserve"> PAGEREF _Toc220490761 \h </w:instrText>
            </w:r>
            <w:r>
              <w:rPr>
                <w:noProof/>
                <w:webHidden/>
              </w:rPr>
            </w:r>
            <w:r>
              <w:rPr>
                <w:noProof/>
                <w:webHidden/>
              </w:rPr>
              <w:fldChar w:fldCharType="separate"/>
            </w:r>
            <w:r>
              <w:rPr>
                <w:noProof/>
                <w:webHidden/>
              </w:rPr>
              <w:t>650</w:t>
            </w:r>
            <w:r>
              <w:rPr>
                <w:noProof/>
                <w:webHidden/>
              </w:rPr>
              <w:fldChar w:fldCharType="end"/>
            </w:r>
          </w:hyperlink>
        </w:p>
        <w:p w14:paraId="0B83D6C0"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762" w:history="1">
            <w:r w:rsidRPr="000D551A">
              <w:rPr>
                <w:rStyle w:val="Lienhypertexte"/>
                <w:noProof/>
              </w:rPr>
              <w:t>44.7 -</w:t>
            </w:r>
            <w:r>
              <w:rPr>
                <w:noProof/>
                <w:webHidden/>
              </w:rPr>
              <w:tab/>
            </w:r>
            <w:r>
              <w:rPr>
                <w:noProof/>
                <w:webHidden/>
              </w:rPr>
              <w:fldChar w:fldCharType="begin"/>
            </w:r>
            <w:r>
              <w:rPr>
                <w:noProof/>
                <w:webHidden/>
              </w:rPr>
              <w:instrText xml:space="preserve"> PAGEREF _Toc220490762 \h </w:instrText>
            </w:r>
            <w:r>
              <w:rPr>
                <w:noProof/>
                <w:webHidden/>
              </w:rPr>
            </w:r>
            <w:r>
              <w:rPr>
                <w:noProof/>
                <w:webHidden/>
              </w:rPr>
              <w:fldChar w:fldCharType="separate"/>
            </w:r>
            <w:r>
              <w:rPr>
                <w:noProof/>
                <w:webHidden/>
              </w:rPr>
              <w:t>650</w:t>
            </w:r>
            <w:r>
              <w:rPr>
                <w:noProof/>
                <w:webHidden/>
              </w:rPr>
              <w:fldChar w:fldCharType="end"/>
            </w:r>
          </w:hyperlink>
        </w:p>
        <w:p w14:paraId="5BD22F22"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763" w:history="1">
            <w:r w:rsidRPr="000D551A">
              <w:rPr>
                <w:rStyle w:val="Lienhypertexte"/>
                <w:noProof/>
              </w:rPr>
              <w:t>44.8 Etanchéisation et isolation - Rénovation CCTB 01.04</w:t>
            </w:r>
            <w:r>
              <w:rPr>
                <w:noProof/>
                <w:webHidden/>
              </w:rPr>
              <w:tab/>
            </w:r>
            <w:r>
              <w:rPr>
                <w:noProof/>
                <w:webHidden/>
              </w:rPr>
              <w:fldChar w:fldCharType="begin"/>
            </w:r>
            <w:r>
              <w:rPr>
                <w:noProof/>
                <w:webHidden/>
              </w:rPr>
              <w:instrText xml:space="preserve"> PAGEREF _Toc220490763 \h </w:instrText>
            </w:r>
            <w:r>
              <w:rPr>
                <w:noProof/>
                <w:webHidden/>
              </w:rPr>
            </w:r>
            <w:r>
              <w:rPr>
                <w:noProof/>
                <w:webHidden/>
              </w:rPr>
              <w:fldChar w:fldCharType="separate"/>
            </w:r>
            <w:r>
              <w:rPr>
                <w:noProof/>
                <w:webHidden/>
              </w:rPr>
              <w:t>650</w:t>
            </w:r>
            <w:r>
              <w:rPr>
                <w:noProof/>
                <w:webHidden/>
              </w:rPr>
              <w:fldChar w:fldCharType="end"/>
            </w:r>
          </w:hyperlink>
        </w:p>
        <w:p w14:paraId="29670BB6" w14:textId="77777777" w:rsidR="00FA36CF" w:rsidRDefault="00FA36CF">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0764" w:history="1">
            <w:r w:rsidRPr="000D551A">
              <w:rPr>
                <w:rStyle w:val="Lienhypertexte"/>
                <w:noProof/>
              </w:rPr>
              <w:t>45 Escaliers extérieurs, rampes et rails d'entretien CCTB 01.02</w:t>
            </w:r>
            <w:r>
              <w:rPr>
                <w:noProof/>
                <w:webHidden/>
              </w:rPr>
              <w:tab/>
            </w:r>
            <w:r>
              <w:rPr>
                <w:noProof/>
                <w:webHidden/>
              </w:rPr>
              <w:fldChar w:fldCharType="begin"/>
            </w:r>
            <w:r>
              <w:rPr>
                <w:noProof/>
                <w:webHidden/>
              </w:rPr>
              <w:instrText xml:space="preserve"> PAGEREF _Toc220490764 \h </w:instrText>
            </w:r>
            <w:r>
              <w:rPr>
                <w:noProof/>
                <w:webHidden/>
              </w:rPr>
            </w:r>
            <w:r>
              <w:rPr>
                <w:noProof/>
                <w:webHidden/>
              </w:rPr>
              <w:fldChar w:fldCharType="separate"/>
            </w:r>
            <w:r>
              <w:rPr>
                <w:noProof/>
                <w:webHidden/>
              </w:rPr>
              <w:t>650</w:t>
            </w:r>
            <w:r>
              <w:rPr>
                <w:noProof/>
                <w:webHidden/>
              </w:rPr>
              <w:fldChar w:fldCharType="end"/>
            </w:r>
          </w:hyperlink>
        </w:p>
        <w:p w14:paraId="71390F38"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765" w:history="1">
            <w:r w:rsidRPr="000D551A">
              <w:rPr>
                <w:rStyle w:val="Lienhypertexte"/>
                <w:noProof/>
              </w:rPr>
              <w:t>45.1 Escaliers et garde-corps complets CCTB 01.13</w:t>
            </w:r>
            <w:r>
              <w:rPr>
                <w:noProof/>
                <w:webHidden/>
              </w:rPr>
              <w:tab/>
            </w:r>
            <w:r>
              <w:rPr>
                <w:noProof/>
                <w:webHidden/>
              </w:rPr>
              <w:fldChar w:fldCharType="begin"/>
            </w:r>
            <w:r>
              <w:rPr>
                <w:noProof/>
                <w:webHidden/>
              </w:rPr>
              <w:instrText xml:space="preserve"> PAGEREF _Toc220490765 \h </w:instrText>
            </w:r>
            <w:r>
              <w:rPr>
                <w:noProof/>
                <w:webHidden/>
              </w:rPr>
            </w:r>
            <w:r>
              <w:rPr>
                <w:noProof/>
                <w:webHidden/>
              </w:rPr>
              <w:fldChar w:fldCharType="separate"/>
            </w:r>
            <w:r>
              <w:rPr>
                <w:noProof/>
                <w:webHidden/>
              </w:rPr>
              <w:t>650</w:t>
            </w:r>
            <w:r>
              <w:rPr>
                <w:noProof/>
                <w:webHidden/>
              </w:rPr>
              <w:fldChar w:fldCharType="end"/>
            </w:r>
          </w:hyperlink>
        </w:p>
        <w:p w14:paraId="3509C9D6"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66" w:history="1">
            <w:r w:rsidRPr="000D551A">
              <w:rPr>
                <w:rStyle w:val="Lienhypertexte"/>
                <w:noProof/>
              </w:rPr>
              <w:t>45.11 Escaliers sur mesure CCTB 01.02</w:t>
            </w:r>
            <w:r>
              <w:rPr>
                <w:noProof/>
                <w:webHidden/>
              </w:rPr>
              <w:tab/>
            </w:r>
            <w:r>
              <w:rPr>
                <w:noProof/>
                <w:webHidden/>
              </w:rPr>
              <w:fldChar w:fldCharType="begin"/>
            </w:r>
            <w:r>
              <w:rPr>
                <w:noProof/>
                <w:webHidden/>
              </w:rPr>
              <w:instrText xml:space="preserve"> PAGEREF _Toc220490766 \h </w:instrText>
            </w:r>
            <w:r>
              <w:rPr>
                <w:noProof/>
                <w:webHidden/>
              </w:rPr>
            </w:r>
            <w:r>
              <w:rPr>
                <w:noProof/>
                <w:webHidden/>
              </w:rPr>
              <w:fldChar w:fldCharType="separate"/>
            </w:r>
            <w:r>
              <w:rPr>
                <w:noProof/>
                <w:webHidden/>
              </w:rPr>
              <w:t>653</w:t>
            </w:r>
            <w:r>
              <w:rPr>
                <w:noProof/>
                <w:webHidden/>
              </w:rPr>
              <w:fldChar w:fldCharType="end"/>
            </w:r>
          </w:hyperlink>
        </w:p>
        <w:p w14:paraId="5390DF3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67" w:history="1">
            <w:r w:rsidRPr="000D551A">
              <w:rPr>
                <w:rStyle w:val="Lienhypertexte"/>
                <w:noProof/>
              </w:rPr>
              <w:t>45.11.1 Escaliers sur mesure en maçonnerie (pierres / briques)  CCTB 01.04</w:t>
            </w:r>
            <w:r>
              <w:rPr>
                <w:noProof/>
                <w:webHidden/>
              </w:rPr>
              <w:tab/>
            </w:r>
            <w:r>
              <w:rPr>
                <w:noProof/>
                <w:webHidden/>
              </w:rPr>
              <w:fldChar w:fldCharType="begin"/>
            </w:r>
            <w:r>
              <w:rPr>
                <w:noProof/>
                <w:webHidden/>
              </w:rPr>
              <w:instrText xml:space="preserve"> PAGEREF _Toc220490767 \h </w:instrText>
            </w:r>
            <w:r>
              <w:rPr>
                <w:noProof/>
                <w:webHidden/>
              </w:rPr>
            </w:r>
            <w:r>
              <w:rPr>
                <w:noProof/>
                <w:webHidden/>
              </w:rPr>
              <w:fldChar w:fldCharType="separate"/>
            </w:r>
            <w:r>
              <w:rPr>
                <w:noProof/>
                <w:webHidden/>
              </w:rPr>
              <w:t>653</w:t>
            </w:r>
            <w:r>
              <w:rPr>
                <w:noProof/>
                <w:webHidden/>
              </w:rPr>
              <w:fldChar w:fldCharType="end"/>
            </w:r>
          </w:hyperlink>
        </w:p>
        <w:p w14:paraId="77CF73C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68" w:history="1">
            <w:r w:rsidRPr="000D551A">
              <w:rPr>
                <w:rStyle w:val="Lienhypertexte"/>
                <w:noProof/>
              </w:rPr>
              <w:t>45.11.2 Escaliers sur mesure en béton armé CCTB 01.04</w:t>
            </w:r>
            <w:r>
              <w:rPr>
                <w:noProof/>
                <w:webHidden/>
              </w:rPr>
              <w:tab/>
            </w:r>
            <w:r>
              <w:rPr>
                <w:noProof/>
                <w:webHidden/>
              </w:rPr>
              <w:fldChar w:fldCharType="begin"/>
            </w:r>
            <w:r>
              <w:rPr>
                <w:noProof/>
                <w:webHidden/>
              </w:rPr>
              <w:instrText xml:space="preserve"> PAGEREF _Toc220490768 \h </w:instrText>
            </w:r>
            <w:r>
              <w:rPr>
                <w:noProof/>
                <w:webHidden/>
              </w:rPr>
            </w:r>
            <w:r>
              <w:rPr>
                <w:noProof/>
                <w:webHidden/>
              </w:rPr>
              <w:fldChar w:fldCharType="separate"/>
            </w:r>
            <w:r>
              <w:rPr>
                <w:noProof/>
                <w:webHidden/>
              </w:rPr>
              <w:t>653</w:t>
            </w:r>
            <w:r>
              <w:rPr>
                <w:noProof/>
                <w:webHidden/>
              </w:rPr>
              <w:fldChar w:fldCharType="end"/>
            </w:r>
          </w:hyperlink>
        </w:p>
        <w:p w14:paraId="6C9A7C3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69" w:history="1">
            <w:r w:rsidRPr="000D551A">
              <w:rPr>
                <w:rStyle w:val="Lienhypertexte"/>
                <w:noProof/>
              </w:rPr>
              <w:t>45.11.3 Escaliers sur mesure métalliques  CCTB 01.04</w:t>
            </w:r>
            <w:r>
              <w:rPr>
                <w:noProof/>
                <w:webHidden/>
              </w:rPr>
              <w:tab/>
            </w:r>
            <w:r>
              <w:rPr>
                <w:noProof/>
                <w:webHidden/>
              </w:rPr>
              <w:fldChar w:fldCharType="begin"/>
            </w:r>
            <w:r>
              <w:rPr>
                <w:noProof/>
                <w:webHidden/>
              </w:rPr>
              <w:instrText xml:space="preserve"> PAGEREF _Toc220490769 \h </w:instrText>
            </w:r>
            <w:r>
              <w:rPr>
                <w:noProof/>
                <w:webHidden/>
              </w:rPr>
            </w:r>
            <w:r>
              <w:rPr>
                <w:noProof/>
                <w:webHidden/>
              </w:rPr>
              <w:fldChar w:fldCharType="separate"/>
            </w:r>
            <w:r>
              <w:rPr>
                <w:noProof/>
                <w:webHidden/>
              </w:rPr>
              <w:t>653</w:t>
            </w:r>
            <w:r>
              <w:rPr>
                <w:noProof/>
                <w:webHidden/>
              </w:rPr>
              <w:fldChar w:fldCharType="end"/>
            </w:r>
          </w:hyperlink>
        </w:p>
        <w:p w14:paraId="7D9CA78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70" w:history="1">
            <w:r w:rsidRPr="000D551A">
              <w:rPr>
                <w:rStyle w:val="Lienhypertexte"/>
                <w:noProof/>
              </w:rPr>
              <w:t>45.11.4 Escaliers sur mesure en bois  CCTB 01.04</w:t>
            </w:r>
            <w:r>
              <w:rPr>
                <w:noProof/>
                <w:webHidden/>
              </w:rPr>
              <w:tab/>
            </w:r>
            <w:r>
              <w:rPr>
                <w:noProof/>
                <w:webHidden/>
              </w:rPr>
              <w:fldChar w:fldCharType="begin"/>
            </w:r>
            <w:r>
              <w:rPr>
                <w:noProof/>
                <w:webHidden/>
              </w:rPr>
              <w:instrText xml:space="preserve"> PAGEREF _Toc220490770 \h </w:instrText>
            </w:r>
            <w:r>
              <w:rPr>
                <w:noProof/>
                <w:webHidden/>
              </w:rPr>
            </w:r>
            <w:r>
              <w:rPr>
                <w:noProof/>
                <w:webHidden/>
              </w:rPr>
              <w:fldChar w:fldCharType="separate"/>
            </w:r>
            <w:r>
              <w:rPr>
                <w:noProof/>
                <w:webHidden/>
              </w:rPr>
              <w:t>653</w:t>
            </w:r>
            <w:r>
              <w:rPr>
                <w:noProof/>
                <w:webHidden/>
              </w:rPr>
              <w:fldChar w:fldCharType="end"/>
            </w:r>
          </w:hyperlink>
        </w:p>
        <w:p w14:paraId="7DD45DAD"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71" w:history="1">
            <w:r w:rsidRPr="000D551A">
              <w:rPr>
                <w:rStyle w:val="Lienhypertexte"/>
                <w:noProof/>
              </w:rPr>
              <w:t>45.12 Garde-corps / rampes sur mesure CCTB 01.02</w:t>
            </w:r>
            <w:r>
              <w:rPr>
                <w:noProof/>
                <w:webHidden/>
              </w:rPr>
              <w:tab/>
            </w:r>
            <w:r>
              <w:rPr>
                <w:noProof/>
                <w:webHidden/>
              </w:rPr>
              <w:fldChar w:fldCharType="begin"/>
            </w:r>
            <w:r>
              <w:rPr>
                <w:noProof/>
                <w:webHidden/>
              </w:rPr>
              <w:instrText xml:space="preserve"> PAGEREF _Toc220490771 \h </w:instrText>
            </w:r>
            <w:r>
              <w:rPr>
                <w:noProof/>
                <w:webHidden/>
              </w:rPr>
            </w:r>
            <w:r>
              <w:rPr>
                <w:noProof/>
                <w:webHidden/>
              </w:rPr>
              <w:fldChar w:fldCharType="separate"/>
            </w:r>
            <w:r>
              <w:rPr>
                <w:noProof/>
                <w:webHidden/>
              </w:rPr>
              <w:t>653</w:t>
            </w:r>
            <w:r>
              <w:rPr>
                <w:noProof/>
                <w:webHidden/>
              </w:rPr>
              <w:fldChar w:fldCharType="end"/>
            </w:r>
          </w:hyperlink>
        </w:p>
        <w:p w14:paraId="571AC27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72" w:history="1">
            <w:r w:rsidRPr="000D551A">
              <w:rPr>
                <w:rStyle w:val="Lienhypertexte"/>
                <w:noProof/>
              </w:rPr>
              <w:t>45.12.1 Garde-corps / rampes sur mesure en maçonnerie (pierres / briques)  CCTB 01.04</w:t>
            </w:r>
            <w:r>
              <w:rPr>
                <w:noProof/>
                <w:webHidden/>
              </w:rPr>
              <w:tab/>
            </w:r>
            <w:r>
              <w:rPr>
                <w:noProof/>
                <w:webHidden/>
              </w:rPr>
              <w:fldChar w:fldCharType="begin"/>
            </w:r>
            <w:r>
              <w:rPr>
                <w:noProof/>
                <w:webHidden/>
              </w:rPr>
              <w:instrText xml:space="preserve"> PAGEREF _Toc220490772 \h </w:instrText>
            </w:r>
            <w:r>
              <w:rPr>
                <w:noProof/>
                <w:webHidden/>
              </w:rPr>
            </w:r>
            <w:r>
              <w:rPr>
                <w:noProof/>
                <w:webHidden/>
              </w:rPr>
              <w:fldChar w:fldCharType="separate"/>
            </w:r>
            <w:r>
              <w:rPr>
                <w:noProof/>
                <w:webHidden/>
              </w:rPr>
              <w:t>653</w:t>
            </w:r>
            <w:r>
              <w:rPr>
                <w:noProof/>
                <w:webHidden/>
              </w:rPr>
              <w:fldChar w:fldCharType="end"/>
            </w:r>
          </w:hyperlink>
        </w:p>
        <w:p w14:paraId="38A40D0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73" w:history="1">
            <w:r w:rsidRPr="000D551A">
              <w:rPr>
                <w:rStyle w:val="Lienhypertexte"/>
                <w:noProof/>
              </w:rPr>
              <w:t>45.12.2 Garde-corps / rampes sur mesure en béton armé  CCTB 01.04</w:t>
            </w:r>
            <w:r>
              <w:rPr>
                <w:noProof/>
                <w:webHidden/>
              </w:rPr>
              <w:tab/>
            </w:r>
            <w:r>
              <w:rPr>
                <w:noProof/>
                <w:webHidden/>
              </w:rPr>
              <w:fldChar w:fldCharType="begin"/>
            </w:r>
            <w:r>
              <w:rPr>
                <w:noProof/>
                <w:webHidden/>
              </w:rPr>
              <w:instrText xml:space="preserve"> PAGEREF _Toc220490773 \h </w:instrText>
            </w:r>
            <w:r>
              <w:rPr>
                <w:noProof/>
                <w:webHidden/>
              </w:rPr>
            </w:r>
            <w:r>
              <w:rPr>
                <w:noProof/>
                <w:webHidden/>
              </w:rPr>
              <w:fldChar w:fldCharType="separate"/>
            </w:r>
            <w:r>
              <w:rPr>
                <w:noProof/>
                <w:webHidden/>
              </w:rPr>
              <w:t>653</w:t>
            </w:r>
            <w:r>
              <w:rPr>
                <w:noProof/>
                <w:webHidden/>
              </w:rPr>
              <w:fldChar w:fldCharType="end"/>
            </w:r>
          </w:hyperlink>
        </w:p>
        <w:p w14:paraId="08939FC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74" w:history="1">
            <w:r w:rsidRPr="000D551A">
              <w:rPr>
                <w:rStyle w:val="Lienhypertexte"/>
                <w:noProof/>
              </w:rPr>
              <w:t>45.12.3 Garde-corps / rampes sur mesure métalliques  CCTB 01.04</w:t>
            </w:r>
            <w:r>
              <w:rPr>
                <w:noProof/>
                <w:webHidden/>
              </w:rPr>
              <w:tab/>
            </w:r>
            <w:r>
              <w:rPr>
                <w:noProof/>
                <w:webHidden/>
              </w:rPr>
              <w:fldChar w:fldCharType="begin"/>
            </w:r>
            <w:r>
              <w:rPr>
                <w:noProof/>
                <w:webHidden/>
              </w:rPr>
              <w:instrText xml:space="preserve"> PAGEREF _Toc220490774 \h </w:instrText>
            </w:r>
            <w:r>
              <w:rPr>
                <w:noProof/>
                <w:webHidden/>
              </w:rPr>
            </w:r>
            <w:r>
              <w:rPr>
                <w:noProof/>
                <w:webHidden/>
              </w:rPr>
              <w:fldChar w:fldCharType="separate"/>
            </w:r>
            <w:r>
              <w:rPr>
                <w:noProof/>
                <w:webHidden/>
              </w:rPr>
              <w:t>653</w:t>
            </w:r>
            <w:r>
              <w:rPr>
                <w:noProof/>
                <w:webHidden/>
              </w:rPr>
              <w:fldChar w:fldCharType="end"/>
            </w:r>
          </w:hyperlink>
        </w:p>
        <w:p w14:paraId="22665D6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75" w:history="1">
            <w:r w:rsidRPr="000D551A">
              <w:rPr>
                <w:rStyle w:val="Lienhypertexte"/>
                <w:noProof/>
              </w:rPr>
              <w:t>45.12.4 Garde-corps / rampes sur mesure en bois  CCTB 01.10</w:t>
            </w:r>
            <w:r>
              <w:rPr>
                <w:noProof/>
                <w:webHidden/>
              </w:rPr>
              <w:tab/>
            </w:r>
            <w:r>
              <w:rPr>
                <w:noProof/>
                <w:webHidden/>
              </w:rPr>
              <w:fldChar w:fldCharType="begin"/>
            </w:r>
            <w:r>
              <w:rPr>
                <w:noProof/>
                <w:webHidden/>
              </w:rPr>
              <w:instrText xml:space="preserve"> PAGEREF _Toc220490775 \h </w:instrText>
            </w:r>
            <w:r>
              <w:rPr>
                <w:noProof/>
                <w:webHidden/>
              </w:rPr>
            </w:r>
            <w:r>
              <w:rPr>
                <w:noProof/>
                <w:webHidden/>
              </w:rPr>
              <w:fldChar w:fldCharType="separate"/>
            </w:r>
            <w:r>
              <w:rPr>
                <w:noProof/>
                <w:webHidden/>
              </w:rPr>
              <w:t>654</w:t>
            </w:r>
            <w:r>
              <w:rPr>
                <w:noProof/>
                <w:webHidden/>
              </w:rPr>
              <w:fldChar w:fldCharType="end"/>
            </w:r>
          </w:hyperlink>
        </w:p>
        <w:p w14:paraId="4C1A21C4"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776" w:history="1">
            <w:r w:rsidRPr="000D551A">
              <w:rPr>
                <w:rStyle w:val="Lienhypertexte"/>
                <w:noProof/>
              </w:rPr>
              <w:t>45.2 Eléments d'escalier et garde-corps CCTB 01.10</w:t>
            </w:r>
            <w:r>
              <w:rPr>
                <w:noProof/>
                <w:webHidden/>
              </w:rPr>
              <w:tab/>
            </w:r>
            <w:r>
              <w:rPr>
                <w:noProof/>
                <w:webHidden/>
              </w:rPr>
              <w:fldChar w:fldCharType="begin"/>
            </w:r>
            <w:r>
              <w:rPr>
                <w:noProof/>
                <w:webHidden/>
              </w:rPr>
              <w:instrText xml:space="preserve"> PAGEREF _Toc220490776 \h </w:instrText>
            </w:r>
            <w:r>
              <w:rPr>
                <w:noProof/>
                <w:webHidden/>
              </w:rPr>
            </w:r>
            <w:r>
              <w:rPr>
                <w:noProof/>
                <w:webHidden/>
              </w:rPr>
              <w:fldChar w:fldCharType="separate"/>
            </w:r>
            <w:r>
              <w:rPr>
                <w:noProof/>
                <w:webHidden/>
              </w:rPr>
              <w:t>654</w:t>
            </w:r>
            <w:r>
              <w:rPr>
                <w:noProof/>
                <w:webHidden/>
              </w:rPr>
              <w:fldChar w:fldCharType="end"/>
            </w:r>
          </w:hyperlink>
        </w:p>
        <w:p w14:paraId="218E44E1"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77" w:history="1">
            <w:r w:rsidRPr="000D551A">
              <w:rPr>
                <w:rStyle w:val="Lienhypertexte"/>
                <w:noProof/>
              </w:rPr>
              <w:t>45.21 Limons CCTB 01.02</w:t>
            </w:r>
            <w:r>
              <w:rPr>
                <w:noProof/>
                <w:webHidden/>
              </w:rPr>
              <w:tab/>
            </w:r>
            <w:r>
              <w:rPr>
                <w:noProof/>
                <w:webHidden/>
              </w:rPr>
              <w:fldChar w:fldCharType="begin"/>
            </w:r>
            <w:r>
              <w:rPr>
                <w:noProof/>
                <w:webHidden/>
              </w:rPr>
              <w:instrText xml:space="preserve"> PAGEREF _Toc220490777 \h </w:instrText>
            </w:r>
            <w:r>
              <w:rPr>
                <w:noProof/>
                <w:webHidden/>
              </w:rPr>
            </w:r>
            <w:r>
              <w:rPr>
                <w:noProof/>
                <w:webHidden/>
              </w:rPr>
              <w:fldChar w:fldCharType="separate"/>
            </w:r>
            <w:r>
              <w:rPr>
                <w:noProof/>
                <w:webHidden/>
              </w:rPr>
              <w:t>654</w:t>
            </w:r>
            <w:r>
              <w:rPr>
                <w:noProof/>
                <w:webHidden/>
              </w:rPr>
              <w:fldChar w:fldCharType="end"/>
            </w:r>
          </w:hyperlink>
        </w:p>
        <w:p w14:paraId="69F53C0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78" w:history="1">
            <w:r w:rsidRPr="000D551A">
              <w:rPr>
                <w:rStyle w:val="Lienhypertexte"/>
                <w:noProof/>
              </w:rPr>
              <w:t>45.21.1 Limons en béton armé CCTB 01.02</w:t>
            </w:r>
            <w:r>
              <w:rPr>
                <w:noProof/>
                <w:webHidden/>
              </w:rPr>
              <w:tab/>
            </w:r>
            <w:r>
              <w:rPr>
                <w:noProof/>
                <w:webHidden/>
              </w:rPr>
              <w:fldChar w:fldCharType="begin"/>
            </w:r>
            <w:r>
              <w:rPr>
                <w:noProof/>
                <w:webHidden/>
              </w:rPr>
              <w:instrText xml:space="preserve"> PAGEREF _Toc220490778 \h </w:instrText>
            </w:r>
            <w:r>
              <w:rPr>
                <w:noProof/>
                <w:webHidden/>
              </w:rPr>
            </w:r>
            <w:r>
              <w:rPr>
                <w:noProof/>
                <w:webHidden/>
              </w:rPr>
              <w:fldChar w:fldCharType="separate"/>
            </w:r>
            <w:r>
              <w:rPr>
                <w:noProof/>
                <w:webHidden/>
              </w:rPr>
              <w:t>654</w:t>
            </w:r>
            <w:r>
              <w:rPr>
                <w:noProof/>
                <w:webHidden/>
              </w:rPr>
              <w:fldChar w:fldCharType="end"/>
            </w:r>
          </w:hyperlink>
        </w:p>
        <w:p w14:paraId="000E00D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79" w:history="1">
            <w:r w:rsidRPr="000D551A">
              <w:rPr>
                <w:rStyle w:val="Lienhypertexte"/>
                <w:noProof/>
              </w:rPr>
              <w:t>45.21.1a Limons en béton armé coulés sur place CCTB 01.02</w:t>
            </w:r>
            <w:r>
              <w:rPr>
                <w:noProof/>
                <w:webHidden/>
              </w:rPr>
              <w:tab/>
            </w:r>
            <w:r>
              <w:rPr>
                <w:noProof/>
                <w:webHidden/>
              </w:rPr>
              <w:fldChar w:fldCharType="begin"/>
            </w:r>
            <w:r>
              <w:rPr>
                <w:noProof/>
                <w:webHidden/>
              </w:rPr>
              <w:instrText xml:space="preserve"> PAGEREF _Toc220490779 \h </w:instrText>
            </w:r>
            <w:r>
              <w:rPr>
                <w:noProof/>
                <w:webHidden/>
              </w:rPr>
            </w:r>
            <w:r>
              <w:rPr>
                <w:noProof/>
                <w:webHidden/>
              </w:rPr>
              <w:fldChar w:fldCharType="separate"/>
            </w:r>
            <w:r>
              <w:rPr>
                <w:noProof/>
                <w:webHidden/>
              </w:rPr>
              <w:t>654</w:t>
            </w:r>
            <w:r>
              <w:rPr>
                <w:noProof/>
                <w:webHidden/>
              </w:rPr>
              <w:fldChar w:fldCharType="end"/>
            </w:r>
          </w:hyperlink>
        </w:p>
        <w:p w14:paraId="3443E9F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0" w:history="1">
            <w:r w:rsidRPr="000D551A">
              <w:rPr>
                <w:rStyle w:val="Lienhypertexte"/>
                <w:noProof/>
              </w:rPr>
              <w:t>45.21.1b Limons préfabriqué en béton armé  CCTB 01.02</w:t>
            </w:r>
            <w:r>
              <w:rPr>
                <w:noProof/>
                <w:webHidden/>
              </w:rPr>
              <w:tab/>
            </w:r>
            <w:r>
              <w:rPr>
                <w:noProof/>
                <w:webHidden/>
              </w:rPr>
              <w:fldChar w:fldCharType="begin"/>
            </w:r>
            <w:r>
              <w:rPr>
                <w:noProof/>
                <w:webHidden/>
              </w:rPr>
              <w:instrText xml:space="preserve"> PAGEREF _Toc220490780 \h </w:instrText>
            </w:r>
            <w:r>
              <w:rPr>
                <w:noProof/>
                <w:webHidden/>
              </w:rPr>
            </w:r>
            <w:r>
              <w:rPr>
                <w:noProof/>
                <w:webHidden/>
              </w:rPr>
              <w:fldChar w:fldCharType="separate"/>
            </w:r>
            <w:r>
              <w:rPr>
                <w:noProof/>
                <w:webHidden/>
              </w:rPr>
              <w:t>654</w:t>
            </w:r>
            <w:r>
              <w:rPr>
                <w:noProof/>
                <w:webHidden/>
              </w:rPr>
              <w:fldChar w:fldCharType="end"/>
            </w:r>
          </w:hyperlink>
        </w:p>
        <w:p w14:paraId="2C736DB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81" w:history="1">
            <w:r w:rsidRPr="000D551A">
              <w:rPr>
                <w:rStyle w:val="Lienhypertexte"/>
                <w:noProof/>
              </w:rPr>
              <w:t>45.21.2 Limons métalliques CCTB 01.02</w:t>
            </w:r>
            <w:r>
              <w:rPr>
                <w:noProof/>
                <w:webHidden/>
              </w:rPr>
              <w:tab/>
            </w:r>
            <w:r>
              <w:rPr>
                <w:noProof/>
                <w:webHidden/>
              </w:rPr>
              <w:fldChar w:fldCharType="begin"/>
            </w:r>
            <w:r>
              <w:rPr>
                <w:noProof/>
                <w:webHidden/>
              </w:rPr>
              <w:instrText xml:space="preserve"> PAGEREF _Toc220490781 \h </w:instrText>
            </w:r>
            <w:r>
              <w:rPr>
                <w:noProof/>
                <w:webHidden/>
              </w:rPr>
            </w:r>
            <w:r>
              <w:rPr>
                <w:noProof/>
                <w:webHidden/>
              </w:rPr>
              <w:fldChar w:fldCharType="separate"/>
            </w:r>
            <w:r>
              <w:rPr>
                <w:noProof/>
                <w:webHidden/>
              </w:rPr>
              <w:t>654</w:t>
            </w:r>
            <w:r>
              <w:rPr>
                <w:noProof/>
                <w:webHidden/>
              </w:rPr>
              <w:fldChar w:fldCharType="end"/>
            </w:r>
          </w:hyperlink>
        </w:p>
        <w:p w14:paraId="6345DE4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2" w:history="1">
            <w:r w:rsidRPr="000D551A">
              <w:rPr>
                <w:rStyle w:val="Lienhypertexte"/>
                <w:noProof/>
              </w:rPr>
              <w:t>45.21.2a Limons en acier CCTB 01.02</w:t>
            </w:r>
            <w:r>
              <w:rPr>
                <w:noProof/>
                <w:webHidden/>
              </w:rPr>
              <w:tab/>
            </w:r>
            <w:r>
              <w:rPr>
                <w:noProof/>
                <w:webHidden/>
              </w:rPr>
              <w:fldChar w:fldCharType="begin"/>
            </w:r>
            <w:r>
              <w:rPr>
                <w:noProof/>
                <w:webHidden/>
              </w:rPr>
              <w:instrText xml:space="preserve"> PAGEREF _Toc220490782 \h </w:instrText>
            </w:r>
            <w:r>
              <w:rPr>
                <w:noProof/>
                <w:webHidden/>
              </w:rPr>
            </w:r>
            <w:r>
              <w:rPr>
                <w:noProof/>
                <w:webHidden/>
              </w:rPr>
              <w:fldChar w:fldCharType="separate"/>
            </w:r>
            <w:r>
              <w:rPr>
                <w:noProof/>
                <w:webHidden/>
              </w:rPr>
              <w:t>654</w:t>
            </w:r>
            <w:r>
              <w:rPr>
                <w:noProof/>
                <w:webHidden/>
              </w:rPr>
              <w:fldChar w:fldCharType="end"/>
            </w:r>
          </w:hyperlink>
        </w:p>
        <w:p w14:paraId="0A6E065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3" w:history="1">
            <w:r w:rsidRPr="000D551A">
              <w:rPr>
                <w:rStyle w:val="Lienhypertexte"/>
                <w:noProof/>
              </w:rPr>
              <w:t>45.21.2b Limons en acier inoxydable CCTB 01.02</w:t>
            </w:r>
            <w:r>
              <w:rPr>
                <w:noProof/>
                <w:webHidden/>
              </w:rPr>
              <w:tab/>
            </w:r>
            <w:r>
              <w:rPr>
                <w:noProof/>
                <w:webHidden/>
              </w:rPr>
              <w:fldChar w:fldCharType="begin"/>
            </w:r>
            <w:r>
              <w:rPr>
                <w:noProof/>
                <w:webHidden/>
              </w:rPr>
              <w:instrText xml:space="preserve"> PAGEREF _Toc220490783 \h </w:instrText>
            </w:r>
            <w:r>
              <w:rPr>
                <w:noProof/>
                <w:webHidden/>
              </w:rPr>
            </w:r>
            <w:r>
              <w:rPr>
                <w:noProof/>
                <w:webHidden/>
              </w:rPr>
              <w:fldChar w:fldCharType="separate"/>
            </w:r>
            <w:r>
              <w:rPr>
                <w:noProof/>
                <w:webHidden/>
              </w:rPr>
              <w:t>654</w:t>
            </w:r>
            <w:r>
              <w:rPr>
                <w:noProof/>
                <w:webHidden/>
              </w:rPr>
              <w:fldChar w:fldCharType="end"/>
            </w:r>
          </w:hyperlink>
        </w:p>
        <w:p w14:paraId="39F7082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4" w:history="1">
            <w:r w:rsidRPr="000D551A">
              <w:rPr>
                <w:rStyle w:val="Lienhypertexte"/>
                <w:noProof/>
              </w:rPr>
              <w:t>45.21.2c Limons en aluminium CCTB 01.02</w:t>
            </w:r>
            <w:r>
              <w:rPr>
                <w:noProof/>
                <w:webHidden/>
              </w:rPr>
              <w:tab/>
            </w:r>
            <w:r>
              <w:rPr>
                <w:noProof/>
                <w:webHidden/>
              </w:rPr>
              <w:fldChar w:fldCharType="begin"/>
            </w:r>
            <w:r>
              <w:rPr>
                <w:noProof/>
                <w:webHidden/>
              </w:rPr>
              <w:instrText xml:space="preserve"> PAGEREF _Toc220490784 \h </w:instrText>
            </w:r>
            <w:r>
              <w:rPr>
                <w:noProof/>
                <w:webHidden/>
              </w:rPr>
            </w:r>
            <w:r>
              <w:rPr>
                <w:noProof/>
                <w:webHidden/>
              </w:rPr>
              <w:fldChar w:fldCharType="separate"/>
            </w:r>
            <w:r>
              <w:rPr>
                <w:noProof/>
                <w:webHidden/>
              </w:rPr>
              <w:t>654</w:t>
            </w:r>
            <w:r>
              <w:rPr>
                <w:noProof/>
                <w:webHidden/>
              </w:rPr>
              <w:fldChar w:fldCharType="end"/>
            </w:r>
          </w:hyperlink>
        </w:p>
        <w:p w14:paraId="5501CA3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85" w:history="1">
            <w:r w:rsidRPr="000D551A">
              <w:rPr>
                <w:rStyle w:val="Lienhypertexte"/>
                <w:noProof/>
              </w:rPr>
              <w:t>45.21.3 Limons en bois CCTB 01.02</w:t>
            </w:r>
            <w:r>
              <w:rPr>
                <w:noProof/>
                <w:webHidden/>
              </w:rPr>
              <w:tab/>
            </w:r>
            <w:r>
              <w:rPr>
                <w:noProof/>
                <w:webHidden/>
              </w:rPr>
              <w:fldChar w:fldCharType="begin"/>
            </w:r>
            <w:r>
              <w:rPr>
                <w:noProof/>
                <w:webHidden/>
              </w:rPr>
              <w:instrText xml:space="preserve"> PAGEREF _Toc220490785 \h </w:instrText>
            </w:r>
            <w:r>
              <w:rPr>
                <w:noProof/>
                <w:webHidden/>
              </w:rPr>
            </w:r>
            <w:r>
              <w:rPr>
                <w:noProof/>
                <w:webHidden/>
              </w:rPr>
              <w:fldChar w:fldCharType="separate"/>
            </w:r>
            <w:r>
              <w:rPr>
                <w:noProof/>
                <w:webHidden/>
              </w:rPr>
              <w:t>654</w:t>
            </w:r>
            <w:r>
              <w:rPr>
                <w:noProof/>
                <w:webHidden/>
              </w:rPr>
              <w:fldChar w:fldCharType="end"/>
            </w:r>
          </w:hyperlink>
        </w:p>
        <w:p w14:paraId="40B7835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6" w:history="1">
            <w:r w:rsidRPr="000D551A">
              <w:rPr>
                <w:rStyle w:val="Lienhypertexte"/>
                <w:noProof/>
              </w:rPr>
              <w:t>45.21.3a Limons en bois</w:t>
            </w:r>
            <w:r>
              <w:rPr>
                <w:noProof/>
                <w:webHidden/>
              </w:rPr>
              <w:tab/>
            </w:r>
            <w:r>
              <w:rPr>
                <w:noProof/>
                <w:webHidden/>
              </w:rPr>
              <w:fldChar w:fldCharType="begin"/>
            </w:r>
            <w:r>
              <w:rPr>
                <w:noProof/>
                <w:webHidden/>
              </w:rPr>
              <w:instrText xml:space="preserve"> PAGEREF _Toc220490786 \h </w:instrText>
            </w:r>
            <w:r>
              <w:rPr>
                <w:noProof/>
                <w:webHidden/>
              </w:rPr>
            </w:r>
            <w:r>
              <w:rPr>
                <w:noProof/>
                <w:webHidden/>
              </w:rPr>
              <w:fldChar w:fldCharType="separate"/>
            </w:r>
            <w:r>
              <w:rPr>
                <w:noProof/>
                <w:webHidden/>
              </w:rPr>
              <w:t>654</w:t>
            </w:r>
            <w:r>
              <w:rPr>
                <w:noProof/>
                <w:webHidden/>
              </w:rPr>
              <w:fldChar w:fldCharType="end"/>
            </w:r>
          </w:hyperlink>
        </w:p>
        <w:p w14:paraId="5B364E89"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787" w:history="1">
            <w:r w:rsidRPr="000D551A">
              <w:rPr>
                <w:rStyle w:val="Lienhypertexte"/>
                <w:noProof/>
              </w:rPr>
              <w:t>45.22 Marches / Contremarches CCTB 01.13</w:t>
            </w:r>
            <w:r>
              <w:rPr>
                <w:noProof/>
                <w:webHidden/>
              </w:rPr>
              <w:tab/>
            </w:r>
            <w:r>
              <w:rPr>
                <w:noProof/>
                <w:webHidden/>
              </w:rPr>
              <w:fldChar w:fldCharType="begin"/>
            </w:r>
            <w:r>
              <w:rPr>
                <w:noProof/>
                <w:webHidden/>
              </w:rPr>
              <w:instrText xml:space="preserve"> PAGEREF _Toc220490787 \h </w:instrText>
            </w:r>
            <w:r>
              <w:rPr>
                <w:noProof/>
                <w:webHidden/>
              </w:rPr>
            </w:r>
            <w:r>
              <w:rPr>
                <w:noProof/>
                <w:webHidden/>
              </w:rPr>
              <w:fldChar w:fldCharType="separate"/>
            </w:r>
            <w:r>
              <w:rPr>
                <w:noProof/>
                <w:webHidden/>
              </w:rPr>
              <w:t>654</w:t>
            </w:r>
            <w:r>
              <w:rPr>
                <w:noProof/>
                <w:webHidden/>
              </w:rPr>
              <w:fldChar w:fldCharType="end"/>
            </w:r>
          </w:hyperlink>
        </w:p>
        <w:p w14:paraId="4D6FC4D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88" w:history="1">
            <w:r w:rsidRPr="000D551A">
              <w:rPr>
                <w:rStyle w:val="Lienhypertexte"/>
                <w:noProof/>
              </w:rPr>
              <w:t>45.22.1 Marches / Contremarches en pierre CCTB 01.02</w:t>
            </w:r>
            <w:r>
              <w:rPr>
                <w:noProof/>
                <w:webHidden/>
              </w:rPr>
              <w:tab/>
            </w:r>
            <w:r>
              <w:rPr>
                <w:noProof/>
                <w:webHidden/>
              </w:rPr>
              <w:fldChar w:fldCharType="begin"/>
            </w:r>
            <w:r>
              <w:rPr>
                <w:noProof/>
                <w:webHidden/>
              </w:rPr>
              <w:instrText xml:space="preserve"> PAGEREF _Toc220490788 \h </w:instrText>
            </w:r>
            <w:r>
              <w:rPr>
                <w:noProof/>
                <w:webHidden/>
              </w:rPr>
            </w:r>
            <w:r>
              <w:rPr>
                <w:noProof/>
                <w:webHidden/>
              </w:rPr>
              <w:fldChar w:fldCharType="separate"/>
            </w:r>
            <w:r>
              <w:rPr>
                <w:noProof/>
                <w:webHidden/>
              </w:rPr>
              <w:t>655</w:t>
            </w:r>
            <w:r>
              <w:rPr>
                <w:noProof/>
                <w:webHidden/>
              </w:rPr>
              <w:fldChar w:fldCharType="end"/>
            </w:r>
          </w:hyperlink>
        </w:p>
        <w:p w14:paraId="53E0767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89" w:history="1">
            <w:r w:rsidRPr="000D551A">
              <w:rPr>
                <w:rStyle w:val="Lienhypertexte"/>
                <w:noProof/>
              </w:rPr>
              <w:t>45.22.1a Marches / Contremarches en pierre</w:t>
            </w:r>
            <w:r>
              <w:rPr>
                <w:noProof/>
                <w:webHidden/>
              </w:rPr>
              <w:tab/>
            </w:r>
            <w:r>
              <w:rPr>
                <w:noProof/>
                <w:webHidden/>
              </w:rPr>
              <w:fldChar w:fldCharType="begin"/>
            </w:r>
            <w:r>
              <w:rPr>
                <w:noProof/>
                <w:webHidden/>
              </w:rPr>
              <w:instrText xml:space="preserve"> PAGEREF _Toc220490789 \h </w:instrText>
            </w:r>
            <w:r>
              <w:rPr>
                <w:noProof/>
                <w:webHidden/>
              </w:rPr>
            </w:r>
            <w:r>
              <w:rPr>
                <w:noProof/>
                <w:webHidden/>
              </w:rPr>
              <w:fldChar w:fldCharType="separate"/>
            </w:r>
            <w:r>
              <w:rPr>
                <w:noProof/>
                <w:webHidden/>
              </w:rPr>
              <w:t>655</w:t>
            </w:r>
            <w:r>
              <w:rPr>
                <w:noProof/>
                <w:webHidden/>
              </w:rPr>
              <w:fldChar w:fldCharType="end"/>
            </w:r>
          </w:hyperlink>
        </w:p>
        <w:p w14:paraId="652D190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90" w:history="1">
            <w:r w:rsidRPr="000D551A">
              <w:rPr>
                <w:rStyle w:val="Lienhypertexte"/>
                <w:noProof/>
              </w:rPr>
              <w:t>45.22.2 Marches / Contremarches en béton armé CCTB 01.02</w:t>
            </w:r>
            <w:r>
              <w:rPr>
                <w:noProof/>
                <w:webHidden/>
              </w:rPr>
              <w:tab/>
            </w:r>
            <w:r>
              <w:rPr>
                <w:noProof/>
                <w:webHidden/>
              </w:rPr>
              <w:fldChar w:fldCharType="begin"/>
            </w:r>
            <w:r>
              <w:rPr>
                <w:noProof/>
                <w:webHidden/>
              </w:rPr>
              <w:instrText xml:space="preserve"> PAGEREF _Toc220490790 \h </w:instrText>
            </w:r>
            <w:r>
              <w:rPr>
                <w:noProof/>
                <w:webHidden/>
              </w:rPr>
            </w:r>
            <w:r>
              <w:rPr>
                <w:noProof/>
                <w:webHidden/>
              </w:rPr>
              <w:fldChar w:fldCharType="separate"/>
            </w:r>
            <w:r>
              <w:rPr>
                <w:noProof/>
                <w:webHidden/>
              </w:rPr>
              <w:t>655</w:t>
            </w:r>
            <w:r>
              <w:rPr>
                <w:noProof/>
                <w:webHidden/>
              </w:rPr>
              <w:fldChar w:fldCharType="end"/>
            </w:r>
          </w:hyperlink>
        </w:p>
        <w:p w14:paraId="0E25258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1" w:history="1">
            <w:r w:rsidRPr="000D551A">
              <w:rPr>
                <w:rStyle w:val="Lienhypertexte"/>
                <w:noProof/>
              </w:rPr>
              <w:t>45.22.2a Marches / Contremarches en béton armé coulés sur place CCTB 01.02</w:t>
            </w:r>
            <w:r>
              <w:rPr>
                <w:noProof/>
                <w:webHidden/>
              </w:rPr>
              <w:tab/>
            </w:r>
            <w:r>
              <w:rPr>
                <w:noProof/>
                <w:webHidden/>
              </w:rPr>
              <w:fldChar w:fldCharType="begin"/>
            </w:r>
            <w:r>
              <w:rPr>
                <w:noProof/>
                <w:webHidden/>
              </w:rPr>
              <w:instrText xml:space="preserve"> PAGEREF _Toc220490791 \h </w:instrText>
            </w:r>
            <w:r>
              <w:rPr>
                <w:noProof/>
                <w:webHidden/>
              </w:rPr>
            </w:r>
            <w:r>
              <w:rPr>
                <w:noProof/>
                <w:webHidden/>
              </w:rPr>
              <w:fldChar w:fldCharType="separate"/>
            </w:r>
            <w:r>
              <w:rPr>
                <w:noProof/>
                <w:webHidden/>
              </w:rPr>
              <w:t>655</w:t>
            </w:r>
            <w:r>
              <w:rPr>
                <w:noProof/>
                <w:webHidden/>
              </w:rPr>
              <w:fldChar w:fldCharType="end"/>
            </w:r>
          </w:hyperlink>
        </w:p>
        <w:p w14:paraId="421DE15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2" w:history="1">
            <w:r w:rsidRPr="000D551A">
              <w:rPr>
                <w:rStyle w:val="Lienhypertexte"/>
                <w:noProof/>
              </w:rPr>
              <w:t>45.22.2b Marches / Contremarches préfabriqué en béton armé  CCTB 01.02</w:t>
            </w:r>
            <w:r>
              <w:rPr>
                <w:noProof/>
                <w:webHidden/>
              </w:rPr>
              <w:tab/>
            </w:r>
            <w:r>
              <w:rPr>
                <w:noProof/>
                <w:webHidden/>
              </w:rPr>
              <w:fldChar w:fldCharType="begin"/>
            </w:r>
            <w:r>
              <w:rPr>
                <w:noProof/>
                <w:webHidden/>
              </w:rPr>
              <w:instrText xml:space="preserve"> PAGEREF _Toc220490792 \h </w:instrText>
            </w:r>
            <w:r>
              <w:rPr>
                <w:noProof/>
                <w:webHidden/>
              </w:rPr>
            </w:r>
            <w:r>
              <w:rPr>
                <w:noProof/>
                <w:webHidden/>
              </w:rPr>
              <w:fldChar w:fldCharType="separate"/>
            </w:r>
            <w:r>
              <w:rPr>
                <w:noProof/>
                <w:webHidden/>
              </w:rPr>
              <w:t>655</w:t>
            </w:r>
            <w:r>
              <w:rPr>
                <w:noProof/>
                <w:webHidden/>
              </w:rPr>
              <w:fldChar w:fldCharType="end"/>
            </w:r>
          </w:hyperlink>
        </w:p>
        <w:p w14:paraId="0F5BC2D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93" w:history="1">
            <w:r w:rsidRPr="000D551A">
              <w:rPr>
                <w:rStyle w:val="Lienhypertexte"/>
                <w:noProof/>
              </w:rPr>
              <w:t>45.22.3 Marches / Contremarches en bois CCTB 01.02</w:t>
            </w:r>
            <w:r>
              <w:rPr>
                <w:noProof/>
                <w:webHidden/>
              </w:rPr>
              <w:tab/>
            </w:r>
            <w:r>
              <w:rPr>
                <w:noProof/>
                <w:webHidden/>
              </w:rPr>
              <w:fldChar w:fldCharType="begin"/>
            </w:r>
            <w:r>
              <w:rPr>
                <w:noProof/>
                <w:webHidden/>
              </w:rPr>
              <w:instrText xml:space="preserve"> PAGEREF _Toc220490793 \h </w:instrText>
            </w:r>
            <w:r>
              <w:rPr>
                <w:noProof/>
                <w:webHidden/>
              </w:rPr>
            </w:r>
            <w:r>
              <w:rPr>
                <w:noProof/>
                <w:webHidden/>
              </w:rPr>
              <w:fldChar w:fldCharType="separate"/>
            </w:r>
            <w:r>
              <w:rPr>
                <w:noProof/>
                <w:webHidden/>
              </w:rPr>
              <w:t>655</w:t>
            </w:r>
            <w:r>
              <w:rPr>
                <w:noProof/>
                <w:webHidden/>
              </w:rPr>
              <w:fldChar w:fldCharType="end"/>
            </w:r>
          </w:hyperlink>
        </w:p>
        <w:p w14:paraId="4E4F91D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4" w:history="1">
            <w:r w:rsidRPr="000D551A">
              <w:rPr>
                <w:rStyle w:val="Lienhypertexte"/>
                <w:noProof/>
              </w:rPr>
              <w:t>45.22.3a Marches / Contremarches en bois CCTB 01.10</w:t>
            </w:r>
            <w:r>
              <w:rPr>
                <w:noProof/>
                <w:webHidden/>
              </w:rPr>
              <w:tab/>
            </w:r>
            <w:r>
              <w:rPr>
                <w:noProof/>
                <w:webHidden/>
              </w:rPr>
              <w:fldChar w:fldCharType="begin"/>
            </w:r>
            <w:r>
              <w:rPr>
                <w:noProof/>
                <w:webHidden/>
              </w:rPr>
              <w:instrText xml:space="preserve"> PAGEREF _Toc220490794 \h </w:instrText>
            </w:r>
            <w:r>
              <w:rPr>
                <w:noProof/>
                <w:webHidden/>
              </w:rPr>
            </w:r>
            <w:r>
              <w:rPr>
                <w:noProof/>
                <w:webHidden/>
              </w:rPr>
              <w:fldChar w:fldCharType="separate"/>
            </w:r>
            <w:r>
              <w:rPr>
                <w:noProof/>
                <w:webHidden/>
              </w:rPr>
              <w:t>655</w:t>
            </w:r>
            <w:r>
              <w:rPr>
                <w:noProof/>
                <w:webHidden/>
              </w:rPr>
              <w:fldChar w:fldCharType="end"/>
            </w:r>
          </w:hyperlink>
        </w:p>
        <w:p w14:paraId="5D99F09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95" w:history="1">
            <w:r w:rsidRPr="000D551A">
              <w:rPr>
                <w:rStyle w:val="Lienhypertexte"/>
                <w:noProof/>
              </w:rPr>
              <w:t>45.22.4 Marches / Contremarches métallique CCTB 01.02</w:t>
            </w:r>
            <w:r>
              <w:rPr>
                <w:noProof/>
                <w:webHidden/>
              </w:rPr>
              <w:tab/>
            </w:r>
            <w:r>
              <w:rPr>
                <w:noProof/>
                <w:webHidden/>
              </w:rPr>
              <w:fldChar w:fldCharType="begin"/>
            </w:r>
            <w:r>
              <w:rPr>
                <w:noProof/>
                <w:webHidden/>
              </w:rPr>
              <w:instrText xml:space="preserve"> PAGEREF _Toc220490795 \h </w:instrText>
            </w:r>
            <w:r>
              <w:rPr>
                <w:noProof/>
                <w:webHidden/>
              </w:rPr>
            </w:r>
            <w:r>
              <w:rPr>
                <w:noProof/>
                <w:webHidden/>
              </w:rPr>
              <w:fldChar w:fldCharType="separate"/>
            </w:r>
            <w:r>
              <w:rPr>
                <w:noProof/>
                <w:webHidden/>
              </w:rPr>
              <w:t>655</w:t>
            </w:r>
            <w:r>
              <w:rPr>
                <w:noProof/>
                <w:webHidden/>
              </w:rPr>
              <w:fldChar w:fldCharType="end"/>
            </w:r>
          </w:hyperlink>
        </w:p>
        <w:p w14:paraId="75AFBFB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6" w:history="1">
            <w:r w:rsidRPr="000D551A">
              <w:rPr>
                <w:rStyle w:val="Lienhypertexte"/>
                <w:noProof/>
              </w:rPr>
              <w:t>45.22.4a Marches / Contremarches en acier CCTB 01.02</w:t>
            </w:r>
            <w:r>
              <w:rPr>
                <w:noProof/>
                <w:webHidden/>
              </w:rPr>
              <w:tab/>
            </w:r>
            <w:r>
              <w:rPr>
                <w:noProof/>
                <w:webHidden/>
              </w:rPr>
              <w:fldChar w:fldCharType="begin"/>
            </w:r>
            <w:r>
              <w:rPr>
                <w:noProof/>
                <w:webHidden/>
              </w:rPr>
              <w:instrText xml:space="preserve"> PAGEREF _Toc220490796 \h </w:instrText>
            </w:r>
            <w:r>
              <w:rPr>
                <w:noProof/>
                <w:webHidden/>
              </w:rPr>
            </w:r>
            <w:r>
              <w:rPr>
                <w:noProof/>
                <w:webHidden/>
              </w:rPr>
              <w:fldChar w:fldCharType="separate"/>
            </w:r>
            <w:r>
              <w:rPr>
                <w:noProof/>
                <w:webHidden/>
              </w:rPr>
              <w:t>655</w:t>
            </w:r>
            <w:r>
              <w:rPr>
                <w:noProof/>
                <w:webHidden/>
              </w:rPr>
              <w:fldChar w:fldCharType="end"/>
            </w:r>
          </w:hyperlink>
        </w:p>
        <w:p w14:paraId="725BFBF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7" w:history="1">
            <w:r w:rsidRPr="000D551A">
              <w:rPr>
                <w:rStyle w:val="Lienhypertexte"/>
                <w:noProof/>
              </w:rPr>
              <w:t>45.22.4b Marches / Contremarches en acier inoxydable CCTB 01.02</w:t>
            </w:r>
            <w:r>
              <w:rPr>
                <w:noProof/>
                <w:webHidden/>
              </w:rPr>
              <w:tab/>
            </w:r>
            <w:r>
              <w:rPr>
                <w:noProof/>
                <w:webHidden/>
              </w:rPr>
              <w:fldChar w:fldCharType="begin"/>
            </w:r>
            <w:r>
              <w:rPr>
                <w:noProof/>
                <w:webHidden/>
              </w:rPr>
              <w:instrText xml:space="preserve"> PAGEREF _Toc220490797 \h </w:instrText>
            </w:r>
            <w:r>
              <w:rPr>
                <w:noProof/>
                <w:webHidden/>
              </w:rPr>
            </w:r>
            <w:r>
              <w:rPr>
                <w:noProof/>
                <w:webHidden/>
              </w:rPr>
              <w:fldChar w:fldCharType="separate"/>
            </w:r>
            <w:r>
              <w:rPr>
                <w:noProof/>
                <w:webHidden/>
              </w:rPr>
              <w:t>655</w:t>
            </w:r>
            <w:r>
              <w:rPr>
                <w:noProof/>
                <w:webHidden/>
              </w:rPr>
              <w:fldChar w:fldCharType="end"/>
            </w:r>
          </w:hyperlink>
        </w:p>
        <w:p w14:paraId="4DDF37F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798" w:history="1">
            <w:r w:rsidRPr="000D551A">
              <w:rPr>
                <w:rStyle w:val="Lienhypertexte"/>
                <w:noProof/>
              </w:rPr>
              <w:t>45.22.4c Marches / Contremarches en aluminium CCTB 01.02</w:t>
            </w:r>
            <w:r>
              <w:rPr>
                <w:noProof/>
                <w:webHidden/>
              </w:rPr>
              <w:tab/>
            </w:r>
            <w:r>
              <w:rPr>
                <w:noProof/>
                <w:webHidden/>
              </w:rPr>
              <w:fldChar w:fldCharType="begin"/>
            </w:r>
            <w:r>
              <w:rPr>
                <w:noProof/>
                <w:webHidden/>
              </w:rPr>
              <w:instrText xml:space="preserve"> PAGEREF _Toc220490798 \h </w:instrText>
            </w:r>
            <w:r>
              <w:rPr>
                <w:noProof/>
                <w:webHidden/>
              </w:rPr>
            </w:r>
            <w:r>
              <w:rPr>
                <w:noProof/>
                <w:webHidden/>
              </w:rPr>
              <w:fldChar w:fldCharType="separate"/>
            </w:r>
            <w:r>
              <w:rPr>
                <w:noProof/>
                <w:webHidden/>
              </w:rPr>
              <w:t>655</w:t>
            </w:r>
            <w:r>
              <w:rPr>
                <w:noProof/>
                <w:webHidden/>
              </w:rPr>
              <w:fldChar w:fldCharType="end"/>
            </w:r>
          </w:hyperlink>
        </w:p>
        <w:p w14:paraId="07738A0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799" w:history="1">
            <w:r w:rsidRPr="000D551A">
              <w:rPr>
                <w:rStyle w:val="Lienhypertexte"/>
                <w:noProof/>
              </w:rPr>
              <w:t>45.22.5 Marches / Contremarches en matériaux synthétiques CCTB 01.02</w:t>
            </w:r>
            <w:r>
              <w:rPr>
                <w:noProof/>
                <w:webHidden/>
              </w:rPr>
              <w:tab/>
            </w:r>
            <w:r>
              <w:rPr>
                <w:noProof/>
                <w:webHidden/>
              </w:rPr>
              <w:fldChar w:fldCharType="begin"/>
            </w:r>
            <w:r>
              <w:rPr>
                <w:noProof/>
                <w:webHidden/>
              </w:rPr>
              <w:instrText xml:space="preserve"> PAGEREF _Toc220490799 \h </w:instrText>
            </w:r>
            <w:r>
              <w:rPr>
                <w:noProof/>
                <w:webHidden/>
              </w:rPr>
            </w:r>
            <w:r>
              <w:rPr>
                <w:noProof/>
                <w:webHidden/>
              </w:rPr>
              <w:fldChar w:fldCharType="separate"/>
            </w:r>
            <w:r>
              <w:rPr>
                <w:noProof/>
                <w:webHidden/>
              </w:rPr>
              <w:t>655</w:t>
            </w:r>
            <w:r>
              <w:rPr>
                <w:noProof/>
                <w:webHidden/>
              </w:rPr>
              <w:fldChar w:fldCharType="end"/>
            </w:r>
          </w:hyperlink>
        </w:p>
        <w:p w14:paraId="7681F87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0" w:history="1">
            <w:r w:rsidRPr="000D551A">
              <w:rPr>
                <w:rStyle w:val="Lienhypertexte"/>
                <w:noProof/>
              </w:rPr>
              <w:t>45.22.5a Marches / Contremarches en matériaux synthétiques</w:t>
            </w:r>
            <w:r>
              <w:rPr>
                <w:noProof/>
                <w:webHidden/>
              </w:rPr>
              <w:tab/>
            </w:r>
            <w:r>
              <w:rPr>
                <w:noProof/>
                <w:webHidden/>
              </w:rPr>
              <w:fldChar w:fldCharType="begin"/>
            </w:r>
            <w:r>
              <w:rPr>
                <w:noProof/>
                <w:webHidden/>
              </w:rPr>
              <w:instrText xml:space="preserve"> PAGEREF _Toc220490800 \h </w:instrText>
            </w:r>
            <w:r>
              <w:rPr>
                <w:noProof/>
                <w:webHidden/>
              </w:rPr>
            </w:r>
            <w:r>
              <w:rPr>
                <w:noProof/>
                <w:webHidden/>
              </w:rPr>
              <w:fldChar w:fldCharType="separate"/>
            </w:r>
            <w:r>
              <w:rPr>
                <w:noProof/>
                <w:webHidden/>
              </w:rPr>
              <w:t>655</w:t>
            </w:r>
            <w:r>
              <w:rPr>
                <w:noProof/>
                <w:webHidden/>
              </w:rPr>
              <w:fldChar w:fldCharType="end"/>
            </w:r>
          </w:hyperlink>
        </w:p>
        <w:p w14:paraId="7325DE9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01" w:history="1">
            <w:r w:rsidRPr="000D551A">
              <w:rPr>
                <w:rStyle w:val="Lienhypertexte"/>
                <w:noProof/>
              </w:rPr>
              <w:t>45.22.6 Marches / Contremarches en verre CCTB 01.02</w:t>
            </w:r>
            <w:r>
              <w:rPr>
                <w:noProof/>
                <w:webHidden/>
              </w:rPr>
              <w:tab/>
            </w:r>
            <w:r>
              <w:rPr>
                <w:noProof/>
                <w:webHidden/>
              </w:rPr>
              <w:fldChar w:fldCharType="begin"/>
            </w:r>
            <w:r>
              <w:rPr>
                <w:noProof/>
                <w:webHidden/>
              </w:rPr>
              <w:instrText xml:space="preserve"> PAGEREF _Toc220490801 \h </w:instrText>
            </w:r>
            <w:r>
              <w:rPr>
                <w:noProof/>
                <w:webHidden/>
              </w:rPr>
            </w:r>
            <w:r>
              <w:rPr>
                <w:noProof/>
                <w:webHidden/>
              </w:rPr>
              <w:fldChar w:fldCharType="separate"/>
            </w:r>
            <w:r>
              <w:rPr>
                <w:noProof/>
                <w:webHidden/>
              </w:rPr>
              <w:t>655</w:t>
            </w:r>
            <w:r>
              <w:rPr>
                <w:noProof/>
                <w:webHidden/>
              </w:rPr>
              <w:fldChar w:fldCharType="end"/>
            </w:r>
          </w:hyperlink>
        </w:p>
        <w:p w14:paraId="0ED966A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2" w:history="1">
            <w:r w:rsidRPr="000D551A">
              <w:rPr>
                <w:rStyle w:val="Lienhypertexte"/>
                <w:noProof/>
              </w:rPr>
              <w:t>45.22.6a Marches / Contremarches en verre</w:t>
            </w:r>
            <w:r>
              <w:rPr>
                <w:noProof/>
                <w:webHidden/>
              </w:rPr>
              <w:tab/>
            </w:r>
            <w:r>
              <w:rPr>
                <w:noProof/>
                <w:webHidden/>
              </w:rPr>
              <w:fldChar w:fldCharType="begin"/>
            </w:r>
            <w:r>
              <w:rPr>
                <w:noProof/>
                <w:webHidden/>
              </w:rPr>
              <w:instrText xml:space="preserve"> PAGEREF _Toc220490802 \h </w:instrText>
            </w:r>
            <w:r>
              <w:rPr>
                <w:noProof/>
                <w:webHidden/>
              </w:rPr>
            </w:r>
            <w:r>
              <w:rPr>
                <w:noProof/>
                <w:webHidden/>
              </w:rPr>
              <w:fldChar w:fldCharType="separate"/>
            </w:r>
            <w:r>
              <w:rPr>
                <w:noProof/>
                <w:webHidden/>
              </w:rPr>
              <w:t>655</w:t>
            </w:r>
            <w:r>
              <w:rPr>
                <w:noProof/>
                <w:webHidden/>
              </w:rPr>
              <w:fldChar w:fldCharType="end"/>
            </w:r>
          </w:hyperlink>
        </w:p>
        <w:p w14:paraId="4544E59F"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03" w:history="1">
            <w:r w:rsidRPr="000D551A">
              <w:rPr>
                <w:rStyle w:val="Lienhypertexte"/>
                <w:noProof/>
              </w:rPr>
              <w:t>45.23 Paliers CCTB 01.12</w:t>
            </w:r>
            <w:r>
              <w:rPr>
                <w:noProof/>
                <w:webHidden/>
              </w:rPr>
              <w:tab/>
            </w:r>
            <w:r>
              <w:rPr>
                <w:noProof/>
                <w:webHidden/>
              </w:rPr>
              <w:fldChar w:fldCharType="begin"/>
            </w:r>
            <w:r>
              <w:rPr>
                <w:noProof/>
                <w:webHidden/>
              </w:rPr>
              <w:instrText xml:space="preserve"> PAGEREF _Toc220490803 \h </w:instrText>
            </w:r>
            <w:r>
              <w:rPr>
                <w:noProof/>
                <w:webHidden/>
              </w:rPr>
            </w:r>
            <w:r>
              <w:rPr>
                <w:noProof/>
                <w:webHidden/>
              </w:rPr>
              <w:fldChar w:fldCharType="separate"/>
            </w:r>
            <w:r>
              <w:rPr>
                <w:noProof/>
                <w:webHidden/>
              </w:rPr>
              <w:t>655</w:t>
            </w:r>
            <w:r>
              <w:rPr>
                <w:noProof/>
                <w:webHidden/>
              </w:rPr>
              <w:fldChar w:fldCharType="end"/>
            </w:r>
          </w:hyperlink>
        </w:p>
        <w:p w14:paraId="7F29D86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04" w:history="1">
            <w:r w:rsidRPr="000D551A">
              <w:rPr>
                <w:rStyle w:val="Lienhypertexte"/>
                <w:noProof/>
              </w:rPr>
              <w:t>45.23.1 Paliers en pierre CCTB 01.02</w:t>
            </w:r>
            <w:r>
              <w:rPr>
                <w:noProof/>
                <w:webHidden/>
              </w:rPr>
              <w:tab/>
            </w:r>
            <w:r>
              <w:rPr>
                <w:noProof/>
                <w:webHidden/>
              </w:rPr>
              <w:fldChar w:fldCharType="begin"/>
            </w:r>
            <w:r>
              <w:rPr>
                <w:noProof/>
                <w:webHidden/>
              </w:rPr>
              <w:instrText xml:space="preserve"> PAGEREF _Toc220490804 \h </w:instrText>
            </w:r>
            <w:r>
              <w:rPr>
                <w:noProof/>
                <w:webHidden/>
              </w:rPr>
            </w:r>
            <w:r>
              <w:rPr>
                <w:noProof/>
                <w:webHidden/>
              </w:rPr>
              <w:fldChar w:fldCharType="separate"/>
            </w:r>
            <w:r>
              <w:rPr>
                <w:noProof/>
                <w:webHidden/>
              </w:rPr>
              <w:t>656</w:t>
            </w:r>
            <w:r>
              <w:rPr>
                <w:noProof/>
                <w:webHidden/>
              </w:rPr>
              <w:fldChar w:fldCharType="end"/>
            </w:r>
          </w:hyperlink>
        </w:p>
        <w:p w14:paraId="035EF65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5" w:history="1">
            <w:r w:rsidRPr="000D551A">
              <w:rPr>
                <w:rStyle w:val="Lienhypertexte"/>
                <w:noProof/>
              </w:rPr>
              <w:t>45.23.1a Paliers en pierre</w:t>
            </w:r>
            <w:r>
              <w:rPr>
                <w:noProof/>
                <w:webHidden/>
              </w:rPr>
              <w:tab/>
            </w:r>
            <w:r>
              <w:rPr>
                <w:noProof/>
                <w:webHidden/>
              </w:rPr>
              <w:fldChar w:fldCharType="begin"/>
            </w:r>
            <w:r>
              <w:rPr>
                <w:noProof/>
                <w:webHidden/>
              </w:rPr>
              <w:instrText xml:space="preserve"> PAGEREF _Toc220490805 \h </w:instrText>
            </w:r>
            <w:r>
              <w:rPr>
                <w:noProof/>
                <w:webHidden/>
              </w:rPr>
            </w:r>
            <w:r>
              <w:rPr>
                <w:noProof/>
                <w:webHidden/>
              </w:rPr>
              <w:fldChar w:fldCharType="separate"/>
            </w:r>
            <w:r>
              <w:rPr>
                <w:noProof/>
                <w:webHidden/>
              </w:rPr>
              <w:t>656</w:t>
            </w:r>
            <w:r>
              <w:rPr>
                <w:noProof/>
                <w:webHidden/>
              </w:rPr>
              <w:fldChar w:fldCharType="end"/>
            </w:r>
          </w:hyperlink>
        </w:p>
        <w:p w14:paraId="6D1DB0E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06" w:history="1">
            <w:r w:rsidRPr="000D551A">
              <w:rPr>
                <w:rStyle w:val="Lienhypertexte"/>
                <w:noProof/>
              </w:rPr>
              <w:t>45.23.2 Paliers en béton armé CCTB 01.02</w:t>
            </w:r>
            <w:r>
              <w:rPr>
                <w:noProof/>
                <w:webHidden/>
              </w:rPr>
              <w:tab/>
            </w:r>
            <w:r>
              <w:rPr>
                <w:noProof/>
                <w:webHidden/>
              </w:rPr>
              <w:fldChar w:fldCharType="begin"/>
            </w:r>
            <w:r>
              <w:rPr>
                <w:noProof/>
                <w:webHidden/>
              </w:rPr>
              <w:instrText xml:space="preserve"> PAGEREF _Toc220490806 \h </w:instrText>
            </w:r>
            <w:r>
              <w:rPr>
                <w:noProof/>
                <w:webHidden/>
              </w:rPr>
            </w:r>
            <w:r>
              <w:rPr>
                <w:noProof/>
                <w:webHidden/>
              </w:rPr>
              <w:fldChar w:fldCharType="separate"/>
            </w:r>
            <w:r>
              <w:rPr>
                <w:noProof/>
                <w:webHidden/>
              </w:rPr>
              <w:t>656</w:t>
            </w:r>
            <w:r>
              <w:rPr>
                <w:noProof/>
                <w:webHidden/>
              </w:rPr>
              <w:fldChar w:fldCharType="end"/>
            </w:r>
          </w:hyperlink>
        </w:p>
        <w:p w14:paraId="2719C3A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7" w:history="1">
            <w:r w:rsidRPr="000D551A">
              <w:rPr>
                <w:rStyle w:val="Lienhypertexte"/>
                <w:noProof/>
              </w:rPr>
              <w:t>45.23.2a Paliers en béton armé coulés sur place CCTB 01.02</w:t>
            </w:r>
            <w:r>
              <w:rPr>
                <w:noProof/>
                <w:webHidden/>
              </w:rPr>
              <w:tab/>
            </w:r>
            <w:r>
              <w:rPr>
                <w:noProof/>
                <w:webHidden/>
              </w:rPr>
              <w:fldChar w:fldCharType="begin"/>
            </w:r>
            <w:r>
              <w:rPr>
                <w:noProof/>
                <w:webHidden/>
              </w:rPr>
              <w:instrText xml:space="preserve"> PAGEREF _Toc220490807 \h </w:instrText>
            </w:r>
            <w:r>
              <w:rPr>
                <w:noProof/>
                <w:webHidden/>
              </w:rPr>
            </w:r>
            <w:r>
              <w:rPr>
                <w:noProof/>
                <w:webHidden/>
              </w:rPr>
              <w:fldChar w:fldCharType="separate"/>
            </w:r>
            <w:r>
              <w:rPr>
                <w:noProof/>
                <w:webHidden/>
              </w:rPr>
              <w:t>656</w:t>
            </w:r>
            <w:r>
              <w:rPr>
                <w:noProof/>
                <w:webHidden/>
              </w:rPr>
              <w:fldChar w:fldCharType="end"/>
            </w:r>
          </w:hyperlink>
        </w:p>
        <w:p w14:paraId="227396D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08" w:history="1">
            <w:r w:rsidRPr="000D551A">
              <w:rPr>
                <w:rStyle w:val="Lienhypertexte"/>
                <w:noProof/>
              </w:rPr>
              <w:t>45.23.2b Paliers préfabriqués en béton armé  CCTB 01.02</w:t>
            </w:r>
            <w:r>
              <w:rPr>
                <w:noProof/>
                <w:webHidden/>
              </w:rPr>
              <w:tab/>
            </w:r>
            <w:r>
              <w:rPr>
                <w:noProof/>
                <w:webHidden/>
              </w:rPr>
              <w:fldChar w:fldCharType="begin"/>
            </w:r>
            <w:r>
              <w:rPr>
                <w:noProof/>
                <w:webHidden/>
              </w:rPr>
              <w:instrText xml:space="preserve"> PAGEREF _Toc220490808 \h </w:instrText>
            </w:r>
            <w:r>
              <w:rPr>
                <w:noProof/>
                <w:webHidden/>
              </w:rPr>
            </w:r>
            <w:r>
              <w:rPr>
                <w:noProof/>
                <w:webHidden/>
              </w:rPr>
              <w:fldChar w:fldCharType="separate"/>
            </w:r>
            <w:r>
              <w:rPr>
                <w:noProof/>
                <w:webHidden/>
              </w:rPr>
              <w:t>656</w:t>
            </w:r>
            <w:r>
              <w:rPr>
                <w:noProof/>
                <w:webHidden/>
              </w:rPr>
              <w:fldChar w:fldCharType="end"/>
            </w:r>
          </w:hyperlink>
        </w:p>
        <w:p w14:paraId="476E804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09" w:history="1">
            <w:r w:rsidRPr="000D551A">
              <w:rPr>
                <w:rStyle w:val="Lienhypertexte"/>
                <w:noProof/>
              </w:rPr>
              <w:t>45.23.3 Paliers en bois CCTB 01.02</w:t>
            </w:r>
            <w:r>
              <w:rPr>
                <w:noProof/>
                <w:webHidden/>
              </w:rPr>
              <w:tab/>
            </w:r>
            <w:r>
              <w:rPr>
                <w:noProof/>
                <w:webHidden/>
              </w:rPr>
              <w:fldChar w:fldCharType="begin"/>
            </w:r>
            <w:r>
              <w:rPr>
                <w:noProof/>
                <w:webHidden/>
              </w:rPr>
              <w:instrText xml:space="preserve"> PAGEREF _Toc220490809 \h </w:instrText>
            </w:r>
            <w:r>
              <w:rPr>
                <w:noProof/>
                <w:webHidden/>
              </w:rPr>
            </w:r>
            <w:r>
              <w:rPr>
                <w:noProof/>
                <w:webHidden/>
              </w:rPr>
              <w:fldChar w:fldCharType="separate"/>
            </w:r>
            <w:r>
              <w:rPr>
                <w:noProof/>
                <w:webHidden/>
              </w:rPr>
              <w:t>656</w:t>
            </w:r>
            <w:r>
              <w:rPr>
                <w:noProof/>
                <w:webHidden/>
              </w:rPr>
              <w:fldChar w:fldCharType="end"/>
            </w:r>
          </w:hyperlink>
        </w:p>
        <w:p w14:paraId="753C439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0" w:history="1">
            <w:r w:rsidRPr="000D551A">
              <w:rPr>
                <w:rStyle w:val="Lienhypertexte"/>
                <w:noProof/>
              </w:rPr>
              <w:t>45.23.3a Paliers en bois</w:t>
            </w:r>
            <w:r>
              <w:rPr>
                <w:noProof/>
                <w:webHidden/>
              </w:rPr>
              <w:tab/>
            </w:r>
            <w:r>
              <w:rPr>
                <w:noProof/>
                <w:webHidden/>
              </w:rPr>
              <w:fldChar w:fldCharType="begin"/>
            </w:r>
            <w:r>
              <w:rPr>
                <w:noProof/>
                <w:webHidden/>
              </w:rPr>
              <w:instrText xml:space="preserve"> PAGEREF _Toc220490810 \h </w:instrText>
            </w:r>
            <w:r>
              <w:rPr>
                <w:noProof/>
                <w:webHidden/>
              </w:rPr>
            </w:r>
            <w:r>
              <w:rPr>
                <w:noProof/>
                <w:webHidden/>
              </w:rPr>
              <w:fldChar w:fldCharType="separate"/>
            </w:r>
            <w:r>
              <w:rPr>
                <w:noProof/>
                <w:webHidden/>
              </w:rPr>
              <w:t>656</w:t>
            </w:r>
            <w:r>
              <w:rPr>
                <w:noProof/>
                <w:webHidden/>
              </w:rPr>
              <w:fldChar w:fldCharType="end"/>
            </w:r>
          </w:hyperlink>
        </w:p>
        <w:p w14:paraId="23FAC8B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11" w:history="1">
            <w:r w:rsidRPr="000D551A">
              <w:rPr>
                <w:rStyle w:val="Lienhypertexte"/>
                <w:noProof/>
              </w:rPr>
              <w:t>45.23.4 Paliers métalliques CCTB 01.02</w:t>
            </w:r>
            <w:r>
              <w:rPr>
                <w:noProof/>
                <w:webHidden/>
              </w:rPr>
              <w:tab/>
            </w:r>
            <w:r>
              <w:rPr>
                <w:noProof/>
                <w:webHidden/>
              </w:rPr>
              <w:fldChar w:fldCharType="begin"/>
            </w:r>
            <w:r>
              <w:rPr>
                <w:noProof/>
                <w:webHidden/>
              </w:rPr>
              <w:instrText xml:space="preserve"> PAGEREF _Toc220490811 \h </w:instrText>
            </w:r>
            <w:r>
              <w:rPr>
                <w:noProof/>
                <w:webHidden/>
              </w:rPr>
            </w:r>
            <w:r>
              <w:rPr>
                <w:noProof/>
                <w:webHidden/>
              </w:rPr>
              <w:fldChar w:fldCharType="separate"/>
            </w:r>
            <w:r>
              <w:rPr>
                <w:noProof/>
                <w:webHidden/>
              </w:rPr>
              <w:t>656</w:t>
            </w:r>
            <w:r>
              <w:rPr>
                <w:noProof/>
                <w:webHidden/>
              </w:rPr>
              <w:fldChar w:fldCharType="end"/>
            </w:r>
          </w:hyperlink>
        </w:p>
        <w:p w14:paraId="66F3A0F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2" w:history="1">
            <w:r w:rsidRPr="000D551A">
              <w:rPr>
                <w:rStyle w:val="Lienhypertexte"/>
                <w:noProof/>
              </w:rPr>
              <w:t>45.23.4a Paliers en acier CCTB 01.02</w:t>
            </w:r>
            <w:r>
              <w:rPr>
                <w:noProof/>
                <w:webHidden/>
              </w:rPr>
              <w:tab/>
            </w:r>
            <w:r>
              <w:rPr>
                <w:noProof/>
                <w:webHidden/>
              </w:rPr>
              <w:fldChar w:fldCharType="begin"/>
            </w:r>
            <w:r>
              <w:rPr>
                <w:noProof/>
                <w:webHidden/>
              </w:rPr>
              <w:instrText xml:space="preserve"> PAGEREF _Toc220490812 \h </w:instrText>
            </w:r>
            <w:r>
              <w:rPr>
                <w:noProof/>
                <w:webHidden/>
              </w:rPr>
            </w:r>
            <w:r>
              <w:rPr>
                <w:noProof/>
                <w:webHidden/>
              </w:rPr>
              <w:fldChar w:fldCharType="separate"/>
            </w:r>
            <w:r>
              <w:rPr>
                <w:noProof/>
                <w:webHidden/>
              </w:rPr>
              <w:t>656</w:t>
            </w:r>
            <w:r>
              <w:rPr>
                <w:noProof/>
                <w:webHidden/>
              </w:rPr>
              <w:fldChar w:fldCharType="end"/>
            </w:r>
          </w:hyperlink>
        </w:p>
        <w:p w14:paraId="2B725D2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3" w:history="1">
            <w:r w:rsidRPr="000D551A">
              <w:rPr>
                <w:rStyle w:val="Lienhypertexte"/>
                <w:noProof/>
              </w:rPr>
              <w:t>45.23.4b Paliers en acier inoxydable CCTB 01.02</w:t>
            </w:r>
            <w:r>
              <w:rPr>
                <w:noProof/>
                <w:webHidden/>
              </w:rPr>
              <w:tab/>
            </w:r>
            <w:r>
              <w:rPr>
                <w:noProof/>
                <w:webHidden/>
              </w:rPr>
              <w:fldChar w:fldCharType="begin"/>
            </w:r>
            <w:r>
              <w:rPr>
                <w:noProof/>
                <w:webHidden/>
              </w:rPr>
              <w:instrText xml:space="preserve"> PAGEREF _Toc220490813 \h </w:instrText>
            </w:r>
            <w:r>
              <w:rPr>
                <w:noProof/>
                <w:webHidden/>
              </w:rPr>
            </w:r>
            <w:r>
              <w:rPr>
                <w:noProof/>
                <w:webHidden/>
              </w:rPr>
              <w:fldChar w:fldCharType="separate"/>
            </w:r>
            <w:r>
              <w:rPr>
                <w:noProof/>
                <w:webHidden/>
              </w:rPr>
              <w:t>656</w:t>
            </w:r>
            <w:r>
              <w:rPr>
                <w:noProof/>
                <w:webHidden/>
              </w:rPr>
              <w:fldChar w:fldCharType="end"/>
            </w:r>
          </w:hyperlink>
        </w:p>
        <w:p w14:paraId="5D6C509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4" w:history="1">
            <w:r w:rsidRPr="000D551A">
              <w:rPr>
                <w:rStyle w:val="Lienhypertexte"/>
                <w:noProof/>
              </w:rPr>
              <w:t>45.23.4c Paliers en aluminium CCTB 01.02</w:t>
            </w:r>
            <w:r>
              <w:rPr>
                <w:noProof/>
                <w:webHidden/>
              </w:rPr>
              <w:tab/>
            </w:r>
            <w:r>
              <w:rPr>
                <w:noProof/>
                <w:webHidden/>
              </w:rPr>
              <w:fldChar w:fldCharType="begin"/>
            </w:r>
            <w:r>
              <w:rPr>
                <w:noProof/>
                <w:webHidden/>
              </w:rPr>
              <w:instrText xml:space="preserve"> PAGEREF _Toc220490814 \h </w:instrText>
            </w:r>
            <w:r>
              <w:rPr>
                <w:noProof/>
                <w:webHidden/>
              </w:rPr>
            </w:r>
            <w:r>
              <w:rPr>
                <w:noProof/>
                <w:webHidden/>
              </w:rPr>
              <w:fldChar w:fldCharType="separate"/>
            </w:r>
            <w:r>
              <w:rPr>
                <w:noProof/>
                <w:webHidden/>
              </w:rPr>
              <w:t>656</w:t>
            </w:r>
            <w:r>
              <w:rPr>
                <w:noProof/>
                <w:webHidden/>
              </w:rPr>
              <w:fldChar w:fldCharType="end"/>
            </w:r>
          </w:hyperlink>
        </w:p>
        <w:p w14:paraId="1F5CD69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15" w:history="1">
            <w:r w:rsidRPr="000D551A">
              <w:rPr>
                <w:rStyle w:val="Lienhypertexte"/>
                <w:noProof/>
              </w:rPr>
              <w:t>45.23.5 Paliers en matériaux synthétiques CCTB 01.02</w:t>
            </w:r>
            <w:r>
              <w:rPr>
                <w:noProof/>
                <w:webHidden/>
              </w:rPr>
              <w:tab/>
            </w:r>
            <w:r>
              <w:rPr>
                <w:noProof/>
                <w:webHidden/>
              </w:rPr>
              <w:fldChar w:fldCharType="begin"/>
            </w:r>
            <w:r>
              <w:rPr>
                <w:noProof/>
                <w:webHidden/>
              </w:rPr>
              <w:instrText xml:space="preserve"> PAGEREF _Toc220490815 \h </w:instrText>
            </w:r>
            <w:r>
              <w:rPr>
                <w:noProof/>
                <w:webHidden/>
              </w:rPr>
            </w:r>
            <w:r>
              <w:rPr>
                <w:noProof/>
                <w:webHidden/>
              </w:rPr>
              <w:fldChar w:fldCharType="separate"/>
            </w:r>
            <w:r>
              <w:rPr>
                <w:noProof/>
                <w:webHidden/>
              </w:rPr>
              <w:t>656</w:t>
            </w:r>
            <w:r>
              <w:rPr>
                <w:noProof/>
                <w:webHidden/>
              </w:rPr>
              <w:fldChar w:fldCharType="end"/>
            </w:r>
          </w:hyperlink>
        </w:p>
        <w:p w14:paraId="47A17D5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6" w:history="1">
            <w:r w:rsidRPr="000D551A">
              <w:rPr>
                <w:rStyle w:val="Lienhypertexte"/>
                <w:noProof/>
              </w:rPr>
              <w:t>45.23.5a Paliers en matériaux synthétiques</w:t>
            </w:r>
            <w:r>
              <w:rPr>
                <w:noProof/>
                <w:webHidden/>
              </w:rPr>
              <w:tab/>
            </w:r>
            <w:r>
              <w:rPr>
                <w:noProof/>
                <w:webHidden/>
              </w:rPr>
              <w:fldChar w:fldCharType="begin"/>
            </w:r>
            <w:r>
              <w:rPr>
                <w:noProof/>
                <w:webHidden/>
              </w:rPr>
              <w:instrText xml:space="preserve"> PAGEREF _Toc220490816 \h </w:instrText>
            </w:r>
            <w:r>
              <w:rPr>
                <w:noProof/>
                <w:webHidden/>
              </w:rPr>
            </w:r>
            <w:r>
              <w:rPr>
                <w:noProof/>
                <w:webHidden/>
              </w:rPr>
              <w:fldChar w:fldCharType="separate"/>
            </w:r>
            <w:r>
              <w:rPr>
                <w:noProof/>
                <w:webHidden/>
              </w:rPr>
              <w:t>656</w:t>
            </w:r>
            <w:r>
              <w:rPr>
                <w:noProof/>
                <w:webHidden/>
              </w:rPr>
              <w:fldChar w:fldCharType="end"/>
            </w:r>
          </w:hyperlink>
        </w:p>
        <w:p w14:paraId="1951DFE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17" w:history="1">
            <w:r w:rsidRPr="000D551A">
              <w:rPr>
                <w:rStyle w:val="Lienhypertexte"/>
                <w:noProof/>
              </w:rPr>
              <w:t>45.23.6 Paliers en verre CCTB 01.02</w:t>
            </w:r>
            <w:r>
              <w:rPr>
                <w:noProof/>
                <w:webHidden/>
              </w:rPr>
              <w:tab/>
            </w:r>
            <w:r>
              <w:rPr>
                <w:noProof/>
                <w:webHidden/>
              </w:rPr>
              <w:fldChar w:fldCharType="begin"/>
            </w:r>
            <w:r>
              <w:rPr>
                <w:noProof/>
                <w:webHidden/>
              </w:rPr>
              <w:instrText xml:space="preserve"> PAGEREF _Toc220490817 \h </w:instrText>
            </w:r>
            <w:r>
              <w:rPr>
                <w:noProof/>
                <w:webHidden/>
              </w:rPr>
            </w:r>
            <w:r>
              <w:rPr>
                <w:noProof/>
                <w:webHidden/>
              </w:rPr>
              <w:fldChar w:fldCharType="separate"/>
            </w:r>
            <w:r>
              <w:rPr>
                <w:noProof/>
                <w:webHidden/>
              </w:rPr>
              <w:t>656</w:t>
            </w:r>
            <w:r>
              <w:rPr>
                <w:noProof/>
                <w:webHidden/>
              </w:rPr>
              <w:fldChar w:fldCharType="end"/>
            </w:r>
          </w:hyperlink>
        </w:p>
        <w:p w14:paraId="75065E7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18" w:history="1">
            <w:r w:rsidRPr="000D551A">
              <w:rPr>
                <w:rStyle w:val="Lienhypertexte"/>
                <w:noProof/>
              </w:rPr>
              <w:t>45.23.6a Paliers en verre</w:t>
            </w:r>
            <w:r>
              <w:rPr>
                <w:noProof/>
                <w:webHidden/>
              </w:rPr>
              <w:tab/>
            </w:r>
            <w:r>
              <w:rPr>
                <w:noProof/>
                <w:webHidden/>
              </w:rPr>
              <w:fldChar w:fldCharType="begin"/>
            </w:r>
            <w:r>
              <w:rPr>
                <w:noProof/>
                <w:webHidden/>
              </w:rPr>
              <w:instrText xml:space="preserve"> PAGEREF _Toc220490818 \h </w:instrText>
            </w:r>
            <w:r>
              <w:rPr>
                <w:noProof/>
                <w:webHidden/>
              </w:rPr>
            </w:r>
            <w:r>
              <w:rPr>
                <w:noProof/>
                <w:webHidden/>
              </w:rPr>
              <w:fldChar w:fldCharType="separate"/>
            </w:r>
            <w:r>
              <w:rPr>
                <w:noProof/>
                <w:webHidden/>
              </w:rPr>
              <w:t>656</w:t>
            </w:r>
            <w:r>
              <w:rPr>
                <w:noProof/>
                <w:webHidden/>
              </w:rPr>
              <w:fldChar w:fldCharType="end"/>
            </w:r>
          </w:hyperlink>
        </w:p>
        <w:p w14:paraId="106360D0"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19" w:history="1">
            <w:r w:rsidRPr="000D551A">
              <w:rPr>
                <w:rStyle w:val="Lienhypertexte"/>
                <w:noProof/>
              </w:rPr>
              <w:t>45.24 Balustres et poteaux CCTB 01.02</w:t>
            </w:r>
            <w:r>
              <w:rPr>
                <w:noProof/>
                <w:webHidden/>
              </w:rPr>
              <w:tab/>
            </w:r>
            <w:r>
              <w:rPr>
                <w:noProof/>
                <w:webHidden/>
              </w:rPr>
              <w:fldChar w:fldCharType="begin"/>
            </w:r>
            <w:r>
              <w:rPr>
                <w:noProof/>
                <w:webHidden/>
              </w:rPr>
              <w:instrText xml:space="preserve"> PAGEREF _Toc220490819 \h </w:instrText>
            </w:r>
            <w:r>
              <w:rPr>
                <w:noProof/>
                <w:webHidden/>
              </w:rPr>
            </w:r>
            <w:r>
              <w:rPr>
                <w:noProof/>
                <w:webHidden/>
              </w:rPr>
              <w:fldChar w:fldCharType="separate"/>
            </w:r>
            <w:r>
              <w:rPr>
                <w:noProof/>
                <w:webHidden/>
              </w:rPr>
              <w:t>656</w:t>
            </w:r>
            <w:r>
              <w:rPr>
                <w:noProof/>
                <w:webHidden/>
              </w:rPr>
              <w:fldChar w:fldCharType="end"/>
            </w:r>
          </w:hyperlink>
        </w:p>
        <w:p w14:paraId="4F85D40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20" w:history="1">
            <w:r w:rsidRPr="000D551A">
              <w:rPr>
                <w:rStyle w:val="Lienhypertexte"/>
                <w:noProof/>
              </w:rPr>
              <w:t>45.24.1 Balustres et poteaux en pierre CCTB 01.02</w:t>
            </w:r>
            <w:r>
              <w:rPr>
                <w:noProof/>
                <w:webHidden/>
              </w:rPr>
              <w:tab/>
            </w:r>
            <w:r>
              <w:rPr>
                <w:noProof/>
                <w:webHidden/>
              </w:rPr>
              <w:fldChar w:fldCharType="begin"/>
            </w:r>
            <w:r>
              <w:rPr>
                <w:noProof/>
                <w:webHidden/>
              </w:rPr>
              <w:instrText xml:space="preserve"> PAGEREF _Toc220490820 \h </w:instrText>
            </w:r>
            <w:r>
              <w:rPr>
                <w:noProof/>
                <w:webHidden/>
              </w:rPr>
            </w:r>
            <w:r>
              <w:rPr>
                <w:noProof/>
                <w:webHidden/>
              </w:rPr>
              <w:fldChar w:fldCharType="separate"/>
            </w:r>
            <w:r>
              <w:rPr>
                <w:noProof/>
                <w:webHidden/>
              </w:rPr>
              <w:t>656</w:t>
            </w:r>
            <w:r>
              <w:rPr>
                <w:noProof/>
                <w:webHidden/>
              </w:rPr>
              <w:fldChar w:fldCharType="end"/>
            </w:r>
          </w:hyperlink>
        </w:p>
        <w:p w14:paraId="5C23901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1" w:history="1">
            <w:r w:rsidRPr="000D551A">
              <w:rPr>
                <w:rStyle w:val="Lienhypertexte"/>
                <w:noProof/>
              </w:rPr>
              <w:t>45.24.1a Balustres et poteaux en pierre</w:t>
            </w:r>
            <w:r>
              <w:rPr>
                <w:noProof/>
                <w:webHidden/>
              </w:rPr>
              <w:tab/>
            </w:r>
            <w:r>
              <w:rPr>
                <w:noProof/>
                <w:webHidden/>
              </w:rPr>
              <w:fldChar w:fldCharType="begin"/>
            </w:r>
            <w:r>
              <w:rPr>
                <w:noProof/>
                <w:webHidden/>
              </w:rPr>
              <w:instrText xml:space="preserve"> PAGEREF _Toc220490821 \h </w:instrText>
            </w:r>
            <w:r>
              <w:rPr>
                <w:noProof/>
                <w:webHidden/>
              </w:rPr>
            </w:r>
            <w:r>
              <w:rPr>
                <w:noProof/>
                <w:webHidden/>
              </w:rPr>
              <w:fldChar w:fldCharType="separate"/>
            </w:r>
            <w:r>
              <w:rPr>
                <w:noProof/>
                <w:webHidden/>
              </w:rPr>
              <w:t>656</w:t>
            </w:r>
            <w:r>
              <w:rPr>
                <w:noProof/>
                <w:webHidden/>
              </w:rPr>
              <w:fldChar w:fldCharType="end"/>
            </w:r>
          </w:hyperlink>
        </w:p>
        <w:p w14:paraId="5B5BBF1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22" w:history="1">
            <w:r w:rsidRPr="000D551A">
              <w:rPr>
                <w:rStyle w:val="Lienhypertexte"/>
                <w:noProof/>
              </w:rPr>
              <w:t>45.24.2 Balustres et poteaux en béton armé CCTB 01.02</w:t>
            </w:r>
            <w:r>
              <w:rPr>
                <w:noProof/>
                <w:webHidden/>
              </w:rPr>
              <w:tab/>
            </w:r>
            <w:r>
              <w:rPr>
                <w:noProof/>
                <w:webHidden/>
              </w:rPr>
              <w:fldChar w:fldCharType="begin"/>
            </w:r>
            <w:r>
              <w:rPr>
                <w:noProof/>
                <w:webHidden/>
              </w:rPr>
              <w:instrText xml:space="preserve"> PAGEREF _Toc220490822 \h </w:instrText>
            </w:r>
            <w:r>
              <w:rPr>
                <w:noProof/>
                <w:webHidden/>
              </w:rPr>
            </w:r>
            <w:r>
              <w:rPr>
                <w:noProof/>
                <w:webHidden/>
              </w:rPr>
              <w:fldChar w:fldCharType="separate"/>
            </w:r>
            <w:r>
              <w:rPr>
                <w:noProof/>
                <w:webHidden/>
              </w:rPr>
              <w:t>656</w:t>
            </w:r>
            <w:r>
              <w:rPr>
                <w:noProof/>
                <w:webHidden/>
              </w:rPr>
              <w:fldChar w:fldCharType="end"/>
            </w:r>
          </w:hyperlink>
        </w:p>
        <w:p w14:paraId="69BF7F9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3" w:history="1">
            <w:r w:rsidRPr="000D551A">
              <w:rPr>
                <w:rStyle w:val="Lienhypertexte"/>
                <w:noProof/>
              </w:rPr>
              <w:t>45.24.2a Balustres et poteaux en béton armé</w:t>
            </w:r>
            <w:r>
              <w:rPr>
                <w:noProof/>
                <w:webHidden/>
              </w:rPr>
              <w:tab/>
            </w:r>
            <w:r>
              <w:rPr>
                <w:noProof/>
                <w:webHidden/>
              </w:rPr>
              <w:fldChar w:fldCharType="begin"/>
            </w:r>
            <w:r>
              <w:rPr>
                <w:noProof/>
                <w:webHidden/>
              </w:rPr>
              <w:instrText xml:space="preserve"> PAGEREF _Toc220490823 \h </w:instrText>
            </w:r>
            <w:r>
              <w:rPr>
                <w:noProof/>
                <w:webHidden/>
              </w:rPr>
            </w:r>
            <w:r>
              <w:rPr>
                <w:noProof/>
                <w:webHidden/>
              </w:rPr>
              <w:fldChar w:fldCharType="separate"/>
            </w:r>
            <w:r>
              <w:rPr>
                <w:noProof/>
                <w:webHidden/>
              </w:rPr>
              <w:t>656</w:t>
            </w:r>
            <w:r>
              <w:rPr>
                <w:noProof/>
                <w:webHidden/>
              </w:rPr>
              <w:fldChar w:fldCharType="end"/>
            </w:r>
          </w:hyperlink>
        </w:p>
        <w:p w14:paraId="728DDB2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24" w:history="1">
            <w:r w:rsidRPr="000D551A">
              <w:rPr>
                <w:rStyle w:val="Lienhypertexte"/>
                <w:noProof/>
              </w:rPr>
              <w:t>45.24.3 Balustres et poteaux en bois CCTB 01.02</w:t>
            </w:r>
            <w:r>
              <w:rPr>
                <w:noProof/>
                <w:webHidden/>
              </w:rPr>
              <w:tab/>
            </w:r>
            <w:r>
              <w:rPr>
                <w:noProof/>
                <w:webHidden/>
              </w:rPr>
              <w:fldChar w:fldCharType="begin"/>
            </w:r>
            <w:r>
              <w:rPr>
                <w:noProof/>
                <w:webHidden/>
              </w:rPr>
              <w:instrText xml:space="preserve"> PAGEREF _Toc220490824 \h </w:instrText>
            </w:r>
            <w:r>
              <w:rPr>
                <w:noProof/>
                <w:webHidden/>
              </w:rPr>
            </w:r>
            <w:r>
              <w:rPr>
                <w:noProof/>
                <w:webHidden/>
              </w:rPr>
              <w:fldChar w:fldCharType="separate"/>
            </w:r>
            <w:r>
              <w:rPr>
                <w:noProof/>
                <w:webHidden/>
              </w:rPr>
              <w:t>656</w:t>
            </w:r>
            <w:r>
              <w:rPr>
                <w:noProof/>
                <w:webHidden/>
              </w:rPr>
              <w:fldChar w:fldCharType="end"/>
            </w:r>
          </w:hyperlink>
        </w:p>
        <w:p w14:paraId="471E571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5" w:history="1">
            <w:r w:rsidRPr="000D551A">
              <w:rPr>
                <w:rStyle w:val="Lienhypertexte"/>
                <w:noProof/>
              </w:rPr>
              <w:t>45.24.3a Balustres et poteaux en bois CCTB 01.02</w:t>
            </w:r>
            <w:r>
              <w:rPr>
                <w:noProof/>
                <w:webHidden/>
              </w:rPr>
              <w:tab/>
            </w:r>
            <w:r>
              <w:rPr>
                <w:noProof/>
                <w:webHidden/>
              </w:rPr>
              <w:fldChar w:fldCharType="begin"/>
            </w:r>
            <w:r>
              <w:rPr>
                <w:noProof/>
                <w:webHidden/>
              </w:rPr>
              <w:instrText xml:space="preserve"> PAGEREF _Toc220490825 \h </w:instrText>
            </w:r>
            <w:r>
              <w:rPr>
                <w:noProof/>
                <w:webHidden/>
              </w:rPr>
            </w:r>
            <w:r>
              <w:rPr>
                <w:noProof/>
                <w:webHidden/>
              </w:rPr>
              <w:fldChar w:fldCharType="separate"/>
            </w:r>
            <w:r>
              <w:rPr>
                <w:noProof/>
                <w:webHidden/>
              </w:rPr>
              <w:t>656</w:t>
            </w:r>
            <w:r>
              <w:rPr>
                <w:noProof/>
                <w:webHidden/>
              </w:rPr>
              <w:fldChar w:fldCharType="end"/>
            </w:r>
          </w:hyperlink>
        </w:p>
        <w:p w14:paraId="71FEFB9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26" w:history="1">
            <w:r w:rsidRPr="000D551A">
              <w:rPr>
                <w:rStyle w:val="Lienhypertexte"/>
                <w:noProof/>
              </w:rPr>
              <w:t>45.24.4 Balustres et poteaux métalliques CCTB 01.02</w:t>
            </w:r>
            <w:r>
              <w:rPr>
                <w:noProof/>
                <w:webHidden/>
              </w:rPr>
              <w:tab/>
            </w:r>
            <w:r>
              <w:rPr>
                <w:noProof/>
                <w:webHidden/>
              </w:rPr>
              <w:fldChar w:fldCharType="begin"/>
            </w:r>
            <w:r>
              <w:rPr>
                <w:noProof/>
                <w:webHidden/>
              </w:rPr>
              <w:instrText xml:space="preserve"> PAGEREF _Toc220490826 \h </w:instrText>
            </w:r>
            <w:r>
              <w:rPr>
                <w:noProof/>
                <w:webHidden/>
              </w:rPr>
            </w:r>
            <w:r>
              <w:rPr>
                <w:noProof/>
                <w:webHidden/>
              </w:rPr>
              <w:fldChar w:fldCharType="separate"/>
            </w:r>
            <w:r>
              <w:rPr>
                <w:noProof/>
                <w:webHidden/>
              </w:rPr>
              <w:t>656</w:t>
            </w:r>
            <w:r>
              <w:rPr>
                <w:noProof/>
                <w:webHidden/>
              </w:rPr>
              <w:fldChar w:fldCharType="end"/>
            </w:r>
          </w:hyperlink>
        </w:p>
        <w:p w14:paraId="5E07D16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7" w:history="1">
            <w:r w:rsidRPr="000D551A">
              <w:rPr>
                <w:rStyle w:val="Lienhypertexte"/>
                <w:noProof/>
              </w:rPr>
              <w:t>45.24.4a Balustres et poteaux en acier CCTB 01.02</w:t>
            </w:r>
            <w:r>
              <w:rPr>
                <w:noProof/>
                <w:webHidden/>
              </w:rPr>
              <w:tab/>
            </w:r>
            <w:r>
              <w:rPr>
                <w:noProof/>
                <w:webHidden/>
              </w:rPr>
              <w:fldChar w:fldCharType="begin"/>
            </w:r>
            <w:r>
              <w:rPr>
                <w:noProof/>
                <w:webHidden/>
              </w:rPr>
              <w:instrText xml:space="preserve"> PAGEREF _Toc220490827 \h </w:instrText>
            </w:r>
            <w:r>
              <w:rPr>
                <w:noProof/>
                <w:webHidden/>
              </w:rPr>
            </w:r>
            <w:r>
              <w:rPr>
                <w:noProof/>
                <w:webHidden/>
              </w:rPr>
              <w:fldChar w:fldCharType="separate"/>
            </w:r>
            <w:r>
              <w:rPr>
                <w:noProof/>
                <w:webHidden/>
              </w:rPr>
              <w:t>657</w:t>
            </w:r>
            <w:r>
              <w:rPr>
                <w:noProof/>
                <w:webHidden/>
              </w:rPr>
              <w:fldChar w:fldCharType="end"/>
            </w:r>
          </w:hyperlink>
        </w:p>
        <w:p w14:paraId="6CFA850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8" w:history="1">
            <w:r w:rsidRPr="000D551A">
              <w:rPr>
                <w:rStyle w:val="Lienhypertexte"/>
                <w:noProof/>
              </w:rPr>
              <w:t>45.24.4b Balustres et poteaux en acier inoxydable CCTB 01.02</w:t>
            </w:r>
            <w:r>
              <w:rPr>
                <w:noProof/>
                <w:webHidden/>
              </w:rPr>
              <w:tab/>
            </w:r>
            <w:r>
              <w:rPr>
                <w:noProof/>
                <w:webHidden/>
              </w:rPr>
              <w:fldChar w:fldCharType="begin"/>
            </w:r>
            <w:r>
              <w:rPr>
                <w:noProof/>
                <w:webHidden/>
              </w:rPr>
              <w:instrText xml:space="preserve"> PAGEREF _Toc220490828 \h </w:instrText>
            </w:r>
            <w:r>
              <w:rPr>
                <w:noProof/>
                <w:webHidden/>
              </w:rPr>
            </w:r>
            <w:r>
              <w:rPr>
                <w:noProof/>
                <w:webHidden/>
              </w:rPr>
              <w:fldChar w:fldCharType="separate"/>
            </w:r>
            <w:r>
              <w:rPr>
                <w:noProof/>
                <w:webHidden/>
              </w:rPr>
              <w:t>657</w:t>
            </w:r>
            <w:r>
              <w:rPr>
                <w:noProof/>
                <w:webHidden/>
              </w:rPr>
              <w:fldChar w:fldCharType="end"/>
            </w:r>
          </w:hyperlink>
        </w:p>
        <w:p w14:paraId="61CE91D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29" w:history="1">
            <w:r w:rsidRPr="000D551A">
              <w:rPr>
                <w:rStyle w:val="Lienhypertexte"/>
                <w:noProof/>
              </w:rPr>
              <w:t>45.24.4c Balustres et poteaux en aluminium CCTB 01.02</w:t>
            </w:r>
            <w:r>
              <w:rPr>
                <w:noProof/>
                <w:webHidden/>
              </w:rPr>
              <w:tab/>
            </w:r>
            <w:r>
              <w:rPr>
                <w:noProof/>
                <w:webHidden/>
              </w:rPr>
              <w:fldChar w:fldCharType="begin"/>
            </w:r>
            <w:r>
              <w:rPr>
                <w:noProof/>
                <w:webHidden/>
              </w:rPr>
              <w:instrText xml:space="preserve"> PAGEREF _Toc220490829 \h </w:instrText>
            </w:r>
            <w:r>
              <w:rPr>
                <w:noProof/>
                <w:webHidden/>
              </w:rPr>
            </w:r>
            <w:r>
              <w:rPr>
                <w:noProof/>
                <w:webHidden/>
              </w:rPr>
              <w:fldChar w:fldCharType="separate"/>
            </w:r>
            <w:r>
              <w:rPr>
                <w:noProof/>
                <w:webHidden/>
              </w:rPr>
              <w:t>657</w:t>
            </w:r>
            <w:r>
              <w:rPr>
                <w:noProof/>
                <w:webHidden/>
              </w:rPr>
              <w:fldChar w:fldCharType="end"/>
            </w:r>
          </w:hyperlink>
        </w:p>
        <w:p w14:paraId="4CBD005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30" w:history="1">
            <w:r w:rsidRPr="000D551A">
              <w:rPr>
                <w:rStyle w:val="Lienhypertexte"/>
                <w:noProof/>
              </w:rPr>
              <w:t>45.24.5 Balustres et poteaux en matériaux synthétiques CCTB 01.02</w:t>
            </w:r>
            <w:r>
              <w:rPr>
                <w:noProof/>
                <w:webHidden/>
              </w:rPr>
              <w:tab/>
            </w:r>
            <w:r>
              <w:rPr>
                <w:noProof/>
                <w:webHidden/>
              </w:rPr>
              <w:fldChar w:fldCharType="begin"/>
            </w:r>
            <w:r>
              <w:rPr>
                <w:noProof/>
                <w:webHidden/>
              </w:rPr>
              <w:instrText xml:space="preserve"> PAGEREF _Toc220490830 \h </w:instrText>
            </w:r>
            <w:r>
              <w:rPr>
                <w:noProof/>
                <w:webHidden/>
              </w:rPr>
            </w:r>
            <w:r>
              <w:rPr>
                <w:noProof/>
                <w:webHidden/>
              </w:rPr>
              <w:fldChar w:fldCharType="separate"/>
            </w:r>
            <w:r>
              <w:rPr>
                <w:noProof/>
                <w:webHidden/>
              </w:rPr>
              <w:t>657</w:t>
            </w:r>
            <w:r>
              <w:rPr>
                <w:noProof/>
                <w:webHidden/>
              </w:rPr>
              <w:fldChar w:fldCharType="end"/>
            </w:r>
          </w:hyperlink>
        </w:p>
        <w:p w14:paraId="09C2649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1" w:history="1">
            <w:r w:rsidRPr="000D551A">
              <w:rPr>
                <w:rStyle w:val="Lienhypertexte"/>
                <w:noProof/>
              </w:rPr>
              <w:t>45.24.5a Balustres et poteaux en matériaux synthétiques</w:t>
            </w:r>
            <w:r>
              <w:rPr>
                <w:noProof/>
                <w:webHidden/>
              </w:rPr>
              <w:tab/>
            </w:r>
            <w:r>
              <w:rPr>
                <w:noProof/>
                <w:webHidden/>
              </w:rPr>
              <w:fldChar w:fldCharType="begin"/>
            </w:r>
            <w:r>
              <w:rPr>
                <w:noProof/>
                <w:webHidden/>
              </w:rPr>
              <w:instrText xml:space="preserve"> PAGEREF _Toc220490831 \h </w:instrText>
            </w:r>
            <w:r>
              <w:rPr>
                <w:noProof/>
                <w:webHidden/>
              </w:rPr>
            </w:r>
            <w:r>
              <w:rPr>
                <w:noProof/>
                <w:webHidden/>
              </w:rPr>
              <w:fldChar w:fldCharType="separate"/>
            </w:r>
            <w:r>
              <w:rPr>
                <w:noProof/>
                <w:webHidden/>
              </w:rPr>
              <w:t>657</w:t>
            </w:r>
            <w:r>
              <w:rPr>
                <w:noProof/>
                <w:webHidden/>
              </w:rPr>
              <w:fldChar w:fldCharType="end"/>
            </w:r>
          </w:hyperlink>
        </w:p>
        <w:p w14:paraId="0199D90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32" w:history="1">
            <w:r w:rsidRPr="000D551A">
              <w:rPr>
                <w:rStyle w:val="Lienhypertexte"/>
                <w:noProof/>
              </w:rPr>
              <w:t>45.24.6 Balustres et poteaux en verre CCTB 01.02</w:t>
            </w:r>
            <w:r>
              <w:rPr>
                <w:noProof/>
                <w:webHidden/>
              </w:rPr>
              <w:tab/>
            </w:r>
            <w:r>
              <w:rPr>
                <w:noProof/>
                <w:webHidden/>
              </w:rPr>
              <w:fldChar w:fldCharType="begin"/>
            </w:r>
            <w:r>
              <w:rPr>
                <w:noProof/>
                <w:webHidden/>
              </w:rPr>
              <w:instrText xml:space="preserve"> PAGEREF _Toc220490832 \h </w:instrText>
            </w:r>
            <w:r>
              <w:rPr>
                <w:noProof/>
                <w:webHidden/>
              </w:rPr>
            </w:r>
            <w:r>
              <w:rPr>
                <w:noProof/>
                <w:webHidden/>
              </w:rPr>
              <w:fldChar w:fldCharType="separate"/>
            </w:r>
            <w:r>
              <w:rPr>
                <w:noProof/>
                <w:webHidden/>
              </w:rPr>
              <w:t>657</w:t>
            </w:r>
            <w:r>
              <w:rPr>
                <w:noProof/>
                <w:webHidden/>
              </w:rPr>
              <w:fldChar w:fldCharType="end"/>
            </w:r>
          </w:hyperlink>
        </w:p>
        <w:p w14:paraId="0628027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3" w:history="1">
            <w:r w:rsidRPr="000D551A">
              <w:rPr>
                <w:rStyle w:val="Lienhypertexte"/>
                <w:noProof/>
              </w:rPr>
              <w:t>45.24.6a Balustres et poteaux en verre</w:t>
            </w:r>
            <w:r>
              <w:rPr>
                <w:noProof/>
                <w:webHidden/>
              </w:rPr>
              <w:tab/>
            </w:r>
            <w:r>
              <w:rPr>
                <w:noProof/>
                <w:webHidden/>
              </w:rPr>
              <w:fldChar w:fldCharType="begin"/>
            </w:r>
            <w:r>
              <w:rPr>
                <w:noProof/>
                <w:webHidden/>
              </w:rPr>
              <w:instrText xml:space="preserve"> PAGEREF _Toc220490833 \h </w:instrText>
            </w:r>
            <w:r>
              <w:rPr>
                <w:noProof/>
                <w:webHidden/>
              </w:rPr>
            </w:r>
            <w:r>
              <w:rPr>
                <w:noProof/>
                <w:webHidden/>
              </w:rPr>
              <w:fldChar w:fldCharType="separate"/>
            </w:r>
            <w:r>
              <w:rPr>
                <w:noProof/>
                <w:webHidden/>
              </w:rPr>
              <w:t>657</w:t>
            </w:r>
            <w:r>
              <w:rPr>
                <w:noProof/>
                <w:webHidden/>
              </w:rPr>
              <w:fldChar w:fldCharType="end"/>
            </w:r>
          </w:hyperlink>
        </w:p>
        <w:p w14:paraId="47F4558B"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34" w:history="1">
            <w:r w:rsidRPr="000D551A">
              <w:rPr>
                <w:rStyle w:val="Lienhypertexte"/>
                <w:noProof/>
              </w:rPr>
              <w:t>45.25 Remplissages CCTB 01.02</w:t>
            </w:r>
            <w:r>
              <w:rPr>
                <w:noProof/>
                <w:webHidden/>
              </w:rPr>
              <w:tab/>
            </w:r>
            <w:r>
              <w:rPr>
                <w:noProof/>
                <w:webHidden/>
              </w:rPr>
              <w:fldChar w:fldCharType="begin"/>
            </w:r>
            <w:r>
              <w:rPr>
                <w:noProof/>
                <w:webHidden/>
              </w:rPr>
              <w:instrText xml:space="preserve"> PAGEREF _Toc220490834 \h </w:instrText>
            </w:r>
            <w:r>
              <w:rPr>
                <w:noProof/>
                <w:webHidden/>
              </w:rPr>
            </w:r>
            <w:r>
              <w:rPr>
                <w:noProof/>
                <w:webHidden/>
              </w:rPr>
              <w:fldChar w:fldCharType="separate"/>
            </w:r>
            <w:r>
              <w:rPr>
                <w:noProof/>
                <w:webHidden/>
              </w:rPr>
              <w:t>657</w:t>
            </w:r>
            <w:r>
              <w:rPr>
                <w:noProof/>
                <w:webHidden/>
              </w:rPr>
              <w:fldChar w:fldCharType="end"/>
            </w:r>
          </w:hyperlink>
        </w:p>
        <w:p w14:paraId="03829C8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35" w:history="1">
            <w:r w:rsidRPr="000D551A">
              <w:rPr>
                <w:rStyle w:val="Lienhypertexte"/>
                <w:noProof/>
              </w:rPr>
              <w:t>45.25.1 Remplissages en pierre CCTB 01.02</w:t>
            </w:r>
            <w:r>
              <w:rPr>
                <w:noProof/>
                <w:webHidden/>
              </w:rPr>
              <w:tab/>
            </w:r>
            <w:r>
              <w:rPr>
                <w:noProof/>
                <w:webHidden/>
              </w:rPr>
              <w:fldChar w:fldCharType="begin"/>
            </w:r>
            <w:r>
              <w:rPr>
                <w:noProof/>
                <w:webHidden/>
              </w:rPr>
              <w:instrText xml:space="preserve"> PAGEREF _Toc220490835 \h </w:instrText>
            </w:r>
            <w:r>
              <w:rPr>
                <w:noProof/>
                <w:webHidden/>
              </w:rPr>
            </w:r>
            <w:r>
              <w:rPr>
                <w:noProof/>
                <w:webHidden/>
              </w:rPr>
              <w:fldChar w:fldCharType="separate"/>
            </w:r>
            <w:r>
              <w:rPr>
                <w:noProof/>
                <w:webHidden/>
              </w:rPr>
              <w:t>657</w:t>
            </w:r>
            <w:r>
              <w:rPr>
                <w:noProof/>
                <w:webHidden/>
              </w:rPr>
              <w:fldChar w:fldCharType="end"/>
            </w:r>
          </w:hyperlink>
        </w:p>
        <w:p w14:paraId="44BCD31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6" w:history="1">
            <w:r w:rsidRPr="000D551A">
              <w:rPr>
                <w:rStyle w:val="Lienhypertexte"/>
                <w:noProof/>
              </w:rPr>
              <w:t>45.25.1a Remplissages en pierre pour escaliers extérieurs</w:t>
            </w:r>
            <w:r>
              <w:rPr>
                <w:noProof/>
                <w:webHidden/>
              </w:rPr>
              <w:tab/>
            </w:r>
            <w:r>
              <w:rPr>
                <w:noProof/>
                <w:webHidden/>
              </w:rPr>
              <w:fldChar w:fldCharType="begin"/>
            </w:r>
            <w:r>
              <w:rPr>
                <w:noProof/>
                <w:webHidden/>
              </w:rPr>
              <w:instrText xml:space="preserve"> PAGEREF _Toc220490836 \h </w:instrText>
            </w:r>
            <w:r>
              <w:rPr>
                <w:noProof/>
                <w:webHidden/>
              </w:rPr>
            </w:r>
            <w:r>
              <w:rPr>
                <w:noProof/>
                <w:webHidden/>
              </w:rPr>
              <w:fldChar w:fldCharType="separate"/>
            </w:r>
            <w:r>
              <w:rPr>
                <w:noProof/>
                <w:webHidden/>
              </w:rPr>
              <w:t>657</w:t>
            </w:r>
            <w:r>
              <w:rPr>
                <w:noProof/>
                <w:webHidden/>
              </w:rPr>
              <w:fldChar w:fldCharType="end"/>
            </w:r>
          </w:hyperlink>
        </w:p>
        <w:p w14:paraId="1AFC167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37" w:history="1">
            <w:r w:rsidRPr="000D551A">
              <w:rPr>
                <w:rStyle w:val="Lienhypertexte"/>
                <w:noProof/>
              </w:rPr>
              <w:t>45.25.2 Remplissages en béton armé CCTB 01.02</w:t>
            </w:r>
            <w:r>
              <w:rPr>
                <w:noProof/>
                <w:webHidden/>
              </w:rPr>
              <w:tab/>
            </w:r>
            <w:r>
              <w:rPr>
                <w:noProof/>
                <w:webHidden/>
              </w:rPr>
              <w:fldChar w:fldCharType="begin"/>
            </w:r>
            <w:r>
              <w:rPr>
                <w:noProof/>
                <w:webHidden/>
              </w:rPr>
              <w:instrText xml:space="preserve"> PAGEREF _Toc220490837 \h </w:instrText>
            </w:r>
            <w:r>
              <w:rPr>
                <w:noProof/>
                <w:webHidden/>
              </w:rPr>
            </w:r>
            <w:r>
              <w:rPr>
                <w:noProof/>
                <w:webHidden/>
              </w:rPr>
              <w:fldChar w:fldCharType="separate"/>
            </w:r>
            <w:r>
              <w:rPr>
                <w:noProof/>
                <w:webHidden/>
              </w:rPr>
              <w:t>657</w:t>
            </w:r>
            <w:r>
              <w:rPr>
                <w:noProof/>
                <w:webHidden/>
              </w:rPr>
              <w:fldChar w:fldCharType="end"/>
            </w:r>
          </w:hyperlink>
        </w:p>
        <w:p w14:paraId="53F5C02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38" w:history="1">
            <w:r w:rsidRPr="000D551A">
              <w:rPr>
                <w:rStyle w:val="Lienhypertexte"/>
                <w:noProof/>
              </w:rPr>
              <w:t>45.25.2a Remplissages en béton armé pour escaliers extérieurs</w:t>
            </w:r>
            <w:r>
              <w:rPr>
                <w:noProof/>
                <w:webHidden/>
              </w:rPr>
              <w:tab/>
            </w:r>
            <w:r>
              <w:rPr>
                <w:noProof/>
                <w:webHidden/>
              </w:rPr>
              <w:fldChar w:fldCharType="begin"/>
            </w:r>
            <w:r>
              <w:rPr>
                <w:noProof/>
                <w:webHidden/>
              </w:rPr>
              <w:instrText xml:space="preserve"> PAGEREF _Toc220490838 \h </w:instrText>
            </w:r>
            <w:r>
              <w:rPr>
                <w:noProof/>
                <w:webHidden/>
              </w:rPr>
            </w:r>
            <w:r>
              <w:rPr>
                <w:noProof/>
                <w:webHidden/>
              </w:rPr>
              <w:fldChar w:fldCharType="separate"/>
            </w:r>
            <w:r>
              <w:rPr>
                <w:noProof/>
                <w:webHidden/>
              </w:rPr>
              <w:t>657</w:t>
            </w:r>
            <w:r>
              <w:rPr>
                <w:noProof/>
                <w:webHidden/>
              </w:rPr>
              <w:fldChar w:fldCharType="end"/>
            </w:r>
          </w:hyperlink>
        </w:p>
        <w:p w14:paraId="15D9362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39" w:history="1">
            <w:r w:rsidRPr="000D551A">
              <w:rPr>
                <w:rStyle w:val="Lienhypertexte"/>
                <w:noProof/>
              </w:rPr>
              <w:t>45.25.3 Remplissages en bois CCTB 01.02</w:t>
            </w:r>
            <w:r>
              <w:rPr>
                <w:noProof/>
                <w:webHidden/>
              </w:rPr>
              <w:tab/>
            </w:r>
            <w:r>
              <w:rPr>
                <w:noProof/>
                <w:webHidden/>
              </w:rPr>
              <w:fldChar w:fldCharType="begin"/>
            </w:r>
            <w:r>
              <w:rPr>
                <w:noProof/>
                <w:webHidden/>
              </w:rPr>
              <w:instrText xml:space="preserve"> PAGEREF _Toc220490839 \h </w:instrText>
            </w:r>
            <w:r>
              <w:rPr>
                <w:noProof/>
                <w:webHidden/>
              </w:rPr>
            </w:r>
            <w:r>
              <w:rPr>
                <w:noProof/>
                <w:webHidden/>
              </w:rPr>
              <w:fldChar w:fldCharType="separate"/>
            </w:r>
            <w:r>
              <w:rPr>
                <w:noProof/>
                <w:webHidden/>
              </w:rPr>
              <w:t>657</w:t>
            </w:r>
            <w:r>
              <w:rPr>
                <w:noProof/>
                <w:webHidden/>
              </w:rPr>
              <w:fldChar w:fldCharType="end"/>
            </w:r>
          </w:hyperlink>
        </w:p>
        <w:p w14:paraId="48FECFB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0" w:history="1">
            <w:r w:rsidRPr="000D551A">
              <w:rPr>
                <w:rStyle w:val="Lienhypertexte"/>
                <w:noProof/>
              </w:rPr>
              <w:t>45.25.3a Remplissages en bois pour escaliers extérieurs</w:t>
            </w:r>
            <w:r>
              <w:rPr>
                <w:noProof/>
                <w:webHidden/>
              </w:rPr>
              <w:tab/>
            </w:r>
            <w:r>
              <w:rPr>
                <w:noProof/>
                <w:webHidden/>
              </w:rPr>
              <w:fldChar w:fldCharType="begin"/>
            </w:r>
            <w:r>
              <w:rPr>
                <w:noProof/>
                <w:webHidden/>
              </w:rPr>
              <w:instrText xml:space="preserve"> PAGEREF _Toc220490840 \h </w:instrText>
            </w:r>
            <w:r>
              <w:rPr>
                <w:noProof/>
                <w:webHidden/>
              </w:rPr>
            </w:r>
            <w:r>
              <w:rPr>
                <w:noProof/>
                <w:webHidden/>
              </w:rPr>
              <w:fldChar w:fldCharType="separate"/>
            </w:r>
            <w:r>
              <w:rPr>
                <w:noProof/>
                <w:webHidden/>
              </w:rPr>
              <w:t>657</w:t>
            </w:r>
            <w:r>
              <w:rPr>
                <w:noProof/>
                <w:webHidden/>
              </w:rPr>
              <w:fldChar w:fldCharType="end"/>
            </w:r>
          </w:hyperlink>
        </w:p>
        <w:p w14:paraId="72740BC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41" w:history="1">
            <w:r w:rsidRPr="000D551A">
              <w:rPr>
                <w:rStyle w:val="Lienhypertexte"/>
                <w:noProof/>
              </w:rPr>
              <w:t>45.25.4 Remplissages métalliques CCTB 01.02</w:t>
            </w:r>
            <w:r>
              <w:rPr>
                <w:noProof/>
                <w:webHidden/>
              </w:rPr>
              <w:tab/>
            </w:r>
            <w:r>
              <w:rPr>
                <w:noProof/>
                <w:webHidden/>
              </w:rPr>
              <w:fldChar w:fldCharType="begin"/>
            </w:r>
            <w:r>
              <w:rPr>
                <w:noProof/>
                <w:webHidden/>
              </w:rPr>
              <w:instrText xml:space="preserve"> PAGEREF _Toc220490841 \h </w:instrText>
            </w:r>
            <w:r>
              <w:rPr>
                <w:noProof/>
                <w:webHidden/>
              </w:rPr>
            </w:r>
            <w:r>
              <w:rPr>
                <w:noProof/>
                <w:webHidden/>
              </w:rPr>
              <w:fldChar w:fldCharType="separate"/>
            </w:r>
            <w:r>
              <w:rPr>
                <w:noProof/>
                <w:webHidden/>
              </w:rPr>
              <w:t>657</w:t>
            </w:r>
            <w:r>
              <w:rPr>
                <w:noProof/>
                <w:webHidden/>
              </w:rPr>
              <w:fldChar w:fldCharType="end"/>
            </w:r>
          </w:hyperlink>
        </w:p>
        <w:p w14:paraId="68F5B3A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2" w:history="1">
            <w:r w:rsidRPr="000D551A">
              <w:rPr>
                <w:rStyle w:val="Lienhypertexte"/>
                <w:noProof/>
              </w:rPr>
              <w:t>45.25.4a Remplissages en acier pour escaliers extérieurs CCTB 01.02</w:t>
            </w:r>
            <w:r>
              <w:rPr>
                <w:noProof/>
                <w:webHidden/>
              </w:rPr>
              <w:tab/>
            </w:r>
            <w:r>
              <w:rPr>
                <w:noProof/>
                <w:webHidden/>
              </w:rPr>
              <w:fldChar w:fldCharType="begin"/>
            </w:r>
            <w:r>
              <w:rPr>
                <w:noProof/>
                <w:webHidden/>
              </w:rPr>
              <w:instrText xml:space="preserve"> PAGEREF _Toc220490842 \h </w:instrText>
            </w:r>
            <w:r>
              <w:rPr>
                <w:noProof/>
                <w:webHidden/>
              </w:rPr>
            </w:r>
            <w:r>
              <w:rPr>
                <w:noProof/>
                <w:webHidden/>
              </w:rPr>
              <w:fldChar w:fldCharType="separate"/>
            </w:r>
            <w:r>
              <w:rPr>
                <w:noProof/>
                <w:webHidden/>
              </w:rPr>
              <w:t>657</w:t>
            </w:r>
            <w:r>
              <w:rPr>
                <w:noProof/>
                <w:webHidden/>
              </w:rPr>
              <w:fldChar w:fldCharType="end"/>
            </w:r>
          </w:hyperlink>
        </w:p>
        <w:p w14:paraId="34F9009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3" w:history="1">
            <w:r w:rsidRPr="000D551A">
              <w:rPr>
                <w:rStyle w:val="Lienhypertexte"/>
                <w:noProof/>
              </w:rPr>
              <w:t>45.25.4b Remplissages en acier inoxydable pour escaliers extérieurs CCTB 01.02</w:t>
            </w:r>
            <w:r>
              <w:rPr>
                <w:noProof/>
                <w:webHidden/>
              </w:rPr>
              <w:tab/>
            </w:r>
            <w:r>
              <w:rPr>
                <w:noProof/>
                <w:webHidden/>
              </w:rPr>
              <w:fldChar w:fldCharType="begin"/>
            </w:r>
            <w:r>
              <w:rPr>
                <w:noProof/>
                <w:webHidden/>
              </w:rPr>
              <w:instrText xml:space="preserve"> PAGEREF _Toc220490843 \h </w:instrText>
            </w:r>
            <w:r>
              <w:rPr>
                <w:noProof/>
                <w:webHidden/>
              </w:rPr>
            </w:r>
            <w:r>
              <w:rPr>
                <w:noProof/>
                <w:webHidden/>
              </w:rPr>
              <w:fldChar w:fldCharType="separate"/>
            </w:r>
            <w:r>
              <w:rPr>
                <w:noProof/>
                <w:webHidden/>
              </w:rPr>
              <w:t>658</w:t>
            </w:r>
            <w:r>
              <w:rPr>
                <w:noProof/>
                <w:webHidden/>
              </w:rPr>
              <w:fldChar w:fldCharType="end"/>
            </w:r>
          </w:hyperlink>
        </w:p>
        <w:p w14:paraId="4F98067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4" w:history="1">
            <w:r w:rsidRPr="000D551A">
              <w:rPr>
                <w:rStyle w:val="Lienhypertexte"/>
                <w:noProof/>
              </w:rPr>
              <w:t>45.25.4c Remplissages en aluminium pour escaliers extérieurs CCTB 01.02</w:t>
            </w:r>
            <w:r>
              <w:rPr>
                <w:noProof/>
                <w:webHidden/>
              </w:rPr>
              <w:tab/>
            </w:r>
            <w:r>
              <w:rPr>
                <w:noProof/>
                <w:webHidden/>
              </w:rPr>
              <w:fldChar w:fldCharType="begin"/>
            </w:r>
            <w:r>
              <w:rPr>
                <w:noProof/>
                <w:webHidden/>
              </w:rPr>
              <w:instrText xml:space="preserve"> PAGEREF _Toc220490844 \h </w:instrText>
            </w:r>
            <w:r>
              <w:rPr>
                <w:noProof/>
                <w:webHidden/>
              </w:rPr>
            </w:r>
            <w:r>
              <w:rPr>
                <w:noProof/>
                <w:webHidden/>
              </w:rPr>
              <w:fldChar w:fldCharType="separate"/>
            </w:r>
            <w:r>
              <w:rPr>
                <w:noProof/>
                <w:webHidden/>
              </w:rPr>
              <w:t>658</w:t>
            </w:r>
            <w:r>
              <w:rPr>
                <w:noProof/>
                <w:webHidden/>
              </w:rPr>
              <w:fldChar w:fldCharType="end"/>
            </w:r>
          </w:hyperlink>
        </w:p>
        <w:p w14:paraId="163D78E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45" w:history="1">
            <w:r w:rsidRPr="000D551A">
              <w:rPr>
                <w:rStyle w:val="Lienhypertexte"/>
                <w:noProof/>
              </w:rPr>
              <w:t>45.25.5 Remplissages en matériaux synthétiques CCTB 01.02</w:t>
            </w:r>
            <w:r>
              <w:rPr>
                <w:noProof/>
                <w:webHidden/>
              </w:rPr>
              <w:tab/>
            </w:r>
            <w:r>
              <w:rPr>
                <w:noProof/>
                <w:webHidden/>
              </w:rPr>
              <w:fldChar w:fldCharType="begin"/>
            </w:r>
            <w:r>
              <w:rPr>
                <w:noProof/>
                <w:webHidden/>
              </w:rPr>
              <w:instrText xml:space="preserve"> PAGEREF _Toc220490845 \h </w:instrText>
            </w:r>
            <w:r>
              <w:rPr>
                <w:noProof/>
                <w:webHidden/>
              </w:rPr>
            </w:r>
            <w:r>
              <w:rPr>
                <w:noProof/>
                <w:webHidden/>
              </w:rPr>
              <w:fldChar w:fldCharType="separate"/>
            </w:r>
            <w:r>
              <w:rPr>
                <w:noProof/>
                <w:webHidden/>
              </w:rPr>
              <w:t>658</w:t>
            </w:r>
            <w:r>
              <w:rPr>
                <w:noProof/>
                <w:webHidden/>
              </w:rPr>
              <w:fldChar w:fldCharType="end"/>
            </w:r>
          </w:hyperlink>
        </w:p>
        <w:p w14:paraId="4F54C03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6" w:history="1">
            <w:r w:rsidRPr="000D551A">
              <w:rPr>
                <w:rStyle w:val="Lienhypertexte"/>
                <w:noProof/>
              </w:rPr>
              <w:t>45.25.5a Remplissages en matériaux synthétiques pour escaliers extérieurs</w:t>
            </w:r>
            <w:r>
              <w:rPr>
                <w:noProof/>
                <w:webHidden/>
              </w:rPr>
              <w:tab/>
            </w:r>
            <w:r>
              <w:rPr>
                <w:noProof/>
                <w:webHidden/>
              </w:rPr>
              <w:fldChar w:fldCharType="begin"/>
            </w:r>
            <w:r>
              <w:rPr>
                <w:noProof/>
                <w:webHidden/>
              </w:rPr>
              <w:instrText xml:space="preserve"> PAGEREF _Toc220490846 \h </w:instrText>
            </w:r>
            <w:r>
              <w:rPr>
                <w:noProof/>
                <w:webHidden/>
              </w:rPr>
            </w:r>
            <w:r>
              <w:rPr>
                <w:noProof/>
                <w:webHidden/>
              </w:rPr>
              <w:fldChar w:fldCharType="separate"/>
            </w:r>
            <w:r>
              <w:rPr>
                <w:noProof/>
                <w:webHidden/>
              </w:rPr>
              <w:t>658</w:t>
            </w:r>
            <w:r>
              <w:rPr>
                <w:noProof/>
                <w:webHidden/>
              </w:rPr>
              <w:fldChar w:fldCharType="end"/>
            </w:r>
          </w:hyperlink>
        </w:p>
        <w:p w14:paraId="015EC69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47" w:history="1">
            <w:r w:rsidRPr="000D551A">
              <w:rPr>
                <w:rStyle w:val="Lienhypertexte"/>
                <w:noProof/>
              </w:rPr>
              <w:t>45.25.6 Remplissages en verre CCTB 01.02</w:t>
            </w:r>
            <w:r>
              <w:rPr>
                <w:noProof/>
                <w:webHidden/>
              </w:rPr>
              <w:tab/>
            </w:r>
            <w:r>
              <w:rPr>
                <w:noProof/>
                <w:webHidden/>
              </w:rPr>
              <w:fldChar w:fldCharType="begin"/>
            </w:r>
            <w:r>
              <w:rPr>
                <w:noProof/>
                <w:webHidden/>
              </w:rPr>
              <w:instrText xml:space="preserve"> PAGEREF _Toc220490847 \h </w:instrText>
            </w:r>
            <w:r>
              <w:rPr>
                <w:noProof/>
                <w:webHidden/>
              </w:rPr>
            </w:r>
            <w:r>
              <w:rPr>
                <w:noProof/>
                <w:webHidden/>
              </w:rPr>
              <w:fldChar w:fldCharType="separate"/>
            </w:r>
            <w:r>
              <w:rPr>
                <w:noProof/>
                <w:webHidden/>
              </w:rPr>
              <w:t>658</w:t>
            </w:r>
            <w:r>
              <w:rPr>
                <w:noProof/>
                <w:webHidden/>
              </w:rPr>
              <w:fldChar w:fldCharType="end"/>
            </w:r>
          </w:hyperlink>
        </w:p>
        <w:p w14:paraId="2BF542B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48" w:history="1">
            <w:r w:rsidRPr="000D551A">
              <w:rPr>
                <w:rStyle w:val="Lienhypertexte"/>
                <w:noProof/>
              </w:rPr>
              <w:t>45.25.6a Remplissages en verre pour escaliers extérieurs CCTB 01.02</w:t>
            </w:r>
            <w:r>
              <w:rPr>
                <w:noProof/>
                <w:webHidden/>
              </w:rPr>
              <w:tab/>
            </w:r>
            <w:r>
              <w:rPr>
                <w:noProof/>
                <w:webHidden/>
              </w:rPr>
              <w:fldChar w:fldCharType="begin"/>
            </w:r>
            <w:r>
              <w:rPr>
                <w:noProof/>
                <w:webHidden/>
              </w:rPr>
              <w:instrText xml:space="preserve"> PAGEREF _Toc220490848 \h </w:instrText>
            </w:r>
            <w:r>
              <w:rPr>
                <w:noProof/>
                <w:webHidden/>
              </w:rPr>
            </w:r>
            <w:r>
              <w:rPr>
                <w:noProof/>
                <w:webHidden/>
              </w:rPr>
              <w:fldChar w:fldCharType="separate"/>
            </w:r>
            <w:r>
              <w:rPr>
                <w:noProof/>
                <w:webHidden/>
              </w:rPr>
              <w:t>658</w:t>
            </w:r>
            <w:r>
              <w:rPr>
                <w:noProof/>
                <w:webHidden/>
              </w:rPr>
              <w:fldChar w:fldCharType="end"/>
            </w:r>
          </w:hyperlink>
        </w:p>
        <w:p w14:paraId="7B0CE7E7"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49" w:history="1">
            <w:r w:rsidRPr="000D551A">
              <w:rPr>
                <w:rStyle w:val="Lienhypertexte"/>
                <w:noProof/>
              </w:rPr>
              <w:t>45.26 Mains courantes / lisses CCTB 01.10</w:t>
            </w:r>
            <w:r>
              <w:rPr>
                <w:noProof/>
                <w:webHidden/>
              </w:rPr>
              <w:tab/>
            </w:r>
            <w:r>
              <w:rPr>
                <w:noProof/>
                <w:webHidden/>
              </w:rPr>
              <w:fldChar w:fldCharType="begin"/>
            </w:r>
            <w:r>
              <w:rPr>
                <w:noProof/>
                <w:webHidden/>
              </w:rPr>
              <w:instrText xml:space="preserve"> PAGEREF _Toc220490849 \h </w:instrText>
            </w:r>
            <w:r>
              <w:rPr>
                <w:noProof/>
                <w:webHidden/>
              </w:rPr>
            </w:r>
            <w:r>
              <w:rPr>
                <w:noProof/>
                <w:webHidden/>
              </w:rPr>
              <w:fldChar w:fldCharType="separate"/>
            </w:r>
            <w:r>
              <w:rPr>
                <w:noProof/>
                <w:webHidden/>
              </w:rPr>
              <w:t>658</w:t>
            </w:r>
            <w:r>
              <w:rPr>
                <w:noProof/>
                <w:webHidden/>
              </w:rPr>
              <w:fldChar w:fldCharType="end"/>
            </w:r>
          </w:hyperlink>
        </w:p>
        <w:p w14:paraId="39297F9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50" w:history="1">
            <w:r w:rsidRPr="000D551A">
              <w:rPr>
                <w:rStyle w:val="Lienhypertexte"/>
                <w:noProof/>
              </w:rPr>
              <w:t>45.26.1 Mains courantes / lisses en béton armé CCTB 01.02</w:t>
            </w:r>
            <w:r>
              <w:rPr>
                <w:noProof/>
                <w:webHidden/>
              </w:rPr>
              <w:tab/>
            </w:r>
            <w:r>
              <w:rPr>
                <w:noProof/>
                <w:webHidden/>
              </w:rPr>
              <w:fldChar w:fldCharType="begin"/>
            </w:r>
            <w:r>
              <w:rPr>
                <w:noProof/>
                <w:webHidden/>
              </w:rPr>
              <w:instrText xml:space="preserve"> PAGEREF _Toc220490850 \h </w:instrText>
            </w:r>
            <w:r>
              <w:rPr>
                <w:noProof/>
                <w:webHidden/>
              </w:rPr>
            </w:r>
            <w:r>
              <w:rPr>
                <w:noProof/>
                <w:webHidden/>
              </w:rPr>
              <w:fldChar w:fldCharType="separate"/>
            </w:r>
            <w:r>
              <w:rPr>
                <w:noProof/>
                <w:webHidden/>
              </w:rPr>
              <w:t>658</w:t>
            </w:r>
            <w:r>
              <w:rPr>
                <w:noProof/>
                <w:webHidden/>
              </w:rPr>
              <w:fldChar w:fldCharType="end"/>
            </w:r>
          </w:hyperlink>
        </w:p>
        <w:p w14:paraId="080FBC7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1" w:history="1">
            <w:r w:rsidRPr="000D551A">
              <w:rPr>
                <w:rStyle w:val="Lienhypertexte"/>
                <w:noProof/>
              </w:rPr>
              <w:t>45.26.1a Mains courantes / lisses en béton armé coulé sur place CCTB 01.02</w:t>
            </w:r>
            <w:r>
              <w:rPr>
                <w:noProof/>
                <w:webHidden/>
              </w:rPr>
              <w:tab/>
            </w:r>
            <w:r>
              <w:rPr>
                <w:noProof/>
                <w:webHidden/>
              </w:rPr>
              <w:fldChar w:fldCharType="begin"/>
            </w:r>
            <w:r>
              <w:rPr>
                <w:noProof/>
                <w:webHidden/>
              </w:rPr>
              <w:instrText xml:space="preserve"> PAGEREF _Toc220490851 \h </w:instrText>
            </w:r>
            <w:r>
              <w:rPr>
                <w:noProof/>
                <w:webHidden/>
              </w:rPr>
            </w:r>
            <w:r>
              <w:rPr>
                <w:noProof/>
                <w:webHidden/>
              </w:rPr>
              <w:fldChar w:fldCharType="separate"/>
            </w:r>
            <w:r>
              <w:rPr>
                <w:noProof/>
                <w:webHidden/>
              </w:rPr>
              <w:t>658</w:t>
            </w:r>
            <w:r>
              <w:rPr>
                <w:noProof/>
                <w:webHidden/>
              </w:rPr>
              <w:fldChar w:fldCharType="end"/>
            </w:r>
          </w:hyperlink>
        </w:p>
        <w:p w14:paraId="5EBDCC1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2" w:history="1">
            <w:r w:rsidRPr="000D551A">
              <w:rPr>
                <w:rStyle w:val="Lienhypertexte"/>
                <w:noProof/>
              </w:rPr>
              <w:t>45.26.1b Mains courantes / lisses en béton armé préfabriqué CCTB 01.02</w:t>
            </w:r>
            <w:r>
              <w:rPr>
                <w:noProof/>
                <w:webHidden/>
              </w:rPr>
              <w:tab/>
            </w:r>
            <w:r>
              <w:rPr>
                <w:noProof/>
                <w:webHidden/>
              </w:rPr>
              <w:fldChar w:fldCharType="begin"/>
            </w:r>
            <w:r>
              <w:rPr>
                <w:noProof/>
                <w:webHidden/>
              </w:rPr>
              <w:instrText xml:space="preserve"> PAGEREF _Toc220490852 \h </w:instrText>
            </w:r>
            <w:r>
              <w:rPr>
                <w:noProof/>
                <w:webHidden/>
              </w:rPr>
            </w:r>
            <w:r>
              <w:rPr>
                <w:noProof/>
                <w:webHidden/>
              </w:rPr>
              <w:fldChar w:fldCharType="separate"/>
            </w:r>
            <w:r>
              <w:rPr>
                <w:noProof/>
                <w:webHidden/>
              </w:rPr>
              <w:t>658</w:t>
            </w:r>
            <w:r>
              <w:rPr>
                <w:noProof/>
                <w:webHidden/>
              </w:rPr>
              <w:fldChar w:fldCharType="end"/>
            </w:r>
          </w:hyperlink>
        </w:p>
        <w:p w14:paraId="324B644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53" w:history="1">
            <w:r w:rsidRPr="000D551A">
              <w:rPr>
                <w:rStyle w:val="Lienhypertexte"/>
                <w:noProof/>
              </w:rPr>
              <w:t>45.26.2 Mains courantes / lisses en bois CCTB 01.02</w:t>
            </w:r>
            <w:r>
              <w:rPr>
                <w:noProof/>
                <w:webHidden/>
              </w:rPr>
              <w:tab/>
            </w:r>
            <w:r>
              <w:rPr>
                <w:noProof/>
                <w:webHidden/>
              </w:rPr>
              <w:fldChar w:fldCharType="begin"/>
            </w:r>
            <w:r>
              <w:rPr>
                <w:noProof/>
                <w:webHidden/>
              </w:rPr>
              <w:instrText xml:space="preserve"> PAGEREF _Toc220490853 \h </w:instrText>
            </w:r>
            <w:r>
              <w:rPr>
                <w:noProof/>
                <w:webHidden/>
              </w:rPr>
            </w:r>
            <w:r>
              <w:rPr>
                <w:noProof/>
                <w:webHidden/>
              </w:rPr>
              <w:fldChar w:fldCharType="separate"/>
            </w:r>
            <w:r>
              <w:rPr>
                <w:noProof/>
                <w:webHidden/>
              </w:rPr>
              <w:t>658</w:t>
            </w:r>
            <w:r>
              <w:rPr>
                <w:noProof/>
                <w:webHidden/>
              </w:rPr>
              <w:fldChar w:fldCharType="end"/>
            </w:r>
          </w:hyperlink>
        </w:p>
        <w:p w14:paraId="11539E9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4" w:history="1">
            <w:r w:rsidRPr="000D551A">
              <w:rPr>
                <w:rStyle w:val="Lienhypertexte"/>
                <w:noProof/>
              </w:rPr>
              <w:t>45.26.2a Mains courantes / lisses en bois CCTB 01.02</w:t>
            </w:r>
            <w:r>
              <w:rPr>
                <w:noProof/>
                <w:webHidden/>
              </w:rPr>
              <w:tab/>
            </w:r>
            <w:r>
              <w:rPr>
                <w:noProof/>
                <w:webHidden/>
              </w:rPr>
              <w:fldChar w:fldCharType="begin"/>
            </w:r>
            <w:r>
              <w:rPr>
                <w:noProof/>
                <w:webHidden/>
              </w:rPr>
              <w:instrText xml:space="preserve"> PAGEREF _Toc220490854 \h </w:instrText>
            </w:r>
            <w:r>
              <w:rPr>
                <w:noProof/>
                <w:webHidden/>
              </w:rPr>
            </w:r>
            <w:r>
              <w:rPr>
                <w:noProof/>
                <w:webHidden/>
              </w:rPr>
              <w:fldChar w:fldCharType="separate"/>
            </w:r>
            <w:r>
              <w:rPr>
                <w:noProof/>
                <w:webHidden/>
              </w:rPr>
              <w:t>658</w:t>
            </w:r>
            <w:r>
              <w:rPr>
                <w:noProof/>
                <w:webHidden/>
              </w:rPr>
              <w:fldChar w:fldCharType="end"/>
            </w:r>
          </w:hyperlink>
        </w:p>
        <w:p w14:paraId="4FF6C3D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55" w:history="1">
            <w:r w:rsidRPr="000D551A">
              <w:rPr>
                <w:rStyle w:val="Lienhypertexte"/>
                <w:noProof/>
              </w:rPr>
              <w:t>45.26.3 Mains courantes / lisses métalliques CCTB 01.02</w:t>
            </w:r>
            <w:r>
              <w:rPr>
                <w:noProof/>
                <w:webHidden/>
              </w:rPr>
              <w:tab/>
            </w:r>
            <w:r>
              <w:rPr>
                <w:noProof/>
                <w:webHidden/>
              </w:rPr>
              <w:fldChar w:fldCharType="begin"/>
            </w:r>
            <w:r>
              <w:rPr>
                <w:noProof/>
                <w:webHidden/>
              </w:rPr>
              <w:instrText xml:space="preserve"> PAGEREF _Toc220490855 \h </w:instrText>
            </w:r>
            <w:r>
              <w:rPr>
                <w:noProof/>
                <w:webHidden/>
              </w:rPr>
            </w:r>
            <w:r>
              <w:rPr>
                <w:noProof/>
                <w:webHidden/>
              </w:rPr>
              <w:fldChar w:fldCharType="separate"/>
            </w:r>
            <w:r>
              <w:rPr>
                <w:noProof/>
                <w:webHidden/>
              </w:rPr>
              <w:t>659</w:t>
            </w:r>
            <w:r>
              <w:rPr>
                <w:noProof/>
                <w:webHidden/>
              </w:rPr>
              <w:fldChar w:fldCharType="end"/>
            </w:r>
          </w:hyperlink>
        </w:p>
        <w:p w14:paraId="48C30A0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6" w:history="1">
            <w:r w:rsidRPr="000D551A">
              <w:rPr>
                <w:rStyle w:val="Lienhypertexte"/>
                <w:noProof/>
              </w:rPr>
              <w:t>45.26.3a Mains courantes / lisses en acier CCTB 01.02</w:t>
            </w:r>
            <w:r>
              <w:rPr>
                <w:noProof/>
                <w:webHidden/>
              </w:rPr>
              <w:tab/>
            </w:r>
            <w:r>
              <w:rPr>
                <w:noProof/>
                <w:webHidden/>
              </w:rPr>
              <w:fldChar w:fldCharType="begin"/>
            </w:r>
            <w:r>
              <w:rPr>
                <w:noProof/>
                <w:webHidden/>
              </w:rPr>
              <w:instrText xml:space="preserve"> PAGEREF _Toc220490856 \h </w:instrText>
            </w:r>
            <w:r>
              <w:rPr>
                <w:noProof/>
                <w:webHidden/>
              </w:rPr>
            </w:r>
            <w:r>
              <w:rPr>
                <w:noProof/>
                <w:webHidden/>
              </w:rPr>
              <w:fldChar w:fldCharType="separate"/>
            </w:r>
            <w:r>
              <w:rPr>
                <w:noProof/>
                <w:webHidden/>
              </w:rPr>
              <w:t>659</w:t>
            </w:r>
            <w:r>
              <w:rPr>
                <w:noProof/>
                <w:webHidden/>
              </w:rPr>
              <w:fldChar w:fldCharType="end"/>
            </w:r>
          </w:hyperlink>
        </w:p>
        <w:p w14:paraId="7D64BE5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7" w:history="1">
            <w:r w:rsidRPr="000D551A">
              <w:rPr>
                <w:rStyle w:val="Lienhypertexte"/>
                <w:noProof/>
              </w:rPr>
              <w:t>45.26.3b Mains courantes / lisses en acier inoxydable CCTB 01.02</w:t>
            </w:r>
            <w:r>
              <w:rPr>
                <w:noProof/>
                <w:webHidden/>
              </w:rPr>
              <w:tab/>
            </w:r>
            <w:r>
              <w:rPr>
                <w:noProof/>
                <w:webHidden/>
              </w:rPr>
              <w:fldChar w:fldCharType="begin"/>
            </w:r>
            <w:r>
              <w:rPr>
                <w:noProof/>
                <w:webHidden/>
              </w:rPr>
              <w:instrText xml:space="preserve"> PAGEREF _Toc220490857 \h </w:instrText>
            </w:r>
            <w:r>
              <w:rPr>
                <w:noProof/>
                <w:webHidden/>
              </w:rPr>
            </w:r>
            <w:r>
              <w:rPr>
                <w:noProof/>
                <w:webHidden/>
              </w:rPr>
              <w:fldChar w:fldCharType="separate"/>
            </w:r>
            <w:r>
              <w:rPr>
                <w:noProof/>
                <w:webHidden/>
              </w:rPr>
              <w:t>659</w:t>
            </w:r>
            <w:r>
              <w:rPr>
                <w:noProof/>
                <w:webHidden/>
              </w:rPr>
              <w:fldChar w:fldCharType="end"/>
            </w:r>
          </w:hyperlink>
        </w:p>
        <w:p w14:paraId="1CE68C2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58" w:history="1">
            <w:r w:rsidRPr="000D551A">
              <w:rPr>
                <w:rStyle w:val="Lienhypertexte"/>
                <w:noProof/>
              </w:rPr>
              <w:t>45.26.3c Mains courantes / lisses en aluminium CCTB 01.02</w:t>
            </w:r>
            <w:r>
              <w:rPr>
                <w:noProof/>
                <w:webHidden/>
              </w:rPr>
              <w:tab/>
            </w:r>
            <w:r>
              <w:rPr>
                <w:noProof/>
                <w:webHidden/>
              </w:rPr>
              <w:fldChar w:fldCharType="begin"/>
            </w:r>
            <w:r>
              <w:rPr>
                <w:noProof/>
                <w:webHidden/>
              </w:rPr>
              <w:instrText xml:space="preserve"> PAGEREF _Toc220490858 \h </w:instrText>
            </w:r>
            <w:r>
              <w:rPr>
                <w:noProof/>
                <w:webHidden/>
              </w:rPr>
            </w:r>
            <w:r>
              <w:rPr>
                <w:noProof/>
                <w:webHidden/>
              </w:rPr>
              <w:fldChar w:fldCharType="separate"/>
            </w:r>
            <w:r>
              <w:rPr>
                <w:noProof/>
                <w:webHidden/>
              </w:rPr>
              <w:t>659</w:t>
            </w:r>
            <w:r>
              <w:rPr>
                <w:noProof/>
                <w:webHidden/>
              </w:rPr>
              <w:fldChar w:fldCharType="end"/>
            </w:r>
          </w:hyperlink>
        </w:p>
        <w:p w14:paraId="539BCD3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59" w:history="1">
            <w:r w:rsidRPr="000D551A">
              <w:rPr>
                <w:rStyle w:val="Lienhypertexte"/>
                <w:noProof/>
              </w:rPr>
              <w:t>45.26.4 Mains courantes / lisses en matériaux synthétiques CCTB 01.02</w:t>
            </w:r>
            <w:r>
              <w:rPr>
                <w:noProof/>
                <w:webHidden/>
              </w:rPr>
              <w:tab/>
            </w:r>
            <w:r>
              <w:rPr>
                <w:noProof/>
                <w:webHidden/>
              </w:rPr>
              <w:fldChar w:fldCharType="begin"/>
            </w:r>
            <w:r>
              <w:rPr>
                <w:noProof/>
                <w:webHidden/>
              </w:rPr>
              <w:instrText xml:space="preserve"> PAGEREF _Toc220490859 \h </w:instrText>
            </w:r>
            <w:r>
              <w:rPr>
                <w:noProof/>
                <w:webHidden/>
              </w:rPr>
            </w:r>
            <w:r>
              <w:rPr>
                <w:noProof/>
                <w:webHidden/>
              </w:rPr>
              <w:fldChar w:fldCharType="separate"/>
            </w:r>
            <w:r>
              <w:rPr>
                <w:noProof/>
                <w:webHidden/>
              </w:rPr>
              <w:t>659</w:t>
            </w:r>
            <w:r>
              <w:rPr>
                <w:noProof/>
                <w:webHidden/>
              </w:rPr>
              <w:fldChar w:fldCharType="end"/>
            </w:r>
          </w:hyperlink>
        </w:p>
        <w:p w14:paraId="1B1DC74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0" w:history="1">
            <w:r w:rsidRPr="000D551A">
              <w:rPr>
                <w:rStyle w:val="Lienhypertexte"/>
                <w:noProof/>
              </w:rPr>
              <w:t>45.26.4a Mains courantes / lisses en matériaux synthétiques CCTB 01.02</w:t>
            </w:r>
            <w:r>
              <w:rPr>
                <w:noProof/>
                <w:webHidden/>
              </w:rPr>
              <w:tab/>
            </w:r>
            <w:r>
              <w:rPr>
                <w:noProof/>
                <w:webHidden/>
              </w:rPr>
              <w:fldChar w:fldCharType="begin"/>
            </w:r>
            <w:r>
              <w:rPr>
                <w:noProof/>
                <w:webHidden/>
              </w:rPr>
              <w:instrText xml:space="preserve"> PAGEREF _Toc220490860 \h </w:instrText>
            </w:r>
            <w:r>
              <w:rPr>
                <w:noProof/>
                <w:webHidden/>
              </w:rPr>
            </w:r>
            <w:r>
              <w:rPr>
                <w:noProof/>
                <w:webHidden/>
              </w:rPr>
              <w:fldChar w:fldCharType="separate"/>
            </w:r>
            <w:r>
              <w:rPr>
                <w:noProof/>
                <w:webHidden/>
              </w:rPr>
              <w:t>659</w:t>
            </w:r>
            <w:r>
              <w:rPr>
                <w:noProof/>
                <w:webHidden/>
              </w:rPr>
              <w:fldChar w:fldCharType="end"/>
            </w:r>
          </w:hyperlink>
        </w:p>
        <w:p w14:paraId="6071A22A"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61" w:history="1">
            <w:r w:rsidRPr="000D551A">
              <w:rPr>
                <w:rStyle w:val="Lienhypertexte"/>
                <w:noProof/>
              </w:rPr>
              <w:t>45.27 Eléments particuliers pour escaliers CCTB 01.02</w:t>
            </w:r>
            <w:r>
              <w:rPr>
                <w:noProof/>
                <w:webHidden/>
              </w:rPr>
              <w:tab/>
            </w:r>
            <w:r>
              <w:rPr>
                <w:noProof/>
                <w:webHidden/>
              </w:rPr>
              <w:fldChar w:fldCharType="begin"/>
            </w:r>
            <w:r>
              <w:rPr>
                <w:noProof/>
                <w:webHidden/>
              </w:rPr>
              <w:instrText xml:space="preserve"> PAGEREF _Toc220490861 \h </w:instrText>
            </w:r>
            <w:r>
              <w:rPr>
                <w:noProof/>
                <w:webHidden/>
              </w:rPr>
            </w:r>
            <w:r>
              <w:rPr>
                <w:noProof/>
                <w:webHidden/>
              </w:rPr>
              <w:fldChar w:fldCharType="separate"/>
            </w:r>
            <w:r>
              <w:rPr>
                <w:noProof/>
                <w:webHidden/>
              </w:rPr>
              <w:t>659</w:t>
            </w:r>
            <w:r>
              <w:rPr>
                <w:noProof/>
                <w:webHidden/>
              </w:rPr>
              <w:fldChar w:fldCharType="end"/>
            </w:r>
          </w:hyperlink>
        </w:p>
        <w:p w14:paraId="0266FCC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62" w:history="1">
            <w:r w:rsidRPr="000D551A">
              <w:rPr>
                <w:rStyle w:val="Lienhypertexte"/>
                <w:noProof/>
              </w:rPr>
              <w:t>45.27.1 Eléments de suspension pour escaliers sans limon CCTB 01.02</w:t>
            </w:r>
            <w:r>
              <w:rPr>
                <w:noProof/>
                <w:webHidden/>
              </w:rPr>
              <w:tab/>
            </w:r>
            <w:r>
              <w:rPr>
                <w:noProof/>
                <w:webHidden/>
              </w:rPr>
              <w:fldChar w:fldCharType="begin"/>
            </w:r>
            <w:r>
              <w:rPr>
                <w:noProof/>
                <w:webHidden/>
              </w:rPr>
              <w:instrText xml:space="preserve"> PAGEREF _Toc220490862 \h </w:instrText>
            </w:r>
            <w:r>
              <w:rPr>
                <w:noProof/>
                <w:webHidden/>
              </w:rPr>
            </w:r>
            <w:r>
              <w:rPr>
                <w:noProof/>
                <w:webHidden/>
              </w:rPr>
              <w:fldChar w:fldCharType="separate"/>
            </w:r>
            <w:r>
              <w:rPr>
                <w:noProof/>
                <w:webHidden/>
              </w:rPr>
              <w:t>659</w:t>
            </w:r>
            <w:r>
              <w:rPr>
                <w:noProof/>
                <w:webHidden/>
              </w:rPr>
              <w:fldChar w:fldCharType="end"/>
            </w:r>
          </w:hyperlink>
        </w:p>
        <w:p w14:paraId="43FC17C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3" w:history="1">
            <w:r w:rsidRPr="000D551A">
              <w:rPr>
                <w:rStyle w:val="Lienhypertexte"/>
                <w:noProof/>
              </w:rPr>
              <w:t>45.27.1a Eléments de suspension métalliques pour escaliers sans limon CCTB 01.02</w:t>
            </w:r>
            <w:r>
              <w:rPr>
                <w:noProof/>
                <w:webHidden/>
              </w:rPr>
              <w:tab/>
            </w:r>
            <w:r>
              <w:rPr>
                <w:noProof/>
                <w:webHidden/>
              </w:rPr>
              <w:fldChar w:fldCharType="begin"/>
            </w:r>
            <w:r>
              <w:rPr>
                <w:noProof/>
                <w:webHidden/>
              </w:rPr>
              <w:instrText xml:space="preserve"> PAGEREF _Toc220490863 \h </w:instrText>
            </w:r>
            <w:r>
              <w:rPr>
                <w:noProof/>
                <w:webHidden/>
              </w:rPr>
            </w:r>
            <w:r>
              <w:rPr>
                <w:noProof/>
                <w:webHidden/>
              </w:rPr>
              <w:fldChar w:fldCharType="separate"/>
            </w:r>
            <w:r>
              <w:rPr>
                <w:noProof/>
                <w:webHidden/>
              </w:rPr>
              <w:t>659</w:t>
            </w:r>
            <w:r>
              <w:rPr>
                <w:noProof/>
                <w:webHidden/>
              </w:rPr>
              <w:fldChar w:fldCharType="end"/>
            </w:r>
          </w:hyperlink>
        </w:p>
        <w:p w14:paraId="392879E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4" w:history="1">
            <w:r w:rsidRPr="000D551A">
              <w:rPr>
                <w:rStyle w:val="Lienhypertexte"/>
                <w:noProof/>
              </w:rPr>
              <w:t>45.27.1b Eléments de suspension en bois pour escaliers sans limon CCTB 01.02</w:t>
            </w:r>
            <w:r>
              <w:rPr>
                <w:noProof/>
                <w:webHidden/>
              </w:rPr>
              <w:tab/>
            </w:r>
            <w:r>
              <w:rPr>
                <w:noProof/>
                <w:webHidden/>
              </w:rPr>
              <w:fldChar w:fldCharType="begin"/>
            </w:r>
            <w:r>
              <w:rPr>
                <w:noProof/>
                <w:webHidden/>
              </w:rPr>
              <w:instrText xml:space="preserve"> PAGEREF _Toc220490864 \h </w:instrText>
            </w:r>
            <w:r>
              <w:rPr>
                <w:noProof/>
                <w:webHidden/>
              </w:rPr>
            </w:r>
            <w:r>
              <w:rPr>
                <w:noProof/>
                <w:webHidden/>
              </w:rPr>
              <w:fldChar w:fldCharType="separate"/>
            </w:r>
            <w:r>
              <w:rPr>
                <w:noProof/>
                <w:webHidden/>
              </w:rPr>
              <w:t>659</w:t>
            </w:r>
            <w:r>
              <w:rPr>
                <w:noProof/>
                <w:webHidden/>
              </w:rPr>
              <w:fldChar w:fldCharType="end"/>
            </w:r>
          </w:hyperlink>
        </w:p>
        <w:p w14:paraId="60D91FC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65" w:history="1">
            <w:r w:rsidRPr="000D551A">
              <w:rPr>
                <w:rStyle w:val="Lienhypertexte"/>
                <w:noProof/>
              </w:rPr>
              <w:t>45.27.2 Nez de marche antidérapantes CCTB 01.02</w:t>
            </w:r>
            <w:r>
              <w:rPr>
                <w:noProof/>
                <w:webHidden/>
              </w:rPr>
              <w:tab/>
            </w:r>
            <w:r>
              <w:rPr>
                <w:noProof/>
                <w:webHidden/>
              </w:rPr>
              <w:fldChar w:fldCharType="begin"/>
            </w:r>
            <w:r>
              <w:rPr>
                <w:noProof/>
                <w:webHidden/>
              </w:rPr>
              <w:instrText xml:space="preserve"> PAGEREF _Toc220490865 \h </w:instrText>
            </w:r>
            <w:r>
              <w:rPr>
                <w:noProof/>
                <w:webHidden/>
              </w:rPr>
            </w:r>
            <w:r>
              <w:rPr>
                <w:noProof/>
                <w:webHidden/>
              </w:rPr>
              <w:fldChar w:fldCharType="separate"/>
            </w:r>
            <w:r>
              <w:rPr>
                <w:noProof/>
                <w:webHidden/>
              </w:rPr>
              <w:t>659</w:t>
            </w:r>
            <w:r>
              <w:rPr>
                <w:noProof/>
                <w:webHidden/>
              </w:rPr>
              <w:fldChar w:fldCharType="end"/>
            </w:r>
          </w:hyperlink>
        </w:p>
        <w:p w14:paraId="04A604F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6" w:history="1">
            <w:r w:rsidRPr="000D551A">
              <w:rPr>
                <w:rStyle w:val="Lienhypertexte"/>
                <w:noProof/>
              </w:rPr>
              <w:t>45.27.2a Nez de marche antidérapantes en acier CCTB 01.02</w:t>
            </w:r>
            <w:r>
              <w:rPr>
                <w:noProof/>
                <w:webHidden/>
              </w:rPr>
              <w:tab/>
            </w:r>
            <w:r>
              <w:rPr>
                <w:noProof/>
                <w:webHidden/>
              </w:rPr>
              <w:fldChar w:fldCharType="begin"/>
            </w:r>
            <w:r>
              <w:rPr>
                <w:noProof/>
                <w:webHidden/>
              </w:rPr>
              <w:instrText xml:space="preserve"> PAGEREF _Toc220490866 \h </w:instrText>
            </w:r>
            <w:r>
              <w:rPr>
                <w:noProof/>
                <w:webHidden/>
              </w:rPr>
            </w:r>
            <w:r>
              <w:rPr>
                <w:noProof/>
                <w:webHidden/>
              </w:rPr>
              <w:fldChar w:fldCharType="separate"/>
            </w:r>
            <w:r>
              <w:rPr>
                <w:noProof/>
                <w:webHidden/>
              </w:rPr>
              <w:t>660</w:t>
            </w:r>
            <w:r>
              <w:rPr>
                <w:noProof/>
                <w:webHidden/>
              </w:rPr>
              <w:fldChar w:fldCharType="end"/>
            </w:r>
          </w:hyperlink>
        </w:p>
        <w:p w14:paraId="70195D7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7" w:history="1">
            <w:r w:rsidRPr="000D551A">
              <w:rPr>
                <w:rStyle w:val="Lienhypertexte"/>
                <w:noProof/>
              </w:rPr>
              <w:t>45.27.2b Nez de marche antidérapantes en acier inoxydable CCTB 01.02</w:t>
            </w:r>
            <w:r>
              <w:rPr>
                <w:noProof/>
                <w:webHidden/>
              </w:rPr>
              <w:tab/>
            </w:r>
            <w:r>
              <w:rPr>
                <w:noProof/>
                <w:webHidden/>
              </w:rPr>
              <w:fldChar w:fldCharType="begin"/>
            </w:r>
            <w:r>
              <w:rPr>
                <w:noProof/>
                <w:webHidden/>
              </w:rPr>
              <w:instrText xml:space="preserve"> PAGEREF _Toc220490867 \h </w:instrText>
            </w:r>
            <w:r>
              <w:rPr>
                <w:noProof/>
                <w:webHidden/>
              </w:rPr>
            </w:r>
            <w:r>
              <w:rPr>
                <w:noProof/>
                <w:webHidden/>
              </w:rPr>
              <w:fldChar w:fldCharType="separate"/>
            </w:r>
            <w:r>
              <w:rPr>
                <w:noProof/>
                <w:webHidden/>
              </w:rPr>
              <w:t>660</w:t>
            </w:r>
            <w:r>
              <w:rPr>
                <w:noProof/>
                <w:webHidden/>
              </w:rPr>
              <w:fldChar w:fldCharType="end"/>
            </w:r>
          </w:hyperlink>
        </w:p>
        <w:p w14:paraId="18242B2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8" w:history="1">
            <w:r w:rsidRPr="000D551A">
              <w:rPr>
                <w:rStyle w:val="Lienhypertexte"/>
                <w:noProof/>
              </w:rPr>
              <w:t>45.27.2c Nez de marche antidérapantes en aluminium CCTB 01.02</w:t>
            </w:r>
            <w:r>
              <w:rPr>
                <w:noProof/>
                <w:webHidden/>
              </w:rPr>
              <w:tab/>
            </w:r>
            <w:r>
              <w:rPr>
                <w:noProof/>
                <w:webHidden/>
              </w:rPr>
              <w:fldChar w:fldCharType="begin"/>
            </w:r>
            <w:r>
              <w:rPr>
                <w:noProof/>
                <w:webHidden/>
              </w:rPr>
              <w:instrText xml:space="preserve"> PAGEREF _Toc220490868 \h </w:instrText>
            </w:r>
            <w:r>
              <w:rPr>
                <w:noProof/>
                <w:webHidden/>
              </w:rPr>
            </w:r>
            <w:r>
              <w:rPr>
                <w:noProof/>
                <w:webHidden/>
              </w:rPr>
              <w:fldChar w:fldCharType="separate"/>
            </w:r>
            <w:r>
              <w:rPr>
                <w:noProof/>
                <w:webHidden/>
              </w:rPr>
              <w:t>660</w:t>
            </w:r>
            <w:r>
              <w:rPr>
                <w:noProof/>
                <w:webHidden/>
              </w:rPr>
              <w:fldChar w:fldCharType="end"/>
            </w:r>
          </w:hyperlink>
        </w:p>
        <w:p w14:paraId="3E98273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69" w:history="1">
            <w:r w:rsidRPr="000D551A">
              <w:rPr>
                <w:rStyle w:val="Lienhypertexte"/>
                <w:noProof/>
              </w:rPr>
              <w:t>45.27.2d Nez de marche antidérapantes en matériaux synthétiques CCTB 01.02</w:t>
            </w:r>
            <w:r>
              <w:rPr>
                <w:noProof/>
                <w:webHidden/>
              </w:rPr>
              <w:tab/>
            </w:r>
            <w:r>
              <w:rPr>
                <w:noProof/>
                <w:webHidden/>
              </w:rPr>
              <w:fldChar w:fldCharType="begin"/>
            </w:r>
            <w:r>
              <w:rPr>
                <w:noProof/>
                <w:webHidden/>
              </w:rPr>
              <w:instrText xml:space="preserve"> PAGEREF _Toc220490869 \h </w:instrText>
            </w:r>
            <w:r>
              <w:rPr>
                <w:noProof/>
                <w:webHidden/>
              </w:rPr>
            </w:r>
            <w:r>
              <w:rPr>
                <w:noProof/>
                <w:webHidden/>
              </w:rPr>
              <w:fldChar w:fldCharType="separate"/>
            </w:r>
            <w:r>
              <w:rPr>
                <w:noProof/>
                <w:webHidden/>
              </w:rPr>
              <w:t>660</w:t>
            </w:r>
            <w:r>
              <w:rPr>
                <w:noProof/>
                <w:webHidden/>
              </w:rPr>
              <w:fldChar w:fldCharType="end"/>
            </w:r>
          </w:hyperlink>
        </w:p>
        <w:p w14:paraId="6E24938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0" w:history="1">
            <w:r w:rsidRPr="000D551A">
              <w:rPr>
                <w:rStyle w:val="Lienhypertexte"/>
                <w:noProof/>
              </w:rPr>
              <w:t>45.27.2e Nez de marche antidérapantes en matériaux souples  CCTB 01.02</w:t>
            </w:r>
            <w:r>
              <w:rPr>
                <w:noProof/>
                <w:webHidden/>
              </w:rPr>
              <w:tab/>
            </w:r>
            <w:r>
              <w:rPr>
                <w:noProof/>
                <w:webHidden/>
              </w:rPr>
              <w:fldChar w:fldCharType="begin"/>
            </w:r>
            <w:r>
              <w:rPr>
                <w:noProof/>
                <w:webHidden/>
              </w:rPr>
              <w:instrText xml:space="preserve"> PAGEREF _Toc220490870 \h </w:instrText>
            </w:r>
            <w:r>
              <w:rPr>
                <w:noProof/>
                <w:webHidden/>
              </w:rPr>
            </w:r>
            <w:r>
              <w:rPr>
                <w:noProof/>
                <w:webHidden/>
              </w:rPr>
              <w:fldChar w:fldCharType="separate"/>
            </w:r>
            <w:r>
              <w:rPr>
                <w:noProof/>
                <w:webHidden/>
              </w:rPr>
              <w:t>660</w:t>
            </w:r>
            <w:r>
              <w:rPr>
                <w:noProof/>
                <w:webHidden/>
              </w:rPr>
              <w:fldChar w:fldCharType="end"/>
            </w:r>
          </w:hyperlink>
        </w:p>
        <w:p w14:paraId="0C3DD275"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871" w:history="1">
            <w:r w:rsidRPr="000D551A">
              <w:rPr>
                <w:rStyle w:val="Lienhypertexte"/>
                <w:noProof/>
              </w:rPr>
              <w:t>45.3 Echelles de secours CCTB 01.02</w:t>
            </w:r>
            <w:r>
              <w:rPr>
                <w:noProof/>
                <w:webHidden/>
              </w:rPr>
              <w:tab/>
            </w:r>
            <w:r>
              <w:rPr>
                <w:noProof/>
                <w:webHidden/>
              </w:rPr>
              <w:fldChar w:fldCharType="begin"/>
            </w:r>
            <w:r>
              <w:rPr>
                <w:noProof/>
                <w:webHidden/>
              </w:rPr>
              <w:instrText xml:space="preserve"> PAGEREF _Toc220490871 \h </w:instrText>
            </w:r>
            <w:r>
              <w:rPr>
                <w:noProof/>
                <w:webHidden/>
              </w:rPr>
            </w:r>
            <w:r>
              <w:rPr>
                <w:noProof/>
                <w:webHidden/>
              </w:rPr>
              <w:fldChar w:fldCharType="separate"/>
            </w:r>
            <w:r>
              <w:rPr>
                <w:noProof/>
                <w:webHidden/>
              </w:rPr>
              <w:t>660</w:t>
            </w:r>
            <w:r>
              <w:rPr>
                <w:noProof/>
                <w:webHidden/>
              </w:rPr>
              <w:fldChar w:fldCharType="end"/>
            </w:r>
          </w:hyperlink>
        </w:p>
        <w:p w14:paraId="3ABF8F92"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72" w:history="1">
            <w:r w:rsidRPr="000D551A">
              <w:rPr>
                <w:rStyle w:val="Lienhypertexte"/>
                <w:noProof/>
              </w:rPr>
              <w:t>45.31 Echelles de secours fixes CCTB 01.02</w:t>
            </w:r>
            <w:r>
              <w:rPr>
                <w:noProof/>
                <w:webHidden/>
              </w:rPr>
              <w:tab/>
            </w:r>
            <w:r>
              <w:rPr>
                <w:noProof/>
                <w:webHidden/>
              </w:rPr>
              <w:fldChar w:fldCharType="begin"/>
            </w:r>
            <w:r>
              <w:rPr>
                <w:noProof/>
                <w:webHidden/>
              </w:rPr>
              <w:instrText xml:space="preserve"> PAGEREF _Toc220490872 \h </w:instrText>
            </w:r>
            <w:r>
              <w:rPr>
                <w:noProof/>
                <w:webHidden/>
              </w:rPr>
            </w:r>
            <w:r>
              <w:rPr>
                <w:noProof/>
                <w:webHidden/>
              </w:rPr>
              <w:fldChar w:fldCharType="separate"/>
            </w:r>
            <w:r>
              <w:rPr>
                <w:noProof/>
                <w:webHidden/>
              </w:rPr>
              <w:t>660</w:t>
            </w:r>
            <w:r>
              <w:rPr>
                <w:noProof/>
                <w:webHidden/>
              </w:rPr>
              <w:fldChar w:fldCharType="end"/>
            </w:r>
          </w:hyperlink>
        </w:p>
        <w:p w14:paraId="61F3AF4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73" w:history="1">
            <w:r w:rsidRPr="000D551A">
              <w:rPr>
                <w:rStyle w:val="Lienhypertexte"/>
                <w:noProof/>
              </w:rPr>
              <w:t>45.31.1 Echelles de secours fixes en acier CCTB 01.02</w:t>
            </w:r>
            <w:r>
              <w:rPr>
                <w:noProof/>
                <w:webHidden/>
              </w:rPr>
              <w:tab/>
            </w:r>
            <w:r>
              <w:rPr>
                <w:noProof/>
                <w:webHidden/>
              </w:rPr>
              <w:fldChar w:fldCharType="begin"/>
            </w:r>
            <w:r>
              <w:rPr>
                <w:noProof/>
                <w:webHidden/>
              </w:rPr>
              <w:instrText xml:space="preserve"> PAGEREF _Toc220490873 \h </w:instrText>
            </w:r>
            <w:r>
              <w:rPr>
                <w:noProof/>
                <w:webHidden/>
              </w:rPr>
            </w:r>
            <w:r>
              <w:rPr>
                <w:noProof/>
                <w:webHidden/>
              </w:rPr>
              <w:fldChar w:fldCharType="separate"/>
            </w:r>
            <w:r>
              <w:rPr>
                <w:noProof/>
                <w:webHidden/>
              </w:rPr>
              <w:t>660</w:t>
            </w:r>
            <w:r>
              <w:rPr>
                <w:noProof/>
                <w:webHidden/>
              </w:rPr>
              <w:fldChar w:fldCharType="end"/>
            </w:r>
          </w:hyperlink>
        </w:p>
        <w:p w14:paraId="5C98FFF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4" w:history="1">
            <w:r w:rsidRPr="000D551A">
              <w:rPr>
                <w:rStyle w:val="Lienhypertexte"/>
                <w:noProof/>
              </w:rPr>
              <w:t>45.31.1a Echelles de secours fixes en acier</w:t>
            </w:r>
            <w:r>
              <w:rPr>
                <w:noProof/>
                <w:webHidden/>
              </w:rPr>
              <w:tab/>
            </w:r>
            <w:r>
              <w:rPr>
                <w:noProof/>
                <w:webHidden/>
              </w:rPr>
              <w:fldChar w:fldCharType="begin"/>
            </w:r>
            <w:r>
              <w:rPr>
                <w:noProof/>
                <w:webHidden/>
              </w:rPr>
              <w:instrText xml:space="preserve"> PAGEREF _Toc220490874 \h </w:instrText>
            </w:r>
            <w:r>
              <w:rPr>
                <w:noProof/>
                <w:webHidden/>
              </w:rPr>
            </w:r>
            <w:r>
              <w:rPr>
                <w:noProof/>
                <w:webHidden/>
              </w:rPr>
              <w:fldChar w:fldCharType="separate"/>
            </w:r>
            <w:r>
              <w:rPr>
                <w:noProof/>
                <w:webHidden/>
              </w:rPr>
              <w:t>660</w:t>
            </w:r>
            <w:r>
              <w:rPr>
                <w:noProof/>
                <w:webHidden/>
              </w:rPr>
              <w:fldChar w:fldCharType="end"/>
            </w:r>
          </w:hyperlink>
        </w:p>
        <w:p w14:paraId="74A00B7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75" w:history="1">
            <w:r w:rsidRPr="000D551A">
              <w:rPr>
                <w:rStyle w:val="Lienhypertexte"/>
                <w:noProof/>
              </w:rPr>
              <w:t>45.31.2 Echelles de secours fixes en acier inoxydable CCTB 01.02</w:t>
            </w:r>
            <w:r>
              <w:rPr>
                <w:noProof/>
                <w:webHidden/>
              </w:rPr>
              <w:tab/>
            </w:r>
            <w:r>
              <w:rPr>
                <w:noProof/>
                <w:webHidden/>
              </w:rPr>
              <w:fldChar w:fldCharType="begin"/>
            </w:r>
            <w:r>
              <w:rPr>
                <w:noProof/>
                <w:webHidden/>
              </w:rPr>
              <w:instrText xml:space="preserve"> PAGEREF _Toc220490875 \h </w:instrText>
            </w:r>
            <w:r>
              <w:rPr>
                <w:noProof/>
                <w:webHidden/>
              </w:rPr>
            </w:r>
            <w:r>
              <w:rPr>
                <w:noProof/>
                <w:webHidden/>
              </w:rPr>
              <w:fldChar w:fldCharType="separate"/>
            </w:r>
            <w:r>
              <w:rPr>
                <w:noProof/>
                <w:webHidden/>
              </w:rPr>
              <w:t>660</w:t>
            </w:r>
            <w:r>
              <w:rPr>
                <w:noProof/>
                <w:webHidden/>
              </w:rPr>
              <w:fldChar w:fldCharType="end"/>
            </w:r>
          </w:hyperlink>
        </w:p>
        <w:p w14:paraId="3AE45CD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6" w:history="1">
            <w:r w:rsidRPr="000D551A">
              <w:rPr>
                <w:rStyle w:val="Lienhypertexte"/>
                <w:noProof/>
              </w:rPr>
              <w:t>45.31.2a Echelles de secours fixes en acier inoxydable CCTB 01.02</w:t>
            </w:r>
            <w:r>
              <w:rPr>
                <w:noProof/>
                <w:webHidden/>
              </w:rPr>
              <w:tab/>
            </w:r>
            <w:r>
              <w:rPr>
                <w:noProof/>
                <w:webHidden/>
              </w:rPr>
              <w:fldChar w:fldCharType="begin"/>
            </w:r>
            <w:r>
              <w:rPr>
                <w:noProof/>
                <w:webHidden/>
              </w:rPr>
              <w:instrText xml:space="preserve"> PAGEREF _Toc220490876 \h </w:instrText>
            </w:r>
            <w:r>
              <w:rPr>
                <w:noProof/>
                <w:webHidden/>
              </w:rPr>
            </w:r>
            <w:r>
              <w:rPr>
                <w:noProof/>
                <w:webHidden/>
              </w:rPr>
              <w:fldChar w:fldCharType="separate"/>
            </w:r>
            <w:r>
              <w:rPr>
                <w:noProof/>
                <w:webHidden/>
              </w:rPr>
              <w:t>660</w:t>
            </w:r>
            <w:r>
              <w:rPr>
                <w:noProof/>
                <w:webHidden/>
              </w:rPr>
              <w:fldChar w:fldCharType="end"/>
            </w:r>
          </w:hyperlink>
        </w:p>
        <w:p w14:paraId="65CAC67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77" w:history="1">
            <w:r w:rsidRPr="000D551A">
              <w:rPr>
                <w:rStyle w:val="Lienhypertexte"/>
                <w:noProof/>
              </w:rPr>
              <w:t>45.31.3 Echelles de secours fixes en aluminium CCTB 01.02</w:t>
            </w:r>
            <w:r>
              <w:rPr>
                <w:noProof/>
                <w:webHidden/>
              </w:rPr>
              <w:tab/>
            </w:r>
            <w:r>
              <w:rPr>
                <w:noProof/>
                <w:webHidden/>
              </w:rPr>
              <w:fldChar w:fldCharType="begin"/>
            </w:r>
            <w:r>
              <w:rPr>
                <w:noProof/>
                <w:webHidden/>
              </w:rPr>
              <w:instrText xml:space="preserve"> PAGEREF _Toc220490877 \h </w:instrText>
            </w:r>
            <w:r>
              <w:rPr>
                <w:noProof/>
                <w:webHidden/>
              </w:rPr>
            </w:r>
            <w:r>
              <w:rPr>
                <w:noProof/>
                <w:webHidden/>
              </w:rPr>
              <w:fldChar w:fldCharType="separate"/>
            </w:r>
            <w:r>
              <w:rPr>
                <w:noProof/>
                <w:webHidden/>
              </w:rPr>
              <w:t>660</w:t>
            </w:r>
            <w:r>
              <w:rPr>
                <w:noProof/>
                <w:webHidden/>
              </w:rPr>
              <w:fldChar w:fldCharType="end"/>
            </w:r>
          </w:hyperlink>
        </w:p>
        <w:p w14:paraId="2F2D016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78" w:history="1">
            <w:r w:rsidRPr="000D551A">
              <w:rPr>
                <w:rStyle w:val="Lienhypertexte"/>
                <w:noProof/>
              </w:rPr>
              <w:t>45.31.3a Echelles de secours fixes en aluminium CCTB 01.02</w:t>
            </w:r>
            <w:r>
              <w:rPr>
                <w:noProof/>
                <w:webHidden/>
              </w:rPr>
              <w:tab/>
            </w:r>
            <w:r>
              <w:rPr>
                <w:noProof/>
                <w:webHidden/>
              </w:rPr>
              <w:fldChar w:fldCharType="begin"/>
            </w:r>
            <w:r>
              <w:rPr>
                <w:noProof/>
                <w:webHidden/>
              </w:rPr>
              <w:instrText xml:space="preserve"> PAGEREF _Toc220490878 \h </w:instrText>
            </w:r>
            <w:r>
              <w:rPr>
                <w:noProof/>
                <w:webHidden/>
              </w:rPr>
            </w:r>
            <w:r>
              <w:rPr>
                <w:noProof/>
                <w:webHidden/>
              </w:rPr>
              <w:fldChar w:fldCharType="separate"/>
            </w:r>
            <w:r>
              <w:rPr>
                <w:noProof/>
                <w:webHidden/>
              </w:rPr>
              <w:t>660</w:t>
            </w:r>
            <w:r>
              <w:rPr>
                <w:noProof/>
                <w:webHidden/>
              </w:rPr>
              <w:fldChar w:fldCharType="end"/>
            </w:r>
          </w:hyperlink>
        </w:p>
        <w:p w14:paraId="6C9B800B"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79" w:history="1">
            <w:r w:rsidRPr="000D551A">
              <w:rPr>
                <w:rStyle w:val="Lienhypertexte"/>
                <w:noProof/>
              </w:rPr>
              <w:t>45.32 Echelles de secours pliantes CCTB 01.02</w:t>
            </w:r>
            <w:r>
              <w:rPr>
                <w:noProof/>
                <w:webHidden/>
              </w:rPr>
              <w:tab/>
            </w:r>
            <w:r>
              <w:rPr>
                <w:noProof/>
                <w:webHidden/>
              </w:rPr>
              <w:fldChar w:fldCharType="begin"/>
            </w:r>
            <w:r>
              <w:rPr>
                <w:noProof/>
                <w:webHidden/>
              </w:rPr>
              <w:instrText xml:space="preserve"> PAGEREF _Toc220490879 \h </w:instrText>
            </w:r>
            <w:r>
              <w:rPr>
                <w:noProof/>
                <w:webHidden/>
              </w:rPr>
            </w:r>
            <w:r>
              <w:rPr>
                <w:noProof/>
                <w:webHidden/>
              </w:rPr>
              <w:fldChar w:fldCharType="separate"/>
            </w:r>
            <w:r>
              <w:rPr>
                <w:noProof/>
                <w:webHidden/>
              </w:rPr>
              <w:t>661</w:t>
            </w:r>
            <w:r>
              <w:rPr>
                <w:noProof/>
                <w:webHidden/>
              </w:rPr>
              <w:fldChar w:fldCharType="end"/>
            </w:r>
          </w:hyperlink>
        </w:p>
        <w:p w14:paraId="248C059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80" w:history="1">
            <w:r w:rsidRPr="000D551A">
              <w:rPr>
                <w:rStyle w:val="Lienhypertexte"/>
                <w:noProof/>
              </w:rPr>
              <w:t>45.32.1 Echelles de secours pliantes en acier CCTB 01.02</w:t>
            </w:r>
            <w:r>
              <w:rPr>
                <w:noProof/>
                <w:webHidden/>
              </w:rPr>
              <w:tab/>
            </w:r>
            <w:r>
              <w:rPr>
                <w:noProof/>
                <w:webHidden/>
              </w:rPr>
              <w:fldChar w:fldCharType="begin"/>
            </w:r>
            <w:r>
              <w:rPr>
                <w:noProof/>
                <w:webHidden/>
              </w:rPr>
              <w:instrText xml:space="preserve"> PAGEREF _Toc220490880 \h </w:instrText>
            </w:r>
            <w:r>
              <w:rPr>
                <w:noProof/>
                <w:webHidden/>
              </w:rPr>
            </w:r>
            <w:r>
              <w:rPr>
                <w:noProof/>
                <w:webHidden/>
              </w:rPr>
              <w:fldChar w:fldCharType="separate"/>
            </w:r>
            <w:r>
              <w:rPr>
                <w:noProof/>
                <w:webHidden/>
              </w:rPr>
              <w:t>661</w:t>
            </w:r>
            <w:r>
              <w:rPr>
                <w:noProof/>
                <w:webHidden/>
              </w:rPr>
              <w:fldChar w:fldCharType="end"/>
            </w:r>
          </w:hyperlink>
        </w:p>
        <w:p w14:paraId="2ABFDC7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81" w:history="1">
            <w:r w:rsidRPr="000D551A">
              <w:rPr>
                <w:rStyle w:val="Lienhypertexte"/>
                <w:noProof/>
              </w:rPr>
              <w:t>45.32.1a Echelles de secours pliantes en acier</w:t>
            </w:r>
            <w:r>
              <w:rPr>
                <w:noProof/>
                <w:webHidden/>
              </w:rPr>
              <w:tab/>
            </w:r>
            <w:r>
              <w:rPr>
                <w:noProof/>
                <w:webHidden/>
              </w:rPr>
              <w:fldChar w:fldCharType="begin"/>
            </w:r>
            <w:r>
              <w:rPr>
                <w:noProof/>
                <w:webHidden/>
              </w:rPr>
              <w:instrText xml:space="preserve"> PAGEREF _Toc220490881 \h </w:instrText>
            </w:r>
            <w:r>
              <w:rPr>
                <w:noProof/>
                <w:webHidden/>
              </w:rPr>
            </w:r>
            <w:r>
              <w:rPr>
                <w:noProof/>
                <w:webHidden/>
              </w:rPr>
              <w:fldChar w:fldCharType="separate"/>
            </w:r>
            <w:r>
              <w:rPr>
                <w:noProof/>
                <w:webHidden/>
              </w:rPr>
              <w:t>661</w:t>
            </w:r>
            <w:r>
              <w:rPr>
                <w:noProof/>
                <w:webHidden/>
              </w:rPr>
              <w:fldChar w:fldCharType="end"/>
            </w:r>
          </w:hyperlink>
        </w:p>
        <w:p w14:paraId="1D79437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82" w:history="1">
            <w:r w:rsidRPr="000D551A">
              <w:rPr>
                <w:rStyle w:val="Lienhypertexte"/>
                <w:noProof/>
              </w:rPr>
              <w:t>45.32.2 Echelles de secours pliantes en acier inoxydable CCTB 01.02</w:t>
            </w:r>
            <w:r>
              <w:rPr>
                <w:noProof/>
                <w:webHidden/>
              </w:rPr>
              <w:tab/>
            </w:r>
            <w:r>
              <w:rPr>
                <w:noProof/>
                <w:webHidden/>
              </w:rPr>
              <w:fldChar w:fldCharType="begin"/>
            </w:r>
            <w:r>
              <w:rPr>
                <w:noProof/>
                <w:webHidden/>
              </w:rPr>
              <w:instrText xml:space="preserve"> PAGEREF _Toc220490882 \h </w:instrText>
            </w:r>
            <w:r>
              <w:rPr>
                <w:noProof/>
                <w:webHidden/>
              </w:rPr>
            </w:r>
            <w:r>
              <w:rPr>
                <w:noProof/>
                <w:webHidden/>
              </w:rPr>
              <w:fldChar w:fldCharType="separate"/>
            </w:r>
            <w:r>
              <w:rPr>
                <w:noProof/>
                <w:webHidden/>
              </w:rPr>
              <w:t>661</w:t>
            </w:r>
            <w:r>
              <w:rPr>
                <w:noProof/>
                <w:webHidden/>
              </w:rPr>
              <w:fldChar w:fldCharType="end"/>
            </w:r>
          </w:hyperlink>
        </w:p>
        <w:p w14:paraId="501E8A6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83" w:history="1">
            <w:r w:rsidRPr="000D551A">
              <w:rPr>
                <w:rStyle w:val="Lienhypertexte"/>
                <w:noProof/>
              </w:rPr>
              <w:t>45.32.2a Echelles de secours pliantes en acier inoxydable</w:t>
            </w:r>
            <w:r>
              <w:rPr>
                <w:noProof/>
                <w:webHidden/>
              </w:rPr>
              <w:tab/>
            </w:r>
            <w:r>
              <w:rPr>
                <w:noProof/>
                <w:webHidden/>
              </w:rPr>
              <w:fldChar w:fldCharType="begin"/>
            </w:r>
            <w:r>
              <w:rPr>
                <w:noProof/>
                <w:webHidden/>
              </w:rPr>
              <w:instrText xml:space="preserve"> PAGEREF _Toc220490883 \h </w:instrText>
            </w:r>
            <w:r>
              <w:rPr>
                <w:noProof/>
                <w:webHidden/>
              </w:rPr>
            </w:r>
            <w:r>
              <w:rPr>
                <w:noProof/>
                <w:webHidden/>
              </w:rPr>
              <w:fldChar w:fldCharType="separate"/>
            </w:r>
            <w:r>
              <w:rPr>
                <w:noProof/>
                <w:webHidden/>
              </w:rPr>
              <w:t>661</w:t>
            </w:r>
            <w:r>
              <w:rPr>
                <w:noProof/>
                <w:webHidden/>
              </w:rPr>
              <w:fldChar w:fldCharType="end"/>
            </w:r>
          </w:hyperlink>
        </w:p>
        <w:p w14:paraId="3EB00DD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84" w:history="1">
            <w:r w:rsidRPr="000D551A">
              <w:rPr>
                <w:rStyle w:val="Lienhypertexte"/>
                <w:noProof/>
              </w:rPr>
              <w:t>45.32.3 Echelles de secours pliantes en aluminium CCTB 01.02</w:t>
            </w:r>
            <w:r>
              <w:rPr>
                <w:noProof/>
                <w:webHidden/>
              </w:rPr>
              <w:tab/>
            </w:r>
            <w:r>
              <w:rPr>
                <w:noProof/>
                <w:webHidden/>
              </w:rPr>
              <w:fldChar w:fldCharType="begin"/>
            </w:r>
            <w:r>
              <w:rPr>
                <w:noProof/>
                <w:webHidden/>
              </w:rPr>
              <w:instrText xml:space="preserve"> PAGEREF _Toc220490884 \h </w:instrText>
            </w:r>
            <w:r>
              <w:rPr>
                <w:noProof/>
                <w:webHidden/>
              </w:rPr>
            </w:r>
            <w:r>
              <w:rPr>
                <w:noProof/>
                <w:webHidden/>
              </w:rPr>
              <w:fldChar w:fldCharType="separate"/>
            </w:r>
            <w:r>
              <w:rPr>
                <w:noProof/>
                <w:webHidden/>
              </w:rPr>
              <w:t>661</w:t>
            </w:r>
            <w:r>
              <w:rPr>
                <w:noProof/>
                <w:webHidden/>
              </w:rPr>
              <w:fldChar w:fldCharType="end"/>
            </w:r>
          </w:hyperlink>
        </w:p>
        <w:p w14:paraId="030F15E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85" w:history="1">
            <w:r w:rsidRPr="000D551A">
              <w:rPr>
                <w:rStyle w:val="Lienhypertexte"/>
                <w:noProof/>
              </w:rPr>
              <w:t>45.32.3a Echelles de secours pliantes en aluminium</w:t>
            </w:r>
            <w:r>
              <w:rPr>
                <w:noProof/>
                <w:webHidden/>
              </w:rPr>
              <w:tab/>
            </w:r>
            <w:r>
              <w:rPr>
                <w:noProof/>
                <w:webHidden/>
              </w:rPr>
              <w:fldChar w:fldCharType="begin"/>
            </w:r>
            <w:r>
              <w:rPr>
                <w:noProof/>
                <w:webHidden/>
              </w:rPr>
              <w:instrText xml:space="preserve"> PAGEREF _Toc220490885 \h </w:instrText>
            </w:r>
            <w:r>
              <w:rPr>
                <w:noProof/>
                <w:webHidden/>
              </w:rPr>
            </w:r>
            <w:r>
              <w:rPr>
                <w:noProof/>
                <w:webHidden/>
              </w:rPr>
              <w:fldChar w:fldCharType="separate"/>
            </w:r>
            <w:r>
              <w:rPr>
                <w:noProof/>
                <w:webHidden/>
              </w:rPr>
              <w:t>661</w:t>
            </w:r>
            <w:r>
              <w:rPr>
                <w:noProof/>
                <w:webHidden/>
              </w:rPr>
              <w:fldChar w:fldCharType="end"/>
            </w:r>
          </w:hyperlink>
        </w:p>
        <w:p w14:paraId="74C8B009"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886" w:history="1">
            <w:r w:rsidRPr="000D551A">
              <w:rPr>
                <w:rStyle w:val="Lienhypertexte"/>
                <w:noProof/>
              </w:rPr>
              <w:t>45.33 Echelles de secours à crinolines CCTB 01.02</w:t>
            </w:r>
            <w:r>
              <w:rPr>
                <w:noProof/>
                <w:webHidden/>
              </w:rPr>
              <w:tab/>
            </w:r>
            <w:r>
              <w:rPr>
                <w:noProof/>
                <w:webHidden/>
              </w:rPr>
              <w:fldChar w:fldCharType="begin"/>
            </w:r>
            <w:r>
              <w:rPr>
                <w:noProof/>
                <w:webHidden/>
              </w:rPr>
              <w:instrText xml:space="preserve"> PAGEREF _Toc220490886 \h </w:instrText>
            </w:r>
            <w:r>
              <w:rPr>
                <w:noProof/>
                <w:webHidden/>
              </w:rPr>
            </w:r>
            <w:r>
              <w:rPr>
                <w:noProof/>
                <w:webHidden/>
              </w:rPr>
              <w:fldChar w:fldCharType="separate"/>
            </w:r>
            <w:r>
              <w:rPr>
                <w:noProof/>
                <w:webHidden/>
              </w:rPr>
              <w:t>661</w:t>
            </w:r>
            <w:r>
              <w:rPr>
                <w:noProof/>
                <w:webHidden/>
              </w:rPr>
              <w:fldChar w:fldCharType="end"/>
            </w:r>
          </w:hyperlink>
        </w:p>
        <w:p w14:paraId="5216370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87" w:history="1">
            <w:r w:rsidRPr="000D551A">
              <w:rPr>
                <w:rStyle w:val="Lienhypertexte"/>
                <w:noProof/>
              </w:rPr>
              <w:t>45.33.1 Echelles de secours à crinolines en acier CCTB 01.02</w:t>
            </w:r>
            <w:r>
              <w:rPr>
                <w:noProof/>
                <w:webHidden/>
              </w:rPr>
              <w:tab/>
            </w:r>
            <w:r>
              <w:rPr>
                <w:noProof/>
                <w:webHidden/>
              </w:rPr>
              <w:fldChar w:fldCharType="begin"/>
            </w:r>
            <w:r>
              <w:rPr>
                <w:noProof/>
                <w:webHidden/>
              </w:rPr>
              <w:instrText xml:space="preserve"> PAGEREF _Toc220490887 \h </w:instrText>
            </w:r>
            <w:r>
              <w:rPr>
                <w:noProof/>
                <w:webHidden/>
              </w:rPr>
            </w:r>
            <w:r>
              <w:rPr>
                <w:noProof/>
                <w:webHidden/>
              </w:rPr>
              <w:fldChar w:fldCharType="separate"/>
            </w:r>
            <w:r>
              <w:rPr>
                <w:noProof/>
                <w:webHidden/>
              </w:rPr>
              <w:t>661</w:t>
            </w:r>
            <w:r>
              <w:rPr>
                <w:noProof/>
                <w:webHidden/>
              </w:rPr>
              <w:fldChar w:fldCharType="end"/>
            </w:r>
          </w:hyperlink>
        </w:p>
        <w:p w14:paraId="394A6F7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88" w:history="1">
            <w:r w:rsidRPr="000D551A">
              <w:rPr>
                <w:rStyle w:val="Lienhypertexte"/>
                <w:noProof/>
              </w:rPr>
              <w:t>45.33.1a Echelles de secours à crinolines en acier</w:t>
            </w:r>
            <w:r>
              <w:rPr>
                <w:noProof/>
                <w:webHidden/>
              </w:rPr>
              <w:tab/>
            </w:r>
            <w:r>
              <w:rPr>
                <w:noProof/>
                <w:webHidden/>
              </w:rPr>
              <w:fldChar w:fldCharType="begin"/>
            </w:r>
            <w:r>
              <w:rPr>
                <w:noProof/>
                <w:webHidden/>
              </w:rPr>
              <w:instrText xml:space="preserve"> PAGEREF _Toc220490888 \h </w:instrText>
            </w:r>
            <w:r>
              <w:rPr>
                <w:noProof/>
                <w:webHidden/>
              </w:rPr>
            </w:r>
            <w:r>
              <w:rPr>
                <w:noProof/>
                <w:webHidden/>
              </w:rPr>
              <w:fldChar w:fldCharType="separate"/>
            </w:r>
            <w:r>
              <w:rPr>
                <w:noProof/>
                <w:webHidden/>
              </w:rPr>
              <w:t>661</w:t>
            </w:r>
            <w:r>
              <w:rPr>
                <w:noProof/>
                <w:webHidden/>
              </w:rPr>
              <w:fldChar w:fldCharType="end"/>
            </w:r>
          </w:hyperlink>
        </w:p>
        <w:p w14:paraId="77A2491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89" w:history="1">
            <w:r w:rsidRPr="000D551A">
              <w:rPr>
                <w:rStyle w:val="Lienhypertexte"/>
                <w:noProof/>
              </w:rPr>
              <w:t>45.33.2 Echelles de secours à crinolines en acier inoxydable CCTB 01.02</w:t>
            </w:r>
            <w:r>
              <w:rPr>
                <w:noProof/>
                <w:webHidden/>
              </w:rPr>
              <w:tab/>
            </w:r>
            <w:r>
              <w:rPr>
                <w:noProof/>
                <w:webHidden/>
              </w:rPr>
              <w:fldChar w:fldCharType="begin"/>
            </w:r>
            <w:r>
              <w:rPr>
                <w:noProof/>
                <w:webHidden/>
              </w:rPr>
              <w:instrText xml:space="preserve"> PAGEREF _Toc220490889 \h </w:instrText>
            </w:r>
            <w:r>
              <w:rPr>
                <w:noProof/>
                <w:webHidden/>
              </w:rPr>
            </w:r>
            <w:r>
              <w:rPr>
                <w:noProof/>
                <w:webHidden/>
              </w:rPr>
              <w:fldChar w:fldCharType="separate"/>
            </w:r>
            <w:r>
              <w:rPr>
                <w:noProof/>
                <w:webHidden/>
              </w:rPr>
              <w:t>661</w:t>
            </w:r>
            <w:r>
              <w:rPr>
                <w:noProof/>
                <w:webHidden/>
              </w:rPr>
              <w:fldChar w:fldCharType="end"/>
            </w:r>
          </w:hyperlink>
        </w:p>
        <w:p w14:paraId="27DA1D8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90" w:history="1">
            <w:r w:rsidRPr="000D551A">
              <w:rPr>
                <w:rStyle w:val="Lienhypertexte"/>
                <w:noProof/>
              </w:rPr>
              <w:t>45.33.2a Echelles de secours à crinolines en acier inoxydable</w:t>
            </w:r>
            <w:r>
              <w:rPr>
                <w:noProof/>
                <w:webHidden/>
              </w:rPr>
              <w:tab/>
            </w:r>
            <w:r>
              <w:rPr>
                <w:noProof/>
                <w:webHidden/>
              </w:rPr>
              <w:fldChar w:fldCharType="begin"/>
            </w:r>
            <w:r>
              <w:rPr>
                <w:noProof/>
                <w:webHidden/>
              </w:rPr>
              <w:instrText xml:space="preserve"> PAGEREF _Toc220490890 \h </w:instrText>
            </w:r>
            <w:r>
              <w:rPr>
                <w:noProof/>
                <w:webHidden/>
              </w:rPr>
            </w:r>
            <w:r>
              <w:rPr>
                <w:noProof/>
                <w:webHidden/>
              </w:rPr>
              <w:fldChar w:fldCharType="separate"/>
            </w:r>
            <w:r>
              <w:rPr>
                <w:noProof/>
                <w:webHidden/>
              </w:rPr>
              <w:t>661</w:t>
            </w:r>
            <w:r>
              <w:rPr>
                <w:noProof/>
                <w:webHidden/>
              </w:rPr>
              <w:fldChar w:fldCharType="end"/>
            </w:r>
          </w:hyperlink>
        </w:p>
        <w:p w14:paraId="75AB330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891" w:history="1">
            <w:r w:rsidRPr="000D551A">
              <w:rPr>
                <w:rStyle w:val="Lienhypertexte"/>
                <w:noProof/>
              </w:rPr>
              <w:t>45.33.3 Echelles de secours à crinolines en aluminium CCTB 01.02</w:t>
            </w:r>
            <w:r>
              <w:rPr>
                <w:noProof/>
                <w:webHidden/>
              </w:rPr>
              <w:tab/>
            </w:r>
            <w:r>
              <w:rPr>
                <w:noProof/>
                <w:webHidden/>
              </w:rPr>
              <w:fldChar w:fldCharType="begin"/>
            </w:r>
            <w:r>
              <w:rPr>
                <w:noProof/>
                <w:webHidden/>
              </w:rPr>
              <w:instrText xml:space="preserve"> PAGEREF _Toc220490891 \h </w:instrText>
            </w:r>
            <w:r>
              <w:rPr>
                <w:noProof/>
                <w:webHidden/>
              </w:rPr>
            </w:r>
            <w:r>
              <w:rPr>
                <w:noProof/>
                <w:webHidden/>
              </w:rPr>
              <w:fldChar w:fldCharType="separate"/>
            </w:r>
            <w:r>
              <w:rPr>
                <w:noProof/>
                <w:webHidden/>
              </w:rPr>
              <w:t>661</w:t>
            </w:r>
            <w:r>
              <w:rPr>
                <w:noProof/>
                <w:webHidden/>
              </w:rPr>
              <w:fldChar w:fldCharType="end"/>
            </w:r>
          </w:hyperlink>
        </w:p>
        <w:p w14:paraId="43D1B13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892" w:history="1">
            <w:r w:rsidRPr="000D551A">
              <w:rPr>
                <w:rStyle w:val="Lienhypertexte"/>
                <w:noProof/>
              </w:rPr>
              <w:t>45.33.3a Echelles de secours à crinolines en aluminium</w:t>
            </w:r>
            <w:r>
              <w:rPr>
                <w:noProof/>
                <w:webHidden/>
              </w:rPr>
              <w:tab/>
            </w:r>
            <w:r>
              <w:rPr>
                <w:noProof/>
                <w:webHidden/>
              </w:rPr>
              <w:fldChar w:fldCharType="begin"/>
            </w:r>
            <w:r>
              <w:rPr>
                <w:noProof/>
                <w:webHidden/>
              </w:rPr>
              <w:instrText xml:space="preserve"> PAGEREF _Toc220490892 \h </w:instrText>
            </w:r>
            <w:r>
              <w:rPr>
                <w:noProof/>
                <w:webHidden/>
              </w:rPr>
            </w:r>
            <w:r>
              <w:rPr>
                <w:noProof/>
                <w:webHidden/>
              </w:rPr>
              <w:fldChar w:fldCharType="separate"/>
            </w:r>
            <w:r>
              <w:rPr>
                <w:noProof/>
                <w:webHidden/>
              </w:rPr>
              <w:t>661</w:t>
            </w:r>
            <w:r>
              <w:rPr>
                <w:noProof/>
                <w:webHidden/>
              </w:rPr>
              <w:fldChar w:fldCharType="end"/>
            </w:r>
          </w:hyperlink>
        </w:p>
        <w:p w14:paraId="5E87853B"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893" w:history="1">
            <w:r w:rsidRPr="000D551A">
              <w:rPr>
                <w:rStyle w:val="Lienhypertexte"/>
                <w:noProof/>
              </w:rPr>
              <w:t>45.4 Rails d'entretien CCTB 01.04</w:t>
            </w:r>
            <w:r>
              <w:rPr>
                <w:noProof/>
                <w:webHidden/>
              </w:rPr>
              <w:tab/>
            </w:r>
            <w:r>
              <w:rPr>
                <w:noProof/>
                <w:webHidden/>
              </w:rPr>
              <w:fldChar w:fldCharType="begin"/>
            </w:r>
            <w:r>
              <w:rPr>
                <w:noProof/>
                <w:webHidden/>
              </w:rPr>
              <w:instrText xml:space="preserve"> PAGEREF _Toc220490893 \h </w:instrText>
            </w:r>
            <w:r>
              <w:rPr>
                <w:noProof/>
                <w:webHidden/>
              </w:rPr>
            </w:r>
            <w:r>
              <w:rPr>
                <w:noProof/>
                <w:webHidden/>
              </w:rPr>
              <w:fldChar w:fldCharType="separate"/>
            </w:r>
            <w:r>
              <w:rPr>
                <w:noProof/>
                <w:webHidden/>
              </w:rPr>
              <w:t>661</w:t>
            </w:r>
            <w:r>
              <w:rPr>
                <w:noProof/>
                <w:webHidden/>
              </w:rPr>
              <w:fldChar w:fldCharType="end"/>
            </w:r>
          </w:hyperlink>
        </w:p>
        <w:p w14:paraId="100F1FDF"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894" w:history="1">
            <w:r w:rsidRPr="000D551A">
              <w:rPr>
                <w:rStyle w:val="Lienhypertexte"/>
                <w:noProof/>
              </w:rPr>
              <w:t>45.5 - CCTB 01.02</w:t>
            </w:r>
            <w:r>
              <w:rPr>
                <w:noProof/>
                <w:webHidden/>
              </w:rPr>
              <w:tab/>
            </w:r>
            <w:r>
              <w:rPr>
                <w:noProof/>
                <w:webHidden/>
              </w:rPr>
              <w:fldChar w:fldCharType="begin"/>
            </w:r>
            <w:r>
              <w:rPr>
                <w:noProof/>
                <w:webHidden/>
              </w:rPr>
              <w:instrText xml:space="preserve"> PAGEREF _Toc220490894 \h </w:instrText>
            </w:r>
            <w:r>
              <w:rPr>
                <w:noProof/>
                <w:webHidden/>
              </w:rPr>
            </w:r>
            <w:r>
              <w:rPr>
                <w:noProof/>
                <w:webHidden/>
              </w:rPr>
              <w:fldChar w:fldCharType="separate"/>
            </w:r>
            <w:r>
              <w:rPr>
                <w:noProof/>
                <w:webHidden/>
              </w:rPr>
              <w:t>661</w:t>
            </w:r>
            <w:r>
              <w:rPr>
                <w:noProof/>
                <w:webHidden/>
              </w:rPr>
              <w:fldChar w:fldCharType="end"/>
            </w:r>
          </w:hyperlink>
        </w:p>
        <w:p w14:paraId="2F467605"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895" w:history="1">
            <w:r w:rsidRPr="000D551A">
              <w:rPr>
                <w:rStyle w:val="Lienhypertexte"/>
                <w:noProof/>
              </w:rPr>
              <w:t>45.6 - CCTB 01.02</w:t>
            </w:r>
            <w:r>
              <w:rPr>
                <w:noProof/>
                <w:webHidden/>
              </w:rPr>
              <w:tab/>
            </w:r>
            <w:r>
              <w:rPr>
                <w:noProof/>
                <w:webHidden/>
              </w:rPr>
              <w:fldChar w:fldCharType="begin"/>
            </w:r>
            <w:r>
              <w:rPr>
                <w:noProof/>
                <w:webHidden/>
              </w:rPr>
              <w:instrText xml:space="preserve"> PAGEREF _Toc220490895 \h </w:instrText>
            </w:r>
            <w:r>
              <w:rPr>
                <w:noProof/>
                <w:webHidden/>
              </w:rPr>
            </w:r>
            <w:r>
              <w:rPr>
                <w:noProof/>
                <w:webHidden/>
              </w:rPr>
              <w:fldChar w:fldCharType="separate"/>
            </w:r>
            <w:r>
              <w:rPr>
                <w:noProof/>
                <w:webHidden/>
              </w:rPr>
              <w:t>661</w:t>
            </w:r>
            <w:r>
              <w:rPr>
                <w:noProof/>
                <w:webHidden/>
              </w:rPr>
              <w:fldChar w:fldCharType="end"/>
            </w:r>
          </w:hyperlink>
        </w:p>
        <w:p w14:paraId="3D2A66A6"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896" w:history="1">
            <w:r w:rsidRPr="000D551A">
              <w:rPr>
                <w:rStyle w:val="Lienhypertexte"/>
                <w:noProof/>
              </w:rPr>
              <w:t>45.7 - CCTB 01.02</w:t>
            </w:r>
            <w:r>
              <w:rPr>
                <w:noProof/>
                <w:webHidden/>
              </w:rPr>
              <w:tab/>
            </w:r>
            <w:r>
              <w:rPr>
                <w:noProof/>
                <w:webHidden/>
              </w:rPr>
              <w:fldChar w:fldCharType="begin"/>
            </w:r>
            <w:r>
              <w:rPr>
                <w:noProof/>
                <w:webHidden/>
              </w:rPr>
              <w:instrText xml:space="preserve"> PAGEREF _Toc220490896 \h </w:instrText>
            </w:r>
            <w:r>
              <w:rPr>
                <w:noProof/>
                <w:webHidden/>
              </w:rPr>
            </w:r>
            <w:r>
              <w:rPr>
                <w:noProof/>
                <w:webHidden/>
              </w:rPr>
              <w:fldChar w:fldCharType="separate"/>
            </w:r>
            <w:r>
              <w:rPr>
                <w:noProof/>
                <w:webHidden/>
              </w:rPr>
              <w:t>661</w:t>
            </w:r>
            <w:r>
              <w:rPr>
                <w:noProof/>
                <w:webHidden/>
              </w:rPr>
              <w:fldChar w:fldCharType="end"/>
            </w:r>
          </w:hyperlink>
        </w:p>
        <w:p w14:paraId="1EB0B710"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897" w:history="1">
            <w:r w:rsidRPr="000D551A">
              <w:rPr>
                <w:rStyle w:val="Lienhypertexte"/>
                <w:noProof/>
              </w:rPr>
              <w:t>45.8 Escaliers extérieurs et rampes - Rénovation CCTB 01.02</w:t>
            </w:r>
            <w:r>
              <w:rPr>
                <w:noProof/>
                <w:webHidden/>
              </w:rPr>
              <w:tab/>
            </w:r>
            <w:r>
              <w:rPr>
                <w:noProof/>
                <w:webHidden/>
              </w:rPr>
              <w:fldChar w:fldCharType="begin"/>
            </w:r>
            <w:r>
              <w:rPr>
                <w:noProof/>
                <w:webHidden/>
              </w:rPr>
              <w:instrText xml:space="preserve"> PAGEREF _Toc220490897 \h </w:instrText>
            </w:r>
            <w:r>
              <w:rPr>
                <w:noProof/>
                <w:webHidden/>
              </w:rPr>
            </w:r>
            <w:r>
              <w:rPr>
                <w:noProof/>
                <w:webHidden/>
              </w:rPr>
              <w:fldChar w:fldCharType="separate"/>
            </w:r>
            <w:r>
              <w:rPr>
                <w:noProof/>
                <w:webHidden/>
              </w:rPr>
              <w:t>661</w:t>
            </w:r>
            <w:r>
              <w:rPr>
                <w:noProof/>
                <w:webHidden/>
              </w:rPr>
              <w:fldChar w:fldCharType="end"/>
            </w:r>
          </w:hyperlink>
        </w:p>
        <w:p w14:paraId="7C6BA299" w14:textId="77777777" w:rsidR="00FA36CF" w:rsidRDefault="00FA36CF">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0898" w:history="1">
            <w:r w:rsidRPr="000D551A">
              <w:rPr>
                <w:rStyle w:val="Lienhypertexte"/>
                <w:noProof/>
              </w:rPr>
              <w:t>46 Chapes et revêtements de sols extérieurs (des balcons) CCTB 01.11</w:t>
            </w:r>
            <w:r>
              <w:rPr>
                <w:noProof/>
                <w:webHidden/>
              </w:rPr>
              <w:tab/>
            </w:r>
            <w:r>
              <w:rPr>
                <w:noProof/>
                <w:webHidden/>
              </w:rPr>
              <w:fldChar w:fldCharType="begin"/>
            </w:r>
            <w:r>
              <w:rPr>
                <w:noProof/>
                <w:webHidden/>
              </w:rPr>
              <w:instrText xml:space="preserve"> PAGEREF _Toc220490898 \h </w:instrText>
            </w:r>
            <w:r>
              <w:rPr>
                <w:noProof/>
                <w:webHidden/>
              </w:rPr>
            </w:r>
            <w:r>
              <w:rPr>
                <w:noProof/>
                <w:webHidden/>
              </w:rPr>
              <w:fldChar w:fldCharType="separate"/>
            </w:r>
            <w:r>
              <w:rPr>
                <w:noProof/>
                <w:webHidden/>
              </w:rPr>
              <w:t>661</w:t>
            </w:r>
            <w:r>
              <w:rPr>
                <w:noProof/>
                <w:webHidden/>
              </w:rPr>
              <w:fldChar w:fldCharType="end"/>
            </w:r>
          </w:hyperlink>
        </w:p>
        <w:p w14:paraId="4849B3DA"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899" w:history="1">
            <w:r w:rsidRPr="000D551A">
              <w:rPr>
                <w:rStyle w:val="Lienhypertexte"/>
                <w:noProof/>
              </w:rPr>
              <w:t>46.1 Sous-couches CCTB 01.02</w:t>
            </w:r>
            <w:r>
              <w:rPr>
                <w:noProof/>
                <w:webHidden/>
              </w:rPr>
              <w:tab/>
            </w:r>
            <w:r>
              <w:rPr>
                <w:noProof/>
                <w:webHidden/>
              </w:rPr>
              <w:fldChar w:fldCharType="begin"/>
            </w:r>
            <w:r>
              <w:rPr>
                <w:noProof/>
                <w:webHidden/>
              </w:rPr>
              <w:instrText xml:space="preserve"> PAGEREF _Toc220490899 \h </w:instrText>
            </w:r>
            <w:r>
              <w:rPr>
                <w:noProof/>
                <w:webHidden/>
              </w:rPr>
            </w:r>
            <w:r>
              <w:rPr>
                <w:noProof/>
                <w:webHidden/>
              </w:rPr>
              <w:fldChar w:fldCharType="separate"/>
            </w:r>
            <w:r>
              <w:rPr>
                <w:noProof/>
                <w:webHidden/>
              </w:rPr>
              <w:t>663</w:t>
            </w:r>
            <w:r>
              <w:rPr>
                <w:noProof/>
                <w:webHidden/>
              </w:rPr>
              <w:fldChar w:fldCharType="end"/>
            </w:r>
          </w:hyperlink>
        </w:p>
        <w:p w14:paraId="4E859E2B"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00" w:history="1">
            <w:r w:rsidRPr="000D551A">
              <w:rPr>
                <w:rStyle w:val="Lienhypertexte"/>
                <w:noProof/>
              </w:rPr>
              <w:t>46.11 Sous-couches de remplissage ou d'égalisation CCTB 01.02</w:t>
            </w:r>
            <w:r>
              <w:rPr>
                <w:noProof/>
                <w:webHidden/>
              </w:rPr>
              <w:tab/>
            </w:r>
            <w:r>
              <w:rPr>
                <w:noProof/>
                <w:webHidden/>
              </w:rPr>
              <w:fldChar w:fldCharType="begin"/>
            </w:r>
            <w:r>
              <w:rPr>
                <w:noProof/>
                <w:webHidden/>
              </w:rPr>
              <w:instrText xml:space="preserve"> PAGEREF _Toc220490900 \h </w:instrText>
            </w:r>
            <w:r>
              <w:rPr>
                <w:noProof/>
                <w:webHidden/>
              </w:rPr>
            </w:r>
            <w:r>
              <w:rPr>
                <w:noProof/>
                <w:webHidden/>
              </w:rPr>
              <w:fldChar w:fldCharType="separate"/>
            </w:r>
            <w:r>
              <w:rPr>
                <w:noProof/>
                <w:webHidden/>
              </w:rPr>
              <w:t>663</w:t>
            </w:r>
            <w:r>
              <w:rPr>
                <w:noProof/>
                <w:webHidden/>
              </w:rPr>
              <w:fldChar w:fldCharType="end"/>
            </w:r>
          </w:hyperlink>
        </w:p>
        <w:p w14:paraId="7711A7A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01" w:history="1">
            <w:r w:rsidRPr="000D551A">
              <w:rPr>
                <w:rStyle w:val="Lienhypertexte"/>
                <w:noProof/>
              </w:rPr>
              <w:t>46.11.1 Sous-couches de remplissage ou d'égalisation à base de granulats liés CCTB 01.02</w:t>
            </w:r>
            <w:r>
              <w:rPr>
                <w:noProof/>
                <w:webHidden/>
              </w:rPr>
              <w:tab/>
            </w:r>
            <w:r>
              <w:rPr>
                <w:noProof/>
                <w:webHidden/>
              </w:rPr>
              <w:fldChar w:fldCharType="begin"/>
            </w:r>
            <w:r>
              <w:rPr>
                <w:noProof/>
                <w:webHidden/>
              </w:rPr>
              <w:instrText xml:space="preserve"> PAGEREF _Toc220490901 \h </w:instrText>
            </w:r>
            <w:r>
              <w:rPr>
                <w:noProof/>
                <w:webHidden/>
              </w:rPr>
            </w:r>
            <w:r>
              <w:rPr>
                <w:noProof/>
                <w:webHidden/>
              </w:rPr>
              <w:fldChar w:fldCharType="separate"/>
            </w:r>
            <w:r>
              <w:rPr>
                <w:noProof/>
                <w:webHidden/>
              </w:rPr>
              <w:t>663</w:t>
            </w:r>
            <w:r>
              <w:rPr>
                <w:noProof/>
                <w:webHidden/>
              </w:rPr>
              <w:fldChar w:fldCharType="end"/>
            </w:r>
          </w:hyperlink>
        </w:p>
        <w:p w14:paraId="7B593E7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2" w:history="1">
            <w:r w:rsidRPr="000D551A">
              <w:rPr>
                <w:rStyle w:val="Lienhypertexte"/>
                <w:noProof/>
              </w:rPr>
              <w:t>46.11.1a Sous-couches de remplissage ou d'égalisation à base de ciment et de sable de rivière. CCTB 01.02</w:t>
            </w:r>
            <w:r>
              <w:rPr>
                <w:noProof/>
                <w:webHidden/>
              </w:rPr>
              <w:tab/>
            </w:r>
            <w:r>
              <w:rPr>
                <w:noProof/>
                <w:webHidden/>
              </w:rPr>
              <w:fldChar w:fldCharType="begin"/>
            </w:r>
            <w:r>
              <w:rPr>
                <w:noProof/>
                <w:webHidden/>
              </w:rPr>
              <w:instrText xml:space="preserve"> PAGEREF _Toc220490902 \h </w:instrText>
            </w:r>
            <w:r>
              <w:rPr>
                <w:noProof/>
                <w:webHidden/>
              </w:rPr>
            </w:r>
            <w:r>
              <w:rPr>
                <w:noProof/>
                <w:webHidden/>
              </w:rPr>
              <w:fldChar w:fldCharType="separate"/>
            </w:r>
            <w:r>
              <w:rPr>
                <w:noProof/>
                <w:webHidden/>
              </w:rPr>
              <w:t>663</w:t>
            </w:r>
            <w:r>
              <w:rPr>
                <w:noProof/>
                <w:webHidden/>
              </w:rPr>
              <w:fldChar w:fldCharType="end"/>
            </w:r>
          </w:hyperlink>
        </w:p>
        <w:p w14:paraId="29BED0E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3" w:history="1">
            <w:r w:rsidRPr="000D551A">
              <w:rPr>
                <w:rStyle w:val="Lienhypertexte"/>
                <w:noProof/>
              </w:rPr>
              <w:t>46.11.1b Sous-couches de remplissage ou d'égalisation à base de ciment, de gravier ou de pierraille et sable. CCTB 01.02</w:t>
            </w:r>
            <w:r>
              <w:rPr>
                <w:noProof/>
                <w:webHidden/>
              </w:rPr>
              <w:tab/>
            </w:r>
            <w:r>
              <w:rPr>
                <w:noProof/>
                <w:webHidden/>
              </w:rPr>
              <w:fldChar w:fldCharType="begin"/>
            </w:r>
            <w:r>
              <w:rPr>
                <w:noProof/>
                <w:webHidden/>
              </w:rPr>
              <w:instrText xml:space="preserve"> PAGEREF _Toc220490903 \h </w:instrText>
            </w:r>
            <w:r>
              <w:rPr>
                <w:noProof/>
                <w:webHidden/>
              </w:rPr>
            </w:r>
            <w:r>
              <w:rPr>
                <w:noProof/>
                <w:webHidden/>
              </w:rPr>
              <w:fldChar w:fldCharType="separate"/>
            </w:r>
            <w:r>
              <w:rPr>
                <w:noProof/>
                <w:webHidden/>
              </w:rPr>
              <w:t>663</w:t>
            </w:r>
            <w:r>
              <w:rPr>
                <w:noProof/>
                <w:webHidden/>
              </w:rPr>
              <w:fldChar w:fldCharType="end"/>
            </w:r>
          </w:hyperlink>
        </w:p>
        <w:p w14:paraId="1861B84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4" w:history="1">
            <w:r w:rsidRPr="000D551A">
              <w:rPr>
                <w:rStyle w:val="Lienhypertexte"/>
                <w:noProof/>
              </w:rPr>
              <w:t>46.11.1c Sous-couches de remplissage ou d'égalisation à base de granulats d'argile expansée enrobés de pâte de ciment ( béton d'argile expansée) CCTB 01.02</w:t>
            </w:r>
            <w:r>
              <w:rPr>
                <w:noProof/>
                <w:webHidden/>
              </w:rPr>
              <w:tab/>
            </w:r>
            <w:r>
              <w:rPr>
                <w:noProof/>
                <w:webHidden/>
              </w:rPr>
              <w:fldChar w:fldCharType="begin"/>
            </w:r>
            <w:r>
              <w:rPr>
                <w:noProof/>
                <w:webHidden/>
              </w:rPr>
              <w:instrText xml:space="preserve"> PAGEREF _Toc220490904 \h </w:instrText>
            </w:r>
            <w:r>
              <w:rPr>
                <w:noProof/>
                <w:webHidden/>
              </w:rPr>
            </w:r>
            <w:r>
              <w:rPr>
                <w:noProof/>
                <w:webHidden/>
              </w:rPr>
              <w:fldChar w:fldCharType="separate"/>
            </w:r>
            <w:r>
              <w:rPr>
                <w:noProof/>
                <w:webHidden/>
              </w:rPr>
              <w:t>663</w:t>
            </w:r>
            <w:r>
              <w:rPr>
                <w:noProof/>
                <w:webHidden/>
              </w:rPr>
              <w:fldChar w:fldCharType="end"/>
            </w:r>
          </w:hyperlink>
        </w:p>
        <w:p w14:paraId="77E7BE7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5" w:history="1">
            <w:r w:rsidRPr="000D551A">
              <w:rPr>
                <w:rStyle w:val="Lienhypertexte"/>
                <w:noProof/>
              </w:rPr>
              <w:t>46.11.1d Sous-couches de remplissage ou d'égalisation à base de billes de mousse de polystyrène expansé, de ciment et d'adjuvants (béton de polystyrène expansé) CCTB 01.02</w:t>
            </w:r>
            <w:r>
              <w:rPr>
                <w:noProof/>
                <w:webHidden/>
              </w:rPr>
              <w:tab/>
            </w:r>
            <w:r>
              <w:rPr>
                <w:noProof/>
                <w:webHidden/>
              </w:rPr>
              <w:fldChar w:fldCharType="begin"/>
            </w:r>
            <w:r>
              <w:rPr>
                <w:noProof/>
                <w:webHidden/>
              </w:rPr>
              <w:instrText xml:space="preserve"> PAGEREF _Toc220490905 \h </w:instrText>
            </w:r>
            <w:r>
              <w:rPr>
                <w:noProof/>
                <w:webHidden/>
              </w:rPr>
            </w:r>
            <w:r>
              <w:rPr>
                <w:noProof/>
                <w:webHidden/>
              </w:rPr>
              <w:fldChar w:fldCharType="separate"/>
            </w:r>
            <w:r>
              <w:rPr>
                <w:noProof/>
                <w:webHidden/>
              </w:rPr>
              <w:t>663</w:t>
            </w:r>
            <w:r>
              <w:rPr>
                <w:noProof/>
                <w:webHidden/>
              </w:rPr>
              <w:fldChar w:fldCharType="end"/>
            </w:r>
          </w:hyperlink>
        </w:p>
        <w:p w14:paraId="1082649A"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06" w:history="1">
            <w:r w:rsidRPr="000D551A">
              <w:rPr>
                <w:rStyle w:val="Lienhypertexte"/>
                <w:noProof/>
              </w:rPr>
              <w:t>46.11.2 Sous-couches d'étanchéité CCTB 01.04</w:t>
            </w:r>
            <w:r>
              <w:rPr>
                <w:noProof/>
                <w:webHidden/>
              </w:rPr>
              <w:tab/>
            </w:r>
            <w:r>
              <w:rPr>
                <w:noProof/>
                <w:webHidden/>
              </w:rPr>
              <w:fldChar w:fldCharType="begin"/>
            </w:r>
            <w:r>
              <w:rPr>
                <w:noProof/>
                <w:webHidden/>
              </w:rPr>
              <w:instrText xml:space="preserve"> PAGEREF _Toc220490906 \h </w:instrText>
            </w:r>
            <w:r>
              <w:rPr>
                <w:noProof/>
                <w:webHidden/>
              </w:rPr>
            </w:r>
            <w:r>
              <w:rPr>
                <w:noProof/>
                <w:webHidden/>
              </w:rPr>
              <w:fldChar w:fldCharType="separate"/>
            </w:r>
            <w:r>
              <w:rPr>
                <w:noProof/>
                <w:webHidden/>
              </w:rPr>
              <w:t>663</w:t>
            </w:r>
            <w:r>
              <w:rPr>
                <w:noProof/>
                <w:webHidden/>
              </w:rPr>
              <w:fldChar w:fldCharType="end"/>
            </w:r>
          </w:hyperlink>
        </w:p>
        <w:p w14:paraId="755A102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07" w:history="1">
            <w:r w:rsidRPr="000D551A">
              <w:rPr>
                <w:rStyle w:val="Lienhypertexte"/>
                <w:noProof/>
              </w:rPr>
              <w:t>46.11.3 Sous-couches drainantes CCTB 01.02</w:t>
            </w:r>
            <w:r>
              <w:rPr>
                <w:noProof/>
                <w:webHidden/>
              </w:rPr>
              <w:tab/>
            </w:r>
            <w:r>
              <w:rPr>
                <w:noProof/>
                <w:webHidden/>
              </w:rPr>
              <w:fldChar w:fldCharType="begin"/>
            </w:r>
            <w:r>
              <w:rPr>
                <w:noProof/>
                <w:webHidden/>
              </w:rPr>
              <w:instrText xml:space="preserve"> PAGEREF _Toc220490907 \h </w:instrText>
            </w:r>
            <w:r>
              <w:rPr>
                <w:noProof/>
                <w:webHidden/>
              </w:rPr>
            </w:r>
            <w:r>
              <w:rPr>
                <w:noProof/>
                <w:webHidden/>
              </w:rPr>
              <w:fldChar w:fldCharType="separate"/>
            </w:r>
            <w:r>
              <w:rPr>
                <w:noProof/>
                <w:webHidden/>
              </w:rPr>
              <w:t>664</w:t>
            </w:r>
            <w:r>
              <w:rPr>
                <w:noProof/>
                <w:webHidden/>
              </w:rPr>
              <w:fldChar w:fldCharType="end"/>
            </w:r>
          </w:hyperlink>
        </w:p>
        <w:p w14:paraId="1B2BA34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08" w:history="1">
            <w:r w:rsidRPr="000D551A">
              <w:rPr>
                <w:rStyle w:val="Lienhypertexte"/>
                <w:noProof/>
              </w:rPr>
              <w:t>46.11.3a Sous-couches drainantes pour chapes et revêtements de sols extérieurs</w:t>
            </w:r>
            <w:r>
              <w:rPr>
                <w:noProof/>
                <w:webHidden/>
              </w:rPr>
              <w:tab/>
            </w:r>
            <w:r>
              <w:rPr>
                <w:noProof/>
                <w:webHidden/>
              </w:rPr>
              <w:fldChar w:fldCharType="begin"/>
            </w:r>
            <w:r>
              <w:rPr>
                <w:noProof/>
                <w:webHidden/>
              </w:rPr>
              <w:instrText xml:space="preserve"> PAGEREF _Toc220490908 \h </w:instrText>
            </w:r>
            <w:r>
              <w:rPr>
                <w:noProof/>
                <w:webHidden/>
              </w:rPr>
            </w:r>
            <w:r>
              <w:rPr>
                <w:noProof/>
                <w:webHidden/>
              </w:rPr>
              <w:fldChar w:fldCharType="separate"/>
            </w:r>
            <w:r>
              <w:rPr>
                <w:noProof/>
                <w:webHidden/>
              </w:rPr>
              <w:t>664</w:t>
            </w:r>
            <w:r>
              <w:rPr>
                <w:noProof/>
                <w:webHidden/>
              </w:rPr>
              <w:fldChar w:fldCharType="end"/>
            </w:r>
          </w:hyperlink>
        </w:p>
        <w:p w14:paraId="7424C512"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09" w:history="1">
            <w:r w:rsidRPr="000D551A">
              <w:rPr>
                <w:rStyle w:val="Lienhypertexte"/>
                <w:noProof/>
              </w:rPr>
              <w:t>46.12 Supports de planchers en lambourdes CCTB 01.02</w:t>
            </w:r>
            <w:r>
              <w:rPr>
                <w:noProof/>
                <w:webHidden/>
              </w:rPr>
              <w:tab/>
            </w:r>
            <w:r>
              <w:rPr>
                <w:noProof/>
                <w:webHidden/>
              </w:rPr>
              <w:fldChar w:fldCharType="begin"/>
            </w:r>
            <w:r>
              <w:rPr>
                <w:noProof/>
                <w:webHidden/>
              </w:rPr>
              <w:instrText xml:space="preserve"> PAGEREF _Toc220490909 \h </w:instrText>
            </w:r>
            <w:r>
              <w:rPr>
                <w:noProof/>
                <w:webHidden/>
              </w:rPr>
            </w:r>
            <w:r>
              <w:rPr>
                <w:noProof/>
                <w:webHidden/>
              </w:rPr>
              <w:fldChar w:fldCharType="separate"/>
            </w:r>
            <w:r>
              <w:rPr>
                <w:noProof/>
                <w:webHidden/>
              </w:rPr>
              <w:t>664</w:t>
            </w:r>
            <w:r>
              <w:rPr>
                <w:noProof/>
                <w:webHidden/>
              </w:rPr>
              <w:fldChar w:fldCharType="end"/>
            </w:r>
          </w:hyperlink>
        </w:p>
        <w:p w14:paraId="41A9264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10" w:history="1">
            <w:r w:rsidRPr="000D551A">
              <w:rPr>
                <w:rStyle w:val="Lienhypertexte"/>
                <w:noProof/>
              </w:rPr>
              <w:t>46.12.1 Supports de planchers en lambourdes</w:t>
            </w:r>
            <w:r>
              <w:rPr>
                <w:noProof/>
                <w:webHidden/>
              </w:rPr>
              <w:tab/>
            </w:r>
            <w:r>
              <w:rPr>
                <w:noProof/>
                <w:webHidden/>
              </w:rPr>
              <w:fldChar w:fldCharType="begin"/>
            </w:r>
            <w:r>
              <w:rPr>
                <w:noProof/>
                <w:webHidden/>
              </w:rPr>
              <w:instrText xml:space="preserve"> PAGEREF _Toc220490910 \h </w:instrText>
            </w:r>
            <w:r>
              <w:rPr>
                <w:noProof/>
                <w:webHidden/>
              </w:rPr>
            </w:r>
            <w:r>
              <w:rPr>
                <w:noProof/>
                <w:webHidden/>
              </w:rPr>
              <w:fldChar w:fldCharType="separate"/>
            </w:r>
            <w:r>
              <w:rPr>
                <w:noProof/>
                <w:webHidden/>
              </w:rPr>
              <w:t>664</w:t>
            </w:r>
            <w:r>
              <w:rPr>
                <w:noProof/>
                <w:webHidden/>
              </w:rPr>
              <w:fldChar w:fldCharType="end"/>
            </w:r>
          </w:hyperlink>
        </w:p>
        <w:p w14:paraId="112EF4A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1" w:history="1">
            <w:r w:rsidRPr="000D551A">
              <w:rPr>
                <w:rStyle w:val="Lienhypertexte"/>
                <w:noProof/>
              </w:rPr>
              <w:t>46.12.1a Supports de planchers extérieurs en lambourdes</w:t>
            </w:r>
            <w:r>
              <w:rPr>
                <w:noProof/>
                <w:webHidden/>
              </w:rPr>
              <w:tab/>
            </w:r>
            <w:r>
              <w:rPr>
                <w:noProof/>
                <w:webHidden/>
              </w:rPr>
              <w:fldChar w:fldCharType="begin"/>
            </w:r>
            <w:r>
              <w:rPr>
                <w:noProof/>
                <w:webHidden/>
              </w:rPr>
              <w:instrText xml:space="preserve"> PAGEREF _Toc220490911 \h </w:instrText>
            </w:r>
            <w:r>
              <w:rPr>
                <w:noProof/>
                <w:webHidden/>
              </w:rPr>
            </w:r>
            <w:r>
              <w:rPr>
                <w:noProof/>
                <w:webHidden/>
              </w:rPr>
              <w:fldChar w:fldCharType="separate"/>
            </w:r>
            <w:r>
              <w:rPr>
                <w:noProof/>
                <w:webHidden/>
              </w:rPr>
              <w:t>664</w:t>
            </w:r>
            <w:r>
              <w:rPr>
                <w:noProof/>
                <w:webHidden/>
              </w:rPr>
              <w:fldChar w:fldCharType="end"/>
            </w:r>
          </w:hyperlink>
        </w:p>
        <w:p w14:paraId="516D33C3"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912" w:history="1">
            <w:r w:rsidRPr="000D551A">
              <w:rPr>
                <w:rStyle w:val="Lienhypertexte"/>
                <w:noProof/>
              </w:rPr>
              <w:t>46.2 Chapes CCTB 01.10</w:t>
            </w:r>
            <w:r>
              <w:rPr>
                <w:noProof/>
                <w:webHidden/>
              </w:rPr>
              <w:tab/>
            </w:r>
            <w:r>
              <w:rPr>
                <w:noProof/>
                <w:webHidden/>
              </w:rPr>
              <w:fldChar w:fldCharType="begin"/>
            </w:r>
            <w:r>
              <w:rPr>
                <w:noProof/>
                <w:webHidden/>
              </w:rPr>
              <w:instrText xml:space="preserve"> PAGEREF _Toc220490912 \h </w:instrText>
            </w:r>
            <w:r>
              <w:rPr>
                <w:noProof/>
                <w:webHidden/>
              </w:rPr>
            </w:r>
            <w:r>
              <w:rPr>
                <w:noProof/>
                <w:webHidden/>
              </w:rPr>
              <w:fldChar w:fldCharType="separate"/>
            </w:r>
            <w:r>
              <w:rPr>
                <w:noProof/>
                <w:webHidden/>
              </w:rPr>
              <w:t>664</w:t>
            </w:r>
            <w:r>
              <w:rPr>
                <w:noProof/>
                <w:webHidden/>
              </w:rPr>
              <w:fldChar w:fldCharType="end"/>
            </w:r>
          </w:hyperlink>
        </w:p>
        <w:p w14:paraId="6567B267"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13" w:history="1">
            <w:r w:rsidRPr="000D551A">
              <w:rPr>
                <w:rStyle w:val="Lienhypertexte"/>
                <w:noProof/>
              </w:rPr>
              <w:t>46.21 Chapes adhérentes CCTB 01.11</w:t>
            </w:r>
            <w:r>
              <w:rPr>
                <w:noProof/>
                <w:webHidden/>
              </w:rPr>
              <w:tab/>
            </w:r>
            <w:r>
              <w:rPr>
                <w:noProof/>
                <w:webHidden/>
              </w:rPr>
              <w:fldChar w:fldCharType="begin"/>
            </w:r>
            <w:r>
              <w:rPr>
                <w:noProof/>
                <w:webHidden/>
              </w:rPr>
              <w:instrText xml:space="preserve"> PAGEREF _Toc220490913 \h </w:instrText>
            </w:r>
            <w:r>
              <w:rPr>
                <w:noProof/>
                <w:webHidden/>
              </w:rPr>
            </w:r>
            <w:r>
              <w:rPr>
                <w:noProof/>
                <w:webHidden/>
              </w:rPr>
              <w:fldChar w:fldCharType="separate"/>
            </w:r>
            <w:r>
              <w:rPr>
                <w:noProof/>
                <w:webHidden/>
              </w:rPr>
              <w:t>664</w:t>
            </w:r>
            <w:r>
              <w:rPr>
                <w:noProof/>
                <w:webHidden/>
              </w:rPr>
              <w:fldChar w:fldCharType="end"/>
            </w:r>
          </w:hyperlink>
        </w:p>
        <w:p w14:paraId="56340F3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14" w:history="1">
            <w:r w:rsidRPr="000D551A">
              <w:rPr>
                <w:rStyle w:val="Lienhypertexte"/>
                <w:noProof/>
              </w:rPr>
              <w:t>46.21.1 Chapes adhérentes à base de ciment CCTB 01.02</w:t>
            </w:r>
            <w:r>
              <w:rPr>
                <w:noProof/>
                <w:webHidden/>
              </w:rPr>
              <w:tab/>
            </w:r>
            <w:r>
              <w:rPr>
                <w:noProof/>
                <w:webHidden/>
              </w:rPr>
              <w:fldChar w:fldCharType="begin"/>
            </w:r>
            <w:r>
              <w:rPr>
                <w:noProof/>
                <w:webHidden/>
              </w:rPr>
              <w:instrText xml:space="preserve"> PAGEREF _Toc220490914 \h </w:instrText>
            </w:r>
            <w:r>
              <w:rPr>
                <w:noProof/>
                <w:webHidden/>
              </w:rPr>
            </w:r>
            <w:r>
              <w:rPr>
                <w:noProof/>
                <w:webHidden/>
              </w:rPr>
              <w:fldChar w:fldCharType="separate"/>
            </w:r>
            <w:r>
              <w:rPr>
                <w:noProof/>
                <w:webHidden/>
              </w:rPr>
              <w:t>665</w:t>
            </w:r>
            <w:r>
              <w:rPr>
                <w:noProof/>
                <w:webHidden/>
              </w:rPr>
              <w:fldChar w:fldCharType="end"/>
            </w:r>
          </w:hyperlink>
        </w:p>
        <w:p w14:paraId="26382C6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5" w:history="1">
            <w:r w:rsidRPr="000D551A">
              <w:rPr>
                <w:rStyle w:val="Lienhypertexte"/>
                <w:noProof/>
              </w:rPr>
              <w:t>46.21.1a Chapes adhérentes à base de ciment CCTB 01.02</w:t>
            </w:r>
            <w:r>
              <w:rPr>
                <w:noProof/>
                <w:webHidden/>
              </w:rPr>
              <w:tab/>
            </w:r>
            <w:r>
              <w:rPr>
                <w:noProof/>
                <w:webHidden/>
              </w:rPr>
              <w:fldChar w:fldCharType="begin"/>
            </w:r>
            <w:r>
              <w:rPr>
                <w:noProof/>
                <w:webHidden/>
              </w:rPr>
              <w:instrText xml:space="preserve"> PAGEREF _Toc220490915 \h </w:instrText>
            </w:r>
            <w:r>
              <w:rPr>
                <w:noProof/>
                <w:webHidden/>
              </w:rPr>
            </w:r>
            <w:r>
              <w:rPr>
                <w:noProof/>
                <w:webHidden/>
              </w:rPr>
              <w:fldChar w:fldCharType="separate"/>
            </w:r>
            <w:r>
              <w:rPr>
                <w:noProof/>
                <w:webHidden/>
              </w:rPr>
              <w:t>665</w:t>
            </w:r>
            <w:r>
              <w:rPr>
                <w:noProof/>
                <w:webHidden/>
              </w:rPr>
              <w:fldChar w:fldCharType="end"/>
            </w:r>
          </w:hyperlink>
        </w:p>
        <w:p w14:paraId="540C8EE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6" w:history="1">
            <w:r w:rsidRPr="000D551A">
              <w:rPr>
                <w:rStyle w:val="Lienhypertexte"/>
                <w:noProof/>
              </w:rPr>
              <w:t>46.21.1b Chapes adhérentes à base de ciment, autonivellante CCTB 01.02</w:t>
            </w:r>
            <w:r>
              <w:rPr>
                <w:noProof/>
                <w:webHidden/>
              </w:rPr>
              <w:tab/>
            </w:r>
            <w:r>
              <w:rPr>
                <w:noProof/>
                <w:webHidden/>
              </w:rPr>
              <w:fldChar w:fldCharType="begin"/>
            </w:r>
            <w:r>
              <w:rPr>
                <w:noProof/>
                <w:webHidden/>
              </w:rPr>
              <w:instrText xml:space="preserve"> PAGEREF _Toc220490916 \h </w:instrText>
            </w:r>
            <w:r>
              <w:rPr>
                <w:noProof/>
                <w:webHidden/>
              </w:rPr>
            </w:r>
            <w:r>
              <w:rPr>
                <w:noProof/>
                <w:webHidden/>
              </w:rPr>
              <w:fldChar w:fldCharType="separate"/>
            </w:r>
            <w:r>
              <w:rPr>
                <w:noProof/>
                <w:webHidden/>
              </w:rPr>
              <w:t>665</w:t>
            </w:r>
            <w:r>
              <w:rPr>
                <w:noProof/>
                <w:webHidden/>
              </w:rPr>
              <w:fldChar w:fldCharType="end"/>
            </w:r>
          </w:hyperlink>
        </w:p>
        <w:p w14:paraId="00D3678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7" w:history="1">
            <w:r w:rsidRPr="000D551A">
              <w:rPr>
                <w:rStyle w:val="Lienhypertexte"/>
                <w:noProof/>
              </w:rPr>
              <w:t>46.21.1c Chapes adhérentes à base de ciment, en 2 couches, dont la supérieure est clouable CCTB 01.02</w:t>
            </w:r>
            <w:r>
              <w:rPr>
                <w:noProof/>
                <w:webHidden/>
              </w:rPr>
              <w:tab/>
            </w:r>
            <w:r>
              <w:rPr>
                <w:noProof/>
                <w:webHidden/>
              </w:rPr>
              <w:fldChar w:fldCharType="begin"/>
            </w:r>
            <w:r>
              <w:rPr>
                <w:noProof/>
                <w:webHidden/>
              </w:rPr>
              <w:instrText xml:space="preserve"> PAGEREF _Toc220490917 \h </w:instrText>
            </w:r>
            <w:r>
              <w:rPr>
                <w:noProof/>
                <w:webHidden/>
              </w:rPr>
            </w:r>
            <w:r>
              <w:rPr>
                <w:noProof/>
                <w:webHidden/>
              </w:rPr>
              <w:fldChar w:fldCharType="separate"/>
            </w:r>
            <w:r>
              <w:rPr>
                <w:noProof/>
                <w:webHidden/>
              </w:rPr>
              <w:t>666</w:t>
            </w:r>
            <w:r>
              <w:rPr>
                <w:noProof/>
                <w:webHidden/>
              </w:rPr>
              <w:fldChar w:fldCharType="end"/>
            </w:r>
          </w:hyperlink>
        </w:p>
        <w:p w14:paraId="49374237"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18" w:history="1">
            <w:r w:rsidRPr="000D551A">
              <w:rPr>
                <w:rStyle w:val="Lienhypertexte"/>
                <w:noProof/>
              </w:rPr>
              <w:t>46.21.2 Chapes adhérentes en asphalte coulé CCTB 01.02</w:t>
            </w:r>
            <w:r>
              <w:rPr>
                <w:noProof/>
                <w:webHidden/>
              </w:rPr>
              <w:tab/>
            </w:r>
            <w:r>
              <w:rPr>
                <w:noProof/>
                <w:webHidden/>
              </w:rPr>
              <w:fldChar w:fldCharType="begin"/>
            </w:r>
            <w:r>
              <w:rPr>
                <w:noProof/>
                <w:webHidden/>
              </w:rPr>
              <w:instrText xml:space="preserve"> PAGEREF _Toc220490918 \h </w:instrText>
            </w:r>
            <w:r>
              <w:rPr>
                <w:noProof/>
                <w:webHidden/>
              </w:rPr>
            </w:r>
            <w:r>
              <w:rPr>
                <w:noProof/>
                <w:webHidden/>
              </w:rPr>
              <w:fldChar w:fldCharType="separate"/>
            </w:r>
            <w:r>
              <w:rPr>
                <w:noProof/>
                <w:webHidden/>
              </w:rPr>
              <w:t>666</w:t>
            </w:r>
            <w:r>
              <w:rPr>
                <w:noProof/>
                <w:webHidden/>
              </w:rPr>
              <w:fldChar w:fldCharType="end"/>
            </w:r>
          </w:hyperlink>
        </w:p>
        <w:p w14:paraId="67F41D3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19" w:history="1">
            <w:r w:rsidRPr="000D551A">
              <w:rPr>
                <w:rStyle w:val="Lienhypertexte"/>
                <w:noProof/>
              </w:rPr>
              <w:t>46.21.2a Chapes extérieures adhérentes en asphalte coulé</w:t>
            </w:r>
            <w:r>
              <w:rPr>
                <w:noProof/>
                <w:webHidden/>
              </w:rPr>
              <w:tab/>
            </w:r>
            <w:r>
              <w:rPr>
                <w:noProof/>
                <w:webHidden/>
              </w:rPr>
              <w:fldChar w:fldCharType="begin"/>
            </w:r>
            <w:r>
              <w:rPr>
                <w:noProof/>
                <w:webHidden/>
              </w:rPr>
              <w:instrText xml:space="preserve"> PAGEREF _Toc220490919 \h </w:instrText>
            </w:r>
            <w:r>
              <w:rPr>
                <w:noProof/>
                <w:webHidden/>
              </w:rPr>
            </w:r>
            <w:r>
              <w:rPr>
                <w:noProof/>
                <w:webHidden/>
              </w:rPr>
              <w:fldChar w:fldCharType="separate"/>
            </w:r>
            <w:r>
              <w:rPr>
                <w:noProof/>
                <w:webHidden/>
              </w:rPr>
              <w:t>666</w:t>
            </w:r>
            <w:r>
              <w:rPr>
                <w:noProof/>
                <w:webHidden/>
              </w:rPr>
              <w:fldChar w:fldCharType="end"/>
            </w:r>
          </w:hyperlink>
        </w:p>
        <w:p w14:paraId="1B116EC5"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20" w:history="1">
            <w:r w:rsidRPr="000D551A">
              <w:rPr>
                <w:rStyle w:val="Lienhypertexte"/>
                <w:noProof/>
              </w:rPr>
              <w:t>46.21.3 Chapes adhérentes à base de résines synthétiques CCTB 01.02</w:t>
            </w:r>
            <w:r>
              <w:rPr>
                <w:noProof/>
                <w:webHidden/>
              </w:rPr>
              <w:tab/>
            </w:r>
            <w:r>
              <w:rPr>
                <w:noProof/>
                <w:webHidden/>
              </w:rPr>
              <w:fldChar w:fldCharType="begin"/>
            </w:r>
            <w:r>
              <w:rPr>
                <w:noProof/>
                <w:webHidden/>
              </w:rPr>
              <w:instrText xml:space="preserve"> PAGEREF _Toc220490920 \h </w:instrText>
            </w:r>
            <w:r>
              <w:rPr>
                <w:noProof/>
                <w:webHidden/>
              </w:rPr>
            </w:r>
            <w:r>
              <w:rPr>
                <w:noProof/>
                <w:webHidden/>
              </w:rPr>
              <w:fldChar w:fldCharType="separate"/>
            </w:r>
            <w:r>
              <w:rPr>
                <w:noProof/>
                <w:webHidden/>
              </w:rPr>
              <w:t>666</w:t>
            </w:r>
            <w:r>
              <w:rPr>
                <w:noProof/>
                <w:webHidden/>
              </w:rPr>
              <w:fldChar w:fldCharType="end"/>
            </w:r>
          </w:hyperlink>
        </w:p>
        <w:p w14:paraId="06D3405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1" w:history="1">
            <w:r w:rsidRPr="000D551A">
              <w:rPr>
                <w:rStyle w:val="Lienhypertexte"/>
                <w:noProof/>
              </w:rPr>
              <w:t>46.21.3a Chapes extérieures adhérentes à base de résines synthétiques</w:t>
            </w:r>
            <w:r>
              <w:rPr>
                <w:noProof/>
                <w:webHidden/>
              </w:rPr>
              <w:tab/>
            </w:r>
            <w:r>
              <w:rPr>
                <w:noProof/>
                <w:webHidden/>
              </w:rPr>
              <w:fldChar w:fldCharType="begin"/>
            </w:r>
            <w:r>
              <w:rPr>
                <w:noProof/>
                <w:webHidden/>
              </w:rPr>
              <w:instrText xml:space="preserve"> PAGEREF _Toc220490921 \h </w:instrText>
            </w:r>
            <w:r>
              <w:rPr>
                <w:noProof/>
                <w:webHidden/>
              </w:rPr>
            </w:r>
            <w:r>
              <w:rPr>
                <w:noProof/>
                <w:webHidden/>
              </w:rPr>
              <w:fldChar w:fldCharType="separate"/>
            </w:r>
            <w:r>
              <w:rPr>
                <w:noProof/>
                <w:webHidden/>
              </w:rPr>
              <w:t>666</w:t>
            </w:r>
            <w:r>
              <w:rPr>
                <w:noProof/>
                <w:webHidden/>
              </w:rPr>
              <w:fldChar w:fldCharType="end"/>
            </w:r>
          </w:hyperlink>
        </w:p>
        <w:p w14:paraId="71588CCA"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22" w:history="1">
            <w:r w:rsidRPr="000D551A">
              <w:rPr>
                <w:rStyle w:val="Lienhypertexte"/>
                <w:noProof/>
              </w:rPr>
              <w:t>46.22 Chapes flottantes CCTB 01.11</w:t>
            </w:r>
            <w:r>
              <w:rPr>
                <w:noProof/>
                <w:webHidden/>
              </w:rPr>
              <w:tab/>
            </w:r>
            <w:r>
              <w:rPr>
                <w:noProof/>
                <w:webHidden/>
              </w:rPr>
              <w:fldChar w:fldCharType="begin"/>
            </w:r>
            <w:r>
              <w:rPr>
                <w:noProof/>
                <w:webHidden/>
              </w:rPr>
              <w:instrText xml:space="preserve"> PAGEREF _Toc220490922 \h </w:instrText>
            </w:r>
            <w:r>
              <w:rPr>
                <w:noProof/>
                <w:webHidden/>
              </w:rPr>
            </w:r>
            <w:r>
              <w:rPr>
                <w:noProof/>
                <w:webHidden/>
              </w:rPr>
              <w:fldChar w:fldCharType="separate"/>
            </w:r>
            <w:r>
              <w:rPr>
                <w:noProof/>
                <w:webHidden/>
              </w:rPr>
              <w:t>666</w:t>
            </w:r>
            <w:r>
              <w:rPr>
                <w:noProof/>
                <w:webHidden/>
              </w:rPr>
              <w:fldChar w:fldCharType="end"/>
            </w:r>
          </w:hyperlink>
        </w:p>
        <w:p w14:paraId="6D1E284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23" w:history="1">
            <w:r w:rsidRPr="000D551A">
              <w:rPr>
                <w:rStyle w:val="Lienhypertexte"/>
                <w:noProof/>
              </w:rPr>
              <w:t>46.22.1 Chapes flottantes à base de ciment CCTB 01.02</w:t>
            </w:r>
            <w:r>
              <w:rPr>
                <w:noProof/>
                <w:webHidden/>
              </w:rPr>
              <w:tab/>
            </w:r>
            <w:r>
              <w:rPr>
                <w:noProof/>
                <w:webHidden/>
              </w:rPr>
              <w:fldChar w:fldCharType="begin"/>
            </w:r>
            <w:r>
              <w:rPr>
                <w:noProof/>
                <w:webHidden/>
              </w:rPr>
              <w:instrText xml:space="preserve"> PAGEREF _Toc220490923 \h </w:instrText>
            </w:r>
            <w:r>
              <w:rPr>
                <w:noProof/>
                <w:webHidden/>
              </w:rPr>
            </w:r>
            <w:r>
              <w:rPr>
                <w:noProof/>
                <w:webHidden/>
              </w:rPr>
              <w:fldChar w:fldCharType="separate"/>
            </w:r>
            <w:r>
              <w:rPr>
                <w:noProof/>
                <w:webHidden/>
              </w:rPr>
              <w:t>666</w:t>
            </w:r>
            <w:r>
              <w:rPr>
                <w:noProof/>
                <w:webHidden/>
              </w:rPr>
              <w:fldChar w:fldCharType="end"/>
            </w:r>
          </w:hyperlink>
        </w:p>
        <w:p w14:paraId="38FB1DA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4" w:history="1">
            <w:r w:rsidRPr="000D551A">
              <w:rPr>
                <w:rStyle w:val="Lienhypertexte"/>
                <w:noProof/>
              </w:rPr>
              <w:t>46.22.1a Chapes flottantes à base de ciment CCTB 01.02</w:t>
            </w:r>
            <w:r>
              <w:rPr>
                <w:noProof/>
                <w:webHidden/>
              </w:rPr>
              <w:tab/>
            </w:r>
            <w:r>
              <w:rPr>
                <w:noProof/>
                <w:webHidden/>
              </w:rPr>
              <w:fldChar w:fldCharType="begin"/>
            </w:r>
            <w:r>
              <w:rPr>
                <w:noProof/>
                <w:webHidden/>
              </w:rPr>
              <w:instrText xml:space="preserve"> PAGEREF _Toc220490924 \h </w:instrText>
            </w:r>
            <w:r>
              <w:rPr>
                <w:noProof/>
                <w:webHidden/>
              </w:rPr>
            </w:r>
            <w:r>
              <w:rPr>
                <w:noProof/>
                <w:webHidden/>
              </w:rPr>
              <w:fldChar w:fldCharType="separate"/>
            </w:r>
            <w:r>
              <w:rPr>
                <w:noProof/>
                <w:webHidden/>
              </w:rPr>
              <w:t>666</w:t>
            </w:r>
            <w:r>
              <w:rPr>
                <w:noProof/>
                <w:webHidden/>
              </w:rPr>
              <w:fldChar w:fldCharType="end"/>
            </w:r>
          </w:hyperlink>
        </w:p>
        <w:p w14:paraId="14AD79F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5" w:history="1">
            <w:r w:rsidRPr="000D551A">
              <w:rPr>
                <w:rStyle w:val="Lienhypertexte"/>
                <w:noProof/>
              </w:rPr>
              <w:t>46.22.1b Chapes flottantes à base de ciment, autonivellante CCTB 01.02</w:t>
            </w:r>
            <w:r>
              <w:rPr>
                <w:noProof/>
                <w:webHidden/>
              </w:rPr>
              <w:tab/>
            </w:r>
            <w:r>
              <w:rPr>
                <w:noProof/>
                <w:webHidden/>
              </w:rPr>
              <w:fldChar w:fldCharType="begin"/>
            </w:r>
            <w:r>
              <w:rPr>
                <w:noProof/>
                <w:webHidden/>
              </w:rPr>
              <w:instrText xml:space="preserve"> PAGEREF _Toc220490925 \h </w:instrText>
            </w:r>
            <w:r>
              <w:rPr>
                <w:noProof/>
                <w:webHidden/>
              </w:rPr>
            </w:r>
            <w:r>
              <w:rPr>
                <w:noProof/>
                <w:webHidden/>
              </w:rPr>
              <w:fldChar w:fldCharType="separate"/>
            </w:r>
            <w:r>
              <w:rPr>
                <w:noProof/>
                <w:webHidden/>
              </w:rPr>
              <w:t>666</w:t>
            </w:r>
            <w:r>
              <w:rPr>
                <w:noProof/>
                <w:webHidden/>
              </w:rPr>
              <w:fldChar w:fldCharType="end"/>
            </w:r>
          </w:hyperlink>
        </w:p>
        <w:p w14:paraId="5E2DD57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6" w:history="1">
            <w:r w:rsidRPr="000D551A">
              <w:rPr>
                <w:rStyle w:val="Lienhypertexte"/>
                <w:noProof/>
              </w:rPr>
              <w:t>46.22.1c Chapes flottantes à base de ciment, en 2 couches, dont la supérieure est clouable CCTB 01.02</w:t>
            </w:r>
            <w:r>
              <w:rPr>
                <w:noProof/>
                <w:webHidden/>
              </w:rPr>
              <w:tab/>
            </w:r>
            <w:r>
              <w:rPr>
                <w:noProof/>
                <w:webHidden/>
              </w:rPr>
              <w:fldChar w:fldCharType="begin"/>
            </w:r>
            <w:r>
              <w:rPr>
                <w:noProof/>
                <w:webHidden/>
              </w:rPr>
              <w:instrText xml:space="preserve"> PAGEREF _Toc220490926 \h </w:instrText>
            </w:r>
            <w:r>
              <w:rPr>
                <w:noProof/>
                <w:webHidden/>
              </w:rPr>
            </w:r>
            <w:r>
              <w:rPr>
                <w:noProof/>
                <w:webHidden/>
              </w:rPr>
              <w:fldChar w:fldCharType="separate"/>
            </w:r>
            <w:r>
              <w:rPr>
                <w:noProof/>
                <w:webHidden/>
              </w:rPr>
              <w:t>666</w:t>
            </w:r>
            <w:r>
              <w:rPr>
                <w:noProof/>
                <w:webHidden/>
              </w:rPr>
              <w:fldChar w:fldCharType="end"/>
            </w:r>
          </w:hyperlink>
        </w:p>
        <w:p w14:paraId="1F625DE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27" w:history="1">
            <w:r w:rsidRPr="000D551A">
              <w:rPr>
                <w:rStyle w:val="Lienhypertexte"/>
                <w:noProof/>
              </w:rPr>
              <w:t>46.22.2 Chapes flottantes en asphalte coulé CCTB 01.02</w:t>
            </w:r>
            <w:r>
              <w:rPr>
                <w:noProof/>
                <w:webHidden/>
              </w:rPr>
              <w:tab/>
            </w:r>
            <w:r>
              <w:rPr>
                <w:noProof/>
                <w:webHidden/>
              </w:rPr>
              <w:fldChar w:fldCharType="begin"/>
            </w:r>
            <w:r>
              <w:rPr>
                <w:noProof/>
                <w:webHidden/>
              </w:rPr>
              <w:instrText xml:space="preserve"> PAGEREF _Toc220490927 \h </w:instrText>
            </w:r>
            <w:r>
              <w:rPr>
                <w:noProof/>
                <w:webHidden/>
              </w:rPr>
            </w:r>
            <w:r>
              <w:rPr>
                <w:noProof/>
                <w:webHidden/>
              </w:rPr>
              <w:fldChar w:fldCharType="separate"/>
            </w:r>
            <w:r>
              <w:rPr>
                <w:noProof/>
                <w:webHidden/>
              </w:rPr>
              <w:t>667</w:t>
            </w:r>
            <w:r>
              <w:rPr>
                <w:noProof/>
                <w:webHidden/>
              </w:rPr>
              <w:fldChar w:fldCharType="end"/>
            </w:r>
          </w:hyperlink>
        </w:p>
        <w:p w14:paraId="1BB8C7C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28" w:history="1">
            <w:r w:rsidRPr="000D551A">
              <w:rPr>
                <w:rStyle w:val="Lienhypertexte"/>
                <w:noProof/>
              </w:rPr>
              <w:t>46.22.2a Chapes extérieures flottantes en asphalte coulé</w:t>
            </w:r>
            <w:r>
              <w:rPr>
                <w:noProof/>
                <w:webHidden/>
              </w:rPr>
              <w:tab/>
            </w:r>
            <w:r>
              <w:rPr>
                <w:noProof/>
                <w:webHidden/>
              </w:rPr>
              <w:fldChar w:fldCharType="begin"/>
            </w:r>
            <w:r>
              <w:rPr>
                <w:noProof/>
                <w:webHidden/>
              </w:rPr>
              <w:instrText xml:space="preserve"> PAGEREF _Toc220490928 \h </w:instrText>
            </w:r>
            <w:r>
              <w:rPr>
                <w:noProof/>
                <w:webHidden/>
              </w:rPr>
            </w:r>
            <w:r>
              <w:rPr>
                <w:noProof/>
                <w:webHidden/>
              </w:rPr>
              <w:fldChar w:fldCharType="separate"/>
            </w:r>
            <w:r>
              <w:rPr>
                <w:noProof/>
                <w:webHidden/>
              </w:rPr>
              <w:t>667</w:t>
            </w:r>
            <w:r>
              <w:rPr>
                <w:noProof/>
                <w:webHidden/>
              </w:rPr>
              <w:fldChar w:fldCharType="end"/>
            </w:r>
          </w:hyperlink>
        </w:p>
        <w:p w14:paraId="1AD3D50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29" w:history="1">
            <w:r w:rsidRPr="000D551A">
              <w:rPr>
                <w:rStyle w:val="Lienhypertexte"/>
                <w:noProof/>
              </w:rPr>
              <w:t>46.22.3 Chapes flottantes à base de résines synthétiques CCTB 01.02</w:t>
            </w:r>
            <w:r>
              <w:rPr>
                <w:noProof/>
                <w:webHidden/>
              </w:rPr>
              <w:tab/>
            </w:r>
            <w:r>
              <w:rPr>
                <w:noProof/>
                <w:webHidden/>
              </w:rPr>
              <w:fldChar w:fldCharType="begin"/>
            </w:r>
            <w:r>
              <w:rPr>
                <w:noProof/>
                <w:webHidden/>
              </w:rPr>
              <w:instrText xml:space="preserve"> PAGEREF _Toc220490929 \h </w:instrText>
            </w:r>
            <w:r>
              <w:rPr>
                <w:noProof/>
                <w:webHidden/>
              </w:rPr>
            </w:r>
            <w:r>
              <w:rPr>
                <w:noProof/>
                <w:webHidden/>
              </w:rPr>
              <w:fldChar w:fldCharType="separate"/>
            </w:r>
            <w:r>
              <w:rPr>
                <w:noProof/>
                <w:webHidden/>
              </w:rPr>
              <w:t>667</w:t>
            </w:r>
            <w:r>
              <w:rPr>
                <w:noProof/>
                <w:webHidden/>
              </w:rPr>
              <w:fldChar w:fldCharType="end"/>
            </w:r>
          </w:hyperlink>
        </w:p>
        <w:p w14:paraId="4B9F99C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30" w:history="1">
            <w:r w:rsidRPr="000D551A">
              <w:rPr>
                <w:rStyle w:val="Lienhypertexte"/>
                <w:noProof/>
              </w:rPr>
              <w:t>46.22.3a Chapes extérieures flottantes à base de résines synthétiques</w:t>
            </w:r>
            <w:r>
              <w:rPr>
                <w:noProof/>
                <w:webHidden/>
              </w:rPr>
              <w:tab/>
            </w:r>
            <w:r>
              <w:rPr>
                <w:noProof/>
                <w:webHidden/>
              </w:rPr>
              <w:fldChar w:fldCharType="begin"/>
            </w:r>
            <w:r>
              <w:rPr>
                <w:noProof/>
                <w:webHidden/>
              </w:rPr>
              <w:instrText xml:space="preserve"> PAGEREF _Toc220490930 \h </w:instrText>
            </w:r>
            <w:r>
              <w:rPr>
                <w:noProof/>
                <w:webHidden/>
              </w:rPr>
            </w:r>
            <w:r>
              <w:rPr>
                <w:noProof/>
                <w:webHidden/>
              </w:rPr>
              <w:fldChar w:fldCharType="separate"/>
            </w:r>
            <w:r>
              <w:rPr>
                <w:noProof/>
                <w:webHidden/>
              </w:rPr>
              <w:t>667</w:t>
            </w:r>
            <w:r>
              <w:rPr>
                <w:noProof/>
                <w:webHidden/>
              </w:rPr>
              <w:fldChar w:fldCharType="end"/>
            </w:r>
          </w:hyperlink>
        </w:p>
        <w:p w14:paraId="44DB17EC"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931" w:history="1">
            <w:r w:rsidRPr="000D551A">
              <w:rPr>
                <w:rStyle w:val="Lienhypertexte"/>
                <w:noProof/>
              </w:rPr>
              <w:t>46.3 Sols de type industriel CCTB 01.11</w:t>
            </w:r>
            <w:r>
              <w:rPr>
                <w:noProof/>
                <w:webHidden/>
              </w:rPr>
              <w:tab/>
            </w:r>
            <w:r>
              <w:rPr>
                <w:noProof/>
                <w:webHidden/>
              </w:rPr>
              <w:fldChar w:fldCharType="begin"/>
            </w:r>
            <w:r>
              <w:rPr>
                <w:noProof/>
                <w:webHidden/>
              </w:rPr>
              <w:instrText xml:space="preserve"> PAGEREF _Toc220490931 \h </w:instrText>
            </w:r>
            <w:r>
              <w:rPr>
                <w:noProof/>
                <w:webHidden/>
              </w:rPr>
            </w:r>
            <w:r>
              <w:rPr>
                <w:noProof/>
                <w:webHidden/>
              </w:rPr>
              <w:fldChar w:fldCharType="separate"/>
            </w:r>
            <w:r>
              <w:rPr>
                <w:noProof/>
                <w:webHidden/>
              </w:rPr>
              <w:t>667</w:t>
            </w:r>
            <w:r>
              <w:rPr>
                <w:noProof/>
                <w:webHidden/>
              </w:rPr>
              <w:fldChar w:fldCharType="end"/>
            </w:r>
          </w:hyperlink>
        </w:p>
        <w:p w14:paraId="24318E28"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932" w:history="1">
            <w:r w:rsidRPr="000D551A">
              <w:rPr>
                <w:rStyle w:val="Lienhypertexte"/>
                <w:noProof/>
              </w:rPr>
              <w:t>46.4 Revêtements de sols extérieurs (des balcons) CCTB 01.13</w:t>
            </w:r>
            <w:r>
              <w:rPr>
                <w:noProof/>
                <w:webHidden/>
              </w:rPr>
              <w:tab/>
            </w:r>
            <w:r>
              <w:rPr>
                <w:noProof/>
                <w:webHidden/>
              </w:rPr>
              <w:fldChar w:fldCharType="begin"/>
            </w:r>
            <w:r>
              <w:rPr>
                <w:noProof/>
                <w:webHidden/>
              </w:rPr>
              <w:instrText xml:space="preserve"> PAGEREF _Toc220490932 \h </w:instrText>
            </w:r>
            <w:r>
              <w:rPr>
                <w:noProof/>
                <w:webHidden/>
              </w:rPr>
            </w:r>
            <w:r>
              <w:rPr>
                <w:noProof/>
                <w:webHidden/>
              </w:rPr>
              <w:fldChar w:fldCharType="separate"/>
            </w:r>
            <w:r>
              <w:rPr>
                <w:noProof/>
                <w:webHidden/>
              </w:rPr>
              <w:t>667</w:t>
            </w:r>
            <w:r>
              <w:rPr>
                <w:noProof/>
                <w:webHidden/>
              </w:rPr>
              <w:fldChar w:fldCharType="end"/>
            </w:r>
          </w:hyperlink>
        </w:p>
        <w:p w14:paraId="1C274AB5"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33" w:history="1">
            <w:r w:rsidRPr="000D551A">
              <w:rPr>
                <w:rStyle w:val="Lienhypertexte"/>
                <w:noProof/>
              </w:rPr>
              <w:t>46.41 Revêtements de sols extérieurs - carreaux en céramiques CCTB 01.10</w:t>
            </w:r>
            <w:r>
              <w:rPr>
                <w:noProof/>
                <w:webHidden/>
              </w:rPr>
              <w:tab/>
            </w:r>
            <w:r>
              <w:rPr>
                <w:noProof/>
                <w:webHidden/>
              </w:rPr>
              <w:fldChar w:fldCharType="begin"/>
            </w:r>
            <w:r>
              <w:rPr>
                <w:noProof/>
                <w:webHidden/>
              </w:rPr>
              <w:instrText xml:space="preserve"> PAGEREF _Toc220490933 \h </w:instrText>
            </w:r>
            <w:r>
              <w:rPr>
                <w:noProof/>
                <w:webHidden/>
              </w:rPr>
            </w:r>
            <w:r>
              <w:rPr>
                <w:noProof/>
                <w:webHidden/>
              </w:rPr>
              <w:fldChar w:fldCharType="separate"/>
            </w:r>
            <w:r>
              <w:rPr>
                <w:noProof/>
                <w:webHidden/>
              </w:rPr>
              <w:t>670</w:t>
            </w:r>
            <w:r>
              <w:rPr>
                <w:noProof/>
                <w:webHidden/>
              </w:rPr>
              <w:fldChar w:fldCharType="end"/>
            </w:r>
          </w:hyperlink>
        </w:p>
        <w:p w14:paraId="2A69C1B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34" w:history="1">
            <w:r w:rsidRPr="000D551A">
              <w:rPr>
                <w:rStyle w:val="Lienhypertexte"/>
                <w:noProof/>
              </w:rPr>
              <w:t>46.41.1 Revêtements de sols extérieurs - carreaux étirés (émaillés / engobés, ou non) CCTB 01.02</w:t>
            </w:r>
            <w:r>
              <w:rPr>
                <w:noProof/>
                <w:webHidden/>
              </w:rPr>
              <w:tab/>
            </w:r>
            <w:r>
              <w:rPr>
                <w:noProof/>
                <w:webHidden/>
              </w:rPr>
              <w:fldChar w:fldCharType="begin"/>
            </w:r>
            <w:r>
              <w:rPr>
                <w:noProof/>
                <w:webHidden/>
              </w:rPr>
              <w:instrText xml:space="preserve"> PAGEREF _Toc220490934 \h </w:instrText>
            </w:r>
            <w:r>
              <w:rPr>
                <w:noProof/>
                <w:webHidden/>
              </w:rPr>
            </w:r>
            <w:r>
              <w:rPr>
                <w:noProof/>
                <w:webHidden/>
              </w:rPr>
              <w:fldChar w:fldCharType="separate"/>
            </w:r>
            <w:r>
              <w:rPr>
                <w:noProof/>
                <w:webHidden/>
              </w:rPr>
              <w:t>670</w:t>
            </w:r>
            <w:r>
              <w:rPr>
                <w:noProof/>
                <w:webHidden/>
              </w:rPr>
              <w:fldChar w:fldCharType="end"/>
            </w:r>
          </w:hyperlink>
        </w:p>
        <w:p w14:paraId="363A748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35" w:history="1">
            <w:r w:rsidRPr="000D551A">
              <w:rPr>
                <w:rStyle w:val="Lienhypertexte"/>
                <w:noProof/>
              </w:rPr>
              <w:t>46.41.1a Revêtements de sols extérieurs - carreaux étirés (émaillés / engobés, ou non)</w:t>
            </w:r>
            <w:r>
              <w:rPr>
                <w:noProof/>
                <w:webHidden/>
              </w:rPr>
              <w:tab/>
            </w:r>
            <w:r>
              <w:rPr>
                <w:noProof/>
                <w:webHidden/>
              </w:rPr>
              <w:fldChar w:fldCharType="begin"/>
            </w:r>
            <w:r>
              <w:rPr>
                <w:noProof/>
                <w:webHidden/>
              </w:rPr>
              <w:instrText xml:space="preserve"> PAGEREF _Toc220490935 \h </w:instrText>
            </w:r>
            <w:r>
              <w:rPr>
                <w:noProof/>
                <w:webHidden/>
              </w:rPr>
            </w:r>
            <w:r>
              <w:rPr>
                <w:noProof/>
                <w:webHidden/>
              </w:rPr>
              <w:fldChar w:fldCharType="separate"/>
            </w:r>
            <w:r>
              <w:rPr>
                <w:noProof/>
                <w:webHidden/>
              </w:rPr>
              <w:t>670</w:t>
            </w:r>
            <w:r>
              <w:rPr>
                <w:noProof/>
                <w:webHidden/>
              </w:rPr>
              <w:fldChar w:fldCharType="end"/>
            </w:r>
          </w:hyperlink>
        </w:p>
        <w:p w14:paraId="7B947AEF"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36" w:history="1">
            <w:r w:rsidRPr="000D551A">
              <w:rPr>
                <w:rStyle w:val="Lienhypertexte"/>
                <w:noProof/>
              </w:rPr>
              <w:t>46.41.2 Revêtements de sols extérieurs - carreaux pressés (émaillés / engobés, ou non) CCTB 01.02</w:t>
            </w:r>
            <w:r>
              <w:rPr>
                <w:noProof/>
                <w:webHidden/>
              </w:rPr>
              <w:tab/>
            </w:r>
            <w:r>
              <w:rPr>
                <w:noProof/>
                <w:webHidden/>
              </w:rPr>
              <w:fldChar w:fldCharType="begin"/>
            </w:r>
            <w:r>
              <w:rPr>
                <w:noProof/>
                <w:webHidden/>
              </w:rPr>
              <w:instrText xml:space="preserve"> PAGEREF _Toc220490936 \h </w:instrText>
            </w:r>
            <w:r>
              <w:rPr>
                <w:noProof/>
                <w:webHidden/>
              </w:rPr>
            </w:r>
            <w:r>
              <w:rPr>
                <w:noProof/>
                <w:webHidden/>
              </w:rPr>
              <w:fldChar w:fldCharType="separate"/>
            </w:r>
            <w:r>
              <w:rPr>
                <w:noProof/>
                <w:webHidden/>
              </w:rPr>
              <w:t>670</w:t>
            </w:r>
            <w:r>
              <w:rPr>
                <w:noProof/>
                <w:webHidden/>
              </w:rPr>
              <w:fldChar w:fldCharType="end"/>
            </w:r>
          </w:hyperlink>
        </w:p>
        <w:p w14:paraId="0A3D2F9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37" w:history="1">
            <w:r w:rsidRPr="000D551A">
              <w:rPr>
                <w:rStyle w:val="Lienhypertexte"/>
                <w:noProof/>
              </w:rPr>
              <w:t>46.41.2a Revêtements de sols extérieurs - carreaux pressés (émaillés / engobés, ou non)</w:t>
            </w:r>
            <w:r>
              <w:rPr>
                <w:noProof/>
                <w:webHidden/>
              </w:rPr>
              <w:tab/>
            </w:r>
            <w:r>
              <w:rPr>
                <w:noProof/>
                <w:webHidden/>
              </w:rPr>
              <w:fldChar w:fldCharType="begin"/>
            </w:r>
            <w:r>
              <w:rPr>
                <w:noProof/>
                <w:webHidden/>
              </w:rPr>
              <w:instrText xml:space="preserve"> PAGEREF _Toc220490937 \h </w:instrText>
            </w:r>
            <w:r>
              <w:rPr>
                <w:noProof/>
                <w:webHidden/>
              </w:rPr>
            </w:r>
            <w:r>
              <w:rPr>
                <w:noProof/>
                <w:webHidden/>
              </w:rPr>
              <w:fldChar w:fldCharType="separate"/>
            </w:r>
            <w:r>
              <w:rPr>
                <w:noProof/>
                <w:webHidden/>
              </w:rPr>
              <w:t>670</w:t>
            </w:r>
            <w:r>
              <w:rPr>
                <w:noProof/>
                <w:webHidden/>
              </w:rPr>
              <w:fldChar w:fldCharType="end"/>
            </w:r>
          </w:hyperlink>
        </w:p>
        <w:p w14:paraId="68587F90"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38" w:history="1">
            <w:r w:rsidRPr="000D551A">
              <w:rPr>
                <w:rStyle w:val="Lienhypertexte"/>
                <w:noProof/>
              </w:rPr>
              <w:t>46.42 Revêtements de sols extérieurs - pierres naturelles CCTB 01.02</w:t>
            </w:r>
            <w:r>
              <w:rPr>
                <w:noProof/>
                <w:webHidden/>
              </w:rPr>
              <w:tab/>
            </w:r>
            <w:r>
              <w:rPr>
                <w:noProof/>
                <w:webHidden/>
              </w:rPr>
              <w:fldChar w:fldCharType="begin"/>
            </w:r>
            <w:r>
              <w:rPr>
                <w:noProof/>
                <w:webHidden/>
              </w:rPr>
              <w:instrText xml:space="preserve"> PAGEREF _Toc220490938 \h </w:instrText>
            </w:r>
            <w:r>
              <w:rPr>
                <w:noProof/>
                <w:webHidden/>
              </w:rPr>
            </w:r>
            <w:r>
              <w:rPr>
                <w:noProof/>
                <w:webHidden/>
              </w:rPr>
              <w:fldChar w:fldCharType="separate"/>
            </w:r>
            <w:r>
              <w:rPr>
                <w:noProof/>
                <w:webHidden/>
              </w:rPr>
              <w:t>670</w:t>
            </w:r>
            <w:r>
              <w:rPr>
                <w:noProof/>
                <w:webHidden/>
              </w:rPr>
              <w:fldChar w:fldCharType="end"/>
            </w:r>
          </w:hyperlink>
        </w:p>
        <w:p w14:paraId="262295E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39" w:history="1">
            <w:r w:rsidRPr="000D551A">
              <w:rPr>
                <w:rStyle w:val="Lienhypertexte"/>
                <w:noProof/>
              </w:rPr>
              <w:t>46.42.1 Revêtements de sols extérieurs - les roches magmatiques - les granits CCTB 01.02</w:t>
            </w:r>
            <w:r>
              <w:rPr>
                <w:noProof/>
                <w:webHidden/>
              </w:rPr>
              <w:tab/>
            </w:r>
            <w:r>
              <w:rPr>
                <w:noProof/>
                <w:webHidden/>
              </w:rPr>
              <w:fldChar w:fldCharType="begin"/>
            </w:r>
            <w:r>
              <w:rPr>
                <w:noProof/>
                <w:webHidden/>
              </w:rPr>
              <w:instrText xml:space="preserve"> PAGEREF _Toc220490939 \h </w:instrText>
            </w:r>
            <w:r>
              <w:rPr>
                <w:noProof/>
                <w:webHidden/>
              </w:rPr>
            </w:r>
            <w:r>
              <w:rPr>
                <w:noProof/>
                <w:webHidden/>
              </w:rPr>
              <w:fldChar w:fldCharType="separate"/>
            </w:r>
            <w:r>
              <w:rPr>
                <w:noProof/>
                <w:webHidden/>
              </w:rPr>
              <w:t>670</w:t>
            </w:r>
            <w:r>
              <w:rPr>
                <w:noProof/>
                <w:webHidden/>
              </w:rPr>
              <w:fldChar w:fldCharType="end"/>
            </w:r>
          </w:hyperlink>
        </w:p>
        <w:p w14:paraId="17DC6EB2"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0" w:history="1">
            <w:r w:rsidRPr="000D551A">
              <w:rPr>
                <w:rStyle w:val="Lienhypertexte"/>
                <w:noProof/>
              </w:rPr>
              <w:t>46.42.1a Revêtements de sols extérieurs - les granits CCTB 01.02</w:t>
            </w:r>
            <w:r>
              <w:rPr>
                <w:noProof/>
                <w:webHidden/>
              </w:rPr>
              <w:tab/>
            </w:r>
            <w:r>
              <w:rPr>
                <w:noProof/>
                <w:webHidden/>
              </w:rPr>
              <w:fldChar w:fldCharType="begin"/>
            </w:r>
            <w:r>
              <w:rPr>
                <w:noProof/>
                <w:webHidden/>
              </w:rPr>
              <w:instrText xml:space="preserve"> PAGEREF _Toc220490940 \h </w:instrText>
            </w:r>
            <w:r>
              <w:rPr>
                <w:noProof/>
                <w:webHidden/>
              </w:rPr>
            </w:r>
            <w:r>
              <w:rPr>
                <w:noProof/>
                <w:webHidden/>
              </w:rPr>
              <w:fldChar w:fldCharType="separate"/>
            </w:r>
            <w:r>
              <w:rPr>
                <w:noProof/>
                <w:webHidden/>
              </w:rPr>
              <w:t>670</w:t>
            </w:r>
            <w:r>
              <w:rPr>
                <w:noProof/>
                <w:webHidden/>
              </w:rPr>
              <w:fldChar w:fldCharType="end"/>
            </w:r>
          </w:hyperlink>
        </w:p>
        <w:p w14:paraId="7E8F5E9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1" w:history="1">
            <w:r w:rsidRPr="000D551A">
              <w:rPr>
                <w:rStyle w:val="Lienhypertexte"/>
                <w:noProof/>
              </w:rPr>
              <w:t>46.42.1b Revêtements de sols extérieurs - les basaltes CCTB 01.02</w:t>
            </w:r>
            <w:r>
              <w:rPr>
                <w:noProof/>
                <w:webHidden/>
              </w:rPr>
              <w:tab/>
            </w:r>
            <w:r>
              <w:rPr>
                <w:noProof/>
                <w:webHidden/>
              </w:rPr>
              <w:fldChar w:fldCharType="begin"/>
            </w:r>
            <w:r>
              <w:rPr>
                <w:noProof/>
                <w:webHidden/>
              </w:rPr>
              <w:instrText xml:space="preserve"> PAGEREF _Toc220490941 \h </w:instrText>
            </w:r>
            <w:r>
              <w:rPr>
                <w:noProof/>
                <w:webHidden/>
              </w:rPr>
            </w:r>
            <w:r>
              <w:rPr>
                <w:noProof/>
                <w:webHidden/>
              </w:rPr>
              <w:fldChar w:fldCharType="separate"/>
            </w:r>
            <w:r>
              <w:rPr>
                <w:noProof/>
                <w:webHidden/>
              </w:rPr>
              <w:t>670</w:t>
            </w:r>
            <w:r>
              <w:rPr>
                <w:noProof/>
                <w:webHidden/>
              </w:rPr>
              <w:fldChar w:fldCharType="end"/>
            </w:r>
          </w:hyperlink>
        </w:p>
        <w:p w14:paraId="5D2D462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42" w:history="1">
            <w:r w:rsidRPr="000D551A">
              <w:rPr>
                <w:rStyle w:val="Lienhypertexte"/>
                <w:noProof/>
              </w:rPr>
              <w:t>46.42.2 Revêtements de sols extérieurs - les roches sédimentaires - grès et roches siliceuses CCTB 01.02</w:t>
            </w:r>
            <w:r>
              <w:rPr>
                <w:noProof/>
                <w:webHidden/>
              </w:rPr>
              <w:tab/>
            </w:r>
            <w:r>
              <w:rPr>
                <w:noProof/>
                <w:webHidden/>
              </w:rPr>
              <w:fldChar w:fldCharType="begin"/>
            </w:r>
            <w:r>
              <w:rPr>
                <w:noProof/>
                <w:webHidden/>
              </w:rPr>
              <w:instrText xml:space="preserve"> PAGEREF _Toc220490942 \h </w:instrText>
            </w:r>
            <w:r>
              <w:rPr>
                <w:noProof/>
                <w:webHidden/>
              </w:rPr>
            </w:r>
            <w:r>
              <w:rPr>
                <w:noProof/>
                <w:webHidden/>
              </w:rPr>
              <w:fldChar w:fldCharType="separate"/>
            </w:r>
            <w:r>
              <w:rPr>
                <w:noProof/>
                <w:webHidden/>
              </w:rPr>
              <w:t>670</w:t>
            </w:r>
            <w:r>
              <w:rPr>
                <w:noProof/>
                <w:webHidden/>
              </w:rPr>
              <w:fldChar w:fldCharType="end"/>
            </w:r>
          </w:hyperlink>
        </w:p>
        <w:p w14:paraId="2CE880D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3" w:history="1">
            <w:r w:rsidRPr="000D551A">
              <w:rPr>
                <w:rStyle w:val="Lienhypertexte"/>
                <w:noProof/>
              </w:rPr>
              <w:t>46.42.2a Revêtements de sols extérieurs - grès et roches siliceuses</w:t>
            </w:r>
            <w:r>
              <w:rPr>
                <w:noProof/>
                <w:webHidden/>
              </w:rPr>
              <w:tab/>
            </w:r>
            <w:r>
              <w:rPr>
                <w:noProof/>
                <w:webHidden/>
              </w:rPr>
              <w:fldChar w:fldCharType="begin"/>
            </w:r>
            <w:r>
              <w:rPr>
                <w:noProof/>
                <w:webHidden/>
              </w:rPr>
              <w:instrText xml:space="preserve"> PAGEREF _Toc220490943 \h </w:instrText>
            </w:r>
            <w:r>
              <w:rPr>
                <w:noProof/>
                <w:webHidden/>
              </w:rPr>
            </w:r>
            <w:r>
              <w:rPr>
                <w:noProof/>
                <w:webHidden/>
              </w:rPr>
              <w:fldChar w:fldCharType="separate"/>
            </w:r>
            <w:r>
              <w:rPr>
                <w:noProof/>
                <w:webHidden/>
              </w:rPr>
              <w:t>670</w:t>
            </w:r>
            <w:r>
              <w:rPr>
                <w:noProof/>
                <w:webHidden/>
              </w:rPr>
              <w:fldChar w:fldCharType="end"/>
            </w:r>
          </w:hyperlink>
        </w:p>
        <w:p w14:paraId="6EA45116"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44" w:history="1">
            <w:r w:rsidRPr="000D551A">
              <w:rPr>
                <w:rStyle w:val="Lienhypertexte"/>
                <w:noProof/>
              </w:rPr>
              <w:t>46.42.3 Revêtements de sols extérieurs - les roches sédimentaires carbonatées - calcaires gréseux CCTB 01.02</w:t>
            </w:r>
            <w:r>
              <w:rPr>
                <w:noProof/>
                <w:webHidden/>
              </w:rPr>
              <w:tab/>
            </w:r>
            <w:r>
              <w:rPr>
                <w:noProof/>
                <w:webHidden/>
              </w:rPr>
              <w:fldChar w:fldCharType="begin"/>
            </w:r>
            <w:r>
              <w:rPr>
                <w:noProof/>
                <w:webHidden/>
              </w:rPr>
              <w:instrText xml:space="preserve"> PAGEREF _Toc220490944 \h </w:instrText>
            </w:r>
            <w:r>
              <w:rPr>
                <w:noProof/>
                <w:webHidden/>
              </w:rPr>
            </w:r>
            <w:r>
              <w:rPr>
                <w:noProof/>
                <w:webHidden/>
              </w:rPr>
              <w:fldChar w:fldCharType="separate"/>
            </w:r>
            <w:r>
              <w:rPr>
                <w:noProof/>
                <w:webHidden/>
              </w:rPr>
              <w:t>670</w:t>
            </w:r>
            <w:r>
              <w:rPr>
                <w:noProof/>
                <w:webHidden/>
              </w:rPr>
              <w:fldChar w:fldCharType="end"/>
            </w:r>
          </w:hyperlink>
        </w:p>
        <w:p w14:paraId="30C798A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5" w:history="1">
            <w:r w:rsidRPr="000D551A">
              <w:rPr>
                <w:rStyle w:val="Lienhypertexte"/>
                <w:noProof/>
              </w:rPr>
              <w:t>46.42.3a Revêtements de sols extérieurs - les calcaires gréseux CCTB 01.02</w:t>
            </w:r>
            <w:r>
              <w:rPr>
                <w:noProof/>
                <w:webHidden/>
              </w:rPr>
              <w:tab/>
            </w:r>
            <w:r>
              <w:rPr>
                <w:noProof/>
                <w:webHidden/>
              </w:rPr>
              <w:fldChar w:fldCharType="begin"/>
            </w:r>
            <w:r>
              <w:rPr>
                <w:noProof/>
                <w:webHidden/>
              </w:rPr>
              <w:instrText xml:space="preserve"> PAGEREF _Toc220490945 \h </w:instrText>
            </w:r>
            <w:r>
              <w:rPr>
                <w:noProof/>
                <w:webHidden/>
              </w:rPr>
            </w:r>
            <w:r>
              <w:rPr>
                <w:noProof/>
                <w:webHidden/>
              </w:rPr>
              <w:fldChar w:fldCharType="separate"/>
            </w:r>
            <w:r>
              <w:rPr>
                <w:noProof/>
                <w:webHidden/>
              </w:rPr>
              <w:t>670</w:t>
            </w:r>
            <w:r>
              <w:rPr>
                <w:noProof/>
                <w:webHidden/>
              </w:rPr>
              <w:fldChar w:fldCharType="end"/>
            </w:r>
          </w:hyperlink>
        </w:p>
        <w:p w14:paraId="7438FD0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6" w:history="1">
            <w:r w:rsidRPr="000D551A">
              <w:rPr>
                <w:rStyle w:val="Lienhypertexte"/>
                <w:noProof/>
              </w:rPr>
              <w:t>46.42.3b Revêtements de sols extérieurs - les calcaires marbriers CCTB 01.02</w:t>
            </w:r>
            <w:r>
              <w:rPr>
                <w:noProof/>
                <w:webHidden/>
              </w:rPr>
              <w:tab/>
            </w:r>
            <w:r>
              <w:rPr>
                <w:noProof/>
                <w:webHidden/>
              </w:rPr>
              <w:fldChar w:fldCharType="begin"/>
            </w:r>
            <w:r>
              <w:rPr>
                <w:noProof/>
                <w:webHidden/>
              </w:rPr>
              <w:instrText xml:space="preserve"> PAGEREF _Toc220490946 \h </w:instrText>
            </w:r>
            <w:r>
              <w:rPr>
                <w:noProof/>
                <w:webHidden/>
              </w:rPr>
            </w:r>
            <w:r>
              <w:rPr>
                <w:noProof/>
                <w:webHidden/>
              </w:rPr>
              <w:fldChar w:fldCharType="separate"/>
            </w:r>
            <w:r>
              <w:rPr>
                <w:noProof/>
                <w:webHidden/>
              </w:rPr>
              <w:t>670</w:t>
            </w:r>
            <w:r>
              <w:rPr>
                <w:noProof/>
                <w:webHidden/>
              </w:rPr>
              <w:fldChar w:fldCharType="end"/>
            </w:r>
          </w:hyperlink>
        </w:p>
        <w:p w14:paraId="49503A7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7" w:history="1">
            <w:r w:rsidRPr="000D551A">
              <w:rPr>
                <w:rStyle w:val="Lienhypertexte"/>
                <w:noProof/>
              </w:rPr>
              <w:t>46.42.3c Revêtements de sols extérieurs - les calcaires non marbriers CCTB 01.02</w:t>
            </w:r>
            <w:r>
              <w:rPr>
                <w:noProof/>
                <w:webHidden/>
              </w:rPr>
              <w:tab/>
            </w:r>
            <w:r>
              <w:rPr>
                <w:noProof/>
                <w:webHidden/>
              </w:rPr>
              <w:fldChar w:fldCharType="begin"/>
            </w:r>
            <w:r>
              <w:rPr>
                <w:noProof/>
                <w:webHidden/>
              </w:rPr>
              <w:instrText xml:space="preserve"> PAGEREF _Toc220490947 \h </w:instrText>
            </w:r>
            <w:r>
              <w:rPr>
                <w:noProof/>
                <w:webHidden/>
              </w:rPr>
            </w:r>
            <w:r>
              <w:rPr>
                <w:noProof/>
                <w:webHidden/>
              </w:rPr>
              <w:fldChar w:fldCharType="separate"/>
            </w:r>
            <w:r>
              <w:rPr>
                <w:noProof/>
                <w:webHidden/>
              </w:rPr>
              <w:t>670</w:t>
            </w:r>
            <w:r>
              <w:rPr>
                <w:noProof/>
                <w:webHidden/>
              </w:rPr>
              <w:fldChar w:fldCharType="end"/>
            </w:r>
          </w:hyperlink>
        </w:p>
        <w:p w14:paraId="25DF5B7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48" w:history="1">
            <w:r w:rsidRPr="000D551A">
              <w:rPr>
                <w:rStyle w:val="Lienhypertexte"/>
                <w:noProof/>
              </w:rPr>
              <w:t>46.42.4 Revêtements de sols extérieurs - les roches sédimentaires - calcaires, pierres bleues et grès CCTB 01.02</w:t>
            </w:r>
            <w:r>
              <w:rPr>
                <w:noProof/>
                <w:webHidden/>
              </w:rPr>
              <w:tab/>
            </w:r>
            <w:r>
              <w:rPr>
                <w:noProof/>
                <w:webHidden/>
              </w:rPr>
              <w:fldChar w:fldCharType="begin"/>
            </w:r>
            <w:r>
              <w:rPr>
                <w:noProof/>
                <w:webHidden/>
              </w:rPr>
              <w:instrText xml:space="preserve"> PAGEREF _Toc220490948 \h </w:instrText>
            </w:r>
            <w:r>
              <w:rPr>
                <w:noProof/>
                <w:webHidden/>
              </w:rPr>
            </w:r>
            <w:r>
              <w:rPr>
                <w:noProof/>
                <w:webHidden/>
              </w:rPr>
              <w:fldChar w:fldCharType="separate"/>
            </w:r>
            <w:r>
              <w:rPr>
                <w:noProof/>
                <w:webHidden/>
              </w:rPr>
              <w:t>670</w:t>
            </w:r>
            <w:r>
              <w:rPr>
                <w:noProof/>
                <w:webHidden/>
              </w:rPr>
              <w:fldChar w:fldCharType="end"/>
            </w:r>
          </w:hyperlink>
        </w:p>
        <w:p w14:paraId="04C4D09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49" w:history="1">
            <w:r w:rsidRPr="000D551A">
              <w:rPr>
                <w:rStyle w:val="Lienhypertexte"/>
                <w:noProof/>
              </w:rPr>
              <w:t>46.42.4a Revêtements de sols extérieures - calcaires, pierres bleues et grès</w:t>
            </w:r>
            <w:r>
              <w:rPr>
                <w:noProof/>
                <w:webHidden/>
              </w:rPr>
              <w:tab/>
            </w:r>
            <w:r>
              <w:rPr>
                <w:noProof/>
                <w:webHidden/>
              </w:rPr>
              <w:fldChar w:fldCharType="begin"/>
            </w:r>
            <w:r>
              <w:rPr>
                <w:noProof/>
                <w:webHidden/>
              </w:rPr>
              <w:instrText xml:space="preserve"> PAGEREF _Toc220490949 \h </w:instrText>
            </w:r>
            <w:r>
              <w:rPr>
                <w:noProof/>
                <w:webHidden/>
              </w:rPr>
            </w:r>
            <w:r>
              <w:rPr>
                <w:noProof/>
                <w:webHidden/>
              </w:rPr>
              <w:fldChar w:fldCharType="separate"/>
            </w:r>
            <w:r>
              <w:rPr>
                <w:noProof/>
                <w:webHidden/>
              </w:rPr>
              <w:t>671</w:t>
            </w:r>
            <w:r>
              <w:rPr>
                <w:noProof/>
                <w:webHidden/>
              </w:rPr>
              <w:fldChar w:fldCharType="end"/>
            </w:r>
          </w:hyperlink>
        </w:p>
        <w:p w14:paraId="0D828A45"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50" w:history="1">
            <w:r w:rsidRPr="000D551A">
              <w:rPr>
                <w:rStyle w:val="Lienhypertexte"/>
                <w:noProof/>
              </w:rPr>
              <w:t>46.42.5 Revêtements de sols extérieurs - les roches métamorphiques - ardoises, marbres et schistes CCTB 01.02</w:t>
            </w:r>
            <w:r>
              <w:rPr>
                <w:noProof/>
                <w:webHidden/>
              </w:rPr>
              <w:tab/>
            </w:r>
            <w:r>
              <w:rPr>
                <w:noProof/>
                <w:webHidden/>
              </w:rPr>
              <w:fldChar w:fldCharType="begin"/>
            </w:r>
            <w:r>
              <w:rPr>
                <w:noProof/>
                <w:webHidden/>
              </w:rPr>
              <w:instrText xml:space="preserve"> PAGEREF _Toc220490950 \h </w:instrText>
            </w:r>
            <w:r>
              <w:rPr>
                <w:noProof/>
                <w:webHidden/>
              </w:rPr>
            </w:r>
            <w:r>
              <w:rPr>
                <w:noProof/>
                <w:webHidden/>
              </w:rPr>
              <w:fldChar w:fldCharType="separate"/>
            </w:r>
            <w:r>
              <w:rPr>
                <w:noProof/>
                <w:webHidden/>
              </w:rPr>
              <w:t>671</w:t>
            </w:r>
            <w:r>
              <w:rPr>
                <w:noProof/>
                <w:webHidden/>
              </w:rPr>
              <w:fldChar w:fldCharType="end"/>
            </w:r>
          </w:hyperlink>
        </w:p>
        <w:p w14:paraId="63FF3E0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1" w:history="1">
            <w:r w:rsidRPr="000D551A">
              <w:rPr>
                <w:rStyle w:val="Lienhypertexte"/>
                <w:noProof/>
              </w:rPr>
              <w:t>46.42.5a Revêtements de sols extérieurs - ardoises, marbres et schistes</w:t>
            </w:r>
            <w:r>
              <w:rPr>
                <w:noProof/>
                <w:webHidden/>
              </w:rPr>
              <w:tab/>
            </w:r>
            <w:r>
              <w:rPr>
                <w:noProof/>
                <w:webHidden/>
              </w:rPr>
              <w:fldChar w:fldCharType="begin"/>
            </w:r>
            <w:r>
              <w:rPr>
                <w:noProof/>
                <w:webHidden/>
              </w:rPr>
              <w:instrText xml:space="preserve"> PAGEREF _Toc220490951 \h </w:instrText>
            </w:r>
            <w:r>
              <w:rPr>
                <w:noProof/>
                <w:webHidden/>
              </w:rPr>
            </w:r>
            <w:r>
              <w:rPr>
                <w:noProof/>
                <w:webHidden/>
              </w:rPr>
              <w:fldChar w:fldCharType="separate"/>
            </w:r>
            <w:r>
              <w:rPr>
                <w:noProof/>
                <w:webHidden/>
              </w:rPr>
              <w:t>671</w:t>
            </w:r>
            <w:r>
              <w:rPr>
                <w:noProof/>
                <w:webHidden/>
              </w:rPr>
              <w:fldChar w:fldCharType="end"/>
            </w:r>
          </w:hyperlink>
        </w:p>
        <w:p w14:paraId="51FA6409"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52" w:history="1">
            <w:r w:rsidRPr="000D551A">
              <w:rPr>
                <w:rStyle w:val="Lienhypertexte"/>
                <w:noProof/>
              </w:rPr>
              <w:t>46.42.6 Revêtements de sols extérieurs - les roches métamorphiques - les gneiss et marbres CCTB 01.02</w:t>
            </w:r>
            <w:r>
              <w:rPr>
                <w:noProof/>
                <w:webHidden/>
              </w:rPr>
              <w:tab/>
            </w:r>
            <w:r>
              <w:rPr>
                <w:noProof/>
                <w:webHidden/>
              </w:rPr>
              <w:fldChar w:fldCharType="begin"/>
            </w:r>
            <w:r>
              <w:rPr>
                <w:noProof/>
                <w:webHidden/>
              </w:rPr>
              <w:instrText xml:space="preserve"> PAGEREF _Toc220490952 \h </w:instrText>
            </w:r>
            <w:r>
              <w:rPr>
                <w:noProof/>
                <w:webHidden/>
              </w:rPr>
            </w:r>
            <w:r>
              <w:rPr>
                <w:noProof/>
                <w:webHidden/>
              </w:rPr>
              <w:fldChar w:fldCharType="separate"/>
            </w:r>
            <w:r>
              <w:rPr>
                <w:noProof/>
                <w:webHidden/>
              </w:rPr>
              <w:t>671</w:t>
            </w:r>
            <w:r>
              <w:rPr>
                <w:noProof/>
                <w:webHidden/>
              </w:rPr>
              <w:fldChar w:fldCharType="end"/>
            </w:r>
          </w:hyperlink>
        </w:p>
        <w:p w14:paraId="0DDC858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3" w:history="1">
            <w:r w:rsidRPr="000D551A">
              <w:rPr>
                <w:rStyle w:val="Lienhypertexte"/>
                <w:noProof/>
              </w:rPr>
              <w:t>46.42.6a Revêtements de sols extérieurs - les gneiss CCTB 01.02</w:t>
            </w:r>
            <w:r>
              <w:rPr>
                <w:noProof/>
                <w:webHidden/>
              </w:rPr>
              <w:tab/>
            </w:r>
            <w:r>
              <w:rPr>
                <w:noProof/>
                <w:webHidden/>
              </w:rPr>
              <w:fldChar w:fldCharType="begin"/>
            </w:r>
            <w:r>
              <w:rPr>
                <w:noProof/>
                <w:webHidden/>
              </w:rPr>
              <w:instrText xml:space="preserve"> PAGEREF _Toc220490953 \h </w:instrText>
            </w:r>
            <w:r>
              <w:rPr>
                <w:noProof/>
                <w:webHidden/>
              </w:rPr>
            </w:r>
            <w:r>
              <w:rPr>
                <w:noProof/>
                <w:webHidden/>
              </w:rPr>
              <w:fldChar w:fldCharType="separate"/>
            </w:r>
            <w:r>
              <w:rPr>
                <w:noProof/>
                <w:webHidden/>
              </w:rPr>
              <w:t>671</w:t>
            </w:r>
            <w:r>
              <w:rPr>
                <w:noProof/>
                <w:webHidden/>
              </w:rPr>
              <w:fldChar w:fldCharType="end"/>
            </w:r>
          </w:hyperlink>
        </w:p>
        <w:p w14:paraId="5FFBB18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4" w:history="1">
            <w:r w:rsidRPr="000D551A">
              <w:rPr>
                <w:rStyle w:val="Lienhypertexte"/>
                <w:noProof/>
              </w:rPr>
              <w:t>46.42.6b Revêtements de sols extérieurs - les marbres CCTB 01.02</w:t>
            </w:r>
            <w:r>
              <w:rPr>
                <w:noProof/>
                <w:webHidden/>
              </w:rPr>
              <w:tab/>
            </w:r>
            <w:r>
              <w:rPr>
                <w:noProof/>
                <w:webHidden/>
              </w:rPr>
              <w:fldChar w:fldCharType="begin"/>
            </w:r>
            <w:r>
              <w:rPr>
                <w:noProof/>
                <w:webHidden/>
              </w:rPr>
              <w:instrText xml:space="preserve"> PAGEREF _Toc220490954 \h </w:instrText>
            </w:r>
            <w:r>
              <w:rPr>
                <w:noProof/>
                <w:webHidden/>
              </w:rPr>
            </w:r>
            <w:r>
              <w:rPr>
                <w:noProof/>
                <w:webHidden/>
              </w:rPr>
              <w:fldChar w:fldCharType="separate"/>
            </w:r>
            <w:r>
              <w:rPr>
                <w:noProof/>
                <w:webHidden/>
              </w:rPr>
              <w:t>671</w:t>
            </w:r>
            <w:r>
              <w:rPr>
                <w:noProof/>
                <w:webHidden/>
              </w:rPr>
              <w:fldChar w:fldCharType="end"/>
            </w:r>
          </w:hyperlink>
        </w:p>
        <w:p w14:paraId="55D79E27"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55" w:history="1">
            <w:r w:rsidRPr="000D551A">
              <w:rPr>
                <w:rStyle w:val="Lienhypertexte"/>
                <w:noProof/>
              </w:rPr>
              <w:t>46.43 Revêtements de sols extérieurs - carreaux à base de liants CCTB 01.02</w:t>
            </w:r>
            <w:r>
              <w:rPr>
                <w:noProof/>
                <w:webHidden/>
              </w:rPr>
              <w:tab/>
            </w:r>
            <w:r>
              <w:rPr>
                <w:noProof/>
                <w:webHidden/>
              </w:rPr>
              <w:fldChar w:fldCharType="begin"/>
            </w:r>
            <w:r>
              <w:rPr>
                <w:noProof/>
                <w:webHidden/>
              </w:rPr>
              <w:instrText xml:space="preserve"> PAGEREF _Toc220490955 \h </w:instrText>
            </w:r>
            <w:r>
              <w:rPr>
                <w:noProof/>
                <w:webHidden/>
              </w:rPr>
            </w:r>
            <w:r>
              <w:rPr>
                <w:noProof/>
                <w:webHidden/>
              </w:rPr>
              <w:fldChar w:fldCharType="separate"/>
            </w:r>
            <w:r>
              <w:rPr>
                <w:noProof/>
                <w:webHidden/>
              </w:rPr>
              <w:t>671</w:t>
            </w:r>
            <w:r>
              <w:rPr>
                <w:noProof/>
                <w:webHidden/>
              </w:rPr>
              <w:fldChar w:fldCharType="end"/>
            </w:r>
          </w:hyperlink>
        </w:p>
        <w:p w14:paraId="4BDB2AE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56" w:history="1">
            <w:r w:rsidRPr="000D551A">
              <w:rPr>
                <w:rStyle w:val="Lienhypertexte"/>
                <w:noProof/>
              </w:rPr>
              <w:t>46.43.1 Revêtements de sols extérieurs - carreaux à base de liants hydrauliques CCTB 01.10</w:t>
            </w:r>
            <w:r>
              <w:rPr>
                <w:noProof/>
                <w:webHidden/>
              </w:rPr>
              <w:tab/>
            </w:r>
            <w:r>
              <w:rPr>
                <w:noProof/>
                <w:webHidden/>
              </w:rPr>
              <w:fldChar w:fldCharType="begin"/>
            </w:r>
            <w:r>
              <w:rPr>
                <w:noProof/>
                <w:webHidden/>
              </w:rPr>
              <w:instrText xml:space="preserve"> PAGEREF _Toc220490956 \h </w:instrText>
            </w:r>
            <w:r>
              <w:rPr>
                <w:noProof/>
                <w:webHidden/>
              </w:rPr>
            </w:r>
            <w:r>
              <w:rPr>
                <w:noProof/>
                <w:webHidden/>
              </w:rPr>
              <w:fldChar w:fldCharType="separate"/>
            </w:r>
            <w:r>
              <w:rPr>
                <w:noProof/>
                <w:webHidden/>
              </w:rPr>
              <w:t>671</w:t>
            </w:r>
            <w:r>
              <w:rPr>
                <w:noProof/>
                <w:webHidden/>
              </w:rPr>
              <w:fldChar w:fldCharType="end"/>
            </w:r>
          </w:hyperlink>
        </w:p>
        <w:p w14:paraId="320935C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7" w:history="1">
            <w:r w:rsidRPr="000D551A">
              <w:rPr>
                <w:rStyle w:val="Lienhypertexte"/>
                <w:noProof/>
              </w:rPr>
              <w:t>46.43.1a Revêtements de sols extérieurs - ciment coloré dans la masse CCTB 01.10</w:t>
            </w:r>
            <w:r>
              <w:rPr>
                <w:noProof/>
                <w:webHidden/>
              </w:rPr>
              <w:tab/>
            </w:r>
            <w:r>
              <w:rPr>
                <w:noProof/>
                <w:webHidden/>
              </w:rPr>
              <w:fldChar w:fldCharType="begin"/>
            </w:r>
            <w:r>
              <w:rPr>
                <w:noProof/>
                <w:webHidden/>
              </w:rPr>
              <w:instrText xml:space="preserve"> PAGEREF _Toc220490957 \h </w:instrText>
            </w:r>
            <w:r>
              <w:rPr>
                <w:noProof/>
                <w:webHidden/>
              </w:rPr>
            </w:r>
            <w:r>
              <w:rPr>
                <w:noProof/>
                <w:webHidden/>
              </w:rPr>
              <w:fldChar w:fldCharType="separate"/>
            </w:r>
            <w:r>
              <w:rPr>
                <w:noProof/>
                <w:webHidden/>
              </w:rPr>
              <w:t>672</w:t>
            </w:r>
            <w:r>
              <w:rPr>
                <w:noProof/>
                <w:webHidden/>
              </w:rPr>
              <w:fldChar w:fldCharType="end"/>
            </w:r>
          </w:hyperlink>
        </w:p>
        <w:p w14:paraId="26621CE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58" w:history="1">
            <w:r w:rsidRPr="000D551A">
              <w:rPr>
                <w:rStyle w:val="Lienhypertexte"/>
                <w:noProof/>
              </w:rPr>
              <w:t>46.43.1b Revêtements de sols extérieurs - couches d'usure composées de granulat mêlé au ciment CCTB 01.02</w:t>
            </w:r>
            <w:r>
              <w:rPr>
                <w:noProof/>
                <w:webHidden/>
              </w:rPr>
              <w:tab/>
            </w:r>
            <w:r>
              <w:rPr>
                <w:noProof/>
                <w:webHidden/>
              </w:rPr>
              <w:fldChar w:fldCharType="begin"/>
            </w:r>
            <w:r>
              <w:rPr>
                <w:noProof/>
                <w:webHidden/>
              </w:rPr>
              <w:instrText xml:space="preserve"> PAGEREF _Toc220490958 \h </w:instrText>
            </w:r>
            <w:r>
              <w:rPr>
                <w:noProof/>
                <w:webHidden/>
              </w:rPr>
            </w:r>
            <w:r>
              <w:rPr>
                <w:noProof/>
                <w:webHidden/>
              </w:rPr>
              <w:fldChar w:fldCharType="separate"/>
            </w:r>
            <w:r>
              <w:rPr>
                <w:noProof/>
                <w:webHidden/>
              </w:rPr>
              <w:t>673</w:t>
            </w:r>
            <w:r>
              <w:rPr>
                <w:noProof/>
                <w:webHidden/>
              </w:rPr>
              <w:fldChar w:fldCharType="end"/>
            </w:r>
          </w:hyperlink>
        </w:p>
        <w:p w14:paraId="1CFB36BD"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59" w:history="1">
            <w:r w:rsidRPr="000D551A">
              <w:rPr>
                <w:rStyle w:val="Lienhypertexte"/>
                <w:noProof/>
              </w:rPr>
              <w:t>46.43.2 Revêtements de sols extérieurs - carreaux à base de liants résineux CCTB 01.02</w:t>
            </w:r>
            <w:r>
              <w:rPr>
                <w:noProof/>
                <w:webHidden/>
              </w:rPr>
              <w:tab/>
            </w:r>
            <w:r>
              <w:rPr>
                <w:noProof/>
                <w:webHidden/>
              </w:rPr>
              <w:fldChar w:fldCharType="begin"/>
            </w:r>
            <w:r>
              <w:rPr>
                <w:noProof/>
                <w:webHidden/>
              </w:rPr>
              <w:instrText xml:space="preserve"> PAGEREF _Toc220490959 \h </w:instrText>
            </w:r>
            <w:r>
              <w:rPr>
                <w:noProof/>
                <w:webHidden/>
              </w:rPr>
            </w:r>
            <w:r>
              <w:rPr>
                <w:noProof/>
                <w:webHidden/>
              </w:rPr>
              <w:fldChar w:fldCharType="separate"/>
            </w:r>
            <w:r>
              <w:rPr>
                <w:noProof/>
                <w:webHidden/>
              </w:rPr>
              <w:t>673</w:t>
            </w:r>
            <w:r>
              <w:rPr>
                <w:noProof/>
                <w:webHidden/>
              </w:rPr>
              <w:fldChar w:fldCharType="end"/>
            </w:r>
          </w:hyperlink>
        </w:p>
        <w:p w14:paraId="6C6FB751"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60" w:history="1">
            <w:r w:rsidRPr="000D551A">
              <w:rPr>
                <w:rStyle w:val="Lienhypertexte"/>
                <w:noProof/>
              </w:rPr>
              <w:t>46.43.2a Revêtements de sols extérieurs - carreaux à base de liants résineux CCTB 01.10</w:t>
            </w:r>
            <w:r>
              <w:rPr>
                <w:noProof/>
                <w:webHidden/>
              </w:rPr>
              <w:tab/>
            </w:r>
            <w:r>
              <w:rPr>
                <w:noProof/>
                <w:webHidden/>
              </w:rPr>
              <w:fldChar w:fldCharType="begin"/>
            </w:r>
            <w:r>
              <w:rPr>
                <w:noProof/>
                <w:webHidden/>
              </w:rPr>
              <w:instrText xml:space="preserve"> PAGEREF _Toc220490960 \h </w:instrText>
            </w:r>
            <w:r>
              <w:rPr>
                <w:noProof/>
                <w:webHidden/>
              </w:rPr>
            </w:r>
            <w:r>
              <w:rPr>
                <w:noProof/>
                <w:webHidden/>
              </w:rPr>
              <w:fldChar w:fldCharType="separate"/>
            </w:r>
            <w:r>
              <w:rPr>
                <w:noProof/>
                <w:webHidden/>
              </w:rPr>
              <w:t>673</w:t>
            </w:r>
            <w:r>
              <w:rPr>
                <w:noProof/>
                <w:webHidden/>
              </w:rPr>
              <w:fldChar w:fldCharType="end"/>
            </w:r>
          </w:hyperlink>
        </w:p>
        <w:p w14:paraId="14D88348"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61" w:history="1">
            <w:r w:rsidRPr="000D551A">
              <w:rPr>
                <w:rStyle w:val="Lienhypertexte"/>
                <w:noProof/>
              </w:rPr>
              <w:t>46.44 Revêtements de sols extérieurs - bois massif CCTB 01.11</w:t>
            </w:r>
            <w:r>
              <w:rPr>
                <w:noProof/>
                <w:webHidden/>
              </w:rPr>
              <w:tab/>
            </w:r>
            <w:r>
              <w:rPr>
                <w:noProof/>
                <w:webHidden/>
              </w:rPr>
              <w:fldChar w:fldCharType="begin"/>
            </w:r>
            <w:r>
              <w:rPr>
                <w:noProof/>
                <w:webHidden/>
              </w:rPr>
              <w:instrText xml:space="preserve"> PAGEREF _Toc220490961 \h </w:instrText>
            </w:r>
            <w:r>
              <w:rPr>
                <w:noProof/>
                <w:webHidden/>
              </w:rPr>
            </w:r>
            <w:r>
              <w:rPr>
                <w:noProof/>
                <w:webHidden/>
              </w:rPr>
              <w:fldChar w:fldCharType="separate"/>
            </w:r>
            <w:r>
              <w:rPr>
                <w:noProof/>
                <w:webHidden/>
              </w:rPr>
              <w:t>673</w:t>
            </w:r>
            <w:r>
              <w:rPr>
                <w:noProof/>
                <w:webHidden/>
              </w:rPr>
              <w:fldChar w:fldCharType="end"/>
            </w:r>
          </w:hyperlink>
        </w:p>
        <w:p w14:paraId="51312783"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62" w:history="1">
            <w:r w:rsidRPr="000D551A">
              <w:rPr>
                <w:rStyle w:val="Lienhypertexte"/>
                <w:noProof/>
              </w:rPr>
              <w:t>46.44.1 Revêtements de sols extérieurs - planchers CCTB 01.02</w:t>
            </w:r>
            <w:r>
              <w:rPr>
                <w:noProof/>
                <w:webHidden/>
              </w:rPr>
              <w:tab/>
            </w:r>
            <w:r>
              <w:rPr>
                <w:noProof/>
                <w:webHidden/>
              </w:rPr>
              <w:fldChar w:fldCharType="begin"/>
            </w:r>
            <w:r>
              <w:rPr>
                <w:noProof/>
                <w:webHidden/>
              </w:rPr>
              <w:instrText xml:space="preserve"> PAGEREF _Toc220490962 \h </w:instrText>
            </w:r>
            <w:r>
              <w:rPr>
                <w:noProof/>
                <w:webHidden/>
              </w:rPr>
            </w:r>
            <w:r>
              <w:rPr>
                <w:noProof/>
                <w:webHidden/>
              </w:rPr>
              <w:fldChar w:fldCharType="separate"/>
            </w:r>
            <w:r>
              <w:rPr>
                <w:noProof/>
                <w:webHidden/>
              </w:rPr>
              <w:t>679</w:t>
            </w:r>
            <w:r>
              <w:rPr>
                <w:noProof/>
                <w:webHidden/>
              </w:rPr>
              <w:fldChar w:fldCharType="end"/>
            </w:r>
          </w:hyperlink>
        </w:p>
        <w:p w14:paraId="65C5BBE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63" w:history="1">
            <w:r w:rsidRPr="000D551A">
              <w:rPr>
                <w:rStyle w:val="Lienhypertexte"/>
                <w:noProof/>
              </w:rPr>
              <w:t>46.44.1a Revêtements de sols extérieurs - planchers de bois massif</w:t>
            </w:r>
            <w:r>
              <w:rPr>
                <w:noProof/>
                <w:webHidden/>
              </w:rPr>
              <w:tab/>
            </w:r>
            <w:r>
              <w:rPr>
                <w:noProof/>
                <w:webHidden/>
              </w:rPr>
              <w:fldChar w:fldCharType="begin"/>
            </w:r>
            <w:r>
              <w:rPr>
                <w:noProof/>
                <w:webHidden/>
              </w:rPr>
              <w:instrText xml:space="preserve"> PAGEREF _Toc220490963 \h </w:instrText>
            </w:r>
            <w:r>
              <w:rPr>
                <w:noProof/>
                <w:webHidden/>
              </w:rPr>
            </w:r>
            <w:r>
              <w:rPr>
                <w:noProof/>
                <w:webHidden/>
              </w:rPr>
              <w:fldChar w:fldCharType="separate"/>
            </w:r>
            <w:r>
              <w:rPr>
                <w:noProof/>
                <w:webHidden/>
              </w:rPr>
              <w:t>679</w:t>
            </w:r>
            <w:r>
              <w:rPr>
                <w:noProof/>
                <w:webHidden/>
              </w:rPr>
              <w:fldChar w:fldCharType="end"/>
            </w:r>
          </w:hyperlink>
        </w:p>
        <w:p w14:paraId="6DC7968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64" w:history="1">
            <w:r w:rsidRPr="000D551A">
              <w:rPr>
                <w:rStyle w:val="Lienhypertexte"/>
                <w:noProof/>
              </w:rPr>
              <w:t>46.44.2 Revêtements de sols extérieurs - dalles en bois CCTB 01.02</w:t>
            </w:r>
            <w:r>
              <w:rPr>
                <w:noProof/>
                <w:webHidden/>
              </w:rPr>
              <w:tab/>
            </w:r>
            <w:r>
              <w:rPr>
                <w:noProof/>
                <w:webHidden/>
              </w:rPr>
              <w:fldChar w:fldCharType="begin"/>
            </w:r>
            <w:r>
              <w:rPr>
                <w:noProof/>
                <w:webHidden/>
              </w:rPr>
              <w:instrText xml:space="preserve"> PAGEREF _Toc220490964 \h </w:instrText>
            </w:r>
            <w:r>
              <w:rPr>
                <w:noProof/>
                <w:webHidden/>
              </w:rPr>
            </w:r>
            <w:r>
              <w:rPr>
                <w:noProof/>
                <w:webHidden/>
              </w:rPr>
              <w:fldChar w:fldCharType="separate"/>
            </w:r>
            <w:r>
              <w:rPr>
                <w:noProof/>
                <w:webHidden/>
              </w:rPr>
              <w:t>679</w:t>
            </w:r>
            <w:r>
              <w:rPr>
                <w:noProof/>
                <w:webHidden/>
              </w:rPr>
              <w:fldChar w:fldCharType="end"/>
            </w:r>
          </w:hyperlink>
        </w:p>
        <w:p w14:paraId="1CE625DD"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65" w:history="1">
            <w:r w:rsidRPr="000D551A">
              <w:rPr>
                <w:rStyle w:val="Lienhypertexte"/>
                <w:noProof/>
              </w:rPr>
              <w:t>46.44.2a Revêtements de sols extérieurs - dalles de bois massif</w:t>
            </w:r>
            <w:r>
              <w:rPr>
                <w:noProof/>
                <w:webHidden/>
              </w:rPr>
              <w:tab/>
            </w:r>
            <w:r>
              <w:rPr>
                <w:noProof/>
                <w:webHidden/>
              </w:rPr>
              <w:fldChar w:fldCharType="begin"/>
            </w:r>
            <w:r>
              <w:rPr>
                <w:noProof/>
                <w:webHidden/>
              </w:rPr>
              <w:instrText xml:space="preserve"> PAGEREF _Toc220490965 \h </w:instrText>
            </w:r>
            <w:r>
              <w:rPr>
                <w:noProof/>
                <w:webHidden/>
              </w:rPr>
            </w:r>
            <w:r>
              <w:rPr>
                <w:noProof/>
                <w:webHidden/>
              </w:rPr>
              <w:fldChar w:fldCharType="separate"/>
            </w:r>
            <w:r>
              <w:rPr>
                <w:noProof/>
                <w:webHidden/>
              </w:rPr>
              <w:t>679</w:t>
            </w:r>
            <w:r>
              <w:rPr>
                <w:noProof/>
                <w:webHidden/>
              </w:rPr>
              <w:fldChar w:fldCharType="end"/>
            </w:r>
          </w:hyperlink>
        </w:p>
        <w:p w14:paraId="444755F1"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0966" w:history="1">
            <w:r w:rsidRPr="000D551A">
              <w:rPr>
                <w:rStyle w:val="Lienhypertexte"/>
                <w:noProof/>
              </w:rPr>
              <w:t>46.5 Finitions diverses et accessoires CCTB 01.02</w:t>
            </w:r>
            <w:r>
              <w:rPr>
                <w:noProof/>
                <w:webHidden/>
              </w:rPr>
              <w:tab/>
            </w:r>
            <w:r>
              <w:rPr>
                <w:noProof/>
                <w:webHidden/>
              </w:rPr>
              <w:fldChar w:fldCharType="begin"/>
            </w:r>
            <w:r>
              <w:rPr>
                <w:noProof/>
                <w:webHidden/>
              </w:rPr>
              <w:instrText xml:space="preserve"> PAGEREF _Toc220490966 \h </w:instrText>
            </w:r>
            <w:r>
              <w:rPr>
                <w:noProof/>
                <w:webHidden/>
              </w:rPr>
            </w:r>
            <w:r>
              <w:rPr>
                <w:noProof/>
                <w:webHidden/>
              </w:rPr>
              <w:fldChar w:fldCharType="separate"/>
            </w:r>
            <w:r>
              <w:rPr>
                <w:noProof/>
                <w:webHidden/>
              </w:rPr>
              <w:t>679</w:t>
            </w:r>
            <w:r>
              <w:rPr>
                <w:noProof/>
                <w:webHidden/>
              </w:rPr>
              <w:fldChar w:fldCharType="end"/>
            </w:r>
          </w:hyperlink>
        </w:p>
        <w:p w14:paraId="7FB8E367"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67" w:history="1">
            <w:r w:rsidRPr="000D551A">
              <w:rPr>
                <w:rStyle w:val="Lienhypertexte"/>
                <w:noProof/>
              </w:rPr>
              <w:t>46.51 Réalisation de joints CCTB 01.02</w:t>
            </w:r>
            <w:r>
              <w:rPr>
                <w:noProof/>
                <w:webHidden/>
              </w:rPr>
              <w:tab/>
            </w:r>
            <w:r>
              <w:rPr>
                <w:noProof/>
                <w:webHidden/>
              </w:rPr>
              <w:fldChar w:fldCharType="begin"/>
            </w:r>
            <w:r>
              <w:rPr>
                <w:noProof/>
                <w:webHidden/>
              </w:rPr>
              <w:instrText xml:space="preserve"> PAGEREF _Toc220490967 \h </w:instrText>
            </w:r>
            <w:r>
              <w:rPr>
                <w:noProof/>
                <w:webHidden/>
              </w:rPr>
            </w:r>
            <w:r>
              <w:rPr>
                <w:noProof/>
                <w:webHidden/>
              </w:rPr>
              <w:fldChar w:fldCharType="separate"/>
            </w:r>
            <w:r>
              <w:rPr>
                <w:noProof/>
                <w:webHidden/>
              </w:rPr>
              <w:t>679</w:t>
            </w:r>
            <w:r>
              <w:rPr>
                <w:noProof/>
                <w:webHidden/>
              </w:rPr>
              <w:fldChar w:fldCharType="end"/>
            </w:r>
          </w:hyperlink>
        </w:p>
        <w:p w14:paraId="72F8D2FC"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68" w:history="1">
            <w:r w:rsidRPr="000D551A">
              <w:rPr>
                <w:rStyle w:val="Lienhypertexte"/>
                <w:noProof/>
              </w:rPr>
              <w:t>46.51.1 Joints de tassement CCTB 01.02</w:t>
            </w:r>
            <w:r>
              <w:rPr>
                <w:noProof/>
                <w:webHidden/>
              </w:rPr>
              <w:tab/>
            </w:r>
            <w:r>
              <w:rPr>
                <w:noProof/>
                <w:webHidden/>
              </w:rPr>
              <w:fldChar w:fldCharType="begin"/>
            </w:r>
            <w:r>
              <w:rPr>
                <w:noProof/>
                <w:webHidden/>
              </w:rPr>
              <w:instrText xml:space="preserve"> PAGEREF _Toc220490968 \h </w:instrText>
            </w:r>
            <w:r>
              <w:rPr>
                <w:noProof/>
                <w:webHidden/>
              </w:rPr>
            </w:r>
            <w:r>
              <w:rPr>
                <w:noProof/>
                <w:webHidden/>
              </w:rPr>
              <w:fldChar w:fldCharType="separate"/>
            </w:r>
            <w:r>
              <w:rPr>
                <w:noProof/>
                <w:webHidden/>
              </w:rPr>
              <w:t>679</w:t>
            </w:r>
            <w:r>
              <w:rPr>
                <w:noProof/>
                <w:webHidden/>
              </w:rPr>
              <w:fldChar w:fldCharType="end"/>
            </w:r>
          </w:hyperlink>
        </w:p>
        <w:p w14:paraId="4EC3156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69" w:history="1">
            <w:r w:rsidRPr="000D551A">
              <w:rPr>
                <w:rStyle w:val="Lienhypertexte"/>
                <w:noProof/>
              </w:rPr>
              <w:t>46.51.1a Joints de tassement - réalisé in-situ CCTB 01.02</w:t>
            </w:r>
            <w:r>
              <w:rPr>
                <w:noProof/>
                <w:webHidden/>
              </w:rPr>
              <w:tab/>
            </w:r>
            <w:r>
              <w:rPr>
                <w:noProof/>
                <w:webHidden/>
              </w:rPr>
              <w:fldChar w:fldCharType="begin"/>
            </w:r>
            <w:r>
              <w:rPr>
                <w:noProof/>
                <w:webHidden/>
              </w:rPr>
              <w:instrText xml:space="preserve"> PAGEREF _Toc220490969 \h </w:instrText>
            </w:r>
            <w:r>
              <w:rPr>
                <w:noProof/>
                <w:webHidden/>
              </w:rPr>
            </w:r>
            <w:r>
              <w:rPr>
                <w:noProof/>
                <w:webHidden/>
              </w:rPr>
              <w:fldChar w:fldCharType="separate"/>
            </w:r>
            <w:r>
              <w:rPr>
                <w:noProof/>
                <w:webHidden/>
              </w:rPr>
              <w:t>679</w:t>
            </w:r>
            <w:r>
              <w:rPr>
                <w:noProof/>
                <w:webHidden/>
              </w:rPr>
              <w:fldChar w:fldCharType="end"/>
            </w:r>
          </w:hyperlink>
        </w:p>
        <w:p w14:paraId="2D18834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70" w:history="1">
            <w:r w:rsidRPr="000D551A">
              <w:rPr>
                <w:rStyle w:val="Lienhypertexte"/>
                <w:noProof/>
              </w:rPr>
              <w:t>46.51.1b Joints de tassement - systèmes préfabriqués CCTB 01.02</w:t>
            </w:r>
            <w:r>
              <w:rPr>
                <w:noProof/>
                <w:webHidden/>
              </w:rPr>
              <w:tab/>
            </w:r>
            <w:r>
              <w:rPr>
                <w:noProof/>
                <w:webHidden/>
              </w:rPr>
              <w:fldChar w:fldCharType="begin"/>
            </w:r>
            <w:r>
              <w:rPr>
                <w:noProof/>
                <w:webHidden/>
              </w:rPr>
              <w:instrText xml:space="preserve"> PAGEREF _Toc220490970 \h </w:instrText>
            </w:r>
            <w:r>
              <w:rPr>
                <w:noProof/>
                <w:webHidden/>
              </w:rPr>
            </w:r>
            <w:r>
              <w:rPr>
                <w:noProof/>
                <w:webHidden/>
              </w:rPr>
              <w:fldChar w:fldCharType="separate"/>
            </w:r>
            <w:r>
              <w:rPr>
                <w:noProof/>
                <w:webHidden/>
              </w:rPr>
              <w:t>679</w:t>
            </w:r>
            <w:r>
              <w:rPr>
                <w:noProof/>
                <w:webHidden/>
              </w:rPr>
              <w:fldChar w:fldCharType="end"/>
            </w:r>
          </w:hyperlink>
        </w:p>
        <w:p w14:paraId="20722958"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71" w:history="1">
            <w:r w:rsidRPr="000D551A">
              <w:rPr>
                <w:rStyle w:val="Lienhypertexte"/>
                <w:noProof/>
              </w:rPr>
              <w:t>46.51.2 Joints de dilatation CCTB 01.02</w:t>
            </w:r>
            <w:r>
              <w:rPr>
                <w:noProof/>
                <w:webHidden/>
              </w:rPr>
              <w:tab/>
            </w:r>
            <w:r>
              <w:rPr>
                <w:noProof/>
                <w:webHidden/>
              </w:rPr>
              <w:fldChar w:fldCharType="begin"/>
            </w:r>
            <w:r>
              <w:rPr>
                <w:noProof/>
                <w:webHidden/>
              </w:rPr>
              <w:instrText xml:space="preserve"> PAGEREF _Toc220490971 \h </w:instrText>
            </w:r>
            <w:r>
              <w:rPr>
                <w:noProof/>
                <w:webHidden/>
              </w:rPr>
            </w:r>
            <w:r>
              <w:rPr>
                <w:noProof/>
                <w:webHidden/>
              </w:rPr>
              <w:fldChar w:fldCharType="separate"/>
            </w:r>
            <w:r>
              <w:rPr>
                <w:noProof/>
                <w:webHidden/>
              </w:rPr>
              <w:t>679</w:t>
            </w:r>
            <w:r>
              <w:rPr>
                <w:noProof/>
                <w:webHidden/>
              </w:rPr>
              <w:fldChar w:fldCharType="end"/>
            </w:r>
          </w:hyperlink>
        </w:p>
        <w:p w14:paraId="56A8DEE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72" w:history="1">
            <w:r w:rsidRPr="000D551A">
              <w:rPr>
                <w:rStyle w:val="Lienhypertexte"/>
                <w:noProof/>
              </w:rPr>
              <w:t>46.51.2a Joints de dilatation - réalisé in-situ CCTB 01.02</w:t>
            </w:r>
            <w:r>
              <w:rPr>
                <w:noProof/>
                <w:webHidden/>
              </w:rPr>
              <w:tab/>
            </w:r>
            <w:r>
              <w:rPr>
                <w:noProof/>
                <w:webHidden/>
              </w:rPr>
              <w:fldChar w:fldCharType="begin"/>
            </w:r>
            <w:r>
              <w:rPr>
                <w:noProof/>
                <w:webHidden/>
              </w:rPr>
              <w:instrText xml:space="preserve"> PAGEREF _Toc220490972 \h </w:instrText>
            </w:r>
            <w:r>
              <w:rPr>
                <w:noProof/>
                <w:webHidden/>
              </w:rPr>
            </w:r>
            <w:r>
              <w:rPr>
                <w:noProof/>
                <w:webHidden/>
              </w:rPr>
              <w:fldChar w:fldCharType="separate"/>
            </w:r>
            <w:r>
              <w:rPr>
                <w:noProof/>
                <w:webHidden/>
              </w:rPr>
              <w:t>679</w:t>
            </w:r>
            <w:r>
              <w:rPr>
                <w:noProof/>
                <w:webHidden/>
              </w:rPr>
              <w:fldChar w:fldCharType="end"/>
            </w:r>
          </w:hyperlink>
        </w:p>
        <w:p w14:paraId="277CE84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73" w:history="1">
            <w:r w:rsidRPr="000D551A">
              <w:rPr>
                <w:rStyle w:val="Lienhypertexte"/>
                <w:noProof/>
              </w:rPr>
              <w:t>46.51.2b Joints de dilatation - systèmes préfabriqués CCTB 01.02</w:t>
            </w:r>
            <w:r>
              <w:rPr>
                <w:noProof/>
                <w:webHidden/>
              </w:rPr>
              <w:tab/>
            </w:r>
            <w:r>
              <w:rPr>
                <w:noProof/>
                <w:webHidden/>
              </w:rPr>
              <w:fldChar w:fldCharType="begin"/>
            </w:r>
            <w:r>
              <w:rPr>
                <w:noProof/>
                <w:webHidden/>
              </w:rPr>
              <w:instrText xml:space="preserve"> PAGEREF _Toc220490973 \h </w:instrText>
            </w:r>
            <w:r>
              <w:rPr>
                <w:noProof/>
                <w:webHidden/>
              </w:rPr>
            </w:r>
            <w:r>
              <w:rPr>
                <w:noProof/>
                <w:webHidden/>
              </w:rPr>
              <w:fldChar w:fldCharType="separate"/>
            </w:r>
            <w:r>
              <w:rPr>
                <w:noProof/>
                <w:webHidden/>
              </w:rPr>
              <w:t>680</w:t>
            </w:r>
            <w:r>
              <w:rPr>
                <w:noProof/>
                <w:webHidden/>
              </w:rPr>
              <w:fldChar w:fldCharType="end"/>
            </w:r>
          </w:hyperlink>
        </w:p>
        <w:p w14:paraId="7DE82F94"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74" w:history="1">
            <w:r w:rsidRPr="000D551A">
              <w:rPr>
                <w:rStyle w:val="Lienhypertexte"/>
                <w:noProof/>
              </w:rPr>
              <w:t>46.51.3 Joints de désolidarisation CCTB 01.02</w:t>
            </w:r>
            <w:r>
              <w:rPr>
                <w:noProof/>
                <w:webHidden/>
              </w:rPr>
              <w:tab/>
            </w:r>
            <w:r>
              <w:rPr>
                <w:noProof/>
                <w:webHidden/>
              </w:rPr>
              <w:fldChar w:fldCharType="begin"/>
            </w:r>
            <w:r>
              <w:rPr>
                <w:noProof/>
                <w:webHidden/>
              </w:rPr>
              <w:instrText xml:space="preserve"> PAGEREF _Toc220490974 \h </w:instrText>
            </w:r>
            <w:r>
              <w:rPr>
                <w:noProof/>
                <w:webHidden/>
              </w:rPr>
            </w:r>
            <w:r>
              <w:rPr>
                <w:noProof/>
                <w:webHidden/>
              </w:rPr>
              <w:fldChar w:fldCharType="separate"/>
            </w:r>
            <w:r>
              <w:rPr>
                <w:noProof/>
                <w:webHidden/>
              </w:rPr>
              <w:t>680</w:t>
            </w:r>
            <w:r>
              <w:rPr>
                <w:noProof/>
                <w:webHidden/>
              </w:rPr>
              <w:fldChar w:fldCharType="end"/>
            </w:r>
          </w:hyperlink>
        </w:p>
        <w:p w14:paraId="4F7632A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75" w:history="1">
            <w:r w:rsidRPr="000D551A">
              <w:rPr>
                <w:rStyle w:val="Lienhypertexte"/>
                <w:noProof/>
              </w:rPr>
              <w:t>46.51.3a Joints de désolidarisation - réalisé in-situ CCTB 01.02</w:t>
            </w:r>
            <w:r>
              <w:rPr>
                <w:noProof/>
                <w:webHidden/>
              </w:rPr>
              <w:tab/>
            </w:r>
            <w:r>
              <w:rPr>
                <w:noProof/>
                <w:webHidden/>
              </w:rPr>
              <w:fldChar w:fldCharType="begin"/>
            </w:r>
            <w:r>
              <w:rPr>
                <w:noProof/>
                <w:webHidden/>
              </w:rPr>
              <w:instrText xml:space="preserve"> PAGEREF _Toc220490975 \h </w:instrText>
            </w:r>
            <w:r>
              <w:rPr>
                <w:noProof/>
                <w:webHidden/>
              </w:rPr>
            </w:r>
            <w:r>
              <w:rPr>
                <w:noProof/>
                <w:webHidden/>
              </w:rPr>
              <w:fldChar w:fldCharType="separate"/>
            </w:r>
            <w:r>
              <w:rPr>
                <w:noProof/>
                <w:webHidden/>
              </w:rPr>
              <w:t>680</w:t>
            </w:r>
            <w:r>
              <w:rPr>
                <w:noProof/>
                <w:webHidden/>
              </w:rPr>
              <w:fldChar w:fldCharType="end"/>
            </w:r>
          </w:hyperlink>
        </w:p>
        <w:p w14:paraId="04823479"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76" w:history="1">
            <w:r w:rsidRPr="000D551A">
              <w:rPr>
                <w:rStyle w:val="Lienhypertexte"/>
                <w:noProof/>
              </w:rPr>
              <w:t>46.51.3b Joints de désolidarisation - systèmes préfabriqués CCTB 01.02</w:t>
            </w:r>
            <w:r>
              <w:rPr>
                <w:noProof/>
                <w:webHidden/>
              </w:rPr>
              <w:tab/>
            </w:r>
            <w:r>
              <w:rPr>
                <w:noProof/>
                <w:webHidden/>
              </w:rPr>
              <w:fldChar w:fldCharType="begin"/>
            </w:r>
            <w:r>
              <w:rPr>
                <w:noProof/>
                <w:webHidden/>
              </w:rPr>
              <w:instrText xml:space="preserve"> PAGEREF _Toc220490976 \h </w:instrText>
            </w:r>
            <w:r>
              <w:rPr>
                <w:noProof/>
                <w:webHidden/>
              </w:rPr>
            </w:r>
            <w:r>
              <w:rPr>
                <w:noProof/>
                <w:webHidden/>
              </w:rPr>
              <w:fldChar w:fldCharType="separate"/>
            </w:r>
            <w:r>
              <w:rPr>
                <w:noProof/>
                <w:webHidden/>
              </w:rPr>
              <w:t>680</w:t>
            </w:r>
            <w:r>
              <w:rPr>
                <w:noProof/>
                <w:webHidden/>
              </w:rPr>
              <w:fldChar w:fldCharType="end"/>
            </w:r>
          </w:hyperlink>
        </w:p>
        <w:p w14:paraId="1223A67B"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77" w:history="1">
            <w:r w:rsidRPr="000D551A">
              <w:rPr>
                <w:rStyle w:val="Lienhypertexte"/>
                <w:noProof/>
              </w:rPr>
              <w:t>46.52 Etanchéisation de joints CCTB 01.02</w:t>
            </w:r>
            <w:r>
              <w:rPr>
                <w:noProof/>
                <w:webHidden/>
              </w:rPr>
              <w:tab/>
            </w:r>
            <w:r>
              <w:rPr>
                <w:noProof/>
                <w:webHidden/>
              </w:rPr>
              <w:fldChar w:fldCharType="begin"/>
            </w:r>
            <w:r>
              <w:rPr>
                <w:noProof/>
                <w:webHidden/>
              </w:rPr>
              <w:instrText xml:space="preserve"> PAGEREF _Toc220490977 \h </w:instrText>
            </w:r>
            <w:r>
              <w:rPr>
                <w:noProof/>
                <w:webHidden/>
              </w:rPr>
            </w:r>
            <w:r>
              <w:rPr>
                <w:noProof/>
                <w:webHidden/>
              </w:rPr>
              <w:fldChar w:fldCharType="separate"/>
            </w:r>
            <w:r>
              <w:rPr>
                <w:noProof/>
                <w:webHidden/>
              </w:rPr>
              <w:t>680</w:t>
            </w:r>
            <w:r>
              <w:rPr>
                <w:noProof/>
                <w:webHidden/>
              </w:rPr>
              <w:fldChar w:fldCharType="end"/>
            </w:r>
          </w:hyperlink>
        </w:p>
        <w:p w14:paraId="7CB669B6"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78" w:history="1">
            <w:r w:rsidRPr="000D551A">
              <w:rPr>
                <w:rStyle w:val="Lienhypertexte"/>
                <w:noProof/>
              </w:rPr>
              <w:t>46.52.1 Etanchéisation de joints</w:t>
            </w:r>
            <w:r>
              <w:rPr>
                <w:noProof/>
                <w:webHidden/>
              </w:rPr>
              <w:tab/>
            </w:r>
            <w:r>
              <w:rPr>
                <w:noProof/>
                <w:webHidden/>
              </w:rPr>
              <w:fldChar w:fldCharType="begin"/>
            </w:r>
            <w:r>
              <w:rPr>
                <w:noProof/>
                <w:webHidden/>
              </w:rPr>
              <w:instrText xml:space="preserve"> PAGEREF _Toc220490978 \h </w:instrText>
            </w:r>
            <w:r>
              <w:rPr>
                <w:noProof/>
                <w:webHidden/>
              </w:rPr>
            </w:r>
            <w:r>
              <w:rPr>
                <w:noProof/>
                <w:webHidden/>
              </w:rPr>
              <w:fldChar w:fldCharType="separate"/>
            </w:r>
            <w:r>
              <w:rPr>
                <w:noProof/>
                <w:webHidden/>
              </w:rPr>
              <w:t>680</w:t>
            </w:r>
            <w:r>
              <w:rPr>
                <w:noProof/>
                <w:webHidden/>
              </w:rPr>
              <w:fldChar w:fldCharType="end"/>
            </w:r>
          </w:hyperlink>
        </w:p>
        <w:p w14:paraId="7D0271AF"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79" w:history="1">
            <w:r w:rsidRPr="000D551A">
              <w:rPr>
                <w:rStyle w:val="Lienhypertexte"/>
                <w:noProof/>
              </w:rPr>
              <w:t>46.52.1a Etanchéisation de joints des revêtements de sols extérieurs</w:t>
            </w:r>
            <w:r>
              <w:rPr>
                <w:noProof/>
                <w:webHidden/>
              </w:rPr>
              <w:tab/>
            </w:r>
            <w:r>
              <w:rPr>
                <w:noProof/>
                <w:webHidden/>
              </w:rPr>
              <w:fldChar w:fldCharType="begin"/>
            </w:r>
            <w:r>
              <w:rPr>
                <w:noProof/>
                <w:webHidden/>
              </w:rPr>
              <w:instrText xml:space="preserve"> PAGEREF _Toc220490979 \h </w:instrText>
            </w:r>
            <w:r>
              <w:rPr>
                <w:noProof/>
                <w:webHidden/>
              </w:rPr>
            </w:r>
            <w:r>
              <w:rPr>
                <w:noProof/>
                <w:webHidden/>
              </w:rPr>
              <w:fldChar w:fldCharType="separate"/>
            </w:r>
            <w:r>
              <w:rPr>
                <w:noProof/>
                <w:webHidden/>
              </w:rPr>
              <w:t>680</w:t>
            </w:r>
            <w:r>
              <w:rPr>
                <w:noProof/>
                <w:webHidden/>
              </w:rPr>
              <w:fldChar w:fldCharType="end"/>
            </w:r>
          </w:hyperlink>
        </w:p>
        <w:p w14:paraId="61D04F77"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80" w:history="1">
            <w:r w:rsidRPr="000D551A">
              <w:rPr>
                <w:rStyle w:val="Lienhypertexte"/>
                <w:noProof/>
              </w:rPr>
              <w:t>46.53 Finitions particulières de joints CCTB 01.02</w:t>
            </w:r>
            <w:r>
              <w:rPr>
                <w:noProof/>
                <w:webHidden/>
              </w:rPr>
              <w:tab/>
            </w:r>
            <w:r>
              <w:rPr>
                <w:noProof/>
                <w:webHidden/>
              </w:rPr>
              <w:fldChar w:fldCharType="begin"/>
            </w:r>
            <w:r>
              <w:rPr>
                <w:noProof/>
                <w:webHidden/>
              </w:rPr>
              <w:instrText xml:space="preserve"> PAGEREF _Toc220490980 \h </w:instrText>
            </w:r>
            <w:r>
              <w:rPr>
                <w:noProof/>
                <w:webHidden/>
              </w:rPr>
            </w:r>
            <w:r>
              <w:rPr>
                <w:noProof/>
                <w:webHidden/>
              </w:rPr>
              <w:fldChar w:fldCharType="separate"/>
            </w:r>
            <w:r>
              <w:rPr>
                <w:noProof/>
                <w:webHidden/>
              </w:rPr>
              <w:t>680</w:t>
            </w:r>
            <w:r>
              <w:rPr>
                <w:noProof/>
                <w:webHidden/>
              </w:rPr>
              <w:fldChar w:fldCharType="end"/>
            </w:r>
          </w:hyperlink>
        </w:p>
        <w:p w14:paraId="0F85830B"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81" w:history="1">
            <w:r w:rsidRPr="000D551A">
              <w:rPr>
                <w:rStyle w:val="Lienhypertexte"/>
                <w:noProof/>
              </w:rPr>
              <w:t>46.53.1 Couvre-joints  CCTB 01.02</w:t>
            </w:r>
            <w:r>
              <w:rPr>
                <w:noProof/>
                <w:webHidden/>
              </w:rPr>
              <w:tab/>
            </w:r>
            <w:r>
              <w:rPr>
                <w:noProof/>
                <w:webHidden/>
              </w:rPr>
              <w:fldChar w:fldCharType="begin"/>
            </w:r>
            <w:r>
              <w:rPr>
                <w:noProof/>
                <w:webHidden/>
              </w:rPr>
              <w:instrText xml:space="preserve"> PAGEREF _Toc220490981 \h </w:instrText>
            </w:r>
            <w:r>
              <w:rPr>
                <w:noProof/>
                <w:webHidden/>
              </w:rPr>
            </w:r>
            <w:r>
              <w:rPr>
                <w:noProof/>
                <w:webHidden/>
              </w:rPr>
              <w:fldChar w:fldCharType="separate"/>
            </w:r>
            <w:r>
              <w:rPr>
                <w:noProof/>
                <w:webHidden/>
              </w:rPr>
              <w:t>680</w:t>
            </w:r>
            <w:r>
              <w:rPr>
                <w:noProof/>
                <w:webHidden/>
              </w:rPr>
              <w:fldChar w:fldCharType="end"/>
            </w:r>
          </w:hyperlink>
        </w:p>
        <w:p w14:paraId="1000E55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2" w:history="1">
            <w:r w:rsidRPr="000D551A">
              <w:rPr>
                <w:rStyle w:val="Lienhypertexte"/>
                <w:noProof/>
              </w:rPr>
              <w:t>46.53.1a Couvre-joints métallique CCTB 01.02</w:t>
            </w:r>
            <w:r>
              <w:rPr>
                <w:noProof/>
                <w:webHidden/>
              </w:rPr>
              <w:tab/>
            </w:r>
            <w:r>
              <w:rPr>
                <w:noProof/>
                <w:webHidden/>
              </w:rPr>
              <w:fldChar w:fldCharType="begin"/>
            </w:r>
            <w:r>
              <w:rPr>
                <w:noProof/>
                <w:webHidden/>
              </w:rPr>
              <w:instrText xml:space="preserve"> PAGEREF _Toc220490982 \h </w:instrText>
            </w:r>
            <w:r>
              <w:rPr>
                <w:noProof/>
                <w:webHidden/>
              </w:rPr>
            </w:r>
            <w:r>
              <w:rPr>
                <w:noProof/>
                <w:webHidden/>
              </w:rPr>
              <w:fldChar w:fldCharType="separate"/>
            </w:r>
            <w:r>
              <w:rPr>
                <w:noProof/>
                <w:webHidden/>
              </w:rPr>
              <w:t>680</w:t>
            </w:r>
            <w:r>
              <w:rPr>
                <w:noProof/>
                <w:webHidden/>
              </w:rPr>
              <w:fldChar w:fldCharType="end"/>
            </w:r>
          </w:hyperlink>
        </w:p>
        <w:p w14:paraId="0D69D6E7"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3" w:history="1">
            <w:r w:rsidRPr="000D551A">
              <w:rPr>
                <w:rStyle w:val="Lienhypertexte"/>
                <w:noProof/>
              </w:rPr>
              <w:t>46.53.1b Couvre-joints synthétique CCTB 01.02</w:t>
            </w:r>
            <w:r>
              <w:rPr>
                <w:noProof/>
                <w:webHidden/>
              </w:rPr>
              <w:tab/>
            </w:r>
            <w:r>
              <w:rPr>
                <w:noProof/>
                <w:webHidden/>
              </w:rPr>
              <w:fldChar w:fldCharType="begin"/>
            </w:r>
            <w:r>
              <w:rPr>
                <w:noProof/>
                <w:webHidden/>
              </w:rPr>
              <w:instrText xml:space="preserve"> PAGEREF _Toc220490983 \h </w:instrText>
            </w:r>
            <w:r>
              <w:rPr>
                <w:noProof/>
                <w:webHidden/>
              </w:rPr>
            </w:r>
            <w:r>
              <w:rPr>
                <w:noProof/>
                <w:webHidden/>
              </w:rPr>
              <w:fldChar w:fldCharType="separate"/>
            </w:r>
            <w:r>
              <w:rPr>
                <w:noProof/>
                <w:webHidden/>
              </w:rPr>
              <w:t>680</w:t>
            </w:r>
            <w:r>
              <w:rPr>
                <w:noProof/>
                <w:webHidden/>
              </w:rPr>
              <w:fldChar w:fldCharType="end"/>
            </w:r>
          </w:hyperlink>
        </w:p>
        <w:p w14:paraId="30660F2C"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84" w:history="1">
            <w:r w:rsidRPr="000D551A">
              <w:rPr>
                <w:rStyle w:val="Lienhypertexte"/>
                <w:noProof/>
              </w:rPr>
              <w:t>46.54 Joints au sol CCTB 01.02</w:t>
            </w:r>
            <w:r>
              <w:rPr>
                <w:noProof/>
                <w:webHidden/>
              </w:rPr>
              <w:tab/>
            </w:r>
            <w:r>
              <w:rPr>
                <w:noProof/>
                <w:webHidden/>
              </w:rPr>
              <w:fldChar w:fldCharType="begin"/>
            </w:r>
            <w:r>
              <w:rPr>
                <w:noProof/>
                <w:webHidden/>
              </w:rPr>
              <w:instrText xml:space="preserve"> PAGEREF _Toc220490984 \h </w:instrText>
            </w:r>
            <w:r>
              <w:rPr>
                <w:noProof/>
                <w:webHidden/>
              </w:rPr>
            </w:r>
            <w:r>
              <w:rPr>
                <w:noProof/>
                <w:webHidden/>
              </w:rPr>
              <w:fldChar w:fldCharType="separate"/>
            </w:r>
            <w:r>
              <w:rPr>
                <w:noProof/>
                <w:webHidden/>
              </w:rPr>
              <w:t>680</w:t>
            </w:r>
            <w:r>
              <w:rPr>
                <w:noProof/>
                <w:webHidden/>
              </w:rPr>
              <w:fldChar w:fldCharType="end"/>
            </w:r>
          </w:hyperlink>
        </w:p>
        <w:p w14:paraId="5660C7C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85" w:history="1">
            <w:r w:rsidRPr="000D551A">
              <w:rPr>
                <w:rStyle w:val="Lienhypertexte"/>
                <w:noProof/>
              </w:rPr>
              <w:t>46.54.1 Joints au sol en système CCTB 01.02</w:t>
            </w:r>
            <w:r>
              <w:rPr>
                <w:noProof/>
                <w:webHidden/>
              </w:rPr>
              <w:tab/>
            </w:r>
            <w:r>
              <w:rPr>
                <w:noProof/>
                <w:webHidden/>
              </w:rPr>
              <w:fldChar w:fldCharType="begin"/>
            </w:r>
            <w:r>
              <w:rPr>
                <w:noProof/>
                <w:webHidden/>
              </w:rPr>
              <w:instrText xml:space="preserve"> PAGEREF _Toc220490985 \h </w:instrText>
            </w:r>
            <w:r>
              <w:rPr>
                <w:noProof/>
                <w:webHidden/>
              </w:rPr>
            </w:r>
            <w:r>
              <w:rPr>
                <w:noProof/>
                <w:webHidden/>
              </w:rPr>
              <w:fldChar w:fldCharType="separate"/>
            </w:r>
            <w:r>
              <w:rPr>
                <w:noProof/>
                <w:webHidden/>
              </w:rPr>
              <w:t>680</w:t>
            </w:r>
            <w:r>
              <w:rPr>
                <w:noProof/>
                <w:webHidden/>
              </w:rPr>
              <w:fldChar w:fldCharType="end"/>
            </w:r>
          </w:hyperlink>
        </w:p>
        <w:p w14:paraId="59DBF680"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6" w:history="1">
            <w:r w:rsidRPr="000D551A">
              <w:rPr>
                <w:rStyle w:val="Lienhypertexte"/>
                <w:noProof/>
              </w:rPr>
              <w:t>46.54.1a Joints au sol en système - joints de structure CCTB 01.02</w:t>
            </w:r>
            <w:r>
              <w:rPr>
                <w:noProof/>
                <w:webHidden/>
              </w:rPr>
              <w:tab/>
            </w:r>
            <w:r>
              <w:rPr>
                <w:noProof/>
                <w:webHidden/>
              </w:rPr>
              <w:fldChar w:fldCharType="begin"/>
            </w:r>
            <w:r>
              <w:rPr>
                <w:noProof/>
                <w:webHidden/>
              </w:rPr>
              <w:instrText xml:space="preserve"> PAGEREF _Toc220490986 \h </w:instrText>
            </w:r>
            <w:r>
              <w:rPr>
                <w:noProof/>
                <w:webHidden/>
              </w:rPr>
            </w:r>
            <w:r>
              <w:rPr>
                <w:noProof/>
                <w:webHidden/>
              </w:rPr>
              <w:fldChar w:fldCharType="separate"/>
            </w:r>
            <w:r>
              <w:rPr>
                <w:noProof/>
                <w:webHidden/>
              </w:rPr>
              <w:t>680</w:t>
            </w:r>
            <w:r>
              <w:rPr>
                <w:noProof/>
                <w:webHidden/>
              </w:rPr>
              <w:fldChar w:fldCharType="end"/>
            </w:r>
          </w:hyperlink>
        </w:p>
        <w:p w14:paraId="668C7FF6"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7" w:history="1">
            <w:r w:rsidRPr="000D551A">
              <w:rPr>
                <w:rStyle w:val="Lienhypertexte"/>
                <w:noProof/>
              </w:rPr>
              <w:t>46.54.1b Joints au sol en système - joints de retrait CCTB 01.02</w:t>
            </w:r>
            <w:r>
              <w:rPr>
                <w:noProof/>
                <w:webHidden/>
              </w:rPr>
              <w:tab/>
            </w:r>
            <w:r>
              <w:rPr>
                <w:noProof/>
                <w:webHidden/>
              </w:rPr>
              <w:fldChar w:fldCharType="begin"/>
            </w:r>
            <w:r>
              <w:rPr>
                <w:noProof/>
                <w:webHidden/>
              </w:rPr>
              <w:instrText xml:space="preserve"> PAGEREF _Toc220490987 \h </w:instrText>
            </w:r>
            <w:r>
              <w:rPr>
                <w:noProof/>
                <w:webHidden/>
              </w:rPr>
            </w:r>
            <w:r>
              <w:rPr>
                <w:noProof/>
                <w:webHidden/>
              </w:rPr>
              <w:fldChar w:fldCharType="separate"/>
            </w:r>
            <w:r>
              <w:rPr>
                <w:noProof/>
                <w:webHidden/>
              </w:rPr>
              <w:t>680</w:t>
            </w:r>
            <w:r>
              <w:rPr>
                <w:noProof/>
                <w:webHidden/>
              </w:rPr>
              <w:fldChar w:fldCharType="end"/>
            </w:r>
          </w:hyperlink>
        </w:p>
        <w:p w14:paraId="3715FD0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8" w:history="1">
            <w:r w:rsidRPr="000D551A">
              <w:rPr>
                <w:rStyle w:val="Lienhypertexte"/>
                <w:noProof/>
              </w:rPr>
              <w:t>46.54.1c Joints au sol en système - joints de désolidarisation CCTB 01.02</w:t>
            </w:r>
            <w:r>
              <w:rPr>
                <w:noProof/>
                <w:webHidden/>
              </w:rPr>
              <w:tab/>
            </w:r>
            <w:r>
              <w:rPr>
                <w:noProof/>
                <w:webHidden/>
              </w:rPr>
              <w:fldChar w:fldCharType="begin"/>
            </w:r>
            <w:r>
              <w:rPr>
                <w:noProof/>
                <w:webHidden/>
              </w:rPr>
              <w:instrText xml:space="preserve"> PAGEREF _Toc220490988 \h </w:instrText>
            </w:r>
            <w:r>
              <w:rPr>
                <w:noProof/>
                <w:webHidden/>
              </w:rPr>
            </w:r>
            <w:r>
              <w:rPr>
                <w:noProof/>
                <w:webHidden/>
              </w:rPr>
              <w:fldChar w:fldCharType="separate"/>
            </w:r>
            <w:r>
              <w:rPr>
                <w:noProof/>
                <w:webHidden/>
              </w:rPr>
              <w:t>680</w:t>
            </w:r>
            <w:r>
              <w:rPr>
                <w:noProof/>
                <w:webHidden/>
              </w:rPr>
              <w:fldChar w:fldCharType="end"/>
            </w:r>
          </w:hyperlink>
        </w:p>
        <w:p w14:paraId="619998CA"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89" w:history="1">
            <w:r w:rsidRPr="000D551A">
              <w:rPr>
                <w:rStyle w:val="Lienhypertexte"/>
                <w:noProof/>
              </w:rPr>
              <w:t>46.54.1d Joints au sol en système - joints de reprise CCTB 01.02</w:t>
            </w:r>
            <w:r>
              <w:rPr>
                <w:noProof/>
                <w:webHidden/>
              </w:rPr>
              <w:tab/>
            </w:r>
            <w:r>
              <w:rPr>
                <w:noProof/>
                <w:webHidden/>
              </w:rPr>
              <w:fldChar w:fldCharType="begin"/>
            </w:r>
            <w:r>
              <w:rPr>
                <w:noProof/>
                <w:webHidden/>
              </w:rPr>
              <w:instrText xml:space="preserve"> PAGEREF _Toc220490989 \h </w:instrText>
            </w:r>
            <w:r>
              <w:rPr>
                <w:noProof/>
                <w:webHidden/>
              </w:rPr>
            </w:r>
            <w:r>
              <w:rPr>
                <w:noProof/>
                <w:webHidden/>
              </w:rPr>
              <w:fldChar w:fldCharType="separate"/>
            </w:r>
            <w:r>
              <w:rPr>
                <w:noProof/>
                <w:webHidden/>
              </w:rPr>
              <w:t>680</w:t>
            </w:r>
            <w:r>
              <w:rPr>
                <w:noProof/>
                <w:webHidden/>
              </w:rPr>
              <w:fldChar w:fldCharType="end"/>
            </w:r>
          </w:hyperlink>
        </w:p>
        <w:p w14:paraId="5C8758A5"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90" w:history="1">
            <w:r w:rsidRPr="000D551A">
              <w:rPr>
                <w:rStyle w:val="Lienhypertexte"/>
                <w:noProof/>
              </w:rPr>
              <w:t>46.54.2 Etanchéisation de joints au sol CCTB 01.02</w:t>
            </w:r>
            <w:r>
              <w:rPr>
                <w:noProof/>
                <w:webHidden/>
              </w:rPr>
              <w:tab/>
            </w:r>
            <w:r>
              <w:rPr>
                <w:noProof/>
                <w:webHidden/>
              </w:rPr>
              <w:fldChar w:fldCharType="begin"/>
            </w:r>
            <w:r>
              <w:rPr>
                <w:noProof/>
                <w:webHidden/>
              </w:rPr>
              <w:instrText xml:space="preserve"> PAGEREF _Toc220490990 \h </w:instrText>
            </w:r>
            <w:r>
              <w:rPr>
                <w:noProof/>
                <w:webHidden/>
              </w:rPr>
            </w:r>
            <w:r>
              <w:rPr>
                <w:noProof/>
                <w:webHidden/>
              </w:rPr>
              <w:fldChar w:fldCharType="separate"/>
            </w:r>
            <w:r>
              <w:rPr>
                <w:noProof/>
                <w:webHidden/>
              </w:rPr>
              <w:t>680</w:t>
            </w:r>
            <w:r>
              <w:rPr>
                <w:noProof/>
                <w:webHidden/>
              </w:rPr>
              <w:fldChar w:fldCharType="end"/>
            </w:r>
          </w:hyperlink>
        </w:p>
        <w:p w14:paraId="4F6094EC"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91" w:history="1">
            <w:r w:rsidRPr="000D551A">
              <w:rPr>
                <w:rStyle w:val="Lienhypertexte"/>
                <w:noProof/>
              </w:rPr>
              <w:t>46.54.2a Etanchéisation de joints au sol</w:t>
            </w:r>
            <w:r>
              <w:rPr>
                <w:noProof/>
                <w:webHidden/>
              </w:rPr>
              <w:tab/>
            </w:r>
            <w:r>
              <w:rPr>
                <w:noProof/>
                <w:webHidden/>
              </w:rPr>
              <w:fldChar w:fldCharType="begin"/>
            </w:r>
            <w:r>
              <w:rPr>
                <w:noProof/>
                <w:webHidden/>
              </w:rPr>
              <w:instrText xml:space="preserve"> PAGEREF _Toc220490991 \h </w:instrText>
            </w:r>
            <w:r>
              <w:rPr>
                <w:noProof/>
                <w:webHidden/>
              </w:rPr>
            </w:r>
            <w:r>
              <w:rPr>
                <w:noProof/>
                <w:webHidden/>
              </w:rPr>
              <w:fldChar w:fldCharType="separate"/>
            </w:r>
            <w:r>
              <w:rPr>
                <w:noProof/>
                <w:webHidden/>
              </w:rPr>
              <w:t>680</w:t>
            </w:r>
            <w:r>
              <w:rPr>
                <w:noProof/>
                <w:webHidden/>
              </w:rPr>
              <w:fldChar w:fldCharType="end"/>
            </w:r>
          </w:hyperlink>
        </w:p>
        <w:p w14:paraId="473DF98D"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92" w:history="1">
            <w:r w:rsidRPr="000D551A">
              <w:rPr>
                <w:rStyle w:val="Lienhypertexte"/>
                <w:noProof/>
              </w:rPr>
              <w:t>46.55 Couvre-joints  CCTB 01.02</w:t>
            </w:r>
            <w:r>
              <w:rPr>
                <w:noProof/>
                <w:webHidden/>
              </w:rPr>
              <w:tab/>
            </w:r>
            <w:r>
              <w:rPr>
                <w:noProof/>
                <w:webHidden/>
              </w:rPr>
              <w:fldChar w:fldCharType="begin"/>
            </w:r>
            <w:r>
              <w:rPr>
                <w:noProof/>
                <w:webHidden/>
              </w:rPr>
              <w:instrText xml:space="preserve"> PAGEREF _Toc220490992 \h </w:instrText>
            </w:r>
            <w:r>
              <w:rPr>
                <w:noProof/>
                <w:webHidden/>
              </w:rPr>
            </w:r>
            <w:r>
              <w:rPr>
                <w:noProof/>
                <w:webHidden/>
              </w:rPr>
              <w:fldChar w:fldCharType="separate"/>
            </w:r>
            <w:r>
              <w:rPr>
                <w:noProof/>
                <w:webHidden/>
              </w:rPr>
              <w:t>680</w:t>
            </w:r>
            <w:r>
              <w:rPr>
                <w:noProof/>
                <w:webHidden/>
              </w:rPr>
              <w:fldChar w:fldCharType="end"/>
            </w:r>
          </w:hyperlink>
        </w:p>
        <w:p w14:paraId="2F9B6B91"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93" w:history="1">
            <w:r w:rsidRPr="000D551A">
              <w:rPr>
                <w:rStyle w:val="Lienhypertexte"/>
                <w:noProof/>
              </w:rPr>
              <w:t>46.55.1 Couvre-joints métalliques CCTB 01.02</w:t>
            </w:r>
            <w:r>
              <w:rPr>
                <w:noProof/>
                <w:webHidden/>
              </w:rPr>
              <w:tab/>
            </w:r>
            <w:r>
              <w:rPr>
                <w:noProof/>
                <w:webHidden/>
              </w:rPr>
              <w:fldChar w:fldCharType="begin"/>
            </w:r>
            <w:r>
              <w:rPr>
                <w:noProof/>
                <w:webHidden/>
              </w:rPr>
              <w:instrText xml:space="preserve"> PAGEREF _Toc220490993 \h </w:instrText>
            </w:r>
            <w:r>
              <w:rPr>
                <w:noProof/>
                <w:webHidden/>
              </w:rPr>
            </w:r>
            <w:r>
              <w:rPr>
                <w:noProof/>
                <w:webHidden/>
              </w:rPr>
              <w:fldChar w:fldCharType="separate"/>
            </w:r>
            <w:r>
              <w:rPr>
                <w:noProof/>
                <w:webHidden/>
              </w:rPr>
              <w:t>680</w:t>
            </w:r>
            <w:r>
              <w:rPr>
                <w:noProof/>
                <w:webHidden/>
              </w:rPr>
              <w:fldChar w:fldCharType="end"/>
            </w:r>
          </w:hyperlink>
        </w:p>
        <w:p w14:paraId="787A6F3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94" w:history="1">
            <w:r w:rsidRPr="000D551A">
              <w:rPr>
                <w:rStyle w:val="Lienhypertexte"/>
                <w:noProof/>
              </w:rPr>
              <w:t>46.55.1a Couvre-joints métalliques</w:t>
            </w:r>
            <w:r>
              <w:rPr>
                <w:noProof/>
                <w:webHidden/>
              </w:rPr>
              <w:tab/>
            </w:r>
            <w:r>
              <w:rPr>
                <w:noProof/>
                <w:webHidden/>
              </w:rPr>
              <w:fldChar w:fldCharType="begin"/>
            </w:r>
            <w:r>
              <w:rPr>
                <w:noProof/>
                <w:webHidden/>
              </w:rPr>
              <w:instrText xml:space="preserve"> PAGEREF _Toc220490994 \h </w:instrText>
            </w:r>
            <w:r>
              <w:rPr>
                <w:noProof/>
                <w:webHidden/>
              </w:rPr>
            </w:r>
            <w:r>
              <w:rPr>
                <w:noProof/>
                <w:webHidden/>
              </w:rPr>
              <w:fldChar w:fldCharType="separate"/>
            </w:r>
            <w:r>
              <w:rPr>
                <w:noProof/>
                <w:webHidden/>
              </w:rPr>
              <w:t>680</w:t>
            </w:r>
            <w:r>
              <w:rPr>
                <w:noProof/>
                <w:webHidden/>
              </w:rPr>
              <w:fldChar w:fldCharType="end"/>
            </w:r>
          </w:hyperlink>
        </w:p>
        <w:p w14:paraId="0C0A8800"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95" w:history="1">
            <w:r w:rsidRPr="000D551A">
              <w:rPr>
                <w:rStyle w:val="Lienhypertexte"/>
                <w:noProof/>
              </w:rPr>
              <w:t>46.55.2 Couvre-joints synthétiques CCTB 01.02</w:t>
            </w:r>
            <w:r>
              <w:rPr>
                <w:noProof/>
                <w:webHidden/>
              </w:rPr>
              <w:tab/>
            </w:r>
            <w:r>
              <w:rPr>
                <w:noProof/>
                <w:webHidden/>
              </w:rPr>
              <w:fldChar w:fldCharType="begin"/>
            </w:r>
            <w:r>
              <w:rPr>
                <w:noProof/>
                <w:webHidden/>
              </w:rPr>
              <w:instrText xml:space="preserve"> PAGEREF _Toc220490995 \h </w:instrText>
            </w:r>
            <w:r>
              <w:rPr>
                <w:noProof/>
                <w:webHidden/>
              </w:rPr>
            </w:r>
            <w:r>
              <w:rPr>
                <w:noProof/>
                <w:webHidden/>
              </w:rPr>
              <w:fldChar w:fldCharType="separate"/>
            </w:r>
            <w:r>
              <w:rPr>
                <w:noProof/>
                <w:webHidden/>
              </w:rPr>
              <w:t>680</w:t>
            </w:r>
            <w:r>
              <w:rPr>
                <w:noProof/>
                <w:webHidden/>
              </w:rPr>
              <w:fldChar w:fldCharType="end"/>
            </w:r>
          </w:hyperlink>
        </w:p>
        <w:p w14:paraId="0B101FD3"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96" w:history="1">
            <w:r w:rsidRPr="000D551A">
              <w:rPr>
                <w:rStyle w:val="Lienhypertexte"/>
                <w:noProof/>
              </w:rPr>
              <w:t>46.55.2a Couvre-joints synthétiques</w:t>
            </w:r>
            <w:r>
              <w:rPr>
                <w:noProof/>
                <w:webHidden/>
              </w:rPr>
              <w:tab/>
            </w:r>
            <w:r>
              <w:rPr>
                <w:noProof/>
                <w:webHidden/>
              </w:rPr>
              <w:fldChar w:fldCharType="begin"/>
            </w:r>
            <w:r>
              <w:rPr>
                <w:noProof/>
                <w:webHidden/>
              </w:rPr>
              <w:instrText xml:space="preserve"> PAGEREF _Toc220490996 \h </w:instrText>
            </w:r>
            <w:r>
              <w:rPr>
                <w:noProof/>
                <w:webHidden/>
              </w:rPr>
            </w:r>
            <w:r>
              <w:rPr>
                <w:noProof/>
                <w:webHidden/>
              </w:rPr>
              <w:fldChar w:fldCharType="separate"/>
            </w:r>
            <w:r>
              <w:rPr>
                <w:noProof/>
                <w:webHidden/>
              </w:rPr>
              <w:t>680</w:t>
            </w:r>
            <w:r>
              <w:rPr>
                <w:noProof/>
                <w:webHidden/>
              </w:rPr>
              <w:fldChar w:fldCharType="end"/>
            </w:r>
          </w:hyperlink>
        </w:p>
        <w:p w14:paraId="04A1A17F"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0997" w:history="1">
            <w:r w:rsidRPr="000D551A">
              <w:rPr>
                <w:rStyle w:val="Lienhypertexte"/>
                <w:noProof/>
              </w:rPr>
              <w:t>46.56 Couvercles et grilles de sol CCTB 01.02</w:t>
            </w:r>
            <w:r>
              <w:rPr>
                <w:noProof/>
                <w:webHidden/>
              </w:rPr>
              <w:tab/>
            </w:r>
            <w:r>
              <w:rPr>
                <w:noProof/>
                <w:webHidden/>
              </w:rPr>
              <w:fldChar w:fldCharType="begin"/>
            </w:r>
            <w:r>
              <w:rPr>
                <w:noProof/>
                <w:webHidden/>
              </w:rPr>
              <w:instrText xml:space="preserve"> PAGEREF _Toc220490997 \h </w:instrText>
            </w:r>
            <w:r>
              <w:rPr>
                <w:noProof/>
                <w:webHidden/>
              </w:rPr>
            </w:r>
            <w:r>
              <w:rPr>
                <w:noProof/>
                <w:webHidden/>
              </w:rPr>
              <w:fldChar w:fldCharType="separate"/>
            </w:r>
            <w:r>
              <w:rPr>
                <w:noProof/>
                <w:webHidden/>
              </w:rPr>
              <w:t>680</w:t>
            </w:r>
            <w:r>
              <w:rPr>
                <w:noProof/>
                <w:webHidden/>
              </w:rPr>
              <w:fldChar w:fldCharType="end"/>
            </w:r>
          </w:hyperlink>
        </w:p>
        <w:p w14:paraId="47BD2F52"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0998" w:history="1">
            <w:r w:rsidRPr="000D551A">
              <w:rPr>
                <w:rStyle w:val="Lienhypertexte"/>
                <w:noProof/>
              </w:rPr>
              <w:t>46.56.1 Couvercles de sol CCTB 01.11</w:t>
            </w:r>
            <w:r>
              <w:rPr>
                <w:noProof/>
                <w:webHidden/>
              </w:rPr>
              <w:tab/>
            </w:r>
            <w:r>
              <w:rPr>
                <w:noProof/>
                <w:webHidden/>
              </w:rPr>
              <w:fldChar w:fldCharType="begin"/>
            </w:r>
            <w:r>
              <w:rPr>
                <w:noProof/>
                <w:webHidden/>
              </w:rPr>
              <w:instrText xml:space="preserve"> PAGEREF _Toc220490998 \h </w:instrText>
            </w:r>
            <w:r>
              <w:rPr>
                <w:noProof/>
                <w:webHidden/>
              </w:rPr>
            </w:r>
            <w:r>
              <w:rPr>
                <w:noProof/>
                <w:webHidden/>
              </w:rPr>
              <w:fldChar w:fldCharType="separate"/>
            </w:r>
            <w:r>
              <w:rPr>
                <w:noProof/>
                <w:webHidden/>
              </w:rPr>
              <w:t>680</w:t>
            </w:r>
            <w:r>
              <w:rPr>
                <w:noProof/>
                <w:webHidden/>
              </w:rPr>
              <w:fldChar w:fldCharType="end"/>
            </w:r>
          </w:hyperlink>
        </w:p>
        <w:p w14:paraId="3FCD40BE"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0999" w:history="1">
            <w:r w:rsidRPr="000D551A">
              <w:rPr>
                <w:rStyle w:val="Lienhypertexte"/>
                <w:noProof/>
              </w:rPr>
              <w:t>46.56.1a Couvercles de sol métalliques CCTB 01.02</w:t>
            </w:r>
            <w:r>
              <w:rPr>
                <w:noProof/>
                <w:webHidden/>
              </w:rPr>
              <w:tab/>
            </w:r>
            <w:r>
              <w:rPr>
                <w:noProof/>
                <w:webHidden/>
              </w:rPr>
              <w:fldChar w:fldCharType="begin"/>
            </w:r>
            <w:r>
              <w:rPr>
                <w:noProof/>
                <w:webHidden/>
              </w:rPr>
              <w:instrText xml:space="preserve"> PAGEREF _Toc220490999 \h </w:instrText>
            </w:r>
            <w:r>
              <w:rPr>
                <w:noProof/>
                <w:webHidden/>
              </w:rPr>
            </w:r>
            <w:r>
              <w:rPr>
                <w:noProof/>
                <w:webHidden/>
              </w:rPr>
              <w:fldChar w:fldCharType="separate"/>
            </w:r>
            <w:r>
              <w:rPr>
                <w:noProof/>
                <w:webHidden/>
              </w:rPr>
              <w:t>681</w:t>
            </w:r>
            <w:r>
              <w:rPr>
                <w:noProof/>
                <w:webHidden/>
              </w:rPr>
              <w:fldChar w:fldCharType="end"/>
            </w:r>
          </w:hyperlink>
        </w:p>
        <w:p w14:paraId="40399EB4"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00" w:history="1">
            <w:r w:rsidRPr="000D551A">
              <w:rPr>
                <w:rStyle w:val="Lienhypertexte"/>
                <w:noProof/>
              </w:rPr>
              <w:t>46.56.1b Couvercles de sol matériau synthétique CCTB 01.02</w:t>
            </w:r>
            <w:r>
              <w:rPr>
                <w:noProof/>
                <w:webHidden/>
              </w:rPr>
              <w:tab/>
            </w:r>
            <w:r>
              <w:rPr>
                <w:noProof/>
                <w:webHidden/>
              </w:rPr>
              <w:fldChar w:fldCharType="begin"/>
            </w:r>
            <w:r>
              <w:rPr>
                <w:noProof/>
                <w:webHidden/>
              </w:rPr>
              <w:instrText xml:space="preserve"> PAGEREF _Toc220491000 \h </w:instrText>
            </w:r>
            <w:r>
              <w:rPr>
                <w:noProof/>
                <w:webHidden/>
              </w:rPr>
            </w:r>
            <w:r>
              <w:rPr>
                <w:noProof/>
                <w:webHidden/>
              </w:rPr>
              <w:fldChar w:fldCharType="separate"/>
            </w:r>
            <w:r>
              <w:rPr>
                <w:noProof/>
                <w:webHidden/>
              </w:rPr>
              <w:t>681</w:t>
            </w:r>
            <w:r>
              <w:rPr>
                <w:noProof/>
                <w:webHidden/>
              </w:rPr>
              <w:fldChar w:fldCharType="end"/>
            </w:r>
          </w:hyperlink>
        </w:p>
        <w:p w14:paraId="7D8A2585"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01" w:history="1">
            <w:r w:rsidRPr="000D551A">
              <w:rPr>
                <w:rStyle w:val="Lienhypertexte"/>
                <w:noProof/>
              </w:rPr>
              <w:t>46.56.1c Couvercles à carreler CCTB 01.02</w:t>
            </w:r>
            <w:r>
              <w:rPr>
                <w:noProof/>
                <w:webHidden/>
              </w:rPr>
              <w:tab/>
            </w:r>
            <w:r>
              <w:rPr>
                <w:noProof/>
                <w:webHidden/>
              </w:rPr>
              <w:fldChar w:fldCharType="begin"/>
            </w:r>
            <w:r>
              <w:rPr>
                <w:noProof/>
                <w:webHidden/>
              </w:rPr>
              <w:instrText xml:space="preserve"> PAGEREF _Toc220491001 \h </w:instrText>
            </w:r>
            <w:r>
              <w:rPr>
                <w:noProof/>
                <w:webHidden/>
              </w:rPr>
            </w:r>
            <w:r>
              <w:rPr>
                <w:noProof/>
                <w:webHidden/>
              </w:rPr>
              <w:fldChar w:fldCharType="separate"/>
            </w:r>
            <w:r>
              <w:rPr>
                <w:noProof/>
                <w:webHidden/>
              </w:rPr>
              <w:t>681</w:t>
            </w:r>
            <w:r>
              <w:rPr>
                <w:noProof/>
                <w:webHidden/>
              </w:rPr>
              <w:fldChar w:fldCharType="end"/>
            </w:r>
          </w:hyperlink>
        </w:p>
        <w:p w14:paraId="37CE601E" w14:textId="77777777" w:rsidR="00FA36CF" w:rsidRDefault="00FA36CF">
          <w:pPr>
            <w:pStyle w:val="TM5"/>
            <w:tabs>
              <w:tab w:val="right" w:leader="dot" w:pos="9016"/>
            </w:tabs>
            <w:rPr>
              <w:rFonts w:asciiTheme="minorHAnsi" w:eastAsiaTheme="minorEastAsia" w:hAnsiTheme="minorHAnsi" w:cstheme="minorBidi"/>
              <w:noProof/>
              <w:kern w:val="2"/>
              <w:sz w:val="24"/>
              <w:szCs w:val="24"/>
              <w14:ligatures w14:val="standardContextual"/>
            </w:rPr>
          </w:pPr>
          <w:hyperlink w:anchor="_Toc220491002" w:history="1">
            <w:r w:rsidRPr="000D551A">
              <w:rPr>
                <w:rStyle w:val="Lienhypertexte"/>
                <w:noProof/>
              </w:rPr>
              <w:t>46.56.2 Grilles de sol CCTB 01.11</w:t>
            </w:r>
            <w:r>
              <w:rPr>
                <w:noProof/>
                <w:webHidden/>
              </w:rPr>
              <w:tab/>
            </w:r>
            <w:r>
              <w:rPr>
                <w:noProof/>
                <w:webHidden/>
              </w:rPr>
              <w:fldChar w:fldCharType="begin"/>
            </w:r>
            <w:r>
              <w:rPr>
                <w:noProof/>
                <w:webHidden/>
              </w:rPr>
              <w:instrText xml:space="preserve"> PAGEREF _Toc220491002 \h </w:instrText>
            </w:r>
            <w:r>
              <w:rPr>
                <w:noProof/>
                <w:webHidden/>
              </w:rPr>
            </w:r>
            <w:r>
              <w:rPr>
                <w:noProof/>
                <w:webHidden/>
              </w:rPr>
              <w:fldChar w:fldCharType="separate"/>
            </w:r>
            <w:r>
              <w:rPr>
                <w:noProof/>
                <w:webHidden/>
              </w:rPr>
              <w:t>682</w:t>
            </w:r>
            <w:r>
              <w:rPr>
                <w:noProof/>
                <w:webHidden/>
              </w:rPr>
              <w:fldChar w:fldCharType="end"/>
            </w:r>
          </w:hyperlink>
        </w:p>
        <w:p w14:paraId="034A4208"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03" w:history="1">
            <w:r w:rsidRPr="000D551A">
              <w:rPr>
                <w:rStyle w:val="Lienhypertexte"/>
                <w:noProof/>
              </w:rPr>
              <w:t>46.56.2a Grilles de sol métalliques CCTB 01.02</w:t>
            </w:r>
            <w:r>
              <w:rPr>
                <w:noProof/>
                <w:webHidden/>
              </w:rPr>
              <w:tab/>
            </w:r>
            <w:r>
              <w:rPr>
                <w:noProof/>
                <w:webHidden/>
              </w:rPr>
              <w:fldChar w:fldCharType="begin"/>
            </w:r>
            <w:r>
              <w:rPr>
                <w:noProof/>
                <w:webHidden/>
              </w:rPr>
              <w:instrText xml:space="preserve"> PAGEREF _Toc220491003 \h </w:instrText>
            </w:r>
            <w:r>
              <w:rPr>
                <w:noProof/>
                <w:webHidden/>
              </w:rPr>
            </w:r>
            <w:r>
              <w:rPr>
                <w:noProof/>
                <w:webHidden/>
              </w:rPr>
              <w:fldChar w:fldCharType="separate"/>
            </w:r>
            <w:r>
              <w:rPr>
                <w:noProof/>
                <w:webHidden/>
              </w:rPr>
              <w:t>682</w:t>
            </w:r>
            <w:r>
              <w:rPr>
                <w:noProof/>
                <w:webHidden/>
              </w:rPr>
              <w:fldChar w:fldCharType="end"/>
            </w:r>
          </w:hyperlink>
        </w:p>
        <w:p w14:paraId="52D3EC4B" w14:textId="77777777" w:rsidR="00FA36CF" w:rsidRDefault="00FA36CF">
          <w:pPr>
            <w:pStyle w:val="TM6"/>
            <w:tabs>
              <w:tab w:val="right" w:leader="dot" w:pos="9016"/>
            </w:tabs>
            <w:rPr>
              <w:rFonts w:asciiTheme="minorHAnsi" w:eastAsiaTheme="minorEastAsia" w:hAnsiTheme="minorHAnsi" w:cstheme="minorBidi"/>
              <w:noProof/>
              <w:kern w:val="2"/>
              <w:sz w:val="24"/>
              <w:szCs w:val="24"/>
              <w14:ligatures w14:val="standardContextual"/>
            </w:rPr>
          </w:pPr>
          <w:hyperlink w:anchor="_Toc220491004" w:history="1">
            <w:r w:rsidRPr="000D551A">
              <w:rPr>
                <w:rStyle w:val="Lienhypertexte"/>
                <w:noProof/>
              </w:rPr>
              <w:t>46.56.2b Grilles de sol matériau synthétique CCTB 01.02</w:t>
            </w:r>
            <w:r>
              <w:rPr>
                <w:noProof/>
                <w:webHidden/>
              </w:rPr>
              <w:tab/>
            </w:r>
            <w:r>
              <w:rPr>
                <w:noProof/>
                <w:webHidden/>
              </w:rPr>
              <w:fldChar w:fldCharType="begin"/>
            </w:r>
            <w:r>
              <w:rPr>
                <w:noProof/>
                <w:webHidden/>
              </w:rPr>
              <w:instrText xml:space="preserve"> PAGEREF _Toc220491004 \h </w:instrText>
            </w:r>
            <w:r>
              <w:rPr>
                <w:noProof/>
                <w:webHidden/>
              </w:rPr>
            </w:r>
            <w:r>
              <w:rPr>
                <w:noProof/>
                <w:webHidden/>
              </w:rPr>
              <w:fldChar w:fldCharType="separate"/>
            </w:r>
            <w:r>
              <w:rPr>
                <w:noProof/>
                <w:webHidden/>
              </w:rPr>
              <w:t>682</w:t>
            </w:r>
            <w:r>
              <w:rPr>
                <w:noProof/>
                <w:webHidden/>
              </w:rPr>
              <w:fldChar w:fldCharType="end"/>
            </w:r>
          </w:hyperlink>
        </w:p>
        <w:p w14:paraId="271CECB7"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05" w:history="1">
            <w:r w:rsidRPr="000D551A">
              <w:rPr>
                <w:rStyle w:val="Lienhypertexte"/>
                <w:noProof/>
              </w:rPr>
              <w:t>46.6 - CCTB 01.02</w:t>
            </w:r>
            <w:r>
              <w:rPr>
                <w:noProof/>
                <w:webHidden/>
              </w:rPr>
              <w:tab/>
            </w:r>
            <w:r>
              <w:rPr>
                <w:noProof/>
                <w:webHidden/>
              </w:rPr>
              <w:fldChar w:fldCharType="begin"/>
            </w:r>
            <w:r>
              <w:rPr>
                <w:noProof/>
                <w:webHidden/>
              </w:rPr>
              <w:instrText xml:space="preserve"> PAGEREF _Toc220491005 \h </w:instrText>
            </w:r>
            <w:r>
              <w:rPr>
                <w:noProof/>
                <w:webHidden/>
              </w:rPr>
            </w:r>
            <w:r>
              <w:rPr>
                <w:noProof/>
                <w:webHidden/>
              </w:rPr>
              <w:fldChar w:fldCharType="separate"/>
            </w:r>
            <w:r>
              <w:rPr>
                <w:noProof/>
                <w:webHidden/>
              </w:rPr>
              <w:t>683</w:t>
            </w:r>
            <w:r>
              <w:rPr>
                <w:noProof/>
                <w:webHidden/>
              </w:rPr>
              <w:fldChar w:fldCharType="end"/>
            </w:r>
          </w:hyperlink>
        </w:p>
        <w:p w14:paraId="1BB1EF71"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06" w:history="1">
            <w:r w:rsidRPr="000D551A">
              <w:rPr>
                <w:rStyle w:val="Lienhypertexte"/>
                <w:noProof/>
              </w:rPr>
              <w:t>46.7 - CCTB 01.02</w:t>
            </w:r>
            <w:r>
              <w:rPr>
                <w:noProof/>
                <w:webHidden/>
              </w:rPr>
              <w:tab/>
            </w:r>
            <w:r>
              <w:rPr>
                <w:noProof/>
                <w:webHidden/>
              </w:rPr>
              <w:fldChar w:fldCharType="begin"/>
            </w:r>
            <w:r>
              <w:rPr>
                <w:noProof/>
                <w:webHidden/>
              </w:rPr>
              <w:instrText xml:space="preserve"> PAGEREF _Toc220491006 \h </w:instrText>
            </w:r>
            <w:r>
              <w:rPr>
                <w:noProof/>
                <w:webHidden/>
              </w:rPr>
            </w:r>
            <w:r>
              <w:rPr>
                <w:noProof/>
                <w:webHidden/>
              </w:rPr>
              <w:fldChar w:fldCharType="separate"/>
            </w:r>
            <w:r>
              <w:rPr>
                <w:noProof/>
                <w:webHidden/>
              </w:rPr>
              <w:t>683</w:t>
            </w:r>
            <w:r>
              <w:rPr>
                <w:noProof/>
                <w:webHidden/>
              </w:rPr>
              <w:fldChar w:fldCharType="end"/>
            </w:r>
          </w:hyperlink>
        </w:p>
        <w:p w14:paraId="143B760E"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07" w:history="1">
            <w:r w:rsidRPr="000D551A">
              <w:rPr>
                <w:rStyle w:val="Lienhypertexte"/>
                <w:noProof/>
              </w:rPr>
              <w:t>46.8 Chapes et revêtements de sols extérieurs - Rénovation CCTB 01.02</w:t>
            </w:r>
            <w:r>
              <w:rPr>
                <w:noProof/>
                <w:webHidden/>
              </w:rPr>
              <w:tab/>
            </w:r>
            <w:r>
              <w:rPr>
                <w:noProof/>
                <w:webHidden/>
              </w:rPr>
              <w:fldChar w:fldCharType="begin"/>
            </w:r>
            <w:r>
              <w:rPr>
                <w:noProof/>
                <w:webHidden/>
              </w:rPr>
              <w:instrText xml:space="preserve"> PAGEREF _Toc220491007 \h </w:instrText>
            </w:r>
            <w:r>
              <w:rPr>
                <w:noProof/>
                <w:webHidden/>
              </w:rPr>
            </w:r>
            <w:r>
              <w:rPr>
                <w:noProof/>
                <w:webHidden/>
              </w:rPr>
              <w:fldChar w:fldCharType="separate"/>
            </w:r>
            <w:r>
              <w:rPr>
                <w:noProof/>
                <w:webHidden/>
              </w:rPr>
              <w:t>683</w:t>
            </w:r>
            <w:r>
              <w:rPr>
                <w:noProof/>
                <w:webHidden/>
              </w:rPr>
              <w:fldChar w:fldCharType="end"/>
            </w:r>
          </w:hyperlink>
        </w:p>
        <w:p w14:paraId="482CACCF" w14:textId="77777777" w:rsidR="00FA36CF" w:rsidRDefault="00FA36CF">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1008" w:history="1">
            <w:r w:rsidRPr="000D551A">
              <w:rPr>
                <w:rStyle w:val="Lienhypertexte"/>
                <w:noProof/>
              </w:rPr>
              <w:t>47 Ferronnerie d'art</w:t>
            </w:r>
            <w:r>
              <w:rPr>
                <w:noProof/>
                <w:webHidden/>
              </w:rPr>
              <w:tab/>
            </w:r>
            <w:r>
              <w:rPr>
                <w:noProof/>
                <w:webHidden/>
              </w:rPr>
              <w:fldChar w:fldCharType="begin"/>
            </w:r>
            <w:r>
              <w:rPr>
                <w:noProof/>
                <w:webHidden/>
              </w:rPr>
              <w:instrText xml:space="preserve"> PAGEREF _Toc220491008 \h </w:instrText>
            </w:r>
            <w:r>
              <w:rPr>
                <w:noProof/>
                <w:webHidden/>
              </w:rPr>
            </w:r>
            <w:r>
              <w:rPr>
                <w:noProof/>
                <w:webHidden/>
              </w:rPr>
              <w:fldChar w:fldCharType="separate"/>
            </w:r>
            <w:r>
              <w:rPr>
                <w:noProof/>
                <w:webHidden/>
              </w:rPr>
              <w:t>683</w:t>
            </w:r>
            <w:r>
              <w:rPr>
                <w:noProof/>
                <w:webHidden/>
              </w:rPr>
              <w:fldChar w:fldCharType="end"/>
            </w:r>
          </w:hyperlink>
        </w:p>
        <w:p w14:paraId="74EE641A"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09" w:history="1">
            <w:r w:rsidRPr="000D551A">
              <w:rPr>
                <w:rStyle w:val="Lienhypertexte"/>
                <w:noProof/>
              </w:rPr>
              <w:t>47.1 Ferronnerie d'art - grilles fixes</w:t>
            </w:r>
            <w:r>
              <w:rPr>
                <w:noProof/>
                <w:webHidden/>
              </w:rPr>
              <w:tab/>
            </w:r>
            <w:r>
              <w:rPr>
                <w:noProof/>
                <w:webHidden/>
              </w:rPr>
              <w:fldChar w:fldCharType="begin"/>
            </w:r>
            <w:r>
              <w:rPr>
                <w:noProof/>
                <w:webHidden/>
              </w:rPr>
              <w:instrText xml:space="preserve"> PAGEREF _Toc220491009 \h </w:instrText>
            </w:r>
            <w:r>
              <w:rPr>
                <w:noProof/>
                <w:webHidden/>
              </w:rPr>
            </w:r>
            <w:r>
              <w:rPr>
                <w:noProof/>
                <w:webHidden/>
              </w:rPr>
              <w:fldChar w:fldCharType="separate"/>
            </w:r>
            <w:r>
              <w:rPr>
                <w:noProof/>
                <w:webHidden/>
              </w:rPr>
              <w:t>683</w:t>
            </w:r>
            <w:r>
              <w:rPr>
                <w:noProof/>
                <w:webHidden/>
              </w:rPr>
              <w:fldChar w:fldCharType="end"/>
            </w:r>
          </w:hyperlink>
        </w:p>
        <w:p w14:paraId="788330A7"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10" w:history="1">
            <w:r w:rsidRPr="000D551A">
              <w:rPr>
                <w:rStyle w:val="Lienhypertexte"/>
                <w:noProof/>
              </w:rPr>
              <w:t>47.11 Ferronnerie d'art - grilles fixes - en fer forgé</w:t>
            </w:r>
            <w:r>
              <w:rPr>
                <w:noProof/>
                <w:webHidden/>
              </w:rPr>
              <w:tab/>
            </w:r>
            <w:r>
              <w:rPr>
                <w:noProof/>
                <w:webHidden/>
              </w:rPr>
              <w:fldChar w:fldCharType="begin"/>
            </w:r>
            <w:r>
              <w:rPr>
                <w:noProof/>
                <w:webHidden/>
              </w:rPr>
              <w:instrText xml:space="preserve"> PAGEREF _Toc220491010 \h </w:instrText>
            </w:r>
            <w:r>
              <w:rPr>
                <w:noProof/>
                <w:webHidden/>
              </w:rPr>
            </w:r>
            <w:r>
              <w:rPr>
                <w:noProof/>
                <w:webHidden/>
              </w:rPr>
              <w:fldChar w:fldCharType="separate"/>
            </w:r>
            <w:r>
              <w:rPr>
                <w:noProof/>
                <w:webHidden/>
              </w:rPr>
              <w:t>683</w:t>
            </w:r>
            <w:r>
              <w:rPr>
                <w:noProof/>
                <w:webHidden/>
              </w:rPr>
              <w:fldChar w:fldCharType="end"/>
            </w:r>
          </w:hyperlink>
        </w:p>
        <w:p w14:paraId="5BEE7692"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11" w:history="1">
            <w:r w:rsidRPr="000D551A">
              <w:rPr>
                <w:rStyle w:val="Lienhypertexte"/>
                <w:noProof/>
              </w:rPr>
              <w:t>47.2 Ferronnerie d'art - grilles ouvrantes</w:t>
            </w:r>
            <w:r>
              <w:rPr>
                <w:noProof/>
                <w:webHidden/>
              </w:rPr>
              <w:tab/>
            </w:r>
            <w:r>
              <w:rPr>
                <w:noProof/>
                <w:webHidden/>
              </w:rPr>
              <w:fldChar w:fldCharType="begin"/>
            </w:r>
            <w:r>
              <w:rPr>
                <w:noProof/>
                <w:webHidden/>
              </w:rPr>
              <w:instrText xml:space="preserve"> PAGEREF _Toc220491011 \h </w:instrText>
            </w:r>
            <w:r>
              <w:rPr>
                <w:noProof/>
                <w:webHidden/>
              </w:rPr>
            </w:r>
            <w:r>
              <w:rPr>
                <w:noProof/>
                <w:webHidden/>
              </w:rPr>
              <w:fldChar w:fldCharType="separate"/>
            </w:r>
            <w:r>
              <w:rPr>
                <w:noProof/>
                <w:webHidden/>
              </w:rPr>
              <w:t>683</w:t>
            </w:r>
            <w:r>
              <w:rPr>
                <w:noProof/>
                <w:webHidden/>
              </w:rPr>
              <w:fldChar w:fldCharType="end"/>
            </w:r>
          </w:hyperlink>
        </w:p>
        <w:p w14:paraId="66479B46" w14:textId="77777777" w:rsidR="00FA36CF" w:rsidRDefault="00FA36CF">
          <w:pPr>
            <w:pStyle w:val="TM4"/>
            <w:tabs>
              <w:tab w:val="right" w:leader="dot" w:pos="9016"/>
            </w:tabs>
            <w:rPr>
              <w:rFonts w:asciiTheme="minorHAnsi" w:eastAsiaTheme="minorEastAsia" w:hAnsiTheme="minorHAnsi" w:cstheme="minorBidi"/>
              <w:noProof/>
              <w:kern w:val="2"/>
              <w:sz w:val="24"/>
              <w:szCs w:val="24"/>
              <w14:ligatures w14:val="standardContextual"/>
            </w:rPr>
          </w:pPr>
          <w:hyperlink w:anchor="_Toc220491012" w:history="1">
            <w:r w:rsidRPr="000D551A">
              <w:rPr>
                <w:rStyle w:val="Lienhypertexte"/>
                <w:noProof/>
              </w:rPr>
              <w:t>47.21 Ferronnerie d'art - grilles ouvrantes - en fer forgé</w:t>
            </w:r>
            <w:r>
              <w:rPr>
                <w:noProof/>
                <w:webHidden/>
              </w:rPr>
              <w:tab/>
            </w:r>
            <w:r>
              <w:rPr>
                <w:noProof/>
                <w:webHidden/>
              </w:rPr>
              <w:fldChar w:fldCharType="begin"/>
            </w:r>
            <w:r>
              <w:rPr>
                <w:noProof/>
                <w:webHidden/>
              </w:rPr>
              <w:instrText xml:space="preserve"> PAGEREF _Toc220491012 \h </w:instrText>
            </w:r>
            <w:r>
              <w:rPr>
                <w:noProof/>
                <w:webHidden/>
              </w:rPr>
            </w:r>
            <w:r>
              <w:rPr>
                <w:noProof/>
                <w:webHidden/>
              </w:rPr>
              <w:fldChar w:fldCharType="separate"/>
            </w:r>
            <w:r>
              <w:rPr>
                <w:noProof/>
                <w:webHidden/>
              </w:rPr>
              <w:t>683</w:t>
            </w:r>
            <w:r>
              <w:rPr>
                <w:noProof/>
                <w:webHidden/>
              </w:rPr>
              <w:fldChar w:fldCharType="end"/>
            </w:r>
          </w:hyperlink>
        </w:p>
        <w:p w14:paraId="641CBD45"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13" w:history="1">
            <w:r w:rsidRPr="000D551A">
              <w:rPr>
                <w:rStyle w:val="Lienhypertexte"/>
                <w:noProof/>
              </w:rPr>
              <w:t>47.3 Ferronnerie d'art - barreaux</w:t>
            </w:r>
            <w:r>
              <w:rPr>
                <w:noProof/>
                <w:webHidden/>
              </w:rPr>
              <w:tab/>
            </w:r>
            <w:r>
              <w:rPr>
                <w:noProof/>
                <w:webHidden/>
              </w:rPr>
              <w:fldChar w:fldCharType="begin"/>
            </w:r>
            <w:r>
              <w:rPr>
                <w:noProof/>
                <w:webHidden/>
              </w:rPr>
              <w:instrText xml:space="preserve"> PAGEREF _Toc220491013 \h </w:instrText>
            </w:r>
            <w:r>
              <w:rPr>
                <w:noProof/>
                <w:webHidden/>
              </w:rPr>
            </w:r>
            <w:r>
              <w:rPr>
                <w:noProof/>
                <w:webHidden/>
              </w:rPr>
              <w:fldChar w:fldCharType="separate"/>
            </w:r>
            <w:r>
              <w:rPr>
                <w:noProof/>
                <w:webHidden/>
              </w:rPr>
              <w:t>683</w:t>
            </w:r>
            <w:r>
              <w:rPr>
                <w:noProof/>
                <w:webHidden/>
              </w:rPr>
              <w:fldChar w:fldCharType="end"/>
            </w:r>
          </w:hyperlink>
        </w:p>
        <w:p w14:paraId="3D95EF09"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14" w:history="1">
            <w:r w:rsidRPr="000D551A">
              <w:rPr>
                <w:rStyle w:val="Lienhypertexte"/>
                <w:noProof/>
              </w:rPr>
              <w:t>47.4 Ferronnerie d'art - garde-corps CCTB 01.10</w:t>
            </w:r>
            <w:r>
              <w:rPr>
                <w:noProof/>
                <w:webHidden/>
              </w:rPr>
              <w:tab/>
            </w:r>
            <w:r>
              <w:rPr>
                <w:noProof/>
                <w:webHidden/>
              </w:rPr>
              <w:fldChar w:fldCharType="begin"/>
            </w:r>
            <w:r>
              <w:rPr>
                <w:noProof/>
                <w:webHidden/>
              </w:rPr>
              <w:instrText xml:space="preserve"> PAGEREF _Toc220491014 \h </w:instrText>
            </w:r>
            <w:r>
              <w:rPr>
                <w:noProof/>
                <w:webHidden/>
              </w:rPr>
            </w:r>
            <w:r>
              <w:rPr>
                <w:noProof/>
                <w:webHidden/>
              </w:rPr>
              <w:fldChar w:fldCharType="separate"/>
            </w:r>
            <w:r>
              <w:rPr>
                <w:noProof/>
                <w:webHidden/>
              </w:rPr>
              <w:t>683</w:t>
            </w:r>
            <w:r>
              <w:rPr>
                <w:noProof/>
                <w:webHidden/>
              </w:rPr>
              <w:fldChar w:fldCharType="end"/>
            </w:r>
          </w:hyperlink>
        </w:p>
        <w:p w14:paraId="3C00067C"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15" w:history="1">
            <w:r w:rsidRPr="000D551A">
              <w:rPr>
                <w:rStyle w:val="Lienhypertexte"/>
                <w:noProof/>
              </w:rPr>
              <w:t>47.5 -</w:t>
            </w:r>
            <w:r>
              <w:rPr>
                <w:noProof/>
                <w:webHidden/>
              </w:rPr>
              <w:tab/>
            </w:r>
            <w:r>
              <w:rPr>
                <w:noProof/>
                <w:webHidden/>
              </w:rPr>
              <w:fldChar w:fldCharType="begin"/>
            </w:r>
            <w:r>
              <w:rPr>
                <w:noProof/>
                <w:webHidden/>
              </w:rPr>
              <w:instrText xml:space="preserve"> PAGEREF _Toc220491015 \h </w:instrText>
            </w:r>
            <w:r>
              <w:rPr>
                <w:noProof/>
                <w:webHidden/>
              </w:rPr>
            </w:r>
            <w:r>
              <w:rPr>
                <w:noProof/>
                <w:webHidden/>
              </w:rPr>
              <w:fldChar w:fldCharType="separate"/>
            </w:r>
            <w:r>
              <w:rPr>
                <w:noProof/>
                <w:webHidden/>
              </w:rPr>
              <w:t>683</w:t>
            </w:r>
            <w:r>
              <w:rPr>
                <w:noProof/>
                <w:webHidden/>
              </w:rPr>
              <w:fldChar w:fldCharType="end"/>
            </w:r>
          </w:hyperlink>
        </w:p>
        <w:p w14:paraId="68059132"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16" w:history="1">
            <w:r w:rsidRPr="000D551A">
              <w:rPr>
                <w:rStyle w:val="Lienhypertexte"/>
                <w:noProof/>
              </w:rPr>
              <w:t>47.6 -</w:t>
            </w:r>
            <w:r>
              <w:rPr>
                <w:noProof/>
                <w:webHidden/>
              </w:rPr>
              <w:tab/>
            </w:r>
            <w:r>
              <w:rPr>
                <w:noProof/>
                <w:webHidden/>
              </w:rPr>
              <w:fldChar w:fldCharType="begin"/>
            </w:r>
            <w:r>
              <w:rPr>
                <w:noProof/>
                <w:webHidden/>
              </w:rPr>
              <w:instrText xml:space="preserve"> PAGEREF _Toc220491016 \h </w:instrText>
            </w:r>
            <w:r>
              <w:rPr>
                <w:noProof/>
                <w:webHidden/>
              </w:rPr>
            </w:r>
            <w:r>
              <w:rPr>
                <w:noProof/>
                <w:webHidden/>
              </w:rPr>
              <w:fldChar w:fldCharType="separate"/>
            </w:r>
            <w:r>
              <w:rPr>
                <w:noProof/>
                <w:webHidden/>
              </w:rPr>
              <w:t>683</w:t>
            </w:r>
            <w:r>
              <w:rPr>
                <w:noProof/>
                <w:webHidden/>
              </w:rPr>
              <w:fldChar w:fldCharType="end"/>
            </w:r>
          </w:hyperlink>
        </w:p>
        <w:p w14:paraId="38A01650"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17" w:history="1">
            <w:r w:rsidRPr="000D551A">
              <w:rPr>
                <w:rStyle w:val="Lienhypertexte"/>
                <w:noProof/>
              </w:rPr>
              <w:t>47.7 -</w:t>
            </w:r>
            <w:r>
              <w:rPr>
                <w:noProof/>
                <w:webHidden/>
              </w:rPr>
              <w:tab/>
            </w:r>
            <w:r>
              <w:rPr>
                <w:noProof/>
                <w:webHidden/>
              </w:rPr>
              <w:fldChar w:fldCharType="begin"/>
            </w:r>
            <w:r>
              <w:rPr>
                <w:noProof/>
                <w:webHidden/>
              </w:rPr>
              <w:instrText xml:space="preserve"> PAGEREF _Toc220491017 \h </w:instrText>
            </w:r>
            <w:r>
              <w:rPr>
                <w:noProof/>
                <w:webHidden/>
              </w:rPr>
            </w:r>
            <w:r>
              <w:rPr>
                <w:noProof/>
                <w:webHidden/>
              </w:rPr>
              <w:fldChar w:fldCharType="separate"/>
            </w:r>
            <w:r>
              <w:rPr>
                <w:noProof/>
                <w:webHidden/>
              </w:rPr>
              <w:t>683</w:t>
            </w:r>
            <w:r>
              <w:rPr>
                <w:noProof/>
                <w:webHidden/>
              </w:rPr>
              <w:fldChar w:fldCharType="end"/>
            </w:r>
          </w:hyperlink>
        </w:p>
        <w:p w14:paraId="7084CB29" w14:textId="77777777" w:rsidR="00FA36CF" w:rsidRDefault="00FA36CF">
          <w:pPr>
            <w:pStyle w:val="TM3"/>
            <w:tabs>
              <w:tab w:val="right" w:leader="dot" w:pos="9016"/>
            </w:tabs>
            <w:rPr>
              <w:rFonts w:asciiTheme="minorHAnsi" w:eastAsiaTheme="minorEastAsia" w:hAnsiTheme="minorHAnsi" w:cstheme="minorBidi"/>
              <w:noProof/>
              <w:kern w:val="2"/>
              <w:sz w:val="24"/>
              <w:szCs w:val="24"/>
              <w14:ligatures w14:val="standardContextual"/>
            </w:rPr>
          </w:pPr>
          <w:hyperlink w:anchor="_Toc220491018" w:history="1">
            <w:r w:rsidRPr="000D551A">
              <w:rPr>
                <w:rStyle w:val="Lienhypertexte"/>
                <w:noProof/>
              </w:rPr>
              <w:t>47.8 Ferronnerie d'art - rénovation</w:t>
            </w:r>
            <w:r>
              <w:rPr>
                <w:noProof/>
                <w:webHidden/>
              </w:rPr>
              <w:tab/>
            </w:r>
            <w:r>
              <w:rPr>
                <w:noProof/>
                <w:webHidden/>
              </w:rPr>
              <w:fldChar w:fldCharType="begin"/>
            </w:r>
            <w:r>
              <w:rPr>
                <w:noProof/>
                <w:webHidden/>
              </w:rPr>
              <w:instrText xml:space="preserve"> PAGEREF _Toc220491018 \h </w:instrText>
            </w:r>
            <w:r>
              <w:rPr>
                <w:noProof/>
                <w:webHidden/>
              </w:rPr>
            </w:r>
            <w:r>
              <w:rPr>
                <w:noProof/>
                <w:webHidden/>
              </w:rPr>
              <w:fldChar w:fldCharType="separate"/>
            </w:r>
            <w:r>
              <w:rPr>
                <w:noProof/>
                <w:webHidden/>
              </w:rPr>
              <w:t>683</w:t>
            </w:r>
            <w:r>
              <w:rPr>
                <w:noProof/>
                <w:webHidden/>
              </w:rPr>
              <w:fldChar w:fldCharType="end"/>
            </w:r>
          </w:hyperlink>
        </w:p>
        <w:p w14:paraId="3172C467" w14:textId="77777777" w:rsidR="00FA36CF" w:rsidRDefault="00FA36CF">
          <w:pPr>
            <w:pStyle w:val="TM2"/>
            <w:tabs>
              <w:tab w:val="right" w:leader="dot" w:pos="9016"/>
            </w:tabs>
            <w:rPr>
              <w:rFonts w:asciiTheme="minorHAnsi" w:eastAsiaTheme="minorEastAsia" w:hAnsiTheme="minorHAnsi" w:cstheme="minorBidi"/>
              <w:noProof/>
              <w:kern w:val="2"/>
              <w:sz w:val="24"/>
              <w:szCs w:val="24"/>
              <w14:ligatures w14:val="standardContextual"/>
            </w:rPr>
          </w:pPr>
          <w:hyperlink w:anchor="_Toc220491019" w:history="1">
            <w:r w:rsidRPr="000D551A">
              <w:rPr>
                <w:rStyle w:val="Lienhypertexte"/>
                <w:noProof/>
              </w:rPr>
              <w:t>48 Eléments décoratifs de façade (graffites, ornements, etc)</w:t>
            </w:r>
            <w:r>
              <w:rPr>
                <w:noProof/>
                <w:webHidden/>
              </w:rPr>
              <w:tab/>
            </w:r>
            <w:r>
              <w:rPr>
                <w:noProof/>
                <w:webHidden/>
              </w:rPr>
              <w:fldChar w:fldCharType="begin"/>
            </w:r>
            <w:r>
              <w:rPr>
                <w:noProof/>
                <w:webHidden/>
              </w:rPr>
              <w:instrText xml:space="preserve"> PAGEREF _Toc220491019 \h </w:instrText>
            </w:r>
            <w:r>
              <w:rPr>
                <w:noProof/>
                <w:webHidden/>
              </w:rPr>
            </w:r>
            <w:r>
              <w:rPr>
                <w:noProof/>
                <w:webHidden/>
              </w:rPr>
              <w:fldChar w:fldCharType="separate"/>
            </w:r>
            <w:r>
              <w:rPr>
                <w:noProof/>
                <w:webHidden/>
              </w:rPr>
              <w:t>683</w:t>
            </w:r>
            <w:r>
              <w:rPr>
                <w:noProof/>
                <w:webHidden/>
              </w:rPr>
              <w:fldChar w:fldCharType="end"/>
            </w:r>
          </w:hyperlink>
        </w:p>
        <w:p w14:paraId="1AE57B76" w14:textId="77777777" w:rsidR="00772179" w:rsidRDefault="00000000">
          <w:r>
            <w:rPr>
              <w:b/>
              <w:bCs/>
              <w:noProof/>
            </w:rPr>
            <w:fldChar w:fldCharType="end"/>
          </w:r>
        </w:p>
      </w:sdtContent>
    </w:sdt>
    <w:p w14:paraId="70BE21C0" w14:textId="77777777" w:rsidR="00772179" w:rsidRDefault="00000000">
      <w:r>
        <w:br w:type="page"/>
      </w:r>
    </w:p>
    <w:p w14:paraId="4921B251" w14:textId="77777777" w:rsidR="00772179" w:rsidRDefault="00000000">
      <w:pPr>
        <w:pStyle w:val="Author-eSectionHeading1Numberless"/>
      </w:pPr>
      <w:bookmarkStart w:id="0" w:name="_Toc220489765"/>
      <w:r>
        <w:lastRenderedPageBreak/>
        <w:t>4 T4 Fermetures / Finitions extérieures CCTB 01.13</w:t>
      </w:r>
      <w:bookmarkEnd w:id="0"/>
    </w:p>
    <w:p w14:paraId="2CC2B919" w14:textId="77777777" w:rsidR="00772179" w:rsidRDefault="00000000">
      <w:pPr>
        <w:pStyle w:val="pheading"/>
      </w:pPr>
      <w:bookmarkStart w:id="1" w:name="43"/>
      <w:bookmarkEnd w:id="1"/>
      <w:r>
        <w:t>DESCRIPTION</w:t>
      </w:r>
    </w:p>
    <w:p w14:paraId="4543CE98" w14:textId="77777777" w:rsidR="00772179" w:rsidRDefault="00000000">
      <w:pPr>
        <w:pStyle w:val="pheading"/>
      </w:pPr>
      <w:r>
        <w:t>- Remarques importantes</w:t>
      </w:r>
    </w:p>
    <w:p w14:paraId="5559873E" w14:textId="77777777" w:rsidR="00772179" w:rsidRDefault="00000000">
      <w:r>
        <w:t>La gestion et l’évacuation des déchets de chantier est décrite et comptabilisée au 07 Déchets, matériaux et éléments réemployables.</w:t>
      </w:r>
    </w:p>
    <w:p w14:paraId="66A6302F" w14:textId="77777777" w:rsidR="00772179" w:rsidRDefault="00000000">
      <w:pPr>
        <w:ind w:left="750"/>
      </w:pPr>
      <w:r>
        <w:t> </w:t>
      </w:r>
    </w:p>
    <w:p w14:paraId="1093730A" w14:textId="77777777" w:rsidR="00772179" w:rsidRDefault="00000000">
      <w:pPr>
        <w:pStyle w:val="pheading"/>
      </w:pPr>
      <w:r>
        <w:t>DOCUMENTS DE RÉFÉRENCE</w:t>
      </w:r>
    </w:p>
    <w:p w14:paraId="03B0F2B2" w14:textId="77777777" w:rsidR="00772179" w:rsidRDefault="00000000">
      <w:pPr>
        <w:pStyle w:val="pheading"/>
      </w:pPr>
      <w:r>
        <w:t>- Matériau</w:t>
      </w:r>
    </w:p>
    <w:p w14:paraId="365B42A6" w14:textId="77777777" w:rsidR="00772179" w:rsidRDefault="00000000">
      <w:r>
        <w:t>[NBN EN ISO 10077-1 ANB, Performance thermique des fenêtres, portes et fermetures - Calcul du coefficient de transmission thermique - Partie 1: Généralités (ISO 10077-1:2017) – Annexe Nationale]</w:t>
      </w:r>
    </w:p>
    <w:p w14:paraId="6618A5AE" w14:textId="77777777" w:rsidR="00772179" w:rsidRDefault="00000000">
      <w:pPr>
        <w:pStyle w:val="pheading"/>
      </w:pPr>
      <w:r>
        <w:t>- Exécution</w:t>
      </w:r>
    </w:p>
    <w:p w14:paraId="5A98FA12" w14:textId="77777777" w:rsidR="00772179" w:rsidRDefault="00000000">
      <w:r>
        <w:t>[NBN EN ISO 10077-1 ANB, Performance thermique des fenêtres, portes et fermetures - Calcul du coefficient de transmission thermique - Partie 1: Généralités (ISO 10077-1:2017) – Annexe Nationale]</w:t>
      </w:r>
    </w:p>
    <w:p w14:paraId="39BE7A07" w14:textId="77777777" w:rsidR="00772179" w:rsidRDefault="00000000">
      <w:pPr>
        <w:pStyle w:val="Author-eSectionHeading2Numberless"/>
      </w:pPr>
      <w:bookmarkStart w:id="2" w:name="_Toc220489766"/>
      <w:r>
        <w:t>41 Menuiseries extérieures CCTB 01.12</w:t>
      </w:r>
      <w:bookmarkEnd w:id="2"/>
    </w:p>
    <w:p w14:paraId="5B5C3130" w14:textId="77777777" w:rsidR="00772179" w:rsidRDefault="00000000">
      <w:pPr>
        <w:pStyle w:val="pheading"/>
      </w:pPr>
      <w:bookmarkStart w:id="3" w:name="63"/>
      <w:bookmarkEnd w:id="3"/>
      <w:r>
        <w:t>DOCUMENTS DE RÉFÉRENCE</w:t>
      </w:r>
    </w:p>
    <w:p w14:paraId="7AD7E5AF" w14:textId="77777777" w:rsidR="00772179" w:rsidRDefault="00000000">
      <w:pPr>
        <w:pStyle w:val="pheading"/>
      </w:pPr>
      <w:r>
        <w:t>- Matériau</w:t>
      </w:r>
    </w:p>
    <w:p w14:paraId="47937651" w14:textId="77777777" w:rsidR="00772179" w:rsidRDefault="00000000">
      <w:r>
        <w:t>[AR 1994-07-07, Arrêté royal fixant les normes de base en matière de prévention contre l'incendie et l'explosion, auxquelles les bâtiments nouveaux doivent satisfaire]</w:t>
      </w:r>
    </w:p>
    <w:p w14:paraId="7F2ED21F" w14:textId="77777777" w:rsidR="00772179" w:rsidRDefault="00000000">
      <w:r>
        <w:t>[NBN B 25-002-4, Menuiseries extérieures. Partie 4 : Prescriptions pour les profilés et des ossatures en aluminium]</w:t>
      </w:r>
    </w:p>
    <w:p w14:paraId="423FE127" w14:textId="77777777" w:rsidR="00772179" w:rsidRDefault="00000000">
      <w:r>
        <w:t>[NBN B 25-002-5, Menuiseries extérieures. Partie 5 : Prescriptions pour les profilés et les châssis en PVC-U]</w:t>
      </w:r>
    </w:p>
    <w:p w14:paraId="27AD729B" w14:textId="77777777" w:rsidR="00772179" w:rsidRDefault="00000000">
      <w:pPr>
        <w:pStyle w:val="pheading"/>
      </w:pPr>
      <w:r>
        <w:t>- Exécution</w:t>
      </w:r>
    </w:p>
    <w:p w14:paraId="44126B31" w14:textId="77777777" w:rsidR="00772179" w:rsidRDefault="00000000">
      <w:r>
        <w:t>Pour la pose en murs creux des menuiseries PVC et aluminium :</w:t>
      </w:r>
    </w:p>
    <w:p w14:paraId="11A70A33" w14:textId="77777777" w:rsidR="00772179" w:rsidRDefault="00000000">
      <w:r>
        <w:t>[NIT 288, La pose des menuiseries extérieures Partie 3 : mise en œuvre de châssis en aluminium et en PVC dans des murs creux]</w:t>
      </w:r>
    </w:p>
    <w:p w14:paraId="503F005F" w14:textId="77777777" w:rsidR="00772179" w:rsidRDefault="00000000">
      <w:pPr>
        <w:pStyle w:val="Author-eSectionHeading3Numberless"/>
      </w:pPr>
      <w:bookmarkStart w:id="4" w:name="_Toc220489767"/>
      <w:r>
        <w:t>41.1 Fenêtres et portes-fenêtres CCTB 01.13</w:t>
      </w:r>
      <w:bookmarkEnd w:id="4"/>
    </w:p>
    <w:p w14:paraId="1BFE1F0C" w14:textId="77777777" w:rsidR="00772179" w:rsidRDefault="00000000">
      <w:pPr>
        <w:pStyle w:val="pheading"/>
      </w:pPr>
      <w:bookmarkStart w:id="5" w:name="64"/>
      <w:bookmarkEnd w:id="5"/>
      <w:r>
        <w:t>DESCRIPTION</w:t>
      </w:r>
    </w:p>
    <w:p w14:paraId="7EF9BD5D" w14:textId="77777777" w:rsidR="00772179" w:rsidRDefault="00000000">
      <w:pPr>
        <w:pStyle w:val="pheading"/>
      </w:pPr>
      <w:r>
        <w:t>- Définition / Comprend</w:t>
      </w:r>
    </w:p>
    <w:p w14:paraId="4DE286DB" w14:textId="77777777" w:rsidR="00772179" w:rsidRDefault="00000000">
      <w:pPr>
        <w:jc w:val="both"/>
      </w:pPr>
      <w:r>
        <w:t>Cet élément comprend la fourniture (hors matériaux récupérés du même site) et la pose de tous les éléments nécessaires à la composition des portes-fenêtres et fenêtres extérieures, y compris toutes les pièces qui en font intrinsèquement partie. Conformément aux dispositions générales et/ou spécifiques du cahier spécial des charges, les prix unitaires compris dans les articles suivants comprennent toujours, soit selon la ventilation dans le métré récapitulatif, soit dans leur totalité :</w:t>
      </w:r>
    </w:p>
    <w:p w14:paraId="065C52F5" w14:textId="77777777" w:rsidR="00772179" w:rsidRDefault="00000000">
      <w:pPr>
        <w:pStyle w:val="Author-eListParagraph"/>
        <w:numPr>
          <w:ilvl w:val="0"/>
          <w:numId w:val="2"/>
        </w:numPr>
        <w:jc w:val="both"/>
      </w:pPr>
      <w:r>
        <w:t>la vérification sur place des dimensions exactes ;</w:t>
      </w:r>
    </w:p>
    <w:p w14:paraId="1EE73ADA" w14:textId="77777777" w:rsidR="00772179" w:rsidRDefault="00000000">
      <w:pPr>
        <w:pStyle w:val="Author-eListParagraph"/>
        <w:numPr>
          <w:ilvl w:val="0"/>
          <w:numId w:val="2"/>
        </w:numPr>
        <w:jc w:val="both"/>
      </w:pPr>
      <w:r>
        <w:t>le montage des profils de portes-fenêtres et fenêtres, y compris toute la quincaillerie ;</w:t>
      </w:r>
    </w:p>
    <w:p w14:paraId="27C9795D" w14:textId="77777777" w:rsidR="00772179" w:rsidRDefault="00000000">
      <w:pPr>
        <w:pStyle w:val="Author-eListParagraph"/>
        <w:numPr>
          <w:ilvl w:val="0"/>
          <w:numId w:val="2"/>
        </w:numPr>
        <w:jc w:val="both"/>
      </w:pPr>
      <w:r>
        <w:t>la fourniture (hors matériaux récupérés du même site) et la pose des vitrages et/ou des éléments de remplissage, y compris les cales, les parcloses et les étanchéités ;</w:t>
      </w:r>
    </w:p>
    <w:p w14:paraId="7741B927" w14:textId="77777777" w:rsidR="00772179" w:rsidRDefault="00000000">
      <w:pPr>
        <w:pStyle w:val="Author-eListParagraph"/>
        <w:numPr>
          <w:ilvl w:val="0"/>
          <w:numId w:val="2"/>
        </w:numPr>
        <w:jc w:val="both"/>
      </w:pPr>
      <w:r>
        <w:t xml:space="preserve">la fourniture (hors matériaux récupérés du même site et le montage des grilles de ventilation (OAR), conformément à la réglementation en vigueur et au cahier spécial des </w:t>
      </w:r>
      <w:r>
        <w:lastRenderedPageBreak/>
        <w:t>charges (descriptif repris dans l’article 61.51.1a Ventilation - dispositifs de transfert d'air - ouvertures d'alimentation réglables (OAR);</w:t>
      </w:r>
    </w:p>
    <w:p w14:paraId="2F68FB3D" w14:textId="77777777" w:rsidR="00772179" w:rsidRDefault="00000000">
      <w:pPr>
        <w:pStyle w:val="Author-eListParagraph"/>
        <w:numPr>
          <w:ilvl w:val="0"/>
          <w:numId w:val="2"/>
        </w:numPr>
        <w:jc w:val="both"/>
      </w:pPr>
      <w:r>
        <w:t>la fourniture et la pose, y compris tous les moyens de fixation et/ou de suspension, ainsi que tous les ragréages étanches et la finition des joints entre la menuiserie et le gros-œuvre, … ;</w:t>
      </w:r>
    </w:p>
    <w:p w14:paraId="697B268E" w14:textId="77777777" w:rsidR="00772179" w:rsidRDefault="00000000">
      <w:pPr>
        <w:pStyle w:val="Author-eListParagraph"/>
        <w:numPr>
          <w:ilvl w:val="0"/>
          <w:numId w:val="2"/>
        </w:numPr>
        <w:jc w:val="both"/>
      </w:pPr>
      <w:r>
        <w:t>lors de la pose d’éléments de réemploi, les raccords éventuels, rectifications des dimensions   "gros-oeuvre" (modification de baie et/ou de seuils,…) sont compris dans cet élément.</w:t>
      </w:r>
    </w:p>
    <w:p w14:paraId="3482F5CB" w14:textId="77777777" w:rsidR="00772179" w:rsidRDefault="00000000">
      <w:pPr>
        <w:pStyle w:val="pheading"/>
      </w:pPr>
      <w:r>
        <w:t>- Remarques importantes</w:t>
      </w:r>
    </w:p>
    <w:p w14:paraId="1F1C4F47" w14:textId="77777777" w:rsidR="00772179" w:rsidRDefault="00000000">
      <w:pPr>
        <w:jc w:val="both"/>
      </w:pPr>
      <w:r>
        <w:t>Il est possible que certains de ces éléments soient décrits dans des articles séparés (quincaillerie, vitrage, …).Toutefois, sauf indication contraire dans le métré récapitulatif, ils sont par défaut compris dans le prix unitaire.</w:t>
      </w:r>
    </w:p>
    <w:p w14:paraId="1C1A2B2A" w14:textId="77777777" w:rsidR="00772179" w:rsidRDefault="00772179">
      <w:pPr>
        <w:jc w:val="both"/>
      </w:pPr>
    </w:p>
    <w:p w14:paraId="32F6B1F7" w14:textId="77777777" w:rsidR="00772179" w:rsidRDefault="00000000">
      <w:pPr>
        <w:jc w:val="both"/>
      </w:pPr>
      <w:r>
        <w:t xml:space="preserve">Les seuils de fenêtre (articles suivant le </w:t>
      </w:r>
      <w:hyperlink w:anchor="410" w:history="1">
        <w:r>
          <w:rPr>
            <w:color w:val="0000EE"/>
          </w:rPr>
          <w:t>41.71 Seuils</w:t>
        </w:r>
      </w:hyperlink>
      <w:r>
        <w:t>), les tablettes de fenêtres (articles suivant le 55.61 Tablettes (de fenêtres et autres)) et les habillages éventuels (articles suivant le 55.51 Habillage de fenêtres) ne sont pas compris par défaut dans le prix unitaire et sont dès lors considérés comme un article séparé.</w:t>
      </w:r>
    </w:p>
    <w:p w14:paraId="3D16240D" w14:textId="77777777" w:rsidR="00772179" w:rsidRDefault="00772179">
      <w:pPr>
        <w:jc w:val="both"/>
      </w:pPr>
    </w:p>
    <w:p w14:paraId="1571DFF7" w14:textId="77777777" w:rsidR="00772179" w:rsidRDefault="00000000">
      <w:pPr>
        <w:jc w:val="both"/>
      </w:pPr>
      <w:r>
        <w:t>Les éventuels travaux de démolition de la menuiserie extérieure existante, sont compris dans un article séparé (voir 06.35.1a Démontages de menuiseries et vitrages extérieures)</w:t>
      </w:r>
    </w:p>
    <w:p w14:paraId="4CA9C705" w14:textId="77777777" w:rsidR="00772179" w:rsidRDefault="00000000">
      <w:pPr>
        <w:pStyle w:val="pheading"/>
      </w:pPr>
      <w:r>
        <w:t>MATÉRIAUX</w:t>
      </w:r>
    </w:p>
    <w:p w14:paraId="2844DED0" w14:textId="77777777" w:rsidR="00772179" w:rsidRDefault="00000000">
      <w:pPr>
        <w:jc w:val="both"/>
      </w:pPr>
      <w:r>
        <w:rPr>
          <w:b/>
          <w:u w:val="single"/>
        </w:rPr>
        <w:t>Généralités</w:t>
      </w:r>
    </w:p>
    <w:p w14:paraId="75249CCA" w14:textId="77777777" w:rsidR="00772179" w:rsidRDefault="00000000">
      <w:pPr>
        <w:jc w:val="both"/>
      </w:pPr>
      <w:r>
        <w:t>L'entrepreneur soumet, avant l’exécution, à l'approbation du maître d’ouvrage et de l’auteur de projet :</w:t>
      </w:r>
    </w:p>
    <w:p w14:paraId="189FD950" w14:textId="77777777" w:rsidR="00772179" w:rsidRDefault="00000000">
      <w:pPr>
        <w:pStyle w:val="Author-eListParagraph"/>
        <w:numPr>
          <w:ilvl w:val="0"/>
          <w:numId w:val="3"/>
        </w:numPr>
        <w:jc w:val="both"/>
      </w:pPr>
      <w:r>
        <w:t>les notes de calcul nécessaires, les certificats de garantie et autres marquages, …</w:t>
      </w:r>
    </w:p>
    <w:p w14:paraId="47608324" w14:textId="77777777" w:rsidR="00772179" w:rsidRDefault="00000000">
      <w:pPr>
        <w:pStyle w:val="Author-eListParagraph"/>
        <w:numPr>
          <w:ilvl w:val="0"/>
          <w:numId w:val="3"/>
        </w:numPr>
        <w:jc w:val="both"/>
      </w:pPr>
      <w:r>
        <w:t>les dessins de détail et bordereaux de commande,</w:t>
      </w:r>
    </w:p>
    <w:p w14:paraId="5C93D4F1" w14:textId="77777777" w:rsidR="00772179" w:rsidRDefault="00000000">
      <w:pPr>
        <w:pStyle w:val="Author-eListParagraph"/>
        <w:numPr>
          <w:ilvl w:val="0"/>
          <w:numId w:val="3"/>
        </w:numPr>
        <w:jc w:val="both"/>
      </w:pPr>
      <w:r>
        <w:t>pour les menuiseries neuves : les échantillons et/ou les prototypes des différentes composantes, c'est-à-dire au moins un angle ouvrant avec tous les profils qui en font partie tels que les profils d'assemblage pour y glisser les éventuels habillages, les profils d'habillage, les encadrements décoratifs, les profils de seuil, les rejets d'eau, … Cet échantillon reste à la disposition de l’auteur de projet ou du maître de l’ouvrage jusqu'à la réception provisoire.</w:t>
      </w:r>
    </w:p>
    <w:p w14:paraId="2E5D0BBA" w14:textId="77777777" w:rsidR="00772179" w:rsidRDefault="00000000">
      <w:pPr>
        <w:pStyle w:val="Author-eListParagraph"/>
        <w:numPr>
          <w:ilvl w:val="0"/>
          <w:numId w:val="3"/>
        </w:numPr>
        <w:jc w:val="both"/>
      </w:pPr>
      <w:r>
        <w:t>Pour les menuiseries de réemploi fournies par l’entrepreneur: une menuiserie représentative est mise à disposition du maître d’ouvrage pour analyse et remarques, les détails des profilés de liaisons nécessaires pour la mise en œuvre des menuiseries de réemploi sont fournis</w:t>
      </w:r>
    </w:p>
    <w:p w14:paraId="4297A0CF" w14:textId="77777777" w:rsidR="00772179" w:rsidRDefault="00000000">
      <w:pPr>
        <w:pStyle w:val="Author-eListParagraph"/>
        <w:numPr>
          <w:ilvl w:val="0"/>
          <w:numId w:val="3"/>
        </w:numPr>
        <w:jc w:val="both"/>
      </w:pPr>
      <w:r>
        <w:t>Pour les menuiseries de réemploi récupérées sur le même site, l’entrepreneur décrit les étapes et mesures prises pour la réhabilitation des fenêtres et portes-fenêtres. Les détails des éléments de rectification sont fournis.</w:t>
      </w:r>
    </w:p>
    <w:p w14:paraId="4E00EE8E" w14:textId="77777777" w:rsidR="00772179" w:rsidRDefault="00000000">
      <w:pPr>
        <w:pStyle w:val="Author-eListParagraph"/>
        <w:numPr>
          <w:ilvl w:val="0"/>
          <w:numId w:val="3"/>
        </w:numPr>
        <w:jc w:val="both"/>
      </w:pPr>
      <w:r>
        <w:t>Pour les menuiseries neuves, une carte de couleurs de la gamme des couleurs livrées par le fabricant.  </w:t>
      </w:r>
    </w:p>
    <w:p w14:paraId="14CC90C2" w14:textId="77777777" w:rsidR="00772179" w:rsidRDefault="00000000">
      <w:pPr>
        <w:jc w:val="both"/>
      </w:pPr>
      <w:r>
        <w:t>Les fenêtres et portes-fenêtres font l’objet d’une déclaration des performances définies dans la norme produit [NBN EN 14351-1:2006+A2] et dont les exigences sont reprises dans la [NBN B 25-002-1]. Les exigences en termes de performance énergétique, perméabilité à l’air, étanchéité à l’eau, résistance au vent, efforts de manœuvre et prestations acoustiques sont décrites ci-dessous.  Les autres performances (résistance à l’effraction, comportement entre deux climats, durabilité, résistances aux balles, à l’explosion, ...) sont décrites dans la [NBN B 25-002-1] et les exigences requises sont précisées dans le cahier spécial des charges.</w:t>
      </w:r>
    </w:p>
    <w:p w14:paraId="06DA2DC9" w14:textId="77777777" w:rsidR="00772179" w:rsidRDefault="00772179">
      <w:pPr>
        <w:jc w:val="both"/>
      </w:pPr>
    </w:p>
    <w:p w14:paraId="7B1B1A2F" w14:textId="77777777" w:rsidR="00772179" w:rsidRDefault="00000000">
      <w:pPr>
        <w:jc w:val="both"/>
      </w:pPr>
      <w:r>
        <w:rPr>
          <w:b/>
          <w:u w:val="single"/>
        </w:rPr>
        <w:t>Performance énergétique (isolation thermique &amp; contrôle solaire).</w:t>
      </w:r>
    </w:p>
    <w:p w14:paraId="59C876AE" w14:textId="77777777" w:rsidR="00772179" w:rsidRDefault="00000000">
      <w:pPr>
        <w:jc w:val="both"/>
      </w:pPr>
      <w:r>
        <w:t>Par défaut, sans spécification dans le cahier spécial des charges, les performances énergétiques sont au moins conformes aux réglementations régionales. Les valeurs Uw des fenêtres et portes-</w:t>
      </w:r>
      <w:r>
        <w:lastRenderedPageBreak/>
        <w:t xml:space="preserve">fenêtres sont communiquées à l'auteur de projet et, le cas échéant, au responsable PEB.  A défaut, le détail (valeur Up des panneaux, valeur Ug des vitrages et valeur Uf des montants, ainsi que les matériaux et épaisseurs) est communiqué à l'auteur de projet et, le cas échéant, au responsable PEB. En ce qui concerne le contrôle solaire (facteur solaire et transmission lumineuse), il est fait référence au descriptif du  </w:t>
      </w:r>
      <w:hyperlink w:anchor="852" w:history="1">
        <w:r>
          <w:rPr>
            <w:color w:val="0000EE"/>
          </w:rPr>
          <w:t>42 Vitrages extérieurs et éléments de remplissage</w:t>
        </w:r>
      </w:hyperlink>
      <w:r>
        <w:t>. </w:t>
      </w:r>
    </w:p>
    <w:p w14:paraId="7A7DE9EB" w14:textId="77777777" w:rsidR="00772179" w:rsidRDefault="00000000">
      <w:pPr>
        <w:jc w:val="both"/>
      </w:pPr>
      <w:r>
        <w:t>Pour les fenêtres de réemploi, les valeurs des Uw sont déterminées sur base de la [NBN EN ISO 10077-1]. Les valeurs des performances sont déterminées en appliquant les hypothèses sécuritaires dans les valeurs présentées dans les annexes de la norme. Celles-ci sont justifiées par note de calcul présentées au maître d’œuvre. Les valeurs Ug du marquage initial de la fenêtre de réemploi ne sont pas utilisées comme telle. La note tient compte de la diminution de la valeur Ug en fonction du temps.</w:t>
      </w:r>
    </w:p>
    <w:p w14:paraId="4B83CE1D" w14:textId="77777777" w:rsidR="00772179" w:rsidRDefault="00000000">
      <w:pPr>
        <w:jc w:val="both"/>
      </w:pPr>
      <w:r>
        <w:rPr>
          <w:b/>
          <w:u w:val="single"/>
        </w:rPr>
        <w:t>Perméabilité à l'air, Etanchéité à l'eau, Résistance au vent, aux chocs,  efforts de manœuvre et abus d’utilisation</w:t>
      </w:r>
    </w:p>
    <w:p w14:paraId="1A86FE30" w14:textId="77777777" w:rsidR="00772179" w:rsidRDefault="00000000">
      <w:pPr>
        <w:jc w:val="both"/>
      </w:pPr>
      <w:r>
        <w:t>Tous les ensembles de portes-fenêtres et fenêtres satisfont aux critères minimums de performance générale en matière de perméabilité à l'air, d'étanchéité à l'eau, de résistance mécanique, d’efforts de manœuvre et de résistance aux actions du vent, tels qu'ils figurent dans les tableaux 6, 7 et 8 du §5.2 et §5.2.2.10.2 de la [NBN B 25-002-1] : Menuiserie extérieure - Partie 1 – Généralités et de la [NBN B 25-002-1]. Par défaut, sans spécification dans le cahier spécial des charges, les performances d’étanchéité à l’air et à l’eau ainsi que la résistance au vent, aux chocs et les efforts de manœuvres et résistance aux abus d’utilisation respectent celles définies dans [NBN B 25-002-1].</w:t>
      </w:r>
    </w:p>
    <w:p w14:paraId="47D22E23" w14:textId="77777777" w:rsidR="00772179" w:rsidRDefault="00000000">
      <w:pPr>
        <w:jc w:val="both"/>
      </w:pPr>
      <w:r>
        <w:rPr>
          <w:b/>
          <w:u w:val="single"/>
        </w:rPr>
        <w:t>Performances acoustiques  </w:t>
      </w:r>
    </w:p>
    <w:p w14:paraId="6540BF1E" w14:textId="77777777" w:rsidR="00772179" w:rsidRDefault="00000000">
      <w:pPr>
        <w:jc w:val="both"/>
      </w:pPr>
      <w:r>
        <w:t>La norme [NBN S 01-400-1] prévoit 2 qualités de confort acoustique, à savoir un « confort acoustique normal » et un « confort acoustique supérieur ». Toutes les exigences sont données pour le bâtiment parachevé.   </w:t>
      </w:r>
    </w:p>
    <w:tbl>
      <w:tblPr>
        <w:tblStyle w:val="Author-eTableGrid"/>
        <w:tblW w:w="9060" w:type="dxa"/>
        <w:tblLayout w:type="fixed"/>
        <w:tblLook w:val="04A0" w:firstRow="1" w:lastRow="0" w:firstColumn="1" w:lastColumn="0" w:noHBand="0" w:noVBand="1"/>
      </w:tblPr>
      <w:tblGrid>
        <w:gridCol w:w="1987"/>
        <w:gridCol w:w="1550"/>
        <w:gridCol w:w="3973"/>
        <w:gridCol w:w="1550"/>
      </w:tblGrid>
      <w:tr w:rsidR="00772179" w14:paraId="508C09A1" w14:textId="77777777">
        <w:tc>
          <w:tcPr>
            <w:tcW w:w="1980" w:type="dxa"/>
            <w:noWrap/>
          </w:tcPr>
          <w:p w14:paraId="7FF0C9E5" w14:textId="77777777" w:rsidR="00772179" w:rsidRDefault="00772179"/>
        </w:tc>
        <w:tc>
          <w:tcPr>
            <w:tcW w:w="1545" w:type="dxa"/>
            <w:noWrap/>
          </w:tcPr>
          <w:p w14:paraId="537E5AE3" w14:textId="77777777" w:rsidR="00772179" w:rsidRDefault="00000000">
            <w:pPr>
              <w:jc w:val="center"/>
            </w:pPr>
            <w:r>
              <w:rPr>
                <w:b/>
              </w:rPr>
              <w:t>Symbole</w:t>
            </w:r>
          </w:p>
        </w:tc>
        <w:tc>
          <w:tcPr>
            <w:tcW w:w="3960" w:type="dxa"/>
            <w:noWrap/>
          </w:tcPr>
          <w:p w14:paraId="3171AAAE" w14:textId="77777777" w:rsidR="00772179" w:rsidRDefault="00000000">
            <w:pPr>
              <w:jc w:val="center"/>
            </w:pPr>
            <w:r>
              <w:rPr>
                <w:b/>
              </w:rPr>
              <w:t>Signification</w:t>
            </w:r>
          </w:p>
        </w:tc>
        <w:tc>
          <w:tcPr>
            <w:tcW w:w="1545" w:type="dxa"/>
            <w:noWrap/>
          </w:tcPr>
          <w:p w14:paraId="70ADA47C" w14:textId="77777777" w:rsidR="00772179" w:rsidRDefault="00000000">
            <w:pPr>
              <w:jc w:val="center"/>
            </w:pPr>
            <w:r>
              <w:rPr>
                <w:b/>
              </w:rPr>
              <w:t>Autre représentation</w:t>
            </w:r>
          </w:p>
        </w:tc>
      </w:tr>
      <w:tr w:rsidR="00772179" w14:paraId="54F7B21B" w14:textId="77777777">
        <w:tc>
          <w:tcPr>
            <w:tcW w:w="1980" w:type="dxa"/>
            <w:noWrap/>
          </w:tcPr>
          <w:p w14:paraId="275A4493" w14:textId="77777777" w:rsidR="00772179" w:rsidRDefault="00000000">
            <w:r>
              <w:t>BRUITS EXTERIEURS</w:t>
            </w:r>
          </w:p>
        </w:tc>
        <w:tc>
          <w:tcPr>
            <w:tcW w:w="1545" w:type="dxa"/>
            <w:noWrap/>
          </w:tcPr>
          <w:p w14:paraId="4D058222" w14:textId="77777777" w:rsidR="00772179" w:rsidRDefault="00000000">
            <w:r>
              <w:t>L</w:t>
            </w:r>
            <w:r>
              <w:rPr>
                <w:vertAlign w:val="subscript"/>
              </w:rPr>
              <w:t>Aref</w:t>
            </w:r>
            <w:r>
              <w:t> et L</w:t>
            </w:r>
            <w:r>
              <w:rPr>
                <w:vertAlign w:val="subscript"/>
              </w:rPr>
              <w:t>A</w:t>
            </w:r>
            <w:r>
              <w:t> [dB]</w:t>
            </w:r>
          </w:p>
        </w:tc>
        <w:tc>
          <w:tcPr>
            <w:tcW w:w="3960" w:type="dxa"/>
            <w:noWrap/>
          </w:tcPr>
          <w:p w14:paraId="675E3E2C" w14:textId="77777777" w:rsidR="00772179" w:rsidRDefault="00000000">
            <w:r>
              <w:t>LAref est déterminé à partir de mesures du niveau de pression acoustique effectuées à l’extérieur en un point de référence situé à 2 m de hauteur au-dessus du niveau du sol et à 2 m de distance perpendiculairement au milieu de la façade la plus exposée au bruit du bâtiment dans lequel se trouve le local à protéger. LA est la grandeur pondérée A calculée à partir de la grandeur LAref suivant la méthode décrite dans l’annexe normative B de la [NBN S 01-400-1] pour chaque pan de façade du local à protéger. Les exigences pour l’isolation d’un pan de façade sont déduites de cette grandeur.</w:t>
            </w:r>
          </w:p>
        </w:tc>
        <w:tc>
          <w:tcPr>
            <w:tcW w:w="1545" w:type="dxa"/>
            <w:noWrap/>
          </w:tcPr>
          <w:p w14:paraId="25840670" w14:textId="77777777" w:rsidR="00772179" w:rsidRDefault="00000000">
            <w:r>
              <w:t>/</w:t>
            </w:r>
          </w:p>
        </w:tc>
      </w:tr>
      <w:tr w:rsidR="00772179" w14:paraId="347F09F9" w14:textId="77777777">
        <w:tc>
          <w:tcPr>
            <w:tcW w:w="1980" w:type="dxa"/>
            <w:noWrap/>
          </w:tcPr>
          <w:p w14:paraId="3D789139" w14:textId="77777777" w:rsidR="00772179" w:rsidRDefault="00000000">
            <w:r>
              <w:t>PAN DE FACADE</w:t>
            </w:r>
          </w:p>
        </w:tc>
        <w:tc>
          <w:tcPr>
            <w:tcW w:w="1545" w:type="dxa"/>
            <w:noWrap/>
          </w:tcPr>
          <w:p w14:paraId="55680242" w14:textId="77777777" w:rsidR="00772179" w:rsidRDefault="00000000">
            <w:r>
              <w:t>D</w:t>
            </w:r>
            <w:r>
              <w:rPr>
                <w:vertAlign w:val="subscript"/>
              </w:rPr>
              <w:t>Atr</w:t>
            </w:r>
            <w:r>
              <w:t> [dB]</w:t>
            </w:r>
          </w:p>
        </w:tc>
        <w:tc>
          <w:tcPr>
            <w:tcW w:w="3960" w:type="dxa"/>
            <w:noWrap/>
          </w:tcPr>
          <w:p w14:paraId="122B93EB" w14:textId="77777777" w:rsidR="00772179" w:rsidRDefault="00000000">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1545" w:type="dxa"/>
            <w:noWrap/>
          </w:tcPr>
          <w:p w14:paraId="2CD64E1A" w14:textId="77777777" w:rsidR="00772179" w:rsidRDefault="00000000">
            <w:r>
              <w:t>D</w:t>
            </w:r>
            <w:r>
              <w:rPr>
                <w:vertAlign w:val="subscript"/>
              </w:rPr>
              <w:t>2m,nT,w</w:t>
            </w:r>
            <w:r>
              <w:t> (C;C</w:t>
            </w:r>
            <w:r>
              <w:rPr>
                <w:vertAlign w:val="subscript"/>
              </w:rPr>
              <w:t>tr</w:t>
            </w:r>
            <w:r>
              <w:t>) avec D</w:t>
            </w:r>
            <w:r>
              <w:rPr>
                <w:vertAlign w:val="subscript"/>
              </w:rPr>
              <w:t>Atr</w:t>
            </w:r>
            <w:r>
              <w:t>=D</w:t>
            </w:r>
            <w:r>
              <w:rPr>
                <w:vertAlign w:val="subscript"/>
              </w:rPr>
              <w:t>2m,nT,w</w:t>
            </w:r>
            <w:r>
              <w:t>+ C</w:t>
            </w:r>
            <w:r>
              <w:rPr>
                <w:vertAlign w:val="subscript"/>
              </w:rPr>
              <w:t>tr</w:t>
            </w:r>
          </w:p>
        </w:tc>
      </w:tr>
      <w:tr w:rsidR="00772179" w14:paraId="16F0CEB8" w14:textId="77777777">
        <w:tc>
          <w:tcPr>
            <w:tcW w:w="1980" w:type="dxa"/>
            <w:vMerge w:val="restart"/>
            <w:noWrap/>
          </w:tcPr>
          <w:p w14:paraId="08AE56B9" w14:textId="77777777" w:rsidR="00772179" w:rsidRDefault="00000000">
            <w:r>
              <w:t>ELEMENTS DE CONSTRUCTION</w:t>
            </w:r>
          </w:p>
        </w:tc>
        <w:tc>
          <w:tcPr>
            <w:tcW w:w="1545" w:type="dxa"/>
            <w:noWrap/>
          </w:tcPr>
          <w:p w14:paraId="2341B2B4" w14:textId="77777777" w:rsidR="00772179" w:rsidRDefault="00000000">
            <w:r>
              <w:t>R</w:t>
            </w:r>
            <w:r>
              <w:rPr>
                <w:vertAlign w:val="subscript"/>
              </w:rPr>
              <w:t>Atr</w:t>
            </w:r>
            <w:r>
              <w:t> [dB]</w:t>
            </w:r>
          </w:p>
        </w:tc>
        <w:tc>
          <w:tcPr>
            <w:tcW w:w="3960" w:type="dxa"/>
            <w:noWrap/>
          </w:tcPr>
          <w:p w14:paraId="2A715F69" w14:textId="77777777" w:rsidR="00772179" w:rsidRDefault="00000000">
            <w:r>
              <w:t>Grandeur mesurée en laboratoire qui exprime l’affaiblissement acoustique au bruit de trafic par un élément de construction normal (verre, fenêtres, parois, …). Elle n’est pas d’application pour les grilles de ventilation.</w:t>
            </w:r>
          </w:p>
        </w:tc>
        <w:tc>
          <w:tcPr>
            <w:tcW w:w="1545" w:type="dxa"/>
            <w:noWrap/>
          </w:tcPr>
          <w:p w14:paraId="5A660593" w14:textId="77777777" w:rsidR="00772179" w:rsidRDefault="00000000">
            <w:r>
              <w:t>R</w:t>
            </w:r>
            <w:r>
              <w:rPr>
                <w:vertAlign w:val="subscript"/>
              </w:rPr>
              <w:t>w</w:t>
            </w:r>
            <w:r>
              <w:t>(C;C</w:t>
            </w:r>
            <w:r>
              <w:rPr>
                <w:vertAlign w:val="subscript"/>
              </w:rPr>
              <w:t>tr</w:t>
            </w:r>
            <w:r>
              <w:t>) avec R</w:t>
            </w:r>
            <w:r>
              <w:rPr>
                <w:vertAlign w:val="subscript"/>
              </w:rPr>
              <w:t>Atr</w:t>
            </w:r>
            <w:r>
              <w:t>=R</w:t>
            </w:r>
            <w:r>
              <w:rPr>
                <w:vertAlign w:val="subscript"/>
              </w:rPr>
              <w:t>w</w:t>
            </w:r>
            <w:r>
              <w:t>+C</w:t>
            </w:r>
            <w:r>
              <w:rPr>
                <w:vertAlign w:val="subscript"/>
              </w:rPr>
              <w:t>tr</w:t>
            </w:r>
          </w:p>
        </w:tc>
      </w:tr>
      <w:tr w:rsidR="00772179" w14:paraId="3905D0DA" w14:textId="77777777">
        <w:tc>
          <w:tcPr>
            <w:tcW w:w="1980" w:type="dxa"/>
            <w:vMerge/>
            <w:noWrap/>
          </w:tcPr>
          <w:p w14:paraId="2F37150E" w14:textId="77777777" w:rsidR="00772179" w:rsidRDefault="00772179"/>
        </w:tc>
        <w:tc>
          <w:tcPr>
            <w:tcW w:w="1545" w:type="dxa"/>
            <w:noWrap/>
          </w:tcPr>
          <w:p w14:paraId="6F2F7401" w14:textId="77777777" w:rsidR="00772179" w:rsidRDefault="00000000">
            <w:r>
              <w:t>D</w:t>
            </w:r>
            <w:r>
              <w:rPr>
                <w:vertAlign w:val="subscript"/>
              </w:rPr>
              <w:t>n,e,Atr</w:t>
            </w:r>
            <w:r>
              <w:t> [dB]</w:t>
            </w:r>
          </w:p>
        </w:tc>
        <w:tc>
          <w:tcPr>
            <w:tcW w:w="3960" w:type="dxa"/>
            <w:noWrap/>
          </w:tcPr>
          <w:p w14:paraId="0A8233DE" w14:textId="77777777" w:rsidR="00772179" w:rsidRDefault="00000000">
            <w:r>
              <w:t xml:space="preserve">Pour des raisons de mesures, cette </w:t>
            </w:r>
            <w:r>
              <w:lastRenderedPageBreak/>
              <w:t>grandeur spéciale, mesurée en laboratoire, est utilisée pour exprimer l’affaiblissement acoustique au bruit de trafic de la grille de ventilation.</w:t>
            </w:r>
          </w:p>
        </w:tc>
        <w:tc>
          <w:tcPr>
            <w:tcW w:w="1545" w:type="dxa"/>
            <w:noWrap/>
          </w:tcPr>
          <w:p w14:paraId="400C7589" w14:textId="77777777" w:rsidR="00772179" w:rsidRDefault="00000000">
            <w:r>
              <w:lastRenderedPageBreak/>
              <w:t>D</w:t>
            </w:r>
            <w:r>
              <w:rPr>
                <w:vertAlign w:val="subscript"/>
              </w:rPr>
              <w:t>n,e,w</w:t>
            </w:r>
            <w:r>
              <w:t>(C;C</w:t>
            </w:r>
            <w:r>
              <w:rPr>
                <w:vertAlign w:val="subscript"/>
              </w:rPr>
              <w:t>tr</w:t>
            </w:r>
            <w:r>
              <w:t xml:space="preserve">) </w:t>
            </w:r>
            <w:r>
              <w:lastRenderedPageBreak/>
              <w:t>avec D</w:t>
            </w:r>
            <w:r>
              <w:rPr>
                <w:vertAlign w:val="subscript"/>
              </w:rPr>
              <w:t>n,e,Atr</w:t>
            </w:r>
            <w:r>
              <w:t>=D</w:t>
            </w:r>
            <w:r>
              <w:rPr>
                <w:vertAlign w:val="subscript"/>
              </w:rPr>
              <w:t>n,e,w</w:t>
            </w:r>
            <w:r>
              <w:t>+C</w:t>
            </w:r>
            <w:r>
              <w:rPr>
                <w:vertAlign w:val="subscript"/>
              </w:rPr>
              <w:t>tr</w:t>
            </w:r>
          </w:p>
        </w:tc>
      </w:tr>
    </w:tbl>
    <w:p w14:paraId="2F2A0AFF" w14:textId="77777777" w:rsidR="00772179" w:rsidRDefault="00000000">
      <w:pPr>
        <w:jc w:val="both"/>
      </w:pPr>
      <w:r>
        <w:lastRenderedPageBreak/>
        <w:t>Remarque :1)     L'isolation acoustique aux bruits aériens d'un élément s'exprime au moyen d'un indicateur à valeur unique dont le calcul a été uniformisé dans la norme [NBN EN ISO 717-1]. L'isolation acoustique aux bruits aériens d'un élément s'exprime au moyen d’un spectre d’isolation ou par un indicateur à valeur unique suivi de deux termes : X</w:t>
      </w:r>
      <w:r>
        <w:rPr>
          <w:vertAlign w:val="subscript"/>
        </w:rPr>
        <w:t>w</w:t>
      </w:r>
      <w:r>
        <w:t> (C; C</w:t>
      </w:r>
      <w:r>
        <w:rPr>
          <w:vertAlign w:val="subscript"/>
        </w:rPr>
        <w:t>tr</w:t>
      </w:r>
      <w:r>
        <w:t>) et X</w:t>
      </w:r>
      <w:r>
        <w:rPr>
          <w:vertAlign w:val="subscript"/>
        </w:rPr>
        <w:t>Atr</w:t>
      </w:r>
      <w:r>
        <w:t> = X</w:t>
      </w:r>
      <w:r>
        <w:rPr>
          <w:vertAlign w:val="subscript"/>
        </w:rPr>
        <w:t>w</w:t>
      </w:r>
      <w:r>
        <w:t> + C</w:t>
      </w:r>
      <w:r>
        <w:rPr>
          <w:vertAlign w:val="subscript"/>
        </w:rPr>
        <w:t>tr</w:t>
      </w:r>
    </w:p>
    <w:p w14:paraId="7AF49D45" w14:textId="77777777" w:rsidR="00772179" w:rsidRDefault="00000000">
      <w:pPr>
        <w:pStyle w:val="Author-eListParagraph"/>
        <w:numPr>
          <w:ilvl w:val="0"/>
          <w:numId w:val="4"/>
        </w:numPr>
      </w:pPr>
      <w:r>
        <w:t>  X</w:t>
      </w:r>
      <w:r>
        <w:rPr>
          <w:vertAlign w:val="subscript"/>
        </w:rPr>
        <w:t>w</w:t>
      </w:r>
      <w:r>
        <w:t> : représente l’indicateur à valeur unique (les valeurs pondérées) de l’unité X (dB)</w:t>
      </w:r>
    </w:p>
    <w:p w14:paraId="15424898" w14:textId="77777777" w:rsidR="00772179" w:rsidRDefault="00000000">
      <w:r>
        <w:t>Par exemple :</w:t>
      </w:r>
    </w:p>
    <w:p w14:paraId="2AE7B1AF" w14:textId="77777777" w:rsidR="00772179" w:rsidRDefault="00000000">
      <w:pPr>
        <w:pStyle w:val="Author-eListParagraph"/>
        <w:numPr>
          <w:ilvl w:val="0"/>
          <w:numId w:val="5"/>
        </w:numPr>
      </w:pPr>
      <w:r>
        <w:t> X</w:t>
      </w:r>
      <w:r>
        <w:rPr>
          <w:vertAlign w:val="subscript"/>
        </w:rPr>
        <w:t>w</w:t>
      </w:r>
      <w:r>
        <w:t>= R</w:t>
      </w:r>
      <w:r>
        <w:rPr>
          <w:vertAlign w:val="subscript"/>
        </w:rPr>
        <w:t>w</w:t>
      </w:r>
      <w:r>
        <w:t> = l’indice d’affaiblissement acoustique mesuré pour des éléments de construction normaux</w:t>
      </w:r>
    </w:p>
    <w:p w14:paraId="15983E79" w14:textId="77777777" w:rsidR="00772179" w:rsidRDefault="00000000">
      <w:pPr>
        <w:pStyle w:val="Author-eListParagraph"/>
        <w:numPr>
          <w:ilvl w:val="0"/>
          <w:numId w:val="5"/>
        </w:numPr>
      </w:pPr>
      <w:r>
        <w:t>  X</w:t>
      </w:r>
      <w:r>
        <w:rPr>
          <w:vertAlign w:val="subscript"/>
        </w:rPr>
        <w:t>w</w:t>
      </w:r>
      <w:r>
        <w:t>=D</w:t>
      </w:r>
      <w:r>
        <w:rPr>
          <w:vertAlign w:val="subscript"/>
        </w:rPr>
        <w:t>ne,w</w:t>
      </w:r>
      <w:r>
        <w:t> l’isolement acoustique des grilles de ventilation, etc…</w:t>
      </w:r>
    </w:p>
    <w:p w14:paraId="0CA16EC5" w14:textId="77777777" w:rsidR="00772179" w:rsidRDefault="00000000">
      <w:pPr>
        <w:pStyle w:val="Author-eListParagraph"/>
        <w:numPr>
          <w:ilvl w:val="0"/>
          <w:numId w:val="5"/>
        </w:numPr>
      </w:pPr>
      <w:r>
        <w:t>  C est le facteur d'adaptation pour le bruit rose (spectre 1);</w:t>
      </w:r>
    </w:p>
    <w:p w14:paraId="282321A2" w14:textId="77777777" w:rsidR="00772179" w:rsidRDefault="00000000">
      <w:pPr>
        <w:pStyle w:val="Author-eListParagraph"/>
        <w:numPr>
          <w:ilvl w:val="0"/>
          <w:numId w:val="5"/>
        </w:numPr>
      </w:pPr>
      <w:r>
        <w:t>  C</w:t>
      </w:r>
      <w:r>
        <w:rPr>
          <w:vertAlign w:val="subscript"/>
        </w:rPr>
        <w:t>tr</w:t>
      </w:r>
      <w:r>
        <w:t> est le facteur d'adaptation pour le bruit de trafic (spectre 2).</w:t>
      </w:r>
    </w:p>
    <w:p w14:paraId="66CE01D1" w14:textId="77777777" w:rsidR="00772179" w:rsidRDefault="00000000">
      <w:pPr>
        <w:jc w:val="both"/>
      </w:pPr>
      <w:r>
        <w:t>Les deux termes d'adaptation ont été définis de manière à tenir compte du type de bruit dont il faut s'isoler : le spectre 2 menant au calcul du facteur d’adaptation C</w:t>
      </w:r>
      <w:r>
        <w:rPr>
          <w:vertAlign w:val="subscript"/>
        </w:rPr>
        <w:t>tr</w:t>
      </w:r>
      <w:r>
        <w:t> donne une indication de l’isolation du bruit de basse fréquence. La norme belge ne se base que sur les valeurs uniques auxquelles on a ajouté le terme d’adaptation C</w:t>
      </w:r>
      <w:r>
        <w:rPr>
          <w:vertAlign w:val="subscript"/>
        </w:rPr>
        <w:t>tr</w:t>
      </w:r>
      <w:r>
        <w:t> correspondant à un trafic urbain type 2).</w:t>
      </w:r>
    </w:p>
    <w:p w14:paraId="08289116" w14:textId="77777777" w:rsidR="00772179" w:rsidRDefault="00000000">
      <w:pPr>
        <w:jc w:val="both"/>
      </w:pPr>
      <w:r>
        <w:t>Les performances d’un élément de construction sont exprimées avec une grandeur (en relation avec le rapport entre l’énergie acoustique transmise et celle incidente) qui n’est pas du tout égale aux prestations in situ d’un pan de façade (en relation avec la différence entre les niveaux de pression de bruit), même lorsque ce pan de façade est entièrement constitué par le même élément. Le tableau 1 "classification des bruits extérieurs" selon la norme [NBN EN ISO 717-1] donne la répartition la plus courante. </w:t>
      </w:r>
    </w:p>
    <w:p w14:paraId="1752AA86" w14:textId="77777777" w:rsidR="00772179" w:rsidRDefault="00000000">
      <w:pPr>
        <w:jc w:val="both"/>
      </w:pPr>
      <w:r>
        <w:t>L’isolation acoustique d’une façade est conditionnée par le niveau du bruit auquel cette dernière est soumise. Cette isolation est fonction du niveau de fréquence. Elle est calculée dans plusieurs circonstances :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conviendra parfois de corriger par des mesures spécifiques. Chacune de ces méthodes de mesure est répertoriée de manière propre (voir tableaux 2 et 3) mais la transformation de la valeur obtenue en valeur globale, celle qui est indiquée par un seul nombre, se déroule de la même façon que pour l’isolation phonique. La procédure est décrite en [NBN EN ISO 717-1] : 1997. Prenons comme exemple la façon de déterminer la qualité acoustique d’un vitrage. Résultat à atteindre : une valeur qui s’exprime par la formule suivante : R</w:t>
      </w:r>
      <w:r>
        <w:rPr>
          <w:vertAlign w:val="subscript"/>
        </w:rPr>
        <w:t>w</w:t>
      </w:r>
      <w:r>
        <w:t>(C;C</w:t>
      </w:r>
      <w:r>
        <w:rPr>
          <w:vertAlign w:val="subscript"/>
        </w:rPr>
        <w:t>tr</w:t>
      </w:r>
      <w:r>
        <w:t>) = 30(-1;-5) dB, ce qui signifie que la performance au point de vue de l’isolation acoustique en ce qui concerne le type I s’exprime par : 30-1=29 dB. Pour le type II s'est : 30-5=25 dB.</w:t>
      </w:r>
    </w:p>
    <w:p w14:paraId="59648CA0" w14:textId="77777777" w:rsidR="00772179" w:rsidRDefault="00000000">
      <w:pPr>
        <w:jc w:val="both"/>
      </w:pPr>
      <w:r>
        <w:rPr>
          <w:b/>
          <w:u w:val="single"/>
        </w:rPr>
        <w:t>Résistance à l’effraction</w:t>
      </w:r>
    </w:p>
    <w:p w14:paraId="0173CDF1" w14:textId="77777777" w:rsidR="00772179" w:rsidRDefault="00000000">
      <w:pPr>
        <w:jc w:val="both"/>
      </w:pPr>
      <w:r>
        <w:t>Le choix de la classe de résistance à l'effraction est établi en tenant compte de ce qui suit :</w:t>
      </w:r>
    </w:p>
    <w:p w14:paraId="52B034AC" w14:textId="77777777" w:rsidR="00772179" w:rsidRDefault="00000000">
      <w:pPr>
        <w:pStyle w:val="Author-eListParagraph"/>
        <w:numPr>
          <w:ilvl w:val="0"/>
          <w:numId w:val="6"/>
        </w:numPr>
      </w:pPr>
      <w:r>
        <w:t>L'évaluation des besoins en matière de protection contre l'effraction résulte d'une analyse tenant compte des facteurs objectifs ou subjectifs suivants:</w:t>
      </w:r>
    </w:p>
    <w:p w14:paraId="4CE18513" w14:textId="77777777" w:rsidR="00772179" w:rsidRDefault="00000000">
      <w:pPr>
        <w:pStyle w:val="Author-eListParagraph"/>
        <w:numPr>
          <w:ilvl w:val="0"/>
          <w:numId w:val="7"/>
        </w:numPr>
      </w:pPr>
      <w:r>
        <w:t>la situation géographique de la construction,</w:t>
      </w:r>
    </w:p>
    <w:p w14:paraId="02BB0000" w14:textId="77777777" w:rsidR="00772179" w:rsidRDefault="00000000">
      <w:pPr>
        <w:pStyle w:val="Author-eListParagraph"/>
        <w:numPr>
          <w:ilvl w:val="0"/>
          <w:numId w:val="7"/>
        </w:numPr>
      </w:pPr>
      <w:r>
        <w:t>son intégration urbaine,</w:t>
      </w:r>
    </w:p>
    <w:p w14:paraId="5AFBA829" w14:textId="77777777" w:rsidR="00772179" w:rsidRDefault="00000000">
      <w:pPr>
        <w:pStyle w:val="Author-eListParagraph"/>
        <w:numPr>
          <w:ilvl w:val="0"/>
          <w:numId w:val="7"/>
        </w:numPr>
      </w:pPr>
      <w:r>
        <w:t>son accessibilité aisée ou non,</w:t>
      </w:r>
    </w:p>
    <w:p w14:paraId="036F1487" w14:textId="77777777" w:rsidR="00772179" w:rsidRDefault="00000000">
      <w:pPr>
        <w:pStyle w:val="Author-eListParagraph"/>
        <w:numPr>
          <w:ilvl w:val="0"/>
          <w:numId w:val="7"/>
        </w:numPr>
      </w:pPr>
      <w:r>
        <w:t>la présence de système de protection complémentaire,</w:t>
      </w:r>
    </w:p>
    <w:p w14:paraId="57732B2D" w14:textId="77777777" w:rsidR="00772179" w:rsidRDefault="00000000">
      <w:pPr>
        <w:pStyle w:val="Author-eListParagraph"/>
        <w:numPr>
          <w:ilvl w:val="0"/>
          <w:numId w:val="7"/>
        </w:numPr>
      </w:pPr>
      <w:r>
        <w:t>la valeur, la taille, le nombre, l'encombrement, le poids des biens à protéger,</w:t>
      </w:r>
    </w:p>
    <w:p w14:paraId="784C36A9" w14:textId="77777777" w:rsidR="00772179" w:rsidRDefault="00000000">
      <w:pPr>
        <w:pStyle w:val="Author-eListParagraph"/>
        <w:numPr>
          <w:ilvl w:val="0"/>
          <w:numId w:val="7"/>
        </w:numPr>
      </w:pPr>
      <w:r>
        <w:t>la fonction du bâtiment,</w:t>
      </w:r>
    </w:p>
    <w:p w14:paraId="1ED9DF04" w14:textId="77777777" w:rsidR="00772179" w:rsidRDefault="00000000">
      <w:pPr>
        <w:pStyle w:val="Author-eListParagraph"/>
        <w:numPr>
          <w:ilvl w:val="0"/>
          <w:numId w:val="7"/>
        </w:numPr>
      </w:pPr>
      <w:r>
        <w:t>tous autres facteurs spécifiques, psychologiques et humains.</w:t>
      </w:r>
    </w:p>
    <w:p w14:paraId="274D6C67" w14:textId="77777777" w:rsidR="00772179" w:rsidRDefault="00000000">
      <w:pPr>
        <w:pStyle w:val="Author-eListParagraph"/>
        <w:numPr>
          <w:ilvl w:val="0"/>
          <w:numId w:val="8"/>
        </w:numPr>
        <w:jc w:val="both"/>
      </w:pPr>
      <w:r>
        <w:t>L'interprétation des classes de la [NBN EN 1627] :</w:t>
      </w:r>
    </w:p>
    <w:p w14:paraId="60447DFD" w14:textId="77777777" w:rsidR="00772179" w:rsidRDefault="00000000">
      <w:pPr>
        <w:jc w:val="both"/>
      </w:pPr>
      <w:r>
        <w:lastRenderedPageBreak/>
        <w:t>Tableau - Classes et types d'attaque correspondants</w:t>
      </w:r>
    </w:p>
    <w:tbl>
      <w:tblPr>
        <w:tblStyle w:val="Author-eTableGrid"/>
        <w:tblW w:w="9060" w:type="dxa"/>
        <w:tblLayout w:type="fixed"/>
        <w:tblLook w:val="04A0" w:firstRow="1" w:lastRow="0" w:firstColumn="1" w:lastColumn="0" w:noHBand="0" w:noVBand="1"/>
      </w:tblPr>
      <w:tblGrid>
        <w:gridCol w:w="2558"/>
        <w:gridCol w:w="6502"/>
      </w:tblGrid>
      <w:tr w:rsidR="00772179" w14:paraId="6D1B0238" w14:textId="77777777">
        <w:tc>
          <w:tcPr>
            <w:tcW w:w="2550" w:type="dxa"/>
            <w:noWrap/>
          </w:tcPr>
          <w:p w14:paraId="3EA23332" w14:textId="77777777" w:rsidR="00772179" w:rsidRDefault="00000000">
            <w:pPr>
              <w:jc w:val="center"/>
            </w:pPr>
            <w:r>
              <w:rPr>
                <w:b/>
              </w:rPr>
              <w:t>Classes [NBN EN 1627]</w:t>
            </w:r>
          </w:p>
        </w:tc>
        <w:tc>
          <w:tcPr>
            <w:tcW w:w="6480" w:type="dxa"/>
            <w:noWrap/>
          </w:tcPr>
          <w:p w14:paraId="6F92C84C" w14:textId="77777777" w:rsidR="00772179" w:rsidRDefault="00000000">
            <w:pPr>
              <w:jc w:val="center"/>
            </w:pPr>
            <w:r>
              <w:rPr>
                <w:b/>
              </w:rPr>
              <w:t>Types d'attaque</w:t>
            </w:r>
          </w:p>
        </w:tc>
      </w:tr>
      <w:tr w:rsidR="00772179" w14:paraId="5D802678" w14:textId="77777777">
        <w:tc>
          <w:tcPr>
            <w:tcW w:w="2550" w:type="dxa"/>
            <w:noWrap/>
          </w:tcPr>
          <w:p w14:paraId="40310CDD" w14:textId="77777777" w:rsidR="00772179" w:rsidRDefault="00000000">
            <w:pPr>
              <w:jc w:val="center"/>
            </w:pPr>
            <w:r>
              <w:t>1</w:t>
            </w:r>
          </w:p>
        </w:tc>
        <w:tc>
          <w:tcPr>
            <w:tcW w:w="6480" w:type="dxa"/>
            <w:noWrap/>
          </w:tcPr>
          <w:p w14:paraId="34C75121" w14:textId="77777777" w:rsidR="00772179" w:rsidRDefault="00000000">
            <w:pPr>
              <w:jc w:val="both"/>
            </w:pPr>
            <w:r>
              <w:t>Un cambrioleur occasionnel essaie d'ouvrir la fenêtre, la porte ou la fermeture en utilisant la violence physique, par exemple coup de pied, coup d'épaule, soulèvement, arrachement.</w:t>
            </w:r>
          </w:p>
        </w:tc>
      </w:tr>
      <w:tr w:rsidR="00772179" w14:paraId="74C7360F" w14:textId="77777777">
        <w:tc>
          <w:tcPr>
            <w:tcW w:w="2550" w:type="dxa"/>
            <w:noWrap/>
          </w:tcPr>
          <w:p w14:paraId="1850AE60" w14:textId="77777777" w:rsidR="00772179" w:rsidRDefault="00000000">
            <w:pPr>
              <w:jc w:val="center"/>
            </w:pPr>
            <w:r>
              <w:t>2</w:t>
            </w:r>
          </w:p>
        </w:tc>
        <w:tc>
          <w:tcPr>
            <w:tcW w:w="6480" w:type="dxa"/>
            <w:noWrap/>
          </w:tcPr>
          <w:p w14:paraId="6A3E581D" w14:textId="77777777" w:rsidR="00772179" w:rsidRDefault="00000000">
            <w:r>
              <w:t>Le cambrioleur occasionnel essaie en plus d'ouvrir la fenêtre, la porte ou la fermeture en utilisant des outils simples, par exemple tournevis, pince, coins.</w:t>
            </w:r>
          </w:p>
        </w:tc>
      </w:tr>
      <w:tr w:rsidR="00772179" w14:paraId="26D2AEDA" w14:textId="77777777">
        <w:tc>
          <w:tcPr>
            <w:tcW w:w="2550" w:type="dxa"/>
            <w:noWrap/>
          </w:tcPr>
          <w:p w14:paraId="1971E260" w14:textId="77777777" w:rsidR="00772179" w:rsidRDefault="00000000">
            <w:pPr>
              <w:jc w:val="center"/>
            </w:pPr>
            <w:r>
              <w:t>3</w:t>
            </w:r>
          </w:p>
        </w:tc>
        <w:tc>
          <w:tcPr>
            <w:tcW w:w="6480" w:type="dxa"/>
            <w:noWrap/>
          </w:tcPr>
          <w:p w14:paraId="41063958" w14:textId="77777777" w:rsidR="00772179" w:rsidRDefault="00000000">
            <w:r>
              <w:t>Le cambrioleur essaie d'entrer en utilisant 2 tournevis, ou plus, et un pied de biche.</w:t>
            </w:r>
          </w:p>
        </w:tc>
      </w:tr>
      <w:tr w:rsidR="00772179" w14:paraId="777AF273" w14:textId="77777777">
        <w:tc>
          <w:tcPr>
            <w:tcW w:w="2550" w:type="dxa"/>
            <w:noWrap/>
          </w:tcPr>
          <w:p w14:paraId="7B8A986A" w14:textId="77777777" w:rsidR="00772179" w:rsidRDefault="00000000">
            <w:pPr>
              <w:jc w:val="center"/>
            </w:pPr>
            <w:r>
              <w:t>4</w:t>
            </w:r>
          </w:p>
        </w:tc>
        <w:tc>
          <w:tcPr>
            <w:tcW w:w="6480" w:type="dxa"/>
            <w:noWrap/>
          </w:tcPr>
          <w:p w14:paraId="0F0615B1" w14:textId="77777777" w:rsidR="00772179" w:rsidRDefault="00000000">
            <w:r>
              <w:t>Le cambrioleur expérimenté utilise en plus des outils tels que scie, marteau, hache, ciseau, burin, perceuse électrique portative à batterie.</w:t>
            </w:r>
          </w:p>
        </w:tc>
      </w:tr>
      <w:tr w:rsidR="00772179" w14:paraId="5EBCB94D" w14:textId="77777777">
        <w:tc>
          <w:tcPr>
            <w:tcW w:w="2550" w:type="dxa"/>
            <w:noWrap/>
          </w:tcPr>
          <w:p w14:paraId="42B42D19" w14:textId="77777777" w:rsidR="00772179" w:rsidRDefault="00000000">
            <w:pPr>
              <w:jc w:val="center"/>
            </w:pPr>
            <w:r>
              <w:t>5</w:t>
            </w:r>
          </w:p>
        </w:tc>
        <w:tc>
          <w:tcPr>
            <w:tcW w:w="6480" w:type="dxa"/>
            <w:noWrap/>
          </w:tcPr>
          <w:p w14:paraId="1532F3B9" w14:textId="77777777" w:rsidR="00772179" w:rsidRDefault="00000000">
            <w:r>
              <w:t>Le cambrioleur expérimenté utilise en plus des outils électriques, par exemple perceuse, scie sauteuse et sabre, meuleuse d'angle avec disque de Ø ≤ 125 mm.</w:t>
            </w:r>
          </w:p>
        </w:tc>
      </w:tr>
      <w:tr w:rsidR="00772179" w14:paraId="60D5F539" w14:textId="77777777">
        <w:tc>
          <w:tcPr>
            <w:tcW w:w="2550" w:type="dxa"/>
            <w:noWrap/>
          </w:tcPr>
          <w:p w14:paraId="091DA88D" w14:textId="77777777" w:rsidR="00772179" w:rsidRDefault="00000000">
            <w:pPr>
              <w:jc w:val="center"/>
            </w:pPr>
            <w:r>
              <w:t>6</w:t>
            </w:r>
          </w:p>
        </w:tc>
        <w:tc>
          <w:tcPr>
            <w:tcW w:w="6480" w:type="dxa"/>
            <w:noWrap/>
          </w:tcPr>
          <w:p w14:paraId="51D7DA13" w14:textId="77777777" w:rsidR="00772179" w:rsidRDefault="00000000">
            <w:r>
              <w:t>Le cambrioleur expérimenté utilise en plus des outils électriques puissants, par exemple, perceuse, scie sauteuse et sabre, meuleuse d'angle avec disque de Ø ≤ 230 mm.</w:t>
            </w:r>
          </w:p>
        </w:tc>
      </w:tr>
    </w:tbl>
    <w:p w14:paraId="0B2D823F" w14:textId="77777777" w:rsidR="00772179" w:rsidRDefault="00772179"/>
    <w:p w14:paraId="6BEA6BFF" w14:textId="77777777" w:rsidR="00772179" w:rsidRDefault="00772179">
      <w:pPr>
        <w:jc w:val="both"/>
      </w:pPr>
    </w:p>
    <w:p w14:paraId="1B3E0FEC" w14:textId="77777777" w:rsidR="00772179" w:rsidRDefault="00000000">
      <w:pPr>
        <w:jc w:val="both"/>
      </w:pPr>
      <w:r>
        <w:rPr>
          <w:b/>
          <w:u w:val="single"/>
        </w:rPr>
        <w:t>Résistance à l'explosion, Résistance aux balles</w:t>
      </w:r>
    </w:p>
    <w:p w14:paraId="36F594FF" w14:textId="77777777" w:rsidR="00772179" w:rsidRDefault="00000000">
      <w:pPr>
        <w:jc w:val="both"/>
      </w:pPr>
      <w:r>
        <w:t>Le cas échéant, le cahier spécial des charges mentionne la résistance à l'explosion de la menuiserie conformément à une des normes suivantes décrites dans la [NBN B 25-002-1] §5.2.2.6.</w:t>
      </w:r>
    </w:p>
    <w:p w14:paraId="0661C053" w14:textId="77777777" w:rsidR="00772179" w:rsidRDefault="00000000">
      <w:pPr>
        <w:jc w:val="both"/>
      </w:pPr>
      <w:r>
        <w:t>Le cas échéant, le cahier spécial des charges mentionne la résistance aux balles de la menuiserie conformément à une des normes suivantes décrites dans la [NBN B 25-002-1] §5.2.2.7.</w:t>
      </w:r>
    </w:p>
    <w:p w14:paraId="6F1BE0C7" w14:textId="77777777" w:rsidR="00772179" w:rsidRDefault="00000000">
      <w:pPr>
        <w:jc w:val="both"/>
      </w:pPr>
      <w:r>
        <w:rPr>
          <w:b/>
          <w:u w:val="single"/>
        </w:rPr>
        <w:t>Résistance et Réaction au feu</w:t>
      </w:r>
    </w:p>
    <w:p w14:paraId="1B8B2E14" w14:textId="77777777" w:rsidR="00772179" w:rsidRDefault="00000000">
      <w:pPr>
        <w:jc w:val="both"/>
      </w:pPr>
      <w:r>
        <w:t>Les exigences concernant la résistance au feu sont reprises dans l'[AR 1994-07-07]fixant les "Normes de base en matière de prévention contre l'incendie et l'explosion". La performance de résistance au feu d’un élément de construction est attestée ;</w:t>
      </w:r>
    </w:p>
    <w:p w14:paraId="45736B70" w14:textId="77777777" w:rsidR="00772179" w:rsidRDefault="00000000">
      <w:pPr>
        <w:jc w:val="both"/>
      </w:pPr>
      <w:r>
        <w:t>1)     par les informations accompagnant le marquage CE (et donc selon la classification basée sur la norme de classification [NBN EN 13501-2])</w:t>
      </w:r>
    </w:p>
    <w:p w14:paraId="77ED8E09" w14:textId="77777777" w:rsidR="00772179" w:rsidRDefault="00000000">
      <w:pPr>
        <w:jc w:val="both"/>
      </w:pPr>
      <w:r>
        <w:t>2)     à défaut de marquage CE :</w:t>
      </w:r>
    </w:p>
    <w:p w14:paraId="6F6EF41D" w14:textId="77777777" w:rsidR="00772179" w:rsidRDefault="00000000">
      <w:pPr>
        <w:pStyle w:val="Author-eListParagraph"/>
        <w:numPr>
          <w:ilvl w:val="0"/>
          <w:numId w:val="9"/>
        </w:numPr>
        <w:jc w:val="both"/>
      </w:pPr>
      <w:r>
        <w:t>par un rapport de classement établi par un laboratoire ou un organisme de certification notifié basé soit sur un ou des essais selon la norme européenne pertinente (voir [NBN EN 13501-2]), soit sur la norme belge [NBN 713-020] (ou norme d’un autre Etat membre jugée équivalente), soit sur une analyse de résultats d’essais conduisant à un domaine d’application déterminé</w:t>
      </w:r>
    </w:p>
    <w:p w14:paraId="0E97FEB0" w14:textId="77777777" w:rsidR="00772179" w:rsidRDefault="00000000">
      <w:pPr>
        <w:pStyle w:val="Author-eListParagraph"/>
        <w:numPr>
          <w:ilvl w:val="0"/>
          <w:numId w:val="9"/>
        </w:numPr>
        <w:jc w:val="both"/>
      </w:pPr>
      <w:r>
        <w:t>par une note de calcul selon une méthode agréée par le Ministre de l’Intérieur selon les procédure et les conditions qu’il détermine. Se référer à l’[AM 2013-05-17].</w:t>
      </w:r>
    </w:p>
    <w:p w14:paraId="78126D0B" w14:textId="77777777" w:rsidR="00772179" w:rsidRDefault="00000000">
      <w:pPr>
        <w:pStyle w:val="Author-eListParagraph"/>
        <w:numPr>
          <w:ilvl w:val="0"/>
          <w:numId w:val="9"/>
        </w:numPr>
        <w:jc w:val="both"/>
      </w:pPr>
      <w:r>
        <w:t>par les informations accompagnant une évaluation des performances des portes</w:t>
      </w:r>
    </w:p>
    <w:p w14:paraId="75EE274B" w14:textId="77777777" w:rsidR="00772179" w:rsidRDefault="00000000">
      <w:pPr>
        <w:jc w:val="both"/>
      </w:pPr>
      <w:r>
        <w:t>Note : Les exigences et classifications de résistance au feu des fenêtres et portes fenêtres sont conformes à la [NBN EN 12600].</w:t>
      </w:r>
    </w:p>
    <w:p w14:paraId="4C666274" w14:textId="77777777" w:rsidR="00772179" w:rsidRDefault="00000000">
      <w:pPr>
        <w:jc w:val="both"/>
      </w:pPr>
      <w:r>
        <w:rPr>
          <w:b/>
          <w:u w:val="single"/>
        </w:rPr>
        <w:t>Profils </w:t>
      </w:r>
    </w:p>
    <w:p w14:paraId="0EDBDFE0" w14:textId="77777777" w:rsidR="00772179" w:rsidRDefault="00000000">
      <w:pPr>
        <w:jc w:val="both"/>
      </w:pPr>
      <w:r>
        <w:t>Pour des nouvelles menuiseries extérieures, tous les profils d’un même châssis proviennent d'un seul et même fabricant sauf note justificative présentée au maître d’œuvre. Les profilés et détails de mise en œuvre des châssis sont conformes à la documentation technique accompagnant le produit et sont conformes aux fenêtres et portes-fenêtres testées dans le cadre des essais initiaux conformément à la norme [NBN EN 14351-1:2006+A2].</w:t>
      </w:r>
    </w:p>
    <w:p w14:paraId="24283EC9" w14:textId="77777777" w:rsidR="00772179" w:rsidRDefault="00000000">
      <w:pPr>
        <w:jc w:val="both"/>
      </w:pPr>
      <w:r>
        <w:lastRenderedPageBreak/>
        <w:t>Les dimensions des profils sont exprimées en mm.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grilles de ventilations, seuils, tablettes de fenêtre, finitions intérieures, volets éventuels, … tels qu'ils sont prescrits. Sauf indications contraires dans le cahier spécial des charges et/ou les études détaillées, les profils sont conçus de façon telle que :</w:t>
      </w:r>
    </w:p>
    <w:p w14:paraId="36FD7784" w14:textId="77777777" w:rsidR="00772179" w:rsidRDefault="00000000">
      <w:pPr>
        <w:pStyle w:val="Author-eListParagraph"/>
        <w:numPr>
          <w:ilvl w:val="0"/>
          <w:numId w:val="10"/>
        </w:numPr>
        <w:jc w:val="both"/>
      </w:pPr>
      <w:r>
        <w:t>l'évacuation des eaux des traverses horizontales est réalisée à l'aide de rejets d'eau, larmiers, …;</w:t>
      </w:r>
    </w:p>
    <w:p w14:paraId="34DEDC45" w14:textId="77777777" w:rsidR="00772179" w:rsidRDefault="00000000">
      <w:pPr>
        <w:pStyle w:val="Author-eListParagraph"/>
        <w:numPr>
          <w:ilvl w:val="0"/>
          <w:numId w:val="10"/>
        </w:numPr>
        <w:jc w:val="both"/>
      </w:pPr>
      <w:r>
        <w:t>les feuillures sont conformes aux spécifications de la [NIT 221] (ou conformément aux descriptions du fabricant et validée par des essais initiaux), sont ventilées et drainées  l'évacuation se faisant par au moins deux ouvertures de drainage d'un diamètre de 8 mm plus de 6 mm;</w:t>
      </w:r>
    </w:p>
    <w:p w14:paraId="64B50A52" w14:textId="77777777" w:rsidR="00772179" w:rsidRDefault="00000000">
      <w:pPr>
        <w:pStyle w:val="Author-eListParagraph"/>
        <w:numPr>
          <w:ilvl w:val="0"/>
          <w:numId w:val="10"/>
        </w:numPr>
        <w:jc w:val="both"/>
      </w:pPr>
      <w:r>
        <w:t>les chambres de décompression sont munies de drainage minimum défini dans le tableau ci-dessous </w:t>
      </w:r>
    </w:p>
    <w:p w14:paraId="1059E207" w14:textId="77777777" w:rsidR="00772179" w:rsidRDefault="00000000">
      <w:pPr>
        <w:jc w:val="both"/>
      </w:pPr>
      <w:r>
        <w:t>Tableau  Caractéristiques des orifices de drainage dans la traverse inférieure du bâti dormant.</w:t>
      </w:r>
    </w:p>
    <w:tbl>
      <w:tblPr>
        <w:tblStyle w:val="Author-eTableGrid"/>
        <w:tblW w:w="9060" w:type="dxa"/>
        <w:tblLayout w:type="fixed"/>
        <w:tblLook w:val="04A0" w:firstRow="1" w:lastRow="0" w:firstColumn="1" w:lastColumn="0" w:noHBand="0" w:noVBand="1"/>
      </w:tblPr>
      <w:tblGrid>
        <w:gridCol w:w="1135"/>
        <w:gridCol w:w="1982"/>
        <w:gridCol w:w="1981"/>
        <w:gridCol w:w="1981"/>
        <w:gridCol w:w="1981"/>
      </w:tblGrid>
      <w:tr w:rsidR="00772179" w14:paraId="65879F81" w14:textId="77777777">
        <w:tc>
          <w:tcPr>
            <w:tcW w:w="1125" w:type="dxa"/>
            <w:noWrap/>
          </w:tcPr>
          <w:p w14:paraId="6340F225" w14:textId="77777777" w:rsidR="00772179" w:rsidRDefault="00000000">
            <w:pPr>
              <w:jc w:val="center"/>
            </w:pPr>
            <w:r>
              <w:rPr>
                <w:b/>
              </w:rPr>
              <w:t>Surface du vantail</w:t>
            </w:r>
          </w:p>
        </w:tc>
        <w:tc>
          <w:tcPr>
            <w:tcW w:w="1965" w:type="dxa"/>
            <w:noWrap/>
          </w:tcPr>
          <w:p w14:paraId="4D9659D8" w14:textId="77777777" w:rsidR="00772179" w:rsidRDefault="00000000">
            <w:pPr>
              <w:jc w:val="center"/>
            </w:pPr>
            <w:r>
              <w:rPr>
                <w:b/>
              </w:rPr>
              <w:t>Intervalle entre les orifices de drainage</w:t>
            </w:r>
          </w:p>
        </w:tc>
        <w:tc>
          <w:tcPr>
            <w:tcW w:w="1965" w:type="dxa"/>
            <w:noWrap/>
          </w:tcPr>
          <w:p w14:paraId="1C019C98" w14:textId="77777777" w:rsidR="00772179" w:rsidRDefault="00000000">
            <w:pPr>
              <w:jc w:val="center"/>
            </w:pPr>
            <w:r>
              <w:rPr>
                <w:b/>
              </w:rPr>
              <w:t>Distance entre les orifices de drainage et les angles de la fenêtre</w:t>
            </w:r>
          </w:p>
        </w:tc>
        <w:tc>
          <w:tcPr>
            <w:tcW w:w="1965" w:type="dxa"/>
            <w:noWrap/>
          </w:tcPr>
          <w:p w14:paraId="04E146FE" w14:textId="77777777" w:rsidR="00772179" w:rsidRDefault="00000000">
            <w:pPr>
              <w:jc w:val="center"/>
            </w:pPr>
            <w:r>
              <w:rPr>
                <w:b/>
              </w:rPr>
              <w:t>Surface des orifices de drainage (*)</w:t>
            </w:r>
          </w:p>
        </w:tc>
        <w:tc>
          <w:tcPr>
            <w:tcW w:w="1965" w:type="dxa"/>
            <w:noWrap/>
          </w:tcPr>
          <w:p w14:paraId="516D3499" w14:textId="77777777" w:rsidR="00772179" w:rsidRDefault="00000000">
            <w:pPr>
              <w:jc w:val="center"/>
            </w:pPr>
            <w:r>
              <w:rPr>
                <w:b/>
              </w:rPr>
              <w:t>Diamètre minimal des orifices de drainage</w:t>
            </w:r>
          </w:p>
        </w:tc>
      </w:tr>
      <w:tr w:rsidR="00772179" w14:paraId="7E932D3B" w14:textId="77777777">
        <w:tc>
          <w:tcPr>
            <w:tcW w:w="1125" w:type="dxa"/>
            <w:vMerge w:val="restart"/>
            <w:noWrap/>
          </w:tcPr>
          <w:p w14:paraId="1EFF1479" w14:textId="77777777" w:rsidR="00772179" w:rsidRDefault="00000000">
            <w:pPr>
              <w:jc w:val="center"/>
            </w:pPr>
            <w:r>
              <w:t>≤ 0,4 m²</w:t>
            </w:r>
          </w:p>
        </w:tc>
        <w:tc>
          <w:tcPr>
            <w:tcW w:w="1965" w:type="dxa"/>
            <w:vMerge w:val="restart"/>
            <w:noWrap/>
          </w:tcPr>
          <w:p w14:paraId="3AC11C0E" w14:textId="77777777" w:rsidR="00772179" w:rsidRDefault="00000000">
            <w:pPr>
              <w:jc w:val="center"/>
            </w:pPr>
            <w:r>
              <w:t>L'intervalle entre deux orifices successifs ne peut excéder 60 cm.</w:t>
            </w:r>
          </w:p>
        </w:tc>
        <w:tc>
          <w:tcPr>
            <w:tcW w:w="1965" w:type="dxa"/>
            <w:vMerge w:val="restart"/>
            <w:noWrap/>
          </w:tcPr>
          <w:p w14:paraId="1D5E2479" w14:textId="77777777" w:rsidR="00772179" w:rsidRDefault="00000000">
            <w:pPr>
              <w:jc w:val="center"/>
            </w:pPr>
            <w:r>
              <w:t>Les orifices de drainage ne peuvent être disposés à plus de 25 cm et à moins de 4 cm d'un angle.</w:t>
            </w:r>
          </w:p>
        </w:tc>
        <w:tc>
          <w:tcPr>
            <w:tcW w:w="1965" w:type="dxa"/>
            <w:vMerge w:val="restart"/>
            <w:noWrap/>
          </w:tcPr>
          <w:p w14:paraId="3FA9F233" w14:textId="77777777" w:rsidR="00772179" w:rsidRDefault="00000000">
            <w:pPr>
              <w:jc w:val="center"/>
            </w:pPr>
            <w:r>
              <w:t>La surface totale des orifices de drainage doit être supérieure à 100 mm².</w:t>
            </w:r>
          </w:p>
        </w:tc>
        <w:tc>
          <w:tcPr>
            <w:tcW w:w="1965" w:type="dxa"/>
            <w:noWrap/>
          </w:tcPr>
          <w:p w14:paraId="75BD69DD" w14:textId="77777777" w:rsidR="00772179" w:rsidRDefault="00000000">
            <w:pPr>
              <w:jc w:val="center"/>
            </w:pPr>
            <w:r>
              <w:t>Orifice cylindrique : Ø &gt; 6 mm</w:t>
            </w:r>
          </w:p>
        </w:tc>
      </w:tr>
      <w:tr w:rsidR="00772179" w14:paraId="2AA1EEF7" w14:textId="77777777">
        <w:tc>
          <w:tcPr>
            <w:tcW w:w="1125" w:type="dxa"/>
            <w:vMerge/>
            <w:noWrap/>
          </w:tcPr>
          <w:p w14:paraId="6F3B2AA4" w14:textId="77777777" w:rsidR="00772179" w:rsidRDefault="00772179"/>
        </w:tc>
        <w:tc>
          <w:tcPr>
            <w:tcW w:w="1965" w:type="dxa"/>
            <w:vMerge/>
            <w:noWrap/>
          </w:tcPr>
          <w:p w14:paraId="4BDFB94F" w14:textId="77777777" w:rsidR="00772179" w:rsidRDefault="00772179"/>
        </w:tc>
        <w:tc>
          <w:tcPr>
            <w:tcW w:w="1965" w:type="dxa"/>
            <w:vMerge/>
            <w:noWrap/>
          </w:tcPr>
          <w:p w14:paraId="60D4DC8C" w14:textId="77777777" w:rsidR="00772179" w:rsidRDefault="00772179"/>
        </w:tc>
        <w:tc>
          <w:tcPr>
            <w:tcW w:w="1965" w:type="dxa"/>
            <w:vMerge/>
            <w:noWrap/>
          </w:tcPr>
          <w:p w14:paraId="611DC052" w14:textId="77777777" w:rsidR="00772179" w:rsidRDefault="00772179"/>
        </w:tc>
        <w:tc>
          <w:tcPr>
            <w:tcW w:w="1965" w:type="dxa"/>
            <w:noWrap/>
          </w:tcPr>
          <w:p w14:paraId="4D680558" w14:textId="77777777" w:rsidR="00772179" w:rsidRDefault="00000000">
            <w:r>
              <w:t>Canal de drainage : hauteur &gt; 6 mm</w:t>
            </w:r>
          </w:p>
        </w:tc>
      </w:tr>
      <w:tr w:rsidR="00772179" w14:paraId="3C08E9E7" w14:textId="77777777">
        <w:tc>
          <w:tcPr>
            <w:tcW w:w="1125" w:type="dxa"/>
            <w:vMerge w:val="restart"/>
            <w:noWrap/>
          </w:tcPr>
          <w:p w14:paraId="21594616" w14:textId="77777777" w:rsidR="00772179" w:rsidRDefault="00000000">
            <w:r>
              <w:t>&gt; 0,4 m²</w:t>
            </w:r>
          </w:p>
        </w:tc>
        <w:tc>
          <w:tcPr>
            <w:tcW w:w="1965" w:type="dxa"/>
            <w:vMerge/>
            <w:noWrap/>
          </w:tcPr>
          <w:p w14:paraId="78E270FD" w14:textId="77777777" w:rsidR="00772179" w:rsidRDefault="00772179"/>
        </w:tc>
        <w:tc>
          <w:tcPr>
            <w:tcW w:w="1965" w:type="dxa"/>
            <w:vMerge/>
            <w:noWrap/>
          </w:tcPr>
          <w:p w14:paraId="22158030" w14:textId="77777777" w:rsidR="00772179" w:rsidRDefault="00772179"/>
        </w:tc>
        <w:tc>
          <w:tcPr>
            <w:tcW w:w="1965" w:type="dxa"/>
            <w:vMerge w:val="restart"/>
            <w:noWrap/>
          </w:tcPr>
          <w:p w14:paraId="2DE38908" w14:textId="77777777" w:rsidR="00772179" w:rsidRDefault="00000000">
            <w:r>
              <w:t>Il y a lieu de prévoir une surface de drainage d'au moins 250 mm² par m² de vantail.</w:t>
            </w:r>
          </w:p>
        </w:tc>
        <w:tc>
          <w:tcPr>
            <w:tcW w:w="1965" w:type="dxa"/>
            <w:noWrap/>
          </w:tcPr>
          <w:p w14:paraId="0D0CB859" w14:textId="77777777" w:rsidR="00772179" w:rsidRDefault="00000000">
            <w:r>
              <w:t>Orifice cylindrique : Ø &gt; 6 mm</w:t>
            </w:r>
          </w:p>
        </w:tc>
      </w:tr>
      <w:tr w:rsidR="00772179" w14:paraId="71755624" w14:textId="77777777">
        <w:tc>
          <w:tcPr>
            <w:tcW w:w="1125" w:type="dxa"/>
            <w:vMerge/>
            <w:noWrap/>
          </w:tcPr>
          <w:p w14:paraId="3D0205E8" w14:textId="77777777" w:rsidR="00772179" w:rsidRDefault="00772179"/>
        </w:tc>
        <w:tc>
          <w:tcPr>
            <w:tcW w:w="1965" w:type="dxa"/>
            <w:vMerge/>
            <w:noWrap/>
          </w:tcPr>
          <w:p w14:paraId="11A95799" w14:textId="77777777" w:rsidR="00772179" w:rsidRDefault="00772179"/>
        </w:tc>
        <w:tc>
          <w:tcPr>
            <w:tcW w:w="1965" w:type="dxa"/>
            <w:vMerge/>
            <w:noWrap/>
          </w:tcPr>
          <w:p w14:paraId="2892328B" w14:textId="77777777" w:rsidR="00772179" w:rsidRDefault="00772179"/>
        </w:tc>
        <w:tc>
          <w:tcPr>
            <w:tcW w:w="1965" w:type="dxa"/>
            <w:vMerge/>
            <w:noWrap/>
          </w:tcPr>
          <w:p w14:paraId="0BA9CD8D" w14:textId="77777777" w:rsidR="00772179" w:rsidRDefault="00772179"/>
        </w:tc>
        <w:tc>
          <w:tcPr>
            <w:tcW w:w="1965" w:type="dxa"/>
            <w:noWrap/>
          </w:tcPr>
          <w:p w14:paraId="0C3F3F8A" w14:textId="77777777" w:rsidR="00772179" w:rsidRDefault="00000000">
            <w:pPr>
              <w:jc w:val="center"/>
            </w:pPr>
            <w:r>
              <w:t>Canal de drainage : hauteur &gt; 6 mm</w:t>
            </w:r>
          </w:p>
        </w:tc>
      </w:tr>
      <w:tr w:rsidR="00772179" w14:paraId="074F61C7" w14:textId="77777777">
        <w:tc>
          <w:tcPr>
            <w:tcW w:w="8985" w:type="dxa"/>
            <w:gridSpan w:val="5"/>
            <w:noWrap/>
          </w:tcPr>
          <w:p w14:paraId="3D768815" w14:textId="77777777" w:rsidR="00772179" w:rsidRDefault="00000000">
            <w:pPr>
              <w:jc w:val="center"/>
            </w:pPr>
            <w:r>
              <w:t>(*) La surface totale de drainage dans la traverse inférieure du dormant équivaut à la somme de la surface des orifices de chaque vantail.</w:t>
            </w:r>
          </w:p>
        </w:tc>
      </w:tr>
    </w:tbl>
    <w:p w14:paraId="0B66C219" w14:textId="77777777" w:rsidR="00772179" w:rsidRDefault="00772179"/>
    <w:p w14:paraId="0030F268" w14:textId="77777777" w:rsidR="00772179" w:rsidRDefault="00000000">
      <w:pPr>
        <w:jc w:val="both"/>
      </w:pPr>
      <w:r>
        <w:t>Toute dérogation par rapport au tableau ci-dessus fait l’objet d’une validation par essais d’étanchéité à l’eau conformément à la [NBN B 25-002-1].</w:t>
      </w:r>
    </w:p>
    <w:p w14:paraId="70D03188" w14:textId="77777777" w:rsidR="00772179" w:rsidRDefault="00772179"/>
    <w:p w14:paraId="7E091F9F" w14:textId="77777777" w:rsidR="00772179" w:rsidRDefault="00000000">
      <w:pPr>
        <w:jc w:val="both"/>
      </w:pPr>
      <w:r>
        <w:rPr>
          <w:b/>
          <w:u w:val="single"/>
        </w:rPr>
        <w:t xml:space="preserve"> Types de portes et fenêtres</w:t>
      </w:r>
    </w:p>
    <w:p w14:paraId="3F0F10AC" w14:textId="77777777" w:rsidR="00772179" w:rsidRDefault="00000000">
      <w:pPr>
        <w:jc w:val="both"/>
      </w:pPr>
      <w:r>
        <w:t>L'apparence des différents types de portes et fenêtres, la forme, l'aspect, la nature et la composition des parties ouvrantes et fixes sont indiqués sur les plans et/ou dans le métré détaillé. A défaut de dispositions spécifiques dans le cahier spécial des charges et/ou les études détaillées pour la fabrication, les prescriptions ci-dessous sont respectées. Elles sont classées en fonction du type et de la nature des éléments de menuiserie. Les terminologies et schémas des portes et fenêtres sont donnés dans la norme [NBN EN 12519]. Une fenêtre ouvrant à gauche (droite) est comprise par telle que les points de suspension (charnières) sont fixés sur le côté gauche (droite) quand elle est vue de la face à l’ouverture.</w:t>
      </w:r>
    </w:p>
    <w:p w14:paraId="3FFF5E57" w14:textId="77777777" w:rsidR="00772179" w:rsidRDefault="00000000">
      <w:pPr>
        <w:jc w:val="both"/>
      </w:pPr>
      <w:r>
        <w:t>Pour le dessin des figures, le mouvement du vantail dans la direction de l'utilisateur est donné par le trait continu. Le mouvement du vantail dans la direction opposée à l'utilisateur est donné par le trait en pointillés. </w:t>
      </w:r>
    </w:p>
    <w:p w14:paraId="42D310DD" w14:textId="77777777" w:rsidR="00772179" w:rsidRDefault="00000000">
      <w:pPr>
        <w:jc w:val="both"/>
      </w:pPr>
      <w:r>
        <w:rPr>
          <w:b/>
          <w:u w:val="single"/>
        </w:rPr>
        <w:t>Châssis ouvrants</w:t>
      </w:r>
    </w:p>
    <w:p w14:paraId="363ABF49" w14:textId="77777777" w:rsidR="00772179" w:rsidRDefault="00000000">
      <w:pPr>
        <w:jc w:val="both"/>
      </w:pPr>
      <w:r>
        <w:t>Le nombre de points de suspension (paumelles, charnières) est défini par le fabricant de quincaillerie. Celui-ci donne le nombre de fixations en fonction du type de châssis, des dimensions et du poids.</w:t>
      </w:r>
    </w:p>
    <w:p w14:paraId="06C91490" w14:textId="77777777" w:rsidR="00772179" w:rsidRDefault="00000000">
      <w:pPr>
        <w:jc w:val="both"/>
      </w:pPr>
      <w:r>
        <w:lastRenderedPageBreak/>
        <w:t>A défaut,</w:t>
      </w:r>
    </w:p>
    <w:p w14:paraId="6B267EE6" w14:textId="77777777" w:rsidR="00772179" w:rsidRDefault="00000000">
      <w:pPr>
        <w:pStyle w:val="Author-eListParagraph"/>
        <w:numPr>
          <w:ilvl w:val="0"/>
          <w:numId w:val="11"/>
        </w:numPr>
        <w:jc w:val="both"/>
      </w:pPr>
      <w:r>
        <w:t xml:space="preserve">On place au moins le nombre suivant de points de suspension : </w:t>
      </w:r>
    </w:p>
    <w:p w14:paraId="3EDF2C4D" w14:textId="77777777" w:rsidR="00772179" w:rsidRDefault="00000000">
      <w:pPr>
        <w:pStyle w:val="Author-eListParagraph"/>
        <w:numPr>
          <w:ilvl w:val="1"/>
          <w:numId w:val="12"/>
        </w:numPr>
        <w:jc w:val="both"/>
      </w:pPr>
      <w:r>
        <w:t>une hauteur ≤  1000 mm : deux</w:t>
      </w:r>
    </w:p>
    <w:p w14:paraId="12B34B6F" w14:textId="77777777" w:rsidR="00772179" w:rsidRDefault="00000000">
      <w:pPr>
        <w:pStyle w:val="Author-eListParagraph"/>
        <w:numPr>
          <w:ilvl w:val="1"/>
          <w:numId w:val="12"/>
        </w:numPr>
        <w:jc w:val="both"/>
      </w:pPr>
      <w:r>
        <w:t>une hauteur ≤ 1800 mm : trois</w:t>
      </w:r>
    </w:p>
    <w:p w14:paraId="0361A36A" w14:textId="77777777" w:rsidR="00772179" w:rsidRDefault="00000000">
      <w:pPr>
        <w:pStyle w:val="Author-eListParagraph"/>
        <w:numPr>
          <w:ilvl w:val="1"/>
          <w:numId w:val="12"/>
        </w:numPr>
        <w:jc w:val="both"/>
      </w:pPr>
      <w:r>
        <w:t>une hauteur ≥ 1800 mm : quatre</w:t>
      </w:r>
    </w:p>
    <w:p w14:paraId="53C6D4ED" w14:textId="77777777" w:rsidR="00772179" w:rsidRDefault="00000000">
      <w:pPr>
        <w:pStyle w:val="Author-eListParagraph"/>
        <w:numPr>
          <w:ilvl w:val="1"/>
          <w:numId w:val="12"/>
        </w:numPr>
        <w:jc w:val="both"/>
      </w:pPr>
      <w:r>
        <w:t>si le poids de l’ouvrant est supérieur à 100 kg, 5 points de suspension sont nécessaires</w:t>
      </w:r>
    </w:p>
    <w:p w14:paraId="0DE36383" w14:textId="77777777" w:rsidR="00772179" w:rsidRDefault="00000000">
      <w:pPr>
        <w:pStyle w:val="Author-eListParagraph"/>
        <w:numPr>
          <w:ilvl w:val="0"/>
          <w:numId w:val="11"/>
        </w:numPr>
        <w:jc w:val="both"/>
      </w:pPr>
      <w:r>
        <w:t>Le nombre et l'emplacement des paumelles prévues dépendent également de la largeur du vantail et de son poids ainsi que du vitrage prévu. Les spécifications issues de la documentation technique accompagnant le produit sont suivies.</w:t>
      </w:r>
    </w:p>
    <w:p w14:paraId="676D6324" w14:textId="77777777" w:rsidR="00772179" w:rsidRDefault="00000000">
      <w:pPr>
        <w:jc w:val="both"/>
      </w:pPr>
      <w:r>
        <w:t>Les quincailleries répondent aux exigences définies dans les normes [NBN EN 13126-1] à [NBN EN 13126-19]  </w:t>
      </w:r>
    </w:p>
    <w:p w14:paraId="6A815203" w14:textId="77777777" w:rsidR="00772179" w:rsidRDefault="00000000">
      <w:pPr>
        <w:jc w:val="both"/>
      </w:pPr>
      <w:r>
        <w:t xml:space="preserve"> Les poignées à ergots répondent aux exigences de la norme [NBN EN 13126-2] et [NBN EN 13126-4]</w:t>
      </w:r>
    </w:p>
    <w:p w14:paraId="7E34398B" w14:textId="77777777" w:rsidR="00772179" w:rsidRDefault="00000000">
      <w:pPr>
        <w:jc w:val="both"/>
      </w:pPr>
      <w:r>
        <w:t>Les châssis à vantaux ouvrants sont conçus comme suit :</w:t>
      </w:r>
    </w:p>
    <w:p w14:paraId="34907E63" w14:textId="77777777" w:rsidR="00772179" w:rsidRDefault="00000000">
      <w:pPr>
        <w:pStyle w:val="Author-eListParagraph"/>
        <w:numPr>
          <w:ilvl w:val="0"/>
          <w:numId w:val="13"/>
        </w:numPr>
        <w:jc w:val="both"/>
      </w:pPr>
      <w:r>
        <w:t>Ils sont équipés d'une ou plusieurs frappes, dont au moins une des frappes est pourvue d'une bande d'étanchéité intégrée. Le joint d’étanchéité des parties ouvrantes est en néoprène ou en matière synthétique. Il se comprime  sous l’effet d’une pression. Les joints ne sont pas étirés lors de la pose et permettent une continuité de l’étanchéité. Les joints correspondent à ceux utilisés pour les essais initiaux réalisés afin déterminer les performances d’étanchéité à l’air et à l’eau du châssis ;</w:t>
      </w:r>
    </w:p>
    <w:p w14:paraId="264D5D3B" w14:textId="77777777" w:rsidR="00772179" w:rsidRDefault="00772179">
      <w:pPr>
        <w:pStyle w:val="Author-eListParagraph"/>
        <w:numPr>
          <w:ilvl w:val="0"/>
          <w:numId w:val="13"/>
        </w:numPr>
        <w:jc w:val="both"/>
      </w:pPr>
    </w:p>
    <w:p w14:paraId="00FE5BEE" w14:textId="77777777" w:rsidR="00772179" w:rsidRDefault="00000000">
      <w:pPr>
        <w:pStyle w:val="Author-eListParagraph"/>
        <w:numPr>
          <w:ilvl w:val="0"/>
          <w:numId w:val="13"/>
        </w:numPr>
        <w:jc w:val="both"/>
      </w:pPr>
      <w:r>
        <w:t>Les points de fermetures et de suspensions correspondent à ceux utilisés pour les essais initiaux réalisés afin déterminer les performances d’étanchéité à l’eau du châssis. Les entre-distances des points de fermetures sont conformes à la documentation technique accompagnant le produit. </w:t>
      </w:r>
    </w:p>
    <w:p w14:paraId="3919757B" w14:textId="77777777" w:rsidR="00772179" w:rsidRDefault="00772179">
      <w:pPr>
        <w:pStyle w:val="Author-eListParagraph"/>
        <w:numPr>
          <w:ilvl w:val="0"/>
          <w:numId w:val="13"/>
        </w:numPr>
        <w:jc w:val="both"/>
      </w:pPr>
    </w:p>
    <w:p w14:paraId="20BCB61F" w14:textId="77777777" w:rsidR="00772179" w:rsidRDefault="00000000">
      <w:pPr>
        <w:pStyle w:val="Author-eListParagraph"/>
        <w:numPr>
          <w:ilvl w:val="0"/>
          <w:numId w:val="13"/>
        </w:numPr>
        <w:jc w:val="both"/>
      </w:pPr>
      <w:r>
        <w:t>Pour les éléments oscillo-battants : Les châssis sont actionnés avec une seule poignée à hauteur de main (3 positions).</w:t>
      </w:r>
    </w:p>
    <w:p w14:paraId="02A37851" w14:textId="77777777" w:rsidR="00772179" w:rsidRDefault="00772179">
      <w:pPr>
        <w:pStyle w:val="Author-eListParagraph"/>
        <w:numPr>
          <w:ilvl w:val="0"/>
          <w:numId w:val="13"/>
        </w:numPr>
        <w:jc w:val="both"/>
      </w:pPr>
    </w:p>
    <w:p w14:paraId="544B5F9E" w14:textId="77777777" w:rsidR="00772179" w:rsidRDefault="00000000">
      <w:pPr>
        <w:pStyle w:val="Author-eListParagraph"/>
        <w:numPr>
          <w:ilvl w:val="0"/>
          <w:numId w:val="13"/>
        </w:numPr>
        <w:jc w:val="both"/>
      </w:pPr>
      <w:r>
        <w:t>Le système anti-fausse manœuvre est tel qu’en position basculée, il est impossible d’ouvrir ou de soulever le châssis de l’extérieur. Il est réglé de façon telle que le vantail ne puisse pas tomber du cadre par une manœuvre malhabile de la poignée. Un mécanisme de blocage empêche le basculement du châssis lorsque la poignée est en position ouvrante et inversement.</w:t>
      </w:r>
    </w:p>
    <w:p w14:paraId="6A9FFFF9" w14:textId="77777777" w:rsidR="00772179" w:rsidRDefault="00772179">
      <w:pPr>
        <w:pStyle w:val="Author-eListParagraph"/>
        <w:numPr>
          <w:ilvl w:val="0"/>
          <w:numId w:val="13"/>
        </w:numPr>
        <w:jc w:val="both"/>
      </w:pPr>
    </w:p>
    <w:p w14:paraId="172BE08E" w14:textId="77777777" w:rsidR="00772179" w:rsidRDefault="00000000">
      <w:pPr>
        <w:pStyle w:val="Author-eListParagraph"/>
        <w:numPr>
          <w:ilvl w:val="0"/>
          <w:numId w:val="13"/>
        </w:numPr>
        <w:jc w:val="both"/>
      </w:pPr>
      <w:r>
        <w:t>Tous les châssis oscillo-battants sont au moins munis d'une fermeture à trois points. Les châssis d’une largeur de vantail ou d’une hauteur de vantail supérieure à 1,2 m sont pourvus d’un point de fermeture supplémentaire dans les traverses inférieure et supérieure ou sur les montants. A partir de 1,8 m, il est prévu deux points de fermeture supplémentaires dans les traverses inférieure et supérieure, ou sur les montants.</w:t>
      </w:r>
    </w:p>
    <w:p w14:paraId="09526D0C" w14:textId="77777777" w:rsidR="00772179" w:rsidRDefault="00772179">
      <w:pPr>
        <w:pStyle w:val="Author-eListParagraph"/>
        <w:numPr>
          <w:ilvl w:val="0"/>
          <w:numId w:val="13"/>
        </w:numPr>
        <w:jc w:val="both"/>
      </w:pPr>
    </w:p>
    <w:p w14:paraId="3A2E2772" w14:textId="77777777" w:rsidR="00772179" w:rsidRDefault="00000000">
      <w:pPr>
        <w:pStyle w:val="Author-eListParagraph"/>
        <w:numPr>
          <w:ilvl w:val="0"/>
          <w:numId w:val="13"/>
        </w:numPr>
        <w:jc w:val="both"/>
      </w:pPr>
      <w:r>
        <w:t>Dans la traverse supérieure du vantail se trouve un compas qui guide le vantail pendant le basculement. Ce compas permet de régler à la fois la force de compression du vantail sur le dormant et la symétrie par rapport à celui-ci.</w:t>
      </w:r>
    </w:p>
    <w:p w14:paraId="17AC2233" w14:textId="77777777" w:rsidR="00772179" w:rsidRDefault="00772179">
      <w:pPr>
        <w:pStyle w:val="Author-eListParagraph"/>
        <w:numPr>
          <w:ilvl w:val="0"/>
          <w:numId w:val="13"/>
        </w:numPr>
        <w:jc w:val="both"/>
      </w:pPr>
    </w:p>
    <w:p w14:paraId="41A8B394" w14:textId="77777777" w:rsidR="00772179" w:rsidRDefault="00000000">
      <w:pPr>
        <w:pStyle w:val="Author-eListParagraph"/>
        <w:numPr>
          <w:ilvl w:val="0"/>
          <w:numId w:val="13"/>
        </w:numPr>
        <w:jc w:val="both"/>
      </w:pPr>
      <w:r>
        <w:t>Les exigences complémentaires relatives aux quincailleries et dispositifs de manœuvre sont fournies dans le  </w:t>
      </w:r>
      <w:hyperlink w:anchor="884" w:history="1">
        <w:r>
          <w:rPr>
            <w:color w:val="0000EE"/>
          </w:rPr>
          <w:t>41.72 Quincailleries</w:t>
        </w:r>
      </w:hyperlink>
      <w:r>
        <w:t> </w:t>
      </w:r>
    </w:p>
    <w:p w14:paraId="7FFDFF51" w14:textId="77777777" w:rsidR="00772179" w:rsidRDefault="00000000">
      <w:pPr>
        <w:jc w:val="both"/>
      </w:pPr>
      <w:r>
        <w:t>Les ensembles de châssis composés sont conçus comme suit :</w:t>
      </w:r>
    </w:p>
    <w:p w14:paraId="4E38BC5D" w14:textId="77777777" w:rsidR="00772179" w:rsidRDefault="00000000">
      <w:pPr>
        <w:pStyle w:val="Author-eListParagraph"/>
        <w:numPr>
          <w:ilvl w:val="0"/>
          <w:numId w:val="14"/>
        </w:numPr>
        <w:jc w:val="both"/>
      </w:pPr>
      <w:r>
        <w:t xml:space="preserve">Les châssis composés sont constitués de plusieurs éléments dont les encadrements intermédiaires sont remplacés par des profils intercalaires fixes ou par l’assemblage entre les dormants. L’inertie des profilés assemblés répond aux exigences de résistance au vent par </w:t>
      </w:r>
      <w:r>
        <w:lastRenderedPageBreak/>
        <w:t>calcul ou par essai tel que spécifié dans la norme [NBN B 25-002-1]. Une attention particulière est accordée à l'étanchéité de l'assemblage entre les profils intermédiaires. Ainsi, les traverses creuses intermédiaires sont pourvues d'un dispositif d'évacuation de l'eau. Les profilés sont étanchéifiés lors de l’assemblage par profilé d’étanchéité, joint, collage continu, Kit d’étanchéité, etc….</w:t>
      </w:r>
    </w:p>
    <w:p w14:paraId="719F1206" w14:textId="77777777" w:rsidR="00772179" w:rsidRDefault="00772179">
      <w:pPr>
        <w:pStyle w:val="Author-eListParagraph"/>
        <w:numPr>
          <w:ilvl w:val="0"/>
          <w:numId w:val="14"/>
        </w:numPr>
        <w:jc w:val="both"/>
      </w:pPr>
    </w:p>
    <w:p w14:paraId="7E837300" w14:textId="77777777" w:rsidR="00772179" w:rsidRDefault="00000000">
      <w:pPr>
        <w:pStyle w:val="Author-eListParagraph"/>
        <w:numPr>
          <w:ilvl w:val="0"/>
          <w:numId w:val="14"/>
        </w:numPr>
        <w:jc w:val="both"/>
      </w:pPr>
      <w:r>
        <w:t>La composition de ces ensembles figure sur les plans et/ou dans les dessins de détail.</w:t>
      </w:r>
    </w:p>
    <w:p w14:paraId="13DFCCE6" w14:textId="77777777" w:rsidR="00772179" w:rsidRDefault="00000000">
      <w:pPr>
        <w:ind w:left="750"/>
      </w:pPr>
      <w:r>
        <w:t> </w:t>
      </w:r>
    </w:p>
    <w:p w14:paraId="0BC45DD0" w14:textId="77777777" w:rsidR="00772179" w:rsidRDefault="00000000">
      <w:pPr>
        <w:pStyle w:val="pheading"/>
      </w:pPr>
      <w:r>
        <w:t>EXÉCUTION / MISE EN ŒUVRE</w:t>
      </w:r>
    </w:p>
    <w:p w14:paraId="074FA844" w14:textId="77777777" w:rsidR="00772179" w:rsidRDefault="00000000">
      <w:pPr>
        <w:jc w:val="both"/>
      </w:pPr>
      <w:r>
        <w:rPr>
          <w:b/>
          <w:u w:val="single"/>
        </w:rPr>
        <w:t>Généralités</w:t>
      </w:r>
    </w:p>
    <w:p w14:paraId="15F6F8EB" w14:textId="77777777" w:rsidR="00772179" w:rsidRDefault="00000000">
      <w:pPr>
        <w:jc w:val="both"/>
      </w:pPr>
      <w:r>
        <w:t>La menuiserie extérieure est posée conformément à la [NIT 283] ou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3EB81C66" w14:textId="77777777" w:rsidR="00772179" w:rsidRDefault="00000000">
      <w:pPr>
        <w:jc w:val="both"/>
      </w:pPr>
      <w:r>
        <w:t>Les dimensions indiquées sur les plans et dans le métré sont celles du gros-œuvre tel qu'il est exécuté et sont donc purement indicatives. L'entrepreneur est tenu de prendre lui-même les mesures sur le chantier avant de procéder à la fabrication des éléments sauf dans le cas d’une pose par précadre pour laquelle les modalités particulières sont convenues. </w:t>
      </w:r>
    </w:p>
    <w:p w14:paraId="38264468" w14:textId="77777777" w:rsidR="00772179" w:rsidRDefault="00000000">
      <w:pPr>
        <w:jc w:val="both"/>
      </w:pPr>
      <w:r>
        <w:t>Les travaux sont exécutés par une firme spécialisée et par des ouvriers qualifiés.</w:t>
      </w:r>
    </w:p>
    <w:p w14:paraId="2F1B0AF8" w14:textId="77777777" w:rsidR="00772179" w:rsidRDefault="00772179"/>
    <w:p w14:paraId="3B80A6FB" w14:textId="77777777" w:rsidR="00772179" w:rsidRDefault="00000000">
      <w:pPr>
        <w:jc w:val="both"/>
      </w:pPr>
      <w:r>
        <w:rPr>
          <w:b/>
          <w:u w:val="single"/>
        </w:rPr>
        <w:t>Livraison - Entreposage</w:t>
      </w:r>
    </w:p>
    <w:p w14:paraId="5192D1AF" w14:textId="77777777" w:rsidR="00772179" w:rsidRDefault="00000000">
      <w:pPr>
        <w:jc w:val="both"/>
      </w:pPr>
      <w:r>
        <w:t>Les ensembles de portes-fenêtres et fenêtres ainsi que leurs accessoires sont transportés dans des circonstances qui protègent les matériaux contre toute dégradation. Ils sont soigneusement amarrés. L'entreposage sur le chantier est limité au minimum et surtout n’excède pas une semaine. Les éléments sont stockés et transportés à la verticale, protégés et ventilés.</w:t>
      </w:r>
    </w:p>
    <w:p w14:paraId="08831300" w14:textId="77777777" w:rsidR="00772179" w:rsidRDefault="00000000">
      <w:pPr>
        <w:jc w:val="both"/>
      </w:pPr>
      <w:r>
        <w:t>Les protections appliquées sur les profils ne sont pas enlevées avant autorisation écrite de l’auteur de projet.</w:t>
      </w:r>
    </w:p>
    <w:p w14:paraId="277C941C" w14:textId="77777777" w:rsidR="00772179" w:rsidRDefault="00000000">
      <w:pPr>
        <w:jc w:val="both"/>
      </w:pPr>
      <w:r>
        <w:t>Les fenêtres et portes-fenêtres de réemploi récupérées sur site sont entreposées de manière verticale de telle manière que les blocs de menuiseries soient assemblés (les ouvrants montés dans les dormants).</w:t>
      </w:r>
    </w:p>
    <w:p w14:paraId="714AB6FB" w14:textId="77777777" w:rsidR="00772179" w:rsidRDefault="00772179"/>
    <w:p w14:paraId="5A5ABFF5" w14:textId="77777777" w:rsidR="00772179" w:rsidRDefault="00000000">
      <w:pPr>
        <w:jc w:val="both"/>
      </w:pPr>
      <w:r>
        <w:rPr>
          <w:b/>
          <w:u w:val="single"/>
        </w:rPr>
        <w:t xml:space="preserve"> Montage</w:t>
      </w:r>
    </w:p>
    <w:p w14:paraId="6682EEBF" w14:textId="77777777" w:rsidR="00772179" w:rsidRDefault="00000000">
      <w:pPr>
        <w:jc w:val="both"/>
      </w:pPr>
      <w:r>
        <w:t>Les fenêtres et portes-fenêtres sont posées symétriquement dans la baie et ajustée à la distance requise du gros-œuvre en fonction du système de ragréage prévu. La disposition est parfaitement d'aplomb, de niveau et dans l'axe. </w:t>
      </w:r>
    </w:p>
    <w:p w14:paraId="480DFFEF" w14:textId="77777777" w:rsidR="00772179" w:rsidRDefault="00000000">
      <w:pPr>
        <w:jc w:val="both"/>
      </w:pPr>
      <w:r>
        <w:t>Lorsqu'il s'agit d'une maçonnerie de parement ordinaire, en fonction de la section du dormant des menuiseries, ≥ 30 mm du profil est placé derrière le jour du gros-œuvre. Les joints entre les portes et les ouvertures réservées dans la maçonnerie sont de l’ordre de 5 à 10 mm. </w:t>
      </w:r>
    </w:p>
    <w:p w14:paraId="5C2058E7" w14:textId="77777777" w:rsidR="00772179" w:rsidRDefault="00000000">
      <w:pPr>
        <w:jc w:val="both"/>
      </w:pPr>
      <w:r>
        <w:t>Lorsque la façade est destinée à recevoir une isolation extérieure et/ou un revêtement de façade léger, la menuiserie est placée selon les dessins de détails et/ou en concertation avec les entrepreneurs du gros-œuvre et des plafonnages. </w:t>
      </w:r>
    </w:p>
    <w:p w14:paraId="5FFF7107" w14:textId="77777777" w:rsidR="00772179" w:rsidRDefault="00772179"/>
    <w:p w14:paraId="65A014F3" w14:textId="77777777" w:rsidR="00772179" w:rsidRDefault="00000000">
      <w:pPr>
        <w:jc w:val="both"/>
      </w:pPr>
      <w:r>
        <w:rPr>
          <w:b/>
          <w:u w:val="single"/>
        </w:rPr>
        <w:t>Ancrage au gros-œuvre</w:t>
      </w:r>
    </w:p>
    <w:p w14:paraId="49508E56" w14:textId="77777777" w:rsidR="00772179" w:rsidRDefault="00000000">
      <w:pPr>
        <w:jc w:val="both"/>
      </w:pPr>
      <w:r>
        <w:t>Pour des châssis de fenêtre et porte-fenêtre, les fixations sont décrites dans la [NIT 283] ou les techniques de pose sont justifiées via une note technique.</w:t>
      </w:r>
    </w:p>
    <w:p w14:paraId="32714DD6" w14:textId="77777777" w:rsidR="00772179" w:rsidRDefault="00000000">
      <w:pPr>
        <w:jc w:val="both"/>
      </w:pPr>
      <w:r>
        <w:lastRenderedPageBreak/>
        <w:t>Les châssis sont fixés de manière telle que les sollicitations des châssis sont transférées sur le gros-œuvre et que les tassements du bâtiment n'ont pas d'influence sur la menuiserie extérieure. </w:t>
      </w:r>
    </w:p>
    <w:p w14:paraId="3FC3E75B" w14:textId="77777777" w:rsidR="00772179" w:rsidRDefault="00000000">
      <w:pPr>
        <w:jc w:val="both"/>
      </w:pPr>
      <w:r>
        <w:t>Le système d’ancrage au gros œuvre est réalisé par :</w:t>
      </w:r>
    </w:p>
    <w:p w14:paraId="598F5504" w14:textId="77777777" w:rsidR="00772179" w:rsidRDefault="00000000">
      <w:pPr>
        <w:pStyle w:val="Author-eListParagraph"/>
        <w:numPr>
          <w:ilvl w:val="0"/>
          <w:numId w:val="15"/>
        </w:numPr>
        <w:jc w:val="both"/>
      </w:pPr>
      <w:r>
        <w:t>Pattes de fixation : Les pattes et leurs positions sont conformes aux spécifications de la [NIT 283]. Elles permettent une protection contre la corrosion ≥ grade 3 selon la norme [NBN EN 1670].</w:t>
      </w:r>
    </w:p>
    <w:p w14:paraId="6ABD54D0" w14:textId="77777777" w:rsidR="00772179" w:rsidRDefault="00000000">
      <w:pPr>
        <w:pStyle w:val="Author-eListParagraph"/>
        <w:numPr>
          <w:ilvl w:val="0"/>
          <w:numId w:val="15"/>
        </w:numPr>
        <w:jc w:val="both"/>
      </w:pPr>
      <w:r>
        <w:t>Caisson : Les caissons sont assemblés pour permettre une étanchéité au raccord caisson-Châssis. Les caissons sont réalisés en panneaux d’une épaisseur ≥ 18 mm pour permettre la reprise des charges horizontales et verticales. La durabilité des panneaux est spécifiée dans les [STS 04.1] pour une application en paroi extérieure.</w:t>
      </w:r>
    </w:p>
    <w:p w14:paraId="7C6BB202" w14:textId="77777777" w:rsidR="00772179" w:rsidRDefault="00772179">
      <w:pPr>
        <w:pStyle w:val="Author-eListParagraph"/>
        <w:numPr>
          <w:ilvl w:val="0"/>
          <w:numId w:val="15"/>
        </w:numPr>
        <w:jc w:val="both"/>
      </w:pPr>
    </w:p>
    <w:p w14:paraId="4A98FFFF" w14:textId="77777777" w:rsidR="00772179" w:rsidRDefault="00000000">
      <w:pPr>
        <w:pStyle w:val="Author-eListParagraph"/>
        <w:numPr>
          <w:ilvl w:val="0"/>
          <w:numId w:val="15"/>
        </w:numPr>
        <w:jc w:val="both"/>
      </w:pPr>
      <w:r>
        <w:t xml:space="preserve">Précadre : Le système de précadre est en conformité avec les spécifications accompagnant le produit et décrit au </w:t>
      </w:r>
      <w:hyperlink w:anchor="903" w:history="1">
        <w:r>
          <w:rPr>
            <w:color w:val="0000EE"/>
          </w:rPr>
          <w:t>41.74 Ouvrages de raccord et finition</w:t>
        </w:r>
      </w:hyperlink>
    </w:p>
    <w:p w14:paraId="6AA1AA7B" w14:textId="77777777" w:rsidR="00772179" w:rsidRDefault="00000000">
      <w:pPr>
        <w:jc w:val="both"/>
      </w:pPr>
      <w:r>
        <w:t>Si le bâtiment est soumis à la règlementation PEB, L’assemblage est au minimum PEB conforme et soumis à l’approbation de l’auteur de projet et, le cas échéant, au responsable PEB. </w:t>
      </w:r>
    </w:p>
    <w:p w14:paraId="57163083" w14:textId="77777777" w:rsidR="00772179" w:rsidRDefault="00000000">
      <w:pPr>
        <w:jc w:val="both"/>
      </w:pPr>
      <w:r>
        <w:rPr>
          <w:b/>
          <w:u w:val="single"/>
        </w:rPr>
        <w:t> Jonction avec le gros-œuvre</w:t>
      </w:r>
    </w:p>
    <w:p w14:paraId="094FE6C9" w14:textId="77777777" w:rsidR="00772179" w:rsidRDefault="00000000">
      <w:pPr>
        <w:jc w:val="both"/>
      </w:pPr>
      <w:r>
        <w:t>Continuité d’isolation : La pose des fenêtres et portes-fenêtres et la continuité avec les isolants sont réalisées conformément aux plans et coupes et constitue un nœud constructif PEB conforme. </w:t>
      </w:r>
    </w:p>
    <w:p w14:paraId="595574A6" w14:textId="77777777" w:rsidR="00772179" w:rsidRDefault="00000000">
      <w:pPr>
        <w:jc w:val="both"/>
      </w:pPr>
      <w:r>
        <w:t>L’étanchéité à l’eau : Les continuités de l’étanchéité à l’eau sont conformes aux descriptions données dans la [NIT 283].</w:t>
      </w:r>
    </w:p>
    <w:p w14:paraId="3E68F705" w14:textId="77777777" w:rsidR="00772179" w:rsidRDefault="00000000">
      <w:pPr>
        <w:jc w:val="both"/>
      </w:pPr>
      <w:r>
        <w:t>L’étanchéité à l’air : Les continuités de l’étanchéité à l’air sont conformes aux descriptions données dans les [NIT 283] et [NIT 255]. Les dispositifs de continuité d’étanchéité à l’air du resserrage de la menuiserie sont présentés à l’auteur de projet afin d’assurer la communication et la coordination avec les corps de métier.</w:t>
      </w:r>
    </w:p>
    <w:p w14:paraId="5BD9582D" w14:textId="77777777" w:rsidR="00772179" w:rsidRDefault="00000000">
      <w:pPr>
        <w:jc w:val="both"/>
      </w:pPr>
      <w:r>
        <w:t>Continuité acoustique : Lorsque le cahier spécial des charges prescrit des performances acoustiques particulières, la continuité de l’isolation acoustique est prévue au niveau du resserrage. Les détails et choix des matériaux de resserrage font l’objet d’une étude à soumettre à l’auteur du projet. </w:t>
      </w:r>
    </w:p>
    <w:p w14:paraId="3C189CA0" w14:textId="77777777" w:rsidR="00772179" w:rsidRDefault="00000000">
      <w:pPr>
        <w:jc w:val="both"/>
      </w:pPr>
      <w:r>
        <w:t>Au droit du seuil on place un cordon d'étanchéité qui est partiellement comprimé de manière à réaliser un joint d'étanchéité. Dans la partie supérieure et sur les côtés de la maçonnerie extérieure, on pose un cordon ou une bande qui sert de fond à un mastic d'étanchéité appliqué au pistolet. Comme les joints plastiques peuvent uniquement adhérer dans deux directions, ils sont appliqués sur un support qui ne présente aucune adhérence au joint.</w:t>
      </w:r>
    </w:p>
    <w:p w14:paraId="173D7DA5" w14:textId="77777777" w:rsidR="00772179" w:rsidRDefault="00000000">
      <w:pPr>
        <w:jc w:val="both"/>
      </w:pPr>
      <w:r>
        <w:t>Le fond de joint satisfait à différents critères :</w:t>
      </w:r>
    </w:p>
    <w:p w14:paraId="2D09DC6A" w14:textId="77777777" w:rsidR="00772179" w:rsidRDefault="00000000">
      <w:pPr>
        <w:pStyle w:val="Author-eListParagraph"/>
        <w:numPr>
          <w:ilvl w:val="0"/>
          <w:numId w:val="16"/>
        </w:numPr>
      </w:pPr>
      <w:r>
        <w:t>Il se présente sous forme de profil semi-rigide et est calibré de manière à offrir un serrage suffisant dans l'ouverture du joint pour résister à la pression du mastic lors de la mise en œuvre ;</w:t>
      </w:r>
    </w:p>
    <w:p w14:paraId="6E598E32" w14:textId="77777777" w:rsidR="00772179" w:rsidRDefault="00000000">
      <w:pPr>
        <w:pStyle w:val="Author-eListParagraph"/>
        <w:numPr>
          <w:ilvl w:val="0"/>
          <w:numId w:val="16"/>
        </w:numPr>
      </w:pPr>
      <w:r>
        <w:t>Il est suffisamment souple pour s'adapter aux irrégularités locales des flancs à jointoyer ;</w:t>
      </w:r>
    </w:p>
    <w:p w14:paraId="7CB0FD23" w14:textId="77777777" w:rsidR="00772179" w:rsidRDefault="00000000">
      <w:pPr>
        <w:pStyle w:val="Author-eListParagraph"/>
        <w:numPr>
          <w:ilvl w:val="0"/>
          <w:numId w:val="16"/>
        </w:numPr>
      </w:pPr>
      <w:r>
        <w:t>Il est chimiquement inerte aux composants du mastic et imputrescible.</w:t>
      </w:r>
    </w:p>
    <w:p w14:paraId="2CEC13FD" w14:textId="77777777" w:rsidR="00772179" w:rsidRDefault="00000000">
      <w:pPr>
        <w:jc w:val="both"/>
      </w:pPr>
      <w:r>
        <w:t>La finition intérieure (caissons, tablettes de fenêtres, …) est appliquée après que l'auteur de projet aie contrôlé l'isolation. Les vides qui subsistent entre la menuiserie et le gros-œuvre à l'intérieur sont complètement colmatés avec un matériau isolant et imputrescible afin d'obtenir une étanchéité complète au vent.</w:t>
      </w:r>
    </w:p>
    <w:p w14:paraId="77C79684" w14:textId="77777777" w:rsidR="00772179" w:rsidRDefault="00000000">
      <w:pPr>
        <w:ind w:left="750"/>
      </w:pPr>
      <w:r>
        <w:t> </w:t>
      </w:r>
    </w:p>
    <w:p w14:paraId="3EE63C57" w14:textId="77777777" w:rsidR="00772179" w:rsidRDefault="00000000">
      <w:pPr>
        <w:pStyle w:val="pheading"/>
      </w:pPr>
      <w:r>
        <w:t>CONTRÔLES</w:t>
      </w:r>
    </w:p>
    <w:p w14:paraId="21A5AF26" w14:textId="77777777" w:rsidR="00772179" w:rsidRDefault="00000000">
      <w:pPr>
        <w:jc w:val="both"/>
      </w:pPr>
      <w:r>
        <w:t xml:space="preserve">Les châssis de fenêtre endommagés avant la pose, qui présentent des déformations anormales ou sont abîmés par l'humidité, ne sont pas mis en œuvre.  </w:t>
      </w:r>
    </w:p>
    <w:p w14:paraId="6C3CFA9A" w14:textId="77777777" w:rsidR="00772179" w:rsidRDefault="00000000">
      <w:pPr>
        <w:jc w:val="both"/>
      </w:pPr>
      <w:r>
        <w:t>Pour les menuiseries neuves : les documents de déclaration d’aptitude du matériau ( ou aux performances exigées  dans le cahier spécial des charges sont préalablement remis à l'architecte.</w:t>
      </w:r>
    </w:p>
    <w:p w14:paraId="7A66CFD1" w14:textId="77777777" w:rsidR="00772179" w:rsidRDefault="00772179">
      <w:pPr>
        <w:jc w:val="both"/>
      </w:pPr>
    </w:p>
    <w:p w14:paraId="553F7817" w14:textId="77777777" w:rsidR="00772179" w:rsidRDefault="00772179">
      <w:pPr>
        <w:jc w:val="both"/>
      </w:pPr>
    </w:p>
    <w:p w14:paraId="7EEEEB3C" w14:textId="77777777" w:rsidR="00772179" w:rsidRDefault="00000000">
      <w:pPr>
        <w:jc w:val="both"/>
      </w:pPr>
      <w:r>
        <w:rPr>
          <w:b/>
          <w:u w:val="single"/>
        </w:rPr>
        <w:t>Essais</w:t>
      </w:r>
    </w:p>
    <w:p w14:paraId="2EC357AE" w14:textId="77777777" w:rsidR="00772179" w:rsidRDefault="00000000">
      <w:pPr>
        <w:jc w:val="both"/>
      </w:pPr>
      <w:r>
        <w:t>Si le marquage du produit (déclaration d’aptitude du matériau) ne spécifie pas les performances requises, des essais sont systématiquement exigés dont les frais sont intégralement supportés par l'entrepreneur jusqu'à ce que satisfaction complète soit obtenue. Si l'élément de menuiserie ne satisfait pas aux essais, l’auteur de projet est en droit d'imposer une nouvelle série d'essais jusqu’à obtention des performances requises.</w:t>
      </w:r>
    </w:p>
    <w:p w14:paraId="170783DB" w14:textId="77777777" w:rsidR="00772179" w:rsidRDefault="00000000">
      <w:pPr>
        <w:jc w:val="both"/>
      </w:pPr>
      <w:r>
        <w:t>Les essais sont exécutés par un laboratoire indépendant notifié, selon la norme [NBN EN 14351-1:2006+A2], les exigences sont reprises dans la [NBN B 25-002-1].</w:t>
      </w:r>
    </w:p>
    <w:p w14:paraId="165A33A4" w14:textId="77777777" w:rsidR="00772179" w:rsidRDefault="00000000">
      <w:pPr>
        <w:jc w:val="both"/>
      </w:pPr>
      <w:r>
        <w:t>Le châssis testé et approuvé est marqué et conservé comme référence. Au cas où les produits ne satisfont pas aux essais, l'auteur de projet a le droit d'arrêter les travaux immédiatement. </w:t>
      </w:r>
    </w:p>
    <w:p w14:paraId="1D7BCE35" w14:textId="77777777" w:rsidR="00772179" w:rsidRDefault="00000000">
      <w:pPr>
        <w:jc w:val="both"/>
      </w:pPr>
      <w:r>
        <w:rPr>
          <w:b/>
          <w:u w:val="single"/>
        </w:rPr>
        <w:t>Tolérances   </w:t>
      </w:r>
      <w:r>
        <w:t>                                                                                      </w:t>
      </w:r>
    </w:p>
    <w:p w14:paraId="31A28080" w14:textId="77777777" w:rsidR="00772179" w:rsidRDefault="00000000">
      <w:pPr>
        <w:jc w:val="both"/>
      </w:pPr>
      <w:r>
        <w:t>Les tolérances dimensionnelles sont reprises dans la [NBN B 25-002-1] et dans la [NIT 283].</w:t>
      </w:r>
    </w:p>
    <w:p w14:paraId="42287FA6" w14:textId="77777777" w:rsidR="00772179" w:rsidRDefault="00000000">
      <w:pPr>
        <w:jc w:val="both"/>
      </w:pPr>
      <w:r>
        <w:t>Les écarts dimensionnels admissibles en largeur et en hauteur pour les vantaux ouvrants, mesurés dans les feuillures des vitrages ne dépassent pas ± 1 mm, augmentés de 0,5 mm / m de hauteur ou de largeur complémentaire. En ce qui concerne l'équerrage des vantaux ouvrants, la longueur des diagonales, mesurée dans le bas des feuillures des vitrages, L ≤  2 mm, augmentée de 0,5 mm / m de diagonale supplémentaire, avec un maximum de 3 mm.  </w:t>
      </w:r>
    </w:p>
    <w:p w14:paraId="26B5D248" w14:textId="77777777" w:rsidR="00772179" w:rsidRDefault="00000000">
      <w:pPr>
        <w:jc w:val="both"/>
      </w:pPr>
      <w:r>
        <w:t>Les écarts des tolérances dimensionnels ne sont pas applicables aux menuiseries de réemploi pour autant qu’elles soient utilisables.</w:t>
      </w:r>
    </w:p>
    <w:p w14:paraId="2850D8DE" w14:textId="77777777" w:rsidR="00772179" w:rsidRDefault="00000000">
      <w:pPr>
        <w:jc w:val="both"/>
      </w:pPr>
      <w:r>
        <w:rPr>
          <w:b/>
          <w:u w:val="single"/>
        </w:rPr>
        <w:t>Pose</w:t>
      </w:r>
    </w:p>
    <w:p w14:paraId="409C85C7" w14:textId="77777777" w:rsidR="00772179" w:rsidRDefault="00000000">
      <w:pPr>
        <w:jc w:val="both"/>
      </w:pPr>
      <w:r>
        <w:t>La dégradation des profils suite à la mise en place, griffes, évidements ou mauvaise fixation entraîne le refus et soit la réparation ou le remplacement de l'élément. Les critères d’acceptation sont repris dans la [NBN B 25-002-1], [STS 52.1] pour les menuiseries en bois, [Qualanod], [Qualicoat] pour les menuiseries en aluminium et [NBN B 25-002-5] pour les menuiseries en PVC.</w:t>
      </w:r>
    </w:p>
    <w:p w14:paraId="4FC507EC" w14:textId="77777777" w:rsidR="00772179" w:rsidRDefault="00000000">
      <w:pPr>
        <w:jc w:val="both"/>
      </w:pPr>
      <w:r>
        <w:t>Pour les menuiseries de réemploi, les dégradations sont acceptables sur base d’une présentation auprès de l’auteur de projet.</w:t>
      </w:r>
    </w:p>
    <w:p w14:paraId="54CDC066" w14:textId="77777777" w:rsidR="00772179" w:rsidRDefault="00000000">
      <w:pPr>
        <w:ind w:left="750"/>
      </w:pPr>
      <w:r>
        <w:t> </w:t>
      </w:r>
    </w:p>
    <w:p w14:paraId="745AF6D2" w14:textId="77777777" w:rsidR="00772179" w:rsidRDefault="00000000">
      <w:pPr>
        <w:pStyle w:val="pheading"/>
      </w:pPr>
      <w:r>
        <w:t>DOCUMENTS DE RÉFÉRENCE</w:t>
      </w:r>
    </w:p>
    <w:p w14:paraId="60BBDA76" w14:textId="77777777" w:rsidR="00772179" w:rsidRDefault="00000000">
      <w:pPr>
        <w:pStyle w:val="pheading"/>
      </w:pPr>
      <w:r>
        <w:t>- Matériau</w:t>
      </w:r>
    </w:p>
    <w:p w14:paraId="21B8CA98" w14:textId="77777777" w:rsidR="00772179" w:rsidRDefault="00000000">
      <w:r>
        <w:t>[NBN B 25-002-1, Menuiserie extérieure - Partie 1: Prescription des performances générales – Fenêtres et façades rideaux]</w:t>
      </w:r>
    </w:p>
    <w:p w14:paraId="4940E802" w14:textId="77777777" w:rsidR="00772179" w:rsidRDefault="00000000">
      <w:r>
        <w:t>[NBN B 03-004, Garde-corps de bâtiments]</w:t>
      </w:r>
    </w:p>
    <w:p w14:paraId="5A1176CE" w14:textId="77777777" w:rsidR="00772179" w:rsidRPr="00FA36CF" w:rsidRDefault="00000000">
      <w:pPr>
        <w:rPr>
          <w:lang w:val="en-US"/>
        </w:rPr>
      </w:pPr>
      <w:r w:rsidRPr="00FA36CF">
        <w:rPr>
          <w:lang w:val="en-US"/>
        </w:rPr>
        <w:t>[NBN S 23-002, Vitrerie]</w:t>
      </w:r>
    </w:p>
    <w:p w14:paraId="6B07B41F" w14:textId="77777777" w:rsidR="00772179" w:rsidRPr="00FA36CF" w:rsidRDefault="00000000">
      <w:pPr>
        <w:rPr>
          <w:lang w:val="en-US"/>
        </w:rPr>
      </w:pPr>
      <w:r w:rsidRPr="00FA36CF">
        <w:rPr>
          <w:lang w:val="en-US"/>
        </w:rPr>
        <w:t>[Qualanod, Specifications for the QUALANOD Quality Label for Sulfuric Acid-Based Anodizing of Aluminium]</w:t>
      </w:r>
    </w:p>
    <w:p w14:paraId="2195E9B2" w14:textId="77777777" w:rsidR="00772179" w:rsidRPr="00FA36CF" w:rsidRDefault="00000000">
      <w:pPr>
        <w:rPr>
          <w:lang w:val="en-US"/>
        </w:rPr>
      </w:pPr>
      <w:r w:rsidRPr="00FA36CF">
        <w:rPr>
          <w:lang w:val="en-US"/>
        </w:rPr>
        <w:t>[Qualicoat, Qualicoat - Specifications for a quality label for liquid and powder organic coatings on aluminium for architectural applications]</w:t>
      </w:r>
    </w:p>
    <w:p w14:paraId="0F3322D1" w14:textId="77777777" w:rsidR="00772179" w:rsidRDefault="00000000">
      <w:r>
        <w:t>[NIT 221, La pose des vitrages en feuillure (Les NIT 214 et 221 remplacent les NIT 110 et 113).]</w:t>
      </w:r>
    </w:p>
    <w:p w14:paraId="37CB548A" w14:textId="77777777" w:rsidR="00772179" w:rsidRDefault="00000000">
      <w:r>
        <w:t>[NIT 258, Guide pratique des systèmes de ventilation de base des logements.]</w:t>
      </w:r>
    </w:p>
    <w:p w14:paraId="0E76F6D8" w14:textId="77777777" w:rsidR="00772179" w:rsidRDefault="00000000">
      <w:r>
        <w:t>[NIT 222, Dimensionnement des menuiseries sous l'action du vent.]</w:t>
      </w:r>
    </w:p>
    <w:p w14:paraId="04E8859A" w14:textId="77777777" w:rsidR="00772179" w:rsidRDefault="00000000">
      <w:r>
        <w:t>[NBN B 03-003, Déformation des structures - Valeurs limites de déformation - Bâtiments]</w:t>
      </w:r>
    </w:p>
    <w:p w14:paraId="675A2335" w14:textId="77777777" w:rsidR="00772179" w:rsidRDefault="00000000">
      <w:r>
        <w:t>[NBN EN 1627 à 1630 série, Blocs-portes pour piétons, fenêtres, façades rideaux, grilles et fermetures - Résistance à l'effraction]</w:t>
      </w:r>
    </w:p>
    <w:p w14:paraId="0805A649" w14:textId="77777777" w:rsidR="00772179" w:rsidRDefault="00000000">
      <w:r>
        <w:lastRenderedPageBreak/>
        <w:t>[NBN D 50-001, Dispositifs de ventilation dans les bâtiments d'habitation]</w:t>
      </w:r>
    </w:p>
    <w:p w14:paraId="5BC905ED" w14:textId="77777777" w:rsidR="00772179" w:rsidRDefault="00000000">
      <w:r>
        <w:t>[NBN EN 1026, Fenêtres et portes - Perméabilité à l'air - Méthode d'essai]</w:t>
      </w:r>
      <w:r>
        <w:br/>
        <w:t>[NBN EN 12207, Fenêtres et portes - Perméabilité à l'air - Classification]</w:t>
      </w:r>
    </w:p>
    <w:p w14:paraId="49F532E8" w14:textId="77777777" w:rsidR="00772179" w:rsidRDefault="00000000">
      <w:r>
        <w:t>[NBN EN 12211, Fenêtres et portes - Résistance au vent - Méthode d’essai]</w:t>
      </w:r>
      <w:r>
        <w:br/>
        <w:t>[NBN EN 12210, Fenêtres et portes - Résistance au vent - Classification]</w:t>
      </w:r>
    </w:p>
    <w:p w14:paraId="5EAED801" w14:textId="77777777" w:rsidR="00772179" w:rsidRDefault="00000000">
      <w:r>
        <w:t>[NBN EN 1027, Fenêtres et portes - Etanchéité à l'eau - Méthode d'essai]</w:t>
      </w:r>
    </w:p>
    <w:p w14:paraId="74A18383" w14:textId="77777777" w:rsidR="00772179" w:rsidRDefault="00000000">
      <w:r>
        <w:t>[NBN EN 12208, Fenêtres et portes - Perméabilité à l'eau - Classification]</w:t>
      </w:r>
    </w:p>
    <w:p w14:paraId="733F4108" w14:textId="77777777" w:rsidR="00772179" w:rsidRDefault="00000000">
      <w:r>
        <w:t>[NBN EN 1363-1, Essais de résistance au feu - Partie 1: Exigences générales]</w:t>
      </w:r>
    </w:p>
    <w:p w14:paraId="5CAEC744" w14:textId="77777777" w:rsidR="00772179" w:rsidRDefault="00000000">
      <w:r>
        <w:t>[NBN EN 1363-2, Essais de résistance au feu - Partie 2: Modes opératoires de substitution ou additionnels]</w:t>
      </w:r>
    </w:p>
    <w:p w14:paraId="381F632E" w14:textId="77777777" w:rsidR="00772179" w:rsidRDefault="00000000">
      <w:r>
        <w:t>[NBN EN 1364-1, Essais de résistance au feu des éléments non porteurs - Partie 1: Murs]</w:t>
      </w:r>
    </w:p>
    <w:p w14:paraId="272CAFA2" w14:textId="77777777" w:rsidR="00772179" w:rsidRDefault="00000000">
      <w:r>
        <w:t>[NBN EN 1364-3, Essais de résistance au feu des éléments non-porteurs dans les bâtiments - Partie 3: Murs rideaux - Configuration en grandeur réelle (assemblage complet)]</w:t>
      </w:r>
    </w:p>
    <w:p w14:paraId="785A9E1C" w14:textId="77777777" w:rsidR="00772179"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47708438" w14:textId="77777777" w:rsidR="00772179" w:rsidRDefault="00000000">
      <w:r>
        <w:t>[NBN EN 12600, Verre dans la construction - Essai au pendule - Méthode d'essai d'impact et classification du verre plat]</w:t>
      </w:r>
    </w:p>
    <w:p w14:paraId="428D2F7C" w14:textId="77777777" w:rsidR="00772179" w:rsidRDefault="00000000">
      <w:pPr>
        <w:ind w:left="750"/>
      </w:pPr>
      <w:r>
        <w:t> </w:t>
      </w:r>
    </w:p>
    <w:p w14:paraId="3D638B67" w14:textId="77777777" w:rsidR="00772179" w:rsidRDefault="00000000">
      <w:pPr>
        <w:pStyle w:val="pheading"/>
      </w:pPr>
      <w:r>
        <w:t>- Exécution</w:t>
      </w:r>
    </w:p>
    <w:p w14:paraId="2EE7C2B7" w14:textId="77777777" w:rsidR="00772179" w:rsidRDefault="00000000">
      <w:r>
        <w:t>[NIT 283, La pose des menuiseries extérieures. Partie 1 : aspects généraux.]</w:t>
      </w:r>
    </w:p>
    <w:p w14:paraId="0C25A739" w14:textId="77777777" w:rsidR="00772179" w:rsidRDefault="00000000">
      <w:r>
        <w:t>[NIT 221, La pose des vitrages en feuillure (Les NIT 214 et 221 remplacent les NIT 110 et 113).]</w:t>
      </w:r>
    </w:p>
    <w:p w14:paraId="1B8CE6CA" w14:textId="77777777" w:rsidR="00772179" w:rsidRDefault="00000000">
      <w:r>
        <w:t>[NIT 255, L'étanchéité à l'air des bâtiments]</w:t>
      </w:r>
    </w:p>
    <w:p w14:paraId="077E85E3" w14:textId="77777777" w:rsidR="00772179" w:rsidRDefault="00000000">
      <w:r>
        <w:t>[STS 52.1, Menuiseries extérieures en bois]</w:t>
      </w:r>
    </w:p>
    <w:p w14:paraId="1BE31947" w14:textId="77777777" w:rsidR="00772179" w:rsidRDefault="00000000">
      <w:r>
        <w:t>[NBN B 25-002-4, Menuiseries extérieures. Partie 4 : Prescriptions pour les profilés et des ossatures en aluminium]</w:t>
      </w:r>
    </w:p>
    <w:p w14:paraId="724D7B07" w14:textId="77777777" w:rsidR="00772179" w:rsidRDefault="00000000">
      <w:r>
        <w:t>[NBN B 25-002-5, Menuiseries extérieures. Partie 5 : Prescriptions pour les profilés et les châssis en PVC-U]</w:t>
      </w:r>
    </w:p>
    <w:p w14:paraId="2175AB43" w14:textId="77777777" w:rsidR="00772179" w:rsidRDefault="00000000">
      <w:pPr>
        <w:ind w:left="750"/>
      </w:pPr>
      <w:r>
        <w:t> </w:t>
      </w:r>
    </w:p>
    <w:p w14:paraId="3A37FC96" w14:textId="77777777" w:rsidR="00772179" w:rsidRDefault="00000000">
      <w:pPr>
        <w:pStyle w:val="pheading"/>
      </w:pPr>
      <w:r>
        <w:t>AIDE</w:t>
      </w:r>
    </w:p>
    <w:p w14:paraId="10E1D8C4" w14:textId="77777777" w:rsidR="00772179" w:rsidRDefault="00000000">
      <w:pPr>
        <w:jc w:val="both"/>
      </w:pPr>
      <w:r>
        <w:t>L'obturation du vide entre la menuiserie et le gros-œuvre à l'intérieur à l'aide de mousse de polyuréthane donne de moins bons résultats au niveau acoustique que le remplissage à la laine minérale.</w:t>
      </w:r>
    </w:p>
    <w:p w14:paraId="43459B9D" w14:textId="77777777" w:rsidR="00772179" w:rsidRDefault="00000000">
      <w:pPr>
        <w:jc w:val="both"/>
      </w:pPr>
      <w:r>
        <w:t>Une attention particulière est accordée à la hauteur des allèges : pour les menuiseries dont la hauteur entre le niveau du sol fini et le niveau haut du dormant (traverse) est inférieure à la hauteur de protection, définie dans le § 5.2.2.10 de la [NBN B 25-002-1], la menuiserie offre une résistance aux chocs. Cette protection est conforme aux spécifications de la [NBN B 25-002-1], [NBN S 23-002] et [NBN B 03-004].  </w:t>
      </w:r>
    </w:p>
    <w:p w14:paraId="606FA9A7" w14:textId="77777777" w:rsidR="00772179" w:rsidRDefault="00000000">
      <w:pPr>
        <w:jc w:val="both"/>
      </w:pPr>
      <w:r>
        <w:rPr>
          <w:b/>
        </w:rPr>
        <w:t>Accessibilité aux personnes à mobilité réduite (PMR) :</w:t>
      </w:r>
    </w:p>
    <w:p w14:paraId="36CC60C8" w14:textId="77777777" w:rsidR="00772179" w:rsidRDefault="00000000">
      <w:pPr>
        <w:pStyle w:val="Author-eListParagraph"/>
        <w:numPr>
          <w:ilvl w:val="0"/>
          <w:numId w:val="17"/>
        </w:numPr>
        <w:jc w:val="both"/>
      </w:pPr>
      <w:r>
        <w:t>Hauteur des allèges : ≤ 110 cm au-dessus du niveau du sol   [SWL CALA] et [NBN ISO 21542]</w:t>
      </w:r>
    </w:p>
    <w:p w14:paraId="59A9AED3" w14:textId="77777777" w:rsidR="00772179" w:rsidRDefault="00000000">
      <w:pPr>
        <w:pStyle w:val="Author-eListParagraph"/>
        <w:numPr>
          <w:ilvl w:val="0"/>
          <w:numId w:val="17"/>
        </w:numPr>
        <w:jc w:val="both"/>
      </w:pPr>
      <w:r>
        <w:t>Efforts de manœuvre : classe 2 de la norme [NBN B 25-002-1]</w:t>
      </w:r>
    </w:p>
    <w:p w14:paraId="5DA4AA25" w14:textId="77777777" w:rsidR="00772179" w:rsidRDefault="00000000">
      <w:pPr>
        <w:pStyle w:val="Author-eListParagraph"/>
        <w:numPr>
          <w:ilvl w:val="0"/>
          <w:numId w:val="17"/>
        </w:numPr>
        <w:jc w:val="both"/>
      </w:pPr>
      <w:r>
        <w:t>Repères visuels (portes-fenêtres) : [SWL CALA], [NBN ISO 21542] et [BS 8300]</w:t>
      </w:r>
    </w:p>
    <w:p w14:paraId="112030F3" w14:textId="77777777" w:rsidR="00772179" w:rsidRDefault="00000000">
      <w:pPr>
        <w:pStyle w:val="Author-eListParagraph"/>
        <w:numPr>
          <w:ilvl w:val="1"/>
          <w:numId w:val="18"/>
        </w:numPr>
        <w:jc w:val="both"/>
      </w:pPr>
      <w:r>
        <w:t>Présence de deux bandes colorées</w:t>
      </w:r>
    </w:p>
    <w:p w14:paraId="1B029626" w14:textId="77777777" w:rsidR="00772179" w:rsidRDefault="00000000">
      <w:pPr>
        <w:pStyle w:val="Author-eListParagraph"/>
        <w:numPr>
          <w:ilvl w:val="1"/>
          <w:numId w:val="18"/>
        </w:numPr>
        <w:jc w:val="both"/>
      </w:pPr>
      <w:r>
        <w:lastRenderedPageBreak/>
        <w:t>Hauteurs des bandes : l’une entre 85 et 100 cm au-dessus du niveau du sol et l’autre entre 140 et 160 cm au-dessus du niveau du sol</w:t>
      </w:r>
    </w:p>
    <w:p w14:paraId="4D46E84D" w14:textId="77777777" w:rsidR="00772179" w:rsidRDefault="00000000">
      <w:pPr>
        <w:pStyle w:val="Author-eListParagraph"/>
        <w:numPr>
          <w:ilvl w:val="1"/>
          <w:numId w:val="18"/>
        </w:numPr>
        <w:jc w:val="both"/>
      </w:pPr>
      <w:r>
        <w:t>Contraste : différence de coefficient de réflexion (LRV) ≥ 30% entre les bandes et l’arrière-plan</w:t>
      </w:r>
    </w:p>
    <w:p w14:paraId="344AAA2A" w14:textId="77777777" w:rsidR="00772179" w:rsidRDefault="00000000">
      <w:pPr>
        <w:jc w:val="both"/>
      </w:pPr>
      <w:r>
        <w:t> </w:t>
      </w:r>
    </w:p>
    <w:p w14:paraId="2F6EDF15" w14:textId="77777777" w:rsidR="00772179" w:rsidRDefault="00000000">
      <w:pPr>
        <w:pStyle w:val="Author-eSectionHeading4Numberless"/>
      </w:pPr>
      <w:bookmarkStart w:id="6" w:name="_Toc220489768"/>
      <w:r>
        <w:t>41.11 Fenêtres et portes-fenêtres en bois CCTB 01.11</w:t>
      </w:r>
      <w:bookmarkEnd w:id="6"/>
    </w:p>
    <w:p w14:paraId="4B70E997" w14:textId="77777777" w:rsidR="00772179" w:rsidRDefault="00000000">
      <w:pPr>
        <w:pStyle w:val="pheading"/>
      </w:pPr>
      <w:bookmarkStart w:id="7" w:name="65"/>
      <w:bookmarkEnd w:id="7"/>
      <w:r>
        <w:t>DESCRIPTION</w:t>
      </w:r>
    </w:p>
    <w:p w14:paraId="45BE3234" w14:textId="77777777" w:rsidR="00772179" w:rsidRDefault="00000000">
      <w:pPr>
        <w:pStyle w:val="pheading"/>
      </w:pPr>
      <w:r>
        <w:t>- Définition / Comprend</w:t>
      </w:r>
    </w:p>
    <w:p w14:paraId="2C98C165" w14:textId="77777777" w:rsidR="00772179" w:rsidRDefault="00000000">
      <w:pPr>
        <w:jc w:val="both"/>
      </w:pPr>
      <w:r>
        <w:t>Cet élément comprend la fourniture (hors matériaux récupérés du même site) et la pose de tous les éléments nécessaires à la composition des portes-fenêtres et fenêtres extérieures en bois y compris toutes les pièces qui en font intrinsèquement partie.</w:t>
      </w:r>
    </w:p>
    <w:p w14:paraId="7B40049F" w14:textId="77777777" w:rsidR="00772179" w:rsidRDefault="00000000">
      <w:pPr>
        <w:jc w:val="both"/>
      </w:pPr>
      <w:r>
        <w:t>Les portes et fenêtres extérieures sont considérées comme menuiserie en bois lorsque seul le bois assure la résistance mécanique de ces éléments de construction. Les éventuels revêtements extérieurs en métal ou autres ne changent rien au fait que ces éléments font partie de la menuiserie en bois.</w:t>
      </w:r>
    </w:p>
    <w:p w14:paraId="61FE4C29" w14:textId="77777777" w:rsidR="00772179" w:rsidRDefault="00000000">
      <w:pPr>
        <w:pStyle w:val="pheading"/>
      </w:pPr>
      <w:r>
        <w:t>MATÉRIAUX</w:t>
      </w:r>
    </w:p>
    <w:p w14:paraId="73BC993B" w14:textId="77777777" w:rsidR="00772179" w:rsidRDefault="00000000">
      <w:pPr>
        <w:jc w:val="both"/>
      </w:pPr>
      <w:r>
        <w:rPr>
          <w:b/>
          <w:u w:val="single"/>
        </w:rPr>
        <w:t>Généralités</w:t>
      </w:r>
    </w:p>
    <w:p w14:paraId="254F728F" w14:textId="77777777" w:rsidR="00772179" w:rsidRDefault="00000000">
      <w:pPr>
        <w:jc w:val="both"/>
      </w:pPr>
      <w:r>
        <w:t>L'essence de bois à utiliser est spécifiée dans le cahier spécial des charges, conformément aux spécifications données dans les [STS 52.1].</w:t>
      </w:r>
    </w:p>
    <w:p w14:paraId="73EA90D1" w14:textId="77777777" w:rsidR="00772179" w:rsidRDefault="00000000">
      <w:pPr>
        <w:jc w:val="both"/>
      </w:pPr>
      <w:r>
        <w:t>Avant la pose de la menuiserie neuve ou de réemploi hors site, l'entrepreneur prouve la provenance du bois. En cas de doute, le maître de l'ouvrage est en droit de faire réaliser des essais dans un laboratoire agréé. Si les échantillons ne répondent pas aux exigences prescrites en ce qui concerne l'essence du bois, tous les frais des essais sont à charge de l'entrepreneur.</w:t>
      </w:r>
    </w:p>
    <w:p w14:paraId="08C29CF6" w14:textId="77777777" w:rsidR="00772179" w:rsidRDefault="00000000">
      <w:pPr>
        <w:jc w:val="both"/>
      </w:pPr>
      <w:r>
        <w:t>Une liste non limitative des espèces de bois les plus aptes à l’emploi en menuiserie est donnée dans l’annexe 2 des [STS 52.1].</w:t>
      </w:r>
    </w:p>
    <w:p w14:paraId="2D0C46BC" w14:textId="77777777" w:rsidR="00772179" w:rsidRDefault="00772179">
      <w:pPr>
        <w:jc w:val="both"/>
      </w:pPr>
    </w:p>
    <w:p w14:paraId="4B026B12" w14:textId="77777777" w:rsidR="00772179" w:rsidRDefault="00772179">
      <w:pPr>
        <w:jc w:val="both"/>
      </w:pPr>
    </w:p>
    <w:p w14:paraId="36D26409" w14:textId="77777777" w:rsidR="00772179" w:rsidRDefault="00000000">
      <w:pPr>
        <w:jc w:val="both"/>
      </w:pPr>
      <w:r>
        <w:rPr>
          <w:b/>
          <w:u w:val="single"/>
        </w:rPr>
        <w:t>Qualité du bois</w:t>
      </w:r>
    </w:p>
    <w:p w14:paraId="40548696" w14:textId="77777777" w:rsidR="00772179" w:rsidRDefault="00000000">
      <w:pPr>
        <w:jc w:val="both"/>
      </w:pPr>
      <w:r>
        <w:t>Pour les menuiseries neuves, Le bois utilisé satisfait aux critères énoncés dans les [STS 52.1].</w:t>
      </w:r>
    </w:p>
    <w:p w14:paraId="05BBEFC1" w14:textId="77777777" w:rsidR="00772179" w:rsidRDefault="00000000">
      <w:pPr>
        <w:jc w:val="both"/>
      </w:pPr>
      <w:r>
        <w:t>L'humidité du cœur du bois à mettre en œuvre est comprise entre 12 et 18 % et est compatible avec la finition prévue ci-après.</w:t>
      </w:r>
    </w:p>
    <w:p w14:paraId="15E968A0" w14:textId="77777777" w:rsidR="00772179" w:rsidRDefault="00000000">
      <w:pPr>
        <w:jc w:val="both"/>
      </w:pPr>
      <w:r>
        <w:t>Le bois mis en œuvre est droit (inclinaison maximale 5 %) = l'inclinaison du fil du bois par rapport aux faces latérales est inférieure à 5 %, selon les [STS 52.1].</w:t>
      </w:r>
    </w:p>
    <w:p w14:paraId="365F8DBB" w14:textId="77777777" w:rsidR="00772179" w:rsidRDefault="00000000">
      <w:pPr>
        <w:jc w:val="both"/>
      </w:pPr>
      <w:r>
        <w:t>Les critères d’acceptations du bois sont définis dans les [STS 52.1].  </w:t>
      </w:r>
    </w:p>
    <w:p w14:paraId="0ACCFCFA" w14:textId="77777777" w:rsidR="00772179" w:rsidRDefault="00000000">
      <w:pPr>
        <w:jc w:val="both"/>
      </w:pPr>
      <w:r>
        <w:t>Les vérifications relatives à la résistance et l’étanchéité des assemblages sont réalisées par le menuisier.</w:t>
      </w:r>
    </w:p>
    <w:p w14:paraId="7511C594" w14:textId="77777777" w:rsidR="00772179" w:rsidRDefault="00000000">
      <w:pPr>
        <w:jc w:val="both"/>
      </w:pPr>
      <w:r>
        <w:t>La qualité du collage des éléments constitués de lamellé collé est vérifiée avant et après vieillissement.</w:t>
      </w:r>
    </w:p>
    <w:p w14:paraId="45D5B8E6" w14:textId="77777777" w:rsidR="00772179" w:rsidRDefault="00000000">
      <w:pPr>
        <w:jc w:val="both"/>
      </w:pPr>
      <w:r>
        <w:t>Pour les menuiseries de réemploi, la qualité du bois est confirmée par l’aptitude du châssis à l’utilisation initiale (l’utilisation – contraintes d’humidité et de température lors du réemploi est similaire) les vérifications de la qualité du bois est effectuée de manière visuelle et à l’aide d’un pointeau (tout bois ayant perdu ses caractéristiques est remplacé).</w:t>
      </w:r>
    </w:p>
    <w:p w14:paraId="33232C64" w14:textId="77777777" w:rsidR="00772179" w:rsidRDefault="00000000">
      <w:pPr>
        <w:jc w:val="both"/>
      </w:pPr>
      <w:r>
        <w:rPr>
          <w:b/>
          <w:u w:val="single"/>
        </w:rPr>
        <w:t>Protection du bois</w:t>
      </w:r>
    </w:p>
    <w:p w14:paraId="676AD430" w14:textId="77777777" w:rsidR="00772179" w:rsidRDefault="00000000">
      <w:pPr>
        <w:jc w:val="both"/>
      </w:pPr>
      <w:r>
        <w:t>(voir également  article 81.11.1d Traitements intérieurs biocides sur murs et plafonds minéraux).</w:t>
      </w:r>
    </w:p>
    <w:p w14:paraId="085B29CE" w14:textId="77777777" w:rsidR="00772179" w:rsidRDefault="00000000">
      <w:pPr>
        <w:jc w:val="both"/>
      </w:pPr>
      <w:r>
        <w:t>Avant tout traitement de finition, le bois est dégraissé.</w:t>
      </w:r>
    </w:p>
    <w:p w14:paraId="2C5F7AAF" w14:textId="77777777" w:rsidR="00772179" w:rsidRDefault="00000000">
      <w:pPr>
        <w:jc w:val="both"/>
      </w:pPr>
      <w:r>
        <w:lastRenderedPageBreak/>
        <w:t>Lorsque l’essence de bois ne possède pas une durabilité naturelle suffisante (3 ou supérieure), le bois nécessite un traitement de protection complet. Les traitements de protection comprennent en général deux phases complémentaires : la préservation et la finition. Ils ont des objectifs différents.</w:t>
      </w:r>
    </w:p>
    <w:p w14:paraId="65F263EA" w14:textId="77777777" w:rsidR="00772179" w:rsidRDefault="00000000">
      <w:pPr>
        <w:pStyle w:val="Author-eListParagraph"/>
        <w:numPr>
          <w:ilvl w:val="0"/>
          <w:numId w:val="19"/>
        </w:numPr>
        <w:jc w:val="both"/>
      </w:pPr>
      <w:r>
        <w:t>Les traitements de préservation ont pour objectif de rendre durable un bois qui l’est insuffisamment naturellement pour l’emploi auquel il est destiné.</w:t>
      </w:r>
    </w:p>
    <w:p w14:paraId="1EEFE7C5" w14:textId="77777777" w:rsidR="00772179" w:rsidRDefault="00000000">
      <w:pPr>
        <w:pStyle w:val="Author-eListParagraph"/>
        <w:numPr>
          <w:ilvl w:val="0"/>
          <w:numId w:val="19"/>
        </w:numPr>
        <w:jc w:val="both"/>
      </w:pPr>
      <w:r>
        <w:t>Les traitements de finition assurent une protection physique de la surface, tout en lui conférant une esthétique particulière. Certains d’entre eux sont aussi apporter un complément de préservation à la surface du bois, cependant, ils sont inopérants pour protéger une espèce de bois non durable contre les attaques des insectes et des champignons.</w:t>
      </w:r>
    </w:p>
    <w:p w14:paraId="749B2949" w14:textId="77777777" w:rsidR="00772179" w:rsidRDefault="00000000">
      <w:pPr>
        <w:jc w:val="both"/>
      </w:pPr>
      <w:r>
        <w:t>Le procédé applicable aux fenêtres et portes-fenêtres en bois est le procédé C1 ou équivalent défini dans les [STS 52.1].</w:t>
      </w:r>
    </w:p>
    <w:p w14:paraId="7F8BC29D" w14:textId="77777777" w:rsidR="00772179" w:rsidRDefault="00000000">
      <w:pPr>
        <w:jc w:val="both"/>
      </w:pPr>
      <w:r>
        <w:t>Pour les menuiseries de réemploi, le traitement de préservation est appliqué par badigeonnage ou brossage s’il y a remplacement des traitements de finition. Dans ce cas, le traitement de préservation est effectué après ponçage de la finition initiale.</w:t>
      </w:r>
    </w:p>
    <w:p w14:paraId="2FB5ECDC" w14:textId="77777777" w:rsidR="00772179" w:rsidRDefault="00000000">
      <w:pPr>
        <w:jc w:val="both"/>
      </w:pPr>
      <w:r>
        <w:rPr>
          <w:b/>
          <w:u w:val="single"/>
        </w:rPr>
        <w:t>Profils</w:t>
      </w:r>
    </w:p>
    <w:p w14:paraId="714C7615" w14:textId="77777777" w:rsidR="00772179" w:rsidRDefault="00000000">
      <w:pPr>
        <w:jc w:val="both"/>
      </w:pPr>
      <w:r>
        <w:t>La menuiserie est exclusivement préparée et assemblée en atelier. En cas d’impossibilité pour la réalisation de dimensions particulières, l’entrepreneur soumet à l’architecte la technique de mise en œuvre qu’il compte utiliser sur chantier.</w:t>
      </w:r>
    </w:p>
    <w:p w14:paraId="1D5AEC62" w14:textId="77777777" w:rsidR="00772179" w:rsidRDefault="00000000">
      <w:pPr>
        <w:jc w:val="both"/>
      </w:pPr>
      <w:r>
        <w:t>Toutes les faces du bois sont rabotées, les faces destinées à rester apparentes sont traitées et poncées lisses jusqu'à ce que toutes les traces d'outillage et de traitement aient disparu.</w:t>
      </w:r>
    </w:p>
    <w:p w14:paraId="442B1CAE" w14:textId="77777777" w:rsidR="00772179" w:rsidRDefault="00000000">
      <w:pPr>
        <w:jc w:val="both"/>
      </w:pPr>
      <w:r>
        <w:t>Les vis apparentes, s'il y a lieu, sont placées avec un espacement régulier.</w:t>
      </w:r>
    </w:p>
    <w:p w14:paraId="44F81813" w14:textId="77777777" w:rsidR="00772179" w:rsidRDefault="00000000">
      <w:pPr>
        <w:jc w:val="both"/>
      </w:pPr>
      <w:r>
        <w:t>La feuillure du vitrage est ventilée et pourvue d’un écoulement dans le cas de double vitrage (selon la [NIT 214], [NIT 221] et [NBN S 23-002]).</w:t>
      </w:r>
    </w:p>
    <w:p w14:paraId="7CC07B13" w14:textId="77777777" w:rsidR="00772179" w:rsidRDefault="00000000">
      <w:pPr>
        <w:jc w:val="both"/>
      </w:pPr>
      <w:r>
        <w:t>Tous les organes de suspension, de fermeture et de transmission des efforts de manœuvre permettent un fonctionnement aisé. Ils sont confectionnés avec un matériau approprié à leur fonction, compatible avec les espèces de bois et suffisamment résistant à la corrosion vis-à-vis de l’environnement. En particulier, ils résistent aux résines d’exsudation du bois.</w:t>
      </w:r>
    </w:p>
    <w:p w14:paraId="7F3E7080" w14:textId="77777777" w:rsidR="00772179" w:rsidRDefault="00000000">
      <w:pPr>
        <w:jc w:val="both"/>
      </w:pPr>
      <w:r>
        <w:t>La marque, la série, le nombre de points de rotation et de fermeture sont conformes aux spécifications techniques du fabricant de quincaillerie et aux performances à atteindre.</w:t>
      </w:r>
    </w:p>
    <w:p w14:paraId="196ECE39" w14:textId="77777777" w:rsidR="00772179" w:rsidRDefault="00000000">
      <w:pPr>
        <w:jc w:val="both"/>
      </w:pPr>
      <w:r>
        <w:t>Les profilés de drainage éventuels en aluminium sont posés conformément à la documentation technique accompagnant le produit et sont munis des pièces d'about nécessaires. Leurs faces de contact sont en outre revêtues de silicones, notamment au droit des jonctions suivantes :</w:t>
      </w:r>
    </w:p>
    <w:p w14:paraId="4AEA0D97" w14:textId="77777777" w:rsidR="00772179" w:rsidRDefault="00000000">
      <w:pPr>
        <w:pStyle w:val="Author-eListParagraph"/>
        <w:numPr>
          <w:ilvl w:val="0"/>
          <w:numId w:val="20"/>
        </w:numPr>
        <w:jc w:val="both"/>
      </w:pPr>
      <w:r>
        <w:t>entre le profilé en aluminium et le bâti dormant</w:t>
      </w:r>
    </w:p>
    <w:p w14:paraId="10182C21" w14:textId="77777777" w:rsidR="00772179" w:rsidRDefault="00000000">
      <w:pPr>
        <w:pStyle w:val="Author-eListParagraph"/>
        <w:numPr>
          <w:ilvl w:val="0"/>
          <w:numId w:val="20"/>
        </w:numPr>
        <w:jc w:val="both"/>
      </w:pPr>
      <w:r>
        <w:t xml:space="preserve">entre le profilé en aluminium et les pièces d'about </w:t>
      </w:r>
    </w:p>
    <w:p w14:paraId="0A61B267" w14:textId="77777777" w:rsidR="00772179" w:rsidRDefault="00000000">
      <w:pPr>
        <w:pStyle w:val="Author-eListParagraph"/>
        <w:numPr>
          <w:ilvl w:val="1"/>
          <w:numId w:val="21"/>
        </w:numPr>
        <w:jc w:val="both"/>
      </w:pPr>
      <w:r>
        <w:t>entre les abouts et le bâti dormant</w:t>
      </w:r>
    </w:p>
    <w:p w14:paraId="6105C6AC" w14:textId="77777777" w:rsidR="00772179" w:rsidRDefault="00000000">
      <w:pPr>
        <w:pStyle w:val="Author-eListParagraph"/>
        <w:numPr>
          <w:ilvl w:val="1"/>
          <w:numId w:val="21"/>
        </w:numPr>
        <w:jc w:val="both"/>
      </w:pPr>
      <w:r>
        <w:t>sauf spécification contraire du maitre de l’ouvrage, les vitrages et/ou les éléments de remplissages sont remplacés de l'intérieur, sauf pour les éléments derrière lesquels se trouve un mur en maçonnerie ;</w:t>
      </w:r>
    </w:p>
    <w:p w14:paraId="35A3A999" w14:textId="77777777" w:rsidR="00772179" w:rsidRDefault="00000000">
      <w:pPr>
        <w:pStyle w:val="Author-eListParagraph"/>
        <w:numPr>
          <w:ilvl w:val="1"/>
          <w:numId w:val="21"/>
        </w:numPr>
        <w:jc w:val="both"/>
      </w:pPr>
      <w:r>
        <w:t>des feuillures ou rainures sont prévues dans les profils des châssis partout où cela s'avère nécessaire pour la finition intérieure (tablettes de fenêtres, caisse à rideaux, habillage latéral, …) ;</w:t>
      </w:r>
    </w:p>
    <w:p w14:paraId="62AE28BF" w14:textId="77777777" w:rsidR="00772179" w:rsidRDefault="00000000">
      <w:pPr>
        <w:pStyle w:val="Author-eListParagraph"/>
        <w:numPr>
          <w:ilvl w:val="1"/>
          <w:numId w:val="21"/>
        </w:numPr>
        <w:jc w:val="both"/>
      </w:pPr>
      <w:r>
        <w:t>les volets éventuellement prévus sont posés.</w:t>
      </w:r>
    </w:p>
    <w:p w14:paraId="4E5E233E" w14:textId="77777777" w:rsidR="00772179" w:rsidRDefault="00000000">
      <w:pPr>
        <w:jc w:val="both"/>
      </w:pPr>
      <w:r>
        <w:t>Après la fabrication, toutes les faces vues sont traitées afin d'éliminer toute trace d'outils et de manutention. </w:t>
      </w:r>
    </w:p>
    <w:p w14:paraId="0C7AE508" w14:textId="77777777" w:rsidR="00772179" w:rsidRDefault="00000000">
      <w:pPr>
        <w:jc w:val="both"/>
      </w:pPr>
      <w:r>
        <w:t xml:space="preserve">Les menuiseries en bois de réemploi sont poncées et reçoivent un rebouchage par pâte. Lorsque les profilés sont dégradés, ceux-ci sont réparés par pâte, par injection, par remplacement de partie du profilé. En l’absence d’analyse des produits de finitions existants ou de descriptif des finitions d’origine, le traitement des finitions nécessite des mesures de protection lors de la mise en œuvre incluant de porter les équipements de protection individuelle EPI (adapté pour produits toxiques) tels </w:t>
      </w:r>
      <w:r>
        <w:lastRenderedPageBreak/>
        <w:t>que des lunettes, un masque et des gants de protection. La préparation du chantier inclut également les séparations et l’isolement afin d’éviter la propagation des poussières de pré-traitement dans les autres zones accessibles de la construction.</w:t>
      </w:r>
    </w:p>
    <w:p w14:paraId="61B11FC6" w14:textId="77777777" w:rsidR="00772179" w:rsidRDefault="00000000">
      <w:pPr>
        <w:pStyle w:val="pheading"/>
      </w:pPr>
      <w:r>
        <w:t>CONTRÔLES</w:t>
      </w:r>
    </w:p>
    <w:p w14:paraId="631CCDC9" w14:textId="77777777" w:rsidR="00772179" w:rsidRDefault="00000000">
      <w:r>
        <w:t>Pour les menuiseries de réemploi, les contrôles comprennent les points suivants :</w:t>
      </w:r>
    </w:p>
    <w:p w14:paraId="630F9692" w14:textId="77777777" w:rsidR="00772179" w:rsidRDefault="00000000">
      <w:pPr>
        <w:pStyle w:val="Author-eListParagraph"/>
        <w:numPr>
          <w:ilvl w:val="0"/>
          <w:numId w:val="22"/>
        </w:numPr>
        <w:jc w:val="both"/>
      </w:pPr>
      <w:r>
        <w:t>la présence fonctionnelles des drainages de chambres de décompression et de feuillure ;</w:t>
      </w:r>
    </w:p>
    <w:p w14:paraId="68105739" w14:textId="77777777" w:rsidR="00772179" w:rsidRDefault="00000000">
      <w:pPr>
        <w:pStyle w:val="Author-eListParagraph"/>
        <w:numPr>
          <w:ilvl w:val="0"/>
          <w:numId w:val="22"/>
        </w:numPr>
        <w:jc w:val="both"/>
      </w:pPr>
      <w:r>
        <w:t>l’étanchéité des angles via humidification ou la traversée des assemblage d’angle par utilisation d’une jauge d’épaisseur de 0.1 mm d’épaisseur ;</w:t>
      </w:r>
    </w:p>
    <w:p w14:paraId="55EF0D08" w14:textId="77777777" w:rsidR="00772179" w:rsidRDefault="00000000">
      <w:pPr>
        <w:pStyle w:val="Author-eListParagraph"/>
        <w:numPr>
          <w:ilvl w:val="0"/>
          <w:numId w:val="22"/>
        </w:numPr>
        <w:jc w:val="both"/>
      </w:pPr>
      <w:r>
        <w:t>la qualité du bois par vérification visuelle ou poinçonnement ;</w:t>
      </w:r>
    </w:p>
    <w:p w14:paraId="4ED3D841" w14:textId="77777777" w:rsidR="00772179" w:rsidRDefault="00000000">
      <w:pPr>
        <w:pStyle w:val="Author-eListParagraph"/>
        <w:numPr>
          <w:ilvl w:val="0"/>
          <w:numId w:val="22"/>
        </w:numPr>
        <w:jc w:val="both"/>
      </w:pPr>
      <w:r>
        <w:t>la qualité des mastics ;</w:t>
      </w:r>
    </w:p>
    <w:p w14:paraId="301C021E" w14:textId="77777777" w:rsidR="00772179" w:rsidRDefault="00000000">
      <w:pPr>
        <w:pStyle w:val="Author-eListParagraph"/>
        <w:numPr>
          <w:ilvl w:val="0"/>
          <w:numId w:val="22"/>
        </w:numPr>
        <w:jc w:val="both"/>
      </w:pPr>
      <w:r>
        <w:t>la qualité et le réglage des points de fermeture ;</w:t>
      </w:r>
    </w:p>
    <w:p w14:paraId="3D89FDD5" w14:textId="77777777" w:rsidR="00772179" w:rsidRDefault="00000000">
      <w:pPr>
        <w:pStyle w:val="Author-eListParagraph"/>
        <w:numPr>
          <w:ilvl w:val="0"/>
          <w:numId w:val="22"/>
        </w:numPr>
        <w:jc w:val="both"/>
      </w:pPr>
      <w:r>
        <w:t>la qualité des points de suspension et de la quincaillerie ;</w:t>
      </w:r>
    </w:p>
    <w:p w14:paraId="71DBB269" w14:textId="77777777" w:rsidR="00772179" w:rsidRDefault="00000000">
      <w:pPr>
        <w:pStyle w:val="Author-eListParagraph"/>
        <w:numPr>
          <w:ilvl w:val="0"/>
          <w:numId w:val="22"/>
        </w:numPr>
        <w:jc w:val="both"/>
      </w:pPr>
      <w:r>
        <w:t>la rectitude des ouvrants (égalité des diagonales) ;</w:t>
      </w:r>
    </w:p>
    <w:p w14:paraId="145864C7" w14:textId="77777777" w:rsidR="00772179" w:rsidRDefault="00000000">
      <w:pPr>
        <w:pStyle w:val="Author-eListParagraph"/>
        <w:numPr>
          <w:ilvl w:val="0"/>
          <w:numId w:val="22"/>
        </w:numPr>
        <w:jc w:val="both"/>
      </w:pPr>
      <w:r>
        <w:t>la qualité mécanique des assemblages.</w:t>
      </w:r>
    </w:p>
    <w:p w14:paraId="1E1ED8DF" w14:textId="77777777" w:rsidR="00772179" w:rsidRDefault="00000000">
      <w:pPr>
        <w:pStyle w:val="pheading"/>
      </w:pPr>
      <w:r>
        <w:t>DOCUMENTS DE RÉFÉRENCE</w:t>
      </w:r>
    </w:p>
    <w:p w14:paraId="2072ADCB" w14:textId="77777777" w:rsidR="00772179" w:rsidRDefault="00000000">
      <w:pPr>
        <w:pStyle w:val="pheading"/>
      </w:pPr>
      <w:r>
        <w:t>- Matériau</w:t>
      </w:r>
    </w:p>
    <w:p w14:paraId="6A8202DC" w14:textId="77777777" w:rsidR="00772179" w:rsidRDefault="00000000">
      <w:r>
        <w:t>[STS 52.1, Menuiseries extérieures en bois]</w:t>
      </w:r>
    </w:p>
    <w:p w14:paraId="18B4A204" w14:textId="77777777" w:rsidR="00772179" w:rsidRDefault="00000000">
      <w:r>
        <w:t>[STS 04.3, Bois et panneaux à base de bois : traitements du bois]</w:t>
      </w:r>
    </w:p>
    <w:p w14:paraId="64B8431A" w14:textId="77777777" w:rsidR="00772179" w:rsidRDefault="00000000">
      <w:r>
        <w:t>[NIT 214, Le verre et les produits verriers - Les fonctions des vitrages.]</w:t>
      </w:r>
    </w:p>
    <w:p w14:paraId="0BF31982" w14:textId="77777777" w:rsidR="00772179" w:rsidRDefault="00000000">
      <w:r>
        <w:t>[NIT 221, La pose des vitrages en feuillure (Les NIT 214 et 221 remplacent les NIT 110 et 113).]</w:t>
      </w:r>
    </w:p>
    <w:p w14:paraId="08265AA2" w14:textId="77777777" w:rsidR="00772179" w:rsidRDefault="00000000">
      <w:r>
        <w:t>[NBN S 23-002, Vitrerie]</w:t>
      </w:r>
    </w:p>
    <w:p w14:paraId="426FBA7D" w14:textId="77777777" w:rsidR="00772179" w:rsidRDefault="00000000">
      <w:r>
        <w:t>[NIT 286, La pose des menuiseries extérieures Partie 2 : Mise en oeuvre de châssis en bois dans des murs creux]</w:t>
      </w:r>
    </w:p>
    <w:p w14:paraId="53522BBE" w14:textId="77777777" w:rsidR="00772179" w:rsidRDefault="00000000">
      <w:pPr>
        <w:pStyle w:val="pheading"/>
      </w:pPr>
      <w:r>
        <w:t>- Exécution</w:t>
      </w:r>
    </w:p>
    <w:p w14:paraId="12650C2A" w14:textId="77777777" w:rsidR="00772179" w:rsidRDefault="00000000">
      <w:r>
        <w:t>[NIT 286, La pose des menuiseries extérieures Partie 2 : Mise en oeuvre de châssis en bois dans des murs creux]</w:t>
      </w:r>
    </w:p>
    <w:p w14:paraId="49906F90" w14:textId="77777777" w:rsidR="00772179" w:rsidRDefault="00000000">
      <w:pPr>
        <w:pStyle w:val="Author-eSectionHeading5Numberless"/>
      </w:pPr>
      <w:bookmarkStart w:id="8" w:name="_Toc220489769"/>
      <w:r>
        <w:t>41.11.1 Fenêtres et portes-fenêtres en bois CCTB 01.08</w:t>
      </w:r>
      <w:bookmarkEnd w:id="8"/>
    </w:p>
    <w:p w14:paraId="4514CC04" w14:textId="77777777" w:rsidR="00772179" w:rsidRDefault="00000000">
      <w:pPr>
        <w:pStyle w:val="Author-eSectionHeading6Numberless"/>
      </w:pPr>
      <w:bookmarkStart w:id="9" w:name="66"/>
      <w:bookmarkStart w:id="10" w:name="_Toc220489770"/>
      <w:bookmarkEnd w:id="9"/>
      <w:r>
        <w:t>41.11.1a Fenêtres et portes-fenêtres en bois CCTB 01.11</w:t>
      </w:r>
      <w:bookmarkEnd w:id="10"/>
    </w:p>
    <w:p w14:paraId="49E39416" w14:textId="77777777" w:rsidR="00772179" w:rsidRDefault="00000000">
      <w:pPr>
        <w:pStyle w:val="pheading"/>
      </w:pPr>
      <w:bookmarkStart w:id="11" w:name="67"/>
      <w:bookmarkEnd w:id="11"/>
      <w:r>
        <w:t>DESCRIPTION</w:t>
      </w:r>
    </w:p>
    <w:p w14:paraId="3AB4F9A4" w14:textId="77777777" w:rsidR="00772179" w:rsidRDefault="00000000">
      <w:pPr>
        <w:pStyle w:val="pheading"/>
      </w:pPr>
      <w:r>
        <w:t>- Définition / Comprend</w:t>
      </w:r>
    </w:p>
    <w:p w14:paraId="4BD9E6C3" w14:textId="77777777" w:rsidR="00772179" w:rsidRDefault="00000000">
      <w:pPr>
        <w:jc w:val="both"/>
      </w:pPr>
      <w:r>
        <w:t>Il s’agit de la fourniture (hors matériaux récupérés du même site) et la pose de fenêtres et portes-fenêtres extérieures en bois.</w:t>
      </w:r>
    </w:p>
    <w:p w14:paraId="0176AD0C" w14:textId="77777777" w:rsidR="00772179" w:rsidRDefault="00000000">
      <w:pPr>
        <w:jc w:val="both"/>
      </w:pPr>
      <w:r>
        <w:t>Le travail comprend notamment :</w:t>
      </w:r>
    </w:p>
    <w:p w14:paraId="40D94F8B" w14:textId="77777777" w:rsidR="00772179" w:rsidRDefault="00000000">
      <w:pPr>
        <w:pStyle w:val="Author-eListParagraph"/>
        <w:numPr>
          <w:ilvl w:val="0"/>
          <w:numId w:val="23"/>
        </w:numPr>
        <w:jc w:val="both"/>
      </w:pPr>
      <w:r>
        <w:t>la pose, resserrage,</w:t>
      </w:r>
    </w:p>
    <w:p w14:paraId="6BCD6B73" w14:textId="77777777" w:rsidR="00772179" w:rsidRDefault="00000000">
      <w:pPr>
        <w:pStyle w:val="Author-eListParagraph"/>
        <w:numPr>
          <w:ilvl w:val="0"/>
          <w:numId w:val="23"/>
        </w:numPr>
        <w:jc w:val="both"/>
      </w:pPr>
      <w:r>
        <w:t>la finition et le réglage des menuiseries extérieures    </w:t>
      </w:r>
    </w:p>
    <w:p w14:paraId="42A00BEB" w14:textId="77777777" w:rsidR="00772179" w:rsidRDefault="00000000">
      <w:pPr>
        <w:pStyle w:val="pheading"/>
      </w:pPr>
      <w:r>
        <w:t>MATÉRIAUX</w:t>
      </w:r>
    </w:p>
    <w:p w14:paraId="10F61B01" w14:textId="77777777" w:rsidR="00772179" w:rsidRDefault="00000000">
      <w:pPr>
        <w:pStyle w:val="pheading"/>
      </w:pPr>
      <w:r>
        <w:t>- Caractéristiques générales</w:t>
      </w:r>
    </w:p>
    <w:p w14:paraId="4C76A6AA" w14:textId="77777777" w:rsidR="00772179" w:rsidRDefault="00000000">
      <w:pPr>
        <w:jc w:val="both"/>
      </w:pPr>
      <w:r>
        <w:t xml:space="preserve">Les fenêtres et portes-fenêtres sont en bois de type </w:t>
      </w:r>
      <w:r>
        <w:rPr>
          <w:rStyle w:val="optioncarChar"/>
        </w:rPr>
        <w:t>Chêne</w:t>
      </w:r>
      <w:r>
        <w:t xml:space="preserve"> (par défaut)</w:t>
      </w:r>
      <w:r>
        <w:rPr>
          <w:rStyle w:val="optioncarChar"/>
        </w:rPr>
        <w:t> / Méranti / Afzélia Doussié / Merbau / bois modifié thermiquement / ***</w:t>
      </w:r>
      <w:r>
        <w:t xml:space="preserve"> dont les caractéristiques sont conformes aux spécifications reprises dans les [STS 52.1].</w:t>
      </w:r>
    </w:p>
    <w:p w14:paraId="7EE4B586" w14:textId="77777777" w:rsidR="00772179" w:rsidRDefault="00000000">
      <w:pPr>
        <w:pStyle w:val="Author-eListParagraph"/>
        <w:numPr>
          <w:ilvl w:val="0"/>
          <w:numId w:val="24"/>
        </w:numPr>
      </w:pPr>
      <w:r>
        <w:t xml:space="preserve">Dimensions : </w:t>
      </w:r>
      <w:r>
        <w:rPr>
          <w:rStyle w:val="optioncarChar"/>
        </w:rPr>
        <w:t>*** x *** mm / mesurage sur place</w:t>
      </w:r>
      <w:r>
        <w:t xml:space="preserve"> (par défaut) ) </w:t>
      </w:r>
    </w:p>
    <w:p w14:paraId="2714D9DB" w14:textId="77777777" w:rsidR="00772179" w:rsidRDefault="00000000">
      <w:pPr>
        <w:jc w:val="both"/>
      </w:pPr>
      <w:r>
        <w:t xml:space="preserve">Les menuiseries extérieures sont </w:t>
      </w:r>
      <w:r>
        <w:rPr>
          <w:rStyle w:val="optioncarChar"/>
        </w:rPr>
        <w:t xml:space="preserve">neuves </w:t>
      </w:r>
      <w:r>
        <w:t>(par défaut)</w:t>
      </w:r>
      <w:r>
        <w:rPr>
          <w:rStyle w:val="optioncarChar"/>
        </w:rPr>
        <w:t xml:space="preserve"> / de réemploi.</w:t>
      </w:r>
    </w:p>
    <w:p w14:paraId="65F669EB" w14:textId="77777777" w:rsidR="00772179" w:rsidRDefault="00000000">
      <w:pPr>
        <w:ind w:left="567"/>
        <w:jc w:val="both"/>
      </w:pPr>
      <w:r>
        <w:rPr>
          <w:b/>
          <w:i/>
        </w:rPr>
        <w:lastRenderedPageBreak/>
        <w:t>(soit par défaut)</w:t>
      </w:r>
    </w:p>
    <w:p w14:paraId="394A4186" w14:textId="77777777" w:rsidR="00772179" w:rsidRDefault="00000000">
      <w:pPr>
        <w:ind w:left="567"/>
        <w:jc w:val="both"/>
      </w:pPr>
      <w:r>
        <w:rPr>
          <w:rStyle w:val="soitChar"/>
          <w:u w:val="single"/>
        </w:rPr>
        <w:t>Neuves : </w:t>
      </w:r>
    </w:p>
    <w:p w14:paraId="70C093C2" w14:textId="77777777" w:rsidR="00772179" w:rsidRDefault="00000000">
      <w:pPr>
        <w:ind w:left="567"/>
        <w:jc w:val="both"/>
      </w:pPr>
      <w:r>
        <w:rPr>
          <w:rStyle w:val="soitChar"/>
          <w:b/>
        </w:rPr>
        <w:t>Forme et dimensions des profils</w:t>
      </w:r>
    </w:p>
    <w:p w14:paraId="26F170C4" w14:textId="77777777" w:rsidR="00772179" w:rsidRDefault="00000000">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177FC946" w14:textId="77777777" w:rsidR="00772179" w:rsidRDefault="00000000">
      <w:pPr>
        <w:pStyle w:val="Author-eListParagraph"/>
        <w:numPr>
          <w:ilvl w:val="1"/>
          <w:numId w:val="26"/>
        </w:numPr>
      </w:pPr>
      <w:r>
        <w:rPr>
          <w:rStyle w:val="soitChar"/>
        </w:rPr>
        <w:t xml:space="preserve">hauteur du profil : </w:t>
      </w:r>
      <w:r>
        <w:rPr>
          <w:rStyle w:val="optioncarChar"/>
        </w:rPr>
        <w:t xml:space="preserve">80 </w:t>
      </w:r>
      <w:r>
        <w:t>(par défaut)</w:t>
      </w:r>
      <w:r>
        <w:rPr>
          <w:rStyle w:val="optioncarChar"/>
        </w:rPr>
        <w:t>  / ***</w:t>
      </w:r>
      <w:r>
        <w:rPr>
          <w:rStyle w:val="soitChar"/>
        </w:rPr>
        <w:t xml:space="preserve"> mm.</w:t>
      </w:r>
    </w:p>
    <w:p w14:paraId="1C595381" w14:textId="77777777" w:rsidR="00772179" w:rsidRDefault="00000000">
      <w:pPr>
        <w:pStyle w:val="Author-eListParagraph"/>
        <w:numPr>
          <w:ilvl w:val="1"/>
          <w:numId w:val="26"/>
        </w:numPr>
      </w:pPr>
      <w:r>
        <w:rPr>
          <w:rStyle w:val="soitChar"/>
        </w:rPr>
        <w:t xml:space="preserve">profondeur  du profil : </w:t>
      </w:r>
      <w:r>
        <w:rPr>
          <w:rStyle w:val="optioncarChar"/>
        </w:rPr>
        <w:t xml:space="preserve">58 </w:t>
      </w:r>
      <w:r>
        <w:t>(par défaut)</w:t>
      </w:r>
      <w:r>
        <w:rPr>
          <w:rStyle w:val="optioncarChar"/>
        </w:rPr>
        <w:t xml:space="preserve">  / 68 / ***</w:t>
      </w:r>
      <w:r>
        <w:rPr>
          <w:rStyle w:val="soitChar"/>
        </w:rPr>
        <w:t xml:space="preserve"> mm.</w:t>
      </w:r>
    </w:p>
    <w:p w14:paraId="29E543DF" w14:textId="77777777" w:rsidR="00772179" w:rsidRDefault="00000000">
      <w:pPr>
        <w:ind w:left="567"/>
        <w:jc w:val="both"/>
      </w:pPr>
      <w:r>
        <w:rPr>
          <w:rStyle w:val="soitChar"/>
        </w:rPr>
        <w:t> Les profilés disposent</w:t>
      </w:r>
    </w:p>
    <w:p w14:paraId="5B698AD7" w14:textId="77777777" w:rsidR="00772179" w:rsidRDefault="00000000">
      <w:pPr>
        <w:pStyle w:val="Author-eListParagraph"/>
        <w:numPr>
          <w:ilvl w:val="1"/>
          <w:numId w:val="28"/>
        </w:numPr>
      </w:pPr>
      <w:r>
        <w:rPr>
          <w:rStyle w:val="soitChar"/>
        </w:rPr>
        <w:t xml:space="preserve">D’une </w:t>
      </w:r>
      <w:r>
        <w:rPr>
          <w:rStyle w:val="optioncarChar"/>
        </w:rPr>
        <w:t xml:space="preserve">simple / double / triple </w:t>
      </w:r>
      <w:r>
        <w:t xml:space="preserve">(par défaut) </w:t>
      </w:r>
      <w:r>
        <w:rPr>
          <w:rStyle w:val="optioncarChar"/>
        </w:rPr>
        <w:t>/ ***</w:t>
      </w:r>
      <w:r>
        <w:rPr>
          <w:rStyle w:val="soitChar"/>
        </w:rPr>
        <w:t xml:space="preserve"> frappe. </w:t>
      </w:r>
    </w:p>
    <w:p w14:paraId="7B004939" w14:textId="77777777" w:rsidR="00772179" w:rsidRDefault="00000000">
      <w:pPr>
        <w:pStyle w:val="Author-eListParagraph"/>
        <w:numPr>
          <w:ilvl w:val="1"/>
          <w:numId w:val="28"/>
        </w:numPr>
      </w:pPr>
      <w:r>
        <w:rPr>
          <w:rStyle w:val="soitChar"/>
        </w:rPr>
        <w:t xml:space="preserve">De </w:t>
      </w:r>
      <w:r>
        <w:rPr>
          <w:rStyle w:val="optioncarChar"/>
        </w:rPr>
        <w:t xml:space="preserve">1 </w:t>
      </w:r>
      <w:r>
        <w:t>(par défaut)</w:t>
      </w:r>
      <w:r>
        <w:rPr>
          <w:rStyle w:val="optioncarChar"/>
        </w:rPr>
        <w:t xml:space="preserve"> / 2 / 3 / ***</w:t>
      </w:r>
      <w:r>
        <w:rPr>
          <w:rStyle w:val="soitChar"/>
        </w:rPr>
        <w:t xml:space="preserve"> joint(s) </w:t>
      </w:r>
    </w:p>
    <w:p w14:paraId="5505F7DB" w14:textId="77777777" w:rsidR="00772179" w:rsidRDefault="00000000">
      <w:pPr>
        <w:pStyle w:val="Author-eListParagraph"/>
        <w:numPr>
          <w:ilvl w:val="1"/>
          <w:numId w:val="28"/>
        </w:numPr>
      </w:pPr>
      <w:r>
        <w:rPr>
          <w:rStyle w:val="optioncarChar"/>
        </w:rPr>
        <w:t xml:space="preserve">D’une chambre de décompression </w:t>
      </w:r>
      <w:r>
        <w:t xml:space="preserve">(par défaut) </w:t>
      </w:r>
      <w:r>
        <w:rPr>
          <w:rStyle w:val="optioncarChar"/>
        </w:rPr>
        <w:t>/ d’aucune chambre de décompression</w:t>
      </w:r>
      <w:r>
        <w:rPr>
          <w:rStyle w:val="soitChar"/>
        </w:rPr>
        <w:t>.</w:t>
      </w:r>
    </w:p>
    <w:p w14:paraId="610278FA" w14:textId="77777777" w:rsidR="00772179" w:rsidRDefault="00000000">
      <w:pPr>
        <w:ind w:left="567"/>
        <w:jc w:val="both"/>
      </w:pPr>
      <w:r>
        <w:rPr>
          <w:rStyle w:val="soitChar"/>
          <w:b/>
        </w:rPr>
        <w:t>Assemblage des profils</w:t>
      </w:r>
    </w:p>
    <w:p w14:paraId="36E808A8" w14:textId="77777777" w:rsidR="00772179" w:rsidRDefault="00000000">
      <w:pPr>
        <w:ind w:left="567"/>
        <w:jc w:val="both"/>
      </w:pPr>
      <w:r>
        <w:rPr>
          <w:rStyle w:val="soitChar"/>
        </w:rPr>
        <w:t xml:space="preserve">Les assemblages des angles et des extrémités sont exécutés </w:t>
      </w:r>
      <w:r>
        <w:rPr>
          <w:rStyle w:val="optioncarChar"/>
        </w:rPr>
        <w:t xml:space="preserve">à doubles tenons </w:t>
      </w:r>
      <w:r>
        <w:t>(par défaut)</w:t>
      </w:r>
      <w:r>
        <w:rPr>
          <w:rStyle w:val="optioncarChar"/>
        </w:rPr>
        <w:t xml:space="preserve"> / par entures multiples / par assemblage mécanique / ***</w:t>
      </w:r>
      <w:r>
        <w:rPr>
          <w:rStyle w:val="soitChar"/>
        </w:rPr>
        <w:t xml:space="preserve"> et collés avec une colle synthétique minimum D3.</w:t>
      </w:r>
    </w:p>
    <w:p w14:paraId="7EA0D5D7" w14:textId="77777777" w:rsidR="00772179" w:rsidRDefault="00000000">
      <w:pPr>
        <w:ind w:left="567"/>
        <w:jc w:val="both"/>
      </w:pPr>
      <w:r>
        <w:rPr>
          <w:rStyle w:val="soitChar"/>
        </w:rPr>
        <w:t>Après collage, les pièces de bois sont assemblées mécaniquement, les trous ainsi pratiqués sont comblés par un mastic approprié à la finition décrite par ailleurs.</w:t>
      </w:r>
    </w:p>
    <w:p w14:paraId="7B389DE0" w14:textId="77777777" w:rsidR="00772179" w:rsidRDefault="00000000">
      <w:pPr>
        <w:ind w:left="567"/>
        <w:jc w:val="both"/>
      </w:pPr>
      <w:r>
        <w:rPr>
          <w:rStyle w:val="soitChar"/>
          <w:b/>
        </w:rPr>
        <w:t>Performances</w:t>
      </w:r>
    </w:p>
    <w:p w14:paraId="460D957B" w14:textId="77777777" w:rsidR="00772179" w:rsidRDefault="00000000">
      <w:pPr>
        <w:pStyle w:val="Author-eListParagraph"/>
        <w:numPr>
          <w:ilvl w:val="1"/>
          <w:numId w:val="30"/>
        </w:numPr>
      </w:pPr>
      <w:r>
        <w:rPr>
          <w:rStyle w:val="soitChar"/>
        </w:rPr>
        <w:t>Performances thermiques : La valeur Uf est inférieure à  </w:t>
      </w:r>
      <w:r>
        <w:rPr>
          <w:rStyle w:val="optioncarChar"/>
        </w:rPr>
        <w:t xml:space="preserve">1.96 </w:t>
      </w:r>
      <w:r>
        <w:t>(par défaut)</w:t>
      </w:r>
      <w:r>
        <w:rPr>
          <w:rStyle w:val="optioncarChar"/>
        </w:rPr>
        <w:t xml:space="preserve"> / ***</w:t>
      </w:r>
      <w:r>
        <w:rPr>
          <w:rStyle w:val="soitChar"/>
        </w:rPr>
        <w:t xml:space="preserve"> W/m²K</w:t>
      </w:r>
    </w:p>
    <w:p w14:paraId="122C7A4F" w14:textId="77777777" w:rsidR="00772179" w:rsidRDefault="00000000">
      <w:pPr>
        <w:pStyle w:val="Author-eListParagraph"/>
        <w:numPr>
          <w:ilvl w:val="1"/>
          <w:numId w:val="30"/>
        </w:numPr>
      </w:pPr>
      <w:r>
        <w:rPr>
          <w:rStyle w:val="soitChar"/>
        </w:rPr>
        <w:t>Etanchéité à l’air :</w:t>
      </w:r>
      <w:r>
        <w:rPr>
          <w:rStyle w:val="optioncarChar"/>
        </w:rPr>
        <w:t xml:space="preserve"> classe 4 </w:t>
      </w:r>
      <w:r>
        <w:t>(par défaut) </w:t>
      </w:r>
      <w:r>
        <w:rPr>
          <w:rStyle w:val="optioncarChar"/>
        </w:rPr>
        <w:t xml:space="preserve"> /  dont le débit à 50 Pa est inférieur à 0.8 m³/h/m²  /  classe ***  /  ***</w:t>
      </w:r>
    </w:p>
    <w:p w14:paraId="4F5CEE62" w14:textId="77777777" w:rsidR="00772179" w:rsidRDefault="00000000">
      <w:pPr>
        <w:pStyle w:val="Author-eListParagraph"/>
        <w:numPr>
          <w:ilvl w:val="1"/>
          <w:numId w:val="30"/>
        </w:numPr>
      </w:pPr>
      <w:r>
        <w:rPr>
          <w:rStyle w:val="soitChar"/>
        </w:rPr>
        <w:t xml:space="preserve">Etanchéité à l’eau : classe </w:t>
      </w:r>
      <w:r>
        <w:rPr>
          <w:rStyle w:val="optioncarChar"/>
        </w:rPr>
        <w:t>6</w:t>
      </w:r>
      <w:r>
        <w:rPr>
          <w:rStyle w:val="optioncarChar"/>
          <w:vertAlign w:val="subscript"/>
        </w:rPr>
        <w:t xml:space="preserve">A </w:t>
      </w:r>
      <w:r>
        <w:t>(par défaut)</w:t>
      </w:r>
      <w:r>
        <w:rPr>
          <w:rStyle w:val="optioncarChar"/>
        </w:rPr>
        <w:t xml:space="preserve"> / ***</w:t>
      </w:r>
    </w:p>
    <w:p w14:paraId="3B31FC98" w14:textId="77777777" w:rsidR="00772179" w:rsidRDefault="00000000">
      <w:pPr>
        <w:pStyle w:val="Author-eListParagraph"/>
        <w:numPr>
          <w:ilvl w:val="1"/>
          <w:numId w:val="30"/>
        </w:numPr>
      </w:pPr>
      <w:r>
        <w:rPr>
          <w:rStyle w:val="soitChar"/>
        </w:rPr>
        <w:t xml:space="preserve">Résistance au Vent  : classe </w:t>
      </w:r>
      <w:r>
        <w:rPr>
          <w:rStyle w:val="optioncarChar"/>
        </w:rPr>
        <w:t>C3</w:t>
      </w:r>
      <w:r>
        <w:t xml:space="preserve"> (par défaut)</w:t>
      </w:r>
      <w:r>
        <w:rPr>
          <w:rStyle w:val="optioncarChar"/>
        </w:rPr>
        <w:t xml:space="preserve"> / ***</w:t>
      </w:r>
    </w:p>
    <w:p w14:paraId="07B428A4" w14:textId="77777777" w:rsidR="00772179" w:rsidRDefault="00000000">
      <w:pPr>
        <w:pStyle w:val="Author-eListParagraph"/>
        <w:numPr>
          <w:ilvl w:val="1"/>
          <w:numId w:val="30"/>
        </w:numPr>
      </w:pPr>
      <w:r>
        <w:rPr>
          <w:rStyle w:val="soitChar"/>
        </w:rPr>
        <w:t xml:space="preserve">D’effort de manœuvre : classe </w:t>
      </w:r>
      <w:r>
        <w:rPr>
          <w:rStyle w:val="optioncarChar"/>
        </w:rPr>
        <w:t xml:space="preserve">1 </w:t>
      </w:r>
      <w:r>
        <w:t>(par défaut)</w:t>
      </w:r>
      <w:r>
        <w:rPr>
          <w:rStyle w:val="optioncarChar"/>
        </w:rPr>
        <w:t xml:space="preserve"> / 2 (PMR) / ***</w:t>
      </w:r>
    </w:p>
    <w:p w14:paraId="2587D1C1" w14:textId="77777777" w:rsidR="00772179" w:rsidRDefault="00000000">
      <w:pPr>
        <w:pStyle w:val="Author-eListParagraph"/>
        <w:numPr>
          <w:ilvl w:val="1"/>
          <w:numId w:val="30"/>
        </w:numPr>
      </w:pPr>
      <w:r>
        <w:rPr>
          <w:rStyle w:val="soitChar"/>
        </w:rPr>
        <w:t xml:space="preserve">Abus d’Utilisation : classe </w:t>
      </w:r>
      <w:r>
        <w:rPr>
          <w:rStyle w:val="optioncarChar"/>
        </w:rPr>
        <w:t xml:space="preserve">3 </w:t>
      </w:r>
      <w:r>
        <w:t>(par défaut)</w:t>
      </w:r>
      <w:r>
        <w:rPr>
          <w:rStyle w:val="optioncarChar"/>
        </w:rPr>
        <w:t xml:space="preserve"> / 4 (écoles, bâtiments publics) / ***</w:t>
      </w:r>
    </w:p>
    <w:p w14:paraId="6686991A" w14:textId="77777777" w:rsidR="00772179" w:rsidRDefault="00000000">
      <w:pPr>
        <w:pStyle w:val="Author-eListParagraph"/>
        <w:numPr>
          <w:ilvl w:val="1"/>
          <w:numId w:val="30"/>
        </w:numPr>
      </w:pPr>
      <w:r>
        <w:rPr>
          <w:rStyle w:val="soitChar"/>
        </w:rPr>
        <w:t xml:space="preserve">Performances acoustiques D Atr = </w:t>
      </w:r>
      <w:r>
        <w:rPr>
          <w:rStyle w:val="optioncarChar"/>
        </w:rPr>
        <w:t>39 </w:t>
      </w:r>
      <w:r>
        <w:t xml:space="preserve">(par défaut) </w:t>
      </w:r>
      <w:r>
        <w:rPr>
          <w:rStyle w:val="optioncarChar"/>
        </w:rPr>
        <w:t xml:space="preserve">/ 42 / *** </w:t>
      </w:r>
      <w:r>
        <w:rPr>
          <w:rStyle w:val="soitChar"/>
        </w:rPr>
        <w:t>dB</w:t>
      </w:r>
    </w:p>
    <w:p w14:paraId="54AC58EE" w14:textId="77777777" w:rsidR="00772179" w:rsidRDefault="00000000">
      <w:pPr>
        <w:pStyle w:val="Author-eListParagraph"/>
        <w:numPr>
          <w:ilvl w:val="1"/>
          <w:numId w:val="30"/>
        </w:numPr>
      </w:pPr>
      <w:r>
        <w:rPr>
          <w:rStyle w:val="soitChar"/>
        </w:rPr>
        <w:t xml:space="preserve">Résistance à l’effraction : classe </w:t>
      </w:r>
      <w:r>
        <w:rPr>
          <w:rStyle w:val="optioncarChar"/>
        </w:rPr>
        <w:t xml:space="preserve">0 </w:t>
      </w:r>
      <w:r>
        <w:t>(par défaut)</w:t>
      </w:r>
      <w:r>
        <w:rPr>
          <w:rStyle w:val="optioncarChar"/>
        </w:rPr>
        <w:t xml:space="preserve"> /1 (sans performance particulière) / 2 (résistance à l’effraction de base) / ***</w:t>
      </w:r>
    </w:p>
    <w:p w14:paraId="72DC7E2C" w14:textId="77777777" w:rsidR="00772179" w:rsidRDefault="00000000">
      <w:pPr>
        <w:pStyle w:val="Author-eListParagraph"/>
        <w:numPr>
          <w:ilvl w:val="1"/>
          <w:numId w:val="30"/>
        </w:numPr>
      </w:pPr>
      <w:r>
        <w:rPr>
          <w:rStyle w:val="soitChar"/>
        </w:rPr>
        <w:t xml:space="preserve">Résistance à l’explosion : </w:t>
      </w:r>
      <w:r>
        <w:rPr>
          <w:rStyle w:val="optioncarChar"/>
        </w:rPr>
        <w:t xml:space="preserve">pas de performance </w:t>
      </w:r>
      <w:r>
        <w:t>(par défaut)</w:t>
      </w:r>
      <w:r>
        <w:rPr>
          <w:rStyle w:val="optioncarChar"/>
        </w:rPr>
        <w:t xml:space="preserve"> / ***</w:t>
      </w:r>
    </w:p>
    <w:p w14:paraId="0FE1446A" w14:textId="77777777" w:rsidR="00772179" w:rsidRDefault="00000000">
      <w:pPr>
        <w:pStyle w:val="Author-eListParagraph"/>
        <w:numPr>
          <w:ilvl w:val="1"/>
          <w:numId w:val="30"/>
        </w:numPr>
      </w:pPr>
      <w:r>
        <w:rPr>
          <w:rStyle w:val="soitChar"/>
        </w:rPr>
        <w:t xml:space="preserve">Résistance aux balles :  </w:t>
      </w:r>
      <w:r>
        <w:rPr>
          <w:rStyle w:val="optioncarChar"/>
        </w:rPr>
        <w:t>pas de performance</w:t>
      </w:r>
      <w:r>
        <w:t xml:space="preserve"> (par défaut)</w:t>
      </w:r>
      <w:r>
        <w:rPr>
          <w:rStyle w:val="optioncarChar"/>
        </w:rPr>
        <w:t xml:space="preserve"> / ***</w:t>
      </w:r>
    </w:p>
    <w:p w14:paraId="500A55AC" w14:textId="77777777" w:rsidR="00772179" w:rsidRDefault="00000000">
      <w:pPr>
        <w:pStyle w:val="Author-eListParagraph"/>
        <w:numPr>
          <w:ilvl w:val="1"/>
          <w:numId w:val="30"/>
        </w:numPr>
      </w:pPr>
      <w:r>
        <w:rPr>
          <w:rStyle w:val="soitChar"/>
        </w:rPr>
        <w:t xml:space="preserve">Résistance et réaction au feu : </w:t>
      </w:r>
      <w:r>
        <w:rPr>
          <w:rStyle w:val="optioncarChar"/>
        </w:rPr>
        <w:t xml:space="preserve">pas de performance </w:t>
      </w:r>
      <w:r>
        <w:t>(par défaut)</w:t>
      </w:r>
      <w:r>
        <w:rPr>
          <w:rStyle w:val="optioncarChar"/>
        </w:rPr>
        <w:t xml:space="preserve">  / ***</w:t>
      </w:r>
    </w:p>
    <w:p w14:paraId="3785860B" w14:textId="77777777" w:rsidR="00772179" w:rsidRDefault="00000000">
      <w:pPr>
        <w:pStyle w:val="Author-eListParagraph"/>
        <w:numPr>
          <w:ilvl w:val="1"/>
          <w:numId w:val="30"/>
        </w:numPr>
      </w:pPr>
      <w:r>
        <w:rPr>
          <w:rStyle w:val="soitChar"/>
        </w:rPr>
        <w:t>Résistance aux chocs : classe </w:t>
      </w:r>
      <w:r>
        <w:rPr>
          <w:rStyle w:val="optioncarChar"/>
        </w:rPr>
        <w:t xml:space="preserve">2 </w:t>
      </w:r>
      <w:r>
        <w:t xml:space="preserve">(par défaut) </w:t>
      </w:r>
      <w:r>
        <w:rPr>
          <w:rStyle w:val="optioncarChar"/>
        </w:rPr>
        <w:t>/ ***</w:t>
      </w:r>
      <w:r>
        <w:t> </w:t>
      </w:r>
    </w:p>
    <w:p w14:paraId="187436AE" w14:textId="77777777" w:rsidR="00772179" w:rsidRDefault="00000000">
      <w:pPr>
        <w:ind w:left="567"/>
        <w:jc w:val="both"/>
      </w:pPr>
      <w:r>
        <w:rPr>
          <w:rStyle w:val="soitChar"/>
          <w:b/>
        </w:rPr>
        <w:t>Types de menuiseries extérieures</w:t>
      </w:r>
    </w:p>
    <w:p w14:paraId="3D626D27" w14:textId="77777777" w:rsidR="00772179" w:rsidRDefault="00000000">
      <w:pPr>
        <w:pStyle w:val="Author-eListParagraph"/>
        <w:numPr>
          <w:ilvl w:val="1"/>
          <w:numId w:val="32"/>
        </w:numPr>
      </w:pPr>
      <w:r>
        <w:rPr>
          <w:rStyle w:val="soitChar"/>
        </w:rPr>
        <w:t xml:space="preserve">Fenêtre et porte fenêtre : </w:t>
      </w:r>
      <w:r>
        <w:rPr>
          <w:rStyle w:val="optioncarChar"/>
        </w:rPr>
        <w:t>fixe / à vantaux ouvrant / oscillo-battante</w:t>
      </w:r>
      <w:r>
        <w:t xml:space="preserve"> (par défaut) </w:t>
      </w:r>
      <w:r>
        <w:rPr>
          <w:rStyle w:val="optioncarChar"/>
        </w:rPr>
        <w:t>/ basculante / coulissante / levant-coulissante / projetante / pivotante / basculante-coulissante / inclinée / composée / ***.</w:t>
      </w:r>
      <w:r>
        <w:br/>
      </w:r>
    </w:p>
    <w:p w14:paraId="04025700" w14:textId="77777777" w:rsidR="00772179" w:rsidRDefault="00000000">
      <w:pPr>
        <w:pStyle w:val="Author-eListParagraph"/>
        <w:numPr>
          <w:ilvl w:val="1"/>
          <w:numId w:val="32"/>
        </w:numPr>
      </w:pPr>
      <w:r>
        <w:rPr>
          <w:rStyle w:val="soitChar"/>
        </w:rPr>
        <w:t xml:space="preserve">Remplissage : </w:t>
      </w:r>
      <w:r>
        <w:rPr>
          <w:rStyle w:val="optioncarChar"/>
        </w:rPr>
        <w:t xml:space="preserve">Vitrages doubles – Gaz (cfr </w:t>
      </w:r>
      <w:hyperlink w:anchor="878" w:history="1">
        <w:r>
          <w:rPr>
            <w:rStyle w:val="optioncarChar"/>
            <w:color w:val="0000EE"/>
          </w:rPr>
          <w:t>42.22.1a Vitrages doubles - Gaz</w:t>
        </w:r>
      </w:hyperlink>
      <w:r>
        <w:rPr>
          <w:rStyle w:val="optioncarChar"/>
        </w:rPr>
        <w:t xml:space="preserve">) </w:t>
      </w:r>
      <w:r>
        <w:t>(par défaut)</w:t>
      </w:r>
      <w:r>
        <w:rPr>
          <w:rStyle w:val="optioncarChar"/>
        </w:rPr>
        <w:t xml:space="preserve"> / Vitrages triple – Gaz (cfr </w:t>
      </w:r>
      <w:hyperlink w:anchor="879" w:history="1">
        <w:r>
          <w:rPr>
            <w:rStyle w:val="optioncarChar"/>
            <w:color w:val="0000EE"/>
          </w:rPr>
          <w:t>42.22.2a Vitrages triples - Gaz</w:t>
        </w:r>
      </w:hyperlink>
      <w:r>
        <w:rPr>
          <w:rStyle w:val="optioncarChar"/>
        </w:rPr>
        <w:t xml:space="preserve">)/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br/>
      </w:r>
    </w:p>
    <w:p w14:paraId="68D048B4" w14:textId="77777777" w:rsidR="00772179" w:rsidRDefault="00000000">
      <w:pPr>
        <w:pStyle w:val="Author-eListParagraph"/>
        <w:numPr>
          <w:ilvl w:val="1"/>
          <w:numId w:val="32"/>
        </w:numPr>
      </w:pPr>
      <w:r>
        <w:rPr>
          <w:rStyle w:val="soitChar"/>
        </w:rPr>
        <w:t xml:space="preserve">Quincailleries : </w:t>
      </w:r>
      <w:r>
        <w:rPr>
          <w:rStyle w:val="optioncarChar"/>
        </w:rPr>
        <w:t xml:space="preserve">conforme à la documentation technique du produit </w:t>
      </w:r>
      <w:r>
        <w:t>(par défaut)</w:t>
      </w:r>
      <w:r>
        <w:rPr>
          <w:rStyle w:val="optioncarChar"/>
        </w:rPr>
        <w:t xml:space="preserve"> / ***</w:t>
      </w:r>
    </w:p>
    <w:p w14:paraId="198219F4" w14:textId="77777777" w:rsidR="00772179" w:rsidRDefault="00000000">
      <w:pPr>
        <w:pStyle w:val="Author-eListParagraph"/>
        <w:numPr>
          <w:ilvl w:val="2"/>
          <w:numId w:val="33"/>
        </w:numPr>
      </w:pPr>
      <w:r>
        <w:rPr>
          <w:color w:val="33CCCC"/>
        </w:rPr>
        <w:t xml:space="preserve">Cfr. Article </w:t>
      </w:r>
      <w:hyperlink w:anchor="881" w:history="1">
        <w:r>
          <w:rPr>
            <w:color w:val="0000EE"/>
          </w:rPr>
          <w:t>41.72.1a Charnières et paumelles</w:t>
        </w:r>
      </w:hyperlink>
    </w:p>
    <w:p w14:paraId="2F2A6315" w14:textId="77777777" w:rsidR="00772179" w:rsidRDefault="00000000">
      <w:pPr>
        <w:pStyle w:val="Author-eListParagraph"/>
        <w:numPr>
          <w:ilvl w:val="2"/>
          <w:numId w:val="33"/>
        </w:numPr>
      </w:pPr>
      <w:r>
        <w:rPr>
          <w:color w:val="33CCCC"/>
        </w:rPr>
        <w:t xml:space="preserve">Cfr. Article </w:t>
      </w:r>
      <w:hyperlink w:anchor="882" w:history="1">
        <w:r>
          <w:rPr>
            <w:color w:val="0000EE"/>
          </w:rPr>
          <w:t>41.72.3a Poignées</w:t>
        </w:r>
      </w:hyperlink>
      <w:r>
        <w:t> </w:t>
      </w:r>
    </w:p>
    <w:p w14:paraId="0827F460" w14:textId="77777777" w:rsidR="00772179" w:rsidRDefault="00000000">
      <w:pPr>
        <w:ind w:left="567"/>
        <w:jc w:val="both"/>
      </w:pPr>
      <w:r>
        <w:rPr>
          <w:rStyle w:val="soitChar"/>
          <w:b/>
        </w:rPr>
        <w:t>Vitrages et panneaux de remplissage</w:t>
      </w:r>
    </w:p>
    <w:p w14:paraId="7FD6AEE2" w14:textId="77777777" w:rsidR="00772179" w:rsidRDefault="00000000">
      <w:pPr>
        <w:ind w:left="567"/>
        <w:jc w:val="both"/>
      </w:pPr>
      <w:r>
        <w:rPr>
          <w:rStyle w:val="soitChar"/>
        </w:rPr>
        <w:lastRenderedPageBreak/>
        <w:t xml:space="preserve">(Voir section </w:t>
      </w:r>
      <w:hyperlink w:anchor="852" w:history="1">
        <w:r>
          <w:rPr>
            <w:rStyle w:val="soitChar"/>
            <w:color w:val="0000EE"/>
          </w:rPr>
          <w:t>42 Vitrages extérieurs et éléments de remplissage</w:t>
        </w:r>
      </w:hyperlink>
      <w:r>
        <w:rPr>
          <w:rStyle w:val="soitChar"/>
        </w:rPr>
        <w:t>)</w:t>
      </w:r>
      <w:r>
        <w:t> </w:t>
      </w:r>
    </w:p>
    <w:p w14:paraId="6A001427" w14:textId="77777777" w:rsidR="00772179" w:rsidRDefault="00000000">
      <w:pPr>
        <w:ind w:left="567"/>
        <w:jc w:val="both"/>
      </w:pPr>
      <w:r>
        <w:rPr>
          <w:b/>
          <w:i/>
        </w:rPr>
        <w:t>(soit)</w:t>
      </w:r>
    </w:p>
    <w:p w14:paraId="20120658" w14:textId="77777777" w:rsidR="00772179" w:rsidRDefault="00000000">
      <w:pPr>
        <w:ind w:left="567"/>
        <w:jc w:val="both"/>
      </w:pPr>
      <w:r>
        <w:rPr>
          <w:rStyle w:val="soitChar"/>
          <w:u w:val="single"/>
        </w:rPr>
        <w:t>Réemploi :</w:t>
      </w:r>
    </w:p>
    <w:p w14:paraId="6E8A2034" w14:textId="77777777" w:rsidR="00772179" w:rsidRDefault="00000000">
      <w:pPr>
        <w:ind w:left="567"/>
        <w:jc w:val="both"/>
      </w:pPr>
      <w:r>
        <w:rPr>
          <w:rStyle w:val="soitChar"/>
        </w:rPr>
        <w:t xml:space="preserve">Il s’agit de fenêtres et portes-fenêtres issues </w:t>
      </w:r>
      <w:r>
        <w:rPr>
          <w:rStyle w:val="optioncarChar"/>
        </w:rPr>
        <w:t xml:space="preserve">du démontage de menuiseries existantes </w:t>
      </w:r>
      <w:r>
        <w:t>(par défaut)</w:t>
      </w:r>
      <w:r>
        <w:rPr>
          <w:rStyle w:val="optioncarChar"/>
        </w:rPr>
        <w:t> / ***.</w:t>
      </w:r>
    </w:p>
    <w:p w14:paraId="44025A9C" w14:textId="77777777" w:rsidR="00772179" w:rsidRDefault="00000000">
      <w:pPr>
        <w:ind w:left="567"/>
        <w:jc w:val="both"/>
      </w:pPr>
      <w:r>
        <w:rPr>
          <w:rStyle w:val="soitChar"/>
        </w:rPr>
        <w:t>Si la menuiserie est issue du même chantier, celle-ci est reconditionnée via :  </w:t>
      </w:r>
      <w:r>
        <w:rPr>
          <w:rStyle w:val="optioncarChar"/>
        </w:rPr>
        <w:t xml:space="preserve">un procédé présenté au maitre d’ouvrage </w:t>
      </w:r>
      <w:r>
        <w:t>(par défaut)</w:t>
      </w:r>
      <w:r>
        <w:rPr>
          <w:rStyle w:val="optioncarChar"/>
        </w:rPr>
        <w:t xml:space="preserve"> / le remplacement des joints / le remplacement et le renfort de la quincailleries / le remplacement des dispositifs de drainage (évacuation de l’eau) / ***</w:t>
      </w:r>
    </w:p>
    <w:p w14:paraId="295AE5EB" w14:textId="77777777" w:rsidR="00772179" w:rsidRDefault="00000000">
      <w:pPr>
        <w:ind w:left="567"/>
        <w:jc w:val="both"/>
      </w:pPr>
      <w:r>
        <w:rPr>
          <w:rStyle w:val="soitChar"/>
        </w:rPr>
        <w:t>Une menuiserie témoin est soumise à banc d’essais pour atteindre les performances suivantes :</w:t>
      </w:r>
    </w:p>
    <w:p w14:paraId="1F333AA5" w14:textId="77777777" w:rsidR="00772179" w:rsidRDefault="00000000">
      <w:pPr>
        <w:pStyle w:val="Author-eListParagraph"/>
        <w:numPr>
          <w:ilvl w:val="1"/>
          <w:numId w:val="35"/>
        </w:numPr>
      </w:pPr>
      <w:r>
        <w:rPr>
          <w:rStyle w:val="soitChar"/>
        </w:rPr>
        <w:t xml:space="preserve">Etanchéité à l’air : </w:t>
      </w:r>
      <w:r>
        <w:rPr>
          <w:rStyle w:val="optioncarChar"/>
        </w:rPr>
        <w:t xml:space="preserve">sans performance </w:t>
      </w:r>
      <w:r>
        <w:t>(par défaut)</w:t>
      </w:r>
      <w:r>
        <w:rPr>
          <w:rStyle w:val="optioncarChar"/>
        </w:rPr>
        <w:t> / classe 4 / dont le débit à 50 Pa est inférieur à 0.8 m³/h/m² /  classe ***  / ***</w:t>
      </w:r>
    </w:p>
    <w:p w14:paraId="0B5D905B" w14:textId="77777777" w:rsidR="00772179" w:rsidRDefault="00000000">
      <w:pPr>
        <w:pStyle w:val="Author-eListParagraph"/>
        <w:numPr>
          <w:ilvl w:val="1"/>
          <w:numId w:val="35"/>
        </w:numPr>
      </w:pPr>
      <w:r>
        <w:rPr>
          <w:rStyle w:val="soitChar"/>
        </w:rPr>
        <w:t xml:space="preserve">Etanchéité à l’eau de classe : </w:t>
      </w:r>
      <w:r>
        <w:rPr>
          <w:rStyle w:val="optioncarChar"/>
        </w:rPr>
        <w:t xml:space="preserve">sans performance </w:t>
      </w:r>
      <w:r>
        <w:t xml:space="preserve">(par défaut) </w:t>
      </w:r>
      <w:r>
        <w:rPr>
          <w:rStyle w:val="optioncarChar"/>
        </w:rPr>
        <w:t>/ 6</w:t>
      </w:r>
      <w:r>
        <w:rPr>
          <w:rStyle w:val="optioncarChar"/>
          <w:vertAlign w:val="subscript"/>
        </w:rPr>
        <w:t>A</w:t>
      </w:r>
      <w:r>
        <w:rPr>
          <w:rStyle w:val="optioncarChar"/>
        </w:rPr>
        <w:t xml:space="preserve"> / ***</w:t>
      </w:r>
    </w:p>
    <w:p w14:paraId="1F77A051" w14:textId="77777777" w:rsidR="00772179" w:rsidRDefault="00000000">
      <w:pPr>
        <w:pStyle w:val="Author-eListParagraph"/>
        <w:numPr>
          <w:ilvl w:val="1"/>
          <w:numId w:val="35"/>
        </w:numPr>
      </w:pPr>
      <w:r>
        <w:rPr>
          <w:rStyle w:val="soitChar"/>
        </w:rPr>
        <w:t xml:space="preserve">Résistance au vent de classe : </w:t>
      </w:r>
      <w:r>
        <w:rPr>
          <w:rStyle w:val="optioncarChar"/>
        </w:rPr>
        <w:t xml:space="preserve">sans performance </w:t>
      </w:r>
      <w:r>
        <w:t>(par défaut)</w:t>
      </w:r>
      <w:r>
        <w:rPr>
          <w:rStyle w:val="optioncarChar"/>
        </w:rPr>
        <w:t xml:space="preserve"> / C3 / ***</w:t>
      </w:r>
    </w:p>
    <w:p w14:paraId="4B4E122D" w14:textId="77777777" w:rsidR="00772179" w:rsidRDefault="00000000">
      <w:pPr>
        <w:pStyle w:val="Author-eListParagraph"/>
        <w:numPr>
          <w:ilvl w:val="1"/>
          <w:numId w:val="35"/>
        </w:numPr>
      </w:pPr>
      <w:r>
        <w:rPr>
          <w:rStyle w:val="soitChar"/>
        </w:rPr>
        <w:t xml:space="preserve">D’effort de manœuvre de classe : </w:t>
      </w:r>
      <w:r>
        <w:rPr>
          <w:rStyle w:val="optioncarChar"/>
        </w:rPr>
        <w:t xml:space="preserve">1 </w:t>
      </w:r>
      <w:r>
        <w:t xml:space="preserve">(par défaut) </w:t>
      </w:r>
      <w:r>
        <w:rPr>
          <w:rStyle w:val="optioncarChar"/>
        </w:rPr>
        <w:t>/ 2 (PMR) / ***</w:t>
      </w:r>
      <w:r>
        <w:t> </w:t>
      </w:r>
    </w:p>
    <w:p w14:paraId="0D1C1E85" w14:textId="77777777" w:rsidR="00772179" w:rsidRDefault="00000000">
      <w:pPr>
        <w:ind w:left="567"/>
        <w:jc w:val="both"/>
      </w:pPr>
      <w:r>
        <w:rPr>
          <w:rStyle w:val="soitChar"/>
          <w:b/>
        </w:rPr>
        <w:t>Types de menuiseries extérieures</w:t>
      </w:r>
    </w:p>
    <w:p w14:paraId="0ACB8373" w14:textId="77777777" w:rsidR="00772179" w:rsidRDefault="00000000">
      <w:pPr>
        <w:pStyle w:val="Author-eListParagraph"/>
        <w:numPr>
          <w:ilvl w:val="1"/>
          <w:numId w:val="37"/>
        </w:numPr>
      </w:pPr>
      <w:r>
        <w:rPr>
          <w:rStyle w:val="soitChar"/>
        </w:rPr>
        <w:t xml:space="preserve">Menuiseries : </w:t>
      </w:r>
      <w:r>
        <w:rPr>
          <w:rStyle w:val="optioncarChar"/>
        </w:rPr>
        <w:t xml:space="preserve">fixe / à vantaux ouvrant / oscillo-battante </w:t>
      </w:r>
      <w:r>
        <w:t xml:space="preserve">(par défaut) </w:t>
      </w:r>
      <w:r>
        <w:rPr>
          <w:rStyle w:val="optioncarChar"/>
        </w:rPr>
        <w:t>/ basculante / coulissante / levant-coulissante / projetante / pivotante / basculante-coulissante / inclinée / composée / ***.</w:t>
      </w:r>
      <w:r>
        <w:br/>
      </w:r>
    </w:p>
    <w:p w14:paraId="3C7E8FEB" w14:textId="77777777" w:rsidR="00772179" w:rsidRDefault="00000000">
      <w:pPr>
        <w:pStyle w:val="Author-eListParagraph"/>
        <w:numPr>
          <w:ilvl w:val="1"/>
          <w:numId w:val="37"/>
        </w:numPr>
      </w:pPr>
      <w:r>
        <w:rPr>
          <w:rStyle w:val="soitChar"/>
        </w:rP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rPr>
          <w:rStyle w:val="soitChar"/>
        </w:rPr>
        <w:t>(par défaut)</w:t>
      </w:r>
      <w:r>
        <w:rPr>
          <w:rStyle w:val="optioncarChar"/>
        </w:rPr>
        <w:t> / Vitrages triple – Gaz (cfr </w:t>
      </w:r>
      <w:hyperlink w:anchor="879" w:history="1">
        <w:r>
          <w:rPr>
            <w:rStyle w:val="optioncarChar"/>
            <w:color w:val="0000EE"/>
          </w:rPr>
          <w:t>42.22.2a Vitrages triples - Gaz</w:t>
        </w:r>
      </w:hyperlink>
      <w:r>
        <w:rPr>
          <w:rStyle w:val="optioncarChar"/>
        </w:rPr>
        <w:t>)/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rPr>
          <w:rStyle w:val="soitChar"/>
        </w:rPr>
        <w:t>.</w:t>
      </w:r>
      <w:r>
        <w:br/>
      </w:r>
    </w:p>
    <w:p w14:paraId="5E640C9A" w14:textId="77777777" w:rsidR="00772179" w:rsidRDefault="00000000">
      <w:pPr>
        <w:pStyle w:val="Author-eListParagraph"/>
        <w:numPr>
          <w:ilvl w:val="1"/>
          <w:numId w:val="37"/>
        </w:numPr>
      </w:pPr>
      <w:r>
        <w:rPr>
          <w:rStyle w:val="soitChar"/>
        </w:rPr>
        <w:t>Quincailleries : </w:t>
      </w:r>
      <w:r>
        <w:rPr>
          <w:rStyle w:val="optioncarChar"/>
        </w:rPr>
        <w:t>conforme à la documentation technique du produit </w:t>
      </w:r>
      <w:r>
        <w:rPr>
          <w:rStyle w:val="soitChar"/>
        </w:rPr>
        <w:t>(par défaut)</w:t>
      </w:r>
      <w:r>
        <w:rPr>
          <w:rStyle w:val="optioncarChar"/>
        </w:rPr>
        <w:t> / ***</w:t>
      </w:r>
      <w:r>
        <w:br/>
      </w:r>
    </w:p>
    <w:p w14:paraId="3F444ECE" w14:textId="77777777" w:rsidR="00772179" w:rsidRDefault="00000000">
      <w:pPr>
        <w:pStyle w:val="Author-eListParagraph"/>
        <w:numPr>
          <w:ilvl w:val="2"/>
          <w:numId w:val="38"/>
        </w:numPr>
      </w:pPr>
      <w:r>
        <w:rPr>
          <w:rStyle w:val="soitChar"/>
        </w:rPr>
        <w:t>Cfr. Article </w:t>
      </w:r>
      <w:hyperlink w:anchor="881" w:history="1">
        <w:r>
          <w:rPr>
            <w:rStyle w:val="soitChar"/>
            <w:color w:val="0000EE"/>
          </w:rPr>
          <w:t>41.72.1a Charnières et paumelles</w:t>
        </w:r>
      </w:hyperlink>
    </w:p>
    <w:p w14:paraId="3A900D07" w14:textId="77777777" w:rsidR="00772179" w:rsidRDefault="00000000">
      <w:pPr>
        <w:pStyle w:val="Author-eListParagraph"/>
        <w:numPr>
          <w:ilvl w:val="2"/>
          <w:numId w:val="38"/>
        </w:numPr>
      </w:pPr>
      <w:r>
        <w:rPr>
          <w:rStyle w:val="soitChar"/>
        </w:rPr>
        <w:t>Cfr. Article </w:t>
      </w:r>
      <w:hyperlink w:anchor="882" w:history="1">
        <w:r>
          <w:rPr>
            <w:rStyle w:val="soitChar"/>
            <w:color w:val="0000EE"/>
          </w:rPr>
          <w:t>41.72.3a Poignées</w:t>
        </w:r>
      </w:hyperlink>
      <w:r>
        <w:t xml:space="preserve">  </w:t>
      </w:r>
      <w:r>
        <w:rPr>
          <w:rStyle w:val="soitChar"/>
        </w:rPr>
        <w:t> </w:t>
      </w:r>
    </w:p>
    <w:p w14:paraId="4350975D" w14:textId="77777777" w:rsidR="00772179" w:rsidRDefault="00000000">
      <w:pPr>
        <w:ind w:left="567"/>
        <w:jc w:val="both"/>
      </w:pPr>
      <w:r>
        <w:rPr>
          <w:rStyle w:val="soitChar"/>
          <w:b/>
        </w:rPr>
        <w:t>Vitrages et panneaux de remplissage</w:t>
      </w:r>
    </w:p>
    <w:p w14:paraId="05CBB21D" w14:textId="77777777" w:rsidR="00772179" w:rsidRDefault="00000000">
      <w:pPr>
        <w:ind w:left="567"/>
        <w:jc w:val="both"/>
      </w:pPr>
      <w:r>
        <w:rPr>
          <w:rStyle w:val="soitChar"/>
        </w:rPr>
        <w:t>(Voir section </w:t>
      </w:r>
      <w:hyperlink w:anchor="852" w:history="1">
        <w:r>
          <w:rPr>
            <w:rStyle w:val="soitChar"/>
            <w:color w:val="0000EE"/>
          </w:rPr>
          <w:t>42 Vitrages extérieurs et éléments de remplissage</w:t>
        </w:r>
      </w:hyperlink>
      <w:r>
        <w:rPr>
          <w:rStyle w:val="soitChar"/>
        </w:rPr>
        <w:t>)</w:t>
      </w:r>
      <w:r>
        <w:t> </w:t>
      </w:r>
    </w:p>
    <w:p w14:paraId="727CC884" w14:textId="77777777" w:rsidR="00772179" w:rsidRDefault="00000000">
      <w:pPr>
        <w:jc w:val="both"/>
      </w:pPr>
      <w:r>
        <w:rPr>
          <w:b/>
          <w:u w:val="single"/>
        </w:rPr>
        <w:t>Prescriptions pour les menuiseries extérieures neuves et de réemploi :</w:t>
      </w:r>
    </w:p>
    <w:p w14:paraId="382562D2" w14:textId="77777777" w:rsidR="00772179" w:rsidRDefault="00000000">
      <w:pPr>
        <w:jc w:val="both"/>
      </w:pPr>
      <w:r>
        <w:t xml:space="preserve">Le seuil est </w:t>
      </w:r>
      <w:r>
        <w:rPr>
          <w:rStyle w:val="optioncarChar"/>
        </w:rPr>
        <w:t xml:space="preserve">sans accès PMR </w:t>
      </w:r>
      <w:r>
        <w:t xml:space="preserve">(par défaut) </w:t>
      </w:r>
      <w:r>
        <w:rPr>
          <w:rStyle w:val="optioncarChar"/>
        </w:rPr>
        <w:t>/ accessible aux PMR</w:t>
      </w:r>
      <w:r>
        <w:t>.</w:t>
      </w:r>
    </w:p>
    <w:p w14:paraId="0D4CD74D" w14:textId="77777777" w:rsidR="00772179" w:rsidRDefault="00000000">
      <w:pPr>
        <w:jc w:val="both"/>
      </w:pPr>
      <w:r>
        <w:rPr>
          <w:b/>
          <w:u w:val="single"/>
        </w:rPr>
        <w:t>Quincaillerie </w:t>
      </w:r>
    </w:p>
    <w:p w14:paraId="57EC639D" w14:textId="77777777" w:rsidR="00772179" w:rsidRDefault="00000000">
      <w:pPr>
        <w:jc w:val="both"/>
      </w:pPr>
      <w:r>
        <w:t>(Voir </w:t>
      </w:r>
      <w:hyperlink w:anchor="884" w:history="1">
        <w:r>
          <w:rPr>
            <w:color w:val="0000EE"/>
          </w:rPr>
          <w:t>41.72 Quincailleries</w:t>
        </w:r>
      </w:hyperlink>
      <w:r>
        <w:t>)</w:t>
      </w:r>
    </w:p>
    <w:p w14:paraId="22B6522F" w14:textId="77777777" w:rsidR="00772179" w:rsidRDefault="00000000">
      <w:pPr>
        <w:jc w:val="both"/>
      </w:pPr>
      <w:r>
        <w:t>La quincaillerie permet d’atteindre les performances définies ci-dessus et sont conformes aux spécifications du produit.</w:t>
      </w:r>
    </w:p>
    <w:p w14:paraId="477B87E0" w14:textId="77777777" w:rsidR="00772179" w:rsidRDefault="00000000">
      <w:pPr>
        <w:jc w:val="both"/>
      </w:pPr>
      <w:r>
        <w:t xml:space="preserve">Les poignées et autres dispositifs d’aide à la manœuvre (notamment PMR) sont définis dans l’élément </w:t>
      </w:r>
      <w:hyperlink w:anchor="884" w:history="1">
        <w:r>
          <w:rPr>
            <w:color w:val="0000EE"/>
          </w:rPr>
          <w:t>41.72 Quincailleries</w:t>
        </w:r>
      </w:hyperlink>
    </w:p>
    <w:p w14:paraId="69187C0E" w14:textId="77777777" w:rsidR="00772179" w:rsidRDefault="00000000">
      <w:pPr>
        <w:pStyle w:val="pheading"/>
      </w:pPr>
      <w:r>
        <w:t>- Finitions</w:t>
      </w:r>
    </w:p>
    <w:p w14:paraId="6B5C2390" w14:textId="77777777" w:rsidR="00772179" w:rsidRDefault="00000000">
      <w:pPr>
        <w:jc w:val="both"/>
      </w:pPr>
      <w:r>
        <w:t xml:space="preserve">Traitement de protection : </w:t>
      </w:r>
      <w:r>
        <w:rPr>
          <w:rStyle w:val="optioncarChar"/>
        </w:rPr>
        <w:t xml:space="preserve">type C1 </w:t>
      </w:r>
      <w:r>
        <w:t>(par défaut)</w:t>
      </w:r>
      <w:r>
        <w:rPr>
          <w:rStyle w:val="optioncarChar"/>
        </w:rPr>
        <w:t xml:space="preserve"> / pour une classe d’emploi 4 (selon [NBN EN 599-1+A1]) / pour une classe d’emploi 3 (selon [NBN EN 599-1+A1]) / ***</w:t>
      </w:r>
    </w:p>
    <w:p w14:paraId="48CD3C87" w14:textId="77777777" w:rsidR="00772179" w:rsidRDefault="00000000">
      <w:pPr>
        <w:pStyle w:val="Author-eListParagraph"/>
        <w:numPr>
          <w:ilvl w:val="0"/>
          <w:numId w:val="39"/>
        </w:numPr>
      </w:pPr>
      <w:r>
        <w:t xml:space="preserve">Pour les châssis en bois, la frappe d’étanchéité de la traverse inférieure des vantaux est réalisée en : </w:t>
      </w:r>
      <w:r>
        <w:rPr>
          <w:rStyle w:val="optioncarChar"/>
        </w:rPr>
        <w:t xml:space="preserve">aluminium laqué au four </w:t>
      </w:r>
      <w:r>
        <w:t>(par défaut)</w:t>
      </w:r>
      <w:r>
        <w:rPr>
          <w:rStyle w:val="optioncarChar"/>
        </w:rPr>
        <w:t xml:space="preserve"> / aluminium anodisé / ***</w:t>
      </w:r>
    </w:p>
    <w:p w14:paraId="0497F292" w14:textId="77777777" w:rsidR="00772179" w:rsidRDefault="00000000">
      <w:pPr>
        <w:pStyle w:val="Author-eListParagraph"/>
        <w:numPr>
          <w:ilvl w:val="0"/>
          <w:numId w:val="39"/>
        </w:numPr>
      </w:pPr>
      <w:r>
        <w:t>La couleur est choisie dans la gamme standard du fabricant.</w:t>
      </w:r>
    </w:p>
    <w:p w14:paraId="54417140" w14:textId="77777777" w:rsidR="00772179" w:rsidRDefault="00000000">
      <w:pPr>
        <w:pStyle w:val="Author-eListParagraph"/>
        <w:numPr>
          <w:ilvl w:val="0"/>
          <w:numId w:val="39"/>
        </w:numPr>
      </w:pPr>
      <w:r>
        <w:lastRenderedPageBreak/>
        <w:t>Le bois provient d’exploitation gérée durablement. Certificat à soumettre à l’approbation de l’auteur de projet.</w:t>
      </w:r>
    </w:p>
    <w:p w14:paraId="6DA29683" w14:textId="77777777" w:rsidR="00772179" w:rsidRDefault="00000000">
      <w:pPr>
        <w:pStyle w:val="pheading"/>
      </w:pPr>
      <w:r>
        <w:t>- Prescriptions complémentaires</w:t>
      </w:r>
    </w:p>
    <w:p w14:paraId="11751FDF" w14:textId="77777777" w:rsidR="00772179" w:rsidRDefault="00000000">
      <w:pPr>
        <w:pStyle w:val="facult"/>
      </w:pPr>
      <w:r>
        <w:t> </w:t>
      </w:r>
    </w:p>
    <w:p w14:paraId="5554604A" w14:textId="77777777" w:rsidR="00772179" w:rsidRDefault="00000000">
      <w:pPr>
        <w:pStyle w:val="facult"/>
      </w:pPr>
      <w:r>
        <w:t> </w:t>
      </w:r>
    </w:p>
    <w:p w14:paraId="20FECC27" w14:textId="77777777" w:rsidR="00772179" w:rsidRDefault="00000000">
      <w:pPr>
        <w:pStyle w:val="pheading"/>
      </w:pPr>
      <w:r>
        <w:t>EXÉCUTION / MISE EN ŒUVRE</w:t>
      </w:r>
    </w:p>
    <w:p w14:paraId="69EAC2C4" w14:textId="77777777" w:rsidR="00772179" w:rsidRDefault="00000000">
      <w:pPr>
        <w:pStyle w:val="pheading"/>
      </w:pPr>
      <w:r>
        <w:t>- Prescriptions générales</w:t>
      </w:r>
    </w:p>
    <w:p w14:paraId="6E3EC7CB" w14:textId="77777777" w:rsidR="00772179" w:rsidRDefault="00000000">
      <w:pPr>
        <w:jc w:val="both"/>
      </w:pPr>
      <w:r>
        <w:t xml:space="preserve">La pose des fenêtres et portes-fenêtres en bois correspond aux prescriptions telles que décrites dans l'élément </w:t>
      </w:r>
      <w:hyperlink w:anchor="64" w:history="1">
        <w:r>
          <w:rPr>
            <w:color w:val="0000EE"/>
          </w:rPr>
          <w:t>41.1 Fenêtres et portes-fenêtres</w:t>
        </w:r>
      </w:hyperlink>
      <w:r>
        <w:t>.</w:t>
      </w:r>
    </w:p>
    <w:p w14:paraId="7983BAD7" w14:textId="77777777" w:rsidR="00772179" w:rsidRDefault="00000000">
      <w:r>
        <w:t>Le resserrage de la menuiserie assure la continuité des performances mécaniques, thermiques et d’étanchéité à l’eau.</w:t>
      </w:r>
    </w:p>
    <w:p w14:paraId="4DA3D34C" w14:textId="77777777" w:rsidR="00772179" w:rsidRDefault="00000000">
      <w:r>
        <w:t xml:space="preserve">Pour la continuité de l’étanchéité à l’air, le resserrage est muni </w:t>
      </w:r>
      <w:r>
        <w:rPr>
          <w:rStyle w:val="optioncarChar"/>
        </w:rPr>
        <w:t>d’un kit de mastic</w:t>
      </w:r>
      <w:r>
        <w:t> (par défaut)</w:t>
      </w:r>
      <w:r>
        <w:rPr>
          <w:rStyle w:val="optioncarChar"/>
        </w:rPr>
        <w:t> / d’une membrane / d’un profilé de resserrage / ***</w:t>
      </w:r>
      <w:r>
        <w:rPr>
          <w:rStyle w:val="facultChar"/>
        </w:rPr>
        <w:t>.</w:t>
      </w:r>
    </w:p>
    <w:p w14:paraId="20EDFAEE" w14:textId="77777777" w:rsidR="00772179" w:rsidRDefault="00000000">
      <w:r>
        <w:t xml:space="preserve">Pour la continuité de l’isolation acoustique le resserrage est muni </w:t>
      </w:r>
      <w:r>
        <w:rPr>
          <w:rStyle w:val="optioncarChar"/>
        </w:rPr>
        <w:t>d’une laine de roche </w:t>
      </w:r>
      <w:r>
        <w:t>(par défaut)</w:t>
      </w:r>
      <w:r>
        <w:rPr>
          <w:rStyle w:val="optioncarChar"/>
        </w:rPr>
        <w:t> / d'une mousse acoustique / d'une plaque massive / ***.</w:t>
      </w:r>
    </w:p>
    <w:p w14:paraId="64C03AA6" w14:textId="77777777" w:rsidR="00772179" w:rsidRDefault="00000000">
      <w:pPr>
        <w:pStyle w:val="pheading"/>
      </w:pPr>
      <w:r>
        <w:t>DOCUMENTS DE RÉFÉRENCE COMPLÉMENTAIRES</w:t>
      </w:r>
    </w:p>
    <w:p w14:paraId="3D96E95E" w14:textId="77777777" w:rsidR="00772179" w:rsidRDefault="00000000">
      <w:pPr>
        <w:pStyle w:val="pheading"/>
      </w:pPr>
      <w:r>
        <w:t>- Matériau</w:t>
      </w:r>
    </w:p>
    <w:p w14:paraId="618386AD" w14:textId="77777777" w:rsidR="00772179" w:rsidRDefault="00000000">
      <w:r>
        <w:t>[STS 52.1, Menuiseries extérieures en bois]</w:t>
      </w:r>
    </w:p>
    <w:p w14:paraId="0DD27849" w14:textId="77777777" w:rsidR="00772179" w:rsidRDefault="00000000">
      <w:pPr>
        <w:pStyle w:val="pheading"/>
      </w:pPr>
      <w:r>
        <w:t>MESURAGE</w:t>
      </w:r>
    </w:p>
    <w:p w14:paraId="5E5D4F66" w14:textId="77777777" w:rsidR="00772179" w:rsidRDefault="00000000">
      <w:pPr>
        <w:pStyle w:val="pheading"/>
      </w:pPr>
      <w:r>
        <w:t>- unité de mesure:</w:t>
      </w:r>
    </w:p>
    <w:p w14:paraId="3CBBF5D0" w14:textId="77777777" w:rsidR="00772179" w:rsidRDefault="00000000">
      <w:r>
        <w:t>m²</w:t>
      </w:r>
    </w:p>
    <w:p w14:paraId="11D20CC6" w14:textId="77777777" w:rsidR="00772179" w:rsidRDefault="00000000">
      <w:pPr>
        <w:pStyle w:val="pheading"/>
      </w:pPr>
      <w:r>
        <w:t>- code de mesurage:</w:t>
      </w:r>
    </w:p>
    <w:p w14:paraId="4240C419" w14:textId="77777777" w:rsidR="00772179" w:rsidRDefault="00000000">
      <w:pPr>
        <w:jc w:val="both"/>
      </w:pPr>
      <w:r>
        <w:rPr>
          <w:b/>
        </w:rPr>
        <w:t>Surface nette</w:t>
      </w:r>
      <w:r>
        <w:t xml:space="preserve"> en développement des dimensions dans l'œuvre (le cas échéant), ventilé selon le type ou le modèle conformément aux indications dans le métré récapitulatif annexé au dossier d'adjudication, ventilée selon neuf et/ou de réemploi. </w:t>
      </w:r>
    </w:p>
    <w:p w14:paraId="49AFC773" w14:textId="77777777" w:rsidR="00772179" w:rsidRDefault="00000000">
      <w:pPr>
        <w:jc w:val="both"/>
      </w:pPr>
      <w:r>
        <w:t>S’il s’agit de réemploi, distinguer : avec ou sans fourniture.</w:t>
      </w:r>
    </w:p>
    <w:p w14:paraId="778374D8" w14:textId="77777777" w:rsidR="00772179" w:rsidRDefault="00000000">
      <w:pPr>
        <w:jc w:val="both"/>
      </w:pPr>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09267C28" w14:textId="77777777" w:rsidR="00772179" w:rsidRDefault="00000000">
      <w:pPr>
        <w:pStyle w:val="pheading"/>
      </w:pPr>
      <w:r>
        <w:t>- nature du marché:</w:t>
      </w:r>
    </w:p>
    <w:p w14:paraId="2475BD69" w14:textId="77777777" w:rsidR="00772179" w:rsidRDefault="00000000">
      <w:r>
        <w:t>QF</w:t>
      </w:r>
    </w:p>
    <w:p w14:paraId="53F0256F" w14:textId="77777777" w:rsidR="00772179" w:rsidRDefault="00000000">
      <w:pPr>
        <w:pStyle w:val="Author-eSectionHeading5Numberless"/>
      </w:pPr>
      <w:bookmarkStart w:id="12" w:name="_Toc220489771"/>
      <w:r>
        <w:t>41.11.2 Fenêtres et portes-fenêtres en bois à composition mixte - profilés collaborants CCTB 01.02</w:t>
      </w:r>
      <w:bookmarkEnd w:id="12"/>
    </w:p>
    <w:p w14:paraId="3ED8E752" w14:textId="77777777" w:rsidR="00772179" w:rsidRDefault="00000000">
      <w:pPr>
        <w:pStyle w:val="Author-eSectionHeading6Numberless"/>
      </w:pPr>
      <w:bookmarkStart w:id="13" w:name="_Toc220489772"/>
      <w:r>
        <w:t>41.11.2a Fenêtres et portes-fenêtres en bois à composition mixte - profilés collaborants en aluminium CCTB 01.02</w:t>
      </w:r>
      <w:bookmarkEnd w:id="13"/>
    </w:p>
    <w:p w14:paraId="222F0005" w14:textId="77777777" w:rsidR="00772179" w:rsidRDefault="00000000">
      <w:pPr>
        <w:pStyle w:val="Author-eSectionHeading5Numberless"/>
      </w:pPr>
      <w:bookmarkStart w:id="14" w:name="_Toc220489773"/>
      <w:r>
        <w:t>41.11.3 Fenêtres et portes-fenêtres en bois à composition mixte - profilés de finition CCTB 01.02</w:t>
      </w:r>
      <w:bookmarkEnd w:id="14"/>
    </w:p>
    <w:p w14:paraId="00208162" w14:textId="77777777" w:rsidR="00772179" w:rsidRDefault="00000000">
      <w:pPr>
        <w:pStyle w:val="Author-eSectionHeading6Numberless"/>
      </w:pPr>
      <w:bookmarkStart w:id="15" w:name="_Toc220489774"/>
      <w:r>
        <w:lastRenderedPageBreak/>
        <w:t>41.11.3a Fenêtres et portes-fenêtres en bois à composition mixte - profilés de finition en aluminium CCTB 01.02</w:t>
      </w:r>
      <w:bookmarkEnd w:id="15"/>
    </w:p>
    <w:p w14:paraId="7A103D9A" w14:textId="77777777" w:rsidR="00772179" w:rsidRDefault="00000000">
      <w:pPr>
        <w:pStyle w:val="Author-eSectionHeading6Numberless"/>
      </w:pPr>
      <w:bookmarkStart w:id="16" w:name="_Toc220489775"/>
      <w:r>
        <w:t>41.11.3b Fenêtres et portes-fenêtres en bois à composition mixte - profilés de finition en inox CCTB 01.02</w:t>
      </w:r>
      <w:bookmarkEnd w:id="16"/>
    </w:p>
    <w:p w14:paraId="5C183535" w14:textId="77777777" w:rsidR="00772179" w:rsidRDefault="00000000">
      <w:pPr>
        <w:pStyle w:val="Author-eSectionHeading6Numberless"/>
      </w:pPr>
      <w:bookmarkStart w:id="17" w:name="_Toc220489776"/>
      <w:r>
        <w:t>41.11.3c Fenêtres et portes-fenêtres en bois à composition mixte - profilés de finition en PVC CCTB 01.02</w:t>
      </w:r>
      <w:bookmarkEnd w:id="17"/>
    </w:p>
    <w:p w14:paraId="27BE08A6" w14:textId="77777777" w:rsidR="00772179" w:rsidRDefault="00000000">
      <w:pPr>
        <w:pStyle w:val="Author-eSectionHeading5Numberless"/>
      </w:pPr>
      <w:bookmarkStart w:id="18" w:name="_Toc220489777"/>
      <w:r>
        <w:t>41.11.4 Fenêtres et portes-fenêtres en bois à composition mixte - isolation intégrée CCTB 01.02</w:t>
      </w:r>
      <w:bookmarkEnd w:id="18"/>
    </w:p>
    <w:p w14:paraId="405E8C57" w14:textId="77777777" w:rsidR="00772179" w:rsidRDefault="00000000">
      <w:pPr>
        <w:pStyle w:val="Author-eSectionHeading6Numberless"/>
      </w:pPr>
      <w:bookmarkStart w:id="19" w:name="_Toc220489778"/>
      <w:r>
        <w:t>41.11.4a Fenêtres et portes-fenêtres en bois à composition mixte - isolation intégrée - finition en bois CCTB 01.02</w:t>
      </w:r>
      <w:bookmarkEnd w:id="19"/>
    </w:p>
    <w:p w14:paraId="063ABCC0" w14:textId="77777777" w:rsidR="00772179" w:rsidRDefault="00000000">
      <w:pPr>
        <w:pStyle w:val="Author-eSectionHeading6Numberless"/>
      </w:pPr>
      <w:bookmarkStart w:id="20" w:name="_Toc220489779"/>
      <w:r>
        <w:t>41.11.4b Fenêtres et portes-fenêtres en bois à composition mixte - isolation intégrée - finition en aluminium CCTB 01.13</w:t>
      </w:r>
      <w:bookmarkEnd w:id="20"/>
    </w:p>
    <w:p w14:paraId="1667CEBF" w14:textId="77777777" w:rsidR="00772179" w:rsidRDefault="00000000">
      <w:pPr>
        <w:pStyle w:val="pheading"/>
      </w:pPr>
      <w:r>
        <w:t>DESCRIPTION</w:t>
      </w:r>
    </w:p>
    <w:p w14:paraId="27732352" w14:textId="77777777" w:rsidR="00772179" w:rsidRDefault="00000000">
      <w:pPr>
        <w:pStyle w:val="pheading"/>
      </w:pPr>
      <w:r>
        <w:t>- Définition / Comprend</w:t>
      </w:r>
    </w:p>
    <w:p w14:paraId="071EC188" w14:textId="77777777" w:rsidR="00772179" w:rsidRDefault="00000000">
      <w:pPr>
        <w:jc w:val="both"/>
      </w:pPr>
      <w:r>
        <w:t>Cet article décrit la fourniture et la pose des menuiseries extérieures (Fenêtres et portes-fenêtres) en bois composé principalement de bois d’un isolant et d’un profilé aluminium disposé à l’extérieur.</w:t>
      </w:r>
    </w:p>
    <w:p w14:paraId="41F32F7C" w14:textId="77777777" w:rsidR="00772179" w:rsidRDefault="00000000">
      <w:pPr>
        <w:jc w:val="both"/>
      </w:pPr>
      <w:r>
        <w:rPr>
          <w:b/>
        </w:rPr>
        <w:t>Remarques importantes :</w:t>
      </w:r>
    </w:p>
    <w:p w14:paraId="297180EA" w14:textId="77777777" w:rsidR="00772179" w:rsidRDefault="00000000">
      <w:pPr>
        <w:jc w:val="both"/>
      </w:pPr>
      <w:r>
        <w:t>Toutes les fenêtres sont soumises au Règlement Produits de Construction (RPC([Règlement (UE) 305/2011])). Un marquage CE est imposé à ces produits suivant la [NBN EN 14351-1:2006+A2] afin d'attester qu’ils soient conformes aux spécifications techniques de ce règlement.</w:t>
      </w:r>
    </w:p>
    <w:p w14:paraId="026B54D2" w14:textId="77777777" w:rsidR="00772179" w:rsidRDefault="00000000">
      <w:pPr>
        <w:pStyle w:val="pheading"/>
      </w:pPr>
      <w:r>
        <w:t>- Localisation</w:t>
      </w:r>
    </w:p>
    <w:p w14:paraId="6AA1BE86" w14:textId="77777777" w:rsidR="00772179" w:rsidRDefault="00000000">
      <w:r>
        <w:t xml:space="preserve">La localisation des fenêtres et portes-fenêtres en bois à composition mixte est la suivante : </w:t>
      </w:r>
      <w:r>
        <w:rPr>
          <w:rStyle w:val="optioncarChar"/>
        </w:rPr>
        <w:t>***</w:t>
      </w:r>
      <w:r>
        <w:t xml:space="preserve"> .</w:t>
      </w:r>
    </w:p>
    <w:p w14:paraId="5A170A66" w14:textId="77777777" w:rsidR="00772179" w:rsidRDefault="00000000">
      <w:r>
        <w:t>Voir plans et métrés détaillés</w:t>
      </w:r>
    </w:p>
    <w:p w14:paraId="40F6D53A" w14:textId="77777777" w:rsidR="00772179" w:rsidRDefault="00000000">
      <w:pPr>
        <w:pStyle w:val="pheading"/>
      </w:pPr>
      <w:r>
        <w:t>MATÉRIAUX</w:t>
      </w:r>
    </w:p>
    <w:p w14:paraId="585EFAAB" w14:textId="77777777" w:rsidR="00772179" w:rsidRDefault="00000000">
      <w:pPr>
        <w:pStyle w:val="pheading"/>
      </w:pPr>
      <w:r>
        <w:t>- Caractéristiques générales</w:t>
      </w:r>
    </w:p>
    <w:p w14:paraId="4EC361D7" w14:textId="77777777" w:rsidR="00772179" w:rsidRDefault="00000000">
      <w:pPr>
        <w:jc w:val="both"/>
      </w:pPr>
      <w:r>
        <w:t xml:space="preserve">La partie principale des profilés de fenêtres ou portes-fenêtres (assurant les fonctions mécaniques et la fixation des points de fermeture et de suspension) est en bois de type </w:t>
      </w:r>
      <w:r>
        <w:rPr>
          <w:rStyle w:val="optioncarChar"/>
        </w:rPr>
        <w:t>non spécifié</w:t>
      </w:r>
      <w:r>
        <w:t xml:space="preserve"> (par défaut) </w:t>
      </w:r>
      <w:r>
        <w:rPr>
          <w:rStyle w:val="optioncarChar"/>
        </w:rPr>
        <w:t>/ Chêne d’Europe (Quercus robur et Q. Petraea) / Douglas (Pseudotsuga menziesii) / Mélèze (Larix) / Yellow pine (Pinus) / Meranti, Dark Red (Shorea) / Afzélia Doussié / Afzélia Pachiloba / Merbau (Intsia) / ***</w:t>
      </w:r>
      <w:r>
        <w:t xml:space="preserve"> dont les caractéristiques sont conformes aux spécifications reprises dans la [STS 52.1].</w:t>
      </w:r>
    </w:p>
    <w:p w14:paraId="388D4847" w14:textId="77777777" w:rsidR="00772179" w:rsidRDefault="00000000">
      <w:pPr>
        <w:jc w:val="both"/>
      </w:pPr>
      <w:r>
        <w:t xml:space="preserve">La partie isolante du profilé de fenêtre ou portes-fenêtres est de type </w:t>
      </w:r>
      <w:r>
        <w:rPr>
          <w:rStyle w:val="optioncarChar"/>
        </w:rPr>
        <w:t>non spécifié</w:t>
      </w:r>
      <w:r>
        <w:t xml:space="preserve"> (par défaut) </w:t>
      </w:r>
      <w:r>
        <w:rPr>
          <w:rStyle w:val="optioncarChar"/>
        </w:rPr>
        <w:t>/ Polyuréthane (PU) / Polyisocyanurate (PIR) / profilé ajouré en Polyamide/Polystyrène (EPS/XPS) / Liège (ICB) / ***</w:t>
      </w:r>
    </w:p>
    <w:p w14:paraId="1F1A9719" w14:textId="77777777" w:rsidR="00772179" w:rsidRDefault="00000000">
      <w:pPr>
        <w:jc w:val="both"/>
      </w:pPr>
      <w:r>
        <w:t xml:space="preserve">La densité minimum de l’isolant est </w:t>
      </w:r>
      <w:r>
        <w:rPr>
          <w:rStyle w:val="optioncarChar"/>
        </w:rPr>
        <w:t>conforme aux descriptions des essais initiaux du marquage CE pour atteindre les performances mécaniques</w:t>
      </w:r>
      <w:r>
        <w:t xml:space="preserve"> (par défaut) </w:t>
      </w:r>
      <w:r>
        <w:rPr>
          <w:rStyle w:val="optioncarChar"/>
        </w:rPr>
        <w:t xml:space="preserve">/ </w:t>
      </w:r>
      <w:r>
        <w:t>&gt;</w:t>
      </w:r>
      <w:r>
        <w:rPr>
          <w:rStyle w:val="optioncarChar"/>
        </w:rPr>
        <w:t xml:space="preserve"> *** </w:t>
      </w:r>
      <w:r>
        <w:t>kg/m³.</w:t>
      </w:r>
    </w:p>
    <w:p w14:paraId="5A23629D" w14:textId="77777777" w:rsidR="00772179" w:rsidRDefault="00000000">
      <w:pPr>
        <w:jc w:val="both"/>
      </w:pPr>
      <w:r>
        <w:t xml:space="preserve">L’isolant est </w:t>
      </w:r>
      <w:r>
        <w:rPr>
          <w:rStyle w:val="optioncarChar"/>
        </w:rPr>
        <w:t>collé</w:t>
      </w:r>
      <w:r>
        <w:t xml:space="preserve"> (par défaut)</w:t>
      </w:r>
      <w:r>
        <w:rPr>
          <w:rStyle w:val="optioncarChar"/>
        </w:rPr>
        <w:t xml:space="preserve"> / fixé mécaniquement / ***</w:t>
      </w:r>
      <w:r>
        <w:t xml:space="preserve"> sur le bois. Les colles utilisées sont conformes aux réglementations en vigueur concernant le rejet de COV (composés organiques volatils).</w:t>
      </w:r>
    </w:p>
    <w:p w14:paraId="1A8AF448" w14:textId="77777777" w:rsidR="00772179" w:rsidRDefault="00000000">
      <w:pPr>
        <w:jc w:val="both"/>
      </w:pPr>
      <w:r>
        <w:t>La partie extérieure du profilé de fenêtre ou portes-fenêtres est en aluminium reliée à la partie bois du profilé par </w:t>
      </w:r>
      <w:r>
        <w:rPr>
          <w:rStyle w:val="optioncarChar"/>
        </w:rPr>
        <w:t>plots de fixation</w:t>
      </w:r>
      <w:r>
        <w:t xml:space="preserve"> (par défaut)</w:t>
      </w:r>
      <w:r>
        <w:rPr>
          <w:rStyle w:val="optioncarChar"/>
        </w:rPr>
        <w:t xml:space="preserve"> / contre-profilés / clippage / ***</w:t>
      </w:r>
    </w:p>
    <w:p w14:paraId="5FCA406D" w14:textId="77777777" w:rsidR="00772179" w:rsidRDefault="00000000">
      <w:pPr>
        <w:jc w:val="both"/>
      </w:pPr>
      <w:r>
        <w:t>La méthode de fixation du profilé est conforme aux descriptions des essais initiaux pour la déclaration des performances conformes au marquage CE.</w:t>
      </w:r>
    </w:p>
    <w:p w14:paraId="6D16805E" w14:textId="77777777" w:rsidR="00772179" w:rsidRDefault="00000000">
      <w:pPr>
        <w:jc w:val="both"/>
      </w:pPr>
      <w:r>
        <w:lastRenderedPageBreak/>
        <w:t xml:space="preserve">La composition de l’aluminium est conforme aux exigences de la [NBN B 25-002-4]. L’ambiance lors de la vie de la menuiserie est en </w:t>
      </w:r>
      <w:r>
        <w:rPr>
          <w:rStyle w:val="optioncarChar"/>
        </w:rPr>
        <w:t>climat normal</w:t>
      </w:r>
      <w:r>
        <w:t xml:space="preserve"> (par défaut)</w:t>
      </w:r>
      <w:r>
        <w:rPr>
          <w:rStyle w:val="optioncarChar"/>
        </w:rPr>
        <w:t xml:space="preserve"> / climat agressif</w:t>
      </w:r>
      <w:r>
        <w:t>. Dans le cas de climats normaux, les alliages AW-6060 ou AW-6063 peuvent être utilisés. Pour des climats agressifs, l’alliage AW-6060-B est utilisé. Les alliages sont conformes à la [NBN EN 755-2].</w:t>
      </w:r>
    </w:p>
    <w:p w14:paraId="13479022" w14:textId="77777777" w:rsidR="00772179" w:rsidRDefault="00000000">
      <w:pPr>
        <w:jc w:val="both"/>
      </w:pPr>
      <w:r>
        <w:rPr>
          <w:b/>
        </w:rPr>
        <w:t>Forme et dimensions des profils</w:t>
      </w:r>
    </w:p>
    <w:p w14:paraId="3B71371A" w14:textId="77777777" w:rsidR="00772179" w:rsidRDefault="00000000">
      <w:pPr>
        <w:pStyle w:val="Author-eListParagraph"/>
        <w:numPr>
          <w:ilvl w:val="0"/>
          <w:numId w:val="40"/>
        </w:numPr>
      </w:pPr>
      <w: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w:t>
      </w:r>
    </w:p>
    <w:p w14:paraId="015BB69E" w14:textId="77777777" w:rsidR="00772179" w:rsidRDefault="00000000">
      <w:pPr>
        <w:pStyle w:val="Author-eListParagraph"/>
        <w:numPr>
          <w:ilvl w:val="1"/>
          <w:numId w:val="41"/>
        </w:numPr>
      </w:pPr>
      <w:r>
        <w:t xml:space="preserve">hauteur du profil : ≤ </w:t>
      </w:r>
      <w:r>
        <w:rPr>
          <w:rStyle w:val="optioncarChar"/>
        </w:rPr>
        <w:t>80 </w:t>
      </w:r>
      <w:r>
        <w:t xml:space="preserve">(par défaut) </w:t>
      </w:r>
      <w:r>
        <w:rPr>
          <w:rStyle w:val="optioncarChar"/>
        </w:rPr>
        <w:t>/ ***</w:t>
      </w:r>
      <w:r>
        <w:t xml:space="preserve"> mm.</w:t>
      </w:r>
    </w:p>
    <w:p w14:paraId="36797A87" w14:textId="77777777" w:rsidR="00772179" w:rsidRDefault="00000000">
      <w:pPr>
        <w:pStyle w:val="Author-eListParagraph"/>
        <w:numPr>
          <w:ilvl w:val="1"/>
          <w:numId w:val="41"/>
        </w:numPr>
      </w:pPr>
      <w:r>
        <w:t>épaisseur du profil :</w:t>
      </w:r>
      <w:r>
        <w:rPr>
          <w:rStyle w:val="optioncarChar"/>
        </w:rPr>
        <w:t xml:space="preserve"> Correspondant à la valeur Uf spécifiée</w:t>
      </w:r>
      <w:r>
        <w:t xml:space="preserve"> (par défaut)</w:t>
      </w:r>
      <w:r>
        <w:rPr>
          <w:rStyle w:val="optioncarChar"/>
        </w:rPr>
        <w:t xml:space="preserve"> / 110 mm / ***</w:t>
      </w:r>
      <w:r>
        <w:t xml:space="preserve"> .</w:t>
      </w:r>
    </w:p>
    <w:p w14:paraId="6D5E708C" w14:textId="77777777" w:rsidR="00772179" w:rsidRDefault="00000000">
      <w:pPr>
        <w:pStyle w:val="Author-eListParagraph"/>
        <w:numPr>
          <w:ilvl w:val="1"/>
          <w:numId w:val="41"/>
        </w:numPr>
      </w:pPr>
      <w:r>
        <w:t>De plus fortes sections de bois sont utilisées pour renforcer les profilés de traverses ou montants, les fenêtres coulissantes, etc. …</w:t>
      </w:r>
    </w:p>
    <w:p w14:paraId="5B10988E" w14:textId="77777777" w:rsidR="00772179" w:rsidRDefault="00000000">
      <w:pPr>
        <w:pStyle w:val="Author-eListParagraph"/>
        <w:numPr>
          <w:ilvl w:val="0"/>
          <w:numId w:val="40"/>
        </w:numPr>
      </w:pPr>
      <w:r>
        <w:t>Les profilés disposent : </w:t>
      </w:r>
    </w:p>
    <w:p w14:paraId="26B9566E" w14:textId="77777777" w:rsidR="00772179" w:rsidRDefault="00000000">
      <w:pPr>
        <w:pStyle w:val="Author-eListParagraph"/>
        <w:numPr>
          <w:ilvl w:val="1"/>
          <w:numId w:val="42"/>
        </w:numPr>
      </w:pPr>
      <w:r>
        <w:t xml:space="preserve">D’une </w:t>
      </w:r>
      <w:r>
        <w:rPr>
          <w:rStyle w:val="optioncarChar"/>
        </w:rPr>
        <w:t>triple</w:t>
      </w:r>
      <w:r>
        <w:t xml:space="preserve"> (par défaut)</w:t>
      </w:r>
      <w:r>
        <w:rPr>
          <w:rStyle w:val="optioncarChar"/>
        </w:rPr>
        <w:t xml:space="preserve"> / simple / double / ***</w:t>
      </w:r>
      <w:r>
        <w:t xml:space="preserve"> frappe. </w:t>
      </w:r>
    </w:p>
    <w:p w14:paraId="2F358172" w14:textId="77777777" w:rsidR="00772179" w:rsidRDefault="00000000">
      <w:pPr>
        <w:pStyle w:val="Author-eListParagraph"/>
        <w:numPr>
          <w:ilvl w:val="1"/>
          <w:numId w:val="42"/>
        </w:numPr>
      </w:pPr>
      <w:r>
        <w:t xml:space="preserve">De </w:t>
      </w:r>
      <w:r>
        <w:rPr>
          <w:rStyle w:val="optioncarChar"/>
        </w:rPr>
        <w:t>1</w:t>
      </w:r>
      <w:r>
        <w:t xml:space="preserve"> (par défaut) </w:t>
      </w:r>
      <w:r>
        <w:rPr>
          <w:rStyle w:val="optioncarChar"/>
        </w:rPr>
        <w:t>/ 2 / 3 / ***</w:t>
      </w:r>
      <w:r>
        <w:t xml:space="preserve"> joints </w:t>
      </w:r>
    </w:p>
    <w:p w14:paraId="32B3B0D5" w14:textId="77777777" w:rsidR="00772179" w:rsidRDefault="00000000">
      <w:pPr>
        <w:pStyle w:val="Author-eListParagraph"/>
        <w:numPr>
          <w:ilvl w:val="1"/>
          <w:numId w:val="42"/>
        </w:numPr>
      </w:pPr>
      <w:r>
        <w:rPr>
          <w:rStyle w:val="optioncarChar"/>
        </w:rPr>
        <w:t>D’une chambre de décompression</w:t>
      </w:r>
      <w:r>
        <w:t xml:space="preserve"> (par défaut) </w:t>
      </w:r>
      <w:r>
        <w:rPr>
          <w:rStyle w:val="optioncarChar"/>
        </w:rPr>
        <w:t>/ sans chambre de décompression. </w:t>
      </w:r>
    </w:p>
    <w:p w14:paraId="32939A9F" w14:textId="77777777" w:rsidR="00772179" w:rsidRDefault="00000000">
      <w:r>
        <w:rPr>
          <w:b/>
        </w:rPr>
        <w:t>Assemblage des profils</w:t>
      </w:r>
    </w:p>
    <w:p w14:paraId="639F84ED" w14:textId="77777777" w:rsidR="00772179" w:rsidRDefault="00000000">
      <w:pPr>
        <w:jc w:val="both"/>
      </w:pPr>
      <w:r>
        <w:t xml:space="preserve">Les assemblages des angles et des extrémités sont exécutés </w:t>
      </w:r>
      <w:r>
        <w:rPr>
          <w:rStyle w:val="optioncarChar"/>
        </w:rPr>
        <w:t>à doubles tenons</w:t>
      </w:r>
      <w:r>
        <w:t xml:space="preserve"> (par défaut) </w:t>
      </w:r>
      <w:r>
        <w:rPr>
          <w:rStyle w:val="optioncarChar"/>
        </w:rPr>
        <w:t>/ par entures multiples / par assemblage mécanique / ***</w:t>
      </w:r>
      <w:r>
        <w:t xml:space="preserve"> et collés avec une colle synthétique ≥ D3. Après collage, les pièces de bois sont assemblées mécaniquement, les trous ainsi pratiqués sont comblés par un mastic approprié à la finition décrite par ailleurs.</w:t>
      </w:r>
    </w:p>
    <w:p w14:paraId="79BB56A7" w14:textId="77777777" w:rsidR="00772179" w:rsidRDefault="00000000">
      <w:pPr>
        <w:jc w:val="both"/>
      </w:pPr>
      <w:r>
        <w:t xml:space="preserve">Les assemblages des angles des profilés en aluminium sont </w:t>
      </w:r>
      <w:r>
        <w:rPr>
          <w:rStyle w:val="optioncarChar"/>
        </w:rPr>
        <w:t>soudés</w:t>
      </w:r>
      <w:r>
        <w:t xml:space="preserve"> (par défaut) </w:t>
      </w:r>
      <w:r>
        <w:rPr>
          <w:rStyle w:val="optioncarChar"/>
        </w:rPr>
        <w:t>/ clamés/ collés / ***</w:t>
      </w:r>
    </w:p>
    <w:p w14:paraId="22F84DB7" w14:textId="77777777" w:rsidR="00772179" w:rsidRDefault="00772179">
      <w:pPr>
        <w:jc w:val="both"/>
      </w:pPr>
    </w:p>
    <w:p w14:paraId="2ACA2180" w14:textId="77777777" w:rsidR="00772179" w:rsidRDefault="00000000">
      <w:pPr>
        <w:jc w:val="both"/>
      </w:pPr>
      <w:r>
        <w:rPr>
          <w:b/>
        </w:rPr>
        <w:t>Performances des menuiseries</w:t>
      </w:r>
    </w:p>
    <w:p w14:paraId="2773F1EF" w14:textId="77777777" w:rsidR="00772179" w:rsidRDefault="00000000">
      <w:pPr>
        <w:pStyle w:val="Author-eListParagraph"/>
        <w:numPr>
          <w:ilvl w:val="0"/>
          <w:numId w:val="43"/>
        </w:numPr>
      </w:pPr>
      <w:r>
        <w:t xml:space="preserve">Performances thermiques : La valeur Uf est de </w:t>
      </w:r>
      <w:r>
        <w:rPr>
          <w:rStyle w:val="optioncarChar"/>
        </w:rPr>
        <w:t>0.85</w:t>
      </w:r>
      <w:r>
        <w:t xml:space="preserve"> (par défaut)</w:t>
      </w:r>
      <w:r>
        <w:rPr>
          <w:rStyle w:val="optioncarChar"/>
        </w:rPr>
        <w:t xml:space="preserve"> / 0.65 / ***</w:t>
      </w:r>
      <w:r>
        <w:t xml:space="preserve"> W/m²K</w:t>
      </w:r>
    </w:p>
    <w:p w14:paraId="26152DC6" w14:textId="77777777" w:rsidR="00772179" w:rsidRDefault="00000000">
      <w:pPr>
        <w:pStyle w:val="Author-eListParagraph"/>
        <w:numPr>
          <w:ilvl w:val="0"/>
          <w:numId w:val="43"/>
        </w:numPr>
      </w:pPr>
      <w:r>
        <w:t xml:space="preserve">Etanchéité à l’air : </w:t>
      </w:r>
      <w:r>
        <w:rPr>
          <w:rStyle w:val="optioncarChar"/>
        </w:rPr>
        <w:t>Classe 4</w:t>
      </w:r>
      <w:r>
        <w:t xml:space="preserve"> (par défaut) </w:t>
      </w:r>
      <w:r>
        <w:rPr>
          <w:rStyle w:val="optioncarChar"/>
        </w:rPr>
        <w:t xml:space="preserve">/ </w:t>
      </w:r>
      <w:r>
        <w:t xml:space="preserve">Avec un débit d’air à 50 Pa &lt; </w:t>
      </w:r>
      <w:r>
        <w:rPr>
          <w:rStyle w:val="optioncarChar"/>
        </w:rPr>
        <w:t>1.89  / *** </w:t>
      </w:r>
      <w:r>
        <w:t>m³/h/m²</w:t>
      </w:r>
    </w:p>
    <w:p w14:paraId="1589D781" w14:textId="77777777" w:rsidR="00772179" w:rsidRDefault="00000000">
      <w:pPr>
        <w:pStyle w:val="Author-eListParagraph"/>
        <w:numPr>
          <w:ilvl w:val="0"/>
          <w:numId w:val="43"/>
        </w:numPr>
      </w:pPr>
      <w:r>
        <w:t>Etanchéité à l’eau de classe</w:t>
      </w:r>
      <w:r>
        <w:rPr>
          <w:rStyle w:val="optioncarChar"/>
        </w:rPr>
        <w:t xml:space="preserve"> 6A</w:t>
      </w:r>
      <w:r>
        <w:t xml:space="preserve"> (par défaut) </w:t>
      </w:r>
      <w:r>
        <w:rPr>
          <w:rStyle w:val="optioncarChar"/>
        </w:rPr>
        <w:t>/ ***</w:t>
      </w:r>
    </w:p>
    <w:p w14:paraId="641D29C8" w14:textId="77777777" w:rsidR="00772179" w:rsidRDefault="00000000">
      <w:pPr>
        <w:pStyle w:val="Author-eListParagraph"/>
        <w:numPr>
          <w:ilvl w:val="0"/>
          <w:numId w:val="43"/>
        </w:numPr>
      </w:pPr>
      <w:r>
        <w:t>Résistance au Vent de Classe</w:t>
      </w:r>
      <w:r>
        <w:rPr>
          <w:rStyle w:val="optioncarChar"/>
        </w:rPr>
        <w:t xml:space="preserve"> C3</w:t>
      </w:r>
      <w:r>
        <w:t xml:space="preserve"> (par défaut) </w:t>
      </w:r>
      <w:r>
        <w:rPr>
          <w:rStyle w:val="optioncarChar"/>
        </w:rPr>
        <w:t>/ ***</w:t>
      </w:r>
    </w:p>
    <w:p w14:paraId="4DD8C728" w14:textId="77777777" w:rsidR="00772179" w:rsidRDefault="00000000">
      <w:pPr>
        <w:pStyle w:val="Author-eListParagraph"/>
        <w:numPr>
          <w:ilvl w:val="0"/>
          <w:numId w:val="43"/>
        </w:numPr>
      </w:pPr>
      <w:r>
        <w:t xml:space="preserve">D’effort de manœuvre de classe </w:t>
      </w:r>
      <w:r>
        <w:rPr>
          <w:rStyle w:val="optioncarChar"/>
        </w:rPr>
        <w:t>1</w:t>
      </w:r>
      <w:r>
        <w:t xml:space="preserve"> (par défaut) </w:t>
      </w:r>
      <w:r>
        <w:rPr>
          <w:rStyle w:val="optioncarChar"/>
        </w:rPr>
        <w:t>/ 2 (PMR) / ***</w:t>
      </w:r>
    </w:p>
    <w:p w14:paraId="105D19C8" w14:textId="77777777" w:rsidR="00772179" w:rsidRDefault="00000000">
      <w:pPr>
        <w:pStyle w:val="Author-eListParagraph"/>
        <w:numPr>
          <w:ilvl w:val="0"/>
          <w:numId w:val="43"/>
        </w:numPr>
      </w:pPr>
      <w:r>
        <w:t xml:space="preserve">Abus d’Utilisation de classe </w:t>
      </w:r>
      <w:r>
        <w:rPr>
          <w:rStyle w:val="optioncarChar"/>
        </w:rPr>
        <w:t>3</w:t>
      </w:r>
      <w:r>
        <w:t xml:space="preserve"> (par défaut) </w:t>
      </w:r>
      <w:r>
        <w:rPr>
          <w:rStyle w:val="optioncarChar"/>
        </w:rPr>
        <w:t>/ 4 (écoles, bâtiments publics) / ***</w:t>
      </w:r>
    </w:p>
    <w:p w14:paraId="5EB2D5BC" w14:textId="77777777" w:rsidR="00772179" w:rsidRDefault="00000000">
      <w:pPr>
        <w:pStyle w:val="Author-eListParagraph"/>
        <w:numPr>
          <w:ilvl w:val="0"/>
          <w:numId w:val="43"/>
        </w:numPr>
      </w:pPr>
      <w:r>
        <w:t xml:space="preserve">Performances acoustiques D Atr supérieur à </w:t>
      </w:r>
      <w:r>
        <w:rPr>
          <w:rStyle w:val="optioncarChar"/>
        </w:rPr>
        <w:t>38 dB</w:t>
      </w:r>
      <w:r>
        <w:t> (par défaut) </w:t>
      </w:r>
      <w:r>
        <w:rPr>
          <w:rStyle w:val="optioncarChar"/>
        </w:rPr>
        <w:t>/ ***</w:t>
      </w:r>
    </w:p>
    <w:p w14:paraId="0DBE8376" w14:textId="77777777" w:rsidR="00772179" w:rsidRDefault="00000000">
      <w:pPr>
        <w:pStyle w:val="Author-eListParagraph"/>
        <w:numPr>
          <w:ilvl w:val="0"/>
          <w:numId w:val="43"/>
        </w:numPr>
      </w:pPr>
      <w:r>
        <w:t xml:space="preserve">Résistance à l’effraction : </w:t>
      </w:r>
      <w:r>
        <w:rPr>
          <w:rStyle w:val="optioncarChar"/>
        </w:rPr>
        <w:t>Classe 1</w:t>
      </w:r>
      <w:r>
        <w:t xml:space="preserve"> (par défaut) </w:t>
      </w:r>
      <w:r>
        <w:rPr>
          <w:rStyle w:val="optioncarChar"/>
        </w:rPr>
        <w:t>/ ***</w:t>
      </w:r>
    </w:p>
    <w:p w14:paraId="60C60A80" w14:textId="77777777" w:rsidR="00772179" w:rsidRDefault="00000000">
      <w:pPr>
        <w:pStyle w:val="Author-eListParagraph"/>
        <w:numPr>
          <w:ilvl w:val="0"/>
          <w:numId w:val="43"/>
        </w:numPr>
      </w:pPr>
      <w:r>
        <w:t xml:space="preserve">Résistance à l’explosion : </w:t>
      </w:r>
      <w:r>
        <w:rPr>
          <w:rStyle w:val="optioncarChar"/>
        </w:rPr>
        <w:t>non spécifié</w:t>
      </w:r>
      <w:r>
        <w:t xml:space="preserve"> (par défaut) </w:t>
      </w:r>
      <w:r>
        <w:rPr>
          <w:rStyle w:val="optioncarChar"/>
        </w:rPr>
        <w:t>/ ***</w:t>
      </w:r>
    </w:p>
    <w:p w14:paraId="288DB907" w14:textId="77777777" w:rsidR="00772179" w:rsidRDefault="00000000">
      <w:pPr>
        <w:pStyle w:val="Author-eListParagraph"/>
        <w:numPr>
          <w:ilvl w:val="0"/>
          <w:numId w:val="43"/>
        </w:numPr>
      </w:pPr>
      <w:r>
        <w:t>Résistance aux balles : </w:t>
      </w:r>
      <w:r>
        <w:rPr>
          <w:rStyle w:val="optioncarChar"/>
        </w:rPr>
        <w:t>non spécifié</w:t>
      </w:r>
      <w:r>
        <w:t xml:space="preserve"> (par défaut) </w:t>
      </w:r>
      <w:r>
        <w:rPr>
          <w:rStyle w:val="optioncarChar"/>
        </w:rPr>
        <w:t>/ ***</w:t>
      </w:r>
    </w:p>
    <w:p w14:paraId="600003EE" w14:textId="77777777" w:rsidR="00772179" w:rsidRDefault="00000000">
      <w:pPr>
        <w:pStyle w:val="Author-eListParagraph"/>
        <w:numPr>
          <w:ilvl w:val="0"/>
          <w:numId w:val="43"/>
        </w:numPr>
      </w:pPr>
      <w:r>
        <w:t xml:space="preserve">Résistance et réaction au feu : </w:t>
      </w:r>
      <w:r>
        <w:rPr>
          <w:rStyle w:val="optioncarChar"/>
        </w:rPr>
        <w:t>non spécifié</w:t>
      </w:r>
      <w:r>
        <w:t xml:space="preserve"> (par défaut) </w:t>
      </w:r>
      <w:r>
        <w:rPr>
          <w:rStyle w:val="optioncarChar"/>
        </w:rPr>
        <w:t>/ ***</w:t>
      </w:r>
    </w:p>
    <w:p w14:paraId="7BA398C0" w14:textId="77777777" w:rsidR="00772179" w:rsidRDefault="00000000">
      <w:pPr>
        <w:pStyle w:val="Author-eListParagraph"/>
        <w:numPr>
          <w:ilvl w:val="0"/>
          <w:numId w:val="43"/>
        </w:numPr>
      </w:pPr>
      <w:r>
        <w:t xml:space="preserve">Résistance aux chocs : </w:t>
      </w:r>
      <w:r>
        <w:rPr>
          <w:rStyle w:val="optioncarChar"/>
        </w:rPr>
        <w:t>Classe 2</w:t>
      </w:r>
      <w:r>
        <w:t xml:space="preserve"> (par défaut) </w:t>
      </w:r>
      <w:r>
        <w:rPr>
          <w:rStyle w:val="optioncarChar"/>
        </w:rPr>
        <w:t>/ ***</w:t>
      </w:r>
    </w:p>
    <w:p w14:paraId="4E27EF0B" w14:textId="77777777" w:rsidR="00772179" w:rsidRDefault="00000000">
      <w:r>
        <w:rPr>
          <w:b/>
        </w:rPr>
        <w:t>Types de fenêtres et portes-fenêtres</w:t>
      </w:r>
    </w:p>
    <w:p w14:paraId="6D0A450C" w14:textId="77777777" w:rsidR="00772179" w:rsidRDefault="00000000">
      <w:pPr>
        <w:jc w:val="both"/>
      </w:pPr>
      <w:r>
        <w:t>Les dimensions sont données dans le métré détaillé.</w:t>
      </w:r>
    </w:p>
    <w:p w14:paraId="3E07C536" w14:textId="77777777" w:rsidR="00772179" w:rsidRDefault="00000000">
      <w:r>
        <w:rPr>
          <w:u w:val="single"/>
        </w:rPr>
        <w:t>Châssis fixes</w:t>
      </w:r>
    </w:p>
    <w:p w14:paraId="4B25792A" w14:textId="77777777" w:rsidR="00772179" w:rsidRDefault="00000000">
      <w:pPr>
        <w:pStyle w:val="Author-eListParagraph"/>
        <w:numPr>
          <w:ilvl w:val="0"/>
          <w:numId w:val="44"/>
        </w:numPr>
      </w:pPr>
      <w:r>
        <w:t xml:space="preserve">Remplissage : </w:t>
      </w:r>
      <w:r>
        <w:rPr>
          <w:rStyle w:val="optioncarChar"/>
        </w:rPr>
        <w:t>Vitrages doubles – Gaz (cfr </w:t>
      </w:r>
      <w:hyperlink w:anchor="878" w:history="1">
        <w:r>
          <w:rPr>
            <w:rStyle w:val="optioncarChar"/>
            <w:color w:val="0000EE"/>
          </w:rPr>
          <w:t>42.22.1a Vitrages doubles - Gaz</w:t>
        </w:r>
      </w:hyperlink>
      <w:r>
        <w:rPr>
          <w:rStyle w:val="optioncarChar"/>
        </w:rPr>
        <w:t>)</w:t>
      </w:r>
      <w:r>
        <w:t xml:space="preserve"> (par défaut) </w:t>
      </w:r>
      <w:r>
        <w:rPr>
          <w:rStyle w:val="optioncarChar"/>
        </w:rPr>
        <w:t xml:space="preserve">/ Vitrages triple – Gaz (cfr </w:t>
      </w:r>
      <w:hyperlink w:anchor="879" w:history="1">
        <w:r>
          <w:rPr>
            <w:rStyle w:val="optioncarChar"/>
            <w:color w:val="0000EE"/>
          </w:rPr>
          <w:t>42.22.2a Vitrages triples - Gaz</w:t>
        </w:r>
      </w:hyperlink>
      <w:r>
        <w:rPr>
          <w:rStyle w:val="optioncarChar"/>
        </w:rPr>
        <w:t>) / ***</w:t>
      </w:r>
      <w:r>
        <w:t> </w:t>
      </w:r>
    </w:p>
    <w:p w14:paraId="77A62436" w14:textId="77777777" w:rsidR="00772179" w:rsidRDefault="00000000">
      <w:r>
        <w:rPr>
          <w:u w:val="single"/>
        </w:rPr>
        <w:t>Châssis à vantaux ouvrants</w:t>
      </w:r>
    </w:p>
    <w:p w14:paraId="3BC8114C" w14:textId="77777777" w:rsidR="00772179" w:rsidRDefault="00000000">
      <w:pPr>
        <w:pStyle w:val="Author-eListParagraph"/>
        <w:numPr>
          <w:ilvl w:val="0"/>
          <w:numId w:val="45"/>
        </w:numPr>
      </w:pPr>
      <w:r>
        <w:t xml:space="preserve">Remplissage : </w:t>
      </w:r>
      <w:r>
        <w:rPr>
          <w:rStyle w:val="optioncarChar"/>
        </w:rPr>
        <w:t xml:space="preserve">Vitrages doubles – Gaz (cfr </w:t>
      </w:r>
      <w:hyperlink w:anchor="878" w:history="1">
        <w:r>
          <w:rPr>
            <w:rStyle w:val="optioncarChar"/>
            <w:color w:val="0000EE"/>
          </w:rPr>
          <w:t>42.22.1a Vitrages doubles - Gaz</w:t>
        </w:r>
      </w:hyperlink>
      <w:r>
        <w:rPr>
          <w:rStyle w:val="optioncarChar"/>
        </w:rPr>
        <w:t>)</w:t>
      </w:r>
      <w:r>
        <w:t xml:space="preserve"> (par défaut) </w:t>
      </w:r>
      <w:r>
        <w:rPr>
          <w:rStyle w:val="optioncarChar"/>
        </w:rPr>
        <w:t xml:space="preserve">/ Vitrages triple – Gaz (cfr </w:t>
      </w:r>
      <w:hyperlink w:anchor="879" w:history="1">
        <w:r>
          <w:rPr>
            <w:rStyle w:val="optioncarChar"/>
            <w:color w:val="0000EE"/>
          </w:rPr>
          <w:t>42.22.2a Vitrages triples - Gaz</w:t>
        </w:r>
      </w:hyperlink>
      <w:r>
        <w:rPr>
          <w:rStyle w:val="optioncarChar"/>
        </w:rPr>
        <w:t>) / ***</w:t>
      </w:r>
    </w:p>
    <w:p w14:paraId="054C56D2" w14:textId="77777777" w:rsidR="00772179" w:rsidRDefault="00000000">
      <w:pPr>
        <w:pStyle w:val="Author-eListParagraph"/>
        <w:numPr>
          <w:ilvl w:val="0"/>
          <w:numId w:val="45"/>
        </w:numPr>
      </w:pPr>
      <w:r>
        <w:t xml:space="preserve">Quincailleries : </w:t>
      </w:r>
      <w:r>
        <w:rPr>
          <w:rStyle w:val="optioncarChar"/>
        </w:rPr>
        <w:t>***</w:t>
      </w:r>
      <w:r>
        <w:br/>
        <w:t>Cfr. Article </w:t>
      </w:r>
      <w:hyperlink w:anchor="881" w:history="1">
        <w:r>
          <w:rPr>
            <w:color w:val="0000EE"/>
          </w:rPr>
          <w:t>41.72.1a Charnières et paumelles</w:t>
        </w:r>
      </w:hyperlink>
      <w:r>
        <w:br/>
        <w:t xml:space="preserve">Cfr. Article </w:t>
      </w:r>
      <w:hyperlink w:anchor="882" w:history="1">
        <w:r>
          <w:rPr>
            <w:color w:val="0000EE"/>
          </w:rPr>
          <w:t>41.72.3a Poignées</w:t>
        </w:r>
      </w:hyperlink>
    </w:p>
    <w:p w14:paraId="5CAB7155" w14:textId="77777777" w:rsidR="00772179" w:rsidRDefault="00000000">
      <w:r>
        <w:lastRenderedPageBreak/>
        <w:t> </w:t>
      </w:r>
      <w:r>
        <w:rPr>
          <w:u w:val="single"/>
        </w:rPr>
        <w:t>Fenêtres oscillo-battantes</w:t>
      </w:r>
    </w:p>
    <w:p w14:paraId="3827A8D0" w14:textId="77777777" w:rsidR="00772179" w:rsidRDefault="00000000">
      <w:pPr>
        <w:pStyle w:val="Author-eListParagraph"/>
        <w:numPr>
          <w:ilvl w:val="0"/>
          <w:numId w:val="46"/>
        </w:numPr>
      </w:pPr>
      <w:r>
        <w:t xml:space="preserve">Remplissage : </w:t>
      </w:r>
      <w:r>
        <w:rPr>
          <w:rStyle w:val="optioncarChar"/>
        </w:rPr>
        <w:t xml:space="preserve">Vitrages doubles – Gaz (cfr </w:t>
      </w:r>
      <w:hyperlink w:anchor="878" w:history="1">
        <w:r>
          <w:rPr>
            <w:rStyle w:val="optioncarChar"/>
            <w:color w:val="0000EE"/>
          </w:rPr>
          <w:t>42.22.1a Vitrages doubles - Gaz</w:t>
        </w:r>
      </w:hyperlink>
      <w:r>
        <w:rPr>
          <w:rStyle w:val="optioncarChar"/>
        </w:rPr>
        <w:t>)</w:t>
      </w:r>
      <w:r>
        <w:t xml:space="preserve"> (par défaut) </w:t>
      </w:r>
      <w:r>
        <w:rPr>
          <w:rStyle w:val="optioncarChar"/>
        </w:rPr>
        <w:t xml:space="preserve">/ Vitrages triple – Gaz (cfr </w:t>
      </w:r>
      <w:hyperlink w:anchor="879" w:history="1">
        <w:r>
          <w:rPr>
            <w:rStyle w:val="optioncarChar"/>
            <w:color w:val="0000EE"/>
          </w:rPr>
          <w:t>42.22.2a Vitrages triples - Gaz</w:t>
        </w:r>
      </w:hyperlink>
      <w:r>
        <w:rPr>
          <w:rStyle w:val="optioncarChar"/>
        </w:rPr>
        <w:t>) / ***</w:t>
      </w:r>
    </w:p>
    <w:p w14:paraId="648412B8" w14:textId="77777777" w:rsidR="00772179" w:rsidRDefault="00000000">
      <w:pPr>
        <w:pStyle w:val="Author-eListParagraph"/>
        <w:numPr>
          <w:ilvl w:val="0"/>
          <w:numId w:val="46"/>
        </w:numPr>
      </w:pPr>
      <w:r>
        <w:t>Quincailleries :</w:t>
      </w:r>
      <w:r>
        <w:rPr>
          <w:rStyle w:val="optioncarChar"/>
        </w:rPr>
        <w:t>***</w:t>
      </w:r>
      <w:r>
        <w:br/>
        <w:t xml:space="preserve">Cfr. Article </w:t>
      </w:r>
      <w:hyperlink w:anchor="881" w:history="1">
        <w:r>
          <w:rPr>
            <w:color w:val="0000EE"/>
          </w:rPr>
          <w:t>41.72.1a Charnières et paumelles</w:t>
        </w:r>
      </w:hyperlink>
      <w:r>
        <w:br/>
        <w:t xml:space="preserve">Cfr. Article </w:t>
      </w:r>
      <w:hyperlink w:anchor="882" w:history="1">
        <w:r>
          <w:rPr>
            <w:color w:val="0000EE"/>
          </w:rPr>
          <w:t>41.72.3a Poignées</w:t>
        </w:r>
      </w:hyperlink>
    </w:p>
    <w:p w14:paraId="39CF10E9" w14:textId="77777777" w:rsidR="00772179" w:rsidRDefault="00000000">
      <w:r>
        <w:t> </w:t>
      </w:r>
      <w:r>
        <w:rPr>
          <w:u w:val="single"/>
        </w:rPr>
        <w:t>Fenêtres basculantes</w:t>
      </w:r>
    </w:p>
    <w:p w14:paraId="57C87BFB" w14:textId="77777777" w:rsidR="00772179" w:rsidRDefault="00000000">
      <w:pPr>
        <w:pStyle w:val="Author-eListParagraph"/>
        <w:numPr>
          <w:ilvl w:val="0"/>
          <w:numId w:val="47"/>
        </w:numPr>
      </w:pPr>
      <w:r>
        <w:t xml:space="preserve">Remplissage : </w:t>
      </w:r>
      <w:r>
        <w:rPr>
          <w:rStyle w:val="optioncarChar"/>
        </w:rPr>
        <w:t xml:space="preserve">Vitrages doubles – Gaz (cfr </w:t>
      </w:r>
      <w:hyperlink w:anchor="878" w:history="1">
        <w:r>
          <w:rPr>
            <w:rStyle w:val="optioncarChar"/>
            <w:color w:val="0000EE"/>
          </w:rPr>
          <w:t>42.22.1a Vitrages doubles - Gaz</w:t>
        </w:r>
      </w:hyperlink>
      <w:r>
        <w:rPr>
          <w:rStyle w:val="optioncarChar"/>
        </w:rPr>
        <w:t>)</w:t>
      </w:r>
      <w:r>
        <w:t xml:space="preserve"> (par défaut) </w:t>
      </w:r>
      <w:r>
        <w:rPr>
          <w:rStyle w:val="optioncarChar"/>
        </w:rPr>
        <w:t xml:space="preserve">/ Vitrages triple – Gaz (cfr </w:t>
      </w:r>
      <w:hyperlink w:anchor="879" w:history="1">
        <w:r>
          <w:rPr>
            <w:rStyle w:val="optioncarChar"/>
            <w:color w:val="0000EE"/>
          </w:rPr>
          <w:t>42.22.2a Vitrages triples - Gaz</w:t>
        </w:r>
      </w:hyperlink>
      <w:r>
        <w:rPr>
          <w:rStyle w:val="optioncarChar"/>
        </w:rPr>
        <w:t>)/***</w:t>
      </w:r>
    </w:p>
    <w:p w14:paraId="41493502" w14:textId="77777777" w:rsidR="00772179" w:rsidRDefault="00000000">
      <w:pPr>
        <w:pStyle w:val="Author-eListParagraph"/>
        <w:numPr>
          <w:ilvl w:val="0"/>
          <w:numId w:val="47"/>
        </w:numPr>
      </w:pPr>
      <w:r>
        <w:t>Quincailleries :</w:t>
      </w:r>
      <w:r>
        <w:rPr>
          <w:rStyle w:val="optioncarChar"/>
        </w:rPr>
        <w:t>***</w:t>
      </w:r>
      <w:r>
        <w:br/>
        <w:t xml:space="preserve">Cfr. Article </w:t>
      </w:r>
      <w:hyperlink w:anchor="881" w:history="1">
        <w:r>
          <w:rPr>
            <w:color w:val="0000EE"/>
          </w:rPr>
          <w:t>41.72.1a Charnières et paumelles</w:t>
        </w:r>
      </w:hyperlink>
      <w:r>
        <w:br/>
        <w:t xml:space="preserve">Cfr. Article </w:t>
      </w:r>
      <w:hyperlink w:anchor="882" w:history="1">
        <w:r>
          <w:rPr>
            <w:color w:val="0000EE"/>
          </w:rPr>
          <w:t>41.72.3a Poignées</w:t>
        </w:r>
      </w:hyperlink>
    </w:p>
    <w:p w14:paraId="30836BFD" w14:textId="77777777" w:rsidR="00772179" w:rsidRDefault="00000000">
      <w:r>
        <w:t> </w:t>
      </w:r>
      <w:r>
        <w:rPr>
          <w:u w:val="single"/>
        </w:rPr>
        <w:t>Fenêtres projetantes</w:t>
      </w:r>
    </w:p>
    <w:p w14:paraId="3CD28FB8" w14:textId="77777777" w:rsidR="00772179" w:rsidRDefault="00000000">
      <w:pPr>
        <w:pStyle w:val="Author-eListParagraph"/>
        <w:numPr>
          <w:ilvl w:val="0"/>
          <w:numId w:val="48"/>
        </w:numPr>
      </w:pPr>
      <w:r>
        <w:t xml:space="preserve">Remplissage : </w:t>
      </w:r>
      <w:r>
        <w:rPr>
          <w:rStyle w:val="optioncarChar"/>
        </w:rPr>
        <w:t xml:space="preserve">Vitrages doubles – Gaz (cfr </w:t>
      </w:r>
      <w:hyperlink w:anchor="878" w:history="1">
        <w:r>
          <w:rPr>
            <w:rStyle w:val="optioncarChar"/>
            <w:color w:val="0000EE"/>
          </w:rPr>
          <w:t>42.22.1a Vitrages doubles - Gaz</w:t>
        </w:r>
      </w:hyperlink>
      <w:r>
        <w:rPr>
          <w:rStyle w:val="optioncarChar"/>
        </w:rPr>
        <w:t>)</w:t>
      </w:r>
      <w:r>
        <w:t xml:space="preserve"> (par défaut) </w:t>
      </w:r>
      <w:r>
        <w:rPr>
          <w:rStyle w:val="optioncarChar"/>
        </w:rPr>
        <w:t xml:space="preserve">/ Vitrages triple – Gaz (cfr </w:t>
      </w:r>
      <w:hyperlink w:anchor="879" w:history="1">
        <w:r>
          <w:rPr>
            <w:rStyle w:val="optioncarChar"/>
            <w:color w:val="0000EE"/>
          </w:rPr>
          <w:t>42.22.2a Vitrages triples - Gaz</w:t>
        </w:r>
      </w:hyperlink>
      <w:r>
        <w:rPr>
          <w:rStyle w:val="optioncarChar"/>
        </w:rPr>
        <w:t>) / ***</w:t>
      </w:r>
    </w:p>
    <w:p w14:paraId="74E05245" w14:textId="77777777" w:rsidR="00772179" w:rsidRDefault="00000000">
      <w:pPr>
        <w:pStyle w:val="Author-eListParagraph"/>
        <w:numPr>
          <w:ilvl w:val="0"/>
          <w:numId w:val="48"/>
        </w:numPr>
      </w:pPr>
      <w:r>
        <w:t>Quincailleries :</w:t>
      </w:r>
      <w:r>
        <w:rPr>
          <w:rStyle w:val="optioncarChar"/>
        </w:rPr>
        <w:t>***</w:t>
      </w:r>
      <w:r>
        <w:br/>
        <w:t xml:space="preserve">Cfr. Article </w:t>
      </w:r>
      <w:hyperlink w:anchor="881" w:history="1">
        <w:r>
          <w:rPr>
            <w:color w:val="0000EE"/>
          </w:rPr>
          <w:t>41.72.1a Charnières et paumelles</w:t>
        </w:r>
      </w:hyperlink>
      <w:r>
        <w:br/>
        <w:t xml:space="preserve">Cfr. Article </w:t>
      </w:r>
      <w:hyperlink w:anchor="882" w:history="1">
        <w:r>
          <w:rPr>
            <w:color w:val="0000EE"/>
          </w:rPr>
          <w:t>41.72.3a Poignées</w:t>
        </w:r>
      </w:hyperlink>
    </w:p>
    <w:p w14:paraId="5CC10565" w14:textId="77777777" w:rsidR="00772179" w:rsidRDefault="00000000">
      <w:r>
        <w:t> </w:t>
      </w:r>
      <w:r>
        <w:rPr>
          <w:u w:val="single"/>
        </w:rPr>
        <w:t>Fenêtres pivotantes ou basculantes</w:t>
      </w:r>
    </w:p>
    <w:p w14:paraId="73F8D5EB" w14:textId="77777777" w:rsidR="00772179" w:rsidRDefault="00000000">
      <w:pPr>
        <w:pStyle w:val="Author-eListParagraph"/>
        <w:numPr>
          <w:ilvl w:val="0"/>
          <w:numId w:val="49"/>
        </w:numPr>
      </w:pPr>
      <w:r>
        <w:t xml:space="preserve">Remplissage : </w:t>
      </w:r>
      <w:r>
        <w:rPr>
          <w:rStyle w:val="optioncarChar"/>
        </w:rPr>
        <w:t xml:space="preserve">Vitrages doubles – Gaz (cfr </w:t>
      </w:r>
      <w:hyperlink w:anchor="878" w:history="1">
        <w:r>
          <w:rPr>
            <w:rStyle w:val="optioncarChar"/>
            <w:color w:val="0000EE"/>
          </w:rPr>
          <w:t>42.22.1a Vitrages doubles - Gaz</w:t>
        </w:r>
      </w:hyperlink>
      <w:r>
        <w:rPr>
          <w:rStyle w:val="optioncarChar"/>
        </w:rPr>
        <w:t>)</w:t>
      </w:r>
      <w:r>
        <w:t xml:space="preserve"> (par défaut) </w:t>
      </w:r>
      <w:r>
        <w:rPr>
          <w:rStyle w:val="optioncarChar"/>
        </w:rPr>
        <w:t xml:space="preserve">/ Vitrages triple – Gaz (cfr </w:t>
      </w:r>
      <w:hyperlink w:anchor="879" w:history="1">
        <w:r>
          <w:rPr>
            <w:rStyle w:val="optioncarChar"/>
            <w:color w:val="0000EE"/>
          </w:rPr>
          <w:t>42.22.2a Vitrages triples - Gaz</w:t>
        </w:r>
      </w:hyperlink>
      <w:r>
        <w:rPr>
          <w:rStyle w:val="optioncarChar"/>
        </w:rPr>
        <w:t>) / ***</w:t>
      </w:r>
    </w:p>
    <w:p w14:paraId="2C339D98" w14:textId="77777777" w:rsidR="00772179" w:rsidRDefault="00000000">
      <w:pPr>
        <w:pStyle w:val="Author-eListParagraph"/>
        <w:numPr>
          <w:ilvl w:val="0"/>
          <w:numId w:val="49"/>
        </w:numPr>
      </w:pPr>
      <w:r>
        <w:t>Quincailleries :</w:t>
      </w:r>
      <w:r>
        <w:rPr>
          <w:rStyle w:val="optioncarChar"/>
        </w:rPr>
        <w:t>***</w:t>
      </w:r>
      <w:r>
        <w:br/>
        <w:t xml:space="preserve">Cfr. Article </w:t>
      </w:r>
      <w:hyperlink w:anchor="881" w:history="1">
        <w:r>
          <w:rPr>
            <w:color w:val="0000EE"/>
          </w:rPr>
          <w:t>41.72.1a Charnières et paumelles</w:t>
        </w:r>
      </w:hyperlink>
      <w:r>
        <w:br/>
        <w:t xml:space="preserve">Cfr. Article </w:t>
      </w:r>
      <w:hyperlink w:anchor="882" w:history="1">
        <w:r>
          <w:rPr>
            <w:color w:val="0000EE"/>
          </w:rPr>
          <w:t>41.72.3a Poignées</w:t>
        </w:r>
      </w:hyperlink>
    </w:p>
    <w:p w14:paraId="5331A88F" w14:textId="77777777" w:rsidR="00772179" w:rsidRDefault="00000000">
      <w:r>
        <w:t> </w:t>
      </w:r>
      <w:r>
        <w:rPr>
          <w:u w:val="single"/>
        </w:rPr>
        <w:t>Fenêtres coulissantes</w:t>
      </w:r>
    </w:p>
    <w:p w14:paraId="331C55B5" w14:textId="77777777" w:rsidR="00772179" w:rsidRDefault="00000000">
      <w:pPr>
        <w:pStyle w:val="Author-eListParagraph"/>
        <w:numPr>
          <w:ilvl w:val="0"/>
          <w:numId w:val="50"/>
        </w:numPr>
      </w:pPr>
      <w:r>
        <w:t xml:space="preserve">Remplissage : </w:t>
      </w:r>
      <w:r>
        <w:rPr>
          <w:rStyle w:val="optioncarChar"/>
        </w:rPr>
        <w:t xml:space="preserve">Vitrages doubles – Gaz (cfr </w:t>
      </w:r>
      <w:hyperlink w:anchor="878" w:history="1">
        <w:r>
          <w:rPr>
            <w:rStyle w:val="optioncarChar"/>
            <w:color w:val="0000EE"/>
          </w:rPr>
          <w:t>42.22.1a Vitrages doubles - Gaz</w:t>
        </w:r>
      </w:hyperlink>
      <w:r>
        <w:rPr>
          <w:rStyle w:val="optioncarChar"/>
        </w:rPr>
        <w:t>)</w:t>
      </w:r>
      <w:r>
        <w:t xml:space="preserve"> (par défaut)</w:t>
      </w:r>
      <w:r>
        <w:rPr>
          <w:rStyle w:val="optioncarChar"/>
        </w:rPr>
        <w:t xml:space="preserve"> / Vitrages triple – Gaz (cfr </w:t>
      </w:r>
      <w:hyperlink w:anchor="879" w:history="1">
        <w:r>
          <w:rPr>
            <w:rStyle w:val="optioncarChar"/>
            <w:color w:val="0000EE"/>
          </w:rPr>
          <w:t>42.22.2a Vitrages triples - Gaz</w:t>
        </w:r>
      </w:hyperlink>
      <w:r>
        <w:rPr>
          <w:rStyle w:val="optioncarChar"/>
        </w:rPr>
        <w:t>) / ***</w:t>
      </w:r>
    </w:p>
    <w:p w14:paraId="6110DFD6" w14:textId="77777777" w:rsidR="00772179" w:rsidRDefault="00000000">
      <w:pPr>
        <w:pStyle w:val="Author-eListParagraph"/>
        <w:numPr>
          <w:ilvl w:val="0"/>
          <w:numId w:val="50"/>
        </w:numPr>
      </w:pPr>
      <w:r>
        <w:t xml:space="preserve">Quincailleries : </w:t>
      </w:r>
      <w:r>
        <w:rPr>
          <w:rStyle w:val="optioncarChar"/>
        </w:rPr>
        <w:t>***</w:t>
      </w:r>
      <w:r>
        <w:br/>
        <w:t xml:space="preserve">Cfr. Article </w:t>
      </w:r>
      <w:hyperlink w:anchor="881" w:history="1">
        <w:r>
          <w:rPr>
            <w:color w:val="0000EE"/>
          </w:rPr>
          <w:t>41.72.1a Charnières et paumelles</w:t>
        </w:r>
      </w:hyperlink>
      <w:r>
        <w:br/>
        <w:t xml:space="preserve">Cfr. Article </w:t>
      </w:r>
      <w:hyperlink w:anchor="882" w:history="1">
        <w:r>
          <w:rPr>
            <w:color w:val="0000EE"/>
          </w:rPr>
          <w:t>41.72.3a Poignées</w:t>
        </w:r>
      </w:hyperlink>
    </w:p>
    <w:p w14:paraId="5F6801D6" w14:textId="77777777" w:rsidR="00772179" w:rsidRDefault="00000000">
      <w:r>
        <w:t> </w:t>
      </w:r>
      <w:r>
        <w:rPr>
          <w:u w:val="single"/>
        </w:rPr>
        <w:t>Fenêtres levantes-coulissantes</w:t>
      </w:r>
    </w:p>
    <w:p w14:paraId="341B5A91" w14:textId="77777777" w:rsidR="00772179" w:rsidRDefault="00000000">
      <w:pPr>
        <w:pStyle w:val="Author-eListParagraph"/>
        <w:numPr>
          <w:ilvl w:val="0"/>
          <w:numId w:val="51"/>
        </w:numPr>
      </w:pPr>
      <w:r>
        <w:t xml:space="preserve">Remplissage : </w:t>
      </w:r>
      <w:r>
        <w:rPr>
          <w:rStyle w:val="optioncarChar"/>
        </w:rPr>
        <w:t xml:space="preserve">Vitrages doubles – Gaz (cfr </w:t>
      </w:r>
      <w:hyperlink w:anchor="878" w:history="1">
        <w:r>
          <w:rPr>
            <w:rStyle w:val="optioncarChar"/>
            <w:color w:val="0000EE"/>
          </w:rPr>
          <w:t>42.22.1a Vitrages doubles - Gaz</w:t>
        </w:r>
      </w:hyperlink>
      <w:r>
        <w:rPr>
          <w:rStyle w:val="optioncarChar"/>
        </w:rPr>
        <w:t>)</w:t>
      </w:r>
      <w:r>
        <w:t xml:space="preserve"> (par défaut) </w:t>
      </w:r>
      <w:r>
        <w:rPr>
          <w:rStyle w:val="optioncarChar"/>
        </w:rPr>
        <w:t xml:space="preserve">/ Vitrages triple – Gaz (cfr </w:t>
      </w:r>
      <w:hyperlink w:anchor="879" w:history="1">
        <w:r>
          <w:rPr>
            <w:rStyle w:val="optioncarChar"/>
            <w:color w:val="0000EE"/>
          </w:rPr>
          <w:t>42.22.2a Vitrages triples - Gaz</w:t>
        </w:r>
      </w:hyperlink>
      <w:r>
        <w:rPr>
          <w:rStyle w:val="optioncarChar"/>
        </w:rPr>
        <w:t>) / ***</w:t>
      </w:r>
    </w:p>
    <w:p w14:paraId="186E2EC4" w14:textId="77777777" w:rsidR="00772179" w:rsidRDefault="00000000">
      <w:pPr>
        <w:pStyle w:val="Author-eListParagraph"/>
        <w:numPr>
          <w:ilvl w:val="0"/>
          <w:numId w:val="51"/>
        </w:numPr>
      </w:pPr>
      <w:r>
        <w:t>Quincailleries : **</w:t>
      </w:r>
      <w:r>
        <w:rPr>
          <w:rStyle w:val="optioncarChar"/>
        </w:rPr>
        <w:t>*</w:t>
      </w:r>
      <w:r>
        <w:br/>
        <w:t xml:space="preserve">Cfr. Article </w:t>
      </w:r>
      <w:hyperlink w:anchor="881" w:history="1">
        <w:r>
          <w:rPr>
            <w:color w:val="0000EE"/>
          </w:rPr>
          <w:t>41.72.1a Charnières et paumelles</w:t>
        </w:r>
      </w:hyperlink>
      <w:r>
        <w:br/>
        <w:t xml:space="preserve">Cfr. Article </w:t>
      </w:r>
      <w:hyperlink w:anchor="882" w:history="1">
        <w:r>
          <w:rPr>
            <w:color w:val="0000EE"/>
          </w:rPr>
          <w:t>41.72.3a Poignées</w:t>
        </w:r>
      </w:hyperlink>
    </w:p>
    <w:p w14:paraId="5604D09F" w14:textId="77777777" w:rsidR="00772179" w:rsidRDefault="00000000">
      <w:r>
        <w:t> </w:t>
      </w:r>
      <w:r>
        <w:rPr>
          <w:u w:val="single"/>
        </w:rPr>
        <w:t>Fenêtres basculantes-coulissantes</w:t>
      </w:r>
    </w:p>
    <w:p w14:paraId="11C43F2D" w14:textId="77777777" w:rsidR="00772179" w:rsidRDefault="00000000">
      <w:pPr>
        <w:pStyle w:val="Author-eListParagraph"/>
        <w:numPr>
          <w:ilvl w:val="0"/>
          <w:numId w:val="52"/>
        </w:numPr>
      </w:pPr>
      <w:r>
        <w:t xml:space="preserve">Remplissage : </w:t>
      </w:r>
      <w:r>
        <w:rPr>
          <w:rStyle w:val="optioncarChar"/>
        </w:rPr>
        <w:t xml:space="preserve">Vitrages doubles – Gaz (cfr </w:t>
      </w:r>
      <w:hyperlink w:anchor="878" w:history="1">
        <w:r>
          <w:rPr>
            <w:rStyle w:val="optioncarChar"/>
            <w:color w:val="0000EE"/>
          </w:rPr>
          <w:t>42.22.1a Vitrages doubles - Gaz</w:t>
        </w:r>
      </w:hyperlink>
      <w:r>
        <w:rPr>
          <w:rStyle w:val="optioncarChar"/>
        </w:rPr>
        <w:t>)</w:t>
      </w:r>
      <w:r>
        <w:t xml:space="preserve"> (par défaut) </w:t>
      </w:r>
      <w:r>
        <w:rPr>
          <w:rStyle w:val="optioncarChar"/>
        </w:rPr>
        <w:t xml:space="preserve">/ Vitrages triple – Gaz (cfr </w:t>
      </w:r>
      <w:hyperlink w:anchor="879" w:history="1">
        <w:r>
          <w:rPr>
            <w:rStyle w:val="optioncarChar"/>
            <w:color w:val="0000EE"/>
          </w:rPr>
          <w:t>42.22.2a Vitrages triples - Gaz</w:t>
        </w:r>
      </w:hyperlink>
      <w:r>
        <w:rPr>
          <w:rStyle w:val="optioncarChar"/>
        </w:rPr>
        <w:t>) / ***</w:t>
      </w:r>
    </w:p>
    <w:p w14:paraId="30B86BE7" w14:textId="77777777" w:rsidR="00772179" w:rsidRDefault="00000000">
      <w:pPr>
        <w:pStyle w:val="Author-eListParagraph"/>
        <w:numPr>
          <w:ilvl w:val="0"/>
          <w:numId w:val="52"/>
        </w:numPr>
      </w:pPr>
      <w:r>
        <w:t xml:space="preserve">Quincailleries : </w:t>
      </w:r>
      <w:r>
        <w:rPr>
          <w:rStyle w:val="optioncarChar"/>
        </w:rPr>
        <w:t>***</w:t>
      </w:r>
      <w:r>
        <w:br/>
        <w:t xml:space="preserve">Cfr. Article </w:t>
      </w:r>
      <w:hyperlink w:anchor="881" w:history="1">
        <w:r>
          <w:rPr>
            <w:color w:val="0000EE"/>
          </w:rPr>
          <w:t>41.72.1a Charnières et paumelles</w:t>
        </w:r>
      </w:hyperlink>
      <w:r>
        <w:br/>
        <w:t xml:space="preserve">Cfr. Article </w:t>
      </w:r>
      <w:hyperlink w:anchor="882" w:history="1">
        <w:r>
          <w:rPr>
            <w:color w:val="0000EE"/>
          </w:rPr>
          <w:t>41.72.3a Poignées</w:t>
        </w:r>
      </w:hyperlink>
    </w:p>
    <w:p w14:paraId="2E104C7E" w14:textId="77777777" w:rsidR="00772179" w:rsidRDefault="00000000">
      <w:r>
        <w:t> </w:t>
      </w:r>
      <w:r>
        <w:rPr>
          <w:u w:val="single"/>
        </w:rPr>
        <w:t>Fenêtres obliques / inclinées</w:t>
      </w:r>
    </w:p>
    <w:p w14:paraId="425353DE" w14:textId="77777777" w:rsidR="00772179" w:rsidRDefault="00000000">
      <w:pPr>
        <w:pStyle w:val="Author-eListParagraph"/>
        <w:numPr>
          <w:ilvl w:val="0"/>
          <w:numId w:val="53"/>
        </w:numPr>
      </w:pPr>
      <w:r>
        <w:t xml:space="preserve">Remplissage : </w:t>
      </w:r>
      <w:r>
        <w:rPr>
          <w:rStyle w:val="optioncarChar"/>
        </w:rPr>
        <w:t xml:space="preserve">Vitrages doubles – Gaz (cfr </w:t>
      </w:r>
      <w:hyperlink w:anchor="878" w:history="1">
        <w:r>
          <w:rPr>
            <w:rStyle w:val="optioncarChar"/>
            <w:color w:val="0000EE"/>
          </w:rPr>
          <w:t>42.22.1a Vitrages doubles - Gaz</w:t>
        </w:r>
      </w:hyperlink>
      <w:r>
        <w:rPr>
          <w:rStyle w:val="optioncarChar"/>
        </w:rPr>
        <w:t>)</w:t>
      </w:r>
      <w:r>
        <w:t xml:space="preserve"> (par défaut) </w:t>
      </w:r>
      <w:r>
        <w:rPr>
          <w:rStyle w:val="optioncarChar"/>
        </w:rPr>
        <w:t xml:space="preserve">/ Vitrages triple – Gaz (cfr </w:t>
      </w:r>
      <w:hyperlink w:anchor="879" w:history="1">
        <w:r>
          <w:rPr>
            <w:rStyle w:val="optioncarChar"/>
            <w:color w:val="0000EE"/>
          </w:rPr>
          <w:t>42.22.2a Vitrages triples - Gaz</w:t>
        </w:r>
      </w:hyperlink>
      <w:r>
        <w:rPr>
          <w:rStyle w:val="optioncarChar"/>
        </w:rPr>
        <w:t>)/***</w:t>
      </w:r>
    </w:p>
    <w:p w14:paraId="11C53A2D" w14:textId="77777777" w:rsidR="00772179" w:rsidRDefault="00000000">
      <w:pPr>
        <w:pStyle w:val="Author-eListParagraph"/>
        <w:numPr>
          <w:ilvl w:val="0"/>
          <w:numId w:val="53"/>
        </w:numPr>
      </w:pPr>
      <w:r>
        <w:t xml:space="preserve">Quincailleries : </w:t>
      </w:r>
      <w:r>
        <w:rPr>
          <w:rStyle w:val="optioncarChar"/>
        </w:rPr>
        <w:t>***</w:t>
      </w:r>
      <w:r>
        <w:br/>
        <w:t xml:space="preserve">Cfr. Article </w:t>
      </w:r>
      <w:hyperlink w:anchor="881" w:history="1">
        <w:r>
          <w:rPr>
            <w:color w:val="0000EE"/>
          </w:rPr>
          <w:t>41.72.1a Charnières et paumelles</w:t>
        </w:r>
      </w:hyperlink>
      <w:r>
        <w:br/>
        <w:t xml:space="preserve">Cfr. Article </w:t>
      </w:r>
      <w:hyperlink w:anchor="882" w:history="1">
        <w:r>
          <w:rPr>
            <w:color w:val="0000EE"/>
          </w:rPr>
          <w:t>41.72.3a Poignées</w:t>
        </w:r>
      </w:hyperlink>
    </w:p>
    <w:p w14:paraId="5655919C" w14:textId="77777777" w:rsidR="00772179" w:rsidRDefault="00000000">
      <w:r>
        <w:lastRenderedPageBreak/>
        <w:t> </w:t>
      </w:r>
      <w:r>
        <w:rPr>
          <w:u w:val="single"/>
        </w:rPr>
        <w:t>Ensembles de fenêtres composées </w:t>
      </w:r>
    </w:p>
    <w:p w14:paraId="2BBFEF88" w14:textId="77777777" w:rsidR="00772179" w:rsidRDefault="00000000">
      <w:pPr>
        <w:pStyle w:val="Author-eListParagraph"/>
        <w:numPr>
          <w:ilvl w:val="0"/>
          <w:numId w:val="54"/>
        </w:numPr>
      </w:pPr>
      <w:r>
        <w:t xml:space="preserve">Remplissage : </w:t>
      </w:r>
      <w:r>
        <w:rPr>
          <w:rStyle w:val="optioncarChar"/>
        </w:rPr>
        <w:t xml:space="preserve">Vitrages doubles – Gaz (cfr </w:t>
      </w:r>
      <w:hyperlink w:anchor="878" w:history="1">
        <w:r>
          <w:rPr>
            <w:rStyle w:val="optioncarChar"/>
            <w:color w:val="0000EE"/>
          </w:rPr>
          <w:t>42.22.1a Vitrages doubles - Gaz</w:t>
        </w:r>
      </w:hyperlink>
      <w:r>
        <w:rPr>
          <w:rStyle w:val="optioncarChar"/>
        </w:rPr>
        <w:t>)</w:t>
      </w:r>
      <w:r>
        <w:t xml:space="preserve"> (par défaut)</w:t>
      </w:r>
      <w:r>
        <w:rPr>
          <w:rStyle w:val="optioncarChar"/>
        </w:rPr>
        <w:t xml:space="preserve"> / Vitrages triple – Gaz (cfr </w:t>
      </w:r>
      <w:hyperlink w:anchor="879" w:history="1">
        <w:r>
          <w:rPr>
            <w:rStyle w:val="optioncarChar"/>
            <w:color w:val="0000EE"/>
          </w:rPr>
          <w:t>42.22.2a Vitrages triples - Gaz</w:t>
        </w:r>
      </w:hyperlink>
      <w:r>
        <w:rPr>
          <w:rStyle w:val="optioncarChar"/>
        </w:rPr>
        <w:t>) / ***</w:t>
      </w:r>
    </w:p>
    <w:p w14:paraId="7D54F06C" w14:textId="77777777" w:rsidR="00772179" w:rsidRDefault="00000000">
      <w:pPr>
        <w:pStyle w:val="Author-eListParagraph"/>
        <w:numPr>
          <w:ilvl w:val="0"/>
          <w:numId w:val="54"/>
        </w:numPr>
      </w:pPr>
      <w:r>
        <w:t xml:space="preserve">Quincailleries : </w:t>
      </w:r>
      <w:r>
        <w:rPr>
          <w:rStyle w:val="optioncarChar"/>
        </w:rPr>
        <w:t>***</w:t>
      </w:r>
      <w:r>
        <w:br/>
        <w:t xml:space="preserve">Cfr. Article </w:t>
      </w:r>
      <w:hyperlink w:anchor="881" w:history="1">
        <w:r>
          <w:rPr>
            <w:color w:val="0000EE"/>
          </w:rPr>
          <w:t>41.72.1a Charnières et paumelles</w:t>
        </w:r>
      </w:hyperlink>
      <w:r>
        <w:br/>
        <w:t xml:space="preserve">Cfr. Article </w:t>
      </w:r>
      <w:hyperlink w:anchor="882" w:history="1">
        <w:r>
          <w:rPr>
            <w:color w:val="0000EE"/>
          </w:rPr>
          <w:t>41.72.3a Poignées</w:t>
        </w:r>
      </w:hyperlink>
    </w:p>
    <w:p w14:paraId="3E984C08" w14:textId="77777777" w:rsidR="00772179" w:rsidRDefault="00000000">
      <w:pPr>
        <w:jc w:val="both"/>
      </w:pPr>
      <w:r>
        <w:rPr>
          <w:b/>
        </w:rPr>
        <w:t>Quincaillerie </w:t>
      </w:r>
    </w:p>
    <w:p w14:paraId="73A99EDA" w14:textId="77777777" w:rsidR="00772179" w:rsidRDefault="00000000">
      <w:pPr>
        <w:jc w:val="both"/>
      </w:pPr>
      <w:r>
        <w:t>(Voir sous-titre </w:t>
      </w:r>
      <w:hyperlink w:anchor="884" w:history="1">
        <w:r>
          <w:rPr>
            <w:color w:val="0000EE"/>
          </w:rPr>
          <w:t>41.72 Quincailleries</w:t>
        </w:r>
      </w:hyperlink>
      <w:r>
        <w:t>)</w:t>
      </w:r>
    </w:p>
    <w:p w14:paraId="4D400A21" w14:textId="77777777" w:rsidR="00772179" w:rsidRDefault="00000000">
      <w:pPr>
        <w:pStyle w:val="Author-eListParagraph"/>
        <w:numPr>
          <w:ilvl w:val="0"/>
          <w:numId w:val="55"/>
        </w:numPr>
      </w:pPr>
      <w:r>
        <w:t>La quincaillerie permet d’atteindre les performances définies ci-dessus et sont conformes aux descriptions des essais initiaux pour le marquage de la fenêtre ou porte-fenêtre. </w:t>
      </w:r>
    </w:p>
    <w:p w14:paraId="2CD1746C" w14:textId="77777777" w:rsidR="00772179" w:rsidRDefault="00000000">
      <w:pPr>
        <w:pStyle w:val="Author-eListParagraph"/>
        <w:numPr>
          <w:ilvl w:val="0"/>
          <w:numId w:val="55"/>
        </w:numPr>
      </w:pPr>
      <w:r>
        <w:t>Les poignées et autres dispositifs d’aide à la manœuvre (notamment PMR) sont définis dans le chapitre </w:t>
      </w:r>
      <w:hyperlink w:anchor="886" w:history="1">
        <w:r>
          <w:rPr>
            <w:color w:val="0000EE"/>
          </w:rPr>
          <w:t>41.72.3 Poignées</w:t>
        </w:r>
      </w:hyperlink>
    </w:p>
    <w:p w14:paraId="7A6C244E" w14:textId="77777777" w:rsidR="00772179" w:rsidRDefault="00000000">
      <w:pPr>
        <w:jc w:val="both"/>
      </w:pPr>
      <w:r>
        <w:rPr>
          <w:b/>
        </w:rPr>
        <w:t>Vitrages et panneaux de remplissage</w:t>
      </w:r>
    </w:p>
    <w:p w14:paraId="21B9B2B5" w14:textId="77777777" w:rsidR="00772179" w:rsidRDefault="00000000">
      <w:pPr>
        <w:jc w:val="both"/>
      </w:pPr>
      <w:r>
        <w:t xml:space="preserve">(Voir section </w:t>
      </w:r>
      <w:hyperlink w:anchor="852" w:history="1">
        <w:r>
          <w:rPr>
            <w:color w:val="0000EE"/>
          </w:rPr>
          <w:t>42 Vitrages extérieurs et éléments de remplissage</w:t>
        </w:r>
      </w:hyperlink>
      <w:r>
        <w:t>)</w:t>
      </w:r>
    </w:p>
    <w:p w14:paraId="6C0992A8" w14:textId="77777777" w:rsidR="00772179" w:rsidRDefault="00000000">
      <w:pPr>
        <w:pStyle w:val="pheading"/>
      </w:pPr>
      <w:r>
        <w:t>- Finitions</w:t>
      </w:r>
    </w:p>
    <w:p w14:paraId="464C2D1E" w14:textId="77777777" w:rsidR="00772179" w:rsidRDefault="00000000">
      <w:pPr>
        <w:jc w:val="both"/>
      </w:pPr>
      <w:r>
        <w:t xml:space="preserve">Traitement de protection du profilé bois : </w:t>
      </w:r>
      <w:r>
        <w:rPr>
          <w:rStyle w:val="optioncarChar"/>
        </w:rPr>
        <w:t>Non nécessaire (classe de durabilité du bois suffisante)</w:t>
      </w:r>
      <w:r>
        <w:t xml:space="preserve"> (par défaut) / </w:t>
      </w:r>
      <w:r>
        <w:rPr>
          <w:rStyle w:val="optioncarChar"/>
        </w:rPr>
        <w:t>conforme à la [STS 04.3]</w:t>
      </w:r>
      <w:r>
        <w:t> </w:t>
      </w:r>
      <w:r>
        <w:rPr>
          <w:rStyle w:val="optioncarChar"/>
        </w:rPr>
        <w:t>/ Traitement pour une classe d’emploi 3 (selon [NBN EN 335] ) / ***</w:t>
      </w:r>
    </w:p>
    <w:p w14:paraId="736BBBED" w14:textId="77777777" w:rsidR="00772179" w:rsidRDefault="00000000">
      <w:pPr>
        <w:jc w:val="both"/>
      </w:pPr>
      <w:r>
        <w:t xml:space="preserve">Traitement de la surface de base : </w:t>
      </w:r>
      <w:r>
        <w:rPr>
          <w:rStyle w:val="optioncarChar"/>
        </w:rPr>
        <w:t>première couche en usine de type peinture</w:t>
      </w:r>
      <w:r>
        <w:t xml:space="preserve"> (par défaut)</w:t>
      </w:r>
      <w:r>
        <w:rPr>
          <w:rStyle w:val="optioncarChar"/>
        </w:rPr>
        <w:t xml:space="preserve"> / première couche en usine de lasure transparente / première couche en usine de lasure teintée / à posteriori / ***</w:t>
      </w:r>
    </w:p>
    <w:p w14:paraId="07155FBF" w14:textId="77777777" w:rsidR="00772179" w:rsidRDefault="00000000">
      <w:pPr>
        <w:jc w:val="both"/>
      </w:pPr>
      <w:r>
        <w:t>Traitement de la surface :</w:t>
      </w:r>
      <w:r>
        <w:rPr>
          <w:rStyle w:val="optioncarChar"/>
        </w:rPr>
        <w:t xml:space="preserve"> protection incolore selon le procédé</w:t>
      </w:r>
      <w:r>
        <w:t xml:space="preserve"> (par défaut) /</w:t>
      </w:r>
      <w:r>
        <w:rPr>
          <w:rStyle w:val="optioncarChar"/>
        </w:rPr>
        <w:t xml:space="preserve"> produits de peinture non filmogènes / ***</w:t>
      </w:r>
    </w:p>
    <w:p w14:paraId="5A06E48C" w14:textId="77777777" w:rsidR="00772179" w:rsidRDefault="00000000">
      <w:pPr>
        <w:jc w:val="both"/>
      </w:pPr>
      <w:r>
        <w:rPr>
          <w:b/>
        </w:rPr>
        <w:t>(Soit par défaut) :</w:t>
      </w:r>
      <w:r>
        <w:t>  </w:t>
      </w:r>
      <w:r>
        <w:rPr>
          <w:rStyle w:val="soitChar"/>
        </w:rPr>
        <w:t xml:space="preserve">un </w:t>
      </w:r>
      <w:r>
        <w:rPr>
          <w:rStyle w:val="soitChar"/>
          <w:u w:val="single"/>
        </w:rPr>
        <w:t>système de protection incolore</w:t>
      </w:r>
      <w:r>
        <w:rPr>
          <w:rStyle w:val="soitChar"/>
        </w:rPr>
        <w:t>, selon le procédé C2, selon le titre 04.3.3.2 des [STS 04.3]. Le produit se composera d'un vernis à bois régulateur d'humidité avec un pourcentage élevé de résine alkyde et d'agents antibactériens, disponible en différentes couleurs. Le produit n’est pas toxique et est utilisé indifféremment à l'intérieur et à l'extérieur, sur des essences de bois douces, dures et tropicales. Le produit est résistant aux rayons UV. 3 couches minimum sont à prévoir : la première couche de protection est appliquée dans la station d'imprégnation ou en atelier, la deuxième couche après la pose par l'entrepreneur et la troisième avant la réception,</w:t>
      </w:r>
    </w:p>
    <w:p w14:paraId="557AB79C" w14:textId="77777777" w:rsidR="00772179" w:rsidRDefault="00000000">
      <w:pPr>
        <w:jc w:val="both"/>
      </w:pPr>
      <w:r>
        <w:rPr>
          <w:b/>
        </w:rPr>
        <w:t>(Soit) : </w:t>
      </w:r>
      <w:r>
        <w:rPr>
          <w:rStyle w:val="soitChar"/>
          <w:u w:val="single"/>
        </w:rPr>
        <w:t>produits de peinture non filmogènes</w:t>
      </w:r>
      <w:r>
        <w:rPr>
          <w:rStyle w:val="soitChar"/>
        </w:rPr>
        <w:t xml:space="preserve">. L'épaisseur totale des trois couches de produit de finition, mesurées à sec est d'au moins </w:t>
      </w:r>
      <w:r>
        <w:rPr>
          <w:rStyle w:val="optioncarChar"/>
        </w:rPr>
        <w:t>100 / 120 / ***</w:t>
      </w:r>
      <w:r>
        <w:rPr>
          <w:rStyle w:val="soitChar"/>
        </w:rPr>
        <w:t xml:space="preserve"> μm. Ce produit s'imprègne profondément dans le bois, sans toutefois former un film fermé. Le produit laisse passer la vapeur d'eau, il est résistant aux intempéries et répulsif à l'eau. Il protège le bois contre le vieillissement, ne vieillit pas lui-même et contient des pigments qui préviennent la décomposition du film d'imprégnation par les rayons UV. La couleur est déterminée par l'auteur de projet après la soumission des échantillons de couleur sur l'essence de bois utilisée. Après et pendant la mise en œuvre, les ouvrages sont restaurés si nécessaire.</w:t>
      </w:r>
    </w:p>
    <w:p w14:paraId="5FE2B2F6" w14:textId="77777777" w:rsidR="00772179" w:rsidRDefault="00000000">
      <w:pPr>
        <w:jc w:val="both"/>
      </w:pPr>
      <w:r>
        <w:t>Avant tout traitement de finition, la préparation de surface est adaptée à l’essence de bois et au produit de finition.</w:t>
      </w:r>
    </w:p>
    <w:p w14:paraId="16F878A9" w14:textId="77777777" w:rsidR="00772179" w:rsidRDefault="00000000">
      <w:pPr>
        <w:jc w:val="both"/>
      </w:pPr>
      <w:r>
        <w:t>Les profilés de drainage éventuels en aluminium sont posés conformément aux consignes du fabricant et sont munis des pièces d'about nécessaires. Leurs faces de contact sont en outre revêtues de silicones, notamment au droit des jonctions suivantes :</w:t>
      </w:r>
    </w:p>
    <w:p w14:paraId="5539B772" w14:textId="77777777" w:rsidR="00772179" w:rsidRDefault="00000000">
      <w:pPr>
        <w:pStyle w:val="Author-eListParagraph"/>
        <w:numPr>
          <w:ilvl w:val="0"/>
          <w:numId w:val="56"/>
        </w:numPr>
      </w:pPr>
      <w:r>
        <w:t>entre le profilé en aluminium et le bâti dormant</w:t>
      </w:r>
    </w:p>
    <w:p w14:paraId="223F7844" w14:textId="77777777" w:rsidR="00772179" w:rsidRDefault="00000000">
      <w:pPr>
        <w:pStyle w:val="Author-eListParagraph"/>
        <w:numPr>
          <w:ilvl w:val="0"/>
          <w:numId w:val="56"/>
        </w:numPr>
      </w:pPr>
      <w:r>
        <w:t>entre le profilé en aluminium et les pièces d'about </w:t>
      </w:r>
    </w:p>
    <w:p w14:paraId="77F59919" w14:textId="77777777" w:rsidR="00772179" w:rsidRDefault="00000000">
      <w:pPr>
        <w:pStyle w:val="Author-eListParagraph"/>
        <w:numPr>
          <w:ilvl w:val="0"/>
          <w:numId w:val="56"/>
        </w:numPr>
      </w:pPr>
      <w:r>
        <w:t>entre les abouts et le bâti dormant</w:t>
      </w:r>
    </w:p>
    <w:p w14:paraId="23FF5077" w14:textId="77777777" w:rsidR="00772179" w:rsidRDefault="00000000">
      <w:r>
        <w:t>Sauf spécification contraire du maitre de l’ouvrage, les vitrages et/ou les éléments de remplissages sont remplaçables de l'intérieur ;</w:t>
      </w:r>
      <w:r>
        <w:br/>
        <w:t xml:space="preserve">Des feuillures ou rainures sont prévues dans les profils des châssis partout où cela s'avère </w:t>
      </w:r>
      <w:r>
        <w:lastRenderedPageBreak/>
        <w:t>nécessaire pour la finition intérieure (tablettes de fenêtres, caisse à rideaux, habillage latéral, …) ;</w:t>
      </w:r>
      <w:r>
        <w:br/>
        <w:t>Les volets éventuellement sont prévus pour être posés ;</w:t>
      </w:r>
    </w:p>
    <w:p w14:paraId="14BEACCA" w14:textId="77777777" w:rsidR="00772179" w:rsidRDefault="00000000">
      <w:pPr>
        <w:jc w:val="both"/>
      </w:pPr>
      <w:r>
        <w:t>Après la fabrication, toutes les faces vues sont traitées de manière appropriée afin d'éliminer toute trace d'outils et de manutention.  </w:t>
      </w:r>
    </w:p>
    <w:p w14:paraId="71F786C4" w14:textId="77777777" w:rsidR="00772179" w:rsidRDefault="00000000">
      <w:pPr>
        <w:jc w:val="both"/>
      </w:pPr>
      <w:r>
        <w:rPr>
          <w:b/>
        </w:rPr>
        <w:t>Profilé de finition en aluminium</w:t>
      </w:r>
    </w:p>
    <w:p w14:paraId="3FF9EEAF" w14:textId="77777777" w:rsidR="00772179" w:rsidRDefault="00000000">
      <w:pPr>
        <w:jc w:val="both"/>
      </w:pPr>
      <w:r>
        <w:t>Les profils sont sciés et ébarbés.</w:t>
      </w:r>
    </w:p>
    <w:p w14:paraId="7246958D" w14:textId="77777777" w:rsidR="00772179" w:rsidRDefault="00000000">
      <w:pPr>
        <w:jc w:val="both"/>
      </w:pPr>
      <w:r>
        <w:t>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la [NBN B 25-002-4].</w:t>
      </w:r>
    </w:p>
    <w:p w14:paraId="18E4243B" w14:textId="77777777" w:rsidR="00772179" w:rsidRDefault="00000000">
      <w:pPr>
        <w:pStyle w:val="Author-eListParagraph"/>
        <w:numPr>
          <w:ilvl w:val="0"/>
          <w:numId w:val="57"/>
        </w:numPr>
      </w:pPr>
      <w:r>
        <w:t>Pour garantir la qualité continue, seul un traitement de surface est autorisé en gestion propre du fournisseur de système, et l’alliage d’aluminium satisfont aux critères ci-dessus. Ce traitement dispose d’une validation de la durabilité qui sont présentées à la demande de l’architecte.</w:t>
      </w:r>
    </w:p>
    <w:p w14:paraId="034EB564" w14:textId="77777777" w:rsidR="00772179" w:rsidRDefault="00000000">
      <w:pPr>
        <w:pStyle w:val="Author-eListParagraph"/>
        <w:numPr>
          <w:ilvl w:val="0"/>
          <w:numId w:val="57"/>
        </w:numPr>
      </w:pPr>
      <w:r>
        <w:t>Lors d’une observation perpendiculaire à la surface concernée sous une lumière diffuse (ciel couvert à l’extérieur et sans éclairage artificiel à l’intérieur), aucun défaut de surface décrit ci-après ne sont visibles à l’œil nu à une distance de 2 mètres : surface rude, gouttes d’écoulement, boursouflures, effet de peau d’orange, inclusions, cratères, taches mates, trous, griffes.</w:t>
      </w:r>
    </w:p>
    <w:p w14:paraId="7D917B84" w14:textId="77777777" w:rsidR="00772179" w:rsidRDefault="00000000">
      <w:pPr>
        <w:pStyle w:val="Author-eListParagraph"/>
        <w:numPr>
          <w:ilvl w:val="0"/>
          <w:numId w:val="58"/>
        </w:numPr>
      </w:pPr>
      <w:r>
        <w:t>L’exécution laquée au four présente une teinte et un éclat uniformes et doit être couvrante. Aucune différence de teinte incommodante n'apparaît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513C6E04" w14:textId="77777777" w:rsidR="00772179" w:rsidRDefault="00000000">
      <w:pPr>
        <w:pStyle w:val="Author-eListParagraph"/>
        <w:numPr>
          <w:ilvl w:val="0"/>
          <w:numId w:val="58"/>
        </w:numPr>
      </w:pPr>
      <w:r>
        <w:t>L’aspect de la face visible des profilés anodisés ne présente aucune différence de teinte ni de taches incommodantes qui sont jugées gênantes.  </w:t>
      </w:r>
    </w:p>
    <w:p w14:paraId="165571FD" w14:textId="77777777" w:rsidR="00772179" w:rsidRDefault="00000000">
      <w:pPr>
        <w:jc w:val="both"/>
      </w:pPr>
      <w:r>
        <w:t xml:space="preserve">Les possibilités de traitement de surface sont les suivantes (à déterminer ultérieurement) : </w:t>
      </w:r>
      <w:r>
        <w:rPr>
          <w:rStyle w:val="optioncarChar"/>
        </w:rPr>
        <w:t>Laquage et revêtement par poudrage (laquage au four)</w:t>
      </w:r>
      <w:r>
        <w:t xml:space="preserve"> (par défaut) </w:t>
      </w:r>
      <w:r>
        <w:rPr>
          <w:rStyle w:val="optioncarChar"/>
        </w:rPr>
        <w:t>/ Laquage de peinture liquide / Anodisation / ***</w:t>
      </w:r>
    </w:p>
    <w:p w14:paraId="6702A4EA" w14:textId="77777777" w:rsidR="00772179" w:rsidRDefault="00000000">
      <w:pPr>
        <w:jc w:val="both"/>
      </w:pPr>
      <w:r>
        <w:rPr>
          <w:b/>
        </w:rPr>
        <w:t>Méthode d'anodisation</w:t>
      </w:r>
    </w:p>
    <w:p w14:paraId="6B7D9313" w14:textId="77777777" w:rsidR="00772179" w:rsidRDefault="00000000">
      <w:pPr>
        <w:pStyle w:val="Author-eListParagraph"/>
        <w:numPr>
          <w:ilvl w:val="0"/>
          <w:numId w:val="59"/>
        </w:numPr>
        <w:jc w:val="both"/>
      </w:pPr>
      <w:r>
        <w:t>Le traitement préliminaire et la protection de la menuiserie répondent aux spécifications [NBN B 25-002-4] et sont conformes :</w:t>
      </w:r>
      <w:r>
        <w:rPr>
          <w:rStyle w:val="optioncarChar"/>
        </w:rPr>
        <w:t xml:space="preserve"> idem menuiseries</w:t>
      </w:r>
      <w:r>
        <w:t xml:space="preserve"> (par défaut) </w:t>
      </w:r>
      <w:r>
        <w:rPr>
          <w:rStyle w:val="optioncarChar"/>
        </w:rPr>
        <w:t>/ au mode AO - Non poli avec traitement anodique / mode BO - Semi-poli avec traitement anodique (satiné) /  mode CO - Complètement poli avec traitement anodique (brillant) / ***.</w:t>
      </w:r>
    </w:p>
    <w:p w14:paraId="4B803996" w14:textId="77777777" w:rsidR="00772179" w:rsidRDefault="00000000">
      <w:pPr>
        <w:pStyle w:val="Author-eListParagraph"/>
        <w:numPr>
          <w:ilvl w:val="0"/>
          <w:numId w:val="59"/>
        </w:numPr>
        <w:jc w:val="both"/>
      </w:pPr>
      <w:r>
        <w:t xml:space="preserve">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L’entreprise chargée de l’anodisation prouve la qualité et la durabilité de la finition.. La qualité est contrôlée par des essais suivant la procédure prévue dans le label. L’épaisseur exigée de la couche d’oxyde répond également aux spécifications [NBN B 25-002-4] et selon la norme [NBN EN ISO 7599]: Catégorie </w:t>
      </w:r>
      <w:r>
        <w:rPr>
          <w:rStyle w:val="optioncarChar"/>
        </w:rPr>
        <w:t>AA15 (15 μm)</w:t>
      </w:r>
      <w:r>
        <w:t xml:space="preserve"> (par défaut) </w:t>
      </w:r>
      <w:r>
        <w:rPr>
          <w:rStyle w:val="optioncarChar"/>
        </w:rPr>
        <w:t>/ AA 20 (20 μm) / AA25 (25 μm) / *** </w:t>
      </w:r>
      <w:r>
        <w:t>μm</w:t>
      </w:r>
    </w:p>
    <w:p w14:paraId="112E08BC" w14:textId="77777777" w:rsidR="00772179" w:rsidRDefault="00000000">
      <w:pPr>
        <w:pStyle w:val="Author-eListParagraph"/>
        <w:numPr>
          <w:ilvl w:val="0"/>
          <w:numId w:val="59"/>
        </w:numPr>
        <w:jc w:val="both"/>
      </w:pPr>
      <w:r>
        <w:t xml:space="preserve">La teinte est : </w:t>
      </w:r>
      <w:r>
        <w:rPr>
          <w:rStyle w:val="optioncarChar"/>
        </w:rPr>
        <w:t>naturelle</w:t>
      </w:r>
      <w:r>
        <w:t xml:space="preserve"> (par défaut) </w:t>
      </w:r>
      <w:r>
        <w:rPr>
          <w:rStyle w:val="optioncarChar"/>
        </w:rPr>
        <w:t>/ noir / bronze / ***</w:t>
      </w:r>
    </w:p>
    <w:p w14:paraId="2E11D496" w14:textId="77777777" w:rsidR="00772179" w:rsidRDefault="00000000">
      <w:pPr>
        <w:jc w:val="both"/>
      </w:pPr>
      <w:r>
        <w:rPr>
          <w:b/>
        </w:rPr>
        <w:t>Méthode de Laquages / Revêtements</w:t>
      </w:r>
    </w:p>
    <w:p w14:paraId="7D15527C" w14:textId="77777777" w:rsidR="00772179" w:rsidRDefault="00000000">
      <w:pPr>
        <w:pStyle w:val="Author-eListParagraph"/>
        <w:numPr>
          <w:ilvl w:val="0"/>
          <w:numId w:val="60"/>
        </w:numPr>
        <w:jc w:val="both"/>
      </w:pPr>
      <w:r>
        <w:t>Le procédé de finition par laquage sur aluminium est conforme à la norme [NBN EN 12206-1]</w:t>
      </w:r>
    </w:p>
    <w:p w14:paraId="360A50A4" w14:textId="77777777" w:rsidR="00772179" w:rsidRDefault="00000000">
      <w:pPr>
        <w:pStyle w:val="Author-eListParagraph"/>
        <w:numPr>
          <w:ilvl w:val="0"/>
          <w:numId w:val="60"/>
        </w:numPr>
        <w:jc w:val="both"/>
      </w:pPr>
      <w:r>
        <w:t>Les couches de peinture résistent aux chocs et ne s’écaillent pas aux bords lors d’opérations mécaniques (forage, sciage, fraisage, poinçonnage, ...). Les échantillons de profilés nécessaires sont préalablement soumis à l’auteur de projet.</w:t>
      </w:r>
    </w:p>
    <w:p w14:paraId="44C46524" w14:textId="77777777" w:rsidR="00772179" w:rsidRDefault="00000000">
      <w:pPr>
        <w:jc w:val="both"/>
      </w:pPr>
      <w:r>
        <w:rPr>
          <w:b/>
        </w:rPr>
        <w:t>Domaine d’application :</w:t>
      </w:r>
      <w:r>
        <w:t> </w:t>
      </w:r>
      <w:r>
        <w:rPr>
          <w:rStyle w:val="optioncarChar"/>
        </w:rPr>
        <w:t xml:space="preserve"> Classe 2</w:t>
      </w:r>
      <w:r>
        <w:t xml:space="preserve"> (par défaut) </w:t>
      </w:r>
      <w:r>
        <w:rPr>
          <w:rStyle w:val="optioncarChar"/>
        </w:rPr>
        <w:t>/ classe 3</w:t>
      </w:r>
    </w:p>
    <w:p w14:paraId="3D68ED72" w14:textId="77777777" w:rsidR="00772179" w:rsidRDefault="00000000">
      <w:pPr>
        <w:jc w:val="both"/>
      </w:pPr>
      <w:r>
        <w:rPr>
          <w:b/>
        </w:rPr>
        <w:lastRenderedPageBreak/>
        <w:t>(Soit par défaut):</w:t>
      </w:r>
      <w:r>
        <w:rPr>
          <w:rStyle w:val="soitChar"/>
          <w:u w:val="single"/>
        </w:rPr>
        <w:t>Classe 2</w:t>
      </w:r>
      <w:r>
        <w:rPr>
          <w:rStyle w:val="soitChar"/>
        </w:rPr>
        <w:t xml:space="preserve">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180 ≤ T°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7D6A004F" w14:textId="77777777" w:rsidR="00772179" w:rsidRDefault="00772179">
      <w:pPr>
        <w:jc w:val="both"/>
      </w:pPr>
    </w:p>
    <w:p w14:paraId="669AC4FE" w14:textId="77777777" w:rsidR="00772179" w:rsidRDefault="00000000">
      <w:pPr>
        <w:jc w:val="both"/>
      </w:pPr>
      <w:r>
        <w:rPr>
          <w:b/>
        </w:rPr>
        <w:t>(Soit) :</w:t>
      </w:r>
      <w:r>
        <w:rPr>
          <w:rStyle w:val="soitChar"/>
          <w:u w:val="single"/>
        </w:rPr>
        <w:t>Classe 3</w:t>
      </w:r>
      <w:r>
        <w:rPr>
          <w:rStyle w:val="soitChar"/>
        </w:rPr>
        <w:t xml:space="preserve"> – Des circonstances agressives  - charge agressive.</w:t>
      </w:r>
    </w:p>
    <w:p w14:paraId="5A842C7F" w14:textId="77777777" w:rsidR="00772179" w:rsidRDefault="00000000">
      <w:pPr>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1BABF761" w14:textId="77777777" w:rsidR="00772179" w:rsidRDefault="00000000">
      <w:pPr>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minutes / μm) pour permettre une bonne adhérence de la couche de peinture. Ensuite, le matériel est manipulé avec des gants afin d’éviter les taches de graisse.</w:t>
      </w:r>
    </w:p>
    <w:p w14:paraId="2F3E05A7" w14:textId="77777777" w:rsidR="00772179" w:rsidRDefault="00000000">
      <w:pPr>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les 180 - 200 °C.</w:t>
      </w:r>
    </w:p>
    <w:p w14:paraId="796BA118" w14:textId="77777777" w:rsidR="00772179" w:rsidRDefault="00772179">
      <w:pPr>
        <w:jc w:val="both"/>
      </w:pPr>
    </w:p>
    <w:p w14:paraId="31101639" w14:textId="77777777" w:rsidR="00772179" w:rsidRDefault="00000000">
      <w:pPr>
        <w:jc w:val="both"/>
      </w:pPr>
      <w:r>
        <w:t xml:space="preserve"> Pour les couleurs RAL, l’épaisseur de couche atteint en moyenne 60 μm minimum.</w:t>
      </w:r>
    </w:p>
    <w:p w14:paraId="51314FF7" w14:textId="77777777" w:rsidR="00772179" w:rsidRDefault="00000000">
      <w:pPr>
        <w:jc w:val="both"/>
      </w:pPr>
      <w:r>
        <w:t xml:space="preserve"> Pour les couleurs métallisées, le pigment de couleur est ‘fondu’ avec la poudre de base (Bonding process). Un mélange homogène de l’aluminium ou des particules en inox n’est pas autorisé afin d’éviter la formation de nuages.</w:t>
      </w:r>
    </w:p>
    <w:p w14:paraId="6BD5869A" w14:textId="77777777" w:rsidR="00772179" w:rsidRDefault="00000000">
      <w:pPr>
        <w:pStyle w:val="Author-eListParagraph"/>
        <w:numPr>
          <w:ilvl w:val="0"/>
          <w:numId w:val="61"/>
        </w:numPr>
      </w:pPr>
      <w:r>
        <w:t>La teinte du traitement de surface du profilé peut être consultée sur base d’un échantillon chez le fonctionnaire dirigeant / l’architecte</w:t>
      </w:r>
    </w:p>
    <w:p w14:paraId="7999B3E8" w14:textId="77777777" w:rsidR="00772179" w:rsidRDefault="00000000">
      <w:pPr>
        <w:pStyle w:val="Author-eListParagraph"/>
        <w:numPr>
          <w:ilvl w:val="0"/>
          <w:numId w:val="61"/>
        </w:numPr>
      </w:pPr>
      <w:r>
        <w:t>Les finitions de surface permettent en outre les combinaisons de couleurs intérieures / extérieures :</w:t>
      </w:r>
    </w:p>
    <w:p w14:paraId="1897D620" w14:textId="77777777" w:rsidR="00772179" w:rsidRDefault="00000000">
      <w:pPr>
        <w:pStyle w:val="Author-eListParagraph"/>
        <w:numPr>
          <w:ilvl w:val="0"/>
          <w:numId w:val="61"/>
        </w:numPr>
      </w:pPr>
      <w:r>
        <w:t xml:space="preserve">Teinte du profilé extérieur : </w:t>
      </w:r>
      <w:r>
        <w:rPr>
          <w:rStyle w:val="optioncarChar"/>
        </w:rPr>
        <w:t>libre choix dans la gamme standard du fabricant</w:t>
      </w:r>
      <w:r>
        <w:t xml:space="preserve"> (par défaut)</w:t>
      </w:r>
      <w:r>
        <w:rPr>
          <w:rStyle w:val="optioncarChar"/>
        </w:rPr>
        <w:t xml:space="preserve"> / Couleur RAL :*** </w:t>
      </w:r>
    </w:p>
    <w:p w14:paraId="13FE536F" w14:textId="77777777" w:rsidR="00772179" w:rsidRDefault="00000000">
      <w:pPr>
        <w:pStyle w:val="Author-eListParagraph"/>
        <w:numPr>
          <w:ilvl w:val="0"/>
          <w:numId w:val="61"/>
        </w:numPr>
      </w:pPr>
      <w:r>
        <w:t>Degré de brillance :</w:t>
      </w:r>
      <w:r>
        <w:rPr>
          <w:rStyle w:val="optioncarChar"/>
        </w:rPr>
        <w:t xml:space="preserve"> 30 </w:t>
      </w:r>
      <w:r>
        <w:t>(par défaut)</w:t>
      </w:r>
      <w:r>
        <w:rPr>
          <w:rStyle w:val="optioncarChar"/>
        </w:rPr>
        <w:t xml:space="preserve"> / 70 / 90 / *** </w:t>
      </w:r>
      <w:r>
        <w:t>% sous un angle de 60 °</w:t>
      </w:r>
      <w:r>
        <w:rPr>
          <w:rStyle w:val="optioncarChar"/>
        </w:rPr>
        <w:t xml:space="preserve"> mat</w:t>
      </w:r>
      <w:r>
        <w:t xml:space="preserve"> (par défaut) </w:t>
      </w:r>
      <w:r>
        <w:rPr>
          <w:rStyle w:val="optioncarChar"/>
        </w:rPr>
        <w:t>/ métallisée / ***</w:t>
      </w:r>
    </w:p>
    <w:p w14:paraId="1ED37995" w14:textId="77777777" w:rsidR="00772179" w:rsidRDefault="00000000">
      <w:pPr>
        <w:jc w:val="both"/>
      </w:pPr>
      <w:r>
        <w:t>L’évaluation de l’aspect extérieur est réalisée conformément au §4.5 du [NBN B 25-002-4].</w:t>
      </w:r>
    </w:p>
    <w:p w14:paraId="31EBFBB5" w14:textId="77777777" w:rsidR="00772179" w:rsidRDefault="00000000">
      <w:pPr>
        <w:pStyle w:val="pheading"/>
      </w:pPr>
      <w:r>
        <w:t>- Prescriptions complémentaires</w:t>
      </w:r>
    </w:p>
    <w:p w14:paraId="45241988" w14:textId="77777777" w:rsidR="00772179" w:rsidRDefault="00000000">
      <w:pPr>
        <w:jc w:val="both"/>
      </w:pPr>
      <w:r>
        <w:rPr>
          <w:rStyle w:val="facultChar"/>
        </w:rPr>
        <w:t>Le resserrage de la Menuiserie assure la continuité des performances mécaniques thermiques et d’étanchéité à l’eau.</w:t>
      </w:r>
    </w:p>
    <w:p w14:paraId="14F45AE3" w14:textId="77777777" w:rsidR="00772179" w:rsidRDefault="00000000">
      <w:pPr>
        <w:jc w:val="both"/>
      </w:pPr>
      <w:r>
        <w:rPr>
          <w:rStyle w:val="facultChar"/>
        </w:rPr>
        <w:t>Pour la continuité de l’étanchéité à l’air le resserrage sera muni d’un</w:t>
      </w:r>
      <w:r>
        <w:rPr>
          <w:rStyle w:val="facultChar"/>
          <w:color w:val="000000"/>
        </w:rPr>
        <w:t> </w:t>
      </w:r>
      <w:r>
        <w:rPr>
          <w:rStyle w:val="optioncarChar"/>
        </w:rPr>
        <w:t>kit de mastic</w:t>
      </w:r>
      <w:r>
        <w:t xml:space="preserve"> (par défaut) </w:t>
      </w:r>
      <w:r>
        <w:rPr>
          <w:rStyle w:val="optioncarChar"/>
        </w:rPr>
        <w:t>/ membrane / profilé de resserrage / ***</w:t>
      </w:r>
    </w:p>
    <w:p w14:paraId="7D4F8031" w14:textId="77777777" w:rsidR="00772179" w:rsidRDefault="00000000">
      <w:pPr>
        <w:jc w:val="both"/>
      </w:pPr>
      <w:r>
        <w:rPr>
          <w:rStyle w:val="facultChar"/>
        </w:rPr>
        <w:t>Pour la continuité de l’isolation acoustique le resserrage sera muni d’une</w:t>
      </w:r>
      <w:r>
        <w:rPr>
          <w:rStyle w:val="facultChar"/>
          <w:color w:val="000000"/>
        </w:rPr>
        <w:t> </w:t>
      </w:r>
      <w:r>
        <w:rPr>
          <w:rStyle w:val="optioncarChar"/>
        </w:rPr>
        <w:t>laine de roche</w:t>
      </w:r>
      <w:r>
        <w:t xml:space="preserve"> (par défaut)</w:t>
      </w:r>
      <w:r>
        <w:rPr>
          <w:rStyle w:val="optioncarChar"/>
        </w:rPr>
        <w:t xml:space="preserve"> / mousse acoustique / plaque massive / ***</w:t>
      </w:r>
    </w:p>
    <w:p w14:paraId="6DF5CDCF" w14:textId="77777777" w:rsidR="00772179" w:rsidRDefault="00000000">
      <w:pPr>
        <w:jc w:val="both"/>
      </w:pPr>
      <w:r>
        <w:rPr>
          <w:rStyle w:val="facultChar"/>
        </w:rPr>
        <w:t>S’il est prévu un sous-seuil, il sera</w:t>
      </w:r>
      <w:r>
        <w:rPr>
          <w:rStyle w:val="optioncarChar"/>
        </w:rPr>
        <w:t xml:space="preserve"> vissé</w:t>
      </w:r>
      <w:r>
        <w:t xml:space="preserve"> (par défaut) </w:t>
      </w:r>
      <w:r>
        <w:rPr>
          <w:rStyle w:val="optioncarChar"/>
        </w:rPr>
        <w:t>/ collé / clippé / ***</w:t>
      </w:r>
      <w:r>
        <w:rPr>
          <w:rStyle w:val="facultChar"/>
        </w:rPr>
        <w:t>. Un cordon d’étanchéité ou un collage en continu est réalisé entre le sous-seuil et  le profilé dormant. Sur le profil de base, ce profil de seuil est pourvu d’un rejet d’eau rabaissé à l'extérieur, qui évacue l'eau excédentaire dans le bas du profil du dormant.</w:t>
      </w:r>
    </w:p>
    <w:p w14:paraId="09E581B4" w14:textId="77777777" w:rsidR="00772179" w:rsidRDefault="00000000">
      <w:pPr>
        <w:pStyle w:val="pheading"/>
      </w:pPr>
      <w:r>
        <w:t>EXÉCUTION / MISE EN ŒUVRE</w:t>
      </w:r>
    </w:p>
    <w:p w14:paraId="44AD8179" w14:textId="77777777" w:rsidR="00772179" w:rsidRDefault="00000000">
      <w:pPr>
        <w:pStyle w:val="pheading"/>
      </w:pPr>
      <w:r>
        <w:t>- Prescriptions générales</w:t>
      </w:r>
    </w:p>
    <w:p w14:paraId="4F4CE9CE" w14:textId="77777777" w:rsidR="00772179" w:rsidRDefault="00000000">
      <w:pPr>
        <w:jc w:val="both"/>
      </w:pPr>
      <w:r>
        <w:lastRenderedPageBreak/>
        <w:t xml:space="preserve">La pose des châssis s'effectue selon l'élément </w:t>
      </w:r>
      <w:hyperlink w:anchor="64" w:history="1">
        <w:r>
          <w:rPr>
            <w:color w:val="0000EE"/>
          </w:rPr>
          <w:t>41.1 Fenêtres et portes-fenêtres</w:t>
        </w:r>
      </w:hyperlink>
      <w:r>
        <w:t xml:space="preserve"> et conformément à la [NIT 283].</w:t>
      </w:r>
    </w:p>
    <w:p w14:paraId="54B25E6C" w14:textId="77777777" w:rsidR="00772179" w:rsidRDefault="00000000">
      <w:pPr>
        <w:jc w:val="both"/>
      </w:pPr>
      <w:r>
        <w:t>L’entretien est conforme à la norme [NBN B 25-002-1] complété par les [STS 52.1] et [NBN B 25-002-4].</w:t>
      </w:r>
    </w:p>
    <w:p w14:paraId="59DD463A" w14:textId="77777777" w:rsidR="00772179" w:rsidRDefault="00000000">
      <w:pPr>
        <w:ind w:left="750"/>
      </w:pPr>
      <w:r>
        <w:t> </w:t>
      </w:r>
    </w:p>
    <w:p w14:paraId="18DBF59D" w14:textId="77777777" w:rsidR="00772179" w:rsidRDefault="00000000">
      <w:pPr>
        <w:pStyle w:val="pheading"/>
      </w:pPr>
      <w:r>
        <w:t>DOCUMENTS DE RÉFÉRENCE COMPLÉMENTAIRES</w:t>
      </w:r>
    </w:p>
    <w:p w14:paraId="496A5A02" w14:textId="77777777" w:rsidR="00772179" w:rsidRDefault="00000000">
      <w:pPr>
        <w:pStyle w:val="pheading"/>
      </w:pPr>
      <w:r>
        <w:t>- Matériau</w:t>
      </w:r>
    </w:p>
    <w:p w14:paraId="100BCDA1" w14:textId="77777777" w:rsidR="00772179" w:rsidRDefault="00000000">
      <w:r>
        <w:t>[NBN EN 14351-1:2006+A2, Fenêtres et portes - Norme produit, caractéristiques de performance - Partie 1 : Fenêtres et blocs portes extérieurs pour piétons]</w:t>
      </w:r>
    </w:p>
    <w:p w14:paraId="2FDC573B" w14:textId="77777777" w:rsidR="00772179" w:rsidRDefault="00000000">
      <w:r>
        <w:t>[STS 52.1, Menuiseries extérieures en bois]</w:t>
      </w:r>
    </w:p>
    <w:p w14:paraId="330B3FB0" w14:textId="77777777" w:rsidR="00772179" w:rsidRDefault="00000000">
      <w:r>
        <w:t>[NBN EN 599-1+A1, Durabilité du bois et des matériaux dérivés du bois - Efficacité des produits préventifs de préservation du bois établie par des essais biologiques - Partie 1: Spécification par classe d'emploi]</w:t>
      </w:r>
    </w:p>
    <w:p w14:paraId="519700D4" w14:textId="77777777" w:rsidR="00772179" w:rsidRDefault="00000000">
      <w:r>
        <w:t>[NBN EN ISO 7599, Anodisation de l'aluminium et de ses alliages - Méthode de spécification des caractéristiques des revêtements décoratifs et protecteurs obtenus par oxydation anodique sur aluminium (ISO 7599:2018)]</w:t>
      </w:r>
    </w:p>
    <w:p w14:paraId="2907A035" w14:textId="77777777" w:rsidR="00772179" w:rsidRDefault="00000000">
      <w:r>
        <w:t>[NBN B 25-002-1, Menuiserie extérieure - Partie 1: Prescription des performances générales – Fenêtres et façades rideaux]</w:t>
      </w:r>
    </w:p>
    <w:p w14:paraId="2499C6E8" w14:textId="77777777" w:rsidR="00772179" w:rsidRDefault="00000000">
      <w:r>
        <w:t>[NBN B 25-002-4, Menuiseries extérieures. Partie 4 : Prescriptions pour les profilés et des ossatures en aluminium]</w:t>
      </w:r>
    </w:p>
    <w:p w14:paraId="3A7067DB" w14:textId="77777777" w:rsidR="00772179" w:rsidRDefault="00000000">
      <w:r>
        <w:t>[NBN EN 12206-1, Peintures et vernis - Revêtement de l'aluminium et de ses alliages pour des applications architecturales - Partie 1: Revêtements à partir de peinture en poudre thermodurcissable]</w:t>
      </w:r>
    </w:p>
    <w:p w14:paraId="054D1188" w14:textId="77777777" w:rsidR="00772179" w:rsidRDefault="00000000">
      <w:r>
        <w:t>[STS 04.3, Bois et panneaux à base de bois : traitements du bois]</w:t>
      </w:r>
    </w:p>
    <w:p w14:paraId="78A64121" w14:textId="77777777" w:rsidR="00772179" w:rsidRDefault="00000000">
      <w:r>
        <w:t>[NIT 283, La pose des menuiseries extérieures. Partie 1 : aspects généraux.]</w:t>
      </w:r>
    </w:p>
    <w:p w14:paraId="1D1D8E12" w14:textId="77777777" w:rsidR="00772179" w:rsidRDefault="00000000">
      <w:r>
        <w:t>[NBN EN 335, Durabilité du bois et des matériaux à base de bois - Classes d'emploi: définitions, application au bois massif et aux matériaux à base de bois]</w:t>
      </w:r>
    </w:p>
    <w:p w14:paraId="11DFFE6A" w14:textId="77777777" w:rsidR="00772179" w:rsidRDefault="00000000">
      <w:pPr>
        <w:ind w:left="750"/>
      </w:pPr>
      <w:r>
        <w:t> </w:t>
      </w:r>
    </w:p>
    <w:p w14:paraId="592FF2FC" w14:textId="77777777" w:rsidR="00772179" w:rsidRDefault="00000000">
      <w:pPr>
        <w:pStyle w:val="pheading"/>
      </w:pPr>
      <w:r>
        <w:t>MESURAGE</w:t>
      </w:r>
    </w:p>
    <w:p w14:paraId="1F899C85" w14:textId="77777777" w:rsidR="00772179" w:rsidRDefault="00000000">
      <w:pPr>
        <w:pStyle w:val="pheading"/>
      </w:pPr>
      <w:r>
        <w:t>- unité de mesure:</w:t>
      </w:r>
    </w:p>
    <w:p w14:paraId="7D464E2A" w14:textId="77777777" w:rsidR="00772179" w:rsidRDefault="00000000">
      <w:r>
        <w:t>m²</w:t>
      </w:r>
    </w:p>
    <w:p w14:paraId="0D3195C6" w14:textId="77777777" w:rsidR="00772179" w:rsidRDefault="00000000">
      <w:pPr>
        <w:pStyle w:val="pheading"/>
      </w:pPr>
      <w:r>
        <w:t>- code de mesurage:</w:t>
      </w:r>
    </w:p>
    <w:p w14:paraId="424B91CA" w14:textId="77777777" w:rsidR="00772179" w:rsidRDefault="00000000">
      <w:pPr>
        <w:jc w:val="both"/>
      </w:pPr>
      <w:r>
        <w:t>Surface nette en développement des dimensions dans l'œuvre ventilé selon le type ou le modèle conformément aux indications dans le métré récapitulatif annexé au dossier d'adjudication</w:t>
      </w:r>
    </w:p>
    <w:p w14:paraId="6824C973" w14:textId="77777777" w:rsidR="00772179" w:rsidRDefault="00000000">
      <w:pPr>
        <w:pStyle w:val="pheading"/>
      </w:pPr>
      <w:r>
        <w:t>- nature du marché:</w:t>
      </w:r>
    </w:p>
    <w:p w14:paraId="66511D29" w14:textId="77777777" w:rsidR="00772179" w:rsidRDefault="00000000">
      <w:r>
        <w:t>QF</w:t>
      </w:r>
    </w:p>
    <w:p w14:paraId="50D8ACAC" w14:textId="77777777" w:rsidR="00772179" w:rsidRDefault="00000000">
      <w:pPr>
        <w:pStyle w:val="Author-eSectionHeading6Numberless"/>
      </w:pPr>
      <w:bookmarkStart w:id="21" w:name="_Toc220489780"/>
      <w:r>
        <w:t>41.11.4c Fenêtres et portes-fenêtres en bois à composition mixte - isolation intégrée - finition en inox CCTB 01.02</w:t>
      </w:r>
      <w:bookmarkEnd w:id="21"/>
    </w:p>
    <w:p w14:paraId="23652937" w14:textId="77777777" w:rsidR="00772179" w:rsidRDefault="00000000">
      <w:pPr>
        <w:pStyle w:val="Author-eSectionHeading6Numberless"/>
      </w:pPr>
      <w:bookmarkStart w:id="22" w:name="946"/>
      <w:bookmarkStart w:id="23" w:name="_Toc220489781"/>
      <w:bookmarkEnd w:id="22"/>
      <w:r>
        <w:t>41.11.4d Fenêtres et portes-fenêtres en bois à composition mixte - isolation intégrée - finition en PVC CCTB 01.02</w:t>
      </w:r>
      <w:bookmarkEnd w:id="23"/>
    </w:p>
    <w:p w14:paraId="7AEAD794" w14:textId="77777777" w:rsidR="00772179" w:rsidRDefault="00000000">
      <w:pPr>
        <w:pStyle w:val="Author-eSectionHeading4Numberless"/>
      </w:pPr>
      <w:bookmarkStart w:id="24" w:name="_Toc220489782"/>
      <w:r>
        <w:t>41.12 Fenêtres et portes-fenêtres en aluminium CCTB 01.13</w:t>
      </w:r>
      <w:bookmarkEnd w:id="24"/>
    </w:p>
    <w:p w14:paraId="1E5D363D" w14:textId="77777777" w:rsidR="00772179" w:rsidRDefault="00000000">
      <w:pPr>
        <w:pStyle w:val="pheading"/>
      </w:pPr>
      <w:bookmarkStart w:id="25" w:name="933"/>
      <w:bookmarkEnd w:id="25"/>
      <w:r>
        <w:t>DESCRIPTION</w:t>
      </w:r>
    </w:p>
    <w:p w14:paraId="78F6842B" w14:textId="77777777" w:rsidR="00772179" w:rsidRDefault="00000000">
      <w:pPr>
        <w:pStyle w:val="pheading"/>
      </w:pPr>
      <w:r>
        <w:t>- Définition / Comprend</w:t>
      </w:r>
    </w:p>
    <w:p w14:paraId="243966CD" w14:textId="77777777" w:rsidR="00772179" w:rsidRDefault="00000000">
      <w:pPr>
        <w:jc w:val="both"/>
      </w:pPr>
      <w:r>
        <w:lastRenderedPageBreak/>
        <w:t>Cet élément comprend la fourniture (hors matériaux récupérés du même site) et la pose de tous les éléments nécessaires à la composition des fenêtres et portes-fenêtres extérieures en aluminium, y compris toutes les pièces qui en font intrinsèquement partie.</w:t>
      </w:r>
    </w:p>
    <w:p w14:paraId="49297FA5" w14:textId="77777777" w:rsidR="00772179" w:rsidRDefault="00000000">
      <w:pPr>
        <w:jc w:val="both"/>
      </w:pPr>
      <w:r>
        <w:t>Les fenêtres et portes-fenêtres extérieures sont considérées comme menuiserie en aluminium lorsque seul l’aluminium assure la résistance mécanique de ces éléments de construction. Les éventuels revêtements extérieurs en métal ou autres ne changent rien au fait que ces éléments font partie de la menuiserie en aluminium.</w:t>
      </w:r>
    </w:p>
    <w:p w14:paraId="5812A71F" w14:textId="77777777" w:rsidR="00772179" w:rsidRDefault="00000000">
      <w:pPr>
        <w:pStyle w:val="pheading"/>
      </w:pPr>
      <w:r>
        <w:t>MATÉRIAUX</w:t>
      </w:r>
    </w:p>
    <w:p w14:paraId="5EA2235B" w14:textId="77777777" w:rsidR="00772179" w:rsidRDefault="00000000">
      <w:pPr>
        <w:jc w:val="both"/>
      </w:pPr>
      <w:r>
        <w:rPr>
          <w:b/>
          <w:u w:val="single"/>
        </w:rPr>
        <w:t>Généralités pour une menuiserie neuve</w:t>
      </w:r>
    </w:p>
    <w:p w14:paraId="0D3344C3" w14:textId="77777777" w:rsidR="00772179" w:rsidRDefault="00000000">
      <w:pPr>
        <w:jc w:val="both"/>
      </w:pPr>
      <w:r>
        <w:t>Les profilés de menuiserie en aluminium sont composés d’un ou de plusieurs profilés en aluminium. Dans le cas de plusieurs profilés en aluminium, il s’agit de profilés à ruptures thermiques lorsque les profilés aluminium sont reliés de façon continue par au moins une partie thermiquement isolante (non métallique).</w:t>
      </w:r>
    </w:p>
    <w:p w14:paraId="02E19322" w14:textId="77777777" w:rsidR="00772179" w:rsidRDefault="00000000">
      <w:pPr>
        <w:jc w:val="both"/>
      </w:pPr>
      <w:r>
        <w:t>Les alliages les plus courants dans la construction et l’architecture sont ceux de type Al-Mg, Al-Mg- Mn et Al-Mg-Si.</w:t>
      </w:r>
    </w:p>
    <w:p w14:paraId="22D62BDC" w14:textId="77777777" w:rsidR="00772179" w:rsidRDefault="00000000">
      <w:pPr>
        <w:jc w:val="both"/>
      </w:pPr>
      <w:r>
        <w:t>La composition chimique et la désignation des états métallurgiques sont définies dans les normes [NBN EN 573-3:2019+A2] et [NBN EN 515].</w:t>
      </w:r>
    </w:p>
    <w:p w14:paraId="0D5D6CB8" w14:textId="77777777" w:rsidR="00772179" w:rsidRDefault="00000000">
      <w:pPr>
        <w:jc w:val="both"/>
      </w:pPr>
      <w:r>
        <w:t>Les alliages AW 6060 et AW 6033 sont conseillés pour les applications dans le bâtiment. La composition de cet alliage, fixée par la norme [NBN EN 755-2], s’établit comme suit :</w:t>
      </w:r>
    </w:p>
    <w:p w14:paraId="5420987F" w14:textId="77777777" w:rsidR="00772179" w:rsidRDefault="00000000">
      <w:pPr>
        <w:pStyle w:val="Author-eListParagraph"/>
        <w:numPr>
          <w:ilvl w:val="0"/>
          <w:numId w:val="62"/>
        </w:numPr>
      </w:pPr>
      <w:r>
        <w:t>Zn : ≤ 0,15 %, Cu : ≤ 0,02 %, Pb : ≤ 0,0022, Si : ≤ 0,30- 0,55 %, Fe : ≤ 0,10 - 0,30 %, Mg : ≤ 0,35 - 0,6 %,</w:t>
      </w:r>
    </w:p>
    <w:p w14:paraId="01872F2F" w14:textId="77777777" w:rsidR="00772179" w:rsidRDefault="00000000">
      <w:pPr>
        <w:pStyle w:val="Author-eListParagraph"/>
        <w:numPr>
          <w:ilvl w:val="0"/>
          <w:numId w:val="62"/>
        </w:numPr>
      </w:pPr>
      <w:r>
        <w:t>Mn : ≤ 0,10 %, Cr : ≤ 0,05 %, Ti : ≤ 0,10 %, Al : solde, autres éléments séparément : ≤ 0,05 %, Autres éléments ensemble ≤ 0,15 %</w:t>
      </w:r>
    </w:p>
    <w:p w14:paraId="3A29D8E5" w14:textId="77777777" w:rsidR="00772179" w:rsidRDefault="00000000">
      <w:pPr>
        <w:jc w:val="both"/>
      </w:pPr>
      <w:r>
        <w:t>Alliages modifiés : L’industrie de l’aluminium a développé l’alliage AW 6060B et AW 6063 B. La composition 6060B est plus sévère que les compositions 6060 et 6063 dans les domaines suivants :</w:t>
      </w:r>
    </w:p>
    <w:p w14:paraId="72729338" w14:textId="77777777" w:rsidR="00772179" w:rsidRDefault="00000000">
      <w:pPr>
        <w:pStyle w:val="Author-eListParagraph"/>
        <w:numPr>
          <w:ilvl w:val="0"/>
          <w:numId w:val="63"/>
        </w:numPr>
      </w:pPr>
      <w:r>
        <w:t>Cu : 5 fois moins que dans les alliages 6060 et 6063</w:t>
      </w:r>
    </w:p>
    <w:p w14:paraId="3086C255" w14:textId="77777777" w:rsidR="00772179" w:rsidRDefault="00000000">
      <w:pPr>
        <w:pStyle w:val="Author-eListParagraph"/>
        <w:numPr>
          <w:ilvl w:val="0"/>
          <w:numId w:val="63"/>
        </w:numPr>
      </w:pPr>
      <w:r>
        <w:t>Cr : 2 fois moins que dans l’alliage 6063</w:t>
      </w:r>
    </w:p>
    <w:p w14:paraId="3CD9FB70" w14:textId="77777777" w:rsidR="00772179" w:rsidRDefault="00000000">
      <w:pPr>
        <w:jc w:val="both"/>
      </w:pPr>
      <w:r>
        <w:t>Les tolérances dimensionnelles et de forme des profilés en aluminium extrudés satisfont à la norme [NBN EN 12020-2]. D’autres tolérances peuvent être livrées après concertation et accord de l’extrudeur (gammiste).</w:t>
      </w:r>
    </w:p>
    <w:p w14:paraId="118FD93F" w14:textId="77777777" w:rsidR="00772179" w:rsidRDefault="00000000">
      <w:pPr>
        <w:jc w:val="both"/>
      </w:pPr>
      <w:r>
        <w:t>Les mesures fonctionnelles des profilés isolés sont comprises entre les limites imposées par la norme [NBN EN 12020-2].</w:t>
      </w:r>
    </w:p>
    <w:p w14:paraId="568E0C65" w14:textId="77777777" w:rsidR="00772179" w:rsidRDefault="00000000">
      <w:pPr>
        <w:jc w:val="both"/>
      </w:pPr>
      <w:r>
        <w:t>Les tolérances (déversement – gauchissement des faces droites) du profilé sont de  ≤  0.5 mm.</w:t>
      </w:r>
    </w:p>
    <w:p w14:paraId="227E559C" w14:textId="77777777" w:rsidR="00772179" w:rsidRDefault="00000000">
      <w:pPr>
        <w:jc w:val="both"/>
      </w:pPr>
      <w:r>
        <w:t>Tous les profils fixes et mobiles sont à rupture thermique et satisfont aux conditions suivantes :</w:t>
      </w:r>
    </w:p>
    <w:p w14:paraId="63A7101F" w14:textId="77777777" w:rsidR="00772179" w:rsidRDefault="00000000">
      <w:pPr>
        <w:pStyle w:val="Author-eListParagraph"/>
        <w:numPr>
          <w:ilvl w:val="0"/>
          <w:numId w:val="64"/>
        </w:numPr>
      </w:pPr>
      <w:r>
        <w:t>Absence de pont thermique entre le profil intérieur et le profil extérieur ;</w:t>
      </w:r>
    </w:p>
    <w:p w14:paraId="1B2255EC" w14:textId="77777777" w:rsidR="00772179" w:rsidRDefault="00000000">
      <w:pPr>
        <w:pStyle w:val="Author-eListParagraph"/>
        <w:numPr>
          <w:ilvl w:val="0"/>
          <w:numId w:val="64"/>
        </w:numPr>
      </w:pPr>
      <w:r>
        <w:t>Absence de déformations durables. La résistance du joint thermique est telle que les profils assemblés peuvent être considérés comme un ensemble résistant à un usage intensif ;</w:t>
      </w:r>
    </w:p>
    <w:p w14:paraId="0F46FE5A" w14:textId="77777777" w:rsidR="00772179" w:rsidRDefault="00000000">
      <w:pPr>
        <w:pStyle w:val="Author-eListParagraph"/>
        <w:numPr>
          <w:ilvl w:val="0"/>
          <w:numId w:val="64"/>
        </w:numPr>
      </w:pPr>
      <w:r>
        <w:t>Les assemblages absorbent les dilatations différentielles entre les profils intérieurs et extérieurs sans déformation durable ou déstabilisation du profil ;</w:t>
      </w:r>
    </w:p>
    <w:p w14:paraId="31987E57" w14:textId="77777777" w:rsidR="00772179" w:rsidRDefault="00000000">
      <w:pPr>
        <w:pStyle w:val="Author-eListParagraph"/>
        <w:numPr>
          <w:ilvl w:val="0"/>
          <w:numId w:val="64"/>
        </w:numPr>
      </w:pPr>
      <w:r>
        <w:t>La rupture thermique est réalisée par sertissage, collage ou emboitement et satisfait aux exigences énoncés dans le tableau de la [NBN EN 14024].</w:t>
      </w:r>
    </w:p>
    <w:p w14:paraId="4233998F" w14:textId="77777777" w:rsidR="00772179" w:rsidRDefault="00000000">
      <w:pPr>
        <w:jc w:val="both"/>
      </w:pPr>
      <w:r>
        <w:rPr>
          <w:b/>
          <w:u w:val="single"/>
        </w:rPr>
        <w:t>Forme, Type Et Dimensions Des Profils</w:t>
      </w:r>
    </w:p>
    <w:p w14:paraId="5096E781" w14:textId="77777777" w:rsidR="00772179" w:rsidRDefault="00000000">
      <w:pPr>
        <w:pStyle w:val="Author-eListParagraph"/>
        <w:numPr>
          <w:ilvl w:val="0"/>
          <w:numId w:val="65"/>
        </w:numPr>
      </w:pPr>
      <w:r>
        <w:t>Toutes les pièces mobiles sont réalisées en profilés du type pourvu de 2 étanchéités.</w:t>
      </w:r>
    </w:p>
    <w:p w14:paraId="483C1090" w14:textId="77777777" w:rsidR="00772179" w:rsidRDefault="00000000">
      <w:pPr>
        <w:pStyle w:val="Author-eListParagraph"/>
        <w:numPr>
          <w:ilvl w:val="0"/>
          <w:numId w:val="65"/>
        </w:numPr>
      </w:pPr>
      <w:r>
        <w:t>Les côtés froid et chaud des profilés sont séparés par un joint d’étanchéité médian en matière synthétique souple. Cette étanchéité garantit l’étanchéité au vent et à l’eau de la fenêtre sur tout son périmètre. La frappe de l’étanchéité médiane des systèmes de profilés thermiques s’effectue toujours sur les barrettes en polyamide et non sur l’aluminium. Une étanchéité acoustique est en outre prévue du côté intérieure des éléments ouvrants.</w:t>
      </w:r>
    </w:p>
    <w:p w14:paraId="43542FD7" w14:textId="77777777" w:rsidR="00772179" w:rsidRDefault="00000000">
      <w:pPr>
        <w:pStyle w:val="Author-eListParagraph"/>
        <w:numPr>
          <w:ilvl w:val="0"/>
          <w:numId w:val="65"/>
        </w:numPr>
      </w:pPr>
      <w:r>
        <w:lastRenderedPageBreak/>
        <w:t>Les joints d’étanchéité de vitrage ou de remplissage sont en EPDM, en TPE ou dans un produit similaire, qui satisfait à la [NIT 221]. Ils sont élastiques en permanence suivant la norme [DIN 7863-1]. Les joints sont placés par longueurs complètes dans les rainures profilées et sont coupés en biseau dans les angles et vulcanisés, ou assemblés avec des pièces angulaires préformées, ou soudés dans le cas d’étanchéités en TPE. Les joints sont posés de façon à satisfaire longtemps aux exigences imposées et sont facilement remplaçables. Les joints acoustiques restent continus, même à hauteur des charnières.</w:t>
      </w:r>
    </w:p>
    <w:p w14:paraId="0FBC288B" w14:textId="77777777" w:rsidR="00772179" w:rsidRDefault="00000000">
      <w:pPr>
        <w:pStyle w:val="Author-eListParagraph"/>
        <w:numPr>
          <w:ilvl w:val="0"/>
          <w:numId w:val="65"/>
        </w:numPr>
      </w:pPr>
      <w:r>
        <w:t>Tous les types de fenêtres sont pourvus d’un système de drainage dans les traverses inférieures ou dans les profilés horizontaux. Pour assurer une bonne étanchéité à l’eau, la construction des profilés est telle qu’une égalisation de la pression apparaît dans la chambre de décompression. L’évacuation vers l’extérieur de l’eau infiltrée est ainsi facilitée. Les ouvertures de drainage du battant et du cadre extérieur sont décalées l’une par rapport à l’autre. Pour une largeur de fenêtre de 100 cm, il faut au moins prévoir deux ouvertures et une ouverture supplémentaire est prévue tous les 50 cm supplémentaires. Les ouvertures de drainage sont pratiquées le plus invisiblement possible (Ø ≥ 8 mm ou trous oblongs de 5 x 30 mm).</w:t>
      </w:r>
    </w:p>
    <w:p w14:paraId="406C2361" w14:textId="77777777" w:rsidR="00772179" w:rsidRDefault="00000000">
      <w:pPr>
        <w:pStyle w:val="Author-eListParagraph"/>
        <w:numPr>
          <w:ilvl w:val="0"/>
          <w:numId w:val="65"/>
        </w:numPr>
      </w:pPr>
      <w:r>
        <w:t>Les profilés sont compatibles avec la quincaillerie.</w:t>
      </w:r>
    </w:p>
    <w:p w14:paraId="0F9613A3" w14:textId="77777777" w:rsidR="00772179" w:rsidRDefault="00000000">
      <w:pPr>
        <w:jc w:val="both"/>
      </w:pPr>
      <w:r>
        <w:rPr>
          <w:b/>
          <w:u w:val="single"/>
        </w:rPr>
        <w:t>Assemblage / Fabrication</w:t>
      </w:r>
    </w:p>
    <w:p w14:paraId="0B7C0E10" w14:textId="77777777" w:rsidR="00772179" w:rsidRDefault="00000000">
      <w:pPr>
        <w:pStyle w:val="Author-eListParagraph"/>
        <w:numPr>
          <w:ilvl w:val="0"/>
          <w:numId w:val="66"/>
        </w:numPr>
      </w:pPr>
      <w:r>
        <w:t>Pour l'usinage, le traitement et la mise en place des profils préformés, on tient toujours compte des prescriptions du fournisseur du système.</w:t>
      </w:r>
    </w:p>
    <w:p w14:paraId="313437FB" w14:textId="77777777" w:rsidR="00772179" w:rsidRDefault="00000000">
      <w:pPr>
        <w:pStyle w:val="Author-eListParagraph"/>
        <w:numPr>
          <w:ilvl w:val="0"/>
          <w:numId w:val="66"/>
        </w:numPr>
      </w:pPr>
      <w:r>
        <w:t>Tous les assemblages sont réalisés à l'aide d'accessoires standards provenant du même fabricant que les profils et totalement adaptés aux assemblages.</w:t>
      </w:r>
    </w:p>
    <w:p w14:paraId="3B546C8E" w14:textId="77777777" w:rsidR="00772179" w:rsidRDefault="00000000">
      <w:pPr>
        <w:pStyle w:val="Author-eListParagraph"/>
        <w:numPr>
          <w:ilvl w:val="0"/>
          <w:numId w:val="66"/>
        </w:numPr>
      </w:pPr>
      <w:r>
        <w:t>Les profils sont sciés et ébarbés. Les assemblages en T sont fraisés et ajustés de manière à respecter la forme des profils transversaux. Toutes les faces de sciage ou les surfaces fraisées reçoivent un traitement étanche à l'aide d'un produit anticorrosion adéquat.</w:t>
      </w:r>
    </w:p>
    <w:p w14:paraId="30D54B4B" w14:textId="77777777" w:rsidR="00772179" w:rsidRDefault="00000000">
      <w:pPr>
        <w:pStyle w:val="Author-eListParagraph"/>
        <w:numPr>
          <w:ilvl w:val="0"/>
          <w:numId w:val="66"/>
        </w:numPr>
      </w:pPr>
      <w:r>
        <w:t>Les angles sont assemblés par compression pneumatique avec des pièces angulaires crénelées et/ou coins à came excentrique vissés en aluminium. Les ailes du cadre et les profilés des battants sont toujours pourvus d’angles d’égalisation en inox pour maintenir les onglets plats. Ces assemblages angulaires et en T ne nuisent pas aux propriétés isolantes de la construction. Les onglets sont collés et les pièces d’assemblage sont collées et obturées avec des colles adaptées à cet effet afin d’obtenir une bonne adhérence. Les joints sont rendus complètement étanches.</w:t>
      </w:r>
    </w:p>
    <w:p w14:paraId="01B64F92" w14:textId="77777777" w:rsidR="00772179" w:rsidRDefault="00000000">
      <w:pPr>
        <w:pStyle w:val="Author-eListParagraph"/>
        <w:numPr>
          <w:ilvl w:val="0"/>
          <w:numId w:val="66"/>
        </w:numPr>
      </w:pPr>
      <w:r>
        <w:t>Les bandes isolantes de l’interruption thermique ne sont pas touchées lors du fraisage des pièces des quincailleries et des trous de drainage.</w:t>
      </w:r>
    </w:p>
    <w:p w14:paraId="4A1746EA" w14:textId="77777777" w:rsidR="00772179" w:rsidRDefault="00000000">
      <w:pPr>
        <w:jc w:val="both"/>
      </w:pPr>
      <w:r>
        <w:rPr>
          <w:b/>
          <w:u w:val="single"/>
        </w:rPr>
        <w:t>Traitement De Surface</w:t>
      </w:r>
    </w:p>
    <w:p w14:paraId="7A0865A9" w14:textId="77777777" w:rsidR="00772179" w:rsidRDefault="00000000">
      <w:pPr>
        <w:pStyle w:val="Author-eListParagraph"/>
        <w:numPr>
          <w:ilvl w:val="0"/>
          <w:numId w:val="67"/>
        </w:numPr>
      </w:pPr>
      <w:r>
        <w:t>Toutes les structures et les montants intermédiaires, ainsi que les lattes à vitrage, subissent le même traitement de protection, convenant pour l’aluminium, suivant les directives du manuel de qualité. Les profilés sont parachevés avec l’un des traitements de surface ci-dessous, conformément aux spécifications du cahier spécial des charges.</w:t>
      </w:r>
    </w:p>
    <w:p w14:paraId="2F30EF65" w14:textId="77777777" w:rsidR="00772179" w:rsidRDefault="00000000">
      <w:pPr>
        <w:pStyle w:val="Author-eListParagraph"/>
        <w:numPr>
          <w:ilvl w:val="0"/>
          <w:numId w:val="67"/>
        </w:numPr>
      </w:pPr>
      <w:r>
        <w:t>Pour garantir la qualité continue, seul un traitement de surface est autorisé en gestion propre du fournisseur de système, et l’alliage d’aluminium satisfait aux critères ci-dessus. Une licence [Qualicoat] (pour le revêtement par poudrage) et une licence [Qualanod] ou équivalent sont présentées immédiatement à la demande de l’architecte.</w:t>
      </w:r>
    </w:p>
    <w:p w14:paraId="035CB7DB" w14:textId="77777777" w:rsidR="00772179" w:rsidRDefault="00000000">
      <w:pPr>
        <w:pStyle w:val="Author-eListParagraph"/>
        <w:numPr>
          <w:ilvl w:val="0"/>
          <w:numId w:val="67"/>
        </w:numPr>
      </w:pPr>
      <w:r>
        <w:t>Lors d’une observation perpendiculaire à la surface concernée sous une lumière diffuse (ciel couvert à l’extérieur et sans éclairage artificiel à l’intérieur), aucun défaut de surface décrit ci-après n‘est visible à l’œil nu à une distance de 2 mètres : surface rude, gouttes d’écoulement, boursouflures, effet de peau d’orange, inclusions, cratères, taches mates, trous, griffes.</w:t>
      </w:r>
    </w:p>
    <w:p w14:paraId="17060EF3" w14:textId="77777777" w:rsidR="00772179" w:rsidRDefault="00000000">
      <w:pPr>
        <w:pStyle w:val="Author-eListParagraph"/>
        <w:numPr>
          <w:ilvl w:val="0"/>
          <w:numId w:val="67"/>
        </w:numPr>
      </w:pPr>
      <w:r>
        <w:t>L’exécution laquée au four présente une teinte et un éclat uniformes et est couvrante. Aucune différence de teinte incommodante n’apparaît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5E783134" w14:textId="77777777" w:rsidR="00772179" w:rsidRDefault="00000000">
      <w:pPr>
        <w:pStyle w:val="Author-eListParagraph"/>
        <w:numPr>
          <w:ilvl w:val="0"/>
          <w:numId w:val="67"/>
        </w:numPr>
      </w:pPr>
      <w:r>
        <w:lastRenderedPageBreak/>
        <w:t>L’aspect de la face visible des profilés anodisés ne présente aucune différence de teinte ni de taches incommodantes jugées gênantes.</w:t>
      </w:r>
    </w:p>
    <w:p w14:paraId="4404892F" w14:textId="77777777" w:rsidR="00772179" w:rsidRDefault="00000000">
      <w:pPr>
        <w:jc w:val="both"/>
      </w:pPr>
      <w:r>
        <w:rPr>
          <w:b/>
          <w:u w:val="single"/>
        </w:rPr>
        <w:t>Méthode D'anodisation</w:t>
      </w:r>
    </w:p>
    <w:p w14:paraId="7D0F9C1F" w14:textId="77777777" w:rsidR="00772179" w:rsidRDefault="00000000">
      <w:pPr>
        <w:pStyle w:val="Author-eListParagraph"/>
        <w:numPr>
          <w:ilvl w:val="0"/>
          <w:numId w:val="68"/>
        </w:numPr>
      </w:pPr>
      <w:r>
        <w:t>L’anodisation se fait conformément aux prescriptions des normes [NBN EN ISO 3211], [NBN EN ISO 18771], [NBN EN ISO 6581] </w:t>
      </w:r>
    </w:p>
    <w:p w14:paraId="5AE55F79" w14:textId="77777777" w:rsidR="00772179" w:rsidRDefault="00000000">
      <w:pPr>
        <w:pStyle w:val="Author-eListParagraph"/>
        <w:numPr>
          <w:ilvl w:val="0"/>
          <w:numId w:val="68"/>
        </w:numPr>
      </w:pPr>
      <w:r>
        <w:t>Le traitement préliminaire et la protection de la menuiserie répondent aux [STS 36] </w:t>
      </w:r>
    </w:p>
    <w:p w14:paraId="2C8C9BDF" w14:textId="77777777" w:rsidR="00772179" w:rsidRDefault="00000000">
      <w:pPr>
        <w:pStyle w:val="Author-eListParagraph"/>
        <w:numPr>
          <w:ilvl w:val="0"/>
          <w:numId w:val="68"/>
        </w:numPr>
      </w:pPr>
      <w:r>
        <w:t xml:space="preserve">Après le traitement préliminaire et avant l’oxydation anodique, les profilés sont dégraissés et décapés. La couche d’oxyde est parfaitement étanche (sans porosité) et recouvre la totalité des pièces. La couche d’oxyde est étanche à l’eau par colmatage dans un bain d’eau bouillante. L’entreprise chargée de l’anodisation possède le label de qualité [Qualanod] ou équivalent. La qualité est contrôlée par des essais suivant la procédure prévue dans le label. L’épaisseur exigée de la couche d’oxyde répond également aux [STS 36] et atteint au moins : </w:t>
      </w:r>
    </w:p>
    <w:p w14:paraId="2944779B" w14:textId="77777777" w:rsidR="00772179" w:rsidRDefault="00000000">
      <w:pPr>
        <w:pStyle w:val="Author-eListParagraph"/>
        <w:numPr>
          <w:ilvl w:val="1"/>
          <w:numId w:val="69"/>
        </w:numPr>
      </w:pPr>
      <w:r>
        <w:t>Classe 2 pour une atmosphère urbaine - 20 μm</w:t>
      </w:r>
    </w:p>
    <w:p w14:paraId="42AD34A0" w14:textId="77777777" w:rsidR="00772179" w:rsidRDefault="00000000">
      <w:pPr>
        <w:pStyle w:val="Author-eListParagraph"/>
        <w:numPr>
          <w:ilvl w:val="1"/>
          <w:numId w:val="69"/>
        </w:numPr>
      </w:pPr>
      <w:r>
        <w:t>Classe 3 pour une  atmosphère maritime ou industrielle - 25 μm</w:t>
      </w:r>
    </w:p>
    <w:p w14:paraId="09C8A443" w14:textId="77777777" w:rsidR="00772179" w:rsidRDefault="00000000">
      <w:pPr>
        <w:jc w:val="both"/>
      </w:pPr>
      <w:r>
        <w:rPr>
          <w:b/>
          <w:u w:val="single"/>
        </w:rPr>
        <w:t>Laquages / Revêtements</w:t>
      </w:r>
    </w:p>
    <w:p w14:paraId="7152526A" w14:textId="77777777" w:rsidR="00772179" w:rsidRDefault="00000000">
      <w:pPr>
        <w:pStyle w:val="Author-eListParagraph"/>
        <w:numPr>
          <w:ilvl w:val="0"/>
          <w:numId w:val="70"/>
        </w:numPr>
      </w:pPr>
      <w:r>
        <w:t>Le procédé de finition par laquage est conforme à la norme [NBN EN 12206-1]</w:t>
      </w:r>
    </w:p>
    <w:p w14:paraId="7E308F8F" w14:textId="77777777" w:rsidR="00772179" w:rsidRDefault="00000000">
      <w:pPr>
        <w:pStyle w:val="Author-eListParagraph"/>
        <w:numPr>
          <w:ilvl w:val="0"/>
          <w:numId w:val="70"/>
        </w:numPr>
      </w:pPr>
      <w:r>
        <w:t>Les couches de peinture résistent aux chocs et ne s’écaillent pas aux bords lors d’opérations mécaniques (forage, sciage, fraisage, poinçonnage, ...). Les échantillons de profilés nécessaires sont préalablement soumis à l’auteur de projet.</w:t>
      </w:r>
    </w:p>
    <w:p w14:paraId="28006640" w14:textId="77777777" w:rsidR="00772179" w:rsidRDefault="00000000">
      <w:pPr>
        <w:jc w:val="both"/>
      </w:pPr>
      <w:r>
        <w:rPr>
          <w:b/>
          <w:u w:val="single"/>
        </w:rPr>
        <w:t>Etat des profilés des menuiseries de réemploi</w:t>
      </w:r>
    </w:p>
    <w:p w14:paraId="325F5E1F" w14:textId="77777777" w:rsidR="00772179" w:rsidRDefault="00000000">
      <w:pPr>
        <w:jc w:val="both"/>
      </w:pPr>
      <w:r>
        <w:t>Pour une menuiserie de réemploi, les profilés sont exempts d’oxydation dégradant visuellement les faces visibles ou provoquant des percements dans les faces non visibles.</w:t>
      </w:r>
    </w:p>
    <w:p w14:paraId="0FAA9FEF" w14:textId="77777777" w:rsidR="00772179" w:rsidRDefault="00000000">
      <w:pPr>
        <w:pStyle w:val="pheading"/>
      </w:pPr>
      <w:r>
        <w:t>EXÉCUTION / MISE EN ŒUVRE</w:t>
      </w:r>
    </w:p>
    <w:p w14:paraId="1FC6510B" w14:textId="77777777" w:rsidR="00772179" w:rsidRDefault="00000000">
      <w:pPr>
        <w:jc w:val="both"/>
      </w:pPr>
      <w:r>
        <w:t>Pour une menuiserie aluminium à rupture thermique, le placement des menuiseries est tel que la rupture thermique est complètement en continuité de l’isolation, conformément aux exigences PEB.</w:t>
      </w:r>
    </w:p>
    <w:p w14:paraId="161FD5D6" w14:textId="77777777" w:rsidR="00772179" w:rsidRDefault="00000000">
      <w:pPr>
        <w:pStyle w:val="pheading"/>
      </w:pPr>
      <w:r>
        <w:t>DOCUMENTS DE RÉFÉRENCE</w:t>
      </w:r>
    </w:p>
    <w:p w14:paraId="5E5B271E" w14:textId="77777777" w:rsidR="00772179" w:rsidRDefault="00000000">
      <w:pPr>
        <w:pStyle w:val="pheading"/>
      </w:pPr>
      <w:r>
        <w:t>- Matériau</w:t>
      </w:r>
    </w:p>
    <w:p w14:paraId="69F88276" w14:textId="77777777" w:rsidR="00772179" w:rsidRDefault="00000000">
      <w:r>
        <w:t>[NBN B 25-002-4, Menuiseries extérieures. Partie 4 : Prescriptions pour les profilés et des ossatures en aluminium]</w:t>
      </w:r>
    </w:p>
    <w:p w14:paraId="7DB1DD87" w14:textId="77777777" w:rsidR="00772179" w:rsidRDefault="00000000">
      <w:r>
        <w:t>[STS 36, Menuiseries métalliques : fenêtres, façades légères et huisseries]</w:t>
      </w:r>
    </w:p>
    <w:p w14:paraId="2B8C7D21" w14:textId="77777777" w:rsidR="00772179" w:rsidRDefault="00000000">
      <w:r>
        <w:t>[NIT 283, La pose des menuiseries extérieures. Partie 1 : aspects généraux.]</w:t>
      </w:r>
    </w:p>
    <w:p w14:paraId="47A922D8" w14:textId="77777777" w:rsidR="00772179" w:rsidRDefault="00000000">
      <w:r>
        <w:t>[DIN 1748/17615 - 4108, ]</w:t>
      </w:r>
    </w:p>
    <w:p w14:paraId="3EAA99BA" w14:textId="77777777" w:rsidR="00772179" w:rsidRDefault="00000000">
      <w:r>
        <w:t>[NBN EN ISO 3211, Anodisation de l'aluminium et de ses alliages - Évaluation de la résistance des couches anodiques à la formation de criques par déformation (ISO 3211:2017)]</w:t>
      </w:r>
    </w:p>
    <w:p w14:paraId="31D84592" w14:textId="77777777" w:rsidR="00772179" w:rsidRDefault="00000000">
      <w:r>
        <w:t>[NBN B 25-002-4, Menuiseries extérieures. Partie 4 : Prescriptions pour les profilés et des ossatures en aluminium]</w:t>
      </w:r>
    </w:p>
    <w:p w14:paraId="50F1B313" w14:textId="77777777" w:rsidR="00772179" w:rsidRDefault="00000000">
      <w:pPr>
        <w:ind w:left="750"/>
      </w:pPr>
      <w:r>
        <w:t> </w:t>
      </w:r>
    </w:p>
    <w:p w14:paraId="636FD337" w14:textId="77777777" w:rsidR="00772179" w:rsidRDefault="00000000">
      <w:pPr>
        <w:pStyle w:val="Author-eSectionHeading5Numberless"/>
      </w:pPr>
      <w:bookmarkStart w:id="26" w:name="_Toc220489783"/>
      <w:r>
        <w:t>41.12.1 Fenêtres et portes-fenêtres en aluminium sans coupure thermique CCTB 01.02</w:t>
      </w:r>
      <w:bookmarkEnd w:id="26"/>
    </w:p>
    <w:p w14:paraId="5406D3B9" w14:textId="77777777" w:rsidR="00772179" w:rsidRDefault="00000000">
      <w:pPr>
        <w:pStyle w:val="Author-eSectionHeading6Numberless"/>
      </w:pPr>
      <w:bookmarkStart w:id="27" w:name="_Toc220489784"/>
      <w:r>
        <w:t>41.12.1a Fenêtres et portes-fenêtres en aluminium sans coupure thermique CCTB 01.02</w:t>
      </w:r>
      <w:bookmarkEnd w:id="27"/>
    </w:p>
    <w:p w14:paraId="24F54BE2" w14:textId="77777777" w:rsidR="00772179" w:rsidRDefault="00000000">
      <w:pPr>
        <w:pStyle w:val="Author-eSectionHeading5Numberless"/>
      </w:pPr>
      <w:bookmarkStart w:id="28" w:name="_Toc220489785"/>
      <w:r>
        <w:t>41.12.2 Fenêtres et portes-fenêtres en aluminium avec coupure thermique CCTB 01.12</w:t>
      </w:r>
      <w:bookmarkEnd w:id="28"/>
    </w:p>
    <w:p w14:paraId="716CD140" w14:textId="77777777" w:rsidR="00772179" w:rsidRDefault="00000000">
      <w:pPr>
        <w:pStyle w:val="pheading"/>
      </w:pPr>
      <w:r>
        <w:t>MATÉRIAUX</w:t>
      </w:r>
    </w:p>
    <w:p w14:paraId="76A46E45" w14:textId="77777777" w:rsidR="00772179" w:rsidRDefault="00000000">
      <w:pPr>
        <w:jc w:val="both"/>
      </w:pPr>
      <w:r>
        <w:lastRenderedPageBreak/>
        <w:t>Les fenêtres et portes-fenêtres en aluminium avec rupture thermique sont conformes aux prescriptions de la [NBN B 25-002-4]. </w:t>
      </w:r>
    </w:p>
    <w:p w14:paraId="1D274E2C" w14:textId="77777777" w:rsidR="00772179" w:rsidRDefault="00000000">
      <w:pPr>
        <w:jc w:val="both"/>
      </w:pPr>
      <w:r>
        <w:t>Le système dispose d’un Agrément Technique avec certification valide ou équivalent.</w:t>
      </w:r>
    </w:p>
    <w:p w14:paraId="07EEA044" w14:textId="77777777" w:rsidR="00772179" w:rsidRDefault="00000000">
      <w:pPr>
        <w:jc w:val="both"/>
      </w:pPr>
      <w:r>
        <w:rPr>
          <w:b/>
        </w:rPr>
        <w:t>Composition des profils </w:t>
      </w:r>
    </w:p>
    <w:p w14:paraId="6886FF9B" w14:textId="77777777" w:rsidR="00772179" w:rsidRDefault="00000000">
      <w:pPr>
        <w:jc w:val="both"/>
      </w:pPr>
      <w:r>
        <w:t>Les profilés de fenêtres et portes-fenêtres (assurant les fonctions mécaniques et la fixation des points de fermeture et de suspension) sont en aluminium.</w:t>
      </w:r>
    </w:p>
    <w:p w14:paraId="1E08D246" w14:textId="77777777" w:rsidR="00772179" w:rsidRDefault="00000000">
      <w:pPr>
        <w:jc w:val="both"/>
      </w:pPr>
      <w:r>
        <w:t>La rupture de pont thermique est assurée par l’intégration de manière continue d’un profil synthétique placé entre les deux parties en aluminium. Les matériaux isolants utilisés pour réaliser ce profil satisfont aux exigences de l’article 5.2 de la [NBN EN 14024]. En fonction des performances thermiques exigées ci-après, ces profils peuvent être équipés de mousse PUR intégrée.</w:t>
      </w:r>
    </w:p>
    <w:p w14:paraId="53778FA9" w14:textId="77777777" w:rsidR="00772179" w:rsidRDefault="00000000">
      <w:pPr>
        <w:jc w:val="both"/>
      </w:pPr>
      <w:r>
        <w:rPr>
          <w:b/>
        </w:rPr>
        <w:t>Forme et dimensions des profils </w:t>
      </w:r>
    </w:p>
    <w:p w14:paraId="2CCF2422" w14:textId="77777777" w:rsidR="00772179" w:rsidRDefault="00000000">
      <w:pPr>
        <w:jc w:val="both"/>
      </w:pPr>
      <w:r>
        <w:t>Les bandes d'étanchéité sont fabriquées en néoprène ou matière synthétique et sont enroulées dans le profil ou extrudées avec le profilé. Elles sont toujours appliquées en longueurs complètes, dans les angles et sont enroulées ou soudées en onglet. Seules les étanchéités originales et prescrites par le fournisseur des profilés sont utilisées. Elles font également partie de l'agrément technique obtenu pour le système de profilés.</w:t>
      </w:r>
    </w:p>
    <w:p w14:paraId="21A9E8BF" w14:textId="77777777" w:rsidR="00772179" w:rsidRDefault="00000000">
      <w:pPr>
        <w:jc w:val="both"/>
      </w:pPr>
      <w:r>
        <w:rPr>
          <w:b/>
        </w:rPr>
        <w:t>Assemblages </w:t>
      </w:r>
    </w:p>
    <w:p w14:paraId="0E52AA4D" w14:textId="77777777" w:rsidR="00772179" w:rsidRDefault="00000000">
      <w:pPr>
        <w:jc w:val="both"/>
      </w:pPr>
      <w:r>
        <w:t>Pour l'usinage, le traitement et la mise en place des profils, il est toujours tenu compte des prescriptions du fournisseur du système.</w:t>
      </w:r>
    </w:p>
    <w:p w14:paraId="145C0752" w14:textId="77777777" w:rsidR="00772179" w:rsidRDefault="00000000">
      <w:pPr>
        <w:jc w:val="both"/>
      </w:pPr>
      <w:r>
        <w:t>Tous les assemblages sont réalisés à l'aide d'accessoires standards provenant du même fabricant que les profils et totalement adaptés aux assemblages.</w:t>
      </w:r>
    </w:p>
    <w:p w14:paraId="299182DF" w14:textId="77777777" w:rsidR="00772179" w:rsidRDefault="00000000">
      <w:pPr>
        <w:jc w:val="both"/>
      </w:pPr>
      <w:r>
        <w:t>Les assemblages en T sont vérifiés suivant la procédure décrite dans la [NBN B 25-002-4].</w:t>
      </w:r>
    </w:p>
    <w:p w14:paraId="4E5673B0" w14:textId="77777777" w:rsidR="00772179" w:rsidRDefault="00000000">
      <w:pPr>
        <w:pStyle w:val="pheading"/>
      </w:pPr>
      <w:r>
        <w:t>EXÉCUTION / MISE EN ŒUVRE</w:t>
      </w:r>
    </w:p>
    <w:p w14:paraId="65A0F622" w14:textId="77777777" w:rsidR="00772179" w:rsidRDefault="00000000">
      <w:pPr>
        <w:jc w:val="both"/>
      </w:pPr>
      <w:r>
        <w:t xml:space="preserve">La pose des châssis s'effectue selon le </w:t>
      </w:r>
      <w:hyperlink w:anchor="64" w:history="1">
        <w:r>
          <w:rPr>
            <w:color w:val="0000EE"/>
          </w:rPr>
          <w:t>41.1 Fenêtres et portes-fenêtres</w:t>
        </w:r>
      </w:hyperlink>
      <w:r>
        <w:t>, conformément à la [NIT 283] et aux prescriptions de la [NBN B 25-002-4].</w:t>
      </w:r>
    </w:p>
    <w:p w14:paraId="6B0F7654" w14:textId="77777777" w:rsidR="00772179" w:rsidRDefault="00000000">
      <w:pPr>
        <w:jc w:val="both"/>
      </w:pPr>
      <w:r>
        <w:t>L’entretien est conforme à la norme [NBN B 25-002-2]. Le resserrage de la menuiserie est pourvu de continuité des performances mécaniques, thermiques et d’étanchéité à l’eau.</w:t>
      </w:r>
    </w:p>
    <w:p w14:paraId="4B3B57A5" w14:textId="77777777" w:rsidR="00772179" w:rsidRDefault="00000000">
      <w:pPr>
        <w:pStyle w:val="pheading"/>
      </w:pPr>
      <w:r>
        <w:t>DOCUMENTS DE RÉFÉRENCE</w:t>
      </w:r>
    </w:p>
    <w:p w14:paraId="3E9E3AC5" w14:textId="77777777" w:rsidR="00772179" w:rsidRDefault="00000000">
      <w:pPr>
        <w:pStyle w:val="pheading"/>
      </w:pPr>
      <w:r>
        <w:t>- Matériau</w:t>
      </w:r>
    </w:p>
    <w:p w14:paraId="57416BA3" w14:textId="77777777" w:rsidR="00772179" w:rsidRDefault="00000000">
      <w:r>
        <w:t>[NBN B 25-002-4, Menuiseries extérieures. Partie 4 : Prescriptions pour les profilés et des ossatures en aluminium]</w:t>
      </w:r>
    </w:p>
    <w:p w14:paraId="03CB1E6A" w14:textId="77777777" w:rsidR="00772179" w:rsidRDefault="00000000">
      <w:r>
        <w:t>[NBN EN ISO 7599, Anodisation de l'aluminium et de ses alliages - Méthode de spécification des caractéristiques des revêtements décoratifs et protecteurs obtenus par oxydation anodique sur aluminium (ISO 7599:2018)]</w:t>
      </w:r>
    </w:p>
    <w:p w14:paraId="225A85F3" w14:textId="77777777" w:rsidR="00772179" w:rsidRDefault="00000000">
      <w:r>
        <w:t>[NBN EN 12206-1, Peintures et vernis - Revêtement de l'aluminium et de ses alliages pour des applications architecturales - Partie 1: Revêtements à partir de peinture en poudre thermodurcissable]</w:t>
      </w:r>
    </w:p>
    <w:p w14:paraId="05D19306" w14:textId="77777777" w:rsidR="00772179" w:rsidRDefault="00000000">
      <w:r>
        <w:t>[NBN B 25-002-2, Menuiseries extérieures. Partie 2 : Prescription des performances générales pour les portes extérieures pour piétons]</w:t>
      </w:r>
    </w:p>
    <w:p w14:paraId="5401F531" w14:textId="77777777" w:rsidR="00772179" w:rsidRDefault="00000000">
      <w:pPr>
        <w:pStyle w:val="Author-eSectionHeading6Numberless"/>
      </w:pPr>
      <w:bookmarkStart w:id="29" w:name="_Toc220489786"/>
      <w:r>
        <w:t>41.12.2a Fenêtres et portes-fenêtres en aluminium avec coupure thermique CCTB 01.13</w:t>
      </w:r>
      <w:bookmarkEnd w:id="29"/>
    </w:p>
    <w:p w14:paraId="6A28327D" w14:textId="77777777" w:rsidR="00772179" w:rsidRDefault="00000000">
      <w:pPr>
        <w:pStyle w:val="pheading"/>
      </w:pPr>
      <w:bookmarkStart w:id="30" w:name="922"/>
      <w:bookmarkEnd w:id="30"/>
      <w:r>
        <w:t>DESCRIPTION</w:t>
      </w:r>
    </w:p>
    <w:p w14:paraId="2325CF83" w14:textId="77777777" w:rsidR="00772179" w:rsidRDefault="00000000">
      <w:pPr>
        <w:pStyle w:val="pheading"/>
      </w:pPr>
      <w:r>
        <w:t>- Définition / Comprend</w:t>
      </w:r>
    </w:p>
    <w:p w14:paraId="7C968FDB" w14:textId="77777777" w:rsidR="00772179" w:rsidRDefault="00000000">
      <w:pPr>
        <w:jc w:val="both"/>
      </w:pPr>
      <w:r>
        <w:t>Il s’agit de la fourniture (hors matériaux récupérés du même site) et de la pose de menuiseries extérieures (Fenêtres et portes-fenêtres) dont le profil est composé de deux profilés en aluminium reliés entre eux de façon continue par au moins une partie thermiquement isolante (non métallique).</w:t>
      </w:r>
    </w:p>
    <w:p w14:paraId="3719B866" w14:textId="77777777" w:rsidR="00772179" w:rsidRDefault="00000000">
      <w:pPr>
        <w:jc w:val="both"/>
      </w:pPr>
      <w:r>
        <w:lastRenderedPageBreak/>
        <w:t>Outre les prescriptions énoncées par ailleurs, le travail comprend notamment :</w:t>
      </w:r>
    </w:p>
    <w:p w14:paraId="70C3F3FF" w14:textId="77777777" w:rsidR="00772179" w:rsidRDefault="00000000">
      <w:pPr>
        <w:pStyle w:val="Author-eListParagraph"/>
        <w:numPr>
          <w:ilvl w:val="0"/>
          <w:numId w:val="71"/>
        </w:numPr>
        <w:jc w:val="both"/>
      </w:pPr>
      <w:r>
        <w:t>la pose et le resserrage,</w:t>
      </w:r>
    </w:p>
    <w:p w14:paraId="287480C3" w14:textId="77777777" w:rsidR="00772179" w:rsidRDefault="00000000">
      <w:pPr>
        <w:pStyle w:val="Author-eListParagraph"/>
        <w:numPr>
          <w:ilvl w:val="0"/>
          <w:numId w:val="71"/>
        </w:numPr>
        <w:jc w:val="both"/>
      </w:pPr>
      <w:r>
        <w:t>la finition et le réglage des menuiseries extérieures</w:t>
      </w:r>
    </w:p>
    <w:p w14:paraId="187C8DE3" w14:textId="77777777" w:rsidR="00772179" w:rsidRDefault="00000000">
      <w:pPr>
        <w:jc w:val="both"/>
      </w:pPr>
      <w:r>
        <w:rPr>
          <w:b/>
        </w:rPr>
        <w:t>Remarques importantes</w:t>
      </w:r>
    </w:p>
    <w:p w14:paraId="7D5BF728" w14:textId="77777777" w:rsidR="00772179" w:rsidRDefault="00000000">
      <w:pPr>
        <w:jc w:val="both"/>
      </w:pPr>
      <w:r>
        <w:t>Toutes les fenêtres sont soumises au Règlement Produits de Construction ([Règlement (UE) 305/2011]). Une déclaration d'aptitude à l'utilisation suivant les prescriptions du 02.42.1 Critères d'acceptabilité est imposée à ces produits suivant la [NBN EN 14351-1:2006+A2] afin d'attester qu’ils sont conformes aux spécifications techniques de ce règlement.</w:t>
      </w:r>
    </w:p>
    <w:p w14:paraId="4C25B47D" w14:textId="77777777" w:rsidR="00772179" w:rsidRDefault="00000000">
      <w:pPr>
        <w:pStyle w:val="pheading"/>
      </w:pPr>
      <w:r>
        <w:t>MATÉRIAUX</w:t>
      </w:r>
    </w:p>
    <w:p w14:paraId="5D89FC18" w14:textId="77777777" w:rsidR="00772179" w:rsidRDefault="00000000">
      <w:pPr>
        <w:pStyle w:val="pheading"/>
      </w:pPr>
      <w:r>
        <w:t>- Caractéristiques générales</w:t>
      </w:r>
    </w:p>
    <w:p w14:paraId="11991903" w14:textId="77777777" w:rsidR="00772179" w:rsidRDefault="00000000">
      <w:pPr>
        <w:jc w:val="both"/>
      </w:pPr>
      <w:r>
        <w:rPr>
          <w:b/>
        </w:rPr>
        <w:t>Composition des profils</w:t>
      </w:r>
    </w:p>
    <w:p w14:paraId="396137F8" w14:textId="77777777" w:rsidR="00772179" w:rsidRDefault="00000000">
      <w:pPr>
        <w:pStyle w:val="Author-eListParagraph"/>
        <w:numPr>
          <w:ilvl w:val="0"/>
          <w:numId w:val="72"/>
        </w:numPr>
      </w:pPr>
      <w:r>
        <w:t>Composition :</w:t>
      </w:r>
      <w:r>
        <w:rPr>
          <w:rStyle w:val="optioncarChar"/>
        </w:rPr>
        <w:t xml:space="preserve"> AW-6060 ou AW-6063 (climat normal)</w:t>
      </w:r>
      <w:r>
        <w:t xml:space="preserve"> (par défaut)</w:t>
      </w:r>
      <w:r>
        <w:rPr>
          <w:rStyle w:val="optioncarChar"/>
        </w:rPr>
        <w:t xml:space="preserve"> / AW-6060-B (climat agressif)</w:t>
      </w:r>
      <w:r>
        <w:t>. Les alliages sont conformes à la [NBN EN 755-2] et aux exigences de la [NBN B 25-002-4].</w:t>
      </w:r>
    </w:p>
    <w:p w14:paraId="61AD018E" w14:textId="77777777" w:rsidR="00772179" w:rsidRDefault="00000000">
      <w:pPr>
        <w:pStyle w:val="Author-eListParagraph"/>
        <w:numPr>
          <w:ilvl w:val="0"/>
          <w:numId w:val="72"/>
        </w:numPr>
      </w:pPr>
      <w:r>
        <w:t xml:space="preserve">Catégorie de température suivant [NBN EN 14024] : </w:t>
      </w:r>
      <w:r>
        <w:rPr>
          <w:rStyle w:val="optioncarChar"/>
        </w:rPr>
        <w:t>TC1 (- 10 °C à 70 °C)</w:t>
      </w:r>
      <w:r>
        <w:t> (par défaut)</w:t>
      </w:r>
      <w:r>
        <w:rPr>
          <w:rStyle w:val="optioncarChar"/>
        </w:rPr>
        <w:t> / TC2 (- 20 °C à 80 °C).</w:t>
      </w:r>
    </w:p>
    <w:p w14:paraId="452183F8" w14:textId="77777777" w:rsidR="00772179" w:rsidRDefault="00000000">
      <w:pPr>
        <w:jc w:val="both"/>
      </w:pPr>
      <w:r>
        <w:rPr>
          <w:b/>
        </w:rPr>
        <w:t>Forme et dimensions des profils</w:t>
      </w:r>
    </w:p>
    <w:p w14:paraId="31D0A3B3" w14:textId="77777777" w:rsidR="00772179" w:rsidRDefault="00000000">
      <w:pPr>
        <w:jc w:val="both"/>
      </w:pPr>
      <w: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w:t>
      </w:r>
    </w:p>
    <w:p w14:paraId="2C24E55E" w14:textId="77777777" w:rsidR="00772179" w:rsidRDefault="00000000">
      <w:pPr>
        <w:jc w:val="both"/>
      </w:pPr>
      <w:r>
        <w:t>Dormant :</w:t>
      </w:r>
    </w:p>
    <w:p w14:paraId="1E800ABC" w14:textId="77777777" w:rsidR="00772179" w:rsidRDefault="00000000">
      <w:pPr>
        <w:pStyle w:val="Author-eListParagraph"/>
        <w:numPr>
          <w:ilvl w:val="0"/>
          <w:numId w:val="73"/>
        </w:numPr>
      </w:pPr>
      <w:r>
        <w:t xml:space="preserve">Hauteur du profil : ≥ </w:t>
      </w:r>
      <w:r>
        <w:rPr>
          <w:rStyle w:val="optioncarChar"/>
        </w:rPr>
        <w:t>50</w:t>
      </w:r>
      <w:r>
        <w:t xml:space="preserve"> (par défaut)</w:t>
      </w:r>
      <w:r>
        <w:rPr>
          <w:rStyle w:val="optioncarChar"/>
        </w:rPr>
        <w:t xml:space="preserve"> / 65 / ***</w:t>
      </w:r>
      <w:r>
        <w:t xml:space="preserve"> mm.</w:t>
      </w:r>
    </w:p>
    <w:p w14:paraId="3128A1FE" w14:textId="77777777" w:rsidR="00772179" w:rsidRDefault="00000000">
      <w:pPr>
        <w:pStyle w:val="Author-eListParagraph"/>
        <w:numPr>
          <w:ilvl w:val="0"/>
          <w:numId w:val="73"/>
        </w:numPr>
      </w:pPr>
      <w:r>
        <w:t xml:space="preserve">Profondeur du profil : ≥ </w:t>
      </w:r>
      <w:r>
        <w:rPr>
          <w:rStyle w:val="optioncarChar"/>
        </w:rPr>
        <w:t>65</w:t>
      </w:r>
      <w:r>
        <w:t xml:space="preserve"> (par défaut) </w:t>
      </w:r>
      <w:r>
        <w:rPr>
          <w:rStyle w:val="optioncarChar"/>
        </w:rPr>
        <w:t>/ 75 / 95 / ***</w:t>
      </w:r>
      <w:r>
        <w:t xml:space="preserve"> mm.</w:t>
      </w:r>
    </w:p>
    <w:p w14:paraId="7EDB62FD" w14:textId="77777777" w:rsidR="00772179" w:rsidRDefault="00000000">
      <w:pPr>
        <w:pStyle w:val="Author-eListParagraph"/>
        <w:numPr>
          <w:ilvl w:val="0"/>
          <w:numId w:val="73"/>
        </w:numPr>
      </w:pPr>
      <w:r>
        <w:t xml:space="preserve">Epaisseur des parois extérieures des profilés de résistance : ≥ à </w:t>
      </w:r>
      <w:r>
        <w:rPr>
          <w:rStyle w:val="optioncarChar"/>
        </w:rPr>
        <w:t xml:space="preserve">1,6 </w:t>
      </w:r>
      <w:r>
        <w:t>(par défaut)</w:t>
      </w:r>
      <w:r>
        <w:rPr>
          <w:rStyle w:val="optioncarChar"/>
        </w:rPr>
        <w:t xml:space="preserve"> / ***</w:t>
      </w:r>
      <w:r>
        <w:t xml:space="preserve"> mm.</w:t>
      </w:r>
    </w:p>
    <w:p w14:paraId="41717C52" w14:textId="77777777" w:rsidR="00772179" w:rsidRDefault="00000000">
      <w:pPr>
        <w:jc w:val="both"/>
      </w:pPr>
      <w:r>
        <w:t>Vantail :</w:t>
      </w:r>
    </w:p>
    <w:p w14:paraId="39BB2BBC" w14:textId="77777777" w:rsidR="00772179" w:rsidRDefault="00000000">
      <w:pPr>
        <w:pStyle w:val="Author-eListParagraph"/>
        <w:numPr>
          <w:ilvl w:val="0"/>
          <w:numId w:val="74"/>
        </w:numPr>
      </w:pPr>
      <w:r>
        <w:t xml:space="preserve">Hauteur visible du profil : ≥ </w:t>
      </w:r>
      <w:r>
        <w:rPr>
          <w:rStyle w:val="optioncarChar"/>
        </w:rPr>
        <w:t xml:space="preserve">30 </w:t>
      </w:r>
      <w:r>
        <w:t>(par défaut)</w:t>
      </w:r>
      <w:r>
        <w:rPr>
          <w:rStyle w:val="optioncarChar"/>
        </w:rPr>
        <w:t xml:space="preserve"> / 50 / ***</w:t>
      </w:r>
      <w:r>
        <w:t xml:space="preserve"> mm.</w:t>
      </w:r>
    </w:p>
    <w:p w14:paraId="5C898BE2" w14:textId="77777777" w:rsidR="00772179" w:rsidRDefault="00000000">
      <w:pPr>
        <w:pStyle w:val="Author-eListParagraph"/>
        <w:numPr>
          <w:ilvl w:val="0"/>
          <w:numId w:val="74"/>
        </w:numPr>
      </w:pPr>
      <w:r>
        <w:t xml:space="preserve">Profondeur du profil : ≥ </w:t>
      </w:r>
      <w:r>
        <w:rPr>
          <w:rStyle w:val="optioncarChar"/>
        </w:rPr>
        <w:t>75</w:t>
      </w:r>
      <w:r>
        <w:t xml:space="preserve"> (par défaut)</w:t>
      </w:r>
      <w:r>
        <w:rPr>
          <w:rStyle w:val="optioncarChar"/>
        </w:rPr>
        <w:t xml:space="preserve"> / 105 / ***</w:t>
      </w:r>
      <w:r>
        <w:t xml:space="preserve"> mm.</w:t>
      </w:r>
    </w:p>
    <w:p w14:paraId="23C84CF9" w14:textId="77777777" w:rsidR="00772179" w:rsidRDefault="00000000">
      <w:pPr>
        <w:pStyle w:val="Author-eListParagraph"/>
        <w:numPr>
          <w:ilvl w:val="0"/>
          <w:numId w:val="74"/>
        </w:numPr>
      </w:pPr>
      <w:r>
        <w:t xml:space="preserve">Epaisseur des parois extérieures des profilés de résistance : ≥ à </w:t>
      </w:r>
      <w:r>
        <w:rPr>
          <w:rStyle w:val="optioncarChar"/>
        </w:rPr>
        <w:t>1,6</w:t>
      </w:r>
      <w:r>
        <w:t xml:space="preserve"> (par défaut) </w:t>
      </w:r>
      <w:r>
        <w:rPr>
          <w:rStyle w:val="optioncarChar"/>
        </w:rPr>
        <w:t>/ ***</w:t>
      </w:r>
      <w:r>
        <w:t xml:space="preserve"> mm.</w:t>
      </w:r>
    </w:p>
    <w:p w14:paraId="563DA733" w14:textId="77777777" w:rsidR="00772179" w:rsidRDefault="00000000">
      <w:pPr>
        <w:pStyle w:val="Author-eListParagraph"/>
        <w:numPr>
          <w:ilvl w:val="0"/>
          <w:numId w:val="74"/>
        </w:numPr>
      </w:pPr>
      <w:r>
        <w:t xml:space="preserve">Type de frappe : </w:t>
      </w:r>
      <w:r>
        <w:rPr>
          <w:rStyle w:val="optioncarChar"/>
        </w:rPr>
        <w:t xml:space="preserve">double avec joint central </w:t>
      </w:r>
      <w:r>
        <w:t>(par défaut)</w:t>
      </w:r>
      <w:r>
        <w:rPr>
          <w:rStyle w:val="optioncarChar"/>
        </w:rPr>
        <w:t xml:space="preserve"> / ***.</w:t>
      </w:r>
    </w:p>
    <w:p w14:paraId="164438F4" w14:textId="77777777" w:rsidR="00772179" w:rsidRDefault="00000000">
      <w:pPr>
        <w:pStyle w:val="Author-eListParagraph"/>
        <w:numPr>
          <w:ilvl w:val="0"/>
          <w:numId w:val="74"/>
        </w:numPr>
      </w:pPr>
      <w:r>
        <w:t xml:space="preserve">Etanchéité à l’air et à l’eau des parties ouvrantes : </w:t>
      </w:r>
      <w:r>
        <w:rPr>
          <w:rStyle w:val="optioncarChar"/>
        </w:rPr>
        <w:t>double</w:t>
      </w:r>
      <w:r>
        <w:t xml:space="preserve"> (par défaut)</w:t>
      </w:r>
      <w:r>
        <w:rPr>
          <w:rStyle w:val="optioncarChar"/>
        </w:rPr>
        <w:t xml:space="preserve"> / ***</w:t>
      </w:r>
      <w:r>
        <w:t>.</w:t>
      </w:r>
    </w:p>
    <w:p w14:paraId="5249B1EB" w14:textId="77777777" w:rsidR="00772179" w:rsidRDefault="00000000">
      <w:pPr>
        <w:jc w:val="both"/>
      </w:pPr>
      <w:r>
        <w:rPr>
          <w:b/>
        </w:rPr>
        <w:t>Performances</w:t>
      </w:r>
    </w:p>
    <w:p w14:paraId="703B76EF" w14:textId="77777777" w:rsidR="00772179" w:rsidRDefault="00000000">
      <w:pPr>
        <w:pStyle w:val="Author-eListParagraph"/>
        <w:numPr>
          <w:ilvl w:val="0"/>
          <w:numId w:val="75"/>
        </w:numPr>
      </w:pPr>
      <w:r>
        <w:t xml:space="preserve">Performances thermiques de la fenêtre calculée suivant [NBN EN 12412-2] ou [NBN EN ISO 10077-2] : valeur Uw : </w:t>
      </w:r>
      <w:r>
        <w:rPr>
          <w:rStyle w:val="optioncarChar"/>
        </w:rPr>
        <w:t xml:space="preserve">conforme aux résultats de l’étude PEB </w:t>
      </w:r>
      <w:r>
        <w:t>(par défaut)</w:t>
      </w:r>
      <w:r>
        <w:rPr>
          <w:rStyle w:val="optioncarChar"/>
        </w:rPr>
        <w:t>  /  ≤ à 1,00 (triple vitrage) / ≤ à 1,35 (triple vitrage) / ≤ à 1,80 (double vitrage) / *** W/m²K</w:t>
      </w:r>
    </w:p>
    <w:p w14:paraId="344EA49D" w14:textId="77777777" w:rsidR="00772179" w:rsidRDefault="00000000">
      <w:pPr>
        <w:pStyle w:val="Author-eListParagraph"/>
        <w:numPr>
          <w:ilvl w:val="0"/>
          <w:numId w:val="75"/>
        </w:numPr>
      </w:pPr>
      <w:r>
        <w:t xml:space="preserve">Remplissage : voir descriptif au chapitre </w:t>
      </w:r>
      <w:hyperlink w:anchor="852" w:history="1">
        <w:r>
          <w:rPr>
            <w:color w:val="0000EE"/>
          </w:rPr>
          <w:t>42 Vitrages extérieurs et éléments de remplissage</w:t>
        </w:r>
      </w:hyperlink>
      <w:r>
        <w:t>.</w:t>
      </w:r>
    </w:p>
    <w:p w14:paraId="480DE331" w14:textId="77777777" w:rsidR="00772179" w:rsidRDefault="00000000">
      <w:pPr>
        <w:pStyle w:val="Author-eListParagraph"/>
        <w:numPr>
          <w:ilvl w:val="0"/>
          <w:numId w:val="75"/>
        </w:numPr>
      </w:pPr>
      <w:r>
        <w:t>Etanchéité à l’air : classe</w:t>
      </w:r>
      <w:r>
        <w:rPr>
          <w:rStyle w:val="optioncarChar"/>
        </w:rPr>
        <w:t xml:space="preserve"> 4 </w:t>
      </w:r>
      <w:r>
        <w:t>(par défaut)</w:t>
      </w:r>
      <w:r>
        <w:rPr>
          <w:rStyle w:val="optioncarChar"/>
        </w:rPr>
        <w:t xml:space="preserve"> / ***</w:t>
      </w:r>
    </w:p>
    <w:p w14:paraId="57D1A591" w14:textId="77777777" w:rsidR="00772179" w:rsidRDefault="00000000">
      <w:pPr>
        <w:pStyle w:val="Author-eListParagraph"/>
        <w:numPr>
          <w:ilvl w:val="0"/>
          <w:numId w:val="75"/>
        </w:numPr>
      </w:pPr>
      <w:r>
        <w:t>Etanchéité à l’eau : classe</w:t>
      </w:r>
      <w:r>
        <w:rPr>
          <w:rStyle w:val="optioncarChar"/>
        </w:rPr>
        <w:t xml:space="preserve"> 6A </w:t>
      </w:r>
      <w:r>
        <w:t xml:space="preserve">(par défaut) </w:t>
      </w:r>
      <w:r>
        <w:rPr>
          <w:rStyle w:val="optioncarChar"/>
        </w:rPr>
        <w:t>/ ***</w:t>
      </w:r>
    </w:p>
    <w:p w14:paraId="20C9928E" w14:textId="77777777" w:rsidR="00772179" w:rsidRDefault="00000000">
      <w:pPr>
        <w:pStyle w:val="Author-eListParagraph"/>
        <w:numPr>
          <w:ilvl w:val="0"/>
          <w:numId w:val="75"/>
        </w:numPr>
      </w:pPr>
      <w:r>
        <w:t>Résistance au vent : classe</w:t>
      </w:r>
      <w:r>
        <w:rPr>
          <w:rStyle w:val="optioncarChar"/>
        </w:rPr>
        <w:t xml:space="preserve"> C3 </w:t>
      </w:r>
      <w:r>
        <w:t>(par défaut)</w:t>
      </w:r>
      <w:r>
        <w:rPr>
          <w:rStyle w:val="optioncarChar"/>
        </w:rPr>
        <w:t xml:space="preserve"> / ***</w:t>
      </w:r>
    </w:p>
    <w:p w14:paraId="7008141F" w14:textId="77777777" w:rsidR="00772179" w:rsidRDefault="00000000">
      <w:pPr>
        <w:pStyle w:val="Author-eListParagraph"/>
        <w:numPr>
          <w:ilvl w:val="0"/>
          <w:numId w:val="75"/>
        </w:numPr>
      </w:pPr>
      <w:r>
        <w:t>D’effort de manœuvre : classe</w:t>
      </w:r>
      <w:r>
        <w:rPr>
          <w:rStyle w:val="optioncarChar"/>
        </w:rPr>
        <w:t xml:space="preserve"> 1</w:t>
      </w:r>
      <w:r>
        <w:t xml:space="preserve"> (par défaut) </w:t>
      </w:r>
      <w:r>
        <w:rPr>
          <w:rStyle w:val="optioncarChar"/>
        </w:rPr>
        <w:t>/ 2 (PMR) / ***</w:t>
      </w:r>
    </w:p>
    <w:p w14:paraId="00F8CE7E" w14:textId="77777777" w:rsidR="00772179" w:rsidRDefault="00000000">
      <w:pPr>
        <w:pStyle w:val="Author-eListParagraph"/>
        <w:numPr>
          <w:ilvl w:val="0"/>
          <w:numId w:val="75"/>
        </w:numPr>
      </w:pPr>
      <w:r>
        <w:t>Abus d’utilisation : classe</w:t>
      </w:r>
      <w:r>
        <w:rPr>
          <w:rStyle w:val="optioncarChar"/>
        </w:rPr>
        <w:t xml:space="preserve"> 3 </w:t>
      </w:r>
      <w:r>
        <w:t>(par défaut)</w:t>
      </w:r>
      <w:r>
        <w:rPr>
          <w:rStyle w:val="optioncarChar"/>
        </w:rPr>
        <w:t xml:space="preserve"> / 4 (écoles, bâtiments publics) / ***</w:t>
      </w:r>
    </w:p>
    <w:p w14:paraId="64167A88" w14:textId="77777777" w:rsidR="00772179" w:rsidRDefault="00000000">
      <w:pPr>
        <w:pStyle w:val="Author-eListParagraph"/>
        <w:numPr>
          <w:ilvl w:val="0"/>
          <w:numId w:val="75"/>
        </w:numPr>
      </w:pPr>
      <w:r>
        <w:t xml:space="preserve">Performances acoustiques D Atr : </w:t>
      </w:r>
      <w:r>
        <w:rPr>
          <w:rStyle w:val="optioncarChar"/>
        </w:rPr>
        <w:t xml:space="preserve">non spécifié </w:t>
      </w:r>
      <w:r>
        <w:t>(par défaut)</w:t>
      </w:r>
      <w:r>
        <w:rPr>
          <w:rStyle w:val="optioncarChar"/>
        </w:rPr>
        <w:t> / ≥ 39 / ≥ 42 / ***</w:t>
      </w:r>
      <w:r>
        <w:t xml:space="preserve"> dB suivant [NBN S 01-400-1] (bâtiments) &amp; [NBN S 01-400-2] (écoles)]</w:t>
      </w:r>
    </w:p>
    <w:p w14:paraId="4D67AD8A" w14:textId="77777777" w:rsidR="00772179" w:rsidRDefault="00000000">
      <w:pPr>
        <w:pStyle w:val="Author-eListParagraph"/>
        <w:numPr>
          <w:ilvl w:val="0"/>
          <w:numId w:val="75"/>
        </w:numPr>
      </w:pPr>
      <w:r>
        <w:t>Résistance à l’effraction : classe</w:t>
      </w:r>
      <w:r>
        <w:rPr>
          <w:rStyle w:val="optioncarChar"/>
        </w:rPr>
        <w:t xml:space="preserve"> 2 (résistance à l’effraction de base) </w:t>
      </w:r>
      <w:r>
        <w:t>(par défaut)</w:t>
      </w:r>
      <w:r>
        <w:rPr>
          <w:rStyle w:val="optioncarChar"/>
        </w:rPr>
        <w:t xml:space="preserve"> / 1 (sans performance particulière) / 3 / 4 / 5 / ***</w:t>
      </w:r>
    </w:p>
    <w:p w14:paraId="1D796F49" w14:textId="77777777" w:rsidR="00772179" w:rsidRDefault="00000000">
      <w:pPr>
        <w:pStyle w:val="Author-eListParagraph"/>
        <w:numPr>
          <w:ilvl w:val="0"/>
          <w:numId w:val="75"/>
        </w:numPr>
      </w:pPr>
      <w:r>
        <w:t xml:space="preserve">Résistance à l’explosion : </w:t>
      </w:r>
      <w:r>
        <w:rPr>
          <w:rStyle w:val="optioncarChar"/>
        </w:rPr>
        <w:t xml:space="preserve">non spécifié </w:t>
      </w:r>
      <w:r>
        <w:t>(par défaut) </w:t>
      </w:r>
      <w:r>
        <w:rPr>
          <w:rStyle w:val="optioncarChar"/>
        </w:rPr>
        <w:t>/ ***</w:t>
      </w:r>
    </w:p>
    <w:p w14:paraId="56AF096D" w14:textId="77777777" w:rsidR="00772179" w:rsidRDefault="00000000">
      <w:pPr>
        <w:pStyle w:val="Author-eListParagraph"/>
        <w:numPr>
          <w:ilvl w:val="0"/>
          <w:numId w:val="75"/>
        </w:numPr>
      </w:pPr>
      <w:r>
        <w:t xml:space="preserve">Résistance aux balles :  </w:t>
      </w:r>
      <w:r>
        <w:rPr>
          <w:rStyle w:val="optioncarChar"/>
        </w:rPr>
        <w:t>non spécifié</w:t>
      </w:r>
      <w:r>
        <w:t xml:space="preserve"> (par défaut)</w:t>
      </w:r>
      <w:r>
        <w:rPr>
          <w:rStyle w:val="optioncarChar"/>
        </w:rPr>
        <w:t> / ***</w:t>
      </w:r>
    </w:p>
    <w:p w14:paraId="1409867F" w14:textId="77777777" w:rsidR="00772179" w:rsidRDefault="00000000">
      <w:pPr>
        <w:pStyle w:val="Author-eListParagraph"/>
        <w:numPr>
          <w:ilvl w:val="0"/>
          <w:numId w:val="75"/>
        </w:numPr>
      </w:pPr>
      <w:r>
        <w:t xml:space="preserve">Résistance et réaction au feu : </w:t>
      </w:r>
      <w:r>
        <w:rPr>
          <w:rStyle w:val="optioncarChar"/>
        </w:rPr>
        <w:t>non spécifié</w:t>
      </w:r>
      <w:r>
        <w:t xml:space="preserve"> (par défaut)</w:t>
      </w:r>
      <w:r>
        <w:rPr>
          <w:rStyle w:val="optioncarChar"/>
        </w:rPr>
        <w:t> / ***</w:t>
      </w:r>
    </w:p>
    <w:p w14:paraId="4C797F31" w14:textId="77777777" w:rsidR="00772179" w:rsidRDefault="00000000">
      <w:pPr>
        <w:pStyle w:val="Author-eListParagraph"/>
        <w:numPr>
          <w:ilvl w:val="0"/>
          <w:numId w:val="75"/>
        </w:numPr>
      </w:pPr>
      <w:r>
        <w:t>Résistance aux chocs : classe</w:t>
      </w:r>
      <w:r>
        <w:rPr>
          <w:rStyle w:val="optioncarChar"/>
        </w:rPr>
        <w:t xml:space="preserve"> 2</w:t>
      </w:r>
      <w:r>
        <w:t xml:space="preserve"> (par défaut)</w:t>
      </w:r>
      <w:r>
        <w:rPr>
          <w:rStyle w:val="optioncarChar"/>
        </w:rPr>
        <w:t xml:space="preserve"> / ***</w:t>
      </w:r>
    </w:p>
    <w:p w14:paraId="6C115875" w14:textId="77777777" w:rsidR="00772179" w:rsidRDefault="00000000">
      <w:pPr>
        <w:jc w:val="both"/>
      </w:pPr>
      <w:r>
        <w:rPr>
          <w:b/>
        </w:rPr>
        <w:lastRenderedPageBreak/>
        <w:t>Assemblages</w:t>
      </w:r>
    </w:p>
    <w:p w14:paraId="707B82A7" w14:textId="77777777" w:rsidR="00772179" w:rsidRDefault="00000000">
      <w:pPr>
        <w:jc w:val="both"/>
      </w:pPr>
      <w:r>
        <w:t xml:space="preserve">Les assemblages des angles et des extrémités sont exécutés par </w:t>
      </w:r>
      <w:r>
        <w:rPr>
          <w:rStyle w:val="optioncarChar"/>
        </w:rPr>
        <w:t xml:space="preserve">sertissage ou vissage, collage et kit d’étanchéité </w:t>
      </w:r>
      <w:r>
        <w:t>(par défaut)</w:t>
      </w:r>
      <w:r>
        <w:rPr>
          <w:rStyle w:val="optioncarChar"/>
        </w:rPr>
        <w:t xml:space="preserve"> / ***.</w:t>
      </w:r>
    </w:p>
    <w:p w14:paraId="4D502E23" w14:textId="77777777" w:rsidR="00772179" w:rsidRDefault="00000000">
      <w:pPr>
        <w:jc w:val="both"/>
      </w:pPr>
      <w:r>
        <w:rPr>
          <w:b/>
        </w:rPr>
        <w:t>(soit par défaut)</w:t>
      </w:r>
    </w:p>
    <w:p w14:paraId="1806DD18" w14:textId="77777777" w:rsidR="00772179" w:rsidRDefault="00000000">
      <w:pPr>
        <w:jc w:val="both"/>
      </w:pPr>
      <w:r>
        <w:rPr>
          <w:rStyle w:val="soitChar"/>
          <w:u w:val="single"/>
        </w:rPr>
        <w:t>Sertissage ou vissage, collage et kit d’étanchéité :</w:t>
      </w:r>
    </w:p>
    <w:p w14:paraId="5A5C962B" w14:textId="77777777" w:rsidR="00772179" w:rsidRDefault="00000000">
      <w:pPr>
        <w:jc w:val="both"/>
      </w:pPr>
      <w:r>
        <w:rPr>
          <w:rStyle w:val="soitChar"/>
        </w:rPr>
        <w:t>Les assemblages sont réalisés à l’aide :</w:t>
      </w:r>
    </w:p>
    <w:p w14:paraId="2CF9CF28" w14:textId="77777777" w:rsidR="00772179" w:rsidRDefault="00000000">
      <w:pPr>
        <w:pStyle w:val="Author-eListParagraph"/>
        <w:numPr>
          <w:ilvl w:val="0"/>
          <w:numId w:val="76"/>
        </w:numPr>
      </w:pPr>
      <w:r>
        <w:rPr>
          <w:rStyle w:val="soitChar"/>
        </w:rPr>
        <w:t>De deux équerres à sertir où à visser en aluminium coulé (UNI 5076) logées dans les chambres extérieures et intérieures des profilés. Avant le sertissage/vissage des équerres, les coupes des profilés sont nettoyées et ensuite rendues étanches à l’aide d’un produit qui protège les onglets de la corrosion en même temps qu’il en assure l’étanchéité.</w:t>
      </w:r>
    </w:p>
    <w:p w14:paraId="068CFBB7" w14:textId="77777777" w:rsidR="00772179" w:rsidRDefault="00000000">
      <w:pPr>
        <w:pStyle w:val="Author-eListParagraph"/>
        <w:numPr>
          <w:ilvl w:val="0"/>
          <w:numId w:val="76"/>
        </w:numPr>
      </w:pPr>
      <w:r>
        <w:rPr>
          <w:rStyle w:val="soitChar"/>
        </w:rPr>
        <w:t>Les percements d'injection de la colle sont réalisés soit avant le sertissage ou vissage des profilés, soit lors du sertissage des profilés. Par ces percements d'injection, une colle à deux composants (Epoxy) est injectée dans l'onglet et se répartit uniformément grâce aux canaux de collage des équerres à sertir ou à visser. La compatibilité entre la colle et le système aluminium est conforme à l’agrément technique ou équivalent</w:t>
      </w:r>
    </w:p>
    <w:p w14:paraId="69A14836" w14:textId="77777777" w:rsidR="00772179" w:rsidRDefault="00000000">
      <w:pPr>
        <w:pStyle w:val="Author-eListParagraph"/>
        <w:numPr>
          <w:ilvl w:val="0"/>
          <w:numId w:val="76"/>
        </w:numPr>
      </w:pPr>
      <w:r>
        <w:rPr>
          <w:rStyle w:val="soitChar"/>
        </w:rPr>
        <w:t>D’une équerre de support en aluminium glissée dans la lèvre de frappe assurant la planéité de l'onglet. Cette équerre doit également être collée au moyen d'une colle à deux composants (Epoxy)</w:t>
      </w:r>
    </w:p>
    <w:p w14:paraId="6B5C2A50" w14:textId="77777777" w:rsidR="00772179" w:rsidRDefault="00000000">
      <w:pPr>
        <w:pStyle w:val="Author-eListParagraph"/>
        <w:numPr>
          <w:ilvl w:val="0"/>
          <w:numId w:val="76"/>
        </w:numPr>
      </w:pPr>
      <w:r>
        <w:rPr>
          <w:rStyle w:val="soitChar"/>
        </w:rPr>
        <w:t>D’une équerre de remplissage en matière synthétique collée entre les barrettes d’isolation.  Ceci formera la finition de l’assemblage dans lequel l’espace entre les barrettes est comblé.</w:t>
      </w:r>
    </w:p>
    <w:p w14:paraId="49D03214" w14:textId="77777777" w:rsidR="00772179" w:rsidRDefault="00000000">
      <w:pPr>
        <w:jc w:val="both"/>
      </w:pPr>
      <w:r>
        <w:rPr>
          <w:b/>
        </w:rPr>
        <w:t>(soit)</w:t>
      </w:r>
    </w:p>
    <w:p w14:paraId="531DFC36" w14:textId="77777777" w:rsidR="00772179" w:rsidRDefault="00000000">
      <w:pPr>
        <w:jc w:val="both"/>
      </w:pPr>
      <w:r>
        <w:rPr>
          <w:rStyle w:val="optioncarChar"/>
        </w:rPr>
        <w:t>***</w:t>
      </w:r>
    </w:p>
    <w:p w14:paraId="40618061" w14:textId="77777777" w:rsidR="00772179" w:rsidRDefault="00000000">
      <w:pPr>
        <w:jc w:val="both"/>
      </w:pPr>
      <w:r>
        <w:rPr>
          <w:b/>
        </w:rPr>
        <w:t>Types de fenêtres et portes-fenêtres</w:t>
      </w:r>
    </w:p>
    <w:p w14:paraId="7786DE21" w14:textId="77777777" w:rsidR="00772179" w:rsidRDefault="00000000">
      <w:pPr>
        <w:jc w:val="both"/>
      </w:pPr>
      <w:r>
        <w:t>Les dimensions sont données dans le métré détaillé.</w:t>
      </w:r>
    </w:p>
    <w:p w14:paraId="0C04907A" w14:textId="77777777" w:rsidR="00772179" w:rsidRDefault="00000000">
      <w:pPr>
        <w:jc w:val="both"/>
      </w:pPr>
      <w:r>
        <w:rPr>
          <w:u w:val="single"/>
        </w:rPr>
        <w:t>Fenêtres fixes :</w:t>
      </w:r>
    </w:p>
    <w:p w14:paraId="26274ECC"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 </w:t>
      </w:r>
    </w:p>
    <w:p w14:paraId="4D069D9C" w14:textId="77777777" w:rsidR="00772179" w:rsidRDefault="00000000">
      <w:pPr>
        <w:jc w:val="both"/>
      </w:pPr>
      <w:r>
        <w:rPr>
          <w:u w:val="single"/>
        </w:rPr>
        <w:t>Fenêtres à vantaux ouvrants :</w:t>
      </w:r>
    </w:p>
    <w:p w14:paraId="11D937AD"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 </w:t>
      </w:r>
    </w:p>
    <w:p w14:paraId="55399EB2" w14:textId="77777777" w:rsidR="00772179" w:rsidRDefault="00000000">
      <w:pPr>
        <w:jc w:val="both"/>
      </w:pPr>
      <w:r>
        <w:t>Quincailleries : </w:t>
      </w:r>
      <w:r>
        <w:rPr>
          <w:rStyle w:val="optioncarChar"/>
        </w:rPr>
        <w:t>conformes à la documentation technique du produit</w:t>
      </w:r>
      <w:r>
        <w:t> (par défaut) </w:t>
      </w:r>
      <w:r>
        <w:rPr>
          <w:rStyle w:val="optioncarChar"/>
        </w:rPr>
        <w:t>/ ***.</w:t>
      </w:r>
    </w:p>
    <w:p w14:paraId="1E89EB02" w14:textId="77777777" w:rsidR="00772179" w:rsidRDefault="00000000">
      <w:pPr>
        <w:pStyle w:val="Author-eListParagraph"/>
        <w:numPr>
          <w:ilvl w:val="0"/>
          <w:numId w:val="77"/>
        </w:numPr>
      </w:pPr>
      <w:r>
        <w:t>Cfr. Article </w:t>
      </w:r>
      <w:hyperlink w:anchor="881" w:history="1">
        <w:r>
          <w:rPr>
            <w:color w:val="0000EE"/>
          </w:rPr>
          <w:t>41.72.1a Charnières et paumelles</w:t>
        </w:r>
      </w:hyperlink>
    </w:p>
    <w:p w14:paraId="2C096520" w14:textId="77777777" w:rsidR="00772179" w:rsidRDefault="00000000">
      <w:pPr>
        <w:pStyle w:val="Author-eListParagraph"/>
        <w:numPr>
          <w:ilvl w:val="0"/>
          <w:numId w:val="77"/>
        </w:numPr>
      </w:pPr>
      <w:r>
        <w:t>Cfr. Article </w:t>
      </w:r>
      <w:hyperlink w:anchor="882" w:history="1">
        <w:r>
          <w:rPr>
            <w:color w:val="0000EE"/>
          </w:rPr>
          <w:t>41.72.3a Poignées</w:t>
        </w:r>
      </w:hyperlink>
    </w:p>
    <w:p w14:paraId="7F793558" w14:textId="77777777" w:rsidR="00772179" w:rsidRDefault="00000000">
      <w:pPr>
        <w:jc w:val="both"/>
      </w:pPr>
      <w:r>
        <w:rPr>
          <w:u w:val="single"/>
        </w:rPr>
        <w:t>Fenêtres oscillo-battantes :</w:t>
      </w:r>
    </w:p>
    <w:p w14:paraId="68005E10"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 </w:t>
      </w:r>
    </w:p>
    <w:p w14:paraId="712577A2" w14:textId="77777777" w:rsidR="00772179" w:rsidRDefault="00000000">
      <w:pPr>
        <w:jc w:val="both"/>
      </w:pPr>
      <w:r>
        <w:t>Quincailleries : </w:t>
      </w:r>
      <w:r>
        <w:rPr>
          <w:rStyle w:val="optioncarChar"/>
        </w:rPr>
        <w:t>conformes à la documentation technique du produit</w:t>
      </w:r>
      <w:r>
        <w:t> (par défaut) </w:t>
      </w:r>
      <w:r>
        <w:rPr>
          <w:rStyle w:val="optioncarChar"/>
        </w:rPr>
        <w:t>/ ***.</w:t>
      </w:r>
    </w:p>
    <w:p w14:paraId="456B6A4D" w14:textId="77777777" w:rsidR="00772179" w:rsidRDefault="00000000">
      <w:pPr>
        <w:pStyle w:val="Author-eListParagraph"/>
        <w:numPr>
          <w:ilvl w:val="0"/>
          <w:numId w:val="78"/>
        </w:numPr>
      </w:pPr>
      <w:r>
        <w:t>Cfr. Article </w:t>
      </w:r>
      <w:hyperlink w:anchor="881" w:history="1">
        <w:r>
          <w:rPr>
            <w:color w:val="0000EE"/>
          </w:rPr>
          <w:t>41.72.1a Charnières et paumelles</w:t>
        </w:r>
      </w:hyperlink>
    </w:p>
    <w:p w14:paraId="44D9EDE7" w14:textId="77777777" w:rsidR="00772179" w:rsidRDefault="00000000">
      <w:pPr>
        <w:pStyle w:val="Author-eListParagraph"/>
        <w:numPr>
          <w:ilvl w:val="0"/>
          <w:numId w:val="78"/>
        </w:numPr>
      </w:pPr>
      <w:r>
        <w:t>Cfr. Article </w:t>
      </w:r>
      <w:hyperlink w:anchor="882" w:history="1">
        <w:r>
          <w:rPr>
            <w:color w:val="0000EE"/>
          </w:rPr>
          <w:t>41.72.3a Poignées</w:t>
        </w:r>
      </w:hyperlink>
    </w:p>
    <w:p w14:paraId="7788A044" w14:textId="77777777" w:rsidR="00772179" w:rsidRDefault="00000000">
      <w:pPr>
        <w:jc w:val="both"/>
      </w:pPr>
      <w:r>
        <w:rPr>
          <w:u w:val="single"/>
        </w:rPr>
        <w:t>Fenêtres basculantes :</w:t>
      </w:r>
    </w:p>
    <w:p w14:paraId="4F793961"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 </w:t>
      </w:r>
    </w:p>
    <w:p w14:paraId="789B0EA2" w14:textId="77777777" w:rsidR="00772179" w:rsidRDefault="00000000">
      <w:pPr>
        <w:jc w:val="both"/>
      </w:pPr>
      <w:r>
        <w:lastRenderedPageBreak/>
        <w:t>Quincailleries : </w:t>
      </w:r>
      <w:r>
        <w:rPr>
          <w:rStyle w:val="optioncarChar"/>
        </w:rPr>
        <w:t>conformes à la documentation technique du produit</w:t>
      </w:r>
      <w:r>
        <w:t> (par défaut) </w:t>
      </w:r>
      <w:r>
        <w:rPr>
          <w:rStyle w:val="optioncarChar"/>
        </w:rPr>
        <w:t>/ ***.</w:t>
      </w:r>
    </w:p>
    <w:p w14:paraId="6F8D593B" w14:textId="77777777" w:rsidR="00772179" w:rsidRDefault="00000000">
      <w:pPr>
        <w:pStyle w:val="Author-eListParagraph"/>
        <w:numPr>
          <w:ilvl w:val="0"/>
          <w:numId w:val="79"/>
        </w:numPr>
      </w:pPr>
      <w:r>
        <w:t>Cfr. Article </w:t>
      </w:r>
      <w:hyperlink w:anchor="881" w:history="1">
        <w:r>
          <w:rPr>
            <w:color w:val="0000EE"/>
          </w:rPr>
          <w:t>41.72.1a Charnières et paumelles</w:t>
        </w:r>
      </w:hyperlink>
    </w:p>
    <w:p w14:paraId="1CA51A5B" w14:textId="77777777" w:rsidR="00772179" w:rsidRDefault="00000000">
      <w:pPr>
        <w:pStyle w:val="Author-eListParagraph"/>
        <w:numPr>
          <w:ilvl w:val="0"/>
          <w:numId w:val="79"/>
        </w:numPr>
      </w:pPr>
      <w:r>
        <w:t>Cfr. Article </w:t>
      </w:r>
      <w:hyperlink w:anchor="882" w:history="1">
        <w:r>
          <w:rPr>
            <w:color w:val="0000EE"/>
          </w:rPr>
          <w:t>41.72.3a Poignées</w:t>
        </w:r>
      </w:hyperlink>
    </w:p>
    <w:p w14:paraId="04F0DA85" w14:textId="77777777" w:rsidR="00772179" w:rsidRDefault="00000000">
      <w:pPr>
        <w:jc w:val="both"/>
      </w:pPr>
      <w:r>
        <w:rPr>
          <w:u w:val="single"/>
        </w:rPr>
        <w:t>Fenêtres projetantes :</w:t>
      </w:r>
    </w:p>
    <w:p w14:paraId="26FBE268"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 </w:t>
      </w:r>
    </w:p>
    <w:p w14:paraId="28296B33" w14:textId="77777777" w:rsidR="00772179" w:rsidRDefault="00000000">
      <w:pPr>
        <w:jc w:val="both"/>
      </w:pPr>
      <w:r>
        <w:t>Quincailleries : </w:t>
      </w:r>
      <w:r>
        <w:rPr>
          <w:rStyle w:val="optioncarChar"/>
        </w:rPr>
        <w:t>conformes à la documentation technique du produit</w:t>
      </w:r>
      <w:r>
        <w:t> (par défaut) </w:t>
      </w:r>
      <w:r>
        <w:rPr>
          <w:rStyle w:val="optioncarChar"/>
        </w:rPr>
        <w:t>/ ***.</w:t>
      </w:r>
    </w:p>
    <w:p w14:paraId="58025EF0" w14:textId="77777777" w:rsidR="00772179" w:rsidRDefault="00000000">
      <w:pPr>
        <w:pStyle w:val="Author-eListParagraph"/>
        <w:numPr>
          <w:ilvl w:val="0"/>
          <w:numId w:val="80"/>
        </w:numPr>
      </w:pPr>
      <w:r>
        <w:t>Cfr. Article </w:t>
      </w:r>
      <w:hyperlink w:anchor="881" w:history="1">
        <w:r>
          <w:rPr>
            <w:color w:val="0000EE"/>
          </w:rPr>
          <w:t>41.72.1a Charnières et paumelles</w:t>
        </w:r>
      </w:hyperlink>
    </w:p>
    <w:p w14:paraId="6E010E1A" w14:textId="77777777" w:rsidR="00772179" w:rsidRDefault="00000000">
      <w:pPr>
        <w:pStyle w:val="Author-eListParagraph"/>
        <w:numPr>
          <w:ilvl w:val="0"/>
          <w:numId w:val="80"/>
        </w:numPr>
      </w:pPr>
      <w:r>
        <w:t>Cfr. Article </w:t>
      </w:r>
      <w:hyperlink w:anchor="882" w:history="1">
        <w:r>
          <w:rPr>
            <w:color w:val="0000EE"/>
          </w:rPr>
          <w:t>41.72.3a Poignées</w:t>
        </w:r>
      </w:hyperlink>
    </w:p>
    <w:p w14:paraId="3986F162" w14:textId="77777777" w:rsidR="00772179" w:rsidRDefault="00000000">
      <w:r>
        <w:rPr>
          <w:u w:val="single"/>
        </w:rPr>
        <w:t>Fenêtres pivotantes ou basculantes :</w:t>
      </w:r>
      <w:r>
        <w:b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 </w:t>
      </w:r>
      <w:r>
        <w:br/>
        <w:t>Quincailleries : </w:t>
      </w:r>
      <w:r>
        <w:rPr>
          <w:rStyle w:val="optioncarChar"/>
        </w:rPr>
        <w:t>conformes à la documentation technique du produit</w:t>
      </w:r>
      <w:r>
        <w:t> (par défaut) </w:t>
      </w:r>
      <w:r>
        <w:rPr>
          <w:rStyle w:val="optioncarChar"/>
        </w:rPr>
        <w:t>/ ***.</w:t>
      </w:r>
    </w:p>
    <w:p w14:paraId="08E712D9" w14:textId="77777777" w:rsidR="00772179" w:rsidRDefault="00000000">
      <w:pPr>
        <w:pStyle w:val="Author-eListParagraph"/>
        <w:numPr>
          <w:ilvl w:val="0"/>
          <w:numId w:val="81"/>
        </w:numPr>
      </w:pPr>
      <w:r>
        <w:t>Cfr. Article </w:t>
      </w:r>
      <w:hyperlink w:anchor="881" w:history="1">
        <w:r>
          <w:rPr>
            <w:color w:val="0000EE"/>
          </w:rPr>
          <w:t>41.72.1a Charnières et paumelles</w:t>
        </w:r>
      </w:hyperlink>
    </w:p>
    <w:p w14:paraId="23CAC4EF" w14:textId="77777777" w:rsidR="00772179" w:rsidRDefault="00000000">
      <w:pPr>
        <w:pStyle w:val="Author-eListParagraph"/>
        <w:numPr>
          <w:ilvl w:val="0"/>
          <w:numId w:val="81"/>
        </w:numPr>
      </w:pPr>
      <w:r>
        <w:t>Cfr. Article </w:t>
      </w:r>
      <w:hyperlink w:anchor="882" w:history="1">
        <w:r>
          <w:rPr>
            <w:color w:val="0000EE"/>
          </w:rPr>
          <w:t>41.72.3a Poignées</w:t>
        </w:r>
      </w:hyperlink>
    </w:p>
    <w:p w14:paraId="34F1BDD8" w14:textId="77777777" w:rsidR="00772179" w:rsidRDefault="00000000">
      <w:pPr>
        <w:jc w:val="both"/>
      </w:pPr>
      <w:r>
        <w:rPr>
          <w:u w:val="single"/>
        </w:rPr>
        <w:t>Fenêtres coulissantes :</w:t>
      </w:r>
    </w:p>
    <w:p w14:paraId="390CEA13"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 </w:t>
      </w:r>
    </w:p>
    <w:p w14:paraId="3F7CB63E" w14:textId="77777777" w:rsidR="00772179" w:rsidRDefault="00000000">
      <w:pPr>
        <w:jc w:val="both"/>
      </w:pPr>
      <w:r>
        <w:t>Quincailleries : </w:t>
      </w:r>
      <w:r>
        <w:rPr>
          <w:rStyle w:val="optioncarChar"/>
        </w:rPr>
        <w:t>conformes à la documentation technique du produit</w:t>
      </w:r>
      <w:r>
        <w:t> (par défaut) </w:t>
      </w:r>
      <w:r>
        <w:rPr>
          <w:rStyle w:val="optioncarChar"/>
        </w:rPr>
        <w:t>/ ***.</w:t>
      </w:r>
    </w:p>
    <w:p w14:paraId="2E682C1C" w14:textId="77777777" w:rsidR="00772179" w:rsidRDefault="00000000">
      <w:pPr>
        <w:pStyle w:val="Author-eListParagraph"/>
        <w:numPr>
          <w:ilvl w:val="0"/>
          <w:numId w:val="82"/>
        </w:numPr>
      </w:pPr>
      <w:r>
        <w:t>Cfr. Article </w:t>
      </w:r>
      <w:hyperlink w:anchor="881" w:history="1">
        <w:r>
          <w:rPr>
            <w:color w:val="0000EE"/>
          </w:rPr>
          <w:t>41.72.1a Charnières et paumelles</w:t>
        </w:r>
      </w:hyperlink>
    </w:p>
    <w:p w14:paraId="6D7101DD" w14:textId="77777777" w:rsidR="00772179" w:rsidRDefault="00000000">
      <w:pPr>
        <w:pStyle w:val="Author-eListParagraph"/>
        <w:numPr>
          <w:ilvl w:val="0"/>
          <w:numId w:val="82"/>
        </w:numPr>
      </w:pPr>
      <w:r>
        <w:t>Cfr. Article </w:t>
      </w:r>
      <w:hyperlink w:anchor="882" w:history="1">
        <w:r>
          <w:rPr>
            <w:color w:val="0000EE"/>
          </w:rPr>
          <w:t>41.72.3a Poignées</w:t>
        </w:r>
      </w:hyperlink>
    </w:p>
    <w:p w14:paraId="2361775E" w14:textId="77777777" w:rsidR="00772179" w:rsidRDefault="00000000">
      <w:pPr>
        <w:jc w:val="both"/>
      </w:pPr>
      <w:r>
        <w:rPr>
          <w:u w:val="single"/>
        </w:rPr>
        <w:t>Fenêtres levantes-coulissantes :</w:t>
      </w:r>
    </w:p>
    <w:p w14:paraId="6D2D2331"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 </w:t>
      </w:r>
    </w:p>
    <w:p w14:paraId="77AC0B07" w14:textId="77777777" w:rsidR="00772179" w:rsidRDefault="00000000">
      <w:pPr>
        <w:jc w:val="both"/>
      </w:pPr>
      <w:r>
        <w:t>Quincailleries : </w:t>
      </w:r>
      <w:r>
        <w:rPr>
          <w:rStyle w:val="optioncarChar"/>
        </w:rPr>
        <w:t>conformes à la documentation technique du produit</w:t>
      </w:r>
      <w:r>
        <w:t> (par défaut) </w:t>
      </w:r>
      <w:r>
        <w:rPr>
          <w:rStyle w:val="optioncarChar"/>
        </w:rPr>
        <w:t>/ ***.</w:t>
      </w:r>
    </w:p>
    <w:p w14:paraId="1E30120B" w14:textId="77777777" w:rsidR="00772179" w:rsidRDefault="00000000">
      <w:pPr>
        <w:pStyle w:val="Author-eListParagraph"/>
        <w:numPr>
          <w:ilvl w:val="0"/>
          <w:numId w:val="83"/>
        </w:numPr>
      </w:pPr>
      <w:r>
        <w:t>Cfr. Article </w:t>
      </w:r>
      <w:hyperlink w:anchor="881" w:history="1">
        <w:r>
          <w:rPr>
            <w:color w:val="0000EE"/>
          </w:rPr>
          <w:t>41.72.1a Charnières et paumelles</w:t>
        </w:r>
      </w:hyperlink>
    </w:p>
    <w:p w14:paraId="3530E545" w14:textId="77777777" w:rsidR="00772179" w:rsidRDefault="00000000">
      <w:pPr>
        <w:pStyle w:val="Author-eListParagraph"/>
        <w:numPr>
          <w:ilvl w:val="0"/>
          <w:numId w:val="83"/>
        </w:numPr>
      </w:pPr>
      <w:r>
        <w:t>Cfr. Article </w:t>
      </w:r>
      <w:hyperlink w:anchor="882" w:history="1">
        <w:r>
          <w:rPr>
            <w:color w:val="0000EE"/>
          </w:rPr>
          <w:t>41.72.3a Poignées</w:t>
        </w:r>
      </w:hyperlink>
    </w:p>
    <w:p w14:paraId="2FD86787" w14:textId="77777777" w:rsidR="00772179" w:rsidRDefault="00000000">
      <w:pPr>
        <w:jc w:val="both"/>
      </w:pPr>
      <w:r>
        <w:rPr>
          <w:u w:val="single"/>
        </w:rPr>
        <w:t>Fenêtres obliques / inclinées :</w:t>
      </w:r>
    </w:p>
    <w:p w14:paraId="1C086942"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 </w:t>
      </w:r>
    </w:p>
    <w:p w14:paraId="09BAB9D5" w14:textId="77777777" w:rsidR="00772179" w:rsidRDefault="00000000">
      <w:pPr>
        <w:jc w:val="both"/>
      </w:pPr>
      <w:r>
        <w:t>Quincailleries : </w:t>
      </w:r>
      <w:r>
        <w:rPr>
          <w:rStyle w:val="optioncarChar"/>
        </w:rPr>
        <w:t>conformes à la documentation technique du produit</w:t>
      </w:r>
      <w:r>
        <w:t> (par défaut) </w:t>
      </w:r>
      <w:r>
        <w:rPr>
          <w:rStyle w:val="optioncarChar"/>
        </w:rPr>
        <w:t>/ ***.</w:t>
      </w:r>
    </w:p>
    <w:p w14:paraId="5B77E456" w14:textId="77777777" w:rsidR="00772179" w:rsidRDefault="00000000">
      <w:pPr>
        <w:pStyle w:val="Author-eListParagraph"/>
        <w:numPr>
          <w:ilvl w:val="0"/>
          <w:numId w:val="84"/>
        </w:numPr>
      </w:pPr>
      <w:r>
        <w:t>Cfr. Article </w:t>
      </w:r>
      <w:hyperlink w:anchor="881" w:history="1">
        <w:r>
          <w:rPr>
            <w:color w:val="0000EE"/>
          </w:rPr>
          <w:t>41.72.1a Charnières et paumelles</w:t>
        </w:r>
      </w:hyperlink>
    </w:p>
    <w:p w14:paraId="217FADC8" w14:textId="77777777" w:rsidR="00772179" w:rsidRDefault="00000000">
      <w:pPr>
        <w:pStyle w:val="Author-eListParagraph"/>
        <w:numPr>
          <w:ilvl w:val="0"/>
          <w:numId w:val="84"/>
        </w:numPr>
      </w:pPr>
      <w:r>
        <w:t>Cfr. Article </w:t>
      </w:r>
      <w:hyperlink w:anchor="882" w:history="1">
        <w:r>
          <w:rPr>
            <w:color w:val="0000EE"/>
          </w:rPr>
          <w:t>41.72.3a Poignées</w:t>
        </w:r>
      </w:hyperlink>
    </w:p>
    <w:p w14:paraId="3A3A92C5" w14:textId="77777777" w:rsidR="00772179" w:rsidRDefault="00000000">
      <w:pPr>
        <w:jc w:val="both"/>
      </w:pPr>
      <w:r>
        <w:rPr>
          <w:u w:val="single"/>
        </w:rPr>
        <w:t>Ensembles de fenêtres composées :</w:t>
      </w:r>
    </w:p>
    <w:p w14:paraId="741D637C"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 </w:t>
      </w:r>
    </w:p>
    <w:p w14:paraId="267E76AC" w14:textId="77777777" w:rsidR="00772179" w:rsidRDefault="00000000">
      <w:pPr>
        <w:jc w:val="both"/>
      </w:pPr>
      <w:r>
        <w:t>Quincailleries : </w:t>
      </w:r>
      <w:r>
        <w:rPr>
          <w:rStyle w:val="optioncarChar"/>
        </w:rPr>
        <w:t>conformes à la documentation technique du produit</w:t>
      </w:r>
      <w:r>
        <w:t> (par défaut) </w:t>
      </w:r>
      <w:r>
        <w:rPr>
          <w:rStyle w:val="optioncarChar"/>
        </w:rPr>
        <w:t>/ ***.</w:t>
      </w:r>
    </w:p>
    <w:p w14:paraId="5C9B6A3E" w14:textId="77777777" w:rsidR="00772179" w:rsidRDefault="00000000">
      <w:pPr>
        <w:pStyle w:val="Author-eListParagraph"/>
        <w:numPr>
          <w:ilvl w:val="0"/>
          <w:numId w:val="85"/>
        </w:numPr>
      </w:pPr>
      <w:r>
        <w:t>Cfr. Article </w:t>
      </w:r>
      <w:hyperlink w:anchor="881" w:history="1">
        <w:r>
          <w:rPr>
            <w:color w:val="0000EE"/>
          </w:rPr>
          <w:t>41.72.1a Charnières et paumelles</w:t>
        </w:r>
      </w:hyperlink>
    </w:p>
    <w:p w14:paraId="5147AA7C" w14:textId="77777777" w:rsidR="00772179" w:rsidRDefault="00000000">
      <w:pPr>
        <w:pStyle w:val="Author-eListParagraph"/>
        <w:numPr>
          <w:ilvl w:val="0"/>
          <w:numId w:val="85"/>
        </w:numPr>
      </w:pPr>
      <w:r>
        <w:t>Cfr. Article </w:t>
      </w:r>
      <w:hyperlink w:anchor="882" w:history="1">
        <w:r>
          <w:rPr>
            <w:color w:val="0000EE"/>
          </w:rPr>
          <w:t>41.72.3a Poignées</w:t>
        </w:r>
      </w:hyperlink>
    </w:p>
    <w:p w14:paraId="45642858" w14:textId="77777777" w:rsidR="00772179" w:rsidRDefault="00000000">
      <w:pPr>
        <w:pStyle w:val="Author-eListParagraph"/>
        <w:numPr>
          <w:ilvl w:val="0"/>
          <w:numId w:val="86"/>
        </w:numPr>
      </w:pPr>
      <w:r>
        <w:lastRenderedPageBreak/>
        <w:t>Les ensembles de fenêtres composées sont constituées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en ensemble indéformable.</w:t>
      </w:r>
    </w:p>
    <w:p w14:paraId="2E6C94E2" w14:textId="77777777" w:rsidR="00772179" w:rsidRDefault="00000000">
      <w:pPr>
        <w:jc w:val="both"/>
      </w:pPr>
      <w:r>
        <w:rPr>
          <w:b/>
        </w:rPr>
        <w:t>Quincaillerie</w:t>
      </w:r>
    </w:p>
    <w:p w14:paraId="16985E92" w14:textId="77777777" w:rsidR="00772179" w:rsidRDefault="00000000">
      <w:pPr>
        <w:jc w:val="both"/>
      </w:pPr>
      <w:r>
        <w:t xml:space="preserve">La quincaillerie encastrée est </w:t>
      </w:r>
      <w:r>
        <w:rPr>
          <w:rStyle w:val="optioncarChar"/>
        </w:rPr>
        <w:t xml:space="preserve">galvanisée (≥ 19 µm) </w:t>
      </w:r>
      <w:r>
        <w:t>(par défaut)</w:t>
      </w:r>
      <w:r>
        <w:rPr>
          <w:rStyle w:val="optioncarChar"/>
        </w:rPr>
        <w:t xml:space="preserve"> / chromatée / synthétique / ***</w:t>
      </w:r>
      <w:r>
        <w:t xml:space="preserve"> et les différents constituants qui sont encastrés dans le profilé sont enduits, pendant l’encastrement, d’une épaisse couche de graisse pour roulements à billes. (Voir </w:t>
      </w:r>
      <w:hyperlink w:anchor="884" w:history="1">
        <w:r>
          <w:rPr>
            <w:color w:val="0000EE"/>
          </w:rPr>
          <w:t>41.72 Quincailleries</w:t>
        </w:r>
      </w:hyperlink>
      <w:r>
        <w:t>)</w:t>
      </w:r>
    </w:p>
    <w:p w14:paraId="6E70D0EA" w14:textId="77777777" w:rsidR="00772179" w:rsidRDefault="00000000">
      <w:pPr>
        <w:jc w:val="both"/>
      </w:pPr>
      <w:r>
        <w:t>La quincaillerie permet d’atteindre les performances définies ci-dessus et est conforme aux descriptions des essais initiaux pour le marquage de la fenêtre ou porte-fenêtre.</w:t>
      </w:r>
    </w:p>
    <w:p w14:paraId="790BA4F4" w14:textId="77777777" w:rsidR="00772179" w:rsidRDefault="00000000">
      <w:pPr>
        <w:jc w:val="both"/>
      </w:pPr>
      <w:r>
        <w:t xml:space="preserve">Les poignées et autres dispositifs d’aide à la manœuvre (notamment PMR) sont définis au </w:t>
      </w:r>
      <w:hyperlink w:anchor="886" w:history="1">
        <w:r>
          <w:rPr>
            <w:color w:val="0000EE"/>
          </w:rPr>
          <w:t>41.72.3 Poignées</w:t>
        </w:r>
      </w:hyperlink>
    </w:p>
    <w:p w14:paraId="4EC41FE6" w14:textId="77777777" w:rsidR="00772179" w:rsidRDefault="00000000">
      <w:pPr>
        <w:jc w:val="both"/>
      </w:pPr>
      <w:r>
        <w:rPr>
          <w:b/>
        </w:rPr>
        <w:t>Vitrages et panneaux de remplissage</w:t>
      </w:r>
    </w:p>
    <w:p w14:paraId="55088CC0" w14:textId="77777777" w:rsidR="00772179" w:rsidRDefault="00000000">
      <w:pPr>
        <w:jc w:val="both"/>
      </w:pPr>
      <w:r>
        <w:t xml:space="preserve">Voir </w:t>
      </w:r>
      <w:hyperlink w:anchor="852" w:history="1">
        <w:r>
          <w:rPr>
            <w:color w:val="0000EE"/>
          </w:rPr>
          <w:t>42 Vitrages extérieurs et éléments de remplissage</w:t>
        </w:r>
      </w:hyperlink>
    </w:p>
    <w:p w14:paraId="440C858E" w14:textId="77777777" w:rsidR="00772179" w:rsidRDefault="00000000">
      <w:pPr>
        <w:jc w:val="both"/>
      </w:pPr>
      <w:r>
        <w:rPr>
          <w:b/>
        </w:rPr>
        <w:t>Aspects environnementaux </w:t>
      </w:r>
    </w:p>
    <w:p w14:paraId="2F6C7054" w14:textId="77777777" w:rsidR="00772179" w:rsidRDefault="00000000">
      <w:pPr>
        <w:jc w:val="both"/>
      </w:pPr>
      <w:r>
        <w:t xml:space="preserve">Matériaux recyclés entrant dans la fabrication du produit : </w:t>
      </w:r>
      <w:r>
        <w:rPr>
          <w:rStyle w:val="optioncarChar"/>
        </w:rPr>
        <w:t>oui avec un taux de matériaux recyclés ≥ *** % / non  </w:t>
      </w:r>
    </w:p>
    <w:p w14:paraId="6E1E14E3" w14:textId="77777777" w:rsidR="00772179" w:rsidRDefault="00000000">
      <w:pPr>
        <w:pStyle w:val="pheading"/>
      </w:pPr>
      <w:r>
        <w:t>- Finitions</w:t>
      </w:r>
    </w:p>
    <w:p w14:paraId="13144885" w14:textId="77777777" w:rsidR="00772179" w:rsidRDefault="00000000">
      <w:pPr>
        <w:jc w:val="both"/>
      </w:pPr>
      <w:r>
        <w:t xml:space="preserve">Le traitement de finition des profils en aluminium est réalisé par </w:t>
      </w:r>
      <w:r>
        <w:rPr>
          <w:rStyle w:val="optioncarChar"/>
        </w:rPr>
        <w:t xml:space="preserve">thermolaquage par poudrage polyester </w:t>
      </w:r>
      <w:r>
        <w:t>(par défaut)</w:t>
      </w:r>
      <w:r>
        <w:rPr>
          <w:rStyle w:val="optioncarChar"/>
        </w:rPr>
        <w:t xml:space="preserve"> / anodisation / ***.</w:t>
      </w:r>
    </w:p>
    <w:p w14:paraId="0C2EDA21" w14:textId="77777777" w:rsidR="00772179" w:rsidRDefault="00000000">
      <w:pPr>
        <w:jc w:val="both"/>
      </w:pPr>
      <w:r>
        <w:rPr>
          <w:b/>
        </w:rPr>
        <w:t>(soit par défaut)</w:t>
      </w:r>
    </w:p>
    <w:p w14:paraId="7C72E639" w14:textId="77777777" w:rsidR="00772179" w:rsidRDefault="00000000">
      <w:pPr>
        <w:jc w:val="both"/>
      </w:pPr>
      <w:r>
        <w:rPr>
          <w:rStyle w:val="soitChar"/>
          <w:u w:val="single"/>
        </w:rPr>
        <w:t>Thermolaquage par poudrage polyester :</w:t>
      </w:r>
      <w:r>
        <w:rPr>
          <w:rStyle w:val="soitChar"/>
        </w:rPr>
        <w:t xml:space="preserve"> selon [Qualicoat] épaisseur ≥ 60 μm</w:t>
      </w:r>
    </w:p>
    <w:p w14:paraId="5EF7086C" w14:textId="77777777" w:rsidR="00772179" w:rsidRDefault="00000000">
      <w:pPr>
        <w:jc w:val="both"/>
      </w:pPr>
      <w:r>
        <w:rPr>
          <w:rStyle w:val="soitChar"/>
        </w:rPr>
        <w:t>Le procédé de finition par laquage sur aluminium est conforme à la norme [NBN EN 12206-1].</w:t>
      </w:r>
    </w:p>
    <w:p w14:paraId="460B10D8" w14:textId="77777777" w:rsidR="00772179" w:rsidRDefault="00000000">
      <w:pPr>
        <w:jc w:val="both"/>
      </w:pPr>
      <w:r>
        <w:rPr>
          <w:rStyle w:val="soitChar"/>
        </w:rPr>
        <w:t>Les couches de peinture résistent aux chocs et ne s’écaillent pas aux bords lors d’opérations mécaniques (forage, sciage, fraisage, poinçonnage, ...). Les échantillons de profilés nécessaires sont préalablement soumis à l’auteur de projet.</w:t>
      </w:r>
    </w:p>
    <w:p w14:paraId="319200BE" w14:textId="77777777" w:rsidR="00772179" w:rsidRDefault="00000000">
      <w:pPr>
        <w:jc w:val="both"/>
      </w:pPr>
      <w:r>
        <w:rPr>
          <w:rStyle w:val="soitChar"/>
        </w:rPr>
        <w:t xml:space="preserve">Domaine d’application :  </w:t>
      </w:r>
      <w:r>
        <w:rPr>
          <w:rStyle w:val="optioncarChar"/>
        </w:rPr>
        <w:t xml:space="preserve">classe 2 </w:t>
      </w:r>
      <w:r>
        <w:t>(par défaut)</w:t>
      </w:r>
      <w:r>
        <w:rPr>
          <w:rStyle w:val="optioncarChar"/>
        </w:rPr>
        <w:t xml:space="preserve"> / classe 3</w:t>
      </w:r>
    </w:p>
    <w:p w14:paraId="49333D6F" w14:textId="77777777" w:rsidR="00772179" w:rsidRDefault="00000000">
      <w:pPr>
        <w:ind w:left="567"/>
        <w:jc w:val="both"/>
      </w:pPr>
      <w:r>
        <w:rPr>
          <w:b/>
        </w:rPr>
        <w:t>(soit par défaut)</w:t>
      </w:r>
    </w:p>
    <w:p w14:paraId="4DC89EF2" w14:textId="77777777" w:rsidR="00772179" w:rsidRDefault="00000000">
      <w:pPr>
        <w:ind w:left="567"/>
        <w:jc w:val="both"/>
      </w:pPr>
      <w:r>
        <w:rPr>
          <w:rStyle w:val="soitChar"/>
          <w:u w:val="single"/>
        </w:rPr>
        <w:t>Classe 2</w:t>
      </w:r>
      <w:r>
        <w:rPr>
          <w:rStyle w:val="soitChar"/>
        </w:rPr>
        <w:t xml:space="preserve">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180 ≤ T°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248678AA" w14:textId="77777777" w:rsidR="00772179" w:rsidRDefault="00000000">
      <w:pPr>
        <w:ind w:left="567"/>
        <w:jc w:val="both"/>
      </w:pPr>
      <w:r>
        <w:rPr>
          <w:b/>
        </w:rPr>
        <w:t>(soit)</w:t>
      </w:r>
    </w:p>
    <w:p w14:paraId="55CFE7ED" w14:textId="77777777" w:rsidR="00772179" w:rsidRDefault="00000000">
      <w:pPr>
        <w:ind w:left="567"/>
        <w:jc w:val="both"/>
      </w:pPr>
      <w:r>
        <w:rPr>
          <w:rStyle w:val="soitChar"/>
          <w:u w:val="single"/>
        </w:rPr>
        <w:t>Classe 3</w:t>
      </w:r>
      <w:r>
        <w:rPr>
          <w:rStyle w:val="soitChar"/>
        </w:rPr>
        <w:t xml:space="preserve"> – Des circonstances agressives - charge agressive.</w:t>
      </w:r>
    </w:p>
    <w:p w14:paraId="24014498" w14:textId="77777777" w:rsidR="00772179" w:rsidRDefault="00000000">
      <w:pPr>
        <w:ind w:left="567"/>
        <w:jc w:val="both"/>
      </w:pPr>
      <w:r>
        <w:rPr>
          <w:rStyle w:val="soitChar"/>
        </w:rPr>
        <w:t>Des circonstances agressives sont entre autres : Zones de trafic ferroviaire (tram ou train), de retombées de chlorure (régions côtières jusqu’à 10 km et à proximité des piscines, des régions urbaines ou industrielles).</w:t>
      </w:r>
    </w:p>
    <w:p w14:paraId="5FB1385C" w14:textId="77777777" w:rsidR="00772179" w:rsidRDefault="00000000">
      <w:pPr>
        <w:ind w:left="567"/>
        <w:jc w:val="both"/>
      </w:pPr>
      <w:r>
        <w:rPr>
          <w:rStyle w:val="soitChar"/>
        </w:rPr>
        <w:t xml:space="preserve">Après le dégraissage, le décapage mat, le rinçage et la neutralisation, les profilés subissent une couche de pré-anodisation (hydrolyse dans un bain d’acide sulfurique dilué) avec une épaisseur de couche comprise entre 3 et 8 μm. Après le nettoyage, les pores de la couche </w:t>
      </w:r>
      <w:r>
        <w:rPr>
          <w:rStyle w:val="soitChar"/>
        </w:rPr>
        <w:lastRenderedPageBreak/>
        <w:t>d’anodisation ne sont pas complètement obturés (3 minutes / μm) pour permettre une bonne adhérence de la couche de peinture. Ensuite, le matériel est manipulé avec des gants afin d’éviter les taches de graisse.</w:t>
      </w:r>
    </w:p>
    <w:p w14:paraId="2CCC03A8" w14:textId="77777777" w:rsidR="00772179" w:rsidRDefault="00000000">
      <w:pPr>
        <w:ind w:left="567"/>
        <w:jc w:val="both"/>
      </w:pPr>
      <w:r>
        <w:rPr>
          <w:rStyle w:val="soitChar"/>
        </w:rPr>
        <w:t>Maximum 24 heures après le rinçage et le séchage, les profilés sont pourvus d’un revêtement poudreux électrostatique à base de polyester et sont polymérisés dans un four d’émaillage à une température comprise entre les 180 - 200 °C.</w:t>
      </w:r>
    </w:p>
    <w:p w14:paraId="29B4FC87" w14:textId="77777777" w:rsidR="00772179" w:rsidRDefault="00000000">
      <w:pPr>
        <w:pStyle w:val="Author-eListParagraph"/>
        <w:numPr>
          <w:ilvl w:val="0"/>
          <w:numId w:val="87"/>
        </w:numPr>
      </w:pPr>
      <w:r>
        <w:rPr>
          <w:rStyle w:val="soitChar"/>
        </w:rPr>
        <w:t xml:space="preserve">Couleur : </w:t>
      </w:r>
      <w:r>
        <w:rPr>
          <w:rStyle w:val="optioncarChar"/>
        </w:rPr>
        <w:t>libre choix dans la gamme standard du fabricant</w:t>
      </w:r>
      <w:r>
        <w:t xml:space="preserve"> (par défaut)</w:t>
      </w:r>
      <w:r>
        <w:rPr>
          <w:rStyle w:val="optioncarChar"/>
        </w:rPr>
        <w:t xml:space="preserve"> / couleur RAL : ***</w:t>
      </w:r>
    </w:p>
    <w:p w14:paraId="1F489F3C" w14:textId="77777777" w:rsidR="00772179" w:rsidRDefault="00000000">
      <w:pPr>
        <w:pStyle w:val="Author-eListParagraph"/>
        <w:numPr>
          <w:ilvl w:val="0"/>
          <w:numId w:val="87"/>
        </w:numPr>
      </w:pPr>
      <w:r>
        <w:rPr>
          <w:rStyle w:val="soitChar"/>
        </w:rPr>
        <w:t xml:space="preserve">Degré de brillance : </w:t>
      </w:r>
      <w:r>
        <w:rPr>
          <w:rStyle w:val="optioncarChar"/>
        </w:rPr>
        <w:t>30</w:t>
      </w:r>
      <w:r>
        <w:t xml:space="preserve"> (par défaut)</w:t>
      </w:r>
      <w:r>
        <w:rPr>
          <w:rStyle w:val="optioncarChar"/>
        </w:rPr>
        <w:t xml:space="preserve"> / 70 / 90 / ***</w:t>
      </w:r>
      <w:r>
        <w:rPr>
          <w:rStyle w:val="soitChar"/>
        </w:rPr>
        <w:t xml:space="preserve"> % sous un angle de 60 °.</w:t>
      </w:r>
    </w:p>
    <w:p w14:paraId="4011929E" w14:textId="77777777" w:rsidR="00772179" w:rsidRDefault="00000000">
      <w:pPr>
        <w:pStyle w:val="Author-eListParagraph"/>
        <w:numPr>
          <w:ilvl w:val="0"/>
          <w:numId w:val="87"/>
        </w:numPr>
      </w:pPr>
      <w:r>
        <w:rPr>
          <w:rStyle w:val="soitChar"/>
        </w:rPr>
        <w:t xml:space="preserve">Finition :  </w:t>
      </w:r>
      <w:r>
        <w:rPr>
          <w:rStyle w:val="optioncarChar"/>
        </w:rPr>
        <w:t>mat</w:t>
      </w:r>
      <w:r>
        <w:t xml:space="preserve"> (par défaut)</w:t>
      </w:r>
      <w:r>
        <w:rPr>
          <w:rStyle w:val="optioncarChar"/>
        </w:rPr>
        <w:t xml:space="preserve"> / métallisée / ***.</w:t>
      </w:r>
    </w:p>
    <w:p w14:paraId="7D329EB9" w14:textId="77777777" w:rsidR="00772179" w:rsidRDefault="00000000">
      <w:pPr>
        <w:jc w:val="both"/>
      </w:pPr>
      <w:r>
        <w:rPr>
          <w:b/>
        </w:rPr>
        <w:t>(soit)</w:t>
      </w:r>
    </w:p>
    <w:p w14:paraId="1A000B8E" w14:textId="77777777" w:rsidR="00772179" w:rsidRDefault="00000000">
      <w:pPr>
        <w:jc w:val="both"/>
      </w:pPr>
      <w:r>
        <w:rPr>
          <w:rStyle w:val="soitChar"/>
          <w:u w:val="single"/>
        </w:rPr>
        <w:t>Anodisation :</w:t>
      </w:r>
      <w:r>
        <w:rPr>
          <w:rStyle w:val="soitChar"/>
        </w:rPr>
        <w:t xml:space="preserve"> selon [Qualanod]</w:t>
      </w:r>
    </w:p>
    <w:p w14:paraId="0EC8133E" w14:textId="77777777" w:rsidR="00772179" w:rsidRDefault="00000000">
      <w:pPr>
        <w:jc w:val="both"/>
      </w:pPr>
      <w:r>
        <w:rPr>
          <w:rStyle w:val="soitChar"/>
        </w:rPr>
        <w:t>Après le traitement préliminaire et avant l’oxydation anodique pour l’aluminium, les profilés sont dégraissés et décapés. La couche d’oxyde est parfaitement étanche (sans porosité) et recouvre la totalité des pièces. La couche d’oxyde est étanche à l’eau par colmatage dans un bain d’eau bouillante. L’entreprise chargée de l’anodisation prouve la qualité et la durabilité de la finition. La qualité est contrôlée par des essais suivant la procédure prévue dans le label.</w:t>
      </w:r>
    </w:p>
    <w:p w14:paraId="2C96DE08" w14:textId="77777777" w:rsidR="00772179" w:rsidRDefault="00000000">
      <w:pPr>
        <w:pStyle w:val="Author-eListParagraph"/>
        <w:numPr>
          <w:ilvl w:val="0"/>
          <w:numId w:val="88"/>
        </w:numPr>
        <w:jc w:val="both"/>
      </w:pPr>
      <w:r>
        <w:rPr>
          <w:rStyle w:val="soitChar"/>
        </w:rPr>
        <w:t xml:space="preserve">Couleur : </w:t>
      </w:r>
      <w:r>
        <w:rPr>
          <w:rStyle w:val="optioncarChar"/>
        </w:rPr>
        <w:t xml:space="preserve">naturelle </w:t>
      </w:r>
      <w:r>
        <w:t>(par défaut)</w:t>
      </w:r>
      <w:r>
        <w:rPr>
          <w:rStyle w:val="optioncarChar"/>
        </w:rPr>
        <w:t xml:space="preserve"> / noir / bronze / ***</w:t>
      </w:r>
    </w:p>
    <w:p w14:paraId="32D0AEB3" w14:textId="77777777" w:rsidR="00772179" w:rsidRDefault="00000000">
      <w:pPr>
        <w:pStyle w:val="Author-eListParagraph"/>
        <w:numPr>
          <w:ilvl w:val="0"/>
          <w:numId w:val="88"/>
        </w:numPr>
        <w:jc w:val="both"/>
      </w:pPr>
      <w:r>
        <w:rPr>
          <w:rStyle w:val="soitChar"/>
        </w:rPr>
        <w:t xml:space="preserve">Finition : Le traitement préliminaire et la protection de la menuiserie répondent aux spécifications [STS 52.2] et sont conformes </w:t>
      </w:r>
      <w:r>
        <w:rPr>
          <w:rStyle w:val="optioncarChar"/>
        </w:rPr>
        <w:t xml:space="preserve">au mode AO - Non poli avec traitement anodique </w:t>
      </w:r>
      <w:r>
        <w:t xml:space="preserve">(par défaut) </w:t>
      </w:r>
      <w:r>
        <w:rPr>
          <w:rStyle w:val="optioncarChar"/>
        </w:rPr>
        <w:t>/ au mode BO - Semi-poli avec traitement anodique (satiné) / au mode CO - Complètement poli avec traitement anodique (brillant) / ***</w:t>
      </w:r>
      <w:r>
        <w:rPr>
          <w:rStyle w:val="soitChar"/>
        </w:rPr>
        <w:t>.</w:t>
      </w:r>
    </w:p>
    <w:p w14:paraId="0ACAE20C" w14:textId="77777777" w:rsidR="00772179" w:rsidRDefault="00000000">
      <w:pPr>
        <w:pStyle w:val="Author-eListParagraph"/>
        <w:numPr>
          <w:ilvl w:val="0"/>
          <w:numId w:val="88"/>
        </w:numPr>
        <w:jc w:val="both"/>
      </w:pPr>
      <w:r>
        <w:rPr>
          <w:rStyle w:val="soitChar"/>
        </w:rPr>
        <w:t>Epaisseur de la couche d’oxyde : Catégorie</w:t>
      </w:r>
      <w:r>
        <w:rPr>
          <w:rStyle w:val="optioncarChar"/>
        </w:rPr>
        <w:t xml:space="preserve"> AA15 (15 μm) </w:t>
      </w:r>
      <w:r>
        <w:t>(par défaut)</w:t>
      </w:r>
      <w:r>
        <w:rPr>
          <w:rStyle w:val="optioncarChar"/>
        </w:rPr>
        <w:t xml:space="preserve"> / AA 20 (20 μm) / AA25 (25 μm) / *** μm</w:t>
      </w:r>
      <w:r>
        <w:rPr>
          <w:rStyle w:val="soitChar"/>
        </w:rPr>
        <w:t xml:space="preserve"> conformément aux spécifications de la [NBN B 25-002-4] et selon la norme [NBN EN ISO 7599]</w:t>
      </w:r>
    </w:p>
    <w:p w14:paraId="244E91BF" w14:textId="77777777" w:rsidR="00772179" w:rsidRDefault="00000000">
      <w:pPr>
        <w:jc w:val="both"/>
      </w:pPr>
      <w:r>
        <w:rPr>
          <w:b/>
        </w:rPr>
        <w:t>(soit)</w:t>
      </w:r>
    </w:p>
    <w:p w14:paraId="753A0661" w14:textId="77777777" w:rsidR="00772179" w:rsidRDefault="00000000">
      <w:pPr>
        <w:jc w:val="both"/>
      </w:pPr>
      <w:r>
        <w:rPr>
          <w:rStyle w:val="optioncarChar"/>
        </w:rPr>
        <w:t>***</w:t>
      </w:r>
    </w:p>
    <w:p w14:paraId="4E13A7B5" w14:textId="77777777" w:rsidR="00772179" w:rsidRDefault="00000000">
      <w:pPr>
        <w:pStyle w:val="pheading"/>
      </w:pPr>
      <w:r>
        <w:t>EXÉCUTION / MISE EN ŒUVRE</w:t>
      </w:r>
    </w:p>
    <w:p w14:paraId="631596F4" w14:textId="77777777" w:rsidR="00772179" w:rsidRDefault="00000000">
      <w:pPr>
        <w:pStyle w:val="pheading"/>
      </w:pPr>
      <w:r>
        <w:t>- Prescriptions générales</w:t>
      </w:r>
    </w:p>
    <w:p w14:paraId="4E4D046D" w14:textId="77777777" w:rsidR="00772179" w:rsidRDefault="00000000">
      <w:pPr>
        <w:jc w:val="both"/>
      </w:pPr>
      <w:r>
        <w:t>Pour la continuité de l’étanchéité à l’air, le resserrage est muni d’un </w:t>
      </w:r>
      <w:r>
        <w:rPr>
          <w:rStyle w:val="optioncarChar"/>
        </w:rPr>
        <w:t>kit de mastic</w:t>
      </w:r>
      <w:r>
        <w:t xml:space="preserve"> (par défaut) </w:t>
      </w:r>
      <w:r>
        <w:rPr>
          <w:rStyle w:val="optioncarChar"/>
        </w:rPr>
        <w:t>/ membrane / profilé de resserrage / ***.</w:t>
      </w:r>
    </w:p>
    <w:p w14:paraId="7BAFB81D" w14:textId="77777777" w:rsidR="00772179" w:rsidRDefault="00000000">
      <w:pPr>
        <w:jc w:val="both"/>
      </w:pPr>
      <w:r>
        <w:t>Pour la continuité de l’isolation acoustique le resserrage est muni d’une</w:t>
      </w:r>
      <w:r>
        <w:rPr>
          <w:rStyle w:val="optioncarChar"/>
        </w:rPr>
        <w:t> laine de roche</w:t>
      </w:r>
      <w:r>
        <w:t xml:space="preserve"> (par défaut) </w:t>
      </w:r>
      <w:r>
        <w:rPr>
          <w:rStyle w:val="optioncarChar"/>
        </w:rPr>
        <w:t>/ mousse acoustique / plaque massive / ***.</w:t>
      </w:r>
    </w:p>
    <w:p w14:paraId="1F372DAB" w14:textId="77777777" w:rsidR="00772179" w:rsidRDefault="00000000">
      <w:pPr>
        <w:pStyle w:val="pheading"/>
      </w:pPr>
      <w:r>
        <w:t>- Échantillons</w:t>
      </w:r>
    </w:p>
    <w:p w14:paraId="22DFB9C9" w14:textId="77777777" w:rsidR="00772179" w:rsidRDefault="00000000">
      <w:pPr>
        <w:jc w:val="both"/>
      </w:pPr>
      <w:r>
        <w:t>L’entrepreneur soumet un échantillon des profils et des finitions qu’il propose à l’approbation de la direction du chantier.</w:t>
      </w:r>
    </w:p>
    <w:p w14:paraId="7BE7247D" w14:textId="77777777" w:rsidR="00772179" w:rsidRDefault="00000000">
      <w:pPr>
        <w:pStyle w:val="pheading"/>
      </w:pPr>
      <w:r>
        <w:t>DOCUMENTS DE RÉFÉRENCE COMPLÉMENTAIRES</w:t>
      </w:r>
    </w:p>
    <w:p w14:paraId="6D6FD2C2" w14:textId="77777777" w:rsidR="00772179" w:rsidRDefault="00000000">
      <w:pPr>
        <w:pStyle w:val="pheading"/>
      </w:pPr>
      <w:r>
        <w:t>- Matériau</w:t>
      </w:r>
    </w:p>
    <w:p w14:paraId="75F54659" w14:textId="77777777" w:rsidR="00772179" w:rsidRDefault="00000000">
      <w:r>
        <w:t>[NIT 283, La pose des menuiseries extérieures. Partie 1 : aspects généraux.]</w:t>
      </w:r>
    </w:p>
    <w:p w14:paraId="5D98B77F" w14:textId="77777777" w:rsidR="00772179" w:rsidRDefault="00000000">
      <w:pPr>
        <w:pStyle w:val="pheading"/>
      </w:pPr>
      <w:r>
        <w:t>- Exécution</w:t>
      </w:r>
    </w:p>
    <w:p w14:paraId="46C46405" w14:textId="77777777" w:rsidR="00772179" w:rsidRDefault="00000000">
      <w:r>
        <w:t>[NIT 288, La pose des menuiseries extérieures Partie 3 : mise en œuvre de châssis en aluminium et en PVC dans des murs creux]</w:t>
      </w:r>
    </w:p>
    <w:p w14:paraId="773DE855" w14:textId="77777777" w:rsidR="00772179" w:rsidRDefault="00000000">
      <w:r>
        <w:t>[NIT 283, La pose des menuiseries extérieures. Partie 1 : aspects généraux.]</w:t>
      </w:r>
    </w:p>
    <w:p w14:paraId="1D0700E3" w14:textId="77777777" w:rsidR="00772179" w:rsidRDefault="00000000">
      <w:pPr>
        <w:pStyle w:val="pheading"/>
      </w:pPr>
      <w:r>
        <w:t>MESURAGE</w:t>
      </w:r>
    </w:p>
    <w:p w14:paraId="30B9CF9F" w14:textId="77777777" w:rsidR="00772179" w:rsidRDefault="00000000">
      <w:pPr>
        <w:pStyle w:val="pheading"/>
      </w:pPr>
      <w:r>
        <w:t>- unité de mesure:</w:t>
      </w:r>
    </w:p>
    <w:p w14:paraId="635EC15B" w14:textId="77777777" w:rsidR="00772179" w:rsidRDefault="00000000">
      <w:r>
        <w:rPr>
          <w:rStyle w:val="optioncarChar"/>
        </w:rPr>
        <w:lastRenderedPageBreak/>
        <w:t xml:space="preserve">m² </w:t>
      </w:r>
      <w:r>
        <w:t>(par défaut)</w:t>
      </w:r>
      <w:r>
        <w:rPr>
          <w:rStyle w:val="optioncarChar"/>
        </w:rPr>
        <w:t xml:space="preserve"> / pc</w:t>
      </w:r>
    </w:p>
    <w:p w14:paraId="452C9B8C" w14:textId="77777777" w:rsidR="00772179" w:rsidRDefault="00000000">
      <w:r>
        <w:rPr>
          <w:b/>
        </w:rPr>
        <w:t>(soit par défaut )</w:t>
      </w:r>
      <w:r>
        <w:br/>
      </w:r>
      <w:r>
        <w:rPr>
          <w:rStyle w:val="soitChar"/>
        </w:rPr>
        <w:t>1. m²</w:t>
      </w:r>
      <w:r>
        <w:br/>
      </w:r>
      <w:r>
        <w:rPr>
          <w:b/>
        </w:rPr>
        <w:t>(soit)</w:t>
      </w:r>
      <w:r>
        <w:br/>
      </w:r>
      <w:r>
        <w:rPr>
          <w:rStyle w:val="soitChar"/>
        </w:rPr>
        <w:t>2. pc</w:t>
      </w:r>
    </w:p>
    <w:p w14:paraId="5B581B61" w14:textId="77777777" w:rsidR="00772179" w:rsidRDefault="00000000">
      <w:pPr>
        <w:pStyle w:val="pheading"/>
      </w:pPr>
      <w:r>
        <w:t>- code de mesurage:</w:t>
      </w:r>
    </w:p>
    <w:p w14:paraId="5E1F4A0E" w14:textId="77777777" w:rsidR="00772179" w:rsidRDefault="00000000">
      <w:pPr>
        <w:jc w:val="both"/>
      </w:pPr>
      <w:r>
        <w:rPr>
          <w:rStyle w:val="optioncarChar"/>
        </w:rPr>
        <w:t>Surface nette</w:t>
      </w:r>
      <w:r>
        <w:t xml:space="preserve"> (par défaut)</w:t>
      </w:r>
      <w:r>
        <w:rPr>
          <w:rStyle w:val="optioncarChar"/>
        </w:rPr>
        <w:t xml:space="preserve"> / Quantité nette</w:t>
      </w:r>
    </w:p>
    <w:p w14:paraId="7168D18D" w14:textId="77777777" w:rsidR="00772179" w:rsidRDefault="00000000">
      <w:pPr>
        <w:jc w:val="both"/>
      </w:pPr>
      <w:r>
        <w:rPr>
          <w:b/>
        </w:rPr>
        <w:t>(soit par défaut)</w:t>
      </w:r>
    </w:p>
    <w:p w14:paraId="5D3BFF96" w14:textId="77777777" w:rsidR="00772179" w:rsidRDefault="00000000">
      <w:pPr>
        <w:jc w:val="both"/>
      </w:pPr>
      <w:r>
        <w:rPr>
          <w:rStyle w:val="soitChar"/>
        </w:rPr>
        <w:t xml:space="preserve">1. </w:t>
      </w:r>
      <w:r>
        <w:rPr>
          <w:rStyle w:val="soitChar"/>
          <w:u w:val="single"/>
        </w:rPr>
        <w:t>Surface nette</w:t>
      </w:r>
      <w:r>
        <w:rPr>
          <w:rStyle w:val="soitChar"/>
        </w:rPr>
        <w:t xml:space="preserve"> en développement des dimensions dans l'œuvre (le cas échéant, ventilé selon le type ou le modèle conformément aux indications dans le métré récapitulatif annexé au dossier de mise en concurrence. Les différents types à distinguer éventuellement sont les fenêtres fixes, les fenêtres et portes-fenêtres oscillo-battantes, etc…</w:t>
      </w:r>
    </w:p>
    <w:p w14:paraId="61C916F3" w14:textId="77777777" w:rsidR="00772179" w:rsidRDefault="00000000">
      <w:pPr>
        <w:jc w:val="both"/>
      </w:pPr>
      <w:r>
        <w:rPr>
          <w:b/>
        </w:rPr>
        <w:t>(soit)</w:t>
      </w:r>
    </w:p>
    <w:p w14:paraId="7A8252F9" w14:textId="77777777" w:rsidR="00772179" w:rsidRDefault="00000000">
      <w:pPr>
        <w:jc w:val="both"/>
      </w:pPr>
      <w:r>
        <w:rPr>
          <w:rStyle w:val="soitChar"/>
        </w:rPr>
        <w:t xml:space="preserve">2. </w:t>
      </w:r>
      <w:r>
        <w:rPr>
          <w:rStyle w:val="soitChar"/>
          <w:u w:val="single"/>
        </w:rPr>
        <w:t>Quantité nette</w:t>
      </w:r>
      <w:r>
        <w:rPr>
          <w:rStyle w:val="soitChar"/>
        </w:rPr>
        <w:t xml:space="preserve"> suivant dimensions dans l’œuvre. Les châssis composés de plusieurs éléments sont ventilés par élément complets dans le métré récapitulatif. Les profils intermédiaires et autres intercalaires ne sont pas comptés séparément et sont compris dans le prix unitaire des ensembles respectifs.</w:t>
      </w:r>
    </w:p>
    <w:p w14:paraId="74B60D78" w14:textId="77777777" w:rsidR="00772179" w:rsidRDefault="00000000">
      <w:pPr>
        <w:pStyle w:val="pheading"/>
      </w:pPr>
      <w:r>
        <w:t>- nature du marché:</w:t>
      </w:r>
    </w:p>
    <w:p w14:paraId="072FADE8" w14:textId="77777777" w:rsidR="00772179" w:rsidRDefault="00000000">
      <w:r>
        <w:t>1.2. QF</w:t>
      </w:r>
    </w:p>
    <w:p w14:paraId="4B2F53C1" w14:textId="77777777" w:rsidR="00772179" w:rsidRDefault="00000000">
      <w:pPr>
        <w:pStyle w:val="Author-eSectionHeading4Numberless"/>
      </w:pPr>
      <w:bookmarkStart w:id="31" w:name="_Toc220489787"/>
      <w:r>
        <w:t>41.13 Fenêtres et portes-fenêtres en acier CCTB 01.11</w:t>
      </w:r>
      <w:bookmarkEnd w:id="31"/>
    </w:p>
    <w:p w14:paraId="71ACEEF9" w14:textId="77777777" w:rsidR="00772179" w:rsidRDefault="00000000">
      <w:pPr>
        <w:pStyle w:val="pheading"/>
      </w:pPr>
      <w:bookmarkStart w:id="32" w:name="934"/>
      <w:bookmarkEnd w:id="32"/>
      <w:r>
        <w:t>DESCRIPTION</w:t>
      </w:r>
    </w:p>
    <w:p w14:paraId="1258BAD3" w14:textId="77777777" w:rsidR="00772179" w:rsidRDefault="00000000">
      <w:pPr>
        <w:pStyle w:val="pheading"/>
      </w:pPr>
      <w:r>
        <w:t>- Définition / Comprend</w:t>
      </w:r>
    </w:p>
    <w:p w14:paraId="7103E792" w14:textId="77777777" w:rsidR="00772179" w:rsidRDefault="00000000">
      <w:r>
        <w:t>Les portes et fenêtres extérieures sont considérées comme menuiserie en acier lorsque seul le matériau "acier" assure la résistance mécanique des éléments de construction. Les autres revêtements de la face extérieure ne changent rien au fait que ces éléments appartiennent à la menuiserie en acier.</w:t>
      </w:r>
    </w:p>
    <w:p w14:paraId="3DD7D1B6" w14:textId="77777777" w:rsidR="00772179" w:rsidRDefault="00000000">
      <w:pPr>
        <w:pStyle w:val="pheading"/>
      </w:pPr>
      <w:r>
        <w:t>MATÉRIAUX</w:t>
      </w:r>
    </w:p>
    <w:p w14:paraId="1B950EC2" w14:textId="77777777" w:rsidR="00772179" w:rsidRDefault="00000000">
      <w:r>
        <w:t>Les profils des portes et fenêtres sont des profils tubulaires en acier non traité laminés à froid, exempts de défauts de laminage, de compression ou de coulage et sans soudures extérieures visibles.</w:t>
      </w:r>
    </w:p>
    <w:p w14:paraId="4063E192" w14:textId="77777777" w:rsidR="00772179" w:rsidRDefault="00000000">
      <w:r>
        <w:t>Alliage : acier A 37 SC (soudé).  </w:t>
      </w:r>
    </w:p>
    <w:p w14:paraId="52D1879D" w14:textId="77777777" w:rsidR="00772179" w:rsidRDefault="00000000">
      <w:r>
        <w:rPr>
          <w:color w:val="969696"/>
        </w:rPr>
        <w:t>Profils - Fabrication : </w:t>
      </w:r>
      <w:r>
        <w:t>Pour l'usinage, le traitement et la pose des profils préformés, il y a lieu de tenir compte des prescriptions du fabricant.</w:t>
      </w:r>
    </w:p>
    <w:p w14:paraId="4B4C6940" w14:textId="77777777" w:rsidR="00772179" w:rsidRDefault="00000000">
      <w:r>
        <w:rPr>
          <w:color w:val="969696"/>
        </w:rPr>
        <w:t>Calcu</w:t>
      </w:r>
      <w:r>
        <w:t>l des profils</w:t>
      </w:r>
      <w:r>
        <w:rPr>
          <w:color w:val="969696"/>
        </w:rPr>
        <w:t> : </w:t>
      </w:r>
      <w:r>
        <w:t xml:space="preserve">La note de calcul établie par le constructeur tient compte de toutes les sollicitations ou charges connues. Les calculs sont effectués en fonction des actions du vent, conformément aux prescriptions des [NBN EN 12210] et </w:t>
      </w:r>
      <w:r>
        <w:rPr>
          <w:shd w:val="clear" w:color="auto" w:fill="FFFFFF"/>
        </w:rPr>
        <w:t>[NBN B 25-002-1].</w:t>
      </w:r>
    </w:p>
    <w:p w14:paraId="4D6EA693" w14:textId="77777777" w:rsidR="00772179" w:rsidRDefault="00000000">
      <w:r>
        <w:rPr>
          <w:b/>
          <w:color w:val="000000"/>
        </w:rPr>
        <w:t xml:space="preserve"> Forme,  type et dimensions des profils </w:t>
      </w:r>
    </w:p>
    <w:p w14:paraId="28F92594" w14:textId="77777777" w:rsidR="00772179" w:rsidRDefault="00000000">
      <w:r>
        <w:t xml:space="preserve">Toutes les parties mobiles sont fabriquées en profils du type à </w:t>
      </w:r>
      <w:r>
        <w:rPr>
          <w:rStyle w:val="optioncarChar"/>
        </w:rPr>
        <w:t xml:space="preserve">double / triple </w:t>
      </w:r>
      <w:r>
        <w:t xml:space="preserve">(par défaut) </w:t>
      </w:r>
      <w:r>
        <w:rPr>
          <w:rStyle w:val="optioncarChar"/>
        </w:rPr>
        <w:t>/ *** </w:t>
      </w:r>
      <w:r>
        <w:t>frappe. Ils sont équipés d'un profil d'étanchéité en matière synthétique bien jointif dans les angles. Les étanchéités EPDM et EPT satisfont à la [NIT 221] et [NIT 283].</w:t>
      </w:r>
    </w:p>
    <w:p w14:paraId="79235FE0" w14:textId="77777777" w:rsidR="00772179" w:rsidRDefault="00000000">
      <w:pPr>
        <w:pStyle w:val="Author-eListParagraph"/>
        <w:numPr>
          <w:ilvl w:val="0"/>
          <w:numId w:val="89"/>
        </w:numPr>
      </w:pPr>
      <w:r>
        <w:t xml:space="preserve">Profondeur du profil : ≥ </w:t>
      </w:r>
      <w:r>
        <w:rPr>
          <w:rStyle w:val="optioncarChar"/>
        </w:rPr>
        <w:t xml:space="preserve">*** </w:t>
      </w:r>
      <w:r>
        <w:t>mm</w:t>
      </w:r>
    </w:p>
    <w:p w14:paraId="5D220EA8" w14:textId="77777777" w:rsidR="00772179" w:rsidRDefault="00000000">
      <w:pPr>
        <w:pStyle w:val="Author-eListParagraph"/>
        <w:numPr>
          <w:ilvl w:val="0"/>
          <w:numId w:val="89"/>
        </w:numPr>
      </w:pPr>
      <w:r>
        <w:t xml:space="preserve">Hauteur du profil : ≥ </w:t>
      </w:r>
      <w:r>
        <w:rPr>
          <w:rStyle w:val="optioncarChar"/>
        </w:rPr>
        <w:t xml:space="preserve">*** </w:t>
      </w:r>
      <w:r>
        <w:t>mm</w:t>
      </w:r>
    </w:p>
    <w:p w14:paraId="7E992DA7" w14:textId="77777777" w:rsidR="00772179" w:rsidRDefault="00000000">
      <w:r>
        <w:rPr>
          <w:b/>
          <w:color w:val="969696"/>
        </w:rPr>
        <w:t>Assemblage / Fabrication</w:t>
      </w:r>
      <w:r>
        <w:t> </w:t>
      </w:r>
    </w:p>
    <w:p w14:paraId="55794BB7" w14:textId="77777777" w:rsidR="00772179" w:rsidRDefault="00000000">
      <w:r>
        <w:t>Les angles des profils sont soudés : </w:t>
      </w:r>
      <w:r>
        <w:rPr>
          <w:rStyle w:val="optioncarChar"/>
        </w:rPr>
        <w:t>par soudure bout à bout sans ajoute de matériau / par ajoute de matériau après biseautage des bords / ***.</w:t>
      </w:r>
      <w:r>
        <w:br/>
      </w:r>
      <w:r>
        <w:lastRenderedPageBreak/>
        <w:t>Il n'y a ni ébarbures ni jointures sur les faces vues. </w:t>
      </w:r>
      <w:r>
        <w:br/>
        <w:t>Les assemblages sont d'équerre et plats, sans traces de soudures.  Protection - revêtement de surface</w:t>
      </w:r>
    </w:p>
    <w:p w14:paraId="295A82A0" w14:textId="77777777" w:rsidR="00772179" w:rsidRDefault="00000000">
      <w:pPr>
        <w:pStyle w:val="Author-eListParagraph"/>
        <w:numPr>
          <w:ilvl w:val="0"/>
          <w:numId w:val="90"/>
        </w:numPr>
      </w:pPr>
      <w:r>
        <w:t>Tous les profils, montants de renfort et les parcloses subissent le même traitement de protection. Les éléments à protégés sont d'abord sablés.</w:t>
      </w:r>
    </w:p>
    <w:p w14:paraId="1051F11F" w14:textId="77777777" w:rsidR="00772179" w:rsidRDefault="00000000">
      <w:r>
        <w:t>La protection est effectuée :</w:t>
      </w:r>
    </w:p>
    <w:p w14:paraId="329BE032" w14:textId="77777777" w:rsidR="00772179" w:rsidRDefault="00000000">
      <w:r>
        <w:rPr>
          <w:b/>
        </w:rPr>
        <w:t>(soit par défaut) </w:t>
      </w:r>
      <w:r>
        <w:t xml:space="preserve">: </w:t>
      </w:r>
      <w:r>
        <w:rPr>
          <w:rStyle w:val="soitChar"/>
          <w:u w:val="single"/>
        </w:rPr>
        <w:t>par métallisation par pulvérisation de zinc suivie d'une mise en peinture</w:t>
      </w:r>
      <w:r>
        <w:rPr>
          <w:rStyle w:val="soitChar"/>
        </w:rPr>
        <w:t xml:space="preserve"> : métallisation selon la classe Zn40. La première couche de peinture à base de chromate de zinc est appliquée en atelier ;</w:t>
      </w:r>
      <w:r>
        <w:br/>
      </w:r>
      <w:r>
        <w:rPr>
          <w:b/>
        </w:rPr>
        <w:t>(soit)</w:t>
      </w:r>
      <w:r>
        <w:t> : </w:t>
      </w:r>
      <w:r>
        <w:rPr>
          <w:rStyle w:val="soitChar"/>
          <w:u w:val="single"/>
        </w:rPr>
        <w:t>par phosphatation suivie d'une mise en peinture</w:t>
      </w:r>
      <w:r>
        <w:rPr>
          <w:rStyle w:val="soitChar"/>
        </w:rPr>
        <w:t xml:space="preserve"> : phosphatation jusqu'à saturation. Après rinçage et séchage, les profils reçoivent en atelier la première couche de peinture à base de chromate de zinc ;</w:t>
      </w:r>
      <w:r>
        <w:br/>
      </w:r>
      <w:r>
        <w:rPr>
          <w:b/>
        </w:rPr>
        <w:t>(soit)</w:t>
      </w:r>
      <w:r>
        <w:t xml:space="preserve"> : </w:t>
      </w:r>
      <w:r>
        <w:rPr>
          <w:rStyle w:val="soitChar"/>
          <w:u w:val="single"/>
        </w:rPr>
        <w:t>par galvanisation par immersion suivie d'une mise en peinture</w:t>
      </w:r>
      <w:r>
        <w:rPr>
          <w:rStyle w:val="soitChar"/>
        </w:rPr>
        <w:t xml:space="preserve"> : galvanisation par immersion dans un bain de zinc liquide</w:t>
      </w:r>
    </w:p>
    <w:p w14:paraId="20F49EE8" w14:textId="77777777" w:rsidR="00772179" w:rsidRDefault="00000000">
      <w:pPr>
        <w:pStyle w:val="Author-eListParagraph"/>
        <w:numPr>
          <w:ilvl w:val="0"/>
          <w:numId w:val="91"/>
        </w:numPr>
      </w:pPr>
      <w:r>
        <w:t>Le revêtement de la surface est effectué :</w:t>
      </w:r>
    </w:p>
    <w:p w14:paraId="6380DB5C" w14:textId="77777777" w:rsidR="00772179" w:rsidRDefault="00000000">
      <w:r>
        <w:rPr>
          <w:b/>
        </w:rPr>
        <w:t>(soit par défaut)</w:t>
      </w:r>
      <w:r>
        <w:t> : </w:t>
      </w:r>
      <w:r>
        <w:rPr>
          <w:rStyle w:val="soitChar"/>
          <w:u w:val="single"/>
        </w:rPr>
        <w:t>par application électrostatique d'un revêtement en poudre en deux couches</w:t>
      </w:r>
      <w:r>
        <w:rPr>
          <w:rStyle w:val="soitChar"/>
        </w:rPr>
        <w:t>. La première couche sera un primer acrylique ou époxy convenant pour l'acier, épaisseur 40 μm. La deuxième couche sera une laque polyuréthane ou polyester, épaisseur 40 μm. Le processus d'application du revêtement par poudrage est réglé de façon telle que la première couche soit presque complètement durcie avant l'application de la deuxième couche. La température de cuisson de la deuxième couche est supérieure à celle de la première couche.</w:t>
      </w:r>
      <w:r>
        <w:t xml:space="preserve">    </w:t>
      </w:r>
      <w:r>
        <w:br/>
      </w:r>
      <w:r>
        <w:rPr>
          <w:b/>
        </w:rPr>
        <w:t>(soit)</w:t>
      </w:r>
      <w:r>
        <w:t xml:space="preserve"> : </w:t>
      </w:r>
      <w:r>
        <w:rPr>
          <w:rStyle w:val="optioncarChar"/>
        </w:rPr>
        <w:t>***</w:t>
      </w:r>
      <w:r>
        <w:t xml:space="preserve"> .</w:t>
      </w:r>
      <w:r>
        <w:rPr>
          <w:rStyle w:val="optioncarChar"/>
        </w:rPr>
        <w:t> </w:t>
      </w:r>
    </w:p>
    <w:p w14:paraId="616C3149" w14:textId="77777777" w:rsidR="00772179" w:rsidRDefault="00000000">
      <w:pPr>
        <w:pStyle w:val="Author-eListParagraph"/>
        <w:numPr>
          <w:ilvl w:val="0"/>
          <w:numId w:val="92"/>
        </w:numPr>
      </w:pPr>
      <w:r>
        <w:t>Une garantie de 10 ans est donnée sur l'adhérence et l'inaltérabilité des couleurs et de la brillance. L'entrepreneur soumet une note technique concernant l'exécution du traitement préalable et l'application de la couche de finition.</w:t>
      </w:r>
    </w:p>
    <w:p w14:paraId="0EABA7B2" w14:textId="77777777" w:rsidR="00772179" w:rsidRDefault="00000000">
      <w:pPr>
        <w:ind w:left="750"/>
      </w:pPr>
      <w:r>
        <w:t> </w:t>
      </w:r>
    </w:p>
    <w:p w14:paraId="6A4D19E6" w14:textId="77777777" w:rsidR="00772179" w:rsidRDefault="00000000">
      <w:pPr>
        <w:pStyle w:val="Author-eSectionHeading5Numberless"/>
      </w:pPr>
      <w:bookmarkStart w:id="33" w:name="_Toc220489788"/>
      <w:r>
        <w:t>41.13.1 Fenêtres et portes-fenêtres en acier sans coupure thermique CCTB 01.02</w:t>
      </w:r>
      <w:bookmarkEnd w:id="33"/>
    </w:p>
    <w:p w14:paraId="2AE77C46" w14:textId="77777777" w:rsidR="00772179" w:rsidRDefault="00000000">
      <w:pPr>
        <w:pStyle w:val="Author-eSectionHeading6Numberless"/>
      </w:pPr>
      <w:bookmarkStart w:id="34" w:name="_Toc220489789"/>
      <w:r>
        <w:t>41.13.1a Fenêtres et portes-fenêtres en acier sans coupure thermique CCTB 01.12</w:t>
      </w:r>
      <w:bookmarkEnd w:id="34"/>
    </w:p>
    <w:p w14:paraId="0D975C9A" w14:textId="77777777" w:rsidR="00772179" w:rsidRDefault="00000000">
      <w:pPr>
        <w:pStyle w:val="pheading"/>
      </w:pPr>
      <w:r>
        <w:t>MATÉRIAUX</w:t>
      </w:r>
    </w:p>
    <w:p w14:paraId="02C84B41" w14:textId="77777777" w:rsidR="00772179" w:rsidRDefault="00000000">
      <w:pPr>
        <w:pStyle w:val="pheading"/>
      </w:pPr>
      <w:r>
        <w:t>- Caractéristiques générales</w:t>
      </w:r>
    </w:p>
    <w:p w14:paraId="58FB9EC8" w14:textId="77777777" w:rsidR="00772179" w:rsidRDefault="00000000">
      <w:r>
        <w:t>Il s'agit des ensembles de portes et fenêtres composés de profils en acier laqué sans rupture thermique.    </w:t>
      </w:r>
    </w:p>
    <w:p w14:paraId="480731E7" w14:textId="77777777" w:rsidR="00772179" w:rsidRDefault="00000000">
      <w:pPr>
        <w:pStyle w:val="heading"/>
      </w:pPr>
      <w:r>
        <w:t> Types de portes et fenêtres</w:t>
      </w:r>
    </w:p>
    <w:p w14:paraId="57125431" w14:textId="77777777" w:rsidR="00772179" w:rsidRDefault="00000000">
      <w:r>
        <w:t xml:space="preserve">( Voir également l'article </w:t>
      </w:r>
      <w:hyperlink w:anchor="64" w:history="1">
        <w:r>
          <w:rPr>
            <w:color w:val="0000EE"/>
          </w:rPr>
          <w:t>41.1 Fenêtres et portes-fenêtres</w:t>
        </w:r>
      </w:hyperlink>
      <w:r>
        <w:t xml:space="preserve"> )</w:t>
      </w:r>
    </w:p>
    <w:p w14:paraId="7534BD81" w14:textId="77777777" w:rsidR="00772179" w:rsidRDefault="00000000">
      <w:pPr>
        <w:pStyle w:val="Author-eListParagraph"/>
        <w:numPr>
          <w:ilvl w:val="0"/>
          <w:numId w:val="93"/>
        </w:numPr>
      </w:pPr>
      <w:r>
        <w:t>Châssis fixes : …</w:t>
      </w:r>
    </w:p>
    <w:p w14:paraId="0356F8AD" w14:textId="77777777" w:rsidR="00772179" w:rsidRDefault="00000000">
      <w:pPr>
        <w:pStyle w:val="Author-eListParagraph"/>
        <w:numPr>
          <w:ilvl w:val="0"/>
          <w:numId w:val="93"/>
        </w:numPr>
      </w:pPr>
      <w:r>
        <w:t>Châssis à vantaux ouvrants : ……</w:t>
      </w:r>
    </w:p>
    <w:p w14:paraId="3A8EAD3C" w14:textId="77777777" w:rsidR="00772179" w:rsidRDefault="00000000">
      <w:pPr>
        <w:pStyle w:val="Author-eListParagraph"/>
        <w:numPr>
          <w:ilvl w:val="0"/>
          <w:numId w:val="93"/>
        </w:numPr>
      </w:pPr>
      <w:r>
        <w:t>Fenêtres oscillo-battantes : ……</w:t>
      </w:r>
    </w:p>
    <w:p w14:paraId="0E98ACF8" w14:textId="77777777" w:rsidR="00772179" w:rsidRDefault="00000000">
      <w:pPr>
        <w:pStyle w:val="Author-eListParagraph"/>
        <w:numPr>
          <w:ilvl w:val="0"/>
          <w:numId w:val="93"/>
        </w:numPr>
      </w:pPr>
      <w:r>
        <w:t>Fenêtres basculantes : ……</w:t>
      </w:r>
    </w:p>
    <w:p w14:paraId="1230553A" w14:textId="77777777" w:rsidR="00772179" w:rsidRDefault="00000000">
      <w:pPr>
        <w:pStyle w:val="Author-eListParagraph"/>
        <w:numPr>
          <w:ilvl w:val="0"/>
          <w:numId w:val="93"/>
        </w:numPr>
      </w:pPr>
      <w:r>
        <w:t>Fenêtres projetantes : ……</w:t>
      </w:r>
    </w:p>
    <w:p w14:paraId="63424F36" w14:textId="77777777" w:rsidR="00772179" w:rsidRDefault="00000000">
      <w:pPr>
        <w:pStyle w:val="Author-eListParagraph"/>
        <w:numPr>
          <w:ilvl w:val="0"/>
          <w:numId w:val="93"/>
        </w:numPr>
      </w:pPr>
      <w:r>
        <w:t>Fenêtres pivotantes ou basculantes : ……</w:t>
      </w:r>
    </w:p>
    <w:p w14:paraId="01E5ACDA" w14:textId="77777777" w:rsidR="00772179" w:rsidRDefault="00000000">
      <w:pPr>
        <w:pStyle w:val="Author-eListParagraph"/>
        <w:numPr>
          <w:ilvl w:val="0"/>
          <w:numId w:val="93"/>
        </w:numPr>
      </w:pPr>
      <w:r>
        <w:t>Fenêtres coulissantes : ……</w:t>
      </w:r>
    </w:p>
    <w:p w14:paraId="6324DFB0" w14:textId="77777777" w:rsidR="00772179" w:rsidRDefault="00000000">
      <w:pPr>
        <w:pStyle w:val="Author-eListParagraph"/>
        <w:numPr>
          <w:ilvl w:val="0"/>
          <w:numId w:val="93"/>
        </w:numPr>
      </w:pPr>
      <w:r>
        <w:t>Fenêtres levantes-coulissantes : ……</w:t>
      </w:r>
    </w:p>
    <w:p w14:paraId="18A6617F" w14:textId="77777777" w:rsidR="00772179" w:rsidRDefault="00000000">
      <w:pPr>
        <w:pStyle w:val="Author-eListParagraph"/>
        <w:numPr>
          <w:ilvl w:val="0"/>
          <w:numId w:val="93"/>
        </w:numPr>
      </w:pPr>
      <w:r>
        <w:t>Fenêtres basculantes-coulissantes : ……</w:t>
      </w:r>
    </w:p>
    <w:p w14:paraId="41F70799" w14:textId="77777777" w:rsidR="00772179" w:rsidRDefault="00000000">
      <w:pPr>
        <w:pStyle w:val="Author-eListParagraph"/>
        <w:numPr>
          <w:ilvl w:val="0"/>
          <w:numId w:val="93"/>
        </w:numPr>
      </w:pPr>
      <w:r>
        <w:t>Fenêtres obliques / inclinées : ……</w:t>
      </w:r>
    </w:p>
    <w:p w14:paraId="3CEB56D8" w14:textId="77777777" w:rsidR="00772179" w:rsidRDefault="00000000">
      <w:pPr>
        <w:pStyle w:val="Author-eListParagraph"/>
        <w:numPr>
          <w:ilvl w:val="0"/>
          <w:numId w:val="93"/>
        </w:numPr>
      </w:pPr>
      <w:r>
        <w:t>Ensembles de fenêtres composées : ……</w:t>
      </w:r>
    </w:p>
    <w:p w14:paraId="2B6F6347" w14:textId="77777777" w:rsidR="00772179" w:rsidRDefault="00000000">
      <w:pPr>
        <w:pStyle w:val="Author-eListParagraph"/>
        <w:numPr>
          <w:ilvl w:val="0"/>
          <w:numId w:val="93"/>
        </w:numPr>
      </w:pPr>
      <w:r>
        <w:t>Portes extérieures simples : ……</w:t>
      </w:r>
    </w:p>
    <w:p w14:paraId="6B406738" w14:textId="77777777" w:rsidR="00772179" w:rsidRDefault="00000000">
      <w:pPr>
        <w:pStyle w:val="Author-eListParagraph"/>
        <w:numPr>
          <w:ilvl w:val="0"/>
          <w:numId w:val="93"/>
        </w:numPr>
      </w:pPr>
      <w:r>
        <w:lastRenderedPageBreak/>
        <w:t>Portes extérieures doubles : ……</w:t>
      </w:r>
    </w:p>
    <w:p w14:paraId="20C4B3AD" w14:textId="77777777" w:rsidR="00772179" w:rsidRDefault="00000000">
      <w:pPr>
        <w:pStyle w:val="Author-eListParagraph"/>
        <w:numPr>
          <w:ilvl w:val="0"/>
          <w:numId w:val="93"/>
        </w:numPr>
      </w:pPr>
      <w:r>
        <w:t>Ensembles de portes extérieures composées : ……    </w:t>
      </w:r>
    </w:p>
    <w:p w14:paraId="352DAFB7" w14:textId="77777777" w:rsidR="00772179" w:rsidRDefault="00000000">
      <w:pPr>
        <w:pStyle w:val="heading"/>
      </w:pPr>
      <w:r>
        <w:t>Vitrages et panneaux de remplissage</w:t>
      </w:r>
    </w:p>
    <w:p w14:paraId="34BADE57" w14:textId="77777777" w:rsidR="00772179" w:rsidRDefault="00000000">
      <w:r>
        <w:t>(Voir chapitre</w:t>
      </w:r>
      <w:hyperlink w:anchor="852" w:history="1">
        <w:r>
          <w:rPr>
            <w:color w:val="0000EE"/>
          </w:rPr>
          <w:t>42 Vitrages extérieurs et éléments de remplissage</w:t>
        </w:r>
      </w:hyperlink>
      <w:r>
        <w:t>)    </w:t>
      </w:r>
    </w:p>
    <w:p w14:paraId="7FF087CB" w14:textId="77777777" w:rsidR="00772179" w:rsidRDefault="00000000">
      <w:pPr>
        <w:pStyle w:val="heading"/>
      </w:pPr>
      <w:r>
        <w:t>Quincaillerie</w:t>
      </w:r>
    </w:p>
    <w:p w14:paraId="49966EEE" w14:textId="77777777" w:rsidR="00772179" w:rsidRDefault="00000000">
      <w:r>
        <w:t xml:space="preserve">(Voir également l'article </w:t>
      </w:r>
      <w:hyperlink w:anchor="884" w:history="1">
        <w:r>
          <w:rPr>
            <w:color w:val="0000EE"/>
          </w:rPr>
          <w:t>41.72 Quincailleries</w:t>
        </w:r>
      </w:hyperlink>
      <w:r>
        <w:t>)</w:t>
      </w:r>
    </w:p>
    <w:p w14:paraId="2B2A87CA" w14:textId="77777777" w:rsidR="00772179" w:rsidRDefault="00000000">
      <w:pPr>
        <w:pStyle w:val="Author-eListParagraph"/>
        <w:numPr>
          <w:ilvl w:val="0"/>
          <w:numId w:val="94"/>
        </w:numPr>
      </w:pPr>
      <w:r>
        <w:t xml:space="preserve">Matériau des poignées et manettes : </w:t>
      </w:r>
      <w:r>
        <w:rPr>
          <w:rStyle w:val="optioncarChar"/>
        </w:rPr>
        <w:t>aluminium anodisé de teinte naturelle / acier bichromaté / acier revêtu de Nylon coloré dans la masse de la même couleur que les profils / acier laqué dans la même couleur que la menuiserie / ***</w:t>
      </w:r>
    </w:p>
    <w:p w14:paraId="19A8165E" w14:textId="77777777" w:rsidR="00772179" w:rsidRDefault="00000000">
      <w:pPr>
        <w:pStyle w:val="Author-eListParagraph"/>
        <w:numPr>
          <w:ilvl w:val="0"/>
          <w:numId w:val="94"/>
        </w:numPr>
      </w:pPr>
      <w:r>
        <w:t xml:space="preserve">Forme des poignées et manettes : </w:t>
      </w:r>
      <w:r>
        <w:rPr>
          <w:rStyle w:val="optioncarChar"/>
        </w:rPr>
        <w:t>type levier avec retour (PMR) / type levier sans retour (PMR) / ***</w:t>
      </w:r>
    </w:p>
    <w:p w14:paraId="606EE0A6" w14:textId="77777777" w:rsidR="00772179" w:rsidRDefault="00000000">
      <w:pPr>
        <w:pStyle w:val="Author-eListParagraph"/>
        <w:numPr>
          <w:ilvl w:val="0"/>
          <w:numId w:val="94"/>
        </w:numPr>
      </w:pPr>
      <w:r>
        <w:t xml:space="preserve">Section des poignées et manettes : </w:t>
      </w:r>
      <w:r>
        <w:rPr>
          <w:rStyle w:val="optioncarChar"/>
        </w:rPr>
        <w:t xml:space="preserve">aplatie </w:t>
      </w:r>
      <w:r>
        <w:t>(par défaut)</w:t>
      </w:r>
      <w:r>
        <w:rPr>
          <w:rStyle w:val="optioncarChar"/>
        </w:rPr>
        <w:t xml:space="preserve"> / tubulaire (PMR) / ***</w:t>
      </w:r>
    </w:p>
    <w:p w14:paraId="18AD2B9B" w14:textId="77777777" w:rsidR="00772179" w:rsidRDefault="00000000">
      <w:pPr>
        <w:pStyle w:val="Author-eListParagraph"/>
        <w:numPr>
          <w:ilvl w:val="0"/>
          <w:numId w:val="94"/>
        </w:numPr>
      </w:pPr>
      <w:r>
        <w:t xml:space="preserve">Charnières / Paumelles : </w:t>
      </w:r>
      <w:r>
        <w:rPr>
          <w:rStyle w:val="optioncarChar"/>
        </w:rPr>
        <w:t>acier laqué dans la même couleur que la menuiserie / acier bichromaté / acier inoxydable </w:t>
      </w:r>
    </w:p>
    <w:p w14:paraId="466E90FB" w14:textId="77777777" w:rsidR="00772179" w:rsidRDefault="00000000">
      <w:pPr>
        <w:pStyle w:val="Author-eListParagraph"/>
        <w:numPr>
          <w:ilvl w:val="0"/>
          <w:numId w:val="94"/>
        </w:numPr>
      </w:pPr>
      <w:r>
        <w:t xml:space="preserve">Serrures : </w:t>
      </w:r>
      <w:r>
        <w:rPr>
          <w:rStyle w:val="optioncarChar"/>
        </w:rPr>
        <w:t xml:space="preserve">cylindre profilé / cylindre de sécurité en inox / laiton </w:t>
      </w:r>
    </w:p>
    <w:p w14:paraId="1ABCC574" w14:textId="77777777" w:rsidR="00772179" w:rsidRDefault="00000000">
      <w:pPr>
        <w:pStyle w:val="Author-eListParagraph"/>
        <w:numPr>
          <w:ilvl w:val="0"/>
          <w:numId w:val="94"/>
        </w:numPr>
      </w:pPr>
      <w:r>
        <w:t>Nombre de points de fermeture :</w:t>
      </w:r>
      <w:r>
        <w:rPr>
          <w:rStyle w:val="optioncarChar"/>
        </w:rPr>
        <w:t> 3 / 4 / 5 </w:t>
      </w:r>
      <w:r>
        <w:t> </w:t>
      </w:r>
    </w:p>
    <w:p w14:paraId="56EFA591" w14:textId="77777777" w:rsidR="00772179" w:rsidRDefault="00000000">
      <w:pPr>
        <w:pStyle w:val="pheading"/>
      </w:pPr>
      <w:r>
        <w:t>- Finitions</w:t>
      </w:r>
    </w:p>
    <w:p w14:paraId="42AF8EE2" w14:textId="77777777" w:rsidR="00772179" w:rsidRDefault="00000000">
      <w:r>
        <w:t>Dimensions des profils :</w:t>
      </w:r>
    </w:p>
    <w:p w14:paraId="64093A75" w14:textId="77777777" w:rsidR="00772179" w:rsidRDefault="00000000">
      <w:pPr>
        <w:pStyle w:val="Author-eListParagraph"/>
        <w:numPr>
          <w:ilvl w:val="0"/>
          <w:numId w:val="95"/>
        </w:numPr>
      </w:pPr>
      <w:r>
        <w:t xml:space="preserve">profondeur du profil : </w:t>
      </w:r>
      <w:r>
        <w:rPr>
          <w:rStyle w:val="optioncarChar"/>
        </w:rPr>
        <w:t xml:space="preserve">*** </w:t>
      </w:r>
      <w:r>
        <w:t>mm</w:t>
      </w:r>
    </w:p>
    <w:p w14:paraId="511489D9" w14:textId="77777777" w:rsidR="00772179" w:rsidRDefault="00000000">
      <w:pPr>
        <w:pStyle w:val="Author-eListParagraph"/>
        <w:numPr>
          <w:ilvl w:val="0"/>
          <w:numId w:val="95"/>
        </w:numPr>
      </w:pPr>
      <w:r>
        <w:t xml:space="preserve">hauteur du profil : </w:t>
      </w:r>
      <w:r>
        <w:rPr>
          <w:rStyle w:val="optioncarChar"/>
        </w:rPr>
        <w:t xml:space="preserve">*** </w:t>
      </w:r>
      <w:r>
        <w:t>mm</w:t>
      </w:r>
    </w:p>
    <w:p w14:paraId="1BF92087" w14:textId="77777777" w:rsidR="00772179" w:rsidRDefault="00000000">
      <w:r>
        <w:t xml:space="preserve">Protection de la surface : </w:t>
      </w:r>
      <w:r>
        <w:rPr>
          <w:rStyle w:val="optioncarChar"/>
        </w:rPr>
        <w:t>métallisation par pulvérisation de zinc / phosphatage / galvanisation par immersion suivie d'une mise en peinture / ***</w:t>
      </w:r>
      <w:r>
        <w:br/>
        <w:t xml:space="preserve">Finition de la surface : </w:t>
      </w:r>
      <w:r>
        <w:rPr>
          <w:rStyle w:val="optioncarChar"/>
        </w:rPr>
        <w:t>revêtement par poudrage / ***</w:t>
      </w:r>
      <w:r>
        <w:br/>
        <w:t xml:space="preserve">Coloris : couleur RAL n° : </w:t>
      </w:r>
      <w:r>
        <w:rPr>
          <w:rStyle w:val="optioncarChar"/>
        </w:rPr>
        <w:t>à choisir dans la gamme complète du fabricant / ***</w:t>
      </w:r>
      <w:r>
        <w:br/>
        <w:t xml:space="preserve">Degré de brillance : </w:t>
      </w:r>
      <w:r>
        <w:rPr>
          <w:rStyle w:val="optioncarChar"/>
        </w:rPr>
        <w:t xml:space="preserve">*** </w:t>
      </w:r>
      <w:r>
        <w:t>Gardner</w:t>
      </w:r>
    </w:p>
    <w:p w14:paraId="3F619497" w14:textId="77777777" w:rsidR="00772179" w:rsidRDefault="00000000">
      <w:pPr>
        <w:pStyle w:val="pheading"/>
      </w:pPr>
      <w:r>
        <w:t>EXÉCUTION / MISE EN ŒUVRE</w:t>
      </w:r>
    </w:p>
    <w:p w14:paraId="1D8E2B84" w14:textId="77777777" w:rsidR="00772179" w:rsidRDefault="00000000">
      <w:pPr>
        <w:pStyle w:val="pheading"/>
      </w:pPr>
      <w:r>
        <w:t>- Prescriptions générales</w:t>
      </w:r>
    </w:p>
    <w:p w14:paraId="72282571" w14:textId="77777777" w:rsidR="00772179" w:rsidRDefault="00000000">
      <w:r>
        <w:t xml:space="preserve">La pose des châssis est exécutée conformément à l'article </w:t>
      </w:r>
      <w:hyperlink w:anchor="64" w:history="1">
        <w:r>
          <w:rPr>
            <w:color w:val="0000EE"/>
          </w:rPr>
          <w:t>41.1 Fenêtres et portes-fenêtres</w:t>
        </w:r>
      </w:hyperlink>
      <w:r>
        <w:t> portes et fenêtres extérieures - généralités</w:t>
      </w:r>
    </w:p>
    <w:p w14:paraId="09314CA0" w14:textId="77777777" w:rsidR="00772179" w:rsidRDefault="00000000">
      <w:pPr>
        <w:pStyle w:val="pheading"/>
      </w:pPr>
      <w:r>
        <w:t>- Notes d’exécution complémentaires</w:t>
      </w:r>
    </w:p>
    <w:p w14:paraId="4355513E" w14:textId="77777777" w:rsidR="00772179" w:rsidRDefault="00000000">
      <w:pPr>
        <w:pStyle w:val="Author-eListParagraph"/>
        <w:numPr>
          <w:ilvl w:val="0"/>
          <w:numId w:val="96"/>
        </w:numPr>
      </w:pPr>
      <w:r>
        <w:t xml:space="preserve">Disposition : ≥ </w:t>
      </w:r>
      <w:r>
        <w:rPr>
          <w:rStyle w:val="optioncarChar"/>
        </w:rPr>
        <w:t xml:space="preserve">*** / 20 / 30 / *** </w:t>
      </w:r>
      <w:r>
        <w:t>mm derrière le jour du gros-œuvre .</w:t>
      </w:r>
    </w:p>
    <w:p w14:paraId="3B1A9D6D" w14:textId="77777777" w:rsidR="00772179" w:rsidRDefault="00000000">
      <w:pPr>
        <w:pStyle w:val="Author-eListParagraph"/>
        <w:numPr>
          <w:ilvl w:val="0"/>
          <w:numId w:val="96"/>
        </w:numPr>
      </w:pPr>
      <w:r>
        <w:t xml:space="preserve">Ancrage : </w:t>
      </w:r>
      <w:r>
        <w:rPr>
          <w:rStyle w:val="optioncarChar"/>
        </w:rPr>
        <w:t xml:space="preserve">***   </w:t>
      </w:r>
    </w:p>
    <w:p w14:paraId="071639A4" w14:textId="77777777" w:rsidR="00772179" w:rsidRDefault="00000000">
      <w:pPr>
        <w:pStyle w:val="Author-eListParagraph"/>
        <w:numPr>
          <w:ilvl w:val="0"/>
          <w:numId w:val="96"/>
        </w:numPr>
      </w:pPr>
      <w:r>
        <w:t xml:space="preserve">Etanchéité : </w:t>
      </w:r>
      <w:r>
        <w:rPr>
          <w:rStyle w:val="optioncarChar"/>
        </w:rPr>
        <w:t>*** </w:t>
      </w:r>
    </w:p>
    <w:p w14:paraId="7AADF049" w14:textId="77777777" w:rsidR="00772179" w:rsidRDefault="00000000">
      <w:pPr>
        <w:pStyle w:val="pheading"/>
      </w:pPr>
      <w:r>
        <w:t>MESURAGE</w:t>
      </w:r>
    </w:p>
    <w:p w14:paraId="7DE82B0F" w14:textId="77777777" w:rsidR="00772179" w:rsidRDefault="00000000">
      <w:pPr>
        <w:pStyle w:val="pheading"/>
      </w:pPr>
      <w:r>
        <w:t>- unité de mesure:</w:t>
      </w:r>
    </w:p>
    <w:p w14:paraId="4EC8D91B" w14:textId="77777777" w:rsidR="00772179" w:rsidRDefault="00000000">
      <w:r>
        <w:t>m²</w:t>
      </w:r>
    </w:p>
    <w:p w14:paraId="0A3DC7FD" w14:textId="77777777" w:rsidR="00772179" w:rsidRDefault="00000000">
      <w:pPr>
        <w:pStyle w:val="pheading"/>
      </w:pPr>
      <w:r>
        <w:t>- code de mesurage:</w:t>
      </w:r>
    </w:p>
    <w:p w14:paraId="7F2DECF4" w14:textId="77777777" w:rsidR="00772179" w:rsidRDefault="00000000">
      <w:r>
        <w:t>Surface nette en développement des dimensions dans l'œuvre. (En principe, globalement, toutefois, le cas échéant, ventilé selon le type ou le modèle conformément aux indications dans le métré récapitulatif annexé au dossier d'adjudication)</w:t>
      </w:r>
    </w:p>
    <w:p w14:paraId="1FE847C0" w14:textId="77777777" w:rsidR="00772179" w:rsidRDefault="00000000">
      <w:pPr>
        <w:pStyle w:val="pheading"/>
      </w:pPr>
      <w:r>
        <w:t>- nature du marché:</w:t>
      </w:r>
    </w:p>
    <w:p w14:paraId="2D155503" w14:textId="77777777" w:rsidR="00772179" w:rsidRDefault="00000000">
      <w:r>
        <w:t>QF</w:t>
      </w:r>
    </w:p>
    <w:p w14:paraId="266B19C6" w14:textId="77777777" w:rsidR="00772179" w:rsidRDefault="00000000">
      <w:pPr>
        <w:pStyle w:val="pheading"/>
      </w:pPr>
      <w:r>
        <w:t>AIDE</w:t>
      </w:r>
    </w:p>
    <w:p w14:paraId="75C897EB" w14:textId="77777777" w:rsidR="00772179" w:rsidRDefault="00000000">
      <w:r>
        <w:lastRenderedPageBreak/>
        <w:t>En raison du coût, les profils en acier ne sont, en principe, utilisés dans la construction d'habitations sociales que dans une version sans rupture thermique. En raison de leur rigidité et durabilité élevées, ils sont particulièrement indiqués pour les portes d'entrées principales et/ou d'autres applications où les risques de condensation sont minimes (locaux non chauffés tels que les remises à vélos, …).</w:t>
      </w:r>
    </w:p>
    <w:p w14:paraId="2B790E27" w14:textId="77777777" w:rsidR="00772179" w:rsidRDefault="00000000">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sont ventilés par élément dans le métré récapitulatif. Les profils intermédiaires et les autres châssis intercalaires ne sont toutefois pas comptés séparément et sont compris dans le prix unitaire des éléments respectifs.</w:t>
      </w:r>
    </w:p>
    <w:p w14:paraId="5E20CAB4" w14:textId="77777777" w:rsidR="00772179" w:rsidRDefault="00000000">
      <w:pPr>
        <w:ind w:left="750"/>
      </w:pPr>
      <w:r>
        <w:t> </w:t>
      </w:r>
    </w:p>
    <w:p w14:paraId="2B0D41BF" w14:textId="77777777" w:rsidR="00772179" w:rsidRDefault="00000000">
      <w:pPr>
        <w:pStyle w:val="Author-eSectionHeading5Numberless"/>
      </w:pPr>
      <w:bookmarkStart w:id="35" w:name="_Toc220489790"/>
      <w:r>
        <w:t>41.13.2 Fenêtres et portes-fenêtres en acier avec coupure thermique CCTB 01.02</w:t>
      </w:r>
      <w:bookmarkEnd w:id="35"/>
    </w:p>
    <w:p w14:paraId="369FF482" w14:textId="77777777" w:rsidR="00772179" w:rsidRDefault="00000000">
      <w:pPr>
        <w:pStyle w:val="Author-eSectionHeading6Numberless"/>
      </w:pPr>
      <w:bookmarkStart w:id="36" w:name="_Toc220489791"/>
      <w:r>
        <w:t>41.13.2a Fenêtres et portes-fenêtres en acier avec coupure thermique CCTB 01.02</w:t>
      </w:r>
      <w:bookmarkEnd w:id="36"/>
    </w:p>
    <w:p w14:paraId="3173FAF1" w14:textId="77777777" w:rsidR="00772179" w:rsidRDefault="00000000">
      <w:pPr>
        <w:pStyle w:val="Author-eSectionHeading4Numberless"/>
      </w:pPr>
      <w:bookmarkStart w:id="37" w:name="_Toc220489792"/>
      <w:r>
        <w:t>41.14 Fenêtres et portes-fenêtres en PVC CCTB 01.13</w:t>
      </w:r>
      <w:bookmarkEnd w:id="37"/>
    </w:p>
    <w:p w14:paraId="496EAF9D" w14:textId="77777777" w:rsidR="00772179" w:rsidRDefault="00000000">
      <w:pPr>
        <w:pStyle w:val="pheading"/>
      </w:pPr>
      <w:bookmarkStart w:id="38" w:name="935"/>
      <w:bookmarkEnd w:id="38"/>
      <w:r>
        <w:t>DESCRIPTION</w:t>
      </w:r>
    </w:p>
    <w:p w14:paraId="3653FF7D" w14:textId="77777777" w:rsidR="00772179" w:rsidRDefault="00000000">
      <w:pPr>
        <w:pStyle w:val="pheading"/>
      </w:pPr>
      <w:r>
        <w:t>- Définition / Comprend</w:t>
      </w:r>
    </w:p>
    <w:p w14:paraId="4F7D3600" w14:textId="77777777" w:rsidR="00772179" w:rsidRDefault="00000000">
      <w:pPr>
        <w:jc w:val="both"/>
      </w:pPr>
      <w:r>
        <w:t>Cet élément comprend la fourniture (hors matériaux récupérés du même site) et la pose de tous les éléments nécessaires à la composition des fenêtres et portes-fenêtres extérieures en PVC, y compris toutes les pièces qui en font intrinsèquement partie.</w:t>
      </w:r>
    </w:p>
    <w:p w14:paraId="118D84CE" w14:textId="77777777" w:rsidR="00772179" w:rsidRDefault="00000000">
      <w:pPr>
        <w:jc w:val="both"/>
      </w:pPr>
      <w:r>
        <w:t>Les fenêtres et portes-fenêtres extérieures sont considérées comme menuiserie en PVC lorsque seul le profilé en PVC et son renfort assure la résistance mécanique de ces éléments de construction. Les éventuels revêtements extérieurs en métal ou autres ne changent rien au fait que ces éléments font partie de la menuiserie en PVC.</w:t>
      </w:r>
    </w:p>
    <w:p w14:paraId="7D2C8E67" w14:textId="77777777" w:rsidR="00772179" w:rsidRDefault="00000000">
      <w:pPr>
        <w:pStyle w:val="pheading"/>
      </w:pPr>
      <w:r>
        <w:t>MATÉRIAUX</w:t>
      </w:r>
    </w:p>
    <w:p w14:paraId="315FEEC5" w14:textId="77777777" w:rsidR="00772179" w:rsidRDefault="00000000">
      <w:pPr>
        <w:jc w:val="both"/>
      </w:pPr>
      <w:r>
        <w:rPr>
          <w:b/>
          <w:u w:val="single"/>
        </w:rPr>
        <w:t>Menuiserie neuve</w:t>
      </w:r>
    </w:p>
    <w:p w14:paraId="4857BE07" w14:textId="77777777" w:rsidR="00772179" w:rsidRDefault="00000000">
      <w:pPr>
        <w:jc w:val="both"/>
      </w:pPr>
      <w:r>
        <w:rPr>
          <w:b/>
        </w:rPr>
        <w:t>Matières Premières</w:t>
      </w:r>
    </w:p>
    <w:p w14:paraId="6921F0CD" w14:textId="77777777" w:rsidR="00772179" w:rsidRDefault="00000000">
      <w:pPr>
        <w:jc w:val="both"/>
      </w:pPr>
      <w:r>
        <w:t>Les menuiseries en PVC sont conformes aux spécifications techniques [STS 52.3].</w:t>
      </w:r>
    </w:p>
    <w:p w14:paraId="561FD5A4" w14:textId="77777777" w:rsidR="00772179" w:rsidRDefault="00772179"/>
    <w:p w14:paraId="1E53E75F" w14:textId="77777777" w:rsidR="00772179" w:rsidRDefault="00000000">
      <w:pPr>
        <w:jc w:val="both"/>
      </w:pPr>
      <w:r>
        <w:rPr>
          <w:b/>
        </w:rPr>
        <w:t>Forme, Type &amp; Dimensions Des Profilés</w:t>
      </w:r>
    </w:p>
    <w:p w14:paraId="13DFE57B" w14:textId="77777777" w:rsidR="00772179" w:rsidRDefault="00000000">
      <w:pPr>
        <w:pStyle w:val="Author-eListParagraph"/>
        <w:numPr>
          <w:ilvl w:val="0"/>
          <w:numId w:val="97"/>
        </w:numPr>
        <w:jc w:val="both"/>
      </w:pPr>
      <w:r>
        <w:t>L'épaisseur des parois et les dimensions des profilés tiennent compte des performances imposées, des notes de calcul, de la composition des éléments fixes et mobiles, de l'épaisseur et des performances des vitrages.</w:t>
      </w:r>
    </w:p>
    <w:p w14:paraId="0F735B7B" w14:textId="77777777" w:rsidR="00772179" w:rsidRDefault="00000000">
      <w:pPr>
        <w:pStyle w:val="Author-eListParagraph"/>
        <w:numPr>
          <w:ilvl w:val="0"/>
          <w:numId w:val="97"/>
        </w:numPr>
        <w:jc w:val="both"/>
      </w:pPr>
      <w:r>
        <w:t>Les profilés de résistance sont du type à plusieurs chambres. La chambre principale est suffisamment large pour l’introduction de profilés de renforcement en métal. Les profilés de résistance et les éventuels profilés de renforcement assurent ensemble la résistance mécanique de la menuiserie. La flèche est ≤ 1/300. Les notes de calculs et les dessins d'exécution avec le détail des profilés utilisés, des renforts, etc. sont soumis à la l’approbation de l'auteur de projet.</w:t>
      </w:r>
    </w:p>
    <w:p w14:paraId="57892F36" w14:textId="77777777" w:rsidR="00772179" w:rsidRDefault="00000000">
      <w:pPr>
        <w:pStyle w:val="Author-eListParagraph"/>
        <w:numPr>
          <w:ilvl w:val="0"/>
          <w:numId w:val="97"/>
        </w:numPr>
        <w:jc w:val="both"/>
      </w:pPr>
      <w:r>
        <w:t>Les assemblages d’angle des profilés de renforcement sont réalisés à l’aide de pièces spéciales appropriées, les angles sont soudés, étanchéifiés. Pour les cadres fixes, des profilés de dimensions normales sont utilisés et pour les vantaux ouvrants, des profilés étroits (renforcés) sont utilisés.</w:t>
      </w:r>
    </w:p>
    <w:p w14:paraId="44E506EE" w14:textId="77777777" w:rsidR="00772179" w:rsidRDefault="00000000">
      <w:pPr>
        <w:pStyle w:val="Author-eListParagraph"/>
        <w:numPr>
          <w:ilvl w:val="0"/>
          <w:numId w:val="97"/>
        </w:numPr>
        <w:jc w:val="both"/>
      </w:pPr>
      <w:r>
        <w:t>La feuillure extérieure des profilés de base contre laquelle le vitrage s'appuie présente une hauteur ≥ 18 mm et fait partie intégrante du profil de base. La largeur des parcloses dépend de la largeur du profil de résistance et de l'épaisseur du vitrage ou du panneautage. Les parcloses sont fixées par assemblage à enclenchement.</w:t>
      </w:r>
    </w:p>
    <w:p w14:paraId="2147A9E9" w14:textId="77777777" w:rsidR="00772179" w:rsidRDefault="00000000">
      <w:pPr>
        <w:jc w:val="both"/>
      </w:pPr>
      <w:r>
        <w:rPr>
          <w:b/>
        </w:rPr>
        <w:lastRenderedPageBreak/>
        <w:t>Assemblage &amp; Montage</w:t>
      </w:r>
    </w:p>
    <w:p w14:paraId="554E1421" w14:textId="77777777" w:rsidR="00772179" w:rsidRDefault="00000000">
      <w:pPr>
        <w:pStyle w:val="Author-eListParagraph"/>
        <w:numPr>
          <w:ilvl w:val="0"/>
          <w:numId w:val="98"/>
        </w:numPr>
        <w:jc w:val="both"/>
      </w:pPr>
      <w:r>
        <w:t>Le montage des profilés assure un assemblage étanche, selon la [NBN EN 514].</w:t>
      </w:r>
    </w:p>
    <w:p w14:paraId="2F671094" w14:textId="77777777" w:rsidR="00772179" w:rsidRDefault="00000000">
      <w:pPr>
        <w:pStyle w:val="Author-eListParagraph"/>
        <w:numPr>
          <w:ilvl w:val="0"/>
          <w:numId w:val="98"/>
        </w:numPr>
        <w:jc w:val="both"/>
      </w:pPr>
      <w:r>
        <w:t>Les angles d’assemblage ne sont en aucun cas constituer des points de résistance diminuée pour le châssis, ni occasionner en ces points une dégradation des propriétés des profilés. Conformément aux [STS 52.3], les profilés sont, par conséquent, assemblés par soudure thermique sans adjonction de matériau. Les soudures sont fraisées, nettoyées et polies. L'arasement des soudures ne diminue en aucun cas l'aspect esthétique des châssis. Un écart d'épaisseur ≤ 0,5 mm par rapport à la surface du profil est admis.</w:t>
      </w:r>
    </w:p>
    <w:p w14:paraId="1FF3C866" w14:textId="77777777" w:rsidR="00772179" w:rsidRDefault="00000000">
      <w:pPr>
        <w:pStyle w:val="Author-eListParagraph"/>
        <w:numPr>
          <w:ilvl w:val="0"/>
          <w:numId w:val="98"/>
        </w:numPr>
        <w:jc w:val="both"/>
      </w:pPr>
      <w:r>
        <w:t>Tous les montants intermédiaires et les assemblages transversaux sont, en principe, également assemblés par soudure thermique. Une exception peut uniquement être faite pour les assemblages en T et/ou en croix, où les assemblages mécaniques sont admis.</w:t>
      </w:r>
    </w:p>
    <w:p w14:paraId="665BA13B" w14:textId="77777777" w:rsidR="00772179" w:rsidRDefault="00000000">
      <w:pPr>
        <w:jc w:val="both"/>
      </w:pPr>
      <w:r>
        <w:rPr>
          <w:b/>
        </w:rPr>
        <w:t>Rainures De Drainage / Décompression / Évacuation Des Condensats</w:t>
      </w:r>
    </w:p>
    <w:p w14:paraId="64454CC4" w14:textId="77777777" w:rsidR="00772179" w:rsidRDefault="00000000">
      <w:pPr>
        <w:pStyle w:val="Author-eListParagraph"/>
        <w:numPr>
          <w:ilvl w:val="0"/>
          <w:numId w:val="99"/>
        </w:numPr>
        <w:jc w:val="both"/>
      </w:pPr>
      <w:r>
        <w:t>Une chambre d'évacuation de l'eau ou de décompression est située à l'extérieur du profil. Derrière celle-ci, se situe la chambre de renforcement. La troisième chambre est la chambre d'isolation et présente en outre une paroi supplémentaire pour la fixation des charnières.</w:t>
      </w:r>
    </w:p>
    <w:p w14:paraId="519EF077" w14:textId="77777777" w:rsidR="00772179" w:rsidRDefault="00000000">
      <w:pPr>
        <w:pStyle w:val="Author-eListParagraph"/>
        <w:numPr>
          <w:ilvl w:val="0"/>
          <w:numId w:val="99"/>
        </w:numPr>
        <w:jc w:val="both"/>
      </w:pPr>
      <w:r>
        <w:t>Les montants du cadre support sont profilés de manière telle que l'eau d'infiltration est évacuée avant les bandes d'étanchéité. L'évacuation de l'eau se fait donc sans que la chambre principale ne soit percée et s'effectue par des orifices d'évacuation ou des rainures afin que l'âme en métal ou les assemblages métalliques ne sont en aucune manière  en contact avec l'eau d'infiltration ou de condensation.</w:t>
      </w:r>
    </w:p>
    <w:p w14:paraId="597BE955" w14:textId="77777777" w:rsidR="00772179" w:rsidRDefault="00000000">
      <w:pPr>
        <w:pStyle w:val="Author-eListParagraph"/>
        <w:numPr>
          <w:ilvl w:val="0"/>
          <w:numId w:val="99"/>
        </w:numPr>
        <w:jc w:val="both"/>
      </w:pPr>
      <w:r>
        <w:t>Les dormants de même que les vantaux sont drainés par au moins deux rainures par vantail et par cadre. Cadre et vantail : écartement ≤ 60 cm du côté de la feuillure du vitrage et ≤ 130 cm dans le bas du profil.</w:t>
      </w:r>
    </w:p>
    <w:p w14:paraId="01B3557F" w14:textId="77777777" w:rsidR="00772179" w:rsidRDefault="00000000">
      <w:pPr>
        <w:pStyle w:val="Author-eListParagraph"/>
        <w:numPr>
          <w:ilvl w:val="0"/>
          <w:numId w:val="99"/>
        </w:numPr>
        <w:jc w:val="both"/>
      </w:pPr>
      <w:r>
        <w:t>Les traverses inférieures sont pourvues d'une chambre d'évacuation de l'eau qui contient suffisamment de trous d'écoulement de façon à empêcher toute infiltration d'eau vers l'intérieur. Au moins 2 ouvertures sont prévues. La distance entre ces ouvertures d'évacuation est ≤ 130 cm.</w:t>
      </w:r>
    </w:p>
    <w:p w14:paraId="57E3A707" w14:textId="77777777" w:rsidR="00772179" w:rsidRDefault="00000000">
      <w:pPr>
        <w:pStyle w:val="Author-eListParagraph"/>
        <w:numPr>
          <w:ilvl w:val="0"/>
          <w:numId w:val="99"/>
        </w:numPr>
        <w:jc w:val="both"/>
      </w:pPr>
      <w:r>
        <w:t>Les ouvertures d’écoulement sont protégées par un profilé de protection pour empêcher le refoulement de l’eau, au cas où un écoulement vers le bas serait impossible. A l'extérieur, les rainures sont recouvertes par un profil de protection.</w:t>
      </w:r>
    </w:p>
    <w:p w14:paraId="538B92BB" w14:textId="77777777" w:rsidR="00772179" w:rsidRDefault="00000000">
      <w:pPr>
        <w:pStyle w:val="Author-eListParagraph"/>
        <w:numPr>
          <w:ilvl w:val="0"/>
          <w:numId w:val="99"/>
        </w:numPr>
        <w:jc w:val="both"/>
      </w:pPr>
      <w:r>
        <w:t>Lorsqu'un double vitrage est prévu, la feuillure est pourvue d'un dispositif d'écoulement et de ventilation conformément à la [NIT 221].</w:t>
      </w:r>
    </w:p>
    <w:p w14:paraId="2C8902F3" w14:textId="77777777" w:rsidR="00772179" w:rsidRDefault="00000000">
      <w:pPr>
        <w:jc w:val="both"/>
      </w:pPr>
      <w:r>
        <w:rPr>
          <w:b/>
          <w:u w:val="single"/>
        </w:rPr>
        <w:t>Menuiserie de réemploi hors site</w:t>
      </w:r>
    </w:p>
    <w:p w14:paraId="1F42F726" w14:textId="77777777" w:rsidR="00772179" w:rsidRDefault="00000000">
      <w:pPr>
        <w:jc w:val="both"/>
      </w:pPr>
      <w:r>
        <w:t>Les profilés sont exempts de griffures ou autres dégradations visuelles. Les soudures des angles ne présentent pas de fissuration. Toute dégradation du film extérieur décoratif (non acceptée par l’auteur de projet) fait l’objet d’un remplacement.</w:t>
      </w:r>
    </w:p>
    <w:p w14:paraId="67104298" w14:textId="77777777" w:rsidR="00772179" w:rsidRDefault="00000000">
      <w:pPr>
        <w:pStyle w:val="pheading"/>
      </w:pPr>
      <w:r>
        <w:t>EXÉCUTION / MISE EN ŒUVRE</w:t>
      </w:r>
    </w:p>
    <w:p w14:paraId="75D7C098" w14:textId="77777777" w:rsidR="00772179" w:rsidRDefault="00000000">
      <w:pPr>
        <w:jc w:val="both"/>
      </w:pPr>
      <w:r>
        <w:t>La fourniture et la pose des fenêtres et portes-fenêtres neuves répondent aux prescriptions des [NBN B 25-002-1], [NIT 283] et [STS 52.3] et à l'élément </w:t>
      </w:r>
      <w:hyperlink w:anchor="64" w:history="1">
        <w:r>
          <w:rPr>
            <w:color w:val="0000EE"/>
          </w:rPr>
          <w:t>41.1 Fenêtres et portes-fenêtres</w:t>
        </w:r>
      </w:hyperlink>
      <w:r>
        <w:t>.</w:t>
      </w:r>
    </w:p>
    <w:p w14:paraId="71047F53" w14:textId="77777777" w:rsidR="00772179" w:rsidRDefault="00000000">
      <w:pPr>
        <w:jc w:val="both"/>
      </w:pPr>
      <w:r>
        <w:t>Toutes les pièces moulées par injection et autres profilés font partie de la gamme des profilés.</w:t>
      </w:r>
    </w:p>
    <w:p w14:paraId="549599F3" w14:textId="77777777" w:rsidR="00772179" w:rsidRDefault="00000000">
      <w:pPr>
        <w:ind w:left="750"/>
      </w:pPr>
      <w:r>
        <w:t> </w:t>
      </w:r>
    </w:p>
    <w:p w14:paraId="0A3FD06E" w14:textId="77777777" w:rsidR="00772179" w:rsidRDefault="00000000">
      <w:pPr>
        <w:pStyle w:val="pheading"/>
      </w:pPr>
      <w:r>
        <w:t>CONTRÔLES</w:t>
      </w:r>
    </w:p>
    <w:p w14:paraId="4D2BB492" w14:textId="77777777" w:rsidR="00772179" w:rsidRDefault="00000000">
      <w:pPr>
        <w:jc w:val="both"/>
      </w:pPr>
      <w:r>
        <w:t>Pour les menuiseries de réemploi, les contrôles comprennent les points suivants :</w:t>
      </w:r>
    </w:p>
    <w:p w14:paraId="20BB301D" w14:textId="77777777" w:rsidR="00772179" w:rsidRDefault="00000000">
      <w:pPr>
        <w:pStyle w:val="Author-eListParagraph"/>
        <w:numPr>
          <w:ilvl w:val="0"/>
          <w:numId w:val="100"/>
        </w:numPr>
        <w:jc w:val="both"/>
      </w:pPr>
      <w:r>
        <w:t>la présence fonctionnelles des drainages de chambres de décompression et de feuillure</w:t>
      </w:r>
    </w:p>
    <w:p w14:paraId="483191AA" w14:textId="77777777" w:rsidR="00772179" w:rsidRDefault="00000000">
      <w:pPr>
        <w:pStyle w:val="Author-eListParagraph"/>
        <w:numPr>
          <w:ilvl w:val="0"/>
          <w:numId w:val="100"/>
        </w:numPr>
        <w:jc w:val="both"/>
      </w:pPr>
      <w:r>
        <w:t>l’absence de fissuration des angles et assemblages</w:t>
      </w:r>
    </w:p>
    <w:p w14:paraId="30AE0B63" w14:textId="77777777" w:rsidR="00772179" w:rsidRDefault="00000000">
      <w:pPr>
        <w:pStyle w:val="Author-eListParagraph"/>
        <w:numPr>
          <w:ilvl w:val="0"/>
          <w:numId w:val="100"/>
        </w:numPr>
        <w:jc w:val="both"/>
      </w:pPr>
      <w:r>
        <w:t>la qualité de surface du PVC</w:t>
      </w:r>
    </w:p>
    <w:p w14:paraId="1FF7ACA2" w14:textId="77777777" w:rsidR="00772179" w:rsidRDefault="00000000">
      <w:pPr>
        <w:pStyle w:val="Author-eListParagraph"/>
        <w:numPr>
          <w:ilvl w:val="0"/>
          <w:numId w:val="100"/>
        </w:numPr>
        <w:jc w:val="both"/>
      </w:pPr>
      <w:r>
        <w:t>la qualité des préformés d’étanchéité</w:t>
      </w:r>
    </w:p>
    <w:p w14:paraId="7BA68A41" w14:textId="77777777" w:rsidR="00772179" w:rsidRDefault="00000000">
      <w:pPr>
        <w:pStyle w:val="Author-eListParagraph"/>
        <w:numPr>
          <w:ilvl w:val="0"/>
          <w:numId w:val="100"/>
        </w:numPr>
        <w:jc w:val="both"/>
      </w:pPr>
      <w:r>
        <w:t>la qualité et le réglage des points de fermeture.</w:t>
      </w:r>
    </w:p>
    <w:p w14:paraId="3F12E3CA" w14:textId="77777777" w:rsidR="00772179" w:rsidRDefault="00000000">
      <w:pPr>
        <w:pStyle w:val="Author-eListParagraph"/>
        <w:numPr>
          <w:ilvl w:val="0"/>
          <w:numId w:val="100"/>
        </w:numPr>
        <w:jc w:val="both"/>
      </w:pPr>
      <w:r>
        <w:t>la qualité des points de suspension et de la quincaillerie </w:t>
      </w:r>
    </w:p>
    <w:p w14:paraId="52B97FBE" w14:textId="77777777" w:rsidR="00772179" w:rsidRDefault="00000000">
      <w:pPr>
        <w:pStyle w:val="Author-eListParagraph"/>
        <w:numPr>
          <w:ilvl w:val="0"/>
          <w:numId w:val="100"/>
        </w:numPr>
        <w:jc w:val="both"/>
      </w:pPr>
      <w:r>
        <w:t>la rectitude des ouvrants (égalité des diagonales)</w:t>
      </w:r>
    </w:p>
    <w:p w14:paraId="3166812E" w14:textId="77777777" w:rsidR="00772179" w:rsidRDefault="00000000">
      <w:pPr>
        <w:pStyle w:val="pheading"/>
      </w:pPr>
      <w:r>
        <w:lastRenderedPageBreak/>
        <w:t>DOCUMENTS DE RÉFÉRENCE</w:t>
      </w:r>
    </w:p>
    <w:p w14:paraId="44767D6E" w14:textId="77777777" w:rsidR="00772179" w:rsidRDefault="00000000">
      <w:pPr>
        <w:pStyle w:val="pheading"/>
      </w:pPr>
      <w:r>
        <w:t>- Matériau</w:t>
      </w:r>
    </w:p>
    <w:p w14:paraId="10B6B5E3" w14:textId="77777777" w:rsidR="00772179" w:rsidRDefault="00000000">
      <w:r>
        <w:t>[NBN B 25-002-1, Menuiserie extérieure - Partie 1: Prescription des performances générales – Fenêtres et façades rideaux]</w:t>
      </w:r>
    </w:p>
    <w:p w14:paraId="4C6C7F89" w14:textId="77777777" w:rsidR="00772179" w:rsidRDefault="00000000">
      <w:r>
        <w:t>[NIT 283, La pose des menuiseries extérieures. Partie 1 : aspects généraux.]</w:t>
      </w:r>
    </w:p>
    <w:p w14:paraId="79657BD7" w14:textId="77777777" w:rsidR="00772179" w:rsidRDefault="00000000">
      <w:r>
        <w:t>[NIT 221, La pose des vitrages en feuillure (Les NIT 214 et 221 remplacent les NIT 110 et 113).]</w:t>
      </w:r>
    </w:p>
    <w:p w14:paraId="454CD57A" w14:textId="77777777" w:rsidR="00772179" w:rsidRDefault="00000000">
      <w:r>
        <w:t>[STS 52.3, Menuiserie extérieure en PVC]</w:t>
      </w:r>
    </w:p>
    <w:p w14:paraId="2FA6723A" w14:textId="77777777" w:rsidR="00772179" w:rsidRDefault="00000000">
      <w:r>
        <w:t>[NBN B 25-002-5, Menuiseries extérieures. Partie 5 : Prescriptions pour les profilés et les châssis en PVC-U]</w:t>
      </w:r>
    </w:p>
    <w:p w14:paraId="1F78EACC" w14:textId="77777777" w:rsidR="00772179" w:rsidRDefault="00000000">
      <w:pPr>
        <w:ind w:left="750"/>
      </w:pPr>
      <w:r>
        <w:t> </w:t>
      </w:r>
    </w:p>
    <w:p w14:paraId="7CD451C6" w14:textId="77777777" w:rsidR="00772179" w:rsidRDefault="00000000">
      <w:pPr>
        <w:pStyle w:val="Author-eSectionHeading5Numberless"/>
      </w:pPr>
      <w:bookmarkStart w:id="39" w:name="_Toc220489793"/>
      <w:r>
        <w:t>41.14.1 Fenêtre et portes-fenêtres en PVC sans coupure thermique CCTB 01.02</w:t>
      </w:r>
      <w:bookmarkEnd w:id="39"/>
    </w:p>
    <w:p w14:paraId="78520593" w14:textId="77777777" w:rsidR="00772179" w:rsidRDefault="00000000">
      <w:pPr>
        <w:pStyle w:val="Author-eSectionHeading6Numberless"/>
      </w:pPr>
      <w:bookmarkStart w:id="40" w:name="_Toc220489794"/>
      <w:r>
        <w:t>41.14.1a Fenêtre et portes-fenêtres en PVC sans coupure thermique CCTB 01.11</w:t>
      </w:r>
      <w:bookmarkEnd w:id="40"/>
    </w:p>
    <w:p w14:paraId="7DACC0ED" w14:textId="77777777" w:rsidR="00772179" w:rsidRDefault="00000000">
      <w:pPr>
        <w:pStyle w:val="pheading"/>
      </w:pPr>
      <w:r>
        <w:t>DESCRIPTION</w:t>
      </w:r>
    </w:p>
    <w:p w14:paraId="67722CEC" w14:textId="77777777" w:rsidR="00772179" w:rsidRDefault="00000000">
      <w:pPr>
        <w:pStyle w:val="pheading"/>
      </w:pPr>
      <w:r>
        <w:t>- Définition / Comprend</w:t>
      </w:r>
    </w:p>
    <w:p w14:paraId="22323812" w14:textId="77777777" w:rsidR="00772179" w:rsidRDefault="00000000">
      <w:pPr>
        <w:jc w:val="both"/>
      </w:pPr>
      <w:r>
        <w:t>Il s’agit de la fourniture (hors matériaux récupérés du même site) et la pose de fenêtres et portes-fenêtres extérieures en PVC.</w:t>
      </w:r>
    </w:p>
    <w:p w14:paraId="7B9DD850" w14:textId="77777777" w:rsidR="00772179" w:rsidRDefault="00000000">
      <w:pPr>
        <w:jc w:val="both"/>
      </w:pPr>
      <w:r>
        <w:t>Le travail comprend notamment :</w:t>
      </w:r>
    </w:p>
    <w:p w14:paraId="718063BB" w14:textId="77777777" w:rsidR="00772179" w:rsidRDefault="00000000">
      <w:pPr>
        <w:pStyle w:val="Author-eListParagraph"/>
        <w:numPr>
          <w:ilvl w:val="0"/>
          <w:numId w:val="101"/>
        </w:numPr>
        <w:jc w:val="both"/>
      </w:pPr>
      <w:r>
        <w:t>la pose, resserrage,</w:t>
      </w:r>
    </w:p>
    <w:p w14:paraId="657EE1B6" w14:textId="77777777" w:rsidR="00772179" w:rsidRDefault="00000000">
      <w:pPr>
        <w:pStyle w:val="Author-eListParagraph"/>
        <w:numPr>
          <w:ilvl w:val="0"/>
          <w:numId w:val="101"/>
        </w:numPr>
        <w:jc w:val="both"/>
      </w:pPr>
      <w:r>
        <w:t>la finition et le réglage des menuiseries extérieures    </w:t>
      </w:r>
    </w:p>
    <w:p w14:paraId="4FA5E8CB" w14:textId="77777777" w:rsidR="00772179" w:rsidRDefault="00000000">
      <w:pPr>
        <w:pStyle w:val="pheading"/>
      </w:pPr>
      <w:r>
        <w:t>MATÉRIAUX</w:t>
      </w:r>
    </w:p>
    <w:p w14:paraId="2AE0A03E" w14:textId="77777777" w:rsidR="00772179" w:rsidRDefault="00000000">
      <w:pPr>
        <w:pStyle w:val="pheading"/>
      </w:pPr>
      <w:r>
        <w:t>- Caractéristiques générales</w:t>
      </w:r>
    </w:p>
    <w:p w14:paraId="067044F7" w14:textId="77777777" w:rsidR="00772179" w:rsidRDefault="00000000">
      <w:pPr>
        <w:jc w:val="both"/>
      </w:pPr>
      <w:r>
        <w:t>Les fenêtres et portes-fenêtres en PVC sont conformes aux prescriptions des [STS 52.3]. </w:t>
      </w:r>
    </w:p>
    <w:p w14:paraId="1C12746D" w14:textId="77777777" w:rsidR="00772179" w:rsidRDefault="00000000">
      <w:pPr>
        <w:pStyle w:val="Author-eListParagraph"/>
        <w:numPr>
          <w:ilvl w:val="0"/>
          <w:numId w:val="102"/>
        </w:numPr>
      </w:pPr>
      <w:r>
        <w:t xml:space="preserve">Dimensions : </w:t>
      </w:r>
      <w:r>
        <w:rPr>
          <w:rStyle w:val="optioncarChar"/>
        </w:rPr>
        <w:t xml:space="preserve">*** x *** </w:t>
      </w:r>
      <w:r>
        <w:t>mm</w:t>
      </w:r>
      <w:r>
        <w:rPr>
          <w:rStyle w:val="optioncarChar"/>
        </w:rPr>
        <w:t xml:space="preserve"> / mesurage sur place</w:t>
      </w:r>
      <w:r>
        <w:t xml:space="preserve"> (par défaut)  </w:t>
      </w:r>
    </w:p>
    <w:p w14:paraId="0B093206" w14:textId="77777777" w:rsidR="00772179" w:rsidRDefault="00000000">
      <w:pPr>
        <w:jc w:val="both"/>
      </w:pPr>
      <w:r>
        <w:t>Les menuiseries extérieures sont </w:t>
      </w:r>
      <w:r>
        <w:rPr>
          <w:rStyle w:val="optioncarChar"/>
        </w:rPr>
        <w:t xml:space="preserve">neuves </w:t>
      </w:r>
      <w:r>
        <w:t>(par défaut)</w:t>
      </w:r>
      <w:r>
        <w:rPr>
          <w:rStyle w:val="optioncarChar"/>
        </w:rPr>
        <w:t xml:space="preserve"> / de réemploi.</w:t>
      </w:r>
    </w:p>
    <w:p w14:paraId="7AD0BB09" w14:textId="77777777" w:rsidR="00772179" w:rsidRDefault="00000000">
      <w:pPr>
        <w:ind w:left="567"/>
        <w:jc w:val="both"/>
      </w:pPr>
      <w:r>
        <w:rPr>
          <w:b/>
          <w:i/>
        </w:rPr>
        <w:t>(soit par défaut)</w:t>
      </w:r>
    </w:p>
    <w:p w14:paraId="34A44494" w14:textId="77777777" w:rsidR="00772179" w:rsidRDefault="00000000">
      <w:pPr>
        <w:ind w:left="567"/>
        <w:jc w:val="both"/>
      </w:pPr>
      <w:r>
        <w:rPr>
          <w:rStyle w:val="soitChar"/>
          <w:u w:val="single"/>
        </w:rPr>
        <w:t>Neuves :</w:t>
      </w:r>
    </w:p>
    <w:p w14:paraId="1CE7A26E" w14:textId="77777777" w:rsidR="00772179" w:rsidRDefault="00000000">
      <w:pPr>
        <w:ind w:left="567"/>
        <w:jc w:val="both"/>
      </w:pPr>
      <w:r>
        <w:rPr>
          <w:rStyle w:val="soitChar"/>
        </w:rPr>
        <w:t xml:space="preserve">Conformément aux [STS 52.3], les profilés sont munis de renforts (exception faite des menuiseries PVC de petites dimensions et de couleur blanche). Les renforts sont </w:t>
      </w:r>
      <w:r>
        <w:rPr>
          <w:rStyle w:val="optioncarChar"/>
        </w:rPr>
        <w:t>en acier galvanisé</w:t>
      </w:r>
      <w:r>
        <w:t xml:space="preserve"> (par défaut)</w:t>
      </w:r>
      <w:r>
        <w:rPr>
          <w:rStyle w:val="optioncarChar"/>
        </w:rPr>
        <w:t xml:space="preserve"> / synthétiques / ***</w:t>
      </w:r>
      <w:r>
        <w:rPr>
          <w:rStyle w:val="soitChar"/>
        </w:rPr>
        <w:t>.</w:t>
      </w:r>
    </w:p>
    <w:p w14:paraId="7D4F266E" w14:textId="77777777" w:rsidR="00772179" w:rsidRDefault="00000000">
      <w:pPr>
        <w:ind w:left="567"/>
        <w:jc w:val="both"/>
      </w:pPr>
      <w:r>
        <w:rPr>
          <w:rStyle w:val="soitChar"/>
        </w:rPr>
        <w:t xml:space="preserve">Les profilés sont composés de pvc </w:t>
      </w:r>
      <w:r>
        <w:rPr>
          <w:rStyle w:val="optioncarChar"/>
        </w:rPr>
        <w:t xml:space="preserve">blanc </w:t>
      </w:r>
      <w:r>
        <w:t>(par défaut)</w:t>
      </w:r>
      <w:r>
        <w:rPr>
          <w:rStyle w:val="optioncarChar"/>
        </w:rPr>
        <w:t> / coloré dans la masse de couleur ***</w:t>
      </w:r>
    </w:p>
    <w:p w14:paraId="60824D4F" w14:textId="77777777" w:rsidR="00772179" w:rsidRDefault="00000000">
      <w:pPr>
        <w:ind w:left="567"/>
        <w:jc w:val="both"/>
      </w:pPr>
      <w:r>
        <w:rPr>
          <w:rStyle w:val="soitChar"/>
        </w:rPr>
        <w:t>Les profilés en PVC sont conformes aux exigences de la norme [NBN EN 12608-1:2016+A1].</w:t>
      </w:r>
    </w:p>
    <w:p w14:paraId="01DCB994" w14:textId="77777777" w:rsidR="00772179" w:rsidRDefault="00000000">
      <w:pPr>
        <w:ind w:left="567"/>
        <w:jc w:val="both"/>
      </w:pPr>
      <w:r>
        <w:rPr>
          <w:rStyle w:val="soitChar"/>
          <w:b/>
        </w:rPr>
        <w:t>Forme et dimensions des profils</w:t>
      </w:r>
    </w:p>
    <w:p w14:paraId="0BC80922" w14:textId="77777777" w:rsidR="00772179" w:rsidRDefault="00000000">
      <w:pPr>
        <w:ind w:left="567"/>
        <w:jc w:val="both"/>
      </w:pPr>
      <w:r>
        <w:rPr>
          <w:rStyle w:val="soitChar"/>
        </w:rP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 </w:t>
      </w:r>
    </w:p>
    <w:p w14:paraId="141310D5" w14:textId="77777777" w:rsidR="00772179" w:rsidRDefault="00000000">
      <w:pPr>
        <w:pStyle w:val="Author-eListParagraph"/>
        <w:numPr>
          <w:ilvl w:val="1"/>
          <w:numId w:val="104"/>
        </w:numPr>
        <w:jc w:val="both"/>
      </w:pPr>
      <w:r>
        <w:rPr>
          <w:rStyle w:val="soitChar"/>
        </w:rPr>
        <w:t xml:space="preserve">hauteur du profil : </w:t>
      </w:r>
      <w:r>
        <w:rPr>
          <w:rStyle w:val="optioncarChar"/>
        </w:rPr>
        <w:t>85</w:t>
      </w:r>
      <w:r>
        <w:t xml:space="preserve"> (par défaut)</w:t>
      </w:r>
      <w:r>
        <w:rPr>
          <w:rStyle w:val="optioncarChar"/>
        </w:rPr>
        <w:t>  / ***</w:t>
      </w:r>
      <w:r>
        <w:rPr>
          <w:rStyle w:val="soitChar"/>
        </w:rPr>
        <w:t xml:space="preserve"> mm.</w:t>
      </w:r>
    </w:p>
    <w:p w14:paraId="3A797DAF" w14:textId="77777777" w:rsidR="00772179" w:rsidRDefault="00000000">
      <w:pPr>
        <w:pStyle w:val="Author-eListParagraph"/>
        <w:numPr>
          <w:ilvl w:val="1"/>
          <w:numId w:val="104"/>
        </w:numPr>
        <w:jc w:val="both"/>
      </w:pPr>
      <w:r>
        <w:rPr>
          <w:rStyle w:val="soitChar"/>
        </w:rPr>
        <w:t xml:space="preserve">profondeur  du profil : </w:t>
      </w:r>
      <w:r>
        <w:rPr>
          <w:rStyle w:val="optioncarChar"/>
        </w:rPr>
        <w:t>75</w:t>
      </w:r>
      <w:r>
        <w:t xml:space="preserve"> (par défaut)  </w:t>
      </w:r>
      <w:r>
        <w:rPr>
          <w:rStyle w:val="optioncarChar"/>
        </w:rPr>
        <w:t>/ 65 / ***</w:t>
      </w:r>
      <w:r>
        <w:rPr>
          <w:rStyle w:val="soitChar"/>
        </w:rPr>
        <w:t xml:space="preserve"> mm.</w:t>
      </w:r>
      <w:r>
        <w:t> </w:t>
      </w:r>
    </w:p>
    <w:p w14:paraId="61D763A6" w14:textId="77777777" w:rsidR="00772179" w:rsidRDefault="00000000">
      <w:pPr>
        <w:ind w:left="567"/>
        <w:jc w:val="both"/>
      </w:pPr>
      <w:r>
        <w:rPr>
          <w:rStyle w:val="soitChar"/>
        </w:rPr>
        <w:t xml:space="preserve">Les profilés disposent </w:t>
      </w:r>
      <w:r>
        <w:rPr>
          <w:rStyle w:val="optioncarChar"/>
        </w:rPr>
        <w:t>d’une chambre de décompression</w:t>
      </w:r>
      <w:r>
        <w:t xml:space="preserve"> (par défaut) </w:t>
      </w:r>
      <w:r>
        <w:rPr>
          <w:rStyle w:val="optioncarChar"/>
        </w:rPr>
        <w:t>/ d’aucune chambre de décompression</w:t>
      </w:r>
      <w:r>
        <w:rPr>
          <w:rStyle w:val="soitChar"/>
        </w:rPr>
        <w:t>. </w:t>
      </w:r>
    </w:p>
    <w:p w14:paraId="1F16BAF6" w14:textId="77777777" w:rsidR="00772179" w:rsidRDefault="00000000">
      <w:pPr>
        <w:ind w:left="567"/>
        <w:jc w:val="both"/>
      </w:pPr>
      <w:r>
        <w:rPr>
          <w:rStyle w:val="soitChar"/>
          <w:b/>
        </w:rPr>
        <w:lastRenderedPageBreak/>
        <w:t>Performances</w:t>
      </w:r>
    </w:p>
    <w:p w14:paraId="460F392C" w14:textId="77777777" w:rsidR="00772179" w:rsidRDefault="00000000">
      <w:pPr>
        <w:pStyle w:val="Author-eListParagraph"/>
        <w:numPr>
          <w:ilvl w:val="1"/>
          <w:numId w:val="106"/>
        </w:numPr>
        <w:jc w:val="both"/>
      </w:pPr>
      <w:r>
        <w:rPr>
          <w:rStyle w:val="soitChar"/>
        </w:rPr>
        <w:t>Performances thermiques : La valeur Uf est inférieure à  </w:t>
      </w:r>
      <w:r>
        <w:rPr>
          <w:rStyle w:val="optioncarChar"/>
        </w:rPr>
        <w:t xml:space="preserve">1.96 </w:t>
      </w:r>
      <w:r>
        <w:t>(par défaut)</w:t>
      </w:r>
      <w:r>
        <w:rPr>
          <w:rStyle w:val="optioncarChar"/>
        </w:rPr>
        <w:t xml:space="preserve"> / *** </w:t>
      </w:r>
      <w:r>
        <w:t>W/m²K</w:t>
      </w:r>
    </w:p>
    <w:p w14:paraId="5111239A" w14:textId="77777777" w:rsidR="00772179" w:rsidRDefault="00000000">
      <w:pPr>
        <w:pStyle w:val="Author-eListParagraph"/>
        <w:numPr>
          <w:ilvl w:val="1"/>
          <w:numId w:val="106"/>
        </w:numPr>
        <w:jc w:val="both"/>
      </w:pPr>
      <w:r>
        <w:rPr>
          <w:rStyle w:val="soitChar"/>
        </w:rPr>
        <w:t xml:space="preserve">Etanchéité à l’air : classe </w:t>
      </w:r>
      <w:r>
        <w:rPr>
          <w:rStyle w:val="optioncarChar"/>
        </w:rPr>
        <w:t xml:space="preserve">4 </w:t>
      </w:r>
      <w:r>
        <w:t>(par défaut)   </w:t>
      </w:r>
      <w:r>
        <w:rPr>
          <w:rStyle w:val="optioncarChar"/>
        </w:rPr>
        <w:t>/ dont le débit à 50 Pa est inférieur à 0.8 m³/h/m²  /  classe ***  / ***.</w:t>
      </w:r>
    </w:p>
    <w:p w14:paraId="198FA3E3" w14:textId="77777777" w:rsidR="00772179" w:rsidRDefault="00000000">
      <w:pPr>
        <w:pStyle w:val="Author-eListParagraph"/>
        <w:numPr>
          <w:ilvl w:val="1"/>
          <w:numId w:val="106"/>
        </w:numPr>
        <w:jc w:val="both"/>
      </w:pPr>
      <w:r>
        <w:rPr>
          <w:rStyle w:val="soitChar"/>
        </w:rPr>
        <w:t xml:space="preserve">Etanchéité à l’eau : classe </w:t>
      </w:r>
      <w:r>
        <w:rPr>
          <w:rStyle w:val="optioncarChar"/>
        </w:rPr>
        <w:t>6</w:t>
      </w:r>
      <w:r>
        <w:rPr>
          <w:rStyle w:val="optioncarChar"/>
          <w:vertAlign w:val="subscript"/>
        </w:rPr>
        <w:t>A </w:t>
      </w:r>
      <w:r>
        <w:t xml:space="preserve">(par défaut) </w:t>
      </w:r>
      <w:r>
        <w:rPr>
          <w:rStyle w:val="optioncarChar"/>
        </w:rPr>
        <w:t>/ ***</w:t>
      </w:r>
    </w:p>
    <w:p w14:paraId="368F063F" w14:textId="77777777" w:rsidR="00772179" w:rsidRDefault="00000000">
      <w:pPr>
        <w:pStyle w:val="Author-eListParagraph"/>
        <w:numPr>
          <w:ilvl w:val="1"/>
          <w:numId w:val="106"/>
        </w:numPr>
        <w:jc w:val="both"/>
      </w:pPr>
      <w:r>
        <w:rPr>
          <w:rStyle w:val="soitChar"/>
        </w:rPr>
        <w:t xml:space="preserve">Résistance au Vent : classe </w:t>
      </w:r>
      <w:r>
        <w:rPr>
          <w:rStyle w:val="optioncarChar"/>
        </w:rPr>
        <w:t xml:space="preserve">C3 </w:t>
      </w:r>
      <w:r>
        <w:t>(par défaut)</w:t>
      </w:r>
      <w:r>
        <w:rPr>
          <w:rStyle w:val="optioncarChar"/>
        </w:rPr>
        <w:t xml:space="preserve"> / ***</w:t>
      </w:r>
    </w:p>
    <w:p w14:paraId="27EF5D01" w14:textId="77777777" w:rsidR="00772179" w:rsidRDefault="00000000">
      <w:pPr>
        <w:pStyle w:val="Author-eListParagraph"/>
        <w:numPr>
          <w:ilvl w:val="1"/>
          <w:numId w:val="106"/>
        </w:numPr>
        <w:jc w:val="both"/>
      </w:pPr>
      <w:r>
        <w:rPr>
          <w:rStyle w:val="soitChar"/>
        </w:rPr>
        <w:t>D’effort de manœuvre : classe </w:t>
      </w:r>
      <w:r>
        <w:rPr>
          <w:rStyle w:val="optioncarChar"/>
        </w:rPr>
        <w:t xml:space="preserve">1 </w:t>
      </w:r>
      <w:r>
        <w:t>(par défaut)</w:t>
      </w:r>
      <w:r>
        <w:rPr>
          <w:rStyle w:val="optioncarChar"/>
        </w:rPr>
        <w:t xml:space="preserve"> / 2 (PMR) / ***</w:t>
      </w:r>
    </w:p>
    <w:p w14:paraId="24CFB918" w14:textId="77777777" w:rsidR="00772179" w:rsidRDefault="00000000">
      <w:pPr>
        <w:pStyle w:val="Author-eListParagraph"/>
        <w:numPr>
          <w:ilvl w:val="1"/>
          <w:numId w:val="106"/>
        </w:numPr>
        <w:jc w:val="both"/>
      </w:pPr>
      <w:r>
        <w:rPr>
          <w:rStyle w:val="soitChar"/>
        </w:rPr>
        <w:t xml:space="preserve">Abus d’Utilisation : classe </w:t>
      </w:r>
      <w:r>
        <w:rPr>
          <w:rStyle w:val="optioncarChar"/>
        </w:rPr>
        <w:t>3</w:t>
      </w:r>
      <w:r>
        <w:t xml:space="preserve"> (par défaut) </w:t>
      </w:r>
      <w:r>
        <w:rPr>
          <w:rStyle w:val="optioncarChar"/>
        </w:rPr>
        <w:t>/ 4 (écoles, bâtiments publics) / ***</w:t>
      </w:r>
    </w:p>
    <w:p w14:paraId="4FFC9D5E" w14:textId="77777777" w:rsidR="00772179" w:rsidRDefault="00000000">
      <w:pPr>
        <w:pStyle w:val="Author-eListParagraph"/>
        <w:numPr>
          <w:ilvl w:val="1"/>
          <w:numId w:val="106"/>
        </w:numPr>
        <w:jc w:val="both"/>
      </w:pPr>
      <w:r>
        <w:rPr>
          <w:rStyle w:val="soitChar"/>
        </w:rPr>
        <w:t xml:space="preserve">Performances acoustiques D Atr = </w:t>
      </w:r>
      <w:r>
        <w:rPr>
          <w:rStyle w:val="optioncarChar"/>
        </w:rPr>
        <w:t xml:space="preserve">39 </w:t>
      </w:r>
      <w:r>
        <w:t>(par défaut)</w:t>
      </w:r>
      <w:r>
        <w:rPr>
          <w:rStyle w:val="optioncarChar"/>
        </w:rPr>
        <w:t xml:space="preserve"> / 42 / *** dB</w:t>
      </w:r>
    </w:p>
    <w:p w14:paraId="292DFC36" w14:textId="77777777" w:rsidR="00772179" w:rsidRDefault="00000000">
      <w:pPr>
        <w:pStyle w:val="Author-eListParagraph"/>
        <w:numPr>
          <w:ilvl w:val="1"/>
          <w:numId w:val="106"/>
        </w:numPr>
        <w:jc w:val="both"/>
      </w:pPr>
      <w:r>
        <w:rPr>
          <w:rStyle w:val="soitChar"/>
        </w:rPr>
        <w:t xml:space="preserve">Résistance à l’effraction : classe </w:t>
      </w:r>
      <w:r>
        <w:rPr>
          <w:rStyle w:val="optioncarChar"/>
        </w:rPr>
        <w:t>0</w:t>
      </w:r>
      <w:r>
        <w:t xml:space="preserve"> (par défaut)</w:t>
      </w:r>
      <w:r>
        <w:rPr>
          <w:rStyle w:val="optioncarChar"/>
        </w:rPr>
        <w:t xml:space="preserve"> /1 (sans performance particulière) / 2 ( résistance à l’effraction de base) / ***</w:t>
      </w:r>
    </w:p>
    <w:p w14:paraId="64316E05" w14:textId="77777777" w:rsidR="00772179" w:rsidRDefault="00000000">
      <w:pPr>
        <w:pStyle w:val="Author-eListParagraph"/>
        <w:numPr>
          <w:ilvl w:val="1"/>
          <w:numId w:val="106"/>
        </w:numPr>
        <w:jc w:val="both"/>
      </w:pPr>
      <w:r>
        <w:rPr>
          <w:rStyle w:val="soitChar"/>
        </w:rPr>
        <w:t xml:space="preserve">Résistance à l’explosion : </w:t>
      </w:r>
      <w:r>
        <w:rPr>
          <w:rStyle w:val="optioncarChar"/>
        </w:rPr>
        <w:t xml:space="preserve">pas de performance </w:t>
      </w:r>
      <w:r>
        <w:t xml:space="preserve">(par défaut) </w:t>
      </w:r>
      <w:r>
        <w:rPr>
          <w:rStyle w:val="optioncarChar"/>
        </w:rPr>
        <w:t>/ ***</w:t>
      </w:r>
    </w:p>
    <w:p w14:paraId="57569DD1" w14:textId="77777777" w:rsidR="00772179" w:rsidRDefault="00000000">
      <w:pPr>
        <w:pStyle w:val="Author-eListParagraph"/>
        <w:numPr>
          <w:ilvl w:val="1"/>
          <w:numId w:val="106"/>
        </w:numPr>
        <w:jc w:val="both"/>
      </w:pPr>
      <w:r>
        <w:rPr>
          <w:rStyle w:val="soitChar"/>
        </w:rPr>
        <w:t xml:space="preserve">Résistance aux balles :  </w:t>
      </w:r>
      <w:r>
        <w:rPr>
          <w:rStyle w:val="optioncarChar"/>
        </w:rPr>
        <w:t xml:space="preserve">pas de performance </w:t>
      </w:r>
      <w:r>
        <w:t xml:space="preserve">(par défaut) </w:t>
      </w:r>
      <w:r>
        <w:rPr>
          <w:rStyle w:val="optioncarChar"/>
        </w:rPr>
        <w:t>/ ***</w:t>
      </w:r>
    </w:p>
    <w:p w14:paraId="30F13943" w14:textId="77777777" w:rsidR="00772179" w:rsidRDefault="00000000">
      <w:pPr>
        <w:pStyle w:val="Author-eListParagraph"/>
        <w:numPr>
          <w:ilvl w:val="1"/>
          <w:numId w:val="106"/>
        </w:numPr>
        <w:jc w:val="both"/>
      </w:pPr>
      <w:r>
        <w:rPr>
          <w:rStyle w:val="soitChar"/>
        </w:rPr>
        <w:t xml:space="preserve">Résistance et réaction au feu : </w:t>
      </w:r>
      <w:r>
        <w:rPr>
          <w:rStyle w:val="optioncarChar"/>
        </w:rPr>
        <w:t xml:space="preserve">pas de performance </w:t>
      </w:r>
      <w:r>
        <w:t>(par défaut)</w:t>
      </w:r>
      <w:r>
        <w:rPr>
          <w:rStyle w:val="optioncarChar"/>
        </w:rPr>
        <w:t> / ***</w:t>
      </w:r>
    </w:p>
    <w:p w14:paraId="312E8D1E" w14:textId="77777777" w:rsidR="00772179" w:rsidRDefault="00000000">
      <w:pPr>
        <w:pStyle w:val="Author-eListParagraph"/>
        <w:numPr>
          <w:ilvl w:val="1"/>
          <w:numId w:val="106"/>
        </w:numPr>
        <w:jc w:val="both"/>
      </w:pPr>
      <w:r>
        <w:rPr>
          <w:rStyle w:val="soitChar"/>
        </w:rPr>
        <w:t xml:space="preserve">Résistance aux chocs : classe : </w:t>
      </w:r>
      <w:r>
        <w:t> </w:t>
      </w:r>
      <w:r>
        <w:rPr>
          <w:rStyle w:val="optioncarChar"/>
        </w:rPr>
        <w:t xml:space="preserve">2 </w:t>
      </w:r>
      <w:r>
        <w:t>(par défaut)</w:t>
      </w:r>
      <w:r>
        <w:rPr>
          <w:rStyle w:val="optioncarChar"/>
        </w:rPr>
        <w:t xml:space="preserve"> / ***</w:t>
      </w:r>
      <w:r>
        <w:t> </w:t>
      </w:r>
    </w:p>
    <w:p w14:paraId="61E88034" w14:textId="77777777" w:rsidR="00772179" w:rsidRDefault="00000000">
      <w:pPr>
        <w:ind w:left="567"/>
        <w:jc w:val="both"/>
      </w:pPr>
      <w:r>
        <w:rPr>
          <w:rStyle w:val="soitChar"/>
          <w:b/>
        </w:rPr>
        <w:t>Types de menuiseries extérieures</w:t>
      </w:r>
    </w:p>
    <w:p w14:paraId="2F8B2F98" w14:textId="77777777" w:rsidR="00772179" w:rsidRDefault="00000000">
      <w:pPr>
        <w:pStyle w:val="Author-eListParagraph"/>
        <w:numPr>
          <w:ilvl w:val="1"/>
          <w:numId w:val="108"/>
        </w:numPr>
        <w:jc w:val="both"/>
      </w:pPr>
      <w:r>
        <w:rPr>
          <w:rStyle w:val="soitChar"/>
        </w:rPr>
        <w:t xml:space="preserve">Fenêtre et porte-fenêtre : </w:t>
      </w:r>
      <w:r>
        <w:rPr>
          <w:rStyle w:val="optioncarChar"/>
        </w:rPr>
        <w:t xml:space="preserve">fixe / à vantaux ouvrants / oscillo-battante </w:t>
      </w:r>
      <w:r>
        <w:t>(par défaut)</w:t>
      </w:r>
      <w:r>
        <w:rPr>
          <w:rStyle w:val="optioncarChar"/>
        </w:rPr>
        <w:t xml:space="preserve"> / basculante / coulissante / levant-coulissante / projetante / pivotante / basculante-coulissante / inclinée / composée / ***</w:t>
      </w:r>
      <w:r>
        <w:rPr>
          <w:rStyle w:val="soitChar"/>
        </w:rPr>
        <w:t>.</w:t>
      </w:r>
    </w:p>
    <w:p w14:paraId="09ADB8DB" w14:textId="77777777" w:rsidR="00772179" w:rsidRDefault="00000000">
      <w:pPr>
        <w:pStyle w:val="Author-eListParagraph"/>
        <w:numPr>
          <w:ilvl w:val="1"/>
          <w:numId w:val="108"/>
        </w:numPr>
        <w:jc w:val="both"/>
      </w:pPr>
      <w:r>
        <w:rPr>
          <w:rStyle w:val="soitChar"/>
        </w:rPr>
        <w:t xml:space="preserve">Remplissage : </w:t>
      </w:r>
      <w:r>
        <w:rPr>
          <w:rStyle w:val="optioncarChar"/>
        </w:rPr>
        <w:t xml:space="preserve">Vitrages doubles – Gaz (cfr </w:t>
      </w:r>
      <w:hyperlink w:anchor="878" w:history="1">
        <w:r>
          <w:rPr>
            <w:rStyle w:val="optioncarChar"/>
            <w:color w:val="0000EE"/>
          </w:rPr>
          <w:t>42.22.1a Vitrages doubles - Gaz</w:t>
        </w:r>
      </w:hyperlink>
      <w:r>
        <w:rPr>
          <w:rStyle w:val="optioncarChar"/>
        </w:rPr>
        <w:t xml:space="preserve">) </w:t>
      </w:r>
      <w:r>
        <w:t>(par défaut)</w:t>
      </w:r>
      <w:r>
        <w:rPr>
          <w:rStyle w:val="optioncarChar"/>
        </w:rPr>
        <w:t xml:space="preserve"> / Vitrages triple – Gaz (cfr </w:t>
      </w:r>
      <w:hyperlink w:anchor="879" w:history="1">
        <w:r>
          <w:rPr>
            <w:rStyle w:val="optioncarChar"/>
            <w:color w:val="0000EE"/>
          </w:rPr>
          <w:t>42.22.2a Vitrages triples - Gaz</w:t>
        </w:r>
      </w:hyperlink>
      <w:r>
        <w:rPr>
          <w:rStyle w:val="optioncarChar"/>
        </w:rPr>
        <w:t xml:space="preserve">) / Eléments de remplissage en panneaux sandwichs métalliques (cfr </w:t>
      </w:r>
      <w:hyperlink w:anchor="880" w:history="1">
        <w:r>
          <w:rPr>
            <w:rStyle w:val="optioncarChar"/>
            <w:color w:val="0000EE"/>
          </w:rPr>
          <w:t>42.34.2a</w:t>
        </w:r>
      </w:hyperlink>
      <w:r>
        <w:rPr>
          <w:rStyle w:val="optioncarChar"/>
        </w:rPr>
        <w:t>) / ***.</w:t>
      </w:r>
    </w:p>
    <w:p w14:paraId="68996CD8" w14:textId="77777777" w:rsidR="00772179" w:rsidRDefault="00000000">
      <w:pPr>
        <w:pStyle w:val="Author-eListParagraph"/>
        <w:numPr>
          <w:ilvl w:val="1"/>
          <w:numId w:val="108"/>
        </w:numPr>
        <w:jc w:val="both"/>
      </w:pPr>
      <w:r>
        <w:rPr>
          <w:rStyle w:val="soitChar"/>
        </w:rPr>
        <w:t xml:space="preserve">Quincailleries : </w:t>
      </w:r>
      <w:r>
        <w:rPr>
          <w:rStyle w:val="optioncarChar"/>
        </w:rPr>
        <w:t xml:space="preserve">conformes à la documentation technique du produit </w:t>
      </w:r>
      <w:r>
        <w:t>(par défaut)</w:t>
      </w:r>
      <w:r>
        <w:rPr>
          <w:rStyle w:val="optioncarChar"/>
        </w:rPr>
        <w:t xml:space="preserve"> / ***</w:t>
      </w:r>
      <w:r>
        <w:rPr>
          <w:rStyle w:val="soitChar"/>
        </w:rPr>
        <w:t>.</w:t>
      </w:r>
    </w:p>
    <w:p w14:paraId="60F178A7" w14:textId="77777777" w:rsidR="00772179" w:rsidRDefault="00000000">
      <w:pPr>
        <w:pStyle w:val="Author-eListParagraph"/>
        <w:numPr>
          <w:ilvl w:val="2"/>
          <w:numId w:val="109"/>
        </w:numPr>
        <w:jc w:val="both"/>
      </w:pPr>
      <w:r>
        <w:rPr>
          <w:rStyle w:val="soitChar"/>
        </w:rPr>
        <w:t xml:space="preserve">          Cfr. Article </w:t>
      </w:r>
      <w:hyperlink w:anchor="881" w:history="1">
        <w:r>
          <w:rPr>
            <w:rStyle w:val="soitChar"/>
            <w:color w:val="0000EE"/>
          </w:rPr>
          <w:t>41.72.1a Charnières et paumelles</w:t>
        </w:r>
      </w:hyperlink>
    </w:p>
    <w:p w14:paraId="2AAE84DF" w14:textId="77777777" w:rsidR="00772179" w:rsidRDefault="00000000">
      <w:pPr>
        <w:pStyle w:val="Author-eListParagraph"/>
        <w:numPr>
          <w:ilvl w:val="2"/>
          <w:numId w:val="109"/>
        </w:numPr>
        <w:jc w:val="both"/>
      </w:pPr>
      <w:r>
        <w:rPr>
          <w:rStyle w:val="soitChar"/>
        </w:rPr>
        <w:t xml:space="preserve">          Cfr. Article </w:t>
      </w:r>
      <w:hyperlink w:anchor="882" w:history="1">
        <w:r>
          <w:rPr>
            <w:rStyle w:val="soitChar"/>
            <w:color w:val="0000EE"/>
          </w:rPr>
          <w:t>41.72.3a Poignées</w:t>
        </w:r>
      </w:hyperlink>
      <w:r>
        <w:t> </w:t>
      </w:r>
    </w:p>
    <w:p w14:paraId="042C2F90" w14:textId="77777777" w:rsidR="00772179" w:rsidRDefault="00000000">
      <w:pPr>
        <w:ind w:left="567"/>
        <w:jc w:val="both"/>
      </w:pPr>
      <w:r>
        <w:rPr>
          <w:rStyle w:val="soitChar"/>
          <w:b/>
        </w:rPr>
        <w:t>Vitrages et panneaux de remplissage</w:t>
      </w:r>
    </w:p>
    <w:p w14:paraId="2E2964E8" w14:textId="77777777" w:rsidR="00772179" w:rsidRDefault="00000000">
      <w:pPr>
        <w:ind w:left="567"/>
        <w:jc w:val="both"/>
      </w:pPr>
      <w:r>
        <w:rPr>
          <w:rStyle w:val="soitChar"/>
        </w:rPr>
        <w:t xml:space="preserve">(voir section </w:t>
      </w:r>
      <w:hyperlink w:anchor="852" w:history="1">
        <w:r>
          <w:rPr>
            <w:rStyle w:val="soitChar"/>
            <w:color w:val="0000EE"/>
          </w:rPr>
          <w:t>42 Vitrages extérieurs et éléments de remplissage</w:t>
        </w:r>
      </w:hyperlink>
      <w:r>
        <w:rPr>
          <w:rStyle w:val="soitChar"/>
        </w:rPr>
        <w:t>)</w:t>
      </w:r>
      <w:r>
        <w:t> </w:t>
      </w:r>
    </w:p>
    <w:p w14:paraId="0510D799" w14:textId="77777777" w:rsidR="00772179" w:rsidRDefault="00000000">
      <w:pPr>
        <w:ind w:left="567"/>
        <w:jc w:val="both"/>
      </w:pPr>
      <w:r>
        <w:rPr>
          <w:b/>
          <w:i/>
        </w:rPr>
        <w:t>(soit)</w:t>
      </w:r>
    </w:p>
    <w:p w14:paraId="722BCEB6" w14:textId="77777777" w:rsidR="00772179" w:rsidRDefault="00000000">
      <w:pPr>
        <w:ind w:left="567"/>
        <w:jc w:val="both"/>
      </w:pPr>
      <w:r>
        <w:rPr>
          <w:rStyle w:val="soitChar"/>
          <w:u w:val="single"/>
        </w:rPr>
        <w:t>Réemploi :</w:t>
      </w:r>
    </w:p>
    <w:p w14:paraId="15A61CEC" w14:textId="77777777" w:rsidR="00772179" w:rsidRDefault="00000000">
      <w:pPr>
        <w:ind w:left="567"/>
        <w:jc w:val="both"/>
      </w:pPr>
      <w:r>
        <w:rPr>
          <w:rStyle w:val="soitChar"/>
        </w:rPr>
        <w:t xml:space="preserve">Il s’agit de fenêtres et portes-fenêtres issues </w:t>
      </w:r>
      <w:r>
        <w:rPr>
          <w:rStyle w:val="optioncarChar"/>
        </w:rPr>
        <w:t xml:space="preserve">du démontage de portes existantes </w:t>
      </w:r>
      <w:r>
        <w:t>(par défaut)</w:t>
      </w:r>
      <w:r>
        <w:rPr>
          <w:rStyle w:val="optioncarChar"/>
        </w:rPr>
        <w:t xml:space="preserve"> / ***</w:t>
      </w:r>
      <w:r>
        <w:rPr>
          <w:rStyle w:val="soitChar"/>
        </w:rPr>
        <w:t>.</w:t>
      </w:r>
    </w:p>
    <w:p w14:paraId="20B04681" w14:textId="77777777" w:rsidR="00772179" w:rsidRDefault="00000000">
      <w:pPr>
        <w:ind w:left="567"/>
        <w:jc w:val="both"/>
      </w:pPr>
      <w:r>
        <w:rPr>
          <w:rStyle w:val="soitChar"/>
        </w:rPr>
        <w:t xml:space="preserve">Si la menuiserie est issue du même chantier, celle-ci est reconditionnée via : </w:t>
      </w:r>
      <w:r>
        <w:rPr>
          <w:rStyle w:val="optioncarChar"/>
        </w:rPr>
        <w:t xml:space="preserve"> procédé présenté au maitre d’ouvrage </w:t>
      </w:r>
      <w:r>
        <w:t>(par défaut)</w:t>
      </w:r>
      <w:r>
        <w:rPr>
          <w:rStyle w:val="optioncarChar"/>
        </w:rPr>
        <w:t xml:space="preserve"> / remplacement des joints / le remplacement et le renfort de la quincailleries / le remplacement des dispositifs de drainage (évacuation de l’eau) / ***.</w:t>
      </w:r>
    </w:p>
    <w:p w14:paraId="258D8241" w14:textId="77777777" w:rsidR="00772179" w:rsidRDefault="00000000">
      <w:pPr>
        <w:ind w:left="567"/>
        <w:jc w:val="both"/>
      </w:pPr>
      <w:r>
        <w:rPr>
          <w:rStyle w:val="soitChar"/>
        </w:rPr>
        <w:t>Une menuiserie témoin est soumise à banc d’essais pour atteindre les performances suivantes :</w:t>
      </w:r>
    </w:p>
    <w:p w14:paraId="40CAC4B7" w14:textId="77777777" w:rsidR="00772179" w:rsidRDefault="00000000">
      <w:pPr>
        <w:pStyle w:val="Author-eListParagraph"/>
        <w:numPr>
          <w:ilvl w:val="1"/>
          <w:numId w:val="111"/>
        </w:numPr>
        <w:jc w:val="both"/>
      </w:pPr>
      <w:r>
        <w:rPr>
          <w:rStyle w:val="soitChar"/>
        </w:rPr>
        <w:t xml:space="preserve">Etanchéité à l’air : </w:t>
      </w:r>
      <w:r>
        <w:rPr>
          <w:rStyle w:val="optioncarChar"/>
        </w:rPr>
        <w:t xml:space="preserve">sans performance </w:t>
      </w:r>
      <w:r>
        <w:t>(par défaut)</w:t>
      </w:r>
      <w:r>
        <w:rPr>
          <w:rStyle w:val="optioncarChar"/>
        </w:rPr>
        <w:t> / classe 4 / dont le débit à 50 Pa est &lt; 0.8 m³/h/m²   /  classe ***  / ***</w:t>
      </w:r>
    </w:p>
    <w:p w14:paraId="3DE976CC" w14:textId="77777777" w:rsidR="00772179" w:rsidRDefault="00000000">
      <w:pPr>
        <w:pStyle w:val="Author-eListParagraph"/>
        <w:numPr>
          <w:ilvl w:val="1"/>
          <w:numId w:val="111"/>
        </w:numPr>
        <w:jc w:val="both"/>
      </w:pPr>
      <w:r>
        <w:rPr>
          <w:rStyle w:val="soitChar"/>
        </w:rPr>
        <w:t xml:space="preserve">Etanchéité à l’eau de classe : </w:t>
      </w:r>
      <w:r>
        <w:rPr>
          <w:rStyle w:val="optioncarChar"/>
        </w:rPr>
        <w:t xml:space="preserve">sans performance </w:t>
      </w:r>
      <w:r>
        <w:t>(par défaut)</w:t>
      </w:r>
      <w:r>
        <w:rPr>
          <w:rStyle w:val="optioncarChar"/>
        </w:rPr>
        <w:t xml:space="preserve"> / 6</w:t>
      </w:r>
      <w:r>
        <w:rPr>
          <w:rStyle w:val="optioncarChar"/>
          <w:vertAlign w:val="subscript"/>
        </w:rPr>
        <w:t xml:space="preserve">A </w:t>
      </w:r>
      <w:r>
        <w:rPr>
          <w:rStyle w:val="optioncarChar"/>
        </w:rPr>
        <w:t>/ ***</w:t>
      </w:r>
    </w:p>
    <w:p w14:paraId="407F538A" w14:textId="77777777" w:rsidR="00772179" w:rsidRDefault="00000000">
      <w:pPr>
        <w:pStyle w:val="Author-eListParagraph"/>
        <w:numPr>
          <w:ilvl w:val="1"/>
          <w:numId w:val="111"/>
        </w:numPr>
        <w:jc w:val="both"/>
      </w:pPr>
      <w:r>
        <w:rPr>
          <w:rStyle w:val="soitChar"/>
        </w:rPr>
        <w:t xml:space="preserve">Résistance au vent de classe : </w:t>
      </w:r>
      <w:r>
        <w:rPr>
          <w:rStyle w:val="optioncarChar"/>
        </w:rPr>
        <w:t>sans performance</w:t>
      </w:r>
      <w:r>
        <w:t xml:space="preserve"> (par défaut)</w:t>
      </w:r>
      <w:r>
        <w:rPr>
          <w:rStyle w:val="optioncarChar"/>
        </w:rPr>
        <w:t xml:space="preserve"> / C3 / ***</w:t>
      </w:r>
    </w:p>
    <w:p w14:paraId="6FB4B065" w14:textId="77777777" w:rsidR="00772179" w:rsidRDefault="00000000">
      <w:pPr>
        <w:pStyle w:val="Author-eListParagraph"/>
        <w:numPr>
          <w:ilvl w:val="1"/>
          <w:numId w:val="111"/>
        </w:numPr>
        <w:jc w:val="both"/>
      </w:pPr>
      <w:r>
        <w:rPr>
          <w:rStyle w:val="soitChar"/>
        </w:rPr>
        <w:t xml:space="preserve">D’effort de manœuvre : classe </w:t>
      </w:r>
      <w:r>
        <w:rPr>
          <w:rStyle w:val="optioncarChar"/>
        </w:rPr>
        <w:t>1</w:t>
      </w:r>
      <w:r>
        <w:t xml:space="preserve"> (par défaut)</w:t>
      </w:r>
      <w:r>
        <w:rPr>
          <w:rStyle w:val="optioncarChar"/>
        </w:rPr>
        <w:t xml:space="preserve"> / 2 (PMR) / ***</w:t>
      </w:r>
      <w:r>
        <w:t> </w:t>
      </w:r>
    </w:p>
    <w:p w14:paraId="01DFF5AD" w14:textId="77777777" w:rsidR="00772179" w:rsidRDefault="00000000">
      <w:pPr>
        <w:ind w:left="567"/>
        <w:jc w:val="both"/>
      </w:pPr>
      <w:r>
        <w:rPr>
          <w:rStyle w:val="soitChar"/>
          <w:b/>
        </w:rPr>
        <w:t>Types de menuiseries extérieures</w:t>
      </w:r>
    </w:p>
    <w:p w14:paraId="07E09F61" w14:textId="77777777" w:rsidR="00772179" w:rsidRDefault="00000000">
      <w:pPr>
        <w:pStyle w:val="Author-eListParagraph"/>
        <w:numPr>
          <w:ilvl w:val="1"/>
          <w:numId w:val="113"/>
        </w:numPr>
      </w:pPr>
      <w:r>
        <w:rPr>
          <w:rStyle w:val="soitChar"/>
        </w:rPr>
        <w:t>Fenêtre et porte-fenêtre : </w:t>
      </w:r>
      <w:r>
        <w:rPr>
          <w:rStyle w:val="optioncarChar"/>
        </w:rPr>
        <w:t>fixe / à vantaux ouvrants / oscillo-battante </w:t>
      </w:r>
      <w:r>
        <w:t>(par défaut)</w:t>
      </w:r>
      <w:r>
        <w:rPr>
          <w:rStyle w:val="optioncarChar"/>
        </w:rPr>
        <w:t> / basculante / coulissante / levant-coulissante / projetante / pivotante / basculante-coulissante / inclinée / composée / ***</w:t>
      </w:r>
      <w:r>
        <w:rPr>
          <w:rStyle w:val="soitChar"/>
        </w:rPr>
        <w:t>.</w:t>
      </w:r>
      <w:r>
        <w:br/>
      </w:r>
    </w:p>
    <w:p w14:paraId="4F4F0230" w14:textId="77777777" w:rsidR="00772179" w:rsidRDefault="00000000">
      <w:pPr>
        <w:pStyle w:val="Author-eListParagraph"/>
        <w:numPr>
          <w:ilvl w:val="1"/>
          <w:numId w:val="113"/>
        </w:numPr>
      </w:pPr>
      <w:r>
        <w:rPr>
          <w:rStyle w:val="soitChar"/>
        </w:rP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 – Gaz (cfr </w:t>
      </w:r>
      <w:hyperlink w:anchor="879" w:history="1">
        <w:r>
          <w:rPr>
            <w:rStyle w:val="optioncarChar"/>
            <w:color w:val="0000EE"/>
          </w:rPr>
          <w:t>42.22.2a Vitrages triples - Gaz</w:t>
        </w:r>
      </w:hyperlink>
      <w:r>
        <w:rPr>
          <w:rStyle w:val="optioncarChar"/>
        </w:rPr>
        <w:t xml:space="preserve">) / Eléments de </w:t>
      </w:r>
      <w:r>
        <w:rPr>
          <w:rStyle w:val="optioncarChar"/>
        </w:rPr>
        <w:lastRenderedPageBreak/>
        <w:t>remplissage en panneaux sandwichs métalliques (cfr </w:t>
      </w:r>
      <w:hyperlink w:anchor="880" w:history="1">
        <w:r>
          <w:rPr>
            <w:rStyle w:val="optioncarChar"/>
            <w:color w:val="0000EE"/>
          </w:rPr>
          <w:t>42.34.2a</w:t>
        </w:r>
      </w:hyperlink>
      <w:r>
        <w:rPr>
          <w:rStyle w:val="optioncarChar"/>
        </w:rPr>
        <w:t>) / ***.</w:t>
      </w:r>
      <w:r>
        <w:br/>
      </w:r>
    </w:p>
    <w:p w14:paraId="2513D3E1" w14:textId="77777777" w:rsidR="00772179" w:rsidRDefault="00000000">
      <w:pPr>
        <w:pStyle w:val="Author-eListParagraph"/>
        <w:numPr>
          <w:ilvl w:val="1"/>
          <w:numId w:val="113"/>
        </w:numPr>
      </w:pPr>
      <w:r>
        <w:rPr>
          <w:rStyle w:val="soitChar"/>
        </w:rPr>
        <w:t>Quincailleries : </w:t>
      </w:r>
      <w:r>
        <w:rPr>
          <w:rStyle w:val="optioncarChar"/>
        </w:rPr>
        <w:t>conformes à la documentation technique du produit </w:t>
      </w:r>
      <w:r>
        <w:t>(par défaut)</w:t>
      </w:r>
      <w:r>
        <w:rPr>
          <w:rStyle w:val="optioncarChar"/>
        </w:rPr>
        <w:t> / ***</w:t>
      </w:r>
      <w:r>
        <w:rPr>
          <w:rStyle w:val="soitChar"/>
        </w:rPr>
        <w:t>.</w:t>
      </w:r>
    </w:p>
    <w:p w14:paraId="04B4313D" w14:textId="77777777" w:rsidR="00772179" w:rsidRDefault="00000000">
      <w:pPr>
        <w:pStyle w:val="Author-eListParagraph"/>
        <w:numPr>
          <w:ilvl w:val="2"/>
          <w:numId w:val="114"/>
        </w:numPr>
      </w:pPr>
      <w:r>
        <w:rPr>
          <w:rStyle w:val="soitChar"/>
        </w:rPr>
        <w:t>          Cfr. Article </w:t>
      </w:r>
      <w:hyperlink w:anchor="881" w:history="1">
        <w:r>
          <w:rPr>
            <w:rStyle w:val="soitChar"/>
            <w:color w:val="0000EE"/>
          </w:rPr>
          <w:t>41.72.1a Charnières et paumelles</w:t>
        </w:r>
      </w:hyperlink>
    </w:p>
    <w:p w14:paraId="0FD1A41D" w14:textId="77777777" w:rsidR="00772179" w:rsidRDefault="00000000">
      <w:pPr>
        <w:pStyle w:val="Author-eListParagraph"/>
        <w:numPr>
          <w:ilvl w:val="2"/>
          <w:numId w:val="114"/>
        </w:numPr>
      </w:pPr>
      <w:r>
        <w:rPr>
          <w:rStyle w:val="soitChar"/>
        </w:rPr>
        <w:t>          Cfr. Article </w:t>
      </w:r>
      <w:hyperlink w:anchor="882" w:history="1">
        <w:r>
          <w:rPr>
            <w:rStyle w:val="soitChar"/>
            <w:color w:val="0000EE"/>
          </w:rPr>
          <w:t>41.72.3a Poignées</w:t>
        </w:r>
      </w:hyperlink>
      <w:r>
        <w:t> </w:t>
      </w:r>
    </w:p>
    <w:p w14:paraId="7891B3CA" w14:textId="77777777" w:rsidR="00772179" w:rsidRDefault="00000000">
      <w:pPr>
        <w:ind w:left="567"/>
        <w:jc w:val="both"/>
      </w:pPr>
      <w:r>
        <w:rPr>
          <w:rStyle w:val="soitChar"/>
          <w:b/>
        </w:rPr>
        <w:t>Vitrages et panneaux de remplissage</w:t>
      </w:r>
    </w:p>
    <w:p w14:paraId="08AB42A0" w14:textId="77777777" w:rsidR="00772179" w:rsidRDefault="00000000">
      <w:pPr>
        <w:ind w:left="567"/>
        <w:jc w:val="both"/>
      </w:pPr>
      <w:r>
        <w:rPr>
          <w:rStyle w:val="soitChar"/>
        </w:rPr>
        <w:t>(voir section </w:t>
      </w:r>
      <w:hyperlink w:anchor="852" w:history="1">
        <w:r>
          <w:rPr>
            <w:rStyle w:val="soitChar"/>
            <w:color w:val="0000EE"/>
          </w:rPr>
          <w:t>42 Vitrages extérieurs et éléments de remplissage</w:t>
        </w:r>
      </w:hyperlink>
      <w:r>
        <w:rPr>
          <w:rStyle w:val="soitChar"/>
        </w:rPr>
        <w:t>)</w:t>
      </w:r>
    </w:p>
    <w:p w14:paraId="2D279984" w14:textId="77777777" w:rsidR="00772179" w:rsidRDefault="00000000">
      <w:pPr>
        <w:jc w:val="both"/>
      </w:pPr>
      <w:r>
        <w:rPr>
          <w:b/>
          <w:u w:val="single"/>
        </w:rPr>
        <w:t>Prescriptions pour les menuiseries neuves et de réemploi</w:t>
      </w:r>
    </w:p>
    <w:p w14:paraId="633928EE" w14:textId="77777777" w:rsidR="00772179" w:rsidRDefault="00000000">
      <w:pPr>
        <w:jc w:val="both"/>
      </w:pPr>
      <w:r>
        <w:t xml:space="preserve">Le seuil est </w:t>
      </w:r>
      <w:r>
        <w:rPr>
          <w:rStyle w:val="optioncarChar"/>
        </w:rPr>
        <w:t xml:space="preserve">sans accès PMR </w:t>
      </w:r>
      <w:r>
        <w:t xml:space="preserve">(par défaut) </w:t>
      </w:r>
      <w:r>
        <w:rPr>
          <w:rStyle w:val="optioncarChar"/>
        </w:rPr>
        <w:t>/ accessible aux PMR.</w:t>
      </w:r>
    </w:p>
    <w:p w14:paraId="22E41358" w14:textId="77777777" w:rsidR="00772179" w:rsidRDefault="00772179">
      <w:pPr>
        <w:jc w:val="both"/>
      </w:pPr>
    </w:p>
    <w:p w14:paraId="22C6EB7D" w14:textId="77777777" w:rsidR="00772179" w:rsidRDefault="00000000">
      <w:pPr>
        <w:jc w:val="both"/>
      </w:pPr>
      <w:r>
        <w:rPr>
          <w:b/>
        </w:rPr>
        <w:t>Quincaillerie </w:t>
      </w:r>
    </w:p>
    <w:p w14:paraId="4444F00E" w14:textId="77777777" w:rsidR="00772179" w:rsidRDefault="00000000">
      <w:pPr>
        <w:jc w:val="both"/>
      </w:pPr>
      <w:r>
        <w:t>(Voir </w:t>
      </w:r>
      <w:hyperlink w:anchor="884" w:history="1">
        <w:r>
          <w:rPr>
            <w:color w:val="0000EE"/>
          </w:rPr>
          <w:t>41.72 Quincailleries</w:t>
        </w:r>
      </w:hyperlink>
      <w:r>
        <w:t>)</w:t>
      </w:r>
    </w:p>
    <w:p w14:paraId="23BA142B" w14:textId="77777777" w:rsidR="00772179" w:rsidRDefault="00000000">
      <w:pPr>
        <w:pStyle w:val="Author-eListParagraph"/>
        <w:numPr>
          <w:ilvl w:val="0"/>
          <w:numId w:val="115"/>
        </w:numPr>
        <w:jc w:val="both"/>
      </w:pPr>
      <w:r>
        <w:t>La quincaillerie permet d’atteindre les performances définies ci-dessus et sont conformes aux spécifications accompagnant le produit.</w:t>
      </w:r>
    </w:p>
    <w:p w14:paraId="34A4693F" w14:textId="77777777" w:rsidR="00772179" w:rsidRDefault="00000000">
      <w:pPr>
        <w:pStyle w:val="Author-eListParagraph"/>
        <w:numPr>
          <w:ilvl w:val="0"/>
          <w:numId w:val="115"/>
        </w:numPr>
        <w:jc w:val="both"/>
      </w:pPr>
      <w:r>
        <w:t xml:space="preserve">Les poignées et autres dispositifs d’aide à la manœuvre (notamment PMR) sont définis dans l’élément </w:t>
      </w:r>
      <w:hyperlink w:anchor="884" w:history="1">
        <w:r>
          <w:rPr>
            <w:color w:val="0000EE"/>
          </w:rPr>
          <w:t>41.72 Quincailleries</w:t>
        </w:r>
      </w:hyperlink>
      <w:r>
        <w:t>.</w:t>
      </w:r>
    </w:p>
    <w:p w14:paraId="2266757F" w14:textId="77777777" w:rsidR="00772179" w:rsidRDefault="00000000">
      <w:pPr>
        <w:pStyle w:val="pheading"/>
      </w:pPr>
      <w:r>
        <w:t>- Finitions</w:t>
      </w:r>
    </w:p>
    <w:p w14:paraId="4FB65A49" w14:textId="77777777" w:rsidR="00772179" w:rsidRDefault="00000000">
      <w:pPr>
        <w:jc w:val="both"/>
      </w:pPr>
      <w:r>
        <w:rPr>
          <w:b/>
          <w:u w:val="single"/>
        </w:rPr>
        <w:t>Menuiseries neuves </w:t>
      </w:r>
    </w:p>
    <w:p w14:paraId="21B2717F" w14:textId="77777777" w:rsidR="00772179" w:rsidRDefault="00000000">
      <w:pPr>
        <w:jc w:val="both"/>
      </w:pPr>
      <w:r>
        <w:t>La finition intérieure est : </w:t>
      </w:r>
      <w:r>
        <w:rPr>
          <w:rStyle w:val="optioncarChar"/>
        </w:rPr>
        <w:t xml:space="preserve">blanc </w:t>
      </w:r>
      <w:r>
        <w:t>(par défaut)</w:t>
      </w:r>
      <w:r>
        <w:rPr>
          <w:rStyle w:val="optioncarChar"/>
        </w:rPr>
        <w:t xml:space="preserve"> / couleur de la teinte de masse / coextrusion de type acrylique *** / film de type ***</w:t>
      </w:r>
      <w:r>
        <w:t xml:space="preserve">   et de couleur RAL</w:t>
      </w:r>
      <w:r>
        <w:rPr>
          <w:rStyle w:val="optioncarChar"/>
        </w:rPr>
        <w:t> 9010</w:t>
      </w:r>
      <w:r>
        <w:t xml:space="preserve"> (par défaut)</w:t>
      </w:r>
      <w:r>
        <w:rPr>
          <w:rStyle w:val="optioncarChar"/>
        </w:rPr>
        <w:t xml:space="preserve"> / 9007 / 9003 / *** / à choisir dans la gamme de couleurs standard du fabricant</w:t>
      </w:r>
      <w:r>
        <w:t>.</w:t>
      </w:r>
    </w:p>
    <w:p w14:paraId="55B8D9D8" w14:textId="77777777" w:rsidR="00772179" w:rsidRDefault="00000000">
      <w:pPr>
        <w:jc w:val="both"/>
      </w:pPr>
      <w:r>
        <w:t>La finition extérieure est : </w:t>
      </w:r>
      <w:r>
        <w:rPr>
          <w:rStyle w:val="optioncarChar"/>
        </w:rPr>
        <w:t xml:space="preserve">blanc </w:t>
      </w:r>
      <w:r>
        <w:t xml:space="preserve">(par défaut) </w:t>
      </w:r>
      <w:r>
        <w:rPr>
          <w:rStyle w:val="optioncarChar"/>
        </w:rPr>
        <w:t>/ couleur de la teinte de masse / coextrusion de type acrylique ***/ film de type ***</w:t>
      </w:r>
      <w:r>
        <w:t> et de couleur RAL </w:t>
      </w:r>
      <w:r>
        <w:rPr>
          <w:rStyle w:val="optioncarChar"/>
        </w:rPr>
        <w:t xml:space="preserve">9010 </w:t>
      </w:r>
      <w:r>
        <w:t>(par défaut)</w:t>
      </w:r>
      <w:r>
        <w:rPr>
          <w:rStyle w:val="optioncarChar"/>
        </w:rPr>
        <w:t xml:space="preserve"> / 9007 / 9003 / *** / à choisir dans la gamme de couleurs standard du fabricant</w:t>
      </w:r>
      <w:r>
        <w:t>.</w:t>
      </w:r>
    </w:p>
    <w:p w14:paraId="2F8A22F7" w14:textId="77777777" w:rsidR="00772179" w:rsidRDefault="00000000">
      <w:pPr>
        <w:jc w:val="both"/>
      </w:pPr>
      <w:r>
        <w:t xml:space="preserve">La finition est </w:t>
      </w:r>
      <w:r>
        <w:rPr>
          <w:rStyle w:val="optioncarChar"/>
        </w:rPr>
        <w:t xml:space="preserve">brillante / satinée </w:t>
      </w:r>
      <w:r>
        <w:t>(par défaut)</w:t>
      </w:r>
      <w:r>
        <w:rPr>
          <w:rStyle w:val="optioncarChar"/>
        </w:rPr>
        <w:t xml:space="preserve"> / ***</w:t>
      </w:r>
      <w:r>
        <w:t>.</w:t>
      </w:r>
    </w:p>
    <w:p w14:paraId="616C1BFF" w14:textId="77777777" w:rsidR="00772179" w:rsidRDefault="00000000">
      <w:pPr>
        <w:jc w:val="both"/>
      </w:pPr>
      <w:r>
        <w:rPr>
          <w:b/>
          <w:u w:val="single"/>
        </w:rPr>
        <w:t>Menuiseries de réemploi</w:t>
      </w:r>
    </w:p>
    <w:p w14:paraId="0B7ADD4E" w14:textId="77777777" w:rsidR="00772179" w:rsidRDefault="00000000">
      <w:pPr>
        <w:jc w:val="both"/>
      </w:pPr>
      <w:r>
        <w:t>Les menuiseries ne peuvent pas recevoir une finition par traitement similaires aux profilés neufs ; les finitions complémentaires sont reprises dans l’élément 82.4 Peintures extérieures sur subjectiles synthétiques (PVC, PE, PP, PMMA, polyamide, polyester, PU) et suivants.</w:t>
      </w:r>
    </w:p>
    <w:p w14:paraId="0388C0BF" w14:textId="77777777" w:rsidR="00772179" w:rsidRDefault="00000000">
      <w:pPr>
        <w:pStyle w:val="pheading"/>
      </w:pPr>
      <w:r>
        <w:t>EXÉCUTION / MISE EN ŒUVRE</w:t>
      </w:r>
    </w:p>
    <w:p w14:paraId="305716D6" w14:textId="77777777" w:rsidR="00772179" w:rsidRDefault="00000000">
      <w:pPr>
        <w:pStyle w:val="pheading"/>
      </w:pPr>
      <w:r>
        <w:t>- Prescriptions générales</w:t>
      </w:r>
    </w:p>
    <w:p w14:paraId="1813D31B" w14:textId="77777777" w:rsidR="00772179" w:rsidRDefault="00000000">
      <w:pPr>
        <w:jc w:val="both"/>
      </w:pPr>
      <w:r>
        <w:t xml:space="preserve">La pose des fenêtres et portes-fenêtres correspond aux prescriptions telles que décrites dans l'élément </w:t>
      </w:r>
      <w:hyperlink w:anchor="64" w:history="1">
        <w:r>
          <w:rPr>
            <w:color w:val="0000EE"/>
          </w:rPr>
          <w:t>41.1 Fenêtres et portes-fenêtres</w:t>
        </w:r>
      </w:hyperlink>
      <w:r>
        <w:t>.</w:t>
      </w:r>
    </w:p>
    <w:p w14:paraId="4B967199" w14:textId="77777777" w:rsidR="00772179" w:rsidRDefault="00000000">
      <w:pPr>
        <w:jc w:val="both"/>
      </w:pPr>
      <w:r>
        <w:t>L’entretien est conforme à la [NBN B 25-002-1] complété par les [STS 52.2].</w:t>
      </w:r>
    </w:p>
    <w:p w14:paraId="6590DCA9" w14:textId="77777777" w:rsidR="00772179" w:rsidRDefault="00000000">
      <w:pPr>
        <w:pStyle w:val="pheading"/>
      </w:pPr>
      <w:r>
        <w:t>- Notes d’exécution complémentaires</w:t>
      </w:r>
    </w:p>
    <w:p w14:paraId="016E36AF" w14:textId="77777777" w:rsidR="00772179" w:rsidRDefault="00000000">
      <w:pPr>
        <w:jc w:val="both"/>
      </w:pPr>
      <w:r>
        <w:rPr>
          <w:rStyle w:val="facultChar"/>
        </w:rPr>
        <w:t>Le resserrage de la menuiserie assure la continuité des performances mécaniques, thermiques et d’étanchéité à l’eau.</w:t>
      </w:r>
    </w:p>
    <w:p w14:paraId="7C3491A4" w14:textId="77777777" w:rsidR="00772179" w:rsidRDefault="00000000">
      <w:pPr>
        <w:jc w:val="both"/>
      </w:pPr>
      <w:r>
        <w:rPr>
          <w:rStyle w:val="facultChar"/>
        </w:rPr>
        <w:t>Pour la continuité de l’étanchéité à l’air, le resserrage est muni d’un(e) </w:t>
      </w:r>
      <w:r>
        <w:rPr>
          <w:rStyle w:val="optioncarChar"/>
        </w:rPr>
        <w:t>kit de mastic </w:t>
      </w:r>
      <w:r>
        <w:t>(par défaut)</w:t>
      </w:r>
      <w:r>
        <w:rPr>
          <w:rStyle w:val="optioncarChar"/>
        </w:rPr>
        <w:t> / membrane / profilé de resserrage / ***</w:t>
      </w:r>
      <w:r>
        <w:rPr>
          <w:rStyle w:val="facultChar"/>
        </w:rPr>
        <w:t>.</w:t>
      </w:r>
    </w:p>
    <w:p w14:paraId="07C43805" w14:textId="77777777" w:rsidR="00772179" w:rsidRDefault="00000000">
      <w:pPr>
        <w:jc w:val="both"/>
      </w:pPr>
      <w:r>
        <w:rPr>
          <w:rStyle w:val="facultChar"/>
        </w:rPr>
        <w:t>Pour la continuité de l’isolation acoustique, le resserrage est muni d’une </w:t>
      </w:r>
      <w:r>
        <w:rPr>
          <w:rStyle w:val="optioncarChar"/>
        </w:rPr>
        <w:t>laine de roche </w:t>
      </w:r>
      <w:r>
        <w:t>(par défaut)</w:t>
      </w:r>
      <w:r>
        <w:rPr>
          <w:rStyle w:val="optioncarChar"/>
        </w:rPr>
        <w:t> / mousse acoustique / plaque massive / ***</w:t>
      </w:r>
      <w:r>
        <w:rPr>
          <w:rStyle w:val="facultChar"/>
        </w:rPr>
        <w:t>.</w:t>
      </w:r>
    </w:p>
    <w:p w14:paraId="0DA5C500" w14:textId="77777777" w:rsidR="00772179" w:rsidRDefault="00000000">
      <w:pPr>
        <w:jc w:val="both"/>
      </w:pPr>
      <w:r>
        <w:rPr>
          <w:rStyle w:val="facultChar"/>
        </w:rPr>
        <w:t>S’il est prévu un sous-seuil en aluminium, il est </w:t>
      </w:r>
      <w:r>
        <w:rPr>
          <w:rStyle w:val="optioncarChar"/>
        </w:rPr>
        <w:t>clippé</w:t>
      </w:r>
      <w:r>
        <w:t> (par défaut) </w:t>
      </w:r>
      <w:r>
        <w:rPr>
          <w:rStyle w:val="optioncarChar"/>
        </w:rPr>
        <w:t>/ vissé / ***</w:t>
      </w:r>
      <w:r>
        <w:rPr>
          <w:rStyle w:val="facultChar"/>
        </w:rPr>
        <w:t>. Un cordon de mastic est appliqué avant assemblage. Sur le profil de base, ce profil de seuil est pourvu d’un rejet d’eau rabaissé à l'extérieur, qui évacue l'eau excédentaire dans le bas du profil du dormant.</w:t>
      </w:r>
    </w:p>
    <w:p w14:paraId="2B8358C8" w14:textId="77777777" w:rsidR="00772179" w:rsidRDefault="00000000">
      <w:pPr>
        <w:pStyle w:val="pheading"/>
      </w:pPr>
      <w:r>
        <w:lastRenderedPageBreak/>
        <w:t>DOCUMENTS DE RÉFÉRENCE COMPLÉMENTAIRES</w:t>
      </w:r>
    </w:p>
    <w:p w14:paraId="68F1CAF1" w14:textId="77777777" w:rsidR="00772179" w:rsidRDefault="00000000">
      <w:pPr>
        <w:pStyle w:val="pheading"/>
      </w:pPr>
      <w:r>
        <w:t>- Matériau</w:t>
      </w:r>
    </w:p>
    <w:p w14:paraId="1F037B09" w14:textId="77777777" w:rsidR="00772179" w:rsidRDefault="00000000">
      <w:r>
        <w:t>[STS 52.3, Menuiserie extérieure en PVC]</w:t>
      </w:r>
    </w:p>
    <w:p w14:paraId="6393C8EE" w14:textId="77777777" w:rsidR="00772179" w:rsidRDefault="00000000">
      <w:pPr>
        <w:pStyle w:val="pheading"/>
      </w:pPr>
      <w:r>
        <w:t>MESURAGE</w:t>
      </w:r>
    </w:p>
    <w:p w14:paraId="3790494C" w14:textId="77777777" w:rsidR="00772179" w:rsidRDefault="00000000">
      <w:pPr>
        <w:pStyle w:val="pheading"/>
      </w:pPr>
      <w:r>
        <w:t>- unité de mesure:</w:t>
      </w:r>
    </w:p>
    <w:p w14:paraId="3558C599" w14:textId="77777777" w:rsidR="00772179" w:rsidRDefault="00000000">
      <w:r>
        <w:t>m²</w:t>
      </w:r>
    </w:p>
    <w:p w14:paraId="29A14205" w14:textId="77777777" w:rsidR="00772179" w:rsidRDefault="00000000">
      <w:pPr>
        <w:pStyle w:val="pheading"/>
      </w:pPr>
      <w:r>
        <w:t>- code de mesurage:</w:t>
      </w:r>
    </w:p>
    <w:p w14:paraId="2A6E7F94" w14:textId="77777777" w:rsidR="00772179" w:rsidRDefault="00000000">
      <w:pPr>
        <w:jc w:val="both"/>
      </w:pPr>
      <w:r>
        <w:rPr>
          <w:b/>
        </w:rPr>
        <w:t>Surface nette</w:t>
      </w:r>
      <w:r>
        <w:t xml:space="preserve"> en développement des dimensions dans l'œuvre (le cas échéant, ventilé selon le type ou le modèle conformément aux indications dans le métré récapitulatif annexé au dossier d'adjudication ; ventilée selon neuf et/ou de réemploi. S’il s’agit de réemploi, distinguer : avec ou sans fourniture)</w:t>
      </w:r>
    </w:p>
    <w:p w14:paraId="6C21085C" w14:textId="77777777" w:rsidR="00772179" w:rsidRDefault="00000000">
      <w:pPr>
        <w:jc w:val="both"/>
      </w:pPr>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sont ventilés par élément dans le métré récapitulatif.  Les profils intermédiaires et les autres châssis intercalaires ne sont toutefois pas comptés séparément et sont compris dans le prix unitaire des éléments respectifs.</w:t>
      </w:r>
    </w:p>
    <w:p w14:paraId="4A4AA915" w14:textId="77777777" w:rsidR="00772179" w:rsidRDefault="00000000">
      <w:pPr>
        <w:pStyle w:val="pheading"/>
      </w:pPr>
      <w:r>
        <w:t>- nature du marché:</w:t>
      </w:r>
    </w:p>
    <w:p w14:paraId="2D45679E" w14:textId="77777777" w:rsidR="00772179" w:rsidRDefault="00000000">
      <w:r>
        <w:t>QF</w:t>
      </w:r>
    </w:p>
    <w:p w14:paraId="5AA4DBD5" w14:textId="77777777" w:rsidR="00772179" w:rsidRDefault="00000000">
      <w:pPr>
        <w:pStyle w:val="Author-eSectionHeading5Numberless"/>
      </w:pPr>
      <w:bookmarkStart w:id="41" w:name="_Toc220489795"/>
      <w:r>
        <w:t>41.14.2 Fenêtre et portes-fenêtres en PVC avec coupure thermique CCTB 01.02</w:t>
      </w:r>
      <w:bookmarkEnd w:id="41"/>
    </w:p>
    <w:p w14:paraId="01926681" w14:textId="77777777" w:rsidR="00772179" w:rsidRDefault="00000000">
      <w:pPr>
        <w:pStyle w:val="Author-eSectionHeading6Numberless"/>
      </w:pPr>
      <w:bookmarkStart w:id="42" w:name="_Toc220489796"/>
      <w:r>
        <w:t>41.14.2a Fenêtre et porte-fenêtre en PVC avec coupure thermique CCTB 01.13</w:t>
      </w:r>
      <w:bookmarkEnd w:id="42"/>
    </w:p>
    <w:p w14:paraId="68731A75" w14:textId="77777777" w:rsidR="00772179" w:rsidRDefault="00000000">
      <w:pPr>
        <w:pStyle w:val="pheading"/>
      </w:pPr>
      <w:r>
        <w:t>DESCRIPTION</w:t>
      </w:r>
    </w:p>
    <w:p w14:paraId="22CAF22B" w14:textId="77777777" w:rsidR="00772179" w:rsidRDefault="00000000">
      <w:pPr>
        <w:pStyle w:val="pheading"/>
      </w:pPr>
      <w:r>
        <w:t>- Définition / Comprend</w:t>
      </w:r>
    </w:p>
    <w:p w14:paraId="5EB91DA2" w14:textId="77777777" w:rsidR="00772179" w:rsidRDefault="00000000">
      <w:pPr>
        <w:jc w:val="both"/>
      </w:pPr>
      <w:r>
        <w:t>Cet article décrit la fourniture et la pose des menuiseries extérieures (Fenêtres et portes-fenêtres) en PVC disposant d’une coupure thermique ou dont le profilé de renfort participe à l’isolation de du profilé en PVC.</w:t>
      </w:r>
    </w:p>
    <w:p w14:paraId="7EB2AAA9" w14:textId="77777777" w:rsidR="00772179" w:rsidRDefault="00772179">
      <w:pPr>
        <w:jc w:val="both"/>
      </w:pPr>
    </w:p>
    <w:p w14:paraId="274A1B4B" w14:textId="77777777" w:rsidR="00772179" w:rsidRDefault="00000000">
      <w:pPr>
        <w:jc w:val="both"/>
      </w:pPr>
      <w:r>
        <w:rPr>
          <w:b/>
        </w:rPr>
        <w:t>Remarques importantes</w:t>
      </w:r>
    </w:p>
    <w:p w14:paraId="6105D680" w14:textId="77777777" w:rsidR="00772179" w:rsidRDefault="00000000">
      <w:pPr>
        <w:jc w:val="both"/>
      </w:pPr>
      <w:r>
        <w:t>Toutes les fenêtres sont soumises au Règlement Produits de Construction (RPC ([Règlement (UE) 305/2011])). Une déclaration d'aptitude à l'utilisation suivant les prescriptions du chapitre 02.42.1 Critères d'acceptabilité  est imposé à ces produits suivant la [NBN EN 14351-1:2006+A2] afin d'attester qu’ils soient conformes aux spécifications techniques de ce règlement.</w:t>
      </w:r>
    </w:p>
    <w:p w14:paraId="3802C691" w14:textId="77777777" w:rsidR="00772179" w:rsidRDefault="00000000">
      <w:pPr>
        <w:pStyle w:val="pheading"/>
      </w:pPr>
      <w:r>
        <w:t>- Localisation</w:t>
      </w:r>
    </w:p>
    <w:p w14:paraId="5D8868E3" w14:textId="77777777" w:rsidR="00772179" w:rsidRDefault="00000000">
      <w:r>
        <w:t xml:space="preserve">La localisation des fenêtres et portes-fenêtres est la suivante : </w:t>
      </w:r>
      <w:r>
        <w:rPr>
          <w:rStyle w:val="optioncarChar"/>
        </w:rPr>
        <w:t>***</w:t>
      </w:r>
      <w:r>
        <w:t xml:space="preserve"> .</w:t>
      </w:r>
    </w:p>
    <w:p w14:paraId="552CBFDA" w14:textId="77777777" w:rsidR="00772179" w:rsidRDefault="00000000">
      <w:r>
        <w:t>Voir plans et métrés détaillés</w:t>
      </w:r>
    </w:p>
    <w:p w14:paraId="30C903E9" w14:textId="77777777" w:rsidR="00772179" w:rsidRDefault="00000000">
      <w:pPr>
        <w:pStyle w:val="pheading"/>
      </w:pPr>
      <w:r>
        <w:t>MATÉRIAUX</w:t>
      </w:r>
    </w:p>
    <w:p w14:paraId="2AA7C2D5" w14:textId="77777777" w:rsidR="00772179" w:rsidRDefault="00000000">
      <w:pPr>
        <w:pStyle w:val="pheading"/>
      </w:pPr>
      <w:r>
        <w:t>- Caractéristiques générales</w:t>
      </w:r>
    </w:p>
    <w:p w14:paraId="00EA4045" w14:textId="77777777" w:rsidR="00772179" w:rsidRDefault="00000000">
      <w:pPr>
        <w:jc w:val="both"/>
      </w:pPr>
      <w:r>
        <w:t>La composition du PVC est conforme exigences de la [STS 52.3].</w:t>
      </w:r>
    </w:p>
    <w:p w14:paraId="35B05735" w14:textId="77777777" w:rsidR="00772179" w:rsidRDefault="00000000">
      <w:pPr>
        <w:jc w:val="both"/>
      </w:pPr>
      <w:r>
        <w:t>La rupture de pont thermique est composée d’un</w:t>
      </w:r>
      <w:r>
        <w:rPr>
          <w:rStyle w:val="optioncarChar"/>
        </w:rPr>
        <w:t xml:space="preserve"> profilé de renfort synthétique</w:t>
      </w:r>
      <w:r>
        <w:t xml:space="preserve"> (par défaut) </w:t>
      </w:r>
      <w:r>
        <w:rPr>
          <w:rStyle w:val="optioncarChar"/>
        </w:rPr>
        <w:t>/ isolant joignant deux profilés en PVC / ***</w:t>
      </w:r>
    </w:p>
    <w:p w14:paraId="490E5250" w14:textId="77777777" w:rsidR="00772179" w:rsidRDefault="00000000">
      <w:pPr>
        <w:jc w:val="both"/>
      </w:pPr>
      <w:r>
        <w:t xml:space="preserve">Le matériau isolant utilisé dans la rupture de pont thermique est de type : </w:t>
      </w:r>
      <w:r>
        <w:rPr>
          <w:rStyle w:val="optioncarChar"/>
        </w:rPr>
        <w:t>PU</w:t>
      </w:r>
      <w:r>
        <w:t xml:space="preserve"> (par défaut) </w:t>
      </w:r>
      <w:r>
        <w:rPr>
          <w:rStyle w:val="optioncarChar"/>
        </w:rPr>
        <w:t>/ ***</w:t>
      </w:r>
    </w:p>
    <w:p w14:paraId="4578A5FF" w14:textId="77777777" w:rsidR="00772179" w:rsidRDefault="00000000">
      <w:pPr>
        <w:jc w:val="both"/>
      </w:pPr>
      <w:r>
        <w:lastRenderedPageBreak/>
        <w:t>La densité minimale est supérieure à </w:t>
      </w:r>
      <w:r>
        <w:rPr>
          <w:rStyle w:val="optioncarChar"/>
        </w:rPr>
        <w:t>350 Kg/m³</w:t>
      </w:r>
      <w:r>
        <w:t xml:space="preserve"> (par défaut)</w:t>
      </w:r>
      <w:r>
        <w:rPr>
          <w:rStyle w:val="optioncarChar"/>
        </w:rPr>
        <w:t xml:space="preserve"> / *** </w:t>
      </w:r>
      <w:r>
        <w:t>kg/m³</w:t>
      </w:r>
    </w:p>
    <w:p w14:paraId="408506CC" w14:textId="77777777" w:rsidR="00772179" w:rsidRDefault="00000000">
      <w:pPr>
        <w:jc w:val="both"/>
      </w:pPr>
      <w:r>
        <w:t xml:space="preserve">L’élément de rupture thermique est assemblé aux profilés PVC par </w:t>
      </w:r>
      <w:r>
        <w:rPr>
          <w:rStyle w:val="optioncarChar"/>
        </w:rPr>
        <w:t>enfilage</w:t>
      </w:r>
      <w:r>
        <w:t xml:space="preserve"> (par défaut) </w:t>
      </w:r>
      <w:r>
        <w:rPr>
          <w:rStyle w:val="optioncarChar"/>
        </w:rPr>
        <w:t>/ clippage / contre-profilage / collage / fixation mécanique / ***</w:t>
      </w:r>
    </w:p>
    <w:p w14:paraId="4A628DCF" w14:textId="77777777" w:rsidR="00772179" w:rsidRDefault="00000000">
      <w:pPr>
        <w:jc w:val="both"/>
      </w:pPr>
      <w:r>
        <w:t>La qualité des profilés PVC est conforme aux exigences reprises dans la  [NBN EN 12608-1:2016+A1]</w:t>
      </w:r>
    </w:p>
    <w:p w14:paraId="41E725E6" w14:textId="77777777" w:rsidR="00772179" w:rsidRDefault="00000000">
      <w:pPr>
        <w:jc w:val="both"/>
      </w:pPr>
      <w:r>
        <w:t>La durabilité des profilés de PVC est établie pour la classe de climat M (climat modéré) suivant les prescriptions de la [NBN EN 12608-1:2016+A1]</w:t>
      </w:r>
    </w:p>
    <w:p w14:paraId="5BA5D161" w14:textId="77777777" w:rsidR="00772179" w:rsidRDefault="00000000">
      <w:pPr>
        <w:jc w:val="both"/>
      </w:pPr>
      <w:r>
        <w:t>Les dimensions nominales des pièces terminées, exprimées en mm (sans décimales) sont les suivantes :</w:t>
      </w:r>
    </w:p>
    <w:p w14:paraId="035E5481" w14:textId="77777777" w:rsidR="00772179" w:rsidRDefault="00000000">
      <w:pPr>
        <w:pStyle w:val="Author-eListParagraph"/>
        <w:numPr>
          <w:ilvl w:val="0"/>
          <w:numId w:val="116"/>
        </w:numPr>
      </w:pPr>
      <w:r>
        <w:t xml:space="preserve">épaisseur nominale des parois (parois extérieures) des profilés de résistance : ≥ </w:t>
      </w:r>
      <w:r>
        <w:rPr>
          <w:rStyle w:val="optioncarChar"/>
        </w:rPr>
        <w:t>2,8</w:t>
      </w:r>
      <w:r>
        <w:t xml:space="preserve"> (par défaut)  </w:t>
      </w:r>
      <w:r>
        <w:rPr>
          <w:rStyle w:val="optioncarChar"/>
        </w:rPr>
        <w:t>/ *** mm</w:t>
      </w:r>
      <w:r>
        <w:t>.</w:t>
      </w:r>
    </w:p>
    <w:p w14:paraId="54DC794E" w14:textId="77777777" w:rsidR="00772179" w:rsidRDefault="00000000">
      <w:pPr>
        <w:pStyle w:val="Author-eListParagraph"/>
        <w:numPr>
          <w:ilvl w:val="0"/>
          <w:numId w:val="116"/>
        </w:numPr>
      </w:pPr>
      <w:r>
        <w:t xml:space="preserve">profondeur des profilés, mesurée perpendiculairement au vitrage : ≥ </w:t>
      </w:r>
      <w:r>
        <w:rPr>
          <w:rStyle w:val="optioncarChar"/>
        </w:rPr>
        <w:t>***</w:t>
      </w:r>
      <w:r>
        <w:t xml:space="preserve"> (par défaut)</w:t>
      </w:r>
      <w:r>
        <w:rPr>
          <w:rStyle w:val="optioncarChar"/>
        </w:rPr>
        <w:t xml:space="preserve"> / 78 mm</w:t>
      </w:r>
      <w:r>
        <w:t>.</w:t>
      </w:r>
    </w:p>
    <w:p w14:paraId="29269821" w14:textId="77777777" w:rsidR="00772179" w:rsidRDefault="00000000">
      <w:pPr>
        <w:pStyle w:val="Author-eListParagraph"/>
        <w:numPr>
          <w:ilvl w:val="0"/>
          <w:numId w:val="116"/>
        </w:numPr>
      </w:pPr>
      <w:r>
        <w:t xml:space="preserve">largeur des profilés, largeur surdimensionnée : ≥ </w:t>
      </w:r>
      <w:r>
        <w:rPr>
          <w:rStyle w:val="optioncarChar"/>
        </w:rPr>
        <w:t>80 mm</w:t>
      </w:r>
      <w:r>
        <w:t xml:space="preserve"> (par défaut)</w:t>
      </w:r>
      <w:r>
        <w:rPr>
          <w:rStyle w:val="optioncarChar"/>
        </w:rPr>
        <w:t xml:space="preserve"> / ***</w:t>
      </w:r>
      <w:r>
        <w:t xml:space="preserve"> mm (à compléter dans le cahier spécial des charges)     </w:t>
      </w:r>
    </w:p>
    <w:p w14:paraId="48A6E7F4" w14:textId="77777777" w:rsidR="00772179" w:rsidRDefault="00000000">
      <w:pPr>
        <w:jc w:val="both"/>
      </w:pPr>
      <w:r>
        <w:t xml:space="preserve">Dans le profil et la section des parties mobiles, on prévoit au moins une </w:t>
      </w:r>
      <w:r>
        <w:rPr>
          <w:rStyle w:val="optioncarChar"/>
        </w:rPr>
        <w:t>double</w:t>
      </w:r>
      <w:r>
        <w:t xml:space="preserve"> (par défaut) </w:t>
      </w:r>
      <w:r>
        <w:rPr>
          <w:rStyle w:val="optioncarChar"/>
        </w:rPr>
        <w:t>/ triple / ***</w:t>
      </w:r>
      <w:r>
        <w:t xml:space="preserve"> frappe, en réservant le jeu nécessaire pour les différents types de fenêtres. L'étanchéité à l'eau et à l'air des parties ouvrantes est assurée par au moins une double étanchéité élastique. Les bandes d'étanchéité sont fabriquées en néoprène ou matière synthétique et sont enroulées dans le profil ou extrudées avec le profilé. Elles sont toujours appliquées en longueurs complètes, dans les angles et sont enroulées ou soudées en onglet. Seules les étanchéités originales et prescrites par le fournisseur des profilés sont utilisées. Elles font également partie de l'agrément technique obtenu pour le système de profilés. </w:t>
      </w:r>
    </w:p>
    <w:p w14:paraId="461D5DCC" w14:textId="77777777" w:rsidR="00772179" w:rsidRDefault="00000000">
      <w:pPr>
        <w:jc w:val="both"/>
      </w:pPr>
      <w:r>
        <w:rPr>
          <w:b/>
        </w:rPr>
        <w:t>Performances des menuiseries</w:t>
      </w:r>
    </w:p>
    <w:p w14:paraId="6FA432FF" w14:textId="77777777" w:rsidR="00772179" w:rsidRDefault="00000000">
      <w:pPr>
        <w:pStyle w:val="Author-eListParagraph"/>
        <w:numPr>
          <w:ilvl w:val="0"/>
          <w:numId w:val="117"/>
        </w:numPr>
      </w:pPr>
      <w:r>
        <w:t xml:space="preserve">Performances thermiques : La valeur Uf est de </w:t>
      </w:r>
      <w:r>
        <w:rPr>
          <w:rStyle w:val="optioncarChar"/>
        </w:rPr>
        <w:t>0.85</w:t>
      </w:r>
      <w:r>
        <w:t xml:space="preserve"> (par défaut) </w:t>
      </w:r>
      <w:r>
        <w:rPr>
          <w:rStyle w:val="optioncarChar"/>
        </w:rPr>
        <w:t>/ 0.65 / ***</w:t>
      </w:r>
      <w:r>
        <w:t xml:space="preserve"> W/m²K</w:t>
      </w:r>
    </w:p>
    <w:p w14:paraId="09456351" w14:textId="77777777" w:rsidR="00772179" w:rsidRDefault="00000000">
      <w:pPr>
        <w:pStyle w:val="Author-eListParagraph"/>
        <w:numPr>
          <w:ilvl w:val="0"/>
          <w:numId w:val="117"/>
        </w:numPr>
      </w:pPr>
      <w:r>
        <w:t xml:space="preserve">Etanchéité à l’air : </w:t>
      </w:r>
      <w:r>
        <w:rPr>
          <w:rStyle w:val="optioncarChar"/>
        </w:rPr>
        <w:t>Classe 4</w:t>
      </w:r>
      <w:r>
        <w:t xml:space="preserve"> (par défaut) </w:t>
      </w:r>
      <w:r>
        <w:rPr>
          <w:rStyle w:val="optioncarChar"/>
        </w:rPr>
        <w:t xml:space="preserve">/ Avec un  débit d’air à 50 Pa est &lt; 1.89 </w:t>
      </w:r>
      <w:r>
        <w:t>m³/h/m²</w:t>
      </w:r>
      <w:r>
        <w:rPr>
          <w:rStyle w:val="optioncarChar"/>
        </w:rPr>
        <w:t xml:space="preserve"> / ***</w:t>
      </w:r>
    </w:p>
    <w:p w14:paraId="45FFC582" w14:textId="77777777" w:rsidR="00772179" w:rsidRDefault="00000000">
      <w:pPr>
        <w:pStyle w:val="Author-eListParagraph"/>
        <w:numPr>
          <w:ilvl w:val="0"/>
          <w:numId w:val="117"/>
        </w:numPr>
      </w:pPr>
      <w:r>
        <w:t xml:space="preserve">Etanchéité à l’eau de classe </w:t>
      </w:r>
      <w:r>
        <w:rPr>
          <w:rStyle w:val="optioncarChar"/>
        </w:rPr>
        <w:t>6A</w:t>
      </w:r>
      <w:r>
        <w:t xml:space="preserve"> (par défaut)</w:t>
      </w:r>
      <w:r>
        <w:rPr>
          <w:rStyle w:val="optioncarChar"/>
        </w:rPr>
        <w:t xml:space="preserve"> / ***</w:t>
      </w:r>
    </w:p>
    <w:p w14:paraId="0048F714" w14:textId="77777777" w:rsidR="00772179" w:rsidRDefault="00000000">
      <w:pPr>
        <w:pStyle w:val="Author-eListParagraph"/>
        <w:numPr>
          <w:ilvl w:val="0"/>
          <w:numId w:val="117"/>
        </w:numPr>
      </w:pPr>
      <w:r>
        <w:t xml:space="preserve">Résistance au vent de classe </w:t>
      </w:r>
      <w:r>
        <w:rPr>
          <w:rStyle w:val="optioncarChar"/>
        </w:rPr>
        <w:t>C3</w:t>
      </w:r>
      <w:r>
        <w:t xml:space="preserve"> (par défaut) </w:t>
      </w:r>
      <w:r>
        <w:rPr>
          <w:rStyle w:val="optioncarChar"/>
        </w:rPr>
        <w:t>/ ***</w:t>
      </w:r>
    </w:p>
    <w:p w14:paraId="0A3B6E7F" w14:textId="77777777" w:rsidR="00772179" w:rsidRDefault="00000000">
      <w:pPr>
        <w:pStyle w:val="Author-eListParagraph"/>
        <w:numPr>
          <w:ilvl w:val="0"/>
          <w:numId w:val="117"/>
        </w:numPr>
      </w:pPr>
      <w:r>
        <w:t xml:space="preserve">D’effort de manœuvre de classe </w:t>
      </w:r>
      <w:r>
        <w:rPr>
          <w:rStyle w:val="optioncarChar"/>
        </w:rPr>
        <w:t>1</w:t>
      </w:r>
      <w:r>
        <w:t xml:space="preserve"> (par défaut) / </w:t>
      </w:r>
      <w:r>
        <w:rPr>
          <w:rStyle w:val="optioncarChar"/>
        </w:rPr>
        <w:t>2 (PMR) / ***</w:t>
      </w:r>
    </w:p>
    <w:p w14:paraId="250AA268" w14:textId="77777777" w:rsidR="00772179" w:rsidRDefault="00000000">
      <w:pPr>
        <w:pStyle w:val="Author-eListParagraph"/>
        <w:numPr>
          <w:ilvl w:val="0"/>
          <w:numId w:val="117"/>
        </w:numPr>
      </w:pPr>
      <w:r>
        <w:t xml:space="preserve">Abus d’Utilisation de classe </w:t>
      </w:r>
      <w:r>
        <w:rPr>
          <w:rStyle w:val="optioncarChar"/>
        </w:rPr>
        <w:t>3</w:t>
      </w:r>
      <w:r>
        <w:t xml:space="preserve"> (par défaut) </w:t>
      </w:r>
      <w:r>
        <w:rPr>
          <w:rStyle w:val="optioncarChar"/>
        </w:rPr>
        <w:t> / 4 (écoles, bâtiments publics) / ***</w:t>
      </w:r>
    </w:p>
    <w:p w14:paraId="24052E57" w14:textId="77777777" w:rsidR="00772179" w:rsidRDefault="00000000">
      <w:pPr>
        <w:pStyle w:val="Author-eListParagraph"/>
        <w:numPr>
          <w:ilvl w:val="0"/>
          <w:numId w:val="117"/>
        </w:numPr>
      </w:pPr>
      <w:r>
        <w:t xml:space="preserve">Performances acoustiques D Atr supérieur à </w:t>
      </w:r>
      <w:r>
        <w:rPr>
          <w:rStyle w:val="optioncarChar"/>
        </w:rPr>
        <w:t xml:space="preserve">38 </w:t>
      </w:r>
      <w:r>
        <w:t> (par défaut)  </w:t>
      </w:r>
      <w:r>
        <w:rPr>
          <w:rStyle w:val="optioncarChar"/>
        </w:rPr>
        <w:t xml:space="preserve">/ *** </w:t>
      </w:r>
      <w:r>
        <w:t>dB</w:t>
      </w:r>
    </w:p>
    <w:p w14:paraId="75CF7D88" w14:textId="77777777" w:rsidR="00772179" w:rsidRDefault="00000000">
      <w:pPr>
        <w:pStyle w:val="Author-eListParagraph"/>
        <w:numPr>
          <w:ilvl w:val="0"/>
          <w:numId w:val="117"/>
        </w:numPr>
      </w:pPr>
      <w:r>
        <w:t xml:space="preserve">Résistance à l’effraction : classe </w:t>
      </w:r>
      <w:r>
        <w:rPr>
          <w:rStyle w:val="optioncarChar"/>
        </w:rPr>
        <w:t>1</w:t>
      </w:r>
      <w:r>
        <w:t xml:space="preserve"> (par défaut) </w:t>
      </w:r>
      <w:r>
        <w:rPr>
          <w:rStyle w:val="optioncarChar"/>
        </w:rPr>
        <w:t> / ***</w:t>
      </w:r>
    </w:p>
    <w:p w14:paraId="340FBC43" w14:textId="77777777" w:rsidR="00772179" w:rsidRDefault="00000000">
      <w:pPr>
        <w:pStyle w:val="Author-eListParagraph"/>
        <w:numPr>
          <w:ilvl w:val="0"/>
          <w:numId w:val="117"/>
        </w:numPr>
      </w:pPr>
      <w:r>
        <w:t xml:space="preserve">Résistance à l’explosion : </w:t>
      </w:r>
      <w:r>
        <w:rPr>
          <w:rStyle w:val="optioncarChar"/>
        </w:rPr>
        <w:t>non spécifié</w:t>
      </w:r>
      <w:r>
        <w:t xml:space="preserve"> (par défaut) </w:t>
      </w:r>
      <w:r>
        <w:rPr>
          <w:rStyle w:val="optioncarChar"/>
        </w:rPr>
        <w:t>/ ***</w:t>
      </w:r>
    </w:p>
    <w:p w14:paraId="5AB61D25" w14:textId="77777777" w:rsidR="00772179" w:rsidRDefault="00000000">
      <w:pPr>
        <w:pStyle w:val="Author-eListParagraph"/>
        <w:numPr>
          <w:ilvl w:val="0"/>
          <w:numId w:val="117"/>
        </w:numPr>
      </w:pPr>
      <w:r>
        <w:t xml:space="preserve">Résistance aux balles :  </w:t>
      </w:r>
      <w:r>
        <w:rPr>
          <w:rStyle w:val="optioncarChar"/>
        </w:rPr>
        <w:t>non spécifié</w:t>
      </w:r>
      <w:r>
        <w:t xml:space="preserve"> (par défaut) </w:t>
      </w:r>
      <w:r>
        <w:rPr>
          <w:rStyle w:val="optioncarChar"/>
        </w:rPr>
        <w:t>/ ***</w:t>
      </w:r>
    </w:p>
    <w:p w14:paraId="1789073C" w14:textId="77777777" w:rsidR="00772179" w:rsidRDefault="00000000">
      <w:pPr>
        <w:pStyle w:val="Author-eListParagraph"/>
        <w:numPr>
          <w:ilvl w:val="0"/>
          <w:numId w:val="117"/>
        </w:numPr>
      </w:pPr>
      <w:r>
        <w:t>Résistance et réaction au feu :</w:t>
      </w:r>
      <w:r>
        <w:rPr>
          <w:rStyle w:val="optioncarChar"/>
        </w:rPr>
        <w:t xml:space="preserve"> non spécifié</w:t>
      </w:r>
      <w:r>
        <w:t xml:space="preserve"> (par défaut) </w:t>
      </w:r>
      <w:r>
        <w:rPr>
          <w:rStyle w:val="optioncarChar"/>
        </w:rPr>
        <w:t>/ ***</w:t>
      </w:r>
    </w:p>
    <w:p w14:paraId="7EE746C2" w14:textId="77777777" w:rsidR="00772179" w:rsidRDefault="00000000">
      <w:pPr>
        <w:pStyle w:val="Author-eListParagraph"/>
        <w:numPr>
          <w:ilvl w:val="0"/>
          <w:numId w:val="117"/>
        </w:numPr>
      </w:pPr>
      <w:r>
        <w:t xml:space="preserve">Résistance aux chocs : classe </w:t>
      </w:r>
      <w:r>
        <w:rPr>
          <w:rStyle w:val="optioncarChar"/>
        </w:rPr>
        <w:t>2</w:t>
      </w:r>
      <w:r>
        <w:t xml:space="preserve"> (par défaut)</w:t>
      </w:r>
      <w:r>
        <w:rPr>
          <w:rStyle w:val="optioncarChar"/>
        </w:rPr>
        <w:t xml:space="preserve"> / ***</w:t>
      </w:r>
    </w:p>
    <w:p w14:paraId="09928900" w14:textId="77777777" w:rsidR="00772179" w:rsidRDefault="00000000">
      <w:r>
        <w:rPr>
          <w:b/>
        </w:rPr>
        <w:t>Types de fenêtres et portes-fenêtres</w:t>
      </w:r>
    </w:p>
    <w:p w14:paraId="559E76AD" w14:textId="77777777" w:rsidR="00772179" w:rsidRDefault="00000000">
      <w:pPr>
        <w:jc w:val="both"/>
      </w:pPr>
      <w:r>
        <w:t>Les dimensions sont données dans le métré détaillé.</w:t>
      </w:r>
    </w:p>
    <w:p w14:paraId="3B3BB519" w14:textId="77777777" w:rsidR="00772179" w:rsidRDefault="00000000">
      <w:r>
        <w:rPr>
          <w:u w:val="single"/>
        </w:rPr>
        <w:t>Châssis fixes</w:t>
      </w:r>
    </w:p>
    <w:p w14:paraId="7C9F4949" w14:textId="77777777" w:rsidR="00772179" w:rsidRDefault="00000000">
      <w:pPr>
        <w:pStyle w:val="Author-eListParagraph"/>
        <w:numPr>
          <w:ilvl w:val="0"/>
          <w:numId w:val="118"/>
        </w:numPr>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w:t>
      </w:r>
      <w:r>
        <w:t> (par défaut) </w:t>
      </w:r>
      <w:r>
        <w:rPr>
          <w:rStyle w:val="optioncarChar"/>
        </w:rPr>
        <w:t>/ Vitrages triple – Gaz (cfr </w:t>
      </w:r>
      <w:hyperlink w:anchor="879" w:history="1">
        <w:r>
          <w:rPr>
            <w:rStyle w:val="optioncarChar"/>
            <w:color w:val="0000EE"/>
          </w:rPr>
          <w:t>42.22.2a Vitrages triples - Gaz</w:t>
        </w:r>
      </w:hyperlink>
      <w:r>
        <w:rPr>
          <w:rStyle w:val="optioncarChar"/>
        </w:rPr>
        <w:t>)/***</w:t>
      </w:r>
      <w:r>
        <w:t> </w:t>
      </w:r>
    </w:p>
    <w:p w14:paraId="05CB611F" w14:textId="77777777" w:rsidR="00772179" w:rsidRDefault="00000000">
      <w:r>
        <w:rPr>
          <w:u w:val="single"/>
        </w:rPr>
        <w:t>Châssis à vantaux ouvrants</w:t>
      </w:r>
    </w:p>
    <w:p w14:paraId="66598F71" w14:textId="77777777" w:rsidR="00772179" w:rsidRDefault="00000000">
      <w:pPr>
        <w:pStyle w:val="Author-eListParagraph"/>
        <w:numPr>
          <w:ilvl w:val="0"/>
          <w:numId w:val="119"/>
        </w:numPr>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w:t>
      </w:r>
      <w:r>
        <w:t> (par défaut) </w:t>
      </w:r>
      <w:r>
        <w:rPr>
          <w:rStyle w:val="optioncarChar"/>
        </w:rPr>
        <w:t>/ Vitrages triple – Gaz (cfr </w:t>
      </w:r>
      <w:hyperlink w:anchor="879" w:history="1">
        <w:r>
          <w:rPr>
            <w:rStyle w:val="optioncarChar"/>
            <w:color w:val="0000EE"/>
          </w:rPr>
          <w:t>42.22.2a Vitrages triples - Gaz</w:t>
        </w:r>
      </w:hyperlink>
      <w:r>
        <w:rPr>
          <w:rStyle w:val="optioncarChar"/>
        </w:rPr>
        <w:t>) /***</w:t>
      </w:r>
    </w:p>
    <w:p w14:paraId="14E0D033" w14:textId="77777777" w:rsidR="00772179" w:rsidRDefault="00000000">
      <w:pPr>
        <w:pStyle w:val="Author-eListParagraph"/>
        <w:numPr>
          <w:ilvl w:val="0"/>
          <w:numId w:val="119"/>
        </w:numPr>
      </w:pPr>
      <w:r>
        <w:t>Quincailleries : </w:t>
      </w:r>
      <w:r>
        <w:rPr>
          <w:rStyle w:val="optioncarChar"/>
        </w:rPr>
        <w:t>***</w:t>
      </w:r>
      <w:r>
        <w:br/>
        <w:t>Cfr. Article </w:t>
      </w:r>
      <w:hyperlink w:anchor="881" w:history="1">
        <w:r>
          <w:rPr>
            <w:color w:val="0000EE"/>
          </w:rPr>
          <w:t>41.72.1a Charnières et paumelles</w:t>
        </w:r>
      </w:hyperlink>
      <w:r>
        <w:br/>
        <w:t>Cfr. Article </w:t>
      </w:r>
      <w:hyperlink w:anchor="882" w:history="1">
        <w:r>
          <w:rPr>
            <w:color w:val="0000EE"/>
          </w:rPr>
          <w:t>41.72.3a Poignées</w:t>
        </w:r>
      </w:hyperlink>
    </w:p>
    <w:p w14:paraId="0F9FE875" w14:textId="77777777" w:rsidR="00772179" w:rsidRDefault="00000000">
      <w:r>
        <w:t> </w:t>
      </w:r>
      <w:r>
        <w:rPr>
          <w:u w:val="single"/>
        </w:rPr>
        <w:t>Fenêtres oscillo-battantes</w:t>
      </w:r>
    </w:p>
    <w:p w14:paraId="04A57F43" w14:textId="77777777" w:rsidR="00772179" w:rsidRDefault="00000000">
      <w:pPr>
        <w:pStyle w:val="Author-eListParagraph"/>
        <w:numPr>
          <w:ilvl w:val="0"/>
          <w:numId w:val="120"/>
        </w:numPr>
      </w:pPr>
      <w:r>
        <w:lastRenderedPageBreak/>
        <w:t>Remplissage : </w:t>
      </w:r>
      <w:r>
        <w:rPr>
          <w:rStyle w:val="optioncarChar"/>
        </w:rPr>
        <w:t>Vitrages doubles – Gaz (cfr </w:t>
      </w:r>
      <w:hyperlink w:anchor="878" w:history="1">
        <w:r>
          <w:rPr>
            <w:rStyle w:val="optioncarChar"/>
            <w:color w:val="0000EE"/>
          </w:rPr>
          <w:t>42.22.1a Vitrages doubles - Gaz</w:t>
        </w:r>
      </w:hyperlink>
      <w:r>
        <w:rPr>
          <w:rStyle w:val="optioncarChar"/>
        </w:rPr>
        <w:t>)</w:t>
      </w:r>
      <w:r>
        <w:t> (par défaut) </w:t>
      </w:r>
      <w:r>
        <w:rPr>
          <w:rStyle w:val="optioncarChar"/>
        </w:rPr>
        <w:t>/ Vitrages triple – Gaz (cfr </w:t>
      </w:r>
      <w:hyperlink w:anchor="879" w:history="1">
        <w:r>
          <w:rPr>
            <w:rStyle w:val="optioncarChar"/>
            <w:color w:val="0000EE"/>
          </w:rPr>
          <w:t>42.22.2a Vitrages triples - Gaz</w:t>
        </w:r>
      </w:hyperlink>
      <w:r>
        <w:rPr>
          <w:rStyle w:val="optioncarChar"/>
        </w:rPr>
        <w:t>) /***</w:t>
      </w:r>
    </w:p>
    <w:p w14:paraId="5C0FEE00" w14:textId="77777777" w:rsidR="00772179" w:rsidRDefault="00000000">
      <w:pPr>
        <w:pStyle w:val="Author-eListParagraph"/>
        <w:numPr>
          <w:ilvl w:val="0"/>
          <w:numId w:val="120"/>
        </w:numPr>
      </w:pPr>
      <w:r>
        <w:t>Quincailleries :</w:t>
      </w:r>
      <w:r>
        <w:rPr>
          <w:rStyle w:val="optioncarChar"/>
        </w:rPr>
        <w:t>***</w:t>
      </w:r>
      <w:r>
        <w:br/>
        <w:t>Cfr. Article </w:t>
      </w:r>
      <w:hyperlink w:anchor="881" w:history="1">
        <w:r>
          <w:rPr>
            <w:color w:val="0000EE"/>
          </w:rPr>
          <w:t>41.72.1a Charnières et paumelles</w:t>
        </w:r>
      </w:hyperlink>
      <w:r>
        <w:br/>
        <w:t>Cfr. Article </w:t>
      </w:r>
      <w:hyperlink w:anchor="882" w:history="1">
        <w:r>
          <w:rPr>
            <w:color w:val="0000EE"/>
          </w:rPr>
          <w:t>41.72.3a Poignées</w:t>
        </w:r>
      </w:hyperlink>
    </w:p>
    <w:p w14:paraId="6A2A6CD6" w14:textId="77777777" w:rsidR="00772179" w:rsidRDefault="00000000">
      <w:r>
        <w:t> </w:t>
      </w:r>
      <w:r>
        <w:rPr>
          <w:u w:val="single"/>
        </w:rPr>
        <w:t>Fenêtres basculantes</w:t>
      </w:r>
    </w:p>
    <w:p w14:paraId="789E2ABA" w14:textId="77777777" w:rsidR="00772179" w:rsidRDefault="00000000">
      <w:pPr>
        <w:pStyle w:val="Author-eListParagraph"/>
        <w:numPr>
          <w:ilvl w:val="0"/>
          <w:numId w:val="121"/>
        </w:numPr>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w:t>
      </w:r>
      <w:r>
        <w:t> (par défaut) </w:t>
      </w:r>
      <w:r>
        <w:rPr>
          <w:rStyle w:val="optioncarChar"/>
        </w:rPr>
        <w:t>/ Vitrages triple – Gaz (cfr </w:t>
      </w:r>
      <w:hyperlink w:anchor="879" w:history="1">
        <w:r>
          <w:rPr>
            <w:rStyle w:val="optioncarChar"/>
            <w:color w:val="0000EE"/>
          </w:rPr>
          <w:t>42.22.2a Vitrages triples - Gaz</w:t>
        </w:r>
      </w:hyperlink>
      <w:r>
        <w:rPr>
          <w:rStyle w:val="optioncarChar"/>
        </w:rPr>
        <w:t>) /***</w:t>
      </w:r>
    </w:p>
    <w:p w14:paraId="66DA0B5E" w14:textId="77777777" w:rsidR="00772179" w:rsidRDefault="00000000">
      <w:pPr>
        <w:pStyle w:val="Author-eListParagraph"/>
        <w:numPr>
          <w:ilvl w:val="0"/>
          <w:numId w:val="121"/>
        </w:numPr>
      </w:pPr>
      <w:r>
        <w:t>Quincailleries :</w:t>
      </w:r>
      <w:r>
        <w:rPr>
          <w:rStyle w:val="optioncarChar"/>
        </w:rPr>
        <w:t>***</w:t>
      </w:r>
      <w:r>
        <w:br/>
        <w:t>Cfr. Article </w:t>
      </w:r>
      <w:hyperlink w:anchor="881" w:history="1">
        <w:r>
          <w:rPr>
            <w:color w:val="0000EE"/>
          </w:rPr>
          <w:t>41.72.1a Charnières et paumelles</w:t>
        </w:r>
      </w:hyperlink>
      <w:r>
        <w:br/>
        <w:t>Cfr. Article </w:t>
      </w:r>
      <w:hyperlink w:anchor="882" w:history="1">
        <w:r>
          <w:rPr>
            <w:color w:val="0000EE"/>
          </w:rPr>
          <w:t>41.72.3a Poignées</w:t>
        </w:r>
      </w:hyperlink>
    </w:p>
    <w:p w14:paraId="55F30145" w14:textId="77777777" w:rsidR="00772179" w:rsidRDefault="00000000">
      <w:r>
        <w:t> </w:t>
      </w:r>
      <w:r>
        <w:rPr>
          <w:u w:val="single"/>
        </w:rPr>
        <w:t>Fenêtres projetantes</w:t>
      </w:r>
    </w:p>
    <w:p w14:paraId="66849206" w14:textId="77777777" w:rsidR="00772179" w:rsidRDefault="00000000">
      <w:pPr>
        <w:pStyle w:val="Author-eListParagraph"/>
        <w:numPr>
          <w:ilvl w:val="0"/>
          <w:numId w:val="122"/>
        </w:numPr>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w:t>
      </w:r>
      <w:r>
        <w:t> (par défaut) </w:t>
      </w:r>
      <w:r>
        <w:rPr>
          <w:rStyle w:val="optioncarChar"/>
        </w:rPr>
        <w:t>/ Vitrages triple – Gaz (cfr </w:t>
      </w:r>
      <w:hyperlink w:anchor="879" w:history="1">
        <w:r>
          <w:rPr>
            <w:rStyle w:val="optioncarChar"/>
            <w:color w:val="0000EE"/>
          </w:rPr>
          <w:t>42.22.2a Vitrages triples - Gaz</w:t>
        </w:r>
      </w:hyperlink>
      <w:r>
        <w:rPr>
          <w:rStyle w:val="optioncarChar"/>
        </w:rPr>
        <w:t>)/***</w:t>
      </w:r>
    </w:p>
    <w:p w14:paraId="06E2E7D8" w14:textId="77777777" w:rsidR="00772179" w:rsidRDefault="00000000">
      <w:pPr>
        <w:pStyle w:val="Author-eListParagraph"/>
        <w:numPr>
          <w:ilvl w:val="0"/>
          <w:numId w:val="122"/>
        </w:numPr>
      </w:pPr>
      <w:r>
        <w:t>Quincailleries :</w:t>
      </w:r>
      <w:r>
        <w:rPr>
          <w:rStyle w:val="optioncarChar"/>
        </w:rPr>
        <w:t>***</w:t>
      </w:r>
      <w:r>
        <w:br/>
        <w:t>Cfr. Article </w:t>
      </w:r>
      <w:hyperlink w:anchor="881" w:history="1">
        <w:r>
          <w:rPr>
            <w:color w:val="0000EE"/>
          </w:rPr>
          <w:t>41.72.1a Charnières et paumelles</w:t>
        </w:r>
      </w:hyperlink>
      <w:r>
        <w:br/>
        <w:t>Cfr. Article </w:t>
      </w:r>
      <w:hyperlink w:anchor="882" w:history="1">
        <w:r>
          <w:rPr>
            <w:color w:val="0000EE"/>
          </w:rPr>
          <w:t>41.72.3a Poignées</w:t>
        </w:r>
      </w:hyperlink>
    </w:p>
    <w:p w14:paraId="49E50004" w14:textId="77777777" w:rsidR="00772179" w:rsidRDefault="00000000">
      <w:r>
        <w:t> </w:t>
      </w:r>
      <w:r>
        <w:rPr>
          <w:u w:val="single"/>
        </w:rPr>
        <w:t>Fenêtres pivotantes ou basculantes</w:t>
      </w:r>
    </w:p>
    <w:p w14:paraId="713E7C48" w14:textId="77777777" w:rsidR="00772179" w:rsidRDefault="00000000">
      <w:pPr>
        <w:pStyle w:val="Author-eListParagraph"/>
        <w:numPr>
          <w:ilvl w:val="0"/>
          <w:numId w:val="123"/>
        </w:numPr>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w:t>
      </w:r>
      <w:r>
        <w:t> (par défaut) </w:t>
      </w:r>
      <w:r>
        <w:rPr>
          <w:rStyle w:val="optioncarChar"/>
        </w:rPr>
        <w:t>/ Vitrages triple – Gaz (cfr </w:t>
      </w:r>
      <w:hyperlink w:anchor="879" w:history="1">
        <w:r>
          <w:rPr>
            <w:rStyle w:val="optioncarChar"/>
            <w:color w:val="0000EE"/>
          </w:rPr>
          <w:t>42.22.2a Vitrages triples - Gaz</w:t>
        </w:r>
      </w:hyperlink>
      <w:r>
        <w:rPr>
          <w:rStyle w:val="optioncarChar"/>
        </w:rPr>
        <w:t>) /***</w:t>
      </w:r>
    </w:p>
    <w:p w14:paraId="0532C667" w14:textId="77777777" w:rsidR="00772179" w:rsidRDefault="00000000">
      <w:pPr>
        <w:pStyle w:val="Author-eListParagraph"/>
        <w:numPr>
          <w:ilvl w:val="0"/>
          <w:numId w:val="123"/>
        </w:numPr>
      </w:pPr>
      <w:r>
        <w:t>Quincailleries :</w:t>
      </w:r>
      <w:r>
        <w:rPr>
          <w:rStyle w:val="optioncarChar"/>
        </w:rPr>
        <w:t>***</w:t>
      </w:r>
      <w:r>
        <w:br/>
        <w:t>Cfr. Article </w:t>
      </w:r>
      <w:hyperlink w:anchor="881" w:history="1">
        <w:r>
          <w:rPr>
            <w:color w:val="0000EE"/>
          </w:rPr>
          <w:t>41.72.1a Charnières et paumelles</w:t>
        </w:r>
      </w:hyperlink>
      <w:r>
        <w:br/>
        <w:t>Cfr. Article </w:t>
      </w:r>
      <w:hyperlink w:anchor="882" w:history="1">
        <w:r>
          <w:rPr>
            <w:color w:val="0000EE"/>
          </w:rPr>
          <w:t>41.72.3a Poignées</w:t>
        </w:r>
      </w:hyperlink>
    </w:p>
    <w:p w14:paraId="07F214CB" w14:textId="77777777" w:rsidR="00772179" w:rsidRDefault="00000000">
      <w:r>
        <w:t> </w:t>
      </w:r>
      <w:r>
        <w:rPr>
          <w:u w:val="single"/>
        </w:rPr>
        <w:t>Fenêtres coulissantes</w:t>
      </w:r>
    </w:p>
    <w:p w14:paraId="6D146C23" w14:textId="77777777" w:rsidR="00772179" w:rsidRDefault="00000000">
      <w:pPr>
        <w:pStyle w:val="Author-eListParagraph"/>
        <w:numPr>
          <w:ilvl w:val="0"/>
          <w:numId w:val="124"/>
        </w:numPr>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w:t>
      </w:r>
      <w:r>
        <w:t> (par défaut)</w:t>
      </w:r>
      <w:r>
        <w:rPr>
          <w:rStyle w:val="optioncarChar"/>
        </w:rPr>
        <w:t> / Vitrages triple – Gaz (cfr </w:t>
      </w:r>
      <w:hyperlink w:anchor="879" w:history="1">
        <w:r>
          <w:rPr>
            <w:rStyle w:val="optioncarChar"/>
            <w:color w:val="0000EE"/>
          </w:rPr>
          <w:t>42.22.2a Vitrages triples - Gaz</w:t>
        </w:r>
      </w:hyperlink>
      <w:r>
        <w:rPr>
          <w:rStyle w:val="optioncarChar"/>
        </w:rPr>
        <w:t>) /***</w:t>
      </w:r>
    </w:p>
    <w:p w14:paraId="438563FD" w14:textId="77777777" w:rsidR="00772179" w:rsidRDefault="00000000">
      <w:pPr>
        <w:pStyle w:val="Author-eListParagraph"/>
        <w:numPr>
          <w:ilvl w:val="0"/>
          <w:numId w:val="124"/>
        </w:numPr>
      </w:pPr>
      <w:r>
        <w:t>Quincailleries : </w:t>
      </w:r>
      <w:r>
        <w:rPr>
          <w:rStyle w:val="optioncarChar"/>
        </w:rPr>
        <w:t>***</w:t>
      </w:r>
      <w:r>
        <w:br/>
        <w:t>Cfr. Article </w:t>
      </w:r>
      <w:hyperlink w:anchor="881" w:history="1">
        <w:r>
          <w:rPr>
            <w:color w:val="0000EE"/>
          </w:rPr>
          <w:t>41.72.1a Charnières et paumelles</w:t>
        </w:r>
      </w:hyperlink>
      <w:r>
        <w:br/>
        <w:t>Cfr. Article </w:t>
      </w:r>
      <w:hyperlink w:anchor="882" w:history="1">
        <w:r>
          <w:rPr>
            <w:color w:val="0000EE"/>
          </w:rPr>
          <w:t>41.72.3a Poignées</w:t>
        </w:r>
      </w:hyperlink>
    </w:p>
    <w:p w14:paraId="6F59C2B0" w14:textId="77777777" w:rsidR="00772179" w:rsidRDefault="00000000">
      <w:r>
        <w:t> </w:t>
      </w:r>
      <w:r>
        <w:rPr>
          <w:u w:val="single"/>
        </w:rPr>
        <w:t>Fenêtres levantes-coulissantes</w:t>
      </w:r>
    </w:p>
    <w:p w14:paraId="618EDBB6" w14:textId="77777777" w:rsidR="00772179" w:rsidRDefault="00000000">
      <w:pPr>
        <w:pStyle w:val="Author-eListParagraph"/>
        <w:numPr>
          <w:ilvl w:val="0"/>
          <w:numId w:val="125"/>
        </w:numPr>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w:t>
      </w:r>
      <w:r>
        <w:t> (par défaut) </w:t>
      </w:r>
      <w:r>
        <w:rPr>
          <w:rStyle w:val="optioncarChar"/>
        </w:rPr>
        <w:t>/ Vitrages triple – Gaz (cfr </w:t>
      </w:r>
      <w:hyperlink w:anchor="879" w:history="1">
        <w:r>
          <w:rPr>
            <w:rStyle w:val="optioncarChar"/>
            <w:color w:val="0000EE"/>
          </w:rPr>
          <w:t>42.22.2a Vitrages triples - Gaz</w:t>
        </w:r>
      </w:hyperlink>
      <w:r>
        <w:rPr>
          <w:rStyle w:val="optioncarChar"/>
        </w:rPr>
        <w:t>) /***</w:t>
      </w:r>
    </w:p>
    <w:p w14:paraId="408FC609" w14:textId="77777777" w:rsidR="00772179" w:rsidRDefault="00000000">
      <w:pPr>
        <w:pStyle w:val="Author-eListParagraph"/>
        <w:numPr>
          <w:ilvl w:val="0"/>
          <w:numId w:val="125"/>
        </w:numPr>
      </w:pPr>
      <w:r>
        <w:t>Quincailleries : **</w:t>
      </w:r>
      <w:r>
        <w:rPr>
          <w:rStyle w:val="optioncarChar"/>
        </w:rPr>
        <w:t>*</w:t>
      </w:r>
      <w:r>
        <w:br/>
        <w:t>Cfr. Article </w:t>
      </w:r>
      <w:hyperlink w:anchor="881" w:history="1">
        <w:r>
          <w:rPr>
            <w:color w:val="0000EE"/>
          </w:rPr>
          <w:t>41.72.1a Charnières et paumelles</w:t>
        </w:r>
      </w:hyperlink>
      <w:r>
        <w:br/>
        <w:t>Cfr. Article </w:t>
      </w:r>
      <w:hyperlink w:anchor="882" w:history="1">
        <w:r>
          <w:rPr>
            <w:color w:val="0000EE"/>
          </w:rPr>
          <w:t>41.72.3a Poignées</w:t>
        </w:r>
      </w:hyperlink>
    </w:p>
    <w:p w14:paraId="66AD16D7" w14:textId="77777777" w:rsidR="00772179" w:rsidRDefault="00000000">
      <w:r>
        <w:t> </w:t>
      </w:r>
      <w:r>
        <w:rPr>
          <w:u w:val="single"/>
        </w:rPr>
        <w:t>Fenêtres basculantes-coulissantes</w:t>
      </w:r>
    </w:p>
    <w:p w14:paraId="19523290" w14:textId="77777777" w:rsidR="00772179" w:rsidRDefault="00000000">
      <w:pPr>
        <w:pStyle w:val="Author-eListParagraph"/>
        <w:numPr>
          <w:ilvl w:val="0"/>
          <w:numId w:val="126"/>
        </w:numPr>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w:t>
      </w:r>
      <w:r>
        <w:t> (par défaut) </w:t>
      </w:r>
      <w:r>
        <w:rPr>
          <w:rStyle w:val="optioncarChar"/>
        </w:rPr>
        <w:t>/ Vitrages triple – Gaz (cfr </w:t>
      </w:r>
      <w:hyperlink w:anchor="879" w:history="1">
        <w:r>
          <w:rPr>
            <w:rStyle w:val="optioncarChar"/>
            <w:color w:val="0000EE"/>
          </w:rPr>
          <w:t>42.22.2a Vitrages triples - Gaz</w:t>
        </w:r>
      </w:hyperlink>
      <w:r>
        <w:rPr>
          <w:rStyle w:val="optioncarChar"/>
        </w:rPr>
        <w:t>) /***</w:t>
      </w:r>
    </w:p>
    <w:p w14:paraId="016A8CD7" w14:textId="77777777" w:rsidR="00772179" w:rsidRDefault="00000000">
      <w:pPr>
        <w:pStyle w:val="Author-eListParagraph"/>
        <w:numPr>
          <w:ilvl w:val="0"/>
          <w:numId w:val="126"/>
        </w:numPr>
      </w:pPr>
      <w:r>
        <w:t>Quincailleries : </w:t>
      </w:r>
      <w:r>
        <w:rPr>
          <w:rStyle w:val="optioncarChar"/>
        </w:rPr>
        <w:t>***</w:t>
      </w:r>
      <w:r>
        <w:br/>
        <w:t>Cfr. Article </w:t>
      </w:r>
      <w:hyperlink w:anchor="881" w:history="1">
        <w:r>
          <w:rPr>
            <w:color w:val="0000EE"/>
          </w:rPr>
          <w:t>41.72.1a Charnières et paumelles</w:t>
        </w:r>
      </w:hyperlink>
      <w:r>
        <w:br/>
        <w:t>Cfr. Article </w:t>
      </w:r>
      <w:hyperlink w:anchor="882" w:history="1">
        <w:r>
          <w:rPr>
            <w:color w:val="0000EE"/>
          </w:rPr>
          <w:t>41.72.3a Poignées</w:t>
        </w:r>
      </w:hyperlink>
    </w:p>
    <w:p w14:paraId="6FA9D55E" w14:textId="77777777" w:rsidR="00772179" w:rsidRDefault="00000000">
      <w:r>
        <w:t> </w:t>
      </w:r>
      <w:r>
        <w:rPr>
          <w:u w:val="single"/>
        </w:rPr>
        <w:t>Fenêtres obliques / inclinées</w:t>
      </w:r>
    </w:p>
    <w:p w14:paraId="616B5901" w14:textId="77777777" w:rsidR="00772179" w:rsidRDefault="00000000">
      <w:pPr>
        <w:pStyle w:val="Author-eListParagraph"/>
        <w:numPr>
          <w:ilvl w:val="0"/>
          <w:numId w:val="127"/>
        </w:numPr>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w:t>
      </w:r>
      <w:r>
        <w:t> (par défaut) </w:t>
      </w:r>
      <w:r>
        <w:rPr>
          <w:rStyle w:val="optioncarChar"/>
        </w:rPr>
        <w:t>/ Vitrages triple – Gaz (cfr </w:t>
      </w:r>
      <w:hyperlink w:anchor="879" w:history="1">
        <w:r>
          <w:rPr>
            <w:rStyle w:val="optioncarChar"/>
            <w:color w:val="0000EE"/>
          </w:rPr>
          <w:t>42.22.2a Vitrages triples - Gaz</w:t>
        </w:r>
      </w:hyperlink>
      <w:r>
        <w:rPr>
          <w:rStyle w:val="optioncarChar"/>
        </w:rPr>
        <w:t>) /***</w:t>
      </w:r>
    </w:p>
    <w:p w14:paraId="6E426948" w14:textId="77777777" w:rsidR="00772179" w:rsidRDefault="00000000">
      <w:pPr>
        <w:pStyle w:val="Author-eListParagraph"/>
        <w:numPr>
          <w:ilvl w:val="0"/>
          <w:numId w:val="127"/>
        </w:numPr>
      </w:pPr>
      <w:r>
        <w:t>Quincailleries : </w:t>
      </w:r>
      <w:r>
        <w:rPr>
          <w:rStyle w:val="optioncarChar"/>
        </w:rPr>
        <w:t>***</w:t>
      </w:r>
      <w:r>
        <w:br/>
        <w:t>Cfr. Article </w:t>
      </w:r>
      <w:hyperlink w:anchor="881" w:history="1">
        <w:r>
          <w:rPr>
            <w:color w:val="0000EE"/>
          </w:rPr>
          <w:t>41.72.1a Charnières et paumelles</w:t>
        </w:r>
      </w:hyperlink>
      <w:r>
        <w:br/>
        <w:t>Cfr. Article </w:t>
      </w:r>
      <w:hyperlink w:anchor="882" w:history="1">
        <w:r>
          <w:rPr>
            <w:color w:val="0000EE"/>
          </w:rPr>
          <w:t>41.72.3a Poignées</w:t>
        </w:r>
      </w:hyperlink>
    </w:p>
    <w:p w14:paraId="04CDDAE8" w14:textId="77777777" w:rsidR="00772179" w:rsidRDefault="00000000">
      <w:r>
        <w:t> </w:t>
      </w:r>
      <w:r>
        <w:rPr>
          <w:u w:val="single"/>
        </w:rPr>
        <w:t>Ensembles de fenêtres composées </w:t>
      </w:r>
    </w:p>
    <w:p w14:paraId="6853B18C" w14:textId="77777777" w:rsidR="00772179" w:rsidRDefault="00000000">
      <w:pPr>
        <w:pStyle w:val="Author-eListParagraph"/>
        <w:numPr>
          <w:ilvl w:val="0"/>
          <w:numId w:val="128"/>
        </w:numPr>
      </w:pPr>
      <w:r>
        <w:lastRenderedPageBreak/>
        <w:t>Remplissage : </w:t>
      </w:r>
      <w:r>
        <w:rPr>
          <w:rStyle w:val="optioncarChar"/>
        </w:rPr>
        <w:t>Vitrages doubles – Gaz (cfr </w:t>
      </w:r>
      <w:hyperlink w:anchor="878" w:history="1">
        <w:r>
          <w:rPr>
            <w:rStyle w:val="optioncarChar"/>
            <w:color w:val="0000EE"/>
          </w:rPr>
          <w:t>42.22.1a Vitrages doubles - Gaz</w:t>
        </w:r>
      </w:hyperlink>
      <w:r>
        <w:rPr>
          <w:rStyle w:val="optioncarChar"/>
        </w:rPr>
        <w:t>)</w:t>
      </w:r>
      <w:r>
        <w:t> (par défaut)</w:t>
      </w:r>
      <w:r>
        <w:rPr>
          <w:rStyle w:val="optioncarChar"/>
        </w:rPr>
        <w:t> / Vitrages triple – Gaz (cfr </w:t>
      </w:r>
      <w:hyperlink w:anchor="879" w:history="1">
        <w:r>
          <w:rPr>
            <w:rStyle w:val="optioncarChar"/>
            <w:color w:val="0000EE"/>
          </w:rPr>
          <w:t>42.22.2a Vitrages triples - Gaz</w:t>
        </w:r>
      </w:hyperlink>
      <w:r>
        <w:rPr>
          <w:rStyle w:val="optioncarChar"/>
        </w:rPr>
        <w:t>) /***</w:t>
      </w:r>
    </w:p>
    <w:p w14:paraId="6DCF3BB2" w14:textId="77777777" w:rsidR="00772179" w:rsidRDefault="00000000">
      <w:pPr>
        <w:pStyle w:val="Author-eListParagraph"/>
        <w:numPr>
          <w:ilvl w:val="0"/>
          <w:numId w:val="128"/>
        </w:numPr>
      </w:pPr>
      <w:r>
        <w:t>Quincailleries : </w:t>
      </w:r>
      <w:r>
        <w:rPr>
          <w:rStyle w:val="optioncarChar"/>
        </w:rPr>
        <w:t>***</w:t>
      </w:r>
      <w:r>
        <w:br/>
        <w:t>Cfr. Article </w:t>
      </w:r>
      <w:hyperlink w:anchor="881" w:history="1">
        <w:r>
          <w:rPr>
            <w:color w:val="0000EE"/>
          </w:rPr>
          <w:t>41.72.1a Charnières et paumelles</w:t>
        </w:r>
      </w:hyperlink>
      <w:r>
        <w:br/>
        <w:t>Cfr. Article </w:t>
      </w:r>
      <w:hyperlink w:anchor="882" w:history="1">
        <w:r>
          <w:rPr>
            <w:color w:val="0000EE"/>
          </w:rPr>
          <w:t>41.72.3a Poignées</w:t>
        </w:r>
      </w:hyperlink>
      <w:r>
        <w:t>  </w:t>
      </w:r>
    </w:p>
    <w:p w14:paraId="423214D3" w14:textId="77777777" w:rsidR="00772179" w:rsidRDefault="00000000">
      <w:pPr>
        <w:jc w:val="both"/>
      </w:pPr>
      <w:r>
        <w:rPr>
          <w:b/>
        </w:rPr>
        <w:t>Quincaillerie </w:t>
      </w:r>
    </w:p>
    <w:p w14:paraId="1655B18E" w14:textId="77777777" w:rsidR="00772179" w:rsidRDefault="00772179">
      <w:pPr>
        <w:jc w:val="both"/>
      </w:pPr>
    </w:p>
    <w:p w14:paraId="70895253" w14:textId="77777777" w:rsidR="00772179" w:rsidRDefault="00000000">
      <w:pPr>
        <w:jc w:val="both"/>
      </w:pPr>
      <w:r>
        <w:t xml:space="preserve">La quincaillerie encastrée est </w:t>
      </w:r>
      <w:r>
        <w:rPr>
          <w:rStyle w:val="optioncarChar"/>
        </w:rPr>
        <w:t>galvanisée (≥ 19 µm)</w:t>
      </w:r>
      <w:r>
        <w:t xml:space="preserve"> (par défaut) </w:t>
      </w:r>
      <w:r>
        <w:rPr>
          <w:rStyle w:val="optioncarChar"/>
        </w:rPr>
        <w:t>/ chromatée / synthétique / ***</w:t>
      </w:r>
      <w:r>
        <w:t xml:space="preserve"> et les différents constituants qui sont encastrés dans le profilé sont enduits, pendant l’encastrement, d’une épaisse couche de graisse pour roulements à billes.</w:t>
      </w:r>
    </w:p>
    <w:p w14:paraId="5F282DC4" w14:textId="77777777" w:rsidR="00772179" w:rsidRDefault="00000000">
      <w:pPr>
        <w:jc w:val="both"/>
      </w:pPr>
      <w:r>
        <w:t xml:space="preserve">(Voir sous-titre </w:t>
      </w:r>
      <w:hyperlink w:anchor="884" w:history="1">
        <w:r>
          <w:rPr>
            <w:color w:val="0000EE"/>
          </w:rPr>
          <w:t>41.72 Quincailleries</w:t>
        </w:r>
      </w:hyperlink>
      <w:r>
        <w:t>)</w:t>
      </w:r>
    </w:p>
    <w:p w14:paraId="23709C89" w14:textId="77777777" w:rsidR="00772179" w:rsidRDefault="00000000">
      <w:pPr>
        <w:jc w:val="both"/>
      </w:pPr>
      <w:r>
        <w:t xml:space="preserve">La quincaillerie permet d’atteindre les performances définies ci-dessus et sont conformes aux descriptions des essais initiaux pour le marquage de la fenêtre ou porte-fenêtre. </w:t>
      </w:r>
    </w:p>
    <w:p w14:paraId="3231EF90" w14:textId="77777777" w:rsidR="00772179" w:rsidRDefault="00000000">
      <w:pPr>
        <w:jc w:val="both"/>
      </w:pPr>
      <w:r>
        <w:t xml:space="preserve">Les poignées et autres dispositifs d’aide à la manœuvre (notamment PMR) sont définis dans le chapitre </w:t>
      </w:r>
      <w:hyperlink w:anchor="886" w:history="1">
        <w:r>
          <w:rPr>
            <w:color w:val="0000EE"/>
          </w:rPr>
          <w:t>41.72.3 Poignées</w:t>
        </w:r>
      </w:hyperlink>
      <w:r>
        <w:t> </w:t>
      </w:r>
    </w:p>
    <w:p w14:paraId="40C03F34" w14:textId="77777777" w:rsidR="00772179" w:rsidRDefault="00000000">
      <w:pPr>
        <w:jc w:val="both"/>
      </w:pPr>
      <w:r>
        <w:rPr>
          <w:b/>
        </w:rPr>
        <w:t>Vitrages et panneaux de remplissage</w:t>
      </w:r>
    </w:p>
    <w:p w14:paraId="2A458A34" w14:textId="77777777" w:rsidR="00772179" w:rsidRDefault="00000000">
      <w:pPr>
        <w:jc w:val="both"/>
      </w:pPr>
      <w:r>
        <w:t xml:space="preserve">(Voir section </w:t>
      </w:r>
      <w:hyperlink w:anchor="852" w:history="1">
        <w:r>
          <w:rPr>
            <w:color w:val="0000EE"/>
          </w:rPr>
          <w:t>42 Vitrages extérieurs et éléments de remplissage</w:t>
        </w:r>
      </w:hyperlink>
      <w:r>
        <w:t>)</w:t>
      </w:r>
    </w:p>
    <w:p w14:paraId="48D3BE56" w14:textId="77777777" w:rsidR="00772179" w:rsidRDefault="00772179"/>
    <w:p w14:paraId="7E39D416" w14:textId="77777777" w:rsidR="00772179" w:rsidRDefault="00000000">
      <w:pPr>
        <w:pStyle w:val="pheading"/>
      </w:pPr>
      <w:r>
        <w:t>- Finitions</w:t>
      </w:r>
    </w:p>
    <w:p w14:paraId="0B8A50F3" w14:textId="77777777" w:rsidR="00772179" w:rsidRDefault="00000000">
      <w:pPr>
        <w:jc w:val="both"/>
      </w:pPr>
      <w:r>
        <w:t xml:space="preserve">La finition des profilés synthétiques est </w:t>
      </w:r>
      <w:r>
        <w:rPr>
          <w:rStyle w:val="optioncarChar"/>
        </w:rPr>
        <w:t>blanche</w:t>
      </w:r>
      <w:r>
        <w:t xml:space="preserve"> (par défaut) </w:t>
      </w:r>
      <w:r>
        <w:rPr>
          <w:rStyle w:val="optioncarChar"/>
        </w:rPr>
        <w:t>/ coloration dans la masse de couleur *** / laquage de couleur *** / collage de feuille de couleur ou texture *** / co-extrusion de couleur *** / ***</w:t>
      </w:r>
      <w:r>
        <w:t> </w:t>
      </w:r>
    </w:p>
    <w:p w14:paraId="54501E9E" w14:textId="77777777" w:rsidR="00772179" w:rsidRDefault="00000000">
      <w:pPr>
        <w:jc w:val="both"/>
      </w:pPr>
      <w:r>
        <w:rPr>
          <w:b/>
        </w:rPr>
        <w:t>(soit par défaut )</w:t>
      </w:r>
    </w:p>
    <w:p w14:paraId="20B370E9" w14:textId="77777777" w:rsidR="00772179" w:rsidRDefault="00000000">
      <w:pPr>
        <w:jc w:val="both"/>
      </w:pPr>
      <w:r>
        <w:rPr>
          <w:rStyle w:val="soitChar"/>
        </w:rPr>
        <w:t xml:space="preserve">Profilé </w:t>
      </w:r>
      <w:r>
        <w:rPr>
          <w:rStyle w:val="soitChar"/>
          <w:u w:val="single"/>
        </w:rPr>
        <w:t>Blanc</w:t>
      </w:r>
    </w:p>
    <w:p w14:paraId="1EFF687F" w14:textId="77777777" w:rsidR="00772179" w:rsidRDefault="00000000">
      <w:pPr>
        <w:jc w:val="both"/>
      </w:pPr>
      <w:r>
        <w:rPr>
          <w:b/>
        </w:rPr>
        <w:t>(soit)</w:t>
      </w:r>
    </w:p>
    <w:p w14:paraId="47589F69" w14:textId="77777777" w:rsidR="00772179" w:rsidRDefault="00000000">
      <w:pPr>
        <w:jc w:val="both"/>
      </w:pPr>
      <w:r>
        <w:rPr>
          <w:rStyle w:val="soitChar"/>
          <w:u w:val="single"/>
        </w:rPr>
        <w:t>La coloration dans la masse (CPm)</w:t>
      </w:r>
      <w:r>
        <w:rPr>
          <w:rStyle w:val="soitChar"/>
        </w:rPr>
        <w:t xml:space="preserve"> Ce procédé consiste à extruder les profilés avec une composition vinylique pigmentée ou autre dans la masse : Couleur :</w:t>
      </w:r>
      <w:r>
        <w:rPr>
          <w:rStyle w:val="optioncarChar"/>
        </w:rPr>
        <w:t>***</w:t>
      </w:r>
    </w:p>
    <w:p w14:paraId="2DE85FBB" w14:textId="77777777" w:rsidR="00772179" w:rsidRDefault="00000000">
      <w:pPr>
        <w:jc w:val="both"/>
      </w:pPr>
      <w:r>
        <w:rPr>
          <w:b/>
        </w:rPr>
        <w:t>(soit)</w:t>
      </w:r>
    </w:p>
    <w:p w14:paraId="46AD4194" w14:textId="77777777" w:rsidR="00772179" w:rsidRDefault="00000000">
      <w:pPr>
        <w:jc w:val="both"/>
      </w:pPr>
      <w:r>
        <w:rPr>
          <w:rStyle w:val="soitChar"/>
          <w:u w:val="single"/>
        </w:rPr>
        <w:t>Le laquage (CPp)</w:t>
      </w:r>
      <w:r>
        <w:rPr>
          <w:rStyle w:val="soitChar"/>
        </w:rPr>
        <w:t> :Une ou plusieurs couches de laque sont appliquées sur le profilé. Couleur :</w:t>
      </w:r>
      <w:r>
        <w:rPr>
          <w:rStyle w:val="optioncarChar"/>
        </w:rPr>
        <w:t>***</w:t>
      </w:r>
      <w:r>
        <w:t>.</w:t>
      </w:r>
    </w:p>
    <w:p w14:paraId="7FB9B0E4" w14:textId="77777777" w:rsidR="00772179" w:rsidRDefault="00000000">
      <w:pPr>
        <w:jc w:val="both"/>
      </w:pPr>
      <w:r>
        <w:rPr>
          <w:b/>
        </w:rPr>
        <w:t>(soit)</w:t>
      </w:r>
    </w:p>
    <w:p w14:paraId="11C40AC6" w14:textId="77777777" w:rsidR="00772179" w:rsidRDefault="00000000">
      <w:pPr>
        <w:jc w:val="both"/>
      </w:pPr>
      <w:r>
        <w:rPr>
          <w:rStyle w:val="soitChar"/>
          <w:u w:val="single"/>
        </w:rPr>
        <w:t>Le collage de feuille (CPf) :</w:t>
      </w:r>
      <w:r>
        <w:rPr>
          <w:rStyle w:val="soitChar"/>
        </w:rPr>
        <w:t xml:space="preserve"> Ce procédé consiste à appliquer un film protecteur et décoratif par collage sur le profilé. Teinte ou texture :</w:t>
      </w:r>
      <w:r>
        <w:rPr>
          <w:rStyle w:val="optioncarChar"/>
        </w:rPr>
        <w:t>***.</w:t>
      </w:r>
    </w:p>
    <w:p w14:paraId="28DE0FCB" w14:textId="77777777" w:rsidR="00772179" w:rsidRDefault="00000000">
      <w:pPr>
        <w:jc w:val="both"/>
      </w:pPr>
      <w:r>
        <w:rPr>
          <w:b/>
        </w:rPr>
        <w:t>(soit)</w:t>
      </w:r>
    </w:p>
    <w:p w14:paraId="6A10AB9F" w14:textId="77777777" w:rsidR="00772179" w:rsidRDefault="00000000">
      <w:pPr>
        <w:jc w:val="both"/>
      </w:pPr>
      <w:r>
        <w:rPr>
          <w:rStyle w:val="soitChar"/>
          <w:u w:val="single"/>
        </w:rPr>
        <w:t>La coextrusion (CPc)</w:t>
      </w:r>
      <w:r>
        <w:rPr>
          <w:rStyle w:val="soitChar"/>
        </w:rPr>
        <w:t xml:space="preserve"> : 2 matériaux thermoplastiques durables sont préparés séparément et passent dans une filière d’extrusion. Teinte ou texture :</w:t>
      </w:r>
      <w:r>
        <w:rPr>
          <w:rStyle w:val="optioncarChar"/>
        </w:rPr>
        <w:t xml:space="preserve"> ***.</w:t>
      </w:r>
    </w:p>
    <w:p w14:paraId="1C94DA8A" w14:textId="77777777" w:rsidR="00772179" w:rsidRDefault="00000000">
      <w:pPr>
        <w:jc w:val="both"/>
      </w:pPr>
      <w:r>
        <w:t xml:space="preserve">Les exigences de finitions sont décrites dans les [STS 52.3]. </w:t>
      </w:r>
    </w:p>
    <w:p w14:paraId="1590A991" w14:textId="77777777" w:rsidR="00772179" w:rsidRDefault="00000000">
      <w:pPr>
        <w:jc w:val="both"/>
      </w:pPr>
      <w:r>
        <w:t xml:space="preserve"> Pour l'usinage, le traitement et la mise en place des profils préformés, il est toujours tenu compte des prescriptions du fournisseur du système. </w:t>
      </w:r>
    </w:p>
    <w:p w14:paraId="69C5D373" w14:textId="77777777" w:rsidR="00772179" w:rsidRDefault="00000000">
      <w:pPr>
        <w:jc w:val="both"/>
      </w:pPr>
      <w:r>
        <w:t xml:space="preserve"> Tous les assemblages sont réalisés à l'aide d'accessoires standards provenant du même fabricant que les profils et totalement adaptés aux assemblages. </w:t>
      </w:r>
    </w:p>
    <w:p w14:paraId="654DD052" w14:textId="77777777" w:rsidR="00772179" w:rsidRDefault="00000000">
      <w:pPr>
        <w:jc w:val="both"/>
      </w:pPr>
      <w:r>
        <w:t xml:space="preserve"> Les profils sont coupés et ébarbés. </w:t>
      </w:r>
    </w:p>
    <w:p w14:paraId="753DC90E" w14:textId="77777777" w:rsidR="00772179" w:rsidRDefault="00000000">
      <w:pPr>
        <w:jc w:val="both"/>
      </w:pPr>
      <w:r>
        <w:t>Les assemblages sont fraisés et ajustés de manière à respecter la forme des profils transversaux.</w:t>
      </w:r>
    </w:p>
    <w:p w14:paraId="5E57142C" w14:textId="77777777" w:rsidR="00772179" w:rsidRDefault="00000000">
      <w:pPr>
        <w:jc w:val="both"/>
      </w:pPr>
      <w:r>
        <w:t xml:space="preserve">Lors d’une observation perpendiculaire à la surface concernée sous une lumière diffuse (ciel couvert à l’extérieur et sans éclairage artificiel à l’intérieur), aucun défaut de surface décrit ci-après ne </w:t>
      </w:r>
      <w:r>
        <w:lastRenderedPageBreak/>
        <w:t>sont visibles à l’œil nu à une distance de 2 mètres : surface rude, gouttes d’écoulement, boursouflures, effet de peau d’orange, inclusions, cratères, taches mates, trous, griffes.</w:t>
      </w:r>
    </w:p>
    <w:p w14:paraId="4DADC003" w14:textId="77777777" w:rsidR="00772179" w:rsidRDefault="00000000">
      <w:pPr>
        <w:jc w:val="both"/>
      </w:pPr>
      <w:r>
        <w:t>Les écarts de teinte pour les profilés blancs dans la masse sont conformes aux prescriptions des [STS 52.3]. </w:t>
      </w:r>
    </w:p>
    <w:p w14:paraId="1DAC1FBD" w14:textId="77777777" w:rsidR="00772179" w:rsidRDefault="00000000">
      <w:pPr>
        <w:jc w:val="both"/>
      </w:pPr>
      <w:r>
        <w:t>Les faces blanches répondant à la définition reprise au § 2.2 vues totalement ou partiellement lorsque la fenêtre est fermée respectent les écarts de teintes suivants par rapport aux valeurs nominales :</w:t>
      </w:r>
    </w:p>
    <w:p w14:paraId="6F4A57AB" w14:textId="77777777" w:rsidR="00772179" w:rsidRDefault="00000000">
      <w:pPr>
        <w:pStyle w:val="Author-eListParagraph"/>
        <w:numPr>
          <w:ilvl w:val="0"/>
          <w:numId w:val="129"/>
        </w:numPr>
      </w:pPr>
      <w:r>
        <w:t>ΔL* ≤ 1,0</w:t>
      </w:r>
    </w:p>
    <w:p w14:paraId="12123C4D" w14:textId="77777777" w:rsidR="00772179" w:rsidRDefault="00000000">
      <w:pPr>
        <w:pStyle w:val="Author-eListParagraph"/>
        <w:numPr>
          <w:ilvl w:val="0"/>
          <w:numId w:val="129"/>
        </w:numPr>
      </w:pPr>
      <w:r>
        <w:t>Δa* ≤ 0,5</w:t>
      </w:r>
    </w:p>
    <w:p w14:paraId="60A00F24" w14:textId="77777777" w:rsidR="00772179" w:rsidRDefault="00000000">
      <w:pPr>
        <w:pStyle w:val="Author-eListParagraph"/>
        <w:numPr>
          <w:ilvl w:val="0"/>
          <w:numId w:val="129"/>
        </w:numPr>
      </w:pPr>
      <w:r>
        <w:t>Δb* ≤ 0,8</w:t>
      </w:r>
    </w:p>
    <w:p w14:paraId="7771C89E" w14:textId="77777777" w:rsidR="00772179" w:rsidRDefault="00000000">
      <w:pPr>
        <w:pStyle w:val="Author-eListParagraph"/>
        <w:numPr>
          <w:ilvl w:val="0"/>
          <w:numId w:val="129"/>
        </w:numPr>
      </w:pPr>
      <w:r>
        <w:t>ΔE* ≤ 1,0</w:t>
      </w:r>
    </w:p>
    <w:p w14:paraId="632A4EDB" w14:textId="77777777" w:rsidR="00772179" w:rsidRDefault="00000000">
      <w:pPr>
        <w:jc w:val="both"/>
      </w:pPr>
      <w:r>
        <w:t>Les assemblages d’angle des profilés en PVC répondent aux exigences des normes [NBN EN 12608-1:2016+A1] suivant les essais de la norme [NBN EN 514]. Les soudures des assemblages d’angle sont ébavurées et égalisées sur tout leur longueur. Les surépaisseurs éventuelles sont limitées à 0.6mm par rapport aux surfaces adjacentes après la finition.  En cas de finition par rainurage, la profondeur de la rainure n’excède pas 0.3 mm</w:t>
      </w:r>
    </w:p>
    <w:p w14:paraId="69201254" w14:textId="77777777" w:rsidR="00772179" w:rsidRDefault="00000000">
      <w:pPr>
        <w:jc w:val="both"/>
      </w:pPr>
      <w:r>
        <w:t>Les assemblages en T sont vérifiés suivant la procédure décrite dans les [STS 52.3] §3.4.2</w:t>
      </w:r>
    </w:p>
    <w:p w14:paraId="0E6C1A81" w14:textId="77777777" w:rsidR="00772179" w:rsidRDefault="00000000">
      <w:pPr>
        <w:jc w:val="both"/>
      </w:pPr>
      <w:r>
        <w:t> </w:t>
      </w:r>
    </w:p>
    <w:p w14:paraId="64416F3F" w14:textId="77777777" w:rsidR="00772179" w:rsidRDefault="00000000">
      <w:pPr>
        <w:pStyle w:val="pheading"/>
      </w:pPr>
      <w:r>
        <w:t>EXÉCUTION / MISE EN ŒUVRE</w:t>
      </w:r>
    </w:p>
    <w:p w14:paraId="3D55C06B" w14:textId="77777777" w:rsidR="00772179" w:rsidRDefault="00000000">
      <w:pPr>
        <w:pStyle w:val="pheading"/>
      </w:pPr>
      <w:r>
        <w:t>- Prescriptions générales</w:t>
      </w:r>
    </w:p>
    <w:p w14:paraId="1DC39E5E" w14:textId="77777777" w:rsidR="00772179" w:rsidRDefault="00000000">
      <w:pPr>
        <w:jc w:val="both"/>
      </w:pPr>
      <w:r>
        <w:t xml:space="preserve">La pose des châssis s'effectue selon le </w:t>
      </w:r>
      <w:hyperlink w:anchor="64" w:history="1">
        <w:r>
          <w:rPr>
            <w:color w:val="0000EE"/>
          </w:rPr>
          <w:t>41.1 Fenêtres et portes-fenêtres</w:t>
        </w:r>
      </w:hyperlink>
      <w:r>
        <w:t xml:space="preserve"> et conformément à la [NIT 283].</w:t>
      </w:r>
    </w:p>
    <w:p w14:paraId="749F3949" w14:textId="77777777" w:rsidR="00772179" w:rsidRDefault="00000000">
      <w:pPr>
        <w:jc w:val="both"/>
      </w:pPr>
      <w:r>
        <w:t>L’entretien est conforme à la norme [NBN B 25-002-1] complété par les [STS 52.2].</w:t>
      </w:r>
    </w:p>
    <w:p w14:paraId="1B65AE1E" w14:textId="77777777" w:rsidR="00772179" w:rsidRDefault="00000000">
      <w:pPr>
        <w:ind w:left="750"/>
      </w:pPr>
      <w:r>
        <w:t> </w:t>
      </w:r>
    </w:p>
    <w:p w14:paraId="26D56D79" w14:textId="77777777" w:rsidR="00772179" w:rsidRDefault="00000000">
      <w:pPr>
        <w:pStyle w:val="pheading"/>
      </w:pPr>
      <w:r>
        <w:t>- Notes d’exécution complémentaires</w:t>
      </w:r>
    </w:p>
    <w:p w14:paraId="64D573C0" w14:textId="77777777" w:rsidR="00772179" w:rsidRDefault="00000000">
      <w:r>
        <w:t>Le resserrage de la Menuiserie est pourvu de continuité des performances mécaniques, thermiques et d’étanchéité à l’eau.</w:t>
      </w:r>
    </w:p>
    <w:p w14:paraId="6BC680D0" w14:textId="77777777" w:rsidR="00772179" w:rsidRDefault="00000000">
      <w:pPr>
        <w:jc w:val="both"/>
      </w:pPr>
      <w:r>
        <w:t>Pour la continuité de l’étanchéité à l’air , le resserrage est muni d’un </w:t>
      </w:r>
      <w:r>
        <w:rPr>
          <w:rStyle w:val="optioncarChar"/>
        </w:rPr>
        <w:t>kit de mastic</w:t>
      </w:r>
      <w:r>
        <w:t xml:space="preserve"> (par défaut)</w:t>
      </w:r>
      <w:r>
        <w:rPr>
          <w:rStyle w:val="optioncarChar"/>
        </w:rPr>
        <w:t xml:space="preserve"> / membrane / profilé de resserrage / ***</w:t>
      </w:r>
    </w:p>
    <w:p w14:paraId="39489344" w14:textId="77777777" w:rsidR="00772179" w:rsidRDefault="00000000">
      <w:pPr>
        <w:jc w:val="both"/>
      </w:pPr>
      <w:r>
        <w:t>Pour la continuité de l’isolation acoustique le resserrage est muni d’une </w:t>
      </w:r>
      <w:r>
        <w:rPr>
          <w:rStyle w:val="optioncarChar"/>
        </w:rPr>
        <w:t>laine de roche</w:t>
      </w:r>
      <w:r>
        <w:t xml:space="preserve"> (par défaut) </w:t>
      </w:r>
      <w:r>
        <w:rPr>
          <w:rStyle w:val="optioncarChar"/>
        </w:rPr>
        <w:t>/ mousse acoustique / plaque massive / ***</w:t>
      </w:r>
    </w:p>
    <w:p w14:paraId="30465A2A" w14:textId="77777777" w:rsidR="00772179" w:rsidRDefault="00000000">
      <w:pPr>
        <w:jc w:val="both"/>
      </w:pPr>
      <w:r>
        <w:t xml:space="preserve">S’il est prévu un sous-seuil en PVC, il est </w:t>
      </w:r>
      <w:r>
        <w:rPr>
          <w:rStyle w:val="optioncarChar"/>
        </w:rPr>
        <w:t>clippé</w:t>
      </w:r>
      <w:r>
        <w:t xml:space="preserve"> (par défaut) </w:t>
      </w:r>
      <w:r>
        <w:rPr>
          <w:rStyle w:val="optioncarChar"/>
        </w:rPr>
        <w:t>/ collé / vissé / ***</w:t>
      </w:r>
      <w:r>
        <w:t>. Un cordon de mastic est placé entre le sous-seuil et le dormant. Sur le profil de base, ce profil de seuil est pourvu d’un rejet d’eau rabaissé à l'extérieur, qui évacue l'eau excédentaire dans le bas du profil du dormant.</w:t>
      </w:r>
    </w:p>
    <w:p w14:paraId="15FDDB85" w14:textId="77777777" w:rsidR="00772179" w:rsidRDefault="00000000">
      <w:pPr>
        <w:pStyle w:val="pheading"/>
      </w:pPr>
      <w:r>
        <w:t>DOCUMENTS DE RÉFÉRENCE COMPLÉMENTAIRES</w:t>
      </w:r>
    </w:p>
    <w:p w14:paraId="46DB4420" w14:textId="77777777" w:rsidR="00772179" w:rsidRDefault="00000000">
      <w:pPr>
        <w:pStyle w:val="pheading"/>
      </w:pPr>
      <w:r>
        <w:t>- Matériau</w:t>
      </w:r>
    </w:p>
    <w:p w14:paraId="64D14C0D" w14:textId="77777777" w:rsidR="00772179" w:rsidRDefault="00000000">
      <w:r>
        <w:t>[NBN EN 14351-1:2006+A2, Fenêtres et portes - Norme produit, caractéristiques de performance - Partie 1 : Fenêtres et blocs portes extérieurs pour piétons]</w:t>
      </w:r>
    </w:p>
    <w:p w14:paraId="4C5F730D" w14:textId="77777777" w:rsidR="00772179" w:rsidRDefault="00000000">
      <w:r>
        <w:t>[STS 52.3, Menuiserie extérieure en PVC]</w:t>
      </w:r>
    </w:p>
    <w:p w14:paraId="04CD9BE2" w14:textId="77777777" w:rsidR="00772179" w:rsidRDefault="00000000">
      <w:r>
        <w:t>[NBN EN 514, Plastiques - Profilés à base de poly(chlorure de vinyle) (PVC) - Détermination de la résistance des assemblages soudés en angle et en T]</w:t>
      </w:r>
    </w:p>
    <w:p w14:paraId="5EE1DEA1" w14:textId="77777777" w:rsidR="00772179" w:rsidRDefault="00000000">
      <w:r>
        <w:t>[NBN EN 12608-1:2016+A1, Profilés de poly(chlorure de vinyle) non plastifié (PVC-U) pour la fabrication des fenêtres et des portes — Classification, exigences et méthodes d’essai - Partie 1: Profilés en PVC-U non revêtus avec des faces de teinte claire]</w:t>
      </w:r>
    </w:p>
    <w:p w14:paraId="1A26A2CD" w14:textId="77777777" w:rsidR="00772179" w:rsidRDefault="00000000">
      <w:r>
        <w:t>[NBN B 25-002-1, Menuiserie extérieure - Partie 1: Prescription des performances générales – Fenêtres et façades rideaux]</w:t>
      </w:r>
    </w:p>
    <w:p w14:paraId="574063EB" w14:textId="77777777" w:rsidR="00772179" w:rsidRDefault="00000000">
      <w:pPr>
        <w:pStyle w:val="pheading"/>
      </w:pPr>
      <w:r>
        <w:lastRenderedPageBreak/>
        <w:t>- Exécution</w:t>
      </w:r>
    </w:p>
    <w:p w14:paraId="5C461938" w14:textId="77777777" w:rsidR="00772179" w:rsidRDefault="00000000">
      <w:r>
        <w:t>[NIT 283, La pose des menuiseries extérieures. Partie 1 : aspects généraux.]</w:t>
      </w:r>
    </w:p>
    <w:p w14:paraId="084253F0" w14:textId="77777777" w:rsidR="00772179" w:rsidRDefault="00000000">
      <w:pPr>
        <w:ind w:left="750"/>
      </w:pPr>
      <w:r>
        <w:t> </w:t>
      </w:r>
    </w:p>
    <w:p w14:paraId="739AC273" w14:textId="77777777" w:rsidR="00772179" w:rsidRDefault="00000000">
      <w:pPr>
        <w:pStyle w:val="pheading"/>
      </w:pPr>
      <w:r>
        <w:t>MESURAGE</w:t>
      </w:r>
    </w:p>
    <w:p w14:paraId="1322B2B0" w14:textId="77777777" w:rsidR="00772179" w:rsidRDefault="00000000">
      <w:pPr>
        <w:pStyle w:val="pheading"/>
      </w:pPr>
      <w:r>
        <w:t>- unité de mesure:</w:t>
      </w:r>
    </w:p>
    <w:p w14:paraId="352DB59F" w14:textId="77777777" w:rsidR="00772179" w:rsidRDefault="00000000">
      <w:r>
        <w:t>m²</w:t>
      </w:r>
    </w:p>
    <w:p w14:paraId="359D6AA1" w14:textId="77777777" w:rsidR="00772179" w:rsidRDefault="00000000">
      <w:pPr>
        <w:pStyle w:val="pheading"/>
      </w:pPr>
      <w:r>
        <w:t>- code de mesurage:</w:t>
      </w:r>
    </w:p>
    <w:p w14:paraId="73108278" w14:textId="77777777" w:rsidR="00772179" w:rsidRDefault="00000000">
      <w:pPr>
        <w:jc w:val="both"/>
      </w:pPr>
      <w:r>
        <w:t>Surface nette en développement des dimensions dans l'œuvre ventilé selon le type ou le modèle conformément aux indications dans le métré récapitulatif annexé au dossier d'adjudication.</w:t>
      </w:r>
    </w:p>
    <w:p w14:paraId="5B6A2995" w14:textId="77777777" w:rsidR="00772179" w:rsidRDefault="00000000">
      <w:pPr>
        <w:pStyle w:val="pheading"/>
      </w:pPr>
      <w:r>
        <w:t>- nature du marché:</w:t>
      </w:r>
    </w:p>
    <w:p w14:paraId="12CA19DD" w14:textId="77777777" w:rsidR="00772179" w:rsidRDefault="00000000">
      <w:r>
        <w:t>QF</w:t>
      </w:r>
    </w:p>
    <w:p w14:paraId="6E4EF9DD" w14:textId="77777777" w:rsidR="00772179" w:rsidRDefault="00000000">
      <w:pPr>
        <w:pStyle w:val="pheading"/>
      </w:pPr>
      <w:r>
        <w:t>AIDE</w:t>
      </w:r>
    </w:p>
    <w:p w14:paraId="66D49788" w14:textId="77777777" w:rsidR="00772179" w:rsidRDefault="00000000">
      <w:pPr>
        <w:jc w:val="both"/>
      </w:pPr>
      <w:r>
        <w:t>Pour les travaux de rénovation d'anciennes habitations, il est préférable de prescrire des châssis en version légèrement brillante et en blanc cassé combinés avec des bandes d'étanchéité de couleur claire pour le vitrage. Ceux-ci s'accordent le mieux avec les châssis en bois peints en blanc.</w:t>
      </w:r>
    </w:p>
    <w:p w14:paraId="04C62D2D" w14:textId="77777777" w:rsidR="00772179" w:rsidRDefault="00000000">
      <w:pPr>
        <w:jc w:val="both"/>
      </w:pPr>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41BFD8FC" w14:textId="77777777" w:rsidR="00772179" w:rsidRDefault="00000000">
      <w:pPr>
        <w:pStyle w:val="Author-eSectionHeading4Numberless"/>
      </w:pPr>
      <w:bookmarkStart w:id="43" w:name="_Toc220489797"/>
      <w:r>
        <w:t>41.15 Fenêtres et portes-fenêtres en PUR CCTB 01.02</w:t>
      </w:r>
      <w:bookmarkEnd w:id="43"/>
    </w:p>
    <w:p w14:paraId="77F419E1" w14:textId="77777777" w:rsidR="00772179" w:rsidRDefault="00000000">
      <w:pPr>
        <w:pStyle w:val="Author-eSectionHeading5Numberless"/>
      </w:pPr>
      <w:bookmarkStart w:id="44" w:name="_Toc220489798"/>
      <w:r>
        <w:t>41.15.1 Fenêtres et portes-fenêtres en PUR</w:t>
      </w:r>
      <w:bookmarkEnd w:id="44"/>
    </w:p>
    <w:p w14:paraId="6A91C0E0" w14:textId="77777777" w:rsidR="00772179" w:rsidRDefault="00000000">
      <w:pPr>
        <w:pStyle w:val="Author-eSectionHeading6Numberless"/>
      </w:pPr>
      <w:bookmarkStart w:id="45" w:name="_Toc220489799"/>
      <w:r>
        <w:t>41.15.1a Fenêtres et portes-fenêtres en PUR</w:t>
      </w:r>
      <w:bookmarkEnd w:id="45"/>
    </w:p>
    <w:p w14:paraId="74A14031" w14:textId="77777777" w:rsidR="00772179" w:rsidRDefault="00000000">
      <w:pPr>
        <w:pStyle w:val="Author-eSectionHeading4Numberless"/>
      </w:pPr>
      <w:bookmarkStart w:id="46" w:name="_Toc220489800"/>
      <w:r>
        <w:t>41.16 Fenêtres et portes-fenêtres en verre CCTB 01.12</w:t>
      </w:r>
      <w:bookmarkEnd w:id="46"/>
    </w:p>
    <w:p w14:paraId="69288A70" w14:textId="77777777" w:rsidR="00772179" w:rsidRDefault="00000000">
      <w:pPr>
        <w:pStyle w:val="pheading"/>
      </w:pPr>
      <w:bookmarkStart w:id="47" w:name="890"/>
      <w:bookmarkEnd w:id="47"/>
      <w:r>
        <w:t>DESCRIPTION</w:t>
      </w:r>
    </w:p>
    <w:p w14:paraId="5353E798" w14:textId="77777777" w:rsidR="00772179" w:rsidRDefault="00000000">
      <w:pPr>
        <w:pStyle w:val="pheading"/>
      </w:pPr>
      <w:r>
        <w:t>- Définition / Comprend</w:t>
      </w:r>
    </w:p>
    <w:p w14:paraId="54E88430" w14:textId="77777777" w:rsidR="00772179" w:rsidRDefault="00000000">
      <w:pPr>
        <w:jc w:val="both"/>
      </w:pPr>
      <w:r>
        <w:t>Cet élément comprend la fourniture et la pose de tous les éléments nécessaires à la composition des fenêtres et portes-fenêtres en verre y compris toutes les pièces qui en font intrinsèquement partie.</w:t>
      </w:r>
    </w:p>
    <w:p w14:paraId="77241AB2" w14:textId="77777777" w:rsidR="00772179" w:rsidRDefault="00000000">
      <w:pPr>
        <w:jc w:val="both"/>
      </w:pPr>
      <w:r>
        <w:t>Les portes et fenêtres extérieures sont considérées comme étant en verre lorsque seul le verre assure la résistance mécanique de ces éléments de construction.</w:t>
      </w:r>
    </w:p>
    <w:p w14:paraId="3F212922" w14:textId="77777777" w:rsidR="00772179" w:rsidRDefault="00000000">
      <w:pPr>
        <w:jc w:val="both"/>
      </w:pPr>
      <w:r>
        <w:t>Les huisseries et cadres minimalistes en matériaux autres que le verre font partie intégrante des portes-fenêtres et fenêtres en verre.</w:t>
      </w:r>
    </w:p>
    <w:p w14:paraId="7633CA9A" w14:textId="77777777" w:rsidR="00772179" w:rsidRDefault="00000000">
      <w:pPr>
        <w:jc w:val="both"/>
      </w:pPr>
      <w:r>
        <w:t>Les dormants sont intégrés dans les parachèvements intérieurs et extérieurs, ne laissant que le vitrage visible.</w:t>
      </w:r>
    </w:p>
    <w:p w14:paraId="3BF05A33" w14:textId="77777777" w:rsidR="00772179" w:rsidRDefault="00000000">
      <w:pPr>
        <w:jc w:val="both"/>
      </w:pPr>
      <w:r>
        <w:t>Les ensembles sont composés de vitrages reliés entre eux soit au moyen d’un joint, soit avec interposition d’un montant de faible largeur. </w:t>
      </w:r>
    </w:p>
    <w:p w14:paraId="0EC131DE" w14:textId="77777777" w:rsidR="00772179" w:rsidRDefault="00000000">
      <w:pPr>
        <w:jc w:val="both"/>
      </w:pPr>
      <w:r>
        <w:t xml:space="preserve">L’étendue du travail est décrite sous </w:t>
      </w:r>
      <w:hyperlink w:anchor="64" w:history="1">
        <w:r>
          <w:rPr>
            <w:color w:val="0000EE"/>
          </w:rPr>
          <w:t>41.1 Fenêtres et portes-fenêtres</w:t>
        </w:r>
      </w:hyperlink>
    </w:p>
    <w:p w14:paraId="24A2D53C" w14:textId="77777777" w:rsidR="00772179" w:rsidRDefault="00000000">
      <w:pPr>
        <w:jc w:val="both"/>
      </w:pPr>
      <w:r>
        <w:t>Les opérations suivantes sont en outre d’application :</w:t>
      </w:r>
    </w:p>
    <w:p w14:paraId="15DB327F" w14:textId="77777777" w:rsidR="00772179" w:rsidRDefault="00000000">
      <w:pPr>
        <w:pStyle w:val="Author-eListParagraph"/>
        <w:numPr>
          <w:ilvl w:val="0"/>
          <w:numId w:val="130"/>
        </w:numPr>
        <w:jc w:val="both"/>
      </w:pPr>
      <w:r>
        <w:t>La coordination avec les matériaux de parement de la façade ainsi qu’avec le parachèvement intérieur compte tenu de l’intégration des cadres dormants à fleur des finitions ;</w:t>
      </w:r>
    </w:p>
    <w:p w14:paraId="152CE17F" w14:textId="77777777" w:rsidR="00772179" w:rsidRDefault="00000000">
      <w:pPr>
        <w:pStyle w:val="Author-eListParagraph"/>
        <w:numPr>
          <w:ilvl w:val="0"/>
          <w:numId w:val="130"/>
        </w:numPr>
        <w:jc w:val="both"/>
      </w:pPr>
      <w:r>
        <w:lastRenderedPageBreak/>
        <w:t>La vérification des tolérances sur les matériaux adjacents compte tenu de la tolérance sévère exigée en vue de l’intégration des fenêtres ;</w:t>
      </w:r>
    </w:p>
    <w:p w14:paraId="75D370D1" w14:textId="77777777" w:rsidR="00772179" w:rsidRDefault="00000000">
      <w:pPr>
        <w:pStyle w:val="Author-eListParagraph"/>
        <w:numPr>
          <w:ilvl w:val="0"/>
          <w:numId w:val="130"/>
        </w:numPr>
        <w:jc w:val="both"/>
      </w:pPr>
      <w:r>
        <w:t xml:space="preserve">Le cas échéant, la coordination avec les protections solaires décrites sous </w:t>
      </w:r>
      <w:hyperlink w:anchor="894" w:history="1">
        <w:r>
          <w:rPr>
            <w:color w:val="0000EE"/>
          </w:rPr>
          <w:t>41.52.2d Protections solaires extérieures mobiles par toile</w:t>
        </w:r>
      </w:hyperlink>
      <w:r>
        <w:t xml:space="preserve"> ;</w:t>
      </w:r>
    </w:p>
    <w:p w14:paraId="4B9BFE28" w14:textId="77777777" w:rsidR="00772179" w:rsidRDefault="00000000">
      <w:pPr>
        <w:pStyle w:val="Author-eListParagraph"/>
        <w:numPr>
          <w:ilvl w:val="0"/>
          <w:numId w:val="130"/>
        </w:numPr>
        <w:jc w:val="both"/>
      </w:pPr>
      <w:r>
        <w:t>La mise au point des plans et détails d’exécution ;</w:t>
      </w:r>
    </w:p>
    <w:p w14:paraId="3A7224AA" w14:textId="77777777" w:rsidR="00772179" w:rsidRDefault="00000000">
      <w:pPr>
        <w:pStyle w:val="Author-eListParagraph"/>
        <w:numPr>
          <w:ilvl w:val="0"/>
          <w:numId w:val="130"/>
        </w:numPr>
        <w:jc w:val="both"/>
      </w:pPr>
      <w:r>
        <w:t>La fourniture et réalisation des raccordements d’étanchéité à l’air ;</w:t>
      </w:r>
    </w:p>
    <w:p w14:paraId="47F56952" w14:textId="77777777" w:rsidR="00772179" w:rsidRDefault="00000000">
      <w:pPr>
        <w:pStyle w:val="Author-eListParagraph"/>
        <w:numPr>
          <w:ilvl w:val="0"/>
          <w:numId w:val="130"/>
        </w:numPr>
        <w:jc w:val="both"/>
      </w:pPr>
      <w:r>
        <w:t>La fourniture et réalisation des raccordements à l’étanchéité à l’eau sous le niveau de la finition extérieure ;</w:t>
      </w:r>
    </w:p>
    <w:p w14:paraId="2CD64748" w14:textId="77777777" w:rsidR="00772179" w:rsidRDefault="00000000">
      <w:pPr>
        <w:pStyle w:val="Author-eListParagraph"/>
        <w:numPr>
          <w:ilvl w:val="0"/>
          <w:numId w:val="130"/>
        </w:numPr>
        <w:jc w:val="both"/>
      </w:pPr>
      <w:r>
        <w:t>La fourniture et pose du dispositif d’évacuation des eaux de drainage dans ou sous la finition extérieure ;</w:t>
      </w:r>
    </w:p>
    <w:p w14:paraId="33795C7D" w14:textId="77777777" w:rsidR="00772179" w:rsidRDefault="00000000">
      <w:pPr>
        <w:pStyle w:val="Author-eListParagraph"/>
        <w:numPr>
          <w:ilvl w:val="0"/>
          <w:numId w:val="130"/>
        </w:numPr>
        <w:jc w:val="both"/>
      </w:pPr>
      <w:r>
        <w:t>Toutes précautions en matière de sécurité conformément au 01.4 Plans de sécurité et de santé ;</w:t>
      </w:r>
    </w:p>
    <w:p w14:paraId="51DDFE40" w14:textId="77777777" w:rsidR="00772179" w:rsidRDefault="00000000">
      <w:pPr>
        <w:pStyle w:val="Author-eListParagraph"/>
        <w:numPr>
          <w:ilvl w:val="0"/>
          <w:numId w:val="130"/>
        </w:numPr>
        <w:jc w:val="both"/>
      </w:pPr>
      <w:r>
        <w:t>L’évacuation des déchets tel que décrit au 07 Déchets, matériaux et éléments réemployables.</w:t>
      </w:r>
    </w:p>
    <w:p w14:paraId="4C6FCB18" w14:textId="77777777" w:rsidR="00772179" w:rsidRDefault="00000000">
      <w:pPr>
        <w:pStyle w:val="pheading"/>
      </w:pPr>
      <w:r>
        <w:t>MATÉRIAUX</w:t>
      </w:r>
    </w:p>
    <w:p w14:paraId="77CF3C7F" w14:textId="77777777" w:rsidR="00772179" w:rsidRDefault="00000000">
      <w:pPr>
        <w:jc w:val="both"/>
      </w:pPr>
      <w:r>
        <w:t>Les matériaux sont couverts par une déclaration d’aptitude à l’utilisation décrite au chapitre 02.42.1 Critères d'acceptabilité.</w:t>
      </w:r>
    </w:p>
    <w:p w14:paraId="6450B9BD" w14:textId="77777777" w:rsidR="00772179" w:rsidRDefault="00000000">
      <w:pPr>
        <w:jc w:val="both"/>
      </w:pPr>
      <w:r>
        <w:t>Le type de membrane d’étanchéité à raccorder sur l’étanchéité de la terrasse est déterminé par l’entrepreneur. Une fiche technique est présentée pour approbation à la direction des travaux, démontrant la compatibilité avec l’étanchéité de la terrasse telle que décrite sous 34.2 Etanchéités.</w:t>
      </w:r>
    </w:p>
    <w:p w14:paraId="07F26D31" w14:textId="77777777" w:rsidR="00772179" w:rsidRDefault="00000000">
      <w:pPr>
        <w:jc w:val="both"/>
      </w:pPr>
      <w:r>
        <w:t>Choix du type de vitrage suivant [NBN S 23-002].</w:t>
      </w:r>
    </w:p>
    <w:p w14:paraId="7A53A8FE" w14:textId="77777777" w:rsidR="00772179" w:rsidRDefault="00000000">
      <w:pPr>
        <w:jc w:val="both"/>
      </w:pPr>
      <w:r>
        <w:t xml:space="preserve">Vitrage voir </w:t>
      </w:r>
      <w:hyperlink w:anchor="852" w:history="1">
        <w:r>
          <w:rPr>
            <w:color w:val="0000EE"/>
          </w:rPr>
          <w:t>42 Vitrages extérieurs et éléments de remplissage</w:t>
        </w:r>
      </w:hyperlink>
      <w:r>
        <w:t>.</w:t>
      </w:r>
    </w:p>
    <w:p w14:paraId="76872150" w14:textId="77777777" w:rsidR="00772179" w:rsidRDefault="00000000">
      <w:pPr>
        <w:pStyle w:val="pheading"/>
      </w:pPr>
      <w:r>
        <w:t>EXÉCUTION / MISE EN ŒUVRE</w:t>
      </w:r>
    </w:p>
    <w:p w14:paraId="391602CF" w14:textId="77777777" w:rsidR="00772179" w:rsidRDefault="00000000">
      <w:pPr>
        <w:jc w:val="both"/>
      </w:pPr>
      <w:r>
        <w:t>Compte tenu de l’intégration des dormants dans le parement et dans les parachèvements intérieurs, la coordination entre ces éléments est particulièrement exigeante. Les tolérances habituelles sur le parement et les parachèvements peuvent ne pas suffire à une réalisation parfaite.</w:t>
      </w:r>
    </w:p>
    <w:p w14:paraId="1C7685B6" w14:textId="77777777" w:rsidR="00772179" w:rsidRDefault="00000000">
      <w:pPr>
        <w:jc w:val="both"/>
      </w:pPr>
      <w:r>
        <w:t>La succession des travaux doit être telle que le niveau de finition attendu de ce type de réalisation puisse être obtenu. L’entrepreneur chargé de la fourniture et pose des fenêtres participe avec l’architecte et les entreprises des finitions adjacentes aux fenêtres à la coordination des travaux.</w:t>
      </w:r>
    </w:p>
    <w:p w14:paraId="09F447AD" w14:textId="77777777" w:rsidR="00772179" w:rsidRDefault="00000000">
      <w:pPr>
        <w:jc w:val="both"/>
      </w:pPr>
      <w:r>
        <w:t>La mise en œuvre est effectuée conformément aux prescriptions de la documentation technique accompagnant le produit ainsi que selon les indications sur les plans et les dessins de détail.</w:t>
      </w:r>
    </w:p>
    <w:p w14:paraId="7B6E5FEE" w14:textId="77777777" w:rsidR="00772179" w:rsidRDefault="00000000">
      <w:pPr>
        <w:jc w:val="both"/>
      </w:pPr>
      <w:r>
        <w:t>Ancrage au gros-œuvre : les fixations et techniques de pose sont justifiées via une note technique à présenter pour approbation à la direction des travaux.</w:t>
      </w:r>
    </w:p>
    <w:p w14:paraId="5463347B" w14:textId="77777777" w:rsidR="00772179" w:rsidRDefault="00000000">
      <w:pPr>
        <w:jc w:val="both"/>
      </w:pPr>
      <w:r>
        <w:t>Les détails d’exécution établis par l’entrepreneur et présentés pour approbation à la direction des travaux comportent :</w:t>
      </w:r>
    </w:p>
    <w:p w14:paraId="7CE138CF" w14:textId="77777777" w:rsidR="00772179" w:rsidRDefault="00000000">
      <w:pPr>
        <w:pStyle w:val="Author-eListParagraph"/>
        <w:numPr>
          <w:ilvl w:val="0"/>
          <w:numId w:val="131"/>
        </w:numPr>
      </w:pPr>
      <w:r>
        <w:t>Les éléments de fixation ;</w:t>
      </w:r>
    </w:p>
    <w:p w14:paraId="674D4D24" w14:textId="77777777" w:rsidR="00772179" w:rsidRDefault="00000000">
      <w:pPr>
        <w:pStyle w:val="Author-eListParagraph"/>
        <w:numPr>
          <w:ilvl w:val="0"/>
          <w:numId w:val="131"/>
        </w:numPr>
      </w:pPr>
      <w:r>
        <w:t>Toutes les membranes d’étanchéité au vent et à l’eau ;</w:t>
      </w:r>
    </w:p>
    <w:p w14:paraId="1B95464E" w14:textId="77777777" w:rsidR="00772179" w:rsidRDefault="00000000">
      <w:pPr>
        <w:pStyle w:val="Author-eListParagraph"/>
        <w:numPr>
          <w:ilvl w:val="0"/>
          <w:numId w:val="131"/>
        </w:numPr>
      </w:pPr>
      <w:r>
        <w:t>Les raccords entre les fenêtres et portes-fenêtres et les matériaux adjacents intérieurs et extérieurs ;</w:t>
      </w:r>
    </w:p>
    <w:p w14:paraId="48B6EB36" w14:textId="77777777" w:rsidR="00772179" w:rsidRDefault="00000000">
      <w:pPr>
        <w:pStyle w:val="Author-eListParagraph"/>
        <w:numPr>
          <w:ilvl w:val="0"/>
          <w:numId w:val="131"/>
        </w:numPr>
      </w:pPr>
      <w:r>
        <w:t>La mention des tolérances d’exécution plus sévères que la normale qu’il est indispensable de respecter pour obtenir l’alignement correct des matériaux de parachèvement sur les profilés de fenêtres et portes-fenêtres.</w:t>
      </w:r>
    </w:p>
    <w:p w14:paraId="2C6A5E65" w14:textId="77777777" w:rsidR="00772179" w:rsidRDefault="00000000">
      <w:pPr>
        <w:pStyle w:val="pheading"/>
      </w:pPr>
      <w:r>
        <w:t>DOCUMENTS DE RÉFÉRENCE</w:t>
      </w:r>
    </w:p>
    <w:p w14:paraId="07B41220" w14:textId="77777777" w:rsidR="00772179" w:rsidRDefault="00000000">
      <w:pPr>
        <w:pStyle w:val="pheading"/>
      </w:pPr>
      <w:r>
        <w:t>- Matériau</w:t>
      </w:r>
    </w:p>
    <w:p w14:paraId="22280967" w14:textId="77777777" w:rsidR="00772179" w:rsidRDefault="00000000">
      <w:r>
        <w:t>[NBN S 23-002, Vitrerie]</w:t>
      </w:r>
    </w:p>
    <w:p w14:paraId="74FD7B99" w14:textId="77777777" w:rsidR="00772179" w:rsidRDefault="00000000">
      <w:r>
        <w:t>[NIT 275, Ouvrages particuliers en verre. Partie 3 : applications non structurales (cloisons intérieures en verre).]</w:t>
      </w:r>
    </w:p>
    <w:p w14:paraId="3B7B8BDA" w14:textId="77777777" w:rsidR="00772179" w:rsidRDefault="00000000">
      <w:pPr>
        <w:pStyle w:val="pheading"/>
      </w:pPr>
      <w:r>
        <w:t>- Exécution</w:t>
      </w:r>
    </w:p>
    <w:p w14:paraId="0DB0F9FF" w14:textId="77777777" w:rsidR="00772179" w:rsidRDefault="00000000">
      <w:r>
        <w:lastRenderedPageBreak/>
        <w:t>[NBN S 23-002, Vitrerie]</w:t>
      </w:r>
    </w:p>
    <w:p w14:paraId="59737045" w14:textId="77777777" w:rsidR="00772179" w:rsidRDefault="00000000">
      <w:r>
        <w:t>[NIT 283, La pose des menuiseries extérieures. Partie 1 : aspects généraux.]</w:t>
      </w:r>
    </w:p>
    <w:p w14:paraId="3CA6EF98" w14:textId="77777777" w:rsidR="00772179" w:rsidRDefault="00000000">
      <w:pPr>
        <w:pStyle w:val="Author-eSectionHeading5Numberless"/>
      </w:pPr>
      <w:bookmarkStart w:id="48" w:name="_Toc220489801"/>
      <w:r>
        <w:t>41.16.1 Fenêtres et portes-fenêtres en verre CCTB 01.12</w:t>
      </w:r>
      <w:bookmarkEnd w:id="48"/>
    </w:p>
    <w:p w14:paraId="6B425C9A" w14:textId="77777777" w:rsidR="00772179" w:rsidRDefault="00000000">
      <w:pPr>
        <w:pStyle w:val="pheading"/>
      </w:pPr>
      <w:bookmarkStart w:id="49" w:name="891"/>
      <w:bookmarkEnd w:id="49"/>
      <w:r>
        <w:t>DESCRIPTION</w:t>
      </w:r>
    </w:p>
    <w:p w14:paraId="6BE77D99" w14:textId="77777777" w:rsidR="00772179" w:rsidRDefault="00000000">
      <w:pPr>
        <w:pStyle w:val="pheading"/>
      </w:pPr>
      <w:r>
        <w:t>- Définition / Comprend</w:t>
      </w:r>
    </w:p>
    <w:p w14:paraId="2ACA47F3" w14:textId="77777777" w:rsidR="00772179" w:rsidRDefault="00000000">
      <w:pPr>
        <w:jc w:val="both"/>
      </w:pPr>
      <w:r>
        <w:t>Cet élément comprend la fourniture et la pose de tous les éléments nécessaires à la composition des fenêtres et portes-fenêtres en verre y compris toutes les pièces qui en font intrinsèquement partie.</w:t>
      </w:r>
    </w:p>
    <w:p w14:paraId="2D370860" w14:textId="77777777" w:rsidR="00772179" w:rsidRDefault="00000000">
      <w:pPr>
        <w:pStyle w:val="pheading"/>
      </w:pPr>
      <w:r>
        <w:t>MATÉRIAUX</w:t>
      </w:r>
    </w:p>
    <w:p w14:paraId="33490F36" w14:textId="77777777" w:rsidR="00772179" w:rsidRDefault="00000000">
      <w:pPr>
        <w:jc w:val="both"/>
      </w:pPr>
      <w:r>
        <w:rPr>
          <w:b/>
        </w:rPr>
        <w:t>Dormant et cadre en aluminium</w:t>
      </w:r>
    </w:p>
    <w:p w14:paraId="14D95746" w14:textId="77777777" w:rsidR="00772179" w:rsidRDefault="00000000">
      <w:pPr>
        <w:pStyle w:val="Author-eListParagraph"/>
        <w:numPr>
          <w:ilvl w:val="0"/>
          <w:numId w:val="132"/>
        </w:numPr>
      </w:pPr>
      <w:r>
        <w:t>Profilés extrudés à rupture de pont thermique suivant [NBN EN 14024] </w:t>
      </w:r>
    </w:p>
    <w:p w14:paraId="70F5C4EF" w14:textId="77777777" w:rsidR="00772179" w:rsidRDefault="00000000">
      <w:pPr>
        <w:pStyle w:val="Author-eListParagraph"/>
        <w:numPr>
          <w:ilvl w:val="0"/>
          <w:numId w:val="132"/>
        </w:numPr>
      </w:pPr>
      <w:r>
        <w:t xml:space="preserve">Alliage : </w:t>
      </w:r>
      <w:r>
        <w:rPr>
          <w:rStyle w:val="optioncarChar"/>
        </w:rPr>
        <w:t>AW6060 / AW6033 / AW-6060-B</w:t>
      </w:r>
    </w:p>
    <w:p w14:paraId="1F9100FC" w14:textId="77777777" w:rsidR="00772179" w:rsidRDefault="00000000">
      <w:pPr>
        <w:pStyle w:val="Author-eListParagraph"/>
        <w:numPr>
          <w:ilvl w:val="0"/>
          <w:numId w:val="132"/>
        </w:numPr>
      </w:pPr>
      <w:r>
        <w:t>La finition des profilés est</w:t>
      </w:r>
      <w:r>
        <w:rPr>
          <w:rStyle w:val="optioncarChar"/>
        </w:rPr>
        <w:t xml:space="preserve"> thermolaqué</w:t>
      </w:r>
      <w:r>
        <w:t xml:space="preserve"> (par défaut)</w:t>
      </w:r>
      <w:r>
        <w:rPr>
          <w:rStyle w:val="optioncarChar"/>
        </w:rPr>
        <w:t xml:space="preserve"> / anodisé</w:t>
      </w:r>
    </w:p>
    <w:p w14:paraId="18DF7647" w14:textId="77777777" w:rsidR="00772179" w:rsidRDefault="00000000">
      <w:pPr>
        <w:ind w:left="567"/>
        <w:jc w:val="both"/>
      </w:pPr>
      <w:r>
        <w:rPr>
          <w:b/>
        </w:rPr>
        <w:t>(soit par défaut)</w:t>
      </w:r>
    </w:p>
    <w:p w14:paraId="4FC93425" w14:textId="77777777" w:rsidR="00772179" w:rsidRDefault="00000000">
      <w:pPr>
        <w:ind w:left="567"/>
        <w:jc w:val="both"/>
      </w:pPr>
      <w:r>
        <w:rPr>
          <w:rStyle w:val="soitChar"/>
          <w:u w:val="single"/>
        </w:rPr>
        <w:t>Thermolaqué</w:t>
      </w:r>
      <w:r>
        <w:rPr>
          <w:rStyle w:val="soitChar"/>
        </w:rPr>
        <w:t xml:space="preserve"> suivant [NBN EN 12206-1] pourvu du label [Qualicoat] </w:t>
      </w:r>
    </w:p>
    <w:p w14:paraId="74E24BAD" w14:textId="77777777" w:rsidR="00772179" w:rsidRDefault="00000000">
      <w:pPr>
        <w:pStyle w:val="Author-eListParagraph"/>
        <w:numPr>
          <w:ilvl w:val="0"/>
          <w:numId w:val="133"/>
        </w:numPr>
      </w:pPr>
      <w:r>
        <w:rPr>
          <w:rStyle w:val="soitChar"/>
        </w:rPr>
        <w:t xml:space="preserve">Épaisseur de finition par poudre : </w:t>
      </w:r>
      <w:r>
        <w:rPr>
          <w:rStyle w:val="optioncarChar"/>
        </w:rPr>
        <w:t xml:space="preserve">60 / 110 </w:t>
      </w:r>
      <w:r>
        <w:t>(par défaut)</w:t>
      </w:r>
      <w:r>
        <w:rPr>
          <w:rStyle w:val="optioncarChar"/>
        </w:rPr>
        <w:t xml:space="preserve"> / ***</w:t>
      </w:r>
      <w:r>
        <w:rPr>
          <w:rStyle w:val="soitChar"/>
        </w:rPr>
        <w:t xml:space="preserve"> µm</w:t>
      </w:r>
    </w:p>
    <w:p w14:paraId="287E1CB1" w14:textId="77777777" w:rsidR="00772179" w:rsidRDefault="00000000">
      <w:pPr>
        <w:pStyle w:val="Author-eListParagraph"/>
        <w:numPr>
          <w:ilvl w:val="0"/>
          <w:numId w:val="133"/>
        </w:numPr>
      </w:pPr>
      <w:r>
        <w:rPr>
          <w:rStyle w:val="soitChar"/>
        </w:rPr>
        <w:t xml:space="preserve">Épaisseur de finition par laquage : </w:t>
      </w:r>
      <w:r>
        <w:rPr>
          <w:rStyle w:val="optioncarChar"/>
        </w:rPr>
        <w:t>80</w:t>
      </w:r>
      <w:r>
        <w:t xml:space="preserve"> (par défaut)</w:t>
      </w:r>
      <w:r>
        <w:rPr>
          <w:rStyle w:val="optioncarChar"/>
        </w:rPr>
        <w:t xml:space="preserve"> / ***</w:t>
      </w:r>
      <w:r>
        <w:rPr>
          <w:rStyle w:val="soitChar"/>
        </w:rPr>
        <w:t xml:space="preserve"> µm</w:t>
      </w:r>
    </w:p>
    <w:p w14:paraId="091F7B0F" w14:textId="77777777" w:rsidR="00772179" w:rsidRDefault="00000000">
      <w:pPr>
        <w:ind w:left="567"/>
        <w:jc w:val="both"/>
      </w:pPr>
      <w:r>
        <w:rPr>
          <w:b/>
        </w:rPr>
        <w:t>(soit)</w:t>
      </w:r>
    </w:p>
    <w:p w14:paraId="17C0B03D" w14:textId="77777777" w:rsidR="00772179" w:rsidRDefault="00000000">
      <w:pPr>
        <w:ind w:left="567"/>
        <w:jc w:val="both"/>
      </w:pPr>
      <w:r>
        <w:rPr>
          <w:rStyle w:val="soitChar"/>
          <w:u w:val="single"/>
        </w:rPr>
        <w:t>Anodisé</w:t>
      </w:r>
      <w:r>
        <w:rPr>
          <w:rStyle w:val="soitChar"/>
        </w:rPr>
        <w:t> suivant [NBN EN ISO 7599] pourvu du label [Qualanod]</w:t>
      </w:r>
    </w:p>
    <w:p w14:paraId="5635DA11" w14:textId="77777777" w:rsidR="00772179" w:rsidRDefault="00000000">
      <w:pPr>
        <w:pStyle w:val="Author-eListParagraph"/>
        <w:numPr>
          <w:ilvl w:val="0"/>
          <w:numId w:val="134"/>
        </w:numPr>
      </w:pPr>
      <w:r>
        <w:rPr>
          <w:rStyle w:val="soitChar"/>
        </w:rPr>
        <w:t xml:space="preserve">Épaisseur de la couche d’anodisation : </w:t>
      </w:r>
      <w:r>
        <w:rPr>
          <w:rStyle w:val="optioncarChar"/>
        </w:rPr>
        <w:t>20</w:t>
      </w:r>
      <w:r>
        <w:t xml:space="preserve"> (par défaut) </w:t>
      </w:r>
      <w:r>
        <w:rPr>
          <w:rStyle w:val="optioncarChar"/>
        </w:rPr>
        <w:t>/ 25 / ***</w:t>
      </w:r>
      <w:r>
        <w:rPr>
          <w:rStyle w:val="soitChar"/>
        </w:rPr>
        <w:t xml:space="preserve"> µm</w:t>
      </w:r>
    </w:p>
    <w:p w14:paraId="6AFBAA12" w14:textId="77777777" w:rsidR="00772179" w:rsidRDefault="00000000">
      <w:pPr>
        <w:jc w:val="both"/>
      </w:pPr>
      <w:r>
        <w:rPr>
          <w:b/>
        </w:rPr>
        <w:t>Choix du type de vitrage en fonction de la sécurité des personnes</w:t>
      </w:r>
      <w:r>
        <w:t xml:space="preserve"> suivant [NBN S 23-002] point 4.4.2.2.1</w:t>
      </w:r>
    </w:p>
    <w:p w14:paraId="53B863F5" w14:textId="77777777" w:rsidR="00772179" w:rsidRDefault="00000000">
      <w:pPr>
        <w:pStyle w:val="Author-eListParagraph"/>
        <w:numPr>
          <w:ilvl w:val="0"/>
          <w:numId w:val="135"/>
        </w:numPr>
      </w:pPr>
      <w:r>
        <w:t>Les spécifications du tableau 5 Spécification des types de casse sont un minimum à respecter.  Le constructeur détermine les épaisseurs de vitrage et le type en fonction de la note de calcul à transmettre pour approbation à la direction des travaux.</w:t>
      </w:r>
    </w:p>
    <w:p w14:paraId="63DF8BBD" w14:textId="77777777" w:rsidR="00772179" w:rsidRDefault="00000000">
      <w:pPr>
        <w:pStyle w:val="Author-eListParagraph"/>
        <w:numPr>
          <w:ilvl w:val="0"/>
          <w:numId w:val="135"/>
        </w:numPr>
      </w:pPr>
      <w:r>
        <w:t>La position du verre de sécurité dans le vitrage isolant est déterminée en fonction du côté où le choc risque de se produire.</w:t>
      </w:r>
    </w:p>
    <w:p w14:paraId="1200B46B" w14:textId="77777777" w:rsidR="00772179" w:rsidRDefault="00000000">
      <w:pPr>
        <w:jc w:val="both"/>
      </w:pPr>
      <w:r>
        <w:rPr>
          <w:b/>
        </w:rPr>
        <w:t>Joints d’étanchéité entre menuiserie et parement</w:t>
      </w:r>
    </w:p>
    <w:p w14:paraId="40162FC8" w14:textId="77777777" w:rsidR="00772179" w:rsidRDefault="00000000">
      <w:pPr>
        <w:pStyle w:val="Author-eListParagraph"/>
        <w:numPr>
          <w:ilvl w:val="0"/>
          <w:numId w:val="136"/>
        </w:numPr>
      </w:pPr>
      <w:r>
        <w:t xml:space="preserve">Fond de joint compatible avec le mastic : </w:t>
      </w:r>
      <w:r>
        <w:rPr>
          <w:rStyle w:val="optioncarChar"/>
        </w:rPr>
        <w:t>PE / PUR</w:t>
      </w:r>
    </w:p>
    <w:p w14:paraId="2E33ED5D" w14:textId="77777777" w:rsidR="00772179" w:rsidRDefault="00000000">
      <w:pPr>
        <w:pStyle w:val="Author-eListParagraph"/>
        <w:numPr>
          <w:ilvl w:val="0"/>
          <w:numId w:val="136"/>
        </w:numPr>
      </w:pPr>
      <w:r>
        <w:t xml:space="preserve">Mastic de façade suivant [NBN EN ISO 11600] : </w:t>
      </w:r>
      <w:r>
        <w:rPr>
          <w:rStyle w:val="optioncarChar"/>
        </w:rPr>
        <w:t>F20LM</w:t>
      </w:r>
      <w:r>
        <w:t xml:space="preserve"> (par défaut) </w:t>
      </w:r>
      <w:r>
        <w:rPr>
          <w:rStyle w:val="optioncarChar"/>
        </w:rPr>
        <w:t>/ F25LM / ***</w:t>
      </w:r>
    </w:p>
    <w:p w14:paraId="1925DD3B" w14:textId="77777777" w:rsidR="00772179" w:rsidRDefault="00000000">
      <w:pPr>
        <w:jc w:val="both"/>
      </w:pPr>
      <w:r>
        <w:rPr>
          <w:b/>
        </w:rPr>
        <w:t>Aspects environnementaux</w:t>
      </w:r>
    </w:p>
    <w:p w14:paraId="5CA4EF1B" w14:textId="77777777" w:rsidR="00772179" w:rsidRDefault="00000000">
      <w:pPr>
        <w:jc w:val="both"/>
      </w:pPr>
      <w:r>
        <w:t>Profilés aluminium :</w:t>
      </w:r>
    </w:p>
    <w:p w14:paraId="3E75D45F" w14:textId="77777777" w:rsidR="00772179" w:rsidRDefault="00000000">
      <w:pPr>
        <w:pStyle w:val="Author-eListParagraph"/>
        <w:numPr>
          <w:ilvl w:val="0"/>
          <w:numId w:val="137"/>
        </w:numPr>
      </w:pPr>
      <w:r>
        <w:t xml:space="preserve">Les profilés aluminium sont labellisés Craddle to Craddle : </w:t>
      </w:r>
      <w:r>
        <w:rPr>
          <w:rStyle w:val="optioncarChar"/>
        </w:rPr>
        <w:t>oui</w:t>
      </w:r>
      <w:r>
        <w:t xml:space="preserve"> (par défaut)</w:t>
      </w:r>
      <w:r>
        <w:rPr>
          <w:rStyle w:val="optioncarChar"/>
        </w:rPr>
        <w:t xml:space="preserve"> / non</w:t>
      </w:r>
    </w:p>
    <w:p w14:paraId="49611A20" w14:textId="77777777" w:rsidR="00772179" w:rsidRDefault="00000000">
      <w:pPr>
        <w:pStyle w:val="Author-eListParagraph"/>
        <w:numPr>
          <w:ilvl w:val="0"/>
          <w:numId w:val="137"/>
        </w:numPr>
      </w:pPr>
      <w:r>
        <w:t>Les profilés sont réalisés avec une part d’aluminium recyclé : ≥ </w:t>
      </w:r>
      <w:r>
        <w:rPr>
          <w:rStyle w:val="optioncarChar"/>
        </w:rPr>
        <w:t xml:space="preserve">40 </w:t>
      </w:r>
      <w:r>
        <w:t>(par défaut)</w:t>
      </w:r>
      <w:r>
        <w:rPr>
          <w:rStyle w:val="optioncarChar"/>
        </w:rPr>
        <w:t xml:space="preserve"> / 70 / ***</w:t>
      </w:r>
      <w:r>
        <w:t xml:space="preserve"> %</w:t>
      </w:r>
    </w:p>
    <w:p w14:paraId="2D3420C2" w14:textId="77777777" w:rsidR="00772179" w:rsidRDefault="00000000">
      <w:pPr>
        <w:jc w:val="both"/>
      </w:pPr>
      <w:r>
        <w:t>Vitrage :</w:t>
      </w:r>
    </w:p>
    <w:p w14:paraId="43D971DE" w14:textId="77777777" w:rsidR="00772179" w:rsidRDefault="00000000">
      <w:pPr>
        <w:pStyle w:val="Author-eListParagraph"/>
        <w:numPr>
          <w:ilvl w:val="0"/>
          <w:numId w:val="138"/>
        </w:numPr>
        <w:jc w:val="both"/>
      </w:pPr>
      <w:r>
        <w:t>Le vitrage utilisé contient une part de verre recyclé : ≥ </w:t>
      </w:r>
      <w:r>
        <w:rPr>
          <w:rStyle w:val="optioncarChar"/>
        </w:rPr>
        <w:t xml:space="preserve">30 </w:t>
      </w:r>
      <w:r>
        <w:t xml:space="preserve">(par défaut) </w:t>
      </w:r>
      <w:r>
        <w:rPr>
          <w:rStyle w:val="optioncarChar"/>
        </w:rPr>
        <w:t>/ ***</w:t>
      </w:r>
      <w:r>
        <w:t xml:space="preserve"> %</w:t>
      </w:r>
    </w:p>
    <w:p w14:paraId="07F21EC1" w14:textId="77777777" w:rsidR="00772179" w:rsidRDefault="00000000">
      <w:pPr>
        <w:pStyle w:val="pheading"/>
      </w:pPr>
      <w:r>
        <w:t>EXÉCUTION / MISE EN ŒUVRE</w:t>
      </w:r>
    </w:p>
    <w:p w14:paraId="6E928211" w14:textId="77777777" w:rsidR="00772179" w:rsidRDefault="00000000">
      <w:pPr>
        <w:jc w:val="both"/>
      </w:pPr>
      <w:r>
        <w:t>Les profilés sont encastrés de sorte à être affleurant au parement extérieur et au parachèvement intérieur.</w:t>
      </w:r>
    </w:p>
    <w:p w14:paraId="0594A99C" w14:textId="77777777" w:rsidR="00772179" w:rsidRDefault="00000000">
      <w:pPr>
        <w:jc w:val="both"/>
      </w:pPr>
      <w:r>
        <w:rPr>
          <w:b/>
        </w:rPr>
        <w:t>Appui au sol :</w:t>
      </w:r>
    </w:p>
    <w:p w14:paraId="333B7AA6" w14:textId="77777777" w:rsidR="00772179" w:rsidRDefault="00000000">
      <w:pPr>
        <w:pStyle w:val="Author-eListParagraph"/>
        <w:numPr>
          <w:ilvl w:val="0"/>
          <w:numId w:val="139"/>
        </w:numPr>
      </w:pPr>
      <w:r>
        <w:t>Surface alignée à la finition intérieure et extérieure</w:t>
      </w:r>
    </w:p>
    <w:p w14:paraId="0BDCF5E5" w14:textId="77777777" w:rsidR="00772179" w:rsidRDefault="00000000">
      <w:pPr>
        <w:pStyle w:val="Author-eListParagraph"/>
        <w:numPr>
          <w:ilvl w:val="0"/>
          <w:numId w:val="139"/>
        </w:numPr>
      </w:pPr>
      <w:r>
        <w:t>Pose sur toute la largeur sur un appui à coupure thermique</w:t>
      </w:r>
    </w:p>
    <w:p w14:paraId="36D1FF86" w14:textId="77777777" w:rsidR="00772179" w:rsidRDefault="00000000">
      <w:pPr>
        <w:pStyle w:val="Author-eListParagraph"/>
        <w:numPr>
          <w:ilvl w:val="0"/>
          <w:numId w:val="139"/>
        </w:numPr>
      </w:pPr>
      <w:r>
        <w:t>Consoles locales réglables en hauteur, suivant note de calcul établie par le fabricant</w:t>
      </w:r>
    </w:p>
    <w:p w14:paraId="31448D66" w14:textId="77777777" w:rsidR="00772179" w:rsidRDefault="00000000">
      <w:pPr>
        <w:pStyle w:val="Author-eListParagraph"/>
        <w:numPr>
          <w:ilvl w:val="0"/>
          <w:numId w:val="139"/>
        </w:numPr>
      </w:pPr>
      <w:r>
        <w:t xml:space="preserve">Consoles en :  </w:t>
      </w:r>
      <w:r>
        <w:rPr>
          <w:rStyle w:val="optioncarChar"/>
        </w:rPr>
        <w:t xml:space="preserve">acier galvanisé </w:t>
      </w:r>
      <w:r>
        <w:t xml:space="preserve">(par défaut) </w:t>
      </w:r>
      <w:r>
        <w:rPr>
          <w:rStyle w:val="optioncarChar"/>
        </w:rPr>
        <w:t>/ inox / ***</w:t>
      </w:r>
    </w:p>
    <w:p w14:paraId="2DF1541A" w14:textId="77777777" w:rsidR="00772179" w:rsidRDefault="00000000">
      <w:pPr>
        <w:jc w:val="both"/>
      </w:pPr>
      <w:r>
        <w:rPr>
          <w:b/>
        </w:rPr>
        <w:lastRenderedPageBreak/>
        <w:t>Fixations latérales et supérieure :</w:t>
      </w:r>
    </w:p>
    <w:p w14:paraId="1E343F51" w14:textId="77777777" w:rsidR="00772179" w:rsidRDefault="00000000">
      <w:pPr>
        <w:pStyle w:val="Author-eListParagraph"/>
        <w:numPr>
          <w:ilvl w:val="0"/>
          <w:numId w:val="140"/>
        </w:numPr>
      </w:pPr>
      <w:r>
        <w:t>Dormant aligné à la finition intérieure et extérieure</w:t>
      </w:r>
    </w:p>
    <w:p w14:paraId="556DC00B" w14:textId="77777777" w:rsidR="00772179" w:rsidRDefault="00000000">
      <w:pPr>
        <w:pStyle w:val="Author-eListParagraph"/>
        <w:numPr>
          <w:ilvl w:val="0"/>
          <w:numId w:val="140"/>
        </w:numPr>
      </w:pPr>
      <w:r>
        <w:t xml:space="preserve">Fixation au moyen de : </w:t>
      </w:r>
      <w:r>
        <w:rPr>
          <w:rStyle w:val="optioncarChar"/>
        </w:rPr>
        <w:t xml:space="preserve">cornières en acier galvanisé </w:t>
      </w:r>
      <w:r>
        <w:t>(par défaut)</w:t>
      </w:r>
      <w:r>
        <w:rPr>
          <w:rStyle w:val="optioncarChar"/>
        </w:rPr>
        <w:t xml:space="preserve"> / plaques de montage / ***</w:t>
      </w:r>
    </w:p>
    <w:p w14:paraId="6E6D59FC" w14:textId="77777777" w:rsidR="00772179" w:rsidRDefault="00000000">
      <w:pPr>
        <w:pStyle w:val="Author-eListParagraph"/>
        <w:numPr>
          <w:ilvl w:val="0"/>
          <w:numId w:val="140"/>
        </w:numPr>
      </w:pPr>
      <w:r>
        <w:t xml:space="preserve">Les détails de linteau précisent le mode d’intégration des protections solaires suivant </w:t>
      </w:r>
      <w:hyperlink w:anchor="894" w:history="1">
        <w:r>
          <w:rPr>
            <w:color w:val="0000EE"/>
          </w:rPr>
          <w:t>41.52.2d Protections solaires extérieures mobiles par toile</w:t>
        </w:r>
      </w:hyperlink>
      <w:r>
        <w:t xml:space="preserve"> : </w:t>
      </w:r>
      <w:r>
        <w:rPr>
          <w:rStyle w:val="optioncarChar"/>
        </w:rPr>
        <w:t xml:space="preserve">non </w:t>
      </w:r>
      <w:r>
        <w:t>(par défaut)</w:t>
      </w:r>
      <w:r>
        <w:rPr>
          <w:rStyle w:val="optioncarChar"/>
        </w:rPr>
        <w:t xml:space="preserve"> / oui</w:t>
      </w:r>
    </w:p>
    <w:p w14:paraId="7421F947" w14:textId="77777777" w:rsidR="00772179" w:rsidRDefault="00000000">
      <w:pPr>
        <w:jc w:val="both"/>
      </w:pPr>
      <w:r>
        <w:rPr>
          <w:b/>
        </w:rPr>
        <w:t>Raccord entre vitrages sans profilés de menuiserie :</w:t>
      </w:r>
    </w:p>
    <w:p w14:paraId="566505D0" w14:textId="77777777" w:rsidR="00772179" w:rsidRDefault="00000000">
      <w:pPr>
        <w:pStyle w:val="Author-eListParagraph"/>
        <w:numPr>
          <w:ilvl w:val="0"/>
          <w:numId w:val="141"/>
        </w:numPr>
      </w:pPr>
      <w:r>
        <w:t xml:space="preserve">Joint entre vitrages collés suivant [NBN EN ISO 11600] : </w:t>
      </w:r>
      <w:r>
        <w:rPr>
          <w:rStyle w:val="optioncarChar"/>
        </w:rPr>
        <w:t>G20HM / G25HM</w:t>
      </w:r>
    </w:p>
    <w:p w14:paraId="7C9CE17D" w14:textId="77777777" w:rsidR="00772179" w:rsidRDefault="00000000">
      <w:pPr>
        <w:pStyle w:val="Author-eListParagraph"/>
        <w:numPr>
          <w:ilvl w:val="0"/>
          <w:numId w:val="141"/>
        </w:numPr>
      </w:pPr>
      <w:r>
        <w:t>Déformation des vitrages ≤ 1/200 de la portée pour le vitrage isolant et ≤ 15 mm.</w:t>
      </w:r>
    </w:p>
    <w:p w14:paraId="29836BF4" w14:textId="77777777" w:rsidR="00772179" w:rsidRDefault="00000000">
      <w:pPr>
        <w:pStyle w:val="Author-eListParagraph"/>
        <w:numPr>
          <w:ilvl w:val="0"/>
          <w:numId w:val="141"/>
        </w:numPr>
      </w:pPr>
      <w:r>
        <w:t>Calcul de la largeur du joint entre vitrages suivant [Buildwise Méthode de Dimensionnement 16].  La note de calcul établie par le fabricant est présentée pour approbation à la direction des travaux.</w:t>
      </w:r>
    </w:p>
    <w:p w14:paraId="31D126B7" w14:textId="77777777" w:rsidR="00772179" w:rsidRDefault="00000000">
      <w:pPr>
        <w:jc w:val="both"/>
      </w:pPr>
      <w:r>
        <w:rPr>
          <w:b/>
        </w:rPr>
        <w:t>Raccord d’angle sans profilé de menuiserie :</w:t>
      </w:r>
    </w:p>
    <w:p w14:paraId="3FC7015D" w14:textId="77777777" w:rsidR="00772179" w:rsidRDefault="00000000">
      <w:pPr>
        <w:pStyle w:val="Author-eListParagraph"/>
        <w:numPr>
          <w:ilvl w:val="0"/>
          <w:numId w:val="142"/>
        </w:numPr>
        <w:jc w:val="both"/>
      </w:pPr>
      <w:r>
        <w:t xml:space="preserve">Finition du verre : émaillé au droit de la feuille prolongée et entre l’espaceur et le verre : </w:t>
      </w:r>
      <w:r>
        <w:rPr>
          <w:rStyle w:val="optioncarChar"/>
        </w:rPr>
        <w:t>oui</w:t>
      </w:r>
      <w:r>
        <w:t xml:space="preserve"> (par défaut) </w:t>
      </w:r>
      <w:r>
        <w:rPr>
          <w:rStyle w:val="optioncarChar"/>
        </w:rPr>
        <w:t>/ non</w:t>
      </w:r>
    </w:p>
    <w:p w14:paraId="508C202E" w14:textId="77777777" w:rsidR="00772179" w:rsidRDefault="00000000">
      <w:pPr>
        <w:pStyle w:val="Author-eListParagraph"/>
        <w:numPr>
          <w:ilvl w:val="0"/>
          <w:numId w:val="142"/>
        </w:numPr>
        <w:jc w:val="both"/>
      </w:pPr>
      <w:r>
        <w:t>Joint de scellement du vitrage multiple résistant aux UV suivant [NBN EN 15434+A1] annexe D</w:t>
      </w:r>
    </w:p>
    <w:p w14:paraId="2ABB64EC" w14:textId="77777777" w:rsidR="00772179" w:rsidRDefault="00000000">
      <w:pPr>
        <w:pStyle w:val="Author-eListParagraph"/>
        <w:numPr>
          <w:ilvl w:val="0"/>
          <w:numId w:val="142"/>
        </w:numPr>
        <w:jc w:val="both"/>
      </w:pPr>
      <w:r>
        <w:t xml:space="preserve">Joint au raccord d’angle : joint mastic suivant [NBN EN ISO 11600] : </w:t>
      </w:r>
      <w:r>
        <w:rPr>
          <w:rStyle w:val="optioncarChar"/>
        </w:rPr>
        <w:t>G20HM / G25HM</w:t>
      </w:r>
    </w:p>
    <w:p w14:paraId="721B6DE6" w14:textId="77777777" w:rsidR="00772179" w:rsidRDefault="00000000">
      <w:pPr>
        <w:pStyle w:val="Author-eListParagraph"/>
        <w:numPr>
          <w:ilvl w:val="0"/>
          <w:numId w:val="142"/>
        </w:numPr>
        <w:jc w:val="both"/>
      </w:pPr>
      <w:r>
        <w:t xml:space="preserve">Réduction du pont thermique au moyen d’un isolant placé dans le prolongement de l’espaceur de la feuille qui dépasse : </w:t>
      </w:r>
      <w:r>
        <w:rPr>
          <w:rStyle w:val="optioncarChar"/>
        </w:rPr>
        <w:t>oui</w:t>
      </w:r>
      <w:r>
        <w:t xml:space="preserve"> (par défaut)</w:t>
      </w:r>
      <w:r>
        <w:rPr>
          <w:rStyle w:val="optioncarChar"/>
        </w:rPr>
        <w:t xml:space="preserve"> / non</w:t>
      </w:r>
    </w:p>
    <w:p w14:paraId="21540B4A" w14:textId="77777777" w:rsidR="00772179" w:rsidRDefault="00000000">
      <w:pPr>
        <w:pStyle w:val="Author-eListParagraph"/>
        <w:numPr>
          <w:ilvl w:val="0"/>
          <w:numId w:val="142"/>
        </w:numPr>
        <w:jc w:val="both"/>
      </w:pPr>
      <w:r>
        <w:t>Pose d’un profilé intérieur en cas de climat intérieur humide afin de garantir l’étanchéité à la vapeur.</w:t>
      </w:r>
    </w:p>
    <w:p w14:paraId="3041DDBE" w14:textId="77777777" w:rsidR="00772179" w:rsidRDefault="00000000">
      <w:pPr>
        <w:pStyle w:val="pheading"/>
      </w:pPr>
      <w:r>
        <w:t>DOCUMENTS DE RÉFÉRENCE</w:t>
      </w:r>
    </w:p>
    <w:p w14:paraId="69E47CEA" w14:textId="77777777" w:rsidR="00772179" w:rsidRDefault="00000000">
      <w:pPr>
        <w:pStyle w:val="pheading"/>
      </w:pPr>
      <w:r>
        <w:t>- Matériau</w:t>
      </w:r>
    </w:p>
    <w:p w14:paraId="7D99145D" w14:textId="77777777" w:rsidR="00772179" w:rsidRDefault="00000000">
      <w:r>
        <w:t>[NIT 214, Le verre et les produits verriers - Les fonctions des vitrages.]</w:t>
      </w:r>
    </w:p>
    <w:p w14:paraId="74AF418C" w14:textId="77777777" w:rsidR="00772179" w:rsidRDefault="00000000">
      <w:r>
        <w:t>[NIT 221, La pose des vitrages en feuillure (Les NIT 214 et 221 remplacent les NIT 110 et 113).]</w:t>
      </w:r>
    </w:p>
    <w:p w14:paraId="02728B2E" w14:textId="77777777" w:rsidR="00772179" w:rsidRDefault="00000000">
      <w:r>
        <w:t>[NIT 261, Ouvrages particuliers en verre. Partie 2 : applications non structurales (vitrines, portes et ensembles en verre trempé).]</w:t>
      </w:r>
    </w:p>
    <w:p w14:paraId="7F5205CD" w14:textId="77777777" w:rsidR="00772179" w:rsidRDefault="00000000">
      <w:r>
        <w:t>[NBN S 23-002, Vitrerie]</w:t>
      </w:r>
    </w:p>
    <w:p w14:paraId="08B57C1E" w14:textId="77777777" w:rsidR="00772179" w:rsidRDefault="00000000">
      <w:r>
        <w:t>[NBN EN 14024, Profilés métalliques à rupture de pont thermique - Performances mécaniques - Exigences, preuve et essais pour évaluation] </w:t>
      </w:r>
    </w:p>
    <w:p w14:paraId="35675202" w14:textId="77777777" w:rsidR="00772179" w:rsidRDefault="00000000">
      <w:r>
        <w:t>[NBN EN 15434+A1, Verre dans la construction - Norme de produits pour produit de collage et de scellement structurel et/ou résistants aux rayonnements ultraviolets (utilisé pour les vitrages extérieurs collés et/ou pour les vitrages isolants à bords exposés)]</w:t>
      </w:r>
    </w:p>
    <w:p w14:paraId="57C1D8AA" w14:textId="77777777" w:rsidR="00772179" w:rsidRDefault="00000000">
      <w:r>
        <w:t>[NBN EN ISO 11600, Construction immobilière - Produits pour joints - Classification et exigences pour les mastics (ISO 11600:2002)]</w:t>
      </w:r>
    </w:p>
    <w:p w14:paraId="42A1C59A" w14:textId="77777777" w:rsidR="00772179" w:rsidRDefault="00000000">
      <w:pPr>
        <w:pStyle w:val="pheading"/>
      </w:pPr>
      <w:r>
        <w:t>- Exécution</w:t>
      </w:r>
    </w:p>
    <w:p w14:paraId="53268899" w14:textId="77777777" w:rsidR="00772179" w:rsidRDefault="00000000">
      <w:r>
        <w:t>[Buildwise Article Dossier (2019/04.05), Comment réaliser un angle entre deux vitrages sans profilé de menuiserie ?]</w:t>
      </w:r>
    </w:p>
    <w:p w14:paraId="085345C1" w14:textId="77777777" w:rsidR="00772179" w:rsidRDefault="00000000">
      <w:r>
        <w:t>[Buildwise Méthode de Dimensionnement 16, Calcul des raidisseurs de vitrines]</w:t>
      </w:r>
    </w:p>
    <w:p w14:paraId="7DA7AD5D" w14:textId="77777777" w:rsidR="00772179" w:rsidRDefault="00000000">
      <w:r>
        <w:t>[NIT 244, Les ouvrages de raccord des toitures plates : principes généraux (remplace la NIT 191) (+ correctifs de février 2015).]</w:t>
      </w:r>
    </w:p>
    <w:p w14:paraId="24B2C817" w14:textId="77777777" w:rsidR="00772179" w:rsidRDefault="00000000">
      <w:r>
        <w:t>[NIT 283, La pose des menuiseries extérieures. Partie 1 : aspects généraux.]</w:t>
      </w:r>
    </w:p>
    <w:p w14:paraId="79B2E535" w14:textId="77777777" w:rsidR="00772179" w:rsidRDefault="00000000">
      <w:pPr>
        <w:pStyle w:val="pheading"/>
      </w:pPr>
      <w:r>
        <w:t>AIDE</w:t>
      </w:r>
    </w:p>
    <w:p w14:paraId="5F100DB3" w14:textId="77777777" w:rsidR="00772179" w:rsidRDefault="00000000">
      <w:pPr>
        <w:jc w:val="both"/>
      </w:pPr>
      <w:r>
        <w:t>Jonction avec la terrasse et le revêtement de sol extérieur :</w:t>
      </w:r>
    </w:p>
    <w:p w14:paraId="05EA7827" w14:textId="77777777" w:rsidR="00772179" w:rsidRDefault="00000000">
      <w:pPr>
        <w:jc w:val="both"/>
      </w:pPr>
      <w:r>
        <w:lastRenderedPageBreak/>
        <w:t>En l’absence d’un chéneau faisant partie du système de fenêtres, il y a lieu de placer une grille sur toute la longueur du châssis conformément à [NIT 244] fiche 045-2-0.</w:t>
      </w:r>
    </w:p>
    <w:p w14:paraId="0F1027C5" w14:textId="77777777" w:rsidR="00772179" w:rsidRDefault="00000000">
      <w:pPr>
        <w:pStyle w:val="Author-eSectionHeading6Numberless"/>
      </w:pPr>
      <w:bookmarkStart w:id="50" w:name="_Toc220489802"/>
      <w:r>
        <w:t>41.16.1a Fenêtres et portes-fenêtres en verre CCTB 01.12</w:t>
      </w:r>
      <w:bookmarkEnd w:id="50"/>
    </w:p>
    <w:p w14:paraId="79D25B7F" w14:textId="77777777" w:rsidR="00772179" w:rsidRDefault="00000000">
      <w:pPr>
        <w:pStyle w:val="pheading"/>
      </w:pPr>
      <w:r>
        <w:t>DESCRIPTION</w:t>
      </w:r>
    </w:p>
    <w:p w14:paraId="160D1A6A" w14:textId="77777777" w:rsidR="00772179" w:rsidRDefault="00000000">
      <w:pPr>
        <w:pStyle w:val="pheading"/>
      </w:pPr>
      <w:r>
        <w:t>- Définition / Comprend</w:t>
      </w:r>
    </w:p>
    <w:p w14:paraId="0FBB10FA" w14:textId="77777777" w:rsidR="00772179" w:rsidRDefault="00000000">
      <w:pPr>
        <w:jc w:val="both"/>
      </w:pPr>
      <w:r>
        <w:t>Cet élément comprend la fourniture et la pose de tous les éléments nécessaires à la composition des fenêtres et portes-fenêtres en verre y compris toutes les pièces qui en font intrinsèquement partie.</w:t>
      </w:r>
    </w:p>
    <w:p w14:paraId="168710B4" w14:textId="77777777" w:rsidR="00772179" w:rsidRDefault="00000000">
      <w:pPr>
        <w:jc w:val="both"/>
      </w:pPr>
      <w:r>
        <w:t xml:space="preserve">L’étendue du travail est décrite sous </w:t>
      </w:r>
      <w:hyperlink w:anchor="890" w:history="1">
        <w:r>
          <w:rPr>
            <w:color w:val="0000EE"/>
          </w:rPr>
          <w:t>41.16 Fenêtres et portes-fenêtres en verre</w:t>
        </w:r>
      </w:hyperlink>
    </w:p>
    <w:p w14:paraId="5698809D" w14:textId="77777777" w:rsidR="00772179" w:rsidRDefault="00000000">
      <w:pPr>
        <w:pStyle w:val="pheading"/>
      </w:pPr>
      <w:r>
        <w:t>MATÉRIAUX</w:t>
      </w:r>
    </w:p>
    <w:p w14:paraId="338ADBDB" w14:textId="77777777" w:rsidR="00772179" w:rsidRDefault="00000000">
      <w:pPr>
        <w:pStyle w:val="pheading"/>
      </w:pPr>
      <w:r>
        <w:t>- Caractéristiques générales</w:t>
      </w:r>
    </w:p>
    <w:p w14:paraId="71212BB6" w14:textId="77777777" w:rsidR="00772179" w:rsidRDefault="00000000">
      <w:pPr>
        <w:jc w:val="both"/>
      </w:pPr>
      <w:r>
        <w:rPr>
          <w:b/>
        </w:rPr>
        <w:t>Performances suivant [NBN B 25-002-1]</w:t>
      </w:r>
    </w:p>
    <w:p w14:paraId="2096C614" w14:textId="77777777" w:rsidR="00772179" w:rsidRDefault="00000000">
      <w:pPr>
        <w:pStyle w:val="Author-eListParagraph"/>
        <w:numPr>
          <w:ilvl w:val="0"/>
          <w:numId w:val="143"/>
        </w:numPr>
      </w:pPr>
      <w:r>
        <w:t>Performances thermiques la valeur U</w:t>
      </w:r>
      <w:r>
        <w:rPr>
          <w:vertAlign w:val="subscript"/>
        </w:rPr>
        <w:t>w</w:t>
      </w:r>
      <w:r>
        <w:t xml:space="preserve"> ≤ : </w:t>
      </w:r>
      <w:r>
        <w:rPr>
          <w:rStyle w:val="optioncarChar"/>
        </w:rPr>
        <w:t>***</w:t>
      </w:r>
      <w:r>
        <w:t xml:space="preserve"> W/m²K</w:t>
      </w:r>
    </w:p>
    <w:p w14:paraId="5339A28A" w14:textId="77777777" w:rsidR="00772179" w:rsidRDefault="00000000">
      <w:pPr>
        <w:pStyle w:val="Author-eListParagraph"/>
        <w:numPr>
          <w:ilvl w:val="0"/>
          <w:numId w:val="143"/>
        </w:numPr>
      </w:pPr>
      <w:r>
        <w:t xml:space="preserve">Perméabilité à l’air de classe [NBN EN 12207] : </w:t>
      </w:r>
      <w:r>
        <w:rPr>
          <w:rStyle w:val="optioncarChar"/>
        </w:rPr>
        <w:t xml:space="preserve">4 </w:t>
      </w:r>
      <w:r>
        <w:t xml:space="preserve">(par défaut) </w:t>
      </w:r>
      <w:r>
        <w:rPr>
          <w:rStyle w:val="optioncarChar"/>
        </w:rPr>
        <w:t>/ 3 / ***</w:t>
      </w:r>
    </w:p>
    <w:p w14:paraId="651D6797" w14:textId="77777777" w:rsidR="00772179" w:rsidRDefault="00000000">
      <w:pPr>
        <w:pStyle w:val="Author-eListParagraph"/>
        <w:numPr>
          <w:ilvl w:val="0"/>
          <w:numId w:val="143"/>
        </w:numPr>
      </w:pPr>
      <w:r>
        <w:t>Étanchéité à l’eau de classe [NBN EN 12208] :</w:t>
      </w:r>
      <w:r>
        <w:rPr>
          <w:rStyle w:val="optioncarChar"/>
        </w:rPr>
        <w:t xml:space="preserve"> 6A </w:t>
      </w:r>
      <w:r>
        <w:t>(par défaut)</w:t>
      </w:r>
      <w:r>
        <w:rPr>
          <w:rStyle w:val="optioncarChar"/>
        </w:rPr>
        <w:t xml:space="preserve"> / 9A / ***</w:t>
      </w:r>
    </w:p>
    <w:p w14:paraId="341BF56E" w14:textId="77777777" w:rsidR="00772179" w:rsidRDefault="00000000">
      <w:pPr>
        <w:pStyle w:val="Author-eListParagraph"/>
        <w:numPr>
          <w:ilvl w:val="0"/>
          <w:numId w:val="143"/>
        </w:numPr>
      </w:pPr>
      <w:r>
        <w:t xml:space="preserve">Résistance au vent [NBN EN 12210] :  </w:t>
      </w:r>
      <w:r>
        <w:rPr>
          <w:rStyle w:val="optioncarChar"/>
        </w:rPr>
        <w:t xml:space="preserve">C2 </w:t>
      </w:r>
      <w:r>
        <w:t xml:space="preserve">(par défaut) </w:t>
      </w:r>
      <w:r>
        <w:rPr>
          <w:rStyle w:val="optioncarChar"/>
        </w:rPr>
        <w:t>/ C3 / ***</w:t>
      </w:r>
    </w:p>
    <w:p w14:paraId="2FA3542E" w14:textId="77777777" w:rsidR="00772179" w:rsidRDefault="00000000">
      <w:pPr>
        <w:pStyle w:val="Author-eListParagraph"/>
        <w:numPr>
          <w:ilvl w:val="0"/>
          <w:numId w:val="143"/>
        </w:numPr>
      </w:pPr>
      <w:r>
        <w:t>Performances acoustiques R</w:t>
      </w:r>
      <w:r>
        <w:rPr>
          <w:vertAlign w:val="subscript"/>
        </w:rPr>
        <w:t>Atr</w:t>
      </w:r>
      <w:r>
        <w:t xml:space="preserve">  ≥ : </w:t>
      </w:r>
      <w:r>
        <w:rPr>
          <w:rStyle w:val="optioncarChar"/>
        </w:rPr>
        <w:t>***</w:t>
      </w:r>
      <w:r>
        <w:t xml:space="preserve"> dB</w:t>
      </w:r>
    </w:p>
    <w:p w14:paraId="27E12CAC" w14:textId="77777777" w:rsidR="00772179" w:rsidRDefault="00000000">
      <w:pPr>
        <w:pStyle w:val="Author-eListParagraph"/>
        <w:numPr>
          <w:ilvl w:val="0"/>
          <w:numId w:val="143"/>
        </w:numPr>
      </w:pPr>
      <w:r>
        <w:t xml:space="preserve">Résistance à l’effraction classe [NBN EN 1627] : </w:t>
      </w:r>
      <w:r>
        <w:rPr>
          <w:rStyle w:val="optioncarChar"/>
        </w:rPr>
        <w:t xml:space="preserve">RC 1 </w:t>
      </w:r>
      <w:r>
        <w:t xml:space="preserve">(par défaut) </w:t>
      </w:r>
      <w:r>
        <w:rPr>
          <w:rStyle w:val="optioncarChar"/>
        </w:rPr>
        <w:t>/ RC 2 / RC 3</w:t>
      </w:r>
    </w:p>
    <w:p w14:paraId="047B92A9" w14:textId="77777777" w:rsidR="00772179" w:rsidRDefault="00000000">
      <w:pPr>
        <w:pStyle w:val="Author-eListParagraph"/>
        <w:numPr>
          <w:ilvl w:val="0"/>
          <w:numId w:val="143"/>
        </w:numPr>
      </w:pPr>
      <w:r>
        <w:t xml:space="preserve">Efforts de manœuvre des parties ouvrantes de classe [NBN EN 13115] : </w:t>
      </w:r>
      <w:r>
        <w:rPr>
          <w:rStyle w:val="optioncarChar"/>
        </w:rPr>
        <w:t xml:space="preserve">1 </w:t>
      </w:r>
      <w:r>
        <w:t>(par défaut)</w:t>
      </w:r>
      <w:r>
        <w:rPr>
          <w:rStyle w:val="optioncarChar"/>
        </w:rPr>
        <w:t xml:space="preserve"> / 2</w:t>
      </w:r>
    </w:p>
    <w:p w14:paraId="13B61E83" w14:textId="77777777" w:rsidR="00772179" w:rsidRDefault="00000000">
      <w:pPr>
        <w:pStyle w:val="Author-eListParagraph"/>
        <w:numPr>
          <w:ilvl w:val="0"/>
          <w:numId w:val="143"/>
        </w:numPr>
      </w:pPr>
      <w:r>
        <w:t xml:space="preserve">Abus d’utilisation des parties ouvrantes de classe [NBN EN 13115] : </w:t>
      </w:r>
      <w:r>
        <w:rPr>
          <w:rStyle w:val="optioncarChar"/>
        </w:rPr>
        <w:t xml:space="preserve">3 </w:t>
      </w:r>
      <w:r>
        <w:t>(par défaut)</w:t>
      </w:r>
      <w:r>
        <w:rPr>
          <w:rStyle w:val="optioncarChar"/>
        </w:rPr>
        <w:t xml:space="preserve"> / 4 / ***</w:t>
      </w:r>
    </w:p>
    <w:p w14:paraId="4CBD3525" w14:textId="77777777" w:rsidR="00772179" w:rsidRDefault="00000000">
      <w:pPr>
        <w:pStyle w:val="Author-eListParagraph"/>
        <w:numPr>
          <w:ilvl w:val="0"/>
          <w:numId w:val="143"/>
        </w:numPr>
      </w:pPr>
      <w:r>
        <w:t xml:space="preserve">Résistance aux balles : </w:t>
      </w:r>
      <w:r>
        <w:rPr>
          <w:rStyle w:val="optioncarChar"/>
        </w:rPr>
        <w:t xml:space="preserve">non </w:t>
      </w:r>
      <w:r>
        <w:t xml:space="preserve">(par défaut) </w:t>
      </w:r>
      <w:r>
        <w:rPr>
          <w:rStyle w:val="optioncarChar"/>
        </w:rPr>
        <w:t>/ FB4 / ***</w:t>
      </w:r>
    </w:p>
    <w:p w14:paraId="11ACB711" w14:textId="77777777" w:rsidR="00772179" w:rsidRDefault="00000000">
      <w:pPr>
        <w:jc w:val="both"/>
      </w:pPr>
      <w:r>
        <w:rPr>
          <w:b/>
        </w:rPr>
        <w:t>Fenêtres à cadres minimalistes</w:t>
      </w:r>
    </w:p>
    <w:p w14:paraId="29F7CCDC" w14:textId="77777777" w:rsidR="00772179" w:rsidRDefault="00000000">
      <w:pPr>
        <w:pStyle w:val="Author-eListParagraph"/>
        <w:numPr>
          <w:ilvl w:val="0"/>
          <w:numId w:val="144"/>
        </w:numPr>
      </w:pPr>
      <w:r>
        <w:t xml:space="preserve">Profilés périphériques intégrés dans la finition intérieure et extérieure largeur ± : </w:t>
      </w:r>
      <w:r>
        <w:rPr>
          <w:rStyle w:val="optioncarChar"/>
        </w:rPr>
        <w:t>170 / 250 / ***</w:t>
      </w:r>
      <w:r>
        <w:t xml:space="preserve"> mm</w:t>
      </w:r>
    </w:p>
    <w:p w14:paraId="227AEAEA" w14:textId="77777777" w:rsidR="00772179" w:rsidRDefault="00000000">
      <w:pPr>
        <w:pStyle w:val="Author-eListParagraph"/>
        <w:numPr>
          <w:ilvl w:val="0"/>
          <w:numId w:val="144"/>
        </w:numPr>
      </w:pPr>
      <w:r>
        <w:t xml:space="preserve">Montants intermédiaires fixes : </w:t>
      </w:r>
      <w:r>
        <w:rPr>
          <w:rStyle w:val="optioncarChar"/>
        </w:rPr>
        <w:t xml:space="preserve">oui </w:t>
      </w:r>
      <w:r>
        <w:t>(par défaut)</w:t>
      </w:r>
      <w:r>
        <w:rPr>
          <w:rStyle w:val="optioncarChar"/>
        </w:rPr>
        <w:t xml:space="preserve"> / non</w:t>
      </w:r>
    </w:p>
    <w:p w14:paraId="6092E86D" w14:textId="77777777" w:rsidR="00772179" w:rsidRDefault="00000000">
      <w:pPr>
        <w:ind w:left="567"/>
        <w:jc w:val="both"/>
      </w:pPr>
      <w:r>
        <w:rPr>
          <w:b/>
        </w:rPr>
        <w:t>(soit par défaut)</w:t>
      </w:r>
    </w:p>
    <w:p w14:paraId="7EEB7A21" w14:textId="77777777" w:rsidR="00772179" w:rsidRDefault="00000000">
      <w:pPr>
        <w:ind w:left="567"/>
        <w:jc w:val="both"/>
      </w:pPr>
      <w:r>
        <w:rPr>
          <w:rStyle w:val="soitChar"/>
          <w:u w:val="single"/>
        </w:rPr>
        <w:t>Oui :</w:t>
      </w:r>
      <w:r>
        <w:rPr>
          <w:rStyle w:val="soitChar"/>
        </w:rPr>
        <w:t xml:space="preserve">  largeur visible des montants verticaux ± : </w:t>
      </w:r>
      <w:r>
        <w:rPr>
          <w:rStyle w:val="optioncarChar"/>
        </w:rPr>
        <w:t>50</w:t>
      </w:r>
      <w:r>
        <w:t xml:space="preserve"> (par défaut)</w:t>
      </w:r>
      <w:r>
        <w:rPr>
          <w:rStyle w:val="optioncarChar"/>
        </w:rPr>
        <w:t xml:space="preserve"> / 30 / ***</w:t>
      </w:r>
      <w:r>
        <w:rPr>
          <w:rStyle w:val="soitChar"/>
        </w:rPr>
        <w:t xml:space="preserve"> mm</w:t>
      </w:r>
    </w:p>
    <w:p w14:paraId="2AB950B5" w14:textId="77777777" w:rsidR="00772179" w:rsidRDefault="00000000">
      <w:pPr>
        <w:ind w:left="567"/>
        <w:jc w:val="both"/>
      </w:pPr>
      <w:r>
        <w:rPr>
          <w:b/>
        </w:rPr>
        <w:t>(soit)</w:t>
      </w:r>
    </w:p>
    <w:p w14:paraId="2259E807" w14:textId="77777777" w:rsidR="00772179" w:rsidRDefault="00000000">
      <w:pPr>
        <w:ind w:left="567"/>
        <w:jc w:val="both"/>
      </w:pPr>
      <w:r>
        <w:rPr>
          <w:rStyle w:val="soitChar"/>
          <w:u w:val="single"/>
        </w:rPr>
        <w:t>Non :</w:t>
      </w:r>
      <w:r>
        <w:rPr>
          <w:rStyle w:val="soitChar"/>
        </w:rPr>
        <w:t xml:space="preserve">  vitrage collé au moyen de mastic de classe : </w:t>
      </w:r>
      <w:r>
        <w:rPr>
          <w:rStyle w:val="optioncarChar"/>
        </w:rPr>
        <w:t xml:space="preserve">G20HM </w:t>
      </w:r>
      <w:r>
        <w:t xml:space="preserve">(par défaut) </w:t>
      </w:r>
      <w:r>
        <w:rPr>
          <w:rStyle w:val="optioncarChar"/>
        </w:rPr>
        <w:t>/ G25HM / ***</w:t>
      </w:r>
    </w:p>
    <w:p w14:paraId="6E2717D3" w14:textId="77777777" w:rsidR="00772179" w:rsidRDefault="00000000">
      <w:pPr>
        <w:pStyle w:val="Author-eListParagraph"/>
        <w:numPr>
          <w:ilvl w:val="0"/>
          <w:numId w:val="145"/>
        </w:numPr>
      </w:pPr>
      <w:r>
        <w:t xml:space="preserve">Drainage : </w:t>
      </w:r>
      <w:r>
        <w:rPr>
          <w:rStyle w:val="optioncarChar"/>
        </w:rPr>
        <w:t xml:space="preserve">sous le revêtement extérieur sur plots </w:t>
      </w:r>
      <w:r>
        <w:t xml:space="preserve">(par défaut) </w:t>
      </w:r>
      <w:r>
        <w:rPr>
          <w:rStyle w:val="optioncarChar"/>
        </w:rPr>
        <w:t>/ dans un chéneau extrudé en aluminium avec grille en inox faisant partie du système de fenêtres / ***</w:t>
      </w:r>
    </w:p>
    <w:p w14:paraId="6CC9FE33" w14:textId="77777777" w:rsidR="00772179" w:rsidRDefault="00000000">
      <w:pPr>
        <w:pStyle w:val="Author-eListParagraph"/>
        <w:numPr>
          <w:ilvl w:val="0"/>
          <w:numId w:val="145"/>
        </w:numPr>
      </w:pPr>
      <w:r>
        <w:t xml:space="preserve">Raccord d’angle : avec </w:t>
      </w:r>
      <w:r>
        <w:rPr>
          <w:rStyle w:val="optioncarChar"/>
        </w:rPr>
        <w:t xml:space="preserve">montant fixe </w:t>
      </w:r>
      <w:r>
        <w:t>(par défaut)</w:t>
      </w:r>
      <w:r>
        <w:rPr>
          <w:rStyle w:val="optioncarChar"/>
        </w:rPr>
        <w:t xml:space="preserve"> / vitrages collés / 2 ouvrants coulissants</w:t>
      </w:r>
    </w:p>
    <w:p w14:paraId="1C29D0CF" w14:textId="77777777" w:rsidR="00772179" w:rsidRDefault="00000000">
      <w:pPr>
        <w:ind w:left="567"/>
        <w:jc w:val="both"/>
      </w:pPr>
      <w:r>
        <w:rPr>
          <w:b/>
        </w:rPr>
        <w:t>(soit par défaut)</w:t>
      </w:r>
    </w:p>
    <w:p w14:paraId="0B3C466E" w14:textId="77777777" w:rsidR="00772179" w:rsidRDefault="00000000">
      <w:pPr>
        <w:ind w:left="567"/>
        <w:jc w:val="both"/>
      </w:pPr>
      <w:r>
        <w:rPr>
          <w:rStyle w:val="soitChar"/>
          <w:u w:val="single"/>
        </w:rPr>
        <w:t>Montant fixe</w:t>
      </w:r>
      <w:r>
        <w:rPr>
          <w:rStyle w:val="soitChar"/>
        </w:rPr>
        <w:t xml:space="preserve"> de même nature et finition que les montants intermédiaires.</w:t>
      </w:r>
    </w:p>
    <w:p w14:paraId="2266AA67" w14:textId="77777777" w:rsidR="00772179" w:rsidRDefault="00000000">
      <w:pPr>
        <w:ind w:left="567"/>
        <w:jc w:val="both"/>
      </w:pPr>
      <w:r>
        <w:rPr>
          <w:b/>
        </w:rPr>
        <w:t>(soit)</w:t>
      </w:r>
    </w:p>
    <w:p w14:paraId="57A3ECFC" w14:textId="77777777" w:rsidR="00772179" w:rsidRDefault="00000000">
      <w:pPr>
        <w:ind w:left="567"/>
        <w:jc w:val="both"/>
      </w:pPr>
      <w:r>
        <w:rPr>
          <w:rStyle w:val="soitChar"/>
          <w:u w:val="single"/>
        </w:rPr>
        <w:t>Vitrages collés</w:t>
      </w:r>
      <w:r>
        <w:rPr>
          <w:rStyle w:val="soitChar"/>
        </w:rPr>
        <w:t xml:space="preserve"> suivant </w:t>
      </w:r>
      <w:hyperlink w:anchor="891" w:history="1">
        <w:r>
          <w:rPr>
            <w:rStyle w:val="soitChar"/>
            <w:color w:val="0000EE"/>
          </w:rPr>
          <w:t>41.16.1 Fenêtres et portes-fenêtres en verre</w:t>
        </w:r>
      </w:hyperlink>
      <w:r>
        <w:rPr>
          <w:rStyle w:val="soitChar"/>
        </w:rPr>
        <w:t xml:space="preserve"> : </w:t>
      </w:r>
    </w:p>
    <w:p w14:paraId="46C768E5" w14:textId="77777777" w:rsidR="00772179" w:rsidRDefault="00000000">
      <w:pPr>
        <w:pStyle w:val="Author-eListParagraph"/>
        <w:numPr>
          <w:ilvl w:val="0"/>
          <w:numId w:val="146"/>
        </w:numPr>
      </w:pPr>
      <w:r>
        <w:rPr>
          <w:rStyle w:val="soitChar"/>
        </w:rPr>
        <w:t xml:space="preserve">Façonnage des bords : </w:t>
      </w:r>
      <w:r>
        <w:rPr>
          <w:rStyle w:val="optioncarChar"/>
        </w:rPr>
        <w:t xml:space="preserve">plat mat </w:t>
      </w:r>
      <w:r>
        <w:t>(par défaut)</w:t>
      </w:r>
      <w:r>
        <w:rPr>
          <w:rStyle w:val="optioncarChar"/>
        </w:rPr>
        <w:t xml:space="preserve"> / plat poli</w:t>
      </w:r>
    </w:p>
    <w:p w14:paraId="6B1001DD" w14:textId="77777777" w:rsidR="00772179" w:rsidRDefault="00000000">
      <w:pPr>
        <w:pStyle w:val="Author-eListParagraph"/>
        <w:numPr>
          <w:ilvl w:val="0"/>
          <w:numId w:val="146"/>
        </w:numPr>
      </w:pPr>
      <w:r>
        <w:rPr>
          <w:rStyle w:val="soitChar"/>
        </w:rPr>
        <w:t xml:space="preserve">Profilé dans l’angle intérieur : </w:t>
      </w:r>
      <w:r>
        <w:rPr>
          <w:rStyle w:val="optioncarChar"/>
        </w:rPr>
        <w:t>non</w:t>
      </w:r>
      <w:r>
        <w:t xml:space="preserve"> (par défaut) </w:t>
      </w:r>
      <w:r>
        <w:rPr>
          <w:rStyle w:val="optioncarChar"/>
        </w:rPr>
        <w:t>/ oui</w:t>
      </w:r>
    </w:p>
    <w:p w14:paraId="602471F8" w14:textId="77777777" w:rsidR="00772179" w:rsidRDefault="00000000">
      <w:pPr>
        <w:ind w:left="1134"/>
        <w:jc w:val="both"/>
      </w:pPr>
      <w:r>
        <w:rPr>
          <w:b/>
        </w:rPr>
        <w:t>(soit par défaut)</w:t>
      </w:r>
    </w:p>
    <w:p w14:paraId="71352C81" w14:textId="77777777" w:rsidR="00772179" w:rsidRDefault="00000000">
      <w:pPr>
        <w:ind w:left="1134"/>
        <w:jc w:val="both"/>
      </w:pPr>
      <w:r>
        <w:rPr>
          <w:rStyle w:val="soitChar"/>
          <w:u w:val="single"/>
        </w:rPr>
        <w:t xml:space="preserve">Non : </w:t>
      </w:r>
      <w:r>
        <w:rPr>
          <w:rStyle w:val="soitChar"/>
        </w:rPr>
        <w:t> pas de profilé intérieur</w:t>
      </w:r>
    </w:p>
    <w:p w14:paraId="1FF942E8" w14:textId="77777777" w:rsidR="00772179" w:rsidRDefault="00000000">
      <w:pPr>
        <w:ind w:left="1134"/>
        <w:jc w:val="both"/>
      </w:pPr>
      <w:r>
        <w:rPr>
          <w:b/>
        </w:rPr>
        <w:t>(soit)</w:t>
      </w:r>
    </w:p>
    <w:p w14:paraId="38888371" w14:textId="77777777" w:rsidR="00772179" w:rsidRDefault="00000000">
      <w:pPr>
        <w:ind w:left="1134"/>
        <w:jc w:val="both"/>
      </w:pPr>
      <w:r>
        <w:rPr>
          <w:rStyle w:val="soitChar"/>
          <w:u w:val="single"/>
        </w:rPr>
        <w:t>Oui :</w:t>
      </w:r>
      <w:r>
        <w:rPr>
          <w:rStyle w:val="soitChar"/>
        </w:rPr>
        <w:t> profilé d’angle de même nature et finition que les cadres de fenêtres</w:t>
      </w:r>
    </w:p>
    <w:p w14:paraId="682752A0" w14:textId="77777777" w:rsidR="00772179" w:rsidRDefault="00000000">
      <w:pPr>
        <w:ind w:left="567"/>
        <w:jc w:val="both"/>
      </w:pPr>
      <w:r>
        <w:rPr>
          <w:b/>
        </w:rPr>
        <w:t>(soit)</w:t>
      </w:r>
    </w:p>
    <w:p w14:paraId="4799B664" w14:textId="77777777" w:rsidR="00772179" w:rsidRDefault="00000000">
      <w:pPr>
        <w:ind w:left="567"/>
        <w:jc w:val="both"/>
      </w:pPr>
      <w:r>
        <w:rPr>
          <w:rStyle w:val="soitChar"/>
          <w:u w:val="single"/>
        </w:rPr>
        <w:t>2 ouvrants coulissants</w:t>
      </w:r>
      <w:r>
        <w:rPr>
          <w:rStyle w:val="soitChar"/>
        </w:rPr>
        <w:t xml:space="preserve"> libérant l’angle complètement</w:t>
      </w:r>
    </w:p>
    <w:p w14:paraId="6EF6F43D" w14:textId="77777777" w:rsidR="00772179" w:rsidRDefault="00772179">
      <w:pPr>
        <w:ind w:left="567"/>
        <w:jc w:val="both"/>
      </w:pPr>
    </w:p>
    <w:p w14:paraId="1304C72B" w14:textId="77777777" w:rsidR="00772179" w:rsidRDefault="00000000">
      <w:pPr>
        <w:jc w:val="both"/>
      </w:pPr>
      <w:r>
        <w:rPr>
          <w:b/>
        </w:rPr>
        <w:t>Portes-fenêtres :</w:t>
      </w:r>
      <w:r>
        <w:t xml:space="preserve">  </w:t>
      </w:r>
      <w:r>
        <w:rPr>
          <w:rStyle w:val="optioncarChar"/>
        </w:rPr>
        <w:t>coulissantes</w:t>
      </w:r>
      <w:r>
        <w:t xml:space="preserve"> (par défaut) </w:t>
      </w:r>
      <w:r>
        <w:rPr>
          <w:rStyle w:val="optioncarChar"/>
        </w:rPr>
        <w:t>/ sur pivot</w:t>
      </w:r>
    </w:p>
    <w:p w14:paraId="39596B9A" w14:textId="77777777" w:rsidR="00772179" w:rsidRDefault="00000000">
      <w:pPr>
        <w:jc w:val="both"/>
      </w:pPr>
      <w:r>
        <w:rPr>
          <w:b/>
        </w:rPr>
        <w:t>(soit par défaut)</w:t>
      </w:r>
    </w:p>
    <w:p w14:paraId="3681C884" w14:textId="77777777" w:rsidR="00772179" w:rsidRDefault="00000000">
      <w:pPr>
        <w:jc w:val="both"/>
      </w:pPr>
      <w:r>
        <w:rPr>
          <w:rStyle w:val="soitChar"/>
          <w:u w:val="single"/>
        </w:rPr>
        <w:t>Coulissantes :</w:t>
      </w:r>
    </w:p>
    <w:p w14:paraId="2BF63411" w14:textId="77777777" w:rsidR="00772179" w:rsidRDefault="00000000">
      <w:pPr>
        <w:pStyle w:val="Author-eListParagraph"/>
        <w:numPr>
          <w:ilvl w:val="0"/>
          <w:numId w:val="147"/>
        </w:numPr>
      </w:pPr>
      <w:r>
        <w:rPr>
          <w:rStyle w:val="soitChar"/>
        </w:rPr>
        <w:t xml:space="preserve">Profilés verticaux largeur visible de face ± : </w:t>
      </w:r>
      <w:r>
        <w:rPr>
          <w:rStyle w:val="optioncarChar"/>
        </w:rPr>
        <w:t>25 / 35</w:t>
      </w:r>
      <w:r>
        <w:t xml:space="preserve"> (par défaut) </w:t>
      </w:r>
      <w:r>
        <w:rPr>
          <w:rStyle w:val="optioncarChar"/>
        </w:rPr>
        <w:t>/ ***</w:t>
      </w:r>
      <w:r>
        <w:rPr>
          <w:rStyle w:val="soitChar"/>
        </w:rPr>
        <w:t xml:space="preserve"> mm</w:t>
      </w:r>
    </w:p>
    <w:p w14:paraId="1F3827ED" w14:textId="77777777" w:rsidR="00772179" w:rsidRDefault="00000000">
      <w:pPr>
        <w:pStyle w:val="Author-eListParagraph"/>
        <w:numPr>
          <w:ilvl w:val="0"/>
          <w:numId w:val="147"/>
        </w:numPr>
      </w:pPr>
      <w:r>
        <w:rPr>
          <w:rStyle w:val="soitChar"/>
        </w:rPr>
        <w:t xml:space="preserve">Rails encastrés au sol et en tête : </w:t>
      </w:r>
      <w:r>
        <w:rPr>
          <w:rStyle w:val="optioncarChar"/>
        </w:rPr>
        <w:t>2</w:t>
      </w:r>
      <w:r>
        <w:t xml:space="preserve"> (par défaut)</w:t>
      </w:r>
      <w:r>
        <w:rPr>
          <w:rStyle w:val="optioncarChar"/>
        </w:rPr>
        <w:t xml:space="preserve"> / 3 / 4</w:t>
      </w:r>
    </w:p>
    <w:p w14:paraId="486067F8" w14:textId="77777777" w:rsidR="00772179" w:rsidRDefault="00000000">
      <w:pPr>
        <w:pStyle w:val="Author-eListParagraph"/>
        <w:numPr>
          <w:ilvl w:val="0"/>
          <w:numId w:val="147"/>
        </w:numPr>
      </w:pPr>
      <w:r>
        <w:rPr>
          <w:rStyle w:val="soitChar"/>
        </w:rPr>
        <w:t xml:space="preserve">Coulissant dans : </w:t>
      </w:r>
      <w:r>
        <w:rPr>
          <w:rStyle w:val="optioncarChar"/>
        </w:rPr>
        <w:t>1 direction</w:t>
      </w:r>
      <w:r>
        <w:t xml:space="preserve"> (par défaut)</w:t>
      </w:r>
      <w:r>
        <w:rPr>
          <w:rStyle w:val="optioncarChar"/>
        </w:rPr>
        <w:t xml:space="preserve"> / 2 directions</w:t>
      </w:r>
    </w:p>
    <w:p w14:paraId="358169C4" w14:textId="77777777" w:rsidR="00772179" w:rsidRDefault="00000000">
      <w:pPr>
        <w:pStyle w:val="Author-eListParagraph"/>
        <w:numPr>
          <w:ilvl w:val="0"/>
          <w:numId w:val="147"/>
        </w:numPr>
      </w:pPr>
      <w:r>
        <w:rPr>
          <w:rStyle w:val="soitChar"/>
        </w:rPr>
        <w:t xml:space="preserve">Seuil affleurant : </w:t>
      </w:r>
      <w:r>
        <w:rPr>
          <w:rStyle w:val="optioncarChar"/>
        </w:rPr>
        <w:t xml:space="preserve">oui </w:t>
      </w:r>
      <w:r>
        <w:t>(par défaut)</w:t>
      </w:r>
      <w:r>
        <w:rPr>
          <w:rStyle w:val="optioncarChar"/>
        </w:rPr>
        <w:t xml:space="preserve"> / non</w:t>
      </w:r>
    </w:p>
    <w:p w14:paraId="40C3416B" w14:textId="77777777" w:rsidR="00772179" w:rsidRDefault="00000000">
      <w:pPr>
        <w:pStyle w:val="Author-eListParagraph"/>
        <w:numPr>
          <w:ilvl w:val="0"/>
          <w:numId w:val="147"/>
        </w:numPr>
      </w:pPr>
      <w:r>
        <w:rPr>
          <w:rStyle w:val="soitChar"/>
        </w:rPr>
        <w:t xml:space="preserve">Fonctionnement : </w:t>
      </w:r>
      <w:r>
        <w:rPr>
          <w:rStyle w:val="optioncarChar"/>
        </w:rPr>
        <w:t xml:space="preserve">manuel </w:t>
      </w:r>
      <w:r>
        <w:t xml:space="preserve">(par défaut) </w:t>
      </w:r>
      <w:r>
        <w:rPr>
          <w:rStyle w:val="optioncarChar"/>
        </w:rPr>
        <w:t>/ motorisé avec commande intérieure</w:t>
      </w:r>
    </w:p>
    <w:p w14:paraId="1DB18F13" w14:textId="77777777" w:rsidR="00772179" w:rsidRDefault="00000000">
      <w:pPr>
        <w:pStyle w:val="Author-eListParagraph"/>
        <w:numPr>
          <w:ilvl w:val="0"/>
          <w:numId w:val="147"/>
        </w:numPr>
      </w:pPr>
      <w:r>
        <w:rPr>
          <w:rStyle w:val="soitChar"/>
        </w:rPr>
        <w:t>Verrouillage :</w:t>
      </w:r>
      <w:r>
        <w:rPr>
          <w:rStyle w:val="optioncarChar"/>
        </w:rPr>
        <w:t xml:space="preserve"> multipoint </w:t>
      </w:r>
      <w:r>
        <w:t xml:space="preserve">(par défaut) </w:t>
      </w:r>
      <w:r>
        <w:rPr>
          <w:rStyle w:val="optioncarChar"/>
        </w:rPr>
        <w:t>/ ***</w:t>
      </w:r>
    </w:p>
    <w:p w14:paraId="3FCA8047" w14:textId="77777777" w:rsidR="00772179" w:rsidRDefault="00000000">
      <w:pPr>
        <w:jc w:val="both"/>
      </w:pPr>
      <w:r>
        <w:rPr>
          <w:b/>
        </w:rPr>
        <w:t>(soit)</w:t>
      </w:r>
    </w:p>
    <w:p w14:paraId="56A7FC5B" w14:textId="77777777" w:rsidR="00772179" w:rsidRDefault="00000000">
      <w:pPr>
        <w:jc w:val="both"/>
      </w:pPr>
      <w:r>
        <w:rPr>
          <w:rStyle w:val="soitChar"/>
          <w:u w:val="single"/>
        </w:rPr>
        <w:t>Sur pivot :</w:t>
      </w:r>
    </w:p>
    <w:p w14:paraId="058923BA" w14:textId="77777777" w:rsidR="00772179" w:rsidRDefault="00000000">
      <w:pPr>
        <w:pStyle w:val="Author-eListParagraph"/>
        <w:numPr>
          <w:ilvl w:val="0"/>
          <w:numId w:val="148"/>
        </w:numPr>
      </w:pPr>
      <w:r>
        <w:rPr>
          <w:rStyle w:val="soitChar"/>
        </w:rPr>
        <w:t xml:space="preserve">Profilés verticaux largeur visible de face ± : </w:t>
      </w:r>
      <w:r>
        <w:rPr>
          <w:rStyle w:val="optioncarChar"/>
        </w:rPr>
        <w:t>25 / 35</w:t>
      </w:r>
      <w:r>
        <w:t xml:space="preserve"> (par défaut)</w:t>
      </w:r>
      <w:r>
        <w:rPr>
          <w:rStyle w:val="optioncarChar"/>
        </w:rPr>
        <w:t xml:space="preserve"> / ***</w:t>
      </w:r>
      <w:r>
        <w:rPr>
          <w:rStyle w:val="soitChar"/>
        </w:rPr>
        <w:t xml:space="preserve"> mm</w:t>
      </w:r>
    </w:p>
    <w:p w14:paraId="792C42ED" w14:textId="77777777" w:rsidR="00772179" w:rsidRDefault="00000000">
      <w:pPr>
        <w:pStyle w:val="Author-eListParagraph"/>
        <w:numPr>
          <w:ilvl w:val="0"/>
          <w:numId w:val="148"/>
        </w:numPr>
      </w:pPr>
      <w:r>
        <w:rPr>
          <w:rStyle w:val="soitChar"/>
        </w:rPr>
        <w:t xml:space="preserve">Seuil affleurant : </w:t>
      </w:r>
      <w:r>
        <w:rPr>
          <w:rStyle w:val="optioncarChar"/>
        </w:rPr>
        <w:t xml:space="preserve">oui </w:t>
      </w:r>
      <w:r>
        <w:t xml:space="preserve">(par défaut) </w:t>
      </w:r>
      <w:r>
        <w:rPr>
          <w:rStyle w:val="optioncarChar"/>
        </w:rPr>
        <w:t>/ non</w:t>
      </w:r>
    </w:p>
    <w:p w14:paraId="32106C51" w14:textId="77777777" w:rsidR="00772179" w:rsidRDefault="00000000">
      <w:pPr>
        <w:pStyle w:val="Author-eListParagraph"/>
        <w:numPr>
          <w:ilvl w:val="0"/>
          <w:numId w:val="148"/>
        </w:numPr>
      </w:pPr>
      <w:r>
        <w:rPr>
          <w:rStyle w:val="soitChar"/>
        </w:rPr>
        <w:t xml:space="preserve">Fonctionnement : </w:t>
      </w:r>
      <w:r>
        <w:rPr>
          <w:rStyle w:val="optioncarChar"/>
        </w:rPr>
        <w:t xml:space="preserve">manuel </w:t>
      </w:r>
      <w:r>
        <w:t>(par défaut)</w:t>
      </w:r>
      <w:r>
        <w:rPr>
          <w:rStyle w:val="optioncarChar"/>
        </w:rPr>
        <w:t xml:space="preserve"> / motorisé</w:t>
      </w:r>
    </w:p>
    <w:p w14:paraId="3B1840C2" w14:textId="77777777" w:rsidR="00772179" w:rsidRDefault="00000000">
      <w:pPr>
        <w:jc w:val="both"/>
      </w:pPr>
      <w:r>
        <w:rPr>
          <w:b/>
        </w:rPr>
        <w:t>Vitrage suivant :</w:t>
      </w:r>
      <w:r>
        <w:t xml:space="preserve">  </w:t>
      </w:r>
      <w:hyperlink w:anchor="892" w:history="1">
        <w:r>
          <w:rPr>
            <w:color w:val="0000EE"/>
          </w:rPr>
          <w:t>42.2 Vitrages multiples</w:t>
        </w:r>
      </w:hyperlink>
    </w:p>
    <w:p w14:paraId="2C792A72" w14:textId="77777777" w:rsidR="00772179" w:rsidRDefault="00000000">
      <w:pPr>
        <w:pStyle w:val="Author-eListParagraph"/>
        <w:numPr>
          <w:ilvl w:val="0"/>
          <w:numId w:val="149"/>
        </w:numPr>
      </w:pPr>
      <w:r>
        <w:t xml:space="preserve">Vitrage : </w:t>
      </w:r>
      <w:r>
        <w:rPr>
          <w:rStyle w:val="optioncarChar"/>
        </w:rPr>
        <w:t>double-Gaz (cfr </w:t>
      </w:r>
      <w:hyperlink w:anchor="878" w:history="1">
        <w:r>
          <w:rPr>
            <w:rStyle w:val="optioncarChar"/>
            <w:color w:val="0000EE"/>
          </w:rPr>
          <w:t>42.22.1a Vitrages doubles - Gaz</w:t>
        </w:r>
      </w:hyperlink>
      <w:r>
        <w:rPr>
          <w:rStyle w:val="optioncarChar"/>
        </w:rPr>
        <w:t>) </w:t>
      </w:r>
      <w:r>
        <w:t>(par défaut)</w:t>
      </w:r>
      <w:r>
        <w:rPr>
          <w:rStyle w:val="optioncarChar"/>
        </w:rPr>
        <w:t> / triple-Gaz (cfr </w:t>
      </w:r>
      <w:hyperlink w:anchor="879" w:history="1">
        <w:r>
          <w:rPr>
            <w:rStyle w:val="optioncarChar"/>
            <w:color w:val="0000EE"/>
          </w:rPr>
          <w:t>42.22.2a Vitrages triples - Gaz</w:t>
        </w:r>
      </w:hyperlink>
      <w:r>
        <w:rPr>
          <w:rStyle w:val="optioncarChar"/>
        </w:rPr>
        <w:t>)</w:t>
      </w:r>
    </w:p>
    <w:p w14:paraId="3F5E1455" w14:textId="77777777" w:rsidR="00772179" w:rsidRDefault="00000000">
      <w:pPr>
        <w:pStyle w:val="Author-eListParagraph"/>
        <w:numPr>
          <w:ilvl w:val="0"/>
          <w:numId w:val="149"/>
        </w:numPr>
      </w:pPr>
      <w:r>
        <w:t>Résistance thermique U</w:t>
      </w:r>
      <w:r>
        <w:rPr>
          <w:vertAlign w:val="subscript"/>
        </w:rPr>
        <w:t>g</w:t>
      </w:r>
      <w:r>
        <w:t xml:space="preserve"> : </w:t>
      </w:r>
      <w:r>
        <w:rPr>
          <w:rStyle w:val="optioncarChar"/>
        </w:rPr>
        <w:t xml:space="preserve">1,0 </w:t>
      </w:r>
      <w:r>
        <w:t>(par défaut)</w:t>
      </w:r>
      <w:r>
        <w:rPr>
          <w:rStyle w:val="optioncarChar"/>
        </w:rPr>
        <w:t xml:space="preserve"> / 1,1 / 0,6 / 0,5 / ***</w:t>
      </w:r>
      <w:r>
        <w:t xml:space="preserve"> W/m²K</w:t>
      </w:r>
    </w:p>
    <w:p w14:paraId="173ECE35" w14:textId="77777777" w:rsidR="00772179" w:rsidRDefault="00000000">
      <w:pPr>
        <w:pStyle w:val="Author-eListParagraph"/>
        <w:numPr>
          <w:ilvl w:val="0"/>
          <w:numId w:val="149"/>
        </w:numPr>
      </w:pPr>
      <w:r>
        <w:t xml:space="preserve">Facteur solaire : </w:t>
      </w:r>
      <w:r>
        <w:rPr>
          <w:rStyle w:val="optioncarChar"/>
        </w:rPr>
        <w:t>***</w:t>
      </w:r>
    </w:p>
    <w:p w14:paraId="5F798C1D" w14:textId="77777777" w:rsidR="00772179" w:rsidRDefault="00000000">
      <w:pPr>
        <w:pStyle w:val="Author-eListParagraph"/>
        <w:numPr>
          <w:ilvl w:val="0"/>
          <w:numId w:val="149"/>
        </w:numPr>
      </w:pPr>
      <w:r>
        <w:t xml:space="preserve">Sécurité des personnes [NBN S 23-002 série] : </w:t>
      </w:r>
      <w:r>
        <w:rPr>
          <w:rStyle w:val="optioncarChar"/>
        </w:rPr>
        <w:t xml:space="preserve">suivant indications sur les vues de façades </w:t>
      </w:r>
      <w:r>
        <w:t>(par défaut)</w:t>
      </w:r>
      <w:r>
        <w:rPr>
          <w:rStyle w:val="optioncarChar"/>
        </w:rPr>
        <w:t xml:space="preserve"> / ***</w:t>
      </w:r>
    </w:p>
    <w:p w14:paraId="55010B9A" w14:textId="77777777" w:rsidR="00772179" w:rsidRDefault="00000000">
      <w:pPr>
        <w:pStyle w:val="Author-eListParagraph"/>
        <w:numPr>
          <w:ilvl w:val="0"/>
          <w:numId w:val="149"/>
        </w:numPr>
      </w:pPr>
      <w:r>
        <w:t>Dimensionnement du vitrage par le fabricant, la note de calcul est présentée pour approbation à la direction des travaux.</w:t>
      </w:r>
    </w:p>
    <w:p w14:paraId="2426EF55" w14:textId="77777777" w:rsidR="00772179" w:rsidRDefault="00000000">
      <w:pPr>
        <w:jc w:val="both"/>
      </w:pPr>
      <w:r>
        <w:rPr>
          <w:b/>
        </w:rPr>
        <w:t>Quincaillerie suivant :</w:t>
      </w:r>
      <w:r>
        <w:t xml:space="preserve">  </w:t>
      </w:r>
      <w:hyperlink w:anchor="884" w:history="1">
        <w:r>
          <w:rPr>
            <w:color w:val="0000EE"/>
          </w:rPr>
          <w:t>41.72 Quincailleries</w:t>
        </w:r>
      </w:hyperlink>
      <w:r>
        <w:t>Verrouillage multipoints :</w:t>
      </w:r>
    </w:p>
    <w:p w14:paraId="04B8684C" w14:textId="77777777" w:rsidR="00772179" w:rsidRDefault="00000000">
      <w:pPr>
        <w:pStyle w:val="Author-eListParagraph"/>
        <w:numPr>
          <w:ilvl w:val="0"/>
          <w:numId w:val="150"/>
        </w:numPr>
        <w:jc w:val="both"/>
      </w:pPr>
      <w:r>
        <w:t xml:space="preserve">Poignée de verrouillage avec bouton poussoir de même finition que la fenêtre : </w:t>
      </w:r>
      <w:r>
        <w:rPr>
          <w:rStyle w:val="optioncarChar"/>
        </w:rPr>
        <w:t>oui / non</w:t>
      </w:r>
    </w:p>
    <w:p w14:paraId="3185EBF9" w14:textId="77777777" w:rsidR="00772179" w:rsidRDefault="00000000">
      <w:pPr>
        <w:pStyle w:val="Author-eListParagraph"/>
        <w:numPr>
          <w:ilvl w:val="0"/>
          <w:numId w:val="150"/>
        </w:numPr>
        <w:jc w:val="both"/>
      </w:pPr>
      <w:r>
        <w:t xml:space="preserve">Verrou à entailler avec poignée et douille de sol de même finition que les profilés de la porte-fenêtre : </w:t>
      </w:r>
      <w:r>
        <w:rPr>
          <w:rStyle w:val="optioncarChar"/>
        </w:rPr>
        <w:t>oui / non</w:t>
      </w:r>
    </w:p>
    <w:p w14:paraId="79BA8A6B" w14:textId="77777777" w:rsidR="00772179" w:rsidRDefault="00000000">
      <w:pPr>
        <w:pStyle w:val="Author-eListParagraph"/>
        <w:numPr>
          <w:ilvl w:val="0"/>
          <w:numId w:val="150"/>
        </w:numPr>
        <w:jc w:val="both"/>
      </w:pPr>
      <w:r>
        <w:t xml:space="preserve">Serrure à cylindre côté intérieur : </w:t>
      </w:r>
      <w:r>
        <w:rPr>
          <w:rStyle w:val="optioncarChar"/>
        </w:rPr>
        <w:t>oui / non</w:t>
      </w:r>
    </w:p>
    <w:p w14:paraId="045D1858" w14:textId="77777777" w:rsidR="00772179" w:rsidRDefault="00000000">
      <w:pPr>
        <w:pStyle w:val="pheading"/>
      </w:pPr>
      <w:r>
        <w:t>- Finitions</w:t>
      </w:r>
    </w:p>
    <w:p w14:paraId="027BA9FC" w14:textId="77777777" w:rsidR="00772179" w:rsidRDefault="00000000">
      <w:pPr>
        <w:jc w:val="both"/>
      </w:pPr>
      <w:r>
        <w:t xml:space="preserve">Aluminium : </w:t>
      </w:r>
      <w:r>
        <w:rPr>
          <w:rStyle w:val="optioncarChar"/>
        </w:rPr>
        <w:t>thermolaqué</w:t>
      </w:r>
      <w:r>
        <w:t xml:space="preserve"> (par défaut)</w:t>
      </w:r>
      <w:r>
        <w:rPr>
          <w:rStyle w:val="optioncarChar"/>
        </w:rPr>
        <w:t xml:space="preserve"> / anodisé</w:t>
      </w:r>
    </w:p>
    <w:p w14:paraId="5D34DCFF" w14:textId="77777777" w:rsidR="00772179" w:rsidRDefault="00000000">
      <w:pPr>
        <w:jc w:val="both"/>
      </w:pPr>
      <w:r>
        <w:rPr>
          <w:b/>
        </w:rPr>
        <w:t>(soit par défaut)</w:t>
      </w:r>
    </w:p>
    <w:p w14:paraId="500F022C" w14:textId="77777777" w:rsidR="00772179" w:rsidRDefault="00000000">
      <w:pPr>
        <w:jc w:val="both"/>
      </w:pPr>
      <w:r>
        <w:rPr>
          <w:rStyle w:val="soitChar"/>
          <w:u w:val="single"/>
        </w:rPr>
        <w:t>Thermolaqué :</w:t>
      </w:r>
    </w:p>
    <w:p w14:paraId="6AD3332A" w14:textId="77777777" w:rsidR="00772179" w:rsidRDefault="00000000">
      <w:pPr>
        <w:pStyle w:val="Author-eListParagraph"/>
        <w:numPr>
          <w:ilvl w:val="0"/>
          <w:numId w:val="151"/>
        </w:numPr>
      </w:pPr>
      <w:r>
        <w:rPr>
          <w:rStyle w:val="soitChar"/>
        </w:rPr>
        <w:t xml:space="preserve">Degré de brillance : </w:t>
      </w:r>
      <w:r>
        <w:rPr>
          <w:rStyle w:val="optioncarChar"/>
        </w:rPr>
        <w:t xml:space="preserve">mat / satiné </w:t>
      </w:r>
      <w:r>
        <w:t>(par défaut)</w:t>
      </w:r>
      <w:r>
        <w:rPr>
          <w:rStyle w:val="optioncarChar"/>
        </w:rPr>
        <w:t xml:space="preserve"> / brillant</w:t>
      </w:r>
    </w:p>
    <w:p w14:paraId="435EC2A6" w14:textId="77777777" w:rsidR="00772179" w:rsidRDefault="00000000">
      <w:pPr>
        <w:pStyle w:val="Author-eListParagraph"/>
        <w:numPr>
          <w:ilvl w:val="0"/>
          <w:numId w:val="151"/>
        </w:numPr>
      </w:pPr>
      <w:r>
        <w:rPr>
          <w:rStyle w:val="soitChar"/>
        </w:rPr>
        <w:t xml:space="preserve">Bicolore : </w:t>
      </w:r>
      <w:r>
        <w:rPr>
          <w:rStyle w:val="optioncarChar"/>
        </w:rPr>
        <w:t xml:space="preserve">non </w:t>
      </w:r>
      <w:r>
        <w:t>(par défaut)</w:t>
      </w:r>
      <w:r>
        <w:rPr>
          <w:rStyle w:val="optioncarChar"/>
        </w:rPr>
        <w:t xml:space="preserve"> / oui</w:t>
      </w:r>
    </w:p>
    <w:p w14:paraId="255E45D4" w14:textId="77777777" w:rsidR="00772179" w:rsidRDefault="00000000">
      <w:pPr>
        <w:ind w:left="567"/>
        <w:jc w:val="both"/>
      </w:pPr>
      <w:r>
        <w:rPr>
          <w:b/>
        </w:rPr>
        <w:t>(soit par défaut)</w:t>
      </w:r>
    </w:p>
    <w:p w14:paraId="2CA9A298" w14:textId="77777777" w:rsidR="00772179" w:rsidRDefault="00000000">
      <w:pPr>
        <w:ind w:left="567"/>
        <w:jc w:val="both"/>
      </w:pPr>
      <w:r>
        <w:rPr>
          <w:rStyle w:val="soitChar"/>
          <w:u w:val="single"/>
        </w:rPr>
        <w:t>Non :</w:t>
      </w:r>
      <w:r>
        <w:rPr>
          <w:rStyle w:val="soitChar"/>
        </w:rPr>
        <w:t xml:space="preserve"> teinte : </w:t>
      </w:r>
      <w:r>
        <w:rPr>
          <w:rStyle w:val="optioncarChar"/>
        </w:rPr>
        <w:t>***</w:t>
      </w:r>
    </w:p>
    <w:p w14:paraId="02CF6D20" w14:textId="77777777" w:rsidR="00772179" w:rsidRDefault="00000000">
      <w:pPr>
        <w:ind w:left="567"/>
        <w:jc w:val="both"/>
      </w:pPr>
      <w:r>
        <w:rPr>
          <w:b/>
        </w:rPr>
        <w:t>(soit)</w:t>
      </w:r>
    </w:p>
    <w:p w14:paraId="6A9A182C" w14:textId="77777777" w:rsidR="00772179" w:rsidRDefault="00000000">
      <w:pPr>
        <w:ind w:left="567"/>
        <w:jc w:val="both"/>
      </w:pPr>
      <w:r>
        <w:rPr>
          <w:rStyle w:val="soitChar"/>
          <w:u w:val="single"/>
        </w:rPr>
        <w:t>Oui :</w:t>
      </w:r>
    </w:p>
    <w:p w14:paraId="349E4EFE" w14:textId="77777777" w:rsidR="00772179" w:rsidRDefault="00000000">
      <w:pPr>
        <w:pStyle w:val="Author-eListParagraph"/>
        <w:numPr>
          <w:ilvl w:val="0"/>
          <w:numId w:val="152"/>
        </w:numPr>
      </w:pPr>
      <w:r>
        <w:rPr>
          <w:rStyle w:val="soitChar"/>
        </w:rPr>
        <w:t xml:space="preserve">Teinte extérieure : </w:t>
      </w:r>
      <w:r>
        <w:rPr>
          <w:rStyle w:val="optioncarChar"/>
        </w:rPr>
        <w:t>***</w:t>
      </w:r>
    </w:p>
    <w:p w14:paraId="38492C2F" w14:textId="77777777" w:rsidR="00772179" w:rsidRDefault="00000000">
      <w:pPr>
        <w:pStyle w:val="Author-eListParagraph"/>
        <w:numPr>
          <w:ilvl w:val="0"/>
          <w:numId w:val="152"/>
        </w:numPr>
      </w:pPr>
      <w:r>
        <w:rPr>
          <w:rStyle w:val="soitChar"/>
        </w:rPr>
        <w:t xml:space="preserve">Teinte intérieure : </w:t>
      </w:r>
      <w:r>
        <w:rPr>
          <w:rStyle w:val="optioncarChar"/>
        </w:rPr>
        <w:t>***</w:t>
      </w:r>
    </w:p>
    <w:p w14:paraId="6A30CC9B" w14:textId="77777777" w:rsidR="00772179" w:rsidRDefault="00000000">
      <w:pPr>
        <w:jc w:val="both"/>
      </w:pPr>
      <w:r>
        <w:rPr>
          <w:b/>
        </w:rPr>
        <w:t>(soit)</w:t>
      </w:r>
    </w:p>
    <w:p w14:paraId="6D2645B9" w14:textId="77777777" w:rsidR="00772179" w:rsidRDefault="00000000">
      <w:pPr>
        <w:jc w:val="both"/>
      </w:pPr>
      <w:r>
        <w:rPr>
          <w:rStyle w:val="soitChar"/>
          <w:u w:val="single"/>
        </w:rPr>
        <w:t>Anodisé :</w:t>
      </w:r>
    </w:p>
    <w:p w14:paraId="704DCE3A" w14:textId="77777777" w:rsidR="00772179" w:rsidRDefault="00000000">
      <w:pPr>
        <w:pStyle w:val="Author-eListParagraph"/>
        <w:numPr>
          <w:ilvl w:val="0"/>
          <w:numId w:val="153"/>
        </w:numPr>
      </w:pPr>
      <w:r>
        <w:rPr>
          <w:rStyle w:val="soitChar"/>
        </w:rPr>
        <w:t xml:space="preserve">Bicolore : </w:t>
      </w:r>
      <w:r>
        <w:rPr>
          <w:rStyle w:val="optioncarChar"/>
        </w:rPr>
        <w:t xml:space="preserve">non </w:t>
      </w:r>
      <w:r>
        <w:t>(par défaut)</w:t>
      </w:r>
      <w:r>
        <w:rPr>
          <w:rStyle w:val="optioncarChar"/>
        </w:rPr>
        <w:t xml:space="preserve"> / oui</w:t>
      </w:r>
    </w:p>
    <w:p w14:paraId="73ED895E" w14:textId="77777777" w:rsidR="00772179" w:rsidRDefault="00000000">
      <w:pPr>
        <w:ind w:left="567"/>
        <w:jc w:val="both"/>
      </w:pPr>
      <w:r>
        <w:rPr>
          <w:b/>
        </w:rPr>
        <w:lastRenderedPageBreak/>
        <w:t>(soit par défaut)</w:t>
      </w:r>
    </w:p>
    <w:p w14:paraId="7ABBD68D" w14:textId="77777777" w:rsidR="00772179" w:rsidRDefault="00000000">
      <w:pPr>
        <w:ind w:left="567"/>
        <w:jc w:val="both"/>
      </w:pPr>
      <w:r>
        <w:rPr>
          <w:rStyle w:val="soitChar"/>
          <w:u w:val="single"/>
        </w:rPr>
        <w:t>Non :</w:t>
      </w:r>
      <w:r>
        <w:rPr>
          <w:rStyle w:val="soitChar"/>
        </w:rPr>
        <w:t xml:space="preserve"> teinte : </w:t>
      </w:r>
      <w:r>
        <w:rPr>
          <w:rStyle w:val="optioncarChar"/>
        </w:rPr>
        <w:t>bronze clair / bronze moyen / bronze foncé / noir / rouge / champagne / gris violet / bleu vert / rouge bordeaux / ***</w:t>
      </w:r>
    </w:p>
    <w:p w14:paraId="1322E5B9" w14:textId="77777777" w:rsidR="00772179" w:rsidRDefault="00000000">
      <w:pPr>
        <w:ind w:left="567"/>
        <w:jc w:val="both"/>
      </w:pPr>
      <w:r>
        <w:rPr>
          <w:b/>
        </w:rPr>
        <w:t>(soit)</w:t>
      </w:r>
    </w:p>
    <w:p w14:paraId="3CD39F7B" w14:textId="77777777" w:rsidR="00772179" w:rsidRDefault="00000000">
      <w:pPr>
        <w:ind w:left="567"/>
        <w:jc w:val="both"/>
      </w:pPr>
      <w:r>
        <w:rPr>
          <w:rStyle w:val="soitChar"/>
          <w:u w:val="single"/>
        </w:rPr>
        <w:t>Oui :</w:t>
      </w:r>
    </w:p>
    <w:p w14:paraId="1D9A1125" w14:textId="77777777" w:rsidR="00772179" w:rsidRDefault="00000000">
      <w:pPr>
        <w:pStyle w:val="Author-eListParagraph"/>
        <w:numPr>
          <w:ilvl w:val="0"/>
          <w:numId w:val="154"/>
        </w:numPr>
        <w:jc w:val="both"/>
      </w:pPr>
      <w:r>
        <w:rPr>
          <w:rStyle w:val="soitChar"/>
        </w:rPr>
        <w:t>Teinte extérieure :</w:t>
      </w:r>
      <w:r>
        <w:rPr>
          <w:rStyle w:val="optioncarChar"/>
        </w:rPr>
        <w:t xml:space="preserve"> bronze clair / bronze moyen / bronze foncé / noir / rouge / champagne / gris violet / bleu vert / rouge bordeaux / ***</w:t>
      </w:r>
    </w:p>
    <w:p w14:paraId="3A907BA7" w14:textId="77777777" w:rsidR="00772179" w:rsidRDefault="00000000">
      <w:pPr>
        <w:pStyle w:val="Author-eListParagraph"/>
        <w:numPr>
          <w:ilvl w:val="0"/>
          <w:numId w:val="154"/>
        </w:numPr>
        <w:jc w:val="both"/>
      </w:pPr>
      <w:r>
        <w:rPr>
          <w:rStyle w:val="soitChar"/>
        </w:rPr>
        <w:t xml:space="preserve">Teinte intérieure : </w:t>
      </w:r>
      <w:r>
        <w:rPr>
          <w:rStyle w:val="optioncarChar"/>
        </w:rPr>
        <w:t>bronze clair / bronze moyen / bronze foncé / noir / rouge / champagne / gris violet / bleu vert / rouge bordeaux / ***</w:t>
      </w:r>
    </w:p>
    <w:p w14:paraId="53E48CE2" w14:textId="77777777" w:rsidR="00772179" w:rsidRDefault="00000000">
      <w:pPr>
        <w:pStyle w:val="pheading"/>
      </w:pPr>
      <w:r>
        <w:t>EXÉCUTION / MISE EN ŒUVRE</w:t>
      </w:r>
    </w:p>
    <w:p w14:paraId="01FDA46E" w14:textId="77777777" w:rsidR="00772179" w:rsidRDefault="00000000">
      <w:pPr>
        <w:pStyle w:val="pheading"/>
      </w:pPr>
      <w:r>
        <w:t>- Prescriptions générales</w:t>
      </w:r>
    </w:p>
    <w:p w14:paraId="7A99B9C5" w14:textId="77777777" w:rsidR="00772179" w:rsidRDefault="00000000">
      <w:pPr>
        <w:jc w:val="both"/>
      </w:pPr>
      <w:r>
        <w:t>Les moyens de fixation permettent le réglage en fonction de la tolérance sur le gros œuvre.</w:t>
      </w:r>
    </w:p>
    <w:p w14:paraId="7678A20B" w14:textId="77777777" w:rsidR="00772179" w:rsidRDefault="00000000">
      <w:pPr>
        <w:jc w:val="both"/>
      </w:pPr>
      <w:r>
        <w:t>Tous les raccords avec les éléments de gros œuvre et parachèvements adjacents sont détaillés dans les plans d’exécution des fenêtres dans le respect des exigences thermiques (nœuds constructifs conformes) et acoustiques.</w:t>
      </w:r>
    </w:p>
    <w:p w14:paraId="0CED6AEC" w14:textId="77777777" w:rsidR="00772179" w:rsidRDefault="00000000">
      <w:pPr>
        <w:jc w:val="both"/>
      </w:pPr>
      <w:r>
        <w:t xml:space="preserve">La continuité de l’isolation est réalisée au moyen d’un </w:t>
      </w:r>
      <w:r>
        <w:rPr>
          <w:rStyle w:val="optioncarChar"/>
        </w:rPr>
        <w:t xml:space="preserve">isolant injecté </w:t>
      </w:r>
      <w:r>
        <w:t>(par défaut)</w:t>
      </w:r>
      <w:r>
        <w:rPr>
          <w:rStyle w:val="optioncarChar"/>
        </w:rPr>
        <w:t xml:space="preserve"> / ***</w:t>
      </w:r>
    </w:p>
    <w:p w14:paraId="0B2B9B02" w14:textId="77777777" w:rsidR="00772179" w:rsidRDefault="00000000">
      <w:pPr>
        <w:jc w:val="both"/>
      </w:pPr>
      <w:r>
        <w:t xml:space="preserve">La continuité de l’étanchéité à l’air est réalisée au moyen d’une membrane collée au dormant et </w:t>
      </w:r>
      <w:r>
        <w:rPr>
          <w:rStyle w:val="optioncarChar"/>
        </w:rPr>
        <w:t>collée au gros œuvre / noyée dans l’enduit intérieur.</w:t>
      </w:r>
    </w:p>
    <w:p w14:paraId="22E642D7" w14:textId="77777777" w:rsidR="00772179" w:rsidRDefault="00000000">
      <w:pPr>
        <w:jc w:val="both"/>
      </w:pPr>
      <w:r>
        <w:t>Étanchéité à l’eau : la membrane d’étanchéité en pied de châssis est compatible avec l’étanchéité décrite sous 34.2 Etanchéités.</w:t>
      </w:r>
    </w:p>
    <w:p w14:paraId="769F04E6" w14:textId="77777777" w:rsidR="00772179" w:rsidRDefault="00000000">
      <w:pPr>
        <w:pStyle w:val="pheading"/>
      </w:pPr>
      <w:r>
        <w:t>DOCUMENTS DE RÉFÉRENCE COMPLÉMENTAIRES</w:t>
      </w:r>
    </w:p>
    <w:p w14:paraId="4D8BE0BE" w14:textId="77777777" w:rsidR="00772179" w:rsidRDefault="00000000">
      <w:pPr>
        <w:pStyle w:val="pheading"/>
      </w:pPr>
      <w:r>
        <w:t>- Matériau</w:t>
      </w:r>
    </w:p>
    <w:p w14:paraId="0A39B62A" w14:textId="77777777" w:rsidR="00772179" w:rsidRDefault="00000000">
      <w:r>
        <w:t>[NBN EN 1627, Blocs-portes pour piétons, fenêtres, façades rideaux, grilles et fermetures - Résistance à l'effraction - Prescriptions et classification] </w:t>
      </w:r>
    </w:p>
    <w:p w14:paraId="630E1444" w14:textId="77777777" w:rsidR="00772179" w:rsidRDefault="00000000">
      <w:r>
        <w:t>[NBN EN 12207, Fenêtres et portes - Perméabilité à l'air - Classification] </w:t>
      </w:r>
    </w:p>
    <w:p w14:paraId="2E2C5895" w14:textId="77777777" w:rsidR="00772179" w:rsidRDefault="00000000">
      <w:r>
        <w:t>[NBN EN 12208, Fenêtres et portes - Perméabilité à l'eau - Classification]</w:t>
      </w:r>
    </w:p>
    <w:p w14:paraId="764F2AD6" w14:textId="77777777" w:rsidR="00772179" w:rsidRDefault="00000000">
      <w:r>
        <w:t>[NBN EN 12210, Fenêtres et portes - Résistance au vent - Classification]</w:t>
      </w:r>
    </w:p>
    <w:p w14:paraId="562B445C" w14:textId="77777777" w:rsidR="00772179" w:rsidRDefault="00000000">
      <w:r>
        <w:t>[NBN EN 13115, Fenêtres - Classification des propriétés mécaniques - Charge verticale, torsion et efforts de manoeuvre]</w:t>
      </w:r>
    </w:p>
    <w:p w14:paraId="54EA578F" w14:textId="77777777" w:rsidR="00772179" w:rsidRDefault="00000000">
      <w:r>
        <w:t>[NBN B 25-002-1, Menuiserie extérieure - Partie 1: Prescription des performances générales – Fenêtres et façades rideaux]</w:t>
      </w:r>
    </w:p>
    <w:p w14:paraId="3D2DF67F" w14:textId="77777777" w:rsidR="00772179" w:rsidRDefault="00000000">
      <w:pPr>
        <w:pStyle w:val="pheading"/>
      </w:pPr>
      <w:r>
        <w:t>- Exécution</w:t>
      </w:r>
    </w:p>
    <w:p w14:paraId="27562F0B" w14:textId="77777777" w:rsidR="00772179" w:rsidRDefault="00000000">
      <w:r>
        <w:t>[NIT 255, L'étanchéité à l'air des bâtiments]</w:t>
      </w:r>
    </w:p>
    <w:p w14:paraId="305788B9" w14:textId="77777777" w:rsidR="00772179" w:rsidRDefault="00000000">
      <w:r>
        <w:t>[NIT 283, La pose des menuiseries extérieures. Partie 1 : aspects généraux.]</w:t>
      </w:r>
    </w:p>
    <w:p w14:paraId="2924DEE0" w14:textId="77777777" w:rsidR="00772179" w:rsidRDefault="00000000">
      <w:pPr>
        <w:pStyle w:val="pheading"/>
      </w:pPr>
      <w:r>
        <w:t>MESURAGE</w:t>
      </w:r>
    </w:p>
    <w:p w14:paraId="0686FDA9" w14:textId="77777777" w:rsidR="00772179" w:rsidRDefault="00000000">
      <w:pPr>
        <w:pStyle w:val="pheading"/>
      </w:pPr>
      <w:r>
        <w:t>- unité de mesure:</w:t>
      </w:r>
    </w:p>
    <w:p w14:paraId="03BDFE69" w14:textId="77777777" w:rsidR="00772179" w:rsidRDefault="00000000">
      <w:r>
        <w:t>m² ; m</w:t>
      </w:r>
    </w:p>
    <w:p w14:paraId="2AD5B699" w14:textId="77777777" w:rsidR="00772179" w:rsidRDefault="00000000">
      <w:pPr>
        <w:pStyle w:val="pheading"/>
      </w:pPr>
      <w:r>
        <w:t>- code de mesurage:</w:t>
      </w:r>
    </w:p>
    <w:p w14:paraId="63CAC4C0" w14:textId="77777777" w:rsidR="00772179" w:rsidRDefault="00000000">
      <w:r>
        <w:rPr>
          <w:b/>
        </w:rPr>
        <w:t>Surface nette</w:t>
      </w:r>
      <w:r>
        <w:t xml:space="preserve"> pour les fenêtres et portes fenêtres, distinction faite du type (fixe / ouvrant coulissant / ouvrant sur pivot).</w:t>
      </w:r>
      <w:r>
        <w:br/>
      </w:r>
      <w:r>
        <w:rPr>
          <w:b/>
        </w:rPr>
        <w:t>Longueur nette</w:t>
      </w:r>
      <w:r>
        <w:t xml:space="preserve"> pour les chéneaux.</w:t>
      </w:r>
    </w:p>
    <w:p w14:paraId="74EAEA4A" w14:textId="77777777" w:rsidR="00772179" w:rsidRDefault="00000000">
      <w:pPr>
        <w:pStyle w:val="pheading"/>
      </w:pPr>
      <w:r>
        <w:t>- nature du marché:</w:t>
      </w:r>
    </w:p>
    <w:p w14:paraId="732B1257" w14:textId="77777777" w:rsidR="00772179" w:rsidRDefault="00000000">
      <w:r>
        <w:lastRenderedPageBreak/>
        <w:t>QF</w:t>
      </w:r>
    </w:p>
    <w:p w14:paraId="566B7E61" w14:textId="77777777" w:rsidR="00772179" w:rsidRDefault="00000000">
      <w:pPr>
        <w:pStyle w:val="Author-eSectionHeading4Numberless"/>
      </w:pPr>
      <w:bookmarkStart w:id="51" w:name="_Toc220489803"/>
      <w:r>
        <w:t>41.17 Fenêtres et portes-fenêtres matériaux composites CCTB 01.12</w:t>
      </w:r>
      <w:bookmarkEnd w:id="51"/>
    </w:p>
    <w:p w14:paraId="74DC22EE" w14:textId="77777777" w:rsidR="00772179" w:rsidRDefault="00000000">
      <w:pPr>
        <w:pStyle w:val="pheading"/>
      </w:pPr>
      <w:bookmarkStart w:id="52" w:name="973"/>
      <w:bookmarkEnd w:id="52"/>
      <w:r>
        <w:t>DESCRIPTION</w:t>
      </w:r>
    </w:p>
    <w:p w14:paraId="3C35008B" w14:textId="77777777" w:rsidR="00772179" w:rsidRDefault="00000000">
      <w:pPr>
        <w:pStyle w:val="pheading"/>
      </w:pPr>
      <w:r>
        <w:t>- Définition / Comprend</w:t>
      </w:r>
    </w:p>
    <w:p w14:paraId="5862A68B" w14:textId="77777777" w:rsidR="00772179" w:rsidRDefault="00000000">
      <w:pPr>
        <w:jc w:val="both"/>
      </w:pPr>
      <w:r>
        <w:t>Cet élément comprend la fourniture et la pose de tous les éléments nécessaires à la composition des fenêtres et portes-fenêtres extérieures en matériaux composites, y compris toutes les pièces qui en font intrinsèquement partie.</w:t>
      </w:r>
    </w:p>
    <w:p w14:paraId="5B9BF85D" w14:textId="77777777" w:rsidR="00772179" w:rsidRDefault="00000000">
      <w:pPr>
        <w:jc w:val="both"/>
      </w:pPr>
      <w:r>
        <w:t>Les fenêtres et portes-fenêtres extérieures sont considérées comme menuiserie en matériaux composite lorsque la composition du profilé principal comprend ou est mélangée avec un ou plusieurs autres composants afin d’améliorer les performances de l’ensemble au niveau mécanique, thermique, durabilité, résistance aux intempéries, UV, etc…</w:t>
      </w:r>
    </w:p>
    <w:p w14:paraId="0993E7C6" w14:textId="77777777" w:rsidR="00772179" w:rsidRDefault="00000000">
      <w:pPr>
        <w:jc w:val="both"/>
      </w:pPr>
      <w:r>
        <w:t>La structure composite permet d’améliorer la rigidité et de réduire les sections des menuiseries.</w:t>
      </w:r>
    </w:p>
    <w:p w14:paraId="0A2F3E32" w14:textId="77777777" w:rsidR="00772179" w:rsidRDefault="00000000">
      <w:pPr>
        <w:jc w:val="both"/>
      </w:pPr>
      <w:r>
        <w:t>Les prix unitaires compris les articles suivants comprennent toujours le contrôle et le relevé sur place des dimensions exactes dans l'œuvre et les adaptations éventuelles des éléments à préfabriquer aux dimensions réelles.</w:t>
      </w:r>
    </w:p>
    <w:p w14:paraId="5171BE88" w14:textId="77777777" w:rsidR="00772179" w:rsidRDefault="00000000">
      <w:pPr>
        <w:pStyle w:val="pheading"/>
      </w:pPr>
      <w:r>
        <w:t>MATÉRIAUX</w:t>
      </w:r>
    </w:p>
    <w:p w14:paraId="13A7545B" w14:textId="77777777" w:rsidR="00772179" w:rsidRDefault="00000000">
      <w:pPr>
        <w:jc w:val="both"/>
      </w:pPr>
      <w:r>
        <w:t>Les fenêtres et portes-fenêtres extérieures sont considérées comme menuiserie en matériaux composites lorsqu’elles sont composées d’un assemblage de deux matériaux de nature différente. Il s’agit généralement d’un mélange de fibre de verre enrobées de PVC ou de bois et de fibre de verre.</w:t>
      </w:r>
    </w:p>
    <w:p w14:paraId="155BDE95" w14:textId="77777777" w:rsidR="00772179" w:rsidRDefault="00000000">
      <w:pPr>
        <w:pStyle w:val="pheading"/>
      </w:pPr>
      <w:r>
        <w:t>EXÉCUTION / MISE EN ŒUVRE</w:t>
      </w:r>
    </w:p>
    <w:p w14:paraId="0076C476" w14:textId="77777777" w:rsidR="00772179" w:rsidRDefault="00000000">
      <w:pPr>
        <w:jc w:val="both"/>
      </w:pPr>
      <w:r>
        <w:t>Avant la mise en œuvre, l’entrepreneur contrôle si les dimensions de pose prévues sur les plans correspondent à la situation sur place. Lorsqu'il découvre des divergences, il en avertit immédiatement l'auteur de projet.</w:t>
      </w:r>
    </w:p>
    <w:p w14:paraId="675B9D89" w14:textId="77777777" w:rsidR="00772179" w:rsidRDefault="00000000">
      <w:pPr>
        <w:pStyle w:val="pheading"/>
      </w:pPr>
      <w:r>
        <w:t>DOCUMENTS DE RÉFÉRENCE</w:t>
      </w:r>
    </w:p>
    <w:p w14:paraId="40B7733A" w14:textId="77777777" w:rsidR="00772179" w:rsidRDefault="00000000">
      <w:pPr>
        <w:pStyle w:val="pheading"/>
      </w:pPr>
      <w:r>
        <w:t>- Matériau</w:t>
      </w:r>
    </w:p>
    <w:p w14:paraId="58CC50EF" w14:textId="77777777" w:rsidR="00772179" w:rsidRDefault="00000000">
      <w:r>
        <w:t>[NBN B 25-002-1, Menuiserie extérieure - Partie 1: Prescription des performances générales – Fenêtres et façades rideaux]</w:t>
      </w:r>
    </w:p>
    <w:p w14:paraId="3149CB00" w14:textId="77777777" w:rsidR="00772179" w:rsidRDefault="00000000">
      <w:pPr>
        <w:pStyle w:val="pheading"/>
      </w:pPr>
      <w:r>
        <w:t>- Exécution</w:t>
      </w:r>
    </w:p>
    <w:p w14:paraId="76FD813C" w14:textId="77777777" w:rsidR="00772179" w:rsidRDefault="00000000">
      <w:r>
        <w:t>[NBN 208, Coordination des dimensions des constructions - Système du module - Baies et châssis de fenêtres]</w:t>
      </w:r>
    </w:p>
    <w:p w14:paraId="7653CA83" w14:textId="77777777" w:rsidR="00772179" w:rsidRDefault="00000000">
      <w:pPr>
        <w:pStyle w:val="Author-eSectionHeading5Numberless"/>
      </w:pPr>
      <w:bookmarkStart w:id="53" w:name="_Toc220489804"/>
      <w:r>
        <w:t>41.17.1 Fenêtres et portes-fenêtres en mélange PVC/bois (dans la masse) CCTB 01.12</w:t>
      </w:r>
      <w:bookmarkEnd w:id="53"/>
    </w:p>
    <w:p w14:paraId="078CFD34" w14:textId="77777777" w:rsidR="00772179" w:rsidRDefault="00000000">
      <w:pPr>
        <w:pStyle w:val="pheading"/>
      </w:pPr>
      <w:r>
        <w:t>DESCRIPTION</w:t>
      </w:r>
    </w:p>
    <w:p w14:paraId="46DA5FE0" w14:textId="77777777" w:rsidR="00772179" w:rsidRDefault="00000000">
      <w:pPr>
        <w:pStyle w:val="pheading"/>
      </w:pPr>
      <w:r>
        <w:t>- Définition / Comprend</w:t>
      </w:r>
    </w:p>
    <w:p w14:paraId="429CDFC1" w14:textId="77777777" w:rsidR="00772179" w:rsidRDefault="00000000">
      <w:pPr>
        <w:jc w:val="both"/>
      </w:pPr>
      <w:r>
        <w:t>Cet élément comprend la fourniture (hors matériaux récupérés du même site) et la pose de tous les éléments nécessaires à la composition des fenêtres et portes-fenêtres extérieures en matériaux composites à base de PVC, y compris toutes les pièces qui en font intrinsèquement partie.</w:t>
      </w:r>
    </w:p>
    <w:p w14:paraId="1740BE9D" w14:textId="77777777" w:rsidR="00772179" w:rsidRDefault="00000000">
      <w:pPr>
        <w:jc w:val="both"/>
      </w:pPr>
      <w:r>
        <w:t>Les fenêtres et portes-fenêtres extérieures sont considérées comme menuiserie en mélange/mixte PVC lorsque la composition du profilé principal est principalement constituée de PVC mélangé ou comprenant un ou plusieurs autres composants.</w:t>
      </w:r>
    </w:p>
    <w:p w14:paraId="29DD5C29" w14:textId="77777777" w:rsidR="00772179" w:rsidRDefault="00000000">
      <w:pPr>
        <w:pStyle w:val="pheading"/>
      </w:pPr>
      <w:r>
        <w:t>MATÉRIAUX</w:t>
      </w:r>
    </w:p>
    <w:p w14:paraId="2C25638B" w14:textId="77777777" w:rsidR="00772179" w:rsidRDefault="00000000">
      <w:pPr>
        <w:jc w:val="both"/>
      </w:pPr>
      <w:r>
        <w:rPr>
          <w:b/>
        </w:rPr>
        <w:t>Menuiserie neuve :</w:t>
      </w:r>
    </w:p>
    <w:p w14:paraId="31688C63" w14:textId="77777777" w:rsidR="00772179" w:rsidRDefault="00000000">
      <w:pPr>
        <w:jc w:val="both"/>
      </w:pPr>
      <w:r>
        <w:rPr>
          <w:u w:val="single"/>
        </w:rPr>
        <w:lastRenderedPageBreak/>
        <w:t>Matières Premières :</w:t>
      </w:r>
    </w:p>
    <w:p w14:paraId="12DE70FC" w14:textId="77777777" w:rsidR="00772179" w:rsidRDefault="00000000">
      <w:pPr>
        <w:jc w:val="both"/>
      </w:pPr>
      <w:r>
        <w:t>Les menuiseries en PVC sont conformes aux spécifications techniques [NBN B 25-002-5].</w:t>
      </w:r>
    </w:p>
    <w:p w14:paraId="7AA11DCE" w14:textId="77777777" w:rsidR="00772179" w:rsidRDefault="00000000">
      <w:pPr>
        <w:jc w:val="both"/>
      </w:pPr>
      <w:r>
        <w:rPr>
          <w:u w:val="single"/>
        </w:rPr>
        <w:t>Forme, type &amp; dimensions des profilés :</w:t>
      </w:r>
    </w:p>
    <w:p w14:paraId="120152C3" w14:textId="77777777" w:rsidR="00772179" w:rsidRDefault="00000000">
      <w:pPr>
        <w:pStyle w:val="Author-eListParagraph"/>
        <w:numPr>
          <w:ilvl w:val="0"/>
          <w:numId w:val="155"/>
        </w:numPr>
      </w:pPr>
      <w:r>
        <w:t>L'épaisseur des parois et les dimensions des profilés tiennent compte des performances imposées, des notes de calcul, de la composition des éléments fixes et mobiles, de l'épaisseur et des performances des vitrages.</w:t>
      </w:r>
    </w:p>
    <w:p w14:paraId="57D0BE1B" w14:textId="77777777" w:rsidR="00772179" w:rsidRDefault="00000000">
      <w:pPr>
        <w:pStyle w:val="Author-eListParagraph"/>
        <w:numPr>
          <w:ilvl w:val="0"/>
          <w:numId w:val="155"/>
        </w:numPr>
      </w:pPr>
      <w:r>
        <w:t>Les profilés de résistance sont du type à plusieurs chambres. La chambre principale est suffisamment large pour l’introduction de profilés de renforcement en métal, en matériaux synthétiques, en rubans de fibres de verre, etc… Les profilés de résistance et les éventuels renforcements assurent ensemble la résistance mécanique de la menuiserie. La flèche est ≤ 1/300. Les notes de calculs et les dessins d'exécution avec le détail des profilés utilisés, des renforts, etc. sont soumis à la l’approbation de l'auteur de projet.</w:t>
      </w:r>
    </w:p>
    <w:p w14:paraId="7E1A05A5" w14:textId="77777777" w:rsidR="00772179" w:rsidRDefault="00000000">
      <w:pPr>
        <w:pStyle w:val="Author-eListParagraph"/>
        <w:numPr>
          <w:ilvl w:val="0"/>
          <w:numId w:val="155"/>
        </w:numPr>
      </w:pPr>
      <w:r>
        <w:t>Les assemblages d’angle des profilés de renforcement sont réalisés à l’aide de pièces spéciales appropriées, les angles sont soudés, étanchéifiés. Pour les cadres fixes, des profilés de dimensions normales sont utilisés et pour les vantaux ouvrants, des profilés étroits (renforcés) sont utilisés.</w:t>
      </w:r>
    </w:p>
    <w:p w14:paraId="4757841A" w14:textId="77777777" w:rsidR="00772179" w:rsidRDefault="00000000">
      <w:pPr>
        <w:pStyle w:val="Author-eListParagraph"/>
        <w:numPr>
          <w:ilvl w:val="0"/>
          <w:numId w:val="155"/>
        </w:numPr>
      </w:pPr>
      <w:r>
        <w:t>La feuillure extérieure des profilés de base contre laquelle le vitrage s'appuie présente une hauteur ≥ 18 mm et fait partie intégrante du profil de base. La largeur des parcloses dépend de la largeur du profil de résistance et de l'épaisseur du vitrage ou du panneautage. Les parcloses sont fixées par assemblage à enclenchement.</w:t>
      </w:r>
    </w:p>
    <w:p w14:paraId="0373A859" w14:textId="77777777" w:rsidR="00772179" w:rsidRDefault="00000000">
      <w:pPr>
        <w:jc w:val="both"/>
      </w:pPr>
      <w:r>
        <w:rPr>
          <w:u w:val="single"/>
        </w:rPr>
        <w:t>Assemblage &amp; montage :</w:t>
      </w:r>
    </w:p>
    <w:p w14:paraId="070E1C14" w14:textId="77777777" w:rsidR="00772179" w:rsidRDefault="00000000">
      <w:pPr>
        <w:pStyle w:val="Author-eListParagraph"/>
        <w:numPr>
          <w:ilvl w:val="0"/>
          <w:numId w:val="156"/>
        </w:numPr>
      </w:pPr>
      <w:r>
        <w:t>Le montage des profilés assure un assemblage étanche, selon la [NBN EN 514].</w:t>
      </w:r>
    </w:p>
    <w:p w14:paraId="4357D227" w14:textId="77777777" w:rsidR="00772179" w:rsidRDefault="00000000">
      <w:pPr>
        <w:pStyle w:val="Author-eListParagraph"/>
        <w:numPr>
          <w:ilvl w:val="0"/>
          <w:numId w:val="156"/>
        </w:numPr>
      </w:pPr>
      <w:r>
        <w:t>Les angles d’assemblage ne constituent en aucun cas des points de résistance pour le châssis, ni n’occasionnent en ces points une dégradation des propriétés des profilés. Conformément à la [NBN B 25-002-5], les profilés sont, par conséquent, assemblés par soudure thermique sans adjonction de matériau. Les soudures sont fraisées, nettoyées et polies. L'arasement des soudures ne diminue en aucun cas l'aspect esthétique des châssis. Un écart d'épaisseur ≤ 0,5 mm par rapport à la surface du profil est admis.</w:t>
      </w:r>
    </w:p>
    <w:p w14:paraId="1B26066D" w14:textId="77777777" w:rsidR="00772179" w:rsidRDefault="00000000">
      <w:pPr>
        <w:pStyle w:val="Author-eListParagraph"/>
        <w:numPr>
          <w:ilvl w:val="0"/>
          <w:numId w:val="156"/>
        </w:numPr>
      </w:pPr>
      <w:r>
        <w:t>Tous les montants intermédiaires et les assemblages transversaux sont, en principe, également assemblés par soudure thermique. Une exception peut uniquement être faite pour les assemblages en T et/ou en croix, où les assemblages mécaniques sont admis.</w:t>
      </w:r>
    </w:p>
    <w:p w14:paraId="1CD1386D" w14:textId="77777777" w:rsidR="00772179" w:rsidRDefault="00000000">
      <w:r>
        <w:rPr>
          <w:u w:val="single"/>
        </w:rPr>
        <w:t>Rainures de drainage / Décompression / Évacuation des condensats :</w:t>
      </w:r>
    </w:p>
    <w:p w14:paraId="216E6340" w14:textId="77777777" w:rsidR="00772179" w:rsidRDefault="00000000">
      <w:pPr>
        <w:pStyle w:val="Author-eListParagraph"/>
        <w:numPr>
          <w:ilvl w:val="0"/>
          <w:numId w:val="157"/>
        </w:numPr>
      </w:pPr>
      <w:r>
        <w:t>Une chambre d'évacuation de l'eau ou de décompression est située à l'extérieur du profil.</w:t>
      </w:r>
    </w:p>
    <w:p w14:paraId="22E243D3" w14:textId="77777777" w:rsidR="00772179" w:rsidRDefault="00000000">
      <w:pPr>
        <w:pStyle w:val="Author-eListParagraph"/>
        <w:numPr>
          <w:ilvl w:val="0"/>
          <w:numId w:val="157"/>
        </w:numPr>
      </w:pPr>
      <w:r>
        <w:t>Les montants du cadre support sont profilés de manière telle que l'eau d'infiltration est évacuée avant les bandes d'étanchéité. L'évacuation de l'eau se fait donc sans que la chambre principale ne soit percée et s'effectue par des orifices d'évacuation ou des rainures afin que l'âme du profil ne soit en aucune manière en contact avec l'eau d'infiltration ou de condensation.</w:t>
      </w:r>
    </w:p>
    <w:p w14:paraId="5D50CA9F" w14:textId="77777777" w:rsidR="00772179" w:rsidRDefault="00000000">
      <w:pPr>
        <w:pStyle w:val="Author-eListParagraph"/>
        <w:numPr>
          <w:ilvl w:val="0"/>
          <w:numId w:val="157"/>
        </w:numPr>
      </w:pPr>
      <w:r>
        <w:t>Les dormants de même que les vantaux sont drainés par au moins deux rainures par vantail et par cadre. Cadre et vantail : écartement ≤ 60 cm du côté de la feuillure du vitrage et ≤ 130 cm dans le bas du profil.</w:t>
      </w:r>
    </w:p>
    <w:p w14:paraId="7F7A0ED9" w14:textId="77777777" w:rsidR="00772179" w:rsidRDefault="00000000">
      <w:pPr>
        <w:pStyle w:val="Author-eListParagraph"/>
        <w:numPr>
          <w:ilvl w:val="0"/>
          <w:numId w:val="157"/>
        </w:numPr>
      </w:pPr>
      <w:r>
        <w:t>Les traverses inférieures sont pourvues d'une chambre d'évacuation de l'eau qui contient suffisamment de trous d'écoulement de façon à empêcher toute infiltration d'eau vers l'intérieur. Au moins 2 ouvertures sont prévues. La distance entre ces ouvertures d'évacuation est ≤ 130 cm.</w:t>
      </w:r>
    </w:p>
    <w:p w14:paraId="089899EA" w14:textId="77777777" w:rsidR="00772179" w:rsidRDefault="00000000">
      <w:pPr>
        <w:pStyle w:val="Author-eListParagraph"/>
        <w:numPr>
          <w:ilvl w:val="0"/>
          <w:numId w:val="157"/>
        </w:numPr>
      </w:pPr>
      <w:r>
        <w:t>Les ouvertures d’écoulement sont protégées par un profilé de protection pour empêcher le refoulement de l’eau, au cas où un écoulement vers le bas serait impossible. A l'extérieur, les rainures sont recouvertes par un profil de protection.</w:t>
      </w:r>
    </w:p>
    <w:p w14:paraId="61555BE1" w14:textId="77777777" w:rsidR="00772179" w:rsidRDefault="00000000">
      <w:pPr>
        <w:pStyle w:val="Author-eListParagraph"/>
        <w:numPr>
          <w:ilvl w:val="0"/>
          <w:numId w:val="157"/>
        </w:numPr>
      </w:pPr>
      <w:r>
        <w:t>Lorsqu'un vitrage multiple est prévu, la feuillure est pourvue d'un dispositif d'écoulement et de ventilation conformément à la [NIT 221].</w:t>
      </w:r>
    </w:p>
    <w:p w14:paraId="22B2B795" w14:textId="77777777" w:rsidR="00772179" w:rsidRDefault="00000000">
      <w:pPr>
        <w:jc w:val="both"/>
      </w:pPr>
      <w:r>
        <w:rPr>
          <w:b/>
        </w:rPr>
        <w:t>Menuiserie de réemploi hors site :</w:t>
      </w:r>
    </w:p>
    <w:p w14:paraId="3D3997BC" w14:textId="77777777" w:rsidR="00772179" w:rsidRDefault="00000000">
      <w:pPr>
        <w:jc w:val="both"/>
      </w:pPr>
      <w:r>
        <w:lastRenderedPageBreak/>
        <w:t>Les profilés sont exempts de griffures ou autres dégradations visuelles. Les soudures des angles ne présentent pas de fissuration. Toute dégradation du film extérieur décoratif (non acceptée par l’auteur de projet) fait l’objet d’un remplacement.</w:t>
      </w:r>
    </w:p>
    <w:p w14:paraId="657EE182" w14:textId="77777777" w:rsidR="00772179" w:rsidRDefault="00000000">
      <w:pPr>
        <w:pStyle w:val="pheading"/>
      </w:pPr>
      <w:r>
        <w:t>EXÉCUTION / MISE EN ŒUVRE</w:t>
      </w:r>
    </w:p>
    <w:p w14:paraId="4F9E2CBD" w14:textId="77777777" w:rsidR="00772179" w:rsidRDefault="00000000">
      <w:pPr>
        <w:jc w:val="both"/>
      </w:pPr>
      <w:r>
        <w:t>La fourniture et la pose des fenêtres et portes-fenêtres neuves répondent aux prescriptions des [NBN B 25-002-1], [NIT 283], [NBN B 25-002-5] et au </w:t>
      </w:r>
      <w:hyperlink w:anchor="64" w:history="1">
        <w:r>
          <w:rPr>
            <w:color w:val="0000EE"/>
          </w:rPr>
          <w:t>41.1 Fenêtres et portes-fenêtres</w:t>
        </w:r>
      </w:hyperlink>
      <w:r>
        <w:t>.</w:t>
      </w:r>
    </w:p>
    <w:p w14:paraId="022739D0" w14:textId="77777777" w:rsidR="00772179" w:rsidRDefault="00000000">
      <w:pPr>
        <w:jc w:val="both"/>
      </w:pPr>
      <w:r>
        <w:t>Toutes les pièces moulées par injection et autres profilés font partie de la gamme des profilés.</w:t>
      </w:r>
    </w:p>
    <w:p w14:paraId="35E18A4C" w14:textId="77777777" w:rsidR="00772179" w:rsidRDefault="00000000">
      <w:pPr>
        <w:pStyle w:val="pheading"/>
      </w:pPr>
      <w:r>
        <w:t>CONTRÔLES</w:t>
      </w:r>
    </w:p>
    <w:p w14:paraId="2883661F" w14:textId="77777777" w:rsidR="00772179" w:rsidRDefault="00000000">
      <w:pPr>
        <w:jc w:val="both"/>
      </w:pPr>
      <w:r>
        <w:t>Pour les menuiseries de réemploi, les contrôles comprennent les points suivants :</w:t>
      </w:r>
    </w:p>
    <w:p w14:paraId="53F17BF1" w14:textId="77777777" w:rsidR="00772179" w:rsidRDefault="00000000">
      <w:pPr>
        <w:pStyle w:val="Author-eListParagraph"/>
        <w:numPr>
          <w:ilvl w:val="0"/>
          <w:numId w:val="158"/>
        </w:numPr>
        <w:jc w:val="both"/>
      </w:pPr>
      <w:r>
        <w:t>la présence fonctionnelles des drainages de chambres de décompression et de feuillure ;</w:t>
      </w:r>
    </w:p>
    <w:p w14:paraId="722CADBB" w14:textId="77777777" w:rsidR="00772179" w:rsidRDefault="00000000">
      <w:pPr>
        <w:pStyle w:val="Author-eListParagraph"/>
        <w:numPr>
          <w:ilvl w:val="0"/>
          <w:numId w:val="158"/>
        </w:numPr>
        <w:jc w:val="both"/>
      </w:pPr>
      <w:r>
        <w:t>l’absence de fissuration des angles et assemblages ;</w:t>
      </w:r>
    </w:p>
    <w:p w14:paraId="3711CF54" w14:textId="77777777" w:rsidR="00772179" w:rsidRDefault="00000000">
      <w:pPr>
        <w:pStyle w:val="Author-eListParagraph"/>
        <w:numPr>
          <w:ilvl w:val="0"/>
          <w:numId w:val="158"/>
        </w:numPr>
        <w:jc w:val="both"/>
      </w:pPr>
      <w:r>
        <w:t>la qualité de surface du PVC ;</w:t>
      </w:r>
    </w:p>
    <w:p w14:paraId="414B8EAD" w14:textId="77777777" w:rsidR="00772179" w:rsidRDefault="00000000">
      <w:pPr>
        <w:pStyle w:val="Author-eListParagraph"/>
        <w:numPr>
          <w:ilvl w:val="0"/>
          <w:numId w:val="158"/>
        </w:numPr>
        <w:jc w:val="both"/>
      </w:pPr>
      <w:r>
        <w:t>la qualité des préformés d’étanchéité ;</w:t>
      </w:r>
    </w:p>
    <w:p w14:paraId="0AAD4F6E" w14:textId="77777777" w:rsidR="00772179" w:rsidRDefault="00000000">
      <w:pPr>
        <w:pStyle w:val="Author-eListParagraph"/>
        <w:numPr>
          <w:ilvl w:val="0"/>
          <w:numId w:val="158"/>
        </w:numPr>
        <w:jc w:val="both"/>
      </w:pPr>
      <w:r>
        <w:t>la qualité et le réglage des points de fermeture ;</w:t>
      </w:r>
    </w:p>
    <w:p w14:paraId="35CCD480" w14:textId="77777777" w:rsidR="00772179" w:rsidRDefault="00000000">
      <w:pPr>
        <w:pStyle w:val="Author-eListParagraph"/>
        <w:numPr>
          <w:ilvl w:val="0"/>
          <w:numId w:val="158"/>
        </w:numPr>
        <w:jc w:val="both"/>
      </w:pPr>
      <w:r>
        <w:t>la qualité des points de suspension et de la quincaillerie ;</w:t>
      </w:r>
    </w:p>
    <w:p w14:paraId="0E010C6B" w14:textId="77777777" w:rsidR="00772179" w:rsidRDefault="00000000">
      <w:pPr>
        <w:pStyle w:val="Author-eListParagraph"/>
        <w:numPr>
          <w:ilvl w:val="0"/>
          <w:numId w:val="158"/>
        </w:numPr>
        <w:jc w:val="both"/>
      </w:pPr>
      <w:r>
        <w:t>la rectitude des ouvrants (égalité des diagonales).</w:t>
      </w:r>
    </w:p>
    <w:p w14:paraId="59461726" w14:textId="77777777" w:rsidR="00772179" w:rsidRDefault="00000000">
      <w:pPr>
        <w:pStyle w:val="pheading"/>
      </w:pPr>
      <w:r>
        <w:t>DOCUMENTS DE RÉFÉRENCE</w:t>
      </w:r>
    </w:p>
    <w:p w14:paraId="70F2E212" w14:textId="77777777" w:rsidR="00772179" w:rsidRDefault="00000000">
      <w:pPr>
        <w:pStyle w:val="pheading"/>
      </w:pPr>
      <w:r>
        <w:t>- Matériau</w:t>
      </w:r>
    </w:p>
    <w:p w14:paraId="30D7C181" w14:textId="77777777" w:rsidR="00772179" w:rsidRDefault="00000000">
      <w:r>
        <w:t>[NBN B 25-002-5, Menuiseries extérieures. Partie 5 : Prescriptions pour les profilés et les châssis en PVC-U]</w:t>
      </w:r>
    </w:p>
    <w:p w14:paraId="60273A2B" w14:textId="77777777" w:rsidR="00772179" w:rsidRDefault="00000000">
      <w:r>
        <w:t>[NBN EN 14351-1:2006+A2, Fenêtres et portes - Norme produit, caractéristiques de performance - Partie 1 : Fenêtres et blocs portes extérieurs pour piétons]</w:t>
      </w:r>
      <w:r>
        <w:br/>
      </w:r>
      <w:r>
        <w:br/>
        <w:t>[NBN EN 514, Plastiques - Profilés à base de poly(chlorure de vinyle) (PVC) - Détermination de la résistance des assemblages soudés en angle et en T]</w:t>
      </w:r>
      <w:r>
        <w:br/>
      </w:r>
      <w:r>
        <w:br/>
        <w:t>[NBN EN 12608-1:2016+A1, Profilés de poly(chlorure de vinyle) non plastifié (PVC-U) pour la fabrication des fenêtres et des portes — Classification, exigences et méthodes d’essai - Partie 1: Profilés en PVC-U non revêtus avec des faces de teinte claire]</w:t>
      </w:r>
      <w:r>
        <w:br/>
      </w:r>
      <w:r>
        <w:br/>
        <w:t>[NIT 288, La pose des menuiseries extérieures Partie 3 : mise en œuvre de châssis en aluminium et en PVC dans des murs creux]</w:t>
      </w:r>
    </w:p>
    <w:p w14:paraId="5BEF6853" w14:textId="77777777" w:rsidR="00772179" w:rsidRDefault="00000000">
      <w:pPr>
        <w:pStyle w:val="pheading"/>
      </w:pPr>
      <w:r>
        <w:t>- Exécution</w:t>
      </w:r>
    </w:p>
    <w:p w14:paraId="0A8216CA" w14:textId="77777777" w:rsidR="00772179" w:rsidRDefault="00000000">
      <w:r>
        <w:t>[NIT 288, La pose des menuiseries extérieures Partie 3 : mise en œuvre de châssis en aluminium et en PVC dans des murs creux]</w:t>
      </w:r>
    </w:p>
    <w:p w14:paraId="3BB106AB" w14:textId="77777777" w:rsidR="00772179" w:rsidRDefault="00000000">
      <w:pPr>
        <w:pStyle w:val="Author-eSectionHeading6Numberless"/>
      </w:pPr>
      <w:bookmarkStart w:id="54" w:name="_Toc220489805"/>
      <w:r>
        <w:t>41.17.1a Fenêtres et portes-fenêtres en mélange PVC/bois (dans la masse)</w:t>
      </w:r>
      <w:bookmarkEnd w:id="54"/>
    </w:p>
    <w:p w14:paraId="1159AC4F" w14:textId="77777777" w:rsidR="00772179" w:rsidRDefault="00000000">
      <w:pPr>
        <w:pStyle w:val="Author-eSectionHeading6Numberless"/>
      </w:pPr>
      <w:bookmarkStart w:id="55" w:name="_Toc220489806"/>
      <w:r>
        <w:t>41.17.1b Fenêtres et portes-fenêtres en mélange PVC fibres de verre (dans la masse) CCTB 01.13</w:t>
      </w:r>
      <w:bookmarkEnd w:id="55"/>
    </w:p>
    <w:p w14:paraId="3834128A" w14:textId="77777777" w:rsidR="00772179" w:rsidRDefault="00000000">
      <w:pPr>
        <w:pStyle w:val="pheading"/>
      </w:pPr>
      <w:bookmarkStart w:id="56" w:name="897"/>
      <w:bookmarkEnd w:id="56"/>
      <w:r>
        <w:t>DESCRIPTION</w:t>
      </w:r>
    </w:p>
    <w:p w14:paraId="40B808AE" w14:textId="77777777" w:rsidR="00772179" w:rsidRDefault="00000000">
      <w:pPr>
        <w:pStyle w:val="pheading"/>
      </w:pPr>
      <w:r>
        <w:t>- Définition / Comprend</w:t>
      </w:r>
    </w:p>
    <w:p w14:paraId="6F31DF2A" w14:textId="77777777" w:rsidR="00772179" w:rsidRDefault="00000000">
      <w:pPr>
        <w:jc w:val="both"/>
      </w:pPr>
      <w:r>
        <w:t>Il s’agit de la fourniture (hors matériaux récupérés du même site) et de la pose de menuiseries extérieures (fenêtres et portes-fenêtres) en PVC mixte dont :</w:t>
      </w:r>
    </w:p>
    <w:p w14:paraId="674B33EF" w14:textId="77777777" w:rsidR="00772179" w:rsidRDefault="00000000">
      <w:pPr>
        <w:pStyle w:val="Author-eListParagraph"/>
        <w:numPr>
          <w:ilvl w:val="0"/>
          <w:numId w:val="159"/>
        </w:numPr>
      </w:pPr>
      <w:r>
        <w:t>le profilé de renfort participe à l’isolation du profilé ;</w:t>
      </w:r>
    </w:p>
    <w:p w14:paraId="4B144465" w14:textId="77777777" w:rsidR="00772179" w:rsidRDefault="00000000">
      <w:pPr>
        <w:pStyle w:val="Author-eListParagraph"/>
        <w:numPr>
          <w:ilvl w:val="0"/>
          <w:numId w:val="159"/>
        </w:numPr>
      </w:pPr>
      <w:r>
        <w:t>certains profilés sont équipés des renforcements intégrés en fibres de verre.</w:t>
      </w:r>
    </w:p>
    <w:p w14:paraId="6390B819" w14:textId="77777777" w:rsidR="00772179" w:rsidRDefault="00000000">
      <w:pPr>
        <w:jc w:val="both"/>
      </w:pPr>
      <w:r>
        <w:lastRenderedPageBreak/>
        <w:t>En principe, les renforts métalliques sont prescrits sauf quand une inertie n'est pas suffisamment atteinte avec le renforcement thermique de base. Dans ce cas, le fabricant soumet une note de calcul à l’approbation de la direction des travaux.</w:t>
      </w:r>
    </w:p>
    <w:p w14:paraId="41F37604" w14:textId="77777777" w:rsidR="00772179" w:rsidRDefault="00000000">
      <w:pPr>
        <w:jc w:val="both"/>
      </w:pPr>
      <w:r>
        <w:t>Outre les prescriptions énoncées par ailleurs, le travail comprend notamment :</w:t>
      </w:r>
    </w:p>
    <w:p w14:paraId="3403569D" w14:textId="77777777" w:rsidR="00772179" w:rsidRDefault="00000000">
      <w:pPr>
        <w:pStyle w:val="Author-eListParagraph"/>
        <w:numPr>
          <w:ilvl w:val="0"/>
          <w:numId w:val="160"/>
        </w:numPr>
      </w:pPr>
      <w:r>
        <w:t>la pose, resserrage ;</w:t>
      </w:r>
    </w:p>
    <w:p w14:paraId="7F1E92BB" w14:textId="77777777" w:rsidR="00772179" w:rsidRDefault="00000000">
      <w:pPr>
        <w:pStyle w:val="Author-eListParagraph"/>
        <w:numPr>
          <w:ilvl w:val="0"/>
          <w:numId w:val="160"/>
        </w:numPr>
      </w:pPr>
      <w:r>
        <w:t>la finition et le réglage des menuiseries extérieures.</w:t>
      </w:r>
    </w:p>
    <w:p w14:paraId="52F01DFF" w14:textId="77777777" w:rsidR="00772179" w:rsidRDefault="00000000">
      <w:pPr>
        <w:jc w:val="both"/>
      </w:pPr>
      <w:r>
        <w:rPr>
          <w:b/>
        </w:rPr>
        <w:t>Remarques importantes</w:t>
      </w:r>
    </w:p>
    <w:p w14:paraId="60BBA876" w14:textId="77777777" w:rsidR="00772179" w:rsidRDefault="00000000">
      <w:pPr>
        <w:jc w:val="both"/>
      </w:pPr>
      <w:r>
        <w:t xml:space="preserve"> Toutes les fenêtres sont soumises au Règlement Produits de Construction ([Règlement (UE) 305/2011]). Une déclaration d'aptitude à l'utilisation suivant les prescriptions du 02.42.1 Critères d'acceptabilité est imposée à ces produits suivant la [NBN EN 14351-1:2006+A2] afin d'attester qu’ils sont conformes aux spécifications techniques de ce règlement.</w:t>
      </w:r>
    </w:p>
    <w:p w14:paraId="1A3A9521" w14:textId="77777777" w:rsidR="00772179" w:rsidRDefault="00000000">
      <w:pPr>
        <w:pStyle w:val="pheading"/>
      </w:pPr>
      <w:r>
        <w:t>MATÉRIAUX</w:t>
      </w:r>
    </w:p>
    <w:p w14:paraId="5477D9CB" w14:textId="77777777" w:rsidR="00772179" w:rsidRDefault="00000000">
      <w:pPr>
        <w:pStyle w:val="pheading"/>
      </w:pPr>
      <w:r>
        <w:t>- Caractéristiques générales</w:t>
      </w:r>
    </w:p>
    <w:p w14:paraId="14EB338A" w14:textId="77777777" w:rsidR="00772179" w:rsidRDefault="00000000">
      <w:pPr>
        <w:jc w:val="both"/>
      </w:pPr>
      <w:r>
        <w:t>Les fenêtres et portes-fenêtres en PVC renforcées de fibre de verre sont conformes aux prescriptions de la [NBN B 25-002-5].</w:t>
      </w:r>
    </w:p>
    <w:p w14:paraId="1E24F31A" w14:textId="77777777" w:rsidR="00772179" w:rsidRDefault="00000000">
      <w:pPr>
        <w:jc w:val="both"/>
      </w:pPr>
      <w:r>
        <w:t>La qualité des profilés PVC est conforme aux exigences reprises dans la [NBN EN 12608-1:2016+A1].</w:t>
      </w:r>
    </w:p>
    <w:p w14:paraId="0A8EE83E" w14:textId="77777777" w:rsidR="00772179" w:rsidRDefault="00000000">
      <w:pPr>
        <w:jc w:val="both"/>
      </w:pPr>
      <w:r>
        <w:t>La durabilité des profilés de PVC est établie pour la classe de climat M (climat modéré) suivant les prescriptions de la [NBN EN 12608-1:2016+A1].</w:t>
      </w:r>
    </w:p>
    <w:p w14:paraId="2770440E" w14:textId="77777777" w:rsidR="00772179" w:rsidRDefault="00000000">
      <w:pPr>
        <w:jc w:val="both"/>
      </w:pPr>
      <w:r>
        <w:t>Le système dispose d’un Agrément Technique avec certification valide.</w:t>
      </w:r>
    </w:p>
    <w:p w14:paraId="18EF8309" w14:textId="77777777" w:rsidR="00772179" w:rsidRDefault="00000000">
      <w:pPr>
        <w:jc w:val="both"/>
      </w:pPr>
      <w:r>
        <w:rPr>
          <w:b/>
        </w:rPr>
        <w:t>Composition des profils </w:t>
      </w:r>
    </w:p>
    <w:p w14:paraId="3782C1B8" w14:textId="77777777" w:rsidR="00772179" w:rsidRDefault="00000000">
      <w:pPr>
        <w:jc w:val="both"/>
      </w:pPr>
      <w:r>
        <w:t xml:space="preserve">Les profilés dormants sont renforcés et isolés par l’intégration d’un profilé de renfort structurel synthétique dans la chambre de renfort. (Jamais dans la chambre de drainage). Cet élément est assemblé aux profilés PVC par enfilage et fixation mécanique au profilé principal à l'aide de vis adaptées. La distance entre ces vis n’excède jamais </w:t>
      </w:r>
      <w:r>
        <w:rPr>
          <w:rStyle w:val="optioncarChar"/>
        </w:rPr>
        <w:t>30</w:t>
      </w:r>
      <w:r>
        <w:t xml:space="preserve"> (par défaut) </w:t>
      </w:r>
      <w:r>
        <w:rPr>
          <w:rStyle w:val="optioncarChar"/>
        </w:rPr>
        <w:t>/ ***</w:t>
      </w:r>
      <w:r>
        <w:t xml:space="preserve"> cm.</w:t>
      </w:r>
    </w:p>
    <w:p w14:paraId="2E4E7454" w14:textId="77777777" w:rsidR="00772179" w:rsidRDefault="00000000">
      <w:pPr>
        <w:pStyle w:val="Author-eListParagraph"/>
        <w:numPr>
          <w:ilvl w:val="0"/>
          <w:numId w:val="161"/>
        </w:numPr>
      </w:pPr>
      <w:r>
        <w:t xml:space="preserve">Composition : </w:t>
      </w:r>
      <w:r>
        <w:rPr>
          <w:rStyle w:val="optioncarChar"/>
        </w:rPr>
        <w:t>mousse PVC rigide</w:t>
      </w:r>
      <w:r>
        <w:t xml:space="preserve"> (par défaut) </w:t>
      </w:r>
      <w:r>
        <w:rPr>
          <w:rStyle w:val="optioncarChar"/>
        </w:rPr>
        <w:t>/ ***</w:t>
      </w:r>
      <w:r>
        <w:t>.</w:t>
      </w:r>
    </w:p>
    <w:p w14:paraId="12D1951B" w14:textId="77777777" w:rsidR="00772179" w:rsidRDefault="00000000">
      <w:pPr>
        <w:pStyle w:val="Author-eListParagraph"/>
        <w:numPr>
          <w:ilvl w:val="0"/>
          <w:numId w:val="161"/>
        </w:numPr>
      </w:pPr>
      <w:r>
        <w:t xml:space="preserve">Densité : ≥ à </w:t>
      </w:r>
      <w:r>
        <w:rPr>
          <w:rStyle w:val="optioncarChar"/>
        </w:rPr>
        <w:t xml:space="preserve">350 </w:t>
      </w:r>
      <w:r>
        <w:t xml:space="preserve">(par défaut) </w:t>
      </w:r>
      <w:r>
        <w:rPr>
          <w:rStyle w:val="optioncarChar"/>
        </w:rPr>
        <w:t>/ ***</w:t>
      </w:r>
      <w:r>
        <w:t xml:space="preserve"> kg/m³.</w:t>
      </w:r>
    </w:p>
    <w:p w14:paraId="0D51F771" w14:textId="77777777" w:rsidR="00772179" w:rsidRDefault="00000000">
      <w:pPr>
        <w:jc w:val="both"/>
      </w:pPr>
      <w:r>
        <w:t>Les profilés ouvrants sont renforcés à l’aide de rubans de fibres de verre structurelles incorporées dans les profilés directement lors de l’extrusion. Les fibres de verre sont liées dans une matrice thermoplastique adhésive qui est appliquée au préalable. Après extrusion le matériau composite est totalement enrobé de PVC rigides afin de le protéger de l'humidité et d'optimaliser son adhérence.</w:t>
      </w:r>
    </w:p>
    <w:p w14:paraId="1C8E5A3B" w14:textId="77777777" w:rsidR="00772179" w:rsidRDefault="00000000">
      <w:pPr>
        <w:jc w:val="both"/>
      </w:pPr>
      <w:r>
        <w:rPr>
          <w:b/>
        </w:rPr>
        <w:t>Forme et dimensions des profils </w:t>
      </w:r>
    </w:p>
    <w:p w14:paraId="1C285B68" w14:textId="77777777" w:rsidR="00772179" w:rsidRDefault="00000000">
      <w:pPr>
        <w:jc w:val="both"/>
      </w:pPr>
      <w: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w:t>
      </w:r>
    </w:p>
    <w:p w14:paraId="534773AE" w14:textId="77777777" w:rsidR="00772179" w:rsidRDefault="00000000">
      <w:pPr>
        <w:jc w:val="both"/>
      </w:pPr>
      <w:r>
        <w:rPr>
          <w:u w:val="single"/>
        </w:rPr>
        <w:t>Dormant :</w:t>
      </w:r>
    </w:p>
    <w:p w14:paraId="772DBE50" w14:textId="77777777" w:rsidR="00772179" w:rsidRDefault="00000000">
      <w:pPr>
        <w:pStyle w:val="Author-eListParagraph"/>
        <w:numPr>
          <w:ilvl w:val="0"/>
          <w:numId w:val="162"/>
        </w:numPr>
      </w:pPr>
      <w:r>
        <w:t xml:space="preserve">Hauteur du profil : ≥ </w:t>
      </w:r>
      <w:r>
        <w:rPr>
          <w:rStyle w:val="optioncarChar"/>
        </w:rPr>
        <w:t xml:space="preserve">69 </w:t>
      </w:r>
      <w:r>
        <w:t>(par défaut)</w:t>
      </w:r>
      <w:r>
        <w:rPr>
          <w:rStyle w:val="optioncarChar"/>
        </w:rPr>
        <w:t xml:space="preserve"> / ***</w:t>
      </w:r>
      <w:r>
        <w:t xml:space="preserve"> mm.</w:t>
      </w:r>
    </w:p>
    <w:p w14:paraId="30EAF6AE" w14:textId="77777777" w:rsidR="00772179" w:rsidRDefault="00000000">
      <w:pPr>
        <w:pStyle w:val="Author-eListParagraph"/>
        <w:numPr>
          <w:ilvl w:val="0"/>
          <w:numId w:val="162"/>
        </w:numPr>
      </w:pPr>
      <w:r>
        <w:t xml:space="preserve">Profondeur du profil : ≥ </w:t>
      </w:r>
      <w:r>
        <w:rPr>
          <w:rStyle w:val="optioncarChar"/>
        </w:rPr>
        <w:t>85</w:t>
      </w:r>
      <w:r>
        <w:t xml:space="preserve"> (par défaut) </w:t>
      </w:r>
      <w:r>
        <w:rPr>
          <w:rStyle w:val="optioncarChar"/>
        </w:rPr>
        <w:t>/ 84 / ***</w:t>
      </w:r>
      <w:r>
        <w:t xml:space="preserve"> mm.</w:t>
      </w:r>
    </w:p>
    <w:p w14:paraId="41062F2D" w14:textId="77777777" w:rsidR="00772179" w:rsidRDefault="00000000">
      <w:pPr>
        <w:pStyle w:val="Author-eListParagraph"/>
        <w:numPr>
          <w:ilvl w:val="0"/>
          <w:numId w:val="162"/>
        </w:numPr>
      </w:pPr>
      <w:r>
        <w:t xml:space="preserve">Epaisseur des parois extérieures des profilés de résistance : ≥ à </w:t>
      </w:r>
      <w:r>
        <w:rPr>
          <w:rStyle w:val="optioncarChar"/>
        </w:rPr>
        <w:t>2,5</w:t>
      </w:r>
      <w:r>
        <w:t xml:space="preserve"> (par défaut) </w:t>
      </w:r>
      <w:r>
        <w:rPr>
          <w:rStyle w:val="optioncarChar"/>
        </w:rPr>
        <w:t>/ ***</w:t>
      </w:r>
      <w:r>
        <w:t xml:space="preserve"> mm.</w:t>
      </w:r>
    </w:p>
    <w:p w14:paraId="254CB381" w14:textId="77777777" w:rsidR="00772179" w:rsidRDefault="00000000">
      <w:pPr>
        <w:jc w:val="both"/>
      </w:pPr>
      <w:r>
        <w:rPr>
          <w:u w:val="single"/>
        </w:rPr>
        <w:t>Vantail :</w:t>
      </w:r>
    </w:p>
    <w:p w14:paraId="0A8F33C2" w14:textId="77777777" w:rsidR="00772179" w:rsidRDefault="00000000">
      <w:pPr>
        <w:pStyle w:val="Author-eListParagraph"/>
        <w:numPr>
          <w:ilvl w:val="0"/>
          <w:numId w:val="163"/>
        </w:numPr>
      </w:pPr>
      <w:r>
        <w:t xml:space="preserve">Hauteur du profil : ≥ </w:t>
      </w:r>
      <w:r>
        <w:rPr>
          <w:rStyle w:val="optioncarChar"/>
        </w:rPr>
        <w:t xml:space="preserve">74 </w:t>
      </w:r>
      <w:r>
        <w:t>(par défaut)</w:t>
      </w:r>
      <w:r>
        <w:rPr>
          <w:rStyle w:val="optioncarChar"/>
        </w:rPr>
        <w:t xml:space="preserve"> / 94 / 106 / ***</w:t>
      </w:r>
      <w:r>
        <w:t xml:space="preserve"> mm.</w:t>
      </w:r>
    </w:p>
    <w:p w14:paraId="32C14F6D" w14:textId="77777777" w:rsidR="00772179" w:rsidRDefault="00000000">
      <w:pPr>
        <w:pStyle w:val="Author-eListParagraph"/>
        <w:numPr>
          <w:ilvl w:val="0"/>
          <w:numId w:val="163"/>
        </w:numPr>
      </w:pPr>
      <w:r>
        <w:t xml:space="preserve">Profondeur du profil : ≥ </w:t>
      </w:r>
      <w:r>
        <w:rPr>
          <w:rStyle w:val="optioncarChar"/>
        </w:rPr>
        <w:t>76</w:t>
      </w:r>
      <w:r>
        <w:t xml:space="preserve"> (par défaut) </w:t>
      </w:r>
      <w:r>
        <w:rPr>
          <w:rStyle w:val="optioncarChar"/>
        </w:rPr>
        <w:t>/ 84 / ***</w:t>
      </w:r>
      <w:r>
        <w:t xml:space="preserve"> mm.</w:t>
      </w:r>
    </w:p>
    <w:p w14:paraId="3D10DA0C" w14:textId="77777777" w:rsidR="00772179" w:rsidRDefault="00000000">
      <w:pPr>
        <w:pStyle w:val="Author-eListParagraph"/>
        <w:numPr>
          <w:ilvl w:val="0"/>
          <w:numId w:val="163"/>
        </w:numPr>
      </w:pPr>
      <w:r>
        <w:t xml:space="preserve">Epaisseur des parois extérieures des profilés de résistance : ≥ à </w:t>
      </w:r>
      <w:r>
        <w:rPr>
          <w:rStyle w:val="optioncarChar"/>
        </w:rPr>
        <w:t xml:space="preserve">2,5 </w:t>
      </w:r>
      <w:r>
        <w:t xml:space="preserve">(par défaut) </w:t>
      </w:r>
      <w:r>
        <w:rPr>
          <w:rStyle w:val="optioncarChar"/>
        </w:rPr>
        <w:t>/ ***</w:t>
      </w:r>
      <w:r>
        <w:t xml:space="preserve"> mm.</w:t>
      </w:r>
    </w:p>
    <w:p w14:paraId="4A89C2D8" w14:textId="77777777" w:rsidR="00772179" w:rsidRDefault="00000000">
      <w:pPr>
        <w:pStyle w:val="Author-eListParagraph"/>
        <w:numPr>
          <w:ilvl w:val="0"/>
          <w:numId w:val="163"/>
        </w:numPr>
      </w:pPr>
      <w:r>
        <w:t xml:space="preserve">Type de frappe : </w:t>
      </w:r>
      <w:r>
        <w:rPr>
          <w:rStyle w:val="optioncarChar"/>
        </w:rPr>
        <w:t xml:space="preserve">double avec joint central </w:t>
      </w:r>
      <w:r>
        <w:t>(par défaut)</w:t>
      </w:r>
      <w:r>
        <w:rPr>
          <w:rStyle w:val="optioncarChar"/>
        </w:rPr>
        <w:t xml:space="preserve"> / ***</w:t>
      </w:r>
      <w:r>
        <w:t>.</w:t>
      </w:r>
    </w:p>
    <w:p w14:paraId="2204B30F" w14:textId="77777777" w:rsidR="00772179" w:rsidRDefault="00000000">
      <w:pPr>
        <w:pStyle w:val="Author-eListParagraph"/>
        <w:numPr>
          <w:ilvl w:val="0"/>
          <w:numId w:val="163"/>
        </w:numPr>
      </w:pPr>
      <w:r>
        <w:t xml:space="preserve">Etanchéité à l’air et à l’eau des parties ouvrantes : </w:t>
      </w:r>
      <w:r>
        <w:rPr>
          <w:rStyle w:val="optioncarChar"/>
        </w:rPr>
        <w:t xml:space="preserve">double </w:t>
      </w:r>
      <w:r>
        <w:t>(par défaut)</w:t>
      </w:r>
      <w:r>
        <w:rPr>
          <w:rStyle w:val="optioncarChar"/>
        </w:rPr>
        <w:t xml:space="preserve"> / ***</w:t>
      </w:r>
      <w:r>
        <w:t>.</w:t>
      </w:r>
    </w:p>
    <w:p w14:paraId="29561114" w14:textId="77777777" w:rsidR="00772179" w:rsidRDefault="00000000">
      <w:pPr>
        <w:jc w:val="both"/>
      </w:pPr>
      <w:r>
        <w:lastRenderedPageBreak/>
        <w:t>Les bandes d'étanchéité sont fabriquées en néoprène ou matière synthétique et sont enroulées dans le profil ou extrudées avec le profilé. Elles sont toujours appliquées en longueurs complètes, dans les angles et sont enroulées ou soudées en onglet. Seules les étanchéités originales et prescrites par le fournisseur des profilés sont utilisées. Elles font également partie de l'agrément technique obtenu pour le système de profilés.</w:t>
      </w:r>
    </w:p>
    <w:p w14:paraId="65DA02CE" w14:textId="77777777" w:rsidR="00772179" w:rsidRDefault="00000000">
      <w:pPr>
        <w:jc w:val="both"/>
      </w:pPr>
      <w:r>
        <w:rPr>
          <w:u w:val="single"/>
        </w:rPr>
        <w:t>Performances :</w:t>
      </w:r>
    </w:p>
    <w:p w14:paraId="77AA912B" w14:textId="77777777" w:rsidR="00772179" w:rsidRDefault="00000000">
      <w:pPr>
        <w:pStyle w:val="Author-eListParagraph"/>
        <w:numPr>
          <w:ilvl w:val="0"/>
          <w:numId w:val="164"/>
        </w:numPr>
      </w:pPr>
      <w:r>
        <w:t xml:space="preserve">Performances thermiques de la fenêtre calculée suivant [NBN EN 12412-2] ou [NBN EN ISO 10077-2] : valeur Uw : </w:t>
      </w:r>
      <w:r>
        <w:rPr>
          <w:rStyle w:val="optioncarChar"/>
        </w:rPr>
        <w:t xml:space="preserve">conforme aux résultats de l’étude PEB </w:t>
      </w:r>
      <w:r>
        <w:t>(par défaut)</w:t>
      </w:r>
      <w:r>
        <w:rPr>
          <w:rStyle w:val="optioncarChar"/>
        </w:rPr>
        <w:t xml:space="preserve"> / ≤ à 0,8 (triple vitrage) / ≤ à 1,30 (double vitrage) / ***</w:t>
      </w:r>
      <w:r>
        <w:t xml:space="preserve"> W/m²K</w:t>
      </w:r>
    </w:p>
    <w:p w14:paraId="659013E2" w14:textId="77777777" w:rsidR="00772179" w:rsidRDefault="00000000">
      <w:pPr>
        <w:pStyle w:val="Author-eListParagraph"/>
        <w:numPr>
          <w:ilvl w:val="0"/>
          <w:numId w:val="164"/>
        </w:numPr>
      </w:pPr>
      <w:r>
        <w:t xml:space="preserve">Remplissage : voir descriptif au chapitre </w:t>
      </w:r>
      <w:hyperlink w:anchor="852" w:history="1">
        <w:r>
          <w:rPr>
            <w:color w:val="0000EE"/>
          </w:rPr>
          <w:t>42 Vitrages extérieurs et éléments de remplissage</w:t>
        </w:r>
      </w:hyperlink>
      <w:r>
        <w:t>.</w:t>
      </w:r>
    </w:p>
    <w:p w14:paraId="6357A947" w14:textId="77777777" w:rsidR="00772179" w:rsidRDefault="00000000">
      <w:pPr>
        <w:pStyle w:val="Author-eListParagraph"/>
        <w:numPr>
          <w:ilvl w:val="0"/>
          <w:numId w:val="164"/>
        </w:numPr>
      </w:pPr>
      <w:r>
        <w:t xml:space="preserve">Etanchéité à l’air : classe </w:t>
      </w:r>
      <w:r>
        <w:rPr>
          <w:rStyle w:val="optioncarChar"/>
        </w:rPr>
        <w:t xml:space="preserve">4 </w:t>
      </w:r>
      <w:r>
        <w:t>(par défaut)</w:t>
      </w:r>
      <w:r>
        <w:rPr>
          <w:rStyle w:val="optioncarChar"/>
        </w:rPr>
        <w:t xml:space="preserve"> / ***</w:t>
      </w:r>
    </w:p>
    <w:p w14:paraId="35060360" w14:textId="77777777" w:rsidR="00772179" w:rsidRDefault="00000000">
      <w:pPr>
        <w:pStyle w:val="Author-eListParagraph"/>
        <w:numPr>
          <w:ilvl w:val="0"/>
          <w:numId w:val="164"/>
        </w:numPr>
      </w:pPr>
      <w:r>
        <w:t xml:space="preserve">Etanchéité à l’eau : classe </w:t>
      </w:r>
      <w:r>
        <w:rPr>
          <w:rStyle w:val="optioncarChar"/>
        </w:rPr>
        <w:t>6A</w:t>
      </w:r>
      <w:r>
        <w:t xml:space="preserve"> (par défaut) </w:t>
      </w:r>
      <w:r>
        <w:rPr>
          <w:rStyle w:val="optioncarChar"/>
        </w:rPr>
        <w:t>/ ***</w:t>
      </w:r>
    </w:p>
    <w:p w14:paraId="42BC5A02" w14:textId="77777777" w:rsidR="00772179" w:rsidRDefault="00000000">
      <w:pPr>
        <w:pStyle w:val="Author-eListParagraph"/>
        <w:numPr>
          <w:ilvl w:val="0"/>
          <w:numId w:val="164"/>
        </w:numPr>
      </w:pPr>
      <w:r>
        <w:t xml:space="preserve">Résistance au Vent : classe </w:t>
      </w:r>
      <w:r>
        <w:rPr>
          <w:rStyle w:val="optioncarChar"/>
        </w:rPr>
        <w:t xml:space="preserve">C3 </w:t>
      </w:r>
      <w:r>
        <w:t xml:space="preserve">(par défaut) </w:t>
      </w:r>
      <w:r>
        <w:rPr>
          <w:rStyle w:val="optioncarChar"/>
        </w:rPr>
        <w:t>/ ***</w:t>
      </w:r>
    </w:p>
    <w:p w14:paraId="4ED5DA4A" w14:textId="77777777" w:rsidR="00772179" w:rsidRDefault="00000000">
      <w:pPr>
        <w:pStyle w:val="Author-eListParagraph"/>
        <w:numPr>
          <w:ilvl w:val="0"/>
          <w:numId w:val="164"/>
        </w:numPr>
      </w:pPr>
      <w:r>
        <w:t xml:space="preserve">D’effort de manœuvre : classe </w:t>
      </w:r>
      <w:r>
        <w:rPr>
          <w:rStyle w:val="optioncarChar"/>
        </w:rPr>
        <w:t>1</w:t>
      </w:r>
      <w:r>
        <w:t xml:space="preserve"> (par défaut)</w:t>
      </w:r>
      <w:r>
        <w:rPr>
          <w:rStyle w:val="optioncarChar"/>
        </w:rPr>
        <w:t xml:space="preserve"> / 2 (PMR) / ***</w:t>
      </w:r>
    </w:p>
    <w:p w14:paraId="7D24215F" w14:textId="77777777" w:rsidR="00772179" w:rsidRDefault="00000000">
      <w:pPr>
        <w:pStyle w:val="Author-eListParagraph"/>
        <w:numPr>
          <w:ilvl w:val="0"/>
          <w:numId w:val="164"/>
        </w:numPr>
      </w:pPr>
      <w:r>
        <w:t xml:space="preserve">Abus d’utilisation : classe </w:t>
      </w:r>
      <w:r>
        <w:rPr>
          <w:rStyle w:val="optioncarChar"/>
        </w:rPr>
        <w:t>3</w:t>
      </w:r>
      <w:r>
        <w:t xml:space="preserve"> (par défaut)</w:t>
      </w:r>
      <w:r>
        <w:rPr>
          <w:rStyle w:val="optioncarChar"/>
        </w:rPr>
        <w:t xml:space="preserve"> / 4 (écoles, bâtiments publics) / ***</w:t>
      </w:r>
    </w:p>
    <w:p w14:paraId="6E212734" w14:textId="77777777" w:rsidR="00772179" w:rsidRDefault="00000000">
      <w:pPr>
        <w:pStyle w:val="Author-eListParagraph"/>
        <w:numPr>
          <w:ilvl w:val="0"/>
          <w:numId w:val="164"/>
        </w:numPr>
      </w:pPr>
      <w:r>
        <w:t xml:space="preserve">Performances acoustiques D Atr : ≥ </w:t>
      </w:r>
      <w:r>
        <w:rPr>
          <w:rStyle w:val="optioncarChar"/>
        </w:rPr>
        <w:t xml:space="preserve">39 </w:t>
      </w:r>
      <w:r>
        <w:t xml:space="preserve">(par défaut) </w:t>
      </w:r>
      <w:r>
        <w:rPr>
          <w:rStyle w:val="optioncarChar"/>
        </w:rPr>
        <w:t>/ 42 / ***</w:t>
      </w:r>
      <w:r>
        <w:t xml:space="preserve"> dB suivant [NBN S 01-400-1] (bâtiments) &amp; [NBN S 01-400-2] (écoles)</w:t>
      </w:r>
    </w:p>
    <w:p w14:paraId="08E9F319" w14:textId="77777777" w:rsidR="00772179" w:rsidRDefault="00000000">
      <w:pPr>
        <w:pStyle w:val="Author-eListParagraph"/>
        <w:numPr>
          <w:ilvl w:val="0"/>
          <w:numId w:val="164"/>
        </w:numPr>
      </w:pPr>
      <w:r>
        <w:t xml:space="preserve">Résistance à l’effraction : classe </w:t>
      </w:r>
      <w:r>
        <w:rPr>
          <w:rStyle w:val="optioncarChar"/>
        </w:rPr>
        <w:t xml:space="preserve">1 (sans performance particulière) </w:t>
      </w:r>
      <w:r>
        <w:t>(par défaut)</w:t>
      </w:r>
      <w:r>
        <w:rPr>
          <w:rStyle w:val="optioncarChar"/>
        </w:rPr>
        <w:t xml:space="preserve"> / 2 (résistance à l’effraction de base) / ***</w:t>
      </w:r>
    </w:p>
    <w:p w14:paraId="121FCDA4" w14:textId="77777777" w:rsidR="00772179" w:rsidRDefault="00000000">
      <w:pPr>
        <w:pStyle w:val="Author-eListParagraph"/>
        <w:numPr>
          <w:ilvl w:val="0"/>
          <w:numId w:val="164"/>
        </w:numPr>
      </w:pPr>
      <w:r>
        <w:t xml:space="preserve">Résistance à l’explosion : </w:t>
      </w:r>
      <w:r>
        <w:rPr>
          <w:rStyle w:val="optioncarChar"/>
        </w:rPr>
        <w:t xml:space="preserve">non spécifié </w:t>
      </w:r>
      <w:r>
        <w:t>(par défaut) </w:t>
      </w:r>
      <w:r>
        <w:rPr>
          <w:rStyle w:val="optioncarChar"/>
        </w:rPr>
        <w:t>/ ***</w:t>
      </w:r>
    </w:p>
    <w:p w14:paraId="6920D1F6" w14:textId="77777777" w:rsidR="00772179" w:rsidRDefault="00000000">
      <w:pPr>
        <w:pStyle w:val="Author-eListParagraph"/>
        <w:numPr>
          <w:ilvl w:val="0"/>
          <w:numId w:val="164"/>
        </w:numPr>
      </w:pPr>
      <w:r>
        <w:t xml:space="preserve">Résistance aux balles :  </w:t>
      </w:r>
      <w:r>
        <w:rPr>
          <w:rStyle w:val="optioncarChar"/>
        </w:rPr>
        <w:t xml:space="preserve">non spécifié </w:t>
      </w:r>
      <w:r>
        <w:t>(par défaut)</w:t>
      </w:r>
      <w:r>
        <w:rPr>
          <w:rStyle w:val="optioncarChar"/>
        </w:rPr>
        <w:t> / ***</w:t>
      </w:r>
    </w:p>
    <w:p w14:paraId="2B23ABDA" w14:textId="77777777" w:rsidR="00772179" w:rsidRDefault="00000000">
      <w:pPr>
        <w:pStyle w:val="Author-eListParagraph"/>
        <w:numPr>
          <w:ilvl w:val="0"/>
          <w:numId w:val="164"/>
        </w:numPr>
      </w:pPr>
      <w:r>
        <w:t xml:space="preserve">Résistance et réaction au feu : </w:t>
      </w:r>
      <w:r>
        <w:rPr>
          <w:rStyle w:val="optioncarChar"/>
        </w:rPr>
        <w:t>non spécifié</w:t>
      </w:r>
      <w:r>
        <w:t xml:space="preserve"> (par défaut) </w:t>
      </w:r>
      <w:r>
        <w:rPr>
          <w:rStyle w:val="optioncarChar"/>
        </w:rPr>
        <w:t>/ ***</w:t>
      </w:r>
    </w:p>
    <w:p w14:paraId="128489BD" w14:textId="77777777" w:rsidR="00772179" w:rsidRDefault="00000000">
      <w:pPr>
        <w:pStyle w:val="Author-eListParagraph"/>
        <w:numPr>
          <w:ilvl w:val="0"/>
          <w:numId w:val="164"/>
        </w:numPr>
      </w:pPr>
      <w:r>
        <w:t xml:space="preserve">Résistance aux chocs : classe </w:t>
      </w:r>
      <w:r>
        <w:rPr>
          <w:rStyle w:val="optioncarChar"/>
        </w:rPr>
        <w:t>2</w:t>
      </w:r>
      <w:r>
        <w:t xml:space="preserve"> (par défaut) </w:t>
      </w:r>
      <w:r>
        <w:rPr>
          <w:rStyle w:val="optioncarChar"/>
        </w:rPr>
        <w:t>/ ***</w:t>
      </w:r>
    </w:p>
    <w:p w14:paraId="01A4CC57" w14:textId="77777777" w:rsidR="00772179" w:rsidRDefault="00000000">
      <w:pPr>
        <w:jc w:val="both"/>
      </w:pPr>
      <w:r>
        <w:rPr>
          <w:b/>
        </w:rPr>
        <w:t>Assemblages</w:t>
      </w:r>
    </w:p>
    <w:p w14:paraId="2A3FCD52" w14:textId="77777777" w:rsidR="00772179" w:rsidRDefault="00000000">
      <w:pPr>
        <w:jc w:val="both"/>
      </w:pPr>
      <w:r>
        <w:t>Pour l'usinage, le traitement et la mise en place des profils préformés, il est toujours tenu compte des prescriptions du fournisseur du système.</w:t>
      </w:r>
    </w:p>
    <w:p w14:paraId="6CB4809B" w14:textId="77777777" w:rsidR="00772179" w:rsidRDefault="00000000">
      <w:pPr>
        <w:jc w:val="both"/>
      </w:pPr>
      <w:r>
        <w:t>Tous les assemblages sont réalisés à l'aide d'accessoires standards provenant du même fabricant que les profils et totalement adaptés aux assemblages.</w:t>
      </w:r>
    </w:p>
    <w:p w14:paraId="63B69A07" w14:textId="77777777" w:rsidR="00772179" w:rsidRDefault="00000000">
      <w:pPr>
        <w:jc w:val="both"/>
      </w:pPr>
      <w:r>
        <w:t>Les profils sont coupés et ébarbés. </w:t>
      </w:r>
    </w:p>
    <w:p w14:paraId="6F3FED5C" w14:textId="77777777" w:rsidR="00772179" w:rsidRDefault="00000000">
      <w:pPr>
        <w:jc w:val="both"/>
      </w:pPr>
      <w:r>
        <w:t>Les assemblages sont fraisés et ajustés de manière à respecter la forme des profils transversaux.</w:t>
      </w:r>
    </w:p>
    <w:p w14:paraId="0281D511" w14:textId="77777777" w:rsidR="00772179" w:rsidRDefault="00000000">
      <w:pPr>
        <w:jc w:val="both"/>
      </w:pPr>
      <w:r>
        <w:t>Les assemblages d’angle des profilés en PVC répondent aux exigences des normes [NBN EN 12608-1:2016+A1] suivant les essais de la norme [NBN EN 514]. Les soudures des assemblages d’angle sont ébavurées et égalisées sur toute leur longueur. Les surépaisseurs éventuelles sont ≤ 0.6 mm par rapport aux surfaces adjacentes après la finition.  En cas de finition par rainurage, la profondeur de la rainure est ≤ 0.3 mm.</w:t>
      </w:r>
    </w:p>
    <w:p w14:paraId="49D79D5B" w14:textId="77777777" w:rsidR="00772179" w:rsidRDefault="00000000">
      <w:pPr>
        <w:jc w:val="both"/>
      </w:pPr>
      <w:r>
        <w:t>Les assemblages en T sont vérifiés suivant la procédure décrite dans la [NBN B 25-002-5].</w:t>
      </w:r>
    </w:p>
    <w:p w14:paraId="6FBC7E08" w14:textId="77777777" w:rsidR="00772179" w:rsidRDefault="00000000">
      <w:pPr>
        <w:jc w:val="both"/>
      </w:pPr>
      <w:r>
        <w:rPr>
          <w:b/>
        </w:rPr>
        <w:t>Types de fenêtres et portes-fenêtres</w:t>
      </w:r>
    </w:p>
    <w:p w14:paraId="2D3BDECF" w14:textId="77777777" w:rsidR="00772179" w:rsidRDefault="00000000">
      <w:pPr>
        <w:jc w:val="both"/>
      </w:pPr>
      <w:r>
        <w:t>Les dimensions sont données dans le métré détaillé.</w:t>
      </w:r>
    </w:p>
    <w:p w14:paraId="6CDF863C" w14:textId="77777777" w:rsidR="00772179" w:rsidRDefault="00000000">
      <w:pPr>
        <w:jc w:val="both"/>
      </w:pPr>
      <w:r>
        <w:rPr>
          <w:u w:val="single"/>
        </w:rPr>
        <w:t>Fenêtres fixes :</w:t>
      </w:r>
    </w:p>
    <w:p w14:paraId="562DA03C"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triples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t>. </w:t>
      </w:r>
    </w:p>
    <w:p w14:paraId="2F690221" w14:textId="77777777" w:rsidR="00772179" w:rsidRDefault="00000000">
      <w:pPr>
        <w:jc w:val="both"/>
      </w:pPr>
      <w:r>
        <w:rPr>
          <w:u w:val="single"/>
        </w:rPr>
        <w:t>Fenêtres à vantaux ouvrants :</w:t>
      </w:r>
    </w:p>
    <w:p w14:paraId="6A8367C7"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triples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t>.</w:t>
      </w:r>
    </w:p>
    <w:p w14:paraId="4E313B8C" w14:textId="77777777" w:rsidR="00772179" w:rsidRDefault="00000000">
      <w:pPr>
        <w:jc w:val="both"/>
      </w:pPr>
      <w:r>
        <w:t>Quincailleries : </w:t>
      </w:r>
      <w:r>
        <w:rPr>
          <w:rStyle w:val="optioncarChar"/>
        </w:rPr>
        <w:t>conformes à la documentation technique du produit </w:t>
      </w:r>
      <w:r>
        <w:t>(par défaut)</w:t>
      </w:r>
      <w:r>
        <w:rPr>
          <w:rStyle w:val="optioncarChar"/>
        </w:rPr>
        <w:t> / ***</w:t>
      </w:r>
      <w:r>
        <w:t>.</w:t>
      </w:r>
    </w:p>
    <w:p w14:paraId="51C6462C" w14:textId="77777777" w:rsidR="00772179" w:rsidRDefault="00000000">
      <w:pPr>
        <w:pStyle w:val="Author-eListParagraph"/>
        <w:numPr>
          <w:ilvl w:val="0"/>
          <w:numId w:val="165"/>
        </w:numPr>
      </w:pPr>
      <w:r>
        <w:t>Cfr. article </w:t>
      </w:r>
      <w:hyperlink w:anchor="881" w:history="1">
        <w:r>
          <w:rPr>
            <w:color w:val="0000EE"/>
          </w:rPr>
          <w:t>41.72.1a Charnières et paumelles</w:t>
        </w:r>
      </w:hyperlink>
    </w:p>
    <w:p w14:paraId="3E7ED76F" w14:textId="77777777" w:rsidR="00772179" w:rsidRDefault="00000000">
      <w:pPr>
        <w:pStyle w:val="Author-eListParagraph"/>
        <w:numPr>
          <w:ilvl w:val="0"/>
          <w:numId w:val="165"/>
        </w:numPr>
      </w:pPr>
      <w:r>
        <w:lastRenderedPageBreak/>
        <w:t>Cfr. article </w:t>
      </w:r>
      <w:hyperlink w:anchor="882" w:history="1">
        <w:r>
          <w:rPr>
            <w:color w:val="0000EE"/>
          </w:rPr>
          <w:t>41.72.3a Poignées</w:t>
        </w:r>
      </w:hyperlink>
    </w:p>
    <w:p w14:paraId="231B81D0" w14:textId="77777777" w:rsidR="00772179" w:rsidRDefault="00000000">
      <w:pPr>
        <w:jc w:val="both"/>
      </w:pPr>
      <w:r>
        <w:rPr>
          <w:u w:val="single"/>
        </w:rPr>
        <w:t>Fenêtres oscillo-battantes :</w:t>
      </w:r>
    </w:p>
    <w:p w14:paraId="714FBCC9"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triples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t>.</w:t>
      </w:r>
    </w:p>
    <w:p w14:paraId="1B0A5C04" w14:textId="77777777" w:rsidR="00772179" w:rsidRDefault="00000000">
      <w:pPr>
        <w:jc w:val="both"/>
      </w:pPr>
      <w:r>
        <w:t>Quincailleries : </w:t>
      </w:r>
      <w:r>
        <w:rPr>
          <w:rStyle w:val="optioncarChar"/>
        </w:rPr>
        <w:t>conformes à la documentation technique du produit </w:t>
      </w:r>
      <w:r>
        <w:t>(par défaut)</w:t>
      </w:r>
      <w:r>
        <w:rPr>
          <w:rStyle w:val="optioncarChar"/>
        </w:rPr>
        <w:t> / ***</w:t>
      </w:r>
      <w:r>
        <w:t>.</w:t>
      </w:r>
    </w:p>
    <w:p w14:paraId="7778B5A1" w14:textId="77777777" w:rsidR="00772179" w:rsidRDefault="00000000">
      <w:pPr>
        <w:pStyle w:val="Author-eListParagraph"/>
        <w:numPr>
          <w:ilvl w:val="0"/>
          <w:numId w:val="166"/>
        </w:numPr>
      </w:pPr>
      <w:r>
        <w:t>Cfr. article </w:t>
      </w:r>
      <w:hyperlink w:anchor="881" w:history="1">
        <w:r>
          <w:rPr>
            <w:color w:val="0000EE"/>
          </w:rPr>
          <w:t>41.72.1a Charnières et paumelles</w:t>
        </w:r>
      </w:hyperlink>
    </w:p>
    <w:p w14:paraId="6CDCD9D2" w14:textId="77777777" w:rsidR="00772179" w:rsidRDefault="00000000">
      <w:pPr>
        <w:pStyle w:val="Author-eListParagraph"/>
        <w:numPr>
          <w:ilvl w:val="0"/>
          <w:numId w:val="166"/>
        </w:numPr>
      </w:pPr>
      <w:r>
        <w:t>Cfr. article </w:t>
      </w:r>
      <w:hyperlink w:anchor="882" w:history="1">
        <w:r>
          <w:rPr>
            <w:color w:val="0000EE"/>
          </w:rPr>
          <w:t>41.72.3a Poignées</w:t>
        </w:r>
      </w:hyperlink>
    </w:p>
    <w:p w14:paraId="6F9D42B3" w14:textId="77777777" w:rsidR="00772179" w:rsidRDefault="00000000">
      <w:pPr>
        <w:jc w:val="both"/>
      </w:pPr>
      <w:r>
        <w:rPr>
          <w:u w:val="single"/>
        </w:rPr>
        <w:t>Fenêtres basculantes :</w:t>
      </w:r>
    </w:p>
    <w:p w14:paraId="7F14BF24"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triples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t>.</w:t>
      </w:r>
    </w:p>
    <w:p w14:paraId="59F5BA7E" w14:textId="77777777" w:rsidR="00772179" w:rsidRDefault="00000000">
      <w:pPr>
        <w:jc w:val="both"/>
      </w:pPr>
      <w:r>
        <w:t>Quincailleries : </w:t>
      </w:r>
      <w:r>
        <w:rPr>
          <w:rStyle w:val="optioncarChar"/>
        </w:rPr>
        <w:t>conformes à la documentation technique du produit </w:t>
      </w:r>
      <w:r>
        <w:t>(par défaut)</w:t>
      </w:r>
      <w:r>
        <w:rPr>
          <w:rStyle w:val="optioncarChar"/>
        </w:rPr>
        <w:t> / ***</w:t>
      </w:r>
      <w:r>
        <w:t>.</w:t>
      </w:r>
    </w:p>
    <w:p w14:paraId="43005BB3" w14:textId="77777777" w:rsidR="00772179" w:rsidRDefault="00000000">
      <w:pPr>
        <w:pStyle w:val="Author-eListParagraph"/>
        <w:numPr>
          <w:ilvl w:val="0"/>
          <w:numId w:val="167"/>
        </w:numPr>
      </w:pPr>
      <w:r>
        <w:t>Cfr. article </w:t>
      </w:r>
      <w:hyperlink w:anchor="881" w:history="1">
        <w:r>
          <w:rPr>
            <w:color w:val="0000EE"/>
          </w:rPr>
          <w:t>41.72.1a Charnières et paumelles</w:t>
        </w:r>
      </w:hyperlink>
    </w:p>
    <w:p w14:paraId="7FCAB964" w14:textId="77777777" w:rsidR="00772179" w:rsidRDefault="00000000">
      <w:pPr>
        <w:pStyle w:val="Author-eListParagraph"/>
        <w:numPr>
          <w:ilvl w:val="0"/>
          <w:numId w:val="167"/>
        </w:numPr>
      </w:pPr>
      <w:r>
        <w:t>Cfr. article </w:t>
      </w:r>
      <w:hyperlink w:anchor="882" w:history="1">
        <w:r>
          <w:rPr>
            <w:color w:val="0000EE"/>
          </w:rPr>
          <w:t>41.72.3a Poignées</w:t>
        </w:r>
      </w:hyperlink>
    </w:p>
    <w:p w14:paraId="1F372997" w14:textId="77777777" w:rsidR="00772179" w:rsidRDefault="00000000">
      <w:pPr>
        <w:jc w:val="both"/>
      </w:pPr>
      <w:r>
        <w:rPr>
          <w:u w:val="single"/>
        </w:rPr>
        <w:t>Fenêtres projetantes :</w:t>
      </w:r>
    </w:p>
    <w:p w14:paraId="22434DDD"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triples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t>.</w:t>
      </w:r>
    </w:p>
    <w:p w14:paraId="0B0EE01E" w14:textId="77777777" w:rsidR="00772179" w:rsidRDefault="00000000">
      <w:pPr>
        <w:jc w:val="both"/>
      </w:pPr>
      <w:r>
        <w:t>Quincailleries : </w:t>
      </w:r>
      <w:r>
        <w:rPr>
          <w:rStyle w:val="optioncarChar"/>
        </w:rPr>
        <w:t>conformes à la documentation technique du produit </w:t>
      </w:r>
      <w:r>
        <w:t>(par défaut)</w:t>
      </w:r>
      <w:r>
        <w:rPr>
          <w:rStyle w:val="optioncarChar"/>
        </w:rPr>
        <w:t> / ***</w:t>
      </w:r>
      <w:r>
        <w:t>.</w:t>
      </w:r>
    </w:p>
    <w:p w14:paraId="54B8A7A7" w14:textId="77777777" w:rsidR="00772179" w:rsidRDefault="00000000">
      <w:pPr>
        <w:pStyle w:val="Author-eListParagraph"/>
        <w:numPr>
          <w:ilvl w:val="0"/>
          <w:numId w:val="168"/>
        </w:numPr>
      </w:pPr>
      <w:r>
        <w:t>Cfr. article </w:t>
      </w:r>
      <w:hyperlink w:anchor="881" w:history="1">
        <w:r>
          <w:rPr>
            <w:color w:val="0000EE"/>
          </w:rPr>
          <w:t>41.72.1a Charnières et paumelles</w:t>
        </w:r>
      </w:hyperlink>
    </w:p>
    <w:p w14:paraId="4B0499D1" w14:textId="77777777" w:rsidR="00772179" w:rsidRDefault="00000000">
      <w:pPr>
        <w:pStyle w:val="Author-eListParagraph"/>
        <w:numPr>
          <w:ilvl w:val="0"/>
          <w:numId w:val="168"/>
        </w:numPr>
      </w:pPr>
      <w:r>
        <w:t>Cfr. article </w:t>
      </w:r>
      <w:hyperlink w:anchor="882" w:history="1">
        <w:r>
          <w:rPr>
            <w:color w:val="0000EE"/>
          </w:rPr>
          <w:t>41.72.3a Poignées</w:t>
        </w:r>
      </w:hyperlink>
    </w:p>
    <w:p w14:paraId="0A8DD333" w14:textId="77777777" w:rsidR="00772179" w:rsidRDefault="00000000">
      <w:pPr>
        <w:jc w:val="both"/>
      </w:pPr>
      <w:r>
        <w:rPr>
          <w:u w:val="single"/>
        </w:rPr>
        <w:t>Fenêtres pivotantes ou basculantes :</w:t>
      </w:r>
    </w:p>
    <w:p w14:paraId="7DEC110F"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triples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t>.</w:t>
      </w:r>
    </w:p>
    <w:p w14:paraId="64575BDE" w14:textId="77777777" w:rsidR="00772179" w:rsidRDefault="00000000">
      <w:pPr>
        <w:jc w:val="both"/>
      </w:pPr>
      <w:r>
        <w:t>Quincailleries : </w:t>
      </w:r>
      <w:r>
        <w:rPr>
          <w:rStyle w:val="optioncarChar"/>
        </w:rPr>
        <w:t>conformes à la documentation technique du produit </w:t>
      </w:r>
      <w:r>
        <w:t>(par défaut)</w:t>
      </w:r>
      <w:r>
        <w:rPr>
          <w:rStyle w:val="optioncarChar"/>
        </w:rPr>
        <w:t> / ***</w:t>
      </w:r>
      <w:r>
        <w:t>.</w:t>
      </w:r>
    </w:p>
    <w:p w14:paraId="066C3163" w14:textId="77777777" w:rsidR="00772179" w:rsidRDefault="00000000">
      <w:pPr>
        <w:pStyle w:val="Author-eListParagraph"/>
        <w:numPr>
          <w:ilvl w:val="0"/>
          <w:numId w:val="169"/>
        </w:numPr>
      </w:pPr>
      <w:r>
        <w:t>Cfr. article </w:t>
      </w:r>
      <w:hyperlink w:anchor="881" w:history="1">
        <w:r>
          <w:rPr>
            <w:color w:val="0000EE"/>
          </w:rPr>
          <w:t>41.72.1a Charnières et paumelles</w:t>
        </w:r>
      </w:hyperlink>
    </w:p>
    <w:p w14:paraId="7FAF5F5A" w14:textId="77777777" w:rsidR="00772179" w:rsidRDefault="00000000">
      <w:pPr>
        <w:pStyle w:val="Author-eListParagraph"/>
        <w:numPr>
          <w:ilvl w:val="0"/>
          <w:numId w:val="169"/>
        </w:numPr>
      </w:pPr>
      <w:r>
        <w:t>Cfr. article </w:t>
      </w:r>
      <w:hyperlink w:anchor="882" w:history="1">
        <w:r>
          <w:rPr>
            <w:color w:val="0000EE"/>
          </w:rPr>
          <w:t>41.72.3a Poignées</w:t>
        </w:r>
      </w:hyperlink>
    </w:p>
    <w:p w14:paraId="05EA0F56" w14:textId="77777777" w:rsidR="00772179" w:rsidRDefault="00000000">
      <w:pPr>
        <w:jc w:val="both"/>
      </w:pPr>
      <w:r>
        <w:rPr>
          <w:u w:val="single"/>
        </w:rPr>
        <w:t>Fenêtres coulissantes :</w:t>
      </w:r>
    </w:p>
    <w:p w14:paraId="7F5B11A8"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triples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t>.</w:t>
      </w:r>
    </w:p>
    <w:p w14:paraId="63C15BCE" w14:textId="77777777" w:rsidR="00772179" w:rsidRDefault="00000000">
      <w:pPr>
        <w:jc w:val="both"/>
      </w:pPr>
      <w:r>
        <w:t>Quincailleries : </w:t>
      </w:r>
      <w:r>
        <w:rPr>
          <w:rStyle w:val="optioncarChar"/>
        </w:rPr>
        <w:t>conformes à la documentation technique du produit </w:t>
      </w:r>
      <w:r>
        <w:t>(par défaut)</w:t>
      </w:r>
      <w:r>
        <w:rPr>
          <w:rStyle w:val="optioncarChar"/>
        </w:rPr>
        <w:t> / ***</w:t>
      </w:r>
      <w:r>
        <w:t>.</w:t>
      </w:r>
    </w:p>
    <w:p w14:paraId="0BEBDEC2" w14:textId="77777777" w:rsidR="00772179" w:rsidRDefault="00000000">
      <w:pPr>
        <w:pStyle w:val="Author-eListParagraph"/>
        <w:numPr>
          <w:ilvl w:val="0"/>
          <w:numId w:val="170"/>
        </w:numPr>
      </w:pPr>
      <w:r>
        <w:t>Cfr. article </w:t>
      </w:r>
      <w:hyperlink w:anchor="881" w:history="1">
        <w:r>
          <w:rPr>
            <w:color w:val="0000EE"/>
          </w:rPr>
          <w:t>41.72.1a Charnières et paumelles</w:t>
        </w:r>
      </w:hyperlink>
    </w:p>
    <w:p w14:paraId="72CD61AF" w14:textId="77777777" w:rsidR="00772179" w:rsidRDefault="00000000">
      <w:pPr>
        <w:pStyle w:val="Author-eListParagraph"/>
        <w:numPr>
          <w:ilvl w:val="0"/>
          <w:numId w:val="170"/>
        </w:numPr>
      </w:pPr>
      <w:r>
        <w:t>Cfr. article </w:t>
      </w:r>
      <w:hyperlink w:anchor="882" w:history="1">
        <w:r>
          <w:rPr>
            <w:color w:val="0000EE"/>
          </w:rPr>
          <w:t>41.72.3a Poignées</w:t>
        </w:r>
      </w:hyperlink>
    </w:p>
    <w:p w14:paraId="4C297308" w14:textId="77777777" w:rsidR="00772179" w:rsidRDefault="00000000">
      <w:pPr>
        <w:jc w:val="both"/>
      </w:pPr>
      <w:r>
        <w:rPr>
          <w:u w:val="single"/>
        </w:rPr>
        <w:t>Fenêtres levantes-coulissantes :</w:t>
      </w:r>
    </w:p>
    <w:p w14:paraId="6D2EC881"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triples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t>.</w:t>
      </w:r>
    </w:p>
    <w:p w14:paraId="36CEEB75" w14:textId="77777777" w:rsidR="00772179" w:rsidRDefault="00000000">
      <w:pPr>
        <w:jc w:val="both"/>
      </w:pPr>
      <w:r>
        <w:t>Quincailleries : </w:t>
      </w:r>
      <w:r>
        <w:rPr>
          <w:rStyle w:val="optioncarChar"/>
        </w:rPr>
        <w:t>conformes à la documentation technique du produit </w:t>
      </w:r>
      <w:r>
        <w:t>(par défaut)</w:t>
      </w:r>
      <w:r>
        <w:rPr>
          <w:rStyle w:val="optioncarChar"/>
        </w:rPr>
        <w:t> / ***</w:t>
      </w:r>
      <w:r>
        <w:t>.</w:t>
      </w:r>
    </w:p>
    <w:p w14:paraId="3B2BC53D" w14:textId="77777777" w:rsidR="00772179" w:rsidRDefault="00000000">
      <w:pPr>
        <w:pStyle w:val="Author-eListParagraph"/>
        <w:numPr>
          <w:ilvl w:val="0"/>
          <w:numId w:val="171"/>
        </w:numPr>
      </w:pPr>
      <w:r>
        <w:t>Cfr. article </w:t>
      </w:r>
      <w:hyperlink w:anchor="881" w:history="1">
        <w:r>
          <w:rPr>
            <w:color w:val="0000EE"/>
          </w:rPr>
          <w:t>41.72.1a Charnières et paumelles</w:t>
        </w:r>
      </w:hyperlink>
    </w:p>
    <w:p w14:paraId="193A97EB" w14:textId="77777777" w:rsidR="00772179" w:rsidRDefault="00000000">
      <w:pPr>
        <w:pStyle w:val="Author-eListParagraph"/>
        <w:numPr>
          <w:ilvl w:val="0"/>
          <w:numId w:val="171"/>
        </w:numPr>
      </w:pPr>
      <w:r>
        <w:t>Cfr. article </w:t>
      </w:r>
      <w:hyperlink w:anchor="882" w:history="1">
        <w:r>
          <w:rPr>
            <w:color w:val="0000EE"/>
          </w:rPr>
          <w:t>41.72.3a Poignées</w:t>
        </w:r>
      </w:hyperlink>
    </w:p>
    <w:p w14:paraId="77E2D547" w14:textId="77777777" w:rsidR="00772179" w:rsidRDefault="00000000">
      <w:pPr>
        <w:jc w:val="both"/>
      </w:pPr>
      <w:r>
        <w:rPr>
          <w:u w:val="single"/>
        </w:rPr>
        <w:t>Fenêtres basculantes-coulissantes :</w:t>
      </w:r>
    </w:p>
    <w:p w14:paraId="541D0CDD" w14:textId="77777777" w:rsidR="00772179" w:rsidRDefault="00000000">
      <w:pPr>
        <w:jc w:val="both"/>
      </w:pPr>
      <w:r>
        <w:lastRenderedPageBreak/>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triples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t>.</w:t>
      </w:r>
    </w:p>
    <w:p w14:paraId="79834EBA" w14:textId="77777777" w:rsidR="00772179" w:rsidRDefault="00000000">
      <w:pPr>
        <w:jc w:val="both"/>
      </w:pPr>
      <w:r>
        <w:t>Quincailleries : </w:t>
      </w:r>
      <w:r>
        <w:rPr>
          <w:rStyle w:val="optioncarChar"/>
        </w:rPr>
        <w:t>conformes à la documentation technique du produit </w:t>
      </w:r>
      <w:r>
        <w:t>(par défaut)</w:t>
      </w:r>
      <w:r>
        <w:rPr>
          <w:rStyle w:val="optioncarChar"/>
        </w:rPr>
        <w:t> / ***</w:t>
      </w:r>
      <w:r>
        <w:t>.</w:t>
      </w:r>
    </w:p>
    <w:p w14:paraId="3D702A9C" w14:textId="77777777" w:rsidR="00772179" w:rsidRDefault="00000000">
      <w:pPr>
        <w:pStyle w:val="Author-eListParagraph"/>
        <w:numPr>
          <w:ilvl w:val="0"/>
          <w:numId w:val="172"/>
        </w:numPr>
      </w:pPr>
      <w:r>
        <w:t>Cfr. article </w:t>
      </w:r>
      <w:hyperlink w:anchor="881" w:history="1">
        <w:r>
          <w:rPr>
            <w:color w:val="0000EE"/>
          </w:rPr>
          <w:t>41.72.1a Charnières et paumelles</w:t>
        </w:r>
      </w:hyperlink>
    </w:p>
    <w:p w14:paraId="131F7206" w14:textId="77777777" w:rsidR="00772179" w:rsidRDefault="00000000">
      <w:pPr>
        <w:pStyle w:val="Author-eListParagraph"/>
        <w:numPr>
          <w:ilvl w:val="0"/>
          <w:numId w:val="172"/>
        </w:numPr>
      </w:pPr>
      <w:r>
        <w:t>Cfr. article </w:t>
      </w:r>
      <w:hyperlink w:anchor="882" w:history="1">
        <w:r>
          <w:rPr>
            <w:color w:val="0000EE"/>
          </w:rPr>
          <w:t>41.72.3a Poignées</w:t>
        </w:r>
      </w:hyperlink>
    </w:p>
    <w:p w14:paraId="3866115E" w14:textId="77777777" w:rsidR="00772179" w:rsidRDefault="00000000">
      <w:pPr>
        <w:jc w:val="both"/>
      </w:pPr>
      <w:r>
        <w:rPr>
          <w:u w:val="single"/>
        </w:rPr>
        <w:t>Fenêtres obliques / inclinées :</w:t>
      </w:r>
    </w:p>
    <w:p w14:paraId="3EB51E09"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triples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t>.</w:t>
      </w:r>
    </w:p>
    <w:p w14:paraId="454E25C5" w14:textId="77777777" w:rsidR="00772179" w:rsidRDefault="00000000">
      <w:pPr>
        <w:jc w:val="both"/>
      </w:pPr>
      <w:r>
        <w:t>Quincailleries : </w:t>
      </w:r>
      <w:r>
        <w:rPr>
          <w:rStyle w:val="optioncarChar"/>
        </w:rPr>
        <w:t>conformes à la documentation technique du produit </w:t>
      </w:r>
      <w:r>
        <w:t>(par défaut)</w:t>
      </w:r>
      <w:r>
        <w:rPr>
          <w:rStyle w:val="optioncarChar"/>
        </w:rPr>
        <w:t> / ***</w:t>
      </w:r>
      <w:r>
        <w:t>.</w:t>
      </w:r>
    </w:p>
    <w:p w14:paraId="620BE2FC" w14:textId="77777777" w:rsidR="00772179" w:rsidRDefault="00000000">
      <w:pPr>
        <w:pStyle w:val="Author-eListParagraph"/>
        <w:numPr>
          <w:ilvl w:val="0"/>
          <w:numId w:val="173"/>
        </w:numPr>
      </w:pPr>
      <w:r>
        <w:t>Cfr. article </w:t>
      </w:r>
      <w:hyperlink w:anchor="881" w:history="1">
        <w:r>
          <w:rPr>
            <w:color w:val="0000EE"/>
          </w:rPr>
          <w:t>41.72.1a Charnières et paumelles</w:t>
        </w:r>
      </w:hyperlink>
    </w:p>
    <w:p w14:paraId="7D0FD760" w14:textId="77777777" w:rsidR="00772179" w:rsidRDefault="00000000">
      <w:pPr>
        <w:pStyle w:val="Author-eListParagraph"/>
        <w:numPr>
          <w:ilvl w:val="0"/>
          <w:numId w:val="173"/>
        </w:numPr>
      </w:pPr>
      <w:r>
        <w:t>Cfr. article </w:t>
      </w:r>
      <w:hyperlink w:anchor="882" w:history="1">
        <w:r>
          <w:rPr>
            <w:color w:val="0000EE"/>
          </w:rPr>
          <w:t>41.72.3a Poignées</w:t>
        </w:r>
      </w:hyperlink>
    </w:p>
    <w:p w14:paraId="63C68B6A" w14:textId="77777777" w:rsidR="00772179" w:rsidRDefault="00000000">
      <w:pPr>
        <w:jc w:val="both"/>
      </w:pPr>
      <w:r>
        <w:rPr>
          <w:u w:val="single"/>
        </w:rPr>
        <w:t>Ensembles de fenêtres composées :</w:t>
      </w:r>
    </w:p>
    <w:p w14:paraId="52DF3FFE"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triples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t>.</w:t>
      </w:r>
    </w:p>
    <w:p w14:paraId="59A6CEFC" w14:textId="77777777" w:rsidR="00772179" w:rsidRDefault="00000000">
      <w:pPr>
        <w:jc w:val="both"/>
      </w:pPr>
      <w:r>
        <w:t>Quincailleries : </w:t>
      </w:r>
      <w:r>
        <w:rPr>
          <w:rStyle w:val="optioncarChar"/>
        </w:rPr>
        <w:t>conformes à la documentation technique du produit </w:t>
      </w:r>
      <w:r>
        <w:t>(par défaut)</w:t>
      </w:r>
      <w:r>
        <w:rPr>
          <w:rStyle w:val="optioncarChar"/>
        </w:rPr>
        <w:t> / ***</w:t>
      </w:r>
      <w:r>
        <w:t>.</w:t>
      </w:r>
    </w:p>
    <w:p w14:paraId="6F5F7FF9" w14:textId="77777777" w:rsidR="00772179" w:rsidRDefault="00000000">
      <w:pPr>
        <w:pStyle w:val="Author-eListParagraph"/>
        <w:numPr>
          <w:ilvl w:val="0"/>
          <w:numId w:val="174"/>
        </w:numPr>
      </w:pPr>
      <w:r>
        <w:t>Cfr. article </w:t>
      </w:r>
      <w:hyperlink w:anchor="881" w:history="1">
        <w:r>
          <w:rPr>
            <w:color w:val="0000EE"/>
          </w:rPr>
          <w:t>41.72.1a Charnières et paumelles</w:t>
        </w:r>
      </w:hyperlink>
    </w:p>
    <w:p w14:paraId="3DBD58E9" w14:textId="77777777" w:rsidR="00772179" w:rsidRDefault="00000000">
      <w:pPr>
        <w:pStyle w:val="Author-eListParagraph"/>
        <w:numPr>
          <w:ilvl w:val="0"/>
          <w:numId w:val="174"/>
        </w:numPr>
      </w:pPr>
      <w:r>
        <w:t>Cfr. article </w:t>
      </w:r>
      <w:hyperlink w:anchor="882" w:history="1">
        <w:r>
          <w:rPr>
            <w:color w:val="0000EE"/>
          </w:rPr>
          <w:t>41.72.3a Poignées</w:t>
        </w:r>
      </w:hyperlink>
    </w:p>
    <w:p w14:paraId="2408BA63" w14:textId="77777777" w:rsidR="00772179" w:rsidRDefault="00000000">
      <w:pPr>
        <w:pStyle w:val="Author-eListParagraph"/>
        <w:numPr>
          <w:ilvl w:val="0"/>
          <w:numId w:val="174"/>
        </w:numPr>
        <w:jc w:val="both"/>
      </w:pPr>
      <w:r>
        <w:t>Les ensembles de fenêtres composées sont constituées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en ensemble indéformable.</w:t>
      </w:r>
    </w:p>
    <w:p w14:paraId="7DE33656" w14:textId="77777777" w:rsidR="00772179" w:rsidRDefault="00000000">
      <w:pPr>
        <w:jc w:val="both"/>
      </w:pPr>
      <w:r>
        <w:rPr>
          <w:b/>
        </w:rPr>
        <w:t>Quincaillerie</w:t>
      </w:r>
    </w:p>
    <w:p w14:paraId="10A8814C" w14:textId="77777777" w:rsidR="00772179" w:rsidRDefault="00000000">
      <w:pPr>
        <w:jc w:val="both"/>
      </w:pPr>
      <w:r>
        <w:t xml:space="preserve">La quincaillerie encastrée est </w:t>
      </w:r>
      <w:r>
        <w:rPr>
          <w:rStyle w:val="optioncarChar"/>
        </w:rPr>
        <w:t>galvanisée (≥ 19 µm)</w:t>
      </w:r>
      <w:r>
        <w:t xml:space="preserve"> (par défaut)</w:t>
      </w:r>
      <w:r>
        <w:rPr>
          <w:rStyle w:val="optioncarChar"/>
        </w:rPr>
        <w:t xml:space="preserve"> / chromatée / synthétique / ***</w:t>
      </w:r>
      <w:r>
        <w:t xml:space="preserve"> et les différents constituants qui sont encastrés dans le profilé sont enduits, pendant l’encastrement, d’une épaisse couche de graisse pour roulements à billes. (Voir </w:t>
      </w:r>
      <w:hyperlink w:anchor="884" w:history="1">
        <w:r>
          <w:rPr>
            <w:color w:val="0000EE"/>
          </w:rPr>
          <w:t>41.72 Quincailleries</w:t>
        </w:r>
      </w:hyperlink>
      <w:r>
        <w:t>)</w:t>
      </w:r>
    </w:p>
    <w:p w14:paraId="2B75046C" w14:textId="77777777" w:rsidR="00772179" w:rsidRDefault="00000000">
      <w:pPr>
        <w:jc w:val="both"/>
      </w:pPr>
      <w:r>
        <w:t>La quincaillerie permet d’atteindre les performances définies ci-dessus et est conforme aux descriptions des essais initiaux pour le marquage de la fenêtre ou porte-fenêtre.</w:t>
      </w:r>
    </w:p>
    <w:p w14:paraId="43376579" w14:textId="77777777" w:rsidR="00772179" w:rsidRDefault="00000000">
      <w:pPr>
        <w:jc w:val="both"/>
      </w:pPr>
      <w:r>
        <w:t xml:space="preserve">Les poignées et autres dispositifs d’aide à la manœuvre (notamment PMR) sont définis au </w:t>
      </w:r>
      <w:hyperlink w:anchor="886" w:history="1">
        <w:r>
          <w:rPr>
            <w:color w:val="0000EE"/>
          </w:rPr>
          <w:t>41.72.3 Poignées</w:t>
        </w:r>
      </w:hyperlink>
      <w:r>
        <w:t> </w:t>
      </w:r>
    </w:p>
    <w:p w14:paraId="3F3C9C50" w14:textId="77777777" w:rsidR="00772179" w:rsidRDefault="00000000">
      <w:pPr>
        <w:jc w:val="both"/>
      </w:pPr>
      <w:r>
        <w:rPr>
          <w:b/>
        </w:rPr>
        <w:t>Vitrages et panneaux de remplissage</w:t>
      </w:r>
    </w:p>
    <w:p w14:paraId="13457C3C" w14:textId="77777777" w:rsidR="00772179" w:rsidRDefault="00000000">
      <w:pPr>
        <w:jc w:val="both"/>
      </w:pPr>
      <w:r>
        <w:t xml:space="preserve">Voir </w:t>
      </w:r>
      <w:hyperlink w:anchor="852" w:history="1">
        <w:r>
          <w:rPr>
            <w:color w:val="0000EE"/>
          </w:rPr>
          <w:t>42 Vitrages extérieurs et éléments de remplissage</w:t>
        </w:r>
      </w:hyperlink>
      <w:r>
        <w:t>.</w:t>
      </w:r>
    </w:p>
    <w:p w14:paraId="6BBBD519" w14:textId="77777777" w:rsidR="00772179" w:rsidRDefault="00000000">
      <w:pPr>
        <w:jc w:val="both"/>
      </w:pPr>
      <w:r>
        <w:rPr>
          <w:b/>
        </w:rPr>
        <w:t>Aspects environnementaux </w:t>
      </w:r>
      <w:r>
        <w:t> </w:t>
      </w:r>
    </w:p>
    <w:p w14:paraId="1FEB0EFA" w14:textId="77777777" w:rsidR="00772179" w:rsidRDefault="00000000">
      <w:pPr>
        <w:pStyle w:val="Author-eListParagraph"/>
        <w:numPr>
          <w:ilvl w:val="0"/>
          <w:numId w:val="175"/>
        </w:numPr>
        <w:jc w:val="both"/>
      </w:pPr>
      <w:r>
        <w:t xml:space="preserve">Matériaux recyclés entrant dans la fabrication du produit : </w:t>
      </w:r>
      <w:r>
        <w:rPr>
          <w:rStyle w:val="optioncarChar"/>
        </w:rPr>
        <w:t>oui avec un taux de matériaux recyclés ≥ *** % / non  </w:t>
      </w:r>
    </w:p>
    <w:p w14:paraId="17AA6012" w14:textId="77777777" w:rsidR="00772179" w:rsidRDefault="00000000">
      <w:pPr>
        <w:pStyle w:val="Author-eListParagraph"/>
        <w:numPr>
          <w:ilvl w:val="0"/>
          <w:numId w:val="175"/>
        </w:numPr>
        <w:jc w:val="both"/>
      </w:pPr>
      <w:r>
        <w:t xml:space="preserve">Le fournisseur des profilés dispose d’une structure industrielle locale pour la collecte et le recyclage des châssis PVC en fin de vie.  Celle-ci dispose d’agréments spécifiques au secteur et donne ainsi la possibilité de réintégrer, après traitement, le matériau recyclé dans le processus standard de production de nouveaux profilés : </w:t>
      </w:r>
      <w:r>
        <w:rPr>
          <w:rStyle w:val="optioncarChar"/>
        </w:rPr>
        <w:t>oui / non  </w:t>
      </w:r>
    </w:p>
    <w:p w14:paraId="7E343E72" w14:textId="77777777" w:rsidR="00772179" w:rsidRDefault="00000000">
      <w:pPr>
        <w:pStyle w:val="pheading"/>
      </w:pPr>
      <w:r>
        <w:t>- Finitions</w:t>
      </w:r>
    </w:p>
    <w:p w14:paraId="354C8630" w14:textId="77777777" w:rsidR="00772179" w:rsidRDefault="00000000">
      <w:pPr>
        <w:jc w:val="both"/>
      </w:pPr>
      <w:r>
        <w:t>La finition des profils synthétiques est constituée :  </w:t>
      </w:r>
    </w:p>
    <w:p w14:paraId="53C4B322" w14:textId="77777777" w:rsidR="00772179" w:rsidRDefault="00000000">
      <w:pPr>
        <w:jc w:val="both"/>
      </w:pPr>
      <w:r>
        <w:rPr>
          <w:b/>
        </w:rPr>
        <w:lastRenderedPageBreak/>
        <w:t>Pour la face intérieure du profil :</w:t>
      </w:r>
      <w:r>
        <w:rPr>
          <w:rStyle w:val="optioncarChar"/>
        </w:rPr>
        <w:t xml:space="preserve"> blanche colorée dans la masse </w:t>
      </w:r>
      <w:r>
        <w:t>(par défaut)</w:t>
      </w:r>
      <w:r>
        <w:rPr>
          <w:rStyle w:val="optioncarChar"/>
        </w:rPr>
        <w:t xml:space="preserve"> / coloration dans la masse de couleur *** / laquage de couleur *** / collage de feuille de couleur ou texture *** / coextrusion de couleur *** / ***</w:t>
      </w:r>
      <w:r>
        <w:t>. </w:t>
      </w:r>
    </w:p>
    <w:p w14:paraId="3C18F512" w14:textId="77777777" w:rsidR="00772179" w:rsidRDefault="00000000">
      <w:pPr>
        <w:jc w:val="both"/>
      </w:pPr>
      <w:r>
        <w:rPr>
          <w:b/>
        </w:rPr>
        <w:t>(soit par défaut)</w:t>
      </w:r>
    </w:p>
    <w:p w14:paraId="247E8596" w14:textId="77777777" w:rsidR="00772179" w:rsidRDefault="00000000">
      <w:pPr>
        <w:jc w:val="both"/>
      </w:pPr>
      <w:r>
        <w:rPr>
          <w:rStyle w:val="soitChar"/>
          <w:u w:val="single"/>
        </w:rPr>
        <w:t>Blanche colorée dans la masse :</w:t>
      </w:r>
    </w:p>
    <w:p w14:paraId="24D7A15D" w14:textId="77777777" w:rsidR="00772179" w:rsidRDefault="00000000">
      <w:pPr>
        <w:pStyle w:val="Author-eListParagraph"/>
        <w:numPr>
          <w:ilvl w:val="0"/>
          <w:numId w:val="176"/>
        </w:numPr>
      </w:pPr>
      <w:r>
        <w:rPr>
          <w:rStyle w:val="soitChar"/>
        </w:rPr>
        <w:t xml:space="preserve">Finition : </w:t>
      </w:r>
      <w:r>
        <w:rPr>
          <w:rStyle w:val="optioncarChar"/>
        </w:rPr>
        <w:t>lisse</w:t>
      </w:r>
      <w:r>
        <w:t xml:space="preserve"> (par défaut)</w:t>
      </w:r>
      <w:r>
        <w:rPr>
          <w:rStyle w:val="optioncarChar"/>
        </w:rPr>
        <w:t xml:space="preserve"> / ***</w:t>
      </w:r>
    </w:p>
    <w:p w14:paraId="7F562667" w14:textId="77777777" w:rsidR="00772179" w:rsidRDefault="00000000">
      <w:pPr>
        <w:pStyle w:val="Author-eListParagraph"/>
        <w:numPr>
          <w:ilvl w:val="0"/>
          <w:numId w:val="176"/>
        </w:numPr>
      </w:pPr>
      <w:r>
        <w:rPr>
          <w:rStyle w:val="soitChar"/>
        </w:rPr>
        <w:t xml:space="preserve">Aspect : </w:t>
      </w:r>
      <w:r>
        <w:rPr>
          <w:rStyle w:val="optioncarChar"/>
        </w:rPr>
        <w:t xml:space="preserve">satiné </w:t>
      </w:r>
      <w:r>
        <w:t>(par défaut)</w:t>
      </w:r>
      <w:r>
        <w:rPr>
          <w:rStyle w:val="optioncarChar"/>
        </w:rPr>
        <w:t xml:space="preserve"> / brillant / ***</w:t>
      </w:r>
    </w:p>
    <w:p w14:paraId="270C3169" w14:textId="77777777" w:rsidR="00772179" w:rsidRDefault="00000000">
      <w:pPr>
        <w:jc w:val="both"/>
      </w:pPr>
      <w:r>
        <w:rPr>
          <w:b/>
        </w:rPr>
        <w:t>(soit)</w:t>
      </w:r>
    </w:p>
    <w:p w14:paraId="19D04384" w14:textId="77777777" w:rsidR="00772179" w:rsidRDefault="00000000">
      <w:pPr>
        <w:jc w:val="both"/>
      </w:pPr>
      <w:r>
        <w:rPr>
          <w:rStyle w:val="soitChar"/>
          <w:u w:val="single"/>
        </w:rPr>
        <w:t>Coloration dans la masse de couleur (CPm).</w:t>
      </w:r>
      <w:r>
        <w:rPr>
          <w:rStyle w:val="soitChar"/>
        </w:rPr>
        <w:t xml:space="preserve"> Ce procédé consiste à extruder les profilés avec une composition vinylique pigmentée ou autre dans la masse.</w:t>
      </w:r>
    </w:p>
    <w:p w14:paraId="65BAE589" w14:textId="77777777" w:rsidR="00772179" w:rsidRDefault="00000000">
      <w:pPr>
        <w:pStyle w:val="Author-eListParagraph"/>
        <w:numPr>
          <w:ilvl w:val="0"/>
          <w:numId w:val="177"/>
        </w:numPr>
      </w:pPr>
      <w:r>
        <w:rPr>
          <w:rStyle w:val="soitChar"/>
        </w:rPr>
        <w:t xml:space="preserve">Couleur : </w:t>
      </w:r>
      <w:r>
        <w:rPr>
          <w:rStyle w:val="optioncarChar"/>
        </w:rPr>
        <w:t>à choisir dans la gamme de couleurs standard du fabricant</w:t>
      </w:r>
      <w:r>
        <w:t xml:space="preserve"> (par défaut)</w:t>
      </w:r>
      <w:r>
        <w:rPr>
          <w:rStyle w:val="optioncarChar"/>
        </w:rPr>
        <w:t xml:space="preserve"> / ***</w:t>
      </w:r>
    </w:p>
    <w:p w14:paraId="4E0496A7" w14:textId="77777777" w:rsidR="00772179" w:rsidRDefault="00000000">
      <w:pPr>
        <w:pStyle w:val="Author-eListParagraph"/>
        <w:numPr>
          <w:ilvl w:val="0"/>
          <w:numId w:val="177"/>
        </w:numPr>
      </w:pPr>
      <w:r>
        <w:rPr>
          <w:rStyle w:val="soitChar"/>
        </w:rPr>
        <w:t xml:space="preserve">Finition : </w:t>
      </w:r>
      <w:r>
        <w:rPr>
          <w:rStyle w:val="optioncarChar"/>
        </w:rPr>
        <w:t>lisse</w:t>
      </w:r>
      <w:r>
        <w:t xml:space="preserve"> (par défaut)</w:t>
      </w:r>
      <w:r>
        <w:rPr>
          <w:rStyle w:val="optioncarChar"/>
        </w:rPr>
        <w:t xml:space="preserve"> / ***</w:t>
      </w:r>
    </w:p>
    <w:p w14:paraId="2114755D" w14:textId="77777777" w:rsidR="00772179" w:rsidRDefault="00000000">
      <w:pPr>
        <w:pStyle w:val="Author-eListParagraph"/>
        <w:numPr>
          <w:ilvl w:val="0"/>
          <w:numId w:val="177"/>
        </w:numPr>
      </w:pPr>
      <w:r>
        <w:rPr>
          <w:rStyle w:val="soitChar"/>
        </w:rPr>
        <w:t xml:space="preserve">Aspect : </w:t>
      </w:r>
      <w:r>
        <w:rPr>
          <w:rStyle w:val="optioncarChar"/>
        </w:rPr>
        <w:t xml:space="preserve">satiné </w:t>
      </w:r>
      <w:r>
        <w:t>(par défaut)</w:t>
      </w:r>
      <w:r>
        <w:rPr>
          <w:rStyle w:val="optioncarChar"/>
        </w:rPr>
        <w:t xml:space="preserve"> / brillant / ***</w:t>
      </w:r>
    </w:p>
    <w:p w14:paraId="28E72B75" w14:textId="77777777" w:rsidR="00772179" w:rsidRDefault="00000000">
      <w:pPr>
        <w:jc w:val="both"/>
      </w:pPr>
      <w:r>
        <w:rPr>
          <w:b/>
        </w:rPr>
        <w:t>(soit)</w:t>
      </w:r>
    </w:p>
    <w:p w14:paraId="477AE399" w14:textId="77777777" w:rsidR="00772179" w:rsidRDefault="00000000">
      <w:pPr>
        <w:jc w:val="both"/>
      </w:pPr>
      <w:r>
        <w:rPr>
          <w:rStyle w:val="soitChar"/>
          <w:u w:val="single"/>
        </w:rPr>
        <w:t>Laquage de couleur (CPp) :</w:t>
      </w:r>
      <w:r>
        <w:rPr>
          <w:rStyle w:val="soitChar"/>
        </w:rPr>
        <w:t xml:space="preserve"> Une ou plusieurs couches de laque sont appliquées sur le profilé. Couleur : </w:t>
      </w:r>
      <w:r>
        <w:rPr>
          <w:rStyle w:val="optioncarChar"/>
        </w:rPr>
        <w:t>***</w:t>
      </w:r>
      <w:r>
        <w:rPr>
          <w:rStyle w:val="soitChar"/>
        </w:rPr>
        <w:t>.</w:t>
      </w:r>
    </w:p>
    <w:p w14:paraId="507A31FB" w14:textId="77777777" w:rsidR="00772179" w:rsidRDefault="00000000">
      <w:pPr>
        <w:pStyle w:val="Author-eListParagraph"/>
        <w:numPr>
          <w:ilvl w:val="0"/>
          <w:numId w:val="178"/>
        </w:numPr>
      </w:pPr>
      <w:r>
        <w:rPr>
          <w:rStyle w:val="soitChar"/>
        </w:rPr>
        <w:t xml:space="preserve">Couleur : </w:t>
      </w:r>
      <w:r>
        <w:rPr>
          <w:rStyle w:val="optioncarChar"/>
        </w:rPr>
        <w:t xml:space="preserve">à choisir dans la gamme de couleurs standard du fabricant </w:t>
      </w:r>
      <w:r>
        <w:t>(par défaut)</w:t>
      </w:r>
      <w:r>
        <w:rPr>
          <w:rStyle w:val="optioncarChar"/>
        </w:rPr>
        <w:t xml:space="preserve"> / ***</w:t>
      </w:r>
    </w:p>
    <w:p w14:paraId="7ADC5C5F" w14:textId="77777777" w:rsidR="00772179" w:rsidRDefault="00000000">
      <w:pPr>
        <w:pStyle w:val="Author-eListParagraph"/>
        <w:numPr>
          <w:ilvl w:val="0"/>
          <w:numId w:val="178"/>
        </w:numPr>
      </w:pPr>
      <w:r>
        <w:rPr>
          <w:rStyle w:val="soitChar"/>
        </w:rPr>
        <w:t>Finition :</w:t>
      </w:r>
      <w:r>
        <w:rPr>
          <w:rStyle w:val="optioncarChar"/>
        </w:rPr>
        <w:t xml:space="preserve"> lisse</w:t>
      </w:r>
      <w:r>
        <w:t xml:space="preserve"> (par défaut)</w:t>
      </w:r>
      <w:r>
        <w:rPr>
          <w:rStyle w:val="optioncarChar"/>
        </w:rPr>
        <w:t xml:space="preserve"> / légèrement granuleuse / ***</w:t>
      </w:r>
    </w:p>
    <w:p w14:paraId="72D0A1D1" w14:textId="77777777" w:rsidR="00772179" w:rsidRDefault="00000000">
      <w:pPr>
        <w:pStyle w:val="Author-eListParagraph"/>
        <w:numPr>
          <w:ilvl w:val="0"/>
          <w:numId w:val="178"/>
        </w:numPr>
      </w:pPr>
      <w:r>
        <w:rPr>
          <w:rStyle w:val="soitChar"/>
        </w:rPr>
        <w:t xml:space="preserve">Aspect : </w:t>
      </w:r>
      <w:r>
        <w:rPr>
          <w:rStyle w:val="optioncarChar"/>
        </w:rPr>
        <w:t>satiné</w:t>
      </w:r>
      <w:r>
        <w:t xml:space="preserve"> (par défaut) </w:t>
      </w:r>
      <w:r>
        <w:rPr>
          <w:rStyle w:val="optioncarChar"/>
        </w:rPr>
        <w:t>/ brillant / ***</w:t>
      </w:r>
    </w:p>
    <w:p w14:paraId="48DCD220" w14:textId="77777777" w:rsidR="00772179" w:rsidRDefault="00000000">
      <w:pPr>
        <w:jc w:val="both"/>
      </w:pPr>
      <w:r>
        <w:rPr>
          <w:b/>
        </w:rPr>
        <w:t>(soit)</w:t>
      </w:r>
    </w:p>
    <w:p w14:paraId="5A75F190" w14:textId="77777777" w:rsidR="00772179" w:rsidRDefault="00000000">
      <w:pPr>
        <w:jc w:val="both"/>
      </w:pPr>
      <w:r>
        <w:rPr>
          <w:rStyle w:val="soitChar"/>
          <w:u w:val="single"/>
        </w:rPr>
        <w:t>Collage de feuille ou texture (CPf) :</w:t>
      </w:r>
      <w:r>
        <w:rPr>
          <w:rStyle w:val="soitChar"/>
        </w:rPr>
        <w:t xml:space="preserve"> Ce procédé consiste à appliquer un film protecteur et décoratif par collage sur le profilé. Teinte ou texture : </w:t>
      </w:r>
      <w:r>
        <w:rPr>
          <w:rStyle w:val="optioncarChar"/>
        </w:rPr>
        <w:t>***</w:t>
      </w:r>
      <w:r>
        <w:rPr>
          <w:rStyle w:val="soitChar"/>
        </w:rPr>
        <w:t>.</w:t>
      </w:r>
    </w:p>
    <w:p w14:paraId="79C0F647" w14:textId="77777777" w:rsidR="00772179" w:rsidRDefault="00000000">
      <w:pPr>
        <w:pStyle w:val="Author-eListParagraph"/>
        <w:numPr>
          <w:ilvl w:val="0"/>
          <w:numId w:val="179"/>
        </w:numPr>
      </w:pPr>
      <w:r>
        <w:rPr>
          <w:rStyle w:val="soitChar"/>
        </w:rPr>
        <w:t xml:space="preserve">Couleur : </w:t>
      </w:r>
      <w:r>
        <w:rPr>
          <w:rStyle w:val="optioncarChar"/>
        </w:rPr>
        <w:t>à choisir dans la gamme de couleurs standard du fabricant</w:t>
      </w:r>
      <w:r>
        <w:t xml:space="preserve"> (par défaut) </w:t>
      </w:r>
      <w:r>
        <w:rPr>
          <w:rStyle w:val="optioncarChar"/>
        </w:rPr>
        <w:t>/ ***</w:t>
      </w:r>
    </w:p>
    <w:p w14:paraId="7AB5013E" w14:textId="77777777" w:rsidR="00772179" w:rsidRDefault="00000000">
      <w:pPr>
        <w:pStyle w:val="Author-eListParagraph"/>
        <w:numPr>
          <w:ilvl w:val="0"/>
          <w:numId w:val="179"/>
        </w:numPr>
      </w:pPr>
      <w:r>
        <w:rPr>
          <w:rStyle w:val="soitChar"/>
        </w:rPr>
        <w:t xml:space="preserve">Finition : </w:t>
      </w:r>
      <w:r>
        <w:rPr>
          <w:rStyle w:val="optioncarChar"/>
        </w:rPr>
        <w:t xml:space="preserve">lisse </w:t>
      </w:r>
      <w:r>
        <w:t xml:space="preserve">(par défaut) </w:t>
      </w:r>
      <w:r>
        <w:rPr>
          <w:rStyle w:val="optioncarChar"/>
        </w:rPr>
        <w:t>/ texturé aspect bois / ***</w:t>
      </w:r>
    </w:p>
    <w:p w14:paraId="0CFDA6AE" w14:textId="77777777" w:rsidR="00772179" w:rsidRDefault="00000000">
      <w:pPr>
        <w:pStyle w:val="Author-eListParagraph"/>
        <w:numPr>
          <w:ilvl w:val="0"/>
          <w:numId w:val="179"/>
        </w:numPr>
      </w:pPr>
      <w:r>
        <w:rPr>
          <w:rStyle w:val="soitChar"/>
        </w:rPr>
        <w:t xml:space="preserve">Aspect : </w:t>
      </w:r>
      <w:r>
        <w:rPr>
          <w:rStyle w:val="optioncarChar"/>
        </w:rPr>
        <w:t xml:space="preserve">satiné </w:t>
      </w:r>
      <w:r>
        <w:t>(par défaut)</w:t>
      </w:r>
      <w:r>
        <w:rPr>
          <w:rStyle w:val="optioncarChar"/>
        </w:rPr>
        <w:t xml:space="preserve"> / brillant / ***</w:t>
      </w:r>
    </w:p>
    <w:p w14:paraId="79F01E20" w14:textId="77777777" w:rsidR="00772179" w:rsidRDefault="00000000">
      <w:pPr>
        <w:jc w:val="both"/>
      </w:pPr>
      <w:r>
        <w:rPr>
          <w:b/>
        </w:rPr>
        <w:t>(soit)</w:t>
      </w:r>
    </w:p>
    <w:p w14:paraId="0BC0A551" w14:textId="77777777" w:rsidR="00772179" w:rsidRDefault="00000000">
      <w:pPr>
        <w:jc w:val="both"/>
      </w:pPr>
      <w:r>
        <w:rPr>
          <w:rStyle w:val="soitChar"/>
          <w:u w:val="single"/>
        </w:rPr>
        <w:t>Coextrusion de couleur (CPc) :</w:t>
      </w:r>
      <w:r>
        <w:rPr>
          <w:rStyle w:val="soitChar"/>
        </w:rPr>
        <w:t xml:space="preserve"> 2 matériaux thermoplastiques durables sont préparés séparément et passent dans une filière d’extrusion.</w:t>
      </w:r>
    </w:p>
    <w:p w14:paraId="7892D948" w14:textId="77777777" w:rsidR="00772179" w:rsidRDefault="00000000">
      <w:pPr>
        <w:pStyle w:val="Author-eListParagraph"/>
        <w:numPr>
          <w:ilvl w:val="0"/>
          <w:numId w:val="180"/>
        </w:numPr>
      </w:pPr>
      <w:r>
        <w:rPr>
          <w:rStyle w:val="soitChar"/>
        </w:rPr>
        <w:t xml:space="preserve">Couleur : </w:t>
      </w:r>
      <w:r>
        <w:rPr>
          <w:rStyle w:val="optioncarChar"/>
        </w:rPr>
        <w:t>à choisir dans la gamme de couleurs standard du fabricant</w:t>
      </w:r>
      <w:r>
        <w:t xml:space="preserve"> (par défaut) </w:t>
      </w:r>
      <w:r>
        <w:rPr>
          <w:rStyle w:val="optioncarChar"/>
        </w:rPr>
        <w:t>/ ***</w:t>
      </w:r>
    </w:p>
    <w:p w14:paraId="34A69C96" w14:textId="77777777" w:rsidR="00772179" w:rsidRDefault="00000000">
      <w:pPr>
        <w:pStyle w:val="Author-eListParagraph"/>
        <w:numPr>
          <w:ilvl w:val="0"/>
          <w:numId w:val="180"/>
        </w:numPr>
      </w:pPr>
      <w:r>
        <w:rPr>
          <w:rStyle w:val="soitChar"/>
        </w:rPr>
        <w:t xml:space="preserve">Finition : </w:t>
      </w:r>
      <w:r>
        <w:rPr>
          <w:rStyle w:val="optioncarChar"/>
        </w:rPr>
        <w:t>lisse</w:t>
      </w:r>
      <w:r>
        <w:t xml:space="preserve"> (par défaut)</w:t>
      </w:r>
      <w:r>
        <w:rPr>
          <w:rStyle w:val="optioncarChar"/>
        </w:rPr>
        <w:t xml:space="preserve"> / texturé aspect bois / ***</w:t>
      </w:r>
    </w:p>
    <w:p w14:paraId="76D20307" w14:textId="77777777" w:rsidR="00772179" w:rsidRDefault="00000000">
      <w:pPr>
        <w:pStyle w:val="Author-eListParagraph"/>
        <w:numPr>
          <w:ilvl w:val="0"/>
          <w:numId w:val="180"/>
        </w:numPr>
      </w:pPr>
      <w:r>
        <w:rPr>
          <w:rStyle w:val="soitChar"/>
        </w:rPr>
        <w:t xml:space="preserve">Aspect : </w:t>
      </w:r>
      <w:r>
        <w:rPr>
          <w:rStyle w:val="optioncarChar"/>
        </w:rPr>
        <w:t>satiné</w:t>
      </w:r>
      <w:r>
        <w:t xml:space="preserve"> (par défaut)</w:t>
      </w:r>
      <w:r>
        <w:rPr>
          <w:rStyle w:val="optioncarChar"/>
        </w:rPr>
        <w:t xml:space="preserve"> / brillant / ***</w:t>
      </w:r>
    </w:p>
    <w:p w14:paraId="71CB09E4" w14:textId="77777777" w:rsidR="00772179" w:rsidRDefault="00000000">
      <w:pPr>
        <w:jc w:val="both"/>
      </w:pPr>
      <w:r>
        <w:rPr>
          <w:b/>
        </w:rPr>
        <w:t>(soit)</w:t>
      </w:r>
    </w:p>
    <w:p w14:paraId="154774D4" w14:textId="77777777" w:rsidR="00772179" w:rsidRDefault="00000000">
      <w:pPr>
        <w:jc w:val="both"/>
      </w:pPr>
      <w:r>
        <w:rPr>
          <w:rStyle w:val="optioncarChar"/>
        </w:rPr>
        <w:t>***</w:t>
      </w:r>
    </w:p>
    <w:p w14:paraId="7159AC60" w14:textId="77777777" w:rsidR="00772179" w:rsidRDefault="00000000">
      <w:pPr>
        <w:jc w:val="both"/>
      </w:pPr>
      <w:r>
        <w:rPr>
          <w:b/>
        </w:rPr>
        <w:t>Pour la face extérieure du profil :</w:t>
      </w:r>
      <w:r>
        <w:rPr>
          <w:rStyle w:val="optioncarChar"/>
        </w:rPr>
        <w:t>blanche colorée dans la masse</w:t>
      </w:r>
      <w:r>
        <w:t xml:space="preserve"> (par défaut) </w:t>
      </w:r>
      <w:r>
        <w:rPr>
          <w:rStyle w:val="optioncarChar"/>
        </w:rPr>
        <w:t>/ coloration dans la masse de couleur *** / laquage de couleur *** / collage de feuille de couleur ou texture *** / co-extrusion de couleur *** / ***. </w:t>
      </w:r>
    </w:p>
    <w:p w14:paraId="1836C408" w14:textId="77777777" w:rsidR="00772179" w:rsidRDefault="00000000">
      <w:pPr>
        <w:jc w:val="both"/>
      </w:pPr>
      <w:r>
        <w:rPr>
          <w:b/>
        </w:rPr>
        <w:t>(soit par défaut)</w:t>
      </w:r>
    </w:p>
    <w:p w14:paraId="080B22C7" w14:textId="77777777" w:rsidR="00772179" w:rsidRDefault="00000000">
      <w:pPr>
        <w:jc w:val="both"/>
      </w:pPr>
      <w:r>
        <w:rPr>
          <w:rStyle w:val="soitChar"/>
          <w:u w:val="single"/>
        </w:rPr>
        <w:t>Blanche colorée dans la masse :</w:t>
      </w:r>
    </w:p>
    <w:p w14:paraId="2E41E4CA" w14:textId="77777777" w:rsidR="00772179" w:rsidRDefault="00000000">
      <w:pPr>
        <w:pStyle w:val="Author-eListParagraph"/>
        <w:numPr>
          <w:ilvl w:val="0"/>
          <w:numId w:val="181"/>
        </w:numPr>
      </w:pPr>
      <w:r>
        <w:rPr>
          <w:rStyle w:val="soitChar"/>
        </w:rPr>
        <w:t xml:space="preserve">Finition : </w:t>
      </w:r>
      <w:r>
        <w:rPr>
          <w:rStyle w:val="optioncarChar"/>
        </w:rPr>
        <w:t xml:space="preserve">lisse </w:t>
      </w:r>
      <w:r>
        <w:t>(par défaut)</w:t>
      </w:r>
      <w:r>
        <w:rPr>
          <w:rStyle w:val="optioncarChar"/>
        </w:rPr>
        <w:t xml:space="preserve"> / ***</w:t>
      </w:r>
    </w:p>
    <w:p w14:paraId="30F2F193" w14:textId="77777777" w:rsidR="00772179" w:rsidRDefault="00000000">
      <w:pPr>
        <w:pStyle w:val="Author-eListParagraph"/>
        <w:numPr>
          <w:ilvl w:val="0"/>
          <w:numId w:val="181"/>
        </w:numPr>
      </w:pPr>
      <w:r>
        <w:rPr>
          <w:rStyle w:val="soitChar"/>
        </w:rPr>
        <w:t xml:space="preserve">Aspect : </w:t>
      </w:r>
      <w:r>
        <w:rPr>
          <w:rStyle w:val="optioncarChar"/>
        </w:rPr>
        <w:t xml:space="preserve">satiné </w:t>
      </w:r>
      <w:r>
        <w:t>(par défaut)</w:t>
      </w:r>
      <w:r>
        <w:rPr>
          <w:rStyle w:val="optioncarChar"/>
        </w:rPr>
        <w:t xml:space="preserve"> / brillant / ***</w:t>
      </w:r>
    </w:p>
    <w:p w14:paraId="732A6639" w14:textId="77777777" w:rsidR="00772179" w:rsidRDefault="00000000">
      <w:pPr>
        <w:jc w:val="both"/>
      </w:pPr>
      <w:r>
        <w:rPr>
          <w:b/>
        </w:rPr>
        <w:t>(soit)</w:t>
      </w:r>
    </w:p>
    <w:p w14:paraId="3CA08009" w14:textId="77777777" w:rsidR="00772179" w:rsidRDefault="00000000">
      <w:pPr>
        <w:jc w:val="both"/>
      </w:pPr>
      <w:r>
        <w:rPr>
          <w:rStyle w:val="soitChar"/>
          <w:u w:val="single"/>
        </w:rPr>
        <w:t>Coloration dans la masse de couleur (CPm)</w:t>
      </w:r>
      <w:r>
        <w:rPr>
          <w:rStyle w:val="soitChar"/>
        </w:rPr>
        <w:t>. Ce procédé consiste à extruder les profilés avec une composition vinylique pigmentée ou autre dans la masse.</w:t>
      </w:r>
    </w:p>
    <w:p w14:paraId="745C9F53" w14:textId="77777777" w:rsidR="00772179" w:rsidRDefault="00000000">
      <w:pPr>
        <w:pStyle w:val="Author-eListParagraph"/>
        <w:numPr>
          <w:ilvl w:val="0"/>
          <w:numId w:val="182"/>
        </w:numPr>
      </w:pPr>
      <w:r>
        <w:rPr>
          <w:rStyle w:val="soitChar"/>
        </w:rPr>
        <w:t xml:space="preserve">Couleur : </w:t>
      </w:r>
      <w:r>
        <w:rPr>
          <w:rStyle w:val="optioncarChar"/>
        </w:rPr>
        <w:t>à choisir dans la gamme de couleurs standard du fabricant</w:t>
      </w:r>
      <w:r>
        <w:t xml:space="preserve"> (par défaut) </w:t>
      </w:r>
      <w:r>
        <w:rPr>
          <w:rStyle w:val="optioncarChar"/>
        </w:rPr>
        <w:t>/ ***</w:t>
      </w:r>
    </w:p>
    <w:p w14:paraId="20592CFD" w14:textId="77777777" w:rsidR="00772179" w:rsidRDefault="00000000">
      <w:pPr>
        <w:pStyle w:val="Author-eListParagraph"/>
        <w:numPr>
          <w:ilvl w:val="0"/>
          <w:numId w:val="182"/>
        </w:numPr>
      </w:pPr>
      <w:r>
        <w:rPr>
          <w:rStyle w:val="soitChar"/>
        </w:rPr>
        <w:t>Finition :</w:t>
      </w:r>
      <w:r>
        <w:rPr>
          <w:rStyle w:val="optioncarChar"/>
        </w:rPr>
        <w:t xml:space="preserve"> lisse</w:t>
      </w:r>
      <w:r>
        <w:t xml:space="preserve"> (par défaut) </w:t>
      </w:r>
      <w:r>
        <w:rPr>
          <w:rStyle w:val="optioncarChar"/>
        </w:rPr>
        <w:t>/ ***</w:t>
      </w:r>
    </w:p>
    <w:p w14:paraId="181FA6E0" w14:textId="77777777" w:rsidR="00772179" w:rsidRDefault="00000000">
      <w:pPr>
        <w:pStyle w:val="Author-eListParagraph"/>
        <w:numPr>
          <w:ilvl w:val="0"/>
          <w:numId w:val="182"/>
        </w:numPr>
      </w:pPr>
      <w:r>
        <w:rPr>
          <w:rStyle w:val="soitChar"/>
        </w:rPr>
        <w:lastRenderedPageBreak/>
        <w:t xml:space="preserve">Aspect : </w:t>
      </w:r>
      <w:r>
        <w:rPr>
          <w:rStyle w:val="optioncarChar"/>
        </w:rPr>
        <w:t xml:space="preserve">satiné </w:t>
      </w:r>
      <w:r>
        <w:t>(par défaut)</w:t>
      </w:r>
      <w:r>
        <w:rPr>
          <w:rStyle w:val="optioncarChar"/>
        </w:rPr>
        <w:t xml:space="preserve"> / brillant / ***</w:t>
      </w:r>
    </w:p>
    <w:p w14:paraId="1151A55C" w14:textId="77777777" w:rsidR="00772179" w:rsidRDefault="00000000">
      <w:pPr>
        <w:jc w:val="both"/>
      </w:pPr>
      <w:r>
        <w:rPr>
          <w:b/>
        </w:rPr>
        <w:t>(soit)</w:t>
      </w:r>
    </w:p>
    <w:p w14:paraId="044186ED" w14:textId="77777777" w:rsidR="00772179" w:rsidRDefault="00000000">
      <w:pPr>
        <w:jc w:val="both"/>
      </w:pPr>
      <w:r>
        <w:rPr>
          <w:rStyle w:val="soitChar"/>
          <w:u w:val="single"/>
        </w:rPr>
        <w:t>Laquage de couleur (CPp) :</w:t>
      </w:r>
      <w:r>
        <w:rPr>
          <w:rStyle w:val="soitChar"/>
        </w:rPr>
        <w:t xml:space="preserve"> Une ou plusieurs couches de laque sont appliquées sur le profilé. Couleur : </w:t>
      </w:r>
      <w:r>
        <w:rPr>
          <w:rStyle w:val="optioncarChar"/>
        </w:rPr>
        <w:t>***</w:t>
      </w:r>
      <w:r>
        <w:rPr>
          <w:rStyle w:val="soitChar"/>
        </w:rPr>
        <w:t>.</w:t>
      </w:r>
    </w:p>
    <w:p w14:paraId="60E1F708" w14:textId="77777777" w:rsidR="00772179" w:rsidRDefault="00000000">
      <w:pPr>
        <w:pStyle w:val="Author-eListParagraph"/>
        <w:numPr>
          <w:ilvl w:val="0"/>
          <w:numId w:val="183"/>
        </w:numPr>
      </w:pPr>
      <w:r>
        <w:rPr>
          <w:rStyle w:val="soitChar"/>
        </w:rPr>
        <w:t xml:space="preserve">Couleur : </w:t>
      </w:r>
      <w:r>
        <w:rPr>
          <w:rStyle w:val="optioncarChar"/>
        </w:rPr>
        <w:t>à choisir dans la gamme de couleurs standard du fabricant</w:t>
      </w:r>
      <w:r>
        <w:t xml:space="preserve"> (par défaut) </w:t>
      </w:r>
      <w:r>
        <w:rPr>
          <w:rStyle w:val="optioncarChar"/>
        </w:rPr>
        <w:t>/ ***</w:t>
      </w:r>
    </w:p>
    <w:p w14:paraId="57CECBF1" w14:textId="77777777" w:rsidR="00772179" w:rsidRDefault="00000000">
      <w:pPr>
        <w:pStyle w:val="Author-eListParagraph"/>
        <w:numPr>
          <w:ilvl w:val="0"/>
          <w:numId w:val="183"/>
        </w:numPr>
      </w:pPr>
      <w:r>
        <w:rPr>
          <w:rStyle w:val="soitChar"/>
        </w:rPr>
        <w:t xml:space="preserve">Finition : </w:t>
      </w:r>
      <w:r>
        <w:rPr>
          <w:rStyle w:val="optioncarChar"/>
        </w:rPr>
        <w:t xml:space="preserve">lisse </w:t>
      </w:r>
      <w:r>
        <w:t xml:space="preserve">(par défaut) </w:t>
      </w:r>
      <w:r>
        <w:rPr>
          <w:rStyle w:val="optioncarChar"/>
        </w:rPr>
        <w:t>/ légèrement granuleuse / ***</w:t>
      </w:r>
    </w:p>
    <w:p w14:paraId="3372B4D1" w14:textId="77777777" w:rsidR="00772179" w:rsidRDefault="00000000">
      <w:pPr>
        <w:pStyle w:val="Author-eListParagraph"/>
        <w:numPr>
          <w:ilvl w:val="0"/>
          <w:numId w:val="183"/>
        </w:numPr>
      </w:pPr>
      <w:r>
        <w:rPr>
          <w:rStyle w:val="soitChar"/>
        </w:rPr>
        <w:t xml:space="preserve">Aspect : </w:t>
      </w:r>
      <w:r>
        <w:rPr>
          <w:rStyle w:val="optioncarChar"/>
        </w:rPr>
        <w:t>satiné</w:t>
      </w:r>
      <w:r>
        <w:t xml:space="preserve"> (par défaut) </w:t>
      </w:r>
      <w:r>
        <w:rPr>
          <w:rStyle w:val="optioncarChar"/>
        </w:rPr>
        <w:t>/ brillant / ***</w:t>
      </w:r>
    </w:p>
    <w:p w14:paraId="528F8EB7" w14:textId="77777777" w:rsidR="00772179" w:rsidRDefault="00000000">
      <w:pPr>
        <w:jc w:val="both"/>
      </w:pPr>
      <w:r>
        <w:rPr>
          <w:b/>
        </w:rPr>
        <w:t>(soit)</w:t>
      </w:r>
    </w:p>
    <w:p w14:paraId="6862E5AF" w14:textId="77777777" w:rsidR="00772179" w:rsidRDefault="00000000">
      <w:pPr>
        <w:jc w:val="both"/>
      </w:pPr>
      <w:r>
        <w:rPr>
          <w:rStyle w:val="soitChar"/>
          <w:u w:val="single"/>
        </w:rPr>
        <w:t>Collage de feuille de couleur ou texture (CPf) :</w:t>
      </w:r>
      <w:r>
        <w:rPr>
          <w:rStyle w:val="soitChar"/>
        </w:rPr>
        <w:t xml:space="preserve"> Ce procédé consiste à appliquer un film protecteur et décoratif par collage sur le profilé. Teinte ou texture :</w:t>
      </w:r>
      <w:r>
        <w:rPr>
          <w:rStyle w:val="optioncarChar"/>
        </w:rPr>
        <w:t xml:space="preserve"> ***</w:t>
      </w:r>
      <w:r>
        <w:rPr>
          <w:rStyle w:val="soitChar"/>
        </w:rPr>
        <w:t>.</w:t>
      </w:r>
    </w:p>
    <w:p w14:paraId="3512574C" w14:textId="77777777" w:rsidR="00772179" w:rsidRDefault="00000000">
      <w:pPr>
        <w:pStyle w:val="Author-eListParagraph"/>
        <w:numPr>
          <w:ilvl w:val="0"/>
          <w:numId w:val="184"/>
        </w:numPr>
      </w:pPr>
      <w:r>
        <w:rPr>
          <w:rStyle w:val="soitChar"/>
        </w:rPr>
        <w:t xml:space="preserve">Couleur : </w:t>
      </w:r>
      <w:r>
        <w:rPr>
          <w:rStyle w:val="optioncarChar"/>
        </w:rPr>
        <w:t xml:space="preserve">à choisir dans la gamme de couleurs standard du fabricant </w:t>
      </w:r>
      <w:r>
        <w:t>(par défaut)</w:t>
      </w:r>
      <w:r>
        <w:rPr>
          <w:rStyle w:val="optioncarChar"/>
        </w:rPr>
        <w:t xml:space="preserve"> / ***</w:t>
      </w:r>
    </w:p>
    <w:p w14:paraId="1BABC798" w14:textId="77777777" w:rsidR="00772179" w:rsidRDefault="00000000">
      <w:pPr>
        <w:pStyle w:val="Author-eListParagraph"/>
        <w:numPr>
          <w:ilvl w:val="0"/>
          <w:numId w:val="184"/>
        </w:numPr>
      </w:pPr>
      <w:r>
        <w:rPr>
          <w:rStyle w:val="soitChar"/>
        </w:rPr>
        <w:t>Finition :</w:t>
      </w:r>
      <w:r>
        <w:rPr>
          <w:rStyle w:val="optioncarChar"/>
        </w:rPr>
        <w:t xml:space="preserve"> lisse </w:t>
      </w:r>
      <w:r>
        <w:t xml:space="preserve">(par défaut) </w:t>
      </w:r>
      <w:r>
        <w:rPr>
          <w:rStyle w:val="optioncarChar"/>
        </w:rPr>
        <w:t>/ texturé aspect bois / ***</w:t>
      </w:r>
    </w:p>
    <w:p w14:paraId="2814C28D" w14:textId="77777777" w:rsidR="00772179" w:rsidRDefault="00000000">
      <w:pPr>
        <w:pStyle w:val="Author-eListParagraph"/>
        <w:numPr>
          <w:ilvl w:val="0"/>
          <w:numId w:val="184"/>
        </w:numPr>
      </w:pPr>
      <w:r>
        <w:rPr>
          <w:rStyle w:val="soitChar"/>
        </w:rPr>
        <w:t xml:space="preserve">Aspect : </w:t>
      </w:r>
      <w:r>
        <w:rPr>
          <w:rStyle w:val="optioncarChar"/>
        </w:rPr>
        <w:t>satiné</w:t>
      </w:r>
      <w:r>
        <w:t xml:space="preserve"> (par défaut)</w:t>
      </w:r>
      <w:r>
        <w:rPr>
          <w:rStyle w:val="optioncarChar"/>
        </w:rPr>
        <w:t xml:space="preserve"> / brillant / ***</w:t>
      </w:r>
    </w:p>
    <w:p w14:paraId="3F7854C5" w14:textId="77777777" w:rsidR="00772179" w:rsidRDefault="00000000">
      <w:pPr>
        <w:jc w:val="both"/>
      </w:pPr>
      <w:r>
        <w:rPr>
          <w:b/>
        </w:rPr>
        <w:t>(soit)</w:t>
      </w:r>
    </w:p>
    <w:p w14:paraId="0658D03A" w14:textId="77777777" w:rsidR="00772179" w:rsidRDefault="00000000">
      <w:pPr>
        <w:jc w:val="both"/>
      </w:pPr>
      <w:r>
        <w:rPr>
          <w:rStyle w:val="soitChar"/>
          <w:u w:val="single"/>
        </w:rPr>
        <w:t>Coextrusion de couleur (CPc) :</w:t>
      </w:r>
      <w:r>
        <w:rPr>
          <w:rStyle w:val="soitChar"/>
        </w:rPr>
        <w:t xml:space="preserve"> 2 matériaux thermoplastiques durables sont préparés séparément et passent dans une filière d’extrusion.</w:t>
      </w:r>
    </w:p>
    <w:p w14:paraId="1838FF90" w14:textId="77777777" w:rsidR="00772179" w:rsidRDefault="00000000">
      <w:pPr>
        <w:pStyle w:val="Author-eListParagraph"/>
        <w:numPr>
          <w:ilvl w:val="0"/>
          <w:numId w:val="185"/>
        </w:numPr>
      </w:pPr>
      <w:r>
        <w:rPr>
          <w:rStyle w:val="soitChar"/>
        </w:rPr>
        <w:t xml:space="preserve">Couleur : </w:t>
      </w:r>
      <w:r>
        <w:rPr>
          <w:rStyle w:val="optioncarChar"/>
        </w:rPr>
        <w:t xml:space="preserve">à choisir dans la gamme de couleurs standard du fabricant </w:t>
      </w:r>
      <w:r>
        <w:t>(par défaut)</w:t>
      </w:r>
      <w:r>
        <w:rPr>
          <w:rStyle w:val="optioncarChar"/>
        </w:rPr>
        <w:t xml:space="preserve"> / ***</w:t>
      </w:r>
    </w:p>
    <w:p w14:paraId="5DB0FD85" w14:textId="77777777" w:rsidR="00772179" w:rsidRDefault="00000000">
      <w:pPr>
        <w:pStyle w:val="Author-eListParagraph"/>
        <w:numPr>
          <w:ilvl w:val="0"/>
          <w:numId w:val="185"/>
        </w:numPr>
      </w:pPr>
      <w:r>
        <w:rPr>
          <w:rStyle w:val="soitChar"/>
        </w:rPr>
        <w:t>Finition :</w:t>
      </w:r>
      <w:r>
        <w:rPr>
          <w:rStyle w:val="optioncarChar"/>
        </w:rPr>
        <w:t xml:space="preserve"> lisse</w:t>
      </w:r>
      <w:r>
        <w:t xml:space="preserve"> (par défaut)</w:t>
      </w:r>
      <w:r>
        <w:rPr>
          <w:rStyle w:val="optioncarChar"/>
        </w:rPr>
        <w:t xml:space="preserve"> / texturé aspect bois / ***</w:t>
      </w:r>
    </w:p>
    <w:p w14:paraId="69FAB8B9" w14:textId="77777777" w:rsidR="00772179" w:rsidRDefault="00000000">
      <w:pPr>
        <w:pStyle w:val="Author-eListParagraph"/>
        <w:numPr>
          <w:ilvl w:val="0"/>
          <w:numId w:val="185"/>
        </w:numPr>
      </w:pPr>
      <w:r>
        <w:rPr>
          <w:rStyle w:val="soitChar"/>
        </w:rPr>
        <w:t xml:space="preserve">Aspect : </w:t>
      </w:r>
      <w:r>
        <w:rPr>
          <w:rStyle w:val="optioncarChar"/>
        </w:rPr>
        <w:t xml:space="preserve">satiné </w:t>
      </w:r>
      <w:r>
        <w:t xml:space="preserve">(par défaut) </w:t>
      </w:r>
      <w:r>
        <w:rPr>
          <w:rStyle w:val="optioncarChar"/>
        </w:rPr>
        <w:t>/ brillant / ***</w:t>
      </w:r>
    </w:p>
    <w:p w14:paraId="528D7024" w14:textId="77777777" w:rsidR="00772179" w:rsidRDefault="00000000">
      <w:pPr>
        <w:jc w:val="both"/>
      </w:pPr>
      <w:r>
        <w:rPr>
          <w:b/>
        </w:rPr>
        <w:t>(soit)</w:t>
      </w:r>
    </w:p>
    <w:p w14:paraId="1713F43D" w14:textId="77777777" w:rsidR="00772179" w:rsidRDefault="00000000">
      <w:pPr>
        <w:jc w:val="both"/>
      </w:pPr>
      <w:r>
        <w:rPr>
          <w:rStyle w:val="optioncarChar"/>
        </w:rPr>
        <w:t>***</w:t>
      </w:r>
    </w:p>
    <w:p w14:paraId="738D95DC" w14:textId="77777777" w:rsidR="00772179" w:rsidRDefault="00000000">
      <w:pPr>
        <w:jc w:val="both"/>
      </w:pPr>
      <w:r>
        <w:t>Les exigences de finitions sont décrites dans la [NBN B 25-002-5].</w:t>
      </w:r>
    </w:p>
    <w:p w14:paraId="19BB00A0" w14:textId="77777777" w:rsidR="00772179" w:rsidRDefault="00000000">
      <w:pPr>
        <w:jc w:val="both"/>
      </w:pPr>
      <w:r>
        <w:t>Lors d’une observation perpendiculaire à la surface concernée sous une lumière diffuse (ciel couvert à l’extérieur et sans éclairage artificiel à l’intérieur), aucun défaut de surface décrit ci-après ne sont visibles à l’œil nu à une distance de 2 mètres : surface rude, gouttes d’écoulement, boursouflures, effet de peau d’orange, inclusions, cratères, taches mates, trous, griffes.</w:t>
      </w:r>
    </w:p>
    <w:p w14:paraId="3613BC96" w14:textId="77777777" w:rsidR="00772179" w:rsidRDefault="00000000">
      <w:pPr>
        <w:jc w:val="both"/>
      </w:pPr>
      <w:r>
        <w:t>Les écarts de teinte pour les profilés blancs dans la masse sont conformes aux prescriptions de la [NBN B 25-002-5].</w:t>
      </w:r>
    </w:p>
    <w:p w14:paraId="2E36A4C1" w14:textId="77777777" w:rsidR="00772179" w:rsidRDefault="00000000">
      <w:pPr>
        <w:pStyle w:val="pheading"/>
      </w:pPr>
      <w:r>
        <w:t>EXÉCUTION / MISE EN ŒUVRE</w:t>
      </w:r>
    </w:p>
    <w:p w14:paraId="015B46ED" w14:textId="77777777" w:rsidR="00772179" w:rsidRDefault="00000000">
      <w:pPr>
        <w:pStyle w:val="pheading"/>
      </w:pPr>
      <w:r>
        <w:t>- Prescriptions générales</w:t>
      </w:r>
    </w:p>
    <w:p w14:paraId="25BC982A" w14:textId="77777777" w:rsidR="00772179" w:rsidRDefault="00000000">
      <w:pPr>
        <w:jc w:val="both"/>
      </w:pPr>
      <w:r>
        <w:t xml:space="preserve">La pose des châssis s'effectue selon le </w:t>
      </w:r>
      <w:hyperlink w:anchor="897" w:history="1">
        <w:r>
          <w:rPr>
            <w:color w:val="0000EE"/>
          </w:rPr>
          <w:t>41.17.1b Fenêtres et portes-fenêtres en mélange PVC fibres de verre (dans la masse)</w:t>
        </w:r>
      </w:hyperlink>
      <w:r>
        <w:t xml:space="preserve"> et conformément à la [NIT 283].</w:t>
      </w:r>
    </w:p>
    <w:p w14:paraId="4F264139" w14:textId="77777777" w:rsidR="00772179" w:rsidRDefault="00000000">
      <w:pPr>
        <w:jc w:val="both"/>
      </w:pPr>
      <w:r>
        <w:t>L’entretien est conforme à la norme [NBN B 25-002-1]. </w:t>
      </w:r>
    </w:p>
    <w:p w14:paraId="09A1155E" w14:textId="77777777" w:rsidR="00772179" w:rsidRDefault="00000000">
      <w:pPr>
        <w:jc w:val="both"/>
      </w:pPr>
      <w:r>
        <w:t>Le resserrage de la menuiserie est pourvu de continuité des performances mécaniques, thermiques et d’étanchéité à l’eau.</w:t>
      </w:r>
    </w:p>
    <w:p w14:paraId="03BD774B" w14:textId="77777777" w:rsidR="00772179" w:rsidRDefault="00000000">
      <w:pPr>
        <w:pStyle w:val="Author-eListParagraph"/>
        <w:numPr>
          <w:ilvl w:val="0"/>
          <w:numId w:val="186"/>
        </w:numPr>
        <w:jc w:val="both"/>
      </w:pPr>
      <w:r>
        <w:t>Pour la continuité de l’étanchéité à l’air, le resserrage est muni d’</w:t>
      </w:r>
      <w:r>
        <w:rPr>
          <w:rStyle w:val="optioncarChar"/>
        </w:rPr>
        <w:t>un</w:t>
      </w:r>
      <w:r>
        <w:t> </w:t>
      </w:r>
      <w:r>
        <w:rPr>
          <w:rStyle w:val="optioncarChar"/>
        </w:rPr>
        <w:t xml:space="preserve">kit de mastic </w:t>
      </w:r>
      <w:r>
        <w:t>(par défaut)</w:t>
      </w:r>
      <w:r>
        <w:rPr>
          <w:rStyle w:val="optioncarChar"/>
        </w:rPr>
        <w:t xml:space="preserve"> /  une membrane / un profilé de resserrage / ***</w:t>
      </w:r>
    </w:p>
    <w:p w14:paraId="169617F2" w14:textId="77777777" w:rsidR="00772179" w:rsidRDefault="00000000">
      <w:pPr>
        <w:pStyle w:val="Author-eListParagraph"/>
        <w:numPr>
          <w:ilvl w:val="0"/>
          <w:numId w:val="186"/>
        </w:numPr>
        <w:jc w:val="both"/>
      </w:pPr>
      <w:r>
        <w:t>Pour la continuité de l’isolation acoustique le resserrage est muni d’</w:t>
      </w:r>
      <w:r>
        <w:rPr>
          <w:rStyle w:val="optioncarChar"/>
        </w:rPr>
        <w:t xml:space="preserve">une laine de roche </w:t>
      </w:r>
      <w:r>
        <w:t>(par défaut) /</w:t>
      </w:r>
      <w:r>
        <w:rPr>
          <w:rStyle w:val="optioncarChar"/>
        </w:rPr>
        <w:t xml:space="preserve"> une mousse acoustique / une plaque massive / ***</w:t>
      </w:r>
    </w:p>
    <w:p w14:paraId="17214C06" w14:textId="77777777" w:rsidR="00772179" w:rsidRDefault="00000000">
      <w:pPr>
        <w:pStyle w:val="pheading"/>
      </w:pPr>
      <w:r>
        <w:t>- Échantillons</w:t>
      </w:r>
    </w:p>
    <w:p w14:paraId="736E42FD" w14:textId="77777777" w:rsidR="00772179" w:rsidRDefault="00000000">
      <w:pPr>
        <w:jc w:val="both"/>
      </w:pPr>
      <w:r>
        <w:t>L’entrepreneur soumet un échantillon des profils et des finitions qu’il propose à l’approbation de la direction du chantier.</w:t>
      </w:r>
    </w:p>
    <w:p w14:paraId="680CE8AE" w14:textId="77777777" w:rsidR="00772179" w:rsidRDefault="00000000">
      <w:pPr>
        <w:pStyle w:val="pheading"/>
      </w:pPr>
      <w:r>
        <w:t>MESURAGE</w:t>
      </w:r>
    </w:p>
    <w:p w14:paraId="52475651" w14:textId="77777777" w:rsidR="00772179" w:rsidRDefault="00000000">
      <w:pPr>
        <w:pStyle w:val="pheading"/>
      </w:pPr>
      <w:r>
        <w:t>- unité de mesure:</w:t>
      </w:r>
    </w:p>
    <w:p w14:paraId="15C74BFA" w14:textId="77777777" w:rsidR="00772179" w:rsidRDefault="00000000">
      <w:r>
        <w:rPr>
          <w:rStyle w:val="optioncarChar"/>
        </w:rPr>
        <w:lastRenderedPageBreak/>
        <w:t xml:space="preserve">m² </w:t>
      </w:r>
      <w:r>
        <w:t xml:space="preserve">(par défaut) </w:t>
      </w:r>
      <w:r>
        <w:rPr>
          <w:rStyle w:val="optioncarChar"/>
        </w:rPr>
        <w:t>/ pc</w:t>
      </w:r>
    </w:p>
    <w:p w14:paraId="19BA748A" w14:textId="77777777" w:rsidR="00772179" w:rsidRDefault="00000000">
      <w:r>
        <w:rPr>
          <w:b/>
        </w:rPr>
        <w:t>(soit par défaut)</w:t>
      </w:r>
      <w:r>
        <w:br/>
      </w:r>
      <w:r>
        <w:rPr>
          <w:rStyle w:val="soitChar"/>
        </w:rPr>
        <w:t>1. m²</w:t>
      </w:r>
      <w:r>
        <w:br/>
      </w:r>
      <w:r>
        <w:rPr>
          <w:b/>
        </w:rPr>
        <w:t>(soit)</w:t>
      </w:r>
      <w:r>
        <w:br/>
      </w:r>
      <w:r>
        <w:rPr>
          <w:rStyle w:val="soitChar"/>
        </w:rPr>
        <w:t>2. pc</w:t>
      </w:r>
    </w:p>
    <w:p w14:paraId="211586E2" w14:textId="77777777" w:rsidR="00772179" w:rsidRDefault="00000000">
      <w:pPr>
        <w:pStyle w:val="pheading"/>
      </w:pPr>
      <w:r>
        <w:t>- code de mesurage:</w:t>
      </w:r>
    </w:p>
    <w:p w14:paraId="51E46125" w14:textId="77777777" w:rsidR="00772179" w:rsidRDefault="00000000">
      <w:pPr>
        <w:jc w:val="both"/>
      </w:pPr>
      <w:r>
        <w:rPr>
          <w:rStyle w:val="optioncarChar"/>
        </w:rPr>
        <w:t>Surface nette</w:t>
      </w:r>
      <w:r>
        <w:t xml:space="preserve"> (par défaut)</w:t>
      </w:r>
      <w:r>
        <w:rPr>
          <w:rStyle w:val="optioncarChar"/>
        </w:rPr>
        <w:t xml:space="preserve"> / Quantité nette</w:t>
      </w:r>
    </w:p>
    <w:p w14:paraId="416FA880" w14:textId="77777777" w:rsidR="00772179" w:rsidRDefault="00000000">
      <w:pPr>
        <w:jc w:val="both"/>
      </w:pPr>
      <w:r>
        <w:rPr>
          <w:b/>
        </w:rPr>
        <w:t>(soit par défaut)</w:t>
      </w:r>
    </w:p>
    <w:p w14:paraId="73A00B17" w14:textId="77777777" w:rsidR="00772179" w:rsidRDefault="00000000">
      <w:pPr>
        <w:jc w:val="both"/>
      </w:pPr>
      <w:r>
        <w:rPr>
          <w:rStyle w:val="soitChar"/>
        </w:rPr>
        <w:t xml:space="preserve">1. </w:t>
      </w:r>
      <w:r>
        <w:rPr>
          <w:rStyle w:val="soitChar"/>
          <w:u w:val="single"/>
        </w:rPr>
        <w:t>Surface nette</w:t>
      </w:r>
      <w:r>
        <w:rPr>
          <w:rStyle w:val="soitChar"/>
        </w:rPr>
        <w:t xml:space="preserve"> en développement des dimensions dans l'œuvre (le cas échéant, ventilé selon le type ou le modèle conformément aux indications dans le métré récapitulatif annexé au dossier de mise en concurrence. Les différents types à distinguer éventuellement sont les fenêtres fixes, les fenêtres et portes-fenêtres oscillo-battantes, etc…</w:t>
      </w:r>
    </w:p>
    <w:p w14:paraId="5DD67454" w14:textId="77777777" w:rsidR="00772179" w:rsidRDefault="00000000">
      <w:pPr>
        <w:jc w:val="both"/>
      </w:pPr>
      <w:r>
        <w:rPr>
          <w:b/>
        </w:rPr>
        <w:t>(soit)</w:t>
      </w:r>
    </w:p>
    <w:p w14:paraId="0739A7D7" w14:textId="77777777" w:rsidR="00772179" w:rsidRDefault="00000000">
      <w:pPr>
        <w:jc w:val="both"/>
      </w:pPr>
      <w:r>
        <w:rPr>
          <w:rStyle w:val="soitChar"/>
        </w:rPr>
        <w:t xml:space="preserve">2. </w:t>
      </w:r>
      <w:r>
        <w:rPr>
          <w:rStyle w:val="soitChar"/>
          <w:u w:val="single"/>
        </w:rPr>
        <w:t>Quantité nette</w:t>
      </w:r>
      <w:r>
        <w:rPr>
          <w:rStyle w:val="soitChar"/>
        </w:rPr>
        <w:t xml:space="preserve"> suivant dimensions dans l’œuvre. Les châssis composés de plusieurs éléments sont ventilés par élément dans le métré récapitulatif. Les profils intermédiaires et les autres châssis intercalaires ne sont toutefois pas comptés séparément et sont compris dans le prix unitaire des éléments respectifs.</w:t>
      </w:r>
    </w:p>
    <w:p w14:paraId="49E8971B" w14:textId="77777777" w:rsidR="00772179" w:rsidRDefault="00000000">
      <w:pPr>
        <w:pStyle w:val="pheading"/>
      </w:pPr>
      <w:r>
        <w:t>- nature du marché:</w:t>
      </w:r>
    </w:p>
    <w:p w14:paraId="7AF9C2E4" w14:textId="77777777" w:rsidR="00772179" w:rsidRDefault="00000000">
      <w:r>
        <w:t>QF</w:t>
      </w:r>
    </w:p>
    <w:p w14:paraId="5AB6AE18" w14:textId="77777777" w:rsidR="00772179" w:rsidRDefault="00000000">
      <w:pPr>
        <w:pStyle w:val="Author-eSectionHeading5Numberless"/>
      </w:pPr>
      <w:bookmarkStart w:id="57" w:name="_Toc220489807"/>
      <w:r>
        <w:t>41.17.2 Fenêtres et portes-fenêtres Bois/ Fibre de verre CCTB 01.02</w:t>
      </w:r>
      <w:bookmarkEnd w:id="57"/>
    </w:p>
    <w:p w14:paraId="2D41C5EE" w14:textId="77777777" w:rsidR="00772179" w:rsidRDefault="00000000">
      <w:pPr>
        <w:pStyle w:val="Author-eSectionHeading6Numberless"/>
      </w:pPr>
      <w:bookmarkStart w:id="58" w:name="_Toc220489808"/>
      <w:r>
        <w:t>41.17.2a Fenêtres et portes-fenêtres bois/ fibre de verre</w:t>
      </w:r>
      <w:bookmarkEnd w:id="58"/>
    </w:p>
    <w:p w14:paraId="4F5314ED" w14:textId="77777777" w:rsidR="00772179" w:rsidRDefault="00000000">
      <w:pPr>
        <w:pStyle w:val="Author-eSectionHeading3Numberless"/>
      </w:pPr>
      <w:bookmarkStart w:id="59" w:name="_Toc220489809"/>
      <w:r>
        <w:t>41.2 Portes d'entrée CCTB 01.13</w:t>
      </w:r>
      <w:bookmarkEnd w:id="59"/>
    </w:p>
    <w:p w14:paraId="41569D4B" w14:textId="77777777" w:rsidR="00772179" w:rsidRDefault="00000000">
      <w:pPr>
        <w:pStyle w:val="pheading"/>
      </w:pPr>
      <w:bookmarkStart w:id="60" w:name="904"/>
      <w:bookmarkEnd w:id="60"/>
      <w:r>
        <w:t>DESCRIPTION</w:t>
      </w:r>
    </w:p>
    <w:p w14:paraId="32DD0DE1" w14:textId="77777777" w:rsidR="00772179" w:rsidRDefault="00000000">
      <w:pPr>
        <w:pStyle w:val="pheading"/>
      </w:pPr>
      <w:r>
        <w:t>- Définition / Comprend</w:t>
      </w:r>
    </w:p>
    <w:p w14:paraId="656A3D17" w14:textId="77777777" w:rsidR="00772179" w:rsidRDefault="00000000">
      <w:pPr>
        <w:jc w:val="both"/>
      </w:pPr>
      <w:r>
        <w:t>Cet élément comprend la fourniture (hors matériaux récupérés du même site) et la pose de tous les éléments nécessaires à la composition des portes extérieures, y compris toutes les pièces qui en font intrinsèquement partie. Conformément aux dispositions générales et/ou spécifiques du cahier spécial des charges, les prix unitaires compris dans ce poste sont toujours compris, soit selon la ventilation dans le métré récapitulatif, soit dans leur totalité :</w:t>
      </w:r>
    </w:p>
    <w:p w14:paraId="37B678B8" w14:textId="77777777" w:rsidR="00772179" w:rsidRDefault="00000000">
      <w:pPr>
        <w:pStyle w:val="Author-eListParagraph"/>
        <w:numPr>
          <w:ilvl w:val="0"/>
          <w:numId w:val="187"/>
        </w:numPr>
        <w:jc w:val="both"/>
      </w:pPr>
      <w:r>
        <w:t>la vérification sur place des dimensions exactes;</w:t>
      </w:r>
    </w:p>
    <w:p w14:paraId="6E41EAC1" w14:textId="77777777" w:rsidR="00772179" w:rsidRDefault="00000000">
      <w:pPr>
        <w:pStyle w:val="Author-eListParagraph"/>
        <w:numPr>
          <w:ilvl w:val="0"/>
          <w:numId w:val="187"/>
        </w:numPr>
        <w:jc w:val="both"/>
      </w:pPr>
      <w:r>
        <w:t>le montage des profils de portes, y compris toute la quincaillerie;</w:t>
      </w:r>
    </w:p>
    <w:p w14:paraId="71D7EBFD" w14:textId="77777777" w:rsidR="00772179" w:rsidRDefault="00000000">
      <w:pPr>
        <w:pStyle w:val="Author-eListParagraph"/>
        <w:numPr>
          <w:ilvl w:val="0"/>
          <w:numId w:val="187"/>
        </w:numPr>
        <w:jc w:val="both"/>
      </w:pPr>
      <w:r>
        <w:t>la fourniture (hors matériaux récupérés du même site) et la pose des éléments de remplissage et/ou des vitrages, y compris les cales, les parcloses et les étanchéités;</w:t>
      </w:r>
    </w:p>
    <w:p w14:paraId="03854F1C" w14:textId="77777777" w:rsidR="00772179" w:rsidRDefault="00000000">
      <w:pPr>
        <w:pStyle w:val="Author-eListParagraph"/>
        <w:numPr>
          <w:ilvl w:val="0"/>
          <w:numId w:val="187"/>
        </w:numPr>
        <w:jc w:val="both"/>
      </w:pPr>
      <w:r>
        <w:t>la fourniture (hors matériaux récupérés du même site) et la pose, y compris tous les moyens de fixation et/ou de suspension, ainsi que tous les ragréages étanches et la finition des joints entre le dormant de la porte et le gros-œuvre, … ;</w:t>
      </w:r>
    </w:p>
    <w:p w14:paraId="2C38A4F0" w14:textId="77777777" w:rsidR="00772179" w:rsidRDefault="00000000">
      <w:pPr>
        <w:pStyle w:val="Author-eListParagraph"/>
        <w:numPr>
          <w:ilvl w:val="0"/>
          <w:numId w:val="187"/>
        </w:numPr>
        <w:jc w:val="both"/>
      </w:pPr>
      <w:r>
        <w:t>lors de la pose d’éléments de réemploi, les raccords éventuels, rectification des dimensions sont compris dans cet élément.</w:t>
      </w:r>
    </w:p>
    <w:p w14:paraId="141C54C5" w14:textId="77777777" w:rsidR="00772179" w:rsidRDefault="00000000">
      <w:pPr>
        <w:pStyle w:val="pheading"/>
      </w:pPr>
      <w:r>
        <w:t>- Remarques importantes</w:t>
      </w:r>
    </w:p>
    <w:p w14:paraId="1DECCB48" w14:textId="77777777" w:rsidR="00772179" w:rsidRDefault="00000000">
      <w:pPr>
        <w:jc w:val="both"/>
      </w:pPr>
      <w:r>
        <w:t>Il est possible que certains de ces éléments soient décrits dans des articles séparés (quincaillerie, vitrage, …). Toutefois, sauf indication contraire dans le métré récapitulatif, ils sont toujours compris dans le prix unitaire.</w:t>
      </w:r>
    </w:p>
    <w:p w14:paraId="203F4819" w14:textId="77777777" w:rsidR="00772179" w:rsidRDefault="00772179">
      <w:pPr>
        <w:jc w:val="both"/>
      </w:pPr>
    </w:p>
    <w:p w14:paraId="36BDB0BD" w14:textId="77777777" w:rsidR="00772179" w:rsidRDefault="00000000">
      <w:pPr>
        <w:jc w:val="both"/>
      </w:pPr>
      <w:r>
        <w:t>Si la porte présente un seuil participant à l’étanchéité de la porte, ce profilé ainsi que sa pose sont compris dans cet élément.</w:t>
      </w:r>
    </w:p>
    <w:p w14:paraId="26320B58" w14:textId="77777777" w:rsidR="00772179" w:rsidRDefault="00772179">
      <w:pPr>
        <w:jc w:val="both"/>
      </w:pPr>
    </w:p>
    <w:p w14:paraId="68E9E9C9" w14:textId="77777777" w:rsidR="00772179" w:rsidRDefault="00000000">
      <w:pPr>
        <w:jc w:val="both"/>
      </w:pPr>
      <w:r>
        <w:t>Les éventuels travaux de démolition de la porte existante, sont compris dans un article séparé (voir 06.24.1a Démolitions d'éléments de support de toitures).</w:t>
      </w:r>
    </w:p>
    <w:p w14:paraId="70BAB469" w14:textId="77777777" w:rsidR="00772179" w:rsidRDefault="00000000">
      <w:pPr>
        <w:pStyle w:val="pheading"/>
      </w:pPr>
      <w:r>
        <w:t>MATÉRIAUX</w:t>
      </w:r>
    </w:p>
    <w:p w14:paraId="45A80BAB" w14:textId="77777777" w:rsidR="00772179" w:rsidRDefault="00000000">
      <w:pPr>
        <w:jc w:val="both"/>
      </w:pPr>
      <w:r>
        <w:rPr>
          <w:b/>
          <w:u w:val="single"/>
        </w:rPr>
        <w:t>Généralités</w:t>
      </w:r>
    </w:p>
    <w:p w14:paraId="5AD46BC5" w14:textId="77777777" w:rsidR="00772179" w:rsidRDefault="00000000">
      <w:pPr>
        <w:jc w:val="both"/>
      </w:pPr>
      <w:r>
        <w:t>Avant de passer les commandes pour les ensembles de portes avec tous leurs accessoires, l'entrepreneur est tenu de vérifier si ceux-ci sont livrés dans les dimensions, type, couleur et traitement prescrits dans les documents d'adjudication. Il contrôle également si les dimensions s'adaptent à la modulation de la structure portante, à la nature de l'ossature principale ou du gros-œuvre, y compris l'emplacement et la répartition des joints de dilatation et de tassement prévus pour les éléments, la jonction avec le gros-œuvre (linteaux, parement, seuils), le choix et la mise en œuvre des moyens de fixation, les éléments de finition (habillages intérieures, volets, …), les éventuels dispositifs de protection s'ils sont prévus et/ou les autres exigences particulières en matière d'isolation thermique, hygrométrique et acoustique des façades. Lorsqu'il constate des anomalies, l'entrepreneur en avertit immédiatement le maître d’ouvrage.</w:t>
      </w:r>
    </w:p>
    <w:p w14:paraId="22375DCD" w14:textId="77777777" w:rsidR="00772179" w:rsidRDefault="00000000">
      <w:pPr>
        <w:jc w:val="both"/>
      </w:pPr>
      <w:r>
        <w:t>L'entrepreneur soumet, avant l'exécution, à l'approbation du maître d’ouvrage et de l’auteur de projet :</w:t>
      </w:r>
    </w:p>
    <w:p w14:paraId="41165744" w14:textId="77777777" w:rsidR="00772179" w:rsidRDefault="00000000">
      <w:pPr>
        <w:pStyle w:val="Author-eListParagraph"/>
        <w:numPr>
          <w:ilvl w:val="0"/>
          <w:numId w:val="188"/>
        </w:numPr>
      </w:pPr>
      <w:r>
        <w:t>les notes de calcul nécessaires, les certificats de garantie et autres marquage, …</w:t>
      </w:r>
    </w:p>
    <w:p w14:paraId="111EA4B9" w14:textId="77777777" w:rsidR="00772179" w:rsidRDefault="00000000">
      <w:pPr>
        <w:pStyle w:val="Author-eListParagraph"/>
        <w:numPr>
          <w:ilvl w:val="0"/>
          <w:numId w:val="188"/>
        </w:numPr>
      </w:pPr>
      <w:r>
        <w:t>les dessins de détail et bordereaux de commande,</w:t>
      </w:r>
    </w:p>
    <w:p w14:paraId="5FA1F897" w14:textId="77777777" w:rsidR="00772179" w:rsidRDefault="00000000">
      <w:pPr>
        <w:pStyle w:val="Author-eListParagraph"/>
        <w:numPr>
          <w:ilvl w:val="0"/>
          <w:numId w:val="188"/>
        </w:numPr>
      </w:pPr>
      <w:r>
        <w:t>une carte de couleurs de la gamme des couleurs livrées par le fabricant. </w:t>
      </w:r>
    </w:p>
    <w:p w14:paraId="63CA9936" w14:textId="77777777" w:rsidR="00772179" w:rsidRDefault="00000000">
      <w:pPr>
        <w:jc w:val="both"/>
      </w:pPr>
      <w:r>
        <w:rPr>
          <w:b/>
          <w:u w:val="single"/>
        </w:rPr>
        <w:t>Critères de performances.</w:t>
      </w:r>
    </w:p>
    <w:p w14:paraId="6E649D15" w14:textId="77777777" w:rsidR="00772179" w:rsidRDefault="00000000">
      <w:pPr>
        <w:jc w:val="both"/>
      </w:pPr>
      <w:r>
        <w:t>Les portes neuves mises sur le marché annoncent les performances définies dans le chapitre 02.42.1 Critères d'acceptabilité,  de la norme produit [NBN EN 14351-1:2006+A2] et dont les exigences sont reprises dans les [STS 53.1].</w:t>
      </w:r>
    </w:p>
    <w:p w14:paraId="24EB211F" w14:textId="77777777" w:rsidR="00772179" w:rsidRDefault="00000000">
      <w:pPr>
        <w:jc w:val="both"/>
      </w:pPr>
      <w:r>
        <w:rPr>
          <w:b/>
          <w:u w:val="single"/>
        </w:rPr>
        <w:t>Performance énergétique (isolation thermique &amp; contrôle solaire).</w:t>
      </w:r>
    </w:p>
    <w:p w14:paraId="6B626AB7" w14:textId="77777777" w:rsidR="00772179" w:rsidRDefault="00000000">
      <w:pPr>
        <w:jc w:val="both"/>
      </w:pPr>
      <w:r>
        <w:t xml:space="preserve">Par défaut, sans spécification dans le cahier spécial des charges, les performances énergétiques sont au moins conformes aux réglementations régionales . Les valeurs Ud des portes sont communiquées à l'auteur de projet et, le cas échéant, au responsable PEB. A défaut, le détail (valeur Up des panneaux, valeur Ug des vitrages et valeur Uf des profilés, ainsi que les matériaux et épaisseurs) est communiqué à l'auteur de projet et, le cas échéant, au responsable PEB. En ce qui concerne le contrôle solaire (facteur solaire et transmission lumineuse), on se réfère au descriptif du </w:t>
      </w:r>
      <w:hyperlink w:anchor="852" w:history="1">
        <w:r>
          <w:rPr>
            <w:color w:val="0000EE"/>
          </w:rPr>
          <w:t>42 Vitrages extérieurs et éléments de remplissage</w:t>
        </w:r>
      </w:hyperlink>
      <w:r>
        <w:t>.</w:t>
      </w:r>
    </w:p>
    <w:p w14:paraId="39A4E11F" w14:textId="77777777" w:rsidR="00772179" w:rsidRDefault="00000000">
      <w:pPr>
        <w:jc w:val="both"/>
      </w:pPr>
      <w:r>
        <w:rPr>
          <w:b/>
          <w:u w:val="single"/>
        </w:rPr>
        <w:t>Perméabilité à l'air, Etanchéité à l'eau</w:t>
      </w:r>
    </w:p>
    <w:p w14:paraId="055D38CF" w14:textId="77777777" w:rsidR="00772179" w:rsidRDefault="00000000">
      <w:pPr>
        <w:jc w:val="both"/>
      </w:pPr>
      <w:r>
        <w:t>Tous les ensembles des portes satisfont aux critères minimums de performance générale en matière de perméabilité à l'air, d'étanchéité à l'eau tels qu'ils figurent respectivement dans les paragraphes §53.1.4.3.3 (classes L1 à L4), §53.1.4.3.4 (classes E1 à E6 – voire meilleurs) de la [STS 53.1].</w:t>
      </w:r>
    </w:p>
    <w:p w14:paraId="645908CE" w14:textId="77777777" w:rsidR="00772179" w:rsidRDefault="00000000">
      <w:pPr>
        <w:jc w:val="both"/>
      </w:pPr>
      <w:r>
        <w:rPr>
          <w:b/>
          <w:u w:val="single"/>
        </w:rPr>
        <w:t>Effort de manœuvre</w:t>
      </w:r>
    </w:p>
    <w:p w14:paraId="46B3BC19" w14:textId="77777777" w:rsidR="00772179" w:rsidRDefault="00000000">
      <w:pPr>
        <w:jc w:val="both"/>
      </w:pPr>
      <w:r>
        <w:t>Les performances de forces de manipulation sont mesurées suivant la norme [NBN EN 12046-2] – les spécifications sont données dans la norme [NBN EN 12217]. Les classes sont notées de F1 à F4. Par défaut la Classe F2 (force de mouvement de la porte 50 N – couple de manœuvre 10 Nm)</w:t>
      </w:r>
    </w:p>
    <w:p w14:paraId="7843EF2F" w14:textId="77777777" w:rsidR="00772179" w:rsidRDefault="00000000">
      <w:pPr>
        <w:jc w:val="both"/>
      </w:pPr>
      <w:r>
        <w:t>Les Classes F3 et F4 sont donc recommandées pour une utilisation notamment par des personnes à mobilité réduite (PMR).</w:t>
      </w:r>
    </w:p>
    <w:p w14:paraId="613BD1B0" w14:textId="77777777" w:rsidR="00772179" w:rsidRDefault="00000000">
      <w:pPr>
        <w:jc w:val="both"/>
      </w:pPr>
      <w:r>
        <w:rPr>
          <w:b/>
          <w:u w:val="single"/>
        </w:rPr>
        <w:t>Performances d’abus d’utilisation</w:t>
      </w:r>
    </w:p>
    <w:p w14:paraId="4EE83144" w14:textId="77777777" w:rsidR="00772179" w:rsidRDefault="00000000">
      <w:pPr>
        <w:jc w:val="both"/>
      </w:pPr>
      <w:r>
        <w:t>Les performances d’efforts de résistance aux abus d’utilisation sont définies, suivant les [NBN EN 947] et [NBN EN 948], les niveaux de performances sont repris dans le § 53.1.4.2.2 du [STS 53.1] et dans la [NBN EN 1192]. Les classes sont données M1 à M4. Des classes MA5 à MA7 sont définies dans le § 53.1.4.3.9. de la [STS 53.1]. Par défaut la classe M2 est choisie.</w:t>
      </w:r>
    </w:p>
    <w:p w14:paraId="3CB6DFDC" w14:textId="77777777" w:rsidR="00772179" w:rsidRDefault="00000000">
      <w:pPr>
        <w:jc w:val="both"/>
      </w:pPr>
      <w:r>
        <w:rPr>
          <w:b/>
          <w:u w:val="single"/>
        </w:rPr>
        <w:t>Prestations acoustiques  </w:t>
      </w:r>
    </w:p>
    <w:p w14:paraId="4EB6D2D0" w14:textId="77777777" w:rsidR="00772179" w:rsidRDefault="00000000">
      <w:pPr>
        <w:jc w:val="both"/>
      </w:pPr>
      <w:r>
        <w:lastRenderedPageBreak/>
        <w:t>La norme [NBN S 01-400-1] prévoit 2 qualités de confort acoustique, à savoir un « confort acoustique normal » et un « confort acoustique supérieur ». Toutes les exigences sont données pour le bâtiment parachevé.   </w:t>
      </w:r>
    </w:p>
    <w:tbl>
      <w:tblPr>
        <w:tblStyle w:val="Author-eTableGrid"/>
        <w:tblW w:w="9060" w:type="dxa"/>
        <w:tblLayout w:type="fixed"/>
        <w:tblLook w:val="04A0" w:firstRow="1" w:lastRow="0" w:firstColumn="1" w:lastColumn="0" w:noHBand="0" w:noVBand="1"/>
      </w:tblPr>
      <w:tblGrid>
        <w:gridCol w:w="1766"/>
        <w:gridCol w:w="1480"/>
        <w:gridCol w:w="3760"/>
        <w:gridCol w:w="2054"/>
      </w:tblGrid>
      <w:tr w:rsidR="00772179" w14:paraId="460B15B5" w14:textId="77777777">
        <w:tc>
          <w:tcPr>
            <w:tcW w:w="1755" w:type="dxa"/>
            <w:noWrap/>
          </w:tcPr>
          <w:p w14:paraId="56C251E0" w14:textId="77777777" w:rsidR="00772179" w:rsidRDefault="00000000">
            <w:r>
              <w:t> </w:t>
            </w:r>
          </w:p>
        </w:tc>
        <w:tc>
          <w:tcPr>
            <w:tcW w:w="1470" w:type="dxa"/>
            <w:noWrap/>
          </w:tcPr>
          <w:p w14:paraId="77CBCFD2" w14:textId="77777777" w:rsidR="00772179" w:rsidRDefault="00000000">
            <w:pPr>
              <w:jc w:val="center"/>
            </w:pPr>
            <w:r>
              <w:rPr>
                <w:b/>
              </w:rPr>
              <w:t>Symbole</w:t>
            </w:r>
          </w:p>
        </w:tc>
        <w:tc>
          <w:tcPr>
            <w:tcW w:w="3735" w:type="dxa"/>
            <w:noWrap/>
          </w:tcPr>
          <w:p w14:paraId="60F09623" w14:textId="77777777" w:rsidR="00772179" w:rsidRDefault="00000000">
            <w:pPr>
              <w:jc w:val="center"/>
            </w:pPr>
            <w:r>
              <w:rPr>
                <w:b/>
              </w:rPr>
              <w:t>Signification</w:t>
            </w:r>
          </w:p>
        </w:tc>
        <w:tc>
          <w:tcPr>
            <w:tcW w:w="2040" w:type="dxa"/>
            <w:noWrap/>
          </w:tcPr>
          <w:p w14:paraId="08BC9775" w14:textId="77777777" w:rsidR="00772179" w:rsidRDefault="00000000">
            <w:pPr>
              <w:jc w:val="center"/>
            </w:pPr>
            <w:r>
              <w:rPr>
                <w:b/>
              </w:rPr>
              <w:t>Autre représentation</w:t>
            </w:r>
          </w:p>
        </w:tc>
      </w:tr>
      <w:tr w:rsidR="00772179" w14:paraId="65501DF7" w14:textId="77777777">
        <w:tc>
          <w:tcPr>
            <w:tcW w:w="1755" w:type="dxa"/>
            <w:noWrap/>
          </w:tcPr>
          <w:p w14:paraId="324C8F0E" w14:textId="77777777" w:rsidR="00772179" w:rsidRDefault="00000000">
            <w:r>
              <w:t>BRUITS EXTERIEURS</w:t>
            </w:r>
          </w:p>
        </w:tc>
        <w:tc>
          <w:tcPr>
            <w:tcW w:w="1470" w:type="dxa"/>
            <w:noWrap/>
          </w:tcPr>
          <w:p w14:paraId="3E18DECF" w14:textId="77777777" w:rsidR="00772179" w:rsidRDefault="00000000">
            <w:pPr>
              <w:jc w:val="center"/>
            </w:pPr>
            <w:r>
              <w:t>LAref et LA [dB]</w:t>
            </w:r>
          </w:p>
        </w:tc>
        <w:tc>
          <w:tcPr>
            <w:tcW w:w="3735" w:type="dxa"/>
            <w:noWrap/>
          </w:tcPr>
          <w:p w14:paraId="5B28730E" w14:textId="77777777" w:rsidR="00772179" w:rsidRDefault="00000000">
            <w:r>
              <w:t>LAref est déterminé à partir de mesures du niveau de pression acoustique effectuées à l’extérieur en un point de référence situé à 2 m de hauteur au-dessus du niveau du sol et à 2 m de distance perpendiculairement au milieu de la façade la plus exposée au bruit du bâtiment dans lequel se trouve le local à protéger.LA est la grandeur pondérée A calculée à partir de la grandeur LAref suivant la méthode décrite dans l’annexe normative B de la [NBN S 01-400-1] pour chaque pan de façade du local à protéger. Les exigences pour l’isolation d’un pan de façade sont déduites de cette grandeur.</w:t>
            </w:r>
          </w:p>
        </w:tc>
        <w:tc>
          <w:tcPr>
            <w:tcW w:w="2040" w:type="dxa"/>
            <w:noWrap/>
          </w:tcPr>
          <w:p w14:paraId="39D2C158" w14:textId="77777777" w:rsidR="00772179" w:rsidRDefault="00000000">
            <w:pPr>
              <w:jc w:val="center"/>
            </w:pPr>
            <w:r>
              <w:t>/</w:t>
            </w:r>
          </w:p>
        </w:tc>
      </w:tr>
      <w:tr w:rsidR="00772179" w14:paraId="159F0FAF" w14:textId="77777777">
        <w:tc>
          <w:tcPr>
            <w:tcW w:w="1755" w:type="dxa"/>
            <w:noWrap/>
          </w:tcPr>
          <w:p w14:paraId="4D9A7422" w14:textId="77777777" w:rsidR="00772179" w:rsidRDefault="00000000">
            <w:r>
              <w:t>PAN DE FACADE</w:t>
            </w:r>
          </w:p>
        </w:tc>
        <w:tc>
          <w:tcPr>
            <w:tcW w:w="1470" w:type="dxa"/>
            <w:noWrap/>
          </w:tcPr>
          <w:p w14:paraId="3966094E" w14:textId="77777777" w:rsidR="00772179" w:rsidRDefault="00000000">
            <w:pPr>
              <w:jc w:val="center"/>
            </w:pPr>
            <w:r>
              <w:t>DAtr [dB]</w:t>
            </w:r>
          </w:p>
        </w:tc>
        <w:tc>
          <w:tcPr>
            <w:tcW w:w="3735" w:type="dxa"/>
            <w:noWrap/>
          </w:tcPr>
          <w:p w14:paraId="1A7FBDB8" w14:textId="77777777" w:rsidR="00772179" w:rsidRDefault="00000000">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2040" w:type="dxa"/>
            <w:noWrap/>
          </w:tcPr>
          <w:p w14:paraId="319E0127" w14:textId="77777777" w:rsidR="00772179" w:rsidRDefault="00000000">
            <w:pPr>
              <w:jc w:val="center"/>
            </w:pPr>
            <w:r>
              <w:t>D2m,nT,w (C;Ctr) avec DAtr=D2m,nT,w+ Ctr</w:t>
            </w:r>
          </w:p>
        </w:tc>
      </w:tr>
      <w:tr w:rsidR="00772179" w14:paraId="7196AC03" w14:textId="77777777">
        <w:tc>
          <w:tcPr>
            <w:tcW w:w="1755" w:type="dxa"/>
            <w:vMerge w:val="restart"/>
            <w:noWrap/>
          </w:tcPr>
          <w:p w14:paraId="1229703D" w14:textId="77777777" w:rsidR="00772179" w:rsidRDefault="00000000">
            <w:r>
              <w:t>ELEMENTS DE CONSTRUCTION</w:t>
            </w:r>
          </w:p>
        </w:tc>
        <w:tc>
          <w:tcPr>
            <w:tcW w:w="1470" w:type="dxa"/>
            <w:noWrap/>
          </w:tcPr>
          <w:p w14:paraId="5AC38875" w14:textId="77777777" w:rsidR="00772179" w:rsidRDefault="00000000">
            <w:pPr>
              <w:jc w:val="center"/>
            </w:pPr>
            <w:r>
              <w:t>RAtr [dB]</w:t>
            </w:r>
          </w:p>
        </w:tc>
        <w:tc>
          <w:tcPr>
            <w:tcW w:w="3735" w:type="dxa"/>
            <w:noWrap/>
          </w:tcPr>
          <w:p w14:paraId="1A56E877" w14:textId="77777777" w:rsidR="00772179" w:rsidRDefault="00000000">
            <w:r>
              <w:t>Grandeur mesurée en laboratoire qui exprime l’affaiblissement acoustique au bruit de trafic par un élément de construction normal (verre, fenêtres, parois, …). Elle n’est pas d’application pour les grilles de ventilation.</w:t>
            </w:r>
          </w:p>
        </w:tc>
        <w:tc>
          <w:tcPr>
            <w:tcW w:w="2040" w:type="dxa"/>
            <w:noWrap/>
          </w:tcPr>
          <w:p w14:paraId="1320EFA8" w14:textId="77777777" w:rsidR="00772179" w:rsidRDefault="00000000">
            <w:pPr>
              <w:jc w:val="center"/>
            </w:pPr>
            <w:r>
              <w:t>Rw(C;Ctr) avec RAtr=Rw+Ctr</w:t>
            </w:r>
          </w:p>
        </w:tc>
      </w:tr>
      <w:tr w:rsidR="00772179" w14:paraId="74B61A1D" w14:textId="77777777">
        <w:tc>
          <w:tcPr>
            <w:tcW w:w="1755" w:type="dxa"/>
            <w:vMerge/>
            <w:noWrap/>
          </w:tcPr>
          <w:p w14:paraId="3C51E0D5" w14:textId="77777777" w:rsidR="00772179" w:rsidRDefault="00772179"/>
        </w:tc>
        <w:tc>
          <w:tcPr>
            <w:tcW w:w="1470" w:type="dxa"/>
            <w:noWrap/>
          </w:tcPr>
          <w:p w14:paraId="2C2B1B07" w14:textId="77777777" w:rsidR="00772179" w:rsidRDefault="00000000">
            <w:pPr>
              <w:jc w:val="center"/>
            </w:pPr>
            <w:r>
              <w:t>Dn,e,Atr [dB]</w:t>
            </w:r>
          </w:p>
        </w:tc>
        <w:tc>
          <w:tcPr>
            <w:tcW w:w="3735" w:type="dxa"/>
            <w:noWrap/>
          </w:tcPr>
          <w:p w14:paraId="0CB8B89B" w14:textId="77777777" w:rsidR="00772179" w:rsidRDefault="00000000">
            <w:pPr>
              <w:jc w:val="both"/>
            </w:pPr>
            <w:r>
              <w:t>Pour des raisons de mesures, cette grandeur spéciale, mesurée en laboratoire, est utilisée pour exprimer l’affaiblissement acoustique au bruit de trafic de la grille de ventilation</w:t>
            </w:r>
          </w:p>
        </w:tc>
        <w:tc>
          <w:tcPr>
            <w:tcW w:w="2040" w:type="dxa"/>
            <w:noWrap/>
          </w:tcPr>
          <w:p w14:paraId="258EDCB7" w14:textId="77777777" w:rsidR="00772179" w:rsidRDefault="00000000">
            <w:pPr>
              <w:jc w:val="center"/>
            </w:pPr>
            <w:r>
              <w:t>Dn,e,w(C;Ctr) avec Dn,e,Atr=Dn,e,w+Ctr</w:t>
            </w:r>
          </w:p>
        </w:tc>
      </w:tr>
    </w:tbl>
    <w:p w14:paraId="0914CF3D" w14:textId="77777777" w:rsidR="00772179" w:rsidRDefault="00000000">
      <w:pPr>
        <w:jc w:val="both"/>
      </w:pPr>
      <w:r>
        <w:t> </w:t>
      </w:r>
    </w:p>
    <w:p w14:paraId="7E5EFEA5" w14:textId="77777777" w:rsidR="00772179" w:rsidRDefault="00000000">
      <w:pPr>
        <w:jc w:val="both"/>
      </w:pPr>
      <w:r>
        <w:t>Remarque : 1) L'isolation acoustique aux bruits aériens d'un élément s'exprime au moyen d'un indicateur à valeur unique dont le calcul a été uniformisé à la [NBN EN ISO 717-1]. L'isolation acoustique aux bruits aériens d'un élément s'exprime au moyen d’un spectre d’isolation ou par un indicateur à valeur unique suivi de deux termes : Xw (C; Ctr) et XAtr = Xw + Ctr</w:t>
      </w:r>
    </w:p>
    <w:p w14:paraId="1D5BF595" w14:textId="77777777" w:rsidR="00772179" w:rsidRDefault="00000000">
      <w:pPr>
        <w:pStyle w:val="Author-eListParagraph"/>
        <w:numPr>
          <w:ilvl w:val="0"/>
          <w:numId w:val="189"/>
        </w:numPr>
      </w:pPr>
      <w:r>
        <w:t>Xw : représente l’indicateur à valeur unique (les valeurs pondérées) de l’unité X (dB)</w:t>
      </w:r>
    </w:p>
    <w:p w14:paraId="6BE90F7F" w14:textId="77777777" w:rsidR="00772179" w:rsidRDefault="00000000">
      <w:r>
        <w:t>Par exemple :</w:t>
      </w:r>
    </w:p>
    <w:p w14:paraId="67046815" w14:textId="77777777" w:rsidR="00772179" w:rsidRDefault="00000000">
      <w:pPr>
        <w:pStyle w:val="Author-eListParagraph"/>
        <w:numPr>
          <w:ilvl w:val="0"/>
          <w:numId w:val="190"/>
        </w:numPr>
      </w:pPr>
      <w:r>
        <w:t>Xw= Rw = l’indice d’affaiblissement acoustique mesuré pour des éléments de construction normaux</w:t>
      </w:r>
    </w:p>
    <w:p w14:paraId="2F19CBAA" w14:textId="77777777" w:rsidR="00772179" w:rsidRDefault="00000000">
      <w:pPr>
        <w:pStyle w:val="Author-eListParagraph"/>
        <w:numPr>
          <w:ilvl w:val="0"/>
          <w:numId w:val="190"/>
        </w:numPr>
      </w:pPr>
      <w:r>
        <w:t>Xw=Dne,w l’isolement acoustique des grilles de ventilation, etc…</w:t>
      </w:r>
    </w:p>
    <w:p w14:paraId="0BA71107" w14:textId="77777777" w:rsidR="00772179" w:rsidRDefault="00000000">
      <w:pPr>
        <w:pStyle w:val="Author-eListParagraph"/>
        <w:numPr>
          <w:ilvl w:val="0"/>
          <w:numId w:val="190"/>
        </w:numPr>
      </w:pPr>
      <w:r>
        <w:t>C est le facteur d'adaptation pour le bruit rose (spectre 1);</w:t>
      </w:r>
    </w:p>
    <w:p w14:paraId="2344EBF9" w14:textId="77777777" w:rsidR="00772179" w:rsidRDefault="00000000">
      <w:pPr>
        <w:pStyle w:val="Author-eListParagraph"/>
        <w:numPr>
          <w:ilvl w:val="0"/>
          <w:numId w:val="190"/>
        </w:numPr>
      </w:pPr>
      <w:r>
        <w:t>Ctr est le facteur d'adaptation pour le bruit de trafic (spectre 2).</w:t>
      </w:r>
    </w:p>
    <w:p w14:paraId="261D6C4D" w14:textId="77777777" w:rsidR="00772179" w:rsidRDefault="00000000">
      <w:pPr>
        <w:jc w:val="both"/>
      </w:pPr>
      <w:r>
        <w:t xml:space="preserve">Les deux termes d'adaptation ont été définis de manière à tenir compte du type de bruit dont il faut s'isoler : le spectre 2 menant au calcul du facteur d’adaptation Ctr donne une indication de l’isolation du bruit de basse fréquence. La norme belge ne se base que sur les valeurs uniques auxquelles on a ajouté le terme d’adaptation Ctr correspondant à un trafic urbain type.2). Les performances d’un </w:t>
      </w:r>
      <w:r>
        <w:lastRenderedPageBreak/>
        <w:t>élément de construction sont exprimées avec une grandeur (en relation avec le rapport entre l’énergie acoustique transmise et celle incidente) qui n’est pas du tout égale aux prestations in situ d’un pan de façade (en relation avec la différence entre les niveaux de pression de bruit), même lorsque ce pan de façade est entièrement constitué par le même élément. Le tableau "classification des bruits extérieurs" selon la [NBN EN ISO 717-1] donne la répartition la plus courante.</w:t>
      </w:r>
    </w:p>
    <w:p w14:paraId="51D08C54" w14:textId="77777777" w:rsidR="00772179" w:rsidRDefault="00000000">
      <w:pPr>
        <w:jc w:val="both"/>
      </w:pPr>
      <w:r>
        <w:t>L’isolation acoustique d’une façade est conditionnée par le niveau du bruit auquel cette dernière est soumise. Cette isolation est fonction du niveau de fréquence. Elle peut être calculée dans plusieurs circonstances :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convient parfois de corriger par des mesures spécifiques. La transformation de la valeur obtenue en valeur globale, celle qui est indiquée par un seul nombre, se déroule de la même façon que pour l’isolation phonique. La procédure est décrite en [NBN EN ISO 717-1]. Prenons, comme exemple, la façon de déterminer la qualité acoustique d’un vitrage. Il est nécessaire d’atteindre comme résultat une valeur qui s’exprime par la formule suivante : Rw(C;Ctr) = 30(-1;-5) dB, Ce qui signifie que la performance au point de vue de l’isolation acoustique en ce qui concerne le type I s’exprime par : 30-1=29 dB. Pour le type II c'est : 30-5=25 dB.</w:t>
      </w:r>
    </w:p>
    <w:p w14:paraId="48A461DC" w14:textId="77777777" w:rsidR="00772179" w:rsidRDefault="00000000">
      <w:pPr>
        <w:jc w:val="both"/>
      </w:pPr>
      <w:r>
        <w:rPr>
          <w:b/>
          <w:u w:val="single"/>
        </w:rPr>
        <w:t>Résistance à l’effraction</w:t>
      </w:r>
    </w:p>
    <w:p w14:paraId="654B0B9D" w14:textId="77777777" w:rsidR="00772179" w:rsidRDefault="00000000">
      <w:pPr>
        <w:jc w:val="both"/>
      </w:pPr>
      <w:r>
        <w:t>Le choix de la classe de résistance à l'effraction est établi en tenant compte de ce qui suit :</w:t>
      </w:r>
    </w:p>
    <w:p w14:paraId="0B0965F2" w14:textId="77777777" w:rsidR="00772179" w:rsidRDefault="00000000">
      <w:pPr>
        <w:pStyle w:val="Author-eListParagraph"/>
        <w:numPr>
          <w:ilvl w:val="0"/>
          <w:numId w:val="191"/>
        </w:numPr>
      </w:pPr>
      <w:r>
        <w:t>L'évaluation des besoins en matière de protection contre l'effraction résulte d'une analyse tenant compte des facteurs objectifs ou subjectifs suivants :</w:t>
      </w:r>
      <w:r>
        <w:br/>
      </w:r>
    </w:p>
    <w:p w14:paraId="0298BB93" w14:textId="77777777" w:rsidR="00772179" w:rsidRDefault="00000000">
      <w:pPr>
        <w:pStyle w:val="Author-eListParagraph"/>
        <w:numPr>
          <w:ilvl w:val="1"/>
          <w:numId w:val="192"/>
        </w:numPr>
      </w:pPr>
      <w:r>
        <w:t>la situation géographique de la construction,</w:t>
      </w:r>
    </w:p>
    <w:p w14:paraId="3860B4E5" w14:textId="77777777" w:rsidR="00772179" w:rsidRDefault="00000000">
      <w:pPr>
        <w:pStyle w:val="Author-eListParagraph"/>
        <w:numPr>
          <w:ilvl w:val="1"/>
          <w:numId w:val="192"/>
        </w:numPr>
      </w:pPr>
      <w:r>
        <w:t>son intégration urbaine,</w:t>
      </w:r>
    </w:p>
    <w:p w14:paraId="71087B66" w14:textId="77777777" w:rsidR="00772179" w:rsidRDefault="00000000">
      <w:pPr>
        <w:pStyle w:val="Author-eListParagraph"/>
        <w:numPr>
          <w:ilvl w:val="1"/>
          <w:numId w:val="192"/>
        </w:numPr>
      </w:pPr>
      <w:r>
        <w:t>son accessibilité aisée ou non,</w:t>
      </w:r>
    </w:p>
    <w:p w14:paraId="6D72F076" w14:textId="77777777" w:rsidR="00772179" w:rsidRDefault="00000000">
      <w:pPr>
        <w:pStyle w:val="Author-eListParagraph"/>
        <w:numPr>
          <w:ilvl w:val="1"/>
          <w:numId w:val="192"/>
        </w:numPr>
      </w:pPr>
      <w:r>
        <w:t>la présence de système de protection complémentaire,</w:t>
      </w:r>
    </w:p>
    <w:p w14:paraId="6D7FDB2C" w14:textId="77777777" w:rsidR="00772179" w:rsidRDefault="00000000">
      <w:pPr>
        <w:pStyle w:val="Author-eListParagraph"/>
        <w:numPr>
          <w:ilvl w:val="1"/>
          <w:numId w:val="192"/>
        </w:numPr>
      </w:pPr>
      <w:r>
        <w:t>la valeur, la taille, le nombre, l'encombrement, le poids des biens à protéger,</w:t>
      </w:r>
    </w:p>
    <w:p w14:paraId="5D080E02" w14:textId="77777777" w:rsidR="00772179" w:rsidRDefault="00000000">
      <w:pPr>
        <w:pStyle w:val="Author-eListParagraph"/>
        <w:numPr>
          <w:ilvl w:val="1"/>
          <w:numId w:val="192"/>
        </w:numPr>
      </w:pPr>
      <w:r>
        <w:t>la fonction du bâtiment,</w:t>
      </w:r>
    </w:p>
    <w:p w14:paraId="190E59A4" w14:textId="77777777" w:rsidR="00772179" w:rsidRDefault="00000000">
      <w:pPr>
        <w:pStyle w:val="Author-eListParagraph"/>
        <w:numPr>
          <w:ilvl w:val="1"/>
          <w:numId w:val="192"/>
        </w:numPr>
      </w:pPr>
      <w:r>
        <w:t>tous autres facteurs spécifiques, psychologiques et humains.</w:t>
      </w:r>
      <w:r>
        <w:br/>
      </w:r>
    </w:p>
    <w:p w14:paraId="5691A62B" w14:textId="77777777" w:rsidR="00772179" w:rsidRDefault="00000000">
      <w:pPr>
        <w:pStyle w:val="Author-eListParagraph"/>
        <w:numPr>
          <w:ilvl w:val="0"/>
          <w:numId w:val="191"/>
        </w:numPr>
      </w:pPr>
      <w:r>
        <w:t>L'interprétation des classes de la [NBN EN 1627] :</w:t>
      </w:r>
    </w:p>
    <w:p w14:paraId="2CA0A54D" w14:textId="77777777" w:rsidR="00772179" w:rsidRDefault="00000000">
      <w:pPr>
        <w:jc w:val="both"/>
      </w:pPr>
      <w:r>
        <w:t>Tableau - Classes et types d'attaque correspondant</w:t>
      </w:r>
    </w:p>
    <w:tbl>
      <w:tblPr>
        <w:tblStyle w:val="Author-eTableGrid"/>
        <w:tblW w:w="9060" w:type="dxa"/>
        <w:tblLayout w:type="fixed"/>
        <w:tblLook w:val="04A0" w:firstRow="1" w:lastRow="0" w:firstColumn="1" w:lastColumn="0" w:noHBand="0" w:noVBand="1"/>
      </w:tblPr>
      <w:tblGrid>
        <w:gridCol w:w="2273"/>
        <w:gridCol w:w="6787"/>
      </w:tblGrid>
      <w:tr w:rsidR="00772179" w14:paraId="3A8FEAF1" w14:textId="77777777">
        <w:tc>
          <w:tcPr>
            <w:tcW w:w="2265" w:type="dxa"/>
            <w:noWrap/>
          </w:tcPr>
          <w:p w14:paraId="29F2411B" w14:textId="77777777" w:rsidR="00772179" w:rsidRDefault="00000000">
            <w:pPr>
              <w:jc w:val="center"/>
            </w:pPr>
            <w:r>
              <w:rPr>
                <w:b/>
              </w:rPr>
              <w:t>Classes [NBN EN 1627]</w:t>
            </w:r>
          </w:p>
        </w:tc>
        <w:tc>
          <w:tcPr>
            <w:tcW w:w="6765" w:type="dxa"/>
            <w:noWrap/>
          </w:tcPr>
          <w:p w14:paraId="4DB8833F" w14:textId="77777777" w:rsidR="00772179" w:rsidRDefault="00000000">
            <w:pPr>
              <w:jc w:val="center"/>
            </w:pPr>
            <w:r>
              <w:rPr>
                <w:b/>
              </w:rPr>
              <w:t>Types d'attaque</w:t>
            </w:r>
          </w:p>
        </w:tc>
      </w:tr>
      <w:tr w:rsidR="00772179" w14:paraId="2DE2ABB2" w14:textId="77777777">
        <w:tc>
          <w:tcPr>
            <w:tcW w:w="2265" w:type="dxa"/>
            <w:noWrap/>
          </w:tcPr>
          <w:p w14:paraId="3E34FE56" w14:textId="77777777" w:rsidR="00772179" w:rsidRDefault="00000000">
            <w:pPr>
              <w:jc w:val="center"/>
            </w:pPr>
            <w:r>
              <w:t> </w:t>
            </w:r>
          </w:p>
          <w:p w14:paraId="120DFA78" w14:textId="77777777" w:rsidR="00772179" w:rsidRDefault="00000000">
            <w:pPr>
              <w:jc w:val="center"/>
            </w:pPr>
            <w:r>
              <w:t>1</w:t>
            </w:r>
          </w:p>
        </w:tc>
        <w:tc>
          <w:tcPr>
            <w:tcW w:w="6765" w:type="dxa"/>
            <w:noWrap/>
          </w:tcPr>
          <w:p w14:paraId="3D4E7D2C" w14:textId="77777777" w:rsidR="00772179" w:rsidRDefault="00000000">
            <w:pPr>
              <w:jc w:val="both"/>
            </w:pPr>
            <w:r>
              <w:t>Un cambrioleur occasionnel essaie d'ouvrir la porte, la porte ou la fermeture en utilisant la violence physique, par exemple coup de pied, coup d'épaule, soulèvement, arrachement.</w:t>
            </w:r>
          </w:p>
          <w:p w14:paraId="0724E7F1" w14:textId="77777777" w:rsidR="00772179" w:rsidRDefault="00772179">
            <w:pPr>
              <w:jc w:val="both"/>
            </w:pPr>
          </w:p>
        </w:tc>
      </w:tr>
      <w:tr w:rsidR="00772179" w14:paraId="354C9BC6" w14:textId="77777777">
        <w:tc>
          <w:tcPr>
            <w:tcW w:w="2265" w:type="dxa"/>
            <w:noWrap/>
          </w:tcPr>
          <w:p w14:paraId="6BE18668" w14:textId="77777777" w:rsidR="00772179" w:rsidRDefault="00000000">
            <w:pPr>
              <w:jc w:val="center"/>
            </w:pPr>
            <w:r>
              <w:t> </w:t>
            </w:r>
          </w:p>
          <w:p w14:paraId="45EE2D35" w14:textId="77777777" w:rsidR="00772179" w:rsidRDefault="00000000">
            <w:pPr>
              <w:jc w:val="center"/>
            </w:pPr>
            <w:r>
              <w:t>2</w:t>
            </w:r>
          </w:p>
        </w:tc>
        <w:tc>
          <w:tcPr>
            <w:tcW w:w="6765" w:type="dxa"/>
            <w:noWrap/>
          </w:tcPr>
          <w:p w14:paraId="5D49139B" w14:textId="77777777" w:rsidR="00772179" w:rsidRDefault="00000000">
            <w:pPr>
              <w:jc w:val="both"/>
            </w:pPr>
            <w:r>
              <w:t>Le cambrioleur occasionnel essaie en plus d'ouvrir la porte, la porte ou la fermeture en utilisant des outils simples, par exemple tournevis, pince, coins.</w:t>
            </w:r>
          </w:p>
          <w:p w14:paraId="57821AD7" w14:textId="77777777" w:rsidR="00772179" w:rsidRDefault="00772179">
            <w:pPr>
              <w:jc w:val="both"/>
            </w:pPr>
          </w:p>
        </w:tc>
      </w:tr>
      <w:tr w:rsidR="00772179" w14:paraId="759AF04A" w14:textId="77777777">
        <w:tc>
          <w:tcPr>
            <w:tcW w:w="2265" w:type="dxa"/>
            <w:noWrap/>
          </w:tcPr>
          <w:p w14:paraId="5700C376" w14:textId="77777777" w:rsidR="00772179" w:rsidRDefault="00000000">
            <w:pPr>
              <w:jc w:val="center"/>
            </w:pPr>
            <w:r>
              <w:t> </w:t>
            </w:r>
          </w:p>
          <w:p w14:paraId="5357591D" w14:textId="77777777" w:rsidR="00772179" w:rsidRDefault="00000000">
            <w:pPr>
              <w:jc w:val="center"/>
            </w:pPr>
            <w:r>
              <w:t>3</w:t>
            </w:r>
          </w:p>
        </w:tc>
        <w:tc>
          <w:tcPr>
            <w:tcW w:w="6765" w:type="dxa"/>
            <w:noWrap/>
          </w:tcPr>
          <w:p w14:paraId="59027FCE" w14:textId="77777777" w:rsidR="00772179" w:rsidRDefault="00000000">
            <w:pPr>
              <w:jc w:val="both"/>
            </w:pPr>
            <w:r>
              <w:t>Le cambrioleur essaie d'entrer en utilisant 2 tournevis, ou plus, et un pied de biche.</w:t>
            </w:r>
          </w:p>
          <w:p w14:paraId="4FEDEC9C" w14:textId="77777777" w:rsidR="00772179" w:rsidRDefault="00772179">
            <w:pPr>
              <w:jc w:val="both"/>
            </w:pPr>
          </w:p>
        </w:tc>
      </w:tr>
      <w:tr w:rsidR="00772179" w14:paraId="6508FF53" w14:textId="77777777">
        <w:tc>
          <w:tcPr>
            <w:tcW w:w="2265" w:type="dxa"/>
            <w:noWrap/>
          </w:tcPr>
          <w:p w14:paraId="54013BFF" w14:textId="77777777" w:rsidR="00772179" w:rsidRDefault="00000000">
            <w:pPr>
              <w:jc w:val="center"/>
            </w:pPr>
            <w:r>
              <w:t> </w:t>
            </w:r>
          </w:p>
          <w:p w14:paraId="4E677BE1" w14:textId="77777777" w:rsidR="00772179" w:rsidRDefault="00000000">
            <w:pPr>
              <w:jc w:val="center"/>
            </w:pPr>
            <w:r>
              <w:t>4</w:t>
            </w:r>
          </w:p>
        </w:tc>
        <w:tc>
          <w:tcPr>
            <w:tcW w:w="6765" w:type="dxa"/>
            <w:noWrap/>
          </w:tcPr>
          <w:p w14:paraId="73084332" w14:textId="77777777" w:rsidR="00772179" w:rsidRDefault="00000000">
            <w:pPr>
              <w:jc w:val="both"/>
            </w:pPr>
            <w:r>
              <w:t>Le cambrioleur expérimenté utilise en plus des outils tels que scie, marteau, hache, ciseau, burin, perceuse électrique portative à batterie. </w:t>
            </w:r>
          </w:p>
          <w:p w14:paraId="1F06DAEA" w14:textId="77777777" w:rsidR="00772179" w:rsidRDefault="00772179">
            <w:pPr>
              <w:jc w:val="both"/>
            </w:pPr>
          </w:p>
        </w:tc>
      </w:tr>
      <w:tr w:rsidR="00772179" w14:paraId="5F1BCC80" w14:textId="77777777">
        <w:tc>
          <w:tcPr>
            <w:tcW w:w="2265" w:type="dxa"/>
            <w:noWrap/>
          </w:tcPr>
          <w:p w14:paraId="2537F576" w14:textId="77777777" w:rsidR="00772179" w:rsidRDefault="00000000">
            <w:pPr>
              <w:jc w:val="center"/>
            </w:pPr>
            <w:r>
              <w:t> </w:t>
            </w:r>
          </w:p>
          <w:p w14:paraId="6ED06F54" w14:textId="77777777" w:rsidR="00772179" w:rsidRDefault="00000000">
            <w:pPr>
              <w:jc w:val="center"/>
            </w:pPr>
            <w:r>
              <w:t>5</w:t>
            </w:r>
          </w:p>
        </w:tc>
        <w:tc>
          <w:tcPr>
            <w:tcW w:w="6765" w:type="dxa"/>
            <w:noWrap/>
          </w:tcPr>
          <w:p w14:paraId="4D4BE3F3" w14:textId="77777777" w:rsidR="00772179" w:rsidRDefault="00000000">
            <w:pPr>
              <w:jc w:val="both"/>
            </w:pPr>
            <w:r>
              <w:t>Le cambrioleur expérimenté utilise en plus des outils électriques, par exemple perceuse, scie sauteuse et sabre, meuleuse d'angle avec disque de diamètre maximum125 mm.</w:t>
            </w:r>
          </w:p>
          <w:p w14:paraId="7374B39F" w14:textId="77777777" w:rsidR="00772179" w:rsidRDefault="00772179">
            <w:pPr>
              <w:jc w:val="both"/>
            </w:pPr>
          </w:p>
        </w:tc>
      </w:tr>
      <w:tr w:rsidR="00772179" w14:paraId="61FE4D77" w14:textId="77777777">
        <w:tc>
          <w:tcPr>
            <w:tcW w:w="2265" w:type="dxa"/>
            <w:noWrap/>
          </w:tcPr>
          <w:p w14:paraId="48814083" w14:textId="77777777" w:rsidR="00772179" w:rsidRDefault="00000000">
            <w:pPr>
              <w:jc w:val="center"/>
            </w:pPr>
            <w:r>
              <w:lastRenderedPageBreak/>
              <w:t> </w:t>
            </w:r>
          </w:p>
          <w:p w14:paraId="2194BEA7" w14:textId="77777777" w:rsidR="00772179" w:rsidRDefault="00000000">
            <w:pPr>
              <w:jc w:val="center"/>
            </w:pPr>
            <w:r>
              <w:t>6</w:t>
            </w:r>
          </w:p>
        </w:tc>
        <w:tc>
          <w:tcPr>
            <w:tcW w:w="6765" w:type="dxa"/>
            <w:noWrap/>
          </w:tcPr>
          <w:p w14:paraId="6262D712" w14:textId="77777777" w:rsidR="00772179" w:rsidRDefault="00000000">
            <w:pPr>
              <w:jc w:val="both"/>
            </w:pPr>
            <w:r>
              <w:t>Le cambrioleur expérimenté utilise en plus des outils électriques puissants, par exemple, perceuse, scie sauteuse et sabre, meuleuse d'angle avec disque de diamètre maximum 230mm.</w:t>
            </w:r>
          </w:p>
          <w:p w14:paraId="04E1B58B" w14:textId="77777777" w:rsidR="00772179" w:rsidRDefault="00772179">
            <w:pPr>
              <w:jc w:val="both"/>
            </w:pPr>
          </w:p>
        </w:tc>
      </w:tr>
    </w:tbl>
    <w:p w14:paraId="73EEC25E" w14:textId="77777777" w:rsidR="00772179" w:rsidRDefault="00000000">
      <w:pPr>
        <w:jc w:val="both"/>
      </w:pPr>
      <w:r>
        <w:t> </w:t>
      </w:r>
    </w:p>
    <w:p w14:paraId="29A37ED2" w14:textId="77777777" w:rsidR="00772179" w:rsidRDefault="00000000">
      <w:pPr>
        <w:jc w:val="both"/>
      </w:pPr>
      <w:r>
        <w:rPr>
          <w:b/>
          <w:u w:val="single"/>
        </w:rPr>
        <w:t>Résistance aux balles</w:t>
      </w:r>
    </w:p>
    <w:p w14:paraId="0044FCB5" w14:textId="77777777" w:rsidR="00772179" w:rsidRDefault="00000000">
      <w:pPr>
        <w:jc w:val="both"/>
      </w:pPr>
      <w:r>
        <w:t>Le cas échéant, le cahier spécial des charges mentionne la résistance à l'explosion de la porte conformément à une des normes suivantes décrites dans les [STS 53.1] § 53.1.4.3.6 ou dans la [NBN EN 1522].</w:t>
      </w:r>
    </w:p>
    <w:p w14:paraId="719F6AFE" w14:textId="77777777" w:rsidR="00772179" w:rsidRDefault="00000000">
      <w:pPr>
        <w:jc w:val="both"/>
      </w:pPr>
      <w:r>
        <w:rPr>
          <w:b/>
          <w:u w:val="single"/>
        </w:rPr>
        <w:t>Résistance et réaction au feu</w:t>
      </w:r>
    </w:p>
    <w:p w14:paraId="0BD877CE" w14:textId="77777777" w:rsidR="00772179" w:rsidRDefault="00000000">
      <w:pPr>
        <w:jc w:val="both"/>
      </w:pPr>
      <w:r>
        <w:t>Les exigences concernant la réaction au feu sont reprises dans l'[AR 1994-07-07, Arrêté royal fixant les normes de base en matière de prévention contre l'incendie et l'explosion, auxquelles les bâtiments nouveaux doivent satisfaire].</w:t>
      </w:r>
    </w:p>
    <w:p w14:paraId="0A78E07F" w14:textId="77777777" w:rsidR="00772179" w:rsidRDefault="00000000">
      <w:pPr>
        <w:jc w:val="both"/>
      </w:pPr>
      <w:r>
        <w:t>Ces exigences dépendent de l'utilisation dans le bâtiment des produits et matériaux de construction (en façades, en toitures, revêtement de paroi dans les chemins d'évacuation, etc.) et sont valables pour tous les nouveaux bâtiments (sauf les maisons unifamiliales, bâtiments bas ≤ 100 m² et ≤ 2 étages) et sont considérées comme des exigences minimales.  </w:t>
      </w:r>
    </w:p>
    <w:p w14:paraId="5A4926A0" w14:textId="77777777" w:rsidR="00772179" w:rsidRDefault="00000000">
      <w:pPr>
        <w:jc w:val="both"/>
      </w:pPr>
      <w:r>
        <w:t>D'autres réglementations spécifiques en fonction de la destination du bâtiment peuvent compléter cet Arrêté Royal.</w:t>
      </w:r>
    </w:p>
    <w:p w14:paraId="435BB4B2" w14:textId="77777777" w:rsidR="00772179" w:rsidRDefault="00000000">
      <w:pPr>
        <w:jc w:val="both"/>
      </w:pPr>
      <w:r>
        <w:rPr>
          <w:u w:val="single"/>
        </w:rPr>
        <w:t>Note 1 :</w:t>
      </w:r>
    </w:p>
    <w:p w14:paraId="302FF212" w14:textId="77777777" w:rsidR="00772179" w:rsidRDefault="00000000">
      <w:pPr>
        <w:jc w:val="both"/>
      </w:pPr>
      <w:r>
        <w:t>Lorsque des exigences sont reprises dans les règlements officiels nationaux, régionaux ou autres, elles sont rendues obligatoires (= loi). Le prescripteur établit son cahier des charges en fonction des conditions de projet et de la réglementation.</w:t>
      </w:r>
    </w:p>
    <w:p w14:paraId="3A667B79" w14:textId="77777777" w:rsidR="00772179" w:rsidRDefault="00000000">
      <w:pPr>
        <w:jc w:val="both"/>
      </w:pPr>
      <w:r>
        <w:t>D'autres réglementations existent en fonction de la destination du bâtiment (hôpital, maisons de repos, établissements d'hébergement, etc.). Ces dernières contiennent d’autres exigences que celles concernant la réaction et la résistance au feu et peuvent différer en fonction de la Communauté ou de la Région.</w:t>
      </w:r>
    </w:p>
    <w:p w14:paraId="089BB01F" w14:textId="77777777" w:rsidR="00772179" w:rsidRDefault="00000000">
      <w:pPr>
        <w:jc w:val="both"/>
      </w:pPr>
      <w:r>
        <w:t>Des normes sont rendues obligatoires en les mentionnant dans le cahier spécial des charges (exemple: [NBN S 21-204, Protection contre l'incendie dans les bâtiments - Bâtiments scolaires - Conditions générales et réaction au feu])  </w:t>
      </w:r>
    </w:p>
    <w:p w14:paraId="57C03C99" w14:textId="77777777" w:rsidR="00772179" w:rsidRDefault="00000000">
      <w:pPr>
        <w:jc w:val="both"/>
      </w:pPr>
      <w:r>
        <w:rPr>
          <w:u w:val="single"/>
        </w:rPr>
        <w:t>Note 2 :</w:t>
      </w:r>
    </w:p>
    <w:p w14:paraId="04E1A149" w14:textId="77777777" w:rsidR="00772179" w:rsidRDefault="00000000">
      <w:pPr>
        <w:jc w:val="both"/>
      </w:pPr>
      <w:r>
        <w:t>Une nouvelle classification européenne de réaction au feu des produits de construction a été établie ([Décision 2000/147/CE]). Elle est reprise dans la [NBN EN 13501-1] qui a le statut de norme belge enregistrée.</w:t>
      </w:r>
    </w:p>
    <w:p w14:paraId="5EF52FFB" w14:textId="77777777" w:rsidR="00772179" w:rsidRDefault="00000000">
      <w:pPr>
        <w:jc w:val="both"/>
      </w:pPr>
      <w:r>
        <w:t>[NBN EN 13501-1, Classement au feu des produits et éléments de construction - Partie 1: Classement à partir des données d'essais de réaction au feu]</w:t>
      </w:r>
    </w:p>
    <w:p w14:paraId="7F3E8E71" w14:textId="77777777" w:rsidR="00772179" w:rsidRDefault="00000000">
      <w:pPr>
        <w:jc w:val="both"/>
      </w:pPr>
      <w:r>
        <w:t>Les exigences concernant la résistance et la réaction au feu sont reprises dans l' [AR 1994-07-07, Arrêté royal fixant les normes de base en matière de prévention contre l'incendie et l'explosion, auxquelles les bâtiments nouveaux doivent satisfaire].</w:t>
      </w:r>
    </w:p>
    <w:p w14:paraId="1DEB7239" w14:textId="77777777" w:rsidR="00772179" w:rsidRDefault="00000000">
      <w:pPr>
        <w:jc w:val="both"/>
      </w:pPr>
      <w:r>
        <w:rPr>
          <w:u w:val="single"/>
        </w:rPr>
        <w:t>Note 3 :</w:t>
      </w:r>
    </w:p>
    <w:p w14:paraId="6C89C135" w14:textId="77777777" w:rsidR="00772179" w:rsidRDefault="00000000">
      <w:pPr>
        <w:jc w:val="both"/>
      </w:pPr>
      <w:r>
        <w:t>Selon l' [AR 1994-07-07], la performance de résistance au feu d’un élément de construction est attestée :</w:t>
      </w:r>
    </w:p>
    <w:p w14:paraId="7BC5F98C" w14:textId="77777777" w:rsidR="00772179" w:rsidRDefault="00000000">
      <w:pPr>
        <w:jc w:val="both"/>
      </w:pPr>
      <w:r>
        <w:t>1)    par les informations accompagnant le chapitre 02.42.1 Critères d'acceptabilité et donc selon la classification basée sur la norme de classification [NBN EN 13501-2]</w:t>
      </w:r>
    </w:p>
    <w:p w14:paraId="75037441" w14:textId="77777777" w:rsidR="00772179" w:rsidRDefault="00000000">
      <w:pPr>
        <w:jc w:val="both"/>
      </w:pPr>
      <w:r>
        <w:t>2)    à défaut de marquage CE</w:t>
      </w:r>
    </w:p>
    <w:p w14:paraId="208FE052" w14:textId="77777777" w:rsidR="00772179" w:rsidRDefault="00000000">
      <w:pPr>
        <w:pStyle w:val="Author-eListParagraph"/>
        <w:numPr>
          <w:ilvl w:val="0"/>
          <w:numId w:val="193"/>
        </w:numPr>
      </w:pPr>
      <w:r>
        <w:t>par un rapport de classement établi par un laboratoire ou un organisme de certification notifié basé soit sur un ou des essais selon la norme européenne pertinente (voir [NBN EN 13501-</w:t>
      </w:r>
      <w:r>
        <w:lastRenderedPageBreak/>
        <w:t>2]), soit sur la [NBN 713-020] (ou norme d’un autre Etat membre jugée équivalente), soit sur une analyse de résultats d’essais conduisant à un domaine d’application déterminé</w:t>
      </w:r>
    </w:p>
    <w:p w14:paraId="4A9D6342" w14:textId="77777777" w:rsidR="00772179" w:rsidRDefault="00000000">
      <w:pPr>
        <w:pStyle w:val="Author-eListParagraph"/>
        <w:numPr>
          <w:ilvl w:val="0"/>
          <w:numId w:val="193"/>
        </w:numPr>
      </w:pPr>
      <w:r>
        <w:t>par une note de calcul selon une méthode agréée par le Ministre de l’Intérieur selon les procédure et les conditions qu’il détermine. Se référer à l’[AM 2013-05-17, Arrêté ministériel relatif à l’utilisation des Eurocodes comme méthodes de calcul pour l’évaluation de la résistance au feu d’éléments de construction].</w:t>
      </w:r>
    </w:p>
    <w:p w14:paraId="12F5C108" w14:textId="77777777" w:rsidR="00772179" w:rsidRDefault="00000000">
      <w:pPr>
        <w:pStyle w:val="Author-eListParagraph"/>
        <w:numPr>
          <w:ilvl w:val="0"/>
          <w:numId w:val="193"/>
        </w:numPr>
      </w:pPr>
      <w:r>
        <w:t>par les informations accompagnant la déclaration d'aptitude à l'utilisation suivant les prescriptions du chapitre 02.42.1 Critères d'acceptabilité qui sont préalablement remis à l’auteur de projet.</w:t>
      </w:r>
    </w:p>
    <w:p w14:paraId="78FB1284" w14:textId="77777777" w:rsidR="00772179" w:rsidRDefault="00000000">
      <w:pPr>
        <w:jc w:val="both"/>
      </w:pPr>
      <w:r>
        <w:t>[NBN EN 1363-1, Essais de résistance au feu - Partie 1: Exigences générales]</w:t>
      </w:r>
    </w:p>
    <w:p w14:paraId="53023E26" w14:textId="77777777" w:rsidR="00772179" w:rsidRDefault="00000000">
      <w:pPr>
        <w:jc w:val="both"/>
      </w:pPr>
      <w:r>
        <w:t>[NBN EN 1363-2, Essais de résistance au feu - Partie 2: Modes opératoires de substitution ou additionnels]</w:t>
      </w:r>
    </w:p>
    <w:p w14:paraId="18171CBC" w14:textId="77777777" w:rsidR="00772179" w:rsidRDefault="00000000">
      <w:pPr>
        <w:jc w:val="both"/>
      </w:pPr>
      <w:r>
        <w:t>[NBN EN 1364-1, Essais de résistance au feu des éléments non porteurs - Partie 1: Murs] </w:t>
      </w:r>
    </w:p>
    <w:p w14:paraId="49B62579" w14:textId="77777777" w:rsidR="00772179" w:rsidRDefault="00000000">
      <w:pPr>
        <w:jc w:val="both"/>
      </w:pPr>
      <w:r>
        <w:t>[NBN EN 1364-3, Essais de résistance au feu des éléments non-porteurs dans les bâtiments - Partie 3: Murs rideaux - Configuration en grandeur réelle (assemblage complet)]</w:t>
      </w:r>
    </w:p>
    <w:p w14:paraId="6BC8703E" w14:textId="77777777" w:rsidR="00772179" w:rsidRDefault="00000000">
      <w:pPr>
        <w:jc w:val="both"/>
      </w:pPr>
      <w:r>
        <w:rPr>
          <w:b/>
          <w:u w:val="single"/>
        </w:rPr>
        <w:t>Résistance aux chocs </w:t>
      </w:r>
    </w:p>
    <w:p w14:paraId="0386D9D6" w14:textId="77777777" w:rsidR="00772179" w:rsidRDefault="00000000">
      <w:pPr>
        <w:jc w:val="both"/>
      </w:pPr>
      <w:r>
        <w:t>La résistance aux chocs peut concerner le vitrage et/ou la porte. La résistance aux chocs des vitrages est  décrite dans les normes [NBN EN 949] et [NBN EN 950]. Le niveau de performance est donné dans la [NBN EN 1192] et le § 53.1.4.2.2. des [STS 53.1].  Elles définissent 4 classes M1 à M4. Par défaut la classe M2 est sélectionnée.</w:t>
      </w:r>
    </w:p>
    <w:p w14:paraId="675F9C04" w14:textId="77777777" w:rsidR="00772179" w:rsidRDefault="00000000">
      <w:pPr>
        <w:jc w:val="both"/>
      </w:pPr>
      <w:r>
        <w:rPr>
          <w:b/>
          <w:u w:val="single"/>
        </w:rPr>
        <w:t>Tolérance et planéité</w:t>
      </w:r>
    </w:p>
    <w:p w14:paraId="59F124E9" w14:textId="77777777" w:rsidR="00772179" w:rsidRDefault="00000000">
      <w:pPr>
        <w:jc w:val="both"/>
      </w:pPr>
      <w:r>
        <w:t>La classe de tolérance est donnée conformément aux [STS 53.1] §53.1.3.1 et la [NBN EN 1529]. Elle définit 3 Classes D1 à D3 . Par défaut la classe D2 est sélectionnée.</w:t>
      </w:r>
    </w:p>
    <w:p w14:paraId="1321E839" w14:textId="77777777" w:rsidR="00772179" w:rsidRDefault="00000000">
      <w:pPr>
        <w:jc w:val="both"/>
      </w:pPr>
      <w:r>
        <w:t>La classe de planéité est donnée conformément aux [STS 53.1], §53.1.3.2 et la [NBN EN 1530]. Elle définit 3 classes V1 à V3. Par défaut, la classe V2 est sélectionnée.</w:t>
      </w:r>
    </w:p>
    <w:p w14:paraId="16D68390" w14:textId="77777777" w:rsidR="00772179" w:rsidRDefault="00000000">
      <w:pPr>
        <w:jc w:val="both"/>
      </w:pPr>
      <w:r>
        <w:t>La classe de résistance hygrothermique en climat différentiel est définie conformément aux [STS 53.1] §53.1.4.2.1.et conformément aux normes [NBN EN 952] et [NBN EN 1121]. Elle définit 5 classes de climat Ha, Hb, Hc, Hd et He. Les classes définissent les conditions suivantes :</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772179" w14:paraId="72D75227" w14:textId="77777777">
        <w:tc>
          <w:tcPr>
            <w:tcW w:w="1800" w:type="dxa"/>
            <w:noWrap/>
          </w:tcPr>
          <w:p w14:paraId="3E81EF46" w14:textId="77777777" w:rsidR="00772179" w:rsidRDefault="00000000">
            <w:pPr>
              <w:jc w:val="center"/>
            </w:pPr>
            <w:r>
              <w:rPr>
                <w:b/>
              </w:rPr>
              <w:t>Classes</w:t>
            </w:r>
          </w:p>
        </w:tc>
        <w:tc>
          <w:tcPr>
            <w:tcW w:w="3600" w:type="dxa"/>
            <w:gridSpan w:val="2"/>
            <w:noWrap/>
          </w:tcPr>
          <w:p w14:paraId="19C5209B" w14:textId="77777777" w:rsidR="00772179" w:rsidRDefault="00000000">
            <w:pPr>
              <w:jc w:val="center"/>
            </w:pPr>
            <w:r>
              <w:rPr>
                <w:b/>
              </w:rPr>
              <w:t>Face intérieur</w:t>
            </w:r>
          </w:p>
        </w:tc>
        <w:tc>
          <w:tcPr>
            <w:tcW w:w="3600" w:type="dxa"/>
            <w:gridSpan w:val="2"/>
            <w:noWrap/>
          </w:tcPr>
          <w:p w14:paraId="3A809B6C" w14:textId="77777777" w:rsidR="00772179" w:rsidRDefault="00000000">
            <w:pPr>
              <w:jc w:val="center"/>
            </w:pPr>
            <w:r>
              <w:rPr>
                <w:b/>
              </w:rPr>
              <w:t>Face extérieur</w:t>
            </w:r>
          </w:p>
        </w:tc>
      </w:tr>
      <w:tr w:rsidR="00772179" w14:paraId="4B829D44" w14:textId="77777777">
        <w:tc>
          <w:tcPr>
            <w:tcW w:w="1800" w:type="dxa"/>
            <w:noWrap/>
          </w:tcPr>
          <w:p w14:paraId="49778CCA" w14:textId="77777777" w:rsidR="00772179" w:rsidRDefault="00000000">
            <w:r>
              <w:t> </w:t>
            </w:r>
          </w:p>
        </w:tc>
        <w:tc>
          <w:tcPr>
            <w:tcW w:w="1800" w:type="dxa"/>
            <w:noWrap/>
          </w:tcPr>
          <w:p w14:paraId="0A610D82" w14:textId="77777777" w:rsidR="00772179" w:rsidRDefault="00000000">
            <w:r>
              <w:t>T(°C)</w:t>
            </w:r>
          </w:p>
        </w:tc>
        <w:tc>
          <w:tcPr>
            <w:tcW w:w="1800" w:type="dxa"/>
            <w:noWrap/>
          </w:tcPr>
          <w:p w14:paraId="484FEBD3" w14:textId="77777777" w:rsidR="00772179" w:rsidRDefault="00000000">
            <w:r>
              <w:t>HR (%)</w:t>
            </w:r>
          </w:p>
        </w:tc>
        <w:tc>
          <w:tcPr>
            <w:tcW w:w="1800" w:type="dxa"/>
            <w:noWrap/>
          </w:tcPr>
          <w:p w14:paraId="3D16CEF3" w14:textId="77777777" w:rsidR="00772179" w:rsidRDefault="00000000">
            <w:r>
              <w:t>T(°C)</w:t>
            </w:r>
          </w:p>
        </w:tc>
        <w:tc>
          <w:tcPr>
            <w:tcW w:w="1800" w:type="dxa"/>
            <w:noWrap/>
          </w:tcPr>
          <w:p w14:paraId="2F0E1D31" w14:textId="77777777" w:rsidR="00772179" w:rsidRDefault="00000000">
            <w:r>
              <w:t>HR (%)</w:t>
            </w:r>
          </w:p>
        </w:tc>
      </w:tr>
      <w:tr w:rsidR="00772179" w14:paraId="75F695EA" w14:textId="77777777">
        <w:tc>
          <w:tcPr>
            <w:tcW w:w="1800" w:type="dxa"/>
            <w:noWrap/>
          </w:tcPr>
          <w:p w14:paraId="6CD829F1" w14:textId="77777777" w:rsidR="00772179" w:rsidRDefault="00000000">
            <w:r>
              <w:t>Ha</w:t>
            </w:r>
          </w:p>
        </w:tc>
        <w:tc>
          <w:tcPr>
            <w:tcW w:w="1800" w:type="dxa"/>
            <w:noWrap/>
          </w:tcPr>
          <w:p w14:paraId="3BCE0680" w14:textId="77777777" w:rsidR="00772179" w:rsidRDefault="00000000">
            <w:r>
              <w:t>23°C</w:t>
            </w:r>
          </w:p>
        </w:tc>
        <w:tc>
          <w:tcPr>
            <w:tcW w:w="1800" w:type="dxa"/>
            <w:noWrap/>
          </w:tcPr>
          <w:p w14:paraId="69DC3164" w14:textId="77777777" w:rsidR="00772179" w:rsidRDefault="00000000">
            <w:r>
              <w:t>30%</w:t>
            </w:r>
          </w:p>
        </w:tc>
        <w:tc>
          <w:tcPr>
            <w:tcW w:w="1800" w:type="dxa"/>
            <w:noWrap/>
          </w:tcPr>
          <w:p w14:paraId="3F5FC1D0" w14:textId="77777777" w:rsidR="00772179" w:rsidRDefault="00000000">
            <w:r>
              <w:t>18°</w:t>
            </w:r>
          </w:p>
        </w:tc>
        <w:tc>
          <w:tcPr>
            <w:tcW w:w="1800" w:type="dxa"/>
            <w:noWrap/>
          </w:tcPr>
          <w:p w14:paraId="579B2566" w14:textId="77777777" w:rsidR="00772179" w:rsidRDefault="00000000">
            <w:r>
              <w:t>50 %</w:t>
            </w:r>
          </w:p>
        </w:tc>
      </w:tr>
      <w:tr w:rsidR="00772179" w14:paraId="5CDBA526" w14:textId="77777777">
        <w:tc>
          <w:tcPr>
            <w:tcW w:w="1800" w:type="dxa"/>
            <w:noWrap/>
          </w:tcPr>
          <w:p w14:paraId="0FE22660" w14:textId="77777777" w:rsidR="00772179" w:rsidRDefault="00000000">
            <w:r>
              <w:t>Hb</w:t>
            </w:r>
          </w:p>
        </w:tc>
        <w:tc>
          <w:tcPr>
            <w:tcW w:w="1800" w:type="dxa"/>
            <w:noWrap/>
          </w:tcPr>
          <w:p w14:paraId="71E6E7CB" w14:textId="77777777" w:rsidR="00772179" w:rsidRDefault="00000000">
            <w:r>
              <w:t>23°C</w:t>
            </w:r>
          </w:p>
        </w:tc>
        <w:tc>
          <w:tcPr>
            <w:tcW w:w="1800" w:type="dxa"/>
            <w:noWrap/>
          </w:tcPr>
          <w:p w14:paraId="42575C6B" w14:textId="77777777" w:rsidR="00772179" w:rsidRDefault="00000000">
            <w:r>
              <w:t>30%</w:t>
            </w:r>
          </w:p>
        </w:tc>
        <w:tc>
          <w:tcPr>
            <w:tcW w:w="1800" w:type="dxa"/>
            <w:noWrap/>
          </w:tcPr>
          <w:p w14:paraId="2C815083" w14:textId="77777777" w:rsidR="00772179" w:rsidRDefault="00000000">
            <w:r>
              <w:t>13°</w:t>
            </w:r>
          </w:p>
        </w:tc>
        <w:tc>
          <w:tcPr>
            <w:tcW w:w="1800" w:type="dxa"/>
            <w:noWrap/>
          </w:tcPr>
          <w:p w14:paraId="77FA6AAF" w14:textId="77777777" w:rsidR="00772179" w:rsidRDefault="00000000">
            <w:r>
              <w:t>60 %</w:t>
            </w:r>
          </w:p>
        </w:tc>
      </w:tr>
      <w:tr w:rsidR="00772179" w14:paraId="7E2E62AD" w14:textId="77777777">
        <w:tc>
          <w:tcPr>
            <w:tcW w:w="1800" w:type="dxa"/>
            <w:noWrap/>
          </w:tcPr>
          <w:p w14:paraId="715B7A18" w14:textId="77777777" w:rsidR="00772179" w:rsidRDefault="00000000">
            <w:r>
              <w:t>Hc</w:t>
            </w:r>
          </w:p>
        </w:tc>
        <w:tc>
          <w:tcPr>
            <w:tcW w:w="1800" w:type="dxa"/>
            <w:noWrap/>
          </w:tcPr>
          <w:p w14:paraId="5D67DC02" w14:textId="77777777" w:rsidR="00772179" w:rsidRDefault="00000000">
            <w:r>
              <w:t>23°C</w:t>
            </w:r>
          </w:p>
        </w:tc>
        <w:tc>
          <w:tcPr>
            <w:tcW w:w="1800" w:type="dxa"/>
            <w:noWrap/>
          </w:tcPr>
          <w:p w14:paraId="74702B24" w14:textId="77777777" w:rsidR="00772179" w:rsidRDefault="00000000">
            <w:r>
              <w:t>30%</w:t>
            </w:r>
          </w:p>
        </w:tc>
        <w:tc>
          <w:tcPr>
            <w:tcW w:w="1800" w:type="dxa"/>
            <w:noWrap/>
          </w:tcPr>
          <w:p w14:paraId="0E33EBEF" w14:textId="77777777" w:rsidR="00772179" w:rsidRDefault="00000000">
            <w:r>
              <w:t>3°</w:t>
            </w:r>
          </w:p>
        </w:tc>
        <w:tc>
          <w:tcPr>
            <w:tcW w:w="1800" w:type="dxa"/>
            <w:noWrap/>
          </w:tcPr>
          <w:p w14:paraId="78EEDA01" w14:textId="77777777" w:rsidR="00772179" w:rsidRDefault="00000000">
            <w:r>
              <w:t>85% </w:t>
            </w:r>
          </w:p>
        </w:tc>
      </w:tr>
      <w:tr w:rsidR="00772179" w14:paraId="35033071" w14:textId="77777777">
        <w:tc>
          <w:tcPr>
            <w:tcW w:w="1800" w:type="dxa"/>
            <w:noWrap/>
          </w:tcPr>
          <w:p w14:paraId="548C930A" w14:textId="77777777" w:rsidR="00772179" w:rsidRDefault="00000000">
            <w:r>
              <w:t>Hd</w:t>
            </w:r>
          </w:p>
        </w:tc>
        <w:tc>
          <w:tcPr>
            <w:tcW w:w="1800" w:type="dxa"/>
            <w:noWrap/>
          </w:tcPr>
          <w:p w14:paraId="2FF1BAC7" w14:textId="77777777" w:rsidR="00772179" w:rsidRDefault="00000000">
            <w:r>
              <w:t>23°C</w:t>
            </w:r>
          </w:p>
        </w:tc>
        <w:tc>
          <w:tcPr>
            <w:tcW w:w="1800" w:type="dxa"/>
            <w:noWrap/>
          </w:tcPr>
          <w:p w14:paraId="67973D75" w14:textId="77777777" w:rsidR="00772179" w:rsidRDefault="00000000">
            <w:r>
              <w:t>30%</w:t>
            </w:r>
          </w:p>
        </w:tc>
        <w:tc>
          <w:tcPr>
            <w:tcW w:w="1800" w:type="dxa"/>
            <w:noWrap/>
          </w:tcPr>
          <w:p w14:paraId="301D9130" w14:textId="77777777" w:rsidR="00772179" w:rsidRDefault="00000000">
            <w:r>
              <w:t>-15°</w:t>
            </w:r>
          </w:p>
        </w:tc>
        <w:tc>
          <w:tcPr>
            <w:tcW w:w="1800" w:type="dxa"/>
            <w:noWrap/>
          </w:tcPr>
          <w:p w14:paraId="7957B68D" w14:textId="77777777" w:rsidR="00772179" w:rsidRDefault="00000000">
            <w:r>
              <w:t>-</w:t>
            </w:r>
          </w:p>
        </w:tc>
      </w:tr>
      <w:tr w:rsidR="00772179" w14:paraId="6C7DEDE7" w14:textId="77777777">
        <w:tc>
          <w:tcPr>
            <w:tcW w:w="1800" w:type="dxa"/>
            <w:noWrap/>
          </w:tcPr>
          <w:p w14:paraId="56662435" w14:textId="77777777" w:rsidR="00772179" w:rsidRDefault="00000000">
            <w:r>
              <w:t>He</w:t>
            </w:r>
          </w:p>
        </w:tc>
        <w:tc>
          <w:tcPr>
            <w:tcW w:w="1800" w:type="dxa"/>
            <w:noWrap/>
          </w:tcPr>
          <w:p w14:paraId="2787F832" w14:textId="77777777" w:rsidR="00772179" w:rsidRDefault="00000000">
            <w:r>
              <w:t>Min 20 max 30°C</w:t>
            </w:r>
          </w:p>
        </w:tc>
        <w:tc>
          <w:tcPr>
            <w:tcW w:w="1800" w:type="dxa"/>
            <w:noWrap/>
          </w:tcPr>
          <w:p w14:paraId="26496211" w14:textId="77777777" w:rsidR="00772179" w:rsidRDefault="00000000">
            <w:r>
              <w:t> </w:t>
            </w:r>
          </w:p>
        </w:tc>
        <w:tc>
          <w:tcPr>
            <w:tcW w:w="1800" w:type="dxa"/>
            <w:noWrap/>
          </w:tcPr>
          <w:p w14:paraId="68440016" w14:textId="77777777" w:rsidR="00772179" w:rsidRDefault="00000000">
            <w:r>
              <w:t>75°C et plus</w:t>
            </w:r>
          </w:p>
        </w:tc>
        <w:tc>
          <w:tcPr>
            <w:tcW w:w="1800" w:type="dxa"/>
            <w:noWrap/>
          </w:tcPr>
          <w:p w14:paraId="13C44B00" w14:textId="77777777" w:rsidR="00772179" w:rsidRDefault="00000000">
            <w:r>
              <w:t>-</w:t>
            </w:r>
          </w:p>
        </w:tc>
      </w:tr>
    </w:tbl>
    <w:p w14:paraId="361CABE2" w14:textId="77777777" w:rsidR="00772179" w:rsidRDefault="00000000">
      <w:pPr>
        <w:jc w:val="both"/>
      </w:pPr>
      <w:r>
        <w:t> </w:t>
      </w:r>
    </w:p>
    <w:p w14:paraId="04FAC569" w14:textId="77777777" w:rsidR="00772179" w:rsidRDefault="00000000">
      <w:r>
        <w:rPr>
          <w:b/>
          <w:u w:val="single"/>
        </w:rPr>
        <w:t>Endurance</w:t>
      </w:r>
    </w:p>
    <w:p w14:paraId="23740B7D" w14:textId="77777777" w:rsidR="00772179" w:rsidRDefault="00000000">
      <w:pPr>
        <w:pStyle w:val="Author-eListParagraph"/>
        <w:numPr>
          <w:ilvl w:val="0"/>
          <w:numId w:val="194"/>
        </w:numPr>
      </w:pPr>
      <w:r>
        <w:t>Les classes de fréquence d’utilisation sont déterminées conformément aux [STS 53.1]  §53.1.4.2.4  et dans les normes [NBN EN 1191] et [NBN EN 12046-2]. Le nombre de cycle est repris dans la [NBN EN 12400].</w:t>
      </w:r>
    </w:p>
    <w:p w14:paraId="35E972AF" w14:textId="77777777" w:rsidR="00772179" w:rsidRDefault="00000000">
      <w:pPr>
        <w:jc w:val="both"/>
      </w:pPr>
      <w:r>
        <w:t> </w:t>
      </w:r>
    </w:p>
    <w:tbl>
      <w:tblPr>
        <w:tblStyle w:val="Author-eTableGrid"/>
        <w:tblW w:w="9060" w:type="dxa"/>
        <w:tblLayout w:type="fixed"/>
        <w:tblLook w:val="04A0" w:firstRow="1" w:lastRow="0" w:firstColumn="1" w:lastColumn="0" w:noHBand="0" w:noVBand="1"/>
      </w:tblPr>
      <w:tblGrid>
        <w:gridCol w:w="4530"/>
        <w:gridCol w:w="4530"/>
      </w:tblGrid>
      <w:tr w:rsidR="00772179" w14:paraId="4AC2C603" w14:textId="77777777">
        <w:tc>
          <w:tcPr>
            <w:tcW w:w="4515" w:type="dxa"/>
            <w:noWrap/>
          </w:tcPr>
          <w:p w14:paraId="57E166DC" w14:textId="77777777" w:rsidR="00772179" w:rsidRDefault="00000000">
            <w:r>
              <w:rPr>
                <w:b/>
              </w:rPr>
              <w:t>Classe</w:t>
            </w:r>
          </w:p>
        </w:tc>
        <w:tc>
          <w:tcPr>
            <w:tcW w:w="4515" w:type="dxa"/>
            <w:noWrap/>
          </w:tcPr>
          <w:p w14:paraId="7D33E41A" w14:textId="77777777" w:rsidR="00772179" w:rsidRDefault="00000000">
            <w:r>
              <w:rPr>
                <w:b/>
              </w:rPr>
              <w:t>Nombres de cycles</w:t>
            </w:r>
          </w:p>
        </w:tc>
      </w:tr>
      <w:tr w:rsidR="00772179" w14:paraId="59063D4C" w14:textId="77777777">
        <w:tc>
          <w:tcPr>
            <w:tcW w:w="4515" w:type="dxa"/>
            <w:noWrap/>
          </w:tcPr>
          <w:p w14:paraId="2D3331A4" w14:textId="77777777" w:rsidR="00772179" w:rsidRDefault="00000000">
            <w:r>
              <w:t>f1</w:t>
            </w:r>
          </w:p>
        </w:tc>
        <w:tc>
          <w:tcPr>
            <w:tcW w:w="4515" w:type="dxa"/>
            <w:noWrap/>
          </w:tcPr>
          <w:p w14:paraId="20041E2C" w14:textId="77777777" w:rsidR="00772179" w:rsidRDefault="00000000">
            <w:r>
              <w:t>5.000</w:t>
            </w:r>
          </w:p>
        </w:tc>
      </w:tr>
      <w:tr w:rsidR="00772179" w14:paraId="3F4BE2F1" w14:textId="77777777">
        <w:tc>
          <w:tcPr>
            <w:tcW w:w="4515" w:type="dxa"/>
            <w:noWrap/>
          </w:tcPr>
          <w:p w14:paraId="5F6A791B" w14:textId="77777777" w:rsidR="00772179" w:rsidRDefault="00000000">
            <w:r>
              <w:t>f2</w:t>
            </w:r>
          </w:p>
        </w:tc>
        <w:tc>
          <w:tcPr>
            <w:tcW w:w="4515" w:type="dxa"/>
            <w:noWrap/>
          </w:tcPr>
          <w:p w14:paraId="12B4DB40" w14:textId="77777777" w:rsidR="00772179" w:rsidRDefault="00000000">
            <w:r>
              <w:t>10.000</w:t>
            </w:r>
          </w:p>
        </w:tc>
      </w:tr>
      <w:tr w:rsidR="00772179" w14:paraId="16BA552D" w14:textId="77777777">
        <w:tc>
          <w:tcPr>
            <w:tcW w:w="4515" w:type="dxa"/>
            <w:noWrap/>
          </w:tcPr>
          <w:p w14:paraId="5D4E1655" w14:textId="77777777" w:rsidR="00772179" w:rsidRDefault="00000000">
            <w:r>
              <w:t>f3</w:t>
            </w:r>
          </w:p>
        </w:tc>
        <w:tc>
          <w:tcPr>
            <w:tcW w:w="4515" w:type="dxa"/>
            <w:noWrap/>
          </w:tcPr>
          <w:p w14:paraId="17BBB278" w14:textId="77777777" w:rsidR="00772179" w:rsidRDefault="00000000">
            <w:r>
              <w:t>20.000</w:t>
            </w:r>
          </w:p>
        </w:tc>
      </w:tr>
      <w:tr w:rsidR="00772179" w14:paraId="73BCBE68" w14:textId="77777777">
        <w:tc>
          <w:tcPr>
            <w:tcW w:w="4515" w:type="dxa"/>
            <w:noWrap/>
          </w:tcPr>
          <w:p w14:paraId="05625FF1" w14:textId="77777777" w:rsidR="00772179" w:rsidRDefault="00000000">
            <w:r>
              <w:t>f4</w:t>
            </w:r>
          </w:p>
        </w:tc>
        <w:tc>
          <w:tcPr>
            <w:tcW w:w="4515" w:type="dxa"/>
            <w:noWrap/>
          </w:tcPr>
          <w:p w14:paraId="2A0743B2" w14:textId="77777777" w:rsidR="00772179" w:rsidRDefault="00000000">
            <w:r>
              <w:t>50.000</w:t>
            </w:r>
          </w:p>
        </w:tc>
      </w:tr>
      <w:tr w:rsidR="00772179" w14:paraId="6A8A32D7" w14:textId="77777777">
        <w:tc>
          <w:tcPr>
            <w:tcW w:w="4515" w:type="dxa"/>
            <w:noWrap/>
          </w:tcPr>
          <w:p w14:paraId="2AE18535" w14:textId="77777777" w:rsidR="00772179" w:rsidRDefault="00000000">
            <w:r>
              <w:lastRenderedPageBreak/>
              <w:t>f5</w:t>
            </w:r>
          </w:p>
        </w:tc>
        <w:tc>
          <w:tcPr>
            <w:tcW w:w="4515" w:type="dxa"/>
            <w:noWrap/>
          </w:tcPr>
          <w:p w14:paraId="28C00B9C" w14:textId="77777777" w:rsidR="00772179" w:rsidRDefault="00000000">
            <w:r>
              <w:t>100.000</w:t>
            </w:r>
          </w:p>
        </w:tc>
      </w:tr>
      <w:tr w:rsidR="00772179" w14:paraId="4D3FD11D" w14:textId="77777777">
        <w:tc>
          <w:tcPr>
            <w:tcW w:w="4515" w:type="dxa"/>
            <w:noWrap/>
          </w:tcPr>
          <w:p w14:paraId="52CD53C5" w14:textId="77777777" w:rsidR="00772179" w:rsidRDefault="00000000">
            <w:r>
              <w:t>f6</w:t>
            </w:r>
          </w:p>
        </w:tc>
        <w:tc>
          <w:tcPr>
            <w:tcW w:w="4515" w:type="dxa"/>
            <w:noWrap/>
          </w:tcPr>
          <w:p w14:paraId="2A139B76" w14:textId="77777777" w:rsidR="00772179" w:rsidRDefault="00000000">
            <w:r>
              <w:t>200.000</w:t>
            </w:r>
          </w:p>
        </w:tc>
      </w:tr>
      <w:tr w:rsidR="00772179" w14:paraId="5CE5484A" w14:textId="77777777">
        <w:tc>
          <w:tcPr>
            <w:tcW w:w="4515" w:type="dxa"/>
            <w:noWrap/>
          </w:tcPr>
          <w:p w14:paraId="244617CF" w14:textId="77777777" w:rsidR="00772179" w:rsidRDefault="00000000">
            <w:r>
              <w:t>f7</w:t>
            </w:r>
          </w:p>
        </w:tc>
        <w:tc>
          <w:tcPr>
            <w:tcW w:w="4515" w:type="dxa"/>
            <w:noWrap/>
          </w:tcPr>
          <w:p w14:paraId="300C249C" w14:textId="77777777" w:rsidR="00772179" w:rsidRDefault="00000000">
            <w:r>
              <w:t>500.000</w:t>
            </w:r>
          </w:p>
        </w:tc>
      </w:tr>
      <w:tr w:rsidR="00772179" w14:paraId="14391B55" w14:textId="77777777">
        <w:tc>
          <w:tcPr>
            <w:tcW w:w="4515" w:type="dxa"/>
            <w:noWrap/>
          </w:tcPr>
          <w:p w14:paraId="631333FE" w14:textId="77777777" w:rsidR="00772179" w:rsidRDefault="00000000">
            <w:r>
              <w:t>f8</w:t>
            </w:r>
          </w:p>
        </w:tc>
        <w:tc>
          <w:tcPr>
            <w:tcW w:w="4515" w:type="dxa"/>
            <w:noWrap/>
          </w:tcPr>
          <w:p w14:paraId="72BE93CD" w14:textId="77777777" w:rsidR="00772179" w:rsidRDefault="00000000">
            <w:r>
              <w:t>1.000.000</w:t>
            </w:r>
          </w:p>
        </w:tc>
      </w:tr>
    </w:tbl>
    <w:p w14:paraId="6DDA4918" w14:textId="77777777" w:rsidR="00772179" w:rsidRDefault="00000000">
      <w:pPr>
        <w:jc w:val="both"/>
      </w:pPr>
      <w:r>
        <w:t> </w:t>
      </w:r>
    </w:p>
    <w:p w14:paraId="6A3306EA" w14:textId="77777777" w:rsidR="00772179" w:rsidRDefault="00000000">
      <w:pPr>
        <w:pStyle w:val="Author-eListParagraph"/>
        <w:numPr>
          <w:ilvl w:val="0"/>
          <w:numId w:val="195"/>
        </w:numPr>
      </w:pPr>
      <w:r>
        <w:t>Par défaut la classe f4 est d’application.</w:t>
      </w:r>
    </w:p>
    <w:p w14:paraId="429D401C" w14:textId="77777777" w:rsidR="00772179" w:rsidRDefault="00000000">
      <w:pPr>
        <w:jc w:val="both"/>
      </w:pPr>
      <w:r>
        <w:rPr>
          <w:b/>
          <w:u w:val="single"/>
        </w:rPr>
        <w:t> Profils </w:t>
      </w:r>
    </w:p>
    <w:p w14:paraId="25B14ABD" w14:textId="77777777" w:rsidR="00772179" w:rsidRDefault="00000000">
      <w:pPr>
        <w:jc w:val="both"/>
      </w:pPr>
      <w:r>
        <w:t>Tous les profils de porte proviennent d'un seul et même fabricant. Les profilés et détails de mise en œuvre des portes sont conformes aux spécifications du fabriquant et sont conformes aux éléments types testés dans le cadre de la déclaration d'aptitude suivant le chapitre 02.42.1 Critères d'acceptabilité. La note de calcul et/ou essais établis par le constructeur dans le cadre de la déclaration d'aptitude suivant le chapitre 02.42.1 Critères d'acceptabilité ou de ce chantier tiennent compte ou couvrent toutes les données existantes en ce qui concerne les sollicitations ou les efforts et des critères de performances précités. Les dimensions des profils sont exprimées en mm.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profil de seuils, d’appui, finitions intérieures, volets éventuels, … tels qu'ils sont prescrits.</w:t>
      </w:r>
    </w:p>
    <w:p w14:paraId="1D8D02F6" w14:textId="77777777" w:rsidR="00772179" w:rsidRDefault="00000000">
      <w:pPr>
        <w:jc w:val="both"/>
      </w:pPr>
      <w:r>
        <w:t>Sauf indications contraires dans le cahier spécial des charges et/ou les études détaillées, les profils sont conçus de façon telle que :</w:t>
      </w:r>
    </w:p>
    <w:p w14:paraId="45B76A17" w14:textId="77777777" w:rsidR="00772179" w:rsidRDefault="00000000">
      <w:pPr>
        <w:pStyle w:val="Author-eListParagraph"/>
        <w:numPr>
          <w:ilvl w:val="0"/>
          <w:numId w:val="196"/>
        </w:numPr>
      </w:pPr>
      <w:r>
        <w:t>Les feuillures sont conformes aux spécifications de la [NIT 221] (ou conformément aux descriptions du fabricant et validée par des essais initiaux), sont ventilées et drainées l'évacuation se faisant par au moins deux ouvertures de drainage d'un Ø = 8 mm;</w:t>
      </w:r>
    </w:p>
    <w:p w14:paraId="286DBC37" w14:textId="77777777" w:rsidR="00772179" w:rsidRDefault="00000000">
      <w:pPr>
        <w:pStyle w:val="Author-eListParagraph"/>
        <w:numPr>
          <w:ilvl w:val="0"/>
          <w:numId w:val="196"/>
        </w:numPr>
      </w:pPr>
      <w:r>
        <w:t>Les chambres de décompression sont munies de drainage minimum définis dans le tableau ci-dessous :</w:t>
      </w:r>
    </w:p>
    <w:p w14:paraId="14DA44E1" w14:textId="77777777" w:rsidR="00772179" w:rsidRDefault="00000000">
      <w:pPr>
        <w:jc w:val="both"/>
      </w:pPr>
      <w:r>
        <w:t>Tableau caractéristiques des orifices de drainage dans la traverse inférieure du bâti dormant.</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772179" w14:paraId="49E167F6" w14:textId="77777777">
        <w:tc>
          <w:tcPr>
            <w:tcW w:w="1800" w:type="dxa"/>
            <w:noWrap/>
          </w:tcPr>
          <w:p w14:paraId="14911660" w14:textId="77777777" w:rsidR="00772179" w:rsidRDefault="00000000">
            <w:pPr>
              <w:jc w:val="center"/>
            </w:pPr>
            <w:r>
              <w:rPr>
                <w:b/>
              </w:rPr>
              <w:t>Surface du vantail</w:t>
            </w:r>
          </w:p>
        </w:tc>
        <w:tc>
          <w:tcPr>
            <w:tcW w:w="1800" w:type="dxa"/>
            <w:noWrap/>
          </w:tcPr>
          <w:p w14:paraId="1D1421EA" w14:textId="77777777" w:rsidR="00772179" w:rsidRDefault="00000000">
            <w:pPr>
              <w:jc w:val="center"/>
            </w:pPr>
            <w:r>
              <w:rPr>
                <w:b/>
              </w:rPr>
              <w:t>Intervalle entre les orifices de drainage</w:t>
            </w:r>
          </w:p>
        </w:tc>
        <w:tc>
          <w:tcPr>
            <w:tcW w:w="1800" w:type="dxa"/>
            <w:noWrap/>
          </w:tcPr>
          <w:p w14:paraId="2865DAF6" w14:textId="77777777" w:rsidR="00772179" w:rsidRDefault="00000000">
            <w:pPr>
              <w:jc w:val="center"/>
            </w:pPr>
            <w:r>
              <w:rPr>
                <w:b/>
              </w:rPr>
              <w:t>Distance entre les orifices de drainage et les angles de la porte</w:t>
            </w:r>
          </w:p>
        </w:tc>
        <w:tc>
          <w:tcPr>
            <w:tcW w:w="1800" w:type="dxa"/>
            <w:noWrap/>
          </w:tcPr>
          <w:p w14:paraId="668DD7BF" w14:textId="77777777" w:rsidR="00772179" w:rsidRDefault="00000000">
            <w:pPr>
              <w:jc w:val="center"/>
            </w:pPr>
            <w:r>
              <w:rPr>
                <w:b/>
              </w:rPr>
              <w:t>Surface des orifices de drainage (*)</w:t>
            </w:r>
          </w:p>
        </w:tc>
        <w:tc>
          <w:tcPr>
            <w:tcW w:w="1800" w:type="dxa"/>
            <w:noWrap/>
          </w:tcPr>
          <w:p w14:paraId="6A9AA60E" w14:textId="77777777" w:rsidR="00772179" w:rsidRDefault="00000000">
            <w:pPr>
              <w:jc w:val="center"/>
            </w:pPr>
            <w:r>
              <w:rPr>
                <w:b/>
              </w:rPr>
              <w:t>Diamètre minimal des orifices de drainage</w:t>
            </w:r>
          </w:p>
        </w:tc>
      </w:tr>
      <w:tr w:rsidR="00772179" w14:paraId="7BEEFFDC" w14:textId="77777777">
        <w:tc>
          <w:tcPr>
            <w:tcW w:w="1800" w:type="dxa"/>
            <w:vMerge w:val="restart"/>
            <w:noWrap/>
          </w:tcPr>
          <w:p w14:paraId="675E3263" w14:textId="77777777" w:rsidR="00772179" w:rsidRDefault="00000000">
            <w:pPr>
              <w:jc w:val="center"/>
            </w:pPr>
            <w:r>
              <w:t>≤ 0,4 m²</w:t>
            </w:r>
          </w:p>
        </w:tc>
        <w:tc>
          <w:tcPr>
            <w:tcW w:w="1800" w:type="dxa"/>
            <w:vMerge w:val="restart"/>
            <w:noWrap/>
          </w:tcPr>
          <w:p w14:paraId="23C000FE" w14:textId="77777777" w:rsidR="00772179" w:rsidRDefault="00000000">
            <w:pPr>
              <w:jc w:val="center"/>
            </w:pPr>
            <w:r>
              <w:t>L'intervalle entre deux orifices successifs ne peut excéder 60 cm.</w:t>
            </w:r>
          </w:p>
        </w:tc>
        <w:tc>
          <w:tcPr>
            <w:tcW w:w="1800" w:type="dxa"/>
            <w:vMerge w:val="restart"/>
            <w:noWrap/>
          </w:tcPr>
          <w:p w14:paraId="17F2E1E0" w14:textId="77777777" w:rsidR="00772179" w:rsidRDefault="00000000">
            <w:pPr>
              <w:jc w:val="center"/>
            </w:pPr>
            <w:r>
              <w:t>Les orifices de drainage ne peuvent être disposés à plus de 25 cm et à moins de 4 cm d'un angle.</w:t>
            </w:r>
          </w:p>
        </w:tc>
        <w:tc>
          <w:tcPr>
            <w:tcW w:w="1800" w:type="dxa"/>
            <w:vMerge w:val="restart"/>
            <w:noWrap/>
          </w:tcPr>
          <w:p w14:paraId="5BCFFA6E" w14:textId="77777777" w:rsidR="00772179" w:rsidRDefault="00000000">
            <w:pPr>
              <w:jc w:val="center"/>
            </w:pPr>
            <w:r>
              <w:t>La surface totale des orifices de drainage doit être supérieure à 100 mm².</w:t>
            </w:r>
          </w:p>
        </w:tc>
        <w:tc>
          <w:tcPr>
            <w:tcW w:w="1800" w:type="dxa"/>
            <w:noWrap/>
          </w:tcPr>
          <w:p w14:paraId="54C746AB" w14:textId="77777777" w:rsidR="00772179" w:rsidRDefault="00000000">
            <w:pPr>
              <w:jc w:val="center"/>
            </w:pPr>
            <w:r>
              <w:t>Orifice cylindrique : Ø &gt; 6 mm</w:t>
            </w:r>
          </w:p>
        </w:tc>
      </w:tr>
      <w:tr w:rsidR="00772179" w14:paraId="52E9D7E9" w14:textId="77777777">
        <w:tc>
          <w:tcPr>
            <w:tcW w:w="1800" w:type="dxa"/>
            <w:vMerge/>
            <w:noWrap/>
          </w:tcPr>
          <w:p w14:paraId="1ADA90C9" w14:textId="77777777" w:rsidR="00772179" w:rsidRDefault="00772179"/>
        </w:tc>
        <w:tc>
          <w:tcPr>
            <w:tcW w:w="1800" w:type="dxa"/>
            <w:vMerge/>
            <w:noWrap/>
          </w:tcPr>
          <w:p w14:paraId="4DF13E38" w14:textId="77777777" w:rsidR="00772179" w:rsidRDefault="00772179"/>
        </w:tc>
        <w:tc>
          <w:tcPr>
            <w:tcW w:w="1800" w:type="dxa"/>
            <w:vMerge/>
            <w:noWrap/>
          </w:tcPr>
          <w:p w14:paraId="3AECC3F5" w14:textId="77777777" w:rsidR="00772179" w:rsidRDefault="00772179"/>
        </w:tc>
        <w:tc>
          <w:tcPr>
            <w:tcW w:w="1800" w:type="dxa"/>
            <w:vMerge/>
            <w:noWrap/>
          </w:tcPr>
          <w:p w14:paraId="28267123" w14:textId="77777777" w:rsidR="00772179" w:rsidRDefault="00772179"/>
        </w:tc>
        <w:tc>
          <w:tcPr>
            <w:tcW w:w="1800" w:type="dxa"/>
            <w:noWrap/>
          </w:tcPr>
          <w:p w14:paraId="65CF0B1A" w14:textId="77777777" w:rsidR="00772179" w:rsidRDefault="00000000">
            <w:pPr>
              <w:jc w:val="center"/>
            </w:pPr>
            <w:r>
              <w:t>Canal de drainage : hauteur &gt; 6 mm</w:t>
            </w:r>
          </w:p>
        </w:tc>
      </w:tr>
      <w:tr w:rsidR="00772179" w14:paraId="2833F27A" w14:textId="77777777">
        <w:tc>
          <w:tcPr>
            <w:tcW w:w="1800" w:type="dxa"/>
            <w:vMerge w:val="restart"/>
            <w:noWrap/>
          </w:tcPr>
          <w:p w14:paraId="700CDBF6" w14:textId="77777777" w:rsidR="00772179" w:rsidRDefault="00000000">
            <w:pPr>
              <w:jc w:val="center"/>
            </w:pPr>
            <w:r>
              <w:t>&gt; 0,4 m²</w:t>
            </w:r>
          </w:p>
        </w:tc>
        <w:tc>
          <w:tcPr>
            <w:tcW w:w="1800" w:type="dxa"/>
            <w:vMerge/>
            <w:noWrap/>
          </w:tcPr>
          <w:p w14:paraId="385F4FCC" w14:textId="77777777" w:rsidR="00772179" w:rsidRDefault="00772179"/>
        </w:tc>
        <w:tc>
          <w:tcPr>
            <w:tcW w:w="1800" w:type="dxa"/>
            <w:vMerge/>
            <w:noWrap/>
          </w:tcPr>
          <w:p w14:paraId="3B852073" w14:textId="77777777" w:rsidR="00772179" w:rsidRDefault="00772179"/>
        </w:tc>
        <w:tc>
          <w:tcPr>
            <w:tcW w:w="1800" w:type="dxa"/>
            <w:vMerge w:val="restart"/>
            <w:noWrap/>
          </w:tcPr>
          <w:p w14:paraId="7D3A9F5C" w14:textId="77777777" w:rsidR="00772179" w:rsidRDefault="00000000">
            <w:pPr>
              <w:jc w:val="center"/>
            </w:pPr>
            <w:r>
              <w:t>Il y a lieu de prévoir une surface de drainage d'au moins 250 mm² par m² de vantail.</w:t>
            </w:r>
          </w:p>
        </w:tc>
        <w:tc>
          <w:tcPr>
            <w:tcW w:w="1800" w:type="dxa"/>
            <w:noWrap/>
          </w:tcPr>
          <w:p w14:paraId="4D00867B" w14:textId="77777777" w:rsidR="00772179" w:rsidRDefault="00000000">
            <w:pPr>
              <w:jc w:val="center"/>
            </w:pPr>
            <w:r>
              <w:t>Orifice cylindrique : Ø &gt; 6 mm</w:t>
            </w:r>
          </w:p>
        </w:tc>
      </w:tr>
      <w:tr w:rsidR="00772179" w14:paraId="39C282F0" w14:textId="77777777">
        <w:tc>
          <w:tcPr>
            <w:tcW w:w="1800" w:type="dxa"/>
            <w:vMerge/>
            <w:noWrap/>
          </w:tcPr>
          <w:p w14:paraId="6BEA0B55" w14:textId="77777777" w:rsidR="00772179" w:rsidRDefault="00772179"/>
        </w:tc>
        <w:tc>
          <w:tcPr>
            <w:tcW w:w="1800" w:type="dxa"/>
            <w:vMerge/>
            <w:noWrap/>
          </w:tcPr>
          <w:p w14:paraId="0CC1B3FE" w14:textId="77777777" w:rsidR="00772179" w:rsidRDefault="00772179"/>
        </w:tc>
        <w:tc>
          <w:tcPr>
            <w:tcW w:w="1800" w:type="dxa"/>
            <w:vMerge/>
            <w:noWrap/>
          </w:tcPr>
          <w:p w14:paraId="7E22D157" w14:textId="77777777" w:rsidR="00772179" w:rsidRDefault="00772179"/>
        </w:tc>
        <w:tc>
          <w:tcPr>
            <w:tcW w:w="1800" w:type="dxa"/>
            <w:vMerge/>
            <w:noWrap/>
          </w:tcPr>
          <w:p w14:paraId="18C5EE0B" w14:textId="77777777" w:rsidR="00772179" w:rsidRDefault="00772179"/>
        </w:tc>
        <w:tc>
          <w:tcPr>
            <w:tcW w:w="1800" w:type="dxa"/>
            <w:noWrap/>
          </w:tcPr>
          <w:p w14:paraId="7C49E426" w14:textId="77777777" w:rsidR="00772179" w:rsidRDefault="00000000">
            <w:pPr>
              <w:jc w:val="center"/>
            </w:pPr>
            <w:r>
              <w:t>Canal de drainage : hauteur &gt; 6 mm</w:t>
            </w:r>
          </w:p>
        </w:tc>
      </w:tr>
      <w:tr w:rsidR="00772179" w14:paraId="28BC08AC" w14:textId="77777777">
        <w:tc>
          <w:tcPr>
            <w:tcW w:w="9000" w:type="dxa"/>
            <w:gridSpan w:val="5"/>
            <w:noWrap/>
          </w:tcPr>
          <w:p w14:paraId="7625F1D9" w14:textId="77777777" w:rsidR="00772179" w:rsidRDefault="00000000">
            <w:pPr>
              <w:ind w:left="567"/>
              <w:jc w:val="center"/>
            </w:pPr>
            <w:r>
              <w:t>(*) La surface totale de drainage dans la traverse inférieure du dormant équivaut à la somme de la surface des orifices de chaque vantail.</w:t>
            </w:r>
          </w:p>
        </w:tc>
      </w:tr>
    </w:tbl>
    <w:p w14:paraId="50A56542" w14:textId="77777777" w:rsidR="00772179" w:rsidRDefault="00000000">
      <w:pPr>
        <w:jc w:val="both"/>
      </w:pPr>
      <w:r>
        <w:t>Les orifices de la chambre de décompression sont réalisés afin d’atteindre les performances requises d’étanchéité à l’eau</w:t>
      </w:r>
    </w:p>
    <w:p w14:paraId="742A6659" w14:textId="77777777" w:rsidR="00772179" w:rsidRDefault="00772179"/>
    <w:p w14:paraId="19A54837" w14:textId="77777777" w:rsidR="00772179" w:rsidRDefault="00000000">
      <w:pPr>
        <w:jc w:val="both"/>
      </w:pPr>
      <w:r>
        <w:rPr>
          <w:b/>
          <w:u w:val="single"/>
        </w:rPr>
        <w:t>Types de portes</w:t>
      </w:r>
    </w:p>
    <w:p w14:paraId="74D01E66" w14:textId="77777777" w:rsidR="00772179" w:rsidRDefault="00000000">
      <w:pPr>
        <w:jc w:val="both"/>
      </w:pPr>
      <w:r>
        <w:t xml:space="preserve">L'apparence des différents types de portes, la forme, l'aspect, la nature et la composition des parties ouvrantes et fixes sont indiqués sur les plans et/ou dans le métré détaillé. A défaut de dispositions </w:t>
      </w:r>
      <w:r>
        <w:lastRenderedPageBreak/>
        <w:t>spécifiques dans le cahier spécial des charges et/ou les études détaillées pour la fabrication, les prescriptions ci-dessous sont respectées. Elles sont classées en fonction du type et de la nature des éléments de porte. Les terminologies et schémas des portes sont conformes à la norme [NBN EN 12519]. Par exemple, une porte ouvrant à gauche est comprise de telle manière les points de paumelles sont fixés sur le côté gauche, vue intérieure. Pour le dessin des figures, le mouvement du vantail dans la direction de l'utilisateur est donné par le trait continu. Le mouvement du vantail dans la direction≤ opposée à l'utilisateur est donné par le trait en pointillés. </w:t>
      </w:r>
    </w:p>
    <w:p w14:paraId="6F2B26A3" w14:textId="77777777" w:rsidR="00772179" w:rsidRDefault="00000000">
      <w:pPr>
        <w:jc w:val="both"/>
      </w:pPr>
      <w:r>
        <w:t>Dans les portes, le nombre de points de suspension (paumelles, charnières) est défini par le fabricant de quincaillerie. Celui-ci donne le nombre de fixation en fonction du type de châssis, des dimensions et du poids. A défaut,</w:t>
      </w:r>
    </w:p>
    <w:p w14:paraId="65763785" w14:textId="77777777" w:rsidR="00772179" w:rsidRDefault="00000000">
      <w:pPr>
        <w:pStyle w:val="Author-eListParagraph"/>
        <w:numPr>
          <w:ilvl w:val="0"/>
          <w:numId w:val="197"/>
        </w:numPr>
      </w:pPr>
      <w:r>
        <w:t>On place au moins le nombre suivant de points de suspension (paumelles, charnières, …): </w:t>
      </w:r>
    </w:p>
    <w:p w14:paraId="033CD059" w14:textId="77777777" w:rsidR="00772179" w:rsidRDefault="00772179">
      <w:pPr>
        <w:pStyle w:val="Author-eListParagraph"/>
        <w:numPr>
          <w:ilvl w:val="0"/>
          <w:numId w:val="198"/>
        </w:numPr>
      </w:pPr>
    </w:p>
    <w:p w14:paraId="4F119071" w14:textId="77777777" w:rsidR="00772179" w:rsidRDefault="00000000">
      <w:pPr>
        <w:pStyle w:val="Author-eListParagraph"/>
        <w:numPr>
          <w:ilvl w:val="1"/>
          <w:numId w:val="199"/>
        </w:numPr>
      </w:pPr>
      <w:r>
        <w:t>Hauteur ≤ 1000 mm : deux</w:t>
      </w:r>
    </w:p>
    <w:p w14:paraId="6FDF1C09" w14:textId="77777777" w:rsidR="00772179" w:rsidRDefault="00000000">
      <w:pPr>
        <w:pStyle w:val="Author-eListParagraph"/>
        <w:numPr>
          <w:ilvl w:val="1"/>
          <w:numId w:val="199"/>
        </w:numPr>
      </w:pPr>
      <w:r>
        <w:t>Hauteur ≤ 1800 mm : trois</w:t>
      </w:r>
    </w:p>
    <w:p w14:paraId="5D438612" w14:textId="77777777" w:rsidR="00772179" w:rsidRDefault="00000000">
      <w:pPr>
        <w:pStyle w:val="Author-eListParagraph"/>
        <w:numPr>
          <w:ilvl w:val="1"/>
          <w:numId w:val="199"/>
        </w:numPr>
      </w:pPr>
      <w:r>
        <w:t>Hauteur ≥ 1800 mm : quatre</w:t>
      </w:r>
    </w:p>
    <w:p w14:paraId="027B43AC" w14:textId="77777777" w:rsidR="00772179" w:rsidRDefault="00000000">
      <w:pPr>
        <w:pStyle w:val="Author-eListParagraph"/>
        <w:numPr>
          <w:ilvl w:val="1"/>
          <w:numId w:val="199"/>
        </w:numPr>
      </w:pPr>
      <w:r>
        <w:t>Si le poids de l’ouvrant ≥ 100 Kg, 5 points de suspension sont nécessaires</w:t>
      </w:r>
      <w:r>
        <w:br/>
      </w:r>
    </w:p>
    <w:p w14:paraId="4DDFDCE0" w14:textId="77777777" w:rsidR="00772179" w:rsidRDefault="00000000">
      <w:pPr>
        <w:pStyle w:val="Author-eListParagraph"/>
        <w:numPr>
          <w:ilvl w:val="0"/>
          <w:numId w:val="198"/>
        </w:numPr>
      </w:pPr>
      <w:r>
        <w:t>Le nombre et l'emplacement des points de suspension prévus dépendent également de la feuille de porte et de son poids ainsi que du vitrage prévu et du niveau d’exigence de la résistance aux abus d’utilisation, à l’effraction. </w:t>
      </w:r>
    </w:p>
    <w:p w14:paraId="20294A7B" w14:textId="77777777" w:rsidR="00772179" w:rsidRDefault="00000000">
      <w:pPr>
        <w:jc w:val="both"/>
      </w:pPr>
      <w:r>
        <w:t>Les quincailleries et ferrures répondent aux exigences définies dans les normes suivantes :</w:t>
      </w:r>
    </w:p>
    <w:p w14:paraId="6B1B17A3" w14:textId="77777777" w:rsidR="00772179" w:rsidRDefault="00000000">
      <w:pPr>
        <w:jc w:val="both"/>
      </w:pPr>
      <w:r>
        <w:t>[NBN EN 1125, Quincaillerie pour le bâtiment - Fermetures anti-panique manœuvrées par une barre horizontale, destinées à être utilisées sur des voies d'évacuation - Exigences et méthodes d'essai]</w:t>
      </w:r>
    </w:p>
    <w:p w14:paraId="0966C8F2" w14:textId="77777777" w:rsidR="00772179" w:rsidRDefault="00000000">
      <w:pPr>
        <w:jc w:val="both"/>
      </w:pPr>
      <w:r>
        <w:t>[NBN EN 1935, Quincaillerie pour le bâtiment - Charnières axe simple - Prescriptions et méthodes d'essai]</w:t>
      </w:r>
    </w:p>
    <w:p w14:paraId="4737A1CA" w14:textId="77777777" w:rsidR="00772179" w:rsidRDefault="00772179">
      <w:pPr>
        <w:jc w:val="both"/>
      </w:pPr>
    </w:p>
    <w:p w14:paraId="3C468CDD" w14:textId="77777777" w:rsidR="00772179" w:rsidRDefault="00000000">
      <w:pPr>
        <w:jc w:val="both"/>
      </w:pPr>
      <w:r>
        <w:t>[NBN EN 13637, Quincaillerie pour le bâtiment - Systèmes de fermeture contrôlés électriquement destinés à être utilisés sur des voies d'évacuation - Exigences et méthodes d'essai]</w:t>
      </w:r>
    </w:p>
    <w:p w14:paraId="7996C2E3" w14:textId="77777777" w:rsidR="00772179" w:rsidRDefault="00000000">
      <w:pPr>
        <w:jc w:val="both"/>
      </w:pPr>
      <w:r>
        <w:t>[NBN EN 12209, Quincaillerie pour le bâtiment - Serrures mécaniques et gâches - Exigences et méthodes d'essai]</w:t>
      </w:r>
    </w:p>
    <w:p w14:paraId="27BF7F0B" w14:textId="77777777" w:rsidR="00772179" w:rsidRDefault="00772179">
      <w:pPr>
        <w:jc w:val="both"/>
      </w:pPr>
    </w:p>
    <w:p w14:paraId="78799725" w14:textId="77777777" w:rsidR="00772179" w:rsidRDefault="00000000">
      <w:pPr>
        <w:jc w:val="both"/>
      </w:pPr>
      <w:r>
        <w:t>[NBN EN 14846, Quincaillerie pour le bâtiment - Serrures et becs de cane - Serrures et gâches électromécaniques - Exigences et méthodes d'essai]</w:t>
      </w:r>
    </w:p>
    <w:p w14:paraId="6BA85196" w14:textId="77777777" w:rsidR="00772179" w:rsidRDefault="00000000">
      <w:pPr>
        <w:jc w:val="both"/>
      </w:pPr>
      <w:r>
        <w:t>[NBN EN 1906, Quincaillerie pour le bâtiment - Béquilles et boutons de porte - Exigences et méthodes d'essai]</w:t>
      </w:r>
    </w:p>
    <w:p w14:paraId="334EDE1B" w14:textId="77777777" w:rsidR="00772179" w:rsidRDefault="00000000">
      <w:pPr>
        <w:jc w:val="both"/>
      </w:pPr>
      <w:r>
        <w:t>Les portes sont conçues comme suit :</w:t>
      </w:r>
    </w:p>
    <w:p w14:paraId="73AB79F6" w14:textId="77777777" w:rsidR="00772179" w:rsidRDefault="00000000">
      <w:pPr>
        <w:pStyle w:val="Author-eListParagraph"/>
        <w:numPr>
          <w:ilvl w:val="0"/>
          <w:numId w:val="200"/>
        </w:numPr>
      </w:pPr>
      <w:r>
        <w:t>Elles sont équipées d'une ou plusieurs frappes, dont au moins une des frappes est pourvue d'une bande d'étanchéité intégrée. Le joint d’étanchéité des parties ouvrantes est en néoprène ou en matière synthétique. Il se comprime sous l’effet d’une pression. Les joints ne sont pas étirés lors de la pose et permettent une continuité de l’étanchéité.  Les joints correspondent à ceux utilisés pour les essais initiaux réalisés afin de déterminer les performances d’étanchéité à l’air et à l’eau de la porte. La liaison entre les profilés verticaux et le profilé de seuil ou le système assurant l’étanchéité basse est continue.</w:t>
      </w:r>
    </w:p>
    <w:p w14:paraId="1472CF80" w14:textId="77777777" w:rsidR="00772179" w:rsidRDefault="00000000">
      <w:pPr>
        <w:pStyle w:val="Author-eListParagraph"/>
        <w:numPr>
          <w:ilvl w:val="0"/>
          <w:numId w:val="200"/>
        </w:numPr>
      </w:pPr>
      <w:r>
        <w:t>Les exigences complémentaires relatives aux quincailleries et dispositifs de manœuvre sont fournies dans le </w:t>
      </w:r>
      <w:hyperlink w:anchor="884" w:history="1">
        <w:r>
          <w:rPr>
            <w:color w:val="0000EE"/>
          </w:rPr>
          <w:t>41.72 Quincailleries</w:t>
        </w:r>
      </w:hyperlink>
    </w:p>
    <w:p w14:paraId="138F222B" w14:textId="77777777" w:rsidR="00772179" w:rsidRDefault="00000000">
      <w:pPr>
        <w:jc w:val="both"/>
      </w:pPr>
      <w:r>
        <w:t>Les ensembles composés reprenant une porte sont conçus comme suit :</w:t>
      </w:r>
    </w:p>
    <w:p w14:paraId="751E75BA" w14:textId="77777777" w:rsidR="00772179" w:rsidRDefault="00000000">
      <w:pPr>
        <w:pStyle w:val="Author-eListParagraph"/>
        <w:numPr>
          <w:ilvl w:val="0"/>
          <w:numId w:val="201"/>
        </w:numPr>
      </w:pPr>
      <w:r>
        <w:t xml:space="preserve">Les châssis composés sont constitués de plusieurs éléments dont les encadrements intermédiaires sont remplacés par des profils fixes ou par l’assemblage entre les dormants. L’inertie des profilés assemblés répond aux exigences de résistance au vent par calcul ou par </w:t>
      </w:r>
      <w:r>
        <w:lastRenderedPageBreak/>
        <w:t>essai tel que spécifié dans les [STS 53.1]. Une attention particulière est accordée à l'étanchéité de l'assemblage entre les profils intermédiaires. Ainsi, les traverses creuses intermédiaires sont pourvues d'un dispositif d'évacuation de l'eau. Les profilés sont étanchéifiés lors de l’assemblage par profilé d’étanchéité, joint, collage continu, Kit d’étanchéité, etc….</w:t>
      </w:r>
    </w:p>
    <w:p w14:paraId="2C9763EC" w14:textId="77777777" w:rsidR="00772179" w:rsidRDefault="00000000">
      <w:pPr>
        <w:pStyle w:val="Author-eListParagraph"/>
        <w:numPr>
          <w:ilvl w:val="0"/>
          <w:numId w:val="201"/>
        </w:numPr>
      </w:pPr>
      <w:r>
        <w:t>La composition de ces ensembles figure sur les plans et/ou dans les dessins de détail.</w:t>
      </w:r>
    </w:p>
    <w:p w14:paraId="46E1183F" w14:textId="77777777" w:rsidR="00772179" w:rsidRDefault="00000000">
      <w:pPr>
        <w:jc w:val="both"/>
      </w:pPr>
      <w:r>
        <w:rPr>
          <w:b/>
          <w:u w:val="single"/>
        </w:rPr>
        <w:t>Généralités</w:t>
      </w:r>
    </w:p>
    <w:p w14:paraId="446BF59D" w14:textId="77777777" w:rsidR="00772179" w:rsidRDefault="00000000">
      <w:pPr>
        <w:jc w:val="both"/>
      </w:pPr>
      <w:r>
        <w:rPr>
          <w:b/>
          <w:u w:val="single"/>
        </w:rPr>
        <w:t>Libre Passage</w:t>
      </w:r>
    </w:p>
    <w:p w14:paraId="7CBA61DF" w14:textId="77777777" w:rsidR="00772179" w:rsidRDefault="00000000">
      <w:pPr>
        <w:pStyle w:val="Author-eListParagraph"/>
        <w:numPr>
          <w:ilvl w:val="0"/>
          <w:numId w:val="202"/>
        </w:numPr>
      </w:pPr>
      <w:r>
        <w:t>Le libre passage est l'espace réellement disponible hors obstacle pour permettre la circulation aux PMR.</w:t>
      </w:r>
    </w:p>
    <w:p w14:paraId="1549A00D" w14:textId="77777777" w:rsidR="00772179" w:rsidRDefault="00000000">
      <w:pPr>
        <w:pStyle w:val="Author-eListParagraph"/>
        <w:numPr>
          <w:ilvl w:val="0"/>
          <w:numId w:val="202"/>
        </w:numPr>
      </w:pPr>
      <w:r>
        <w:t>La largeur de libre passage d'une porte battante ou coulissante est illustrée dans la [NBN ISO 21542].</w:t>
      </w:r>
    </w:p>
    <w:p w14:paraId="448DC5E6" w14:textId="77777777" w:rsidR="00772179" w:rsidRDefault="00000000">
      <w:pPr>
        <w:pStyle w:val="Author-eListParagraph"/>
        <w:numPr>
          <w:ilvl w:val="0"/>
          <w:numId w:val="202"/>
        </w:numPr>
      </w:pPr>
      <w:r>
        <w:t>Pour une porte battante, il s'agit de la distance entre la feuille de porte, ouverte à 90°, et l'arrêt opposé. Dans ce cas, une largeur de libre passage de 85 cm, c.-à-d. le minimum recommandé pour permettre la circulation aux PMR, est obtenue en plaçant une feuille de porte de 93 cm.</w:t>
      </w:r>
    </w:p>
    <w:p w14:paraId="0DEDE4B8" w14:textId="77777777" w:rsidR="00772179" w:rsidRDefault="00000000">
      <w:pPr>
        <w:pStyle w:val="Author-eListParagraph"/>
        <w:numPr>
          <w:ilvl w:val="0"/>
          <w:numId w:val="202"/>
        </w:numPr>
      </w:pPr>
      <w:r>
        <w:t>Pour une porte coulissante, la largeur de libre passage est la distance entre le bord primaire de fermeture du tablier et le bord primaire du montant du cadre.</w:t>
      </w:r>
    </w:p>
    <w:p w14:paraId="7A6C2A5A" w14:textId="77777777" w:rsidR="00772179" w:rsidRDefault="00000000">
      <w:pPr>
        <w:pStyle w:val="Author-eListParagraph"/>
        <w:numPr>
          <w:ilvl w:val="0"/>
          <w:numId w:val="202"/>
        </w:numPr>
      </w:pPr>
      <w:r>
        <w:t>Les portes d’entrées sont conformes aux prescriptions de la [NBN EN 14351-1:2006+A2]. La terminologie est reprise dans la [NBN EN 12519].</w:t>
      </w:r>
    </w:p>
    <w:p w14:paraId="22A1B1CA" w14:textId="77777777" w:rsidR="00772179" w:rsidRDefault="00000000">
      <w:pPr>
        <w:jc w:val="both"/>
      </w:pPr>
      <w:r>
        <w:rPr>
          <w:b/>
          <w:u w:val="single"/>
        </w:rPr>
        <w:t>Efforts De Manoeuvre </w:t>
      </w:r>
    </w:p>
    <w:p w14:paraId="302E45DC" w14:textId="77777777" w:rsidR="00772179" w:rsidRDefault="00000000">
      <w:pPr>
        <w:pStyle w:val="Author-eListParagraph"/>
        <w:numPr>
          <w:ilvl w:val="0"/>
          <w:numId w:val="203"/>
        </w:numPr>
      </w:pPr>
      <w:r>
        <w:t>La classification des forces et couples de manœuvre des portes est définie dans la [NBN EN 12217] (voir Tableau X).</w:t>
      </w:r>
    </w:p>
    <w:p w14:paraId="7A3ADA97" w14:textId="77777777" w:rsidR="00772179" w:rsidRDefault="00000000">
      <w:pPr>
        <w:pStyle w:val="Author-eListParagraph"/>
        <w:numPr>
          <w:ilvl w:val="0"/>
          <w:numId w:val="203"/>
        </w:numPr>
      </w:pPr>
      <w:r>
        <w:t>Comme l'indique la [STS 53.1], la Classe F2 est celle que l'on prend lorsque le cahier spécial des charges ne prescrit pas de classe spécifique. Les Classes F3 et F4 sont donc recommandées pour une utilisation notamment par des personnes à mobilité réduite (PMR). </w:t>
      </w:r>
    </w:p>
    <w:p w14:paraId="3EE0D29C" w14:textId="77777777" w:rsidR="00772179" w:rsidRDefault="00000000">
      <w:pPr>
        <w:jc w:val="both"/>
      </w:pPr>
      <w:r>
        <w:t>Tableau X – Classification des forces et couples de manœuvre selon la [NBN EN 12217] et [STS 53.1]</w:t>
      </w:r>
    </w:p>
    <w:tbl>
      <w:tblPr>
        <w:tblStyle w:val="Author-eTableGrid"/>
        <w:tblW w:w="8955" w:type="dxa"/>
        <w:tblLayout w:type="fixed"/>
        <w:tblLook w:val="04A0" w:firstRow="1" w:lastRow="0" w:firstColumn="1" w:lastColumn="0" w:noHBand="0" w:noVBand="1"/>
      </w:tblPr>
      <w:tblGrid>
        <w:gridCol w:w="4583"/>
        <w:gridCol w:w="1093"/>
        <w:gridCol w:w="1093"/>
        <w:gridCol w:w="1093"/>
        <w:gridCol w:w="1093"/>
      </w:tblGrid>
      <w:tr w:rsidR="00772179" w14:paraId="7BF896B0" w14:textId="77777777">
        <w:trPr>
          <w:trHeight w:val="150"/>
        </w:trPr>
        <w:tc>
          <w:tcPr>
            <w:tcW w:w="4530" w:type="dxa"/>
            <w:shd w:val="clear" w:color="auto" w:fill="C0C0C0"/>
            <w:noWrap/>
          </w:tcPr>
          <w:p w14:paraId="51FC78F9" w14:textId="77777777" w:rsidR="00772179" w:rsidRDefault="00000000">
            <w:r>
              <w:rPr>
                <w:b/>
                <w:shd w:val="clear" w:color="auto" w:fill="C0C0C0"/>
              </w:rPr>
              <w:t>Résistance à :</w:t>
            </w:r>
            <w:r>
              <w:rPr>
                <w:shd w:val="clear" w:color="auto" w:fill="C0C0C0"/>
              </w:rPr>
              <w:t>         </w:t>
            </w:r>
          </w:p>
        </w:tc>
        <w:tc>
          <w:tcPr>
            <w:tcW w:w="1080" w:type="dxa"/>
            <w:shd w:val="clear" w:color="auto" w:fill="C0C0C0"/>
            <w:noWrap/>
          </w:tcPr>
          <w:p w14:paraId="5DB9BB2D" w14:textId="77777777" w:rsidR="00772179" w:rsidRDefault="00000000">
            <w:pPr>
              <w:jc w:val="center"/>
            </w:pPr>
            <w:r>
              <w:rPr>
                <w:b/>
                <w:shd w:val="clear" w:color="auto" w:fill="C0C0C0"/>
              </w:rPr>
              <w:t>Classe F1</w:t>
            </w:r>
          </w:p>
        </w:tc>
        <w:tc>
          <w:tcPr>
            <w:tcW w:w="1080" w:type="dxa"/>
            <w:shd w:val="clear" w:color="auto" w:fill="C0C0C0"/>
            <w:noWrap/>
          </w:tcPr>
          <w:p w14:paraId="394E9B91" w14:textId="77777777" w:rsidR="00772179" w:rsidRDefault="00000000">
            <w:pPr>
              <w:jc w:val="center"/>
            </w:pPr>
            <w:r>
              <w:rPr>
                <w:b/>
                <w:shd w:val="clear" w:color="auto" w:fill="C0C0C0"/>
              </w:rPr>
              <w:t>Classe F2</w:t>
            </w:r>
          </w:p>
        </w:tc>
        <w:tc>
          <w:tcPr>
            <w:tcW w:w="1080" w:type="dxa"/>
            <w:shd w:val="clear" w:color="auto" w:fill="C0C0C0"/>
            <w:noWrap/>
          </w:tcPr>
          <w:p w14:paraId="17B2EAEF" w14:textId="77777777" w:rsidR="00772179" w:rsidRDefault="00000000">
            <w:pPr>
              <w:jc w:val="center"/>
            </w:pPr>
            <w:r>
              <w:rPr>
                <w:b/>
                <w:shd w:val="clear" w:color="auto" w:fill="C0C0C0"/>
              </w:rPr>
              <w:t>Classe F3</w:t>
            </w:r>
          </w:p>
        </w:tc>
        <w:tc>
          <w:tcPr>
            <w:tcW w:w="1080" w:type="dxa"/>
            <w:shd w:val="clear" w:color="auto" w:fill="C0C0C0"/>
            <w:noWrap/>
          </w:tcPr>
          <w:p w14:paraId="45EBA3D2" w14:textId="77777777" w:rsidR="00772179" w:rsidRDefault="00000000">
            <w:pPr>
              <w:jc w:val="center"/>
            </w:pPr>
            <w:r>
              <w:rPr>
                <w:b/>
                <w:shd w:val="clear" w:color="auto" w:fill="C0C0C0"/>
              </w:rPr>
              <w:t>Classe F4</w:t>
            </w:r>
          </w:p>
        </w:tc>
      </w:tr>
      <w:tr w:rsidR="00772179" w14:paraId="159D7312" w14:textId="77777777">
        <w:tc>
          <w:tcPr>
            <w:tcW w:w="8850" w:type="dxa"/>
            <w:gridSpan w:val="5"/>
            <w:noWrap/>
          </w:tcPr>
          <w:p w14:paraId="0AB9D141" w14:textId="77777777" w:rsidR="00772179" w:rsidRDefault="00000000">
            <w:pPr>
              <w:jc w:val="center"/>
            </w:pPr>
            <w:r>
              <w:t>Portes</w:t>
            </w:r>
          </w:p>
        </w:tc>
      </w:tr>
      <w:tr w:rsidR="00772179" w14:paraId="794BF39B" w14:textId="77777777">
        <w:tc>
          <w:tcPr>
            <w:tcW w:w="4530" w:type="dxa"/>
            <w:noWrap/>
          </w:tcPr>
          <w:p w14:paraId="545445D1" w14:textId="77777777" w:rsidR="00772179" w:rsidRDefault="00000000">
            <w:r>
              <w:t>Force de fermeture ou force destinée à initier le mouvement, valeur maximale, (N)</w:t>
            </w:r>
          </w:p>
        </w:tc>
        <w:tc>
          <w:tcPr>
            <w:tcW w:w="1080" w:type="dxa"/>
            <w:noWrap/>
          </w:tcPr>
          <w:p w14:paraId="40073952" w14:textId="77777777" w:rsidR="00772179" w:rsidRDefault="00000000">
            <w:pPr>
              <w:jc w:val="center"/>
            </w:pPr>
            <w:r>
              <w:t>75</w:t>
            </w:r>
          </w:p>
        </w:tc>
        <w:tc>
          <w:tcPr>
            <w:tcW w:w="1080" w:type="dxa"/>
            <w:noWrap/>
          </w:tcPr>
          <w:p w14:paraId="702EC2D2" w14:textId="77777777" w:rsidR="00772179" w:rsidRDefault="00000000">
            <w:pPr>
              <w:jc w:val="center"/>
            </w:pPr>
            <w:r>
              <w:t>50</w:t>
            </w:r>
          </w:p>
        </w:tc>
        <w:tc>
          <w:tcPr>
            <w:tcW w:w="1080" w:type="dxa"/>
            <w:noWrap/>
          </w:tcPr>
          <w:p w14:paraId="4CF4EFCB" w14:textId="77777777" w:rsidR="00772179" w:rsidRDefault="00000000">
            <w:pPr>
              <w:jc w:val="center"/>
            </w:pPr>
            <w:r>
              <w:t>25</w:t>
            </w:r>
          </w:p>
        </w:tc>
        <w:tc>
          <w:tcPr>
            <w:tcW w:w="1080" w:type="dxa"/>
            <w:noWrap/>
          </w:tcPr>
          <w:p w14:paraId="6BA0222C" w14:textId="77777777" w:rsidR="00772179" w:rsidRDefault="00000000">
            <w:pPr>
              <w:jc w:val="center"/>
            </w:pPr>
            <w:r>
              <w:t>10</w:t>
            </w:r>
          </w:p>
        </w:tc>
      </w:tr>
      <w:tr w:rsidR="00772179" w14:paraId="7552C04C" w14:textId="77777777">
        <w:tc>
          <w:tcPr>
            <w:tcW w:w="8850" w:type="dxa"/>
            <w:gridSpan w:val="5"/>
            <w:noWrap/>
          </w:tcPr>
          <w:p w14:paraId="71CD8ACD" w14:textId="77777777" w:rsidR="00772179" w:rsidRDefault="00000000">
            <w:pPr>
              <w:jc w:val="center"/>
            </w:pPr>
            <w:r>
              <w:t>Quincaillerie manœuvrée à la main</w:t>
            </w:r>
          </w:p>
        </w:tc>
      </w:tr>
      <w:tr w:rsidR="00772179" w14:paraId="7FBBAE38" w14:textId="77777777">
        <w:tc>
          <w:tcPr>
            <w:tcW w:w="4530" w:type="dxa"/>
            <w:noWrap/>
          </w:tcPr>
          <w:p w14:paraId="02A81E1F" w14:textId="77777777" w:rsidR="00772179" w:rsidRDefault="00000000">
            <w:r>
              <w:t>Force maximale, (N)</w:t>
            </w:r>
          </w:p>
          <w:p w14:paraId="06983E24" w14:textId="77777777" w:rsidR="00772179" w:rsidRDefault="00000000">
            <w:r>
              <w:t>Couple maximal, (Nm)</w:t>
            </w:r>
          </w:p>
        </w:tc>
        <w:tc>
          <w:tcPr>
            <w:tcW w:w="1080" w:type="dxa"/>
            <w:noWrap/>
          </w:tcPr>
          <w:p w14:paraId="1994AB5F" w14:textId="77777777" w:rsidR="00772179" w:rsidRDefault="00000000">
            <w:pPr>
              <w:jc w:val="center"/>
            </w:pPr>
            <w:r>
              <w:t>100</w:t>
            </w:r>
          </w:p>
          <w:p w14:paraId="777F2022" w14:textId="77777777" w:rsidR="00772179" w:rsidRDefault="00000000">
            <w:pPr>
              <w:jc w:val="center"/>
            </w:pPr>
            <w:r>
              <w:t>10</w:t>
            </w:r>
          </w:p>
        </w:tc>
        <w:tc>
          <w:tcPr>
            <w:tcW w:w="1080" w:type="dxa"/>
            <w:noWrap/>
          </w:tcPr>
          <w:p w14:paraId="6300B7FD" w14:textId="77777777" w:rsidR="00772179" w:rsidRDefault="00000000">
            <w:pPr>
              <w:jc w:val="center"/>
            </w:pPr>
            <w:r>
              <w:t>50</w:t>
            </w:r>
          </w:p>
          <w:p w14:paraId="2D9F6244" w14:textId="77777777" w:rsidR="00772179" w:rsidRDefault="00000000">
            <w:pPr>
              <w:jc w:val="center"/>
            </w:pPr>
            <w:r>
              <w:t>5</w:t>
            </w:r>
          </w:p>
        </w:tc>
        <w:tc>
          <w:tcPr>
            <w:tcW w:w="1080" w:type="dxa"/>
            <w:noWrap/>
          </w:tcPr>
          <w:p w14:paraId="5689A01F" w14:textId="77777777" w:rsidR="00772179" w:rsidRDefault="00000000">
            <w:pPr>
              <w:jc w:val="center"/>
            </w:pPr>
            <w:r>
              <w:t>25</w:t>
            </w:r>
          </w:p>
          <w:p w14:paraId="78D0A1CC" w14:textId="77777777" w:rsidR="00772179" w:rsidRDefault="00000000">
            <w:pPr>
              <w:jc w:val="center"/>
            </w:pPr>
            <w:r>
              <w:t>2.5</w:t>
            </w:r>
          </w:p>
        </w:tc>
        <w:tc>
          <w:tcPr>
            <w:tcW w:w="1080" w:type="dxa"/>
            <w:noWrap/>
          </w:tcPr>
          <w:p w14:paraId="76DBF575" w14:textId="77777777" w:rsidR="00772179" w:rsidRDefault="00000000">
            <w:pPr>
              <w:jc w:val="center"/>
            </w:pPr>
            <w:r>
              <w:t>10</w:t>
            </w:r>
          </w:p>
          <w:p w14:paraId="6F648E80" w14:textId="77777777" w:rsidR="00772179" w:rsidRDefault="00000000">
            <w:pPr>
              <w:jc w:val="center"/>
            </w:pPr>
            <w:r>
              <w:t>1</w:t>
            </w:r>
          </w:p>
        </w:tc>
      </w:tr>
      <w:tr w:rsidR="00772179" w14:paraId="4C45AAF3" w14:textId="77777777">
        <w:tc>
          <w:tcPr>
            <w:tcW w:w="8850" w:type="dxa"/>
            <w:gridSpan w:val="5"/>
            <w:noWrap/>
          </w:tcPr>
          <w:p w14:paraId="5E17A5EF" w14:textId="77777777" w:rsidR="00772179" w:rsidRDefault="00000000">
            <w:pPr>
              <w:jc w:val="center"/>
            </w:pPr>
            <w:r>
              <w:t>Quincaillerie manœuvrée avec le doigt</w:t>
            </w:r>
          </w:p>
        </w:tc>
      </w:tr>
      <w:tr w:rsidR="00772179" w14:paraId="3D678789" w14:textId="77777777">
        <w:tc>
          <w:tcPr>
            <w:tcW w:w="4530" w:type="dxa"/>
            <w:noWrap/>
          </w:tcPr>
          <w:p w14:paraId="27BC000D" w14:textId="77777777" w:rsidR="00772179" w:rsidRDefault="00000000">
            <w:r>
              <w:t>Force maximale, (N)</w:t>
            </w:r>
          </w:p>
          <w:p w14:paraId="725AA90B" w14:textId="77777777" w:rsidR="00772179" w:rsidRDefault="00000000">
            <w:r>
              <w:t>Couple maximal, (Nm)</w:t>
            </w:r>
          </w:p>
        </w:tc>
        <w:tc>
          <w:tcPr>
            <w:tcW w:w="1080" w:type="dxa"/>
            <w:noWrap/>
          </w:tcPr>
          <w:p w14:paraId="1B13FF4A" w14:textId="77777777" w:rsidR="00772179" w:rsidRDefault="00000000">
            <w:pPr>
              <w:jc w:val="center"/>
            </w:pPr>
            <w:r>
              <w:t>20</w:t>
            </w:r>
          </w:p>
          <w:p w14:paraId="693569C3" w14:textId="77777777" w:rsidR="00772179" w:rsidRDefault="00000000">
            <w:pPr>
              <w:jc w:val="center"/>
            </w:pPr>
            <w:r>
              <w:t>5</w:t>
            </w:r>
          </w:p>
        </w:tc>
        <w:tc>
          <w:tcPr>
            <w:tcW w:w="1080" w:type="dxa"/>
            <w:noWrap/>
          </w:tcPr>
          <w:p w14:paraId="41273A4D" w14:textId="77777777" w:rsidR="00772179" w:rsidRDefault="00000000">
            <w:pPr>
              <w:jc w:val="center"/>
            </w:pPr>
            <w:r>
              <w:t>10</w:t>
            </w:r>
          </w:p>
          <w:p w14:paraId="18F47B5C" w14:textId="77777777" w:rsidR="00772179" w:rsidRDefault="00000000">
            <w:pPr>
              <w:jc w:val="center"/>
            </w:pPr>
            <w:r>
              <w:t>2.5</w:t>
            </w:r>
          </w:p>
        </w:tc>
        <w:tc>
          <w:tcPr>
            <w:tcW w:w="1080" w:type="dxa"/>
            <w:noWrap/>
          </w:tcPr>
          <w:p w14:paraId="762D34A9" w14:textId="77777777" w:rsidR="00772179" w:rsidRDefault="00000000">
            <w:pPr>
              <w:jc w:val="center"/>
            </w:pPr>
            <w:r>
              <w:t>6</w:t>
            </w:r>
          </w:p>
          <w:p w14:paraId="3F4A3919" w14:textId="77777777" w:rsidR="00772179" w:rsidRDefault="00000000">
            <w:pPr>
              <w:jc w:val="center"/>
            </w:pPr>
            <w:r>
              <w:t>1.5</w:t>
            </w:r>
          </w:p>
        </w:tc>
        <w:tc>
          <w:tcPr>
            <w:tcW w:w="1080" w:type="dxa"/>
            <w:noWrap/>
          </w:tcPr>
          <w:p w14:paraId="1D7D37BF" w14:textId="77777777" w:rsidR="00772179" w:rsidRDefault="00000000">
            <w:pPr>
              <w:jc w:val="center"/>
            </w:pPr>
            <w:r>
              <w:t>4</w:t>
            </w:r>
          </w:p>
          <w:p w14:paraId="67D04EAF" w14:textId="77777777" w:rsidR="00772179" w:rsidRDefault="00000000">
            <w:pPr>
              <w:jc w:val="center"/>
            </w:pPr>
            <w:r>
              <w:t>1</w:t>
            </w:r>
          </w:p>
        </w:tc>
      </w:tr>
    </w:tbl>
    <w:p w14:paraId="47C76531" w14:textId="77777777" w:rsidR="00772179" w:rsidRDefault="00000000">
      <w:r>
        <w:t> </w:t>
      </w:r>
      <w:r>
        <w:br/>
      </w:r>
      <w:r>
        <w:rPr>
          <w:b/>
          <w:u w:val="single"/>
        </w:rPr>
        <w:t>Prestations acoustiques</w:t>
      </w:r>
    </w:p>
    <w:p w14:paraId="4781DB26" w14:textId="77777777" w:rsidR="00772179" w:rsidRDefault="00000000">
      <w:pPr>
        <w:jc w:val="both"/>
      </w:pPr>
      <w:r>
        <w:rPr>
          <w:u w:val="single"/>
        </w:rPr>
        <w:t>Caractéristiques Acoustiques Des Éléments De Façade Et Des Façades.</w:t>
      </w:r>
    </w:p>
    <w:p w14:paraId="5BC10C2E" w14:textId="77777777" w:rsidR="00772179" w:rsidRDefault="00000000">
      <w:pPr>
        <w:pStyle w:val="Author-eListParagraph"/>
        <w:numPr>
          <w:ilvl w:val="0"/>
          <w:numId w:val="204"/>
        </w:numPr>
      </w:pPr>
      <w:r>
        <w:t>Une façade est construite de telle façon qu’elle protège convenablement les occupants du local du bruit extérieur. Ce bruit est en relation directe avec la situation du bâtiment concerné. La distance qui sépare le bâtiment du trafic et son orientation conditionnent aussi la hauteur et la fréquence du bruit qu’il subit.</w:t>
      </w:r>
    </w:p>
    <w:p w14:paraId="17FD3693" w14:textId="77777777" w:rsidR="00772179" w:rsidRDefault="00000000">
      <w:pPr>
        <w:pStyle w:val="Author-eListParagraph"/>
        <w:numPr>
          <w:ilvl w:val="0"/>
          <w:numId w:val="204"/>
        </w:numPr>
      </w:pPr>
      <w:r>
        <w:t>En ce qui concerne la composition du bruit on essaie surtout d’évaluer la partie relative de bruits de basse fréquence. </w:t>
      </w:r>
    </w:p>
    <w:p w14:paraId="68237486" w14:textId="77777777" w:rsidR="00772179" w:rsidRDefault="00000000">
      <w:pPr>
        <w:pStyle w:val="Author-eListParagraph"/>
        <w:numPr>
          <w:ilvl w:val="0"/>
          <w:numId w:val="204"/>
        </w:numPr>
      </w:pPr>
      <w:r>
        <w:t xml:space="preserve">L’isolation acoustique d’une façade est conditionnée par le niveau du bruit auquel cette dernière est soumise. Cette isolation est fonction du niveau de fréquence. Elle est calculée </w:t>
      </w:r>
      <w:r>
        <w:lastRenderedPageBreak/>
        <w:t>dans plusieurs circonstances :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convient parfois de corriger par des mesures spécifiques.</w:t>
      </w:r>
    </w:p>
    <w:p w14:paraId="333A31B1" w14:textId="77777777" w:rsidR="00772179" w:rsidRDefault="00000000">
      <w:pPr>
        <w:pStyle w:val="Author-eListParagraph"/>
        <w:numPr>
          <w:ilvl w:val="0"/>
          <w:numId w:val="204"/>
        </w:numPr>
      </w:pPr>
      <w:r>
        <w:t>Chacune de ces méthodes de mesure est répertoriée de manière propre (voir tableaux 2 et 3) mais la transformation de la valeur obtenue en valeur globale, celle qui est indiquée par un seul nombre, se déroule de la même façon que pour l’isolation phonique. La procédure est décrite à la [NBN EN 717-1].</w:t>
      </w:r>
    </w:p>
    <w:p w14:paraId="5A911430" w14:textId="77777777" w:rsidR="00772179" w:rsidRDefault="00000000">
      <w:pPr>
        <w:pStyle w:val="Author-eListParagraph"/>
        <w:numPr>
          <w:ilvl w:val="0"/>
          <w:numId w:val="204"/>
        </w:numPr>
      </w:pPr>
      <w:r>
        <w:t>Prenons comme exemple la façon de déterminer la qualité acoustique d’un vitrage. Atteindre comme résultat une valeur qui s’exprime par la formule suivante : Rw(C;Ctr) = 30(-1;-5) dB,</w:t>
      </w:r>
    </w:p>
    <w:p w14:paraId="0AC05AD2" w14:textId="77777777" w:rsidR="00772179" w:rsidRDefault="00000000">
      <w:pPr>
        <w:pStyle w:val="Author-eListParagraph"/>
        <w:numPr>
          <w:ilvl w:val="0"/>
          <w:numId w:val="204"/>
        </w:numPr>
      </w:pPr>
      <w:r>
        <w:t>Ce qui signifie que la performance au point de vue de l’isolation acoustique en ce qui concerne le type I s’exprime par : 30-1=29 dB. Pour le type II c'est : 30-5=25 dB. </w:t>
      </w:r>
    </w:p>
    <w:p w14:paraId="1068D48D" w14:textId="77777777" w:rsidR="00772179" w:rsidRDefault="00000000">
      <w:pPr>
        <w:pStyle w:val="Author-eListParagraph"/>
        <w:numPr>
          <w:ilvl w:val="0"/>
          <w:numId w:val="204"/>
        </w:numPr>
      </w:pPr>
      <w:r>
        <w:t>A l’heure actuelle, les produits destinés aux façades sont soumis à la méthodologie de calcul décrite. Les règles valables pour la Belgique entière ou pour des régions ne sont pas encore disponibles.</w:t>
      </w:r>
    </w:p>
    <w:p w14:paraId="20AEE9C9" w14:textId="77777777" w:rsidR="00772179" w:rsidRDefault="00000000">
      <w:pPr>
        <w:jc w:val="both"/>
      </w:pPr>
      <w:r>
        <w:rPr>
          <w:u w:val="single"/>
        </w:rPr>
        <w:t>L’élément Le Plus Faible</w:t>
      </w:r>
    </w:p>
    <w:p w14:paraId="714B7F36" w14:textId="77777777" w:rsidR="00772179" w:rsidRDefault="00000000">
      <w:pPr>
        <w:pStyle w:val="Author-eListParagraph"/>
        <w:numPr>
          <w:ilvl w:val="0"/>
          <w:numId w:val="205"/>
        </w:numPr>
      </w:pPr>
      <w:r>
        <w:t>L’élément le plus faible pèse davantage dans le résultat final de l’isolation acoustique. Il est clair que les éléments transparents sont les éléments les plus légers de l’ensemble. Ils se caractérisent par toute une série de points faibles : effet de masse lourde-poids plume-masse lourde dans le cas du double vitrage, coïncidence des épaisseurs de verre, imperfections dans l’étanchéité, ventilation, etc. ...</w:t>
      </w:r>
    </w:p>
    <w:p w14:paraId="785C277C" w14:textId="77777777" w:rsidR="00772179" w:rsidRDefault="00000000">
      <w:pPr>
        <w:pStyle w:val="Author-eListParagraph"/>
        <w:numPr>
          <w:ilvl w:val="0"/>
          <w:numId w:val="205"/>
        </w:numPr>
      </w:pPr>
      <w:r>
        <w:t>Il faut donc travailler en premier lieu sur ces éléments. Si l’on souhaite connaître le résultat pour un projet particulier de façade, il convient de déterminer l’isolation formée en totalité. Ceci est possible en observant les règles de [NBN EN ISO 12354-3].</w:t>
      </w:r>
    </w:p>
    <w:p w14:paraId="0263BD68" w14:textId="77777777" w:rsidR="00772179" w:rsidRDefault="00000000">
      <w:pPr>
        <w:jc w:val="both"/>
      </w:pPr>
      <w:r>
        <w:rPr>
          <w:u w:val="single"/>
        </w:rPr>
        <w:t>Règles Usuelles NBN</w:t>
      </w:r>
    </w:p>
    <w:p w14:paraId="4765EDE9" w14:textId="77777777" w:rsidR="00772179" w:rsidRDefault="00000000">
      <w:pPr>
        <w:pStyle w:val="Author-eListParagraph"/>
        <w:numPr>
          <w:ilvl w:val="0"/>
          <w:numId w:val="206"/>
        </w:numPr>
      </w:pPr>
      <w:r>
        <w:t>Les règles usuelles NBN telles que présentées dans [NBN S 01-400] sont souvent reprises dans les détails du cahier spécial de charges.</w:t>
      </w:r>
    </w:p>
    <w:p w14:paraId="2C64E727" w14:textId="77777777" w:rsidR="00772179" w:rsidRDefault="00000000">
      <w:pPr>
        <w:pStyle w:val="Author-eListParagraph"/>
        <w:numPr>
          <w:ilvl w:val="0"/>
          <w:numId w:val="206"/>
        </w:numPr>
      </w:pPr>
      <w:r>
        <w:t>Il est donc ainsi calculé, ou du moins évalué, l’impact du bruit sur le pan de mur. Il est constaté qu’il existe quatre types d’impact de bruit à qualifier sur base des descriptions qui suivent. Si des mesures sont effectuées, la classification se fait sur les valeurs chiffrées obtenues.</w:t>
      </w:r>
    </w:p>
    <w:p w14:paraId="3604960A" w14:textId="77777777" w:rsidR="00772179" w:rsidRDefault="00000000">
      <w:pPr>
        <w:pStyle w:val="pheading"/>
      </w:pPr>
      <w:r>
        <w:t>EXÉCUTION / MISE EN ŒUVRE</w:t>
      </w:r>
    </w:p>
    <w:p w14:paraId="68FCD36C" w14:textId="77777777" w:rsidR="00772179" w:rsidRDefault="00000000">
      <w:pPr>
        <w:jc w:val="both"/>
      </w:pPr>
      <w:r>
        <w:rPr>
          <w:b/>
          <w:u w:val="single"/>
        </w:rPr>
        <w:t>Généralités</w:t>
      </w:r>
    </w:p>
    <w:p w14:paraId="4647D59D" w14:textId="77777777" w:rsidR="00772179" w:rsidRDefault="00000000">
      <w:pPr>
        <w:pStyle w:val="Author-eListParagraph"/>
        <w:numPr>
          <w:ilvl w:val="0"/>
          <w:numId w:val="207"/>
        </w:numPr>
        <w:jc w:val="both"/>
      </w:pPr>
      <w:r>
        <w:t>Les portes extérieures sont posées conformément à la [NIT 283] (à défaut d’autre document) ou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 </w:t>
      </w:r>
    </w:p>
    <w:p w14:paraId="4CDAB9C8" w14:textId="77777777" w:rsidR="00772179" w:rsidRDefault="00000000">
      <w:pPr>
        <w:pStyle w:val="Author-eListParagraph"/>
        <w:numPr>
          <w:ilvl w:val="0"/>
          <w:numId w:val="207"/>
        </w:numPr>
        <w:jc w:val="both"/>
      </w:pPr>
      <w:r>
        <w:t>Les dimensions indiquées sur les plans et dans le métré sont celles du gros-œuvre tel qu'il est exécuté et sont donc purement indicatives. L'entrepreneur est tenu de prendre lui-même les mesures sur le chantier avant de procéder à la fabrication des éléments sauf dans le cas d’une pose par précadre pour laquelle les modalités particulières sont convenues. </w:t>
      </w:r>
    </w:p>
    <w:p w14:paraId="7E160E03" w14:textId="77777777" w:rsidR="00772179" w:rsidRDefault="00000000">
      <w:pPr>
        <w:pStyle w:val="Author-eListParagraph"/>
        <w:numPr>
          <w:ilvl w:val="0"/>
          <w:numId w:val="207"/>
        </w:numPr>
        <w:jc w:val="both"/>
      </w:pPr>
      <w:r>
        <w:t>Les travaux sont exécutés par une firme spécialisée et par des ouvriers qualifiés.</w:t>
      </w:r>
    </w:p>
    <w:p w14:paraId="2F24798F" w14:textId="77777777" w:rsidR="00772179" w:rsidRDefault="00000000">
      <w:pPr>
        <w:jc w:val="both"/>
      </w:pPr>
      <w:r>
        <w:rPr>
          <w:b/>
          <w:u w:val="single"/>
        </w:rPr>
        <w:t>Livraison - Entreposage</w:t>
      </w:r>
    </w:p>
    <w:p w14:paraId="25582F27" w14:textId="77777777" w:rsidR="00772179" w:rsidRDefault="00000000">
      <w:pPr>
        <w:pStyle w:val="Author-eListParagraph"/>
        <w:numPr>
          <w:ilvl w:val="0"/>
          <w:numId w:val="208"/>
        </w:numPr>
        <w:jc w:val="both"/>
      </w:pPr>
      <w:r>
        <w:t>Les ensembles de portes ainsi que leurs accessoires sont transportés dans des circonstances qui protègent les matériaux contre toute dégradation. Ils sont soigneusement amarrés. L'entreposage sur le chantier est limité au minimum et surtout n'excède pas une semaine. Les éléments sont stockés et transportés à la verticale, protégés et ventilés. </w:t>
      </w:r>
    </w:p>
    <w:p w14:paraId="4315BA98" w14:textId="77777777" w:rsidR="00772179" w:rsidRDefault="00000000">
      <w:pPr>
        <w:pStyle w:val="Author-eListParagraph"/>
        <w:numPr>
          <w:ilvl w:val="0"/>
          <w:numId w:val="208"/>
        </w:numPr>
        <w:jc w:val="both"/>
      </w:pPr>
      <w:r>
        <w:lastRenderedPageBreak/>
        <w:t>Les protections appliquées sur les profils ne sont pas enlevées avant autorisation écrite de l’auteur de projet. </w:t>
      </w:r>
    </w:p>
    <w:p w14:paraId="33A42160" w14:textId="77777777" w:rsidR="00772179" w:rsidRDefault="00000000">
      <w:pPr>
        <w:jc w:val="both"/>
      </w:pPr>
      <w:r>
        <w:rPr>
          <w:b/>
          <w:u w:val="single"/>
        </w:rPr>
        <w:t>Montage</w:t>
      </w:r>
    </w:p>
    <w:p w14:paraId="3AA136A5" w14:textId="77777777" w:rsidR="00772179" w:rsidRDefault="00000000">
      <w:pPr>
        <w:pStyle w:val="Author-eListParagraph"/>
        <w:numPr>
          <w:ilvl w:val="0"/>
          <w:numId w:val="209"/>
        </w:numPr>
        <w:jc w:val="both"/>
      </w:pPr>
      <w:r>
        <w:t>Les portes sont posées symétriquement dans la baie et ajustée à la distance requise du gros-œuvre en fonction du système de ragréage prévu. La disposition est parfaitement d'aplomb, de niveau et dans l'axe. </w:t>
      </w:r>
    </w:p>
    <w:p w14:paraId="55BA1874" w14:textId="77777777" w:rsidR="00772179" w:rsidRDefault="00000000">
      <w:pPr>
        <w:pStyle w:val="Author-eListParagraph"/>
        <w:numPr>
          <w:ilvl w:val="0"/>
          <w:numId w:val="209"/>
        </w:numPr>
        <w:jc w:val="both"/>
      </w:pPr>
      <w:r>
        <w:t>Lorsqu'il s'agit d'une maçonnerie de parement ordinaire, en fonction de la section du dormant des portes, ≥ 30 mm du profil est placé derrière le jour du gros-œuvre. Les joints entre les portes et les ouvertures réservées dans la maçonnerie sont de l’ordre de 5 à 10 mm. </w:t>
      </w:r>
    </w:p>
    <w:p w14:paraId="5F49030A" w14:textId="77777777" w:rsidR="00772179" w:rsidRDefault="00000000">
      <w:pPr>
        <w:pStyle w:val="Author-eListParagraph"/>
        <w:numPr>
          <w:ilvl w:val="0"/>
          <w:numId w:val="209"/>
        </w:numPr>
        <w:jc w:val="both"/>
      </w:pPr>
      <w:r>
        <w:t>Lorsque la façade est destinée à recevoir une isolation extérieure et/ou un revêtement de façade léger, la porte est placée selon les dessins de détails et/ou en concertation avec les entrepreneurs du gros-œuvre et des plafonnages. </w:t>
      </w:r>
    </w:p>
    <w:p w14:paraId="0F067BDD" w14:textId="77777777" w:rsidR="00772179" w:rsidRDefault="00000000">
      <w:pPr>
        <w:jc w:val="both"/>
      </w:pPr>
      <w:r>
        <w:rPr>
          <w:b/>
          <w:u w:val="single"/>
        </w:rPr>
        <w:t>Ancrage au gros-œuvre</w:t>
      </w:r>
    </w:p>
    <w:p w14:paraId="06CA8FFA" w14:textId="77777777" w:rsidR="00772179" w:rsidRDefault="00000000">
      <w:pPr>
        <w:pStyle w:val="Author-eListParagraph"/>
        <w:numPr>
          <w:ilvl w:val="0"/>
          <w:numId w:val="210"/>
        </w:numPr>
        <w:jc w:val="both"/>
      </w:pPr>
      <w:r>
        <w:t>Pour des portes, la pose est décrite dans le § 53.1.5.1.5 des [STS 53.1] et, à défaut d’autre document référentiel, le resserrage est décrit dans la [NIT 283]. </w:t>
      </w:r>
    </w:p>
    <w:p w14:paraId="24021043" w14:textId="77777777" w:rsidR="00772179" w:rsidRDefault="00000000">
      <w:pPr>
        <w:pStyle w:val="Author-eListParagraph"/>
        <w:numPr>
          <w:ilvl w:val="0"/>
          <w:numId w:val="210"/>
        </w:numPr>
        <w:jc w:val="both"/>
      </w:pPr>
      <w:r>
        <w:t>Les châssis sont fixés de manière telle que les sollicitations des châssis soient transférées sur le gros-œuvre et que les tassements du bâtiment n'aient pas d'influence sur la menuiserie extérieure.  </w:t>
      </w:r>
    </w:p>
    <w:p w14:paraId="7E3694C8" w14:textId="77777777" w:rsidR="00772179" w:rsidRDefault="00000000">
      <w:pPr>
        <w:pStyle w:val="Author-eListParagraph"/>
        <w:numPr>
          <w:ilvl w:val="0"/>
          <w:numId w:val="210"/>
        </w:numPr>
        <w:jc w:val="both"/>
      </w:pPr>
      <w:r>
        <w:t xml:space="preserve">Le système d’ancrage au gros œuvre est réalisé par :  </w:t>
      </w:r>
    </w:p>
    <w:p w14:paraId="0EF6B093" w14:textId="77777777" w:rsidR="00772179" w:rsidRDefault="00000000">
      <w:pPr>
        <w:pStyle w:val="Author-eListParagraph"/>
        <w:numPr>
          <w:ilvl w:val="1"/>
          <w:numId w:val="211"/>
        </w:numPr>
        <w:jc w:val="both"/>
      </w:pPr>
      <w:r>
        <w:t>Pattes de fixation : Les pattes et leurs positions sont conformes aux spécifications de la [NIT 283]. Elles permettent une protection contre la corrosion de grade ≥ 3 selon la [NBN EN 1670].</w:t>
      </w:r>
    </w:p>
    <w:p w14:paraId="28E0AAE1" w14:textId="77777777" w:rsidR="00772179" w:rsidRDefault="00000000">
      <w:pPr>
        <w:pStyle w:val="Author-eListParagraph"/>
        <w:numPr>
          <w:ilvl w:val="1"/>
          <w:numId w:val="211"/>
        </w:numPr>
        <w:jc w:val="both"/>
      </w:pPr>
      <w:r>
        <w:t>Caisson : Les caissons sont assemblés pour permettre une étanchéité au raccord caisson-châssis. Les caissons sont réalisés en panneaux d’une épaisseur min de 18 mm pour permettre la reprise des charges horizontales et verticales. La durabilité des panneaux est spécifiée dans les [STS 04 série] pour une application en paroi extérieure.</w:t>
      </w:r>
    </w:p>
    <w:p w14:paraId="4E084B69" w14:textId="77777777" w:rsidR="00772179" w:rsidRDefault="00000000">
      <w:pPr>
        <w:pStyle w:val="Author-eListParagraph"/>
        <w:numPr>
          <w:ilvl w:val="1"/>
          <w:numId w:val="211"/>
        </w:numPr>
        <w:jc w:val="both"/>
      </w:pPr>
      <w:r>
        <w:t>Précadre : Le système de précadre est en conformité avec les spécifications du fabricant et décrit au </w:t>
      </w:r>
      <w:hyperlink w:anchor="903" w:history="1">
        <w:r>
          <w:rPr>
            <w:color w:val="0000EE"/>
          </w:rPr>
          <w:t>41.74 Ouvrages de raccord et finition</w:t>
        </w:r>
      </w:hyperlink>
    </w:p>
    <w:p w14:paraId="2F41D489" w14:textId="77777777" w:rsidR="00772179" w:rsidRDefault="00000000">
      <w:pPr>
        <w:pStyle w:val="Author-eListParagraph"/>
        <w:numPr>
          <w:ilvl w:val="0"/>
          <w:numId w:val="210"/>
        </w:numPr>
        <w:jc w:val="both"/>
      </w:pPr>
      <w:r>
        <w:t>Si le bâtiment est soumis à la règlementation PEB, l’assemblage répond au minimum aux règles soumises pour les nœuds constructifs PEB conforme et soumis à l’approbation de l’auteur de projet et, le cas échéant, au responsable PEB. </w:t>
      </w:r>
    </w:p>
    <w:p w14:paraId="0B835A00" w14:textId="77777777" w:rsidR="00772179" w:rsidRDefault="00000000">
      <w:pPr>
        <w:jc w:val="both"/>
      </w:pPr>
      <w:r>
        <w:rPr>
          <w:b/>
          <w:u w:val="single"/>
        </w:rPr>
        <w:t>Jonction avec le gros-œuvre</w:t>
      </w:r>
    </w:p>
    <w:p w14:paraId="49205764" w14:textId="77777777" w:rsidR="00772179" w:rsidRDefault="00000000">
      <w:pPr>
        <w:pStyle w:val="Author-eListParagraph"/>
        <w:numPr>
          <w:ilvl w:val="0"/>
          <w:numId w:val="212"/>
        </w:numPr>
        <w:jc w:val="both"/>
      </w:pPr>
      <w:r>
        <w:t>Continuité d’isolation : La pose des portes et la continuité avec les isolants est réalisée conformément aux plans et coupes et constitue un nœud constructif PEB conforme. </w:t>
      </w:r>
    </w:p>
    <w:p w14:paraId="78C5634D" w14:textId="77777777" w:rsidR="00772179" w:rsidRDefault="00000000">
      <w:pPr>
        <w:pStyle w:val="Author-eListParagraph"/>
        <w:numPr>
          <w:ilvl w:val="0"/>
          <w:numId w:val="212"/>
        </w:numPr>
        <w:jc w:val="both"/>
      </w:pPr>
      <w:r>
        <w:t>L’étanchéité à l’eau : Les continuités de l’étanchéité à l’eau sont conformes aux descriptions données dans la [NIT 283].</w:t>
      </w:r>
    </w:p>
    <w:p w14:paraId="477F8838" w14:textId="77777777" w:rsidR="00772179" w:rsidRDefault="00000000">
      <w:pPr>
        <w:pStyle w:val="Author-eListParagraph"/>
        <w:numPr>
          <w:ilvl w:val="0"/>
          <w:numId w:val="212"/>
        </w:numPr>
        <w:jc w:val="both"/>
      </w:pPr>
      <w:r>
        <w:t>L’étanchéité à l’air : Les continuités de l’étanchéité à l’air sont conformes aux descriptions données dans les [NIT 283] et [NIT 255].</w:t>
      </w:r>
    </w:p>
    <w:p w14:paraId="0299A0F1" w14:textId="77777777" w:rsidR="00772179" w:rsidRDefault="00000000">
      <w:pPr>
        <w:pStyle w:val="Author-eListParagraph"/>
        <w:numPr>
          <w:ilvl w:val="0"/>
          <w:numId w:val="212"/>
        </w:numPr>
        <w:jc w:val="both"/>
      </w:pPr>
      <w:r>
        <w:t>Continuité acoustique : Lorsque le cahier de charge prescrit des performances acoustiques particulières, la continuité de l’isolation acoustique est prévue au niveau du resserrage. Les détails et choix des matériaux de resserrage font l’objet d’une étude à soumettre à l’auteur du projet. </w:t>
      </w:r>
    </w:p>
    <w:p w14:paraId="5ABFF3CC" w14:textId="77777777" w:rsidR="00772179" w:rsidRDefault="00000000">
      <w:r>
        <w:t>La finition intérieure est réalisée en fonction de la nature du matériau de finition des murs intérieurs et selon les directives de l'auteur de projet, soit à l'aide d'une latte de finition, soit avec un mastic, soit un profilé d’étanchéité. Ces travaux sont également compris.  </w:t>
      </w:r>
    </w:p>
    <w:p w14:paraId="10F8C66F" w14:textId="77777777" w:rsidR="00772179" w:rsidRDefault="00000000">
      <w:pPr>
        <w:ind w:left="750"/>
      </w:pPr>
      <w:r>
        <w:t> </w:t>
      </w:r>
    </w:p>
    <w:p w14:paraId="32E15B54" w14:textId="77777777" w:rsidR="00772179" w:rsidRDefault="00000000">
      <w:pPr>
        <w:pStyle w:val="pheading"/>
      </w:pPr>
      <w:r>
        <w:t>CONTRÔLES</w:t>
      </w:r>
    </w:p>
    <w:p w14:paraId="0A79788A" w14:textId="77777777" w:rsidR="00772179" w:rsidRDefault="00000000">
      <w:pPr>
        <w:jc w:val="both"/>
      </w:pPr>
      <w:r>
        <w:t xml:space="preserve">Les portes endommagées avant et après la pose, celles qui présentent des déformations anormales ou sont abîmés par l'humidité, ne peuvent pas être mises en œuvre. Les documents relatifs à la déclaration d’aptitude du matériau suivant le chapitre 02.42.1 Critères d'acceptabilité ou aux </w:t>
      </w:r>
      <w:r>
        <w:lastRenderedPageBreak/>
        <w:t>performances exigées dans le cahier spécial des charges sont préalablement remis à l'auteur de projet.</w:t>
      </w:r>
    </w:p>
    <w:p w14:paraId="7112037F" w14:textId="77777777" w:rsidR="00772179" w:rsidRDefault="00000000">
      <w:pPr>
        <w:jc w:val="both"/>
      </w:pPr>
      <w:r>
        <w:rPr>
          <w:b/>
          <w:u w:val="single"/>
        </w:rPr>
        <w:t>Essais</w:t>
      </w:r>
    </w:p>
    <w:p w14:paraId="5B1D1645" w14:textId="77777777" w:rsidR="00772179" w:rsidRDefault="00000000">
      <w:pPr>
        <w:jc w:val="both"/>
      </w:pPr>
      <w:r>
        <w:t>Si le marquage du produit (déclaration d’aptitude du matériau) ne spécifie pas les performances requises, des essais sont systématiquement exigés dont les frais sont intégralement supportés par l'entrepreneur jusqu'à ce que satisfaction complète soit obtenue. Si l'élément de menuiserie ne satisfait pas aux essais, l’auteur de projet est en droit d'imposer une nouvelle série d'essais jusqu’à obtention des performances requises.</w:t>
      </w:r>
    </w:p>
    <w:p w14:paraId="05EC4E14" w14:textId="77777777" w:rsidR="00772179" w:rsidRDefault="00000000">
      <w:pPr>
        <w:jc w:val="both"/>
      </w:pPr>
      <w:r>
        <w:t>Les essais sont exécutés par un laboratoire indépendant notifié, selon la [NBN EN 14351-1:2006+A2], les exigences sont reprises dans la [STS 53.1]. </w:t>
      </w:r>
    </w:p>
    <w:p w14:paraId="557C1627" w14:textId="77777777" w:rsidR="00772179" w:rsidRDefault="00000000">
      <w:pPr>
        <w:jc w:val="both"/>
      </w:pPr>
      <w:r>
        <w:t>La porte testée et approuvée est marquée et conservée comme référence. Au cas où les produits ne satisfont pas aux essais, l'auteur de projet peut faire arrêter les travaux immédiatement. </w:t>
      </w:r>
    </w:p>
    <w:p w14:paraId="146ABB8D" w14:textId="77777777" w:rsidR="00772179" w:rsidRDefault="00772179">
      <w:pPr>
        <w:jc w:val="both"/>
      </w:pPr>
    </w:p>
    <w:p w14:paraId="5DA9BA7B" w14:textId="77777777" w:rsidR="00772179" w:rsidRDefault="00000000">
      <w:pPr>
        <w:jc w:val="both"/>
      </w:pPr>
      <w:r>
        <w:rPr>
          <w:b/>
          <w:u w:val="single"/>
        </w:rPr>
        <w:t>Tolérances</w:t>
      </w:r>
    </w:p>
    <w:p w14:paraId="5363EB9B" w14:textId="77777777" w:rsidR="00772179" w:rsidRDefault="00000000">
      <w:pPr>
        <w:jc w:val="both"/>
      </w:pPr>
      <w:r>
        <w:t>Les tolérances dimensionnelles sont reprises dans la [STS 53.1] et dans la [NIT 283].</w:t>
      </w:r>
    </w:p>
    <w:p w14:paraId="3B527ADE" w14:textId="77777777" w:rsidR="00772179" w:rsidRDefault="00000000">
      <w:pPr>
        <w:ind w:left="750"/>
      </w:pPr>
      <w:r>
        <w:t> </w:t>
      </w:r>
    </w:p>
    <w:p w14:paraId="66405D27" w14:textId="77777777" w:rsidR="00772179" w:rsidRDefault="00000000">
      <w:pPr>
        <w:pStyle w:val="pheading"/>
      </w:pPr>
      <w:r>
        <w:t>DOCUMENTS DE RÉFÉRENCE</w:t>
      </w:r>
    </w:p>
    <w:p w14:paraId="4E429E73" w14:textId="77777777" w:rsidR="00772179" w:rsidRDefault="00000000">
      <w:pPr>
        <w:pStyle w:val="pheading"/>
      </w:pPr>
      <w:r>
        <w:t>- Matériau</w:t>
      </w:r>
    </w:p>
    <w:p w14:paraId="6CC5703A" w14:textId="77777777" w:rsidR="00772179" w:rsidRDefault="00000000">
      <w:r>
        <w:t>[NBN EN 947, Portes battantes ou pivotantes - Détermination de la résistance à la charge verticale]</w:t>
      </w:r>
    </w:p>
    <w:p w14:paraId="6D6F41BA" w14:textId="77777777" w:rsidR="00772179" w:rsidRDefault="00000000">
      <w:r>
        <w:t>[NBN EN 948, Portes battantes ou pivotantes - Détermination de la résistance à la torsion statique]</w:t>
      </w:r>
    </w:p>
    <w:p w14:paraId="603962B2" w14:textId="77777777" w:rsidR="00772179" w:rsidRDefault="00000000">
      <w:r>
        <w:t>[NBN EN 949, Fenêtres et façades-rideaux, portes, stores et fermetures - Détermination de la résistance au choc de corps mou et lourd pour les portes]</w:t>
      </w:r>
    </w:p>
    <w:p w14:paraId="148C36AF" w14:textId="77777777" w:rsidR="00772179" w:rsidRDefault="00000000">
      <w:r>
        <w:t>[NBN EN 950, Vantaux de portes - Détermination de la résistance au choc de corps dur]</w:t>
      </w:r>
    </w:p>
    <w:p w14:paraId="621AA041" w14:textId="77777777" w:rsidR="00772179" w:rsidRDefault="00000000">
      <w:r>
        <w:t>[NBN EN 952, Vantaux de portes - Planéités générale et locale - Méthode de mesure]</w:t>
      </w:r>
    </w:p>
    <w:p w14:paraId="3282BECC" w14:textId="77777777" w:rsidR="00772179" w:rsidRDefault="00000000">
      <w:r>
        <w:t>[NBN EN 1121, Portes - Comportement entre deux climats différents - Méthode d'essai]</w:t>
      </w:r>
    </w:p>
    <w:p w14:paraId="5CDE6223" w14:textId="77777777" w:rsidR="00772179" w:rsidRDefault="00000000">
      <w:r>
        <w:t>[NBN EN 1125, Quincaillerie pour le bâtiment - Fermetures anti-panique manœuvrées par une barre horizontale, destinées à être utilisées sur des voies d'évacuation - Exigences et méthodes d'essai]</w:t>
      </w:r>
    </w:p>
    <w:p w14:paraId="5A67C43C" w14:textId="77777777" w:rsidR="00772179" w:rsidRDefault="00000000">
      <w:r>
        <w:t>[NBN EN 1191, Fenêtres et portes - Résistance à l'ouverture et fermeture répétée - Méthode d'essai]</w:t>
      </w:r>
    </w:p>
    <w:p w14:paraId="59E024BC" w14:textId="77777777" w:rsidR="00772179" w:rsidRDefault="00000000">
      <w:r>
        <w:t>[NBN EN 1192, Portes - Classification des exigences de résistance mécanique]</w:t>
      </w:r>
    </w:p>
    <w:p w14:paraId="06EE3291" w14:textId="77777777" w:rsidR="00772179" w:rsidRDefault="00000000">
      <w:r>
        <w:t>[NBN EN 1363-1, Essais de résistance au feu - Partie 1: Exigences générales]</w:t>
      </w:r>
    </w:p>
    <w:p w14:paraId="7B169839" w14:textId="77777777" w:rsidR="00772179" w:rsidRDefault="00000000">
      <w:r>
        <w:t>[NBN EN 1363-2, Essais de résistance au feu - Partie 2: Modes opératoires de substitution ou additionnels]</w:t>
      </w:r>
    </w:p>
    <w:p w14:paraId="2CDAC1B6" w14:textId="77777777" w:rsidR="00772179" w:rsidRDefault="00000000">
      <w:r>
        <w:t>[NBN EN 1364-1, Essais de résistance au feu des éléments non porteurs - Partie 1: Murs]</w:t>
      </w:r>
    </w:p>
    <w:p w14:paraId="5F463875" w14:textId="77777777" w:rsidR="00772179" w:rsidRDefault="00000000">
      <w:r>
        <w:t>[NBN EN 1364-3, Essais de résistance au feu des éléments non-porteurs dans les bâtiments - Partie 3: Murs rideaux - Configuration en grandeur réelle (assemblage complet)]</w:t>
      </w:r>
    </w:p>
    <w:p w14:paraId="23F0DC70" w14:textId="77777777" w:rsidR="00772179" w:rsidRDefault="00000000">
      <w:r>
        <w:t>[NBN EN 1522, Fenêtres, portes, fermetures et stores - Résistance aux balles - Prescriptions et classification]</w:t>
      </w:r>
    </w:p>
    <w:p w14:paraId="6A4578CC" w14:textId="77777777" w:rsidR="00772179" w:rsidRDefault="00000000">
      <w:r>
        <w:t>[NBN EN 1529, Vantaux de portes - Hauteur, largeur, épaisseur et équerrage - Classes de tolérances]</w:t>
      </w:r>
    </w:p>
    <w:p w14:paraId="06380839" w14:textId="77777777" w:rsidR="00772179" w:rsidRDefault="00000000">
      <w:r>
        <w:t>[NBN EN 1530, Vantaux de portes - Planéité générale et planéité locale - Classes de tolérances]</w:t>
      </w:r>
    </w:p>
    <w:p w14:paraId="2EA02B94" w14:textId="77777777" w:rsidR="00772179" w:rsidRDefault="00000000">
      <w:r>
        <w:t>[NBN EN 1627, Blocs-portes pour piétons, fenêtres, façades rideaux, grilles et fermetures - Résistance à l'effraction - Prescriptions et classification]</w:t>
      </w:r>
    </w:p>
    <w:p w14:paraId="51B4A16F" w14:textId="77777777" w:rsidR="00772179" w:rsidRDefault="00000000">
      <w:r>
        <w:t>[NBN EN 1906, Quincaillerie pour le bâtiment - Béquilles et boutons de porte - Exigences et méthodes d'essai]</w:t>
      </w:r>
    </w:p>
    <w:p w14:paraId="19A202E8" w14:textId="77777777" w:rsidR="00772179" w:rsidRDefault="00000000">
      <w:r>
        <w:lastRenderedPageBreak/>
        <w:t>[NBN EN 1935, Quincaillerie pour le bâtiment - Charnières axe simple - Prescriptions et méthodes d'essai]</w:t>
      </w:r>
    </w:p>
    <w:p w14:paraId="7756411D" w14:textId="77777777" w:rsidR="00772179" w:rsidRDefault="00000000">
      <w:r>
        <w:t>[NBN EN 12046-2, Forces de manoeuvre - Méthode d'essai - Partie 2: Portes]</w:t>
      </w:r>
    </w:p>
    <w:p w14:paraId="430CF6A3" w14:textId="77777777" w:rsidR="00772179" w:rsidRDefault="00000000">
      <w:r>
        <w:t>[NBN EN 12217, Portes - Forces de manœuvre - Prescriptions et classification]</w:t>
      </w:r>
    </w:p>
    <w:p w14:paraId="635EA3DA" w14:textId="77777777" w:rsidR="00772179" w:rsidRDefault="00000000">
      <w:r>
        <w:t>[NBN EN 12209, Quincaillerie pour le bâtiment - Serrures mécaniques et gâches - Exigences et méthodes d'essai]</w:t>
      </w:r>
    </w:p>
    <w:p w14:paraId="40C0DDD4" w14:textId="77777777" w:rsidR="00772179" w:rsidRDefault="00000000">
      <w:r>
        <w:t>[NBN EN 12400, Fenêtres et portes - Durabilité mécanique - Prescriptions et classification]</w:t>
      </w:r>
    </w:p>
    <w:p w14:paraId="420ADC9E" w14:textId="77777777" w:rsidR="00772179" w:rsidRDefault="00000000">
      <w:r>
        <w:t>[NBN EN 13501-1, Classement au feu des produits et éléments de construction - Partie 1: Classement à partir des données d'essais de réaction au feu]</w:t>
      </w:r>
    </w:p>
    <w:p w14:paraId="35BE61A1" w14:textId="77777777" w:rsidR="00772179"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63B43B39" w14:textId="77777777" w:rsidR="00772179" w:rsidRDefault="00000000">
      <w:r>
        <w:t>[NBN EN 13637, Quincaillerie pour le bâtiment - Systèmes de fermeture contrôlés électriquement destinés à être utilisés sur des voies d'évacuation - Exigences et méthodes d'essai]</w:t>
      </w:r>
    </w:p>
    <w:p w14:paraId="1450DC77" w14:textId="77777777" w:rsidR="00772179" w:rsidRDefault="00000000">
      <w:r>
        <w:t>[NBN EN 14351-1:2006+A2, Fenêtres et portes - Norme produit, caractéristiques de performance - Partie 1 : Fenêtres et blocs portes extérieurs pour piétons]</w:t>
      </w:r>
    </w:p>
    <w:p w14:paraId="7D268423" w14:textId="77777777" w:rsidR="00772179" w:rsidRDefault="00000000">
      <w:r>
        <w:t>[NBN EN 14846, Quincaillerie pour le bâtiment - Serrures et becs de cane - Serrures et gâches électromécaniques - Exigences et méthodes d'essai]</w:t>
      </w:r>
    </w:p>
    <w:p w14:paraId="49A83AC9" w14:textId="77777777" w:rsidR="00772179" w:rsidRDefault="00000000">
      <w:r>
        <w:t>[NBN EN 15998, Verre dans la construction - Sécurité en cas d'incendie, résistance au feu - Méthodologie d'essai du verre à des fins de classification]</w:t>
      </w:r>
    </w:p>
    <w:p w14:paraId="55E40576" w14:textId="77777777" w:rsidR="00772179" w:rsidRDefault="00000000">
      <w:r>
        <w:t>[NBN 713-020, Protection contre l'incendie - Comportement au feu des matériaux et éléments de construction - Résistance au feu des éléments de construction (avec erratum)]</w:t>
      </w:r>
    </w:p>
    <w:p w14:paraId="27B274E8" w14:textId="77777777" w:rsidR="00772179" w:rsidRDefault="00000000">
      <w:r>
        <w:t>[NBN EN 717-1, Panneaux à base de bois - Détermination du dégagement de formaldéhyde - Partie 1 : Emission de formaldéhyde par la méthode à la chambre]</w:t>
      </w:r>
    </w:p>
    <w:p w14:paraId="043BB77C" w14:textId="77777777" w:rsidR="00772179" w:rsidRDefault="00000000">
      <w:r>
        <w:t>[NBN S 01-400-1, Critères acoustiques pour les immeubles d'habitation]</w:t>
      </w:r>
    </w:p>
    <w:p w14:paraId="01FAC34D" w14:textId="77777777" w:rsidR="00772179" w:rsidRDefault="00772179"/>
    <w:p w14:paraId="0C231DBE" w14:textId="77777777" w:rsidR="00772179" w:rsidRDefault="00772179"/>
    <w:p w14:paraId="3A38C16A" w14:textId="77777777" w:rsidR="00772179" w:rsidRDefault="00000000">
      <w:pPr>
        <w:pStyle w:val="pheading"/>
      </w:pPr>
      <w:r>
        <w:t>- Exécution</w:t>
      </w:r>
    </w:p>
    <w:p w14:paraId="2E60E39B" w14:textId="77777777" w:rsidR="00772179" w:rsidRDefault="00000000">
      <w:r>
        <w:t>[NIT 283, La pose des menuiseries extérieures. Partie 1 : aspects généraux.]</w:t>
      </w:r>
    </w:p>
    <w:p w14:paraId="56086F46" w14:textId="77777777" w:rsidR="00772179" w:rsidRDefault="00000000">
      <w:r>
        <w:t>[NIT 221, La pose des vitrages en feuillure (Les NIT 214 et 221 remplacent les NIT 110 et 113).]</w:t>
      </w:r>
    </w:p>
    <w:p w14:paraId="1CA1B297" w14:textId="77777777" w:rsidR="00772179" w:rsidRDefault="00000000">
      <w:r>
        <w:t>[NIT 255, L'étanchéité à l'air des bâtiments]</w:t>
      </w:r>
    </w:p>
    <w:p w14:paraId="024CFC63" w14:textId="77777777" w:rsidR="00772179" w:rsidRDefault="00000000">
      <w:r>
        <w:t>[STS 53.1, Portes]</w:t>
      </w:r>
    </w:p>
    <w:p w14:paraId="5E7B17E9" w14:textId="77777777" w:rsidR="00772179" w:rsidRDefault="00000000">
      <w:pPr>
        <w:ind w:left="750"/>
      </w:pPr>
      <w:r>
        <w:t> </w:t>
      </w:r>
    </w:p>
    <w:p w14:paraId="33513D75" w14:textId="77777777" w:rsidR="00772179" w:rsidRDefault="00000000">
      <w:pPr>
        <w:pStyle w:val="pheading"/>
      </w:pPr>
      <w:r>
        <w:t>AIDE</w:t>
      </w:r>
    </w:p>
    <w:p w14:paraId="4EAF8CFE" w14:textId="77777777" w:rsidR="00772179" w:rsidRDefault="00000000">
      <w:r>
        <w:rPr>
          <w:b/>
        </w:rPr>
        <w:t>Accessibilité aux personnes à mobilité réduite (PMR)  </w:t>
      </w:r>
    </w:p>
    <w:p w14:paraId="3FC0BDCC" w14:textId="77777777" w:rsidR="00772179" w:rsidRDefault="00000000">
      <w:pPr>
        <w:pStyle w:val="Author-eListParagraph"/>
        <w:numPr>
          <w:ilvl w:val="0"/>
          <w:numId w:val="213"/>
        </w:numPr>
      </w:pPr>
      <w:r>
        <w:t>Largeur de libre passage : 85 cm minimum   [CoDT], [SWL CALA] et [NBN ISO 21542]</w:t>
      </w:r>
    </w:p>
    <w:p w14:paraId="603E068F" w14:textId="77777777" w:rsidR="00772179" w:rsidRDefault="00000000">
      <w:pPr>
        <w:pStyle w:val="Author-eListParagraph"/>
        <w:numPr>
          <w:ilvl w:val="0"/>
          <w:numId w:val="213"/>
        </w:numPr>
      </w:pPr>
      <w:r>
        <w:t>Hauteur de libre passage : 200 cm minimum   [SWL CALA] et [NBN ISO 21542]</w:t>
      </w:r>
    </w:p>
    <w:p w14:paraId="468E98C8" w14:textId="77777777" w:rsidR="00772179" w:rsidRDefault="00000000">
      <w:pPr>
        <w:pStyle w:val="Author-eListParagraph"/>
        <w:numPr>
          <w:ilvl w:val="0"/>
          <w:numId w:val="213"/>
        </w:numPr>
      </w:pPr>
      <w:r>
        <w:t>Efforts de manœuvre : Classe 3 ou Classe 4 de la norme [NBN EN 12217]   [SWL CALA], [NBN ISO 21542] et [STS 53.1]</w:t>
      </w:r>
    </w:p>
    <w:p w14:paraId="6787FBA8" w14:textId="77777777" w:rsidR="00772179" w:rsidRDefault="00000000">
      <w:pPr>
        <w:pStyle w:val="Author-eSectionHeading4Numberless"/>
      </w:pPr>
      <w:bookmarkStart w:id="61" w:name="_Toc220489810"/>
      <w:r>
        <w:t>41.21 Portes d'entrée en bois CCTB 01.13</w:t>
      </w:r>
      <w:bookmarkEnd w:id="61"/>
    </w:p>
    <w:p w14:paraId="66CE556A" w14:textId="77777777" w:rsidR="00772179" w:rsidRDefault="00000000">
      <w:pPr>
        <w:pStyle w:val="pheading"/>
      </w:pPr>
      <w:r>
        <w:t>DESCRIPTION</w:t>
      </w:r>
    </w:p>
    <w:p w14:paraId="14AFA73E" w14:textId="77777777" w:rsidR="00772179" w:rsidRDefault="00000000">
      <w:pPr>
        <w:pStyle w:val="pheading"/>
      </w:pPr>
      <w:r>
        <w:t>- Définition / Comprend</w:t>
      </w:r>
    </w:p>
    <w:p w14:paraId="31AF9FEF" w14:textId="77777777" w:rsidR="00772179" w:rsidRDefault="00000000">
      <w:pPr>
        <w:jc w:val="both"/>
      </w:pPr>
      <w:r>
        <w:lastRenderedPageBreak/>
        <w:t>Cet élément comprend la fourniture (hors matériaux récupérés du même site) et la pose de tous les éléments nécessaires à la composition des portes extérieures en bois (portes neuves et/ou de réemploi), y compris toutes les pièces qui en font intrinsèquement partie.</w:t>
      </w:r>
    </w:p>
    <w:p w14:paraId="39976652" w14:textId="77777777" w:rsidR="00772179" w:rsidRDefault="00000000">
      <w:pPr>
        <w:pStyle w:val="pheading"/>
      </w:pPr>
      <w:r>
        <w:t>MATÉRIAUX</w:t>
      </w:r>
    </w:p>
    <w:p w14:paraId="003D311C" w14:textId="77777777" w:rsidR="00772179" w:rsidRDefault="00000000">
      <w:pPr>
        <w:jc w:val="both"/>
      </w:pPr>
      <w:r>
        <w:rPr>
          <w:b/>
          <w:u w:val="single"/>
        </w:rPr>
        <w:t>Essence</w:t>
      </w:r>
    </w:p>
    <w:p w14:paraId="4691A011" w14:textId="77777777" w:rsidR="00772179" w:rsidRDefault="00000000">
      <w:pPr>
        <w:pStyle w:val="Author-eListParagraph"/>
        <w:numPr>
          <w:ilvl w:val="0"/>
          <w:numId w:val="214"/>
        </w:numPr>
      </w:pPr>
      <w:r>
        <w:t>L'essence de bois à utiliser est spécifié dans le cahier spécial des charges, conformément aux spécifications données dans les [STS 52.1] « Menuiserie extérieure en bois ».</w:t>
      </w:r>
    </w:p>
    <w:p w14:paraId="5BB67C0D" w14:textId="77777777" w:rsidR="00772179" w:rsidRDefault="00000000">
      <w:pPr>
        <w:pStyle w:val="Author-eListParagraph"/>
        <w:numPr>
          <w:ilvl w:val="0"/>
          <w:numId w:val="214"/>
        </w:numPr>
      </w:pPr>
      <w:r>
        <w:t>Avant la pose de la porte extérieure, l'entrepreneur prouve la provenance du bois. En cas de doute, le maître de l'ouvrage est en droit de faire réaliser des essais dans un laboratoire agréé. Si les échantillons ne répondent pas aux exigences prescrites en ce qui concerne l'essence du bois, tous les frais des essais sont à charge de l'entrepreneur.</w:t>
      </w:r>
    </w:p>
    <w:p w14:paraId="02C1D8B7" w14:textId="77777777" w:rsidR="00772179" w:rsidRDefault="00000000">
      <w:pPr>
        <w:pStyle w:val="Author-eListParagraph"/>
        <w:numPr>
          <w:ilvl w:val="0"/>
          <w:numId w:val="214"/>
        </w:numPr>
      </w:pPr>
      <w:r>
        <w:t>Une liste non limitative des espèces de bois les plus aptes à l’emploi en menuiserie est donnée dans l’annexe 2 des [STS 52.1].</w:t>
      </w:r>
    </w:p>
    <w:p w14:paraId="61A39DB9" w14:textId="77777777" w:rsidR="00772179" w:rsidRDefault="00000000">
      <w:pPr>
        <w:jc w:val="both"/>
      </w:pPr>
      <w:r>
        <w:rPr>
          <w:b/>
          <w:u w:val="single"/>
        </w:rPr>
        <w:t>Qualité du bois</w:t>
      </w:r>
    </w:p>
    <w:p w14:paraId="5CE6B9B8" w14:textId="77777777" w:rsidR="00772179" w:rsidRDefault="00000000">
      <w:pPr>
        <w:pStyle w:val="Author-eListParagraph"/>
        <w:numPr>
          <w:ilvl w:val="0"/>
          <w:numId w:val="215"/>
        </w:numPr>
      </w:pPr>
      <w:r>
        <w:t>Le bois utilisé satisfait aux critères énoncés dans les [STS 52.1].</w:t>
      </w:r>
    </w:p>
    <w:p w14:paraId="1A6FADD3" w14:textId="77777777" w:rsidR="00772179" w:rsidRDefault="00000000">
      <w:pPr>
        <w:pStyle w:val="Author-eListParagraph"/>
        <w:numPr>
          <w:ilvl w:val="0"/>
          <w:numId w:val="215"/>
        </w:numPr>
      </w:pPr>
      <w:r>
        <w:t>L'humidité du cœur du bois à mettre en œuvre est comprise entre 12 et 18 % et est compatible avec la finition prévue ci-après.</w:t>
      </w:r>
    </w:p>
    <w:p w14:paraId="496C334C" w14:textId="77777777" w:rsidR="00772179" w:rsidRDefault="00000000">
      <w:pPr>
        <w:pStyle w:val="Author-eListParagraph"/>
        <w:numPr>
          <w:ilvl w:val="0"/>
          <w:numId w:val="215"/>
        </w:numPr>
      </w:pPr>
      <w:r>
        <w:t>Le bois mis en œuvre est droit (inclinaison ≤ 5 %) = l'inclinaison du fil du bois par rapport aux faces latérales est ≤ 5 %, selon les [STS 52.1].</w:t>
      </w:r>
    </w:p>
    <w:p w14:paraId="56F8B490" w14:textId="77777777" w:rsidR="00772179" w:rsidRDefault="00000000">
      <w:pPr>
        <w:pStyle w:val="Author-eListParagraph"/>
        <w:numPr>
          <w:ilvl w:val="0"/>
          <w:numId w:val="215"/>
        </w:numPr>
      </w:pPr>
      <w:r>
        <w:t>Les critères d’acceptations du bois sont définis dans les [STS 52.1].  </w:t>
      </w:r>
    </w:p>
    <w:p w14:paraId="1E33DCDE" w14:textId="77777777" w:rsidR="00772179" w:rsidRDefault="00000000">
      <w:pPr>
        <w:pStyle w:val="Author-eListParagraph"/>
        <w:numPr>
          <w:ilvl w:val="0"/>
          <w:numId w:val="215"/>
        </w:numPr>
      </w:pPr>
      <w:r>
        <w:t>Les vérifications relatives à la résistance et l’étanchéité des assemblages sont réalisés par le menuisier.</w:t>
      </w:r>
    </w:p>
    <w:p w14:paraId="46AD0159" w14:textId="77777777" w:rsidR="00772179" w:rsidRDefault="00000000">
      <w:pPr>
        <w:pStyle w:val="Author-eListParagraph"/>
        <w:numPr>
          <w:ilvl w:val="0"/>
          <w:numId w:val="215"/>
        </w:numPr>
      </w:pPr>
      <w:r>
        <w:t>La qualité du collage des éléments constitués de lamellé collé est vérifiée avant et après vieillissement.</w:t>
      </w:r>
    </w:p>
    <w:p w14:paraId="76197EDB" w14:textId="77777777" w:rsidR="00772179" w:rsidRDefault="00000000">
      <w:pPr>
        <w:jc w:val="both"/>
      </w:pPr>
      <w:r>
        <w:rPr>
          <w:b/>
          <w:u w:val="single"/>
        </w:rPr>
        <w:t>Protection du bois</w:t>
      </w:r>
    </w:p>
    <w:p w14:paraId="4B249B5B" w14:textId="77777777" w:rsidR="00772179" w:rsidRDefault="00000000">
      <w:pPr>
        <w:jc w:val="both"/>
      </w:pPr>
      <w:r>
        <w:t>(voir également  article 81.11.1d Traitements intérieurs biocides sur murs et plafonds minéraux).</w:t>
      </w:r>
    </w:p>
    <w:p w14:paraId="5668DF61" w14:textId="77777777" w:rsidR="00772179" w:rsidRDefault="00000000">
      <w:pPr>
        <w:jc w:val="both"/>
      </w:pPr>
      <w:r>
        <w:t>Lorsque l’essence de bois ne possède pas une durabilité naturelle suffisante (≥ 3 selon [NBN EN 350]) le bois nécessite un traitement de protection complet. Les traitements de protection comprennent en général deux phases complémentaires : la préservation et la finition. Ces 2 traitements ont des objectifs et des finalités différentes.</w:t>
      </w:r>
    </w:p>
    <w:p w14:paraId="104E669B" w14:textId="77777777" w:rsidR="00772179" w:rsidRDefault="00000000">
      <w:pPr>
        <w:pStyle w:val="Author-eListParagraph"/>
        <w:numPr>
          <w:ilvl w:val="0"/>
          <w:numId w:val="216"/>
        </w:numPr>
      </w:pPr>
      <w:r>
        <w:t>Les traitements de préservation ont pour objectif de rendre durable un bois qui l’est insuffisamment naturellement pour l’emploi auquel il est destiné.</w:t>
      </w:r>
    </w:p>
    <w:p w14:paraId="2AC2FE09" w14:textId="77777777" w:rsidR="00772179" w:rsidRDefault="00000000">
      <w:pPr>
        <w:pStyle w:val="Author-eListParagraph"/>
        <w:numPr>
          <w:ilvl w:val="0"/>
          <w:numId w:val="216"/>
        </w:numPr>
      </w:pPr>
      <w:r>
        <w:t>Les traitements de finition assurent une protection physique de la surface, tout en lui conférant une esthétique particulière. Certains d’entre eux apportent aussi un complément de préservation à la surface du bois, cependant, ils sont inopérants pour protéger une espèce de bois non durable contre les attaques des insectes et des champignons.</w:t>
      </w:r>
    </w:p>
    <w:p w14:paraId="15985BD1" w14:textId="77777777" w:rsidR="00772179" w:rsidRDefault="00000000">
      <w:pPr>
        <w:jc w:val="both"/>
      </w:pPr>
      <w:r>
        <w:t>Le procédé applicable aux portes en bois est le procédé C1 ou équivalent défini aux [STS 52.1].</w:t>
      </w:r>
    </w:p>
    <w:p w14:paraId="11070B6A" w14:textId="77777777" w:rsidR="00772179" w:rsidRDefault="00000000">
      <w:pPr>
        <w:jc w:val="both"/>
      </w:pPr>
      <w:r>
        <w:t xml:space="preserve">Pour une </w:t>
      </w:r>
      <w:r>
        <w:rPr>
          <w:b/>
        </w:rPr>
        <w:t>porte de réemploi</w:t>
      </w:r>
      <w:r>
        <w:t>, la porte est poncée et reçoit un rebouchage par pâte. Lorsque les profilés sont dégradés, celui-ci est réparé par pâte, par injection, par remplacement de partie du profilé. En l’absence d’analyse des produits de finitions existants ou de descriptif des finitions d’origine, le traitement des finitions nécessite des mesures de protection lors de la mise en œuvre incluant de porter les équipements de protection individuelle EPI (adapté pour produits toxiques) tels que des lunettes, un masque et des gants de protection. La préparation du chantier inclut également les séparations et l’isolement afin d’éviter la propagation des poussières de pré-traitement dans les autres zones accessibles de la construction.</w:t>
      </w:r>
    </w:p>
    <w:p w14:paraId="564D949C" w14:textId="77777777" w:rsidR="00772179" w:rsidRDefault="00000000">
      <w:pPr>
        <w:jc w:val="both"/>
      </w:pPr>
      <w:r>
        <w:rPr>
          <w:b/>
          <w:u w:val="single"/>
        </w:rPr>
        <w:t>Profils </w:t>
      </w:r>
    </w:p>
    <w:p w14:paraId="794AF9DD" w14:textId="77777777" w:rsidR="00772179" w:rsidRDefault="00000000">
      <w:pPr>
        <w:jc w:val="both"/>
      </w:pPr>
      <w:r>
        <w:t xml:space="preserve">Tous les profils proviennent d'un seul et même fabricant. La note de calcul établie par le constructeur tient compte de toutes les données existantes en ce qui concerne les sollicitations ou les efforts et des critères de performances précités. Les dimensions des profils sont exprimées en mm. La forme, le détail et les sections des profils correspondent aux indications sur les plans et aux </w:t>
      </w:r>
      <w:r>
        <w:lastRenderedPageBreak/>
        <w:t>éventuels détails de principe annexés au dossier. Ils sont adaptés à la composition des éléments fixes et/ou ouvrants, à la nature, aux dimensions et au mode de mise en œuvre des vitrages, panneaux, quincailleries, grilles de ventilations, seuils, tablettes de fenêtre, finitions intérieures, volets éventuels, … tels qu'ils sont prescrits. Sauf indications contraires dans le cahier spécial des charges et/ou les études détaillées, les profils sont conçus de façon tels que :</w:t>
      </w:r>
    </w:p>
    <w:p w14:paraId="4C608148" w14:textId="77777777" w:rsidR="00772179" w:rsidRDefault="00000000">
      <w:pPr>
        <w:pStyle w:val="Author-eListParagraph"/>
        <w:numPr>
          <w:ilvl w:val="0"/>
          <w:numId w:val="217"/>
        </w:numPr>
        <w:jc w:val="both"/>
      </w:pPr>
      <w:r>
        <w:t>tous les profils pour les parties ouvrantes sont au moins prévus avec une double frappe ;</w:t>
      </w:r>
    </w:p>
    <w:p w14:paraId="2D4C7382" w14:textId="77777777" w:rsidR="00772179" w:rsidRDefault="00000000">
      <w:pPr>
        <w:pStyle w:val="Author-eListParagraph"/>
        <w:numPr>
          <w:ilvl w:val="0"/>
          <w:numId w:val="217"/>
        </w:numPr>
        <w:jc w:val="both"/>
      </w:pPr>
      <w:r>
        <w:t>l'évacuation des eaux des traverses horizontales est réalisée à l'aide de rejets d'eau, larmiers, …;</w:t>
      </w:r>
    </w:p>
    <w:p w14:paraId="68F81F96" w14:textId="77777777" w:rsidR="00772179" w:rsidRDefault="00000000">
      <w:pPr>
        <w:pStyle w:val="Author-eListParagraph"/>
        <w:numPr>
          <w:ilvl w:val="0"/>
          <w:numId w:val="217"/>
        </w:numPr>
        <w:jc w:val="both"/>
      </w:pPr>
      <w:r>
        <w:t>les feuillures sont suffisamment hautes et profondes, ventilées et drainées (pour les doubles vitrages) l'évacuation se faisant par au moins deux ouvertures de drainage d'un Ø de +/- 8 mm ;</w:t>
      </w:r>
    </w:p>
    <w:p w14:paraId="11E0A3C6" w14:textId="77777777" w:rsidR="00772179" w:rsidRDefault="00000000">
      <w:pPr>
        <w:pStyle w:val="Author-eListParagraph"/>
        <w:numPr>
          <w:ilvl w:val="0"/>
          <w:numId w:val="217"/>
        </w:numPr>
        <w:jc w:val="both"/>
      </w:pPr>
      <w:r>
        <w:t>pour les vitrages simples, une rainure récoltant l'eau de condensation et une évacuation vers l'extérieur sont prévues dans le bas de chaque vitre;</w:t>
      </w:r>
    </w:p>
    <w:p w14:paraId="71F79414" w14:textId="77777777" w:rsidR="00772179" w:rsidRDefault="00000000">
      <w:pPr>
        <w:pStyle w:val="Author-eListParagraph"/>
        <w:numPr>
          <w:ilvl w:val="0"/>
          <w:numId w:val="217"/>
        </w:numPr>
        <w:jc w:val="both"/>
      </w:pPr>
      <w:r>
        <w:t>les faces supérieures des traverses horizontales s'évacuent vers l'extérieur ;</w:t>
      </w:r>
    </w:p>
    <w:p w14:paraId="41F8C976" w14:textId="77777777" w:rsidR="00772179" w:rsidRDefault="00000000">
      <w:pPr>
        <w:pStyle w:val="Author-eListParagraph"/>
        <w:numPr>
          <w:ilvl w:val="0"/>
          <w:numId w:val="217"/>
        </w:numPr>
        <w:jc w:val="both"/>
      </w:pPr>
      <w:r>
        <w:t>tous les angles des parties visibles sont légèrement arrondis;</w:t>
      </w:r>
    </w:p>
    <w:p w14:paraId="00559A00" w14:textId="77777777" w:rsidR="00772179" w:rsidRDefault="00000000">
      <w:pPr>
        <w:pStyle w:val="Author-eListParagraph"/>
        <w:numPr>
          <w:ilvl w:val="0"/>
          <w:numId w:val="217"/>
        </w:numPr>
        <w:jc w:val="both"/>
      </w:pPr>
      <w:r>
        <w:t>les vitrages et/ou les éléments de remplissages sont remplacés de l'intérieur, sauf pour les panneaux derrière lesquels se trouve un mur en maçonnerie;</w:t>
      </w:r>
    </w:p>
    <w:p w14:paraId="6F019537" w14:textId="77777777" w:rsidR="00772179" w:rsidRDefault="00000000">
      <w:pPr>
        <w:pStyle w:val="Author-eListParagraph"/>
        <w:numPr>
          <w:ilvl w:val="0"/>
          <w:numId w:val="217"/>
        </w:numPr>
        <w:jc w:val="both"/>
      </w:pPr>
      <w:r>
        <w:t>la quincaillerie et les divers raccordements sont facilement remplacés sans devoir démonter les parties attenantes;</w:t>
      </w:r>
    </w:p>
    <w:p w14:paraId="2AC6470F" w14:textId="77777777" w:rsidR="00772179" w:rsidRDefault="00000000">
      <w:pPr>
        <w:pStyle w:val="Author-eListParagraph"/>
        <w:numPr>
          <w:ilvl w:val="0"/>
          <w:numId w:val="217"/>
        </w:numPr>
        <w:jc w:val="both"/>
      </w:pPr>
      <w:r>
        <w:t>des feuillures ou rainures sont prévues dans les profils des châssis partout où cela s'avère nécessaire pour la finition intérieure (tablettes de fenêtres, caisse à rideaux, habillage latéral, …);</w:t>
      </w:r>
    </w:p>
    <w:p w14:paraId="13A0D7DA" w14:textId="77777777" w:rsidR="00772179" w:rsidRDefault="00000000">
      <w:pPr>
        <w:pStyle w:val="Author-eListParagraph"/>
        <w:numPr>
          <w:ilvl w:val="0"/>
          <w:numId w:val="217"/>
        </w:numPr>
        <w:jc w:val="both"/>
      </w:pPr>
      <w:r>
        <w:t>les volets éventuellement prévus sont posés</w:t>
      </w:r>
    </w:p>
    <w:p w14:paraId="1C859206" w14:textId="77777777" w:rsidR="00772179" w:rsidRDefault="00000000">
      <w:pPr>
        <w:jc w:val="both"/>
      </w:pPr>
      <w:r>
        <w:t>Après la fabrication, toutes les faces vues sont traitées de manière appropriée afin d'éliminer toute trace d'outils et de manutention.    </w:t>
      </w:r>
    </w:p>
    <w:p w14:paraId="4B3FC320" w14:textId="77777777" w:rsidR="00772179" w:rsidRDefault="00000000">
      <w:pPr>
        <w:jc w:val="both"/>
      </w:pPr>
      <w:r>
        <w:rPr>
          <w:b/>
          <w:u w:val="single"/>
        </w:rPr>
        <w:t>Feuillures</w:t>
      </w:r>
    </w:p>
    <w:p w14:paraId="682D7F62" w14:textId="77777777" w:rsidR="00772179" w:rsidRDefault="00000000">
      <w:pPr>
        <w:jc w:val="both"/>
      </w:pPr>
      <w:r>
        <w:t>La pose des vitres et/ou des panneaux de remplissage est effectuée conformément aux prescriptions du fabricant des profils. Les parcloses sont toujours posées à l'intérieur de la menuiserie (sauf pour les éléments d’allège non accessible par l’intérieure). Leurs dimensions sont établies en fonction de l'épaisseur du vitrage, de la feuillure et du profil des châssis.  Lorsqu'un mastic d'étanchéité est appliqué, les parcloses ne présentent pas de bord rentrant qui pourrait compliquer l'application parfaite du mastic.</w:t>
      </w:r>
    </w:p>
    <w:p w14:paraId="347CCDDC" w14:textId="77777777" w:rsidR="00772179" w:rsidRDefault="00000000">
      <w:pPr>
        <w:jc w:val="both"/>
      </w:pPr>
      <w:r>
        <w:t>Pour les doubles vitrages, la hauteur / largeur des feuillures est respectivement d'au moins (*) :  </w:t>
      </w:r>
    </w:p>
    <w:tbl>
      <w:tblPr>
        <w:tblStyle w:val="Author-eTableGrid"/>
        <w:tblW w:w="9075" w:type="dxa"/>
        <w:tblLayout w:type="fixed"/>
        <w:tblLook w:val="04A0" w:firstRow="1" w:lastRow="0" w:firstColumn="1" w:lastColumn="0" w:noHBand="0" w:noVBand="1"/>
      </w:tblPr>
      <w:tblGrid>
        <w:gridCol w:w="3025"/>
        <w:gridCol w:w="3025"/>
        <w:gridCol w:w="3025"/>
      </w:tblGrid>
      <w:tr w:rsidR="00772179" w14:paraId="0E55C487" w14:textId="77777777">
        <w:tc>
          <w:tcPr>
            <w:tcW w:w="3015" w:type="dxa"/>
            <w:noWrap/>
          </w:tcPr>
          <w:p w14:paraId="32F2430B" w14:textId="77777777" w:rsidR="00772179" w:rsidRDefault="00000000">
            <w:pPr>
              <w:jc w:val="center"/>
            </w:pPr>
            <w:r>
              <w:rPr>
                <w:b/>
              </w:rPr>
              <w:t xml:space="preserve">Epaisseur des vitrages composés + vide d'air </w:t>
            </w:r>
          </w:p>
        </w:tc>
        <w:tc>
          <w:tcPr>
            <w:tcW w:w="3015" w:type="dxa"/>
            <w:noWrap/>
          </w:tcPr>
          <w:p w14:paraId="1302D9D6" w14:textId="77777777" w:rsidR="00772179" w:rsidRDefault="00000000">
            <w:pPr>
              <w:jc w:val="center"/>
            </w:pPr>
            <w:r>
              <w:rPr>
                <w:b/>
              </w:rPr>
              <w:t xml:space="preserve">Hauteur de la feuillure </w:t>
            </w:r>
          </w:p>
        </w:tc>
        <w:tc>
          <w:tcPr>
            <w:tcW w:w="3015" w:type="dxa"/>
            <w:noWrap/>
          </w:tcPr>
          <w:p w14:paraId="6F6B9C3D" w14:textId="77777777" w:rsidR="00772179" w:rsidRDefault="00000000">
            <w:pPr>
              <w:jc w:val="center"/>
            </w:pPr>
            <w:r>
              <w:rPr>
                <w:b/>
              </w:rPr>
              <w:t>Largeur de la feuillure</w:t>
            </w:r>
          </w:p>
        </w:tc>
      </w:tr>
      <w:tr w:rsidR="00772179" w14:paraId="39603987" w14:textId="77777777">
        <w:tc>
          <w:tcPr>
            <w:tcW w:w="3015" w:type="dxa"/>
            <w:noWrap/>
          </w:tcPr>
          <w:p w14:paraId="0B6125F8" w14:textId="77777777" w:rsidR="00772179" w:rsidRDefault="00000000">
            <w:pPr>
              <w:jc w:val="center"/>
            </w:pPr>
            <w:r>
              <w:t>4 / 12 / 4 = 20 mm</w:t>
            </w:r>
          </w:p>
        </w:tc>
        <w:tc>
          <w:tcPr>
            <w:tcW w:w="3015" w:type="dxa"/>
            <w:noWrap/>
          </w:tcPr>
          <w:p w14:paraId="28FA540A" w14:textId="77777777" w:rsidR="00772179" w:rsidRDefault="00000000">
            <w:pPr>
              <w:jc w:val="center"/>
            </w:pPr>
            <w:r>
              <w:t>14 mm</w:t>
            </w:r>
          </w:p>
        </w:tc>
        <w:tc>
          <w:tcPr>
            <w:tcW w:w="3015" w:type="dxa"/>
            <w:noWrap/>
          </w:tcPr>
          <w:p w14:paraId="2676DF46" w14:textId="77777777" w:rsidR="00772179" w:rsidRDefault="00000000">
            <w:pPr>
              <w:jc w:val="center"/>
            </w:pPr>
            <w:r>
              <w:t>28 mm</w:t>
            </w:r>
          </w:p>
        </w:tc>
      </w:tr>
      <w:tr w:rsidR="00772179" w14:paraId="4EE01FDA" w14:textId="77777777">
        <w:tc>
          <w:tcPr>
            <w:tcW w:w="3015" w:type="dxa"/>
            <w:noWrap/>
          </w:tcPr>
          <w:p w14:paraId="3B8BB341" w14:textId="77777777" w:rsidR="00772179" w:rsidRDefault="00000000">
            <w:pPr>
              <w:jc w:val="center"/>
            </w:pPr>
            <w:r>
              <w:t>4 / 15 / 4 = 23 mm</w:t>
            </w:r>
          </w:p>
        </w:tc>
        <w:tc>
          <w:tcPr>
            <w:tcW w:w="3015" w:type="dxa"/>
            <w:noWrap/>
          </w:tcPr>
          <w:p w14:paraId="79689BD4" w14:textId="77777777" w:rsidR="00772179" w:rsidRDefault="00000000">
            <w:pPr>
              <w:jc w:val="center"/>
            </w:pPr>
            <w:r>
              <w:t>14 mm</w:t>
            </w:r>
          </w:p>
        </w:tc>
        <w:tc>
          <w:tcPr>
            <w:tcW w:w="3015" w:type="dxa"/>
            <w:noWrap/>
          </w:tcPr>
          <w:p w14:paraId="3D2EFE57" w14:textId="77777777" w:rsidR="00772179" w:rsidRDefault="00000000">
            <w:pPr>
              <w:jc w:val="center"/>
            </w:pPr>
            <w:r>
              <w:t>31 mm</w:t>
            </w:r>
          </w:p>
        </w:tc>
      </w:tr>
      <w:tr w:rsidR="00772179" w14:paraId="7CD75389" w14:textId="77777777">
        <w:tc>
          <w:tcPr>
            <w:tcW w:w="3015" w:type="dxa"/>
            <w:noWrap/>
          </w:tcPr>
          <w:p w14:paraId="0732DCA5" w14:textId="77777777" w:rsidR="00772179" w:rsidRDefault="00000000">
            <w:pPr>
              <w:jc w:val="center"/>
            </w:pPr>
            <w:r>
              <w:t>5 / 12 / 5 = 22 mm</w:t>
            </w:r>
          </w:p>
        </w:tc>
        <w:tc>
          <w:tcPr>
            <w:tcW w:w="3015" w:type="dxa"/>
            <w:noWrap/>
          </w:tcPr>
          <w:p w14:paraId="45474F60" w14:textId="77777777" w:rsidR="00772179" w:rsidRDefault="00000000">
            <w:pPr>
              <w:jc w:val="center"/>
            </w:pPr>
            <w:r>
              <w:t>16 mm</w:t>
            </w:r>
          </w:p>
        </w:tc>
        <w:tc>
          <w:tcPr>
            <w:tcW w:w="3015" w:type="dxa"/>
            <w:noWrap/>
          </w:tcPr>
          <w:p w14:paraId="5BBD00DF" w14:textId="77777777" w:rsidR="00772179" w:rsidRDefault="00000000">
            <w:pPr>
              <w:jc w:val="center"/>
            </w:pPr>
            <w:r>
              <w:t>30 mm</w:t>
            </w:r>
          </w:p>
        </w:tc>
      </w:tr>
      <w:tr w:rsidR="00772179" w14:paraId="10BBD2A7" w14:textId="77777777">
        <w:tc>
          <w:tcPr>
            <w:tcW w:w="3015" w:type="dxa"/>
            <w:noWrap/>
          </w:tcPr>
          <w:p w14:paraId="6BAC9784" w14:textId="77777777" w:rsidR="00772179" w:rsidRDefault="00000000">
            <w:pPr>
              <w:jc w:val="center"/>
            </w:pPr>
            <w:r>
              <w:t>5 / 15 / 5 = 25 mm</w:t>
            </w:r>
          </w:p>
        </w:tc>
        <w:tc>
          <w:tcPr>
            <w:tcW w:w="3015" w:type="dxa"/>
            <w:noWrap/>
          </w:tcPr>
          <w:p w14:paraId="573DA0C2" w14:textId="77777777" w:rsidR="00772179" w:rsidRDefault="00000000">
            <w:pPr>
              <w:jc w:val="center"/>
            </w:pPr>
            <w:r>
              <w:t>16 mm</w:t>
            </w:r>
          </w:p>
        </w:tc>
        <w:tc>
          <w:tcPr>
            <w:tcW w:w="3015" w:type="dxa"/>
            <w:noWrap/>
          </w:tcPr>
          <w:p w14:paraId="724D0B6A" w14:textId="77777777" w:rsidR="00772179" w:rsidRDefault="00000000">
            <w:pPr>
              <w:jc w:val="center"/>
            </w:pPr>
            <w:r>
              <w:t>33 mm</w:t>
            </w:r>
          </w:p>
        </w:tc>
      </w:tr>
      <w:tr w:rsidR="00772179" w14:paraId="55975585" w14:textId="77777777">
        <w:tc>
          <w:tcPr>
            <w:tcW w:w="3015" w:type="dxa"/>
            <w:noWrap/>
          </w:tcPr>
          <w:p w14:paraId="108D0EF0" w14:textId="77777777" w:rsidR="00772179" w:rsidRDefault="00000000">
            <w:pPr>
              <w:jc w:val="center"/>
            </w:pPr>
            <w:r>
              <w:t>6 / 9 / 6 = 21 mm</w:t>
            </w:r>
          </w:p>
        </w:tc>
        <w:tc>
          <w:tcPr>
            <w:tcW w:w="3015" w:type="dxa"/>
            <w:noWrap/>
          </w:tcPr>
          <w:p w14:paraId="0E82BE7E" w14:textId="77777777" w:rsidR="00772179" w:rsidRDefault="00000000">
            <w:pPr>
              <w:jc w:val="center"/>
            </w:pPr>
            <w:r>
              <w:t>18 mm</w:t>
            </w:r>
          </w:p>
        </w:tc>
        <w:tc>
          <w:tcPr>
            <w:tcW w:w="3015" w:type="dxa"/>
            <w:noWrap/>
          </w:tcPr>
          <w:p w14:paraId="48D2AF2E" w14:textId="77777777" w:rsidR="00772179" w:rsidRDefault="00000000">
            <w:pPr>
              <w:jc w:val="center"/>
            </w:pPr>
            <w:r>
              <w:t>29 mm</w:t>
            </w:r>
          </w:p>
        </w:tc>
      </w:tr>
      <w:tr w:rsidR="00772179" w14:paraId="721A345D" w14:textId="77777777">
        <w:tc>
          <w:tcPr>
            <w:tcW w:w="3015" w:type="dxa"/>
            <w:noWrap/>
          </w:tcPr>
          <w:p w14:paraId="29B8B90B" w14:textId="77777777" w:rsidR="00772179" w:rsidRDefault="00000000">
            <w:pPr>
              <w:jc w:val="center"/>
            </w:pPr>
            <w:r>
              <w:t>6 / 12 / 6 = 24 mm</w:t>
            </w:r>
          </w:p>
        </w:tc>
        <w:tc>
          <w:tcPr>
            <w:tcW w:w="3015" w:type="dxa"/>
            <w:noWrap/>
          </w:tcPr>
          <w:p w14:paraId="2E9F99CA" w14:textId="77777777" w:rsidR="00772179" w:rsidRDefault="00000000">
            <w:pPr>
              <w:jc w:val="center"/>
            </w:pPr>
            <w:r>
              <w:t>18 mm</w:t>
            </w:r>
          </w:p>
        </w:tc>
        <w:tc>
          <w:tcPr>
            <w:tcW w:w="3015" w:type="dxa"/>
            <w:noWrap/>
          </w:tcPr>
          <w:p w14:paraId="3BDB961A" w14:textId="77777777" w:rsidR="00772179" w:rsidRDefault="00000000">
            <w:pPr>
              <w:jc w:val="center"/>
            </w:pPr>
            <w:r>
              <w:t>31 mm</w:t>
            </w:r>
          </w:p>
        </w:tc>
      </w:tr>
      <w:tr w:rsidR="00772179" w14:paraId="558DE325" w14:textId="77777777">
        <w:tc>
          <w:tcPr>
            <w:tcW w:w="3015" w:type="dxa"/>
            <w:noWrap/>
          </w:tcPr>
          <w:p w14:paraId="7257DA94" w14:textId="77777777" w:rsidR="00772179" w:rsidRDefault="00000000">
            <w:pPr>
              <w:jc w:val="center"/>
            </w:pPr>
            <w:r>
              <w:t>8 / 9 / 8 = 25 mm</w:t>
            </w:r>
          </w:p>
        </w:tc>
        <w:tc>
          <w:tcPr>
            <w:tcW w:w="3015" w:type="dxa"/>
            <w:noWrap/>
          </w:tcPr>
          <w:p w14:paraId="2F695747" w14:textId="77777777" w:rsidR="00772179" w:rsidRDefault="00000000">
            <w:pPr>
              <w:jc w:val="center"/>
            </w:pPr>
            <w:r>
              <w:t>18 mm</w:t>
            </w:r>
          </w:p>
        </w:tc>
        <w:tc>
          <w:tcPr>
            <w:tcW w:w="3015" w:type="dxa"/>
            <w:noWrap/>
          </w:tcPr>
          <w:p w14:paraId="77460DD7" w14:textId="77777777" w:rsidR="00772179" w:rsidRDefault="00000000">
            <w:pPr>
              <w:jc w:val="center"/>
            </w:pPr>
            <w:r>
              <w:t>36 mm</w:t>
            </w:r>
          </w:p>
        </w:tc>
      </w:tr>
      <w:tr w:rsidR="00772179" w14:paraId="7086B8EE" w14:textId="77777777">
        <w:tc>
          <w:tcPr>
            <w:tcW w:w="3015" w:type="dxa"/>
            <w:noWrap/>
          </w:tcPr>
          <w:p w14:paraId="3F4FEDF7" w14:textId="77777777" w:rsidR="00772179" w:rsidRDefault="00000000">
            <w:pPr>
              <w:jc w:val="center"/>
            </w:pPr>
            <w:r>
              <w:t>8 / 12 / 8 = 28 mm</w:t>
            </w:r>
          </w:p>
        </w:tc>
        <w:tc>
          <w:tcPr>
            <w:tcW w:w="3015" w:type="dxa"/>
            <w:noWrap/>
          </w:tcPr>
          <w:p w14:paraId="7868E94E" w14:textId="77777777" w:rsidR="00772179" w:rsidRDefault="00000000">
            <w:pPr>
              <w:jc w:val="center"/>
            </w:pPr>
            <w:r>
              <w:t>18 mm</w:t>
            </w:r>
          </w:p>
        </w:tc>
        <w:tc>
          <w:tcPr>
            <w:tcW w:w="3015" w:type="dxa"/>
            <w:noWrap/>
          </w:tcPr>
          <w:p w14:paraId="6BCB4799" w14:textId="77777777" w:rsidR="00772179" w:rsidRDefault="00000000">
            <w:pPr>
              <w:jc w:val="center"/>
            </w:pPr>
            <w:r>
              <w:t>39 mm</w:t>
            </w:r>
          </w:p>
        </w:tc>
      </w:tr>
    </w:tbl>
    <w:p w14:paraId="7B718881" w14:textId="77777777" w:rsidR="00772179" w:rsidRDefault="00772179"/>
    <w:p w14:paraId="4D8EBB6B" w14:textId="77777777" w:rsidR="00772179" w:rsidRDefault="00000000">
      <w:pPr>
        <w:jc w:val="both"/>
      </w:pPr>
      <w:r>
        <w:rPr>
          <w:i/>
        </w:rPr>
        <w:t>(*) ces valeurs sont uniquement d'application pour les superficies vitrées &lt;10 m²; pour les surfaces supérieures à 10 m², les dimensions des feuillures sont déterminées par l'étude de résistance au vent.</w:t>
      </w:r>
    </w:p>
    <w:p w14:paraId="77B8C9C4" w14:textId="77777777" w:rsidR="00772179" w:rsidRDefault="00000000">
      <w:pPr>
        <w:jc w:val="both"/>
      </w:pPr>
      <w:r>
        <w:t>Tous les mastics et joints préformés utilisés sont compatibles avec le matériau des châssis.</w:t>
      </w:r>
    </w:p>
    <w:p w14:paraId="07215280" w14:textId="77777777" w:rsidR="00772179" w:rsidRDefault="00000000">
      <w:pPr>
        <w:pStyle w:val="Author-eListParagraph"/>
        <w:numPr>
          <w:ilvl w:val="0"/>
          <w:numId w:val="218"/>
        </w:numPr>
      </w:pPr>
      <w:r>
        <w:lastRenderedPageBreak/>
        <w:t xml:space="preserve">Le panneau de remplissage est composé </w:t>
      </w:r>
      <w:r>
        <w:rPr>
          <w:rStyle w:val="optioncarChar"/>
        </w:rPr>
        <w:t>de planchettes sur face extérieure</w:t>
      </w:r>
      <w:r>
        <w:t xml:space="preserve"> (par défaut)</w:t>
      </w:r>
      <w:r>
        <w:rPr>
          <w:rStyle w:val="optioncarChar"/>
        </w:rPr>
        <w:t xml:space="preserve"> / de planchettes sur face intérieure / panneau de multiplex / ***</w:t>
      </w:r>
      <w:r>
        <w:t>.</w:t>
      </w:r>
    </w:p>
    <w:p w14:paraId="2466BA5D" w14:textId="77777777" w:rsidR="00772179" w:rsidRDefault="00000000">
      <w:pPr>
        <w:ind w:left="1134"/>
        <w:jc w:val="both"/>
      </w:pPr>
      <w:r>
        <w:rPr>
          <w:b/>
        </w:rPr>
        <w:t>(soit par défaut)</w:t>
      </w:r>
    </w:p>
    <w:p w14:paraId="14084EAA" w14:textId="77777777" w:rsidR="00772179" w:rsidRDefault="00000000">
      <w:pPr>
        <w:ind w:left="1134"/>
        <w:jc w:val="both"/>
      </w:pPr>
      <w:r>
        <w:rPr>
          <w:rStyle w:val="soitChar"/>
          <w:u w:val="single"/>
        </w:rPr>
        <w:t>Sur la face extérieure</w:t>
      </w:r>
      <w:r>
        <w:rPr>
          <w:rStyle w:val="soitChar"/>
        </w:rPr>
        <w:t xml:space="preserve">, fixée sur le cadre du vantail, de planchettes </w:t>
      </w:r>
      <w:r>
        <w:rPr>
          <w:rStyle w:val="optioncarChar"/>
        </w:rPr>
        <w:t xml:space="preserve">planes </w:t>
      </w:r>
      <w:r>
        <w:t xml:space="preserve">(par défaut) </w:t>
      </w:r>
      <w:r>
        <w:rPr>
          <w:rStyle w:val="optioncarChar"/>
        </w:rPr>
        <w:t>/ profilées / ***</w:t>
      </w:r>
      <w:r>
        <w:rPr>
          <w:rStyle w:val="soitChar"/>
        </w:rPr>
        <w:t xml:space="preserve"> clouées avec raccordement à rainures et languettes d’une largeur de </w:t>
      </w:r>
      <w:r>
        <w:rPr>
          <w:rStyle w:val="optioncarChar"/>
        </w:rPr>
        <w:t xml:space="preserve">10 / 15 </w:t>
      </w:r>
      <w:r>
        <w:t xml:space="preserve">(par défaut) </w:t>
      </w:r>
      <w:r>
        <w:rPr>
          <w:rStyle w:val="optioncarChar"/>
        </w:rPr>
        <w:t>/ ***</w:t>
      </w:r>
      <w:r>
        <w:rPr>
          <w:rStyle w:val="soitChar"/>
        </w:rPr>
        <w:t xml:space="preserve"> mm et d’une épaisseur rabotée de </w:t>
      </w:r>
      <w:r>
        <w:rPr>
          <w:rStyle w:val="optioncarChar"/>
        </w:rPr>
        <w:t xml:space="preserve">8 / 10 </w:t>
      </w:r>
      <w:r>
        <w:t xml:space="preserve">(par défaut) </w:t>
      </w:r>
      <w:r>
        <w:rPr>
          <w:rStyle w:val="optioncarChar"/>
        </w:rPr>
        <w:t xml:space="preserve">/ *** </w:t>
      </w:r>
      <w:r>
        <w:rPr>
          <w:rStyle w:val="soitChar"/>
        </w:rPr>
        <w:t xml:space="preserve">mm. Les planchettes sont posées </w:t>
      </w:r>
      <w:r>
        <w:rPr>
          <w:rStyle w:val="optioncarChar"/>
        </w:rPr>
        <w:t xml:space="preserve">verticalement </w:t>
      </w:r>
      <w:r>
        <w:t xml:space="preserve">(par défaut) </w:t>
      </w:r>
      <w:r>
        <w:rPr>
          <w:rStyle w:val="optioncarChar"/>
        </w:rPr>
        <w:t>/ horizontalement / sous un angle de ***</w:t>
      </w:r>
      <w:r>
        <w:rPr>
          <w:rStyle w:val="soitChar"/>
        </w:rPr>
        <w:t>.</w:t>
      </w:r>
    </w:p>
    <w:p w14:paraId="1DBE912C" w14:textId="77777777" w:rsidR="00772179" w:rsidRDefault="00000000">
      <w:pPr>
        <w:ind w:left="1134"/>
        <w:jc w:val="both"/>
      </w:pPr>
      <w:r>
        <w:rPr>
          <w:b/>
        </w:rPr>
        <w:t>(soit)</w:t>
      </w:r>
    </w:p>
    <w:p w14:paraId="32D40E6A" w14:textId="77777777" w:rsidR="00772179" w:rsidRDefault="00000000">
      <w:pPr>
        <w:ind w:left="1134"/>
        <w:jc w:val="both"/>
      </w:pPr>
      <w:r>
        <w:rPr>
          <w:rStyle w:val="soitChar"/>
          <w:u w:val="single"/>
        </w:rPr>
        <w:t>Sur la face intérieure</w:t>
      </w:r>
      <w:r>
        <w:rPr>
          <w:rStyle w:val="soitChar"/>
        </w:rPr>
        <w:t>, un revêtement de planchettes identique, posé comme pour la face extérieure.</w:t>
      </w:r>
    </w:p>
    <w:p w14:paraId="0C39D2A6" w14:textId="77777777" w:rsidR="00772179" w:rsidRDefault="00000000">
      <w:pPr>
        <w:ind w:left="1134"/>
        <w:jc w:val="both"/>
      </w:pPr>
      <w:r>
        <w:rPr>
          <w:b/>
        </w:rPr>
        <w:t>(soit)</w:t>
      </w:r>
    </w:p>
    <w:p w14:paraId="2152F17D" w14:textId="77777777" w:rsidR="00772179" w:rsidRDefault="00000000">
      <w:pPr>
        <w:ind w:left="1134"/>
        <w:jc w:val="both"/>
      </w:pPr>
      <w:r>
        <w:rPr>
          <w:rStyle w:val="soitChar"/>
          <w:u w:val="single"/>
        </w:rPr>
        <w:t>Un panneau de multiplex</w:t>
      </w:r>
      <w:r>
        <w:rPr>
          <w:rStyle w:val="soitChar"/>
        </w:rPr>
        <w:t xml:space="preserve"> étanche à l’eau, parachevée par un placage en bois de </w:t>
      </w:r>
      <w:r>
        <w:rPr>
          <w:rStyle w:val="optioncarChar"/>
        </w:rPr>
        <w:t xml:space="preserve">chêne </w:t>
      </w:r>
      <w:r>
        <w:t>(par défaut)</w:t>
      </w:r>
      <w:r>
        <w:rPr>
          <w:rStyle w:val="optioncarChar"/>
        </w:rPr>
        <w:t xml:space="preserve"> / hêtre / frêne / ***</w:t>
      </w:r>
      <w:r>
        <w:rPr>
          <w:rStyle w:val="soitChar"/>
        </w:rPr>
        <w:t xml:space="preserve">, et d’une épaisseur totale de </w:t>
      </w:r>
      <w:r>
        <w:rPr>
          <w:rStyle w:val="optioncarChar"/>
        </w:rPr>
        <w:t>8 / 10</w:t>
      </w:r>
      <w:r>
        <w:t xml:space="preserve"> (par défaut) </w:t>
      </w:r>
      <w:r>
        <w:rPr>
          <w:rStyle w:val="optioncarChar"/>
        </w:rPr>
        <w:t>/ ***</w:t>
      </w:r>
      <w:r>
        <w:rPr>
          <w:rStyle w:val="soitChar"/>
        </w:rPr>
        <w:t> mm clouée dans la batée. L'espace entre les planchettes et/ou les panneaux de multiplex sera rempli de laine minérale.</w:t>
      </w:r>
    </w:p>
    <w:p w14:paraId="06071152" w14:textId="77777777" w:rsidR="00772179" w:rsidRDefault="00772179">
      <w:pPr>
        <w:ind w:left="1134"/>
        <w:jc w:val="both"/>
      </w:pPr>
    </w:p>
    <w:p w14:paraId="58302026" w14:textId="77777777" w:rsidR="00772179" w:rsidRDefault="00000000">
      <w:pPr>
        <w:ind w:left="1134"/>
        <w:jc w:val="both"/>
      </w:pPr>
      <w:r>
        <w:t>La composition de la porte et l’agencement des profilés et des éléments de remplissages sont proposé au maitre de l’ouvrage pour approbation.</w:t>
      </w:r>
    </w:p>
    <w:p w14:paraId="494E35D5" w14:textId="77777777" w:rsidR="00772179" w:rsidRDefault="00000000">
      <w:pPr>
        <w:pStyle w:val="Author-eListParagraph"/>
        <w:numPr>
          <w:ilvl w:val="0"/>
          <w:numId w:val="219"/>
        </w:numPr>
      </w:pPr>
      <w:r>
        <w:t>Les encadrements à intégrer éventuellement avec les portes extérieures sont repris au 5 T5 Fermetures / Finitions intérieures</w:t>
      </w:r>
    </w:p>
    <w:p w14:paraId="58741906" w14:textId="77777777" w:rsidR="00772179" w:rsidRDefault="00000000">
      <w:pPr>
        <w:jc w:val="both"/>
      </w:pPr>
      <w:r>
        <w:t>Les doubles portes extérieures sont conçues comme suit :</w:t>
      </w:r>
    </w:p>
    <w:p w14:paraId="78F0E38D" w14:textId="77777777" w:rsidR="00772179" w:rsidRDefault="00000000">
      <w:pPr>
        <w:pStyle w:val="Author-eListParagraph"/>
        <w:numPr>
          <w:ilvl w:val="0"/>
          <w:numId w:val="220"/>
        </w:numPr>
      </w:pPr>
      <w:r>
        <w:t>Pour les doubles portes extérieures, un vantail est équipé de deux verrous à bascule en acier inoxydable encastrés. Pour la fermeture supérieure et inférieure, des douilles de fermeture encastrées en acier inoxydable sont prévues. </w:t>
      </w:r>
    </w:p>
    <w:p w14:paraId="4C569966" w14:textId="77777777" w:rsidR="00772179" w:rsidRDefault="00000000">
      <w:pPr>
        <w:jc w:val="both"/>
      </w:pPr>
      <w:r>
        <w:t>Les ensembles de portes composés sont conçus comme suit :</w:t>
      </w:r>
    </w:p>
    <w:p w14:paraId="3147BD97" w14:textId="77777777" w:rsidR="00772179" w:rsidRDefault="00000000">
      <w:pPr>
        <w:pStyle w:val="Author-eListParagraph"/>
        <w:numPr>
          <w:ilvl w:val="0"/>
          <w:numId w:val="221"/>
        </w:numPr>
        <w:jc w:val="both"/>
      </w:pPr>
      <w:r>
        <w:t>Les ensembles de portes composés sont constitués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en ensemble indéformable.</w:t>
      </w:r>
    </w:p>
    <w:p w14:paraId="28411409" w14:textId="77777777" w:rsidR="00772179" w:rsidRDefault="00000000">
      <w:pPr>
        <w:pStyle w:val="pheading"/>
      </w:pPr>
      <w:r>
        <w:t>EXÉCUTION / MISE EN ŒUVRE</w:t>
      </w:r>
    </w:p>
    <w:p w14:paraId="63AA705D" w14:textId="77777777" w:rsidR="00772179" w:rsidRDefault="00000000">
      <w:pPr>
        <w:jc w:val="both"/>
      </w:pPr>
      <w:r>
        <w:rPr>
          <w:b/>
          <w:u w:val="single"/>
        </w:rPr>
        <w:t>Généralités</w:t>
      </w:r>
    </w:p>
    <w:p w14:paraId="1CA58A7C" w14:textId="77777777" w:rsidR="00772179" w:rsidRDefault="00000000">
      <w:pPr>
        <w:pStyle w:val="Author-eListParagraph"/>
        <w:numPr>
          <w:ilvl w:val="0"/>
          <w:numId w:val="222"/>
        </w:numPr>
      </w:pPr>
      <w:r>
        <w:t>La menuiserie extérieure est posée conformément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15BE83B4" w14:textId="77777777" w:rsidR="00772179" w:rsidRDefault="00000000">
      <w:pPr>
        <w:pStyle w:val="Author-eListParagraph"/>
        <w:numPr>
          <w:ilvl w:val="0"/>
          <w:numId w:val="222"/>
        </w:numPr>
      </w:pPr>
      <w:r>
        <w:t>Les dimensions indiquées sur les plans et dans le métré sont celles du gros-œuvre tel qu'il doit être exécuté et sont donc purement indicatives. L'entrepreneur est tenu de prendre lui-même les mesures sur le chantier avant de procéder à la fabrication des éléments.</w:t>
      </w:r>
    </w:p>
    <w:p w14:paraId="48CF3CE6" w14:textId="77777777" w:rsidR="00772179" w:rsidRDefault="00000000">
      <w:pPr>
        <w:pStyle w:val="Author-eListParagraph"/>
        <w:numPr>
          <w:ilvl w:val="0"/>
          <w:numId w:val="222"/>
        </w:numPr>
      </w:pPr>
      <w:r>
        <w:t>Les travaux sont exécutés par une firme spécialisée et par des ouvriers qualifiés.</w:t>
      </w:r>
    </w:p>
    <w:p w14:paraId="51601959" w14:textId="77777777" w:rsidR="00772179" w:rsidRDefault="00000000">
      <w:pPr>
        <w:jc w:val="both"/>
      </w:pPr>
      <w:r>
        <w:rPr>
          <w:b/>
          <w:u w:val="single"/>
        </w:rPr>
        <w:t>Livraison - Entreposage</w:t>
      </w:r>
    </w:p>
    <w:p w14:paraId="6EB94458" w14:textId="77777777" w:rsidR="00772179" w:rsidRDefault="00000000">
      <w:pPr>
        <w:pStyle w:val="Author-eListParagraph"/>
        <w:numPr>
          <w:ilvl w:val="0"/>
          <w:numId w:val="223"/>
        </w:numPr>
      </w:pPr>
      <w:r>
        <w:t xml:space="preserve">Les ensembles de portes ainsi que leurs accessoires sont transportés dans des circonstances qui protègent les matériaux contre toute dégradation, ils sont soigneusement empilés et amarrés. L'entreposage sur le chantier est limité au minimum et surtout n'excède </w:t>
      </w:r>
      <w:r>
        <w:lastRenderedPageBreak/>
        <w:t>pas une semaine. Les éléments sont stockés à la verticale, à l'ombre et ne sont pas entassés.</w:t>
      </w:r>
    </w:p>
    <w:p w14:paraId="547FDC14" w14:textId="77777777" w:rsidR="00772179" w:rsidRDefault="00000000">
      <w:pPr>
        <w:pStyle w:val="Author-eListParagraph"/>
        <w:numPr>
          <w:ilvl w:val="0"/>
          <w:numId w:val="223"/>
        </w:numPr>
      </w:pPr>
      <w:r>
        <w:t>Les feuilles de protection appliquées en usine sur les profils déjà laqués ne sont pas enlevées plus tôt qu'un mois après la livraison sur le chantier. Ces mesures de protection essentielles servent à éviter que l'eau de pluie ou de condensation n'abîme les éléments avant qu'ils n'aient reçu leur traitement de surface définitif sur le chantier.  </w:t>
      </w:r>
    </w:p>
    <w:p w14:paraId="482ACBB3" w14:textId="77777777" w:rsidR="00772179" w:rsidRDefault="00000000">
      <w:pPr>
        <w:jc w:val="both"/>
      </w:pPr>
      <w:r>
        <w:rPr>
          <w:b/>
          <w:u w:val="single"/>
        </w:rPr>
        <w:t>Montage</w:t>
      </w:r>
    </w:p>
    <w:p w14:paraId="2CD5631A" w14:textId="77777777" w:rsidR="00772179" w:rsidRDefault="00000000">
      <w:pPr>
        <w:pStyle w:val="Author-eListParagraph"/>
        <w:numPr>
          <w:ilvl w:val="0"/>
          <w:numId w:val="224"/>
        </w:numPr>
      </w:pPr>
      <w:r>
        <w:t>La menuiserie extérieure est posée symétriquement dans la baie et ajustée à la distance requise du gros-œuvre en fonction du système de ragréage prévu. La disposition est parfaitement d'aplomb, de niveau et dans l'axe.</w:t>
      </w:r>
    </w:p>
    <w:p w14:paraId="1147A474" w14:textId="77777777" w:rsidR="00772179" w:rsidRDefault="00000000">
      <w:pPr>
        <w:pStyle w:val="Author-eListParagraph"/>
        <w:numPr>
          <w:ilvl w:val="0"/>
          <w:numId w:val="224"/>
        </w:numPr>
      </w:pPr>
      <w:r>
        <w:t>La position du châssis dans la baie et le recouvrement de la battée sont conformes à la [NIT 283]. Les joints entre les châssis et les ouvertures réservées dans la maçonnerie est de largeur 5 &lt; l ≤ 10 mm.</w:t>
      </w:r>
    </w:p>
    <w:p w14:paraId="047CBEFA" w14:textId="77777777" w:rsidR="00772179" w:rsidRDefault="00000000">
      <w:pPr>
        <w:pStyle w:val="Author-eListParagraph"/>
        <w:numPr>
          <w:ilvl w:val="0"/>
          <w:numId w:val="224"/>
        </w:numPr>
      </w:pPr>
      <w:r>
        <w:t>Lorsque la façade est destinée à recevoir une isolation extérieure et/ou un revêtement de façade léger, le châssis est placé selon les dessins de détails et/ou en concertation avec les entrepreneurs du gros-œuvre et des plafonnages.</w:t>
      </w:r>
    </w:p>
    <w:p w14:paraId="40B71F36" w14:textId="77777777" w:rsidR="00772179" w:rsidRDefault="00000000">
      <w:pPr>
        <w:jc w:val="both"/>
      </w:pPr>
      <w:r>
        <w:rPr>
          <w:b/>
          <w:u w:val="single"/>
        </w:rPr>
        <w:t>Ancrage Au Gros-Œuvre</w:t>
      </w:r>
    </w:p>
    <w:p w14:paraId="4C3542C4" w14:textId="77777777" w:rsidR="00772179" w:rsidRDefault="00000000">
      <w:pPr>
        <w:pStyle w:val="Author-eListParagraph"/>
        <w:numPr>
          <w:ilvl w:val="0"/>
          <w:numId w:val="225"/>
        </w:numPr>
      </w:pPr>
      <w:r>
        <w:t>Les châssis sont fixés de manière telle que les sollicitations des châssis sont transférées sur le gros-œuvre et que les tassements du bâtiment n'ont pas d'influence sur la menuiserie extérieure. Après la pose, le châssis ne peut pas se gauchir. La fixation est effectuée à l'aide de docs ou de vis et chevilles directement forées dans le mur. Le nombre de points de fixation est suffisant pour résister aux actions du vent et à toute autre sollicitation éventuelle avec un coefficient de sécurité d'au moins 3. Tous les moyens de fixation sont fabriqués en acier inoxydable ou galvanisé (375 g/m²).</w:t>
      </w:r>
    </w:p>
    <w:p w14:paraId="324F457A" w14:textId="77777777" w:rsidR="00772179" w:rsidRDefault="00000000">
      <w:pPr>
        <w:pStyle w:val="Author-eListParagraph"/>
        <w:numPr>
          <w:ilvl w:val="0"/>
          <w:numId w:val="225"/>
        </w:numPr>
      </w:pPr>
      <w:r>
        <w:t>Afin de prévenir toute transmission de froid entre les murs et les châssis, les pattes d'ancrage sont en principe fixées derrière l'isolation du mur intérieur. Les fixations au mur extérieur sont uniquement autorisées lorsque des pattes d'ancrage spécialement isolées sont utilisées.</w:t>
      </w:r>
    </w:p>
    <w:p w14:paraId="26291EDB" w14:textId="77777777" w:rsidR="00772179" w:rsidRDefault="00000000">
      <w:pPr>
        <w:pStyle w:val="Author-eListParagraph"/>
        <w:numPr>
          <w:ilvl w:val="0"/>
          <w:numId w:val="225"/>
        </w:numPr>
      </w:pPr>
      <w:r>
        <w:t xml:space="preserve">Les fixations aux montants verticaux et aux traverses inférieure et supérieure du dormant sont respectivement prévues : </w:t>
      </w:r>
    </w:p>
    <w:p w14:paraId="1291809E" w14:textId="77777777" w:rsidR="00772179" w:rsidRDefault="00000000">
      <w:pPr>
        <w:pStyle w:val="Author-eListParagraph"/>
        <w:numPr>
          <w:ilvl w:val="1"/>
          <w:numId w:val="226"/>
        </w:numPr>
      </w:pPr>
      <w:r>
        <w:t>en hauteur : au moins deux à une distance de +/- 20 cm de chaque angle, à hauteur des charnières et ensuite avec un espacement maximal de respectivement :</w:t>
      </w:r>
    </w:p>
    <w:p w14:paraId="72FFE4B1" w14:textId="77777777" w:rsidR="00772179" w:rsidRDefault="00000000">
      <w:r>
        <w:t>                                           100 cm pour les châssis en bois,</w:t>
      </w:r>
    </w:p>
    <w:p w14:paraId="5DF55C73" w14:textId="77777777" w:rsidR="00772179" w:rsidRDefault="00000000">
      <w:r>
        <w:t>                                           75 cm pour les châssis métalliques</w:t>
      </w:r>
    </w:p>
    <w:p w14:paraId="28E89540" w14:textId="77777777" w:rsidR="00772179" w:rsidRDefault="00000000">
      <w:r>
        <w:t>                                           et 60 cm pour les châssis en PVC.</w:t>
      </w:r>
    </w:p>
    <w:p w14:paraId="7DB27A2F" w14:textId="77777777" w:rsidR="00772179" w:rsidRDefault="00772179">
      <w:pPr>
        <w:pStyle w:val="Author-eListParagraph"/>
        <w:numPr>
          <w:ilvl w:val="0"/>
          <w:numId w:val="229"/>
        </w:numPr>
      </w:pPr>
    </w:p>
    <w:p w14:paraId="43065748" w14:textId="77777777" w:rsidR="00772179" w:rsidRDefault="00000000">
      <w:pPr>
        <w:pStyle w:val="Author-eListParagraph"/>
        <w:numPr>
          <w:ilvl w:val="1"/>
          <w:numId w:val="230"/>
        </w:numPr>
      </w:pPr>
      <w:r>
        <w:t>en largeur : au moins une fixation par 1 m de largeur et au moins une fixation à hauteur de chaque montant intermédiaire ainsi qu'aux endroits les plus sollicités afin de prévenir toute déformation de la pièce.</w:t>
      </w:r>
    </w:p>
    <w:p w14:paraId="654F48E2" w14:textId="77777777" w:rsidR="00772179" w:rsidRDefault="00000000">
      <w:pPr>
        <w:pStyle w:val="Author-eListParagraph"/>
        <w:numPr>
          <w:ilvl w:val="1"/>
          <w:numId w:val="230"/>
        </w:numPr>
      </w:pPr>
      <w:r>
        <w:t>des fixations supplémentaires peuvent toujours être prévues afin de répondre à des exigences particulières qui s'imposent par le vitrage et/ou la prévention anti-effraction.</w:t>
      </w:r>
    </w:p>
    <w:p w14:paraId="2DABFD3D" w14:textId="77777777" w:rsidR="00772179" w:rsidRDefault="00000000">
      <w:pPr>
        <w:jc w:val="both"/>
      </w:pPr>
      <w:r>
        <w:rPr>
          <w:b/>
          <w:u w:val="single"/>
        </w:rPr>
        <w:t>Jonction Avec Le Gros-Œuvre</w:t>
      </w:r>
    </w:p>
    <w:p w14:paraId="3A1EDFA8" w14:textId="77777777" w:rsidR="00772179" w:rsidRDefault="00000000">
      <w:pPr>
        <w:pStyle w:val="Author-eListParagraph"/>
        <w:numPr>
          <w:ilvl w:val="0"/>
          <w:numId w:val="231"/>
        </w:numPr>
        <w:jc w:val="both"/>
      </w:pPr>
      <w:r>
        <w:t>La menuiserie extérieure est isolée tout autour du gros-œuvre. La pose garantie une jonction parfaite avec le gros-œuvre.</w:t>
      </w:r>
    </w:p>
    <w:p w14:paraId="4D770958" w14:textId="77777777" w:rsidR="00772179" w:rsidRDefault="00000000">
      <w:pPr>
        <w:pStyle w:val="Author-eListParagraph"/>
        <w:numPr>
          <w:ilvl w:val="0"/>
          <w:numId w:val="231"/>
        </w:numPr>
        <w:jc w:val="both"/>
      </w:pPr>
      <w:r>
        <w:t>Les châssis posés directement dans le parement sont pourvus des bavettes et des couches d'étanchéité nécessaires (conformément aux indications sur les plans de détail).</w:t>
      </w:r>
    </w:p>
    <w:p w14:paraId="6AAE6296" w14:textId="77777777" w:rsidR="00772179" w:rsidRDefault="00000000">
      <w:pPr>
        <w:pStyle w:val="Author-eListParagraph"/>
        <w:numPr>
          <w:ilvl w:val="0"/>
          <w:numId w:val="231"/>
        </w:numPr>
        <w:jc w:val="both"/>
      </w:pPr>
      <w:r>
        <w:t>L'étanchéité est obtenue en utilisant les cordons d'étanchéité appropriés et les mastics élastiques adaptés. Les faces d'adhérence sont propres, sèches et exemptes de poussière. Les éclaboussures de mortier sont préalablement enlevées.</w:t>
      </w:r>
    </w:p>
    <w:p w14:paraId="3F090ABB" w14:textId="77777777" w:rsidR="00772179" w:rsidRDefault="00000000">
      <w:pPr>
        <w:pStyle w:val="Author-eListParagraph"/>
        <w:numPr>
          <w:ilvl w:val="0"/>
          <w:numId w:val="231"/>
        </w:numPr>
        <w:jc w:val="both"/>
      </w:pPr>
      <w:r>
        <w:t xml:space="preserve">Au droit du seuil on place un cordon d'étanchéité qui est partiellement comprimé de manière à réaliser un joint d'étanchéité. Dans la partie supérieure et sur les côtés de la maçonnerie </w:t>
      </w:r>
      <w:r>
        <w:lastRenderedPageBreak/>
        <w:t>extérieure, on pose un cordon ou une bande qui sert de fond à un mastic d'étanchéité appliqué au pistolet. Comme les joints plastiques adhèrent uniquement dans deux directions, ils sont appliqués sur un support qui ne présente aucune adhérence au joint.</w:t>
      </w:r>
    </w:p>
    <w:p w14:paraId="58ED7389" w14:textId="77777777" w:rsidR="00772179" w:rsidRDefault="00000000">
      <w:pPr>
        <w:pStyle w:val="Author-eListParagraph"/>
        <w:numPr>
          <w:ilvl w:val="0"/>
          <w:numId w:val="231"/>
        </w:numPr>
        <w:jc w:val="both"/>
      </w:pPr>
      <w:r>
        <w:t xml:space="preserve">Les cordons d'étanchéité sont posés dans les plus grandes longueurs possibles et de façon rectiligne. Le support se compose d'une matière plastique à structure cellulaire fermée suffisamment compressible afin de caler le châssis contre les éléments du gros-œuvre. </w:t>
      </w:r>
    </w:p>
    <w:p w14:paraId="2876332D" w14:textId="77777777" w:rsidR="00772179" w:rsidRDefault="00000000">
      <w:pPr>
        <w:pStyle w:val="Author-eListParagraph"/>
        <w:numPr>
          <w:ilvl w:val="1"/>
          <w:numId w:val="232"/>
        </w:numPr>
      </w:pPr>
      <w:r>
        <w:t xml:space="preserve">La largeur de la bande d'étanchéité ( = profondeur du remplissage) est d'au moins </w:t>
      </w:r>
      <w:r>
        <w:rPr>
          <w:rStyle w:val="optioncarChar"/>
        </w:rPr>
        <w:t xml:space="preserve">20 </w:t>
      </w:r>
      <w:r>
        <w:t xml:space="preserve">(par défaut) </w:t>
      </w:r>
      <w:r>
        <w:rPr>
          <w:rStyle w:val="optioncarChar"/>
        </w:rPr>
        <w:t>/ *** </w:t>
      </w:r>
      <w:r>
        <w:t xml:space="preserve"> mm. </w:t>
      </w:r>
    </w:p>
    <w:p w14:paraId="5996081C" w14:textId="77777777" w:rsidR="00772179" w:rsidRDefault="00000000">
      <w:pPr>
        <w:pStyle w:val="Author-eListParagraph"/>
        <w:numPr>
          <w:ilvl w:val="1"/>
          <w:numId w:val="232"/>
        </w:numPr>
      </w:pPr>
      <w:r>
        <w:t xml:space="preserve">L'épaisseur du joint est d'au moins 5 mm et n'excède pas </w:t>
      </w:r>
      <w:r>
        <w:rPr>
          <w:rStyle w:val="optioncarChar"/>
        </w:rPr>
        <w:t xml:space="preserve">10 / 12 / 15 </w:t>
      </w:r>
      <w:r>
        <w:t>(par défaut)</w:t>
      </w:r>
      <w:r>
        <w:rPr>
          <w:rStyle w:val="optioncarChar"/>
        </w:rPr>
        <w:t xml:space="preserve"> / *** </w:t>
      </w:r>
      <w:r>
        <w:t>mm.</w:t>
      </w:r>
    </w:p>
    <w:p w14:paraId="6BC1EDF0" w14:textId="77777777" w:rsidR="00772179" w:rsidRDefault="00000000">
      <w:pPr>
        <w:ind w:left="567"/>
        <w:jc w:val="both"/>
      </w:pPr>
      <w:r>
        <w:t>Les cordons d'étanchéité sont posés conformément aux prescriptions du fabricant. Ces supports sont chimiquement compatibles avec la nature des profils prescrits et avec le mastic d'étanchéité.</w:t>
      </w:r>
    </w:p>
    <w:p w14:paraId="09D2133E" w14:textId="77777777" w:rsidR="00772179" w:rsidRDefault="00000000">
      <w:pPr>
        <w:pStyle w:val="Author-eListParagraph"/>
        <w:numPr>
          <w:ilvl w:val="0"/>
          <w:numId w:val="233"/>
        </w:numPr>
      </w:pPr>
      <w:r>
        <w:t xml:space="preserve">Le mastic d’étanchéité est en polyuréthane imbibé de </w:t>
      </w:r>
      <w:r>
        <w:rPr>
          <w:rStyle w:val="optioncarChar"/>
        </w:rPr>
        <w:t xml:space="preserve">bitume </w:t>
      </w:r>
      <w:r>
        <w:t>(par défaut)</w:t>
      </w:r>
      <w:r>
        <w:rPr>
          <w:rStyle w:val="optioncarChar"/>
        </w:rPr>
        <w:t xml:space="preserve"> / polyuréthane imprégné.</w:t>
      </w:r>
    </w:p>
    <w:p w14:paraId="5B38D929" w14:textId="77777777" w:rsidR="00772179" w:rsidRDefault="00000000">
      <w:pPr>
        <w:ind w:left="1134"/>
        <w:jc w:val="both"/>
      </w:pPr>
      <w:r>
        <w:rPr>
          <w:b/>
          <w:i/>
        </w:rPr>
        <w:t>(soit par défaut)</w:t>
      </w:r>
    </w:p>
    <w:p w14:paraId="2EEFD71B" w14:textId="77777777" w:rsidR="00772179" w:rsidRDefault="00772179">
      <w:pPr>
        <w:ind w:left="1134"/>
        <w:jc w:val="both"/>
      </w:pPr>
    </w:p>
    <w:p w14:paraId="421BFF26" w14:textId="77777777" w:rsidR="00772179" w:rsidRDefault="00000000">
      <w:pPr>
        <w:ind w:left="1134"/>
        <w:jc w:val="both"/>
      </w:pPr>
      <w:r>
        <w:rPr>
          <w:rStyle w:val="soitChar"/>
          <w:u w:val="single"/>
        </w:rPr>
        <w:t>Imbibé de bitume :</w:t>
      </w:r>
      <w:r>
        <w:rPr>
          <w:rStyle w:val="soitChar"/>
        </w:rPr>
        <w:t xml:space="preserve"> polyuréthane multiforme à structure cellulaire ouverte qui est complètement imbibé de bitume. Pour l'étanchéité aux pluies battantes, une bande d'une épaisseur de 5 x la largeur du joint est utilisée.</w:t>
      </w:r>
    </w:p>
    <w:p w14:paraId="47183490" w14:textId="77777777" w:rsidR="00772179" w:rsidRDefault="00772179">
      <w:pPr>
        <w:ind w:left="1134"/>
        <w:jc w:val="both"/>
      </w:pPr>
    </w:p>
    <w:p w14:paraId="06A55766" w14:textId="77777777" w:rsidR="00772179" w:rsidRDefault="00000000">
      <w:pPr>
        <w:ind w:left="1134"/>
        <w:jc w:val="both"/>
      </w:pPr>
      <w:r>
        <w:rPr>
          <w:b/>
          <w:i/>
        </w:rPr>
        <w:t>(soit)</w:t>
      </w:r>
    </w:p>
    <w:p w14:paraId="1016AACA" w14:textId="77777777" w:rsidR="00772179" w:rsidRDefault="00772179">
      <w:pPr>
        <w:ind w:left="1134"/>
        <w:jc w:val="both"/>
      </w:pPr>
    </w:p>
    <w:p w14:paraId="50A2CCD7" w14:textId="77777777" w:rsidR="00772179" w:rsidRDefault="00000000">
      <w:pPr>
        <w:ind w:left="1134"/>
        <w:jc w:val="both"/>
      </w:pPr>
      <w:r>
        <w:rPr>
          <w:rStyle w:val="soitChar"/>
          <w:u w:val="single"/>
        </w:rPr>
        <w:t>Imbibé de polyuréthane imprégné :</w:t>
      </w:r>
      <w:r>
        <w:rPr>
          <w:rStyle w:val="soitChar"/>
        </w:rPr>
        <w:t xml:space="preserve"> mousse de polyuréthane imprégnée d'un produit à base de paraffine chlorée, de cire ou de néoprène. Le cordon d'étanchéité est préalablement comprimé et se gonfle lentement après sa mise en place jusqu' à 20% de son épaisseur nominale, rendant ainsi le joint étanche aux pluies battantes.</w:t>
      </w:r>
      <w:r>
        <w:t> </w:t>
      </w:r>
    </w:p>
    <w:p w14:paraId="10993C8F" w14:textId="77777777" w:rsidR="00772179" w:rsidRDefault="00000000">
      <w:pPr>
        <w:pStyle w:val="Author-eListParagraph"/>
        <w:numPr>
          <w:ilvl w:val="0"/>
          <w:numId w:val="234"/>
        </w:numPr>
      </w:pPr>
      <w:r>
        <w:t xml:space="preserve">La classe des mastics et les dimensions des joints sont déterminées en fonction des différentes circonstances qui ont de l'influence sur la menuiserie extérieure. Seuls les joints plastiques ayant obtenu l'agrément technique sont utilisés (au moins un mastic élastique, un caoutchouc butylique sans huile, un joint acrylique ou silicone, soit classe 4 selon la [NBN S 23-002]). </w:t>
      </w:r>
      <w:r>
        <w:rPr>
          <w:rStyle w:val="optioncarChar"/>
        </w:rPr>
        <w:t xml:space="preserve">Le joint est peint par la suite </w:t>
      </w:r>
      <w:r>
        <w:t>(par défaut)</w:t>
      </w:r>
      <w:r>
        <w:rPr>
          <w:rStyle w:val="optioncarChar"/>
        </w:rPr>
        <w:t xml:space="preserve"> / La couleur du joint est assortie à celle de la menuiserie :  blanc  / gris clair / gris foncé / brun foncé /  ***</w:t>
      </w:r>
      <w:r>
        <w:t>.</w:t>
      </w:r>
    </w:p>
    <w:p w14:paraId="61B4F55E" w14:textId="77777777" w:rsidR="00772179" w:rsidRDefault="00000000">
      <w:pPr>
        <w:pStyle w:val="Author-eListParagraph"/>
        <w:numPr>
          <w:ilvl w:val="0"/>
          <w:numId w:val="234"/>
        </w:numPr>
      </w:pPr>
      <w:r>
        <w:t>La finition intérieure (caissons, tablettes de fenêtres, …) n'est appliquée que lorsque l'auteur de projet aura contrôlé l'isolation. Les vides qui subsistent entre la menuiserie et le gros-œuvre à l'intérieur sont complètement colmatés avec un matériau isolant et imputrescible afin d'obtenir une étanchéité complète au vent : </w:t>
      </w:r>
      <w:r>
        <w:rPr>
          <w:rStyle w:val="optioncarChar"/>
        </w:rPr>
        <w:t xml:space="preserve">mousse de polyuréthane appliquée au pistolet </w:t>
      </w:r>
      <w:r>
        <w:t>(par défaut)</w:t>
      </w:r>
      <w:r>
        <w:rPr>
          <w:rStyle w:val="optioncarChar"/>
        </w:rPr>
        <w:t xml:space="preserve"> / le joint est bien rempli de laine minérale</w:t>
      </w:r>
    </w:p>
    <w:p w14:paraId="7635F28F" w14:textId="77777777" w:rsidR="00772179" w:rsidRDefault="00000000">
      <w:pPr>
        <w:pStyle w:val="Author-eListParagraph"/>
        <w:numPr>
          <w:ilvl w:val="0"/>
          <w:numId w:val="234"/>
        </w:numPr>
      </w:pPr>
      <w:r>
        <w:t>La finition intérieure est réalisée en fonction de la nature du matériau de finition des murs intérieurs : </w:t>
      </w:r>
      <w:r>
        <w:rPr>
          <w:rStyle w:val="optioncarChar"/>
        </w:rPr>
        <w:t xml:space="preserve">plafonnage </w:t>
      </w:r>
      <w:r>
        <w:t xml:space="preserve">(par défaut) </w:t>
      </w:r>
      <w:r>
        <w:rPr>
          <w:rStyle w:val="optioncarChar"/>
        </w:rPr>
        <w:t>/ carrelage / parement / ***</w:t>
      </w:r>
      <w:r>
        <w:t> et selon les directives de l'auteur de projet, soit à l'aide d'une latte de finition, soit avec un mastic durablement élastique appliqué au pistolet. Ces travaux sont également compris.</w:t>
      </w:r>
    </w:p>
    <w:p w14:paraId="0EA748DF" w14:textId="77777777" w:rsidR="00772179" w:rsidRDefault="00000000">
      <w:pPr>
        <w:jc w:val="both"/>
      </w:pPr>
      <w:r>
        <w:t>Conformément à l'élément 01.44 PSS travaux de façade, établi par le coordinateur-projet et annexée au cahier spécial des charges. Toutes les directives en la matière et les indications concrètes données par le coordinateur-réalisation sont scrupuleusement respectées.  </w:t>
      </w:r>
    </w:p>
    <w:p w14:paraId="42A33C4C" w14:textId="77777777" w:rsidR="00772179" w:rsidRDefault="00000000">
      <w:pPr>
        <w:ind w:left="750"/>
      </w:pPr>
      <w:r>
        <w:t> </w:t>
      </w:r>
    </w:p>
    <w:p w14:paraId="0B4D0CAD" w14:textId="77777777" w:rsidR="00772179" w:rsidRDefault="00000000">
      <w:pPr>
        <w:pStyle w:val="pheading"/>
      </w:pPr>
      <w:r>
        <w:t>CONTRÔLES</w:t>
      </w:r>
    </w:p>
    <w:p w14:paraId="25EBECE4" w14:textId="77777777" w:rsidR="00772179" w:rsidRDefault="00000000">
      <w:r>
        <w:t>[STS 53.1, Portes]</w:t>
      </w:r>
      <w:r>
        <w:br/>
      </w:r>
      <w:r>
        <w:br/>
      </w:r>
      <w:r>
        <w:lastRenderedPageBreak/>
        <w:t>[NBN EN 951, Vantaux de portes - Méthode de mesure des hauteur, largeur, épaisseur et équerrage]</w:t>
      </w:r>
      <w:r>
        <w:br/>
      </w:r>
      <w:r>
        <w:br/>
        <w:t>[NBN EN 947, Portes battantes ou pivotantes - Détermination de la résistance à la charge verticale]</w:t>
      </w:r>
      <w:r>
        <w:br/>
      </w:r>
      <w:r>
        <w:br/>
        <w:t>[NBN EN 949, Fenêtres et façades-rideaux, portes, stores et fermetures - Détermination de la résistance au choc de corps mou et lourd pour les portes]</w:t>
      </w:r>
      <w:r>
        <w:br/>
      </w:r>
      <w:r>
        <w:br/>
        <w:t>[NBN B 25-210, Méthodes d'essais des fenêtres - Essais mécaniques (norme européenne EN 107-1980)]</w:t>
      </w:r>
    </w:p>
    <w:p w14:paraId="66EBA877" w14:textId="77777777" w:rsidR="00772179" w:rsidRDefault="00000000">
      <w:pPr>
        <w:jc w:val="both"/>
      </w:pPr>
      <w:r>
        <w:rPr>
          <w:b/>
          <w:u w:val="single"/>
        </w:rPr>
        <w:t>Essais</w:t>
      </w:r>
    </w:p>
    <w:p w14:paraId="79AABB90" w14:textId="77777777" w:rsidR="00772179" w:rsidRDefault="00000000">
      <w:pPr>
        <w:pStyle w:val="Author-eListParagraph"/>
        <w:numPr>
          <w:ilvl w:val="0"/>
          <w:numId w:val="235"/>
        </w:numPr>
        <w:jc w:val="both"/>
      </w:pPr>
      <w:r>
        <w:t>Lorsque les châssis de portes disposent de critère d’acceptabilité tels que défini au chapitre 02.42.1 Critères d'acceptabilité, cela peut donner lieu à certaines dérogations par rapport à la [NBN EN 14351-1:2006+A2] ou aux [STS 53.1]. En cas de doute au sujet de la provenance des profils ou des caractéristiques des ensembles de portes, l'administration se réserve le droit de faire effectuer au préalable des essais fonctionnels sur un élément qu'elle aura choisi.</w:t>
      </w:r>
    </w:p>
    <w:p w14:paraId="25EA7774" w14:textId="77777777" w:rsidR="00772179" w:rsidRDefault="00000000">
      <w:pPr>
        <w:pStyle w:val="Author-eListParagraph"/>
        <w:numPr>
          <w:ilvl w:val="0"/>
          <w:numId w:val="235"/>
        </w:numPr>
        <w:jc w:val="both"/>
      </w:pPr>
      <w:r>
        <w:t>Lorsque l'ensemble du poste "menuiserie extérieure" s'élève à moins de 75.000,00 Euros, les essais sont réalisés aux frais du perdant. Pour les montants supérieurs, un essai est systématiquement exigé dont les frais sont intégralement supportés par l'entrepreneur jusqu'à ce que satisfaction complète soit obtenue. Si l'élément de menuiserie ne satisfait pas aux essais fonctionnels, l'administration est en droit d'imposer une nouvelle série d'essais fonctionnels.</w:t>
      </w:r>
    </w:p>
    <w:p w14:paraId="2EF56599" w14:textId="77777777" w:rsidR="00772179" w:rsidRDefault="00000000">
      <w:pPr>
        <w:pStyle w:val="Author-eListParagraph"/>
        <w:numPr>
          <w:ilvl w:val="0"/>
          <w:numId w:val="235"/>
        </w:numPr>
        <w:jc w:val="both"/>
      </w:pPr>
      <w:r>
        <w:t>Les essais fonctionnels sont exécutés par un laboratoire indépendant agréé, sous la supervision de l'administration, selon la [STS 53.1] : il ne peut y avoir de déformation durable ni se présenter un trop grand jeu dans les parties mobiles ou les accessoires. En outre, il ne peut se produire de dégradations à la surface des traverses inférieures ou aux pivots ou à d'autres parties du système de fermeture.</w:t>
      </w:r>
    </w:p>
    <w:p w14:paraId="17476ADD" w14:textId="77777777" w:rsidR="00772179" w:rsidRDefault="00000000">
      <w:pPr>
        <w:pStyle w:val="Author-eListParagraph"/>
        <w:numPr>
          <w:ilvl w:val="0"/>
          <w:numId w:val="235"/>
        </w:numPr>
        <w:jc w:val="both"/>
      </w:pPr>
      <w:r>
        <w:t>La porte testée et approuvée est marquée et conservée sur le chantier comme référence. Il peut être placé, mais est réservé en dernier. Au cas où les produits ne satisfont pas aux essais, l'auteur de projet arrête les travaux immédiatement.</w:t>
      </w:r>
    </w:p>
    <w:p w14:paraId="29DB5051" w14:textId="77777777" w:rsidR="00772179" w:rsidRDefault="00000000">
      <w:pPr>
        <w:jc w:val="both"/>
      </w:pPr>
      <w:r>
        <w:rPr>
          <w:b/>
          <w:u w:val="single"/>
        </w:rPr>
        <w:t>Tolérances</w:t>
      </w:r>
    </w:p>
    <w:p w14:paraId="5DA4F776" w14:textId="77777777" w:rsidR="00772179" w:rsidRDefault="00000000">
      <w:pPr>
        <w:jc w:val="both"/>
      </w:pPr>
      <w:r>
        <w:t xml:space="preserve">Les écarts dimensionnels admissibles en largeur et en hauteur pour les vantaux ouvrants, mesurés dans les feuillures des vitrages sont définis dans les [STS 53.1] et la classe de tolérance est reprise dans l’élément </w:t>
      </w:r>
      <w:hyperlink w:anchor="904" w:history="1">
        <w:r>
          <w:rPr>
            <w:color w:val="0000EE"/>
          </w:rPr>
          <w:t>41.2 Portes d'entrée</w:t>
        </w:r>
      </w:hyperlink>
      <w:r>
        <w:t>.  </w:t>
      </w:r>
    </w:p>
    <w:p w14:paraId="1CB64103" w14:textId="77777777" w:rsidR="00772179" w:rsidRDefault="00000000">
      <w:pPr>
        <w:jc w:val="both"/>
      </w:pPr>
      <w:r>
        <w:rPr>
          <w:b/>
          <w:u w:val="single"/>
        </w:rPr>
        <w:t>Pose</w:t>
      </w:r>
    </w:p>
    <w:p w14:paraId="16E8CD16" w14:textId="77777777" w:rsidR="00772179" w:rsidRDefault="00000000">
      <w:pPr>
        <w:jc w:val="both"/>
      </w:pPr>
      <w:r>
        <w:t>La dégradation des profils suite à la mise en place, griffes, évidements ou mauvaise fixation entraîne le refus et le remplacement de l'élément.</w:t>
      </w:r>
    </w:p>
    <w:p w14:paraId="7C1072EB" w14:textId="77777777" w:rsidR="00772179" w:rsidRDefault="00000000">
      <w:pPr>
        <w:pStyle w:val="pheading"/>
      </w:pPr>
      <w:r>
        <w:t>DOCUMENTS DE RÉFÉRENCE</w:t>
      </w:r>
    </w:p>
    <w:p w14:paraId="1E15AED7" w14:textId="77777777" w:rsidR="00772179" w:rsidRDefault="00000000">
      <w:pPr>
        <w:pStyle w:val="pheading"/>
      </w:pPr>
      <w:r>
        <w:t>- Matériau</w:t>
      </w:r>
    </w:p>
    <w:p w14:paraId="40E11F2F" w14:textId="77777777" w:rsidR="00772179" w:rsidRDefault="00000000">
      <w:pPr>
        <w:jc w:val="both"/>
      </w:pPr>
      <w:r>
        <w:t>[STS 53.1, Portes]</w:t>
      </w:r>
    </w:p>
    <w:p w14:paraId="177626F1" w14:textId="77777777" w:rsidR="00772179" w:rsidRDefault="00000000">
      <w:pPr>
        <w:jc w:val="both"/>
      </w:pPr>
      <w:r>
        <w:t>[NIT 283, La pose des menuiseries extérieures. Partie 1 : aspects généraux.]</w:t>
      </w:r>
    </w:p>
    <w:p w14:paraId="2AC0AF5D" w14:textId="77777777" w:rsidR="00772179" w:rsidRDefault="00000000">
      <w:pPr>
        <w:jc w:val="both"/>
      </w:pPr>
      <w:r>
        <w:t>[CoDT, Code du Développement Territorial]</w:t>
      </w:r>
    </w:p>
    <w:p w14:paraId="3D144506" w14:textId="77777777" w:rsidR="00772179" w:rsidRDefault="00000000">
      <w:pPr>
        <w:jc w:val="both"/>
      </w:pPr>
      <w:r>
        <w:t>[NIT 258, Guide pratique des systèmes de ventilation de base des logements.]</w:t>
      </w:r>
    </w:p>
    <w:p w14:paraId="4DA8C089" w14:textId="77777777" w:rsidR="00772179" w:rsidRDefault="00772179">
      <w:pPr>
        <w:jc w:val="both"/>
      </w:pPr>
    </w:p>
    <w:p w14:paraId="5DEF1AF0" w14:textId="77777777" w:rsidR="00772179" w:rsidRDefault="00000000">
      <w:pPr>
        <w:jc w:val="both"/>
      </w:pPr>
      <w:r>
        <w:t>[NBN EN 1627 à 1630 série, Blocs-portes pour piétons, fenêtres, façades rideaux, grilles et fermetures - Résistance à l'effraction]</w:t>
      </w:r>
    </w:p>
    <w:p w14:paraId="38E95ADB" w14:textId="77777777" w:rsidR="00772179" w:rsidRDefault="00000000">
      <w:pPr>
        <w:jc w:val="both"/>
      </w:pPr>
      <w:r>
        <w:t>[NBN EN 1026, Fenêtres et portes - Perméabilité à l'air - Méthode d'essai]</w:t>
      </w:r>
    </w:p>
    <w:p w14:paraId="6B4F4C16" w14:textId="77777777" w:rsidR="00772179" w:rsidRDefault="00772179">
      <w:pPr>
        <w:jc w:val="both"/>
      </w:pPr>
    </w:p>
    <w:p w14:paraId="5C26E199" w14:textId="77777777" w:rsidR="00772179" w:rsidRDefault="00000000">
      <w:pPr>
        <w:jc w:val="both"/>
      </w:pPr>
      <w:r>
        <w:lastRenderedPageBreak/>
        <w:t>[NBN EN 12207, Fenêtres et portes - Perméabilité à l'air - Classification]</w:t>
      </w:r>
    </w:p>
    <w:p w14:paraId="5AA9A34A" w14:textId="77777777" w:rsidR="00772179" w:rsidRDefault="00000000">
      <w:pPr>
        <w:jc w:val="both"/>
      </w:pPr>
      <w:r>
        <w:t>[NBN EN 12211, Fenêtres et portes - Résistance au vent - Méthode d’essai]</w:t>
      </w:r>
    </w:p>
    <w:p w14:paraId="38EA3FA0" w14:textId="77777777" w:rsidR="00772179" w:rsidRDefault="00772179">
      <w:pPr>
        <w:jc w:val="both"/>
      </w:pPr>
    </w:p>
    <w:p w14:paraId="0D97ACA1" w14:textId="77777777" w:rsidR="00772179" w:rsidRDefault="00000000">
      <w:pPr>
        <w:jc w:val="both"/>
      </w:pPr>
      <w:r>
        <w:t>[NBN EN 12210, Fenêtres et portes - Résistance au vent - Classification]</w:t>
      </w:r>
    </w:p>
    <w:p w14:paraId="0EC64541" w14:textId="77777777" w:rsidR="00772179" w:rsidRDefault="00000000">
      <w:pPr>
        <w:jc w:val="both"/>
      </w:pPr>
      <w:r>
        <w:t>[NBN EN 1027, Fenêtres et portes - Etanchéité à l'eau - Méthode d'essai]</w:t>
      </w:r>
    </w:p>
    <w:p w14:paraId="675B7AE5" w14:textId="77777777" w:rsidR="00772179" w:rsidRDefault="00000000">
      <w:pPr>
        <w:jc w:val="both"/>
      </w:pPr>
      <w:r>
        <w:t>[NBN EN 12208, Fenêtres et portes - Perméabilité à l'eau - Classification]</w:t>
      </w:r>
    </w:p>
    <w:p w14:paraId="3B868A71" w14:textId="77777777" w:rsidR="00772179" w:rsidRDefault="00000000">
      <w:pPr>
        <w:jc w:val="both"/>
      </w:pPr>
      <w:r>
        <w:t>[NIT 286, La pose des menuiseries extérieures Partie 2 : Mise en oeuvre de châssis en bois dans des murs creux]</w:t>
      </w:r>
    </w:p>
    <w:p w14:paraId="3379F66E" w14:textId="77777777" w:rsidR="00772179" w:rsidRDefault="00000000">
      <w:pPr>
        <w:jc w:val="both"/>
      </w:pPr>
      <w:r>
        <w:rPr>
          <w:b/>
        </w:rPr>
        <w:t>Les menuiseries répondent aux directives suivantes :</w:t>
      </w:r>
    </w:p>
    <w:p w14:paraId="68EFAA95" w14:textId="77777777" w:rsidR="00772179" w:rsidRDefault="00000000">
      <w:pPr>
        <w:pStyle w:val="Author-eListParagraph"/>
        <w:numPr>
          <w:ilvl w:val="0"/>
          <w:numId w:val="236"/>
        </w:numPr>
      </w:pPr>
      <w:r>
        <w:t>Base légale</w:t>
      </w:r>
      <w:r>
        <w:rPr>
          <w:shd w:val="clear" w:color="auto" w:fill="FFFFFF"/>
        </w:rPr>
        <w:t> [Directive 98/34/CE, Directive du Parlement européen et du Conseil prévoyant une procédure d'information dans le domaine des normes et réglementations techniques]</w:t>
      </w:r>
    </w:p>
    <w:p w14:paraId="4D70010D" w14:textId="77777777" w:rsidR="00772179" w:rsidRDefault="00000000">
      <w:pPr>
        <w:jc w:val="both"/>
      </w:pPr>
      <w:r>
        <w:rPr>
          <w:b/>
        </w:rPr>
        <w:t>Les Autres Directives applicables :</w:t>
      </w:r>
    </w:p>
    <w:p w14:paraId="5CE53147" w14:textId="77777777" w:rsidR="00772179" w:rsidRDefault="00000000">
      <w:pPr>
        <w:pStyle w:val="Author-eListParagraph"/>
        <w:numPr>
          <w:ilvl w:val="0"/>
          <w:numId w:val="237"/>
        </w:numPr>
      </w:pPr>
      <w:r>
        <w:rPr>
          <w:shd w:val="clear" w:color="auto" w:fill="FFFFFF"/>
        </w:rPr>
        <w:t>[Directive 93/36/CEE, Directive du Conseil de l'Europe portant coordination des procédures de passation des marchés publics de fournitures]</w:t>
      </w:r>
    </w:p>
    <w:p w14:paraId="5FA05DAA" w14:textId="77777777" w:rsidR="00772179" w:rsidRDefault="00000000">
      <w:pPr>
        <w:pStyle w:val="Author-eListParagraph"/>
        <w:numPr>
          <w:ilvl w:val="0"/>
          <w:numId w:val="237"/>
        </w:numPr>
      </w:pPr>
      <w:r>
        <w:rPr>
          <w:shd w:val="clear" w:color="auto" w:fill="FFFFFF"/>
        </w:rPr>
        <w:t>[Directive 93/37/CEE, Directive du Conseil de l'Europe portant coordination des procédures de passation des marchés publics de travaux]</w:t>
      </w:r>
    </w:p>
    <w:p w14:paraId="263619AD" w14:textId="77777777" w:rsidR="00772179" w:rsidRDefault="00000000">
      <w:pPr>
        <w:pStyle w:val="Author-eListParagraph"/>
        <w:numPr>
          <w:ilvl w:val="0"/>
          <w:numId w:val="237"/>
        </w:numPr>
      </w:pPr>
      <w:r>
        <w:rPr>
          <w:shd w:val="clear" w:color="auto" w:fill="FFFFFF"/>
        </w:rPr>
        <w:t>[Directive 85/374/CEE, Directive du Conseil de l'Europe relative au rapprochement des dispositions législatives, réglementaires et administratives des États membres en matière de responsabilité du fait des produits défectueux]</w:t>
      </w:r>
    </w:p>
    <w:p w14:paraId="0483D04D" w14:textId="77777777" w:rsidR="00772179" w:rsidRDefault="00000000">
      <w:pPr>
        <w:pStyle w:val="Author-eListParagraph"/>
        <w:numPr>
          <w:ilvl w:val="0"/>
          <w:numId w:val="237"/>
        </w:numPr>
      </w:pPr>
      <w:r>
        <w:rPr>
          <w:shd w:val="clear" w:color="auto" w:fill="FFFFFF"/>
        </w:rPr>
        <w:t>[Règlement (UE) 2023/988, Règlement du Parlement européen et du Conseil relatif à la sécurité générale des produits, modifiant le règlement (UE) no 1025/2012 du Parlement européen et du Conseil et la directive (UE) 2020/1828 du Parlement européen et du Conseil, et abrogeant la directive 2001/95/CE du Parlement européen et du Conseil et la directive 87/357/CEE du Conseil]</w:t>
      </w:r>
    </w:p>
    <w:p w14:paraId="4FDAD444" w14:textId="77777777" w:rsidR="00772179" w:rsidRDefault="00000000">
      <w:pPr>
        <w:pStyle w:val="Author-eListParagraph"/>
        <w:numPr>
          <w:ilvl w:val="0"/>
          <w:numId w:val="237"/>
        </w:numPr>
      </w:pPr>
      <w:r>
        <w:rPr>
          <w:shd w:val="clear" w:color="auto" w:fill="FFFFFF"/>
        </w:rPr>
        <w:t>[Décision 93/465/CEE, Décision du Conseil concernant les modules relatifs aux différentes phases des procédures d'évaluation de la conformité et les règles d'apposition et d'utilisation du marquage «CE» de conformité, destinés à être utilisés dans les directives d'harmonisation technique]</w:t>
      </w:r>
    </w:p>
    <w:p w14:paraId="190E1AAF" w14:textId="77777777" w:rsidR="00772179" w:rsidRDefault="00000000">
      <w:pPr>
        <w:pStyle w:val="Author-eListParagraph"/>
        <w:numPr>
          <w:ilvl w:val="0"/>
          <w:numId w:val="237"/>
        </w:numPr>
      </w:pPr>
      <w:r>
        <w:rPr>
          <w:shd w:val="clear" w:color="auto" w:fill="FFFFFF"/>
        </w:rPr>
        <w:t>[Directive 73/23/CEE, Directive du Conseil concernant le rapprochement des législations des États membres relatives au matériel électrique destiné à être employé dans certaines limites de tension]</w:t>
      </w:r>
    </w:p>
    <w:p w14:paraId="4D226737" w14:textId="77777777" w:rsidR="00772179" w:rsidRDefault="00000000">
      <w:pPr>
        <w:pStyle w:val="Author-eListParagraph"/>
        <w:numPr>
          <w:ilvl w:val="0"/>
          <w:numId w:val="237"/>
        </w:numPr>
      </w:pPr>
      <w:r>
        <w:rPr>
          <w:shd w:val="clear" w:color="auto" w:fill="FFFFFF"/>
        </w:rPr>
        <w:t>[Directive 89/106/CEE, Directive du Conseil de l'Europe relative au rapprochement des dispositions législatives, réglementaires et administratives des États membres concernant les produits de construction]</w:t>
      </w:r>
    </w:p>
    <w:p w14:paraId="3BDE994C" w14:textId="77777777" w:rsidR="00772179" w:rsidRDefault="00000000">
      <w:pPr>
        <w:pStyle w:val="Author-eListParagraph"/>
        <w:numPr>
          <w:ilvl w:val="0"/>
          <w:numId w:val="237"/>
        </w:numPr>
      </w:pPr>
      <w:r>
        <w:rPr>
          <w:shd w:val="clear" w:color="auto" w:fill="FFFFFF"/>
        </w:rPr>
        <w:t>[Règlement 2016/425/UE, Règlement du Parlement européen et du Conseil relatif aux équipements de protection individuelle et abrogeant la directive 89/686/CEE du Conseil]</w:t>
      </w:r>
    </w:p>
    <w:p w14:paraId="65ABDD29" w14:textId="77777777" w:rsidR="00772179" w:rsidRDefault="00000000">
      <w:pPr>
        <w:pStyle w:val="Author-eListParagraph"/>
        <w:numPr>
          <w:ilvl w:val="0"/>
          <w:numId w:val="237"/>
        </w:numPr>
      </w:pPr>
      <w:r>
        <w:rPr>
          <w:shd w:val="clear" w:color="auto" w:fill="FFFFFF"/>
        </w:rPr>
        <w:t>[Directive 98/13/CE, Directive du Parlement européen et du Conseil concernant les équipements terminaux de télécommunications et les équipements de stations terrestres de communications par satellite, incluant la reconnaissance mutuelle de leur conformité]</w:t>
      </w:r>
    </w:p>
    <w:p w14:paraId="0D5064F6" w14:textId="77777777" w:rsidR="00772179" w:rsidRDefault="00000000">
      <w:pPr>
        <w:pStyle w:val="Author-eListParagraph"/>
        <w:numPr>
          <w:ilvl w:val="0"/>
          <w:numId w:val="237"/>
        </w:numPr>
      </w:pPr>
      <w:r>
        <w:rPr>
          <w:shd w:val="clear" w:color="auto" w:fill="FFFFFF"/>
        </w:rPr>
        <w:t>[Directive 99/5/CE, Directive du Parlement européen et du Conseil concernant les équipements hertziens et les équipements terminaux de télécommunications et la reconnaissance mutuelle de leur conformité]</w:t>
      </w:r>
    </w:p>
    <w:p w14:paraId="603DD688" w14:textId="77777777" w:rsidR="00772179" w:rsidRDefault="00000000">
      <w:pPr>
        <w:jc w:val="both"/>
      </w:pPr>
      <w:r>
        <w:rPr>
          <w:b/>
        </w:rPr>
        <w:t>Normes et planning : </w:t>
      </w:r>
    </w:p>
    <w:p w14:paraId="3F5BFCD8" w14:textId="77777777" w:rsidR="00772179" w:rsidRDefault="00000000">
      <w:pPr>
        <w:pStyle w:val="Author-eListParagraph"/>
        <w:numPr>
          <w:ilvl w:val="0"/>
          <w:numId w:val="238"/>
        </w:numPr>
      </w:pPr>
      <w:r>
        <w:t>[NBN EN 14351-1:2006+A2, Fenêtres et portes - Norme produit, caractéristiques de performance - Partie 1 : Fenêtres et blocs portes extérieurs pour piétons]</w:t>
      </w:r>
    </w:p>
    <w:p w14:paraId="46FFB15A" w14:textId="77777777" w:rsidR="00772179" w:rsidRDefault="00000000">
      <w:pPr>
        <w:jc w:val="both"/>
      </w:pPr>
      <w:r>
        <w:rPr>
          <w:b/>
        </w:rPr>
        <w:t>Systèmes de contrôle du marquage CE :</w:t>
      </w:r>
    </w:p>
    <w:p w14:paraId="5A439D17" w14:textId="77777777" w:rsidR="00772179" w:rsidRDefault="00000000">
      <w:pPr>
        <w:pStyle w:val="Author-eListParagraph"/>
        <w:numPr>
          <w:ilvl w:val="0"/>
          <w:numId w:val="239"/>
        </w:numPr>
      </w:pPr>
      <w:r>
        <w:t xml:space="preserve">Les menuiseries et/ou murs rideaux répondent à l’AoC = Attestation Of Conformity de niveau 3 et donc subissent les contrôles suivants : </w:t>
      </w:r>
    </w:p>
    <w:p w14:paraId="6EEE5B90" w14:textId="77777777" w:rsidR="00772179" w:rsidRDefault="00000000">
      <w:pPr>
        <w:pStyle w:val="Author-eListParagraph"/>
        <w:numPr>
          <w:ilvl w:val="1"/>
          <w:numId w:val="240"/>
        </w:numPr>
      </w:pPr>
      <w:r>
        <w:t>Contrôle des essais types ITT par un “NOTIFIED BODY” (par un organisme agrée)</w:t>
      </w:r>
    </w:p>
    <w:p w14:paraId="493B85D8" w14:textId="77777777" w:rsidR="00772179" w:rsidRDefault="00000000">
      <w:pPr>
        <w:pStyle w:val="Author-eListParagraph"/>
        <w:numPr>
          <w:ilvl w:val="1"/>
          <w:numId w:val="240"/>
        </w:numPr>
      </w:pPr>
      <w:r>
        <w:lastRenderedPageBreak/>
        <w:t>Contrôle de la fabrication FPC par déclaration du fabricant (autocontrôle par le fabricant)</w:t>
      </w:r>
    </w:p>
    <w:p w14:paraId="0B8A83EB" w14:textId="77777777" w:rsidR="00772179" w:rsidRDefault="00000000">
      <w:pPr>
        <w:jc w:val="both"/>
      </w:pPr>
      <w:r>
        <w:rPr>
          <w:b/>
        </w:rPr>
        <w:t>Principe du marquage CE :</w:t>
      </w:r>
    </w:p>
    <w:p w14:paraId="5BF376AE" w14:textId="77777777" w:rsidR="00772179" w:rsidRDefault="00000000">
      <w:pPr>
        <w:pStyle w:val="Author-eListParagraph"/>
        <w:numPr>
          <w:ilvl w:val="0"/>
          <w:numId w:val="241"/>
        </w:numPr>
      </w:pPr>
      <w:r>
        <w:t>ITT = Initial Type Testing (essais sur la conformité du prototype initial)</w:t>
      </w:r>
    </w:p>
    <w:p w14:paraId="261CE6C6" w14:textId="77777777" w:rsidR="00772179" w:rsidRDefault="00000000">
      <w:pPr>
        <w:pStyle w:val="Author-eListParagraph"/>
        <w:numPr>
          <w:ilvl w:val="0"/>
          <w:numId w:val="241"/>
        </w:numPr>
      </w:pPr>
      <w:r>
        <w:t>FPC = Factory Production Control (contrôle sur la conformité de la production avec le prototype initial) </w:t>
      </w:r>
    </w:p>
    <w:p w14:paraId="3DCE138B" w14:textId="77777777" w:rsidR="00772179" w:rsidRDefault="00000000">
      <w:pPr>
        <w:pStyle w:val="Author-eListParagraph"/>
        <w:numPr>
          <w:ilvl w:val="0"/>
          <w:numId w:val="241"/>
        </w:numPr>
      </w:pPr>
      <w:r>
        <w:t>Autocontrôle par le façadier lui-même</w:t>
      </w:r>
    </w:p>
    <w:p w14:paraId="25D09EA1" w14:textId="77777777" w:rsidR="00772179" w:rsidRDefault="00000000">
      <w:pPr>
        <w:pStyle w:val="Author-eListParagraph"/>
        <w:numPr>
          <w:ilvl w:val="0"/>
          <w:numId w:val="241"/>
        </w:numPr>
      </w:pPr>
      <w:r>
        <w:t>Principe IKZ / ISO 9000 / audit externe</w:t>
      </w:r>
    </w:p>
    <w:p w14:paraId="4F6245E1" w14:textId="77777777" w:rsidR="00772179" w:rsidRDefault="00000000">
      <w:pPr>
        <w:jc w:val="both"/>
      </w:pPr>
      <w:r>
        <w:rPr>
          <w:b/>
        </w:rPr>
        <w:t>Contrôle d’entrée, Contrôle de production, Contrôle des produits finis :</w:t>
      </w:r>
    </w:p>
    <w:p w14:paraId="081F95D8" w14:textId="77777777" w:rsidR="00772179" w:rsidRDefault="00000000">
      <w:pPr>
        <w:pStyle w:val="Author-eListParagraph"/>
        <w:numPr>
          <w:ilvl w:val="0"/>
          <w:numId w:val="242"/>
        </w:numPr>
      </w:pPr>
      <w:r>
        <w:t>VENTE – offre de prix et commande</w:t>
      </w:r>
    </w:p>
    <w:p w14:paraId="3EC42F6C" w14:textId="77777777" w:rsidR="00772179" w:rsidRDefault="00000000">
      <w:pPr>
        <w:pStyle w:val="Author-eListParagraph"/>
        <w:numPr>
          <w:ilvl w:val="0"/>
          <w:numId w:val="242"/>
        </w:numPr>
      </w:pPr>
      <w:r>
        <w:t>PROJET et PLANNING</w:t>
      </w:r>
    </w:p>
    <w:p w14:paraId="075C25AB" w14:textId="77777777" w:rsidR="00772179" w:rsidRDefault="00000000">
      <w:pPr>
        <w:pStyle w:val="Author-eListParagraph"/>
        <w:numPr>
          <w:ilvl w:val="0"/>
          <w:numId w:val="242"/>
        </w:numPr>
      </w:pPr>
      <w:r>
        <w:t>ACHATS – commandes et livraisons</w:t>
      </w:r>
    </w:p>
    <w:p w14:paraId="751DC604" w14:textId="77777777" w:rsidR="00772179" w:rsidRDefault="00000000">
      <w:pPr>
        <w:pStyle w:val="Author-eListParagraph"/>
        <w:numPr>
          <w:ilvl w:val="0"/>
          <w:numId w:val="242"/>
        </w:numPr>
      </w:pPr>
      <w:r>
        <w:t>PRODUCTION – débits, mise en détails technique, fabrication</w:t>
      </w:r>
    </w:p>
    <w:p w14:paraId="124290CD" w14:textId="77777777" w:rsidR="00772179" w:rsidRDefault="00000000">
      <w:pPr>
        <w:pStyle w:val="Author-eListParagraph"/>
        <w:numPr>
          <w:ilvl w:val="0"/>
          <w:numId w:val="242"/>
        </w:numPr>
      </w:pPr>
      <w:r>
        <w:t>POSE – emballage, transport, montage</w:t>
      </w:r>
    </w:p>
    <w:p w14:paraId="1EB9BA01" w14:textId="77777777" w:rsidR="00772179" w:rsidRDefault="00000000">
      <w:pPr>
        <w:pStyle w:val="Author-eListParagraph"/>
        <w:numPr>
          <w:ilvl w:val="0"/>
          <w:numId w:val="242"/>
        </w:numPr>
      </w:pPr>
      <w:r>
        <w:t>RECEPTION – facturation, garantie, service après-vente, entretien</w:t>
      </w:r>
    </w:p>
    <w:p w14:paraId="56216E50" w14:textId="77777777" w:rsidR="00772179" w:rsidRDefault="00000000">
      <w:pPr>
        <w:jc w:val="both"/>
      </w:pPr>
      <w:r>
        <w:rPr>
          <w:b/>
        </w:rPr>
        <w:t>Visibilité du marquage CE :</w:t>
      </w:r>
    </w:p>
    <w:p w14:paraId="5B91C482" w14:textId="77777777" w:rsidR="00772179" w:rsidRDefault="00000000">
      <w:pPr>
        <w:jc w:val="both"/>
      </w:pPr>
      <w:r>
        <w:t xml:space="preserve">Pour les produits sous l’attestation de Conformité niveau AoC 3 </w:t>
      </w:r>
    </w:p>
    <w:p w14:paraId="022C9A14" w14:textId="77777777" w:rsidR="00772179" w:rsidRDefault="00000000">
      <w:pPr>
        <w:jc w:val="both"/>
      </w:pPr>
      <w:r>
        <w:t>Sur les documents relatifs au produit</w:t>
      </w:r>
    </w:p>
    <w:p w14:paraId="041FA57F" w14:textId="77777777" w:rsidR="00772179" w:rsidRDefault="00000000">
      <w:pPr>
        <w:pStyle w:val="Author-eListParagraph"/>
        <w:numPr>
          <w:ilvl w:val="0"/>
          <w:numId w:val="243"/>
        </w:numPr>
      </w:pPr>
      <w:r>
        <w:t>Bons de livraison</w:t>
      </w:r>
    </w:p>
    <w:p w14:paraId="4D1C9D67" w14:textId="77777777" w:rsidR="00772179" w:rsidRDefault="00000000">
      <w:pPr>
        <w:pStyle w:val="Author-eListParagraph"/>
        <w:numPr>
          <w:ilvl w:val="0"/>
          <w:numId w:val="243"/>
        </w:numPr>
      </w:pPr>
      <w:r>
        <w:t>Emballage</w:t>
      </w:r>
    </w:p>
    <w:p w14:paraId="5DCF65F4" w14:textId="77777777" w:rsidR="00772179" w:rsidRDefault="00000000">
      <w:pPr>
        <w:pStyle w:val="Author-eListParagraph"/>
        <w:numPr>
          <w:ilvl w:val="0"/>
          <w:numId w:val="243"/>
        </w:numPr>
      </w:pPr>
      <w:r>
        <w:t>Confirmations de commandes</w:t>
      </w:r>
    </w:p>
    <w:p w14:paraId="7887219F" w14:textId="77777777" w:rsidR="00772179" w:rsidRDefault="00000000">
      <w:pPr>
        <w:pStyle w:val="Author-eListParagraph"/>
        <w:numPr>
          <w:ilvl w:val="0"/>
          <w:numId w:val="243"/>
        </w:numPr>
      </w:pPr>
      <w:r>
        <w:t>PV de réception / Facturation</w:t>
      </w:r>
    </w:p>
    <w:p w14:paraId="7321C4BF" w14:textId="77777777" w:rsidR="00772179" w:rsidRDefault="00000000">
      <w:pPr>
        <w:jc w:val="both"/>
      </w:pPr>
      <w:r>
        <w:t>Pour les produits sous le niveau AoC 1 (nécessitant des prestations au feu et/ou à la fumée)</w:t>
      </w:r>
    </w:p>
    <w:p w14:paraId="7185DA7B" w14:textId="77777777" w:rsidR="00772179" w:rsidRDefault="00000000">
      <w:pPr>
        <w:pStyle w:val="Author-eListParagraph"/>
        <w:numPr>
          <w:ilvl w:val="0"/>
          <w:numId w:val="244"/>
        </w:numPr>
        <w:jc w:val="both"/>
      </w:pPr>
      <w:r>
        <w:t>A prévoir sur chaque élément</w:t>
      </w:r>
    </w:p>
    <w:p w14:paraId="371B8DB5" w14:textId="77777777" w:rsidR="00772179" w:rsidRDefault="00000000">
      <w:pPr>
        <w:pStyle w:val="Author-eListParagraph"/>
        <w:numPr>
          <w:ilvl w:val="0"/>
          <w:numId w:val="244"/>
        </w:numPr>
        <w:jc w:val="both"/>
      </w:pPr>
      <w:r>
        <w:t>Avec contrôle EXTERNE du NOTIFIED BODY</w:t>
      </w:r>
    </w:p>
    <w:p w14:paraId="37181752" w14:textId="77777777" w:rsidR="00772179" w:rsidRDefault="00000000">
      <w:pPr>
        <w:ind w:left="750"/>
      </w:pPr>
      <w:r>
        <w:t> </w:t>
      </w:r>
    </w:p>
    <w:p w14:paraId="324371F7" w14:textId="77777777" w:rsidR="00772179" w:rsidRDefault="00000000">
      <w:pPr>
        <w:pStyle w:val="pheading"/>
      </w:pPr>
      <w:r>
        <w:t>- Exécution</w:t>
      </w:r>
    </w:p>
    <w:p w14:paraId="6077EE04" w14:textId="77777777" w:rsidR="00772179" w:rsidRDefault="00000000">
      <w:r>
        <w:t>[NBN 208, Coordination des dimensions des constructions - Système du module - Baies et châssis de fenêtres]</w:t>
      </w:r>
    </w:p>
    <w:p w14:paraId="73F2EEC2" w14:textId="77777777" w:rsidR="00772179" w:rsidRDefault="00000000">
      <w:r>
        <w:t>[NIT 221, La pose des vitrages en feuillure (Les NIT 214 et 221 remplacent les NIT 110 et 113).]</w:t>
      </w:r>
    </w:p>
    <w:p w14:paraId="49BE8A7A" w14:textId="77777777" w:rsidR="00772179" w:rsidRDefault="00000000">
      <w:r>
        <w:t>[NIT 286, La pose des menuiseries extérieures Partie 2 : Mise en oeuvre de châssis en bois dans des murs creux]</w:t>
      </w:r>
    </w:p>
    <w:p w14:paraId="2DD349DB" w14:textId="77777777" w:rsidR="00772179" w:rsidRDefault="00000000">
      <w:r>
        <w:t>Les prescriptions et les indications pour la pose données par le fabricant.</w:t>
      </w:r>
    </w:p>
    <w:p w14:paraId="1DC520BD" w14:textId="77777777" w:rsidR="00772179" w:rsidRDefault="00000000">
      <w:pPr>
        <w:pStyle w:val="pheading"/>
      </w:pPr>
      <w:r>
        <w:t>AIDE</w:t>
      </w:r>
    </w:p>
    <w:p w14:paraId="2E85C5C2" w14:textId="77777777" w:rsidR="00772179" w:rsidRDefault="00000000">
      <w:pPr>
        <w:jc w:val="both"/>
      </w:pPr>
      <w:r>
        <w:t>L'obturation du vide entre la menuiserie et le gros-œuvre à l'intérieur à l'aide de mousse de polyuréthane donne de moins bons résultats au niveau acoustique que le remplissage à la laine minérale.</w:t>
      </w:r>
    </w:p>
    <w:p w14:paraId="5D0067CF" w14:textId="77777777" w:rsidR="00772179" w:rsidRDefault="00000000">
      <w:pPr>
        <w:jc w:val="both"/>
      </w:pPr>
      <w:r>
        <w:t>Une attention particulière est accordée à la hauteur des allèges (voir [NBN B 03-004]).</w:t>
      </w:r>
    </w:p>
    <w:p w14:paraId="739B6336" w14:textId="77777777" w:rsidR="00772179" w:rsidRDefault="00000000">
      <w:pPr>
        <w:pStyle w:val="Author-eSectionHeading5Numberless"/>
      </w:pPr>
      <w:bookmarkStart w:id="62" w:name="_Toc220489811"/>
      <w:r>
        <w:t>41.21.1 Portes d'entrée en bois CCTB 01.02</w:t>
      </w:r>
      <w:bookmarkEnd w:id="62"/>
    </w:p>
    <w:p w14:paraId="2B3A07DA" w14:textId="77777777" w:rsidR="00772179" w:rsidRDefault="00000000">
      <w:pPr>
        <w:pStyle w:val="Author-eSectionHeading6Numberless"/>
      </w:pPr>
      <w:bookmarkStart w:id="63" w:name="_Toc220489812"/>
      <w:r>
        <w:t>41.21.1a Portes d'entrée en bois CCTB 01.11</w:t>
      </w:r>
      <w:bookmarkEnd w:id="63"/>
    </w:p>
    <w:p w14:paraId="6C4C0C23" w14:textId="77777777" w:rsidR="00772179" w:rsidRDefault="00000000">
      <w:pPr>
        <w:pStyle w:val="pheading"/>
      </w:pPr>
      <w:r>
        <w:t>DESCRIPTION</w:t>
      </w:r>
    </w:p>
    <w:p w14:paraId="3C7A81AB" w14:textId="77777777" w:rsidR="00772179" w:rsidRDefault="00000000">
      <w:pPr>
        <w:pStyle w:val="pheading"/>
      </w:pPr>
      <w:r>
        <w:t>- Définition / Comprend</w:t>
      </w:r>
    </w:p>
    <w:p w14:paraId="42CD46C7" w14:textId="77777777" w:rsidR="00772179" w:rsidRDefault="00000000">
      <w:pPr>
        <w:jc w:val="both"/>
      </w:pPr>
      <w:r>
        <w:t>Il s’agit de la fourniture (hors matériaux récupérés du même site) et la pose de portes extérieures en bois.</w:t>
      </w:r>
    </w:p>
    <w:p w14:paraId="582108F9" w14:textId="77777777" w:rsidR="00772179" w:rsidRDefault="00000000">
      <w:pPr>
        <w:jc w:val="both"/>
      </w:pPr>
      <w:r>
        <w:lastRenderedPageBreak/>
        <w:t>Le travail comprend notamment :</w:t>
      </w:r>
    </w:p>
    <w:p w14:paraId="066219A5" w14:textId="77777777" w:rsidR="00772179" w:rsidRDefault="00000000">
      <w:pPr>
        <w:pStyle w:val="Author-eListParagraph"/>
        <w:numPr>
          <w:ilvl w:val="0"/>
          <w:numId w:val="245"/>
        </w:numPr>
      </w:pPr>
      <w:r>
        <w:t>la pose, resserrage,</w:t>
      </w:r>
    </w:p>
    <w:p w14:paraId="7C7E729B" w14:textId="77777777" w:rsidR="00772179" w:rsidRDefault="00000000">
      <w:pPr>
        <w:pStyle w:val="Author-eListParagraph"/>
        <w:numPr>
          <w:ilvl w:val="0"/>
          <w:numId w:val="245"/>
        </w:numPr>
      </w:pPr>
      <w:r>
        <w:t>la finition et le réglage de la porte  </w:t>
      </w:r>
    </w:p>
    <w:p w14:paraId="19FF8FD5" w14:textId="77777777" w:rsidR="00772179" w:rsidRDefault="00000000">
      <w:pPr>
        <w:pStyle w:val="pheading"/>
      </w:pPr>
      <w:r>
        <w:t>MATÉRIAUX</w:t>
      </w:r>
    </w:p>
    <w:p w14:paraId="7C3DAB07" w14:textId="77777777" w:rsidR="00772179" w:rsidRDefault="00000000">
      <w:pPr>
        <w:pStyle w:val="pheading"/>
      </w:pPr>
      <w:r>
        <w:t>- Caractéristiques générales</w:t>
      </w:r>
    </w:p>
    <w:p w14:paraId="64D724C6" w14:textId="77777777" w:rsidR="00772179" w:rsidRDefault="00000000">
      <w:pPr>
        <w:jc w:val="both"/>
      </w:pPr>
      <w:r>
        <w:t xml:space="preserve">Les portes sont en bois de type </w:t>
      </w:r>
      <w:r>
        <w:rPr>
          <w:rStyle w:val="optioncarChar"/>
        </w:rPr>
        <w:t>Chêne</w:t>
      </w:r>
      <w:r>
        <w:t xml:space="preserve"> (par défaut)</w:t>
      </w:r>
      <w:r>
        <w:rPr>
          <w:rStyle w:val="optioncarChar"/>
        </w:rPr>
        <w:t> / Méranti / Afzélia Doussié / Merbau / ***</w:t>
      </w:r>
      <w:r>
        <w:t xml:space="preserve"> dont les caractéristiques sont conformes aux spécifications reprises dans la [STS 52.1].</w:t>
      </w:r>
    </w:p>
    <w:p w14:paraId="2CAABC3D" w14:textId="77777777" w:rsidR="00772179" w:rsidRDefault="00000000">
      <w:pPr>
        <w:jc w:val="both"/>
      </w:pPr>
      <w:r>
        <w:t>Dimensions :</w:t>
      </w:r>
      <w:r>
        <w:rPr>
          <w:rStyle w:val="optioncarChar"/>
        </w:rPr>
        <w:t xml:space="preserve"> mesurage sur place</w:t>
      </w:r>
      <w:r>
        <w:t> (par défaut) / </w:t>
      </w:r>
      <w:r>
        <w:rPr>
          <w:rStyle w:val="optioncarChar"/>
        </w:rPr>
        <w:t>*** x *** mm </w:t>
      </w:r>
    </w:p>
    <w:p w14:paraId="2D0430C0" w14:textId="77777777" w:rsidR="00772179" w:rsidRDefault="00000000">
      <w:pPr>
        <w:jc w:val="both"/>
      </w:pPr>
      <w:r>
        <w:t xml:space="preserve">Les portes extérieures sont </w:t>
      </w:r>
      <w:r>
        <w:rPr>
          <w:rStyle w:val="optioncarChar"/>
        </w:rPr>
        <w:t xml:space="preserve">neuves </w:t>
      </w:r>
      <w:r>
        <w:t>(par défaut)</w:t>
      </w:r>
      <w:r>
        <w:rPr>
          <w:rStyle w:val="optioncarChar"/>
        </w:rPr>
        <w:t xml:space="preserve"> / de réemploi</w:t>
      </w:r>
    </w:p>
    <w:p w14:paraId="14CEFF42" w14:textId="77777777" w:rsidR="00772179" w:rsidRDefault="00000000">
      <w:pPr>
        <w:ind w:left="567"/>
        <w:jc w:val="both"/>
      </w:pPr>
      <w:r>
        <w:rPr>
          <w:b/>
        </w:rPr>
        <w:t>(soit par défaut)</w:t>
      </w:r>
    </w:p>
    <w:p w14:paraId="642341B8" w14:textId="77777777" w:rsidR="00772179" w:rsidRDefault="00000000">
      <w:pPr>
        <w:ind w:left="567"/>
        <w:jc w:val="both"/>
      </w:pPr>
      <w:r>
        <w:rPr>
          <w:rStyle w:val="soitChar"/>
          <w:u w:val="single"/>
        </w:rPr>
        <w:t>Neuves :</w:t>
      </w:r>
    </w:p>
    <w:p w14:paraId="379D1945" w14:textId="77777777" w:rsidR="00772179" w:rsidRDefault="00000000">
      <w:pPr>
        <w:ind w:left="567"/>
        <w:jc w:val="both"/>
      </w:pPr>
      <w:r>
        <w:rPr>
          <w:b/>
        </w:rPr>
        <w:t>Forme et dimensions des profils</w:t>
      </w:r>
    </w:p>
    <w:p w14:paraId="20DF3559" w14:textId="77777777" w:rsidR="00772179" w:rsidRDefault="00000000">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2E0E6389" w14:textId="77777777" w:rsidR="00772179" w:rsidRDefault="00000000">
      <w:pPr>
        <w:pStyle w:val="Author-eListParagraph"/>
        <w:numPr>
          <w:ilvl w:val="1"/>
          <w:numId w:val="247"/>
        </w:numPr>
      </w:pPr>
      <w:r>
        <w:rPr>
          <w:rStyle w:val="soitChar"/>
        </w:rPr>
        <w:t>hauteur du profil :</w:t>
      </w:r>
      <w:r>
        <w:rPr>
          <w:rStyle w:val="optioncarChar"/>
        </w:rPr>
        <w:t xml:space="preserve">80 </w:t>
      </w:r>
      <w:r>
        <w:t>(par défaut)</w:t>
      </w:r>
      <w:r>
        <w:rPr>
          <w:rStyle w:val="optioncarChar"/>
        </w:rPr>
        <w:t>  / ***</w:t>
      </w:r>
      <w:r>
        <w:t> </w:t>
      </w:r>
      <w:r>
        <w:rPr>
          <w:rStyle w:val="soitChar"/>
        </w:rPr>
        <w:t>mm.</w:t>
      </w:r>
    </w:p>
    <w:p w14:paraId="790D4E31" w14:textId="77777777" w:rsidR="00772179" w:rsidRDefault="00000000">
      <w:pPr>
        <w:pStyle w:val="Author-eListParagraph"/>
        <w:numPr>
          <w:ilvl w:val="1"/>
          <w:numId w:val="247"/>
        </w:numPr>
      </w:pPr>
      <w:r>
        <w:rPr>
          <w:rStyle w:val="soitChar"/>
        </w:rPr>
        <w:t>profondeur  du profil</w:t>
      </w:r>
      <w:r>
        <w:t xml:space="preserve"> : </w:t>
      </w:r>
      <w:r>
        <w:rPr>
          <w:rStyle w:val="optioncarChar"/>
        </w:rPr>
        <w:t xml:space="preserve">58 </w:t>
      </w:r>
      <w:r>
        <w:t>(par défaut)</w:t>
      </w:r>
      <w:r>
        <w:rPr>
          <w:rStyle w:val="optioncarChar"/>
        </w:rPr>
        <w:t xml:space="preserve">  / 68 / ***</w:t>
      </w:r>
      <w:r>
        <w:t> </w:t>
      </w:r>
      <w:r>
        <w:rPr>
          <w:rStyle w:val="soitChar"/>
        </w:rPr>
        <w:t>mm.</w:t>
      </w:r>
    </w:p>
    <w:p w14:paraId="0E7D9C53" w14:textId="77777777" w:rsidR="00772179" w:rsidRDefault="00000000">
      <w:pPr>
        <w:ind w:left="567"/>
        <w:jc w:val="both"/>
      </w:pPr>
      <w:r>
        <w:rPr>
          <w:rStyle w:val="soitChar"/>
        </w:rPr>
        <w:t>Les profilés disposent</w:t>
      </w:r>
    </w:p>
    <w:p w14:paraId="03E2CCA3" w14:textId="77777777" w:rsidR="00772179" w:rsidRDefault="00000000">
      <w:pPr>
        <w:pStyle w:val="Author-eListParagraph"/>
        <w:numPr>
          <w:ilvl w:val="1"/>
          <w:numId w:val="249"/>
        </w:numPr>
      </w:pPr>
      <w:r>
        <w:rPr>
          <w:rStyle w:val="soitChar"/>
        </w:rPr>
        <w:t>D’une</w:t>
      </w:r>
      <w:r>
        <w:t xml:space="preserve">  </w:t>
      </w:r>
      <w:r>
        <w:rPr>
          <w:rStyle w:val="optioncarChar"/>
        </w:rPr>
        <w:t xml:space="preserve">simple / double / triple </w:t>
      </w:r>
      <w:r>
        <w:t>(par défaut)</w:t>
      </w:r>
      <w:r>
        <w:rPr>
          <w:rStyle w:val="optioncarChar"/>
        </w:rPr>
        <w:t xml:space="preserve"> / ***</w:t>
      </w:r>
      <w:r>
        <w:t> </w:t>
      </w:r>
      <w:r>
        <w:rPr>
          <w:rStyle w:val="soitChar"/>
        </w:rPr>
        <w:t>frappe.</w:t>
      </w:r>
    </w:p>
    <w:p w14:paraId="2ED12A56" w14:textId="77777777" w:rsidR="00772179" w:rsidRDefault="00000000">
      <w:pPr>
        <w:pStyle w:val="Author-eListParagraph"/>
        <w:numPr>
          <w:ilvl w:val="1"/>
          <w:numId w:val="249"/>
        </w:numPr>
      </w:pPr>
      <w:r>
        <w:rPr>
          <w:rStyle w:val="soitChar"/>
        </w:rPr>
        <w:t>De</w:t>
      </w:r>
      <w:r>
        <w:t xml:space="preserve">  </w:t>
      </w:r>
      <w:r>
        <w:rPr>
          <w:rStyle w:val="optioncarChar"/>
        </w:rPr>
        <w:t xml:space="preserve">1 </w:t>
      </w:r>
      <w:r>
        <w:t>(par défaut)</w:t>
      </w:r>
      <w:r>
        <w:rPr>
          <w:rStyle w:val="optioncarChar"/>
        </w:rPr>
        <w:t xml:space="preserve"> / 2 / 3 / ***</w:t>
      </w:r>
      <w:r>
        <w:t>  </w:t>
      </w:r>
      <w:r>
        <w:rPr>
          <w:rStyle w:val="soitChar"/>
        </w:rPr>
        <w:t>joint(s)</w:t>
      </w:r>
    </w:p>
    <w:p w14:paraId="2951E3A9" w14:textId="77777777" w:rsidR="00772179" w:rsidRDefault="00000000">
      <w:pPr>
        <w:pStyle w:val="Author-eListParagraph"/>
        <w:numPr>
          <w:ilvl w:val="1"/>
          <w:numId w:val="249"/>
        </w:numPr>
      </w:pPr>
      <w:r>
        <w:rPr>
          <w:rStyle w:val="optioncarChar"/>
        </w:rPr>
        <w:t xml:space="preserve">D’une chambre de décompression </w:t>
      </w:r>
      <w:r>
        <w:t>(par défaut)</w:t>
      </w:r>
      <w:r>
        <w:rPr>
          <w:rStyle w:val="optioncarChar"/>
        </w:rPr>
        <w:t xml:space="preserve"> / d'aucune chambre de décompression</w:t>
      </w:r>
      <w:r>
        <w:t>.</w:t>
      </w:r>
      <w:r>
        <w:br/>
      </w:r>
    </w:p>
    <w:p w14:paraId="459789A2" w14:textId="77777777" w:rsidR="00772179" w:rsidRDefault="00000000">
      <w:pPr>
        <w:ind w:left="567"/>
        <w:jc w:val="both"/>
      </w:pPr>
      <w:r>
        <w:rPr>
          <w:rStyle w:val="soitChar"/>
          <w:b/>
        </w:rPr>
        <w:t>Assemblage des profils</w:t>
      </w:r>
    </w:p>
    <w:p w14:paraId="6187F161" w14:textId="77777777" w:rsidR="00772179" w:rsidRDefault="00000000">
      <w:pPr>
        <w:ind w:left="567"/>
        <w:jc w:val="both"/>
      </w:pPr>
      <w:r>
        <w:rPr>
          <w:rStyle w:val="soitChar"/>
        </w:rPr>
        <w:t>Les assemblages des angles et des extrémités sont exécutés</w:t>
      </w:r>
      <w:r>
        <w:t> </w:t>
      </w:r>
      <w:r>
        <w:rPr>
          <w:rStyle w:val="optioncarChar"/>
        </w:rPr>
        <w:t xml:space="preserve">à doubles tenons </w:t>
      </w:r>
      <w:r>
        <w:t>(par défaut)</w:t>
      </w:r>
      <w:r>
        <w:rPr>
          <w:rStyle w:val="optioncarChar"/>
        </w:rPr>
        <w:t xml:space="preserve"> / par entures multiples / par assemblage mécanique / ***</w:t>
      </w:r>
      <w:r>
        <w:t> </w:t>
      </w:r>
      <w:r>
        <w:rPr>
          <w:rStyle w:val="soitChar"/>
        </w:rPr>
        <w:t>et collés avec une colle synthétique minimum D3 Après collage, les pièces de bois sont assemblées mécaniquement, les trous ainsi pratiqués sont comblés par un mastic approprié à la finition décrite par ailleurs.</w:t>
      </w:r>
    </w:p>
    <w:p w14:paraId="3743F4CC" w14:textId="77777777" w:rsidR="00772179" w:rsidRDefault="00000000">
      <w:pPr>
        <w:ind w:left="567"/>
        <w:jc w:val="both"/>
      </w:pPr>
      <w:r>
        <w:rPr>
          <w:rStyle w:val="soitChar"/>
          <w:b/>
        </w:rPr>
        <w:t>Performances</w:t>
      </w:r>
    </w:p>
    <w:p w14:paraId="451318CA" w14:textId="77777777" w:rsidR="00772179" w:rsidRDefault="00000000">
      <w:pPr>
        <w:pStyle w:val="Author-eListParagraph"/>
        <w:numPr>
          <w:ilvl w:val="1"/>
          <w:numId w:val="251"/>
        </w:numPr>
      </w:pPr>
      <w:r>
        <w:rPr>
          <w:rStyle w:val="soitChar"/>
        </w:rPr>
        <w:t>La classe de résistance mécanique est</w:t>
      </w:r>
      <w:r>
        <w:t> </w:t>
      </w:r>
      <w:r>
        <w:rPr>
          <w:rStyle w:val="optioncarChar"/>
        </w:rPr>
        <w:t xml:space="preserve">M1 </w:t>
      </w:r>
      <w:r>
        <w:t>(par défaut) </w:t>
      </w:r>
      <w:r>
        <w:rPr>
          <w:rStyle w:val="optioncarChar"/>
        </w:rPr>
        <w:t xml:space="preserve"> / M2 / M3 / M4</w:t>
      </w:r>
      <w:r>
        <w:t> </w:t>
      </w:r>
      <w:r>
        <w:rPr>
          <w:rStyle w:val="soitChar"/>
        </w:rPr>
        <w:t>conformément aux [STS 53.1] , §53.1.4.2.2.</w:t>
      </w:r>
    </w:p>
    <w:p w14:paraId="08AADFB1" w14:textId="77777777" w:rsidR="00772179" w:rsidRDefault="00000000">
      <w:pPr>
        <w:pStyle w:val="Author-eListParagraph"/>
        <w:numPr>
          <w:ilvl w:val="1"/>
          <w:numId w:val="251"/>
        </w:numPr>
      </w:pPr>
      <w:r>
        <w:rPr>
          <w:rStyle w:val="soitChar"/>
        </w:rPr>
        <w:t>La classe d’endurance est</w:t>
      </w:r>
      <w:r>
        <w:t> </w:t>
      </w:r>
      <w:r>
        <w:rPr>
          <w:rStyle w:val="optioncarChar"/>
        </w:rPr>
        <w:t>f1</w:t>
      </w:r>
      <w:r>
        <w:t xml:space="preserve"> (par défaut) </w:t>
      </w:r>
      <w:r>
        <w:rPr>
          <w:rStyle w:val="optioncarChar"/>
        </w:rPr>
        <w:t>/ f2 / f3 / f4 / f5 / f6 / f7 / f8</w:t>
      </w:r>
      <w:r>
        <w:t> selon les [STS 53.1]</w:t>
      </w:r>
      <w:r>
        <w:rPr>
          <w:rStyle w:val="soitChar"/>
        </w:rPr>
        <w:t> §54.1.4.2.4.</w:t>
      </w:r>
    </w:p>
    <w:p w14:paraId="1E5448C4" w14:textId="77777777" w:rsidR="00772179" w:rsidRDefault="00000000">
      <w:pPr>
        <w:pStyle w:val="Author-eListParagraph"/>
        <w:numPr>
          <w:ilvl w:val="1"/>
          <w:numId w:val="251"/>
        </w:numPr>
      </w:pPr>
      <w:r>
        <w:rPr>
          <w:rStyle w:val="soitChar"/>
        </w:rPr>
        <w:t>L’isolation thermique est &lt;</w:t>
      </w:r>
      <w:r>
        <w:t> </w:t>
      </w:r>
      <w:r>
        <w:rPr>
          <w:rStyle w:val="optioncarChar"/>
        </w:rPr>
        <w:t xml:space="preserve">2.5 </w:t>
      </w:r>
      <w:r>
        <w:t>(par défaut)</w:t>
      </w:r>
      <w:r>
        <w:rPr>
          <w:rStyle w:val="optioncarChar"/>
        </w:rPr>
        <w:t xml:space="preserve"> / ***</w:t>
      </w:r>
      <w:r>
        <w:t> </w:t>
      </w:r>
      <w:r>
        <w:rPr>
          <w:rStyle w:val="soitChar"/>
        </w:rPr>
        <w:t>W/m²K conformément aux [STS 53.1] §53.1.4.3.1.</w:t>
      </w:r>
    </w:p>
    <w:p w14:paraId="22785B46" w14:textId="77777777" w:rsidR="00772179" w:rsidRDefault="00000000">
      <w:pPr>
        <w:pStyle w:val="Author-eListParagraph"/>
        <w:numPr>
          <w:ilvl w:val="1"/>
          <w:numId w:val="251"/>
        </w:numPr>
      </w:pPr>
      <w:r>
        <w:rPr>
          <w:rStyle w:val="soitChar"/>
        </w:rPr>
        <w:t>L’isolation thermique est &gt;</w:t>
      </w:r>
      <w:r>
        <w:t xml:space="preserve">   </w:t>
      </w:r>
      <w:r>
        <w:rPr>
          <w:rStyle w:val="optioncarChar"/>
        </w:rPr>
        <w:t xml:space="preserve">52  </w:t>
      </w:r>
      <w:r>
        <w:t>(par défaut)</w:t>
      </w:r>
      <w:r>
        <w:rPr>
          <w:rStyle w:val="optioncarChar"/>
        </w:rPr>
        <w:t xml:space="preserve"> / ***</w:t>
      </w:r>
      <w:r>
        <w:t>  </w:t>
      </w:r>
      <w:r>
        <w:rPr>
          <w:rStyle w:val="soitChar"/>
        </w:rPr>
        <w:t>dB conformément aux [STS 53.1] §53.1.4.3.2.</w:t>
      </w:r>
    </w:p>
    <w:p w14:paraId="7E525E9F" w14:textId="77777777" w:rsidR="00772179" w:rsidRDefault="00000000">
      <w:pPr>
        <w:pStyle w:val="Author-eListParagraph"/>
        <w:numPr>
          <w:ilvl w:val="1"/>
          <w:numId w:val="251"/>
        </w:numPr>
      </w:pPr>
      <w:r>
        <w:rPr>
          <w:rStyle w:val="soitChar"/>
        </w:rPr>
        <w:t>La classe d’étanchéité à l’air est</w:t>
      </w:r>
      <w:r>
        <w:t> </w:t>
      </w:r>
      <w:r>
        <w:rPr>
          <w:rStyle w:val="optioncarChar"/>
        </w:rPr>
        <w:t xml:space="preserve">L1 </w:t>
      </w:r>
      <w:r>
        <w:t xml:space="preserve">(par défaut) </w:t>
      </w:r>
      <w:r>
        <w:rPr>
          <w:rStyle w:val="optioncarChar"/>
        </w:rPr>
        <w:t>/ L2 / L3 / L4</w:t>
      </w:r>
      <w:r>
        <w:t> </w:t>
      </w:r>
      <w:r>
        <w:rPr>
          <w:rStyle w:val="soitChar"/>
        </w:rPr>
        <w:t>conformément aux [STS 53.1] §53.1.4.3.3.</w:t>
      </w:r>
    </w:p>
    <w:p w14:paraId="390503EE" w14:textId="77777777" w:rsidR="00772179" w:rsidRDefault="00000000">
      <w:pPr>
        <w:pStyle w:val="Author-eListParagraph"/>
        <w:numPr>
          <w:ilvl w:val="1"/>
          <w:numId w:val="251"/>
        </w:numPr>
      </w:pPr>
      <w:r>
        <w:rPr>
          <w:rStyle w:val="soitChar"/>
        </w:rPr>
        <w:t>Résistance à l’effraction : Classe</w:t>
      </w:r>
      <w:r>
        <w:t> </w:t>
      </w:r>
      <w:r>
        <w:rPr>
          <w:rStyle w:val="optioncarChar"/>
        </w:rPr>
        <w:t xml:space="preserve">0 /1 (sans performances particulières) / 2 ( résistance à l’effraction de base) </w:t>
      </w:r>
      <w:r>
        <w:t>(par défaut)</w:t>
      </w:r>
      <w:r>
        <w:rPr>
          <w:rStyle w:val="optioncarChar"/>
        </w:rPr>
        <w:t xml:space="preserve"> / 3 / 4 / 5</w:t>
      </w:r>
      <w:r>
        <w:t>.</w:t>
      </w:r>
    </w:p>
    <w:p w14:paraId="10749935" w14:textId="77777777" w:rsidR="00772179" w:rsidRDefault="00000000">
      <w:pPr>
        <w:ind w:left="567"/>
        <w:jc w:val="both"/>
      </w:pPr>
      <w:r>
        <w:rPr>
          <w:rStyle w:val="soitChar"/>
          <w:b/>
        </w:rPr>
        <w:t>Types de portes</w:t>
      </w:r>
    </w:p>
    <w:p w14:paraId="64262E44" w14:textId="77777777" w:rsidR="00772179" w:rsidRDefault="00000000">
      <w:pPr>
        <w:ind w:left="567"/>
        <w:jc w:val="both"/>
      </w:pPr>
      <w:r>
        <w:rPr>
          <w:rStyle w:val="soitChar"/>
          <w:u w:val="single"/>
        </w:rPr>
        <w:t>Porte simple</w:t>
      </w:r>
    </w:p>
    <w:p w14:paraId="27C9C065" w14:textId="77777777" w:rsidR="00772179" w:rsidRDefault="00000000">
      <w:pPr>
        <w:pStyle w:val="Author-eListParagraph"/>
        <w:numPr>
          <w:ilvl w:val="1"/>
          <w:numId w:val="253"/>
        </w:numPr>
      </w:pPr>
      <w:r>
        <w:rPr>
          <w:rStyle w:val="soitChar"/>
        </w:rPr>
        <w:t xml:space="preserve">Remplissage : </w:t>
      </w:r>
      <w:r>
        <w:rPr>
          <w:rStyle w:val="optioncarChar"/>
        </w:rPr>
        <w:t xml:space="preserve">Vitrages doubles – Gaz (cfr </w:t>
      </w:r>
      <w:hyperlink w:anchor="878" w:history="1">
        <w:r>
          <w:rPr>
            <w:rStyle w:val="optioncarChar"/>
            <w:color w:val="0000EE"/>
          </w:rPr>
          <w:t>42.22.1a Vitrages doubles - Gaz</w:t>
        </w:r>
      </w:hyperlink>
      <w:r>
        <w:rPr>
          <w:rStyle w:val="optioncarChar"/>
        </w:rPr>
        <w:t xml:space="preserve">) </w:t>
      </w:r>
      <w:r>
        <w:t>(par défaut)</w:t>
      </w:r>
      <w:r>
        <w:rPr>
          <w:rStyle w:val="optioncarChar"/>
        </w:rPr>
        <w:t xml:space="preserve"> / Vitrages triple – Gaz (cfr </w:t>
      </w:r>
      <w:hyperlink w:anchor="879" w:history="1">
        <w:r>
          <w:rPr>
            <w:rStyle w:val="optioncarChar"/>
            <w:color w:val="0000EE"/>
          </w:rPr>
          <w:t>42.22.2a Vitrages triples - Gaz</w:t>
        </w:r>
      </w:hyperlink>
      <w:r>
        <w:rPr>
          <w:rStyle w:val="optioncarChar"/>
        </w:rPr>
        <w:t xml:space="preserve">) / Eléments de </w:t>
      </w:r>
      <w:r>
        <w:rPr>
          <w:rStyle w:val="optioncarChar"/>
        </w:rPr>
        <w:lastRenderedPageBreak/>
        <w:t xml:space="preserve">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p>
    <w:p w14:paraId="01E6A66E" w14:textId="77777777" w:rsidR="00772179" w:rsidRDefault="00000000">
      <w:pPr>
        <w:pStyle w:val="Author-eListParagraph"/>
        <w:numPr>
          <w:ilvl w:val="1"/>
          <w:numId w:val="253"/>
        </w:numPr>
      </w:pPr>
      <w:r>
        <w:rPr>
          <w:rStyle w:val="soitChar"/>
        </w:rPr>
        <w:t xml:space="preserve">Quincailleries : </w:t>
      </w:r>
      <w:r>
        <w:rPr>
          <w:rStyle w:val="optioncarChar"/>
        </w:rPr>
        <w:t xml:space="preserve">conforme aux prescriptions du fabricant </w:t>
      </w:r>
      <w:r>
        <w:t>(par défaut)</w:t>
      </w:r>
      <w:r>
        <w:rPr>
          <w:rStyle w:val="optioncarChar"/>
        </w:rPr>
        <w:t xml:space="preserve"> / ***</w:t>
      </w:r>
      <w:r>
        <w:br/>
      </w:r>
      <w:r>
        <w:rPr>
          <w:rStyle w:val="soitChar"/>
        </w:rPr>
        <w:t xml:space="preserve">Cfr. Article </w:t>
      </w:r>
      <w:hyperlink w:anchor="881" w:history="1">
        <w:r>
          <w:rPr>
            <w:rStyle w:val="soitChar"/>
            <w:color w:val="0000EE"/>
          </w:rPr>
          <w:t>41.72.1a Charnières et paumelles</w:t>
        </w:r>
      </w:hyperlink>
      <w:r>
        <w:br/>
      </w:r>
      <w:r>
        <w:rPr>
          <w:rStyle w:val="soitChar"/>
        </w:rPr>
        <w:t xml:space="preserve">Cfr. Article </w:t>
      </w:r>
      <w:hyperlink w:anchor="882" w:history="1">
        <w:r>
          <w:rPr>
            <w:rStyle w:val="soitChar"/>
            <w:color w:val="0000EE"/>
          </w:rPr>
          <w:t>41.72.3a Poignées</w:t>
        </w:r>
      </w:hyperlink>
    </w:p>
    <w:p w14:paraId="088B853C" w14:textId="77777777" w:rsidR="00772179" w:rsidRDefault="00000000">
      <w:pPr>
        <w:ind w:left="567"/>
        <w:jc w:val="both"/>
      </w:pPr>
      <w:r>
        <w:rPr>
          <w:rStyle w:val="soitChar"/>
        </w:rPr>
        <w:t> </w:t>
      </w:r>
      <w:r>
        <w:rPr>
          <w:rStyle w:val="soitChar"/>
          <w:u w:val="single"/>
        </w:rPr>
        <w:t>Ensembles de portes composées </w:t>
      </w:r>
    </w:p>
    <w:p w14:paraId="6B82F5E9" w14:textId="77777777" w:rsidR="00772179" w:rsidRDefault="00000000">
      <w:pPr>
        <w:pStyle w:val="Author-eListParagraph"/>
        <w:numPr>
          <w:ilvl w:val="1"/>
          <w:numId w:val="255"/>
        </w:numPr>
      </w:pPr>
      <w:r>
        <w:rPr>
          <w:rStyle w:val="soitChar"/>
        </w:rPr>
        <w:t xml:space="preserve">Remplissage : </w:t>
      </w:r>
      <w:r>
        <w:rPr>
          <w:rStyle w:val="optioncarChar"/>
        </w:rPr>
        <w:t xml:space="preserve">Vitrages doubles – Gaz (cfr </w:t>
      </w:r>
      <w:hyperlink w:anchor="878" w:history="1">
        <w:r>
          <w:rPr>
            <w:rStyle w:val="optioncarChar"/>
            <w:color w:val="0000EE"/>
          </w:rPr>
          <w:t>42.22.1a Vitrages doubles - Gaz</w:t>
        </w:r>
      </w:hyperlink>
      <w:r>
        <w:rPr>
          <w:rStyle w:val="optioncarChar"/>
        </w:rPr>
        <w:t>)</w:t>
      </w:r>
      <w:r>
        <w:t xml:space="preserve"> (par défaut) </w:t>
      </w:r>
      <w:r>
        <w:rPr>
          <w:rStyle w:val="optioncarChar"/>
        </w:rPr>
        <w:t xml:space="preserve">/ Vitrages triple – Gaz (cfr </w:t>
      </w:r>
      <w:hyperlink w:anchor="879" w:history="1">
        <w:r>
          <w:rPr>
            <w:rStyle w:val="optioncarChar"/>
            <w:color w:val="0000EE"/>
          </w:rPr>
          <w:t>42.22.2a Vitrages triples - Gaz</w:t>
        </w:r>
      </w:hyperlink>
      <w:r>
        <w:rPr>
          <w:rStyle w:val="optioncarChar"/>
        </w:rPr>
        <w:t xml:space="preserve">)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br/>
      </w:r>
    </w:p>
    <w:p w14:paraId="1A20D570" w14:textId="77777777" w:rsidR="00772179" w:rsidRDefault="00000000">
      <w:pPr>
        <w:ind w:left="567"/>
        <w:jc w:val="both"/>
      </w:pPr>
      <w:r>
        <w:rPr>
          <w:rStyle w:val="soitChar"/>
          <w:b/>
        </w:rPr>
        <w:t> Vitrages et panneaux de remplissage</w:t>
      </w:r>
    </w:p>
    <w:p w14:paraId="78A8E04F" w14:textId="77777777" w:rsidR="00772179" w:rsidRDefault="00000000">
      <w:pPr>
        <w:ind w:left="567"/>
        <w:jc w:val="both"/>
      </w:pPr>
      <w:r>
        <w:rPr>
          <w:rStyle w:val="soitChar"/>
        </w:rPr>
        <w:t xml:space="preserve">(voir section </w:t>
      </w:r>
      <w:hyperlink w:anchor="852" w:history="1">
        <w:r>
          <w:rPr>
            <w:rStyle w:val="soitChar"/>
            <w:color w:val="0000EE"/>
          </w:rPr>
          <w:t>42 Vitrages extérieurs et éléments de remplissage</w:t>
        </w:r>
      </w:hyperlink>
      <w:r>
        <w:rPr>
          <w:rStyle w:val="soitChar"/>
        </w:rPr>
        <w:t>)</w:t>
      </w:r>
    </w:p>
    <w:p w14:paraId="01B22081" w14:textId="77777777" w:rsidR="00772179" w:rsidRDefault="00772179">
      <w:pPr>
        <w:ind w:left="567"/>
        <w:jc w:val="both"/>
      </w:pPr>
    </w:p>
    <w:p w14:paraId="29959443" w14:textId="77777777" w:rsidR="00772179" w:rsidRDefault="00000000">
      <w:pPr>
        <w:ind w:left="567"/>
        <w:jc w:val="both"/>
      </w:pPr>
      <w:r>
        <w:t> </w:t>
      </w:r>
      <w:r>
        <w:rPr>
          <w:b/>
        </w:rPr>
        <w:t>(soit)</w:t>
      </w:r>
    </w:p>
    <w:p w14:paraId="6A6585F0" w14:textId="77777777" w:rsidR="00772179" w:rsidRDefault="00000000">
      <w:pPr>
        <w:ind w:left="567"/>
        <w:jc w:val="both"/>
      </w:pPr>
      <w:r>
        <w:rPr>
          <w:rStyle w:val="soitChar"/>
          <w:u w:val="single"/>
        </w:rPr>
        <w:t>Réemploi :</w:t>
      </w:r>
    </w:p>
    <w:p w14:paraId="53D0307D" w14:textId="77777777" w:rsidR="00772179" w:rsidRDefault="00000000">
      <w:pPr>
        <w:ind w:left="567"/>
        <w:jc w:val="both"/>
      </w:pPr>
      <w:r>
        <w:rPr>
          <w:rStyle w:val="soitChar"/>
        </w:rPr>
        <w:t xml:space="preserve">Il s’agit de portes issues </w:t>
      </w:r>
      <w:r>
        <w:rPr>
          <w:rStyle w:val="optioncarChar"/>
        </w:rPr>
        <w:t xml:space="preserve">du démontage de portes existantes </w:t>
      </w:r>
      <w:r>
        <w:t>(par défaut)</w:t>
      </w:r>
      <w:r>
        <w:rPr>
          <w:rStyle w:val="optioncarChar"/>
        </w:rPr>
        <w:t xml:space="preserve">  / ***</w:t>
      </w:r>
    </w:p>
    <w:p w14:paraId="74E0FF41" w14:textId="77777777" w:rsidR="00772179" w:rsidRDefault="00000000">
      <w:pPr>
        <w:ind w:left="567"/>
        <w:jc w:val="both"/>
      </w:pPr>
      <w:r>
        <w:rPr>
          <w:rStyle w:val="soitChar"/>
        </w:rPr>
        <w:t>Si la porte est issue du même chantier, celle-ci est reconditionnée via :  </w:t>
      </w:r>
      <w:r>
        <w:rPr>
          <w:rStyle w:val="optioncarChar"/>
        </w:rPr>
        <w:t xml:space="preserve">procédé présenté au maitre d’ouvrage </w:t>
      </w:r>
      <w:r>
        <w:t>(par défaut)</w:t>
      </w:r>
      <w:r>
        <w:rPr>
          <w:rStyle w:val="optioncarChar"/>
        </w:rPr>
        <w:t xml:space="preserve"> / remplacement des joints / le remplacement et le renfort de la quincailleries / le remplacement des dispositifs de drainage (évacuation de l’eau) / ***</w:t>
      </w:r>
    </w:p>
    <w:p w14:paraId="76AD4444" w14:textId="77777777" w:rsidR="00772179" w:rsidRDefault="00000000">
      <w:pPr>
        <w:ind w:left="567"/>
        <w:jc w:val="both"/>
      </w:pPr>
      <w:r>
        <w:rPr>
          <w:rStyle w:val="soitChar"/>
        </w:rPr>
        <w:t>Une porte témoin est soumise à banc d’essais pour atteindre les performances suivantes :</w:t>
      </w:r>
    </w:p>
    <w:p w14:paraId="7020D505" w14:textId="77777777" w:rsidR="00772179" w:rsidRDefault="00000000">
      <w:pPr>
        <w:pStyle w:val="Author-eListParagraph"/>
        <w:numPr>
          <w:ilvl w:val="1"/>
          <w:numId w:val="257"/>
        </w:numPr>
      </w:pPr>
      <w:r>
        <w:rPr>
          <w:rStyle w:val="soitChar"/>
        </w:rPr>
        <w:t xml:space="preserve">La classe de résistance mécanique est </w:t>
      </w:r>
      <w:r>
        <w:rPr>
          <w:rStyle w:val="optioncarChar"/>
        </w:rPr>
        <w:t xml:space="preserve">sans performance </w:t>
      </w:r>
      <w:r>
        <w:t>(par défaut)</w:t>
      </w:r>
      <w:r>
        <w:rPr>
          <w:rStyle w:val="optioncarChar"/>
        </w:rPr>
        <w:t xml:space="preserve"> / M1 / M2 / M3 / M4</w:t>
      </w:r>
      <w:r>
        <w:rPr>
          <w:rStyle w:val="soitChar"/>
        </w:rPr>
        <w:t> conformément aux [STS 53.1], §53.1.4.2.2</w:t>
      </w:r>
    </w:p>
    <w:p w14:paraId="36990572" w14:textId="77777777" w:rsidR="00772179" w:rsidRDefault="00000000">
      <w:pPr>
        <w:pStyle w:val="Author-eListParagraph"/>
        <w:numPr>
          <w:ilvl w:val="1"/>
          <w:numId w:val="257"/>
        </w:numPr>
      </w:pPr>
      <w:r>
        <w:rPr>
          <w:rStyle w:val="soitChar"/>
        </w:rPr>
        <w:t>La classe d’endurance est </w:t>
      </w:r>
      <w:r>
        <w:rPr>
          <w:rStyle w:val="optioncarChar"/>
        </w:rPr>
        <w:t xml:space="preserve">sans performance </w:t>
      </w:r>
      <w:r>
        <w:t xml:space="preserve">(par défaut) </w:t>
      </w:r>
      <w:r>
        <w:rPr>
          <w:rStyle w:val="optioncarChar"/>
        </w:rPr>
        <w:t>/ f1 / f2 / f3 / f4 / f5 / f6 / f7 / f8</w:t>
      </w:r>
      <w:r>
        <w:rPr>
          <w:rStyle w:val="soitChar"/>
        </w:rPr>
        <w:t> selon les [STS 53.1] §54.1.4.2.4</w:t>
      </w:r>
    </w:p>
    <w:p w14:paraId="2772BE28" w14:textId="77777777" w:rsidR="00772179" w:rsidRDefault="00000000">
      <w:pPr>
        <w:pStyle w:val="Author-eListParagraph"/>
        <w:numPr>
          <w:ilvl w:val="1"/>
          <w:numId w:val="257"/>
        </w:numPr>
      </w:pPr>
      <w:r>
        <w:rPr>
          <w:rStyle w:val="soitChar"/>
        </w:rPr>
        <w:t>L’isolation thermique est de &lt;</w:t>
      </w:r>
      <w:r>
        <w:t> </w:t>
      </w:r>
      <w:r>
        <w:rPr>
          <w:rStyle w:val="optioncarChar"/>
        </w:rPr>
        <w:t>1.5</w:t>
      </w:r>
      <w:r>
        <w:rPr>
          <w:rStyle w:val="soitChar"/>
        </w:rPr>
        <w:t> W/m²K conformément aux [STS 53.1] §53.1.4.3.1</w:t>
      </w:r>
    </w:p>
    <w:p w14:paraId="77F5D2E7" w14:textId="77777777" w:rsidR="00772179" w:rsidRDefault="00000000">
      <w:pPr>
        <w:pStyle w:val="Author-eListParagraph"/>
        <w:numPr>
          <w:ilvl w:val="1"/>
          <w:numId w:val="257"/>
        </w:numPr>
      </w:pPr>
      <w:r>
        <w:rPr>
          <w:rStyle w:val="soitChar"/>
        </w:rPr>
        <w:t>La classe d’étanchéité à l’air est </w:t>
      </w:r>
      <w:r>
        <w:rPr>
          <w:rStyle w:val="optioncarChar"/>
        </w:rPr>
        <w:t xml:space="preserve">sans performance </w:t>
      </w:r>
      <w:r>
        <w:t>(par défaut)</w:t>
      </w:r>
      <w:r>
        <w:rPr>
          <w:rStyle w:val="optioncarChar"/>
        </w:rPr>
        <w:t xml:space="preserve"> / L1 / L2 / L3 / L4</w:t>
      </w:r>
      <w:r>
        <w:rPr>
          <w:rStyle w:val="soitChar"/>
        </w:rPr>
        <w:t> conformément aux [STS 53.1] §53.1.4.3.3</w:t>
      </w:r>
    </w:p>
    <w:p w14:paraId="2CA8E7F9" w14:textId="77777777" w:rsidR="00772179" w:rsidRDefault="00000000">
      <w:pPr>
        <w:ind w:left="567"/>
        <w:jc w:val="both"/>
      </w:pPr>
      <w:r>
        <w:rPr>
          <w:rStyle w:val="soitChar"/>
          <w:b/>
        </w:rPr>
        <w:t>Types de portes</w:t>
      </w:r>
    </w:p>
    <w:p w14:paraId="66D7FF44" w14:textId="77777777" w:rsidR="00772179" w:rsidRDefault="00000000">
      <w:pPr>
        <w:ind w:left="567"/>
        <w:jc w:val="both"/>
      </w:pPr>
      <w:r>
        <w:rPr>
          <w:rStyle w:val="soitChar"/>
          <w:u w:val="single"/>
        </w:rPr>
        <w:t>Porte simple</w:t>
      </w:r>
    </w:p>
    <w:p w14:paraId="0768BC4F" w14:textId="77777777" w:rsidR="00772179" w:rsidRDefault="00000000">
      <w:pPr>
        <w:pStyle w:val="Author-eListParagraph"/>
        <w:numPr>
          <w:ilvl w:val="1"/>
          <w:numId w:val="259"/>
        </w:numPr>
      </w:pPr>
      <w:r>
        <w:rPr>
          <w:rStyle w:val="soitChar"/>
        </w:rPr>
        <w:t xml:space="preserve">Remplissage : </w:t>
      </w:r>
      <w:r>
        <w:rPr>
          <w:rStyle w:val="optioncarChar"/>
        </w:rPr>
        <w:t xml:space="preserve">Vitrages doubles – Gaz (cfr </w:t>
      </w:r>
      <w:hyperlink w:anchor="878" w:history="1">
        <w:r>
          <w:rPr>
            <w:rStyle w:val="optioncarChar"/>
            <w:color w:val="0000EE"/>
          </w:rPr>
          <w:t>42.22.1a Vitrages doubles - Gaz</w:t>
        </w:r>
      </w:hyperlink>
      <w:r>
        <w:rPr>
          <w:rStyle w:val="optioncarChar"/>
        </w:rPr>
        <w:t>)</w:t>
      </w:r>
      <w:r>
        <w:t xml:space="preserve"> (par défaut)</w:t>
      </w:r>
      <w:r>
        <w:rPr>
          <w:rStyle w:val="optioncarChar"/>
        </w:rPr>
        <w:t xml:space="preserve"> / Vitrages triple – Gaz (cfr </w:t>
      </w:r>
      <w:hyperlink w:anchor="879" w:history="1">
        <w:r>
          <w:rPr>
            <w:rStyle w:val="optioncarChar"/>
            <w:color w:val="0000EE"/>
          </w:rPr>
          <w:t>42.22.2a Vitrages triples - Gaz</w:t>
        </w:r>
      </w:hyperlink>
      <w:r>
        <w:rPr>
          <w:rStyle w:val="optioncarChar"/>
        </w:rPr>
        <w:t xml:space="preserve">)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p>
    <w:p w14:paraId="580CC5B1" w14:textId="77777777" w:rsidR="00772179" w:rsidRDefault="00000000">
      <w:pPr>
        <w:pStyle w:val="Author-eListParagraph"/>
        <w:numPr>
          <w:ilvl w:val="1"/>
          <w:numId w:val="259"/>
        </w:numPr>
      </w:pPr>
      <w:r>
        <w:rPr>
          <w:rStyle w:val="soitChar"/>
        </w:rPr>
        <w:t xml:space="preserve">Quincailleries : </w:t>
      </w:r>
      <w:r>
        <w:rPr>
          <w:rStyle w:val="optioncarChar"/>
        </w:rPr>
        <w:t xml:space="preserve">conforme aux prescriptions du fabricant </w:t>
      </w:r>
      <w:r>
        <w:t>(par défaut)</w:t>
      </w:r>
      <w:r>
        <w:rPr>
          <w:rStyle w:val="optioncarChar"/>
        </w:rPr>
        <w:t xml:space="preserve">  / ***</w:t>
      </w:r>
      <w:r>
        <w:br/>
      </w:r>
      <w:r>
        <w:rPr>
          <w:rStyle w:val="soitChar"/>
        </w:rPr>
        <w:t xml:space="preserve">Cfr. Article </w:t>
      </w:r>
      <w:hyperlink w:anchor="881" w:history="1">
        <w:r>
          <w:rPr>
            <w:rStyle w:val="soitChar"/>
            <w:color w:val="0000EE"/>
          </w:rPr>
          <w:t>41.72.1a Charnières et paumelles</w:t>
        </w:r>
      </w:hyperlink>
      <w:r>
        <w:rPr>
          <w:rStyle w:val="soitChar"/>
        </w:rPr>
        <w:t xml:space="preserve">Cfr. Article </w:t>
      </w:r>
      <w:hyperlink w:anchor="882" w:history="1">
        <w:r>
          <w:rPr>
            <w:rStyle w:val="soitChar"/>
            <w:color w:val="0000EE"/>
          </w:rPr>
          <w:t>41.72.3a Poignées</w:t>
        </w:r>
      </w:hyperlink>
    </w:p>
    <w:p w14:paraId="7D08EA78" w14:textId="77777777" w:rsidR="00772179" w:rsidRDefault="00000000">
      <w:pPr>
        <w:ind w:left="567"/>
        <w:jc w:val="both"/>
      </w:pPr>
      <w:r>
        <w:rPr>
          <w:rStyle w:val="soitChar"/>
          <w:u w:val="single"/>
        </w:rPr>
        <w:t xml:space="preserve"> Ensembles de portes composées  </w:t>
      </w:r>
    </w:p>
    <w:p w14:paraId="5A17EF42" w14:textId="77777777" w:rsidR="00772179" w:rsidRDefault="00000000">
      <w:pPr>
        <w:pStyle w:val="Author-eListParagraph"/>
        <w:numPr>
          <w:ilvl w:val="1"/>
          <w:numId w:val="261"/>
        </w:numPr>
      </w:pPr>
      <w:r>
        <w:rPr>
          <w:rStyle w:val="soitChar"/>
        </w:rPr>
        <w:t xml:space="preserve">Remplissage : </w:t>
      </w:r>
      <w:r>
        <w:rPr>
          <w:rStyle w:val="optioncarChar"/>
        </w:rPr>
        <w:t xml:space="preserve">Vitrages doubles – Gaz (cfr </w:t>
      </w:r>
      <w:hyperlink w:anchor="878" w:history="1">
        <w:r>
          <w:rPr>
            <w:rStyle w:val="optioncarChar"/>
            <w:color w:val="0000EE"/>
          </w:rPr>
          <w:t>42.22.1a Vitrages doubles - Gaz</w:t>
        </w:r>
      </w:hyperlink>
      <w:r>
        <w:rPr>
          <w:rStyle w:val="optioncarChar"/>
        </w:rPr>
        <w:t xml:space="preserve">) </w:t>
      </w:r>
      <w:r>
        <w:t xml:space="preserve">(par défaut) </w:t>
      </w:r>
      <w:r>
        <w:rPr>
          <w:rStyle w:val="optioncarChar"/>
        </w:rPr>
        <w:t xml:space="preserve">/ Vitrages triple – Gaz (cfr </w:t>
      </w:r>
      <w:hyperlink w:anchor="879" w:history="1">
        <w:r>
          <w:rPr>
            <w:rStyle w:val="optioncarChar"/>
            <w:color w:val="0000EE"/>
          </w:rPr>
          <w:t>42.22.2a Vitrages triples - Gaz</w:t>
        </w:r>
      </w:hyperlink>
      <w:r>
        <w:rPr>
          <w:rStyle w:val="optioncarChar"/>
        </w:rPr>
        <w:t>) / Eléments de remplissage en panneaux sandwichs métalliques</w:t>
      </w:r>
      <w:r>
        <w:t xml:space="preserve">  </w:t>
      </w:r>
      <w:r>
        <w:rPr>
          <w:rStyle w:val="optioncarChar"/>
        </w:rPr>
        <w:t xml:space="preserve">(cfr </w:t>
      </w:r>
      <w:hyperlink w:anchor="880" w:history="1">
        <w:r>
          <w:rPr>
            <w:rStyle w:val="optioncarChar"/>
            <w:color w:val="0000EE"/>
          </w:rPr>
          <w:t>42.34.2a Eléments de remplissage en panneaux sandwichs métalliques</w:t>
        </w:r>
      </w:hyperlink>
      <w:r>
        <w:rPr>
          <w:rStyle w:val="optioncarChar"/>
        </w:rPr>
        <w:t>) / ***</w:t>
      </w:r>
      <w:r>
        <w:br/>
      </w:r>
    </w:p>
    <w:p w14:paraId="6342A5F2" w14:textId="77777777" w:rsidR="00772179" w:rsidRDefault="00000000">
      <w:pPr>
        <w:ind w:left="567"/>
        <w:jc w:val="both"/>
      </w:pPr>
      <w:r>
        <w:rPr>
          <w:rStyle w:val="soitChar"/>
          <w:b/>
        </w:rPr>
        <w:t>Vitrages et panneaux de remplissage</w:t>
      </w:r>
    </w:p>
    <w:p w14:paraId="0EE50F22" w14:textId="77777777" w:rsidR="00772179" w:rsidRDefault="00000000">
      <w:pPr>
        <w:ind w:left="567"/>
        <w:jc w:val="both"/>
      </w:pPr>
      <w:r>
        <w:rPr>
          <w:rStyle w:val="soitChar"/>
        </w:rPr>
        <w:t>(voir section </w:t>
      </w:r>
      <w:hyperlink w:anchor="852" w:history="1">
        <w:r>
          <w:rPr>
            <w:rStyle w:val="soitChar"/>
            <w:color w:val="0000EE"/>
          </w:rPr>
          <w:t>42 Vitrages extérieurs et éléments de remplissage</w:t>
        </w:r>
      </w:hyperlink>
      <w:r>
        <w:rPr>
          <w:rStyle w:val="soitChar"/>
        </w:rPr>
        <w:t>)</w:t>
      </w:r>
      <w:r>
        <w:t> </w:t>
      </w:r>
    </w:p>
    <w:p w14:paraId="04823324" w14:textId="77777777" w:rsidR="00772179" w:rsidRDefault="00000000">
      <w:pPr>
        <w:jc w:val="both"/>
      </w:pPr>
      <w:r>
        <w:rPr>
          <w:b/>
          <w:u w:val="single"/>
        </w:rPr>
        <w:t>Prescriptions pour les portes neuves et de réemploi </w:t>
      </w:r>
    </w:p>
    <w:p w14:paraId="11F0B0DE" w14:textId="77777777" w:rsidR="00772179" w:rsidRDefault="00000000">
      <w:pPr>
        <w:jc w:val="both"/>
      </w:pPr>
      <w:r>
        <w:t xml:space="preserve">La porte est munie d’une continuité de l’étanchéité à l’air en partie inférieure de type : </w:t>
      </w:r>
      <w:r>
        <w:rPr>
          <w:rStyle w:val="optioncarChar"/>
        </w:rPr>
        <w:t xml:space="preserve">guillotine à joint </w:t>
      </w:r>
      <w:r>
        <w:t>(par défaut)</w:t>
      </w:r>
      <w:r>
        <w:rPr>
          <w:rStyle w:val="optioncarChar"/>
        </w:rPr>
        <w:t xml:space="preserve"> / guillotine à brosse / bosse / seuil / ***</w:t>
      </w:r>
    </w:p>
    <w:p w14:paraId="59BDDE62" w14:textId="77777777" w:rsidR="00772179" w:rsidRDefault="00000000">
      <w:pPr>
        <w:jc w:val="both"/>
      </w:pPr>
      <w:r>
        <w:lastRenderedPageBreak/>
        <w:t>Le seuil est accessible aux PMR.</w:t>
      </w:r>
    </w:p>
    <w:p w14:paraId="6409361B" w14:textId="77777777" w:rsidR="00772179" w:rsidRDefault="00000000">
      <w:pPr>
        <w:jc w:val="both"/>
      </w:pPr>
      <w:r>
        <w:rPr>
          <w:b/>
          <w:u w:val="single"/>
        </w:rPr>
        <w:t>Quincaillerie </w:t>
      </w:r>
    </w:p>
    <w:p w14:paraId="506DA836" w14:textId="77777777" w:rsidR="00772179" w:rsidRDefault="00000000">
      <w:pPr>
        <w:jc w:val="both"/>
      </w:pPr>
      <w:r>
        <w:t>(voir </w:t>
      </w:r>
      <w:hyperlink w:anchor="884" w:history="1">
        <w:r>
          <w:rPr>
            <w:color w:val="0000EE"/>
          </w:rPr>
          <w:t>41.72 Quincailleries</w:t>
        </w:r>
      </w:hyperlink>
      <w:r>
        <w:t>)</w:t>
      </w:r>
    </w:p>
    <w:p w14:paraId="19DB09DE" w14:textId="77777777" w:rsidR="00772179" w:rsidRDefault="00000000">
      <w:pPr>
        <w:jc w:val="both"/>
      </w:pPr>
      <w:r>
        <w:t xml:space="preserve">Le vantail de porte est équipé d’une serrure </w:t>
      </w:r>
      <w:r>
        <w:rPr>
          <w:rStyle w:val="optioncarChar"/>
        </w:rPr>
        <w:t>à cylindre profilé</w:t>
      </w:r>
      <w:r>
        <w:t xml:space="preserve"> (par défaut)</w:t>
      </w:r>
      <w:r>
        <w:rPr>
          <w:rStyle w:val="optioncarChar"/>
        </w:rPr>
        <w:t xml:space="preserve"> / à cylindre de sécurité / électromagnétique</w:t>
      </w:r>
      <w:r>
        <w:t>.</w:t>
      </w:r>
    </w:p>
    <w:p w14:paraId="031652DC" w14:textId="77777777" w:rsidR="00772179" w:rsidRDefault="00772179"/>
    <w:p w14:paraId="0A7560CC" w14:textId="77777777" w:rsidR="00772179" w:rsidRDefault="00000000">
      <w:pPr>
        <w:ind w:left="567"/>
        <w:jc w:val="both"/>
      </w:pPr>
      <w:r>
        <w:rPr>
          <w:b/>
        </w:rPr>
        <w:t>(soit par défaut)</w:t>
      </w:r>
    </w:p>
    <w:p w14:paraId="540F1F4B" w14:textId="77777777" w:rsidR="00772179" w:rsidRDefault="00000000">
      <w:pPr>
        <w:ind w:left="567"/>
        <w:jc w:val="both"/>
      </w:pPr>
      <w:r>
        <w:rPr>
          <w:rStyle w:val="soitChar"/>
          <w:u w:val="single"/>
        </w:rPr>
        <w:t>Serrure à cylindre profilé</w:t>
      </w:r>
      <w:r>
        <w:rPr>
          <w:rStyle w:val="soitChar"/>
        </w:rPr>
        <w:t xml:space="preserve"> en </w:t>
      </w:r>
      <w:r>
        <w:rPr>
          <w:rStyle w:val="optioncarChar"/>
        </w:rPr>
        <w:t xml:space="preserve">inox </w:t>
      </w:r>
      <w:r>
        <w:t>(par défaut)</w:t>
      </w:r>
      <w:r>
        <w:rPr>
          <w:rStyle w:val="optioncarChar"/>
        </w:rPr>
        <w:t> / laiton</w:t>
      </w:r>
      <w:r>
        <w:rPr>
          <w:rStyle w:val="soitChar"/>
        </w:rPr>
        <w:t>  avec </w:t>
      </w:r>
      <w:r>
        <w:rPr>
          <w:rStyle w:val="optioncarChar"/>
        </w:rPr>
        <w:t xml:space="preserve">trois  </w:t>
      </w:r>
      <w:r>
        <w:t>(par défaut)</w:t>
      </w:r>
      <w:r>
        <w:rPr>
          <w:rStyle w:val="optioncarChar"/>
        </w:rPr>
        <w:t> / quatre  / cinq</w:t>
      </w:r>
      <w:r>
        <w:rPr>
          <w:rStyle w:val="soitChar"/>
        </w:rPr>
        <w:t> points de fermeture.</w:t>
      </w:r>
    </w:p>
    <w:p w14:paraId="63305F05" w14:textId="77777777" w:rsidR="00772179" w:rsidRDefault="00000000">
      <w:pPr>
        <w:ind w:left="567"/>
        <w:jc w:val="both"/>
      </w:pPr>
      <w:r>
        <w:rPr>
          <w:b/>
        </w:rPr>
        <w:t>(soit)</w:t>
      </w:r>
    </w:p>
    <w:p w14:paraId="51BA2B1E" w14:textId="77777777" w:rsidR="00772179" w:rsidRDefault="00000000">
      <w:pPr>
        <w:ind w:left="567"/>
        <w:jc w:val="both"/>
      </w:pPr>
      <w:r>
        <w:rPr>
          <w:rStyle w:val="soitChar"/>
          <w:u w:val="single"/>
        </w:rPr>
        <w:t>Serrure à cylindre de sécurité</w:t>
      </w:r>
      <w:r>
        <w:rPr>
          <w:rStyle w:val="soitChar"/>
        </w:rPr>
        <w:t xml:space="preserve"> en </w:t>
      </w:r>
      <w:r>
        <w:rPr>
          <w:rStyle w:val="optioncarChar"/>
        </w:rPr>
        <w:t>inox </w:t>
      </w:r>
      <w:r>
        <w:t xml:space="preserve"> (par défaut)</w:t>
      </w:r>
      <w:r>
        <w:rPr>
          <w:rStyle w:val="optioncarChar"/>
        </w:rPr>
        <w:t xml:space="preserve">   / laiton</w:t>
      </w:r>
      <w:r>
        <w:rPr>
          <w:rStyle w:val="soitChar"/>
        </w:rPr>
        <w:t>  avec </w:t>
      </w:r>
      <w:r>
        <w:rPr>
          <w:rStyle w:val="optioncarChar"/>
        </w:rPr>
        <w:t xml:space="preserve">trois  </w:t>
      </w:r>
      <w:r>
        <w:t>(par défaut)</w:t>
      </w:r>
      <w:r>
        <w:rPr>
          <w:rStyle w:val="optioncarChar"/>
        </w:rPr>
        <w:t>  / quatre  / cinq</w:t>
      </w:r>
      <w:r>
        <w:rPr>
          <w:rStyle w:val="soitChar"/>
        </w:rPr>
        <w:t> points de fermeture.</w:t>
      </w:r>
    </w:p>
    <w:p w14:paraId="6E14F1BE" w14:textId="77777777" w:rsidR="00772179" w:rsidRDefault="00000000">
      <w:pPr>
        <w:ind w:left="567"/>
        <w:jc w:val="both"/>
      </w:pPr>
      <w:r>
        <w:rPr>
          <w:b/>
        </w:rPr>
        <w:t>(soit)</w:t>
      </w:r>
    </w:p>
    <w:p w14:paraId="348AE9AE" w14:textId="77777777" w:rsidR="00772179" w:rsidRDefault="00000000">
      <w:pPr>
        <w:ind w:left="567"/>
        <w:jc w:val="both"/>
      </w:pPr>
      <w:r>
        <w:rPr>
          <w:u w:val="single"/>
        </w:rPr>
        <w:t>Serrure électromagnétique</w:t>
      </w:r>
      <w:r>
        <w:rPr>
          <w:color w:val="33CCCC"/>
        </w:rPr>
        <w:t xml:space="preserve"> - standard lorsqu'un parlophone est prévu.</w:t>
      </w:r>
    </w:p>
    <w:p w14:paraId="5033822A" w14:textId="77777777" w:rsidR="00772179" w:rsidRDefault="00000000">
      <w:pPr>
        <w:jc w:val="both"/>
      </w:pPr>
      <w:r>
        <w:t> </w:t>
      </w:r>
    </w:p>
    <w:p w14:paraId="631569CF" w14:textId="77777777" w:rsidR="00772179" w:rsidRDefault="00000000">
      <w:pPr>
        <w:jc w:val="both"/>
      </w:pPr>
      <w:r>
        <w:t>Par cylindre, </w:t>
      </w:r>
      <w:r>
        <w:rPr>
          <w:rStyle w:val="optioncarChar"/>
        </w:rPr>
        <w:t xml:space="preserve">trois </w:t>
      </w:r>
      <w:r>
        <w:t>(par défaut)</w:t>
      </w:r>
      <w:r>
        <w:rPr>
          <w:rStyle w:val="optioncarChar"/>
        </w:rPr>
        <w:t xml:space="preserve"> / *** </w:t>
      </w:r>
      <w:r>
        <w:t>clés avec bague et une plaquette d’identification en matière synthétique sont fournies. Le cylindre s’adapte dans la combinaison de clés de l’ensemble, à convenir avec l'administration. Les cylindres utilisés : dépassement ≤ 2 mm. Afin de satisfaire à cette imposition, il peut suffire d'ajouter une rosette de sécurité.</w:t>
      </w:r>
    </w:p>
    <w:p w14:paraId="47892143" w14:textId="77777777" w:rsidR="00772179" w:rsidRDefault="00772179">
      <w:pPr>
        <w:jc w:val="both"/>
      </w:pPr>
    </w:p>
    <w:p w14:paraId="72CDD2DD" w14:textId="77777777" w:rsidR="00772179" w:rsidRDefault="00000000">
      <w:pPr>
        <w:jc w:val="both"/>
      </w:pPr>
      <w:r>
        <w:t>Les parties visibles de la quincaillerie sont </w:t>
      </w:r>
      <w:r>
        <w:rPr>
          <w:rStyle w:val="optioncarChar"/>
        </w:rPr>
        <w:t xml:space="preserve">dans une couleur harmonisée à celle des profils principaux </w:t>
      </w:r>
      <w:r>
        <w:t xml:space="preserve">(par défaut) </w:t>
      </w:r>
      <w:r>
        <w:rPr>
          <w:rStyle w:val="optioncarChar"/>
        </w:rPr>
        <w:t>/ de couleur identique à celle des profils principaux / dans la couleur RAL ***</w:t>
      </w:r>
      <w:r>
        <w:t>. La quincaillerie est soumise pour approbation à l'auteur de projet ou au maître de l'ouvrage.</w:t>
      </w:r>
    </w:p>
    <w:p w14:paraId="5D1F6C15" w14:textId="77777777" w:rsidR="00772179" w:rsidRDefault="00772179">
      <w:pPr>
        <w:jc w:val="both"/>
      </w:pPr>
    </w:p>
    <w:p w14:paraId="19824EF4" w14:textId="77777777" w:rsidR="00772179" w:rsidRDefault="00000000">
      <w:pPr>
        <w:jc w:val="both"/>
      </w:pPr>
      <w:r>
        <w:t>La porte d'entrée (principale) est actionnée avec une poignée à l'intérieur et avec une clé et un tirant à l'extérieur. Les autres portes extérieures sont actionnées à l'aide d'une poignée à l'intérieur et à l'extérieur. Les commandes de portes sont soumises pour approbation à l'auteur de projet ou au maître de l'ouvrage.</w:t>
      </w:r>
    </w:p>
    <w:p w14:paraId="371B9AA4" w14:textId="77777777" w:rsidR="00772179" w:rsidRDefault="00772179">
      <w:pPr>
        <w:jc w:val="both"/>
      </w:pPr>
    </w:p>
    <w:p w14:paraId="390861AA" w14:textId="77777777" w:rsidR="00772179" w:rsidRDefault="00000000">
      <w:pPr>
        <w:jc w:val="both"/>
      </w:pPr>
      <w:r>
        <w:t>Les </w:t>
      </w:r>
      <w:r>
        <w:rPr>
          <w:rStyle w:val="optioncarChar"/>
        </w:rPr>
        <w:t>poignées de porte</w:t>
      </w:r>
      <w:r>
        <w:t> (par défaut)</w:t>
      </w:r>
      <w:r>
        <w:rPr>
          <w:rStyle w:val="optioncarChar"/>
        </w:rPr>
        <w:t> / tirants </w:t>
      </w:r>
      <w:r>
        <w:t>sont vissé(é)s à l'aide d'au moins </w:t>
      </w:r>
      <w:r>
        <w:rPr>
          <w:rStyle w:val="optioncarChar"/>
        </w:rPr>
        <w:t xml:space="preserve">2 </w:t>
      </w:r>
      <w:r>
        <w:t>(par défaut)</w:t>
      </w:r>
      <w:r>
        <w:rPr>
          <w:rStyle w:val="optioncarChar"/>
        </w:rPr>
        <w:t xml:space="preserve"> / 3 / ***</w:t>
      </w:r>
      <w:r>
        <w:t> vis et sont montées </w:t>
      </w:r>
      <w:r>
        <w:rPr>
          <w:rStyle w:val="optioncarChar"/>
        </w:rPr>
        <w:t>sans </w:t>
      </w:r>
      <w:r>
        <w:t>(par défaut)</w:t>
      </w:r>
      <w:r>
        <w:rPr>
          <w:rStyle w:val="optioncarChar"/>
        </w:rPr>
        <w:t xml:space="preserve"> / avec </w:t>
      </w:r>
      <w:r>
        <w:t>plaquettes de protection.</w:t>
      </w:r>
    </w:p>
    <w:p w14:paraId="119799AB" w14:textId="77777777" w:rsidR="00772179" w:rsidRDefault="00000000">
      <w:pPr>
        <w:jc w:val="both"/>
      </w:pPr>
      <w:r>
        <w:t xml:space="preserve">Cfr. Article </w:t>
      </w:r>
      <w:hyperlink w:anchor="881" w:history="1">
        <w:r>
          <w:rPr>
            <w:color w:val="0000EE"/>
          </w:rPr>
          <w:t>41.72.1a Charnières et paumelles</w:t>
        </w:r>
      </w:hyperlink>
    </w:p>
    <w:p w14:paraId="7FEEDF9A" w14:textId="77777777" w:rsidR="00772179" w:rsidRDefault="00000000">
      <w:pPr>
        <w:jc w:val="both"/>
      </w:pPr>
      <w:r>
        <w:t xml:space="preserve">Cfr. Article </w:t>
      </w:r>
      <w:hyperlink w:anchor="882" w:history="1">
        <w:r>
          <w:rPr>
            <w:color w:val="0000EE"/>
          </w:rPr>
          <w:t>41.72.3a Poignées</w:t>
        </w:r>
      </w:hyperlink>
    </w:p>
    <w:p w14:paraId="0A0516C7" w14:textId="77777777" w:rsidR="00772179" w:rsidRDefault="00000000">
      <w:r>
        <w:t>La classe de tolérance est</w:t>
      </w:r>
      <w:r>
        <w:rPr>
          <w:rStyle w:val="facultChar"/>
        </w:rPr>
        <w:t> </w:t>
      </w:r>
      <w:r>
        <w:rPr>
          <w:rStyle w:val="optioncarChar"/>
        </w:rPr>
        <w:t xml:space="preserve">D1 </w:t>
      </w:r>
      <w:r>
        <w:t>(par défaut)</w:t>
      </w:r>
      <w:r>
        <w:rPr>
          <w:rStyle w:val="optioncarChar"/>
        </w:rPr>
        <w:t xml:space="preserve"> / D2 / D3</w:t>
      </w:r>
      <w:r>
        <w:rPr>
          <w:rStyle w:val="facultChar"/>
        </w:rPr>
        <w:t xml:space="preserve">, </w:t>
      </w:r>
      <w:r>
        <w:t>conformément aux</w:t>
      </w:r>
      <w:r>
        <w:rPr>
          <w:rStyle w:val="facultChar"/>
        </w:rPr>
        <w:t> [STS 53.1] </w:t>
      </w:r>
      <w:r>
        <w:t>§ 53.1.3.1 et la</w:t>
      </w:r>
      <w:r>
        <w:rPr>
          <w:rStyle w:val="facultChar"/>
        </w:rPr>
        <w:t> [NBN EN 1529].</w:t>
      </w:r>
    </w:p>
    <w:p w14:paraId="00477F47" w14:textId="77777777" w:rsidR="00772179" w:rsidRDefault="00000000">
      <w:r>
        <w:t>La classe de planéité est</w:t>
      </w:r>
      <w:r>
        <w:rPr>
          <w:rStyle w:val="facultChar"/>
        </w:rPr>
        <w:t> </w:t>
      </w:r>
      <w:r>
        <w:rPr>
          <w:rStyle w:val="optioncarChar"/>
        </w:rPr>
        <w:t xml:space="preserve">V1 </w:t>
      </w:r>
      <w:r>
        <w:t xml:space="preserve">(par défaut) </w:t>
      </w:r>
      <w:r>
        <w:rPr>
          <w:rStyle w:val="optioncarChar"/>
        </w:rPr>
        <w:t> / V2 / V3</w:t>
      </w:r>
      <w:r>
        <w:rPr>
          <w:rStyle w:val="facultChar"/>
        </w:rPr>
        <w:t> </w:t>
      </w:r>
      <w:r>
        <w:t>conformément aux</w:t>
      </w:r>
      <w:r>
        <w:rPr>
          <w:rStyle w:val="facultChar"/>
        </w:rPr>
        <w:t xml:space="preserve"> [STS 53.1] , </w:t>
      </w:r>
      <w:r>
        <w:t>§ 53.1.3.2 et la</w:t>
      </w:r>
      <w:r>
        <w:rPr>
          <w:rStyle w:val="facultChar"/>
        </w:rPr>
        <w:t>[NBN EN 1530].</w:t>
      </w:r>
    </w:p>
    <w:p w14:paraId="51EA75FF" w14:textId="77777777" w:rsidR="00772179" w:rsidRDefault="00000000">
      <w:r>
        <w:t>La classe de résistance hygrothermique en climat différentiel est</w:t>
      </w:r>
      <w:r>
        <w:rPr>
          <w:rStyle w:val="facultChar"/>
        </w:rPr>
        <w:t> </w:t>
      </w:r>
      <w:r>
        <w:rPr>
          <w:rStyle w:val="optioncarChar"/>
        </w:rPr>
        <w:t xml:space="preserve">Ha </w:t>
      </w:r>
      <w:r>
        <w:t>(par défaut)</w:t>
      </w:r>
      <w:r>
        <w:rPr>
          <w:rStyle w:val="optioncarChar"/>
        </w:rPr>
        <w:t xml:space="preserve"> / Hb / Hc / Hd / He </w:t>
      </w:r>
      <w:r>
        <w:t>conformément aux</w:t>
      </w:r>
      <w:r>
        <w:rPr>
          <w:rStyle w:val="facultChar"/>
        </w:rPr>
        <w:t> [STS 53.1] </w:t>
      </w:r>
      <w:r>
        <w:t>§ 53.1.4.2.1.</w:t>
      </w:r>
    </w:p>
    <w:p w14:paraId="2ABDA21D" w14:textId="77777777" w:rsidR="00772179" w:rsidRDefault="00000000">
      <w:r>
        <w:t xml:space="preserve">La classe de force de manipulation est  </w:t>
      </w:r>
      <w:r>
        <w:rPr>
          <w:rStyle w:val="optioncarChar"/>
        </w:rPr>
        <w:t xml:space="preserve">F1 </w:t>
      </w:r>
      <w:r>
        <w:t>(par défaut)</w:t>
      </w:r>
      <w:r>
        <w:rPr>
          <w:rStyle w:val="optioncarChar"/>
        </w:rPr>
        <w:t xml:space="preserve">  / F2 / F3 (PMR) / F4 (PMR)</w:t>
      </w:r>
      <w:r>
        <w:rPr>
          <w:rStyle w:val="facultChar"/>
        </w:rPr>
        <w:t> </w:t>
      </w:r>
      <w:r>
        <w:t>selon les </w:t>
      </w:r>
      <w:r>
        <w:rPr>
          <w:rStyle w:val="facultChar"/>
        </w:rPr>
        <w:t>[STS 53.1] </w:t>
      </w:r>
      <w:r>
        <w:t>§53.1.4.2.3.</w:t>
      </w:r>
    </w:p>
    <w:p w14:paraId="4800F8AB" w14:textId="77777777" w:rsidR="00772179" w:rsidRDefault="00000000">
      <w:r>
        <w:t xml:space="preserve">Résistance à l’explosion : </w:t>
      </w:r>
      <w:r>
        <w:rPr>
          <w:rStyle w:val="optioncarChar"/>
        </w:rPr>
        <w:t>pas de classe </w:t>
      </w:r>
      <w:r>
        <w:t>(par défaut)</w:t>
      </w:r>
      <w:r>
        <w:rPr>
          <w:rStyle w:val="optioncarChar"/>
        </w:rPr>
        <w:t xml:space="preserve"> / ***</w:t>
      </w:r>
    </w:p>
    <w:p w14:paraId="6850928F" w14:textId="77777777" w:rsidR="00772179" w:rsidRDefault="00000000">
      <w:r>
        <w:t>Résistance aux balles :</w:t>
      </w:r>
      <w:r>
        <w:rPr>
          <w:rStyle w:val="facultChar"/>
        </w:rPr>
        <w:t xml:space="preserve">  </w:t>
      </w:r>
      <w:r>
        <w:rPr>
          <w:rStyle w:val="optioncarChar"/>
        </w:rPr>
        <w:t>pas de classe </w:t>
      </w:r>
      <w:r>
        <w:t>(par défaut)</w:t>
      </w:r>
      <w:r>
        <w:rPr>
          <w:rStyle w:val="optioncarChar"/>
        </w:rPr>
        <w:t xml:space="preserve"> / ***</w:t>
      </w:r>
    </w:p>
    <w:p w14:paraId="76135B00" w14:textId="77777777" w:rsidR="00772179" w:rsidRDefault="00000000">
      <w:r>
        <w:t xml:space="preserve">Résistance et réaction au feu : </w:t>
      </w:r>
      <w:r>
        <w:rPr>
          <w:rStyle w:val="optioncarChar"/>
        </w:rPr>
        <w:t>pas de classe</w:t>
      </w:r>
      <w:r>
        <w:t> (par défaut)</w:t>
      </w:r>
      <w:r>
        <w:rPr>
          <w:rStyle w:val="optioncarChar"/>
        </w:rPr>
        <w:t xml:space="preserve"> / ***</w:t>
      </w:r>
    </w:p>
    <w:p w14:paraId="5F971425" w14:textId="77777777" w:rsidR="00772179" w:rsidRDefault="00000000">
      <w:r>
        <w:lastRenderedPageBreak/>
        <w:t xml:space="preserve">Résistance aux chocs : </w:t>
      </w:r>
      <w:r>
        <w:rPr>
          <w:rStyle w:val="optioncarChar"/>
        </w:rPr>
        <w:t xml:space="preserve">classe *** / 2 </w:t>
      </w:r>
      <w:r>
        <w:t>(par défaut)</w:t>
      </w:r>
    </w:p>
    <w:p w14:paraId="41ECC71A" w14:textId="77777777" w:rsidR="00772179" w:rsidRDefault="00000000">
      <w:pPr>
        <w:pStyle w:val="pheading"/>
      </w:pPr>
      <w:r>
        <w:t>- Finitions</w:t>
      </w:r>
    </w:p>
    <w:p w14:paraId="339F0D5C" w14:textId="77777777" w:rsidR="00772179" w:rsidRDefault="00000000">
      <w:pPr>
        <w:jc w:val="both"/>
      </w:pPr>
      <w:r>
        <w:t xml:space="preserve">Traitement de protection : </w:t>
      </w:r>
      <w:r>
        <w:rPr>
          <w:rStyle w:val="optioncarChar"/>
        </w:rPr>
        <w:t xml:space="preserve">type C1 </w:t>
      </w:r>
      <w:r>
        <w:t>(par défaut)</w:t>
      </w:r>
      <w:r>
        <w:rPr>
          <w:rStyle w:val="optioncarChar"/>
        </w:rPr>
        <w:t xml:space="preserve"> / pour une classe d’emploi 4 (selon [NBN EN 599-1+A1]).</w:t>
      </w:r>
    </w:p>
    <w:p w14:paraId="77D03EE3" w14:textId="77777777" w:rsidR="00772179" w:rsidRDefault="00772179">
      <w:pPr>
        <w:jc w:val="both"/>
      </w:pPr>
    </w:p>
    <w:p w14:paraId="0B097AB6" w14:textId="77777777" w:rsidR="00772179" w:rsidRDefault="00000000">
      <w:pPr>
        <w:jc w:val="both"/>
      </w:pPr>
      <w:r>
        <w:t xml:space="preserve">Pour les portes en bois, la frappe d’étanchéité de la traverse inférieure des vantaux peut être réalisée en matériau métallique ou synthétique : </w:t>
      </w:r>
      <w:r>
        <w:rPr>
          <w:rStyle w:val="optioncarChar"/>
        </w:rPr>
        <w:t xml:space="preserve">aluminium laqué au four </w:t>
      </w:r>
      <w:r>
        <w:t>(par défaut)</w:t>
      </w:r>
      <w:r>
        <w:rPr>
          <w:rStyle w:val="optioncarChar"/>
        </w:rPr>
        <w:t xml:space="preserve"> / aluminium anodisé.</w:t>
      </w:r>
    </w:p>
    <w:p w14:paraId="05B54F7E" w14:textId="77777777" w:rsidR="00772179" w:rsidRDefault="00000000">
      <w:pPr>
        <w:jc w:val="both"/>
      </w:pPr>
      <w:r>
        <w:t>La couleur est choisie dans la gamme standard du fabricant.</w:t>
      </w:r>
    </w:p>
    <w:p w14:paraId="17B7512B" w14:textId="77777777" w:rsidR="00772179" w:rsidRDefault="00000000">
      <w:pPr>
        <w:jc w:val="both"/>
      </w:pPr>
      <w:r>
        <w:t>Le bois provient d’exploitation gérée durablement. Certificat à soumettre à l’approbation de l’auteur de projet.</w:t>
      </w:r>
    </w:p>
    <w:p w14:paraId="6EB1A188" w14:textId="77777777" w:rsidR="00772179" w:rsidRDefault="00000000">
      <w:pPr>
        <w:pStyle w:val="pheading"/>
      </w:pPr>
      <w:r>
        <w:t>EXÉCUTION / MISE EN ŒUVRE</w:t>
      </w:r>
    </w:p>
    <w:p w14:paraId="2F8EC01D" w14:textId="77777777" w:rsidR="00772179" w:rsidRDefault="00000000">
      <w:pPr>
        <w:pStyle w:val="pheading"/>
      </w:pPr>
      <w:r>
        <w:t>- Prescriptions générales</w:t>
      </w:r>
    </w:p>
    <w:p w14:paraId="126CECFC" w14:textId="77777777" w:rsidR="00772179" w:rsidRDefault="00000000">
      <w:pPr>
        <w:jc w:val="both"/>
      </w:pPr>
      <w:r>
        <w:t xml:space="preserve">La pose des portes correspond aux prescriptions telles que décrites dans selon l'élément </w:t>
      </w:r>
      <w:hyperlink w:anchor="904" w:history="1">
        <w:r>
          <w:rPr>
            <w:color w:val="0000EE"/>
          </w:rPr>
          <w:t>41.2 Portes d'entrée</w:t>
        </w:r>
      </w:hyperlink>
      <w:r>
        <w:t>- généralités.</w:t>
      </w:r>
    </w:p>
    <w:p w14:paraId="77CC27DB" w14:textId="77777777" w:rsidR="00772179" w:rsidRDefault="00000000">
      <w:pPr>
        <w:jc w:val="both"/>
      </w:pPr>
      <w:r>
        <w:t>Le resserrage de la porte est pourvu de continuité des performances mécaniques, d’étanchéité à l’eau.</w:t>
      </w:r>
    </w:p>
    <w:p w14:paraId="6E21F21E" w14:textId="77777777" w:rsidR="00772179" w:rsidRDefault="00000000">
      <w:pPr>
        <w:jc w:val="both"/>
      </w:pPr>
      <w:r>
        <w:t xml:space="preserve">Pour la continuité de l’étanchéité à l’air le resserrage est muni d’un(e) </w:t>
      </w:r>
      <w:r>
        <w:rPr>
          <w:rStyle w:val="optioncarChar"/>
        </w:rPr>
        <w:t xml:space="preserve">kit de mastic </w:t>
      </w:r>
      <w:r>
        <w:t>(par défaut)</w:t>
      </w:r>
      <w:r>
        <w:rPr>
          <w:rStyle w:val="optioncarChar"/>
        </w:rPr>
        <w:t xml:space="preserve"> / membrane / profilé de resserrage</w:t>
      </w:r>
      <w:r>
        <w:t>.</w:t>
      </w:r>
    </w:p>
    <w:p w14:paraId="275268F4" w14:textId="77777777" w:rsidR="00772179" w:rsidRDefault="00000000">
      <w:pPr>
        <w:jc w:val="both"/>
      </w:pPr>
      <w:r>
        <w:t xml:space="preserve">Pour la continuité de l’isolation acoustique le resserrage est muni d’une </w:t>
      </w:r>
      <w:r>
        <w:rPr>
          <w:rStyle w:val="optioncarChar"/>
        </w:rPr>
        <w:t xml:space="preserve">laine de roche </w:t>
      </w:r>
      <w:r>
        <w:t>(par défaut)</w:t>
      </w:r>
      <w:r>
        <w:rPr>
          <w:rStyle w:val="optioncarChar"/>
        </w:rPr>
        <w:t xml:space="preserve"> / mousse acoustique / plaque massive</w:t>
      </w:r>
      <w:r>
        <w:t>.</w:t>
      </w:r>
    </w:p>
    <w:p w14:paraId="1F911C74" w14:textId="77777777" w:rsidR="00772179" w:rsidRDefault="00772179"/>
    <w:p w14:paraId="1CFD5061" w14:textId="77777777" w:rsidR="00772179" w:rsidRDefault="00000000">
      <w:pPr>
        <w:pStyle w:val="pheading"/>
      </w:pPr>
      <w:r>
        <w:t>DOCUMENTS DE RÉFÉRENCE COMPLÉMENTAIRES</w:t>
      </w:r>
    </w:p>
    <w:p w14:paraId="3D016298" w14:textId="77777777" w:rsidR="00772179" w:rsidRDefault="00000000">
      <w:pPr>
        <w:pStyle w:val="pheading"/>
      </w:pPr>
      <w:r>
        <w:t>- Matériau</w:t>
      </w:r>
    </w:p>
    <w:p w14:paraId="79303463" w14:textId="77777777" w:rsidR="00772179" w:rsidRDefault="00000000">
      <w:r>
        <w:t>[STS 53.1, Portes]</w:t>
      </w:r>
    </w:p>
    <w:p w14:paraId="4956ABA1" w14:textId="77777777" w:rsidR="00772179" w:rsidRDefault="00000000">
      <w:r>
        <w:t>[NBN EN 1529, Vantaux de portes - Hauteur, largeur, épaisseur et équerrage - Classes de tolérances]           </w:t>
      </w:r>
    </w:p>
    <w:p w14:paraId="1D032E76" w14:textId="77777777" w:rsidR="00772179" w:rsidRDefault="00000000">
      <w:r>
        <w:t>[NBN EN 1530, Vantaux de portes - Planéité générale et planéité locale - Classes de tolérances]</w:t>
      </w:r>
    </w:p>
    <w:p w14:paraId="1E1A18B8" w14:textId="77777777" w:rsidR="00772179" w:rsidRDefault="00000000">
      <w:pPr>
        <w:pStyle w:val="pheading"/>
      </w:pPr>
      <w:r>
        <w:t>MESURAGE</w:t>
      </w:r>
    </w:p>
    <w:p w14:paraId="6A3318FE" w14:textId="77777777" w:rsidR="00772179" w:rsidRDefault="00000000">
      <w:pPr>
        <w:pStyle w:val="pheading"/>
      </w:pPr>
      <w:r>
        <w:t>- unité de mesure:</w:t>
      </w:r>
    </w:p>
    <w:p w14:paraId="4552B36C" w14:textId="77777777" w:rsidR="00772179" w:rsidRDefault="00000000">
      <w:r>
        <w:t>m²</w:t>
      </w:r>
    </w:p>
    <w:p w14:paraId="10BA0656" w14:textId="77777777" w:rsidR="00772179" w:rsidRDefault="00000000">
      <w:pPr>
        <w:pStyle w:val="pheading"/>
      </w:pPr>
      <w:r>
        <w:t>- code de mesurage:</w:t>
      </w:r>
    </w:p>
    <w:p w14:paraId="4B91CB63" w14:textId="77777777" w:rsidR="00772179" w:rsidRDefault="00000000">
      <w:pPr>
        <w:jc w:val="both"/>
      </w:pPr>
      <w:r>
        <w:t>Surface nette en développement des dimensions dans l'œuvre. (le cas échéant, ventilé selon le type ou le modèle conformément aux indications dans le métré récapitulatif annexé au dossier d'adjudication) (neuve et/ou de réemploi. S'il s’agit de réemploi, distinguer : avec ou sans fourniture</w:t>
      </w:r>
    </w:p>
    <w:p w14:paraId="33346D02" w14:textId="77777777" w:rsidR="00772179" w:rsidRDefault="00000000">
      <w:pPr>
        <w:pStyle w:val="pheading"/>
      </w:pPr>
      <w:r>
        <w:t>- nature du marché:</w:t>
      </w:r>
    </w:p>
    <w:p w14:paraId="7D46A99C" w14:textId="77777777" w:rsidR="00772179" w:rsidRDefault="00000000">
      <w:r>
        <w:t>QF</w:t>
      </w:r>
    </w:p>
    <w:p w14:paraId="1AE5B53E" w14:textId="77777777" w:rsidR="00772179" w:rsidRDefault="00000000">
      <w:pPr>
        <w:pStyle w:val="Author-eSectionHeading5Numberless"/>
      </w:pPr>
      <w:bookmarkStart w:id="64" w:name="_Toc220489813"/>
      <w:r>
        <w:t>41.21.2 Portes d'entrée en bois à composition mixte - profilé collaborant CCTB 01.02</w:t>
      </w:r>
      <w:bookmarkEnd w:id="64"/>
    </w:p>
    <w:p w14:paraId="7966D0D4" w14:textId="77777777" w:rsidR="00772179" w:rsidRDefault="00000000">
      <w:pPr>
        <w:pStyle w:val="Author-eSectionHeading6Numberless"/>
      </w:pPr>
      <w:bookmarkStart w:id="65" w:name="_Toc220489814"/>
      <w:r>
        <w:t>41.21.2a Portes d'entrée en bois à composition mixte - profilé collaborant en aluminium CCTB 01.02</w:t>
      </w:r>
      <w:bookmarkEnd w:id="65"/>
    </w:p>
    <w:p w14:paraId="786655E4" w14:textId="77777777" w:rsidR="00772179" w:rsidRDefault="00000000">
      <w:pPr>
        <w:pStyle w:val="Author-eSectionHeading5Numberless"/>
      </w:pPr>
      <w:bookmarkStart w:id="66" w:name="_Toc220489815"/>
      <w:r>
        <w:lastRenderedPageBreak/>
        <w:t>41.21.3 Portes d'entrée en bois à composition mixte - profilé de finition CCTB 01.02</w:t>
      </w:r>
      <w:bookmarkEnd w:id="66"/>
    </w:p>
    <w:p w14:paraId="08F9F5DB" w14:textId="77777777" w:rsidR="00772179" w:rsidRDefault="00000000">
      <w:pPr>
        <w:pStyle w:val="Author-eSectionHeading6Numberless"/>
      </w:pPr>
      <w:bookmarkStart w:id="67" w:name="_Toc220489816"/>
      <w:r>
        <w:t>41.21.3a Portes d'entrée en bois à composition mixte - profilé de finition en aluminium CCTB 01.02</w:t>
      </w:r>
      <w:bookmarkEnd w:id="67"/>
    </w:p>
    <w:p w14:paraId="785986EE" w14:textId="77777777" w:rsidR="00772179" w:rsidRDefault="00000000">
      <w:pPr>
        <w:pStyle w:val="Author-eSectionHeading6Numberless"/>
      </w:pPr>
      <w:bookmarkStart w:id="68" w:name="_Toc220489817"/>
      <w:r>
        <w:t>41.21.3b Portes d'entrée en bois à composition mixte - profilé de finition en inox CCTB 01.02</w:t>
      </w:r>
      <w:bookmarkEnd w:id="68"/>
    </w:p>
    <w:p w14:paraId="1D9A5764" w14:textId="77777777" w:rsidR="00772179" w:rsidRDefault="00000000">
      <w:pPr>
        <w:pStyle w:val="Author-eSectionHeading6Numberless"/>
      </w:pPr>
      <w:bookmarkStart w:id="69" w:name="_Toc220489818"/>
      <w:r>
        <w:t>41.21.3c Portes d'entrée en bois à composition mixte - profilé de finition en PVC CCTB 01.02</w:t>
      </w:r>
      <w:bookmarkEnd w:id="69"/>
    </w:p>
    <w:p w14:paraId="451765C7" w14:textId="77777777" w:rsidR="00772179" w:rsidRDefault="00000000">
      <w:pPr>
        <w:pStyle w:val="Author-eSectionHeading5Numberless"/>
      </w:pPr>
      <w:bookmarkStart w:id="70" w:name="_Toc220489819"/>
      <w:r>
        <w:t>41.21.4 Portes d'entrée en bois à composition mixte - isolation intégrée  CCTB 01.12</w:t>
      </w:r>
      <w:bookmarkEnd w:id="70"/>
    </w:p>
    <w:p w14:paraId="2DA863F4" w14:textId="77777777" w:rsidR="00772179" w:rsidRDefault="00000000">
      <w:pPr>
        <w:pStyle w:val="pheading"/>
      </w:pPr>
      <w:bookmarkStart w:id="71" w:name="906"/>
      <w:bookmarkEnd w:id="71"/>
      <w:r>
        <w:t>DESCRIPTION</w:t>
      </w:r>
    </w:p>
    <w:p w14:paraId="300F4742" w14:textId="77777777" w:rsidR="00772179" w:rsidRDefault="00000000">
      <w:pPr>
        <w:pStyle w:val="pheading"/>
      </w:pPr>
      <w:r>
        <w:t>- Définition / Comprend</w:t>
      </w:r>
    </w:p>
    <w:p w14:paraId="552D6A9E" w14:textId="77777777" w:rsidR="00772179" w:rsidRDefault="00000000">
      <w:pPr>
        <w:jc w:val="both"/>
      </w:pPr>
      <w:r>
        <w:t>Cet élément comprend la fourniture (hors matériaux récupérés du même site) et la pose de tous les éléments nécessaires à la composition de portes extérieures en bois à composition mixte, y compris toutes les pièces qui en font intrinsèquement partie.</w:t>
      </w:r>
    </w:p>
    <w:p w14:paraId="4A601FB7" w14:textId="77777777" w:rsidR="00772179" w:rsidRDefault="00000000">
      <w:pPr>
        <w:jc w:val="both"/>
      </w:pPr>
      <w:r>
        <w:t>Les portes extérieures sont considérées comme menuiserie en bois à composition mixte lorsque la composition du profilé principal est majoritairement constituée de bois comprenant un ou plusieurs autres composants.</w:t>
      </w:r>
    </w:p>
    <w:p w14:paraId="64AD9408" w14:textId="77777777" w:rsidR="00772179" w:rsidRDefault="00000000">
      <w:pPr>
        <w:jc w:val="both"/>
      </w:pPr>
      <w:r>
        <w:t>Les prix unitaires compris dans cet élément et les suivants comprennent toujours le contrôle et le relevé sur place des dimensions exactes dans l'œuvre et les adaptations éventuelles des éléments à préfabriquer aux dimensions réelles.</w:t>
      </w:r>
    </w:p>
    <w:p w14:paraId="7214EDF7" w14:textId="77777777" w:rsidR="00772179" w:rsidRDefault="00000000">
      <w:pPr>
        <w:pStyle w:val="pheading"/>
      </w:pPr>
      <w:r>
        <w:t>MATÉRIAUX</w:t>
      </w:r>
    </w:p>
    <w:p w14:paraId="27FA0EA0" w14:textId="77777777" w:rsidR="00772179" w:rsidRDefault="00000000">
      <w:pPr>
        <w:jc w:val="both"/>
      </w:pPr>
      <w:r>
        <w:rPr>
          <w:b/>
          <w:u w:val="single"/>
        </w:rPr>
        <w:t>Menuiserie neuve :</w:t>
      </w:r>
    </w:p>
    <w:p w14:paraId="3F0FC733" w14:textId="77777777" w:rsidR="00772179" w:rsidRDefault="00000000">
      <w:pPr>
        <w:jc w:val="both"/>
      </w:pPr>
      <w:r>
        <w:rPr>
          <w:b/>
        </w:rPr>
        <w:t>Bois :</w:t>
      </w:r>
    </w:p>
    <w:p w14:paraId="5B59B668" w14:textId="77777777" w:rsidR="00772179" w:rsidRDefault="00000000">
      <w:pPr>
        <w:jc w:val="both"/>
      </w:pPr>
      <w:r>
        <w:t>Les menuiseries en bois sont conformes aux spécifications techniques des [NBN B 25-002-2] et [NBN B 25-002-1].</w:t>
      </w:r>
    </w:p>
    <w:p w14:paraId="1BB7AD8B" w14:textId="77777777" w:rsidR="00772179" w:rsidRDefault="00000000">
      <w:pPr>
        <w:jc w:val="both"/>
      </w:pPr>
      <w:r>
        <w:rPr>
          <w:u w:val="single"/>
        </w:rPr>
        <w:t>Essence :</w:t>
      </w:r>
    </w:p>
    <w:p w14:paraId="70896757" w14:textId="77777777" w:rsidR="00772179" w:rsidRDefault="00000000">
      <w:pPr>
        <w:pStyle w:val="Author-eListParagraph"/>
        <w:numPr>
          <w:ilvl w:val="0"/>
          <w:numId w:val="262"/>
        </w:numPr>
      </w:pPr>
      <w:r>
        <w:t>L'essence de bois à utiliser est spécifié dans le cahier spécial des charges, conformément aux spécifications données dans les [NBN B 25-002-2] et [NBN B 25-002-1] complétées par les [STS 52.1] « Menuiserie extérieure en bois ».</w:t>
      </w:r>
    </w:p>
    <w:p w14:paraId="624E5722" w14:textId="77777777" w:rsidR="00772179" w:rsidRDefault="00000000">
      <w:pPr>
        <w:pStyle w:val="Author-eListParagraph"/>
        <w:numPr>
          <w:ilvl w:val="0"/>
          <w:numId w:val="262"/>
        </w:numPr>
      </w:pPr>
      <w:r>
        <w:t>Avant la pose de la porte extérieure, l'entrepreneur prouve la provenance du bois. En cas de doute, le maître de l'ouvrage est en droit de faire réaliser des essais dans un laboratoire agréé. Si les échantillons ne répondent pas aux exigences prescrites en ce qui concerne l'essence du bois, tous les frais des essais sont à charge de l'entrepreneur.</w:t>
      </w:r>
    </w:p>
    <w:p w14:paraId="7271AE28" w14:textId="77777777" w:rsidR="00772179" w:rsidRDefault="00000000">
      <w:pPr>
        <w:pStyle w:val="Author-eListParagraph"/>
        <w:numPr>
          <w:ilvl w:val="0"/>
          <w:numId w:val="262"/>
        </w:numPr>
      </w:pPr>
      <w:r>
        <w:t>Une liste non limitative des espèces de bois les plus aptes à l’emploi en menuiserie est donnée dans l’annexe 2 des [STS 52.1].</w:t>
      </w:r>
    </w:p>
    <w:p w14:paraId="0E332993" w14:textId="77777777" w:rsidR="00772179" w:rsidRDefault="00000000">
      <w:pPr>
        <w:jc w:val="both"/>
      </w:pPr>
      <w:r>
        <w:rPr>
          <w:u w:val="single"/>
        </w:rPr>
        <w:t>Qualité du bois :</w:t>
      </w:r>
    </w:p>
    <w:p w14:paraId="5BCE9563" w14:textId="77777777" w:rsidR="00772179" w:rsidRDefault="00000000">
      <w:pPr>
        <w:pStyle w:val="Author-eListParagraph"/>
        <w:numPr>
          <w:ilvl w:val="0"/>
          <w:numId w:val="263"/>
        </w:numPr>
      </w:pPr>
      <w:r>
        <w:t>L'humidité du cœur du bois à mettre en œuvre est comprise entre 12 et 18 % et est compatible avec la finition prévue ci-après.</w:t>
      </w:r>
    </w:p>
    <w:p w14:paraId="1F45DE85" w14:textId="77777777" w:rsidR="00772179" w:rsidRDefault="00000000">
      <w:pPr>
        <w:pStyle w:val="Author-eListParagraph"/>
        <w:numPr>
          <w:ilvl w:val="0"/>
          <w:numId w:val="263"/>
        </w:numPr>
      </w:pPr>
      <w:r>
        <w:t>Le bois mis en œuvre est droit (inclinaison ≤ 5 %) = l'inclinaison du fil du bois par rapport aux faces latérales est ≤ 5 %, selon les [STS 52.1].</w:t>
      </w:r>
    </w:p>
    <w:p w14:paraId="567648D7" w14:textId="77777777" w:rsidR="00772179" w:rsidRDefault="00000000">
      <w:pPr>
        <w:pStyle w:val="Author-eListParagraph"/>
        <w:numPr>
          <w:ilvl w:val="0"/>
          <w:numId w:val="263"/>
        </w:numPr>
      </w:pPr>
      <w:r>
        <w:t>Les critères d’acceptations du bois sont définis dans les [STS 52.1].  </w:t>
      </w:r>
    </w:p>
    <w:p w14:paraId="12D5469C" w14:textId="77777777" w:rsidR="00772179" w:rsidRDefault="00000000">
      <w:pPr>
        <w:pStyle w:val="Author-eListParagraph"/>
        <w:numPr>
          <w:ilvl w:val="0"/>
          <w:numId w:val="263"/>
        </w:numPr>
      </w:pPr>
      <w:r>
        <w:t>Les vérifications relatives à la résistance et l’étanchéité des assemblages sont réalisés par le menuisier.</w:t>
      </w:r>
    </w:p>
    <w:p w14:paraId="1B0294BB" w14:textId="77777777" w:rsidR="00772179" w:rsidRDefault="00000000">
      <w:pPr>
        <w:pStyle w:val="Author-eListParagraph"/>
        <w:numPr>
          <w:ilvl w:val="0"/>
          <w:numId w:val="263"/>
        </w:numPr>
      </w:pPr>
      <w:r>
        <w:lastRenderedPageBreak/>
        <w:t>La qualité du collage des éléments constitués de lamellé collé est vérifiée avant et après vieillissement.</w:t>
      </w:r>
    </w:p>
    <w:p w14:paraId="4D109D67" w14:textId="77777777" w:rsidR="00772179" w:rsidRDefault="00000000">
      <w:pPr>
        <w:jc w:val="both"/>
      </w:pPr>
      <w:r>
        <w:rPr>
          <w:u w:val="single"/>
        </w:rPr>
        <w:t>Protection du bois :</w:t>
      </w:r>
    </w:p>
    <w:p w14:paraId="11735F99" w14:textId="77777777" w:rsidR="00772179" w:rsidRDefault="00000000">
      <w:pPr>
        <w:jc w:val="both"/>
      </w:pPr>
      <w:r>
        <w:t>Lorsque l’essence de bois ne possède pas une durabilité naturelle suffisante (≥ 3 selon [NBN EN 350]), le bois nécessite un traitement de protection complet. Les traitements de protection comprennent en général deux phases complémentaires : la préservation et la finition. Ces 2 traitements ont des objectifs et des finalités différentes.</w:t>
      </w:r>
    </w:p>
    <w:p w14:paraId="122728A2" w14:textId="77777777" w:rsidR="00772179" w:rsidRDefault="00000000">
      <w:pPr>
        <w:pStyle w:val="Author-eListParagraph"/>
        <w:numPr>
          <w:ilvl w:val="0"/>
          <w:numId w:val="264"/>
        </w:numPr>
      </w:pPr>
      <w:r>
        <w:t>Les traitements de préservation ont pour objectif de rendre durable un bois qui l’est insuffisamment naturellement pour l’emploi auquel il est destiné.</w:t>
      </w:r>
    </w:p>
    <w:p w14:paraId="034E7D3C" w14:textId="77777777" w:rsidR="00772179" w:rsidRDefault="00000000">
      <w:pPr>
        <w:pStyle w:val="Author-eListParagraph"/>
        <w:numPr>
          <w:ilvl w:val="0"/>
          <w:numId w:val="264"/>
        </w:numPr>
      </w:pPr>
      <w:r>
        <w:t>Les traitements de finition assurent une protection physique de la surface, tout en lui conférant une esthétique particulière. Certains d’entre eux apportent aussi un complément de préservation à la surface du bois, cependant, ils sont inopérants pour protéger une espèce de bois non durable contre les attaques des insectes et des champignons.</w:t>
      </w:r>
    </w:p>
    <w:p w14:paraId="75272AFB" w14:textId="77777777" w:rsidR="00772179" w:rsidRDefault="00000000">
      <w:pPr>
        <w:jc w:val="both"/>
      </w:pPr>
      <w:r>
        <w:rPr>
          <w:b/>
        </w:rPr>
        <w:t>Isolant :</w:t>
      </w:r>
    </w:p>
    <w:p w14:paraId="7AA8C443" w14:textId="77777777" w:rsidR="00772179" w:rsidRDefault="00000000">
      <w:pPr>
        <w:jc w:val="both"/>
      </w:pPr>
      <w:r>
        <w:t>L’âme isolante est composée d’un profilé synthétique intégré dans l’âme des profilés en bois. Le complexe dispose d’un Agrément Technique avec certification valide ou équivalent.</w:t>
      </w:r>
    </w:p>
    <w:p w14:paraId="377E3075" w14:textId="77777777" w:rsidR="00772179" w:rsidRDefault="00000000">
      <w:pPr>
        <w:jc w:val="both"/>
      </w:pPr>
      <w:r>
        <w:rPr>
          <w:b/>
        </w:rPr>
        <w:t>Forme, type &amp; dimensions des profilés :</w:t>
      </w:r>
    </w:p>
    <w:p w14:paraId="7F15C48D" w14:textId="77777777" w:rsidR="00772179" w:rsidRDefault="00000000">
      <w:pPr>
        <w:jc w:val="both"/>
      </w:pPr>
      <w:r>
        <w:t>Tous les profils proviennent d'un seul et même fabricant. La note de calcul établie par le constructeur tient compte de toutes les données existantes en ce qui concerne les sollicitations ou les efforts et des critères de performances précités. Les dimensions des profils sont exprimées en mm et leurs sections sont suffisamment larges pour permettre l’introduction des profilés d’isolation en matériaux synthétiques.</w:t>
      </w:r>
    </w:p>
    <w:p w14:paraId="01226371" w14:textId="77777777" w:rsidR="00772179" w:rsidRDefault="00000000">
      <w:pPr>
        <w:jc w:val="both"/>
      </w:pPr>
      <w:r>
        <w:t>Les bandes d'étanchéité sont fabriquées en néoprène ou matière synthétique et sont enroulées dans le profil ou extrudées avec le profilé. Elles sont toujours appliquées en longueurs complètes, dans les angles et sont enroulées ou soudées en onglet. Seules les étanchéités originales et prescrites par le fournisseur des profilés sont utilisées. Elles font également partie de l'agrément technique obtenu pour le système de profilés.</w:t>
      </w:r>
    </w:p>
    <w:p w14:paraId="1F4D903D" w14:textId="77777777" w:rsidR="00772179" w:rsidRDefault="00000000">
      <w:pPr>
        <w:jc w:val="both"/>
      </w:pPr>
      <w:r>
        <w:t>La forme, le détail et les sections des profils correspondent aux indications sur les plans et aux éventuels détails de principe annexés au dossier. Ils sont adaptés à la composition de portes, à la nature, aux dimensions et au mode de mise en œuvre des vitrages, panneaux, quincailleries, grilles de ventilation, seuils, finitions intérieures, volets éventuels, … tels qu'ils sont prescrits. Les profils sont conçus de façon telles que :</w:t>
      </w:r>
    </w:p>
    <w:p w14:paraId="7DA331C0" w14:textId="77777777" w:rsidR="00772179" w:rsidRDefault="00000000">
      <w:pPr>
        <w:pStyle w:val="Author-eListParagraph"/>
        <w:numPr>
          <w:ilvl w:val="0"/>
          <w:numId w:val="265"/>
        </w:numPr>
      </w:pPr>
      <w:r>
        <w:t>tous les profils pour les parties ouvrantes sont au moins prévus avec une double frappe ;</w:t>
      </w:r>
    </w:p>
    <w:p w14:paraId="78B883ED" w14:textId="77777777" w:rsidR="00772179" w:rsidRDefault="00000000">
      <w:pPr>
        <w:pStyle w:val="Author-eListParagraph"/>
        <w:numPr>
          <w:ilvl w:val="0"/>
          <w:numId w:val="265"/>
        </w:numPr>
      </w:pPr>
      <w:r>
        <w:t>l'évacuation des eaux des traverses horizontales est réalisée à l'aide de rejets d'eau, larmiers, …</w:t>
      </w:r>
    </w:p>
    <w:p w14:paraId="59AA165A" w14:textId="77777777" w:rsidR="00772179" w:rsidRDefault="00000000">
      <w:pPr>
        <w:pStyle w:val="Author-eListParagraph"/>
        <w:numPr>
          <w:ilvl w:val="0"/>
          <w:numId w:val="265"/>
        </w:numPr>
      </w:pPr>
      <w:r>
        <w:t>les feuillures sont suffisamment hautes et profondes, ventilées et drainées (pour les vitrages multiples) l'évacuation se faisant par au moins deux ouvertures de drainage d'un Ø de +/- 8 mm ;</w:t>
      </w:r>
    </w:p>
    <w:p w14:paraId="6D287341" w14:textId="77777777" w:rsidR="00772179" w:rsidRDefault="00000000">
      <w:pPr>
        <w:pStyle w:val="Author-eListParagraph"/>
        <w:numPr>
          <w:ilvl w:val="0"/>
          <w:numId w:val="265"/>
        </w:numPr>
      </w:pPr>
      <w:r>
        <w:t>les faces supérieures des traverses horizontales s'évacuent vers l'extérieur ;</w:t>
      </w:r>
    </w:p>
    <w:p w14:paraId="43DA686B" w14:textId="77777777" w:rsidR="00772179" w:rsidRDefault="00000000">
      <w:pPr>
        <w:pStyle w:val="Author-eListParagraph"/>
        <w:numPr>
          <w:ilvl w:val="0"/>
          <w:numId w:val="265"/>
        </w:numPr>
      </w:pPr>
      <w:r>
        <w:t>les vitrages et/ou les éléments de remplissages sont remplacés de l'intérieur, sauf pour les panneaux derrière lesquels se trouve un mur en maçonnerie ;</w:t>
      </w:r>
    </w:p>
    <w:p w14:paraId="2CE4A89D" w14:textId="77777777" w:rsidR="00772179" w:rsidRDefault="00000000">
      <w:pPr>
        <w:pStyle w:val="Author-eListParagraph"/>
        <w:numPr>
          <w:ilvl w:val="0"/>
          <w:numId w:val="265"/>
        </w:numPr>
      </w:pPr>
      <w:r>
        <w:t>la quincaillerie et les divers raccordements sont facilement remplacés sans devoir démonter les parties attenantes ;</w:t>
      </w:r>
    </w:p>
    <w:p w14:paraId="5B255D69" w14:textId="77777777" w:rsidR="00772179" w:rsidRDefault="00000000">
      <w:pPr>
        <w:pStyle w:val="Author-eListParagraph"/>
        <w:numPr>
          <w:ilvl w:val="0"/>
          <w:numId w:val="265"/>
        </w:numPr>
      </w:pPr>
      <w:r>
        <w:t>des feuillures ou rainures sont prévues dans les profils des châssis partout où cela s'avère nécessaire pour la finition intérieure (caisse à rideaux, habillage latéral, …) ;</w:t>
      </w:r>
    </w:p>
    <w:p w14:paraId="437D5ED5" w14:textId="77777777" w:rsidR="00772179" w:rsidRDefault="00000000">
      <w:pPr>
        <w:pStyle w:val="Author-eListParagraph"/>
        <w:numPr>
          <w:ilvl w:val="0"/>
          <w:numId w:val="265"/>
        </w:numPr>
      </w:pPr>
      <w:r>
        <w:t>les volets éventuellement prévus sont posés.</w:t>
      </w:r>
    </w:p>
    <w:p w14:paraId="3BABFB7A" w14:textId="77777777" w:rsidR="00772179" w:rsidRDefault="00000000">
      <w:pPr>
        <w:jc w:val="both"/>
      </w:pPr>
      <w:r>
        <w:t>Après la fabrication, toutes les faces vues sont traitées de manière appropriée afin d'éliminer toute trace d'outils et de manutention.</w:t>
      </w:r>
    </w:p>
    <w:p w14:paraId="4FDB58F4" w14:textId="77777777" w:rsidR="00772179" w:rsidRDefault="00000000">
      <w:pPr>
        <w:jc w:val="both"/>
      </w:pPr>
      <w:r>
        <w:rPr>
          <w:b/>
        </w:rPr>
        <w:t>Feuillures :</w:t>
      </w:r>
    </w:p>
    <w:p w14:paraId="2CF0561E" w14:textId="77777777" w:rsidR="00772179" w:rsidRDefault="00000000">
      <w:pPr>
        <w:jc w:val="both"/>
      </w:pPr>
      <w:r>
        <w:lastRenderedPageBreak/>
        <w:t>La pose des vitres et/ou des panneaux de remplissage est effectuée conformément aux prescriptions du fabricant des profils. Les parcloses sont toujours posées à l'intérieur de la menuiserie (sauf pour les éléments d’allège non accessible par l’intérieure). Leurs dimensions sont établies en fonction de l'épaisseur du vitrage, de la feuillure et du profil des châssis.  Lorsqu'un mastic d'étanchéité est appliqué, les parcloses ne présentent pas de bord rentrant qui pourrait compliquer l'application parfaite du mastic. Tous les mastics et joints préformés utilisés sont compatibles avec le matériau des châssis.</w:t>
      </w:r>
    </w:p>
    <w:p w14:paraId="1B248FB2" w14:textId="77777777" w:rsidR="00772179" w:rsidRDefault="00000000">
      <w:pPr>
        <w:jc w:val="both"/>
      </w:pPr>
      <w:r>
        <w:rPr>
          <w:b/>
          <w:u w:val="single"/>
        </w:rPr>
        <w:t>Menuiserie de réemploi hors site :</w:t>
      </w:r>
    </w:p>
    <w:p w14:paraId="64A96E7D" w14:textId="77777777" w:rsidR="00772179" w:rsidRDefault="00000000">
      <w:pPr>
        <w:jc w:val="both"/>
      </w:pPr>
      <w:r>
        <w:t>Les portes sont poncées et reçoivent un rebouchage par pâte. Lorsque les profilés sont dégradés, ceux-ci sont réparés par pâte, par injection, par remplacement de partie de profilé. En l’absence d’analyse des produits de finitions existants ou de descriptif des finitions d’origine, le traitement des finitions nécessite des mesures de protection lors de la mise en œuvre incluant de porter les équipements de protection individuelle EPI (adapté pour produits toxiques) tels que des lunettes, un masque et des gants de protection.</w:t>
      </w:r>
    </w:p>
    <w:p w14:paraId="53008E8C" w14:textId="77777777" w:rsidR="00772179" w:rsidRDefault="00000000">
      <w:pPr>
        <w:jc w:val="both"/>
      </w:pPr>
      <w:r>
        <w:t>La préparation du chantier inclut également les séparations et l’isolement afin d’éviter la propagation des poussières de pré-traitement dans les autres zones accessibles de la construction.</w:t>
      </w:r>
    </w:p>
    <w:p w14:paraId="5769623B" w14:textId="77777777" w:rsidR="00772179" w:rsidRDefault="00000000">
      <w:pPr>
        <w:pStyle w:val="pheading"/>
      </w:pPr>
      <w:r>
        <w:t>EXÉCUTION / MISE EN ŒUVRE</w:t>
      </w:r>
    </w:p>
    <w:p w14:paraId="00EA5551" w14:textId="77777777" w:rsidR="00772179" w:rsidRDefault="00000000">
      <w:pPr>
        <w:jc w:val="both"/>
      </w:pPr>
      <w:r>
        <w:t>La fourniture et la pose des portes extérieures neuves répondent aux prescriptions des [NBN B 25-002-2], [NIT 268] et au </w:t>
      </w:r>
      <w:hyperlink w:anchor="906" w:history="1">
        <w:r>
          <w:rPr>
            <w:color w:val="0000EE"/>
          </w:rPr>
          <w:t>41.21.4 Portes d'entrée en bois à composition mixte - isolation intégrée</w:t>
        </w:r>
      </w:hyperlink>
      <w:r>
        <w:t>.</w:t>
      </w:r>
    </w:p>
    <w:p w14:paraId="38D7BCC6" w14:textId="77777777" w:rsidR="00772179" w:rsidRDefault="00000000">
      <w:pPr>
        <w:jc w:val="both"/>
      </w:pPr>
      <w:r>
        <w:t>La menuiserie extérieure est posée conformément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4771C22F" w14:textId="77777777" w:rsidR="00772179" w:rsidRDefault="00000000">
      <w:pPr>
        <w:jc w:val="both"/>
      </w:pPr>
      <w:r>
        <w:t>Les dimensions indiquées sur les plans et dans le métré sont celles du jour extérieur tel qu'il est prévu d’être exécuté et sont donc purement indicatives. Avant la mise en œuvre, l’entrepreneur contrôle si les dimensions de pose prévues sur les plans correspondent à la situation sur place. Lorsqu'il découvre des divergences, il en avertit immédiatement l'auteur de projet.</w:t>
      </w:r>
    </w:p>
    <w:p w14:paraId="72336A99" w14:textId="77777777" w:rsidR="00772179" w:rsidRDefault="00000000">
      <w:pPr>
        <w:jc w:val="both"/>
      </w:pPr>
      <w:r>
        <w:t>Pour la pose en murs creux voir [NIT 286].</w:t>
      </w:r>
    </w:p>
    <w:p w14:paraId="398D7481" w14:textId="77777777" w:rsidR="00772179" w:rsidRDefault="00000000">
      <w:pPr>
        <w:pStyle w:val="pheading"/>
      </w:pPr>
      <w:r>
        <w:t>CONTRÔLES</w:t>
      </w:r>
    </w:p>
    <w:p w14:paraId="02BB5BB3" w14:textId="77777777" w:rsidR="00772179" w:rsidRDefault="00000000">
      <w:pPr>
        <w:jc w:val="both"/>
      </w:pPr>
      <w:r>
        <w:rPr>
          <w:b/>
        </w:rPr>
        <w:t>Essais :</w:t>
      </w:r>
    </w:p>
    <w:p w14:paraId="68B9858B" w14:textId="77777777" w:rsidR="00772179" w:rsidRDefault="00000000">
      <w:pPr>
        <w:pStyle w:val="Author-eListParagraph"/>
        <w:numPr>
          <w:ilvl w:val="0"/>
          <w:numId w:val="266"/>
        </w:numPr>
      </w:pPr>
      <w:r>
        <w:t>Lorsque les châssis de portes disposent de critère d’acceptabilité tels que défini au 02.42.1 Critères d'acceptabilité, cela peut donner lieu à certaines dérogations par rapport à la [NBN EN 14351-1:2006+A2] ou aux [STS 53.1].</w:t>
      </w:r>
    </w:p>
    <w:p w14:paraId="30450316" w14:textId="77777777" w:rsidR="00772179" w:rsidRDefault="00000000">
      <w:pPr>
        <w:pStyle w:val="Author-eListParagraph"/>
        <w:numPr>
          <w:ilvl w:val="0"/>
          <w:numId w:val="266"/>
        </w:numPr>
      </w:pPr>
      <w:r>
        <w:t>En cas de doute au sujet de la provenance des profils ou des caractéristiques des ensembles de portes, le maître de l’ouvrage se réserve le droit de faire effectuer au préalable des essais fonctionnels sur un élément qu'elle aura choisi dont les frais sont intégralement supportés par l'entrepreneur jusqu'à ce que satisfaction complète soit obtenue. Si l'élément de menuiserie ne satisfait pas aux essais fonctionnels, le maître de l’ouvrage est en droit d'imposer une nouvelle série d'essais fonctionnels.</w:t>
      </w:r>
    </w:p>
    <w:p w14:paraId="62942873" w14:textId="77777777" w:rsidR="00772179" w:rsidRDefault="00000000">
      <w:pPr>
        <w:pStyle w:val="Author-eListParagraph"/>
        <w:numPr>
          <w:ilvl w:val="0"/>
          <w:numId w:val="266"/>
        </w:numPr>
      </w:pPr>
      <w:r>
        <w:t>Les essais fonctionnels sont exécutés par un laboratoire indépendant agréé, sous la supervision de l'administration, selon les [STS 53.1] : aucune déformation durable n’est admise ni se présenter un trop grand jeu dans les parties mobiles ou les accessoires. En outre, aucune dégradation à la surface des traverses inférieures ou aux pivots ou à d'autres parties du système de fermeture n’est admise.</w:t>
      </w:r>
    </w:p>
    <w:p w14:paraId="68E0AC3A" w14:textId="77777777" w:rsidR="00772179" w:rsidRDefault="00000000">
      <w:pPr>
        <w:pStyle w:val="Author-eListParagraph"/>
        <w:numPr>
          <w:ilvl w:val="0"/>
          <w:numId w:val="266"/>
        </w:numPr>
      </w:pPr>
      <w:r>
        <w:t>La porte testée et approuvée est marquée et conservée sur le chantier comme référence. Il peut être placé, mais est réservé en dernier. Au cas où les produits ne satisfont pas aux essais, l'auteur de projet arrête les travaux immédiatement.</w:t>
      </w:r>
    </w:p>
    <w:p w14:paraId="0E3C0EDB" w14:textId="77777777" w:rsidR="00772179" w:rsidRDefault="00000000">
      <w:pPr>
        <w:jc w:val="both"/>
      </w:pPr>
      <w:r>
        <w:rPr>
          <w:b/>
        </w:rPr>
        <w:t>Tolérances :</w:t>
      </w:r>
    </w:p>
    <w:p w14:paraId="31129C9C" w14:textId="77777777" w:rsidR="00772179" w:rsidRDefault="00000000">
      <w:pPr>
        <w:jc w:val="both"/>
      </w:pPr>
      <w:r>
        <w:lastRenderedPageBreak/>
        <w:t>Les écarts dimensionnels admissibles en largeur et en hauteur pour les vantaux ouvrants, mesurés dans les feuillures des vitrages sont définis dans les [NBN B 25-002-2] et [NBN B 25-002-1].</w:t>
      </w:r>
    </w:p>
    <w:p w14:paraId="320ED73A" w14:textId="77777777" w:rsidR="00772179" w:rsidRDefault="00000000">
      <w:pPr>
        <w:jc w:val="both"/>
      </w:pPr>
      <w:r>
        <w:rPr>
          <w:b/>
        </w:rPr>
        <w:t>Pose :</w:t>
      </w:r>
    </w:p>
    <w:p w14:paraId="7E639BA4" w14:textId="77777777" w:rsidR="00772179" w:rsidRDefault="00000000">
      <w:pPr>
        <w:jc w:val="both"/>
      </w:pPr>
      <w:r>
        <w:t>La dégradation des profils résultant de la mise en place, griffes, évidements ou mauvaise fixation entraîne le refus et le remplacement de l'élément.</w:t>
      </w:r>
    </w:p>
    <w:p w14:paraId="4E56DF09" w14:textId="77777777" w:rsidR="00772179" w:rsidRDefault="00000000">
      <w:pPr>
        <w:pStyle w:val="pheading"/>
      </w:pPr>
      <w:r>
        <w:t>DOCUMENTS DE RÉFÉRENCE</w:t>
      </w:r>
    </w:p>
    <w:p w14:paraId="75B72ADE" w14:textId="77777777" w:rsidR="00772179" w:rsidRDefault="00000000">
      <w:pPr>
        <w:pStyle w:val="pheading"/>
      </w:pPr>
      <w:r>
        <w:t>- Matériau</w:t>
      </w:r>
    </w:p>
    <w:p w14:paraId="0EF4753F" w14:textId="77777777" w:rsidR="00772179" w:rsidRDefault="00000000">
      <w:r>
        <w:t>[NBN B 25-002-1, Menuiserie extérieure - Partie 1: Prescription des performances générales – Fenêtres et façades rideaux]</w:t>
      </w:r>
    </w:p>
    <w:p w14:paraId="5342A942" w14:textId="77777777" w:rsidR="00772179" w:rsidRDefault="00000000">
      <w:r>
        <w:t>[NBN B 25-002-2, Menuiseries extérieures. Partie 2 : Prescription des performances générales pour les portes extérieures pour piétons]</w:t>
      </w:r>
    </w:p>
    <w:p w14:paraId="3F642BBB" w14:textId="77777777" w:rsidR="00772179" w:rsidRDefault="00000000">
      <w:r>
        <w:t>[NBN EN 14351-1:2006+A2, Fenêtres et portes - Norme produit, caractéristiques de performance - Partie 1 : Fenêtres et blocs portes extérieurs pour piétons]</w:t>
      </w:r>
    </w:p>
    <w:p w14:paraId="00EE8E36" w14:textId="77777777" w:rsidR="00772179" w:rsidRDefault="00000000">
      <w:r>
        <w:t>[NBN EN 599-1+A1, Durabilité du bois et des matériaux dérivés du bois - Efficacité des produits préventifs de préservation du bois établie par des essais biologiques - Partie 1: Spécification par classe d'emploi]</w:t>
      </w:r>
    </w:p>
    <w:p w14:paraId="5AD268F6" w14:textId="77777777" w:rsidR="00772179" w:rsidRDefault="00000000">
      <w:r>
        <w:t>[NIT 221, La pose des vitrages en feuillure (Les NIT 214 et 221 remplacent les NIT 110 et 113).]</w:t>
      </w:r>
    </w:p>
    <w:p w14:paraId="551179D0" w14:textId="77777777" w:rsidR="00772179" w:rsidRDefault="00000000">
      <w:r>
        <w:t>[STS 04.3, Bois et panneaux à base de bois : traitements du bois]</w:t>
      </w:r>
    </w:p>
    <w:p w14:paraId="1A7AFAB4" w14:textId="77777777" w:rsidR="00772179" w:rsidRDefault="00000000">
      <w:r>
        <w:t>[NBN EN 335, Durabilité du bois et des matériaux à base de bois - Classes d'emploi: définitions, application au bois massif et aux matériaux à base de bois]</w:t>
      </w:r>
    </w:p>
    <w:p w14:paraId="7AF09292" w14:textId="77777777" w:rsidR="00772179" w:rsidRDefault="00000000">
      <w:pPr>
        <w:pStyle w:val="pheading"/>
      </w:pPr>
      <w:r>
        <w:t>- Exécution</w:t>
      </w:r>
    </w:p>
    <w:p w14:paraId="7A33DA4E" w14:textId="77777777" w:rsidR="00772179" w:rsidRDefault="00000000">
      <w:r>
        <w:t>[NBN 208, Coordination des dimensions des constructions - Système du module - Baies et châssis de fenêtres]</w:t>
      </w:r>
    </w:p>
    <w:p w14:paraId="324AD880" w14:textId="77777777" w:rsidR="00772179" w:rsidRDefault="00000000">
      <w:r>
        <w:t>[NIT 221, La pose des vitrages en feuillure (Les NIT 214 et 221 remplacent les NIT 110 et 113).]</w:t>
      </w:r>
    </w:p>
    <w:p w14:paraId="7C606B35" w14:textId="77777777" w:rsidR="00772179" w:rsidRDefault="00000000">
      <w:r>
        <w:t>[NIT 255, L'étanchéité à l'air des bâtiments]</w:t>
      </w:r>
    </w:p>
    <w:p w14:paraId="19FDBFC0" w14:textId="77777777" w:rsidR="00772179" w:rsidRDefault="00000000">
      <w:r>
        <w:t>[NIT 283, La pose des menuiseries extérieures. Partie 1 : aspects généraux.]</w:t>
      </w:r>
    </w:p>
    <w:p w14:paraId="36B1E704" w14:textId="77777777" w:rsidR="00772179" w:rsidRDefault="00000000">
      <w:r>
        <w:t>[NIT 286, La pose des menuiseries extérieures Partie 2 : Mise en oeuvre de châssis en bois dans des murs creux]</w:t>
      </w:r>
    </w:p>
    <w:p w14:paraId="61F85C1E" w14:textId="77777777" w:rsidR="00772179" w:rsidRDefault="00000000">
      <w:pPr>
        <w:pStyle w:val="Author-eSectionHeading6Numberless"/>
      </w:pPr>
      <w:bookmarkStart w:id="72" w:name="_Toc220489820"/>
      <w:r>
        <w:t>41.21.4a Portes d'entrée en bois à composition mixte - isolation intégrée - finition en bois CCTB 01.02</w:t>
      </w:r>
      <w:bookmarkEnd w:id="72"/>
    </w:p>
    <w:p w14:paraId="0FF2D8AC" w14:textId="77777777" w:rsidR="00772179" w:rsidRDefault="00000000">
      <w:pPr>
        <w:pStyle w:val="Author-eSectionHeading6Numberless"/>
      </w:pPr>
      <w:bookmarkStart w:id="73" w:name="_Toc220489821"/>
      <w:r>
        <w:t>41.21.4b Portes d'entrée en bois à composition mixte - isolation intégrée - finition en aluminium CCTB 01.13</w:t>
      </w:r>
      <w:bookmarkEnd w:id="73"/>
    </w:p>
    <w:p w14:paraId="726EF5EE" w14:textId="77777777" w:rsidR="00772179" w:rsidRDefault="00000000">
      <w:pPr>
        <w:pStyle w:val="pheading"/>
      </w:pPr>
      <w:r>
        <w:t>DESCRIPTION</w:t>
      </w:r>
    </w:p>
    <w:p w14:paraId="25DD9530" w14:textId="77777777" w:rsidR="00772179" w:rsidRDefault="00000000">
      <w:pPr>
        <w:pStyle w:val="pheading"/>
      </w:pPr>
      <w:r>
        <w:t>- Définition / Comprend</w:t>
      </w:r>
    </w:p>
    <w:p w14:paraId="40B1114D" w14:textId="77777777" w:rsidR="00772179" w:rsidRDefault="00000000">
      <w:pPr>
        <w:jc w:val="both"/>
      </w:pPr>
      <w:r>
        <w:t>Il s’agit de la fourniture (hors matériaux récupérés du même site) et de la pose de menuiseries extérieures (portes) à composition mixte dont le profil est principalement composé de bois intégrant un isolant et recouvert d’un profilé aluminium disposé à l’extérieur.</w:t>
      </w:r>
    </w:p>
    <w:p w14:paraId="63F1A005" w14:textId="77777777" w:rsidR="00772179" w:rsidRDefault="00000000">
      <w:pPr>
        <w:jc w:val="both"/>
      </w:pPr>
      <w:r>
        <w:t>Outre les prescriptions énoncées par ailleurs, le travail comprend notamment :</w:t>
      </w:r>
    </w:p>
    <w:p w14:paraId="4794D2FB" w14:textId="77777777" w:rsidR="00772179" w:rsidRDefault="00000000">
      <w:pPr>
        <w:pStyle w:val="Author-eListParagraph"/>
        <w:numPr>
          <w:ilvl w:val="0"/>
          <w:numId w:val="267"/>
        </w:numPr>
      </w:pPr>
      <w:r>
        <w:t>la pose, resserrage ;</w:t>
      </w:r>
    </w:p>
    <w:p w14:paraId="336EC7FE" w14:textId="77777777" w:rsidR="00772179" w:rsidRDefault="00000000">
      <w:pPr>
        <w:pStyle w:val="Author-eListParagraph"/>
        <w:numPr>
          <w:ilvl w:val="0"/>
          <w:numId w:val="267"/>
        </w:numPr>
      </w:pPr>
      <w:r>
        <w:t>la finition et le réglage des menuiseries extérieures.</w:t>
      </w:r>
    </w:p>
    <w:p w14:paraId="3BFB28D3" w14:textId="77777777" w:rsidR="00772179" w:rsidRDefault="00000000">
      <w:pPr>
        <w:jc w:val="both"/>
      </w:pPr>
      <w:r>
        <w:rPr>
          <w:b/>
        </w:rPr>
        <w:t>Remarques importantes :</w:t>
      </w:r>
    </w:p>
    <w:p w14:paraId="2D5A006B" w14:textId="77777777" w:rsidR="00772179" w:rsidRDefault="00000000">
      <w:pPr>
        <w:jc w:val="both"/>
      </w:pPr>
      <w:r>
        <w:t xml:space="preserve">Toutes les portes sont soumises au Règlement Produits de Construction (RPC ([Règlement (UE) 305/2011])). Une déclaration d'aptitude à l'utilisation suivant les prescriptions au 02.42.1 Critères </w:t>
      </w:r>
      <w:r>
        <w:lastRenderedPageBreak/>
        <w:t>d'acceptabilité est imposé à ces produits suivant la [NBN EN 14351-1:2006+A2] afin d'attester qu’ils soient conformes aux spécifications techniques de ce règlement.</w:t>
      </w:r>
    </w:p>
    <w:p w14:paraId="70CED392" w14:textId="77777777" w:rsidR="00772179" w:rsidRDefault="00000000">
      <w:pPr>
        <w:pStyle w:val="pheading"/>
      </w:pPr>
      <w:r>
        <w:t>MATÉRIAUX</w:t>
      </w:r>
    </w:p>
    <w:p w14:paraId="49978BEA" w14:textId="77777777" w:rsidR="00772179" w:rsidRDefault="00000000">
      <w:pPr>
        <w:pStyle w:val="pheading"/>
      </w:pPr>
      <w:r>
        <w:t>- Caractéristiques générales</w:t>
      </w:r>
    </w:p>
    <w:p w14:paraId="55DF5DDB" w14:textId="77777777" w:rsidR="00772179" w:rsidRDefault="00000000">
      <w:pPr>
        <w:jc w:val="both"/>
      </w:pPr>
      <w:r>
        <w:t>Le système dispose d’un Agrément Technique avec certification valide ou équivalent.</w:t>
      </w:r>
    </w:p>
    <w:p w14:paraId="75209031" w14:textId="77777777" w:rsidR="00772179" w:rsidRDefault="00000000">
      <w:pPr>
        <w:jc w:val="both"/>
      </w:pPr>
      <w:r>
        <w:rPr>
          <w:b/>
        </w:rPr>
        <w:t>Composition des profils :</w:t>
      </w:r>
    </w:p>
    <w:p w14:paraId="7D48AEBE" w14:textId="77777777" w:rsidR="00772179" w:rsidRDefault="00000000">
      <w:pPr>
        <w:jc w:val="both"/>
      </w:pPr>
      <w:r>
        <w:t xml:space="preserve">La partie principale des profilés de porte (assurant les fonctions mécaniques et la fixation des points de fermeture et de suspension) est en bois de type </w:t>
      </w:r>
      <w:r>
        <w:rPr>
          <w:rStyle w:val="optioncarChar"/>
        </w:rPr>
        <w:t xml:space="preserve">non spécifié </w:t>
      </w:r>
      <w:r>
        <w:t>(par défaut)</w:t>
      </w:r>
      <w:r>
        <w:rPr>
          <w:rStyle w:val="optioncarChar"/>
        </w:rPr>
        <w:t xml:space="preserve"> / Chêne d’Europe (Quercus robur et Q. Petraea) / Douglas (Pseudotsuga menziesii) / Mélèze (Larix) / Yellow pine (Pinus) / Meranti, Dark Red (Shorea) / Afzélia Doussié / Afzélia Pachiloba / Merbau (Intsia) / ***</w:t>
      </w:r>
      <w:r>
        <w:t xml:space="preserve"> dont les caractéristiques sont conformes aux spécifications reprises dans la [STS 52.1].</w:t>
      </w:r>
    </w:p>
    <w:p w14:paraId="6864B478" w14:textId="77777777" w:rsidR="00772179" w:rsidRDefault="00000000">
      <w:pPr>
        <w:jc w:val="both"/>
      </w:pPr>
      <w:r>
        <w:t>L’âme isolante est composée d’un profilé synthétique intégré dans l’âme du profilé en bois.</w:t>
      </w:r>
    </w:p>
    <w:p w14:paraId="7A6C4CC3" w14:textId="77777777" w:rsidR="00772179" w:rsidRDefault="00000000">
      <w:pPr>
        <w:pStyle w:val="Author-eListParagraph"/>
        <w:numPr>
          <w:ilvl w:val="0"/>
          <w:numId w:val="268"/>
        </w:numPr>
      </w:pPr>
      <w:r>
        <w:t xml:space="preserve">Composition : </w:t>
      </w:r>
      <w:r>
        <w:rPr>
          <w:rStyle w:val="optioncarChar"/>
        </w:rPr>
        <w:t xml:space="preserve">conforme aux descriptions des essais initiaux du marquage CE pour atteindre les performances isolantes requises </w:t>
      </w:r>
      <w:r>
        <w:t>(par défaut)</w:t>
      </w:r>
      <w:r>
        <w:rPr>
          <w:rStyle w:val="optioncarChar"/>
        </w:rPr>
        <w:t xml:space="preserve"> / Polyuréthane (PU) / Polyisocyanurate (PIR) / profilé ajouré en Polyamide/Polystyrène (EPS/XPS) / Liège (ICB) / e-foam / ***</w:t>
      </w:r>
    </w:p>
    <w:p w14:paraId="27C9C7A2" w14:textId="77777777" w:rsidR="00772179" w:rsidRDefault="00000000">
      <w:pPr>
        <w:pStyle w:val="Author-eListParagraph"/>
        <w:numPr>
          <w:ilvl w:val="0"/>
          <w:numId w:val="268"/>
        </w:numPr>
      </w:pPr>
      <w:r>
        <w:t xml:space="preserve">Densité : </w:t>
      </w:r>
      <w:r>
        <w:rPr>
          <w:rStyle w:val="optioncarChar"/>
        </w:rPr>
        <w:t xml:space="preserve">conforme aux descriptions des essais initiaux du marquage CE pour atteindre les performances mécaniques </w:t>
      </w:r>
      <w:r>
        <w:t>(par défaut)</w:t>
      </w:r>
      <w:r>
        <w:rPr>
          <w:rStyle w:val="optioncarChar"/>
        </w:rPr>
        <w:t xml:space="preserve">  / ≥ à 350 / ≥ à *** </w:t>
      </w:r>
      <w:r>
        <w:t>kg/m³.</w:t>
      </w:r>
    </w:p>
    <w:p w14:paraId="02FC4FD2" w14:textId="77777777" w:rsidR="00772179" w:rsidRDefault="00000000">
      <w:pPr>
        <w:pStyle w:val="Author-eListParagraph"/>
        <w:numPr>
          <w:ilvl w:val="0"/>
          <w:numId w:val="268"/>
        </w:numPr>
      </w:pPr>
      <w:r>
        <w:t xml:space="preserve">Fixation : </w:t>
      </w:r>
      <w:r>
        <w:rPr>
          <w:rStyle w:val="optioncarChar"/>
        </w:rPr>
        <w:t xml:space="preserve">collage </w:t>
      </w:r>
      <w:r>
        <w:t xml:space="preserve">(par défaut) </w:t>
      </w:r>
      <w:r>
        <w:rPr>
          <w:rStyle w:val="optioncarChar"/>
        </w:rPr>
        <w:t>/ mécanique / ***</w:t>
      </w:r>
      <w:r>
        <w:t xml:space="preserve"> sur le bois. Les colles utilisées sont conformes aux réglementations en vigueur concernant le rejet de COV (composés organiques volatils).</w:t>
      </w:r>
    </w:p>
    <w:p w14:paraId="248EE715" w14:textId="77777777" w:rsidR="00772179" w:rsidRDefault="00000000">
      <w:pPr>
        <w:pStyle w:val="Author-eListParagraph"/>
        <w:numPr>
          <w:ilvl w:val="0"/>
          <w:numId w:val="268"/>
        </w:numPr>
      </w:pPr>
      <w:r>
        <w:t>La partie extérieure du profilé de porte est recouverte de profilés en aluminium écarté de 10 mm afin de créer une coulisse d’air assurant la ventilation du bois.</w:t>
      </w:r>
    </w:p>
    <w:p w14:paraId="1943E886" w14:textId="77777777" w:rsidR="00772179" w:rsidRDefault="00000000">
      <w:pPr>
        <w:pStyle w:val="Author-eListParagraph"/>
        <w:numPr>
          <w:ilvl w:val="0"/>
          <w:numId w:val="268"/>
        </w:numPr>
      </w:pPr>
      <w:r>
        <w:t>Fixations : liaison à la partie bois du profilé par </w:t>
      </w:r>
      <w:r>
        <w:rPr>
          <w:rStyle w:val="optioncarChar"/>
        </w:rPr>
        <w:t xml:space="preserve">plots de fixation </w:t>
      </w:r>
      <w:r>
        <w:t>(par défaut)</w:t>
      </w:r>
      <w:r>
        <w:rPr>
          <w:rStyle w:val="optioncarChar"/>
        </w:rPr>
        <w:t xml:space="preserve"> / contre-profilés / clippage / ***</w:t>
      </w:r>
      <w:r>
        <w:t>. La méthode de fixation du profilé est conforme aux descriptions des essais initiaux pour la déclaration des performances conformes au marquage CE.</w:t>
      </w:r>
    </w:p>
    <w:p w14:paraId="5D3C29A1" w14:textId="77777777" w:rsidR="00772179" w:rsidRDefault="00000000">
      <w:pPr>
        <w:pStyle w:val="Author-eListParagraph"/>
        <w:numPr>
          <w:ilvl w:val="0"/>
          <w:numId w:val="268"/>
        </w:numPr>
      </w:pPr>
      <w:r>
        <w:t xml:space="preserve">Composition : </w:t>
      </w:r>
      <w:r>
        <w:rPr>
          <w:rStyle w:val="optioncarChar"/>
        </w:rPr>
        <w:t xml:space="preserve">AW-6060 ou AW-6063 (climat normal) </w:t>
      </w:r>
      <w:r>
        <w:t xml:space="preserve">(par défaut) </w:t>
      </w:r>
      <w:r>
        <w:rPr>
          <w:rStyle w:val="optioncarChar"/>
        </w:rPr>
        <w:t>/ AW-6060-B (climat agressif).</w:t>
      </w:r>
      <w:r>
        <w:t xml:space="preserve"> Les alliages sont conformes à la [NBN EN 755-2] et aux exigences de la [NBN B 25-002-4].</w:t>
      </w:r>
    </w:p>
    <w:p w14:paraId="6815F43B" w14:textId="77777777" w:rsidR="00772179" w:rsidRDefault="00000000">
      <w:pPr>
        <w:pStyle w:val="Author-eListParagraph"/>
        <w:numPr>
          <w:ilvl w:val="0"/>
          <w:numId w:val="268"/>
        </w:numPr>
      </w:pPr>
      <w:r>
        <w:t xml:space="preserve">Type de capotage : </w:t>
      </w:r>
      <w:r>
        <w:rPr>
          <w:rStyle w:val="optioncarChar"/>
        </w:rPr>
        <w:t xml:space="preserve">coin soudé </w:t>
      </w:r>
      <w:r>
        <w:t>(par défaut)</w:t>
      </w:r>
      <w:r>
        <w:rPr>
          <w:rStyle w:val="optioncarChar"/>
        </w:rPr>
        <w:t xml:space="preserve"> / ouvrant caché / ***</w:t>
      </w:r>
    </w:p>
    <w:p w14:paraId="2D47671B" w14:textId="77777777" w:rsidR="00772179" w:rsidRDefault="00000000">
      <w:pPr>
        <w:ind w:left="567"/>
        <w:jc w:val="both"/>
      </w:pPr>
      <w:r>
        <w:rPr>
          <w:b/>
        </w:rPr>
        <w:t>(soit par défaut)</w:t>
      </w:r>
    </w:p>
    <w:p w14:paraId="274B5153" w14:textId="77777777" w:rsidR="00772179" w:rsidRDefault="00000000">
      <w:pPr>
        <w:ind w:left="567"/>
        <w:jc w:val="both"/>
      </w:pPr>
      <w:r>
        <w:rPr>
          <w:rStyle w:val="soitChar"/>
          <w:u w:val="single"/>
        </w:rPr>
        <w:t>Coins soudés :</w:t>
      </w:r>
      <w:r>
        <w:rPr>
          <w:rStyle w:val="soitChar"/>
        </w:rPr>
        <w:t xml:space="preserve"> le capotage recouvre la battée bois destinée à recevoir le vitrage. Un raccord soudé est réalisé afin d’obtenir un cadre pour le dormant et un cadre pour l’ouvrant.</w:t>
      </w:r>
    </w:p>
    <w:p w14:paraId="0F7BA0D1" w14:textId="77777777" w:rsidR="00772179" w:rsidRDefault="00000000">
      <w:pPr>
        <w:ind w:left="567"/>
        <w:jc w:val="both"/>
      </w:pPr>
      <w:r>
        <w:rPr>
          <w:b/>
        </w:rPr>
        <w:t>(soit)</w:t>
      </w:r>
    </w:p>
    <w:p w14:paraId="14D5263B" w14:textId="77777777" w:rsidR="00772179" w:rsidRDefault="00000000">
      <w:pPr>
        <w:ind w:left="567"/>
        <w:jc w:val="both"/>
      </w:pPr>
      <w:r>
        <w:rPr>
          <w:rStyle w:val="soitChar"/>
          <w:u w:val="single"/>
        </w:rPr>
        <w:t>Ouvrant caché :</w:t>
      </w:r>
      <w:r>
        <w:rPr>
          <w:rStyle w:val="soitChar"/>
        </w:rPr>
        <w:t xml:space="preserve"> le capotage comprend un raccord soudé afin d’obtenir un cadre unique recouvrant à la fois le dormant et l’ouvrant.</w:t>
      </w:r>
    </w:p>
    <w:p w14:paraId="502850AB" w14:textId="77777777" w:rsidR="00772179" w:rsidRDefault="00000000">
      <w:pPr>
        <w:ind w:left="567"/>
        <w:jc w:val="both"/>
      </w:pPr>
      <w:r>
        <w:rPr>
          <w:b/>
        </w:rPr>
        <w:t>(soit)</w:t>
      </w:r>
    </w:p>
    <w:p w14:paraId="35AB828B" w14:textId="77777777" w:rsidR="00772179" w:rsidRDefault="00000000">
      <w:pPr>
        <w:ind w:left="567"/>
        <w:jc w:val="both"/>
      </w:pPr>
      <w:r>
        <w:rPr>
          <w:rStyle w:val="optioncarChar"/>
        </w:rPr>
        <w:t>***</w:t>
      </w:r>
    </w:p>
    <w:p w14:paraId="0FBBE0D8" w14:textId="77777777" w:rsidR="00772179" w:rsidRDefault="00000000">
      <w:pPr>
        <w:jc w:val="both"/>
      </w:pPr>
      <w:r>
        <w:rPr>
          <w:b/>
        </w:rPr>
        <w:t>Forme et dimensions des profils :</w:t>
      </w:r>
    </w:p>
    <w:p w14:paraId="35AD89D9" w14:textId="77777777" w:rsidR="00772179" w:rsidRDefault="00000000">
      <w:pPr>
        <w:jc w:val="both"/>
      </w:pPr>
      <w: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w:t>
      </w:r>
    </w:p>
    <w:p w14:paraId="5D8E1954" w14:textId="77777777" w:rsidR="00772179" w:rsidRDefault="00000000">
      <w:pPr>
        <w:pStyle w:val="Author-eListParagraph"/>
        <w:numPr>
          <w:ilvl w:val="0"/>
          <w:numId w:val="269"/>
        </w:numPr>
      </w:pPr>
      <w:r>
        <w:t xml:space="preserve">Hauteur du profil : ≥ </w:t>
      </w:r>
      <w:r>
        <w:rPr>
          <w:rStyle w:val="optioncarChar"/>
        </w:rPr>
        <w:t xml:space="preserve">80 </w:t>
      </w:r>
      <w:r>
        <w:t>(par défaut)</w:t>
      </w:r>
      <w:r>
        <w:rPr>
          <w:rStyle w:val="optioncarChar"/>
        </w:rPr>
        <w:t xml:space="preserve"> / ***</w:t>
      </w:r>
      <w:r>
        <w:t xml:space="preserve"> mm.</w:t>
      </w:r>
    </w:p>
    <w:p w14:paraId="2F6EA101" w14:textId="77777777" w:rsidR="00772179" w:rsidRDefault="00000000">
      <w:pPr>
        <w:pStyle w:val="Author-eListParagraph"/>
        <w:numPr>
          <w:ilvl w:val="0"/>
          <w:numId w:val="269"/>
        </w:numPr>
      </w:pPr>
      <w:r>
        <w:t xml:space="preserve">Profondeur du profil : ≥ </w:t>
      </w:r>
      <w:r>
        <w:rPr>
          <w:rStyle w:val="optioncarChar"/>
        </w:rPr>
        <w:t xml:space="preserve">90 </w:t>
      </w:r>
      <w:r>
        <w:t xml:space="preserve">(par défaut) </w:t>
      </w:r>
      <w:r>
        <w:rPr>
          <w:rStyle w:val="optioncarChar"/>
        </w:rPr>
        <w:t>/ 110 / ***</w:t>
      </w:r>
      <w:r>
        <w:t xml:space="preserve"> mm.</w:t>
      </w:r>
    </w:p>
    <w:p w14:paraId="42237602" w14:textId="77777777" w:rsidR="00772179" w:rsidRDefault="00000000">
      <w:pPr>
        <w:pStyle w:val="Author-eListParagraph"/>
        <w:numPr>
          <w:ilvl w:val="0"/>
          <w:numId w:val="269"/>
        </w:numPr>
      </w:pPr>
      <w:r>
        <w:t xml:space="preserve">Type de frappe : </w:t>
      </w:r>
      <w:r>
        <w:rPr>
          <w:rStyle w:val="optioncarChar"/>
        </w:rPr>
        <w:t>triple</w:t>
      </w:r>
      <w:r>
        <w:t xml:space="preserve"> (par défaut) </w:t>
      </w:r>
      <w:r>
        <w:rPr>
          <w:rStyle w:val="optioncarChar"/>
        </w:rPr>
        <w:t>/ double / ***</w:t>
      </w:r>
      <w:r>
        <w:t>.</w:t>
      </w:r>
    </w:p>
    <w:p w14:paraId="657311FA" w14:textId="77777777" w:rsidR="00772179" w:rsidRDefault="00000000">
      <w:pPr>
        <w:pStyle w:val="Author-eListParagraph"/>
        <w:numPr>
          <w:ilvl w:val="0"/>
          <w:numId w:val="269"/>
        </w:numPr>
      </w:pPr>
      <w:r>
        <w:t xml:space="preserve">Nombre de joints : </w:t>
      </w:r>
      <w:r>
        <w:rPr>
          <w:rStyle w:val="optioncarChar"/>
        </w:rPr>
        <w:t>1</w:t>
      </w:r>
      <w:r>
        <w:t xml:space="preserve"> (par défaut)</w:t>
      </w:r>
      <w:r>
        <w:rPr>
          <w:rStyle w:val="optioncarChar"/>
        </w:rPr>
        <w:t xml:space="preserve"> / 2 / 3 / ***</w:t>
      </w:r>
      <w:r>
        <w:t>. </w:t>
      </w:r>
    </w:p>
    <w:p w14:paraId="0A858934" w14:textId="77777777" w:rsidR="00772179" w:rsidRDefault="00000000">
      <w:pPr>
        <w:pStyle w:val="Author-eListParagraph"/>
        <w:numPr>
          <w:ilvl w:val="0"/>
          <w:numId w:val="269"/>
        </w:numPr>
      </w:pPr>
      <w:r>
        <w:t xml:space="preserve">Chambre de décompression : </w:t>
      </w:r>
      <w:r>
        <w:rPr>
          <w:rStyle w:val="optioncarChar"/>
        </w:rPr>
        <w:t xml:space="preserve">oui </w:t>
      </w:r>
      <w:r>
        <w:t>(par défaut)</w:t>
      </w:r>
      <w:r>
        <w:rPr>
          <w:rStyle w:val="optioncarChar"/>
        </w:rPr>
        <w:t xml:space="preserve"> / non.</w:t>
      </w:r>
    </w:p>
    <w:p w14:paraId="3FED3A27" w14:textId="77777777" w:rsidR="00772179" w:rsidRDefault="00000000">
      <w:pPr>
        <w:jc w:val="both"/>
      </w:pPr>
      <w:r>
        <w:t>Des feuillures ou rainures sont prévues dans les profils des châssis partout où cela s'avère nécessaire pour la finition intérieure (caisse à rideaux, habillage latéral, etc…).</w:t>
      </w:r>
    </w:p>
    <w:p w14:paraId="0ADCAEBB" w14:textId="77777777" w:rsidR="00772179" w:rsidRDefault="00000000">
      <w:pPr>
        <w:jc w:val="both"/>
      </w:pPr>
      <w:r>
        <w:rPr>
          <w:b/>
        </w:rPr>
        <w:lastRenderedPageBreak/>
        <w:t>Performances :</w:t>
      </w:r>
    </w:p>
    <w:p w14:paraId="4F27F720" w14:textId="77777777" w:rsidR="00772179" w:rsidRDefault="00000000">
      <w:pPr>
        <w:pStyle w:val="Author-eListParagraph"/>
        <w:numPr>
          <w:ilvl w:val="0"/>
          <w:numId w:val="270"/>
        </w:numPr>
      </w:pPr>
      <w:r>
        <w:t xml:space="preserve">Performances thermiques de la porte calculée suivant [NBN EN 12412-2] ou [NBN EN ISO 10077-2] : valeur Uw : </w:t>
      </w:r>
      <w:r>
        <w:rPr>
          <w:rStyle w:val="optioncarChar"/>
        </w:rPr>
        <w:t>conforme aux résultats de l’étude PEB</w:t>
      </w:r>
      <w:r>
        <w:t xml:space="preserve"> (par défaut)</w:t>
      </w:r>
      <w:r>
        <w:rPr>
          <w:rStyle w:val="optioncarChar"/>
        </w:rPr>
        <w:t xml:space="preserve"> / ≤ à 1,10 (triple vitrage) / ≤ à 1,60 (double vitrage) / *** W/m²K</w:t>
      </w:r>
    </w:p>
    <w:p w14:paraId="4B40737F" w14:textId="77777777" w:rsidR="00772179" w:rsidRDefault="00000000">
      <w:pPr>
        <w:pStyle w:val="Author-eListParagraph"/>
        <w:numPr>
          <w:ilvl w:val="0"/>
          <w:numId w:val="270"/>
        </w:numPr>
      </w:pPr>
      <w:r>
        <w:t xml:space="preserve">Remplissage : voir descriptif au chapitre </w:t>
      </w:r>
      <w:hyperlink w:anchor="852" w:history="1">
        <w:r>
          <w:rPr>
            <w:color w:val="0000EE"/>
          </w:rPr>
          <w:t>42 Vitrages extérieurs et éléments de remplissage</w:t>
        </w:r>
      </w:hyperlink>
      <w:r>
        <w:t>.</w:t>
      </w:r>
    </w:p>
    <w:p w14:paraId="029BA60F" w14:textId="77777777" w:rsidR="00772179" w:rsidRDefault="00000000">
      <w:pPr>
        <w:pStyle w:val="Author-eListParagraph"/>
        <w:numPr>
          <w:ilvl w:val="0"/>
          <w:numId w:val="270"/>
        </w:numPr>
      </w:pPr>
      <w:r>
        <w:t xml:space="preserve">Etanchéité à l’air : classe </w:t>
      </w:r>
      <w:r>
        <w:rPr>
          <w:rStyle w:val="optioncarChar"/>
        </w:rPr>
        <w:t xml:space="preserve">4 </w:t>
      </w:r>
      <w:r>
        <w:t xml:space="preserve">(par défaut) </w:t>
      </w:r>
      <w:r>
        <w:rPr>
          <w:rStyle w:val="optioncarChar"/>
        </w:rPr>
        <w:t>/ ***</w:t>
      </w:r>
    </w:p>
    <w:p w14:paraId="283E358A" w14:textId="77777777" w:rsidR="00772179" w:rsidRDefault="00000000">
      <w:pPr>
        <w:pStyle w:val="Author-eListParagraph"/>
        <w:numPr>
          <w:ilvl w:val="0"/>
          <w:numId w:val="270"/>
        </w:numPr>
      </w:pPr>
      <w:r>
        <w:t>Etanchéité à l’eau : classe</w:t>
      </w:r>
      <w:r>
        <w:rPr>
          <w:rStyle w:val="optioncarChar"/>
        </w:rPr>
        <w:t xml:space="preserve"> 6A </w:t>
      </w:r>
      <w:r>
        <w:t xml:space="preserve">(par défaut) </w:t>
      </w:r>
      <w:r>
        <w:rPr>
          <w:rStyle w:val="optioncarChar"/>
        </w:rPr>
        <w:t>/ ***</w:t>
      </w:r>
    </w:p>
    <w:p w14:paraId="7598A96D" w14:textId="77777777" w:rsidR="00772179" w:rsidRDefault="00000000">
      <w:pPr>
        <w:pStyle w:val="Author-eListParagraph"/>
        <w:numPr>
          <w:ilvl w:val="0"/>
          <w:numId w:val="270"/>
        </w:numPr>
      </w:pPr>
      <w:r>
        <w:t xml:space="preserve">Résistance au Vent : classe </w:t>
      </w:r>
      <w:r>
        <w:rPr>
          <w:rStyle w:val="optioncarChar"/>
        </w:rPr>
        <w:t xml:space="preserve">C3 </w:t>
      </w:r>
      <w:r>
        <w:t>(par défaut)</w:t>
      </w:r>
      <w:r>
        <w:rPr>
          <w:rStyle w:val="optioncarChar"/>
        </w:rPr>
        <w:t xml:space="preserve"> / ***</w:t>
      </w:r>
    </w:p>
    <w:p w14:paraId="7CA8B793" w14:textId="77777777" w:rsidR="00772179" w:rsidRDefault="00000000">
      <w:pPr>
        <w:pStyle w:val="Author-eListParagraph"/>
        <w:numPr>
          <w:ilvl w:val="0"/>
          <w:numId w:val="270"/>
        </w:numPr>
      </w:pPr>
      <w:r>
        <w:t>D’effort de manœuvre : classe</w:t>
      </w:r>
      <w:r>
        <w:rPr>
          <w:rStyle w:val="optioncarChar"/>
        </w:rPr>
        <w:t xml:space="preserve"> 1 </w:t>
      </w:r>
      <w:r>
        <w:t>(par défaut)</w:t>
      </w:r>
      <w:r>
        <w:rPr>
          <w:rStyle w:val="optioncarChar"/>
        </w:rPr>
        <w:t xml:space="preserve"> / 2 (PMR) / ***</w:t>
      </w:r>
    </w:p>
    <w:p w14:paraId="6F9781B4" w14:textId="77777777" w:rsidR="00772179" w:rsidRDefault="00000000">
      <w:pPr>
        <w:pStyle w:val="Author-eListParagraph"/>
        <w:numPr>
          <w:ilvl w:val="0"/>
          <w:numId w:val="270"/>
        </w:numPr>
      </w:pPr>
      <w:r>
        <w:t>Abus d’utilisation : classe</w:t>
      </w:r>
      <w:r>
        <w:rPr>
          <w:rStyle w:val="optioncarChar"/>
        </w:rPr>
        <w:t xml:space="preserve"> 3 </w:t>
      </w:r>
      <w:r>
        <w:t xml:space="preserve">(par défaut) </w:t>
      </w:r>
      <w:r>
        <w:rPr>
          <w:rStyle w:val="optioncarChar"/>
        </w:rPr>
        <w:t>/ 4 (écoles, bâtiments publics) / ***</w:t>
      </w:r>
    </w:p>
    <w:p w14:paraId="2257C79C" w14:textId="77777777" w:rsidR="00772179" w:rsidRDefault="00000000">
      <w:pPr>
        <w:pStyle w:val="Author-eListParagraph"/>
        <w:numPr>
          <w:ilvl w:val="0"/>
          <w:numId w:val="270"/>
        </w:numPr>
      </w:pPr>
      <w:r>
        <w:t xml:space="preserve">Performances acoustiques D Atr : </w:t>
      </w:r>
      <w:r>
        <w:rPr>
          <w:rStyle w:val="optioncarChar"/>
        </w:rPr>
        <w:t xml:space="preserve">non spécifié </w:t>
      </w:r>
      <w:r>
        <w:t>(par défaut)</w:t>
      </w:r>
      <w:r>
        <w:rPr>
          <w:rStyle w:val="optioncarChar"/>
        </w:rPr>
        <w:t> / ≥ 38 / ≥ 42 / ≥ 52 / ***</w:t>
      </w:r>
      <w:r>
        <w:t xml:space="preserve"> dB suivant [NBN S 01-400-1] (bâtiments) &amp; [NBN S 01-400-2] (écoles)]</w:t>
      </w:r>
    </w:p>
    <w:p w14:paraId="1C9170D5" w14:textId="77777777" w:rsidR="00772179" w:rsidRDefault="00000000">
      <w:pPr>
        <w:pStyle w:val="Author-eListParagraph"/>
        <w:numPr>
          <w:ilvl w:val="0"/>
          <w:numId w:val="270"/>
        </w:numPr>
      </w:pPr>
      <w:r>
        <w:t xml:space="preserve">Résistance à l’effraction : classe </w:t>
      </w:r>
      <w:r>
        <w:rPr>
          <w:rStyle w:val="optioncarChar"/>
        </w:rPr>
        <w:t xml:space="preserve">2 (résistance à l’effraction de base) </w:t>
      </w:r>
      <w:r>
        <w:t>(par défaut)</w:t>
      </w:r>
      <w:r>
        <w:rPr>
          <w:rStyle w:val="optioncarChar"/>
        </w:rPr>
        <w:t xml:space="preserve"> / 1 (sans performance particulière) / 3 / 4 / 5 / ***</w:t>
      </w:r>
    </w:p>
    <w:p w14:paraId="12A267F5" w14:textId="77777777" w:rsidR="00772179" w:rsidRDefault="00000000">
      <w:pPr>
        <w:pStyle w:val="Author-eListParagraph"/>
        <w:numPr>
          <w:ilvl w:val="0"/>
          <w:numId w:val="270"/>
        </w:numPr>
      </w:pPr>
      <w:r>
        <w:t xml:space="preserve">Résistance à l’explosion : </w:t>
      </w:r>
      <w:r>
        <w:rPr>
          <w:rStyle w:val="optioncarChar"/>
        </w:rPr>
        <w:t xml:space="preserve">non spécifié </w:t>
      </w:r>
      <w:r>
        <w:t>(par défaut) </w:t>
      </w:r>
      <w:r>
        <w:rPr>
          <w:rStyle w:val="optioncarChar"/>
        </w:rPr>
        <w:t>/ ***</w:t>
      </w:r>
    </w:p>
    <w:p w14:paraId="7B7AEDE7" w14:textId="77777777" w:rsidR="00772179" w:rsidRDefault="00000000">
      <w:pPr>
        <w:pStyle w:val="Author-eListParagraph"/>
        <w:numPr>
          <w:ilvl w:val="0"/>
          <w:numId w:val="270"/>
        </w:numPr>
      </w:pPr>
      <w:r>
        <w:t xml:space="preserve">Résistance aux balles :  </w:t>
      </w:r>
      <w:r>
        <w:rPr>
          <w:rStyle w:val="optioncarChar"/>
        </w:rPr>
        <w:t xml:space="preserve">non spécifié </w:t>
      </w:r>
      <w:r>
        <w:t>(par défaut) </w:t>
      </w:r>
      <w:r>
        <w:rPr>
          <w:rStyle w:val="optioncarChar"/>
        </w:rPr>
        <w:t>/ ***</w:t>
      </w:r>
    </w:p>
    <w:p w14:paraId="3605B732" w14:textId="77777777" w:rsidR="00772179" w:rsidRDefault="00000000">
      <w:pPr>
        <w:pStyle w:val="Author-eListParagraph"/>
        <w:numPr>
          <w:ilvl w:val="0"/>
          <w:numId w:val="270"/>
        </w:numPr>
      </w:pPr>
      <w:r>
        <w:t xml:space="preserve">Résistance et réaction au feu : </w:t>
      </w:r>
      <w:r>
        <w:rPr>
          <w:rStyle w:val="optioncarChar"/>
        </w:rPr>
        <w:t xml:space="preserve">non spécifié </w:t>
      </w:r>
      <w:r>
        <w:t>(par défaut)</w:t>
      </w:r>
      <w:r>
        <w:rPr>
          <w:rStyle w:val="optioncarChar"/>
        </w:rPr>
        <w:t> / ***</w:t>
      </w:r>
    </w:p>
    <w:p w14:paraId="1451D1CF" w14:textId="77777777" w:rsidR="00772179" w:rsidRDefault="00000000">
      <w:pPr>
        <w:pStyle w:val="Author-eListParagraph"/>
        <w:numPr>
          <w:ilvl w:val="0"/>
          <w:numId w:val="270"/>
        </w:numPr>
      </w:pPr>
      <w:r>
        <w:t xml:space="preserve">Résistance aux chocs : classe </w:t>
      </w:r>
      <w:r>
        <w:rPr>
          <w:rStyle w:val="optioncarChar"/>
        </w:rPr>
        <w:t xml:space="preserve">2 </w:t>
      </w:r>
      <w:r>
        <w:t>(par défaut)</w:t>
      </w:r>
      <w:r>
        <w:rPr>
          <w:rStyle w:val="optioncarChar"/>
        </w:rPr>
        <w:t xml:space="preserve"> / ***</w:t>
      </w:r>
    </w:p>
    <w:p w14:paraId="21EAA11B" w14:textId="77777777" w:rsidR="00772179" w:rsidRDefault="00000000">
      <w:pPr>
        <w:jc w:val="both"/>
      </w:pPr>
      <w:r>
        <w:rPr>
          <w:b/>
        </w:rPr>
        <w:t>Assemblages :</w:t>
      </w:r>
    </w:p>
    <w:p w14:paraId="41335769" w14:textId="77777777" w:rsidR="00772179" w:rsidRDefault="00000000">
      <w:pPr>
        <w:jc w:val="both"/>
      </w:pPr>
      <w:r>
        <w:t xml:space="preserve">Les assemblages des angles et des extrémités sont exécutés </w:t>
      </w:r>
      <w:r>
        <w:rPr>
          <w:rStyle w:val="optioncarChar"/>
        </w:rPr>
        <w:t xml:space="preserve">à doubles tenons </w:t>
      </w:r>
      <w:r>
        <w:t>(par défaut)</w:t>
      </w:r>
      <w:r>
        <w:rPr>
          <w:rStyle w:val="optioncarChar"/>
        </w:rPr>
        <w:t xml:space="preserve"> / par dentures multiples / par assemblage mécanique / ***</w:t>
      </w:r>
      <w:r>
        <w:t xml:space="preserve"> et collés avec une colle synthétique ≥ D3. Après collage, les pièces de bois sont assemblées mécaniquement, les trous ainsi pratiqués sont comblés par un mastic approprié à la finition décrite par ailleurs.</w:t>
      </w:r>
    </w:p>
    <w:p w14:paraId="69AD1F60" w14:textId="77777777" w:rsidR="00772179" w:rsidRDefault="00000000">
      <w:pPr>
        <w:jc w:val="both"/>
      </w:pPr>
      <w:r>
        <w:t xml:space="preserve">Les assemblages des angles des profilés en aluminium sont </w:t>
      </w:r>
      <w:r>
        <w:rPr>
          <w:rStyle w:val="optioncarChar"/>
        </w:rPr>
        <w:t>soudés</w:t>
      </w:r>
      <w:r>
        <w:t xml:space="preserve"> (par défaut)</w:t>
      </w:r>
      <w:r>
        <w:rPr>
          <w:rStyle w:val="optioncarChar"/>
        </w:rPr>
        <w:t xml:space="preserve"> / clamés / collés / ***</w:t>
      </w:r>
    </w:p>
    <w:p w14:paraId="3199839D" w14:textId="77777777" w:rsidR="00772179" w:rsidRDefault="00000000">
      <w:pPr>
        <w:jc w:val="both"/>
      </w:pPr>
      <w:r>
        <w:rPr>
          <w:b/>
        </w:rPr>
        <w:t>Types de portes :</w:t>
      </w:r>
    </w:p>
    <w:p w14:paraId="695ADA6D" w14:textId="77777777" w:rsidR="00772179" w:rsidRDefault="00000000">
      <w:pPr>
        <w:jc w:val="both"/>
      </w:pPr>
      <w:r>
        <w:t>Les dimensions sont données dans le métré détaillé.</w:t>
      </w:r>
    </w:p>
    <w:p w14:paraId="5D7A70DF" w14:textId="77777777" w:rsidR="00772179" w:rsidRDefault="00000000">
      <w:pPr>
        <w:jc w:val="both"/>
      </w:pPr>
      <w:r>
        <w:rPr>
          <w:u w:val="single"/>
        </w:rPr>
        <w:t>Porte simple :</w:t>
      </w:r>
    </w:p>
    <w:p w14:paraId="3D48FCB8"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w:t>
      </w:r>
      <w:r>
        <w:t> (par défaut)</w:t>
      </w:r>
      <w:r>
        <w:rPr>
          <w:rStyle w:val="optioncarChar"/>
        </w:rPr>
        <w:t> / Vitrages triple – Gaz (cfr </w:t>
      </w:r>
      <w:hyperlink w:anchor="879" w:history="1">
        <w:r>
          <w:rPr>
            <w:rStyle w:val="optioncarChar"/>
            <w:color w:val="0000EE"/>
          </w:rPr>
          <w:t>42.22.2a Vitrages triples - Gaz</w:t>
        </w:r>
      </w:hyperlink>
      <w:r>
        <w:rPr>
          <w:rStyle w:val="optioncarChar"/>
        </w:rPr>
        <w:t xml:space="preserve">) / Eléments de remplissage en panneaux sandwichs métalliques (cfr </w:t>
      </w:r>
      <w:hyperlink w:anchor="880" w:history="1">
        <w:r>
          <w:rPr>
            <w:rStyle w:val="optioncarChar"/>
            <w:color w:val="0000EE"/>
          </w:rPr>
          <w:t>42.34.2a</w:t>
        </w:r>
      </w:hyperlink>
      <w:r>
        <w:rPr>
          <w:rStyle w:val="optioncarChar"/>
        </w:rPr>
        <w:t>) / ***.</w:t>
      </w:r>
    </w:p>
    <w:p w14:paraId="3413F34A" w14:textId="77777777" w:rsidR="00772179" w:rsidRDefault="00000000">
      <w:pPr>
        <w:jc w:val="both"/>
      </w:pPr>
      <w:r>
        <w:t>Quincailleries : </w:t>
      </w:r>
      <w:r>
        <w:rPr>
          <w:rStyle w:val="optioncarChar"/>
        </w:rPr>
        <w:t>conformes à la documentation technique du produit </w:t>
      </w:r>
      <w:r>
        <w:t>(par défaut)</w:t>
      </w:r>
      <w:r>
        <w:rPr>
          <w:rStyle w:val="optioncarChar"/>
        </w:rPr>
        <w:t> / ***.</w:t>
      </w:r>
    </w:p>
    <w:p w14:paraId="7C692C8E" w14:textId="77777777" w:rsidR="00772179" w:rsidRDefault="00000000">
      <w:pPr>
        <w:pStyle w:val="Author-eListParagraph"/>
        <w:numPr>
          <w:ilvl w:val="0"/>
          <w:numId w:val="271"/>
        </w:numPr>
      </w:pPr>
      <w:r>
        <w:t>Cfr. Article </w:t>
      </w:r>
      <w:hyperlink w:anchor="881" w:history="1">
        <w:r>
          <w:rPr>
            <w:color w:val="0000EE"/>
          </w:rPr>
          <w:t>41.72.1a Charnières et paumelles</w:t>
        </w:r>
      </w:hyperlink>
    </w:p>
    <w:p w14:paraId="69DF3925" w14:textId="77777777" w:rsidR="00772179" w:rsidRDefault="00000000">
      <w:pPr>
        <w:pStyle w:val="Author-eListParagraph"/>
        <w:numPr>
          <w:ilvl w:val="0"/>
          <w:numId w:val="271"/>
        </w:numPr>
      </w:pPr>
      <w:r>
        <w:t>Cfr. Article </w:t>
      </w:r>
      <w:hyperlink w:anchor="905" w:history="1">
        <w:r>
          <w:rPr>
            <w:color w:val="0000EE"/>
          </w:rPr>
          <w:t>41.72.2a Serrures</w:t>
        </w:r>
      </w:hyperlink>
    </w:p>
    <w:p w14:paraId="33A0407F" w14:textId="77777777" w:rsidR="00772179" w:rsidRDefault="00000000">
      <w:pPr>
        <w:pStyle w:val="Author-eListParagraph"/>
        <w:numPr>
          <w:ilvl w:val="0"/>
          <w:numId w:val="271"/>
        </w:numPr>
      </w:pPr>
      <w:r>
        <w:t>Cfr. Article </w:t>
      </w:r>
      <w:hyperlink w:anchor="882" w:history="1">
        <w:r>
          <w:rPr>
            <w:color w:val="0000EE"/>
          </w:rPr>
          <w:t>41.72.3a Poignées</w:t>
        </w:r>
      </w:hyperlink>
    </w:p>
    <w:p w14:paraId="25D70BE0" w14:textId="77777777" w:rsidR="00772179" w:rsidRDefault="00000000">
      <w:pPr>
        <w:jc w:val="both"/>
      </w:pPr>
      <w:r>
        <w:rPr>
          <w:u w:val="single"/>
        </w:rPr>
        <w:t>Double porte :</w:t>
      </w:r>
    </w:p>
    <w:p w14:paraId="45EF4BA5"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 – Gaz (cfr </w:t>
      </w:r>
      <w:hyperlink w:anchor="879" w:history="1">
        <w:r>
          <w:rPr>
            <w:rStyle w:val="optioncarChar"/>
            <w:color w:val="0000EE"/>
          </w:rPr>
          <w:t>42.22.2a Vitrages triples - Gaz</w:t>
        </w:r>
      </w:hyperlink>
      <w:r>
        <w:rPr>
          <w:rStyle w:val="optioncarChar"/>
        </w:rPr>
        <w:t xml:space="preserve">)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t>.</w:t>
      </w:r>
    </w:p>
    <w:p w14:paraId="0835C66C" w14:textId="77777777" w:rsidR="00772179" w:rsidRDefault="00000000">
      <w:pPr>
        <w:jc w:val="both"/>
      </w:pPr>
      <w:r>
        <w:t>Quincailleries : </w:t>
      </w:r>
      <w:r>
        <w:rPr>
          <w:rStyle w:val="optioncarChar"/>
        </w:rPr>
        <w:t>conformes à la documentation technique du produit </w:t>
      </w:r>
      <w:r>
        <w:t>(par défaut)</w:t>
      </w:r>
      <w:r>
        <w:rPr>
          <w:rStyle w:val="optioncarChar"/>
        </w:rPr>
        <w:t> / ***.</w:t>
      </w:r>
    </w:p>
    <w:p w14:paraId="1209C9AC" w14:textId="77777777" w:rsidR="00772179" w:rsidRDefault="00000000">
      <w:pPr>
        <w:pStyle w:val="Author-eListParagraph"/>
        <w:numPr>
          <w:ilvl w:val="0"/>
          <w:numId w:val="272"/>
        </w:numPr>
      </w:pPr>
      <w:r>
        <w:t>Cfr. Article </w:t>
      </w:r>
      <w:hyperlink w:anchor="881" w:history="1">
        <w:r>
          <w:rPr>
            <w:color w:val="0000EE"/>
          </w:rPr>
          <w:t>41.72.1a Charnières et paumelles</w:t>
        </w:r>
      </w:hyperlink>
    </w:p>
    <w:p w14:paraId="1C8A73F3" w14:textId="77777777" w:rsidR="00772179" w:rsidRDefault="00000000">
      <w:pPr>
        <w:pStyle w:val="Author-eListParagraph"/>
        <w:numPr>
          <w:ilvl w:val="0"/>
          <w:numId w:val="272"/>
        </w:numPr>
      </w:pPr>
      <w:r>
        <w:t>Cfr. Article </w:t>
      </w:r>
      <w:hyperlink w:anchor="905" w:history="1">
        <w:r>
          <w:rPr>
            <w:color w:val="0000EE"/>
          </w:rPr>
          <w:t>41.72.2a Serrures</w:t>
        </w:r>
      </w:hyperlink>
    </w:p>
    <w:p w14:paraId="068EE80E" w14:textId="77777777" w:rsidR="00772179" w:rsidRDefault="00000000">
      <w:pPr>
        <w:pStyle w:val="Author-eListParagraph"/>
        <w:numPr>
          <w:ilvl w:val="0"/>
          <w:numId w:val="272"/>
        </w:numPr>
      </w:pPr>
      <w:r>
        <w:t>Cfr. Article </w:t>
      </w:r>
      <w:hyperlink w:anchor="882" w:history="1">
        <w:r>
          <w:rPr>
            <w:color w:val="0000EE"/>
          </w:rPr>
          <w:t>41.72.3a Poignées</w:t>
        </w:r>
      </w:hyperlink>
    </w:p>
    <w:p w14:paraId="33690C19" w14:textId="77777777" w:rsidR="00772179" w:rsidRDefault="00000000">
      <w:pPr>
        <w:jc w:val="both"/>
      </w:pPr>
      <w:r>
        <w:t>Pour les doubles portes extérieures, un vantail est équipé de deux verrous à bascule en acier inoxydable encastrés. Pour la fermeture supérieure et inférieure, des douilles de fermeture encastrées en acier inoxydable sont prévues.</w:t>
      </w:r>
    </w:p>
    <w:p w14:paraId="6001D899" w14:textId="77777777" w:rsidR="00772179" w:rsidRDefault="00000000">
      <w:pPr>
        <w:jc w:val="both"/>
      </w:pPr>
      <w:r>
        <w:rPr>
          <w:u w:val="single"/>
        </w:rPr>
        <w:t>Ensembles de portes composées :</w:t>
      </w:r>
    </w:p>
    <w:p w14:paraId="41DF444B" w14:textId="77777777" w:rsidR="00772179" w:rsidRDefault="00000000">
      <w:pPr>
        <w:jc w:val="both"/>
      </w:pPr>
      <w:r>
        <w:lastRenderedPageBreak/>
        <w:t xml:space="preserve">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t>.</w:t>
      </w:r>
    </w:p>
    <w:p w14:paraId="2D4BBB80" w14:textId="77777777" w:rsidR="00772179" w:rsidRDefault="00000000">
      <w:pPr>
        <w:jc w:val="both"/>
      </w:pPr>
      <w:r>
        <w:t>Quincailleries : </w:t>
      </w:r>
      <w:r>
        <w:rPr>
          <w:rStyle w:val="optioncarChar"/>
        </w:rPr>
        <w:t>conformes à la documentation technique du produit </w:t>
      </w:r>
      <w:r>
        <w:t>(par défaut)</w:t>
      </w:r>
      <w:r>
        <w:rPr>
          <w:rStyle w:val="optioncarChar"/>
        </w:rPr>
        <w:t> / ***.</w:t>
      </w:r>
    </w:p>
    <w:p w14:paraId="4D64F790" w14:textId="77777777" w:rsidR="00772179" w:rsidRDefault="00000000">
      <w:pPr>
        <w:pStyle w:val="Author-eListParagraph"/>
        <w:numPr>
          <w:ilvl w:val="0"/>
          <w:numId w:val="273"/>
        </w:numPr>
      </w:pPr>
      <w:r>
        <w:t>Cfr. Article </w:t>
      </w:r>
      <w:hyperlink w:anchor="881" w:history="1">
        <w:r>
          <w:rPr>
            <w:color w:val="0000EE"/>
          </w:rPr>
          <w:t>41.72.1a Charnières et paumelles</w:t>
        </w:r>
      </w:hyperlink>
    </w:p>
    <w:p w14:paraId="357A35E4" w14:textId="77777777" w:rsidR="00772179" w:rsidRDefault="00000000">
      <w:pPr>
        <w:pStyle w:val="Author-eListParagraph"/>
        <w:numPr>
          <w:ilvl w:val="0"/>
          <w:numId w:val="273"/>
        </w:numPr>
      </w:pPr>
      <w:r>
        <w:t>Cfr. Article </w:t>
      </w:r>
      <w:hyperlink w:anchor="905" w:history="1">
        <w:r>
          <w:rPr>
            <w:color w:val="0000EE"/>
          </w:rPr>
          <w:t>41.72.2a Serrures</w:t>
        </w:r>
      </w:hyperlink>
    </w:p>
    <w:p w14:paraId="2C7238DB" w14:textId="77777777" w:rsidR="00772179" w:rsidRDefault="00000000">
      <w:pPr>
        <w:pStyle w:val="Author-eListParagraph"/>
        <w:numPr>
          <w:ilvl w:val="0"/>
          <w:numId w:val="273"/>
        </w:numPr>
      </w:pPr>
      <w:r>
        <w:t>Cfr. Article </w:t>
      </w:r>
      <w:hyperlink w:anchor="882" w:history="1">
        <w:r>
          <w:rPr>
            <w:color w:val="0000EE"/>
          </w:rPr>
          <w:t>41.72.3a Poignées</w:t>
        </w:r>
      </w:hyperlink>
    </w:p>
    <w:p w14:paraId="34FBF8E9" w14:textId="77777777" w:rsidR="00772179" w:rsidRDefault="00000000">
      <w:pPr>
        <w:jc w:val="both"/>
      </w:pPr>
      <w:r>
        <w:t>Les ensembles de portes composés sont constitués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un ensemble indéformable.</w:t>
      </w:r>
    </w:p>
    <w:p w14:paraId="4188C3D5" w14:textId="77777777" w:rsidR="00772179" w:rsidRDefault="00000000">
      <w:pPr>
        <w:jc w:val="both"/>
      </w:pPr>
      <w:r>
        <w:rPr>
          <w:b/>
        </w:rPr>
        <w:t>Quincaillerie :</w:t>
      </w:r>
    </w:p>
    <w:p w14:paraId="36CD9D45" w14:textId="77777777" w:rsidR="00772179" w:rsidRDefault="00000000">
      <w:pPr>
        <w:jc w:val="both"/>
      </w:pPr>
      <w:r>
        <w:t xml:space="preserve">La quincaillerie encastrée est </w:t>
      </w:r>
      <w:r>
        <w:rPr>
          <w:rStyle w:val="optioncarChar"/>
        </w:rPr>
        <w:t>galvanisée (≥ 19 µm)</w:t>
      </w:r>
      <w:r>
        <w:t xml:space="preserve"> (par défaut)</w:t>
      </w:r>
      <w:r>
        <w:rPr>
          <w:rStyle w:val="optioncarChar"/>
        </w:rPr>
        <w:t xml:space="preserve"> / chromatée / synthétique / ***</w:t>
      </w:r>
      <w:r>
        <w:t xml:space="preserve"> et les différents constituants qui sont encastrés dans le profilé sont enduits, pendant l’encastrement, d’une épaisse couche de graisse pour roulements à billes. (Voir </w:t>
      </w:r>
      <w:hyperlink w:anchor="884" w:history="1">
        <w:r>
          <w:rPr>
            <w:color w:val="0000EE"/>
          </w:rPr>
          <w:t>41.72 Quincailleries</w:t>
        </w:r>
      </w:hyperlink>
      <w:r>
        <w:t>)</w:t>
      </w:r>
    </w:p>
    <w:p w14:paraId="09172035" w14:textId="77777777" w:rsidR="00772179" w:rsidRDefault="00000000">
      <w:pPr>
        <w:jc w:val="both"/>
      </w:pPr>
      <w:r>
        <w:t>La quincaillerie permet d’atteindre les performances définies ci-dessus et est conforme aux descriptions des essais initiaux pour le marquage de la porte.</w:t>
      </w:r>
    </w:p>
    <w:p w14:paraId="573B5750" w14:textId="77777777" w:rsidR="00772179" w:rsidRDefault="00000000">
      <w:pPr>
        <w:jc w:val="both"/>
      </w:pPr>
      <w:r>
        <w:t xml:space="preserve">Les poignées et autres dispositifs d’aide à la manœuvre (notamment PMR) sont définis au </w:t>
      </w:r>
      <w:hyperlink w:anchor="886" w:history="1">
        <w:r>
          <w:rPr>
            <w:color w:val="0000EE"/>
          </w:rPr>
          <w:t>41.72.3 Poignées</w:t>
        </w:r>
      </w:hyperlink>
    </w:p>
    <w:p w14:paraId="1A916B89" w14:textId="77777777" w:rsidR="00772179" w:rsidRDefault="00000000">
      <w:pPr>
        <w:jc w:val="both"/>
      </w:pPr>
      <w:r>
        <w:t>En principe, la porte d'entrée (principale) est actionnée avec une poignée à l'intérieur et avec une clé et un tirant à l'extérieur. Les autres portes extérieures sont actionnées à l'aide d'une poignée à l'intérieur et à l'extérieur.</w:t>
      </w:r>
    </w:p>
    <w:p w14:paraId="57D72795" w14:textId="77777777" w:rsidR="00772179" w:rsidRDefault="00000000">
      <w:pPr>
        <w:jc w:val="both"/>
      </w:pPr>
      <w:r>
        <w:t xml:space="preserve">Les vantaux de porte sont équipés d’une serrure </w:t>
      </w:r>
      <w:r>
        <w:rPr>
          <w:rStyle w:val="optioncarChar"/>
        </w:rPr>
        <w:t xml:space="preserve">à cylindre profilé </w:t>
      </w:r>
      <w:r>
        <w:t>(par défaut)</w:t>
      </w:r>
      <w:r>
        <w:rPr>
          <w:rStyle w:val="optioncarChar"/>
        </w:rPr>
        <w:t xml:space="preserve"> / à cylindre de sécurité / électromagnétique / ***</w:t>
      </w:r>
    </w:p>
    <w:p w14:paraId="74165D89" w14:textId="77777777" w:rsidR="00772179" w:rsidRDefault="00000000">
      <w:pPr>
        <w:jc w:val="both"/>
      </w:pPr>
      <w:r>
        <w:rPr>
          <w:b/>
        </w:rPr>
        <w:t>(soit par défaut)</w:t>
      </w:r>
    </w:p>
    <w:p w14:paraId="190F4BE1" w14:textId="77777777" w:rsidR="00772179" w:rsidRDefault="00000000">
      <w:pPr>
        <w:jc w:val="both"/>
      </w:pPr>
      <w:r>
        <w:rPr>
          <w:rStyle w:val="soitChar"/>
          <w:u w:val="single"/>
        </w:rPr>
        <w:t>Cylindre profilé</w:t>
      </w:r>
      <w:r>
        <w:rPr>
          <w:rStyle w:val="soitChar"/>
        </w:rPr>
        <w:t xml:space="preserve"> en </w:t>
      </w:r>
      <w:r>
        <w:rPr>
          <w:rStyle w:val="optioncarChar"/>
        </w:rPr>
        <w:t xml:space="preserve">inox </w:t>
      </w:r>
      <w:r>
        <w:t>(par défaut)</w:t>
      </w:r>
      <w:r>
        <w:rPr>
          <w:rStyle w:val="optioncarChar"/>
        </w:rPr>
        <w:t xml:space="preserve"> / laiton / *** </w:t>
      </w:r>
      <w:r>
        <w:rPr>
          <w:rStyle w:val="soitChar"/>
        </w:rPr>
        <w:t>avec</w:t>
      </w:r>
      <w:r>
        <w:rPr>
          <w:rStyle w:val="optioncarChar"/>
        </w:rPr>
        <w:t> trois </w:t>
      </w:r>
      <w:r>
        <w:t>(par défaut)</w:t>
      </w:r>
      <w:r>
        <w:rPr>
          <w:rStyle w:val="optioncarChar"/>
        </w:rPr>
        <w:t> / quatre / cinq</w:t>
      </w:r>
      <w:r>
        <w:rPr>
          <w:rStyle w:val="soitChar"/>
        </w:rPr>
        <w:t> points de fermeture.</w:t>
      </w:r>
    </w:p>
    <w:p w14:paraId="7ADEBAFF" w14:textId="77777777" w:rsidR="00772179" w:rsidRDefault="00000000">
      <w:pPr>
        <w:jc w:val="both"/>
      </w:pPr>
      <w:r>
        <w:rPr>
          <w:b/>
        </w:rPr>
        <w:t>(soit)</w:t>
      </w:r>
    </w:p>
    <w:p w14:paraId="4DB8B4AF" w14:textId="77777777" w:rsidR="00772179" w:rsidRDefault="00000000">
      <w:pPr>
        <w:jc w:val="both"/>
      </w:pPr>
      <w:r>
        <w:rPr>
          <w:rStyle w:val="soitChar"/>
          <w:u w:val="single"/>
        </w:rPr>
        <w:t>Cylindre de sécurité</w:t>
      </w:r>
      <w:r>
        <w:rPr>
          <w:rStyle w:val="soitChar"/>
        </w:rPr>
        <w:t xml:space="preserve"> en </w:t>
      </w:r>
      <w:r>
        <w:rPr>
          <w:rStyle w:val="optioncarChar"/>
        </w:rPr>
        <w:t xml:space="preserve">inox </w:t>
      </w:r>
      <w:r>
        <w:t xml:space="preserve">(par défaut) </w:t>
      </w:r>
      <w:r>
        <w:rPr>
          <w:rStyle w:val="optioncarChar"/>
        </w:rPr>
        <w:t>/ laiton / ***</w:t>
      </w:r>
      <w:r>
        <w:rPr>
          <w:rStyle w:val="soitChar"/>
        </w:rPr>
        <w:t> avec </w:t>
      </w:r>
      <w:r>
        <w:rPr>
          <w:rStyle w:val="optioncarChar"/>
        </w:rPr>
        <w:t xml:space="preserve">trois </w:t>
      </w:r>
      <w:r>
        <w:t>(par défaut)</w:t>
      </w:r>
      <w:r>
        <w:rPr>
          <w:rStyle w:val="optioncarChar"/>
        </w:rPr>
        <w:t> / quatre / cinq</w:t>
      </w:r>
      <w:r>
        <w:rPr>
          <w:rStyle w:val="soitChar"/>
        </w:rPr>
        <w:t> points de fermeture.</w:t>
      </w:r>
    </w:p>
    <w:p w14:paraId="41F874B7" w14:textId="77777777" w:rsidR="00772179" w:rsidRDefault="00000000">
      <w:pPr>
        <w:jc w:val="both"/>
      </w:pPr>
      <w:r>
        <w:rPr>
          <w:b/>
        </w:rPr>
        <w:t>(soit)</w:t>
      </w:r>
    </w:p>
    <w:p w14:paraId="73A273D5" w14:textId="77777777" w:rsidR="00772179" w:rsidRDefault="00000000">
      <w:pPr>
        <w:jc w:val="both"/>
      </w:pPr>
      <w:r>
        <w:rPr>
          <w:rStyle w:val="soitChar"/>
          <w:u w:val="single"/>
        </w:rPr>
        <w:t>Electromagnétique</w:t>
      </w:r>
      <w:r>
        <w:rPr>
          <w:rStyle w:val="soitChar"/>
        </w:rPr>
        <w:t xml:space="preserve"> - standard lorsqu'un parlophone est prévu. </w:t>
      </w:r>
    </w:p>
    <w:p w14:paraId="3A42AD0A" w14:textId="77777777" w:rsidR="00772179" w:rsidRDefault="00000000">
      <w:pPr>
        <w:jc w:val="both"/>
      </w:pPr>
      <w:r>
        <w:rPr>
          <w:b/>
        </w:rPr>
        <w:t>(soit)</w:t>
      </w:r>
    </w:p>
    <w:p w14:paraId="2AF51973" w14:textId="77777777" w:rsidR="00772179" w:rsidRDefault="00000000">
      <w:pPr>
        <w:jc w:val="both"/>
      </w:pPr>
      <w:r>
        <w:rPr>
          <w:rStyle w:val="optioncarChar"/>
        </w:rPr>
        <w:t>***</w:t>
      </w:r>
    </w:p>
    <w:p w14:paraId="17DE08D4" w14:textId="77777777" w:rsidR="00772179" w:rsidRDefault="00000000">
      <w:pPr>
        <w:jc w:val="both"/>
      </w:pPr>
      <w:r>
        <w:t xml:space="preserve">Pour la continuité de l’étanchéité à l’air, le profil inférieur du vantail est muni : </w:t>
      </w:r>
      <w:r>
        <w:rPr>
          <w:rStyle w:val="optioncarChar"/>
        </w:rPr>
        <w:t>guillotine à joint </w:t>
      </w:r>
      <w:r>
        <w:t>(par défaut) </w:t>
      </w:r>
      <w:r>
        <w:rPr>
          <w:rStyle w:val="optioncarChar"/>
        </w:rPr>
        <w:t>/ guillotine à brosse / brosse / seuil « Suisse » composé d’un profil en aluminium à rupture thermique d’une hauteur ≤ à 20 mm à simple frappe (PMR) / seuil « Suisse » composé d’un profil en aluminium à rupture thermique d’une hauteur ≤ à 35 mm à double frappe (performances passives).</w:t>
      </w:r>
    </w:p>
    <w:p w14:paraId="3C055B66" w14:textId="77777777" w:rsidR="00772179" w:rsidRDefault="00000000">
      <w:pPr>
        <w:jc w:val="both"/>
      </w:pPr>
      <w:r>
        <w:rPr>
          <w:b/>
        </w:rPr>
        <w:t>Vitrages et panneaux de remplissage :</w:t>
      </w:r>
    </w:p>
    <w:p w14:paraId="34901C3E" w14:textId="77777777" w:rsidR="00772179" w:rsidRDefault="00000000">
      <w:pPr>
        <w:jc w:val="both"/>
      </w:pPr>
      <w:r>
        <w:t xml:space="preserve">Voir </w:t>
      </w:r>
      <w:hyperlink w:anchor="852" w:history="1">
        <w:r>
          <w:rPr>
            <w:color w:val="0000EE"/>
          </w:rPr>
          <w:t>42 Vitrages extérieurs et éléments de remplissage</w:t>
        </w:r>
      </w:hyperlink>
      <w:r>
        <w:t>.</w:t>
      </w:r>
    </w:p>
    <w:p w14:paraId="1798353E" w14:textId="77777777" w:rsidR="00772179" w:rsidRDefault="00000000">
      <w:pPr>
        <w:jc w:val="both"/>
      </w:pPr>
      <w:r>
        <w:rPr>
          <w:b/>
        </w:rPr>
        <w:t>Aspects environnementaux :</w:t>
      </w:r>
    </w:p>
    <w:p w14:paraId="453F4046" w14:textId="77777777" w:rsidR="00772179" w:rsidRDefault="00000000">
      <w:pPr>
        <w:jc w:val="both"/>
      </w:pPr>
      <w:r>
        <w:t xml:space="preserve">Matériaux recyclés entrant dans la fabrication du produit : </w:t>
      </w:r>
      <w:r>
        <w:rPr>
          <w:rStyle w:val="optioncarChar"/>
        </w:rPr>
        <w:t>oui / non  </w:t>
      </w:r>
    </w:p>
    <w:p w14:paraId="2691927A" w14:textId="77777777" w:rsidR="00772179" w:rsidRDefault="00000000">
      <w:pPr>
        <w:pStyle w:val="pheading"/>
      </w:pPr>
      <w:r>
        <w:t>- Finitions</w:t>
      </w:r>
    </w:p>
    <w:p w14:paraId="39AD0C04" w14:textId="77777777" w:rsidR="00772179" w:rsidRDefault="00000000">
      <w:pPr>
        <w:jc w:val="both"/>
      </w:pPr>
      <w:r>
        <w:lastRenderedPageBreak/>
        <w:t>Avant tout traitement de finition, la préparation de surface est adaptée à l’essence de bois et au produit de finition.</w:t>
      </w:r>
    </w:p>
    <w:p w14:paraId="3EB2CA0C" w14:textId="77777777" w:rsidR="00772179" w:rsidRDefault="00000000">
      <w:pPr>
        <w:jc w:val="both"/>
      </w:pPr>
      <w:r>
        <w:t>Après la fabrication, toutes les faces vues sont traitées de manière appropriée afin d'éliminer toute trace d'outils et de manutention.  </w:t>
      </w:r>
    </w:p>
    <w:p w14:paraId="6BFE0AF8" w14:textId="77777777" w:rsidR="00772179" w:rsidRDefault="00000000">
      <w:pPr>
        <w:jc w:val="both"/>
      </w:pPr>
      <w:r>
        <w:t>La finition des profils bois est constituée :</w:t>
      </w:r>
    </w:p>
    <w:p w14:paraId="0BF7B96B" w14:textId="77777777" w:rsidR="00772179" w:rsidRDefault="00000000">
      <w:pPr>
        <w:pStyle w:val="Author-eListParagraph"/>
        <w:numPr>
          <w:ilvl w:val="0"/>
          <w:numId w:val="274"/>
        </w:numPr>
      </w:pPr>
      <w:r>
        <w:t xml:space="preserve">Traitement de protection du profilé bois : </w:t>
      </w:r>
      <w:r>
        <w:rPr>
          <w:rStyle w:val="optioncarChar"/>
        </w:rPr>
        <w:t xml:space="preserve">non nécessaire (classe de durabilité du bois suffisante) </w:t>
      </w:r>
      <w:r>
        <w:t>(par défaut)</w:t>
      </w:r>
      <w:r>
        <w:rPr>
          <w:rStyle w:val="optioncarChar"/>
        </w:rPr>
        <w:t xml:space="preserve"> / conforme à la [STS 04.3] / traitement pour une classe d’emploi 3 (selon [NBN EN 335]) / ***.</w:t>
      </w:r>
    </w:p>
    <w:p w14:paraId="3990F1F2" w14:textId="77777777" w:rsidR="00772179" w:rsidRDefault="00000000">
      <w:pPr>
        <w:pStyle w:val="Author-eListParagraph"/>
        <w:numPr>
          <w:ilvl w:val="0"/>
          <w:numId w:val="274"/>
        </w:numPr>
      </w:pPr>
      <w:r>
        <w:t xml:space="preserve">Traitement de la surface de base : </w:t>
      </w:r>
      <w:r>
        <w:rPr>
          <w:rStyle w:val="optioncarChar"/>
        </w:rPr>
        <w:t xml:space="preserve">première couche en usine de type peinture </w:t>
      </w:r>
      <w:r>
        <w:t>(par défaut)</w:t>
      </w:r>
      <w:r>
        <w:rPr>
          <w:rStyle w:val="optioncarChar"/>
        </w:rPr>
        <w:t xml:space="preserve"> / première couche en usine de lasure transparente / première couche en usine de lasure teintée / à posteriori / ***.</w:t>
      </w:r>
    </w:p>
    <w:p w14:paraId="089EB3F9" w14:textId="77777777" w:rsidR="00772179" w:rsidRDefault="00000000">
      <w:pPr>
        <w:pStyle w:val="Author-eListParagraph"/>
        <w:numPr>
          <w:ilvl w:val="0"/>
          <w:numId w:val="274"/>
        </w:numPr>
      </w:pPr>
      <w:r>
        <w:t xml:space="preserve">Traitement de la surface : </w:t>
      </w:r>
      <w:r>
        <w:rPr>
          <w:rStyle w:val="optioncarChar"/>
        </w:rPr>
        <w:t xml:space="preserve">système de protection incolore selon le procédé </w:t>
      </w:r>
      <w:r>
        <w:t>(par défaut)</w:t>
      </w:r>
      <w:r>
        <w:rPr>
          <w:rStyle w:val="optioncarChar"/>
        </w:rPr>
        <w:t xml:space="preserve"> / produits de peinture non filmogènes / ***</w:t>
      </w:r>
    </w:p>
    <w:p w14:paraId="4B6B0FE1" w14:textId="77777777" w:rsidR="00772179" w:rsidRDefault="00000000">
      <w:pPr>
        <w:ind w:left="567"/>
        <w:jc w:val="both"/>
      </w:pPr>
      <w:r>
        <w:rPr>
          <w:b/>
        </w:rPr>
        <w:t>(soit par défaut)</w:t>
      </w:r>
    </w:p>
    <w:p w14:paraId="654CFBF5" w14:textId="77777777" w:rsidR="00772179" w:rsidRDefault="00000000">
      <w:pPr>
        <w:ind w:left="567"/>
        <w:jc w:val="both"/>
      </w:pPr>
      <w:r>
        <w:rPr>
          <w:rStyle w:val="soitChar"/>
          <w:u w:val="single"/>
        </w:rPr>
        <w:t>Système de protection incolore, selon le procédé</w:t>
      </w:r>
      <w:r>
        <w:rPr>
          <w:rStyle w:val="soitChar"/>
        </w:rPr>
        <w:t xml:space="preserve"> C2 et le titre 04.3.3.2 des [STS 04.3]. Le produit se compose d'un vernis à bois régulateur d'humidité avec un pourcentage élevé de résine alkyde et d'agents antibactériens, disponible en différentes couleurs. Le produit n’est pas toxique et est utilisé indifféremment à l'intérieur et à l'extérieur, sur des essences de bois douces, dures et tropicales. Le produit est résistant aux rayons UV. 3 couches minimum sont à prévoir : la première couche de protection est appliquée dans la station d'imprégnation ou en atelier, la deuxième couche après la pose par l'entrepreneur et la troisième avant la réception.</w:t>
      </w:r>
    </w:p>
    <w:p w14:paraId="556AE24F" w14:textId="77777777" w:rsidR="00772179" w:rsidRDefault="00000000">
      <w:pPr>
        <w:pStyle w:val="Author-eListParagraph"/>
        <w:numPr>
          <w:ilvl w:val="1"/>
          <w:numId w:val="276"/>
        </w:numPr>
      </w:pPr>
      <w:r>
        <w:rPr>
          <w:rStyle w:val="soitChar"/>
        </w:rPr>
        <w:t xml:space="preserve">Finition : </w:t>
      </w:r>
      <w:r>
        <w:rPr>
          <w:rStyle w:val="optioncarChar"/>
        </w:rPr>
        <w:t xml:space="preserve">lisse </w:t>
      </w:r>
      <w:r>
        <w:t>(par défaut)</w:t>
      </w:r>
      <w:r>
        <w:rPr>
          <w:rStyle w:val="optioncarChar"/>
        </w:rPr>
        <w:t xml:space="preserve"> / ***</w:t>
      </w:r>
    </w:p>
    <w:p w14:paraId="0078D7A8" w14:textId="77777777" w:rsidR="00772179" w:rsidRDefault="00000000">
      <w:pPr>
        <w:pStyle w:val="Author-eListParagraph"/>
        <w:numPr>
          <w:ilvl w:val="1"/>
          <w:numId w:val="276"/>
        </w:numPr>
      </w:pPr>
      <w:r>
        <w:rPr>
          <w:rStyle w:val="soitChar"/>
        </w:rPr>
        <w:t xml:space="preserve">Aspect : </w:t>
      </w:r>
      <w:r>
        <w:rPr>
          <w:rStyle w:val="optioncarChar"/>
        </w:rPr>
        <w:t xml:space="preserve">satiné </w:t>
      </w:r>
      <w:r>
        <w:t>(par défaut)</w:t>
      </w:r>
      <w:r>
        <w:rPr>
          <w:rStyle w:val="optioncarChar"/>
        </w:rPr>
        <w:t xml:space="preserve"> / brillant / ***</w:t>
      </w:r>
    </w:p>
    <w:p w14:paraId="36F5EB2C" w14:textId="77777777" w:rsidR="00772179" w:rsidRDefault="00000000">
      <w:pPr>
        <w:ind w:left="567"/>
        <w:jc w:val="both"/>
      </w:pPr>
      <w:r>
        <w:rPr>
          <w:b/>
        </w:rPr>
        <w:t>(soit)</w:t>
      </w:r>
    </w:p>
    <w:p w14:paraId="134BD818" w14:textId="77777777" w:rsidR="00772179" w:rsidRDefault="00000000">
      <w:pPr>
        <w:ind w:left="567"/>
        <w:jc w:val="both"/>
      </w:pPr>
      <w:r>
        <w:rPr>
          <w:rStyle w:val="soitChar"/>
          <w:u w:val="single"/>
        </w:rPr>
        <w:t>Produits de peinture non filmogènes</w:t>
      </w:r>
      <w:r>
        <w:rPr>
          <w:rStyle w:val="soitChar"/>
        </w:rPr>
        <w:t xml:space="preserve">. L'épaisseur totale des trois couches de produit de finition, mesurées à sec est ≥ </w:t>
      </w:r>
      <w:r>
        <w:rPr>
          <w:rStyle w:val="optioncarChar"/>
        </w:rPr>
        <w:t>100 / 120 / ***</w:t>
      </w:r>
      <w:r>
        <w:rPr>
          <w:rStyle w:val="soitChar"/>
        </w:rPr>
        <w:t xml:space="preserve"> μm. Ce produit s'imprègne profondément dans le bois, sans toutefois former un film fermé. Le produit laisse passer la vapeur d'eau, il est résistant aux intempéries et répulsif à l'eau. Il protège le bois contre le vieillissement, ne vieillit pas lui-même et contient des pigments qui préviennent la décomposition du film d'imprégnation par les rayons UV. La couleur est déterminée par l'auteur de projet après la soumission des échantillons de couleur sur l'essence de bois utilisée. Après et pendant la mise en œuvre, les ouvrages sont restaurés si nécessaire.</w:t>
      </w:r>
    </w:p>
    <w:p w14:paraId="5FADDF3E" w14:textId="77777777" w:rsidR="00772179" w:rsidRDefault="00000000">
      <w:pPr>
        <w:pStyle w:val="Author-eListParagraph"/>
        <w:numPr>
          <w:ilvl w:val="1"/>
          <w:numId w:val="278"/>
        </w:numPr>
      </w:pPr>
      <w:r>
        <w:rPr>
          <w:rStyle w:val="soitChar"/>
        </w:rPr>
        <w:t xml:space="preserve">Couleur : </w:t>
      </w:r>
      <w:r>
        <w:rPr>
          <w:rStyle w:val="optioncarChar"/>
        </w:rPr>
        <w:t xml:space="preserve">à choisir dans la gamme de couleurs standard du fabricant </w:t>
      </w:r>
      <w:r>
        <w:t xml:space="preserve">(par défaut) </w:t>
      </w:r>
      <w:r>
        <w:rPr>
          <w:rStyle w:val="optioncarChar"/>
        </w:rPr>
        <w:t>/ ***</w:t>
      </w:r>
    </w:p>
    <w:p w14:paraId="2C5A3527" w14:textId="77777777" w:rsidR="00772179" w:rsidRDefault="00000000">
      <w:pPr>
        <w:pStyle w:val="Author-eListParagraph"/>
        <w:numPr>
          <w:ilvl w:val="1"/>
          <w:numId w:val="278"/>
        </w:numPr>
      </w:pPr>
      <w:r>
        <w:rPr>
          <w:rStyle w:val="soitChar"/>
        </w:rPr>
        <w:t xml:space="preserve">Finition : </w:t>
      </w:r>
      <w:r>
        <w:rPr>
          <w:rStyle w:val="optioncarChar"/>
        </w:rPr>
        <w:t xml:space="preserve">lisse </w:t>
      </w:r>
      <w:r>
        <w:t>(par défaut)</w:t>
      </w:r>
      <w:r>
        <w:rPr>
          <w:rStyle w:val="optioncarChar"/>
        </w:rPr>
        <w:t xml:space="preserve"> / ***</w:t>
      </w:r>
    </w:p>
    <w:p w14:paraId="1BB5D4AA" w14:textId="77777777" w:rsidR="00772179" w:rsidRDefault="00000000">
      <w:pPr>
        <w:pStyle w:val="Author-eListParagraph"/>
        <w:numPr>
          <w:ilvl w:val="1"/>
          <w:numId w:val="278"/>
        </w:numPr>
      </w:pPr>
      <w:r>
        <w:rPr>
          <w:rStyle w:val="soitChar"/>
        </w:rPr>
        <w:t xml:space="preserve">Aspect : </w:t>
      </w:r>
      <w:r>
        <w:rPr>
          <w:rStyle w:val="optioncarChar"/>
        </w:rPr>
        <w:t xml:space="preserve">satiné </w:t>
      </w:r>
      <w:r>
        <w:t xml:space="preserve">(par défaut) </w:t>
      </w:r>
      <w:r>
        <w:rPr>
          <w:rStyle w:val="optioncarChar"/>
        </w:rPr>
        <w:t>/ brillant / ***</w:t>
      </w:r>
    </w:p>
    <w:p w14:paraId="29AC39C7" w14:textId="77777777" w:rsidR="00772179" w:rsidRDefault="00000000">
      <w:pPr>
        <w:ind w:left="567"/>
        <w:jc w:val="both"/>
      </w:pPr>
      <w:r>
        <w:rPr>
          <w:b/>
        </w:rPr>
        <w:t>(soit)</w:t>
      </w:r>
    </w:p>
    <w:p w14:paraId="4F314DBA" w14:textId="77777777" w:rsidR="00772179" w:rsidRDefault="00000000">
      <w:pPr>
        <w:ind w:left="567"/>
        <w:jc w:val="both"/>
      </w:pPr>
      <w:r>
        <w:rPr>
          <w:rStyle w:val="optioncarChar"/>
        </w:rPr>
        <w:t>***</w:t>
      </w:r>
    </w:p>
    <w:p w14:paraId="317FA885" w14:textId="77777777" w:rsidR="00772179" w:rsidRDefault="00000000">
      <w:pPr>
        <w:jc w:val="both"/>
      </w:pPr>
      <w:r>
        <w:t xml:space="preserve">Le traitement de finition des profils en aluminium est réalisé par </w:t>
      </w:r>
      <w:r>
        <w:rPr>
          <w:rStyle w:val="optioncarChar"/>
        </w:rPr>
        <w:t>thermolaquage par poudrage polyester</w:t>
      </w:r>
      <w:r>
        <w:t xml:space="preserve"> (par défaut)</w:t>
      </w:r>
      <w:r>
        <w:rPr>
          <w:rStyle w:val="optioncarChar"/>
        </w:rPr>
        <w:t xml:space="preserve"> / anodisation / ***.</w:t>
      </w:r>
    </w:p>
    <w:p w14:paraId="0970C8E4" w14:textId="77777777" w:rsidR="00772179" w:rsidRDefault="00000000">
      <w:pPr>
        <w:jc w:val="both"/>
      </w:pPr>
      <w:r>
        <w:rPr>
          <w:b/>
        </w:rPr>
        <w:t>(soit par défaut)</w:t>
      </w:r>
    </w:p>
    <w:p w14:paraId="46D78CBF" w14:textId="77777777" w:rsidR="00772179" w:rsidRDefault="00000000">
      <w:pPr>
        <w:jc w:val="both"/>
      </w:pPr>
      <w:r>
        <w:rPr>
          <w:rStyle w:val="soitChar"/>
          <w:u w:val="single"/>
        </w:rPr>
        <w:t>Thermolaquage par poudrage polyester :</w:t>
      </w:r>
      <w:r>
        <w:rPr>
          <w:rStyle w:val="soitChar"/>
        </w:rPr>
        <w:t xml:space="preserve"> selon [Qualicoat] épaisseur ≥ 60 μm</w:t>
      </w:r>
    </w:p>
    <w:p w14:paraId="563F64E2" w14:textId="77777777" w:rsidR="00772179" w:rsidRDefault="00000000">
      <w:pPr>
        <w:jc w:val="both"/>
      </w:pPr>
      <w:r>
        <w:rPr>
          <w:rStyle w:val="soitChar"/>
        </w:rPr>
        <w:t>Le procédé de finition par laquage sur aluminium est conforme à la norme [NBN EN 12206-1].</w:t>
      </w:r>
    </w:p>
    <w:p w14:paraId="590E28B6" w14:textId="77777777" w:rsidR="00772179" w:rsidRDefault="00000000">
      <w:pPr>
        <w:jc w:val="both"/>
      </w:pPr>
      <w:r>
        <w:rPr>
          <w:rStyle w:val="soitChar"/>
        </w:rPr>
        <w:t>Les couches de peinture résistent aux chocs et ne s’écaillent pas aux bords lors d’opérations mécaniques (forage, sciage, fraisage, poinçonnage, ...). Les échantillons de profilés nécessaires sont préalablement soumis à l’auteur de projet.</w:t>
      </w:r>
    </w:p>
    <w:p w14:paraId="0F3CBC91" w14:textId="77777777" w:rsidR="00772179" w:rsidRDefault="00000000">
      <w:pPr>
        <w:jc w:val="both"/>
      </w:pPr>
      <w:r>
        <w:rPr>
          <w:rStyle w:val="soitChar"/>
        </w:rPr>
        <w:t xml:space="preserve">Domaine d’application :  </w:t>
      </w:r>
      <w:r>
        <w:rPr>
          <w:rStyle w:val="optioncarChar"/>
        </w:rPr>
        <w:t xml:space="preserve">classe 2 </w:t>
      </w:r>
      <w:r>
        <w:t>(par défaut)</w:t>
      </w:r>
      <w:r>
        <w:rPr>
          <w:rStyle w:val="optioncarChar"/>
        </w:rPr>
        <w:t xml:space="preserve"> / classe 3</w:t>
      </w:r>
    </w:p>
    <w:p w14:paraId="281AB01D" w14:textId="77777777" w:rsidR="00772179" w:rsidRDefault="00000000">
      <w:pPr>
        <w:ind w:left="567"/>
        <w:jc w:val="both"/>
      </w:pPr>
      <w:r>
        <w:rPr>
          <w:b/>
        </w:rPr>
        <w:t>(soit par défaut)</w:t>
      </w:r>
    </w:p>
    <w:p w14:paraId="22E30D2C" w14:textId="77777777" w:rsidR="00772179" w:rsidRDefault="00000000">
      <w:pPr>
        <w:ind w:left="567"/>
        <w:jc w:val="both"/>
      </w:pPr>
      <w:r>
        <w:rPr>
          <w:rStyle w:val="soitChar"/>
          <w:u w:val="single"/>
        </w:rPr>
        <w:lastRenderedPageBreak/>
        <w:t>Classe 2</w:t>
      </w:r>
      <w:r>
        <w:rPr>
          <w:rStyle w:val="soitChar"/>
        </w:rPr>
        <w:t xml:space="preserve">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180 ≤ T°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7B7D1325" w14:textId="77777777" w:rsidR="00772179" w:rsidRDefault="00000000">
      <w:pPr>
        <w:ind w:left="567"/>
        <w:jc w:val="both"/>
      </w:pPr>
      <w:r>
        <w:rPr>
          <w:b/>
        </w:rPr>
        <w:t>(soit)</w:t>
      </w:r>
    </w:p>
    <w:p w14:paraId="08545B32" w14:textId="77777777" w:rsidR="00772179" w:rsidRDefault="00000000">
      <w:pPr>
        <w:ind w:left="567"/>
        <w:jc w:val="both"/>
      </w:pPr>
      <w:r>
        <w:rPr>
          <w:rStyle w:val="soitChar"/>
          <w:u w:val="single"/>
        </w:rPr>
        <w:t>Classe 3</w:t>
      </w:r>
      <w:r>
        <w:rPr>
          <w:rStyle w:val="soitChar"/>
        </w:rPr>
        <w:t xml:space="preserve"> – Des circonstances agressives - charge agressive.</w:t>
      </w:r>
    </w:p>
    <w:p w14:paraId="273B3E3E" w14:textId="77777777" w:rsidR="00772179" w:rsidRDefault="00000000">
      <w:pPr>
        <w:ind w:left="567"/>
        <w:jc w:val="both"/>
      </w:pPr>
      <w:r>
        <w:rPr>
          <w:rStyle w:val="soitChar"/>
        </w:rPr>
        <w:t>Des circonstances agressives sont entre autres : Zones de trafic ferroviaire (tram ou train), de retombées de chlorure (régions côtières jusqu’à 10 km et à proximité des piscines, des régions urbaines ou industrielles).</w:t>
      </w:r>
    </w:p>
    <w:p w14:paraId="26CFA964" w14:textId="77777777" w:rsidR="00772179" w:rsidRDefault="00000000">
      <w:pPr>
        <w:ind w:left="567"/>
        <w:jc w:val="both"/>
      </w:pPr>
      <w:r>
        <w:rPr>
          <w:rStyle w:val="soitChar"/>
        </w:rPr>
        <w:t>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minutes / μm) pour permettre une bonne adhérence de la couche de peinture. Ensuite, le matériel est manipulé avec des gants afin d’éviter les taches de graisse.</w:t>
      </w:r>
    </w:p>
    <w:p w14:paraId="07A22524" w14:textId="77777777" w:rsidR="00772179" w:rsidRDefault="00000000">
      <w:pPr>
        <w:ind w:left="567"/>
        <w:jc w:val="both"/>
      </w:pPr>
      <w:r>
        <w:rPr>
          <w:rStyle w:val="soitChar"/>
        </w:rPr>
        <w:t>Maximum 24 heures après le rinçage et le séchage, les profilés sont pourvus d’un revêtement poudreux électrostatique à base de polyester et sont polymérisés dans un four d’émaillage à une température comprise entre les 180 - 200 °C.</w:t>
      </w:r>
    </w:p>
    <w:p w14:paraId="72779850" w14:textId="77777777" w:rsidR="00772179" w:rsidRDefault="00000000">
      <w:pPr>
        <w:pStyle w:val="Author-eListParagraph"/>
        <w:numPr>
          <w:ilvl w:val="1"/>
          <w:numId w:val="280"/>
        </w:numPr>
      </w:pPr>
      <w:r>
        <w:rPr>
          <w:rStyle w:val="soitChar"/>
        </w:rPr>
        <w:t xml:space="preserve">Couleur : </w:t>
      </w:r>
      <w:r>
        <w:rPr>
          <w:rStyle w:val="optioncarChar"/>
        </w:rPr>
        <w:t xml:space="preserve">libre choix dans la gamme standard du fabricant </w:t>
      </w:r>
      <w:r>
        <w:t xml:space="preserve">(par défaut) </w:t>
      </w:r>
      <w:r>
        <w:rPr>
          <w:rStyle w:val="optioncarChar"/>
        </w:rPr>
        <w:t>/ Couleur RAL : ***</w:t>
      </w:r>
    </w:p>
    <w:p w14:paraId="711B24C7" w14:textId="77777777" w:rsidR="00772179" w:rsidRDefault="00000000">
      <w:pPr>
        <w:pStyle w:val="Author-eListParagraph"/>
        <w:numPr>
          <w:ilvl w:val="1"/>
          <w:numId w:val="280"/>
        </w:numPr>
      </w:pPr>
      <w:r>
        <w:rPr>
          <w:rStyle w:val="soitChar"/>
        </w:rPr>
        <w:t xml:space="preserve">Degré de brillance : </w:t>
      </w:r>
      <w:r>
        <w:rPr>
          <w:rStyle w:val="optioncarChar"/>
        </w:rPr>
        <w:t xml:space="preserve">30 </w:t>
      </w:r>
      <w:r>
        <w:t>(par défaut) /</w:t>
      </w:r>
      <w:r>
        <w:rPr>
          <w:rStyle w:val="optioncarChar"/>
        </w:rPr>
        <w:t xml:space="preserve"> 70 / 90 / ***</w:t>
      </w:r>
      <w:r>
        <w:rPr>
          <w:rStyle w:val="soitChar"/>
        </w:rPr>
        <w:t xml:space="preserve"> % sous un angle de 60 °.</w:t>
      </w:r>
    </w:p>
    <w:p w14:paraId="395EDFE7" w14:textId="77777777" w:rsidR="00772179" w:rsidRDefault="00000000">
      <w:pPr>
        <w:pStyle w:val="Author-eListParagraph"/>
        <w:numPr>
          <w:ilvl w:val="1"/>
          <w:numId w:val="280"/>
        </w:numPr>
      </w:pPr>
      <w:r>
        <w:rPr>
          <w:rStyle w:val="soitChar"/>
        </w:rPr>
        <w:t xml:space="preserve">Finition : </w:t>
      </w:r>
      <w:r>
        <w:rPr>
          <w:rStyle w:val="optioncarChar"/>
        </w:rPr>
        <w:t> mat</w:t>
      </w:r>
      <w:r>
        <w:t xml:space="preserve"> (par défaut)</w:t>
      </w:r>
      <w:r>
        <w:rPr>
          <w:rStyle w:val="optioncarChar"/>
        </w:rPr>
        <w:t xml:space="preserve"> / métallisée / ***.</w:t>
      </w:r>
    </w:p>
    <w:p w14:paraId="07C07345" w14:textId="77777777" w:rsidR="00772179" w:rsidRDefault="00000000">
      <w:pPr>
        <w:jc w:val="both"/>
      </w:pPr>
      <w:r>
        <w:rPr>
          <w:b/>
        </w:rPr>
        <w:t>(soit)</w:t>
      </w:r>
    </w:p>
    <w:p w14:paraId="7D12C314" w14:textId="77777777" w:rsidR="00772179" w:rsidRDefault="00000000">
      <w:pPr>
        <w:jc w:val="both"/>
      </w:pPr>
      <w:r>
        <w:rPr>
          <w:rStyle w:val="soitChar"/>
          <w:u w:val="single"/>
        </w:rPr>
        <w:t>Anodisation :</w:t>
      </w:r>
      <w:r>
        <w:rPr>
          <w:rStyle w:val="soitChar"/>
        </w:rPr>
        <w:t xml:space="preserve"> selon [Qualanod]</w:t>
      </w:r>
    </w:p>
    <w:p w14:paraId="53D2CC20" w14:textId="77777777" w:rsidR="00772179" w:rsidRDefault="00000000">
      <w:pPr>
        <w:jc w:val="both"/>
      </w:pPr>
      <w:r>
        <w:rPr>
          <w:rStyle w:val="soitChar"/>
        </w:rPr>
        <w:t>Après le traitement préliminaire et avant l’oxydation anodique pour l’aluminium, les profilés sont dégraissés et décapés. La couche d’oxyde est parfaitement étanche (sans porosité) et recouvre la totalité des pièces. La couche d’oxyde est étanche à l’eau par colmatage dans un bain d’eau bouillante. L’entreprise chargée de l’anodisation prouve la qualité et la durabilité de la finition. La qualité est contrôlée par des essais suivant la procédure prévue dans le label.</w:t>
      </w:r>
    </w:p>
    <w:p w14:paraId="58EDDD30" w14:textId="77777777" w:rsidR="00772179" w:rsidRDefault="00000000">
      <w:pPr>
        <w:pStyle w:val="Author-eListParagraph"/>
        <w:numPr>
          <w:ilvl w:val="0"/>
          <w:numId w:val="281"/>
        </w:numPr>
      </w:pPr>
      <w:r>
        <w:rPr>
          <w:rStyle w:val="soitChar"/>
        </w:rPr>
        <w:t xml:space="preserve">Couleur : </w:t>
      </w:r>
      <w:r>
        <w:rPr>
          <w:rStyle w:val="optioncarChar"/>
        </w:rPr>
        <w:t>naturelle</w:t>
      </w:r>
      <w:r>
        <w:t xml:space="preserve"> (par défaut) </w:t>
      </w:r>
      <w:r>
        <w:rPr>
          <w:rStyle w:val="optioncarChar"/>
        </w:rPr>
        <w:t>/ noir / bronze / ***</w:t>
      </w:r>
    </w:p>
    <w:p w14:paraId="384B540D" w14:textId="77777777" w:rsidR="00772179" w:rsidRDefault="00000000">
      <w:pPr>
        <w:pStyle w:val="Author-eListParagraph"/>
        <w:numPr>
          <w:ilvl w:val="0"/>
          <w:numId w:val="281"/>
        </w:numPr>
      </w:pPr>
      <w:r>
        <w:rPr>
          <w:rStyle w:val="soitChar"/>
        </w:rPr>
        <w:t xml:space="preserve">Finition : Le traitement préliminaire et la protection de la menuiserie répondent aux spécifications [STS 52.2] et sont conformes </w:t>
      </w:r>
      <w:r>
        <w:rPr>
          <w:rStyle w:val="optioncarChar"/>
        </w:rPr>
        <w:t xml:space="preserve">au mode AO - Non poli avec traitement anodique </w:t>
      </w:r>
      <w:r>
        <w:t xml:space="preserve">(par défaut) </w:t>
      </w:r>
      <w:r>
        <w:rPr>
          <w:rStyle w:val="optioncarChar"/>
        </w:rPr>
        <w:t>/ au mode BO - Semi-poli avec traitement anodique (satiné) / au mode CO - Complètement poli avec traitement anodique (brillant) / ***.</w:t>
      </w:r>
    </w:p>
    <w:p w14:paraId="3CE459DA" w14:textId="77777777" w:rsidR="00772179" w:rsidRDefault="00000000">
      <w:pPr>
        <w:pStyle w:val="Author-eListParagraph"/>
        <w:numPr>
          <w:ilvl w:val="0"/>
          <w:numId w:val="281"/>
        </w:numPr>
      </w:pPr>
      <w:r>
        <w:rPr>
          <w:rStyle w:val="soitChar"/>
        </w:rPr>
        <w:t xml:space="preserve">Epaisseur de la couche d’oxyde : Catégorie </w:t>
      </w:r>
      <w:r>
        <w:rPr>
          <w:rStyle w:val="optioncarChar"/>
        </w:rPr>
        <w:t xml:space="preserve">AA15 (15 μm) </w:t>
      </w:r>
      <w:r>
        <w:t>(par défaut)</w:t>
      </w:r>
      <w:r>
        <w:rPr>
          <w:rStyle w:val="optioncarChar"/>
        </w:rPr>
        <w:t xml:space="preserve"> / AA 20 (20 μm) / AA25 (25 μm) / *** μm</w:t>
      </w:r>
      <w:r>
        <w:rPr>
          <w:rStyle w:val="soitChar"/>
        </w:rPr>
        <w:t xml:space="preserve"> conformément aux spécifications de la [NBN B 25-002-4] et selon la norme [NBN EN ISO 7599].</w:t>
      </w:r>
    </w:p>
    <w:p w14:paraId="1F57E5F3" w14:textId="77777777" w:rsidR="00772179" w:rsidRDefault="00000000">
      <w:pPr>
        <w:jc w:val="both"/>
      </w:pPr>
      <w:r>
        <w:rPr>
          <w:b/>
        </w:rPr>
        <w:t>(soit)</w:t>
      </w:r>
    </w:p>
    <w:p w14:paraId="0A1D6862" w14:textId="77777777" w:rsidR="00772179" w:rsidRDefault="00000000">
      <w:pPr>
        <w:jc w:val="both"/>
      </w:pPr>
      <w:r>
        <w:rPr>
          <w:rStyle w:val="optioncarChar"/>
        </w:rPr>
        <w:t>***</w:t>
      </w:r>
    </w:p>
    <w:p w14:paraId="253A278F" w14:textId="77777777" w:rsidR="00772179" w:rsidRDefault="00000000">
      <w:pPr>
        <w:pStyle w:val="pheading"/>
      </w:pPr>
      <w:r>
        <w:t>EXÉCUTION / MISE EN ŒUVRE</w:t>
      </w:r>
    </w:p>
    <w:p w14:paraId="430C5604" w14:textId="77777777" w:rsidR="00772179" w:rsidRDefault="00000000">
      <w:pPr>
        <w:pStyle w:val="pheading"/>
      </w:pPr>
      <w:r>
        <w:t>- Prescriptions générales</w:t>
      </w:r>
    </w:p>
    <w:p w14:paraId="4B4CB2B7" w14:textId="77777777" w:rsidR="00772179" w:rsidRDefault="00000000">
      <w:pPr>
        <w:jc w:val="both"/>
      </w:pPr>
      <w:r>
        <w:t>La pose des portes s'effectue conformément à la [NIT 283] qui remplace la NIT 188.</w:t>
      </w:r>
    </w:p>
    <w:p w14:paraId="5870F976" w14:textId="77777777" w:rsidR="00772179" w:rsidRDefault="00000000">
      <w:pPr>
        <w:jc w:val="both"/>
      </w:pPr>
      <w:r>
        <w:t xml:space="preserve"> L’entretien est conforme à la norme [NBN B 25-002-2]. Le resserrage de la menuiserie est pourvu de continuité des performances mécaniques, thermiques et d’étanchéité à l’eau.</w:t>
      </w:r>
    </w:p>
    <w:p w14:paraId="011EFBB0" w14:textId="77777777" w:rsidR="00772179" w:rsidRDefault="00000000">
      <w:pPr>
        <w:pStyle w:val="Author-eListParagraph"/>
        <w:numPr>
          <w:ilvl w:val="0"/>
          <w:numId w:val="282"/>
        </w:numPr>
        <w:jc w:val="both"/>
      </w:pPr>
      <w:r>
        <w:lastRenderedPageBreak/>
        <w:t>Pour la continuité de l’étanchéité à l’air, le resserrage est muni d’un </w:t>
      </w:r>
      <w:r>
        <w:rPr>
          <w:rStyle w:val="optioncarChar"/>
        </w:rPr>
        <w:t xml:space="preserve">kit de mastic </w:t>
      </w:r>
      <w:r>
        <w:t>(par défaut)</w:t>
      </w:r>
      <w:r>
        <w:rPr>
          <w:rStyle w:val="optioncarChar"/>
        </w:rPr>
        <w:t xml:space="preserve"> / membrane / profilé de resserrage / ***</w:t>
      </w:r>
    </w:p>
    <w:p w14:paraId="1CAA3DEC" w14:textId="77777777" w:rsidR="00772179" w:rsidRDefault="00000000">
      <w:pPr>
        <w:pStyle w:val="Author-eListParagraph"/>
        <w:numPr>
          <w:ilvl w:val="0"/>
          <w:numId w:val="282"/>
        </w:numPr>
        <w:jc w:val="both"/>
      </w:pPr>
      <w:r>
        <w:t>Pour la continuité de l’isolation acoustique le resserrage est muni d’une </w:t>
      </w:r>
      <w:r>
        <w:rPr>
          <w:rStyle w:val="optioncarChar"/>
        </w:rPr>
        <w:t xml:space="preserve">laine de roche </w:t>
      </w:r>
      <w:r>
        <w:t>(par défaut)</w:t>
      </w:r>
      <w:r>
        <w:rPr>
          <w:rStyle w:val="optioncarChar"/>
        </w:rPr>
        <w:t xml:space="preserve"> / mousse acoustique / plaque massive / ***</w:t>
      </w:r>
    </w:p>
    <w:p w14:paraId="4A1635F1" w14:textId="77777777" w:rsidR="00772179" w:rsidRDefault="00000000">
      <w:pPr>
        <w:pStyle w:val="pheading"/>
      </w:pPr>
      <w:r>
        <w:t>- Échantillons</w:t>
      </w:r>
    </w:p>
    <w:p w14:paraId="51202E29" w14:textId="77777777" w:rsidR="00772179" w:rsidRDefault="00000000">
      <w:pPr>
        <w:jc w:val="both"/>
      </w:pPr>
      <w:r>
        <w:t>L’entrepreneur soumet un échantillon des profils et des finitions qu’il propose à l’approbation de la direction du chantier.</w:t>
      </w:r>
    </w:p>
    <w:p w14:paraId="5A97C7B0" w14:textId="77777777" w:rsidR="00772179" w:rsidRDefault="00000000">
      <w:pPr>
        <w:pStyle w:val="pheading"/>
      </w:pPr>
      <w:r>
        <w:t>DOCUMENTS DE RÉFÉRENCE COMPLÉMENTAIRES</w:t>
      </w:r>
    </w:p>
    <w:p w14:paraId="0BD4A141" w14:textId="77777777" w:rsidR="00772179" w:rsidRDefault="00000000">
      <w:pPr>
        <w:pStyle w:val="pheading"/>
      </w:pPr>
      <w:r>
        <w:t>- Matériau</w:t>
      </w:r>
    </w:p>
    <w:p w14:paraId="773AE6D1" w14:textId="77777777" w:rsidR="00772179" w:rsidRDefault="00000000">
      <w:r>
        <w:t>[NBN B 25-002-4, Menuiseries extérieures. Partie 4 : Prescriptions pour les profilés et des ossatures en aluminium]</w:t>
      </w:r>
    </w:p>
    <w:p w14:paraId="29B5E693" w14:textId="77777777" w:rsidR="00772179" w:rsidRDefault="00000000">
      <w:r>
        <w:t>[NBN EN ISO 7599, Anodisation de l'aluminium et de ses alliages - Méthode de spécification des caractéristiques des revêtements décoratifs et protecteurs obtenus par oxydation anodique sur aluminium (ISO 7599:2018)]</w:t>
      </w:r>
    </w:p>
    <w:p w14:paraId="425B589D" w14:textId="77777777" w:rsidR="00772179" w:rsidRDefault="00000000">
      <w:r>
        <w:t>[NBN EN 12206-1, Peintures et vernis - Revêtement de l'aluminium et de ses alliages pour des applications architecturales - Partie 1: Revêtements à partir de peinture en poudre thermodurcissable]</w:t>
      </w:r>
    </w:p>
    <w:p w14:paraId="45635640" w14:textId="77777777" w:rsidR="00772179" w:rsidRDefault="00000000">
      <w:r>
        <w:t>[NBN B 25-002-2, Menuiseries extérieures. Partie 2 : Prescription des performances générales pour les portes extérieures pour piétons]</w:t>
      </w:r>
    </w:p>
    <w:p w14:paraId="0EF0BF94" w14:textId="77777777" w:rsidR="00772179" w:rsidRDefault="00000000">
      <w:pPr>
        <w:pStyle w:val="pheading"/>
      </w:pPr>
      <w:r>
        <w:t>MESURAGE</w:t>
      </w:r>
    </w:p>
    <w:p w14:paraId="44F23A93" w14:textId="77777777" w:rsidR="00772179" w:rsidRDefault="00000000">
      <w:pPr>
        <w:pStyle w:val="pheading"/>
      </w:pPr>
      <w:r>
        <w:t>- unité de mesure:</w:t>
      </w:r>
    </w:p>
    <w:p w14:paraId="1BBE00E1" w14:textId="77777777" w:rsidR="00772179" w:rsidRDefault="00000000">
      <w:r>
        <w:rPr>
          <w:rStyle w:val="optioncarChar"/>
        </w:rPr>
        <w:t xml:space="preserve">pc </w:t>
      </w:r>
      <w:r>
        <w:t xml:space="preserve">(par défaut) </w:t>
      </w:r>
      <w:r>
        <w:rPr>
          <w:rStyle w:val="optioncarChar"/>
        </w:rPr>
        <w:t>/ m²</w:t>
      </w:r>
    </w:p>
    <w:p w14:paraId="63348BA8" w14:textId="77777777" w:rsidR="00772179" w:rsidRDefault="00000000">
      <w:r>
        <w:rPr>
          <w:b/>
        </w:rPr>
        <w:t>(soit par défaut)</w:t>
      </w:r>
      <w:r>
        <w:br/>
      </w:r>
      <w:r>
        <w:rPr>
          <w:rStyle w:val="soitChar"/>
        </w:rPr>
        <w:t>1. pc</w:t>
      </w:r>
      <w:r>
        <w:br/>
      </w:r>
      <w:r>
        <w:rPr>
          <w:b/>
        </w:rPr>
        <w:t>(soit)</w:t>
      </w:r>
      <w:r>
        <w:br/>
      </w:r>
      <w:r>
        <w:rPr>
          <w:rStyle w:val="soitChar"/>
        </w:rPr>
        <w:t>2. m²</w:t>
      </w:r>
    </w:p>
    <w:p w14:paraId="71DE96A7" w14:textId="77777777" w:rsidR="00772179" w:rsidRDefault="00000000">
      <w:pPr>
        <w:pStyle w:val="pheading"/>
      </w:pPr>
      <w:r>
        <w:t>- code de mesurage:</w:t>
      </w:r>
    </w:p>
    <w:p w14:paraId="034670B8" w14:textId="77777777" w:rsidR="00772179" w:rsidRDefault="00000000">
      <w:pPr>
        <w:jc w:val="both"/>
      </w:pPr>
      <w:r>
        <w:rPr>
          <w:rStyle w:val="optioncarChar"/>
        </w:rPr>
        <w:t xml:space="preserve">Quantité nette </w:t>
      </w:r>
      <w:r>
        <w:t xml:space="preserve">(par défaut) </w:t>
      </w:r>
      <w:r>
        <w:rPr>
          <w:rStyle w:val="optioncarChar"/>
        </w:rPr>
        <w:t>/ Surface nette</w:t>
      </w:r>
    </w:p>
    <w:p w14:paraId="405EF39F" w14:textId="77777777" w:rsidR="00772179" w:rsidRDefault="00000000">
      <w:pPr>
        <w:jc w:val="both"/>
      </w:pPr>
      <w:r>
        <w:rPr>
          <w:b/>
        </w:rPr>
        <w:t>(soit par défaut)</w:t>
      </w:r>
    </w:p>
    <w:p w14:paraId="15B4FE1F" w14:textId="77777777" w:rsidR="00772179" w:rsidRDefault="00000000">
      <w:pPr>
        <w:jc w:val="both"/>
      </w:pPr>
      <w:r>
        <w:rPr>
          <w:rStyle w:val="soitChar"/>
        </w:rPr>
        <w:t xml:space="preserve">1. </w:t>
      </w:r>
      <w:r>
        <w:rPr>
          <w:rStyle w:val="soitChar"/>
          <w:u w:val="single"/>
        </w:rPr>
        <w:t>Quantité nette</w:t>
      </w:r>
      <w:r>
        <w:rPr>
          <w:rStyle w:val="soitChar"/>
        </w:rPr>
        <w:t xml:space="preserve"> suivant dimensions dans l’œuvre de chaque porte.</w:t>
      </w:r>
    </w:p>
    <w:p w14:paraId="5B85B032" w14:textId="77777777" w:rsidR="00772179" w:rsidRDefault="00000000">
      <w:pPr>
        <w:jc w:val="both"/>
      </w:pPr>
      <w:r>
        <w:rPr>
          <w:b/>
        </w:rPr>
        <w:t>(soit)</w:t>
      </w:r>
    </w:p>
    <w:p w14:paraId="32C54C33" w14:textId="77777777" w:rsidR="00772179" w:rsidRDefault="00000000">
      <w:pPr>
        <w:jc w:val="both"/>
      </w:pPr>
      <w:r>
        <w:rPr>
          <w:rStyle w:val="soitChar"/>
        </w:rPr>
        <w:t>2. </w:t>
      </w:r>
      <w:r>
        <w:rPr>
          <w:rStyle w:val="soitChar"/>
          <w:u w:val="single"/>
        </w:rPr>
        <w:t>Surface nette</w:t>
      </w:r>
      <w:r>
        <w:rPr>
          <w:rStyle w:val="soitChar"/>
        </w:rPr>
        <w:t> en développement des dimensions dans l'œuvre ventilé selon le type ou le modèle conformément aux indications dans le métré récapitulatif annexé au dossier de mise en concurrence. Les différents types à distinguer éventuellement sont les portes simples, les ensembles de portes composées, etc….</w:t>
      </w:r>
    </w:p>
    <w:p w14:paraId="560918CB" w14:textId="77777777" w:rsidR="00772179" w:rsidRDefault="00000000">
      <w:pPr>
        <w:pStyle w:val="pheading"/>
      </w:pPr>
      <w:r>
        <w:t>- nature du marché:</w:t>
      </w:r>
    </w:p>
    <w:p w14:paraId="3608FC89" w14:textId="77777777" w:rsidR="00772179" w:rsidRDefault="00000000">
      <w:r>
        <w:t>1.2. QF</w:t>
      </w:r>
    </w:p>
    <w:p w14:paraId="11CCF6FA" w14:textId="77777777" w:rsidR="00772179" w:rsidRDefault="00000000">
      <w:pPr>
        <w:pStyle w:val="Author-eSectionHeading6Numberless"/>
      </w:pPr>
      <w:bookmarkStart w:id="74" w:name="_Toc220489822"/>
      <w:r>
        <w:t>41.21.4c Portes d'entrée en bois à composition mixte - isolation intégrée - finition en inox CCTB 01.02</w:t>
      </w:r>
      <w:bookmarkEnd w:id="74"/>
    </w:p>
    <w:p w14:paraId="7F2B9B2D" w14:textId="77777777" w:rsidR="00772179" w:rsidRDefault="00000000">
      <w:pPr>
        <w:pStyle w:val="Author-eSectionHeading6Numberless"/>
      </w:pPr>
      <w:bookmarkStart w:id="75" w:name="947"/>
      <w:bookmarkStart w:id="76" w:name="_Toc220489823"/>
      <w:bookmarkEnd w:id="75"/>
      <w:r>
        <w:t>41.21.4d Portes d'entrée en bois à composition mixte - isolation intégrée - finition en PVC CCTB 01.02</w:t>
      </w:r>
      <w:bookmarkEnd w:id="76"/>
    </w:p>
    <w:p w14:paraId="46ECFCB1" w14:textId="77777777" w:rsidR="00772179" w:rsidRDefault="00000000">
      <w:pPr>
        <w:pStyle w:val="Author-eSectionHeading4Numberless"/>
      </w:pPr>
      <w:bookmarkStart w:id="77" w:name="_Toc220489824"/>
      <w:r>
        <w:t>41.22 Portes d'entrée en aluminium CCTB 01.13</w:t>
      </w:r>
      <w:bookmarkEnd w:id="77"/>
    </w:p>
    <w:p w14:paraId="0CA6E925" w14:textId="77777777" w:rsidR="00772179" w:rsidRDefault="00000000">
      <w:pPr>
        <w:pStyle w:val="pheading"/>
      </w:pPr>
      <w:r>
        <w:t>DESCRIPTION</w:t>
      </w:r>
    </w:p>
    <w:p w14:paraId="7A4AF7EB" w14:textId="77777777" w:rsidR="00772179" w:rsidRDefault="00000000">
      <w:pPr>
        <w:pStyle w:val="pheading"/>
      </w:pPr>
      <w:r>
        <w:lastRenderedPageBreak/>
        <w:t>- Définition / Comprend</w:t>
      </w:r>
    </w:p>
    <w:p w14:paraId="2915FD84" w14:textId="77777777" w:rsidR="00772179" w:rsidRDefault="00000000">
      <w:pPr>
        <w:jc w:val="both"/>
      </w:pPr>
      <w:r>
        <w:t>Ce poste comprend la fourniture (hors matériaux récupérés du même site) et la pose de tous les éléments nécessaires à la composition des portes extérieures en aluminium (portes neuves et/ou de réemploi), y compris toutes les pièces qui en font intrinsèquement partie.</w:t>
      </w:r>
    </w:p>
    <w:p w14:paraId="4BAB7044" w14:textId="77777777" w:rsidR="00772179" w:rsidRDefault="00000000">
      <w:pPr>
        <w:pStyle w:val="pheading"/>
      </w:pPr>
      <w:r>
        <w:t>MATÉRIAUX</w:t>
      </w:r>
    </w:p>
    <w:p w14:paraId="0AFECD34" w14:textId="77777777" w:rsidR="00772179" w:rsidRDefault="00000000">
      <w:pPr>
        <w:jc w:val="both"/>
      </w:pPr>
      <w:r>
        <w:rPr>
          <w:b/>
        </w:rPr>
        <w:t>Pour une porte de réemploi</w:t>
      </w:r>
      <w:r>
        <w:t>, les profilés de portes sont vérifiés et la présence de corrosion (blanche) est signalée. Au besoin la porte est poncée et afin de recevoir une nouvelle finition. Les angles sont vérifiés ; Lorsqu’une ouverture est observée, l’angle est renforcé. La méthode de renforts est présentée au maitre d’œuvre.</w:t>
      </w:r>
    </w:p>
    <w:p w14:paraId="6C12F7F7" w14:textId="77777777" w:rsidR="00772179" w:rsidRDefault="00000000">
      <w:pPr>
        <w:jc w:val="both"/>
      </w:pPr>
      <w:r>
        <w:t>Le traitement des finitions nécessite des mesures de protection lors de la mise en œuvre incluent de porter les équipements de protection individuelle EPI (adapté pour produits toxiques) tels que des lunettes, un masque et des gants de protection. La préparation du chantier inclue également les séparations et l’isolement afin d’éviter la propagation des poussières de pré-traitement dans les autres zones accessibles de la construction.</w:t>
      </w:r>
    </w:p>
    <w:p w14:paraId="2EBFA1C9" w14:textId="77777777" w:rsidR="00772179" w:rsidRDefault="00772179">
      <w:pPr>
        <w:jc w:val="both"/>
      </w:pPr>
    </w:p>
    <w:p w14:paraId="08AE7AF5" w14:textId="77777777" w:rsidR="00772179" w:rsidRDefault="00772179">
      <w:pPr>
        <w:jc w:val="both"/>
      </w:pPr>
    </w:p>
    <w:p w14:paraId="28AFC1CD" w14:textId="77777777" w:rsidR="00772179" w:rsidRDefault="00000000">
      <w:pPr>
        <w:jc w:val="both"/>
      </w:pPr>
      <w:r>
        <w:rPr>
          <w:b/>
          <w:u w:val="single"/>
        </w:rPr>
        <w:t>Profils</w:t>
      </w:r>
    </w:p>
    <w:p w14:paraId="79AAA32C" w14:textId="77777777" w:rsidR="00772179" w:rsidRDefault="00000000">
      <w:pPr>
        <w:jc w:val="both"/>
      </w:pPr>
      <w:r>
        <w:t>Profilés en aluminium à rupture de pont thermique : profilé en aluminium composé de deux ou plusieurs profilés en aluminium reliés de façon continue par au moins une partie thermiquement isolante (non métallique).</w:t>
      </w:r>
    </w:p>
    <w:p w14:paraId="2242B6B0" w14:textId="77777777" w:rsidR="00772179" w:rsidRDefault="00000000">
      <w:pPr>
        <w:jc w:val="both"/>
      </w:pPr>
      <w:r>
        <w:t>Les alliages les plus courants dans la construction et l’architecture sont ceux de type Al-Mg, Al-Mg- Mn et Al-Mg-Si.</w:t>
      </w:r>
    </w:p>
    <w:p w14:paraId="74674065" w14:textId="77777777" w:rsidR="00772179" w:rsidRDefault="00000000">
      <w:pPr>
        <w:jc w:val="both"/>
      </w:pPr>
      <w:r>
        <w:t>La composition chimique et la désignation des états métallurgiques sont définies dans les normes [NBN EN 573-3:2019+A2]et [NBN EN 515].</w:t>
      </w:r>
    </w:p>
    <w:p w14:paraId="381E6751" w14:textId="77777777" w:rsidR="00772179" w:rsidRDefault="00000000">
      <w:pPr>
        <w:jc w:val="both"/>
      </w:pPr>
      <w:r>
        <w:t>Les alliages AW 6060 et AW 6033 sont conseillés pour les applications dans le bâtiment. La composition de cet alliage, fixée par la [NBN EN 755-2], s’établit comme suit</w:t>
      </w:r>
    </w:p>
    <w:p w14:paraId="016E5563" w14:textId="77777777" w:rsidR="00772179" w:rsidRDefault="00000000">
      <w:pPr>
        <w:jc w:val="both"/>
      </w:pPr>
      <w:r>
        <w:t>La composition de cet alliage est la suivante :</w:t>
      </w:r>
    </w:p>
    <w:p w14:paraId="00CE6AF8" w14:textId="77777777" w:rsidR="00772179" w:rsidRDefault="00772179">
      <w:pPr>
        <w:jc w:val="both"/>
      </w:pPr>
    </w:p>
    <w:p w14:paraId="09EA61D2" w14:textId="77777777" w:rsidR="00772179" w:rsidRDefault="00772179">
      <w:pPr>
        <w:jc w:val="both"/>
      </w:pPr>
    </w:p>
    <w:p w14:paraId="7FB77D54" w14:textId="77777777" w:rsidR="00772179" w:rsidRDefault="00000000">
      <w:pPr>
        <w:pStyle w:val="Author-eListParagraph"/>
        <w:numPr>
          <w:ilvl w:val="0"/>
          <w:numId w:val="283"/>
        </w:numPr>
      </w:pPr>
      <w:r>
        <w:t>Zn : ≤ 0,15 %, Cu : ≤ 0,02 %, Pb : ≤ 0,0022, Si : ≤ 0,30- 0,55 %, Fe : ≤ 0,10 - 0,30 %, Mg : ≤ 0,35 - 0,6 %,</w:t>
      </w:r>
    </w:p>
    <w:p w14:paraId="3D4FEE62" w14:textId="77777777" w:rsidR="00772179" w:rsidRDefault="00000000">
      <w:pPr>
        <w:pStyle w:val="Author-eListParagraph"/>
        <w:numPr>
          <w:ilvl w:val="0"/>
          <w:numId w:val="283"/>
        </w:numPr>
      </w:pPr>
      <w:r>
        <w:t>Mn : ≤ 0,10 %, Cr : ≤ 0,05 %, Ti : ≤ 0,10 %, Al : solde, autres éléments séparément : ≤ 0,05 %, Autres éléments ensemble ≤ 0,15 %</w:t>
      </w:r>
    </w:p>
    <w:p w14:paraId="3E78F181" w14:textId="77777777" w:rsidR="00772179" w:rsidRDefault="00000000">
      <w:pPr>
        <w:jc w:val="both"/>
      </w:pPr>
      <w:r>
        <w:t>Alliages modifiés :  L’industrie de l’aluminium a développé l’alliage AW 6060B et AW 6063 B, conseillé pour les applications dans le bâtiment. La composition de cet alliage, s’établit comme suit. La composition 6060B est plus sévère que les compositions 6060 et 6063 dans les domaines suivants :</w:t>
      </w:r>
    </w:p>
    <w:p w14:paraId="40D5BBC7" w14:textId="77777777" w:rsidR="00772179" w:rsidRDefault="00000000">
      <w:pPr>
        <w:pStyle w:val="Author-eListParagraph"/>
        <w:numPr>
          <w:ilvl w:val="0"/>
          <w:numId w:val="284"/>
        </w:numPr>
      </w:pPr>
      <w:r>
        <w:t>Cu : 5 fois moins que dans les alliages 6060 et 6063</w:t>
      </w:r>
    </w:p>
    <w:p w14:paraId="629199EE" w14:textId="77777777" w:rsidR="00772179" w:rsidRDefault="00000000">
      <w:pPr>
        <w:pStyle w:val="Author-eListParagraph"/>
        <w:numPr>
          <w:ilvl w:val="0"/>
          <w:numId w:val="284"/>
        </w:numPr>
      </w:pPr>
      <w:r>
        <w:t>Cr : 2 fois moins que dans l’alliage 6063</w:t>
      </w:r>
    </w:p>
    <w:p w14:paraId="06CB3B19" w14:textId="77777777" w:rsidR="00772179" w:rsidRDefault="00000000">
      <w:pPr>
        <w:jc w:val="both"/>
      </w:pPr>
      <w:r>
        <w:t>Les tolérances dimensionnelles et de forme des profilés en aluminium extrudés satisfont à la  [NBN EN 12020-2]. D’autres tolérances peuvent être livrées après concertation et accord de l’extrudeur.</w:t>
      </w:r>
    </w:p>
    <w:p w14:paraId="3DA6D652" w14:textId="77777777" w:rsidR="00772179" w:rsidRDefault="00000000">
      <w:pPr>
        <w:jc w:val="both"/>
      </w:pPr>
      <w:r>
        <w:t>Les mesures fonctionnelles des profilés isolés doivent être comprises entre les limites imposées par la [NBN EN 12020-2].</w:t>
      </w:r>
    </w:p>
    <w:p w14:paraId="4478D005" w14:textId="77777777" w:rsidR="00772179" w:rsidRDefault="00000000">
      <w:pPr>
        <w:jc w:val="both"/>
      </w:pPr>
      <w:r>
        <w:t>Les tolérances (déversement – gauchissement des faces droites) du profilé doit être de +0 -0.5mm</w:t>
      </w:r>
    </w:p>
    <w:p w14:paraId="69D12D8D" w14:textId="77777777" w:rsidR="00772179" w:rsidRDefault="00000000">
      <w:pPr>
        <w:pStyle w:val="Author-eListParagraph"/>
        <w:numPr>
          <w:ilvl w:val="0"/>
          <w:numId w:val="285"/>
        </w:numPr>
      </w:pPr>
      <w:r>
        <w:t xml:space="preserve">Tous les profils fixes et mobiles sont à rupture thermique et satisfont aux conditions suivantes : </w:t>
      </w:r>
    </w:p>
    <w:p w14:paraId="18CD5CFB" w14:textId="77777777" w:rsidR="00772179" w:rsidRDefault="00000000">
      <w:pPr>
        <w:pStyle w:val="Author-eListParagraph"/>
        <w:numPr>
          <w:ilvl w:val="1"/>
          <w:numId w:val="286"/>
        </w:numPr>
      </w:pPr>
      <w:r>
        <w:lastRenderedPageBreak/>
        <w:t>il ne peut y avoir aucun pont thermique entre le profil intérieur et le profil extérieur;</w:t>
      </w:r>
    </w:p>
    <w:p w14:paraId="1974CC19" w14:textId="77777777" w:rsidR="00772179" w:rsidRDefault="00000000">
      <w:pPr>
        <w:pStyle w:val="Author-eListParagraph"/>
        <w:numPr>
          <w:ilvl w:val="1"/>
          <w:numId w:val="286"/>
        </w:numPr>
      </w:pPr>
      <w:r>
        <w:t>il ne peut y avoir de déformations durables; la résistance du joint thermique est telle que les profils assemblés peuvent être considérés comme un ensemble résistant à un usage intensif.</w:t>
      </w:r>
    </w:p>
    <w:p w14:paraId="30C6966D" w14:textId="77777777" w:rsidR="00772179" w:rsidRDefault="00000000">
      <w:pPr>
        <w:pStyle w:val="Author-eListParagraph"/>
        <w:numPr>
          <w:ilvl w:val="1"/>
          <w:numId w:val="286"/>
        </w:numPr>
      </w:pPr>
      <w:r>
        <w:t>les assemblages doivent pouvoir absorber les dilatations différentielles entre les profils intérieurs et extérieurs sans déformation durable ou déstabilisation du profil.</w:t>
      </w:r>
    </w:p>
    <w:p w14:paraId="4D85A80B" w14:textId="77777777" w:rsidR="00772179" w:rsidRDefault="00000000">
      <w:pPr>
        <w:pStyle w:val="Author-eListParagraph"/>
        <w:numPr>
          <w:ilvl w:val="0"/>
          <w:numId w:val="285"/>
        </w:numPr>
      </w:pPr>
      <w:r>
        <w:t>La rupture thermique peut être réalisée de par sertissage, collage ou emboitement et satisfait aux exigences énoncées dans le tableau de la [NBN EN 14024].</w:t>
      </w:r>
    </w:p>
    <w:p w14:paraId="1B8C7CAC" w14:textId="77777777" w:rsidR="00772179" w:rsidRDefault="00772179"/>
    <w:p w14:paraId="7797A1AE" w14:textId="77777777" w:rsidR="00772179" w:rsidRDefault="00000000">
      <w:pPr>
        <w:jc w:val="both"/>
      </w:pPr>
      <w:r>
        <w:rPr>
          <w:b/>
          <w:u w:val="single"/>
        </w:rPr>
        <w:t>Forme, Type Et Dimensions Des Profils</w:t>
      </w:r>
    </w:p>
    <w:p w14:paraId="0F229031" w14:textId="77777777" w:rsidR="00772179" w:rsidRDefault="00000000">
      <w:pPr>
        <w:pStyle w:val="Author-eListParagraph"/>
        <w:numPr>
          <w:ilvl w:val="0"/>
          <w:numId w:val="287"/>
        </w:numPr>
      </w:pPr>
      <w:r>
        <w:t>Toutes les pièces mobiles sont réalisées en profilés du type pourvu de 2 étanchéités.</w:t>
      </w:r>
    </w:p>
    <w:p w14:paraId="3C026491" w14:textId="77777777" w:rsidR="00772179" w:rsidRDefault="00000000">
      <w:pPr>
        <w:pStyle w:val="Author-eListParagraph"/>
        <w:numPr>
          <w:ilvl w:val="0"/>
          <w:numId w:val="287"/>
        </w:numPr>
      </w:pPr>
      <w:r>
        <w:t>Les côtés froid et chaud des profilés sont séparés par un joint d’étanchéité médian en matière synthétique souple. Cette étanchéité garantit l’étanchéité au vent et à l’eau de la porte sur tout son périmètre. La frappe de l’étanchéité médiane des systèmes de profilés thermiques s’effectue toujours sur les barrettes en polyamide et non sur l’aluminium. Une étanchéité acoustique est en outre prévue du côté intérieure des éléments ouvrants.</w:t>
      </w:r>
    </w:p>
    <w:p w14:paraId="42D8F46E" w14:textId="77777777" w:rsidR="00772179" w:rsidRDefault="00000000">
      <w:pPr>
        <w:pStyle w:val="Author-eListParagraph"/>
        <w:numPr>
          <w:ilvl w:val="0"/>
          <w:numId w:val="287"/>
        </w:numPr>
      </w:pPr>
      <w:r>
        <w:t>Les joints d’étanchéité de vitrage ou de remplissage sont en EPDM, en TPE ou dans un produit similaire, qui satisfait à la [NIT 221]. Ils sont élastiques en permanence suivant la [DIN 7863-1]. Les joints sont placés par longueurs complètes dans les rainures profilées et sont coupés en biseau dans les angles et vulcanisées, ou assemblées avec des pièces angulaires préformées, ou soudées dans le cas d’étanchéités en TPE. Elles sont posées de façon à satisfaire longtemps aux exigences imposées et doivent être facilement remplaçables. Les joints acoustiques restent continus, même à hauteur des charnières.</w:t>
      </w:r>
    </w:p>
    <w:p w14:paraId="1825ED11" w14:textId="77777777" w:rsidR="00772179" w:rsidRDefault="00000000">
      <w:pPr>
        <w:pStyle w:val="Author-eListParagraph"/>
        <w:numPr>
          <w:ilvl w:val="0"/>
          <w:numId w:val="287"/>
        </w:numPr>
      </w:pPr>
      <w:r>
        <w:t>Tous les types de porte sont pourvus d’un système de drainage dans les traverses inférieures ou dans les profilés horizontaux. Pour assurer une bonne étanchéité à l’eau, la construction des profilés est telle qu’une égalisation de la pression apparaît dans la chambre de décompression. L’évacuation vers l’extérieur de l’eau infiltrée est ainsi facilitée. Les ouvertures de drainage du battant et du cadre extérieur sont décalées l’une par rapport à l’autre. Pour une largeur de porte de 100 cm, deux ouvertures, au moins, sont prévues ; une ouverture supplémentaire est prévue tous les 50 cm supplémentaires. Les ouvertures de drainage sont pratiquées le plus invisiblement possible (diamètre minimum 8 mm ou trous oblongs de 5 x 30 mm).</w:t>
      </w:r>
    </w:p>
    <w:p w14:paraId="02045522" w14:textId="77777777" w:rsidR="00772179" w:rsidRDefault="00000000">
      <w:pPr>
        <w:pStyle w:val="Author-eListParagraph"/>
        <w:numPr>
          <w:ilvl w:val="0"/>
          <w:numId w:val="287"/>
        </w:numPr>
      </w:pPr>
      <w:r>
        <w:t>Les profilés sont compatibles avec la quincaillerie (système EURONUT est choisi par défaut)  </w:t>
      </w:r>
    </w:p>
    <w:p w14:paraId="7B42B66A" w14:textId="77777777" w:rsidR="00772179" w:rsidRDefault="00000000">
      <w:pPr>
        <w:pStyle w:val="Author-eListParagraph"/>
        <w:numPr>
          <w:ilvl w:val="0"/>
          <w:numId w:val="287"/>
        </w:numPr>
      </w:pPr>
      <w:r>
        <w:t>Dimensions nominales des éléments achevés, exprimées en mm (sans décimales).</w:t>
      </w:r>
    </w:p>
    <w:p w14:paraId="495D0223" w14:textId="77777777" w:rsidR="00772179" w:rsidRDefault="00000000">
      <w:pPr>
        <w:pStyle w:val="Author-eListParagraph"/>
        <w:numPr>
          <w:ilvl w:val="0"/>
          <w:numId w:val="287"/>
        </w:numPr>
      </w:pPr>
      <w:r>
        <w:t>Dimensions nominales des pièces parachevées, exprimées en mm (sans décimale).</w:t>
      </w:r>
    </w:p>
    <w:p w14:paraId="1027CC6A" w14:textId="77777777" w:rsidR="00772179" w:rsidRDefault="00000000">
      <w:pPr>
        <w:pStyle w:val="Author-eListParagraph"/>
        <w:numPr>
          <w:ilvl w:val="0"/>
          <w:numId w:val="287"/>
        </w:numPr>
      </w:pPr>
      <w:r>
        <w:t>Profondeur de construction du profilé : minimum 5 pour les dormants extérieurs et minimum 6 pour les battants (à augmenter en fonction de la pression du vent à reprendre et du moment d’inertie des profilés).</w:t>
      </w:r>
    </w:p>
    <w:p w14:paraId="61D9ADDC" w14:textId="77777777" w:rsidR="00772179" w:rsidRDefault="00772179"/>
    <w:p w14:paraId="76EFC954" w14:textId="77777777" w:rsidR="00772179" w:rsidRDefault="00000000">
      <w:pPr>
        <w:jc w:val="both"/>
      </w:pPr>
      <w:r>
        <w:rPr>
          <w:b/>
          <w:u w:val="single"/>
        </w:rPr>
        <w:t>Assemblage / Fabrication</w:t>
      </w:r>
    </w:p>
    <w:p w14:paraId="680B97BF" w14:textId="77777777" w:rsidR="00772179" w:rsidRDefault="00000000">
      <w:pPr>
        <w:pStyle w:val="Author-eListParagraph"/>
        <w:numPr>
          <w:ilvl w:val="0"/>
          <w:numId w:val="288"/>
        </w:numPr>
      </w:pPr>
      <w:r>
        <w:t>Pour l'usinage, le traitement et la mise en place des profils préformés, on tient toujours compte des prescriptions du fournisseur du système.</w:t>
      </w:r>
    </w:p>
    <w:p w14:paraId="1FC95A86" w14:textId="77777777" w:rsidR="00772179" w:rsidRDefault="00000000">
      <w:pPr>
        <w:pStyle w:val="Author-eListParagraph"/>
        <w:numPr>
          <w:ilvl w:val="0"/>
          <w:numId w:val="288"/>
        </w:numPr>
      </w:pPr>
      <w:r>
        <w:t>Tous les assemblages sont réalisés à l'aide d'accessoires standards provenant du même fabricant que les profils et totalement adaptés aux assemblages.</w:t>
      </w:r>
    </w:p>
    <w:p w14:paraId="0AA27BE2" w14:textId="77777777" w:rsidR="00772179" w:rsidRDefault="00000000">
      <w:pPr>
        <w:pStyle w:val="Author-eListParagraph"/>
        <w:numPr>
          <w:ilvl w:val="0"/>
          <w:numId w:val="288"/>
        </w:numPr>
      </w:pPr>
      <w:r>
        <w:t>Les profils sont sciés et ébarbés. Les assemblages en T sont fraisés et ajustés de manière à respecter la forme des profils transversaux. Toutes les faces de sciage ou les surfaces fraisées reçoivent un traitement étanche à l'aide d'un produit anticorrosion spécial.</w:t>
      </w:r>
    </w:p>
    <w:p w14:paraId="16773F3B" w14:textId="77777777" w:rsidR="00772179" w:rsidRDefault="00000000">
      <w:pPr>
        <w:pStyle w:val="Author-eListParagraph"/>
        <w:numPr>
          <w:ilvl w:val="0"/>
          <w:numId w:val="288"/>
        </w:numPr>
      </w:pPr>
      <w:r>
        <w:t xml:space="preserve">Les angles sont assemblés par compression pneumatique avec des pièces angulaires crénelées et/ou coins à came excentrique vissés en aluminium. Les ailes du cadre et les profilés des battants sont toujours pourvus d’angles d’égalisation en inox pour maintenir les onglets plats. Ces assemblages angulaires et en T ne nuisent pas aux propriétés isolantes de </w:t>
      </w:r>
      <w:r>
        <w:lastRenderedPageBreak/>
        <w:t>la construction. Les onglets sont collés et les pièces d’assemblage sont collées et obturées avec des colles adaptées à cet effet afin d’obtenir une bonne adhérence. Les joints sont rendus complètement étanches.</w:t>
      </w:r>
    </w:p>
    <w:p w14:paraId="77C181C3" w14:textId="77777777" w:rsidR="00772179" w:rsidRDefault="00000000">
      <w:pPr>
        <w:pStyle w:val="Author-eListParagraph"/>
        <w:numPr>
          <w:ilvl w:val="0"/>
          <w:numId w:val="288"/>
        </w:numPr>
      </w:pPr>
      <w:r>
        <w:t>Les bandes isolantes de l’interruption thermique ne peuvent pas être touchées lors du fraisage des pièces des quincailleries et des trous de drainage.    </w:t>
      </w:r>
    </w:p>
    <w:p w14:paraId="559C130B" w14:textId="77777777" w:rsidR="00772179" w:rsidRDefault="00000000">
      <w:pPr>
        <w:jc w:val="both"/>
      </w:pPr>
      <w:r>
        <w:t>    </w:t>
      </w:r>
    </w:p>
    <w:p w14:paraId="5F937AEA" w14:textId="77777777" w:rsidR="00772179" w:rsidRDefault="00000000">
      <w:pPr>
        <w:jc w:val="both"/>
      </w:pPr>
      <w:r>
        <w:rPr>
          <w:b/>
          <w:u w:val="single"/>
        </w:rPr>
        <w:t>Traitement De Surface</w:t>
      </w:r>
    </w:p>
    <w:p w14:paraId="37DF4EC1" w14:textId="77777777" w:rsidR="00772179" w:rsidRDefault="00000000">
      <w:pPr>
        <w:pStyle w:val="Author-eListParagraph"/>
        <w:numPr>
          <w:ilvl w:val="0"/>
          <w:numId w:val="289"/>
        </w:numPr>
      </w:pPr>
      <w:r>
        <w:t>Toutes les structures et les montants intermédiaires, ainsi que les lattes à vitrage, subissent le même traitement de protection, convenant pour l’aluminium, suivant les directives du manuel de qualité. Les profilés sont parachevés avec l’un des traitements de surface ci-dessous, conformément aux spécifications du cahier spécial des charges.</w:t>
      </w:r>
    </w:p>
    <w:p w14:paraId="0CDD2399" w14:textId="77777777" w:rsidR="00772179" w:rsidRDefault="00000000">
      <w:pPr>
        <w:pStyle w:val="Author-eListParagraph"/>
        <w:numPr>
          <w:ilvl w:val="0"/>
          <w:numId w:val="289"/>
        </w:numPr>
      </w:pPr>
      <w:r>
        <w:t>Pour garantir la qualité continue, seul un traitement de surface est autorisé en gestion propre du fournisseur de système, et l’alliage d’aluminium doit satisfaire aux critères ci-dessus. Une licence QUALICOAT (pour le revêtement par poudrage) et une licence QUALANOD doivent pouvoir être présentées immédiatement à la demande de l’architecte.</w:t>
      </w:r>
    </w:p>
    <w:p w14:paraId="1AAB6420" w14:textId="77777777" w:rsidR="00772179" w:rsidRDefault="00000000">
      <w:pPr>
        <w:pStyle w:val="Author-eListParagraph"/>
        <w:numPr>
          <w:ilvl w:val="0"/>
          <w:numId w:val="289"/>
        </w:numPr>
      </w:pPr>
      <w:r>
        <w:t>Lors d’une observation perpendiculaire à la surface concernée sous une lumière diffuse (ciel couvert à l’extérieur et sans éclairage artificiel à l’intérieur), aucun défaut de surface décrit ci-après n'est visible à l’œil nu à une distance de 2 mètres :</w:t>
      </w:r>
      <w:r>
        <w:br/>
      </w:r>
    </w:p>
    <w:p w14:paraId="3C2CD44D" w14:textId="77777777" w:rsidR="00772179" w:rsidRDefault="00000000">
      <w:pPr>
        <w:pStyle w:val="Author-eListParagraph"/>
        <w:numPr>
          <w:ilvl w:val="1"/>
          <w:numId w:val="290"/>
        </w:numPr>
      </w:pPr>
      <w:r>
        <w:t>Surface rude, gouttes d’écoulement, boursouflures, effet de peau d’orange, inclusions, cratères, taches mates, trous, griffes.</w:t>
      </w:r>
    </w:p>
    <w:p w14:paraId="1ED95C0D" w14:textId="77777777" w:rsidR="00772179" w:rsidRDefault="00000000">
      <w:pPr>
        <w:pStyle w:val="Author-eListParagraph"/>
        <w:numPr>
          <w:ilvl w:val="1"/>
          <w:numId w:val="290"/>
        </w:numPr>
      </w:pPr>
      <w:r>
        <w:t>L’exécution laquée au four présente une teinte et un éclat uniformes et est couvrante. Aucune différence de teinte incommodante ne peut apparaître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13AD1C8B" w14:textId="77777777" w:rsidR="00772179" w:rsidRDefault="00000000">
      <w:pPr>
        <w:pStyle w:val="Author-eListParagraph"/>
        <w:numPr>
          <w:ilvl w:val="1"/>
          <w:numId w:val="290"/>
        </w:numPr>
      </w:pPr>
      <w:r>
        <w:t>L’aspect de la face visible des profilés anodisés ne peut présenter aucune différence de teinte ni de taches incommodantes qui pourraient être jugées gênantes.  </w:t>
      </w:r>
      <w:r>
        <w:br/>
      </w:r>
    </w:p>
    <w:p w14:paraId="732CAE59" w14:textId="77777777" w:rsidR="00772179" w:rsidRDefault="00000000">
      <w:pPr>
        <w:pStyle w:val="Author-eListParagraph"/>
        <w:numPr>
          <w:ilvl w:val="0"/>
          <w:numId w:val="289"/>
        </w:numPr>
      </w:pPr>
      <w:r>
        <w:t>Les possibilités de traitement de surface sont les suivantes :</w:t>
      </w:r>
      <w:r>
        <w:br/>
      </w:r>
    </w:p>
    <w:p w14:paraId="142992D5" w14:textId="77777777" w:rsidR="00772179" w:rsidRDefault="00000000">
      <w:pPr>
        <w:pStyle w:val="Author-eListParagraph"/>
        <w:numPr>
          <w:ilvl w:val="1"/>
          <w:numId w:val="291"/>
        </w:numPr>
      </w:pPr>
      <w:r>
        <w:t>Laquage et revêtement par poudrage (laquage au four)</w:t>
      </w:r>
    </w:p>
    <w:p w14:paraId="19F2AAA8" w14:textId="77777777" w:rsidR="00772179" w:rsidRDefault="00000000">
      <w:pPr>
        <w:pStyle w:val="Author-eListParagraph"/>
        <w:numPr>
          <w:ilvl w:val="1"/>
          <w:numId w:val="291"/>
        </w:numPr>
      </w:pPr>
      <w:r>
        <w:t>Anodisation</w:t>
      </w:r>
    </w:p>
    <w:p w14:paraId="0D89A821" w14:textId="77777777" w:rsidR="00772179" w:rsidRDefault="00772179"/>
    <w:p w14:paraId="7503BD32" w14:textId="77777777" w:rsidR="00772179" w:rsidRDefault="00000000">
      <w:pPr>
        <w:jc w:val="both"/>
      </w:pPr>
      <w:r>
        <w:rPr>
          <w:b/>
          <w:u w:val="single"/>
        </w:rPr>
        <w:t>Méthode D'anodisation</w:t>
      </w:r>
    </w:p>
    <w:p w14:paraId="2B7E24BF" w14:textId="77777777" w:rsidR="00772179" w:rsidRDefault="00000000">
      <w:pPr>
        <w:pStyle w:val="Author-eListParagraph"/>
        <w:numPr>
          <w:ilvl w:val="0"/>
          <w:numId w:val="292"/>
        </w:numPr>
      </w:pPr>
      <w:r>
        <w:t>L’anodisation se fait conformément aux prescriptions du Manuel de Qualité 1</w:t>
      </w:r>
    </w:p>
    <w:p w14:paraId="21547759" w14:textId="77777777" w:rsidR="00772179" w:rsidRDefault="00000000">
      <w:pPr>
        <w:pStyle w:val="Author-eListParagraph"/>
        <w:numPr>
          <w:ilvl w:val="0"/>
          <w:numId w:val="292"/>
        </w:numPr>
      </w:pPr>
      <w:r>
        <w:t>Le traitement préliminaire et la protection de la menuiserie répondent à la [STS 36] .14.4.</w:t>
      </w:r>
    </w:p>
    <w:p w14:paraId="40736181" w14:textId="77777777" w:rsidR="00772179" w:rsidRDefault="00000000">
      <w:pPr>
        <w:pStyle w:val="Author-eListParagraph"/>
        <w:numPr>
          <w:ilvl w:val="0"/>
          <w:numId w:val="292"/>
        </w:numPr>
      </w:pPr>
      <w:r>
        <w:t> Après le traitement préliminaire et avant l’oxydation anodique, les profilés sont dégraissés et décapés. La couche d’oxyde est parfaitement étanche (sans porosité) et recouvrir la totalité des pièces. La couche d’oxyde est étanche à l’eau par colmatage dans un bain d’eau bouillante. L’entreprise chargée de l’anodisation doit posséder le label de qualité QUALANOD. La qualité est contrôlée par des essais suivant la procédure prévue dans le label. L’épaisseur exigée de la couche d’oxyde répond également à la [STS 36] .05.33] et atteint au moins :</w:t>
      </w:r>
      <w:r>
        <w:br/>
      </w:r>
    </w:p>
    <w:p w14:paraId="25707957" w14:textId="77777777" w:rsidR="00772179" w:rsidRDefault="00000000">
      <w:pPr>
        <w:pStyle w:val="Author-eListParagraph"/>
        <w:numPr>
          <w:ilvl w:val="1"/>
          <w:numId w:val="293"/>
        </w:numPr>
      </w:pPr>
      <w:r>
        <w:t>Classe 2 - atmosphère urbaine - 20 microns</w:t>
      </w:r>
    </w:p>
    <w:p w14:paraId="66EBD286" w14:textId="77777777" w:rsidR="00772179" w:rsidRDefault="00000000">
      <w:pPr>
        <w:pStyle w:val="Author-eListParagraph"/>
        <w:numPr>
          <w:ilvl w:val="1"/>
          <w:numId w:val="293"/>
        </w:numPr>
      </w:pPr>
      <w:r>
        <w:t>Classe 3 - atmosphère maritime ou industrielle - 25 microns</w:t>
      </w:r>
    </w:p>
    <w:p w14:paraId="7FF8494D" w14:textId="77777777" w:rsidR="00772179" w:rsidRDefault="00772179"/>
    <w:p w14:paraId="7320FB04" w14:textId="77777777" w:rsidR="00772179" w:rsidRDefault="00000000">
      <w:pPr>
        <w:jc w:val="both"/>
      </w:pPr>
      <w:r>
        <w:rPr>
          <w:b/>
          <w:u w:val="single"/>
        </w:rPr>
        <w:t>Laquages / Revêtements</w:t>
      </w:r>
    </w:p>
    <w:p w14:paraId="534AC5F5" w14:textId="77777777" w:rsidR="00772179" w:rsidRDefault="00000000">
      <w:pPr>
        <w:pStyle w:val="Author-eListParagraph"/>
        <w:numPr>
          <w:ilvl w:val="0"/>
          <w:numId w:val="294"/>
        </w:numPr>
      </w:pPr>
      <w:r>
        <w:t>Le procédé de finition par laquage est conforme aux normes suivantes [NBN EN 12206-1].</w:t>
      </w:r>
    </w:p>
    <w:p w14:paraId="76992B6E" w14:textId="77777777" w:rsidR="00772179" w:rsidRDefault="00000000">
      <w:pPr>
        <w:pStyle w:val="Author-eListParagraph"/>
        <w:numPr>
          <w:ilvl w:val="0"/>
          <w:numId w:val="294"/>
        </w:numPr>
      </w:pPr>
      <w:r>
        <w:lastRenderedPageBreak/>
        <w:t>Les couches de peinture résistent aux chocs et ne peuvent pas s’écailler aux bords lors d’opérations mécaniques (forage, sciage, fraisage, poinçonnage, ...). Les échantillons de profilés nécessaires sont préalablement soumis à l’auteur de projet.</w:t>
      </w:r>
    </w:p>
    <w:p w14:paraId="6D241C96" w14:textId="77777777" w:rsidR="00772179" w:rsidRDefault="00000000">
      <w:pPr>
        <w:pStyle w:val="Author-eListParagraph"/>
        <w:numPr>
          <w:ilvl w:val="0"/>
          <w:numId w:val="294"/>
        </w:numPr>
      </w:pPr>
      <w:r>
        <w:t>Pour les couleurs RAL, l’épaisseur de couche atteint en moyenne 60 microns minimum.</w:t>
      </w:r>
    </w:p>
    <w:p w14:paraId="1D6989A0" w14:textId="77777777" w:rsidR="00772179" w:rsidRDefault="00000000">
      <w:pPr>
        <w:pStyle w:val="Author-eListParagraph"/>
        <w:numPr>
          <w:ilvl w:val="0"/>
          <w:numId w:val="294"/>
        </w:numPr>
      </w:pPr>
      <w:r>
        <w:t>Pour les couleurs métallisées, le pigment de couleur est ‘fondu’ avec la poudre de base (Bonding process). Un mélange homogène de l’aluminium ou des particules en inox n’est pas autorisé afin d’éviter la formation de nuages.</w:t>
      </w:r>
    </w:p>
    <w:p w14:paraId="74D17E96" w14:textId="77777777" w:rsidR="00772179" w:rsidRDefault="00000000">
      <w:pPr>
        <w:pStyle w:val="Author-eListParagraph"/>
        <w:numPr>
          <w:ilvl w:val="0"/>
          <w:numId w:val="294"/>
        </w:numPr>
      </w:pPr>
      <w:r>
        <w:t>La teinte du traitement de surface du profilé peut être consultée sur base d’un échantillon chez le fonctionnaire dirigeant/l’architecte</w:t>
      </w:r>
    </w:p>
    <w:p w14:paraId="23F23AED" w14:textId="77777777" w:rsidR="00772179" w:rsidRDefault="00000000">
      <w:pPr>
        <w:pStyle w:val="Author-eListParagraph"/>
        <w:numPr>
          <w:ilvl w:val="0"/>
          <w:numId w:val="294"/>
        </w:numPr>
      </w:pPr>
      <w:r>
        <w:t>Les finitions de surface permettent en outre les combinaisons de couleurs intérieures / extérieures.</w:t>
      </w:r>
    </w:p>
    <w:p w14:paraId="1ECB6872" w14:textId="77777777" w:rsidR="00772179" w:rsidRDefault="00772179"/>
    <w:p w14:paraId="7C72A8CA" w14:textId="77777777" w:rsidR="00772179" w:rsidRDefault="00000000">
      <w:pPr>
        <w:jc w:val="both"/>
      </w:pPr>
      <w:r>
        <w:rPr>
          <w:b/>
          <w:u w:val="single"/>
        </w:rPr>
        <w:t> Quincaillerie</w:t>
      </w:r>
    </w:p>
    <w:p w14:paraId="55C2433E" w14:textId="77777777" w:rsidR="00772179" w:rsidRDefault="00000000">
      <w:pPr>
        <w:pStyle w:val="Author-eListParagraph"/>
        <w:numPr>
          <w:ilvl w:val="0"/>
          <w:numId w:val="295"/>
        </w:numPr>
        <w:jc w:val="both"/>
      </w:pPr>
      <w:r>
        <w:t>La quincaillerie est encastrée et permet l'ouverture dans le sens indiqué. Les parties visibles auront une couleur et une finition identiques à celles des profils.       </w:t>
      </w:r>
    </w:p>
    <w:p w14:paraId="189A9717" w14:textId="77777777" w:rsidR="00772179" w:rsidRDefault="00000000">
      <w:pPr>
        <w:pStyle w:val="Author-eListParagraph"/>
        <w:numPr>
          <w:ilvl w:val="0"/>
          <w:numId w:val="295"/>
        </w:numPr>
        <w:jc w:val="both"/>
      </w:pPr>
      <w:r>
        <w:t>L'entrepreneur accorde une garantie de dix ans sur l'étanchéité au vent et à l'eau de l'ensemble de la menuiserie extérieure, lorsqu'elle entretenue normalement par le propriétaire.</w:t>
      </w:r>
    </w:p>
    <w:p w14:paraId="7DA3009A" w14:textId="77777777" w:rsidR="00772179" w:rsidRDefault="00000000">
      <w:pPr>
        <w:pStyle w:val="Author-eListParagraph"/>
        <w:numPr>
          <w:ilvl w:val="0"/>
          <w:numId w:val="295"/>
        </w:numPr>
        <w:jc w:val="both"/>
      </w:pPr>
      <w:r>
        <w:t>Les laquages au four sont couverts par les garanties suivantes : 5 ans pour l'inaltérabilité des couleurs et 10 ans pour l'adhérence. Les profils griffés ou endommagés sont refusés.</w:t>
      </w:r>
    </w:p>
    <w:p w14:paraId="715B1D70" w14:textId="77777777" w:rsidR="00772179" w:rsidRDefault="00000000">
      <w:pPr>
        <w:pStyle w:val="Author-eListParagraph"/>
        <w:numPr>
          <w:ilvl w:val="0"/>
          <w:numId w:val="295"/>
        </w:numPr>
        <w:jc w:val="both"/>
      </w:pPr>
      <w:r>
        <w:t>Les quincailleries sont décrites dans la section </w:t>
      </w:r>
      <w:hyperlink w:anchor="884" w:history="1">
        <w:r>
          <w:rPr>
            <w:color w:val="0000EE"/>
          </w:rPr>
          <w:t>41.72 Quincailleries</w:t>
        </w:r>
      </w:hyperlink>
    </w:p>
    <w:p w14:paraId="4F853784" w14:textId="77777777" w:rsidR="00772179" w:rsidRDefault="00772179"/>
    <w:p w14:paraId="44AF9719" w14:textId="77777777" w:rsidR="00772179" w:rsidRDefault="00000000">
      <w:pPr>
        <w:jc w:val="both"/>
      </w:pPr>
      <w:r>
        <w:rPr>
          <w:b/>
          <w:u w:val="single"/>
        </w:rPr>
        <w:t>Profils </w:t>
      </w:r>
    </w:p>
    <w:p w14:paraId="1F447340" w14:textId="77777777" w:rsidR="00772179" w:rsidRDefault="00000000">
      <w:pPr>
        <w:jc w:val="both"/>
      </w:pPr>
      <w:r>
        <w:t>Tous les profils proviennent d'un seul et même fabricant. La note de calcul établie par le constructeur doit tenir compte de toutes les données existantes en ce qui concerne les sollicitations ou les efforts et des critères de performances précités. Les dimensions des profils sont exprimées en mm.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grilles de ventilations, seuils, finitions intérieures, volets éventuels, … tels qu'ils sont prescrits. Sauf indications contraires dans le cahier spécial des charges et/ou les études détaillées, les profils sont conçus de façon telle que :</w:t>
      </w:r>
    </w:p>
    <w:p w14:paraId="20061793" w14:textId="77777777" w:rsidR="00772179" w:rsidRDefault="00000000">
      <w:pPr>
        <w:pStyle w:val="Author-eListParagraph"/>
        <w:numPr>
          <w:ilvl w:val="0"/>
          <w:numId w:val="296"/>
        </w:numPr>
        <w:jc w:val="both"/>
      </w:pPr>
      <w:r>
        <w:t>tous les profils pour les parties ouvrantes sont au moins prévus avec une double frappe;</w:t>
      </w:r>
    </w:p>
    <w:p w14:paraId="24C31428" w14:textId="77777777" w:rsidR="00772179" w:rsidRDefault="00000000">
      <w:pPr>
        <w:pStyle w:val="Author-eListParagraph"/>
        <w:numPr>
          <w:ilvl w:val="0"/>
          <w:numId w:val="296"/>
        </w:numPr>
        <w:jc w:val="both"/>
      </w:pPr>
      <w:r>
        <w:t>l'évacuation des eaux des traverses horizontales est réalisée à l'aide de rejets d'eau, larmiers, …;</w:t>
      </w:r>
    </w:p>
    <w:p w14:paraId="6AE90D62" w14:textId="77777777" w:rsidR="00772179" w:rsidRDefault="00000000">
      <w:pPr>
        <w:pStyle w:val="Author-eListParagraph"/>
        <w:numPr>
          <w:ilvl w:val="0"/>
          <w:numId w:val="296"/>
        </w:numPr>
        <w:jc w:val="both"/>
      </w:pPr>
      <w:r>
        <w:t>les feuillures sont suffisamment hautes et profondes, ventilées et drainées (pour les doubles vitrages) l'évacuation se faisant par au moins deux ouvertures de drainage d'un Ø ≤ 8 mm ;</w:t>
      </w:r>
    </w:p>
    <w:p w14:paraId="09B3540D" w14:textId="77777777" w:rsidR="00772179" w:rsidRDefault="00000000">
      <w:pPr>
        <w:pStyle w:val="Author-eListParagraph"/>
        <w:numPr>
          <w:ilvl w:val="0"/>
          <w:numId w:val="296"/>
        </w:numPr>
        <w:jc w:val="both"/>
      </w:pPr>
      <w:r>
        <w:t>pour les vitrages simples, une rainure récoltant l'eau de condensation et une évacuation vers l'extérieur sont prévues dans le bas de chaque vitre;</w:t>
      </w:r>
    </w:p>
    <w:p w14:paraId="3FAC3C7B" w14:textId="77777777" w:rsidR="00772179" w:rsidRDefault="00000000">
      <w:pPr>
        <w:pStyle w:val="Author-eListParagraph"/>
        <w:numPr>
          <w:ilvl w:val="0"/>
          <w:numId w:val="296"/>
        </w:numPr>
        <w:jc w:val="both"/>
      </w:pPr>
      <w:r>
        <w:t>les faces supérieures des traverses horizontales s'évacuent vers l'extérieur,;</w:t>
      </w:r>
    </w:p>
    <w:p w14:paraId="4D9918A5" w14:textId="77777777" w:rsidR="00772179" w:rsidRDefault="00000000">
      <w:pPr>
        <w:pStyle w:val="Author-eListParagraph"/>
        <w:numPr>
          <w:ilvl w:val="0"/>
          <w:numId w:val="296"/>
        </w:numPr>
        <w:jc w:val="both"/>
      </w:pPr>
      <w:r>
        <w:t>tous les angles des parties visibles sont légèrement arrondis;</w:t>
      </w:r>
    </w:p>
    <w:p w14:paraId="0553433E" w14:textId="77777777" w:rsidR="00772179" w:rsidRDefault="00000000">
      <w:pPr>
        <w:pStyle w:val="Author-eListParagraph"/>
        <w:numPr>
          <w:ilvl w:val="0"/>
          <w:numId w:val="296"/>
        </w:numPr>
        <w:jc w:val="both"/>
      </w:pPr>
      <w:r>
        <w:t>les vitrages et/ou les éléments de remplissages peuvent être remplacés de l'intérieur, sauf pour les panneaux derrière lesquels se trouve un mur en maçonnerie;</w:t>
      </w:r>
    </w:p>
    <w:p w14:paraId="66475812" w14:textId="77777777" w:rsidR="00772179" w:rsidRDefault="00000000">
      <w:pPr>
        <w:pStyle w:val="Author-eListParagraph"/>
        <w:numPr>
          <w:ilvl w:val="0"/>
          <w:numId w:val="296"/>
        </w:numPr>
        <w:jc w:val="both"/>
      </w:pPr>
      <w:r>
        <w:t>la quincaillerie et les divers raccordements peuvent être facilement remplacés sans devoir démonter les parties attenantes;</w:t>
      </w:r>
    </w:p>
    <w:p w14:paraId="5A0A8D5E" w14:textId="77777777" w:rsidR="00772179" w:rsidRDefault="00000000">
      <w:pPr>
        <w:pStyle w:val="Author-eListParagraph"/>
        <w:numPr>
          <w:ilvl w:val="0"/>
          <w:numId w:val="296"/>
        </w:numPr>
        <w:jc w:val="both"/>
      </w:pPr>
      <w:r>
        <w:t>des feuillures ou rainures sont prévues dans les profils des châssis partout où cela s'avère nécessaire pour la finition intérieure (habillage latéral, …);</w:t>
      </w:r>
    </w:p>
    <w:p w14:paraId="61DE3F64" w14:textId="77777777" w:rsidR="00772179" w:rsidRDefault="00000000">
      <w:pPr>
        <w:pStyle w:val="Author-eListParagraph"/>
        <w:numPr>
          <w:ilvl w:val="0"/>
          <w:numId w:val="296"/>
        </w:numPr>
        <w:jc w:val="both"/>
      </w:pPr>
      <w:r>
        <w:t>les volets éventuellement prévus peuvent être posés </w:t>
      </w:r>
    </w:p>
    <w:p w14:paraId="2632BCEA" w14:textId="77777777" w:rsidR="00772179" w:rsidRDefault="00000000">
      <w:pPr>
        <w:jc w:val="both"/>
      </w:pPr>
      <w:r>
        <w:t>Après la fabrication, toutes les faces vues sont traitées de manière appropriée afin d'éliminer toute trace d'outils et de manutention.    </w:t>
      </w:r>
    </w:p>
    <w:p w14:paraId="038631D5" w14:textId="77777777" w:rsidR="00772179" w:rsidRDefault="00772179">
      <w:pPr>
        <w:jc w:val="both"/>
      </w:pPr>
    </w:p>
    <w:p w14:paraId="4E325D2B" w14:textId="77777777" w:rsidR="00772179" w:rsidRDefault="00772179">
      <w:pPr>
        <w:jc w:val="both"/>
      </w:pPr>
    </w:p>
    <w:p w14:paraId="7D2D1B93" w14:textId="77777777" w:rsidR="00772179" w:rsidRDefault="00000000">
      <w:pPr>
        <w:jc w:val="both"/>
      </w:pPr>
      <w:r>
        <w:rPr>
          <w:b/>
          <w:u w:val="single"/>
        </w:rPr>
        <w:t>Feuillures</w:t>
      </w:r>
    </w:p>
    <w:p w14:paraId="4687D841" w14:textId="77777777" w:rsidR="00772179" w:rsidRDefault="00000000">
      <w:pPr>
        <w:jc w:val="both"/>
      </w:pPr>
      <w:r>
        <w:t>La pose des vitres et/ou des panneaux de remplissage est effectuée conformément aux prescriptions du fabricant des profils. Les parcloses sont toujours posées à l'intérieur de la menuiserie (sauf pour les éléments d’allège non accessible par l’intérieure). Leurs dimensions sont établies en fonction de l'épaisseur du vitrage, de la feuillure et du profil des châssis : Lorsqu'un mastic d'étanchéité est appliqué, les parcloses ne présentent pas de bord rentrant qui pourrait compliquer l'application parfaite du mastic.</w:t>
      </w:r>
    </w:p>
    <w:p w14:paraId="64800735" w14:textId="77777777" w:rsidR="00772179" w:rsidRDefault="00000000">
      <w:pPr>
        <w:jc w:val="both"/>
      </w:pPr>
      <w:r>
        <w:t>Pour les doubles vitrages, la hauteur / largeur des feuillures est respectivement d'au moins(*) :  </w:t>
      </w:r>
    </w:p>
    <w:tbl>
      <w:tblPr>
        <w:tblStyle w:val="Author-eTableGrid"/>
        <w:tblW w:w="9060" w:type="dxa"/>
        <w:tblLayout w:type="fixed"/>
        <w:tblLook w:val="04A0" w:firstRow="1" w:lastRow="0" w:firstColumn="1" w:lastColumn="0" w:noHBand="0" w:noVBand="1"/>
      </w:tblPr>
      <w:tblGrid>
        <w:gridCol w:w="3020"/>
        <w:gridCol w:w="3020"/>
        <w:gridCol w:w="3020"/>
      </w:tblGrid>
      <w:tr w:rsidR="00772179" w14:paraId="627C0DCF" w14:textId="77777777">
        <w:tc>
          <w:tcPr>
            <w:tcW w:w="3000" w:type="dxa"/>
            <w:noWrap/>
          </w:tcPr>
          <w:p w14:paraId="1EA1750A" w14:textId="77777777" w:rsidR="00772179" w:rsidRDefault="00000000">
            <w:pPr>
              <w:jc w:val="center"/>
            </w:pPr>
            <w:r>
              <w:rPr>
                <w:b/>
              </w:rPr>
              <w:t>Epaisseur des vitrages composés + vide d'air</w:t>
            </w:r>
          </w:p>
        </w:tc>
        <w:tc>
          <w:tcPr>
            <w:tcW w:w="3000" w:type="dxa"/>
            <w:noWrap/>
          </w:tcPr>
          <w:p w14:paraId="3313D2FB" w14:textId="77777777" w:rsidR="00772179" w:rsidRDefault="00000000">
            <w:pPr>
              <w:jc w:val="center"/>
            </w:pPr>
            <w:r>
              <w:rPr>
                <w:b/>
              </w:rPr>
              <w:t>Hauteur de la feuillure</w:t>
            </w:r>
          </w:p>
        </w:tc>
        <w:tc>
          <w:tcPr>
            <w:tcW w:w="3000" w:type="dxa"/>
            <w:noWrap/>
          </w:tcPr>
          <w:p w14:paraId="1A91B290" w14:textId="77777777" w:rsidR="00772179" w:rsidRDefault="00000000">
            <w:pPr>
              <w:jc w:val="center"/>
            </w:pPr>
            <w:r>
              <w:rPr>
                <w:b/>
              </w:rPr>
              <w:t>Largeur de la feuillure</w:t>
            </w:r>
          </w:p>
        </w:tc>
      </w:tr>
      <w:tr w:rsidR="00772179" w14:paraId="23079E9E" w14:textId="77777777">
        <w:tc>
          <w:tcPr>
            <w:tcW w:w="3000" w:type="dxa"/>
            <w:noWrap/>
          </w:tcPr>
          <w:p w14:paraId="4C2AB3B0" w14:textId="77777777" w:rsidR="00772179" w:rsidRDefault="00000000">
            <w:pPr>
              <w:jc w:val="center"/>
            </w:pPr>
            <w:r>
              <w:t>4 / 12 / 4 = 20 mm</w:t>
            </w:r>
          </w:p>
        </w:tc>
        <w:tc>
          <w:tcPr>
            <w:tcW w:w="3000" w:type="dxa"/>
            <w:noWrap/>
          </w:tcPr>
          <w:p w14:paraId="1D3C3996" w14:textId="77777777" w:rsidR="00772179" w:rsidRDefault="00000000">
            <w:pPr>
              <w:jc w:val="center"/>
            </w:pPr>
            <w:r>
              <w:t>14 mm</w:t>
            </w:r>
          </w:p>
        </w:tc>
        <w:tc>
          <w:tcPr>
            <w:tcW w:w="3000" w:type="dxa"/>
            <w:noWrap/>
          </w:tcPr>
          <w:p w14:paraId="2A79F062" w14:textId="77777777" w:rsidR="00772179" w:rsidRDefault="00000000">
            <w:pPr>
              <w:jc w:val="center"/>
            </w:pPr>
            <w:r>
              <w:t>28 mm</w:t>
            </w:r>
          </w:p>
        </w:tc>
      </w:tr>
      <w:tr w:rsidR="00772179" w14:paraId="0EF4DCBA" w14:textId="77777777">
        <w:tc>
          <w:tcPr>
            <w:tcW w:w="3000" w:type="dxa"/>
            <w:noWrap/>
          </w:tcPr>
          <w:p w14:paraId="765CE405" w14:textId="77777777" w:rsidR="00772179" w:rsidRDefault="00000000">
            <w:r>
              <w:t>4 / 15 / 4 = 23 mm</w:t>
            </w:r>
          </w:p>
        </w:tc>
        <w:tc>
          <w:tcPr>
            <w:tcW w:w="3000" w:type="dxa"/>
            <w:noWrap/>
          </w:tcPr>
          <w:p w14:paraId="64A47EBD" w14:textId="77777777" w:rsidR="00772179" w:rsidRDefault="00000000">
            <w:r>
              <w:t>14 mm</w:t>
            </w:r>
          </w:p>
        </w:tc>
        <w:tc>
          <w:tcPr>
            <w:tcW w:w="3000" w:type="dxa"/>
            <w:noWrap/>
          </w:tcPr>
          <w:p w14:paraId="159EFA4B" w14:textId="77777777" w:rsidR="00772179" w:rsidRDefault="00000000">
            <w:r>
              <w:t>31 mm</w:t>
            </w:r>
          </w:p>
        </w:tc>
      </w:tr>
      <w:tr w:rsidR="00772179" w14:paraId="5823A3C6" w14:textId="77777777">
        <w:tc>
          <w:tcPr>
            <w:tcW w:w="3000" w:type="dxa"/>
            <w:noWrap/>
          </w:tcPr>
          <w:p w14:paraId="62C47800" w14:textId="77777777" w:rsidR="00772179" w:rsidRDefault="00000000">
            <w:r>
              <w:t>5 / 12 / 5 = 22 mm</w:t>
            </w:r>
          </w:p>
        </w:tc>
        <w:tc>
          <w:tcPr>
            <w:tcW w:w="3000" w:type="dxa"/>
            <w:noWrap/>
          </w:tcPr>
          <w:p w14:paraId="263C8D31" w14:textId="77777777" w:rsidR="00772179" w:rsidRDefault="00000000">
            <w:r>
              <w:t>16 mm</w:t>
            </w:r>
          </w:p>
        </w:tc>
        <w:tc>
          <w:tcPr>
            <w:tcW w:w="3000" w:type="dxa"/>
            <w:noWrap/>
          </w:tcPr>
          <w:p w14:paraId="7C014792" w14:textId="77777777" w:rsidR="00772179" w:rsidRDefault="00000000">
            <w:r>
              <w:t>30 mm</w:t>
            </w:r>
          </w:p>
        </w:tc>
      </w:tr>
      <w:tr w:rsidR="00772179" w14:paraId="001A6F1A" w14:textId="77777777">
        <w:tc>
          <w:tcPr>
            <w:tcW w:w="3000" w:type="dxa"/>
            <w:noWrap/>
          </w:tcPr>
          <w:p w14:paraId="6A4EC6F5" w14:textId="77777777" w:rsidR="00772179" w:rsidRDefault="00000000">
            <w:r>
              <w:t>5 / 15 / 5 = 25 mm</w:t>
            </w:r>
          </w:p>
        </w:tc>
        <w:tc>
          <w:tcPr>
            <w:tcW w:w="3000" w:type="dxa"/>
            <w:noWrap/>
          </w:tcPr>
          <w:p w14:paraId="6B3391A6" w14:textId="77777777" w:rsidR="00772179" w:rsidRDefault="00000000">
            <w:r>
              <w:t>16 mm</w:t>
            </w:r>
          </w:p>
        </w:tc>
        <w:tc>
          <w:tcPr>
            <w:tcW w:w="3000" w:type="dxa"/>
            <w:noWrap/>
          </w:tcPr>
          <w:p w14:paraId="346775AE" w14:textId="77777777" w:rsidR="00772179" w:rsidRDefault="00000000">
            <w:r>
              <w:t>33 mm</w:t>
            </w:r>
          </w:p>
        </w:tc>
      </w:tr>
      <w:tr w:rsidR="00772179" w14:paraId="374258B3" w14:textId="77777777">
        <w:tc>
          <w:tcPr>
            <w:tcW w:w="3000" w:type="dxa"/>
            <w:noWrap/>
          </w:tcPr>
          <w:p w14:paraId="1124F896" w14:textId="77777777" w:rsidR="00772179" w:rsidRDefault="00000000">
            <w:r>
              <w:t>6 / 9 / 6 = 21 mm</w:t>
            </w:r>
          </w:p>
        </w:tc>
        <w:tc>
          <w:tcPr>
            <w:tcW w:w="3000" w:type="dxa"/>
            <w:noWrap/>
          </w:tcPr>
          <w:p w14:paraId="5261588D" w14:textId="77777777" w:rsidR="00772179" w:rsidRDefault="00000000">
            <w:r>
              <w:t>18 mm</w:t>
            </w:r>
          </w:p>
        </w:tc>
        <w:tc>
          <w:tcPr>
            <w:tcW w:w="3000" w:type="dxa"/>
            <w:noWrap/>
          </w:tcPr>
          <w:p w14:paraId="7B8EFB0F" w14:textId="77777777" w:rsidR="00772179" w:rsidRDefault="00000000">
            <w:r>
              <w:t>29 mm</w:t>
            </w:r>
          </w:p>
        </w:tc>
      </w:tr>
      <w:tr w:rsidR="00772179" w14:paraId="38F7F754" w14:textId="77777777">
        <w:tc>
          <w:tcPr>
            <w:tcW w:w="3000" w:type="dxa"/>
            <w:noWrap/>
          </w:tcPr>
          <w:p w14:paraId="07519463" w14:textId="77777777" w:rsidR="00772179" w:rsidRDefault="00000000">
            <w:r>
              <w:t>6 / 12 / 6 = 24 mm</w:t>
            </w:r>
          </w:p>
        </w:tc>
        <w:tc>
          <w:tcPr>
            <w:tcW w:w="3000" w:type="dxa"/>
            <w:noWrap/>
          </w:tcPr>
          <w:p w14:paraId="5FB646C5" w14:textId="77777777" w:rsidR="00772179" w:rsidRDefault="00000000">
            <w:r>
              <w:t>18 mm</w:t>
            </w:r>
          </w:p>
        </w:tc>
        <w:tc>
          <w:tcPr>
            <w:tcW w:w="3000" w:type="dxa"/>
            <w:noWrap/>
          </w:tcPr>
          <w:p w14:paraId="6EC5E53B" w14:textId="77777777" w:rsidR="00772179" w:rsidRDefault="00000000">
            <w:r>
              <w:t>31 mm</w:t>
            </w:r>
          </w:p>
        </w:tc>
      </w:tr>
      <w:tr w:rsidR="00772179" w14:paraId="210A9A89" w14:textId="77777777">
        <w:tc>
          <w:tcPr>
            <w:tcW w:w="3000" w:type="dxa"/>
            <w:noWrap/>
          </w:tcPr>
          <w:p w14:paraId="1BD824C3" w14:textId="77777777" w:rsidR="00772179" w:rsidRDefault="00000000">
            <w:pPr>
              <w:jc w:val="center"/>
            </w:pPr>
            <w:r>
              <w:t>8 / 9 / 8 = 25 mm</w:t>
            </w:r>
          </w:p>
        </w:tc>
        <w:tc>
          <w:tcPr>
            <w:tcW w:w="3000" w:type="dxa"/>
            <w:noWrap/>
          </w:tcPr>
          <w:p w14:paraId="4E071F1C" w14:textId="77777777" w:rsidR="00772179" w:rsidRDefault="00000000">
            <w:pPr>
              <w:jc w:val="center"/>
            </w:pPr>
            <w:r>
              <w:t>18 mm</w:t>
            </w:r>
          </w:p>
        </w:tc>
        <w:tc>
          <w:tcPr>
            <w:tcW w:w="3000" w:type="dxa"/>
            <w:noWrap/>
          </w:tcPr>
          <w:p w14:paraId="02415FF3" w14:textId="77777777" w:rsidR="00772179" w:rsidRDefault="00000000">
            <w:pPr>
              <w:jc w:val="center"/>
            </w:pPr>
            <w:r>
              <w:t>36 mm</w:t>
            </w:r>
          </w:p>
        </w:tc>
      </w:tr>
      <w:tr w:rsidR="00772179" w14:paraId="099A5C13" w14:textId="77777777">
        <w:tc>
          <w:tcPr>
            <w:tcW w:w="3000" w:type="dxa"/>
            <w:noWrap/>
          </w:tcPr>
          <w:p w14:paraId="2ED74886" w14:textId="77777777" w:rsidR="00772179" w:rsidRDefault="00000000">
            <w:pPr>
              <w:jc w:val="center"/>
            </w:pPr>
            <w:r>
              <w:t>8 / 12 / 8 = 28 mm</w:t>
            </w:r>
          </w:p>
        </w:tc>
        <w:tc>
          <w:tcPr>
            <w:tcW w:w="3000" w:type="dxa"/>
            <w:noWrap/>
          </w:tcPr>
          <w:p w14:paraId="1406037D" w14:textId="77777777" w:rsidR="00772179" w:rsidRDefault="00000000">
            <w:pPr>
              <w:jc w:val="center"/>
            </w:pPr>
            <w:r>
              <w:t>18 mm</w:t>
            </w:r>
          </w:p>
        </w:tc>
        <w:tc>
          <w:tcPr>
            <w:tcW w:w="3000" w:type="dxa"/>
            <w:noWrap/>
          </w:tcPr>
          <w:p w14:paraId="45C09ED6" w14:textId="77777777" w:rsidR="00772179" w:rsidRDefault="00000000">
            <w:pPr>
              <w:jc w:val="center"/>
            </w:pPr>
            <w:r>
              <w:t>39 mm</w:t>
            </w:r>
          </w:p>
        </w:tc>
      </w:tr>
    </w:tbl>
    <w:p w14:paraId="01CB00B3" w14:textId="77777777" w:rsidR="00772179" w:rsidRDefault="00772179"/>
    <w:p w14:paraId="63E6848E" w14:textId="77777777" w:rsidR="00772179" w:rsidRDefault="00000000">
      <w:pPr>
        <w:jc w:val="both"/>
      </w:pPr>
      <w:r>
        <w:rPr>
          <w:i/>
        </w:rPr>
        <w:t>(*) ces valeurs sont uniquement d'application pour les superficies vitrées &lt;10 m²; pour les surfaces supérieures à 10 m², les dimensions des feuillures seront déterminées par l'étude de résistance au vent.</w:t>
      </w:r>
    </w:p>
    <w:p w14:paraId="1D7817E7" w14:textId="77777777" w:rsidR="00772179" w:rsidRDefault="00000000">
      <w:pPr>
        <w:jc w:val="both"/>
      </w:pPr>
      <w:r>
        <w:t>Tous les mastics et joints préformés utilisés sont compatibles avec le matériau des châssis.</w:t>
      </w:r>
    </w:p>
    <w:p w14:paraId="2339BB02" w14:textId="77777777" w:rsidR="00772179" w:rsidRDefault="00772179">
      <w:pPr>
        <w:jc w:val="both"/>
      </w:pPr>
    </w:p>
    <w:p w14:paraId="78C7F724" w14:textId="77777777" w:rsidR="00772179" w:rsidRDefault="00772179">
      <w:pPr>
        <w:jc w:val="both"/>
      </w:pPr>
    </w:p>
    <w:p w14:paraId="2A6121DB" w14:textId="77777777" w:rsidR="00772179" w:rsidRDefault="00000000">
      <w:pPr>
        <w:jc w:val="both"/>
      </w:pPr>
      <w:r>
        <w:rPr>
          <w:b/>
          <w:u w:val="single"/>
        </w:rPr>
        <w:t>Types De Portes</w:t>
      </w:r>
    </w:p>
    <w:p w14:paraId="6B5C991C" w14:textId="77777777" w:rsidR="00772179" w:rsidRDefault="00000000">
      <w:pPr>
        <w:jc w:val="both"/>
      </w:pPr>
      <w:r>
        <w:t>L'apparence des différents types de portes, la forme, l'aspect, la nature et la composition des parties ouvrantes sont indiqués sur les plans et/ou dans le métré détaillé. A défaut de dispositions spécifiques dans le cahier spécial des charges et/ou les études détaillées pour la fabrication, les prescriptions ci-dessous sont respectées. Elles sont classées en fonction du type et de la nature des éléments de menuiserie :    </w:t>
      </w:r>
    </w:p>
    <w:p w14:paraId="5A6ABD1C" w14:textId="77777777" w:rsidR="00772179" w:rsidRDefault="00000000">
      <w:pPr>
        <w:pStyle w:val="Author-eListParagraph"/>
        <w:numPr>
          <w:ilvl w:val="0"/>
          <w:numId w:val="297"/>
        </w:numPr>
      </w:pPr>
      <w:r>
        <w:t>Les vantaux de portes extérieures sont suspendus par au moins 3 paumelles qui sont fixées dans le renfort en acier galvanisé du vantail et du dormant. En ce qui concerne le nombre de charnières à utiliser, et leur pose, les prescriptions générales des [STS 52.1], [STS 53.1] et [STS 53.2], ainsi que celles du fabricant des profils et les prescriptions du fournisseur de la quincaillerie sont d'application.</w:t>
      </w:r>
    </w:p>
    <w:p w14:paraId="4BE5B16A" w14:textId="77777777" w:rsidR="00772179" w:rsidRDefault="00000000">
      <w:pPr>
        <w:jc w:val="both"/>
      </w:pPr>
      <w:r>
        <w:t>Les doubles portes extérieures sont conçues comme suit :</w:t>
      </w:r>
    </w:p>
    <w:p w14:paraId="45D40BF8" w14:textId="77777777" w:rsidR="00772179" w:rsidRDefault="00000000">
      <w:pPr>
        <w:pStyle w:val="Author-eListParagraph"/>
        <w:numPr>
          <w:ilvl w:val="0"/>
          <w:numId w:val="298"/>
        </w:numPr>
      </w:pPr>
      <w:r>
        <w:t>Pour les doubles portes extérieures, un vantail est équipé de deux verrous à bascule en acier inoxydable encastrés. Pour la fermeture supérieure et inférieure, on prévoit des douilles de fermeture encastrées en acier inoxydable. </w:t>
      </w:r>
    </w:p>
    <w:p w14:paraId="72DC087A" w14:textId="77777777" w:rsidR="00772179" w:rsidRDefault="00000000">
      <w:pPr>
        <w:jc w:val="both"/>
      </w:pPr>
      <w:r>
        <w:t>Les ensembles de portes composés sont conçus comme suit :</w:t>
      </w:r>
    </w:p>
    <w:p w14:paraId="7E3E12EC" w14:textId="77777777" w:rsidR="00772179" w:rsidRDefault="00000000">
      <w:pPr>
        <w:pStyle w:val="Author-eListParagraph"/>
        <w:numPr>
          <w:ilvl w:val="0"/>
          <w:numId w:val="299"/>
        </w:numPr>
        <w:jc w:val="both"/>
      </w:pPr>
      <w:r>
        <w:t xml:space="preserve">Les ensembles de portes composés sont constitués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w:t>
      </w:r>
      <w:r>
        <w:lastRenderedPageBreak/>
        <w:t>composition de ces ensembles figure sur les plans et/ou dans les dessins de détail. Les différents éléments sont assemblés de manière à constituer en ensemble indéformable.</w:t>
      </w:r>
    </w:p>
    <w:p w14:paraId="2E68E970" w14:textId="77777777" w:rsidR="00772179" w:rsidRDefault="00000000">
      <w:pPr>
        <w:pStyle w:val="pheading"/>
      </w:pPr>
      <w:r>
        <w:t>EXÉCUTION / MISE EN ŒUVRE</w:t>
      </w:r>
    </w:p>
    <w:p w14:paraId="09D0315A" w14:textId="77777777" w:rsidR="00772179" w:rsidRDefault="00000000">
      <w:pPr>
        <w:jc w:val="both"/>
      </w:pPr>
      <w:r>
        <w:rPr>
          <w:b/>
        </w:rPr>
        <w:t> Généralités</w:t>
      </w:r>
    </w:p>
    <w:p w14:paraId="1301FE00" w14:textId="77777777" w:rsidR="00772179" w:rsidRDefault="00000000">
      <w:pPr>
        <w:pStyle w:val="Author-eListParagraph"/>
        <w:numPr>
          <w:ilvl w:val="0"/>
          <w:numId w:val="300"/>
        </w:numPr>
      </w:pPr>
      <w:r>
        <w:t>La menuiserie extérieure est posée conformément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4E79F13C" w14:textId="77777777" w:rsidR="00772179" w:rsidRDefault="00000000">
      <w:pPr>
        <w:pStyle w:val="Author-eListParagraph"/>
        <w:numPr>
          <w:ilvl w:val="0"/>
          <w:numId w:val="300"/>
        </w:numPr>
      </w:pPr>
      <w:r>
        <w:t>Les dimensions indiquées sur les plans et dans le métré sont celles du gros-œuvre tel qu'il doit être exécuté et sont donc purement indicatives. L'entrepreneur est tenu de prendre lui-même les mesures sur le chantier avant de procéder à la fabrication des éléments.</w:t>
      </w:r>
    </w:p>
    <w:p w14:paraId="37285D38" w14:textId="77777777" w:rsidR="00772179" w:rsidRDefault="00000000">
      <w:pPr>
        <w:pStyle w:val="Author-eListParagraph"/>
        <w:numPr>
          <w:ilvl w:val="0"/>
          <w:numId w:val="300"/>
        </w:numPr>
      </w:pPr>
      <w:r>
        <w:t>Les travaux sont exécutés par une firme spécialisée et par des ouvriers qualifiés.</w:t>
      </w:r>
    </w:p>
    <w:p w14:paraId="228CFFB1" w14:textId="77777777" w:rsidR="00772179" w:rsidRDefault="00772179"/>
    <w:p w14:paraId="1639F4AE" w14:textId="77777777" w:rsidR="00772179" w:rsidRDefault="00000000">
      <w:pPr>
        <w:jc w:val="both"/>
      </w:pPr>
      <w:r>
        <w:rPr>
          <w:b/>
        </w:rPr>
        <w:t>Livraison - Entreposage</w:t>
      </w:r>
    </w:p>
    <w:p w14:paraId="486C86B6" w14:textId="77777777" w:rsidR="00772179" w:rsidRDefault="00000000">
      <w:pPr>
        <w:pStyle w:val="Author-eListParagraph"/>
        <w:numPr>
          <w:ilvl w:val="0"/>
          <w:numId w:val="301"/>
        </w:numPr>
      </w:pPr>
      <w:r>
        <w:t>Les ensembles de portes ainsi que leurs accessoires sont transportés dans des circonstances qui protègent les matériaux contre toute dégradation. Ils sont soigneusement empilés et amarrés. L'entreposage sur le chantier est limité au minimum et surtout n'excède pas une semaine. Les éléments sont stockés à la verticale, à l'ombre et ne peuvent pas être entassés.</w:t>
      </w:r>
    </w:p>
    <w:p w14:paraId="0678C33F" w14:textId="77777777" w:rsidR="00772179" w:rsidRDefault="00000000">
      <w:pPr>
        <w:pStyle w:val="Author-eListParagraph"/>
        <w:numPr>
          <w:ilvl w:val="0"/>
          <w:numId w:val="301"/>
        </w:numPr>
      </w:pPr>
      <w:r>
        <w:t>Les feuilles de protection appliquées en usine sur les profils déjà laqués ne peuvent pas être enlevées plus tôt qu'un mois après la livraison sur le chantier. Ces mesures de protection essentielles servent à éviter que l'eau de pluie ou de condensation n'abîme les éléments avant qu'ils n'aient reçu leur traitement de surface définitif sur le chantier.  </w:t>
      </w:r>
    </w:p>
    <w:p w14:paraId="61E6F42B" w14:textId="77777777" w:rsidR="00772179" w:rsidRDefault="00772179"/>
    <w:p w14:paraId="7431FCDF" w14:textId="77777777" w:rsidR="00772179" w:rsidRDefault="00000000">
      <w:pPr>
        <w:jc w:val="both"/>
      </w:pPr>
      <w:r>
        <w:rPr>
          <w:b/>
        </w:rPr>
        <w:t>Montage</w:t>
      </w:r>
    </w:p>
    <w:p w14:paraId="3CBEDC64" w14:textId="77777777" w:rsidR="00772179" w:rsidRDefault="00000000">
      <w:pPr>
        <w:pStyle w:val="Author-eListParagraph"/>
        <w:numPr>
          <w:ilvl w:val="0"/>
          <w:numId w:val="302"/>
        </w:numPr>
      </w:pPr>
      <w:r>
        <w:t>La menuiserie extérieure est posée symétriquement dans la baie et ajustée à la distance requise du gros-œuvre en fonction du système de ragréage prévu. La disposition est parfaitement d'aplomb, de niveau et dans l'axe.</w:t>
      </w:r>
    </w:p>
    <w:p w14:paraId="0119B908" w14:textId="77777777" w:rsidR="00772179" w:rsidRDefault="00000000">
      <w:pPr>
        <w:pStyle w:val="Author-eListParagraph"/>
        <w:numPr>
          <w:ilvl w:val="0"/>
          <w:numId w:val="302"/>
        </w:numPr>
      </w:pPr>
      <w:r>
        <w:t xml:space="preserve">Lorsqu'il s'agit d'une maçonnerie de parement ordinaire, en fonction de la section du dormant des châssis, ≥ </w:t>
      </w:r>
      <w:r>
        <w:rPr>
          <w:rStyle w:val="optioncarChar"/>
        </w:rPr>
        <w:t>20 / 30 / ***</w:t>
      </w:r>
      <w:r>
        <w:t xml:space="preserve"> mm du profil du châssis est placé derrière le jour du gros-œuvre. A cet effet, une batée ≥ </w:t>
      </w:r>
      <w:r>
        <w:rPr>
          <w:rStyle w:val="optioncarChar"/>
        </w:rPr>
        <w:t>50 / ***</w:t>
      </w:r>
      <w:r>
        <w:t> mm, avec un écart dimensionnel ≤ 5 mm, est prévue dans le gros-œuvre. Les joints entre les châssis et les ouvertures réservées dans la maçonnerie ont une largeur de 5 à 10 mm.</w:t>
      </w:r>
    </w:p>
    <w:p w14:paraId="52DC0D12" w14:textId="77777777" w:rsidR="00772179" w:rsidRDefault="00000000">
      <w:pPr>
        <w:pStyle w:val="Author-eListParagraph"/>
        <w:numPr>
          <w:ilvl w:val="0"/>
          <w:numId w:val="302"/>
        </w:numPr>
      </w:pPr>
      <w:r>
        <w:t>Lorsque la façade est destinée à recevoir une isolation extérieure et/ou un revêtement de façade léger, le châssis est placé selon les dessins de détails et/ou en concertation avec les entrepreneurs du gros-œuvre et des plafonnages.</w:t>
      </w:r>
    </w:p>
    <w:p w14:paraId="5EEE48F9" w14:textId="77777777" w:rsidR="00772179" w:rsidRDefault="00772179"/>
    <w:p w14:paraId="7672712A" w14:textId="77777777" w:rsidR="00772179" w:rsidRDefault="00000000">
      <w:pPr>
        <w:jc w:val="both"/>
      </w:pPr>
      <w:r>
        <w:rPr>
          <w:b/>
        </w:rPr>
        <w:t>Ancrage Au Gros-Œuvre</w:t>
      </w:r>
    </w:p>
    <w:p w14:paraId="1F6C4A00" w14:textId="77777777" w:rsidR="00772179" w:rsidRDefault="00000000">
      <w:pPr>
        <w:pStyle w:val="Author-eListParagraph"/>
        <w:numPr>
          <w:ilvl w:val="0"/>
          <w:numId w:val="303"/>
        </w:numPr>
      </w:pPr>
      <w:r>
        <w:t>Les châssis sont fixés de manière telle que les sollicitations des châssis sont transférées sur le gros-œuvre et que les tassements du bâtiment n'ont pas d'influence sur la menuiserie extérieure. Après la pose, le châssis ne peut pas se gauchir. La fixation est effectuée à l'aide de docs ou de vis et chevilles directement forées dans le mur. Le nombre de points de fixation est suffisant pour résister aux actions du vents et à toute autre sollicitation éventuelle avec un coefficient de sécurité d'au moins 3. Tous les moyens de fixation sont fabriqués en acier inoxydable ou galvanisé (375 g/m²).</w:t>
      </w:r>
    </w:p>
    <w:p w14:paraId="185FB1A7" w14:textId="77777777" w:rsidR="00772179" w:rsidRDefault="00000000">
      <w:pPr>
        <w:pStyle w:val="Author-eListParagraph"/>
        <w:numPr>
          <w:ilvl w:val="0"/>
          <w:numId w:val="303"/>
        </w:numPr>
      </w:pPr>
      <w:r>
        <w:t>Afin de prévenir toute transmission de froid entre les murs et les châssis, les pattes d'ancrage sont en principe fixées derrière l'isolation du mur intérieur. Les fixations au mur extérieur sont uniquement autorisées lorsqu'on utilise des pattes d'ancrage spécialement isolées.</w:t>
      </w:r>
    </w:p>
    <w:p w14:paraId="2A2F0A5E" w14:textId="77777777" w:rsidR="00772179" w:rsidRDefault="00000000">
      <w:pPr>
        <w:pStyle w:val="Author-eListParagraph"/>
        <w:numPr>
          <w:ilvl w:val="0"/>
          <w:numId w:val="303"/>
        </w:numPr>
      </w:pPr>
      <w:r>
        <w:lastRenderedPageBreak/>
        <w:t xml:space="preserve">Les fixations aux montants verticaux et aux traverses inférieure et supérieure du dormant sont respectivement prévues : </w:t>
      </w:r>
    </w:p>
    <w:p w14:paraId="69AD828D" w14:textId="77777777" w:rsidR="00772179" w:rsidRDefault="00000000">
      <w:pPr>
        <w:pStyle w:val="Author-eListParagraph"/>
        <w:numPr>
          <w:ilvl w:val="1"/>
          <w:numId w:val="304"/>
        </w:numPr>
      </w:pPr>
      <w:r>
        <w:t>en hauteur : au moins deux à une distance d'environ 20 cm de chaque angle, à hauteur des charnières et ensuite avec un espacement maximal de respectivement 60cm pour les portes en aluminium.</w:t>
      </w:r>
    </w:p>
    <w:p w14:paraId="40764339" w14:textId="77777777" w:rsidR="00772179" w:rsidRDefault="00000000">
      <w:pPr>
        <w:pStyle w:val="Author-eListParagraph"/>
        <w:numPr>
          <w:ilvl w:val="1"/>
          <w:numId w:val="304"/>
        </w:numPr>
      </w:pPr>
      <w:r>
        <w:t>en largeur : au moins une fixation par 1 m de largeur et au moins une fixation à hauteur de chaque montant intermédiaire ainsi qu'aux endroits les plus sollicités afin de prévenir toute déformation de la pièce.</w:t>
      </w:r>
    </w:p>
    <w:p w14:paraId="13FDC00B" w14:textId="77777777" w:rsidR="00772179" w:rsidRDefault="00000000">
      <w:pPr>
        <w:pStyle w:val="Author-eListParagraph"/>
        <w:numPr>
          <w:ilvl w:val="1"/>
          <w:numId w:val="304"/>
        </w:numPr>
      </w:pPr>
      <w:r>
        <w:t>des fixations supplémentaires peuvent toujours être prévues afin de répondre à des exigences particulières qui s'imposent par le vitrage et/ou la prévention anti-effraction.</w:t>
      </w:r>
    </w:p>
    <w:p w14:paraId="08BD33C6" w14:textId="77777777" w:rsidR="00772179" w:rsidRDefault="00772179"/>
    <w:p w14:paraId="5D77FB3C" w14:textId="77777777" w:rsidR="00772179" w:rsidRDefault="00000000">
      <w:pPr>
        <w:jc w:val="both"/>
      </w:pPr>
      <w:r>
        <w:rPr>
          <w:b/>
        </w:rPr>
        <w:t>Jonction Avec Le Gros-Œuvre</w:t>
      </w:r>
    </w:p>
    <w:p w14:paraId="5EEE1180" w14:textId="77777777" w:rsidR="00772179" w:rsidRDefault="00000000">
      <w:pPr>
        <w:pStyle w:val="Author-eListParagraph"/>
        <w:numPr>
          <w:ilvl w:val="0"/>
          <w:numId w:val="305"/>
        </w:numPr>
      </w:pPr>
      <w:r>
        <w:t>La menuiserie extérieure est isolée tout autour du gros-œuvre. La pose garantit une jonction parfaite avec le gros-œuvre.</w:t>
      </w:r>
    </w:p>
    <w:p w14:paraId="6E223A22" w14:textId="77777777" w:rsidR="00772179" w:rsidRDefault="00000000">
      <w:pPr>
        <w:pStyle w:val="Author-eListParagraph"/>
        <w:numPr>
          <w:ilvl w:val="0"/>
          <w:numId w:val="305"/>
        </w:numPr>
      </w:pPr>
      <w:r>
        <w:t>Les châssis posés directement dans le parement sont pourvus des bavettes et des couches d'étanchéité nécessaires (conformément aux indications sur les plans de détail).</w:t>
      </w:r>
    </w:p>
    <w:p w14:paraId="321D1400" w14:textId="77777777" w:rsidR="00772179" w:rsidRDefault="00000000">
      <w:pPr>
        <w:pStyle w:val="Author-eListParagraph"/>
        <w:numPr>
          <w:ilvl w:val="0"/>
          <w:numId w:val="305"/>
        </w:numPr>
      </w:pPr>
      <w:r>
        <w:t>L'étanchéité est obtenue en utilisant les cordons d'étanchéité appropriés et les mastics élastiques adaptés. Les faces d'adhérence sont propres, sèches et exemptes de poussière. Les éclaboussures de mortier sont préalablement enlevées.</w:t>
      </w:r>
    </w:p>
    <w:p w14:paraId="20952256" w14:textId="77777777" w:rsidR="00772179" w:rsidRDefault="00000000">
      <w:pPr>
        <w:pStyle w:val="Author-eListParagraph"/>
        <w:numPr>
          <w:ilvl w:val="0"/>
          <w:numId w:val="305"/>
        </w:numPr>
      </w:pPr>
      <w:r>
        <w:t>Au droit du seuil on place un cordon d'étanchéité qui est partiellement comprimé de manière à réaliser un joint d'étanchéité. Dans la partie supérieure et sur les côtés de la maçonnerie extérieure, on pose un cordon ou une bande qui doit servir de fond à un mastic d'étanchéité appliqué au pistolet. Comme les joints plastiques peuvent uniquement adhérer dans deux directions, ils sont appliqués sur un support qui ne présente aucune adhérence au joint.</w:t>
      </w:r>
    </w:p>
    <w:p w14:paraId="14530B05" w14:textId="77777777" w:rsidR="00772179" w:rsidRDefault="00000000">
      <w:pPr>
        <w:pStyle w:val="Author-eListParagraph"/>
        <w:numPr>
          <w:ilvl w:val="0"/>
          <w:numId w:val="305"/>
        </w:numPr>
      </w:pPr>
      <w:r>
        <w:t xml:space="preserve">Les cordons d'étanchéité sont posés dans les plus grandes longueurs possibles et de façon rectiligne. Le support se compose d'une matière plastique à structure cellulaire fermée suffisamment compressible afin de caler le châssis contre les éléments du gros-œuvre. </w:t>
      </w:r>
    </w:p>
    <w:p w14:paraId="50DA871F" w14:textId="77777777" w:rsidR="00772179" w:rsidRDefault="00000000">
      <w:pPr>
        <w:pStyle w:val="Author-eListParagraph"/>
        <w:numPr>
          <w:ilvl w:val="1"/>
          <w:numId w:val="306"/>
        </w:numPr>
      </w:pPr>
      <w:r>
        <w:t xml:space="preserve">La largeur de la bande d'étanchéité ( = profondeur du remplissage) est d'au moins  </w:t>
      </w:r>
      <w:r>
        <w:rPr>
          <w:rStyle w:val="optioncarChar"/>
        </w:rPr>
        <w:t xml:space="preserve">20  </w:t>
      </w:r>
      <w:r>
        <w:t>(par défaut)</w:t>
      </w:r>
      <w:r>
        <w:rPr>
          <w:rStyle w:val="optioncarChar"/>
        </w:rPr>
        <w:t xml:space="preserve"> / ***</w:t>
      </w:r>
      <w:r>
        <w:t xml:space="preserve"> mm. </w:t>
      </w:r>
    </w:p>
    <w:p w14:paraId="6A7E94F7" w14:textId="77777777" w:rsidR="00772179" w:rsidRDefault="00000000">
      <w:pPr>
        <w:pStyle w:val="Author-eListParagraph"/>
        <w:numPr>
          <w:ilvl w:val="1"/>
          <w:numId w:val="306"/>
        </w:numPr>
      </w:pPr>
      <w:r>
        <w:t xml:space="preserve">L'épaisseur du joint est ≥ 5 mm et ≤ </w:t>
      </w:r>
      <w:r>
        <w:rPr>
          <w:rStyle w:val="optioncarChar"/>
        </w:rPr>
        <w:t xml:space="preserve">10 / 12 </w:t>
      </w:r>
      <w:r>
        <w:t>(par défaut)</w:t>
      </w:r>
      <w:r>
        <w:rPr>
          <w:rStyle w:val="optioncarChar"/>
        </w:rPr>
        <w:t xml:space="preserve"> / 15 / ***</w:t>
      </w:r>
      <w:r>
        <w:t xml:space="preserve"> mm. </w:t>
      </w:r>
    </w:p>
    <w:p w14:paraId="1525A65E" w14:textId="77777777" w:rsidR="00772179" w:rsidRDefault="00000000">
      <w:pPr>
        <w:ind w:left="567"/>
        <w:jc w:val="both"/>
      </w:pPr>
      <w:r>
        <w:t xml:space="preserve">Les cordons d'étanchéité sont posés conformément aux prescriptions du fabricant. Ces supports sont chimiquement compatibles avec la nature des profils prescrits et avec le mastic d'étanchéité. </w:t>
      </w:r>
    </w:p>
    <w:p w14:paraId="606C276F" w14:textId="77777777" w:rsidR="00772179" w:rsidRDefault="00772179">
      <w:pPr>
        <w:ind w:left="567"/>
        <w:jc w:val="both"/>
      </w:pPr>
    </w:p>
    <w:p w14:paraId="3031AB83" w14:textId="77777777" w:rsidR="00772179" w:rsidRDefault="00000000">
      <w:pPr>
        <w:ind w:left="567"/>
        <w:jc w:val="both"/>
      </w:pPr>
      <w:r>
        <w:t xml:space="preserve">Ce dernier est en </w:t>
      </w:r>
      <w:r>
        <w:rPr>
          <w:rStyle w:val="optioncarChar"/>
        </w:rPr>
        <w:t xml:space="preserve">polyuréthane imbibé </w:t>
      </w:r>
      <w:r>
        <w:t xml:space="preserve">(par défaut) </w:t>
      </w:r>
      <w:r>
        <w:rPr>
          <w:rStyle w:val="optioncarChar"/>
        </w:rPr>
        <w:t>/ polyuréthane imprégné</w:t>
      </w:r>
    </w:p>
    <w:p w14:paraId="7C8D806D" w14:textId="77777777" w:rsidR="00772179" w:rsidRDefault="00000000">
      <w:pPr>
        <w:ind w:left="1134"/>
        <w:jc w:val="both"/>
      </w:pPr>
      <w:r>
        <w:rPr>
          <w:b/>
          <w:i/>
        </w:rPr>
        <w:t>(Soit par défaut) </w:t>
      </w:r>
    </w:p>
    <w:p w14:paraId="5B84CC82" w14:textId="77777777" w:rsidR="00772179" w:rsidRDefault="00772179">
      <w:pPr>
        <w:ind w:left="1134"/>
        <w:jc w:val="both"/>
      </w:pPr>
    </w:p>
    <w:p w14:paraId="10A67B42" w14:textId="77777777" w:rsidR="00772179" w:rsidRDefault="00000000">
      <w:pPr>
        <w:ind w:left="1134"/>
        <w:jc w:val="both"/>
      </w:pPr>
      <w:r>
        <w:rPr>
          <w:rStyle w:val="soitChar"/>
          <w:u w:val="single"/>
        </w:rPr>
        <w:t>Polyuréthane multiforme</w:t>
      </w:r>
      <w:r>
        <w:rPr>
          <w:rStyle w:val="soitChar"/>
        </w:rPr>
        <w:t xml:space="preserve"> à structure cellulaire ouverte qui est complètement imbibée de bitume. Pour l'étanchéité aux pluies battantes, on utilise une bande d'une épaisseur de 5 x la largeur du joint.</w:t>
      </w:r>
    </w:p>
    <w:p w14:paraId="5DD35942" w14:textId="77777777" w:rsidR="00772179" w:rsidRDefault="00772179">
      <w:pPr>
        <w:ind w:left="1134"/>
        <w:jc w:val="both"/>
      </w:pPr>
    </w:p>
    <w:p w14:paraId="1014215B" w14:textId="77777777" w:rsidR="00772179" w:rsidRDefault="00000000">
      <w:pPr>
        <w:ind w:left="1134"/>
        <w:jc w:val="both"/>
      </w:pPr>
      <w:r>
        <w:rPr>
          <w:b/>
          <w:i/>
        </w:rPr>
        <w:t>(Soit)</w:t>
      </w:r>
    </w:p>
    <w:p w14:paraId="6F505481" w14:textId="77777777" w:rsidR="00772179" w:rsidRDefault="00772179">
      <w:pPr>
        <w:ind w:left="1134"/>
        <w:jc w:val="both"/>
      </w:pPr>
    </w:p>
    <w:p w14:paraId="77C6DEC2" w14:textId="77777777" w:rsidR="00772179" w:rsidRDefault="00000000">
      <w:pPr>
        <w:ind w:left="1134"/>
        <w:jc w:val="both"/>
      </w:pPr>
      <w:r>
        <w:rPr>
          <w:rStyle w:val="soitChar"/>
          <w:u w:val="single"/>
        </w:rPr>
        <w:t>Mousse de polyuréthane imprégnée</w:t>
      </w:r>
      <w:r>
        <w:rPr>
          <w:rStyle w:val="soitChar"/>
        </w:rPr>
        <w:t xml:space="preserve"> d'un produit à base de paraffine chlorée, de cire ou de néoprène. Le cordon d'étanchéité est préalablement comprimé et se gonfle lentement après sa mise en place jusqu' à 20% de son épaisseur nominale, rendant ainsi le joint étanche aux pluies battantes.</w:t>
      </w:r>
    </w:p>
    <w:p w14:paraId="235CA919" w14:textId="77777777" w:rsidR="00772179" w:rsidRDefault="00000000">
      <w:pPr>
        <w:pStyle w:val="Author-eListParagraph"/>
        <w:numPr>
          <w:ilvl w:val="0"/>
          <w:numId w:val="307"/>
        </w:numPr>
        <w:jc w:val="both"/>
      </w:pPr>
      <w:r>
        <w:lastRenderedPageBreak/>
        <w:t xml:space="preserve">La classe des mastics et les dimensions des joints sont déterminées en fonction des différentes circonstances qui ont de l'influence sur la menuiserie extérieure. Seuls les joints plastiques ayant obtenu l'agrément technique peuvent être utilisés (au moins un mastic élastique, un caoutchouc butylique sans huile, un joint acrylique ou silicone, soit classe 4 selon la [NBN S 23-002]). </w:t>
      </w:r>
      <w:r>
        <w:rPr>
          <w:rStyle w:val="optioncarChar"/>
        </w:rPr>
        <w:t xml:space="preserve">Le joint doit pouvoir être peint par la suite </w:t>
      </w:r>
      <w:r>
        <w:t>(par défaut)</w:t>
      </w:r>
      <w:r>
        <w:rPr>
          <w:rStyle w:val="optioncarChar"/>
        </w:rPr>
        <w:t> / La couleur du joint est assortie à celle de la menuiserie / blanc / gris clair / gris foncé / brun foncé /  ***.</w:t>
      </w:r>
    </w:p>
    <w:p w14:paraId="34CFD7DC" w14:textId="77777777" w:rsidR="00772179" w:rsidRDefault="00000000">
      <w:pPr>
        <w:pStyle w:val="Author-eListParagraph"/>
        <w:numPr>
          <w:ilvl w:val="0"/>
          <w:numId w:val="307"/>
        </w:numPr>
        <w:jc w:val="both"/>
      </w:pPr>
      <w:r>
        <w:t>Conformément à l'élément 01.44 PSS travaux de façade, établi par le coordinateur-projet et annexée au cahier spécial des charges. Toutes les directives en la matière et les indications concrètes données par le coordinateur-réalisation sont scrupuleusement respectées.  </w:t>
      </w:r>
    </w:p>
    <w:p w14:paraId="2498DA1B" w14:textId="77777777" w:rsidR="00772179" w:rsidRDefault="00000000">
      <w:pPr>
        <w:pStyle w:val="pheading"/>
      </w:pPr>
      <w:r>
        <w:t>CONTRÔLES</w:t>
      </w:r>
    </w:p>
    <w:p w14:paraId="16F406B7" w14:textId="77777777" w:rsidR="00772179" w:rsidRDefault="00000000">
      <w:r>
        <w:t>[STS 53.1, Portes]</w:t>
      </w:r>
    </w:p>
    <w:p w14:paraId="2AB26A35" w14:textId="77777777" w:rsidR="00772179" w:rsidRDefault="00000000">
      <w:r>
        <w:t>[NBN EN 951, Vantaux de portes - Méthode de mesure des hauteur, largeur, épaisseur et équerrage]</w:t>
      </w:r>
      <w:r>
        <w:br/>
      </w:r>
      <w:r>
        <w:br/>
        <w:t>[NBN EN 947, Portes battantes ou pivotantes - Détermination de la résistance à la charge verticale]</w:t>
      </w:r>
    </w:p>
    <w:p w14:paraId="19A130EC" w14:textId="77777777" w:rsidR="00772179" w:rsidRDefault="00000000">
      <w:r>
        <w:t>[NBN EN 949, Fenêtres et façades-rideaux, portes, stores et fermetures - Détermination de la résistance au choc de corps mou et lourd pour les portes]</w:t>
      </w:r>
      <w:r>
        <w:br/>
      </w:r>
      <w:r>
        <w:br/>
        <w:t>[NBN B 25-210, Méthodes d'essais des fenêtres - Essais mécaniques (norme européenne EN 107-1980)]</w:t>
      </w:r>
    </w:p>
    <w:p w14:paraId="57DE9404" w14:textId="77777777" w:rsidR="00772179" w:rsidRDefault="00000000">
      <w:pPr>
        <w:jc w:val="both"/>
      </w:pPr>
      <w:r>
        <w:rPr>
          <w:b/>
        </w:rPr>
        <w:t>Essais</w:t>
      </w:r>
    </w:p>
    <w:p w14:paraId="10E145D5" w14:textId="77777777" w:rsidR="00772179" w:rsidRDefault="00000000">
      <w:pPr>
        <w:pStyle w:val="Author-eListParagraph"/>
        <w:numPr>
          <w:ilvl w:val="0"/>
          <w:numId w:val="308"/>
        </w:numPr>
      </w:pPr>
      <w:r>
        <w:t>Lorsque les châssis de portes disposent de critère d’acceptabilité tels que défini au chapitre 02.42.1 Critères d'acceptabilité, cela peut donner lieu à certaines dérogations par rapport à la [NBN EN 14351-1:2006+A2] ou aux [STS 53.1]. En cas de doute au sujet de la provenance des profils ou des caractéristiques des ensembles de portes, l'administration se réserve le droit de faire effectuer au préalable des essais fonctionnels sur un élément qu'elle aura choisi.</w:t>
      </w:r>
    </w:p>
    <w:p w14:paraId="2D40B0D5" w14:textId="77777777" w:rsidR="00772179" w:rsidRDefault="00000000">
      <w:pPr>
        <w:pStyle w:val="Author-eListParagraph"/>
        <w:numPr>
          <w:ilvl w:val="0"/>
          <w:numId w:val="308"/>
        </w:numPr>
      </w:pPr>
      <w:r>
        <w:t>Lorsque l'ensemble du poste "menuiserie extérieure" s'élève à moins de 75.000,00 Euros, les essais sont réalisés aux frais du perdant. Pour les montants supérieurs, un essai est systématiquement exigé dont les frais sont intégralement supportés par l'entrepreneur jusqu'à ce que satisfaction complète soit obtenue. Si l'élément de menuiserie ne satisfait pas aux essais fonctionnels, l'administration est en droit d'imposer une nouvelle série d'essais fonctionnels.</w:t>
      </w:r>
    </w:p>
    <w:p w14:paraId="25CC948D" w14:textId="77777777" w:rsidR="00772179" w:rsidRDefault="00000000">
      <w:pPr>
        <w:pStyle w:val="Author-eListParagraph"/>
        <w:numPr>
          <w:ilvl w:val="0"/>
          <w:numId w:val="308"/>
        </w:numPr>
      </w:pPr>
      <w:r>
        <w:t>Les essais fonctionnels sont exécutés par un laboratoire indépendant agréé, sous la supervision de l'administration, selon la [STS 53.1] : il ne peut se produire de déformation durable ni se présenter un trop grand jeu dans les parties mobiles ou les accessoires. En outre, il ne peut se produire de dégradations à la surface des traverses inférieures ou aux pivots ou à d'autres parties du système de fermeture.</w:t>
      </w:r>
    </w:p>
    <w:p w14:paraId="346BAF67" w14:textId="77777777" w:rsidR="00772179" w:rsidRDefault="00000000">
      <w:pPr>
        <w:pStyle w:val="Author-eListParagraph"/>
        <w:numPr>
          <w:ilvl w:val="0"/>
          <w:numId w:val="308"/>
        </w:numPr>
      </w:pPr>
      <w:r>
        <w:t>La porte testée et approuvée est marquée et conservée sur le chantier comme référence. Il peut être placé, mais sera réservé en dernier. Au cas où les produits ne satisfont pas aux essais, l'auteur de projet peut faire arrêter les travaux immédiatement.</w:t>
      </w:r>
    </w:p>
    <w:p w14:paraId="2234D584" w14:textId="77777777" w:rsidR="00772179" w:rsidRDefault="00772179"/>
    <w:p w14:paraId="5FEFED49" w14:textId="77777777" w:rsidR="00772179" w:rsidRDefault="00000000">
      <w:pPr>
        <w:jc w:val="both"/>
      </w:pPr>
      <w:r>
        <w:rPr>
          <w:b/>
        </w:rPr>
        <w:t>Tolérances</w:t>
      </w:r>
    </w:p>
    <w:p w14:paraId="126EFC8A" w14:textId="77777777" w:rsidR="00772179" w:rsidRDefault="00000000">
      <w:pPr>
        <w:jc w:val="both"/>
      </w:pPr>
      <w:r>
        <w:t xml:space="preserve">Les écarts dimensionnels admissibles en largeur et en hauteur pour les vantaux ouvrants, mesurés dans les feuillures des vitrages sont définis dans les [STS 53.1] et la classe de tolérance est reprise dans l’élément </w:t>
      </w:r>
      <w:hyperlink w:anchor="904" w:history="1">
        <w:r>
          <w:rPr>
            <w:color w:val="0000EE"/>
          </w:rPr>
          <w:t>41.2 Portes d'entrée</w:t>
        </w:r>
      </w:hyperlink>
      <w:r>
        <w:t>.  </w:t>
      </w:r>
    </w:p>
    <w:p w14:paraId="46DAE6A4" w14:textId="77777777" w:rsidR="00772179" w:rsidRDefault="00000000">
      <w:pPr>
        <w:jc w:val="both"/>
      </w:pPr>
      <w:r>
        <w:rPr>
          <w:b/>
        </w:rPr>
        <w:t>Pose</w:t>
      </w:r>
    </w:p>
    <w:p w14:paraId="56CEF75F" w14:textId="77777777" w:rsidR="00772179" w:rsidRDefault="00000000">
      <w:pPr>
        <w:jc w:val="both"/>
      </w:pPr>
      <w:r>
        <w:t>La dégradation des profils suite à la mise en place, griffes, évidements ou mauvaise fixation entraîne le refus et le remplacement de l'élément.</w:t>
      </w:r>
    </w:p>
    <w:p w14:paraId="5CF4D086" w14:textId="77777777" w:rsidR="00772179" w:rsidRDefault="00000000">
      <w:pPr>
        <w:pStyle w:val="pheading"/>
      </w:pPr>
      <w:r>
        <w:t>DOCUMENTS DE RÉFÉRENCE</w:t>
      </w:r>
    </w:p>
    <w:p w14:paraId="36F09CCA" w14:textId="77777777" w:rsidR="00772179" w:rsidRDefault="00000000">
      <w:pPr>
        <w:pStyle w:val="pheading"/>
      </w:pPr>
      <w:r>
        <w:lastRenderedPageBreak/>
        <w:t>- Matériau</w:t>
      </w:r>
    </w:p>
    <w:p w14:paraId="47BBD1BE" w14:textId="77777777" w:rsidR="00772179" w:rsidRDefault="00000000">
      <w:r>
        <w:t>[STS 53.1, Portes]</w:t>
      </w:r>
    </w:p>
    <w:p w14:paraId="0B6A3022" w14:textId="77777777" w:rsidR="00772179" w:rsidRDefault="00000000">
      <w:r>
        <w:t>[NIT 283, La pose des menuiseries extérieures. Partie 1 : aspects généraux.]</w:t>
      </w:r>
    </w:p>
    <w:p w14:paraId="03C52E1F" w14:textId="77777777" w:rsidR="00772179" w:rsidRDefault="00000000">
      <w:r>
        <w:t>[CoDT, Code du Développement Territorial]</w:t>
      </w:r>
    </w:p>
    <w:p w14:paraId="3E86FD5B" w14:textId="77777777" w:rsidR="00772179" w:rsidRDefault="00000000">
      <w:r>
        <w:t>[NIT 258, Guide pratique des systèmes de ventilation de base des logements.]</w:t>
      </w:r>
      <w:r>
        <w:br/>
      </w:r>
      <w:r>
        <w:br/>
        <w:t>[NBN EN 1627 à 1630 série, Blocs-portes pour piétons, fenêtres, façades rideaux, grilles et fermetures - Résistance à l'effraction]</w:t>
      </w:r>
    </w:p>
    <w:p w14:paraId="5BB25856" w14:textId="77777777" w:rsidR="00772179" w:rsidRDefault="00000000">
      <w:r>
        <w:t>[NBN EN 1026, Fenêtres et portes - Perméabilité à l'air - Méthode d'essai]</w:t>
      </w:r>
      <w:r>
        <w:br/>
      </w:r>
      <w:r>
        <w:br/>
        <w:t>[NBN EN 12207, Fenêtres et portes - Perméabilité à l'air - Classification]</w:t>
      </w:r>
    </w:p>
    <w:p w14:paraId="63F3B1A2" w14:textId="77777777" w:rsidR="00772179" w:rsidRDefault="00000000">
      <w:r>
        <w:t>[NBN EN 12211, Fenêtres et portes - Résistance au vent - Méthode d’essai]</w:t>
      </w:r>
    </w:p>
    <w:p w14:paraId="16F27E41" w14:textId="77777777" w:rsidR="00772179" w:rsidRDefault="00000000">
      <w:r>
        <w:t>[NBN EN 12210, Fenêtres et portes - Résistance au vent - Classification]</w:t>
      </w:r>
    </w:p>
    <w:p w14:paraId="6FE23464" w14:textId="77777777" w:rsidR="00772179" w:rsidRDefault="00000000">
      <w:r>
        <w:t>[NBN EN 1027, Fenêtres et portes - Etanchéité à l'eau - Méthode d'essai]</w:t>
      </w:r>
    </w:p>
    <w:p w14:paraId="5400C3AF" w14:textId="77777777" w:rsidR="00772179" w:rsidRDefault="00000000">
      <w:r>
        <w:t>[NBN EN 12208, Fenêtres et portes - Perméabilité à l'eau - Classification]</w:t>
      </w:r>
    </w:p>
    <w:p w14:paraId="3C5FE505" w14:textId="77777777" w:rsidR="00772179" w:rsidRDefault="00000000">
      <w:pPr>
        <w:jc w:val="both"/>
      </w:pPr>
      <w:r>
        <w:rPr>
          <w:b/>
        </w:rPr>
        <w:t>Les Menuiseries Devront Répondre Aux Directives Suivantes :</w:t>
      </w:r>
    </w:p>
    <w:p w14:paraId="45E1BF7E" w14:textId="77777777" w:rsidR="00772179" w:rsidRDefault="00000000">
      <w:pPr>
        <w:pStyle w:val="Author-eListParagraph"/>
        <w:numPr>
          <w:ilvl w:val="0"/>
          <w:numId w:val="309"/>
        </w:numPr>
      </w:pPr>
      <w:r>
        <w:t>Base légale [Directive 98/34/CE, Directive du Parlement européen et du Conseil prévoyant une procédure d'information dans le domaine des normes et réglementations techniques]</w:t>
      </w:r>
    </w:p>
    <w:p w14:paraId="007C13FA" w14:textId="77777777" w:rsidR="00772179" w:rsidRDefault="00000000">
      <w:pPr>
        <w:jc w:val="both"/>
      </w:pPr>
      <w:r>
        <w:rPr>
          <w:b/>
        </w:rPr>
        <w:t>Les Autres Directives Applicables :</w:t>
      </w:r>
    </w:p>
    <w:p w14:paraId="33171113" w14:textId="77777777" w:rsidR="00772179" w:rsidRDefault="00000000">
      <w:pPr>
        <w:pStyle w:val="Author-eListParagraph"/>
        <w:numPr>
          <w:ilvl w:val="0"/>
          <w:numId w:val="310"/>
        </w:numPr>
      </w:pPr>
      <w:r>
        <w:t>[Directive 93/36/CEE, Directive du Conseil de l'Europe portant coordination des procédures de passation des marchés publics de fournitures]</w:t>
      </w:r>
    </w:p>
    <w:p w14:paraId="16F6C2AC" w14:textId="77777777" w:rsidR="00772179" w:rsidRDefault="00000000">
      <w:pPr>
        <w:pStyle w:val="Author-eListParagraph"/>
        <w:numPr>
          <w:ilvl w:val="0"/>
          <w:numId w:val="310"/>
        </w:numPr>
      </w:pPr>
      <w:r>
        <w:t>[Directive 93/37/CEE, Directive du Conseil de l'Europe portant coordination des procédures de passation des marchés publics de travaux]</w:t>
      </w:r>
    </w:p>
    <w:p w14:paraId="13970B61" w14:textId="77777777" w:rsidR="00772179" w:rsidRDefault="00000000">
      <w:pPr>
        <w:pStyle w:val="Author-eListParagraph"/>
        <w:numPr>
          <w:ilvl w:val="0"/>
          <w:numId w:val="310"/>
        </w:numPr>
      </w:pPr>
      <w:r>
        <w:t>[Directive 85/374/CEE, Directive du Conseil de l'Europe relative au rapprochement des dispositions législatives, réglementaires et administratives des États membres en matière de responsabilité du fait des produits défectueux]</w:t>
      </w:r>
    </w:p>
    <w:p w14:paraId="249C3DA0" w14:textId="77777777" w:rsidR="00772179" w:rsidRDefault="00000000">
      <w:pPr>
        <w:pStyle w:val="Author-eListParagraph"/>
        <w:numPr>
          <w:ilvl w:val="0"/>
          <w:numId w:val="310"/>
        </w:numPr>
      </w:pPr>
      <w:r>
        <w:t>[Règlement (UE) 2023/988, Règlement du Parlement européen et du Conseil relatif à la sécurité générale des produits, modifiant le règlement (UE) no 1025/2012 du Parlement européen et du Conseil et la directive (UE) 2020/1828 du Parlement européen et du Conseil, et abrogeant la directive 2001/95/CE du Parlement européen et du Conseil et la directive 87/357/CEE du Conseil]</w:t>
      </w:r>
    </w:p>
    <w:p w14:paraId="18F4F9DB" w14:textId="77777777" w:rsidR="00772179" w:rsidRDefault="00000000">
      <w:pPr>
        <w:pStyle w:val="Author-eListParagraph"/>
        <w:numPr>
          <w:ilvl w:val="0"/>
          <w:numId w:val="310"/>
        </w:numPr>
      </w:pPr>
      <w:r>
        <w:t>[Décision 93/465/CEE, Décision du Conseil concernant les modules relatifs aux différentes phases des procédures d'évaluation de la conformité et les règles d'apposition et d'utilisation du marquage «CE» de conformité, destinés à être utilisés dans les directives d'harmonisation technique]</w:t>
      </w:r>
    </w:p>
    <w:p w14:paraId="092216C6" w14:textId="77777777" w:rsidR="00772179" w:rsidRDefault="00000000">
      <w:pPr>
        <w:pStyle w:val="Author-eListParagraph"/>
        <w:numPr>
          <w:ilvl w:val="0"/>
          <w:numId w:val="310"/>
        </w:numPr>
      </w:pPr>
      <w:r>
        <w:t>[Directive 73/23/CEE, Directive du Conseil concernant le rapprochement des législations des États membres relatives au matériel électrique destiné à être employé dans certaines limites de tension]</w:t>
      </w:r>
    </w:p>
    <w:p w14:paraId="7BD05B57" w14:textId="77777777" w:rsidR="00772179" w:rsidRDefault="00000000">
      <w:pPr>
        <w:pStyle w:val="Author-eListParagraph"/>
        <w:numPr>
          <w:ilvl w:val="0"/>
          <w:numId w:val="310"/>
        </w:numPr>
      </w:pPr>
      <w:r>
        <w:t>[Directive 89/106/CEE, Directive du Conseil de l'Europe relative au rapprochement des dispositions législatives, réglementaires et administratives des États membres concernant les produits de construction]</w:t>
      </w:r>
    </w:p>
    <w:p w14:paraId="034D2403" w14:textId="77777777" w:rsidR="00772179" w:rsidRDefault="00000000">
      <w:pPr>
        <w:pStyle w:val="Author-eListParagraph"/>
        <w:numPr>
          <w:ilvl w:val="0"/>
          <w:numId w:val="310"/>
        </w:numPr>
      </w:pPr>
      <w:r>
        <w:t>[Règlement 2016/425/UE, Règlement du Parlement européen et du Conseil relatif aux équipements de protection individuelle et abrogeant la directive 89/686/CEE du Conseil]</w:t>
      </w:r>
    </w:p>
    <w:p w14:paraId="416B4BA6" w14:textId="77777777" w:rsidR="00772179" w:rsidRDefault="00000000">
      <w:pPr>
        <w:pStyle w:val="Author-eListParagraph"/>
        <w:numPr>
          <w:ilvl w:val="0"/>
          <w:numId w:val="310"/>
        </w:numPr>
      </w:pPr>
      <w:r>
        <w:t>[Directive 98/13/CE, Directive du Parlement européen et du Conseil concernant les équipements terminaux de télécommunications et les équipements de stations terrestres de communications par satellite, incluant la reconnaissance mutuelle de leur conformité]</w:t>
      </w:r>
    </w:p>
    <w:p w14:paraId="4C4200DD" w14:textId="77777777" w:rsidR="00772179" w:rsidRDefault="00000000">
      <w:pPr>
        <w:pStyle w:val="Author-eListParagraph"/>
        <w:numPr>
          <w:ilvl w:val="0"/>
          <w:numId w:val="310"/>
        </w:numPr>
      </w:pPr>
      <w:r>
        <w:t>[Directive 99/5/CE, Directive du Parlement européen et du Conseil concernant les équipements hertziens et les équipements terminaux de télécommunications et la reconnaissance mutuelle de leur conformité]</w:t>
      </w:r>
    </w:p>
    <w:p w14:paraId="1B27FBCC" w14:textId="77777777" w:rsidR="00772179" w:rsidRDefault="00772179"/>
    <w:p w14:paraId="67F38EF5" w14:textId="77777777" w:rsidR="00772179" w:rsidRDefault="00000000">
      <w:pPr>
        <w:jc w:val="both"/>
      </w:pPr>
      <w:r>
        <w:rPr>
          <w:b/>
        </w:rPr>
        <w:t>Normes Et Planning : </w:t>
      </w:r>
    </w:p>
    <w:p w14:paraId="05C042A5" w14:textId="77777777" w:rsidR="00772179" w:rsidRDefault="00000000">
      <w:pPr>
        <w:pStyle w:val="Author-eListParagraph"/>
        <w:numPr>
          <w:ilvl w:val="0"/>
          <w:numId w:val="311"/>
        </w:numPr>
      </w:pPr>
      <w:r>
        <w:t>[NBN EN 14351-1:2006+A2, Fenêtres et portes - Norme produit, caractéristiques de performance - Partie 1 : Fenêtres et blocs portes extérieurs pour piétons]</w:t>
      </w:r>
    </w:p>
    <w:p w14:paraId="3BC96E29" w14:textId="77777777" w:rsidR="00772179" w:rsidRDefault="00772179"/>
    <w:p w14:paraId="3993F9E8" w14:textId="77777777" w:rsidR="00772179" w:rsidRDefault="00000000">
      <w:pPr>
        <w:jc w:val="both"/>
      </w:pPr>
      <w:r>
        <w:rPr>
          <w:b/>
        </w:rPr>
        <w:t>Systèmes De Contrôle Du Marquage CE :</w:t>
      </w:r>
    </w:p>
    <w:p w14:paraId="7CE6F90B" w14:textId="77777777" w:rsidR="00772179" w:rsidRDefault="00000000">
      <w:pPr>
        <w:pStyle w:val="Author-eListParagraph"/>
        <w:numPr>
          <w:ilvl w:val="0"/>
          <w:numId w:val="312"/>
        </w:numPr>
        <w:jc w:val="both"/>
      </w:pPr>
      <w:r>
        <w:t xml:space="preserve">Les menuiseries et/ou murs rideaux répondent à l’AoC = Attestation Of Conformity de niveau 3 et subissent dont les contrôles suivants : </w:t>
      </w:r>
    </w:p>
    <w:p w14:paraId="43ED0AF0" w14:textId="77777777" w:rsidR="00772179" w:rsidRDefault="00000000">
      <w:pPr>
        <w:pStyle w:val="Author-eListParagraph"/>
        <w:numPr>
          <w:ilvl w:val="1"/>
          <w:numId w:val="313"/>
        </w:numPr>
        <w:jc w:val="both"/>
      </w:pPr>
      <w:r>
        <w:t>Contrôle des essais types ITT par un “NOTIFIED BODY” (par un organisme agrée)</w:t>
      </w:r>
    </w:p>
    <w:p w14:paraId="77C98169" w14:textId="77777777" w:rsidR="00772179" w:rsidRDefault="00000000">
      <w:pPr>
        <w:pStyle w:val="Author-eListParagraph"/>
        <w:numPr>
          <w:ilvl w:val="1"/>
          <w:numId w:val="313"/>
        </w:numPr>
        <w:jc w:val="both"/>
      </w:pPr>
      <w:r>
        <w:t>Contrôle de la fabrication FPC par déclaration du fabricant (autocontrôle par le fabricant)</w:t>
      </w:r>
    </w:p>
    <w:p w14:paraId="08768C63" w14:textId="77777777" w:rsidR="00772179" w:rsidRDefault="00772179"/>
    <w:p w14:paraId="46F47387" w14:textId="77777777" w:rsidR="00772179" w:rsidRDefault="00000000">
      <w:pPr>
        <w:jc w:val="both"/>
      </w:pPr>
      <w:r>
        <w:rPr>
          <w:b/>
        </w:rPr>
        <w:t>Principe Du Marquage CE :</w:t>
      </w:r>
    </w:p>
    <w:p w14:paraId="2B00D969" w14:textId="77777777" w:rsidR="00772179" w:rsidRDefault="00000000">
      <w:pPr>
        <w:pStyle w:val="Author-eListParagraph"/>
        <w:numPr>
          <w:ilvl w:val="0"/>
          <w:numId w:val="314"/>
        </w:numPr>
        <w:jc w:val="both"/>
      </w:pPr>
      <w:r>
        <w:t>ITT = Initial Type Testing (essais sur la conformité du prototype initial)</w:t>
      </w:r>
    </w:p>
    <w:p w14:paraId="5AA1630A" w14:textId="77777777" w:rsidR="00772179" w:rsidRDefault="00000000">
      <w:pPr>
        <w:pStyle w:val="Author-eListParagraph"/>
        <w:numPr>
          <w:ilvl w:val="0"/>
          <w:numId w:val="314"/>
        </w:numPr>
        <w:jc w:val="both"/>
      </w:pPr>
      <w:r>
        <w:t>FPC = Factory Production Control (contrôle sur la conformité de la production avec le prototype initial) </w:t>
      </w:r>
    </w:p>
    <w:p w14:paraId="7C6164ED" w14:textId="77777777" w:rsidR="00772179" w:rsidRDefault="00000000">
      <w:pPr>
        <w:pStyle w:val="Author-eListParagraph"/>
        <w:numPr>
          <w:ilvl w:val="0"/>
          <w:numId w:val="314"/>
        </w:numPr>
        <w:jc w:val="both"/>
      </w:pPr>
      <w:r>
        <w:t>Autocontrôle par le façadier lui-même</w:t>
      </w:r>
    </w:p>
    <w:p w14:paraId="3F69C053" w14:textId="77777777" w:rsidR="00772179" w:rsidRDefault="00000000">
      <w:pPr>
        <w:pStyle w:val="Author-eListParagraph"/>
        <w:numPr>
          <w:ilvl w:val="0"/>
          <w:numId w:val="314"/>
        </w:numPr>
        <w:jc w:val="both"/>
      </w:pPr>
      <w:r>
        <w:t>Principe IKZ / ISO 9000 / audit externe</w:t>
      </w:r>
    </w:p>
    <w:p w14:paraId="5703FD1A" w14:textId="77777777" w:rsidR="00772179" w:rsidRDefault="00772179"/>
    <w:p w14:paraId="4F11BD30" w14:textId="77777777" w:rsidR="00772179" w:rsidRDefault="00000000">
      <w:pPr>
        <w:jc w:val="both"/>
      </w:pPr>
      <w:r>
        <w:rPr>
          <w:b/>
        </w:rPr>
        <w:t>Contrôle D’entrée, Contrôle De Production, Contrôle Des Produits Finis :</w:t>
      </w:r>
    </w:p>
    <w:p w14:paraId="7693C61B" w14:textId="77777777" w:rsidR="00772179" w:rsidRDefault="00000000">
      <w:pPr>
        <w:pStyle w:val="Author-eListParagraph"/>
        <w:numPr>
          <w:ilvl w:val="0"/>
          <w:numId w:val="315"/>
        </w:numPr>
        <w:jc w:val="both"/>
      </w:pPr>
      <w:r>
        <w:t>VENTE – offre de prix et commande</w:t>
      </w:r>
    </w:p>
    <w:p w14:paraId="1E23FAB0" w14:textId="77777777" w:rsidR="00772179" w:rsidRDefault="00000000">
      <w:pPr>
        <w:pStyle w:val="Author-eListParagraph"/>
        <w:numPr>
          <w:ilvl w:val="0"/>
          <w:numId w:val="315"/>
        </w:numPr>
        <w:jc w:val="both"/>
      </w:pPr>
      <w:r>
        <w:t>PROJET et PLANNING</w:t>
      </w:r>
    </w:p>
    <w:p w14:paraId="6554F599" w14:textId="77777777" w:rsidR="00772179" w:rsidRDefault="00000000">
      <w:pPr>
        <w:pStyle w:val="Author-eListParagraph"/>
        <w:numPr>
          <w:ilvl w:val="0"/>
          <w:numId w:val="315"/>
        </w:numPr>
        <w:jc w:val="both"/>
      </w:pPr>
      <w:r>
        <w:t>ACHATS – commandes et livraisons</w:t>
      </w:r>
    </w:p>
    <w:p w14:paraId="075EC940" w14:textId="77777777" w:rsidR="00772179" w:rsidRDefault="00000000">
      <w:pPr>
        <w:pStyle w:val="Author-eListParagraph"/>
        <w:numPr>
          <w:ilvl w:val="0"/>
          <w:numId w:val="315"/>
        </w:numPr>
        <w:jc w:val="both"/>
      </w:pPr>
      <w:r>
        <w:t>PRODUCTION – débits, mise en détails technique, fabrication</w:t>
      </w:r>
    </w:p>
    <w:p w14:paraId="5A5B477B" w14:textId="77777777" w:rsidR="00772179" w:rsidRDefault="00000000">
      <w:pPr>
        <w:pStyle w:val="Author-eListParagraph"/>
        <w:numPr>
          <w:ilvl w:val="0"/>
          <w:numId w:val="315"/>
        </w:numPr>
        <w:jc w:val="both"/>
      </w:pPr>
      <w:r>
        <w:t>POSE – emballage, transport, montage</w:t>
      </w:r>
    </w:p>
    <w:p w14:paraId="7AD23277" w14:textId="77777777" w:rsidR="00772179" w:rsidRDefault="00000000">
      <w:pPr>
        <w:pStyle w:val="Author-eListParagraph"/>
        <w:numPr>
          <w:ilvl w:val="0"/>
          <w:numId w:val="315"/>
        </w:numPr>
        <w:jc w:val="both"/>
      </w:pPr>
      <w:r>
        <w:t>RECEPTION – facturation, garantie, service après-vente, entretien</w:t>
      </w:r>
    </w:p>
    <w:p w14:paraId="6CE6F7F0" w14:textId="77777777" w:rsidR="00772179" w:rsidRDefault="00772179"/>
    <w:p w14:paraId="73C2A400" w14:textId="77777777" w:rsidR="00772179" w:rsidRDefault="00000000">
      <w:pPr>
        <w:jc w:val="both"/>
      </w:pPr>
      <w:r>
        <w:rPr>
          <w:b/>
        </w:rPr>
        <w:t>Visibilité Du Marquage CE :</w:t>
      </w:r>
    </w:p>
    <w:p w14:paraId="0D1A90E9" w14:textId="77777777" w:rsidR="00772179" w:rsidRDefault="00000000">
      <w:pPr>
        <w:jc w:val="both"/>
      </w:pPr>
      <w:r>
        <w:t>Pour les produits sous l’attestation de Conformité niveau AoC 3</w:t>
      </w:r>
    </w:p>
    <w:p w14:paraId="4F35E654" w14:textId="77777777" w:rsidR="00772179" w:rsidRDefault="00000000">
      <w:pPr>
        <w:jc w:val="both"/>
      </w:pPr>
      <w:r>
        <w:t xml:space="preserve"> sur les documents relatifs au produit</w:t>
      </w:r>
    </w:p>
    <w:p w14:paraId="61D1FA62" w14:textId="77777777" w:rsidR="00772179" w:rsidRDefault="00000000">
      <w:pPr>
        <w:pStyle w:val="Author-eListParagraph"/>
        <w:numPr>
          <w:ilvl w:val="0"/>
          <w:numId w:val="316"/>
        </w:numPr>
      </w:pPr>
      <w:r>
        <w:t>Bons de livraison</w:t>
      </w:r>
    </w:p>
    <w:p w14:paraId="4F7F6196" w14:textId="77777777" w:rsidR="00772179" w:rsidRDefault="00000000">
      <w:pPr>
        <w:pStyle w:val="Author-eListParagraph"/>
        <w:numPr>
          <w:ilvl w:val="0"/>
          <w:numId w:val="316"/>
        </w:numPr>
      </w:pPr>
      <w:r>
        <w:t>Emballage</w:t>
      </w:r>
    </w:p>
    <w:p w14:paraId="64CF851E" w14:textId="77777777" w:rsidR="00772179" w:rsidRDefault="00000000">
      <w:pPr>
        <w:pStyle w:val="Author-eListParagraph"/>
        <w:numPr>
          <w:ilvl w:val="0"/>
          <w:numId w:val="316"/>
        </w:numPr>
      </w:pPr>
      <w:r>
        <w:t>Confirmations de commandes</w:t>
      </w:r>
    </w:p>
    <w:p w14:paraId="0832B0A2" w14:textId="77777777" w:rsidR="00772179" w:rsidRDefault="00000000">
      <w:pPr>
        <w:pStyle w:val="Author-eListParagraph"/>
        <w:numPr>
          <w:ilvl w:val="0"/>
          <w:numId w:val="316"/>
        </w:numPr>
      </w:pPr>
      <w:r>
        <w:t>PV de réception / Facturation</w:t>
      </w:r>
    </w:p>
    <w:p w14:paraId="1BAEFD70" w14:textId="77777777" w:rsidR="00772179" w:rsidRDefault="00000000">
      <w:pPr>
        <w:jc w:val="both"/>
      </w:pPr>
      <w:r>
        <w:t>Pour les produits sous le niveau AoC 1 (nécessitant des prestations au feu et/ou à la fumée)</w:t>
      </w:r>
    </w:p>
    <w:p w14:paraId="233D6936" w14:textId="77777777" w:rsidR="00772179" w:rsidRDefault="00000000">
      <w:pPr>
        <w:pStyle w:val="Author-eListParagraph"/>
        <w:numPr>
          <w:ilvl w:val="0"/>
          <w:numId w:val="317"/>
        </w:numPr>
        <w:jc w:val="both"/>
      </w:pPr>
      <w:r>
        <w:t>A prévoir sur chaque élément</w:t>
      </w:r>
    </w:p>
    <w:p w14:paraId="05FA06F3" w14:textId="77777777" w:rsidR="00772179" w:rsidRDefault="00000000">
      <w:pPr>
        <w:pStyle w:val="Author-eListParagraph"/>
        <w:numPr>
          <w:ilvl w:val="0"/>
          <w:numId w:val="317"/>
        </w:numPr>
        <w:jc w:val="both"/>
      </w:pPr>
      <w:r>
        <w:t>Avec contrôle EXTERNE du NOTIFIED BODY</w:t>
      </w:r>
    </w:p>
    <w:p w14:paraId="63E952F2" w14:textId="77777777" w:rsidR="00772179" w:rsidRDefault="00000000">
      <w:pPr>
        <w:ind w:left="750"/>
      </w:pPr>
      <w:r>
        <w:t> </w:t>
      </w:r>
    </w:p>
    <w:p w14:paraId="091FF060" w14:textId="77777777" w:rsidR="00772179" w:rsidRDefault="00000000">
      <w:pPr>
        <w:pStyle w:val="pheading"/>
      </w:pPr>
      <w:r>
        <w:t>- Exécution</w:t>
      </w:r>
    </w:p>
    <w:p w14:paraId="295539EA" w14:textId="77777777" w:rsidR="00772179" w:rsidRDefault="00000000">
      <w:r>
        <w:t>[NBN 208, Coordination des dimensions des constructions - Système du module - Baies et châssis de fenêtres]</w:t>
      </w:r>
    </w:p>
    <w:p w14:paraId="459B91D6" w14:textId="77777777" w:rsidR="00772179" w:rsidRDefault="00000000">
      <w:r>
        <w:t>[NIT 221, La pose des vitrages en feuillure (Les NIT 214 et 221 remplacent les NIT 110 et 113).]</w:t>
      </w:r>
    </w:p>
    <w:p w14:paraId="7C3691AF" w14:textId="77777777" w:rsidR="00772179" w:rsidRDefault="00000000">
      <w:r>
        <w:t>Les prescriptions et les indications pour la pose données par le fabricant.</w:t>
      </w:r>
    </w:p>
    <w:p w14:paraId="547FE9B3" w14:textId="77777777" w:rsidR="00772179" w:rsidRDefault="00772179"/>
    <w:p w14:paraId="4A354D12" w14:textId="77777777" w:rsidR="00772179" w:rsidRDefault="00000000">
      <w:pPr>
        <w:pStyle w:val="pheading"/>
      </w:pPr>
      <w:r>
        <w:lastRenderedPageBreak/>
        <w:t>AIDE</w:t>
      </w:r>
    </w:p>
    <w:p w14:paraId="79DA8B98" w14:textId="77777777" w:rsidR="00772179" w:rsidRDefault="00000000">
      <w:pPr>
        <w:jc w:val="both"/>
      </w:pPr>
      <w:r>
        <w:t>L'obturation du vide entre la menuiserie et le gros-œuvre à l'intérieur à l'aide de mousse de polyuréthane donne de moins bons résultats au niveau acoustique que le remplissage à la laine minérale.</w:t>
      </w:r>
    </w:p>
    <w:p w14:paraId="502A412D" w14:textId="77777777" w:rsidR="00772179" w:rsidRDefault="00000000">
      <w:pPr>
        <w:jc w:val="both"/>
      </w:pPr>
      <w:r>
        <w:t>Une attention particulière est accordée à la hauteur des allèges (voir [NBN B 03-004]).</w:t>
      </w:r>
    </w:p>
    <w:p w14:paraId="0013380A" w14:textId="77777777" w:rsidR="00772179" w:rsidRDefault="00000000">
      <w:pPr>
        <w:pStyle w:val="Author-eSectionHeading5Numberless"/>
      </w:pPr>
      <w:bookmarkStart w:id="78" w:name="_Toc220489825"/>
      <w:r>
        <w:t>41.22.1 Portes d'entrée en aluminium sans coupure thermique CCTB 01.02</w:t>
      </w:r>
      <w:bookmarkEnd w:id="78"/>
    </w:p>
    <w:p w14:paraId="7C597F31" w14:textId="77777777" w:rsidR="00772179" w:rsidRDefault="00000000">
      <w:pPr>
        <w:pStyle w:val="Author-eSectionHeading6Numberless"/>
      </w:pPr>
      <w:bookmarkStart w:id="79" w:name="_Toc220489826"/>
      <w:r>
        <w:t>41.22.1a Portes d'entrée en aluminium sans coupure thermique CCTB 01.10</w:t>
      </w:r>
      <w:bookmarkEnd w:id="79"/>
    </w:p>
    <w:p w14:paraId="10717769" w14:textId="77777777" w:rsidR="00772179" w:rsidRDefault="00000000">
      <w:pPr>
        <w:pStyle w:val="Author-eSectionHeading5Numberless"/>
      </w:pPr>
      <w:bookmarkStart w:id="80" w:name="_Toc220489827"/>
      <w:r>
        <w:t>41.22.2 Portes d'entrée en aluminium avec coupure thermique CCTB 01.12</w:t>
      </w:r>
      <w:bookmarkEnd w:id="80"/>
    </w:p>
    <w:p w14:paraId="6BFEBAF4" w14:textId="77777777" w:rsidR="00772179" w:rsidRDefault="00000000">
      <w:pPr>
        <w:pStyle w:val="pheading"/>
      </w:pPr>
      <w:r>
        <w:t>MATÉRIAUX</w:t>
      </w:r>
    </w:p>
    <w:p w14:paraId="26570B3E" w14:textId="77777777" w:rsidR="00772179" w:rsidRDefault="00000000">
      <w:pPr>
        <w:jc w:val="both"/>
      </w:pPr>
      <w:r>
        <w:t>Les portes en aluminium avec rupture thermique sont conformes aux prescriptions de la [NBN B 25-002-4]. </w:t>
      </w:r>
    </w:p>
    <w:p w14:paraId="745712E0" w14:textId="77777777" w:rsidR="00772179" w:rsidRDefault="00000000">
      <w:pPr>
        <w:jc w:val="both"/>
      </w:pPr>
      <w:r>
        <w:t>Le système dispose d’un Agrément Technique avec certification valide ou équivalent.</w:t>
      </w:r>
    </w:p>
    <w:p w14:paraId="4B7C14E9" w14:textId="77777777" w:rsidR="00772179" w:rsidRDefault="00000000">
      <w:pPr>
        <w:jc w:val="both"/>
      </w:pPr>
      <w:r>
        <w:rPr>
          <w:b/>
        </w:rPr>
        <w:t>Composition des profils</w:t>
      </w:r>
    </w:p>
    <w:p w14:paraId="723AFA18" w14:textId="77777777" w:rsidR="00772179" w:rsidRDefault="00000000">
      <w:pPr>
        <w:jc w:val="both"/>
      </w:pPr>
      <w:r>
        <w:t>Les profilés de portes (assurant les fonctions mécaniques et la fixation des points de fermeture et de suspension) sont en aluminium.</w:t>
      </w:r>
    </w:p>
    <w:p w14:paraId="5B99678C" w14:textId="77777777" w:rsidR="00772179" w:rsidRDefault="00000000">
      <w:pPr>
        <w:jc w:val="both"/>
      </w:pPr>
      <w:r>
        <w:t>La rupture de pont thermique est assurée par l’intégration de manière continue d’un profil synthétique placé entre les deux parties en aluminium. Les matériaux isolants utilisés pour réaliser ce profil satisfont aux exigences de l’article 5.2 de la [NBN EN 14024]. En fonction des performances thermiques exigées ci-après, ces profils peuvent être équipés de mousse PUR intégrée.</w:t>
      </w:r>
    </w:p>
    <w:p w14:paraId="27265761" w14:textId="77777777" w:rsidR="00772179" w:rsidRDefault="00000000">
      <w:pPr>
        <w:jc w:val="both"/>
      </w:pPr>
      <w:r>
        <w:rPr>
          <w:b/>
        </w:rPr>
        <w:t>Forme et dimensions des profils</w:t>
      </w:r>
    </w:p>
    <w:p w14:paraId="04F2DED6" w14:textId="77777777" w:rsidR="00772179" w:rsidRDefault="00000000">
      <w:pPr>
        <w:jc w:val="both"/>
      </w:pPr>
      <w:r>
        <w:t>Les bandes d'étanchéité sont fabriquées en néoprène ou matière synthétique et sont enroulées dans le profil ou extrudées avec le profilé. Elles sont toujours appliquées en longueurs complètes, dans les angles et sont enroulées ou soudées en onglet. Seules les étanchéités originales et prescrites par le fournisseur des profilés sont utilisées. Elles font également partie de l'agrément technique obtenu pour le système de profilés.</w:t>
      </w:r>
    </w:p>
    <w:p w14:paraId="745B6CDD" w14:textId="77777777" w:rsidR="00772179" w:rsidRDefault="00000000">
      <w:pPr>
        <w:jc w:val="both"/>
      </w:pPr>
      <w:r>
        <w:rPr>
          <w:b/>
        </w:rPr>
        <w:t>Assemblages</w:t>
      </w:r>
    </w:p>
    <w:p w14:paraId="726C522B" w14:textId="77777777" w:rsidR="00772179" w:rsidRDefault="00000000">
      <w:pPr>
        <w:jc w:val="both"/>
      </w:pPr>
      <w:r>
        <w:t>Pour l'usinage, le traitement et la mise en place des profils, il est toujours tenu compte des prescriptions du fournisseur du système.</w:t>
      </w:r>
    </w:p>
    <w:p w14:paraId="40992D70" w14:textId="77777777" w:rsidR="00772179" w:rsidRDefault="00000000">
      <w:pPr>
        <w:jc w:val="both"/>
      </w:pPr>
      <w:r>
        <w:t>Tous les assemblages sont réalisés à l'aide d'accessoires standards provenant du même fabricant que les profils et totalement adaptés aux assemblages.</w:t>
      </w:r>
    </w:p>
    <w:p w14:paraId="4F70F83B" w14:textId="77777777" w:rsidR="00772179" w:rsidRDefault="00000000">
      <w:pPr>
        <w:jc w:val="both"/>
      </w:pPr>
      <w:r>
        <w:t>Les assemblages en T sont vérifiés suivant la procédure décrite dans la [NBN B 25-002-4].</w:t>
      </w:r>
    </w:p>
    <w:p w14:paraId="3BEFC168" w14:textId="77777777" w:rsidR="00772179" w:rsidRDefault="00000000">
      <w:pPr>
        <w:pStyle w:val="pheading"/>
      </w:pPr>
      <w:r>
        <w:t>EXÉCUTION / MISE EN ŒUVRE</w:t>
      </w:r>
    </w:p>
    <w:p w14:paraId="77DB81AD" w14:textId="77777777" w:rsidR="00772179" w:rsidRDefault="00000000">
      <w:pPr>
        <w:jc w:val="both"/>
      </w:pPr>
      <w:r>
        <w:t xml:space="preserve">La pose des portes s'effectue selon le </w:t>
      </w:r>
      <w:hyperlink w:anchor="904" w:history="1">
        <w:r>
          <w:rPr>
            <w:color w:val="0000EE"/>
          </w:rPr>
          <w:t>41.2 Portes d'entrée</w:t>
        </w:r>
      </w:hyperlink>
      <w:r>
        <w:t>, conformément à la [NIT 283] et aux prescriptions de la [NBN B 25-002-4].</w:t>
      </w:r>
    </w:p>
    <w:p w14:paraId="3B0AD451" w14:textId="77777777" w:rsidR="00772179" w:rsidRDefault="00000000">
      <w:pPr>
        <w:jc w:val="both"/>
      </w:pPr>
      <w:r>
        <w:t>L’entretien est conforme à la norme [NBN B 25-002-2]. Le resserrage de la menuiserie est pourvu de continuité des performances mécaniques, thermiques et d’étanchéité à l’eau.</w:t>
      </w:r>
    </w:p>
    <w:p w14:paraId="297FF4AE" w14:textId="77777777" w:rsidR="00772179" w:rsidRDefault="00000000">
      <w:pPr>
        <w:pStyle w:val="pheading"/>
      </w:pPr>
      <w:r>
        <w:t>DOCUMENTS DE RÉFÉRENCE</w:t>
      </w:r>
    </w:p>
    <w:p w14:paraId="2CDA751A" w14:textId="77777777" w:rsidR="00772179" w:rsidRDefault="00000000">
      <w:pPr>
        <w:pStyle w:val="pheading"/>
      </w:pPr>
      <w:r>
        <w:t>- Matériau</w:t>
      </w:r>
    </w:p>
    <w:p w14:paraId="53CB41A2" w14:textId="77777777" w:rsidR="00772179" w:rsidRDefault="00000000">
      <w:r>
        <w:t>[NBN B 25-002-4, Menuiseries extérieures. Partie 4 : Prescriptions pour les profilés et des ossatures en aluminium]</w:t>
      </w:r>
    </w:p>
    <w:p w14:paraId="37A1BFDD" w14:textId="77777777" w:rsidR="00772179" w:rsidRDefault="00000000">
      <w:r>
        <w:lastRenderedPageBreak/>
        <w:t>[NBN EN ISO 7599, Anodisation de l'aluminium et de ses alliages - Méthode de spécification des caractéristiques des revêtements décoratifs et protecteurs obtenus par oxydation anodique sur aluminium (ISO 7599:2018)]</w:t>
      </w:r>
    </w:p>
    <w:p w14:paraId="534A5D39" w14:textId="77777777" w:rsidR="00772179" w:rsidRDefault="00000000">
      <w:r>
        <w:t>[NBN EN 12206-1, Peintures et vernis - Revêtement de l'aluminium et de ses alliages pour des applications architecturales - Partie 1: Revêtements à partir de peinture en poudre thermodurcissable]</w:t>
      </w:r>
    </w:p>
    <w:p w14:paraId="66E728AC" w14:textId="77777777" w:rsidR="00772179" w:rsidRDefault="00000000">
      <w:r>
        <w:t>[NBN B 25-002-2, Menuiseries extérieures. Partie 2 : Prescription des performances générales pour les portes extérieures pour piétons]</w:t>
      </w:r>
    </w:p>
    <w:p w14:paraId="4D104DF0" w14:textId="77777777" w:rsidR="00772179" w:rsidRDefault="00000000">
      <w:pPr>
        <w:pStyle w:val="Author-eSectionHeading6Numberless"/>
      </w:pPr>
      <w:bookmarkStart w:id="81" w:name="_Toc220489828"/>
      <w:r>
        <w:t>41.22.2a Portes d'entrée en aluminium avec coupure thermique CCTB 01.12</w:t>
      </w:r>
      <w:bookmarkEnd w:id="81"/>
    </w:p>
    <w:p w14:paraId="058AC8E8" w14:textId="77777777" w:rsidR="00772179" w:rsidRDefault="00000000">
      <w:pPr>
        <w:pStyle w:val="pheading"/>
      </w:pPr>
      <w:bookmarkStart w:id="82" w:name="923"/>
      <w:bookmarkEnd w:id="82"/>
      <w:r>
        <w:t>DESCRIPTION</w:t>
      </w:r>
    </w:p>
    <w:p w14:paraId="384A2228" w14:textId="77777777" w:rsidR="00772179" w:rsidRDefault="00000000">
      <w:pPr>
        <w:pStyle w:val="pheading"/>
      </w:pPr>
      <w:r>
        <w:t>- Définition / Comprend</w:t>
      </w:r>
    </w:p>
    <w:p w14:paraId="0F0D2303" w14:textId="77777777" w:rsidR="00772179" w:rsidRDefault="00000000">
      <w:pPr>
        <w:jc w:val="both"/>
      </w:pPr>
      <w:r>
        <w:t>Il s’agit de la fourniture (hors matériaux récupérés du même site) et de la pose de menuiseries extérieures (Portes) dont le profil est composé de deux profilés en aluminium reliés entre eux de façon continue par au moins une partie thermiquement isolante (non métallique).</w:t>
      </w:r>
    </w:p>
    <w:p w14:paraId="0604F2B3" w14:textId="77777777" w:rsidR="00772179" w:rsidRDefault="00000000">
      <w:pPr>
        <w:jc w:val="both"/>
      </w:pPr>
      <w:r>
        <w:t>Outre les prescriptions énoncées par ailleurs, le travail comprend notamment :</w:t>
      </w:r>
    </w:p>
    <w:p w14:paraId="06DF70E2" w14:textId="77777777" w:rsidR="00772179" w:rsidRDefault="00000000">
      <w:pPr>
        <w:pStyle w:val="Author-eListParagraph"/>
        <w:numPr>
          <w:ilvl w:val="0"/>
          <w:numId w:val="318"/>
        </w:numPr>
      </w:pPr>
      <w:r>
        <w:t>la pose et le resserrage ;</w:t>
      </w:r>
    </w:p>
    <w:p w14:paraId="44FA35E3" w14:textId="77777777" w:rsidR="00772179" w:rsidRDefault="00000000">
      <w:pPr>
        <w:pStyle w:val="Author-eListParagraph"/>
        <w:numPr>
          <w:ilvl w:val="0"/>
          <w:numId w:val="318"/>
        </w:numPr>
      </w:pPr>
      <w:r>
        <w:t>la finition et le réglage des menuiseries extérieures.</w:t>
      </w:r>
    </w:p>
    <w:p w14:paraId="4DF2309D" w14:textId="77777777" w:rsidR="00772179" w:rsidRDefault="00000000">
      <w:pPr>
        <w:jc w:val="both"/>
      </w:pPr>
      <w:r>
        <w:rPr>
          <w:b/>
        </w:rPr>
        <w:t>Remarques importantes</w:t>
      </w:r>
    </w:p>
    <w:p w14:paraId="5F3FC722" w14:textId="77777777" w:rsidR="00772179" w:rsidRDefault="00000000">
      <w:pPr>
        <w:jc w:val="both"/>
      </w:pPr>
      <w:r>
        <w:t>Toutes les portes sont soumises au Règlement Produits de Construction ([Règlement (UE) 305/2011]). Une déclaration d'aptitude à l'utilisation suivant les prescriptions du 02.42.1 Critères d'acceptabilité est imposée à ces produits suivant la [NBN EN 14351-1:2006+A2] afin d'attester qu’ils sont conformes aux spécifications techniques de ce règlement.</w:t>
      </w:r>
    </w:p>
    <w:p w14:paraId="2CC743DC" w14:textId="77777777" w:rsidR="00772179" w:rsidRDefault="00000000">
      <w:pPr>
        <w:pStyle w:val="pheading"/>
      </w:pPr>
      <w:r>
        <w:t>MATÉRIAUX</w:t>
      </w:r>
    </w:p>
    <w:p w14:paraId="738326F6" w14:textId="77777777" w:rsidR="00772179" w:rsidRDefault="00000000">
      <w:pPr>
        <w:pStyle w:val="pheading"/>
      </w:pPr>
      <w:r>
        <w:t>- Caractéristiques générales</w:t>
      </w:r>
    </w:p>
    <w:p w14:paraId="097A959F" w14:textId="77777777" w:rsidR="00772179" w:rsidRDefault="00000000">
      <w:pPr>
        <w:jc w:val="both"/>
      </w:pPr>
      <w:r>
        <w:rPr>
          <w:b/>
        </w:rPr>
        <w:t>Composition des profils</w:t>
      </w:r>
    </w:p>
    <w:p w14:paraId="3ECA97C1" w14:textId="77777777" w:rsidR="00772179" w:rsidRDefault="00000000">
      <w:pPr>
        <w:pStyle w:val="Author-eListParagraph"/>
        <w:numPr>
          <w:ilvl w:val="0"/>
          <w:numId w:val="319"/>
        </w:numPr>
      </w:pPr>
      <w:r>
        <w:t>Composition :</w:t>
      </w:r>
      <w:r>
        <w:rPr>
          <w:rStyle w:val="optioncarChar"/>
        </w:rPr>
        <w:t> AW-6060 ou AW-6063 (climat normal)</w:t>
      </w:r>
      <w:r>
        <w:t> (par défaut)</w:t>
      </w:r>
      <w:r>
        <w:rPr>
          <w:rStyle w:val="optioncarChar"/>
        </w:rPr>
        <w:t> / AW-6060-B (climat agressif)</w:t>
      </w:r>
      <w:r>
        <w:t>. Les alliages sont conformes à la [NBN EN 755-2] et aux exigences de la [NBN B 25-002-4].</w:t>
      </w:r>
    </w:p>
    <w:p w14:paraId="7D2C9A48" w14:textId="77777777" w:rsidR="00772179" w:rsidRDefault="00000000">
      <w:pPr>
        <w:pStyle w:val="Author-eListParagraph"/>
        <w:numPr>
          <w:ilvl w:val="0"/>
          <w:numId w:val="319"/>
        </w:numPr>
      </w:pPr>
      <w:r>
        <w:t>Catégorie de température suivant [NBN EN 14024] : </w:t>
      </w:r>
      <w:r>
        <w:rPr>
          <w:rStyle w:val="optioncarChar"/>
        </w:rPr>
        <w:t>TC1 (- 10 °C à 70 °C)</w:t>
      </w:r>
      <w:r>
        <w:t> (par défaut)</w:t>
      </w:r>
      <w:r>
        <w:rPr>
          <w:rStyle w:val="optioncarChar"/>
        </w:rPr>
        <w:t> / TC2 (- 20 °C à 80 °C).</w:t>
      </w:r>
    </w:p>
    <w:p w14:paraId="3327ADD3" w14:textId="77777777" w:rsidR="00772179" w:rsidRDefault="00000000">
      <w:pPr>
        <w:jc w:val="both"/>
      </w:pPr>
      <w:r>
        <w:rPr>
          <w:b/>
        </w:rPr>
        <w:t>Forme et dimensions des profils</w:t>
      </w:r>
    </w:p>
    <w:p w14:paraId="14444043" w14:textId="77777777" w:rsidR="00772179" w:rsidRDefault="00000000">
      <w:pPr>
        <w:jc w:val="both"/>
      </w:pPr>
      <w: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w:t>
      </w:r>
    </w:p>
    <w:p w14:paraId="1961FE31" w14:textId="77777777" w:rsidR="00772179" w:rsidRDefault="00000000">
      <w:pPr>
        <w:jc w:val="both"/>
      </w:pPr>
      <w:r>
        <w:t>Dormant :</w:t>
      </w:r>
    </w:p>
    <w:p w14:paraId="5F616BF3" w14:textId="77777777" w:rsidR="00772179" w:rsidRDefault="00000000">
      <w:pPr>
        <w:pStyle w:val="Author-eListParagraph"/>
        <w:numPr>
          <w:ilvl w:val="0"/>
          <w:numId w:val="320"/>
        </w:numPr>
      </w:pPr>
      <w:r>
        <w:t>Hauteur du profil : ≥ </w:t>
      </w:r>
      <w:r>
        <w:rPr>
          <w:rStyle w:val="optioncarChar"/>
        </w:rPr>
        <w:t>65</w:t>
      </w:r>
      <w:r>
        <w:t> (par défaut)</w:t>
      </w:r>
      <w:r>
        <w:rPr>
          <w:rStyle w:val="optioncarChar"/>
        </w:rPr>
        <w:t> / 50 / 75 / ***</w:t>
      </w:r>
      <w:r>
        <w:t> mm.</w:t>
      </w:r>
    </w:p>
    <w:p w14:paraId="3777346D" w14:textId="77777777" w:rsidR="00772179" w:rsidRDefault="00000000">
      <w:pPr>
        <w:pStyle w:val="Author-eListParagraph"/>
        <w:numPr>
          <w:ilvl w:val="0"/>
          <w:numId w:val="320"/>
        </w:numPr>
      </w:pPr>
      <w:r>
        <w:t>Profondeur du profil : ≥ </w:t>
      </w:r>
      <w:r>
        <w:rPr>
          <w:rStyle w:val="optioncarChar"/>
        </w:rPr>
        <w:t>70</w:t>
      </w:r>
      <w:r>
        <w:t> (par défaut) </w:t>
      </w:r>
      <w:r>
        <w:rPr>
          <w:rStyle w:val="optioncarChar"/>
        </w:rPr>
        <w:t>/ 80 / 100 / ***</w:t>
      </w:r>
      <w:r>
        <w:t> mm.</w:t>
      </w:r>
    </w:p>
    <w:p w14:paraId="732309B1" w14:textId="77777777" w:rsidR="00772179" w:rsidRDefault="00000000">
      <w:pPr>
        <w:pStyle w:val="Author-eListParagraph"/>
        <w:numPr>
          <w:ilvl w:val="0"/>
          <w:numId w:val="320"/>
        </w:numPr>
      </w:pPr>
      <w:r>
        <w:t>Epaisseur des parois extérieures des profilés de résistance : ≥ à </w:t>
      </w:r>
      <w:r>
        <w:rPr>
          <w:rStyle w:val="optioncarChar"/>
        </w:rPr>
        <w:t>1,6 </w:t>
      </w:r>
      <w:r>
        <w:t>(par défaut)</w:t>
      </w:r>
      <w:r>
        <w:rPr>
          <w:rStyle w:val="optioncarChar"/>
        </w:rPr>
        <w:t> / ***</w:t>
      </w:r>
      <w:r>
        <w:t> mm.</w:t>
      </w:r>
    </w:p>
    <w:p w14:paraId="2237D22D" w14:textId="77777777" w:rsidR="00772179" w:rsidRDefault="00000000">
      <w:pPr>
        <w:jc w:val="both"/>
      </w:pPr>
      <w:r>
        <w:t>Vantail (porte) :</w:t>
      </w:r>
    </w:p>
    <w:p w14:paraId="5286BA06" w14:textId="77777777" w:rsidR="00772179" w:rsidRDefault="00000000">
      <w:pPr>
        <w:pStyle w:val="Author-eListParagraph"/>
        <w:numPr>
          <w:ilvl w:val="0"/>
          <w:numId w:val="321"/>
        </w:numPr>
      </w:pPr>
      <w:r>
        <w:t>Hauteur visible du profil latéral et supérieur : ≥ </w:t>
      </w:r>
      <w:r>
        <w:rPr>
          <w:rStyle w:val="optioncarChar"/>
        </w:rPr>
        <w:t>70 </w:t>
      </w:r>
      <w:r>
        <w:t>(par défaut)</w:t>
      </w:r>
      <w:r>
        <w:rPr>
          <w:rStyle w:val="optioncarChar"/>
        </w:rPr>
        <w:t> / 80 / 100 / ***</w:t>
      </w:r>
      <w:r>
        <w:t> mm.</w:t>
      </w:r>
    </w:p>
    <w:p w14:paraId="159B626E" w14:textId="77777777" w:rsidR="00772179" w:rsidRDefault="00000000">
      <w:pPr>
        <w:pStyle w:val="Author-eListParagraph"/>
        <w:numPr>
          <w:ilvl w:val="0"/>
          <w:numId w:val="321"/>
        </w:numPr>
      </w:pPr>
      <w:r>
        <w:t xml:space="preserve">Hauteur visible du profil inférieur : ≥ </w:t>
      </w:r>
      <w:r>
        <w:rPr>
          <w:rStyle w:val="optioncarChar"/>
        </w:rPr>
        <w:t xml:space="preserve">100 </w:t>
      </w:r>
      <w:r>
        <w:t>(par défaut)</w:t>
      </w:r>
      <w:r>
        <w:rPr>
          <w:rStyle w:val="optioncarChar"/>
        </w:rPr>
        <w:t xml:space="preserve"> / 110 / ***</w:t>
      </w:r>
      <w:r>
        <w:t xml:space="preserve"> mm.</w:t>
      </w:r>
    </w:p>
    <w:p w14:paraId="051BDF2B" w14:textId="77777777" w:rsidR="00772179" w:rsidRDefault="00000000">
      <w:pPr>
        <w:pStyle w:val="Author-eListParagraph"/>
        <w:numPr>
          <w:ilvl w:val="0"/>
          <w:numId w:val="321"/>
        </w:numPr>
      </w:pPr>
      <w:r>
        <w:t>Profondeur du profil : ≥ </w:t>
      </w:r>
      <w:r>
        <w:rPr>
          <w:rStyle w:val="optioncarChar"/>
        </w:rPr>
        <w:t>70</w:t>
      </w:r>
      <w:r>
        <w:t> (par défaut)</w:t>
      </w:r>
      <w:r>
        <w:rPr>
          <w:rStyle w:val="optioncarChar"/>
        </w:rPr>
        <w:t> / 75 / 90 / 100 / ***</w:t>
      </w:r>
      <w:r>
        <w:t> mm.</w:t>
      </w:r>
    </w:p>
    <w:p w14:paraId="194D39DC" w14:textId="77777777" w:rsidR="00772179" w:rsidRDefault="00000000">
      <w:pPr>
        <w:pStyle w:val="Author-eListParagraph"/>
        <w:numPr>
          <w:ilvl w:val="0"/>
          <w:numId w:val="321"/>
        </w:numPr>
      </w:pPr>
      <w:r>
        <w:t>Epaisseur des parois extérieures des profilés de résistance : ≥ à </w:t>
      </w:r>
      <w:r>
        <w:rPr>
          <w:rStyle w:val="optioncarChar"/>
        </w:rPr>
        <w:t>1,6</w:t>
      </w:r>
      <w:r>
        <w:t> (par défaut) </w:t>
      </w:r>
      <w:r>
        <w:rPr>
          <w:rStyle w:val="optioncarChar"/>
        </w:rPr>
        <w:t>/ ***</w:t>
      </w:r>
      <w:r>
        <w:t> mm.</w:t>
      </w:r>
    </w:p>
    <w:p w14:paraId="42B15A1B" w14:textId="77777777" w:rsidR="00772179" w:rsidRDefault="00000000">
      <w:pPr>
        <w:pStyle w:val="Author-eListParagraph"/>
        <w:numPr>
          <w:ilvl w:val="0"/>
          <w:numId w:val="321"/>
        </w:numPr>
      </w:pPr>
      <w:r>
        <w:t>Type de frappe : </w:t>
      </w:r>
      <w:r>
        <w:rPr>
          <w:rStyle w:val="optioncarChar"/>
        </w:rPr>
        <w:t>double avec joint central </w:t>
      </w:r>
      <w:r>
        <w:t>(par défaut)</w:t>
      </w:r>
      <w:r>
        <w:rPr>
          <w:rStyle w:val="optioncarChar"/>
        </w:rPr>
        <w:t> / triple avec joint central et joint intérieur acoustique / ***.</w:t>
      </w:r>
    </w:p>
    <w:p w14:paraId="28DA8597" w14:textId="77777777" w:rsidR="00772179" w:rsidRDefault="00000000">
      <w:pPr>
        <w:pStyle w:val="Author-eListParagraph"/>
        <w:numPr>
          <w:ilvl w:val="0"/>
          <w:numId w:val="321"/>
        </w:numPr>
      </w:pPr>
      <w:r>
        <w:t>Etanchéité à l’air et à l’eau des parties ouvrantes : </w:t>
      </w:r>
      <w:r>
        <w:rPr>
          <w:rStyle w:val="optioncarChar"/>
        </w:rPr>
        <w:t>double</w:t>
      </w:r>
      <w:r>
        <w:t> (par défaut)</w:t>
      </w:r>
      <w:r>
        <w:rPr>
          <w:rStyle w:val="optioncarChar"/>
        </w:rPr>
        <w:t> / triple / ***</w:t>
      </w:r>
      <w:r>
        <w:t>.</w:t>
      </w:r>
    </w:p>
    <w:p w14:paraId="6243CC24" w14:textId="77777777" w:rsidR="00772179" w:rsidRDefault="00000000">
      <w:pPr>
        <w:jc w:val="both"/>
      </w:pPr>
      <w:r>
        <w:rPr>
          <w:b/>
        </w:rPr>
        <w:lastRenderedPageBreak/>
        <w:t>Performances</w:t>
      </w:r>
    </w:p>
    <w:p w14:paraId="5DFB7C8F" w14:textId="77777777" w:rsidR="00772179" w:rsidRDefault="00000000">
      <w:pPr>
        <w:pStyle w:val="Author-eListParagraph"/>
        <w:numPr>
          <w:ilvl w:val="0"/>
          <w:numId w:val="322"/>
        </w:numPr>
      </w:pPr>
      <w:r>
        <w:t>Performances thermiques de la porte calculée suivant [NBN EN 12412-2] ou [NBN EN ISO 10077-2] : valeur Uw : </w:t>
      </w:r>
      <w:r>
        <w:rPr>
          <w:rStyle w:val="optioncarChar"/>
        </w:rPr>
        <w:t>conforme aux résultats de l’étude PEB </w:t>
      </w:r>
      <w:r>
        <w:t>(par défaut)</w:t>
      </w:r>
      <w:r>
        <w:rPr>
          <w:rStyle w:val="optioncarChar"/>
        </w:rPr>
        <w:t>  /  ≤ à 1,00 (triple vitrage) / ≤ à 1,50 (triple vitrage) / ≤ à 2,00 (double vitrage) / *** W/m²K</w:t>
      </w:r>
    </w:p>
    <w:p w14:paraId="13E660FB" w14:textId="77777777" w:rsidR="00772179" w:rsidRDefault="00000000">
      <w:pPr>
        <w:pStyle w:val="Author-eListParagraph"/>
        <w:numPr>
          <w:ilvl w:val="0"/>
          <w:numId w:val="322"/>
        </w:numPr>
      </w:pPr>
      <w:r>
        <w:t>Remplissage : voir descriptif au chapitre </w:t>
      </w:r>
      <w:hyperlink w:anchor="852" w:history="1">
        <w:r>
          <w:rPr>
            <w:color w:val="0000EE"/>
          </w:rPr>
          <w:t>42 Vitrages extérieurs et éléments de remplissage</w:t>
        </w:r>
      </w:hyperlink>
      <w:r>
        <w:t>.</w:t>
      </w:r>
    </w:p>
    <w:p w14:paraId="0823274C" w14:textId="77777777" w:rsidR="00772179" w:rsidRDefault="00000000">
      <w:pPr>
        <w:pStyle w:val="Author-eListParagraph"/>
        <w:numPr>
          <w:ilvl w:val="0"/>
          <w:numId w:val="322"/>
        </w:numPr>
      </w:pPr>
      <w:r>
        <w:t>Etanchéité à l’air : classe</w:t>
      </w:r>
      <w:r>
        <w:rPr>
          <w:rStyle w:val="optioncarChar"/>
        </w:rPr>
        <w:t> 4 </w:t>
      </w:r>
      <w:r>
        <w:t>(par défaut)</w:t>
      </w:r>
      <w:r>
        <w:rPr>
          <w:rStyle w:val="optioncarChar"/>
        </w:rPr>
        <w:t> / ***</w:t>
      </w:r>
    </w:p>
    <w:p w14:paraId="47A7453B" w14:textId="77777777" w:rsidR="00772179" w:rsidRDefault="00000000">
      <w:pPr>
        <w:pStyle w:val="Author-eListParagraph"/>
        <w:numPr>
          <w:ilvl w:val="0"/>
          <w:numId w:val="322"/>
        </w:numPr>
      </w:pPr>
      <w:r>
        <w:t>Etanchéité à l’eau : classe</w:t>
      </w:r>
      <w:r>
        <w:rPr>
          <w:rStyle w:val="optioncarChar"/>
        </w:rPr>
        <w:t> 6A </w:t>
      </w:r>
      <w:r>
        <w:t>(par défaut) </w:t>
      </w:r>
      <w:r>
        <w:rPr>
          <w:rStyle w:val="optioncarChar"/>
        </w:rPr>
        <w:t>/ ***</w:t>
      </w:r>
    </w:p>
    <w:p w14:paraId="7717D23B" w14:textId="77777777" w:rsidR="00772179" w:rsidRDefault="00000000">
      <w:pPr>
        <w:pStyle w:val="Author-eListParagraph"/>
        <w:numPr>
          <w:ilvl w:val="0"/>
          <w:numId w:val="322"/>
        </w:numPr>
      </w:pPr>
      <w:r>
        <w:t>Résistance au vent : classe</w:t>
      </w:r>
      <w:r>
        <w:rPr>
          <w:rStyle w:val="optioncarChar"/>
        </w:rPr>
        <w:t> C3 </w:t>
      </w:r>
      <w:r>
        <w:t>(par défaut)</w:t>
      </w:r>
      <w:r>
        <w:rPr>
          <w:rStyle w:val="optioncarChar"/>
        </w:rPr>
        <w:t> / ***</w:t>
      </w:r>
    </w:p>
    <w:p w14:paraId="67E90D8E" w14:textId="77777777" w:rsidR="00772179" w:rsidRDefault="00000000">
      <w:pPr>
        <w:pStyle w:val="Author-eListParagraph"/>
        <w:numPr>
          <w:ilvl w:val="0"/>
          <w:numId w:val="322"/>
        </w:numPr>
      </w:pPr>
      <w:r>
        <w:t>D’effort de manœuvre : classe</w:t>
      </w:r>
      <w:r>
        <w:rPr>
          <w:rStyle w:val="optioncarChar"/>
        </w:rPr>
        <w:t> 1</w:t>
      </w:r>
      <w:r>
        <w:t> (par défaut) </w:t>
      </w:r>
      <w:r>
        <w:rPr>
          <w:rStyle w:val="optioncarChar"/>
        </w:rPr>
        <w:t>/ 2 (PMR) / ***</w:t>
      </w:r>
    </w:p>
    <w:p w14:paraId="72B9DE9E" w14:textId="77777777" w:rsidR="00772179" w:rsidRDefault="00000000">
      <w:pPr>
        <w:pStyle w:val="Author-eListParagraph"/>
        <w:numPr>
          <w:ilvl w:val="0"/>
          <w:numId w:val="322"/>
        </w:numPr>
      </w:pPr>
      <w:r>
        <w:t>Abus d’utilisation : classe</w:t>
      </w:r>
      <w:r>
        <w:rPr>
          <w:rStyle w:val="optioncarChar"/>
        </w:rPr>
        <w:t> 3 </w:t>
      </w:r>
      <w:r>
        <w:t>(par défaut)</w:t>
      </w:r>
      <w:r>
        <w:rPr>
          <w:rStyle w:val="optioncarChar"/>
        </w:rPr>
        <w:t> / 4 (écoles, bâtiments publics) / ***</w:t>
      </w:r>
    </w:p>
    <w:p w14:paraId="5F9E5207" w14:textId="77777777" w:rsidR="00772179" w:rsidRDefault="00000000">
      <w:pPr>
        <w:pStyle w:val="Author-eListParagraph"/>
        <w:numPr>
          <w:ilvl w:val="0"/>
          <w:numId w:val="322"/>
        </w:numPr>
      </w:pPr>
      <w:r>
        <w:t>Performances acoustiques D Atr : </w:t>
      </w:r>
      <w:r>
        <w:rPr>
          <w:rStyle w:val="optioncarChar"/>
        </w:rPr>
        <w:t>non spécifié </w:t>
      </w:r>
      <w:r>
        <w:t>(par défaut)</w:t>
      </w:r>
      <w:r>
        <w:rPr>
          <w:rStyle w:val="optioncarChar"/>
        </w:rPr>
        <w:t> / ≥ 39 / ≥ 42 / ***</w:t>
      </w:r>
      <w:r>
        <w:t> dB suivant [NBN S 01-400-1] (bâtiments) &amp; [NBN S 01-400-2] (écoles)]</w:t>
      </w:r>
    </w:p>
    <w:p w14:paraId="57BDAF7B" w14:textId="77777777" w:rsidR="00772179" w:rsidRDefault="00000000">
      <w:pPr>
        <w:pStyle w:val="Author-eListParagraph"/>
        <w:numPr>
          <w:ilvl w:val="0"/>
          <w:numId w:val="322"/>
        </w:numPr>
      </w:pPr>
      <w:r>
        <w:t>Résistance à l’effraction : classe</w:t>
      </w:r>
      <w:r>
        <w:rPr>
          <w:rStyle w:val="optioncarChar"/>
        </w:rPr>
        <w:t xml:space="preserve"> 2 (résistance à l’effraction de base) </w:t>
      </w:r>
      <w:r>
        <w:t>(par défaut)</w:t>
      </w:r>
      <w:r>
        <w:rPr>
          <w:rStyle w:val="optioncarChar"/>
        </w:rPr>
        <w:t> / 1 (sans performance particulière) / 3 / 4 / 5 / ***</w:t>
      </w:r>
    </w:p>
    <w:p w14:paraId="2301F2D4" w14:textId="77777777" w:rsidR="00772179" w:rsidRDefault="00000000">
      <w:pPr>
        <w:pStyle w:val="Author-eListParagraph"/>
        <w:numPr>
          <w:ilvl w:val="0"/>
          <w:numId w:val="322"/>
        </w:numPr>
      </w:pPr>
      <w:r>
        <w:t>Résistance à l’explosion : </w:t>
      </w:r>
      <w:r>
        <w:rPr>
          <w:rStyle w:val="optioncarChar"/>
        </w:rPr>
        <w:t>non spécifié </w:t>
      </w:r>
      <w:r>
        <w:t>(par défaut) </w:t>
      </w:r>
      <w:r>
        <w:rPr>
          <w:rStyle w:val="optioncarChar"/>
        </w:rPr>
        <w:t>/ ***</w:t>
      </w:r>
    </w:p>
    <w:p w14:paraId="1CCD6D22" w14:textId="77777777" w:rsidR="00772179" w:rsidRDefault="00000000">
      <w:pPr>
        <w:pStyle w:val="Author-eListParagraph"/>
        <w:numPr>
          <w:ilvl w:val="0"/>
          <w:numId w:val="322"/>
        </w:numPr>
      </w:pPr>
      <w:r>
        <w:t>Résistance aux balles :  </w:t>
      </w:r>
      <w:r>
        <w:rPr>
          <w:rStyle w:val="optioncarChar"/>
        </w:rPr>
        <w:t>non spécifié</w:t>
      </w:r>
      <w:r>
        <w:t> (par défaut)</w:t>
      </w:r>
      <w:r>
        <w:rPr>
          <w:rStyle w:val="optioncarChar"/>
        </w:rPr>
        <w:t> / ***</w:t>
      </w:r>
    </w:p>
    <w:p w14:paraId="0FE07B16" w14:textId="77777777" w:rsidR="00772179" w:rsidRDefault="00000000">
      <w:pPr>
        <w:pStyle w:val="Author-eListParagraph"/>
        <w:numPr>
          <w:ilvl w:val="0"/>
          <w:numId w:val="322"/>
        </w:numPr>
      </w:pPr>
      <w:r>
        <w:t>Résistance et réaction au feu : </w:t>
      </w:r>
      <w:r>
        <w:rPr>
          <w:rStyle w:val="optioncarChar"/>
        </w:rPr>
        <w:t>non spécifié</w:t>
      </w:r>
      <w:r>
        <w:t> (par défaut)</w:t>
      </w:r>
      <w:r>
        <w:rPr>
          <w:rStyle w:val="optioncarChar"/>
        </w:rPr>
        <w:t> / ***</w:t>
      </w:r>
    </w:p>
    <w:p w14:paraId="31DEA447" w14:textId="77777777" w:rsidR="00772179" w:rsidRDefault="00000000">
      <w:pPr>
        <w:pStyle w:val="Author-eListParagraph"/>
        <w:numPr>
          <w:ilvl w:val="0"/>
          <w:numId w:val="322"/>
        </w:numPr>
      </w:pPr>
      <w:r>
        <w:t>Résistance aux chocs : classe</w:t>
      </w:r>
      <w:r>
        <w:rPr>
          <w:rStyle w:val="optioncarChar"/>
        </w:rPr>
        <w:t xml:space="preserve"> 2</w:t>
      </w:r>
      <w:r>
        <w:t> (par défaut)</w:t>
      </w:r>
      <w:r>
        <w:rPr>
          <w:rStyle w:val="optioncarChar"/>
        </w:rPr>
        <w:t> / ***</w:t>
      </w:r>
    </w:p>
    <w:p w14:paraId="455114DB" w14:textId="77777777" w:rsidR="00772179" w:rsidRDefault="00000000">
      <w:pPr>
        <w:jc w:val="both"/>
      </w:pPr>
      <w:r>
        <w:rPr>
          <w:b/>
        </w:rPr>
        <w:t>Assemblages</w:t>
      </w:r>
    </w:p>
    <w:p w14:paraId="5299DFF6" w14:textId="77777777" w:rsidR="00772179" w:rsidRDefault="00000000">
      <w:pPr>
        <w:jc w:val="both"/>
      </w:pPr>
      <w:r>
        <w:t>Les assemblages des angles et des extrémités sont exécutés par </w:t>
      </w:r>
      <w:r>
        <w:rPr>
          <w:rStyle w:val="optioncarChar"/>
        </w:rPr>
        <w:t>sertissage ou vissage, collage et kit d’étanchéité </w:t>
      </w:r>
      <w:r>
        <w:t>(par défaut)</w:t>
      </w:r>
      <w:r>
        <w:rPr>
          <w:rStyle w:val="optioncarChar"/>
        </w:rPr>
        <w:t> / ***.</w:t>
      </w:r>
    </w:p>
    <w:p w14:paraId="7431C85D" w14:textId="77777777" w:rsidR="00772179" w:rsidRDefault="00000000">
      <w:pPr>
        <w:jc w:val="both"/>
      </w:pPr>
      <w:r>
        <w:rPr>
          <w:b/>
        </w:rPr>
        <w:t>(soit par défaut)</w:t>
      </w:r>
    </w:p>
    <w:p w14:paraId="34E09C7C" w14:textId="77777777" w:rsidR="00772179" w:rsidRDefault="00000000">
      <w:pPr>
        <w:jc w:val="both"/>
      </w:pPr>
      <w:r>
        <w:rPr>
          <w:rStyle w:val="soitChar"/>
          <w:u w:val="single"/>
        </w:rPr>
        <w:t>Sertissage ou vissage, collage et kit d’étanchéité :</w:t>
      </w:r>
    </w:p>
    <w:p w14:paraId="27E00EE6" w14:textId="77777777" w:rsidR="00772179" w:rsidRDefault="00000000">
      <w:pPr>
        <w:jc w:val="both"/>
      </w:pPr>
      <w:r>
        <w:rPr>
          <w:rStyle w:val="soitChar"/>
        </w:rPr>
        <w:t>Les assemblages sont réalisés à l’aide :</w:t>
      </w:r>
    </w:p>
    <w:p w14:paraId="59A85CD4" w14:textId="77777777" w:rsidR="00772179" w:rsidRDefault="00000000">
      <w:pPr>
        <w:pStyle w:val="Author-eListParagraph"/>
        <w:numPr>
          <w:ilvl w:val="0"/>
          <w:numId w:val="323"/>
        </w:numPr>
      </w:pPr>
      <w:r>
        <w:rPr>
          <w:rStyle w:val="soitChar"/>
        </w:rPr>
        <w:t>De deux équerres à sertir où à visser en aluminium coulé (UNI 5076) logées dans les chambres extérieures et intérieures des profilés. Avant le sertissage/vissage des équerres, les coupes des profilés sont nettoyées et ensuite rendues étanches à l’aide d’un produit qui protège les onglets de la corrosion en même temps qu’il en assure l’étanchéité.</w:t>
      </w:r>
    </w:p>
    <w:p w14:paraId="2AFE119A" w14:textId="77777777" w:rsidR="00772179" w:rsidRDefault="00000000">
      <w:pPr>
        <w:pStyle w:val="Author-eListParagraph"/>
        <w:numPr>
          <w:ilvl w:val="0"/>
          <w:numId w:val="323"/>
        </w:numPr>
      </w:pPr>
      <w:r>
        <w:rPr>
          <w:rStyle w:val="soitChar"/>
        </w:rPr>
        <w:t>Les percements d'injection de la colle sont réalisés soit avant le sertissage ou vissage des profilés, soit lors du sertissage des profilés. Par ces percements d'injection, une colle à deux composants (Epoxy) est injectée dans l'onglet et se répartit uniformément grâce aux canaux de collage des équerres à sertir ou à visser. La compatibilité entre la colle et le système aluminium est conforme à l’agrément technique ou équivalent.</w:t>
      </w:r>
    </w:p>
    <w:p w14:paraId="6FF5F997" w14:textId="77777777" w:rsidR="00772179" w:rsidRDefault="00000000">
      <w:pPr>
        <w:pStyle w:val="Author-eListParagraph"/>
        <w:numPr>
          <w:ilvl w:val="0"/>
          <w:numId w:val="323"/>
        </w:numPr>
      </w:pPr>
      <w:r>
        <w:rPr>
          <w:rStyle w:val="soitChar"/>
        </w:rPr>
        <w:t>D’une équerre de support en aluminium glissée dans la lèvre de frappe assurant la planéité de l'onglet. Cette équerre doit également être collée au moyen d'une colle à deux composants (Epoxy)</w:t>
      </w:r>
    </w:p>
    <w:p w14:paraId="4A74FBFC" w14:textId="77777777" w:rsidR="00772179" w:rsidRDefault="00000000">
      <w:pPr>
        <w:pStyle w:val="Author-eListParagraph"/>
        <w:numPr>
          <w:ilvl w:val="0"/>
          <w:numId w:val="323"/>
        </w:numPr>
      </w:pPr>
      <w:r>
        <w:rPr>
          <w:rStyle w:val="soitChar"/>
        </w:rPr>
        <w:t>D’une équerre de remplissage en matière synthétique collée entre les barrettes d’isolation.  Ceci formera la finition de l’assemblage dans lequel l’espace entre les barrettes est comblé.</w:t>
      </w:r>
    </w:p>
    <w:p w14:paraId="04F3BC35" w14:textId="77777777" w:rsidR="00772179" w:rsidRDefault="00000000">
      <w:pPr>
        <w:jc w:val="both"/>
      </w:pPr>
      <w:r>
        <w:rPr>
          <w:b/>
        </w:rPr>
        <w:t>(soit)</w:t>
      </w:r>
    </w:p>
    <w:p w14:paraId="1587DF93" w14:textId="77777777" w:rsidR="00772179" w:rsidRDefault="00000000">
      <w:pPr>
        <w:jc w:val="both"/>
      </w:pPr>
      <w:r>
        <w:rPr>
          <w:rStyle w:val="optioncarChar"/>
        </w:rPr>
        <w:t>***</w:t>
      </w:r>
    </w:p>
    <w:p w14:paraId="1898C539" w14:textId="77777777" w:rsidR="00772179" w:rsidRDefault="00000000">
      <w:pPr>
        <w:jc w:val="both"/>
      </w:pPr>
      <w:r>
        <w:rPr>
          <w:b/>
        </w:rPr>
        <w:t>Types de portes</w:t>
      </w:r>
    </w:p>
    <w:p w14:paraId="37D2E5BD" w14:textId="77777777" w:rsidR="00772179" w:rsidRDefault="00000000">
      <w:pPr>
        <w:jc w:val="both"/>
      </w:pPr>
      <w:r>
        <w:t>Les dimensions sont données dans le métré détaillé.</w:t>
      </w:r>
    </w:p>
    <w:p w14:paraId="30C448D2" w14:textId="77777777" w:rsidR="00772179" w:rsidRDefault="00000000">
      <w:pPr>
        <w:jc w:val="both"/>
      </w:pPr>
      <w:r>
        <w:rPr>
          <w:u w:val="single"/>
        </w:rPr>
        <w:t>Porte simple :</w:t>
      </w:r>
    </w:p>
    <w:p w14:paraId="752A6CDD"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 </w:t>
      </w:r>
    </w:p>
    <w:p w14:paraId="779F4C8C" w14:textId="77777777" w:rsidR="00772179" w:rsidRDefault="00000000">
      <w:pPr>
        <w:pStyle w:val="Author-eListParagraph"/>
        <w:numPr>
          <w:ilvl w:val="0"/>
          <w:numId w:val="324"/>
        </w:numPr>
      </w:pPr>
      <w:r>
        <w:t>Cfr. Article </w:t>
      </w:r>
      <w:hyperlink w:anchor="881" w:history="1">
        <w:r>
          <w:rPr>
            <w:color w:val="0000EE"/>
          </w:rPr>
          <w:t>41.72.1a Charnières et paumelles</w:t>
        </w:r>
      </w:hyperlink>
    </w:p>
    <w:p w14:paraId="35489736" w14:textId="77777777" w:rsidR="00772179" w:rsidRDefault="00000000">
      <w:pPr>
        <w:pStyle w:val="Author-eListParagraph"/>
        <w:numPr>
          <w:ilvl w:val="0"/>
          <w:numId w:val="324"/>
        </w:numPr>
      </w:pPr>
      <w:r>
        <w:t>Cfr. Article </w:t>
      </w:r>
      <w:hyperlink w:anchor="905" w:history="1">
        <w:r>
          <w:rPr>
            <w:color w:val="0000EE"/>
          </w:rPr>
          <w:t>41.72.2a Serrures</w:t>
        </w:r>
      </w:hyperlink>
    </w:p>
    <w:p w14:paraId="3CDDD24D" w14:textId="77777777" w:rsidR="00772179" w:rsidRDefault="00000000">
      <w:pPr>
        <w:pStyle w:val="Author-eListParagraph"/>
        <w:numPr>
          <w:ilvl w:val="0"/>
          <w:numId w:val="324"/>
        </w:numPr>
      </w:pPr>
      <w:r>
        <w:lastRenderedPageBreak/>
        <w:t>Cfr. Article </w:t>
      </w:r>
      <w:hyperlink w:anchor="882" w:history="1">
        <w:r>
          <w:rPr>
            <w:color w:val="0000EE"/>
          </w:rPr>
          <w:t>41.72.3a Poignées</w:t>
        </w:r>
      </w:hyperlink>
    </w:p>
    <w:p w14:paraId="24D9AC17" w14:textId="77777777" w:rsidR="00772179" w:rsidRDefault="00000000">
      <w:pPr>
        <w:jc w:val="both"/>
      </w:pPr>
      <w:r>
        <w:rPr>
          <w:u w:val="single"/>
        </w:rPr>
        <w:t>Double porte :</w:t>
      </w:r>
    </w:p>
    <w:p w14:paraId="4DABB935"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 (par défaut) </w:t>
      </w:r>
      <w:r>
        <w:rPr>
          <w:rStyle w:val="optioncarChar"/>
        </w:rPr>
        <w:t> / Vitrages triple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 </w:t>
      </w:r>
    </w:p>
    <w:p w14:paraId="4FED11B3" w14:textId="77777777" w:rsidR="00772179" w:rsidRDefault="00000000">
      <w:pPr>
        <w:jc w:val="both"/>
      </w:pPr>
      <w:r>
        <w:t>Quincailleries : </w:t>
      </w:r>
      <w:r>
        <w:rPr>
          <w:rStyle w:val="optioncarChar"/>
        </w:rPr>
        <w:t>conformes à la documentation technique du produit</w:t>
      </w:r>
      <w:r>
        <w:t> (par défaut) </w:t>
      </w:r>
      <w:r>
        <w:rPr>
          <w:rStyle w:val="optioncarChar"/>
        </w:rPr>
        <w:t>/ ***.</w:t>
      </w:r>
    </w:p>
    <w:p w14:paraId="54CCEC00" w14:textId="77777777" w:rsidR="00772179" w:rsidRDefault="00000000">
      <w:pPr>
        <w:pStyle w:val="Author-eListParagraph"/>
        <w:numPr>
          <w:ilvl w:val="0"/>
          <w:numId w:val="325"/>
        </w:numPr>
      </w:pPr>
      <w:r>
        <w:t>Cfr. Article </w:t>
      </w:r>
      <w:hyperlink w:anchor="881" w:history="1">
        <w:r>
          <w:rPr>
            <w:color w:val="0000EE"/>
          </w:rPr>
          <w:t>41.72.1a Charnières et paumelles</w:t>
        </w:r>
      </w:hyperlink>
    </w:p>
    <w:p w14:paraId="54868C06" w14:textId="77777777" w:rsidR="00772179" w:rsidRDefault="00000000">
      <w:pPr>
        <w:pStyle w:val="Author-eListParagraph"/>
        <w:numPr>
          <w:ilvl w:val="0"/>
          <w:numId w:val="325"/>
        </w:numPr>
      </w:pPr>
      <w:r>
        <w:t xml:space="preserve">Cfr. Article </w:t>
      </w:r>
      <w:hyperlink w:anchor="905" w:history="1">
        <w:r>
          <w:rPr>
            <w:color w:val="0000EE"/>
          </w:rPr>
          <w:t>41.72.2a Serrures</w:t>
        </w:r>
      </w:hyperlink>
    </w:p>
    <w:p w14:paraId="48B69BB8" w14:textId="77777777" w:rsidR="00772179" w:rsidRDefault="00000000">
      <w:pPr>
        <w:pStyle w:val="Author-eListParagraph"/>
        <w:numPr>
          <w:ilvl w:val="0"/>
          <w:numId w:val="325"/>
        </w:numPr>
      </w:pPr>
      <w:r>
        <w:t>Cfr. Article </w:t>
      </w:r>
      <w:hyperlink w:anchor="882" w:history="1">
        <w:r>
          <w:rPr>
            <w:color w:val="0000EE"/>
          </w:rPr>
          <w:t>41.72.3a Poignées</w:t>
        </w:r>
      </w:hyperlink>
    </w:p>
    <w:p w14:paraId="2080BE02" w14:textId="77777777" w:rsidR="00772179" w:rsidRDefault="00000000">
      <w:pPr>
        <w:pStyle w:val="Author-eListParagraph"/>
        <w:numPr>
          <w:ilvl w:val="0"/>
          <w:numId w:val="325"/>
        </w:numPr>
      </w:pPr>
      <w:r>
        <w:t>Pour les doubles portes extérieures, un vantail est équipé de deux verrous à bascule en acier inoxydable encastrés. Pour la fermeture supérieure et inférieure, des douilles de fermeture encastrées en acier inoxydable sont prévues.</w:t>
      </w:r>
    </w:p>
    <w:p w14:paraId="0606163E" w14:textId="77777777" w:rsidR="00772179" w:rsidRDefault="00000000">
      <w:pPr>
        <w:jc w:val="both"/>
      </w:pPr>
      <w:r>
        <w:rPr>
          <w:u w:val="single"/>
        </w:rPr>
        <w:t>Ensembles de portes composées :</w:t>
      </w:r>
    </w:p>
    <w:p w14:paraId="328FEEE3"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 (par défaut) </w:t>
      </w:r>
      <w:r>
        <w:rPr>
          <w:rStyle w:val="optioncarChar"/>
        </w:rPr>
        <w:t> / Vitrages triple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 </w:t>
      </w:r>
    </w:p>
    <w:p w14:paraId="56CC544E" w14:textId="77777777" w:rsidR="00772179" w:rsidRDefault="00000000">
      <w:pPr>
        <w:jc w:val="both"/>
      </w:pPr>
      <w:r>
        <w:t>Quincailleries : </w:t>
      </w:r>
      <w:r>
        <w:rPr>
          <w:rStyle w:val="optioncarChar"/>
        </w:rPr>
        <w:t>conformes à la documentation technique du produit</w:t>
      </w:r>
      <w:r>
        <w:t> (par défaut) </w:t>
      </w:r>
      <w:r>
        <w:rPr>
          <w:rStyle w:val="optioncarChar"/>
        </w:rPr>
        <w:t>/ ***.</w:t>
      </w:r>
    </w:p>
    <w:p w14:paraId="77CB0601" w14:textId="77777777" w:rsidR="00772179" w:rsidRDefault="00000000">
      <w:pPr>
        <w:pStyle w:val="Author-eListParagraph"/>
        <w:numPr>
          <w:ilvl w:val="0"/>
          <w:numId w:val="326"/>
        </w:numPr>
      </w:pPr>
      <w:r>
        <w:t>Cfr. Article </w:t>
      </w:r>
      <w:hyperlink w:anchor="881" w:history="1">
        <w:r>
          <w:rPr>
            <w:color w:val="0000EE"/>
          </w:rPr>
          <w:t>41.72.1a Charnières et paumelles</w:t>
        </w:r>
      </w:hyperlink>
    </w:p>
    <w:p w14:paraId="42B2541E" w14:textId="77777777" w:rsidR="00772179" w:rsidRDefault="00000000">
      <w:pPr>
        <w:pStyle w:val="Author-eListParagraph"/>
        <w:numPr>
          <w:ilvl w:val="0"/>
          <w:numId w:val="326"/>
        </w:numPr>
      </w:pPr>
      <w:r>
        <w:t>Cfr. Article </w:t>
      </w:r>
      <w:hyperlink w:anchor="905" w:history="1">
        <w:r>
          <w:rPr>
            <w:color w:val="0000EE"/>
          </w:rPr>
          <w:t>41.72.2a Serrures</w:t>
        </w:r>
      </w:hyperlink>
    </w:p>
    <w:p w14:paraId="4E51D133" w14:textId="77777777" w:rsidR="00772179" w:rsidRDefault="00000000">
      <w:pPr>
        <w:pStyle w:val="Author-eListParagraph"/>
        <w:numPr>
          <w:ilvl w:val="0"/>
          <w:numId w:val="326"/>
        </w:numPr>
      </w:pPr>
      <w:r>
        <w:t>Cfr. Article </w:t>
      </w:r>
      <w:hyperlink w:anchor="882" w:history="1">
        <w:r>
          <w:rPr>
            <w:color w:val="0000EE"/>
          </w:rPr>
          <w:t>41.72.3a Poignées</w:t>
        </w:r>
      </w:hyperlink>
    </w:p>
    <w:p w14:paraId="33D36440" w14:textId="77777777" w:rsidR="00772179" w:rsidRDefault="00000000">
      <w:pPr>
        <w:pStyle w:val="Author-eListParagraph"/>
        <w:numPr>
          <w:ilvl w:val="0"/>
          <w:numId w:val="327"/>
        </w:numPr>
        <w:jc w:val="both"/>
      </w:pPr>
      <w:r>
        <w:t>Les ensembles de portes composées sont constituées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en ensemble indéformable.</w:t>
      </w:r>
    </w:p>
    <w:p w14:paraId="4FB9B31B" w14:textId="77777777" w:rsidR="00772179" w:rsidRDefault="00000000">
      <w:pPr>
        <w:jc w:val="both"/>
      </w:pPr>
      <w:r>
        <w:rPr>
          <w:b/>
        </w:rPr>
        <w:t>Quincaillerie</w:t>
      </w:r>
    </w:p>
    <w:p w14:paraId="2218F411" w14:textId="77777777" w:rsidR="00772179" w:rsidRDefault="00000000">
      <w:pPr>
        <w:jc w:val="both"/>
      </w:pPr>
      <w:r>
        <w:t>La quincaillerie encastrée est </w:t>
      </w:r>
      <w:r>
        <w:rPr>
          <w:rStyle w:val="optioncarChar"/>
        </w:rPr>
        <w:t>galvanisée (≥ 19 µm) </w:t>
      </w:r>
      <w:r>
        <w:t>(par défaut)</w:t>
      </w:r>
      <w:r>
        <w:rPr>
          <w:rStyle w:val="optioncarChar"/>
        </w:rPr>
        <w:t> / chromatée / synthétique / ***</w:t>
      </w:r>
      <w:r>
        <w:t> et les différents constituants qui sont encastrés dans le profilé sont enduits, pendant l’encastrement, d’une épaisse couche de graisse pour roulements à billes. (Voir </w:t>
      </w:r>
      <w:hyperlink w:anchor="884" w:history="1">
        <w:r>
          <w:rPr>
            <w:color w:val="0000EE"/>
          </w:rPr>
          <w:t>41.72 Quincailleries</w:t>
        </w:r>
      </w:hyperlink>
      <w:r>
        <w:t>)</w:t>
      </w:r>
    </w:p>
    <w:p w14:paraId="3258012D" w14:textId="77777777" w:rsidR="00772179" w:rsidRDefault="00000000">
      <w:pPr>
        <w:jc w:val="both"/>
      </w:pPr>
      <w:r>
        <w:t>La quincaillerie permet d’atteindre les performances définies ci-dessus et est conforme aux descriptions des essais initiaux pour le marquage de la porte.</w:t>
      </w:r>
    </w:p>
    <w:p w14:paraId="7531DC62" w14:textId="77777777" w:rsidR="00772179" w:rsidRDefault="00000000">
      <w:pPr>
        <w:jc w:val="both"/>
      </w:pPr>
      <w:r>
        <w:t>Les poignées et autres dispositifs d’aide à la manœuvre (notamment PMR) sont définis au </w:t>
      </w:r>
      <w:hyperlink w:anchor="886" w:history="1">
        <w:r>
          <w:rPr>
            <w:color w:val="0000EE"/>
          </w:rPr>
          <w:t>41.72.3 Poignées</w:t>
        </w:r>
      </w:hyperlink>
      <w:r>
        <w:t>En principe, la porte d'entrée (principale) est actionnée avec une poignée à l'intérieur et avec une clé et un tirant à l'extérieur. Les autres portes extérieures sont actionnées à l'aide d'une poignée à l'intérieur et à l'extérieur.</w:t>
      </w:r>
    </w:p>
    <w:p w14:paraId="14E08EEB" w14:textId="77777777" w:rsidR="00772179" w:rsidRDefault="00000000">
      <w:pPr>
        <w:jc w:val="both"/>
      </w:pPr>
      <w:r>
        <w:t xml:space="preserve">Les vantaux de porte sont équipés d’une serrure </w:t>
      </w:r>
      <w:r>
        <w:rPr>
          <w:rStyle w:val="optioncarChar"/>
        </w:rPr>
        <w:t>à cylindre profilé (par défaut) / à cylindre de sécurité / électromagnétique / ***</w:t>
      </w:r>
    </w:p>
    <w:p w14:paraId="05D795D5" w14:textId="77777777" w:rsidR="00772179" w:rsidRDefault="00000000">
      <w:pPr>
        <w:jc w:val="both"/>
      </w:pPr>
      <w:r>
        <w:rPr>
          <w:b/>
        </w:rPr>
        <w:t>(soit par défaut)</w:t>
      </w:r>
    </w:p>
    <w:p w14:paraId="3A9BB24B" w14:textId="77777777" w:rsidR="00772179" w:rsidRDefault="00000000">
      <w:pPr>
        <w:jc w:val="both"/>
      </w:pPr>
      <w:r>
        <w:rPr>
          <w:rStyle w:val="soitChar"/>
          <w:u w:val="single"/>
        </w:rPr>
        <w:t>A cylindre profilé</w:t>
      </w:r>
      <w:r>
        <w:rPr>
          <w:rStyle w:val="soitChar"/>
        </w:rPr>
        <w:t xml:space="preserve"> en </w:t>
      </w:r>
      <w:r>
        <w:rPr>
          <w:rStyle w:val="optioncarChar"/>
        </w:rPr>
        <w:t>inox</w:t>
      </w:r>
      <w:r>
        <w:t xml:space="preserve"> (par défaut)</w:t>
      </w:r>
      <w:r>
        <w:rPr>
          <w:rStyle w:val="optioncarChar"/>
        </w:rPr>
        <w:t xml:space="preserve"> / laiton / ***</w:t>
      </w:r>
      <w:r>
        <w:rPr>
          <w:rStyle w:val="soitChar"/>
        </w:rPr>
        <w:t> avec </w:t>
      </w:r>
      <w:r>
        <w:rPr>
          <w:rStyle w:val="optioncarChar"/>
        </w:rPr>
        <w:t>trois</w:t>
      </w:r>
      <w:r>
        <w:t> (par défaut)</w:t>
      </w:r>
      <w:r>
        <w:rPr>
          <w:rStyle w:val="optioncarChar"/>
        </w:rPr>
        <w:t> / quatre / cinq</w:t>
      </w:r>
      <w:r>
        <w:rPr>
          <w:rStyle w:val="soitChar"/>
        </w:rPr>
        <w:t> points de fermeture</w:t>
      </w:r>
      <w:r>
        <w:t>.</w:t>
      </w:r>
    </w:p>
    <w:p w14:paraId="0213BDA4" w14:textId="77777777" w:rsidR="00772179" w:rsidRDefault="00000000">
      <w:pPr>
        <w:jc w:val="both"/>
      </w:pPr>
      <w:r>
        <w:rPr>
          <w:b/>
        </w:rPr>
        <w:t>(soit)</w:t>
      </w:r>
    </w:p>
    <w:p w14:paraId="4A5F009D" w14:textId="77777777" w:rsidR="00772179" w:rsidRDefault="00000000">
      <w:pPr>
        <w:jc w:val="both"/>
      </w:pPr>
      <w:r>
        <w:rPr>
          <w:rStyle w:val="soitChar"/>
          <w:u w:val="single"/>
        </w:rPr>
        <w:t>A cylindre de sécurité</w:t>
      </w:r>
      <w:r>
        <w:rPr>
          <w:rStyle w:val="soitChar"/>
        </w:rPr>
        <w:t xml:space="preserve"> en </w:t>
      </w:r>
      <w:r>
        <w:rPr>
          <w:rStyle w:val="optioncarChar"/>
        </w:rPr>
        <w:t>inox</w:t>
      </w:r>
      <w:r>
        <w:t xml:space="preserve"> (par défaut)</w:t>
      </w:r>
      <w:r>
        <w:rPr>
          <w:rStyle w:val="optioncarChar"/>
        </w:rPr>
        <w:t xml:space="preserve"> / laiton / ***</w:t>
      </w:r>
      <w:r>
        <w:rPr>
          <w:rStyle w:val="soitChar"/>
        </w:rPr>
        <w:t> avec </w:t>
      </w:r>
      <w:r>
        <w:rPr>
          <w:rStyle w:val="optioncarChar"/>
        </w:rPr>
        <w:t xml:space="preserve">trois </w:t>
      </w:r>
      <w:r>
        <w:t>(par défaut) </w:t>
      </w:r>
      <w:r>
        <w:rPr>
          <w:rStyle w:val="optioncarChar"/>
        </w:rPr>
        <w:t>/ quatre / cinq</w:t>
      </w:r>
      <w:r>
        <w:rPr>
          <w:rStyle w:val="soitChar"/>
        </w:rPr>
        <w:t> points de fermeture.</w:t>
      </w:r>
    </w:p>
    <w:p w14:paraId="39A75E2E" w14:textId="77777777" w:rsidR="00772179" w:rsidRDefault="00000000">
      <w:pPr>
        <w:jc w:val="both"/>
      </w:pPr>
      <w:r>
        <w:rPr>
          <w:b/>
        </w:rPr>
        <w:t>(soit)</w:t>
      </w:r>
    </w:p>
    <w:p w14:paraId="64D4DEB4" w14:textId="77777777" w:rsidR="00772179" w:rsidRDefault="00000000">
      <w:pPr>
        <w:jc w:val="both"/>
      </w:pPr>
      <w:r>
        <w:rPr>
          <w:rStyle w:val="soitChar"/>
          <w:u w:val="single"/>
        </w:rPr>
        <w:t>Electromagnétique</w:t>
      </w:r>
      <w:r>
        <w:rPr>
          <w:rStyle w:val="soitChar"/>
        </w:rPr>
        <w:t xml:space="preserve"> - standard lorsqu'un parlophone est prévu. </w:t>
      </w:r>
    </w:p>
    <w:p w14:paraId="557090FB" w14:textId="77777777" w:rsidR="00772179" w:rsidRDefault="00000000">
      <w:pPr>
        <w:jc w:val="both"/>
      </w:pPr>
      <w:r>
        <w:rPr>
          <w:b/>
        </w:rPr>
        <w:lastRenderedPageBreak/>
        <w:t>(soit)</w:t>
      </w:r>
    </w:p>
    <w:p w14:paraId="5A76D51C" w14:textId="77777777" w:rsidR="00772179" w:rsidRDefault="00000000">
      <w:pPr>
        <w:jc w:val="both"/>
      </w:pPr>
      <w:r>
        <w:rPr>
          <w:rStyle w:val="optioncarChar"/>
        </w:rPr>
        <w:t>***</w:t>
      </w:r>
    </w:p>
    <w:p w14:paraId="1BDA6A8A" w14:textId="77777777" w:rsidR="00772179" w:rsidRDefault="00000000">
      <w:pPr>
        <w:jc w:val="both"/>
      </w:pPr>
      <w:r>
        <w:t xml:space="preserve">Pour la continuité de l’étanchéité à l’air, le profil inférieur du vantail est muni : </w:t>
      </w:r>
      <w:r>
        <w:rPr>
          <w:rStyle w:val="optioncarChar"/>
        </w:rPr>
        <w:t>guillotine à joint</w:t>
      </w:r>
      <w:r>
        <w:t> (par défaut)</w:t>
      </w:r>
      <w:r>
        <w:rPr>
          <w:rStyle w:val="optioncarChar"/>
        </w:rPr>
        <w:t> / guillotine à brosse / brosse / seuil « Suisse » composé d’un profil en aluminium à rupture thermique d’une hauteur ≤ à 20 mm à simple frappe (PMR) / seuil « Suisse » composé d’un profil en aluminium à rupture thermique d’une hauteur ≤ à 35 mm à double frappe (performances passives).</w:t>
      </w:r>
    </w:p>
    <w:p w14:paraId="25360208" w14:textId="77777777" w:rsidR="00772179" w:rsidRDefault="00000000">
      <w:pPr>
        <w:jc w:val="both"/>
      </w:pPr>
      <w:r>
        <w:rPr>
          <w:b/>
        </w:rPr>
        <w:t>Vitrages et panneaux de remplissage</w:t>
      </w:r>
    </w:p>
    <w:p w14:paraId="23F8B4D7" w14:textId="77777777" w:rsidR="00772179" w:rsidRDefault="00000000">
      <w:pPr>
        <w:jc w:val="both"/>
      </w:pPr>
      <w:r>
        <w:t>Voir </w:t>
      </w:r>
      <w:hyperlink w:anchor="852" w:history="1">
        <w:r>
          <w:rPr>
            <w:color w:val="0000EE"/>
          </w:rPr>
          <w:t>42 Vitrages extérieurs et éléments de remplissage</w:t>
        </w:r>
      </w:hyperlink>
    </w:p>
    <w:p w14:paraId="173E5DF8" w14:textId="77777777" w:rsidR="00772179" w:rsidRDefault="00000000">
      <w:pPr>
        <w:jc w:val="both"/>
      </w:pPr>
      <w:r>
        <w:rPr>
          <w:b/>
        </w:rPr>
        <w:t>Aspects environnementaux </w:t>
      </w:r>
    </w:p>
    <w:p w14:paraId="4EA7BFF8" w14:textId="77777777" w:rsidR="00772179" w:rsidRDefault="00000000">
      <w:pPr>
        <w:jc w:val="both"/>
      </w:pPr>
      <w:r>
        <w:t>Matériaux recyclés entrant dans la fabrication du produit : </w:t>
      </w:r>
      <w:r>
        <w:rPr>
          <w:rStyle w:val="optioncarChar"/>
        </w:rPr>
        <w:t>oui / non  </w:t>
      </w:r>
    </w:p>
    <w:p w14:paraId="147C74DF" w14:textId="77777777" w:rsidR="00772179" w:rsidRDefault="00000000">
      <w:pPr>
        <w:pStyle w:val="pheading"/>
      </w:pPr>
      <w:r>
        <w:t>- Finitions</w:t>
      </w:r>
    </w:p>
    <w:p w14:paraId="059C5872" w14:textId="77777777" w:rsidR="00772179" w:rsidRDefault="00000000">
      <w:pPr>
        <w:jc w:val="both"/>
      </w:pPr>
      <w:r>
        <w:t>Le traitement de finition des profils en aluminium est réalisé par </w:t>
      </w:r>
      <w:r>
        <w:rPr>
          <w:rStyle w:val="optioncarChar"/>
        </w:rPr>
        <w:t>thermolaquage par poudrage polyester </w:t>
      </w:r>
      <w:r>
        <w:t>(par défaut)</w:t>
      </w:r>
      <w:r>
        <w:rPr>
          <w:rStyle w:val="optioncarChar"/>
        </w:rPr>
        <w:t> / anodisation / ***.</w:t>
      </w:r>
    </w:p>
    <w:p w14:paraId="59F9C130" w14:textId="77777777" w:rsidR="00772179" w:rsidRDefault="00000000">
      <w:pPr>
        <w:jc w:val="both"/>
      </w:pPr>
      <w:r>
        <w:rPr>
          <w:b/>
        </w:rPr>
        <w:t>(soit par défaut)</w:t>
      </w:r>
    </w:p>
    <w:p w14:paraId="5D753BFB" w14:textId="77777777" w:rsidR="00772179" w:rsidRDefault="00000000">
      <w:pPr>
        <w:jc w:val="both"/>
      </w:pPr>
      <w:r>
        <w:rPr>
          <w:rStyle w:val="soitChar"/>
          <w:u w:val="single"/>
        </w:rPr>
        <w:t>Thermolaquage par poudrage polyester :</w:t>
      </w:r>
      <w:r>
        <w:rPr>
          <w:rStyle w:val="soitChar"/>
        </w:rPr>
        <w:t> selon [Qualicoat] épaisseur ≥ 60 μm</w:t>
      </w:r>
    </w:p>
    <w:p w14:paraId="758AFB73" w14:textId="77777777" w:rsidR="00772179" w:rsidRDefault="00000000">
      <w:pPr>
        <w:jc w:val="both"/>
      </w:pPr>
      <w:r>
        <w:rPr>
          <w:rStyle w:val="soitChar"/>
        </w:rPr>
        <w:t>Le procédé de finition par laquage sur aluminium est conforme à la norme [NBN EN 12206-1].</w:t>
      </w:r>
    </w:p>
    <w:p w14:paraId="6FDD60DD" w14:textId="77777777" w:rsidR="00772179" w:rsidRDefault="00000000">
      <w:pPr>
        <w:jc w:val="both"/>
      </w:pPr>
      <w:r>
        <w:rPr>
          <w:rStyle w:val="soitChar"/>
        </w:rPr>
        <w:t>Les couches de peinture résistent aux chocs et ne s’écaillent pas aux bords lors d’opérations mécaniques (forage, sciage, fraisage, poinçonnage, ...). Les échantillons de profilés nécessaires sont préalablement soumis à l’auteur de projet.</w:t>
      </w:r>
    </w:p>
    <w:p w14:paraId="1AD9E251" w14:textId="77777777" w:rsidR="00772179" w:rsidRDefault="00000000">
      <w:pPr>
        <w:jc w:val="both"/>
      </w:pPr>
      <w:r>
        <w:rPr>
          <w:rStyle w:val="soitChar"/>
        </w:rPr>
        <w:t>Domaine d’application :  </w:t>
      </w:r>
      <w:r>
        <w:rPr>
          <w:rStyle w:val="optioncarChar"/>
        </w:rPr>
        <w:t>classe 2 </w:t>
      </w:r>
      <w:r>
        <w:t>(par défaut)</w:t>
      </w:r>
      <w:r>
        <w:rPr>
          <w:rStyle w:val="optioncarChar"/>
        </w:rPr>
        <w:t> / classe 3</w:t>
      </w:r>
    </w:p>
    <w:p w14:paraId="33CC03C9" w14:textId="77777777" w:rsidR="00772179" w:rsidRDefault="00000000">
      <w:pPr>
        <w:ind w:left="567"/>
        <w:jc w:val="both"/>
      </w:pPr>
      <w:r>
        <w:rPr>
          <w:b/>
        </w:rPr>
        <w:t>(soit par défaut)</w:t>
      </w:r>
    </w:p>
    <w:p w14:paraId="34B9FF00" w14:textId="77777777" w:rsidR="00772179" w:rsidRDefault="00000000">
      <w:pPr>
        <w:ind w:left="567"/>
        <w:jc w:val="both"/>
      </w:pPr>
      <w:r>
        <w:rPr>
          <w:rStyle w:val="soitChar"/>
          <w:u w:val="single"/>
        </w:rPr>
        <w:t>Classe 2</w:t>
      </w:r>
      <w:r>
        <w:rPr>
          <w:rStyle w:val="soitChar"/>
        </w:rPr>
        <w:t>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180 ≤ T°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5E7879B1" w14:textId="77777777" w:rsidR="00772179" w:rsidRDefault="00000000">
      <w:pPr>
        <w:ind w:left="567"/>
        <w:jc w:val="both"/>
      </w:pPr>
      <w:r>
        <w:rPr>
          <w:b/>
        </w:rPr>
        <w:t>(soit)</w:t>
      </w:r>
    </w:p>
    <w:p w14:paraId="4EE15B35" w14:textId="77777777" w:rsidR="00772179" w:rsidRDefault="00000000">
      <w:pPr>
        <w:ind w:left="567"/>
        <w:jc w:val="both"/>
      </w:pPr>
      <w:r>
        <w:rPr>
          <w:rStyle w:val="soitChar"/>
          <w:u w:val="single"/>
        </w:rPr>
        <w:t>Classe 3</w:t>
      </w:r>
      <w:r>
        <w:rPr>
          <w:rStyle w:val="soitChar"/>
        </w:rPr>
        <w:t> – Des circonstances agressives - charge agressive.</w:t>
      </w:r>
    </w:p>
    <w:p w14:paraId="3674ED47" w14:textId="77777777" w:rsidR="00772179" w:rsidRDefault="00000000">
      <w:pPr>
        <w:ind w:left="567"/>
        <w:jc w:val="both"/>
      </w:pPr>
      <w:r>
        <w:rPr>
          <w:rStyle w:val="soitChar"/>
        </w:rPr>
        <w:t>Des circonstances agressives sont entre autres : Zones de trafic ferroviaire (tram ou train), de retombées de chlorure (régions côtières jusqu’à 10 km et à proximité des piscines, des régions urbaines ou industrielles).</w:t>
      </w:r>
    </w:p>
    <w:p w14:paraId="3EBF7B49" w14:textId="77777777" w:rsidR="00772179" w:rsidRDefault="00000000">
      <w:pPr>
        <w:ind w:left="567"/>
        <w:jc w:val="both"/>
      </w:pPr>
      <w:r>
        <w:rPr>
          <w:rStyle w:val="soitChar"/>
        </w:rPr>
        <w:t>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minutes / μm) pour permettre une bonne adhérence de la couche de peinture. Ensuite, le matériel est manipulé avec des gants afin d’éviter les taches de graisse.</w:t>
      </w:r>
    </w:p>
    <w:p w14:paraId="52E965BA" w14:textId="77777777" w:rsidR="00772179" w:rsidRDefault="00000000">
      <w:pPr>
        <w:ind w:left="567"/>
        <w:jc w:val="both"/>
      </w:pPr>
      <w:r>
        <w:rPr>
          <w:rStyle w:val="soitChar"/>
        </w:rPr>
        <w:t>Maximum 24 heures après le rinçage et le séchage, les profilés sont pourvus d’un revêtement poudreux électrostatique à base de polyester et sont polymérisés dans un four d’émaillage à une température comprise entre les 180 - 200 °C.</w:t>
      </w:r>
    </w:p>
    <w:p w14:paraId="5EF071FA" w14:textId="77777777" w:rsidR="00772179" w:rsidRDefault="00000000">
      <w:pPr>
        <w:pStyle w:val="Author-eListParagraph"/>
        <w:numPr>
          <w:ilvl w:val="1"/>
          <w:numId w:val="329"/>
        </w:numPr>
        <w:jc w:val="both"/>
      </w:pPr>
      <w:r>
        <w:rPr>
          <w:rStyle w:val="soitChar"/>
        </w:rPr>
        <w:t>Couleur : </w:t>
      </w:r>
      <w:r>
        <w:rPr>
          <w:rStyle w:val="optioncarChar"/>
        </w:rPr>
        <w:t>libre choix dans la gamme standard du fabricant</w:t>
      </w:r>
      <w:r>
        <w:t> (par défaut)</w:t>
      </w:r>
      <w:r>
        <w:rPr>
          <w:rStyle w:val="optioncarChar"/>
        </w:rPr>
        <w:t> / couleur RAL : ***</w:t>
      </w:r>
    </w:p>
    <w:p w14:paraId="495162C1" w14:textId="77777777" w:rsidR="00772179" w:rsidRDefault="00000000">
      <w:pPr>
        <w:pStyle w:val="Author-eListParagraph"/>
        <w:numPr>
          <w:ilvl w:val="1"/>
          <w:numId w:val="329"/>
        </w:numPr>
        <w:jc w:val="both"/>
      </w:pPr>
      <w:r>
        <w:rPr>
          <w:rStyle w:val="soitChar"/>
        </w:rPr>
        <w:t>Degré de brillance : </w:t>
      </w:r>
      <w:r>
        <w:rPr>
          <w:rStyle w:val="optioncarChar"/>
        </w:rPr>
        <w:t>30</w:t>
      </w:r>
      <w:r>
        <w:t> (par défaut)</w:t>
      </w:r>
      <w:r>
        <w:rPr>
          <w:rStyle w:val="optioncarChar"/>
        </w:rPr>
        <w:t> / 70 / 90 / ***</w:t>
      </w:r>
      <w:r>
        <w:rPr>
          <w:rStyle w:val="soitChar"/>
        </w:rPr>
        <w:t> % sous un angle de 60 °.</w:t>
      </w:r>
    </w:p>
    <w:p w14:paraId="52466545" w14:textId="77777777" w:rsidR="00772179" w:rsidRDefault="00000000">
      <w:pPr>
        <w:pStyle w:val="Author-eListParagraph"/>
        <w:numPr>
          <w:ilvl w:val="1"/>
          <w:numId w:val="329"/>
        </w:numPr>
        <w:jc w:val="both"/>
      </w:pPr>
      <w:r>
        <w:rPr>
          <w:rStyle w:val="soitChar"/>
        </w:rPr>
        <w:t>Finition :  </w:t>
      </w:r>
      <w:r>
        <w:rPr>
          <w:rStyle w:val="optioncarChar"/>
        </w:rPr>
        <w:t>mat</w:t>
      </w:r>
      <w:r>
        <w:t> (par défaut)</w:t>
      </w:r>
      <w:r>
        <w:rPr>
          <w:rStyle w:val="optioncarChar"/>
        </w:rPr>
        <w:t> / métallisée / ***.</w:t>
      </w:r>
    </w:p>
    <w:p w14:paraId="71A7FC21" w14:textId="77777777" w:rsidR="00772179" w:rsidRDefault="00000000">
      <w:pPr>
        <w:jc w:val="both"/>
      </w:pPr>
      <w:r>
        <w:rPr>
          <w:b/>
        </w:rPr>
        <w:lastRenderedPageBreak/>
        <w:t>(soit)</w:t>
      </w:r>
    </w:p>
    <w:p w14:paraId="548065B0" w14:textId="77777777" w:rsidR="00772179" w:rsidRDefault="00000000">
      <w:pPr>
        <w:jc w:val="both"/>
      </w:pPr>
      <w:r>
        <w:rPr>
          <w:rStyle w:val="soitChar"/>
          <w:u w:val="single"/>
        </w:rPr>
        <w:t>Anodisation :</w:t>
      </w:r>
      <w:r>
        <w:rPr>
          <w:rStyle w:val="soitChar"/>
        </w:rPr>
        <w:t> selon [Qualanod]</w:t>
      </w:r>
    </w:p>
    <w:p w14:paraId="5CC9F9C3" w14:textId="77777777" w:rsidR="00772179" w:rsidRDefault="00000000">
      <w:pPr>
        <w:jc w:val="both"/>
      </w:pPr>
      <w:r>
        <w:rPr>
          <w:rStyle w:val="soitChar"/>
        </w:rPr>
        <w:t>Après le traitement préliminaire et avant l’oxydation anodique pour l’aluminium, les profilés sont dégraissés et décapés. La couche d’oxyde est parfaitement étanche (sans porosité) et recouvre la totalité des pièces. La couche d’oxyde est étanche à l’eau par colmatage dans un bain d’eau bouillante. L’entreprise chargée de l’anodisation prouve la qualité et la durabilité de la finition. La qualité est contrôlée par des essais suivant la procédure prévue dans le label.</w:t>
      </w:r>
    </w:p>
    <w:p w14:paraId="4B7F8C19" w14:textId="77777777" w:rsidR="00772179" w:rsidRDefault="00000000">
      <w:pPr>
        <w:pStyle w:val="Author-eListParagraph"/>
        <w:numPr>
          <w:ilvl w:val="0"/>
          <w:numId w:val="330"/>
        </w:numPr>
      </w:pPr>
      <w:r>
        <w:rPr>
          <w:rStyle w:val="soitChar"/>
        </w:rPr>
        <w:t>Couleur : </w:t>
      </w:r>
      <w:r>
        <w:rPr>
          <w:rStyle w:val="optioncarChar"/>
        </w:rPr>
        <w:t>naturelle </w:t>
      </w:r>
      <w:r>
        <w:t>(par défaut)</w:t>
      </w:r>
      <w:r>
        <w:rPr>
          <w:rStyle w:val="optioncarChar"/>
        </w:rPr>
        <w:t> / noir / bronze / ***</w:t>
      </w:r>
    </w:p>
    <w:p w14:paraId="772E8840" w14:textId="77777777" w:rsidR="00772179" w:rsidRDefault="00000000">
      <w:pPr>
        <w:pStyle w:val="Author-eListParagraph"/>
        <w:numPr>
          <w:ilvl w:val="0"/>
          <w:numId w:val="330"/>
        </w:numPr>
      </w:pPr>
      <w:r>
        <w:rPr>
          <w:rStyle w:val="soitChar"/>
        </w:rPr>
        <w:t>Finition : Le traitement préliminaire et la protection de la menuiserie répondent aux spécifications [STS 52.2] et sont conformes </w:t>
      </w:r>
      <w:r>
        <w:rPr>
          <w:rStyle w:val="optioncarChar"/>
        </w:rPr>
        <w:t>au mode AO - Non poli avec traitement anodique </w:t>
      </w:r>
      <w:r>
        <w:t>(par défaut) </w:t>
      </w:r>
      <w:r>
        <w:rPr>
          <w:rStyle w:val="optioncarChar"/>
        </w:rPr>
        <w:t>/ au mode BO - Semi-poli avec traitement anodique (satiné) / au mode CO - Complètement poli avec traitement anodique (brillant) / ***</w:t>
      </w:r>
      <w:r>
        <w:rPr>
          <w:rStyle w:val="soitChar"/>
        </w:rPr>
        <w:t>.</w:t>
      </w:r>
    </w:p>
    <w:p w14:paraId="4F2DF20A" w14:textId="77777777" w:rsidR="00772179" w:rsidRDefault="00000000">
      <w:pPr>
        <w:pStyle w:val="Author-eListParagraph"/>
        <w:numPr>
          <w:ilvl w:val="0"/>
          <w:numId w:val="330"/>
        </w:numPr>
      </w:pPr>
      <w:r>
        <w:rPr>
          <w:rStyle w:val="soitChar"/>
        </w:rPr>
        <w:t>Epaisseur de la couche d’oxyde : Catégorie</w:t>
      </w:r>
      <w:r>
        <w:t> </w:t>
      </w:r>
      <w:r>
        <w:rPr>
          <w:rStyle w:val="optioncarChar"/>
        </w:rPr>
        <w:t>AA15 (15 μm) </w:t>
      </w:r>
      <w:r>
        <w:t>(par défaut)</w:t>
      </w:r>
      <w:r>
        <w:rPr>
          <w:rStyle w:val="optioncarChar"/>
        </w:rPr>
        <w:t> / AA 20 (20 μm) / AA25 (25 μm) / *** μm</w:t>
      </w:r>
      <w:r>
        <w:rPr>
          <w:rStyle w:val="soitChar"/>
        </w:rPr>
        <w:t> conformément aux spécifications de la [NBN B 25-002-4] et selon la norme [NBN EN ISO 7599]</w:t>
      </w:r>
    </w:p>
    <w:p w14:paraId="30AB4DF7" w14:textId="77777777" w:rsidR="00772179" w:rsidRDefault="00000000">
      <w:pPr>
        <w:jc w:val="both"/>
      </w:pPr>
      <w:r>
        <w:rPr>
          <w:b/>
        </w:rPr>
        <w:t>(soit)</w:t>
      </w:r>
    </w:p>
    <w:p w14:paraId="36DAB886" w14:textId="77777777" w:rsidR="00772179" w:rsidRDefault="00000000">
      <w:pPr>
        <w:jc w:val="both"/>
      </w:pPr>
      <w:r>
        <w:rPr>
          <w:rStyle w:val="optioncarChar"/>
        </w:rPr>
        <w:t>***</w:t>
      </w:r>
    </w:p>
    <w:p w14:paraId="7FE5C491" w14:textId="77777777" w:rsidR="00772179" w:rsidRDefault="00000000">
      <w:pPr>
        <w:pStyle w:val="pheading"/>
      </w:pPr>
      <w:r>
        <w:t>EXÉCUTION / MISE EN ŒUVRE</w:t>
      </w:r>
    </w:p>
    <w:p w14:paraId="2CB2F15A" w14:textId="77777777" w:rsidR="00772179" w:rsidRDefault="00000000">
      <w:pPr>
        <w:pStyle w:val="pheading"/>
      </w:pPr>
      <w:r>
        <w:t>- Prescriptions générales</w:t>
      </w:r>
    </w:p>
    <w:p w14:paraId="67E1DB24" w14:textId="77777777" w:rsidR="00772179" w:rsidRDefault="00000000">
      <w:pPr>
        <w:jc w:val="both"/>
      </w:pPr>
      <w:r>
        <w:t>Pour la continuité de l’étanchéité à l’air, le resserrage est muni d’un </w:t>
      </w:r>
      <w:r>
        <w:rPr>
          <w:rStyle w:val="optioncarChar"/>
        </w:rPr>
        <w:t>kit de mastic</w:t>
      </w:r>
      <w:r>
        <w:t> (par défaut) </w:t>
      </w:r>
      <w:r>
        <w:rPr>
          <w:rStyle w:val="optioncarChar"/>
        </w:rPr>
        <w:t>/ membrane / profilé de resserrage / ***.</w:t>
      </w:r>
    </w:p>
    <w:p w14:paraId="5EA0DEED" w14:textId="77777777" w:rsidR="00772179" w:rsidRDefault="00000000">
      <w:pPr>
        <w:jc w:val="both"/>
      </w:pPr>
      <w:r>
        <w:t>Pour la continuité de l’isolation acoustique le resserrage est muni d’une</w:t>
      </w:r>
      <w:r>
        <w:rPr>
          <w:rStyle w:val="optioncarChar"/>
        </w:rPr>
        <w:t> laine de roche</w:t>
      </w:r>
      <w:r>
        <w:t> (par défaut) </w:t>
      </w:r>
      <w:r>
        <w:rPr>
          <w:rStyle w:val="optioncarChar"/>
        </w:rPr>
        <w:t>/ mousse acoustique / plaque massive / ***.</w:t>
      </w:r>
    </w:p>
    <w:p w14:paraId="5C9504AF" w14:textId="77777777" w:rsidR="00772179" w:rsidRDefault="00000000">
      <w:pPr>
        <w:pStyle w:val="pheading"/>
      </w:pPr>
      <w:r>
        <w:t>- Échantillons</w:t>
      </w:r>
    </w:p>
    <w:p w14:paraId="5BE19E91" w14:textId="77777777" w:rsidR="00772179" w:rsidRDefault="00000000">
      <w:pPr>
        <w:jc w:val="both"/>
      </w:pPr>
      <w:r>
        <w:t>L’entrepreneur soumet un échantillon des profils et des finitions qu’il propose à l’approbation de la direction du chantier.</w:t>
      </w:r>
    </w:p>
    <w:p w14:paraId="798CF737" w14:textId="77777777" w:rsidR="00772179" w:rsidRDefault="00000000">
      <w:pPr>
        <w:pStyle w:val="pheading"/>
      </w:pPr>
      <w:r>
        <w:t>DOCUMENTS DE RÉFÉRENCE COMPLÉMENTAIRES</w:t>
      </w:r>
    </w:p>
    <w:p w14:paraId="2FF4F151" w14:textId="77777777" w:rsidR="00772179" w:rsidRDefault="00000000">
      <w:pPr>
        <w:pStyle w:val="pheading"/>
      </w:pPr>
      <w:r>
        <w:t>- Matériau</w:t>
      </w:r>
    </w:p>
    <w:p w14:paraId="62DA7F79" w14:textId="77777777" w:rsidR="00772179" w:rsidRDefault="00000000">
      <w:r>
        <w:rPr>
          <w:color w:val="000000"/>
        </w:rPr>
        <w:t>[NIT 283, La pose des menuiseries extérieures. Partie 1 : aspects généraux.]</w:t>
      </w:r>
    </w:p>
    <w:p w14:paraId="735936FF" w14:textId="77777777" w:rsidR="00772179" w:rsidRDefault="00000000">
      <w:pPr>
        <w:pStyle w:val="pheading"/>
      </w:pPr>
      <w:r>
        <w:t>- Exécution</w:t>
      </w:r>
    </w:p>
    <w:p w14:paraId="409FC002" w14:textId="77777777" w:rsidR="00772179" w:rsidRDefault="00000000">
      <w:r>
        <w:t>[NIT 288, La pose des menuiseries extérieures Partie 3 : mise en œuvre de châssis en aluminium et en PVC dans des murs creux]</w:t>
      </w:r>
    </w:p>
    <w:p w14:paraId="4B95F1CE" w14:textId="77777777" w:rsidR="00772179" w:rsidRDefault="00000000">
      <w:r>
        <w:t>[NIT 283, La pose des menuiseries extérieures. Partie 1 : aspects généraux.]</w:t>
      </w:r>
    </w:p>
    <w:p w14:paraId="526A46F3" w14:textId="77777777" w:rsidR="00772179" w:rsidRDefault="00000000">
      <w:pPr>
        <w:pStyle w:val="pheading"/>
      </w:pPr>
      <w:r>
        <w:t>MESURAGE</w:t>
      </w:r>
    </w:p>
    <w:p w14:paraId="5230AD52" w14:textId="77777777" w:rsidR="00772179" w:rsidRDefault="00000000">
      <w:pPr>
        <w:pStyle w:val="pheading"/>
      </w:pPr>
      <w:r>
        <w:t>- unité de mesure:</w:t>
      </w:r>
    </w:p>
    <w:p w14:paraId="307602D9" w14:textId="77777777" w:rsidR="00772179" w:rsidRDefault="00000000">
      <w:r>
        <w:rPr>
          <w:rStyle w:val="optioncarChar"/>
        </w:rPr>
        <w:t xml:space="preserve">pc </w:t>
      </w:r>
      <w:r>
        <w:t>(par défaut)</w:t>
      </w:r>
      <w:r>
        <w:rPr>
          <w:rStyle w:val="optioncarChar"/>
        </w:rPr>
        <w:t xml:space="preserve"> / m²</w:t>
      </w:r>
    </w:p>
    <w:p w14:paraId="3A58136D" w14:textId="77777777" w:rsidR="00772179" w:rsidRDefault="00000000">
      <w:r>
        <w:rPr>
          <w:b/>
        </w:rPr>
        <w:t>(soit par défaut)</w:t>
      </w:r>
      <w:r>
        <w:br/>
      </w:r>
      <w:r>
        <w:rPr>
          <w:rStyle w:val="soitChar"/>
        </w:rPr>
        <w:t>1. pc</w:t>
      </w:r>
      <w:r>
        <w:br/>
      </w:r>
      <w:r>
        <w:rPr>
          <w:b/>
        </w:rPr>
        <w:t>(soit)</w:t>
      </w:r>
      <w:r>
        <w:br/>
      </w:r>
      <w:r>
        <w:rPr>
          <w:rStyle w:val="soitChar"/>
        </w:rPr>
        <w:t>2. m²</w:t>
      </w:r>
    </w:p>
    <w:p w14:paraId="5FEE1935" w14:textId="77777777" w:rsidR="00772179" w:rsidRDefault="00000000">
      <w:pPr>
        <w:pStyle w:val="pheading"/>
      </w:pPr>
      <w:r>
        <w:t>- code de mesurage:</w:t>
      </w:r>
    </w:p>
    <w:p w14:paraId="4C49F393" w14:textId="77777777" w:rsidR="00772179" w:rsidRDefault="00000000">
      <w:pPr>
        <w:jc w:val="both"/>
      </w:pPr>
      <w:r>
        <w:rPr>
          <w:rStyle w:val="optioncarChar"/>
        </w:rPr>
        <w:t>Quantité nette</w:t>
      </w:r>
      <w:r>
        <w:t xml:space="preserve"> (par défaut)</w:t>
      </w:r>
      <w:r>
        <w:rPr>
          <w:rStyle w:val="optioncarChar"/>
        </w:rPr>
        <w:t xml:space="preserve"> / Surface nette</w:t>
      </w:r>
    </w:p>
    <w:p w14:paraId="4C1228C4" w14:textId="77777777" w:rsidR="00772179" w:rsidRDefault="00000000">
      <w:pPr>
        <w:jc w:val="both"/>
      </w:pPr>
      <w:r>
        <w:rPr>
          <w:b/>
        </w:rPr>
        <w:t>(soit par défaut)</w:t>
      </w:r>
    </w:p>
    <w:p w14:paraId="6FB2C34A" w14:textId="77777777" w:rsidR="00772179" w:rsidRDefault="00000000">
      <w:pPr>
        <w:jc w:val="both"/>
      </w:pPr>
      <w:r>
        <w:rPr>
          <w:rStyle w:val="soitChar"/>
        </w:rPr>
        <w:t xml:space="preserve">1. </w:t>
      </w:r>
      <w:r>
        <w:rPr>
          <w:rStyle w:val="soitChar"/>
          <w:u w:val="single"/>
        </w:rPr>
        <w:t>Quantité nette</w:t>
      </w:r>
      <w:r>
        <w:rPr>
          <w:rStyle w:val="soitChar"/>
        </w:rPr>
        <w:t xml:space="preserve"> suivant dimensions dans l’œuvre de chaque porte.</w:t>
      </w:r>
    </w:p>
    <w:p w14:paraId="37FAD0CA" w14:textId="77777777" w:rsidR="00772179" w:rsidRDefault="00000000">
      <w:pPr>
        <w:jc w:val="both"/>
      </w:pPr>
      <w:r>
        <w:rPr>
          <w:b/>
        </w:rPr>
        <w:lastRenderedPageBreak/>
        <w:t>(soit)</w:t>
      </w:r>
    </w:p>
    <w:p w14:paraId="2C28A63B" w14:textId="77777777" w:rsidR="00772179" w:rsidRDefault="00000000">
      <w:pPr>
        <w:jc w:val="both"/>
      </w:pPr>
      <w:r>
        <w:rPr>
          <w:rStyle w:val="soitChar"/>
        </w:rPr>
        <w:t>2. S</w:t>
      </w:r>
      <w:r>
        <w:rPr>
          <w:rStyle w:val="soitChar"/>
          <w:u w:val="single"/>
        </w:rPr>
        <w:t>urface nette</w:t>
      </w:r>
      <w:r>
        <w:rPr>
          <w:rStyle w:val="soitChar"/>
        </w:rPr>
        <w:t> en développement des dimensions dans l'œuvre ventilé selon le type ou le modèle conformément aux indications dans le métré récapitulatif annexé au dossier de mise en concurrence. Les différents types à distinguer éventuellement sont les portes simples, les ensembles de portes composées, etc….</w:t>
      </w:r>
    </w:p>
    <w:p w14:paraId="2E7DFEE6" w14:textId="77777777" w:rsidR="00772179" w:rsidRDefault="00000000">
      <w:pPr>
        <w:pStyle w:val="pheading"/>
      </w:pPr>
      <w:r>
        <w:t>- nature du marché:</w:t>
      </w:r>
    </w:p>
    <w:p w14:paraId="32A892C0" w14:textId="77777777" w:rsidR="00772179" w:rsidRDefault="00000000">
      <w:r>
        <w:t>1.2. QF</w:t>
      </w:r>
    </w:p>
    <w:p w14:paraId="08129763" w14:textId="77777777" w:rsidR="00772179" w:rsidRDefault="00000000">
      <w:pPr>
        <w:pStyle w:val="Author-eSectionHeading4Numberless"/>
      </w:pPr>
      <w:bookmarkStart w:id="83" w:name="_Toc220489829"/>
      <w:r>
        <w:t>41.23 Portes d'entrée en acier CCTB 01.02</w:t>
      </w:r>
      <w:bookmarkEnd w:id="83"/>
    </w:p>
    <w:p w14:paraId="4C4656F4" w14:textId="77777777" w:rsidR="00772179" w:rsidRDefault="00000000">
      <w:pPr>
        <w:pStyle w:val="Author-eSectionHeading5Numberless"/>
      </w:pPr>
      <w:bookmarkStart w:id="84" w:name="_Toc220489830"/>
      <w:r>
        <w:t>41.23.1 Portes d'entrée en acier sans coupure thermique CCTB 01.02</w:t>
      </w:r>
      <w:bookmarkEnd w:id="84"/>
    </w:p>
    <w:p w14:paraId="4182AC00" w14:textId="77777777" w:rsidR="00772179" w:rsidRDefault="00000000">
      <w:pPr>
        <w:pStyle w:val="Author-eSectionHeading6Numberless"/>
      </w:pPr>
      <w:bookmarkStart w:id="85" w:name="_Toc220489831"/>
      <w:r>
        <w:t>41.23.1a Portes d'entrée en acier sans coupure thermique</w:t>
      </w:r>
      <w:bookmarkEnd w:id="85"/>
    </w:p>
    <w:p w14:paraId="4D0D6247" w14:textId="77777777" w:rsidR="00772179" w:rsidRDefault="00000000">
      <w:pPr>
        <w:pStyle w:val="Author-eSectionHeading5Numberless"/>
      </w:pPr>
      <w:bookmarkStart w:id="86" w:name="_Toc220489832"/>
      <w:r>
        <w:t>41.23.2 Portes d'entrée en acier avec coupure thermique CCTB 01.02</w:t>
      </w:r>
      <w:bookmarkEnd w:id="86"/>
    </w:p>
    <w:p w14:paraId="15801550" w14:textId="77777777" w:rsidR="00772179" w:rsidRDefault="00000000">
      <w:pPr>
        <w:pStyle w:val="Author-eSectionHeading6Numberless"/>
      </w:pPr>
      <w:bookmarkStart w:id="87" w:name="_Toc220489833"/>
      <w:r>
        <w:t>41.23.2a Portes d'entrée en acier avec coupure thermique CCTB 01.13</w:t>
      </w:r>
      <w:bookmarkEnd w:id="87"/>
    </w:p>
    <w:p w14:paraId="6DBE5788" w14:textId="77777777" w:rsidR="00772179" w:rsidRDefault="00000000">
      <w:pPr>
        <w:pStyle w:val="pheading"/>
      </w:pPr>
      <w:r>
        <w:t>DESCRIPTION</w:t>
      </w:r>
    </w:p>
    <w:p w14:paraId="3A30E276" w14:textId="77777777" w:rsidR="00772179" w:rsidRDefault="00000000">
      <w:pPr>
        <w:pStyle w:val="pheading"/>
      </w:pPr>
      <w:r>
        <w:t>- Définition / Comprend</w:t>
      </w:r>
    </w:p>
    <w:p w14:paraId="006C8BA2" w14:textId="77777777" w:rsidR="00772179" w:rsidRDefault="00000000">
      <w:pPr>
        <w:jc w:val="both"/>
      </w:pPr>
      <w:r>
        <w:t>Cet article décrit la fourniture et la pose des portes en acier disposant d’une coupure thermique.</w:t>
      </w:r>
    </w:p>
    <w:p w14:paraId="5F357342" w14:textId="77777777" w:rsidR="00772179" w:rsidRDefault="00000000">
      <w:pPr>
        <w:jc w:val="both"/>
      </w:pPr>
      <w:r>
        <w:rPr>
          <w:b/>
        </w:rPr>
        <w:t>Remarques importantes</w:t>
      </w:r>
    </w:p>
    <w:p w14:paraId="209387AB" w14:textId="77777777" w:rsidR="00772179" w:rsidRDefault="00000000">
      <w:pPr>
        <w:jc w:val="both"/>
      </w:pPr>
      <w:r>
        <w:t>Toutes les portes sont soumises au Règlement Produits de Construction (RPC ([Règlement (UE) 305/2011])). Les produits sont conformes à la déclaration d'aptitude à l'utilisation suivant les prescriptions du chapitre 02.42.1 Critères d'acceptabilité qui est préalablement remis à l'auteur de projet.</w:t>
      </w:r>
    </w:p>
    <w:p w14:paraId="56C85E25" w14:textId="77777777" w:rsidR="00772179" w:rsidRDefault="00000000">
      <w:pPr>
        <w:pStyle w:val="pheading"/>
      </w:pPr>
      <w:r>
        <w:t>- Localisation</w:t>
      </w:r>
    </w:p>
    <w:p w14:paraId="5FD0A607" w14:textId="77777777" w:rsidR="00772179" w:rsidRDefault="00000000">
      <w:r>
        <w:t xml:space="preserve">La localisation des portes est la suivante : </w:t>
      </w:r>
      <w:r>
        <w:rPr>
          <w:rStyle w:val="optioncarChar"/>
        </w:rPr>
        <w:t>***.</w:t>
      </w:r>
    </w:p>
    <w:p w14:paraId="627E4CA8" w14:textId="77777777" w:rsidR="00772179" w:rsidRDefault="00000000">
      <w:r>
        <w:t>Voir plans et métrés détaillés</w:t>
      </w:r>
    </w:p>
    <w:p w14:paraId="224FBB60" w14:textId="77777777" w:rsidR="00772179" w:rsidRDefault="00000000">
      <w:pPr>
        <w:pStyle w:val="pheading"/>
      </w:pPr>
      <w:r>
        <w:t>MATÉRIAUX</w:t>
      </w:r>
    </w:p>
    <w:p w14:paraId="67D40C64" w14:textId="77777777" w:rsidR="00772179" w:rsidRDefault="00000000">
      <w:pPr>
        <w:pStyle w:val="pheading"/>
      </w:pPr>
      <w:r>
        <w:t>- Caractéristiques générales</w:t>
      </w:r>
    </w:p>
    <w:p w14:paraId="4CEC5336" w14:textId="77777777" w:rsidR="00772179" w:rsidRDefault="00000000">
      <w:pPr>
        <w:jc w:val="both"/>
      </w:pPr>
      <w:r>
        <w:t>La composition de l’acier pour les menuiseries extérieures est conforme aux exigences de la [STS 36] § 06.71.</w:t>
      </w:r>
    </w:p>
    <w:p w14:paraId="21411443" w14:textId="77777777" w:rsidR="00772179" w:rsidRDefault="00000000">
      <w:pPr>
        <w:jc w:val="both"/>
      </w:pPr>
      <w:r>
        <w:t xml:space="preserve">En fonction de l’exposition ou l’agressivité de l’environnement, les différents types d’acier suivants sont utilisés : </w:t>
      </w:r>
      <w:r>
        <w:rPr>
          <w:rStyle w:val="optioncarChar"/>
        </w:rPr>
        <w:t>Acier S235</w:t>
      </w:r>
      <w:r>
        <w:t xml:space="preserve"> (par défaut) </w:t>
      </w:r>
      <w:r>
        <w:rPr>
          <w:rStyle w:val="optioncarChar"/>
        </w:rPr>
        <w:t>/ Acier Inox A2 / Acier autopatinable / ***.</w:t>
      </w:r>
      <w:r>
        <w:t xml:space="preserve"> Les qualités d’aciers sont définies selon la norme [NBN EN 10020].</w:t>
      </w:r>
    </w:p>
    <w:p w14:paraId="58B3196B" w14:textId="77777777" w:rsidR="00772179" w:rsidRDefault="00000000">
      <w:pPr>
        <w:jc w:val="both"/>
      </w:pPr>
      <w:r>
        <w:t xml:space="preserve">Les profilés en acier sont laminés à froid aux galets et/ou soudés en continu, les profilés sont conformes à la norme [NBN EN 10025 série], la nuance de l’acier est </w:t>
      </w:r>
      <w:r>
        <w:rPr>
          <w:rStyle w:val="optioncarChar"/>
        </w:rPr>
        <w:t>DD12</w:t>
      </w:r>
      <w:r>
        <w:t xml:space="preserve"> (par défaut) </w:t>
      </w:r>
      <w:r>
        <w:rPr>
          <w:rStyle w:val="optioncarChar"/>
        </w:rPr>
        <w:t>/ ***</w:t>
      </w:r>
    </w:p>
    <w:p w14:paraId="69E2F7DC" w14:textId="77777777" w:rsidR="00772179" w:rsidRDefault="00000000">
      <w:pPr>
        <w:jc w:val="both"/>
      </w:pPr>
      <w:r>
        <w:t xml:space="preserve">L’épaisseur des profilés est </w:t>
      </w:r>
      <w:r>
        <w:rPr>
          <w:rStyle w:val="optioncarChar"/>
        </w:rPr>
        <w:t>1,5</w:t>
      </w:r>
      <w:r>
        <w:t xml:space="preserve"> (par défaut) </w:t>
      </w:r>
      <w:r>
        <w:rPr>
          <w:rStyle w:val="optioncarChar"/>
        </w:rPr>
        <w:t>/ ***</w:t>
      </w:r>
      <w:r>
        <w:t xml:space="preserve"> mm,</w:t>
      </w:r>
    </w:p>
    <w:p w14:paraId="434B9288" w14:textId="77777777" w:rsidR="00772179" w:rsidRDefault="00000000">
      <w:pPr>
        <w:jc w:val="both"/>
      </w:pPr>
      <w:r>
        <w:t>La largeur des profilés est de </w:t>
      </w:r>
      <w:r>
        <w:rPr>
          <w:rStyle w:val="optioncarChar"/>
        </w:rPr>
        <w:t xml:space="preserve">60 / 70 / 80 / *** </w:t>
      </w:r>
      <w:r>
        <w:t xml:space="preserve">mm et hauteurs de </w:t>
      </w:r>
      <w:r>
        <w:rPr>
          <w:rStyle w:val="optioncarChar"/>
        </w:rPr>
        <w:t>50</w:t>
      </w:r>
      <w:r>
        <w:t xml:space="preserve"> (par défaut) </w:t>
      </w:r>
      <w:r>
        <w:rPr>
          <w:rStyle w:val="optioncarChar"/>
        </w:rPr>
        <w:t>/ ***</w:t>
      </w:r>
      <w:r>
        <w:t xml:space="preserve"> mm</w:t>
      </w:r>
    </w:p>
    <w:p w14:paraId="45413C8E" w14:textId="77777777" w:rsidR="00772179" w:rsidRDefault="00000000">
      <w:pPr>
        <w:jc w:val="both"/>
      </w:pPr>
      <w:r>
        <w:t xml:space="preserve">Les profilés en acier à rupture de pont thermique sont conformes aux exigences de la norme [NBN EN 14024]. La durabilité des profilés est démontrée conformément à la norme [NBN EN 14024] pour les catégories de température </w:t>
      </w:r>
      <w:r>
        <w:rPr>
          <w:rStyle w:val="optioncarChar"/>
        </w:rPr>
        <w:t>TC1 (- 10 °C à 70 °C)</w:t>
      </w:r>
      <w:r>
        <w:t xml:space="preserve"> (par défaut) </w:t>
      </w:r>
      <w:r>
        <w:rPr>
          <w:rStyle w:val="optioncarChar"/>
        </w:rPr>
        <w:t>/ TC2 (- 20 °C à 80 °C)</w:t>
      </w:r>
    </w:p>
    <w:p w14:paraId="72BCE28F" w14:textId="77777777" w:rsidR="00772179" w:rsidRDefault="00000000">
      <w:pPr>
        <w:jc w:val="both"/>
      </w:pPr>
      <w:r>
        <w:t xml:space="preserve">L’assemblage des angles est </w:t>
      </w:r>
      <w:r>
        <w:rPr>
          <w:rStyle w:val="optioncarChar"/>
        </w:rPr>
        <w:t>soudé</w:t>
      </w:r>
      <w:r>
        <w:t xml:space="preserve"> (par défaut) </w:t>
      </w:r>
      <w:r>
        <w:rPr>
          <w:rStyle w:val="optioncarChar"/>
        </w:rPr>
        <w:t>/ fixé mécaniquement / collé / ***</w:t>
      </w:r>
      <w:r>
        <w:t xml:space="preserve"> et renforcé à l’aide d’un équerre métallique. Les angles sont munis d’une étanchéité par </w:t>
      </w:r>
      <w:r>
        <w:rPr>
          <w:rStyle w:val="optioncarChar"/>
        </w:rPr>
        <w:t>un joint préformé / injection de l’angle. </w:t>
      </w:r>
    </w:p>
    <w:p w14:paraId="534C7305" w14:textId="77777777" w:rsidR="00772179" w:rsidRDefault="00000000">
      <w:pPr>
        <w:jc w:val="both"/>
      </w:pPr>
      <w:r>
        <w:rPr>
          <w:b/>
        </w:rPr>
        <w:t>Performances des menuiseries</w:t>
      </w:r>
    </w:p>
    <w:p w14:paraId="36E57663" w14:textId="77777777" w:rsidR="00772179" w:rsidRDefault="00000000">
      <w:pPr>
        <w:pStyle w:val="Author-eListParagraph"/>
        <w:numPr>
          <w:ilvl w:val="0"/>
          <w:numId w:val="331"/>
        </w:numPr>
      </w:pPr>
      <w:r>
        <w:t>La classe de tolérance est </w:t>
      </w:r>
      <w:r>
        <w:rPr>
          <w:rStyle w:val="optioncarChar"/>
        </w:rPr>
        <w:t>D1</w:t>
      </w:r>
      <w:r>
        <w:t xml:space="preserve">  (par défaut) </w:t>
      </w:r>
      <w:r>
        <w:rPr>
          <w:rStyle w:val="optioncarChar"/>
        </w:rPr>
        <w:t>/ D2 / D3 / ***</w:t>
      </w:r>
    </w:p>
    <w:p w14:paraId="1BFB7933" w14:textId="77777777" w:rsidR="00772179" w:rsidRDefault="00000000">
      <w:pPr>
        <w:pStyle w:val="Author-eListParagraph"/>
        <w:numPr>
          <w:ilvl w:val="0"/>
          <w:numId w:val="331"/>
        </w:numPr>
      </w:pPr>
      <w:r>
        <w:lastRenderedPageBreak/>
        <w:t>La classe de planéité est</w:t>
      </w:r>
      <w:r>
        <w:rPr>
          <w:rStyle w:val="optioncarChar"/>
        </w:rPr>
        <w:t> V1</w:t>
      </w:r>
      <w:r>
        <w:t xml:space="preserve"> (par défaut) </w:t>
      </w:r>
      <w:r>
        <w:rPr>
          <w:rStyle w:val="optioncarChar"/>
        </w:rPr>
        <w:t>/ V2 / V3 / ***</w:t>
      </w:r>
    </w:p>
    <w:p w14:paraId="19656D13" w14:textId="77777777" w:rsidR="00772179" w:rsidRDefault="00000000">
      <w:pPr>
        <w:pStyle w:val="Author-eListParagraph"/>
        <w:numPr>
          <w:ilvl w:val="0"/>
          <w:numId w:val="331"/>
        </w:numPr>
      </w:pPr>
      <w:r>
        <w:t>Performances thermiques : La valeur Uf est de</w:t>
      </w:r>
      <w:r>
        <w:rPr>
          <w:rStyle w:val="optioncarChar"/>
        </w:rPr>
        <w:t xml:space="preserve"> 1.85</w:t>
      </w:r>
      <w:r>
        <w:t xml:space="preserve">  (par défaut) </w:t>
      </w:r>
      <w:r>
        <w:rPr>
          <w:rStyle w:val="optioncarChar"/>
        </w:rPr>
        <w:t>/ ***</w:t>
      </w:r>
      <w:r>
        <w:t xml:space="preserve"> W/m²K</w:t>
      </w:r>
    </w:p>
    <w:p w14:paraId="631639AF" w14:textId="77777777" w:rsidR="00772179" w:rsidRDefault="00000000">
      <w:pPr>
        <w:pStyle w:val="Author-eListParagraph"/>
        <w:numPr>
          <w:ilvl w:val="0"/>
          <w:numId w:val="331"/>
        </w:numPr>
      </w:pPr>
      <w:r>
        <w:t>La classe de résistance mécanique est </w:t>
      </w:r>
      <w:r>
        <w:rPr>
          <w:rStyle w:val="optioncarChar"/>
        </w:rPr>
        <w:t>M1 / M2 </w:t>
      </w:r>
      <w:r>
        <w:t>(par défaut) </w:t>
      </w:r>
      <w:r>
        <w:rPr>
          <w:rStyle w:val="optioncarChar"/>
        </w:rPr>
        <w:t>/ M3 / M4 / ***</w:t>
      </w:r>
    </w:p>
    <w:p w14:paraId="66AFC8DC" w14:textId="77777777" w:rsidR="00772179" w:rsidRDefault="00000000">
      <w:pPr>
        <w:pStyle w:val="Author-eListParagraph"/>
        <w:numPr>
          <w:ilvl w:val="0"/>
          <w:numId w:val="331"/>
        </w:numPr>
      </w:pPr>
      <w:r>
        <w:t xml:space="preserve">La classe de résistance hygrothermique en climat différentiel est </w:t>
      </w:r>
      <w:r>
        <w:rPr>
          <w:rStyle w:val="optioncarChar"/>
        </w:rPr>
        <w:t>Ha</w:t>
      </w:r>
      <w:r>
        <w:t xml:space="preserve">  (par défaut)</w:t>
      </w:r>
      <w:r>
        <w:rPr>
          <w:rStyle w:val="optioncarChar"/>
        </w:rPr>
        <w:t> / Hb / Hc / Hd / He/***</w:t>
      </w:r>
    </w:p>
    <w:p w14:paraId="00B99B68" w14:textId="77777777" w:rsidR="00772179" w:rsidRDefault="00000000">
      <w:pPr>
        <w:pStyle w:val="Author-eListParagraph"/>
        <w:numPr>
          <w:ilvl w:val="0"/>
          <w:numId w:val="331"/>
        </w:numPr>
      </w:pPr>
      <w:r>
        <w:t xml:space="preserve">Etanchéité à l’air : </w:t>
      </w:r>
      <w:r>
        <w:rPr>
          <w:rStyle w:val="optioncarChar"/>
        </w:rPr>
        <w:t>Classe L4</w:t>
      </w:r>
      <w:r>
        <w:t xml:space="preserve">  (par défaut) </w:t>
      </w:r>
      <w:r>
        <w:rPr>
          <w:rStyle w:val="optioncarChar"/>
        </w:rPr>
        <w:t>/ dont le débit à 50 Pa est &lt;1.89  / *** </w:t>
      </w:r>
      <w:r>
        <w:t>m³/h/m²</w:t>
      </w:r>
    </w:p>
    <w:p w14:paraId="6B8BA571" w14:textId="77777777" w:rsidR="00772179" w:rsidRDefault="00000000">
      <w:pPr>
        <w:pStyle w:val="Author-eListParagraph"/>
        <w:numPr>
          <w:ilvl w:val="0"/>
          <w:numId w:val="331"/>
        </w:numPr>
      </w:pPr>
      <w:r>
        <w:t>Etanchéité à l’eau de classe</w:t>
      </w:r>
      <w:r>
        <w:rPr>
          <w:rStyle w:val="optioncarChar"/>
        </w:rPr>
        <w:t xml:space="preserve"> E6A</w:t>
      </w:r>
      <w:r>
        <w:t xml:space="preserve">  (par défaut)</w:t>
      </w:r>
      <w:r>
        <w:rPr>
          <w:rStyle w:val="optioncarChar"/>
        </w:rPr>
        <w:t xml:space="preserve"> / ***</w:t>
      </w:r>
    </w:p>
    <w:p w14:paraId="6756D6E3" w14:textId="77777777" w:rsidR="00772179" w:rsidRDefault="00000000">
      <w:pPr>
        <w:pStyle w:val="Author-eListParagraph"/>
        <w:numPr>
          <w:ilvl w:val="0"/>
          <w:numId w:val="331"/>
        </w:numPr>
      </w:pPr>
      <w:r>
        <w:t>D’effort de manœuvre de classe</w:t>
      </w:r>
      <w:r>
        <w:rPr>
          <w:rStyle w:val="optioncarChar"/>
        </w:rPr>
        <w:t xml:space="preserve"> 1</w:t>
      </w:r>
      <w:r>
        <w:t xml:space="preserve">  (par défaut)</w:t>
      </w:r>
      <w:r>
        <w:rPr>
          <w:rStyle w:val="optioncarChar"/>
        </w:rPr>
        <w:t xml:space="preserve"> / 2 (PMR) / ***</w:t>
      </w:r>
    </w:p>
    <w:p w14:paraId="097EAAFE" w14:textId="77777777" w:rsidR="00772179" w:rsidRDefault="00000000">
      <w:pPr>
        <w:pStyle w:val="Author-eListParagraph"/>
        <w:numPr>
          <w:ilvl w:val="0"/>
          <w:numId w:val="331"/>
        </w:numPr>
      </w:pPr>
      <w:r>
        <w:t xml:space="preserve">Abus d’Utilisation de classe </w:t>
      </w:r>
      <w:r>
        <w:rPr>
          <w:rStyle w:val="optioncarChar"/>
        </w:rPr>
        <w:t>3</w:t>
      </w:r>
      <w:r>
        <w:t xml:space="preserve">  (par défaut) </w:t>
      </w:r>
      <w:r>
        <w:rPr>
          <w:rStyle w:val="optioncarChar"/>
        </w:rPr>
        <w:t>/4 (écoles, bâtiments publics) / ***</w:t>
      </w:r>
    </w:p>
    <w:p w14:paraId="5B7294A9" w14:textId="77777777" w:rsidR="00772179" w:rsidRDefault="00000000">
      <w:pPr>
        <w:pStyle w:val="Author-eListParagraph"/>
        <w:numPr>
          <w:ilvl w:val="0"/>
          <w:numId w:val="331"/>
        </w:numPr>
      </w:pPr>
      <w:r>
        <w:t xml:space="preserve">Performances acoustiques D Atr est supérieure à </w:t>
      </w:r>
      <w:r>
        <w:rPr>
          <w:rStyle w:val="optioncarChar"/>
        </w:rPr>
        <w:t xml:space="preserve">40 </w:t>
      </w:r>
      <w:r>
        <w:t xml:space="preserve">Db  (par défaut) </w:t>
      </w:r>
      <w:r>
        <w:rPr>
          <w:rStyle w:val="optioncarChar"/>
        </w:rPr>
        <w:t>/ ***</w:t>
      </w:r>
    </w:p>
    <w:p w14:paraId="55BDEEAF" w14:textId="77777777" w:rsidR="00772179" w:rsidRDefault="00000000">
      <w:pPr>
        <w:pStyle w:val="Author-eListParagraph"/>
        <w:numPr>
          <w:ilvl w:val="0"/>
          <w:numId w:val="331"/>
        </w:numPr>
      </w:pPr>
      <w:r>
        <w:t xml:space="preserve">Résistance à l’effraction : Classe </w:t>
      </w:r>
      <w:r>
        <w:rPr>
          <w:rStyle w:val="optioncarChar"/>
        </w:rPr>
        <w:t>3</w:t>
      </w:r>
      <w:r>
        <w:t xml:space="preserve">  (par défaut) </w:t>
      </w:r>
      <w:r>
        <w:rPr>
          <w:rStyle w:val="optioncarChar"/>
        </w:rPr>
        <w:t>/ ***</w:t>
      </w:r>
    </w:p>
    <w:p w14:paraId="727AA0DD" w14:textId="77777777" w:rsidR="00772179" w:rsidRDefault="00000000">
      <w:pPr>
        <w:pStyle w:val="Author-eListParagraph"/>
        <w:numPr>
          <w:ilvl w:val="0"/>
          <w:numId w:val="331"/>
        </w:numPr>
      </w:pPr>
      <w:r>
        <w:t>Résistance aux balles : </w:t>
      </w:r>
      <w:r>
        <w:rPr>
          <w:rStyle w:val="optioncarChar"/>
        </w:rPr>
        <w:t xml:space="preserve"> non spécifié</w:t>
      </w:r>
      <w:r>
        <w:t xml:space="preserve">  (par défaut) </w:t>
      </w:r>
      <w:r>
        <w:rPr>
          <w:rStyle w:val="optioncarChar"/>
        </w:rPr>
        <w:t> / ***</w:t>
      </w:r>
    </w:p>
    <w:p w14:paraId="657A30B3" w14:textId="77777777" w:rsidR="00772179" w:rsidRDefault="00000000">
      <w:pPr>
        <w:pStyle w:val="Author-eListParagraph"/>
        <w:numPr>
          <w:ilvl w:val="0"/>
          <w:numId w:val="331"/>
        </w:numPr>
      </w:pPr>
      <w:r>
        <w:t xml:space="preserve">Résistance et réaction au feu : </w:t>
      </w:r>
      <w:r>
        <w:rPr>
          <w:rStyle w:val="optioncarChar"/>
        </w:rPr>
        <w:t>non spécifié</w:t>
      </w:r>
      <w:r>
        <w:t> (par défaut)  </w:t>
      </w:r>
      <w:r>
        <w:rPr>
          <w:rStyle w:val="optioncarChar"/>
        </w:rPr>
        <w:t>/ ***</w:t>
      </w:r>
    </w:p>
    <w:p w14:paraId="1BAB2AF5" w14:textId="77777777" w:rsidR="00772179" w:rsidRDefault="00000000">
      <w:pPr>
        <w:pStyle w:val="Author-eListParagraph"/>
        <w:numPr>
          <w:ilvl w:val="0"/>
          <w:numId w:val="331"/>
        </w:numPr>
      </w:pPr>
      <w:r>
        <w:t>La classe d’endurance est </w:t>
      </w:r>
      <w:r>
        <w:rPr>
          <w:rStyle w:val="optioncarChar"/>
        </w:rPr>
        <w:t>f1</w:t>
      </w:r>
      <w:r>
        <w:t xml:space="preserve">  (par défaut)  </w:t>
      </w:r>
      <w:r>
        <w:rPr>
          <w:rStyle w:val="optioncarChar"/>
        </w:rPr>
        <w:t>/ f2 / f3 / f4 / f5 / f6 / f7 / f8</w:t>
      </w:r>
    </w:p>
    <w:p w14:paraId="109BAA03" w14:textId="77777777" w:rsidR="00772179" w:rsidRDefault="00000000">
      <w:pPr>
        <w:pStyle w:val="Author-eListParagraph"/>
        <w:numPr>
          <w:ilvl w:val="0"/>
          <w:numId w:val="331"/>
        </w:numPr>
      </w:pPr>
      <w:r>
        <w:t>La classe de force de manœuvre est </w:t>
      </w:r>
      <w:r>
        <w:rPr>
          <w:rStyle w:val="optioncarChar"/>
        </w:rPr>
        <w:t>F1</w:t>
      </w:r>
      <w:r>
        <w:t> (par défaut)</w:t>
      </w:r>
      <w:r>
        <w:rPr>
          <w:rStyle w:val="optioncarChar"/>
        </w:rPr>
        <w:t> / F2 / F3 (PMR) / F4 (PMR)</w:t>
      </w:r>
      <w:r>
        <w:t> selon les [STS 53.1] § 53.1.4.2.3 </w:t>
      </w:r>
    </w:p>
    <w:p w14:paraId="3ED5E0A0" w14:textId="77777777" w:rsidR="00772179" w:rsidRDefault="00000000">
      <w:pPr>
        <w:jc w:val="both"/>
      </w:pPr>
      <w:r>
        <w:rPr>
          <w:b/>
        </w:rPr>
        <w:t>Type de porte</w:t>
      </w:r>
    </w:p>
    <w:p w14:paraId="2E17220F" w14:textId="77777777" w:rsidR="00772179" w:rsidRDefault="00000000">
      <w:pPr>
        <w:jc w:val="both"/>
      </w:pPr>
      <w:r>
        <w:t>Les dimensions sont données dans le métré détaillé.</w:t>
      </w:r>
    </w:p>
    <w:p w14:paraId="48825B50" w14:textId="77777777" w:rsidR="00772179" w:rsidRDefault="00000000">
      <w:r>
        <w:rPr>
          <w:u w:val="single"/>
        </w:rPr>
        <w:t>Porte simple</w:t>
      </w:r>
    </w:p>
    <w:p w14:paraId="4BF5D8F0" w14:textId="77777777" w:rsidR="00772179" w:rsidRDefault="00000000">
      <w:pPr>
        <w:pStyle w:val="Author-eListParagraph"/>
        <w:numPr>
          <w:ilvl w:val="0"/>
          <w:numId w:val="332"/>
        </w:numPr>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w:t>
      </w:r>
      <w:r>
        <w:t> (par défaut) </w:t>
      </w:r>
      <w:r>
        <w:rPr>
          <w:rStyle w:val="optioncarChar"/>
        </w:rPr>
        <w:t>/ Vitrages triple – Gaz (cfr </w:t>
      </w:r>
      <w:hyperlink w:anchor="879" w:history="1">
        <w:r>
          <w:rPr>
            <w:rStyle w:val="optioncarChar"/>
            <w:color w:val="0000EE"/>
          </w:rPr>
          <w:t>42.22.2a Vitrages triples - Gaz</w:t>
        </w:r>
      </w:hyperlink>
      <w:r>
        <w:rPr>
          <w:rStyle w:val="optioncarChar"/>
        </w:rPr>
        <w:t>)/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p>
    <w:p w14:paraId="319056F7" w14:textId="77777777" w:rsidR="00772179" w:rsidRDefault="00000000">
      <w:pPr>
        <w:pStyle w:val="Author-eListParagraph"/>
        <w:numPr>
          <w:ilvl w:val="0"/>
          <w:numId w:val="332"/>
        </w:numPr>
      </w:pPr>
      <w:r>
        <w:t>Quincailleries : </w:t>
      </w:r>
      <w:r>
        <w:rPr>
          <w:rStyle w:val="optioncarChar"/>
        </w:rPr>
        <w:t>***</w:t>
      </w:r>
      <w:r>
        <w:br/>
        <w:t>Cfr. Article </w:t>
      </w:r>
      <w:hyperlink w:anchor="881" w:history="1">
        <w:r>
          <w:rPr>
            <w:color w:val="0000EE"/>
          </w:rPr>
          <w:t>41.72.1a Charnières et paumelles</w:t>
        </w:r>
      </w:hyperlink>
      <w:r>
        <w:br/>
        <w:t>Cfr. Article </w:t>
      </w:r>
      <w:hyperlink w:anchor="882" w:history="1">
        <w:r>
          <w:rPr>
            <w:color w:val="0000EE"/>
          </w:rPr>
          <w:t>41.72.3a Poignées</w:t>
        </w:r>
      </w:hyperlink>
    </w:p>
    <w:p w14:paraId="09650B2A" w14:textId="77777777" w:rsidR="00772179" w:rsidRDefault="00000000">
      <w:r>
        <w:t> </w:t>
      </w:r>
      <w:r>
        <w:rPr>
          <w:u w:val="single"/>
        </w:rPr>
        <w:t>Ensembles de portes composées</w:t>
      </w:r>
    </w:p>
    <w:p w14:paraId="0469FE0A" w14:textId="77777777" w:rsidR="00772179" w:rsidRDefault="00000000">
      <w:pPr>
        <w:pStyle w:val="Author-eListParagraph"/>
        <w:numPr>
          <w:ilvl w:val="0"/>
          <w:numId w:val="333"/>
        </w:numPr>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w:t>
      </w:r>
      <w:r>
        <w:t> (par défaut)</w:t>
      </w:r>
      <w:r>
        <w:rPr>
          <w:rStyle w:val="optioncarChar"/>
        </w:rPr>
        <w:t> / Vitrages triple – Gaz (cfr </w:t>
      </w:r>
      <w:hyperlink w:anchor="879" w:history="1">
        <w:r>
          <w:rPr>
            <w:rStyle w:val="optioncarChar"/>
            <w:color w:val="0000EE"/>
          </w:rPr>
          <w:t>42.22.2a Vitrages triples - Gaz</w:t>
        </w:r>
      </w:hyperlink>
      <w:r>
        <w:rPr>
          <w:rStyle w:val="optioncarChar"/>
        </w:rPr>
        <w:t>)/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p>
    <w:p w14:paraId="71436673" w14:textId="77777777" w:rsidR="00772179" w:rsidRDefault="00000000">
      <w:pPr>
        <w:pStyle w:val="Author-eListParagraph"/>
        <w:numPr>
          <w:ilvl w:val="0"/>
          <w:numId w:val="333"/>
        </w:numPr>
      </w:pPr>
      <w:r>
        <w:t>Quincailleries : </w:t>
      </w:r>
      <w:r>
        <w:rPr>
          <w:rStyle w:val="optioncarChar"/>
        </w:rPr>
        <w:t>***</w:t>
      </w:r>
      <w:r>
        <w:br/>
        <w:t>Cfr. Article </w:t>
      </w:r>
      <w:hyperlink w:anchor="881" w:history="1">
        <w:r>
          <w:rPr>
            <w:color w:val="0000EE"/>
          </w:rPr>
          <w:t>41.72.1a Charnières et paumelles</w:t>
        </w:r>
      </w:hyperlink>
      <w:r>
        <w:br/>
        <w:t>Cfr. Article </w:t>
      </w:r>
      <w:hyperlink w:anchor="882" w:history="1">
        <w:r>
          <w:rPr>
            <w:color w:val="0000EE"/>
          </w:rPr>
          <w:t>41.72.3a Poignées</w:t>
        </w:r>
      </w:hyperlink>
      <w:r>
        <w:t>  </w:t>
      </w:r>
    </w:p>
    <w:p w14:paraId="41BE390C" w14:textId="77777777" w:rsidR="00772179" w:rsidRDefault="00000000">
      <w:pPr>
        <w:jc w:val="both"/>
      </w:pPr>
      <w:r>
        <w:rPr>
          <w:b/>
        </w:rPr>
        <w:t>Quincaillerie </w:t>
      </w:r>
    </w:p>
    <w:p w14:paraId="399F5129" w14:textId="77777777" w:rsidR="00772179" w:rsidRDefault="00772179">
      <w:pPr>
        <w:jc w:val="both"/>
      </w:pPr>
    </w:p>
    <w:p w14:paraId="2FF95688" w14:textId="77777777" w:rsidR="00772179" w:rsidRDefault="00000000">
      <w:pPr>
        <w:jc w:val="both"/>
      </w:pPr>
      <w:r>
        <w:t>(voir sous-titre </w:t>
      </w:r>
      <w:hyperlink w:anchor="884" w:history="1">
        <w:r>
          <w:rPr>
            <w:color w:val="0000EE"/>
          </w:rPr>
          <w:t>41.72 Quincailleries</w:t>
        </w:r>
      </w:hyperlink>
      <w:r>
        <w:t>)</w:t>
      </w:r>
    </w:p>
    <w:p w14:paraId="0B796192" w14:textId="77777777" w:rsidR="00772179" w:rsidRDefault="00000000">
      <w:pPr>
        <w:pStyle w:val="Author-eListParagraph"/>
        <w:numPr>
          <w:ilvl w:val="0"/>
          <w:numId w:val="334"/>
        </w:numPr>
      </w:pPr>
      <w:r>
        <w:t>La quincaillerie permet d’atteindre les performances définies ci-dessus et sont conformes aux descriptions des essais initiaux pour le marquage de la porte. </w:t>
      </w:r>
    </w:p>
    <w:p w14:paraId="4AA0E06D" w14:textId="77777777" w:rsidR="00772179" w:rsidRDefault="00000000">
      <w:pPr>
        <w:pStyle w:val="Author-eListParagraph"/>
        <w:numPr>
          <w:ilvl w:val="0"/>
          <w:numId w:val="334"/>
        </w:numPr>
      </w:pPr>
      <w:r>
        <w:t>Les poignées et autres dispositifs d’aide à la manœuvre (notamment PMR) sont définis dans le chapitre </w:t>
      </w:r>
      <w:hyperlink w:anchor="886" w:history="1">
        <w:r>
          <w:rPr>
            <w:color w:val="0000EE"/>
          </w:rPr>
          <w:t>41.72.3 Poignées</w:t>
        </w:r>
      </w:hyperlink>
    </w:p>
    <w:p w14:paraId="18CE8CE4" w14:textId="77777777" w:rsidR="00772179" w:rsidRDefault="00000000">
      <w:pPr>
        <w:jc w:val="both"/>
      </w:pPr>
      <w:r>
        <w:rPr>
          <w:b/>
        </w:rPr>
        <w:t>Vitrages et panneaux de remplissage</w:t>
      </w:r>
    </w:p>
    <w:p w14:paraId="46FFD1C2" w14:textId="77777777" w:rsidR="00772179" w:rsidRDefault="00000000">
      <w:pPr>
        <w:jc w:val="both"/>
      </w:pPr>
      <w:r>
        <w:t>(voir section </w:t>
      </w:r>
      <w:hyperlink w:anchor="852" w:history="1">
        <w:r>
          <w:rPr>
            <w:color w:val="0000EE"/>
          </w:rPr>
          <w:t>42 Vitrages extérieurs et éléments de remplissage</w:t>
        </w:r>
      </w:hyperlink>
      <w:r>
        <w:t>)</w:t>
      </w:r>
    </w:p>
    <w:p w14:paraId="5F1ECB87" w14:textId="77777777" w:rsidR="00772179" w:rsidRDefault="00000000">
      <w:pPr>
        <w:pStyle w:val="pheading"/>
      </w:pPr>
      <w:r>
        <w:t>- Finitions</w:t>
      </w:r>
    </w:p>
    <w:p w14:paraId="3B72E1E5" w14:textId="77777777" w:rsidR="00772179" w:rsidRDefault="00000000">
      <w:pPr>
        <w:jc w:val="both"/>
      </w:pPr>
      <w:r>
        <w:t>Les profils sont coupés et ébarbés; les assemblages sont ajustés de manière à respecter la forme des profils transversaux. Toutes les faces de sciage ou les surfaces fraisées reçoivent un traitement étanche à l'aide d'un produit anticorrosion suivant le type de matériau.</w:t>
      </w:r>
    </w:p>
    <w:p w14:paraId="4150DE97" w14:textId="77777777" w:rsidR="00772179" w:rsidRDefault="00000000">
      <w:pPr>
        <w:jc w:val="both"/>
      </w:pPr>
      <w:r>
        <w:lastRenderedPageBreak/>
        <w:t xml:space="preserve">La finition des profilés de portes est de type : </w:t>
      </w:r>
      <w:r>
        <w:rPr>
          <w:rStyle w:val="optioncarChar"/>
        </w:rPr>
        <w:t>Laquage de peinture liquide de couleur (par défaut) Galvanisation à chaud / Galvanisation de type / Laquage et revêtement par poudrage (laquage au four) </w:t>
      </w:r>
    </w:p>
    <w:p w14:paraId="56781CDF" w14:textId="77777777" w:rsidR="00772179" w:rsidRDefault="00000000">
      <w:pPr>
        <w:jc w:val="both"/>
      </w:pPr>
      <w:r>
        <w:t xml:space="preserve">La couleur de la finition est </w:t>
      </w:r>
      <w:r>
        <w:rPr>
          <w:rStyle w:val="optioncarChar"/>
        </w:rPr>
        <w:t>***</w:t>
      </w:r>
    </w:p>
    <w:p w14:paraId="58F884EE" w14:textId="77777777" w:rsidR="00772179" w:rsidRDefault="00000000">
      <w:pPr>
        <w:jc w:val="both"/>
      </w:pPr>
      <w:r>
        <w:rPr>
          <w:b/>
        </w:rPr>
        <w:t>Galvanisation</w:t>
      </w:r>
    </w:p>
    <w:p w14:paraId="51108A35" w14:textId="77777777" w:rsidR="00772179" w:rsidRDefault="00772179"/>
    <w:p w14:paraId="0292F4BD" w14:textId="77777777" w:rsidR="00772179" w:rsidRDefault="00000000">
      <w:pPr>
        <w:jc w:val="both"/>
      </w:pPr>
      <w:r>
        <w:t>Les différentes méthodes de galvanisation sont conformes aux :</w:t>
      </w:r>
    </w:p>
    <w:p w14:paraId="5AC3B633" w14:textId="77777777" w:rsidR="00772179" w:rsidRDefault="00000000">
      <w:pPr>
        <w:pStyle w:val="Author-eListParagraph"/>
        <w:numPr>
          <w:ilvl w:val="0"/>
          <w:numId w:val="335"/>
        </w:numPr>
      </w:pPr>
      <w:r>
        <w:t>Galvanisation à chaud (procédé discontinu) effectuée selon la [NBN EN ISO 1461]</w:t>
      </w:r>
    </w:p>
    <w:p w14:paraId="21319D92" w14:textId="77777777" w:rsidR="00772179" w:rsidRDefault="00000000">
      <w:pPr>
        <w:pStyle w:val="Author-eListParagraph"/>
        <w:numPr>
          <w:ilvl w:val="0"/>
          <w:numId w:val="335"/>
        </w:numPr>
      </w:pPr>
      <w:r>
        <w:t>Shérardisation effectuée selon la [NBN EN ISO 17668]</w:t>
      </w:r>
    </w:p>
    <w:p w14:paraId="0776A8C2" w14:textId="77777777" w:rsidR="00772179" w:rsidRDefault="00000000">
      <w:pPr>
        <w:pStyle w:val="Author-eListParagraph"/>
        <w:numPr>
          <w:ilvl w:val="0"/>
          <w:numId w:val="335"/>
        </w:numPr>
      </w:pPr>
      <w:r>
        <w:t>Zingage par projection thermique, schoopage ou métallisation effectuée selon la [NBN EN ISO 2063-1]</w:t>
      </w:r>
    </w:p>
    <w:p w14:paraId="6E34CF39" w14:textId="77777777" w:rsidR="00772179" w:rsidRDefault="00000000">
      <w:pPr>
        <w:pStyle w:val="Author-eListParagraph"/>
        <w:numPr>
          <w:ilvl w:val="0"/>
          <w:numId w:val="335"/>
        </w:numPr>
      </w:pPr>
      <w:r>
        <w:t>Galvanisation électrolytique - Matoplastie effectuée selon la [NBN EN 10152].</w:t>
      </w:r>
    </w:p>
    <w:p w14:paraId="7AFEB91C" w14:textId="77777777" w:rsidR="00772179" w:rsidRDefault="00000000">
      <w:pPr>
        <w:jc w:val="both"/>
      </w:pPr>
      <w:r>
        <w:t>Lors d’une observation perpendiculaire à la surface concernée sous une lumière diffuse (ciel couvert à l’extérieur et sans éclairage artificiel à l’intérieur), aucun défaut de surface décrit ci-après n'est visibles à l’œil nu à une distance de 2 mètres :</w:t>
      </w:r>
    </w:p>
    <w:p w14:paraId="19106DAC" w14:textId="77777777" w:rsidR="00772179" w:rsidRDefault="00000000">
      <w:pPr>
        <w:pStyle w:val="Author-eListParagraph"/>
        <w:numPr>
          <w:ilvl w:val="0"/>
          <w:numId w:val="336"/>
        </w:numPr>
      </w:pPr>
      <w:r>
        <w:t>Surface rude, gouttes d’écoulement, boursouflures, effet de peau d’orange, inclusions, cratères, taches mates, trous, griffes.</w:t>
      </w:r>
    </w:p>
    <w:p w14:paraId="264C14C3" w14:textId="77777777" w:rsidR="00772179" w:rsidRDefault="00000000">
      <w:pPr>
        <w:pStyle w:val="Author-eListParagraph"/>
        <w:numPr>
          <w:ilvl w:val="0"/>
          <w:numId w:val="336"/>
        </w:numPr>
      </w:pPr>
      <w:r>
        <w:t>L’exécution laquée au four présente une teinte et un éclat uniformes et est couvrante. Aucune différence de teinte incommodante n'apparaît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4FC535EF" w14:textId="77777777" w:rsidR="00772179" w:rsidRDefault="00000000">
      <w:pPr>
        <w:pStyle w:val="Author-eListParagraph"/>
        <w:numPr>
          <w:ilvl w:val="0"/>
          <w:numId w:val="336"/>
        </w:numPr>
      </w:pPr>
      <w:r>
        <w:t>L’aspect de la face visible des profilés anodisés ne présente aucune différence de teinte ni de taches incommodantes qui sont jugées gênantes.</w:t>
      </w:r>
    </w:p>
    <w:p w14:paraId="5BB2FB66" w14:textId="77777777" w:rsidR="00772179" w:rsidRDefault="00000000">
      <w:pPr>
        <w:pStyle w:val="Author-eListParagraph"/>
        <w:numPr>
          <w:ilvl w:val="0"/>
          <w:numId w:val="336"/>
        </w:numPr>
      </w:pPr>
      <w:r>
        <w:t xml:space="preserve">La qualité de l’anodisation est contrôlée par des essais suivant la procédure prévue dans le label. L’épaisseur exigée de la couche de galvanisation est : </w:t>
      </w:r>
      <w:r>
        <w:rPr>
          <w:rStyle w:val="optioncarChar"/>
        </w:rPr>
        <w:t xml:space="preserve">20 </w:t>
      </w:r>
      <w:r>
        <w:t>(par défaut)</w:t>
      </w:r>
      <w:r>
        <w:rPr>
          <w:rStyle w:val="optioncarChar"/>
        </w:rPr>
        <w:t xml:space="preserve"> / *** </w:t>
      </w:r>
      <w:r>
        <w:t>μm</w:t>
      </w:r>
    </w:p>
    <w:p w14:paraId="7C634F45" w14:textId="77777777" w:rsidR="00772179" w:rsidRDefault="00000000">
      <w:pPr>
        <w:pStyle w:val="Author-eListParagraph"/>
        <w:numPr>
          <w:ilvl w:val="0"/>
          <w:numId w:val="336"/>
        </w:numPr>
      </w:pPr>
      <w:r>
        <w:t xml:space="preserve">La teinte est : </w:t>
      </w:r>
      <w:r>
        <w:rPr>
          <w:rStyle w:val="optioncarChar"/>
        </w:rPr>
        <w:t>naturelle</w:t>
      </w:r>
      <w:r>
        <w:t xml:space="preserve"> (par défaut) </w:t>
      </w:r>
      <w:r>
        <w:rPr>
          <w:rStyle w:val="optioncarChar"/>
        </w:rPr>
        <w:t>/ noir / bronze / ***</w:t>
      </w:r>
    </w:p>
    <w:p w14:paraId="08E4F465" w14:textId="77777777" w:rsidR="00772179" w:rsidRDefault="00000000">
      <w:pPr>
        <w:pStyle w:val="Author-eListParagraph"/>
        <w:numPr>
          <w:ilvl w:val="0"/>
          <w:numId w:val="336"/>
        </w:numPr>
      </w:pPr>
      <w:r>
        <w:t>Un échantillon de la teinte de la couche d’anodisation du profile est présentée pour accord à l'auteur de projet</w:t>
      </w:r>
    </w:p>
    <w:p w14:paraId="52807093" w14:textId="77777777" w:rsidR="00772179" w:rsidRDefault="00000000">
      <w:pPr>
        <w:jc w:val="both"/>
      </w:pPr>
      <w:r>
        <w:rPr>
          <w:b/>
        </w:rPr>
        <w:t>Revêtements laqués</w:t>
      </w:r>
    </w:p>
    <w:p w14:paraId="246BA5D9" w14:textId="77777777" w:rsidR="00772179" w:rsidRDefault="00000000">
      <w:pPr>
        <w:pStyle w:val="Author-eListParagraph"/>
        <w:numPr>
          <w:ilvl w:val="0"/>
          <w:numId w:val="337"/>
        </w:numPr>
      </w:pPr>
      <w:r>
        <w:t>Les profilés acier revêtus en continu de matière organique permettent un niveau minimum de résistance à la corrosion RC3 selon la norme [NBN EN 10169] après au moins 2 ans d’expositions extérieures ainsi qu’un niveau minimum de résistance aux rayons UV RUV3 (RUV2 pour les couleurs métalliques ou vives) selon la norme [NBN EN 10169].</w:t>
      </w:r>
    </w:p>
    <w:p w14:paraId="50C645A1" w14:textId="77777777" w:rsidR="00772179" w:rsidRDefault="00000000">
      <w:pPr>
        <w:pStyle w:val="Author-eListParagraph"/>
        <w:numPr>
          <w:ilvl w:val="0"/>
          <w:numId w:val="337"/>
        </w:numPr>
      </w:pPr>
      <w:r>
        <w:t>Les systèmes de peintures anticorrosion sont conformes à  la norme [NBN EN ISO 12944-5]</w:t>
      </w:r>
    </w:p>
    <w:p w14:paraId="616A1C7C" w14:textId="77777777" w:rsidR="00772179" w:rsidRDefault="00000000">
      <w:pPr>
        <w:pStyle w:val="Author-eListParagraph"/>
        <w:numPr>
          <w:ilvl w:val="0"/>
          <w:numId w:val="337"/>
        </w:numPr>
      </w:pPr>
      <w:r>
        <w:t>Les couches de peinture résistent aux chocs et ne s’écaillent pas aux bords lors d’opérations mécaniques (forage, sciage, fraisage, poinçonnage, ...). Les échantillons de profilés nécessaires sont préalablement soumis à l’auteur de projet.</w:t>
      </w:r>
    </w:p>
    <w:p w14:paraId="3ED3A992" w14:textId="77777777" w:rsidR="00772179" w:rsidRDefault="00000000">
      <w:pPr>
        <w:jc w:val="both"/>
      </w:pPr>
      <w:r>
        <w:t>Pour les couleurs RAL, l’épaisseur de couche atteint en moyenne ≥ 60 μm.</w:t>
      </w:r>
    </w:p>
    <w:p w14:paraId="591D2ECA" w14:textId="77777777" w:rsidR="00772179" w:rsidRDefault="00000000">
      <w:pPr>
        <w:jc w:val="both"/>
      </w:pPr>
      <w:r>
        <w:t xml:space="preserve"> Pour les couleurs métallisées, le pigment de couleur est ‘fondu’ avec la poudre de base (Bonding process). La teinte du traitement de surface du profilé est consultée sur base d’un échantillon chez le fonctionnaire dirigeant/l’architecte</w:t>
      </w:r>
    </w:p>
    <w:p w14:paraId="4F98D2AC" w14:textId="77777777" w:rsidR="00772179" w:rsidRDefault="00000000">
      <w:pPr>
        <w:pStyle w:val="Author-eListParagraph"/>
        <w:numPr>
          <w:ilvl w:val="0"/>
          <w:numId w:val="338"/>
        </w:numPr>
      </w:pPr>
      <w:r>
        <w:t>Les finitions de surface permettent en outre les combinaisons de couleurs intérieures / extérieures :</w:t>
      </w:r>
    </w:p>
    <w:p w14:paraId="34D701C7" w14:textId="77777777" w:rsidR="00772179" w:rsidRDefault="00000000">
      <w:pPr>
        <w:pStyle w:val="Author-eListParagraph"/>
        <w:numPr>
          <w:ilvl w:val="0"/>
          <w:numId w:val="338"/>
        </w:numPr>
      </w:pPr>
      <w:r>
        <w:t xml:space="preserve">Teinte du profilé extérieur : </w:t>
      </w:r>
      <w:r>
        <w:rPr>
          <w:rStyle w:val="optioncarChar"/>
        </w:rPr>
        <w:t>libre choix dans la gamme standard du fabricant</w:t>
      </w:r>
      <w:r>
        <w:t xml:space="preserve"> (par défaut)</w:t>
      </w:r>
      <w:r>
        <w:rPr>
          <w:rStyle w:val="optioncarChar"/>
        </w:rPr>
        <w:t xml:space="preserve"> / ***</w:t>
      </w:r>
    </w:p>
    <w:p w14:paraId="376BFB59" w14:textId="77777777" w:rsidR="00772179" w:rsidRDefault="00000000">
      <w:pPr>
        <w:pStyle w:val="Author-eListParagraph"/>
        <w:numPr>
          <w:ilvl w:val="0"/>
          <w:numId w:val="338"/>
        </w:numPr>
      </w:pPr>
      <w:r>
        <w:t xml:space="preserve">Teinte du profilé intérieur : </w:t>
      </w:r>
      <w:r>
        <w:rPr>
          <w:rStyle w:val="optioncarChar"/>
        </w:rPr>
        <w:t>libre choix dans la gamme standard du fabricant</w:t>
      </w:r>
      <w:r>
        <w:t xml:space="preserve"> (par défaut) Couleur RAL </w:t>
      </w:r>
      <w:r>
        <w:rPr>
          <w:rStyle w:val="optioncarChar"/>
        </w:rPr>
        <w:t>:*** </w:t>
      </w:r>
    </w:p>
    <w:p w14:paraId="449646D2" w14:textId="77777777" w:rsidR="00772179" w:rsidRDefault="00000000">
      <w:pPr>
        <w:pStyle w:val="Author-eListParagraph"/>
        <w:numPr>
          <w:ilvl w:val="0"/>
          <w:numId w:val="338"/>
        </w:numPr>
      </w:pPr>
      <w:r>
        <w:t xml:space="preserve">Degré de brillance : </w:t>
      </w:r>
      <w:r>
        <w:rPr>
          <w:rStyle w:val="optioncarChar"/>
        </w:rPr>
        <w:t>30 / 70 / 90 </w:t>
      </w:r>
      <w:r>
        <w:t>% observé sous un angle de 60 ° : </w:t>
      </w:r>
      <w:r>
        <w:rPr>
          <w:rStyle w:val="optioncarChar"/>
        </w:rPr>
        <w:t>*** / métallisée</w:t>
      </w:r>
    </w:p>
    <w:p w14:paraId="5427B6B0" w14:textId="77777777" w:rsidR="00772179" w:rsidRDefault="00000000">
      <w:pPr>
        <w:jc w:val="both"/>
      </w:pPr>
      <w:r>
        <w:rPr>
          <w:b/>
        </w:rPr>
        <w:t>Continuité et étanchéités</w:t>
      </w:r>
    </w:p>
    <w:p w14:paraId="129853F5" w14:textId="77777777" w:rsidR="00772179" w:rsidRDefault="00000000">
      <w:r>
        <w:lastRenderedPageBreak/>
        <w:t>Le resserrage de la porte est pourvu de continuité des performances mécaniques, d’étanchéité à l’eau.</w:t>
      </w:r>
    </w:p>
    <w:p w14:paraId="78D9A58F" w14:textId="77777777" w:rsidR="00772179" w:rsidRDefault="00000000">
      <w:r>
        <w:t xml:space="preserve">Pour la continuité de l’étanchéité à l’air le resserrage est muni d’un </w:t>
      </w:r>
      <w:r>
        <w:rPr>
          <w:rStyle w:val="optioncarChar"/>
        </w:rPr>
        <w:t>kit de mastic</w:t>
      </w:r>
      <w:r>
        <w:t xml:space="preserve"> (par défaut) </w:t>
      </w:r>
      <w:r>
        <w:rPr>
          <w:rStyle w:val="optioncarChar"/>
        </w:rPr>
        <w:t>/ membrane / profilé de resserrage / ***</w:t>
      </w:r>
    </w:p>
    <w:p w14:paraId="50B14AB2" w14:textId="77777777" w:rsidR="00772179" w:rsidRDefault="00000000">
      <w:r>
        <w:t xml:space="preserve">Pour la continuité de l’isolation acoustique le resserrage est muni d’une </w:t>
      </w:r>
      <w:r>
        <w:rPr>
          <w:rStyle w:val="optioncarChar"/>
        </w:rPr>
        <w:t xml:space="preserve"> laine de roche</w:t>
      </w:r>
      <w:r>
        <w:t xml:space="preserve"> (par défaut) </w:t>
      </w:r>
      <w:r>
        <w:rPr>
          <w:rStyle w:val="optioncarChar"/>
        </w:rPr>
        <w:t> / mousse acoustique / plaque massive / ***</w:t>
      </w:r>
    </w:p>
    <w:p w14:paraId="3C8B704C" w14:textId="77777777" w:rsidR="00772179" w:rsidRDefault="00000000">
      <w:r>
        <w:t xml:space="preserve">La porte est munie d’une continuité de l’étanchéité à l’air en partie inférieure de type : </w:t>
      </w:r>
      <w:r>
        <w:rPr>
          <w:rStyle w:val="optioncarChar"/>
        </w:rPr>
        <w:t>guillotine à joint</w:t>
      </w:r>
      <w:r>
        <w:t xml:space="preserve"> (par défaut)</w:t>
      </w:r>
      <w:r>
        <w:rPr>
          <w:rStyle w:val="optioncarChar"/>
        </w:rPr>
        <w:t xml:space="preserve"> / guillotine à brosse / bosse / seuil / ***</w:t>
      </w:r>
    </w:p>
    <w:p w14:paraId="4C5FE116" w14:textId="77777777" w:rsidR="00772179" w:rsidRDefault="00000000">
      <w:r>
        <w:t>Le seuil est accessible aux PMR.</w:t>
      </w:r>
    </w:p>
    <w:p w14:paraId="154ADBCA" w14:textId="77777777" w:rsidR="00772179" w:rsidRDefault="00000000">
      <w:pPr>
        <w:pStyle w:val="pheading"/>
      </w:pPr>
      <w:r>
        <w:t>EXÉCUTION / MISE EN ŒUVRE</w:t>
      </w:r>
    </w:p>
    <w:p w14:paraId="73DEA334" w14:textId="77777777" w:rsidR="00772179" w:rsidRDefault="00000000">
      <w:pPr>
        <w:pStyle w:val="pheading"/>
      </w:pPr>
      <w:r>
        <w:t>- Prescriptions générales</w:t>
      </w:r>
    </w:p>
    <w:p w14:paraId="3F280564" w14:textId="77777777" w:rsidR="00772179" w:rsidRDefault="00000000">
      <w:r>
        <w:t>L’entretien est conforme à la norme [STS 53.1]</w:t>
      </w:r>
    </w:p>
    <w:p w14:paraId="7D639EC6" w14:textId="77777777" w:rsidR="00772179" w:rsidRDefault="00000000">
      <w:pPr>
        <w:pStyle w:val="pheading"/>
      </w:pPr>
      <w:r>
        <w:t>DOCUMENTS DE RÉFÉRENCE COMPLÉMENTAIRES</w:t>
      </w:r>
    </w:p>
    <w:p w14:paraId="71CEFCC6" w14:textId="77777777" w:rsidR="00772179" w:rsidRDefault="00000000">
      <w:pPr>
        <w:pStyle w:val="pheading"/>
      </w:pPr>
      <w:r>
        <w:t>- Matériau</w:t>
      </w:r>
    </w:p>
    <w:p w14:paraId="2CC43908" w14:textId="77777777" w:rsidR="00772179" w:rsidRDefault="00000000">
      <w:r>
        <w:t>[NBN EN 14351-1:2006+A2, Fenêtres et portes - Norme produit, caractéristiques de performance - Partie 1 : Fenêtres et blocs portes extérieurs pour piétons]</w:t>
      </w:r>
      <w:r>
        <w:br/>
      </w:r>
      <w:r>
        <w:br/>
        <w:t>[NBN EN ISO 1461, Revêtements par galvanisation à chaud sur produits finis en fonte et en acier - Spécifications et méthodes d'essai (ISO 1461:2022) ]</w:t>
      </w:r>
    </w:p>
    <w:p w14:paraId="7ECCC08B" w14:textId="77777777" w:rsidR="00772179" w:rsidRDefault="00000000">
      <w:r>
        <w:t>[STS 53.1, Portes]</w:t>
      </w:r>
    </w:p>
    <w:p w14:paraId="10039022" w14:textId="77777777" w:rsidR="00772179" w:rsidRDefault="00000000">
      <w:r>
        <w:t>[NBN EN 10152, Produits plats en acier, laminés à froid, revêtus de zinc par voie électrolytique pour formage à froid - Conditions techniques de livraison]</w:t>
      </w:r>
    </w:p>
    <w:p w14:paraId="73BD10BC" w14:textId="77777777" w:rsidR="00772179" w:rsidRDefault="00000000">
      <w:r>
        <w:t>[NBN EN ISO 17668, Revêtements par diffusion de zinc sur les produits ferreux - Shérardisation - Spécification (ISO 17668:2016)]</w:t>
      </w:r>
      <w:r>
        <w:br/>
      </w:r>
      <w:r>
        <w:br/>
        <w:t>[NBN EN ISO 2063-1, Projection thermique - Zinc, aluminium et alliages de ces métaux - Partie 1: Considérations de conception et exigences de qualité pour les systèmes de protection contre la corrosion (ISO 2063-1:2019)]</w:t>
      </w:r>
    </w:p>
    <w:p w14:paraId="3737F8D4" w14:textId="77777777" w:rsidR="00772179" w:rsidRDefault="00000000">
      <w:r>
        <w:t>[NBN EN 14024, Profilés métalliques à rupture de pont thermique - Performances mécaniques - Exigences, preuve et essais pour évaluation]</w:t>
      </w:r>
    </w:p>
    <w:p w14:paraId="7951B2A8" w14:textId="77777777" w:rsidR="00772179" w:rsidRDefault="00000000">
      <w:r>
        <w:t>[NBN EN 10169, Produits plats en acier revêtus en continu de matières organiques (prélaqués) - Conditions techniques de livraison]</w:t>
      </w:r>
    </w:p>
    <w:p w14:paraId="4E3FC879" w14:textId="77777777" w:rsidR="00772179" w:rsidRDefault="00000000">
      <w:r>
        <w:t>[NBN EN ISO 12944-2, Peintures et vernis - Anticorrosion des structures en acier par systèmes de peinture - Partie 2: Classification des environnements (ISO 12944-2:2017)]</w:t>
      </w:r>
    </w:p>
    <w:p w14:paraId="7FFAA418" w14:textId="77777777" w:rsidR="00772179" w:rsidRDefault="00000000">
      <w:r>
        <w:t>[NBN EN ISO 12944-4, Peintures et vernis - Anticorrosion des structures en acier par systèmes de peinture - Partie 4: Types de surface et de préparation de surface (ISO 12944-4:2017)]</w:t>
      </w:r>
    </w:p>
    <w:p w14:paraId="4D761A43" w14:textId="77777777" w:rsidR="00772179" w:rsidRDefault="00000000">
      <w:r>
        <w:t>[NBN EN ISO 12944-5, Peintures et vernis - Anticorrosion des structures en acier par systèmes de peinture - Partie 5: Systèmes de peinture (ISO 12944-5:2019)]</w:t>
      </w:r>
    </w:p>
    <w:p w14:paraId="46DA6BC2" w14:textId="77777777" w:rsidR="00772179" w:rsidRDefault="00000000">
      <w:r>
        <w:t>[NBN EN 10346, Produits plats en acier revêtus en continu par immersion à chaud pour formage à froid - Conditions techniques de livraison]</w:t>
      </w:r>
    </w:p>
    <w:p w14:paraId="4464CF23" w14:textId="77777777" w:rsidR="00772179" w:rsidRDefault="00772179"/>
    <w:p w14:paraId="6A6B4D80" w14:textId="77777777" w:rsidR="00772179" w:rsidRDefault="00772179"/>
    <w:p w14:paraId="318914E6" w14:textId="77777777" w:rsidR="00772179" w:rsidRDefault="00772179"/>
    <w:p w14:paraId="72F37685" w14:textId="77777777" w:rsidR="00772179" w:rsidRDefault="00000000">
      <w:pPr>
        <w:pStyle w:val="pheading"/>
      </w:pPr>
      <w:r>
        <w:t>- Exécution</w:t>
      </w:r>
    </w:p>
    <w:p w14:paraId="0116CAA6" w14:textId="77777777" w:rsidR="00772179" w:rsidRDefault="00000000">
      <w:r>
        <w:t>[NIT 283, La pose des menuiseries extérieures. Partie 1 : aspects généraux.]</w:t>
      </w:r>
    </w:p>
    <w:p w14:paraId="6268FF5F" w14:textId="77777777" w:rsidR="00772179" w:rsidRDefault="00000000">
      <w:pPr>
        <w:ind w:left="750"/>
      </w:pPr>
      <w:r>
        <w:lastRenderedPageBreak/>
        <w:t> </w:t>
      </w:r>
    </w:p>
    <w:p w14:paraId="7119BAC6" w14:textId="77777777" w:rsidR="00772179" w:rsidRDefault="00000000">
      <w:pPr>
        <w:pStyle w:val="pheading"/>
      </w:pPr>
      <w:r>
        <w:t>MESURAGE</w:t>
      </w:r>
    </w:p>
    <w:p w14:paraId="031F2C61" w14:textId="77777777" w:rsidR="00772179" w:rsidRDefault="00000000">
      <w:pPr>
        <w:pStyle w:val="pheading"/>
      </w:pPr>
      <w:r>
        <w:t>- unité de mesure:</w:t>
      </w:r>
    </w:p>
    <w:p w14:paraId="5DF62ED2" w14:textId="77777777" w:rsidR="00772179" w:rsidRDefault="00000000">
      <w:r>
        <w:rPr>
          <w:rStyle w:val="optioncarChar"/>
        </w:rPr>
        <w:t>pc</w:t>
      </w:r>
      <w:r>
        <w:t> (par défaut)</w:t>
      </w:r>
      <w:r>
        <w:rPr>
          <w:rStyle w:val="optioncarChar"/>
        </w:rPr>
        <w:t> / m²</w:t>
      </w:r>
    </w:p>
    <w:p w14:paraId="486F273A" w14:textId="77777777" w:rsidR="00772179" w:rsidRDefault="00000000">
      <w:r>
        <w:rPr>
          <w:b/>
          <w:i/>
        </w:rPr>
        <w:t>(soit par défaut)</w:t>
      </w:r>
    </w:p>
    <w:p w14:paraId="6B40ACFE" w14:textId="77777777" w:rsidR="00772179" w:rsidRDefault="00000000">
      <w:r>
        <w:rPr>
          <w:rStyle w:val="soitChar"/>
        </w:rPr>
        <w:t>1.     pc</w:t>
      </w:r>
    </w:p>
    <w:p w14:paraId="2B396CB5" w14:textId="77777777" w:rsidR="00772179" w:rsidRDefault="00000000">
      <w:r>
        <w:rPr>
          <w:b/>
          <w:i/>
        </w:rPr>
        <w:t>(soit)</w:t>
      </w:r>
    </w:p>
    <w:p w14:paraId="550C2CE6" w14:textId="77777777" w:rsidR="00772179" w:rsidRDefault="00000000">
      <w:r>
        <w:rPr>
          <w:rStyle w:val="soitChar"/>
        </w:rPr>
        <w:t>2.     m²</w:t>
      </w:r>
    </w:p>
    <w:p w14:paraId="4F2368E4" w14:textId="77777777" w:rsidR="00772179" w:rsidRDefault="00000000">
      <w:pPr>
        <w:pStyle w:val="pheading"/>
      </w:pPr>
      <w:r>
        <w:t>- code de mesurage:</w:t>
      </w:r>
    </w:p>
    <w:p w14:paraId="1C7BDDE7" w14:textId="77777777" w:rsidR="00772179" w:rsidRDefault="00000000">
      <w:r>
        <w:rPr>
          <w:rStyle w:val="optioncarChar"/>
        </w:rPr>
        <w:t>quantité nette </w:t>
      </w:r>
      <w:r>
        <w:t>(par défaut) </w:t>
      </w:r>
      <w:r>
        <w:rPr>
          <w:rStyle w:val="optioncarChar"/>
        </w:rPr>
        <w:t>/ surface nette</w:t>
      </w:r>
    </w:p>
    <w:p w14:paraId="56FCB00C" w14:textId="77777777" w:rsidR="00772179" w:rsidRDefault="00000000">
      <w:r>
        <w:rPr>
          <w:b/>
          <w:i/>
        </w:rPr>
        <w:t>(soit par défaut)</w:t>
      </w:r>
    </w:p>
    <w:p w14:paraId="36FAA0FD" w14:textId="77777777" w:rsidR="00772179" w:rsidRDefault="00000000">
      <w:r>
        <w:rPr>
          <w:rStyle w:val="soitChar"/>
        </w:rPr>
        <w:t xml:space="preserve">1. </w:t>
      </w:r>
      <w:r>
        <w:rPr>
          <w:rStyle w:val="soitChar"/>
          <w:u w:val="single"/>
        </w:rPr>
        <w:t>Quantité nette </w:t>
      </w:r>
      <w:r>
        <w:rPr>
          <w:rStyle w:val="soitChar"/>
        </w:rPr>
        <w:t>suivant dimensions de chaque porte</w:t>
      </w:r>
    </w:p>
    <w:p w14:paraId="47FEE193" w14:textId="77777777" w:rsidR="00772179" w:rsidRDefault="00000000">
      <w:r>
        <w:rPr>
          <w:b/>
          <w:i/>
        </w:rPr>
        <w:t>(soit)</w:t>
      </w:r>
    </w:p>
    <w:p w14:paraId="1820B22D" w14:textId="77777777" w:rsidR="00772179" w:rsidRDefault="00000000">
      <w:r>
        <w:rPr>
          <w:rStyle w:val="soitChar"/>
        </w:rPr>
        <w:t>2. </w:t>
      </w:r>
      <w:r>
        <w:rPr>
          <w:rStyle w:val="soitChar"/>
          <w:u w:val="single"/>
        </w:rPr>
        <w:t>Surface nette </w:t>
      </w:r>
      <w:r>
        <w:rPr>
          <w:rStyle w:val="soitChar"/>
        </w:rPr>
        <w:t>en développement des dimensions dans l'œuvre ventilé selon le type ou le modèle conformément aux indications dans le métré récapitulatif annexé au dossier d'adjudication</w:t>
      </w:r>
    </w:p>
    <w:p w14:paraId="39601FCC" w14:textId="77777777" w:rsidR="00772179" w:rsidRDefault="00000000">
      <w:pPr>
        <w:pStyle w:val="pheading"/>
      </w:pPr>
      <w:r>
        <w:t>- nature du marché:</w:t>
      </w:r>
    </w:p>
    <w:p w14:paraId="37B09879" w14:textId="77777777" w:rsidR="00772179" w:rsidRDefault="00000000">
      <w:r>
        <w:t>QF</w:t>
      </w:r>
    </w:p>
    <w:p w14:paraId="0CD618C0" w14:textId="77777777" w:rsidR="00772179" w:rsidRDefault="00000000">
      <w:pPr>
        <w:pStyle w:val="pheading"/>
      </w:pPr>
      <w:r>
        <w:t>AIDE</w:t>
      </w:r>
    </w:p>
    <w:p w14:paraId="0C803979" w14:textId="77777777" w:rsidR="00772179" w:rsidRDefault="00000000">
      <w:pPr>
        <w:jc w:val="both"/>
      </w:pPr>
      <w:r>
        <w:t>D’autres performances sont possibles, elles sont décrites dans les [STS 53.1].</w:t>
      </w:r>
    </w:p>
    <w:p w14:paraId="2E298185" w14:textId="77777777" w:rsidR="00772179" w:rsidRDefault="00000000">
      <w:pPr>
        <w:pStyle w:val="Author-eSectionHeading4Numberless"/>
      </w:pPr>
      <w:bookmarkStart w:id="88" w:name="_Toc220489834"/>
      <w:r>
        <w:t>41.24 Portes d'entrée en PVC CCTB 01.02</w:t>
      </w:r>
      <w:bookmarkEnd w:id="88"/>
    </w:p>
    <w:p w14:paraId="095A8564" w14:textId="77777777" w:rsidR="00772179" w:rsidRDefault="00000000">
      <w:pPr>
        <w:pStyle w:val="Author-eSectionHeading5Numberless"/>
      </w:pPr>
      <w:bookmarkStart w:id="89" w:name="_Toc220489835"/>
      <w:r>
        <w:t>41.24.1 Portes d'entrée en PVC sans coupure thermique CCTB 01.02</w:t>
      </w:r>
      <w:bookmarkEnd w:id="89"/>
    </w:p>
    <w:p w14:paraId="70BBF809" w14:textId="77777777" w:rsidR="00772179" w:rsidRDefault="00000000">
      <w:pPr>
        <w:pStyle w:val="Author-eSectionHeading6Numberless"/>
      </w:pPr>
      <w:bookmarkStart w:id="90" w:name="_Toc220489836"/>
      <w:r>
        <w:t>41.24.1a Portes d'entrée en PVC sans coupure thermique</w:t>
      </w:r>
      <w:bookmarkEnd w:id="90"/>
    </w:p>
    <w:p w14:paraId="76275FA3" w14:textId="77777777" w:rsidR="00772179" w:rsidRDefault="00000000">
      <w:pPr>
        <w:pStyle w:val="Author-eSectionHeading5Numberless"/>
      </w:pPr>
      <w:bookmarkStart w:id="91" w:name="_Toc220489837"/>
      <w:r>
        <w:t>41.24.2 Portes d'entrée en PVC avec coupure thermique CCTB 01.02</w:t>
      </w:r>
      <w:bookmarkEnd w:id="91"/>
    </w:p>
    <w:p w14:paraId="5F8CDF7B" w14:textId="77777777" w:rsidR="00772179" w:rsidRDefault="00000000">
      <w:pPr>
        <w:pStyle w:val="Author-eSectionHeading6Numberless"/>
      </w:pPr>
      <w:bookmarkStart w:id="92" w:name="_Toc220489838"/>
      <w:r>
        <w:t>41.24.2a Portes d'entrée en PVC avec coupure thermique</w:t>
      </w:r>
      <w:bookmarkEnd w:id="92"/>
    </w:p>
    <w:p w14:paraId="3A6667D9" w14:textId="77777777" w:rsidR="00772179" w:rsidRDefault="00000000">
      <w:pPr>
        <w:pStyle w:val="Author-eSectionHeading4Numberless"/>
      </w:pPr>
      <w:bookmarkStart w:id="93" w:name="_Toc220489839"/>
      <w:r>
        <w:t>41.25 Portes d'entrée en PUR CCTB 01.02</w:t>
      </w:r>
      <w:bookmarkEnd w:id="93"/>
    </w:p>
    <w:p w14:paraId="05AAB478" w14:textId="77777777" w:rsidR="00772179" w:rsidRDefault="00000000">
      <w:pPr>
        <w:pStyle w:val="Author-eSectionHeading5Numberless"/>
      </w:pPr>
      <w:bookmarkStart w:id="94" w:name="_Toc220489840"/>
      <w:r>
        <w:t>41.25.1 Portes d'entrée en PUR</w:t>
      </w:r>
      <w:bookmarkEnd w:id="94"/>
    </w:p>
    <w:p w14:paraId="00DA21C2" w14:textId="77777777" w:rsidR="00772179" w:rsidRDefault="00000000">
      <w:pPr>
        <w:pStyle w:val="Author-eSectionHeading6Numberless"/>
      </w:pPr>
      <w:bookmarkStart w:id="95" w:name="_Toc220489841"/>
      <w:r>
        <w:t>41.25.1a Portes d'entrée en PUR</w:t>
      </w:r>
      <w:bookmarkEnd w:id="95"/>
    </w:p>
    <w:p w14:paraId="4B4DD1DD" w14:textId="77777777" w:rsidR="00772179" w:rsidRDefault="00000000">
      <w:pPr>
        <w:pStyle w:val="Author-eSectionHeading4Numberless"/>
      </w:pPr>
      <w:bookmarkStart w:id="96" w:name="_Toc220489842"/>
      <w:r>
        <w:t>41.26 Portes d'entrée en verre CCTB 01.11</w:t>
      </w:r>
      <w:bookmarkEnd w:id="96"/>
    </w:p>
    <w:p w14:paraId="0378E295" w14:textId="77777777" w:rsidR="00772179" w:rsidRDefault="00000000">
      <w:pPr>
        <w:pStyle w:val="pheading"/>
      </w:pPr>
      <w:r>
        <w:t>DESCRIPTION</w:t>
      </w:r>
    </w:p>
    <w:p w14:paraId="4F991E28" w14:textId="77777777" w:rsidR="00772179" w:rsidRDefault="00000000">
      <w:pPr>
        <w:pStyle w:val="pheading"/>
      </w:pPr>
      <w:r>
        <w:t>- Définition / Comprend</w:t>
      </w:r>
    </w:p>
    <w:p w14:paraId="4026CEEE" w14:textId="77777777" w:rsidR="00772179" w:rsidRDefault="00000000">
      <w:r>
        <w:t xml:space="preserve">Pour les personnes présentant une déficience visuelle, les portes en verre sont munies de </w:t>
      </w:r>
      <w:r>
        <w:rPr>
          <w:rStyle w:val="optioncarChar"/>
        </w:rPr>
        <w:t>*** / repères visuels (voir recommandations dans la section AIDE)</w:t>
      </w:r>
      <w:r>
        <w:t>. </w:t>
      </w:r>
    </w:p>
    <w:p w14:paraId="2BDD579B" w14:textId="77777777" w:rsidR="00772179" w:rsidRDefault="00000000">
      <w:pPr>
        <w:pStyle w:val="pheading"/>
      </w:pPr>
      <w:r>
        <w:t>AIDE</w:t>
      </w:r>
    </w:p>
    <w:p w14:paraId="6576924C" w14:textId="77777777" w:rsidR="00772179" w:rsidRDefault="00000000">
      <w:r>
        <w:t>NOTE A L’AUTEUR DE PROJET </w:t>
      </w:r>
    </w:p>
    <w:p w14:paraId="10D76845" w14:textId="77777777" w:rsidR="00772179" w:rsidRDefault="00000000">
      <w:r>
        <w:rPr>
          <w:b/>
        </w:rPr>
        <w:t>Accessibilité aux personnes à mobilité réduite (PMR)</w:t>
      </w:r>
    </w:p>
    <w:p w14:paraId="32C7DFCE" w14:textId="77777777" w:rsidR="00772179" w:rsidRDefault="00000000">
      <w:r>
        <w:t>Repères visuels : [SWL CALA], [BS 8300] et [NBN ISO 21542]</w:t>
      </w:r>
    </w:p>
    <w:p w14:paraId="38E1B947" w14:textId="77777777" w:rsidR="00772179" w:rsidRDefault="00000000">
      <w:pPr>
        <w:pStyle w:val="Author-eListParagraph"/>
        <w:numPr>
          <w:ilvl w:val="0"/>
          <w:numId w:val="339"/>
        </w:numPr>
      </w:pPr>
      <w:r>
        <w:t>Présence de deux bandes colorées</w:t>
      </w:r>
    </w:p>
    <w:p w14:paraId="468DB1A8" w14:textId="77777777" w:rsidR="00772179" w:rsidRDefault="00000000">
      <w:pPr>
        <w:pStyle w:val="Author-eListParagraph"/>
        <w:numPr>
          <w:ilvl w:val="0"/>
          <w:numId w:val="340"/>
        </w:numPr>
      </w:pPr>
      <w:r>
        <w:lastRenderedPageBreak/>
        <w:t>Hauteurs des bandes : l’une entre 85 et 100 cm au-dessus du niveau du sol et l’autre entre 140 et 160 cm au-dessus du niveau du sol</w:t>
      </w:r>
    </w:p>
    <w:p w14:paraId="44E56434" w14:textId="77777777" w:rsidR="00772179" w:rsidRDefault="00000000">
      <w:pPr>
        <w:pStyle w:val="Author-eListParagraph"/>
        <w:numPr>
          <w:ilvl w:val="0"/>
          <w:numId w:val="340"/>
        </w:numPr>
      </w:pPr>
      <w:r>
        <w:t>Contraste : différence de coefficient de réflexion (LRV) ≥ 30 % entre les bandes et l’arrière-plan</w:t>
      </w:r>
    </w:p>
    <w:p w14:paraId="2F42077E" w14:textId="77777777" w:rsidR="00772179" w:rsidRDefault="00000000">
      <w:pPr>
        <w:pStyle w:val="Author-eSectionHeading5Numberless"/>
      </w:pPr>
      <w:bookmarkStart w:id="97" w:name="_Toc220489843"/>
      <w:r>
        <w:t>41.26.1 Portes d'entrée en verre CCTB 01.12</w:t>
      </w:r>
      <w:bookmarkEnd w:id="97"/>
    </w:p>
    <w:p w14:paraId="13263622" w14:textId="77777777" w:rsidR="00772179" w:rsidRDefault="00000000">
      <w:pPr>
        <w:pStyle w:val="pheading"/>
      </w:pPr>
      <w:r>
        <w:t>DESCRIPTION</w:t>
      </w:r>
    </w:p>
    <w:p w14:paraId="3BF76329" w14:textId="77777777" w:rsidR="00772179" w:rsidRDefault="00000000">
      <w:pPr>
        <w:pStyle w:val="pheading"/>
      </w:pPr>
      <w:r>
        <w:t>- Définition / Comprend</w:t>
      </w:r>
    </w:p>
    <w:p w14:paraId="1CA3E733" w14:textId="77777777" w:rsidR="00772179" w:rsidRDefault="00000000">
      <w:pPr>
        <w:jc w:val="both"/>
      </w:pPr>
      <w:r>
        <w:t>Il s’agit de la fourniture et la pose de tous les éléments nécessaires à la composition des portes d’entrée en verre, y compris toutes les pièces qui en font intrinsèquement partie.</w:t>
      </w:r>
    </w:p>
    <w:p w14:paraId="56E9580F" w14:textId="77777777" w:rsidR="00772179" w:rsidRDefault="00000000">
      <w:pPr>
        <w:jc w:val="both"/>
      </w:pPr>
      <w:r>
        <w:t xml:space="preserve">L’étendue du travail est décrite sous </w:t>
      </w:r>
      <w:hyperlink w:anchor="904" w:history="1">
        <w:r>
          <w:rPr>
            <w:color w:val="0000EE"/>
          </w:rPr>
          <w:t>41.2 Portes d'entrée</w:t>
        </w:r>
      </w:hyperlink>
    </w:p>
    <w:p w14:paraId="50E40AB2" w14:textId="77777777" w:rsidR="00772179" w:rsidRDefault="00000000">
      <w:pPr>
        <w:jc w:val="both"/>
      </w:pPr>
      <w:r>
        <w:t>Les opérations suivantes sont en outre d’application :</w:t>
      </w:r>
    </w:p>
    <w:p w14:paraId="577B20EF" w14:textId="77777777" w:rsidR="00772179" w:rsidRDefault="00000000">
      <w:pPr>
        <w:pStyle w:val="Author-eListParagraph"/>
        <w:numPr>
          <w:ilvl w:val="0"/>
          <w:numId w:val="341"/>
        </w:numPr>
        <w:jc w:val="both"/>
      </w:pPr>
      <w:r>
        <w:t>La mise au point des plans et détails d’exécution ;</w:t>
      </w:r>
    </w:p>
    <w:p w14:paraId="29AB5B99" w14:textId="77777777" w:rsidR="00772179" w:rsidRDefault="00000000">
      <w:pPr>
        <w:pStyle w:val="Author-eListParagraph"/>
        <w:numPr>
          <w:ilvl w:val="0"/>
          <w:numId w:val="341"/>
        </w:numPr>
        <w:jc w:val="both"/>
      </w:pPr>
      <w:r>
        <w:t>La fourniture et réalisation des raccordements d’étanchéité à l’air ;</w:t>
      </w:r>
    </w:p>
    <w:p w14:paraId="2DE5D034" w14:textId="77777777" w:rsidR="00772179" w:rsidRDefault="00000000">
      <w:pPr>
        <w:pStyle w:val="Author-eListParagraph"/>
        <w:numPr>
          <w:ilvl w:val="0"/>
          <w:numId w:val="341"/>
        </w:numPr>
        <w:jc w:val="both"/>
      </w:pPr>
      <w:r>
        <w:t>Toutes précautions en matière de sécurité conformément au 01.4 Plans de sécurité et de santé ;</w:t>
      </w:r>
    </w:p>
    <w:p w14:paraId="647129A3" w14:textId="77777777" w:rsidR="00772179" w:rsidRDefault="00000000">
      <w:pPr>
        <w:pStyle w:val="Author-eListParagraph"/>
        <w:numPr>
          <w:ilvl w:val="0"/>
          <w:numId w:val="341"/>
        </w:numPr>
        <w:jc w:val="both"/>
      </w:pPr>
      <w:r>
        <w:t>L’évacuation des déchets tel que décrit au 07 Déchets, matériaux et éléments réemployables.</w:t>
      </w:r>
    </w:p>
    <w:p w14:paraId="64574EBE" w14:textId="77777777" w:rsidR="00772179" w:rsidRDefault="00000000">
      <w:pPr>
        <w:pStyle w:val="pheading"/>
      </w:pPr>
      <w:r>
        <w:t>MATÉRIAUX</w:t>
      </w:r>
    </w:p>
    <w:p w14:paraId="0474CAE2" w14:textId="77777777" w:rsidR="00772179" w:rsidRDefault="00000000">
      <w:pPr>
        <w:jc w:val="both"/>
      </w:pPr>
      <w:r>
        <w:rPr>
          <w:b/>
        </w:rPr>
        <w:t>En cas de dormant et cadre en aluminium :</w:t>
      </w:r>
    </w:p>
    <w:p w14:paraId="0F97FD3F" w14:textId="77777777" w:rsidR="00772179" w:rsidRDefault="00000000">
      <w:pPr>
        <w:pStyle w:val="Author-eListParagraph"/>
        <w:numPr>
          <w:ilvl w:val="0"/>
          <w:numId w:val="342"/>
        </w:numPr>
      </w:pPr>
      <w:r>
        <w:t xml:space="preserve">Alliage : </w:t>
      </w:r>
      <w:r>
        <w:rPr>
          <w:rStyle w:val="optioncarChar"/>
        </w:rPr>
        <w:t>AW6060 / AW6033 / AW-6060-B</w:t>
      </w:r>
    </w:p>
    <w:p w14:paraId="54DB15C1" w14:textId="77777777" w:rsidR="00772179" w:rsidRDefault="00000000">
      <w:pPr>
        <w:pStyle w:val="Author-eListParagraph"/>
        <w:numPr>
          <w:ilvl w:val="0"/>
          <w:numId w:val="342"/>
        </w:numPr>
      </w:pPr>
      <w:r>
        <w:t xml:space="preserve">La finition des profilés est </w:t>
      </w:r>
      <w:r>
        <w:rPr>
          <w:rStyle w:val="optioncarChar"/>
        </w:rPr>
        <w:t>thermolaquée</w:t>
      </w:r>
      <w:r>
        <w:t xml:space="preserve"> (par défaut) </w:t>
      </w:r>
      <w:r>
        <w:rPr>
          <w:rStyle w:val="optioncarChar"/>
        </w:rPr>
        <w:t>/ anodisée</w:t>
      </w:r>
    </w:p>
    <w:p w14:paraId="73DE6BF8" w14:textId="77777777" w:rsidR="00772179" w:rsidRDefault="00000000">
      <w:pPr>
        <w:ind w:left="567"/>
        <w:jc w:val="both"/>
      </w:pPr>
      <w:r>
        <w:rPr>
          <w:b/>
        </w:rPr>
        <w:t>(soit par défaut)</w:t>
      </w:r>
    </w:p>
    <w:p w14:paraId="36E107A6" w14:textId="77777777" w:rsidR="00772179" w:rsidRDefault="00000000">
      <w:pPr>
        <w:ind w:left="567"/>
        <w:jc w:val="both"/>
      </w:pPr>
      <w:r>
        <w:rPr>
          <w:rStyle w:val="soitChar"/>
          <w:u w:val="single"/>
        </w:rPr>
        <w:t>Thermolaquée</w:t>
      </w:r>
      <w:r>
        <w:rPr>
          <w:rStyle w:val="soitChar"/>
        </w:rPr>
        <w:t xml:space="preserve"> suivant [NBN EN 12206-1] :</w:t>
      </w:r>
    </w:p>
    <w:p w14:paraId="71EF3D33" w14:textId="77777777" w:rsidR="00772179" w:rsidRDefault="00000000">
      <w:pPr>
        <w:pStyle w:val="Author-eListParagraph"/>
        <w:numPr>
          <w:ilvl w:val="0"/>
          <w:numId w:val="343"/>
        </w:numPr>
      </w:pPr>
      <w:r>
        <w:rPr>
          <w:rStyle w:val="soitChar"/>
        </w:rPr>
        <w:t>Pourvu du label [Qualicoat]</w:t>
      </w:r>
    </w:p>
    <w:p w14:paraId="020BBBD3" w14:textId="77777777" w:rsidR="00772179" w:rsidRDefault="00000000">
      <w:pPr>
        <w:pStyle w:val="Author-eListParagraph"/>
        <w:numPr>
          <w:ilvl w:val="0"/>
          <w:numId w:val="343"/>
        </w:numPr>
      </w:pPr>
      <w:r>
        <w:rPr>
          <w:rStyle w:val="soitChar"/>
        </w:rPr>
        <w:t xml:space="preserve">Épaisseur de finition par poudre : </w:t>
      </w:r>
      <w:r>
        <w:rPr>
          <w:rStyle w:val="optioncarChar"/>
        </w:rPr>
        <w:t xml:space="preserve">60 / 110 </w:t>
      </w:r>
      <w:r>
        <w:t>(par défaut)</w:t>
      </w:r>
      <w:r>
        <w:rPr>
          <w:rStyle w:val="optioncarChar"/>
        </w:rPr>
        <w:t xml:space="preserve"> / ***</w:t>
      </w:r>
      <w:r>
        <w:rPr>
          <w:rStyle w:val="soitChar"/>
        </w:rPr>
        <w:t xml:space="preserve"> µm</w:t>
      </w:r>
    </w:p>
    <w:p w14:paraId="17314F84" w14:textId="77777777" w:rsidR="00772179" w:rsidRDefault="00000000">
      <w:pPr>
        <w:pStyle w:val="Author-eListParagraph"/>
        <w:numPr>
          <w:ilvl w:val="0"/>
          <w:numId w:val="343"/>
        </w:numPr>
      </w:pPr>
      <w:r>
        <w:rPr>
          <w:rStyle w:val="soitChar"/>
        </w:rPr>
        <w:t xml:space="preserve">Épaisseur de finition par laquage : </w:t>
      </w:r>
      <w:r>
        <w:rPr>
          <w:rStyle w:val="optioncarChar"/>
        </w:rPr>
        <w:t xml:space="preserve">80 </w:t>
      </w:r>
      <w:r>
        <w:t xml:space="preserve">(par défaut) </w:t>
      </w:r>
      <w:r>
        <w:rPr>
          <w:rStyle w:val="optioncarChar"/>
        </w:rPr>
        <w:t>/ ***</w:t>
      </w:r>
      <w:r>
        <w:rPr>
          <w:rStyle w:val="soitChar"/>
        </w:rPr>
        <w:t xml:space="preserve"> µm</w:t>
      </w:r>
    </w:p>
    <w:p w14:paraId="59C447D5" w14:textId="77777777" w:rsidR="00772179" w:rsidRDefault="00000000">
      <w:pPr>
        <w:ind w:left="567"/>
        <w:jc w:val="both"/>
      </w:pPr>
      <w:r>
        <w:rPr>
          <w:b/>
        </w:rPr>
        <w:t>(soit)</w:t>
      </w:r>
    </w:p>
    <w:p w14:paraId="5A048ECB" w14:textId="77777777" w:rsidR="00772179" w:rsidRDefault="00000000">
      <w:pPr>
        <w:ind w:left="567"/>
        <w:jc w:val="both"/>
      </w:pPr>
      <w:r>
        <w:rPr>
          <w:rStyle w:val="soitChar"/>
          <w:u w:val="single"/>
        </w:rPr>
        <w:t>Anodisée</w:t>
      </w:r>
      <w:r>
        <w:rPr>
          <w:rStyle w:val="soitChar"/>
        </w:rPr>
        <w:t> suivant [NBN EN ISO 7599] :</w:t>
      </w:r>
    </w:p>
    <w:p w14:paraId="7BE6E878" w14:textId="77777777" w:rsidR="00772179" w:rsidRDefault="00000000">
      <w:pPr>
        <w:pStyle w:val="Author-eListParagraph"/>
        <w:numPr>
          <w:ilvl w:val="0"/>
          <w:numId w:val="344"/>
        </w:numPr>
      </w:pPr>
      <w:r>
        <w:rPr>
          <w:rStyle w:val="soitChar"/>
        </w:rPr>
        <w:t>Pourvu du label [Qualanod]</w:t>
      </w:r>
    </w:p>
    <w:p w14:paraId="647144EB" w14:textId="77777777" w:rsidR="00772179" w:rsidRDefault="00000000">
      <w:pPr>
        <w:pStyle w:val="Author-eListParagraph"/>
        <w:numPr>
          <w:ilvl w:val="0"/>
          <w:numId w:val="344"/>
        </w:numPr>
      </w:pPr>
      <w:r>
        <w:rPr>
          <w:rStyle w:val="soitChar"/>
        </w:rPr>
        <w:t xml:space="preserve">Épaisseur de la couche d’anodisation : </w:t>
      </w:r>
      <w:r>
        <w:rPr>
          <w:rStyle w:val="optioncarChar"/>
        </w:rPr>
        <w:t>20</w:t>
      </w:r>
      <w:r>
        <w:t xml:space="preserve"> (par défaut)</w:t>
      </w:r>
      <w:r>
        <w:rPr>
          <w:rStyle w:val="optioncarChar"/>
        </w:rPr>
        <w:t xml:space="preserve"> / 25 / ***</w:t>
      </w:r>
      <w:r>
        <w:rPr>
          <w:rStyle w:val="soitChar"/>
        </w:rPr>
        <w:t xml:space="preserve"> µm</w:t>
      </w:r>
    </w:p>
    <w:p w14:paraId="686DD8FD" w14:textId="77777777" w:rsidR="00772179" w:rsidRDefault="00000000">
      <w:pPr>
        <w:jc w:val="both"/>
      </w:pPr>
      <w:r>
        <w:rPr>
          <w:b/>
        </w:rPr>
        <w:t>En cas de dormant et cadre en acier :</w:t>
      </w:r>
    </w:p>
    <w:p w14:paraId="592A5825" w14:textId="77777777" w:rsidR="00772179" w:rsidRDefault="00000000">
      <w:pPr>
        <w:pStyle w:val="Author-eListParagraph"/>
        <w:numPr>
          <w:ilvl w:val="0"/>
          <w:numId w:val="345"/>
        </w:numPr>
      </w:pPr>
      <w:r>
        <w:t xml:space="preserve">Alliage : </w:t>
      </w:r>
      <w:r>
        <w:rPr>
          <w:rStyle w:val="optioncarChar"/>
        </w:rPr>
        <w:t>acier S235</w:t>
      </w:r>
      <w:r>
        <w:t xml:space="preserve"> (par défaut)</w:t>
      </w:r>
      <w:r>
        <w:rPr>
          <w:rStyle w:val="optioncarChar"/>
        </w:rPr>
        <w:t xml:space="preserve"> / ***</w:t>
      </w:r>
    </w:p>
    <w:p w14:paraId="48847568" w14:textId="77777777" w:rsidR="00772179" w:rsidRDefault="00000000">
      <w:pPr>
        <w:pStyle w:val="Author-eListParagraph"/>
        <w:numPr>
          <w:ilvl w:val="0"/>
          <w:numId w:val="345"/>
        </w:numPr>
      </w:pPr>
      <w:r>
        <w:t>Finition pourvue du label [Qualisteelcoat]</w:t>
      </w:r>
    </w:p>
    <w:p w14:paraId="1C98FB30" w14:textId="77777777" w:rsidR="00772179" w:rsidRDefault="00000000">
      <w:pPr>
        <w:pStyle w:val="Author-eListParagraph"/>
        <w:numPr>
          <w:ilvl w:val="0"/>
          <w:numId w:val="345"/>
        </w:numPr>
      </w:pPr>
      <w:r>
        <w:t xml:space="preserve">La protection des profilés acier est effectuée : par </w:t>
      </w:r>
      <w:r>
        <w:rPr>
          <w:rStyle w:val="optioncarChar"/>
        </w:rPr>
        <w:t xml:space="preserve">métallisation </w:t>
      </w:r>
      <w:r>
        <w:t>(par défaut)</w:t>
      </w:r>
      <w:r>
        <w:rPr>
          <w:rStyle w:val="optioncarChar"/>
        </w:rPr>
        <w:t xml:space="preserve"> / phosphatation / galvanisation</w:t>
      </w:r>
    </w:p>
    <w:p w14:paraId="33E92333" w14:textId="77777777" w:rsidR="00772179" w:rsidRDefault="00000000">
      <w:pPr>
        <w:ind w:left="567"/>
        <w:jc w:val="both"/>
      </w:pPr>
      <w:r>
        <w:rPr>
          <w:b/>
        </w:rPr>
        <w:t>(soit par défaut)</w:t>
      </w:r>
    </w:p>
    <w:p w14:paraId="11F82F4D" w14:textId="77777777" w:rsidR="00772179" w:rsidRDefault="00000000">
      <w:pPr>
        <w:ind w:left="567"/>
        <w:jc w:val="both"/>
      </w:pPr>
      <w:r>
        <w:rPr>
          <w:rStyle w:val="soitChar"/>
          <w:u w:val="single"/>
        </w:rPr>
        <w:t>Métallisation :</w:t>
      </w:r>
      <w:r>
        <w:rPr>
          <w:rStyle w:val="soitChar"/>
        </w:rPr>
        <w:t xml:space="preserve"> selon la classe Zn40. La première couche de peinture à base de chromate de zinc est appliquée en atelier.</w:t>
      </w:r>
    </w:p>
    <w:p w14:paraId="793B534B" w14:textId="77777777" w:rsidR="00772179" w:rsidRDefault="00000000">
      <w:pPr>
        <w:ind w:left="567"/>
        <w:jc w:val="both"/>
      </w:pPr>
      <w:r>
        <w:rPr>
          <w:b/>
        </w:rPr>
        <w:t>(soit)</w:t>
      </w:r>
    </w:p>
    <w:p w14:paraId="73F75888" w14:textId="77777777" w:rsidR="00772179" w:rsidRDefault="00000000">
      <w:pPr>
        <w:ind w:left="567"/>
        <w:jc w:val="both"/>
      </w:pPr>
      <w:r>
        <w:rPr>
          <w:rStyle w:val="soitChar"/>
          <w:u w:val="single"/>
        </w:rPr>
        <w:t>Phosphatation :</w:t>
      </w:r>
      <w:r>
        <w:rPr>
          <w:rStyle w:val="soitChar"/>
        </w:rPr>
        <w:t xml:space="preserve"> jusqu'à saturation. Après rinçage et séchage, la première couche de peinture à base de chromate de zinc est appliquée en atelier.</w:t>
      </w:r>
    </w:p>
    <w:p w14:paraId="730C5602" w14:textId="77777777" w:rsidR="00772179" w:rsidRDefault="00000000">
      <w:pPr>
        <w:ind w:left="567"/>
        <w:jc w:val="both"/>
      </w:pPr>
      <w:r>
        <w:rPr>
          <w:b/>
        </w:rPr>
        <w:t>(soit par défaut)</w:t>
      </w:r>
    </w:p>
    <w:p w14:paraId="3B4C8DA0" w14:textId="77777777" w:rsidR="00772179" w:rsidRDefault="00000000">
      <w:pPr>
        <w:ind w:left="567"/>
        <w:jc w:val="both"/>
      </w:pPr>
      <w:r>
        <w:rPr>
          <w:rStyle w:val="soitChar"/>
          <w:u w:val="single"/>
        </w:rPr>
        <w:t>Galvanisation :</w:t>
      </w:r>
      <w:r>
        <w:rPr>
          <w:rStyle w:val="soitChar"/>
        </w:rPr>
        <w:t xml:space="preserve"> par immersion dans un bain de zinc liquide, la première couche de peinture à base de chromate de zinc est appliquée en atelier.</w:t>
      </w:r>
    </w:p>
    <w:p w14:paraId="02E2198E" w14:textId="77777777" w:rsidR="00772179" w:rsidRDefault="00000000">
      <w:pPr>
        <w:pStyle w:val="Author-eListParagraph"/>
        <w:numPr>
          <w:ilvl w:val="0"/>
          <w:numId w:val="346"/>
        </w:numPr>
      </w:pPr>
      <w:r>
        <w:t xml:space="preserve">Le revêtement des profilés est effectué par finition : </w:t>
      </w:r>
      <w:r>
        <w:rPr>
          <w:rStyle w:val="optioncarChar"/>
        </w:rPr>
        <w:t>en poudre thermodurcissable / liquide</w:t>
      </w:r>
    </w:p>
    <w:p w14:paraId="36FB1BAD" w14:textId="77777777" w:rsidR="00772179" w:rsidRDefault="00000000">
      <w:pPr>
        <w:ind w:left="567"/>
        <w:jc w:val="both"/>
      </w:pPr>
      <w:r>
        <w:rPr>
          <w:b/>
        </w:rPr>
        <w:lastRenderedPageBreak/>
        <w:t>(soit par défaut)</w:t>
      </w:r>
    </w:p>
    <w:p w14:paraId="5A619371" w14:textId="77777777" w:rsidR="00772179" w:rsidRDefault="00000000">
      <w:pPr>
        <w:ind w:left="567"/>
        <w:jc w:val="both"/>
      </w:pPr>
      <w:r>
        <w:rPr>
          <w:rStyle w:val="soitChar"/>
          <w:u w:val="single"/>
        </w:rPr>
        <w:t>En poudre thermodurcissable :</w:t>
      </w:r>
      <w:r>
        <w:rPr>
          <w:rStyle w:val="soitChar"/>
        </w:rPr>
        <w:t xml:space="preserve"> système : </w:t>
      </w:r>
      <w:r>
        <w:rPr>
          <w:rStyle w:val="optioncarChar"/>
        </w:rPr>
        <w:t xml:space="preserve">bicouche </w:t>
      </w:r>
      <w:r>
        <w:t>(par défaut)</w:t>
      </w:r>
      <w:r>
        <w:rPr>
          <w:rStyle w:val="optioncarChar"/>
        </w:rPr>
        <w:t xml:space="preserve"> / monocouche</w:t>
      </w:r>
    </w:p>
    <w:p w14:paraId="6C622D7D" w14:textId="77777777" w:rsidR="00772179" w:rsidRDefault="00000000">
      <w:pPr>
        <w:ind w:left="1134"/>
        <w:jc w:val="both"/>
      </w:pPr>
      <w:r>
        <w:rPr>
          <w:b/>
        </w:rPr>
        <w:t>(soit par défaut)</w:t>
      </w:r>
    </w:p>
    <w:p w14:paraId="0D7813A4" w14:textId="77777777" w:rsidR="00772179" w:rsidRDefault="00000000">
      <w:pPr>
        <w:ind w:left="1134"/>
        <w:jc w:val="both"/>
      </w:pPr>
      <w:r>
        <w:rPr>
          <w:rStyle w:val="soitChar"/>
          <w:u w:val="single"/>
        </w:rPr>
        <w:t>Système bicouche :</w:t>
      </w:r>
      <w:r>
        <w:rPr>
          <w:rStyle w:val="soitChar"/>
        </w:rPr>
        <w:t xml:space="preserve"> primaire époxy ou époxy/polyester + finition polyester, épaisseur 120 à 160 μm.</w:t>
      </w:r>
    </w:p>
    <w:p w14:paraId="52963E8A" w14:textId="77777777" w:rsidR="00772179" w:rsidRDefault="00000000">
      <w:pPr>
        <w:ind w:left="1134"/>
        <w:jc w:val="both"/>
      </w:pPr>
      <w:r>
        <w:rPr>
          <w:b/>
        </w:rPr>
        <w:t>(soit)</w:t>
      </w:r>
    </w:p>
    <w:p w14:paraId="68EA044E" w14:textId="77777777" w:rsidR="00772179" w:rsidRDefault="00000000">
      <w:pPr>
        <w:ind w:left="1134"/>
        <w:jc w:val="both"/>
      </w:pPr>
      <w:r>
        <w:rPr>
          <w:rStyle w:val="soitChar"/>
          <w:u w:val="single"/>
        </w:rPr>
        <w:t>Système monocouche :</w:t>
      </w:r>
      <w:r>
        <w:rPr>
          <w:rStyle w:val="soitChar"/>
        </w:rPr>
        <w:t xml:space="preserve"> poudre polyester, épaisseur 80 à 100 μm.</w:t>
      </w:r>
    </w:p>
    <w:p w14:paraId="74B40BCF" w14:textId="77777777" w:rsidR="00772179" w:rsidRDefault="00000000">
      <w:pPr>
        <w:ind w:left="567"/>
        <w:jc w:val="both"/>
      </w:pPr>
      <w:r>
        <w:rPr>
          <w:b/>
        </w:rPr>
        <w:t>(soit)</w:t>
      </w:r>
    </w:p>
    <w:p w14:paraId="3A35FE7C" w14:textId="77777777" w:rsidR="00772179" w:rsidRDefault="00000000">
      <w:pPr>
        <w:ind w:left="567"/>
        <w:jc w:val="both"/>
      </w:pPr>
      <w:r>
        <w:rPr>
          <w:rStyle w:val="soitChar"/>
          <w:u w:val="single"/>
        </w:rPr>
        <w:t>Liquide :</w:t>
      </w:r>
      <w:r>
        <w:rPr>
          <w:rStyle w:val="soitChar"/>
        </w:rPr>
        <w:t xml:space="preserve"> laque polyuréthane ou polyester,</w:t>
      </w:r>
    </w:p>
    <w:p w14:paraId="44709F4E" w14:textId="77777777" w:rsidR="00772179" w:rsidRDefault="00000000">
      <w:pPr>
        <w:pStyle w:val="Author-eListParagraph"/>
        <w:numPr>
          <w:ilvl w:val="0"/>
          <w:numId w:val="347"/>
        </w:numPr>
      </w:pPr>
      <w:r>
        <w:rPr>
          <w:rStyle w:val="soitChar"/>
        </w:rPr>
        <w:t xml:space="preserve">Nombre de couches : </w:t>
      </w:r>
      <w:r>
        <w:rPr>
          <w:rStyle w:val="optioncarChar"/>
        </w:rPr>
        <w:t xml:space="preserve">2 / 3 </w:t>
      </w:r>
      <w:r>
        <w:t>(par défaut)</w:t>
      </w:r>
      <w:r>
        <w:rPr>
          <w:rStyle w:val="optioncarChar"/>
        </w:rPr>
        <w:t xml:space="preserve"> / 4</w:t>
      </w:r>
    </w:p>
    <w:p w14:paraId="2F9C5F62" w14:textId="77777777" w:rsidR="00772179" w:rsidRDefault="00000000">
      <w:pPr>
        <w:pStyle w:val="Author-eListParagraph"/>
        <w:numPr>
          <w:ilvl w:val="0"/>
          <w:numId w:val="347"/>
        </w:numPr>
      </w:pPr>
      <w:r>
        <w:rPr>
          <w:rStyle w:val="soitChar"/>
        </w:rPr>
        <w:t>Épaisseur totale : ≥ </w:t>
      </w:r>
      <w:r>
        <w:rPr>
          <w:rStyle w:val="optioncarChar"/>
        </w:rPr>
        <w:t xml:space="preserve">160 / 200 </w:t>
      </w:r>
      <w:r>
        <w:t>(par défaut)</w:t>
      </w:r>
      <w:r>
        <w:rPr>
          <w:rStyle w:val="optioncarChar"/>
        </w:rPr>
        <w:t xml:space="preserve"> / 260 / 300</w:t>
      </w:r>
      <w:r>
        <w:rPr>
          <w:rStyle w:val="soitChar"/>
        </w:rPr>
        <w:t xml:space="preserve"> μm</w:t>
      </w:r>
    </w:p>
    <w:p w14:paraId="1D040999" w14:textId="77777777" w:rsidR="00772179" w:rsidRDefault="00000000">
      <w:pPr>
        <w:jc w:val="both"/>
      </w:pPr>
      <w:r>
        <w:rPr>
          <w:b/>
        </w:rPr>
        <w:t>Vitrage</w:t>
      </w:r>
      <w:r>
        <w:t xml:space="preserve"> - choix du type de vitrage en fonction de la sécurité des personnes suivant [NBN S 23-002] point 4.4.2.2.1 :</w:t>
      </w:r>
    </w:p>
    <w:p w14:paraId="3EF0E1A3" w14:textId="77777777" w:rsidR="00772179" w:rsidRDefault="00000000">
      <w:pPr>
        <w:pStyle w:val="Author-eListParagraph"/>
        <w:numPr>
          <w:ilvl w:val="0"/>
          <w:numId w:val="348"/>
        </w:numPr>
      </w:pPr>
      <w:r>
        <w:t>Les spécifications du tableau 5 « Spécification des types de casse » sont un minimum à respecter.  Le constructeur détermine les épaisseurs de vitrage et le type en fonction de la note de calcul à transmettre pour approbation à la direction des travaux.</w:t>
      </w:r>
    </w:p>
    <w:p w14:paraId="3A0D06C1" w14:textId="77777777" w:rsidR="00772179" w:rsidRDefault="00000000">
      <w:r>
        <w:rPr>
          <w:b/>
        </w:rPr>
        <w:t>Porte en verre feuilleté simple sans cadre :</w:t>
      </w:r>
    </w:p>
    <w:p w14:paraId="20C8DA1B" w14:textId="77777777" w:rsidR="00772179" w:rsidRDefault="00000000">
      <w:pPr>
        <w:pStyle w:val="Author-eListParagraph"/>
        <w:numPr>
          <w:ilvl w:val="0"/>
          <w:numId w:val="349"/>
        </w:numPr>
      </w:pPr>
      <w:r>
        <w:t>Le verre feuilleté soumis aux intempéries présentant un risque de délaminage et des déformations liées aux UV, il n’est utilisé sans cadre que sous la condition que l’intercalaire soit adapté à l’utilisation sous intempéries. </w:t>
      </w:r>
    </w:p>
    <w:p w14:paraId="5463F5EE" w14:textId="77777777" w:rsidR="00772179" w:rsidRDefault="00000000">
      <w:pPr>
        <w:pStyle w:val="Author-eListParagraph"/>
        <w:numPr>
          <w:ilvl w:val="0"/>
          <w:numId w:val="349"/>
        </w:numPr>
      </w:pPr>
      <w:r>
        <w:t>En cas d’utilisation sans cadre, le fabricant présente une attestation garantissant la résistance aux UV et aux intempéries, par l’usage d’intercalaires adaptés (type polymère ionoplaste par exemple).</w:t>
      </w:r>
    </w:p>
    <w:p w14:paraId="19DE872D" w14:textId="77777777" w:rsidR="00772179" w:rsidRDefault="00000000">
      <w:pPr>
        <w:jc w:val="both"/>
      </w:pPr>
      <w:r>
        <w:rPr>
          <w:b/>
        </w:rPr>
        <w:t>Repères visuels </w:t>
      </w:r>
      <w:r>
        <w:t>suivant :  </w:t>
      </w:r>
      <w:r>
        <w:rPr>
          <w:rStyle w:val="optioncarChar"/>
        </w:rPr>
        <w:t xml:space="preserve">le guide d’aide à la conception d’un logement adaptable </w:t>
      </w:r>
      <w:r>
        <w:t>(par défaut)</w:t>
      </w:r>
      <w:r>
        <w:rPr>
          <w:rStyle w:val="optioncarChar"/>
        </w:rPr>
        <w:t xml:space="preserve"> / [NBN S 23-002]</w:t>
      </w:r>
    </w:p>
    <w:p w14:paraId="08F4896A" w14:textId="77777777" w:rsidR="00772179" w:rsidRDefault="00000000">
      <w:pPr>
        <w:jc w:val="both"/>
      </w:pPr>
      <w:r>
        <w:rPr>
          <w:b/>
        </w:rPr>
        <w:t>(soit par défaut)</w:t>
      </w:r>
    </w:p>
    <w:p w14:paraId="28486699" w14:textId="77777777" w:rsidR="00772179" w:rsidRDefault="00000000">
      <w:pPr>
        <w:jc w:val="both"/>
      </w:pPr>
      <w:r>
        <w:rPr>
          <w:rStyle w:val="soitChar"/>
          <w:u w:val="single"/>
        </w:rPr>
        <w:t>Suivant le guide du d’aide à la conception d’un logement adaptable</w:t>
      </w:r>
      <w:r>
        <w:rPr>
          <w:rStyle w:val="soitChar"/>
        </w:rPr>
        <w:t> : au moyen de 2 bandes colorées, l’une entre 85 et 100 cm, l’autre entre 140 et 160 cm</w:t>
      </w:r>
    </w:p>
    <w:p w14:paraId="7C94D32B" w14:textId="77777777" w:rsidR="00772179" w:rsidRDefault="00000000">
      <w:pPr>
        <w:jc w:val="both"/>
      </w:pPr>
      <w:r>
        <w:rPr>
          <w:b/>
        </w:rPr>
        <w:t>(soit)</w:t>
      </w:r>
    </w:p>
    <w:p w14:paraId="747625C8" w14:textId="77777777" w:rsidR="00772179" w:rsidRDefault="00000000">
      <w:pPr>
        <w:jc w:val="both"/>
      </w:pPr>
      <w:r>
        <w:rPr>
          <w:rStyle w:val="soitChar"/>
          <w:u w:val="single"/>
        </w:rPr>
        <w:t>Suivant [NBN S 23-002] :</w:t>
      </w:r>
    </w:p>
    <w:p w14:paraId="739471F3" w14:textId="77777777" w:rsidR="00772179" w:rsidRDefault="00000000">
      <w:pPr>
        <w:jc w:val="both"/>
      </w:pPr>
      <w:r>
        <w:rPr>
          <w:rStyle w:val="soitChar"/>
        </w:rPr>
        <w:t xml:space="preserve">Au moyen d' : </w:t>
      </w:r>
      <w:r>
        <w:rPr>
          <w:rStyle w:val="optioncarChar"/>
        </w:rPr>
        <w:t>une poignée d’une surface ≥ 400 cm² / un dispositif d’une surface ≥ 400 cm² / un motif visible ≥ 100 cm² situé à environ à une hauteur de 1,50 m du sol fini</w:t>
      </w:r>
      <w:r>
        <w:rPr>
          <w:rStyle w:val="soitChar"/>
        </w:rPr>
        <w:t>.</w:t>
      </w:r>
    </w:p>
    <w:p w14:paraId="20E460B4" w14:textId="77777777" w:rsidR="00772179" w:rsidRDefault="00000000">
      <w:pPr>
        <w:jc w:val="both"/>
      </w:pPr>
      <w:r>
        <w:rPr>
          <w:b/>
        </w:rPr>
        <w:t>Joints d’étanchéité entre menuiserie et parement :</w:t>
      </w:r>
    </w:p>
    <w:p w14:paraId="745EA2BE" w14:textId="77777777" w:rsidR="00772179" w:rsidRDefault="00000000">
      <w:pPr>
        <w:pStyle w:val="Author-eListParagraph"/>
        <w:numPr>
          <w:ilvl w:val="0"/>
          <w:numId w:val="350"/>
        </w:numPr>
      </w:pPr>
      <w:r>
        <w:t xml:space="preserve">Fond de joint compatible avec le mastic : </w:t>
      </w:r>
      <w:r>
        <w:rPr>
          <w:rStyle w:val="optioncarChar"/>
        </w:rPr>
        <w:t>PE / PUR</w:t>
      </w:r>
    </w:p>
    <w:p w14:paraId="6D964C8E" w14:textId="77777777" w:rsidR="00772179" w:rsidRDefault="00000000">
      <w:pPr>
        <w:pStyle w:val="Author-eListParagraph"/>
        <w:numPr>
          <w:ilvl w:val="0"/>
          <w:numId w:val="350"/>
        </w:numPr>
      </w:pPr>
      <w:r>
        <w:t xml:space="preserve">Mastic de façade suivant [NBN EN ISO 11600] : </w:t>
      </w:r>
      <w:r>
        <w:rPr>
          <w:rStyle w:val="optioncarChar"/>
        </w:rPr>
        <w:t>F20LM</w:t>
      </w:r>
      <w:r>
        <w:t xml:space="preserve"> (par défaut)</w:t>
      </w:r>
      <w:r>
        <w:rPr>
          <w:rStyle w:val="optioncarChar"/>
        </w:rPr>
        <w:t xml:space="preserve"> / F25LM / ***</w:t>
      </w:r>
    </w:p>
    <w:p w14:paraId="3A03D567" w14:textId="77777777" w:rsidR="00772179" w:rsidRDefault="00000000">
      <w:pPr>
        <w:jc w:val="both"/>
      </w:pPr>
      <w:r>
        <w:rPr>
          <w:b/>
        </w:rPr>
        <w:t>Aspects environnementaux :</w:t>
      </w:r>
    </w:p>
    <w:p w14:paraId="401EA6F6" w14:textId="77777777" w:rsidR="00772179" w:rsidRDefault="00000000">
      <w:pPr>
        <w:jc w:val="both"/>
      </w:pPr>
      <w:r>
        <w:t>En cas d’utilisation de dormant en aluminium :</w:t>
      </w:r>
    </w:p>
    <w:p w14:paraId="72F7FD56" w14:textId="77777777" w:rsidR="00772179" w:rsidRDefault="00000000">
      <w:pPr>
        <w:pStyle w:val="Author-eListParagraph"/>
        <w:numPr>
          <w:ilvl w:val="0"/>
          <w:numId w:val="351"/>
        </w:numPr>
      </w:pPr>
      <w:r>
        <w:t xml:space="preserve">Les profilés en aluminium utilisés sont labellisés Craddle to craddle : </w:t>
      </w:r>
      <w:r>
        <w:rPr>
          <w:rStyle w:val="optioncarChar"/>
        </w:rPr>
        <w:t xml:space="preserve">oui </w:t>
      </w:r>
      <w:r>
        <w:t>(par défaut)</w:t>
      </w:r>
      <w:r>
        <w:rPr>
          <w:rStyle w:val="optioncarChar"/>
        </w:rPr>
        <w:t xml:space="preserve"> / non</w:t>
      </w:r>
    </w:p>
    <w:p w14:paraId="2EBEC182" w14:textId="77777777" w:rsidR="00772179" w:rsidRDefault="00000000">
      <w:pPr>
        <w:pStyle w:val="Author-eListParagraph"/>
        <w:numPr>
          <w:ilvl w:val="0"/>
          <w:numId w:val="351"/>
        </w:numPr>
      </w:pPr>
      <w:r>
        <w:t>Les profilés sont réalisés avec une part d’aluminium recyclé : ≥ </w:t>
      </w:r>
      <w:r>
        <w:rPr>
          <w:rStyle w:val="optioncarChar"/>
        </w:rPr>
        <w:t>40</w:t>
      </w:r>
      <w:r>
        <w:t xml:space="preserve"> (par défaut)</w:t>
      </w:r>
      <w:r>
        <w:rPr>
          <w:rStyle w:val="optioncarChar"/>
        </w:rPr>
        <w:t xml:space="preserve"> / 70 / ***</w:t>
      </w:r>
      <w:r>
        <w:t xml:space="preserve"> %</w:t>
      </w:r>
    </w:p>
    <w:p w14:paraId="6712560A" w14:textId="77777777" w:rsidR="00772179" w:rsidRDefault="00000000">
      <w:pPr>
        <w:jc w:val="both"/>
      </w:pPr>
      <w:r>
        <w:t>En cas d’utilisation de dormant en acier :</w:t>
      </w:r>
    </w:p>
    <w:p w14:paraId="457BB837" w14:textId="77777777" w:rsidR="00772179" w:rsidRDefault="00000000">
      <w:pPr>
        <w:pStyle w:val="Author-eListParagraph"/>
        <w:numPr>
          <w:ilvl w:val="0"/>
          <w:numId w:val="352"/>
        </w:numPr>
      </w:pPr>
      <w:r>
        <w:t>Les profilés en acier sont réalisés avec une part d’acier recyclé : ≥ </w:t>
      </w:r>
      <w:r>
        <w:rPr>
          <w:rStyle w:val="optioncarChar"/>
        </w:rPr>
        <w:t>40</w:t>
      </w:r>
      <w:r>
        <w:t xml:space="preserve"> (par défaut) </w:t>
      </w:r>
      <w:r>
        <w:rPr>
          <w:rStyle w:val="optioncarChar"/>
        </w:rPr>
        <w:t>/ ***</w:t>
      </w:r>
      <w:r>
        <w:t xml:space="preserve"> %</w:t>
      </w:r>
    </w:p>
    <w:p w14:paraId="3656F61D" w14:textId="77777777" w:rsidR="00772179" w:rsidRDefault="00000000">
      <w:pPr>
        <w:jc w:val="both"/>
      </w:pPr>
      <w:r>
        <w:t>Vitrage</w:t>
      </w:r>
    </w:p>
    <w:p w14:paraId="412C9219" w14:textId="77777777" w:rsidR="00772179" w:rsidRDefault="00000000">
      <w:pPr>
        <w:pStyle w:val="Author-eListParagraph"/>
        <w:numPr>
          <w:ilvl w:val="0"/>
          <w:numId w:val="353"/>
        </w:numPr>
        <w:jc w:val="both"/>
      </w:pPr>
      <w:r>
        <w:t>Le vitrage utilisé contient une part de verre recyclé : ≥ </w:t>
      </w:r>
      <w:r>
        <w:rPr>
          <w:rStyle w:val="optioncarChar"/>
        </w:rPr>
        <w:t xml:space="preserve">30 </w:t>
      </w:r>
      <w:r>
        <w:t>(par défaut)</w:t>
      </w:r>
      <w:r>
        <w:rPr>
          <w:rStyle w:val="optioncarChar"/>
        </w:rPr>
        <w:t xml:space="preserve"> / ***</w:t>
      </w:r>
      <w:r>
        <w:t xml:space="preserve"> %</w:t>
      </w:r>
    </w:p>
    <w:p w14:paraId="65EDA192" w14:textId="77777777" w:rsidR="00772179" w:rsidRDefault="00000000">
      <w:pPr>
        <w:pStyle w:val="pheading"/>
      </w:pPr>
      <w:r>
        <w:t>EXÉCUTION / MISE EN ŒUVRE</w:t>
      </w:r>
    </w:p>
    <w:p w14:paraId="685C4BBB" w14:textId="77777777" w:rsidR="00772179" w:rsidRDefault="00000000">
      <w:pPr>
        <w:jc w:val="both"/>
      </w:pPr>
      <w:r>
        <w:lastRenderedPageBreak/>
        <w:t>La mise en œuvre est effectuée conformément aux prescriptions de la documentation technique accompagnant le produit ainsi que selon les indications sur les plans et les dessins de détail.</w:t>
      </w:r>
    </w:p>
    <w:p w14:paraId="37D24224" w14:textId="77777777" w:rsidR="00772179" w:rsidRDefault="00000000">
      <w:pPr>
        <w:jc w:val="both"/>
      </w:pPr>
      <w:r>
        <w:t>Ancrage au gros-œuvre : les fixations et techniques de pose sont justifiées via une note technique à présenter pour approbation à la direction des travaux.</w:t>
      </w:r>
    </w:p>
    <w:p w14:paraId="18402690" w14:textId="77777777" w:rsidR="00772179" w:rsidRDefault="00000000">
      <w:pPr>
        <w:jc w:val="both"/>
      </w:pPr>
      <w:r>
        <w:t>Les détails d’exécution établis par l’entrepreneur et présentés pour approbation à la direction des travaux comportent :</w:t>
      </w:r>
    </w:p>
    <w:p w14:paraId="701420BA" w14:textId="77777777" w:rsidR="00772179" w:rsidRDefault="00000000">
      <w:pPr>
        <w:pStyle w:val="Author-eListParagraph"/>
        <w:numPr>
          <w:ilvl w:val="0"/>
          <w:numId w:val="354"/>
        </w:numPr>
        <w:jc w:val="both"/>
      </w:pPr>
      <w:r>
        <w:t>les éléments de fixation et la note de calcul s’y rapportant ;</w:t>
      </w:r>
    </w:p>
    <w:p w14:paraId="4F38652C" w14:textId="77777777" w:rsidR="00772179" w:rsidRDefault="00000000">
      <w:pPr>
        <w:pStyle w:val="Author-eListParagraph"/>
        <w:numPr>
          <w:ilvl w:val="0"/>
          <w:numId w:val="354"/>
        </w:numPr>
        <w:jc w:val="both"/>
      </w:pPr>
      <w:r>
        <w:t>les membranes d’étanchéité au vent et à l’eau ;</w:t>
      </w:r>
    </w:p>
    <w:p w14:paraId="418E2E83" w14:textId="77777777" w:rsidR="00772179" w:rsidRDefault="00000000">
      <w:pPr>
        <w:pStyle w:val="Author-eListParagraph"/>
        <w:numPr>
          <w:ilvl w:val="0"/>
          <w:numId w:val="354"/>
        </w:numPr>
        <w:jc w:val="both"/>
      </w:pPr>
      <w:r>
        <w:t>les raccords d’isolation permettant de réaliser des nœuds constructifs conformes ;</w:t>
      </w:r>
    </w:p>
    <w:p w14:paraId="069B3627" w14:textId="77777777" w:rsidR="00772179" w:rsidRDefault="00000000">
      <w:pPr>
        <w:pStyle w:val="Author-eListParagraph"/>
        <w:numPr>
          <w:ilvl w:val="0"/>
          <w:numId w:val="354"/>
        </w:numPr>
        <w:jc w:val="both"/>
      </w:pPr>
      <w:r>
        <w:t>les matériaux permettant d’atteindre les exigences acoustiques imposées.</w:t>
      </w:r>
    </w:p>
    <w:p w14:paraId="0B79327D" w14:textId="77777777" w:rsidR="00772179" w:rsidRDefault="00000000">
      <w:pPr>
        <w:pStyle w:val="Author-eListParagraph"/>
        <w:numPr>
          <w:ilvl w:val="0"/>
          <w:numId w:val="354"/>
        </w:numPr>
        <w:jc w:val="both"/>
      </w:pPr>
      <w:r>
        <w:t>les raccords avec les matériaux adjacents ;</w:t>
      </w:r>
    </w:p>
    <w:p w14:paraId="4392A15A" w14:textId="77777777" w:rsidR="00772179" w:rsidRDefault="00000000">
      <w:pPr>
        <w:pStyle w:val="Author-eListParagraph"/>
        <w:numPr>
          <w:ilvl w:val="0"/>
          <w:numId w:val="354"/>
        </w:numPr>
        <w:jc w:val="both"/>
      </w:pPr>
      <w:r>
        <w:t>le seuil permettant de réaliser l’étanchéité à l’air, le cas échéant.</w:t>
      </w:r>
    </w:p>
    <w:p w14:paraId="6B44DF85" w14:textId="77777777" w:rsidR="00772179" w:rsidRDefault="00000000">
      <w:pPr>
        <w:pStyle w:val="pheading"/>
      </w:pPr>
      <w:r>
        <w:t>DOCUMENTS DE RÉFÉRENCE</w:t>
      </w:r>
    </w:p>
    <w:p w14:paraId="4C3FEBC0" w14:textId="77777777" w:rsidR="00772179" w:rsidRDefault="00000000">
      <w:pPr>
        <w:pStyle w:val="pheading"/>
      </w:pPr>
      <w:r>
        <w:t>- Matériau</w:t>
      </w:r>
    </w:p>
    <w:p w14:paraId="4B43F719" w14:textId="77777777" w:rsidR="00772179" w:rsidRDefault="00000000">
      <w:r>
        <w:t>[NBN EN 12206-1, Peintures et vernis - Revêtement de l'aluminium et de ses alliages pour des applications architecturales - Partie 1: Revêtements à partir de peinture en poudre thermodurcissable] </w:t>
      </w:r>
    </w:p>
    <w:p w14:paraId="096B4577" w14:textId="77777777" w:rsidR="00772179" w:rsidRDefault="00000000">
      <w:r>
        <w:t>[NBN B 25-002-4, Menuiseries extérieures. Partie 4 : Prescriptions pour les profilés et des ossatures en aluminium]</w:t>
      </w:r>
    </w:p>
    <w:p w14:paraId="73548F5D" w14:textId="77777777" w:rsidR="00772179" w:rsidRDefault="00000000">
      <w:r>
        <w:t>[NBN EN ISO 7599, Anodisation de l'aluminium et de ses alliages - Méthode de spécification des caractéristiques des revêtements décoratifs et protecteurs obtenus par oxydation anodique sur aluminium (ISO 7599:2018)]</w:t>
      </w:r>
    </w:p>
    <w:p w14:paraId="0E0CD847" w14:textId="77777777" w:rsidR="00772179" w:rsidRDefault="00000000">
      <w:r>
        <w:t>[NBN EN ISO 11600, Construction immobilière - Produits pour joints - Classification et exigences pour les mastics (ISO 11600:2002)]</w:t>
      </w:r>
    </w:p>
    <w:p w14:paraId="1DD1C814" w14:textId="77777777" w:rsidR="00772179" w:rsidRDefault="00000000">
      <w:r>
        <w:t>[NBN S 23-002, Vitrerie]</w:t>
      </w:r>
    </w:p>
    <w:p w14:paraId="13F56828" w14:textId="77777777" w:rsidR="00772179" w:rsidRDefault="00000000">
      <w:pPr>
        <w:pStyle w:val="pheading"/>
      </w:pPr>
      <w:r>
        <w:t>- Exécution</w:t>
      </w:r>
    </w:p>
    <w:p w14:paraId="48A9858C" w14:textId="77777777" w:rsidR="00772179" w:rsidRDefault="00000000">
      <w:r>
        <w:t>[NIT 255, L'étanchéité à l'air des bâtiments]</w:t>
      </w:r>
    </w:p>
    <w:p w14:paraId="2A751C7C" w14:textId="77777777" w:rsidR="00772179" w:rsidRDefault="00000000">
      <w:r>
        <w:t>[NIT 283, La pose des menuiseries extérieures. Partie 1 : aspects généraux.]</w:t>
      </w:r>
    </w:p>
    <w:p w14:paraId="69D2859B" w14:textId="77777777" w:rsidR="00772179" w:rsidRDefault="00000000">
      <w:pPr>
        <w:pStyle w:val="Author-eSectionHeading6Numberless"/>
      </w:pPr>
      <w:bookmarkStart w:id="98" w:name="_Toc220489844"/>
      <w:r>
        <w:t>41.26.1a Portes d'entrée en verre CCTB 01.12</w:t>
      </w:r>
      <w:bookmarkEnd w:id="98"/>
    </w:p>
    <w:p w14:paraId="4C5C6CDD" w14:textId="77777777" w:rsidR="00772179" w:rsidRDefault="00000000">
      <w:pPr>
        <w:pStyle w:val="pheading"/>
      </w:pPr>
      <w:r>
        <w:t>DESCRIPTION</w:t>
      </w:r>
    </w:p>
    <w:p w14:paraId="10C94729" w14:textId="77777777" w:rsidR="00772179" w:rsidRDefault="00000000">
      <w:pPr>
        <w:pStyle w:val="pheading"/>
      </w:pPr>
      <w:r>
        <w:t>- Définition / Comprend</w:t>
      </w:r>
    </w:p>
    <w:p w14:paraId="14BBA073" w14:textId="77777777" w:rsidR="00772179" w:rsidRDefault="00000000">
      <w:pPr>
        <w:jc w:val="both"/>
      </w:pPr>
      <w:r>
        <w:t>Il s’agit de la fourniture et la pose de portes d’entrée en verre, y compris toutes les pièces qui en font intrinsèquement partie.</w:t>
      </w:r>
    </w:p>
    <w:p w14:paraId="7D072A39" w14:textId="77777777" w:rsidR="00772179" w:rsidRDefault="00000000">
      <w:pPr>
        <w:pStyle w:val="pheading"/>
      </w:pPr>
      <w:r>
        <w:t>MATÉRIAUX</w:t>
      </w:r>
    </w:p>
    <w:p w14:paraId="16EBD3BB" w14:textId="77777777" w:rsidR="00772179" w:rsidRDefault="00000000">
      <w:pPr>
        <w:pStyle w:val="pheading"/>
      </w:pPr>
      <w:r>
        <w:t>- Caractéristiques générales</w:t>
      </w:r>
    </w:p>
    <w:p w14:paraId="70266CB2" w14:textId="77777777" w:rsidR="00772179" w:rsidRDefault="00000000">
      <w:pPr>
        <w:jc w:val="both"/>
      </w:pPr>
      <w:r>
        <w:rPr>
          <w:b/>
        </w:rPr>
        <w:t>Caractéristiques de l’environnement :</w:t>
      </w:r>
    </w:p>
    <w:p w14:paraId="0D24D89C" w14:textId="77777777" w:rsidR="00772179" w:rsidRDefault="00000000">
      <w:pPr>
        <w:pStyle w:val="Author-eListParagraph"/>
        <w:numPr>
          <w:ilvl w:val="0"/>
          <w:numId w:val="355"/>
        </w:numPr>
      </w:pPr>
      <w:r>
        <w:t xml:space="preserve">Niveau d’agressivité du climat : </w:t>
      </w:r>
      <w:r>
        <w:rPr>
          <w:rStyle w:val="optioncarChar"/>
        </w:rPr>
        <w:t>C2 / C3 / C4 / C5M</w:t>
      </w:r>
    </w:p>
    <w:p w14:paraId="59969A88" w14:textId="77777777" w:rsidR="00772179" w:rsidRDefault="00000000">
      <w:pPr>
        <w:pStyle w:val="Author-eListParagraph"/>
        <w:numPr>
          <w:ilvl w:val="0"/>
          <w:numId w:val="355"/>
        </w:numPr>
      </w:pPr>
      <w:r>
        <w:t xml:space="preserve">Facteur d’agressivité locale à prendre en compte : </w:t>
      </w:r>
      <w:r>
        <w:rPr>
          <w:rStyle w:val="optioncarChar"/>
        </w:rPr>
        <w:t>trafic ferroviaire / aéroport / retombées de chlorure industriel / élevage intensif industriel / ***</w:t>
      </w:r>
    </w:p>
    <w:p w14:paraId="01B346A6" w14:textId="77777777" w:rsidR="00772179" w:rsidRDefault="00000000">
      <w:pPr>
        <w:pStyle w:val="Author-eListParagraph"/>
        <w:numPr>
          <w:ilvl w:val="0"/>
          <w:numId w:val="355"/>
        </w:numPr>
      </w:pPr>
      <w:r>
        <w:t xml:space="preserve">Facteur d’agressivité lié au climat intérieur : </w:t>
      </w:r>
      <w:r>
        <w:rPr>
          <w:rStyle w:val="optioncarChar"/>
        </w:rPr>
        <w:t>piscine / hall de compostage / stockage de produits corrosifs / ***</w:t>
      </w:r>
    </w:p>
    <w:p w14:paraId="55AA0FB7" w14:textId="77777777" w:rsidR="00772179" w:rsidRDefault="00000000">
      <w:pPr>
        <w:pStyle w:val="Author-eListParagraph"/>
        <w:numPr>
          <w:ilvl w:val="0"/>
          <w:numId w:val="355"/>
        </w:numPr>
      </w:pPr>
      <w:r>
        <w:t xml:space="preserve">Catégorie de rugosité du terrain : </w:t>
      </w:r>
      <w:r>
        <w:rPr>
          <w:rStyle w:val="optioncarChar"/>
        </w:rPr>
        <w:t>0 / I / II / III / IV</w:t>
      </w:r>
    </w:p>
    <w:p w14:paraId="7829CF46" w14:textId="77777777" w:rsidR="00772179" w:rsidRDefault="00000000">
      <w:pPr>
        <w:pStyle w:val="Author-eListParagraph"/>
        <w:numPr>
          <w:ilvl w:val="0"/>
          <w:numId w:val="355"/>
        </w:numPr>
      </w:pPr>
      <w:r>
        <w:t xml:space="preserve">Classe d’exposition au vent : </w:t>
      </w:r>
      <w:r>
        <w:rPr>
          <w:rStyle w:val="optioncarChar"/>
        </w:rPr>
        <w:t xml:space="preserve">CW4 / CW5 </w:t>
      </w:r>
      <w:r>
        <w:t>(par défaut)</w:t>
      </w:r>
      <w:r>
        <w:rPr>
          <w:rStyle w:val="optioncarChar"/>
        </w:rPr>
        <w:t xml:space="preserve"> / CW6 / CW7 / CW8</w:t>
      </w:r>
    </w:p>
    <w:p w14:paraId="7701A192" w14:textId="77777777" w:rsidR="00772179" w:rsidRDefault="00000000">
      <w:pPr>
        <w:pStyle w:val="Author-eListParagraph"/>
        <w:numPr>
          <w:ilvl w:val="0"/>
          <w:numId w:val="355"/>
        </w:numPr>
      </w:pPr>
      <w:r>
        <w:t xml:space="preserve">Classe de climat intérieur : </w:t>
      </w:r>
      <w:r>
        <w:rPr>
          <w:rStyle w:val="optioncarChar"/>
        </w:rPr>
        <w:t xml:space="preserve">2 </w:t>
      </w:r>
      <w:r>
        <w:t>(par défaut)</w:t>
      </w:r>
      <w:r>
        <w:rPr>
          <w:rStyle w:val="optioncarChar"/>
        </w:rPr>
        <w:t xml:space="preserve"> / 3 / 4 / 5</w:t>
      </w:r>
    </w:p>
    <w:p w14:paraId="14A042AC" w14:textId="77777777" w:rsidR="00772179" w:rsidRDefault="00000000">
      <w:pPr>
        <w:jc w:val="both"/>
      </w:pPr>
      <w:r>
        <w:rPr>
          <w:b/>
        </w:rPr>
        <w:t>Performances des portes d’entrée en verre :</w:t>
      </w:r>
    </w:p>
    <w:p w14:paraId="632A71DC" w14:textId="77777777" w:rsidR="00772179" w:rsidRDefault="00000000">
      <w:pPr>
        <w:pStyle w:val="Author-eListParagraph"/>
        <w:numPr>
          <w:ilvl w:val="0"/>
          <w:numId w:val="356"/>
        </w:numPr>
      </w:pPr>
      <w:r>
        <w:lastRenderedPageBreak/>
        <w:t>Performances thermiques, valeur U</w:t>
      </w:r>
      <w:r>
        <w:rPr>
          <w:vertAlign w:val="subscript"/>
        </w:rPr>
        <w:t>d</w:t>
      </w:r>
      <w:r>
        <w:t xml:space="preserve"> ≤ : </w:t>
      </w:r>
      <w:r>
        <w:rPr>
          <w:rStyle w:val="optioncarChar"/>
        </w:rPr>
        <w:t>***</w:t>
      </w:r>
      <w:r>
        <w:t xml:space="preserve"> W/m²K</w:t>
      </w:r>
    </w:p>
    <w:p w14:paraId="6E5EF9A8" w14:textId="77777777" w:rsidR="00772179" w:rsidRDefault="00000000">
      <w:pPr>
        <w:pStyle w:val="Author-eListParagraph"/>
        <w:numPr>
          <w:ilvl w:val="0"/>
          <w:numId w:val="356"/>
        </w:numPr>
      </w:pPr>
      <w:r>
        <w:t xml:space="preserve">Performances thermiques du vitrage, valeur Ug ≤ : </w:t>
      </w:r>
      <w:r>
        <w:rPr>
          <w:rStyle w:val="optioncarChar"/>
        </w:rPr>
        <w:t>***</w:t>
      </w:r>
      <w:r>
        <w:t xml:space="preserve"> W/m²K</w:t>
      </w:r>
    </w:p>
    <w:p w14:paraId="4C9CA215" w14:textId="77777777" w:rsidR="00772179" w:rsidRDefault="00000000">
      <w:pPr>
        <w:pStyle w:val="Author-eListParagraph"/>
        <w:numPr>
          <w:ilvl w:val="0"/>
          <w:numId w:val="356"/>
        </w:numPr>
      </w:pPr>
      <w:r>
        <w:t xml:space="preserve">Étanchéité à l’air [NBN EN 12207], classe : </w:t>
      </w:r>
      <w:r>
        <w:rPr>
          <w:rStyle w:val="optioncarChar"/>
        </w:rPr>
        <w:t xml:space="preserve">4 </w:t>
      </w:r>
      <w:r>
        <w:t xml:space="preserve">(par défaut) </w:t>
      </w:r>
      <w:r>
        <w:rPr>
          <w:rStyle w:val="optioncarChar"/>
        </w:rPr>
        <w:t>/ 3 / ***</w:t>
      </w:r>
    </w:p>
    <w:p w14:paraId="3002E9CE" w14:textId="77777777" w:rsidR="00772179" w:rsidRDefault="00000000">
      <w:pPr>
        <w:pStyle w:val="Author-eListParagraph"/>
        <w:numPr>
          <w:ilvl w:val="0"/>
          <w:numId w:val="356"/>
        </w:numPr>
      </w:pPr>
      <w:r>
        <w:t xml:space="preserve">Étanchéité à l’eau [NBN EN 12208], classe : </w:t>
      </w:r>
      <w:r>
        <w:rPr>
          <w:rStyle w:val="optioncarChar"/>
        </w:rPr>
        <w:t xml:space="preserve">E6 </w:t>
      </w:r>
      <w:r>
        <w:t>(par défaut)</w:t>
      </w:r>
      <w:r>
        <w:rPr>
          <w:rStyle w:val="optioncarChar"/>
        </w:rPr>
        <w:t xml:space="preserve"> / E5 / ***</w:t>
      </w:r>
    </w:p>
    <w:p w14:paraId="7AD04612" w14:textId="77777777" w:rsidR="00772179" w:rsidRDefault="00000000">
      <w:pPr>
        <w:pStyle w:val="Author-eListParagraph"/>
        <w:numPr>
          <w:ilvl w:val="0"/>
          <w:numId w:val="356"/>
        </w:numPr>
      </w:pPr>
      <w:r>
        <w:t xml:space="preserve">Résistance au vent [NBN EN 12210] : </w:t>
      </w:r>
      <w:r>
        <w:rPr>
          <w:rStyle w:val="optioncarChar"/>
        </w:rPr>
        <w:t xml:space="preserve">C3 </w:t>
      </w:r>
      <w:r>
        <w:t>(par défaut)</w:t>
      </w:r>
      <w:r>
        <w:rPr>
          <w:rStyle w:val="optioncarChar"/>
        </w:rPr>
        <w:t xml:space="preserve"> / C4 / ***</w:t>
      </w:r>
    </w:p>
    <w:p w14:paraId="231D1042" w14:textId="77777777" w:rsidR="00772179" w:rsidRDefault="00000000">
      <w:pPr>
        <w:pStyle w:val="Author-eListParagraph"/>
        <w:numPr>
          <w:ilvl w:val="0"/>
          <w:numId w:val="356"/>
        </w:numPr>
      </w:pPr>
      <w:r>
        <w:t>Performances acoustiques R</w:t>
      </w:r>
      <w:r>
        <w:rPr>
          <w:vertAlign w:val="subscript"/>
        </w:rPr>
        <w:t>Atr</w:t>
      </w:r>
      <w:r>
        <w:t xml:space="preserve">  ≥ : </w:t>
      </w:r>
      <w:r>
        <w:rPr>
          <w:rStyle w:val="optioncarChar"/>
        </w:rPr>
        <w:t>***</w:t>
      </w:r>
      <w:r>
        <w:t xml:space="preserve"> dB</w:t>
      </w:r>
    </w:p>
    <w:p w14:paraId="2D058739" w14:textId="77777777" w:rsidR="00772179" w:rsidRDefault="00000000">
      <w:pPr>
        <w:pStyle w:val="Author-eListParagraph"/>
        <w:numPr>
          <w:ilvl w:val="0"/>
          <w:numId w:val="356"/>
        </w:numPr>
      </w:pPr>
      <w:r>
        <w:t xml:space="preserve">Résistance à l’effraction [NBN EN 1627] classe : </w:t>
      </w:r>
      <w:r>
        <w:rPr>
          <w:rStyle w:val="optioncarChar"/>
        </w:rPr>
        <w:t>RC1</w:t>
      </w:r>
      <w:r>
        <w:t xml:space="preserve"> (par défaut) </w:t>
      </w:r>
      <w:r>
        <w:rPr>
          <w:rStyle w:val="optioncarChar"/>
        </w:rPr>
        <w:t>/ RC 2 / RC 3</w:t>
      </w:r>
    </w:p>
    <w:p w14:paraId="482167FA" w14:textId="77777777" w:rsidR="00772179" w:rsidRDefault="00000000">
      <w:pPr>
        <w:pStyle w:val="Author-eListParagraph"/>
        <w:numPr>
          <w:ilvl w:val="0"/>
          <w:numId w:val="356"/>
        </w:numPr>
      </w:pPr>
      <w:r>
        <w:t xml:space="preserve">Abus d’utilisation des parties ouvrantes de classe : </w:t>
      </w:r>
      <w:r>
        <w:rPr>
          <w:rStyle w:val="optioncarChar"/>
        </w:rPr>
        <w:t xml:space="preserve">3 </w:t>
      </w:r>
      <w:r>
        <w:t>(par défaut)</w:t>
      </w:r>
      <w:r>
        <w:rPr>
          <w:rStyle w:val="optioncarChar"/>
        </w:rPr>
        <w:t xml:space="preserve"> / 4 / ***</w:t>
      </w:r>
    </w:p>
    <w:p w14:paraId="449ECC98" w14:textId="77777777" w:rsidR="00772179" w:rsidRDefault="00000000">
      <w:pPr>
        <w:pStyle w:val="Author-eListParagraph"/>
        <w:numPr>
          <w:ilvl w:val="0"/>
          <w:numId w:val="356"/>
        </w:numPr>
      </w:pPr>
      <w:r>
        <w:t>Résistance aux balles :</w:t>
      </w:r>
      <w:r>
        <w:rPr>
          <w:rStyle w:val="optioncarChar"/>
        </w:rPr>
        <w:t xml:space="preserve"> non </w:t>
      </w:r>
      <w:r>
        <w:t>(par défaut)</w:t>
      </w:r>
      <w:r>
        <w:rPr>
          <w:rStyle w:val="optioncarChar"/>
        </w:rPr>
        <w:t xml:space="preserve"> / ***</w:t>
      </w:r>
    </w:p>
    <w:p w14:paraId="1B1BB6D7" w14:textId="77777777" w:rsidR="00772179" w:rsidRDefault="00000000">
      <w:pPr>
        <w:pStyle w:val="Author-eListParagraph"/>
        <w:numPr>
          <w:ilvl w:val="0"/>
          <w:numId w:val="356"/>
        </w:numPr>
      </w:pPr>
      <w:r>
        <w:t xml:space="preserve">Classe de résistance mécanique [NBN EN 1192] : </w:t>
      </w:r>
      <w:r>
        <w:rPr>
          <w:rStyle w:val="optioncarChar"/>
        </w:rPr>
        <w:t>M1</w:t>
      </w:r>
      <w:r>
        <w:t xml:space="preserve"> (par défaut)</w:t>
      </w:r>
      <w:r>
        <w:rPr>
          <w:rStyle w:val="optioncarChar"/>
        </w:rPr>
        <w:t xml:space="preserve"> / M2 / M3 / M4 / MA5 / MA6 / MA7</w:t>
      </w:r>
    </w:p>
    <w:p w14:paraId="114224DC" w14:textId="77777777" w:rsidR="00772179" w:rsidRDefault="00000000">
      <w:pPr>
        <w:pStyle w:val="Author-eListParagraph"/>
        <w:numPr>
          <w:ilvl w:val="0"/>
          <w:numId w:val="356"/>
        </w:numPr>
      </w:pPr>
      <w:r>
        <w:t xml:space="preserve">Force de manipulation [NBN EN 12217] : </w:t>
      </w:r>
      <w:r>
        <w:rPr>
          <w:rStyle w:val="optioncarChar"/>
        </w:rPr>
        <w:t xml:space="preserve">F2 </w:t>
      </w:r>
      <w:r>
        <w:t>(par défaut)</w:t>
      </w:r>
      <w:r>
        <w:rPr>
          <w:rStyle w:val="optioncarChar"/>
        </w:rPr>
        <w:t xml:space="preserve"> / F1 / F3 (PMR) / F4 (PMR)</w:t>
      </w:r>
    </w:p>
    <w:p w14:paraId="318CBBBA" w14:textId="77777777" w:rsidR="00772179" w:rsidRDefault="00000000">
      <w:pPr>
        <w:pStyle w:val="Author-eListParagraph"/>
        <w:numPr>
          <w:ilvl w:val="0"/>
          <w:numId w:val="356"/>
        </w:numPr>
      </w:pPr>
      <w:r>
        <w:t xml:space="preserve">Fréquence d’utilisation [NBN EN 1191] : </w:t>
      </w:r>
      <w:r>
        <w:rPr>
          <w:rStyle w:val="optioncarChar"/>
        </w:rPr>
        <w:t>f4</w:t>
      </w:r>
      <w:r>
        <w:t xml:space="preserve"> (par défaut)</w:t>
      </w:r>
      <w:r>
        <w:rPr>
          <w:rStyle w:val="optioncarChar"/>
        </w:rPr>
        <w:t xml:space="preserve"> / f5 / f6 / f7 / ***</w:t>
      </w:r>
    </w:p>
    <w:p w14:paraId="7F0AA40F" w14:textId="77777777" w:rsidR="00772179" w:rsidRDefault="00000000">
      <w:pPr>
        <w:pStyle w:val="Author-eListParagraph"/>
        <w:numPr>
          <w:ilvl w:val="0"/>
          <w:numId w:val="356"/>
        </w:numPr>
      </w:pPr>
      <w:r>
        <w:t xml:space="preserve">Catégorie d’utilisation [NBN EN 12400], classe : </w:t>
      </w:r>
      <w:r>
        <w:rPr>
          <w:rStyle w:val="optioncarChar"/>
        </w:rPr>
        <w:t xml:space="preserve">5 </w:t>
      </w:r>
      <w:r>
        <w:t>(par défaut)</w:t>
      </w:r>
      <w:r>
        <w:rPr>
          <w:rStyle w:val="optioncarChar"/>
        </w:rPr>
        <w:t xml:space="preserve"> / 6 / 7 / 8</w:t>
      </w:r>
    </w:p>
    <w:p w14:paraId="5644DD51" w14:textId="77777777" w:rsidR="00772179" w:rsidRDefault="00000000">
      <w:pPr>
        <w:jc w:val="both"/>
      </w:pPr>
      <w:r>
        <w:rPr>
          <w:b/>
        </w:rPr>
        <w:t>Caractéristiques du dormant et du cadre de la feuille de porte :</w:t>
      </w:r>
    </w:p>
    <w:p w14:paraId="2AEB4EA9" w14:textId="77777777" w:rsidR="00772179" w:rsidRDefault="00000000">
      <w:pPr>
        <w:jc w:val="both"/>
      </w:pPr>
      <w:r>
        <w:t xml:space="preserve">Profilés à rupture thermique : </w:t>
      </w:r>
      <w:r>
        <w:rPr>
          <w:rStyle w:val="optioncarChar"/>
        </w:rPr>
        <w:t xml:space="preserve">oui </w:t>
      </w:r>
      <w:r>
        <w:t>(par défaut)</w:t>
      </w:r>
      <w:r>
        <w:rPr>
          <w:rStyle w:val="optioncarChar"/>
        </w:rPr>
        <w:t xml:space="preserve"> / non</w:t>
      </w:r>
    </w:p>
    <w:p w14:paraId="203561E5" w14:textId="77777777" w:rsidR="00772179" w:rsidRDefault="00000000">
      <w:pPr>
        <w:jc w:val="both"/>
      </w:pPr>
      <w:r>
        <w:rPr>
          <w:b/>
        </w:rPr>
        <w:t>Caractéristiques de la porte :</w:t>
      </w:r>
    </w:p>
    <w:p w14:paraId="3AF94005" w14:textId="77777777" w:rsidR="00772179" w:rsidRDefault="00000000">
      <w:pPr>
        <w:jc w:val="both"/>
      </w:pPr>
      <w:r>
        <w:t xml:space="preserve">Porte : </w:t>
      </w:r>
      <w:r>
        <w:rPr>
          <w:rStyle w:val="optioncarChar"/>
        </w:rPr>
        <w:t xml:space="preserve">simple </w:t>
      </w:r>
      <w:r>
        <w:t>(par défaut)</w:t>
      </w:r>
      <w:r>
        <w:rPr>
          <w:rStyle w:val="optioncarChar"/>
        </w:rPr>
        <w:t> / double</w:t>
      </w:r>
    </w:p>
    <w:p w14:paraId="0719D1A4" w14:textId="77777777" w:rsidR="00772179" w:rsidRDefault="00000000">
      <w:pPr>
        <w:jc w:val="both"/>
      </w:pPr>
      <w:r>
        <w:t xml:space="preserve">Cadre : </w:t>
      </w:r>
      <w:r>
        <w:rPr>
          <w:rStyle w:val="optioncarChar"/>
        </w:rPr>
        <w:t xml:space="preserve">oui </w:t>
      </w:r>
      <w:r>
        <w:t>(par défaut)</w:t>
      </w:r>
      <w:r>
        <w:rPr>
          <w:rStyle w:val="optioncarChar"/>
        </w:rPr>
        <w:t xml:space="preserve"> / non</w:t>
      </w:r>
    </w:p>
    <w:p w14:paraId="048C418B" w14:textId="77777777" w:rsidR="00772179" w:rsidRDefault="00000000">
      <w:pPr>
        <w:jc w:val="both"/>
      </w:pPr>
      <w:r>
        <w:t xml:space="preserve">Pièce d’appui inférieure : </w:t>
      </w:r>
      <w:r>
        <w:rPr>
          <w:rStyle w:val="optioncarChar"/>
        </w:rPr>
        <w:t>oui</w:t>
      </w:r>
      <w:r>
        <w:t xml:space="preserve"> (par défaut)</w:t>
      </w:r>
      <w:r>
        <w:rPr>
          <w:rStyle w:val="optioncarChar"/>
        </w:rPr>
        <w:t xml:space="preserve"> / non</w:t>
      </w:r>
    </w:p>
    <w:p w14:paraId="13BB377B" w14:textId="77777777" w:rsidR="00772179" w:rsidRDefault="00000000">
      <w:pPr>
        <w:jc w:val="both"/>
      </w:pPr>
      <w:r>
        <w:t xml:space="preserve">Vitrage : </w:t>
      </w:r>
      <w:r>
        <w:rPr>
          <w:rStyle w:val="optioncarChar"/>
        </w:rPr>
        <w:t xml:space="preserve">multiple </w:t>
      </w:r>
      <w:r>
        <w:t>(par défaut)</w:t>
      </w:r>
      <w:r>
        <w:rPr>
          <w:rStyle w:val="optioncarChar"/>
        </w:rPr>
        <w:t xml:space="preserve"> / simple</w:t>
      </w:r>
    </w:p>
    <w:p w14:paraId="104C3630" w14:textId="77777777" w:rsidR="00772179" w:rsidRDefault="00000000">
      <w:pPr>
        <w:jc w:val="both"/>
      </w:pPr>
      <w:r>
        <w:rPr>
          <w:b/>
        </w:rPr>
        <w:t>(soit par défaut)</w:t>
      </w:r>
    </w:p>
    <w:p w14:paraId="56C7945F" w14:textId="77777777" w:rsidR="00772179" w:rsidRDefault="00000000">
      <w:pPr>
        <w:jc w:val="both"/>
      </w:pPr>
      <w:r>
        <w:rPr>
          <w:rStyle w:val="soitChar"/>
          <w:u w:val="single"/>
        </w:rPr>
        <w:t>Multiple :</w:t>
      </w:r>
    </w:p>
    <w:p w14:paraId="4193DE8C" w14:textId="77777777" w:rsidR="00772179" w:rsidRDefault="00000000">
      <w:pPr>
        <w:pStyle w:val="Author-eListParagraph"/>
        <w:numPr>
          <w:ilvl w:val="0"/>
          <w:numId w:val="357"/>
        </w:numPr>
      </w:pPr>
      <w:r>
        <w:rPr>
          <w:rStyle w:val="soitChar"/>
        </w:rPr>
        <w:t xml:space="preserve">Type : </w:t>
      </w:r>
      <w:r>
        <w:rPr>
          <w:rStyle w:val="optioncarChar"/>
        </w:rPr>
        <w:t>Vitrages doubles – Gaz (cfr </w:t>
      </w:r>
      <w:hyperlink w:anchor="878" w:history="1">
        <w:r>
          <w:rPr>
            <w:rStyle w:val="optioncarChar"/>
            <w:color w:val="0000EE"/>
          </w:rPr>
          <w:t>42.22.1a Vitrages doubles - Gaz</w:t>
        </w:r>
      </w:hyperlink>
      <w:r>
        <w:rPr>
          <w:rStyle w:val="optioncarChar"/>
        </w:rPr>
        <w:t>)</w:t>
      </w:r>
      <w:r>
        <w:t> (par défaut) </w:t>
      </w:r>
      <w:r>
        <w:rPr>
          <w:rStyle w:val="optioncarChar"/>
        </w:rPr>
        <w:t>/ Vitrages triple Gaz (cfr </w:t>
      </w:r>
      <w:hyperlink w:anchor="879" w:history="1">
        <w:r>
          <w:rPr>
            <w:rStyle w:val="optioncarChar"/>
            <w:color w:val="0000EE"/>
          </w:rPr>
          <w:t>42.22.2a Vitrages triples - Gaz</w:t>
        </w:r>
      </w:hyperlink>
      <w:r>
        <w:rPr>
          <w:rStyle w:val="optioncarChar"/>
        </w:rPr>
        <w:t>)</w:t>
      </w:r>
    </w:p>
    <w:p w14:paraId="60CD7920" w14:textId="77777777" w:rsidR="00772179" w:rsidRDefault="00000000">
      <w:pPr>
        <w:pStyle w:val="Author-eListParagraph"/>
        <w:numPr>
          <w:ilvl w:val="0"/>
          <w:numId w:val="357"/>
        </w:numPr>
      </w:pPr>
      <w:r>
        <w:rPr>
          <w:rStyle w:val="soitChar"/>
        </w:rPr>
        <w:t xml:space="preserve">Sécurité des personnes [NBN S 23-002 série] - verre extérieur et intérieur : </w:t>
      </w:r>
      <w:r>
        <w:rPr>
          <w:rStyle w:val="optioncarChar"/>
        </w:rPr>
        <w:t xml:space="preserve">2B2 </w:t>
      </w:r>
      <w:r>
        <w:t>(par défaut)</w:t>
      </w:r>
      <w:r>
        <w:rPr>
          <w:rStyle w:val="optioncarChar"/>
        </w:rPr>
        <w:t xml:space="preserve"> / 1C</w:t>
      </w:r>
    </w:p>
    <w:p w14:paraId="45AC996A" w14:textId="77777777" w:rsidR="00772179" w:rsidRDefault="00000000">
      <w:pPr>
        <w:jc w:val="both"/>
      </w:pPr>
      <w:r>
        <w:rPr>
          <w:b/>
        </w:rPr>
        <w:t>(soit)</w:t>
      </w:r>
    </w:p>
    <w:p w14:paraId="09865AB7" w14:textId="77777777" w:rsidR="00772179" w:rsidRDefault="00000000">
      <w:pPr>
        <w:jc w:val="both"/>
      </w:pPr>
      <w:r>
        <w:rPr>
          <w:rStyle w:val="soitChar"/>
          <w:u w:val="single"/>
        </w:rPr>
        <w:t>Simple : </w:t>
      </w:r>
      <w:r>
        <w:rPr>
          <w:rStyle w:val="optioncarChar"/>
        </w:rPr>
        <w:t xml:space="preserve">vitrages feuilletés </w:t>
      </w:r>
      <w:r>
        <w:t>(par défaut)</w:t>
      </w:r>
      <w:r>
        <w:rPr>
          <w:rStyle w:val="optioncarChar"/>
        </w:rPr>
        <w:t xml:space="preserve"> / vitrages trempés</w:t>
      </w:r>
    </w:p>
    <w:p w14:paraId="0252E4D8" w14:textId="77777777" w:rsidR="00772179" w:rsidRDefault="00000000">
      <w:pPr>
        <w:ind w:left="567"/>
        <w:jc w:val="both"/>
      </w:pPr>
      <w:r>
        <w:rPr>
          <w:b/>
        </w:rPr>
        <w:t>(soit par défaut)</w:t>
      </w:r>
    </w:p>
    <w:p w14:paraId="4121D516" w14:textId="77777777" w:rsidR="00772179" w:rsidRDefault="00000000">
      <w:pPr>
        <w:ind w:left="567"/>
        <w:jc w:val="both"/>
      </w:pPr>
      <w:r>
        <w:rPr>
          <w:rStyle w:val="soitChar"/>
          <w:u w:val="single"/>
        </w:rPr>
        <w:t>Vitrages feuilletés : </w:t>
      </w:r>
    </w:p>
    <w:p w14:paraId="49F883B0" w14:textId="77777777" w:rsidR="00772179" w:rsidRDefault="00000000">
      <w:pPr>
        <w:pStyle w:val="Author-eListParagraph"/>
        <w:numPr>
          <w:ilvl w:val="1"/>
          <w:numId w:val="359"/>
        </w:numPr>
      </w:pPr>
      <w:r>
        <w:rPr>
          <w:rStyle w:val="optioncarChar"/>
        </w:rPr>
        <w:t xml:space="preserve">Transparents (cfr </w:t>
      </w:r>
      <w:hyperlink w:anchor="909" w:history="1">
        <w:r>
          <w:rPr>
            <w:rStyle w:val="optioncarChar"/>
            <w:color w:val="0000EE"/>
          </w:rPr>
          <w:t>42.16.1a Vitrages simples feuilletés composés de verre à intercalaires transparents</w:t>
        </w:r>
      </w:hyperlink>
      <w:r>
        <w:rPr>
          <w:rStyle w:val="optioncarChar"/>
        </w:rPr>
        <w:t xml:space="preserve">) / Décoratifs (cfr </w:t>
      </w:r>
      <w:hyperlink w:anchor="910" w:history="1">
        <w:r>
          <w:rPr>
            <w:rStyle w:val="optioncarChar"/>
            <w:color w:val="0000EE"/>
          </w:rPr>
          <w:t>42.16.1b Vitrages simples feuilletés composés de verre à intercalaires décoratifs</w:t>
        </w:r>
      </w:hyperlink>
      <w:r>
        <w:rPr>
          <w:rStyle w:val="optioncarChar"/>
        </w:rPr>
        <w:t xml:space="preserve"> / ***</w:t>
      </w:r>
    </w:p>
    <w:p w14:paraId="5DE0C77C" w14:textId="77777777" w:rsidR="00772179" w:rsidRDefault="00000000">
      <w:pPr>
        <w:pStyle w:val="Author-eListParagraph"/>
        <w:numPr>
          <w:ilvl w:val="1"/>
          <w:numId w:val="359"/>
        </w:numPr>
      </w:pPr>
      <w:r>
        <w:rPr>
          <w:rStyle w:val="soitChar"/>
        </w:rPr>
        <w:t xml:space="preserve">Sécurité des personnes [NBN S 23-002 série] : </w:t>
      </w:r>
      <w:r>
        <w:rPr>
          <w:rStyle w:val="optioncarChar"/>
        </w:rPr>
        <w:t>2B2</w:t>
      </w:r>
      <w:r>
        <w:t xml:space="preserve"> (par défaut)</w:t>
      </w:r>
      <w:r>
        <w:rPr>
          <w:rStyle w:val="optioncarChar"/>
        </w:rPr>
        <w:t xml:space="preserve"> / ***</w:t>
      </w:r>
    </w:p>
    <w:p w14:paraId="1351C401" w14:textId="77777777" w:rsidR="00772179" w:rsidRDefault="00000000">
      <w:pPr>
        <w:pStyle w:val="Author-eListParagraph"/>
        <w:numPr>
          <w:ilvl w:val="1"/>
          <w:numId w:val="359"/>
        </w:numPr>
      </w:pPr>
      <w:r>
        <w:rPr>
          <w:rStyle w:val="soitChar"/>
        </w:rPr>
        <w:t xml:space="preserve">Finition des arêtes suivant [NBN EN ISO 12543-5] : </w:t>
      </w:r>
      <w:r>
        <w:rPr>
          <w:rStyle w:val="optioncarChar"/>
        </w:rPr>
        <w:t>abattues</w:t>
      </w:r>
      <w:r>
        <w:t xml:space="preserve"> (par défaut)</w:t>
      </w:r>
      <w:r>
        <w:rPr>
          <w:rStyle w:val="optioncarChar"/>
        </w:rPr>
        <w:t xml:space="preserve"> / plat industriel / plat poli</w:t>
      </w:r>
    </w:p>
    <w:p w14:paraId="42D919AE" w14:textId="77777777" w:rsidR="00772179" w:rsidRDefault="00000000">
      <w:pPr>
        <w:ind w:left="567"/>
        <w:jc w:val="both"/>
      </w:pPr>
      <w:r>
        <w:rPr>
          <w:b/>
        </w:rPr>
        <w:t>(soit)</w:t>
      </w:r>
    </w:p>
    <w:p w14:paraId="1DBAEE59" w14:textId="77777777" w:rsidR="00772179" w:rsidRDefault="00000000">
      <w:pPr>
        <w:ind w:left="567"/>
        <w:jc w:val="both"/>
      </w:pPr>
      <w:r>
        <w:rPr>
          <w:rStyle w:val="soitChar"/>
          <w:u w:val="single"/>
        </w:rPr>
        <w:t>Vitrages simples trempés</w:t>
      </w:r>
      <w:r>
        <w:rPr>
          <w:rStyle w:val="soitChar"/>
        </w:rPr>
        <w:t xml:space="preserve"> suivant </w:t>
      </w:r>
      <w:hyperlink w:anchor="911" w:history="1">
        <w:r>
          <w:rPr>
            <w:rStyle w:val="soitChar"/>
            <w:color w:val="0000EE"/>
          </w:rPr>
          <w:t>42.14.1a Vitrages simples trempés</w:t>
        </w:r>
      </w:hyperlink>
    </w:p>
    <w:p w14:paraId="27568069" w14:textId="77777777" w:rsidR="00772179" w:rsidRDefault="00000000">
      <w:pPr>
        <w:pStyle w:val="Author-eListParagraph"/>
        <w:numPr>
          <w:ilvl w:val="1"/>
          <w:numId w:val="361"/>
        </w:numPr>
      </w:pPr>
      <w:r>
        <w:rPr>
          <w:rStyle w:val="soitChar"/>
        </w:rPr>
        <w:t xml:space="preserve">Verre trempé : </w:t>
      </w:r>
      <w:r>
        <w:rPr>
          <w:rStyle w:val="optioncarChar"/>
        </w:rPr>
        <w:t>thermiquement et traité heat soak </w:t>
      </w:r>
      <w:r>
        <w:t xml:space="preserve">(par défaut) </w:t>
      </w:r>
      <w:r>
        <w:rPr>
          <w:rStyle w:val="optioncarChar"/>
        </w:rPr>
        <w:t>/ thermiquement </w:t>
      </w:r>
    </w:p>
    <w:p w14:paraId="3C88F8D6" w14:textId="77777777" w:rsidR="00772179" w:rsidRDefault="00000000">
      <w:pPr>
        <w:pStyle w:val="Author-eListParagraph"/>
        <w:numPr>
          <w:ilvl w:val="1"/>
          <w:numId w:val="361"/>
        </w:numPr>
      </w:pPr>
      <w:r>
        <w:rPr>
          <w:rStyle w:val="soitChar"/>
        </w:rPr>
        <w:t xml:space="preserve">Sécurité des personnes [NBN S 23-002 série] : </w:t>
      </w:r>
      <w:r>
        <w:rPr>
          <w:rStyle w:val="optioncarChar"/>
        </w:rPr>
        <w:t>1C</w:t>
      </w:r>
      <w:r>
        <w:t xml:space="preserve"> (par défaut)</w:t>
      </w:r>
      <w:r>
        <w:rPr>
          <w:rStyle w:val="optioncarChar"/>
        </w:rPr>
        <w:t xml:space="preserve"> / ***</w:t>
      </w:r>
    </w:p>
    <w:p w14:paraId="6DBF0886" w14:textId="77777777" w:rsidR="00772179" w:rsidRDefault="00000000">
      <w:pPr>
        <w:pStyle w:val="Author-eListParagraph"/>
        <w:numPr>
          <w:ilvl w:val="1"/>
          <w:numId w:val="361"/>
        </w:numPr>
      </w:pPr>
      <w:r>
        <w:rPr>
          <w:rStyle w:val="soitChar"/>
        </w:rPr>
        <w:t xml:space="preserve">Finition des arêtes : </w:t>
      </w:r>
      <w:r>
        <w:rPr>
          <w:rStyle w:val="optioncarChar"/>
        </w:rPr>
        <w:t xml:space="preserve">abattues </w:t>
      </w:r>
      <w:r>
        <w:t xml:space="preserve">(par défaut) </w:t>
      </w:r>
      <w:r>
        <w:rPr>
          <w:rStyle w:val="optioncarChar"/>
        </w:rPr>
        <w:t>/ plat mat / plat satiné / poli</w:t>
      </w:r>
    </w:p>
    <w:p w14:paraId="54B6F444" w14:textId="77777777" w:rsidR="00772179" w:rsidRDefault="00000000">
      <w:pPr>
        <w:jc w:val="both"/>
      </w:pPr>
      <w:r>
        <w:rPr>
          <w:b/>
        </w:rPr>
        <w:t>Quincaillerie</w:t>
      </w:r>
      <w:r>
        <w:t xml:space="preserve"> suivant : </w:t>
      </w:r>
      <w:hyperlink w:anchor="884" w:history="1">
        <w:r>
          <w:rPr>
            <w:color w:val="0000EE"/>
          </w:rPr>
          <w:t>41.72 Quincailleries</w:t>
        </w:r>
      </w:hyperlink>
    </w:p>
    <w:p w14:paraId="09C5AAA6" w14:textId="77777777" w:rsidR="00772179" w:rsidRDefault="00000000">
      <w:pPr>
        <w:jc w:val="both"/>
      </w:pPr>
      <w:r>
        <w:t xml:space="preserve">Suspension du vantail : </w:t>
      </w:r>
      <w:r>
        <w:rPr>
          <w:rStyle w:val="optioncarChar"/>
        </w:rPr>
        <w:t>pivot</w:t>
      </w:r>
      <w:r>
        <w:t xml:space="preserve"> (par défaut)</w:t>
      </w:r>
      <w:r>
        <w:rPr>
          <w:rStyle w:val="optioncarChar"/>
        </w:rPr>
        <w:t xml:space="preserve"> / charnières</w:t>
      </w:r>
    </w:p>
    <w:p w14:paraId="7F3062E4" w14:textId="77777777" w:rsidR="00772179" w:rsidRDefault="00000000">
      <w:pPr>
        <w:jc w:val="both"/>
      </w:pPr>
      <w:r>
        <w:rPr>
          <w:b/>
        </w:rPr>
        <w:t>(soit par défaut)</w:t>
      </w:r>
    </w:p>
    <w:p w14:paraId="7E4EB4B1" w14:textId="77777777" w:rsidR="00772179" w:rsidRDefault="00000000">
      <w:pPr>
        <w:jc w:val="both"/>
      </w:pPr>
      <w:r>
        <w:rPr>
          <w:rStyle w:val="soitChar"/>
          <w:u w:val="single"/>
        </w:rPr>
        <w:t>Pivot </w:t>
      </w:r>
      <w:r>
        <w:rPr>
          <w:rStyle w:val="soitChar"/>
        </w:rPr>
        <w:t xml:space="preserve"> suivant : </w:t>
      </w:r>
      <w:hyperlink w:anchor="912" w:history="1">
        <w:r>
          <w:rPr>
            <w:rStyle w:val="soitChar"/>
            <w:color w:val="0000EE"/>
          </w:rPr>
          <w:t>41.72.5a Axes d'ouverture sur pivots</w:t>
        </w:r>
      </w:hyperlink>
    </w:p>
    <w:p w14:paraId="2C76F1D9" w14:textId="77777777" w:rsidR="00772179" w:rsidRDefault="00000000">
      <w:pPr>
        <w:pStyle w:val="Author-eListParagraph"/>
        <w:numPr>
          <w:ilvl w:val="0"/>
          <w:numId w:val="362"/>
        </w:numPr>
      </w:pPr>
      <w:r>
        <w:rPr>
          <w:rStyle w:val="soitChar"/>
        </w:rPr>
        <w:lastRenderedPageBreak/>
        <w:t xml:space="preserve">Matériau : </w:t>
      </w:r>
      <w:r>
        <w:rPr>
          <w:rStyle w:val="optioncarChar"/>
        </w:rPr>
        <w:t xml:space="preserve">acier inoxydable </w:t>
      </w:r>
      <w:r>
        <w:t>(par défaut)</w:t>
      </w:r>
      <w:r>
        <w:rPr>
          <w:rStyle w:val="optioncarChar"/>
        </w:rPr>
        <w:t xml:space="preserve"> / aluminium anodisé / aluminium thermolaqué / ***</w:t>
      </w:r>
    </w:p>
    <w:p w14:paraId="6A28DBEF" w14:textId="77777777" w:rsidR="00772179" w:rsidRDefault="00000000">
      <w:pPr>
        <w:pStyle w:val="Author-eListParagraph"/>
        <w:numPr>
          <w:ilvl w:val="0"/>
          <w:numId w:val="362"/>
        </w:numPr>
      </w:pPr>
      <w:r>
        <w:rPr>
          <w:rStyle w:val="soitChar"/>
        </w:rPr>
        <w:t>Adapté aux portes en verre.</w:t>
      </w:r>
    </w:p>
    <w:p w14:paraId="3C8A5251" w14:textId="77777777" w:rsidR="00772179" w:rsidRDefault="00000000">
      <w:pPr>
        <w:jc w:val="both"/>
      </w:pPr>
      <w:r>
        <w:rPr>
          <w:b/>
        </w:rPr>
        <w:t>(soit)</w:t>
      </w:r>
    </w:p>
    <w:p w14:paraId="2184B5E2" w14:textId="77777777" w:rsidR="00772179" w:rsidRDefault="00000000">
      <w:pPr>
        <w:jc w:val="both"/>
      </w:pPr>
      <w:r>
        <w:rPr>
          <w:rStyle w:val="soitChar"/>
          <w:u w:val="single"/>
        </w:rPr>
        <w:t>Charnières</w:t>
      </w:r>
      <w:r>
        <w:rPr>
          <w:rStyle w:val="soitChar"/>
        </w:rPr>
        <w:t xml:space="preserve"> suivant : </w:t>
      </w:r>
      <w:hyperlink w:anchor="881" w:history="1">
        <w:r>
          <w:rPr>
            <w:rStyle w:val="soitChar"/>
            <w:color w:val="0000EE"/>
          </w:rPr>
          <w:t>41.72.1a Charnières et paumelles</w:t>
        </w:r>
      </w:hyperlink>
    </w:p>
    <w:p w14:paraId="7B426B60" w14:textId="77777777" w:rsidR="00772179" w:rsidRDefault="00000000">
      <w:pPr>
        <w:pStyle w:val="Author-eListParagraph"/>
        <w:numPr>
          <w:ilvl w:val="0"/>
          <w:numId w:val="363"/>
        </w:numPr>
      </w:pPr>
      <w:r>
        <w:rPr>
          <w:rStyle w:val="soitChar"/>
        </w:rPr>
        <w:t xml:space="preserve">Matériau : </w:t>
      </w:r>
      <w:r>
        <w:rPr>
          <w:rStyle w:val="optioncarChar"/>
        </w:rPr>
        <w:t>acier inoxydable</w:t>
      </w:r>
      <w:r>
        <w:t xml:space="preserve"> (par défaut) </w:t>
      </w:r>
      <w:r>
        <w:rPr>
          <w:rStyle w:val="optioncarChar"/>
        </w:rPr>
        <w:t>/ aluminium anodisé / ***</w:t>
      </w:r>
    </w:p>
    <w:p w14:paraId="3E1E3EA2" w14:textId="77777777" w:rsidR="00772179" w:rsidRDefault="00000000">
      <w:pPr>
        <w:pStyle w:val="Author-eListParagraph"/>
        <w:numPr>
          <w:ilvl w:val="0"/>
          <w:numId w:val="363"/>
        </w:numPr>
      </w:pPr>
      <w:r>
        <w:rPr>
          <w:rStyle w:val="soitChar"/>
        </w:rPr>
        <w:t xml:space="preserve">Nombre : </w:t>
      </w:r>
      <w:r>
        <w:rPr>
          <w:rStyle w:val="optioncarChar"/>
        </w:rPr>
        <w:t xml:space="preserve">3 </w:t>
      </w:r>
      <w:r>
        <w:t>(par défaut)</w:t>
      </w:r>
      <w:r>
        <w:rPr>
          <w:rStyle w:val="optioncarChar"/>
        </w:rPr>
        <w:t xml:space="preserve"> / 4 / ***</w:t>
      </w:r>
    </w:p>
    <w:p w14:paraId="295590F7" w14:textId="77777777" w:rsidR="00772179" w:rsidRDefault="00000000">
      <w:pPr>
        <w:pStyle w:val="Author-eListParagraph"/>
        <w:numPr>
          <w:ilvl w:val="0"/>
          <w:numId w:val="363"/>
        </w:numPr>
      </w:pPr>
      <w:r>
        <w:rPr>
          <w:rStyle w:val="soitChar"/>
        </w:rPr>
        <w:t>Type adapté aux portes en verre.</w:t>
      </w:r>
    </w:p>
    <w:p w14:paraId="52A70B7A" w14:textId="77777777" w:rsidR="00772179" w:rsidRDefault="00000000">
      <w:pPr>
        <w:jc w:val="both"/>
      </w:pPr>
      <w:r>
        <w:t xml:space="preserve">Serrure </w:t>
      </w:r>
      <w:hyperlink w:anchor="913" w:history="1">
        <w:r>
          <w:rPr>
            <w:color w:val="0000EE"/>
          </w:rPr>
          <w:t>41.72.2 Serrures</w:t>
        </w:r>
      </w:hyperlink>
    </w:p>
    <w:p w14:paraId="6D70268D" w14:textId="77777777" w:rsidR="00772179" w:rsidRDefault="00000000">
      <w:pPr>
        <w:jc w:val="both"/>
      </w:pPr>
      <w:r>
        <w:t xml:space="preserve">Fonctionnalités de la serrure : </w:t>
      </w:r>
      <w:r>
        <w:rPr>
          <w:rStyle w:val="optioncarChar"/>
        </w:rPr>
        <w:t xml:space="preserve">serrure avec cylindre de sécurité </w:t>
      </w:r>
      <w:r>
        <w:t xml:space="preserve">(par défaut) </w:t>
      </w:r>
      <w:r>
        <w:rPr>
          <w:rStyle w:val="optioncarChar"/>
        </w:rPr>
        <w:t>/ serrure avec cylindre de sécurité à fonction antipanique / gâche électrique / serrure électromagnétique / ***</w:t>
      </w:r>
    </w:p>
    <w:p w14:paraId="0283EA42" w14:textId="77777777" w:rsidR="00772179" w:rsidRDefault="00000000">
      <w:pPr>
        <w:jc w:val="both"/>
      </w:pPr>
      <w:r>
        <w:t xml:space="preserve">Poignée suivant </w:t>
      </w:r>
      <w:hyperlink w:anchor="882" w:history="1">
        <w:r>
          <w:rPr>
            <w:color w:val="0000EE"/>
          </w:rPr>
          <w:t>41.72.3a Poignées</w:t>
        </w:r>
      </w:hyperlink>
    </w:p>
    <w:p w14:paraId="19BEA358" w14:textId="77777777" w:rsidR="00772179" w:rsidRDefault="00000000">
      <w:pPr>
        <w:jc w:val="both"/>
      </w:pPr>
      <w:r>
        <w:t xml:space="preserve">Matière : </w:t>
      </w:r>
      <w:r>
        <w:rPr>
          <w:rStyle w:val="optioncarChar"/>
        </w:rPr>
        <w:t xml:space="preserve">acier inoxydable </w:t>
      </w:r>
      <w:r>
        <w:t>(par défaut)</w:t>
      </w:r>
      <w:r>
        <w:rPr>
          <w:rStyle w:val="optioncarChar"/>
        </w:rPr>
        <w:t xml:space="preserve"> / aluminium anodisé / ***</w:t>
      </w:r>
    </w:p>
    <w:p w14:paraId="418D37BE" w14:textId="77777777" w:rsidR="00772179" w:rsidRDefault="00000000">
      <w:pPr>
        <w:pStyle w:val="pheading"/>
      </w:pPr>
      <w:r>
        <w:t>- Finitions</w:t>
      </w:r>
    </w:p>
    <w:p w14:paraId="61A05D85" w14:textId="77777777" w:rsidR="00772179" w:rsidRDefault="00000000">
      <w:pPr>
        <w:jc w:val="both"/>
      </w:pPr>
      <w:r>
        <w:t xml:space="preserve">Degré de brillance : </w:t>
      </w:r>
      <w:r>
        <w:rPr>
          <w:rStyle w:val="optioncarChar"/>
        </w:rPr>
        <w:t xml:space="preserve">mat / satiné </w:t>
      </w:r>
      <w:r>
        <w:t>(par défaut)</w:t>
      </w:r>
      <w:r>
        <w:rPr>
          <w:rStyle w:val="optioncarChar"/>
        </w:rPr>
        <w:t xml:space="preserve"> / brillant</w:t>
      </w:r>
    </w:p>
    <w:p w14:paraId="6030ADED" w14:textId="77777777" w:rsidR="00772179" w:rsidRDefault="00000000">
      <w:pPr>
        <w:jc w:val="both"/>
      </w:pPr>
      <w:r>
        <w:t xml:space="preserve">Profilés bicolores : </w:t>
      </w:r>
      <w:r>
        <w:rPr>
          <w:rStyle w:val="optioncarChar"/>
        </w:rPr>
        <w:t xml:space="preserve">non </w:t>
      </w:r>
      <w:r>
        <w:t>(par défaut)</w:t>
      </w:r>
      <w:r>
        <w:rPr>
          <w:rStyle w:val="optioncarChar"/>
        </w:rPr>
        <w:t xml:space="preserve"> / oui</w:t>
      </w:r>
    </w:p>
    <w:p w14:paraId="468D4B8B" w14:textId="77777777" w:rsidR="00772179" w:rsidRDefault="00000000">
      <w:pPr>
        <w:jc w:val="both"/>
      </w:pPr>
      <w:r>
        <w:rPr>
          <w:b/>
        </w:rPr>
        <w:t>(soit par défaut)</w:t>
      </w:r>
    </w:p>
    <w:p w14:paraId="3597E34C" w14:textId="77777777" w:rsidR="00772179" w:rsidRDefault="00000000">
      <w:pPr>
        <w:jc w:val="both"/>
      </w:pPr>
      <w:r>
        <w:rPr>
          <w:rStyle w:val="soitChar"/>
          <w:u w:val="single"/>
        </w:rPr>
        <w:t>Non :</w:t>
      </w:r>
      <w:r>
        <w:rPr>
          <w:rStyle w:val="soitChar"/>
        </w:rPr>
        <w:t xml:space="preserve"> teinte : </w:t>
      </w:r>
      <w:r>
        <w:rPr>
          <w:rStyle w:val="optioncarChar"/>
        </w:rPr>
        <w:t>***</w:t>
      </w:r>
    </w:p>
    <w:p w14:paraId="1EF79F3F" w14:textId="77777777" w:rsidR="00772179" w:rsidRDefault="00000000">
      <w:pPr>
        <w:jc w:val="both"/>
      </w:pPr>
      <w:r>
        <w:rPr>
          <w:b/>
        </w:rPr>
        <w:t>(soit)</w:t>
      </w:r>
    </w:p>
    <w:p w14:paraId="1CA4F60D" w14:textId="77777777" w:rsidR="00772179" w:rsidRDefault="00000000">
      <w:pPr>
        <w:jc w:val="both"/>
      </w:pPr>
      <w:r>
        <w:rPr>
          <w:rStyle w:val="soitChar"/>
          <w:u w:val="single"/>
        </w:rPr>
        <w:t>Oui :</w:t>
      </w:r>
    </w:p>
    <w:p w14:paraId="7F80131B" w14:textId="77777777" w:rsidR="00772179" w:rsidRDefault="00000000">
      <w:pPr>
        <w:pStyle w:val="Author-eListParagraph"/>
        <w:numPr>
          <w:ilvl w:val="0"/>
          <w:numId w:val="364"/>
        </w:numPr>
      </w:pPr>
      <w:r>
        <w:rPr>
          <w:rStyle w:val="soitChar"/>
        </w:rPr>
        <w:t>Teinte extérieure :</w:t>
      </w:r>
      <w:r>
        <w:t xml:space="preserve">  </w:t>
      </w:r>
      <w:r>
        <w:rPr>
          <w:rStyle w:val="optioncarChar"/>
        </w:rPr>
        <w:t>***</w:t>
      </w:r>
    </w:p>
    <w:p w14:paraId="6F69F076" w14:textId="77777777" w:rsidR="00772179" w:rsidRDefault="00000000">
      <w:pPr>
        <w:pStyle w:val="Author-eListParagraph"/>
        <w:numPr>
          <w:ilvl w:val="0"/>
          <w:numId w:val="364"/>
        </w:numPr>
      </w:pPr>
      <w:r>
        <w:rPr>
          <w:rStyle w:val="soitChar"/>
        </w:rPr>
        <w:t>Teinte intérieure :</w:t>
      </w:r>
      <w:r>
        <w:t>  </w:t>
      </w:r>
      <w:r>
        <w:rPr>
          <w:rStyle w:val="optioncarChar"/>
        </w:rPr>
        <w:t>***</w:t>
      </w:r>
    </w:p>
    <w:p w14:paraId="4E3AD03C" w14:textId="77777777" w:rsidR="00772179" w:rsidRDefault="00000000">
      <w:pPr>
        <w:jc w:val="both"/>
      </w:pPr>
      <w:r>
        <w:t xml:space="preserve">Joint mastic : La couleur du joint est assortie à celle </w:t>
      </w:r>
      <w:r>
        <w:rPr>
          <w:rStyle w:val="optioncarChar"/>
        </w:rPr>
        <w:t xml:space="preserve">de la menuiserie </w:t>
      </w:r>
      <w:r>
        <w:t>(par défaut)</w:t>
      </w:r>
      <w:r>
        <w:rPr>
          <w:rStyle w:val="optioncarChar"/>
        </w:rPr>
        <w:t xml:space="preserve"> / du parement / ***</w:t>
      </w:r>
    </w:p>
    <w:p w14:paraId="415360E5" w14:textId="77777777" w:rsidR="00772179" w:rsidRDefault="00000000">
      <w:pPr>
        <w:pStyle w:val="pheading"/>
      </w:pPr>
      <w:r>
        <w:t>EXÉCUTION / MISE EN ŒUVRE</w:t>
      </w:r>
    </w:p>
    <w:p w14:paraId="36B8F587" w14:textId="77777777" w:rsidR="00772179" w:rsidRDefault="00000000">
      <w:pPr>
        <w:pStyle w:val="pheading"/>
      </w:pPr>
      <w:r>
        <w:t>- Prescriptions générales</w:t>
      </w:r>
    </w:p>
    <w:p w14:paraId="70B008B1" w14:textId="77777777" w:rsidR="00772179" w:rsidRDefault="00000000">
      <w:pPr>
        <w:jc w:val="both"/>
      </w:pPr>
      <w:r>
        <w:t xml:space="preserve">La mise en œuvre est conforme aux détails d’exécution et réalisée suivant </w:t>
      </w:r>
      <w:hyperlink w:anchor="904" w:history="1">
        <w:r>
          <w:rPr>
            <w:color w:val="0000EE"/>
          </w:rPr>
          <w:t>41.2 Portes d'entrée</w:t>
        </w:r>
      </w:hyperlink>
    </w:p>
    <w:p w14:paraId="2C4A6789" w14:textId="77777777" w:rsidR="00772179" w:rsidRDefault="00772179">
      <w:pPr>
        <w:jc w:val="both"/>
      </w:pPr>
    </w:p>
    <w:p w14:paraId="3D72C8B6" w14:textId="77777777" w:rsidR="00772179" w:rsidRDefault="00000000">
      <w:pPr>
        <w:jc w:val="both"/>
      </w:pPr>
      <w:r>
        <w:t xml:space="preserve">La continuité de l’isolation est réalisée au moyen d’un </w:t>
      </w:r>
      <w:r>
        <w:rPr>
          <w:rStyle w:val="optioncarChar"/>
        </w:rPr>
        <w:t xml:space="preserve">isolant injecté </w:t>
      </w:r>
      <w:r>
        <w:t>(par défaut)</w:t>
      </w:r>
      <w:r>
        <w:rPr>
          <w:rStyle w:val="optioncarChar"/>
        </w:rPr>
        <w:t xml:space="preserve"> / ***</w:t>
      </w:r>
    </w:p>
    <w:p w14:paraId="778AD511" w14:textId="77777777" w:rsidR="00772179" w:rsidRDefault="00772179">
      <w:pPr>
        <w:jc w:val="both"/>
      </w:pPr>
    </w:p>
    <w:p w14:paraId="241CDD0C" w14:textId="77777777" w:rsidR="00772179" w:rsidRDefault="00000000">
      <w:pPr>
        <w:jc w:val="both"/>
      </w:pPr>
      <w:r>
        <w:t xml:space="preserve">La continuité de l’étanchéité à l’air est réalisée au moyen d’une membrane collée au dormant et </w:t>
      </w:r>
      <w:r>
        <w:rPr>
          <w:rStyle w:val="optioncarChar"/>
        </w:rPr>
        <w:t>collée au gros œuvre / noyée dans l’enduit intérieur.</w:t>
      </w:r>
    </w:p>
    <w:p w14:paraId="0258D02F" w14:textId="77777777" w:rsidR="00772179" w:rsidRDefault="00772179">
      <w:pPr>
        <w:jc w:val="both"/>
      </w:pPr>
    </w:p>
    <w:p w14:paraId="24373EBE" w14:textId="77777777" w:rsidR="00772179" w:rsidRDefault="00000000">
      <w:pPr>
        <w:jc w:val="both"/>
      </w:pPr>
      <w:r>
        <w:t xml:space="preserve">Le système d’ancrage est réalisé par : </w:t>
      </w:r>
      <w:r>
        <w:rPr>
          <w:rStyle w:val="optioncarChar"/>
        </w:rPr>
        <w:t>pattes de fixation / caisson / précadre</w:t>
      </w:r>
    </w:p>
    <w:p w14:paraId="766EC42E" w14:textId="77777777" w:rsidR="00772179" w:rsidRDefault="00000000">
      <w:pPr>
        <w:pStyle w:val="pheading"/>
      </w:pPr>
      <w:r>
        <w:t>DOCUMENTS DE RÉFÉRENCE COMPLÉMENTAIRES</w:t>
      </w:r>
    </w:p>
    <w:p w14:paraId="126922A8" w14:textId="77777777" w:rsidR="00772179" w:rsidRDefault="00000000">
      <w:pPr>
        <w:pStyle w:val="pheading"/>
      </w:pPr>
      <w:r>
        <w:t>- Matériau</w:t>
      </w:r>
    </w:p>
    <w:p w14:paraId="666349F1" w14:textId="77777777" w:rsidR="00772179" w:rsidRDefault="00000000">
      <w:r>
        <w:t>[NBN B 25-002-1, Menuiserie extérieure - Partie 1: Prescription des performances générales – Fenêtres et façades rideaux]</w:t>
      </w:r>
    </w:p>
    <w:p w14:paraId="0A188443" w14:textId="77777777" w:rsidR="00772179" w:rsidRDefault="00000000">
      <w:r>
        <w:t>[NBN EN 1191, Fenêtres et portes - Résistance à l'ouverture et fermeture répétée - Méthode d'essai]</w:t>
      </w:r>
    </w:p>
    <w:p w14:paraId="6996AC6B" w14:textId="77777777" w:rsidR="00772179" w:rsidRDefault="00000000">
      <w:r>
        <w:t>[NBN EN 1192, Portes - Classification des exigences de résistance mécanique]</w:t>
      </w:r>
    </w:p>
    <w:p w14:paraId="546179E8" w14:textId="77777777" w:rsidR="00772179" w:rsidRDefault="00000000">
      <w:r>
        <w:t>[NBN EN 1627, Blocs-portes pour piétons, fenêtres, façades rideaux, grilles et fermetures - Résistance à l'effraction - Prescriptions et classification]</w:t>
      </w:r>
    </w:p>
    <w:p w14:paraId="3A8EAED8" w14:textId="77777777" w:rsidR="00772179" w:rsidRDefault="00000000">
      <w:r>
        <w:t>[NBN EN 12207, Fenêtres et portes - Perméabilité à l'air - Classification]</w:t>
      </w:r>
    </w:p>
    <w:p w14:paraId="0ED66E16" w14:textId="77777777" w:rsidR="00772179" w:rsidRDefault="00000000">
      <w:r>
        <w:lastRenderedPageBreak/>
        <w:t>[NBN EN 12208, Fenêtres et portes - Perméabilité à l'eau - Classification]</w:t>
      </w:r>
    </w:p>
    <w:p w14:paraId="5349FEC2" w14:textId="77777777" w:rsidR="00772179" w:rsidRDefault="00000000">
      <w:r>
        <w:t>[NBN EN 12210, Fenêtres et portes - Résistance au vent - Classification]</w:t>
      </w:r>
    </w:p>
    <w:p w14:paraId="58BF3E3A" w14:textId="77777777" w:rsidR="00772179" w:rsidRDefault="00000000">
      <w:r>
        <w:t>[NBN EN 12150-2, Verre dans la construction - Verre de silicate sodo-calcique de sécurité trempé thermiquement - Partie 2 : Evaluation de la conformité/Norme de produit]</w:t>
      </w:r>
    </w:p>
    <w:p w14:paraId="3BC32A89" w14:textId="77777777" w:rsidR="00772179" w:rsidRDefault="00000000">
      <w:r>
        <w:t>[NBN EN 12217, Portes - Forces de manœuvre - Prescriptions et classification]</w:t>
      </w:r>
    </w:p>
    <w:p w14:paraId="4943A016" w14:textId="77777777" w:rsidR="00772179" w:rsidRDefault="00000000">
      <w:r>
        <w:t>[NBN EN 12400, Fenêtres et portes - Durabilité mécanique - Prescriptions et classification]</w:t>
      </w:r>
    </w:p>
    <w:p w14:paraId="42614F6C" w14:textId="77777777" w:rsidR="00772179" w:rsidRDefault="00000000">
      <w:r>
        <w:t>[NBN EN 14351-1:2006+A2, Fenêtres et portes - Norme produit, caractéristiques de performance - Partie 1 : Fenêtres et blocs portes extérieurs pour piétons]</w:t>
      </w:r>
    </w:p>
    <w:p w14:paraId="2A30BD80" w14:textId="77777777" w:rsidR="00772179" w:rsidRDefault="00000000">
      <w:r>
        <w:t>[NBN EN ISO 12543-2, Verre dans la construction - Verre feuilleté et verre feuilleté de sécurité - Partie 2: Verre feuilleté de sécurité (ISO 12543-2:2021)]</w:t>
      </w:r>
    </w:p>
    <w:p w14:paraId="2AE2941E" w14:textId="77777777" w:rsidR="00772179" w:rsidRDefault="00000000">
      <w:r>
        <w:t>[NBN EN ISO 12543-5, Verre dans la construction - Verre feuilleté et verre feuilleté de sécurité - Partie 5: Dimensions et façonnage des bords (ISO 12543-5:2021)]</w:t>
      </w:r>
    </w:p>
    <w:p w14:paraId="51591AB7" w14:textId="77777777" w:rsidR="00772179" w:rsidRDefault="00000000">
      <w:pPr>
        <w:pStyle w:val="pheading"/>
      </w:pPr>
      <w:r>
        <w:t>MESURAGE</w:t>
      </w:r>
    </w:p>
    <w:p w14:paraId="6262B3D2" w14:textId="77777777" w:rsidR="00772179" w:rsidRDefault="00000000">
      <w:pPr>
        <w:pStyle w:val="pheading"/>
      </w:pPr>
      <w:r>
        <w:t>- unité de mesure:</w:t>
      </w:r>
    </w:p>
    <w:p w14:paraId="7F997B38" w14:textId="77777777" w:rsidR="00772179" w:rsidRDefault="00000000">
      <w:r>
        <w:rPr>
          <w:rStyle w:val="optioncarChar"/>
        </w:rPr>
        <w:t>pc </w:t>
      </w:r>
      <w:r>
        <w:t>(par défaut) </w:t>
      </w:r>
      <w:r>
        <w:rPr>
          <w:rStyle w:val="optioncarChar"/>
        </w:rPr>
        <w:t>/ m²</w:t>
      </w:r>
    </w:p>
    <w:p w14:paraId="3E18FDD1" w14:textId="77777777" w:rsidR="00772179" w:rsidRDefault="00000000">
      <w:r>
        <w:rPr>
          <w:b/>
        </w:rPr>
        <w:t>(soit par défaut)</w:t>
      </w:r>
      <w:r>
        <w:br/>
      </w:r>
      <w:r>
        <w:rPr>
          <w:rStyle w:val="soitChar"/>
        </w:rPr>
        <w:t>1. pc</w:t>
      </w:r>
      <w:r>
        <w:br/>
      </w:r>
      <w:r>
        <w:rPr>
          <w:b/>
        </w:rPr>
        <w:t>(soit)</w:t>
      </w:r>
      <w:r>
        <w:br/>
      </w:r>
      <w:r>
        <w:rPr>
          <w:rStyle w:val="soitChar"/>
        </w:rPr>
        <w:t>2. m²</w:t>
      </w:r>
    </w:p>
    <w:p w14:paraId="5FCE191C" w14:textId="77777777" w:rsidR="00772179" w:rsidRDefault="00000000">
      <w:pPr>
        <w:pStyle w:val="pheading"/>
      </w:pPr>
      <w:r>
        <w:t>- code de mesurage:</w:t>
      </w:r>
    </w:p>
    <w:p w14:paraId="00A62D61" w14:textId="77777777" w:rsidR="00772179" w:rsidRDefault="00000000">
      <w:r>
        <w:rPr>
          <w:rStyle w:val="optioncarChar"/>
        </w:rPr>
        <w:t>Quantité nette </w:t>
      </w:r>
      <w:r>
        <w:t>(par défaut) </w:t>
      </w:r>
      <w:r>
        <w:rPr>
          <w:rStyle w:val="optioncarChar"/>
        </w:rPr>
        <w:t>/ Surface nette</w:t>
      </w:r>
    </w:p>
    <w:p w14:paraId="02278C6D" w14:textId="77777777" w:rsidR="00772179" w:rsidRDefault="00000000">
      <w:r>
        <w:rPr>
          <w:b/>
        </w:rPr>
        <w:t>(soit par défaut)</w:t>
      </w:r>
      <w:r>
        <w:br/>
      </w:r>
      <w:r>
        <w:rPr>
          <w:rStyle w:val="soitChar"/>
        </w:rPr>
        <w:t xml:space="preserve">1. </w:t>
      </w:r>
      <w:r>
        <w:rPr>
          <w:rStyle w:val="soitChar"/>
          <w:u w:val="single"/>
        </w:rPr>
        <w:t>Quantité nette</w:t>
      </w:r>
      <w:r>
        <w:rPr>
          <w:rStyle w:val="soitChar"/>
        </w:rPr>
        <w:t> distinction faite du type et des dimensions de chaque porte</w:t>
      </w:r>
      <w:r>
        <w:br/>
      </w:r>
      <w:r>
        <w:rPr>
          <w:b/>
        </w:rPr>
        <w:t>(soit)</w:t>
      </w:r>
      <w:r>
        <w:br/>
      </w:r>
      <w:r>
        <w:rPr>
          <w:rStyle w:val="soitChar"/>
        </w:rPr>
        <w:t xml:space="preserve">2. </w:t>
      </w:r>
      <w:r>
        <w:rPr>
          <w:rStyle w:val="soitChar"/>
          <w:u w:val="single"/>
        </w:rPr>
        <w:t>Surface nette</w:t>
      </w:r>
      <w:r>
        <w:rPr>
          <w:rStyle w:val="soitChar"/>
        </w:rPr>
        <w:t> distinction faite selon le type</w:t>
      </w:r>
    </w:p>
    <w:p w14:paraId="4242EF31" w14:textId="77777777" w:rsidR="00772179" w:rsidRDefault="00000000">
      <w:pPr>
        <w:pStyle w:val="pheading"/>
      </w:pPr>
      <w:r>
        <w:t>- nature du marché:</w:t>
      </w:r>
    </w:p>
    <w:p w14:paraId="1CDEF59E" w14:textId="77777777" w:rsidR="00772179" w:rsidRDefault="00000000">
      <w:r>
        <w:t>QF</w:t>
      </w:r>
    </w:p>
    <w:p w14:paraId="30816C37" w14:textId="77777777" w:rsidR="00772179" w:rsidRDefault="00000000">
      <w:pPr>
        <w:pStyle w:val="Author-eSectionHeading4Numberless"/>
      </w:pPr>
      <w:bookmarkStart w:id="99" w:name="_Toc220489845"/>
      <w:r>
        <w:t>41.27 Portes d'entrée matériaux composites CCTB 01.12</w:t>
      </w:r>
      <w:bookmarkEnd w:id="99"/>
    </w:p>
    <w:p w14:paraId="70214E32" w14:textId="77777777" w:rsidR="00772179" w:rsidRDefault="00000000">
      <w:pPr>
        <w:pStyle w:val="pheading"/>
      </w:pPr>
      <w:r>
        <w:t>DESCRIPTION</w:t>
      </w:r>
    </w:p>
    <w:p w14:paraId="48C1DAA9" w14:textId="77777777" w:rsidR="00772179" w:rsidRDefault="00000000">
      <w:pPr>
        <w:pStyle w:val="pheading"/>
      </w:pPr>
      <w:r>
        <w:t>- Définition / Comprend</w:t>
      </w:r>
    </w:p>
    <w:p w14:paraId="4FEE6108" w14:textId="77777777" w:rsidR="00772179" w:rsidRDefault="00000000">
      <w:pPr>
        <w:jc w:val="both"/>
      </w:pPr>
      <w:r>
        <w:t>Cet élément comprend la fourniture et la pose de tous les éléments nécessaires à la composition des portes extérieures en matériaux composites, y compris toutes les pièces qui en font intrinsèquement partie.</w:t>
      </w:r>
    </w:p>
    <w:p w14:paraId="070D4F5E" w14:textId="77777777" w:rsidR="00772179" w:rsidRDefault="00000000">
      <w:pPr>
        <w:jc w:val="both"/>
      </w:pPr>
      <w:r>
        <w:t>Les portes extérieures sont considérées comme menuiserie en matériaux composite lorsque la composition du profilé principal comprend où est mélangée avec un ou plusieurs autres composants afin d’améliorer les performances de l’ensemble au niveau mécanique, thermique, etc…</w:t>
      </w:r>
    </w:p>
    <w:p w14:paraId="24AA8C5C" w14:textId="77777777" w:rsidR="00772179" w:rsidRDefault="00000000">
      <w:pPr>
        <w:jc w:val="both"/>
      </w:pPr>
      <w:r>
        <w:t>Les prix unitaires compris dans cet élément et les suivants comprennent toujours le contrôle et le relevé sur place des dimensions exactes dans l'œuvre et les adaptations éventuelles des éléments à préfabriquer aux dimensions réelles.</w:t>
      </w:r>
    </w:p>
    <w:p w14:paraId="3DD77CA4" w14:textId="77777777" w:rsidR="00772179" w:rsidRDefault="00000000">
      <w:pPr>
        <w:pStyle w:val="pheading"/>
      </w:pPr>
      <w:r>
        <w:t>MATÉRIAUX</w:t>
      </w:r>
    </w:p>
    <w:p w14:paraId="0ED5638B" w14:textId="77777777" w:rsidR="00772179" w:rsidRDefault="00000000">
      <w:pPr>
        <w:jc w:val="both"/>
      </w:pPr>
      <w:r>
        <w:t>Les portes extérieures sont considérées comme menuiserie en matériaux composites lorsqu’elles sont composées d’un assemblage de deux matériaux de nature différente. Il s’agit généralement d’un mélange de fibre de verre enrobées de PVC ou de bois et de fibre de verre.</w:t>
      </w:r>
    </w:p>
    <w:p w14:paraId="2B58754F" w14:textId="77777777" w:rsidR="00772179" w:rsidRDefault="00000000">
      <w:pPr>
        <w:pStyle w:val="pheading"/>
      </w:pPr>
      <w:r>
        <w:lastRenderedPageBreak/>
        <w:t>EXÉCUTION / MISE EN ŒUVRE</w:t>
      </w:r>
    </w:p>
    <w:p w14:paraId="7B9918CF" w14:textId="77777777" w:rsidR="00772179" w:rsidRDefault="00000000">
      <w:pPr>
        <w:jc w:val="both"/>
      </w:pPr>
      <w:r>
        <w:t>Avant la mise en œuvre, l’entrepreneur contrôle si les dimensions de pose prévues sur les plans correspondent à la situation sur place. Lorsqu'il découvre des divergences, il en avertit immédiatement l'auteur de projet.</w:t>
      </w:r>
    </w:p>
    <w:p w14:paraId="3B59B77C" w14:textId="77777777" w:rsidR="00772179" w:rsidRDefault="00000000">
      <w:pPr>
        <w:pStyle w:val="pheading"/>
      </w:pPr>
      <w:r>
        <w:t>DOCUMENTS DE RÉFÉRENCE</w:t>
      </w:r>
    </w:p>
    <w:p w14:paraId="7BE0D44E" w14:textId="77777777" w:rsidR="00772179" w:rsidRDefault="00000000">
      <w:pPr>
        <w:pStyle w:val="pheading"/>
      </w:pPr>
      <w:r>
        <w:t>- Matériau</w:t>
      </w:r>
    </w:p>
    <w:p w14:paraId="7B3DA061" w14:textId="77777777" w:rsidR="00772179" w:rsidRDefault="00000000">
      <w:r>
        <w:t>[NBN B 25-002-2, Menuiseries extérieures. Partie 2 : Prescription des performances générales pour les portes extérieures pour piétons]</w:t>
      </w:r>
    </w:p>
    <w:p w14:paraId="063EA6BF" w14:textId="77777777" w:rsidR="00772179" w:rsidRDefault="00000000">
      <w:r>
        <w:t>[NBN B 25-002-5, Menuiseries extérieures. Partie 5 : Prescriptions pour les profilés et les châssis en PVC-U]</w:t>
      </w:r>
    </w:p>
    <w:p w14:paraId="2C8FAA74" w14:textId="77777777" w:rsidR="00772179" w:rsidRDefault="00000000">
      <w:pPr>
        <w:pStyle w:val="pheading"/>
      </w:pPr>
      <w:r>
        <w:t>- Exécution</w:t>
      </w:r>
    </w:p>
    <w:p w14:paraId="1E8AFF68" w14:textId="77777777" w:rsidR="00772179" w:rsidRDefault="00000000">
      <w:r>
        <w:t>[NIT 221, La pose des vitrages en feuillure (Les NIT 214 et 221 remplacent les NIT 110 et 113).]</w:t>
      </w:r>
    </w:p>
    <w:p w14:paraId="5574F566" w14:textId="77777777" w:rsidR="00772179" w:rsidRDefault="00000000">
      <w:r>
        <w:t>[NBN 208, Coordination des dimensions des constructions - Système du module - Baies et châssis de fenêtres]</w:t>
      </w:r>
    </w:p>
    <w:p w14:paraId="02F721E0" w14:textId="77777777" w:rsidR="00772179" w:rsidRDefault="00000000">
      <w:r>
        <w:t>[NIT 283, La pose des menuiseries extérieures. Partie 1 : aspects généraux.]</w:t>
      </w:r>
    </w:p>
    <w:p w14:paraId="5DDB3D5B" w14:textId="77777777" w:rsidR="00772179" w:rsidRDefault="00000000">
      <w:pPr>
        <w:pStyle w:val="Author-eSectionHeading5Numberless"/>
      </w:pPr>
      <w:bookmarkStart w:id="100" w:name="_Toc220489846"/>
      <w:r>
        <w:t>41.27.1 Portes d'entrée en mélange PVC/bois (dans la masse) CCTB 01.12</w:t>
      </w:r>
      <w:bookmarkEnd w:id="100"/>
    </w:p>
    <w:p w14:paraId="3ECDA1A1" w14:textId="77777777" w:rsidR="00772179" w:rsidRDefault="00000000">
      <w:pPr>
        <w:pStyle w:val="pheading"/>
      </w:pPr>
      <w:r>
        <w:t>DESCRIPTION</w:t>
      </w:r>
    </w:p>
    <w:p w14:paraId="71BE7899" w14:textId="77777777" w:rsidR="00772179" w:rsidRDefault="00000000">
      <w:pPr>
        <w:pStyle w:val="pheading"/>
      </w:pPr>
      <w:r>
        <w:t>- Définition / Comprend</w:t>
      </w:r>
    </w:p>
    <w:p w14:paraId="332580FD" w14:textId="77777777" w:rsidR="00772179" w:rsidRDefault="00000000">
      <w:pPr>
        <w:jc w:val="both"/>
      </w:pPr>
      <w:r>
        <w:t>Cet élément comprend la fourniture (hors matériaux récupérés du même site) et la pose de tous les éléments nécessaires à la composition des portes extérieures en matériaux composites à base de PVC, y compris toutes les pièces qui en font intrinsèquement partie.</w:t>
      </w:r>
    </w:p>
    <w:p w14:paraId="40D24A0B" w14:textId="77777777" w:rsidR="00772179" w:rsidRDefault="00000000">
      <w:pPr>
        <w:jc w:val="both"/>
      </w:pPr>
      <w:r>
        <w:t>Les portes extérieures sont considérées comme menuiserie en mélange/mixte PVC lorsque la composition du profilé principal est majoritairement constituée de PVC mélangé ou comprenant un ou plusieurs autres composants.</w:t>
      </w:r>
    </w:p>
    <w:p w14:paraId="5E6F638F" w14:textId="77777777" w:rsidR="00772179" w:rsidRDefault="00000000">
      <w:pPr>
        <w:pStyle w:val="pheading"/>
      </w:pPr>
      <w:r>
        <w:t>MATÉRIAUX</w:t>
      </w:r>
    </w:p>
    <w:p w14:paraId="724B3D70" w14:textId="77777777" w:rsidR="00772179" w:rsidRDefault="00000000">
      <w:pPr>
        <w:jc w:val="both"/>
      </w:pPr>
      <w:r>
        <w:rPr>
          <w:b/>
        </w:rPr>
        <w:t>Menuiserie neuve :</w:t>
      </w:r>
    </w:p>
    <w:p w14:paraId="4B80DF62" w14:textId="77777777" w:rsidR="00772179" w:rsidRDefault="00000000">
      <w:pPr>
        <w:jc w:val="both"/>
      </w:pPr>
      <w:r>
        <w:rPr>
          <w:u w:val="single"/>
        </w:rPr>
        <w:t>Matières Premières :</w:t>
      </w:r>
    </w:p>
    <w:p w14:paraId="2A068972" w14:textId="77777777" w:rsidR="00772179" w:rsidRDefault="00000000">
      <w:pPr>
        <w:jc w:val="both"/>
      </w:pPr>
      <w:r>
        <w:t>Les menuiseries en PVC sont conformes aux spécifications techniques de la [NBN B 25-002-5].</w:t>
      </w:r>
    </w:p>
    <w:p w14:paraId="57D3A1E5" w14:textId="77777777" w:rsidR="00772179" w:rsidRDefault="00000000">
      <w:pPr>
        <w:jc w:val="both"/>
      </w:pPr>
      <w:r>
        <w:t>La qualité des profilés PVC est conforme aux exigences reprises dans la [NBN EN 12608-1:2016+A1].</w:t>
      </w:r>
    </w:p>
    <w:p w14:paraId="6CF6B2F8" w14:textId="77777777" w:rsidR="00772179" w:rsidRDefault="00000000">
      <w:pPr>
        <w:jc w:val="both"/>
      </w:pPr>
      <w:r>
        <w:rPr>
          <w:u w:val="single"/>
        </w:rPr>
        <w:t>Forme, type &amp; dimensions des profilés :</w:t>
      </w:r>
    </w:p>
    <w:p w14:paraId="4F3CB9B2" w14:textId="77777777" w:rsidR="00772179" w:rsidRDefault="00000000">
      <w:pPr>
        <w:pStyle w:val="Author-eListParagraph"/>
        <w:numPr>
          <w:ilvl w:val="0"/>
          <w:numId w:val="365"/>
        </w:numPr>
      </w:pPr>
      <w:r>
        <w:t>L'épaisseur des parois et les dimensions des profilés tiennent compte des performances imposées, des notes de calcul, de la composition des éléments fixes et mobiles, de l'épaisseur et des performances des vitrages.</w:t>
      </w:r>
    </w:p>
    <w:p w14:paraId="67ACC731" w14:textId="77777777" w:rsidR="00772179" w:rsidRDefault="00000000">
      <w:pPr>
        <w:pStyle w:val="Author-eListParagraph"/>
        <w:numPr>
          <w:ilvl w:val="0"/>
          <w:numId w:val="365"/>
        </w:numPr>
      </w:pPr>
      <w:r>
        <w:t>Les profilés de résistance sont du type à plusieurs chambres. La chambre principale est suffisamment large pour l’introduction de profilés de renforcement en métal, en matériaux synthétiques, en rubans de fibres de verre, etc… Les profilés de résistance et les éventuels renforcements assurent ensemble la résistance mécanique de la menuiserie. La flèche est ≤ 1/300. Les notes de calculs et les dessins d'exécution avec le détail des profilés utilisés, des renforts, etc. sont soumis à la l’approbation de l'auteur de projet.</w:t>
      </w:r>
    </w:p>
    <w:p w14:paraId="6A62815C" w14:textId="77777777" w:rsidR="00772179" w:rsidRDefault="00000000">
      <w:pPr>
        <w:pStyle w:val="Author-eListParagraph"/>
        <w:numPr>
          <w:ilvl w:val="0"/>
          <w:numId w:val="365"/>
        </w:numPr>
      </w:pPr>
      <w:r>
        <w:t>Les assemblages d’angle des profilés de renforcement sont réalisés à l’aide de pièces spéciales appropriées, les angles sont soudés, étanchéifiés. Pour les cadres fixes, des profilés de dimensions normales sont utilisés et pour les vantaux ouvrants, des profilés étroits (renforcés) sont utilisés.</w:t>
      </w:r>
    </w:p>
    <w:p w14:paraId="6009891A" w14:textId="77777777" w:rsidR="00772179" w:rsidRDefault="00000000">
      <w:pPr>
        <w:pStyle w:val="Author-eListParagraph"/>
        <w:numPr>
          <w:ilvl w:val="0"/>
          <w:numId w:val="365"/>
        </w:numPr>
      </w:pPr>
      <w:r>
        <w:lastRenderedPageBreak/>
        <w:t>La feuillure extérieure des profilés de base contre laquelle le vitrage s'appuie présente une hauteur ≥ 18 mm et fait partie intégrante du profil de base. La largeur des parcloses dépend de la largeur du profil de résistance et de l'épaisseur du vitrage ou du panneautage. Les parcloses sont fixées par assemblage à enclenchement.</w:t>
      </w:r>
    </w:p>
    <w:p w14:paraId="68DD8CC0" w14:textId="77777777" w:rsidR="00772179" w:rsidRDefault="00000000">
      <w:pPr>
        <w:pStyle w:val="Author-eListParagraph"/>
        <w:numPr>
          <w:ilvl w:val="0"/>
          <w:numId w:val="365"/>
        </w:numPr>
      </w:pPr>
      <w:r>
        <w:t>Les bandes d'étanchéité sont fabriquées en néoprène ou matière synthétique et sont enroulées dans le profil ou extrudées avec le profilé. Elles sont toujours appliquées en longueurs complètes, dans les angles et sont enroulées ou soudées en onglet. Seules les étanchéités originales et prescrites par le fournisseur des profilés sont utilisées. Elles font également partie de l'agrément technique obtenu pour le système de profilés.</w:t>
      </w:r>
    </w:p>
    <w:p w14:paraId="166D8795" w14:textId="77777777" w:rsidR="00772179" w:rsidRDefault="00000000">
      <w:pPr>
        <w:jc w:val="both"/>
      </w:pPr>
      <w:r>
        <w:rPr>
          <w:u w:val="single"/>
        </w:rPr>
        <w:t>Assemblage &amp; montage :</w:t>
      </w:r>
    </w:p>
    <w:p w14:paraId="02F70CD7" w14:textId="77777777" w:rsidR="00772179" w:rsidRDefault="00000000">
      <w:pPr>
        <w:pStyle w:val="Author-eListParagraph"/>
        <w:numPr>
          <w:ilvl w:val="0"/>
          <w:numId w:val="366"/>
        </w:numPr>
      </w:pPr>
      <w:r>
        <w:t>Le montage des profilés assure un assemblage étanche, selon la [NBN EN 514].</w:t>
      </w:r>
    </w:p>
    <w:p w14:paraId="5AB43FF0" w14:textId="77777777" w:rsidR="00772179" w:rsidRDefault="00000000">
      <w:pPr>
        <w:pStyle w:val="Author-eListParagraph"/>
        <w:numPr>
          <w:ilvl w:val="0"/>
          <w:numId w:val="366"/>
        </w:numPr>
      </w:pPr>
      <w:r>
        <w:t>Les angles d’assemblage ne constituent en aucun cas des points de résistance pour les portes, ni n’occasionnent en ces points une dégradation des propriétés des profilés. Conformément à la [NBN B 25-002-5], les profilés sont, par conséquent, assemblés par soudure thermique sans adjonction de matériau. Les soudures sont fraisées, nettoyées et polies. L'arasement des soudures ne diminue en aucun cas l'aspect esthétique des châssis. Un écart d'épaisseur ≤ 0,5 mm par rapport à la surface du profil est admis.</w:t>
      </w:r>
    </w:p>
    <w:p w14:paraId="5005BDFE" w14:textId="77777777" w:rsidR="00772179" w:rsidRDefault="00000000">
      <w:pPr>
        <w:pStyle w:val="Author-eListParagraph"/>
        <w:numPr>
          <w:ilvl w:val="0"/>
          <w:numId w:val="366"/>
        </w:numPr>
      </w:pPr>
      <w:r>
        <w:t>Tous les montants intermédiaires et les assemblages transversaux sont, en principe, également assemblés par soudure thermique. Une exception peut uniquement être faite pour les assemblages en T et/ou en croix, où les assemblages mécaniques sont admis.</w:t>
      </w:r>
    </w:p>
    <w:p w14:paraId="0756A805" w14:textId="77777777" w:rsidR="00772179" w:rsidRDefault="00000000">
      <w:pPr>
        <w:pStyle w:val="Author-eListParagraph"/>
        <w:numPr>
          <w:ilvl w:val="0"/>
          <w:numId w:val="366"/>
        </w:numPr>
      </w:pPr>
      <w:r>
        <w:t>Les ensembles de portes composés sont constitués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en ensemble indéformable.</w:t>
      </w:r>
    </w:p>
    <w:p w14:paraId="22788D21" w14:textId="77777777" w:rsidR="00772179" w:rsidRDefault="00000000">
      <w:pPr>
        <w:jc w:val="both"/>
      </w:pPr>
      <w:r>
        <w:rPr>
          <w:u w:val="single"/>
        </w:rPr>
        <w:t>Rainures de drainage / Décompression / Évacuation des condensats :</w:t>
      </w:r>
    </w:p>
    <w:p w14:paraId="05CADF24" w14:textId="77777777" w:rsidR="00772179" w:rsidRDefault="00000000">
      <w:pPr>
        <w:pStyle w:val="Author-eListParagraph"/>
        <w:numPr>
          <w:ilvl w:val="0"/>
          <w:numId w:val="367"/>
        </w:numPr>
      </w:pPr>
      <w:r>
        <w:t>Une chambre d'évacuation de l'eau ou de décompression est située à l'extérieur du profil.</w:t>
      </w:r>
    </w:p>
    <w:p w14:paraId="52DF2BBD" w14:textId="77777777" w:rsidR="00772179" w:rsidRDefault="00000000">
      <w:pPr>
        <w:pStyle w:val="Author-eListParagraph"/>
        <w:numPr>
          <w:ilvl w:val="0"/>
          <w:numId w:val="367"/>
        </w:numPr>
      </w:pPr>
      <w:r>
        <w:t>Les montants du cadre support sont profilés de manière telle que l'eau d'infiltration est évacuée avant les bandes d'étanchéité. L'évacuation de l'eau se fait donc sans que la chambre principale ne soit percée et s'effectue par des orifices d'évacuation ou des rainures afin que l'âme du profil ne soit en aucune manière en contact avec l'eau d'infiltration ou de condensation.</w:t>
      </w:r>
    </w:p>
    <w:p w14:paraId="569DCC53" w14:textId="77777777" w:rsidR="00772179" w:rsidRDefault="00000000">
      <w:pPr>
        <w:pStyle w:val="Author-eListParagraph"/>
        <w:numPr>
          <w:ilvl w:val="0"/>
          <w:numId w:val="367"/>
        </w:numPr>
      </w:pPr>
      <w:r>
        <w:t>Les dormants de même que les vantaux sont drainés par au moins deux rainures par vantail et par cadre. Cadre et vantail : écartement ≤ 60 cm du côté de la feuillure du vitrage et ≤ 130 cm dans le bas du profil.</w:t>
      </w:r>
    </w:p>
    <w:p w14:paraId="7EB45DBF" w14:textId="77777777" w:rsidR="00772179" w:rsidRDefault="00000000">
      <w:pPr>
        <w:pStyle w:val="Author-eListParagraph"/>
        <w:numPr>
          <w:ilvl w:val="0"/>
          <w:numId w:val="367"/>
        </w:numPr>
      </w:pPr>
      <w:r>
        <w:t>Les traverses inférieures sont pourvues d'une chambre d'évacuation de l'eau qui contient suffisamment de trous d'écoulement de façon à empêcher toute infiltration d'eau vers l'intérieur. Au moins 2 ouvertures sont prévues. La distance entre ces ouvertures d'évacuation est ≤ 130 cm.</w:t>
      </w:r>
    </w:p>
    <w:p w14:paraId="687D612B" w14:textId="77777777" w:rsidR="00772179" w:rsidRDefault="00000000">
      <w:pPr>
        <w:pStyle w:val="Author-eListParagraph"/>
        <w:numPr>
          <w:ilvl w:val="0"/>
          <w:numId w:val="367"/>
        </w:numPr>
      </w:pPr>
      <w:r>
        <w:t>Les ouvertures d’écoulement sont protégées par un profilé de protection pour empêcher le refoulement de l’eau, au cas où un écoulement vers le bas est impossible. A l'extérieur, les rainures sont recouvertes par un profil de protection.</w:t>
      </w:r>
    </w:p>
    <w:p w14:paraId="2D05A755" w14:textId="77777777" w:rsidR="00772179" w:rsidRDefault="00000000">
      <w:pPr>
        <w:pStyle w:val="Author-eListParagraph"/>
        <w:numPr>
          <w:ilvl w:val="0"/>
          <w:numId w:val="367"/>
        </w:numPr>
      </w:pPr>
      <w:r>
        <w:t>Lorsqu'un vitrage multiple est prévu, la feuillure est pourvue d'un dispositif d'écoulement et de ventilation conformément à la [NIT 221].</w:t>
      </w:r>
    </w:p>
    <w:p w14:paraId="4CF13342" w14:textId="77777777" w:rsidR="00772179" w:rsidRDefault="00000000">
      <w:pPr>
        <w:jc w:val="both"/>
      </w:pPr>
      <w:r>
        <w:rPr>
          <w:b/>
        </w:rPr>
        <w:t>Menuiserie de réemploi hors site :</w:t>
      </w:r>
    </w:p>
    <w:p w14:paraId="5C483A79" w14:textId="77777777" w:rsidR="00772179" w:rsidRDefault="00000000">
      <w:pPr>
        <w:jc w:val="both"/>
      </w:pPr>
      <w:r>
        <w:t>Les profilés sont exempts de griffures ou autres dégradations visuelles. Les soudures des angles ne présentent pas de fissuration. Toute dégradation du film extérieur décoratif (non acceptée par l’auteur de projet) fait l’objet d’un remplacement.</w:t>
      </w:r>
    </w:p>
    <w:p w14:paraId="59F82971" w14:textId="77777777" w:rsidR="00772179" w:rsidRDefault="00000000">
      <w:pPr>
        <w:pStyle w:val="pheading"/>
      </w:pPr>
      <w:r>
        <w:t>EXÉCUTION / MISE EN ŒUVRE</w:t>
      </w:r>
    </w:p>
    <w:p w14:paraId="205ACD10" w14:textId="77777777" w:rsidR="00772179" w:rsidRDefault="00000000">
      <w:pPr>
        <w:jc w:val="both"/>
      </w:pPr>
      <w:r>
        <w:lastRenderedPageBreak/>
        <w:t xml:space="preserve">La fourniture et la pose des portes extérieures neuves répondent aux prescriptions des [NBN B 25-002-2], [NIT 283] et au </w:t>
      </w:r>
      <w:hyperlink w:anchor="904" w:history="1">
        <w:r>
          <w:rPr>
            <w:color w:val="0000EE"/>
          </w:rPr>
          <w:t>41.2 Portes d'entrée</w:t>
        </w:r>
      </w:hyperlink>
      <w:r>
        <w:t>.</w:t>
      </w:r>
    </w:p>
    <w:p w14:paraId="56799FB3" w14:textId="77777777" w:rsidR="00772179" w:rsidRDefault="00000000">
      <w:pPr>
        <w:jc w:val="both"/>
      </w:pPr>
      <w:r>
        <w:t>Toutes les pièces moulées par injection et autres profilés font partie de la gamme des profilés.</w:t>
      </w:r>
    </w:p>
    <w:p w14:paraId="12F07B69" w14:textId="77777777" w:rsidR="00772179" w:rsidRDefault="00000000">
      <w:pPr>
        <w:pStyle w:val="pheading"/>
      </w:pPr>
      <w:r>
        <w:t>CONTRÔLES</w:t>
      </w:r>
    </w:p>
    <w:p w14:paraId="2EBB1568" w14:textId="77777777" w:rsidR="00772179" w:rsidRDefault="00000000">
      <w:pPr>
        <w:jc w:val="both"/>
      </w:pPr>
      <w:r>
        <w:t>Pour les menuiseries de réemploi, les contrôles comprennent les points suivants :</w:t>
      </w:r>
    </w:p>
    <w:p w14:paraId="5A30FB57" w14:textId="77777777" w:rsidR="00772179" w:rsidRDefault="00000000">
      <w:pPr>
        <w:pStyle w:val="Author-eListParagraph"/>
        <w:numPr>
          <w:ilvl w:val="0"/>
          <w:numId w:val="368"/>
        </w:numPr>
        <w:jc w:val="both"/>
      </w:pPr>
      <w:r>
        <w:t>la présence fonctionnelles des drainages de chambres de décompression et de feuillure ;</w:t>
      </w:r>
    </w:p>
    <w:p w14:paraId="24271A2A" w14:textId="77777777" w:rsidR="00772179" w:rsidRDefault="00000000">
      <w:pPr>
        <w:pStyle w:val="Author-eListParagraph"/>
        <w:numPr>
          <w:ilvl w:val="0"/>
          <w:numId w:val="368"/>
        </w:numPr>
        <w:jc w:val="both"/>
      </w:pPr>
      <w:r>
        <w:t>l’absence de fissuration des angles et assemblages ;</w:t>
      </w:r>
    </w:p>
    <w:p w14:paraId="0B2383C5" w14:textId="77777777" w:rsidR="00772179" w:rsidRDefault="00000000">
      <w:pPr>
        <w:pStyle w:val="Author-eListParagraph"/>
        <w:numPr>
          <w:ilvl w:val="0"/>
          <w:numId w:val="368"/>
        </w:numPr>
        <w:jc w:val="both"/>
      </w:pPr>
      <w:r>
        <w:t>la qualité de surface du PVC ;</w:t>
      </w:r>
    </w:p>
    <w:p w14:paraId="6C82CD1E" w14:textId="77777777" w:rsidR="00772179" w:rsidRDefault="00000000">
      <w:pPr>
        <w:pStyle w:val="Author-eListParagraph"/>
        <w:numPr>
          <w:ilvl w:val="0"/>
          <w:numId w:val="368"/>
        </w:numPr>
        <w:jc w:val="both"/>
      </w:pPr>
      <w:r>
        <w:t>la qualité des préformés d’étanchéité ;</w:t>
      </w:r>
    </w:p>
    <w:p w14:paraId="7103ECB5" w14:textId="77777777" w:rsidR="00772179" w:rsidRDefault="00000000">
      <w:pPr>
        <w:pStyle w:val="Author-eListParagraph"/>
        <w:numPr>
          <w:ilvl w:val="0"/>
          <w:numId w:val="368"/>
        </w:numPr>
        <w:jc w:val="both"/>
      </w:pPr>
      <w:r>
        <w:t>la qualité et le réglage des points de fermeture ;</w:t>
      </w:r>
    </w:p>
    <w:p w14:paraId="3E9CE2DA" w14:textId="77777777" w:rsidR="00772179" w:rsidRDefault="00000000">
      <w:pPr>
        <w:pStyle w:val="Author-eListParagraph"/>
        <w:numPr>
          <w:ilvl w:val="0"/>
          <w:numId w:val="368"/>
        </w:numPr>
        <w:jc w:val="both"/>
      </w:pPr>
      <w:r>
        <w:t>la qualité des points de suspension et de la quincaillerie ;</w:t>
      </w:r>
    </w:p>
    <w:p w14:paraId="23B78BDB" w14:textId="77777777" w:rsidR="00772179" w:rsidRDefault="00000000">
      <w:pPr>
        <w:pStyle w:val="Author-eListParagraph"/>
        <w:numPr>
          <w:ilvl w:val="0"/>
          <w:numId w:val="368"/>
        </w:numPr>
        <w:jc w:val="both"/>
      </w:pPr>
      <w:r>
        <w:t>la rectitude des ouvrants (égalité des diagonales).</w:t>
      </w:r>
    </w:p>
    <w:p w14:paraId="537D0F0C" w14:textId="77777777" w:rsidR="00772179" w:rsidRDefault="00000000">
      <w:pPr>
        <w:pStyle w:val="pheading"/>
      </w:pPr>
      <w:r>
        <w:t>DOCUMENTS DE RÉFÉRENCE</w:t>
      </w:r>
    </w:p>
    <w:p w14:paraId="7FB72BED" w14:textId="77777777" w:rsidR="00772179" w:rsidRDefault="00000000">
      <w:pPr>
        <w:pStyle w:val="pheading"/>
      </w:pPr>
      <w:r>
        <w:t>- Matériau</w:t>
      </w:r>
    </w:p>
    <w:p w14:paraId="311D2ADE" w14:textId="77777777" w:rsidR="00772179" w:rsidRDefault="00000000">
      <w:r>
        <w:t>[NBN EN 14351-1:2006+A2, Fenêtres et portes - Norme produit, caractéristiques de performance - Partie 1 : Fenêtres et blocs portes extérieurs pour piétons]</w:t>
      </w:r>
      <w:r>
        <w:br/>
      </w:r>
      <w:r>
        <w:br/>
        <w:t>[NBN EN 514, Plastiques - Profilés à base de poly(chlorure de vinyle) (PVC) - Détermination de la résistance des assemblages soudés en angle et en T]</w:t>
      </w:r>
      <w:r>
        <w:br/>
      </w:r>
      <w:r>
        <w:br/>
        <w:t>[NBN EN 12608-1:2016+A1, Profilés de poly(chlorure de vinyle) non plastifié (PVC-U) pour la fabrication des fenêtres et des portes — Classification, exigences et méthodes d’essai - Partie 1: Profilés en PVC-U non revêtus avec des faces de teinte claire]</w:t>
      </w:r>
      <w:r>
        <w:br/>
      </w:r>
      <w:r>
        <w:br/>
        <w:t>[NBN B 25-002-5, Menuiseries extérieures. Partie 5 : Prescriptions pour les profilés et les châssis en PVC-U]</w:t>
      </w:r>
    </w:p>
    <w:p w14:paraId="47026595" w14:textId="77777777" w:rsidR="00772179" w:rsidRDefault="00000000">
      <w:pPr>
        <w:pStyle w:val="pheading"/>
      </w:pPr>
      <w:r>
        <w:t>- Exécution</w:t>
      </w:r>
    </w:p>
    <w:p w14:paraId="41FFE44A" w14:textId="77777777" w:rsidR="00772179" w:rsidRDefault="00000000">
      <w:r>
        <w:t>[NIT 255, L'étanchéité à l'air des bâtiments]</w:t>
      </w:r>
    </w:p>
    <w:p w14:paraId="10E5B896" w14:textId="77777777" w:rsidR="00772179" w:rsidRDefault="00000000">
      <w:pPr>
        <w:pStyle w:val="Author-eSectionHeading6Numberless"/>
      </w:pPr>
      <w:bookmarkStart w:id="101" w:name="_Toc220489847"/>
      <w:r>
        <w:t>41.27.1a Portes d'entrée en mélange PVC/bois (dans la masse)</w:t>
      </w:r>
      <w:bookmarkEnd w:id="101"/>
    </w:p>
    <w:p w14:paraId="57E713D4" w14:textId="77777777" w:rsidR="00772179" w:rsidRDefault="00000000">
      <w:pPr>
        <w:pStyle w:val="Author-eSectionHeading6Numberless"/>
      </w:pPr>
      <w:bookmarkStart w:id="102" w:name="_Toc220489848"/>
      <w:r>
        <w:t>41.27.1b Portes d'entrée en mélange PVC fibres de verre (dans la masse) CCTB 01.13</w:t>
      </w:r>
      <w:bookmarkEnd w:id="102"/>
    </w:p>
    <w:p w14:paraId="56F094D7" w14:textId="77777777" w:rsidR="00772179" w:rsidRDefault="00000000">
      <w:pPr>
        <w:pStyle w:val="pheading"/>
      </w:pPr>
      <w:r>
        <w:t>DESCRIPTION</w:t>
      </w:r>
    </w:p>
    <w:p w14:paraId="668ADA5D" w14:textId="77777777" w:rsidR="00772179" w:rsidRDefault="00000000">
      <w:pPr>
        <w:pStyle w:val="pheading"/>
      </w:pPr>
      <w:r>
        <w:t>- Définition / Comprend</w:t>
      </w:r>
    </w:p>
    <w:p w14:paraId="77E80EF4" w14:textId="77777777" w:rsidR="00772179" w:rsidRDefault="00000000">
      <w:pPr>
        <w:jc w:val="both"/>
      </w:pPr>
      <w:r>
        <w:t>Il s’agit de la fourniture (hors matériaux récupérés du même site) et de la pose de menuiseries extérieures (Portes) en PVC mixte dont :</w:t>
      </w:r>
    </w:p>
    <w:p w14:paraId="1C92996F" w14:textId="77777777" w:rsidR="00772179" w:rsidRDefault="00000000">
      <w:pPr>
        <w:pStyle w:val="Author-eListParagraph"/>
        <w:numPr>
          <w:ilvl w:val="0"/>
          <w:numId w:val="369"/>
        </w:numPr>
      </w:pPr>
      <w:r>
        <w:t>le profilé de renfort participe à l’isolation du profilé ;</w:t>
      </w:r>
    </w:p>
    <w:p w14:paraId="3F14F54A" w14:textId="77777777" w:rsidR="00772179" w:rsidRDefault="00000000">
      <w:pPr>
        <w:pStyle w:val="Author-eListParagraph"/>
        <w:numPr>
          <w:ilvl w:val="0"/>
          <w:numId w:val="369"/>
        </w:numPr>
      </w:pPr>
      <w:r>
        <w:t>certains profilés sont équipés des renforcements intégrés en fibres de verre.</w:t>
      </w:r>
    </w:p>
    <w:p w14:paraId="2212FA0B" w14:textId="77777777" w:rsidR="00772179" w:rsidRDefault="00000000">
      <w:pPr>
        <w:jc w:val="both"/>
      </w:pPr>
      <w:r>
        <w:t>En principe, les renforts métalliques sont prescrits sauf quand une inertie suffisante n’est pas atteinte avec le renforcement thermique de base. Dans ce cas, le fabricant soumet une note de calcul à l’approbation de la direction des travaux.</w:t>
      </w:r>
    </w:p>
    <w:p w14:paraId="4D0F2986" w14:textId="77777777" w:rsidR="00772179" w:rsidRDefault="00000000">
      <w:pPr>
        <w:jc w:val="both"/>
      </w:pPr>
      <w:r>
        <w:t>Outre les prescriptions énoncées par ailleurs, le travail comprend notamment :</w:t>
      </w:r>
    </w:p>
    <w:p w14:paraId="59B8D5FD" w14:textId="77777777" w:rsidR="00772179" w:rsidRDefault="00000000">
      <w:pPr>
        <w:pStyle w:val="Author-eListParagraph"/>
        <w:numPr>
          <w:ilvl w:val="0"/>
          <w:numId w:val="370"/>
        </w:numPr>
      </w:pPr>
      <w:r>
        <w:t>la pose, resserrage ;</w:t>
      </w:r>
    </w:p>
    <w:p w14:paraId="22F642B9" w14:textId="77777777" w:rsidR="00772179" w:rsidRDefault="00000000">
      <w:pPr>
        <w:pStyle w:val="Author-eListParagraph"/>
        <w:numPr>
          <w:ilvl w:val="0"/>
          <w:numId w:val="370"/>
        </w:numPr>
      </w:pPr>
      <w:r>
        <w:t>la finition et le réglage des menuiseries extérieures    .</w:t>
      </w:r>
    </w:p>
    <w:p w14:paraId="5C6A77B1" w14:textId="77777777" w:rsidR="00772179" w:rsidRDefault="00000000">
      <w:pPr>
        <w:jc w:val="both"/>
      </w:pPr>
      <w:r>
        <w:rPr>
          <w:b/>
        </w:rPr>
        <w:t>Remarques importantes</w:t>
      </w:r>
    </w:p>
    <w:p w14:paraId="7B7E9BE3" w14:textId="77777777" w:rsidR="00772179" w:rsidRDefault="00000000">
      <w:pPr>
        <w:jc w:val="both"/>
      </w:pPr>
      <w:r>
        <w:lastRenderedPageBreak/>
        <w:t>Toutes les portes sont soumises au Règlement Produits de Construction ([Règlement (UE) 305/2011]). Une déclaration d'aptitude à l'utilisation suivant les prescriptions du 02.42.1 Critères d'acceptabilité est imposé à ces produits suivant la [NBN EN 14351-1:2006+A2] afin d'attester qu’ils soient conformes aux spécifications techniques de ce règlement.</w:t>
      </w:r>
    </w:p>
    <w:p w14:paraId="432F4475" w14:textId="77777777" w:rsidR="00772179" w:rsidRDefault="00000000">
      <w:pPr>
        <w:pStyle w:val="pheading"/>
      </w:pPr>
      <w:r>
        <w:t>MATÉRIAUX</w:t>
      </w:r>
    </w:p>
    <w:p w14:paraId="0762130D" w14:textId="77777777" w:rsidR="00772179" w:rsidRDefault="00000000">
      <w:pPr>
        <w:pStyle w:val="pheading"/>
      </w:pPr>
      <w:r>
        <w:t>- Caractéristiques générales</w:t>
      </w:r>
    </w:p>
    <w:p w14:paraId="58818554" w14:textId="77777777" w:rsidR="00772179" w:rsidRDefault="00000000">
      <w:pPr>
        <w:jc w:val="both"/>
      </w:pPr>
      <w:r>
        <w:t>Les portes en PVC renforcées de fibre de verre sont conformes aux prescriptions des [NBN B 25-002-5] et [NBN B 25-002-2].</w:t>
      </w:r>
    </w:p>
    <w:p w14:paraId="7BE4DCC6" w14:textId="77777777" w:rsidR="00772179" w:rsidRDefault="00000000">
      <w:pPr>
        <w:jc w:val="both"/>
      </w:pPr>
      <w:r>
        <w:t>La durabilité des profilés de PVC est établie pour la classe de climat M (climat modéré) suivant les prescriptions de la [NBN EN 12608-1:2016+A1].</w:t>
      </w:r>
    </w:p>
    <w:p w14:paraId="15F6A266" w14:textId="77777777" w:rsidR="00772179" w:rsidRDefault="00000000">
      <w:pPr>
        <w:jc w:val="both"/>
      </w:pPr>
      <w:r>
        <w:t>Le système dispose d’un Agrément Technique avec certification valide ou équivalent.</w:t>
      </w:r>
    </w:p>
    <w:p w14:paraId="31C0F04F" w14:textId="77777777" w:rsidR="00772179" w:rsidRDefault="00000000">
      <w:pPr>
        <w:jc w:val="both"/>
      </w:pPr>
      <w:r>
        <w:rPr>
          <w:b/>
        </w:rPr>
        <w:t>Composition des profils</w:t>
      </w:r>
    </w:p>
    <w:p w14:paraId="51CFC497" w14:textId="77777777" w:rsidR="00772179" w:rsidRDefault="00000000">
      <w:pPr>
        <w:jc w:val="both"/>
      </w:pPr>
      <w:r>
        <w:t xml:space="preserve">Les profilés dormants sont renforcés et isolés par l’intégration d’un profilé de renfort structurel synthétique dans la chambre de renfort. (Jamais dans la chambre de drainage). Cet élément est assemblé aux profilés PVC par enfilage et fixation mécanique au profilé principal à l'aide de vis adaptées. La distance entre ces vis est ≤ </w:t>
      </w:r>
      <w:r>
        <w:rPr>
          <w:rStyle w:val="optioncarChar"/>
        </w:rPr>
        <w:t xml:space="preserve">30 </w:t>
      </w:r>
      <w:r>
        <w:t>(par défaut)</w:t>
      </w:r>
      <w:r>
        <w:rPr>
          <w:rStyle w:val="optioncarChar"/>
        </w:rPr>
        <w:t xml:space="preserve"> / ***</w:t>
      </w:r>
      <w:r>
        <w:t xml:space="preserve"> cm.</w:t>
      </w:r>
    </w:p>
    <w:p w14:paraId="2AB5B00B" w14:textId="77777777" w:rsidR="00772179" w:rsidRDefault="00000000">
      <w:pPr>
        <w:pStyle w:val="Author-eListParagraph"/>
        <w:numPr>
          <w:ilvl w:val="0"/>
          <w:numId w:val="371"/>
        </w:numPr>
      </w:pPr>
      <w:r>
        <w:t xml:space="preserve">Composition : </w:t>
      </w:r>
      <w:r>
        <w:rPr>
          <w:rStyle w:val="optioncarChar"/>
        </w:rPr>
        <w:t xml:space="preserve">mousse PVC rigide </w:t>
      </w:r>
      <w:r>
        <w:t>(par défaut)</w:t>
      </w:r>
      <w:r>
        <w:rPr>
          <w:rStyle w:val="optioncarChar"/>
        </w:rPr>
        <w:t xml:space="preserve"> / ***</w:t>
      </w:r>
      <w:r>
        <w:t>.</w:t>
      </w:r>
    </w:p>
    <w:p w14:paraId="172F7203" w14:textId="77777777" w:rsidR="00772179" w:rsidRDefault="00000000">
      <w:pPr>
        <w:pStyle w:val="Author-eListParagraph"/>
        <w:numPr>
          <w:ilvl w:val="0"/>
          <w:numId w:val="371"/>
        </w:numPr>
      </w:pPr>
      <w:r>
        <w:t xml:space="preserve">Densité : ≥ à </w:t>
      </w:r>
      <w:r>
        <w:rPr>
          <w:rStyle w:val="optioncarChar"/>
        </w:rPr>
        <w:t xml:space="preserve">350 </w:t>
      </w:r>
      <w:r>
        <w:t>(par défaut)</w:t>
      </w:r>
      <w:r>
        <w:rPr>
          <w:rStyle w:val="optioncarChar"/>
        </w:rPr>
        <w:t xml:space="preserve"> / *** </w:t>
      </w:r>
      <w:r>
        <w:t>kg/m³.</w:t>
      </w:r>
    </w:p>
    <w:p w14:paraId="123592AB" w14:textId="77777777" w:rsidR="00772179" w:rsidRDefault="00000000">
      <w:pPr>
        <w:jc w:val="both"/>
      </w:pPr>
      <w:r>
        <w:t>Les profilés ouvrants sont renforcés à l’aide de rubans de fibres de verre structurelles incorporées dans les profilés directement lors de l’extrusion. Les fibres de verre sont liées dans une matrice thermoplastique adhésive qui est appliquée au préalable. Après extrusion le matériau composite est totalement enrobé de PVC rigides afin de le protéger de l'humidité et d'optimaliser son adhérence.</w:t>
      </w:r>
    </w:p>
    <w:p w14:paraId="2C4858BA" w14:textId="77777777" w:rsidR="00772179" w:rsidRDefault="00000000">
      <w:pPr>
        <w:jc w:val="both"/>
      </w:pPr>
      <w:r>
        <w:rPr>
          <w:b/>
        </w:rPr>
        <w:t>Forme et dimensions des profils</w:t>
      </w:r>
    </w:p>
    <w:p w14:paraId="6E80B0A8" w14:textId="77777777" w:rsidR="00772179" w:rsidRDefault="00000000">
      <w:pPr>
        <w:jc w:val="both"/>
      </w:pPr>
      <w: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w:t>
      </w:r>
    </w:p>
    <w:p w14:paraId="5A061C1C" w14:textId="77777777" w:rsidR="00772179" w:rsidRDefault="00000000">
      <w:pPr>
        <w:pStyle w:val="Author-eListParagraph"/>
        <w:numPr>
          <w:ilvl w:val="0"/>
          <w:numId w:val="372"/>
        </w:numPr>
      </w:pPr>
      <w:r>
        <w:t xml:space="preserve">Hauteur du profil : ≥ </w:t>
      </w:r>
      <w:r>
        <w:rPr>
          <w:rStyle w:val="optioncarChar"/>
        </w:rPr>
        <w:t xml:space="preserve">69 </w:t>
      </w:r>
      <w:r>
        <w:t xml:space="preserve">(par défaut) </w:t>
      </w:r>
      <w:r>
        <w:rPr>
          <w:rStyle w:val="optioncarChar"/>
        </w:rPr>
        <w:t>/ ***</w:t>
      </w:r>
      <w:r>
        <w:t xml:space="preserve"> mm.</w:t>
      </w:r>
    </w:p>
    <w:p w14:paraId="37713A69" w14:textId="77777777" w:rsidR="00772179" w:rsidRDefault="00000000">
      <w:pPr>
        <w:pStyle w:val="Author-eListParagraph"/>
        <w:numPr>
          <w:ilvl w:val="0"/>
          <w:numId w:val="372"/>
        </w:numPr>
      </w:pPr>
      <w:r>
        <w:t xml:space="preserve">Profondeur du profil : ≥ </w:t>
      </w:r>
      <w:r>
        <w:rPr>
          <w:rStyle w:val="optioncarChar"/>
        </w:rPr>
        <w:t xml:space="preserve">76 </w:t>
      </w:r>
      <w:r>
        <w:t xml:space="preserve">(par défaut) </w:t>
      </w:r>
      <w:r>
        <w:rPr>
          <w:rStyle w:val="optioncarChar"/>
        </w:rPr>
        <w:t>/ 84 / ***</w:t>
      </w:r>
      <w:r>
        <w:t xml:space="preserve"> mm.</w:t>
      </w:r>
    </w:p>
    <w:p w14:paraId="0DDA98A0" w14:textId="77777777" w:rsidR="00772179" w:rsidRDefault="00000000">
      <w:pPr>
        <w:pStyle w:val="Author-eListParagraph"/>
        <w:numPr>
          <w:ilvl w:val="0"/>
          <w:numId w:val="372"/>
        </w:numPr>
      </w:pPr>
      <w:r>
        <w:t xml:space="preserve">Epaisseur des parois extérieures des profilés de résistance : ≥ à </w:t>
      </w:r>
      <w:r>
        <w:rPr>
          <w:rStyle w:val="optioncarChar"/>
        </w:rPr>
        <w:t xml:space="preserve">2,5 </w:t>
      </w:r>
      <w:r>
        <w:t>(par défaut)</w:t>
      </w:r>
      <w:r>
        <w:rPr>
          <w:rStyle w:val="optioncarChar"/>
        </w:rPr>
        <w:t xml:space="preserve"> / ***</w:t>
      </w:r>
      <w:r>
        <w:t xml:space="preserve"> mm.</w:t>
      </w:r>
    </w:p>
    <w:p w14:paraId="161DFABC" w14:textId="77777777" w:rsidR="00772179" w:rsidRDefault="00000000">
      <w:pPr>
        <w:pStyle w:val="Author-eListParagraph"/>
        <w:numPr>
          <w:ilvl w:val="0"/>
          <w:numId w:val="372"/>
        </w:numPr>
      </w:pPr>
      <w:r>
        <w:t xml:space="preserve">Type de frappe : </w:t>
      </w:r>
      <w:r>
        <w:rPr>
          <w:rStyle w:val="optioncarChar"/>
        </w:rPr>
        <w:t xml:space="preserve">double avec joint central </w:t>
      </w:r>
      <w:r>
        <w:t>(par défaut)</w:t>
      </w:r>
      <w:r>
        <w:rPr>
          <w:rStyle w:val="optioncarChar"/>
        </w:rPr>
        <w:t xml:space="preserve"> / ***</w:t>
      </w:r>
      <w:r>
        <w:t>.</w:t>
      </w:r>
    </w:p>
    <w:p w14:paraId="1728B226" w14:textId="77777777" w:rsidR="00772179" w:rsidRDefault="00000000">
      <w:pPr>
        <w:pStyle w:val="Author-eListParagraph"/>
        <w:numPr>
          <w:ilvl w:val="0"/>
          <w:numId w:val="372"/>
        </w:numPr>
      </w:pPr>
      <w:r>
        <w:t xml:space="preserve">Etanchéité à l’air et à l’eau des parties ouvrantes : </w:t>
      </w:r>
      <w:r>
        <w:rPr>
          <w:rStyle w:val="optioncarChar"/>
        </w:rPr>
        <w:t xml:space="preserve">double </w:t>
      </w:r>
      <w:r>
        <w:t>(par défaut)</w:t>
      </w:r>
      <w:r>
        <w:rPr>
          <w:rStyle w:val="optioncarChar"/>
        </w:rPr>
        <w:t xml:space="preserve"> / ***</w:t>
      </w:r>
      <w:r>
        <w:t>.</w:t>
      </w:r>
    </w:p>
    <w:p w14:paraId="0F4729F5" w14:textId="77777777" w:rsidR="00772179" w:rsidRDefault="00000000">
      <w:pPr>
        <w:jc w:val="both"/>
      </w:pPr>
      <w:r>
        <w:rPr>
          <w:b/>
        </w:rPr>
        <w:t>Performances</w:t>
      </w:r>
    </w:p>
    <w:p w14:paraId="382160CA" w14:textId="77777777" w:rsidR="00772179" w:rsidRDefault="00000000">
      <w:pPr>
        <w:pStyle w:val="Author-eListParagraph"/>
        <w:numPr>
          <w:ilvl w:val="0"/>
          <w:numId w:val="373"/>
        </w:numPr>
      </w:pPr>
      <w:r>
        <w:t xml:space="preserve"> Performances thermiques de la porte calculée suivant [NBN EN 12412-2] ou [NBN EN ISO 10077-2] : valeur Uw : </w:t>
      </w:r>
      <w:r>
        <w:rPr>
          <w:rStyle w:val="optioncarChar"/>
        </w:rPr>
        <w:t xml:space="preserve">conforme aux résultats de l’étude PEB </w:t>
      </w:r>
      <w:r>
        <w:t>(par défaut)</w:t>
      </w:r>
      <w:r>
        <w:rPr>
          <w:rStyle w:val="optioncarChar"/>
        </w:rPr>
        <w:t xml:space="preserve"> / ≤ à 1,00 (triple vitrage) / ≤ à 1,50 / ***</w:t>
      </w:r>
      <w:r>
        <w:t xml:space="preserve"> W/m²K  </w:t>
      </w:r>
    </w:p>
    <w:p w14:paraId="738AF57A" w14:textId="77777777" w:rsidR="00772179" w:rsidRDefault="00000000">
      <w:pPr>
        <w:pStyle w:val="Author-eListParagraph"/>
        <w:numPr>
          <w:ilvl w:val="0"/>
          <w:numId w:val="373"/>
        </w:numPr>
      </w:pPr>
      <w:r>
        <w:t xml:space="preserve">Remplissage : voir descriptif au chapitre </w:t>
      </w:r>
      <w:hyperlink w:anchor="852" w:history="1">
        <w:r>
          <w:rPr>
            <w:color w:val="0000EE"/>
          </w:rPr>
          <w:t>42 Vitrages extérieurs et éléments de remplissage</w:t>
        </w:r>
      </w:hyperlink>
      <w:r>
        <w:t>.  </w:t>
      </w:r>
    </w:p>
    <w:p w14:paraId="34F85031" w14:textId="77777777" w:rsidR="00772179" w:rsidRDefault="00000000">
      <w:pPr>
        <w:pStyle w:val="Author-eListParagraph"/>
        <w:numPr>
          <w:ilvl w:val="0"/>
          <w:numId w:val="373"/>
        </w:numPr>
      </w:pPr>
      <w:r>
        <w:t xml:space="preserve">Etanchéité à l’air : classe </w:t>
      </w:r>
      <w:r>
        <w:rPr>
          <w:rStyle w:val="optioncarChar"/>
        </w:rPr>
        <w:t xml:space="preserve">4 </w:t>
      </w:r>
      <w:r>
        <w:t>(par défaut)</w:t>
      </w:r>
      <w:r>
        <w:rPr>
          <w:rStyle w:val="optioncarChar"/>
        </w:rPr>
        <w:t xml:space="preserve"> / ***</w:t>
      </w:r>
    </w:p>
    <w:p w14:paraId="35293FD8" w14:textId="77777777" w:rsidR="00772179" w:rsidRDefault="00000000">
      <w:pPr>
        <w:pStyle w:val="Author-eListParagraph"/>
        <w:numPr>
          <w:ilvl w:val="0"/>
          <w:numId w:val="373"/>
        </w:numPr>
      </w:pPr>
      <w:r>
        <w:t xml:space="preserve">Etanchéité à l’eau : classe </w:t>
      </w:r>
      <w:r>
        <w:rPr>
          <w:rStyle w:val="optioncarChar"/>
        </w:rPr>
        <w:t>6A</w:t>
      </w:r>
      <w:r>
        <w:t xml:space="preserve"> (par défaut)</w:t>
      </w:r>
      <w:r>
        <w:rPr>
          <w:rStyle w:val="optioncarChar"/>
        </w:rPr>
        <w:t xml:space="preserve"> / ***</w:t>
      </w:r>
    </w:p>
    <w:p w14:paraId="0A83055B" w14:textId="77777777" w:rsidR="00772179" w:rsidRDefault="00000000">
      <w:pPr>
        <w:pStyle w:val="Author-eListParagraph"/>
        <w:numPr>
          <w:ilvl w:val="0"/>
          <w:numId w:val="373"/>
        </w:numPr>
      </w:pPr>
      <w:r>
        <w:t xml:space="preserve">Résistance au Vent : classe </w:t>
      </w:r>
      <w:r>
        <w:rPr>
          <w:rStyle w:val="optioncarChar"/>
        </w:rPr>
        <w:t xml:space="preserve">C3 </w:t>
      </w:r>
      <w:r>
        <w:t>(par défaut)</w:t>
      </w:r>
      <w:r>
        <w:rPr>
          <w:rStyle w:val="optioncarChar"/>
        </w:rPr>
        <w:t xml:space="preserve"> / ***</w:t>
      </w:r>
    </w:p>
    <w:p w14:paraId="5F713D43" w14:textId="77777777" w:rsidR="00772179" w:rsidRDefault="00000000">
      <w:pPr>
        <w:pStyle w:val="Author-eListParagraph"/>
        <w:numPr>
          <w:ilvl w:val="0"/>
          <w:numId w:val="373"/>
        </w:numPr>
      </w:pPr>
      <w:r>
        <w:t xml:space="preserve">D’effort de manœuvre : classe </w:t>
      </w:r>
      <w:r>
        <w:rPr>
          <w:rStyle w:val="optioncarChar"/>
        </w:rPr>
        <w:t>1</w:t>
      </w:r>
      <w:r>
        <w:t xml:space="preserve"> (par défaut)</w:t>
      </w:r>
      <w:r>
        <w:rPr>
          <w:rStyle w:val="optioncarChar"/>
        </w:rPr>
        <w:t xml:space="preserve"> / 2 (PMR) / ***</w:t>
      </w:r>
    </w:p>
    <w:p w14:paraId="16481EF1" w14:textId="77777777" w:rsidR="00772179" w:rsidRDefault="00000000">
      <w:pPr>
        <w:pStyle w:val="Author-eListParagraph"/>
        <w:numPr>
          <w:ilvl w:val="0"/>
          <w:numId w:val="373"/>
        </w:numPr>
      </w:pPr>
      <w:r>
        <w:t xml:space="preserve">Abus d’utilisation : classe </w:t>
      </w:r>
      <w:r>
        <w:rPr>
          <w:rStyle w:val="optioncarChar"/>
        </w:rPr>
        <w:t xml:space="preserve">3 </w:t>
      </w:r>
      <w:r>
        <w:t xml:space="preserve">(par défaut) </w:t>
      </w:r>
      <w:r>
        <w:rPr>
          <w:rStyle w:val="optioncarChar"/>
        </w:rPr>
        <w:t>/ 4 (écoles, bâtiments publics) / ***</w:t>
      </w:r>
    </w:p>
    <w:p w14:paraId="67D7B0BB" w14:textId="77777777" w:rsidR="00772179" w:rsidRDefault="00000000">
      <w:pPr>
        <w:pStyle w:val="Author-eListParagraph"/>
        <w:numPr>
          <w:ilvl w:val="0"/>
          <w:numId w:val="373"/>
        </w:numPr>
      </w:pPr>
      <w:r>
        <w:t xml:space="preserve">Performances acoustiques D Atr : </w:t>
      </w:r>
      <w:r>
        <w:rPr>
          <w:rStyle w:val="optioncarChar"/>
        </w:rPr>
        <w:t>non spécifié</w:t>
      </w:r>
      <w:r>
        <w:t xml:space="preserve"> (par défaut)</w:t>
      </w:r>
      <w:r>
        <w:rPr>
          <w:rStyle w:val="optioncarChar"/>
        </w:rPr>
        <w:t xml:space="preserve"> / ≥ 39 / ≥ 42 / ≥ 52 / *** </w:t>
      </w:r>
      <w:r>
        <w:t>dB suivant [NBN S 01-400-1] (bâtiments) &amp; [NBN S 01-400-2] (écoles).</w:t>
      </w:r>
    </w:p>
    <w:p w14:paraId="58A3E414" w14:textId="77777777" w:rsidR="00772179" w:rsidRDefault="00000000">
      <w:pPr>
        <w:pStyle w:val="Author-eListParagraph"/>
        <w:numPr>
          <w:ilvl w:val="0"/>
          <w:numId w:val="373"/>
        </w:numPr>
      </w:pPr>
      <w:r>
        <w:t xml:space="preserve">Résistance à l’effraction : classe </w:t>
      </w:r>
      <w:r>
        <w:rPr>
          <w:rStyle w:val="optioncarChar"/>
        </w:rPr>
        <w:t xml:space="preserve">2 (résistance à l’effraction de base) </w:t>
      </w:r>
      <w:r>
        <w:t>(par défaut)</w:t>
      </w:r>
      <w:r>
        <w:rPr>
          <w:rStyle w:val="optioncarChar"/>
        </w:rPr>
        <w:t xml:space="preserve"> / 1 (sans performance particulière) / 3 / 4 / 5 / ***</w:t>
      </w:r>
    </w:p>
    <w:p w14:paraId="2271AD8E" w14:textId="77777777" w:rsidR="00772179" w:rsidRDefault="00000000">
      <w:pPr>
        <w:pStyle w:val="Author-eListParagraph"/>
        <w:numPr>
          <w:ilvl w:val="0"/>
          <w:numId w:val="373"/>
        </w:numPr>
      </w:pPr>
      <w:r>
        <w:t xml:space="preserve">Résistance à l’explosion : </w:t>
      </w:r>
      <w:r>
        <w:rPr>
          <w:rStyle w:val="optioncarChar"/>
        </w:rPr>
        <w:t xml:space="preserve">non spécifié </w:t>
      </w:r>
      <w:r>
        <w:t>(par défaut)</w:t>
      </w:r>
      <w:r>
        <w:rPr>
          <w:rStyle w:val="optioncarChar"/>
        </w:rPr>
        <w:t> / ***</w:t>
      </w:r>
    </w:p>
    <w:p w14:paraId="7E1BF5B3" w14:textId="77777777" w:rsidR="00772179" w:rsidRDefault="00000000">
      <w:pPr>
        <w:pStyle w:val="Author-eListParagraph"/>
        <w:numPr>
          <w:ilvl w:val="0"/>
          <w:numId w:val="373"/>
        </w:numPr>
      </w:pPr>
      <w:r>
        <w:t xml:space="preserve">Résistance aux balles :  </w:t>
      </w:r>
      <w:r>
        <w:rPr>
          <w:rStyle w:val="optioncarChar"/>
        </w:rPr>
        <w:t xml:space="preserve">non spécifié </w:t>
      </w:r>
      <w:r>
        <w:t>(par défaut)</w:t>
      </w:r>
      <w:r>
        <w:rPr>
          <w:rStyle w:val="optioncarChar"/>
        </w:rPr>
        <w:t> / ***</w:t>
      </w:r>
    </w:p>
    <w:p w14:paraId="11ADE16C" w14:textId="77777777" w:rsidR="00772179" w:rsidRDefault="00000000">
      <w:pPr>
        <w:pStyle w:val="Author-eListParagraph"/>
        <w:numPr>
          <w:ilvl w:val="0"/>
          <w:numId w:val="373"/>
        </w:numPr>
      </w:pPr>
      <w:r>
        <w:t xml:space="preserve">Résistance et réaction au feu : </w:t>
      </w:r>
      <w:r>
        <w:rPr>
          <w:rStyle w:val="optioncarChar"/>
        </w:rPr>
        <w:t xml:space="preserve">non spécifié </w:t>
      </w:r>
      <w:r>
        <w:t>(par défaut)</w:t>
      </w:r>
      <w:r>
        <w:rPr>
          <w:rStyle w:val="optioncarChar"/>
        </w:rPr>
        <w:t> / ***</w:t>
      </w:r>
    </w:p>
    <w:p w14:paraId="56AD966B" w14:textId="77777777" w:rsidR="00772179" w:rsidRDefault="00000000">
      <w:pPr>
        <w:pStyle w:val="Author-eListParagraph"/>
        <w:numPr>
          <w:ilvl w:val="0"/>
          <w:numId w:val="373"/>
        </w:numPr>
      </w:pPr>
      <w:r>
        <w:lastRenderedPageBreak/>
        <w:t xml:space="preserve">Résistance aux chocs : classe </w:t>
      </w:r>
      <w:r>
        <w:rPr>
          <w:rStyle w:val="optioncarChar"/>
        </w:rPr>
        <w:t>2</w:t>
      </w:r>
      <w:r>
        <w:t xml:space="preserve"> (par défaut) </w:t>
      </w:r>
      <w:r>
        <w:rPr>
          <w:rStyle w:val="optioncarChar"/>
        </w:rPr>
        <w:t>/ ***</w:t>
      </w:r>
    </w:p>
    <w:p w14:paraId="5C706AD3" w14:textId="77777777" w:rsidR="00772179" w:rsidRDefault="00000000">
      <w:pPr>
        <w:jc w:val="both"/>
      </w:pPr>
      <w:r>
        <w:rPr>
          <w:b/>
        </w:rPr>
        <w:t>Assemblages</w:t>
      </w:r>
    </w:p>
    <w:p w14:paraId="5FBF0654" w14:textId="77777777" w:rsidR="00772179" w:rsidRDefault="00000000">
      <w:pPr>
        <w:jc w:val="both"/>
      </w:pPr>
      <w:r>
        <w:t>Pour l'usinage, le traitement et la mise en place des profils préformés, il est toujours tenu compte des prescriptions du fournisseur du système.</w:t>
      </w:r>
    </w:p>
    <w:p w14:paraId="3E62B103" w14:textId="77777777" w:rsidR="00772179" w:rsidRDefault="00000000">
      <w:pPr>
        <w:jc w:val="both"/>
      </w:pPr>
      <w:r>
        <w:t>Tous les assemblages sont réalisés à l'aide d'accessoires standard provenant du même fabricant que les profils et totalement adaptés aux assemblages.</w:t>
      </w:r>
    </w:p>
    <w:p w14:paraId="6B2D9A87" w14:textId="77777777" w:rsidR="00772179" w:rsidRDefault="00000000">
      <w:pPr>
        <w:jc w:val="both"/>
      </w:pPr>
      <w:r>
        <w:t>Les profils sont coupés et ébarbés. </w:t>
      </w:r>
    </w:p>
    <w:p w14:paraId="4F8E1019" w14:textId="77777777" w:rsidR="00772179" w:rsidRDefault="00000000">
      <w:pPr>
        <w:jc w:val="both"/>
      </w:pPr>
      <w:r>
        <w:t>Les assemblages sont fraisés et ajustés de manière à respecter la forme des profils transversaux.</w:t>
      </w:r>
    </w:p>
    <w:p w14:paraId="180C6E05" w14:textId="77777777" w:rsidR="00772179" w:rsidRDefault="00000000">
      <w:pPr>
        <w:jc w:val="both"/>
      </w:pPr>
      <w:r>
        <w:t>Les assemblages d’angle des profilés en PVC répondent aux exigences des normes [NBN EN 12608-1:2016+A1] suivant les essais de la norme [NBN EN 514]. Les soudures des assemblages d’angle sont ébavurées et égalisées sur tout leur longueur. Les surépaisseurs éventuelles sont ≤ 0.6 mm par rapport aux surfaces adjacentes après la finition.  En cas de finition par rainurage, la profondeur de la rainure est ≤ 0.3 mm.</w:t>
      </w:r>
    </w:p>
    <w:p w14:paraId="2FE56E9D" w14:textId="77777777" w:rsidR="00772179" w:rsidRDefault="00000000">
      <w:pPr>
        <w:jc w:val="both"/>
      </w:pPr>
      <w:r>
        <w:t>Les assemblages en T sont vérifiés suivant la procédure décrite dans la [NBN B 25-002-5]. </w:t>
      </w:r>
    </w:p>
    <w:p w14:paraId="0FD14ABD" w14:textId="77777777" w:rsidR="00772179" w:rsidRDefault="00000000">
      <w:pPr>
        <w:jc w:val="both"/>
      </w:pPr>
      <w:r>
        <w:rPr>
          <w:b/>
        </w:rPr>
        <w:t>Types de portes</w:t>
      </w:r>
    </w:p>
    <w:p w14:paraId="6B2CF5FF" w14:textId="77777777" w:rsidR="00772179" w:rsidRDefault="00000000">
      <w:pPr>
        <w:jc w:val="both"/>
      </w:pPr>
      <w:r>
        <w:t>Les dimensions sont données dans le métré détaillé.</w:t>
      </w:r>
    </w:p>
    <w:p w14:paraId="36E62076" w14:textId="77777777" w:rsidR="00772179" w:rsidRDefault="00000000">
      <w:pPr>
        <w:jc w:val="both"/>
      </w:pPr>
      <w:r>
        <w:rPr>
          <w:u w:val="single"/>
        </w:rPr>
        <w:t>Porte simple :</w:t>
      </w:r>
    </w:p>
    <w:p w14:paraId="35782D34"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triples – Gaz (cfr </w:t>
      </w:r>
      <w:hyperlink w:anchor="879" w:history="1">
        <w:r>
          <w:rPr>
            <w:rStyle w:val="optioncarChar"/>
            <w:color w:val="0000EE"/>
          </w:rPr>
          <w:t>42.22.2a Vitrages triples - Gaz</w:t>
        </w:r>
      </w:hyperlink>
      <w:r>
        <w:rPr>
          <w:rStyle w:val="optioncarChar"/>
        </w:rPr>
        <w:t xml:space="preserve">)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t>.</w:t>
      </w:r>
    </w:p>
    <w:p w14:paraId="5E6AF1AA" w14:textId="77777777" w:rsidR="00772179" w:rsidRDefault="00000000">
      <w:pPr>
        <w:jc w:val="both"/>
      </w:pPr>
      <w:r>
        <w:t>Quincailleries : </w:t>
      </w:r>
      <w:r>
        <w:rPr>
          <w:rStyle w:val="optioncarChar"/>
        </w:rPr>
        <w:t>conformes à la documentation technique du produit </w:t>
      </w:r>
      <w:r>
        <w:t>(par défaut)</w:t>
      </w:r>
      <w:r>
        <w:rPr>
          <w:rStyle w:val="optioncarChar"/>
        </w:rPr>
        <w:t> / ***</w:t>
      </w:r>
      <w:r>
        <w:t>.</w:t>
      </w:r>
    </w:p>
    <w:p w14:paraId="47C5F56D" w14:textId="77777777" w:rsidR="00772179" w:rsidRDefault="00000000">
      <w:pPr>
        <w:pStyle w:val="Author-eListParagraph"/>
        <w:numPr>
          <w:ilvl w:val="0"/>
          <w:numId w:val="374"/>
        </w:numPr>
      </w:pPr>
      <w:r>
        <w:t xml:space="preserve">Cfr. article </w:t>
      </w:r>
      <w:hyperlink w:anchor="881" w:history="1">
        <w:r>
          <w:rPr>
            <w:color w:val="0000EE"/>
          </w:rPr>
          <w:t>41.72.1a Charnières et paumelles</w:t>
        </w:r>
      </w:hyperlink>
    </w:p>
    <w:p w14:paraId="10653B4E" w14:textId="77777777" w:rsidR="00772179" w:rsidRDefault="00000000">
      <w:pPr>
        <w:pStyle w:val="Author-eListParagraph"/>
        <w:numPr>
          <w:ilvl w:val="0"/>
          <w:numId w:val="374"/>
        </w:numPr>
      </w:pPr>
      <w:r>
        <w:t>Cfr. article </w:t>
      </w:r>
      <w:hyperlink w:anchor="905" w:history="1">
        <w:r>
          <w:rPr>
            <w:color w:val="0000EE"/>
          </w:rPr>
          <w:t>41.72.2a Serrures</w:t>
        </w:r>
      </w:hyperlink>
    </w:p>
    <w:p w14:paraId="16A0D79C" w14:textId="77777777" w:rsidR="00772179" w:rsidRDefault="00000000">
      <w:pPr>
        <w:pStyle w:val="Author-eListParagraph"/>
        <w:numPr>
          <w:ilvl w:val="0"/>
          <w:numId w:val="374"/>
        </w:numPr>
      </w:pPr>
      <w:r>
        <w:t>Cfr. article </w:t>
      </w:r>
      <w:hyperlink w:anchor="882" w:history="1">
        <w:r>
          <w:rPr>
            <w:color w:val="0000EE"/>
          </w:rPr>
          <w:t>41.72.3a Poignées</w:t>
        </w:r>
      </w:hyperlink>
    </w:p>
    <w:p w14:paraId="337C3EF5" w14:textId="77777777" w:rsidR="00772179" w:rsidRDefault="00000000">
      <w:pPr>
        <w:jc w:val="both"/>
      </w:pPr>
      <w:r>
        <w:rPr>
          <w:u w:val="single"/>
        </w:rPr>
        <w:t>Double porte :</w:t>
      </w:r>
    </w:p>
    <w:p w14:paraId="40881B30"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triples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t>.</w:t>
      </w:r>
    </w:p>
    <w:p w14:paraId="4087E6A4" w14:textId="77777777" w:rsidR="00772179" w:rsidRDefault="00000000">
      <w:pPr>
        <w:jc w:val="both"/>
      </w:pPr>
      <w:r>
        <w:t>Quincailleries : </w:t>
      </w:r>
      <w:r>
        <w:rPr>
          <w:rStyle w:val="optioncarChar"/>
        </w:rPr>
        <w:t>conformes à la documentation technique du produit </w:t>
      </w:r>
      <w:r>
        <w:t>(par défaut)</w:t>
      </w:r>
      <w:r>
        <w:rPr>
          <w:rStyle w:val="optioncarChar"/>
        </w:rPr>
        <w:t> / ***</w:t>
      </w:r>
      <w:r>
        <w:t>.</w:t>
      </w:r>
    </w:p>
    <w:p w14:paraId="38A7F220" w14:textId="77777777" w:rsidR="00772179" w:rsidRDefault="00000000">
      <w:pPr>
        <w:pStyle w:val="Author-eListParagraph"/>
        <w:numPr>
          <w:ilvl w:val="0"/>
          <w:numId w:val="375"/>
        </w:numPr>
      </w:pPr>
      <w:r>
        <w:t>Cfr. article </w:t>
      </w:r>
      <w:hyperlink w:anchor="881" w:history="1">
        <w:r>
          <w:rPr>
            <w:color w:val="0000EE"/>
          </w:rPr>
          <w:t>41.72.1a Charnières et paumelles</w:t>
        </w:r>
      </w:hyperlink>
    </w:p>
    <w:p w14:paraId="1E009995" w14:textId="77777777" w:rsidR="00772179" w:rsidRDefault="00000000">
      <w:pPr>
        <w:pStyle w:val="Author-eListParagraph"/>
        <w:numPr>
          <w:ilvl w:val="0"/>
          <w:numId w:val="375"/>
        </w:numPr>
      </w:pPr>
      <w:r>
        <w:t>Cfr. article </w:t>
      </w:r>
      <w:hyperlink w:anchor="905" w:history="1">
        <w:r>
          <w:rPr>
            <w:color w:val="0000EE"/>
          </w:rPr>
          <w:t>41.72.2a Serrures</w:t>
        </w:r>
      </w:hyperlink>
    </w:p>
    <w:p w14:paraId="1810A872" w14:textId="77777777" w:rsidR="00772179" w:rsidRDefault="00000000">
      <w:pPr>
        <w:pStyle w:val="Author-eListParagraph"/>
        <w:numPr>
          <w:ilvl w:val="0"/>
          <w:numId w:val="375"/>
        </w:numPr>
      </w:pPr>
      <w:r>
        <w:t>Cfr. article </w:t>
      </w:r>
      <w:hyperlink w:anchor="882" w:history="1">
        <w:r>
          <w:rPr>
            <w:color w:val="0000EE"/>
          </w:rPr>
          <w:t>41.72.3a Poignées</w:t>
        </w:r>
      </w:hyperlink>
    </w:p>
    <w:p w14:paraId="521AE38C" w14:textId="77777777" w:rsidR="00772179" w:rsidRDefault="00000000">
      <w:pPr>
        <w:jc w:val="both"/>
      </w:pPr>
      <w:r>
        <w:t>Pour les doubles portes extérieures, un vantail est équipé de deux verrous à bascule en acier inoxydable encastrés. Pour la fermeture supérieure et inférieure, des douilles de fermeture encastrées en acier inoxydable sont prévues.</w:t>
      </w:r>
    </w:p>
    <w:p w14:paraId="6C984C4C" w14:textId="77777777" w:rsidR="00772179" w:rsidRDefault="00000000">
      <w:pPr>
        <w:jc w:val="both"/>
      </w:pPr>
      <w:r>
        <w:rPr>
          <w:u w:val="single"/>
        </w:rPr>
        <w:t>Ensembles de portes composées :</w:t>
      </w:r>
    </w:p>
    <w:p w14:paraId="29B3E2AB" w14:textId="77777777" w:rsidR="00772179" w:rsidRDefault="00000000">
      <w:pPr>
        <w:jc w:val="both"/>
      </w:pPr>
      <w:r>
        <w:t>Remplissage : </w:t>
      </w:r>
      <w:r>
        <w:rPr>
          <w:rStyle w:val="optioncarChar"/>
        </w:rPr>
        <w:t>Vitrages doubles – Gaz (cfr </w:t>
      </w:r>
      <w:hyperlink w:anchor="878" w:history="1">
        <w:r>
          <w:rPr>
            <w:rStyle w:val="optioncarChar"/>
            <w:color w:val="0000EE"/>
          </w:rPr>
          <w:t>42.22.1a Vitrages doubles - Gaz</w:t>
        </w:r>
      </w:hyperlink>
      <w:r>
        <w:rPr>
          <w:rStyle w:val="optioncarChar"/>
        </w:rPr>
        <w:t>) </w:t>
      </w:r>
      <w:r>
        <w:t>(par défaut)</w:t>
      </w:r>
      <w:r>
        <w:rPr>
          <w:rStyle w:val="optioncarChar"/>
        </w:rPr>
        <w:t> / Vitrages triples – Gaz (cfr </w:t>
      </w:r>
      <w:hyperlink w:anchor="879" w:history="1">
        <w:r>
          <w:rPr>
            <w:rStyle w:val="optioncarChar"/>
            <w:color w:val="0000EE"/>
          </w:rPr>
          <w:t>42.22.2a Vitrages triples - Gaz</w:t>
        </w:r>
      </w:hyperlink>
      <w:r>
        <w:rPr>
          <w:rStyle w:val="optioncarChar"/>
        </w:rPr>
        <w:t>) / Eléments de remplissage en panneaux sandwichs métalliques (cfr </w:t>
      </w:r>
      <w:hyperlink w:anchor="880" w:history="1">
        <w:r>
          <w:rPr>
            <w:rStyle w:val="optioncarChar"/>
            <w:color w:val="0000EE"/>
          </w:rPr>
          <w:t>42.34.2a Eléments de remplissage en panneaux sandwichs métalliques</w:t>
        </w:r>
      </w:hyperlink>
      <w:r>
        <w:rPr>
          <w:rStyle w:val="optioncarChar"/>
        </w:rPr>
        <w:t>) / ***</w:t>
      </w:r>
      <w:r>
        <w:t>.</w:t>
      </w:r>
    </w:p>
    <w:p w14:paraId="750B72B0" w14:textId="77777777" w:rsidR="00772179" w:rsidRDefault="00000000">
      <w:pPr>
        <w:jc w:val="both"/>
      </w:pPr>
      <w:r>
        <w:t>Quincailleries : </w:t>
      </w:r>
      <w:r>
        <w:rPr>
          <w:rStyle w:val="optioncarChar"/>
        </w:rPr>
        <w:t>conformes à la documentation technique du produit </w:t>
      </w:r>
      <w:r>
        <w:t>(par défaut)</w:t>
      </w:r>
      <w:r>
        <w:rPr>
          <w:rStyle w:val="optioncarChar"/>
        </w:rPr>
        <w:t> / ***</w:t>
      </w:r>
      <w:r>
        <w:t>.</w:t>
      </w:r>
    </w:p>
    <w:p w14:paraId="533BCF75" w14:textId="77777777" w:rsidR="00772179" w:rsidRDefault="00000000">
      <w:pPr>
        <w:pStyle w:val="Author-eListParagraph"/>
        <w:numPr>
          <w:ilvl w:val="0"/>
          <w:numId w:val="376"/>
        </w:numPr>
      </w:pPr>
      <w:r>
        <w:t>Cfr. article </w:t>
      </w:r>
      <w:hyperlink w:anchor="881" w:history="1">
        <w:r>
          <w:rPr>
            <w:color w:val="0000EE"/>
          </w:rPr>
          <w:t>41.72.1a Charnières et paumelles</w:t>
        </w:r>
      </w:hyperlink>
    </w:p>
    <w:p w14:paraId="3892AFB8" w14:textId="77777777" w:rsidR="00772179" w:rsidRDefault="00000000">
      <w:pPr>
        <w:pStyle w:val="Author-eListParagraph"/>
        <w:numPr>
          <w:ilvl w:val="0"/>
          <w:numId w:val="376"/>
        </w:numPr>
      </w:pPr>
      <w:r>
        <w:t>Cfr. article </w:t>
      </w:r>
      <w:hyperlink w:anchor="905" w:history="1">
        <w:r>
          <w:rPr>
            <w:color w:val="0000EE"/>
          </w:rPr>
          <w:t>41.72.2a Serrures</w:t>
        </w:r>
      </w:hyperlink>
    </w:p>
    <w:p w14:paraId="6E6BF51E" w14:textId="77777777" w:rsidR="00772179" w:rsidRDefault="00000000">
      <w:pPr>
        <w:pStyle w:val="Author-eListParagraph"/>
        <w:numPr>
          <w:ilvl w:val="0"/>
          <w:numId w:val="376"/>
        </w:numPr>
      </w:pPr>
      <w:r>
        <w:t>Cfr. article </w:t>
      </w:r>
      <w:hyperlink w:anchor="882" w:history="1">
        <w:r>
          <w:rPr>
            <w:color w:val="0000EE"/>
          </w:rPr>
          <w:t>41.72.3a Poignées</w:t>
        </w:r>
      </w:hyperlink>
    </w:p>
    <w:p w14:paraId="3EA7607B" w14:textId="77777777" w:rsidR="00772179" w:rsidRDefault="00000000">
      <w:pPr>
        <w:jc w:val="both"/>
      </w:pPr>
      <w:r>
        <w:rPr>
          <w:b/>
        </w:rPr>
        <w:t>Quincaillerie </w:t>
      </w:r>
    </w:p>
    <w:p w14:paraId="362D2DC5" w14:textId="77777777" w:rsidR="00772179" w:rsidRDefault="00000000">
      <w:pPr>
        <w:jc w:val="both"/>
      </w:pPr>
      <w:r>
        <w:lastRenderedPageBreak/>
        <w:t xml:space="preserve">La quincaillerie encastrée est </w:t>
      </w:r>
      <w:r>
        <w:rPr>
          <w:rStyle w:val="optioncarChar"/>
        </w:rPr>
        <w:t xml:space="preserve">galvanisée (≥ 19 µm) </w:t>
      </w:r>
      <w:r>
        <w:t>(par défaut)</w:t>
      </w:r>
      <w:r>
        <w:rPr>
          <w:rStyle w:val="optioncarChar"/>
        </w:rPr>
        <w:t xml:space="preserve"> / chromatée / synthétique / ***</w:t>
      </w:r>
      <w:r>
        <w:t xml:space="preserve"> et les différents constituants qui sont encastrés dans le profilé sont enduits, pendant l’encastrement, d’une épaisse couche de graisse pour roulements à billes. (Voir sous-titre </w:t>
      </w:r>
      <w:hyperlink w:anchor="884" w:history="1">
        <w:r>
          <w:rPr>
            <w:color w:val="0000EE"/>
          </w:rPr>
          <w:t>41.72 Quincailleries</w:t>
        </w:r>
      </w:hyperlink>
      <w:r>
        <w:t>)</w:t>
      </w:r>
    </w:p>
    <w:p w14:paraId="7E41A54C" w14:textId="77777777" w:rsidR="00772179" w:rsidRDefault="00000000">
      <w:pPr>
        <w:jc w:val="both"/>
      </w:pPr>
      <w:r>
        <w:t>La quincaillerie permet d’atteindre les performances définies ci-dessus et est conforme aux descriptions des essais initiaux pour le marquage de la porte.</w:t>
      </w:r>
    </w:p>
    <w:p w14:paraId="376F406F" w14:textId="77777777" w:rsidR="00772179" w:rsidRDefault="00000000">
      <w:pPr>
        <w:jc w:val="both"/>
      </w:pPr>
      <w:r>
        <w:t xml:space="preserve">Les poignées et autres dispositifs d’aide à la manœuvre (notamment PMR) sont définis dans le chapitre </w:t>
      </w:r>
      <w:hyperlink w:anchor="886" w:history="1">
        <w:r>
          <w:rPr>
            <w:color w:val="0000EE"/>
          </w:rPr>
          <w:t>41.72.3 Poignées</w:t>
        </w:r>
      </w:hyperlink>
      <w:r>
        <w:t> </w:t>
      </w:r>
    </w:p>
    <w:p w14:paraId="4207A47C" w14:textId="77777777" w:rsidR="00772179" w:rsidRDefault="00000000">
      <w:pPr>
        <w:jc w:val="both"/>
      </w:pPr>
      <w:r>
        <w:t>En principe, la porte d'entrée (principale) est actionnée avec une poignée à l'intérieur et avec une clé et un tirant à l'extérieur. Les autres portes extérieures sont actionnées à l'aide d'une poignée à l'intérieur et à l'extérieur.</w:t>
      </w:r>
    </w:p>
    <w:p w14:paraId="3A3E11CC" w14:textId="77777777" w:rsidR="00772179" w:rsidRDefault="00000000">
      <w:pPr>
        <w:jc w:val="both"/>
      </w:pPr>
      <w:r>
        <w:t xml:space="preserve">Les vantaux de porte sont équipés d’une serrure </w:t>
      </w:r>
      <w:r>
        <w:rPr>
          <w:rStyle w:val="optioncarChar"/>
        </w:rPr>
        <w:t xml:space="preserve">à cylindre profilé </w:t>
      </w:r>
      <w:r>
        <w:t xml:space="preserve">(par défaut) </w:t>
      </w:r>
      <w:r>
        <w:rPr>
          <w:rStyle w:val="optioncarChar"/>
        </w:rPr>
        <w:t>/ à cylindre de sécurité / électromagnétique / ***</w:t>
      </w:r>
    </w:p>
    <w:p w14:paraId="7A3D9666" w14:textId="77777777" w:rsidR="00772179" w:rsidRDefault="00000000">
      <w:pPr>
        <w:jc w:val="both"/>
      </w:pPr>
      <w:r>
        <w:rPr>
          <w:b/>
        </w:rPr>
        <w:t>(soit par défaut)</w:t>
      </w:r>
    </w:p>
    <w:p w14:paraId="27BFB859" w14:textId="77777777" w:rsidR="00772179" w:rsidRDefault="00000000">
      <w:pPr>
        <w:jc w:val="both"/>
      </w:pPr>
      <w:r>
        <w:rPr>
          <w:rStyle w:val="soitChar"/>
          <w:u w:val="single"/>
        </w:rPr>
        <w:t>A cylindre profilé</w:t>
      </w:r>
      <w:r>
        <w:rPr>
          <w:rStyle w:val="soitChar"/>
        </w:rPr>
        <w:t xml:space="preserve"> en </w:t>
      </w:r>
      <w:r>
        <w:rPr>
          <w:rStyle w:val="optioncarChar"/>
        </w:rPr>
        <w:t xml:space="preserve">inox </w:t>
      </w:r>
      <w:r>
        <w:t>(par défaut)</w:t>
      </w:r>
      <w:r>
        <w:rPr>
          <w:rStyle w:val="optioncarChar"/>
        </w:rPr>
        <w:t xml:space="preserve"> / laiton / ***</w:t>
      </w:r>
      <w:r>
        <w:rPr>
          <w:rStyle w:val="soitChar"/>
        </w:rPr>
        <w:t> avec </w:t>
      </w:r>
      <w:r>
        <w:rPr>
          <w:rStyle w:val="optioncarChar"/>
        </w:rPr>
        <w:t xml:space="preserve">trois </w:t>
      </w:r>
      <w:r>
        <w:t>(par défaut)</w:t>
      </w:r>
      <w:r>
        <w:rPr>
          <w:rStyle w:val="optioncarChar"/>
        </w:rPr>
        <w:t> / quatre / cinq</w:t>
      </w:r>
      <w:r>
        <w:rPr>
          <w:rStyle w:val="soitChar"/>
        </w:rPr>
        <w:t> points de fermeture.</w:t>
      </w:r>
    </w:p>
    <w:p w14:paraId="010FFA63" w14:textId="77777777" w:rsidR="00772179" w:rsidRDefault="00000000">
      <w:pPr>
        <w:jc w:val="both"/>
      </w:pPr>
      <w:r>
        <w:rPr>
          <w:b/>
        </w:rPr>
        <w:t>(soit)</w:t>
      </w:r>
    </w:p>
    <w:p w14:paraId="5D056973" w14:textId="77777777" w:rsidR="00772179" w:rsidRDefault="00000000">
      <w:pPr>
        <w:jc w:val="both"/>
      </w:pPr>
      <w:r>
        <w:rPr>
          <w:rStyle w:val="soitChar"/>
          <w:u w:val="single"/>
        </w:rPr>
        <w:t>A cylindre de sécurité</w:t>
      </w:r>
      <w:r>
        <w:rPr>
          <w:rStyle w:val="soitChar"/>
        </w:rPr>
        <w:t xml:space="preserve"> en </w:t>
      </w:r>
      <w:r>
        <w:rPr>
          <w:rStyle w:val="optioncarChar"/>
        </w:rPr>
        <w:t xml:space="preserve">inox </w:t>
      </w:r>
      <w:r>
        <w:t xml:space="preserve">(par défaut) </w:t>
      </w:r>
      <w:r>
        <w:rPr>
          <w:rStyle w:val="optioncarChar"/>
        </w:rPr>
        <w:t>/ laiton / ***</w:t>
      </w:r>
      <w:r>
        <w:rPr>
          <w:rStyle w:val="soitChar"/>
        </w:rPr>
        <w:t> avec </w:t>
      </w:r>
      <w:r>
        <w:rPr>
          <w:rStyle w:val="optioncarChar"/>
        </w:rPr>
        <w:t>trois</w:t>
      </w:r>
      <w:r>
        <w:t xml:space="preserve"> (par défaut)</w:t>
      </w:r>
      <w:r>
        <w:rPr>
          <w:rStyle w:val="optioncarChar"/>
        </w:rPr>
        <w:t> / quatre / cinq</w:t>
      </w:r>
      <w:r>
        <w:rPr>
          <w:rStyle w:val="soitChar"/>
        </w:rPr>
        <w:t> points de fermeture.</w:t>
      </w:r>
    </w:p>
    <w:p w14:paraId="33AB578A" w14:textId="77777777" w:rsidR="00772179" w:rsidRDefault="00000000">
      <w:pPr>
        <w:jc w:val="both"/>
      </w:pPr>
      <w:r>
        <w:rPr>
          <w:b/>
        </w:rPr>
        <w:t>(soit)</w:t>
      </w:r>
    </w:p>
    <w:p w14:paraId="4F4A2A9D" w14:textId="77777777" w:rsidR="00772179" w:rsidRDefault="00000000">
      <w:pPr>
        <w:jc w:val="both"/>
      </w:pPr>
      <w:r>
        <w:rPr>
          <w:rStyle w:val="soitChar"/>
          <w:u w:val="single"/>
        </w:rPr>
        <w:t>Electromagnétique</w:t>
      </w:r>
      <w:r>
        <w:rPr>
          <w:rStyle w:val="soitChar"/>
        </w:rPr>
        <w:t xml:space="preserve"> - standard lorsqu'un parlophone est prévu. </w:t>
      </w:r>
    </w:p>
    <w:p w14:paraId="6B51AEEF" w14:textId="77777777" w:rsidR="00772179" w:rsidRDefault="00000000">
      <w:pPr>
        <w:jc w:val="both"/>
      </w:pPr>
      <w:r>
        <w:rPr>
          <w:b/>
        </w:rPr>
        <w:t>(soit)</w:t>
      </w:r>
    </w:p>
    <w:p w14:paraId="37B1083A" w14:textId="77777777" w:rsidR="00772179" w:rsidRDefault="00000000">
      <w:pPr>
        <w:jc w:val="both"/>
      </w:pPr>
      <w:r>
        <w:rPr>
          <w:rStyle w:val="optioncarChar"/>
        </w:rPr>
        <w:t>***</w:t>
      </w:r>
    </w:p>
    <w:p w14:paraId="1D956739" w14:textId="77777777" w:rsidR="00772179" w:rsidRDefault="00000000">
      <w:pPr>
        <w:jc w:val="both"/>
      </w:pPr>
      <w:r>
        <w:t xml:space="preserve">Pour la continuité de l’étanchéité à l’air, le profil inférieur du vantail est muni : </w:t>
      </w:r>
      <w:r>
        <w:rPr>
          <w:rStyle w:val="optioncarChar"/>
        </w:rPr>
        <w:t>guillotine à joint </w:t>
      </w:r>
      <w:r>
        <w:t>(par défaut)</w:t>
      </w:r>
      <w:r>
        <w:rPr>
          <w:rStyle w:val="optioncarChar"/>
        </w:rPr>
        <w:t> / guillotine à brosse / brosse / seuil « Suisse » composé d’un profil en aluminium à rupture thermique d’une hauteur ≤ à 20 mm à simple frappe (PMR) / seuil « Suisse » composé d’un profil en aluminium à rupture thermique d’une hauteur ≤ à 35 mm à double frappe (performances passives).</w:t>
      </w:r>
    </w:p>
    <w:p w14:paraId="07A5BA7F" w14:textId="77777777" w:rsidR="00772179" w:rsidRDefault="00000000">
      <w:pPr>
        <w:jc w:val="both"/>
      </w:pPr>
      <w:r>
        <w:rPr>
          <w:b/>
        </w:rPr>
        <w:t>Vitrages et panneaux de remplissage</w:t>
      </w:r>
    </w:p>
    <w:p w14:paraId="7BF043DE" w14:textId="77777777" w:rsidR="00772179" w:rsidRDefault="00000000">
      <w:pPr>
        <w:jc w:val="both"/>
      </w:pPr>
      <w:r>
        <w:t xml:space="preserve">Voir section </w:t>
      </w:r>
      <w:hyperlink w:anchor="852" w:history="1">
        <w:r>
          <w:rPr>
            <w:color w:val="0000EE"/>
          </w:rPr>
          <w:t>42 Vitrages extérieurs et éléments de remplissage</w:t>
        </w:r>
      </w:hyperlink>
      <w:r>
        <w:t>.</w:t>
      </w:r>
    </w:p>
    <w:p w14:paraId="4B68A285" w14:textId="77777777" w:rsidR="00772179" w:rsidRDefault="00000000">
      <w:pPr>
        <w:jc w:val="both"/>
      </w:pPr>
      <w:r>
        <w:rPr>
          <w:b/>
        </w:rPr>
        <w:t>Aspects environnementaux </w:t>
      </w:r>
    </w:p>
    <w:p w14:paraId="082FA05C" w14:textId="77777777" w:rsidR="00772179" w:rsidRDefault="00000000">
      <w:pPr>
        <w:pStyle w:val="Author-eListParagraph"/>
        <w:numPr>
          <w:ilvl w:val="0"/>
          <w:numId w:val="377"/>
        </w:numPr>
        <w:jc w:val="both"/>
      </w:pPr>
      <w:r>
        <w:t xml:space="preserve">Matériaux recyclés entrant dans la fabrication du produit : </w:t>
      </w:r>
      <w:r>
        <w:rPr>
          <w:rStyle w:val="optioncarChar"/>
        </w:rPr>
        <w:t>oui / non  </w:t>
      </w:r>
    </w:p>
    <w:p w14:paraId="2627AD4F" w14:textId="77777777" w:rsidR="00772179" w:rsidRDefault="00000000">
      <w:pPr>
        <w:pStyle w:val="Author-eListParagraph"/>
        <w:numPr>
          <w:ilvl w:val="0"/>
          <w:numId w:val="377"/>
        </w:numPr>
        <w:jc w:val="both"/>
      </w:pPr>
      <w:r>
        <w:t>Le fournisseur des profilés dispose d’une structure industrielle locale pour la collecte et le recyclage des châssis PVC en fin de vie.  Celle-ci dispose d’agréments spécifiques au secteur et donne ainsi la possibilité de réintégrer, après traitement, le matériau recyclé dans le processus standard de production de nouveaux profilés :</w:t>
      </w:r>
      <w:r>
        <w:rPr>
          <w:rStyle w:val="optioncarChar"/>
        </w:rPr>
        <w:t xml:space="preserve"> oui / non </w:t>
      </w:r>
      <w:r>
        <w:t> </w:t>
      </w:r>
    </w:p>
    <w:p w14:paraId="5B3078E7" w14:textId="77777777" w:rsidR="00772179" w:rsidRDefault="00000000">
      <w:pPr>
        <w:pStyle w:val="pheading"/>
      </w:pPr>
      <w:r>
        <w:t>- Finitions</w:t>
      </w:r>
    </w:p>
    <w:p w14:paraId="6D9B2183" w14:textId="77777777" w:rsidR="00772179" w:rsidRDefault="00000000">
      <w:pPr>
        <w:jc w:val="both"/>
      </w:pPr>
      <w:r>
        <w:t>La finition des profils synthétiques est constituée :  </w:t>
      </w:r>
    </w:p>
    <w:p w14:paraId="7361987F" w14:textId="77777777" w:rsidR="00772179" w:rsidRDefault="00000000">
      <w:pPr>
        <w:jc w:val="both"/>
      </w:pPr>
      <w:r>
        <w:rPr>
          <w:b/>
        </w:rPr>
        <w:t>Pour la face intérieure du profil :</w:t>
      </w:r>
      <w:r>
        <w:rPr>
          <w:rStyle w:val="optioncarChar"/>
        </w:rPr>
        <w:t xml:space="preserve"> blanche colorée dans la masse</w:t>
      </w:r>
      <w:r>
        <w:t xml:space="preserve"> (par défaut)</w:t>
      </w:r>
      <w:r>
        <w:rPr>
          <w:rStyle w:val="optioncarChar"/>
        </w:rPr>
        <w:t xml:space="preserve"> / coloration dans la masse de couleur *** / laquage de couleur *** / collage de feuille de couleur ou texture *** / co-extrusion de couleur *** / ***. </w:t>
      </w:r>
    </w:p>
    <w:p w14:paraId="02242E5C" w14:textId="77777777" w:rsidR="00772179" w:rsidRDefault="00000000">
      <w:pPr>
        <w:jc w:val="both"/>
      </w:pPr>
      <w:r>
        <w:rPr>
          <w:b/>
        </w:rPr>
        <w:t>(soit par défaut)</w:t>
      </w:r>
    </w:p>
    <w:p w14:paraId="41133A64" w14:textId="77777777" w:rsidR="00772179" w:rsidRDefault="00000000">
      <w:pPr>
        <w:jc w:val="both"/>
      </w:pPr>
      <w:r>
        <w:rPr>
          <w:rStyle w:val="soitChar"/>
          <w:u w:val="single"/>
        </w:rPr>
        <w:t>Blanche colorée dans la masse :</w:t>
      </w:r>
    </w:p>
    <w:p w14:paraId="19B3E64D" w14:textId="77777777" w:rsidR="00772179" w:rsidRDefault="00000000">
      <w:pPr>
        <w:pStyle w:val="Author-eListParagraph"/>
        <w:numPr>
          <w:ilvl w:val="0"/>
          <w:numId w:val="378"/>
        </w:numPr>
      </w:pPr>
      <w:r>
        <w:rPr>
          <w:rStyle w:val="soitChar"/>
        </w:rPr>
        <w:t>Finition :</w:t>
      </w:r>
      <w:r>
        <w:rPr>
          <w:rStyle w:val="optioncarChar"/>
        </w:rPr>
        <w:t xml:space="preserve"> lisse </w:t>
      </w:r>
      <w:r>
        <w:t>(par défaut)</w:t>
      </w:r>
      <w:r>
        <w:rPr>
          <w:rStyle w:val="optioncarChar"/>
        </w:rPr>
        <w:t xml:space="preserve"> / ***</w:t>
      </w:r>
    </w:p>
    <w:p w14:paraId="2596C588" w14:textId="77777777" w:rsidR="00772179" w:rsidRDefault="00000000">
      <w:pPr>
        <w:pStyle w:val="Author-eListParagraph"/>
        <w:numPr>
          <w:ilvl w:val="0"/>
          <w:numId w:val="378"/>
        </w:numPr>
      </w:pPr>
      <w:r>
        <w:rPr>
          <w:rStyle w:val="soitChar"/>
        </w:rPr>
        <w:t xml:space="preserve">Aspect : </w:t>
      </w:r>
      <w:r>
        <w:rPr>
          <w:rStyle w:val="optioncarChar"/>
        </w:rPr>
        <w:t xml:space="preserve">satiné </w:t>
      </w:r>
      <w:r>
        <w:t xml:space="preserve">(par défaut) </w:t>
      </w:r>
      <w:r>
        <w:rPr>
          <w:rStyle w:val="optioncarChar"/>
        </w:rPr>
        <w:t>/ brillant / ***</w:t>
      </w:r>
    </w:p>
    <w:p w14:paraId="2424B6AB" w14:textId="77777777" w:rsidR="00772179" w:rsidRDefault="00000000">
      <w:pPr>
        <w:jc w:val="both"/>
      </w:pPr>
      <w:r>
        <w:rPr>
          <w:b/>
        </w:rPr>
        <w:t>(soit)</w:t>
      </w:r>
    </w:p>
    <w:p w14:paraId="2F8083CE" w14:textId="77777777" w:rsidR="00772179" w:rsidRDefault="00000000">
      <w:pPr>
        <w:jc w:val="both"/>
      </w:pPr>
      <w:r>
        <w:rPr>
          <w:rStyle w:val="soitChar"/>
          <w:u w:val="single"/>
        </w:rPr>
        <w:lastRenderedPageBreak/>
        <w:t>Coloration dans la masse de couleur (CPm)</w:t>
      </w:r>
      <w:r>
        <w:rPr>
          <w:rStyle w:val="soitChar"/>
        </w:rPr>
        <w:t>. Ce procédé consiste à extruder les profilés avec une composition vinylique pigmentée ou autre dans la masse.</w:t>
      </w:r>
    </w:p>
    <w:p w14:paraId="704D4CD3" w14:textId="77777777" w:rsidR="00772179" w:rsidRDefault="00000000">
      <w:pPr>
        <w:pStyle w:val="Author-eListParagraph"/>
        <w:numPr>
          <w:ilvl w:val="0"/>
          <w:numId w:val="379"/>
        </w:numPr>
      </w:pPr>
      <w:r>
        <w:rPr>
          <w:rStyle w:val="soitChar"/>
        </w:rPr>
        <w:t xml:space="preserve">Couleur : </w:t>
      </w:r>
      <w:r>
        <w:rPr>
          <w:rStyle w:val="optioncarChar"/>
        </w:rPr>
        <w:t xml:space="preserve">à choisir dans la gamme de couleurs standard du fabricant </w:t>
      </w:r>
      <w:r>
        <w:t>(par défaut)</w:t>
      </w:r>
      <w:r>
        <w:rPr>
          <w:rStyle w:val="optioncarChar"/>
        </w:rPr>
        <w:t xml:space="preserve"> / ***</w:t>
      </w:r>
    </w:p>
    <w:p w14:paraId="6089366F" w14:textId="77777777" w:rsidR="00772179" w:rsidRDefault="00000000">
      <w:pPr>
        <w:pStyle w:val="Author-eListParagraph"/>
        <w:numPr>
          <w:ilvl w:val="0"/>
          <w:numId w:val="379"/>
        </w:numPr>
      </w:pPr>
      <w:r>
        <w:rPr>
          <w:rStyle w:val="soitChar"/>
        </w:rPr>
        <w:t xml:space="preserve">Finition : </w:t>
      </w:r>
      <w:r>
        <w:rPr>
          <w:rStyle w:val="optioncarChar"/>
        </w:rPr>
        <w:t xml:space="preserve">lisse </w:t>
      </w:r>
      <w:r>
        <w:t>(par défaut)</w:t>
      </w:r>
      <w:r>
        <w:rPr>
          <w:rStyle w:val="optioncarChar"/>
        </w:rPr>
        <w:t xml:space="preserve"> / ***</w:t>
      </w:r>
    </w:p>
    <w:p w14:paraId="0AFA1CDD" w14:textId="77777777" w:rsidR="00772179" w:rsidRDefault="00000000">
      <w:pPr>
        <w:pStyle w:val="Author-eListParagraph"/>
        <w:numPr>
          <w:ilvl w:val="0"/>
          <w:numId w:val="379"/>
        </w:numPr>
      </w:pPr>
      <w:r>
        <w:rPr>
          <w:rStyle w:val="soitChar"/>
        </w:rPr>
        <w:t xml:space="preserve">Aspect : </w:t>
      </w:r>
      <w:r>
        <w:rPr>
          <w:rStyle w:val="optioncarChar"/>
        </w:rPr>
        <w:t xml:space="preserve">satiné </w:t>
      </w:r>
      <w:r>
        <w:t xml:space="preserve">(par défaut) </w:t>
      </w:r>
      <w:r>
        <w:rPr>
          <w:rStyle w:val="optioncarChar"/>
        </w:rPr>
        <w:t>/ brillant / ***</w:t>
      </w:r>
    </w:p>
    <w:p w14:paraId="38320A46" w14:textId="77777777" w:rsidR="00772179" w:rsidRDefault="00000000">
      <w:pPr>
        <w:jc w:val="both"/>
      </w:pPr>
      <w:r>
        <w:rPr>
          <w:b/>
        </w:rPr>
        <w:t>(soit)</w:t>
      </w:r>
    </w:p>
    <w:p w14:paraId="72C0FDE9" w14:textId="77777777" w:rsidR="00772179" w:rsidRDefault="00000000">
      <w:pPr>
        <w:jc w:val="both"/>
      </w:pPr>
      <w:r>
        <w:rPr>
          <w:rStyle w:val="soitChar"/>
          <w:u w:val="single"/>
        </w:rPr>
        <w:t>Laquage  de couleur (CPp) :</w:t>
      </w:r>
      <w:r>
        <w:rPr>
          <w:rStyle w:val="soitChar"/>
        </w:rPr>
        <w:t xml:space="preserve"> Une ou plusieurs couches de laque sont appliquées sur le profilé. Couleur : </w:t>
      </w:r>
      <w:r>
        <w:rPr>
          <w:rStyle w:val="optioncarChar"/>
        </w:rPr>
        <w:t>***.</w:t>
      </w:r>
    </w:p>
    <w:p w14:paraId="70D9D5B8" w14:textId="77777777" w:rsidR="00772179" w:rsidRDefault="00000000">
      <w:pPr>
        <w:pStyle w:val="Author-eListParagraph"/>
        <w:numPr>
          <w:ilvl w:val="0"/>
          <w:numId w:val="380"/>
        </w:numPr>
      </w:pPr>
      <w:r>
        <w:rPr>
          <w:rStyle w:val="soitChar"/>
        </w:rPr>
        <w:t xml:space="preserve">Couleur : </w:t>
      </w:r>
      <w:r>
        <w:rPr>
          <w:rStyle w:val="optioncarChar"/>
        </w:rPr>
        <w:t xml:space="preserve">à choisir dans la gamme de couleurs standard du fabricant </w:t>
      </w:r>
      <w:r>
        <w:t>(par défaut)</w:t>
      </w:r>
      <w:r>
        <w:rPr>
          <w:rStyle w:val="optioncarChar"/>
        </w:rPr>
        <w:t xml:space="preserve"> / ***</w:t>
      </w:r>
    </w:p>
    <w:p w14:paraId="6FE8DA45" w14:textId="77777777" w:rsidR="00772179" w:rsidRDefault="00000000">
      <w:pPr>
        <w:pStyle w:val="Author-eListParagraph"/>
        <w:numPr>
          <w:ilvl w:val="0"/>
          <w:numId w:val="380"/>
        </w:numPr>
      </w:pPr>
      <w:r>
        <w:rPr>
          <w:rStyle w:val="soitChar"/>
        </w:rPr>
        <w:t xml:space="preserve">Finition : </w:t>
      </w:r>
      <w:r>
        <w:rPr>
          <w:rStyle w:val="optioncarChar"/>
        </w:rPr>
        <w:t>lisse</w:t>
      </w:r>
      <w:r>
        <w:t xml:space="preserve"> (par défaut)</w:t>
      </w:r>
      <w:r>
        <w:rPr>
          <w:rStyle w:val="optioncarChar"/>
        </w:rPr>
        <w:t xml:space="preserve"> / légèrement granuleuse / ***</w:t>
      </w:r>
    </w:p>
    <w:p w14:paraId="530A6E98" w14:textId="77777777" w:rsidR="00772179" w:rsidRDefault="00000000">
      <w:pPr>
        <w:pStyle w:val="Author-eListParagraph"/>
        <w:numPr>
          <w:ilvl w:val="0"/>
          <w:numId w:val="380"/>
        </w:numPr>
      </w:pPr>
      <w:r>
        <w:rPr>
          <w:rStyle w:val="soitChar"/>
        </w:rPr>
        <w:t xml:space="preserve">Aspect : </w:t>
      </w:r>
      <w:r>
        <w:rPr>
          <w:rStyle w:val="optioncarChar"/>
        </w:rPr>
        <w:t xml:space="preserve">satiné </w:t>
      </w:r>
      <w:r>
        <w:t>(par défaut)</w:t>
      </w:r>
      <w:r>
        <w:rPr>
          <w:rStyle w:val="optioncarChar"/>
        </w:rPr>
        <w:t xml:space="preserve"> / brillant / ***</w:t>
      </w:r>
    </w:p>
    <w:p w14:paraId="52419BDA" w14:textId="77777777" w:rsidR="00772179" w:rsidRDefault="00000000">
      <w:pPr>
        <w:jc w:val="both"/>
      </w:pPr>
      <w:r>
        <w:rPr>
          <w:b/>
        </w:rPr>
        <w:t>(soit)</w:t>
      </w:r>
    </w:p>
    <w:p w14:paraId="3A04E3D8" w14:textId="77777777" w:rsidR="00772179" w:rsidRDefault="00000000">
      <w:pPr>
        <w:jc w:val="both"/>
      </w:pPr>
      <w:r>
        <w:rPr>
          <w:rStyle w:val="soitChar"/>
          <w:u w:val="single"/>
        </w:rPr>
        <w:t>Collage de feuille de couleur ou texture (CPf) :</w:t>
      </w:r>
      <w:r>
        <w:rPr>
          <w:rStyle w:val="soitChar"/>
        </w:rPr>
        <w:t xml:space="preserve"> Ce procédé consiste à appliquer un film protecteur et décoratif par collage sur le profilé. Teinte ou texture : ***.</w:t>
      </w:r>
    </w:p>
    <w:p w14:paraId="68A5B3A7" w14:textId="77777777" w:rsidR="00772179" w:rsidRDefault="00000000">
      <w:pPr>
        <w:pStyle w:val="Author-eListParagraph"/>
        <w:numPr>
          <w:ilvl w:val="0"/>
          <w:numId w:val="381"/>
        </w:numPr>
      </w:pPr>
      <w:r>
        <w:rPr>
          <w:rStyle w:val="soitChar"/>
        </w:rPr>
        <w:t xml:space="preserve">Couleur : </w:t>
      </w:r>
      <w:r>
        <w:rPr>
          <w:rStyle w:val="optioncarChar"/>
        </w:rPr>
        <w:t xml:space="preserve">à choisir dans la gamme de couleurs standard du fabricant </w:t>
      </w:r>
      <w:r>
        <w:t>(par défaut)</w:t>
      </w:r>
      <w:r>
        <w:rPr>
          <w:rStyle w:val="optioncarChar"/>
        </w:rPr>
        <w:t xml:space="preserve"> / ***</w:t>
      </w:r>
    </w:p>
    <w:p w14:paraId="37E9F3DF" w14:textId="77777777" w:rsidR="00772179" w:rsidRDefault="00000000">
      <w:pPr>
        <w:pStyle w:val="Author-eListParagraph"/>
        <w:numPr>
          <w:ilvl w:val="0"/>
          <w:numId w:val="381"/>
        </w:numPr>
      </w:pPr>
      <w:r>
        <w:rPr>
          <w:rStyle w:val="soitChar"/>
        </w:rPr>
        <w:t>Finition :</w:t>
      </w:r>
      <w:r>
        <w:rPr>
          <w:rStyle w:val="optioncarChar"/>
        </w:rPr>
        <w:t xml:space="preserve"> lisse </w:t>
      </w:r>
      <w:r>
        <w:t xml:space="preserve">(par défaut) </w:t>
      </w:r>
      <w:r>
        <w:rPr>
          <w:rStyle w:val="optioncarChar"/>
        </w:rPr>
        <w:t>/ texturé aspect bois / ***</w:t>
      </w:r>
    </w:p>
    <w:p w14:paraId="253D8290" w14:textId="77777777" w:rsidR="00772179" w:rsidRDefault="00000000">
      <w:pPr>
        <w:pStyle w:val="Author-eListParagraph"/>
        <w:numPr>
          <w:ilvl w:val="0"/>
          <w:numId w:val="381"/>
        </w:numPr>
      </w:pPr>
      <w:r>
        <w:rPr>
          <w:rStyle w:val="soitChar"/>
        </w:rPr>
        <w:t xml:space="preserve">Aspect : </w:t>
      </w:r>
      <w:r>
        <w:rPr>
          <w:rStyle w:val="optioncarChar"/>
        </w:rPr>
        <w:t xml:space="preserve">satiné </w:t>
      </w:r>
      <w:r>
        <w:t xml:space="preserve">(par défaut) </w:t>
      </w:r>
      <w:r>
        <w:rPr>
          <w:rStyle w:val="optioncarChar"/>
        </w:rPr>
        <w:t>/ brillant / ***</w:t>
      </w:r>
    </w:p>
    <w:p w14:paraId="43C68BE7" w14:textId="77777777" w:rsidR="00772179" w:rsidRDefault="00000000">
      <w:pPr>
        <w:jc w:val="both"/>
      </w:pPr>
      <w:r>
        <w:rPr>
          <w:b/>
        </w:rPr>
        <w:t>(soit)</w:t>
      </w:r>
    </w:p>
    <w:p w14:paraId="32F20299" w14:textId="77777777" w:rsidR="00772179" w:rsidRDefault="00000000">
      <w:pPr>
        <w:jc w:val="both"/>
      </w:pPr>
      <w:r>
        <w:rPr>
          <w:rStyle w:val="soitChar"/>
          <w:u w:val="single"/>
        </w:rPr>
        <w:t>Coextrusion de couleur (CPc) :</w:t>
      </w:r>
      <w:r>
        <w:rPr>
          <w:rStyle w:val="soitChar"/>
        </w:rPr>
        <w:t xml:space="preserve"> 2 matériaux thermoplastiques durables sont préparés séparément et passent dans une filière d’extrusion.</w:t>
      </w:r>
    </w:p>
    <w:p w14:paraId="095A6DB8" w14:textId="77777777" w:rsidR="00772179" w:rsidRDefault="00000000">
      <w:pPr>
        <w:pStyle w:val="Author-eListParagraph"/>
        <w:numPr>
          <w:ilvl w:val="0"/>
          <w:numId w:val="382"/>
        </w:numPr>
      </w:pPr>
      <w:r>
        <w:rPr>
          <w:rStyle w:val="soitChar"/>
        </w:rPr>
        <w:t>Couleur :</w:t>
      </w:r>
      <w:r>
        <w:rPr>
          <w:rStyle w:val="optioncarChar"/>
        </w:rPr>
        <w:t xml:space="preserve"> à choisir dans la gamme de couleurs standard du fabricant </w:t>
      </w:r>
      <w:r>
        <w:t xml:space="preserve">(par défaut) </w:t>
      </w:r>
      <w:r>
        <w:rPr>
          <w:rStyle w:val="optioncarChar"/>
        </w:rPr>
        <w:t>/ ***</w:t>
      </w:r>
    </w:p>
    <w:p w14:paraId="6D2FDFEB" w14:textId="77777777" w:rsidR="00772179" w:rsidRDefault="00000000">
      <w:pPr>
        <w:pStyle w:val="Author-eListParagraph"/>
        <w:numPr>
          <w:ilvl w:val="0"/>
          <w:numId w:val="382"/>
        </w:numPr>
      </w:pPr>
      <w:r>
        <w:rPr>
          <w:rStyle w:val="soitChar"/>
        </w:rPr>
        <w:t xml:space="preserve">Finition : </w:t>
      </w:r>
      <w:r>
        <w:rPr>
          <w:rStyle w:val="optioncarChar"/>
        </w:rPr>
        <w:t>lisse</w:t>
      </w:r>
      <w:r>
        <w:t xml:space="preserve"> (par défaut) </w:t>
      </w:r>
      <w:r>
        <w:rPr>
          <w:rStyle w:val="optioncarChar"/>
        </w:rPr>
        <w:t>/ texturé aspect bois / ***</w:t>
      </w:r>
    </w:p>
    <w:p w14:paraId="60AE1D6D" w14:textId="77777777" w:rsidR="00772179" w:rsidRDefault="00000000">
      <w:pPr>
        <w:pStyle w:val="Author-eListParagraph"/>
        <w:numPr>
          <w:ilvl w:val="0"/>
          <w:numId w:val="382"/>
        </w:numPr>
      </w:pPr>
      <w:r>
        <w:rPr>
          <w:rStyle w:val="soitChar"/>
        </w:rPr>
        <w:t xml:space="preserve">Aspect : </w:t>
      </w:r>
      <w:r>
        <w:rPr>
          <w:rStyle w:val="optioncarChar"/>
        </w:rPr>
        <w:t>satiné</w:t>
      </w:r>
      <w:r>
        <w:t xml:space="preserve"> (par défaut)</w:t>
      </w:r>
      <w:r>
        <w:rPr>
          <w:rStyle w:val="optioncarChar"/>
        </w:rPr>
        <w:t xml:space="preserve"> / brillant / ***</w:t>
      </w:r>
    </w:p>
    <w:p w14:paraId="12ABBD89" w14:textId="77777777" w:rsidR="00772179" w:rsidRDefault="00000000">
      <w:pPr>
        <w:jc w:val="both"/>
      </w:pPr>
      <w:r>
        <w:rPr>
          <w:b/>
        </w:rPr>
        <w:t>(soit)</w:t>
      </w:r>
    </w:p>
    <w:p w14:paraId="6192E990" w14:textId="77777777" w:rsidR="00772179" w:rsidRDefault="00000000">
      <w:pPr>
        <w:jc w:val="both"/>
      </w:pPr>
      <w:r>
        <w:rPr>
          <w:rStyle w:val="optioncarChar"/>
        </w:rPr>
        <w:t>***</w:t>
      </w:r>
    </w:p>
    <w:p w14:paraId="5C172D60" w14:textId="77777777" w:rsidR="00772179" w:rsidRDefault="00000000">
      <w:pPr>
        <w:jc w:val="both"/>
      </w:pPr>
      <w:r>
        <w:rPr>
          <w:b/>
        </w:rPr>
        <w:t>Pour la face extérieure du profil :</w:t>
      </w:r>
      <w:r>
        <w:rPr>
          <w:rStyle w:val="optioncarChar"/>
        </w:rPr>
        <w:t xml:space="preserve"> blanche colorée dans la masse </w:t>
      </w:r>
      <w:r>
        <w:t xml:space="preserve">(par défaut) </w:t>
      </w:r>
      <w:r>
        <w:rPr>
          <w:rStyle w:val="optioncarChar"/>
        </w:rPr>
        <w:t>/ coloration dans la masse de couleur *** / laquage de couleur *** / collage de feuille de couleur ou texture *** / co-extrusion de couleur *** / ***. </w:t>
      </w:r>
    </w:p>
    <w:p w14:paraId="0034A394" w14:textId="77777777" w:rsidR="00772179" w:rsidRDefault="00000000">
      <w:pPr>
        <w:jc w:val="both"/>
      </w:pPr>
      <w:r>
        <w:rPr>
          <w:b/>
        </w:rPr>
        <w:t>(soit par défaut)</w:t>
      </w:r>
    </w:p>
    <w:p w14:paraId="7E742739" w14:textId="77777777" w:rsidR="00772179" w:rsidRDefault="00000000">
      <w:pPr>
        <w:jc w:val="both"/>
      </w:pPr>
      <w:r>
        <w:rPr>
          <w:rStyle w:val="soitChar"/>
          <w:u w:val="single"/>
        </w:rPr>
        <w:t>Blanche colorée dans la masse :</w:t>
      </w:r>
    </w:p>
    <w:p w14:paraId="4911BA55" w14:textId="77777777" w:rsidR="00772179" w:rsidRDefault="00000000">
      <w:pPr>
        <w:pStyle w:val="Author-eListParagraph"/>
        <w:numPr>
          <w:ilvl w:val="0"/>
          <w:numId w:val="383"/>
        </w:numPr>
      </w:pPr>
      <w:r>
        <w:rPr>
          <w:rStyle w:val="soitChar"/>
        </w:rPr>
        <w:t xml:space="preserve">Finition : </w:t>
      </w:r>
      <w:r>
        <w:rPr>
          <w:rStyle w:val="optioncarChar"/>
        </w:rPr>
        <w:t>lisse</w:t>
      </w:r>
      <w:r>
        <w:t xml:space="preserve"> (par défaut)</w:t>
      </w:r>
      <w:r>
        <w:rPr>
          <w:rStyle w:val="optioncarChar"/>
        </w:rPr>
        <w:t xml:space="preserve"> / ***</w:t>
      </w:r>
    </w:p>
    <w:p w14:paraId="48262412" w14:textId="77777777" w:rsidR="00772179" w:rsidRDefault="00000000">
      <w:pPr>
        <w:pStyle w:val="Author-eListParagraph"/>
        <w:numPr>
          <w:ilvl w:val="0"/>
          <w:numId w:val="383"/>
        </w:numPr>
      </w:pPr>
      <w:r>
        <w:rPr>
          <w:rStyle w:val="soitChar"/>
        </w:rPr>
        <w:t xml:space="preserve">Aspect : </w:t>
      </w:r>
      <w:r>
        <w:rPr>
          <w:rStyle w:val="optioncarChar"/>
        </w:rPr>
        <w:t xml:space="preserve">satiné </w:t>
      </w:r>
      <w:r>
        <w:t xml:space="preserve">(par défaut) </w:t>
      </w:r>
      <w:r>
        <w:rPr>
          <w:rStyle w:val="optioncarChar"/>
        </w:rPr>
        <w:t>/ brillant / ***</w:t>
      </w:r>
    </w:p>
    <w:p w14:paraId="7A42B488" w14:textId="77777777" w:rsidR="00772179" w:rsidRDefault="00000000">
      <w:pPr>
        <w:jc w:val="both"/>
      </w:pPr>
      <w:r>
        <w:rPr>
          <w:b/>
        </w:rPr>
        <w:t>(soit)</w:t>
      </w:r>
    </w:p>
    <w:p w14:paraId="6C14B81E" w14:textId="77777777" w:rsidR="00772179" w:rsidRDefault="00000000">
      <w:pPr>
        <w:jc w:val="both"/>
      </w:pPr>
      <w:r>
        <w:rPr>
          <w:rStyle w:val="soitChar"/>
          <w:u w:val="single"/>
        </w:rPr>
        <w:t>Coloration dans la masse de couleur (CPm).</w:t>
      </w:r>
      <w:r>
        <w:rPr>
          <w:rStyle w:val="soitChar"/>
        </w:rPr>
        <w:t xml:space="preserve"> Ce procédé consiste à extruder les profilés avec une composition vinylique pigmentée ou autre dans la masse.</w:t>
      </w:r>
    </w:p>
    <w:p w14:paraId="71E85AB2" w14:textId="77777777" w:rsidR="00772179" w:rsidRDefault="00000000">
      <w:pPr>
        <w:pStyle w:val="Author-eListParagraph"/>
        <w:numPr>
          <w:ilvl w:val="0"/>
          <w:numId w:val="384"/>
        </w:numPr>
      </w:pPr>
      <w:r>
        <w:rPr>
          <w:rStyle w:val="soitChar"/>
        </w:rPr>
        <w:t xml:space="preserve">Couleur : </w:t>
      </w:r>
      <w:r>
        <w:rPr>
          <w:rStyle w:val="optioncarChar"/>
        </w:rPr>
        <w:t>à choisir dans la gamme de couleurs standard du fabricant (par défaut) / ***</w:t>
      </w:r>
    </w:p>
    <w:p w14:paraId="79EC4BFB" w14:textId="77777777" w:rsidR="00772179" w:rsidRDefault="00000000">
      <w:pPr>
        <w:pStyle w:val="Author-eListParagraph"/>
        <w:numPr>
          <w:ilvl w:val="0"/>
          <w:numId w:val="384"/>
        </w:numPr>
      </w:pPr>
      <w:r>
        <w:rPr>
          <w:rStyle w:val="soitChar"/>
        </w:rPr>
        <w:t xml:space="preserve">Finition : </w:t>
      </w:r>
      <w:r>
        <w:rPr>
          <w:rStyle w:val="optioncarChar"/>
        </w:rPr>
        <w:t xml:space="preserve">lisse </w:t>
      </w:r>
      <w:r>
        <w:t xml:space="preserve">(par défaut) </w:t>
      </w:r>
      <w:r>
        <w:rPr>
          <w:rStyle w:val="optioncarChar"/>
        </w:rPr>
        <w:t>/ ***</w:t>
      </w:r>
    </w:p>
    <w:p w14:paraId="792BDCFB" w14:textId="77777777" w:rsidR="00772179" w:rsidRDefault="00000000">
      <w:pPr>
        <w:pStyle w:val="Author-eListParagraph"/>
        <w:numPr>
          <w:ilvl w:val="0"/>
          <w:numId w:val="384"/>
        </w:numPr>
      </w:pPr>
      <w:r>
        <w:rPr>
          <w:rStyle w:val="soitChar"/>
        </w:rPr>
        <w:t xml:space="preserve">Aspect : </w:t>
      </w:r>
      <w:r>
        <w:rPr>
          <w:rStyle w:val="optioncarChar"/>
        </w:rPr>
        <w:t xml:space="preserve">satiné </w:t>
      </w:r>
      <w:r>
        <w:t xml:space="preserve">(par défaut) </w:t>
      </w:r>
      <w:r>
        <w:rPr>
          <w:rStyle w:val="optioncarChar"/>
        </w:rPr>
        <w:t>/ brillant / ***</w:t>
      </w:r>
    </w:p>
    <w:p w14:paraId="22C992AE" w14:textId="77777777" w:rsidR="00772179" w:rsidRDefault="00000000">
      <w:pPr>
        <w:jc w:val="both"/>
      </w:pPr>
      <w:r>
        <w:rPr>
          <w:b/>
        </w:rPr>
        <w:t>(soit)</w:t>
      </w:r>
    </w:p>
    <w:p w14:paraId="2A0CDCAD" w14:textId="77777777" w:rsidR="00772179" w:rsidRDefault="00000000">
      <w:pPr>
        <w:jc w:val="both"/>
      </w:pPr>
      <w:r>
        <w:rPr>
          <w:rStyle w:val="soitChar"/>
          <w:u w:val="single"/>
        </w:rPr>
        <w:t>Laquage de couleur (CPp) :</w:t>
      </w:r>
      <w:r>
        <w:rPr>
          <w:rStyle w:val="soitChar"/>
        </w:rPr>
        <w:t xml:space="preserve"> Une ou plusieurs couches de laque sont appliquées sur le profilé. Couleur : </w:t>
      </w:r>
      <w:r>
        <w:rPr>
          <w:rStyle w:val="optioncarChar"/>
        </w:rPr>
        <w:t>***</w:t>
      </w:r>
      <w:r>
        <w:rPr>
          <w:rStyle w:val="soitChar"/>
        </w:rPr>
        <w:t>.</w:t>
      </w:r>
    </w:p>
    <w:p w14:paraId="4A7AACEB" w14:textId="77777777" w:rsidR="00772179" w:rsidRDefault="00000000">
      <w:pPr>
        <w:pStyle w:val="Author-eListParagraph"/>
        <w:numPr>
          <w:ilvl w:val="0"/>
          <w:numId w:val="385"/>
        </w:numPr>
      </w:pPr>
      <w:r>
        <w:rPr>
          <w:rStyle w:val="soitChar"/>
        </w:rPr>
        <w:t xml:space="preserve">Couleur : </w:t>
      </w:r>
      <w:r>
        <w:rPr>
          <w:rStyle w:val="optioncarChar"/>
        </w:rPr>
        <w:t xml:space="preserve">à choisir dans la gamme de couleurs standard du fabricant </w:t>
      </w:r>
      <w:r>
        <w:t xml:space="preserve">(par défaut) </w:t>
      </w:r>
      <w:r>
        <w:rPr>
          <w:rStyle w:val="optioncarChar"/>
        </w:rPr>
        <w:t>/ ***</w:t>
      </w:r>
    </w:p>
    <w:p w14:paraId="5F488591" w14:textId="77777777" w:rsidR="00772179" w:rsidRDefault="00000000">
      <w:pPr>
        <w:pStyle w:val="Author-eListParagraph"/>
        <w:numPr>
          <w:ilvl w:val="0"/>
          <w:numId w:val="385"/>
        </w:numPr>
      </w:pPr>
      <w:r>
        <w:rPr>
          <w:rStyle w:val="soitChar"/>
        </w:rPr>
        <w:t>Finition : lisse (par défaut) / légèrement granuleuse / ***</w:t>
      </w:r>
    </w:p>
    <w:p w14:paraId="7C38EF7A" w14:textId="77777777" w:rsidR="00772179" w:rsidRDefault="00000000">
      <w:pPr>
        <w:pStyle w:val="Author-eListParagraph"/>
        <w:numPr>
          <w:ilvl w:val="0"/>
          <w:numId w:val="385"/>
        </w:numPr>
      </w:pPr>
      <w:r>
        <w:rPr>
          <w:rStyle w:val="soitChar"/>
        </w:rPr>
        <w:t>Aspect : satiné (par défaut) / brillant / ***</w:t>
      </w:r>
    </w:p>
    <w:p w14:paraId="2F48196D" w14:textId="77777777" w:rsidR="00772179" w:rsidRDefault="00000000">
      <w:pPr>
        <w:jc w:val="both"/>
      </w:pPr>
      <w:r>
        <w:rPr>
          <w:b/>
        </w:rPr>
        <w:t>(soit)</w:t>
      </w:r>
    </w:p>
    <w:p w14:paraId="7C04390B" w14:textId="77777777" w:rsidR="00772179" w:rsidRDefault="00000000">
      <w:pPr>
        <w:jc w:val="both"/>
      </w:pPr>
      <w:r>
        <w:rPr>
          <w:rStyle w:val="soitChar"/>
          <w:u w:val="single"/>
        </w:rPr>
        <w:lastRenderedPageBreak/>
        <w:t>Collage de feuille de couleur ou texture (CPf) :</w:t>
      </w:r>
      <w:r>
        <w:rPr>
          <w:rStyle w:val="soitChar"/>
        </w:rPr>
        <w:t xml:space="preserve"> Ce procédé consiste à appliquer un film protecteur et décoratif par collage sur le profilé. Teinte ou texture : </w:t>
      </w:r>
      <w:r>
        <w:rPr>
          <w:rStyle w:val="optioncarChar"/>
        </w:rPr>
        <w:t>***</w:t>
      </w:r>
      <w:r>
        <w:rPr>
          <w:rStyle w:val="soitChar"/>
        </w:rPr>
        <w:t>.</w:t>
      </w:r>
    </w:p>
    <w:p w14:paraId="490D6204" w14:textId="77777777" w:rsidR="00772179" w:rsidRDefault="00000000">
      <w:pPr>
        <w:pStyle w:val="Author-eListParagraph"/>
        <w:numPr>
          <w:ilvl w:val="0"/>
          <w:numId w:val="386"/>
        </w:numPr>
      </w:pPr>
      <w:r>
        <w:rPr>
          <w:rStyle w:val="soitChar"/>
        </w:rPr>
        <w:t xml:space="preserve">Couleur : </w:t>
      </w:r>
      <w:r>
        <w:rPr>
          <w:rStyle w:val="optioncarChar"/>
        </w:rPr>
        <w:t>à choisir dans la gamme de couleurs standard du fabricant</w:t>
      </w:r>
      <w:r>
        <w:t xml:space="preserve"> (par défaut) </w:t>
      </w:r>
      <w:r>
        <w:rPr>
          <w:rStyle w:val="optioncarChar"/>
        </w:rPr>
        <w:t>/ ***</w:t>
      </w:r>
    </w:p>
    <w:p w14:paraId="21761995" w14:textId="77777777" w:rsidR="00772179" w:rsidRDefault="00000000">
      <w:pPr>
        <w:pStyle w:val="Author-eListParagraph"/>
        <w:numPr>
          <w:ilvl w:val="0"/>
          <w:numId w:val="386"/>
        </w:numPr>
      </w:pPr>
      <w:r>
        <w:rPr>
          <w:rStyle w:val="soitChar"/>
        </w:rPr>
        <w:t xml:space="preserve">Finition : </w:t>
      </w:r>
      <w:r>
        <w:rPr>
          <w:rStyle w:val="optioncarChar"/>
        </w:rPr>
        <w:t xml:space="preserve">lisse </w:t>
      </w:r>
      <w:r>
        <w:t>(par défaut)</w:t>
      </w:r>
      <w:r>
        <w:rPr>
          <w:rStyle w:val="optioncarChar"/>
        </w:rPr>
        <w:t xml:space="preserve"> / texturé aspect bois / ***</w:t>
      </w:r>
    </w:p>
    <w:p w14:paraId="4AC032B5" w14:textId="77777777" w:rsidR="00772179" w:rsidRDefault="00000000">
      <w:pPr>
        <w:pStyle w:val="Author-eListParagraph"/>
        <w:numPr>
          <w:ilvl w:val="0"/>
          <w:numId w:val="386"/>
        </w:numPr>
      </w:pPr>
      <w:r>
        <w:rPr>
          <w:rStyle w:val="soitChar"/>
        </w:rPr>
        <w:t>Aspect :</w:t>
      </w:r>
      <w:r>
        <w:rPr>
          <w:rStyle w:val="optioncarChar"/>
        </w:rPr>
        <w:t xml:space="preserve"> satiné </w:t>
      </w:r>
      <w:r>
        <w:t>(par défaut)</w:t>
      </w:r>
      <w:r>
        <w:rPr>
          <w:rStyle w:val="optioncarChar"/>
        </w:rPr>
        <w:t xml:space="preserve"> / brillant / ***</w:t>
      </w:r>
    </w:p>
    <w:p w14:paraId="4A6631D4" w14:textId="77777777" w:rsidR="00772179" w:rsidRDefault="00000000">
      <w:pPr>
        <w:jc w:val="both"/>
      </w:pPr>
      <w:r>
        <w:rPr>
          <w:b/>
        </w:rPr>
        <w:t>(soit)</w:t>
      </w:r>
    </w:p>
    <w:p w14:paraId="4D927751" w14:textId="77777777" w:rsidR="00772179" w:rsidRDefault="00000000">
      <w:pPr>
        <w:jc w:val="both"/>
      </w:pPr>
      <w:r>
        <w:rPr>
          <w:rStyle w:val="soitChar"/>
          <w:u w:val="single"/>
        </w:rPr>
        <w:t>Coextrusion de couleur (CPc) :</w:t>
      </w:r>
      <w:r>
        <w:rPr>
          <w:rStyle w:val="soitChar"/>
        </w:rPr>
        <w:t xml:space="preserve"> 2 matériaux thermoplastiques durables sont préparés séparément et passent dans une filière d’extrusion.</w:t>
      </w:r>
    </w:p>
    <w:p w14:paraId="06F84E73" w14:textId="77777777" w:rsidR="00772179" w:rsidRDefault="00000000">
      <w:pPr>
        <w:pStyle w:val="Author-eListParagraph"/>
        <w:numPr>
          <w:ilvl w:val="0"/>
          <w:numId w:val="387"/>
        </w:numPr>
      </w:pPr>
      <w:r>
        <w:rPr>
          <w:rStyle w:val="soitChar"/>
        </w:rPr>
        <w:t xml:space="preserve">Couleur : </w:t>
      </w:r>
      <w:r>
        <w:rPr>
          <w:rStyle w:val="optioncarChar"/>
        </w:rPr>
        <w:t xml:space="preserve">à choisir dans la gamme de couleurs standard du fabricant </w:t>
      </w:r>
      <w:r>
        <w:t>(par défaut)</w:t>
      </w:r>
      <w:r>
        <w:rPr>
          <w:rStyle w:val="optioncarChar"/>
        </w:rPr>
        <w:t xml:space="preserve"> / ***</w:t>
      </w:r>
    </w:p>
    <w:p w14:paraId="7EE63417" w14:textId="77777777" w:rsidR="00772179" w:rsidRDefault="00000000">
      <w:pPr>
        <w:pStyle w:val="Author-eListParagraph"/>
        <w:numPr>
          <w:ilvl w:val="0"/>
          <w:numId w:val="387"/>
        </w:numPr>
      </w:pPr>
      <w:r>
        <w:rPr>
          <w:rStyle w:val="soitChar"/>
        </w:rPr>
        <w:t xml:space="preserve">Finition : </w:t>
      </w:r>
      <w:r>
        <w:rPr>
          <w:rStyle w:val="optioncarChar"/>
        </w:rPr>
        <w:t>lisse</w:t>
      </w:r>
      <w:r>
        <w:t xml:space="preserve"> (par défaut)</w:t>
      </w:r>
      <w:r>
        <w:rPr>
          <w:rStyle w:val="optioncarChar"/>
        </w:rPr>
        <w:t xml:space="preserve"> / texturé aspect bois / ***</w:t>
      </w:r>
    </w:p>
    <w:p w14:paraId="60695DE6" w14:textId="77777777" w:rsidR="00772179" w:rsidRDefault="00000000">
      <w:pPr>
        <w:pStyle w:val="Author-eListParagraph"/>
        <w:numPr>
          <w:ilvl w:val="0"/>
          <w:numId w:val="387"/>
        </w:numPr>
      </w:pPr>
      <w:r>
        <w:rPr>
          <w:rStyle w:val="soitChar"/>
        </w:rPr>
        <w:t xml:space="preserve">Aspect : </w:t>
      </w:r>
      <w:r>
        <w:rPr>
          <w:rStyle w:val="optioncarChar"/>
        </w:rPr>
        <w:t xml:space="preserve">satiné </w:t>
      </w:r>
      <w:r>
        <w:t>(par défaut)</w:t>
      </w:r>
      <w:r>
        <w:rPr>
          <w:rStyle w:val="optioncarChar"/>
        </w:rPr>
        <w:t xml:space="preserve"> / brillant / ***</w:t>
      </w:r>
    </w:p>
    <w:p w14:paraId="45443106" w14:textId="77777777" w:rsidR="00772179" w:rsidRDefault="00000000">
      <w:pPr>
        <w:jc w:val="both"/>
      </w:pPr>
      <w:r>
        <w:rPr>
          <w:b/>
        </w:rPr>
        <w:t>(soit)</w:t>
      </w:r>
    </w:p>
    <w:p w14:paraId="64197F4E" w14:textId="77777777" w:rsidR="00772179" w:rsidRDefault="00000000">
      <w:pPr>
        <w:jc w:val="both"/>
      </w:pPr>
      <w:r>
        <w:rPr>
          <w:rStyle w:val="optioncarChar"/>
        </w:rPr>
        <w:t>***</w:t>
      </w:r>
    </w:p>
    <w:p w14:paraId="4135C228" w14:textId="77777777" w:rsidR="00772179" w:rsidRDefault="00000000">
      <w:pPr>
        <w:jc w:val="both"/>
      </w:pPr>
      <w:r>
        <w:t>Les exigences de finitions sont décrites dans la [NBN B 25-002-5].  </w:t>
      </w:r>
    </w:p>
    <w:p w14:paraId="466644CF" w14:textId="77777777" w:rsidR="00772179" w:rsidRDefault="00000000">
      <w:pPr>
        <w:jc w:val="both"/>
      </w:pPr>
      <w:r>
        <w:t>Lors d’une observation perpendiculaire à la surface concernée sous une lumière diffuse (ciel couvert à l’extérieur et sans éclairage artificiel à l’intérieur), aucun défaut de surface décrit ci-après ne sont visibles à l’œil nu à une distance de 2 mètres : surface rude, gouttes d’écoulement, boursouflures, effet de peau d’orange, inclusions, cratères, taches mates, trous, griffes.</w:t>
      </w:r>
    </w:p>
    <w:p w14:paraId="5C6A8F97" w14:textId="77777777" w:rsidR="00772179" w:rsidRDefault="00000000">
      <w:pPr>
        <w:jc w:val="both"/>
      </w:pPr>
      <w:r>
        <w:t>Les écarts de teinte pour les profilés blancs dans la masse sont conformes aux prescriptions de la [NBN B 25-002-5].</w:t>
      </w:r>
    </w:p>
    <w:p w14:paraId="7F137E40" w14:textId="77777777" w:rsidR="00772179" w:rsidRDefault="00000000">
      <w:pPr>
        <w:pStyle w:val="pheading"/>
      </w:pPr>
      <w:r>
        <w:t>EXÉCUTION / MISE EN ŒUVRE</w:t>
      </w:r>
    </w:p>
    <w:p w14:paraId="29DF5AC2" w14:textId="77777777" w:rsidR="00772179" w:rsidRDefault="00000000">
      <w:pPr>
        <w:pStyle w:val="pheading"/>
      </w:pPr>
      <w:r>
        <w:t>- Prescriptions générales</w:t>
      </w:r>
    </w:p>
    <w:p w14:paraId="78A9818A" w14:textId="77777777" w:rsidR="00772179" w:rsidRDefault="00000000">
      <w:pPr>
        <w:jc w:val="both"/>
      </w:pPr>
      <w:r>
        <w:t>La pose des portes s'effectue conformément à la [NIT 283].</w:t>
      </w:r>
    </w:p>
    <w:p w14:paraId="19DB8CC3" w14:textId="77777777" w:rsidR="00772179" w:rsidRDefault="00000000">
      <w:pPr>
        <w:jc w:val="both"/>
      </w:pPr>
      <w:r>
        <w:t>L’entretien est conforme à la norme [NBN B 25-002-2].</w:t>
      </w:r>
    </w:p>
    <w:p w14:paraId="16B3D19C" w14:textId="77777777" w:rsidR="00772179" w:rsidRDefault="00000000">
      <w:pPr>
        <w:jc w:val="both"/>
      </w:pPr>
      <w:r>
        <w:t>Le resserrage de la menuiserie est pourvu de continuité des performances mécaniques, thermiques et d’étanchéité à l’eau.</w:t>
      </w:r>
    </w:p>
    <w:p w14:paraId="0B7D0D11" w14:textId="77777777" w:rsidR="00772179" w:rsidRDefault="00000000">
      <w:pPr>
        <w:pStyle w:val="Author-eListParagraph"/>
        <w:numPr>
          <w:ilvl w:val="0"/>
          <w:numId w:val="388"/>
        </w:numPr>
        <w:jc w:val="both"/>
      </w:pPr>
      <w:r>
        <w:t>Pour la continuité de l’étanchéité à l’air, le resserrage est muni d’</w:t>
      </w:r>
      <w:r>
        <w:rPr>
          <w:rStyle w:val="optioncarChar"/>
        </w:rPr>
        <w:t>un</w:t>
      </w:r>
      <w:r>
        <w:t> </w:t>
      </w:r>
      <w:r>
        <w:rPr>
          <w:rStyle w:val="optioncarChar"/>
        </w:rPr>
        <w:t xml:space="preserve">kit de mastic </w:t>
      </w:r>
      <w:r>
        <w:t>(par défaut)</w:t>
      </w:r>
      <w:r>
        <w:rPr>
          <w:rStyle w:val="optioncarChar"/>
        </w:rPr>
        <w:t xml:space="preserve"> / une membrane / un profilé de resserrage / ***</w:t>
      </w:r>
    </w:p>
    <w:p w14:paraId="576AEBEA" w14:textId="77777777" w:rsidR="00772179" w:rsidRDefault="00000000">
      <w:pPr>
        <w:pStyle w:val="Author-eListParagraph"/>
        <w:numPr>
          <w:ilvl w:val="0"/>
          <w:numId w:val="388"/>
        </w:numPr>
        <w:jc w:val="both"/>
      </w:pPr>
      <w:r>
        <w:t>Pour la continuité de l’isolation acoustique le resserrage est muni d’</w:t>
      </w:r>
      <w:r>
        <w:rPr>
          <w:rStyle w:val="optioncarChar"/>
        </w:rPr>
        <w:t xml:space="preserve">une laine de roche </w:t>
      </w:r>
      <w:r>
        <w:t xml:space="preserve">(par défaut) </w:t>
      </w:r>
      <w:r>
        <w:rPr>
          <w:rStyle w:val="optioncarChar"/>
        </w:rPr>
        <w:t>/ une mousse acoustique / une plaque massive / ***</w:t>
      </w:r>
    </w:p>
    <w:p w14:paraId="3BE94653" w14:textId="77777777" w:rsidR="00772179" w:rsidRDefault="00000000">
      <w:pPr>
        <w:pStyle w:val="pheading"/>
      </w:pPr>
      <w:r>
        <w:t>- Échantillons</w:t>
      </w:r>
    </w:p>
    <w:p w14:paraId="7F3BC194" w14:textId="77777777" w:rsidR="00772179" w:rsidRDefault="00000000">
      <w:pPr>
        <w:jc w:val="both"/>
      </w:pPr>
      <w:r>
        <w:t>L’entrepreneur soumet un échantillon des profils et des finitions qu’il propose à l’approbation de la direction du chantier.</w:t>
      </w:r>
    </w:p>
    <w:p w14:paraId="327E4C65" w14:textId="77777777" w:rsidR="00772179" w:rsidRDefault="00000000">
      <w:pPr>
        <w:pStyle w:val="pheading"/>
      </w:pPr>
      <w:r>
        <w:t>MESURAGE</w:t>
      </w:r>
    </w:p>
    <w:p w14:paraId="32457B76" w14:textId="77777777" w:rsidR="00772179" w:rsidRDefault="00000000">
      <w:pPr>
        <w:pStyle w:val="pheading"/>
      </w:pPr>
      <w:r>
        <w:t>- unité de mesure:</w:t>
      </w:r>
    </w:p>
    <w:p w14:paraId="2E9E1D42" w14:textId="77777777" w:rsidR="00772179" w:rsidRDefault="00000000">
      <w:r>
        <w:rPr>
          <w:rStyle w:val="optioncarChar"/>
        </w:rPr>
        <w:t xml:space="preserve">pc </w:t>
      </w:r>
      <w:r>
        <w:t>(par défaut)</w:t>
      </w:r>
      <w:r>
        <w:rPr>
          <w:rStyle w:val="optioncarChar"/>
        </w:rPr>
        <w:t xml:space="preserve"> / m²</w:t>
      </w:r>
    </w:p>
    <w:p w14:paraId="02D53A15" w14:textId="77777777" w:rsidR="00772179" w:rsidRDefault="00000000">
      <w:r>
        <w:rPr>
          <w:b/>
        </w:rPr>
        <w:t>(soit par défaut)</w:t>
      </w:r>
      <w:r>
        <w:br/>
      </w:r>
      <w:r>
        <w:rPr>
          <w:rStyle w:val="soitChar"/>
        </w:rPr>
        <w:t>1. pc</w:t>
      </w:r>
      <w:r>
        <w:br/>
      </w:r>
      <w:r>
        <w:rPr>
          <w:b/>
        </w:rPr>
        <w:t>(soit)</w:t>
      </w:r>
      <w:r>
        <w:br/>
      </w:r>
      <w:r>
        <w:rPr>
          <w:rStyle w:val="soitChar"/>
        </w:rPr>
        <w:t>2. m²</w:t>
      </w:r>
    </w:p>
    <w:p w14:paraId="4921E795" w14:textId="77777777" w:rsidR="00772179" w:rsidRDefault="00000000">
      <w:pPr>
        <w:pStyle w:val="pheading"/>
      </w:pPr>
      <w:r>
        <w:t>- code de mesurage:</w:t>
      </w:r>
    </w:p>
    <w:p w14:paraId="34BE2290" w14:textId="77777777" w:rsidR="00772179" w:rsidRDefault="00000000">
      <w:pPr>
        <w:jc w:val="both"/>
      </w:pPr>
      <w:r>
        <w:rPr>
          <w:rStyle w:val="optioncarChar"/>
        </w:rPr>
        <w:t xml:space="preserve">Quantité nette </w:t>
      </w:r>
      <w:r>
        <w:t>(par défaut)</w:t>
      </w:r>
      <w:r>
        <w:rPr>
          <w:rStyle w:val="optioncarChar"/>
        </w:rPr>
        <w:t xml:space="preserve"> / Surface nette</w:t>
      </w:r>
    </w:p>
    <w:p w14:paraId="7D40BA36" w14:textId="77777777" w:rsidR="00772179" w:rsidRDefault="00000000">
      <w:pPr>
        <w:jc w:val="both"/>
      </w:pPr>
      <w:r>
        <w:rPr>
          <w:b/>
        </w:rPr>
        <w:t>(soit par défaut)</w:t>
      </w:r>
    </w:p>
    <w:p w14:paraId="3734A9E5" w14:textId="77777777" w:rsidR="00772179" w:rsidRDefault="00000000">
      <w:pPr>
        <w:jc w:val="both"/>
      </w:pPr>
      <w:r>
        <w:rPr>
          <w:rStyle w:val="soitChar"/>
        </w:rPr>
        <w:t xml:space="preserve">1. </w:t>
      </w:r>
      <w:r>
        <w:rPr>
          <w:rStyle w:val="soitChar"/>
          <w:u w:val="single"/>
        </w:rPr>
        <w:t>Quantité nette</w:t>
      </w:r>
      <w:r>
        <w:rPr>
          <w:rStyle w:val="soitChar"/>
        </w:rPr>
        <w:t xml:space="preserve"> suivant dimensions dans l’œuvre de chaque porte.</w:t>
      </w:r>
    </w:p>
    <w:p w14:paraId="7A668ED4" w14:textId="77777777" w:rsidR="00772179" w:rsidRDefault="00000000">
      <w:pPr>
        <w:jc w:val="both"/>
      </w:pPr>
      <w:r>
        <w:rPr>
          <w:b/>
        </w:rPr>
        <w:lastRenderedPageBreak/>
        <w:t>(soit)</w:t>
      </w:r>
    </w:p>
    <w:p w14:paraId="4B8256A6" w14:textId="77777777" w:rsidR="00772179" w:rsidRDefault="00000000">
      <w:pPr>
        <w:jc w:val="both"/>
      </w:pPr>
      <w:r>
        <w:rPr>
          <w:rStyle w:val="soitChar"/>
        </w:rPr>
        <w:t>2. </w:t>
      </w:r>
      <w:r>
        <w:rPr>
          <w:rStyle w:val="soitChar"/>
          <w:u w:val="single"/>
        </w:rPr>
        <w:t>Surface nette</w:t>
      </w:r>
      <w:r>
        <w:rPr>
          <w:rStyle w:val="soitChar"/>
        </w:rPr>
        <w:t> en développement des dimensions dans l'œuvre ventilé selon le type ou le modèle conformément aux indications dans le métré récapitulatif annexé au dossier de mise en concurrence. Les différents types à distinguer éventuellement sont les portes simples, les ensembles de portes composées, etc….</w:t>
      </w:r>
    </w:p>
    <w:p w14:paraId="6242ED0D" w14:textId="77777777" w:rsidR="00772179" w:rsidRDefault="00000000">
      <w:pPr>
        <w:pStyle w:val="pheading"/>
      </w:pPr>
      <w:r>
        <w:t>- nature du marché:</w:t>
      </w:r>
    </w:p>
    <w:p w14:paraId="3C8D0841" w14:textId="77777777" w:rsidR="00772179" w:rsidRDefault="00000000">
      <w:r>
        <w:t>QF</w:t>
      </w:r>
    </w:p>
    <w:p w14:paraId="09827B1C" w14:textId="77777777" w:rsidR="00772179" w:rsidRDefault="00000000">
      <w:pPr>
        <w:pStyle w:val="Author-eSectionHeading5Numberless"/>
      </w:pPr>
      <w:bookmarkStart w:id="103" w:name="_Toc220489849"/>
      <w:r>
        <w:t>41.27.2 Portes d'entrée en Bois/ Fibre de verre CCTB 01.02</w:t>
      </w:r>
      <w:bookmarkEnd w:id="103"/>
    </w:p>
    <w:p w14:paraId="6DB99E50" w14:textId="77777777" w:rsidR="00772179" w:rsidRDefault="00000000">
      <w:pPr>
        <w:pStyle w:val="Author-eSectionHeading6Numberless"/>
      </w:pPr>
      <w:bookmarkStart w:id="104" w:name="_Toc220489850"/>
      <w:r>
        <w:t>41.27.2a Portes d'entrée en Bois/ Fibre de verre</w:t>
      </w:r>
      <w:bookmarkEnd w:id="104"/>
    </w:p>
    <w:p w14:paraId="04FB454C" w14:textId="77777777" w:rsidR="00772179" w:rsidRDefault="00000000">
      <w:pPr>
        <w:pStyle w:val="Author-eSectionHeading3Numberless"/>
      </w:pPr>
      <w:bookmarkStart w:id="105" w:name="_Toc220489851"/>
      <w:r>
        <w:t>41.3 Portes de garage CCTB 01.13</w:t>
      </w:r>
      <w:bookmarkEnd w:id="105"/>
    </w:p>
    <w:p w14:paraId="369E2D2E" w14:textId="77777777" w:rsidR="00772179" w:rsidRDefault="00000000">
      <w:pPr>
        <w:pStyle w:val="pheading"/>
      </w:pPr>
      <w:bookmarkStart w:id="106" w:name="1005"/>
      <w:bookmarkEnd w:id="106"/>
      <w:r>
        <w:t>DESCRIPTION</w:t>
      </w:r>
    </w:p>
    <w:p w14:paraId="6D381CDE" w14:textId="77777777" w:rsidR="00772179" w:rsidRDefault="00000000">
      <w:pPr>
        <w:pStyle w:val="pheading"/>
      </w:pPr>
      <w:r>
        <w:t>- Définition / Comprend</w:t>
      </w:r>
    </w:p>
    <w:p w14:paraId="1CB864B7" w14:textId="77777777" w:rsidR="00772179" w:rsidRDefault="00000000">
      <w:pPr>
        <w:jc w:val="both"/>
      </w:pPr>
      <w:r>
        <w:t>Il s’agit de la fourniture et la pose de tous les éléments nécessaires à la composition des portes de garage, y compris toutes les pièces qui en font intrinsèquement partie. Conformément aux dispositions générales et/ou spécifiques du cahier spécial des charges, les prix unitaires compris dans les articles concernant les portes de garage, commerciales, industrielles sont toujours compris, soit selon la ventilation dans le métré récapitulatif, soit dans leur totalité :</w:t>
      </w:r>
    </w:p>
    <w:p w14:paraId="68FC81E4" w14:textId="77777777" w:rsidR="00772179" w:rsidRDefault="00000000">
      <w:pPr>
        <w:pStyle w:val="Author-eListParagraph"/>
        <w:numPr>
          <w:ilvl w:val="0"/>
          <w:numId w:val="389"/>
        </w:numPr>
        <w:jc w:val="both"/>
      </w:pPr>
      <w:r>
        <w:t>le relevé la vérification sur place des dimensions exactes ;</w:t>
      </w:r>
    </w:p>
    <w:p w14:paraId="3A0FF79F" w14:textId="77777777" w:rsidR="00772179" w:rsidRDefault="00772179">
      <w:pPr>
        <w:pStyle w:val="Author-eListParagraph"/>
        <w:numPr>
          <w:ilvl w:val="0"/>
          <w:numId w:val="389"/>
        </w:numPr>
        <w:jc w:val="both"/>
      </w:pPr>
    </w:p>
    <w:p w14:paraId="119B68E7" w14:textId="77777777" w:rsidR="00772179" w:rsidRDefault="00000000">
      <w:pPr>
        <w:pStyle w:val="Author-eListParagraph"/>
        <w:numPr>
          <w:ilvl w:val="0"/>
          <w:numId w:val="389"/>
        </w:numPr>
        <w:jc w:val="both"/>
      </w:pPr>
      <w:r>
        <w:t>le montage des profils de portes, panneaux et dispositifs de manœuvre ;</w:t>
      </w:r>
    </w:p>
    <w:p w14:paraId="12142D1A" w14:textId="77777777" w:rsidR="00772179" w:rsidRDefault="00772179">
      <w:pPr>
        <w:pStyle w:val="Author-eListParagraph"/>
        <w:numPr>
          <w:ilvl w:val="0"/>
          <w:numId w:val="389"/>
        </w:numPr>
        <w:jc w:val="both"/>
      </w:pPr>
    </w:p>
    <w:p w14:paraId="2B13075A" w14:textId="77777777" w:rsidR="00772179" w:rsidRDefault="00000000">
      <w:pPr>
        <w:pStyle w:val="Author-eListParagraph"/>
        <w:numPr>
          <w:ilvl w:val="0"/>
          <w:numId w:val="389"/>
        </w:numPr>
        <w:jc w:val="both"/>
      </w:pPr>
      <w:r>
        <w:t>la fourniture et la pose, y compris tous les moyens de fixation et/ou d’ancrage, ainsi que tous les ragréages étanches et la finition des joints entre la porte de garage et le gros-œuvre, … ;</w:t>
      </w:r>
    </w:p>
    <w:p w14:paraId="140DD76C" w14:textId="77777777" w:rsidR="00772179" w:rsidRDefault="00000000">
      <w:pPr>
        <w:pStyle w:val="pheading"/>
      </w:pPr>
      <w:r>
        <w:t>- Remarques importantes</w:t>
      </w:r>
    </w:p>
    <w:p w14:paraId="720E07E6" w14:textId="77777777" w:rsidR="00772179" w:rsidRDefault="00000000">
      <w:pPr>
        <w:pStyle w:val="Author-eListParagraph"/>
        <w:numPr>
          <w:ilvl w:val="0"/>
          <w:numId w:val="390"/>
        </w:numPr>
      </w:pPr>
      <w:r>
        <w:t>Les éventuels travaux de démolition de la porte, sont compris dans un élément séparé (voir 06.23.2a Démolitions d'éléments de fermetures et de finitions extérieures (y compris décapages))</w:t>
      </w:r>
    </w:p>
    <w:p w14:paraId="1F51EF34" w14:textId="77777777" w:rsidR="00772179" w:rsidRDefault="00000000">
      <w:pPr>
        <w:pStyle w:val="pheading"/>
      </w:pPr>
      <w:r>
        <w:t>MATÉRIAUX</w:t>
      </w:r>
    </w:p>
    <w:p w14:paraId="2552600E" w14:textId="77777777" w:rsidR="00772179" w:rsidRDefault="00000000">
      <w:pPr>
        <w:jc w:val="both"/>
      </w:pPr>
      <w:r>
        <w:rPr>
          <w:b/>
          <w:u w:val="single"/>
        </w:rPr>
        <w:t>Généralités</w:t>
      </w:r>
    </w:p>
    <w:p w14:paraId="643BBB78" w14:textId="77777777" w:rsidR="00772179" w:rsidRDefault="00000000">
      <w:pPr>
        <w:jc w:val="both"/>
      </w:pPr>
      <w:r>
        <w:t>L'entrepreneur soumet, avant l'exécution, à l'approbation du maître d’ouvrage et de l’auteur de projet :</w:t>
      </w:r>
    </w:p>
    <w:p w14:paraId="6293E83F" w14:textId="77777777" w:rsidR="00772179" w:rsidRDefault="00000000">
      <w:pPr>
        <w:pStyle w:val="Author-eListParagraph"/>
        <w:numPr>
          <w:ilvl w:val="0"/>
          <w:numId w:val="391"/>
        </w:numPr>
        <w:jc w:val="both"/>
      </w:pPr>
      <w:r>
        <w:t>les notes de calcul nécessaires, les certificats de garantie et autres marquage, …</w:t>
      </w:r>
    </w:p>
    <w:p w14:paraId="5F41AA2D" w14:textId="77777777" w:rsidR="00772179" w:rsidRDefault="00000000">
      <w:pPr>
        <w:pStyle w:val="Author-eListParagraph"/>
        <w:numPr>
          <w:ilvl w:val="0"/>
          <w:numId w:val="391"/>
        </w:numPr>
        <w:jc w:val="both"/>
      </w:pPr>
      <w:r>
        <w:t>les dessins de détail et bordereaux de commande,</w:t>
      </w:r>
    </w:p>
    <w:p w14:paraId="752A72C3" w14:textId="77777777" w:rsidR="00772179" w:rsidRDefault="00000000">
      <w:pPr>
        <w:pStyle w:val="Author-eListParagraph"/>
        <w:numPr>
          <w:ilvl w:val="0"/>
          <w:numId w:val="391"/>
        </w:numPr>
        <w:jc w:val="both"/>
      </w:pPr>
      <w:r>
        <w:t>les échantillons et/ou les prototypes des différentes composantes, c'est-à-dire au moins un échantillon de la feuille de porte reprenant la connexion entre panneaux et guide latéral. Cet échantillon reste à la disposition de l’auteur de projet ou du maître de l’ouvrage jusqu'à la réception provisoire.</w:t>
      </w:r>
    </w:p>
    <w:p w14:paraId="78818AB0" w14:textId="77777777" w:rsidR="00772179" w:rsidRDefault="00000000">
      <w:pPr>
        <w:pStyle w:val="Author-eListParagraph"/>
        <w:numPr>
          <w:ilvl w:val="0"/>
          <w:numId w:val="391"/>
        </w:numPr>
        <w:jc w:val="both"/>
      </w:pPr>
      <w:r>
        <w:t>une carte de couleurs de la gamme des couleurs livrées par le fabricant.  </w:t>
      </w:r>
    </w:p>
    <w:p w14:paraId="1CB278DA" w14:textId="77777777" w:rsidR="00772179" w:rsidRDefault="00000000">
      <w:pPr>
        <w:jc w:val="both"/>
      </w:pPr>
      <w:r>
        <w:t>La terminologie des éléments constituants les portes de garages est conforme aux normes [NBN EN 12433-1] et [NBN EN 12433-2].</w:t>
      </w:r>
    </w:p>
    <w:p w14:paraId="05D300DD" w14:textId="77777777" w:rsidR="00772179" w:rsidRDefault="00772179"/>
    <w:p w14:paraId="0AD4E492" w14:textId="77777777" w:rsidR="00772179" w:rsidRDefault="00000000">
      <w:pPr>
        <w:spacing w:line="192" w:lineRule="auto"/>
        <w:jc w:val="both"/>
      </w:pPr>
      <w:r>
        <w:rPr>
          <w:b/>
          <w:u w:val="single"/>
        </w:rPr>
        <w:t>Critères de performances.</w:t>
      </w:r>
    </w:p>
    <w:p w14:paraId="2451770E" w14:textId="77777777" w:rsidR="00772179" w:rsidRDefault="00000000">
      <w:pPr>
        <w:jc w:val="both"/>
      </w:pPr>
      <w:r>
        <w:t>Les portes de garages doivent annoncer les performances définies dans la déclaration d'aptitude à l'utilisation suivant les prescriptions du chapitre </w:t>
      </w:r>
      <w:r>
        <w:rPr>
          <w:i/>
          <w:color w:val="0000FF"/>
        </w:rPr>
        <w:t>02.42.1 Critères d'acceptabilité</w:t>
      </w:r>
      <w:r>
        <w:t xml:space="preserve"> qui sont préalablement remis à l’auteur de projet. Voir également norme produit [NBN EN 13241:2003+A2] et dont les exigences sont reprises dans la [STS 53.2]. Les exigences en termes de performance énergétique, </w:t>
      </w:r>
      <w:r>
        <w:lastRenderedPageBreak/>
        <w:t>étanchéité à l’eau, résistance au vent, perméabilité à l’air, sécurité d’utilisation, efforts de manœuvre, d’endurance mécanique, résistance à l’effraction et prestations acoustiques sont décrites ci-dessous.  Les autres exigences sont décrites dans la [STS 53.2] ou sont précisées dans ce cahier spécial des charges. </w:t>
      </w:r>
    </w:p>
    <w:p w14:paraId="64510889" w14:textId="77777777" w:rsidR="00772179" w:rsidRDefault="00000000">
      <w:pPr>
        <w:jc w:val="both"/>
      </w:pPr>
      <w:r>
        <w:rPr>
          <w:b/>
          <w:u w:val="single"/>
        </w:rPr>
        <w:t>Résistance mécanique, sécurité d’utilisation et durabilité mécanique</w:t>
      </w:r>
    </w:p>
    <w:p w14:paraId="13C14F4E" w14:textId="77777777" w:rsidR="00772179" w:rsidRDefault="00000000">
      <w:pPr>
        <w:jc w:val="both"/>
      </w:pPr>
      <w:r>
        <w:t>Tous les ensembles de fenêtres et portes-fenêtres satisfont aux critères minimums de performance mécanique et de sécurité d’utilisation</w:t>
      </w:r>
    </w:p>
    <w:p w14:paraId="7A0C2D83" w14:textId="77777777" w:rsidR="00772179" w:rsidRDefault="00000000">
      <w:pPr>
        <w:jc w:val="both"/>
      </w:pPr>
      <w:r>
        <w:t>Les portes de garages sont conçues et fabriquées conformément à la [NBN EN 12604:2017+A1] et la [NBN EN 12453:2017+A1]. Les performances de résistance mécanique et d’endurance sont vérifiées selon la [NBN EN 12604:2017+A1].</w:t>
      </w:r>
    </w:p>
    <w:p w14:paraId="403AF40D" w14:textId="77777777" w:rsidR="00772179" w:rsidRDefault="00000000">
      <w:pPr>
        <w:jc w:val="both"/>
      </w:pPr>
      <w:r>
        <w:rPr>
          <w:b/>
          <w:u w:val="single"/>
        </w:rPr>
        <w:t>Manœuvre motorisée</w:t>
      </w:r>
    </w:p>
    <w:p w14:paraId="30B15B22" w14:textId="77777777" w:rsidR="00772179" w:rsidRDefault="00000000">
      <w:pPr>
        <w:jc w:val="both"/>
      </w:pPr>
      <w:r>
        <w:t>Le dispositif de manœuvre motorisée et les dispositifs de sécurité associés satisfont aux exigences de la norme [NBN EN 12453:2017+A1]. Les points d’écrasement, de cisaillement ou d’entrainement créés par le tablier en usage normal sont éliminés ou équipé de dispositifs de protection.</w:t>
      </w:r>
    </w:p>
    <w:p w14:paraId="1F01FAF9" w14:textId="77777777" w:rsidR="00772179" w:rsidRDefault="00000000">
      <w:pPr>
        <w:jc w:val="both"/>
      </w:pPr>
      <w:r>
        <w:t>Les performances sont déterminées à l’aide des procédures de la [NBN EN 12453:2017+A1] et la [NBN EN 12978+A1].</w:t>
      </w:r>
    </w:p>
    <w:p w14:paraId="2A05F135" w14:textId="77777777" w:rsidR="00772179" w:rsidRDefault="00000000">
      <w:pPr>
        <w:jc w:val="both"/>
      </w:pPr>
      <w:r>
        <w:rPr>
          <w:b/>
          <w:u w:val="single"/>
        </w:rPr>
        <w:t>Compatibilité électromagnétique</w:t>
      </w:r>
    </w:p>
    <w:p w14:paraId="4103546C" w14:textId="77777777" w:rsidR="00772179" w:rsidRDefault="00000000">
      <w:pPr>
        <w:jc w:val="both"/>
      </w:pPr>
      <w:r>
        <w:t>Les perturbations électromagnétiques générées par la porte motorisée ne dépassent pas  les niveaux spécifiés dans la [NBN EN IEC 61000-6-3]. L’immunité des portes par rapport aux perturbations électromagnétiques est suffisante pour les perturbations du réseau spécifiée dans la [NBN EN IEC 61000-6-2].</w:t>
      </w:r>
    </w:p>
    <w:p w14:paraId="37CA88BA" w14:textId="77777777" w:rsidR="00772179" w:rsidRDefault="00000000">
      <w:pPr>
        <w:jc w:val="both"/>
      </w:pPr>
      <w:r>
        <w:rPr>
          <w:b/>
          <w:u w:val="single"/>
        </w:rPr>
        <w:t>Résistance au vent</w:t>
      </w:r>
    </w:p>
    <w:p w14:paraId="6FEC2B13" w14:textId="77777777" w:rsidR="00772179" w:rsidRDefault="00000000">
      <w:pPr>
        <w:jc w:val="both"/>
      </w:pPr>
      <w:r>
        <w:t>La résistance au vent est classifiée selon la norme [NBN EN 12424]. Cette classification ne s’applique qu’aux portes fermées mais pas à la capacité des portes à s’ouvrir sous rafales de vent.</w:t>
      </w:r>
    </w:p>
    <w:p w14:paraId="523D5A22" w14:textId="77777777" w:rsidR="00772179" w:rsidRDefault="00000000">
      <w:pPr>
        <w:jc w:val="both"/>
      </w:pPr>
      <w:r>
        <w:t>Les performances sont soit déterminées par essais ou par essais et calculs selon la [NBN EN 12604:2017+A1] et la [NBN EN 12444].</w:t>
      </w:r>
    </w:p>
    <w:p w14:paraId="16B7A94A" w14:textId="77777777" w:rsidR="00772179" w:rsidRDefault="00000000">
      <w:pPr>
        <w:jc w:val="both"/>
      </w:pPr>
      <w:r>
        <w:rPr>
          <w:b/>
          <w:u w:val="single"/>
        </w:rPr>
        <w:t>Performance énergétique (isolation thermique)</w:t>
      </w:r>
    </w:p>
    <w:p w14:paraId="1EE634AE" w14:textId="77777777" w:rsidR="00772179" w:rsidRDefault="00000000">
      <w:pPr>
        <w:jc w:val="both"/>
      </w:pPr>
      <w:r>
        <w:t>Par défaut, sans spécification dans le cahier spécial des charges, les performances énergétiques sont au moins conformes aux réglementations régionales. Les performances thermiques d’une porte entière doivent être évaluées ou calculées selon la [NBN EN 12428] et l’annexe B de la norme [NBN EN 13241:2003+A2]. Les valeurs Ud des portes sont communiquées à l'auteur de projet et, le cas échéant, au responsable PEB.  A défaut, le détail (valeur Up des panneaux ainsi que les matériaux et épaisseurs) est communiqué à l'auteur de projet et, le cas échéant, au responsable PEB.</w:t>
      </w:r>
    </w:p>
    <w:p w14:paraId="007FC4EA" w14:textId="77777777" w:rsidR="00772179" w:rsidRDefault="00000000">
      <w:pPr>
        <w:jc w:val="both"/>
      </w:pPr>
      <w:r>
        <w:rPr>
          <w:b/>
          <w:u w:val="single"/>
        </w:rPr>
        <w:t>Perméabilité à l'air</w:t>
      </w:r>
    </w:p>
    <w:p w14:paraId="40B20658" w14:textId="77777777" w:rsidR="00772179" w:rsidRDefault="00000000">
      <w:pPr>
        <w:jc w:val="both"/>
      </w:pPr>
      <w:r>
        <w:t>La perméabilité à l’air est évaluée conformément à la [NBN EN 12427]. Les résultats permettent une classification selon la [NBN EN 12426].</w:t>
      </w:r>
    </w:p>
    <w:p w14:paraId="08AA46CC" w14:textId="77777777" w:rsidR="00772179" w:rsidRDefault="00000000">
      <w:pPr>
        <w:jc w:val="both"/>
      </w:pPr>
      <w:r>
        <w:rPr>
          <w:b/>
          <w:u w:val="single"/>
        </w:rPr>
        <w:t>Etanchéité à l'eau</w:t>
      </w:r>
    </w:p>
    <w:p w14:paraId="076AC379" w14:textId="77777777" w:rsidR="00772179" w:rsidRDefault="00000000">
      <w:pPr>
        <w:jc w:val="both"/>
      </w:pPr>
      <w:r>
        <w:t>L’étanchéité à l’eau est évaluée conformément à la [NBN EN 12489]. Les résultats permettent une classification selon la [NBN EN 12425].</w:t>
      </w:r>
    </w:p>
    <w:p w14:paraId="25D9B7C0" w14:textId="77777777" w:rsidR="00772179" w:rsidRDefault="00000000">
      <w:pPr>
        <w:jc w:val="both"/>
      </w:pPr>
      <w:r>
        <w:rPr>
          <w:b/>
          <w:u w:val="single"/>
        </w:rPr>
        <w:t>Résistance à l’effraction</w:t>
      </w:r>
    </w:p>
    <w:p w14:paraId="2C6AFC78" w14:textId="77777777" w:rsidR="00772179" w:rsidRDefault="00000000">
      <w:pPr>
        <w:jc w:val="both"/>
      </w:pPr>
      <w:r>
        <w:t>Le choix de la classe de résistance à l'effraction est établi en tenant compte de ce qui suit :</w:t>
      </w:r>
    </w:p>
    <w:p w14:paraId="1F645885" w14:textId="77777777" w:rsidR="00772179" w:rsidRDefault="00000000">
      <w:pPr>
        <w:pStyle w:val="Author-eListParagraph"/>
        <w:numPr>
          <w:ilvl w:val="0"/>
          <w:numId w:val="392"/>
        </w:numPr>
        <w:jc w:val="both"/>
      </w:pPr>
      <w:r>
        <w:t>L'évaluation des besoins en matière de protection contre l'effraction résulte d'une analyse tenant compte des facteurs objectifs ou subjectifs suivants :</w:t>
      </w:r>
    </w:p>
    <w:p w14:paraId="67A4A062" w14:textId="77777777" w:rsidR="00772179" w:rsidRDefault="00000000">
      <w:pPr>
        <w:pStyle w:val="Author-eListParagraph"/>
        <w:numPr>
          <w:ilvl w:val="1"/>
          <w:numId w:val="393"/>
        </w:numPr>
      </w:pPr>
      <w:r>
        <w:t>la situation géographique de la construction,</w:t>
      </w:r>
    </w:p>
    <w:p w14:paraId="31A9C70A" w14:textId="77777777" w:rsidR="00772179" w:rsidRDefault="00000000">
      <w:pPr>
        <w:pStyle w:val="Author-eListParagraph"/>
        <w:numPr>
          <w:ilvl w:val="1"/>
          <w:numId w:val="393"/>
        </w:numPr>
      </w:pPr>
      <w:r>
        <w:t>son intégration urbaine,</w:t>
      </w:r>
    </w:p>
    <w:p w14:paraId="594592A3" w14:textId="77777777" w:rsidR="00772179" w:rsidRDefault="00000000">
      <w:pPr>
        <w:pStyle w:val="Author-eListParagraph"/>
        <w:numPr>
          <w:ilvl w:val="1"/>
          <w:numId w:val="393"/>
        </w:numPr>
      </w:pPr>
      <w:r>
        <w:t>son accessibilité aisée ou non,</w:t>
      </w:r>
    </w:p>
    <w:p w14:paraId="5D176668" w14:textId="77777777" w:rsidR="00772179" w:rsidRDefault="00000000">
      <w:pPr>
        <w:pStyle w:val="Author-eListParagraph"/>
        <w:numPr>
          <w:ilvl w:val="1"/>
          <w:numId w:val="393"/>
        </w:numPr>
      </w:pPr>
      <w:r>
        <w:t>la présence de système de protection complémentaire,</w:t>
      </w:r>
    </w:p>
    <w:p w14:paraId="65C092E6" w14:textId="77777777" w:rsidR="00772179" w:rsidRDefault="00000000">
      <w:pPr>
        <w:pStyle w:val="Author-eListParagraph"/>
        <w:numPr>
          <w:ilvl w:val="1"/>
          <w:numId w:val="393"/>
        </w:numPr>
      </w:pPr>
      <w:r>
        <w:lastRenderedPageBreak/>
        <w:t>la valeur, la taille, le nombre, l'encombrement, le poids des biens à protéger,</w:t>
      </w:r>
    </w:p>
    <w:p w14:paraId="27D069B5" w14:textId="77777777" w:rsidR="00772179" w:rsidRDefault="00000000">
      <w:pPr>
        <w:pStyle w:val="Author-eListParagraph"/>
        <w:numPr>
          <w:ilvl w:val="1"/>
          <w:numId w:val="393"/>
        </w:numPr>
      </w:pPr>
      <w:r>
        <w:t>la fonction du bâtiment,</w:t>
      </w:r>
    </w:p>
    <w:p w14:paraId="01740AAB" w14:textId="77777777" w:rsidR="00772179" w:rsidRDefault="00000000">
      <w:pPr>
        <w:pStyle w:val="Author-eListParagraph"/>
        <w:numPr>
          <w:ilvl w:val="1"/>
          <w:numId w:val="393"/>
        </w:numPr>
      </w:pPr>
      <w:r>
        <w:t>tous autres facteurs spécifiques, psychologiques et humains.</w:t>
      </w:r>
    </w:p>
    <w:p w14:paraId="5BC9E14A" w14:textId="77777777" w:rsidR="00772179" w:rsidRDefault="00000000">
      <w:pPr>
        <w:pStyle w:val="Author-eListParagraph"/>
        <w:numPr>
          <w:ilvl w:val="0"/>
          <w:numId w:val="392"/>
        </w:numPr>
        <w:jc w:val="both"/>
      </w:pPr>
      <w:r>
        <w:t>L'interprétation des classes de la [NBN EN 1627] :</w:t>
      </w:r>
    </w:p>
    <w:p w14:paraId="6AD4C34D" w14:textId="77777777" w:rsidR="00772179" w:rsidRDefault="00000000">
      <w:pPr>
        <w:jc w:val="both"/>
      </w:pPr>
      <w:r>
        <w:t>Tableau - Classes et types d'attaque correspondant :</w:t>
      </w:r>
    </w:p>
    <w:tbl>
      <w:tblPr>
        <w:tblStyle w:val="Author-eTableGrid"/>
        <w:tblW w:w="9030" w:type="dxa"/>
        <w:tblLayout w:type="fixed"/>
        <w:tblLook w:val="04A0" w:firstRow="1" w:lastRow="0" w:firstColumn="1" w:lastColumn="0" w:noHBand="0" w:noVBand="1"/>
      </w:tblPr>
      <w:tblGrid>
        <w:gridCol w:w="1125"/>
        <w:gridCol w:w="7905"/>
      </w:tblGrid>
      <w:tr w:rsidR="00772179" w14:paraId="0D7A8BD5" w14:textId="77777777">
        <w:tc>
          <w:tcPr>
            <w:tcW w:w="1125" w:type="dxa"/>
            <w:noWrap/>
          </w:tcPr>
          <w:p w14:paraId="7F554A18" w14:textId="77777777" w:rsidR="00772179" w:rsidRDefault="00000000">
            <w:pPr>
              <w:jc w:val="center"/>
            </w:pPr>
            <w:r>
              <w:t>Classes [NBN EN 1627]</w:t>
            </w:r>
          </w:p>
        </w:tc>
        <w:tc>
          <w:tcPr>
            <w:tcW w:w="7905" w:type="dxa"/>
            <w:noWrap/>
          </w:tcPr>
          <w:p w14:paraId="060874EE" w14:textId="77777777" w:rsidR="00772179" w:rsidRDefault="00000000">
            <w:pPr>
              <w:jc w:val="center"/>
            </w:pPr>
            <w:r>
              <w:t>Types d'attaque</w:t>
            </w:r>
          </w:p>
        </w:tc>
      </w:tr>
      <w:tr w:rsidR="00772179" w14:paraId="5B3EA00D" w14:textId="77777777">
        <w:tc>
          <w:tcPr>
            <w:tcW w:w="1125" w:type="dxa"/>
            <w:noWrap/>
          </w:tcPr>
          <w:p w14:paraId="315314CA" w14:textId="77777777" w:rsidR="00772179" w:rsidRDefault="00000000">
            <w:pPr>
              <w:jc w:val="center"/>
            </w:pPr>
            <w:r>
              <w:t>1</w:t>
            </w:r>
          </w:p>
        </w:tc>
        <w:tc>
          <w:tcPr>
            <w:tcW w:w="7905" w:type="dxa"/>
            <w:noWrap/>
          </w:tcPr>
          <w:p w14:paraId="5B515BE1" w14:textId="77777777" w:rsidR="00772179" w:rsidRDefault="00000000">
            <w:r>
              <w:t>Un cambrioleur occasionnel essaie d'ouvrir la fenêtre, la porte ou la fermeture en utilisant la violence physique, par exemple coup de pied, coup d'épaule, soulèvement, arrachement.</w:t>
            </w:r>
          </w:p>
        </w:tc>
      </w:tr>
      <w:tr w:rsidR="00772179" w14:paraId="3EBFCD12" w14:textId="77777777">
        <w:tc>
          <w:tcPr>
            <w:tcW w:w="1125" w:type="dxa"/>
            <w:noWrap/>
          </w:tcPr>
          <w:p w14:paraId="0C8F0059" w14:textId="77777777" w:rsidR="00772179" w:rsidRDefault="00000000">
            <w:pPr>
              <w:jc w:val="center"/>
            </w:pPr>
            <w:r>
              <w:t>2</w:t>
            </w:r>
          </w:p>
        </w:tc>
        <w:tc>
          <w:tcPr>
            <w:tcW w:w="7905" w:type="dxa"/>
            <w:noWrap/>
          </w:tcPr>
          <w:p w14:paraId="650CFFD7" w14:textId="77777777" w:rsidR="00772179" w:rsidRDefault="00000000">
            <w:r>
              <w:t>Le cambrioleur occasionnel essaie en plus d'ouvrir la fenêtre, la porte ou la fermeture en utilisant des outils simples, par exemple tournevis, pince, coins.</w:t>
            </w:r>
          </w:p>
        </w:tc>
      </w:tr>
      <w:tr w:rsidR="00772179" w14:paraId="76BBB59D" w14:textId="77777777">
        <w:tc>
          <w:tcPr>
            <w:tcW w:w="1125" w:type="dxa"/>
            <w:noWrap/>
          </w:tcPr>
          <w:p w14:paraId="5F2B0FF1" w14:textId="77777777" w:rsidR="00772179" w:rsidRDefault="00000000">
            <w:pPr>
              <w:jc w:val="center"/>
            </w:pPr>
            <w:r>
              <w:t>3</w:t>
            </w:r>
          </w:p>
        </w:tc>
        <w:tc>
          <w:tcPr>
            <w:tcW w:w="7905" w:type="dxa"/>
            <w:noWrap/>
          </w:tcPr>
          <w:p w14:paraId="120F79AE" w14:textId="77777777" w:rsidR="00772179" w:rsidRDefault="00000000">
            <w:r>
              <w:t>Le cambrioleur essaie d'entrer en utilisant 2 tournevis, ou plus, et un pied de biche.</w:t>
            </w:r>
          </w:p>
        </w:tc>
      </w:tr>
      <w:tr w:rsidR="00772179" w14:paraId="3966E57C" w14:textId="77777777">
        <w:tc>
          <w:tcPr>
            <w:tcW w:w="1125" w:type="dxa"/>
            <w:noWrap/>
          </w:tcPr>
          <w:p w14:paraId="1A334B16" w14:textId="77777777" w:rsidR="00772179" w:rsidRDefault="00000000">
            <w:pPr>
              <w:jc w:val="center"/>
            </w:pPr>
            <w:r>
              <w:t>4</w:t>
            </w:r>
          </w:p>
        </w:tc>
        <w:tc>
          <w:tcPr>
            <w:tcW w:w="7905" w:type="dxa"/>
            <w:noWrap/>
          </w:tcPr>
          <w:p w14:paraId="3CD458FE" w14:textId="77777777" w:rsidR="00772179" w:rsidRDefault="00000000">
            <w:r>
              <w:t>Le cambrioleur expérimenté utilise en plus des outils tels que scie, marteau, hache, ciseau, burin, perceuse électrique portative à batterie. </w:t>
            </w:r>
          </w:p>
        </w:tc>
      </w:tr>
      <w:tr w:rsidR="00772179" w14:paraId="2427674B" w14:textId="77777777">
        <w:tc>
          <w:tcPr>
            <w:tcW w:w="1125" w:type="dxa"/>
            <w:noWrap/>
          </w:tcPr>
          <w:p w14:paraId="3B7E9E63" w14:textId="77777777" w:rsidR="00772179" w:rsidRDefault="00000000">
            <w:pPr>
              <w:jc w:val="center"/>
            </w:pPr>
            <w:r>
              <w:t>5</w:t>
            </w:r>
          </w:p>
        </w:tc>
        <w:tc>
          <w:tcPr>
            <w:tcW w:w="7905" w:type="dxa"/>
            <w:noWrap/>
          </w:tcPr>
          <w:p w14:paraId="038F1BBA" w14:textId="77777777" w:rsidR="00772179" w:rsidRDefault="00000000">
            <w:r>
              <w:t>Le cambrioleur expérimenté utilise en plus des outils électriques, par exemple perceuse, scie sauteuse et sabre, meuleuse d'angle avec disque de diamètre maximum 125 mm.</w:t>
            </w:r>
          </w:p>
        </w:tc>
      </w:tr>
      <w:tr w:rsidR="00772179" w14:paraId="164D7408" w14:textId="77777777">
        <w:tc>
          <w:tcPr>
            <w:tcW w:w="1125" w:type="dxa"/>
            <w:noWrap/>
          </w:tcPr>
          <w:p w14:paraId="16B26EFB" w14:textId="77777777" w:rsidR="00772179" w:rsidRDefault="00000000">
            <w:pPr>
              <w:jc w:val="center"/>
            </w:pPr>
            <w:r>
              <w:t>6</w:t>
            </w:r>
          </w:p>
        </w:tc>
        <w:tc>
          <w:tcPr>
            <w:tcW w:w="7905" w:type="dxa"/>
            <w:noWrap/>
          </w:tcPr>
          <w:p w14:paraId="565858A4" w14:textId="77777777" w:rsidR="00772179" w:rsidRDefault="00000000">
            <w:r>
              <w:t>Le cambrioleur expérimenté utilise en plus des outils électriques puissants, par exemple, perceuse, scie sauteuse et sabre, meuleuse d'angle avec disque de diamètre maximum 230 mm.</w:t>
            </w:r>
          </w:p>
        </w:tc>
      </w:tr>
    </w:tbl>
    <w:p w14:paraId="34691253" w14:textId="77777777" w:rsidR="00772179" w:rsidRDefault="00772179"/>
    <w:p w14:paraId="3DF0D591" w14:textId="77777777" w:rsidR="00772179" w:rsidRDefault="00000000">
      <w:pPr>
        <w:jc w:val="both"/>
      </w:pPr>
      <w:r>
        <w:rPr>
          <w:b/>
          <w:u w:val="single"/>
        </w:rPr>
        <w:t>Résistance et Réaction au feu</w:t>
      </w:r>
    </w:p>
    <w:p w14:paraId="5B3DE63A" w14:textId="77777777" w:rsidR="00772179" w:rsidRDefault="00000000">
      <w:pPr>
        <w:jc w:val="both"/>
      </w:pPr>
      <w:r>
        <w:t>Les exigences concernant la réaction au feu sont reprises dans l'[AR 1994-07-07] (et ses modificatifs) fixant les "Normes de base en matière de prévention contre l'incendie et l'explosion".</w:t>
      </w:r>
    </w:p>
    <w:p w14:paraId="70B63501" w14:textId="77777777" w:rsidR="00772179" w:rsidRDefault="00000000">
      <w:pPr>
        <w:jc w:val="both"/>
      </w:pPr>
      <w:r>
        <w:t>La résistance au feu : les performances de résistance au feu des portes de garage sont définies conformément à la norme [NBN EN 16034].</w:t>
      </w:r>
    </w:p>
    <w:p w14:paraId="191C63D2" w14:textId="77777777" w:rsidR="00772179" w:rsidRDefault="00000000">
      <w:pPr>
        <w:jc w:val="both"/>
      </w:pPr>
      <w:r>
        <w:rPr>
          <w:b/>
          <w:u w:val="single"/>
        </w:rPr>
        <w:t>Acoustique</w:t>
      </w:r>
    </w:p>
    <w:p w14:paraId="712E3DE3" w14:textId="77777777" w:rsidR="00772179" w:rsidRDefault="00000000">
      <w:pPr>
        <w:jc w:val="both"/>
      </w:pPr>
      <w:r>
        <w:t>Les performances d’affaiblissement des bruits aériens sont déterminées conformément à la [NBN EN ISO 10140-2].</w:t>
      </w:r>
    </w:p>
    <w:p w14:paraId="16091C10" w14:textId="77777777" w:rsidR="00772179" w:rsidRDefault="00000000">
      <w:pPr>
        <w:jc w:val="both"/>
      </w:pPr>
      <w:r>
        <w:t>Les résultats sont évalués conformément à la [NBN EN ISO 717-1].          </w:t>
      </w:r>
    </w:p>
    <w:p w14:paraId="7686492E" w14:textId="77777777" w:rsidR="00772179" w:rsidRDefault="00000000">
      <w:pPr>
        <w:jc w:val="both"/>
      </w:pPr>
      <w:r>
        <w:rPr>
          <w:b/>
          <w:u w:val="single"/>
        </w:rPr>
        <w:t>Composants des portes </w:t>
      </w:r>
    </w:p>
    <w:p w14:paraId="18B272D5" w14:textId="77777777" w:rsidR="00772179" w:rsidRDefault="00000000">
      <w:pPr>
        <w:jc w:val="both"/>
      </w:pPr>
      <w:r>
        <w:t>Tous les profils et composants des portes sont couverts par d’une déclaration d'aptitude à l'utilisation suivant les prescriptions du chapitre </w:t>
      </w:r>
      <w:r>
        <w:rPr>
          <w:i/>
          <w:color w:val="0000FF"/>
        </w:rPr>
        <w:t>02.42.1 Critères d'acceptabilité</w:t>
      </w:r>
      <w:r>
        <w:t xml:space="preserve"> qui sont préalablement remis à l’auteur de projet. sur l’ensemble de la porte de garage. Si d’autres produits sont utilisés, l’ensemble de l’élément de porte de garage fait l’objet d’une validation des performances.</w:t>
      </w:r>
    </w:p>
    <w:p w14:paraId="10EC1871" w14:textId="77777777" w:rsidR="00772179" w:rsidRDefault="00000000">
      <w:pPr>
        <w:jc w:val="both"/>
      </w:pPr>
      <w:r>
        <w:t>La note de calcul et/ou essais établis par le constructeur dans le cadre d’une déclaration d'aptitude à l'utilisation suivant les prescriptions du chapitre</w:t>
      </w:r>
      <w:r>
        <w:rPr>
          <w:i/>
        </w:rPr>
        <w:t> </w:t>
      </w:r>
      <w:r>
        <w:rPr>
          <w:i/>
          <w:color w:val="0000FF"/>
        </w:rPr>
        <w:t>02.42.1 Critères d'acceptabilité </w:t>
      </w:r>
      <w:r>
        <w:t>ou de ce chantier tient compte ou couvre toutes les données existantes en ce qui concerne les sollicitations ou les efforts et des critères de performances précités.</w:t>
      </w:r>
    </w:p>
    <w:p w14:paraId="4C727055" w14:textId="77777777" w:rsidR="00772179" w:rsidRDefault="00000000">
      <w:pPr>
        <w:jc w:val="both"/>
      </w:pPr>
      <w:r>
        <w:t>Les dimensions des profils sont exprimées en mm. La forme, le détail et les sections des profils correspondent aux indications sur les plans et aux éventuels détails de principe annexés au dossier. Ils doivent être adaptés à la composition des éléments à la nature, aux dimensions et au mode de mise en œuvre tels qu'ils sont prescrits.</w:t>
      </w:r>
    </w:p>
    <w:p w14:paraId="5D4C3914" w14:textId="77777777" w:rsidR="00772179" w:rsidRDefault="00000000">
      <w:pPr>
        <w:jc w:val="both"/>
      </w:pPr>
      <w:r>
        <w:t>Les éléments vitrés incorporés dans les feuilles de portes sont conformes aux spécifications de verres utilisés conformément à la [NBN S 23-002]. Les types de rupture correspondent à ceux définis dans la norme [NBN EN 12600].</w:t>
      </w:r>
    </w:p>
    <w:p w14:paraId="5036AA0D" w14:textId="77777777" w:rsidR="00772179" w:rsidRDefault="00000000">
      <w:r>
        <w:t> </w:t>
      </w:r>
    </w:p>
    <w:p w14:paraId="5C26A33E" w14:textId="77777777" w:rsidR="00772179" w:rsidRDefault="00000000">
      <w:pPr>
        <w:pStyle w:val="pheading"/>
      </w:pPr>
      <w:r>
        <w:lastRenderedPageBreak/>
        <w:t>EXÉCUTION / MISE EN ŒUVRE</w:t>
      </w:r>
    </w:p>
    <w:p w14:paraId="5151584A" w14:textId="77777777" w:rsidR="00772179" w:rsidRDefault="00000000">
      <w:pPr>
        <w:jc w:val="both"/>
      </w:pPr>
      <w:r>
        <w:t>Le mode de pose et le guide d’utilisation (mode d’emploi pour chaque porte) sont communiqués au maître d’œuvre après la pose.</w:t>
      </w:r>
    </w:p>
    <w:p w14:paraId="38B4F5C3" w14:textId="77777777" w:rsidR="00772179" w:rsidRDefault="00000000">
      <w:pPr>
        <w:jc w:val="both"/>
      </w:pPr>
      <w:r>
        <w:t>La pose de portes industrielles, commerciales et résidentielles se fait conformément aux [NBN EN 12453:2017+A1] et [NBN EN 12604:2017+A1].</w:t>
      </w:r>
    </w:p>
    <w:p w14:paraId="1144FC61" w14:textId="77777777" w:rsidR="00772179" w:rsidRDefault="00000000">
      <w:pPr>
        <w:jc w:val="both"/>
      </w:pPr>
      <w:r>
        <w:t>Pour réaliser l'ébrasement de la porte, l'entrepreneur transmet les données nécessaires concernant les dimensions et le mouvement de la porte et on détermine les bonnes dimensions de la baie, la hauteur du linteau et la largeur des battées. Dans le cas d'une baie existante, l'entrepreneur fait un relevé sur place de la baie.</w:t>
      </w:r>
    </w:p>
    <w:p w14:paraId="1E92D41B" w14:textId="77777777" w:rsidR="00772179" w:rsidRDefault="00000000">
      <w:pPr>
        <w:jc w:val="both"/>
      </w:pPr>
      <w:r>
        <w:t>Le transport et le stockage sur le chantier se font toujours conformément aux prescriptions du fabricant. Les différents composants des portes sont emballés de manière à ce que les agents externes (par exemple hygrothermiques) ne puissent détériorer le produit pendant le transport et le stockage. </w:t>
      </w:r>
    </w:p>
    <w:p w14:paraId="01DFD280" w14:textId="77777777" w:rsidR="00772179" w:rsidRDefault="00000000">
      <w:pPr>
        <w:jc w:val="both"/>
      </w:pPr>
      <w:r>
        <w:t>Les portes sont placées avec tous les accessoires et les moyens de fixation nécessaires en respectant les directives du fabricant. Pour une fixation durable et un guidage précis, tous les profilés en plastique et en aluminium sont pourvus de canaux pour raccord vissés.</w:t>
      </w:r>
    </w:p>
    <w:p w14:paraId="029B1EF1" w14:textId="77777777" w:rsidR="00772179" w:rsidRDefault="00000000">
      <w:pPr>
        <w:jc w:val="both"/>
      </w:pPr>
      <w:r>
        <w:t>Le bâti de la porte est fixé au gros œuvre à l’aide de blochets de porte maçonnés et/ou de profilés inoxydables ou galvanisés réglables et de dispositifs de fixation. Les guides latéraux et les autres accessoires doivent être fixés avec des matériaux inoxydables adaptés.</w:t>
      </w:r>
    </w:p>
    <w:p w14:paraId="13FEBE00" w14:textId="77777777" w:rsidR="00772179" w:rsidRDefault="00000000">
      <w:pPr>
        <w:jc w:val="both"/>
      </w:pPr>
      <w:r>
        <w:t>Les pièces en acier inox ne sont pas montées qu’avec des moyens de fixation en acier inox, de préférence du même type d’acier inox.</w:t>
      </w:r>
    </w:p>
    <w:p w14:paraId="2ECBC430" w14:textId="77777777" w:rsidR="00772179" w:rsidRDefault="00000000">
      <w:pPr>
        <w:jc w:val="both"/>
      </w:pPr>
      <w:r>
        <w:t>Le bâti est monté dans ou derrière l’ébrasement conformément aux prescriptions du fabricant.</w:t>
      </w:r>
    </w:p>
    <w:p w14:paraId="5A322E83" w14:textId="77777777" w:rsidR="00772179" w:rsidRDefault="00000000">
      <w:pPr>
        <w:jc w:val="both"/>
      </w:pPr>
      <w:r>
        <w:t>Entre le gros œuvre et le bâti de la porte, une bande d’étanchéité à l’air d’au moins 20 mm de large est mise en œuvre et le raccord est obturé par un mastic élastique conformément aux [STS 56.1]. Le choix de la classe de mastic est effectué conformément au tableau 5 de les [STS 56.1].</w:t>
      </w:r>
    </w:p>
    <w:p w14:paraId="522F2D62" w14:textId="77777777" w:rsidR="00772179" w:rsidRDefault="00000000">
      <w:pPr>
        <w:jc w:val="both"/>
      </w:pPr>
      <w:r>
        <w:t>Les dimensions du cordon d’étanchéité sont choisies avec soin en fonction du type de joint. Conformément aux directives du fabricant du mastic. La largeur réellement nécessaire du joint peut être calculée conformément aux [STS 56.1], § 5.2. Les bandes ou cordons de joint sont appliqués conformément aux prescriptions du fabricant, après nettoyage préalable du joint. Si l’installateur utilise des rubans précomprimés, il attend jusqu’à la décompression complète des bandes avant d’appliquer le mastic (en fonction de la température). </w:t>
      </w:r>
    </w:p>
    <w:p w14:paraId="76ECE19D" w14:textId="77777777" w:rsidR="00772179" w:rsidRDefault="00000000">
      <w:pPr>
        <w:jc w:val="both"/>
      </w:pPr>
      <w:r>
        <w:t>Les dimensions indiquées sur les plans et dans le métré sont celles du gros-œuvre tel qu'il est exécuté et sont donc purement indicatives. L'entrepreneur est tenu de prendre lui-même les mesures sur le chantier avant de procéder à la fabrication des éléments sauf dans le cas d’une pose par précadre pour laquelle les modalités particulières sont convenues.</w:t>
      </w:r>
    </w:p>
    <w:p w14:paraId="78983C24" w14:textId="77777777" w:rsidR="00772179" w:rsidRDefault="00000000">
      <w:pPr>
        <w:jc w:val="both"/>
      </w:pPr>
      <w:r>
        <w:t>Les travaux sont exécutés par une firme spécialisée et par des ouvriers qualifiés.    </w:t>
      </w:r>
    </w:p>
    <w:p w14:paraId="034837E1" w14:textId="77777777" w:rsidR="00772179" w:rsidRDefault="00000000">
      <w:pPr>
        <w:ind w:left="750"/>
      </w:pPr>
      <w:r>
        <w:t> </w:t>
      </w:r>
    </w:p>
    <w:p w14:paraId="04945D87" w14:textId="77777777" w:rsidR="00772179" w:rsidRDefault="00000000">
      <w:pPr>
        <w:pStyle w:val="pheading"/>
      </w:pPr>
      <w:r>
        <w:t>CONTRÔLES</w:t>
      </w:r>
    </w:p>
    <w:p w14:paraId="4AD4ACA8" w14:textId="77777777" w:rsidR="00772179" w:rsidRDefault="00000000">
      <w:pPr>
        <w:jc w:val="both"/>
      </w:pPr>
      <w:r>
        <w:t>Les documents relatifs à la déclaration d'aptitude à l'utilisation suivant les prescriptions du chapitre </w:t>
      </w:r>
      <w:r>
        <w:rPr>
          <w:i/>
          <w:color w:val="0000FF"/>
        </w:rPr>
        <w:t>02.42.1 Critères d'acceptabilité</w:t>
      </w:r>
      <w:r>
        <w:t xml:space="preserve"> ou aux performances exigées dans le cahier spécial des charges sont préalablement remis à l'architecte.</w:t>
      </w:r>
    </w:p>
    <w:p w14:paraId="5BF084BC" w14:textId="77777777" w:rsidR="00772179" w:rsidRDefault="00000000">
      <w:pPr>
        <w:jc w:val="both"/>
      </w:pPr>
      <w:r>
        <w:rPr>
          <w:b/>
        </w:rPr>
        <w:t>Essais</w:t>
      </w:r>
    </w:p>
    <w:p w14:paraId="3520F771" w14:textId="77777777" w:rsidR="00772179" w:rsidRDefault="00000000">
      <w:pPr>
        <w:pStyle w:val="Author-eListParagraph"/>
        <w:numPr>
          <w:ilvl w:val="0"/>
          <w:numId w:val="394"/>
        </w:numPr>
      </w:pPr>
      <w:r>
        <w:t>Si le marquage du produit (déclaration d’aptitude du matériau) ne spécifie pas les performances requises, des essais seront systématiquement exigés dont les frais sont intégralement supportés par l'entrepreneur jusqu'à ce que satisfaction complète soit obtenue. Si l'élément de porte de garage, industrielle ou commerciale ne satisfait pas aux essais, l’auteur de projet est en droit d'imposer une nouvelle série d'essais jusqu’à obtention des performances requises.</w:t>
      </w:r>
    </w:p>
    <w:p w14:paraId="4CC1670B" w14:textId="77777777" w:rsidR="00772179" w:rsidRDefault="00000000">
      <w:pPr>
        <w:pStyle w:val="Author-eListParagraph"/>
        <w:numPr>
          <w:ilvl w:val="0"/>
          <w:numId w:val="394"/>
        </w:numPr>
      </w:pPr>
      <w:r>
        <w:lastRenderedPageBreak/>
        <w:t>Les essais sont exécutés par un laboratoire indépendant notifié, selon la norme [NBN EN 13241:2003+A2], les exigences sont reprises dans la [STS 53.2].</w:t>
      </w:r>
    </w:p>
    <w:p w14:paraId="329AE54B" w14:textId="77777777" w:rsidR="00772179" w:rsidRDefault="00000000">
      <w:pPr>
        <w:pStyle w:val="Author-eListParagraph"/>
        <w:numPr>
          <w:ilvl w:val="0"/>
          <w:numId w:val="394"/>
        </w:numPr>
      </w:pPr>
      <w:r>
        <w:t>La porte testée et approuvée est marquée et conservée comme référence. Au cas où les produits ne satisfont pas aux essais, Le maître d’ouvrage en accord avec l’auteur de projet peut faire arrêter les travaux immédiatement. </w:t>
      </w:r>
    </w:p>
    <w:p w14:paraId="7B5B2EFB" w14:textId="77777777" w:rsidR="00772179" w:rsidRDefault="00000000">
      <w:pPr>
        <w:jc w:val="both"/>
      </w:pPr>
      <w:r>
        <w:rPr>
          <w:b/>
        </w:rPr>
        <w:t>Tolérances</w:t>
      </w:r>
    </w:p>
    <w:p w14:paraId="742650FC" w14:textId="77777777" w:rsidR="00772179" w:rsidRDefault="00000000">
      <w:pPr>
        <w:jc w:val="both"/>
      </w:pPr>
      <w:r>
        <w:t>Les tolérances dimensionnelles sont reprises dans la [STS 53.2].</w:t>
      </w:r>
    </w:p>
    <w:p w14:paraId="7CFDD2D9" w14:textId="77777777" w:rsidR="00772179" w:rsidRDefault="00000000">
      <w:pPr>
        <w:jc w:val="both"/>
      </w:pPr>
      <w:r>
        <w:rPr>
          <w:b/>
        </w:rPr>
        <w:t>Pose</w:t>
      </w:r>
    </w:p>
    <w:p w14:paraId="308EC00D" w14:textId="77777777" w:rsidR="00772179" w:rsidRDefault="00000000">
      <w:pPr>
        <w:jc w:val="both"/>
      </w:pPr>
      <w:r>
        <w:t>La dégradation des profils et panneaux suite à la mise en place, griffes, évidements ou mauvaise fixation entraîne le refus et soit la réparation soit le remplacement de l'élément. Les critères d’acceptation sont repris dans la [STS 52.1] pour les menuiseries en bois. Les exigences de qualité et recommandations pour l’aluminium sont reprises dans la CONSTRUCTION du Centre Belge de l’Aluminium.</w:t>
      </w:r>
    </w:p>
    <w:p w14:paraId="6F6A77E1" w14:textId="77777777" w:rsidR="00772179" w:rsidRDefault="00000000">
      <w:pPr>
        <w:pStyle w:val="pheading"/>
      </w:pPr>
      <w:r>
        <w:t>DOCUMENTS DE RÉFÉRENCE</w:t>
      </w:r>
    </w:p>
    <w:p w14:paraId="6285E5AD" w14:textId="77777777" w:rsidR="00772179" w:rsidRDefault="00000000">
      <w:pPr>
        <w:pStyle w:val="pheading"/>
      </w:pPr>
      <w:r>
        <w:t>- Matériau</w:t>
      </w:r>
    </w:p>
    <w:p w14:paraId="45C91043" w14:textId="77777777" w:rsidR="00772179" w:rsidRDefault="00000000">
      <w:r>
        <w:t>[NBN EN 12433-1, Portes industrielles, commerciales et de garage - Terminologie - Partie 1: Types de fermetures et portails]</w:t>
      </w:r>
    </w:p>
    <w:p w14:paraId="4D81C231" w14:textId="77777777" w:rsidR="00772179" w:rsidRDefault="00000000">
      <w:r>
        <w:t>[NBN EN 12433-2, Portes industrielles, commerciales et de garage - Terminologie - Partie 2: Constituants des fermetures et portails]</w:t>
      </w:r>
    </w:p>
    <w:p w14:paraId="0603A234" w14:textId="77777777" w:rsidR="00772179" w:rsidRDefault="00000000">
      <w:r>
        <w:t>[NBN EN 13241:2003+A2, Portes et portails industriels, commerciaux et de garage - Norme de produit, caractéristiques de performance]</w:t>
      </w:r>
    </w:p>
    <w:p w14:paraId="5472548B" w14:textId="77777777" w:rsidR="00772179" w:rsidRDefault="00000000">
      <w:r>
        <w:t>[STS 53.2, Portes industrielles, commerciales et résidentielles]</w:t>
      </w:r>
    </w:p>
    <w:p w14:paraId="4122466B" w14:textId="77777777" w:rsidR="00772179" w:rsidRDefault="00000000">
      <w:r>
        <w:t>[NBN EN 12604:2017+A1, Portes et portails industriels, commerciaux et résidentiels - Aspects mécaniques - Exigences et méthodes d'essai]</w:t>
      </w:r>
    </w:p>
    <w:p w14:paraId="5AF43C41" w14:textId="77777777" w:rsidR="00772179" w:rsidRDefault="00000000">
      <w:r>
        <w:t>[NBN EN 12453:2017+A1, Portes et portails industriels, commerciaux et résidentiels - Sécurité d’utilisation des portes et portails motorisés - Exigences et méthodes d'essai]</w:t>
      </w:r>
    </w:p>
    <w:p w14:paraId="66B86B18" w14:textId="77777777" w:rsidR="00772179" w:rsidRDefault="00000000">
      <w:r>
        <w:t>[NBN EN IEC 61000-6-3, Compatibilité électromagnétique (CEM) - Partie 6-3: Normes génériques - Norme sur l'émission relative aux appareils utilisés dans les environnements résidentiels]</w:t>
      </w:r>
    </w:p>
    <w:p w14:paraId="4BF15D9F" w14:textId="77777777" w:rsidR="00772179" w:rsidRDefault="00000000">
      <w:r>
        <w:t>[NBN EN IEC 61000-6-2, Compatibilité électromagnétique (CEM) - Partie 6-2: Normes génériques - Norme d'immunité pour les environnements industriels]</w:t>
      </w:r>
    </w:p>
    <w:p w14:paraId="05A177CE" w14:textId="77777777" w:rsidR="00772179" w:rsidRDefault="00000000">
      <w:r>
        <w:t>[NBN EN 12424, Portes équipant les locaux industriels, commerciaux et les garages - Résistance à la charge de vent - Classification]</w:t>
      </w:r>
    </w:p>
    <w:p w14:paraId="1E7DC18D" w14:textId="77777777" w:rsidR="00772179" w:rsidRDefault="00000000">
      <w:r>
        <w:t>[NBN EN 12444, Portes équipant les locaux industriels, commerciaux et de garage - Résistance à la charge de vent - Essais et calculs]</w:t>
      </w:r>
    </w:p>
    <w:p w14:paraId="5976FC0A" w14:textId="77777777" w:rsidR="00772179" w:rsidRDefault="00000000">
      <w:r>
        <w:t>[NBN EN 12428, Portes et portails équipant les locaux industriels, commerciaux et les garages - Transmission thermique - Exigences pour les calculs]</w:t>
      </w:r>
    </w:p>
    <w:p w14:paraId="44AFDFDA" w14:textId="77777777" w:rsidR="00772179" w:rsidRDefault="00000000">
      <w:r>
        <w:t>[NBN EN 12427, Portes équipant les locaux industriels, commerciaux et les garages - Perméabilité à l'air - Méthode d'essai] </w:t>
      </w:r>
    </w:p>
    <w:p w14:paraId="2A2B8E54" w14:textId="77777777" w:rsidR="00772179" w:rsidRDefault="00000000">
      <w:r>
        <w:t>[NBN EN 12426, Portes équipant les locaux industriels, commerciaux et les garages - Perméabilité à l'air - Classification]</w:t>
      </w:r>
    </w:p>
    <w:p w14:paraId="64000813" w14:textId="77777777" w:rsidR="00772179" w:rsidRDefault="00000000">
      <w:r>
        <w:t>[NBN EN 12489, Portes équipant les locaux industriels, commerciaux et les garages - Résistance à la pénétration de l'eau - Méthode d'essai]</w:t>
      </w:r>
    </w:p>
    <w:p w14:paraId="7042BFC1" w14:textId="77777777" w:rsidR="00772179" w:rsidRDefault="00000000">
      <w:r>
        <w:t>[NBN EN 12425, Portes équipant les locaux industriels, commerciaux et les garages - Résistance à la pénétration de l'eau - Classification]</w:t>
      </w:r>
    </w:p>
    <w:p w14:paraId="4BC33CCF" w14:textId="77777777" w:rsidR="00772179" w:rsidRDefault="00000000">
      <w:r>
        <w:t>[NBN EN 1627, Blocs-portes pour piétons, fenêtres, façades rideaux, grilles et fermetures - Résistance à l'effraction - Prescriptions et classification]</w:t>
      </w:r>
    </w:p>
    <w:p w14:paraId="1C00A80B" w14:textId="77777777" w:rsidR="00772179" w:rsidRDefault="00000000">
      <w:r>
        <w:lastRenderedPageBreak/>
        <w:t>[AR 1994-07-07, Arrêté royal fixant les normes de base en matière de prévention contre l'incendie et l'explosion, auxquelles les bâtiments nouveaux doivent satisfaire] (et ses modificatifs)</w:t>
      </w:r>
    </w:p>
    <w:p w14:paraId="603B757A" w14:textId="77777777" w:rsidR="00772179" w:rsidRDefault="00000000">
      <w:r>
        <w:t>[NBN EN 12978+A1, Portes et portails équipant les locaux industriels et commerciaux et les garages - Dispositifs de sécurité pour portes motorisées - Prescriptions et méthodes d'essai]</w:t>
      </w:r>
    </w:p>
    <w:p w14:paraId="6416AE19" w14:textId="77777777" w:rsidR="00772179" w:rsidRDefault="00000000">
      <w:r>
        <w:t>[NBN EN 16034, Blocs-portes pour piétons, portes et fenêtres industrielles, commerciales et de garage - Norme de produit, caractéristiques de performance - Caractéristiques de résistance au feu et/ou d'étanchéité aux fumées]</w:t>
      </w:r>
    </w:p>
    <w:p w14:paraId="5521DAAF" w14:textId="77777777" w:rsidR="00772179" w:rsidRDefault="00000000">
      <w:r>
        <w:t>[NBN EN ISO 10140-2, Acoustique - Mesurage en laboratoire de l'isolation acoustique des éléments de construction - Partie 2: Mesurage de l'isolation au bruit aérien (ISO 10140-2:2021)]</w:t>
      </w:r>
    </w:p>
    <w:p w14:paraId="0ECF511B" w14:textId="77777777" w:rsidR="00772179" w:rsidRDefault="00000000">
      <w:r>
        <w:t>[NBN EN ISO 717-1, Acoustique - Évaluation de l'isolement acoustique des immeubles et des éléments de construction - Partie 1: Isolement aux bruits aériens (ISO 717-1:2020)]</w:t>
      </w:r>
    </w:p>
    <w:p w14:paraId="42673101" w14:textId="77777777" w:rsidR="00772179" w:rsidRDefault="00000000">
      <w:r>
        <w:t>[NBN S 23-002, Vitrerie]</w:t>
      </w:r>
    </w:p>
    <w:p w14:paraId="0BCFD60C" w14:textId="77777777" w:rsidR="00772179" w:rsidRDefault="00000000">
      <w:r>
        <w:t>[NBN EN 12600, Verre dans la construction - Essai au pendule - Méthode d'essai d'impact et classification du verre plat]</w:t>
      </w:r>
    </w:p>
    <w:p w14:paraId="3F53464D" w14:textId="77777777" w:rsidR="00772179" w:rsidRDefault="00000000">
      <w:r>
        <w:t>[STS 52.1, Menuiseries extérieures en bois]</w:t>
      </w:r>
    </w:p>
    <w:p w14:paraId="78BCDDCC" w14:textId="77777777" w:rsidR="00772179" w:rsidRDefault="00000000">
      <w:pPr>
        <w:pStyle w:val="pheading"/>
      </w:pPr>
      <w:r>
        <w:t>- Exécution</w:t>
      </w:r>
    </w:p>
    <w:p w14:paraId="0095D58C" w14:textId="77777777" w:rsidR="00772179" w:rsidRDefault="00000000">
      <w:r>
        <w:t>[NBN EN 12453:2017+A1, Portes et portails équipant les locaux industriels et commerciaux et les garages - Sécurité à l'utilisation des portes motorisées - Exigences et méthodes d'essai ]</w:t>
      </w:r>
    </w:p>
    <w:p w14:paraId="0F2E07D8" w14:textId="77777777" w:rsidR="00772179" w:rsidRDefault="00000000">
      <w:r>
        <w:t>[NBN EN 12604:2017+A1, Portes et portails industriels, commerciaux et résidentiels - Aspects mécaniques - Exigences et méthodes d'essai]</w:t>
      </w:r>
    </w:p>
    <w:p w14:paraId="73EFB4D8" w14:textId="77777777" w:rsidR="00772179" w:rsidRDefault="00000000">
      <w:r>
        <w:t>[STS 56.1, Mastics d’étanchéité des façades]</w:t>
      </w:r>
    </w:p>
    <w:p w14:paraId="4DF9C3D5" w14:textId="77777777" w:rsidR="00772179" w:rsidRDefault="00000000">
      <w:pPr>
        <w:ind w:left="750"/>
      </w:pPr>
      <w:r>
        <w:t> </w:t>
      </w:r>
    </w:p>
    <w:p w14:paraId="01DAA045" w14:textId="77777777" w:rsidR="00772179" w:rsidRDefault="00000000">
      <w:pPr>
        <w:pStyle w:val="Author-eSectionHeading4Numberless"/>
      </w:pPr>
      <w:bookmarkStart w:id="107" w:name="_Toc220489852"/>
      <w:r>
        <w:t>41.31 Portes de garage à usage privé CCTB 01.11</w:t>
      </w:r>
      <w:bookmarkEnd w:id="107"/>
    </w:p>
    <w:p w14:paraId="3B431B08" w14:textId="77777777" w:rsidR="00772179" w:rsidRDefault="00000000">
      <w:pPr>
        <w:pStyle w:val="pheading"/>
      </w:pPr>
      <w:r>
        <w:t>DESCRIPTION</w:t>
      </w:r>
    </w:p>
    <w:p w14:paraId="1870E2F2" w14:textId="77777777" w:rsidR="00772179" w:rsidRDefault="00000000">
      <w:pPr>
        <w:pStyle w:val="pheading"/>
      </w:pPr>
      <w:r>
        <w:t>- Définition / Comprend</w:t>
      </w:r>
    </w:p>
    <w:p w14:paraId="3DBF0AA6" w14:textId="77777777" w:rsidR="00772179" w:rsidRDefault="00000000">
      <w:pPr>
        <w:jc w:val="both"/>
      </w:pPr>
      <w:r>
        <w:t>Le travail comprend notamment :</w:t>
      </w:r>
    </w:p>
    <w:p w14:paraId="650846A3" w14:textId="77777777" w:rsidR="00772179" w:rsidRDefault="00000000">
      <w:pPr>
        <w:pStyle w:val="Author-eListParagraph"/>
        <w:numPr>
          <w:ilvl w:val="0"/>
          <w:numId w:val="395"/>
        </w:numPr>
        <w:jc w:val="both"/>
      </w:pPr>
      <w:r>
        <w:t>Toutes précautions en matière de sécurité conformément au 01.4 Plans de sécurité et de santé ;</w:t>
      </w:r>
    </w:p>
    <w:p w14:paraId="098ACE3C" w14:textId="77777777" w:rsidR="00772179" w:rsidRDefault="00000000">
      <w:pPr>
        <w:pStyle w:val="Author-eListParagraph"/>
        <w:numPr>
          <w:ilvl w:val="0"/>
          <w:numId w:val="395"/>
        </w:numPr>
        <w:jc w:val="both"/>
      </w:pPr>
      <w:r>
        <w:t>La vérification de l’état du gros œuvre et de la compatibilité de l’exécution avec les tolérances de pose de la porte ;</w:t>
      </w:r>
    </w:p>
    <w:p w14:paraId="2D16804E" w14:textId="77777777" w:rsidR="00772179" w:rsidRDefault="00000000">
      <w:pPr>
        <w:pStyle w:val="Author-eListParagraph"/>
        <w:numPr>
          <w:ilvl w:val="0"/>
          <w:numId w:val="395"/>
        </w:numPr>
        <w:jc w:val="both"/>
      </w:pPr>
      <w:r>
        <w:t>L’établissement des plans d’exécution tenant compte des battées, impostes, possibilités de fixation ;</w:t>
      </w:r>
    </w:p>
    <w:p w14:paraId="53450621" w14:textId="77777777" w:rsidR="00772179" w:rsidRDefault="00000000">
      <w:pPr>
        <w:pStyle w:val="Author-eListParagraph"/>
        <w:numPr>
          <w:ilvl w:val="0"/>
          <w:numId w:val="395"/>
        </w:numPr>
        <w:jc w:val="both"/>
      </w:pPr>
      <w:r>
        <w:t>La fourniture et pose du vantail avec les organes de suspension et de guidage ;</w:t>
      </w:r>
    </w:p>
    <w:p w14:paraId="1A08F901" w14:textId="77777777" w:rsidR="00772179" w:rsidRDefault="00000000">
      <w:pPr>
        <w:pStyle w:val="Author-eListParagraph"/>
        <w:numPr>
          <w:ilvl w:val="0"/>
          <w:numId w:val="395"/>
        </w:numPr>
        <w:jc w:val="both"/>
      </w:pPr>
      <w:r>
        <w:t>La quincaillerie et les dispositifs de commande et de sécurité ;</w:t>
      </w:r>
    </w:p>
    <w:p w14:paraId="65456D1C" w14:textId="77777777" w:rsidR="00772179" w:rsidRDefault="00000000">
      <w:pPr>
        <w:pStyle w:val="Author-eListParagraph"/>
        <w:numPr>
          <w:ilvl w:val="0"/>
          <w:numId w:val="395"/>
        </w:numPr>
        <w:jc w:val="both"/>
      </w:pPr>
      <w:r>
        <w:t>Les raccords aux matériaux adjacents, dispositifs d’étanchéité, resserrages, joints ;</w:t>
      </w:r>
    </w:p>
    <w:p w14:paraId="3377AB88" w14:textId="77777777" w:rsidR="00772179" w:rsidRDefault="00000000">
      <w:pPr>
        <w:pStyle w:val="Author-eListParagraph"/>
        <w:numPr>
          <w:ilvl w:val="0"/>
          <w:numId w:val="395"/>
        </w:numPr>
        <w:jc w:val="both"/>
      </w:pPr>
      <w:r>
        <w:t>Les dispositifs acoustiques permettant de répondre aux normes en vigueur ;</w:t>
      </w:r>
    </w:p>
    <w:p w14:paraId="10FC4A83" w14:textId="77777777" w:rsidR="00772179" w:rsidRDefault="00000000">
      <w:pPr>
        <w:pStyle w:val="Author-eListParagraph"/>
        <w:numPr>
          <w:ilvl w:val="0"/>
          <w:numId w:val="395"/>
        </w:numPr>
        <w:jc w:val="both"/>
      </w:pPr>
      <w:r>
        <w:t>La signalisation de sécurité (signal sonore et/ou lumineux).</w:t>
      </w:r>
    </w:p>
    <w:p w14:paraId="39C34FB8" w14:textId="77777777" w:rsidR="00772179" w:rsidRDefault="00000000">
      <w:pPr>
        <w:pStyle w:val="Author-eSectionHeading5Numberless"/>
      </w:pPr>
      <w:bookmarkStart w:id="108" w:name="_Toc220489853"/>
      <w:r>
        <w:t>41.31.1 Portes de garage à usage privé basculantes CCTB 01.11</w:t>
      </w:r>
      <w:bookmarkEnd w:id="108"/>
    </w:p>
    <w:p w14:paraId="14D60E4D" w14:textId="77777777" w:rsidR="00772179" w:rsidRDefault="00000000">
      <w:pPr>
        <w:pStyle w:val="pheading"/>
      </w:pPr>
      <w:r>
        <w:t>DESCRIPTION</w:t>
      </w:r>
    </w:p>
    <w:p w14:paraId="72EF6C3F" w14:textId="77777777" w:rsidR="00772179" w:rsidRDefault="00000000">
      <w:pPr>
        <w:pStyle w:val="pheading"/>
      </w:pPr>
      <w:r>
        <w:t>- Définition / Comprend</w:t>
      </w:r>
    </w:p>
    <w:p w14:paraId="6618A9A4" w14:textId="77777777" w:rsidR="00772179" w:rsidRDefault="00000000">
      <w:r>
        <w:t xml:space="preserve">Il s'agit de portes basculantes avec un cadre métallique en </w:t>
      </w:r>
      <w:r>
        <w:rPr>
          <w:rStyle w:val="optioncarChar"/>
        </w:rPr>
        <w:t>acier galvanisé / acier inoxydable / ***</w:t>
      </w:r>
      <w:r>
        <w:t>, revêtu de plaques, de bandes ou de planchettes conformément aux dispositions du cahier spécial des charges. Le prix unitaire comprend la fourniture, le montage et le réglage du châssis, du cadre, de la feuille, du système d'équilibrage, la batée dans le bas, la quincaillerie, une couche de fond, …</w:t>
      </w:r>
    </w:p>
    <w:p w14:paraId="5B30E30D" w14:textId="77777777" w:rsidR="00772179" w:rsidRDefault="00000000">
      <w:pPr>
        <w:pStyle w:val="pheading"/>
      </w:pPr>
      <w:r>
        <w:lastRenderedPageBreak/>
        <w:t>MATÉRIAUX</w:t>
      </w:r>
    </w:p>
    <w:p w14:paraId="7D8347D4" w14:textId="77777777" w:rsidR="00772179" w:rsidRDefault="00000000">
      <w:pPr>
        <w:pStyle w:val="heading"/>
      </w:pPr>
      <w:r>
        <w:t>Dormant - Feuille de porte</w:t>
      </w:r>
    </w:p>
    <w:p w14:paraId="3067959D" w14:textId="77777777" w:rsidR="00772179" w:rsidRDefault="00000000">
      <w:pPr>
        <w:pStyle w:val="Author-eListParagraph"/>
        <w:numPr>
          <w:ilvl w:val="0"/>
          <w:numId w:val="396"/>
        </w:numPr>
      </w:pPr>
      <w:r>
        <w:t>La porte basculante est entièrement assemblée en usine et son dormant rigide permet de poser la porte dans ou derrière le jour de baie. Les sections des éléments composants du cadre sont déterminées en fonction des dimensions de la porte et du poids du revêtement, afin d'obtenir un ensemble solide et indéformable. Les profils de renfort sont prévus en nombre suffisant afin d'assurer le fonctionnement souple et silencieux de la porte.</w:t>
      </w:r>
    </w:p>
    <w:p w14:paraId="10E37CC8" w14:textId="77777777" w:rsidR="00772179" w:rsidRDefault="00000000">
      <w:pPr>
        <w:pStyle w:val="Author-eListParagraph"/>
        <w:numPr>
          <w:ilvl w:val="0"/>
          <w:numId w:val="396"/>
        </w:numPr>
      </w:pPr>
      <w:r>
        <w:t>La feuille de porte se compose d'un cadre soudé (avec renfort au centre), revêtu de panneaux, bandes ou lattes comme spécifié dans le cahier spécial des charges. Le cadre se compose de profils fermés, laminés à froids et soudés à haute fréquence, avec un rail de guidage breveté qui assure une guidance latérale impeccable.</w:t>
      </w:r>
    </w:p>
    <w:p w14:paraId="0236C8D8" w14:textId="77777777" w:rsidR="00772179" w:rsidRDefault="00000000">
      <w:pPr>
        <w:pStyle w:val="Author-eListParagraph"/>
        <w:numPr>
          <w:ilvl w:val="0"/>
          <w:numId w:val="396"/>
        </w:numPr>
      </w:pPr>
      <w:r>
        <w:t>Le vantail est suspendu dans un dormant contre lequel le vantail se ferme hermétiquement. La forme du profil et l'étanchéité du dormant empêchent la pénétration d'eau dans le garage. Les montants latéraux du dormant sont fabriqués à l'aide de profils tubulaires rectangulaires galvanisés garnis d'une bande intégrée en matière synthétique ou de butoirs afin que la feuille de porte ne soit pas endommagée.</w:t>
      </w:r>
    </w:p>
    <w:p w14:paraId="0AC3C530" w14:textId="77777777" w:rsidR="00772179" w:rsidRDefault="00000000">
      <w:pPr>
        <w:pStyle w:val="Author-eListParagraph"/>
        <w:numPr>
          <w:ilvl w:val="0"/>
          <w:numId w:val="396"/>
        </w:numPr>
      </w:pPr>
      <w:r>
        <w:t>Dans le bas, la porte bute contre un profil de seuil en acier galvanisé ancré dans le sol. Le bord supérieur du profil se situe dans le même plan que le sol intérieur, de manière à assurer l'écoulement parfait de l'eau.</w:t>
      </w:r>
    </w:p>
    <w:p w14:paraId="13707731" w14:textId="77777777" w:rsidR="00772179" w:rsidRDefault="00000000">
      <w:pPr>
        <w:pStyle w:val="heading"/>
      </w:pPr>
      <w:r>
        <w:t>Mécanisme d'ouverture</w:t>
      </w:r>
    </w:p>
    <w:p w14:paraId="5C995879" w14:textId="77777777" w:rsidR="00772179" w:rsidRDefault="00000000">
      <w:pPr>
        <w:pStyle w:val="Author-eListParagraph"/>
        <w:numPr>
          <w:ilvl w:val="0"/>
          <w:numId w:val="397"/>
        </w:numPr>
      </w:pPr>
      <w:r>
        <w:t>Le montage judicieux et le réglage minutieux de tous les éléments doivent faciliter la manœuvre et assurer un bon amortissement acoustique. Les portes basculantes satisfont en outre aux exigences en matière de sécurité de la norme </w:t>
      </w:r>
      <w:r>
        <w:rPr>
          <w:shd w:val="clear" w:color="auto" w:fill="FFFFFF"/>
        </w:rPr>
        <w:t>[NBN EN 12604:2017+A1].</w:t>
      </w:r>
    </w:p>
    <w:p w14:paraId="01E40811" w14:textId="77777777" w:rsidR="00772179" w:rsidRDefault="00000000">
      <w:pPr>
        <w:pStyle w:val="Author-eListParagraph"/>
        <w:numPr>
          <w:ilvl w:val="0"/>
          <w:numId w:val="397"/>
        </w:numPr>
      </w:pPr>
      <w:r>
        <w:t xml:space="preserve">Pour l'ouverture, la feuille de porte est guidée par </w:t>
      </w:r>
      <w:r>
        <w:rPr>
          <w:rStyle w:val="optioncarChar"/>
        </w:rPr>
        <w:t>2 / 4 / ***</w:t>
      </w:r>
      <w:r>
        <w:t xml:space="preserve"> roulements en</w:t>
      </w:r>
      <w:r>
        <w:rPr>
          <w:rStyle w:val="optioncarChar"/>
        </w:rPr>
        <w:t> Nylon / PVC  dur / ***</w:t>
      </w:r>
      <w:r>
        <w:t xml:space="preserve"> à coussinets autolubrifiants, qui courent dans des rails de guidage horizontaux, à moitié fermés, fixés au plafond, avec protection de fin de course.</w:t>
      </w:r>
    </w:p>
    <w:p w14:paraId="241637C3" w14:textId="77777777" w:rsidR="00772179" w:rsidRDefault="00000000">
      <w:pPr>
        <w:pStyle w:val="Author-eListParagraph"/>
        <w:numPr>
          <w:ilvl w:val="0"/>
          <w:numId w:val="397"/>
        </w:numPr>
      </w:pPr>
      <w:r>
        <w:t xml:space="preserve">Dans le bas, le vantail de porte est relié aux extrémités de deux bras de levage qui décrivent un demi-cercle et font entièrement basculer la porte à l'intérieur du garage contre les butoirs en caoutchouc qui sont fixés sur le </w:t>
      </w:r>
      <w:r>
        <w:rPr>
          <w:rStyle w:val="optioncarChar"/>
        </w:rPr>
        <w:t>rail de guidage / profil d'assemblage / ***</w:t>
      </w:r>
      <w:r>
        <w:t>.</w:t>
      </w:r>
    </w:p>
    <w:p w14:paraId="0366078B" w14:textId="77777777" w:rsidR="00772179" w:rsidRDefault="00000000">
      <w:pPr>
        <w:pStyle w:val="Author-eListParagraph"/>
        <w:numPr>
          <w:ilvl w:val="0"/>
          <w:numId w:val="397"/>
        </w:numPr>
      </w:pPr>
      <w:r>
        <w:t xml:space="preserve">Conformément au cahier spécial des charges, la porte est maintenue en équilibre pendant l'ouverture : </w:t>
      </w:r>
      <w:r>
        <w:rPr>
          <w:rStyle w:val="optioncarChar"/>
        </w:rPr>
        <w:t>par des ressorts réglables / par des contrepoids / par des ressorts sous pression de gaz / ***</w:t>
      </w:r>
      <w:r>
        <w:t xml:space="preserve">. Conformément au cahier spécial des charges, lors de l'ouverture, le vantail de porte </w:t>
      </w:r>
      <w:r>
        <w:rPr>
          <w:rStyle w:val="optioncarChar"/>
        </w:rPr>
        <w:t>reste entièrement à l’intérieur du plan de façade (obligatoire lorsque la façade est alignée au domaine publique) / ressort partiellement du plan de façade / ***</w:t>
      </w:r>
      <w:r>
        <w:t>. </w:t>
      </w:r>
    </w:p>
    <w:p w14:paraId="7C3BFF7D" w14:textId="77777777" w:rsidR="00772179" w:rsidRDefault="00000000">
      <w:pPr>
        <w:pStyle w:val="heading"/>
      </w:pPr>
      <w:r>
        <w:t>Ventilation</w:t>
      </w:r>
    </w:p>
    <w:p w14:paraId="24C54DC1" w14:textId="77777777" w:rsidR="00772179" w:rsidRDefault="00000000">
      <w:pPr>
        <w:pStyle w:val="Author-eListParagraph"/>
        <w:numPr>
          <w:ilvl w:val="0"/>
          <w:numId w:val="398"/>
        </w:numPr>
      </w:pPr>
      <w:r>
        <w:t>Si une ventilation est requise au niveau de la porte, cette ventilation peut être assurée en prévoyant dans le bas des ouvertures d'aération, situées à maximum 40 cm au-dessus du sol. Conformément aux prescriptions du cahier spécial des charges, la ventilation peut être réalisée soit par des ouvertures pliées dans le matériau de revêtement, soit par des grilles encastrées, soit par des ouvertures ménagées entre les panneaux de revêtement et l'encadrement. </w:t>
      </w:r>
    </w:p>
    <w:p w14:paraId="4044BBF5" w14:textId="77777777" w:rsidR="00772179" w:rsidRDefault="00000000">
      <w:pPr>
        <w:pStyle w:val="heading"/>
      </w:pPr>
      <w:r>
        <w:t>Serrures - Poignées</w:t>
      </w:r>
    </w:p>
    <w:p w14:paraId="27EB6D7D" w14:textId="77777777" w:rsidR="00772179" w:rsidRDefault="00000000">
      <w:pPr>
        <w:pStyle w:val="Author-eListParagraph"/>
        <w:numPr>
          <w:ilvl w:val="0"/>
          <w:numId w:val="399"/>
        </w:numPr>
      </w:pPr>
      <w:r>
        <w:t xml:space="preserve">La porte se verrouille automatiquement mais peut s'ouvrir </w:t>
      </w:r>
      <w:r>
        <w:rPr>
          <w:rStyle w:val="optioncarChar"/>
        </w:rPr>
        <w:t xml:space="preserve">de l'intérieur / sans clé / à l'aide d'une goupille de déverrouillage / ***.  </w:t>
      </w:r>
      <w:r>
        <w:t xml:space="preserve">La porte est équipée d'un mécanisme de fermeture composé d'au moins </w:t>
      </w:r>
      <w:r>
        <w:rPr>
          <w:rStyle w:val="optioncarChar"/>
        </w:rPr>
        <w:t>2 / 4</w:t>
      </w:r>
      <w:r>
        <w:t> </w:t>
      </w:r>
      <w:r>
        <w:rPr>
          <w:rStyle w:val="optioncarChar"/>
        </w:rPr>
        <w:t>/ ***</w:t>
      </w:r>
      <w:r>
        <w:t xml:space="preserve"> tiges de fermeture orientées vers le bas et à loqueteaux automatiques.</w:t>
      </w:r>
    </w:p>
    <w:p w14:paraId="0DD412D4" w14:textId="77777777" w:rsidR="00772179" w:rsidRDefault="00000000">
      <w:pPr>
        <w:pStyle w:val="Author-eListParagraph"/>
        <w:numPr>
          <w:ilvl w:val="0"/>
          <w:numId w:val="399"/>
        </w:numPr>
      </w:pPr>
      <w:r>
        <w:t>Une serrure de sécurité à cylindre profilé est livrée avec trois clés (qui peuvent être intégrées dans la plan de fermeture).</w:t>
      </w:r>
    </w:p>
    <w:p w14:paraId="1BE30E42" w14:textId="77777777" w:rsidR="00772179" w:rsidRDefault="00000000">
      <w:pPr>
        <w:pStyle w:val="Author-eListParagraph"/>
        <w:numPr>
          <w:ilvl w:val="0"/>
          <w:numId w:val="399"/>
        </w:numPr>
      </w:pPr>
      <w:r>
        <w:t>La porte est équipée d'une poignée, sur les deux faces : un bouton rond avec entaille en matière synthétique de qualité à l'extérieur et une poignée à croisillon avec dispositif de sécurité à l'intérieur. </w:t>
      </w:r>
    </w:p>
    <w:p w14:paraId="70A6B923" w14:textId="77777777" w:rsidR="00772179" w:rsidRDefault="00000000">
      <w:pPr>
        <w:pStyle w:val="heading"/>
      </w:pPr>
      <w:r>
        <w:lastRenderedPageBreak/>
        <w:t>Traitement - Finition</w:t>
      </w:r>
    </w:p>
    <w:p w14:paraId="471978A3" w14:textId="77777777" w:rsidR="00772179" w:rsidRDefault="00000000">
      <w:pPr>
        <w:pStyle w:val="Author-eListParagraph"/>
        <w:numPr>
          <w:ilvl w:val="0"/>
          <w:numId w:val="400"/>
        </w:numPr>
      </w:pPr>
      <w:r>
        <w:t>Tous les éléments en acier, hormis les ressorts, sont rendus inoxydables, soit par galvanisation, soit ils sont fabriqués en acier inoxydable. </w:t>
      </w:r>
    </w:p>
    <w:p w14:paraId="3735E80C" w14:textId="77777777" w:rsidR="00772179" w:rsidRDefault="00000000">
      <w:pPr>
        <w:pStyle w:val="pheading"/>
      </w:pPr>
      <w:r>
        <w:t>EXÉCUTION / MISE EN ŒUVRE</w:t>
      </w:r>
    </w:p>
    <w:p w14:paraId="2A13DE3E" w14:textId="77777777" w:rsidR="00772179" w:rsidRDefault="00000000">
      <w:pPr>
        <w:pStyle w:val="Author-eListParagraph"/>
        <w:numPr>
          <w:ilvl w:val="0"/>
          <w:numId w:val="401"/>
        </w:numPr>
      </w:pPr>
      <w:r>
        <w:t>Pour l'exécution de la baie, l'entrepreneur doit communiquer les renseignements concernant les dimensions et le sens d'ouverture de la porte de manière à pouvoir déterminer les dimensions dans l'œuvre, la hauteur du linteau et la largeur des batées.</w:t>
      </w:r>
    </w:p>
    <w:p w14:paraId="5741A7BF" w14:textId="77777777" w:rsidR="00772179" w:rsidRDefault="00000000">
      <w:pPr>
        <w:pStyle w:val="Author-eListParagraph"/>
        <w:numPr>
          <w:ilvl w:val="0"/>
          <w:numId w:val="401"/>
        </w:numPr>
      </w:pPr>
      <w:r>
        <w:t>Le dormant est fixé au gros-œuvre avec des pattes d'ancrage scellées dans la maçonnerie et/ou des profils en acier galvanisé réglables et des boulons inoxydables.</w:t>
      </w:r>
    </w:p>
    <w:p w14:paraId="0CCD1F36" w14:textId="77777777" w:rsidR="00772179" w:rsidRDefault="00000000">
      <w:pPr>
        <w:pStyle w:val="Author-eListParagraph"/>
        <w:numPr>
          <w:ilvl w:val="0"/>
          <w:numId w:val="401"/>
        </w:numPr>
      </w:pPr>
      <w:r>
        <w:t>Entre le gros-œuvre et le dormant de la porte, une bande d'étanchéité est posée (≥ 20 mm de largeur) en :</w:t>
      </w:r>
    </w:p>
    <w:p w14:paraId="3432FF68" w14:textId="77777777" w:rsidR="00772179" w:rsidRDefault="00000000">
      <w:r>
        <w:rPr>
          <w:rStyle w:val="optioncarChar"/>
        </w:rPr>
        <w:t>mousse de polyuréthane saturée / polyuréthane multiforme à alvéoles ouvertes</w:t>
      </w:r>
    </w:p>
    <w:p w14:paraId="237D19BE" w14:textId="77777777" w:rsidR="00772179" w:rsidRDefault="00000000">
      <w:r>
        <w:rPr>
          <w:b/>
        </w:rPr>
        <w:t>(soit) :</w:t>
      </w:r>
      <w:r>
        <w:t> </w:t>
      </w:r>
      <w:r>
        <w:rPr>
          <w:rStyle w:val="soitChar"/>
          <w:u w:val="single"/>
        </w:rPr>
        <w:t>mousse de polyuréthane saturée</w:t>
      </w:r>
      <w:r>
        <w:rPr>
          <w:rStyle w:val="soitChar"/>
        </w:rPr>
        <w:t xml:space="preserve"> d’une solution d'imprégnation à base de paraffine chlorée et de néoprène. Le cordon d’étanchéité est comprimé avant placement et commence à gonfler lentement après le placement jusqu’à 20% de son épaisseur nominale et rend le joint étanche aux averses</w:t>
      </w:r>
      <w:r>
        <w:br/>
      </w:r>
      <w:r>
        <w:rPr>
          <w:b/>
        </w:rPr>
        <w:t>(soit) : </w:t>
      </w:r>
      <w:r>
        <w:rPr>
          <w:rStyle w:val="soitChar"/>
          <w:u w:val="single"/>
        </w:rPr>
        <w:t>polyuréthane multiforme à alvéoles ouvertes</w:t>
      </w:r>
      <w:r>
        <w:rPr>
          <w:rStyle w:val="soitChar"/>
        </w:rPr>
        <w:t>, qui est totalement imprégné de bitume. Ce joint est compatible avec le mastic d’étanchéité à appliquer ultérieurement. Pour obtenir une étanchéité aux pluies, on utilisera un cordon d’une épaisseur égale à 5 fois la largeur du joint.</w:t>
      </w:r>
    </w:p>
    <w:p w14:paraId="11514327" w14:textId="77777777" w:rsidR="00772179" w:rsidRDefault="00000000">
      <w:pPr>
        <w:pStyle w:val="pheading"/>
      </w:pPr>
      <w:r>
        <w:t>DOCUMENTS DE RÉFÉRENCE</w:t>
      </w:r>
    </w:p>
    <w:p w14:paraId="7589DA53" w14:textId="77777777" w:rsidR="00772179" w:rsidRDefault="00000000">
      <w:pPr>
        <w:pStyle w:val="pheading"/>
      </w:pPr>
      <w:r>
        <w:t>- Matériau</w:t>
      </w:r>
    </w:p>
    <w:p w14:paraId="448993F8" w14:textId="77777777" w:rsidR="00772179" w:rsidRDefault="00000000">
      <w:r>
        <w:rPr>
          <w:shd w:val="clear" w:color="auto" w:fill="FFFFFF"/>
        </w:rPr>
        <w:t>[NBN EN 12433-1]</w:t>
      </w:r>
    </w:p>
    <w:p w14:paraId="6CFE67A2" w14:textId="77777777" w:rsidR="00772179" w:rsidRDefault="00000000">
      <w:r>
        <w:rPr>
          <w:shd w:val="clear" w:color="auto" w:fill="FFFFFF"/>
        </w:rPr>
        <w:t>[NBN EN 12433-2]</w:t>
      </w:r>
    </w:p>
    <w:p w14:paraId="76DAAA2F" w14:textId="77777777" w:rsidR="00772179" w:rsidRDefault="00000000">
      <w:pPr>
        <w:pStyle w:val="pheading"/>
      </w:pPr>
      <w:r>
        <w:t>AIDE</w:t>
      </w:r>
    </w:p>
    <w:p w14:paraId="3DBFC27D" w14:textId="77777777" w:rsidR="00772179" w:rsidRDefault="00000000">
      <w:r>
        <w:rPr>
          <w:i/>
          <w:u w:val="single"/>
        </w:rPr>
        <w:t>Note à l’attention de l’auteur de projet</w:t>
      </w:r>
      <w:r>
        <w:br/>
        <w:t xml:space="preserve">Pour l'implantation d'une porte intérieure dans le garage, il y a lieu de tenir compte de l'ouverture de la porte de garage afin de lui réserver suffisamment d'espace. </w:t>
      </w:r>
    </w:p>
    <w:p w14:paraId="0095012B" w14:textId="77777777" w:rsidR="00772179" w:rsidRDefault="00000000">
      <w:pPr>
        <w:pStyle w:val="Author-eSectionHeading6Numberless"/>
      </w:pPr>
      <w:bookmarkStart w:id="109" w:name="_Toc220489854"/>
      <w:r>
        <w:t>41.31.1a Portes de garage à usage privé basculantes en bois CCTB 01.11</w:t>
      </w:r>
      <w:bookmarkEnd w:id="109"/>
    </w:p>
    <w:p w14:paraId="6F5A743C" w14:textId="77777777" w:rsidR="00772179" w:rsidRDefault="00000000">
      <w:pPr>
        <w:pStyle w:val="pheading"/>
      </w:pPr>
      <w:r>
        <w:t>MATÉRIAUX</w:t>
      </w:r>
    </w:p>
    <w:p w14:paraId="7C2A02AD" w14:textId="77777777" w:rsidR="00772179" w:rsidRDefault="00000000">
      <w:pPr>
        <w:pStyle w:val="pheading"/>
      </w:pPr>
      <w:r>
        <w:t>- Finitions</w:t>
      </w:r>
    </w:p>
    <w:p w14:paraId="72B5AD57" w14:textId="77777777" w:rsidR="00772179" w:rsidRDefault="00000000">
      <w:r>
        <w:t>Le cadre métallique de la porte est revêtu de : </w:t>
      </w:r>
      <w:r>
        <w:rPr>
          <w:rStyle w:val="optioncarChar"/>
        </w:rPr>
        <w:t xml:space="preserve">planchettes de bois </w:t>
      </w:r>
      <w:r>
        <w:t xml:space="preserve">(par défaut) </w:t>
      </w:r>
      <w:r>
        <w:rPr>
          <w:rStyle w:val="optioncarChar"/>
        </w:rPr>
        <w:t>/ panneaux multiplex</w:t>
      </w:r>
    </w:p>
    <w:p w14:paraId="3EC7E49B" w14:textId="77777777" w:rsidR="00772179" w:rsidRDefault="00000000">
      <w:r>
        <w:rPr>
          <w:b/>
        </w:rPr>
        <w:t>(soit par défaut)</w:t>
      </w:r>
      <w:r>
        <w:t xml:space="preserve"> : planchettes en bois massif d'une épaisseur de </w:t>
      </w:r>
      <w:r>
        <w:rPr>
          <w:rStyle w:val="optioncarChar"/>
        </w:rPr>
        <w:t xml:space="preserve">*** </w:t>
      </w:r>
      <w:r>
        <w:t>mm, revêtues d'une première couche selon le procédé C2</w:t>
      </w:r>
    </w:p>
    <w:p w14:paraId="1599EDD8" w14:textId="77777777" w:rsidR="00772179" w:rsidRDefault="00000000">
      <w:pPr>
        <w:pStyle w:val="Author-eListParagraph"/>
        <w:numPr>
          <w:ilvl w:val="0"/>
          <w:numId w:val="402"/>
        </w:numPr>
      </w:pPr>
      <w:r>
        <w:t xml:space="preserve">Dimensions des planchettes : </w:t>
      </w:r>
      <w:r>
        <w:rPr>
          <w:rStyle w:val="optioncarChar"/>
        </w:rPr>
        <w:t xml:space="preserve">*** </w:t>
      </w:r>
      <w:r>
        <w:t xml:space="preserve">x </w:t>
      </w:r>
      <w:r>
        <w:rPr>
          <w:rStyle w:val="optioncarChar"/>
        </w:rPr>
        <w:t xml:space="preserve">*** </w:t>
      </w:r>
      <w:r>
        <w:t>mm</w:t>
      </w:r>
    </w:p>
    <w:p w14:paraId="4D4641A6" w14:textId="77777777" w:rsidR="00772179" w:rsidRDefault="00000000">
      <w:pPr>
        <w:pStyle w:val="Author-eListParagraph"/>
        <w:numPr>
          <w:ilvl w:val="0"/>
          <w:numId w:val="402"/>
        </w:numPr>
      </w:pPr>
      <w:r>
        <w:t xml:space="preserve">Essence du bois : </w:t>
      </w:r>
      <w:r>
        <w:rPr>
          <w:rStyle w:val="optioncarChar"/>
        </w:rPr>
        <w:t>Sapin du nord / Dark Red Meranti / Oregon Pine / ***</w:t>
      </w:r>
    </w:p>
    <w:p w14:paraId="1B515067" w14:textId="77777777" w:rsidR="00772179" w:rsidRDefault="00000000">
      <w:pPr>
        <w:pStyle w:val="Author-eListParagraph"/>
        <w:numPr>
          <w:ilvl w:val="0"/>
          <w:numId w:val="402"/>
        </w:numPr>
      </w:pPr>
      <w:r>
        <w:t xml:space="preserve">Traitement de la surface : </w:t>
      </w:r>
      <w:r>
        <w:rPr>
          <w:rStyle w:val="optioncarChar"/>
        </w:rPr>
        <w:t>non traitée / deux couches d'imprégnation du bois, couleur à déterminer par l'auteur de projet / *** </w:t>
      </w:r>
      <w:r>
        <w:t>sur présentation des échantillons de couleur sur l'essence de bois prescrite.</w:t>
      </w:r>
    </w:p>
    <w:p w14:paraId="198643C1" w14:textId="77777777" w:rsidR="00772179" w:rsidRDefault="00000000">
      <w:r>
        <w:rPr>
          <w:b/>
        </w:rPr>
        <w:t>(soit)</w:t>
      </w:r>
      <w:r>
        <w:t xml:space="preserve"> : panneaux multiplex WBP, constitués d'au moins </w:t>
      </w:r>
      <w:r>
        <w:rPr>
          <w:rStyle w:val="optioncarChar"/>
        </w:rPr>
        <w:t xml:space="preserve">3 / 5 / 7 / *** </w:t>
      </w:r>
      <w:r>
        <w:t>feuilles</w:t>
      </w:r>
    </w:p>
    <w:p w14:paraId="4EE20FC4" w14:textId="77777777" w:rsidR="00772179" w:rsidRDefault="00000000">
      <w:pPr>
        <w:pStyle w:val="Author-eListParagraph"/>
        <w:numPr>
          <w:ilvl w:val="0"/>
          <w:numId w:val="403"/>
        </w:numPr>
      </w:pPr>
      <w:r>
        <w:t xml:space="preserve">Epaisseur des plaques : </w:t>
      </w:r>
      <w:r>
        <w:rPr>
          <w:rStyle w:val="optioncarChar"/>
        </w:rPr>
        <w:t xml:space="preserve">12 / 15 / 18 / *** </w:t>
      </w:r>
      <w:r>
        <w:t>mm.</w:t>
      </w:r>
    </w:p>
    <w:p w14:paraId="5183A513" w14:textId="77777777" w:rsidR="00772179" w:rsidRDefault="00000000">
      <w:pPr>
        <w:pStyle w:val="Author-eListParagraph"/>
        <w:numPr>
          <w:ilvl w:val="0"/>
          <w:numId w:val="403"/>
        </w:numPr>
      </w:pPr>
      <w:r>
        <w:t xml:space="preserve">Essence du bois de finition : </w:t>
      </w:r>
      <w:r>
        <w:rPr>
          <w:rStyle w:val="optioncarChar"/>
        </w:rPr>
        <w:t>à choisir dans la gamme complète du fabricant / ***</w:t>
      </w:r>
      <w:r>
        <w:t>.</w:t>
      </w:r>
    </w:p>
    <w:p w14:paraId="42609FB2" w14:textId="77777777" w:rsidR="00772179" w:rsidRDefault="00000000">
      <w:pPr>
        <w:pStyle w:val="Author-eListParagraph"/>
        <w:numPr>
          <w:ilvl w:val="0"/>
          <w:numId w:val="403"/>
        </w:numPr>
      </w:pPr>
      <w:r>
        <w:t>Le plaçage et son collage ne présentent pas de décollement et sont conformes aux critères de la norme [NBN EN 1910] pour climat humide</w:t>
      </w:r>
    </w:p>
    <w:p w14:paraId="0FDB48AF" w14:textId="77777777" w:rsidR="00772179" w:rsidRDefault="00000000">
      <w:pPr>
        <w:pStyle w:val="Author-eListParagraph"/>
        <w:numPr>
          <w:ilvl w:val="0"/>
          <w:numId w:val="403"/>
        </w:numPr>
      </w:pPr>
      <w:r>
        <w:t>Placage : qualité A.</w:t>
      </w:r>
    </w:p>
    <w:p w14:paraId="6A800CF5" w14:textId="77777777" w:rsidR="00772179" w:rsidRDefault="00000000">
      <w:pPr>
        <w:pStyle w:val="Author-eListParagraph"/>
        <w:numPr>
          <w:ilvl w:val="0"/>
          <w:numId w:val="403"/>
        </w:numPr>
      </w:pPr>
      <w:r>
        <w:t xml:space="preserve">Essence du bois de la couche de finition : </w:t>
      </w:r>
      <w:r>
        <w:rPr>
          <w:rStyle w:val="optioncarChar"/>
        </w:rPr>
        <w:t>à choisir dans la gamme complète du fabricant / ***</w:t>
      </w:r>
      <w:r>
        <w:t>.</w:t>
      </w:r>
    </w:p>
    <w:p w14:paraId="4D7DF35C" w14:textId="77777777" w:rsidR="00772179" w:rsidRDefault="00000000">
      <w:pPr>
        <w:pStyle w:val="Author-eListParagraph"/>
        <w:numPr>
          <w:ilvl w:val="0"/>
          <w:numId w:val="403"/>
        </w:numPr>
      </w:pPr>
      <w:r>
        <w:lastRenderedPageBreak/>
        <w:t xml:space="preserve">Traitement de la surface : </w:t>
      </w:r>
      <w:r>
        <w:rPr>
          <w:rStyle w:val="optioncarChar"/>
        </w:rPr>
        <w:t>non laqué / laque UV-polyacrylique / teinté / une face revêtue d'une couche de finition à peindre / ***</w:t>
      </w:r>
    </w:p>
    <w:p w14:paraId="73EE00E3" w14:textId="77777777" w:rsidR="00772179" w:rsidRDefault="00000000">
      <w:pPr>
        <w:pStyle w:val="Author-eListParagraph"/>
        <w:numPr>
          <w:ilvl w:val="0"/>
          <w:numId w:val="403"/>
        </w:numPr>
      </w:pPr>
      <w:r>
        <w:t xml:space="preserve">Couleur : </w:t>
      </w:r>
      <w:r>
        <w:rPr>
          <w:rStyle w:val="optioncarChar"/>
        </w:rPr>
        <w:t xml:space="preserve">à choisir dans la gamme complète du fabricant </w:t>
      </w:r>
      <w:r>
        <w:t xml:space="preserve">Couleur RAL n° . </w:t>
      </w:r>
      <w:r>
        <w:rPr>
          <w:rStyle w:val="optioncarChar"/>
        </w:rPr>
        <w:t>***</w:t>
      </w:r>
    </w:p>
    <w:p w14:paraId="0CA4F6F5" w14:textId="77777777" w:rsidR="00772179" w:rsidRDefault="00000000">
      <w:pPr>
        <w:pStyle w:val="Author-eListParagraph"/>
        <w:numPr>
          <w:ilvl w:val="0"/>
          <w:numId w:val="403"/>
        </w:numPr>
      </w:pPr>
      <w:r>
        <w:t xml:space="preserve">Dans le bas, le revêtement est achevé par un : </w:t>
      </w:r>
      <w:r>
        <w:rPr>
          <w:rStyle w:val="optioncarChar"/>
        </w:rPr>
        <w:t>socle en aluminium anodisé / profil en bois / ***.</w:t>
      </w:r>
    </w:p>
    <w:p w14:paraId="2FA2DD76" w14:textId="77777777" w:rsidR="00772179" w:rsidRDefault="00000000">
      <w:pPr>
        <w:pStyle w:val="pheading"/>
      </w:pPr>
      <w:r>
        <w:t>EXÉCUTION / MISE EN ŒUVRE</w:t>
      </w:r>
    </w:p>
    <w:p w14:paraId="1616C426" w14:textId="77777777" w:rsidR="00772179" w:rsidRDefault="00000000">
      <w:pPr>
        <w:pStyle w:val="pheading"/>
      </w:pPr>
      <w:r>
        <w:t>- Prescriptions générales</w:t>
      </w:r>
    </w:p>
    <w:p w14:paraId="026F95D6" w14:textId="77777777" w:rsidR="00772179" w:rsidRDefault="00000000">
      <w:r>
        <w:t xml:space="preserve">Le dormant de la porte est placé </w:t>
      </w:r>
      <w:r>
        <w:rPr>
          <w:rStyle w:val="optioncarChar"/>
        </w:rPr>
        <w:t>dans / derrière / *** </w:t>
      </w:r>
      <w:r>
        <w:t>le jour de baie conformément aux prescriptions du fabricant. Entre le gros-œuvre et le dormant de la porte, on insère une bande d'étanchéité ≥ 20 mm de largeur.</w:t>
      </w:r>
    </w:p>
    <w:p w14:paraId="0DD3F6C8" w14:textId="77777777" w:rsidR="00772179" w:rsidRDefault="00000000">
      <w:pPr>
        <w:pStyle w:val="pheading"/>
      </w:pPr>
      <w:r>
        <w:t>- Notes d’exécution complémentaires</w:t>
      </w:r>
    </w:p>
    <w:p w14:paraId="17AF0771" w14:textId="77777777" w:rsidR="00772179" w:rsidRDefault="00000000">
      <w:r>
        <w:t xml:space="preserve">Les batées latérales de la maçonnerie sont revêtues d'un encadrement intérieur en bois placé dans la rainure prévue à cet effet, par assemblage à rainure et languette. Cette planche s'aligne avec la face finie du mur. L'ouverture entre la planche et le mur est bouchée par </w:t>
      </w:r>
      <w:r>
        <w:rPr>
          <w:rStyle w:val="optioncarChar"/>
        </w:rPr>
        <w:t xml:space="preserve"> *** / une cimaise </w:t>
      </w:r>
      <w:r>
        <w:t>. L'encadrement est cloué indirectement sur les blochets de murs par interposition de lattes de réglage. Les cimaises sont sciées en onglet. L'espace entre l'encadrement et la maçonnerie est rempli de matériau isolant de type PU ou laine minérale. Il ne peut y avoir de contact direct entre le parement et l'isolation.</w:t>
      </w:r>
    </w:p>
    <w:p w14:paraId="30BD27AF" w14:textId="77777777" w:rsidR="00772179" w:rsidRDefault="00000000">
      <w:pPr>
        <w:pStyle w:val="pheading"/>
      </w:pPr>
      <w:r>
        <w:t>MESURAGE</w:t>
      </w:r>
    </w:p>
    <w:p w14:paraId="63A82FCD" w14:textId="77777777" w:rsidR="00772179" w:rsidRDefault="00000000">
      <w:pPr>
        <w:pStyle w:val="pheading"/>
      </w:pPr>
      <w:r>
        <w:t>- unité de mesure:</w:t>
      </w:r>
    </w:p>
    <w:p w14:paraId="463EB366" w14:textId="77777777" w:rsidR="00772179" w:rsidRDefault="00000000">
      <w:r>
        <w:t>pc</w:t>
      </w:r>
    </w:p>
    <w:p w14:paraId="6E75276B" w14:textId="77777777" w:rsidR="00772179" w:rsidRDefault="00000000">
      <w:pPr>
        <w:pStyle w:val="pheading"/>
      </w:pPr>
      <w:r>
        <w:t>- nature du marché:</w:t>
      </w:r>
    </w:p>
    <w:p w14:paraId="1F762C22" w14:textId="77777777" w:rsidR="00772179" w:rsidRDefault="00000000">
      <w:r>
        <w:t>QF</w:t>
      </w:r>
    </w:p>
    <w:p w14:paraId="1387DC5C" w14:textId="77777777" w:rsidR="00772179" w:rsidRDefault="00000000">
      <w:pPr>
        <w:pStyle w:val="Author-eSectionHeading6Numberless"/>
      </w:pPr>
      <w:bookmarkStart w:id="110" w:name="_Toc220489855"/>
      <w:r>
        <w:t>41.31.1b Portes de garage à usage privé basculantes en aluminium CCTB 01.10</w:t>
      </w:r>
      <w:bookmarkEnd w:id="110"/>
    </w:p>
    <w:p w14:paraId="5E1D7E40" w14:textId="77777777" w:rsidR="00772179" w:rsidRDefault="00000000">
      <w:pPr>
        <w:pStyle w:val="pheading"/>
      </w:pPr>
      <w:r>
        <w:t>MESURAGE</w:t>
      </w:r>
    </w:p>
    <w:p w14:paraId="2C814C5F" w14:textId="77777777" w:rsidR="00772179" w:rsidRDefault="00000000">
      <w:pPr>
        <w:pStyle w:val="pheading"/>
      </w:pPr>
      <w:r>
        <w:t>- unité de mesure:</w:t>
      </w:r>
    </w:p>
    <w:p w14:paraId="775B9A4C" w14:textId="77777777" w:rsidR="00772179" w:rsidRDefault="00000000">
      <w:r>
        <w:t>pc</w:t>
      </w:r>
    </w:p>
    <w:p w14:paraId="103B41E2" w14:textId="77777777" w:rsidR="00772179" w:rsidRDefault="00000000">
      <w:pPr>
        <w:pStyle w:val="pheading"/>
      </w:pPr>
      <w:r>
        <w:t>- nature du marché:</w:t>
      </w:r>
    </w:p>
    <w:p w14:paraId="4C5B40B6" w14:textId="77777777" w:rsidR="00772179" w:rsidRDefault="00000000">
      <w:r>
        <w:t>QF</w:t>
      </w:r>
    </w:p>
    <w:p w14:paraId="63CE5624" w14:textId="77777777" w:rsidR="00772179" w:rsidRDefault="00000000">
      <w:pPr>
        <w:pStyle w:val="Author-eSectionHeading6Numberless"/>
      </w:pPr>
      <w:bookmarkStart w:id="111" w:name="_Toc220489856"/>
      <w:r>
        <w:t>41.31.1c Portes de garage à usage privé basculantes en acier CCTB 01.11</w:t>
      </w:r>
      <w:bookmarkEnd w:id="111"/>
    </w:p>
    <w:p w14:paraId="7DCB7C9D" w14:textId="77777777" w:rsidR="00772179" w:rsidRDefault="00000000">
      <w:pPr>
        <w:pStyle w:val="pheading"/>
      </w:pPr>
      <w:r>
        <w:t>MATÉRIAUX</w:t>
      </w:r>
    </w:p>
    <w:p w14:paraId="02789590" w14:textId="77777777" w:rsidR="00772179" w:rsidRDefault="00000000">
      <w:pPr>
        <w:pStyle w:val="pheading"/>
      </w:pPr>
      <w:r>
        <w:t>- Finitions</w:t>
      </w:r>
    </w:p>
    <w:p w14:paraId="670E78F8" w14:textId="77777777" w:rsidR="00772179" w:rsidRDefault="00000000">
      <w:r>
        <w:t>Le cadre en métal de la porte est revêtu de plaques profilées en métal galvanisé ou inoxydable</w:t>
      </w:r>
      <w:r>
        <w:rPr>
          <w:rStyle w:val="optioncarChar"/>
        </w:rPr>
        <w:t> verticales / horizontales / ***</w:t>
      </w:r>
      <w:r>
        <w:t>. Elles sont fixées latéralement par double pliage sur la lèvre du profil du cadre et dans le haut et dans le bas par soudage par points. Le vantail de porte est consolidé à l'aide de deux montants perpendiculaires au sens des profilés de la feuille de porte.</w:t>
      </w:r>
    </w:p>
    <w:p w14:paraId="3143C320" w14:textId="77777777" w:rsidR="00772179" w:rsidRDefault="00000000">
      <w:pPr>
        <w:pStyle w:val="pheading"/>
      </w:pPr>
      <w:r>
        <w:t>EXÉCUTION / MISE EN ŒUVRE</w:t>
      </w:r>
    </w:p>
    <w:p w14:paraId="0FA164DD" w14:textId="77777777" w:rsidR="00772179" w:rsidRDefault="00000000">
      <w:pPr>
        <w:pStyle w:val="pheading"/>
      </w:pPr>
      <w:r>
        <w:t>- Prescriptions générales</w:t>
      </w:r>
    </w:p>
    <w:p w14:paraId="3DA73BA4" w14:textId="77777777" w:rsidR="00772179" w:rsidRDefault="00000000">
      <w:r>
        <w:t xml:space="preserve">Le dormant de la porte est placé </w:t>
      </w:r>
      <w:r>
        <w:rPr>
          <w:rStyle w:val="optioncarChar"/>
        </w:rPr>
        <w:t>dans / derrière / *** </w:t>
      </w:r>
      <w:r>
        <w:t>le jour de baie conformément aux prescriptions du fabricant. Entre le gros-œuvre et le dormant de la porte, on insère une bande d'étanchéité ≥ 20 mm de largeur.</w:t>
      </w:r>
    </w:p>
    <w:p w14:paraId="53A7D5BF" w14:textId="77777777" w:rsidR="00772179" w:rsidRDefault="00000000">
      <w:pPr>
        <w:pStyle w:val="pheading"/>
      </w:pPr>
      <w:r>
        <w:t>- Notes d’exécution complémentaires</w:t>
      </w:r>
    </w:p>
    <w:p w14:paraId="68BFF20D" w14:textId="77777777" w:rsidR="00772179" w:rsidRDefault="00000000">
      <w:r>
        <w:lastRenderedPageBreak/>
        <w:t xml:space="preserve">Avant la pose, l'entrepreneur soumet pour approbation une note de calcul du mode d'ancrage du dormant au gros-œuvre. </w:t>
      </w:r>
    </w:p>
    <w:p w14:paraId="26B5CB9E" w14:textId="77777777" w:rsidR="00772179" w:rsidRDefault="00000000">
      <w:pPr>
        <w:pStyle w:val="pheading"/>
      </w:pPr>
      <w:r>
        <w:t>MESURAGE</w:t>
      </w:r>
    </w:p>
    <w:p w14:paraId="27513FA5" w14:textId="77777777" w:rsidR="00772179" w:rsidRDefault="00000000">
      <w:pPr>
        <w:pStyle w:val="pheading"/>
      </w:pPr>
      <w:r>
        <w:t>- unité de mesure:</w:t>
      </w:r>
    </w:p>
    <w:p w14:paraId="73036F36" w14:textId="77777777" w:rsidR="00772179" w:rsidRDefault="00000000">
      <w:r>
        <w:t>PC</w:t>
      </w:r>
    </w:p>
    <w:p w14:paraId="65CE5563" w14:textId="77777777" w:rsidR="00772179" w:rsidRDefault="00000000">
      <w:pPr>
        <w:pStyle w:val="pheading"/>
      </w:pPr>
      <w:r>
        <w:t>- nature du marché:</w:t>
      </w:r>
    </w:p>
    <w:p w14:paraId="37AEB106" w14:textId="77777777" w:rsidR="00772179" w:rsidRDefault="00000000">
      <w:r>
        <w:t>QF</w:t>
      </w:r>
    </w:p>
    <w:p w14:paraId="43CA08E6" w14:textId="77777777" w:rsidR="00772179" w:rsidRDefault="00000000">
      <w:pPr>
        <w:pStyle w:val="Author-eSectionHeading6Numberless"/>
      </w:pPr>
      <w:bookmarkStart w:id="112" w:name="_Toc220489857"/>
      <w:r>
        <w:t>41.31.1d Portes de garage à usage privé basculantes en PVC CCTB 01.04</w:t>
      </w:r>
      <w:bookmarkEnd w:id="112"/>
    </w:p>
    <w:p w14:paraId="38C4319A" w14:textId="77777777" w:rsidR="00772179" w:rsidRDefault="00000000">
      <w:pPr>
        <w:pStyle w:val="Author-eSectionHeading6Numberless"/>
      </w:pPr>
      <w:bookmarkStart w:id="113" w:name="_Toc220489858"/>
      <w:r>
        <w:t>41.31.1e Portes de garage à usage privé basculantes en verre</w:t>
      </w:r>
      <w:bookmarkEnd w:id="113"/>
    </w:p>
    <w:p w14:paraId="59AFB6D0" w14:textId="77777777" w:rsidR="00772179" w:rsidRDefault="00000000">
      <w:pPr>
        <w:pStyle w:val="Author-eSectionHeading6Numberless"/>
      </w:pPr>
      <w:bookmarkStart w:id="114" w:name="_Toc220489859"/>
      <w:r>
        <w:t>41.31.1f Portes de garage à usage privé basculantes en matériaux composites</w:t>
      </w:r>
      <w:bookmarkEnd w:id="114"/>
    </w:p>
    <w:p w14:paraId="4505298C" w14:textId="77777777" w:rsidR="00772179" w:rsidRDefault="00000000">
      <w:pPr>
        <w:pStyle w:val="Author-eSectionHeading5Numberless"/>
      </w:pPr>
      <w:bookmarkStart w:id="115" w:name="_Toc220489860"/>
      <w:r>
        <w:t>41.31.2 Portes de garage à usage privé sectionnelles CCTB 01.11</w:t>
      </w:r>
      <w:bookmarkEnd w:id="115"/>
    </w:p>
    <w:p w14:paraId="7217AD7B" w14:textId="77777777" w:rsidR="00772179" w:rsidRDefault="00000000">
      <w:pPr>
        <w:pStyle w:val="pheading"/>
      </w:pPr>
      <w:r>
        <w:t>DESCRIPTION</w:t>
      </w:r>
    </w:p>
    <w:p w14:paraId="11674EC8" w14:textId="77777777" w:rsidR="00772179" w:rsidRDefault="00000000">
      <w:pPr>
        <w:pStyle w:val="pheading"/>
      </w:pPr>
      <w:r>
        <w:t>- Définition / Comprend</w:t>
      </w:r>
    </w:p>
    <w:p w14:paraId="43461550" w14:textId="77777777" w:rsidR="00772179" w:rsidRDefault="00000000">
      <w:r>
        <w:t>Il s'agit de portes sectionnelles dont le vantail de porte se compose d'un certain nombre de sections à articulation horizontal, qui sont soulevées verticalement et tenues en équilibre par des ressorts à traction ou à torsion (en fonction du type de porte).</w:t>
      </w:r>
    </w:p>
    <w:p w14:paraId="72AC82EA" w14:textId="77777777" w:rsidR="00772179" w:rsidRDefault="00000000">
      <w:pPr>
        <w:pStyle w:val="pheading"/>
      </w:pPr>
      <w:r>
        <w:t>MATÉRIAUX</w:t>
      </w:r>
    </w:p>
    <w:p w14:paraId="5F273794" w14:textId="77777777" w:rsidR="00772179" w:rsidRDefault="00000000">
      <w:pPr>
        <w:pStyle w:val="heading"/>
      </w:pPr>
      <w:r>
        <w:t>Dormant - Sections de porte</w:t>
      </w:r>
    </w:p>
    <w:p w14:paraId="7E8C0A3E" w14:textId="77777777" w:rsidR="00772179" w:rsidRDefault="00000000">
      <w:pPr>
        <w:pStyle w:val="Author-eListParagraph"/>
        <w:numPr>
          <w:ilvl w:val="0"/>
          <w:numId w:val="404"/>
        </w:numPr>
      </w:pPr>
      <w:r>
        <w:t>Les portes sont suspendues dans un dormant profilé en acier galvanisé à chaud pourvu de joints en caoutchouc. Les dimensions des éléments constituants sont déterminées en fonction des dimensions de la porte et de son poids afin d'obtenir un ensemble solide.</w:t>
      </w:r>
    </w:p>
    <w:p w14:paraId="5D71F8CA" w14:textId="77777777" w:rsidR="00772179" w:rsidRDefault="00000000">
      <w:pPr>
        <w:pStyle w:val="Author-eListParagraph"/>
        <w:numPr>
          <w:ilvl w:val="0"/>
          <w:numId w:val="404"/>
        </w:numPr>
      </w:pPr>
      <w:r>
        <w:t xml:space="preserve">La hauteur de la section de fond et des sections centrales est déterminée en fonction de la hauteur de la porte. Les sections sont intérieurement renforcées pour assurer une parfaite fixation aux charnières. La section de fond est dotée d’un renforcement supplémentaire et est pourvue d’un profilé d’étanchéité en </w:t>
      </w:r>
      <w:r>
        <w:rPr>
          <w:rStyle w:val="optioncarChar"/>
        </w:rPr>
        <w:t xml:space="preserve">néoprène avec lèvre / ***. </w:t>
      </w:r>
      <w:r>
        <w:t>La section supérieure s’ajuste au linteau par un joint en caoutchouc.</w:t>
      </w:r>
    </w:p>
    <w:p w14:paraId="7862386B" w14:textId="77777777" w:rsidR="00772179" w:rsidRDefault="00000000">
      <w:pPr>
        <w:pStyle w:val="heading"/>
      </w:pPr>
      <w:r>
        <w:t>Mécanisme d'ouverture</w:t>
      </w:r>
    </w:p>
    <w:p w14:paraId="6B1B554F" w14:textId="77777777" w:rsidR="00772179" w:rsidRDefault="00000000">
      <w:pPr>
        <w:pStyle w:val="Author-eListParagraph"/>
        <w:numPr>
          <w:ilvl w:val="0"/>
          <w:numId w:val="405"/>
        </w:numPr>
      </w:pPr>
      <w:r>
        <w:t>Les sections sont guidées verticalement dans un système de rails horizontaux au moyen de galets de roulement à billes en matière synthétique sur des porte-roulettes ajustables. Des butoirs à ressort sont montés aux extrémités des rails de guidage horizontaux.</w:t>
      </w:r>
    </w:p>
    <w:p w14:paraId="12A49C08" w14:textId="77777777" w:rsidR="00772179" w:rsidRDefault="00000000">
      <w:pPr>
        <w:pStyle w:val="Author-eListParagraph"/>
        <w:numPr>
          <w:ilvl w:val="0"/>
          <w:numId w:val="405"/>
        </w:numPr>
      </w:pPr>
      <w:r>
        <w:t>Conformément au cahier spécial des charges la porte est maintenue en équilibre lors de son ouverture, par des :</w:t>
      </w:r>
    </w:p>
    <w:p w14:paraId="50029AC6" w14:textId="77777777" w:rsidR="00772179" w:rsidRDefault="00000000">
      <w:pPr>
        <w:ind w:left="450"/>
      </w:pPr>
      <w:r>
        <w:rPr>
          <w:rStyle w:val="optioncarChar"/>
        </w:rPr>
        <w:t xml:space="preserve">ressorts à torsion </w:t>
      </w:r>
      <w:r>
        <w:t>(par défaut)</w:t>
      </w:r>
      <w:r>
        <w:rPr>
          <w:rStyle w:val="optioncarChar"/>
        </w:rPr>
        <w:t xml:space="preserve"> / doubles ressorts à traction</w:t>
      </w:r>
    </w:p>
    <w:p w14:paraId="0EF87CCB" w14:textId="77777777" w:rsidR="00772179" w:rsidRDefault="00000000">
      <w:pPr>
        <w:ind w:left="450"/>
      </w:pPr>
      <w:r>
        <w:rPr>
          <w:b/>
        </w:rPr>
        <w:t>(soit par défaut)</w:t>
      </w:r>
      <w:r>
        <w:t xml:space="preserve"> : </w:t>
      </w:r>
      <w:r>
        <w:rPr>
          <w:rStyle w:val="soitChar"/>
        </w:rPr>
        <w:t xml:space="preserve">des </w:t>
      </w:r>
      <w:r>
        <w:rPr>
          <w:rStyle w:val="soitChar"/>
          <w:u w:val="single"/>
        </w:rPr>
        <w:t>ressorts à torsion</w:t>
      </w:r>
      <w:r>
        <w:rPr>
          <w:rStyle w:val="soitChar"/>
        </w:rPr>
        <w:t xml:space="preserve"> autour d’un axe métallique sur roulements à billes, rouleaux de câbles et câbles de charge latéraux.</w:t>
      </w:r>
      <w:r>
        <w:br/>
      </w:r>
      <w:r>
        <w:rPr>
          <w:b/>
        </w:rPr>
        <w:t>(soit)</w:t>
      </w:r>
      <w:r>
        <w:t xml:space="preserve"> : </w:t>
      </w:r>
      <w:r>
        <w:rPr>
          <w:rStyle w:val="soitChar"/>
        </w:rPr>
        <w:t xml:space="preserve">des </w:t>
      </w:r>
      <w:r>
        <w:rPr>
          <w:rStyle w:val="soitChar"/>
          <w:u w:val="single"/>
        </w:rPr>
        <w:t>doubles ressorts à traction</w:t>
      </w:r>
      <w:r>
        <w:rPr>
          <w:rStyle w:val="soitChar"/>
        </w:rPr>
        <w:t xml:space="preserve"> placés latéralement.</w:t>
      </w:r>
    </w:p>
    <w:p w14:paraId="6DD82992" w14:textId="77777777" w:rsidR="00772179" w:rsidRDefault="00000000">
      <w:pPr>
        <w:pStyle w:val="Author-eListParagraph"/>
        <w:numPr>
          <w:ilvl w:val="0"/>
          <w:numId w:val="406"/>
        </w:numPr>
      </w:pPr>
      <w:r>
        <w:t xml:space="preserve">Le mécanisme de la porte est en outre pourvu d'une protection antichute activée sur le panneau inférieur et d'une protection contre la rupture des ressorts montée à l'extrémité de chaque ressort à torsion, qui bloque la porte. Les mécanismes sont conformes aux exigences de sécurité indiquées dans la norme produit </w:t>
      </w:r>
      <w:r>
        <w:rPr>
          <w:shd w:val="clear" w:color="auto" w:fill="FFFFFF"/>
        </w:rPr>
        <w:t>[NBN EN 13241:2003+A2]. </w:t>
      </w:r>
      <w:r>
        <w:t>Cette conformité est indiquée dans la déclaration d'aptitude. </w:t>
      </w:r>
    </w:p>
    <w:p w14:paraId="18BFBE3A" w14:textId="77777777" w:rsidR="00772179" w:rsidRDefault="00000000">
      <w:pPr>
        <w:pStyle w:val="heading"/>
      </w:pPr>
      <w:r>
        <w:t>Serrures - Poignées</w:t>
      </w:r>
    </w:p>
    <w:p w14:paraId="0EF17809" w14:textId="77777777" w:rsidR="00772179" w:rsidRDefault="00000000">
      <w:pPr>
        <w:pStyle w:val="Author-eListParagraph"/>
        <w:numPr>
          <w:ilvl w:val="0"/>
          <w:numId w:val="407"/>
        </w:numPr>
      </w:pPr>
      <w:r>
        <w:t>La quincaillerie de la porte se compose d'un système de verrouillage adapté avec cylindre profilé.</w:t>
      </w:r>
    </w:p>
    <w:p w14:paraId="6096B740" w14:textId="77777777" w:rsidR="00772179" w:rsidRDefault="00000000">
      <w:pPr>
        <w:pStyle w:val="Author-eListParagraph"/>
        <w:numPr>
          <w:ilvl w:val="0"/>
          <w:numId w:val="407"/>
        </w:numPr>
      </w:pPr>
      <w:r>
        <w:lastRenderedPageBreak/>
        <w:t xml:space="preserve">Les poignées de la porte sont en </w:t>
      </w:r>
      <w:r>
        <w:rPr>
          <w:rStyle w:val="optioncarChar"/>
        </w:rPr>
        <w:t>Nylon / aluminium / ***</w:t>
      </w:r>
      <w:r>
        <w:t xml:space="preserve"> de conception contemporaine.</w:t>
      </w:r>
    </w:p>
    <w:p w14:paraId="1101051E" w14:textId="77777777" w:rsidR="00772179" w:rsidRDefault="00000000">
      <w:pPr>
        <w:pStyle w:val="Author-eListParagraph"/>
        <w:numPr>
          <w:ilvl w:val="0"/>
          <w:numId w:val="407"/>
        </w:numPr>
      </w:pPr>
      <w:r>
        <w:t>L'éventuel portillon d'accès est équipé d'un ferme-porte automatique. Lorsque le portillon n'est pas fermé, il est impossible de manœuvrer la porte électrique.</w:t>
      </w:r>
    </w:p>
    <w:p w14:paraId="6F2E14D4" w14:textId="77777777" w:rsidR="00772179" w:rsidRDefault="00000000">
      <w:pPr>
        <w:pStyle w:val="pheading"/>
      </w:pPr>
      <w:r>
        <w:t>DOCUMENTS DE RÉFÉRENCE</w:t>
      </w:r>
    </w:p>
    <w:p w14:paraId="55E20D6A" w14:textId="77777777" w:rsidR="00772179" w:rsidRDefault="00000000">
      <w:pPr>
        <w:pStyle w:val="pheading"/>
      </w:pPr>
      <w:r>
        <w:t>- Matériau</w:t>
      </w:r>
    </w:p>
    <w:p w14:paraId="5C2973D9" w14:textId="77777777" w:rsidR="00772179" w:rsidRDefault="00000000">
      <w:r>
        <w:rPr>
          <w:shd w:val="clear" w:color="auto" w:fill="FFFFFF"/>
        </w:rPr>
        <w:t>[NBN EN 12433-1]</w:t>
      </w:r>
    </w:p>
    <w:p w14:paraId="3D4E2B97" w14:textId="77777777" w:rsidR="00772179" w:rsidRDefault="00000000">
      <w:r>
        <w:rPr>
          <w:shd w:val="clear" w:color="auto" w:fill="FFFFFF"/>
        </w:rPr>
        <w:t>[NBN EN 12433-2]</w:t>
      </w:r>
    </w:p>
    <w:p w14:paraId="7AEB1EF0" w14:textId="77777777" w:rsidR="00772179" w:rsidRDefault="00000000">
      <w:pPr>
        <w:pStyle w:val="pheading"/>
      </w:pPr>
      <w:r>
        <w:t>AIDE</w:t>
      </w:r>
    </w:p>
    <w:p w14:paraId="290ECA49" w14:textId="77777777" w:rsidR="00772179" w:rsidRDefault="00000000">
      <w:pPr>
        <w:jc w:val="both"/>
      </w:pPr>
      <w:r>
        <w:t>En vue du choix des portes sectionnelles, il importe de vérifier les données d'encastrement à l'aide de la documentation.</w:t>
      </w:r>
    </w:p>
    <w:p w14:paraId="377317FB" w14:textId="77777777" w:rsidR="00772179" w:rsidRDefault="00000000">
      <w:pPr>
        <w:jc w:val="both"/>
      </w:pPr>
      <w:r>
        <w:t>En cas d’installation d'une porte de garage étanche fermant un garage faisant partie du volume protégé, il y a lieu de prévoir une évacuation forcée des gaz d’échappement.</w:t>
      </w:r>
    </w:p>
    <w:p w14:paraId="556BBA45" w14:textId="77777777" w:rsidR="00772179" w:rsidRDefault="00000000">
      <w:pPr>
        <w:pStyle w:val="Author-eSectionHeading6Numberless"/>
      </w:pPr>
      <w:bookmarkStart w:id="116" w:name="_Toc220489861"/>
      <w:r>
        <w:t>41.31.2a Portes de garage à usage privé sectionnelles en bois</w:t>
      </w:r>
      <w:bookmarkEnd w:id="116"/>
    </w:p>
    <w:p w14:paraId="20D5CADA" w14:textId="77777777" w:rsidR="00772179" w:rsidRDefault="00000000">
      <w:pPr>
        <w:pStyle w:val="Author-eSectionHeading6Numberless"/>
      </w:pPr>
      <w:bookmarkStart w:id="117" w:name="_Toc220489862"/>
      <w:r>
        <w:t>41.31.2b Portes de garage à usage privé sectionnelles en aluminium</w:t>
      </w:r>
      <w:bookmarkEnd w:id="117"/>
    </w:p>
    <w:p w14:paraId="44D3C23F" w14:textId="77777777" w:rsidR="00772179" w:rsidRDefault="00000000">
      <w:pPr>
        <w:pStyle w:val="Author-eSectionHeading6Numberless"/>
      </w:pPr>
      <w:bookmarkStart w:id="118" w:name="_Toc220489863"/>
      <w:r>
        <w:t>41.31.2c Portes de garage à usage privé sectionnelles en acier CCTB 01.11</w:t>
      </w:r>
      <w:bookmarkEnd w:id="118"/>
    </w:p>
    <w:p w14:paraId="0ACFB572" w14:textId="77777777" w:rsidR="00772179" w:rsidRDefault="00000000">
      <w:pPr>
        <w:pStyle w:val="pheading"/>
      </w:pPr>
      <w:r>
        <w:t>DESCRIPTION</w:t>
      </w:r>
    </w:p>
    <w:p w14:paraId="5D707FA0" w14:textId="77777777" w:rsidR="00772179" w:rsidRDefault="00000000">
      <w:pPr>
        <w:pStyle w:val="pheading"/>
      </w:pPr>
      <w:r>
        <w:t>- Définition / Comprend</w:t>
      </w:r>
    </w:p>
    <w:p w14:paraId="3FDCF338" w14:textId="77777777" w:rsidR="00772179" w:rsidRDefault="00000000">
      <w:pPr>
        <w:jc w:val="both"/>
      </w:pPr>
      <w:r>
        <w:rPr>
          <w:color w:val="000000"/>
        </w:rPr>
        <w:t xml:space="preserve">Il s’agit de la fourniture et la pose </w:t>
      </w:r>
      <w:r>
        <w:t xml:space="preserve">de portes de garage à usage privé sectionnelles en acier, y compris tous travaux nécessaires en vue de la réalisation d’un ouvrage soigné et propre. </w:t>
      </w:r>
    </w:p>
    <w:p w14:paraId="1A6B79DF" w14:textId="77777777" w:rsidR="00772179" w:rsidRDefault="00000000">
      <w:pPr>
        <w:pStyle w:val="pheading"/>
      </w:pPr>
      <w:r>
        <w:t>MATÉRIAUX</w:t>
      </w:r>
    </w:p>
    <w:p w14:paraId="282F2147" w14:textId="77777777" w:rsidR="00772179" w:rsidRDefault="00000000">
      <w:pPr>
        <w:pStyle w:val="pheading"/>
      </w:pPr>
      <w:r>
        <w:t>- Caractéristiques générales</w:t>
      </w:r>
    </w:p>
    <w:p w14:paraId="331C5C4A" w14:textId="77777777" w:rsidR="00772179" w:rsidRDefault="00000000">
      <w:pPr>
        <w:jc w:val="both"/>
      </w:pPr>
      <w:r>
        <w:t>Porte sectionnelle conforme à l’annexe 1 de la [STS 53.2] :</w:t>
      </w:r>
    </w:p>
    <w:p w14:paraId="620D3EE6" w14:textId="77777777" w:rsidR="00772179" w:rsidRDefault="00000000">
      <w:pPr>
        <w:pStyle w:val="Author-eListParagraph"/>
        <w:numPr>
          <w:ilvl w:val="0"/>
          <w:numId w:val="408"/>
        </w:numPr>
      </w:pPr>
      <w:r>
        <w:t>Performances d’application pour une habitation unifamiliale.</w:t>
      </w:r>
    </w:p>
    <w:p w14:paraId="3132EA5A" w14:textId="77777777" w:rsidR="00772179" w:rsidRDefault="00000000">
      <w:pPr>
        <w:pStyle w:val="Author-eListParagraph"/>
        <w:numPr>
          <w:ilvl w:val="0"/>
          <w:numId w:val="408"/>
        </w:numPr>
      </w:pPr>
      <w:r>
        <w:t xml:space="preserve">Durabilité mécanique : </w:t>
      </w:r>
      <w:r>
        <w:rPr>
          <w:rStyle w:val="optioncarChar"/>
        </w:rPr>
        <w:t>de base</w:t>
      </w:r>
      <w:r>
        <w:t xml:space="preserve"> (par défaut)</w:t>
      </w:r>
      <w:r>
        <w:rPr>
          <w:rStyle w:val="optioncarChar"/>
        </w:rPr>
        <w:t xml:space="preserve"> / améliorée</w:t>
      </w:r>
    </w:p>
    <w:p w14:paraId="09554EA6" w14:textId="77777777" w:rsidR="00772179" w:rsidRDefault="00000000">
      <w:pPr>
        <w:pStyle w:val="Author-eListParagraph"/>
        <w:numPr>
          <w:ilvl w:val="0"/>
          <w:numId w:val="408"/>
        </w:numPr>
      </w:pPr>
      <w:r>
        <w:t>Résistance à l’effraction :</w:t>
      </w:r>
      <w:r>
        <w:rPr>
          <w:rStyle w:val="optioncarChar"/>
        </w:rPr>
        <w:t xml:space="preserve"> WK1 / WK2</w:t>
      </w:r>
    </w:p>
    <w:p w14:paraId="28B6E284" w14:textId="77777777" w:rsidR="00772179" w:rsidRDefault="00000000">
      <w:pPr>
        <w:pStyle w:val="Author-eListParagraph"/>
        <w:numPr>
          <w:ilvl w:val="0"/>
          <w:numId w:val="408"/>
        </w:numPr>
      </w:pPr>
      <w:r>
        <w:t xml:space="preserve">Étanchéité à l’eau selon [NBN EN 12425] : classe </w:t>
      </w:r>
      <w:r>
        <w:rPr>
          <w:rStyle w:val="optioncarChar"/>
        </w:rPr>
        <w:t>1 / 2 / 3 </w:t>
      </w:r>
    </w:p>
    <w:p w14:paraId="0B1C9BE0" w14:textId="77777777" w:rsidR="00772179" w:rsidRDefault="00000000">
      <w:pPr>
        <w:pStyle w:val="Author-eListParagraph"/>
        <w:numPr>
          <w:ilvl w:val="0"/>
          <w:numId w:val="408"/>
        </w:numPr>
      </w:pPr>
      <w:r>
        <w:t xml:space="preserve">Résistance au vent selon [NBN EN 12424] : classe </w:t>
      </w:r>
      <w:r>
        <w:rPr>
          <w:rStyle w:val="nospacingChar"/>
        </w:rPr>
        <w:t>1 / 2 / 3 / 4 </w:t>
      </w:r>
    </w:p>
    <w:p w14:paraId="6394A382" w14:textId="77777777" w:rsidR="00772179" w:rsidRDefault="00000000">
      <w:pPr>
        <w:pStyle w:val="Author-eListParagraph"/>
        <w:numPr>
          <w:ilvl w:val="0"/>
          <w:numId w:val="408"/>
        </w:numPr>
      </w:pPr>
      <w:r>
        <w:t xml:space="preserve">Résistance à l’effraction selon [NBN EN 1627] : classe </w:t>
      </w:r>
      <w:r>
        <w:rPr>
          <w:rStyle w:val="optioncarChar"/>
        </w:rPr>
        <w:t>1 / 2 / 3 / 4 / 5 / 6 </w:t>
      </w:r>
    </w:p>
    <w:p w14:paraId="5851A8D6" w14:textId="77777777" w:rsidR="00772179" w:rsidRDefault="00000000">
      <w:pPr>
        <w:jc w:val="both"/>
      </w:pPr>
      <w:r>
        <w:t>Porte sectionnelle composée de panneaux à double paroi en acier galvanisé à chaud :</w:t>
      </w:r>
    </w:p>
    <w:p w14:paraId="4FC70830" w14:textId="77777777" w:rsidR="00772179" w:rsidRDefault="00000000">
      <w:pPr>
        <w:pStyle w:val="Author-eListParagraph"/>
        <w:numPr>
          <w:ilvl w:val="0"/>
          <w:numId w:val="409"/>
        </w:numPr>
      </w:pPr>
      <w:r>
        <w:t xml:space="preserve">Hauteur : </w:t>
      </w:r>
      <w:r>
        <w:rPr>
          <w:rStyle w:val="optioncarChar"/>
        </w:rPr>
        <w:t>***</w:t>
      </w:r>
      <w:r>
        <w:t xml:space="preserve"> cm</w:t>
      </w:r>
    </w:p>
    <w:p w14:paraId="2191E93D" w14:textId="77777777" w:rsidR="00772179" w:rsidRDefault="00000000">
      <w:pPr>
        <w:pStyle w:val="Author-eListParagraph"/>
        <w:numPr>
          <w:ilvl w:val="0"/>
          <w:numId w:val="409"/>
        </w:numPr>
      </w:pPr>
      <w:r>
        <w:t xml:space="preserve">Largeur : </w:t>
      </w:r>
      <w:r>
        <w:rPr>
          <w:rStyle w:val="optioncarChar"/>
        </w:rPr>
        <w:t>***</w:t>
      </w:r>
      <w:r>
        <w:t xml:space="preserve"> cm</w:t>
      </w:r>
    </w:p>
    <w:p w14:paraId="75AD8DCB" w14:textId="77777777" w:rsidR="00772179" w:rsidRDefault="00000000">
      <w:pPr>
        <w:pStyle w:val="Author-eListParagraph"/>
        <w:numPr>
          <w:ilvl w:val="0"/>
          <w:numId w:val="409"/>
        </w:numPr>
      </w:pPr>
      <w:r>
        <w:t xml:space="preserve">Panneaux fixes au-dessus de la porte : </w:t>
      </w:r>
      <w:r>
        <w:rPr>
          <w:rStyle w:val="optioncarChar"/>
        </w:rPr>
        <w:t>non / oui</w:t>
      </w:r>
    </w:p>
    <w:p w14:paraId="1E258D46" w14:textId="77777777" w:rsidR="00772179" w:rsidRDefault="00000000">
      <w:pPr>
        <w:jc w:val="both"/>
      </w:pPr>
      <w:r>
        <w:t>Sections avec isolation PU :</w:t>
      </w:r>
    </w:p>
    <w:p w14:paraId="21A978E5" w14:textId="77777777" w:rsidR="00772179" w:rsidRDefault="00000000">
      <w:pPr>
        <w:pStyle w:val="Author-eListParagraph"/>
        <w:numPr>
          <w:ilvl w:val="0"/>
          <w:numId w:val="410"/>
        </w:numPr>
      </w:pPr>
      <w:r>
        <w:t xml:space="preserve">Hauteur : </w:t>
      </w:r>
      <w:r>
        <w:rPr>
          <w:rStyle w:val="optioncarChar"/>
        </w:rPr>
        <w:t>500 / 610 / 625</w:t>
      </w:r>
      <w:r>
        <w:t> cm</w:t>
      </w:r>
    </w:p>
    <w:p w14:paraId="7D8FA116" w14:textId="77777777" w:rsidR="00772179" w:rsidRDefault="00000000">
      <w:pPr>
        <w:pStyle w:val="Author-eListParagraph"/>
        <w:numPr>
          <w:ilvl w:val="0"/>
          <w:numId w:val="410"/>
        </w:numPr>
      </w:pPr>
      <w:r>
        <w:t xml:space="preserve">Épaisseur : </w:t>
      </w:r>
      <w:r>
        <w:rPr>
          <w:rStyle w:val="optioncarChar"/>
        </w:rPr>
        <w:t>65 / 60 / 42</w:t>
      </w:r>
      <w:r>
        <w:t> mm</w:t>
      </w:r>
    </w:p>
    <w:p w14:paraId="0A23B62B" w14:textId="77777777" w:rsidR="00772179" w:rsidRDefault="00000000">
      <w:pPr>
        <w:pStyle w:val="Author-eListParagraph"/>
        <w:numPr>
          <w:ilvl w:val="0"/>
          <w:numId w:val="410"/>
        </w:numPr>
      </w:pPr>
      <w:r>
        <w:t xml:space="preserve">Valeur U à atteindre : </w:t>
      </w:r>
      <w:r>
        <w:rPr>
          <w:rStyle w:val="optioncarChar"/>
        </w:rPr>
        <w:t>***</w:t>
      </w:r>
      <w:r>
        <w:t xml:space="preserve"> w/m²K.</w:t>
      </w:r>
    </w:p>
    <w:p w14:paraId="171035C3" w14:textId="77777777" w:rsidR="00772179" w:rsidRDefault="00000000">
      <w:pPr>
        <w:jc w:val="both"/>
      </w:pPr>
      <w:r>
        <w:t xml:space="preserve">Ferrure : </w:t>
      </w:r>
      <w:r>
        <w:rPr>
          <w:rStyle w:val="optioncarChar"/>
        </w:rPr>
        <w:t>normale / linteau réduit / rail de guidage rehaussé / verticale</w:t>
      </w:r>
    </w:p>
    <w:p w14:paraId="63EB3EC6" w14:textId="77777777" w:rsidR="00772179" w:rsidRDefault="00000000">
      <w:pPr>
        <w:jc w:val="both"/>
      </w:pPr>
      <w:r>
        <w:t>Huisserie en acier galvanisé, laqué teinte au choix de la direction des travaux, avec double joint</w:t>
      </w:r>
    </w:p>
    <w:p w14:paraId="52D40FF7" w14:textId="77777777" w:rsidR="00772179" w:rsidRDefault="00000000">
      <w:pPr>
        <w:jc w:val="both"/>
      </w:pPr>
      <w:r>
        <w:t>Système de verrouillage :</w:t>
      </w:r>
      <w:r>
        <w:rPr>
          <w:rStyle w:val="optioncarChar"/>
        </w:rPr>
        <w:t xml:space="preserve"> intérieur / extérieur </w:t>
      </w:r>
    </w:p>
    <w:p w14:paraId="2C754EFF" w14:textId="77777777" w:rsidR="00772179" w:rsidRDefault="00000000">
      <w:pPr>
        <w:jc w:val="both"/>
      </w:pPr>
      <w:r>
        <w:t>Porte piétonne intégrée :</w:t>
      </w:r>
      <w:r>
        <w:rPr>
          <w:rStyle w:val="optioncarChar"/>
        </w:rPr>
        <w:t xml:space="preserve"> oui / non</w:t>
      </w:r>
    </w:p>
    <w:p w14:paraId="2B64656E" w14:textId="77777777" w:rsidR="00772179" w:rsidRDefault="00000000">
      <w:pPr>
        <w:jc w:val="both"/>
      </w:pPr>
      <w:r>
        <w:t xml:space="preserve">Exigences relatives au bruit généré dans les espaces de vie par le fonctionnement de la porte suivant [NBN S 01-400-1] :  conformément à la classe </w:t>
      </w:r>
      <w:r>
        <w:rPr>
          <w:rStyle w:val="optioncarChar"/>
        </w:rPr>
        <w:t>A / B / C</w:t>
      </w:r>
    </w:p>
    <w:p w14:paraId="4593E9CD" w14:textId="77777777" w:rsidR="00772179" w:rsidRDefault="00000000">
      <w:pPr>
        <w:jc w:val="both"/>
      </w:pPr>
      <w:r>
        <w:lastRenderedPageBreak/>
        <w:t xml:space="preserve">Porte </w:t>
      </w:r>
      <w:r>
        <w:rPr>
          <w:rStyle w:val="optioncarChar"/>
        </w:rPr>
        <w:t xml:space="preserve">manuelle </w:t>
      </w:r>
      <w:r>
        <w:t>(par défaut)</w:t>
      </w:r>
      <w:r>
        <w:rPr>
          <w:rStyle w:val="optioncarChar"/>
        </w:rPr>
        <w:t xml:space="preserve"> / motorisée</w:t>
      </w:r>
    </w:p>
    <w:p w14:paraId="567D4A31" w14:textId="77777777" w:rsidR="00772179" w:rsidRDefault="00000000">
      <w:pPr>
        <w:jc w:val="both"/>
      </w:pPr>
      <w:r>
        <w:rPr>
          <w:b/>
        </w:rPr>
        <w:t>(soit par défaut)</w:t>
      </w:r>
    </w:p>
    <w:p w14:paraId="1F942926" w14:textId="77777777" w:rsidR="00772179" w:rsidRDefault="00000000">
      <w:pPr>
        <w:jc w:val="both"/>
      </w:pPr>
      <w:r>
        <w:rPr>
          <w:rStyle w:val="soitChar"/>
          <w:u w:val="single"/>
        </w:rPr>
        <w:t>Manuelle</w:t>
      </w:r>
    </w:p>
    <w:p w14:paraId="11FB4723" w14:textId="77777777" w:rsidR="00772179" w:rsidRDefault="00000000">
      <w:pPr>
        <w:pStyle w:val="Author-eListParagraph"/>
        <w:numPr>
          <w:ilvl w:val="0"/>
          <w:numId w:val="411"/>
        </w:numPr>
      </w:pPr>
      <w:r>
        <w:rPr>
          <w:rStyle w:val="soitChar"/>
        </w:rPr>
        <w:t>Forces maximales :</w:t>
      </w:r>
      <w:r>
        <w:rPr>
          <w:rStyle w:val="optioncarChar"/>
        </w:rPr>
        <w:t xml:space="preserve">150 N </w:t>
      </w:r>
      <w:r>
        <w:t>(par défaut)</w:t>
      </w:r>
      <w:r>
        <w:rPr>
          <w:rStyle w:val="optioncarChar"/>
        </w:rPr>
        <w:t xml:space="preserve"> / ***</w:t>
      </w:r>
    </w:p>
    <w:p w14:paraId="6FE4C342" w14:textId="77777777" w:rsidR="00772179" w:rsidRDefault="00000000">
      <w:pPr>
        <w:pStyle w:val="Author-eListParagraph"/>
        <w:numPr>
          <w:ilvl w:val="0"/>
          <w:numId w:val="411"/>
        </w:numPr>
      </w:pPr>
      <w:r>
        <w:rPr>
          <w:rStyle w:val="soitChar"/>
        </w:rPr>
        <w:t>Commande par poignée intérieure et extérieure</w:t>
      </w:r>
    </w:p>
    <w:p w14:paraId="3623A800" w14:textId="77777777" w:rsidR="00772179" w:rsidRDefault="00000000">
      <w:pPr>
        <w:jc w:val="both"/>
      </w:pPr>
      <w:r>
        <w:rPr>
          <w:b/>
        </w:rPr>
        <w:t>(soit)</w:t>
      </w:r>
    </w:p>
    <w:p w14:paraId="10F0C691" w14:textId="77777777" w:rsidR="00772179" w:rsidRDefault="00000000">
      <w:pPr>
        <w:jc w:val="both"/>
      </w:pPr>
      <w:r>
        <w:rPr>
          <w:rStyle w:val="soitChar"/>
          <w:u w:val="single"/>
        </w:rPr>
        <w:t>Motorisée</w:t>
      </w:r>
    </w:p>
    <w:p w14:paraId="7FFE75D9" w14:textId="77777777" w:rsidR="00772179" w:rsidRDefault="00000000">
      <w:pPr>
        <w:pStyle w:val="Author-eListParagraph"/>
        <w:numPr>
          <w:ilvl w:val="0"/>
          <w:numId w:val="412"/>
        </w:numPr>
        <w:jc w:val="both"/>
      </w:pPr>
      <w:r>
        <w:rPr>
          <w:rStyle w:val="soitChar"/>
        </w:rPr>
        <w:t>Commande par :</w:t>
      </w:r>
      <w:r>
        <w:rPr>
          <w:rStyle w:val="optioncarChar"/>
        </w:rPr>
        <w:t>commutateur à code / commutateur à clé / bouton poussoir / télécommande</w:t>
      </w:r>
    </w:p>
    <w:p w14:paraId="5FFC097B" w14:textId="77777777" w:rsidR="00772179" w:rsidRDefault="00000000">
      <w:pPr>
        <w:pStyle w:val="Author-eListParagraph"/>
        <w:numPr>
          <w:ilvl w:val="0"/>
          <w:numId w:val="412"/>
        </w:numPr>
        <w:jc w:val="both"/>
      </w:pPr>
      <w:r>
        <w:rPr>
          <w:rStyle w:val="soitChar"/>
        </w:rPr>
        <w:t>Commande manuelle d’urgence : force maximale à exercer </w:t>
      </w:r>
      <w:r>
        <w:t xml:space="preserve">: </w:t>
      </w:r>
      <w:r>
        <w:rPr>
          <w:rStyle w:val="optioncarChar"/>
        </w:rPr>
        <w:t>225 N</w:t>
      </w:r>
      <w:r>
        <w:t xml:space="preserve"> (par défaut)</w:t>
      </w:r>
      <w:r>
        <w:rPr>
          <w:rStyle w:val="optioncarChar"/>
        </w:rPr>
        <w:t xml:space="preserve"> / ***</w:t>
      </w:r>
    </w:p>
    <w:p w14:paraId="63049311" w14:textId="77777777" w:rsidR="00772179" w:rsidRDefault="00000000">
      <w:pPr>
        <w:pStyle w:val="Author-eListParagraph"/>
        <w:numPr>
          <w:ilvl w:val="0"/>
          <w:numId w:val="412"/>
        </w:numPr>
        <w:jc w:val="both"/>
      </w:pPr>
      <w:r>
        <w:rPr>
          <w:rStyle w:val="soitChar"/>
        </w:rPr>
        <w:t>Niveau de sécurité : utilisation de type 1 conformément au tableau 4 de la [STS 53.2]</w:t>
      </w:r>
    </w:p>
    <w:p w14:paraId="418AD5C8" w14:textId="77777777" w:rsidR="00772179" w:rsidRDefault="00000000">
      <w:pPr>
        <w:pStyle w:val="Author-eListParagraph"/>
        <w:numPr>
          <w:ilvl w:val="0"/>
          <w:numId w:val="412"/>
        </w:numPr>
        <w:jc w:val="both"/>
      </w:pPr>
      <w:r>
        <w:rPr>
          <w:rStyle w:val="soitChar"/>
        </w:rPr>
        <w:t>Système de protection contre l’enfermement :</w:t>
      </w:r>
      <w:r>
        <w:rPr>
          <w:rStyle w:val="optioncarChar"/>
        </w:rPr>
        <w:t xml:space="preserve"> oui / non</w:t>
      </w:r>
    </w:p>
    <w:p w14:paraId="063834FF" w14:textId="77777777" w:rsidR="00772179" w:rsidRDefault="00000000">
      <w:pPr>
        <w:pStyle w:val="pheading"/>
      </w:pPr>
      <w:r>
        <w:t>- Finitions</w:t>
      </w:r>
    </w:p>
    <w:p w14:paraId="3555DE39" w14:textId="77777777" w:rsidR="00772179" w:rsidRDefault="00000000">
      <w:pPr>
        <w:jc w:val="both"/>
      </w:pPr>
      <w:r>
        <w:t xml:space="preserve">Panneaux en acier </w:t>
      </w:r>
      <w:r>
        <w:rPr>
          <w:rStyle w:val="optioncarChar"/>
        </w:rPr>
        <w:t xml:space="preserve">pleins </w:t>
      </w:r>
      <w:r>
        <w:t>(par défaut)</w:t>
      </w:r>
      <w:r>
        <w:rPr>
          <w:rStyle w:val="optioncarChar"/>
        </w:rPr>
        <w:t xml:space="preserve"> / pourvus d’un vitrage / pourvus d’une grille / ***</w:t>
      </w:r>
    </w:p>
    <w:p w14:paraId="3A3B0467" w14:textId="77777777" w:rsidR="00772179" w:rsidRDefault="00000000">
      <w:pPr>
        <w:jc w:val="both"/>
      </w:pPr>
      <w:r>
        <w:rPr>
          <w:b/>
        </w:rPr>
        <w:t>(soit par défaut)</w:t>
      </w:r>
    </w:p>
    <w:p w14:paraId="0524B924" w14:textId="77777777" w:rsidR="00772179" w:rsidRDefault="00000000">
      <w:pPr>
        <w:jc w:val="both"/>
      </w:pPr>
      <w:r>
        <w:rPr>
          <w:rStyle w:val="soitChar"/>
          <w:u w:val="single"/>
        </w:rPr>
        <w:t>Pleins :</w:t>
      </w:r>
      <w:r>
        <w:rPr>
          <w:rStyle w:val="optioncarChar"/>
        </w:rPr>
        <w:t>lisses</w:t>
      </w:r>
      <w:r>
        <w:t xml:space="preserve"> (par défaut)</w:t>
      </w:r>
      <w:r>
        <w:rPr>
          <w:rStyle w:val="optioncarChar"/>
        </w:rPr>
        <w:t xml:space="preserve"> / à stries / stries fines / stucco / structuré fin / ***</w:t>
      </w:r>
    </w:p>
    <w:p w14:paraId="6CDF45C2" w14:textId="77777777" w:rsidR="00772179" w:rsidRDefault="00000000">
      <w:pPr>
        <w:jc w:val="both"/>
      </w:pPr>
      <w:r>
        <w:rPr>
          <w:b/>
        </w:rPr>
        <w:t>(soit)</w:t>
      </w:r>
    </w:p>
    <w:p w14:paraId="4C841FB5" w14:textId="77777777" w:rsidR="00772179" w:rsidRDefault="00000000">
      <w:pPr>
        <w:jc w:val="both"/>
      </w:pPr>
      <w:r>
        <w:rPr>
          <w:rStyle w:val="soitChar"/>
          <w:u w:val="single"/>
        </w:rPr>
        <w:t>Pourvus d’un vitrage</w:t>
      </w:r>
      <w:r>
        <w:t>  </w:t>
      </w:r>
      <w:r>
        <w:rPr>
          <w:rStyle w:val="optioncarChar"/>
        </w:rPr>
        <w:t>dans une section / dans toutes les sections hormis l’inférieure</w:t>
      </w:r>
    </w:p>
    <w:p w14:paraId="03C142E4" w14:textId="77777777" w:rsidR="00772179" w:rsidRDefault="00000000">
      <w:pPr>
        <w:jc w:val="both"/>
      </w:pPr>
      <w:r>
        <w:rPr>
          <w:rStyle w:val="soitChar"/>
        </w:rPr>
        <w:t>Vitrage :</w:t>
      </w:r>
      <w:r>
        <w:rPr>
          <w:rStyle w:val="optioncarChar"/>
        </w:rPr>
        <w:t>cadres avec vitrage en profilés tubulaires d’aluminium anodisé / hublots</w:t>
      </w:r>
    </w:p>
    <w:p w14:paraId="282FDA07" w14:textId="77777777" w:rsidR="00772179" w:rsidRDefault="00000000">
      <w:pPr>
        <w:jc w:val="both"/>
      </w:pPr>
      <w:r>
        <w:rPr>
          <w:rStyle w:val="soitChar"/>
        </w:rPr>
        <w:t>Vitrage :</w:t>
      </w:r>
      <w:r>
        <w:rPr>
          <w:rStyle w:val="optioncarChar"/>
        </w:rPr>
        <w:t xml:space="preserve"> vitrage feuilleté 2B2 / Vitrage C / vitrage double synthétique</w:t>
      </w:r>
    </w:p>
    <w:p w14:paraId="4ECC1708" w14:textId="77777777" w:rsidR="00772179" w:rsidRDefault="00000000">
      <w:pPr>
        <w:jc w:val="both"/>
      </w:pPr>
      <w:r>
        <w:rPr>
          <w:rStyle w:val="soitChar"/>
        </w:rPr>
        <w:t>Vitrage :</w:t>
      </w:r>
      <w:r>
        <w:rPr>
          <w:rStyle w:val="optioncarChar"/>
        </w:rPr>
        <w:t>sablé / mat / transparent</w:t>
      </w:r>
    </w:p>
    <w:p w14:paraId="069C7B9B" w14:textId="77777777" w:rsidR="00772179" w:rsidRDefault="00000000">
      <w:pPr>
        <w:jc w:val="both"/>
      </w:pPr>
      <w:r>
        <w:rPr>
          <w:b/>
        </w:rPr>
        <w:t>(soit)</w:t>
      </w:r>
    </w:p>
    <w:p w14:paraId="3C3E99CA" w14:textId="77777777" w:rsidR="00772179" w:rsidRDefault="00000000">
      <w:pPr>
        <w:jc w:val="both"/>
      </w:pPr>
      <w:r>
        <w:rPr>
          <w:rStyle w:val="soitChar"/>
          <w:u w:val="single"/>
        </w:rPr>
        <w:t>Pourvus d’une grille</w:t>
      </w:r>
      <w:r>
        <w:t>  </w:t>
      </w:r>
      <w:r>
        <w:rPr>
          <w:rStyle w:val="optioncarChar"/>
        </w:rPr>
        <w:t>dans une section / dans toutes les sections hormis l’inférieure</w:t>
      </w:r>
    </w:p>
    <w:p w14:paraId="489EA1DD" w14:textId="77777777" w:rsidR="00772179" w:rsidRDefault="00000000">
      <w:pPr>
        <w:jc w:val="both"/>
      </w:pPr>
      <w:r>
        <w:rPr>
          <w:rStyle w:val="soitChar"/>
        </w:rPr>
        <w:t xml:space="preserve">Grille : </w:t>
      </w:r>
      <w:r>
        <w:rPr>
          <w:rStyle w:val="optioncarChar"/>
        </w:rPr>
        <w:t>grille à lamelles / métal déployé / tôle perforée </w:t>
      </w:r>
    </w:p>
    <w:p w14:paraId="08B48011" w14:textId="77777777" w:rsidR="00772179" w:rsidRDefault="00000000">
      <w:pPr>
        <w:jc w:val="both"/>
      </w:pPr>
      <w:r>
        <w:rPr>
          <w:b/>
        </w:rPr>
        <w:t>(soit)</w:t>
      </w:r>
    </w:p>
    <w:p w14:paraId="0FA1CB6B" w14:textId="77777777" w:rsidR="00772179" w:rsidRDefault="00000000">
      <w:pPr>
        <w:jc w:val="both"/>
      </w:pPr>
      <w:r>
        <w:rPr>
          <w:rStyle w:val="optioncarChar"/>
        </w:rPr>
        <w:t>***</w:t>
      </w:r>
    </w:p>
    <w:p w14:paraId="4D058709" w14:textId="77777777" w:rsidR="00772179" w:rsidRDefault="00000000">
      <w:pPr>
        <w:jc w:val="both"/>
      </w:pPr>
      <w:r>
        <w:t>Finition :  </w:t>
      </w:r>
      <w:r>
        <w:rPr>
          <w:rStyle w:val="optioncarChar"/>
        </w:rPr>
        <w:t xml:space="preserve">laquage en 3 couches </w:t>
      </w:r>
      <w:r>
        <w:t>(par défaut)</w:t>
      </w:r>
      <w:r>
        <w:rPr>
          <w:rStyle w:val="optioncarChar"/>
        </w:rPr>
        <w:t xml:space="preserve"> / laquage avec impression et couche anti-griffes extérieure </w:t>
      </w:r>
    </w:p>
    <w:p w14:paraId="681A42D4" w14:textId="77777777" w:rsidR="00772179" w:rsidRDefault="00000000">
      <w:pPr>
        <w:jc w:val="both"/>
      </w:pPr>
      <w:r>
        <w:rPr>
          <w:b/>
        </w:rPr>
        <w:t>(soit par défaut)</w:t>
      </w:r>
    </w:p>
    <w:p w14:paraId="5282A1B2" w14:textId="77777777" w:rsidR="00772179" w:rsidRDefault="00000000">
      <w:pPr>
        <w:jc w:val="both"/>
      </w:pPr>
      <w:r>
        <w:rPr>
          <w:rStyle w:val="soitChar"/>
          <w:u w:val="single"/>
        </w:rPr>
        <w:t>Laquage en 3 couches</w:t>
      </w:r>
      <w:r>
        <w:rPr>
          <w:rStyle w:val="soitChar"/>
        </w:rPr>
        <w:t> : teinte au choix de DT</w:t>
      </w:r>
      <w:r>
        <w:rPr>
          <w:rStyle w:val="soitChar"/>
          <w:color w:val="000000"/>
        </w:rPr>
        <w:t> </w:t>
      </w:r>
      <w:r>
        <w:rPr>
          <w:rStyle w:val="optioncarChar"/>
        </w:rPr>
        <w:t>dans la gamme de base du fabricant / dans l’entièreté de la gamme RAL</w:t>
      </w:r>
    </w:p>
    <w:p w14:paraId="78820BF8" w14:textId="77777777" w:rsidR="00772179" w:rsidRDefault="00000000">
      <w:pPr>
        <w:jc w:val="both"/>
      </w:pPr>
      <w:r>
        <w:rPr>
          <w:b/>
        </w:rPr>
        <w:t>(soit)</w:t>
      </w:r>
    </w:p>
    <w:p w14:paraId="30120EEC" w14:textId="77777777" w:rsidR="00772179" w:rsidRDefault="00000000">
      <w:pPr>
        <w:jc w:val="both"/>
      </w:pPr>
      <w:r>
        <w:rPr>
          <w:rStyle w:val="soitChar"/>
          <w:u w:val="single"/>
        </w:rPr>
        <w:t>Laquage avec impression et couche anti-griffes extérieure</w:t>
      </w:r>
      <w:r>
        <w:rPr>
          <w:rStyle w:val="soitChar"/>
        </w:rPr>
        <w:t> : impression au choix de DT dans l’entièreté de la gamme du fabricant :</w:t>
      </w:r>
      <w:r>
        <w:rPr>
          <w:rStyle w:val="optioncarChar"/>
        </w:rPr>
        <w:t>bois / béton / acier</w:t>
      </w:r>
    </w:p>
    <w:p w14:paraId="3FD347E1" w14:textId="77777777" w:rsidR="00772179" w:rsidRDefault="00000000">
      <w:pPr>
        <w:pStyle w:val="pheading"/>
      </w:pPr>
      <w:r>
        <w:t>EXÉCUTION / MISE EN ŒUVRE</w:t>
      </w:r>
    </w:p>
    <w:p w14:paraId="27795BE8" w14:textId="77777777" w:rsidR="00772179" w:rsidRDefault="00000000">
      <w:pPr>
        <w:pStyle w:val="pheading"/>
      </w:pPr>
      <w:r>
        <w:t>- Prescriptions générales</w:t>
      </w:r>
    </w:p>
    <w:p w14:paraId="75C78C99" w14:textId="77777777" w:rsidR="00772179" w:rsidRDefault="00000000">
      <w:pPr>
        <w:jc w:val="both"/>
      </w:pPr>
      <w:r>
        <w:t xml:space="preserve">La porte est montée </w:t>
      </w:r>
      <w:r>
        <w:rPr>
          <w:rStyle w:val="optioncarChar"/>
        </w:rPr>
        <w:t>derrière une batée</w:t>
      </w:r>
      <w:r>
        <w:t xml:space="preserve"> (par défaut)</w:t>
      </w:r>
      <w:r>
        <w:rPr>
          <w:rStyle w:val="optioncarChar"/>
        </w:rPr>
        <w:t> / dans l’ouverture du jour.</w:t>
      </w:r>
    </w:p>
    <w:p w14:paraId="0369C811" w14:textId="77777777" w:rsidR="00772179" w:rsidRDefault="00000000">
      <w:pPr>
        <w:jc w:val="both"/>
      </w:pPr>
      <w:r>
        <w:rPr>
          <w:b/>
        </w:rPr>
        <w:t>(soit par défaut)</w:t>
      </w:r>
    </w:p>
    <w:p w14:paraId="0C2CD8AB" w14:textId="77777777" w:rsidR="00772179" w:rsidRDefault="00000000">
      <w:pPr>
        <w:jc w:val="both"/>
      </w:pPr>
      <w:r>
        <w:rPr>
          <w:rStyle w:val="soitChar"/>
          <w:u w:val="single"/>
        </w:rPr>
        <w:t>Derrière une batée</w:t>
      </w:r>
      <w:r>
        <w:rPr>
          <w:rStyle w:val="soitChar"/>
        </w:rPr>
        <w:t> : la largeur de la batée est de </w:t>
      </w:r>
      <w:r>
        <w:rPr>
          <w:rStyle w:val="optioncarChar"/>
        </w:rPr>
        <w:t>***</w:t>
      </w:r>
      <w:r>
        <w:rPr>
          <w:rStyle w:val="soitChar"/>
        </w:rPr>
        <w:t xml:space="preserve"> mm. La hauteur du linteau est de </w:t>
      </w:r>
      <w:r>
        <w:rPr>
          <w:rStyle w:val="optioncarChar"/>
        </w:rPr>
        <w:t>***</w:t>
      </w:r>
      <w:r>
        <w:rPr>
          <w:rStyle w:val="soitChar"/>
        </w:rPr>
        <w:t xml:space="preserve"> mm.</w:t>
      </w:r>
    </w:p>
    <w:p w14:paraId="2F80DD35" w14:textId="77777777" w:rsidR="00772179" w:rsidRDefault="00000000">
      <w:pPr>
        <w:jc w:val="both"/>
      </w:pPr>
      <w:r>
        <w:rPr>
          <w:b/>
        </w:rPr>
        <w:t>(soit) </w:t>
      </w:r>
    </w:p>
    <w:p w14:paraId="7DB2FFDC" w14:textId="77777777" w:rsidR="00772179" w:rsidRDefault="00000000">
      <w:pPr>
        <w:jc w:val="both"/>
      </w:pPr>
      <w:r>
        <w:rPr>
          <w:rStyle w:val="soitChar"/>
          <w:u w:val="single"/>
        </w:rPr>
        <w:t>Dans l’ouverture du jour</w:t>
      </w:r>
      <w:r>
        <w:rPr>
          <w:rStyle w:val="soitChar"/>
        </w:rPr>
        <w:t xml:space="preserve"> , pose de profilés tubulaires </w:t>
      </w:r>
      <w:r>
        <w:rPr>
          <w:rStyle w:val="optioncarChar"/>
        </w:rPr>
        <w:t>120 x 60 / 160 x 60 / ***</w:t>
      </w:r>
      <w:r>
        <w:rPr>
          <w:rStyle w:val="soitChar"/>
        </w:rPr>
        <w:t xml:space="preserve"> mm pour obtenir une batée suffisante.</w:t>
      </w:r>
    </w:p>
    <w:p w14:paraId="570E914F" w14:textId="77777777" w:rsidR="00772179" w:rsidRDefault="00000000">
      <w:pPr>
        <w:jc w:val="both"/>
      </w:pPr>
      <w:r>
        <w:lastRenderedPageBreak/>
        <w:t>La continuité de l’isolation thermique avec l’isolant de la façade est réalisée de sorte à obtenir un nœud constructif conforme suivant [AGW 2014-05-15 PEB], annexe B2.</w:t>
      </w:r>
    </w:p>
    <w:p w14:paraId="64E95D3D" w14:textId="77777777" w:rsidR="00772179" w:rsidRDefault="00000000">
      <w:pPr>
        <w:jc w:val="both"/>
      </w:pPr>
      <w:r>
        <w:t xml:space="preserve"> Le raccordement entre le dormant et le revêtement de façade est obturé à l’aide d’un mastic à base de polysulfures, compris dans le présent article et conforme à la [STS 56].</w:t>
      </w:r>
    </w:p>
    <w:p w14:paraId="67AAC952" w14:textId="77777777" w:rsidR="00772179" w:rsidRDefault="00000000">
      <w:pPr>
        <w:pStyle w:val="pheading"/>
      </w:pPr>
      <w:r>
        <w:t>DOCUMENTS DE RÉFÉRENCE COMPLÉMENTAIRES</w:t>
      </w:r>
    </w:p>
    <w:p w14:paraId="1DFA38AA" w14:textId="77777777" w:rsidR="00772179" w:rsidRDefault="00000000">
      <w:pPr>
        <w:pStyle w:val="pheading"/>
      </w:pPr>
      <w:r>
        <w:t>- Matériau</w:t>
      </w:r>
    </w:p>
    <w:p w14:paraId="235C9E7D" w14:textId="77777777" w:rsidR="00772179" w:rsidRDefault="00000000">
      <w:r>
        <w:t>[STS 53.2, Portes industrielles, commerciales et résidentielles]</w:t>
      </w:r>
    </w:p>
    <w:p w14:paraId="3338D4E3" w14:textId="77777777" w:rsidR="00772179" w:rsidRDefault="00000000">
      <w:r>
        <w:t>[STS 56, Vitrages extérieurs collés]</w:t>
      </w:r>
    </w:p>
    <w:p w14:paraId="264BDA23" w14:textId="77777777" w:rsidR="00772179" w:rsidRDefault="00000000">
      <w:r>
        <w:t>[NBN EN 1627, Blocs-portes pour piétons, fenêtres, façades rideaux, grilles et fermetures - Résistance à l'effraction - Prescriptions et classification]</w:t>
      </w:r>
    </w:p>
    <w:p w14:paraId="46FC4A1B" w14:textId="77777777" w:rsidR="00772179" w:rsidRDefault="00000000">
      <w:r>
        <w:t>[NBN EN 12424, Portes équipant les locaux industriels, commerciaux et les garages - Résistance à la charge de vent - Classification]</w:t>
      </w:r>
    </w:p>
    <w:p w14:paraId="57B3BC08" w14:textId="77777777" w:rsidR="00772179" w:rsidRDefault="00000000">
      <w:r>
        <w:t>[NBN EN 12425, Portes équipant les locaux industriels, commerciaux et les garages - Résistance à la pénétration de l'eau - Classification]</w:t>
      </w:r>
    </w:p>
    <w:p w14:paraId="25417106" w14:textId="77777777" w:rsidR="00772179" w:rsidRDefault="00000000">
      <w:r>
        <w:t>[NBN EN 12604:2017+A1, Portes et portails industriels, commerciaux et résidentiels - Aspects mécaniques - Exigences et méthodes d'essai]</w:t>
      </w:r>
    </w:p>
    <w:p w14:paraId="5A99BF28" w14:textId="77777777" w:rsidR="00772179" w:rsidRDefault="00000000">
      <w:r>
        <w:t>[NBN EN 12453:2017+A1, Portes et portails équipant les locaux industriels et commerciaux et les garages - Sécurité à l'utilisation des portes motorisées - Exigences et méthodes d'essai ]</w:t>
      </w:r>
    </w:p>
    <w:p w14:paraId="5747426A" w14:textId="77777777" w:rsidR="00772179" w:rsidRDefault="00000000">
      <w:r>
        <w:t>[AGW 2014-05-15 PEB, Arrêté du Gouvernement wallon portant exécution du décret du 28 novembre 2013 relatif à la performance énergétique des bâtiments]</w:t>
      </w:r>
    </w:p>
    <w:p w14:paraId="63CBB106" w14:textId="77777777" w:rsidR="00772179" w:rsidRDefault="00000000">
      <w:pPr>
        <w:pStyle w:val="pheading"/>
      </w:pPr>
      <w:r>
        <w:t>MESURAGE</w:t>
      </w:r>
    </w:p>
    <w:p w14:paraId="18532F30" w14:textId="77777777" w:rsidR="00772179" w:rsidRDefault="00000000">
      <w:pPr>
        <w:pStyle w:val="pheading"/>
      </w:pPr>
      <w:r>
        <w:t>- unité de mesure:</w:t>
      </w:r>
    </w:p>
    <w:p w14:paraId="4A460F84" w14:textId="77777777" w:rsidR="00772179" w:rsidRDefault="00000000">
      <w:r>
        <w:t>pc</w:t>
      </w:r>
    </w:p>
    <w:p w14:paraId="7CCE14F0" w14:textId="77777777" w:rsidR="00772179" w:rsidRDefault="00000000">
      <w:pPr>
        <w:pStyle w:val="pheading"/>
      </w:pPr>
      <w:r>
        <w:t>- code de mesurage:</w:t>
      </w:r>
    </w:p>
    <w:p w14:paraId="0906412A" w14:textId="77777777" w:rsidR="00772179" w:rsidRDefault="00000000">
      <w:r>
        <w:t>Quantité nette à mettre en oeuvre, distinction faite suivant la dimension.</w:t>
      </w:r>
    </w:p>
    <w:p w14:paraId="4FFE930B" w14:textId="77777777" w:rsidR="00772179" w:rsidRDefault="00000000">
      <w:pPr>
        <w:pStyle w:val="pheading"/>
      </w:pPr>
      <w:r>
        <w:t>- nature du marché:</w:t>
      </w:r>
    </w:p>
    <w:p w14:paraId="745BDBF8" w14:textId="77777777" w:rsidR="00772179" w:rsidRDefault="00000000">
      <w:r>
        <w:t>QF</w:t>
      </w:r>
    </w:p>
    <w:p w14:paraId="0312A42C" w14:textId="77777777" w:rsidR="00772179" w:rsidRDefault="00000000">
      <w:pPr>
        <w:pStyle w:val="Author-eSectionHeading6Numberless"/>
      </w:pPr>
      <w:bookmarkStart w:id="119" w:name="_Toc220489864"/>
      <w:r>
        <w:t>41.31.2d Portes de garage à usage privé sectionnelles en PVC</w:t>
      </w:r>
      <w:bookmarkEnd w:id="119"/>
    </w:p>
    <w:p w14:paraId="7D30CED3" w14:textId="77777777" w:rsidR="00772179" w:rsidRDefault="00000000">
      <w:pPr>
        <w:pStyle w:val="Author-eSectionHeading6Numberless"/>
      </w:pPr>
      <w:bookmarkStart w:id="120" w:name="_Toc220489865"/>
      <w:r>
        <w:t>41.31.2e Portes de garage à usage privé sectionnelles en verre</w:t>
      </w:r>
      <w:bookmarkEnd w:id="120"/>
    </w:p>
    <w:p w14:paraId="547B6040" w14:textId="77777777" w:rsidR="00772179" w:rsidRDefault="00000000">
      <w:pPr>
        <w:pStyle w:val="Author-eSectionHeading6Numberless"/>
      </w:pPr>
      <w:bookmarkStart w:id="121" w:name="_Toc220489866"/>
      <w:r>
        <w:t>41.31.2f Portes de garage à usage privé sectionnelles en matériaux composites CCTB 01.10</w:t>
      </w:r>
      <w:bookmarkEnd w:id="121"/>
    </w:p>
    <w:p w14:paraId="1C2861E0" w14:textId="77777777" w:rsidR="00772179" w:rsidRDefault="00000000">
      <w:pPr>
        <w:pStyle w:val="Author-eSectionHeading5Numberless"/>
      </w:pPr>
      <w:bookmarkStart w:id="122" w:name="_Toc220489867"/>
      <w:r>
        <w:t>41.31.3 Portes de garage à usage privé coulissantes CCTB 01.04</w:t>
      </w:r>
      <w:bookmarkEnd w:id="122"/>
    </w:p>
    <w:p w14:paraId="543F940F" w14:textId="77777777" w:rsidR="00772179" w:rsidRDefault="00000000">
      <w:pPr>
        <w:pStyle w:val="Author-eSectionHeading6Numberless"/>
      </w:pPr>
      <w:bookmarkStart w:id="123" w:name="_Toc220489868"/>
      <w:r>
        <w:t>41.31.3a Portes de garage à usage privé coulissantes en bois</w:t>
      </w:r>
      <w:bookmarkEnd w:id="123"/>
    </w:p>
    <w:p w14:paraId="261FDA71" w14:textId="77777777" w:rsidR="00772179" w:rsidRDefault="00000000">
      <w:pPr>
        <w:pStyle w:val="Author-eSectionHeading6Numberless"/>
      </w:pPr>
      <w:bookmarkStart w:id="124" w:name="_Toc220489869"/>
      <w:r>
        <w:t>41.31.3b Portes de garage à usage privé coulissantes en aluminium</w:t>
      </w:r>
      <w:bookmarkEnd w:id="124"/>
    </w:p>
    <w:p w14:paraId="2F0BF678" w14:textId="77777777" w:rsidR="00772179" w:rsidRDefault="00000000">
      <w:pPr>
        <w:pStyle w:val="Author-eSectionHeading6Numberless"/>
      </w:pPr>
      <w:bookmarkStart w:id="125" w:name="_Toc220489870"/>
      <w:r>
        <w:t>41.31.3c Portes de garage à usage privé coulissantes en acier</w:t>
      </w:r>
      <w:bookmarkEnd w:id="125"/>
    </w:p>
    <w:p w14:paraId="78FB3621" w14:textId="77777777" w:rsidR="00772179" w:rsidRDefault="00000000">
      <w:pPr>
        <w:pStyle w:val="Author-eSectionHeading6Numberless"/>
      </w:pPr>
      <w:bookmarkStart w:id="126" w:name="_Toc220489871"/>
      <w:r>
        <w:t>41.31.3d Portes de garage à usage privé coulissantes en PVC</w:t>
      </w:r>
      <w:bookmarkEnd w:id="126"/>
    </w:p>
    <w:p w14:paraId="58587657" w14:textId="77777777" w:rsidR="00772179" w:rsidRDefault="00000000">
      <w:pPr>
        <w:pStyle w:val="Author-eSectionHeading6Numberless"/>
      </w:pPr>
      <w:bookmarkStart w:id="127" w:name="_Toc220489872"/>
      <w:r>
        <w:t>41.31.3e Portes de garage à usage privé coulissantes en verre</w:t>
      </w:r>
      <w:bookmarkEnd w:id="127"/>
    </w:p>
    <w:p w14:paraId="54C0C63D" w14:textId="77777777" w:rsidR="00772179" w:rsidRDefault="00000000">
      <w:pPr>
        <w:pStyle w:val="Author-eSectionHeading6Numberless"/>
      </w:pPr>
      <w:bookmarkStart w:id="128" w:name="_Toc220489873"/>
      <w:r>
        <w:t>41.31.3f Portes de garage à usage privé coulissantes en matériaux composites</w:t>
      </w:r>
      <w:bookmarkEnd w:id="128"/>
    </w:p>
    <w:p w14:paraId="0281FBD0" w14:textId="77777777" w:rsidR="00772179" w:rsidRDefault="00000000">
      <w:pPr>
        <w:pStyle w:val="Author-eSectionHeading5Numberless"/>
      </w:pPr>
      <w:bookmarkStart w:id="129" w:name="_Toc220489874"/>
      <w:r>
        <w:t>41.31.4 Portes de garage à usage privé accordéon CCTB 01.04</w:t>
      </w:r>
      <w:bookmarkEnd w:id="129"/>
    </w:p>
    <w:p w14:paraId="4FA61262" w14:textId="77777777" w:rsidR="00772179" w:rsidRDefault="00000000">
      <w:pPr>
        <w:pStyle w:val="Author-eSectionHeading6Numberless"/>
      </w:pPr>
      <w:bookmarkStart w:id="130" w:name="_Toc220489875"/>
      <w:r>
        <w:lastRenderedPageBreak/>
        <w:t>41.31.4a Portes de garage à usage privé accordéon en bois</w:t>
      </w:r>
      <w:bookmarkEnd w:id="130"/>
    </w:p>
    <w:p w14:paraId="311C1FCF" w14:textId="77777777" w:rsidR="00772179" w:rsidRDefault="00000000">
      <w:pPr>
        <w:pStyle w:val="Author-eSectionHeading6Numberless"/>
      </w:pPr>
      <w:bookmarkStart w:id="131" w:name="_Toc220489876"/>
      <w:r>
        <w:t>41.31.4b Portes de garage à usage privé accordéon en aluminium</w:t>
      </w:r>
      <w:bookmarkEnd w:id="131"/>
    </w:p>
    <w:p w14:paraId="1EFD0964" w14:textId="77777777" w:rsidR="00772179" w:rsidRDefault="00000000">
      <w:pPr>
        <w:pStyle w:val="Author-eSectionHeading6Numberless"/>
      </w:pPr>
      <w:bookmarkStart w:id="132" w:name="_Toc220489877"/>
      <w:r>
        <w:t>41.31.4c Portes de garage à usage privé accordéon en acier</w:t>
      </w:r>
      <w:bookmarkEnd w:id="132"/>
    </w:p>
    <w:p w14:paraId="6C5DF5DA" w14:textId="77777777" w:rsidR="00772179" w:rsidRDefault="00000000">
      <w:pPr>
        <w:pStyle w:val="Author-eSectionHeading6Numberless"/>
      </w:pPr>
      <w:bookmarkStart w:id="133" w:name="_Toc220489878"/>
      <w:r>
        <w:t>41.31.4d Portes de garage à usage privé accordéon en PVC</w:t>
      </w:r>
      <w:bookmarkEnd w:id="133"/>
    </w:p>
    <w:p w14:paraId="6BAD92B2" w14:textId="77777777" w:rsidR="00772179" w:rsidRDefault="00000000">
      <w:pPr>
        <w:pStyle w:val="Author-eSectionHeading6Numberless"/>
      </w:pPr>
      <w:bookmarkStart w:id="134" w:name="_Toc220489879"/>
      <w:r>
        <w:t>41.31.4e Portes de garage à usage privé accordéon en verre</w:t>
      </w:r>
      <w:bookmarkEnd w:id="134"/>
    </w:p>
    <w:p w14:paraId="7CE1A315" w14:textId="77777777" w:rsidR="00772179" w:rsidRDefault="00000000">
      <w:pPr>
        <w:pStyle w:val="Author-eSectionHeading6Numberless"/>
      </w:pPr>
      <w:bookmarkStart w:id="135" w:name="_Toc220489880"/>
      <w:r>
        <w:t>41.31.4f Portes de garage à usage privé accordéon en matériaux composites</w:t>
      </w:r>
      <w:bookmarkEnd w:id="135"/>
    </w:p>
    <w:p w14:paraId="773A5689" w14:textId="77777777" w:rsidR="00772179" w:rsidRDefault="00000000">
      <w:pPr>
        <w:pStyle w:val="Author-eSectionHeading5Numberless"/>
      </w:pPr>
      <w:bookmarkStart w:id="136" w:name="_Toc220489881"/>
      <w:r>
        <w:t>41.31.5 Portes de garage à usage privé à enroulement à lamelles CCTB 01.04</w:t>
      </w:r>
      <w:bookmarkEnd w:id="136"/>
    </w:p>
    <w:p w14:paraId="1416B3FE" w14:textId="77777777" w:rsidR="00772179" w:rsidRDefault="00000000">
      <w:pPr>
        <w:pStyle w:val="Author-eSectionHeading6Numberless"/>
      </w:pPr>
      <w:bookmarkStart w:id="137" w:name="_Toc220489882"/>
      <w:r>
        <w:t>41.31.5a Portes de garage à usage privé à enroulement à lamelles en bois</w:t>
      </w:r>
      <w:bookmarkEnd w:id="137"/>
    </w:p>
    <w:p w14:paraId="4603D23E" w14:textId="77777777" w:rsidR="00772179" w:rsidRDefault="00000000">
      <w:pPr>
        <w:pStyle w:val="Author-eSectionHeading6Numberless"/>
      </w:pPr>
      <w:bookmarkStart w:id="138" w:name="_Toc220489883"/>
      <w:r>
        <w:t>41.31.5b Portes de garage à usage privé à enroulement à lamelles en aluminium</w:t>
      </w:r>
      <w:bookmarkEnd w:id="138"/>
    </w:p>
    <w:p w14:paraId="1BA56C7E" w14:textId="77777777" w:rsidR="00772179" w:rsidRDefault="00000000">
      <w:pPr>
        <w:pStyle w:val="Author-eSectionHeading6Numberless"/>
      </w:pPr>
      <w:bookmarkStart w:id="139" w:name="_Toc220489884"/>
      <w:r>
        <w:t>41.31.5c Portes de garage à usage privé à enroulement à lamelles en acier</w:t>
      </w:r>
      <w:bookmarkEnd w:id="139"/>
    </w:p>
    <w:p w14:paraId="343FDAB1" w14:textId="77777777" w:rsidR="00772179" w:rsidRDefault="00000000">
      <w:pPr>
        <w:pStyle w:val="Author-eSectionHeading6Numberless"/>
      </w:pPr>
      <w:bookmarkStart w:id="140" w:name="_Toc220489885"/>
      <w:r>
        <w:t>41.31.5d Portes de garage à usage privé à enroulement à lamelles en PVC</w:t>
      </w:r>
      <w:bookmarkEnd w:id="140"/>
    </w:p>
    <w:p w14:paraId="10B585A1" w14:textId="77777777" w:rsidR="00772179" w:rsidRDefault="00000000">
      <w:pPr>
        <w:pStyle w:val="Author-eSectionHeading6Numberless"/>
      </w:pPr>
      <w:bookmarkStart w:id="141" w:name="_Toc220489886"/>
      <w:r>
        <w:t>41.31.5e Portes de garage à usage privé à enroulement à lamelles en matériaux composites</w:t>
      </w:r>
      <w:bookmarkEnd w:id="141"/>
    </w:p>
    <w:p w14:paraId="1ED4365A" w14:textId="77777777" w:rsidR="00772179" w:rsidRDefault="00000000">
      <w:pPr>
        <w:pStyle w:val="Author-eSectionHeading4Numberless"/>
      </w:pPr>
      <w:bookmarkStart w:id="142" w:name="_Toc220489887"/>
      <w:r>
        <w:t>41.32 Portes de garage à usage collectif CCTB 01.11</w:t>
      </w:r>
      <w:bookmarkEnd w:id="142"/>
    </w:p>
    <w:p w14:paraId="4E35CB66" w14:textId="77777777" w:rsidR="00772179" w:rsidRDefault="00000000">
      <w:pPr>
        <w:pStyle w:val="pheading"/>
      </w:pPr>
      <w:r>
        <w:t>MATÉRIAUX</w:t>
      </w:r>
    </w:p>
    <w:p w14:paraId="00C8E472" w14:textId="77777777" w:rsidR="00772179" w:rsidRDefault="00000000">
      <w:pPr>
        <w:jc w:val="both"/>
      </w:pPr>
      <w:r>
        <w:rPr>
          <w:b/>
          <w:u w:val="single"/>
        </w:rPr>
        <w:t>Généralités</w:t>
      </w:r>
    </w:p>
    <w:p w14:paraId="35F09B78" w14:textId="77777777" w:rsidR="00772179" w:rsidRDefault="00000000">
      <w:pPr>
        <w:jc w:val="both"/>
      </w:pPr>
      <w:r>
        <w:t>La gestion de la sécurité d’utilisation des portes de garage ou commerciales sont conformes à la [STS 53.2]. Les niveaux minima de sécurité sont augmentés par ajout de dispositifs de sécurité supplémentaires pour répondre à la législation ou à l'analyse des risques du projet en particulier.</w:t>
      </w:r>
    </w:p>
    <w:p w14:paraId="6A890AF5" w14:textId="77777777" w:rsidR="00772179" w:rsidRDefault="00000000">
      <w:pPr>
        <w:jc w:val="both"/>
      </w:pPr>
      <w:r>
        <w:t>Les niveaux reposent sur les trois types d'utilisation suivants :</w:t>
      </w:r>
    </w:p>
    <w:p w14:paraId="26763F6F" w14:textId="77777777" w:rsidR="00772179" w:rsidRDefault="00000000">
      <w:pPr>
        <w:pStyle w:val="Author-eListParagraph"/>
        <w:numPr>
          <w:ilvl w:val="0"/>
          <w:numId w:val="413"/>
        </w:numPr>
      </w:pPr>
      <w:r>
        <w:rPr>
          <w:b/>
        </w:rPr>
        <w:t>type 1 :</w:t>
      </w:r>
      <w:r>
        <w:t xml:space="preserve"> un groupe limité de personnes a été formé pour manœuvrer la porte et celle-ci ne se trouve pas dans un espace public ;</w:t>
      </w:r>
    </w:p>
    <w:p w14:paraId="216C446B" w14:textId="77777777" w:rsidR="00772179" w:rsidRDefault="00000000">
      <w:pPr>
        <w:pStyle w:val="Author-eListParagraph"/>
        <w:numPr>
          <w:ilvl w:val="0"/>
          <w:numId w:val="413"/>
        </w:numPr>
      </w:pPr>
      <w:r>
        <w:rPr>
          <w:b/>
        </w:rPr>
        <w:t>type 2 :</w:t>
      </w:r>
      <w:r>
        <w:t xml:space="preserve"> un groupe limité de personnes a été formé pour manœuvrer la porte et celle-ci se trouve dans un espace public ;</w:t>
      </w:r>
    </w:p>
    <w:p w14:paraId="51896E19" w14:textId="77777777" w:rsidR="00772179" w:rsidRDefault="00000000">
      <w:pPr>
        <w:pStyle w:val="Author-eListParagraph"/>
        <w:numPr>
          <w:ilvl w:val="0"/>
          <w:numId w:val="413"/>
        </w:numPr>
      </w:pPr>
      <w:r>
        <w:rPr>
          <w:b/>
        </w:rPr>
        <w:t>type 3 :</w:t>
      </w:r>
      <w:r>
        <w:t xml:space="preserve"> toute personne peut manœuvrer la porte et celle-ci est en contact avec le public.</w:t>
      </w:r>
    </w:p>
    <w:p w14:paraId="20519BE3" w14:textId="77777777" w:rsidR="00772179" w:rsidRDefault="00000000">
      <w:pPr>
        <w:jc w:val="both"/>
      </w:pPr>
      <w:r>
        <w:t>Les personnes sont considérées comme formées quand l'employeur, le gardien de l'espace ou son propriétaire a donné l'autorisation d'actionner la porte et a donné des conseils concernant l'utilisation de cette porte. Un groupe de personnes est considéré comme limité quand ce groupe est constitué d'employés identifiés, de membres de la famille identifiés ou de personnes identifiées habitant un immeuble à appartements.</w:t>
      </w:r>
    </w:p>
    <w:p w14:paraId="75D60F08" w14:textId="77777777" w:rsidR="00772179" w:rsidRDefault="00000000">
      <w:pPr>
        <w:jc w:val="both"/>
      </w:pPr>
      <w:r>
        <w:t>Les niveaux de sécurité minimum imposés du côté de la fermeture principale rapporté à la manière d'actionner la porte et au type d'utilisateur, sont repris dans le tableau ci-dessous :</w:t>
      </w:r>
    </w:p>
    <w:p w14:paraId="300B8F42" w14:textId="77777777" w:rsidR="00772179" w:rsidRDefault="00000000">
      <w:pPr>
        <w:pStyle w:val="Author-eListParagraph"/>
        <w:numPr>
          <w:ilvl w:val="0"/>
          <w:numId w:val="414"/>
        </w:numPr>
      </w:pPr>
      <w:r>
        <w:t>A : commande par bouton poussoir homme mort ;</w:t>
      </w:r>
    </w:p>
    <w:p w14:paraId="46839970" w14:textId="77777777" w:rsidR="00772179" w:rsidRDefault="00000000">
      <w:pPr>
        <w:pStyle w:val="Author-eListParagraph"/>
        <w:numPr>
          <w:ilvl w:val="0"/>
          <w:numId w:val="414"/>
        </w:numPr>
      </w:pPr>
      <w:r>
        <w:t>B : commande par interrupteur à clé homme mort ou équivalent ;</w:t>
      </w:r>
    </w:p>
    <w:p w14:paraId="41A23BF3" w14:textId="77777777" w:rsidR="00772179" w:rsidRDefault="00000000">
      <w:pPr>
        <w:pStyle w:val="Author-eListParagraph"/>
        <w:numPr>
          <w:ilvl w:val="0"/>
          <w:numId w:val="414"/>
        </w:numPr>
      </w:pPr>
      <w:r>
        <w:t>C : limitation des forces conformément aux spécifications de performance de sécurité d’utilisation : Sécurité face à l’écrasement (conformément à la norme [NBN EN 12453:2017+A1] annexe A), ou bien par des dispositifs de limitation des forces selon [NBN EN 12453:2017+A1] § 5.1.1.5 ou par des dispositifs de sécurité selon [NBN EN 12453:2017+A1] § 5.1.1.6 ;</w:t>
      </w:r>
    </w:p>
    <w:p w14:paraId="07E2A017" w14:textId="77777777" w:rsidR="00772179" w:rsidRDefault="00000000">
      <w:pPr>
        <w:pStyle w:val="Author-eListParagraph"/>
        <w:numPr>
          <w:ilvl w:val="0"/>
          <w:numId w:val="414"/>
        </w:numPr>
      </w:pPr>
      <w:r>
        <w:t xml:space="preserve">D : un moyen de détection de la présence d'une personne ou d'un obstacle se trouvant au sol d'un côté de la porte. Si deux systèmes de sécurité sont combinés, par exemple C et D, le moyen D ne sera pas nécessairement conforme à la norme [NBN EN 12453:2017+A1] . Dans </w:t>
      </w:r>
      <w:r>
        <w:lastRenderedPageBreak/>
        <w:t>ce cas, des contrôles périodiques du moyen D, avec des intervalles inférieurs à 6 mois, sont prévus dans les instructions de maintenance de la porte ;</w:t>
      </w:r>
    </w:p>
    <w:p w14:paraId="1C24386C" w14:textId="77777777" w:rsidR="00772179" w:rsidRDefault="00000000">
      <w:pPr>
        <w:pStyle w:val="Author-eListParagraph"/>
        <w:numPr>
          <w:ilvl w:val="0"/>
          <w:numId w:val="414"/>
        </w:numPr>
      </w:pPr>
      <w:r>
        <w:t>E : un moyen de détection de présence, conçu et installé de telle manière qu'en aucun cas une personne ne puisse être touchée par le vantail en mouvement. Ce moyen répond aux dispositions de la norme [NBN EN 12453:2017+A1] § 5.1.1.6.</w:t>
      </w:r>
    </w:p>
    <w:tbl>
      <w:tblPr>
        <w:tblStyle w:val="Author-eTableGrid"/>
        <w:tblW w:w="9030" w:type="dxa"/>
        <w:tblLayout w:type="fixed"/>
        <w:tblLook w:val="04A0" w:firstRow="1" w:lastRow="0" w:firstColumn="1" w:lastColumn="0" w:noHBand="0" w:noVBand="1"/>
      </w:tblPr>
      <w:tblGrid>
        <w:gridCol w:w="1878"/>
        <w:gridCol w:w="3396"/>
        <w:gridCol w:w="1878"/>
        <w:gridCol w:w="1878"/>
      </w:tblGrid>
      <w:tr w:rsidR="00772179" w14:paraId="7A7E3EF1" w14:textId="77777777">
        <w:tc>
          <w:tcPr>
            <w:tcW w:w="1875" w:type="dxa"/>
            <w:vMerge w:val="restart"/>
            <w:noWrap/>
          </w:tcPr>
          <w:p w14:paraId="34954533" w14:textId="77777777" w:rsidR="00772179" w:rsidRDefault="00000000">
            <w:pPr>
              <w:jc w:val="center"/>
            </w:pPr>
            <w:r>
              <w:t>Type d’interrupteur</w:t>
            </w:r>
          </w:p>
        </w:tc>
        <w:tc>
          <w:tcPr>
            <w:tcW w:w="3390" w:type="dxa"/>
            <w:noWrap/>
          </w:tcPr>
          <w:p w14:paraId="5D8C97AF" w14:textId="77777777" w:rsidR="00772179" w:rsidRDefault="00000000">
            <w:pPr>
              <w:jc w:val="center"/>
            </w:pPr>
            <w:r>
              <w:t>Niveau de sécurité minimum du côté fermeture principale Types d’utilisation</w:t>
            </w:r>
          </w:p>
        </w:tc>
        <w:tc>
          <w:tcPr>
            <w:tcW w:w="1875" w:type="dxa"/>
            <w:noWrap/>
          </w:tcPr>
          <w:p w14:paraId="75A3EC76" w14:textId="77777777" w:rsidR="00772179" w:rsidRDefault="00772179"/>
        </w:tc>
        <w:tc>
          <w:tcPr>
            <w:tcW w:w="1875" w:type="dxa"/>
            <w:noWrap/>
          </w:tcPr>
          <w:p w14:paraId="2CB36D8B" w14:textId="77777777" w:rsidR="00772179" w:rsidRDefault="00772179"/>
        </w:tc>
      </w:tr>
      <w:tr w:rsidR="00772179" w14:paraId="2CF68282" w14:textId="77777777">
        <w:tc>
          <w:tcPr>
            <w:tcW w:w="1875" w:type="dxa"/>
            <w:vMerge/>
            <w:noWrap/>
          </w:tcPr>
          <w:p w14:paraId="58418E66" w14:textId="77777777" w:rsidR="00772179" w:rsidRDefault="00772179"/>
        </w:tc>
        <w:tc>
          <w:tcPr>
            <w:tcW w:w="3390" w:type="dxa"/>
            <w:noWrap/>
          </w:tcPr>
          <w:p w14:paraId="6600B9CA" w14:textId="77777777" w:rsidR="00772179" w:rsidRDefault="00000000">
            <w:pPr>
              <w:jc w:val="center"/>
            </w:pPr>
            <w:r>
              <w:t>Utilisateurs formés</w:t>
            </w:r>
          </w:p>
        </w:tc>
        <w:tc>
          <w:tcPr>
            <w:tcW w:w="1875" w:type="dxa"/>
            <w:noWrap/>
          </w:tcPr>
          <w:p w14:paraId="44E47950" w14:textId="77777777" w:rsidR="00772179" w:rsidRDefault="00000000">
            <w:pPr>
              <w:jc w:val="center"/>
            </w:pPr>
            <w:r>
              <w:t>Utilisateurs non formés</w:t>
            </w:r>
          </w:p>
        </w:tc>
        <w:tc>
          <w:tcPr>
            <w:tcW w:w="1875" w:type="dxa"/>
            <w:noWrap/>
          </w:tcPr>
          <w:p w14:paraId="0C0EC05E" w14:textId="77777777" w:rsidR="00772179" w:rsidRDefault="00772179"/>
        </w:tc>
      </w:tr>
      <w:tr w:rsidR="00772179" w14:paraId="57780A04" w14:textId="77777777">
        <w:tc>
          <w:tcPr>
            <w:tcW w:w="1875" w:type="dxa"/>
            <w:vMerge/>
            <w:noWrap/>
          </w:tcPr>
          <w:p w14:paraId="07F97D16" w14:textId="77777777" w:rsidR="00772179" w:rsidRDefault="00772179"/>
        </w:tc>
        <w:tc>
          <w:tcPr>
            <w:tcW w:w="3390" w:type="dxa"/>
            <w:noWrap/>
          </w:tcPr>
          <w:p w14:paraId="09406FE4" w14:textId="77777777" w:rsidR="00772179" w:rsidRDefault="00000000">
            <w:pPr>
              <w:jc w:val="center"/>
            </w:pPr>
            <w:r>
              <w:t>Non public type 1</w:t>
            </w:r>
          </w:p>
        </w:tc>
        <w:tc>
          <w:tcPr>
            <w:tcW w:w="1875" w:type="dxa"/>
            <w:noWrap/>
          </w:tcPr>
          <w:p w14:paraId="08112877" w14:textId="77777777" w:rsidR="00772179" w:rsidRDefault="00000000">
            <w:pPr>
              <w:jc w:val="center"/>
            </w:pPr>
            <w:r>
              <w:t>Public type 2</w:t>
            </w:r>
          </w:p>
        </w:tc>
        <w:tc>
          <w:tcPr>
            <w:tcW w:w="1875" w:type="dxa"/>
            <w:noWrap/>
          </w:tcPr>
          <w:p w14:paraId="154A1E45" w14:textId="77777777" w:rsidR="00772179" w:rsidRDefault="00000000">
            <w:pPr>
              <w:jc w:val="center"/>
            </w:pPr>
            <w:r>
              <w:t>Type 3</w:t>
            </w:r>
          </w:p>
        </w:tc>
      </w:tr>
      <w:tr w:rsidR="00772179" w14:paraId="5DC0AA7C" w14:textId="77777777">
        <w:tc>
          <w:tcPr>
            <w:tcW w:w="1875" w:type="dxa"/>
            <w:noWrap/>
          </w:tcPr>
          <w:p w14:paraId="33252A33" w14:textId="77777777" w:rsidR="00772179" w:rsidRDefault="00000000">
            <w:pPr>
              <w:jc w:val="center"/>
            </w:pPr>
            <w:r>
              <w:t>Commande homme</w:t>
            </w:r>
          </w:p>
          <w:p w14:paraId="33D0ABD6" w14:textId="77777777" w:rsidR="00772179" w:rsidRDefault="00000000">
            <w:pPr>
              <w:jc w:val="center"/>
            </w:pPr>
            <w:r>
              <w:t>mort</w:t>
            </w:r>
          </w:p>
        </w:tc>
        <w:tc>
          <w:tcPr>
            <w:tcW w:w="3390" w:type="dxa"/>
            <w:noWrap/>
          </w:tcPr>
          <w:p w14:paraId="675D0B41" w14:textId="77777777" w:rsidR="00772179" w:rsidRDefault="00000000">
            <w:pPr>
              <w:jc w:val="center"/>
            </w:pPr>
            <w:r>
              <w:t>A</w:t>
            </w:r>
          </w:p>
        </w:tc>
        <w:tc>
          <w:tcPr>
            <w:tcW w:w="1875" w:type="dxa"/>
            <w:noWrap/>
          </w:tcPr>
          <w:p w14:paraId="7785A6A2" w14:textId="77777777" w:rsidR="00772179" w:rsidRDefault="00000000">
            <w:pPr>
              <w:jc w:val="center"/>
            </w:pPr>
            <w:r>
              <w:t>B</w:t>
            </w:r>
          </w:p>
        </w:tc>
        <w:tc>
          <w:tcPr>
            <w:tcW w:w="1875" w:type="dxa"/>
            <w:noWrap/>
          </w:tcPr>
          <w:p w14:paraId="5D5695E0" w14:textId="77777777" w:rsidR="00772179" w:rsidRDefault="00000000">
            <w:pPr>
              <w:jc w:val="center"/>
            </w:pPr>
            <w:r>
              <w:t>Pas possible</w:t>
            </w:r>
          </w:p>
        </w:tc>
      </w:tr>
      <w:tr w:rsidR="00772179" w14:paraId="4383F5BE" w14:textId="77777777">
        <w:tc>
          <w:tcPr>
            <w:tcW w:w="1875" w:type="dxa"/>
            <w:noWrap/>
          </w:tcPr>
          <w:p w14:paraId="43593768" w14:textId="77777777" w:rsidR="00772179" w:rsidRDefault="00000000">
            <w:pPr>
              <w:jc w:val="center"/>
            </w:pPr>
            <w:r>
              <w:t>Interrupteur à impulsion</w:t>
            </w:r>
          </w:p>
          <w:p w14:paraId="50AF5AE2" w14:textId="77777777" w:rsidR="00772179" w:rsidRDefault="00000000">
            <w:pPr>
              <w:jc w:val="center"/>
            </w:pPr>
            <w:r>
              <w:t>en vue de la</w:t>
            </w:r>
          </w:p>
          <w:p w14:paraId="723E8297" w14:textId="77777777" w:rsidR="00772179" w:rsidRDefault="00000000">
            <w:pPr>
              <w:jc w:val="center"/>
            </w:pPr>
            <w:r>
              <w:t>porte</w:t>
            </w:r>
          </w:p>
        </w:tc>
        <w:tc>
          <w:tcPr>
            <w:tcW w:w="3390" w:type="dxa"/>
            <w:noWrap/>
          </w:tcPr>
          <w:p w14:paraId="6324C9AC" w14:textId="77777777" w:rsidR="00772179" w:rsidRDefault="00000000">
            <w:pPr>
              <w:jc w:val="center"/>
            </w:pPr>
            <w:r>
              <w:t>C ou E</w:t>
            </w:r>
          </w:p>
        </w:tc>
        <w:tc>
          <w:tcPr>
            <w:tcW w:w="1875" w:type="dxa"/>
            <w:noWrap/>
          </w:tcPr>
          <w:p w14:paraId="1559BE34" w14:textId="77777777" w:rsidR="00772179" w:rsidRDefault="00000000">
            <w:pPr>
              <w:jc w:val="center"/>
            </w:pPr>
            <w:r>
              <w:t>C ou E</w:t>
            </w:r>
          </w:p>
        </w:tc>
        <w:tc>
          <w:tcPr>
            <w:tcW w:w="1875" w:type="dxa"/>
            <w:noWrap/>
          </w:tcPr>
          <w:p w14:paraId="2EE287E4" w14:textId="77777777" w:rsidR="00772179" w:rsidRDefault="00000000">
            <w:pPr>
              <w:jc w:val="center"/>
            </w:pPr>
            <w:r>
              <w:t>C et D, ou E</w:t>
            </w:r>
          </w:p>
        </w:tc>
      </w:tr>
      <w:tr w:rsidR="00772179" w14:paraId="69EB840A" w14:textId="77777777">
        <w:tc>
          <w:tcPr>
            <w:tcW w:w="1875" w:type="dxa"/>
            <w:noWrap/>
          </w:tcPr>
          <w:p w14:paraId="3877518A" w14:textId="77777777" w:rsidR="00772179" w:rsidRDefault="00000000">
            <w:pPr>
              <w:jc w:val="center"/>
            </w:pPr>
            <w:r>
              <w:t>Interrupteur à impulsion</w:t>
            </w:r>
          </w:p>
          <w:p w14:paraId="547FFAF7" w14:textId="77777777" w:rsidR="00772179" w:rsidRDefault="00000000">
            <w:pPr>
              <w:jc w:val="center"/>
            </w:pPr>
            <w:r>
              <w:t>pas en vue de la</w:t>
            </w:r>
          </w:p>
          <w:p w14:paraId="4CCBBBC8" w14:textId="77777777" w:rsidR="00772179" w:rsidRDefault="00000000">
            <w:pPr>
              <w:jc w:val="center"/>
            </w:pPr>
            <w:r>
              <w:t>porte</w:t>
            </w:r>
          </w:p>
        </w:tc>
        <w:tc>
          <w:tcPr>
            <w:tcW w:w="3390" w:type="dxa"/>
            <w:noWrap/>
          </w:tcPr>
          <w:p w14:paraId="3EEFD0A2" w14:textId="77777777" w:rsidR="00772179" w:rsidRDefault="00000000">
            <w:pPr>
              <w:jc w:val="center"/>
            </w:pPr>
            <w:r>
              <w:t>C ou E</w:t>
            </w:r>
          </w:p>
        </w:tc>
        <w:tc>
          <w:tcPr>
            <w:tcW w:w="1875" w:type="dxa"/>
            <w:noWrap/>
          </w:tcPr>
          <w:p w14:paraId="11239CB0" w14:textId="77777777" w:rsidR="00772179" w:rsidRDefault="00000000">
            <w:pPr>
              <w:jc w:val="center"/>
            </w:pPr>
            <w:r>
              <w:t>C et D, ou E</w:t>
            </w:r>
          </w:p>
        </w:tc>
        <w:tc>
          <w:tcPr>
            <w:tcW w:w="1875" w:type="dxa"/>
            <w:noWrap/>
          </w:tcPr>
          <w:p w14:paraId="1E3ECA81" w14:textId="77777777" w:rsidR="00772179" w:rsidRDefault="00000000">
            <w:pPr>
              <w:jc w:val="center"/>
            </w:pPr>
            <w:r>
              <w:t>C et D, ou E</w:t>
            </w:r>
          </w:p>
        </w:tc>
      </w:tr>
      <w:tr w:rsidR="00772179" w14:paraId="2D8AF09C" w14:textId="77777777">
        <w:tc>
          <w:tcPr>
            <w:tcW w:w="1875" w:type="dxa"/>
            <w:noWrap/>
          </w:tcPr>
          <w:p w14:paraId="0B3550EC" w14:textId="77777777" w:rsidR="00772179" w:rsidRDefault="00000000">
            <w:pPr>
              <w:jc w:val="center"/>
            </w:pPr>
            <w:r>
              <w:t>Commande automatique</w:t>
            </w:r>
          </w:p>
        </w:tc>
        <w:tc>
          <w:tcPr>
            <w:tcW w:w="3390" w:type="dxa"/>
            <w:noWrap/>
          </w:tcPr>
          <w:p w14:paraId="176E26AF" w14:textId="77777777" w:rsidR="00772179" w:rsidRDefault="00000000">
            <w:pPr>
              <w:jc w:val="center"/>
            </w:pPr>
            <w:r>
              <w:t>C et D, ou E</w:t>
            </w:r>
          </w:p>
        </w:tc>
        <w:tc>
          <w:tcPr>
            <w:tcW w:w="1875" w:type="dxa"/>
            <w:noWrap/>
          </w:tcPr>
          <w:p w14:paraId="77CEBCD8" w14:textId="77777777" w:rsidR="00772179" w:rsidRDefault="00000000">
            <w:pPr>
              <w:jc w:val="center"/>
            </w:pPr>
            <w:r>
              <w:t>C et D, ou E</w:t>
            </w:r>
          </w:p>
        </w:tc>
        <w:tc>
          <w:tcPr>
            <w:tcW w:w="1875" w:type="dxa"/>
            <w:noWrap/>
          </w:tcPr>
          <w:p w14:paraId="512FB04A" w14:textId="77777777" w:rsidR="00772179" w:rsidRDefault="00000000">
            <w:pPr>
              <w:jc w:val="center"/>
            </w:pPr>
            <w:r>
              <w:t>C et D, ou E</w:t>
            </w:r>
          </w:p>
        </w:tc>
      </w:tr>
    </w:tbl>
    <w:p w14:paraId="463D4F76" w14:textId="77777777" w:rsidR="00772179" w:rsidRDefault="00772179"/>
    <w:p w14:paraId="391E43F3" w14:textId="77777777" w:rsidR="00772179" w:rsidRDefault="00000000">
      <w:pPr>
        <w:jc w:val="both"/>
      </w:pPr>
      <w:r>
        <w:t> </w:t>
      </w:r>
    </w:p>
    <w:p w14:paraId="59219233" w14:textId="77777777" w:rsidR="00772179" w:rsidRDefault="00000000">
      <w:pPr>
        <w:jc w:val="both"/>
      </w:pPr>
      <w:r>
        <w:t> </w:t>
      </w:r>
    </w:p>
    <w:p w14:paraId="77F28EF5" w14:textId="77777777" w:rsidR="00772179" w:rsidRDefault="00000000">
      <w:pPr>
        <w:jc w:val="both"/>
      </w:pPr>
      <w:r>
        <w:t> </w:t>
      </w:r>
    </w:p>
    <w:p w14:paraId="2F634471" w14:textId="77777777" w:rsidR="00772179" w:rsidRDefault="00000000">
      <w:pPr>
        <w:pStyle w:val="pheading"/>
      </w:pPr>
      <w:r>
        <w:t>DOCUMENTS DE RÉFÉRENCE</w:t>
      </w:r>
    </w:p>
    <w:p w14:paraId="0E456B36" w14:textId="77777777" w:rsidR="00772179" w:rsidRDefault="00000000">
      <w:pPr>
        <w:pStyle w:val="pheading"/>
      </w:pPr>
      <w:r>
        <w:t>- Matériau</w:t>
      </w:r>
    </w:p>
    <w:p w14:paraId="182EA706" w14:textId="77777777" w:rsidR="00772179" w:rsidRDefault="00000000">
      <w:r>
        <w:t>[STS 53.2, Portes industrielles, commerciales et résidentielles]</w:t>
      </w:r>
    </w:p>
    <w:p w14:paraId="50CA51B1" w14:textId="77777777" w:rsidR="00772179" w:rsidRDefault="00000000">
      <w:r>
        <w:t>[NBN EN 12453:2017+A1, Portes et portails industriels, commerciaux et résidentiels - Sécurité d’utilisation des portes et portails motorisés - Exigences et méthodes d'essai]</w:t>
      </w:r>
    </w:p>
    <w:p w14:paraId="7CACDC32" w14:textId="77777777" w:rsidR="00772179" w:rsidRDefault="00000000">
      <w:pPr>
        <w:pStyle w:val="Author-eSectionHeading5Numberless"/>
      </w:pPr>
      <w:bookmarkStart w:id="143" w:name="_Toc220489888"/>
      <w:r>
        <w:t>41.32.1 Portes de garage à usage collectif basculantes CCTB 01.11</w:t>
      </w:r>
      <w:bookmarkEnd w:id="143"/>
    </w:p>
    <w:p w14:paraId="0E8875C2" w14:textId="77777777" w:rsidR="00772179" w:rsidRDefault="00000000">
      <w:pPr>
        <w:pStyle w:val="pheading"/>
      </w:pPr>
      <w:r>
        <w:t>DESCRIPTION</w:t>
      </w:r>
    </w:p>
    <w:p w14:paraId="241A563D" w14:textId="77777777" w:rsidR="00772179" w:rsidRDefault="00000000">
      <w:pPr>
        <w:pStyle w:val="pheading"/>
      </w:pPr>
      <w:r>
        <w:t>- Définition / Comprend</w:t>
      </w:r>
    </w:p>
    <w:p w14:paraId="216B35EF" w14:textId="77777777" w:rsidR="00772179" w:rsidRDefault="00000000">
      <w:r>
        <w:t xml:space="preserve">Il s'agit de portes basculantes avec un cadre métallique en </w:t>
      </w:r>
      <w:r>
        <w:rPr>
          <w:rStyle w:val="optioncarChar"/>
        </w:rPr>
        <w:t>acier galvanisé</w:t>
      </w:r>
      <w:r>
        <w:t xml:space="preserve"> (par défaut)</w:t>
      </w:r>
      <w:r>
        <w:rPr>
          <w:rStyle w:val="optioncarChar"/>
        </w:rPr>
        <w:t xml:space="preserve"> / acier / *** inoxydable</w:t>
      </w:r>
      <w:r>
        <w:t>, revêtu de plaques, de bandes ou de planchettes conformément aux dispositions du cahier spécial des charges. Le prix unitaire comprend la fourniture, le montage et le réglage du châssis, du cadre, de la feuille, du système d'équilibrage, la batée dans le bas, la quincaillerie, une couche de fond, …</w:t>
      </w:r>
    </w:p>
    <w:p w14:paraId="2900C826" w14:textId="77777777" w:rsidR="00772179" w:rsidRDefault="00000000">
      <w:pPr>
        <w:pStyle w:val="pheading"/>
      </w:pPr>
      <w:r>
        <w:t>MATÉRIAUX</w:t>
      </w:r>
    </w:p>
    <w:p w14:paraId="1E0B27BC" w14:textId="77777777" w:rsidR="00772179" w:rsidRDefault="00000000">
      <w:pPr>
        <w:pStyle w:val="heading"/>
      </w:pPr>
      <w:r>
        <w:t>Dormant - Feuille de porte</w:t>
      </w:r>
    </w:p>
    <w:p w14:paraId="2D00072D" w14:textId="77777777" w:rsidR="00772179" w:rsidRDefault="00000000">
      <w:pPr>
        <w:pStyle w:val="Author-eListParagraph"/>
        <w:numPr>
          <w:ilvl w:val="0"/>
          <w:numId w:val="415"/>
        </w:numPr>
      </w:pPr>
      <w:r>
        <w:t>La porte basculante est entièrement assemblée en usine et son dormant rigide permet de poser la porte dans ou derrière le jour de baie. Les sections des éléments composants du cadre sont déterminées en fonction des dimensions de la porte et du poids du revêtement, afin d'obtenir un ensemble solide et indéformable. Les profils de renfort sont prévus en nombre suffisant afin d'assurer le fonctionnement souple et silencieux de la porte.</w:t>
      </w:r>
    </w:p>
    <w:p w14:paraId="752025CE" w14:textId="77777777" w:rsidR="00772179" w:rsidRDefault="00000000">
      <w:pPr>
        <w:pStyle w:val="Author-eListParagraph"/>
        <w:numPr>
          <w:ilvl w:val="0"/>
          <w:numId w:val="415"/>
        </w:numPr>
      </w:pPr>
      <w:r>
        <w:lastRenderedPageBreak/>
        <w:t>La feuille de porte se compose d'un cadre soudé (avec renfort au centre), revêtu de panneaux, bandes ou lattes comme spécifié dans le cahier spécial des charges. Le cadre se compose de profils fermés, laminés à froids et soudés à haute fréquence, avec un rail de guidage breveté qui assure une guidance latérale impeccable.</w:t>
      </w:r>
    </w:p>
    <w:p w14:paraId="6D575595" w14:textId="77777777" w:rsidR="00772179" w:rsidRDefault="00000000">
      <w:pPr>
        <w:pStyle w:val="Author-eListParagraph"/>
        <w:numPr>
          <w:ilvl w:val="0"/>
          <w:numId w:val="415"/>
        </w:numPr>
      </w:pPr>
      <w:r>
        <w:t>Le vantail est suspendu dans un dormant contre lequel le vantail se ferme hermétiquement. La forme du profil et l'étanchéité du dormant empêchent la pénétration d'eau dans le garage. Les montants latéraux du dormant sont fabriqués à l'aide de profils tubulaires rectangulaires galvanisés garnis d'une bande intégrée en matière synthétique ou de butoirs afin que la feuille de porte ne soit pas endommagée.</w:t>
      </w:r>
    </w:p>
    <w:p w14:paraId="4A7B17CF" w14:textId="77777777" w:rsidR="00772179" w:rsidRDefault="00000000">
      <w:pPr>
        <w:pStyle w:val="Author-eListParagraph"/>
        <w:numPr>
          <w:ilvl w:val="0"/>
          <w:numId w:val="415"/>
        </w:numPr>
      </w:pPr>
      <w:r>
        <w:t>Dans le bas, la porte bute contre un profil de seuil en acier galvanisé ancré dans le sol. Le bord supérieur du profil se situe dans le même plan que le sol intérieur, de manière à assurer l'écoulement parfait de l'eau.</w:t>
      </w:r>
    </w:p>
    <w:p w14:paraId="6F4D4294" w14:textId="77777777" w:rsidR="00772179" w:rsidRDefault="00000000">
      <w:pPr>
        <w:pStyle w:val="heading"/>
      </w:pPr>
      <w:r>
        <w:t>Mécanisme d'ouverture</w:t>
      </w:r>
    </w:p>
    <w:p w14:paraId="02001491" w14:textId="77777777" w:rsidR="00772179" w:rsidRDefault="00000000">
      <w:pPr>
        <w:pStyle w:val="Author-eListParagraph"/>
        <w:numPr>
          <w:ilvl w:val="0"/>
          <w:numId w:val="416"/>
        </w:numPr>
      </w:pPr>
      <w:r>
        <w:t>Le montage judicieux et le réglage minutieux de tous les éléments doivent faciliter la manœuvre et assurer un bon amortissement acoustique. Les portes basculantes satisfont en outre aux exigences en matière de sécurité de la norme </w:t>
      </w:r>
      <w:r>
        <w:rPr>
          <w:shd w:val="clear" w:color="auto" w:fill="FFFFFF"/>
        </w:rPr>
        <w:t>[NBN EN 12604:2017+A1].</w:t>
      </w:r>
    </w:p>
    <w:p w14:paraId="5821A843" w14:textId="77777777" w:rsidR="00772179" w:rsidRDefault="00000000">
      <w:pPr>
        <w:pStyle w:val="Author-eListParagraph"/>
        <w:numPr>
          <w:ilvl w:val="0"/>
          <w:numId w:val="416"/>
        </w:numPr>
      </w:pPr>
      <w:r>
        <w:t xml:space="preserve">Pour l'ouverture, la feuille de porte est guidée par </w:t>
      </w:r>
      <w:r>
        <w:rPr>
          <w:rStyle w:val="optioncarChar"/>
        </w:rPr>
        <w:t xml:space="preserve">2 </w:t>
      </w:r>
      <w:r>
        <w:t>(par défaut)</w:t>
      </w:r>
      <w:r>
        <w:rPr>
          <w:rStyle w:val="optioncarChar"/>
        </w:rPr>
        <w:t xml:space="preserve"> / 4 / ***</w:t>
      </w:r>
      <w:r>
        <w:t xml:space="preserve"> roulements en</w:t>
      </w:r>
      <w:r>
        <w:rPr>
          <w:rStyle w:val="optioncarChar"/>
        </w:rPr>
        <w:t> Nylon </w:t>
      </w:r>
      <w:r>
        <w:t>(par défaut)</w:t>
      </w:r>
      <w:r>
        <w:rPr>
          <w:rStyle w:val="optioncarChar"/>
        </w:rPr>
        <w:t xml:space="preserve"> / PVC dur / ***</w:t>
      </w:r>
      <w:r>
        <w:t xml:space="preserve"> à coussinets autolubrifiants, qui courent dans des rails de guidage horizontaux, à moitié fermés, fixés au plafond, avec protection de fin de course.</w:t>
      </w:r>
    </w:p>
    <w:p w14:paraId="1E40E4EA" w14:textId="77777777" w:rsidR="00772179" w:rsidRDefault="00000000">
      <w:pPr>
        <w:pStyle w:val="Author-eListParagraph"/>
        <w:numPr>
          <w:ilvl w:val="0"/>
          <w:numId w:val="416"/>
        </w:numPr>
      </w:pPr>
      <w:r>
        <w:t xml:space="preserve">Dans le bas, le vantail de porte est relié aux extrémités de deux bras de levage qui décrivent un demi-cercle et font entièrement basculer la porte à l'intérieur du garage contre les butoirs en caoutchouc qui sont fixés sur le </w:t>
      </w:r>
      <w:r>
        <w:rPr>
          <w:rStyle w:val="optioncarChar"/>
        </w:rPr>
        <w:t>rail de guidage </w:t>
      </w:r>
      <w:r>
        <w:t>(par défaut)</w:t>
      </w:r>
      <w:r>
        <w:rPr>
          <w:rStyle w:val="optioncarChar"/>
        </w:rPr>
        <w:t xml:space="preserve"> / profil d'assemblage</w:t>
      </w:r>
      <w:r>
        <w:t> </w:t>
      </w:r>
      <w:r>
        <w:rPr>
          <w:rStyle w:val="optioncarChar"/>
        </w:rPr>
        <w:t>/ ***</w:t>
      </w:r>
      <w:r>
        <w:t>.</w:t>
      </w:r>
    </w:p>
    <w:p w14:paraId="3A9AB5EE" w14:textId="77777777" w:rsidR="00772179" w:rsidRDefault="00000000">
      <w:pPr>
        <w:pStyle w:val="Author-eListParagraph"/>
        <w:numPr>
          <w:ilvl w:val="0"/>
          <w:numId w:val="416"/>
        </w:numPr>
      </w:pPr>
      <w:r>
        <w:t xml:space="preserve">Conformément au cahier spécial des charges, la porte est maintenue en équilibre pendant l'ouverture : </w:t>
      </w:r>
      <w:r>
        <w:rPr>
          <w:rStyle w:val="optioncarChar"/>
        </w:rPr>
        <w:t>par des ressorts réglables </w:t>
      </w:r>
      <w:r>
        <w:t>(par défaut)</w:t>
      </w:r>
      <w:r>
        <w:rPr>
          <w:rStyle w:val="optioncarChar"/>
        </w:rPr>
        <w:t xml:space="preserve"> / par des contrepoids / par des ressorts sous pression de gaz / ***</w:t>
      </w:r>
      <w:r>
        <w:t xml:space="preserve">. Conformément au cahier spécial des charges, lors de l'ouverture, le vantail de porte </w:t>
      </w:r>
      <w:r>
        <w:rPr>
          <w:rStyle w:val="optioncarChar"/>
        </w:rPr>
        <w:t>reste entièrement à l’intérieur du plan de façade (obligatoire lorsque la façade est alignée au domaine publique) </w:t>
      </w:r>
      <w:r>
        <w:t>(par défaut)</w:t>
      </w:r>
      <w:r>
        <w:rPr>
          <w:rStyle w:val="optioncarChar"/>
        </w:rPr>
        <w:t xml:space="preserve"> / ressort partiellement du plan de façade</w:t>
      </w:r>
      <w:r>
        <w:t>. </w:t>
      </w:r>
    </w:p>
    <w:p w14:paraId="5C424BE4" w14:textId="77777777" w:rsidR="00772179" w:rsidRDefault="00000000">
      <w:pPr>
        <w:pStyle w:val="heading"/>
      </w:pPr>
      <w:r>
        <w:t>Ventilation</w:t>
      </w:r>
    </w:p>
    <w:p w14:paraId="76666143" w14:textId="77777777" w:rsidR="00772179" w:rsidRDefault="00000000">
      <w:pPr>
        <w:pStyle w:val="Author-eListParagraph"/>
        <w:numPr>
          <w:ilvl w:val="0"/>
          <w:numId w:val="417"/>
        </w:numPr>
      </w:pPr>
      <w:r>
        <w:t>Si une ventilation est requise au niveau de la porte, cette ventilation est assurée en prévoyant dans le bas des ouvertures d'aération, situées à maximum 40 cm au-dessus du sol. Conformément aux prescriptions du cahier spécial des charges, la ventilation est réalisée soit par des ouvertures pliées dans le matériau de revêtement, soit par des grilles encastrées, soit par des ouvertures ménagées entre les panneaux de revêtement et l'encadrement. </w:t>
      </w:r>
    </w:p>
    <w:p w14:paraId="50AE35B5" w14:textId="77777777" w:rsidR="00772179" w:rsidRDefault="00000000">
      <w:pPr>
        <w:pStyle w:val="heading"/>
      </w:pPr>
      <w:r>
        <w:t>Serrures - Poignées</w:t>
      </w:r>
    </w:p>
    <w:p w14:paraId="464F5006" w14:textId="77777777" w:rsidR="00772179" w:rsidRDefault="00000000">
      <w:pPr>
        <w:pStyle w:val="Author-eListParagraph"/>
        <w:numPr>
          <w:ilvl w:val="0"/>
          <w:numId w:val="418"/>
        </w:numPr>
      </w:pPr>
      <w:r>
        <w:t>La porte se verrouille automatiquement mais s'ouvre </w:t>
      </w:r>
      <w:r>
        <w:rPr>
          <w:rStyle w:val="optioncarChar"/>
        </w:rPr>
        <w:t>de l'intérieur</w:t>
      </w:r>
      <w:r>
        <w:t> (par défaut) </w:t>
      </w:r>
      <w:r>
        <w:rPr>
          <w:rStyle w:val="optioncarChar"/>
        </w:rPr>
        <w:t xml:space="preserve">/ sans clé / à l'aide d'une goupille de déverrouillage / ***.  </w:t>
      </w:r>
      <w:r>
        <w:t xml:space="preserve">La porte est équipée d'un mécanisme de fermeture composé d'au moins </w:t>
      </w:r>
      <w:r>
        <w:rPr>
          <w:rStyle w:val="optioncarChar"/>
        </w:rPr>
        <w:t>2 </w:t>
      </w:r>
      <w:r>
        <w:t xml:space="preserve">(par défaut) </w:t>
      </w:r>
      <w:r>
        <w:rPr>
          <w:rStyle w:val="optioncarChar"/>
        </w:rPr>
        <w:t> / 4</w:t>
      </w:r>
      <w:r>
        <w:t xml:space="preserve"> tiges de fermeture orientées vers le bas et à loqueteaux automatiques.</w:t>
      </w:r>
    </w:p>
    <w:p w14:paraId="6BBDC5E7" w14:textId="77777777" w:rsidR="00772179" w:rsidRDefault="00000000">
      <w:pPr>
        <w:pStyle w:val="Author-eListParagraph"/>
        <w:numPr>
          <w:ilvl w:val="0"/>
          <w:numId w:val="418"/>
        </w:numPr>
      </w:pPr>
      <w:r>
        <w:t>Une serrure de sécurité à cylindre profilé est livrée avec trois clés (qui sont intégrées dans le plan de fermeture).</w:t>
      </w:r>
    </w:p>
    <w:p w14:paraId="6A5E12F2" w14:textId="77777777" w:rsidR="00772179" w:rsidRDefault="00000000">
      <w:pPr>
        <w:pStyle w:val="Author-eListParagraph"/>
        <w:numPr>
          <w:ilvl w:val="0"/>
          <w:numId w:val="418"/>
        </w:numPr>
      </w:pPr>
      <w:r>
        <w:t>La porte est équipée d'une poignée, sur les deux faces : un bouton rond avec entaille en matière synthétique de qualité à l'extérieur et une poignée à croisillon avec dispositif de sécurité à l'intérieur. </w:t>
      </w:r>
    </w:p>
    <w:p w14:paraId="3609BAA3" w14:textId="77777777" w:rsidR="00772179" w:rsidRDefault="00000000">
      <w:pPr>
        <w:pStyle w:val="heading"/>
      </w:pPr>
      <w:r>
        <w:t>Traitement - Finition</w:t>
      </w:r>
    </w:p>
    <w:p w14:paraId="2E49C832" w14:textId="77777777" w:rsidR="00772179" w:rsidRDefault="00000000">
      <w:pPr>
        <w:pStyle w:val="Author-eListParagraph"/>
        <w:numPr>
          <w:ilvl w:val="0"/>
          <w:numId w:val="419"/>
        </w:numPr>
      </w:pPr>
      <w:r>
        <w:t>Tous les éléments en acier, hormis les ressorts, sont rendus inoxydables, soit par galvanisation, soit ils sont fabriqués en acier inoxydable. </w:t>
      </w:r>
    </w:p>
    <w:p w14:paraId="5F91FCDB" w14:textId="77777777" w:rsidR="00772179" w:rsidRDefault="00000000">
      <w:pPr>
        <w:pStyle w:val="pheading"/>
      </w:pPr>
      <w:r>
        <w:t>EXÉCUTION / MISE EN ŒUVRE</w:t>
      </w:r>
    </w:p>
    <w:p w14:paraId="7E9E3D77" w14:textId="77777777" w:rsidR="00772179" w:rsidRDefault="00000000">
      <w:pPr>
        <w:pStyle w:val="Author-eListParagraph"/>
        <w:numPr>
          <w:ilvl w:val="0"/>
          <w:numId w:val="420"/>
        </w:numPr>
      </w:pPr>
      <w:r>
        <w:lastRenderedPageBreak/>
        <w:t>Pour l'exécution de la baie, l'entrepreneur communique les renseignements concernant les dimensions et le sens d'ouverture de la porte de manière à pouvoir déterminer les dimensions dans l'œuvre, la hauteur du linteau et la largeur des batées.</w:t>
      </w:r>
    </w:p>
    <w:p w14:paraId="17A8EB41" w14:textId="77777777" w:rsidR="00772179" w:rsidRDefault="00000000">
      <w:pPr>
        <w:pStyle w:val="Author-eListParagraph"/>
        <w:numPr>
          <w:ilvl w:val="0"/>
          <w:numId w:val="420"/>
        </w:numPr>
      </w:pPr>
      <w:r>
        <w:t>Le dormant est fixé au gros-œuvre avec des pattes d'ancrage scellées dans la maçonnerie et/ou des profils en acier galvanisé réglables et des boulons inoxydables.</w:t>
      </w:r>
    </w:p>
    <w:p w14:paraId="4655DB2E" w14:textId="77777777" w:rsidR="00772179" w:rsidRDefault="00000000">
      <w:pPr>
        <w:pStyle w:val="Author-eListParagraph"/>
        <w:numPr>
          <w:ilvl w:val="0"/>
          <w:numId w:val="420"/>
        </w:numPr>
      </w:pPr>
      <w:r>
        <w:t>Entre le gros-œuvre et le dormant de la porte, une bande d'étanchéité est posée (au moins 20 mm de largeur) en :</w:t>
      </w:r>
    </w:p>
    <w:p w14:paraId="66C640E3" w14:textId="77777777" w:rsidR="00772179" w:rsidRDefault="00000000">
      <w:r>
        <w:rPr>
          <w:rStyle w:val="optioncarChar"/>
        </w:rPr>
        <w:t xml:space="preserve">mousse de polyuréthane </w:t>
      </w:r>
      <w:r>
        <w:t>(par défaut)</w:t>
      </w:r>
      <w:r>
        <w:rPr>
          <w:rStyle w:val="optioncarChar"/>
        </w:rPr>
        <w:t xml:space="preserve"> / polyuréthane multiforme à alvéoles ouvertes</w:t>
      </w:r>
    </w:p>
    <w:p w14:paraId="5EB421C0" w14:textId="77777777" w:rsidR="00772179" w:rsidRDefault="00000000">
      <w:r>
        <w:rPr>
          <w:b/>
        </w:rPr>
        <w:t>(soit  par défaut)</w:t>
      </w:r>
      <w:r>
        <w:t xml:space="preserve"> : </w:t>
      </w:r>
      <w:r>
        <w:rPr>
          <w:rStyle w:val="soitChar"/>
        </w:rPr>
        <w:t>mousse de polyuréthane saturée d’une solution d'imprégnation à base de paraffine chlorée et de néoprène. Le cordon d’étanchéité est comprimé avant placement et commence à gonfler lentement après le placement ≤ 20% de son épaisseur nominale et rend le joint étanche aux averses</w:t>
      </w:r>
      <w:r>
        <w:br/>
      </w:r>
      <w:r>
        <w:rPr>
          <w:b/>
        </w:rPr>
        <w:t xml:space="preserve">(soit) : </w:t>
      </w:r>
      <w:r>
        <w:rPr>
          <w:rStyle w:val="soitChar"/>
          <w:u w:val="single"/>
        </w:rPr>
        <w:t>polyuréthane multiforme à alvéoles ouvertes</w:t>
      </w:r>
      <w:r>
        <w:rPr>
          <w:rStyle w:val="soitChar"/>
        </w:rPr>
        <w:t>, qui est totalement imprégné de bitume. Ce joint est compatible avec le mastic d’étanchéité à appliquer ultérieurement. Pour obtenir une étanchéité aux pluies, un cordon d’une épaisseur = 5 x la largeur du joint est réalisé.</w:t>
      </w:r>
    </w:p>
    <w:p w14:paraId="3F7FA20F" w14:textId="77777777" w:rsidR="00772179" w:rsidRDefault="00000000">
      <w:pPr>
        <w:pStyle w:val="pheading"/>
      </w:pPr>
      <w:r>
        <w:t>DOCUMENTS DE RÉFÉRENCE</w:t>
      </w:r>
    </w:p>
    <w:p w14:paraId="1E78F517" w14:textId="77777777" w:rsidR="00772179" w:rsidRDefault="00000000">
      <w:pPr>
        <w:pStyle w:val="pheading"/>
      </w:pPr>
      <w:r>
        <w:t>- Matériau</w:t>
      </w:r>
    </w:p>
    <w:p w14:paraId="215F2C74" w14:textId="77777777" w:rsidR="00772179" w:rsidRDefault="00000000">
      <w:r>
        <w:rPr>
          <w:shd w:val="clear" w:color="auto" w:fill="FFFFFF"/>
        </w:rPr>
        <w:t>[NBN EN 12433-1]</w:t>
      </w:r>
    </w:p>
    <w:p w14:paraId="5B39215A" w14:textId="77777777" w:rsidR="00772179" w:rsidRDefault="00000000">
      <w:r>
        <w:rPr>
          <w:shd w:val="clear" w:color="auto" w:fill="FFFFFF"/>
        </w:rPr>
        <w:t>[NBN EN 12433-2]</w:t>
      </w:r>
    </w:p>
    <w:p w14:paraId="39C150EA" w14:textId="77777777" w:rsidR="00772179" w:rsidRDefault="00000000">
      <w:pPr>
        <w:pStyle w:val="pheading"/>
      </w:pPr>
      <w:r>
        <w:t>AIDE</w:t>
      </w:r>
    </w:p>
    <w:p w14:paraId="4849E4F8" w14:textId="77777777" w:rsidR="00772179" w:rsidRDefault="00000000">
      <w:r>
        <w:rPr>
          <w:i/>
          <w:u w:val="single"/>
        </w:rPr>
        <w:t>Note à l’attention de l’auteur de projet</w:t>
      </w:r>
      <w:r>
        <w:br/>
        <w:t xml:space="preserve">Pour l'implantation d'une porte intérieure dans le garage, il y a lieu de tenir compte de l'ouverture de la porte de garage afin de lui réserver suffisamment d'espace. </w:t>
      </w:r>
    </w:p>
    <w:p w14:paraId="55E1CE44" w14:textId="77777777" w:rsidR="00772179" w:rsidRDefault="00000000">
      <w:pPr>
        <w:pStyle w:val="Author-eSectionHeading6Numberless"/>
      </w:pPr>
      <w:bookmarkStart w:id="144" w:name="_Toc220489889"/>
      <w:r>
        <w:t>41.32.1a Portes de garage à usage collectif basculantes en bois CCTB 01.11</w:t>
      </w:r>
      <w:bookmarkEnd w:id="144"/>
    </w:p>
    <w:p w14:paraId="52B2EE2E" w14:textId="77777777" w:rsidR="00772179" w:rsidRDefault="00000000">
      <w:pPr>
        <w:pStyle w:val="pheading"/>
      </w:pPr>
      <w:r>
        <w:t>MATÉRIAUX</w:t>
      </w:r>
    </w:p>
    <w:p w14:paraId="35682EA2" w14:textId="77777777" w:rsidR="00772179" w:rsidRDefault="00000000">
      <w:pPr>
        <w:pStyle w:val="pheading"/>
      </w:pPr>
      <w:r>
        <w:t>- Finitions</w:t>
      </w:r>
    </w:p>
    <w:p w14:paraId="78D1C11C" w14:textId="77777777" w:rsidR="00772179" w:rsidRDefault="00000000">
      <w:r>
        <w:t>Le cadre métallique de la porte est revêtu de  :</w:t>
      </w:r>
    </w:p>
    <w:p w14:paraId="21EA3B38" w14:textId="77777777" w:rsidR="00772179" w:rsidRDefault="00000000">
      <w:r>
        <w:rPr>
          <w:rStyle w:val="optioncarChar"/>
        </w:rPr>
        <w:t xml:space="preserve"> planchettes de bois </w:t>
      </w:r>
      <w:r>
        <w:t xml:space="preserve">(par défaut) </w:t>
      </w:r>
      <w:r>
        <w:rPr>
          <w:rStyle w:val="optioncarChar"/>
        </w:rPr>
        <w:t>/ panneaux multiplex</w:t>
      </w:r>
    </w:p>
    <w:p w14:paraId="31EEAA7D" w14:textId="77777777" w:rsidR="00772179" w:rsidRDefault="00000000">
      <w:r>
        <w:rPr>
          <w:b/>
        </w:rPr>
        <w:t>(soit par défaut)</w:t>
      </w:r>
      <w:r>
        <w:t xml:space="preserve"> : planchettes en bois massif d'une épaisseur de </w:t>
      </w:r>
      <w:r>
        <w:rPr>
          <w:rStyle w:val="optioncarChar"/>
        </w:rPr>
        <w:t xml:space="preserve">*** </w:t>
      </w:r>
      <w:r>
        <w:t>mm, revêtues d'une première couche selon le procédé C2</w:t>
      </w:r>
    </w:p>
    <w:p w14:paraId="2C0F3A67" w14:textId="77777777" w:rsidR="00772179" w:rsidRDefault="00000000">
      <w:pPr>
        <w:pStyle w:val="Author-eListParagraph"/>
        <w:numPr>
          <w:ilvl w:val="0"/>
          <w:numId w:val="421"/>
        </w:numPr>
      </w:pPr>
      <w:r>
        <w:t xml:space="preserve">Dimensions des planchettes : </w:t>
      </w:r>
      <w:r>
        <w:rPr>
          <w:rStyle w:val="optioncarChar"/>
        </w:rPr>
        <w:t xml:space="preserve">*** </w:t>
      </w:r>
      <w:r>
        <w:t xml:space="preserve">x </w:t>
      </w:r>
      <w:r>
        <w:rPr>
          <w:rStyle w:val="optioncarChar"/>
        </w:rPr>
        <w:t xml:space="preserve">*** </w:t>
      </w:r>
      <w:r>
        <w:t>mm</w:t>
      </w:r>
    </w:p>
    <w:p w14:paraId="5F4055B6" w14:textId="77777777" w:rsidR="00772179" w:rsidRDefault="00000000">
      <w:pPr>
        <w:pStyle w:val="Author-eListParagraph"/>
        <w:numPr>
          <w:ilvl w:val="0"/>
          <w:numId w:val="421"/>
        </w:numPr>
      </w:pPr>
      <w:r>
        <w:t xml:space="preserve">Essence du bois : </w:t>
      </w:r>
      <w:r>
        <w:rPr>
          <w:rStyle w:val="optioncarChar"/>
        </w:rPr>
        <w:t>Sapin du nord / Dark Red Meranti / Oregon Pine / ***</w:t>
      </w:r>
    </w:p>
    <w:p w14:paraId="42250E38" w14:textId="77777777" w:rsidR="00772179" w:rsidRDefault="00000000">
      <w:pPr>
        <w:pStyle w:val="Author-eListParagraph"/>
        <w:numPr>
          <w:ilvl w:val="0"/>
          <w:numId w:val="421"/>
        </w:numPr>
      </w:pPr>
      <w:r>
        <w:t xml:space="preserve">Traitement de la surface : </w:t>
      </w:r>
      <w:r>
        <w:rPr>
          <w:rStyle w:val="optioncarChar"/>
        </w:rPr>
        <w:t xml:space="preserve">non traitée / deux couches d'imprégnation du bois, couleur à déterminer par l'auteur de projet </w:t>
      </w:r>
      <w:r>
        <w:t>sur présentation des échantillons de couleur sur l'essence de bois prescrite.</w:t>
      </w:r>
    </w:p>
    <w:p w14:paraId="229F51CA" w14:textId="77777777" w:rsidR="00772179" w:rsidRDefault="00000000">
      <w:r>
        <w:rPr>
          <w:b/>
        </w:rPr>
        <w:t>(soit)</w:t>
      </w:r>
      <w:r>
        <w:t xml:space="preserve"> : panneaux multiplex WBP, constitués d'un nombre ≥ </w:t>
      </w:r>
      <w:r>
        <w:rPr>
          <w:rStyle w:val="optioncarChar"/>
        </w:rPr>
        <w:t>3 / 5 / 7 </w:t>
      </w:r>
      <w:r>
        <w:t>feuilles</w:t>
      </w:r>
    </w:p>
    <w:p w14:paraId="551164E2" w14:textId="77777777" w:rsidR="00772179" w:rsidRDefault="00000000">
      <w:pPr>
        <w:pStyle w:val="Author-eListParagraph"/>
        <w:numPr>
          <w:ilvl w:val="0"/>
          <w:numId w:val="422"/>
        </w:numPr>
      </w:pPr>
      <w:r>
        <w:t xml:space="preserve">Epaisseur des plaques : </w:t>
      </w:r>
      <w:r>
        <w:rPr>
          <w:rStyle w:val="optioncarChar"/>
        </w:rPr>
        <w:t xml:space="preserve">12 / 15 / 18 </w:t>
      </w:r>
      <w:r>
        <w:t>mm.</w:t>
      </w:r>
    </w:p>
    <w:p w14:paraId="17581C47" w14:textId="77777777" w:rsidR="00772179" w:rsidRDefault="00000000">
      <w:pPr>
        <w:pStyle w:val="Author-eListParagraph"/>
        <w:numPr>
          <w:ilvl w:val="0"/>
          <w:numId w:val="422"/>
        </w:numPr>
      </w:pPr>
      <w:r>
        <w:t xml:space="preserve">Essence du bois de finition : </w:t>
      </w:r>
      <w:r>
        <w:rPr>
          <w:rStyle w:val="optioncarChar"/>
        </w:rPr>
        <w:t>à choisir dans la gamme complète du fabricant </w:t>
      </w:r>
      <w:r>
        <w:t>(par défaut)</w:t>
      </w:r>
      <w:r>
        <w:rPr>
          <w:rStyle w:val="optioncarChar"/>
        </w:rPr>
        <w:t xml:space="preserve"> / ***</w:t>
      </w:r>
      <w:r>
        <w:t>.</w:t>
      </w:r>
    </w:p>
    <w:p w14:paraId="2A419208" w14:textId="77777777" w:rsidR="00772179" w:rsidRDefault="00000000">
      <w:pPr>
        <w:pStyle w:val="Author-eListParagraph"/>
        <w:numPr>
          <w:ilvl w:val="0"/>
          <w:numId w:val="422"/>
        </w:numPr>
      </w:pPr>
      <w:r>
        <w:t>Le plaçage et son collage ne doivent pas présenter de décollement et sont conformes aux critères de la norme [NBN EN 1910] pour climat humide</w:t>
      </w:r>
    </w:p>
    <w:p w14:paraId="308C0643" w14:textId="77777777" w:rsidR="00772179" w:rsidRDefault="00000000">
      <w:pPr>
        <w:pStyle w:val="Author-eListParagraph"/>
        <w:numPr>
          <w:ilvl w:val="0"/>
          <w:numId w:val="422"/>
        </w:numPr>
      </w:pPr>
      <w:r>
        <w:t>Placage : qualité A.</w:t>
      </w:r>
    </w:p>
    <w:p w14:paraId="06D90B84" w14:textId="77777777" w:rsidR="00772179" w:rsidRDefault="00000000">
      <w:pPr>
        <w:pStyle w:val="Author-eListParagraph"/>
        <w:numPr>
          <w:ilvl w:val="0"/>
          <w:numId w:val="422"/>
        </w:numPr>
      </w:pPr>
      <w:r>
        <w:t xml:space="preserve">Essence du bois de la couche de finition : </w:t>
      </w:r>
      <w:r>
        <w:rPr>
          <w:rStyle w:val="optioncarChar"/>
        </w:rPr>
        <w:t xml:space="preserve">à choisir dans la gamme complète du fabricant </w:t>
      </w:r>
      <w:r>
        <w:t>(par défaut) </w:t>
      </w:r>
      <w:r>
        <w:rPr>
          <w:rStyle w:val="optioncarChar"/>
        </w:rPr>
        <w:t>/ ***</w:t>
      </w:r>
      <w:r>
        <w:t>.</w:t>
      </w:r>
    </w:p>
    <w:p w14:paraId="4F9B6BE4" w14:textId="77777777" w:rsidR="00772179" w:rsidRDefault="00000000">
      <w:pPr>
        <w:pStyle w:val="Author-eListParagraph"/>
        <w:numPr>
          <w:ilvl w:val="0"/>
          <w:numId w:val="422"/>
        </w:numPr>
      </w:pPr>
      <w:r>
        <w:t xml:space="preserve">Traitement de la surface : </w:t>
      </w:r>
      <w:r>
        <w:rPr>
          <w:rStyle w:val="optioncarChar"/>
        </w:rPr>
        <w:t>non laqué / laque UV-polyacrylique / teinté / une face revêtue d'une couche de finition à peindre</w:t>
      </w:r>
    </w:p>
    <w:p w14:paraId="1886F8BA" w14:textId="77777777" w:rsidR="00772179" w:rsidRDefault="00000000">
      <w:pPr>
        <w:pStyle w:val="Author-eListParagraph"/>
        <w:numPr>
          <w:ilvl w:val="0"/>
          <w:numId w:val="422"/>
        </w:numPr>
      </w:pPr>
      <w:r>
        <w:t xml:space="preserve">Couleur : </w:t>
      </w:r>
      <w:r>
        <w:rPr>
          <w:rStyle w:val="optioncarChar"/>
        </w:rPr>
        <w:t xml:space="preserve">à choisir dans la gamme complète du fabricant </w:t>
      </w:r>
      <w:r>
        <w:t xml:space="preserve">Couleur RAL n° . </w:t>
      </w:r>
      <w:r>
        <w:rPr>
          <w:rStyle w:val="optioncarChar"/>
        </w:rPr>
        <w:t>***</w:t>
      </w:r>
    </w:p>
    <w:p w14:paraId="0D00A475" w14:textId="77777777" w:rsidR="00772179" w:rsidRDefault="00000000">
      <w:pPr>
        <w:pStyle w:val="Author-eListParagraph"/>
        <w:numPr>
          <w:ilvl w:val="0"/>
          <w:numId w:val="422"/>
        </w:numPr>
      </w:pPr>
      <w:r>
        <w:t xml:space="preserve">Dans le bas, le revêtement est achevé par un : </w:t>
      </w:r>
      <w:r>
        <w:rPr>
          <w:rStyle w:val="optioncarChar"/>
        </w:rPr>
        <w:t>socle en aluminium anodisé / profil en bois.</w:t>
      </w:r>
    </w:p>
    <w:p w14:paraId="6CB1C869" w14:textId="77777777" w:rsidR="00772179" w:rsidRDefault="00000000">
      <w:pPr>
        <w:pStyle w:val="pheading"/>
      </w:pPr>
      <w:r>
        <w:lastRenderedPageBreak/>
        <w:t>EXÉCUTION / MISE EN ŒUVRE</w:t>
      </w:r>
    </w:p>
    <w:p w14:paraId="7B624EEA" w14:textId="77777777" w:rsidR="00772179" w:rsidRDefault="00000000">
      <w:pPr>
        <w:pStyle w:val="pheading"/>
      </w:pPr>
      <w:r>
        <w:t>- Prescriptions générales</w:t>
      </w:r>
    </w:p>
    <w:p w14:paraId="057A6112" w14:textId="77777777" w:rsidR="00772179" w:rsidRDefault="00000000">
      <w:r>
        <w:t xml:space="preserve">Le dormant de la porte est placé </w:t>
      </w:r>
      <w:r>
        <w:rPr>
          <w:rStyle w:val="optioncarChar"/>
        </w:rPr>
        <w:t xml:space="preserve">dans / derrière </w:t>
      </w:r>
      <w:r>
        <w:t>le jour de baie conformément aux prescriptions du fabricant. Entre le gros-œuvre et le dormant de la porte, une bande d'étanchéité ≥ 20 mm de largeur est insérée.</w:t>
      </w:r>
    </w:p>
    <w:p w14:paraId="42EA9EF8" w14:textId="77777777" w:rsidR="00772179" w:rsidRDefault="00000000">
      <w:pPr>
        <w:pStyle w:val="pheading"/>
      </w:pPr>
      <w:r>
        <w:t>- Notes d’exécution complémentaires</w:t>
      </w:r>
    </w:p>
    <w:p w14:paraId="3DE1691C" w14:textId="77777777" w:rsidR="00772179" w:rsidRDefault="00000000">
      <w:r>
        <w:t xml:space="preserve">Les batées latérales de la maçonnerie sont revêtues d'un encadrement intérieur en bois placé dans la rainure prévue à cet effet, par assemblage à rainure et languette. Cette planche s'aligne avec la face finie du mur. L'ouverture entre la planche et le mur est bouchée par </w:t>
      </w:r>
      <w:r>
        <w:rPr>
          <w:rStyle w:val="optioncarChar"/>
        </w:rPr>
        <w:t>une cimaise / *** </w:t>
      </w:r>
      <w:r>
        <w:t>. L'encadrement est cloué indirectement sur les blochets de murs par interposition de lattes de réglage. Les cimaises sont sciées en onglet. L'espace entre l'encadrement et la maçonnerie est rempli de matériau isolant de type PU ou laine minérale. Il ne peut y avoir de contact direct entre le parement et l'isolation.</w:t>
      </w:r>
    </w:p>
    <w:p w14:paraId="0B8A28EC" w14:textId="77777777" w:rsidR="00772179" w:rsidRDefault="00000000">
      <w:pPr>
        <w:pStyle w:val="pheading"/>
      </w:pPr>
      <w:r>
        <w:t>MESURAGE</w:t>
      </w:r>
    </w:p>
    <w:p w14:paraId="4E509FBA" w14:textId="77777777" w:rsidR="00772179" w:rsidRDefault="00000000">
      <w:pPr>
        <w:pStyle w:val="pheading"/>
      </w:pPr>
      <w:r>
        <w:t>- unité de mesure:</w:t>
      </w:r>
    </w:p>
    <w:p w14:paraId="060C930B" w14:textId="77777777" w:rsidR="00772179" w:rsidRDefault="00000000">
      <w:r>
        <w:t>pc</w:t>
      </w:r>
    </w:p>
    <w:p w14:paraId="2B71B2C3" w14:textId="77777777" w:rsidR="00772179" w:rsidRDefault="00000000">
      <w:pPr>
        <w:pStyle w:val="pheading"/>
      </w:pPr>
      <w:r>
        <w:t>- nature du marché:</w:t>
      </w:r>
    </w:p>
    <w:p w14:paraId="43E3AB4C" w14:textId="77777777" w:rsidR="00772179" w:rsidRDefault="00000000">
      <w:r>
        <w:t>QF</w:t>
      </w:r>
    </w:p>
    <w:p w14:paraId="102F4EE4" w14:textId="77777777" w:rsidR="00772179" w:rsidRDefault="00000000">
      <w:pPr>
        <w:pStyle w:val="Author-eSectionHeading6Numberless"/>
      </w:pPr>
      <w:bookmarkStart w:id="145" w:name="_Toc220489890"/>
      <w:r>
        <w:t>41.32.1b Portes de garage à usage collectif basculantes en aluminium</w:t>
      </w:r>
      <w:bookmarkEnd w:id="145"/>
    </w:p>
    <w:p w14:paraId="01F230DC" w14:textId="77777777" w:rsidR="00772179" w:rsidRDefault="00000000">
      <w:pPr>
        <w:pStyle w:val="Author-eSectionHeading6Numberless"/>
      </w:pPr>
      <w:bookmarkStart w:id="146" w:name="_Toc220489891"/>
      <w:r>
        <w:t>41.32.1c Portes de garage à usage collectif basculantes en acier CCTB 01.11</w:t>
      </w:r>
      <w:bookmarkEnd w:id="146"/>
    </w:p>
    <w:p w14:paraId="43492BF5" w14:textId="77777777" w:rsidR="00772179" w:rsidRDefault="00000000">
      <w:pPr>
        <w:pStyle w:val="pheading"/>
      </w:pPr>
      <w:r>
        <w:t>MATÉRIAUX</w:t>
      </w:r>
    </w:p>
    <w:p w14:paraId="69282D25" w14:textId="77777777" w:rsidR="00772179" w:rsidRDefault="00000000">
      <w:pPr>
        <w:pStyle w:val="pheading"/>
      </w:pPr>
      <w:r>
        <w:t>- Finitions</w:t>
      </w:r>
    </w:p>
    <w:p w14:paraId="4558DECD" w14:textId="77777777" w:rsidR="00772179" w:rsidRDefault="00000000">
      <w:r>
        <w:t xml:space="preserve">Le cadre en métal de la porte est revêtu de plaques profilées en métal galvanisé ou inoxydable </w:t>
      </w:r>
      <w:r>
        <w:rPr>
          <w:rStyle w:val="optioncarChar"/>
        </w:rPr>
        <w:t>verticales / horizontales</w:t>
      </w:r>
      <w:r>
        <w:t>. Elles sont fixées latéralement par double pliage sur la lèvre du profil du cadre et dans le haut et dans le bas par soudage par points. Le vantail de porte est consolidé à l'aide de deux montants perpendiculaires au sens des profilés de la feuille de porte.</w:t>
      </w:r>
    </w:p>
    <w:p w14:paraId="7D6829B2" w14:textId="77777777" w:rsidR="00772179" w:rsidRDefault="00000000">
      <w:pPr>
        <w:pStyle w:val="pheading"/>
      </w:pPr>
      <w:r>
        <w:t>EXÉCUTION / MISE EN ŒUVRE</w:t>
      </w:r>
    </w:p>
    <w:p w14:paraId="20149FF5" w14:textId="77777777" w:rsidR="00772179" w:rsidRDefault="00000000">
      <w:pPr>
        <w:pStyle w:val="pheading"/>
      </w:pPr>
      <w:r>
        <w:t>- Prescriptions générales</w:t>
      </w:r>
    </w:p>
    <w:p w14:paraId="52492B15" w14:textId="77777777" w:rsidR="00772179" w:rsidRDefault="00000000">
      <w:r>
        <w:t xml:space="preserve">Le dormant de la porte est placé </w:t>
      </w:r>
      <w:r>
        <w:rPr>
          <w:rStyle w:val="optioncarChar"/>
        </w:rPr>
        <w:t>dans / derrière </w:t>
      </w:r>
      <w:r>
        <w:t>le jour de baie conformément aux prescriptions du fabricant. Entre le gros-œuvre et le dormant de la porte, une bande d'étanchéité ≥ 20 mm de largeur est insérée.</w:t>
      </w:r>
    </w:p>
    <w:p w14:paraId="5C069D7E" w14:textId="77777777" w:rsidR="00772179" w:rsidRDefault="00000000">
      <w:pPr>
        <w:pStyle w:val="pheading"/>
      </w:pPr>
      <w:r>
        <w:t>- Notes d’exécution complémentaires</w:t>
      </w:r>
    </w:p>
    <w:p w14:paraId="04D4D4F3" w14:textId="77777777" w:rsidR="00772179" w:rsidRDefault="00000000">
      <w:r>
        <w:t xml:space="preserve">Avant la pose, l'entrepreneur soumet pour approbation une note de calcul du mode d'ancrage du dormant au gros-œuvre. </w:t>
      </w:r>
    </w:p>
    <w:p w14:paraId="73FA3083" w14:textId="77777777" w:rsidR="00772179" w:rsidRDefault="00000000">
      <w:pPr>
        <w:pStyle w:val="pheading"/>
      </w:pPr>
      <w:r>
        <w:t>MESURAGE</w:t>
      </w:r>
    </w:p>
    <w:p w14:paraId="6024014E" w14:textId="77777777" w:rsidR="00772179" w:rsidRDefault="00000000">
      <w:pPr>
        <w:pStyle w:val="pheading"/>
      </w:pPr>
      <w:r>
        <w:t>- unité de mesure:</w:t>
      </w:r>
    </w:p>
    <w:p w14:paraId="605306F1" w14:textId="77777777" w:rsidR="00772179" w:rsidRDefault="00000000">
      <w:r>
        <w:t>pc</w:t>
      </w:r>
    </w:p>
    <w:p w14:paraId="6C3E442F" w14:textId="77777777" w:rsidR="00772179" w:rsidRDefault="00000000">
      <w:pPr>
        <w:pStyle w:val="pheading"/>
      </w:pPr>
      <w:r>
        <w:t>- nature du marché:</w:t>
      </w:r>
    </w:p>
    <w:p w14:paraId="2BCAA9D9" w14:textId="77777777" w:rsidR="00772179" w:rsidRDefault="00000000">
      <w:r>
        <w:t>QF</w:t>
      </w:r>
    </w:p>
    <w:p w14:paraId="18E2BD88" w14:textId="77777777" w:rsidR="00772179" w:rsidRDefault="00000000">
      <w:pPr>
        <w:pStyle w:val="Author-eSectionHeading6Numberless"/>
      </w:pPr>
      <w:bookmarkStart w:id="147" w:name="_Toc220489892"/>
      <w:r>
        <w:t>41.32.1d Portes de garage à usage collectif basculantes en PVC</w:t>
      </w:r>
      <w:bookmarkEnd w:id="147"/>
    </w:p>
    <w:p w14:paraId="4D8DB9C3" w14:textId="77777777" w:rsidR="00772179" w:rsidRDefault="00000000">
      <w:pPr>
        <w:pStyle w:val="Author-eSectionHeading6Numberless"/>
      </w:pPr>
      <w:bookmarkStart w:id="148" w:name="_Toc220489893"/>
      <w:r>
        <w:t>41.32.1e Portes de garage à usage collectif basculantes en verre</w:t>
      </w:r>
      <w:bookmarkEnd w:id="148"/>
    </w:p>
    <w:p w14:paraId="511C3FE3" w14:textId="77777777" w:rsidR="00772179" w:rsidRDefault="00000000">
      <w:pPr>
        <w:pStyle w:val="Author-eSectionHeading6Numberless"/>
      </w:pPr>
      <w:bookmarkStart w:id="149" w:name="_Toc220489894"/>
      <w:r>
        <w:t>41.32.1f Portes de garage à usage collectif basculantes en matériaux composites</w:t>
      </w:r>
      <w:bookmarkEnd w:id="149"/>
    </w:p>
    <w:p w14:paraId="43CBBD55" w14:textId="77777777" w:rsidR="00772179" w:rsidRDefault="00000000">
      <w:pPr>
        <w:pStyle w:val="Author-eSectionHeading5Numberless"/>
      </w:pPr>
      <w:bookmarkStart w:id="150" w:name="_Toc220489895"/>
      <w:r>
        <w:lastRenderedPageBreak/>
        <w:t>41.32.2 Portes de garage à usage collectif sectionnelles CCTB 01.11</w:t>
      </w:r>
      <w:bookmarkEnd w:id="150"/>
    </w:p>
    <w:p w14:paraId="7A2B45DC" w14:textId="77777777" w:rsidR="00772179" w:rsidRDefault="00000000">
      <w:pPr>
        <w:pStyle w:val="pheading"/>
      </w:pPr>
      <w:r>
        <w:t>DESCRIPTION</w:t>
      </w:r>
    </w:p>
    <w:p w14:paraId="6923FCE9" w14:textId="77777777" w:rsidR="00772179" w:rsidRDefault="00000000">
      <w:pPr>
        <w:pStyle w:val="pheading"/>
      </w:pPr>
      <w:r>
        <w:t>- Définition / Comprend</w:t>
      </w:r>
    </w:p>
    <w:p w14:paraId="24AA5761" w14:textId="77777777" w:rsidR="00772179" w:rsidRDefault="00000000">
      <w:pPr>
        <w:jc w:val="both"/>
      </w:pPr>
      <w:r>
        <w:t>Il s'agit de portes sectionnelles dont le vantail de porte se compose d'un certain nombre de sections à articulation horizontal, qui sont soulevées verticalement et tenues en équilibre par des ressorts à traction ou à torsion (en fonction du type de porte).</w:t>
      </w:r>
    </w:p>
    <w:p w14:paraId="35E6EAD2" w14:textId="77777777" w:rsidR="00772179" w:rsidRDefault="00000000">
      <w:pPr>
        <w:pStyle w:val="pheading"/>
      </w:pPr>
      <w:r>
        <w:t>MATÉRIAUX</w:t>
      </w:r>
    </w:p>
    <w:p w14:paraId="76CB582C" w14:textId="77777777" w:rsidR="00772179" w:rsidRDefault="00000000">
      <w:pPr>
        <w:jc w:val="both"/>
      </w:pPr>
      <w:r>
        <w:t>Les exigences complémentaires de sécurité d’utilisation sont appliquées aux portes de garages sectionnelles.</w:t>
      </w:r>
    </w:p>
    <w:p w14:paraId="720280AC" w14:textId="77777777" w:rsidR="00772179" w:rsidRDefault="00000000">
      <w:pPr>
        <w:jc w:val="both"/>
      </w:pPr>
      <w:r>
        <w:t>Quand une porte sectionnelle est abaissée, au moins la moitié de la circonférence de l'axe est déroulée. Les mouvements latéraux des segments/grillage n'entraînent pas de dommage ou de danger ou sont empêchés.</w:t>
      </w:r>
    </w:p>
    <w:p w14:paraId="650F4DE1" w14:textId="77777777" w:rsidR="00772179" w:rsidRDefault="00000000">
      <w:pPr>
        <w:jc w:val="both"/>
      </w:pPr>
      <w:r>
        <w:t>Les portes fonctionnant par gravité ou par un autre mécanisme de fermeture automatique n’exposent pas les personnes à un écrasement susceptible de provoquer des blessures ou des dommages. </w:t>
      </w:r>
    </w:p>
    <w:p w14:paraId="172B9346" w14:textId="77777777" w:rsidR="00772179" w:rsidRDefault="00000000">
      <w:pPr>
        <w:jc w:val="both"/>
      </w:pPr>
      <w:r>
        <w:t>Ces exigences sont vérifiées à l’aide des [NBN EN 12604:2017+A1] § 5.9.</w:t>
      </w:r>
    </w:p>
    <w:p w14:paraId="7DBD926F" w14:textId="77777777" w:rsidR="00772179" w:rsidRDefault="00000000">
      <w:pPr>
        <w:jc w:val="both"/>
      </w:pPr>
      <w:r>
        <w:t>De plus, la vitesse de fermeture des portes actionnées uniquement par gravité ≤ 0,3 m/s. La force exercée par la porte sur un corps ou une partie de celui-ci ≤ aux valeurs autorisées dans la [NBN EN 12453:2017+A1] annexe A. Si ce n'est pas possible, un dispositif acoustique émet un signal sonore aussitôt que la porte commence à se fermer.</w:t>
      </w:r>
    </w:p>
    <w:p w14:paraId="6CA79A64" w14:textId="77777777" w:rsidR="00772179" w:rsidRDefault="00000000">
      <w:pPr>
        <w:pStyle w:val="heading"/>
        <w:jc w:val="both"/>
      </w:pPr>
      <w:r>
        <w:t>Dormant - Sections de porte</w:t>
      </w:r>
    </w:p>
    <w:p w14:paraId="74DAE815" w14:textId="77777777" w:rsidR="00772179" w:rsidRDefault="00000000">
      <w:pPr>
        <w:pStyle w:val="Author-eListParagraph"/>
        <w:numPr>
          <w:ilvl w:val="0"/>
          <w:numId w:val="423"/>
        </w:numPr>
      </w:pPr>
      <w:r>
        <w:t>Les portes sont suspendues dans un dormant profilé en acier galvanisé à chaud pourvu de joints en caoutchouc. Les dimensions des éléments constituants sont déterminées en fonction des dimensions de la porte et de son poids afin d'obtenir un ensemble solide.</w:t>
      </w:r>
    </w:p>
    <w:p w14:paraId="0D067447" w14:textId="77777777" w:rsidR="00772179" w:rsidRDefault="00000000">
      <w:pPr>
        <w:pStyle w:val="Author-eListParagraph"/>
        <w:numPr>
          <w:ilvl w:val="0"/>
          <w:numId w:val="423"/>
        </w:numPr>
      </w:pPr>
      <w:r>
        <w:t xml:space="preserve">La hauteur de la section de fond et des sections centrales est déterminée en fonction de la hauteur de la porte. Les sections sont intérieurement renforcées pour assurer une parfaite fixation aux charnières. La section de fond est dotée d’un renforcement supplémentaire et est pourvue d’un profilé d’étanchéité en </w:t>
      </w:r>
      <w:r>
        <w:rPr>
          <w:rStyle w:val="optioncarChar"/>
        </w:rPr>
        <w:t xml:space="preserve">néoprène avec lèvre / ***. </w:t>
      </w:r>
      <w:r>
        <w:t>La section supérieure s’ajuste au linteau par un joint en caoutchouc.</w:t>
      </w:r>
    </w:p>
    <w:p w14:paraId="4BA78B01" w14:textId="77777777" w:rsidR="00772179" w:rsidRDefault="00000000">
      <w:pPr>
        <w:pStyle w:val="heading"/>
        <w:jc w:val="both"/>
      </w:pPr>
      <w:r>
        <w:t>Mécanisme d'ouverture</w:t>
      </w:r>
    </w:p>
    <w:p w14:paraId="758C7C94" w14:textId="77777777" w:rsidR="00772179" w:rsidRDefault="00000000">
      <w:pPr>
        <w:pStyle w:val="Author-eListParagraph"/>
        <w:numPr>
          <w:ilvl w:val="0"/>
          <w:numId w:val="424"/>
        </w:numPr>
      </w:pPr>
      <w:r>
        <w:t>Les sections sont guidées verticalement dans un système de rails horizontaux au moyen de galets de roulement à billes en matière synthétique sur des porte-roulettes ajustables. Des butoirs à ressort sont montés aux extrémités des rails de guidage horizontaux.</w:t>
      </w:r>
    </w:p>
    <w:p w14:paraId="29942417" w14:textId="77777777" w:rsidR="00772179" w:rsidRDefault="00000000">
      <w:pPr>
        <w:pStyle w:val="Author-eListParagraph"/>
        <w:numPr>
          <w:ilvl w:val="0"/>
          <w:numId w:val="424"/>
        </w:numPr>
      </w:pPr>
      <w:r>
        <w:t>Conformément au cahier spécial des charges la porte est maintenue en équilibre lors de son ouverture, par :</w:t>
      </w:r>
    </w:p>
    <w:p w14:paraId="3339569B" w14:textId="77777777" w:rsidR="00772179" w:rsidRDefault="00000000">
      <w:pPr>
        <w:ind w:left="454"/>
        <w:jc w:val="both"/>
      </w:pPr>
      <w:r>
        <w:rPr>
          <w:rStyle w:val="optioncarChar"/>
        </w:rPr>
        <w:t xml:space="preserve">ressorts à torsion </w:t>
      </w:r>
      <w:r>
        <w:t>(par défaut)</w:t>
      </w:r>
      <w:r>
        <w:rPr>
          <w:rStyle w:val="optioncarChar"/>
        </w:rPr>
        <w:t xml:space="preserve"> / doubles ressorts à traction</w:t>
      </w:r>
    </w:p>
    <w:p w14:paraId="39BC4064" w14:textId="77777777" w:rsidR="00772179" w:rsidRDefault="00000000">
      <w:pPr>
        <w:ind w:left="454"/>
        <w:jc w:val="both"/>
      </w:pPr>
      <w:r>
        <w:rPr>
          <w:b/>
        </w:rPr>
        <w:t>(soit par défaut)</w:t>
      </w:r>
      <w:r>
        <w:t xml:space="preserve"> : </w:t>
      </w:r>
      <w:r>
        <w:rPr>
          <w:rStyle w:val="soitChar"/>
        </w:rPr>
        <w:t xml:space="preserve">des </w:t>
      </w:r>
      <w:r>
        <w:rPr>
          <w:rStyle w:val="soitChar"/>
          <w:u w:val="single"/>
        </w:rPr>
        <w:t>ressorts à torsion</w:t>
      </w:r>
      <w:r>
        <w:rPr>
          <w:rStyle w:val="soitChar"/>
        </w:rPr>
        <w:t xml:space="preserve"> autour d’un axe métallique sur roulements à billes, rouleaux de câbles et câbles de charge latéraux.</w:t>
      </w:r>
    </w:p>
    <w:p w14:paraId="05FF0C21" w14:textId="77777777" w:rsidR="00772179" w:rsidRDefault="00000000">
      <w:pPr>
        <w:ind w:left="454"/>
        <w:jc w:val="both"/>
      </w:pPr>
      <w:r>
        <w:rPr>
          <w:b/>
        </w:rPr>
        <w:t>(soit)</w:t>
      </w:r>
      <w:r>
        <w:t xml:space="preserve"> : </w:t>
      </w:r>
      <w:r>
        <w:rPr>
          <w:rStyle w:val="soitChar"/>
        </w:rPr>
        <w:t xml:space="preserve">des </w:t>
      </w:r>
      <w:r>
        <w:rPr>
          <w:rStyle w:val="soitChar"/>
          <w:u w:val="single"/>
        </w:rPr>
        <w:t>doubles ressorts à traction</w:t>
      </w:r>
      <w:r>
        <w:rPr>
          <w:rStyle w:val="soitChar"/>
        </w:rPr>
        <w:t xml:space="preserve"> placés latéralement.</w:t>
      </w:r>
    </w:p>
    <w:p w14:paraId="248112A0" w14:textId="77777777" w:rsidR="00772179" w:rsidRDefault="00000000">
      <w:pPr>
        <w:pStyle w:val="Author-eListParagraph"/>
        <w:numPr>
          <w:ilvl w:val="0"/>
          <w:numId w:val="425"/>
        </w:numPr>
      </w:pPr>
      <w:r>
        <w:t xml:space="preserve">Le mécanisme de la porte est en outre pourvu d'une protection antichute activée sur le panneau inférieur et d'une protection contre la rupture des ressorts montée à l'extrémité de chaque ressort à torsion, qui bloque la porte. Les mécanismes sont conformes aux exigences de sécurité indiquées dans la norme produit </w:t>
      </w:r>
      <w:r>
        <w:rPr>
          <w:shd w:val="clear" w:color="auto" w:fill="FFFFFF"/>
        </w:rPr>
        <w:t>[NBN EN 13241:2003+A2] . </w:t>
      </w:r>
      <w:r>
        <w:t>Cette conformité est indiquée dans la déclaration d'aptitude du produit. </w:t>
      </w:r>
    </w:p>
    <w:p w14:paraId="06B4464A" w14:textId="77777777" w:rsidR="00772179" w:rsidRDefault="00000000">
      <w:pPr>
        <w:pStyle w:val="heading"/>
        <w:jc w:val="both"/>
      </w:pPr>
      <w:r>
        <w:t>Serrures - Poignées</w:t>
      </w:r>
    </w:p>
    <w:p w14:paraId="4CF94745" w14:textId="77777777" w:rsidR="00772179" w:rsidRDefault="00000000">
      <w:pPr>
        <w:pStyle w:val="Author-eListParagraph"/>
        <w:numPr>
          <w:ilvl w:val="0"/>
          <w:numId w:val="426"/>
        </w:numPr>
        <w:jc w:val="both"/>
      </w:pPr>
      <w:r>
        <w:t>La quincaillerie de la porte se compose d'un système de verrouillage adapté avec cylindre profilé.</w:t>
      </w:r>
    </w:p>
    <w:p w14:paraId="122FF95C" w14:textId="77777777" w:rsidR="00772179" w:rsidRDefault="00000000">
      <w:pPr>
        <w:pStyle w:val="Author-eListParagraph"/>
        <w:numPr>
          <w:ilvl w:val="0"/>
          <w:numId w:val="426"/>
        </w:numPr>
        <w:jc w:val="both"/>
      </w:pPr>
      <w:r>
        <w:lastRenderedPageBreak/>
        <w:t xml:space="preserve">Les poignées de la porte sont en </w:t>
      </w:r>
      <w:r>
        <w:rPr>
          <w:rStyle w:val="optioncarChar"/>
        </w:rPr>
        <w:t xml:space="preserve">Nylon </w:t>
      </w:r>
      <w:r>
        <w:t>(par défaut)</w:t>
      </w:r>
      <w:r>
        <w:rPr>
          <w:rStyle w:val="optioncarChar"/>
        </w:rPr>
        <w:t xml:space="preserve"> / aluminium / ***</w:t>
      </w:r>
      <w:r>
        <w:t xml:space="preserve"> de conception contemporaine.</w:t>
      </w:r>
    </w:p>
    <w:p w14:paraId="557E0959" w14:textId="77777777" w:rsidR="00772179" w:rsidRDefault="00000000">
      <w:pPr>
        <w:pStyle w:val="Author-eListParagraph"/>
        <w:numPr>
          <w:ilvl w:val="0"/>
          <w:numId w:val="426"/>
        </w:numPr>
        <w:jc w:val="both"/>
      </w:pPr>
      <w:r>
        <w:t>L'éventuel portillon d'accès est équipé d'un ferme-porte automatique. Lorsque le portillon n'est pas fermé, il est impossible de manœuvrer la porte électrique.</w:t>
      </w:r>
    </w:p>
    <w:p w14:paraId="5F398DBF" w14:textId="77777777" w:rsidR="00772179" w:rsidRDefault="00000000">
      <w:pPr>
        <w:pStyle w:val="pheading"/>
      </w:pPr>
      <w:r>
        <w:t>DOCUMENTS DE RÉFÉRENCE</w:t>
      </w:r>
    </w:p>
    <w:p w14:paraId="3DFFC03D" w14:textId="77777777" w:rsidR="00772179" w:rsidRDefault="00000000">
      <w:pPr>
        <w:pStyle w:val="pheading"/>
      </w:pPr>
      <w:r>
        <w:t>- Matériau</w:t>
      </w:r>
    </w:p>
    <w:p w14:paraId="177EB490" w14:textId="77777777" w:rsidR="00772179" w:rsidRDefault="00000000">
      <w:r>
        <w:t>[NBN EN 12433-1, Portes industrielles, commerciales et de garage - Terminologie - Partie 1: Types de fermetures et portails]</w:t>
      </w:r>
    </w:p>
    <w:p w14:paraId="72E1A7F7" w14:textId="77777777" w:rsidR="00772179" w:rsidRDefault="00000000">
      <w:r>
        <w:t>[NBN EN 12433-2, Portes industrielles, commerciales et de garage - Terminologie - Partie 2: Constituants des fermetures et portails]</w:t>
      </w:r>
    </w:p>
    <w:p w14:paraId="55F59CA6" w14:textId="77777777" w:rsidR="00772179" w:rsidRDefault="00000000">
      <w:r>
        <w:t>[NBN EN 12604:2017+A1, Portes et portails industriels, commerciaux et résidentiels - Aspects mécaniques - Exigences et méthodes d'essai]</w:t>
      </w:r>
    </w:p>
    <w:p w14:paraId="4A877820" w14:textId="77777777" w:rsidR="00772179" w:rsidRDefault="00000000">
      <w:r>
        <w:t>[NBN EN 12453:2017+A1, Portes et portails industriels, commerciaux et résidentiels - Sécurité d’utilisation des portes et portails motorisés - Exigences et méthodes d'essai]</w:t>
      </w:r>
    </w:p>
    <w:p w14:paraId="4A184C13" w14:textId="77777777" w:rsidR="00772179" w:rsidRDefault="00000000">
      <w:pPr>
        <w:pStyle w:val="pheading"/>
      </w:pPr>
      <w:r>
        <w:t>AIDE</w:t>
      </w:r>
    </w:p>
    <w:p w14:paraId="212B56B0" w14:textId="77777777" w:rsidR="00772179" w:rsidRDefault="00000000">
      <w:r>
        <w:t>En vue du choix des portes sectionnelles, il importe de vérifier les données d'encastrement à l'aide de la documentation.</w:t>
      </w:r>
    </w:p>
    <w:p w14:paraId="16A952FD" w14:textId="77777777" w:rsidR="00772179" w:rsidRDefault="00000000">
      <w:pPr>
        <w:pStyle w:val="Author-eSectionHeading6Numberless"/>
      </w:pPr>
      <w:bookmarkStart w:id="151" w:name="_Toc220489896"/>
      <w:r>
        <w:t>41.32.2a Portes de garage à usage collectif sectionnelles en bois</w:t>
      </w:r>
      <w:bookmarkEnd w:id="151"/>
    </w:p>
    <w:p w14:paraId="78E17E76" w14:textId="77777777" w:rsidR="00772179" w:rsidRDefault="00000000">
      <w:pPr>
        <w:pStyle w:val="Author-eSectionHeading6Numberless"/>
      </w:pPr>
      <w:bookmarkStart w:id="152" w:name="_Toc220489897"/>
      <w:r>
        <w:t>41.32.2b Portes de garage à usage collectif sectionnelles en aluminium</w:t>
      </w:r>
      <w:bookmarkEnd w:id="152"/>
    </w:p>
    <w:p w14:paraId="7DBD6ACD" w14:textId="77777777" w:rsidR="00772179" w:rsidRDefault="00000000">
      <w:pPr>
        <w:pStyle w:val="Author-eSectionHeading6Numberless"/>
      </w:pPr>
      <w:bookmarkStart w:id="153" w:name="_Toc220489898"/>
      <w:r>
        <w:t>41.32.2c Portes de garage à usage collectif sectionnelles en acier CCTB 01.10</w:t>
      </w:r>
      <w:bookmarkEnd w:id="153"/>
    </w:p>
    <w:p w14:paraId="66B73714" w14:textId="77777777" w:rsidR="00772179" w:rsidRDefault="00000000">
      <w:pPr>
        <w:pStyle w:val="pheading"/>
      </w:pPr>
      <w:r>
        <w:t>MATÉRIAUX</w:t>
      </w:r>
    </w:p>
    <w:p w14:paraId="1DC8D6CE" w14:textId="77777777" w:rsidR="00772179" w:rsidRDefault="00000000">
      <w:pPr>
        <w:pStyle w:val="pheading"/>
      </w:pPr>
      <w:r>
        <w:t>- Caractéristiques générales</w:t>
      </w:r>
    </w:p>
    <w:p w14:paraId="3CE55CD3" w14:textId="77777777" w:rsidR="00772179" w:rsidRDefault="00000000">
      <w:r>
        <w:t>Les sections se composent de :</w:t>
      </w:r>
    </w:p>
    <w:p w14:paraId="4626E923" w14:textId="77777777" w:rsidR="00772179" w:rsidRDefault="00000000">
      <w:r>
        <w:rPr>
          <w:rStyle w:val="optioncarChar"/>
        </w:rPr>
        <w:t xml:space="preserve">panneaux à double paroi en acier galvanisé </w:t>
      </w:r>
      <w:r>
        <w:t>(par défaut)</w:t>
      </w:r>
      <w:r>
        <w:rPr>
          <w:rStyle w:val="optioncarChar"/>
        </w:rPr>
        <w:t xml:space="preserve"> / autre</w:t>
      </w:r>
    </w:p>
    <w:p w14:paraId="5DCABF6D" w14:textId="77777777" w:rsidR="00772179" w:rsidRDefault="00000000">
      <w:r>
        <w:rPr>
          <w:b/>
        </w:rPr>
        <w:t>(soit par défaut</w:t>
      </w:r>
      <w:r>
        <w:t xml:space="preserve"> : </w:t>
      </w:r>
      <w:r>
        <w:rPr>
          <w:rStyle w:val="soitChar"/>
          <w:u w:val="single"/>
        </w:rPr>
        <w:t>panneaux à double paroi en acier galvanisé</w:t>
      </w:r>
      <w:r>
        <w:rPr>
          <w:rStyle w:val="soitChar"/>
        </w:rPr>
        <w:t>, ≥ 0,5 mm d'épaisseur et surface</w:t>
      </w:r>
      <w:r>
        <w:rPr>
          <w:rStyle w:val="optioncarChar"/>
        </w:rPr>
        <w:t xml:space="preserve"> structuré / plate, profilée horizontalement / pleine, </w:t>
      </w:r>
      <w:r>
        <w:rPr>
          <w:rStyle w:val="soitChar"/>
        </w:rPr>
        <w:t>remplis de mousse de PUR et revêtus d'une couche de peinture polyester synthétique. La valeur K du panneau plein ≤ 0,50 W/m² °K. Un joint central en néoprène est prévu entre les sections.</w:t>
      </w:r>
      <w:r>
        <w:br/>
      </w:r>
      <w:r>
        <w:rPr>
          <w:b/>
        </w:rPr>
        <w:t>(soit)</w:t>
      </w:r>
      <w:r>
        <w:t xml:space="preserve"> : </w:t>
      </w:r>
      <w:r>
        <w:rPr>
          <w:rStyle w:val="soitChar"/>
        </w:rPr>
        <w:t>autre</w:t>
      </w:r>
    </w:p>
    <w:p w14:paraId="461E9F06" w14:textId="77777777" w:rsidR="00772179" w:rsidRDefault="00000000">
      <w:pPr>
        <w:pStyle w:val="pheading"/>
      </w:pPr>
      <w:r>
        <w:t>EXÉCUTION / MISE EN ŒUVRE</w:t>
      </w:r>
    </w:p>
    <w:p w14:paraId="1FC78EA3" w14:textId="77777777" w:rsidR="00772179" w:rsidRDefault="00000000">
      <w:pPr>
        <w:pStyle w:val="pheading"/>
      </w:pPr>
      <w:r>
        <w:t>- Prescriptions générales</w:t>
      </w:r>
    </w:p>
    <w:p w14:paraId="45B7B471" w14:textId="77777777" w:rsidR="00772179" w:rsidRDefault="00000000">
      <w:r>
        <w:rPr>
          <w:rStyle w:val="optioncarChar"/>
        </w:rPr>
        <w:t xml:space="preserve">La porte est montée derrière une batée existante </w:t>
      </w:r>
      <w:r>
        <w:t>(par défaut)</w:t>
      </w:r>
      <w:r>
        <w:rPr>
          <w:rStyle w:val="optioncarChar"/>
        </w:rPr>
        <w:t> / Dans l’ouverture du jour</w:t>
      </w:r>
    </w:p>
    <w:p w14:paraId="339239DA" w14:textId="77777777" w:rsidR="00772179" w:rsidRDefault="00000000">
      <w:r>
        <w:rPr>
          <w:b/>
        </w:rPr>
        <w:t>(soit par défaut) )</w:t>
      </w:r>
      <w:r>
        <w:t xml:space="preserve"> : </w:t>
      </w:r>
      <w:r>
        <w:rPr>
          <w:rStyle w:val="soitChar"/>
          <w:u w:val="single"/>
        </w:rPr>
        <w:t>La porte est montée derrière une batée existante</w:t>
      </w:r>
      <w:r>
        <w:rPr>
          <w:rStyle w:val="soitChar"/>
        </w:rPr>
        <w:t>. La largeur de la batée est de </w:t>
      </w:r>
      <w:r>
        <w:rPr>
          <w:rStyle w:val="optioncarChar"/>
        </w:rPr>
        <w:t xml:space="preserve">*** </w:t>
      </w:r>
      <w:r>
        <w:rPr>
          <w:rStyle w:val="soitChar"/>
        </w:rPr>
        <w:t>mm. La hauteur du linteau est de </w:t>
      </w:r>
      <w:r>
        <w:rPr>
          <w:rStyle w:val="optioncarChar"/>
        </w:rPr>
        <w:t xml:space="preserve">*** </w:t>
      </w:r>
      <w:r>
        <w:t>mm.</w:t>
      </w:r>
      <w:r>
        <w:br/>
      </w:r>
      <w:r>
        <w:rPr>
          <w:b/>
        </w:rPr>
        <w:t>(soit )</w:t>
      </w:r>
      <w:r>
        <w:t xml:space="preserve"> : </w:t>
      </w:r>
      <w:r>
        <w:rPr>
          <w:rStyle w:val="soitChar"/>
          <w:u w:val="single"/>
        </w:rPr>
        <w:t>Dans l’ouverture du jour</w:t>
      </w:r>
      <w:r>
        <w:rPr>
          <w:rStyle w:val="soitChar"/>
        </w:rPr>
        <w:t>, on pose des profilés tubulaires</w:t>
      </w:r>
      <w:r>
        <w:rPr>
          <w:rStyle w:val="optioncarChar"/>
        </w:rPr>
        <w:t xml:space="preserve"> 120 x 60 / 160 x 60 / *** </w:t>
      </w:r>
      <w:r>
        <w:rPr>
          <w:rStyle w:val="soitChar"/>
        </w:rPr>
        <w:t>mm pour obtenir une batée suffisante.</w:t>
      </w:r>
    </w:p>
    <w:p w14:paraId="0BC24221" w14:textId="77777777" w:rsidR="00772179" w:rsidRDefault="00000000">
      <w:r>
        <w:t>Le raccordement entre le dormant et la joue de porte est obturé à l’aide d’un mastic à base de polysulfures, compris dans le présent article et conforme à la [STS 56]</w:t>
      </w:r>
    </w:p>
    <w:p w14:paraId="366FAEFA" w14:textId="77777777" w:rsidR="00772179" w:rsidRDefault="00000000">
      <w:pPr>
        <w:pStyle w:val="pheading"/>
      </w:pPr>
      <w:r>
        <w:t>MESURAGE</w:t>
      </w:r>
    </w:p>
    <w:p w14:paraId="75986F21" w14:textId="77777777" w:rsidR="00772179" w:rsidRDefault="00000000">
      <w:pPr>
        <w:pStyle w:val="pheading"/>
      </w:pPr>
      <w:r>
        <w:t>- unité de mesure:</w:t>
      </w:r>
    </w:p>
    <w:p w14:paraId="73EC3BAC" w14:textId="77777777" w:rsidR="00772179" w:rsidRDefault="00000000">
      <w:r>
        <w:t>pc</w:t>
      </w:r>
    </w:p>
    <w:p w14:paraId="48BA2AE6" w14:textId="77777777" w:rsidR="00772179" w:rsidRDefault="00000000">
      <w:pPr>
        <w:pStyle w:val="pheading"/>
      </w:pPr>
      <w:r>
        <w:t>- nature du marché:</w:t>
      </w:r>
    </w:p>
    <w:p w14:paraId="290C854F" w14:textId="77777777" w:rsidR="00772179" w:rsidRDefault="00000000">
      <w:r>
        <w:lastRenderedPageBreak/>
        <w:t>QF</w:t>
      </w:r>
    </w:p>
    <w:p w14:paraId="6062F3AD" w14:textId="77777777" w:rsidR="00772179" w:rsidRDefault="00000000">
      <w:pPr>
        <w:pStyle w:val="Author-eSectionHeading6Numberless"/>
      </w:pPr>
      <w:bookmarkStart w:id="154" w:name="_Toc220489899"/>
      <w:r>
        <w:t>41.32.2d Portes de garage à usage collectif sectionnelles en PVC</w:t>
      </w:r>
      <w:bookmarkEnd w:id="154"/>
    </w:p>
    <w:p w14:paraId="4F2B14BB" w14:textId="77777777" w:rsidR="00772179" w:rsidRDefault="00000000">
      <w:pPr>
        <w:pStyle w:val="Author-eSectionHeading6Numberless"/>
      </w:pPr>
      <w:bookmarkStart w:id="155" w:name="_Toc220489900"/>
      <w:r>
        <w:t>41.32.2e Portes de garage à usage collectif sectionnelles en verre</w:t>
      </w:r>
      <w:bookmarkEnd w:id="155"/>
    </w:p>
    <w:p w14:paraId="42C71E74" w14:textId="77777777" w:rsidR="00772179" w:rsidRDefault="00000000">
      <w:pPr>
        <w:pStyle w:val="Author-eSectionHeading6Numberless"/>
      </w:pPr>
      <w:bookmarkStart w:id="156" w:name="_Toc220489901"/>
      <w:r>
        <w:t>41.32.2f Portes de garage à usage collectif sectionnelles en matériaux composites CCTB 01.13</w:t>
      </w:r>
      <w:bookmarkEnd w:id="156"/>
    </w:p>
    <w:p w14:paraId="6BE81DC8" w14:textId="77777777" w:rsidR="00772179" w:rsidRDefault="00000000">
      <w:pPr>
        <w:pStyle w:val="pheading"/>
      </w:pPr>
      <w:r>
        <w:t>DESCRIPTION</w:t>
      </w:r>
    </w:p>
    <w:p w14:paraId="42CB7319" w14:textId="77777777" w:rsidR="00772179" w:rsidRDefault="00000000">
      <w:pPr>
        <w:pStyle w:val="pheading"/>
      </w:pPr>
      <w:r>
        <w:t>- Définition / Comprend</w:t>
      </w:r>
    </w:p>
    <w:p w14:paraId="120B6039" w14:textId="77777777" w:rsidR="00772179" w:rsidRDefault="00000000">
      <w:pPr>
        <w:jc w:val="both"/>
      </w:pPr>
      <w:r>
        <w:t>Il s’agit de la fourniture et la pose des portes de garage à usage collectif sectionnelles en matériaux composites. Tout panneau de remplissage composé d’une âme isolante est considéré comme matériau composite.</w:t>
      </w:r>
    </w:p>
    <w:p w14:paraId="597731E3" w14:textId="77777777" w:rsidR="00772179" w:rsidRDefault="00000000">
      <w:pPr>
        <w:jc w:val="both"/>
      </w:pPr>
      <w:r>
        <w:t>Une déclaration d'aptitude est imposée à ces produits suivant le chapitre 02.42.1 Critères d'acceptabilité. afin d'attester qu’ils soient conformes aux spécifications techniques.</w:t>
      </w:r>
    </w:p>
    <w:p w14:paraId="4CC1C0BC" w14:textId="77777777" w:rsidR="00772179" w:rsidRDefault="00000000">
      <w:pPr>
        <w:pStyle w:val="pheading"/>
      </w:pPr>
      <w:r>
        <w:t>- Localisation</w:t>
      </w:r>
    </w:p>
    <w:p w14:paraId="400BBC05" w14:textId="77777777" w:rsidR="00772179" w:rsidRDefault="00000000">
      <w:r>
        <w:t xml:space="preserve">La localisation des portes de garage est la suivante : </w:t>
      </w:r>
      <w:r>
        <w:rPr>
          <w:rStyle w:val="optioncarChar"/>
        </w:rPr>
        <w:t>***.</w:t>
      </w:r>
    </w:p>
    <w:p w14:paraId="1D38EFD9" w14:textId="77777777" w:rsidR="00772179" w:rsidRDefault="00000000">
      <w:r>
        <w:t>Voir plans et métrés détaillés</w:t>
      </w:r>
    </w:p>
    <w:p w14:paraId="2C561E1E" w14:textId="77777777" w:rsidR="00772179" w:rsidRDefault="00000000">
      <w:pPr>
        <w:pStyle w:val="pheading"/>
      </w:pPr>
      <w:r>
        <w:t>MATÉRIAUX</w:t>
      </w:r>
    </w:p>
    <w:p w14:paraId="7ECE26E8" w14:textId="77777777" w:rsidR="00772179" w:rsidRDefault="00000000">
      <w:pPr>
        <w:pStyle w:val="pheading"/>
      </w:pPr>
      <w:r>
        <w:t>- Caractéristiques générales</w:t>
      </w:r>
    </w:p>
    <w:p w14:paraId="45B79375" w14:textId="77777777" w:rsidR="00772179" w:rsidRDefault="00000000">
      <w:pPr>
        <w:jc w:val="both"/>
      </w:pPr>
      <w:r>
        <w:t>Les portes de garages collectives sont composées de plusieurs éléments regroupés comme suit :</w:t>
      </w:r>
    </w:p>
    <w:p w14:paraId="2EA0CF0A" w14:textId="77777777" w:rsidR="00772179" w:rsidRDefault="00000000">
      <w:pPr>
        <w:pStyle w:val="Author-eListParagraph"/>
        <w:numPr>
          <w:ilvl w:val="0"/>
          <w:numId w:val="427"/>
        </w:numPr>
      </w:pPr>
      <w:r>
        <w:t>Les panneaux du tablier de porte sectionnelle formant le tablier de la porte</w:t>
      </w:r>
    </w:p>
    <w:p w14:paraId="6A337CCF" w14:textId="77777777" w:rsidR="00772179" w:rsidRDefault="00000000">
      <w:pPr>
        <w:pStyle w:val="Author-eListParagraph"/>
        <w:numPr>
          <w:ilvl w:val="0"/>
          <w:numId w:val="427"/>
        </w:numPr>
      </w:pPr>
      <w:r>
        <w:t>Les dispositifs de guidages et de support des portes sectionnelles</w:t>
      </w:r>
    </w:p>
    <w:p w14:paraId="54480AA8" w14:textId="77777777" w:rsidR="00772179" w:rsidRDefault="00000000">
      <w:pPr>
        <w:pStyle w:val="Author-eListParagraph"/>
        <w:numPr>
          <w:ilvl w:val="0"/>
          <w:numId w:val="427"/>
        </w:numPr>
      </w:pPr>
      <w:r>
        <w:t>Le dispositif d’entrainement et le dispositif de compensation (ressorts ou contrepoids)</w:t>
      </w:r>
    </w:p>
    <w:p w14:paraId="6ACDB9BA" w14:textId="77777777" w:rsidR="00772179" w:rsidRDefault="00000000">
      <w:pPr>
        <w:pStyle w:val="Author-eListParagraph"/>
        <w:numPr>
          <w:ilvl w:val="0"/>
          <w:numId w:val="427"/>
        </w:numPr>
      </w:pPr>
      <w:r>
        <w:t>Le moteur</w:t>
      </w:r>
    </w:p>
    <w:p w14:paraId="715B0795" w14:textId="77777777" w:rsidR="00772179" w:rsidRDefault="00000000">
      <w:pPr>
        <w:pStyle w:val="Author-eListParagraph"/>
        <w:numPr>
          <w:ilvl w:val="0"/>
          <w:numId w:val="427"/>
        </w:numPr>
      </w:pPr>
      <w:r>
        <w:t>Les accessoires d’étanchéité et de sécurité.</w:t>
      </w:r>
      <w:r>
        <w:br/>
      </w:r>
    </w:p>
    <w:p w14:paraId="4C3ED870" w14:textId="77777777" w:rsidR="00772179" w:rsidRDefault="00000000">
      <w:pPr>
        <w:jc w:val="both"/>
      </w:pPr>
      <w:r>
        <w:rPr>
          <w:b/>
          <w:u w:val="single"/>
        </w:rPr>
        <w:t>1. Les panneaux</w:t>
      </w:r>
    </w:p>
    <w:p w14:paraId="22021D87" w14:textId="77777777" w:rsidR="00772179" w:rsidRDefault="00000000">
      <w:pPr>
        <w:jc w:val="both"/>
      </w:pPr>
      <w:r>
        <w:t>Le tablier d’une porte de garage sectionnelle est composé de panneaux sandwich placés horizontalement, reliés les uns aux autres à l’aide de charnières.</w:t>
      </w:r>
    </w:p>
    <w:p w14:paraId="4633798B" w14:textId="77777777" w:rsidR="00772179" w:rsidRDefault="00000000">
      <w:pPr>
        <w:jc w:val="both"/>
      </w:pPr>
      <w:r>
        <w:t>La longueur des panneaux est adaptée à la dimension de la porte afin de minimiser l’encombrement des guides latéraux.</w:t>
      </w:r>
    </w:p>
    <w:p w14:paraId="3FCA977F" w14:textId="77777777" w:rsidR="00772179" w:rsidRDefault="00000000">
      <w:pPr>
        <w:jc w:val="both"/>
      </w:pPr>
      <w:r>
        <w:t xml:space="preserve">La largeur (aussi appelée hauteur) des panneaux est de </w:t>
      </w:r>
      <w:r>
        <w:rPr>
          <w:rStyle w:val="optioncarChar"/>
        </w:rPr>
        <w:t>500</w:t>
      </w:r>
      <w:r>
        <w:t xml:space="preserve"> (par défaut) </w:t>
      </w:r>
      <w:r>
        <w:rPr>
          <w:rStyle w:val="optioncarChar"/>
        </w:rPr>
        <w:t>/ ***</w:t>
      </w:r>
      <w:r>
        <w:t xml:space="preserve"> mm.</w:t>
      </w:r>
    </w:p>
    <w:p w14:paraId="5A22C059" w14:textId="77777777" w:rsidR="00772179" w:rsidRDefault="00000000">
      <w:pPr>
        <w:jc w:val="both"/>
      </w:pPr>
      <w:r>
        <w:t>La hauteur du panneau supérieur est adaptée pour obtenir la hauteur de la porte sectionnelle.</w:t>
      </w:r>
    </w:p>
    <w:p w14:paraId="0239EEAD" w14:textId="77777777" w:rsidR="00772179" w:rsidRDefault="00000000">
      <w:pPr>
        <w:jc w:val="both"/>
      </w:pPr>
      <w:r>
        <w:t>En fonction des dimensions et des exigences des performances de résistance au vent ou de sécurité, les renforts sont proposés par l’entrepreneur.</w:t>
      </w:r>
    </w:p>
    <w:p w14:paraId="03861C3F" w14:textId="77777777" w:rsidR="00772179" w:rsidRDefault="00000000">
      <w:pPr>
        <w:jc w:val="both"/>
      </w:pPr>
      <w:r>
        <w:t xml:space="preserve">Les renforts sont </w:t>
      </w:r>
      <w:r>
        <w:rPr>
          <w:rStyle w:val="optioncarChar"/>
        </w:rPr>
        <w:t xml:space="preserve">en acier galvanisé </w:t>
      </w:r>
      <w:r>
        <w:t>(par défaut)</w:t>
      </w:r>
      <w:r>
        <w:rPr>
          <w:rStyle w:val="optioncarChar"/>
        </w:rPr>
        <w:t xml:space="preserve"> / acier laqué de couleur : *** / aluminium / inox / ***</w:t>
      </w:r>
      <w:r>
        <w:t>.</w:t>
      </w:r>
    </w:p>
    <w:p w14:paraId="4AF6559C" w14:textId="77777777" w:rsidR="00772179" w:rsidRDefault="00000000">
      <w:pPr>
        <w:jc w:val="both"/>
      </w:pPr>
      <w:r>
        <w:t>Ils sont fixés sur les panneaux mais n’empêchent pas le respect des exigences de sécurité d’utilisation ni de durabilité de la porte.</w:t>
      </w:r>
    </w:p>
    <w:p w14:paraId="673F1F65" w14:textId="77777777" w:rsidR="00772179" w:rsidRDefault="00000000">
      <w:pPr>
        <w:jc w:val="both"/>
      </w:pPr>
      <w:r>
        <w:t xml:space="preserve">Le panneau inférieur est muni d’un </w:t>
      </w:r>
      <w:r>
        <w:rPr>
          <w:rStyle w:val="optioncarChar"/>
        </w:rPr>
        <w:t xml:space="preserve">préformé synthétique creux </w:t>
      </w:r>
      <w:r>
        <w:t>(par défaut)</w:t>
      </w:r>
      <w:r>
        <w:rPr>
          <w:rStyle w:val="optioncarChar"/>
        </w:rPr>
        <w:t xml:space="preserve"> / ***</w:t>
      </w:r>
      <w:r>
        <w:t>.</w:t>
      </w:r>
    </w:p>
    <w:p w14:paraId="7BA45F86" w14:textId="77777777" w:rsidR="00772179" w:rsidRDefault="00000000">
      <w:pPr>
        <w:jc w:val="both"/>
      </w:pPr>
      <w:r>
        <w:t xml:space="preserve">L’épaisseur des panneaux sandwich est de </w:t>
      </w:r>
      <w:r>
        <w:rPr>
          <w:rStyle w:val="optioncarChar"/>
        </w:rPr>
        <w:t xml:space="preserve">40 </w:t>
      </w:r>
      <w:r>
        <w:t xml:space="preserve">(par défaut) </w:t>
      </w:r>
      <w:r>
        <w:rPr>
          <w:rStyle w:val="optioncarChar"/>
        </w:rPr>
        <w:t>/ ***</w:t>
      </w:r>
      <w:r>
        <w:t xml:space="preserve"> mm.</w:t>
      </w:r>
    </w:p>
    <w:p w14:paraId="6BF17EDB" w14:textId="77777777" w:rsidR="00772179" w:rsidRDefault="00000000">
      <w:pPr>
        <w:jc w:val="both"/>
      </w:pPr>
      <w:r>
        <w:rPr>
          <w:i/>
          <w:u w:val="single"/>
        </w:rPr>
        <w:t>Ame Isolante des panneaux</w:t>
      </w:r>
    </w:p>
    <w:p w14:paraId="2A9C760B" w14:textId="77777777" w:rsidR="00772179" w:rsidRDefault="00000000">
      <w:pPr>
        <w:jc w:val="both"/>
      </w:pPr>
      <w:r>
        <w:t xml:space="preserve">Le matériau de l’âme isolante est : </w:t>
      </w:r>
      <w:r>
        <w:rPr>
          <w:rStyle w:val="optioncarChar"/>
        </w:rPr>
        <w:t xml:space="preserve">le polyisocyanurate </w:t>
      </w:r>
      <w:r>
        <w:t xml:space="preserve">(par défaut) </w:t>
      </w:r>
      <w:r>
        <w:rPr>
          <w:rStyle w:val="optioncarChar"/>
        </w:rPr>
        <w:t>/ le polyuréthane rigide / le polystyrène expansé / la mousse de polystyrène extrudé / la mousse phénolique / le verre cellulaire / la laine minérale / ***</w:t>
      </w:r>
      <w:r>
        <w:t>.</w:t>
      </w:r>
    </w:p>
    <w:p w14:paraId="4F695FC8" w14:textId="77777777" w:rsidR="00772179" w:rsidRDefault="00000000">
      <w:pPr>
        <w:jc w:val="both"/>
      </w:pPr>
      <w:r>
        <w:rPr>
          <w:i/>
          <w:u w:val="single"/>
        </w:rPr>
        <w:t>Parements des panneaux</w:t>
      </w:r>
    </w:p>
    <w:p w14:paraId="188C690E" w14:textId="77777777" w:rsidR="00772179" w:rsidRDefault="00000000">
      <w:pPr>
        <w:jc w:val="both"/>
      </w:pPr>
      <w:r>
        <w:lastRenderedPageBreak/>
        <w:t>Les parements ont les caractéristiques suivantes  :</w:t>
      </w:r>
    </w:p>
    <w:p w14:paraId="5DA6F90E" w14:textId="77777777" w:rsidR="00772179" w:rsidRDefault="00000000">
      <w:pPr>
        <w:pStyle w:val="Author-eListParagraph"/>
        <w:numPr>
          <w:ilvl w:val="0"/>
          <w:numId w:val="428"/>
        </w:numPr>
      </w:pPr>
      <w:r>
        <w:t xml:space="preserve">Epaisseur du parement intérieur (côté chaud) : </w:t>
      </w:r>
      <w:r>
        <w:rPr>
          <w:rStyle w:val="optioncarChar"/>
        </w:rPr>
        <w:t xml:space="preserve">0.4 </w:t>
      </w:r>
      <w:r>
        <w:t xml:space="preserve">(par défaut) </w:t>
      </w:r>
      <w:r>
        <w:rPr>
          <w:rStyle w:val="optioncarChar"/>
        </w:rPr>
        <w:t xml:space="preserve">/ *** </w:t>
      </w:r>
      <w:r>
        <w:t>mm</w:t>
      </w:r>
    </w:p>
    <w:p w14:paraId="69AD660D" w14:textId="77777777" w:rsidR="00772179" w:rsidRDefault="00000000">
      <w:pPr>
        <w:pStyle w:val="Author-eListParagraph"/>
        <w:numPr>
          <w:ilvl w:val="0"/>
          <w:numId w:val="428"/>
        </w:numPr>
      </w:pPr>
      <w:r>
        <w:t xml:space="preserve">Epaisseur du parement extérieur (côté froid) : </w:t>
      </w:r>
      <w:r>
        <w:rPr>
          <w:rStyle w:val="optioncarChar"/>
        </w:rPr>
        <w:t xml:space="preserve">0.5 </w:t>
      </w:r>
      <w:r>
        <w:t>(par défaut)</w:t>
      </w:r>
      <w:r>
        <w:rPr>
          <w:rStyle w:val="optioncarChar"/>
        </w:rPr>
        <w:t xml:space="preserve"> / *** </w:t>
      </w:r>
      <w:r>
        <w:t>mm.</w:t>
      </w:r>
    </w:p>
    <w:p w14:paraId="3C30E401" w14:textId="77777777" w:rsidR="00772179" w:rsidRDefault="00000000">
      <w:pPr>
        <w:jc w:val="both"/>
      </w:pPr>
      <w:r>
        <w:t xml:space="preserve">Le parement intérieur est </w:t>
      </w:r>
      <w:r>
        <w:rPr>
          <w:rStyle w:val="optioncarChar"/>
        </w:rPr>
        <w:t xml:space="preserve">plan </w:t>
      </w:r>
      <w:r>
        <w:t>(par défaut)</w:t>
      </w:r>
      <w:r>
        <w:rPr>
          <w:rStyle w:val="optioncarChar"/>
        </w:rPr>
        <w:t xml:space="preserve"> / plan texturé de type *** / constitué de plaques d’acier dotées d’un profilage optique de type *** / ***</w:t>
      </w:r>
      <w:r>
        <w:t>.</w:t>
      </w:r>
    </w:p>
    <w:p w14:paraId="3AA7C7B1" w14:textId="77777777" w:rsidR="00772179" w:rsidRDefault="00000000">
      <w:pPr>
        <w:jc w:val="both"/>
      </w:pPr>
      <w:r>
        <w:t xml:space="preserve">Le parement extérieur est </w:t>
      </w:r>
      <w:r>
        <w:rPr>
          <w:rStyle w:val="optioncarChar"/>
        </w:rPr>
        <w:t xml:space="preserve">plan </w:t>
      </w:r>
      <w:r>
        <w:t xml:space="preserve">(par défaut) </w:t>
      </w:r>
      <w:r>
        <w:rPr>
          <w:rStyle w:val="optioncarChar"/>
        </w:rPr>
        <w:t>/ plan texturé de type *** / constitué de plaques d’acier dotées d’un profilage optique de type *** / ***</w:t>
      </w:r>
      <w:r>
        <w:t>.</w:t>
      </w:r>
    </w:p>
    <w:p w14:paraId="51A49629" w14:textId="77777777" w:rsidR="00772179" w:rsidRDefault="00000000">
      <w:pPr>
        <w:jc w:val="both"/>
      </w:pPr>
      <w:r>
        <w:t>Les parements du panneau sont composés</w:t>
      </w:r>
      <w:r>
        <w:rPr>
          <w:rStyle w:val="optioncarChar"/>
        </w:rPr>
        <w:t xml:space="preserve"> d’acier </w:t>
      </w:r>
      <w:r>
        <w:t xml:space="preserve">(par défaut) </w:t>
      </w:r>
      <w:r>
        <w:rPr>
          <w:rStyle w:val="optioncarChar"/>
        </w:rPr>
        <w:t>/ d’aluminium / d’acier inoxydable / de bois / de matériau synthétique / ***</w:t>
      </w:r>
      <w:r>
        <w:t>.</w:t>
      </w:r>
    </w:p>
    <w:p w14:paraId="322179F6" w14:textId="77777777" w:rsidR="00772179" w:rsidRDefault="00000000">
      <w:pPr>
        <w:ind w:left="567"/>
        <w:jc w:val="both"/>
      </w:pPr>
      <w:r>
        <w:rPr>
          <w:b/>
          <w:i/>
        </w:rPr>
        <w:t>(soit par défaut)</w:t>
      </w:r>
    </w:p>
    <w:p w14:paraId="4950AEC1" w14:textId="77777777" w:rsidR="00772179" w:rsidRDefault="00000000">
      <w:pPr>
        <w:ind w:left="567"/>
        <w:jc w:val="both"/>
      </w:pPr>
      <w:r>
        <w:rPr>
          <w:b/>
          <w:i/>
        </w:rPr>
        <w:t> </w:t>
      </w:r>
    </w:p>
    <w:p w14:paraId="374CFA88" w14:textId="77777777" w:rsidR="00772179" w:rsidRDefault="00000000">
      <w:pPr>
        <w:ind w:left="567"/>
        <w:jc w:val="both"/>
      </w:pPr>
      <w:r>
        <w:rPr>
          <w:rStyle w:val="soitChar"/>
          <w:u w:val="single"/>
        </w:rPr>
        <w:t>Acier :</w:t>
      </w:r>
      <w:r>
        <w:rPr>
          <w:rStyle w:val="soitChar"/>
        </w:rPr>
        <w:t xml:space="preserve"> conforme à la [NBN EN 10346], il possède une limite d'élasticité ≥ </w:t>
      </w:r>
      <w:r>
        <w:rPr>
          <w:rStyle w:val="optioncarChar"/>
        </w:rPr>
        <w:t>220</w:t>
      </w:r>
      <w:r>
        <w:t xml:space="preserve"> (par défaut) </w:t>
      </w:r>
      <w:r>
        <w:rPr>
          <w:rStyle w:val="optioncarChar"/>
        </w:rPr>
        <w:t>/ *** </w:t>
      </w:r>
      <w:r>
        <w:rPr>
          <w:rStyle w:val="soitChar"/>
        </w:rPr>
        <w:t xml:space="preserve">N/mm².  Les tôles d’acier avec un revêtement organique sont conformes aux exigences de la [NBN EN 10169]. Les revêtements multicouches sont conformes à la [NBN EN 508-1]. L’acier galvanisé est de classe </w:t>
      </w:r>
      <w:r>
        <w:rPr>
          <w:rStyle w:val="optioncarChar"/>
        </w:rPr>
        <w:t>Z225 / Z275 / ***</w:t>
      </w:r>
      <w:r>
        <w:rPr>
          <w:rStyle w:val="soitChar"/>
        </w:rPr>
        <w:t>.</w:t>
      </w:r>
    </w:p>
    <w:p w14:paraId="1F33F3C6" w14:textId="77777777" w:rsidR="00772179" w:rsidRDefault="00000000">
      <w:pPr>
        <w:ind w:left="567"/>
        <w:jc w:val="both"/>
      </w:pPr>
      <w:r>
        <w:rPr>
          <w:rStyle w:val="soitChar"/>
        </w:rPr>
        <w:t>L'épaisseur des tôles de parement en acier est déterminée conformément à la [NBN EN 10143]. L’épaisseur du film de protection de l’envers de bande des parements métalliques est ≥ 50 g/m².</w:t>
      </w:r>
    </w:p>
    <w:p w14:paraId="271BA788" w14:textId="77777777" w:rsidR="00772179" w:rsidRDefault="00000000">
      <w:pPr>
        <w:ind w:left="567"/>
        <w:jc w:val="both"/>
      </w:pPr>
      <w:r>
        <w:rPr>
          <w:b/>
          <w:i/>
        </w:rPr>
        <w:t>(soit) </w:t>
      </w:r>
    </w:p>
    <w:p w14:paraId="6AF6D383" w14:textId="77777777" w:rsidR="00772179" w:rsidRDefault="00772179">
      <w:pPr>
        <w:ind w:left="567"/>
        <w:jc w:val="both"/>
      </w:pPr>
    </w:p>
    <w:p w14:paraId="1A1D30E5" w14:textId="77777777" w:rsidR="00772179" w:rsidRDefault="00000000">
      <w:pPr>
        <w:ind w:left="567"/>
        <w:jc w:val="both"/>
      </w:pPr>
      <w:r>
        <w:rPr>
          <w:rStyle w:val="soitChar"/>
          <w:u w:val="single"/>
        </w:rPr>
        <w:t>Aluminium :</w:t>
      </w:r>
      <w:r>
        <w:rPr>
          <w:rStyle w:val="soitChar"/>
        </w:rPr>
        <w:t xml:space="preserve"> conforme à la [NBN EN 485-2:2016+A1] ou [NBN EN 1396], il possède une limite d'élasticité ≥ </w:t>
      </w:r>
      <w:r>
        <w:rPr>
          <w:rStyle w:val="optioncarChar"/>
        </w:rPr>
        <w:t>140</w:t>
      </w:r>
      <w:r>
        <w:t xml:space="preserve"> (par défaut) </w:t>
      </w:r>
      <w:r>
        <w:rPr>
          <w:rStyle w:val="optioncarChar"/>
        </w:rPr>
        <w:t>/ *** </w:t>
      </w:r>
      <w:r>
        <w:rPr>
          <w:rStyle w:val="soitChar"/>
        </w:rPr>
        <w:t>N/mm². L'épaisseur des tôles de parement en aluminium est déterminée conformément à la [NBN EN 485-4] ou [NBN EN 1396].</w:t>
      </w:r>
    </w:p>
    <w:p w14:paraId="6CE96EAC" w14:textId="77777777" w:rsidR="00772179" w:rsidRDefault="00000000">
      <w:pPr>
        <w:ind w:left="567"/>
        <w:jc w:val="both"/>
      </w:pPr>
      <w:r>
        <w:rPr>
          <w:b/>
          <w:i/>
        </w:rPr>
        <w:t>(soit) </w:t>
      </w:r>
    </w:p>
    <w:p w14:paraId="5247A023" w14:textId="77777777" w:rsidR="00772179" w:rsidRDefault="00772179">
      <w:pPr>
        <w:ind w:left="567"/>
        <w:jc w:val="both"/>
      </w:pPr>
    </w:p>
    <w:p w14:paraId="20D74F09" w14:textId="77777777" w:rsidR="00772179" w:rsidRDefault="00000000">
      <w:pPr>
        <w:ind w:left="567"/>
        <w:jc w:val="both"/>
      </w:pPr>
      <w:r>
        <w:rPr>
          <w:rStyle w:val="soitChar"/>
          <w:u w:val="single"/>
        </w:rPr>
        <w:t>Acier inoxydable</w:t>
      </w:r>
      <w:r>
        <w:rPr>
          <w:rStyle w:val="soitChar"/>
        </w:rPr>
        <w:t xml:space="preserve"> : de type </w:t>
      </w:r>
      <w:r>
        <w:rPr>
          <w:rStyle w:val="optioncarChar"/>
        </w:rPr>
        <w:t>non spécifié</w:t>
      </w:r>
      <w:r>
        <w:t xml:space="preserve"> (par défaut) </w:t>
      </w:r>
      <w:r>
        <w:rPr>
          <w:rStyle w:val="optioncarChar"/>
        </w:rPr>
        <w:t>/ ***</w:t>
      </w:r>
      <w:r>
        <w:rPr>
          <w:rStyle w:val="soitChar"/>
        </w:rPr>
        <w:t xml:space="preserve"> conforme à la [NBN EN 10088-1], il possède une limite d'élasticité ≥ </w:t>
      </w:r>
      <w:r>
        <w:rPr>
          <w:rStyle w:val="optioncarChar"/>
        </w:rPr>
        <w:t>220</w:t>
      </w:r>
      <w:r>
        <w:t xml:space="preserve"> (par défaut) </w:t>
      </w:r>
      <w:r>
        <w:rPr>
          <w:rStyle w:val="optioncarChar"/>
        </w:rPr>
        <w:t>/ ***</w:t>
      </w:r>
      <w:r>
        <w:rPr>
          <w:rStyle w:val="soitChar"/>
        </w:rPr>
        <w:t xml:space="preserve"> N/mm². L'épaisseur des tôles de parement en acier inoxydable est déterminée conformément à la [NBN EN ISO 9445 série].</w:t>
      </w:r>
    </w:p>
    <w:p w14:paraId="7EFFCA75" w14:textId="77777777" w:rsidR="00772179" w:rsidRDefault="00000000">
      <w:pPr>
        <w:ind w:left="567"/>
        <w:jc w:val="both"/>
      </w:pPr>
      <w:r>
        <w:rPr>
          <w:b/>
          <w:i/>
        </w:rPr>
        <w:t>(Soit) </w:t>
      </w:r>
    </w:p>
    <w:p w14:paraId="3606E191" w14:textId="77777777" w:rsidR="00772179" w:rsidRDefault="00772179">
      <w:pPr>
        <w:ind w:left="567"/>
        <w:jc w:val="both"/>
      </w:pPr>
    </w:p>
    <w:p w14:paraId="41084347" w14:textId="77777777" w:rsidR="00772179" w:rsidRDefault="00000000">
      <w:pPr>
        <w:ind w:left="567"/>
        <w:jc w:val="both"/>
      </w:pPr>
      <w:r>
        <w:rPr>
          <w:rStyle w:val="soitChar"/>
          <w:u w:val="single"/>
        </w:rPr>
        <w:t>Bois:</w:t>
      </w:r>
      <w:r>
        <w:rPr>
          <w:rStyle w:val="soitChar"/>
        </w:rPr>
        <w:t xml:space="preserve"> de type </w:t>
      </w:r>
      <w:r>
        <w:rPr>
          <w:rStyle w:val="optioncarChar"/>
        </w:rPr>
        <w:t>contreplaqué</w:t>
      </w:r>
      <w:r>
        <w:t xml:space="preserve"> (par défaut) </w:t>
      </w:r>
      <w:r>
        <w:rPr>
          <w:rStyle w:val="optioncarChar"/>
        </w:rPr>
        <w:t>/ panneau de particule / planchettes d’essence de bois  *** / ***</w:t>
      </w:r>
      <w:r>
        <w:rPr>
          <w:rStyle w:val="soitChar"/>
        </w:rPr>
        <w:t xml:space="preserve">. Le parement en bois et son collage sont choisis pour résister au vieillissement tel que spécifié dans la [NBN EN 321]. L’essence de bois sur le parement extérieur est de classe de durabilité naturelle 1 ou 2 ou supérieure et à donc reçu un traitement de préservation de type </w:t>
      </w:r>
      <w:r>
        <w:rPr>
          <w:rStyle w:val="optioncarChar"/>
        </w:rPr>
        <w:t>C1</w:t>
      </w:r>
      <w:r>
        <w:t xml:space="preserve"> (par défaut) </w:t>
      </w:r>
      <w:r>
        <w:rPr>
          <w:rStyle w:val="optioncarChar"/>
        </w:rPr>
        <w:t>/ ***.</w:t>
      </w:r>
      <w:r>
        <w:t xml:space="preserve">  </w:t>
      </w:r>
    </w:p>
    <w:p w14:paraId="7509DF32" w14:textId="77777777" w:rsidR="00772179" w:rsidRDefault="00000000">
      <w:pPr>
        <w:ind w:left="567"/>
        <w:jc w:val="both"/>
      </w:pPr>
      <w:r>
        <w:rPr>
          <w:b/>
          <w:i/>
        </w:rPr>
        <w:t>(Soit)</w:t>
      </w:r>
    </w:p>
    <w:p w14:paraId="16C46A4B" w14:textId="77777777" w:rsidR="00772179" w:rsidRDefault="00772179">
      <w:pPr>
        <w:ind w:left="567"/>
        <w:jc w:val="both"/>
      </w:pPr>
    </w:p>
    <w:p w14:paraId="082E6CBB" w14:textId="77777777" w:rsidR="00772179" w:rsidRDefault="00000000">
      <w:pPr>
        <w:ind w:left="567"/>
        <w:jc w:val="both"/>
      </w:pPr>
      <w:r>
        <w:rPr>
          <w:rStyle w:val="soitChar"/>
          <w:u w:val="single"/>
        </w:rPr>
        <w:t>Matériau synthétique</w:t>
      </w:r>
      <w:r>
        <w:rPr>
          <w:rStyle w:val="soitChar"/>
        </w:rPr>
        <w:t xml:space="preserve"> : de type </w:t>
      </w:r>
      <w:r>
        <w:rPr>
          <w:rStyle w:val="optioncarChar"/>
        </w:rPr>
        <w:t>PVC</w:t>
      </w:r>
      <w:r>
        <w:t xml:space="preserve"> (par défaut) </w:t>
      </w:r>
      <w:r>
        <w:rPr>
          <w:rStyle w:val="optioncarChar"/>
        </w:rPr>
        <w:t>/ HPL stratifié / ***</w:t>
      </w:r>
      <w:r>
        <w:rPr>
          <w:rStyle w:val="soitChar"/>
        </w:rPr>
        <w:t>.  La surface spéciale est très résistante aux UV.</w:t>
      </w:r>
      <w:r>
        <w:t> </w:t>
      </w:r>
    </w:p>
    <w:p w14:paraId="780DFF39" w14:textId="77777777" w:rsidR="00772179" w:rsidRDefault="00000000">
      <w:pPr>
        <w:jc w:val="both"/>
      </w:pPr>
      <w:r>
        <w:t xml:space="preserve">Les charnières entre panneaux sont constituées en </w:t>
      </w:r>
      <w:r>
        <w:rPr>
          <w:rStyle w:val="optioncarChar"/>
        </w:rPr>
        <w:t xml:space="preserve">acier galvanisé </w:t>
      </w:r>
      <w:r>
        <w:t>(par défaut)</w:t>
      </w:r>
      <w:r>
        <w:rPr>
          <w:rStyle w:val="optioncarChar"/>
        </w:rPr>
        <w:t xml:space="preserve"> / </w:t>
      </w:r>
      <w:r>
        <w:t>acier laqué de couleur</w:t>
      </w:r>
      <w:r>
        <w:rPr>
          <w:rStyle w:val="optioncarChar"/>
        </w:rPr>
        <w:t xml:space="preserve"> *** / alliage aluminium sans finition / ***</w:t>
      </w:r>
      <w:r>
        <w:t>.</w:t>
      </w:r>
    </w:p>
    <w:p w14:paraId="4C051DE0" w14:textId="77777777" w:rsidR="00772179" w:rsidRDefault="00000000">
      <w:pPr>
        <w:jc w:val="both"/>
      </w:pPr>
      <w:r>
        <w:t>Les bords des panneaux sont munis de profils et contre profils permettant de garantir l’étanchéité du tablier de porte et d’éviter les risques de sécurité d’utilisation (pince-doigts, ...).</w:t>
      </w:r>
    </w:p>
    <w:p w14:paraId="7B57F110" w14:textId="77777777" w:rsidR="00772179" w:rsidRDefault="00000000">
      <w:pPr>
        <w:jc w:val="both"/>
      </w:pPr>
      <w:r>
        <w:t>Les extrémités des panneaux sont munies d’un profils de protection.</w:t>
      </w:r>
    </w:p>
    <w:p w14:paraId="77C7F915" w14:textId="77777777" w:rsidR="00772179" w:rsidRDefault="00000000">
      <w:pPr>
        <w:jc w:val="both"/>
      </w:pPr>
      <w:r>
        <w:t xml:space="preserve">Le panneau situé à une hauteur de </w:t>
      </w:r>
      <w:r>
        <w:rPr>
          <w:rStyle w:val="optioncarChar"/>
        </w:rPr>
        <w:t>***</w:t>
      </w:r>
      <w:r>
        <w:t xml:space="preserve"> mm est muni d’un élément muni </w:t>
      </w:r>
      <w:r>
        <w:rPr>
          <w:rStyle w:val="optioncarChar"/>
        </w:rPr>
        <w:t xml:space="preserve">d’un vitrage </w:t>
      </w:r>
      <w:r>
        <w:t>(par défaut)</w:t>
      </w:r>
      <w:r>
        <w:rPr>
          <w:rStyle w:val="optioncarChar"/>
        </w:rPr>
        <w:t xml:space="preserve"> / d’un élément translucide synthétique / ***</w:t>
      </w:r>
      <w:r>
        <w:t>.</w:t>
      </w:r>
    </w:p>
    <w:p w14:paraId="4DAB87A6" w14:textId="77777777" w:rsidR="00772179" w:rsidRDefault="00772179">
      <w:pPr>
        <w:jc w:val="both"/>
      </w:pPr>
    </w:p>
    <w:p w14:paraId="487FD03C" w14:textId="77777777" w:rsidR="00772179" w:rsidRDefault="00772179">
      <w:pPr>
        <w:jc w:val="both"/>
      </w:pPr>
    </w:p>
    <w:p w14:paraId="6A645AF9" w14:textId="77777777" w:rsidR="00772179" w:rsidRDefault="00000000">
      <w:pPr>
        <w:jc w:val="both"/>
      </w:pPr>
      <w:r>
        <w:rPr>
          <w:b/>
          <w:u w:val="single"/>
        </w:rPr>
        <w:t>2. Les dispositifs de guidages</w:t>
      </w:r>
    </w:p>
    <w:p w14:paraId="2702DFBF" w14:textId="77777777" w:rsidR="00772179" w:rsidRDefault="00000000">
      <w:pPr>
        <w:jc w:val="both"/>
      </w:pPr>
      <w:r>
        <w:t xml:space="preserve">Les guides latéraux (verticaux, horizontaux et courbes) sont </w:t>
      </w:r>
      <w:r>
        <w:rPr>
          <w:rStyle w:val="optioncarChar"/>
        </w:rPr>
        <w:t xml:space="preserve">en acier (Z) zingué à chaud </w:t>
      </w:r>
      <w:r>
        <w:t xml:space="preserve">(par défaut) </w:t>
      </w:r>
      <w:r>
        <w:rPr>
          <w:rStyle w:val="optioncarChar"/>
        </w:rPr>
        <w:t>/ en acier (ZA) zingué à chaud avec 5 % aluminium/ en acier (AZ) zingué à chaud avec 50 % aluminium / aluminisé à chaud (A) / Phosphaté zingué / Chromaté zingué/ multicouche (ML) conformément à la [NBN EN 508-2] / ***</w:t>
      </w:r>
      <w:r>
        <w:t>.</w:t>
      </w:r>
    </w:p>
    <w:p w14:paraId="344E5B55" w14:textId="77777777" w:rsidR="00772179" w:rsidRDefault="00000000">
      <w:pPr>
        <w:jc w:val="both"/>
      </w:pPr>
      <w:r>
        <w:t xml:space="preserve">Les guides sont fixés à l’aide </w:t>
      </w:r>
      <w:r>
        <w:rPr>
          <w:rStyle w:val="optioncarChar"/>
        </w:rPr>
        <w:t xml:space="preserve">de dispositifs rigides </w:t>
      </w:r>
      <w:r>
        <w:t xml:space="preserve">(par défaut) </w:t>
      </w:r>
      <w:r>
        <w:rPr>
          <w:rStyle w:val="optioncarChar"/>
        </w:rPr>
        <w:t>/ de dispositifs permettant la reprise des vibrations / ***</w:t>
      </w:r>
      <w:r>
        <w:t>.</w:t>
      </w:r>
    </w:p>
    <w:p w14:paraId="3D12A784" w14:textId="77777777" w:rsidR="00772179" w:rsidRDefault="00000000">
      <w:pPr>
        <w:jc w:val="both"/>
      </w:pPr>
      <w:r>
        <w:t>Les guides et les dispositifs de roulement sont compatibles et permette le déplacement du tablier de porte selon les exigences.</w:t>
      </w:r>
    </w:p>
    <w:p w14:paraId="0FB1526A" w14:textId="77777777" w:rsidR="00772179" w:rsidRDefault="00000000">
      <w:pPr>
        <w:jc w:val="both"/>
      </w:pPr>
      <w:r>
        <w:t xml:space="preserve">Les guides sont munis de </w:t>
      </w:r>
      <w:r>
        <w:rPr>
          <w:rStyle w:val="optioncarChar"/>
        </w:rPr>
        <w:t xml:space="preserve">préformés d’étanchéité </w:t>
      </w:r>
      <w:r>
        <w:t xml:space="preserve">(par défaut) </w:t>
      </w:r>
      <w:r>
        <w:rPr>
          <w:rStyle w:val="optioncarChar"/>
        </w:rPr>
        <w:t>/ de brosses d’étanchéité / ***</w:t>
      </w:r>
      <w:r>
        <w:t>.</w:t>
      </w:r>
    </w:p>
    <w:p w14:paraId="20B36FB9" w14:textId="77777777" w:rsidR="00772179" w:rsidRDefault="00772179">
      <w:pPr>
        <w:jc w:val="both"/>
      </w:pPr>
    </w:p>
    <w:p w14:paraId="1ED1BD10" w14:textId="77777777" w:rsidR="00772179" w:rsidRDefault="00772179">
      <w:pPr>
        <w:jc w:val="both"/>
      </w:pPr>
    </w:p>
    <w:p w14:paraId="6F4ED2C5" w14:textId="77777777" w:rsidR="00772179" w:rsidRDefault="00000000">
      <w:pPr>
        <w:jc w:val="both"/>
      </w:pPr>
      <w:r>
        <w:rPr>
          <w:b/>
          <w:u w:val="single"/>
        </w:rPr>
        <w:t>3. Les dispositifs d’entrainement</w:t>
      </w:r>
    </w:p>
    <w:p w14:paraId="3DF8C61A" w14:textId="77777777" w:rsidR="00772179" w:rsidRDefault="00000000">
      <w:pPr>
        <w:jc w:val="both"/>
      </w:pPr>
      <w:r>
        <w:t xml:space="preserve">L’entrainement de la porte est réalisé par </w:t>
      </w:r>
      <w:r>
        <w:rPr>
          <w:rStyle w:val="optioncarChar"/>
        </w:rPr>
        <w:t xml:space="preserve">1 câble galvanisé par côté </w:t>
      </w:r>
      <w:r>
        <w:t>(par défaut)</w:t>
      </w:r>
      <w:r>
        <w:rPr>
          <w:rStyle w:val="optioncarChar"/>
        </w:rPr>
        <w:t xml:space="preserve"> / 2 câbles galvanisés par côté / 1 câble inox par côté / ***</w:t>
      </w:r>
      <w:r>
        <w:t>.</w:t>
      </w:r>
    </w:p>
    <w:p w14:paraId="0BD4BB13" w14:textId="77777777" w:rsidR="00772179" w:rsidRDefault="00000000">
      <w:pPr>
        <w:jc w:val="both"/>
      </w:pPr>
      <w:r>
        <w:t xml:space="preserve">La sécurité antichute consiste en un système </w:t>
      </w:r>
      <w:r>
        <w:rPr>
          <w:rStyle w:val="optioncarChar"/>
        </w:rPr>
        <w:t xml:space="preserve">de suspension </w:t>
      </w:r>
      <w:r>
        <w:t>(par défaut)</w:t>
      </w:r>
      <w:r>
        <w:rPr>
          <w:rStyle w:val="optioncarChar"/>
        </w:rPr>
        <w:t xml:space="preserve"> / en équilibre par des contrepoids / en équilibre par des ressorts / deux systèmes d'entraînement /  un système hydraulique.</w:t>
      </w:r>
      <w:r>
        <w:t> </w:t>
      </w:r>
    </w:p>
    <w:p w14:paraId="7B198364" w14:textId="77777777" w:rsidR="00772179" w:rsidRDefault="00000000">
      <w:pPr>
        <w:ind w:left="567"/>
        <w:jc w:val="both"/>
      </w:pPr>
      <w:r>
        <w:rPr>
          <w:b/>
          <w:i/>
        </w:rPr>
        <w:t>(soit par défaut)  </w:t>
      </w:r>
    </w:p>
    <w:p w14:paraId="1CD29C13" w14:textId="77777777" w:rsidR="00772179" w:rsidRDefault="00772179">
      <w:pPr>
        <w:ind w:left="567"/>
        <w:jc w:val="both"/>
      </w:pPr>
    </w:p>
    <w:p w14:paraId="56BA4B69" w14:textId="77777777" w:rsidR="00772179" w:rsidRDefault="00000000">
      <w:pPr>
        <w:ind w:left="567"/>
        <w:jc w:val="both"/>
      </w:pPr>
      <w:r>
        <w:rPr>
          <w:rStyle w:val="soitChar"/>
          <w:u w:val="single"/>
        </w:rPr>
        <w:t>Système de suspension</w:t>
      </w:r>
      <w:r>
        <w:rPr>
          <w:rStyle w:val="soitChar"/>
        </w:rPr>
        <w:t xml:space="preserve"> : Les portes, équipées de </w:t>
      </w:r>
      <w:r>
        <w:rPr>
          <w:rStyle w:val="soitChar"/>
          <w:b/>
        </w:rPr>
        <w:t>systèmes de suspension</w:t>
      </w:r>
      <w:r>
        <w:rPr>
          <w:rStyle w:val="soitChar"/>
        </w:rPr>
        <w:t xml:space="preserve"> (avec ou sans ressorts) comme des câbles en acier, des courroies et des chaînes, sont conçues de telle manière que les autres éléments de suspension puissent supporter le vantail et le maintenir dans cette position en cas de défaillance.</w:t>
      </w:r>
    </w:p>
    <w:p w14:paraId="43EBD210" w14:textId="77777777" w:rsidR="00772179" w:rsidRDefault="00000000">
      <w:pPr>
        <w:ind w:left="567"/>
        <w:jc w:val="both"/>
      </w:pPr>
      <w:r>
        <w:rPr>
          <w:b/>
          <w:i/>
        </w:rPr>
        <w:t>(soit) </w:t>
      </w:r>
    </w:p>
    <w:p w14:paraId="48E67E43" w14:textId="77777777" w:rsidR="00772179" w:rsidRDefault="00772179">
      <w:pPr>
        <w:ind w:left="567"/>
        <w:jc w:val="both"/>
      </w:pPr>
    </w:p>
    <w:p w14:paraId="4D86B0FF" w14:textId="77777777" w:rsidR="00772179" w:rsidRDefault="00000000">
      <w:pPr>
        <w:ind w:left="567"/>
        <w:jc w:val="both"/>
      </w:pPr>
      <w:r>
        <w:rPr>
          <w:rStyle w:val="soitChar"/>
          <w:u w:val="single"/>
        </w:rPr>
        <w:t>Equilibre par des contrepoids</w:t>
      </w:r>
      <w:r>
        <w:rPr>
          <w:rStyle w:val="soitChar"/>
        </w:rPr>
        <w:t xml:space="preserve"> : Le vantail qui est maintenu en </w:t>
      </w:r>
      <w:r>
        <w:rPr>
          <w:rStyle w:val="soitChar"/>
          <w:b/>
        </w:rPr>
        <w:t>équilibre par des contrepoids</w:t>
      </w:r>
      <w:r>
        <w:rPr>
          <w:rStyle w:val="soitChar"/>
        </w:rPr>
        <w:t xml:space="preserve"> avec des éléments de suspension comme des câbles en acier, des courroies et des chaînes, est équipé d'éléments de suspension supplémentaires qui ne sont pas chargés en condition normale de fonctionnement (ou ils reprennent ≤ à 10 % de la charge en condition normale de fonctionnement). Ces éléments de suspension supplémentaires sont capables de supporter le vantail en cas de défaillance des éléments porteurs de charge dans les conditions normales.</w:t>
      </w:r>
    </w:p>
    <w:p w14:paraId="43410C9D" w14:textId="77777777" w:rsidR="00772179" w:rsidRDefault="00000000">
      <w:pPr>
        <w:ind w:left="567"/>
        <w:jc w:val="both"/>
      </w:pPr>
      <w:r>
        <w:rPr>
          <w:b/>
          <w:i/>
        </w:rPr>
        <w:t>(soit) </w:t>
      </w:r>
    </w:p>
    <w:p w14:paraId="318DC50B" w14:textId="77777777" w:rsidR="00772179" w:rsidRDefault="00772179">
      <w:pPr>
        <w:ind w:left="567"/>
        <w:jc w:val="both"/>
      </w:pPr>
    </w:p>
    <w:p w14:paraId="26CD00F4" w14:textId="77777777" w:rsidR="00772179" w:rsidRDefault="00000000">
      <w:pPr>
        <w:ind w:left="567"/>
        <w:jc w:val="both"/>
      </w:pPr>
      <w:r>
        <w:rPr>
          <w:rStyle w:val="soitChar"/>
          <w:u w:val="single"/>
        </w:rPr>
        <w:t>Equilibre par des ressorts</w:t>
      </w:r>
      <w:r>
        <w:rPr>
          <w:rStyle w:val="soitChar"/>
        </w:rPr>
        <w:t xml:space="preserve"> : En cas de portes dont le vantail est maintenu en </w:t>
      </w:r>
      <w:r>
        <w:rPr>
          <w:rStyle w:val="soitChar"/>
          <w:b/>
        </w:rPr>
        <w:t>équilibre par des ressorts</w:t>
      </w:r>
      <w:r>
        <w:rPr>
          <w:rStyle w:val="soitChar"/>
        </w:rPr>
        <w:t>, le système d'entraînement est conçu pour supporter la force résultante provoquée par le déséquilibre lors de défaillance d'un ressort.</w:t>
      </w:r>
    </w:p>
    <w:p w14:paraId="21AA4ED5" w14:textId="77777777" w:rsidR="00772179" w:rsidRDefault="00000000">
      <w:pPr>
        <w:ind w:left="567"/>
        <w:jc w:val="both"/>
      </w:pPr>
      <w:r>
        <w:rPr>
          <w:b/>
          <w:i/>
        </w:rPr>
        <w:t>(soit) </w:t>
      </w:r>
    </w:p>
    <w:p w14:paraId="1D9F1214" w14:textId="77777777" w:rsidR="00772179" w:rsidRDefault="00772179">
      <w:pPr>
        <w:ind w:left="567"/>
        <w:jc w:val="both"/>
      </w:pPr>
    </w:p>
    <w:p w14:paraId="7A8554CA" w14:textId="77777777" w:rsidR="00772179" w:rsidRDefault="00000000">
      <w:pPr>
        <w:ind w:left="567"/>
        <w:jc w:val="both"/>
      </w:pPr>
      <w:r>
        <w:rPr>
          <w:rStyle w:val="soitChar"/>
          <w:u w:val="single"/>
        </w:rPr>
        <w:t>Deux systèmes d’entrainement</w:t>
      </w:r>
      <w:r>
        <w:rPr>
          <w:rStyle w:val="soitChar"/>
        </w:rPr>
        <w:t xml:space="preserve"> : Le vantail est entraîné par </w:t>
      </w:r>
      <w:r>
        <w:rPr>
          <w:rStyle w:val="soitChar"/>
          <w:b/>
        </w:rPr>
        <w:t>deux systèmes d'entraînement</w:t>
      </w:r>
      <w:r>
        <w:rPr>
          <w:rStyle w:val="soitChar"/>
        </w:rPr>
        <w:t>, chaque système d’entraînement étant conçu pour supporter indépendamment le poids du vantail en cas de défaillance de l'autre système d'entraînement. Tout mouvement ultérieur du vantail est automatiquement rendu impossible lorsque le vantail a atteint le point mort bas.</w:t>
      </w:r>
    </w:p>
    <w:p w14:paraId="6812CD2E" w14:textId="77777777" w:rsidR="00772179" w:rsidRDefault="00000000">
      <w:pPr>
        <w:ind w:left="567"/>
        <w:jc w:val="both"/>
      </w:pPr>
      <w:r>
        <w:rPr>
          <w:b/>
          <w:i/>
        </w:rPr>
        <w:t>(soit) </w:t>
      </w:r>
    </w:p>
    <w:p w14:paraId="34564B08" w14:textId="77777777" w:rsidR="00772179" w:rsidRDefault="00772179">
      <w:pPr>
        <w:ind w:left="567"/>
        <w:jc w:val="both"/>
      </w:pPr>
    </w:p>
    <w:p w14:paraId="6D894C44" w14:textId="77777777" w:rsidR="00772179" w:rsidRDefault="00000000">
      <w:pPr>
        <w:ind w:left="567"/>
        <w:jc w:val="both"/>
      </w:pPr>
      <w:r>
        <w:rPr>
          <w:rStyle w:val="soitChar"/>
          <w:u w:val="single"/>
        </w:rPr>
        <w:t>Système hydraulique : </w:t>
      </w:r>
      <w:r>
        <w:rPr>
          <w:rStyle w:val="soitChar"/>
        </w:rPr>
        <w:t xml:space="preserve">Le vantail est directement entraîné par un </w:t>
      </w:r>
      <w:r>
        <w:rPr>
          <w:rStyle w:val="soitChar"/>
          <w:b/>
        </w:rPr>
        <w:t>système hydraulique</w:t>
      </w:r>
      <w:r>
        <w:rPr>
          <w:rStyle w:val="soitChar"/>
        </w:rPr>
        <w:t xml:space="preserve"> de type « à vérin » comprenant des dispositifs anti-chutes sur le vérin d'entraînement en cas de défaillance d'une conduite hydraulique.</w:t>
      </w:r>
    </w:p>
    <w:p w14:paraId="473FCF27" w14:textId="77777777" w:rsidR="00772179" w:rsidRDefault="00000000">
      <w:pPr>
        <w:jc w:val="both"/>
      </w:pPr>
      <w:r>
        <w:t xml:space="preserve">L’équilibrage (balancement) de l’entrainement est réalisé par </w:t>
      </w:r>
      <w:r>
        <w:rPr>
          <w:rStyle w:val="optioncarChar"/>
        </w:rPr>
        <w:t xml:space="preserve">deux ressorts en torsion </w:t>
      </w:r>
      <w:r>
        <w:t>(par défaut)</w:t>
      </w:r>
      <w:r>
        <w:rPr>
          <w:rStyle w:val="optioncarChar"/>
        </w:rPr>
        <w:t xml:space="preserve"> / deux ressorts en traction / par contrepoids / ***</w:t>
      </w:r>
      <w:r>
        <w:t>.</w:t>
      </w:r>
    </w:p>
    <w:p w14:paraId="75FAEE25" w14:textId="77777777" w:rsidR="00772179" w:rsidRDefault="00000000">
      <w:pPr>
        <w:jc w:val="both"/>
      </w:pPr>
      <w:r>
        <w:rPr>
          <w:b/>
          <w:u w:val="single"/>
        </w:rPr>
        <w:t>4. Le moteur</w:t>
      </w:r>
    </w:p>
    <w:p w14:paraId="368EFF9F" w14:textId="77777777" w:rsidR="00772179" w:rsidRDefault="00000000">
      <w:pPr>
        <w:jc w:val="both"/>
      </w:pPr>
      <w:r>
        <w:t>Le moteur répond aux exigences de sécurité d’utilisation, de vitesse d’entrainement et de compatibilité électromagnétique.</w:t>
      </w:r>
    </w:p>
    <w:p w14:paraId="26F14C1B" w14:textId="77777777" w:rsidR="00772179" w:rsidRDefault="00000000">
      <w:pPr>
        <w:jc w:val="both"/>
      </w:pPr>
      <w:r>
        <w:t xml:space="preserve">Le niveau de sécurité de la porte est de type </w:t>
      </w:r>
      <w:r>
        <w:rPr>
          <w:rStyle w:val="optioncarChar"/>
        </w:rPr>
        <w:t>C et D</w:t>
      </w:r>
      <w:r>
        <w:t xml:space="preserve"> (par défaut) </w:t>
      </w:r>
      <w:r>
        <w:rPr>
          <w:rStyle w:val="optioncarChar"/>
        </w:rPr>
        <w:t>/ E / A / B / C</w:t>
      </w:r>
      <w:r>
        <w:t xml:space="preserve"> suivant la [STS 53.2] et  répond aux dispositions de la norme [NBN EN 12453:2017+A1].</w:t>
      </w:r>
    </w:p>
    <w:p w14:paraId="12017D61" w14:textId="77777777" w:rsidR="00772179" w:rsidRDefault="00000000">
      <w:pPr>
        <w:jc w:val="both"/>
      </w:pPr>
      <w:r>
        <w:t>Le moteur et le dispositif électronique de sécurité permettent une réaction répondant aux exigences de la [NBN EN 12453:2017+A1] en utilisant la méthode d’essai décrite dans [NBN EN 12453:2017+A1].</w:t>
      </w:r>
    </w:p>
    <w:p w14:paraId="5E33B659" w14:textId="77777777" w:rsidR="00772179" w:rsidRDefault="00000000">
      <w:pPr>
        <w:jc w:val="both"/>
      </w:pPr>
      <w:r>
        <w:t>La configuration du dispositif de recherche est conforme à celle utilisée pour la réalisation des essais initiaux selon la norme [NBN EN 12453:2017+A1].</w:t>
      </w:r>
    </w:p>
    <w:p w14:paraId="00E75272" w14:textId="77777777" w:rsidR="00772179" w:rsidRDefault="00000000">
      <w:pPr>
        <w:jc w:val="both"/>
      </w:pPr>
      <w:r>
        <w:t>Le moteur est sélectionné en fonction des dimensions et du poids du tablier de la porte.</w:t>
      </w:r>
    </w:p>
    <w:p w14:paraId="45529849" w14:textId="77777777" w:rsidR="00772179" w:rsidRDefault="00000000">
      <w:pPr>
        <w:jc w:val="both"/>
      </w:pPr>
      <w:r>
        <w:rPr>
          <w:b/>
          <w:u w:val="single"/>
        </w:rPr>
        <w:t>5. Les accessoires d’étanchéité et de sécurité</w:t>
      </w:r>
    </w:p>
    <w:p w14:paraId="0CA8FD31" w14:textId="77777777" w:rsidR="00772179" w:rsidRDefault="00000000">
      <w:pPr>
        <w:jc w:val="both"/>
      </w:pPr>
      <w:r>
        <w:t>Les accessoires de mise en œuvre de la porte sont repris dans la description des essais initiaux pour le marquage de la porte, et permettent d’atteindre les exigences définies.</w:t>
      </w:r>
    </w:p>
    <w:p w14:paraId="4A06097B" w14:textId="77777777" w:rsidR="00772179" w:rsidRDefault="00000000">
      <w:pPr>
        <w:jc w:val="both"/>
      </w:pPr>
      <w:r>
        <w:rPr>
          <w:b/>
          <w:u w:val="single"/>
        </w:rPr>
        <w:t>6. Performances des portes</w:t>
      </w:r>
    </w:p>
    <w:p w14:paraId="64A694DD" w14:textId="77777777" w:rsidR="00772179" w:rsidRDefault="00000000">
      <w:pPr>
        <w:pStyle w:val="Author-eListParagraph"/>
        <w:numPr>
          <w:ilvl w:val="0"/>
          <w:numId w:val="429"/>
        </w:numPr>
      </w:pPr>
      <w:r>
        <w:t xml:space="preserve">Performances thermiques : La valeur Ud est inférieure à </w:t>
      </w:r>
      <w:r>
        <w:rPr>
          <w:rStyle w:val="optioncarChar"/>
        </w:rPr>
        <w:t>2</w:t>
      </w:r>
      <w:r>
        <w:t xml:space="preserve"> (par défaut) </w:t>
      </w:r>
      <w:r>
        <w:rPr>
          <w:rStyle w:val="optioncarChar"/>
        </w:rPr>
        <w:t>/ 1.8 / ***</w:t>
      </w:r>
      <w:r>
        <w:t xml:space="preserve"> W/m²K</w:t>
      </w:r>
    </w:p>
    <w:p w14:paraId="65A9D2AD" w14:textId="77777777" w:rsidR="00772179" w:rsidRDefault="00000000">
      <w:pPr>
        <w:pStyle w:val="Author-eListParagraph"/>
        <w:numPr>
          <w:ilvl w:val="0"/>
          <w:numId w:val="429"/>
        </w:numPr>
      </w:pPr>
      <w:r>
        <w:t xml:space="preserve">Etanchéité à l’air : </w:t>
      </w:r>
      <w:r>
        <w:rPr>
          <w:rStyle w:val="optioncarChar"/>
        </w:rPr>
        <w:t xml:space="preserve">Classe 1 (24 m³/hm² à 50Pa) / Classe 2 (&lt;15 m³/hm² à 50Pa) / Classe 3 (&lt;6 m³/hm² à 50Pa) </w:t>
      </w:r>
      <w:r>
        <w:t xml:space="preserve">(par défaut) </w:t>
      </w:r>
      <w:r>
        <w:rPr>
          <w:rStyle w:val="optioncarChar"/>
        </w:rPr>
        <w:t>/ Classe 4 (&lt; 3m³/hm² à 50Pa) / Classe 5 (&lt; 1.5m³/hm² à 50Pa) / Classe 6 (&lt; *** m³/hm² à 50Pa) / ***</w:t>
      </w:r>
      <w:r>
        <w:t>.</w:t>
      </w:r>
    </w:p>
    <w:p w14:paraId="3F04225F" w14:textId="77777777" w:rsidR="00772179" w:rsidRDefault="00000000">
      <w:pPr>
        <w:pStyle w:val="Author-eListParagraph"/>
        <w:numPr>
          <w:ilvl w:val="0"/>
          <w:numId w:val="429"/>
        </w:numPr>
      </w:pPr>
      <w:r>
        <w:t xml:space="preserve">Etanchéité à l’eau de classe </w:t>
      </w:r>
      <w:r>
        <w:rPr>
          <w:rStyle w:val="optioncarChar"/>
        </w:rPr>
        <w:t xml:space="preserve">1 (30 Pa) </w:t>
      </w:r>
      <w:r>
        <w:t xml:space="preserve">(par défaut) </w:t>
      </w:r>
      <w:r>
        <w:rPr>
          <w:rStyle w:val="optioncarChar"/>
        </w:rPr>
        <w:t>/ 2 (50 Pa) / 3 (&gt; 50 Pa) / ***.</w:t>
      </w:r>
    </w:p>
    <w:p w14:paraId="1CA76317" w14:textId="77777777" w:rsidR="00772179" w:rsidRDefault="00000000">
      <w:pPr>
        <w:pStyle w:val="Author-eListParagraph"/>
        <w:numPr>
          <w:ilvl w:val="0"/>
          <w:numId w:val="429"/>
        </w:numPr>
      </w:pPr>
      <w:r>
        <w:t xml:space="preserve">Résistance au Vent de Classe </w:t>
      </w:r>
      <w:r>
        <w:rPr>
          <w:rStyle w:val="optioncarChar"/>
        </w:rPr>
        <w:t xml:space="preserve"> 1 (300Pa) / 2 (450Pa) / 3 (700Pa) </w:t>
      </w:r>
      <w:r>
        <w:t xml:space="preserve">(par défaut) </w:t>
      </w:r>
      <w:r>
        <w:rPr>
          <w:rStyle w:val="optioncarChar"/>
        </w:rPr>
        <w:t>/ 4 (1000Pa) / 5 (&gt;1000Pa) / ***</w:t>
      </w:r>
      <w:r>
        <w:t>.</w:t>
      </w:r>
    </w:p>
    <w:p w14:paraId="5C913542" w14:textId="77777777" w:rsidR="00772179" w:rsidRDefault="00000000">
      <w:pPr>
        <w:pStyle w:val="Author-eListParagraph"/>
        <w:numPr>
          <w:ilvl w:val="0"/>
          <w:numId w:val="429"/>
        </w:numPr>
      </w:pPr>
      <w:r>
        <w:t xml:space="preserve">Performances acoustiques D Atr supérieur à </w:t>
      </w:r>
      <w:r>
        <w:rPr>
          <w:rStyle w:val="optioncarChar"/>
        </w:rPr>
        <w:t xml:space="preserve">54 </w:t>
      </w:r>
      <w:r>
        <w:t xml:space="preserve">(par défaut) </w:t>
      </w:r>
      <w:r>
        <w:rPr>
          <w:rStyle w:val="optioncarChar"/>
        </w:rPr>
        <w:t xml:space="preserve">/ *** </w:t>
      </w:r>
      <w:r>
        <w:t>dB.</w:t>
      </w:r>
    </w:p>
    <w:p w14:paraId="49B4FEE4" w14:textId="77777777" w:rsidR="00772179" w:rsidRDefault="00000000">
      <w:pPr>
        <w:pStyle w:val="Author-eListParagraph"/>
        <w:numPr>
          <w:ilvl w:val="0"/>
          <w:numId w:val="429"/>
        </w:numPr>
      </w:pPr>
      <w:r>
        <w:t xml:space="preserve">Résistance à l’effraction : </w:t>
      </w:r>
      <w:r>
        <w:rPr>
          <w:rStyle w:val="optioncarChar"/>
        </w:rPr>
        <w:t>Classe 1</w:t>
      </w:r>
      <w:r>
        <w:t xml:space="preserve"> (par défaut)</w:t>
      </w:r>
      <w:r>
        <w:rPr>
          <w:rStyle w:val="optioncarChar"/>
        </w:rPr>
        <w:t xml:space="preserve"> / ***</w:t>
      </w:r>
    </w:p>
    <w:p w14:paraId="3FA34978" w14:textId="77777777" w:rsidR="00772179" w:rsidRDefault="00000000">
      <w:pPr>
        <w:pStyle w:val="Author-eListParagraph"/>
        <w:numPr>
          <w:ilvl w:val="0"/>
          <w:numId w:val="429"/>
        </w:numPr>
      </w:pPr>
      <w:r>
        <w:t xml:space="preserve">Longévité des mécanismes de manœuvre : Classe </w:t>
      </w:r>
      <w:r>
        <w:rPr>
          <w:rStyle w:val="optioncarChar"/>
        </w:rPr>
        <w:t>C1 (500 cycles) / C2 ( 10 000 cycles) / C3 (50 000 cycles)</w:t>
      </w:r>
      <w:r>
        <w:t xml:space="preserve"> (par défaut) </w:t>
      </w:r>
      <w:r>
        <w:rPr>
          <w:rStyle w:val="optioncarChar"/>
        </w:rPr>
        <w:t>/ C4 (100 000 cycles) / C5 (200 000 cycles) / ***</w:t>
      </w:r>
      <w:r>
        <w:t>.</w:t>
      </w:r>
    </w:p>
    <w:p w14:paraId="764655DC" w14:textId="77777777" w:rsidR="00772179" w:rsidRDefault="00000000">
      <w:pPr>
        <w:pStyle w:val="Author-eListParagraph"/>
        <w:numPr>
          <w:ilvl w:val="0"/>
          <w:numId w:val="429"/>
        </w:numPr>
      </w:pPr>
      <w:r>
        <w:t xml:space="preserve">Sécurité de fin de course: </w:t>
      </w:r>
      <w:r>
        <w:rPr>
          <w:rStyle w:val="optioncarChar"/>
        </w:rPr>
        <w:t>limitation de fin de course électronique</w:t>
      </w:r>
      <w:r>
        <w:t xml:space="preserve"> (par défaut) /</w:t>
      </w:r>
      <w:r>
        <w:rPr>
          <w:rStyle w:val="optioncarChar"/>
        </w:rPr>
        <w:t xml:space="preserve"> arrêt mécanique fixe / motorisation avec longueur déterminée / motorisation combinée avec une régulation</w:t>
      </w:r>
      <w:r>
        <w:t>.</w:t>
      </w:r>
    </w:p>
    <w:p w14:paraId="0358CDE4" w14:textId="77777777" w:rsidR="00772179" w:rsidRDefault="00000000">
      <w:pPr>
        <w:ind w:left="567"/>
        <w:jc w:val="both"/>
      </w:pPr>
      <w:r>
        <w:rPr>
          <w:b/>
          <w:i/>
        </w:rPr>
        <w:t>(soit par défaut) </w:t>
      </w:r>
    </w:p>
    <w:p w14:paraId="00DF45C6" w14:textId="77777777" w:rsidR="00772179" w:rsidRDefault="00772179">
      <w:pPr>
        <w:ind w:left="567"/>
        <w:jc w:val="both"/>
      </w:pPr>
    </w:p>
    <w:p w14:paraId="10847B46" w14:textId="77777777" w:rsidR="00772179" w:rsidRDefault="00000000">
      <w:pPr>
        <w:ind w:left="567"/>
        <w:jc w:val="both"/>
      </w:pPr>
      <w:r>
        <w:rPr>
          <w:rStyle w:val="soitChar"/>
          <w:u w:val="single"/>
        </w:rPr>
        <w:t>Une limitation de fin de course électroniqu</w:t>
      </w:r>
      <w:r>
        <w:rPr>
          <w:rStyle w:val="soitChar"/>
        </w:rPr>
        <w:t>e, qui en cas de défaillance soit conserve sa fonction de sécurité, soit est surveillée conformément à la catégorie 2 de la norme [NBN EN ISO 13849-1].</w:t>
      </w:r>
    </w:p>
    <w:p w14:paraId="4579E4B4" w14:textId="77777777" w:rsidR="00772179" w:rsidRDefault="00000000">
      <w:pPr>
        <w:ind w:left="567"/>
        <w:jc w:val="both"/>
      </w:pPr>
      <w:r>
        <w:rPr>
          <w:b/>
          <w:i/>
        </w:rPr>
        <w:t>(soit) </w:t>
      </w:r>
    </w:p>
    <w:p w14:paraId="70479C2D" w14:textId="77777777" w:rsidR="00772179" w:rsidRDefault="00772179">
      <w:pPr>
        <w:ind w:left="567"/>
        <w:jc w:val="both"/>
      </w:pPr>
    </w:p>
    <w:p w14:paraId="063F5726" w14:textId="77777777" w:rsidR="00772179" w:rsidRDefault="00000000">
      <w:pPr>
        <w:ind w:left="567"/>
        <w:jc w:val="both"/>
      </w:pPr>
      <w:r>
        <w:rPr>
          <w:rStyle w:val="soitChar"/>
          <w:u w:val="single"/>
        </w:rPr>
        <w:t>Un arrêt mécanique</w:t>
      </w:r>
      <w:r>
        <w:rPr>
          <w:rStyle w:val="soitChar"/>
        </w:rPr>
        <w:t xml:space="preserve"> fixe de type butées, capable de résister à la force maximale ou au couple maximum de la motorisation et à l'énergie du vantail en mouvement conjointement avec une régulation de fin de course électrique ou électronique ;</w:t>
      </w:r>
    </w:p>
    <w:p w14:paraId="46FEF664" w14:textId="77777777" w:rsidR="00772179" w:rsidRDefault="00000000">
      <w:pPr>
        <w:ind w:left="567"/>
        <w:jc w:val="both"/>
      </w:pPr>
      <w:r>
        <w:rPr>
          <w:b/>
          <w:i/>
        </w:rPr>
        <w:t>(soit) </w:t>
      </w:r>
    </w:p>
    <w:p w14:paraId="3E3F2CE6" w14:textId="77777777" w:rsidR="00772179" w:rsidRDefault="00000000">
      <w:pPr>
        <w:ind w:left="567"/>
        <w:jc w:val="both"/>
      </w:pPr>
      <w:r>
        <w:rPr>
          <w:rStyle w:val="soitChar"/>
          <w:u w:val="single"/>
        </w:rPr>
        <w:lastRenderedPageBreak/>
        <w:t xml:space="preserve">Une motorisation </w:t>
      </w:r>
      <w:r>
        <w:rPr>
          <w:rStyle w:val="soitChar"/>
        </w:rPr>
        <w:t xml:space="preserve">dont la course mécanique présente une </w:t>
      </w:r>
      <w:r>
        <w:rPr>
          <w:rStyle w:val="soitChar"/>
          <w:u w:val="single"/>
        </w:rPr>
        <w:t>longueur déterminée</w:t>
      </w:r>
      <w:r>
        <w:rPr>
          <w:rStyle w:val="soitChar"/>
        </w:rPr>
        <w:t>, comme un moteur linéaire ou une unité d'entraînement hydraulique ou pneumatique comportant des butées internes.</w:t>
      </w:r>
    </w:p>
    <w:p w14:paraId="18AA53D7" w14:textId="77777777" w:rsidR="00772179" w:rsidRDefault="00000000">
      <w:pPr>
        <w:ind w:left="567"/>
        <w:jc w:val="both"/>
      </w:pPr>
      <w:r>
        <w:rPr>
          <w:b/>
          <w:i/>
        </w:rPr>
        <w:t>(soit) </w:t>
      </w:r>
    </w:p>
    <w:p w14:paraId="595F223D" w14:textId="77777777" w:rsidR="00772179" w:rsidRDefault="00000000">
      <w:pPr>
        <w:ind w:left="567"/>
        <w:jc w:val="both"/>
      </w:pPr>
      <w:r>
        <w:rPr>
          <w:rStyle w:val="soitChar"/>
          <w:u w:val="single"/>
        </w:rPr>
        <w:t>Une motorisation combinée avec une régulation</w:t>
      </w:r>
      <w:r>
        <w:rPr>
          <w:rStyle w:val="soitChar"/>
        </w:rPr>
        <w:t xml:space="preserve"> de fin de course électrique ou électronique et une limitation de fin de course extrême, qui, en cas de défaillance de la régulation de fin de course, est prévue pour couper l'alimentation de puissance de l'unité d'entraînement et arrêter le mouvement du vantail. Après quoi, il est possible de manœuvrer la porte manuellement.</w:t>
      </w:r>
    </w:p>
    <w:p w14:paraId="31B174C6" w14:textId="77777777" w:rsidR="00772179" w:rsidRDefault="00000000">
      <w:pPr>
        <w:pStyle w:val="pheading"/>
      </w:pPr>
      <w:r>
        <w:t>- Finitions</w:t>
      </w:r>
    </w:p>
    <w:p w14:paraId="7FD99802" w14:textId="77777777" w:rsidR="00772179" w:rsidRDefault="00000000">
      <w:r>
        <w:t>Les finitions sont précisées dans la composition des parements (Matériau).</w:t>
      </w:r>
    </w:p>
    <w:p w14:paraId="59A97AE3" w14:textId="77777777" w:rsidR="00772179" w:rsidRDefault="00772179"/>
    <w:p w14:paraId="55DC4189" w14:textId="77777777" w:rsidR="00772179" w:rsidRDefault="00000000">
      <w:pPr>
        <w:pStyle w:val="pheading"/>
      </w:pPr>
      <w:r>
        <w:t>EXÉCUTION / MISE EN ŒUVRE</w:t>
      </w:r>
    </w:p>
    <w:p w14:paraId="7DCB1442" w14:textId="77777777" w:rsidR="00772179" w:rsidRDefault="00000000">
      <w:pPr>
        <w:pStyle w:val="pheading"/>
      </w:pPr>
      <w:r>
        <w:t>- Prescriptions générales</w:t>
      </w:r>
    </w:p>
    <w:p w14:paraId="72D532F7" w14:textId="77777777" w:rsidR="00772179" w:rsidRDefault="00000000">
      <w:pPr>
        <w:jc w:val="both"/>
      </w:pPr>
      <w:r>
        <w:t>Le resserrage de la porte assure la continuité des performances mécaniques, thermiques et d’étanchéité à l’eau à l’air et au vent.</w:t>
      </w:r>
    </w:p>
    <w:p w14:paraId="78112BD5" w14:textId="77777777" w:rsidR="00772179" w:rsidRDefault="00000000">
      <w:pPr>
        <w:jc w:val="both"/>
      </w:pPr>
      <w:r>
        <w:t>Pour la continuité de l’étanchéité à l’eau, le resserrage est muni de :</w:t>
      </w:r>
      <w:r>
        <w:rPr>
          <w:rStyle w:val="optioncarChar"/>
        </w:rPr>
        <w:t xml:space="preserve"> un kit de mastic conforme à la [STS 56.1]</w:t>
      </w:r>
      <w:r>
        <w:t xml:space="preserve"> (par défaut) </w:t>
      </w:r>
      <w:r>
        <w:rPr>
          <w:rStyle w:val="optioncarChar"/>
        </w:rPr>
        <w:t>/ une membrane / un profilé de resserrage / ***</w:t>
      </w:r>
      <w:r>
        <w:t>.</w:t>
      </w:r>
    </w:p>
    <w:p w14:paraId="45CB7F31" w14:textId="77777777" w:rsidR="00772179" w:rsidRDefault="00000000">
      <w:pPr>
        <w:jc w:val="both"/>
      </w:pPr>
      <w:r>
        <w:t xml:space="preserve">Pour la continuité de l’isolation acoustique, le resserrage est muni d’une </w:t>
      </w:r>
      <w:r>
        <w:rPr>
          <w:rStyle w:val="optioncarChar"/>
        </w:rPr>
        <w:t xml:space="preserve">Laine de roche </w:t>
      </w:r>
      <w:r>
        <w:t>(par défaut)</w:t>
      </w:r>
      <w:r>
        <w:rPr>
          <w:rStyle w:val="optioncarChar"/>
        </w:rPr>
        <w:t xml:space="preserve"> / mousse acoustique / plaque massive / ***</w:t>
      </w:r>
      <w:r>
        <w:t>.</w:t>
      </w:r>
    </w:p>
    <w:p w14:paraId="2ADB5B89" w14:textId="77777777" w:rsidR="00772179" w:rsidRDefault="00000000">
      <w:pPr>
        <w:jc w:val="both"/>
      </w:pPr>
      <w:r>
        <w:t>La pose est documentée conformément aux [NBN EN 12453:2017+A1] et [NBN EN 12604:2017+A1]. Les informations sont transmises au maître d’œuvre.</w:t>
      </w:r>
    </w:p>
    <w:p w14:paraId="3C535D5A" w14:textId="77777777" w:rsidR="00772179" w:rsidRDefault="00000000">
      <w:pPr>
        <w:jc w:val="both"/>
      </w:pPr>
      <w:r>
        <w:t xml:space="preserve">La connexion électrique sera effectuée en accord avec la puissance du moteur sur </w:t>
      </w:r>
      <w:r>
        <w:rPr>
          <w:rStyle w:val="optioncarChar"/>
        </w:rPr>
        <w:t xml:space="preserve">prise électrique monophasée avec une longueur de 100 cm </w:t>
      </w:r>
      <w:r>
        <w:t>(par défaut)</w:t>
      </w:r>
      <w:r>
        <w:rPr>
          <w:rStyle w:val="optioncarChar"/>
        </w:rPr>
        <w:t xml:space="preserve"> / sur boite de dérivation fixée sur le plafond en surplomb du moteur / ***</w:t>
      </w:r>
      <w:r>
        <w:t>.</w:t>
      </w:r>
    </w:p>
    <w:p w14:paraId="65312394" w14:textId="77777777" w:rsidR="00772179" w:rsidRDefault="00000000">
      <w:pPr>
        <w:ind w:left="750"/>
      </w:pPr>
      <w:r>
        <w:t> </w:t>
      </w:r>
    </w:p>
    <w:p w14:paraId="292ED576" w14:textId="77777777" w:rsidR="00772179" w:rsidRDefault="00000000">
      <w:pPr>
        <w:pStyle w:val="pheading"/>
      </w:pPr>
      <w:r>
        <w:t>DOCUMENTS DE RÉFÉRENCE COMPLÉMENTAIRES</w:t>
      </w:r>
    </w:p>
    <w:p w14:paraId="04BFCA8A" w14:textId="77777777" w:rsidR="00772179" w:rsidRDefault="00000000">
      <w:pPr>
        <w:pStyle w:val="pheading"/>
      </w:pPr>
      <w:r>
        <w:t>- Matériau</w:t>
      </w:r>
    </w:p>
    <w:p w14:paraId="4CC9CC3A" w14:textId="77777777" w:rsidR="00772179" w:rsidRDefault="00000000">
      <w:r>
        <w:t>[NBN EN 13241:2003+A2, Portes et portails industriels, commerciaux et de garage - Norme de produit, caractéristiques de performance]</w:t>
      </w:r>
    </w:p>
    <w:p w14:paraId="74AC9A78" w14:textId="77777777" w:rsidR="00772179" w:rsidRDefault="00000000">
      <w:r>
        <w:t>[NBN EN 10346, Produits plats en acier revêtus en continu par immersion à chaud pour formage à froid - Conditions techniques de livraison]</w:t>
      </w:r>
    </w:p>
    <w:p w14:paraId="1CAEDFC9" w14:textId="77777777" w:rsidR="00772179" w:rsidRDefault="00000000">
      <w:r>
        <w:t>[NBN EN 10169, Produits plats en acier revêtus en continu de matières organiques (prélaqués) - Conditions techniques de livraison]</w:t>
      </w:r>
    </w:p>
    <w:p w14:paraId="7BCBF4F6" w14:textId="77777777" w:rsidR="00772179" w:rsidRDefault="00000000">
      <w:r>
        <w:t>[NBN EN 508-1, Produits de couverture et de bardage en tôle métallique - Spécification pour les produits autoportants en tôles d'acier, d'aluminium ou d'acier inoxydable - Partie 1: Acier]</w:t>
      </w:r>
    </w:p>
    <w:p w14:paraId="5A81847E" w14:textId="77777777" w:rsidR="00772179" w:rsidRDefault="00000000">
      <w:r>
        <w:t>[NBN EN 10143, Tôles et bandes en acier revêtues en continu par immersion à chaud - Tolérances sur les dimensions et sur la forme]</w:t>
      </w:r>
    </w:p>
    <w:p w14:paraId="35C4AAD1" w14:textId="77777777" w:rsidR="00772179" w:rsidRDefault="00000000">
      <w:r>
        <w:t>[NBN EN 485-2:2016+A1, Aluminium et alliages d'aluminium - Tôles, bandes et tôles épaisses - Partie 2: Caractéristiques mécaniques]</w:t>
      </w:r>
    </w:p>
    <w:p w14:paraId="54D9F3FC" w14:textId="77777777" w:rsidR="00772179" w:rsidRDefault="00000000">
      <w:r>
        <w:t>[NBN EN 1396, Aluminium et alliages d'aluminium - Tôles et bandes revêtues en bobine pour applications générales - Spécifications]</w:t>
      </w:r>
    </w:p>
    <w:p w14:paraId="4871DF24" w14:textId="77777777" w:rsidR="00772179" w:rsidRDefault="00000000">
      <w:r>
        <w:t>[NBN EN 485-4, Aluminium et alliages d'aluminium - Tôles, bandes et tôles épaisses - Partie 4: Tolérances sur forme et dimensions des produits laminés à froid]</w:t>
      </w:r>
    </w:p>
    <w:p w14:paraId="538A44B0" w14:textId="77777777" w:rsidR="00772179" w:rsidRDefault="00000000">
      <w:r>
        <w:t>[NBN EN 10088-1, Aciers inoxydables - Partie 1: Liste des aciers inoxydables :2023]</w:t>
      </w:r>
    </w:p>
    <w:p w14:paraId="7A7A0141" w14:textId="77777777" w:rsidR="00772179" w:rsidRDefault="00000000">
      <w:r>
        <w:lastRenderedPageBreak/>
        <w:t>[NBN EN ISO 9445 série, Acier inoxydable laminé à froid en continu - Tolérances sur les dimensions et la forme]</w:t>
      </w:r>
    </w:p>
    <w:p w14:paraId="358F1B57" w14:textId="77777777" w:rsidR="00772179" w:rsidRDefault="00000000">
      <w:r>
        <w:t>[NBN EN 321, Panneaux à base de bois - Détermination de la résistance à l'humidité selon essais cycliques]</w:t>
      </w:r>
    </w:p>
    <w:p w14:paraId="4E18B4D7" w14:textId="77777777" w:rsidR="00772179" w:rsidRDefault="00000000">
      <w:r>
        <w:t>[NBN EN 508-2, Produits de couverture et bardage en tôle métallique - Spécification pour les plaques de couverture en tôle d'acier, d'aluminium ou d'acier inoxydable - Partie 2 : Aluminium]</w:t>
      </w:r>
    </w:p>
    <w:p w14:paraId="24DE8CF3" w14:textId="77777777" w:rsidR="00772179" w:rsidRDefault="00000000">
      <w:r>
        <w:t>[STS 53.2, Portes industrielles, commerciales et résidentielles]</w:t>
      </w:r>
    </w:p>
    <w:p w14:paraId="08D20EE3" w14:textId="77777777" w:rsidR="00772179" w:rsidRDefault="00000000">
      <w:r>
        <w:t>[NBN EN 12453:2017+A1, Portes et portails industriels, commerciaux et résidentiels - Sécurité d’utilisation des portes et portails motorisés - Exigences et méthodes d'essai] </w:t>
      </w:r>
    </w:p>
    <w:p w14:paraId="7D91CE50" w14:textId="77777777" w:rsidR="00772179" w:rsidRDefault="00000000">
      <w:r>
        <w:t>[NBN EN ISO 13849-1, Sécurité des machines - Parties des systèmes de commande relatives à la sécurité - Partie 1: Principes généraux de conception (ISO 13849-1:2015)]</w:t>
      </w:r>
    </w:p>
    <w:p w14:paraId="5DA4C793" w14:textId="77777777" w:rsidR="00772179" w:rsidRDefault="00000000">
      <w:pPr>
        <w:pStyle w:val="pheading"/>
      </w:pPr>
      <w:r>
        <w:t>- Exécution</w:t>
      </w:r>
    </w:p>
    <w:p w14:paraId="15893DA1" w14:textId="77777777" w:rsidR="00772179" w:rsidRDefault="00000000">
      <w:r>
        <w:t>[STS 56.1, Mastics d’étanchéité des façades]</w:t>
      </w:r>
    </w:p>
    <w:p w14:paraId="4D0DFA31" w14:textId="77777777" w:rsidR="00772179" w:rsidRDefault="00000000">
      <w:r>
        <w:t>[NBN EN 12453:2017+A1, Portes et portails équipant les locaux industriels et commerciaux et les garages - Sécurité à l'utilisation des portes motorisées - Exigences et méthodes d'essai ]</w:t>
      </w:r>
    </w:p>
    <w:p w14:paraId="2C440630" w14:textId="77777777" w:rsidR="00772179" w:rsidRDefault="00000000">
      <w:r>
        <w:t>[NBN EN 12604:2017+A1, Portes et portails industriels, commerciaux et résidentiels - Aspects mécaniques - Exigences et méthodes d'essai]</w:t>
      </w:r>
    </w:p>
    <w:p w14:paraId="48AE37DA" w14:textId="77777777" w:rsidR="00772179" w:rsidRDefault="00000000">
      <w:pPr>
        <w:ind w:left="750"/>
      </w:pPr>
      <w:r>
        <w:t> </w:t>
      </w:r>
    </w:p>
    <w:p w14:paraId="5EA18CEC" w14:textId="77777777" w:rsidR="00772179" w:rsidRDefault="00000000">
      <w:pPr>
        <w:pStyle w:val="pheading"/>
      </w:pPr>
      <w:r>
        <w:t>MESURAGE</w:t>
      </w:r>
    </w:p>
    <w:p w14:paraId="76A814B2" w14:textId="77777777" w:rsidR="00772179" w:rsidRDefault="00000000">
      <w:pPr>
        <w:pStyle w:val="pheading"/>
      </w:pPr>
      <w:r>
        <w:t>- unité de mesure:</w:t>
      </w:r>
    </w:p>
    <w:p w14:paraId="292EDE23" w14:textId="77777777" w:rsidR="00772179" w:rsidRDefault="00000000">
      <w:r>
        <w:rPr>
          <w:rStyle w:val="optioncarChar"/>
        </w:rPr>
        <w:t>m²</w:t>
      </w:r>
      <w:r>
        <w:t xml:space="preserve"> (par défaut) </w:t>
      </w:r>
      <w:r>
        <w:rPr>
          <w:rStyle w:val="optioncarChar"/>
        </w:rPr>
        <w:t>/ pc</w:t>
      </w:r>
    </w:p>
    <w:p w14:paraId="060CA6BB" w14:textId="77777777" w:rsidR="00772179" w:rsidRDefault="00000000">
      <w:r>
        <w:rPr>
          <w:b/>
          <w:i/>
        </w:rPr>
        <w:t>(soit par défaut)</w:t>
      </w:r>
    </w:p>
    <w:p w14:paraId="2E650863" w14:textId="77777777" w:rsidR="00772179" w:rsidRDefault="00000000">
      <w:r>
        <w:rPr>
          <w:rStyle w:val="soitChar"/>
        </w:rPr>
        <w:t>   1. m² </w:t>
      </w:r>
    </w:p>
    <w:p w14:paraId="74FF7722" w14:textId="77777777" w:rsidR="00772179" w:rsidRDefault="00000000">
      <w:r>
        <w:rPr>
          <w:b/>
          <w:i/>
        </w:rPr>
        <w:t>(soit)</w:t>
      </w:r>
    </w:p>
    <w:p w14:paraId="078A43E6" w14:textId="77777777" w:rsidR="00772179" w:rsidRDefault="00000000">
      <w:r>
        <w:rPr>
          <w:rStyle w:val="soitChar"/>
        </w:rPr>
        <w:t>   2. pc.</w:t>
      </w:r>
    </w:p>
    <w:p w14:paraId="5E5B7B6F" w14:textId="77777777" w:rsidR="00772179" w:rsidRDefault="00772179"/>
    <w:p w14:paraId="769B49F5" w14:textId="77777777" w:rsidR="00772179" w:rsidRDefault="00000000">
      <w:pPr>
        <w:pStyle w:val="pheading"/>
      </w:pPr>
      <w:r>
        <w:t>- code de mesurage:</w:t>
      </w:r>
    </w:p>
    <w:p w14:paraId="3E7126C7" w14:textId="77777777" w:rsidR="00772179" w:rsidRDefault="00000000">
      <w:pPr>
        <w:jc w:val="both"/>
      </w:pPr>
      <w:r>
        <w:rPr>
          <w:rStyle w:val="optioncarChar"/>
        </w:rPr>
        <w:t xml:space="preserve">Surface nette </w:t>
      </w:r>
      <w:r>
        <w:t xml:space="preserve">(par défaut) </w:t>
      </w:r>
      <w:r>
        <w:rPr>
          <w:rStyle w:val="optioncarChar"/>
        </w:rPr>
        <w:t>/ quantité nette</w:t>
      </w:r>
    </w:p>
    <w:p w14:paraId="15E973FE" w14:textId="77777777" w:rsidR="00772179" w:rsidRDefault="00000000">
      <w:pPr>
        <w:jc w:val="both"/>
      </w:pPr>
      <w:r>
        <w:rPr>
          <w:b/>
          <w:i/>
        </w:rPr>
        <w:t>(soit par défaut)</w:t>
      </w:r>
    </w:p>
    <w:p w14:paraId="381386A1" w14:textId="77777777" w:rsidR="00772179" w:rsidRDefault="00000000">
      <w:pPr>
        <w:jc w:val="both"/>
      </w:pPr>
      <w:r>
        <w:rPr>
          <w:rStyle w:val="soitChar"/>
          <w:u w:val="single"/>
        </w:rPr>
        <w:t>1. Surface nette</w:t>
      </w:r>
      <w:r>
        <w:rPr>
          <w:rStyle w:val="soitChar"/>
        </w:rPr>
        <w:t xml:space="preserve"> en développement des dimensions dans l'œuvre. (En principe, globalement, toutefois, le cas échéant, ventilé selon le type ou le modèle conformément aux indications dans le métré récapitulatif annexé au dossier d'adjudication)</w:t>
      </w:r>
    </w:p>
    <w:p w14:paraId="6020A088" w14:textId="77777777" w:rsidR="00772179" w:rsidRDefault="00000000">
      <w:pPr>
        <w:jc w:val="both"/>
      </w:pPr>
      <w:r>
        <w:rPr>
          <w:b/>
          <w:i/>
        </w:rPr>
        <w:t>(soit)</w:t>
      </w:r>
    </w:p>
    <w:p w14:paraId="5EBB7DA3" w14:textId="77777777" w:rsidR="00772179" w:rsidRDefault="00000000">
      <w:pPr>
        <w:jc w:val="both"/>
      </w:pPr>
      <w:r>
        <w:rPr>
          <w:rStyle w:val="soitChar"/>
          <w:u w:val="single"/>
        </w:rPr>
        <w:t>2. Quantité nette</w:t>
      </w:r>
      <w:r>
        <w:rPr>
          <w:rStyle w:val="soitChar"/>
        </w:rPr>
        <w:t xml:space="preserve"> à mettre en œuvre, distinction faite suivant le type (nature, mouvement, performances spéciales ; dimensions nominales, forme et aspect).</w:t>
      </w:r>
    </w:p>
    <w:p w14:paraId="59CFB632" w14:textId="77777777" w:rsidR="00772179" w:rsidRDefault="00000000">
      <w:pPr>
        <w:pStyle w:val="pheading"/>
      </w:pPr>
      <w:r>
        <w:t>- nature du marché:</w:t>
      </w:r>
    </w:p>
    <w:p w14:paraId="108D9028" w14:textId="77777777" w:rsidR="00772179" w:rsidRDefault="00000000">
      <w:r>
        <w:t>QF</w:t>
      </w:r>
    </w:p>
    <w:p w14:paraId="21E008E7" w14:textId="77777777" w:rsidR="00772179" w:rsidRDefault="00000000">
      <w:pPr>
        <w:pStyle w:val="Author-eSectionHeading5Numberless"/>
      </w:pPr>
      <w:bookmarkStart w:id="157" w:name="_Toc220489902"/>
      <w:r>
        <w:t>41.32.3 Portes de garage à usage collectif coulissantes CCTB 01.02</w:t>
      </w:r>
      <w:bookmarkEnd w:id="157"/>
    </w:p>
    <w:p w14:paraId="2AC24C81" w14:textId="77777777" w:rsidR="00772179" w:rsidRDefault="00000000">
      <w:pPr>
        <w:pStyle w:val="Author-eSectionHeading6Numberless"/>
      </w:pPr>
      <w:bookmarkStart w:id="158" w:name="_Toc220489903"/>
      <w:r>
        <w:t>41.32.3a Portes de garage à usage collectif coulissantes en bois</w:t>
      </w:r>
      <w:bookmarkEnd w:id="158"/>
    </w:p>
    <w:p w14:paraId="7AFDA862" w14:textId="77777777" w:rsidR="00772179" w:rsidRDefault="00000000">
      <w:pPr>
        <w:pStyle w:val="Author-eSectionHeading6Numberless"/>
      </w:pPr>
      <w:bookmarkStart w:id="159" w:name="_Toc220489904"/>
      <w:r>
        <w:t>41.32.3b Portes de garage à usage collectif coulissantes en aluminium</w:t>
      </w:r>
      <w:bookmarkEnd w:id="159"/>
    </w:p>
    <w:p w14:paraId="7031A84B" w14:textId="77777777" w:rsidR="00772179" w:rsidRDefault="00000000">
      <w:pPr>
        <w:pStyle w:val="Author-eSectionHeading6Numberless"/>
      </w:pPr>
      <w:bookmarkStart w:id="160" w:name="_Toc220489905"/>
      <w:r>
        <w:t>41.32.3c Portes de garage à usage collectif coulissantes en acier</w:t>
      </w:r>
      <w:bookmarkEnd w:id="160"/>
    </w:p>
    <w:p w14:paraId="3C122647" w14:textId="77777777" w:rsidR="00772179" w:rsidRDefault="00000000">
      <w:pPr>
        <w:pStyle w:val="Author-eSectionHeading6Numberless"/>
      </w:pPr>
      <w:bookmarkStart w:id="161" w:name="_Toc220489906"/>
      <w:r>
        <w:lastRenderedPageBreak/>
        <w:t>41.32.3d Portes de garage à usage collectif coulissantes en PVC</w:t>
      </w:r>
      <w:bookmarkEnd w:id="161"/>
    </w:p>
    <w:p w14:paraId="1F535453" w14:textId="77777777" w:rsidR="00772179" w:rsidRDefault="00000000">
      <w:pPr>
        <w:pStyle w:val="Author-eSectionHeading6Numberless"/>
      </w:pPr>
      <w:bookmarkStart w:id="162" w:name="_Toc220489907"/>
      <w:r>
        <w:t>41.32.3e Portes de garage à usage collectif coulissantes en verre</w:t>
      </w:r>
      <w:bookmarkEnd w:id="162"/>
    </w:p>
    <w:p w14:paraId="5AD6C885" w14:textId="77777777" w:rsidR="00772179" w:rsidRDefault="00000000">
      <w:pPr>
        <w:pStyle w:val="Author-eSectionHeading6Numberless"/>
      </w:pPr>
      <w:bookmarkStart w:id="163" w:name="_Toc220489908"/>
      <w:r>
        <w:t>41.32.3f Portes de garage à usage collectif coulissantes en matériaux composites</w:t>
      </w:r>
      <w:bookmarkEnd w:id="163"/>
    </w:p>
    <w:p w14:paraId="7CD78462" w14:textId="77777777" w:rsidR="00772179" w:rsidRDefault="00000000">
      <w:pPr>
        <w:pStyle w:val="Author-eSectionHeading5Numberless"/>
      </w:pPr>
      <w:bookmarkStart w:id="164" w:name="_Toc220489909"/>
      <w:r>
        <w:t>41.32.4 Portes de garage à usage collectif accordéon CCTB 01.02</w:t>
      </w:r>
      <w:bookmarkEnd w:id="164"/>
    </w:p>
    <w:p w14:paraId="72FE9D48" w14:textId="77777777" w:rsidR="00772179" w:rsidRDefault="00000000">
      <w:pPr>
        <w:pStyle w:val="Author-eSectionHeading6Numberless"/>
      </w:pPr>
      <w:bookmarkStart w:id="165" w:name="_Toc220489910"/>
      <w:r>
        <w:t>41.32.4a Portes de garage à usage collectif accordéon en bois</w:t>
      </w:r>
      <w:bookmarkEnd w:id="165"/>
    </w:p>
    <w:p w14:paraId="2CE4D2C3" w14:textId="77777777" w:rsidR="00772179" w:rsidRDefault="00000000">
      <w:pPr>
        <w:pStyle w:val="Author-eSectionHeading6Numberless"/>
      </w:pPr>
      <w:bookmarkStart w:id="166" w:name="_Toc220489911"/>
      <w:r>
        <w:t>41.32.4b Portes de garage à usage collectif accordéon en aluminium</w:t>
      </w:r>
      <w:bookmarkEnd w:id="166"/>
    </w:p>
    <w:p w14:paraId="61764334" w14:textId="77777777" w:rsidR="00772179" w:rsidRDefault="00000000">
      <w:pPr>
        <w:pStyle w:val="Author-eSectionHeading6Numberless"/>
      </w:pPr>
      <w:bookmarkStart w:id="167" w:name="_Toc220489912"/>
      <w:r>
        <w:t>41.32.4c Portes de garage à usage collectif accordéon en acier</w:t>
      </w:r>
      <w:bookmarkEnd w:id="167"/>
    </w:p>
    <w:p w14:paraId="10FCFCDB" w14:textId="77777777" w:rsidR="00772179" w:rsidRDefault="00000000">
      <w:pPr>
        <w:pStyle w:val="Author-eSectionHeading6Numberless"/>
      </w:pPr>
      <w:bookmarkStart w:id="168" w:name="_Toc220489913"/>
      <w:r>
        <w:t>41.32.4d Portes de garage à usage collectif accordéon en PVC</w:t>
      </w:r>
      <w:bookmarkEnd w:id="168"/>
    </w:p>
    <w:p w14:paraId="547D24AA" w14:textId="77777777" w:rsidR="00772179" w:rsidRDefault="00000000">
      <w:pPr>
        <w:pStyle w:val="Author-eSectionHeading6Numberless"/>
      </w:pPr>
      <w:bookmarkStart w:id="169" w:name="_Toc220489914"/>
      <w:r>
        <w:t>41.32.4e Portes de garage à usage collectif accordéon en verre</w:t>
      </w:r>
      <w:bookmarkEnd w:id="169"/>
    </w:p>
    <w:p w14:paraId="5FF4760E" w14:textId="77777777" w:rsidR="00772179" w:rsidRDefault="00000000">
      <w:pPr>
        <w:pStyle w:val="Author-eSectionHeading6Numberless"/>
      </w:pPr>
      <w:bookmarkStart w:id="170" w:name="_Toc220489915"/>
      <w:r>
        <w:t>41.32.4f Portes de garage à usage collectif accordéon en matériaux composites</w:t>
      </w:r>
      <w:bookmarkEnd w:id="170"/>
    </w:p>
    <w:p w14:paraId="4061F14B" w14:textId="77777777" w:rsidR="00772179" w:rsidRDefault="00000000">
      <w:pPr>
        <w:pStyle w:val="Author-eSectionHeading5Numberless"/>
      </w:pPr>
      <w:bookmarkStart w:id="171" w:name="_Toc220489916"/>
      <w:r>
        <w:t>41.32.5 Portes de garage à usage collectif à enroulement à lamelles CCTB 01.02</w:t>
      </w:r>
      <w:bookmarkEnd w:id="171"/>
    </w:p>
    <w:p w14:paraId="0872ADE8" w14:textId="77777777" w:rsidR="00772179" w:rsidRDefault="00000000">
      <w:pPr>
        <w:pStyle w:val="Author-eSectionHeading6Numberless"/>
      </w:pPr>
      <w:bookmarkStart w:id="172" w:name="_Toc220489917"/>
      <w:r>
        <w:t>41.32.5a Portes de garage à usage collectif à enroulement à lamelles en bois</w:t>
      </w:r>
      <w:bookmarkEnd w:id="172"/>
    </w:p>
    <w:p w14:paraId="328640B9" w14:textId="77777777" w:rsidR="00772179" w:rsidRDefault="00000000">
      <w:pPr>
        <w:pStyle w:val="Author-eSectionHeading6Numberless"/>
      </w:pPr>
      <w:bookmarkStart w:id="173" w:name="_Toc220489918"/>
      <w:r>
        <w:t>41.32.5b Portes de garage à usage collectif à enroulement à lamelles en aluminium</w:t>
      </w:r>
      <w:bookmarkEnd w:id="173"/>
    </w:p>
    <w:p w14:paraId="636DCFD3" w14:textId="77777777" w:rsidR="00772179" w:rsidRDefault="00000000">
      <w:pPr>
        <w:pStyle w:val="Author-eSectionHeading6Numberless"/>
      </w:pPr>
      <w:bookmarkStart w:id="174" w:name="_Toc220489919"/>
      <w:r>
        <w:t>41.32.5c Portes de garage à usage collectif à enroulement à lamelles en acier</w:t>
      </w:r>
      <w:bookmarkEnd w:id="174"/>
    </w:p>
    <w:p w14:paraId="06CAAA99" w14:textId="77777777" w:rsidR="00772179" w:rsidRDefault="00000000">
      <w:pPr>
        <w:pStyle w:val="Author-eSectionHeading6Numberless"/>
      </w:pPr>
      <w:bookmarkStart w:id="175" w:name="_Toc220489920"/>
      <w:r>
        <w:t>41.32.5d Portes de garage à usage collectif à enroulement à lamelles en PVC</w:t>
      </w:r>
      <w:bookmarkEnd w:id="175"/>
    </w:p>
    <w:p w14:paraId="27FF5400" w14:textId="77777777" w:rsidR="00772179" w:rsidRDefault="00000000">
      <w:pPr>
        <w:pStyle w:val="Author-eSectionHeading6Numberless"/>
      </w:pPr>
      <w:bookmarkStart w:id="176" w:name="_Toc220489921"/>
      <w:r>
        <w:t>41.32.5e Portes de garage à usage collectif à enroulement à lamelles en matériaux composites</w:t>
      </w:r>
      <w:bookmarkEnd w:id="176"/>
    </w:p>
    <w:p w14:paraId="0946421F" w14:textId="77777777" w:rsidR="00772179" w:rsidRDefault="00000000">
      <w:pPr>
        <w:pStyle w:val="Author-eSectionHeading5Numberless"/>
      </w:pPr>
      <w:bookmarkStart w:id="177" w:name="_Toc220489922"/>
      <w:r>
        <w:t>41.32.6 Portes de garage à usage collectif à enroulement en toile CCTB 01.04</w:t>
      </w:r>
      <w:bookmarkEnd w:id="177"/>
    </w:p>
    <w:p w14:paraId="676342A0" w14:textId="77777777" w:rsidR="00772179" w:rsidRDefault="00000000">
      <w:pPr>
        <w:pStyle w:val="Author-eSectionHeading6Numberless"/>
      </w:pPr>
      <w:bookmarkStart w:id="178" w:name="_Toc220489923"/>
      <w:r>
        <w:t>41.32.6a Portes de garage à usage collectif à enroulement en toile</w:t>
      </w:r>
      <w:bookmarkEnd w:id="178"/>
    </w:p>
    <w:p w14:paraId="65FFEA23" w14:textId="77777777" w:rsidR="00772179" w:rsidRDefault="00000000">
      <w:pPr>
        <w:pStyle w:val="Author-eSectionHeading5Numberless"/>
      </w:pPr>
      <w:bookmarkStart w:id="179" w:name="_Toc220489924"/>
      <w:r>
        <w:t>41.32.7 Portes de garage à usage collectif à enroulement en grillage CCTB 01.04</w:t>
      </w:r>
      <w:bookmarkEnd w:id="179"/>
    </w:p>
    <w:p w14:paraId="25C61DC7" w14:textId="77777777" w:rsidR="00772179" w:rsidRDefault="00000000">
      <w:pPr>
        <w:pStyle w:val="Author-eSectionHeading6Numberless"/>
      </w:pPr>
      <w:bookmarkStart w:id="180" w:name="_Toc220489925"/>
      <w:r>
        <w:t>41.32.7a Portes de garage à usage collectif à enroulement en grillage en acier</w:t>
      </w:r>
      <w:bookmarkEnd w:id="180"/>
    </w:p>
    <w:p w14:paraId="3C7125B3" w14:textId="77777777" w:rsidR="00772179" w:rsidRDefault="00000000">
      <w:pPr>
        <w:pStyle w:val="Author-eSectionHeading6Numberless"/>
      </w:pPr>
      <w:bookmarkStart w:id="181" w:name="_Toc220489926"/>
      <w:r>
        <w:t>41.32.7b Portes de garage à usage collectif à enroulement en grillage en aluminium</w:t>
      </w:r>
      <w:bookmarkEnd w:id="181"/>
    </w:p>
    <w:p w14:paraId="5BC005AA" w14:textId="77777777" w:rsidR="00772179" w:rsidRDefault="00000000">
      <w:pPr>
        <w:pStyle w:val="Author-eSectionHeading6Numberless"/>
      </w:pPr>
      <w:bookmarkStart w:id="182" w:name="_Toc220489927"/>
      <w:r>
        <w:t>41.32.7c Portes de garage à usage collectif à enroulement en grillage en matières synthétiques</w:t>
      </w:r>
      <w:bookmarkEnd w:id="182"/>
    </w:p>
    <w:p w14:paraId="70A62917" w14:textId="77777777" w:rsidR="00772179" w:rsidRDefault="00000000">
      <w:pPr>
        <w:pStyle w:val="Author-eSectionHeading3Numberless"/>
      </w:pPr>
      <w:bookmarkStart w:id="183" w:name="_Toc220489928"/>
      <w:r>
        <w:t>41.4 Systèmes de façades CCTB 01.11</w:t>
      </w:r>
      <w:bookmarkEnd w:id="183"/>
    </w:p>
    <w:p w14:paraId="31834B7F" w14:textId="77777777" w:rsidR="00772179" w:rsidRDefault="00000000">
      <w:pPr>
        <w:pStyle w:val="pheading"/>
      </w:pPr>
      <w:bookmarkStart w:id="184" w:name="916"/>
      <w:bookmarkEnd w:id="184"/>
      <w:r>
        <w:t>DESCRIPTION</w:t>
      </w:r>
    </w:p>
    <w:p w14:paraId="14F40F98" w14:textId="77777777" w:rsidR="00772179" w:rsidRDefault="00000000">
      <w:pPr>
        <w:pStyle w:val="pheading"/>
      </w:pPr>
      <w:r>
        <w:t>- Définition / Comprend</w:t>
      </w:r>
    </w:p>
    <w:p w14:paraId="7207067E" w14:textId="77777777" w:rsidR="00772179" w:rsidRDefault="00000000">
      <w:pPr>
        <w:jc w:val="both"/>
      </w:pPr>
      <w:r>
        <w:t>Il s’agit de la fourniture et la pose de tous les éléments constituant les systèmes de façades, y compris toutes les pièces qui en font intrinsèquement partie.</w:t>
      </w:r>
    </w:p>
    <w:p w14:paraId="12910C88" w14:textId="77777777" w:rsidR="00772179" w:rsidRDefault="00000000">
      <w:pPr>
        <w:jc w:val="both"/>
      </w:pPr>
      <w:r>
        <w:t>Une façade légère est une façade extérieure d´un bâtiment généralement constituée de métal, de bois ou de PVC, comportant des éléments de structure horizontaux et verticaux assemblés entre eux et fixés à la structure porteuse du bâtiment comportant des remplissages de sorte à constituer une enveloppe continue et légère, qui assure elle-même ou en complément de la structure du bâtiment, l´ensemble des fonctions d´un mur extérieur. Elle ne participe pas à la stabilité du bâtiment.</w:t>
      </w:r>
    </w:p>
    <w:p w14:paraId="619A8184" w14:textId="77777777" w:rsidR="00772179" w:rsidRDefault="00000000">
      <w:pPr>
        <w:jc w:val="both"/>
      </w:pPr>
      <w:r>
        <w:lastRenderedPageBreak/>
        <w:t xml:space="preserve">On distingue généralement, en fonction de la position de la façade légère par rapport au nez de plancher et aux ouvrages verticaux de structure d’une construction les </w:t>
      </w:r>
      <w:r>
        <w:rPr>
          <w:rStyle w:val="optioncarChar"/>
        </w:rPr>
        <w:t xml:space="preserve">façades rideaux </w:t>
      </w:r>
      <w:r>
        <w:t xml:space="preserve">(par défaut) </w:t>
      </w:r>
      <w:r>
        <w:rPr>
          <w:rStyle w:val="optioncarChar"/>
        </w:rPr>
        <w:t>(constituées d’une ou plusieurs parois, situées entièrement en avant des nez de planchers) / les façades semi-rideaux (façades multi-parois dont la paroi extérieure est située en avant des nez de planchers et dont la paroi intérieure est insérée entre deux planchers consécutifs) / les façades panneaux (façades mono ou multi parois insérées entièrement entre les planchers) / ***</w:t>
      </w:r>
      <w:r>
        <w:t>.</w:t>
      </w:r>
    </w:p>
    <w:p w14:paraId="7F67830F" w14:textId="77777777" w:rsidR="00772179" w:rsidRDefault="00000000">
      <w:pPr>
        <w:pStyle w:val="pheading"/>
      </w:pPr>
      <w:r>
        <w:t>- Remarques importantes</w:t>
      </w:r>
    </w:p>
    <w:p w14:paraId="411BDC0C" w14:textId="77777777" w:rsidR="00772179" w:rsidRDefault="00000000">
      <w:pPr>
        <w:pStyle w:val="Author-eListParagraph"/>
        <w:numPr>
          <w:ilvl w:val="0"/>
          <w:numId w:val="430"/>
        </w:numPr>
        <w:jc w:val="both"/>
      </w:pPr>
      <w:r>
        <w:t>Il est possible que certains de ces éléments soient décrits dans des articles éléments séparés (</w:t>
      </w:r>
      <w:hyperlink w:anchor="852" w:history="1">
        <w:r>
          <w:rPr>
            <w:color w:val="0000EE"/>
          </w:rPr>
          <w:t>42 Vitrages extérieurs et éléments de remplissage</w:t>
        </w:r>
      </w:hyperlink>
      <w:r>
        <w:t xml:space="preserve">, </w:t>
      </w:r>
      <w:hyperlink w:anchor="884" w:history="1">
        <w:r>
          <w:rPr>
            <w:color w:val="0000EE"/>
          </w:rPr>
          <w:t>41.72 Quincailleries</w:t>
        </w:r>
      </w:hyperlink>
      <w:r>
        <w:t xml:space="preserve"> …). Toutefois, sauf indication contraire dans le métré récapitulatif, ils sont toujours compris dans le prix unitaire.</w:t>
      </w:r>
    </w:p>
    <w:p w14:paraId="64D58D1A" w14:textId="77777777" w:rsidR="00772179" w:rsidRDefault="00000000">
      <w:pPr>
        <w:pStyle w:val="Author-eListParagraph"/>
        <w:numPr>
          <w:ilvl w:val="0"/>
          <w:numId w:val="430"/>
        </w:numPr>
        <w:jc w:val="both"/>
      </w:pPr>
      <w:r>
        <w:t>Les éventuels travaux de démolition des systèmes de façades existants, sont compris dans un élément séparé (voir 06.35.1 Démontages de menuiseries et vitrages extérieurs).</w:t>
      </w:r>
    </w:p>
    <w:p w14:paraId="6F9308FE" w14:textId="77777777" w:rsidR="00772179" w:rsidRDefault="00000000">
      <w:pPr>
        <w:pStyle w:val="pheading"/>
      </w:pPr>
      <w:r>
        <w:t>MATÉRIAUX</w:t>
      </w:r>
    </w:p>
    <w:p w14:paraId="76CCDD59" w14:textId="77777777" w:rsidR="00772179" w:rsidRDefault="00000000">
      <w:pPr>
        <w:jc w:val="both"/>
      </w:pPr>
      <w:r>
        <w:t>La description de l’élément « Systèmes de façades légères » contient les informations suivantes :</w:t>
      </w:r>
    </w:p>
    <w:p w14:paraId="2C54A0E2" w14:textId="77777777" w:rsidR="00772179" w:rsidRDefault="00000000">
      <w:pPr>
        <w:pStyle w:val="Author-eListParagraph"/>
        <w:numPr>
          <w:ilvl w:val="0"/>
          <w:numId w:val="431"/>
        </w:numPr>
      </w:pPr>
      <w:r>
        <w:t>un ensemble de profilés de résistance compatibles les uns avec les autres, en ce compris leurs techniques d'assemblage et d'étanchéisation (profilé, assemblage montant-traverses, joint de dilatation, assemblage des cadres),</w:t>
      </w:r>
    </w:p>
    <w:p w14:paraId="45ACDA30" w14:textId="77777777" w:rsidR="00772179" w:rsidRDefault="00000000">
      <w:pPr>
        <w:pStyle w:val="Author-eListParagraph"/>
        <w:numPr>
          <w:ilvl w:val="0"/>
          <w:numId w:val="431"/>
        </w:numPr>
      </w:pPr>
      <w:r>
        <w:t>un ensemble de profilés accessoires</w:t>
      </w:r>
    </w:p>
    <w:p w14:paraId="133B4659" w14:textId="77777777" w:rsidR="00772179" w:rsidRDefault="00000000">
      <w:pPr>
        <w:pStyle w:val="Author-eListParagraph"/>
        <w:numPr>
          <w:ilvl w:val="0"/>
          <w:numId w:val="431"/>
        </w:numPr>
      </w:pPr>
      <w:r>
        <w:t>un ensemble d'accessoires,</w:t>
      </w:r>
    </w:p>
    <w:p w14:paraId="64066ED1" w14:textId="77777777" w:rsidR="00772179" w:rsidRDefault="00000000">
      <w:pPr>
        <w:pStyle w:val="Author-eListParagraph"/>
        <w:numPr>
          <w:ilvl w:val="0"/>
          <w:numId w:val="431"/>
        </w:numPr>
      </w:pPr>
      <w:r>
        <w:t>le ou les éléments de remplissage,</w:t>
      </w:r>
    </w:p>
    <w:p w14:paraId="65D62163" w14:textId="77777777" w:rsidR="00772179" w:rsidRDefault="00000000">
      <w:pPr>
        <w:pStyle w:val="Author-eListParagraph"/>
        <w:numPr>
          <w:ilvl w:val="0"/>
          <w:numId w:val="431"/>
        </w:numPr>
      </w:pPr>
      <w:r>
        <w:t xml:space="preserve">une technique d'étanchéité à l'air et à l'eau comprenant </w:t>
      </w:r>
    </w:p>
    <w:p w14:paraId="62CBCE85" w14:textId="77777777" w:rsidR="00772179" w:rsidRDefault="00000000">
      <w:pPr>
        <w:pStyle w:val="Author-eListParagraph"/>
        <w:numPr>
          <w:ilvl w:val="1"/>
          <w:numId w:val="432"/>
        </w:numPr>
      </w:pPr>
      <w:r>
        <w:t>les préformés d'étanchéité</w:t>
      </w:r>
    </w:p>
    <w:p w14:paraId="3FBEB250" w14:textId="77777777" w:rsidR="00772179" w:rsidRDefault="00000000">
      <w:pPr>
        <w:pStyle w:val="Author-eListParagraph"/>
        <w:numPr>
          <w:ilvl w:val="1"/>
          <w:numId w:val="432"/>
        </w:numPr>
      </w:pPr>
      <w:r>
        <w:t>la technique de drainage et de ventilation des feuillures</w:t>
      </w:r>
    </w:p>
    <w:p w14:paraId="11CB736B" w14:textId="77777777" w:rsidR="00772179" w:rsidRDefault="00000000">
      <w:pPr>
        <w:pStyle w:val="Author-eListParagraph"/>
        <w:numPr>
          <w:ilvl w:val="1"/>
          <w:numId w:val="432"/>
        </w:numPr>
      </w:pPr>
      <w:r>
        <w:t>les dispositions complémentaires d’étanchéité</w:t>
      </w:r>
    </w:p>
    <w:p w14:paraId="451786DE" w14:textId="77777777" w:rsidR="00772179" w:rsidRDefault="00000000">
      <w:pPr>
        <w:pStyle w:val="Author-eListParagraph"/>
        <w:numPr>
          <w:ilvl w:val="1"/>
          <w:numId w:val="432"/>
        </w:numPr>
      </w:pPr>
      <w:r>
        <w:t>l’étanchéité des angles des profilés d'étanchéité</w:t>
      </w:r>
    </w:p>
    <w:p w14:paraId="329DD8ED" w14:textId="77777777" w:rsidR="00772179" w:rsidRDefault="00000000">
      <w:pPr>
        <w:pStyle w:val="Author-eListParagraph"/>
        <w:numPr>
          <w:ilvl w:val="1"/>
          <w:numId w:val="432"/>
        </w:numPr>
      </w:pPr>
      <w:r>
        <w:t>tout autre dispositif d'étanchéité ou d'étanchéisation (bavettes, rejet d'eau, compartimentage….),</w:t>
      </w:r>
    </w:p>
    <w:p w14:paraId="6C97D39D" w14:textId="77777777" w:rsidR="00772179" w:rsidRDefault="00000000">
      <w:pPr>
        <w:pStyle w:val="Author-eListParagraph"/>
        <w:numPr>
          <w:ilvl w:val="0"/>
          <w:numId w:val="431"/>
        </w:numPr>
      </w:pPr>
      <w:r>
        <w:t>une quincaillerie identifiée par une marque et une série,</w:t>
      </w:r>
    </w:p>
    <w:p w14:paraId="179E0DDF" w14:textId="77777777" w:rsidR="00772179" w:rsidRDefault="00000000">
      <w:pPr>
        <w:pStyle w:val="Author-eListParagraph"/>
        <w:numPr>
          <w:ilvl w:val="0"/>
          <w:numId w:val="431"/>
        </w:numPr>
      </w:pPr>
      <w:r>
        <w:t xml:space="preserve">une technique de pose des éléments de remplissage comprenant </w:t>
      </w:r>
    </w:p>
    <w:p w14:paraId="2586E3C7" w14:textId="77777777" w:rsidR="00772179" w:rsidRDefault="00000000">
      <w:pPr>
        <w:pStyle w:val="Author-eListParagraph"/>
        <w:numPr>
          <w:ilvl w:val="1"/>
          <w:numId w:val="433"/>
        </w:numPr>
      </w:pPr>
      <w:r>
        <w:t>le calage des éléments de remplissage et les accessoires</w:t>
      </w:r>
    </w:p>
    <w:p w14:paraId="42DD12DF" w14:textId="77777777" w:rsidR="00772179" w:rsidRDefault="00000000">
      <w:pPr>
        <w:pStyle w:val="Author-eListParagraph"/>
        <w:numPr>
          <w:ilvl w:val="1"/>
          <w:numId w:val="433"/>
        </w:numPr>
      </w:pPr>
      <w:r>
        <w:t>l'étanchéité des éléments de remplissage par mastic ou préformés</w:t>
      </w:r>
    </w:p>
    <w:p w14:paraId="3629DD17" w14:textId="77777777" w:rsidR="00772179" w:rsidRDefault="00000000">
      <w:pPr>
        <w:pStyle w:val="Author-eListParagraph"/>
        <w:numPr>
          <w:ilvl w:val="0"/>
          <w:numId w:val="431"/>
        </w:numPr>
      </w:pPr>
      <w:r>
        <w:t>une technique de reprise des mouvements : joint de dilatation et joint de montage et leur étanchéisation,</w:t>
      </w:r>
    </w:p>
    <w:p w14:paraId="7F137A4B" w14:textId="77777777" w:rsidR="00772179" w:rsidRDefault="00000000">
      <w:pPr>
        <w:pStyle w:val="Author-eListParagraph"/>
        <w:numPr>
          <w:ilvl w:val="0"/>
          <w:numId w:val="431"/>
        </w:numPr>
      </w:pPr>
      <w:r>
        <w:t>tous les autres composants : grille de ventilation …</w:t>
      </w:r>
    </w:p>
    <w:p w14:paraId="29477F44" w14:textId="77777777" w:rsidR="00772179" w:rsidRDefault="00000000">
      <w:pPr>
        <w:jc w:val="both"/>
      </w:pPr>
      <w:r>
        <w:t>L'entrepreneur soumet, avant l'exécution, à l'approbation du maître d’ouvrage et de l’auteur de projet :</w:t>
      </w:r>
    </w:p>
    <w:p w14:paraId="36EA1C76" w14:textId="77777777" w:rsidR="00772179" w:rsidRDefault="00000000">
      <w:pPr>
        <w:pStyle w:val="Author-eListParagraph"/>
        <w:numPr>
          <w:ilvl w:val="0"/>
          <w:numId w:val="434"/>
        </w:numPr>
      </w:pPr>
      <w:r>
        <w:t>les notes de calcul nécessaires, les certificats de garantie et autres marquage, …</w:t>
      </w:r>
    </w:p>
    <w:p w14:paraId="4E529CA7" w14:textId="77777777" w:rsidR="00772179" w:rsidRDefault="00000000">
      <w:pPr>
        <w:pStyle w:val="Author-eListParagraph"/>
        <w:numPr>
          <w:ilvl w:val="0"/>
          <w:numId w:val="434"/>
        </w:numPr>
      </w:pPr>
      <w:r>
        <w:t>les dessins de détail et bordereaux de commande,</w:t>
      </w:r>
    </w:p>
    <w:p w14:paraId="52509EF0" w14:textId="77777777" w:rsidR="00772179" w:rsidRDefault="00000000">
      <w:pPr>
        <w:pStyle w:val="Author-eListParagraph"/>
        <w:numPr>
          <w:ilvl w:val="0"/>
          <w:numId w:val="434"/>
        </w:numPr>
      </w:pPr>
      <w:r>
        <w:t>les échantillons et/ou les prototypes des différentes composantes. Cet échantillon reste à la disposition de l’auteur de projet ou du maître de l’ouvrage jusqu'à la réception provisoire.</w:t>
      </w:r>
    </w:p>
    <w:p w14:paraId="79EE4915" w14:textId="77777777" w:rsidR="00772179" w:rsidRDefault="00000000">
      <w:pPr>
        <w:pStyle w:val="Author-eListParagraph"/>
        <w:numPr>
          <w:ilvl w:val="0"/>
          <w:numId w:val="434"/>
        </w:numPr>
      </w:pPr>
      <w:r>
        <w:t>une carte de couleurs de la gamme des couleurs livrées par le fabricant (profilés de support, parcloses …).</w:t>
      </w:r>
    </w:p>
    <w:p w14:paraId="45769A0C" w14:textId="77777777" w:rsidR="00772179" w:rsidRDefault="00000000">
      <w:pPr>
        <w:jc w:val="both"/>
      </w:pPr>
      <w:r>
        <w:t>Les performances générales des façades rideaux sont établies sur la base de la norme de produit [NBN EN 13830:2015+A1]. Les niveaux d’exigences y afférant sont repris dans la [NBN B 25-002-1].</w:t>
      </w:r>
    </w:p>
    <w:p w14:paraId="72009C18" w14:textId="77777777" w:rsidR="00772179" w:rsidRDefault="00000000">
      <w:pPr>
        <w:jc w:val="both"/>
      </w:pPr>
      <w:r>
        <w:rPr>
          <w:b/>
          <w:u w:val="single"/>
        </w:rPr>
        <w:t>Perméabilité à l'air, étanchéité à l'eau, résistance au vent</w:t>
      </w:r>
    </w:p>
    <w:p w14:paraId="1C71277A" w14:textId="77777777" w:rsidR="00772179" w:rsidRDefault="00000000">
      <w:pPr>
        <w:jc w:val="both"/>
      </w:pPr>
      <w:r>
        <w:t>Les façades rideaux satisfont aux critères minimums de performance générale en matière de perméabilité à l'air, d'étanchéité à l'eau, de résistance aux actions du vent, tels que mentionnés dans les tableaux 29 (façades rideaux avec parties fixes), 30 (façades rideaux comportant des parties ouvrantes uniquement) et 31 (façades rideaux comportant des parties fixes et ouvrantes) du §5.2.3.1.4 de la [NBN B 25-002-1].</w:t>
      </w:r>
    </w:p>
    <w:p w14:paraId="3C043662" w14:textId="77777777" w:rsidR="00772179" w:rsidRDefault="00000000">
      <w:pPr>
        <w:jc w:val="both"/>
      </w:pPr>
      <w:r>
        <w:lastRenderedPageBreak/>
        <w:t>Par défaut, et sans autre spécification dans le cahier spécial des charges, pour les performances d’étanchéité à l’air et à l’eau ainsi que la résistance au vent, on se réfère aux tableaux 29, 30 ou 31 de la [NBN B 25-002-1] suivant que la façade rideau ne comporte que des parties fixes, que des parties ouvrantes ou des parties fixes et parties ouvrantes en fonction de la rugosité de terrain (exposition) et de la hauteur du bâtiment (0-10 mètres, 10-18 mètres, 18-25 mètres, 25-50 mètres, 50-100 mètres et &gt; 100 mètres).</w:t>
      </w:r>
    </w:p>
    <w:p w14:paraId="08A716E3" w14:textId="77777777" w:rsidR="00772179" w:rsidRDefault="00000000">
      <w:pPr>
        <w:jc w:val="both"/>
      </w:pPr>
      <w:r>
        <w:t>La norme [NBN B 25-002-1] propose un tableau reprenant uniquement les niveaux de performances des façades rideaux. Ceux-ci tiennent compte des facteurs d’influence et d’utilisation suivants :</w:t>
      </w:r>
    </w:p>
    <w:p w14:paraId="0D25A84F" w14:textId="77777777" w:rsidR="00772179" w:rsidRDefault="00000000">
      <w:pPr>
        <w:pStyle w:val="Author-eListParagraph"/>
        <w:numPr>
          <w:ilvl w:val="0"/>
          <w:numId w:val="435"/>
        </w:numPr>
      </w:pPr>
      <w:r>
        <w:t>La hauteur de référence du bâtiment Ze</w:t>
      </w:r>
    </w:p>
    <w:p w14:paraId="78B687C2" w14:textId="77777777" w:rsidR="00772179" w:rsidRDefault="00000000">
      <w:pPr>
        <w:pStyle w:val="Author-eListParagraph"/>
        <w:numPr>
          <w:ilvl w:val="0"/>
          <w:numId w:val="435"/>
        </w:numPr>
      </w:pPr>
      <w:r>
        <w:t>La vitesse de référence du vent vb0</w:t>
      </w:r>
    </w:p>
    <w:p w14:paraId="0D830C00" w14:textId="77777777" w:rsidR="00772179" w:rsidRDefault="00000000">
      <w:pPr>
        <w:pStyle w:val="Author-eListParagraph"/>
        <w:numPr>
          <w:ilvl w:val="0"/>
          <w:numId w:val="435"/>
        </w:numPr>
      </w:pPr>
      <w:r>
        <w:t>La catégorie de rugosité de terrain</w:t>
      </w:r>
    </w:p>
    <w:p w14:paraId="77700C7A" w14:textId="77777777" w:rsidR="00772179" w:rsidRDefault="00000000">
      <w:pPr>
        <w:pStyle w:val="Author-eListParagraph"/>
        <w:numPr>
          <w:ilvl w:val="0"/>
          <w:numId w:val="435"/>
        </w:numPr>
      </w:pPr>
      <w:r>
        <w:t>La classe d’exposition au vent (définie dans la norme [NBN B 25-002-1])</w:t>
      </w:r>
    </w:p>
    <w:p w14:paraId="209B922B" w14:textId="77777777" w:rsidR="00772179" w:rsidRDefault="00000000">
      <w:pPr>
        <w:jc w:val="both"/>
      </w:pPr>
      <w:r>
        <w:t>Le choix des classes est donné au tableau suivant.</w:t>
      </w:r>
    </w:p>
    <w:tbl>
      <w:tblPr>
        <w:tblStyle w:val="Author-eTableGrid"/>
        <w:tblW w:w="9030" w:type="dxa"/>
        <w:tblLayout w:type="fixed"/>
        <w:tblLook w:val="04A0" w:firstRow="1" w:lastRow="0" w:firstColumn="1" w:lastColumn="0" w:noHBand="0" w:noVBand="1"/>
      </w:tblPr>
      <w:tblGrid>
        <w:gridCol w:w="2820"/>
        <w:gridCol w:w="1035"/>
        <w:gridCol w:w="1035"/>
        <w:gridCol w:w="1035"/>
        <w:gridCol w:w="1035"/>
        <w:gridCol w:w="1035"/>
        <w:gridCol w:w="1035"/>
      </w:tblGrid>
      <w:tr w:rsidR="00772179" w14:paraId="76BD53B7" w14:textId="77777777">
        <w:tc>
          <w:tcPr>
            <w:tcW w:w="2820" w:type="dxa"/>
            <w:noWrap/>
          </w:tcPr>
          <w:p w14:paraId="0B433A31" w14:textId="77777777" w:rsidR="00772179" w:rsidRDefault="00000000">
            <w:r>
              <w:t>Classe d'exposition au vent</w:t>
            </w:r>
          </w:p>
        </w:tc>
        <w:tc>
          <w:tcPr>
            <w:tcW w:w="2070" w:type="dxa"/>
            <w:gridSpan w:val="2"/>
            <w:noWrap/>
          </w:tcPr>
          <w:p w14:paraId="2D1C109D" w14:textId="77777777" w:rsidR="00772179" w:rsidRDefault="00000000">
            <w:r>
              <w:t>Classe CW3</w:t>
            </w:r>
          </w:p>
        </w:tc>
        <w:tc>
          <w:tcPr>
            <w:tcW w:w="2070" w:type="dxa"/>
            <w:gridSpan w:val="2"/>
            <w:noWrap/>
          </w:tcPr>
          <w:p w14:paraId="28B63453" w14:textId="77777777" w:rsidR="00772179" w:rsidRDefault="00000000">
            <w:r>
              <w:t>Classe CW4</w:t>
            </w:r>
          </w:p>
        </w:tc>
        <w:tc>
          <w:tcPr>
            <w:tcW w:w="2070" w:type="dxa"/>
            <w:gridSpan w:val="2"/>
            <w:noWrap/>
          </w:tcPr>
          <w:p w14:paraId="71020D18" w14:textId="77777777" w:rsidR="00772179" w:rsidRDefault="00000000">
            <w:r>
              <w:t>Classe CW5</w:t>
            </w:r>
          </w:p>
        </w:tc>
      </w:tr>
      <w:tr w:rsidR="00772179" w14:paraId="0F74E647" w14:textId="77777777">
        <w:tc>
          <w:tcPr>
            <w:tcW w:w="2820" w:type="dxa"/>
            <w:noWrap/>
          </w:tcPr>
          <w:p w14:paraId="58419960" w14:textId="77777777" w:rsidR="00772179" w:rsidRDefault="00000000">
            <w:r>
              <w:t>Perméabilité à l’air</w:t>
            </w:r>
          </w:p>
          <w:p w14:paraId="67A5E87D" w14:textId="77777777" w:rsidR="00772179" w:rsidRDefault="00000000">
            <w:r>
              <w:t>[NBN EN 12152]</w:t>
            </w:r>
          </w:p>
        </w:tc>
        <w:tc>
          <w:tcPr>
            <w:tcW w:w="2070" w:type="dxa"/>
            <w:gridSpan w:val="2"/>
            <w:noWrap/>
          </w:tcPr>
          <w:p w14:paraId="62D503D6" w14:textId="77777777" w:rsidR="00772179" w:rsidRDefault="00000000">
            <w:r>
              <w:t>A3</w:t>
            </w:r>
          </w:p>
        </w:tc>
        <w:tc>
          <w:tcPr>
            <w:tcW w:w="2070" w:type="dxa"/>
            <w:gridSpan w:val="2"/>
            <w:noWrap/>
          </w:tcPr>
          <w:p w14:paraId="21010F52" w14:textId="77777777" w:rsidR="00772179" w:rsidRDefault="00000000">
            <w:r>
              <w:t>A3</w:t>
            </w:r>
          </w:p>
        </w:tc>
        <w:tc>
          <w:tcPr>
            <w:tcW w:w="2070" w:type="dxa"/>
            <w:gridSpan w:val="2"/>
            <w:noWrap/>
          </w:tcPr>
          <w:p w14:paraId="40B589D1" w14:textId="77777777" w:rsidR="00772179" w:rsidRDefault="00000000">
            <w:r>
              <w:t>A4</w:t>
            </w:r>
          </w:p>
        </w:tc>
      </w:tr>
      <w:tr w:rsidR="00772179" w14:paraId="1C6471E6" w14:textId="77777777">
        <w:tc>
          <w:tcPr>
            <w:tcW w:w="2820" w:type="dxa"/>
            <w:noWrap/>
          </w:tcPr>
          <w:p w14:paraId="12B2F2FC" w14:textId="77777777" w:rsidR="00772179" w:rsidRDefault="00000000">
            <w:r>
              <w:t>Étanchéité à l’eau</w:t>
            </w:r>
          </w:p>
          <w:p w14:paraId="76206212" w14:textId="77777777" w:rsidR="00772179" w:rsidRDefault="00000000">
            <w:r>
              <w:t>[NBN EN 12154]</w:t>
            </w:r>
          </w:p>
        </w:tc>
        <w:tc>
          <w:tcPr>
            <w:tcW w:w="1035" w:type="dxa"/>
            <w:noWrap/>
          </w:tcPr>
          <w:p w14:paraId="535F330A" w14:textId="77777777" w:rsidR="00772179" w:rsidRDefault="00000000">
            <w:r>
              <w:t>R5</w:t>
            </w:r>
          </w:p>
        </w:tc>
        <w:tc>
          <w:tcPr>
            <w:tcW w:w="1035" w:type="dxa"/>
            <w:noWrap/>
          </w:tcPr>
          <w:p w14:paraId="0635F30F" w14:textId="77777777" w:rsidR="00772179" w:rsidRDefault="00000000">
            <w:r>
              <w:t>300 Pa</w:t>
            </w:r>
          </w:p>
        </w:tc>
        <w:tc>
          <w:tcPr>
            <w:tcW w:w="1035" w:type="dxa"/>
            <w:noWrap/>
          </w:tcPr>
          <w:p w14:paraId="5EBA338E" w14:textId="77777777" w:rsidR="00772179" w:rsidRDefault="00000000">
            <w:r>
              <w:t>R6</w:t>
            </w:r>
          </w:p>
        </w:tc>
        <w:tc>
          <w:tcPr>
            <w:tcW w:w="1035" w:type="dxa"/>
            <w:noWrap/>
          </w:tcPr>
          <w:p w14:paraId="2858B5C4" w14:textId="77777777" w:rsidR="00772179" w:rsidRDefault="00000000">
            <w:r>
              <w:t>450 Pa</w:t>
            </w:r>
          </w:p>
        </w:tc>
        <w:tc>
          <w:tcPr>
            <w:tcW w:w="1035" w:type="dxa"/>
            <w:noWrap/>
          </w:tcPr>
          <w:p w14:paraId="6E41D83F" w14:textId="77777777" w:rsidR="00772179" w:rsidRDefault="00000000">
            <w:r>
              <w:t>R7</w:t>
            </w:r>
          </w:p>
        </w:tc>
        <w:tc>
          <w:tcPr>
            <w:tcW w:w="1035" w:type="dxa"/>
            <w:noWrap/>
          </w:tcPr>
          <w:p w14:paraId="6F11E3FE" w14:textId="77777777" w:rsidR="00772179" w:rsidRDefault="00000000">
            <w:r>
              <w:t>600 Pa</w:t>
            </w:r>
          </w:p>
        </w:tc>
      </w:tr>
      <w:tr w:rsidR="00772179" w14:paraId="1C6C8B44" w14:textId="77777777">
        <w:tc>
          <w:tcPr>
            <w:tcW w:w="2820" w:type="dxa"/>
            <w:noWrap/>
          </w:tcPr>
          <w:p w14:paraId="54724A50" w14:textId="77777777" w:rsidR="00772179" w:rsidRDefault="00000000">
            <w:r>
              <w:t>Résistance mécanique au vent</w:t>
            </w:r>
          </w:p>
          <w:p w14:paraId="3F99BD06" w14:textId="77777777" w:rsidR="00772179" w:rsidRDefault="00000000">
            <w:r>
              <w:t>[NBN EN 13116]</w:t>
            </w:r>
          </w:p>
        </w:tc>
        <w:tc>
          <w:tcPr>
            <w:tcW w:w="6210" w:type="dxa"/>
            <w:gridSpan w:val="6"/>
            <w:noWrap/>
          </w:tcPr>
          <w:p w14:paraId="07F5607B" w14:textId="77777777" w:rsidR="00772179" w:rsidRDefault="00000000">
            <w:r>
              <w:t>Charge caractéristique de vent : w</w:t>
            </w:r>
            <w:r>
              <w:rPr>
                <w:vertAlign w:val="subscript"/>
              </w:rPr>
              <w:t>K</w:t>
            </w:r>
            <w:r>
              <w:t>= 0,80 x c</w:t>
            </w:r>
            <w:r>
              <w:rPr>
                <w:vertAlign w:val="subscript"/>
              </w:rPr>
              <w:t>e</w:t>
            </w:r>
            <w:r>
              <w:t>(z)q</w:t>
            </w:r>
            <w:r>
              <w:rPr>
                <w:vertAlign w:val="subscript"/>
              </w:rPr>
              <w:t>ref 50ans</w:t>
            </w:r>
            <w:r>
              <w:t>. c</w:t>
            </w:r>
            <w:r>
              <w:rPr>
                <w:vertAlign w:val="subscript"/>
              </w:rPr>
              <w:t>p</w:t>
            </w:r>
          </w:p>
          <w:p w14:paraId="6B83053B" w14:textId="77777777" w:rsidR="00772179" w:rsidRDefault="00000000">
            <w:r>
              <w:t>Charge accrue de vent w</w:t>
            </w:r>
            <w:r>
              <w:rPr>
                <w:vertAlign w:val="subscript"/>
              </w:rPr>
              <w:t>U</w:t>
            </w:r>
            <w:r>
              <w:t xml:space="preserve"> = 1,25 x c</w:t>
            </w:r>
            <w:r>
              <w:rPr>
                <w:vertAlign w:val="subscript"/>
              </w:rPr>
              <w:t>e</w:t>
            </w:r>
            <w:r>
              <w:t>(z)q</w:t>
            </w:r>
            <w:r>
              <w:rPr>
                <w:vertAlign w:val="subscript"/>
              </w:rPr>
              <w:t>ref 50ans</w:t>
            </w:r>
            <w:r>
              <w:t>.c</w:t>
            </w:r>
            <w:r>
              <w:rPr>
                <w:vertAlign w:val="subscript"/>
              </w:rPr>
              <w:t>p</w:t>
            </w:r>
          </w:p>
        </w:tc>
      </w:tr>
      <w:tr w:rsidR="00772179" w14:paraId="25A02BF4" w14:textId="77777777">
        <w:tc>
          <w:tcPr>
            <w:tcW w:w="2820" w:type="dxa"/>
            <w:noWrap/>
          </w:tcPr>
          <w:p w14:paraId="0B2779A9" w14:textId="77777777" w:rsidR="00772179" w:rsidRDefault="00000000">
            <w:r>
              <w:t>Classe d'exposition au vent</w:t>
            </w:r>
          </w:p>
        </w:tc>
        <w:tc>
          <w:tcPr>
            <w:tcW w:w="2070" w:type="dxa"/>
            <w:gridSpan w:val="2"/>
            <w:noWrap/>
          </w:tcPr>
          <w:p w14:paraId="04730697" w14:textId="77777777" w:rsidR="00772179" w:rsidRDefault="00000000">
            <w:r>
              <w:t>Classe CW6</w:t>
            </w:r>
          </w:p>
        </w:tc>
        <w:tc>
          <w:tcPr>
            <w:tcW w:w="2070" w:type="dxa"/>
            <w:gridSpan w:val="2"/>
            <w:noWrap/>
          </w:tcPr>
          <w:p w14:paraId="4BD07931" w14:textId="77777777" w:rsidR="00772179" w:rsidRDefault="00000000">
            <w:r>
              <w:t>Classe CW7</w:t>
            </w:r>
          </w:p>
        </w:tc>
        <w:tc>
          <w:tcPr>
            <w:tcW w:w="2070" w:type="dxa"/>
            <w:gridSpan w:val="2"/>
            <w:noWrap/>
          </w:tcPr>
          <w:p w14:paraId="17C61855" w14:textId="77777777" w:rsidR="00772179" w:rsidRDefault="00000000">
            <w:r>
              <w:t>Classe CW8</w:t>
            </w:r>
          </w:p>
        </w:tc>
      </w:tr>
      <w:tr w:rsidR="00772179" w14:paraId="086BF08D" w14:textId="77777777">
        <w:tc>
          <w:tcPr>
            <w:tcW w:w="2820" w:type="dxa"/>
            <w:noWrap/>
          </w:tcPr>
          <w:p w14:paraId="0CC2F687" w14:textId="77777777" w:rsidR="00772179" w:rsidRDefault="00000000">
            <w:r>
              <w:t>Perméabilité à l’air</w:t>
            </w:r>
          </w:p>
          <w:p w14:paraId="2E784614" w14:textId="77777777" w:rsidR="00772179" w:rsidRDefault="00000000">
            <w:r>
              <w:t>[NBN EN 12152]</w:t>
            </w:r>
          </w:p>
        </w:tc>
        <w:tc>
          <w:tcPr>
            <w:tcW w:w="2070" w:type="dxa"/>
            <w:gridSpan w:val="2"/>
            <w:noWrap/>
          </w:tcPr>
          <w:p w14:paraId="5725271C" w14:textId="77777777" w:rsidR="00772179" w:rsidRDefault="00000000">
            <w:r>
              <w:t>A4</w:t>
            </w:r>
          </w:p>
        </w:tc>
        <w:tc>
          <w:tcPr>
            <w:tcW w:w="2070" w:type="dxa"/>
            <w:gridSpan w:val="2"/>
            <w:noWrap/>
          </w:tcPr>
          <w:p w14:paraId="475A3FB4" w14:textId="77777777" w:rsidR="00772179" w:rsidRDefault="00000000">
            <w:r>
              <w:t>A4</w:t>
            </w:r>
          </w:p>
        </w:tc>
        <w:tc>
          <w:tcPr>
            <w:tcW w:w="2070" w:type="dxa"/>
            <w:gridSpan w:val="2"/>
            <w:noWrap/>
          </w:tcPr>
          <w:p w14:paraId="6C4AB0C2" w14:textId="77777777" w:rsidR="00772179" w:rsidRDefault="00000000">
            <w:r>
              <w:t>A4</w:t>
            </w:r>
          </w:p>
        </w:tc>
      </w:tr>
      <w:tr w:rsidR="00772179" w14:paraId="7D028E62" w14:textId="77777777">
        <w:tc>
          <w:tcPr>
            <w:tcW w:w="2820" w:type="dxa"/>
            <w:noWrap/>
          </w:tcPr>
          <w:p w14:paraId="2FF7FE42" w14:textId="77777777" w:rsidR="00772179" w:rsidRDefault="00000000">
            <w:r>
              <w:t>Étanchéité à l’eau</w:t>
            </w:r>
          </w:p>
          <w:p w14:paraId="57E1E3D2" w14:textId="77777777" w:rsidR="00772179" w:rsidRDefault="00000000">
            <w:r>
              <w:t>[NBN EN 12154]</w:t>
            </w:r>
          </w:p>
        </w:tc>
        <w:tc>
          <w:tcPr>
            <w:tcW w:w="1035" w:type="dxa"/>
            <w:noWrap/>
          </w:tcPr>
          <w:p w14:paraId="0FEDD1D3" w14:textId="77777777" w:rsidR="00772179" w:rsidRDefault="00000000">
            <w:r>
              <w:t>RE 750</w:t>
            </w:r>
          </w:p>
        </w:tc>
        <w:tc>
          <w:tcPr>
            <w:tcW w:w="1035" w:type="dxa"/>
            <w:noWrap/>
          </w:tcPr>
          <w:p w14:paraId="319739A9" w14:textId="77777777" w:rsidR="00772179" w:rsidRDefault="00000000">
            <w:r>
              <w:t>750 Pa</w:t>
            </w:r>
          </w:p>
        </w:tc>
        <w:tc>
          <w:tcPr>
            <w:tcW w:w="1035" w:type="dxa"/>
            <w:noWrap/>
          </w:tcPr>
          <w:p w14:paraId="118BD01B" w14:textId="77777777" w:rsidR="00772179" w:rsidRDefault="00000000">
            <w:r>
              <w:t>RE 900</w:t>
            </w:r>
          </w:p>
        </w:tc>
        <w:tc>
          <w:tcPr>
            <w:tcW w:w="1035" w:type="dxa"/>
            <w:noWrap/>
          </w:tcPr>
          <w:p w14:paraId="3BBB48C4" w14:textId="77777777" w:rsidR="00772179" w:rsidRDefault="00000000">
            <w:r>
              <w:t>900 Pa</w:t>
            </w:r>
          </w:p>
        </w:tc>
        <w:tc>
          <w:tcPr>
            <w:tcW w:w="1035" w:type="dxa"/>
            <w:noWrap/>
          </w:tcPr>
          <w:p w14:paraId="1AE36072" w14:textId="77777777" w:rsidR="00772179" w:rsidRDefault="00000000">
            <w:r>
              <w:t>RE 1050</w:t>
            </w:r>
          </w:p>
        </w:tc>
        <w:tc>
          <w:tcPr>
            <w:tcW w:w="1035" w:type="dxa"/>
            <w:noWrap/>
          </w:tcPr>
          <w:p w14:paraId="1FF7B5B4" w14:textId="77777777" w:rsidR="00772179" w:rsidRDefault="00000000">
            <w:r>
              <w:t>1050 Pa</w:t>
            </w:r>
          </w:p>
        </w:tc>
      </w:tr>
      <w:tr w:rsidR="00772179" w14:paraId="298C20ED" w14:textId="77777777">
        <w:tc>
          <w:tcPr>
            <w:tcW w:w="2820" w:type="dxa"/>
            <w:noWrap/>
          </w:tcPr>
          <w:p w14:paraId="661D3731" w14:textId="77777777" w:rsidR="00772179" w:rsidRDefault="00000000">
            <w:pPr>
              <w:jc w:val="both"/>
            </w:pPr>
            <w:r>
              <w:t>Résistance mécanique au vent</w:t>
            </w:r>
          </w:p>
          <w:p w14:paraId="09DB3ABB" w14:textId="77777777" w:rsidR="00772179" w:rsidRDefault="00000000">
            <w:pPr>
              <w:jc w:val="both"/>
            </w:pPr>
            <w:r>
              <w:t>[NBN EN 13116]</w:t>
            </w:r>
          </w:p>
        </w:tc>
        <w:tc>
          <w:tcPr>
            <w:tcW w:w="6210" w:type="dxa"/>
            <w:gridSpan w:val="6"/>
            <w:noWrap/>
          </w:tcPr>
          <w:p w14:paraId="3A68C8F0" w14:textId="77777777" w:rsidR="00772179" w:rsidRDefault="00000000">
            <w:pPr>
              <w:jc w:val="both"/>
            </w:pPr>
            <w:r>
              <w:t>Charge caractéristique de vent : w</w:t>
            </w:r>
            <w:r>
              <w:rPr>
                <w:vertAlign w:val="subscript"/>
              </w:rPr>
              <w:t>K</w:t>
            </w:r>
            <w:r>
              <w:t>= 0,80 x c</w:t>
            </w:r>
            <w:r>
              <w:rPr>
                <w:vertAlign w:val="subscript"/>
              </w:rPr>
              <w:t>e</w:t>
            </w:r>
            <w:r>
              <w:t>(z)q</w:t>
            </w:r>
            <w:r>
              <w:rPr>
                <w:vertAlign w:val="subscript"/>
              </w:rPr>
              <w:t>ref 50ans</w:t>
            </w:r>
            <w:r>
              <w:t>. c</w:t>
            </w:r>
            <w:r>
              <w:rPr>
                <w:vertAlign w:val="subscript"/>
              </w:rPr>
              <w:t>p</w:t>
            </w:r>
          </w:p>
          <w:p w14:paraId="60F17115" w14:textId="77777777" w:rsidR="00772179" w:rsidRDefault="00000000">
            <w:pPr>
              <w:jc w:val="both"/>
            </w:pPr>
            <w:r>
              <w:t>Charge accrue de vent w</w:t>
            </w:r>
            <w:r>
              <w:rPr>
                <w:vertAlign w:val="subscript"/>
              </w:rPr>
              <w:t>U</w:t>
            </w:r>
            <w:r>
              <w:t xml:space="preserve"> = 1,25 x c</w:t>
            </w:r>
            <w:r>
              <w:rPr>
                <w:vertAlign w:val="subscript"/>
              </w:rPr>
              <w:t>e</w:t>
            </w:r>
            <w:r>
              <w:t>(z)q</w:t>
            </w:r>
            <w:r>
              <w:rPr>
                <w:vertAlign w:val="subscript"/>
              </w:rPr>
              <w:t>ref 50ans</w:t>
            </w:r>
            <w:r>
              <w:t>.c</w:t>
            </w:r>
            <w:r>
              <w:rPr>
                <w:vertAlign w:val="subscript"/>
              </w:rPr>
              <w:t>p</w:t>
            </w:r>
          </w:p>
        </w:tc>
      </w:tr>
    </w:tbl>
    <w:p w14:paraId="7FD7E5F5" w14:textId="77777777" w:rsidR="00772179" w:rsidRDefault="00772179"/>
    <w:p w14:paraId="189DDB3F" w14:textId="77777777" w:rsidR="00772179" w:rsidRDefault="00000000">
      <w:pPr>
        <w:jc w:val="both"/>
      </w:pPr>
      <w:r>
        <w:t>Pour des éléments de façades non protégés contre l’eau ruisselante (fenêtre dans le même plan que la façade sans protection contre l'eau ruisselante ou avec à sa partie supérieure un rejet d'eau &lt; 20 mm), la classe de pression d’essai supérieure à celle prescrite dans le tableau ci-dessus est exigée.</w:t>
      </w:r>
    </w:p>
    <w:p w14:paraId="7AF0C172" w14:textId="77777777" w:rsidR="00772179" w:rsidRDefault="00000000">
      <w:pPr>
        <w:jc w:val="both"/>
      </w:pPr>
      <w:r>
        <w:t>Pour les classes d'exposition CW 3 et CW 4, pour des locaux avec air conditionné, la perméabilité à l'air classe A4 est toujours exigée.</w:t>
      </w:r>
    </w:p>
    <w:p w14:paraId="013A3026" w14:textId="77777777" w:rsidR="00772179" w:rsidRDefault="00000000">
      <w:pPr>
        <w:jc w:val="both"/>
      </w:pPr>
      <w:r>
        <w:t>Lorsque la hauteur de référence du bâtiment est supérieure à 100 m, les essais d'étanchéité à l'eau sous pression d'air dynamique et projection d'eau suivant la norme [NBN EN 13050] sont recommandés.</w:t>
      </w:r>
    </w:p>
    <w:p w14:paraId="3055CD7D" w14:textId="77777777" w:rsidR="00772179" w:rsidRDefault="00000000">
      <w:pPr>
        <w:jc w:val="both"/>
      </w:pPr>
      <w:r>
        <w:t>En ce qui concerne les façades rideaux conçues avec des parties ouvrantes, le choix des classes air, eau, vent pour les fenêtres (§ 41.1) est applicable à ces dernières.</w:t>
      </w:r>
    </w:p>
    <w:p w14:paraId="66B90A47" w14:textId="77777777" w:rsidR="00772179" w:rsidRDefault="00000000">
      <w:pPr>
        <w:jc w:val="both"/>
      </w:pPr>
      <w:r>
        <w:rPr>
          <w:b/>
          <w:u w:val="single"/>
        </w:rPr>
        <w:t>Effort de manœuvre pour les parties ouvrantes</w:t>
      </w:r>
    </w:p>
    <w:p w14:paraId="63CC3147" w14:textId="77777777" w:rsidR="00772179" w:rsidRDefault="00000000">
      <w:pPr>
        <w:jc w:val="both"/>
      </w:pPr>
      <w:r>
        <w:t xml:space="preserve">Par défaut, et sans autre spécification dans le cahier spécial des charges, les performances relatives aux efforts de manœuvre des parties ouvrantes intégrées dans les façades rideaux sont définies en fonction de l’utilisation du bâtiment au titre </w:t>
      </w:r>
      <w:hyperlink w:anchor="64" w:history="1">
        <w:r>
          <w:rPr>
            <w:color w:val="0000EE"/>
          </w:rPr>
          <w:t>41.1 Fenêtres et portes-fenêtres</w:t>
        </w:r>
      </w:hyperlink>
      <w:r>
        <w:t>.</w:t>
      </w:r>
    </w:p>
    <w:p w14:paraId="2B8B4D1B" w14:textId="77777777" w:rsidR="00772179" w:rsidRDefault="00000000">
      <w:pPr>
        <w:jc w:val="both"/>
      </w:pPr>
      <w:r>
        <w:rPr>
          <w:b/>
          <w:u w:val="single"/>
        </w:rPr>
        <w:t>Performances d’abus d’utilisation pour les parties ouvrantes</w:t>
      </w:r>
    </w:p>
    <w:p w14:paraId="1A19D642" w14:textId="77777777" w:rsidR="00772179" w:rsidRDefault="00000000">
      <w:pPr>
        <w:jc w:val="both"/>
      </w:pPr>
      <w:r>
        <w:t xml:space="preserve">Par défaut, sans spécification dans le cahier spécial des charges, les performances d’efforts de résistance aux abus d’utilisation des parties ouvrantes intégrées dans les façades rideaux sont définies en fonction de l’utilisation du bâtiment suivant la [NBN EN 13115] au titre </w:t>
      </w:r>
      <w:hyperlink w:anchor="64" w:history="1">
        <w:r>
          <w:rPr>
            <w:color w:val="0000EE"/>
          </w:rPr>
          <w:t>41.1 Fenêtres et portes-fenêtres</w:t>
        </w:r>
      </w:hyperlink>
      <w:r>
        <w:t>. </w:t>
      </w:r>
    </w:p>
    <w:p w14:paraId="6C3D6675" w14:textId="77777777" w:rsidR="00772179" w:rsidRDefault="00000000">
      <w:pPr>
        <w:jc w:val="both"/>
      </w:pPr>
      <w:r>
        <w:rPr>
          <w:b/>
          <w:u w:val="single"/>
        </w:rPr>
        <w:t>Économie d’énergie et performances thermiques</w:t>
      </w:r>
    </w:p>
    <w:p w14:paraId="0A909776" w14:textId="77777777" w:rsidR="00772179" w:rsidRDefault="00000000">
      <w:pPr>
        <w:jc w:val="both"/>
      </w:pPr>
      <w:r>
        <w:lastRenderedPageBreak/>
        <w:t>Par défaut, et sans spécification dans le cahier spécial des charges, les performances énergétiques sont au moins conformes aux réglementations régionales.</w:t>
      </w:r>
    </w:p>
    <w:p w14:paraId="680F2E35" w14:textId="77777777" w:rsidR="00772179" w:rsidRDefault="00000000">
      <w:pPr>
        <w:jc w:val="both"/>
      </w:pPr>
      <w:r>
        <w:t>Les performances thermiques sont établies par calcul sur la base de la norme [NBN EN ISO 12631] ou par essais. Les valeurs U</w:t>
      </w:r>
      <w:r>
        <w:rPr>
          <w:vertAlign w:val="subscript"/>
        </w:rPr>
        <w:t>cw</w:t>
      </w:r>
      <w:r>
        <w:t xml:space="preserve"> des façades sont communiquées à l'auteur de projet et, le cas échéant, au responsable PEB. A défaut, le détail (valeur U</w:t>
      </w:r>
      <w:r>
        <w:rPr>
          <w:vertAlign w:val="subscript"/>
        </w:rPr>
        <w:t>p</w:t>
      </w:r>
      <w:r>
        <w:t xml:space="preserve"> des panneaux, valeur U</w:t>
      </w:r>
      <w:r>
        <w:rPr>
          <w:vertAlign w:val="subscript"/>
        </w:rPr>
        <w:t>g</w:t>
      </w:r>
      <w:r>
        <w:t xml:space="preserve"> des vitrages et valeur U</w:t>
      </w:r>
      <w:r>
        <w:rPr>
          <w:vertAlign w:val="subscript"/>
        </w:rPr>
        <w:t>TJ</w:t>
      </w:r>
      <w:r>
        <w:t xml:space="preserve"> des nœuds, matériaux et épaisseurs) est communiqué à l'auteur de projet et, le cas échéant, au responsable PEB.</w:t>
      </w:r>
    </w:p>
    <w:p w14:paraId="296C84C4" w14:textId="77777777" w:rsidR="00772179" w:rsidRDefault="00000000">
      <w:pPr>
        <w:jc w:val="both"/>
      </w:pPr>
      <w:r>
        <w:t xml:space="preserve">Pour ce qui concerne le contrôle solaire (facteur solaire et transmission lumineuse), on se réfère au descriptif de la section </w:t>
      </w:r>
      <w:hyperlink w:anchor="852" w:history="1">
        <w:r>
          <w:rPr>
            <w:color w:val="0000EE"/>
          </w:rPr>
          <w:t>42 Vitrages extérieurs et éléments de remplissage</w:t>
        </w:r>
      </w:hyperlink>
      <w:r>
        <w:t>.</w:t>
      </w:r>
    </w:p>
    <w:p w14:paraId="432E210E" w14:textId="77777777" w:rsidR="00772179" w:rsidRDefault="00000000">
      <w:pPr>
        <w:jc w:val="both"/>
      </w:pPr>
      <w:r>
        <w:t>Le cas échéant, le cahier spécial des charges mentionne également si une étude de risque de condensation doit être réalisée (conformément à la norme [NBN B 25-002-1]).</w:t>
      </w:r>
    </w:p>
    <w:p w14:paraId="5BB6E55C" w14:textId="77777777" w:rsidR="00772179" w:rsidRDefault="00000000">
      <w:pPr>
        <w:jc w:val="both"/>
      </w:pPr>
      <w:r>
        <w:rPr>
          <w:b/>
          <w:u w:val="single"/>
        </w:rPr>
        <w:t>Prestations acoustiques</w:t>
      </w:r>
    </w:p>
    <w:p w14:paraId="1289DB02" w14:textId="77777777" w:rsidR="00772179" w:rsidRDefault="00000000">
      <w:pPr>
        <w:jc w:val="both"/>
      </w:pPr>
      <w:r>
        <w:t>Les performances acoustiques des bâtiments sont gérées par 3 normes principales à savoir :</w:t>
      </w:r>
    </w:p>
    <w:p w14:paraId="4DA3945F" w14:textId="77777777" w:rsidR="00772179" w:rsidRDefault="00000000">
      <w:pPr>
        <w:pStyle w:val="Author-eListParagraph"/>
        <w:numPr>
          <w:ilvl w:val="0"/>
          <w:numId w:val="436"/>
        </w:numPr>
      </w:pPr>
      <w:r>
        <w:t>la norme [NBN S 01-400-1] pour les immeubles d’habitation. Celle-ci prévoit 2 qualités de confort acoustique : un « confort acoustique normal » et un « confort acoustique supérieur ». Toutes les exigences sont données pour le bâtiment parachevé.</w:t>
      </w:r>
    </w:p>
    <w:p w14:paraId="177FE6A4" w14:textId="77777777" w:rsidR="00772179" w:rsidRDefault="00000000">
      <w:pPr>
        <w:pStyle w:val="Author-eListParagraph"/>
        <w:numPr>
          <w:ilvl w:val="0"/>
          <w:numId w:val="436"/>
        </w:numPr>
      </w:pPr>
      <w:r>
        <w:t>la norme [NBN S 01-400-2] pour les bâtiments scolaires. Toutes les exigences sont données pour le bâtiment parachevé</w:t>
      </w:r>
    </w:p>
    <w:p w14:paraId="20BFEB29" w14:textId="77777777" w:rsidR="00772179" w:rsidRDefault="00000000">
      <w:pPr>
        <w:pStyle w:val="Author-eListParagraph"/>
        <w:numPr>
          <w:ilvl w:val="0"/>
          <w:numId w:val="436"/>
        </w:numPr>
      </w:pPr>
      <w:r>
        <w:t>la norme [NBN S 01-400] pour les autres bâtiments. Pour les bâtiments non concernés par les normes [NBN S 01-400-1] et [NBN S 01-400-2] pour lesquelles les exigences sont formulées dans la [NBN S 01-400], exigences minimales ("lettre en indice") et recommandées ("lettre en exposant") pour l'isolation acoustique sont exprimées sous forme de "catégories belges = V dans le cas des façades », ceci en fonction d'expositions particulières reprises au tableau concerné de la norme [NBN S 01-400].</w:t>
      </w:r>
    </w:p>
    <w:p w14:paraId="7DAD459A" w14:textId="77777777" w:rsidR="00772179" w:rsidRDefault="00000000">
      <w:pPr>
        <w:ind w:left="567"/>
        <w:jc w:val="both"/>
      </w:pPr>
      <w:r>
        <w:t>Un calcul acoustique à partir du spectre de mesure permet le passage aux indices définis dans les différentes normes de classification.</w:t>
      </w:r>
    </w:p>
    <w:p w14:paraId="7B54309C" w14:textId="77777777" w:rsidR="00772179" w:rsidRDefault="00000000">
      <w:pPr>
        <w:jc w:val="both"/>
      </w:pPr>
      <w:r>
        <w:t>Remarques</w:t>
      </w:r>
    </w:p>
    <w:p w14:paraId="67D9C0B0" w14:textId="77777777" w:rsidR="00772179" w:rsidRDefault="00000000">
      <w:pPr>
        <w:pStyle w:val="Author-eListParagraph"/>
        <w:numPr>
          <w:ilvl w:val="0"/>
          <w:numId w:val="437"/>
        </w:numPr>
      </w:pPr>
      <w:r>
        <w:t>Les exigences acoustiques décrites dans la [NBN S 01-400] sont en cours d’adaptation ainsi que la manière de les exprimer. Il est prévu d'utiliser une nomenclature telle que définie dans les normes [NBN EN ISO 717-1] et [NBN EN ISO 717-2].</w:t>
      </w:r>
    </w:p>
    <w:p w14:paraId="27C20F0F" w14:textId="77777777" w:rsidR="00772179" w:rsidRDefault="00000000">
      <w:pPr>
        <w:pStyle w:val="Author-eListParagraph"/>
        <w:numPr>
          <w:ilvl w:val="0"/>
          <w:numId w:val="437"/>
        </w:numPr>
      </w:pPr>
      <w:r>
        <w:t>Les performances d'isolement acoustique in situ sont calculées par les méthodes de calculs simplifiées de la norme [NBN S 01-400-1] ou par des méthodes plus détaillées spécifiées dans la norme [NBN EN ISO 12354-3] en utilisant des paramètres géométriques et des indices d’affaiblissements acoustiques pondérés par rapport au bruit de trafic routier RAtr.</w:t>
      </w:r>
    </w:p>
    <w:p w14:paraId="5AC8743C" w14:textId="77777777" w:rsidR="00772179" w:rsidRDefault="00000000">
      <w:pPr>
        <w:pStyle w:val="Author-eListParagraph"/>
        <w:numPr>
          <w:ilvl w:val="0"/>
          <w:numId w:val="437"/>
        </w:numPr>
      </w:pPr>
      <w:r>
        <w:t>Les valeurs RAtr des vitrages donnés par les fabricants sont déterminées dans un laboratoire acoustique et ne sont pas égales aux valeurs RAtr des fenêtres contenant ces vitrages.</w:t>
      </w:r>
    </w:p>
    <w:p w14:paraId="57200E11" w14:textId="77777777" w:rsidR="00772179" w:rsidRDefault="00000000">
      <w:pPr>
        <w:jc w:val="both"/>
      </w:pPr>
      <w:r>
        <w:rPr>
          <w:b/>
          <w:u w:val="single"/>
        </w:rPr>
        <w:t>Résistance à l’effraction</w:t>
      </w:r>
    </w:p>
    <w:p w14:paraId="03C88E14" w14:textId="77777777" w:rsidR="00772179" w:rsidRDefault="00000000">
      <w:pPr>
        <w:jc w:val="both"/>
      </w:pPr>
      <w:r>
        <w:t>Le cas échéant, le cahier spécial des charges mentionne la résistance à l’effraction de la façade rideau ou zone de la façade rideau conformément à la [NBN EN 1627].</w:t>
      </w:r>
    </w:p>
    <w:p w14:paraId="3FFF37F5" w14:textId="77777777" w:rsidR="00772179" w:rsidRDefault="00000000">
      <w:pPr>
        <w:jc w:val="both"/>
      </w:pPr>
      <w:r>
        <w:t>Le choix de la classe de résistance à l'effraction est établi en tenant compte de ce qui suit :</w:t>
      </w:r>
    </w:p>
    <w:p w14:paraId="3D128FAA" w14:textId="77777777" w:rsidR="00772179" w:rsidRDefault="00000000">
      <w:pPr>
        <w:pStyle w:val="Author-eListParagraph"/>
        <w:numPr>
          <w:ilvl w:val="0"/>
          <w:numId w:val="438"/>
        </w:numPr>
      </w:pPr>
      <w:r>
        <w:t>L'évaluation des besoins en matière de protection contre l'effraction résulte d'une analyse tenant compte des facteurs objectifs ou subjectifs suivants :</w:t>
      </w:r>
    </w:p>
    <w:p w14:paraId="0C1E488C" w14:textId="77777777" w:rsidR="00772179" w:rsidRDefault="00000000">
      <w:pPr>
        <w:pStyle w:val="Author-eListParagraph"/>
        <w:numPr>
          <w:ilvl w:val="1"/>
          <w:numId w:val="439"/>
        </w:numPr>
      </w:pPr>
      <w:r>
        <w:t>la situation géographique de la construction,</w:t>
      </w:r>
    </w:p>
    <w:p w14:paraId="00D1E9E5" w14:textId="77777777" w:rsidR="00772179" w:rsidRDefault="00000000">
      <w:pPr>
        <w:pStyle w:val="Author-eListParagraph"/>
        <w:numPr>
          <w:ilvl w:val="1"/>
          <w:numId w:val="439"/>
        </w:numPr>
      </w:pPr>
      <w:r>
        <w:t>son intégration urbaine,</w:t>
      </w:r>
    </w:p>
    <w:p w14:paraId="1006B12A" w14:textId="77777777" w:rsidR="00772179" w:rsidRDefault="00000000">
      <w:pPr>
        <w:pStyle w:val="Author-eListParagraph"/>
        <w:numPr>
          <w:ilvl w:val="1"/>
          <w:numId w:val="439"/>
        </w:numPr>
      </w:pPr>
      <w:r>
        <w:t>son accessibilité aisée ou non,</w:t>
      </w:r>
    </w:p>
    <w:p w14:paraId="6BC749DC" w14:textId="77777777" w:rsidR="00772179" w:rsidRDefault="00000000">
      <w:pPr>
        <w:pStyle w:val="Author-eListParagraph"/>
        <w:numPr>
          <w:ilvl w:val="1"/>
          <w:numId w:val="439"/>
        </w:numPr>
      </w:pPr>
      <w:r>
        <w:t>la présence de système de protection complémentaire,</w:t>
      </w:r>
    </w:p>
    <w:p w14:paraId="57696BB4" w14:textId="77777777" w:rsidR="00772179" w:rsidRDefault="00000000">
      <w:pPr>
        <w:pStyle w:val="Author-eListParagraph"/>
        <w:numPr>
          <w:ilvl w:val="1"/>
          <w:numId w:val="439"/>
        </w:numPr>
      </w:pPr>
      <w:r>
        <w:t>la valeur, la taille, le nombre, l'encombrement, le poids des biens à protéger,</w:t>
      </w:r>
    </w:p>
    <w:p w14:paraId="0255B47B" w14:textId="77777777" w:rsidR="00772179" w:rsidRDefault="00000000">
      <w:pPr>
        <w:pStyle w:val="Author-eListParagraph"/>
        <w:numPr>
          <w:ilvl w:val="1"/>
          <w:numId w:val="439"/>
        </w:numPr>
      </w:pPr>
      <w:r>
        <w:t>la fonction du bâtiment,</w:t>
      </w:r>
    </w:p>
    <w:p w14:paraId="2CF98F3A" w14:textId="77777777" w:rsidR="00772179" w:rsidRDefault="00000000">
      <w:pPr>
        <w:pStyle w:val="Author-eListParagraph"/>
        <w:numPr>
          <w:ilvl w:val="1"/>
          <w:numId w:val="439"/>
        </w:numPr>
      </w:pPr>
      <w:r>
        <w:t>tous autres facteurs spécifiques, psychologiques et humains.</w:t>
      </w:r>
    </w:p>
    <w:p w14:paraId="7CF874EB" w14:textId="77777777" w:rsidR="00772179" w:rsidRDefault="00000000">
      <w:pPr>
        <w:pStyle w:val="Author-eListParagraph"/>
        <w:numPr>
          <w:ilvl w:val="0"/>
          <w:numId w:val="438"/>
        </w:numPr>
      </w:pPr>
      <w:r>
        <w:t>L'interprétation des classes de la [NBN EN 1627] : </w:t>
      </w:r>
    </w:p>
    <w:tbl>
      <w:tblPr>
        <w:tblStyle w:val="Author-eTableGrid"/>
        <w:tblW w:w="9030" w:type="dxa"/>
        <w:tblLayout w:type="fixed"/>
        <w:tblLook w:val="04A0" w:firstRow="1" w:lastRow="0" w:firstColumn="1" w:lastColumn="0" w:noHBand="0" w:noVBand="1"/>
      </w:tblPr>
      <w:tblGrid>
        <w:gridCol w:w="1125"/>
        <w:gridCol w:w="7905"/>
      </w:tblGrid>
      <w:tr w:rsidR="00772179" w14:paraId="4F1EFD1F" w14:textId="77777777">
        <w:tc>
          <w:tcPr>
            <w:tcW w:w="1125" w:type="dxa"/>
            <w:noWrap/>
          </w:tcPr>
          <w:p w14:paraId="62AA4BD6" w14:textId="77777777" w:rsidR="00772179" w:rsidRDefault="00000000">
            <w:pPr>
              <w:jc w:val="center"/>
            </w:pPr>
            <w:r>
              <w:lastRenderedPageBreak/>
              <w:t>Classes [NBN EN 1627]</w:t>
            </w:r>
          </w:p>
        </w:tc>
        <w:tc>
          <w:tcPr>
            <w:tcW w:w="7905" w:type="dxa"/>
            <w:noWrap/>
          </w:tcPr>
          <w:p w14:paraId="3A2C434F" w14:textId="77777777" w:rsidR="00772179" w:rsidRDefault="00000000">
            <w:pPr>
              <w:jc w:val="center"/>
            </w:pPr>
            <w:r>
              <w:t>Types d'attaque</w:t>
            </w:r>
          </w:p>
        </w:tc>
      </w:tr>
      <w:tr w:rsidR="00772179" w14:paraId="03FAA544" w14:textId="77777777">
        <w:tc>
          <w:tcPr>
            <w:tcW w:w="1125" w:type="dxa"/>
            <w:noWrap/>
          </w:tcPr>
          <w:p w14:paraId="72E17CC7" w14:textId="77777777" w:rsidR="00772179" w:rsidRDefault="00000000">
            <w:pPr>
              <w:jc w:val="center"/>
            </w:pPr>
            <w:r>
              <w:t>1</w:t>
            </w:r>
          </w:p>
        </w:tc>
        <w:tc>
          <w:tcPr>
            <w:tcW w:w="7905" w:type="dxa"/>
            <w:noWrap/>
          </w:tcPr>
          <w:p w14:paraId="4F7CDB6C" w14:textId="77777777" w:rsidR="00772179" w:rsidRDefault="00000000">
            <w:r>
              <w:t>Un cambrioleur occasionnel essaie d'ouvrir la fenêtre, la porte ou la fermeture en utilisant la violence physique, par exemple coup de pied, coup d'épaule, soulèvement, arrachement.</w:t>
            </w:r>
          </w:p>
        </w:tc>
      </w:tr>
      <w:tr w:rsidR="00772179" w14:paraId="31012FA9" w14:textId="77777777">
        <w:tc>
          <w:tcPr>
            <w:tcW w:w="1125" w:type="dxa"/>
            <w:noWrap/>
          </w:tcPr>
          <w:p w14:paraId="41A2CBD0" w14:textId="77777777" w:rsidR="00772179" w:rsidRDefault="00000000">
            <w:pPr>
              <w:jc w:val="center"/>
            </w:pPr>
            <w:r>
              <w:t>2</w:t>
            </w:r>
          </w:p>
        </w:tc>
        <w:tc>
          <w:tcPr>
            <w:tcW w:w="7905" w:type="dxa"/>
            <w:noWrap/>
          </w:tcPr>
          <w:p w14:paraId="1D71C78D" w14:textId="77777777" w:rsidR="00772179" w:rsidRDefault="00000000">
            <w:r>
              <w:t>Le cambrioleur occasionnel essaie en plus d'ouvrir la fenêtre, la porte ou la fermeture en utilisant des outils simples, par exemple tournevis, pince, coins.</w:t>
            </w:r>
          </w:p>
        </w:tc>
      </w:tr>
      <w:tr w:rsidR="00772179" w14:paraId="6EFE6D48" w14:textId="77777777">
        <w:tc>
          <w:tcPr>
            <w:tcW w:w="1125" w:type="dxa"/>
            <w:noWrap/>
          </w:tcPr>
          <w:p w14:paraId="158E2C28" w14:textId="77777777" w:rsidR="00772179" w:rsidRDefault="00000000">
            <w:pPr>
              <w:jc w:val="center"/>
            </w:pPr>
            <w:r>
              <w:t>3</w:t>
            </w:r>
          </w:p>
        </w:tc>
        <w:tc>
          <w:tcPr>
            <w:tcW w:w="7905" w:type="dxa"/>
            <w:noWrap/>
          </w:tcPr>
          <w:p w14:paraId="0A40B222" w14:textId="77777777" w:rsidR="00772179" w:rsidRDefault="00000000">
            <w:r>
              <w:t>Le cambrioleur essaie d'entrer en utilisant 2 tournevis, ou plus, et un pied de biche.</w:t>
            </w:r>
          </w:p>
        </w:tc>
      </w:tr>
      <w:tr w:rsidR="00772179" w14:paraId="62F371A0" w14:textId="77777777">
        <w:tc>
          <w:tcPr>
            <w:tcW w:w="1125" w:type="dxa"/>
            <w:noWrap/>
          </w:tcPr>
          <w:p w14:paraId="31B3666F" w14:textId="77777777" w:rsidR="00772179" w:rsidRDefault="00000000">
            <w:pPr>
              <w:jc w:val="center"/>
            </w:pPr>
            <w:r>
              <w:t>4</w:t>
            </w:r>
          </w:p>
        </w:tc>
        <w:tc>
          <w:tcPr>
            <w:tcW w:w="7905" w:type="dxa"/>
            <w:noWrap/>
          </w:tcPr>
          <w:p w14:paraId="4A6D6CCB" w14:textId="77777777" w:rsidR="00772179" w:rsidRDefault="00000000">
            <w:r>
              <w:t>Le cambrioleur expérimenté utilise en plus des outils tels que scie, marteau, hache, ciseau, burin, perceuse électrique portative à batterie. </w:t>
            </w:r>
          </w:p>
        </w:tc>
      </w:tr>
      <w:tr w:rsidR="00772179" w14:paraId="1A4F3858" w14:textId="77777777">
        <w:tc>
          <w:tcPr>
            <w:tcW w:w="1125" w:type="dxa"/>
            <w:noWrap/>
          </w:tcPr>
          <w:p w14:paraId="305AE4B6" w14:textId="77777777" w:rsidR="00772179" w:rsidRDefault="00000000">
            <w:pPr>
              <w:jc w:val="center"/>
            </w:pPr>
            <w:r>
              <w:t>5</w:t>
            </w:r>
          </w:p>
        </w:tc>
        <w:tc>
          <w:tcPr>
            <w:tcW w:w="7905" w:type="dxa"/>
            <w:noWrap/>
          </w:tcPr>
          <w:p w14:paraId="2A04EEF0" w14:textId="77777777" w:rsidR="00772179" w:rsidRDefault="00000000">
            <w:r>
              <w:t>Le cambrioleur expérimenté utilise en plus des outils électriques, par exemple perceuse, scie sauteuse et sabre, meuleuse d'angle avec disque de diamètre maximum125 mm.</w:t>
            </w:r>
          </w:p>
        </w:tc>
      </w:tr>
      <w:tr w:rsidR="00772179" w14:paraId="218EAF12" w14:textId="77777777">
        <w:tc>
          <w:tcPr>
            <w:tcW w:w="1125" w:type="dxa"/>
            <w:noWrap/>
          </w:tcPr>
          <w:p w14:paraId="6C31428F" w14:textId="77777777" w:rsidR="00772179" w:rsidRDefault="00000000">
            <w:pPr>
              <w:jc w:val="center"/>
            </w:pPr>
            <w:r>
              <w:t>6</w:t>
            </w:r>
          </w:p>
        </w:tc>
        <w:tc>
          <w:tcPr>
            <w:tcW w:w="7905" w:type="dxa"/>
            <w:noWrap/>
          </w:tcPr>
          <w:p w14:paraId="38D369CD" w14:textId="77777777" w:rsidR="00772179" w:rsidRDefault="00000000">
            <w:r>
              <w:t>Le cambrioleur expérimenté utilise en plus des outils électriques puissants, par exemple, perceuse, scie sauteuse et sabre, meuleuse d'angle avec disque de diamètre maximum 230mm.</w:t>
            </w:r>
          </w:p>
        </w:tc>
      </w:tr>
    </w:tbl>
    <w:p w14:paraId="79DF17F5" w14:textId="77777777" w:rsidR="00772179" w:rsidRDefault="00772179"/>
    <w:p w14:paraId="7EA70AB6" w14:textId="77777777" w:rsidR="00772179" w:rsidRDefault="00000000">
      <w:pPr>
        <w:jc w:val="both"/>
      </w:pPr>
      <w:r>
        <w:rPr>
          <w:b/>
          <w:u w:val="single"/>
        </w:rPr>
        <w:t>Résistance à l'explosion</w:t>
      </w:r>
    </w:p>
    <w:p w14:paraId="6952D9EE" w14:textId="77777777" w:rsidR="00772179" w:rsidRDefault="00000000">
      <w:pPr>
        <w:jc w:val="both"/>
      </w:pPr>
      <w:r>
        <w:t>Le cas échéant, le cahier spécial des charges mentionne la résistance à l'explosion de la menuiserie conformément à une des normes décrites dans la [NBN B 25-002-1] § 5.2.3.6</w:t>
      </w:r>
    </w:p>
    <w:p w14:paraId="2A7F7C5E" w14:textId="77777777" w:rsidR="00772179" w:rsidRDefault="00000000">
      <w:pPr>
        <w:jc w:val="both"/>
      </w:pPr>
      <w:r>
        <w:rPr>
          <w:b/>
          <w:u w:val="single"/>
        </w:rPr>
        <w:t>Résistance aux balles</w:t>
      </w:r>
    </w:p>
    <w:p w14:paraId="77D2F41E" w14:textId="77777777" w:rsidR="00772179" w:rsidRDefault="00000000">
      <w:pPr>
        <w:jc w:val="both"/>
      </w:pPr>
      <w:r>
        <w:t>Le cas échéant, le cahier spécial des charges mentionne la résistance aux balles de la menuiserie conformément à une des normes décrites dans la [NBN B 25-002-1] § 5.2.3.7</w:t>
      </w:r>
    </w:p>
    <w:p w14:paraId="72EC1829" w14:textId="77777777" w:rsidR="00772179" w:rsidRDefault="00000000">
      <w:pPr>
        <w:jc w:val="both"/>
      </w:pPr>
      <w:r>
        <w:rPr>
          <w:b/>
          <w:u w:val="single"/>
        </w:rPr>
        <w:t>Sécurité en cas d’incendie</w:t>
      </w:r>
    </w:p>
    <w:p w14:paraId="6667C112" w14:textId="77777777" w:rsidR="00772179" w:rsidRDefault="00000000">
      <w:pPr>
        <w:jc w:val="both"/>
      </w:pPr>
      <w:r>
        <w:t>Les exigences de réaction au feu et de résistance au feu des menuiseries extérieures sont conformes aux lois, réglementations (fédérales, communautaires, régionales, communales) et dispositions administratives, applicables à l’utilisation finale.</w:t>
      </w:r>
    </w:p>
    <w:p w14:paraId="3566CA33" w14:textId="77777777" w:rsidR="00772179" w:rsidRDefault="00000000">
      <w:pPr>
        <w:jc w:val="both"/>
      </w:pPr>
      <w:r>
        <w:t>Note : Certaines dispositions réglementaires contiennent d’autres exigences que celles relatives à la résistance ou la réaction au feu.</w:t>
      </w:r>
    </w:p>
    <w:p w14:paraId="4367C744" w14:textId="77777777" w:rsidR="00772179" w:rsidRDefault="00000000">
      <w:pPr>
        <w:jc w:val="both"/>
      </w:pPr>
      <w:r>
        <w:rPr>
          <w:b/>
        </w:rPr>
        <w:t>La réaction au feu</w:t>
      </w:r>
    </w:p>
    <w:p w14:paraId="7F545324" w14:textId="77777777" w:rsidR="00772179" w:rsidRDefault="00000000">
      <w:pPr>
        <w:jc w:val="both"/>
      </w:pPr>
      <w:r>
        <w:t>Les exigences relatives à la réaction au feu sont reprises dans [AR 1994-07-07] fixant les "Normes de base en matière de prévention contre l'incendie et l'explosion" et ses modifications dernière édition.</w:t>
      </w:r>
    </w:p>
    <w:p w14:paraId="61068B4E" w14:textId="77777777" w:rsidR="00772179" w:rsidRDefault="00000000">
      <w:pPr>
        <w:jc w:val="both"/>
      </w:pPr>
      <w:r>
        <w:t>Les exigences sont reprises dans l'annexe 5/1 de cet arrêté royal pour les nouveaux bâtiments construits à partir du 1/07/2022.</w:t>
      </w:r>
    </w:p>
    <w:p w14:paraId="531B19A9" w14:textId="77777777" w:rsidR="00772179" w:rsidRDefault="00000000">
      <w:pPr>
        <w:jc w:val="both"/>
      </w:pPr>
      <w:r>
        <w:t>Selon cet arrêté royal, les revêtements de façades présentent les classes de réaction au feu suivantes conformément à la norme [NBN EN 13501-1] :</w:t>
      </w:r>
    </w:p>
    <w:p w14:paraId="51B43891" w14:textId="77777777" w:rsidR="00772179" w:rsidRDefault="00000000">
      <w:pPr>
        <w:pStyle w:val="Author-eListParagraph"/>
        <w:numPr>
          <w:ilvl w:val="0"/>
          <w:numId w:val="440"/>
        </w:numPr>
      </w:pPr>
      <w:r>
        <w:t>la classe D-s3, d1 pour les bâtiments bas (hauteur conventionnelle h &lt; 10m), utilisateurs autonomes</w:t>
      </w:r>
    </w:p>
    <w:p w14:paraId="09EAFA28" w14:textId="77777777" w:rsidR="00772179" w:rsidRDefault="00000000">
      <w:pPr>
        <w:pStyle w:val="Author-eListParagraph"/>
        <w:numPr>
          <w:ilvl w:val="0"/>
          <w:numId w:val="440"/>
        </w:numPr>
      </w:pPr>
      <w:r>
        <w:t>la classe C-s3, d1 pour les bâtiments bas (hauteur conventionnelle h &lt; 10m), utilisateurs non autonomes</w:t>
      </w:r>
    </w:p>
    <w:p w14:paraId="168B7E17" w14:textId="77777777" w:rsidR="00772179" w:rsidRDefault="00000000">
      <w:pPr>
        <w:pStyle w:val="Author-eListParagraph"/>
        <w:numPr>
          <w:ilvl w:val="0"/>
          <w:numId w:val="440"/>
        </w:numPr>
      </w:pPr>
      <w:r>
        <w:t>la classe B-s3, d1 pour les bâtiments moyens (h ≥ 10 m)</w:t>
      </w:r>
    </w:p>
    <w:p w14:paraId="0070FC9F" w14:textId="77777777" w:rsidR="00772179" w:rsidRDefault="00000000">
      <w:pPr>
        <w:pStyle w:val="Author-eListParagraph"/>
        <w:numPr>
          <w:ilvl w:val="0"/>
          <w:numId w:val="440"/>
        </w:numPr>
      </w:pPr>
      <w:r>
        <w:t>la classe A2-s3, d0 pour les bâtiments élevés (h ≥ 25 m).</w:t>
      </w:r>
    </w:p>
    <w:p w14:paraId="0997FF16" w14:textId="77777777" w:rsidR="00772179" w:rsidRDefault="00000000">
      <w:pPr>
        <w:jc w:val="both"/>
      </w:pPr>
      <w:r>
        <w:t>La performance est attestée suivant les modalités spécifiées dans l’arrêté royal.</w:t>
      </w:r>
    </w:p>
    <w:p w14:paraId="27219FA0" w14:textId="77777777" w:rsidR="00772179" w:rsidRDefault="00000000">
      <w:pPr>
        <w:jc w:val="both"/>
      </w:pPr>
      <w:r>
        <w:t>Un maximum de 5 % de la surface visible des façades n’est pas soumis à cette exigence.</w:t>
      </w:r>
    </w:p>
    <w:p w14:paraId="4FF577AE" w14:textId="77777777" w:rsidR="00772179" w:rsidRDefault="00000000">
      <w:pPr>
        <w:jc w:val="both"/>
      </w:pPr>
      <w:r>
        <w:t>Ces exigences sont valables pour tous les nouveaux bâtiments à l’exclusion des maisons unifamiliales, des bâtiments bas de moins de 100 m² et de maximum 2 étages.</w:t>
      </w:r>
    </w:p>
    <w:p w14:paraId="16FD3966" w14:textId="77777777" w:rsidR="00772179" w:rsidRDefault="00000000">
      <w:pPr>
        <w:jc w:val="both"/>
      </w:pPr>
      <w:r>
        <w:lastRenderedPageBreak/>
        <w:t>Les bâtiments industriels (faisant l’objet de l’annexe 6 dudit arrêté royal) ne sont pas soumis aux exigences précitées.</w:t>
      </w:r>
    </w:p>
    <w:p w14:paraId="0B8FBE7F" w14:textId="77777777" w:rsidR="00772179" w:rsidRDefault="00000000">
      <w:pPr>
        <w:jc w:val="both"/>
      </w:pPr>
      <w:r>
        <w:t>D'autres réglementations spécifiques en fonction de la destination du bâtiment peuvent compléter cet arrêté royal. Pour toute information complémentaire, le site internet du SPF Intérieur dédié à la sécurité incendie (</w:t>
      </w:r>
      <w:hyperlink r:id="rId7" w:history="1">
        <w:r>
          <w:rPr>
            <w:color w:val="0000EE"/>
          </w:rPr>
          <w:t>www.besafe.be</w:t>
        </w:r>
      </w:hyperlink>
      <w:r>
        <w:t>) et le site de l’Antenne-Normes Prévention incendie de Buildwise (</w:t>
      </w:r>
      <w:hyperlink r:id="rId8" w:history="1">
        <w:r>
          <w:rPr>
            <w:color w:val="0000EE"/>
          </w:rPr>
          <w:t>www.normes.be/feu</w:t>
        </w:r>
      </w:hyperlink>
      <w:r>
        <w:t>) peuvent être consultés.</w:t>
      </w:r>
    </w:p>
    <w:p w14:paraId="248BC9B5" w14:textId="77777777" w:rsidR="00772179" w:rsidRDefault="00000000">
      <w:pPr>
        <w:jc w:val="both"/>
      </w:pPr>
      <w:r>
        <w:rPr>
          <w:u w:val="single"/>
        </w:rPr>
        <w:t>Notes :</w:t>
      </w:r>
    </w:p>
    <w:p w14:paraId="21C5E7BE" w14:textId="77777777" w:rsidR="00772179" w:rsidRDefault="00000000">
      <w:pPr>
        <w:pStyle w:val="Author-eListParagraph"/>
        <w:numPr>
          <w:ilvl w:val="0"/>
          <w:numId w:val="441"/>
        </w:numPr>
      </w:pPr>
      <w:r>
        <w:t>Lorsque des exigences sont reprises dans les règlements officiels nationaux, régionaux ou autres, elles sont rendues obligatoires (= loi)</w:t>
      </w:r>
    </w:p>
    <w:p w14:paraId="40582656" w14:textId="77777777" w:rsidR="00772179" w:rsidRDefault="00000000">
      <w:pPr>
        <w:pStyle w:val="Author-eListParagraph"/>
        <w:numPr>
          <w:ilvl w:val="0"/>
          <w:numId w:val="441"/>
        </w:numPr>
      </w:pPr>
      <w:r>
        <w:t>D'autres réglementations existent en fonction de la destination du bâtiment (hôpital, maisons de repos, établissements d'hébergement, etc.). Ces dernières contiennent d’autres exigences que celles concernant la réaction et la résistance au feu et différent en fonction de la Communauté ou de la Région.</w:t>
      </w:r>
    </w:p>
    <w:p w14:paraId="10C38192" w14:textId="77777777" w:rsidR="00772179" w:rsidRDefault="00000000">
      <w:pPr>
        <w:jc w:val="both"/>
      </w:pPr>
      <w:r>
        <w:rPr>
          <w:b/>
        </w:rPr>
        <w:t>La résistance au feu</w:t>
      </w:r>
    </w:p>
    <w:p w14:paraId="374E66BA" w14:textId="77777777" w:rsidR="00772179" w:rsidRDefault="00000000">
      <w:pPr>
        <w:jc w:val="both"/>
      </w:pPr>
      <w:r>
        <w:t>Les exigences relatives à la résistance au feu sont reprises dans [AR 1994-07-07] fixant les "Normes de base en matière de prévention contre l'incendie et l'explosion" et ses modifications. Les exigences sont reprises dans les annexes 2/1, 3/1 et 4/1 de cet arrêté royal pour les nouveaux bâtiments, respectivement bas, moyens et élevés, construits à partir du 1/12/2012.</w:t>
      </w:r>
    </w:p>
    <w:p w14:paraId="55C7B93F" w14:textId="77777777" w:rsidR="00772179" w:rsidRDefault="00000000">
      <w:pPr>
        <w:jc w:val="both"/>
      </w:pPr>
      <w:r>
        <w:t>La référence principale est la norme [NBN EN 13501-2]. La performance est attestée suivant les modalités spécifiées dans l’arrêté royal.</w:t>
      </w:r>
    </w:p>
    <w:p w14:paraId="6A1A9142" w14:textId="77777777" w:rsidR="00772179" w:rsidRDefault="00000000">
      <w:pPr>
        <w:jc w:val="both"/>
      </w:pPr>
      <w:r>
        <w:rPr>
          <w:b/>
          <w:u w:val="single"/>
        </w:rPr>
        <w:t>Résistance aux chocs</w:t>
      </w:r>
    </w:p>
    <w:p w14:paraId="184375FC" w14:textId="77777777" w:rsidR="00772179" w:rsidRDefault="00000000">
      <w:pPr>
        <w:jc w:val="both"/>
      </w:pPr>
      <w:r>
        <w:t>La résistance aux chocs concerne le vitrage et/ou la façade rideaux. La résistance aux chocs des vitrages est décrite dans le chapitre relatif aux vitrages. La classe de résistance aux chocs des façades rideaux est précisée ci-dessous, conformément à la norme [NBN B 25-002-1]. Les classes de résistance aux chocs intérieurs et extérieurs sont établies conformément à la norme [NBN EN 14019].</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772179" w14:paraId="2201260E" w14:textId="77777777">
        <w:tc>
          <w:tcPr>
            <w:tcW w:w="2250" w:type="dxa"/>
            <w:noWrap/>
          </w:tcPr>
          <w:p w14:paraId="6F11F253" w14:textId="77777777" w:rsidR="00772179" w:rsidRDefault="00000000">
            <w:pPr>
              <w:jc w:val="center"/>
            </w:pPr>
            <w:r>
              <w:t>Classes d’essais</w:t>
            </w:r>
          </w:p>
          <w:p w14:paraId="1E8A59AF" w14:textId="77777777" w:rsidR="00772179" w:rsidRDefault="00000000">
            <w:pPr>
              <w:jc w:val="center"/>
            </w:pPr>
            <w:r>
              <w:t>Choc extérieur</w:t>
            </w:r>
          </w:p>
        </w:tc>
        <w:tc>
          <w:tcPr>
            <w:tcW w:w="2250" w:type="dxa"/>
            <w:noWrap/>
          </w:tcPr>
          <w:p w14:paraId="3C9F480B" w14:textId="77777777" w:rsidR="00772179" w:rsidRDefault="00000000">
            <w:pPr>
              <w:jc w:val="center"/>
            </w:pPr>
            <w:r>
              <w:t>Hauteur de chute</w:t>
            </w:r>
          </w:p>
          <w:p w14:paraId="459BB40C" w14:textId="77777777" w:rsidR="00772179" w:rsidRDefault="00000000">
            <w:pPr>
              <w:jc w:val="center"/>
            </w:pPr>
            <w:r>
              <w:t>[mm]</w:t>
            </w:r>
          </w:p>
        </w:tc>
        <w:tc>
          <w:tcPr>
            <w:tcW w:w="2250" w:type="dxa"/>
            <w:noWrap/>
          </w:tcPr>
          <w:p w14:paraId="01571957" w14:textId="77777777" w:rsidR="00772179" w:rsidRDefault="00000000">
            <w:pPr>
              <w:jc w:val="center"/>
            </w:pPr>
            <w:r>
              <w:t>Classes d’essais</w:t>
            </w:r>
          </w:p>
          <w:p w14:paraId="0573BE14" w14:textId="77777777" w:rsidR="00772179" w:rsidRDefault="00000000">
            <w:pPr>
              <w:jc w:val="center"/>
            </w:pPr>
            <w:r>
              <w:t>Choc intérieur</w:t>
            </w:r>
          </w:p>
        </w:tc>
        <w:tc>
          <w:tcPr>
            <w:tcW w:w="2250" w:type="dxa"/>
            <w:noWrap/>
          </w:tcPr>
          <w:p w14:paraId="444FC3D5" w14:textId="77777777" w:rsidR="00772179" w:rsidRDefault="00000000">
            <w:pPr>
              <w:jc w:val="center"/>
            </w:pPr>
            <w:r>
              <w:t>Hauteur de chute</w:t>
            </w:r>
          </w:p>
          <w:p w14:paraId="43189B0D" w14:textId="77777777" w:rsidR="00772179" w:rsidRDefault="00000000">
            <w:pPr>
              <w:jc w:val="center"/>
            </w:pPr>
            <w:r>
              <w:t>[mm]</w:t>
            </w:r>
          </w:p>
        </w:tc>
      </w:tr>
      <w:tr w:rsidR="00772179" w14:paraId="0C6CD039" w14:textId="77777777">
        <w:tc>
          <w:tcPr>
            <w:tcW w:w="2250" w:type="dxa"/>
            <w:noWrap/>
          </w:tcPr>
          <w:p w14:paraId="211DA2E2" w14:textId="77777777" w:rsidR="00772179" w:rsidRDefault="00000000">
            <w:pPr>
              <w:jc w:val="center"/>
            </w:pPr>
            <w:r>
              <w:t>E0</w:t>
            </w:r>
          </w:p>
        </w:tc>
        <w:tc>
          <w:tcPr>
            <w:tcW w:w="2250" w:type="dxa"/>
            <w:noWrap/>
          </w:tcPr>
          <w:p w14:paraId="08FE69A2" w14:textId="77777777" w:rsidR="00772179" w:rsidRDefault="00000000">
            <w:pPr>
              <w:jc w:val="center"/>
            </w:pPr>
            <w:r>
              <w:t>Pas applicable</w:t>
            </w:r>
          </w:p>
        </w:tc>
        <w:tc>
          <w:tcPr>
            <w:tcW w:w="2250" w:type="dxa"/>
            <w:noWrap/>
          </w:tcPr>
          <w:p w14:paraId="232721CD" w14:textId="77777777" w:rsidR="00772179" w:rsidRDefault="00000000">
            <w:pPr>
              <w:jc w:val="center"/>
            </w:pPr>
            <w:r>
              <w:t>I0</w:t>
            </w:r>
          </w:p>
        </w:tc>
        <w:tc>
          <w:tcPr>
            <w:tcW w:w="2250" w:type="dxa"/>
            <w:noWrap/>
          </w:tcPr>
          <w:p w14:paraId="2F4886EC" w14:textId="77777777" w:rsidR="00772179" w:rsidRDefault="00000000">
            <w:pPr>
              <w:jc w:val="center"/>
            </w:pPr>
            <w:r>
              <w:t>Pas applicable</w:t>
            </w:r>
          </w:p>
        </w:tc>
      </w:tr>
      <w:tr w:rsidR="00772179" w14:paraId="19D5F5C3" w14:textId="77777777">
        <w:tc>
          <w:tcPr>
            <w:tcW w:w="2250" w:type="dxa"/>
            <w:noWrap/>
          </w:tcPr>
          <w:p w14:paraId="457CCEEF" w14:textId="77777777" w:rsidR="00772179" w:rsidRDefault="00000000">
            <w:pPr>
              <w:jc w:val="center"/>
            </w:pPr>
            <w:r>
              <w:t>E1</w:t>
            </w:r>
          </w:p>
        </w:tc>
        <w:tc>
          <w:tcPr>
            <w:tcW w:w="2250" w:type="dxa"/>
            <w:noWrap/>
          </w:tcPr>
          <w:p w14:paraId="601B7173" w14:textId="77777777" w:rsidR="00772179" w:rsidRDefault="00000000">
            <w:pPr>
              <w:jc w:val="center"/>
            </w:pPr>
            <w:r>
              <w:t>200</w:t>
            </w:r>
          </w:p>
        </w:tc>
        <w:tc>
          <w:tcPr>
            <w:tcW w:w="2250" w:type="dxa"/>
            <w:noWrap/>
          </w:tcPr>
          <w:p w14:paraId="17DC45B0" w14:textId="77777777" w:rsidR="00772179" w:rsidRDefault="00000000">
            <w:pPr>
              <w:jc w:val="center"/>
            </w:pPr>
            <w:r>
              <w:t>I1</w:t>
            </w:r>
          </w:p>
        </w:tc>
        <w:tc>
          <w:tcPr>
            <w:tcW w:w="2250" w:type="dxa"/>
            <w:noWrap/>
          </w:tcPr>
          <w:p w14:paraId="786A1C8B" w14:textId="77777777" w:rsidR="00772179" w:rsidRDefault="00000000">
            <w:pPr>
              <w:jc w:val="center"/>
            </w:pPr>
            <w:r>
              <w:t>200</w:t>
            </w:r>
          </w:p>
        </w:tc>
      </w:tr>
      <w:tr w:rsidR="00772179" w14:paraId="19F6BDC0" w14:textId="77777777">
        <w:tc>
          <w:tcPr>
            <w:tcW w:w="2250" w:type="dxa"/>
            <w:noWrap/>
          </w:tcPr>
          <w:p w14:paraId="4041F7A8" w14:textId="77777777" w:rsidR="00772179" w:rsidRDefault="00000000">
            <w:pPr>
              <w:jc w:val="center"/>
            </w:pPr>
            <w:r>
              <w:t>E2</w:t>
            </w:r>
          </w:p>
        </w:tc>
        <w:tc>
          <w:tcPr>
            <w:tcW w:w="2250" w:type="dxa"/>
            <w:noWrap/>
          </w:tcPr>
          <w:p w14:paraId="3DC6BC40" w14:textId="77777777" w:rsidR="00772179" w:rsidRDefault="00000000">
            <w:pPr>
              <w:jc w:val="center"/>
            </w:pPr>
            <w:r>
              <w:t>300</w:t>
            </w:r>
          </w:p>
        </w:tc>
        <w:tc>
          <w:tcPr>
            <w:tcW w:w="2250" w:type="dxa"/>
            <w:noWrap/>
          </w:tcPr>
          <w:p w14:paraId="0C30C363" w14:textId="77777777" w:rsidR="00772179" w:rsidRDefault="00000000">
            <w:pPr>
              <w:jc w:val="center"/>
            </w:pPr>
            <w:r>
              <w:t>I2</w:t>
            </w:r>
          </w:p>
        </w:tc>
        <w:tc>
          <w:tcPr>
            <w:tcW w:w="2250" w:type="dxa"/>
            <w:noWrap/>
          </w:tcPr>
          <w:p w14:paraId="45C4622A" w14:textId="77777777" w:rsidR="00772179" w:rsidRDefault="00000000">
            <w:pPr>
              <w:jc w:val="center"/>
            </w:pPr>
            <w:r>
              <w:t>300</w:t>
            </w:r>
          </w:p>
        </w:tc>
      </w:tr>
      <w:tr w:rsidR="00772179" w14:paraId="3FEE86D5" w14:textId="77777777">
        <w:tc>
          <w:tcPr>
            <w:tcW w:w="2250" w:type="dxa"/>
            <w:noWrap/>
          </w:tcPr>
          <w:p w14:paraId="29DA3615" w14:textId="77777777" w:rsidR="00772179" w:rsidRDefault="00000000">
            <w:pPr>
              <w:jc w:val="center"/>
            </w:pPr>
            <w:r>
              <w:t>E3</w:t>
            </w:r>
          </w:p>
        </w:tc>
        <w:tc>
          <w:tcPr>
            <w:tcW w:w="2250" w:type="dxa"/>
            <w:noWrap/>
          </w:tcPr>
          <w:p w14:paraId="33599A79" w14:textId="77777777" w:rsidR="00772179" w:rsidRDefault="00000000">
            <w:pPr>
              <w:jc w:val="center"/>
            </w:pPr>
            <w:r>
              <w:t>450</w:t>
            </w:r>
          </w:p>
        </w:tc>
        <w:tc>
          <w:tcPr>
            <w:tcW w:w="2250" w:type="dxa"/>
            <w:noWrap/>
          </w:tcPr>
          <w:p w14:paraId="0F87DB71" w14:textId="77777777" w:rsidR="00772179" w:rsidRDefault="00000000">
            <w:pPr>
              <w:jc w:val="center"/>
            </w:pPr>
            <w:r>
              <w:t>I3</w:t>
            </w:r>
          </w:p>
        </w:tc>
        <w:tc>
          <w:tcPr>
            <w:tcW w:w="2250" w:type="dxa"/>
            <w:noWrap/>
          </w:tcPr>
          <w:p w14:paraId="69FA3C77" w14:textId="77777777" w:rsidR="00772179" w:rsidRDefault="00000000">
            <w:pPr>
              <w:jc w:val="center"/>
            </w:pPr>
            <w:r>
              <w:t>450</w:t>
            </w:r>
          </w:p>
        </w:tc>
      </w:tr>
      <w:tr w:rsidR="00772179" w14:paraId="4E7824FB" w14:textId="77777777">
        <w:tc>
          <w:tcPr>
            <w:tcW w:w="2250" w:type="dxa"/>
            <w:noWrap/>
          </w:tcPr>
          <w:p w14:paraId="3CB77EE8" w14:textId="77777777" w:rsidR="00772179" w:rsidRDefault="00000000">
            <w:pPr>
              <w:jc w:val="center"/>
            </w:pPr>
            <w:r>
              <w:t>E4</w:t>
            </w:r>
          </w:p>
        </w:tc>
        <w:tc>
          <w:tcPr>
            <w:tcW w:w="2250" w:type="dxa"/>
            <w:noWrap/>
          </w:tcPr>
          <w:p w14:paraId="668C68D7" w14:textId="77777777" w:rsidR="00772179" w:rsidRDefault="00000000">
            <w:pPr>
              <w:jc w:val="center"/>
            </w:pPr>
            <w:r>
              <w:t>700</w:t>
            </w:r>
          </w:p>
        </w:tc>
        <w:tc>
          <w:tcPr>
            <w:tcW w:w="2250" w:type="dxa"/>
            <w:noWrap/>
          </w:tcPr>
          <w:p w14:paraId="339EE2CA" w14:textId="77777777" w:rsidR="00772179" w:rsidRDefault="00000000">
            <w:pPr>
              <w:jc w:val="center"/>
            </w:pPr>
            <w:r>
              <w:t>I4</w:t>
            </w:r>
          </w:p>
        </w:tc>
        <w:tc>
          <w:tcPr>
            <w:tcW w:w="2250" w:type="dxa"/>
            <w:noWrap/>
          </w:tcPr>
          <w:p w14:paraId="716F1B53" w14:textId="77777777" w:rsidR="00772179" w:rsidRDefault="00000000">
            <w:pPr>
              <w:jc w:val="center"/>
            </w:pPr>
            <w:r>
              <w:t>700</w:t>
            </w:r>
          </w:p>
        </w:tc>
      </w:tr>
      <w:tr w:rsidR="00772179" w14:paraId="52A11C55" w14:textId="77777777">
        <w:tc>
          <w:tcPr>
            <w:tcW w:w="2250" w:type="dxa"/>
            <w:noWrap/>
          </w:tcPr>
          <w:p w14:paraId="722F8553" w14:textId="77777777" w:rsidR="00772179" w:rsidRDefault="00000000">
            <w:pPr>
              <w:jc w:val="center"/>
            </w:pPr>
            <w:r>
              <w:t>E5</w:t>
            </w:r>
          </w:p>
        </w:tc>
        <w:tc>
          <w:tcPr>
            <w:tcW w:w="2250" w:type="dxa"/>
            <w:noWrap/>
          </w:tcPr>
          <w:p w14:paraId="241AC0AF" w14:textId="77777777" w:rsidR="00772179" w:rsidRDefault="00000000">
            <w:pPr>
              <w:jc w:val="center"/>
            </w:pPr>
            <w:r>
              <w:t>950</w:t>
            </w:r>
          </w:p>
        </w:tc>
        <w:tc>
          <w:tcPr>
            <w:tcW w:w="2250" w:type="dxa"/>
            <w:noWrap/>
          </w:tcPr>
          <w:p w14:paraId="315EB30C" w14:textId="77777777" w:rsidR="00772179" w:rsidRDefault="00000000">
            <w:pPr>
              <w:jc w:val="center"/>
            </w:pPr>
            <w:r>
              <w:t>I5</w:t>
            </w:r>
          </w:p>
        </w:tc>
        <w:tc>
          <w:tcPr>
            <w:tcW w:w="2250" w:type="dxa"/>
            <w:noWrap/>
          </w:tcPr>
          <w:p w14:paraId="1907930D" w14:textId="77777777" w:rsidR="00772179" w:rsidRDefault="00000000">
            <w:pPr>
              <w:jc w:val="center"/>
            </w:pPr>
            <w:r>
              <w:t>950</w:t>
            </w:r>
          </w:p>
        </w:tc>
      </w:tr>
    </w:tbl>
    <w:p w14:paraId="09C8D514" w14:textId="77777777" w:rsidR="00772179" w:rsidRDefault="00772179"/>
    <w:p w14:paraId="78A31ED4" w14:textId="77777777" w:rsidR="00772179" w:rsidRDefault="00000000">
      <w:pPr>
        <w:jc w:val="both"/>
      </w:pPr>
      <w:r>
        <w:t>La spécification des classes de résistance aux chocs des façades suivant la norme [NBN EN 14019] est donnée au tableau suivant où :</w:t>
      </w:r>
    </w:p>
    <w:p w14:paraId="24E29E8F" w14:textId="77777777" w:rsidR="00772179" w:rsidRDefault="00000000">
      <w:pPr>
        <w:pStyle w:val="Author-eListParagraph"/>
        <w:numPr>
          <w:ilvl w:val="0"/>
          <w:numId w:val="442"/>
        </w:numPr>
      </w:pPr>
      <w:r>
        <w:t>h est la hauteur de référence «h » pour la hauteur de protection mesurée du côté du risque entre le niveau du sol fini et le niveau haut du dormant (traverse) de la menuiserie.</w:t>
      </w:r>
      <w:r>
        <w:br/>
      </w:r>
    </w:p>
    <w:p w14:paraId="24E98B06" w14:textId="77777777" w:rsidR="00772179" w:rsidRDefault="00000000">
      <w:pPr>
        <w:pStyle w:val="Author-eListParagraph"/>
        <w:numPr>
          <w:ilvl w:val="0"/>
          <w:numId w:val="442"/>
        </w:numPr>
      </w:pPr>
      <w:r>
        <w:t>hc est la hauteur de chute comprise entre le niveau haut de la feuillure de la traverse en cas d’éléments fixes ou du dormant en cas d’éléments ouvrants et le niveau du sol en contrebas dont la largeur est ≥ 0,95 m</w:t>
      </w:r>
      <w:r>
        <w:br/>
      </w:r>
    </w:p>
    <w:p w14:paraId="2E872C10" w14:textId="77777777" w:rsidR="00772179" w:rsidRDefault="00000000">
      <w:pPr>
        <w:pStyle w:val="Author-eListParagraph"/>
        <w:numPr>
          <w:ilvl w:val="0"/>
          <w:numId w:val="442"/>
        </w:numPr>
      </w:pPr>
      <w:r>
        <w:t>H est la hauteur de protection soit la hauteur jusqu’à laquelle la protection des personnes doit être assurée en fonction de conditions de projet. La hauteur H est comprise entre 0,9 et 1,2 m à partir du niveau du sol fini.</w:t>
      </w:r>
    </w:p>
    <w:p w14:paraId="12B23536" w14:textId="77777777" w:rsidR="00772179" w:rsidRDefault="00000000">
      <w:pPr>
        <w:jc w:val="both"/>
      </w:pPr>
      <w:r>
        <w:lastRenderedPageBreak/>
        <w:t>Lorsque des menuiseries intègrent des parties ouvrantes pouvant donner lieu au passage d'un corps humain et que hc &gt; 1.5 m, il y a lieu d’équiper la baie d’un garde-corps conforme à la norme [NBN B 03-004].</w:t>
      </w:r>
    </w:p>
    <w:p w14:paraId="59B01276" w14:textId="77777777" w:rsidR="00772179" w:rsidRDefault="00000000">
      <w:pPr>
        <w:jc w:val="both"/>
      </w:pPr>
      <w:r>
        <w:t>Lorsqu'il y a possibilité d'ouvrir la fenêtre de façon limitée tout en empêchant le passage d'un corps humain (p.ex. limitateur d'ouverture), il y a lieu de tester aux chocs la menuiserie en position ouverte.</w:t>
      </w:r>
    </w:p>
    <w:p w14:paraId="52C11B66" w14:textId="77777777" w:rsidR="00772179" w:rsidRDefault="00000000">
      <w:pPr>
        <w:jc w:val="both"/>
      </w:pPr>
      <w:r>
        <w:rPr>
          <w:noProof/>
        </w:rPr>
        <w:drawing>
          <wp:inline distT="0" distB="0" distL="0" distR="0" wp14:anchorId="2FBAE601" wp14:editId="3016879C">
            <wp:extent cx="5715000" cy="3438525"/>
            <wp:effectExtent l="0" t="0" r="0" b="0"/>
            <wp:docPr id="2" name="41.4 chocs menuiserie.jpg" descr="41.4 chocs menui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7877" descr=" "/>
                    <pic:cNvPicPr>
                      <a:picLocks noChangeAspect="1" noChangeArrowheads="1"/>
                    </pic:cNvPicPr>
                  </pic:nvPicPr>
                  <pic:blipFill>
                    <a:blip r:embed="rId9"/>
                    <a:srcRect/>
                    <a:stretch>
                      <a:fillRect/>
                    </a:stretch>
                  </pic:blipFill>
                  <pic:spPr bwMode="auto">
                    <a:xfrm>
                      <a:off x="0" y="0"/>
                      <a:ext cx="5715000" cy="3438525"/>
                    </a:xfrm>
                    <a:prstGeom prst="rect">
                      <a:avLst/>
                    </a:prstGeom>
                  </pic:spPr>
                </pic:pic>
              </a:graphicData>
            </a:graphic>
          </wp:inline>
        </w:drawing>
      </w:r>
    </w:p>
    <w:p w14:paraId="5544EC6C" w14:textId="77777777" w:rsidR="00772179" w:rsidRDefault="00000000">
      <w:pPr>
        <w:jc w:val="both"/>
      </w:pPr>
      <w:r>
        <w:rPr>
          <w:b/>
          <w:u w:val="single"/>
        </w:rPr>
        <w:t>Endurance mécanique</w:t>
      </w:r>
    </w:p>
    <w:p w14:paraId="502ED94E" w14:textId="77777777" w:rsidR="00772179" w:rsidRDefault="00000000">
      <w:pPr>
        <w:jc w:val="both"/>
      </w:pPr>
      <w:r>
        <w:t>Le cas échéant, le cahier spécial des charges mentionne la classe de résistance à l'ouverture et à la fermeture répétée à laquelle les parties ouvrantes des façades rideaux décrites dans la [NBN B 25-002-1]  § 5.2.3.11.</w:t>
      </w:r>
    </w:p>
    <w:p w14:paraId="305358A8" w14:textId="77777777" w:rsidR="00772179" w:rsidRDefault="00000000">
      <w:pPr>
        <w:jc w:val="both"/>
      </w:pPr>
      <w:r>
        <w:rPr>
          <w:b/>
          <w:u w:val="single"/>
        </w:rPr>
        <w:t>Comportement entre deux climats</w:t>
      </w:r>
    </w:p>
    <w:p w14:paraId="087CFE46" w14:textId="77777777" w:rsidR="00772179" w:rsidRDefault="00000000">
      <w:pPr>
        <w:jc w:val="both"/>
      </w:pPr>
      <w:r>
        <w:t>Le cas échéant, lorsque la façade est hétérogène ou posée dans un climat particulier, le comportement de la façade en ambiance différentielle sur un prototype représentatif de la façade rideau peut être vérifié suivant la procédure d'essai de la norme [NBN EN 13420].</w:t>
      </w:r>
    </w:p>
    <w:p w14:paraId="3E3383B8" w14:textId="77777777" w:rsidR="00772179" w:rsidRDefault="00000000">
      <w:pPr>
        <w:jc w:val="both"/>
      </w:pPr>
      <w:r>
        <w:t>La conception de la menuiserie détermine le mode opératoire à adopter.</w:t>
      </w:r>
    </w:p>
    <w:p w14:paraId="5950FDD6" w14:textId="77777777" w:rsidR="00772179" w:rsidRDefault="00000000">
      <w:pPr>
        <w:jc w:val="both"/>
      </w:pPr>
      <w:r>
        <w:t>Sauf autre spécification dans le cahier des charges, l'essai est effectué sur une travée représentative ou un élément de façade rideau à savoir:</w:t>
      </w:r>
    </w:p>
    <w:p w14:paraId="1326EC56" w14:textId="77777777" w:rsidR="00772179" w:rsidRDefault="00000000">
      <w:pPr>
        <w:pStyle w:val="Author-eListParagraph"/>
        <w:numPr>
          <w:ilvl w:val="0"/>
          <w:numId w:val="443"/>
        </w:numPr>
      </w:pPr>
      <w:r>
        <w:t>pour une façade à montants et entrevous ou à allèges : au moins deux modules en largeur et deux modules en hauteur,</w:t>
      </w:r>
    </w:p>
    <w:p w14:paraId="574560CE" w14:textId="77777777" w:rsidR="00772179" w:rsidRDefault="00000000">
      <w:pPr>
        <w:pStyle w:val="Author-eListParagraph"/>
        <w:numPr>
          <w:ilvl w:val="0"/>
          <w:numId w:val="443"/>
        </w:numPr>
      </w:pPr>
      <w:r>
        <w:t>pour une façade modulaire : au moins 2 modules en largeur et 2 en hauteur,</w:t>
      </w:r>
    </w:p>
    <w:p w14:paraId="1B9F9634" w14:textId="77777777" w:rsidR="00772179" w:rsidRDefault="00000000">
      <w:pPr>
        <w:pStyle w:val="Author-eListParagraph"/>
        <w:numPr>
          <w:ilvl w:val="0"/>
          <w:numId w:val="443"/>
        </w:numPr>
      </w:pPr>
      <w:r>
        <w:t>l’échantillon comprendra au moins un joint de dilatation de chaque type. </w:t>
      </w:r>
    </w:p>
    <w:p w14:paraId="54521AC9" w14:textId="77777777" w:rsidR="00772179" w:rsidRDefault="00000000">
      <w:pPr>
        <w:jc w:val="both"/>
      </w:pPr>
      <w:r>
        <w:rPr>
          <w:b/>
          <w:u w:val="single"/>
        </w:rPr>
        <w:t>Profilés</w:t>
      </w:r>
    </w:p>
    <w:p w14:paraId="6CDA7F50" w14:textId="77777777" w:rsidR="00772179" w:rsidRDefault="00000000">
      <w:pPr>
        <w:jc w:val="both"/>
      </w:pPr>
      <w:r>
        <w:t xml:space="preserve">Tous les profilés entrant dans la composition de la façade rideau proviennent d'un seul et même fabricant. Les profilés et détails de mise en œuvre sont conformes aux spécifications du fabricant et aux éléments types évalués dans le cadre de la déclaration de conformité. La note de calcul et/ou essais établis par le constructeur dans le cadre de la déclaration de conformité ou de ce chantier en particulier tient compte ou couvre toutes les données existantes en ce qui concerne les sollicitations ou les efforts et les critères de performances précités. Les dimensions des profilés sont exprimées en mm. La forme, le détail et les sections des profilés correspondent aux indications sur les plans et aux éventuels détails de principe annexés au dossier. Ils sont adaptés à la composition des éléments </w:t>
      </w:r>
      <w:r>
        <w:lastRenderedPageBreak/>
        <w:t>fixes et/ou ouvrants, à la nature, aux dimensions et au mode de mise en œuvre des vitrages, panneaux, quincailleries, grilles de ventilations, … tels qu'ils sont prescrits.</w:t>
      </w:r>
    </w:p>
    <w:p w14:paraId="1553084A" w14:textId="77777777" w:rsidR="00772179" w:rsidRDefault="00000000">
      <w:pPr>
        <w:jc w:val="both"/>
      </w:pPr>
      <w:r>
        <w:t xml:space="preserve">Les profilés en aluminium à rupture de pont thermique sont conformes aux exigences de la norme [NBN EN 14024]. La durabilité des profilés est démontrée conformément à la norme [NBN EN 14024] pour les catégories de température </w:t>
      </w:r>
      <w:r>
        <w:rPr>
          <w:rStyle w:val="optioncarChar"/>
        </w:rPr>
        <w:t xml:space="preserve">TC1 (-10 °C à 70 °C) </w:t>
      </w:r>
      <w:r>
        <w:t xml:space="preserve">(par défaut) </w:t>
      </w:r>
      <w:r>
        <w:rPr>
          <w:rStyle w:val="optioncarChar"/>
        </w:rPr>
        <w:t>/ TC2 (-20 °C à 80 °C)</w:t>
      </w:r>
      <w:r>
        <w:t xml:space="preserve">. La rupture de pont thermique est assurée par une barrette en </w:t>
      </w:r>
      <w:r>
        <w:rPr>
          <w:rStyle w:val="optioncarChar"/>
        </w:rPr>
        <w:t>ABS</w:t>
      </w:r>
      <w:r>
        <w:t xml:space="preserve"> (par défaut)</w:t>
      </w:r>
      <w:r>
        <w:rPr>
          <w:rStyle w:val="optioncarChar"/>
        </w:rPr>
        <w:t xml:space="preserve"> / ***</w:t>
      </w:r>
      <w:r>
        <w:t>.</w:t>
      </w:r>
    </w:p>
    <w:p w14:paraId="2D71CBD6" w14:textId="77777777" w:rsidR="00772179" w:rsidRDefault="00000000">
      <w:pPr>
        <w:jc w:val="both"/>
      </w:pPr>
      <w:r>
        <w:t xml:space="preserve">La composition de l’aluminium est conforme aux exigences de la [STS 52.1]. L’ambiance lors de la durée de vie de la menuiserie est en </w:t>
      </w:r>
      <w:r>
        <w:rPr>
          <w:rStyle w:val="optioncarChar"/>
        </w:rPr>
        <w:t xml:space="preserve">climat normal </w:t>
      </w:r>
      <w:r>
        <w:t>(par défaut)</w:t>
      </w:r>
      <w:r>
        <w:rPr>
          <w:rStyle w:val="optioncarChar"/>
        </w:rPr>
        <w:t xml:space="preserve"> / climat agressif</w:t>
      </w:r>
      <w:r>
        <w:t>. Dans le cas de climats normaux, les alliages AW-6060 ou AW-6063 sont utilisés.  Pour des climats agressifs, l’alliage AW-6060-B est utilisé. Les alliages sont conformes à la norme [NBN EN 755-2].</w:t>
      </w:r>
    </w:p>
    <w:p w14:paraId="01A59921" w14:textId="77777777" w:rsidR="00772179" w:rsidRDefault="00000000">
      <w:pPr>
        <w:jc w:val="both"/>
      </w:pPr>
      <w:r>
        <w:rPr>
          <w:b/>
          <w:u w:val="single"/>
        </w:rPr>
        <w:t>Produits verriers</w:t>
      </w:r>
    </w:p>
    <w:p w14:paraId="48F025EF" w14:textId="77777777" w:rsidR="00772179" w:rsidRDefault="00000000">
      <w:pPr>
        <w:jc w:val="both"/>
      </w:pPr>
      <w:r>
        <w:t xml:space="preserve">(Voir section </w:t>
      </w:r>
      <w:hyperlink w:anchor="852" w:history="1">
        <w:r>
          <w:rPr>
            <w:color w:val="0000EE"/>
          </w:rPr>
          <w:t>42 Vitrages extérieurs et éléments de remplissage</w:t>
        </w:r>
      </w:hyperlink>
      <w:r>
        <w:t>).</w:t>
      </w:r>
    </w:p>
    <w:p w14:paraId="3FEC1C57" w14:textId="77777777" w:rsidR="00772179" w:rsidRDefault="00000000">
      <w:pPr>
        <w:jc w:val="both"/>
      </w:pPr>
      <w:r>
        <w:t>Les vitrages répondent aux exigences de la norme [NBN S 23-002] et sont dimensionnés vis-à-vis des charges de vent suivant les normes [NBN S 23-002-2] et [NBN S 23-002-3].</w:t>
      </w:r>
    </w:p>
    <w:p w14:paraId="600804BA" w14:textId="77777777" w:rsidR="00772179" w:rsidRDefault="00000000">
      <w:pPr>
        <w:jc w:val="both"/>
      </w:pPr>
      <w:r>
        <w:t xml:space="preserve">Les cales de support sont en matériau imputrescible et de dureté </w:t>
      </w:r>
      <w:r>
        <w:rPr>
          <w:rStyle w:val="optioncarChar"/>
        </w:rPr>
        <w:t>≥ 75 ° ± 5 ° Shore A  / ***</w:t>
      </w:r>
      <w:r>
        <w:t>.</w:t>
      </w:r>
    </w:p>
    <w:p w14:paraId="2EAA4C95" w14:textId="77777777" w:rsidR="00772179" w:rsidRDefault="00000000">
      <w:pPr>
        <w:jc w:val="both"/>
      </w:pPr>
      <w:r>
        <w:rPr>
          <w:b/>
          <w:u w:val="single"/>
        </w:rPr>
        <w:t>Types de façades rideaux</w:t>
      </w:r>
    </w:p>
    <w:p w14:paraId="5648B104" w14:textId="77777777" w:rsidR="00772179" w:rsidRDefault="00000000">
      <w:pPr>
        <w:jc w:val="both"/>
      </w:pPr>
      <w:r>
        <w:t>Il est fait distinction de 3 types :</w:t>
      </w:r>
    </w:p>
    <w:p w14:paraId="3DBBCBD5" w14:textId="77777777" w:rsidR="00772179" w:rsidRDefault="00000000">
      <w:pPr>
        <w:pStyle w:val="Author-eListParagraph"/>
        <w:numPr>
          <w:ilvl w:val="0"/>
          <w:numId w:val="444"/>
        </w:numPr>
      </w:pPr>
      <w:r>
        <w:t>les façades grilles : structure légère porteuse faite de composants assemblés sur site supportant des remplissages préfabriqués opaques et/ou translucides. C’est par exemple le cas des façades en VEA (vitrage extérieur attaché)</w:t>
      </w:r>
    </w:p>
    <w:p w14:paraId="68877B00" w14:textId="77777777" w:rsidR="00772179" w:rsidRDefault="00000000">
      <w:pPr>
        <w:pStyle w:val="Author-eListParagraph"/>
        <w:numPr>
          <w:ilvl w:val="0"/>
          <w:numId w:val="444"/>
        </w:numPr>
      </w:pPr>
      <w:r>
        <w:t>les façades cadres : modules préassemblés juxtaposés ayant la hauteur d’un ou plusieurs étages, comportant leurs remplissages. C’est par exemple le cas des façades VEC (Vitrage extérieur collé),</w:t>
      </w:r>
    </w:p>
    <w:p w14:paraId="308699ED" w14:textId="77777777" w:rsidR="00772179" w:rsidRDefault="00000000">
      <w:pPr>
        <w:pStyle w:val="Author-eListParagraph"/>
        <w:numPr>
          <w:ilvl w:val="0"/>
          <w:numId w:val="444"/>
        </w:numPr>
      </w:pPr>
      <w:r>
        <w:t>les façades en bande : modules préassemblés juxtaposés ayant la hauteur d’une partie d’étage, comportant leurs remplissages. C’est par exemple le cas de certaines façades en VEP (Vitrage extérieur parclosé).</w:t>
      </w:r>
    </w:p>
    <w:p w14:paraId="36CBD44B" w14:textId="77777777" w:rsidR="00772179" w:rsidRDefault="00000000">
      <w:pPr>
        <w:jc w:val="both"/>
      </w:pPr>
      <w:r>
        <w:t>L'apparence des différents types de façades, la forme, l'aspect, la nature et la composition des parties ouvrantes et fixes sont indiqués sur les plans et/ou dans le métré détaillé. A défaut de dispositions spécifiques dans le cahier spécial des charges et/ou d’études détaillées pour la fabrication, les prescriptions ci-dessous sont respectées. Les terminologies et schémas des façades rideaux sont conformes à ceux de la norme [NBN EN 13119]. </w:t>
      </w:r>
    </w:p>
    <w:p w14:paraId="449C07C1" w14:textId="77777777" w:rsidR="00772179" w:rsidRDefault="00000000">
      <w:pPr>
        <w:jc w:val="both"/>
      </w:pPr>
      <w:r>
        <w:t xml:space="preserve">Dans le cas des façades rideaux comportant des éléments ouvrants, les prescriptions du titre </w:t>
      </w:r>
      <w:hyperlink w:anchor="64" w:history="1">
        <w:r>
          <w:rPr>
            <w:color w:val="0000EE"/>
          </w:rPr>
          <w:t>41.1 Fenêtres et portes-fenêtres</w:t>
        </w:r>
      </w:hyperlink>
      <w:r>
        <w:t> sont d’application pour ces derniers notamment en ce qui concerne les éléments de quincaillerie, la conception des éléments (châssis à vantaux ouvrants, châssis composés), …</w:t>
      </w:r>
    </w:p>
    <w:p w14:paraId="30E24E08" w14:textId="77777777" w:rsidR="00772179" w:rsidRDefault="00772179"/>
    <w:p w14:paraId="74D8575A" w14:textId="77777777" w:rsidR="00772179" w:rsidRDefault="00000000">
      <w:pPr>
        <w:ind w:left="750"/>
      </w:pPr>
      <w:r>
        <w:t> </w:t>
      </w:r>
    </w:p>
    <w:p w14:paraId="2A9C1EB8" w14:textId="77777777" w:rsidR="00772179" w:rsidRDefault="00000000">
      <w:pPr>
        <w:pStyle w:val="pheading"/>
      </w:pPr>
      <w:r>
        <w:t>EXÉCUTION / MISE EN ŒUVRE</w:t>
      </w:r>
    </w:p>
    <w:p w14:paraId="4253389C" w14:textId="77777777" w:rsidR="00772179" w:rsidRDefault="00000000">
      <w:pPr>
        <w:pStyle w:val="Author-eListParagraph"/>
        <w:numPr>
          <w:ilvl w:val="0"/>
          <w:numId w:val="445"/>
        </w:numPr>
        <w:jc w:val="both"/>
      </w:pPr>
      <w:r>
        <w:t>La façade rideau est exécutée et mise en œuvre conformément aux prescriptions de la norme [NBN B 25-002-1] et prescriptions spécifiques à chaque système de façade précisées dans le présent cahier des charges</w:t>
      </w:r>
    </w:p>
    <w:p w14:paraId="0DAF8241" w14:textId="77777777" w:rsidR="00772179" w:rsidRDefault="00772179">
      <w:pPr>
        <w:pStyle w:val="Author-eListParagraph"/>
        <w:numPr>
          <w:ilvl w:val="0"/>
          <w:numId w:val="445"/>
        </w:numPr>
        <w:jc w:val="both"/>
      </w:pPr>
    </w:p>
    <w:p w14:paraId="2124B954" w14:textId="77777777" w:rsidR="00772179" w:rsidRDefault="00000000">
      <w:pPr>
        <w:pStyle w:val="Author-eListParagraph"/>
        <w:numPr>
          <w:ilvl w:val="0"/>
          <w:numId w:val="445"/>
        </w:numPr>
        <w:jc w:val="both"/>
      </w:pPr>
      <w:r>
        <w:t xml:space="preserve">Les parties ouvrantes des façades rideaux sont exécutées et mises en œuvre suivant les prescriptions de la [NIT 283] et du titre </w:t>
      </w:r>
      <w:hyperlink w:anchor="64" w:history="1">
        <w:r>
          <w:rPr>
            <w:color w:val="0000EE"/>
          </w:rPr>
          <w:t>41.1 Fenêtres et portes-fenêtres</w:t>
        </w:r>
      </w:hyperlink>
      <w:r>
        <w:t xml:space="preserve"> notamment en ce qui concerne les profilés, les éléments de remplissage, les matériaux d'étanchéité, les profils d'évacuation, les éléments de quincaillerie, les moyens d'ancrage, les profilés de raccord, les protections solaires intérieures, les protections solaires extérieures, …</w:t>
      </w:r>
    </w:p>
    <w:p w14:paraId="18E68A75" w14:textId="77777777" w:rsidR="00772179" w:rsidRDefault="00772179">
      <w:pPr>
        <w:pStyle w:val="Author-eListParagraph"/>
        <w:numPr>
          <w:ilvl w:val="0"/>
          <w:numId w:val="445"/>
        </w:numPr>
        <w:jc w:val="both"/>
      </w:pPr>
    </w:p>
    <w:p w14:paraId="5F5A7428" w14:textId="77777777" w:rsidR="00772179" w:rsidRDefault="00000000">
      <w:pPr>
        <w:pStyle w:val="Author-eListParagraph"/>
        <w:numPr>
          <w:ilvl w:val="0"/>
          <w:numId w:val="445"/>
        </w:numPr>
        <w:jc w:val="both"/>
      </w:pPr>
      <w:r>
        <w:lastRenderedPageBreak/>
        <w:t>En ce qui concerne le gros œuvre, les dimensions indiquées sur les plans et dans le métré sont celles du gros œuvre tel qu'il est exécuté et sont donc purement indicatives. L'entrepreneur est tenu de prendre lui-même les mesures sur le chantier avant de procéder à la fabrication des éléments.</w:t>
      </w:r>
    </w:p>
    <w:p w14:paraId="2C271194" w14:textId="77777777" w:rsidR="00772179" w:rsidRDefault="00772179">
      <w:pPr>
        <w:pStyle w:val="Author-eListParagraph"/>
        <w:numPr>
          <w:ilvl w:val="0"/>
          <w:numId w:val="445"/>
        </w:numPr>
        <w:jc w:val="both"/>
      </w:pPr>
    </w:p>
    <w:p w14:paraId="71DA1595" w14:textId="77777777" w:rsidR="00772179" w:rsidRDefault="00000000">
      <w:pPr>
        <w:pStyle w:val="Author-eListParagraph"/>
        <w:numPr>
          <w:ilvl w:val="0"/>
          <w:numId w:val="445"/>
        </w:numPr>
        <w:jc w:val="both"/>
      </w:pPr>
      <w:r>
        <w:t>Les travaux sont exécutés par une firme spécialisée et des ouvriers qualifiés.</w:t>
      </w:r>
    </w:p>
    <w:p w14:paraId="567AE585" w14:textId="77777777" w:rsidR="00772179" w:rsidRDefault="00000000">
      <w:pPr>
        <w:jc w:val="both"/>
      </w:pPr>
      <w:r>
        <w:rPr>
          <w:b/>
          <w:u w:val="single"/>
        </w:rPr>
        <w:t>Livraison - Entreposage</w:t>
      </w:r>
    </w:p>
    <w:p w14:paraId="43C40AD7" w14:textId="77777777" w:rsidR="00772179" w:rsidRDefault="00000000">
      <w:pPr>
        <w:pStyle w:val="Author-eListParagraph"/>
        <w:numPr>
          <w:ilvl w:val="0"/>
          <w:numId w:val="446"/>
        </w:numPr>
        <w:jc w:val="both"/>
      </w:pPr>
      <w:r>
        <w:t>Les ensembles de façades rideaux ainsi que leurs accessoires sont transportés dans des circonstances qui protègent les matériaux de toute dégradation. Ils sont soigneusement amarrés. L'entreposage sur le chantier est limité au minimum et surtout ne pas excéder une semaine. Les éléments sont stockés et transportés à la verticale, protégés et espacés les uns des autres (ventilés).</w:t>
      </w:r>
    </w:p>
    <w:p w14:paraId="52E0A6AE" w14:textId="77777777" w:rsidR="00772179" w:rsidRDefault="00772179">
      <w:pPr>
        <w:pStyle w:val="Author-eListParagraph"/>
        <w:numPr>
          <w:ilvl w:val="0"/>
          <w:numId w:val="446"/>
        </w:numPr>
        <w:jc w:val="both"/>
      </w:pPr>
    </w:p>
    <w:p w14:paraId="0F67537B" w14:textId="77777777" w:rsidR="00772179" w:rsidRDefault="00000000">
      <w:pPr>
        <w:pStyle w:val="Author-eListParagraph"/>
        <w:numPr>
          <w:ilvl w:val="0"/>
          <w:numId w:val="446"/>
        </w:numPr>
        <w:jc w:val="both"/>
      </w:pPr>
      <w:r>
        <w:t>Les protections appliquées sur les profils ne sont pas enlevées avant autorisation écrite de l’auteur de projet.</w:t>
      </w:r>
    </w:p>
    <w:p w14:paraId="09FA493D" w14:textId="77777777" w:rsidR="00772179" w:rsidRDefault="00000000">
      <w:pPr>
        <w:jc w:val="both"/>
      </w:pPr>
      <w:r>
        <w:rPr>
          <w:b/>
          <w:u w:val="single"/>
        </w:rPr>
        <w:t>Dimensionnement et pose du vitrage</w:t>
      </w:r>
    </w:p>
    <w:p w14:paraId="61D85B6F" w14:textId="77777777" w:rsidR="00772179" w:rsidRDefault="00000000">
      <w:pPr>
        <w:jc w:val="both"/>
      </w:pPr>
      <w:r>
        <w:t>Les vitrages sont dimensionnés conformément aux normes [NBN S 23-002-2] et [NBN S 23-002-3].</w:t>
      </w:r>
    </w:p>
    <w:p w14:paraId="4438ACF5" w14:textId="77777777" w:rsidR="00772179" w:rsidRDefault="00000000">
      <w:pPr>
        <w:jc w:val="both"/>
      </w:pPr>
      <w:r>
        <w:t xml:space="preserve">En ce qui concerne la pose du vitrage dans les ouvrants, les règles de pose de la [NIT 221] et des articles ad hoc de la section </w:t>
      </w:r>
      <w:hyperlink w:anchor="852" w:history="1">
        <w:r>
          <w:rPr>
            <w:color w:val="0000EE"/>
          </w:rPr>
          <w:t>42 Vitrages extérieurs et éléments de remplissage</w:t>
        </w:r>
      </w:hyperlink>
      <w:r>
        <w:t xml:space="preserve"> sont à respecter.</w:t>
      </w:r>
    </w:p>
    <w:p w14:paraId="4D50019A" w14:textId="77777777" w:rsidR="00772179" w:rsidRDefault="00000000">
      <w:pPr>
        <w:jc w:val="both"/>
      </w:pPr>
      <w:r>
        <w:t>Pour ce qui est des vitrages constituant la façade rideau, les règles de pose pertinentes de la [NIT 221] sont à respecter ainsi que les règles de pose spécifiques propres au système des façades rideaux mis en œuvre.</w:t>
      </w:r>
    </w:p>
    <w:p w14:paraId="115A5F8B" w14:textId="77777777" w:rsidR="00772179" w:rsidRDefault="00000000">
      <w:pPr>
        <w:jc w:val="both"/>
      </w:pPr>
      <w:r>
        <w:rPr>
          <w:b/>
          <w:u w:val="single"/>
        </w:rPr>
        <w:t>Pose des ouvrants</w:t>
      </w:r>
    </w:p>
    <w:p w14:paraId="53100EDE" w14:textId="77777777" w:rsidR="00772179" w:rsidRDefault="00000000">
      <w:pPr>
        <w:jc w:val="both"/>
      </w:pPr>
      <w:r>
        <w:t xml:space="preserve">En ce qui concerne la pose des ouvrants dans les façades rideaux, les règles de pose pertinentes de la [NIT 283] et les spécifications de pose du fabricant sont à respecter de même que les articles ad hoc du titre </w:t>
      </w:r>
      <w:hyperlink w:anchor="64" w:history="1">
        <w:r>
          <w:rPr>
            <w:color w:val="0000EE"/>
          </w:rPr>
          <w:t>41.1 Fenêtres et portes-fenêtres</w:t>
        </w:r>
      </w:hyperlink>
      <w:r>
        <w:t>.</w:t>
      </w:r>
    </w:p>
    <w:p w14:paraId="2A173D68" w14:textId="77777777" w:rsidR="00772179" w:rsidRDefault="00000000">
      <w:pPr>
        <w:jc w:val="both"/>
      </w:pPr>
      <w:r>
        <w:rPr>
          <w:b/>
          <w:u w:val="single"/>
        </w:rPr>
        <w:t>Jonction avec le gros œuvre</w:t>
      </w:r>
    </w:p>
    <w:p w14:paraId="589B81B1" w14:textId="77777777" w:rsidR="00772179" w:rsidRDefault="00000000">
      <w:pPr>
        <w:jc w:val="both"/>
      </w:pPr>
      <w:r>
        <w:t>Les possibilités présentées par le gros œuvre pour les dispositifs de fixation de la façade rideau ou des éléments de façade rideau font l’objet d’indications précises.</w:t>
      </w:r>
    </w:p>
    <w:p w14:paraId="60CB4501" w14:textId="77777777" w:rsidR="00772179" w:rsidRDefault="00000000">
      <w:pPr>
        <w:jc w:val="both"/>
      </w:pPr>
      <w:r>
        <w:t>Les actions de la façade sur le gros œuvre sont à communiquer avant bétonnage pour un dimensionnement et un positionnement corrects des armatures de bord.</w:t>
      </w:r>
    </w:p>
    <w:p w14:paraId="7123322B" w14:textId="77777777" w:rsidR="00772179" w:rsidRDefault="00000000">
      <w:pPr>
        <w:jc w:val="both"/>
      </w:pPr>
      <w:r>
        <w:t>Si tel n'est pas le cas, les ancrages de façade sont adaptés aux dispositifs mis en place lors du bétonnage.</w:t>
      </w:r>
    </w:p>
    <w:p w14:paraId="6E4890A8" w14:textId="77777777" w:rsidR="00772179" w:rsidRDefault="00000000">
      <w:pPr>
        <w:jc w:val="both"/>
      </w:pPr>
      <w:r>
        <w:t>Les axes d'implantation et les tolérances sur ces dispositifs sont coordonnés entre les différents intervenants à un stade précoce.</w:t>
      </w:r>
    </w:p>
    <w:p w14:paraId="70E272BE" w14:textId="77777777" w:rsidR="00772179" w:rsidRDefault="00000000">
      <w:pPr>
        <w:jc w:val="both"/>
      </w:pPr>
      <w:r>
        <w:t>Le cas échéant, les mouvements que les façades acceptent sont déterminés en fonction des déformations que le gros œuvre peut subir sous l’effet de chacune des sollicitations prévisibles auxquelles il est soumis.</w:t>
      </w:r>
    </w:p>
    <w:p w14:paraId="3A58CAA6" w14:textId="77777777" w:rsidR="00772179" w:rsidRDefault="00000000">
      <w:pPr>
        <w:jc w:val="both"/>
      </w:pPr>
      <w:r>
        <w:t>Les actions, leurs combinaisons, les caractéristiques de conception des matériaux et les critères d'états limites sont conformes aux normes [NBN EN 1991 série] et sont reprises dans le [Buildwise Méthode de dimensionnement Rapport 11].</w:t>
      </w:r>
    </w:p>
    <w:p w14:paraId="7B63243C" w14:textId="77777777" w:rsidR="00772179" w:rsidRDefault="00000000">
      <w:pPr>
        <w:jc w:val="both"/>
      </w:pPr>
      <w:r>
        <w:t>Les dispositifs d’ancrages des façades font l’objet d’une note de calcul spécifique si la charge à reprendre dépasse les 2 kN. </w:t>
      </w:r>
    </w:p>
    <w:p w14:paraId="2571FB26" w14:textId="77777777" w:rsidR="00772179" w:rsidRDefault="00000000">
      <w:pPr>
        <w:jc w:val="both"/>
      </w:pPr>
      <w:r>
        <w:rPr>
          <w:b/>
          <w:u w:val="single"/>
        </w:rPr>
        <w:t>Joints de la façade</w:t>
      </w:r>
    </w:p>
    <w:p w14:paraId="20BCA345" w14:textId="77777777" w:rsidR="00772179" w:rsidRDefault="00000000">
      <w:pPr>
        <w:jc w:val="both"/>
      </w:pPr>
      <w:r>
        <w:t>La conception de la façade prévoit des joints de mouvement au droit de ceux existants dans la structure du bâtiment.</w:t>
      </w:r>
    </w:p>
    <w:p w14:paraId="7FD045F6" w14:textId="77777777" w:rsidR="00772179" w:rsidRDefault="00000000">
      <w:pPr>
        <w:jc w:val="both"/>
      </w:pPr>
      <w:r>
        <w:lastRenderedPageBreak/>
        <w:t>La conception de la façade prend en compte au niveau de la fixation ou du collage (VEC ou autres) les remplissages, les possibilités de mouvement des joints existants dans la structure de la façade. Les remplissages sont fixés de manière à ne pas brider les joints de la structure de la façade.</w:t>
      </w:r>
    </w:p>
    <w:p w14:paraId="7418DB89" w14:textId="77777777" w:rsidR="00772179" w:rsidRDefault="00000000">
      <w:pPr>
        <w:jc w:val="both"/>
      </w:pPr>
      <w:r>
        <w:rPr>
          <w:b/>
          <w:u w:val="single"/>
        </w:rPr>
        <w:t>Joints constitutifs de la façade rideau</w:t>
      </w:r>
    </w:p>
    <w:p w14:paraId="78AB09A2" w14:textId="77777777" w:rsidR="00772179" w:rsidRDefault="00000000">
      <w:pPr>
        <w:jc w:val="both"/>
      </w:pPr>
      <w:r>
        <w:t>Les éléments de jonction, les produits constituant les joints sont compatibles entre eux et avec les matériaux formant leur support. Ils sont appliqués sur des surfaces propres. La continuité des joints verticaux et horizontaux est exigée.</w:t>
      </w:r>
    </w:p>
    <w:p w14:paraId="549D7739" w14:textId="77777777" w:rsidR="00772179" w:rsidRDefault="00000000">
      <w:pPr>
        <w:ind w:left="750"/>
      </w:pPr>
      <w:r>
        <w:t> </w:t>
      </w:r>
    </w:p>
    <w:p w14:paraId="37F3AAC9" w14:textId="77777777" w:rsidR="00772179" w:rsidRDefault="00000000">
      <w:pPr>
        <w:pStyle w:val="pheading"/>
      </w:pPr>
      <w:r>
        <w:t>CONTRÔLES</w:t>
      </w:r>
    </w:p>
    <w:p w14:paraId="19EBBC23" w14:textId="77777777" w:rsidR="00772179" w:rsidRDefault="00000000">
      <w:pPr>
        <w:jc w:val="both"/>
      </w:pPr>
      <w:r>
        <w:t>Les éléments de façade rideau ou leurs composants qui sont endommagés avant la pose de même que ceux qui présentent des déformations anormales ou sont endommagés par des conditions de stockage inappropriées ne peuvent pas être mis en œuvre.</w:t>
      </w:r>
    </w:p>
    <w:p w14:paraId="039D3966" w14:textId="77777777" w:rsidR="00772179" w:rsidRDefault="00000000">
      <w:pPr>
        <w:jc w:val="both"/>
      </w:pPr>
      <w:r>
        <w:t>Les documents relatifs à la déclaration d'aptitude suivant 02.42.1 Critères d'acceptabilité ou aux performances exigées dans le cahier spécial des charges sont préalablement remis à l'architecte.</w:t>
      </w:r>
    </w:p>
    <w:p w14:paraId="41AFB7C0" w14:textId="77777777" w:rsidR="00772179" w:rsidRDefault="00000000">
      <w:pPr>
        <w:jc w:val="both"/>
      </w:pPr>
      <w:r>
        <w:rPr>
          <w:b/>
          <w:u w:val="single"/>
        </w:rPr>
        <w:t>Essais</w:t>
      </w:r>
    </w:p>
    <w:p w14:paraId="0D291559" w14:textId="77777777" w:rsidR="00772179" w:rsidRDefault="00000000">
      <w:pPr>
        <w:pStyle w:val="Author-eListParagraph"/>
        <w:numPr>
          <w:ilvl w:val="0"/>
          <w:numId w:val="447"/>
        </w:numPr>
      </w:pPr>
      <w:r>
        <w:t>Si le marquage du produit (déclaration d’aptitude du matériau) ne spécifie pas les performances requises, des essais seront systématiquement exigés. Si l'élément de façade rideau ne satisfait pas aux essais, l’auteur de projet est en droit d'imposer une nouvelle série d'essais jusqu’à obtention des performances requises.</w:t>
      </w:r>
      <w:r>
        <w:br/>
      </w:r>
    </w:p>
    <w:p w14:paraId="7C24AD94" w14:textId="77777777" w:rsidR="00772179" w:rsidRDefault="00000000">
      <w:pPr>
        <w:pStyle w:val="Author-eListParagraph"/>
        <w:numPr>
          <w:ilvl w:val="0"/>
          <w:numId w:val="447"/>
        </w:numPr>
      </w:pPr>
      <w:r>
        <w:t>Les essais sont exécutés par un laboratoire indépendant notifié, selon la norme [NBN EN 13830:2015+A1], les exigences étant celles reprises dans la norme [NBN B 25-002-1].</w:t>
      </w:r>
      <w:r>
        <w:br/>
      </w:r>
    </w:p>
    <w:p w14:paraId="2623F417" w14:textId="77777777" w:rsidR="00772179" w:rsidRDefault="00000000">
      <w:pPr>
        <w:pStyle w:val="Author-eListParagraph"/>
        <w:numPr>
          <w:ilvl w:val="0"/>
          <w:numId w:val="447"/>
        </w:numPr>
      </w:pPr>
      <w:r>
        <w:t>L’élément de façade rideau testé et approuvé est marqué et conservé comme référence. Au cas où les produits ne satisfont pas aux essais, le maître de l’ouvrage en accord avec l'auteur de projet peut faire arrêter les travaux immédiatement.</w:t>
      </w:r>
    </w:p>
    <w:p w14:paraId="4C57CA6E" w14:textId="77777777" w:rsidR="00772179" w:rsidRDefault="00000000">
      <w:pPr>
        <w:jc w:val="both"/>
      </w:pPr>
      <w:r>
        <w:rPr>
          <w:b/>
          <w:u w:val="single"/>
        </w:rPr>
        <w:t>Tolérances</w:t>
      </w:r>
    </w:p>
    <w:p w14:paraId="5EFDC104" w14:textId="77777777" w:rsidR="00772179" w:rsidRDefault="00000000">
      <w:pPr>
        <w:jc w:val="both"/>
      </w:pPr>
      <w:r>
        <w:t>Les tolérances dimensionnelles sont reprises dans la norme [NBN B 25-002-1].</w:t>
      </w:r>
    </w:p>
    <w:p w14:paraId="47E2953D" w14:textId="77777777" w:rsidR="00772179" w:rsidRDefault="00000000">
      <w:pPr>
        <w:jc w:val="both"/>
      </w:pPr>
      <w:r>
        <w:rPr>
          <w:b/>
          <w:u w:val="single"/>
        </w:rPr>
        <w:t>Pose</w:t>
      </w:r>
    </w:p>
    <w:p w14:paraId="5A841662" w14:textId="77777777" w:rsidR="00772179" w:rsidRDefault="00000000">
      <w:pPr>
        <w:jc w:val="both"/>
      </w:pPr>
      <w:r>
        <w:t>La dégradation des éléments de façade rideau ou de l’un de leurs composants suite au placement ou une mise en œuvre non conforme aux exigences du présent cahier des charges entraîne inévitablement son refus et soit la réparation ou le remplacement de l'élément. Les critères d’acceptation sont repris dans la norme [NBN B 25-002-1] et autres documents spécifiques aux différents composants mis en œuvre.</w:t>
      </w:r>
    </w:p>
    <w:p w14:paraId="185B838C" w14:textId="77777777" w:rsidR="00772179" w:rsidRDefault="00000000">
      <w:pPr>
        <w:pStyle w:val="pheading"/>
      </w:pPr>
      <w:r>
        <w:t>DOCUMENTS DE RÉFÉRENCE</w:t>
      </w:r>
    </w:p>
    <w:p w14:paraId="09D25274" w14:textId="77777777" w:rsidR="00772179" w:rsidRDefault="00000000">
      <w:pPr>
        <w:pStyle w:val="pheading"/>
      </w:pPr>
      <w:r>
        <w:t>- Matériau</w:t>
      </w:r>
    </w:p>
    <w:p w14:paraId="64B1CF48" w14:textId="77777777" w:rsidR="00772179" w:rsidRDefault="00000000">
      <w:r>
        <w:t>[NBN B 25-002-1, Menuiserie extérieure - Partie 1: Prescription des performances générales – Fenêtres et façades rideaux]</w:t>
      </w:r>
    </w:p>
    <w:p w14:paraId="1469DE44" w14:textId="77777777" w:rsidR="00772179" w:rsidRDefault="00000000">
      <w:r>
        <w:t>[NBN B 03-004, Garde-corps de bâtiments]</w:t>
      </w:r>
    </w:p>
    <w:p w14:paraId="3C8099C4" w14:textId="77777777" w:rsidR="00772179" w:rsidRDefault="00000000">
      <w:r>
        <w:t>[NBN S 23-002, Vitrerie]</w:t>
      </w:r>
    </w:p>
    <w:p w14:paraId="2C97BD7C" w14:textId="77777777" w:rsidR="00772179" w:rsidRDefault="00000000">
      <w:r>
        <w:t>[NBN S 23-002-2, Vitrerie - Partie 2 : Calcul des épaisseurs de verre]</w:t>
      </w:r>
    </w:p>
    <w:p w14:paraId="544D0A3F" w14:textId="77777777" w:rsidR="00772179" w:rsidRDefault="00000000">
      <w:r>
        <w:t>[NBN S 23-002-3, Vitrerie - Partie 3 : Calcul des épaisseurs de verre en façade]</w:t>
      </w:r>
    </w:p>
    <w:p w14:paraId="2A8F08AD" w14:textId="77777777" w:rsidR="00772179" w:rsidRDefault="00000000">
      <w:r>
        <w:t>[NBN EN 1627, Blocs-portes pour piétons, fenêtres, façades rideaux, grilles et fermetures - Résistance à l'effraction - Prescriptions et classification]</w:t>
      </w:r>
    </w:p>
    <w:p w14:paraId="4C4C9D01" w14:textId="77777777" w:rsidR="00772179" w:rsidRDefault="00000000">
      <w:r>
        <w:t>[NBN EN 1628, Blocs-portes pour piétons, fenêtres, façades rideaux, grilles et fermetures - Résistance à l'effraction - Méthode d'essai pour la détermination de la résistance à la charge statique]</w:t>
      </w:r>
    </w:p>
    <w:p w14:paraId="32300622" w14:textId="77777777" w:rsidR="00772179" w:rsidRDefault="00000000">
      <w:r>
        <w:lastRenderedPageBreak/>
        <w:t>[NBN EN 1629, Blocs-portes pour piétons, fenêtres, façades rideaux, grilles et fermetures - Résistance à l'effraction - Méthode d'essai pour la détermination de la résistance à la charge dynamique]</w:t>
      </w:r>
    </w:p>
    <w:p w14:paraId="776806DD" w14:textId="77777777" w:rsidR="00772179" w:rsidRDefault="00000000">
      <w:r>
        <w:t>[NBN EN 1630, Blocs-portes pour piétons, fenêtres, façades rideaux, grilles et fermetures - Résistance à l'effraction - Méthode d'essai pour la détermination de la résistance aux tentatives manuelles d'effraction]</w:t>
      </w:r>
    </w:p>
    <w:p w14:paraId="6CDC352F" w14:textId="77777777" w:rsidR="00772179" w:rsidRDefault="00000000">
      <w:r>
        <w:t>[NBN EN 12152, Façades rideaux - Perméabilité à l'air - Exigences de performance et classification]</w:t>
      </w:r>
    </w:p>
    <w:p w14:paraId="56F1314D" w14:textId="77777777" w:rsidR="00772179" w:rsidRDefault="00000000">
      <w:r>
        <w:t>[NBN EN 12207, Fenêtres et portes - Perméabilité à l'air - Classification]</w:t>
      </w:r>
    </w:p>
    <w:p w14:paraId="7DFD4018" w14:textId="77777777" w:rsidR="00772179" w:rsidRDefault="00000000">
      <w:r>
        <w:t>[NBN EN 12154, Façades rideaux - Etanchéité à l'eau - Exigences de performance et classification]</w:t>
      </w:r>
    </w:p>
    <w:p w14:paraId="7790D2D9" w14:textId="77777777" w:rsidR="00772179" w:rsidRDefault="00000000">
      <w:r>
        <w:t>[NBN EN 12155, Façades rideaux - Détermination de l'étanchéité à l'eau - Essai de laboratoire sous pression statique]</w:t>
      </w:r>
    </w:p>
    <w:p w14:paraId="09F5D209" w14:textId="77777777" w:rsidR="00772179" w:rsidRDefault="00000000">
      <w:r>
        <w:t>[NBN EN 12179, Façades rideaux - Résistance à la pression du vent - Méthode d'essai]</w:t>
      </w:r>
    </w:p>
    <w:p w14:paraId="368758D8" w14:textId="77777777" w:rsidR="00772179" w:rsidRDefault="00000000">
      <w:r>
        <w:t>[NBN EN 13116, Façades rideaux - Résistance au vent - Exigences de performances]</w:t>
      </w:r>
    </w:p>
    <w:p w14:paraId="01682B71" w14:textId="77777777" w:rsidR="00772179" w:rsidRDefault="00000000">
      <w:r>
        <w:t>[NBN EN 13830:2015+A1, Façades rideaux - Norme de produit]</w:t>
      </w:r>
    </w:p>
    <w:p w14:paraId="145740C8" w14:textId="77777777" w:rsidR="00772179" w:rsidRDefault="00000000">
      <w:r>
        <w:t>[NBN EN 14024, Profilés métalliques à rupture de pont thermique - Performances mécaniques - Exigences, preuve et essais pour évaluation]</w:t>
      </w:r>
    </w:p>
    <w:p w14:paraId="725CEB02" w14:textId="77777777" w:rsidR="00772179" w:rsidRDefault="00000000">
      <w:r>
        <w:t>[STS 52.1, Menuiseries extérieures en bois]</w:t>
      </w:r>
    </w:p>
    <w:p w14:paraId="71B09376" w14:textId="77777777" w:rsidR="00772179" w:rsidRDefault="00000000">
      <w:r>
        <w:t>[STS 52.2, Menuiseries extérieures en aluminium]</w:t>
      </w:r>
    </w:p>
    <w:p w14:paraId="1E161579" w14:textId="77777777" w:rsidR="00772179" w:rsidRDefault="00000000">
      <w:r>
        <w:t>[STS 52.3, Menuiserie extérieure en PVC]</w:t>
      </w:r>
    </w:p>
    <w:p w14:paraId="50428352" w14:textId="77777777" w:rsidR="00772179" w:rsidRDefault="00000000">
      <w:r>
        <w:t>[NBN EN 13022-1, Verre dans la construction - Système de vitrage extérieur collé (VEC) - Partie 1: Produits verriers pour système VEC pour produits monolithiques et produits multiples calés]</w:t>
      </w:r>
    </w:p>
    <w:p w14:paraId="22B4BBC1" w14:textId="77777777" w:rsidR="00772179" w:rsidRDefault="00000000">
      <w:r>
        <w:t>[NBN EN 1991 série, Eurocode 1 : Actions sur les structures]</w:t>
      </w:r>
    </w:p>
    <w:p w14:paraId="0A93A239" w14:textId="77777777" w:rsidR="00772179" w:rsidRDefault="00000000">
      <w:r>
        <w:t>[Buildwise Méthode de dimensionnement Rapport 11, Application des Eurocodes à la conception des menuiseries extérieures (disponible en ligne uniquement).]</w:t>
      </w:r>
    </w:p>
    <w:p w14:paraId="5CC326A4" w14:textId="77777777" w:rsidR="00772179" w:rsidRDefault="00000000">
      <w:r>
        <w:t> </w:t>
      </w:r>
    </w:p>
    <w:p w14:paraId="45AE5BC9" w14:textId="77777777" w:rsidR="00772179" w:rsidRDefault="00000000">
      <w:pPr>
        <w:pStyle w:val="pheading"/>
      </w:pPr>
      <w:r>
        <w:t>- Exécution</w:t>
      </w:r>
    </w:p>
    <w:p w14:paraId="4D0411AC" w14:textId="77777777" w:rsidR="00772179" w:rsidRDefault="00000000">
      <w:r>
        <w:t>[ETAG 002-1, Structural Sealant Glazing Systems - Part 1: Supported and Unsupported Systems]</w:t>
      </w:r>
    </w:p>
    <w:p w14:paraId="3026E3A7" w14:textId="77777777" w:rsidR="00772179" w:rsidRDefault="00000000">
      <w:r>
        <w:t>[ETAG 002-2, Structural Sealant Glazing Systems - Part 2 : Coated Aluminium Systems]</w:t>
      </w:r>
    </w:p>
    <w:p w14:paraId="5EF85449" w14:textId="77777777" w:rsidR="00772179" w:rsidRDefault="00000000">
      <w:r>
        <w:t>[ETAG 002-3, Structural Sealant Glazing Systems - Part 3 : Systems incorporating profiles with thermal barrier]</w:t>
      </w:r>
    </w:p>
    <w:p w14:paraId="77C64D75" w14:textId="77777777" w:rsidR="00772179" w:rsidRDefault="00000000">
      <w:r>
        <w:t>[NBN EN 13022-2, Verre dans la construction - Système de vitrage extérieur collé (VEC) - Partie 2: Règles d'assemblage]</w:t>
      </w:r>
    </w:p>
    <w:p w14:paraId="0D9672A6" w14:textId="77777777" w:rsidR="00772179" w:rsidRDefault="00000000">
      <w:r>
        <w:t>[NIT 283, La pose des menuiseries extérieures. Partie 1 : aspects généraux.]</w:t>
      </w:r>
    </w:p>
    <w:p w14:paraId="5FB90892" w14:textId="77777777" w:rsidR="00772179" w:rsidRDefault="00000000">
      <w:r>
        <w:t>[NIT 221, La pose des vitrages en feuillure (Les NIT 214 et 221 remplacent les NIT 110 et 113).]</w:t>
      </w:r>
    </w:p>
    <w:p w14:paraId="588AA0B4" w14:textId="77777777" w:rsidR="00772179" w:rsidRDefault="00000000">
      <w:r>
        <w:t>[STS 56.1, Mastics d’étanchéité des façades]</w:t>
      </w:r>
    </w:p>
    <w:p w14:paraId="59440729" w14:textId="77777777" w:rsidR="00772179" w:rsidRDefault="00000000">
      <w:pPr>
        <w:ind w:left="750"/>
      </w:pPr>
      <w:r>
        <w:t> </w:t>
      </w:r>
    </w:p>
    <w:p w14:paraId="21D38DB5" w14:textId="77777777" w:rsidR="00772179" w:rsidRDefault="00000000">
      <w:pPr>
        <w:pStyle w:val="Author-eSectionHeading4Numberless"/>
      </w:pPr>
      <w:bookmarkStart w:id="185" w:name="_Toc220489929"/>
      <w:r>
        <w:t>41.41 Systèmes de façade VEP (vitrage extérieur parclosé) CCTB 01.02</w:t>
      </w:r>
      <w:bookmarkEnd w:id="185"/>
    </w:p>
    <w:p w14:paraId="4BF01C1D" w14:textId="77777777" w:rsidR="00772179" w:rsidRDefault="00000000">
      <w:pPr>
        <w:pStyle w:val="Author-eSectionHeading5Numberless"/>
      </w:pPr>
      <w:bookmarkStart w:id="186" w:name="926"/>
      <w:bookmarkStart w:id="187" w:name="_Toc220489930"/>
      <w:bookmarkEnd w:id="186"/>
      <w:r>
        <w:t>41.41.1 Systèmes de façade VEP - structure bois CCTB 01.02</w:t>
      </w:r>
      <w:bookmarkEnd w:id="187"/>
    </w:p>
    <w:p w14:paraId="557369B0" w14:textId="77777777" w:rsidR="00772179" w:rsidRDefault="00000000">
      <w:pPr>
        <w:pStyle w:val="Author-eSectionHeading6Numberless"/>
      </w:pPr>
      <w:bookmarkStart w:id="188" w:name="_Toc220489931"/>
      <w:r>
        <w:t>41.41.1a Systèmes de façade VEP - structure bois</w:t>
      </w:r>
      <w:bookmarkEnd w:id="188"/>
    </w:p>
    <w:p w14:paraId="47AA6705" w14:textId="77777777" w:rsidR="00772179" w:rsidRDefault="00000000">
      <w:pPr>
        <w:pStyle w:val="Author-eSectionHeading5Numberless"/>
      </w:pPr>
      <w:bookmarkStart w:id="189" w:name="_Toc220489932"/>
      <w:r>
        <w:t>41.41.2 Systèmes de façade VEP - structure inox CCTB 01.02</w:t>
      </w:r>
      <w:bookmarkEnd w:id="189"/>
    </w:p>
    <w:p w14:paraId="6F3EFBBD" w14:textId="77777777" w:rsidR="00772179" w:rsidRDefault="00000000">
      <w:pPr>
        <w:pStyle w:val="Author-eSectionHeading6Numberless"/>
      </w:pPr>
      <w:bookmarkStart w:id="190" w:name="_Toc220489933"/>
      <w:r>
        <w:lastRenderedPageBreak/>
        <w:t>41.41.2a Systèmes de façade VEP - structure inox</w:t>
      </w:r>
      <w:bookmarkEnd w:id="190"/>
    </w:p>
    <w:p w14:paraId="5E4C6217" w14:textId="77777777" w:rsidR="00772179" w:rsidRDefault="00000000">
      <w:pPr>
        <w:pStyle w:val="Author-eSectionHeading5Numberless"/>
      </w:pPr>
      <w:bookmarkStart w:id="191" w:name="_Toc220489934"/>
      <w:r>
        <w:t>41.41.3 Systèmes de façade VEP - structure alu CCTB 01.02</w:t>
      </w:r>
      <w:bookmarkEnd w:id="191"/>
    </w:p>
    <w:p w14:paraId="335C03DE" w14:textId="77777777" w:rsidR="00772179" w:rsidRDefault="00000000">
      <w:pPr>
        <w:pStyle w:val="Author-eSectionHeading6Numberless"/>
      </w:pPr>
      <w:bookmarkStart w:id="192" w:name="_Toc220489935"/>
      <w:r>
        <w:t>41.41.3a Systèmes de façade VEP - structure alu CCTB 01.11</w:t>
      </w:r>
      <w:bookmarkEnd w:id="192"/>
    </w:p>
    <w:p w14:paraId="6C0D2A9F" w14:textId="77777777" w:rsidR="00772179" w:rsidRDefault="00000000">
      <w:pPr>
        <w:pStyle w:val="pheading"/>
      </w:pPr>
      <w:r>
        <w:t>DESCRIPTION</w:t>
      </w:r>
    </w:p>
    <w:p w14:paraId="502900D5" w14:textId="77777777" w:rsidR="00772179" w:rsidRDefault="00000000">
      <w:pPr>
        <w:pStyle w:val="pheading"/>
      </w:pPr>
      <w:r>
        <w:t>- Définition / Comprend</w:t>
      </w:r>
    </w:p>
    <w:p w14:paraId="5011DAF2" w14:textId="77777777" w:rsidR="00772179" w:rsidRDefault="00000000">
      <w:r>
        <w:t>Il s’agit de la fourniture et la pose de façades VEP (vitrage extérieur parclosé) sur une structure aluminium.</w:t>
      </w:r>
      <w:r>
        <w:br/>
        <w:t>Une déclaration d'aptitude suivant 02.42.1 Critères d'acceptabilité est imposé à ces produits afin d'attester qu’ils soient conformes aux spécifications techniques.</w:t>
      </w:r>
    </w:p>
    <w:p w14:paraId="58096183" w14:textId="77777777" w:rsidR="00772179" w:rsidRDefault="00000000">
      <w:pPr>
        <w:pStyle w:val="pheading"/>
      </w:pPr>
      <w:r>
        <w:t>- Localisation</w:t>
      </w:r>
    </w:p>
    <w:p w14:paraId="7AEEB222" w14:textId="77777777" w:rsidR="00772179" w:rsidRDefault="00000000">
      <w:r>
        <w:t xml:space="preserve">La localisation des façades VEP sur structure aluminium est la suivante : </w:t>
      </w:r>
      <w:r>
        <w:rPr>
          <w:rStyle w:val="optioncarChar"/>
        </w:rPr>
        <w:t>***</w:t>
      </w:r>
      <w:r>
        <w:t>.</w:t>
      </w:r>
    </w:p>
    <w:p w14:paraId="3234B07F" w14:textId="77777777" w:rsidR="00772179" w:rsidRDefault="00000000">
      <w:r>
        <w:t>Voir plans et métrés détaillés</w:t>
      </w:r>
    </w:p>
    <w:p w14:paraId="2A63D294" w14:textId="77777777" w:rsidR="00772179" w:rsidRDefault="00000000">
      <w:pPr>
        <w:pStyle w:val="pheading"/>
      </w:pPr>
      <w:r>
        <w:t>MATÉRIAUX</w:t>
      </w:r>
    </w:p>
    <w:p w14:paraId="52923475" w14:textId="77777777" w:rsidR="00772179" w:rsidRDefault="00000000">
      <w:pPr>
        <w:pStyle w:val="pheading"/>
      </w:pPr>
      <w:r>
        <w:t>- Caractéristiques générales</w:t>
      </w:r>
    </w:p>
    <w:p w14:paraId="4DF34B4A" w14:textId="77777777" w:rsidR="00772179" w:rsidRDefault="00000000">
      <w:pPr>
        <w:jc w:val="both"/>
      </w:pPr>
      <w:r>
        <w:t xml:space="preserve">Une façade VEP sur structure aluminium est une façade légère dont l’enveloppe extérieure est constituée de vitrages posés depuis l’extérieur et maintenus par des parcloses sur des cadres en aluminium ouvrants ou fixes et séparés par des joints creux. Ce dernier est de </w:t>
      </w:r>
      <w:r>
        <w:rPr>
          <w:rStyle w:val="optioncarChar"/>
        </w:rPr>
        <w:t xml:space="preserve">10 mm </w:t>
      </w:r>
      <w:r>
        <w:t>(par défaut)</w:t>
      </w:r>
      <w:r>
        <w:rPr>
          <w:rStyle w:val="optioncarChar"/>
        </w:rPr>
        <w:t xml:space="preserve"> / ***</w:t>
      </w:r>
      <w:r>
        <w:t>.</w:t>
      </w:r>
    </w:p>
    <w:p w14:paraId="099C271C" w14:textId="77777777" w:rsidR="00772179" w:rsidRDefault="00000000">
      <w:pPr>
        <w:jc w:val="both"/>
      </w:pPr>
      <w:r>
        <w:t>Les éléments de remplissage ne sont donc pas plaqués sur la structure porteuse ni maintenus par un serreur : des cadres sont emboîtés sur l’ossature montants-traverses tandis que les éléments de remplissage sont maintenus par des parcloses. Les profilés de type montants verticaux servent de raidisseurs et possèdent une forte inertie dans le plan de la façade. Les profilés de type traverses horizontales délimitent les éléments de remplissage. Les châssis VEP sont fabriqués en atelier (usinage, fraisage, découpe …). Seules les opérations de réglage et de pose sont effectuées sur chantier.</w:t>
      </w:r>
    </w:p>
    <w:p w14:paraId="46950CC0" w14:textId="77777777" w:rsidR="00772179" w:rsidRDefault="00000000">
      <w:pPr>
        <w:jc w:val="both"/>
      </w:pPr>
      <w:r>
        <w:t xml:space="preserve">Chaque cadre est indépendant et dispose de sa propre barrière d’étanchéité à l’air et à l’eau. Afin d’éviter le démontage intempestif (erreur, tentative d’effraction, …) des vitrages, un système anti-dépose est </w:t>
      </w:r>
      <w:r>
        <w:rPr>
          <w:rStyle w:val="optioncarChar"/>
        </w:rPr>
        <w:t>requis / conseillé / ***</w:t>
      </w:r>
      <w:r>
        <w:t>.</w:t>
      </w:r>
    </w:p>
    <w:p w14:paraId="5F1708B3" w14:textId="77777777" w:rsidR="00772179" w:rsidRDefault="00000000">
      <w:pPr>
        <w:jc w:val="both"/>
      </w:pPr>
      <w:r>
        <w:t xml:space="preserve">Les éléments de remplissage sont généralement constitués de </w:t>
      </w:r>
      <w:r>
        <w:rPr>
          <w:rStyle w:val="optioncarChar"/>
        </w:rPr>
        <w:t>vitrages</w:t>
      </w:r>
      <w:r>
        <w:t xml:space="preserve"> (par défaut)</w:t>
      </w:r>
      <w:r>
        <w:rPr>
          <w:rStyle w:val="optioncarChar"/>
        </w:rPr>
        <w:t xml:space="preserve"> / ***</w:t>
      </w:r>
      <w:r>
        <w:t>.</w:t>
      </w:r>
    </w:p>
    <w:p w14:paraId="11B5AAE6" w14:textId="77777777" w:rsidR="00772179" w:rsidRDefault="00000000">
      <w:pPr>
        <w:jc w:val="both"/>
      </w:pPr>
      <w:r>
        <w:t>Les parcloses extérieures sont clipsées et fixées sur le cadre dormant.</w:t>
      </w:r>
    </w:p>
    <w:p w14:paraId="0169F44D" w14:textId="77777777" w:rsidR="00772179" w:rsidRDefault="00000000">
      <w:pPr>
        <w:jc w:val="both"/>
      </w:pPr>
      <w:r>
        <w:t xml:space="preserve">La liaison des traverses sur les montants est de type articulé : systèmes </w:t>
      </w:r>
      <w:r>
        <w:rPr>
          <w:rStyle w:val="optioncarChar"/>
        </w:rPr>
        <w:t>percutants / pénétrants</w:t>
      </w:r>
      <w:r>
        <w:t>.</w:t>
      </w:r>
    </w:p>
    <w:p w14:paraId="58CDF108" w14:textId="77777777" w:rsidR="00772179" w:rsidRDefault="00000000">
      <w:r>
        <w:rPr>
          <w:b/>
          <w:i/>
        </w:rPr>
        <w:t>(soit)</w:t>
      </w:r>
    </w:p>
    <w:p w14:paraId="6FA4AF8C" w14:textId="77777777" w:rsidR="00772179" w:rsidRDefault="00000000">
      <w:r>
        <w:rPr>
          <w:rStyle w:val="soitChar"/>
          <w:u w:val="single"/>
        </w:rPr>
        <w:t>Systèmes percutants</w:t>
      </w:r>
      <w:r>
        <w:rPr>
          <w:rStyle w:val="soitChar"/>
        </w:rPr>
        <w:t> :</w:t>
      </w:r>
      <w:r>
        <w:rPr>
          <w:color w:val="33CCCC"/>
        </w:rPr>
        <w:t xml:space="preserve"> traverses fixées aux montants par l’intermédiaire de connecteurs métalliques</w:t>
      </w:r>
    </w:p>
    <w:p w14:paraId="1BEF8BE4" w14:textId="77777777" w:rsidR="00772179" w:rsidRDefault="00000000">
      <w:r>
        <w:rPr>
          <w:b/>
          <w:i/>
        </w:rPr>
        <w:t>(soit)</w:t>
      </w:r>
    </w:p>
    <w:p w14:paraId="4FD67162" w14:textId="77777777" w:rsidR="00772179" w:rsidRDefault="00000000">
      <w:r>
        <w:rPr>
          <w:rStyle w:val="soitChar"/>
          <w:u w:val="single"/>
        </w:rPr>
        <w:t>Systèmes pénétrants</w:t>
      </w:r>
      <w:r>
        <w:rPr>
          <w:rStyle w:val="soitChar"/>
        </w:rPr>
        <w:t> :</w:t>
      </w:r>
      <w:r>
        <w:rPr>
          <w:color w:val="33CCCC"/>
        </w:rPr>
        <w:t xml:space="preserve"> traverses fixées mécaniquement aux montants dans le logement préalablement usiné en atelier, sur les montants et/ou les traverses.</w:t>
      </w:r>
    </w:p>
    <w:p w14:paraId="70C8A859" w14:textId="77777777" w:rsidR="00772179" w:rsidRDefault="00000000">
      <w:pPr>
        <w:jc w:val="both"/>
      </w:pPr>
      <w:r>
        <w:t xml:space="preserve">L’assemblage des éléments VEP se fait en </w:t>
      </w:r>
      <w:r>
        <w:rPr>
          <w:rStyle w:val="optioncarChar"/>
        </w:rPr>
        <w:t xml:space="preserve">atelier </w:t>
      </w:r>
      <w:r>
        <w:t>(par défaut)</w:t>
      </w:r>
      <w:r>
        <w:rPr>
          <w:rStyle w:val="optioncarChar"/>
        </w:rPr>
        <w:t xml:space="preserve"> / sur chantier</w:t>
      </w:r>
      <w:r>
        <w:t xml:space="preserve">. Dans le cas de l’assemblage en atelier, les châssis VEP sont assemblés avec leur remplissage. Les parcloses sont fixées mécaniquement sur le dormant du châssis (chant du châssis). Les châssis forment des modules finis (l’étanchéité est réalisée à l’aide d’un </w:t>
      </w:r>
      <w:r>
        <w:rPr>
          <w:rStyle w:val="optioncarChar"/>
        </w:rPr>
        <w:t xml:space="preserve">mastic élastomère </w:t>
      </w:r>
      <w:r>
        <w:t>(par défaut)</w:t>
      </w:r>
      <w:r>
        <w:rPr>
          <w:rStyle w:val="optioncarChar"/>
        </w:rPr>
        <w:t xml:space="preserve"> / ***</w:t>
      </w:r>
      <w:r>
        <w:t>).</w:t>
      </w:r>
    </w:p>
    <w:p w14:paraId="5CEF3FD0" w14:textId="77777777" w:rsidR="00772179" w:rsidRDefault="00000000">
      <w:pPr>
        <w:jc w:val="both"/>
      </w:pPr>
      <w:r>
        <w:t xml:space="preserve">En cas d’assemblage sur chantier, les châssis sont fixés aux montants et traverses par les pattes d’attaches. L’étanchéité entre les éléments est assurée par des </w:t>
      </w:r>
      <w:r>
        <w:rPr>
          <w:rStyle w:val="optioncarChar"/>
        </w:rPr>
        <w:t xml:space="preserve">joints EPDM spéciaux </w:t>
      </w:r>
      <w:r>
        <w:t>(par défaut)</w:t>
      </w:r>
      <w:r>
        <w:rPr>
          <w:rStyle w:val="optioncarChar"/>
        </w:rPr>
        <w:t xml:space="preserve"> / par mastic élastomère extrudé / ***</w:t>
      </w:r>
      <w:r>
        <w:t>.</w:t>
      </w:r>
    </w:p>
    <w:p w14:paraId="616FF48A" w14:textId="77777777" w:rsidR="00772179" w:rsidRDefault="00000000">
      <w:pPr>
        <w:jc w:val="both"/>
      </w:pPr>
      <w:r>
        <w:rPr>
          <w:b/>
          <w:u w:val="single"/>
        </w:rPr>
        <w:t>Produits verriers</w:t>
      </w:r>
    </w:p>
    <w:p w14:paraId="1F053424" w14:textId="77777777" w:rsidR="00772179" w:rsidRDefault="00000000">
      <w:pPr>
        <w:jc w:val="both"/>
      </w:pPr>
      <w:r>
        <w:lastRenderedPageBreak/>
        <w:t>(Voir éléments </w:t>
      </w:r>
      <w:hyperlink w:anchor="852" w:history="1">
        <w:r>
          <w:rPr>
            <w:color w:val="0000EE"/>
          </w:rPr>
          <w:t>42 Vitrages extérieurs et éléments de remplissage</w:t>
        </w:r>
      </w:hyperlink>
      <w:r>
        <w:t xml:space="preserve"> et </w:t>
      </w:r>
      <w:hyperlink w:anchor="916" w:history="1">
        <w:r>
          <w:rPr>
            <w:color w:val="0000EE"/>
          </w:rPr>
          <w:t>41.4 Systèmes de façades</w:t>
        </w:r>
      </w:hyperlink>
      <w:r>
        <w:t>)</w:t>
      </w:r>
    </w:p>
    <w:p w14:paraId="25AE1309" w14:textId="77777777" w:rsidR="00772179" w:rsidRDefault="00000000">
      <w:pPr>
        <w:jc w:val="both"/>
      </w:pPr>
      <w:r>
        <w:t xml:space="preserve">Les produits verriers retenus pour l’application en vitrage extérieur parclosé sont : </w:t>
      </w:r>
      <w:r>
        <w:rPr>
          <w:rStyle w:val="optioncarChar"/>
        </w:rPr>
        <w:t>recuits / durcis / trempés / feuilletés</w:t>
      </w:r>
      <w:r>
        <w:t>.</w:t>
      </w:r>
    </w:p>
    <w:p w14:paraId="221CFE76" w14:textId="77777777" w:rsidR="00772179" w:rsidRDefault="00000000">
      <w:pPr>
        <w:jc w:val="both"/>
      </w:pPr>
      <w:r>
        <w:t xml:space="preserve">Ils sont </w:t>
      </w:r>
      <w:r>
        <w:rPr>
          <w:rStyle w:val="optioncarChar"/>
        </w:rPr>
        <w:t>transparents / translucides / opaques</w:t>
      </w:r>
      <w:r>
        <w:t xml:space="preserve"> constitués d’un des éléments suivants : </w:t>
      </w:r>
      <w:r>
        <w:rPr>
          <w:rStyle w:val="optioncarChar"/>
        </w:rPr>
        <w:t>simple vitrage (monolithique / feuilleté) / vitrage isolant</w:t>
      </w:r>
      <w:r>
        <w:t>.</w:t>
      </w:r>
    </w:p>
    <w:p w14:paraId="4D5AC591" w14:textId="77777777" w:rsidR="00772179" w:rsidRDefault="00000000">
      <w:pPr>
        <w:jc w:val="both"/>
      </w:pPr>
      <w:r>
        <w:t>L’usage du verre feuilleté à résine, du verre feuilleté résistant au feu et du verre armé est exclu.</w:t>
      </w:r>
    </w:p>
    <w:p w14:paraId="2E5A1734" w14:textId="77777777" w:rsidR="00772179" w:rsidRDefault="00000000">
      <w:pPr>
        <w:jc w:val="both"/>
      </w:pPr>
      <w:r>
        <w:t>Le verre opacifié et émaillé est utilisé ainsi que le verre à couches.</w:t>
      </w:r>
    </w:p>
    <w:p w14:paraId="51390353" w14:textId="77777777" w:rsidR="00772179" w:rsidRDefault="00000000">
      <w:pPr>
        <w:jc w:val="both"/>
      </w:pPr>
      <w:r>
        <w:t xml:space="preserve">Le vitrage est </w:t>
      </w:r>
      <w:r>
        <w:rPr>
          <w:rStyle w:val="optioncarChar"/>
        </w:rPr>
        <w:t>simple / isolant</w:t>
      </w:r>
      <w:r>
        <w:t xml:space="preserve"> (par défaut). En outre, dans le cas des vitrages isolants, la compatibilité de l’espaceur avec les produits environnants doit être démontrée. </w:t>
      </w:r>
    </w:p>
    <w:p w14:paraId="13417467" w14:textId="77777777" w:rsidR="00772179" w:rsidRDefault="00000000">
      <w:pPr>
        <w:jc w:val="both"/>
      </w:pPr>
      <w:r>
        <w:rPr>
          <w:b/>
          <w:u w:val="single"/>
        </w:rPr>
        <w:t>Profilé de cadre</w:t>
      </w:r>
    </w:p>
    <w:p w14:paraId="511B4073" w14:textId="77777777" w:rsidR="00772179" w:rsidRDefault="00000000">
      <w:pPr>
        <w:jc w:val="both"/>
      </w:pPr>
      <w:r>
        <w:t xml:space="preserve">(Voir élément </w:t>
      </w:r>
      <w:hyperlink w:anchor="916" w:history="1">
        <w:r>
          <w:rPr>
            <w:color w:val="0000EE"/>
          </w:rPr>
          <w:t>41.4 Systèmes de façades</w:t>
        </w:r>
      </w:hyperlink>
      <w:r>
        <w:t>)</w:t>
      </w:r>
    </w:p>
    <w:p w14:paraId="1D845BFD" w14:textId="77777777" w:rsidR="00772179" w:rsidRDefault="00000000">
      <w:pPr>
        <w:jc w:val="both"/>
      </w:pPr>
      <w:r>
        <w:t>L’ossature porteuse est réalisée en profilés d’aluminium extrudé à rupture de pont thermique (par défaut) / sans rupture de pont thermique.</w:t>
      </w:r>
    </w:p>
    <w:p w14:paraId="79C9B513" w14:textId="77777777" w:rsidR="00772179" w:rsidRDefault="00000000">
      <w:pPr>
        <w:jc w:val="both"/>
      </w:pPr>
      <w:r>
        <w:t xml:space="preserve">La largeur des profilés est de </w:t>
      </w:r>
      <w:r>
        <w:rPr>
          <w:rStyle w:val="optioncarChar"/>
        </w:rPr>
        <w:t xml:space="preserve">50 mm </w:t>
      </w:r>
      <w:r>
        <w:t>(par défaut)</w:t>
      </w:r>
      <w:r>
        <w:rPr>
          <w:rStyle w:val="optioncarChar"/>
        </w:rPr>
        <w:t xml:space="preserve"> / ***</w:t>
      </w:r>
      <w:r>
        <w:t>. La profondeur des profilés de montant et traverse est fonction des inerties nécessaires.</w:t>
      </w:r>
    </w:p>
    <w:p w14:paraId="4A3494A2" w14:textId="77777777" w:rsidR="00772179" w:rsidRDefault="00000000">
      <w:pPr>
        <w:jc w:val="both"/>
      </w:pPr>
      <w:r>
        <w:t xml:space="preserve">Les profilés en aluminium à rupture de pont thermique sont conformes à </w:t>
      </w:r>
      <w:r>
        <w:rPr>
          <w:rStyle w:val="optioncarChar"/>
        </w:rPr>
        <w:t xml:space="preserve">l'élément </w:t>
      </w:r>
      <w:hyperlink w:anchor="916" w:history="1">
        <w:r>
          <w:rPr>
            <w:rStyle w:val="optioncarChar"/>
            <w:color w:val="0000EE"/>
          </w:rPr>
          <w:t>41.4 Systèmes de façades</w:t>
        </w:r>
      </w:hyperlink>
      <w:r>
        <w:t>(par défaut)</w:t>
      </w:r>
      <w:r>
        <w:rPr>
          <w:rStyle w:val="optioncarChar"/>
        </w:rPr>
        <w:t xml:space="preserve"> / ***</w:t>
      </w:r>
      <w:r>
        <w:t>.</w:t>
      </w:r>
    </w:p>
    <w:p w14:paraId="5E36F912" w14:textId="77777777" w:rsidR="00772179" w:rsidRDefault="00000000">
      <w:pPr>
        <w:jc w:val="both"/>
      </w:pPr>
      <w:r>
        <w:t>La composition de l’aluminium est conforme à </w:t>
      </w:r>
      <w:r>
        <w:rPr>
          <w:rStyle w:val="optioncarChar"/>
        </w:rPr>
        <w:t>l'élément </w:t>
      </w:r>
      <w:hyperlink w:anchor="916" w:history="1">
        <w:r>
          <w:rPr>
            <w:rStyle w:val="optioncarChar"/>
            <w:color w:val="0000EE"/>
          </w:rPr>
          <w:t>41.4 Systèmes de façades</w:t>
        </w:r>
      </w:hyperlink>
      <w:r>
        <w:rPr>
          <w:rStyle w:val="optioncarChar"/>
        </w:rPr>
        <w:t> </w:t>
      </w:r>
      <w:r>
        <w:t>(par défaut)</w:t>
      </w:r>
      <w:r>
        <w:rPr>
          <w:rStyle w:val="optioncarChar"/>
        </w:rPr>
        <w:t> / ***</w:t>
      </w:r>
      <w:r>
        <w:t>.</w:t>
      </w:r>
    </w:p>
    <w:p w14:paraId="7DFE08CB" w14:textId="77777777" w:rsidR="00772179" w:rsidRDefault="00772179">
      <w:pPr>
        <w:jc w:val="both"/>
      </w:pPr>
    </w:p>
    <w:p w14:paraId="15A44B1C" w14:textId="77777777" w:rsidR="00772179" w:rsidRDefault="00000000">
      <w:pPr>
        <w:jc w:val="both"/>
      </w:pPr>
      <w:r>
        <w:rPr>
          <w:b/>
          <w:u w:val="single"/>
        </w:rPr>
        <w:t>Garniture d’étanchéité</w:t>
      </w:r>
    </w:p>
    <w:p w14:paraId="5AE23249" w14:textId="77777777" w:rsidR="00772179" w:rsidRDefault="00000000">
      <w:pPr>
        <w:jc w:val="both"/>
      </w:pPr>
      <w:r>
        <w:t xml:space="preserve">Il s’agit de </w:t>
      </w:r>
      <w:r>
        <w:rPr>
          <w:rStyle w:val="optioncarChar"/>
        </w:rPr>
        <w:t xml:space="preserve">joints EPDM / mastics élastomère / Mastic élastomère extrudé </w:t>
      </w:r>
      <w:r>
        <w:t>utilisés pour les joints de finition intérieurs et pour les joints d’étanchéité extérieurs (étanchéité de la façade).</w:t>
      </w:r>
    </w:p>
    <w:p w14:paraId="32AFEE71" w14:textId="77777777" w:rsidR="00772179" w:rsidRDefault="00000000">
      <w:pPr>
        <w:jc w:val="both"/>
      </w:pPr>
      <w:r>
        <w:t>Ils doivent être compatibles avec tous les matériaux environnants (par exemple, finition du profilé en aluminium, ...).</w:t>
      </w:r>
    </w:p>
    <w:p w14:paraId="225B2950" w14:textId="77777777" w:rsidR="00772179" w:rsidRDefault="00000000">
      <w:pPr>
        <w:jc w:val="both"/>
      </w:pPr>
      <w:r>
        <w:t>La couleur de la garniture d’étanchéité est</w:t>
      </w:r>
      <w:r>
        <w:rPr>
          <w:rStyle w:val="optioncarChar"/>
        </w:rPr>
        <w:t xml:space="preserve"> transparente / grise / noire</w:t>
      </w:r>
      <w:r>
        <w:t>. </w:t>
      </w:r>
    </w:p>
    <w:p w14:paraId="1E4CA7C0" w14:textId="77777777" w:rsidR="00772179" w:rsidRDefault="00000000">
      <w:pPr>
        <w:jc w:val="both"/>
      </w:pPr>
      <w:r>
        <w:rPr>
          <w:b/>
          <w:u w:val="single"/>
        </w:rPr>
        <w:t>Autres composants</w:t>
      </w:r>
    </w:p>
    <w:p w14:paraId="7DCC2160" w14:textId="77777777" w:rsidR="00772179" w:rsidRDefault="00000000">
      <w:pPr>
        <w:jc w:val="both"/>
      </w:pPr>
      <w:r>
        <w:t xml:space="preserve">La profondeur du mastic d’étanchéité est déterminée par un </w:t>
      </w:r>
      <w:r>
        <w:rPr>
          <w:rStyle w:val="optioncarChar"/>
        </w:rPr>
        <w:t>fond de joint</w:t>
      </w:r>
      <w:r>
        <w:t xml:space="preserve"> (par défaut)</w:t>
      </w:r>
      <w:r>
        <w:rPr>
          <w:rStyle w:val="optioncarChar"/>
        </w:rPr>
        <w:t xml:space="preserve"> / ***</w:t>
      </w:r>
      <w:r>
        <w:t xml:space="preserve"> qui permet en outre le serrage du mastic sur les faces d’adhérence. Les fonds de joints (bande préformée continue délimitant la profondeur de la garniture d’étanchéité) sont compatibles avec les produits environnants.</w:t>
      </w:r>
    </w:p>
    <w:p w14:paraId="1B295BA9" w14:textId="77777777" w:rsidR="00772179" w:rsidRDefault="00000000">
      <w:pPr>
        <w:jc w:val="both"/>
      </w:pPr>
      <w:r>
        <w:rPr>
          <w:b/>
          <w:u w:val="single"/>
        </w:rPr>
        <w:t>Systèmes VEP</w:t>
      </w:r>
    </w:p>
    <w:p w14:paraId="1CAE1892" w14:textId="77777777" w:rsidR="00772179" w:rsidRDefault="00000000">
      <w:pPr>
        <w:jc w:val="both"/>
      </w:pPr>
      <w:r>
        <w:t>Pour ce qui est de l’ossature de la façade proprement dite et des performances globales de la façade VEP, les chapitres concernés des [STS 52.2] et de la norme [NBN B 25-002-1] sont d’application.</w:t>
      </w:r>
    </w:p>
    <w:p w14:paraId="5DF15907" w14:textId="77777777" w:rsidR="00772179" w:rsidRDefault="00000000">
      <w:pPr>
        <w:jc w:val="both"/>
      </w:pPr>
      <w:r>
        <w:t xml:space="preserve">En ce qui concerne les parties ouvrantes intégrées dans la façade, se référer au titre </w:t>
      </w:r>
      <w:hyperlink w:anchor="64" w:history="1">
        <w:r>
          <w:rPr>
            <w:color w:val="0000EE"/>
          </w:rPr>
          <w:t>41.1 Fenêtres et portes-fenêtres</w:t>
        </w:r>
      </w:hyperlink>
      <w:r>
        <w:t xml:space="preserve"> relatifs aux fenêtres et portes-fenêtres.</w:t>
      </w:r>
    </w:p>
    <w:p w14:paraId="0EF14008" w14:textId="77777777" w:rsidR="00772179" w:rsidRDefault="00000000">
      <w:pPr>
        <w:jc w:val="both"/>
      </w:pPr>
      <w:r>
        <w:t>La compatibilité des produits de nettoyage et des différents produits entrant en contact est vérifiée.</w:t>
      </w:r>
    </w:p>
    <w:p w14:paraId="58322841" w14:textId="77777777" w:rsidR="00772179" w:rsidRDefault="00000000">
      <w:pPr>
        <w:jc w:val="both"/>
      </w:pPr>
      <w:r>
        <w:t>La façade est conçue de manière à empêcher toute accumulation d’eau et à garantir un bon drainage (en particulier dans le cas d’utilisation de vitrages feuilletés et/ou isolants). Le drainage des façades VEP est conçu de telle manière que l’eau circule de joint creux en joint creux pour finalement s' évacuer en pied de façade. Le drainage des eaux d’infiltration dans les traverses se fait directement par les montants (drainage en cascade). Ceci permet de supprimer les eaux ruisselantes et les trous de drainage sous les traverses. Ce drainage est assuré par le recouvrement des traverses sur les montants.</w:t>
      </w:r>
    </w:p>
    <w:p w14:paraId="173F2C0B" w14:textId="77777777" w:rsidR="00772179" w:rsidRDefault="00000000">
      <w:pPr>
        <w:jc w:val="both"/>
      </w:pPr>
      <w:r>
        <w:t xml:space="preserve">L’évacuation d’eau éventuelle est réalisée </w:t>
      </w:r>
      <w:r>
        <w:rPr>
          <w:rStyle w:val="optioncarChar"/>
        </w:rPr>
        <w:t xml:space="preserve">en feuillure drainée (par des trous de surface ≥ 50 mm² et dont la plus petite dimension est ≥ 6 mm permettant l’évacuation des eaux d’infiltration ou de condensation. Prévoir un minimum de 3 trous par travée) </w:t>
      </w:r>
      <w:r>
        <w:t>(par défaut)</w:t>
      </w:r>
      <w:r>
        <w:rPr>
          <w:rStyle w:val="optioncarChar"/>
        </w:rPr>
        <w:t xml:space="preserve"> / ***</w:t>
      </w:r>
      <w:r>
        <w:t>.</w:t>
      </w:r>
    </w:p>
    <w:p w14:paraId="6D896115" w14:textId="77777777" w:rsidR="00772179" w:rsidRDefault="00772179"/>
    <w:p w14:paraId="4A5E6095" w14:textId="77777777" w:rsidR="00772179" w:rsidRDefault="00000000">
      <w:pPr>
        <w:pStyle w:val="pheading"/>
      </w:pPr>
      <w:r>
        <w:t>- Finitions</w:t>
      </w:r>
    </w:p>
    <w:p w14:paraId="21AC1B02" w14:textId="77777777" w:rsidR="00772179" w:rsidRDefault="00000000">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la [STS 52.2]. </w:t>
      </w:r>
    </w:p>
    <w:p w14:paraId="6294DE43" w14:textId="77777777" w:rsidR="00772179" w:rsidRDefault="00000000">
      <w:pPr>
        <w:pStyle w:val="Author-eListParagraph"/>
        <w:numPr>
          <w:ilvl w:val="0"/>
          <w:numId w:val="448"/>
        </w:numPr>
        <w:jc w:val="both"/>
      </w:pPr>
      <w:r>
        <w:t>Pour garantir la qualité continue, seul un traitement de surface est autorisé en gestion propre du fournisseur de système, et l’alliage d’aluminium satisfait aux critères ci-dessus. Le système de traitement de surface dispose d’un label Qualicoat (revêtement par poudrage), Qualanod (traitement par anodisation) ou tout label disposant de critères supérieurs ou équivalents à ces labels.</w:t>
      </w:r>
    </w:p>
    <w:p w14:paraId="041F9592" w14:textId="77777777" w:rsidR="00772179" w:rsidRDefault="00772179">
      <w:pPr>
        <w:pStyle w:val="Author-eListParagraph"/>
        <w:numPr>
          <w:ilvl w:val="0"/>
          <w:numId w:val="448"/>
        </w:numPr>
        <w:jc w:val="both"/>
      </w:pPr>
    </w:p>
    <w:p w14:paraId="4AB9C4BA" w14:textId="77777777" w:rsidR="00772179" w:rsidRDefault="00000000">
      <w:pPr>
        <w:pStyle w:val="Author-eListParagraph"/>
        <w:numPr>
          <w:ilvl w:val="0"/>
          <w:numId w:val="448"/>
        </w:numPr>
        <w:jc w:val="both"/>
      </w:pPr>
      <w:r>
        <w:t>Lors d’une observation perpendiculaire à la surface concernée sous une lumière diffuse (ciel couvert à l’extérieur et sans éclairage artificiel à l’intérieur), aucun défaut de surface décrit ci-après ne doit être visibles à l’œil nu à une distance de 2 mètres :</w:t>
      </w:r>
    </w:p>
    <w:p w14:paraId="53BCE05F" w14:textId="77777777" w:rsidR="00772179" w:rsidRDefault="00772179">
      <w:pPr>
        <w:pStyle w:val="Author-eListParagraph"/>
        <w:numPr>
          <w:ilvl w:val="0"/>
          <w:numId w:val="448"/>
        </w:numPr>
        <w:jc w:val="both"/>
      </w:pPr>
    </w:p>
    <w:p w14:paraId="0FF87D53" w14:textId="77777777" w:rsidR="00772179" w:rsidRDefault="00000000">
      <w:pPr>
        <w:pStyle w:val="Author-eListParagraph"/>
        <w:numPr>
          <w:ilvl w:val="1"/>
          <w:numId w:val="449"/>
        </w:numPr>
      </w:pPr>
      <w:r>
        <w:t>surface rude, gouttes d’écoulement, boursouflures, effet de peau d’orange, inclusions, cratères, taches mates, trous, griffes.</w:t>
      </w:r>
      <w:r>
        <w:br/>
      </w:r>
    </w:p>
    <w:p w14:paraId="4AEC8057" w14:textId="77777777" w:rsidR="00772179" w:rsidRDefault="00000000">
      <w:pPr>
        <w:pStyle w:val="Author-eListParagraph"/>
        <w:numPr>
          <w:ilvl w:val="1"/>
          <w:numId w:val="449"/>
        </w:numPr>
      </w:pPr>
      <w:r>
        <w:t>L’exécution laquée au four doit présenter une teinte et un éclat uniformes et est couvrante. Aucune différence de teinte incommodante ne peut apparaître entre les pièces séparées. Tous les profilés, les tôles et les accessoires en exécution métallique doivent être laqués au four avec une poudre du même lot, sans interruption, et lors de commandes supplémentaires pour le même projet, il convient de donner un échantillon au laqueur afin de minimiser les différences de teinte.</w:t>
      </w:r>
      <w:r>
        <w:br/>
      </w:r>
    </w:p>
    <w:p w14:paraId="6E04635E" w14:textId="77777777" w:rsidR="00772179" w:rsidRDefault="00000000">
      <w:pPr>
        <w:pStyle w:val="Author-eListParagraph"/>
        <w:numPr>
          <w:ilvl w:val="1"/>
          <w:numId w:val="449"/>
        </w:numPr>
      </w:pPr>
      <w:r>
        <w:t>L’aspect de la face visible des profilés anodisés ne peut présenter aucune différence de teinte ni de taches incommodantes qui pourraient être jugées gênantes.  </w:t>
      </w:r>
      <w:r>
        <w:br/>
      </w:r>
    </w:p>
    <w:p w14:paraId="3964FE37" w14:textId="77777777" w:rsidR="00772179" w:rsidRDefault="00000000">
      <w:pPr>
        <w:pStyle w:val="Author-eListParagraph"/>
        <w:numPr>
          <w:ilvl w:val="0"/>
          <w:numId w:val="448"/>
        </w:numPr>
        <w:jc w:val="both"/>
      </w:pPr>
      <w:r>
        <w:t xml:space="preserve">Les possibilités de traitement de surface sont les suivantes : </w:t>
      </w:r>
      <w:r>
        <w:rPr>
          <w:rStyle w:val="optioncarChar"/>
        </w:rPr>
        <w:t>Laquage et revêtement par poudrage (laquage au four) / Laquage de peinture liquide / Anodisation</w:t>
      </w:r>
      <w:r>
        <w:t>. </w:t>
      </w:r>
    </w:p>
    <w:p w14:paraId="72796190" w14:textId="77777777" w:rsidR="00772179" w:rsidRDefault="00000000">
      <w:pPr>
        <w:jc w:val="both"/>
      </w:pPr>
      <w:r>
        <w:rPr>
          <w:b/>
          <w:u w:val="single"/>
        </w:rPr>
        <w:t>Méthode d'anodisation</w:t>
      </w:r>
    </w:p>
    <w:p w14:paraId="35A0CC7F" w14:textId="77777777" w:rsidR="00772179" w:rsidRDefault="00000000">
      <w:pPr>
        <w:pStyle w:val="Author-eListParagraph"/>
        <w:numPr>
          <w:ilvl w:val="0"/>
          <w:numId w:val="450"/>
        </w:numPr>
      </w:pPr>
      <w:r>
        <w:t xml:space="preserve">Le traitement préliminaire et la protection de la menuiserie répondent aux spécifications des [STS 52.2] et sont conformes : </w:t>
      </w:r>
      <w:r>
        <w:rPr>
          <w:rStyle w:val="optioncarChar"/>
        </w:rPr>
        <w:t xml:space="preserve">idem menuiseries </w:t>
      </w:r>
      <w:r>
        <w:t xml:space="preserve">(par défaut) </w:t>
      </w:r>
      <w:r>
        <w:rPr>
          <w:rStyle w:val="optioncarChar"/>
        </w:rPr>
        <w:t>/ au mode AO - Non poli avec traitement anodique / mode BO - Semi-poli avec traitement anodique (satiné) / mode CO - Complètement poli avec traitement anodique (brillant) / ***</w:t>
      </w:r>
      <w:r>
        <w:t>.</w:t>
      </w:r>
    </w:p>
    <w:p w14:paraId="74D1EF49" w14:textId="77777777" w:rsidR="00772179" w:rsidRDefault="00000000">
      <w:pPr>
        <w:pStyle w:val="Author-eListParagraph"/>
        <w:numPr>
          <w:ilvl w:val="0"/>
          <w:numId w:val="450"/>
        </w:numPr>
      </w:pPr>
      <w:r>
        <w:t>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Le système d’anodisation dispose d’un label Qualanod ou tout label disposant de critères supérieurs ou équivalents à ce label. La qualité est contrôlée par des essais suivant la procédure prévue dans le label. L’épaisseur exigée de la couche d’oxyde répond également aux spécifications des [STS 52.2] et selon la norme [NBN EN ISO 7599]: Catégorie</w:t>
      </w:r>
      <w:r>
        <w:rPr>
          <w:rStyle w:val="optioncarChar"/>
        </w:rPr>
        <w:t xml:space="preserve"> AA15 (15 μm) </w:t>
      </w:r>
      <w:r>
        <w:t>(par défaut)</w:t>
      </w:r>
      <w:r>
        <w:rPr>
          <w:rStyle w:val="optioncarChar"/>
        </w:rPr>
        <w:t xml:space="preserve"> / AA 20 (20 μm) / AA25 (25 μm) / ***</w:t>
      </w:r>
      <w:r>
        <w:t>.</w:t>
      </w:r>
    </w:p>
    <w:p w14:paraId="34D5CAD7" w14:textId="77777777" w:rsidR="00772179" w:rsidRDefault="00000000">
      <w:pPr>
        <w:pStyle w:val="Author-eListParagraph"/>
        <w:numPr>
          <w:ilvl w:val="0"/>
          <w:numId w:val="450"/>
        </w:numPr>
      </w:pPr>
      <w:r>
        <w:t xml:space="preserve">La teinte de la couche d’anodisation du profilé est consultée sur base d’un échantillon auprès </w:t>
      </w:r>
      <w:r>
        <w:rPr>
          <w:rStyle w:val="optioncarChar"/>
        </w:rPr>
        <w:t xml:space="preserve">de l’architecte </w:t>
      </w:r>
      <w:r>
        <w:t>(par défaut)</w:t>
      </w:r>
      <w:r>
        <w:rPr>
          <w:rStyle w:val="optioncarChar"/>
        </w:rPr>
        <w:t xml:space="preserve"> / du fonctionnaire dirigeant / ***</w:t>
      </w:r>
      <w:r>
        <w:t>.</w:t>
      </w:r>
    </w:p>
    <w:p w14:paraId="08D375BF" w14:textId="77777777" w:rsidR="00772179" w:rsidRDefault="00000000">
      <w:pPr>
        <w:pStyle w:val="Author-eListParagraph"/>
        <w:numPr>
          <w:ilvl w:val="0"/>
          <w:numId w:val="450"/>
        </w:numPr>
      </w:pPr>
      <w:r>
        <w:t xml:space="preserve">La teinte est : </w:t>
      </w:r>
      <w:r>
        <w:rPr>
          <w:rStyle w:val="optioncarChar"/>
        </w:rPr>
        <w:t>naturelle</w:t>
      </w:r>
      <w:r>
        <w:t xml:space="preserve"> (par défaut) </w:t>
      </w:r>
      <w:r>
        <w:rPr>
          <w:rStyle w:val="optioncarChar"/>
        </w:rPr>
        <w:t>/ noire / bronze / ***</w:t>
      </w:r>
      <w:r>
        <w:t>.</w:t>
      </w:r>
    </w:p>
    <w:p w14:paraId="3358D97C" w14:textId="77777777" w:rsidR="00772179" w:rsidRDefault="00000000">
      <w:r>
        <w:rPr>
          <w:b/>
        </w:rPr>
        <w:t>Méthode de Laquages / Revêtements</w:t>
      </w:r>
    </w:p>
    <w:p w14:paraId="729C2D41" w14:textId="77777777" w:rsidR="00772179" w:rsidRDefault="00000000">
      <w:pPr>
        <w:pStyle w:val="Author-eListParagraph"/>
        <w:numPr>
          <w:ilvl w:val="0"/>
          <w:numId w:val="451"/>
        </w:numPr>
      </w:pPr>
      <w:r>
        <w:t>Le procédé de finition par laquage sur aluminium est conforme à la norme [NBN EN 12206-1]</w:t>
      </w:r>
    </w:p>
    <w:p w14:paraId="6C811431" w14:textId="77777777" w:rsidR="00772179" w:rsidRDefault="00000000">
      <w:pPr>
        <w:pStyle w:val="Author-eListParagraph"/>
        <w:numPr>
          <w:ilvl w:val="0"/>
          <w:numId w:val="451"/>
        </w:numPr>
      </w:pPr>
      <w:r>
        <w:t>Les couches de peinture résistent aux chocs et ne peuvent pas s’écailler aux bords lors d’opérations mécaniques (forage, sciage, fraisage, poinçonnage,...). Les échantillons de profilés nécessaires sont préalablement soumis à l’auteur de projet.</w:t>
      </w:r>
    </w:p>
    <w:p w14:paraId="2EF08620" w14:textId="77777777" w:rsidR="00772179" w:rsidRDefault="00000000">
      <w:pPr>
        <w:jc w:val="both"/>
      </w:pPr>
      <w:r>
        <w:lastRenderedPageBreak/>
        <w:t xml:space="preserve">Domaine d’application : </w:t>
      </w:r>
      <w:r>
        <w:rPr>
          <w:rStyle w:val="optioncarChar"/>
        </w:rPr>
        <w:t>Classe 2 / Classe 3</w:t>
      </w:r>
      <w:r>
        <w:t>.</w:t>
      </w:r>
    </w:p>
    <w:p w14:paraId="5C5649DF" w14:textId="77777777" w:rsidR="00772179" w:rsidRDefault="00000000">
      <w:pPr>
        <w:ind w:left="567"/>
        <w:jc w:val="both"/>
      </w:pPr>
      <w:r>
        <w:rPr>
          <w:b/>
          <w:i/>
        </w:rPr>
        <w:t>(soit)</w:t>
      </w:r>
    </w:p>
    <w:p w14:paraId="755CDE74" w14:textId="77777777" w:rsidR="00772179" w:rsidRDefault="00000000">
      <w:pPr>
        <w:ind w:left="567"/>
        <w:jc w:val="both"/>
      </w:pPr>
      <w:r>
        <w:rPr>
          <w:rStyle w:val="soitChar"/>
          <w:u w:val="single"/>
        </w:rPr>
        <w:t>Domaine d’application : Classe 2</w:t>
      </w:r>
      <w:r>
        <w:rPr>
          <w:rStyle w:val="soitChar"/>
        </w:rPr>
        <w:t xml:space="preserve"> – atmosphère urbaine – charge normale. </w:t>
      </w:r>
    </w:p>
    <w:p w14:paraId="06CEFE4E" w14:textId="77777777" w:rsidR="00772179" w:rsidRDefault="00000000">
      <w:pPr>
        <w:ind w:left="567"/>
        <w:jc w:val="both"/>
      </w:pPr>
      <w:r>
        <w:rPr>
          <w:rStyle w:val="soitChar"/>
        </w:rPr>
        <w:t>Après le dégraissage et le décapage (1 à 2 gr/m²), les profilés reçoivent une couche de conversion à base de chrome (0,6 à 1 gr/m²). ≤ 16 heures après le rinçage et le séchage à une température de l’air ≤ 100 °C,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4DFEBB0B" w14:textId="77777777" w:rsidR="00772179" w:rsidRDefault="00000000">
      <w:pPr>
        <w:ind w:left="567"/>
        <w:jc w:val="both"/>
      </w:pPr>
      <w:r>
        <w:rPr>
          <w:b/>
          <w:i/>
        </w:rPr>
        <w:t>(soit)</w:t>
      </w:r>
    </w:p>
    <w:p w14:paraId="405A847D" w14:textId="77777777" w:rsidR="00772179" w:rsidRDefault="00000000">
      <w:pPr>
        <w:ind w:left="567"/>
        <w:jc w:val="both"/>
      </w:pPr>
      <w:r>
        <w:rPr>
          <w:rStyle w:val="soitChar"/>
          <w:u w:val="single"/>
        </w:rPr>
        <w:t>Domaine d’application : Classe 3</w:t>
      </w:r>
      <w:r>
        <w:rPr>
          <w:rStyle w:val="soitChar"/>
        </w:rPr>
        <w:t xml:space="preserve"> – charge agressive.</w:t>
      </w:r>
    </w:p>
    <w:p w14:paraId="6B999409" w14:textId="77777777" w:rsidR="00772179" w:rsidRDefault="00000000">
      <w:pPr>
        <w:ind w:left="567"/>
        <w:jc w:val="both"/>
      </w:pPr>
      <w:r>
        <w:rPr>
          <w:rStyle w:val="soitChar"/>
        </w:rPr>
        <w:t>Des circonstances agressives sont entre autres : Zones de trafic ferroviaire (tram ou train), de retombées de chlorure (régions côtières jusqu’à 10 km et à proximité des piscines, des régions urbaines ou industrielles).</w:t>
      </w:r>
    </w:p>
    <w:p w14:paraId="7DD11B4C" w14:textId="77777777" w:rsidR="00772179" w:rsidRDefault="00000000">
      <w:pPr>
        <w:ind w:left="567"/>
        <w:jc w:val="both"/>
      </w:pPr>
      <w:r>
        <w:rPr>
          <w:rStyle w:val="soitChar"/>
        </w:rPr>
        <w:t>Après le dégraissage, le décapage mat, le rinçage et la neutralisation, les profilés subissent une couche de pré-anodisation (hydrolyse dans un bain d’acide sulfurique dilué) avec une épaisseur de couche comprise entre 3 et 8 microns. Après le nettoyage, les pores de la couche d’anodisation ne sont pas complètement obturés (3 minutes/μm) pour permettre une bonne adhérence de la couche de peinture. Ensuite, le matériel est manipulé avec des gants afin d’éviter les taches de graisse.</w:t>
      </w:r>
    </w:p>
    <w:p w14:paraId="5A112087" w14:textId="77777777" w:rsidR="00772179" w:rsidRDefault="00000000">
      <w:pPr>
        <w:ind w:left="567"/>
        <w:jc w:val="both"/>
      </w:pPr>
      <w:r>
        <w:rPr>
          <w:rStyle w:val="soitChar"/>
        </w:rPr>
        <w:t>Maximum 24 heures après le rinçage et le séchage, les profilés sont pourvus d’un revêtement poudreux électrostatique à base de polyester et sont polymérisés dans un four d’émaillage à une température comprise entre 180 – 200 °C.</w:t>
      </w:r>
      <w:r>
        <w:t> </w:t>
      </w:r>
    </w:p>
    <w:p w14:paraId="5E19C6DD" w14:textId="77777777" w:rsidR="00772179" w:rsidRDefault="00000000">
      <w:pPr>
        <w:jc w:val="both"/>
      </w:pPr>
      <w:r>
        <w:t>Pour les couleurs RAL, l’épaisseur de couche moyenne ≥ 60 μm.</w:t>
      </w:r>
    </w:p>
    <w:p w14:paraId="1DEEF4BD" w14:textId="77777777" w:rsidR="00772179" w:rsidRDefault="00000000">
      <w:pPr>
        <w:jc w:val="both"/>
      </w:pPr>
      <w:r>
        <w:t>Pour les couleurs métallisées, le pigment de couleur est ‘fondu’ avec la poudre de base (Bonding process). Un mélange homogène de l’aluminium ou des particules en inox n’est pas autorisé afin d’éviter la formation de nuages.</w:t>
      </w:r>
    </w:p>
    <w:p w14:paraId="732FB213" w14:textId="77777777" w:rsidR="00772179" w:rsidRDefault="00000000">
      <w:pPr>
        <w:pStyle w:val="Author-eListParagraph"/>
        <w:numPr>
          <w:ilvl w:val="0"/>
          <w:numId w:val="452"/>
        </w:numPr>
        <w:jc w:val="both"/>
      </w:pPr>
      <w:r>
        <w:t xml:space="preserve">La teinte du traitement de surface du profilé est consultée sur base d’un échantillon chez </w:t>
      </w:r>
      <w:r>
        <w:rPr>
          <w:rStyle w:val="optioncarChar"/>
        </w:rPr>
        <w:t>le fonctionnaire dirigeant / l’architecte.</w:t>
      </w:r>
    </w:p>
    <w:p w14:paraId="07CF84AF" w14:textId="77777777" w:rsidR="00772179" w:rsidRDefault="00000000">
      <w:pPr>
        <w:pStyle w:val="Author-eListParagraph"/>
        <w:numPr>
          <w:ilvl w:val="0"/>
          <w:numId w:val="452"/>
        </w:numPr>
        <w:jc w:val="both"/>
      </w:pPr>
      <w:r>
        <w:t>Les finitions de surface permettent en outre les combinaisons de couleurs différentes entre les faces intérieures et extérieures.</w:t>
      </w:r>
    </w:p>
    <w:p w14:paraId="3F21D1C4" w14:textId="77777777" w:rsidR="00772179" w:rsidRDefault="00772179">
      <w:pPr>
        <w:pStyle w:val="Author-eListParagraph"/>
        <w:numPr>
          <w:ilvl w:val="0"/>
          <w:numId w:val="452"/>
        </w:numPr>
        <w:jc w:val="both"/>
      </w:pPr>
    </w:p>
    <w:p w14:paraId="0F791BC8" w14:textId="77777777" w:rsidR="00772179" w:rsidRDefault="00000000">
      <w:pPr>
        <w:pStyle w:val="Author-eListParagraph"/>
        <w:numPr>
          <w:ilvl w:val="0"/>
          <w:numId w:val="452"/>
        </w:numPr>
        <w:jc w:val="both"/>
      </w:pPr>
      <w:r>
        <w:t xml:space="preserve">Teinte du profilé extérieur : </w:t>
      </w:r>
      <w:r>
        <w:rPr>
          <w:rStyle w:val="optioncarChar"/>
        </w:rPr>
        <w:t>libre choix dans la gamme standard du fabricant / Couleur RAL : ***</w:t>
      </w:r>
    </w:p>
    <w:p w14:paraId="342B7763" w14:textId="77777777" w:rsidR="00772179" w:rsidRDefault="00000000">
      <w:pPr>
        <w:pStyle w:val="Author-eListParagraph"/>
        <w:numPr>
          <w:ilvl w:val="0"/>
          <w:numId w:val="452"/>
        </w:numPr>
        <w:jc w:val="both"/>
      </w:pPr>
      <w:r>
        <w:t xml:space="preserve">Degré de brillance : </w:t>
      </w:r>
      <w:r>
        <w:rPr>
          <w:rStyle w:val="optioncarChar"/>
        </w:rPr>
        <w:t xml:space="preserve">30 </w:t>
      </w:r>
      <w:r>
        <w:t xml:space="preserve">(par défaut) </w:t>
      </w:r>
      <w:r>
        <w:rPr>
          <w:rStyle w:val="optioncarChar"/>
        </w:rPr>
        <w:t xml:space="preserve">/ 70 / 90 / *** </w:t>
      </w:r>
      <w:r>
        <w:t>% sous un angle de 60°</w:t>
      </w:r>
      <w:r>
        <w:rPr>
          <w:rStyle w:val="optioncarChar"/>
        </w:rPr>
        <w:t xml:space="preserve"> mat</w:t>
      </w:r>
      <w:r>
        <w:t xml:space="preserve"> (par défaut)</w:t>
      </w:r>
      <w:r>
        <w:rPr>
          <w:rStyle w:val="optioncarChar"/>
        </w:rPr>
        <w:t xml:space="preserve"> / métallisée / ***</w:t>
      </w:r>
    </w:p>
    <w:p w14:paraId="028FDF7E" w14:textId="77777777" w:rsidR="00772179" w:rsidRDefault="00000000">
      <w:pPr>
        <w:jc w:val="both"/>
      </w:pPr>
      <w:r>
        <w:t xml:space="preserve">L’assemblage des angles des ouvrants est réalisé par </w:t>
      </w:r>
      <w:r>
        <w:rPr>
          <w:rStyle w:val="optioncarChar"/>
        </w:rPr>
        <w:t xml:space="preserve">clamage </w:t>
      </w:r>
      <w:r>
        <w:t>(par défaut)</w:t>
      </w:r>
      <w:r>
        <w:rPr>
          <w:rStyle w:val="optioncarChar"/>
        </w:rPr>
        <w:t xml:space="preserve"> / collage / ***</w:t>
      </w:r>
      <w:r>
        <w:t xml:space="preserve"> et renforcé à l’aide d’une équerre métallique.</w:t>
      </w:r>
    </w:p>
    <w:p w14:paraId="647DA609" w14:textId="77777777" w:rsidR="00772179" w:rsidRDefault="00000000">
      <w:pPr>
        <w:jc w:val="both"/>
      </w:pPr>
      <w:r>
        <w:t xml:space="preserve">Les angles sont munis d’une étanchéité par </w:t>
      </w:r>
      <w:r>
        <w:rPr>
          <w:rStyle w:val="optioncarChar"/>
        </w:rPr>
        <w:t>un joint préformé / injection de l’angle</w:t>
      </w:r>
      <w:r>
        <w:t>.</w:t>
      </w:r>
    </w:p>
    <w:p w14:paraId="43578921" w14:textId="77777777" w:rsidR="00772179" w:rsidRDefault="00000000">
      <w:pPr>
        <w:pStyle w:val="pheading"/>
      </w:pPr>
      <w:r>
        <w:t>- Prescriptions complémentaires</w:t>
      </w:r>
    </w:p>
    <w:p w14:paraId="10348A03" w14:textId="77777777" w:rsidR="00772179" w:rsidRDefault="00000000">
      <w:pPr>
        <w:jc w:val="both"/>
      </w:pPr>
      <w:r>
        <w:t>Performances des systèmes VEP suivant la norme</w:t>
      </w:r>
      <w:r>
        <w:rPr>
          <w:rStyle w:val="facultChar"/>
          <w:b/>
          <w:u w:val="single"/>
        </w:rPr>
        <w:t>[NBN B 25-002-1]</w:t>
      </w:r>
    </w:p>
    <w:p w14:paraId="4A9F5275" w14:textId="77777777" w:rsidR="00772179" w:rsidRDefault="00000000">
      <w:pPr>
        <w:pStyle w:val="Author-eListParagraph"/>
        <w:numPr>
          <w:ilvl w:val="0"/>
          <w:numId w:val="453"/>
        </w:numPr>
        <w:jc w:val="both"/>
      </w:pPr>
      <w:r>
        <w:t xml:space="preserve">Performances thermiques : la valeur Ucw est de </w:t>
      </w:r>
      <w:r>
        <w:rPr>
          <w:rStyle w:val="optioncarChar"/>
        </w:rPr>
        <w:t xml:space="preserve">0,85 </w:t>
      </w:r>
      <w:r>
        <w:t xml:space="preserve">(par défaut) </w:t>
      </w:r>
      <w:r>
        <w:rPr>
          <w:rStyle w:val="optioncarChar"/>
        </w:rPr>
        <w:t>/ 0,65 / ***</w:t>
      </w:r>
      <w:r>
        <w:t xml:space="preserve"> W/m²K</w:t>
      </w:r>
    </w:p>
    <w:p w14:paraId="5D2B2346" w14:textId="77777777" w:rsidR="00772179" w:rsidRDefault="00000000">
      <w:pPr>
        <w:pStyle w:val="Author-eListParagraph"/>
        <w:numPr>
          <w:ilvl w:val="0"/>
          <w:numId w:val="453"/>
        </w:numPr>
        <w:jc w:val="both"/>
      </w:pPr>
      <w:r>
        <w:t xml:space="preserve">Perméabilité à l’air : </w:t>
      </w:r>
      <w:r>
        <w:rPr>
          <w:rStyle w:val="optioncarChar"/>
        </w:rPr>
        <w:t xml:space="preserve">Classe A4 </w:t>
      </w:r>
      <w:r>
        <w:t>(par défaut)</w:t>
      </w:r>
      <w:r>
        <w:rPr>
          <w:rStyle w:val="optioncarChar"/>
        </w:rPr>
        <w:t xml:space="preserve"> / ***</w:t>
      </w:r>
    </w:p>
    <w:p w14:paraId="5AF52D4A" w14:textId="77777777" w:rsidR="00772179" w:rsidRDefault="00000000">
      <w:pPr>
        <w:pStyle w:val="Author-eListParagraph"/>
        <w:numPr>
          <w:ilvl w:val="0"/>
          <w:numId w:val="453"/>
        </w:numPr>
        <w:jc w:val="both"/>
      </w:pPr>
      <w:r>
        <w:t xml:space="preserve">Etanchéité à l’eau de classe </w:t>
      </w:r>
      <w:r>
        <w:rPr>
          <w:rStyle w:val="optioncarChar"/>
        </w:rPr>
        <w:t xml:space="preserve">R7/600Pa </w:t>
      </w:r>
      <w:r>
        <w:t>(par défaut)</w:t>
      </w:r>
      <w:r>
        <w:rPr>
          <w:rStyle w:val="optioncarChar"/>
        </w:rPr>
        <w:t xml:space="preserve"> / ***</w:t>
      </w:r>
    </w:p>
    <w:p w14:paraId="0AD74933" w14:textId="77777777" w:rsidR="00772179" w:rsidRDefault="00000000">
      <w:pPr>
        <w:pStyle w:val="Author-eListParagraph"/>
        <w:numPr>
          <w:ilvl w:val="0"/>
          <w:numId w:val="453"/>
        </w:numPr>
        <w:jc w:val="both"/>
      </w:pPr>
      <w:r>
        <w:t xml:space="preserve">Résistance au vent de Classe </w:t>
      </w:r>
      <w:r>
        <w:rPr>
          <w:rStyle w:val="optioncarChar"/>
        </w:rPr>
        <w:t>w</w:t>
      </w:r>
      <w:r>
        <w:rPr>
          <w:rStyle w:val="optioncarChar"/>
          <w:vertAlign w:val="subscript"/>
        </w:rPr>
        <w:t>k</w:t>
      </w:r>
      <w:r>
        <w:rPr>
          <w:rStyle w:val="optioncarChar"/>
        </w:rPr>
        <w:t xml:space="preserve"> = 1200 Pa/ w</w:t>
      </w:r>
      <w:r>
        <w:rPr>
          <w:rStyle w:val="optioncarChar"/>
          <w:vertAlign w:val="subscript"/>
        </w:rPr>
        <w:t>u</w:t>
      </w:r>
      <w:r>
        <w:rPr>
          <w:rStyle w:val="optioncarChar"/>
        </w:rPr>
        <w:t xml:space="preserve"> = 1800 Pa</w:t>
      </w:r>
      <w:r>
        <w:t xml:space="preserve"> (par défaut) </w:t>
      </w:r>
      <w:r>
        <w:rPr>
          <w:rStyle w:val="optioncarChar"/>
        </w:rPr>
        <w:t>/ ***</w:t>
      </w:r>
    </w:p>
    <w:p w14:paraId="001FF0CA" w14:textId="77777777" w:rsidR="00772179" w:rsidRDefault="00000000">
      <w:pPr>
        <w:pStyle w:val="Author-eListParagraph"/>
        <w:numPr>
          <w:ilvl w:val="0"/>
          <w:numId w:val="453"/>
        </w:numPr>
        <w:jc w:val="both"/>
      </w:pPr>
      <w:r>
        <w:t xml:space="preserve">Efforts de manœuvre des parties ouvrantes de classe </w:t>
      </w:r>
      <w:r>
        <w:rPr>
          <w:rStyle w:val="optioncarChar"/>
        </w:rPr>
        <w:t>1</w:t>
      </w:r>
      <w:r>
        <w:t xml:space="preserve"> (par défaut)</w:t>
      </w:r>
      <w:r>
        <w:rPr>
          <w:rStyle w:val="optioncarChar"/>
        </w:rPr>
        <w:t xml:space="preserve"> / 2 (PMR) / ***</w:t>
      </w:r>
    </w:p>
    <w:p w14:paraId="64651EE4" w14:textId="77777777" w:rsidR="00772179" w:rsidRDefault="00000000">
      <w:pPr>
        <w:pStyle w:val="Author-eListParagraph"/>
        <w:numPr>
          <w:ilvl w:val="0"/>
          <w:numId w:val="453"/>
        </w:numPr>
        <w:jc w:val="both"/>
      </w:pPr>
      <w:r>
        <w:lastRenderedPageBreak/>
        <w:t xml:space="preserve">Abus d’utilisation des parties ouvrantes de classe </w:t>
      </w:r>
      <w:r>
        <w:rPr>
          <w:rStyle w:val="optioncarChar"/>
        </w:rPr>
        <w:t xml:space="preserve">3 </w:t>
      </w:r>
      <w:r>
        <w:t>(par défaut)</w:t>
      </w:r>
      <w:r>
        <w:rPr>
          <w:rStyle w:val="optioncarChar"/>
        </w:rPr>
        <w:t xml:space="preserve"> / 4 (écoles, bâtiments publics) / ***</w:t>
      </w:r>
    </w:p>
    <w:p w14:paraId="165F02CC" w14:textId="77777777" w:rsidR="00772179" w:rsidRDefault="00000000">
      <w:pPr>
        <w:pStyle w:val="Author-eListParagraph"/>
        <w:numPr>
          <w:ilvl w:val="0"/>
          <w:numId w:val="453"/>
        </w:numPr>
        <w:jc w:val="both"/>
      </w:pPr>
      <w:r>
        <w:t xml:space="preserve">Performances acoustiques : D Atr &gt; </w:t>
      </w:r>
      <w:r>
        <w:rPr>
          <w:rStyle w:val="optioncarChar"/>
        </w:rPr>
        <w:t xml:space="preserve">38 </w:t>
      </w:r>
      <w:r>
        <w:t>(par défaut)</w:t>
      </w:r>
      <w:r>
        <w:rPr>
          <w:rStyle w:val="optioncarChar"/>
        </w:rPr>
        <w:t xml:space="preserve"> / *** </w:t>
      </w:r>
      <w:r>
        <w:t>dB</w:t>
      </w:r>
    </w:p>
    <w:p w14:paraId="55FB1889" w14:textId="77777777" w:rsidR="00772179" w:rsidRDefault="00000000">
      <w:pPr>
        <w:pStyle w:val="Author-eListParagraph"/>
        <w:numPr>
          <w:ilvl w:val="0"/>
          <w:numId w:val="453"/>
        </w:numPr>
        <w:jc w:val="both"/>
      </w:pPr>
      <w:r>
        <w:t xml:space="preserve">Résistance à l’effraction : </w:t>
      </w:r>
      <w:r>
        <w:rPr>
          <w:rStyle w:val="optioncarChar"/>
        </w:rPr>
        <w:t xml:space="preserve">Classe RC 2 </w:t>
      </w:r>
      <w:r>
        <w:t>(par défaut)</w:t>
      </w:r>
      <w:r>
        <w:rPr>
          <w:rStyle w:val="optioncarChar"/>
        </w:rPr>
        <w:t xml:space="preserve"> / ***</w:t>
      </w:r>
    </w:p>
    <w:p w14:paraId="1CE9241A" w14:textId="77777777" w:rsidR="00772179" w:rsidRDefault="00000000">
      <w:pPr>
        <w:pStyle w:val="Author-eListParagraph"/>
        <w:numPr>
          <w:ilvl w:val="0"/>
          <w:numId w:val="453"/>
        </w:numPr>
        <w:jc w:val="both"/>
      </w:pPr>
      <w:r>
        <w:t xml:space="preserve">Résistance à l’explosion : </w:t>
      </w:r>
      <w:r>
        <w:rPr>
          <w:rStyle w:val="optioncarChar"/>
        </w:rPr>
        <w:t xml:space="preserve">non spécifié </w:t>
      </w:r>
      <w:r>
        <w:t xml:space="preserve">(par défaut) </w:t>
      </w:r>
      <w:r>
        <w:rPr>
          <w:rStyle w:val="optioncarChar"/>
        </w:rPr>
        <w:t>/ ***</w:t>
      </w:r>
    </w:p>
    <w:p w14:paraId="371AB53D" w14:textId="77777777" w:rsidR="00772179" w:rsidRDefault="00000000">
      <w:pPr>
        <w:pStyle w:val="Author-eListParagraph"/>
        <w:numPr>
          <w:ilvl w:val="0"/>
          <w:numId w:val="453"/>
        </w:numPr>
        <w:jc w:val="both"/>
      </w:pPr>
      <w:r>
        <w:t xml:space="preserve">Résistance aux balles : </w:t>
      </w:r>
      <w:r>
        <w:rPr>
          <w:rStyle w:val="optioncarChar"/>
        </w:rPr>
        <w:t>non spécifié </w:t>
      </w:r>
      <w:r>
        <w:t>(par défaut) </w:t>
      </w:r>
      <w:r>
        <w:rPr>
          <w:rStyle w:val="optioncarChar"/>
        </w:rPr>
        <w:t>/ ***</w:t>
      </w:r>
    </w:p>
    <w:p w14:paraId="16A7BD0E" w14:textId="77777777" w:rsidR="00772179" w:rsidRDefault="00000000">
      <w:pPr>
        <w:pStyle w:val="Author-eListParagraph"/>
        <w:numPr>
          <w:ilvl w:val="0"/>
          <w:numId w:val="453"/>
        </w:numPr>
        <w:jc w:val="both"/>
      </w:pPr>
      <w:r>
        <w:t xml:space="preserve">Résistance et réaction au feu : </w:t>
      </w:r>
      <w:r>
        <w:rPr>
          <w:rStyle w:val="optioncarChar"/>
        </w:rPr>
        <w:t>non spécifié </w:t>
      </w:r>
      <w:r>
        <w:t>(par défaut) </w:t>
      </w:r>
      <w:r>
        <w:rPr>
          <w:rStyle w:val="optioncarChar"/>
        </w:rPr>
        <w:t>/ ***</w:t>
      </w:r>
    </w:p>
    <w:p w14:paraId="3C0C7809" w14:textId="77777777" w:rsidR="00772179" w:rsidRDefault="00000000">
      <w:pPr>
        <w:pStyle w:val="Author-eListParagraph"/>
        <w:numPr>
          <w:ilvl w:val="0"/>
          <w:numId w:val="453"/>
        </w:numPr>
        <w:jc w:val="both"/>
      </w:pPr>
      <w:r>
        <w:t xml:space="preserve">Résistance aux chocs : </w:t>
      </w:r>
      <w:r>
        <w:rPr>
          <w:rStyle w:val="optioncarChar"/>
        </w:rPr>
        <w:t>Classes E4/I3</w:t>
      </w:r>
      <w:r>
        <w:t xml:space="preserve"> (par défaut)</w:t>
      </w:r>
      <w:r>
        <w:rPr>
          <w:rStyle w:val="optioncarChar"/>
        </w:rPr>
        <w:t xml:space="preserve"> / ***</w:t>
      </w:r>
    </w:p>
    <w:p w14:paraId="4565C2B7" w14:textId="77777777" w:rsidR="00772179" w:rsidRDefault="00000000">
      <w:r>
        <w:t>Types de fenêtres et portes-fenêtres</w:t>
      </w:r>
    </w:p>
    <w:p w14:paraId="6BEBD153" w14:textId="77777777" w:rsidR="00772179" w:rsidRDefault="00000000">
      <w:r>
        <w:t xml:space="preserve">(Voir titre </w:t>
      </w:r>
      <w:hyperlink w:anchor="64" w:history="1">
        <w:r>
          <w:rPr>
            <w:color w:val="0000EE"/>
          </w:rPr>
          <w:t>41.1 Fenêtres et portes-fenêtres</w:t>
        </w:r>
      </w:hyperlink>
      <w:r>
        <w:t>)</w:t>
      </w:r>
    </w:p>
    <w:p w14:paraId="50CA5E1A" w14:textId="77777777" w:rsidR="00772179" w:rsidRDefault="00000000">
      <w:pPr>
        <w:jc w:val="both"/>
      </w:pPr>
      <w:r>
        <w:t xml:space="preserve">Dimensions : </w:t>
      </w:r>
      <w:r>
        <w:rPr>
          <w:rStyle w:val="optioncarChar"/>
        </w:rPr>
        <w:t xml:space="preserve">*** </w:t>
      </w:r>
      <w:r>
        <w:t xml:space="preserve"> x </w:t>
      </w:r>
      <w:r>
        <w:rPr>
          <w:rStyle w:val="optioncarChar"/>
        </w:rPr>
        <w:t xml:space="preserve"> ***</w:t>
      </w:r>
      <w:r>
        <w:t xml:space="preserve"> mm </w:t>
      </w:r>
    </w:p>
    <w:p w14:paraId="7E88FC82" w14:textId="77777777" w:rsidR="00772179" w:rsidRDefault="00000000">
      <w:pPr>
        <w:jc w:val="both"/>
      </w:pPr>
      <w:r>
        <w:t xml:space="preserve"> Remplissage </w:t>
      </w:r>
      <w:r>
        <w:rPr>
          <w:rStyle w:val="facultChar"/>
        </w:rPr>
        <w:t xml:space="preserve">: </w:t>
      </w:r>
      <w:r>
        <w:rPr>
          <w:rStyle w:val="optioncarChar"/>
        </w:rPr>
        <w:t>***</w:t>
      </w:r>
      <w:r>
        <w:rPr>
          <w:rStyle w:val="facultChar"/>
        </w:rPr>
        <w:t xml:space="preserve"> (Voir section </w:t>
      </w:r>
      <w:hyperlink w:anchor="852" w:history="1">
        <w:r>
          <w:rPr>
            <w:rStyle w:val="facultChar"/>
            <w:color w:val="0000EE"/>
          </w:rPr>
          <w:t>42 Vitrages extérieurs et éléments de remplissage</w:t>
        </w:r>
      </w:hyperlink>
      <w:r>
        <w:rPr>
          <w:rStyle w:val="facultChar"/>
        </w:rPr>
        <w:t>)</w:t>
      </w:r>
    </w:p>
    <w:p w14:paraId="684C0B19" w14:textId="77777777" w:rsidR="00772179" w:rsidRDefault="00000000">
      <w:pPr>
        <w:jc w:val="both"/>
      </w:pPr>
      <w:r>
        <w:t xml:space="preserve"> Type d’ouvrant : </w:t>
      </w:r>
      <w:r>
        <w:rPr>
          <w:rStyle w:val="optioncarChar"/>
        </w:rPr>
        <w:t>battant / oscillo-battantes / basculant / projetant / pivotant / ***</w:t>
      </w:r>
      <w:r>
        <w:rPr>
          <w:rStyle w:val="facultChar"/>
        </w:rPr>
        <w:t>.</w:t>
      </w:r>
    </w:p>
    <w:p w14:paraId="4852B24C" w14:textId="77777777" w:rsidR="00772179" w:rsidRDefault="00000000">
      <w:pPr>
        <w:jc w:val="both"/>
      </w:pPr>
      <w:r>
        <w:t xml:space="preserve"> Quincaillerie : </w:t>
      </w:r>
      <w:r>
        <w:rPr>
          <w:rStyle w:val="facultChar"/>
        </w:rPr>
        <w:t xml:space="preserve">(voir sous-titre </w:t>
      </w:r>
      <w:hyperlink w:anchor="884" w:history="1">
        <w:r>
          <w:rPr>
            <w:rStyle w:val="facultChar"/>
            <w:color w:val="0000EE"/>
          </w:rPr>
          <w:t>41.72 Quincailleries</w:t>
        </w:r>
      </w:hyperlink>
      <w:r>
        <w:rPr>
          <w:rStyle w:val="facultChar"/>
        </w:rPr>
        <w:t>) </w:t>
      </w:r>
    </w:p>
    <w:p w14:paraId="278EDCE3" w14:textId="77777777" w:rsidR="00772179" w:rsidRDefault="00000000">
      <w:r>
        <w:t>Nuances de teintes du verre recuit</w:t>
      </w:r>
    </w:p>
    <w:p w14:paraId="2EBCAAAF" w14:textId="77777777" w:rsidR="00772179" w:rsidRDefault="00000000">
      <w:r>
        <w:rPr>
          <w:rStyle w:val="facultChar"/>
        </w:rPr>
        <w:t xml:space="preserve">(Voir section </w:t>
      </w:r>
      <w:hyperlink w:anchor="852" w:history="1">
        <w:r>
          <w:rPr>
            <w:rStyle w:val="facultChar"/>
            <w:color w:val="0000EE"/>
          </w:rPr>
          <w:t>42 Vitrages extérieurs et éléments de remplissage</w:t>
        </w:r>
      </w:hyperlink>
      <w:r>
        <w:rPr>
          <w:rStyle w:val="facultChar"/>
        </w:rPr>
        <w:t>)</w:t>
      </w:r>
    </w:p>
    <w:p w14:paraId="16ECDA96" w14:textId="77777777" w:rsidR="00772179" w:rsidRDefault="00000000">
      <w:pPr>
        <w:pStyle w:val="pheading"/>
      </w:pPr>
      <w:r>
        <w:t>EXÉCUTION / MISE EN ŒUVRE</w:t>
      </w:r>
    </w:p>
    <w:p w14:paraId="178A6C42" w14:textId="77777777" w:rsidR="00772179" w:rsidRDefault="00000000">
      <w:pPr>
        <w:pStyle w:val="pheading"/>
      </w:pPr>
      <w:r>
        <w:t>- Prescriptions générales</w:t>
      </w:r>
    </w:p>
    <w:p w14:paraId="3467E98F" w14:textId="77777777" w:rsidR="00772179" w:rsidRDefault="00000000">
      <w:pPr>
        <w:jc w:val="both"/>
      </w:pPr>
      <w:r>
        <w:t xml:space="preserve">Le calcul de la stabilité des différents éléments est du ressort </w:t>
      </w:r>
      <w:r>
        <w:rPr>
          <w:rStyle w:val="optioncarChar"/>
        </w:rPr>
        <w:t>du façadier / du bureau d’étude</w:t>
      </w:r>
      <w:r>
        <w:t>.</w:t>
      </w:r>
    </w:p>
    <w:p w14:paraId="1177D4AA" w14:textId="77777777" w:rsidR="00772179" w:rsidRDefault="00000000">
      <w:pPr>
        <w:jc w:val="both"/>
      </w:pPr>
      <w:r>
        <w:t>Les opérations de pose sur chantier se résument exclusivement à des opérations d’assemblage.</w:t>
      </w:r>
    </w:p>
    <w:p w14:paraId="3D263CB3" w14:textId="77777777" w:rsidR="00772179" w:rsidRDefault="00000000">
      <w:pPr>
        <w:jc w:val="both"/>
      </w:pPr>
      <w:r>
        <w:t>Les principales opérations de mise en œuvre (pas nécessairement dans un ordre chronologique) sont les suivantes :</w:t>
      </w:r>
    </w:p>
    <w:p w14:paraId="7EF368AE" w14:textId="77777777" w:rsidR="00772179" w:rsidRDefault="00000000">
      <w:pPr>
        <w:pStyle w:val="Author-eListParagraph"/>
        <w:numPr>
          <w:ilvl w:val="0"/>
          <w:numId w:val="454"/>
        </w:numPr>
      </w:pPr>
      <w:r>
        <w:t>Les fixations sont installées complètement ou partiellement selon les dimensions de la façade. La position et la nature des fixations ne sont pas improvisées. Elles font l’objet d’un calepinage précis.</w:t>
      </w:r>
    </w:p>
    <w:p w14:paraId="5B03CA41" w14:textId="77777777" w:rsidR="00772179" w:rsidRDefault="00000000">
      <w:pPr>
        <w:pStyle w:val="Author-eListParagraph"/>
        <w:numPr>
          <w:ilvl w:val="0"/>
          <w:numId w:val="454"/>
        </w:numPr>
      </w:pPr>
      <w:r>
        <w:t>Les montants sont fixés aux attaches fixes et libres. Les grilles des façades rideaux sont en effet fixées au gros œuvre par des liaisons de type articulation ou appui simple sur les montants verticaux. Au niveau mécanique, un montant est fixé au minimum sur deux appuis :</w:t>
      </w:r>
    </w:p>
    <w:p w14:paraId="3B7300F2" w14:textId="77777777" w:rsidR="00772179" w:rsidRDefault="00000000">
      <w:pPr>
        <w:pStyle w:val="Author-eListParagraph"/>
        <w:numPr>
          <w:ilvl w:val="1"/>
          <w:numId w:val="456"/>
        </w:numPr>
      </w:pPr>
      <w:r>
        <w:t>Une attache fixe qui transmet l’ensemble des charges de pesanteur et une partie des actions horizontales (de vent essentiellement) à la structure (gros œuvre)</w:t>
      </w:r>
    </w:p>
    <w:p w14:paraId="45F81BE1" w14:textId="77777777" w:rsidR="00772179" w:rsidRDefault="00000000">
      <w:pPr>
        <w:pStyle w:val="Author-eListParagraph"/>
        <w:numPr>
          <w:ilvl w:val="1"/>
          <w:numId w:val="456"/>
        </w:numPr>
      </w:pPr>
      <w:r>
        <w:t>Une attache libre qui transmet l’autre partie des actions horizontales à la structure (gros œuvre)</w:t>
      </w:r>
    </w:p>
    <w:p w14:paraId="5A526A04" w14:textId="77777777" w:rsidR="00772179" w:rsidRDefault="00000000">
      <w:pPr>
        <w:ind w:left="567"/>
        <w:jc w:val="both"/>
      </w:pPr>
      <w:r>
        <w:t>Les dispositifs de liaison sont composés de 3 éléments :</w:t>
      </w:r>
    </w:p>
    <w:p w14:paraId="26BA0F25" w14:textId="77777777" w:rsidR="00772179" w:rsidRDefault="00000000">
      <w:pPr>
        <w:pStyle w:val="Author-eListParagraph"/>
        <w:numPr>
          <w:ilvl w:val="1"/>
          <w:numId w:val="458"/>
        </w:numPr>
      </w:pPr>
      <w:r>
        <w:t xml:space="preserve">L’attache : en </w:t>
      </w:r>
      <w:r>
        <w:rPr>
          <w:rStyle w:val="optioncarChar"/>
        </w:rPr>
        <w:t>acier galvanisé</w:t>
      </w:r>
      <w:r>
        <w:t xml:space="preserve"> (par défaut)</w:t>
      </w:r>
      <w:r>
        <w:rPr>
          <w:rStyle w:val="optioncarChar"/>
        </w:rPr>
        <w:t xml:space="preserve"> / alliage d’aluminium / ***</w:t>
      </w:r>
      <w:r>
        <w:t xml:space="preserve"> et réalisée par </w:t>
      </w:r>
      <w:r>
        <w:rPr>
          <w:rStyle w:val="optioncarChar"/>
        </w:rPr>
        <w:t xml:space="preserve">moulage </w:t>
      </w:r>
      <w:r>
        <w:t>(par défaut)</w:t>
      </w:r>
      <w:r>
        <w:rPr>
          <w:rStyle w:val="optioncarChar"/>
        </w:rPr>
        <w:t xml:space="preserve"> / pliage / soudage / ***</w:t>
      </w:r>
    </w:p>
    <w:p w14:paraId="4AE3C34D" w14:textId="77777777" w:rsidR="00772179" w:rsidRDefault="00000000">
      <w:pPr>
        <w:pStyle w:val="Author-eListParagraph"/>
        <w:numPr>
          <w:ilvl w:val="1"/>
          <w:numId w:val="458"/>
        </w:numPr>
      </w:pPr>
      <w:r>
        <w:t xml:space="preserve">L’ancrage : </w:t>
      </w:r>
      <w:r>
        <w:rPr>
          <w:rStyle w:val="optioncarChar"/>
        </w:rPr>
        <w:t xml:space="preserve">douilles </w:t>
      </w:r>
      <w:r>
        <w:t xml:space="preserve">(par défaut) </w:t>
      </w:r>
      <w:r>
        <w:rPr>
          <w:rStyle w:val="optioncarChar"/>
        </w:rPr>
        <w:t>/ rails / chevilles / ***</w:t>
      </w:r>
    </w:p>
    <w:p w14:paraId="1EC8380B" w14:textId="77777777" w:rsidR="00772179" w:rsidRDefault="00000000">
      <w:pPr>
        <w:pStyle w:val="Author-eListParagraph"/>
        <w:numPr>
          <w:ilvl w:val="1"/>
          <w:numId w:val="458"/>
        </w:numPr>
      </w:pPr>
      <w:r>
        <w:t xml:space="preserve">La ou les fixations : </w:t>
      </w:r>
      <w:r>
        <w:rPr>
          <w:rStyle w:val="optioncarChar"/>
        </w:rPr>
        <w:t xml:space="preserve">boulons en acier galvanisé </w:t>
      </w:r>
      <w:r>
        <w:t>(par défaut)</w:t>
      </w:r>
      <w:r>
        <w:rPr>
          <w:rStyle w:val="optioncarChar"/>
        </w:rPr>
        <w:t xml:space="preserve"> / ***</w:t>
      </w:r>
      <w:r>
        <w:t>.</w:t>
      </w:r>
    </w:p>
    <w:p w14:paraId="021AB406" w14:textId="77777777" w:rsidR="00772179" w:rsidRDefault="00000000">
      <w:pPr>
        <w:ind w:left="567"/>
        <w:jc w:val="both"/>
      </w:pPr>
      <w:r>
        <w:t>Ils permettent un réglage de la façade dans les 3 directions.</w:t>
      </w:r>
    </w:p>
    <w:p w14:paraId="5578FC3B" w14:textId="77777777" w:rsidR="00772179" w:rsidRDefault="00000000">
      <w:pPr>
        <w:ind w:left="567"/>
        <w:jc w:val="both"/>
      </w:pPr>
      <w:r>
        <w:t xml:space="preserve">Selon la nature des efforts (poids et vent) à transmettre et les dimensions de la façade, les organes de fixation sont de formes variées : les fixations sont </w:t>
      </w:r>
      <w:r>
        <w:rPr>
          <w:rStyle w:val="optioncarChar"/>
        </w:rPr>
        <w:t>équerres </w:t>
      </w:r>
      <w:r>
        <w:t xml:space="preserve">(par défaut) </w:t>
      </w:r>
      <w:r>
        <w:rPr>
          <w:rStyle w:val="optioncarChar"/>
        </w:rPr>
        <w:t>/ doubles équerres / en T / ***</w:t>
      </w:r>
      <w:r>
        <w:t>.</w:t>
      </w:r>
    </w:p>
    <w:p w14:paraId="1D714A2A" w14:textId="77777777" w:rsidR="00772179" w:rsidRDefault="00000000">
      <w:pPr>
        <w:ind w:left="567"/>
        <w:jc w:val="both"/>
      </w:pPr>
      <w:r>
        <w:t>La précision à apporter au réglage des attaches des façades VEP impose au préalable une réception du support du gros œuvre.</w:t>
      </w:r>
    </w:p>
    <w:p w14:paraId="1E36F8DD" w14:textId="77777777" w:rsidR="00772179" w:rsidRDefault="00000000">
      <w:pPr>
        <w:pStyle w:val="Author-eListParagraph"/>
        <w:numPr>
          <w:ilvl w:val="0"/>
          <w:numId w:val="459"/>
        </w:numPr>
      </w:pPr>
      <w:r>
        <w:t>Les traverses sont fixées aux montants (système pénétrant ou percutant). Les garnitures d’étanchéité sont installées.</w:t>
      </w:r>
    </w:p>
    <w:p w14:paraId="3DF5F454" w14:textId="77777777" w:rsidR="00772179" w:rsidRDefault="00000000">
      <w:pPr>
        <w:pStyle w:val="Author-eListParagraph"/>
        <w:numPr>
          <w:ilvl w:val="0"/>
          <w:numId w:val="459"/>
        </w:numPr>
      </w:pPr>
      <w:r>
        <w:lastRenderedPageBreak/>
        <w:t>Les éléments de remplissage VEP sont installés, l’étanchéité et le calfeutrement sont réalisés à l’avance.</w:t>
      </w:r>
    </w:p>
    <w:p w14:paraId="1FAAFD47" w14:textId="77777777" w:rsidR="00772179" w:rsidRDefault="00000000">
      <w:pPr>
        <w:pStyle w:val="Author-eListParagraph"/>
        <w:numPr>
          <w:ilvl w:val="0"/>
          <w:numId w:val="459"/>
        </w:numPr>
      </w:pPr>
      <w:r>
        <w:t>Lorsque la hauteur de la façade nécessite la superposition de plusieurs profilés, la pose s’effectue de bas en haut (emboîtement des profilés et reprise de dilatation).</w:t>
      </w:r>
    </w:p>
    <w:p w14:paraId="7DC3608F" w14:textId="77777777" w:rsidR="00772179" w:rsidRDefault="00000000">
      <w:pPr>
        <w:jc w:val="both"/>
      </w:pPr>
      <w:r>
        <w:rPr>
          <w:b/>
        </w:rPr>
        <w:t>Entretien et inspection</w:t>
      </w:r>
    </w:p>
    <w:p w14:paraId="4B5C5100" w14:textId="77777777" w:rsidR="00772179" w:rsidRDefault="00000000">
      <w:pPr>
        <w:jc w:val="both"/>
      </w:pPr>
      <w:r>
        <w:t>Les vitrages extérieurs parclosés sont correctement entretenus. L’entretien comprend un lavage général avec des produits de nettoyage appropriés.</w:t>
      </w:r>
    </w:p>
    <w:p w14:paraId="2F9C3B00" w14:textId="77777777" w:rsidR="00772179" w:rsidRDefault="00000000">
      <w:pPr>
        <w:jc w:val="both"/>
      </w:pPr>
      <w:r>
        <w:t>Il est en outre conseillé de procéder à une inspection annuelle des joints.</w:t>
      </w:r>
    </w:p>
    <w:p w14:paraId="17904C37" w14:textId="77777777" w:rsidR="00772179" w:rsidRDefault="00772179"/>
    <w:p w14:paraId="15C88BF6" w14:textId="77777777" w:rsidR="00772179" w:rsidRDefault="00000000">
      <w:pPr>
        <w:pStyle w:val="pheading"/>
      </w:pPr>
      <w:r>
        <w:t>DOCUMENTS DE RÉFÉRENCE COMPLÉMENTAIRES</w:t>
      </w:r>
    </w:p>
    <w:p w14:paraId="49AE15C3" w14:textId="77777777" w:rsidR="00772179" w:rsidRDefault="00000000">
      <w:pPr>
        <w:pStyle w:val="pheading"/>
      </w:pPr>
      <w:r>
        <w:t>- Matériau</w:t>
      </w:r>
    </w:p>
    <w:p w14:paraId="3685B8ED" w14:textId="77777777" w:rsidR="00772179" w:rsidRDefault="00000000">
      <w:r>
        <w:t>[NBN B 25-002-1, Menuiserie extérieure - Partie 1: Prescription des performances générales – Fenêtres et façades rideaux]</w:t>
      </w:r>
    </w:p>
    <w:p w14:paraId="431422D5" w14:textId="77777777" w:rsidR="00772179" w:rsidRDefault="00000000">
      <w:r>
        <w:t>[NBN EN 1096-2, Verre dans la construction - Verre à couche - Partie 2: Exigences et méthodes d'essai pour les couches de classes A, B et S]</w:t>
      </w:r>
    </w:p>
    <w:p w14:paraId="76890AD6" w14:textId="77777777" w:rsidR="00772179" w:rsidRDefault="00000000">
      <w:r>
        <w:t>[NBN EN 13022-2, Verre dans la construction - Système de vitrage extérieur collé (VEC) - Partie 2: Règles d'assemblage]</w:t>
      </w:r>
    </w:p>
    <w:p w14:paraId="02719C32" w14:textId="77777777" w:rsidR="00772179" w:rsidRDefault="00000000">
      <w:r>
        <w:t>[NBN EN 13119, Façades rideaux - Terminologie]</w:t>
      </w:r>
    </w:p>
    <w:p w14:paraId="5B81E5BB" w14:textId="77777777" w:rsidR="00772179" w:rsidRDefault="00000000">
      <w:r>
        <w:t>[NBN EN 13830:2015+A1, Façades rideaux - Norme de produit]</w:t>
      </w:r>
    </w:p>
    <w:p w14:paraId="2157204A" w14:textId="77777777" w:rsidR="00772179" w:rsidRDefault="00000000">
      <w:r>
        <w:t>[NBN S 23-002, Vitrerie]</w:t>
      </w:r>
    </w:p>
    <w:p w14:paraId="267E69D6" w14:textId="77777777" w:rsidR="00772179" w:rsidRDefault="00000000">
      <w:r>
        <w:t>[NBN S 23-002-2, Vitrerie - Partie 2 : Calcul des épaisseurs de verre]</w:t>
      </w:r>
    </w:p>
    <w:p w14:paraId="5AAEFDFF" w14:textId="77777777" w:rsidR="00772179" w:rsidRDefault="00000000">
      <w:r>
        <w:t>[NBN S 23-002-3, Vitrerie - Partie 3 : Calcul des épaisseurs de verre en façade]</w:t>
      </w:r>
    </w:p>
    <w:p w14:paraId="065315E1" w14:textId="77777777" w:rsidR="00772179" w:rsidRDefault="00000000">
      <w:r>
        <w:t>[STS 52.2, Menuiseries extérieures en aluminium]</w:t>
      </w:r>
    </w:p>
    <w:p w14:paraId="3C7AFDFA" w14:textId="77777777" w:rsidR="00772179" w:rsidRDefault="00000000">
      <w:pPr>
        <w:pStyle w:val="pheading"/>
      </w:pPr>
      <w:r>
        <w:t>- Exécution</w:t>
      </w:r>
    </w:p>
    <w:p w14:paraId="556E4439" w14:textId="77777777" w:rsidR="00772179" w:rsidRDefault="00000000">
      <w:r>
        <w:t>[NIT 283, La pose des menuiseries extérieures. Partie 1 : aspects généraux.]</w:t>
      </w:r>
    </w:p>
    <w:p w14:paraId="023C27D6" w14:textId="77777777" w:rsidR="00772179" w:rsidRDefault="00000000">
      <w:pPr>
        <w:ind w:left="750"/>
      </w:pPr>
      <w:r>
        <w:t> </w:t>
      </w:r>
    </w:p>
    <w:p w14:paraId="58D0EA26" w14:textId="77777777" w:rsidR="00772179" w:rsidRDefault="00000000">
      <w:pPr>
        <w:pStyle w:val="pheading"/>
      </w:pPr>
      <w:r>
        <w:t>MESURAGE</w:t>
      </w:r>
    </w:p>
    <w:p w14:paraId="61B3907E" w14:textId="77777777" w:rsidR="00772179" w:rsidRDefault="00000000">
      <w:pPr>
        <w:pStyle w:val="pheading"/>
      </w:pPr>
      <w:r>
        <w:t>- unité de mesure:</w:t>
      </w:r>
    </w:p>
    <w:p w14:paraId="40BB16B4" w14:textId="77777777" w:rsidR="00772179" w:rsidRDefault="00000000">
      <w:r>
        <w:t>m²</w:t>
      </w:r>
    </w:p>
    <w:p w14:paraId="6462C491" w14:textId="77777777" w:rsidR="00772179" w:rsidRDefault="00000000">
      <w:pPr>
        <w:pStyle w:val="pheading"/>
      </w:pPr>
      <w:r>
        <w:t>- code de mesurage:</w:t>
      </w:r>
    </w:p>
    <w:p w14:paraId="3C1BCBF6" w14:textId="77777777" w:rsidR="00772179" w:rsidRDefault="00000000">
      <w:pPr>
        <w:jc w:val="both"/>
      </w:pPr>
      <w:r>
        <w:t>Surface nette en développement des dimensions dans l'œuvre (ventilée selon le type ou le modèle conformément aux indications dans le métré récapitulatif annexé au dossier d'adjudication).</w:t>
      </w:r>
    </w:p>
    <w:p w14:paraId="116C7BAE" w14:textId="77777777" w:rsidR="00772179" w:rsidRDefault="00000000">
      <w:pPr>
        <w:pStyle w:val="pheading"/>
      </w:pPr>
      <w:r>
        <w:t>- nature du marché:</w:t>
      </w:r>
    </w:p>
    <w:p w14:paraId="09D1777D" w14:textId="77777777" w:rsidR="00772179" w:rsidRDefault="00000000">
      <w:r>
        <w:t>QF</w:t>
      </w:r>
    </w:p>
    <w:p w14:paraId="43E1AF81" w14:textId="77777777" w:rsidR="00772179" w:rsidRDefault="00000000">
      <w:pPr>
        <w:pStyle w:val="pheading"/>
      </w:pPr>
      <w:r>
        <w:t>AIDE</w:t>
      </w:r>
    </w:p>
    <w:p w14:paraId="4416D170" w14:textId="77777777" w:rsidR="00772179" w:rsidRDefault="00000000">
      <w:pPr>
        <w:jc w:val="both"/>
      </w:pPr>
      <w:r>
        <w:t xml:space="preserve">Ce type de façade est très proche de la façade VEC (Sous-titre </w:t>
      </w:r>
      <w:hyperlink w:anchor="917" w:history="1">
        <w:r>
          <w:rPr>
            <w:color w:val="0000EE"/>
          </w:rPr>
          <w:t>41.42 Systèmes de façade VEC (vitrage extérieur collé)</w:t>
        </w:r>
      </w:hyperlink>
      <w:r>
        <w:t>) dont l’enveloppe extérieure est constituée de vitrages collés sur des cadres ouvrants ou dormants. La façade VEC se caractérise par son aspect extérieur complètement lisse au contraire de la façade VEP qui présente plutôt un aspect de cadres ou de ‘damier’ du fait des parcloses horizontales et verticales séparées par des joints creux.</w:t>
      </w:r>
    </w:p>
    <w:p w14:paraId="3A6D8CE8" w14:textId="77777777" w:rsidR="00772179" w:rsidRDefault="00000000">
      <w:pPr>
        <w:pStyle w:val="Author-eSectionHeading5Numberless"/>
      </w:pPr>
      <w:bookmarkStart w:id="193" w:name="_Toc220489936"/>
      <w:r>
        <w:t>41.41.4 Systèmes de façade VEP - structure mixte CCTB 01.02</w:t>
      </w:r>
      <w:bookmarkEnd w:id="193"/>
    </w:p>
    <w:p w14:paraId="17C3643E" w14:textId="77777777" w:rsidR="00772179" w:rsidRDefault="00000000">
      <w:pPr>
        <w:pStyle w:val="Author-eSectionHeading6Numberless"/>
      </w:pPr>
      <w:bookmarkStart w:id="194" w:name="_Toc220489937"/>
      <w:r>
        <w:t>41.41.4a Systèmes de façade VEP - structure mixte</w:t>
      </w:r>
      <w:bookmarkEnd w:id="194"/>
    </w:p>
    <w:p w14:paraId="3DE96EB2" w14:textId="77777777" w:rsidR="00772179" w:rsidRDefault="00000000">
      <w:pPr>
        <w:pStyle w:val="Author-eSectionHeading4Numberless"/>
      </w:pPr>
      <w:bookmarkStart w:id="195" w:name="_Toc220489938"/>
      <w:r>
        <w:lastRenderedPageBreak/>
        <w:t>41.42 Systèmes de façade VEC (vitrage extérieur collé) CCTB 01.12</w:t>
      </w:r>
      <w:bookmarkEnd w:id="195"/>
    </w:p>
    <w:p w14:paraId="3F488A24" w14:textId="77777777" w:rsidR="00772179" w:rsidRDefault="00000000">
      <w:pPr>
        <w:pStyle w:val="pheading"/>
      </w:pPr>
      <w:bookmarkStart w:id="196" w:name="917"/>
      <w:bookmarkEnd w:id="196"/>
      <w:r>
        <w:t>DESCRIPTION</w:t>
      </w:r>
    </w:p>
    <w:p w14:paraId="5CE85AFF" w14:textId="77777777" w:rsidR="00772179" w:rsidRDefault="00000000">
      <w:pPr>
        <w:pStyle w:val="pheading"/>
      </w:pPr>
      <w:r>
        <w:t>- Définition / Comprend</w:t>
      </w:r>
    </w:p>
    <w:p w14:paraId="58F7D342" w14:textId="77777777" w:rsidR="00772179" w:rsidRDefault="00000000">
      <w:pPr>
        <w:jc w:val="both"/>
      </w:pPr>
      <w:r>
        <w:t>Il s’agit de la fourniture et la pose de façades VEC (vitrage extérieur collé).</w:t>
      </w:r>
    </w:p>
    <w:p w14:paraId="36707706" w14:textId="77777777" w:rsidR="00772179" w:rsidRDefault="00000000">
      <w:pPr>
        <w:jc w:val="both"/>
      </w:pPr>
      <w:r>
        <w:t>Le travail comprend notamment :</w:t>
      </w:r>
    </w:p>
    <w:p w14:paraId="1392F82D" w14:textId="77777777" w:rsidR="00772179" w:rsidRDefault="00000000">
      <w:pPr>
        <w:pStyle w:val="Author-eListParagraph"/>
        <w:numPr>
          <w:ilvl w:val="0"/>
          <w:numId w:val="460"/>
        </w:numPr>
        <w:jc w:val="both"/>
      </w:pPr>
      <w:r>
        <w:t>la vérification sur place des dimensions du gros œuvre ;</w:t>
      </w:r>
    </w:p>
    <w:p w14:paraId="08478568" w14:textId="77777777" w:rsidR="00772179" w:rsidRDefault="00000000">
      <w:pPr>
        <w:pStyle w:val="Author-eListParagraph"/>
        <w:numPr>
          <w:ilvl w:val="0"/>
          <w:numId w:val="460"/>
        </w:numPr>
        <w:jc w:val="both"/>
      </w:pPr>
      <w:r>
        <w:t>l’établissement des plans d’exécution et notes de calculs ;</w:t>
      </w:r>
    </w:p>
    <w:p w14:paraId="3AD59CF4" w14:textId="77777777" w:rsidR="00772179" w:rsidRDefault="00000000">
      <w:pPr>
        <w:pStyle w:val="Author-eListParagraph"/>
        <w:numPr>
          <w:ilvl w:val="0"/>
          <w:numId w:val="460"/>
        </w:numPr>
        <w:jc w:val="both"/>
      </w:pPr>
      <w:r>
        <w:t>la mise au point des plans et détails d’exécution ;</w:t>
      </w:r>
    </w:p>
    <w:p w14:paraId="2FF322FE" w14:textId="77777777" w:rsidR="00772179" w:rsidRDefault="00000000">
      <w:pPr>
        <w:pStyle w:val="Author-eListParagraph"/>
        <w:numPr>
          <w:ilvl w:val="0"/>
          <w:numId w:val="460"/>
        </w:numPr>
        <w:jc w:val="both"/>
      </w:pPr>
      <w:r>
        <w:t>le dimensionnement et la localisation des points de fixation ;</w:t>
      </w:r>
    </w:p>
    <w:p w14:paraId="1D9248C3" w14:textId="77777777" w:rsidR="00772179" w:rsidRDefault="00000000">
      <w:pPr>
        <w:pStyle w:val="Author-eListParagraph"/>
        <w:numPr>
          <w:ilvl w:val="0"/>
          <w:numId w:val="460"/>
        </w:numPr>
        <w:jc w:val="both"/>
      </w:pPr>
      <w:r>
        <w:t>la fabrication en atelier des cadres et ouvrants avec vitrages ;</w:t>
      </w:r>
    </w:p>
    <w:p w14:paraId="0FFE1631" w14:textId="77777777" w:rsidR="00772179" w:rsidRDefault="00000000">
      <w:pPr>
        <w:pStyle w:val="Author-eListParagraph"/>
        <w:numPr>
          <w:ilvl w:val="0"/>
          <w:numId w:val="460"/>
        </w:numPr>
        <w:jc w:val="both"/>
      </w:pPr>
      <w:r>
        <w:t>le montage des systèmes de façade VEC ;</w:t>
      </w:r>
    </w:p>
    <w:p w14:paraId="21A615DE" w14:textId="77777777" w:rsidR="00772179" w:rsidRDefault="00000000">
      <w:pPr>
        <w:pStyle w:val="Author-eListParagraph"/>
        <w:numPr>
          <w:ilvl w:val="0"/>
          <w:numId w:val="460"/>
        </w:numPr>
        <w:jc w:val="both"/>
      </w:pPr>
      <w:r>
        <w:t>la fourniture et réalisation des raccordements d’étanchéité à l’air ;</w:t>
      </w:r>
    </w:p>
    <w:p w14:paraId="7BA1A4BC" w14:textId="77777777" w:rsidR="00772179" w:rsidRDefault="00000000">
      <w:pPr>
        <w:pStyle w:val="Author-eListParagraph"/>
        <w:numPr>
          <w:ilvl w:val="0"/>
          <w:numId w:val="460"/>
        </w:numPr>
        <w:jc w:val="both"/>
      </w:pPr>
      <w:r>
        <w:t>la fourniture et réalisation des raccordements à l’étanchéité à l’eau au pied de la façade VEC ;</w:t>
      </w:r>
    </w:p>
    <w:p w14:paraId="0339BE41" w14:textId="77777777" w:rsidR="00772179" w:rsidRDefault="00000000">
      <w:pPr>
        <w:pStyle w:val="Author-eListParagraph"/>
        <w:numPr>
          <w:ilvl w:val="0"/>
          <w:numId w:val="460"/>
        </w:numPr>
        <w:jc w:val="both"/>
      </w:pPr>
      <w:r>
        <w:t>toutes précautions en matière de sécurité conformément au 01.4 Plans de sécurité et de santé ;</w:t>
      </w:r>
    </w:p>
    <w:p w14:paraId="59448420" w14:textId="77777777" w:rsidR="00772179" w:rsidRDefault="00000000">
      <w:pPr>
        <w:pStyle w:val="Author-eListParagraph"/>
        <w:numPr>
          <w:ilvl w:val="0"/>
          <w:numId w:val="460"/>
        </w:numPr>
        <w:jc w:val="both"/>
      </w:pPr>
      <w:r>
        <w:t>l’évacuation des déchets tel que décrit au 07 Déchets, matériaux et éléments réemployables.</w:t>
      </w:r>
    </w:p>
    <w:p w14:paraId="348DA887" w14:textId="77777777" w:rsidR="00772179" w:rsidRDefault="00000000">
      <w:pPr>
        <w:pStyle w:val="pheading"/>
      </w:pPr>
      <w:r>
        <w:t>MATÉRIAUX</w:t>
      </w:r>
    </w:p>
    <w:p w14:paraId="398718E9" w14:textId="77777777" w:rsidR="00772179" w:rsidRDefault="00000000">
      <w:pPr>
        <w:jc w:val="both"/>
      </w:pPr>
      <w:r>
        <w:t>Une façade VEC (vitrage extérieur collé) est une façade réalisée à l’aide de produits verriers constituant l’enveloppe extérieure du bâtiment, mis en œuvre par collage sur un cadre adéquat. Le collage transmet aux éléments d’ossature les charges climatiques et suivant le cas, les charges de poids propres.</w:t>
      </w:r>
    </w:p>
    <w:p w14:paraId="0ED382A2" w14:textId="77777777" w:rsidR="00772179" w:rsidRDefault="00000000">
      <w:pPr>
        <w:jc w:val="both"/>
      </w:pPr>
      <w:r>
        <w:t>Une déclaration d'aptitude suivant le chapitre 02.42.1 Critères d'acceptabilité est imposée à l’ensemble du système de façade VEC.</w:t>
      </w:r>
    </w:p>
    <w:p w14:paraId="6347281D" w14:textId="77777777" w:rsidR="00772179" w:rsidRDefault="00772179">
      <w:pPr>
        <w:jc w:val="both"/>
      </w:pPr>
    </w:p>
    <w:p w14:paraId="3BDAC145" w14:textId="77777777" w:rsidR="00772179" w:rsidRDefault="00000000">
      <w:pPr>
        <w:jc w:val="both"/>
      </w:pPr>
      <w:r>
        <w:rPr>
          <w:b/>
        </w:rPr>
        <w:t>Système VEC :</w:t>
      </w:r>
    </w:p>
    <w:p w14:paraId="52353AA6" w14:textId="77777777" w:rsidR="00772179" w:rsidRDefault="00000000">
      <w:pPr>
        <w:jc w:val="both"/>
      </w:pPr>
      <w:r>
        <w:t>Suivant [ETAG 002-1], 4 conceptions sont possibles :</w:t>
      </w:r>
    </w:p>
    <w:p w14:paraId="5F17D030" w14:textId="77777777" w:rsidR="00772179" w:rsidRDefault="00000000">
      <w:pPr>
        <w:pStyle w:val="Author-eListParagraph"/>
        <w:numPr>
          <w:ilvl w:val="0"/>
          <w:numId w:val="461"/>
        </w:numPr>
      </w:pPr>
      <w:r>
        <w:t>Type I : avec accessoires de reprise du poids propre et avec accessoires de sécurité ;</w:t>
      </w:r>
    </w:p>
    <w:p w14:paraId="2F9AB222" w14:textId="77777777" w:rsidR="00772179" w:rsidRDefault="00000000">
      <w:pPr>
        <w:pStyle w:val="Author-eListParagraph"/>
        <w:numPr>
          <w:ilvl w:val="0"/>
          <w:numId w:val="461"/>
        </w:numPr>
      </w:pPr>
      <w:r>
        <w:t>Type II : avec accessoires de reprise du poids propre et sans accessoire de sécurité ;</w:t>
      </w:r>
    </w:p>
    <w:p w14:paraId="5CB07D05" w14:textId="77777777" w:rsidR="00772179" w:rsidRDefault="00000000">
      <w:pPr>
        <w:pStyle w:val="Author-eListParagraph"/>
        <w:numPr>
          <w:ilvl w:val="0"/>
          <w:numId w:val="461"/>
        </w:numPr>
      </w:pPr>
      <w:r>
        <w:t>Type III : sans accessoires de reprise du poids propre et avec accessoires de sécurité ;</w:t>
      </w:r>
    </w:p>
    <w:p w14:paraId="79B90B45" w14:textId="77777777" w:rsidR="00772179" w:rsidRDefault="00000000">
      <w:pPr>
        <w:pStyle w:val="Author-eListParagraph"/>
        <w:numPr>
          <w:ilvl w:val="0"/>
          <w:numId w:val="461"/>
        </w:numPr>
      </w:pPr>
      <w:r>
        <w:t>Type IV : sans accessoires de reprise du poids propre et sans accessoire de sécurité.</w:t>
      </w:r>
    </w:p>
    <w:p w14:paraId="4AF249D5" w14:textId="77777777" w:rsidR="00772179" w:rsidRDefault="00000000">
      <w:pPr>
        <w:jc w:val="both"/>
      </w:pPr>
      <w:r>
        <w:t>Lorsque des accessoires de reprise du poids propre sont utilisés, le mastic structurel reprend toutes les autres sollicitations tandis que lorsque ces accessoires ne sont pas utilisés, le poids du vitrage est transmis au cadre de collage par le biais du joint de collage.</w:t>
      </w:r>
    </w:p>
    <w:p w14:paraId="4C073C48" w14:textId="77777777" w:rsidR="00772179" w:rsidRDefault="00000000">
      <w:pPr>
        <w:jc w:val="both"/>
      </w:pPr>
      <w:r>
        <w:rPr>
          <w:b/>
        </w:rPr>
        <w:t>Accessoires de reprise du poids propre et dispositifs de sécurité :</w:t>
      </w:r>
    </w:p>
    <w:p w14:paraId="4CA07012" w14:textId="77777777" w:rsidR="00772179" w:rsidRDefault="00000000">
      <w:pPr>
        <w:jc w:val="both"/>
      </w:pPr>
      <w:r>
        <w:t>Afin d’éprouver leur capacité de reprise du poids propre, ils sont testés suivant la procédure d’essai définie dans [ETAG 002-1] au § 5.1.4.1.</w:t>
      </w:r>
    </w:p>
    <w:p w14:paraId="41F83B2E" w14:textId="77777777" w:rsidR="00772179" w:rsidRDefault="00000000">
      <w:pPr>
        <w:pStyle w:val="Author-eListParagraph"/>
        <w:numPr>
          <w:ilvl w:val="0"/>
          <w:numId w:val="462"/>
        </w:numPr>
      </w:pPr>
      <w:r>
        <w:rPr>
          <w:u w:val="single"/>
        </w:rPr>
        <w:t>Les vitrages isolants multiples :</w:t>
      </w:r>
      <w:r>
        <w:t> sont toujours supportés quelle que soit la hauteur de pose comme suit : chaque feuille du vitrage est supportée sur au moins 0,5 x l'épaisseur du verre + 1 mm.</w:t>
      </w:r>
    </w:p>
    <w:p w14:paraId="6B0328FA" w14:textId="77777777" w:rsidR="00772179" w:rsidRDefault="00000000">
      <w:pPr>
        <w:pStyle w:val="Author-eListParagraph"/>
        <w:numPr>
          <w:ilvl w:val="0"/>
          <w:numId w:val="462"/>
        </w:numPr>
      </w:pPr>
      <w:r>
        <w:t>Tous les vitrages surplombant un accès au bâtiment sont équipés de dispositifs de reprise du poids propre et de retenues au vent.</w:t>
      </w:r>
    </w:p>
    <w:p w14:paraId="7347F3C8" w14:textId="77777777" w:rsidR="00772179" w:rsidRDefault="00000000">
      <w:pPr>
        <w:pStyle w:val="Author-eListParagraph"/>
        <w:numPr>
          <w:ilvl w:val="0"/>
          <w:numId w:val="462"/>
        </w:numPr>
      </w:pPr>
      <w:r>
        <w:rPr>
          <w:u w:val="single"/>
        </w:rPr>
        <w:t>A partir de 5 m au-dessus du sol :</w:t>
      </w:r>
      <w:r>
        <w:t xml:space="preserve"> la reprise du poids propre du vitrage se fait sur une épaisseur minimale de 3 mm comme suit : vitrage feuilleté : l’une des 2 feuilles est supportée sur toute son épaisseur et l’autre sur la moitié de son épaisseur.</w:t>
      </w:r>
    </w:p>
    <w:p w14:paraId="2A602E54" w14:textId="77777777" w:rsidR="00772179" w:rsidRDefault="00000000">
      <w:pPr>
        <w:pStyle w:val="Author-eListParagraph"/>
        <w:numPr>
          <w:ilvl w:val="0"/>
          <w:numId w:val="462"/>
        </w:numPr>
      </w:pPr>
      <w:r>
        <w:rPr>
          <w:u w:val="single"/>
        </w:rPr>
        <w:lastRenderedPageBreak/>
        <w:t>A partir d’une hauteur de 10m au-dessus du sol :</w:t>
      </w:r>
      <w:r>
        <w:t xml:space="preserve"> le dispositif de retenue au vent du vitrage est évalué suivant [ETAG 002-1] 5.1.3.3.3.</w:t>
      </w:r>
    </w:p>
    <w:p w14:paraId="46DE0AEE" w14:textId="77777777" w:rsidR="00772179" w:rsidRDefault="00000000">
      <w:pPr>
        <w:jc w:val="both"/>
      </w:pPr>
      <w:r>
        <w:rPr>
          <w:b/>
        </w:rPr>
        <w:t xml:space="preserve">Éléments de remplissage en verre suivant : </w:t>
      </w:r>
      <w:hyperlink w:anchor="892" w:history="1">
        <w:r>
          <w:rPr>
            <w:b/>
            <w:color w:val="0000EE"/>
          </w:rPr>
          <w:t>42.2 Vitrages multiples</w:t>
        </w:r>
      </w:hyperlink>
      <w:r>
        <w:rPr>
          <w:b/>
        </w:rPr>
        <w:t xml:space="preserve"> :</w:t>
      </w:r>
    </w:p>
    <w:p w14:paraId="4F563210" w14:textId="77777777" w:rsidR="00772179" w:rsidRDefault="00000000">
      <w:pPr>
        <w:jc w:val="both"/>
      </w:pPr>
      <w:r>
        <w:t>Choix de type de vitrage en fonction du risque de casse par choc thermique suivant [NBN S 23-002] point 4.4.2.2.4</w:t>
      </w:r>
    </w:p>
    <w:p w14:paraId="38CB7557" w14:textId="77777777" w:rsidR="00772179" w:rsidRDefault="00000000">
      <w:pPr>
        <w:pStyle w:val="Author-eListParagraph"/>
        <w:numPr>
          <w:ilvl w:val="0"/>
          <w:numId w:val="463"/>
        </w:numPr>
      </w:pPr>
      <w:r>
        <w:rPr>
          <w:u w:val="single"/>
        </w:rPr>
        <w:t>En allège simple vitrage :</w:t>
      </w:r>
      <w:r>
        <w:t xml:space="preserve"> le verre feuilleté et recuit n’est autorisé que moyennant une note de calcul établie par le fabricant démontrant l’absence de risque de casse par choc thermique.</w:t>
      </w:r>
    </w:p>
    <w:p w14:paraId="7061692A" w14:textId="77777777" w:rsidR="00772179" w:rsidRDefault="00000000">
      <w:pPr>
        <w:pStyle w:val="Author-eListParagraph"/>
        <w:numPr>
          <w:ilvl w:val="0"/>
          <w:numId w:val="463"/>
        </w:numPr>
      </w:pPr>
      <w:r>
        <w:rPr>
          <w:u w:val="single"/>
        </w:rPr>
        <w:t>En double et triple vitrage :</w:t>
      </w:r>
      <w:r>
        <w:t xml:space="preserve"> le verre trempé est autorisé sous conditions suivant le tableau 7.</w:t>
      </w:r>
    </w:p>
    <w:p w14:paraId="640C52F0" w14:textId="77777777" w:rsidR="00772179" w:rsidRDefault="00000000">
      <w:pPr>
        <w:jc w:val="both"/>
      </w:pPr>
      <w:r>
        <w:rPr>
          <w:b/>
        </w:rPr>
        <w:t xml:space="preserve">Vitrage isolant : </w:t>
      </w:r>
      <w:r>
        <w:t>2 types sont applicables :</w:t>
      </w:r>
    </w:p>
    <w:p w14:paraId="47D6A391" w14:textId="77777777" w:rsidR="00772179" w:rsidRDefault="00000000">
      <w:pPr>
        <w:pStyle w:val="Author-eListParagraph"/>
        <w:numPr>
          <w:ilvl w:val="0"/>
          <w:numId w:val="464"/>
        </w:numPr>
      </w:pPr>
      <w:r>
        <w:rPr>
          <w:u w:val="single"/>
        </w:rPr>
        <w:t>Vitrage isolant à bords alignés :</w:t>
      </w:r>
      <w:r>
        <w:t>  suivant [ETAG 002-1] le joint de scellement du vitrage a une fonction structurelle et est un joint hermétique VEC (vitrage extérieur collé) permettant à la fois de remplir les fonctions d’étanchéité et résistant aux sollicitations mécaniques attendues en usage VEC. Le joint du vitrage isolant répond donc aux mêmes exigences que celui de l’assemblage cadre de collage-verre.</w:t>
      </w:r>
    </w:p>
    <w:p w14:paraId="104DDE7A" w14:textId="77777777" w:rsidR="00772179" w:rsidRDefault="00000000">
      <w:pPr>
        <w:pStyle w:val="Author-eListParagraph"/>
        <w:numPr>
          <w:ilvl w:val="0"/>
          <w:numId w:val="464"/>
        </w:numPr>
      </w:pPr>
      <w:r>
        <w:rPr>
          <w:u w:val="single"/>
        </w:rPr>
        <w:t>Vitrage isolant à bords décalés :</w:t>
      </w:r>
      <w:r>
        <w:rPr>
          <w:rStyle w:val="optioncarChar"/>
        </w:rPr>
        <w:t xml:space="preserve"> le joint d’assemblage profilé-verre joue un rôle structural tandis que le joint du vitrage isolant assure la deuxième barrière d’étanchéité</w:t>
      </w:r>
      <w:r>
        <w:t xml:space="preserve"> (par défaut) </w:t>
      </w:r>
      <w:r>
        <w:rPr>
          <w:rStyle w:val="optioncarChar"/>
        </w:rPr>
        <w:t>/ les 2 joints jouent un rôle structural.</w:t>
      </w:r>
    </w:p>
    <w:p w14:paraId="165C97E9" w14:textId="77777777" w:rsidR="00772179" w:rsidRDefault="00000000">
      <w:pPr>
        <w:jc w:val="both"/>
      </w:pPr>
      <w:r>
        <w:rPr>
          <w:b/>
        </w:rPr>
        <w:t>Joint de scellement du vitrage :</w:t>
      </w:r>
    </w:p>
    <w:p w14:paraId="793C71D9" w14:textId="77777777" w:rsidR="00772179" w:rsidRDefault="00000000">
      <w:pPr>
        <w:pStyle w:val="Author-eListParagraph"/>
        <w:numPr>
          <w:ilvl w:val="0"/>
          <w:numId w:val="465"/>
        </w:numPr>
      </w:pPr>
      <w:r>
        <w:t>L’aptitude à l’emploi verre-mastic est démontrée suivant [ETAG 002-1] § 5.1.4.</w:t>
      </w:r>
    </w:p>
    <w:p w14:paraId="1EE8987B" w14:textId="77777777" w:rsidR="00772179" w:rsidRDefault="00000000">
      <w:pPr>
        <w:pStyle w:val="Author-eListParagraph"/>
        <w:numPr>
          <w:ilvl w:val="0"/>
          <w:numId w:val="465"/>
        </w:numPr>
      </w:pPr>
      <w:r>
        <w:t>La compatibilité de l’espaceur avec les produits environnants est démontrée suivant [ETAG 002-1] § 5.1.4.2.5.</w:t>
      </w:r>
    </w:p>
    <w:p w14:paraId="5C2E69E5" w14:textId="77777777" w:rsidR="00772179" w:rsidRDefault="00000000">
      <w:pPr>
        <w:jc w:val="both"/>
      </w:pPr>
      <w:r>
        <w:rPr>
          <w:b/>
        </w:rPr>
        <w:t>Vitrage émaillé :</w:t>
      </w:r>
    </w:p>
    <w:p w14:paraId="7BA14D68" w14:textId="77777777" w:rsidR="00772179" w:rsidRDefault="00000000">
      <w:pPr>
        <w:pStyle w:val="Author-eListParagraph"/>
        <w:numPr>
          <w:ilvl w:val="0"/>
          <w:numId w:val="466"/>
        </w:numPr>
      </w:pPr>
      <w:r>
        <w:t>L’adhésion du mastic de collage sur la couche de finition du vitrage répond aux critères mécaniques de [ETAG 002-1]</w:t>
      </w:r>
    </w:p>
    <w:p w14:paraId="7623791A" w14:textId="77777777" w:rsidR="00772179" w:rsidRDefault="00000000">
      <w:pPr>
        <w:pStyle w:val="Author-eListParagraph"/>
        <w:numPr>
          <w:ilvl w:val="0"/>
          <w:numId w:val="466"/>
        </w:numPr>
      </w:pPr>
      <w:r>
        <w:t>Le verre émaillé conforme à la norme [NBN EN 1096-2] est émaillé totalement ou débarrassé de la couche d’émail au droit de la surface de collage en fonction de sa compatibilité avec la colle.</w:t>
      </w:r>
    </w:p>
    <w:p w14:paraId="49E9D10E" w14:textId="77777777" w:rsidR="00772179" w:rsidRDefault="00000000">
      <w:pPr>
        <w:pStyle w:val="Author-eListParagraph"/>
        <w:numPr>
          <w:ilvl w:val="0"/>
          <w:numId w:val="466"/>
        </w:numPr>
      </w:pPr>
      <w:r>
        <w:t>Mastic structurel pour le joint de collage</w:t>
      </w:r>
    </w:p>
    <w:p w14:paraId="2A05F49B" w14:textId="77777777" w:rsidR="00772179" w:rsidRDefault="00000000">
      <w:pPr>
        <w:pStyle w:val="Author-eListParagraph"/>
        <w:numPr>
          <w:ilvl w:val="0"/>
          <w:numId w:val="466"/>
        </w:numPr>
      </w:pPr>
      <w:r>
        <w:t>Mastics de silicones neutres conçus pour utilisation VEC et pour le collage structure-verre et verre-verre, appliqués en usine conformes aux exigences de [ETAG 002-1].</w:t>
      </w:r>
    </w:p>
    <w:p w14:paraId="4185B513" w14:textId="77777777" w:rsidR="00772179" w:rsidRDefault="00000000">
      <w:pPr>
        <w:pStyle w:val="Author-eListParagraph"/>
        <w:numPr>
          <w:ilvl w:val="0"/>
          <w:numId w:val="466"/>
        </w:numPr>
      </w:pPr>
      <w:r>
        <w:t>Identification suivant § 5.2.1. Les caractéristiques suivantes sont évaluées : masse volumique, dureté shore A, analyse thermographique et couleur.</w:t>
      </w:r>
    </w:p>
    <w:p w14:paraId="418080C7" w14:textId="77777777" w:rsidR="00772179" w:rsidRDefault="00000000">
      <w:pPr>
        <w:pStyle w:val="Author-eListParagraph"/>
        <w:numPr>
          <w:ilvl w:val="0"/>
          <w:numId w:val="466"/>
        </w:numPr>
      </w:pPr>
      <w:r>
        <w:t>Propriétés physiques suivant § 5.1.4.6 : inclusions de gaz, reprise élastique, retrait, résistance à la déchirure, fatigue mécanique, résistance aux UV, module élastique, fluage en cisaillement.</w:t>
      </w:r>
    </w:p>
    <w:p w14:paraId="79D93B30" w14:textId="77777777" w:rsidR="00772179" w:rsidRDefault="00000000">
      <w:pPr>
        <w:pStyle w:val="Author-eListParagraph"/>
        <w:numPr>
          <w:ilvl w:val="0"/>
          <w:numId w:val="466"/>
        </w:numPr>
      </w:pPr>
      <w:r>
        <w:t>Résistance mécanique résiduelle après vieillissement artificiel suivant § 5.1.4.2 : immersion dans l’eau à haute température, humidité et atmosphère NaCl, humidité et atmosphère SO2, produits de nettoyage de la façade, effets des matériaux en contact (compatibilité des matériaux environnants).</w:t>
      </w:r>
    </w:p>
    <w:p w14:paraId="1DC0AC08" w14:textId="77777777" w:rsidR="00772179" w:rsidRDefault="00000000">
      <w:pPr>
        <w:jc w:val="both"/>
      </w:pPr>
      <w:r>
        <w:rPr>
          <w:b/>
        </w:rPr>
        <w:t>Protection contre la foudre suivant 37.3 Installations paratonnerre :</w:t>
      </w:r>
    </w:p>
    <w:p w14:paraId="039471AC" w14:textId="77777777" w:rsidR="00772179" w:rsidRDefault="00000000">
      <w:pPr>
        <w:jc w:val="both"/>
      </w:pPr>
      <w:r>
        <w:t>L’étude réalisée suivant annexe B de [NBN B 25-002-1] est présentée pour approbation à la direction des travaux.</w:t>
      </w:r>
    </w:p>
    <w:p w14:paraId="70D980E3" w14:textId="77777777" w:rsidR="00772179" w:rsidRDefault="00000000">
      <w:pPr>
        <w:jc w:val="both"/>
      </w:pPr>
      <w:r>
        <w:t>La façade VEC métallique participe à la protection dans la mesure où les éléments métalliques sont :</w:t>
      </w:r>
    </w:p>
    <w:p w14:paraId="63328783" w14:textId="77777777" w:rsidR="00772179" w:rsidRDefault="00000000">
      <w:pPr>
        <w:pStyle w:val="Author-eListParagraph"/>
        <w:numPr>
          <w:ilvl w:val="0"/>
          <w:numId w:val="467"/>
        </w:numPr>
      </w:pPr>
      <w:r>
        <w:t>connectés entre eux par un conducteur souple ayant les sections calculées ;</w:t>
      </w:r>
    </w:p>
    <w:p w14:paraId="2485A0F5" w14:textId="77777777" w:rsidR="00772179" w:rsidRDefault="00000000">
      <w:pPr>
        <w:pStyle w:val="Author-eListParagraph"/>
        <w:numPr>
          <w:ilvl w:val="0"/>
          <w:numId w:val="467"/>
        </w:numPr>
      </w:pPr>
      <w:r>
        <w:t>protégés contre la corrosion ;</w:t>
      </w:r>
    </w:p>
    <w:p w14:paraId="357C8DDA" w14:textId="77777777" w:rsidR="00772179" w:rsidRDefault="00000000">
      <w:pPr>
        <w:pStyle w:val="Author-eListParagraph"/>
        <w:numPr>
          <w:ilvl w:val="0"/>
          <w:numId w:val="467"/>
        </w:numPr>
      </w:pPr>
      <w:r>
        <w:t>pourvus d’un contact franc entre les différents métaux.</w:t>
      </w:r>
    </w:p>
    <w:p w14:paraId="065ABC8A" w14:textId="77777777" w:rsidR="00772179" w:rsidRDefault="00000000">
      <w:pPr>
        <w:jc w:val="both"/>
      </w:pPr>
      <w:r>
        <w:rPr>
          <w:b/>
        </w:rPr>
        <w:t>Protection contre l’électricité statique :</w:t>
      </w:r>
    </w:p>
    <w:p w14:paraId="61FFB387" w14:textId="77777777" w:rsidR="00772179" w:rsidRDefault="00000000">
      <w:pPr>
        <w:jc w:val="both"/>
      </w:pPr>
      <w:r>
        <w:t>La façade VEC est mise à la terre pour éviter l’accumulation d’électricité statique suivant [NBN EN 13830:2015+A1], annexe B.</w:t>
      </w:r>
    </w:p>
    <w:p w14:paraId="29972121" w14:textId="77777777" w:rsidR="00772179" w:rsidRDefault="00000000">
      <w:pPr>
        <w:pStyle w:val="pheading"/>
      </w:pPr>
      <w:r>
        <w:lastRenderedPageBreak/>
        <w:t>EXÉCUTION / MISE EN ŒUVRE</w:t>
      </w:r>
    </w:p>
    <w:p w14:paraId="25DEB5B9" w14:textId="77777777" w:rsidR="00772179" w:rsidRDefault="00000000">
      <w:pPr>
        <w:jc w:val="both"/>
      </w:pPr>
      <w:r>
        <w:rPr>
          <w:b/>
        </w:rPr>
        <w:t>Opération de collage des vitrages en atelier :</w:t>
      </w:r>
    </w:p>
    <w:p w14:paraId="6BEE3FAA" w14:textId="77777777" w:rsidR="00772179" w:rsidRDefault="00000000">
      <w:pPr>
        <w:pStyle w:val="Author-eListParagraph"/>
        <w:numPr>
          <w:ilvl w:val="0"/>
          <w:numId w:val="468"/>
        </w:numPr>
      </w:pPr>
      <w:r>
        <w:t>L’opération de collage est réalisée par une entreprise spécialisée bénéficiant d’un contrôle par un organisme extérieur notifié (dans le cadre du marquage CE).</w:t>
      </w:r>
    </w:p>
    <w:p w14:paraId="2E0D4536" w14:textId="77777777" w:rsidR="00772179" w:rsidRDefault="00000000">
      <w:pPr>
        <w:pStyle w:val="Author-eListParagraph"/>
        <w:numPr>
          <w:ilvl w:val="0"/>
          <w:numId w:val="468"/>
        </w:numPr>
      </w:pPr>
      <w:r>
        <w:t>Conditions d’exécution : en atelier conditionné (température et humidité relative), à l’abri de la poussière.</w:t>
      </w:r>
    </w:p>
    <w:p w14:paraId="4E24E42F" w14:textId="77777777" w:rsidR="00772179" w:rsidRDefault="00000000">
      <w:pPr>
        <w:pStyle w:val="Author-eListParagraph"/>
        <w:numPr>
          <w:ilvl w:val="0"/>
          <w:numId w:val="468"/>
        </w:numPr>
      </w:pPr>
      <w:r>
        <w:t>Les composants sont stockés dans l’atelier au moins 24 heures avant collage.</w:t>
      </w:r>
    </w:p>
    <w:p w14:paraId="7852C86C" w14:textId="77777777" w:rsidR="00772179" w:rsidRDefault="00000000">
      <w:pPr>
        <w:pStyle w:val="Author-eListParagraph"/>
        <w:numPr>
          <w:ilvl w:val="0"/>
          <w:numId w:val="468"/>
        </w:numPr>
      </w:pPr>
      <w:r>
        <w:t xml:space="preserve">Préparation des profilés et vitrages : </w:t>
      </w:r>
    </w:p>
    <w:p w14:paraId="1ADFBFE9" w14:textId="77777777" w:rsidR="00772179" w:rsidRDefault="00000000">
      <w:pPr>
        <w:pStyle w:val="Author-eListParagraph"/>
        <w:numPr>
          <w:ilvl w:val="1"/>
          <w:numId w:val="469"/>
        </w:numPr>
        <w:jc w:val="both"/>
      </w:pPr>
      <w:r>
        <w:t>nettoyage des surfaces de collage à l’aide d’un solvant dégraissant ;</w:t>
      </w:r>
    </w:p>
    <w:p w14:paraId="14D21E0C" w14:textId="77777777" w:rsidR="00772179" w:rsidRDefault="00000000">
      <w:pPr>
        <w:pStyle w:val="Author-eListParagraph"/>
        <w:numPr>
          <w:ilvl w:val="1"/>
          <w:numId w:val="469"/>
        </w:numPr>
        <w:jc w:val="both"/>
      </w:pPr>
      <w:r>
        <w:t>application du primaire éventuel ;</w:t>
      </w:r>
    </w:p>
    <w:p w14:paraId="5BD76203" w14:textId="77777777" w:rsidR="00772179" w:rsidRDefault="00000000">
      <w:pPr>
        <w:pStyle w:val="Author-eListParagraph"/>
        <w:numPr>
          <w:ilvl w:val="1"/>
          <w:numId w:val="469"/>
        </w:numPr>
        <w:jc w:val="both"/>
      </w:pPr>
      <w:r>
        <w:t>mise en place d’un espaceur délimitant les plans de collage, pose des cales éventuelles du vitrage intérieur et positionnement du vitrage ;</w:t>
      </w:r>
    </w:p>
    <w:p w14:paraId="70D7FB02" w14:textId="77777777" w:rsidR="00772179" w:rsidRDefault="00000000">
      <w:pPr>
        <w:pStyle w:val="Author-eListParagraph"/>
        <w:numPr>
          <w:ilvl w:val="1"/>
          <w:numId w:val="469"/>
        </w:numPr>
        <w:jc w:val="both"/>
      </w:pPr>
      <w:r>
        <w:t>extrusion du mastic après nettoyage ou séchage du primaire éventuel ;</w:t>
      </w:r>
    </w:p>
    <w:p w14:paraId="28C5677A" w14:textId="77777777" w:rsidR="00772179" w:rsidRDefault="00000000">
      <w:pPr>
        <w:pStyle w:val="Author-eListParagraph"/>
        <w:numPr>
          <w:ilvl w:val="1"/>
          <w:numId w:val="469"/>
        </w:numPr>
        <w:jc w:val="both"/>
      </w:pPr>
      <w:r>
        <w:t>lissage du joint.</w:t>
      </w:r>
    </w:p>
    <w:p w14:paraId="381F6E97" w14:textId="77777777" w:rsidR="00772179" w:rsidRDefault="00000000">
      <w:pPr>
        <w:pStyle w:val="Author-eListParagraph"/>
        <w:numPr>
          <w:ilvl w:val="0"/>
          <w:numId w:val="468"/>
        </w:numPr>
      </w:pPr>
      <w:r>
        <w:t>Mise en place des accessoires de reprise du poids propre au contact du vitrage.</w:t>
      </w:r>
    </w:p>
    <w:p w14:paraId="28E26455" w14:textId="77777777" w:rsidR="00772179" w:rsidRDefault="00000000">
      <w:pPr>
        <w:pStyle w:val="Author-eListParagraph"/>
        <w:numPr>
          <w:ilvl w:val="0"/>
          <w:numId w:val="468"/>
        </w:numPr>
      </w:pPr>
      <w:r>
        <w:t>Aucun mouvement du cadre de collage par rapport au vitrage n’est permis lors de la réticulation et du développement de l’adhérence.</w:t>
      </w:r>
    </w:p>
    <w:p w14:paraId="102FE3AE" w14:textId="77777777" w:rsidR="00772179" w:rsidRDefault="00000000">
      <w:pPr>
        <w:pStyle w:val="Author-eListParagraph"/>
        <w:numPr>
          <w:ilvl w:val="0"/>
          <w:numId w:val="468"/>
        </w:numPr>
      </w:pPr>
      <w:r>
        <w:t>Polymérisation du joint pendant la durée prescrite par le fabricant de mastic.</w:t>
      </w:r>
    </w:p>
    <w:p w14:paraId="183E32AD" w14:textId="77777777" w:rsidR="00772179" w:rsidRDefault="00000000">
      <w:pPr>
        <w:pStyle w:val="Author-eListParagraph"/>
        <w:numPr>
          <w:ilvl w:val="0"/>
          <w:numId w:val="468"/>
        </w:numPr>
      </w:pPr>
      <w:r>
        <w:t>Le joint est injecté en respectant scrupuleusement les instructions du producteur de mastic et en veillant à éliminer les occlusions d’air.</w:t>
      </w:r>
    </w:p>
    <w:p w14:paraId="252ACD9F" w14:textId="77777777" w:rsidR="00772179" w:rsidRDefault="00000000">
      <w:pPr>
        <w:pStyle w:val="Author-eListParagraph"/>
        <w:numPr>
          <w:ilvl w:val="0"/>
          <w:numId w:val="468"/>
        </w:numPr>
      </w:pPr>
      <w:r>
        <w:t xml:space="preserve">Quel que soit le système utilisé, la mise en œuvre doit satisfaire aux conditions suivantes : </w:t>
      </w:r>
    </w:p>
    <w:p w14:paraId="761F1E22" w14:textId="77777777" w:rsidR="00772179" w:rsidRDefault="00000000">
      <w:pPr>
        <w:pStyle w:val="Author-eListParagraph"/>
        <w:numPr>
          <w:ilvl w:val="1"/>
          <w:numId w:val="470"/>
        </w:numPr>
      </w:pPr>
      <w:r>
        <w:t>les joints de collage sont des joints épais (e ≥ 6 mm) réalisés au moyen de mastic structurel en silicone neutre ;</w:t>
      </w:r>
    </w:p>
    <w:p w14:paraId="22D3E23C" w14:textId="77777777" w:rsidR="00772179" w:rsidRDefault="00000000">
      <w:pPr>
        <w:pStyle w:val="Author-eListParagraph"/>
        <w:numPr>
          <w:ilvl w:val="1"/>
          <w:numId w:val="470"/>
        </w:numPr>
      </w:pPr>
      <w:r>
        <w:t>la conception peut inclure des discontinuités locales (pour le drainage ou le calage) dans le joint structurel, à condition qu’aucun côté ne soit entièrement libre et que les performances structurelles aient été vérifiées ;</w:t>
      </w:r>
    </w:p>
    <w:p w14:paraId="359AD038" w14:textId="77777777" w:rsidR="00772179" w:rsidRDefault="00000000">
      <w:pPr>
        <w:pStyle w:val="Author-eListParagraph"/>
        <w:numPr>
          <w:ilvl w:val="1"/>
          <w:numId w:val="470"/>
        </w:numPr>
      </w:pPr>
      <w:r>
        <w:t>l’angle de pose est compris entre 7° (par rapport à l’horizontale) et la verticale. Le vitrage ne peut être incliné vers le vide, excepté pour les systèmes de type 1 sous réserve d’une étude spéciale.</w:t>
      </w:r>
    </w:p>
    <w:p w14:paraId="0F32C592" w14:textId="77777777" w:rsidR="00772179" w:rsidRDefault="00000000">
      <w:pPr>
        <w:jc w:val="both"/>
      </w:pPr>
      <w:r>
        <w:rPr>
          <w:b/>
        </w:rPr>
        <w:t>Fixation au gros œuvre :</w:t>
      </w:r>
    </w:p>
    <w:p w14:paraId="29D2219F" w14:textId="77777777" w:rsidR="00772179" w:rsidRDefault="00000000">
      <w:pPr>
        <w:pStyle w:val="Author-eListParagraph"/>
        <w:numPr>
          <w:ilvl w:val="0"/>
          <w:numId w:val="471"/>
        </w:numPr>
        <w:jc w:val="both"/>
      </w:pPr>
      <w:r>
        <w:t>La note de calcul établie par l’entrepreneur est présentée pour approbation au bureau d’étude en stabilité. Les actions, leurs combinaisons, les caractéristiques de conception des matériaux et les critères d'états limites sont donnés dans [Buildwise Méthode de dimensionnement Rapport 11].</w:t>
      </w:r>
    </w:p>
    <w:p w14:paraId="7D609159" w14:textId="77777777" w:rsidR="00772179" w:rsidRDefault="00000000">
      <w:pPr>
        <w:pStyle w:val="Author-eListParagraph"/>
        <w:numPr>
          <w:ilvl w:val="0"/>
          <w:numId w:val="471"/>
        </w:numPr>
        <w:jc w:val="both"/>
      </w:pPr>
      <w:r>
        <w:t>Les ancrages sont réglables en 3 directions et sont fixés par tirefonds et chevilles.</w:t>
      </w:r>
    </w:p>
    <w:p w14:paraId="7CB4F332" w14:textId="77777777" w:rsidR="00772179" w:rsidRDefault="00000000">
      <w:r>
        <w:rPr>
          <w:b/>
        </w:rPr>
        <w:t>Raccords d’étanchéité de la façade VEC avec le gros œuvre :</w:t>
      </w:r>
    </w:p>
    <w:p w14:paraId="44E2CCB6" w14:textId="77777777" w:rsidR="00772179" w:rsidRDefault="00000000">
      <w:pPr>
        <w:pStyle w:val="Author-eListParagraph"/>
        <w:numPr>
          <w:ilvl w:val="0"/>
          <w:numId w:val="472"/>
        </w:numPr>
        <w:jc w:val="both"/>
      </w:pPr>
      <w:r>
        <w:t>En pied : membrane d’étanchéité (butyl / EPDM) interposée entre le gros œuvre et le niveau de drainage de la façade VEC fixée derrière le canal de drainage du montant vertical et sur toute la largeur de la construction réalisée suivant détails de principe établis par l’auteur de projet. La jonction est rendue étanche par l’intermédiaire d’un joint à élasticité permanente sur fond de joint.</w:t>
      </w:r>
    </w:p>
    <w:p w14:paraId="4BD42C39" w14:textId="77777777" w:rsidR="00772179" w:rsidRDefault="00000000">
      <w:pPr>
        <w:pStyle w:val="Author-eListParagraph"/>
        <w:numPr>
          <w:ilvl w:val="0"/>
          <w:numId w:val="472"/>
        </w:numPr>
        <w:jc w:val="both"/>
      </w:pPr>
      <w:r>
        <w:t>Latéralement et en tête : une membrane d’étanchéité est interposée entre le gros œuvre et les profilés par collage.</w:t>
      </w:r>
    </w:p>
    <w:p w14:paraId="25B152D6" w14:textId="77777777" w:rsidR="00772179" w:rsidRDefault="00000000">
      <w:pPr>
        <w:pStyle w:val="pheading"/>
      </w:pPr>
      <w:r>
        <w:t>DOCUMENTS DE RÉFÉRENCE</w:t>
      </w:r>
    </w:p>
    <w:p w14:paraId="1EC3A433" w14:textId="77777777" w:rsidR="00772179" w:rsidRDefault="00000000">
      <w:pPr>
        <w:pStyle w:val="pheading"/>
      </w:pPr>
      <w:r>
        <w:t>- Matériau</w:t>
      </w:r>
    </w:p>
    <w:p w14:paraId="527F04CE" w14:textId="77777777" w:rsidR="00772179" w:rsidRDefault="00000000">
      <w:r>
        <w:t>[Buildwise Méthode de dimensionnement Rapport 11, Application des Eurocodes à la conception des menuiseries extérieures (disponible en ligne uniquement).]</w:t>
      </w:r>
    </w:p>
    <w:p w14:paraId="6DE8293A" w14:textId="77777777" w:rsidR="00772179" w:rsidRDefault="00000000">
      <w:r>
        <w:t>[NIT 214, Le verre et les produits verriers - Les fonctions des vitrages.]</w:t>
      </w:r>
    </w:p>
    <w:p w14:paraId="7E828077" w14:textId="77777777" w:rsidR="00772179" w:rsidRDefault="00000000">
      <w:r>
        <w:t>[ETAG 002-1, Structural Sealant Glazing Systems - Part 1: Supported and Unsupported Systems]</w:t>
      </w:r>
    </w:p>
    <w:p w14:paraId="6F8752BC" w14:textId="77777777" w:rsidR="00772179" w:rsidRDefault="00000000">
      <w:r>
        <w:lastRenderedPageBreak/>
        <w:t>[ETAG 002-3, Structural Sealant Glazing Systems - Part 3 : Systems incorporating profiles with thermal barrier]</w:t>
      </w:r>
    </w:p>
    <w:p w14:paraId="357DD9BA" w14:textId="77777777" w:rsidR="00772179" w:rsidRDefault="00000000">
      <w:r>
        <w:t>[NBN EN 1096-2, Verre dans la construction - Verre à couche - Partie 2: Exigences et méthodes d'essai pour les couches de classes A, B et S]</w:t>
      </w:r>
    </w:p>
    <w:p w14:paraId="38168FE9" w14:textId="77777777" w:rsidR="00772179" w:rsidRDefault="00000000">
      <w:r>
        <w:t>[NBN EN 12365 série, Quincaillerie pour le bâtiment - Profilés d'étanchéité de vitrage et entre ouvrant et dormant pour portes, fenêtres, fermetures et façades rideaux]</w:t>
      </w:r>
    </w:p>
    <w:p w14:paraId="549BA13B" w14:textId="77777777" w:rsidR="00772179" w:rsidRDefault="00000000">
      <w:r>
        <w:t>[NBN EN 13830:2015+A1, Façades rideaux - Norme de produit]</w:t>
      </w:r>
    </w:p>
    <w:p w14:paraId="71852820" w14:textId="77777777" w:rsidR="00772179" w:rsidRDefault="00000000">
      <w:pPr>
        <w:pStyle w:val="pheading"/>
      </w:pPr>
      <w:r>
        <w:t>- Exécution</w:t>
      </w:r>
    </w:p>
    <w:p w14:paraId="1C614FB5" w14:textId="77777777" w:rsidR="00772179" w:rsidRDefault="00000000">
      <w:r>
        <w:t>[NIT 283, La pose des menuiseries extérieures. Partie 1 : aspects généraux.]</w:t>
      </w:r>
    </w:p>
    <w:p w14:paraId="5C3BA4CD" w14:textId="77777777" w:rsidR="00772179" w:rsidRDefault="00000000">
      <w:r>
        <w:t>[NIT 288, La pose des menuiseries extérieures Partie 3 : mise en œuvre de châssis en aluminium et en PVC dans des murs creux]</w:t>
      </w:r>
    </w:p>
    <w:p w14:paraId="772E2256" w14:textId="77777777" w:rsidR="00772179" w:rsidRDefault="00000000">
      <w:pPr>
        <w:pStyle w:val="Author-eSectionHeading5Numberless"/>
      </w:pPr>
      <w:bookmarkStart w:id="197" w:name="_Toc220489939"/>
      <w:r>
        <w:t>41.42.1 Systèmes de façade VEC - structure bois CCTB 01.02</w:t>
      </w:r>
      <w:bookmarkEnd w:id="197"/>
    </w:p>
    <w:p w14:paraId="3FE84397" w14:textId="77777777" w:rsidR="00772179" w:rsidRDefault="00000000">
      <w:pPr>
        <w:pStyle w:val="Author-eSectionHeading6Numberless"/>
      </w:pPr>
      <w:bookmarkStart w:id="198" w:name="_Toc220489940"/>
      <w:r>
        <w:t>41.42.1a Systèmes de façade VEC - structure bois</w:t>
      </w:r>
      <w:bookmarkEnd w:id="198"/>
    </w:p>
    <w:p w14:paraId="4C75C58E" w14:textId="77777777" w:rsidR="00772179" w:rsidRDefault="00000000">
      <w:pPr>
        <w:pStyle w:val="Author-eSectionHeading5Numberless"/>
      </w:pPr>
      <w:bookmarkStart w:id="199" w:name="_Toc220489941"/>
      <w:r>
        <w:t>41.42.2 Systèmes de façade VEC - structure inox CCTB 01.02</w:t>
      </w:r>
      <w:bookmarkEnd w:id="199"/>
    </w:p>
    <w:p w14:paraId="5D28C049" w14:textId="77777777" w:rsidR="00772179" w:rsidRDefault="00000000">
      <w:pPr>
        <w:pStyle w:val="Author-eSectionHeading6Numberless"/>
      </w:pPr>
      <w:bookmarkStart w:id="200" w:name="_Toc220489942"/>
      <w:r>
        <w:t>41.42.2a Systèmes de façade VEC - structure inox CCTB 01.11</w:t>
      </w:r>
      <w:bookmarkEnd w:id="200"/>
    </w:p>
    <w:p w14:paraId="7F659957" w14:textId="77777777" w:rsidR="00772179" w:rsidRDefault="00000000">
      <w:pPr>
        <w:pStyle w:val="pheading"/>
      </w:pPr>
      <w:bookmarkStart w:id="201" w:name="918"/>
      <w:bookmarkEnd w:id="201"/>
      <w:r>
        <w:t>DESCRIPTION</w:t>
      </w:r>
    </w:p>
    <w:p w14:paraId="77B8A33A" w14:textId="77777777" w:rsidR="00772179" w:rsidRDefault="00000000">
      <w:pPr>
        <w:pStyle w:val="pheading"/>
      </w:pPr>
      <w:r>
        <w:t>- Définition / Comprend</w:t>
      </w:r>
    </w:p>
    <w:p w14:paraId="015AD565" w14:textId="77777777" w:rsidR="00772179" w:rsidRDefault="00000000">
      <w:pPr>
        <w:jc w:val="both"/>
      </w:pPr>
      <w:r>
        <w:t>Il s’agit de la fourniture et la pose de façades VEC sur une structure Inox.</w:t>
      </w:r>
    </w:p>
    <w:p w14:paraId="14B937C5" w14:textId="77777777" w:rsidR="00772179" w:rsidRDefault="00000000">
      <w:pPr>
        <w:jc w:val="both"/>
      </w:pPr>
      <w:r>
        <w:t>Une déclaration d'aptitude suivant 02.42.1 Critères d'acceptabilité est imposé à ces produits afin d'attester qu’ils soient conformes aux spécifications techniques.</w:t>
      </w:r>
    </w:p>
    <w:p w14:paraId="209D3D43" w14:textId="77777777" w:rsidR="00772179" w:rsidRDefault="00000000">
      <w:pPr>
        <w:pStyle w:val="pheading"/>
      </w:pPr>
      <w:r>
        <w:t>- Localisation</w:t>
      </w:r>
    </w:p>
    <w:p w14:paraId="4B43F743" w14:textId="77777777" w:rsidR="00772179" w:rsidRDefault="00000000">
      <w:r>
        <w:t xml:space="preserve">La localisation des façades VEC sur structure inox est la suivante : </w:t>
      </w:r>
      <w:r>
        <w:rPr>
          <w:rStyle w:val="optioncarChar"/>
        </w:rPr>
        <w:t>***</w:t>
      </w:r>
      <w:r>
        <w:t>.</w:t>
      </w:r>
    </w:p>
    <w:p w14:paraId="0971A537" w14:textId="77777777" w:rsidR="00772179" w:rsidRDefault="00000000">
      <w:r>
        <w:t>Voir plans et métrés détaillés</w:t>
      </w:r>
    </w:p>
    <w:p w14:paraId="67DBDEEF" w14:textId="77777777" w:rsidR="00772179" w:rsidRDefault="00000000">
      <w:pPr>
        <w:pStyle w:val="pheading"/>
      </w:pPr>
      <w:r>
        <w:t>MATÉRIAUX</w:t>
      </w:r>
    </w:p>
    <w:p w14:paraId="79045A40" w14:textId="77777777" w:rsidR="00772179" w:rsidRDefault="00000000">
      <w:pPr>
        <w:pStyle w:val="pheading"/>
      </w:pPr>
      <w:r>
        <w:t>- Caractéristiques générales</w:t>
      </w:r>
    </w:p>
    <w:p w14:paraId="37074AE0" w14:textId="77777777" w:rsidR="00772179" w:rsidRDefault="00000000">
      <w:pPr>
        <w:jc w:val="both"/>
      </w:pPr>
      <w:r>
        <w:t>Une façade VEC (vitrage extérieur collé) est une façade réalisée à l’aide de produits verriers constituant l’enveloppe extérieure du bâtiment, mis en œuvre par collage sur un cadre adéquat. Le collage transmet aux éléments d’ossature les charges climatiques et suivant le cas, les charges de poids propres.</w:t>
      </w:r>
    </w:p>
    <w:p w14:paraId="2DD05682" w14:textId="77777777" w:rsidR="00772179" w:rsidRDefault="00000000">
      <w:pPr>
        <w:jc w:val="both"/>
      </w:pPr>
      <w:r>
        <w:t>Les plans de collage considérés sont en verre et en acier inoxydable, parallèles entre eux et d’un accès aisé permettant l’injection de la colle.</w:t>
      </w:r>
    </w:p>
    <w:p w14:paraId="2C93789E" w14:textId="77777777" w:rsidR="00772179" w:rsidRDefault="00000000">
      <w:pPr>
        <w:jc w:val="both"/>
      </w:pPr>
      <w:r>
        <w:t>Il existe deux cas de figure : la feuillure avec vitrage à bords non décalés et celle avec vitrage à bords décalés.</w:t>
      </w:r>
    </w:p>
    <w:p w14:paraId="30871280" w14:textId="77777777" w:rsidR="00772179" w:rsidRDefault="00000000">
      <w:pPr>
        <w:jc w:val="both"/>
      </w:pPr>
      <w:r>
        <w:t>Les systèmes VEC se conçoivent de 4 manières différentes : avec ou sans accessoire de reprise de poids propre reportant la charge du vitrage sur le cadre de collage et avec ou sans accessoires de sécurité pour réduire le danger en cas de rupture du mastic</w:t>
      </w:r>
    </w:p>
    <w:p w14:paraId="48DD8ED1" w14:textId="77777777" w:rsidR="00772179" w:rsidRDefault="00000000">
      <w:pPr>
        <w:pStyle w:val="Author-eListParagraph"/>
        <w:numPr>
          <w:ilvl w:val="0"/>
          <w:numId w:val="473"/>
        </w:numPr>
      </w:pPr>
      <w:r>
        <w:t>Type 1 : avec accessoires de reprise du poids propre et avec accessoires de sécurité</w:t>
      </w:r>
    </w:p>
    <w:p w14:paraId="76BCCB5A" w14:textId="77777777" w:rsidR="00772179" w:rsidRDefault="00000000">
      <w:pPr>
        <w:pStyle w:val="Author-eListParagraph"/>
        <w:numPr>
          <w:ilvl w:val="0"/>
          <w:numId w:val="473"/>
        </w:numPr>
      </w:pPr>
      <w:r>
        <w:t>Type 2 : avec accessoires de reprise du poids propre et sans accessoire de sécurité</w:t>
      </w:r>
    </w:p>
    <w:p w14:paraId="43D23D52" w14:textId="77777777" w:rsidR="00772179" w:rsidRDefault="00000000">
      <w:pPr>
        <w:pStyle w:val="Author-eListParagraph"/>
        <w:numPr>
          <w:ilvl w:val="0"/>
          <w:numId w:val="473"/>
        </w:numPr>
      </w:pPr>
      <w:r>
        <w:t>Type 3 : sans accessoires de reprise du poids propre et avec accessoires de sécurité</w:t>
      </w:r>
    </w:p>
    <w:p w14:paraId="738755EB" w14:textId="77777777" w:rsidR="00772179" w:rsidRDefault="00000000">
      <w:pPr>
        <w:pStyle w:val="Author-eListParagraph"/>
        <w:numPr>
          <w:ilvl w:val="0"/>
          <w:numId w:val="473"/>
        </w:numPr>
      </w:pPr>
      <w:r>
        <w:t>Type 4 : sans accessoires de reprise du poids propre et sans accessoire de sécurité</w:t>
      </w:r>
    </w:p>
    <w:p w14:paraId="29F7FE20" w14:textId="77777777" w:rsidR="00772179" w:rsidRDefault="00000000">
      <w:pPr>
        <w:jc w:val="both"/>
      </w:pPr>
      <w:r>
        <w:t>Lorsque des accessoires de reprise du poids propre sont utilisés, le mastic structurel reprend toutes les autres sollicitations tandis que lorsque ces accessoires ne sont pas utilisés, le poids du vitrage est transmis au cadre de collage par le biais du joint de collage.</w:t>
      </w:r>
    </w:p>
    <w:p w14:paraId="29DCDEE1" w14:textId="77777777" w:rsidR="00772179" w:rsidRDefault="00000000">
      <w:pPr>
        <w:jc w:val="both"/>
      </w:pPr>
      <w:r>
        <w:lastRenderedPageBreak/>
        <w:t>Dans le cas de double vitrage, les type 1 et le type 2 sont utilisés essentiellement tandis que pour le simple vitrage, les 4 types sont utilisés indifféremment.</w:t>
      </w:r>
    </w:p>
    <w:p w14:paraId="195F1BA2" w14:textId="77777777" w:rsidR="00772179" w:rsidRDefault="00000000">
      <w:pPr>
        <w:jc w:val="both"/>
      </w:pPr>
      <w:r>
        <w:rPr>
          <w:b/>
          <w:u w:val="single"/>
        </w:rPr>
        <w:t>Produits verriers</w:t>
      </w:r>
    </w:p>
    <w:p w14:paraId="70B3CAAC" w14:textId="77777777" w:rsidR="00772179" w:rsidRDefault="00000000">
      <w:pPr>
        <w:jc w:val="both"/>
      </w:pPr>
      <w:r>
        <w:t xml:space="preserve">(Voir section </w:t>
      </w:r>
      <w:hyperlink w:anchor="852" w:history="1">
        <w:r>
          <w:rPr>
            <w:color w:val="0000EE"/>
          </w:rPr>
          <w:t>42 Vitrages extérieurs et éléments de remplissage</w:t>
        </w:r>
      </w:hyperlink>
      <w:r>
        <w:t>)</w:t>
      </w:r>
    </w:p>
    <w:p w14:paraId="3C732ADC" w14:textId="77777777" w:rsidR="00772179" w:rsidRDefault="00000000">
      <w:pPr>
        <w:jc w:val="both"/>
      </w:pPr>
      <w:r>
        <w:t xml:space="preserve">Les produits verriers retenus pour l’application en vitrage extérieur collé sont : </w:t>
      </w:r>
      <w:r>
        <w:rPr>
          <w:rStyle w:val="optioncarChar"/>
        </w:rPr>
        <w:t>recuits / durcis / trempés / feuilletés.</w:t>
      </w:r>
    </w:p>
    <w:p w14:paraId="294015DC" w14:textId="77777777" w:rsidR="00772179" w:rsidRDefault="00000000">
      <w:pPr>
        <w:jc w:val="both"/>
      </w:pPr>
      <w:r>
        <w:t xml:space="preserve">Ils sont </w:t>
      </w:r>
      <w:r>
        <w:rPr>
          <w:rStyle w:val="optioncarChar"/>
        </w:rPr>
        <w:t>transparents / translucides / opaques</w:t>
      </w:r>
      <w:r>
        <w:t xml:space="preserve"> constitués d’un des éléments suivants :</w:t>
      </w:r>
      <w:r>
        <w:rPr>
          <w:rStyle w:val="optioncarChar"/>
        </w:rPr>
        <w:t xml:space="preserve"> simple vitrage (monolithique / feuilleté) / vitrage isolant.</w:t>
      </w:r>
    </w:p>
    <w:p w14:paraId="1A936DE5" w14:textId="77777777" w:rsidR="00772179" w:rsidRDefault="00000000">
      <w:pPr>
        <w:jc w:val="both"/>
      </w:pPr>
      <w:r>
        <w:t>L’usage du verre feuilleté à résine, du verre feuilleté résistant au feu et du verre armé est exclu.</w:t>
      </w:r>
    </w:p>
    <w:p w14:paraId="24EB9CEB" w14:textId="77777777" w:rsidR="00772179" w:rsidRDefault="00000000">
      <w:pPr>
        <w:jc w:val="both"/>
      </w:pPr>
      <w:r>
        <w:t>Le verre opacifié et émaillé est utilisé à condition que l’adhésion du mastic de collage sur la couche de finition du vitrage satisfasse aux critères mécaniques du guide EOTA [ETAG 002-1], [ETAG 002-2], [ETAG 002-3].</w:t>
      </w:r>
    </w:p>
    <w:p w14:paraId="7DEFBC15" w14:textId="77777777" w:rsidR="00772179" w:rsidRDefault="00000000">
      <w:pPr>
        <w:jc w:val="both"/>
      </w:pPr>
      <w:r>
        <w:t>Le verre est émaillé</w:t>
      </w:r>
      <w:r>
        <w:rPr>
          <w:rStyle w:val="optioncarChar"/>
        </w:rPr>
        <w:t xml:space="preserve"> totalement / partiellement</w:t>
      </w:r>
      <w:r>
        <w:t>.</w:t>
      </w:r>
    </w:p>
    <w:p w14:paraId="710F743A" w14:textId="77777777" w:rsidR="00772179" w:rsidRDefault="00000000">
      <w:pPr>
        <w:jc w:val="both"/>
      </w:pPr>
      <w:r>
        <w:t xml:space="preserve">Il est également à couches classées </w:t>
      </w:r>
      <w:r>
        <w:rPr>
          <w:rStyle w:val="optioncarChar"/>
        </w:rPr>
        <w:t>A / B / S</w:t>
      </w:r>
      <w:r>
        <w:t xml:space="preserve"> suivant la norme [NBN EN 1096-2].</w:t>
      </w:r>
    </w:p>
    <w:p w14:paraId="78EAC5FC" w14:textId="77777777" w:rsidR="00772179" w:rsidRDefault="00000000">
      <w:pPr>
        <w:jc w:val="both"/>
      </w:pPr>
      <w:r>
        <w:t xml:space="preserve">Les vitrages répondent aux exigences de la norme [NBN S 23-002] et sont dimensionnés vis-à-vis des charges de vent suivant les normes [NBN S 23-002-2] et[NBN S 23-002-3]  comme mentionné à la section </w:t>
      </w:r>
      <w:hyperlink w:anchor="852" w:history="1">
        <w:r>
          <w:rPr>
            <w:color w:val="0000EE"/>
          </w:rPr>
          <w:t>42 Vitrages extérieurs et éléments de remplissage</w:t>
        </w:r>
      </w:hyperlink>
      <w:r>
        <w:t>.</w:t>
      </w:r>
    </w:p>
    <w:p w14:paraId="61BA4A8F" w14:textId="77777777" w:rsidR="00772179" w:rsidRDefault="00000000">
      <w:pPr>
        <w:jc w:val="both"/>
      </w:pPr>
      <w:r>
        <w:t>L’aptitude à l’emploi verre-mastic est démontrée sur la base du guide de l’EOTA [ETAG 002-1], [ETAG 002-2], [ETAG 002-3] :</w:t>
      </w:r>
    </w:p>
    <w:p w14:paraId="42CB2D16" w14:textId="77777777" w:rsidR="00772179" w:rsidRDefault="00000000">
      <w:pPr>
        <w:pStyle w:val="Author-eListParagraph"/>
        <w:numPr>
          <w:ilvl w:val="0"/>
          <w:numId w:val="474"/>
        </w:numPr>
      </w:pPr>
      <w:r>
        <w:t>Résistance mécanique du collage à l’état initial : § 5.1.4.1 du guide EOTA [ETAG 002-1], [ETAG 002-2], [ETAG 002-3]</w:t>
      </w:r>
    </w:p>
    <w:p w14:paraId="078D765E" w14:textId="77777777" w:rsidR="00772179" w:rsidRDefault="00000000">
      <w:pPr>
        <w:pStyle w:val="Author-eListParagraph"/>
        <w:numPr>
          <w:ilvl w:val="0"/>
          <w:numId w:val="474"/>
        </w:numPr>
      </w:pPr>
      <w:r>
        <w:t>Résistance mécanique du collage après conditionnement : § 5.1.4.2 du guide EOTA [ETAG 002-1], [ETAG 002-2], [ETAG 002-3]</w:t>
      </w:r>
    </w:p>
    <w:p w14:paraId="5902B1AA" w14:textId="77777777" w:rsidR="00772179" w:rsidRDefault="00000000">
      <w:pPr>
        <w:jc w:val="both"/>
      </w:pPr>
      <w:r>
        <w:rPr>
          <w:b/>
          <w:u w:val="single"/>
        </w:rPr>
        <w:t>Vitrage isolant</w:t>
      </w:r>
    </w:p>
    <w:p w14:paraId="5766A577" w14:textId="77777777" w:rsidR="00772179" w:rsidRDefault="00000000">
      <w:pPr>
        <w:jc w:val="both"/>
      </w:pPr>
      <w:r>
        <w:t xml:space="preserve">(Voir section </w:t>
      </w:r>
      <w:hyperlink w:anchor="852" w:history="1">
        <w:r>
          <w:rPr>
            <w:color w:val="0000EE"/>
          </w:rPr>
          <w:t>42 Vitrages extérieurs et éléments de remplissage</w:t>
        </w:r>
      </w:hyperlink>
      <w:r>
        <w:t>)</w:t>
      </w:r>
    </w:p>
    <w:p w14:paraId="17E6B6DA" w14:textId="77777777" w:rsidR="00772179" w:rsidRDefault="00000000">
      <w:pPr>
        <w:jc w:val="both"/>
      </w:pPr>
      <w:r>
        <w:t xml:space="preserve">Le vitrage isolant est </w:t>
      </w:r>
      <w:r>
        <w:rPr>
          <w:rStyle w:val="optioncarChar"/>
        </w:rPr>
        <w:t>à bords décalés (dimensions différentes des composants verriers) / à bords alignés (dimensions identiques des composants verriers)</w:t>
      </w:r>
      <w:r>
        <w:t>.</w:t>
      </w:r>
    </w:p>
    <w:p w14:paraId="09017CE6" w14:textId="77777777" w:rsidR="00772179" w:rsidRDefault="00000000">
      <w:pPr>
        <w:jc w:val="both"/>
      </w:pPr>
      <w:r>
        <w:t>Dans le cas de vitrages à bords alignés, le joint de scellement du double vitrage a également une fonction structurelle et est un joint hermétique VEC (vitrage extérieur collé) permettant à la fois de remplir les fonctions d’étanchéité mais également résistant aux sollicitations mécaniques attendues en usage VEC (conformément aux exigences du guide de l’EOTA pour les mastics structurels pour joint de collage et les produits verriers). Le joint du double vitrage répond donc aux mêmes exigences que celui de l’assemblage cadre de collage-verre.</w:t>
      </w:r>
    </w:p>
    <w:p w14:paraId="192143C5" w14:textId="77777777" w:rsidR="00772179" w:rsidRDefault="00000000">
      <w:pPr>
        <w:jc w:val="both"/>
      </w:pPr>
      <w:r>
        <w:t>Dans le cas d’un vitrage à bords décalés, si le vitrage est collé sur le cadre de collage par l’intermédiaire du verre extérieur plus long, seul le joint d’assemblage cadre inoxydable-verre joue un rôle structural tandis que le joint du double vitrage a pour seule fonction d’assurer la deuxième barrière d’étanchéité. Si cette fois le vitrage est collé sur le cadre de collage par l’intermédiaire du verre intérieur plus court, les 2 joints jouent un rôle structural.</w:t>
      </w:r>
    </w:p>
    <w:p w14:paraId="2C31A998" w14:textId="77777777" w:rsidR="00772179" w:rsidRDefault="00000000">
      <w:pPr>
        <w:jc w:val="both"/>
      </w:pPr>
      <w:r>
        <w:t>En outre, la compatibilité de l’espaceur avec les produits environnants est démontrée suivant le § 5.1.4.2.5 du guide EOTA [ETAG 002-1], [ETAG 002-2], [ETAG 002-3].</w:t>
      </w:r>
    </w:p>
    <w:p w14:paraId="0843FB92" w14:textId="77777777" w:rsidR="00772179" w:rsidRDefault="00000000">
      <w:pPr>
        <w:jc w:val="both"/>
      </w:pPr>
      <w:r>
        <w:rPr>
          <w:b/>
          <w:u w:val="single"/>
        </w:rPr>
        <w:t>Mastic structurel pour joint de collage</w:t>
      </w:r>
    </w:p>
    <w:p w14:paraId="3316D13A" w14:textId="77777777" w:rsidR="00772179" w:rsidRDefault="00000000">
      <w:pPr>
        <w:jc w:val="both"/>
      </w:pPr>
      <w:r>
        <w:t>Les produits de collage sont des mastics de silicones neutres conçus pour utilisation VEC et pour le collage acier inoxydable-verre et verre-verre. Ils sont appliqués en usine.</w:t>
      </w:r>
    </w:p>
    <w:p w14:paraId="0D6578F6" w14:textId="77777777" w:rsidR="00772179" w:rsidRDefault="00000000">
      <w:pPr>
        <w:jc w:val="both"/>
      </w:pPr>
      <w:r>
        <w:t>Leurs propriétés physiques et mécaniques satisfont aux exigences des [STS 56] et du guide d’agrément technique de l’EOTA [ETAG 002-1], [ETAG 002-2], [ETAG 002-3].</w:t>
      </w:r>
    </w:p>
    <w:p w14:paraId="08DE3582" w14:textId="77777777" w:rsidR="00772179" w:rsidRDefault="00000000">
      <w:pPr>
        <w:pStyle w:val="Author-eListParagraph"/>
        <w:numPr>
          <w:ilvl w:val="0"/>
          <w:numId w:val="475"/>
        </w:numPr>
      </w:pPr>
      <w:r>
        <w:lastRenderedPageBreak/>
        <w:t>Identification : voir § 5.2.1 du guide EOTA [ETAG 002-1], [ETAG 002-2], [ETAG 002-3]. Les caractéristiques suivantes sont évaluées pour tous les types de mastic silicone utilisés dans les systèmes VEC : masse volumique, dureté shore A, analyse thermographique et couleur</w:t>
      </w:r>
    </w:p>
    <w:p w14:paraId="4FB78249" w14:textId="77777777" w:rsidR="00772179" w:rsidRDefault="00000000">
      <w:pPr>
        <w:pStyle w:val="Author-eListParagraph"/>
        <w:numPr>
          <w:ilvl w:val="0"/>
          <w:numId w:val="475"/>
        </w:numPr>
      </w:pPr>
      <w:r>
        <w:t>Propriétés physiques : voir § 5.1.4.6 du guide EOTA [ETAG 002-1], [ETAG 002-2], [ETAG 002-3]. Il s’agit des propriétés suivantes : inclusions de gaz, reprise élastique, retrait, résistance à la déchirure, fatigue mécanique, résistance aux UV, module élastique, fluage en cisaillement</w:t>
      </w:r>
    </w:p>
    <w:p w14:paraId="4E0DFDFD" w14:textId="77777777" w:rsidR="00772179" w:rsidRDefault="00000000">
      <w:pPr>
        <w:pStyle w:val="Author-eListParagraph"/>
        <w:numPr>
          <w:ilvl w:val="0"/>
          <w:numId w:val="475"/>
        </w:numPr>
      </w:pPr>
      <w:r>
        <w:t>Résistance mécanique résiduelle après vieillissement artificiel : voir § 5.1.4.2 du guide EOTA [ETAG 002-1], [ETAG 002-2], [ETAG 002-3]. Il s’agit de vérifier l’effet des vieillissements suivants : immersion dans l’eau à haute température, humidité et atmosphère NaCl, humidité et atmosphère SO2, produits de nettoyage de la façade, effets des matériaux en contact (compatibilité des matériaux environnants)</w:t>
      </w:r>
    </w:p>
    <w:p w14:paraId="09D5BA17" w14:textId="77777777" w:rsidR="00772179" w:rsidRDefault="00000000">
      <w:pPr>
        <w:jc w:val="both"/>
      </w:pPr>
      <w:r>
        <w:t>Le collage est réalisé sur du verre clair ou avec un revêtement inorganique et la structure portante en acier inoxydable.</w:t>
      </w:r>
    </w:p>
    <w:p w14:paraId="6750BC66" w14:textId="77777777" w:rsidR="00772179" w:rsidRDefault="00000000">
      <w:pPr>
        <w:jc w:val="both"/>
      </w:pPr>
      <w:r>
        <w:t xml:space="preserve">La couleur du mastic de collage est </w:t>
      </w:r>
      <w:r>
        <w:rPr>
          <w:rStyle w:val="optioncarChar"/>
        </w:rPr>
        <w:t xml:space="preserve">noire </w:t>
      </w:r>
      <w:r>
        <w:t xml:space="preserve">(par défaut) </w:t>
      </w:r>
      <w:r>
        <w:rPr>
          <w:rStyle w:val="optioncarChar"/>
        </w:rPr>
        <w:t>/ transparente / grise / ***</w:t>
      </w:r>
      <w:r>
        <w:t>.</w:t>
      </w:r>
    </w:p>
    <w:p w14:paraId="1F58902A" w14:textId="77777777" w:rsidR="00772179" w:rsidRDefault="00000000">
      <w:pPr>
        <w:jc w:val="both"/>
      </w:pPr>
      <w:r>
        <w:rPr>
          <w:b/>
          <w:u w:val="single"/>
        </w:rPr>
        <w:t>Garniture d’étanchéité</w:t>
      </w:r>
    </w:p>
    <w:p w14:paraId="239F5F72" w14:textId="77777777" w:rsidR="00772179" w:rsidRDefault="00000000">
      <w:pPr>
        <w:jc w:val="both"/>
      </w:pPr>
      <w:r>
        <w:t xml:space="preserve">Il s’agit de </w:t>
      </w:r>
      <w:r>
        <w:rPr>
          <w:rStyle w:val="optioncarChar"/>
        </w:rPr>
        <w:t>mastics d’étanchéité</w:t>
      </w:r>
      <w:r>
        <w:t xml:space="preserve"> (par défaut) </w:t>
      </w:r>
      <w:r>
        <w:rPr>
          <w:rStyle w:val="optioncarChar"/>
        </w:rPr>
        <w:t>/ garnitures d’étanchéité préformées</w:t>
      </w:r>
      <w:r>
        <w:t xml:space="preserve"> utilisés pour les joints de finition intérieurs (solins de mastic protégeant la feuillure contre l’infiltration des eaux de condensation et de nettoyage) et pour les joints d’étanchéité extérieurs (étanchéité de la façade).</w:t>
      </w:r>
    </w:p>
    <w:p w14:paraId="341D5721" w14:textId="77777777" w:rsidR="00772179" w:rsidRDefault="00000000">
      <w:pPr>
        <w:jc w:val="both"/>
      </w:pPr>
      <w:r>
        <w:t>Ils doivent être compatibles avec tous les matériaux environnants (par exemple, finition du profilé en aluminium, fond de joint, mastic de collage, ...) et répondre aux exigences du guide EOTA [ETAG 002-1], [ETAG 002-2], [ETAG 002-3] § 5.1.4.2.5.</w:t>
      </w:r>
    </w:p>
    <w:p w14:paraId="64A46819" w14:textId="77777777" w:rsidR="00772179" w:rsidRDefault="00000000">
      <w:pPr>
        <w:jc w:val="both"/>
      </w:pPr>
      <w:r>
        <w:t xml:space="preserve">La couleur du mastic d’étanchéité est </w:t>
      </w:r>
      <w:r>
        <w:rPr>
          <w:rStyle w:val="optioncarChar"/>
        </w:rPr>
        <w:t xml:space="preserve">transparente </w:t>
      </w:r>
      <w:r>
        <w:t>(par défaut)</w:t>
      </w:r>
      <w:r>
        <w:rPr>
          <w:rStyle w:val="optioncarChar"/>
        </w:rPr>
        <w:t xml:space="preserve"> / grise / noire / ***</w:t>
      </w:r>
      <w:r>
        <w:t>.</w:t>
      </w:r>
    </w:p>
    <w:p w14:paraId="123A827E" w14:textId="77777777" w:rsidR="00772179" w:rsidRDefault="00000000">
      <w:pPr>
        <w:jc w:val="both"/>
      </w:pPr>
      <w:r>
        <w:rPr>
          <w:b/>
          <w:u w:val="single"/>
        </w:rPr>
        <w:t>Structure inox</w:t>
      </w:r>
    </w:p>
    <w:p w14:paraId="69ACD577" w14:textId="77777777" w:rsidR="00772179" w:rsidRDefault="00000000">
      <w:pPr>
        <w:jc w:val="both"/>
      </w:pPr>
      <w:r>
        <w:t xml:space="preserve">De l’acier </w:t>
      </w:r>
      <w:r>
        <w:rPr>
          <w:rStyle w:val="optioncarChar"/>
        </w:rPr>
        <w:t xml:space="preserve">inoxydable laminé </w:t>
      </w:r>
      <w:r>
        <w:t xml:space="preserve">(par défaut) </w:t>
      </w:r>
      <w:r>
        <w:rPr>
          <w:rStyle w:val="optioncarChar"/>
        </w:rPr>
        <w:t>/ inoxydable étiré</w:t>
      </w:r>
      <w:r>
        <w:t> est utilisé pour réaliser la structure de collage pour autant qu’une étude spécifique démontre son aptitude à l’emploi pour le VEC.</w:t>
      </w:r>
    </w:p>
    <w:p w14:paraId="26863131" w14:textId="77777777" w:rsidR="00772179" w:rsidRDefault="00000000">
      <w:pPr>
        <w:jc w:val="both"/>
      </w:pPr>
      <w:r>
        <w:t xml:space="preserve">Les nuances d’acier inoxydable selon la norme [NBN EN 10088-2] sont :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w:t>
      </w:r>
      <w:r>
        <w:t> .</w:t>
      </w:r>
    </w:p>
    <w:p w14:paraId="0519DB0E" w14:textId="77777777" w:rsidR="00772179" w:rsidRDefault="00000000">
      <w:pPr>
        <w:jc w:val="both"/>
      </w:pPr>
      <w:r>
        <w:t>La liaison entre la structure inox avec un mastic VEC satisfait aux exigences des § 5.1.4.1 ‘résistance mécanique initiale’ et 5.1.2.4 ‘résistance mécanique résiduelle après vieillissement artificiel’ du guide de l’EOTA [ETAG 002-1], [ETAG 002-2], [ETAG 002-3].</w:t>
      </w:r>
    </w:p>
    <w:p w14:paraId="4BF548AE" w14:textId="77777777" w:rsidR="00772179" w:rsidRDefault="00000000">
      <w:pPr>
        <w:jc w:val="both"/>
      </w:pPr>
      <w:r>
        <w:rPr>
          <w:b/>
          <w:u w:val="single"/>
        </w:rPr>
        <w:t>Accessoires mécaniques</w:t>
      </w:r>
    </w:p>
    <w:p w14:paraId="1BF21594" w14:textId="77777777" w:rsidR="00772179" w:rsidRDefault="00000000">
      <w:pPr>
        <w:pStyle w:val="Author-eListParagraph"/>
        <w:numPr>
          <w:ilvl w:val="0"/>
          <w:numId w:val="476"/>
        </w:numPr>
      </w:pPr>
      <w:r>
        <w:t>Accessoires de reprise du poids propre</w:t>
      </w:r>
    </w:p>
    <w:p w14:paraId="3132847E" w14:textId="77777777" w:rsidR="00772179" w:rsidRDefault="00000000">
      <w:pPr>
        <w:ind w:left="567"/>
        <w:jc w:val="both"/>
      </w:pPr>
      <w:r>
        <w:t>Ils ont pour fonction de reprendre le poids propre des éléments de remplissage (vitrage et allège). Il est conseillé d’équiper la façade de tels accessoires pour les doubles vitrages. Afin d’éprouver leur capacité de reprise du poids propre, ils sont testés suivant la procédure d’essai définie au § 5.1.4.1.3 ‘Essai des supports de cale d’assise’ du guide EOTA [ETAG 002-1], [ETAG 002-2], [ETAG 002-3].</w:t>
      </w:r>
    </w:p>
    <w:p w14:paraId="7A119250" w14:textId="77777777" w:rsidR="00772179" w:rsidRDefault="00000000">
      <w:pPr>
        <w:pStyle w:val="Author-eListParagraph"/>
        <w:numPr>
          <w:ilvl w:val="0"/>
          <w:numId w:val="477"/>
        </w:numPr>
      </w:pPr>
      <w:r>
        <w:t>Ancrage du cadre de collage sur l’ossature de la façade</w:t>
      </w:r>
    </w:p>
    <w:p w14:paraId="0F26FE47" w14:textId="77777777" w:rsidR="00772179" w:rsidRDefault="00000000">
      <w:pPr>
        <w:ind w:left="567"/>
        <w:jc w:val="both"/>
      </w:pPr>
      <w:r>
        <w:t xml:space="preserve">L’ancrage est effectué par </w:t>
      </w:r>
      <w:r>
        <w:rPr>
          <w:rStyle w:val="optioncarChar"/>
        </w:rPr>
        <w:t xml:space="preserve">vissage </w:t>
      </w:r>
      <w:r>
        <w:t xml:space="preserve">(par défaut) </w:t>
      </w:r>
      <w:r>
        <w:rPr>
          <w:rStyle w:val="optioncarChar"/>
        </w:rPr>
        <w:t>/ clipsage / sertissage / autre</w:t>
      </w:r>
      <w:r>
        <w:t>. Lorsqu’elle ne peut être calculée par une méthode standardisée ou par les théories classiques de la résistance des matériaux, sa capacité de reprise des efforts est évaluée suivant la procédure d’essai définie au § 5.1.4.3.2 ‘Essai sur l’ancrage du cadre support de collage sur l’ossature de la façade’ du guide EOTA [ETAG 002-1], [ETAG 002-2], [ETAG 002-3].</w:t>
      </w:r>
    </w:p>
    <w:p w14:paraId="65F59CF8" w14:textId="77777777" w:rsidR="00772179" w:rsidRDefault="00000000">
      <w:pPr>
        <w:pStyle w:val="Author-eListParagraph"/>
        <w:numPr>
          <w:ilvl w:val="0"/>
          <w:numId w:val="478"/>
        </w:numPr>
      </w:pPr>
      <w:r>
        <w:t>Accessoires de sécurité au vent</w:t>
      </w:r>
    </w:p>
    <w:p w14:paraId="1A93B242" w14:textId="77777777" w:rsidR="00772179" w:rsidRDefault="00000000">
      <w:pPr>
        <w:ind w:left="567"/>
        <w:jc w:val="both"/>
      </w:pPr>
      <w:r>
        <w:lastRenderedPageBreak/>
        <w:t>Ils peuvent être de toutes natures, de toutes formes et de techniques différentes, le cahier spécial des charges fixe les exigences les concernant ainsi que le type de vérifications nécessaires (calcul et/ou essai). </w:t>
      </w:r>
    </w:p>
    <w:p w14:paraId="2F2A517D" w14:textId="77777777" w:rsidR="00772179" w:rsidRDefault="00000000">
      <w:pPr>
        <w:jc w:val="both"/>
      </w:pPr>
      <w:r>
        <w:rPr>
          <w:b/>
          <w:u w:val="single"/>
        </w:rPr>
        <w:t>Autres composants</w:t>
      </w:r>
    </w:p>
    <w:p w14:paraId="0584F524" w14:textId="77777777" w:rsidR="00772179" w:rsidRDefault="00000000">
      <w:pPr>
        <w:jc w:val="both"/>
      </w:pPr>
      <w:r>
        <w:t>Les espaceurs (</w:t>
      </w:r>
      <w:r>
        <w:rPr>
          <w:rStyle w:val="optioncarChar"/>
        </w:rPr>
        <w:t>profilé en élastomère </w:t>
      </w:r>
      <w:r>
        <w:t>(par défaut)</w:t>
      </w:r>
      <w:r>
        <w:rPr>
          <w:rStyle w:val="optioncarChar"/>
        </w:rPr>
        <w:t xml:space="preserve"> / bande de mousse</w:t>
      </w:r>
      <w:r>
        <w:t xml:space="preserve"> destiné à définir en épaisseur et hauteur la section du mastic de collage) et fonds de joints (bande préformée continue délimitant la profondeur de la garniture d’étanchéité) sont compatibles avec les produits environnants selon le § 5.1.4.2.5 du guide EOTA [ETAG 002-1], [ETAG 002-2], [ETAG 002-3].</w:t>
      </w:r>
    </w:p>
    <w:p w14:paraId="58BD198D" w14:textId="77777777" w:rsidR="00772179" w:rsidRDefault="00000000">
      <w:pPr>
        <w:jc w:val="both"/>
      </w:pPr>
      <w:r>
        <w:t xml:space="preserve">Les cales d’assise (situés entre le support mécanique de reprise du poids propre et le verre intérieur afin de positionner le vitrage dans le cadre de collage) sont en matériau imputrescible et de dureté </w:t>
      </w:r>
      <w:r>
        <w:rPr>
          <w:rStyle w:val="optioncarChar"/>
        </w:rPr>
        <w:t>≥ 75 ° ±  5 ° Shore A / ***</w:t>
      </w:r>
      <w:r>
        <w:t>.</w:t>
      </w:r>
    </w:p>
    <w:p w14:paraId="698A2E41" w14:textId="77777777" w:rsidR="00772179" w:rsidRDefault="00000000">
      <w:pPr>
        <w:jc w:val="both"/>
      </w:pPr>
      <w:r>
        <w:rPr>
          <w:b/>
          <w:u w:val="single"/>
        </w:rPr>
        <w:t>Systèmes VEC</w:t>
      </w:r>
    </w:p>
    <w:p w14:paraId="751D735D" w14:textId="77777777" w:rsidR="00772179" w:rsidRDefault="00000000">
      <w:pPr>
        <w:jc w:val="both"/>
      </w:pPr>
      <w:r>
        <w:t xml:space="preserve">Le système VEC est de </w:t>
      </w:r>
      <w:r>
        <w:rPr>
          <w:rStyle w:val="optioncarChar"/>
        </w:rPr>
        <w:t>type 1 / type 2 / type 3 / type 4.</w:t>
      </w:r>
    </w:p>
    <w:p w14:paraId="05DFAB61" w14:textId="77777777" w:rsidR="00772179" w:rsidRDefault="00000000">
      <w:pPr>
        <w:jc w:val="both"/>
      </w:pPr>
      <w:r>
        <w:t>Pour ce qui est de l’ossature de la façade proprement dite, du cadre de collage et des performances globales de la façade VEC, les chapitres concernés des [STS 36] et de la norme [NBN B 25-002-1] sont d’application.</w:t>
      </w:r>
    </w:p>
    <w:p w14:paraId="70BE4DA0" w14:textId="77777777" w:rsidR="00772179" w:rsidRDefault="00000000">
      <w:pPr>
        <w:jc w:val="both"/>
      </w:pPr>
      <w:r>
        <w:t xml:space="preserve">En ce qui concerne les parties ouvrantes intégrées dans la façade, on se réfère au titre </w:t>
      </w:r>
      <w:hyperlink w:anchor="64" w:history="1">
        <w:r>
          <w:rPr>
            <w:color w:val="0000EE"/>
          </w:rPr>
          <w:t>41.1 Fenêtres et portes-fenêtres</w:t>
        </w:r>
      </w:hyperlink>
    </w:p>
    <w:p w14:paraId="4FB4E577" w14:textId="77777777" w:rsidR="00772179" w:rsidRDefault="00000000">
      <w:pPr>
        <w:jc w:val="both"/>
      </w:pPr>
      <w:r>
        <w:t>La compatibilité des produits de nettoyage et des différents produits entrant en contact en particulier avec le mastic structurel doit être vérifiée conformément aux § 5.1.4.2.4 et § 5.1.4.2.5 du guide EOTA [ETAG 002-1], [ETAG 002-2], [ETAG 002-3].</w:t>
      </w:r>
    </w:p>
    <w:p w14:paraId="69D3E743" w14:textId="77777777" w:rsidR="00772179" w:rsidRDefault="00000000">
      <w:pPr>
        <w:jc w:val="both"/>
      </w:pPr>
      <w:r>
        <w:t>La façade est conçue de manière à empêcher toute accumulation d’eau et à garantir un bon drainage aux abords du joint de collage (en particulier dans le cas d’utilisation de vitrages feuilletés et/ou isolants). Le contact prolongé avec l’eau est néfaste à la bonne tenue de l’adhérence dans le temps du silicone sur son support. Il est dès lors essentiel de maintenir le joint de silicone à l’abri de stagnations d’eau provenant, par exemple, d’un drainage insuffisant, d’une condensation ou d’une étanchéité mal conçue ou mal effectuée.</w:t>
      </w:r>
    </w:p>
    <w:p w14:paraId="015BD7CD" w14:textId="77777777" w:rsidR="00772179" w:rsidRDefault="00000000">
      <w:pPr>
        <w:jc w:val="both"/>
      </w:pPr>
      <w:r>
        <w:t xml:space="preserve">L’évacuation d’eau éventuelle est réalisée </w:t>
      </w:r>
      <w:r>
        <w:rPr>
          <w:rStyle w:val="optioncarChar"/>
        </w:rPr>
        <w:t xml:space="preserve">en feuillure drainée (par des trous de surface ≥ 50 mm² et dont la plus petite dimension est ≥ 6 mm permettant l’évacuation des eaux d’infiltration ou de condensation. Prévoir un minimum de 3 trous par travée) </w:t>
      </w:r>
      <w:r>
        <w:t xml:space="preserve">(par défaut) </w:t>
      </w:r>
      <w:r>
        <w:rPr>
          <w:rStyle w:val="optioncarChar"/>
        </w:rPr>
        <w:t>/ ***</w:t>
      </w:r>
      <w:r>
        <w:t>.</w:t>
      </w:r>
    </w:p>
    <w:p w14:paraId="3B727A83" w14:textId="77777777" w:rsidR="00772179" w:rsidRDefault="00000000">
      <w:r>
        <w:t>Performances des systèmes VEC suivant la norme [NBN B 25-002-1] :</w:t>
      </w:r>
    </w:p>
    <w:p w14:paraId="31D2BF6B" w14:textId="77777777" w:rsidR="00772179" w:rsidRDefault="00000000">
      <w:pPr>
        <w:pStyle w:val="Author-eListParagraph"/>
        <w:numPr>
          <w:ilvl w:val="0"/>
          <w:numId w:val="479"/>
        </w:numPr>
      </w:pPr>
      <w:r>
        <w:t xml:space="preserve">Performances thermiques - valeur Ucw : </w:t>
      </w:r>
      <w:r>
        <w:rPr>
          <w:rStyle w:val="optioncarChar"/>
        </w:rPr>
        <w:t>pas d'application</w:t>
      </w:r>
      <w:r>
        <w:t xml:space="preserve"> (par défaut) </w:t>
      </w:r>
      <w:r>
        <w:rPr>
          <w:rStyle w:val="optioncarChar"/>
        </w:rPr>
        <w:t>/ 0,85 / 0,65</w:t>
      </w:r>
      <w:r>
        <w:t xml:space="preserve"> W/m²K</w:t>
      </w:r>
    </w:p>
    <w:p w14:paraId="7D064A47" w14:textId="77777777" w:rsidR="00772179" w:rsidRDefault="00000000">
      <w:pPr>
        <w:pStyle w:val="Author-eListParagraph"/>
        <w:numPr>
          <w:ilvl w:val="0"/>
          <w:numId w:val="479"/>
        </w:numPr>
      </w:pPr>
      <w:r>
        <w:t xml:space="preserve">Perméabilité à l’air : </w:t>
      </w:r>
      <w:r>
        <w:rPr>
          <w:rStyle w:val="optioncarChar"/>
        </w:rPr>
        <w:t>pas d'application</w:t>
      </w:r>
      <w:r>
        <w:t xml:space="preserve"> (par défaut) </w:t>
      </w:r>
      <w:r>
        <w:rPr>
          <w:rStyle w:val="optioncarChar"/>
        </w:rPr>
        <w:t>/ Classe A4</w:t>
      </w:r>
    </w:p>
    <w:p w14:paraId="755C80E6" w14:textId="77777777" w:rsidR="00772179" w:rsidRDefault="00000000">
      <w:pPr>
        <w:pStyle w:val="Author-eListParagraph"/>
        <w:numPr>
          <w:ilvl w:val="0"/>
          <w:numId w:val="479"/>
        </w:numPr>
      </w:pPr>
      <w:r>
        <w:t>Etanchéité à l’eau de classe : </w:t>
      </w:r>
      <w:r>
        <w:rPr>
          <w:rStyle w:val="optioncarChar"/>
        </w:rPr>
        <w:t>pas d'application</w:t>
      </w:r>
      <w:r>
        <w:t xml:space="preserve"> (par défaut) </w:t>
      </w:r>
      <w:r>
        <w:rPr>
          <w:rStyle w:val="optioncarChar"/>
        </w:rPr>
        <w:t>/ R7/600Pa / ***</w:t>
      </w:r>
    </w:p>
    <w:p w14:paraId="78C9E22D" w14:textId="77777777" w:rsidR="00772179" w:rsidRDefault="00000000">
      <w:pPr>
        <w:pStyle w:val="Author-eListParagraph"/>
        <w:numPr>
          <w:ilvl w:val="0"/>
          <w:numId w:val="479"/>
        </w:numPr>
      </w:pPr>
      <w:r>
        <w:t>Résistance au vent de Classe : </w:t>
      </w:r>
      <w:r>
        <w:rPr>
          <w:rStyle w:val="optioncarChar"/>
        </w:rPr>
        <w:t>pas d'application</w:t>
      </w:r>
      <w:r>
        <w:t xml:space="preserve"> (par défaut) </w:t>
      </w:r>
      <w:r>
        <w:rPr>
          <w:rStyle w:val="optioncarChar"/>
        </w:rPr>
        <w:t>/ (wk = 1200 Pa/ wu = 1800 Pa) / ***</w:t>
      </w:r>
    </w:p>
    <w:p w14:paraId="73F6C477" w14:textId="77777777" w:rsidR="00772179" w:rsidRDefault="00000000">
      <w:pPr>
        <w:pStyle w:val="Author-eListParagraph"/>
        <w:numPr>
          <w:ilvl w:val="0"/>
          <w:numId w:val="479"/>
        </w:numPr>
      </w:pPr>
      <w:r>
        <w:t xml:space="preserve">Efforts de manœuvre des parties ouvrantes : </w:t>
      </w:r>
      <w:r>
        <w:rPr>
          <w:rStyle w:val="optioncarChar"/>
        </w:rPr>
        <w:t>pas d'application</w:t>
      </w:r>
      <w:r>
        <w:t xml:space="preserve"> (par défaut) </w:t>
      </w:r>
      <w:r>
        <w:rPr>
          <w:rStyle w:val="optioncarChar"/>
        </w:rPr>
        <w:t>/ classe 1 / classe 2 (PMR)</w:t>
      </w:r>
    </w:p>
    <w:p w14:paraId="5CDC0DA1" w14:textId="77777777" w:rsidR="00772179" w:rsidRDefault="00000000">
      <w:pPr>
        <w:pStyle w:val="Author-eListParagraph"/>
        <w:numPr>
          <w:ilvl w:val="0"/>
          <w:numId w:val="479"/>
        </w:numPr>
      </w:pPr>
      <w:r>
        <w:t>Abus d’utilisation des parties ouvrantes : </w:t>
      </w:r>
      <w:r>
        <w:rPr>
          <w:rStyle w:val="optioncarChar"/>
        </w:rPr>
        <w:t>pas d'application</w:t>
      </w:r>
      <w:r>
        <w:t xml:space="preserve"> (par défaut) </w:t>
      </w:r>
      <w:r>
        <w:rPr>
          <w:rStyle w:val="optioncarChar"/>
        </w:rPr>
        <w:t>/ classe 3 / 4 (écoles, bâtiments publics)</w:t>
      </w:r>
    </w:p>
    <w:p w14:paraId="0103B1D5" w14:textId="77777777" w:rsidR="00772179" w:rsidRDefault="00000000">
      <w:pPr>
        <w:pStyle w:val="Author-eListParagraph"/>
        <w:numPr>
          <w:ilvl w:val="0"/>
          <w:numId w:val="479"/>
        </w:numPr>
      </w:pPr>
      <w:r>
        <w:t>Performances acoustiques - D Atr : </w:t>
      </w:r>
      <w:r>
        <w:rPr>
          <w:rStyle w:val="optioncarChar"/>
        </w:rPr>
        <w:t>pas d'application</w:t>
      </w:r>
      <w:r>
        <w:t xml:space="preserve"> (par défaut)</w:t>
      </w:r>
      <w:r>
        <w:rPr>
          <w:rStyle w:val="optioncarChar"/>
        </w:rPr>
        <w:t xml:space="preserve"> / &gt; 38 dB</w:t>
      </w:r>
    </w:p>
    <w:p w14:paraId="05C9F1C7" w14:textId="77777777" w:rsidR="00772179" w:rsidRDefault="00000000">
      <w:pPr>
        <w:pStyle w:val="Author-eListParagraph"/>
        <w:numPr>
          <w:ilvl w:val="0"/>
          <w:numId w:val="479"/>
        </w:numPr>
      </w:pPr>
      <w:r>
        <w:t xml:space="preserve">Résistance à l’effraction : </w:t>
      </w:r>
      <w:r>
        <w:rPr>
          <w:rStyle w:val="optioncarChar"/>
        </w:rPr>
        <w:t>pas d'application</w:t>
      </w:r>
      <w:r>
        <w:t xml:space="preserve"> (par défaut) </w:t>
      </w:r>
      <w:r>
        <w:rPr>
          <w:rStyle w:val="optioncarChar"/>
        </w:rPr>
        <w:t>/ Classe RC 2</w:t>
      </w:r>
    </w:p>
    <w:p w14:paraId="2F4D1804" w14:textId="77777777" w:rsidR="00772179" w:rsidRDefault="00000000">
      <w:pPr>
        <w:pStyle w:val="Author-eListParagraph"/>
        <w:numPr>
          <w:ilvl w:val="0"/>
          <w:numId w:val="479"/>
        </w:numPr>
      </w:pPr>
      <w:r>
        <w:t xml:space="preserve">Résistance à l’explosion : </w:t>
      </w:r>
      <w:r>
        <w:rPr>
          <w:rStyle w:val="optioncarChar"/>
        </w:rPr>
        <w:t xml:space="preserve">non spécifié </w:t>
      </w:r>
      <w:r>
        <w:t xml:space="preserve">(par défaut) </w:t>
      </w:r>
      <w:r>
        <w:rPr>
          <w:rStyle w:val="optioncarChar"/>
        </w:rPr>
        <w:t>/ ***</w:t>
      </w:r>
    </w:p>
    <w:p w14:paraId="3B9F23AF" w14:textId="77777777" w:rsidR="00772179" w:rsidRDefault="00000000">
      <w:pPr>
        <w:pStyle w:val="Author-eListParagraph"/>
        <w:numPr>
          <w:ilvl w:val="0"/>
          <w:numId w:val="479"/>
        </w:numPr>
      </w:pPr>
      <w:r>
        <w:t xml:space="preserve">Résistance aux balles : </w:t>
      </w:r>
      <w:r>
        <w:rPr>
          <w:rStyle w:val="optioncarChar"/>
        </w:rPr>
        <w:t>non spécifié</w:t>
      </w:r>
      <w:r>
        <w:t> (par défaut)</w:t>
      </w:r>
      <w:r>
        <w:rPr>
          <w:rStyle w:val="facultChar"/>
        </w:rPr>
        <w:t> </w:t>
      </w:r>
      <w:r>
        <w:rPr>
          <w:rStyle w:val="optioncarChar"/>
        </w:rPr>
        <w:t>/ ***</w:t>
      </w:r>
    </w:p>
    <w:p w14:paraId="6328BD09" w14:textId="77777777" w:rsidR="00772179" w:rsidRDefault="00000000">
      <w:pPr>
        <w:pStyle w:val="Author-eListParagraph"/>
        <w:numPr>
          <w:ilvl w:val="0"/>
          <w:numId w:val="479"/>
        </w:numPr>
      </w:pPr>
      <w:r>
        <w:t xml:space="preserve">Résistance et réaction au feu : </w:t>
      </w:r>
      <w:r>
        <w:rPr>
          <w:rStyle w:val="optioncarChar"/>
        </w:rPr>
        <w:t>non spécifié </w:t>
      </w:r>
      <w:r>
        <w:t>(par défaut) </w:t>
      </w:r>
      <w:r>
        <w:rPr>
          <w:rStyle w:val="optioncarChar"/>
        </w:rPr>
        <w:t>/ ***</w:t>
      </w:r>
    </w:p>
    <w:p w14:paraId="2CE8FD4E" w14:textId="77777777" w:rsidR="00772179" w:rsidRDefault="00000000">
      <w:pPr>
        <w:pStyle w:val="Author-eListParagraph"/>
        <w:numPr>
          <w:ilvl w:val="0"/>
          <w:numId w:val="479"/>
        </w:numPr>
      </w:pPr>
      <w:r>
        <w:t xml:space="preserve">Résistance aux chocs : </w:t>
      </w:r>
      <w:r>
        <w:rPr>
          <w:rStyle w:val="optioncarChar"/>
        </w:rPr>
        <w:t>pas d'application</w:t>
      </w:r>
      <w:r>
        <w:t xml:space="preserve"> (par défaut) </w:t>
      </w:r>
      <w:r>
        <w:rPr>
          <w:rStyle w:val="optioncarChar"/>
        </w:rPr>
        <w:t>/ Classes E4/I3</w:t>
      </w:r>
    </w:p>
    <w:p w14:paraId="014A568E" w14:textId="77777777" w:rsidR="00772179" w:rsidRDefault="00000000">
      <w:r>
        <w:t xml:space="preserve"> Types de fenêtres et portes-fenêtres </w:t>
      </w:r>
    </w:p>
    <w:p w14:paraId="1BE7486D" w14:textId="77777777" w:rsidR="00772179" w:rsidRDefault="00000000">
      <w:r>
        <w:rPr>
          <w:rStyle w:val="facultChar"/>
        </w:rPr>
        <w:t xml:space="preserve">(Voir titre </w:t>
      </w:r>
      <w:hyperlink w:anchor="64" w:history="1">
        <w:r>
          <w:rPr>
            <w:rStyle w:val="facultChar"/>
            <w:color w:val="0000EE"/>
          </w:rPr>
          <w:t>41.1 Fenêtres et portes-fenêtres</w:t>
        </w:r>
      </w:hyperlink>
      <w:r>
        <w:rPr>
          <w:rStyle w:val="facultChar"/>
        </w:rPr>
        <w:t>)</w:t>
      </w:r>
    </w:p>
    <w:p w14:paraId="12D231FA" w14:textId="77777777" w:rsidR="00772179" w:rsidRDefault="00000000">
      <w:r>
        <w:lastRenderedPageBreak/>
        <w:t xml:space="preserve">Dimensions : </w:t>
      </w:r>
      <w:r>
        <w:rPr>
          <w:rStyle w:val="optioncarChar"/>
        </w:rPr>
        <w:t>***</w:t>
      </w:r>
      <w:r>
        <w:t xml:space="preserve"> x </w:t>
      </w:r>
      <w:r>
        <w:rPr>
          <w:rStyle w:val="optioncarChar"/>
        </w:rPr>
        <w:t>***</w:t>
      </w:r>
      <w:r>
        <w:t xml:space="preserve"> mm </w:t>
      </w:r>
      <w:r>
        <w:br/>
        <w:t xml:space="preserve"> Remplissage : </w:t>
      </w:r>
      <w:r>
        <w:rPr>
          <w:rStyle w:val="optioncarChar"/>
        </w:rPr>
        <w:t xml:space="preserve"> ***</w:t>
      </w:r>
      <w:r>
        <w:rPr>
          <w:rStyle w:val="facultChar"/>
        </w:rPr>
        <w:t xml:space="preserve"> (Voir section </w:t>
      </w:r>
      <w:hyperlink w:anchor="852" w:history="1">
        <w:r>
          <w:rPr>
            <w:rStyle w:val="facultChar"/>
            <w:color w:val="0000EE"/>
          </w:rPr>
          <w:t>42 Vitrages extérieurs et éléments de remplissage</w:t>
        </w:r>
      </w:hyperlink>
      <w:r>
        <w:rPr>
          <w:rStyle w:val="facultChar"/>
        </w:rPr>
        <w:t>)</w:t>
      </w:r>
      <w:r>
        <w:br/>
        <w:t xml:space="preserve"> Type d’ouvrant : </w:t>
      </w:r>
      <w:r>
        <w:rPr>
          <w:rStyle w:val="optioncarChar"/>
        </w:rPr>
        <w:t xml:space="preserve">oscillo-battant </w:t>
      </w:r>
      <w:r>
        <w:t>(par défaut)</w:t>
      </w:r>
      <w:r>
        <w:rPr>
          <w:rStyle w:val="optioncarChar"/>
        </w:rPr>
        <w:t xml:space="preserve"> / battant / basculant / projetant / pivotant / ***</w:t>
      </w:r>
      <w:r>
        <w:rPr>
          <w:rStyle w:val="facultChar"/>
        </w:rPr>
        <w:t>.</w:t>
      </w:r>
      <w:r>
        <w:br/>
        <w:t>Quincaillerie :</w:t>
      </w:r>
      <w:r>
        <w:rPr>
          <w:rStyle w:val="facultChar"/>
        </w:rPr>
        <w:t xml:space="preserve"> (voir sous-titre </w:t>
      </w:r>
      <w:hyperlink w:anchor="884" w:history="1">
        <w:r>
          <w:rPr>
            <w:rStyle w:val="facultChar"/>
            <w:color w:val="0000EE"/>
          </w:rPr>
          <w:t>41.72 Quincailleries</w:t>
        </w:r>
      </w:hyperlink>
      <w:r>
        <w:rPr>
          <w:rStyle w:val="facultChar"/>
        </w:rPr>
        <w:t>)</w:t>
      </w:r>
      <w:r>
        <w:br/>
      </w:r>
    </w:p>
    <w:p w14:paraId="24D40187" w14:textId="77777777" w:rsidR="00772179" w:rsidRDefault="00000000">
      <w:r>
        <w:t xml:space="preserve"> Nuances de teintes du verre recuit </w:t>
      </w:r>
    </w:p>
    <w:p w14:paraId="744B4EA0" w14:textId="77777777" w:rsidR="00772179" w:rsidRDefault="00000000">
      <w:r>
        <w:rPr>
          <w:rStyle w:val="facultChar"/>
        </w:rPr>
        <w:t xml:space="preserve">(Voir section </w:t>
      </w:r>
      <w:hyperlink w:anchor="918" w:history="1">
        <w:r>
          <w:rPr>
            <w:rStyle w:val="facultChar"/>
            <w:color w:val="0000EE"/>
          </w:rPr>
          <w:t>41.42.2a Systèmes de façade VEC - structure inox</w:t>
        </w:r>
      </w:hyperlink>
      <w:r>
        <w:rPr>
          <w:rStyle w:val="facultChar"/>
        </w:rPr>
        <w:t>)</w:t>
      </w:r>
    </w:p>
    <w:p w14:paraId="081449A0" w14:textId="77777777" w:rsidR="00772179" w:rsidRDefault="00772179"/>
    <w:p w14:paraId="0D5933CE" w14:textId="77777777" w:rsidR="00772179" w:rsidRDefault="00000000">
      <w:pPr>
        <w:ind w:left="750"/>
      </w:pPr>
      <w:r>
        <w:t> </w:t>
      </w:r>
    </w:p>
    <w:p w14:paraId="32250D8D" w14:textId="77777777" w:rsidR="00772179" w:rsidRDefault="00000000">
      <w:pPr>
        <w:pStyle w:val="pheading"/>
      </w:pPr>
      <w:r>
        <w:t>- Finitions</w:t>
      </w:r>
    </w:p>
    <w:p w14:paraId="5285980A" w14:textId="77777777" w:rsidR="00772179" w:rsidRDefault="00000000">
      <w:pPr>
        <w:pStyle w:val="Author-eListParagraph"/>
        <w:numPr>
          <w:ilvl w:val="0"/>
          <w:numId w:val="480"/>
        </w:numPr>
        <w:jc w:val="both"/>
      </w:pPr>
      <w:r>
        <w:t>Profilés de collage</w:t>
      </w:r>
    </w:p>
    <w:p w14:paraId="6A268BDA" w14:textId="77777777" w:rsidR="00772179" w:rsidRDefault="00772179">
      <w:pPr>
        <w:pStyle w:val="Author-eListParagraph"/>
        <w:numPr>
          <w:ilvl w:val="0"/>
          <w:numId w:val="480"/>
        </w:numPr>
        <w:jc w:val="both"/>
      </w:pPr>
    </w:p>
    <w:p w14:paraId="63D00A54" w14:textId="77777777" w:rsidR="00772179" w:rsidRDefault="00000000">
      <w:pPr>
        <w:pStyle w:val="Author-eListParagraph"/>
        <w:numPr>
          <w:ilvl w:val="1"/>
          <w:numId w:val="481"/>
        </w:numPr>
      </w:pPr>
      <w:r>
        <w:t>les profilés sont sciés et ébarbés. Les assemblages sont fraisés et ajustés de manière à respecter la forme des profilés transversaux.</w:t>
      </w:r>
    </w:p>
    <w:p w14:paraId="3F291414" w14:textId="77777777" w:rsidR="00772179" w:rsidRDefault="00000000">
      <w:pPr>
        <w:pStyle w:val="Author-eListParagraph"/>
        <w:numPr>
          <w:ilvl w:val="1"/>
          <w:numId w:val="481"/>
        </w:numPr>
      </w:pPr>
      <w:r>
        <w:t xml:space="preserve">La teinte des profilés de collage est </w:t>
      </w:r>
      <w:r>
        <w:rPr>
          <w:rStyle w:val="optioncarChar"/>
        </w:rPr>
        <w:t>naturelle</w:t>
      </w:r>
      <w:r>
        <w:t xml:space="preserve"> (par défaut)</w:t>
      </w:r>
      <w:r>
        <w:rPr>
          <w:rStyle w:val="optioncarChar"/>
        </w:rPr>
        <w:t xml:space="preserve"> / couleur RAL : *** / ***</w:t>
      </w:r>
    </w:p>
    <w:p w14:paraId="25F41BC2" w14:textId="77777777" w:rsidR="00772179" w:rsidRDefault="00000000">
      <w:pPr>
        <w:pStyle w:val="Author-eListParagraph"/>
        <w:numPr>
          <w:ilvl w:val="1"/>
          <w:numId w:val="481"/>
        </w:numPr>
      </w:pPr>
      <w:r>
        <w:t xml:space="preserve">L’assemblage des angles est </w:t>
      </w:r>
      <w:r>
        <w:rPr>
          <w:rStyle w:val="optioncarChar"/>
        </w:rPr>
        <w:t xml:space="preserve">soudé </w:t>
      </w:r>
      <w:r>
        <w:t>(par défaut)</w:t>
      </w:r>
      <w:r>
        <w:rPr>
          <w:rStyle w:val="optioncarChar"/>
        </w:rPr>
        <w:t xml:space="preserve"> / ***</w:t>
      </w:r>
      <w:r>
        <w:t>.</w:t>
      </w:r>
      <w:r>
        <w:br/>
      </w:r>
    </w:p>
    <w:p w14:paraId="20D9A8CF" w14:textId="77777777" w:rsidR="00772179" w:rsidRDefault="00000000">
      <w:pPr>
        <w:pStyle w:val="Author-eListParagraph"/>
        <w:numPr>
          <w:ilvl w:val="0"/>
          <w:numId w:val="480"/>
        </w:numPr>
        <w:jc w:val="both"/>
      </w:pPr>
      <w:r>
        <w:t xml:space="preserve">Finition des chants du verre : voir section </w:t>
      </w:r>
      <w:hyperlink w:anchor="852" w:history="1">
        <w:r>
          <w:rPr>
            <w:color w:val="0000EE"/>
          </w:rPr>
          <w:t>42 Vitrages extérieurs et éléments de remplissage</w:t>
        </w:r>
      </w:hyperlink>
    </w:p>
    <w:p w14:paraId="592DE40A" w14:textId="77777777" w:rsidR="00772179" w:rsidRDefault="00000000">
      <w:pPr>
        <w:pStyle w:val="pheading"/>
      </w:pPr>
      <w:r>
        <w:t>EXÉCUTION / MISE EN ŒUVRE</w:t>
      </w:r>
    </w:p>
    <w:p w14:paraId="5092417A" w14:textId="77777777" w:rsidR="00772179" w:rsidRDefault="00000000">
      <w:pPr>
        <w:pStyle w:val="pheading"/>
      </w:pPr>
      <w:r>
        <w:t>- Prescriptions générales</w:t>
      </w:r>
    </w:p>
    <w:p w14:paraId="15E6CA1A" w14:textId="77777777" w:rsidR="00772179" w:rsidRDefault="00000000">
      <w:pPr>
        <w:jc w:val="both"/>
      </w:pPr>
      <w:r>
        <w:t xml:space="preserve">Le calcul de la stabilité des différents éléments est du ressort </w:t>
      </w:r>
      <w:r>
        <w:rPr>
          <w:rStyle w:val="optioncarChar"/>
        </w:rPr>
        <w:t>du façadier / du bureau d’études / ***</w:t>
      </w:r>
      <w:r>
        <w:t>.</w:t>
      </w:r>
    </w:p>
    <w:p w14:paraId="51E406AF" w14:textId="77777777" w:rsidR="00772179" w:rsidRDefault="00000000">
      <w:pPr>
        <w:jc w:val="both"/>
      </w:pPr>
      <w:r>
        <w:rPr>
          <w:b/>
          <w:u w:val="single"/>
        </w:rPr>
        <w:t>Opérations de collage</w:t>
      </w:r>
    </w:p>
    <w:p w14:paraId="33E14D1A" w14:textId="77777777" w:rsidR="00772179" w:rsidRDefault="00000000">
      <w:pPr>
        <w:jc w:val="both"/>
      </w:pPr>
      <w:r>
        <w:t>Les essais de convenance définis dans le guide EOTA [ETAG 002-1], [ETAG 002-2], [ETAG 002-3] sont effectués par le producteur de mastic, pour chaque type de support (structure de collage, verre) et de finition. Le colleur doit se conformer aux exigences dictées par les essais de convenance.</w:t>
      </w:r>
    </w:p>
    <w:p w14:paraId="6557BD01" w14:textId="77777777" w:rsidR="00772179" w:rsidRDefault="00000000">
      <w:pPr>
        <w:jc w:val="both"/>
      </w:pPr>
      <w:r>
        <w:t>L’opération de collage nécessite un soin particulier. Elle n'est réalisée que par une entreprise spécialisée pour ce genre de réalisation et bénéficiant d’un contrôle par un organisme extérieur notifié (dans le cadre du marquage CE). Elle est exécutée dans un atelier conditionné (température et humidité relative) et maintenu à l’abri de la poussière. Le joint est injecté en respectant scrupuleusement les instructions du producteur de mastic et en veillant à éliminer les occlusions d’air. Une attention particulière est portée au nettoyage des surfaces de collage et à l’application du primaire éventuel pour tous les joints collés.</w:t>
      </w:r>
    </w:p>
    <w:p w14:paraId="71FAB20B" w14:textId="77777777" w:rsidR="00772179" w:rsidRDefault="00000000">
      <w:pPr>
        <w:jc w:val="both"/>
      </w:pPr>
      <w:r>
        <w:t>Les principales opérations et recommandations lors du collage (pas nécessairement dans un ordre chronologique) :</w:t>
      </w:r>
    </w:p>
    <w:p w14:paraId="398D324D" w14:textId="77777777" w:rsidR="00772179" w:rsidRDefault="00000000">
      <w:pPr>
        <w:pStyle w:val="Author-eListParagraph"/>
        <w:numPr>
          <w:ilvl w:val="0"/>
          <w:numId w:val="482"/>
        </w:numPr>
      </w:pPr>
      <w:r>
        <w:t>Les composants sont stockés dans l’atelier au moins 24 heures avant collage de manière à ce qu’ils soient tous à la même température</w:t>
      </w:r>
    </w:p>
    <w:p w14:paraId="78CF99CC" w14:textId="77777777" w:rsidR="00772179" w:rsidRDefault="00000000">
      <w:pPr>
        <w:pStyle w:val="Author-eListParagraph"/>
        <w:numPr>
          <w:ilvl w:val="0"/>
          <w:numId w:val="482"/>
        </w:numPr>
      </w:pPr>
      <w:r>
        <w:t>Les surfaces de collage sur les profilés et le vitrage sont nettoyées à l’aide d’un solvant dégraissant. La couche réfléchissante et/ou le film opacifiant de certains produits verriers n’étant pas compatibles avec les produits à leur contact dans la feuillure, il convient de les éliminer au préalable des surfaces de collage.</w:t>
      </w:r>
    </w:p>
    <w:p w14:paraId="4F4C218B" w14:textId="77777777" w:rsidR="00772179" w:rsidRDefault="00000000">
      <w:pPr>
        <w:pStyle w:val="Author-eListParagraph"/>
        <w:numPr>
          <w:ilvl w:val="0"/>
          <w:numId w:val="482"/>
        </w:numPr>
      </w:pPr>
      <w:r>
        <w:t>Si nécessaire, application du primaire d’adhérence.</w:t>
      </w:r>
    </w:p>
    <w:p w14:paraId="36AFA3D8" w14:textId="77777777" w:rsidR="00772179" w:rsidRDefault="00000000">
      <w:pPr>
        <w:pStyle w:val="Author-eListParagraph"/>
        <w:numPr>
          <w:ilvl w:val="0"/>
          <w:numId w:val="482"/>
        </w:numPr>
      </w:pPr>
      <w:r>
        <w:t>Mise en place d’un espaceur délimitant les plans de collage, pose des cales éventuelles du vitrage intérieur et positionnement du vitrage.</w:t>
      </w:r>
    </w:p>
    <w:p w14:paraId="0B2D60DA" w14:textId="77777777" w:rsidR="00772179" w:rsidRDefault="00000000">
      <w:pPr>
        <w:pStyle w:val="Author-eListParagraph"/>
        <w:numPr>
          <w:ilvl w:val="0"/>
          <w:numId w:val="482"/>
        </w:numPr>
      </w:pPr>
      <w:r>
        <w:t>Extrusion du mastic après nettoyage ou séchage du primaire éventuel.</w:t>
      </w:r>
    </w:p>
    <w:p w14:paraId="66E93454" w14:textId="77777777" w:rsidR="00772179" w:rsidRDefault="00000000">
      <w:pPr>
        <w:pStyle w:val="Author-eListParagraph"/>
        <w:numPr>
          <w:ilvl w:val="0"/>
          <w:numId w:val="482"/>
        </w:numPr>
      </w:pPr>
      <w:r>
        <w:t>Lissage du joint.</w:t>
      </w:r>
    </w:p>
    <w:p w14:paraId="1B897001" w14:textId="77777777" w:rsidR="00772179" w:rsidRDefault="00000000">
      <w:pPr>
        <w:pStyle w:val="Author-eListParagraph"/>
        <w:numPr>
          <w:ilvl w:val="0"/>
          <w:numId w:val="482"/>
        </w:numPr>
      </w:pPr>
      <w:r>
        <w:t>Mise en place des accessoires de reprise du poids propre au contact du vitrage.</w:t>
      </w:r>
    </w:p>
    <w:p w14:paraId="029AA903" w14:textId="77777777" w:rsidR="00772179" w:rsidRDefault="00000000">
      <w:pPr>
        <w:pStyle w:val="Author-eListParagraph"/>
        <w:numPr>
          <w:ilvl w:val="0"/>
          <w:numId w:val="482"/>
        </w:numPr>
      </w:pPr>
      <w:r>
        <w:t>Aucun mouvement du cadre de collage par rapport au vitrage n’est permis lors de la réticulation et du développement de l’adhérence.</w:t>
      </w:r>
    </w:p>
    <w:p w14:paraId="025298FB" w14:textId="77777777" w:rsidR="00772179" w:rsidRDefault="00000000">
      <w:pPr>
        <w:pStyle w:val="Author-eListParagraph"/>
        <w:numPr>
          <w:ilvl w:val="0"/>
          <w:numId w:val="482"/>
        </w:numPr>
      </w:pPr>
      <w:r>
        <w:t>Polymérisation du joint pendant la durée prescrite par le fabricant de mastic.</w:t>
      </w:r>
    </w:p>
    <w:p w14:paraId="35C39434" w14:textId="77777777" w:rsidR="00772179" w:rsidRDefault="00000000">
      <w:pPr>
        <w:pStyle w:val="Author-eListParagraph"/>
        <w:numPr>
          <w:ilvl w:val="0"/>
          <w:numId w:val="482"/>
        </w:numPr>
      </w:pPr>
      <w:r>
        <w:lastRenderedPageBreak/>
        <w:t>Le collage fait l’objet d’un autocontrôle conformément au guide EOTA [ETAG 002-1], [ETAG 002-2], [ETAG 002-3].</w:t>
      </w:r>
    </w:p>
    <w:p w14:paraId="2B195026" w14:textId="77777777" w:rsidR="00772179" w:rsidRDefault="00000000">
      <w:pPr>
        <w:jc w:val="both"/>
      </w:pPr>
      <w:r>
        <w:rPr>
          <w:b/>
          <w:u w:val="single"/>
        </w:rPr>
        <w:t>Mise en œuvre et stockage</w:t>
      </w:r>
    </w:p>
    <w:p w14:paraId="05249C06" w14:textId="77777777" w:rsidR="00772179" w:rsidRDefault="00000000">
      <w:pPr>
        <w:jc w:val="both"/>
      </w:pPr>
      <w:r>
        <w:t>Les cadres collés sont stockés sans sollicitations et entreposés sur chantier en prenant les précautions nécessaires contre les agents extérieurs et les intempéries (stagnation d’eau et accumulation des poussières sur les joints VEC).</w:t>
      </w:r>
    </w:p>
    <w:p w14:paraId="688239F7" w14:textId="77777777" w:rsidR="00772179" w:rsidRDefault="00000000">
      <w:pPr>
        <w:jc w:val="both"/>
      </w:pPr>
      <w:r>
        <w:t>Le responsable du montage note, sur les plans des façades, les numéros de repère des cadres en fonction de l’avancement de la pose.</w:t>
      </w:r>
    </w:p>
    <w:p w14:paraId="66F6A3E0" w14:textId="77777777" w:rsidR="00772179" w:rsidRDefault="00000000">
      <w:pPr>
        <w:jc w:val="both"/>
      </w:pPr>
      <w:r>
        <w:t>En ce qui concerne la pose des cadres de collage sur l’ossature, les instructions du fabricant seront scrupuleusement respectées.</w:t>
      </w:r>
    </w:p>
    <w:p w14:paraId="1EF9BED7" w14:textId="77777777" w:rsidR="00772179" w:rsidRDefault="00000000">
      <w:pPr>
        <w:jc w:val="both"/>
      </w:pPr>
      <w:r>
        <w:t>Toute opération de collage sur chantier est strictement interdite.</w:t>
      </w:r>
    </w:p>
    <w:p w14:paraId="6E1AF83F" w14:textId="77777777" w:rsidR="00772179" w:rsidRDefault="00000000">
      <w:pPr>
        <w:jc w:val="both"/>
      </w:pPr>
      <w:r>
        <w:rPr>
          <w:b/>
          <w:u w:val="single"/>
        </w:rPr>
        <w:t>Entretien et inspection</w:t>
      </w:r>
    </w:p>
    <w:p w14:paraId="1BB2874B" w14:textId="77777777" w:rsidR="00772179" w:rsidRDefault="00000000">
      <w:pPr>
        <w:jc w:val="both"/>
      </w:pPr>
      <w:r>
        <w:t>Pour conserver entièrement leur aptitude à l’emploi durant la durée de vie escomptée, les vitrages extérieurs collés sont correctement entretenus. L’entretien comprend un lavage général avec des produits de nettoyage appropriés compatibles avec les composants VEC, en considérant tous les aspects concernant les différents composants et en faisant appel aux essais décrits pour apprécier la compatibilité des produits de nettoyage avec le système VEC (§ 5.1.4.2.4 du guide EOTA [ETAG 002-1], [ETAG 002-2], [ETAG 002-3]).</w:t>
      </w:r>
    </w:p>
    <w:p w14:paraId="2AFD0C35" w14:textId="77777777" w:rsidR="00772179" w:rsidRDefault="00000000">
      <w:pPr>
        <w:jc w:val="both"/>
      </w:pPr>
      <w:r>
        <w:t>Il est en outre conseillé de procéder à une inspection annuelle des joints.</w:t>
      </w:r>
    </w:p>
    <w:p w14:paraId="48CA1D6D" w14:textId="77777777" w:rsidR="00772179" w:rsidRDefault="00000000">
      <w:pPr>
        <w:jc w:val="both"/>
      </w:pPr>
      <w:r>
        <w:rPr>
          <w:b/>
          <w:u w:val="single"/>
        </w:rPr>
        <w:t>Réparation</w:t>
      </w:r>
    </w:p>
    <w:p w14:paraId="0CD7C614" w14:textId="77777777" w:rsidR="00772179" w:rsidRDefault="00000000">
      <w:pPr>
        <w:jc w:val="both"/>
      </w:pPr>
      <w:r>
        <w:t>L’entrepreneur fournit au maître d’ouvrage et le cas échéant à l’auteur de projet la méthode de remplacement ultérieur des vitrages du système de façade VEC pour approbation.</w:t>
      </w:r>
    </w:p>
    <w:p w14:paraId="4CD69AD2" w14:textId="77777777" w:rsidR="00772179" w:rsidRDefault="00000000">
      <w:pPr>
        <w:jc w:val="both"/>
      </w:pPr>
      <w:r>
        <w:rPr>
          <w:b/>
          <w:u w:val="single"/>
        </w:rPr>
        <w:t>Notes complémentaires</w:t>
      </w:r>
    </w:p>
    <w:p w14:paraId="5FFE54E9" w14:textId="77777777" w:rsidR="00772179" w:rsidRDefault="00000000">
      <w:r>
        <w:t>Conditions de mise en œuvre</w:t>
      </w:r>
    </w:p>
    <w:p w14:paraId="3B0C5AB1" w14:textId="77777777" w:rsidR="00772179" w:rsidRDefault="00000000">
      <w:r>
        <w:t>Quel que soit le système utilisé, la mise en œuvre satisfait aux conditions suivantes :</w:t>
      </w:r>
    </w:p>
    <w:p w14:paraId="64000F4A" w14:textId="77777777" w:rsidR="00772179" w:rsidRDefault="00000000">
      <w:pPr>
        <w:pStyle w:val="Author-eListParagraph"/>
        <w:numPr>
          <w:ilvl w:val="0"/>
          <w:numId w:val="483"/>
        </w:numPr>
      </w:pPr>
      <w:r>
        <w:t>les joints de collage sont des joints épais (ep. ≥ 6 mm) réalisés au moyen de mastic structurel en silicone neutre</w:t>
      </w:r>
    </w:p>
    <w:p w14:paraId="715785A9" w14:textId="77777777" w:rsidR="00772179" w:rsidRDefault="00000000">
      <w:pPr>
        <w:pStyle w:val="Author-eListParagraph"/>
        <w:numPr>
          <w:ilvl w:val="0"/>
          <w:numId w:val="483"/>
        </w:numPr>
      </w:pPr>
      <w:r>
        <w:t>la conception peu inclure des discontinuités locales (pour le drainage ou le calage) dans le joint structurel, à condition qu’aucun côté ne soit entièrement libre ou que les performances structurelles aient été vérifiées</w:t>
      </w:r>
    </w:p>
    <w:p w14:paraId="45AFA74B" w14:textId="77777777" w:rsidR="00772179" w:rsidRDefault="00000000">
      <w:pPr>
        <w:pStyle w:val="Author-eListParagraph"/>
        <w:numPr>
          <w:ilvl w:val="0"/>
          <w:numId w:val="483"/>
        </w:numPr>
      </w:pPr>
      <w:r>
        <w:t>le mastic de collage est obligatoirement mis en œuvre en atelier</w:t>
      </w:r>
    </w:p>
    <w:p w14:paraId="7EB1CEAB" w14:textId="77777777" w:rsidR="00772179" w:rsidRDefault="00000000">
      <w:pPr>
        <w:pStyle w:val="Author-eListParagraph"/>
        <w:numPr>
          <w:ilvl w:val="0"/>
          <w:numId w:val="483"/>
        </w:numPr>
      </w:pPr>
      <w:r>
        <w:t>l’angle de pose est compris entre 7° (par rapport à l’horizontale) et la verticale. Le vitrage ne peut être incliné vers le vide, excepté pour les systèmes de type 1 sous réserve d’une étude spéciale.</w:t>
      </w:r>
    </w:p>
    <w:p w14:paraId="065281F1" w14:textId="77777777" w:rsidR="00772179" w:rsidRDefault="00000000">
      <w:r>
        <w:t>Verre imprimé ou dépoli par sablage</w:t>
      </w:r>
    </w:p>
    <w:p w14:paraId="264FABEE" w14:textId="77777777" w:rsidR="00772179" w:rsidRDefault="00000000">
      <w:r>
        <w:t>Lors de l’emploi de tels vitrages, le collage est effectué sur une plage lisse. Lors de l’utilisation de tels produits, des justifications expérimentales au cas par cas sont effectuées afin de s’assurer de leurs caractéristiques mécaniques.</w:t>
      </w:r>
    </w:p>
    <w:p w14:paraId="598397D6" w14:textId="77777777" w:rsidR="00772179" w:rsidRDefault="00772179"/>
    <w:p w14:paraId="2864C66F" w14:textId="77777777" w:rsidR="00772179" w:rsidRDefault="00000000">
      <w:pPr>
        <w:pStyle w:val="pheading"/>
      </w:pPr>
      <w:r>
        <w:t>- Notes d’exécution complémentaires</w:t>
      </w:r>
    </w:p>
    <w:p w14:paraId="3D1D540F" w14:textId="77777777" w:rsidR="00772179" w:rsidRDefault="00772179"/>
    <w:p w14:paraId="292EA515" w14:textId="77777777" w:rsidR="00772179" w:rsidRDefault="00000000">
      <w:pPr>
        <w:jc w:val="both"/>
      </w:pPr>
      <w:r>
        <w:t> </w:t>
      </w:r>
    </w:p>
    <w:p w14:paraId="7D7FE41A" w14:textId="77777777" w:rsidR="00772179" w:rsidRDefault="00000000">
      <w:pPr>
        <w:pStyle w:val="pheading"/>
      </w:pPr>
      <w:r>
        <w:t>DOCUMENTS DE RÉFÉRENCE COMPLÉMENTAIRES</w:t>
      </w:r>
    </w:p>
    <w:p w14:paraId="2E5EB29B" w14:textId="77777777" w:rsidR="00772179" w:rsidRDefault="00000000">
      <w:pPr>
        <w:pStyle w:val="pheading"/>
      </w:pPr>
      <w:r>
        <w:t>- Matériau</w:t>
      </w:r>
    </w:p>
    <w:p w14:paraId="01F6B336" w14:textId="77777777" w:rsidR="00772179" w:rsidRDefault="00000000">
      <w:r>
        <w:t>[ETAG 002-1, Structural Sealant Glazing Systems - Part 1: Supported and Unsupported Systems]</w:t>
      </w:r>
    </w:p>
    <w:p w14:paraId="7045DC5B" w14:textId="77777777" w:rsidR="00772179" w:rsidRDefault="00000000">
      <w:r>
        <w:lastRenderedPageBreak/>
        <w:t>[ETAG 002-2, Structural Sealant Glazing Systems - Part 2 : Coated Aluminium Systems]</w:t>
      </w:r>
    </w:p>
    <w:p w14:paraId="432382AD" w14:textId="77777777" w:rsidR="00772179" w:rsidRDefault="00000000">
      <w:r>
        <w:t>[ETAG 002-3, Structural Sealant Glazing Systems - Part 3 : Systems incorporating profiles with thermal barrier]</w:t>
      </w:r>
    </w:p>
    <w:p w14:paraId="4458FBBE" w14:textId="77777777" w:rsidR="00772179" w:rsidRDefault="00000000">
      <w:r>
        <w:t>[NBN B 25-002-1, Menuiserie extérieure - Partie 1: Prescription des performances générales – Fenêtres et façades rideaux]</w:t>
      </w:r>
    </w:p>
    <w:p w14:paraId="24BE7A26" w14:textId="77777777" w:rsidR="00772179" w:rsidRDefault="00000000">
      <w:r>
        <w:t>[NBN EN 1096-2, Verre dans la construction - Verre à couche - Partie 2: Exigences et méthodes d'essai pour les couches de classes A, B et S]</w:t>
      </w:r>
    </w:p>
    <w:p w14:paraId="3A60BA47" w14:textId="77777777" w:rsidR="00772179" w:rsidRDefault="00000000">
      <w:r>
        <w:t>[NBN EN 10088-2, Aciers inoxydables - Partie 2: Conditions techniques de livraison des tôles et bandes en acier de résistance à la corrosion pour usage général]</w:t>
      </w:r>
    </w:p>
    <w:p w14:paraId="2BD711A8" w14:textId="77777777" w:rsidR="00772179" w:rsidRDefault="00000000">
      <w:r>
        <w:t>[NBN EN 13022-2, Verre dans la construction - Système de vitrage extérieur collé (VEC) - Partie 2: Règles d'assemblage]</w:t>
      </w:r>
    </w:p>
    <w:p w14:paraId="74CD2807" w14:textId="77777777" w:rsidR="00772179" w:rsidRDefault="00000000">
      <w:r>
        <w:t>[NBN EN 13119, Façades rideaux - Terminologie]</w:t>
      </w:r>
    </w:p>
    <w:p w14:paraId="7D85981D" w14:textId="77777777" w:rsidR="00772179" w:rsidRDefault="00000000">
      <w:r>
        <w:t>[NBN EN 13830:2015+A1, Façades rideaux - Norme de produit]</w:t>
      </w:r>
    </w:p>
    <w:p w14:paraId="09298F3E" w14:textId="77777777" w:rsidR="00772179" w:rsidRDefault="00000000">
      <w:r>
        <w:t>[NBN EN 15434+A1, Verre dans la construction - Norme de produits pour produit de collage et de scellement structurel et/ou résistants aux rayonnements ultraviolets (utilisé pour les vitrages extérieurs collés et/ou pour les vitrages isolants à bords exposés)]</w:t>
      </w:r>
    </w:p>
    <w:p w14:paraId="1A68F6FF" w14:textId="77777777" w:rsidR="00772179" w:rsidRDefault="00000000">
      <w:r>
        <w:t>[NBN S 23-002, Vitrerie]</w:t>
      </w:r>
    </w:p>
    <w:p w14:paraId="47D85453" w14:textId="77777777" w:rsidR="00772179" w:rsidRDefault="00000000">
      <w:r>
        <w:t>[NBN S 23-002-2, Vitrerie - Partie 2 : Calcul des épaisseurs de verre]</w:t>
      </w:r>
    </w:p>
    <w:p w14:paraId="5127DD20" w14:textId="77777777" w:rsidR="00772179" w:rsidRDefault="00000000">
      <w:r>
        <w:t>[NBN S 23-002-3, Vitrerie - Partie 3 : Calcul des épaisseurs de verre en façade]</w:t>
      </w:r>
    </w:p>
    <w:p w14:paraId="015B00D3" w14:textId="77777777" w:rsidR="00772179" w:rsidRDefault="00000000">
      <w:r>
        <w:t>[STS 56, Vitrages extérieurs collés]</w:t>
      </w:r>
    </w:p>
    <w:p w14:paraId="1B3B5D38" w14:textId="77777777" w:rsidR="00772179" w:rsidRDefault="00000000">
      <w:pPr>
        <w:pStyle w:val="pheading"/>
      </w:pPr>
      <w:r>
        <w:t>- Exécution</w:t>
      </w:r>
    </w:p>
    <w:p w14:paraId="4F73FA85" w14:textId="77777777" w:rsidR="00772179" w:rsidRDefault="00000000">
      <w:r>
        <w:t>[ETAG 002-1, Structural Sealant Glazing Systems - Part 1: Supported and Unsupported Systems]</w:t>
      </w:r>
    </w:p>
    <w:p w14:paraId="2F5EA91B" w14:textId="77777777" w:rsidR="00772179" w:rsidRDefault="00000000">
      <w:r>
        <w:t>[ETAG 002-2, Structural Sealant Glazing Systems - Part 2 : Coated Aluminium Systems]</w:t>
      </w:r>
    </w:p>
    <w:p w14:paraId="5D8A3870" w14:textId="77777777" w:rsidR="00772179" w:rsidRDefault="00000000">
      <w:r>
        <w:t>[ETAG 002-3, Structural Sealant Glazing Systems - Part 3 : Systems incorporating profiles with thermal barrier]</w:t>
      </w:r>
    </w:p>
    <w:p w14:paraId="1AA41368" w14:textId="77777777" w:rsidR="00772179" w:rsidRDefault="00000000">
      <w:r>
        <w:t>[STS 56, Vitrages extérieurs collés]</w:t>
      </w:r>
    </w:p>
    <w:p w14:paraId="238933C8" w14:textId="77777777" w:rsidR="00772179" w:rsidRDefault="00000000">
      <w:pPr>
        <w:pStyle w:val="pheading"/>
      </w:pPr>
      <w:r>
        <w:t>MESURAGE</w:t>
      </w:r>
    </w:p>
    <w:p w14:paraId="61943F92" w14:textId="77777777" w:rsidR="00772179" w:rsidRDefault="00000000">
      <w:pPr>
        <w:pStyle w:val="pheading"/>
      </w:pPr>
      <w:r>
        <w:t>- unité de mesure:</w:t>
      </w:r>
    </w:p>
    <w:p w14:paraId="0F579B8F" w14:textId="77777777" w:rsidR="00772179" w:rsidRDefault="00000000">
      <w:r>
        <w:t>m²</w:t>
      </w:r>
    </w:p>
    <w:p w14:paraId="2EF7766C" w14:textId="77777777" w:rsidR="00772179" w:rsidRDefault="00000000">
      <w:pPr>
        <w:pStyle w:val="pheading"/>
      </w:pPr>
      <w:r>
        <w:t>- code de mesurage:</w:t>
      </w:r>
    </w:p>
    <w:p w14:paraId="6686CCEC" w14:textId="77777777" w:rsidR="00772179" w:rsidRDefault="00000000">
      <w:pPr>
        <w:jc w:val="both"/>
      </w:pPr>
      <w:r>
        <w:t>Surface nette en développement des dimensions dans l'œuvre (ventilée selon le type ou le modèle conformément aux indications dans le métré récapitulatif annexé au dossier d'adjudication).</w:t>
      </w:r>
    </w:p>
    <w:p w14:paraId="5C7062B5" w14:textId="77777777" w:rsidR="00772179" w:rsidRDefault="00000000">
      <w:pPr>
        <w:pStyle w:val="pheading"/>
      </w:pPr>
      <w:r>
        <w:t>- nature du marché:</w:t>
      </w:r>
    </w:p>
    <w:p w14:paraId="5E87A5F3" w14:textId="77777777" w:rsidR="00772179" w:rsidRDefault="00000000">
      <w:r>
        <w:t>QF</w:t>
      </w:r>
    </w:p>
    <w:p w14:paraId="14F64035" w14:textId="77777777" w:rsidR="00772179" w:rsidRDefault="00000000">
      <w:pPr>
        <w:pStyle w:val="Author-eSectionHeading5Numberless"/>
      </w:pPr>
      <w:bookmarkStart w:id="202" w:name="_Toc220489943"/>
      <w:r>
        <w:t>41.42.3 Systèmes de façade VEC - structure alu CCTB 01.12</w:t>
      </w:r>
      <w:bookmarkEnd w:id="202"/>
    </w:p>
    <w:p w14:paraId="4609FE6E" w14:textId="77777777" w:rsidR="00772179" w:rsidRDefault="00000000">
      <w:pPr>
        <w:pStyle w:val="pheading"/>
      </w:pPr>
      <w:bookmarkStart w:id="203" w:name="919"/>
      <w:bookmarkEnd w:id="203"/>
      <w:r>
        <w:t>DESCRIPTION</w:t>
      </w:r>
    </w:p>
    <w:p w14:paraId="08729F40" w14:textId="77777777" w:rsidR="00772179" w:rsidRDefault="00000000">
      <w:pPr>
        <w:pStyle w:val="pheading"/>
      </w:pPr>
      <w:r>
        <w:t>- Définition / Comprend</w:t>
      </w:r>
    </w:p>
    <w:p w14:paraId="30541332" w14:textId="77777777" w:rsidR="00772179" w:rsidRDefault="00000000">
      <w:pPr>
        <w:jc w:val="both"/>
      </w:pPr>
      <w:r>
        <w:t>Il s’agit de la fourniture et la pose de façades VEC (vitrage extérieur collé) sur une structure aluminium.</w:t>
      </w:r>
    </w:p>
    <w:p w14:paraId="247140CE" w14:textId="77777777" w:rsidR="00772179" w:rsidRDefault="00000000">
      <w:pPr>
        <w:pStyle w:val="pheading"/>
      </w:pPr>
      <w:r>
        <w:t>MATÉRIAUX</w:t>
      </w:r>
    </w:p>
    <w:p w14:paraId="27CFD7EF" w14:textId="77777777" w:rsidR="00772179" w:rsidRDefault="00000000">
      <w:pPr>
        <w:jc w:val="both"/>
      </w:pPr>
      <w:r>
        <w:t>La façade est constituée d’une structure portante en aluminium et de vitrages collés. </w:t>
      </w:r>
    </w:p>
    <w:p w14:paraId="6B9BAF08" w14:textId="77777777" w:rsidR="00772179" w:rsidRDefault="00000000">
      <w:pPr>
        <w:jc w:val="both"/>
      </w:pPr>
      <w:r>
        <w:lastRenderedPageBreak/>
        <w:t>Les plans de collage considérés sont en verre et en aluminium, parallèles entre eux et d’un accès aisé permettant l’injection de la colle.</w:t>
      </w:r>
    </w:p>
    <w:p w14:paraId="4E96C37C" w14:textId="77777777" w:rsidR="00772179" w:rsidRDefault="00000000">
      <w:pPr>
        <w:jc w:val="both"/>
      </w:pPr>
      <w:r>
        <w:rPr>
          <w:b/>
        </w:rPr>
        <w:t>Profilés extrudés à rupture de pont thermique suivant [NBN EN 14024] :</w:t>
      </w:r>
    </w:p>
    <w:p w14:paraId="08D65660" w14:textId="77777777" w:rsidR="00772179" w:rsidRDefault="00000000">
      <w:pPr>
        <w:pStyle w:val="Author-eListParagraph"/>
        <w:numPr>
          <w:ilvl w:val="0"/>
          <w:numId w:val="484"/>
        </w:numPr>
      </w:pPr>
      <w:r>
        <w:t xml:space="preserve">Alliage d’aluminium suivant [STS 52.2] : </w:t>
      </w:r>
      <w:r>
        <w:rPr>
          <w:rStyle w:val="optioncarChar"/>
        </w:rPr>
        <w:t>AW-6060 / AW-6063 / AW-6060-B</w:t>
      </w:r>
    </w:p>
    <w:p w14:paraId="21BC4AB0" w14:textId="77777777" w:rsidR="00772179" w:rsidRDefault="00000000">
      <w:pPr>
        <w:pStyle w:val="Author-eListParagraph"/>
        <w:numPr>
          <w:ilvl w:val="0"/>
          <w:numId w:val="484"/>
        </w:numPr>
      </w:pPr>
      <w:r>
        <w:t>Catégorie d’utilisation : CW</w:t>
      </w:r>
    </w:p>
    <w:p w14:paraId="4F8A030D" w14:textId="77777777" w:rsidR="00772179" w:rsidRDefault="00000000">
      <w:pPr>
        <w:pStyle w:val="Author-eListParagraph"/>
        <w:numPr>
          <w:ilvl w:val="0"/>
          <w:numId w:val="484"/>
        </w:numPr>
      </w:pPr>
      <w:r>
        <w:t xml:space="preserve">Catégories de température : </w:t>
      </w:r>
      <w:r>
        <w:rPr>
          <w:rStyle w:val="optioncarChar"/>
        </w:rPr>
        <w:t>TC1 / TC2</w:t>
      </w:r>
      <w:r>
        <w:t xml:space="preserve"> (par défaut)</w:t>
      </w:r>
    </w:p>
    <w:p w14:paraId="7CA3DDA4" w14:textId="77777777" w:rsidR="00772179" w:rsidRDefault="00000000">
      <w:pPr>
        <w:pStyle w:val="Author-eListParagraph"/>
        <w:numPr>
          <w:ilvl w:val="0"/>
          <w:numId w:val="484"/>
        </w:numPr>
      </w:pPr>
      <w:r>
        <w:t>Matériau de coupure thermique conforme à [ETAG 002-3] à base de PA ou PU /ou PVC avec ou sans fibres de verre</w:t>
      </w:r>
    </w:p>
    <w:p w14:paraId="357AC734" w14:textId="77777777" w:rsidR="00772179" w:rsidRDefault="00000000">
      <w:pPr>
        <w:jc w:val="both"/>
      </w:pPr>
      <w:r>
        <w:rPr>
          <w:b/>
        </w:rPr>
        <w:t>Garniture d’étanchéité à l’extérieur :</w:t>
      </w:r>
    </w:p>
    <w:p w14:paraId="4238DBA6" w14:textId="77777777" w:rsidR="00772179" w:rsidRDefault="00000000">
      <w:pPr>
        <w:jc w:val="both"/>
      </w:pPr>
      <w:r>
        <w:t>Matériau :  </w:t>
      </w:r>
      <w:r>
        <w:rPr>
          <w:rStyle w:val="optioncarChar"/>
        </w:rPr>
        <w:t xml:space="preserve">mastics d’étanchéité </w:t>
      </w:r>
      <w:r>
        <w:t>(par défaut)</w:t>
      </w:r>
      <w:r>
        <w:rPr>
          <w:rStyle w:val="optioncarChar"/>
        </w:rPr>
        <w:t xml:space="preserve"> / garnitures d’étanchéité préformées</w:t>
      </w:r>
    </w:p>
    <w:p w14:paraId="1A4F4D44" w14:textId="77777777" w:rsidR="00772179" w:rsidRDefault="00000000">
      <w:pPr>
        <w:jc w:val="both"/>
      </w:pPr>
      <w:r>
        <w:rPr>
          <w:b/>
        </w:rPr>
        <w:t>(soit par défaut)</w:t>
      </w:r>
    </w:p>
    <w:p w14:paraId="6F53FAFF" w14:textId="77777777" w:rsidR="00772179" w:rsidRDefault="00000000">
      <w:pPr>
        <w:jc w:val="both"/>
      </w:pPr>
      <w:r>
        <w:rPr>
          <w:rStyle w:val="soitChar"/>
          <w:u w:val="single"/>
        </w:rPr>
        <w:t>Mastics d’étanchéité :</w:t>
      </w:r>
    </w:p>
    <w:p w14:paraId="03D10BEA" w14:textId="77777777" w:rsidR="00772179" w:rsidRDefault="00000000">
      <w:pPr>
        <w:pStyle w:val="Author-eListParagraph"/>
        <w:numPr>
          <w:ilvl w:val="0"/>
          <w:numId w:val="485"/>
        </w:numPr>
      </w:pPr>
      <w:r>
        <w:rPr>
          <w:rStyle w:val="soitChar"/>
        </w:rPr>
        <w:t>Compatible SSG kit suivant [NBN EN ISO 11600]</w:t>
      </w:r>
    </w:p>
    <w:p w14:paraId="05C2CC7B" w14:textId="77777777" w:rsidR="00772179" w:rsidRDefault="00000000">
      <w:pPr>
        <w:pStyle w:val="Author-eListParagraph"/>
        <w:numPr>
          <w:ilvl w:val="0"/>
          <w:numId w:val="485"/>
        </w:numPr>
      </w:pPr>
      <w:r>
        <w:rPr>
          <w:rStyle w:val="soitChar"/>
        </w:rPr>
        <w:t xml:space="preserve">Type G-LM, sur fond de joint en : </w:t>
      </w:r>
      <w:r>
        <w:rPr>
          <w:rStyle w:val="optioncarChar"/>
        </w:rPr>
        <w:t xml:space="preserve">PE </w:t>
      </w:r>
      <w:r>
        <w:t xml:space="preserve">(par défaut) </w:t>
      </w:r>
      <w:r>
        <w:rPr>
          <w:rStyle w:val="optioncarChar"/>
        </w:rPr>
        <w:t>/ ***.</w:t>
      </w:r>
    </w:p>
    <w:p w14:paraId="1D2B2E34" w14:textId="77777777" w:rsidR="00772179" w:rsidRDefault="00000000">
      <w:pPr>
        <w:pStyle w:val="Author-eListParagraph"/>
        <w:numPr>
          <w:ilvl w:val="0"/>
          <w:numId w:val="485"/>
        </w:numPr>
      </w:pPr>
      <w:r>
        <w:rPr>
          <w:rStyle w:val="soitChar"/>
        </w:rPr>
        <w:t>Compatible avec tous les matériaux environnants</w:t>
      </w:r>
    </w:p>
    <w:p w14:paraId="1C98381E" w14:textId="77777777" w:rsidR="00772179" w:rsidRDefault="00000000">
      <w:pPr>
        <w:jc w:val="both"/>
      </w:pPr>
      <w:r>
        <w:rPr>
          <w:b/>
        </w:rPr>
        <w:t>(soit)</w:t>
      </w:r>
    </w:p>
    <w:p w14:paraId="16AD855B" w14:textId="77777777" w:rsidR="00772179" w:rsidRDefault="00000000">
      <w:pPr>
        <w:jc w:val="both"/>
      </w:pPr>
      <w:r>
        <w:rPr>
          <w:rStyle w:val="soitChar"/>
          <w:u w:val="single"/>
        </w:rPr>
        <w:t>Garnitures d'étanchéié préformées</w:t>
      </w:r>
      <w:r>
        <w:rPr>
          <w:rStyle w:val="soitChar"/>
        </w:rPr>
        <w:t> suivant [NBN EN 12365 série] :</w:t>
      </w:r>
    </w:p>
    <w:p w14:paraId="19E1BF37" w14:textId="77777777" w:rsidR="00772179" w:rsidRDefault="00000000">
      <w:pPr>
        <w:pStyle w:val="Author-eListParagraph"/>
        <w:numPr>
          <w:ilvl w:val="0"/>
          <w:numId w:val="486"/>
        </w:numPr>
      </w:pPr>
      <w:r>
        <w:rPr>
          <w:rStyle w:val="soitChar"/>
        </w:rPr>
        <w:t xml:space="preserve">Matériau : </w:t>
      </w:r>
      <w:r>
        <w:rPr>
          <w:rStyle w:val="optioncarChar"/>
        </w:rPr>
        <w:t xml:space="preserve">EPDM </w:t>
      </w:r>
      <w:r>
        <w:t>(par défaut)</w:t>
      </w:r>
      <w:r>
        <w:rPr>
          <w:rStyle w:val="optioncarChar"/>
        </w:rPr>
        <w:t xml:space="preserve"> / ***</w:t>
      </w:r>
    </w:p>
    <w:p w14:paraId="04715B94" w14:textId="77777777" w:rsidR="00772179" w:rsidRDefault="00000000">
      <w:pPr>
        <w:jc w:val="both"/>
      </w:pPr>
      <w:r>
        <w:rPr>
          <w:b/>
        </w:rPr>
        <w:t>Aspects environnementaux :</w:t>
      </w:r>
    </w:p>
    <w:p w14:paraId="0BD2F1E5" w14:textId="77777777" w:rsidR="00772179" w:rsidRDefault="00000000">
      <w:pPr>
        <w:pStyle w:val="Author-eListParagraph"/>
        <w:numPr>
          <w:ilvl w:val="0"/>
          <w:numId w:val="487"/>
        </w:numPr>
        <w:jc w:val="both"/>
      </w:pPr>
      <w:r>
        <w:t>Les profilés aluminium utilisés sont labellisés Craddle to craddle :</w:t>
      </w:r>
      <w:r>
        <w:rPr>
          <w:rStyle w:val="optioncarChar"/>
        </w:rPr>
        <w:t xml:space="preserve"> oui </w:t>
      </w:r>
      <w:r>
        <w:t>(par défaut)</w:t>
      </w:r>
      <w:r>
        <w:rPr>
          <w:rStyle w:val="optioncarChar"/>
        </w:rPr>
        <w:t xml:space="preserve"> / non</w:t>
      </w:r>
    </w:p>
    <w:p w14:paraId="3696895A" w14:textId="77777777" w:rsidR="00772179" w:rsidRDefault="00000000">
      <w:pPr>
        <w:pStyle w:val="Author-eListParagraph"/>
        <w:numPr>
          <w:ilvl w:val="0"/>
          <w:numId w:val="487"/>
        </w:numPr>
        <w:jc w:val="both"/>
      </w:pPr>
      <w:r>
        <w:t>Les profilés sont réalisés avec une part d’aluminium recyclé : ≥ </w:t>
      </w:r>
      <w:r>
        <w:rPr>
          <w:rStyle w:val="optioncarChar"/>
        </w:rPr>
        <w:t xml:space="preserve">40 </w:t>
      </w:r>
      <w:r>
        <w:t>(par défaut)</w:t>
      </w:r>
      <w:r>
        <w:rPr>
          <w:rStyle w:val="optioncarChar"/>
        </w:rPr>
        <w:t xml:space="preserve"> / 70 / ***</w:t>
      </w:r>
      <w:r>
        <w:t xml:space="preserve"> %</w:t>
      </w:r>
    </w:p>
    <w:p w14:paraId="48200D26" w14:textId="77777777" w:rsidR="00772179" w:rsidRDefault="00000000">
      <w:pPr>
        <w:pStyle w:val="Author-eListParagraph"/>
        <w:numPr>
          <w:ilvl w:val="0"/>
          <w:numId w:val="487"/>
        </w:numPr>
        <w:jc w:val="both"/>
      </w:pPr>
      <w:r>
        <w:t>Le vitrage utilisé contient une part de verre recyclé : ≥ </w:t>
      </w:r>
      <w:r>
        <w:rPr>
          <w:rStyle w:val="optioncarChar"/>
        </w:rPr>
        <w:t xml:space="preserve">30 </w:t>
      </w:r>
      <w:r>
        <w:t>(par défaut)</w:t>
      </w:r>
      <w:r>
        <w:rPr>
          <w:rStyle w:val="optioncarChar"/>
        </w:rPr>
        <w:t xml:space="preserve"> / *** </w:t>
      </w:r>
    </w:p>
    <w:p w14:paraId="10A54146" w14:textId="77777777" w:rsidR="00772179" w:rsidRDefault="00772179">
      <w:pPr>
        <w:pStyle w:val="Author-eListParagraph"/>
        <w:numPr>
          <w:ilvl w:val="0"/>
          <w:numId w:val="487"/>
        </w:numPr>
        <w:jc w:val="both"/>
      </w:pPr>
    </w:p>
    <w:p w14:paraId="2EC5E56F" w14:textId="77777777" w:rsidR="00772179" w:rsidRDefault="00000000">
      <w:pPr>
        <w:jc w:val="both"/>
      </w:pPr>
      <w:r>
        <w:rPr>
          <w:b/>
        </w:rPr>
        <w:t>Finition :</w:t>
      </w:r>
      <w:r>
        <w:rPr>
          <w:rStyle w:val="optioncarChar"/>
        </w:rPr>
        <w:t>thermolaquage</w:t>
      </w:r>
      <w:r>
        <w:t xml:space="preserve"> (par défaut) </w:t>
      </w:r>
      <w:r>
        <w:rPr>
          <w:rStyle w:val="optioncarChar"/>
        </w:rPr>
        <w:t>/ anodisation</w:t>
      </w:r>
    </w:p>
    <w:p w14:paraId="78FFA657" w14:textId="77777777" w:rsidR="00772179" w:rsidRDefault="00000000">
      <w:pPr>
        <w:jc w:val="both"/>
      </w:pPr>
      <w:r>
        <w:rPr>
          <w:b/>
        </w:rPr>
        <w:t>(soit par défaut)</w:t>
      </w:r>
    </w:p>
    <w:p w14:paraId="029D61B4" w14:textId="77777777" w:rsidR="00772179" w:rsidRDefault="00000000">
      <w:pPr>
        <w:jc w:val="both"/>
      </w:pPr>
      <w:r>
        <w:rPr>
          <w:rStyle w:val="soitChar"/>
          <w:u w:val="single"/>
        </w:rPr>
        <w:t>Thermolaquage</w:t>
      </w:r>
      <w:r>
        <w:rPr>
          <w:rStyle w:val="soitChar"/>
        </w:rPr>
        <w:t> suivant [NBN EN 12206-1] :</w:t>
      </w:r>
    </w:p>
    <w:p w14:paraId="6AB9E0DF" w14:textId="77777777" w:rsidR="00772179" w:rsidRDefault="00000000">
      <w:pPr>
        <w:pStyle w:val="Author-eListParagraph"/>
        <w:numPr>
          <w:ilvl w:val="0"/>
          <w:numId w:val="488"/>
        </w:numPr>
      </w:pPr>
      <w:r>
        <w:rPr>
          <w:rStyle w:val="soitChar"/>
        </w:rPr>
        <w:t xml:space="preserve">Épaisseur de finition par poudre : </w:t>
      </w:r>
      <w:r>
        <w:rPr>
          <w:rStyle w:val="optioncarChar"/>
        </w:rPr>
        <w:t xml:space="preserve">60 / 110 </w:t>
      </w:r>
      <w:r>
        <w:t>(par défaut)</w:t>
      </w:r>
      <w:r>
        <w:rPr>
          <w:rStyle w:val="optioncarChar"/>
        </w:rPr>
        <w:t xml:space="preserve"> / ***</w:t>
      </w:r>
      <w:r>
        <w:rPr>
          <w:rStyle w:val="soitChar"/>
        </w:rPr>
        <w:t xml:space="preserve"> µm</w:t>
      </w:r>
    </w:p>
    <w:p w14:paraId="77F4CAD7" w14:textId="77777777" w:rsidR="00772179" w:rsidRDefault="00000000">
      <w:pPr>
        <w:pStyle w:val="Author-eListParagraph"/>
        <w:numPr>
          <w:ilvl w:val="0"/>
          <w:numId w:val="488"/>
        </w:numPr>
      </w:pPr>
      <w:r>
        <w:rPr>
          <w:rStyle w:val="soitChar"/>
        </w:rPr>
        <w:t xml:space="preserve">Épaisseur de finition par laquage : </w:t>
      </w:r>
      <w:r>
        <w:rPr>
          <w:rStyle w:val="optioncarChar"/>
        </w:rPr>
        <w:t xml:space="preserve">80 </w:t>
      </w:r>
      <w:r>
        <w:t>(par défaut)</w:t>
      </w:r>
      <w:r>
        <w:rPr>
          <w:rStyle w:val="optioncarChar"/>
        </w:rPr>
        <w:t xml:space="preserve"> / ***</w:t>
      </w:r>
      <w:r>
        <w:rPr>
          <w:rStyle w:val="soitChar"/>
        </w:rPr>
        <w:t xml:space="preserve"> µm</w:t>
      </w:r>
    </w:p>
    <w:p w14:paraId="0516864E" w14:textId="77777777" w:rsidR="00772179" w:rsidRDefault="00000000">
      <w:pPr>
        <w:pStyle w:val="Author-eListParagraph"/>
        <w:numPr>
          <w:ilvl w:val="0"/>
          <w:numId w:val="488"/>
        </w:numPr>
      </w:pPr>
      <w:r>
        <w:rPr>
          <w:rStyle w:val="soitChar"/>
        </w:rPr>
        <w:t>Compatibilité avec le mastic de collage suivant [ETAG 002-2]</w:t>
      </w:r>
    </w:p>
    <w:p w14:paraId="4C2B1CE7" w14:textId="77777777" w:rsidR="00772179" w:rsidRDefault="00000000">
      <w:pPr>
        <w:pStyle w:val="Author-eListParagraph"/>
        <w:numPr>
          <w:ilvl w:val="0"/>
          <w:numId w:val="488"/>
        </w:numPr>
      </w:pPr>
      <w:r>
        <w:rPr>
          <w:rStyle w:val="soitChar"/>
        </w:rPr>
        <w:t>Label [Qualicoat]</w:t>
      </w:r>
    </w:p>
    <w:p w14:paraId="2D009718" w14:textId="77777777" w:rsidR="00772179" w:rsidRDefault="00000000">
      <w:pPr>
        <w:jc w:val="both"/>
      </w:pPr>
      <w:r>
        <w:rPr>
          <w:b/>
        </w:rPr>
        <w:t>(soit)</w:t>
      </w:r>
    </w:p>
    <w:p w14:paraId="0AB15102" w14:textId="77777777" w:rsidR="00772179" w:rsidRDefault="00000000">
      <w:pPr>
        <w:jc w:val="both"/>
      </w:pPr>
      <w:r>
        <w:rPr>
          <w:rStyle w:val="soitChar"/>
          <w:u w:val="single"/>
        </w:rPr>
        <w:t>Anodisation</w:t>
      </w:r>
      <w:r>
        <w:rPr>
          <w:rStyle w:val="soitChar"/>
        </w:rPr>
        <w:t xml:space="preserve"> suivant [NBN EN ISO 7599] :</w:t>
      </w:r>
    </w:p>
    <w:p w14:paraId="4F7D72AC" w14:textId="77777777" w:rsidR="00772179" w:rsidRDefault="00000000">
      <w:pPr>
        <w:pStyle w:val="Author-eListParagraph"/>
        <w:numPr>
          <w:ilvl w:val="0"/>
          <w:numId w:val="489"/>
        </w:numPr>
      </w:pPr>
      <w:r>
        <w:rPr>
          <w:rStyle w:val="soitChar"/>
        </w:rPr>
        <w:t xml:space="preserve">Oxydation anodique : épaisseur de couche suivant [NBN EN ISO 7599] : </w:t>
      </w:r>
      <w:r>
        <w:rPr>
          <w:rStyle w:val="optioncarChar"/>
        </w:rPr>
        <w:t xml:space="preserve">AA20 </w:t>
      </w:r>
      <w:r>
        <w:t>(par défaut)</w:t>
      </w:r>
      <w:r>
        <w:rPr>
          <w:rStyle w:val="optioncarChar"/>
        </w:rPr>
        <w:t xml:space="preserve"> / AA25 / ***</w:t>
      </w:r>
    </w:p>
    <w:p w14:paraId="1AA50C20" w14:textId="77777777" w:rsidR="00772179" w:rsidRDefault="00000000">
      <w:pPr>
        <w:pStyle w:val="Author-eListParagraph"/>
        <w:numPr>
          <w:ilvl w:val="0"/>
          <w:numId w:val="489"/>
        </w:numPr>
      </w:pPr>
      <w:r>
        <w:rPr>
          <w:rStyle w:val="soitChar"/>
        </w:rPr>
        <w:t>Résistance à l’abrasion : WI ≤ 1,4</w:t>
      </w:r>
    </w:p>
    <w:p w14:paraId="48CEE0B8" w14:textId="77777777" w:rsidR="00772179" w:rsidRDefault="00000000">
      <w:pPr>
        <w:pStyle w:val="Author-eListParagraph"/>
        <w:numPr>
          <w:ilvl w:val="0"/>
          <w:numId w:val="489"/>
        </w:numPr>
      </w:pPr>
      <w:r>
        <w:rPr>
          <w:rStyle w:val="soitChar"/>
        </w:rPr>
        <w:t>Solidité à la lumière suivant [ISO 2135]: indice ≥ 8</w:t>
      </w:r>
    </w:p>
    <w:p w14:paraId="438FDC6B" w14:textId="77777777" w:rsidR="00772179" w:rsidRDefault="00000000">
      <w:pPr>
        <w:pStyle w:val="Author-eListParagraph"/>
        <w:numPr>
          <w:ilvl w:val="0"/>
          <w:numId w:val="489"/>
        </w:numPr>
      </w:pPr>
      <w:r>
        <w:rPr>
          <w:rStyle w:val="soitChar"/>
        </w:rPr>
        <w:t>Label [Qualanod] </w:t>
      </w:r>
    </w:p>
    <w:p w14:paraId="0107CC17" w14:textId="77777777" w:rsidR="00772179" w:rsidRDefault="00000000">
      <w:pPr>
        <w:pStyle w:val="Author-eListParagraph"/>
        <w:numPr>
          <w:ilvl w:val="0"/>
          <w:numId w:val="489"/>
        </w:numPr>
      </w:pPr>
      <w:r>
        <w:rPr>
          <w:rStyle w:val="soitChar"/>
        </w:rPr>
        <w:t xml:space="preserve">Coloration : </w:t>
      </w:r>
      <w:r>
        <w:rPr>
          <w:rStyle w:val="optioncarChar"/>
        </w:rPr>
        <w:t xml:space="preserve">électrolytique </w:t>
      </w:r>
      <w:r>
        <w:t xml:space="preserve">(par défaut) </w:t>
      </w:r>
      <w:r>
        <w:rPr>
          <w:rStyle w:val="optioncarChar"/>
        </w:rPr>
        <w:t>/ par interférence</w:t>
      </w:r>
    </w:p>
    <w:p w14:paraId="232D5251" w14:textId="77777777" w:rsidR="00772179" w:rsidRDefault="00000000">
      <w:pPr>
        <w:ind w:left="567"/>
        <w:jc w:val="both"/>
      </w:pPr>
      <w:r>
        <w:rPr>
          <w:b/>
        </w:rPr>
        <w:t>(soit par défaut)</w:t>
      </w:r>
    </w:p>
    <w:p w14:paraId="1CBBBD9A" w14:textId="77777777" w:rsidR="00772179" w:rsidRDefault="00000000">
      <w:pPr>
        <w:ind w:left="567"/>
        <w:jc w:val="both"/>
      </w:pPr>
      <w:r>
        <w:rPr>
          <w:rStyle w:val="soitChar"/>
          <w:u w:val="single"/>
        </w:rPr>
        <w:t>Électrolytique :</w:t>
      </w:r>
      <w:r>
        <w:rPr>
          <w:rStyle w:val="soitChar"/>
        </w:rPr>
        <w:t xml:space="preserve"> épaisseur ≥ 15 µm pour les teintes foncées. </w:t>
      </w:r>
    </w:p>
    <w:p w14:paraId="6965898F" w14:textId="77777777" w:rsidR="00772179" w:rsidRDefault="00000000">
      <w:pPr>
        <w:ind w:left="567"/>
        <w:jc w:val="both"/>
      </w:pPr>
      <w:r>
        <w:rPr>
          <w:b/>
        </w:rPr>
        <w:t>(soit)</w:t>
      </w:r>
    </w:p>
    <w:p w14:paraId="775B1584" w14:textId="77777777" w:rsidR="00772179" w:rsidRDefault="00000000">
      <w:pPr>
        <w:ind w:left="567"/>
        <w:jc w:val="both"/>
      </w:pPr>
      <w:r>
        <w:rPr>
          <w:rStyle w:val="soitChar"/>
          <w:u w:val="single"/>
        </w:rPr>
        <w:t>Par interférence</w:t>
      </w:r>
    </w:p>
    <w:p w14:paraId="7C5553F3" w14:textId="77777777" w:rsidR="00772179" w:rsidRDefault="00000000">
      <w:pPr>
        <w:pStyle w:val="pheading"/>
      </w:pPr>
      <w:r>
        <w:t>EXÉCUTION / MISE EN ŒUVRE</w:t>
      </w:r>
    </w:p>
    <w:p w14:paraId="708279CD" w14:textId="77777777" w:rsidR="00772179" w:rsidRDefault="00000000">
      <w:pPr>
        <w:jc w:val="both"/>
      </w:pPr>
      <w:r>
        <w:lastRenderedPageBreak/>
        <w:t>Avant le début de la mise au point des plans d’exécution, l’entreprise réalise le relevé détaillé du gros œuvre sur lequel sera placé le système VEC et vérifie le respect des tolérances.</w:t>
      </w:r>
    </w:p>
    <w:p w14:paraId="5887964C" w14:textId="77777777" w:rsidR="00772179" w:rsidRDefault="00000000">
      <w:pPr>
        <w:jc w:val="both"/>
      </w:pPr>
      <w:r>
        <w:t>La position des fixations est coordonnée par l’entreprise avec le bureau d’étude en stabilité.</w:t>
      </w:r>
    </w:p>
    <w:p w14:paraId="649DBFF1" w14:textId="77777777" w:rsidR="00772179" w:rsidRDefault="00000000">
      <w:pPr>
        <w:jc w:val="both"/>
      </w:pPr>
      <w:r>
        <w:rPr>
          <w:b/>
        </w:rPr>
        <w:t>Assemblage des profilés formant les cadres :</w:t>
      </w:r>
    </w:p>
    <w:p w14:paraId="12D974B1" w14:textId="77777777" w:rsidR="00772179" w:rsidRDefault="00000000">
      <w:pPr>
        <w:pStyle w:val="Author-eListParagraph"/>
        <w:numPr>
          <w:ilvl w:val="0"/>
          <w:numId w:val="490"/>
        </w:numPr>
      </w:pPr>
      <w:r>
        <w:t>Par sertissage ou vissage de clames rendu étanche au moyen de colle à 2 composants (Époxy).</w:t>
      </w:r>
    </w:p>
    <w:p w14:paraId="3B5E729B" w14:textId="77777777" w:rsidR="00772179" w:rsidRDefault="00000000">
      <w:pPr>
        <w:pStyle w:val="Author-eListParagraph"/>
        <w:numPr>
          <w:ilvl w:val="0"/>
          <w:numId w:val="490"/>
        </w:numPr>
      </w:pPr>
      <w:r>
        <w:t>L’assemblage entre profilés verticaux et horizontaux assure le drainage au moyen de joints en EPDM posés en continu sur un isolant dur en PVC, fixation au moyen de vis en acier inoxydable.</w:t>
      </w:r>
    </w:p>
    <w:p w14:paraId="315F8903" w14:textId="77777777" w:rsidR="00772179" w:rsidRDefault="00000000">
      <w:pPr>
        <w:pStyle w:val="Author-eListParagraph"/>
        <w:numPr>
          <w:ilvl w:val="0"/>
          <w:numId w:val="490"/>
        </w:numPr>
      </w:pPr>
      <w:r>
        <w:t>La libre dilatation est préservée lors de l’assemblage et de la fixation.</w:t>
      </w:r>
    </w:p>
    <w:p w14:paraId="391816BA" w14:textId="77777777" w:rsidR="00772179" w:rsidRDefault="00000000">
      <w:pPr>
        <w:jc w:val="both"/>
      </w:pPr>
      <w:r>
        <w:rPr>
          <w:b/>
        </w:rPr>
        <w:t>Contacts électrochimiques :</w:t>
      </w:r>
    </w:p>
    <w:p w14:paraId="6C2CA0DB" w14:textId="77777777" w:rsidR="00772179" w:rsidRDefault="00000000">
      <w:pPr>
        <w:pStyle w:val="Author-eListParagraph"/>
        <w:numPr>
          <w:ilvl w:val="0"/>
          <w:numId w:val="491"/>
        </w:numPr>
      </w:pPr>
      <w:r>
        <w:t>Une isolation est placée au contact direct avec acier, zinc, plomb.</w:t>
      </w:r>
    </w:p>
    <w:p w14:paraId="0723CFBF" w14:textId="77777777" w:rsidR="00772179" w:rsidRDefault="00000000">
      <w:pPr>
        <w:pStyle w:val="Author-eListParagraph"/>
        <w:numPr>
          <w:ilvl w:val="0"/>
          <w:numId w:val="491"/>
        </w:numPr>
      </w:pPr>
      <w:r>
        <w:t>Le contact avec le cuivre et ses alliages est à éviter absolument, y compris au travers de l’eau de pluie.</w:t>
      </w:r>
    </w:p>
    <w:p w14:paraId="03E5924E" w14:textId="77777777" w:rsidR="00772179" w:rsidRDefault="00000000">
      <w:pPr>
        <w:jc w:val="both"/>
      </w:pPr>
      <w:r>
        <w:rPr>
          <w:b/>
        </w:rPr>
        <w:t>Contacts avec d’autres matériaux à éviter :</w:t>
      </w:r>
    </w:p>
    <w:p w14:paraId="192A6B7E" w14:textId="77777777" w:rsidR="00772179" w:rsidRDefault="00000000">
      <w:pPr>
        <w:pStyle w:val="Author-eListParagraph"/>
        <w:numPr>
          <w:ilvl w:val="0"/>
          <w:numId w:val="492"/>
        </w:numPr>
      </w:pPr>
      <w:r>
        <w:t>Mortier sur aluminium thermolaqué.</w:t>
      </w:r>
    </w:p>
    <w:p w14:paraId="0B6A7A3F" w14:textId="77777777" w:rsidR="00772179" w:rsidRDefault="00000000">
      <w:pPr>
        <w:pStyle w:val="Author-eListParagraph"/>
        <w:numPr>
          <w:ilvl w:val="0"/>
          <w:numId w:val="492"/>
        </w:numPr>
      </w:pPr>
      <w:r>
        <w:t>Chêne et noyer à protéger au moyen d’une peinture bitumineuse, il y a lieu de vérifier si le traitement de préservation n’a pas d’effet néfaste sur l’aluminium.</w:t>
      </w:r>
    </w:p>
    <w:p w14:paraId="0EE08294" w14:textId="77777777" w:rsidR="00772179" w:rsidRDefault="00000000">
      <w:pPr>
        <w:jc w:val="both"/>
      </w:pPr>
      <w:r>
        <w:rPr>
          <w:b/>
        </w:rPr>
        <w:t>Finitions périphériques :</w:t>
      </w:r>
    </w:p>
    <w:p w14:paraId="55FE2A60" w14:textId="77777777" w:rsidR="00772179" w:rsidRDefault="00000000">
      <w:pPr>
        <w:jc w:val="both"/>
      </w:pPr>
      <w:r>
        <w:t>Les tôles d’aluminium de même finition que la façade VEC nécessaires au raccord avec les parements adjacents sont indiquées sur les plans de détail et sont comprises dans le prix de la façade VEC.</w:t>
      </w:r>
    </w:p>
    <w:p w14:paraId="12AC9113" w14:textId="77777777" w:rsidR="00772179" w:rsidRDefault="00000000">
      <w:pPr>
        <w:pStyle w:val="pheading"/>
      </w:pPr>
      <w:r>
        <w:t>CONTRÔLES</w:t>
      </w:r>
    </w:p>
    <w:p w14:paraId="01464479" w14:textId="77777777" w:rsidR="00772179" w:rsidRDefault="00000000">
      <w:pPr>
        <w:jc w:val="both"/>
      </w:pPr>
      <w:r>
        <w:t>Évaluation de l’aspect des profilés par observation perpendiculaire sous lumière diffuse à 3 m :</w:t>
      </w:r>
    </w:p>
    <w:p w14:paraId="7FBD7CC4" w14:textId="77777777" w:rsidR="00772179" w:rsidRDefault="00000000">
      <w:pPr>
        <w:pStyle w:val="Author-eListParagraph"/>
        <w:numPr>
          <w:ilvl w:val="0"/>
          <w:numId w:val="493"/>
        </w:numPr>
        <w:jc w:val="both"/>
      </w:pPr>
      <w:r>
        <w:t>Faces vues : exemptes de défauts dérangeants tels que rugosité́, ride, affaissement des inclusions, des cratères, des cloques, des taches de brûlure, des taches mates, griffes etc.</w:t>
      </w:r>
    </w:p>
    <w:p w14:paraId="23686EDB" w14:textId="77777777" w:rsidR="00772179" w:rsidRDefault="00000000">
      <w:pPr>
        <w:pStyle w:val="Author-eListParagraph"/>
        <w:numPr>
          <w:ilvl w:val="0"/>
          <w:numId w:val="493"/>
        </w:numPr>
        <w:jc w:val="both"/>
      </w:pPr>
      <w:r>
        <w:t>Faces visibles : Les défauts sont acceptés pourvu qu’ils n’occasionnent aucun problème fonctionnel.</w:t>
      </w:r>
    </w:p>
    <w:p w14:paraId="78718C1D" w14:textId="77777777" w:rsidR="00772179" w:rsidRDefault="00000000">
      <w:pPr>
        <w:pStyle w:val="Author-eListParagraph"/>
        <w:numPr>
          <w:ilvl w:val="0"/>
          <w:numId w:val="493"/>
        </w:numPr>
        <w:jc w:val="both"/>
      </w:pPr>
      <w:r>
        <w:t>Faces visibles thermolaquées : le support métallique ne peut être visible.</w:t>
      </w:r>
    </w:p>
    <w:p w14:paraId="37193C75" w14:textId="77777777" w:rsidR="00772179" w:rsidRDefault="00000000">
      <w:pPr>
        <w:pStyle w:val="Author-eListParagraph"/>
        <w:numPr>
          <w:ilvl w:val="0"/>
          <w:numId w:val="493"/>
        </w:numPr>
        <w:jc w:val="both"/>
      </w:pPr>
      <w:r>
        <w:t>Faces visibles anodisées : aucune différence de teinte ni de tâche ne peuvent être visibles.</w:t>
      </w:r>
    </w:p>
    <w:p w14:paraId="5E311B29" w14:textId="77777777" w:rsidR="00772179" w:rsidRDefault="00000000">
      <w:pPr>
        <w:pStyle w:val="pheading"/>
      </w:pPr>
      <w:r>
        <w:t>DOCUMENTS DE RÉFÉRENCE</w:t>
      </w:r>
    </w:p>
    <w:p w14:paraId="1CEBD8C0" w14:textId="77777777" w:rsidR="00772179" w:rsidRDefault="00000000">
      <w:pPr>
        <w:pStyle w:val="pheading"/>
      </w:pPr>
      <w:r>
        <w:t>- Matériau</w:t>
      </w:r>
    </w:p>
    <w:p w14:paraId="1EE703F6" w14:textId="77777777" w:rsidR="00772179" w:rsidRDefault="00000000">
      <w:r>
        <w:t>[NBN B 25-002-4, Menuiseries extérieures. Partie 4 : Prescriptions pour les profilés et des ossatures en aluminium]</w:t>
      </w:r>
    </w:p>
    <w:p w14:paraId="1F8FAF6A" w14:textId="77777777" w:rsidR="00772179" w:rsidRDefault="00000000">
      <w:r>
        <w:t>[ETAG 002-2, Structural Sealant Glazing Systems - Part 2 : Coated Aluminium Systems]</w:t>
      </w:r>
    </w:p>
    <w:p w14:paraId="66492E14" w14:textId="77777777" w:rsidR="00772179" w:rsidRDefault="00000000">
      <w:r>
        <w:t>[ISO 2135, Anodisation de l'aluminium et de ses alliages — Essai accéléré de solidité à la lumière artificielle des couches d'oxydation anodique colorées]</w:t>
      </w:r>
    </w:p>
    <w:p w14:paraId="2079946D" w14:textId="77777777" w:rsidR="00772179" w:rsidRDefault="00000000">
      <w:r>
        <w:t>[NBN EN ISO 7599, Anodisation de l'aluminium et de ses alliages - Méthode de spécification des caractéristiques des revêtements décoratifs et protecteurs obtenus par oxydation anodique sur aluminium (ISO 7599:2018)]</w:t>
      </w:r>
    </w:p>
    <w:p w14:paraId="733FE74C" w14:textId="77777777" w:rsidR="00772179" w:rsidRDefault="00000000">
      <w:r>
        <w:t>[NBN EN 14024, Profilés métalliques à rupture de pont thermique - Performances mécaniques - Exigences, preuve et essais pour évaluation]</w:t>
      </w:r>
    </w:p>
    <w:p w14:paraId="7599364F" w14:textId="77777777" w:rsidR="00772179" w:rsidRDefault="00000000">
      <w:r>
        <w:t>[Buildwise Méthode de dimensionnement Rapport 11, Application des Eurocodes à la conception des menuiseries extérieures (disponible en ligne uniquement).]</w:t>
      </w:r>
    </w:p>
    <w:p w14:paraId="11C55D87" w14:textId="77777777" w:rsidR="00772179" w:rsidRDefault="00000000">
      <w:pPr>
        <w:pStyle w:val="pheading"/>
      </w:pPr>
      <w:r>
        <w:t>AIDE</w:t>
      </w:r>
    </w:p>
    <w:p w14:paraId="5BA1BC03" w14:textId="77777777" w:rsidR="00772179" w:rsidRDefault="00000000">
      <w:pPr>
        <w:jc w:val="both"/>
      </w:pPr>
      <w:r>
        <w:lastRenderedPageBreak/>
        <w:t>Type de système VEC suivant [ETAG 002-1] : dans le cas de vitrages multiples, les types 1 et 2 sont utilisés essentiellement, les autres types (3 et 4) étant limités au simple vitrage.</w:t>
      </w:r>
    </w:p>
    <w:p w14:paraId="66B6B33A" w14:textId="77777777" w:rsidR="00772179" w:rsidRDefault="00000000">
      <w:pPr>
        <w:pStyle w:val="Author-eSectionHeading6Numberless"/>
      </w:pPr>
      <w:bookmarkStart w:id="204" w:name="_Toc220489944"/>
      <w:r>
        <w:t>41.42.3a Systèmes de façade VEC - structure alu CCTB 01.12</w:t>
      </w:r>
      <w:bookmarkEnd w:id="204"/>
    </w:p>
    <w:p w14:paraId="0A06A6BE" w14:textId="77777777" w:rsidR="00772179" w:rsidRDefault="00000000">
      <w:pPr>
        <w:pStyle w:val="pheading"/>
      </w:pPr>
      <w:r>
        <w:t>DESCRIPTION</w:t>
      </w:r>
    </w:p>
    <w:p w14:paraId="3C37855D" w14:textId="77777777" w:rsidR="00772179" w:rsidRDefault="00000000">
      <w:pPr>
        <w:pStyle w:val="pheading"/>
      </w:pPr>
      <w:r>
        <w:t>- Définition / Comprend</w:t>
      </w:r>
    </w:p>
    <w:p w14:paraId="39041F6C" w14:textId="77777777" w:rsidR="00772179" w:rsidRDefault="00000000">
      <w:pPr>
        <w:jc w:val="both"/>
      </w:pPr>
      <w:r>
        <w:t>Il s’agit de la fourniture et la pose de façades VEC (vitrage extérieur collé) sur une structure aluminium.</w:t>
      </w:r>
    </w:p>
    <w:p w14:paraId="6E363584" w14:textId="77777777" w:rsidR="00772179" w:rsidRDefault="00000000">
      <w:pPr>
        <w:jc w:val="both"/>
      </w:pPr>
      <w:r>
        <w:t xml:space="preserve">L’étendue des travaux est décrite sous </w:t>
      </w:r>
      <w:hyperlink w:anchor="919" w:history="1">
        <w:r>
          <w:rPr>
            <w:color w:val="0000EE"/>
          </w:rPr>
          <w:t>41.42.3 Systèmes de façade VEC - structure alu</w:t>
        </w:r>
      </w:hyperlink>
      <w:r>
        <w:t>.</w:t>
      </w:r>
    </w:p>
    <w:p w14:paraId="30B00D81" w14:textId="77777777" w:rsidR="00772179" w:rsidRDefault="00000000">
      <w:pPr>
        <w:pStyle w:val="pheading"/>
      </w:pPr>
      <w:r>
        <w:t>MATÉRIAUX</w:t>
      </w:r>
    </w:p>
    <w:p w14:paraId="6D02CDC6" w14:textId="77777777" w:rsidR="00772179" w:rsidRDefault="00000000">
      <w:pPr>
        <w:pStyle w:val="pheading"/>
      </w:pPr>
      <w:r>
        <w:t>- Caractéristiques générales</w:t>
      </w:r>
    </w:p>
    <w:p w14:paraId="1F9D22D0" w14:textId="77777777" w:rsidR="00772179" w:rsidRDefault="00000000">
      <w:pPr>
        <w:jc w:val="both"/>
      </w:pPr>
      <w:r>
        <w:rPr>
          <w:b/>
        </w:rPr>
        <w:t>Caractéristiques de l’environnement :</w:t>
      </w:r>
    </w:p>
    <w:p w14:paraId="6A4D3F08" w14:textId="77777777" w:rsidR="00772179" w:rsidRDefault="00000000">
      <w:pPr>
        <w:pStyle w:val="Author-eListParagraph"/>
        <w:numPr>
          <w:ilvl w:val="0"/>
          <w:numId w:val="494"/>
        </w:numPr>
      </w:pPr>
      <w:r>
        <w:t xml:space="preserve">Niveau d’agressivité du climat : </w:t>
      </w:r>
      <w:r>
        <w:rPr>
          <w:rStyle w:val="optioncarChar"/>
        </w:rPr>
        <w:t>C2 / C3 / C4 / C5M</w:t>
      </w:r>
    </w:p>
    <w:p w14:paraId="3077FBF6" w14:textId="77777777" w:rsidR="00772179" w:rsidRDefault="00000000">
      <w:pPr>
        <w:pStyle w:val="Author-eListParagraph"/>
        <w:numPr>
          <w:ilvl w:val="0"/>
          <w:numId w:val="494"/>
        </w:numPr>
      </w:pPr>
      <w:r>
        <w:t xml:space="preserve">Facteur d’agressivité locale à prendre en compte : </w:t>
      </w:r>
      <w:r>
        <w:rPr>
          <w:rStyle w:val="optioncarChar"/>
        </w:rPr>
        <w:t>trafic ferroviaire / aéroport / retombées de chlorure industriel / élevage intensif industriel / ***</w:t>
      </w:r>
    </w:p>
    <w:p w14:paraId="0609CEFB" w14:textId="77777777" w:rsidR="00772179" w:rsidRDefault="00000000">
      <w:pPr>
        <w:pStyle w:val="Author-eListParagraph"/>
        <w:numPr>
          <w:ilvl w:val="0"/>
          <w:numId w:val="494"/>
        </w:numPr>
      </w:pPr>
      <w:r>
        <w:t xml:space="preserve">Facteur d’agressivité lié au climat intérieur : </w:t>
      </w:r>
      <w:r>
        <w:rPr>
          <w:rStyle w:val="optioncarChar"/>
        </w:rPr>
        <w:t>piscine / hall de compostage / stockage de produits corrosifs / ***</w:t>
      </w:r>
    </w:p>
    <w:p w14:paraId="41563904" w14:textId="77777777" w:rsidR="00772179" w:rsidRDefault="00000000">
      <w:pPr>
        <w:pStyle w:val="Author-eListParagraph"/>
        <w:numPr>
          <w:ilvl w:val="0"/>
          <w:numId w:val="494"/>
        </w:numPr>
      </w:pPr>
      <w:r>
        <w:t xml:space="preserve">Catégorie de rugosité du terrain : </w:t>
      </w:r>
      <w:r>
        <w:rPr>
          <w:rStyle w:val="optioncarChar"/>
        </w:rPr>
        <w:t>0 / I / II / III / IV</w:t>
      </w:r>
    </w:p>
    <w:p w14:paraId="23D63362" w14:textId="77777777" w:rsidR="00772179" w:rsidRDefault="00000000">
      <w:pPr>
        <w:pStyle w:val="Author-eListParagraph"/>
        <w:numPr>
          <w:ilvl w:val="0"/>
          <w:numId w:val="494"/>
        </w:numPr>
      </w:pPr>
      <w:r>
        <w:t xml:space="preserve">Classe d’exposition au vent : </w:t>
      </w:r>
      <w:r>
        <w:rPr>
          <w:rStyle w:val="optioncarChar"/>
        </w:rPr>
        <w:t xml:space="preserve">CW4 / CW5 </w:t>
      </w:r>
      <w:r>
        <w:t>(par défaut)</w:t>
      </w:r>
      <w:r>
        <w:rPr>
          <w:rStyle w:val="optioncarChar"/>
        </w:rPr>
        <w:t xml:space="preserve"> / CW6 / CW7 / CW8</w:t>
      </w:r>
    </w:p>
    <w:p w14:paraId="6B7E03C6" w14:textId="77777777" w:rsidR="00772179" w:rsidRDefault="00000000">
      <w:pPr>
        <w:pStyle w:val="Author-eListParagraph"/>
        <w:numPr>
          <w:ilvl w:val="0"/>
          <w:numId w:val="494"/>
        </w:numPr>
      </w:pPr>
      <w:r>
        <w:t>Classe de climat intérieur :</w:t>
      </w:r>
      <w:r>
        <w:rPr>
          <w:rStyle w:val="optioncarChar"/>
        </w:rPr>
        <w:t xml:space="preserve"> 2 </w:t>
      </w:r>
      <w:r>
        <w:t>(par défaut)</w:t>
      </w:r>
      <w:r>
        <w:rPr>
          <w:rStyle w:val="optioncarChar"/>
        </w:rPr>
        <w:t xml:space="preserve"> / 3 / 4 / 5</w:t>
      </w:r>
    </w:p>
    <w:p w14:paraId="5C63C694" w14:textId="77777777" w:rsidR="00772179" w:rsidRDefault="00000000">
      <w:pPr>
        <w:jc w:val="both"/>
      </w:pPr>
      <w:r>
        <w:rPr>
          <w:b/>
        </w:rPr>
        <w:t>Performances du système VEC</w:t>
      </w:r>
      <w:r>
        <w:t xml:space="preserve"> suivant [NBN B 25-002-1] :</w:t>
      </w:r>
    </w:p>
    <w:p w14:paraId="7AC5FB25" w14:textId="77777777" w:rsidR="00772179" w:rsidRDefault="00000000">
      <w:pPr>
        <w:pStyle w:val="Author-eListParagraph"/>
        <w:numPr>
          <w:ilvl w:val="0"/>
          <w:numId w:val="495"/>
        </w:numPr>
      </w:pPr>
      <w:r>
        <w:t>Performances thermiques [NBN EN ISO 12631] : la valeur U</w:t>
      </w:r>
      <w:r>
        <w:rPr>
          <w:vertAlign w:val="subscript"/>
        </w:rPr>
        <w:t>cw</w:t>
      </w:r>
      <w:r>
        <w:t xml:space="preserve"> ≤ : </w:t>
      </w:r>
      <w:r>
        <w:rPr>
          <w:rStyle w:val="optioncarChar"/>
        </w:rPr>
        <w:t>***</w:t>
      </w:r>
      <w:r>
        <w:t xml:space="preserve"> W/m²K</w:t>
      </w:r>
    </w:p>
    <w:p w14:paraId="1840C36A" w14:textId="77777777" w:rsidR="00772179" w:rsidRDefault="00000000">
      <w:pPr>
        <w:pStyle w:val="Author-eListParagraph"/>
        <w:numPr>
          <w:ilvl w:val="0"/>
          <w:numId w:val="495"/>
        </w:numPr>
      </w:pPr>
      <w:r>
        <w:t xml:space="preserve">Perméabilité à l’air de classe [NBN EN 12152] : </w:t>
      </w:r>
      <w:r>
        <w:rPr>
          <w:rStyle w:val="optioncarChar"/>
        </w:rPr>
        <w:t xml:space="preserve">A4 </w:t>
      </w:r>
      <w:r>
        <w:t>(par défaut)</w:t>
      </w:r>
      <w:r>
        <w:rPr>
          <w:rStyle w:val="optioncarChar"/>
        </w:rPr>
        <w:t xml:space="preserve"> / A3</w:t>
      </w:r>
    </w:p>
    <w:p w14:paraId="07956E7C" w14:textId="77777777" w:rsidR="00772179" w:rsidRDefault="00000000">
      <w:pPr>
        <w:pStyle w:val="Author-eListParagraph"/>
        <w:numPr>
          <w:ilvl w:val="0"/>
          <w:numId w:val="495"/>
        </w:numPr>
      </w:pPr>
      <w:r>
        <w:t xml:space="preserve">Étanchéité à l’eau de classe [NBN EN 12154] : </w:t>
      </w:r>
      <w:r>
        <w:rPr>
          <w:rStyle w:val="optioncarChar"/>
        </w:rPr>
        <w:t xml:space="preserve">R6 / R7 </w:t>
      </w:r>
      <w:r>
        <w:t>(par défaut)</w:t>
      </w:r>
      <w:r>
        <w:rPr>
          <w:rStyle w:val="optioncarChar"/>
        </w:rPr>
        <w:t xml:space="preserve"> / RE750 / RE900 / RE1050</w:t>
      </w:r>
    </w:p>
    <w:p w14:paraId="0ABC4EA3" w14:textId="77777777" w:rsidR="00772179" w:rsidRDefault="00000000">
      <w:pPr>
        <w:pStyle w:val="Author-eListParagraph"/>
        <w:numPr>
          <w:ilvl w:val="0"/>
          <w:numId w:val="495"/>
        </w:numPr>
      </w:pPr>
      <w:r>
        <w:t>Résistance à la charge due au vent flèche maximale [NBN EN 13830:2015+A1] : d ≤ L/200, si L ≤ 3 000 mm, d ≤ 5 mm + L/300, si 3 000 mm &lt; L &lt; 7 500 mm, d ≤ L/250, si L ≥ 7 500 mm,</w:t>
      </w:r>
    </w:p>
    <w:p w14:paraId="7521708B" w14:textId="77777777" w:rsidR="00772179" w:rsidRDefault="00000000">
      <w:pPr>
        <w:pStyle w:val="Author-eListParagraph"/>
        <w:numPr>
          <w:ilvl w:val="0"/>
          <w:numId w:val="495"/>
        </w:numPr>
      </w:pPr>
      <w:r>
        <w:t>Performances acoustiques D</w:t>
      </w:r>
      <w:r>
        <w:rPr>
          <w:vertAlign w:val="subscript"/>
        </w:rPr>
        <w:t>Atr</w:t>
      </w:r>
      <w:r>
        <w:t xml:space="preserve">  ≥ : </w:t>
      </w:r>
      <w:r>
        <w:rPr>
          <w:rStyle w:val="optioncarChar"/>
        </w:rPr>
        <w:t>***</w:t>
      </w:r>
      <w:r>
        <w:t xml:space="preserve"> dB</w:t>
      </w:r>
    </w:p>
    <w:p w14:paraId="1EE78094" w14:textId="77777777" w:rsidR="00772179" w:rsidRDefault="00000000">
      <w:pPr>
        <w:pStyle w:val="Author-eListParagraph"/>
        <w:numPr>
          <w:ilvl w:val="0"/>
          <w:numId w:val="495"/>
        </w:numPr>
      </w:pPr>
      <w:r>
        <w:t xml:space="preserve">Résistance à l’effraction classe : </w:t>
      </w:r>
      <w:r>
        <w:rPr>
          <w:rStyle w:val="optioncarChar"/>
        </w:rPr>
        <w:t xml:space="preserve">RC 1 </w:t>
      </w:r>
      <w:r>
        <w:t>(par défaut)</w:t>
      </w:r>
      <w:r>
        <w:rPr>
          <w:rStyle w:val="optioncarChar"/>
        </w:rPr>
        <w:t xml:space="preserve"> / RC 2 / RC 3</w:t>
      </w:r>
    </w:p>
    <w:p w14:paraId="323C7FD0" w14:textId="77777777" w:rsidR="00772179" w:rsidRDefault="00000000">
      <w:pPr>
        <w:pStyle w:val="Author-eListParagraph"/>
        <w:numPr>
          <w:ilvl w:val="0"/>
          <w:numId w:val="495"/>
        </w:numPr>
      </w:pPr>
      <w:r>
        <w:t xml:space="preserve">Résistance aux chocs [NBN EN 14019] Classes : </w:t>
      </w:r>
      <w:r>
        <w:rPr>
          <w:rStyle w:val="optioncarChar"/>
        </w:rPr>
        <w:t xml:space="preserve">E4-I3 </w:t>
      </w:r>
      <w:r>
        <w:t>(par défaut)</w:t>
      </w:r>
      <w:r>
        <w:rPr>
          <w:rStyle w:val="optioncarChar"/>
        </w:rPr>
        <w:t xml:space="preserve"> / E4-I4 / E3-I3 / E3-I4 / E5-I5 / ***</w:t>
      </w:r>
    </w:p>
    <w:p w14:paraId="5600246E" w14:textId="77777777" w:rsidR="00772179" w:rsidRDefault="00000000">
      <w:pPr>
        <w:pStyle w:val="Author-eListParagraph"/>
        <w:numPr>
          <w:ilvl w:val="0"/>
          <w:numId w:val="495"/>
        </w:numPr>
      </w:pPr>
      <w:r>
        <w:t xml:space="preserve">Efforts de manœuvre des parties ouvrantes de classe : </w:t>
      </w:r>
      <w:r>
        <w:rPr>
          <w:rStyle w:val="optioncarChar"/>
        </w:rPr>
        <w:t xml:space="preserve">1 / 2 </w:t>
      </w:r>
      <w:r>
        <w:t>(par défaut)</w:t>
      </w:r>
      <w:r>
        <w:rPr>
          <w:rStyle w:val="optioncarChar"/>
        </w:rPr>
        <w:t xml:space="preserve"> / ***</w:t>
      </w:r>
    </w:p>
    <w:p w14:paraId="5E826FF1" w14:textId="77777777" w:rsidR="00772179" w:rsidRDefault="00000000">
      <w:pPr>
        <w:pStyle w:val="Author-eListParagraph"/>
        <w:numPr>
          <w:ilvl w:val="0"/>
          <w:numId w:val="495"/>
        </w:numPr>
      </w:pPr>
      <w:r>
        <w:t xml:space="preserve">Abus d’utilisation des parties ouvrantes de classe : </w:t>
      </w:r>
      <w:r>
        <w:rPr>
          <w:rStyle w:val="optioncarChar"/>
        </w:rPr>
        <w:t xml:space="preserve">3 </w:t>
      </w:r>
      <w:r>
        <w:t>(par défaut)</w:t>
      </w:r>
      <w:r>
        <w:rPr>
          <w:rStyle w:val="optioncarChar"/>
        </w:rPr>
        <w:t xml:space="preserve"> / 4 / ***</w:t>
      </w:r>
    </w:p>
    <w:p w14:paraId="4D0D648A" w14:textId="77777777" w:rsidR="00772179" w:rsidRDefault="00000000">
      <w:pPr>
        <w:pStyle w:val="Author-eListParagraph"/>
        <w:numPr>
          <w:ilvl w:val="0"/>
          <w:numId w:val="495"/>
        </w:numPr>
      </w:pPr>
      <w:r>
        <w:t xml:space="preserve">Résistance à l’explosion : </w:t>
      </w:r>
      <w:r>
        <w:rPr>
          <w:rStyle w:val="optioncarChar"/>
        </w:rPr>
        <w:t xml:space="preserve">non spécifié </w:t>
      </w:r>
      <w:r>
        <w:t>(par défaut)</w:t>
      </w:r>
      <w:r>
        <w:rPr>
          <w:rStyle w:val="optioncarChar"/>
        </w:rPr>
        <w:t xml:space="preserve"> / ***</w:t>
      </w:r>
    </w:p>
    <w:p w14:paraId="15D6E2DE" w14:textId="77777777" w:rsidR="00772179" w:rsidRDefault="00000000">
      <w:pPr>
        <w:pStyle w:val="Author-eListParagraph"/>
        <w:numPr>
          <w:ilvl w:val="0"/>
          <w:numId w:val="495"/>
        </w:numPr>
      </w:pPr>
      <w:r>
        <w:t xml:space="preserve">Résistance aux balles : </w:t>
      </w:r>
      <w:r>
        <w:rPr>
          <w:rStyle w:val="optioncarChar"/>
        </w:rPr>
        <w:t xml:space="preserve">non spécifié </w:t>
      </w:r>
      <w:r>
        <w:t>(par défaut)</w:t>
      </w:r>
      <w:r>
        <w:rPr>
          <w:rStyle w:val="optioncarChar"/>
        </w:rPr>
        <w:t xml:space="preserve"> / ***</w:t>
      </w:r>
    </w:p>
    <w:p w14:paraId="6FCA253A" w14:textId="77777777" w:rsidR="00772179" w:rsidRDefault="00000000">
      <w:pPr>
        <w:jc w:val="both"/>
      </w:pPr>
      <w:r>
        <w:rPr>
          <w:b/>
        </w:rPr>
        <w:t>Composition du système VEC :</w:t>
      </w:r>
    </w:p>
    <w:p w14:paraId="39032652" w14:textId="77777777" w:rsidR="00772179" w:rsidRDefault="00000000">
      <w:pPr>
        <w:pStyle w:val="Author-eListParagraph"/>
        <w:numPr>
          <w:ilvl w:val="0"/>
          <w:numId w:val="496"/>
        </w:numPr>
      </w:pPr>
      <w:r>
        <w:t xml:space="preserve">Système suivant [ETAG 002-1], de type : </w:t>
      </w:r>
      <w:r>
        <w:rPr>
          <w:rStyle w:val="optioncarChar"/>
        </w:rPr>
        <w:t>I / II</w:t>
      </w:r>
    </w:p>
    <w:p w14:paraId="48E1E231" w14:textId="77777777" w:rsidR="00772179" w:rsidRDefault="00000000">
      <w:pPr>
        <w:pStyle w:val="Author-eListParagraph"/>
        <w:numPr>
          <w:ilvl w:val="0"/>
          <w:numId w:val="496"/>
        </w:numPr>
      </w:pPr>
      <w:r>
        <w:t xml:space="preserve">Profilés verticaux : </w:t>
      </w:r>
    </w:p>
    <w:p w14:paraId="1CAF59CE" w14:textId="77777777" w:rsidR="00772179" w:rsidRDefault="00000000">
      <w:pPr>
        <w:pStyle w:val="Author-eListParagraph"/>
        <w:numPr>
          <w:ilvl w:val="1"/>
          <w:numId w:val="497"/>
        </w:numPr>
      </w:pPr>
      <w:r>
        <w:t xml:space="preserve">Profondeur ± : </w:t>
      </w:r>
      <w:r>
        <w:rPr>
          <w:color w:val="FF0000"/>
        </w:rPr>
        <w:t>100 /</w:t>
      </w:r>
      <w:r>
        <w:t> </w:t>
      </w:r>
      <w:r>
        <w:rPr>
          <w:rStyle w:val="optioncarChar"/>
        </w:rPr>
        <w:t>150</w:t>
      </w:r>
      <w:r>
        <w:t xml:space="preserve"> (par défaut)</w:t>
      </w:r>
      <w:r>
        <w:rPr>
          <w:rStyle w:val="optioncarChar"/>
        </w:rPr>
        <w:t> / 200 / 300 / ***</w:t>
      </w:r>
      <w:r>
        <w:t xml:space="preserve"> mm</w:t>
      </w:r>
    </w:p>
    <w:p w14:paraId="0E14EBD0" w14:textId="77777777" w:rsidR="00772179" w:rsidRDefault="00000000">
      <w:pPr>
        <w:pStyle w:val="Author-eListParagraph"/>
        <w:numPr>
          <w:ilvl w:val="1"/>
          <w:numId w:val="497"/>
        </w:numPr>
      </w:pPr>
      <w:r>
        <w:t xml:space="preserve">Largeur ± : </w:t>
      </w:r>
      <w:r>
        <w:rPr>
          <w:rStyle w:val="optioncarChar"/>
        </w:rPr>
        <w:t xml:space="preserve">60 </w:t>
      </w:r>
      <w:r>
        <w:t>(par défaut)</w:t>
      </w:r>
      <w:r>
        <w:rPr>
          <w:rStyle w:val="optioncarChar"/>
        </w:rPr>
        <w:t xml:space="preserve"> / 50 / ***</w:t>
      </w:r>
      <w:r>
        <w:t xml:space="preserve"> mm</w:t>
      </w:r>
    </w:p>
    <w:p w14:paraId="53A731F9" w14:textId="77777777" w:rsidR="00772179" w:rsidRDefault="00000000">
      <w:pPr>
        <w:pStyle w:val="Author-eListParagraph"/>
        <w:numPr>
          <w:ilvl w:val="0"/>
          <w:numId w:val="496"/>
        </w:numPr>
      </w:pPr>
      <w:r>
        <w:t xml:space="preserve">Traverses horizontales : </w:t>
      </w:r>
    </w:p>
    <w:p w14:paraId="50350C20" w14:textId="77777777" w:rsidR="00772179" w:rsidRDefault="00000000">
      <w:pPr>
        <w:pStyle w:val="Author-eListParagraph"/>
        <w:numPr>
          <w:ilvl w:val="1"/>
          <w:numId w:val="498"/>
        </w:numPr>
      </w:pPr>
      <w:r>
        <w:t xml:space="preserve">Profondeur ± : </w:t>
      </w:r>
      <w:r>
        <w:rPr>
          <w:rStyle w:val="optioncarChar"/>
        </w:rPr>
        <w:t>100 /</w:t>
      </w:r>
      <w:r>
        <w:t> </w:t>
      </w:r>
      <w:r>
        <w:rPr>
          <w:rStyle w:val="optioncarChar"/>
        </w:rPr>
        <w:t xml:space="preserve">150 </w:t>
      </w:r>
      <w:r>
        <w:t>(par défaut)</w:t>
      </w:r>
      <w:r>
        <w:rPr>
          <w:rStyle w:val="optioncarChar"/>
        </w:rPr>
        <w:t> / 200 / 300 / ***</w:t>
      </w:r>
      <w:r>
        <w:t xml:space="preserve"> mm</w:t>
      </w:r>
    </w:p>
    <w:p w14:paraId="1E1F0C55" w14:textId="77777777" w:rsidR="00772179" w:rsidRDefault="00000000">
      <w:pPr>
        <w:pStyle w:val="Author-eListParagraph"/>
        <w:numPr>
          <w:ilvl w:val="1"/>
          <w:numId w:val="498"/>
        </w:numPr>
      </w:pPr>
      <w:r>
        <w:t xml:space="preserve">Largeur ± : </w:t>
      </w:r>
      <w:r>
        <w:rPr>
          <w:rStyle w:val="optioncarChar"/>
        </w:rPr>
        <w:t>60</w:t>
      </w:r>
      <w:r>
        <w:t xml:space="preserve"> (par défaut)</w:t>
      </w:r>
      <w:r>
        <w:rPr>
          <w:rStyle w:val="optioncarChar"/>
        </w:rPr>
        <w:t xml:space="preserve"> / 50 / ***</w:t>
      </w:r>
      <w:r>
        <w:t xml:space="preserve"> mm</w:t>
      </w:r>
    </w:p>
    <w:p w14:paraId="2828D127" w14:textId="77777777" w:rsidR="00772179" w:rsidRDefault="00000000">
      <w:pPr>
        <w:pStyle w:val="Author-eListParagraph"/>
        <w:numPr>
          <w:ilvl w:val="1"/>
          <w:numId w:val="498"/>
        </w:numPr>
      </w:pPr>
      <w:r>
        <w:t xml:space="preserve">Situées dans le même plan côté intérieur que les profilés porteurs verticaux : </w:t>
      </w:r>
      <w:r>
        <w:rPr>
          <w:rStyle w:val="optioncarChar"/>
        </w:rPr>
        <w:t xml:space="preserve">oui </w:t>
      </w:r>
      <w:r>
        <w:t>(par défaut)</w:t>
      </w:r>
      <w:r>
        <w:rPr>
          <w:rStyle w:val="optioncarChar"/>
        </w:rPr>
        <w:t xml:space="preserve"> / non</w:t>
      </w:r>
    </w:p>
    <w:p w14:paraId="40EC8874" w14:textId="77777777" w:rsidR="00772179" w:rsidRDefault="00000000">
      <w:pPr>
        <w:jc w:val="both"/>
      </w:pPr>
      <w:r>
        <w:rPr>
          <w:b/>
        </w:rPr>
        <w:t>Fixation au gros œuvre :</w:t>
      </w:r>
    </w:p>
    <w:p w14:paraId="4D3BA853" w14:textId="77777777" w:rsidR="00772179" w:rsidRDefault="00000000">
      <w:pPr>
        <w:pStyle w:val="Author-eListParagraph"/>
        <w:numPr>
          <w:ilvl w:val="0"/>
          <w:numId w:val="499"/>
        </w:numPr>
      </w:pPr>
      <w:r>
        <w:t xml:space="preserve">Ancrages en : </w:t>
      </w:r>
      <w:r>
        <w:rPr>
          <w:rStyle w:val="optioncarChar"/>
        </w:rPr>
        <w:t xml:space="preserve">acier galvanisé </w:t>
      </w:r>
      <w:r>
        <w:t>(par défaut)</w:t>
      </w:r>
      <w:r>
        <w:rPr>
          <w:rStyle w:val="optioncarChar"/>
        </w:rPr>
        <w:t xml:space="preserve"> / aluminium / ***</w:t>
      </w:r>
    </w:p>
    <w:p w14:paraId="04B55E5C" w14:textId="77777777" w:rsidR="00772179" w:rsidRDefault="00000000">
      <w:pPr>
        <w:jc w:val="both"/>
      </w:pPr>
      <w:r>
        <w:rPr>
          <w:b/>
        </w:rPr>
        <w:t>Éléments de remplissage en verre non opaque :</w:t>
      </w:r>
    </w:p>
    <w:p w14:paraId="3CF1999B" w14:textId="77777777" w:rsidR="00772179" w:rsidRDefault="00000000">
      <w:pPr>
        <w:pStyle w:val="Author-eListParagraph"/>
        <w:numPr>
          <w:ilvl w:val="0"/>
          <w:numId w:val="500"/>
        </w:numPr>
      </w:pPr>
      <w:r>
        <w:lastRenderedPageBreak/>
        <w:t xml:space="preserve">Vitrage : </w:t>
      </w:r>
      <w:r>
        <w:rPr>
          <w:rStyle w:val="optioncarChar"/>
        </w:rPr>
        <w:t>double- Gaz (cfr </w:t>
      </w:r>
      <w:hyperlink w:anchor="878" w:history="1">
        <w:r>
          <w:rPr>
            <w:rStyle w:val="optioncarChar"/>
            <w:color w:val="0000EE"/>
          </w:rPr>
          <w:t>42.22.1a Vitrages doubles - Gaz</w:t>
        </w:r>
      </w:hyperlink>
      <w:r>
        <w:rPr>
          <w:rStyle w:val="optioncarChar"/>
        </w:rPr>
        <w:t>) </w:t>
      </w:r>
      <w:r>
        <w:t>(par défaut)</w:t>
      </w:r>
      <w:r>
        <w:rPr>
          <w:rStyle w:val="optioncarChar"/>
        </w:rPr>
        <w:t> / triple - Gaz (cfr </w:t>
      </w:r>
      <w:hyperlink w:anchor="879" w:history="1">
        <w:r>
          <w:rPr>
            <w:rStyle w:val="optioncarChar"/>
            <w:color w:val="0000EE"/>
          </w:rPr>
          <w:t>42.22.2a Vitrages triples - Gaz</w:t>
        </w:r>
      </w:hyperlink>
      <w:r>
        <w:rPr>
          <w:rStyle w:val="optioncarChar"/>
        </w:rPr>
        <w:t>)</w:t>
      </w:r>
    </w:p>
    <w:p w14:paraId="1B9EB344" w14:textId="77777777" w:rsidR="00772179" w:rsidRDefault="00000000">
      <w:pPr>
        <w:pStyle w:val="Author-eListParagraph"/>
        <w:numPr>
          <w:ilvl w:val="0"/>
          <w:numId w:val="500"/>
        </w:numPr>
      </w:pPr>
      <w:r>
        <w:t xml:space="preserve">Finition : </w:t>
      </w:r>
      <w:r>
        <w:rPr>
          <w:rStyle w:val="optioncarChar"/>
        </w:rPr>
        <w:t xml:space="preserve">transparent </w:t>
      </w:r>
      <w:r>
        <w:t>(par défaut)</w:t>
      </w:r>
      <w:r>
        <w:rPr>
          <w:rStyle w:val="optioncarChar"/>
        </w:rPr>
        <w:t xml:space="preserve"> / translucide</w:t>
      </w:r>
    </w:p>
    <w:p w14:paraId="324FF705" w14:textId="77777777" w:rsidR="00772179" w:rsidRDefault="00000000">
      <w:pPr>
        <w:pStyle w:val="Author-eListParagraph"/>
        <w:numPr>
          <w:ilvl w:val="0"/>
          <w:numId w:val="500"/>
        </w:numPr>
      </w:pPr>
      <w:r>
        <w:t xml:space="preserve">Résistance thermique Ug : </w:t>
      </w:r>
      <w:r>
        <w:rPr>
          <w:rStyle w:val="optioncarChar"/>
        </w:rPr>
        <w:t>***</w:t>
      </w:r>
      <w:r>
        <w:t xml:space="preserve"> W/m²K</w:t>
      </w:r>
    </w:p>
    <w:p w14:paraId="40C440F3" w14:textId="77777777" w:rsidR="00772179" w:rsidRDefault="00000000">
      <w:pPr>
        <w:pStyle w:val="Author-eListParagraph"/>
        <w:numPr>
          <w:ilvl w:val="0"/>
          <w:numId w:val="500"/>
        </w:numPr>
      </w:pPr>
      <w:r>
        <w:t xml:space="preserve">Facteur solaire : </w:t>
      </w:r>
      <w:r>
        <w:rPr>
          <w:rStyle w:val="optioncarChar"/>
        </w:rPr>
        <w:t>***</w:t>
      </w:r>
    </w:p>
    <w:p w14:paraId="43FC84B7" w14:textId="77777777" w:rsidR="00772179" w:rsidRDefault="00000000">
      <w:pPr>
        <w:pStyle w:val="Author-eListParagraph"/>
        <w:numPr>
          <w:ilvl w:val="0"/>
          <w:numId w:val="500"/>
        </w:numPr>
      </w:pPr>
      <w:r>
        <w:t xml:space="preserve">Transmission lumineuse : </w:t>
      </w:r>
      <w:r>
        <w:rPr>
          <w:rStyle w:val="optioncarChar"/>
        </w:rPr>
        <w:t>***</w:t>
      </w:r>
    </w:p>
    <w:p w14:paraId="497C4389" w14:textId="77777777" w:rsidR="00772179" w:rsidRDefault="00000000">
      <w:pPr>
        <w:pStyle w:val="Author-eListParagraph"/>
        <w:numPr>
          <w:ilvl w:val="0"/>
          <w:numId w:val="500"/>
        </w:numPr>
      </w:pPr>
      <w:r>
        <w:t xml:space="preserve">Vitrage à bords : </w:t>
      </w:r>
      <w:r>
        <w:rPr>
          <w:rStyle w:val="optioncarChar"/>
        </w:rPr>
        <w:t xml:space="preserve">alignés </w:t>
      </w:r>
      <w:r>
        <w:t>(par défaut)</w:t>
      </w:r>
      <w:r>
        <w:rPr>
          <w:rStyle w:val="optioncarChar"/>
        </w:rPr>
        <w:t xml:space="preserve"> / décalés</w:t>
      </w:r>
    </w:p>
    <w:p w14:paraId="3F37BD8E" w14:textId="77777777" w:rsidR="00772179" w:rsidRDefault="00000000">
      <w:pPr>
        <w:pStyle w:val="Author-eListParagraph"/>
        <w:numPr>
          <w:ilvl w:val="0"/>
          <w:numId w:val="500"/>
        </w:numPr>
      </w:pPr>
      <w:r>
        <w:t xml:space="preserve">Sécurité des personnes [NBN S 23-002 série] : </w:t>
      </w:r>
      <w:r>
        <w:rPr>
          <w:rStyle w:val="optioncarChar"/>
        </w:rPr>
        <w:t xml:space="preserve">suivant indication des vues </w:t>
      </w:r>
      <w:r>
        <w:t>(par défaut)</w:t>
      </w:r>
      <w:r>
        <w:rPr>
          <w:rStyle w:val="optioncarChar"/>
        </w:rPr>
        <w:t xml:space="preserve"> / 1B1(verre intérieur) / ***</w:t>
      </w:r>
    </w:p>
    <w:p w14:paraId="586FC1CF" w14:textId="77777777" w:rsidR="00772179" w:rsidRDefault="00000000">
      <w:pPr>
        <w:pStyle w:val="Author-eListParagraph"/>
        <w:numPr>
          <w:ilvl w:val="0"/>
          <w:numId w:val="500"/>
        </w:numPr>
      </w:pPr>
      <w:r>
        <w:t>Type de fixation de vitrage suivant [ETAG 002-1] :</w:t>
      </w:r>
      <w:r>
        <w:rPr>
          <w:rStyle w:val="optioncarChar"/>
        </w:rPr>
        <w:t xml:space="preserve"> I / II</w:t>
      </w:r>
    </w:p>
    <w:p w14:paraId="526AF824" w14:textId="77777777" w:rsidR="00772179" w:rsidRDefault="00000000">
      <w:pPr>
        <w:jc w:val="both"/>
      </w:pPr>
      <w:r>
        <w:rPr>
          <w:b/>
        </w:rPr>
        <w:t>Éléments de remplissage en verre opaque :</w:t>
      </w:r>
    </w:p>
    <w:p w14:paraId="6CBE6407" w14:textId="77777777" w:rsidR="00772179" w:rsidRDefault="00000000">
      <w:pPr>
        <w:pStyle w:val="Author-eListParagraph"/>
        <w:numPr>
          <w:ilvl w:val="0"/>
          <w:numId w:val="501"/>
        </w:numPr>
      </w:pPr>
      <w:r>
        <w:t xml:space="preserve">Vitrage : </w:t>
      </w:r>
      <w:r>
        <w:rPr>
          <w:rStyle w:val="optioncarChar"/>
        </w:rPr>
        <w:t xml:space="preserve">double- Gaz (cfr </w:t>
      </w:r>
      <w:hyperlink w:anchor="878" w:history="1">
        <w:r>
          <w:rPr>
            <w:rStyle w:val="optioncarChar"/>
            <w:color w:val="0000EE"/>
          </w:rPr>
          <w:t>42.22.1a Vitrages doubles - Gaz</w:t>
        </w:r>
      </w:hyperlink>
      <w:r>
        <w:rPr>
          <w:rStyle w:val="optioncarChar"/>
        </w:rPr>
        <w:t xml:space="preserve">) / triple - Gaz (cfr </w:t>
      </w:r>
      <w:hyperlink w:anchor="879" w:history="1">
        <w:r>
          <w:rPr>
            <w:rStyle w:val="optioncarChar"/>
            <w:color w:val="0000EE"/>
          </w:rPr>
          <w:t>42.22.2a Vitrages triples - Gaz</w:t>
        </w:r>
      </w:hyperlink>
      <w:r>
        <w:rPr>
          <w:rStyle w:val="optioncarChar"/>
        </w:rPr>
        <w:t xml:space="preserve"> / simple trempé (cfr </w:t>
      </w:r>
      <w:hyperlink w:anchor="856" w:history="1">
        <w:r>
          <w:rPr>
            <w:rStyle w:val="optioncarChar"/>
            <w:color w:val="0000EE"/>
          </w:rPr>
          <w:t>42.14 Vitrages simples trempés</w:t>
        </w:r>
      </w:hyperlink>
      <w:r>
        <w:rPr>
          <w:rStyle w:val="optioncarChar"/>
        </w:rPr>
        <w:t xml:space="preserve">) / simple feuilleté (cfr </w:t>
      </w:r>
      <w:hyperlink w:anchor="851" w:history="1">
        <w:r>
          <w:rPr>
            <w:rStyle w:val="optioncarChar"/>
            <w:color w:val="0000EE"/>
          </w:rPr>
          <w:t>42.16 Vitrages simples feuilletés</w:t>
        </w:r>
      </w:hyperlink>
      <w:r>
        <w:rPr>
          <w:rStyle w:val="optioncarChar"/>
        </w:rPr>
        <w:t>)</w:t>
      </w:r>
    </w:p>
    <w:p w14:paraId="5F105069" w14:textId="77777777" w:rsidR="00772179" w:rsidRDefault="00000000">
      <w:pPr>
        <w:pStyle w:val="Author-eListParagraph"/>
        <w:numPr>
          <w:ilvl w:val="0"/>
          <w:numId w:val="501"/>
        </w:numPr>
      </w:pPr>
      <w:r>
        <w:t xml:space="preserve">Finition : </w:t>
      </w:r>
      <w:r>
        <w:rPr>
          <w:rStyle w:val="optioncarChar"/>
        </w:rPr>
        <w:t>émaillé en couche 2 / émaillé en couche 4</w:t>
      </w:r>
    </w:p>
    <w:p w14:paraId="0FE9AD54" w14:textId="77777777" w:rsidR="00772179" w:rsidRDefault="00000000">
      <w:pPr>
        <w:pStyle w:val="Author-eListParagraph"/>
        <w:numPr>
          <w:ilvl w:val="0"/>
          <w:numId w:val="501"/>
        </w:numPr>
      </w:pPr>
      <w:r>
        <w:t xml:space="preserve">Teinte : </w:t>
      </w:r>
      <w:r>
        <w:rPr>
          <w:rStyle w:val="optioncarChar"/>
        </w:rPr>
        <w:t xml:space="preserve">au choix de l’auteur de projet sur base d’échantillons </w:t>
      </w:r>
      <w:r>
        <w:t>(par défaut)</w:t>
      </w:r>
      <w:r>
        <w:rPr>
          <w:rStyle w:val="optioncarChar"/>
        </w:rPr>
        <w:t> / ***</w:t>
      </w:r>
    </w:p>
    <w:p w14:paraId="12AB398C" w14:textId="77777777" w:rsidR="00772179" w:rsidRDefault="00000000">
      <w:pPr>
        <w:jc w:val="both"/>
      </w:pPr>
      <w:r>
        <w:rPr>
          <w:b/>
        </w:rPr>
        <w:t>Ouvrants</w:t>
      </w:r>
      <w:r>
        <w:t xml:space="preserve"> suivant </w:t>
      </w:r>
      <w:hyperlink w:anchor="922" w:history="1">
        <w:r>
          <w:rPr>
            <w:color w:val="0000EE"/>
          </w:rPr>
          <w:t>41.12.2a Fenêtres et portes-fenêtres en aluminium avec coupure thermique</w:t>
        </w:r>
      </w:hyperlink>
      <w:r>
        <w:t xml:space="preserve"> :</w:t>
      </w:r>
    </w:p>
    <w:p w14:paraId="4DCB7505" w14:textId="77777777" w:rsidR="00772179" w:rsidRDefault="00000000">
      <w:pPr>
        <w:pStyle w:val="Author-eListParagraph"/>
        <w:numPr>
          <w:ilvl w:val="0"/>
          <w:numId w:val="502"/>
        </w:numPr>
      </w:pPr>
      <w:r>
        <w:t>Dimensions et localisation suivant plans de façades, dimensions maximales suivant Atg.</w:t>
      </w:r>
    </w:p>
    <w:p w14:paraId="11550D65" w14:textId="77777777" w:rsidR="00772179" w:rsidRDefault="00000000">
      <w:pPr>
        <w:pStyle w:val="Author-eListParagraph"/>
        <w:numPr>
          <w:ilvl w:val="0"/>
          <w:numId w:val="502"/>
        </w:numPr>
      </w:pPr>
      <w:r>
        <w:t xml:space="preserve">Vitrage isolant collé rendant l’ouvrant invisible de l’extérieur : </w:t>
      </w:r>
      <w:r>
        <w:rPr>
          <w:rStyle w:val="optioncarChar"/>
        </w:rPr>
        <w:t xml:space="preserve">non </w:t>
      </w:r>
      <w:r>
        <w:t>(par défaut)</w:t>
      </w:r>
      <w:r>
        <w:rPr>
          <w:rStyle w:val="optioncarChar"/>
        </w:rPr>
        <w:t xml:space="preserve"> / oui</w:t>
      </w:r>
    </w:p>
    <w:p w14:paraId="06EFA799" w14:textId="77777777" w:rsidR="00772179" w:rsidRDefault="00000000">
      <w:pPr>
        <w:pStyle w:val="Author-eListParagraph"/>
        <w:numPr>
          <w:ilvl w:val="0"/>
          <w:numId w:val="502"/>
        </w:numPr>
      </w:pPr>
      <w:r>
        <w:t xml:space="preserve">·Fonctionnement : </w:t>
      </w:r>
      <w:r>
        <w:rPr>
          <w:rStyle w:val="optioncarChar"/>
        </w:rPr>
        <w:t>oscillo-battant </w:t>
      </w:r>
      <w:r>
        <w:t>(par défaut)</w:t>
      </w:r>
      <w:r>
        <w:rPr>
          <w:rStyle w:val="optioncarChar"/>
        </w:rPr>
        <w:t xml:space="preserve"> / projetant extérieur / ouvrant parallèle / coulissant / pivotant / ***</w:t>
      </w:r>
    </w:p>
    <w:p w14:paraId="32FD4C22" w14:textId="77777777" w:rsidR="00772179" w:rsidRDefault="00000000">
      <w:pPr>
        <w:pStyle w:val="Author-eListParagraph"/>
        <w:numPr>
          <w:ilvl w:val="0"/>
          <w:numId w:val="502"/>
        </w:numPr>
      </w:pPr>
      <w:r>
        <w:t xml:space="preserve">Quincaillerie : (voir sous </w:t>
      </w:r>
      <w:hyperlink w:anchor="884" w:history="1">
        <w:r>
          <w:rPr>
            <w:color w:val="0000EE"/>
          </w:rPr>
          <w:t>41.72 Quincailleries</w:t>
        </w:r>
      </w:hyperlink>
      <w:r>
        <w:t>)</w:t>
      </w:r>
    </w:p>
    <w:p w14:paraId="3A5E8CFE" w14:textId="77777777" w:rsidR="00772179" w:rsidRDefault="00000000">
      <w:pPr>
        <w:jc w:val="both"/>
      </w:pPr>
      <w:r>
        <w:rPr>
          <w:b/>
        </w:rPr>
        <w:t>Portes</w:t>
      </w:r>
      <w:r>
        <w:t xml:space="preserve"> suivant </w:t>
      </w:r>
      <w:hyperlink w:anchor="923" w:history="1">
        <w:r>
          <w:rPr>
            <w:color w:val="0000EE"/>
          </w:rPr>
          <w:t>41.22.2a Portes d'entrée en aluminium avec coupure thermique</w:t>
        </w:r>
      </w:hyperlink>
      <w:r>
        <w:t xml:space="preserve"> :</w:t>
      </w:r>
    </w:p>
    <w:p w14:paraId="5853C18A" w14:textId="77777777" w:rsidR="00772179" w:rsidRDefault="00000000">
      <w:pPr>
        <w:pStyle w:val="Author-eListParagraph"/>
        <w:numPr>
          <w:ilvl w:val="0"/>
          <w:numId w:val="503"/>
        </w:numPr>
        <w:jc w:val="both"/>
      </w:pPr>
      <w:r>
        <w:t>Dimensions et localisation suivant plans de façades, dimensions maximales suivant Atg.</w:t>
      </w:r>
    </w:p>
    <w:p w14:paraId="2034C019" w14:textId="77777777" w:rsidR="00772179" w:rsidRDefault="00000000">
      <w:pPr>
        <w:pStyle w:val="Author-eListParagraph"/>
        <w:numPr>
          <w:ilvl w:val="0"/>
          <w:numId w:val="503"/>
        </w:numPr>
        <w:jc w:val="both"/>
      </w:pPr>
      <w:r>
        <w:t xml:space="preserve">Quincaillerie : (voir sous </w:t>
      </w:r>
      <w:hyperlink w:anchor="884" w:history="1">
        <w:r>
          <w:rPr>
            <w:color w:val="0000EE"/>
          </w:rPr>
          <w:t>41.72 Quincailleries</w:t>
        </w:r>
      </w:hyperlink>
      <w:r>
        <w:t>)</w:t>
      </w:r>
    </w:p>
    <w:p w14:paraId="22BA4751" w14:textId="77777777" w:rsidR="00772179" w:rsidRDefault="00000000">
      <w:pPr>
        <w:pStyle w:val="pheading"/>
      </w:pPr>
      <w:r>
        <w:t>- Finitions</w:t>
      </w:r>
    </w:p>
    <w:p w14:paraId="5F4EA5CC" w14:textId="77777777" w:rsidR="00772179" w:rsidRDefault="00000000">
      <w:pPr>
        <w:jc w:val="both"/>
      </w:pPr>
      <w:r>
        <w:rPr>
          <w:b/>
        </w:rPr>
        <w:t>Structure aluminium :</w:t>
      </w:r>
      <w:r>
        <w:rPr>
          <w:rStyle w:val="optioncarChar"/>
        </w:rPr>
        <w:t xml:space="preserve">thermolaqué </w:t>
      </w:r>
      <w:r>
        <w:t>(par défaut)</w:t>
      </w:r>
      <w:r>
        <w:rPr>
          <w:rStyle w:val="optioncarChar"/>
        </w:rPr>
        <w:t xml:space="preserve"> / anodisé</w:t>
      </w:r>
    </w:p>
    <w:p w14:paraId="673B65DD" w14:textId="77777777" w:rsidR="00772179" w:rsidRDefault="00000000">
      <w:pPr>
        <w:jc w:val="both"/>
      </w:pPr>
      <w:r>
        <w:rPr>
          <w:b/>
        </w:rPr>
        <w:t>(soit par défaut)</w:t>
      </w:r>
    </w:p>
    <w:p w14:paraId="6CBFB88F" w14:textId="77777777" w:rsidR="00772179" w:rsidRDefault="00000000">
      <w:pPr>
        <w:jc w:val="both"/>
      </w:pPr>
      <w:r>
        <w:rPr>
          <w:rStyle w:val="soitChar"/>
          <w:u w:val="single"/>
        </w:rPr>
        <w:t>Thermolaqué :</w:t>
      </w:r>
    </w:p>
    <w:p w14:paraId="121827A9" w14:textId="77777777" w:rsidR="00772179" w:rsidRDefault="00000000">
      <w:pPr>
        <w:pStyle w:val="Author-eListParagraph"/>
        <w:numPr>
          <w:ilvl w:val="0"/>
          <w:numId w:val="504"/>
        </w:numPr>
      </w:pPr>
      <w:r>
        <w:rPr>
          <w:rStyle w:val="soitChar"/>
        </w:rPr>
        <w:t xml:space="preserve">Degré de brillance : </w:t>
      </w:r>
      <w:r>
        <w:rPr>
          <w:rStyle w:val="optioncarChar"/>
        </w:rPr>
        <w:t xml:space="preserve">mat </w:t>
      </w:r>
      <w:r>
        <w:t>(par défaut)</w:t>
      </w:r>
      <w:r>
        <w:rPr>
          <w:rStyle w:val="optioncarChar"/>
        </w:rPr>
        <w:t xml:space="preserve"> / satiné / brillant</w:t>
      </w:r>
    </w:p>
    <w:p w14:paraId="43B62C7A" w14:textId="77777777" w:rsidR="00772179" w:rsidRDefault="00000000">
      <w:pPr>
        <w:pStyle w:val="Author-eListParagraph"/>
        <w:numPr>
          <w:ilvl w:val="0"/>
          <w:numId w:val="504"/>
        </w:numPr>
      </w:pPr>
      <w:r>
        <w:rPr>
          <w:rStyle w:val="soitChar"/>
        </w:rPr>
        <w:t xml:space="preserve">Bicolore : </w:t>
      </w:r>
      <w:r>
        <w:rPr>
          <w:rStyle w:val="optioncarChar"/>
        </w:rPr>
        <w:t>non</w:t>
      </w:r>
      <w:r>
        <w:t xml:space="preserve"> (par défaut)</w:t>
      </w:r>
      <w:r>
        <w:rPr>
          <w:rStyle w:val="optioncarChar"/>
        </w:rPr>
        <w:t xml:space="preserve"> / oui</w:t>
      </w:r>
    </w:p>
    <w:p w14:paraId="3ED512FF" w14:textId="77777777" w:rsidR="00772179" w:rsidRDefault="00000000">
      <w:pPr>
        <w:ind w:left="567"/>
        <w:jc w:val="both"/>
      </w:pPr>
      <w:r>
        <w:rPr>
          <w:b/>
        </w:rPr>
        <w:t>(soit par défaut)</w:t>
      </w:r>
    </w:p>
    <w:p w14:paraId="0F468FD7" w14:textId="77777777" w:rsidR="00772179" w:rsidRDefault="00000000">
      <w:pPr>
        <w:ind w:left="567"/>
        <w:jc w:val="both"/>
      </w:pPr>
      <w:r>
        <w:rPr>
          <w:rStyle w:val="soitChar"/>
          <w:u w:val="single"/>
        </w:rPr>
        <w:t>Non :</w:t>
      </w:r>
      <w:r>
        <w:rPr>
          <w:rStyle w:val="soitChar"/>
        </w:rPr>
        <w:t xml:space="preserve"> teinte : </w:t>
      </w:r>
      <w:r>
        <w:rPr>
          <w:rStyle w:val="optioncarChar"/>
        </w:rPr>
        <w:t>***</w:t>
      </w:r>
    </w:p>
    <w:p w14:paraId="2108DE5C" w14:textId="77777777" w:rsidR="00772179" w:rsidRDefault="00000000">
      <w:pPr>
        <w:ind w:left="567"/>
        <w:jc w:val="both"/>
      </w:pPr>
      <w:r>
        <w:rPr>
          <w:b/>
        </w:rPr>
        <w:t>(soit)</w:t>
      </w:r>
    </w:p>
    <w:p w14:paraId="6C472C30" w14:textId="77777777" w:rsidR="00772179" w:rsidRDefault="00000000">
      <w:pPr>
        <w:ind w:left="567"/>
        <w:jc w:val="both"/>
      </w:pPr>
      <w:r>
        <w:rPr>
          <w:rStyle w:val="soitChar"/>
          <w:u w:val="single"/>
        </w:rPr>
        <w:t>Oui :</w:t>
      </w:r>
    </w:p>
    <w:p w14:paraId="01771332" w14:textId="77777777" w:rsidR="00772179" w:rsidRDefault="00000000">
      <w:pPr>
        <w:pStyle w:val="Author-eListParagraph"/>
        <w:numPr>
          <w:ilvl w:val="0"/>
          <w:numId w:val="505"/>
        </w:numPr>
      </w:pPr>
      <w:r>
        <w:rPr>
          <w:rStyle w:val="soitChar"/>
        </w:rPr>
        <w:t xml:space="preserve">Teinte extérieure : </w:t>
      </w:r>
      <w:r>
        <w:rPr>
          <w:rStyle w:val="optioncarChar"/>
        </w:rPr>
        <w:t>***</w:t>
      </w:r>
    </w:p>
    <w:p w14:paraId="50280C0D" w14:textId="77777777" w:rsidR="00772179" w:rsidRDefault="00000000">
      <w:pPr>
        <w:pStyle w:val="Author-eListParagraph"/>
        <w:numPr>
          <w:ilvl w:val="0"/>
          <w:numId w:val="505"/>
        </w:numPr>
      </w:pPr>
      <w:r>
        <w:rPr>
          <w:rStyle w:val="soitChar"/>
        </w:rPr>
        <w:t xml:space="preserve">Teinte intérieure : </w:t>
      </w:r>
      <w:r>
        <w:rPr>
          <w:rStyle w:val="optioncarChar"/>
        </w:rPr>
        <w:t>***</w:t>
      </w:r>
    </w:p>
    <w:p w14:paraId="2B6332FB" w14:textId="77777777" w:rsidR="00772179" w:rsidRDefault="00000000">
      <w:pPr>
        <w:jc w:val="both"/>
      </w:pPr>
      <w:r>
        <w:rPr>
          <w:b/>
        </w:rPr>
        <w:t>(soit)</w:t>
      </w:r>
    </w:p>
    <w:p w14:paraId="17A7877A" w14:textId="77777777" w:rsidR="00772179" w:rsidRDefault="00000000">
      <w:pPr>
        <w:jc w:val="both"/>
      </w:pPr>
      <w:r>
        <w:rPr>
          <w:rStyle w:val="soitChar"/>
          <w:u w:val="single"/>
        </w:rPr>
        <w:t>Anodisé :</w:t>
      </w:r>
    </w:p>
    <w:p w14:paraId="110500F4" w14:textId="77777777" w:rsidR="00772179" w:rsidRDefault="00000000">
      <w:pPr>
        <w:pStyle w:val="Author-eListParagraph"/>
        <w:numPr>
          <w:ilvl w:val="0"/>
          <w:numId w:val="506"/>
        </w:numPr>
      </w:pPr>
      <w:r>
        <w:rPr>
          <w:rStyle w:val="soitChar"/>
        </w:rPr>
        <w:t xml:space="preserve">Bicolore : </w:t>
      </w:r>
      <w:r>
        <w:rPr>
          <w:rStyle w:val="optioncarChar"/>
        </w:rPr>
        <w:t xml:space="preserve">non </w:t>
      </w:r>
      <w:r>
        <w:t>(par défaut)</w:t>
      </w:r>
      <w:r>
        <w:rPr>
          <w:rStyle w:val="optioncarChar"/>
        </w:rPr>
        <w:t xml:space="preserve"> / oui</w:t>
      </w:r>
    </w:p>
    <w:p w14:paraId="08025BDF" w14:textId="77777777" w:rsidR="00772179" w:rsidRDefault="00000000">
      <w:pPr>
        <w:ind w:left="567"/>
        <w:jc w:val="both"/>
      </w:pPr>
      <w:r>
        <w:rPr>
          <w:b/>
        </w:rPr>
        <w:t>(soit par défaut)</w:t>
      </w:r>
    </w:p>
    <w:p w14:paraId="5D8B3B93" w14:textId="77777777" w:rsidR="00772179" w:rsidRDefault="00000000">
      <w:pPr>
        <w:ind w:left="567"/>
        <w:jc w:val="both"/>
      </w:pPr>
      <w:r>
        <w:rPr>
          <w:rStyle w:val="soitChar"/>
          <w:u w:val="single"/>
        </w:rPr>
        <w:t>Non :</w:t>
      </w:r>
      <w:r>
        <w:rPr>
          <w:rStyle w:val="soitChar"/>
        </w:rPr>
        <w:t xml:space="preserve"> teinte :</w:t>
      </w:r>
      <w:r>
        <w:rPr>
          <w:rStyle w:val="optioncarChar"/>
        </w:rPr>
        <w:t xml:space="preserve"> bronze clair / bronze moyen / bronze foncé / noir / rouge / champagne / gris violet / bleu vert / rouge bordeaux / ***</w:t>
      </w:r>
    </w:p>
    <w:p w14:paraId="41794DC5" w14:textId="77777777" w:rsidR="00772179" w:rsidRDefault="00000000">
      <w:pPr>
        <w:ind w:left="567"/>
        <w:jc w:val="both"/>
      </w:pPr>
      <w:r>
        <w:rPr>
          <w:b/>
        </w:rPr>
        <w:t>(soit)</w:t>
      </w:r>
    </w:p>
    <w:p w14:paraId="65A95076" w14:textId="77777777" w:rsidR="00772179" w:rsidRDefault="00000000">
      <w:pPr>
        <w:ind w:left="567"/>
        <w:jc w:val="both"/>
      </w:pPr>
      <w:r>
        <w:rPr>
          <w:rStyle w:val="soitChar"/>
          <w:u w:val="single"/>
        </w:rPr>
        <w:t>Oui :</w:t>
      </w:r>
    </w:p>
    <w:p w14:paraId="2B80AD2A" w14:textId="77777777" w:rsidR="00772179" w:rsidRDefault="00000000">
      <w:pPr>
        <w:pStyle w:val="Author-eListParagraph"/>
        <w:numPr>
          <w:ilvl w:val="0"/>
          <w:numId w:val="507"/>
        </w:numPr>
      </w:pPr>
      <w:r>
        <w:rPr>
          <w:rStyle w:val="soitChar"/>
        </w:rPr>
        <w:lastRenderedPageBreak/>
        <w:t xml:space="preserve">Teinte extérieure : </w:t>
      </w:r>
      <w:r>
        <w:rPr>
          <w:rStyle w:val="optioncarChar"/>
        </w:rPr>
        <w:t>bronze clair / bronze moyen / bronze foncé / noir / rouge / champagne / gris violet / bleu vert / rouge bordeaux / ***</w:t>
      </w:r>
    </w:p>
    <w:p w14:paraId="027FE620" w14:textId="77777777" w:rsidR="00772179" w:rsidRDefault="00000000">
      <w:pPr>
        <w:pStyle w:val="Author-eListParagraph"/>
        <w:numPr>
          <w:ilvl w:val="0"/>
          <w:numId w:val="507"/>
        </w:numPr>
      </w:pPr>
      <w:r>
        <w:rPr>
          <w:rStyle w:val="soitChar"/>
        </w:rPr>
        <w:t xml:space="preserve">Teinte intérieure : </w:t>
      </w:r>
      <w:r>
        <w:rPr>
          <w:rStyle w:val="optioncarChar"/>
        </w:rPr>
        <w:t>bronze clair / bronze moyen / bronze foncé / noir / rouge / champagne / gris violet / bleu vert / rouge bordeaux / ***</w:t>
      </w:r>
    </w:p>
    <w:p w14:paraId="7FAC0022" w14:textId="77777777" w:rsidR="00772179" w:rsidRDefault="00000000">
      <w:pPr>
        <w:jc w:val="both"/>
      </w:pPr>
      <w:r>
        <w:rPr>
          <w:b/>
        </w:rPr>
        <w:t>Mastic structurel pour le joint de collage :</w:t>
      </w:r>
    </w:p>
    <w:p w14:paraId="048E267F" w14:textId="77777777" w:rsidR="00772179" w:rsidRDefault="00000000">
      <w:pPr>
        <w:jc w:val="both"/>
      </w:pPr>
      <w:r>
        <w:t xml:space="preserve">Teinte : </w:t>
      </w:r>
      <w:r>
        <w:rPr>
          <w:rStyle w:val="optioncarChar"/>
        </w:rPr>
        <w:t xml:space="preserve">noir </w:t>
      </w:r>
      <w:r>
        <w:t>(par défaut)</w:t>
      </w:r>
      <w:r>
        <w:rPr>
          <w:rStyle w:val="optioncarChar"/>
        </w:rPr>
        <w:t xml:space="preserve"> / transparent / gris</w:t>
      </w:r>
    </w:p>
    <w:p w14:paraId="5C679034" w14:textId="77777777" w:rsidR="00772179" w:rsidRDefault="00000000">
      <w:pPr>
        <w:jc w:val="both"/>
      </w:pPr>
      <w:r>
        <w:rPr>
          <w:b/>
        </w:rPr>
        <w:t>Garniture d’étanchéité à l’extérieur :</w:t>
      </w:r>
    </w:p>
    <w:p w14:paraId="0C141254" w14:textId="77777777" w:rsidR="00772179" w:rsidRDefault="00000000">
      <w:pPr>
        <w:jc w:val="both"/>
      </w:pPr>
      <w:r>
        <w:t xml:space="preserve"> Teinte : </w:t>
      </w:r>
      <w:r>
        <w:rPr>
          <w:rStyle w:val="optioncarChar"/>
        </w:rPr>
        <w:t xml:space="preserve">noir </w:t>
      </w:r>
      <w:r>
        <w:t>(par défaut)</w:t>
      </w:r>
      <w:r>
        <w:rPr>
          <w:rStyle w:val="optioncarChar"/>
        </w:rPr>
        <w:t xml:space="preserve"> / transparent / gris</w:t>
      </w:r>
    </w:p>
    <w:p w14:paraId="790FE885" w14:textId="77777777" w:rsidR="00772179" w:rsidRDefault="00000000">
      <w:pPr>
        <w:pStyle w:val="pheading"/>
      </w:pPr>
      <w:r>
        <w:t>EXÉCUTION / MISE EN ŒUVRE</w:t>
      </w:r>
    </w:p>
    <w:p w14:paraId="72582582" w14:textId="77777777" w:rsidR="00772179" w:rsidRDefault="00000000">
      <w:pPr>
        <w:pStyle w:val="pheading"/>
      </w:pPr>
      <w:r>
        <w:t>- Prescriptions générales</w:t>
      </w:r>
    </w:p>
    <w:p w14:paraId="3AA3DB59" w14:textId="77777777" w:rsidR="00772179" w:rsidRDefault="00000000">
      <w:pPr>
        <w:jc w:val="both"/>
      </w:pPr>
      <w:r>
        <w:t>Les documents suivants sont présentés pour approbation à la direction des travaux :</w:t>
      </w:r>
    </w:p>
    <w:p w14:paraId="3B22A732" w14:textId="77777777" w:rsidR="00772179" w:rsidRDefault="00000000">
      <w:pPr>
        <w:pStyle w:val="Author-eListParagraph"/>
        <w:numPr>
          <w:ilvl w:val="0"/>
          <w:numId w:val="508"/>
        </w:numPr>
      </w:pPr>
      <w:r>
        <w:t>la note de calcul de la stabilité des différents éléments établie par le constructeur conformément à la déclaration de conformité compte tenu des sollicitations et performances exigées ;</w:t>
      </w:r>
    </w:p>
    <w:p w14:paraId="3B74F60B" w14:textId="77777777" w:rsidR="00772179" w:rsidRDefault="00000000">
      <w:pPr>
        <w:pStyle w:val="Author-eListParagraph"/>
        <w:numPr>
          <w:ilvl w:val="0"/>
          <w:numId w:val="508"/>
        </w:numPr>
      </w:pPr>
      <w:r>
        <w:t>le plan de calepinage indiquant la position exacte des fixations ;</w:t>
      </w:r>
    </w:p>
    <w:p w14:paraId="110FC569" w14:textId="77777777" w:rsidR="00772179" w:rsidRDefault="00000000">
      <w:pPr>
        <w:pStyle w:val="Author-eListParagraph"/>
        <w:numPr>
          <w:ilvl w:val="0"/>
          <w:numId w:val="508"/>
        </w:numPr>
      </w:pPr>
      <w:r>
        <w:t>les détails de mise en œuvre conformes aux spécifications du fabricant et composants du système évalués dans le cadre de la déclaration de conformité.</w:t>
      </w:r>
    </w:p>
    <w:p w14:paraId="25151694" w14:textId="77777777" w:rsidR="00772179" w:rsidRDefault="00000000">
      <w:pPr>
        <w:jc w:val="both"/>
      </w:pPr>
      <w:r>
        <w:t>Les ancrages sont réalisés de façon à :</w:t>
      </w:r>
    </w:p>
    <w:p w14:paraId="350FDF8B" w14:textId="77777777" w:rsidR="00772179" w:rsidRDefault="00000000">
      <w:pPr>
        <w:pStyle w:val="Author-eListParagraph"/>
        <w:numPr>
          <w:ilvl w:val="0"/>
          <w:numId w:val="509"/>
        </w:numPr>
      </w:pPr>
      <w:r>
        <w:t>permettre la libre dilatation de la façade VEC ;</w:t>
      </w:r>
    </w:p>
    <w:p w14:paraId="3CFF9EAE" w14:textId="77777777" w:rsidR="00772179" w:rsidRDefault="00000000">
      <w:pPr>
        <w:pStyle w:val="Author-eListParagraph"/>
        <w:numPr>
          <w:ilvl w:val="0"/>
          <w:numId w:val="509"/>
        </w:numPr>
      </w:pPr>
      <w:r>
        <w:t>permettre le réglage en 3 directions ;</w:t>
      </w:r>
    </w:p>
    <w:p w14:paraId="3577421E" w14:textId="77777777" w:rsidR="00772179" w:rsidRDefault="00000000">
      <w:pPr>
        <w:pStyle w:val="Author-eListParagraph"/>
        <w:numPr>
          <w:ilvl w:val="0"/>
          <w:numId w:val="509"/>
        </w:numPr>
      </w:pPr>
      <w:r>
        <w:t>préserver une distance adaptée à la tolérance du gros œuvre ;</w:t>
      </w:r>
    </w:p>
    <w:p w14:paraId="3B30489F" w14:textId="77777777" w:rsidR="00772179" w:rsidRDefault="00000000">
      <w:pPr>
        <w:pStyle w:val="Author-eListParagraph"/>
        <w:numPr>
          <w:ilvl w:val="0"/>
          <w:numId w:val="509"/>
        </w:numPr>
      </w:pPr>
      <w:r>
        <w:t xml:space="preserve">résister R60 suivant [AR 1994-07-07] : </w:t>
      </w:r>
      <w:r>
        <w:rPr>
          <w:rStyle w:val="optioncarChar"/>
        </w:rPr>
        <w:t>oui</w:t>
      </w:r>
      <w:r>
        <w:t xml:space="preserve"> (par défaut)</w:t>
      </w:r>
      <w:r>
        <w:rPr>
          <w:rStyle w:val="optioncarChar"/>
        </w:rPr>
        <w:t xml:space="preserve"> / non</w:t>
      </w:r>
    </w:p>
    <w:p w14:paraId="465EDFCA" w14:textId="77777777" w:rsidR="00772179" w:rsidRDefault="00000000">
      <w:pPr>
        <w:jc w:val="both"/>
      </w:pPr>
      <w:r>
        <w:t xml:space="preserve">Jonction EI 60 entre la façade et le gros œuvre suivant [AR 1994-07-07] : </w:t>
      </w:r>
      <w:r>
        <w:rPr>
          <w:rStyle w:val="optioncarChar"/>
        </w:rPr>
        <w:t xml:space="preserve">oui </w:t>
      </w:r>
      <w:r>
        <w:t xml:space="preserve">(par défaut) </w:t>
      </w:r>
      <w:r>
        <w:rPr>
          <w:rStyle w:val="optioncarChar"/>
        </w:rPr>
        <w:t>/ non</w:t>
      </w:r>
    </w:p>
    <w:p w14:paraId="40BC3507" w14:textId="77777777" w:rsidR="00772179" w:rsidRDefault="00000000">
      <w:pPr>
        <w:jc w:val="both"/>
      </w:pPr>
      <w:r>
        <w:t>Étanchéité à l’eau :</w:t>
      </w:r>
    </w:p>
    <w:p w14:paraId="0F4B35EC" w14:textId="77777777" w:rsidR="00772179" w:rsidRDefault="00000000">
      <w:pPr>
        <w:pStyle w:val="Author-eListParagraph"/>
        <w:numPr>
          <w:ilvl w:val="0"/>
          <w:numId w:val="510"/>
        </w:numPr>
      </w:pPr>
      <w:r>
        <w:t>La membrane d’étanchéité (butyl, EPDM, ...) est interposée entre la structure intérieure du gros œuvre et le niveau de drainage du système VEC. Dans les angles, la membrane est soudée ou collée.</w:t>
      </w:r>
    </w:p>
    <w:p w14:paraId="5360532F" w14:textId="77777777" w:rsidR="00772179" w:rsidRDefault="00000000">
      <w:pPr>
        <w:jc w:val="both"/>
      </w:pPr>
      <w:r>
        <w:t>Étanchéité à l’air :</w:t>
      </w:r>
    </w:p>
    <w:p w14:paraId="3164119C" w14:textId="77777777" w:rsidR="00772179" w:rsidRDefault="00000000">
      <w:pPr>
        <w:pStyle w:val="Author-eListParagraph"/>
        <w:numPr>
          <w:ilvl w:val="0"/>
          <w:numId w:val="511"/>
        </w:numPr>
        <w:jc w:val="both"/>
      </w:pPr>
      <w:r>
        <w:t>La membrane d’étanchéité à l’air est collée sur le gros œuvre et sur le système VEC.</w:t>
      </w:r>
    </w:p>
    <w:p w14:paraId="670457D9" w14:textId="77777777" w:rsidR="00772179" w:rsidRDefault="00000000">
      <w:pPr>
        <w:pStyle w:val="pheading"/>
      </w:pPr>
      <w:r>
        <w:t>DOCUMENTS DE RÉFÉRENCE COMPLÉMENTAIRES</w:t>
      </w:r>
    </w:p>
    <w:p w14:paraId="2CAB194B" w14:textId="77777777" w:rsidR="00772179" w:rsidRDefault="00000000">
      <w:pPr>
        <w:pStyle w:val="pheading"/>
      </w:pPr>
      <w:r>
        <w:t>- Matériau</w:t>
      </w:r>
    </w:p>
    <w:p w14:paraId="3AF61695" w14:textId="77777777" w:rsidR="00772179" w:rsidRDefault="00000000">
      <w:r>
        <w:t>[AR 1994-07-07, Arrêté royal fixant les normes de base en matière de prévention contre l'incendie et l'explosion, auxquelles les bâtiments nouveaux doivent satisfaire]</w:t>
      </w:r>
    </w:p>
    <w:p w14:paraId="0DCD1EC9" w14:textId="77777777" w:rsidR="00772179" w:rsidRDefault="00000000">
      <w:r>
        <w:t>[NBN B 25-002-4, Menuiseries extérieures. Partie 4 : Prescriptions pour les profilés et des ossatures en aluminium]</w:t>
      </w:r>
    </w:p>
    <w:p w14:paraId="1122B188" w14:textId="77777777" w:rsidR="00772179" w:rsidRDefault="00000000">
      <w:r>
        <w:t>[NBN EN 12152, Façades rideaux - Perméabilité à l'air - Exigences de performance et classification]</w:t>
      </w:r>
    </w:p>
    <w:p w14:paraId="7B015DD5" w14:textId="77777777" w:rsidR="00772179" w:rsidRDefault="00000000">
      <w:r>
        <w:t>[NBN EN 12154, Façades rideaux - Etanchéité à l'eau - Exigences de performance et classification]</w:t>
      </w:r>
    </w:p>
    <w:p w14:paraId="7E79B3C1" w14:textId="77777777" w:rsidR="00772179" w:rsidRDefault="00000000">
      <w:r>
        <w:t>[NBN EN 13022-1, Verre dans la construction - Système de vitrage extérieur collé (VEC) - Partie 1: Produits verriers pour système VEC pour produits monolithiques et produits multiples calés]</w:t>
      </w:r>
    </w:p>
    <w:p w14:paraId="1DF1EB3A" w14:textId="77777777" w:rsidR="00772179" w:rsidRDefault="00000000">
      <w:r>
        <w:t>[NBN EN 14019, Façades rideaux - Résistance au choc - Prescriptions de performance]</w:t>
      </w:r>
    </w:p>
    <w:p w14:paraId="64D9CA23" w14:textId="77777777" w:rsidR="00772179" w:rsidRDefault="00000000">
      <w:r>
        <w:t>[NBN EN ISO 12631, Performance thermique des façades-rideaux - Calcul du coefficient de transmission thermique (ISO 12631:2017)]</w:t>
      </w:r>
    </w:p>
    <w:p w14:paraId="122C9827" w14:textId="77777777" w:rsidR="00772179" w:rsidRDefault="00000000">
      <w:pPr>
        <w:pStyle w:val="pheading"/>
      </w:pPr>
      <w:r>
        <w:t>- Exécution</w:t>
      </w:r>
    </w:p>
    <w:p w14:paraId="53D5D82C" w14:textId="77777777" w:rsidR="00772179" w:rsidRDefault="00000000">
      <w:r>
        <w:t>[NIT 283, La pose des menuiseries extérieures. Partie 1 : aspects généraux.]</w:t>
      </w:r>
    </w:p>
    <w:p w14:paraId="4DD2FF2D" w14:textId="77777777" w:rsidR="00772179" w:rsidRDefault="00000000">
      <w:r>
        <w:lastRenderedPageBreak/>
        <w:t>[NIT 288, La pose des menuiseries extérieures Partie 3 : mise en œuvre de châssis en aluminium et en PVC dans des murs creux]</w:t>
      </w:r>
    </w:p>
    <w:p w14:paraId="32945078" w14:textId="77777777" w:rsidR="00772179" w:rsidRDefault="00000000">
      <w:pPr>
        <w:pStyle w:val="pheading"/>
      </w:pPr>
      <w:r>
        <w:t>MESURAGE</w:t>
      </w:r>
    </w:p>
    <w:p w14:paraId="7EDFCD61" w14:textId="77777777" w:rsidR="00772179" w:rsidRDefault="00000000">
      <w:pPr>
        <w:pStyle w:val="pheading"/>
      </w:pPr>
      <w:r>
        <w:t>- unité de mesure:</w:t>
      </w:r>
    </w:p>
    <w:p w14:paraId="6AD6EE82" w14:textId="77777777" w:rsidR="00772179" w:rsidRDefault="00000000">
      <w:r>
        <w:t>m² ; pc</w:t>
      </w:r>
    </w:p>
    <w:p w14:paraId="5288DD33" w14:textId="77777777" w:rsidR="00772179" w:rsidRDefault="00000000">
      <w:pPr>
        <w:pStyle w:val="pheading"/>
      </w:pPr>
      <w:r>
        <w:t>- code de mesurage:</w:t>
      </w:r>
    </w:p>
    <w:p w14:paraId="679ABDA0" w14:textId="77777777" w:rsidR="00772179" w:rsidRDefault="00000000">
      <w:pPr>
        <w:jc w:val="both"/>
      </w:pPr>
      <w:r>
        <w:rPr>
          <w:b/>
        </w:rPr>
        <w:t>Surface nette</w:t>
      </w:r>
      <w:r>
        <w:t xml:space="preserve"> du système de façade (ouvrants compris), distinction faite du type.</w:t>
      </w:r>
    </w:p>
    <w:p w14:paraId="366983A2" w14:textId="77777777" w:rsidR="00772179" w:rsidRDefault="00000000">
      <w:pPr>
        <w:jc w:val="both"/>
      </w:pPr>
      <w:r>
        <w:rPr>
          <w:b/>
        </w:rPr>
        <w:t>Quantité nette </w:t>
      </w:r>
      <w:r>
        <w:t>: supplément pour ouvrant distinction faite du type et des dimensions.</w:t>
      </w:r>
    </w:p>
    <w:p w14:paraId="08EBB5E5" w14:textId="77777777" w:rsidR="00772179" w:rsidRDefault="00000000">
      <w:pPr>
        <w:pStyle w:val="pheading"/>
      </w:pPr>
      <w:r>
        <w:t>- nature du marché:</w:t>
      </w:r>
    </w:p>
    <w:p w14:paraId="55ADD613" w14:textId="77777777" w:rsidR="00772179" w:rsidRDefault="00000000">
      <w:r>
        <w:t>QF</w:t>
      </w:r>
    </w:p>
    <w:p w14:paraId="08FA8679" w14:textId="77777777" w:rsidR="00772179" w:rsidRDefault="00000000">
      <w:pPr>
        <w:pStyle w:val="pheading"/>
      </w:pPr>
      <w:r>
        <w:t>AIDE</w:t>
      </w:r>
    </w:p>
    <w:p w14:paraId="0E059532" w14:textId="77777777" w:rsidR="00772179" w:rsidRDefault="00000000">
      <w:pPr>
        <w:jc w:val="both"/>
      </w:pPr>
      <w:r>
        <w:t>Résistance à l’effraction classe : lors de l’utilisation de la classe CR2 / CR3, le vitrage est respectivement de type P4A / P5A.</w:t>
      </w:r>
    </w:p>
    <w:p w14:paraId="07394C5A" w14:textId="77777777" w:rsidR="00772179" w:rsidRDefault="00000000">
      <w:pPr>
        <w:pStyle w:val="Author-eSectionHeading5Numberless"/>
      </w:pPr>
      <w:bookmarkStart w:id="205" w:name="_Toc220489945"/>
      <w:r>
        <w:t>41.42.4 Systèmes de façade VEC - structure mixte CCTB 01.02</w:t>
      </w:r>
      <w:bookmarkEnd w:id="205"/>
    </w:p>
    <w:p w14:paraId="3C32BA1D" w14:textId="77777777" w:rsidR="00772179" w:rsidRDefault="00000000">
      <w:pPr>
        <w:pStyle w:val="Author-eSectionHeading6Numberless"/>
      </w:pPr>
      <w:bookmarkStart w:id="206" w:name="_Toc220489946"/>
      <w:r>
        <w:t>41.42.4a Systèmes de façade VEC - structure mixte</w:t>
      </w:r>
      <w:bookmarkEnd w:id="206"/>
    </w:p>
    <w:p w14:paraId="011AC4D4" w14:textId="77777777" w:rsidR="00772179" w:rsidRDefault="00000000">
      <w:pPr>
        <w:pStyle w:val="Author-eSectionHeading4Numberless"/>
      </w:pPr>
      <w:bookmarkStart w:id="207" w:name="_Toc220489947"/>
      <w:r>
        <w:t>41.43 Systèmes de façade VEA (vitrage extérieur attaché) CCTB 01.02</w:t>
      </w:r>
      <w:bookmarkEnd w:id="207"/>
    </w:p>
    <w:p w14:paraId="7AFDA7C5" w14:textId="77777777" w:rsidR="00772179" w:rsidRDefault="00000000">
      <w:pPr>
        <w:pStyle w:val="Author-eSectionHeading5Numberless"/>
      </w:pPr>
      <w:bookmarkStart w:id="208" w:name="927"/>
      <w:bookmarkStart w:id="209" w:name="_Toc220489948"/>
      <w:bookmarkEnd w:id="208"/>
      <w:r>
        <w:t>41.43.1 Systèmes de façade VEA - structure bois CCTB 01.02</w:t>
      </w:r>
      <w:bookmarkEnd w:id="209"/>
    </w:p>
    <w:p w14:paraId="701A1797" w14:textId="77777777" w:rsidR="00772179" w:rsidRDefault="00000000">
      <w:pPr>
        <w:pStyle w:val="Author-eSectionHeading6Numberless"/>
      </w:pPr>
      <w:bookmarkStart w:id="210" w:name="_Toc220489949"/>
      <w:r>
        <w:t>41.43.1a Systèmes de façade VEA - structure bois</w:t>
      </w:r>
      <w:bookmarkEnd w:id="210"/>
    </w:p>
    <w:p w14:paraId="3407FE4F" w14:textId="77777777" w:rsidR="00772179" w:rsidRDefault="00000000">
      <w:pPr>
        <w:pStyle w:val="Author-eSectionHeading5Numberless"/>
      </w:pPr>
      <w:bookmarkStart w:id="211" w:name="_Toc220489950"/>
      <w:r>
        <w:t>41.43.2 Systèmes de façade VEA - structure inox CCTB 01.02</w:t>
      </w:r>
      <w:bookmarkEnd w:id="211"/>
    </w:p>
    <w:p w14:paraId="31B3D951" w14:textId="77777777" w:rsidR="00772179" w:rsidRDefault="00000000">
      <w:pPr>
        <w:pStyle w:val="Author-eSectionHeading6Numberless"/>
      </w:pPr>
      <w:bookmarkStart w:id="212" w:name="_Toc220489951"/>
      <w:r>
        <w:t>41.43.2a Systèmes de façade VEA - structure inox</w:t>
      </w:r>
      <w:bookmarkEnd w:id="212"/>
    </w:p>
    <w:p w14:paraId="5BA4D03E" w14:textId="77777777" w:rsidR="00772179" w:rsidRDefault="00000000">
      <w:pPr>
        <w:pStyle w:val="Author-eSectionHeading5Numberless"/>
      </w:pPr>
      <w:bookmarkStart w:id="213" w:name="_Toc220489952"/>
      <w:r>
        <w:t>41.43.3 Systèmes de façade VEA - structure alu CCTB 01.02</w:t>
      </w:r>
      <w:bookmarkEnd w:id="213"/>
    </w:p>
    <w:p w14:paraId="5CD5AFDE" w14:textId="77777777" w:rsidR="00772179" w:rsidRDefault="00000000">
      <w:pPr>
        <w:pStyle w:val="Author-eSectionHeading6Numberless"/>
      </w:pPr>
      <w:bookmarkStart w:id="214" w:name="_Toc220489953"/>
      <w:r>
        <w:t>41.43.3a Systèmes de façade VEA - structure alu CCTB 01.07</w:t>
      </w:r>
      <w:bookmarkEnd w:id="214"/>
    </w:p>
    <w:p w14:paraId="0CC8AD38" w14:textId="77777777" w:rsidR="00772179" w:rsidRDefault="00000000">
      <w:pPr>
        <w:pStyle w:val="pheading"/>
      </w:pPr>
      <w:r>
        <w:t>DESCRIPTION</w:t>
      </w:r>
    </w:p>
    <w:p w14:paraId="09AA0175" w14:textId="77777777" w:rsidR="00772179" w:rsidRDefault="00000000">
      <w:pPr>
        <w:pStyle w:val="pheading"/>
      </w:pPr>
      <w:r>
        <w:t>- Définition / Comprend</w:t>
      </w:r>
    </w:p>
    <w:p w14:paraId="5A069D40" w14:textId="77777777" w:rsidR="00772179" w:rsidRDefault="00000000">
      <w:r>
        <w:rPr>
          <w:b/>
        </w:rPr>
        <w:t> </w:t>
      </w:r>
    </w:p>
    <w:p w14:paraId="4ACB7F7C" w14:textId="77777777" w:rsidR="00772179" w:rsidRDefault="00000000">
      <w:pPr>
        <w:pStyle w:val="Author-eSectionHeading5Numberless"/>
      </w:pPr>
      <w:bookmarkStart w:id="215" w:name="_Toc220489954"/>
      <w:r>
        <w:t>41.43.4 Systèmes de façade VEA - structure mixte CCTB 01.02</w:t>
      </w:r>
      <w:bookmarkEnd w:id="215"/>
    </w:p>
    <w:p w14:paraId="7BE68CB6" w14:textId="77777777" w:rsidR="00772179" w:rsidRDefault="00000000">
      <w:pPr>
        <w:pStyle w:val="Author-eSectionHeading6Numberless"/>
      </w:pPr>
      <w:bookmarkStart w:id="216" w:name="_Toc220489955"/>
      <w:r>
        <w:t>41.43.4a Systèmes de façade VEA - structure mixte CCTB 01.11</w:t>
      </w:r>
      <w:bookmarkEnd w:id="216"/>
    </w:p>
    <w:p w14:paraId="56B12C0F" w14:textId="77777777" w:rsidR="00772179" w:rsidRDefault="00000000">
      <w:pPr>
        <w:pStyle w:val="pheading"/>
      </w:pPr>
      <w:r>
        <w:t>DESCRIPTION</w:t>
      </w:r>
    </w:p>
    <w:p w14:paraId="65F424B9" w14:textId="77777777" w:rsidR="00772179" w:rsidRDefault="00000000">
      <w:pPr>
        <w:pStyle w:val="pheading"/>
      </w:pPr>
      <w:r>
        <w:t>- Définition / Comprend</w:t>
      </w:r>
    </w:p>
    <w:p w14:paraId="6231AEE9" w14:textId="77777777" w:rsidR="00772179" w:rsidRDefault="00000000">
      <w:pPr>
        <w:jc w:val="both"/>
      </w:pPr>
      <w:r>
        <w:t>Il s’agit de la fourniture et la pose de façades VEA (verre extérieur agrafé ou attaché) sur une structure mixte.</w:t>
      </w:r>
    </w:p>
    <w:p w14:paraId="27101B74" w14:textId="77777777" w:rsidR="00772179" w:rsidRDefault="00000000">
      <w:pPr>
        <w:jc w:val="both"/>
      </w:pPr>
      <w:r>
        <w:t>Sont repris dans cet article les verres agrafés par percement, par clamage, par collage sur attache ponctuelle.</w:t>
      </w:r>
    </w:p>
    <w:p w14:paraId="2FF9FFD1" w14:textId="77777777" w:rsidR="00772179" w:rsidRDefault="00000000">
      <w:pPr>
        <w:jc w:val="both"/>
      </w:pPr>
      <w:r>
        <w:t>Une déclaration d'aptitude suivant 02.42.1 Critères d'acceptabilité est imposée à ces produits suivant la [NBN EN 13830:2015+A1] afin d'attester qu’ils soient conformes aux spécifications techniques.</w:t>
      </w:r>
    </w:p>
    <w:p w14:paraId="24D7C421" w14:textId="77777777" w:rsidR="00772179" w:rsidRDefault="00000000">
      <w:pPr>
        <w:pStyle w:val="pheading"/>
      </w:pPr>
      <w:r>
        <w:t>- Localisation</w:t>
      </w:r>
    </w:p>
    <w:p w14:paraId="048BD93E" w14:textId="77777777" w:rsidR="00772179" w:rsidRDefault="00000000">
      <w:r>
        <w:lastRenderedPageBreak/>
        <w:t xml:space="preserve">La localisation des façades VEA sur structure mixte est la suivante : </w:t>
      </w:r>
      <w:r>
        <w:rPr>
          <w:rStyle w:val="optioncarChar"/>
        </w:rPr>
        <w:t>***</w:t>
      </w:r>
      <w:r>
        <w:t>.</w:t>
      </w:r>
    </w:p>
    <w:p w14:paraId="0419DC4B" w14:textId="77777777" w:rsidR="00772179" w:rsidRDefault="00000000">
      <w:r>
        <w:t>Voir plans et métrés détaillés.</w:t>
      </w:r>
    </w:p>
    <w:p w14:paraId="6F24E8A2" w14:textId="77777777" w:rsidR="00772179" w:rsidRDefault="00000000">
      <w:pPr>
        <w:pStyle w:val="pheading"/>
      </w:pPr>
      <w:r>
        <w:t>MATÉRIAUX</w:t>
      </w:r>
    </w:p>
    <w:p w14:paraId="75FD8250" w14:textId="77777777" w:rsidR="00772179" w:rsidRDefault="00000000">
      <w:pPr>
        <w:pStyle w:val="pheading"/>
      </w:pPr>
      <w:r>
        <w:t>- Caractéristiques générales</w:t>
      </w:r>
    </w:p>
    <w:p w14:paraId="197D33D2" w14:textId="77777777" w:rsidR="00772179" w:rsidRDefault="00000000">
      <w:pPr>
        <w:jc w:val="both"/>
      </w:pPr>
      <w:r>
        <w:t>Une façade VEA (vitrage extérieur agrafé ou attaché) est une façade réalisée à l’aide de produits verriers constituant l’enveloppe extérieure du bâtiment, mis en œuvre par fixations mécaniques ponctuelles. La paroi en verre ou autre parement est excentré par rapport à la structure.</w:t>
      </w:r>
    </w:p>
    <w:p w14:paraId="7339C365" w14:textId="77777777" w:rsidR="00772179" w:rsidRDefault="00000000">
      <w:pPr>
        <w:jc w:val="both"/>
      </w:pPr>
      <w:r>
        <w:t xml:space="preserve">La structure portante est dimensionnée pour reprendre les charges au vent (conformément à la [NBN EN 1991-1-4], le poids propre (conformément à la [NBN EN 1991-1-1], la charge de neige (conformément à la [NBN EN 1991-1-3] et toutes autres charges définies par le maître d’œuvre : </w:t>
      </w:r>
      <w:r>
        <w:rPr>
          <w:rStyle w:val="optioncarChar"/>
        </w:rPr>
        <w:t>***</w:t>
      </w:r>
      <w:r>
        <w:t>.</w:t>
      </w:r>
    </w:p>
    <w:p w14:paraId="0A09FE2B" w14:textId="77777777" w:rsidR="00772179" w:rsidRDefault="00000000">
      <w:pPr>
        <w:jc w:val="both"/>
      </w:pPr>
      <w:r>
        <w:t>La combinaison des charges est réalisée conformément à la [NBN EN 1990]</w:t>
      </w:r>
    </w:p>
    <w:p w14:paraId="3C68707E" w14:textId="77777777" w:rsidR="00772179" w:rsidRDefault="00000000">
      <w:pPr>
        <w:jc w:val="both"/>
      </w:pPr>
      <w:r>
        <w:t>La façade VEA est fixée sur la structure mixte. Les fixations aux rives sont réalisées </w:t>
      </w:r>
      <w:r>
        <w:rPr>
          <w:rStyle w:val="optioncarChar"/>
        </w:rPr>
        <w:t xml:space="preserve">sur une ossature identique à la structure complète </w:t>
      </w:r>
      <w:r>
        <w:t>(par défaut)</w:t>
      </w:r>
      <w:r>
        <w:rPr>
          <w:rStyle w:val="optioncarChar"/>
        </w:rPr>
        <w:t xml:space="preserve"> / directement par fixation sur l’ouvrage de périphérie / ***.</w:t>
      </w:r>
    </w:p>
    <w:p w14:paraId="0DB06672" w14:textId="77777777" w:rsidR="00772179" w:rsidRDefault="00772179">
      <w:pPr>
        <w:jc w:val="both"/>
      </w:pPr>
    </w:p>
    <w:p w14:paraId="4356E0A1" w14:textId="77777777" w:rsidR="00772179" w:rsidRDefault="00000000">
      <w:pPr>
        <w:jc w:val="both"/>
      </w:pPr>
      <w:r>
        <w:rPr>
          <w:b/>
          <w:u w:val="single"/>
        </w:rPr>
        <w:t>Structure mixte</w:t>
      </w:r>
    </w:p>
    <w:p w14:paraId="76F469AF" w14:textId="77777777" w:rsidR="00772179" w:rsidRDefault="00000000">
      <w:pPr>
        <w:jc w:val="both"/>
      </w:pPr>
      <w:r>
        <w:t>La structure est</w:t>
      </w:r>
      <w:r>
        <w:rPr>
          <w:rStyle w:val="optioncarChar"/>
        </w:rPr>
        <w:t xml:space="preserve"> intérieure / extérieure</w:t>
      </w:r>
      <w:r>
        <w:t xml:space="preserve"> de la construction. La structure portante de la façade est décrite dans le plan détaillé.</w:t>
      </w:r>
    </w:p>
    <w:p w14:paraId="19875FAE" w14:textId="77777777" w:rsidR="00772179" w:rsidRDefault="00000000">
      <w:pPr>
        <w:jc w:val="both"/>
      </w:pPr>
      <w:r>
        <w:t xml:space="preserve">La structure mixte est composée </w:t>
      </w:r>
      <w:r>
        <w:rPr>
          <w:rStyle w:val="optioncarChar"/>
        </w:rPr>
        <w:t>d’acier inoxydable et de bois / d’acier inoxydable et de verre / d’acier laqué et de verre / ***</w:t>
      </w:r>
      <w:r>
        <w:t>.</w:t>
      </w:r>
    </w:p>
    <w:p w14:paraId="796E487C" w14:textId="77777777" w:rsidR="00772179" w:rsidRDefault="00000000">
      <w:pPr>
        <w:jc w:val="both"/>
      </w:pPr>
      <w:r>
        <w:t>Les éléments en béton, en aciers et en bois sont décrits dans le 2 T2 Superstructures.</w:t>
      </w:r>
    </w:p>
    <w:p w14:paraId="16DFB8AE" w14:textId="77777777" w:rsidR="00772179" w:rsidRDefault="00000000">
      <w:pPr>
        <w:jc w:val="both"/>
      </w:pPr>
      <w:r>
        <w:rPr>
          <w:b/>
          <w:u w:val="single"/>
        </w:rPr>
        <w:t>Les éléments en verre structurel</w:t>
      </w:r>
    </w:p>
    <w:p w14:paraId="1FBCB9F6" w14:textId="77777777" w:rsidR="00772179" w:rsidRDefault="00000000">
      <w:pPr>
        <w:jc w:val="both"/>
      </w:pPr>
      <w:r>
        <w:t>Le système de verre structurel est composé de différents éléments (colonne, traverses, ancrage, assemblage). Une seule et unique entreprise est responsable de la conception et la mise en œuvre de la totalité de la structure portante en verre structurel.</w:t>
      </w:r>
    </w:p>
    <w:p w14:paraId="2636E889" w14:textId="77777777" w:rsidR="00772179" w:rsidRDefault="00000000">
      <w:pPr>
        <w:jc w:val="both"/>
      </w:pPr>
      <w:r>
        <w:t>Une base de notes de calculs est fournie au maître d’ouvrage.</w:t>
      </w:r>
    </w:p>
    <w:p w14:paraId="2383A544" w14:textId="77777777" w:rsidR="00772179" w:rsidRDefault="00000000">
      <w:pPr>
        <w:jc w:val="both"/>
      </w:pPr>
      <w:r>
        <w:t>La structure portante (poutres-colonnes et raidisseurs) est toujours composée de vitrages</w:t>
      </w:r>
      <w:r>
        <w:rPr>
          <w:rStyle w:val="optioncarChar"/>
        </w:rPr>
        <w:t xml:space="preserve"> feuilletés </w:t>
      </w:r>
      <w:r>
        <w:t xml:space="preserve">(par défaut) </w:t>
      </w:r>
      <w:r>
        <w:rPr>
          <w:rStyle w:val="optioncarChar"/>
        </w:rPr>
        <w:t>/ trempés / ***</w:t>
      </w:r>
      <w:r>
        <w:t>.</w:t>
      </w:r>
    </w:p>
    <w:p w14:paraId="0C67DED9" w14:textId="77777777" w:rsidR="00772179" w:rsidRDefault="00000000">
      <w:pPr>
        <w:jc w:val="both"/>
      </w:pPr>
      <w:r>
        <w:t>Les calculs, le mode de fixation et les charges déterminent si les différents vitrages sont également trempés.</w:t>
      </w:r>
    </w:p>
    <w:p w14:paraId="07DCE6B4" w14:textId="77777777" w:rsidR="00772179" w:rsidRDefault="00000000">
      <w:pPr>
        <w:jc w:val="both"/>
      </w:pPr>
      <w:r>
        <w:t xml:space="preserve">Les assemblages de la structure portante en verres sont réalisés à l’aide </w:t>
      </w:r>
      <w:r>
        <w:rPr>
          <w:rStyle w:val="optioncarChar"/>
        </w:rPr>
        <w:t xml:space="preserve">d'un collage structurel </w:t>
      </w:r>
      <w:r>
        <w:t>(par défaut)</w:t>
      </w:r>
      <w:r>
        <w:rPr>
          <w:rStyle w:val="optioncarChar"/>
        </w:rPr>
        <w:t xml:space="preserve"> / de liaisons métalliques / ***</w:t>
      </w:r>
      <w:r>
        <w:t>.</w:t>
      </w:r>
    </w:p>
    <w:p w14:paraId="408B3FE3" w14:textId="77777777" w:rsidR="00772179" w:rsidRDefault="00000000">
      <w:pPr>
        <w:jc w:val="both"/>
      </w:pPr>
      <w:r>
        <w:t>Les assemblages sont validés par notes de calcul ou par essais reprenant la résistance mécanique, la résistance sous température 80 °C, -15 °C, la résistance aux chocs et au fluage.</w:t>
      </w:r>
    </w:p>
    <w:p w14:paraId="391EBFA8" w14:textId="77777777" w:rsidR="00772179" w:rsidRDefault="00000000">
      <w:pPr>
        <w:jc w:val="both"/>
      </w:pPr>
      <w:r>
        <w:t>La composition est conforme à la norme [NBN S 23-002-2].</w:t>
      </w:r>
    </w:p>
    <w:p w14:paraId="6BAB61DA" w14:textId="77777777" w:rsidR="00772179" w:rsidRDefault="00000000">
      <w:pPr>
        <w:jc w:val="both"/>
      </w:pPr>
      <w:r>
        <w:t xml:space="preserve">Les charges sont transmises entre les fixations des vitrages vers la structure sont transmises à la structure </w:t>
      </w:r>
      <w:r>
        <w:rPr>
          <w:rStyle w:val="optioncarChar"/>
        </w:rPr>
        <w:t xml:space="preserve">directement </w:t>
      </w:r>
      <w:r>
        <w:t>(par défaut)</w:t>
      </w:r>
      <w:r>
        <w:rPr>
          <w:rStyle w:val="optioncarChar"/>
        </w:rPr>
        <w:t xml:space="preserve"> / par l’intermédiaire de bras articulés / par l’intermédiaires de bras fixes / par câbles / ***</w:t>
      </w:r>
      <w:r>
        <w:t>.</w:t>
      </w:r>
    </w:p>
    <w:p w14:paraId="28D5CF86" w14:textId="77777777" w:rsidR="00772179" w:rsidRDefault="00000000">
      <w:pPr>
        <w:jc w:val="both"/>
      </w:pPr>
      <w:r>
        <w:t xml:space="preserve">Les dispositifs intermédiaires de fixations sont constitués d’acier inoxydable selon la norme [NBN EN 10088-1] et sont en : </w:t>
      </w:r>
      <w:r>
        <w:rPr>
          <w:rStyle w:val="optioncarChar"/>
        </w:rPr>
        <w:t>acier austénitique au chrome nickel X5 Cr Ni 18/-10 / acier inoxydable au chrome nickel molybdène X2 Cr Ni Mo 17-12-2 / acier inoxydable au chrome nickel molybdène X 5 Cr Ni Mo 17-12-2 / ***</w:t>
      </w:r>
      <w:r>
        <w:t>.</w:t>
      </w:r>
    </w:p>
    <w:p w14:paraId="2D870DBD" w14:textId="77777777" w:rsidR="00772179" w:rsidRDefault="00000000">
      <w:pPr>
        <w:jc w:val="both"/>
      </w:pPr>
      <w:r>
        <w:t>Les câbles sont en</w:t>
      </w:r>
      <w:r>
        <w:rPr>
          <w:rStyle w:val="optioncarChar"/>
        </w:rPr>
        <w:t xml:space="preserve"> inox </w:t>
      </w:r>
      <w:r>
        <w:t xml:space="preserve">(par défaut) </w:t>
      </w:r>
      <w:r>
        <w:rPr>
          <w:rStyle w:val="optioncarChar"/>
        </w:rPr>
        <w:t>/ acier galvanisé / ***</w:t>
      </w:r>
      <w:r>
        <w:t>.</w:t>
      </w:r>
    </w:p>
    <w:p w14:paraId="3126DF22" w14:textId="77777777" w:rsidR="00772179" w:rsidRDefault="00000000">
      <w:pPr>
        <w:jc w:val="both"/>
      </w:pPr>
      <w:r>
        <w:t xml:space="preserve">Le diamètre du câble est ≤ </w:t>
      </w:r>
      <w:r>
        <w:rPr>
          <w:rStyle w:val="optioncarChar"/>
        </w:rPr>
        <w:t xml:space="preserve">24 </w:t>
      </w:r>
      <w:r>
        <w:t>(par défaut)</w:t>
      </w:r>
      <w:r>
        <w:rPr>
          <w:rStyle w:val="optioncarChar"/>
        </w:rPr>
        <w:t xml:space="preserve"> / *** </w:t>
      </w:r>
      <w:r>
        <w:t xml:space="preserve">mm. Le diamètre des câbles fait l’objet d’un dimensionnement en fonction des charges appliquées sur la façade VEA. Les câbles sont constitués de </w:t>
      </w:r>
      <w:r>
        <w:rPr>
          <w:rStyle w:val="optioncarChar"/>
        </w:rPr>
        <w:t xml:space="preserve">6 </w:t>
      </w:r>
      <w:r>
        <w:t xml:space="preserve">(par défaut) </w:t>
      </w:r>
      <w:r>
        <w:rPr>
          <w:rStyle w:val="optioncarChar"/>
        </w:rPr>
        <w:t>/ ***</w:t>
      </w:r>
      <w:r>
        <w:t xml:space="preserve"> torons.</w:t>
      </w:r>
    </w:p>
    <w:p w14:paraId="3B4ADC2A" w14:textId="77777777" w:rsidR="00772179" w:rsidRDefault="00000000">
      <w:pPr>
        <w:jc w:val="both"/>
      </w:pPr>
      <w:r>
        <w:lastRenderedPageBreak/>
        <w:t>Les ancrages des câbles ainsi que les liaisons aux fixations font l’objet d’un détail à soumettre au maître d’ouvrage et à l’auteur de projet pour approbation.</w:t>
      </w:r>
    </w:p>
    <w:p w14:paraId="41ED15AB" w14:textId="77777777" w:rsidR="00772179" w:rsidRDefault="00000000">
      <w:pPr>
        <w:jc w:val="both"/>
      </w:pPr>
      <w:r>
        <w:rPr>
          <w:b/>
          <w:u w:val="single"/>
        </w:rPr>
        <w:t>Fixations mécaniques des vitrages</w:t>
      </w:r>
    </w:p>
    <w:p w14:paraId="3F6515DE" w14:textId="77777777" w:rsidR="00772179" w:rsidRDefault="00000000">
      <w:pPr>
        <w:jc w:val="both"/>
      </w:pPr>
      <w:r>
        <w:t xml:space="preserve">Les fixations sont réalisées par </w:t>
      </w:r>
      <w:r>
        <w:rPr>
          <w:rStyle w:val="optioncarChar"/>
        </w:rPr>
        <w:t xml:space="preserve">boulons traversants </w:t>
      </w:r>
      <w:r>
        <w:t>(par défaut)</w:t>
      </w:r>
      <w:r>
        <w:rPr>
          <w:rStyle w:val="optioncarChar"/>
        </w:rPr>
        <w:t xml:space="preserve"> / boulons non traversants / platine de serrage / clamage sur face latérale / fixation collée sur le verre / ***</w:t>
      </w:r>
      <w:r>
        <w:t>.</w:t>
      </w:r>
    </w:p>
    <w:p w14:paraId="2404A9D6" w14:textId="77777777" w:rsidR="00772179" w:rsidRDefault="00000000">
      <w:pPr>
        <w:jc w:val="both"/>
      </w:pPr>
      <w:r>
        <w:t xml:space="preserve">Les fixations sont reprises par </w:t>
      </w:r>
      <w:r>
        <w:rPr>
          <w:rStyle w:val="optioncarChar"/>
        </w:rPr>
        <w:t xml:space="preserve">dispositifs rigides </w:t>
      </w:r>
      <w:r>
        <w:t xml:space="preserve">(par défaut) </w:t>
      </w:r>
      <w:r>
        <w:rPr>
          <w:rStyle w:val="optioncarChar"/>
        </w:rPr>
        <w:t>/ par rotules articulées / ***</w:t>
      </w:r>
      <w:r>
        <w:t>.</w:t>
      </w:r>
    </w:p>
    <w:p w14:paraId="61F43575" w14:textId="77777777" w:rsidR="00772179" w:rsidRDefault="00000000">
      <w:pPr>
        <w:jc w:val="both"/>
      </w:pPr>
      <w:r>
        <w:t xml:space="preserve">Chaque élément de remplissage est retenu par </w:t>
      </w:r>
      <w:r>
        <w:rPr>
          <w:rStyle w:val="optioncarChar"/>
        </w:rPr>
        <w:t xml:space="preserve">4 </w:t>
      </w:r>
      <w:r>
        <w:t xml:space="preserve">(par défaut) </w:t>
      </w:r>
      <w:r>
        <w:rPr>
          <w:rStyle w:val="optioncarChar"/>
        </w:rPr>
        <w:t>/ ***</w:t>
      </w:r>
      <w:r>
        <w:t xml:space="preserve"> fixations.</w:t>
      </w:r>
    </w:p>
    <w:p w14:paraId="70B3A49D" w14:textId="77777777" w:rsidR="00772179" w:rsidRDefault="00000000">
      <w:pPr>
        <w:jc w:val="both"/>
      </w:pPr>
      <w:r>
        <w:t xml:space="preserve">Les fixations d’un vitrage disposent </w:t>
      </w:r>
      <w:r>
        <w:rPr>
          <w:rStyle w:val="optioncarChar"/>
        </w:rPr>
        <w:t xml:space="preserve">d’un point fixe, d’un point de dilatation et de deux points libres </w:t>
      </w:r>
      <w:r>
        <w:t>(par défaut)</w:t>
      </w:r>
      <w:r>
        <w:rPr>
          <w:rStyle w:val="optioncarChar"/>
        </w:rPr>
        <w:t xml:space="preserve"> / ***</w:t>
      </w:r>
      <w:r>
        <w:t>.</w:t>
      </w:r>
    </w:p>
    <w:p w14:paraId="36BF1671" w14:textId="77777777" w:rsidR="00772179" w:rsidRDefault="00000000">
      <w:pPr>
        <w:jc w:val="both"/>
      </w:pPr>
      <w:r>
        <w:t>Les systèmes de fixations sont munis d’un système de sécurité empêchant la rotation lors de la rupture d’un vitrage.</w:t>
      </w:r>
    </w:p>
    <w:p w14:paraId="5BCCCD2F" w14:textId="77777777" w:rsidR="00772179" w:rsidRDefault="00000000">
      <w:pPr>
        <w:jc w:val="both"/>
      </w:pPr>
      <w:r>
        <w:t xml:space="preserve">Les fixations sont </w:t>
      </w:r>
      <w:r>
        <w:rPr>
          <w:rStyle w:val="optioncarChar"/>
        </w:rPr>
        <w:t xml:space="preserve">en acier inoxydable et matériaux synthétiques </w:t>
      </w:r>
      <w:r>
        <w:t>(par défaut)</w:t>
      </w:r>
      <w:r>
        <w:rPr>
          <w:rStyle w:val="optioncarChar"/>
        </w:rPr>
        <w:t xml:space="preserve"> / acier inoxydable / ***</w:t>
      </w:r>
      <w:r>
        <w:t>.</w:t>
      </w:r>
    </w:p>
    <w:p w14:paraId="5AE85FA3" w14:textId="77777777" w:rsidR="00772179" w:rsidRDefault="00000000">
      <w:pPr>
        <w:jc w:val="both"/>
      </w:pPr>
      <w:r>
        <w:t xml:space="preserve">Les nuances d’acier inoxydable selon à la norme [NBN EN 10088-1] sont : </w:t>
      </w:r>
      <w:r>
        <w:rPr>
          <w:rStyle w:val="optioncarChar"/>
        </w:rPr>
        <w:t>acier austénitique au chrome nickel X5 Cr Ni 18/-10 / acier inoxydable au chrome nickel molybdène X2 Cr Ni Mo 17-12-2 / acier inoxydable au chrome nickel molybdène X 5 Cr Ni Mo 17-12-2 / ***</w:t>
      </w:r>
      <w:r>
        <w:t>.</w:t>
      </w:r>
    </w:p>
    <w:p w14:paraId="1FA9C8B5" w14:textId="77777777" w:rsidR="00772179" w:rsidRDefault="00000000">
      <w:pPr>
        <w:jc w:val="both"/>
      </w:pPr>
      <w:r>
        <w:t>Les fixations métalliques sont dimensionnées selon un calcul conforme à la [NBN EN 1993 série].</w:t>
      </w:r>
    </w:p>
    <w:p w14:paraId="4F858F16" w14:textId="77777777" w:rsidR="00772179" w:rsidRDefault="00000000">
      <w:pPr>
        <w:jc w:val="both"/>
      </w:pPr>
      <w:r>
        <w:t>L’entreprise fournit les études et essais relatifs à la résistance mécanique et au fluage des fixations synthétiques.</w:t>
      </w:r>
    </w:p>
    <w:p w14:paraId="51CF15D5" w14:textId="77777777" w:rsidR="00772179" w:rsidRDefault="00000000">
      <w:pPr>
        <w:jc w:val="both"/>
      </w:pPr>
      <w:r>
        <w:t>La position des attaches est optimalisée pour obtenir les épaisseurs minimums de verre. L’entreprise fournit les notes de calculs.</w:t>
      </w:r>
    </w:p>
    <w:p w14:paraId="10857A3A" w14:textId="77777777" w:rsidR="00772179" w:rsidRDefault="00000000">
      <w:pPr>
        <w:jc w:val="both"/>
      </w:pPr>
      <w:r>
        <w:t xml:space="preserve">L’interface entre les fixations mécaniques et le verre est munie d’un </w:t>
      </w:r>
      <w:r>
        <w:rPr>
          <w:rStyle w:val="optioncarChar"/>
        </w:rPr>
        <w:t xml:space="preserve">dispositif préformé synthétique </w:t>
      </w:r>
      <w:r>
        <w:t>(par défaut)</w:t>
      </w:r>
      <w:r>
        <w:rPr>
          <w:rStyle w:val="optioncarChar"/>
        </w:rPr>
        <w:t xml:space="preserve"> / kit de mastic / ***</w:t>
      </w:r>
      <w:r>
        <w:t>.</w:t>
      </w:r>
    </w:p>
    <w:p w14:paraId="6BAEC17C" w14:textId="77777777" w:rsidR="00772179" w:rsidRDefault="00000000">
      <w:pPr>
        <w:jc w:val="both"/>
      </w:pPr>
      <w:r>
        <w:t xml:space="preserve">La dureté des profilés ou mastics d’interface entre fixations et verre est </w:t>
      </w:r>
      <w:r>
        <w:rPr>
          <w:rStyle w:val="optioncarChar"/>
        </w:rPr>
        <w:t xml:space="preserve">≥ 75° ± 5° Shore A </w:t>
      </w:r>
      <w:r>
        <w:t xml:space="preserve">(par défaut) </w:t>
      </w:r>
      <w:r>
        <w:rPr>
          <w:rStyle w:val="optioncarChar"/>
        </w:rPr>
        <w:t>/ ***</w:t>
      </w:r>
    </w:p>
    <w:p w14:paraId="2A4197A7" w14:textId="77777777" w:rsidR="00772179" w:rsidRDefault="00000000">
      <w:pPr>
        <w:jc w:val="both"/>
      </w:pPr>
      <w:r>
        <w:t>Tout élément collé sur le vitrage sera réalisé en atelier et dispose des validations par essais pour les charges déterminées. Cette validation reprend la résistance mécanique, au fluage (à hautes et basses températures), aux variations thermiques, chocs, ...</w:t>
      </w:r>
    </w:p>
    <w:p w14:paraId="3163A0D5" w14:textId="77777777" w:rsidR="00772179" w:rsidRDefault="00000000">
      <w:pPr>
        <w:jc w:val="both"/>
      </w:pPr>
      <w:r>
        <w:t>Les fixations sont reprises sur la structure portante par</w:t>
      </w:r>
      <w:r>
        <w:rPr>
          <w:rStyle w:val="optioncarChar"/>
        </w:rPr>
        <w:t xml:space="preserve"> boulonnage de ≥ *** mm </w:t>
      </w:r>
      <w:r>
        <w:t xml:space="preserve">(par défaut) </w:t>
      </w:r>
      <w:r>
        <w:rPr>
          <w:rStyle w:val="optioncarChar"/>
        </w:rPr>
        <w:t>/  soudure / ***</w:t>
      </w:r>
      <w:r>
        <w:t>.</w:t>
      </w:r>
    </w:p>
    <w:p w14:paraId="561DE9F0" w14:textId="77777777" w:rsidR="00772179" w:rsidRDefault="00000000">
      <w:pPr>
        <w:jc w:val="both"/>
      </w:pPr>
      <w:r>
        <w:rPr>
          <w:b/>
          <w:u w:val="single"/>
        </w:rPr>
        <w:t>Produits verriers</w:t>
      </w:r>
    </w:p>
    <w:p w14:paraId="54A47EDE" w14:textId="77777777" w:rsidR="00772179" w:rsidRDefault="00000000">
      <w:pPr>
        <w:jc w:val="both"/>
      </w:pPr>
      <w:r>
        <w:t xml:space="preserve">(Voir section </w:t>
      </w:r>
      <w:hyperlink w:anchor="852" w:history="1">
        <w:r>
          <w:rPr>
            <w:color w:val="0000EE"/>
          </w:rPr>
          <w:t>42 Vitrages extérieurs et éléments de remplissage</w:t>
        </w:r>
      </w:hyperlink>
      <w:r>
        <w:t>)</w:t>
      </w:r>
    </w:p>
    <w:p w14:paraId="45A3ECF4" w14:textId="77777777" w:rsidR="00772179" w:rsidRDefault="00000000">
      <w:pPr>
        <w:jc w:val="both"/>
      </w:pPr>
      <w:r>
        <w:t>Les produits verriers retenus pour l’application en vitrage extérieur collé sont :</w:t>
      </w:r>
      <w:r>
        <w:rPr>
          <w:rStyle w:val="optioncarChar"/>
        </w:rPr>
        <w:t xml:space="preserve"> trempés </w:t>
      </w:r>
      <w:r>
        <w:t>(par défaut)</w:t>
      </w:r>
      <w:r>
        <w:rPr>
          <w:rStyle w:val="optioncarChar"/>
        </w:rPr>
        <w:t xml:space="preserve"> / feuilletés / recuits / durcis /***</w:t>
      </w:r>
      <w:r>
        <w:t>.</w:t>
      </w:r>
    </w:p>
    <w:p w14:paraId="3CC63278" w14:textId="77777777" w:rsidR="00772179" w:rsidRDefault="00000000">
      <w:pPr>
        <w:jc w:val="both"/>
      </w:pPr>
      <w:r>
        <w:t xml:space="preserve">Pour reprendre les fixations, les verres disposent </w:t>
      </w:r>
      <w:r>
        <w:rPr>
          <w:rStyle w:val="optioncarChar"/>
        </w:rPr>
        <w:t>de percement fraisés</w:t>
      </w:r>
      <w:r>
        <w:t xml:space="preserve"> (par défaut)</w:t>
      </w:r>
      <w:r>
        <w:rPr>
          <w:rStyle w:val="optioncarChar"/>
        </w:rPr>
        <w:t xml:space="preserve"> / de percement cylindrique / de bords rodés / de profilés intercalaires extérieurs ouverts / ***</w:t>
      </w:r>
      <w:r>
        <w:t>.</w:t>
      </w:r>
    </w:p>
    <w:p w14:paraId="1A8AF9AA" w14:textId="77777777" w:rsidR="00772179" w:rsidRDefault="00000000">
      <w:pPr>
        <w:jc w:val="both"/>
      </w:pPr>
      <w:r>
        <w:t>Tout percement est réalisé dans un verre trempé.</w:t>
      </w:r>
    </w:p>
    <w:p w14:paraId="6098C0F4" w14:textId="77777777" w:rsidR="00772179" w:rsidRDefault="00000000">
      <w:pPr>
        <w:jc w:val="both"/>
      </w:pPr>
      <w:r>
        <w:t xml:space="preserve">Les verres sont </w:t>
      </w:r>
      <w:r>
        <w:rPr>
          <w:rStyle w:val="optioncarChar"/>
        </w:rPr>
        <w:t xml:space="preserve">transparents </w:t>
      </w:r>
      <w:r>
        <w:t>(par défaut)</w:t>
      </w:r>
      <w:r>
        <w:rPr>
          <w:rStyle w:val="optioncarChar"/>
        </w:rPr>
        <w:t xml:space="preserve"> / translucides / opaques</w:t>
      </w:r>
      <w:r>
        <w:t xml:space="preserve"> constitués d’un des éléments suivants : </w:t>
      </w:r>
      <w:r>
        <w:rPr>
          <w:rStyle w:val="optioncarChar"/>
        </w:rPr>
        <w:t>simple vitrage (monolithique / feuilleté) / vitrage isolant.</w:t>
      </w:r>
    </w:p>
    <w:p w14:paraId="5F2F3472" w14:textId="77777777" w:rsidR="00772179" w:rsidRDefault="00000000">
      <w:pPr>
        <w:jc w:val="both"/>
      </w:pPr>
      <w:r>
        <w:t>L’usage du verre feuilleté à résine, du verre feuilleté résistant au feu et du verre armé est exclu.</w:t>
      </w:r>
    </w:p>
    <w:p w14:paraId="30FBD128" w14:textId="77777777" w:rsidR="00772179" w:rsidRDefault="00000000">
      <w:pPr>
        <w:jc w:val="both"/>
      </w:pPr>
      <w:r>
        <w:t>Les vitrages répondent aux exigences de la norme [NBN S 23-002] et sont dimensionnés vis-à-vis des charges de vent suivant les normes [NBN S 23-002-2] et [NBN S 23-002-3].</w:t>
      </w:r>
    </w:p>
    <w:p w14:paraId="4793B9E8" w14:textId="77777777" w:rsidR="00772179" w:rsidRDefault="00000000">
      <w:pPr>
        <w:jc w:val="both"/>
      </w:pPr>
      <w:r>
        <w:rPr>
          <w:b/>
          <w:u w:val="single"/>
        </w:rPr>
        <w:t>Vitrage isolant</w:t>
      </w:r>
    </w:p>
    <w:p w14:paraId="094FD2F9" w14:textId="77777777" w:rsidR="00772179" w:rsidRDefault="00000000">
      <w:pPr>
        <w:jc w:val="both"/>
      </w:pPr>
      <w:r>
        <w:t xml:space="preserve">(Voir section </w:t>
      </w:r>
      <w:hyperlink w:anchor="852" w:history="1">
        <w:r>
          <w:rPr>
            <w:color w:val="0000EE"/>
          </w:rPr>
          <w:t>42 Vitrages extérieurs et éléments de remplissage</w:t>
        </w:r>
      </w:hyperlink>
      <w:r>
        <w:t>).</w:t>
      </w:r>
    </w:p>
    <w:p w14:paraId="565D5E31" w14:textId="77777777" w:rsidR="00772179" w:rsidRDefault="00000000">
      <w:pPr>
        <w:jc w:val="both"/>
      </w:pPr>
      <w:r>
        <w:t xml:space="preserve">Le vitrage isolant est </w:t>
      </w:r>
      <w:r>
        <w:rPr>
          <w:rStyle w:val="optioncarChar"/>
        </w:rPr>
        <w:t xml:space="preserve">à bords droits </w:t>
      </w:r>
      <w:r>
        <w:t>(par défaut)</w:t>
      </w:r>
      <w:r>
        <w:rPr>
          <w:rStyle w:val="optioncarChar"/>
        </w:rPr>
        <w:t xml:space="preserve"> / à bords décalés (dimensions différentes des composants verriers) / à bords alignés (dimensions identiques des composants verriers)</w:t>
      </w:r>
      <w:r>
        <w:t>.</w:t>
      </w:r>
    </w:p>
    <w:p w14:paraId="56F35F6E" w14:textId="77777777" w:rsidR="00772179" w:rsidRDefault="00000000">
      <w:pPr>
        <w:jc w:val="both"/>
      </w:pPr>
      <w:r>
        <w:lastRenderedPageBreak/>
        <w:t xml:space="preserve">Le poids du verre est repris par </w:t>
      </w:r>
      <w:r>
        <w:rPr>
          <w:rStyle w:val="optioncarChar"/>
        </w:rPr>
        <w:t xml:space="preserve">le vitrage intérieur et extérieur </w:t>
      </w:r>
      <w:r>
        <w:t xml:space="preserve">(par défaut) </w:t>
      </w:r>
      <w:r>
        <w:rPr>
          <w:rStyle w:val="optioncarChar"/>
        </w:rPr>
        <w:t>/ le vitrage intérieur uniquement / le vitrage extérieur uniquement / ***</w:t>
      </w:r>
      <w:r>
        <w:t>.</w:t>
      </w:r>
    </w:p>
    <w:p w14:paraId="51A0F2CD" w14:textId="77777777" w:rsidR="00772179" w:rsidRDefault="00000000">
      <w:pPr>
        <w:jc w:val="both"/>
      </w:pPr>
      <w:r>
        <w:rPr>
          <w:b/>
          <w:u w:val="single"/>
        </w:rPr>
        <w:t>Etanchéité entre vitrages</w:t>
      </w:r>
    </w:p>
    <w:p w14:paraId="268F7545" w14:textId="77777777" w:rsidR="00772179" w:rsidRDefault="00000000">
      <w:pPr>
        <w:jc w:val="both"/>
      </w:pPr>
      <w:r>
        <w:t>Pour assurer la continuité de l’étanchéité, les liaisons entre vitrages sont assurées par préformés d’étanchéité et mastics.</w:t>
      </w:r>
    </w:p>
    <w:p w14:paraId="6892A6E4" w14:textId="77777777" w:rsidR="00772179" w:rsidRDefault="00000000">
      <w:pPr>
        <w:jc w:val="both"/>
      </w:pPr>
      <w:r>
        <w:t xml:space="preserve">Les profilés préformés sont composés </w:t>
      </w:r>
      <w:r>
        <w:rPr>
          <w:rStyle w:val="optioncarChar"/>
        </w:rPr>
        <w:t xml:space="preserve">de joints synthétiques extrudés </w:t>
      </w:r>
      <w:r>
        <w:t xml:space="preserve">(par défaut) </w:t>
      </w:r>
      <w:r>
        <w:rPr>
          <w:rStyle w:val="optioncarChar"/>
        </w:rPr>
        <w:t>/ joints moussés / ***</w:t>
      </w:r>
      <w:r>
        <w:t>.</w:t>
      </w:r>
    </w:p>
    <w:p w14:paraId="5D1955F6" w14:textId="77777777" w:rsidR="00772179" w:rsidRDefault="00000000">
      <w:pPr>
        <w:jc w:val="both"/>
      </w:pPr>
      <w:r>
        <w:t xml:space="preserve">Les profilés préformés sont de couleur </w:t>
      </w:r>
      <w:r>
        <w:rPr>
          <w:rStyle w:val="optioncarChar"/>
        </w:rPr>
        <w:t xml:space="preserve">noire </w:t>
      </w:r>
      <w:r>
        <w:t xml:space="preserve">(par défaut) </w:t>
      </w:r>
      <w:r>
        <w:rPr>
          <w:rStyle w:val="optioncarChar"/>
        </w:rPr>
        <w:t>/ ***</w:t>
      </w:r>
      <w:r>
        <w:t>.</w:t>
      </w:r>
    </w:p>
    <w:p w14:paraId="3003B61B" w14:textId="77777777" w:rsidR="00772179" w:rsidRDefault="00000000">
      <w:pPr>
        <w:jc w:val="both"/>
      </w:pPr>
      <w:r>
        <w:t xml:space="preserve">Le mastic de finition est conforme à la [STS 56.1] et de type </w:t>
      </w:r>
      <w:r>
        <w:rPr>
          <w:rStyle w:val="optioncarChar"/>
        </w:rPr>
        <w:t xml:space="preserve">25 E </w:t>
      </w:r>
      <w:r>
        <w:t>(par défaut)</w:t>
      </w:r>
      <w:r>
        <w:rPr>
          <w:rStyle w:val="optioncarChar"/>
        </w:rPr>
        <w:t xml:space="preserve"> / ***</w:t>
      </w:r>
      <w:r>
        <w:t>.</w:t>
      </w:r>
    </w:p>
    <w:p w14:paraId="196DE754" w14:textId="77777777" w:rsidR="00772179" w:rsidRDefault="00000000">
      <w:pPr>
        <w:jc w:val="both"/>
      </w:pPr>
      <w:r>
        <w:t xml:space="preserve">Le mastic de finition est de couleur </w:t>
      </w:r>
      <w:r>
        <w:rPr>
          <w:rStyle w:val="optioncarChar"/>
        </w:rPr>
        <w:t xml:space="preserve">noire </w:t>
      </w:r>
      <w:r>
        <w:t>(par défaut)</w:t>
      </w:r>
      <w:r>
        <w:rPr>
          <w:rStyle w:val="optioncarChar"/>
        </w:rPr>
        <w:t xml:space="preserve"> / ***</w:t>
      </w:r>
      <w:r>
        <w:t>.</w:t>
      </w:r>
    </w:p>
    <w:p w14:paraId="285039DD" w14:textId="77777777" w:rsidR="00772179" w:rsidRDefault="00000000">
      <w:pPr>
        <w:jc w:val="both"/>
      </w:pPr>
      <w:r>
        <w:t>La rigidité des mastics ne permet pas de transfert des charges sur les autres vitrages.</w:t>
      </w:r>
    </w:p>
    <w:p w14:paraId="28C89D8A" w14:textId="77777777" w:rsidR="00772179" w:rsidRDefault="00000000">
      <w:pPr>
        <w:jc w:val="both"/>
      </w:pPr>
      <w:r>
        <w:t>Performances des systèmes VEC suivant la norme </w:t>
      </w:r>
      <w:r>
        <w:rPr>
          <w:rStyle w:val="facultChar"/>
          <w:b/>
        </w:rPr>
        <w:t>[NBN B 25-002-1] :</w:t>
      </w:r>
    </w:p>
    <w:p w14:paraId="33509133" w14:textId="77777777" w:rsidR="00772179" w:rsidRDefault="00000000">
      <w:pPr>
        <w:pStyle w:val="Author-eListParagraph"/>
        <w:numPr>
          <w:ilvl w:val="0"/>
          <w:numId w:val="512"/>
        </w:numPr>
      </w:pPr>
      <w:r>
        <w:t>Performances thermiques : la valeur Ucw est de </w:t>
      </w:r>
      <w:r>
        <w:rPr>
          <w:rStyle w:val="optioncarChar"/>
        </w:rPr>
        <w:t>0,85 </w:t>
      </w:r>
      <w:r>
        <w:t>(par défaut) </w:t>
      </w:r>
      <w:r>
        <w:rPr>
          <w:rStyle w:val="optioncarChar"/>
        </w:rPr>
        <w:t>/ 0,65 / ***</w:t>
      </w:r>
      <w:r>
        <w:rPr>
          <w:rStyle w:val="facultChar"/>
        </w:rPr>
        <w:t> </w:t>
      </w:r>
      <w:r>
        <w:t>W/m²K</w:t>
      </w:r>
    </w:p>
    <w:p w14:paraId="34DF11BE" w14:textId="77777777" w:rsidR="00772179" w:rsidRDefault="00000000">
      <w:pPr>
        <w:pStyle w:val="Author-eListParagraph"/>
        <w:numPr>
          <w:ilvl w:val="0"/>
          <w:numId w:val="512"/>
        </w:numPr>
      </w:pPr>
      <w:r>
        <w:t>Perméabilité à l’air : </w:t>
      </w:r>
      <w:r>
        <w:rPr>
          <w:rStyle w:val="optioncarChar"/>
        </w:rPr>
        <w:t>Classe A4 </w:t>
      </w:r>
      <w:r>
        <w:t>(par défaut)</w:t>
      </w:r>
      <w:r>
        <w:rPr>
          <w:rStyle w:val="optioncarChar"/>
        </w:rPr>
        <w:t> / ***</w:t>
      </w:r>
    </w:p>
    <w:p w14:paraId="6CB8730C" w14:textId="77777777" w:rsidR="00772179" w:rsidRDefault="00000000">
      <w:pPr>
        <w:pStyle w:val="Author-eListParagraph"/>
        <w:numPr>
          <w:ilvl w:val="0"/>
          <w:numId w:val="512"/>
        </w:numPr>
      </w:pPr>
      <w:r>
        <w:t>Etanchéité à l’eau de classe</w:t>
      </w:r>
      <w:r>
        <w:rPr>
          <w:rStyle w:val="facultChar"/>
        </w:rPr>
        <w:t> </w:t>
      </w:r>
      <w:r>
        <w:rPr>
          <w:rStyle w:val="optioncarChar"/>
        </w:rPr>
        <w:t>R7/600Pa </w:t>
      </w:r>
      <w:r>
        <w:t>(par défaut)</w:t>
      </w:r>
      <w:r>
        <w:rPr>
          <w:rStyle w:val="optioncarChar"/>
        </w:rPr>
        <w:t> / ***</w:t>
      </w:r>
    </w:p>
    <w:p w14:paraId="7B228912" w14:textId="77777777" w:rsidR="00772179" w:rsidRDefault="00000000">
      <w:pPr>
        <w:pStyle w:val="Author-eListParagraph"/>
        <w:numPr>
          <w:ilvl w:val="0"/>
          <w:numId w:val="512"/>
        </w:numPr>
      </w:pPr>
      <w:r>
        <w:t xml:space="preserve">Résistance au vent de Classe  </w:t>
      </w:r>
      <w:r>
        <w:rPr>
          <w:rStyle w:val="optioncarChar"/>
        </w:rPr>
        <w:t>w</w:t>
      </w:r>
      <w:r>
        <w:rPr>
          <w:rStyle w:val="optioncarChar"/>
          <w:vertAlign w:val="subscript"/>
        </w:rPr>
        <w:t>k</w:t>
      </w:r>
      <w:r>
        <w:rPr>
          <w:rStyle w:val="optioncarChar"/>
        </w:rPr>
        <w:t> = 1200 Pa/ w</w:t>
      </w:r>
      <w:r>
        <w:rPr>
          <w:rStyle w:val="optioncarChar"/>
          <w:vertAlign w:val="subscript"/>
        </w:rPr>
        <w:t>u</w:t>
      </w:r>
      <w:r>
        <w:rPr>
          <w:rStyle w:val="optioncarChar"/>
        </w:rPr>
        <w:t> = 1800 Pa </w:t>
      </w:r>
      <w:r>
        <w:t>(par défaut) </w:t>
      </w:r>
      <w:r>
        <w:rPr>
          <w:rStyle w:val="optioncarChar"/>
        </w:rPr>
        <w:t>/ ***</w:t>
      </w:r>
    </w:p>
    <w:p w14:paraId="76F15F29" w14:textId="77777777" w:rsidR="00772179" w:rsidRDefault="00000000">
      <w:pPr>
        <w:pStyle w:val="Author-eListParagraph"/>
        <w:numPr>
          <w:ilvl w:val="0"/>
          <w:numId w:val="512"/>
        </w:numPr>
      </w:pPr>
      <w:r>
        <w:t>Efforts de manœuvre des parties ouvrantes de classe </w:t>
      </w:r>
      <w:r>
        <w:rPr>
          <w:rStyle w:val="optioncarChar"/>
        </w:rPr>
        <w:t>1 </w:t>
      </w:r>
      <w:r>
        <w:t>(par défaut)</w:t>
      </w:r>
      <w:r>
        <w:rPr>
          <w:rStyle w:val="optioncarChar"/>
        </w:rPr>
        <w:t> / 2 (PMR) / ***</w:t>
      </w:r>
    </w:p>
    <w:p w14:paraId="24DCB031" w14:textId="77777777" w:rsidR="00772179" w:rsidRDefault="00000000">
      <w:pPr>
        <w:pStyle w:val="Author-eListParagraph"/>
        <w:numPr>
          <w:ilvl w:val="0"/>
          <w:numId w:val="512"/>
        </w:numPr>
      </w:pPr>
      <w:r>
        <w:t xml:space="preserve">Abus d’utilisation des parties ouvrantes de classe  </w:t>
      </w:r>
      <w:r>
        <w:rPr>
          <w:rStyle w:val="optioncarChar"/>
        </w:rPr>
        <w:t>3 </w:t>
      </w:r>
      <w:r>
        <w:t>(par défaut)</w:t>
      </w:r>
      <w:r>
        <w:rPr>
          <w:rStyle w:val="optioncarChar"/>
        </w:rPr>
        <w:t> / 4 (écoles, bâtiments publics) / ***</w:t>
      </w:r>
    </w:p>
    <w:p w14:paraId="41600ADD" w14:textId="77777777" w:rsidR="00772179" w:rsidRDefault="00000000">
      <w:pPr>
        <w:pStyle w:val="Author-eListParagraph"/>
        <w:numPr>
          <w:ilvl w:val="0"/>
          <w:numId w:val="512"/>
        </w:numPr>
      </w:pPr>
      <w:r>
        <w:t>Performances acoustiques : D Atr &gt; </w:t>
      </w:r>
      <w:r>
        <w:rPr>
          <w:rStyle w:val="optioncarChar"/>
        </w:rPr>
        <w:t xml:space="preserve">38 </w:t>
      </w:r>
      <w:r>
        <w:t>(par défaut)</w:t>
      </w:r>
      <w:r>
        <w:rPr>
          <w:rStyle w:val="optioncarChar"/>
        </w:rPr>
        <w:t xml:space="preserve"> / *** </w:t>
      </w:r>
      <w:r>
        <w:t>dB</w:t>
      </w:r>
    </w:p>
    <w:p w14:paraId="1C8D8991" w14:textId="77777777" w:rsidR="00772179" w:rsidRDefault="00000000">
      <w:pPr>
        <w:pStyle w:val="Author-eListParagraph"/>
        <w:numPr>
          <w:ilvl w:val="0"/>
          <w:numId w:val="512"/>
        </w:numPr>
      </w:pPr>
      <w:r>
        <w:t xml:space="preserve">Résistance à l’effraction :  </w:t>
      </w:r>
      <w:r>
        <w:rPr>
          <w:rStyle w:val="optioncarChar"/>
        </w:rPr>
        <w:t>Classe RC 2 </w:t>
      </w:r>
      <w:r>
        <w:t>(par défaut)</w:t>
      </w:r>
      <w:r>
        <w:rPr>
          <w:rStyle w:val="optioncarChar"/>
        </w:rPr>
        <w:t> / ***</w:t>
      </w:r>
    </w:p>
    <w:p w14:paraId="7CE34BE0" w14:textId="77777777" w:rsidR="00772179" w:rsidRDefault="00000000">
      <w:pPr>
        <w:pStyle w:val="Author-eListParagraph"/>
        <w:numPr>
          <w:ilvl w:val="0"/>
          <w:numId w:val="512"/>
        </w:numPr>
      </w:pPr>
      <w:r>
        <w:t xml:space="preserve">Résistance à l’explosion :  </w:t>
      </w:r>
      <w:r>
        <w:rPr>
          <w:rStyle w:val="optioncarChar"/>
        </w:rPr>
        <w:t>non spécifié </w:t>
      </w:r>
      <w:r>
        <w:t>(par défaut) </w:t>
      </w:r>
      <w:r>
        <w:rPr>
          <w:rStyle w:val="optioncarChar"/>
        </w:rPr>
        <w:t>/ ***</w:t>
      </w:r>
    </w:p>
    <w:p w14:paraId="36E2C62A" w14:textId="77777777" w:rsidR="00772179" w:rsidRDefault="00000000">
      <w:pPr>
        <w:pStyle w:val="Author-eListParagraph"/>
        <w:numPr>
          <w:ilvl w:val="0"/>
          <w:numId w:val="512"/>
        </w:numPr>
      </w:pPr>
      <w:r>
        <w:t>Résistance aux balles :</w:t>
      </w:r>
      <w:r>
        <w:rPr>
          <w:rStyle w:val="facultChar"/>
        </w:rPr>
        <w:t> </w:t>
      </w:r>
      <w:r>
        <w:rPr>
          <w:rStyle w:val="optioncarChar"/>
        </w:rPr>
        <w:t>non spécifié</w:t>
      </w:r>
      <w:r>
        <w:t> (par défaut)</w:t>
      </w:r>
      <w:r>
        <w:rPr>
          <w:rStyle w:val="facultChar"/>
        </w:rPr>
        <w:t> </w:t>
      </w:r>
      <w:r>
        <w:rPr>
          <w:rStyle w:val="optioncarChar"/>
        </w:rPr>
        <w:t>/ ***</w:t>
      </w:r>
    </w:p>
    <w:p w14:paraId="34D9016A" w14:textId="77777777" w:rsidR="00772179" w:rsidRDefault="00000000">
      <w:pPr>
        <w:pStyle w:val="Author-eListParagraph"/>
        <w:numPr>
          <w:ilvl w:val="0"/>
          <w:numId w:val="512"/>
        </w:numPr>
      </w:pPr>
      <w:r>
        <w:t>Résistance et réaction au feu : </w:t>
      </w:r>
      <w:r>
        <w:rPr>
          <w:rStyle w:val="optioncarChar"/>
        </w:rPr>
        <w:t>non spécifié </w:t>
      </w:r>
      <w:r>
        <w:t>(par défaut) </w:t>
      </w:r>
      <w:r>
        <w:rPr>
          <w:rStyle w:val="optioncarChar"/>
        </w:rPr>
        <w:t>/ ***</w:t>
      </w:r>
    </w:p>
    <w:p w14:paraId="04181647" w14:textId="77777777" w:rsidR="00772179" w:rsidRDefault="00000000">
      <w:pPr>
        <w:pStyle w:val="Author-eListParagraph"/>
        <w:numPr>
          <w:ilvl w:val="0"/>
          <w:numId w:val="512"/>
        </w:numPr>
      </w:pPr>
      <w:r>
        <w:t xml:space="preserve">Résistance aux chocs :  </w:t>
      </w:r>
      <w:r>
        <w:rPr>
          <w:rStyle w:val="optioncarChar"/>
        </w:rPr>
        <w:t>Classes E4/I3 </w:t>
      </w:r>
      <w:r>
        <w:t>(par défaut) </w:t>
      </w:r>
      <w:r>
        <w:rPr>
          <w:rStyle w:val="optioncarChar"/>
        </w:rPr>
        <w:t>/ ***</w:t>
      </w:r>
    </w:p>
    <w:p w14:paraId="2B1B624F" w14:textId="77777777" w:rsidR="00772179" w:rsidRDefault="00000000">
      <w:r>
        <w:t>Les façades ne disposent pas d’éléments ouvrant car ceux-ci sont inclus dans une structure autonome.</w:t>
      </w:r>
    </w:p>
    <w:p w14:paraId="5497333C" w14:textId="77777777" w:rsidR="00772179" w:rsidRDefault="00000000">
      <w:pPr>
        <w:pStyle w:val="pheading"/>
      </w:pPr>
      <w:r>
        <w:t>EXÉCUTION / MISE EN ŒUVRE</w:t>
      </w:r>
    </w:p>
    <w:p w14:paraId="47956A06" w14:textId="77777777" w:rsidR="00772179" w:rsidRDefault="00000000">
      <w:pPr>
        <w:pStyle w:val="pheading"/>
      </w:pPr>
      <w:r>
        <w:t>- Prescriptions générales</w:t>
      </w:r>
    </w:p>
    <w:p w14:paraId="4A11513B" w14:textId="77777777" w:rsidR="00772179" w:rsidRDefault="00000000">
      <w:pPr>
        <w:jc w:val="both"/>
      </w:pPr>
      <w:r>
        <w:rPr>
          <w:b/>
          <w:u w:val="single"/>
        </w:rPr>
        <w:t>Mise en œuvre et stockage</w:t>
      </w:r>
    </w:p>
    <w:p w14:paraId="1566113D" w14:textId="77777777" w:rsidR="00772179" w:rsidRDefault="00000000">
      <w:pPr>
        <w:jc w:val="both"/>
      </w:pPr>
      <w:r>
        <w:t>Les composants sont stockés sans sollicitation et entreposés sur chantier en prenant les précautions nécessaires contre les agents extérieurs et les intempéries.</w:t>
      </w:r>
    </w:p>
    <w:p w14:paraId="07B00B9C" w14:textId="77777777" w:rsidR="00772179" w:rsidRDefault="00000000">
      <w:pPr>
        <w:jc w:val="both"/>
      </w:pPr>
      <w:r>
        <w:t>Le responsable du montage note sur les plans des façades les numéros de repère des cadres en fonction de l’avancement de la pose.</w:t>
      </w:r>
    </w:p>
    <w:p w14:paraId="07BA06DD" w14:textId="77777777" w:rsidR="00772179" w:rsidRDefault="00000000">
      <w:pPr>
        <w:jc w:val="both"/>
      </w:pPr>
      <w:r>
        <w:t>En ce qui concerne la pose des cadres de collage sur l’ossature, les instructions du fabricant sont scrupuleusement respectées.</w:t>
      </w:r>
    </w:p>
    <w:p w14:paraId="06A5FFB1" w14:textId="77777777" w:rsidR="00772179" w:rsidRDefault="00000000">
      <w:pPr>
        <w:jc w:val="both"/>
      </w:pPr>
      <w:r>
        <w:t>Toute opération de collage sur chantier est strictement interdite.</w:t>
      </w:r>
    </w:p>
    <w:p w14:paraId="294ECDA5" w14:textId="77777777" w:rsidR="00772179" w:rsidRDefault="00000000">
      <w:pPr>
        <w:jc w:val="both"/>
      </w:pPr>
      <w:r>
        <w:t>L’étanchéité de périphérie de la façade est réalisée par</w:t>
      </w:r>
      <w:r>
        <w:rPr>
          <w:rStyle w:val="optioncarChar"/>
        </w:rPr>
        <w:t xml:space="preserve"> profilé élastomère souple</w:t>
      </w:r>
      <w:r>
        <w:t xml:space="preserve"> (par défaut)</w:t>
      </w:r>
      <w:r>
        <w:rPr>
          <w:rStyle w:val="optioncarChar"/>
        </w:rPr>
        <w:t xml:space="preserve"> / mastic / prise en feuillure / ***</w:t>
      </w:r>
    </w:p>
    <w:p w14:paraId="4F33EA17" w14:textId="77777777" w:rsidR="00772179" w:rsidRDefault="00000000">
      <w:pPr>
        <w:jc w:val="both"/>
      </w:pPr>
      <w:r>
        <w:t>Les éléments en inox sont conditionnés et mise en œuvre conformément aux [NBN EN 10088-2] et [NBN EN 10088-3].</w:t>
      </w:r>
    </w:p>
    <w:p w14:paraId="15A84235" w14:textId="77777777" w:rsidR="00772179" w:rsidRDefault="00000000">
      <w:pPr>
        <w:jc w:val="both"/>
      </w:pPr>
      <w:r>
        <w:rPr>
          <w:b/>
          <w:u w:val="single"/>
        </w:rPr>
        <w:t>Entretien et inspection</w:t>
      </w:r>
    </w:p>
    <w:p w14:paraId="7300BA86" w14:textId="77777777" w:rsidR="00772179" w:rsidRDefault="00000000">
      <w:pPr>
        <w:jc w:val="both"/>
      </w:pPr>
      <w:r>
        <w:t>Pour conserver entièrement leur aptitude à l’emploi durant la durée de vie escomptée, les vitrages extérieurs doivent être correctement entretenus. L’entretien comprend un lavage général avec des produits de nettoyage appropriés. Pour le choix des produits de nettoyage, il y a lieu de se référer aux indications du fabricant du système VEA.</w:t>
      </w:r>
    </w:p>
    <w:p w14:paraId="7E00AD9F" w14:textId="77777777" w:rsidR="00772179" w:rsidRDefault="00000000">
      <w:pPr>
        <w:jc w:val="both"/>
      </w:pPr>
      <w:r>
        <w:lastRenderedPageBreak/>
        <w:t>Il est en outre conseillé de procéder à une inspection annuelle des fixations mécaniques, de la structure et des joints.</w:t>
      </w:r>
    </w:p>
    <w:p w14:paraId="7B11B235" w14:textId="77777777" w:rsidR="00772179" w:rsidRDefault="00000000">
      <w:pPr>
        <w:jc w:val="both"/>
      </w:pPr>
      <w:r>
        <w:rPr>
          <w:b/>
          <w:u w:val="single"/>
        </w:rPr>
        <w:t>Conditions de mise en œuvre (complémentaire)</w:t>
      </w:r>
    </w:p>
    <w:p w14:paraId="70EE886C" w14:textId="77777777" w:rsidR="00772179" w:rsidRDefault="00000000">
      <w:r>
        <w:t>Quel que soit le système utilisé, la mise en œuvre satisfait aux conditions suivantes :</w:t>
      </w:r>
    </w:p>
    <w:p w14:paraId="09F48A1A" w14:textId="77777777" w:rsidR="00772179" w:rsidRDefault="00000000">
      <w:pPr>
        <w:pStyle w:val="Author-eListParagraph"/>
        <w:numPr>
          <w:ilvl w:val="0"/>
          <w:numId w:val="513"/>
        </w:numPr>
      </w:pPr>
      <w:r>
        <w:t>les joints de collage sont des joints épais (ep. ≥ 6 mm) réalisés au moyen de mastic structurel en silicone neutre</w:t>
      </w:r>
    </w:p>
    <w:p w14:paraId="0562CC75" w14:textId="77777777" w:rsidR="00772179" w:rsidRDefault="00000000">
      <w:pPr>
        <w:pStyle w:val="Author-eListParagraph"/>
        <w:numPr>
          <w:ilvl w:val="0"/>
          <w:numId w:val="513"/>
        </w:numPr>
      </w:pPr>
      <w:r>
        <w:t>la conception inclue des discontinuités locales (pour le drainage ou le calage) dans le joint structurel, à condition qu’aucun côté ne soit entièrement libre ou que les performances structurelles aient été vérifiées</w:t>
      </w:r>
    </w:p>
    <w:p w14:paraId="3A4A6325" w14:textId="77777777" w:rsidR="00772179" w:rsidRDefault="00000000">
      <w:pPr>
        <w:pStyle w:val="Author-eListParagraph"/>
        <w:numPr>
          <w:ilvl w:val="0"/>
          <w:numId w:val="513"/>
        </w:numPr>
      </w:pPr>
      <w:r>
        <w:t>le mastic de collage est obligatoirement être en œuvre en atelier</w:t>
      </w:r>
    </w:p>
    <w:p w14:paraId="52CA5696" w14:textId="77777777" w:rsidR="00772179" w:rsidRDefault="00000000">
      <w:pPr>
        <w:pStyle w:val="Author-eListParagraph"/>
        <w:numPr>
          <w:ilvl w:val="0"/>
          <w:numId w:val="513"/>
        </w:numPr>
      </w:pPr>
      <w:r>
        <w:t>l’angle de pose est compris entre 7° (par rapport à l’horizontale) et la verticale.</w:t>
      </w:r>
    </w:p>
    <w:p w14:paraId="376891A8" w14:textId="77777777" w:rsidR="00772179" w:rsidRDefault="00000000">
      <w:pPr>
        <w:pStyle w:val="pheading"/>
      </w:pPr>
      <w:r>
        <w:t>DOCUMENTS DE RÉFÉRENCE COMPLÉMENTAIRES</w:t>
      </w:r>
    </w:p>
    <w:p w14:paraId="41A8B9B7" w14:textId="77777777" w:rsidR="00772179" w:rsidRDefault="00000000">
      <w:pPr>
        <w:pStyle w:val="pheading"/>
      </w:pPr>
      <w:r>
        <w:t>- Matériau</w:t>
      </w:r>
    </w:p>
    <w:p w14:paraId="00E9799A" w14:textId="77777777" w:rsidR="00772179" w:rsidRDefault="00000000">
      <w:r>
        <w:t>[NBN EN 13830:2015+A1, Façades rideaux - Norme de produit]</w:t>
      </w:r>
    </w:p>
    <w:p w14:paraId="17EAAD70" w14:textId="77777777" w:rsidR="00772179" w:rsidRDefault="00000000">
      <w:r>
        <w:t>[NBN EN 10088-1, Aciers inoxydables - Partie 1: Liste des aciers inoxydables :2023]</w:t>
      </w:r>
    </w:p>
    <w:p w14:paraId="210C66C6" w14:textId="77777777" w:rsidR="00772179" w:rsidRDefault="00000000">
      <w:r>
        <w:t>[NBN EN 1993 série, Eurocode 3 – Calcul des structures en acier]</w:t>
      </w:r>
    </w:p>
    <w:p w14:paraId="73CF8B09" w14:textId="77777777" w:rsidR="00772179" w:rsidRDefault="00000000">
      <w:r>
        <w:t>[NBN EN 1096-2, Verre dans la construction - Verre à couche - Partie 2: Exigences et méthodes d'essai pour les couches de classes A, B et S]</w:t>
      </w:r>
    </w:p>
    <w:p w14:paraId="7C15DD4D" w14:textId="77777777" w:rsidR="00772179" w:rsidRDefault="00000000">
      <w:r>
        <w:t>[NBN EN 13022-2, Verre dans la construction - Système de vitrage extérieur collé (VEC) - Partie 2: Règles d'assemblage]</w:t>
      </w:r>
    </w:p>
    <w:p w14:paraId="6DD7D353" w14:textId="77777777" w:rsidR="00772179" w:rsidRDefault="00000000">
      <w:r>
        <w:t>[NBN EN 15434+A1, Verre dans la construction - Norme de produits pour produit de collage et de scellement structurel et/ou résistants aux rayonnements ultraviolets (utilisé pour les vitrages extérieurs collés et/ou pour les vitrages isolants à bords exposés)]</w:t>
      </w:r>
    </w:p>
    <w:p w14:paraId="0BD2F6D7" w14:textId="77777777" w:rsidR="00772179" w:rsidRDefault="00000000">
      <w:r>
        <w:t>[NBN S 23-002, Vitrerie]</w:t>
      </w:r>
    </w:p>
    <w:p w14:paraId="375447EF" w14:textId="77777777" w:rsidR="00772179" w:rsidRDefault="00000000">
      <w:r>
        <w:t>[NBN S 23-002-2, Vitrerie - Partie 2 : Calcul des épaisseurs de verre]</w:t>
      </w:r>
    </w:p>
    <w:p w14:paraId="37586DA6" w14:textId="77777777" w:rsidR="00772179" w:rsidRDefault="00000000">
      <w:r>
        <w:t>[NBN S 23-002-3, Vitrerie - Partie 3 : Calcul des épaisseurs de verre en façade]</w:t>
      </w:r>
    </w:p>
    <w:p w14:paraId="56733A44" w14:textId="77777777" w:rsidR="00772179" w:rsidRDefault="00000000">
      <w:r>
        <w:t>[STS 56.1, Mastics d’étanchéité des façades]</w:t>
      </w:r>
    </w:p>
    <w:p w14:paraId="1D8F2F0D" w14:textId="77777777" w:rsidR="00772179" w:rsidRDefault="00000000">
      <w:pPr>
        <w:pStyle w:val="pheading"/>
      </w:pPr>
      <w:r>
        <w:t>- Exécution</w:t>
      </w:r>
    </w:p>
    <w:p w14:paraId="190CD23A" w14:textId="77777777" w:rsidR="00772179" w:rsidRDefault="00000000">
      <w:r>
        <w:t>[NBN EN 10088-2, Aciers inoxydables - Partie 2: Conditions techniques de livraison des tôles et bandes en acier de résistance à la corrosion pour usage général]</w:t>
      </w:r>
    </w:p>
    <w:p w14:paraId="1BE9C002" w14:textId="77777777" w:rsidR="00772179" w:rsidRDefault="00000000">
      <w:r>
        <w:t>[NBN EN 10088-3, Aciers inoxydables - Partie 3: Conditions techniques de livraison pour les demi-produits, barres, fils tréfilés, profils et produits transformés à froid en acier résistant à la corrosion pour usage général]</w:t>
      </w:r>
    </w:p>
    <w:p w14:paraId="7177C465" w14:textId="77777777" w:rsidR="00772179" w:rsidRDefault="00000000">
      <w:r>
        <w:t> </w:t>
      </w:r>
    </w:p>
    <w:p w14:paraId="1AB65553" w14:textId="77777777" w:rsidR="00772179" w:rsidRDefault="00000000">
      <w:pPr>
        <w:pStyle w:val="pheading"/>
      </w:pPr>
      <w:r>
        <w:t>MESURAGE</w:t>
      </w:r>
    </w:p>
    <w:p w14:paraId="5FF403BA" w14:textId="77777777" w:rsidR="00772179" w:rsidRDefault="00000000">
      <w:pPr>
        <w:pStyle w:val="pheading"/>
      </w:pPr>
      <w:r>
        <w:t>- unité de mesure:</w:t>
      </w:r>
    </w:p>
    <w:p w14:paraId="2F3FE7B7" w14:textId="77777777" w:rsidR="00772179" w:rsidRDefault="00000000">
      <w:r>
        <w:t>m²</w:t>
      </w:r>
    </w:p>
    <w:p w14:paraId="41A91599" w14:textId="77777777" w:rsidR="00772179" w:rsidRDefault="00000000">
      <w:pPr>
        <w:pStyle w:val="pheading"/>
      </w:pPr>
      <w:r>
        <w:t>- code de mesurage:</w:t>
      </w:r>
    </w:p>
    <w:p w14:paraId="0EAE5851" w14:textId="77777777" w:rsidR="00772179" w:rsidRDefault="00000000">
      <w:pPr>
        <w:jc w:val="both"/>
      </w:pPr>
      <w:r>
        <w:t>Surface nette en développement des dimensions dans l'œuvre (ventilée selon le type ou le modèle conformément aux indications dans le métré récapitulatif annexé au dossier d'adjudication).</w:t>
      </w:r>
    </w:p>
    <w:p w14:paraId="517EC4B6" w14:textId="77777777" w:rsidR="00772179" w:rsidRDefault="00000000">
      <w:pPr>
        <w:pStyle w:val="pheading"/>
      </w:pPr>
      <w:r>
        <w:t>- nature du marché:</w:t>
      </w:r>
    </w:p>
    <w:p w14:paraId="074D572F" w14:textId="77777777" w:rsidR="00772179" w:rsidRDefault="00000000">
      <w:r>
        <w:t>QF</w:t>
      </w:r>
    </w:p>
    <w:p w14:paraId="3D164A1E" w14:textId="77777777" w:rsidR="00772179" w:rsidRDefault="00000000">
      <w:pPr>
        <w:pStyle w:val="Author-eSectionHeading4Numberless"/>
      </w:pPr>
      <w:bookmarkStart w:id="217" w:name="_Toc220489956"/>
      <w:r>
        <w:t>41.44 Systèmes de façade double peau CCTB 01.02</w:t>
      </w:r>
      <w:bookmarkEnd w:id="217"/>
    </w:p>
    <w:p w14:paraId="1B26228A" w14:textId="77777777" w:rsidR="00772179" w:rsidRDefault="00000000">
      <w:pPr>
        <w:pStyle w:val="Author-eSectionHeading5Numberless"/>
      </w:pPr>
      <w:bookmarkStart w:id="218" w:name="_Toc220489957"/>
      <w:r>
        <w:lastRenderedPageBreak/>
        <w:t>41.44.1 Systèmes de façade double peau CCTB 01.12</w:t>
      </w:r>
      <w:bookmarkEnd w:id="218"/>
    </w:p>
    <w:p w14:paraId="2107C01B" w14:textId="77777777" w:rsidR="00772179" w:rsidRDefault="00000000">
      <w:pPr>
        <w:pStyle w:val="pheading"/>
      </w:pPr>
      <w:r>
        <w:t>DESCRIPTION</w:t>
      </w:r>
    </w:p>
    <w:p w14:paraId="41619996" w14:textId="77777777" w:rsidR="00772179" w:rsidRDefault="00000000">
      <w:pPr>
        <w:pStyle w:val="pheading"/>
      </w:pPr>
      <w:r>
        <w:t>- Définition / Comprend</w:t>
      </w:r>
    </w:p>
    <w:p w14:paraId="584DD7CC" w14:textId="77777777" w:rsidR="00772179" w:rsidRDefault="00000000">
      <w:pPr>
        <w:jc w:val="both"/>
      </w:pPr>
      <w:r>
        <w:t>Il s’agit d’un système de façade double peau ventilé composé de 2 parois séparées par un espace intermédiaire. Cette « cavité » (de quelques centimètres à plusieurs mètres de largeur) est accessible ou non et est ventilée de manière naturelle (façade passive) et/ou de façon mécanique (façade active et/ou hybride).</w:t>
      </w:r>
    </w:p>
    <w:p w14:paraId="3D5C91D0" w14:textId="77777777" w:rsidR="00772179" w:rsidRDefault="00000000">
      <w:pPr>
        <w:jc w:val="both"/>
      </w:pPr>
      <w:r>
        <w:t xml:space="preserve">Les châssis dits « respirants » (double fenêtre ventilée) équipés de 2 éléments vitrés distincts, séparés par une lame d’air ventilée ou non et comprenant éventuellement des stores, sont décrits et comptés aux </w:t>
      </w:r>
      <w:hyperlink w:anchor="926" w:history="1">
        <w:r>
          <w:rPr>
            <w:rStyle w:val="optioncarChar"/>
            <w:color w:val="0000EE"/>
          </w:rPr>
          <w:t>41.41 Systèmes de façade VEP (vitrage extérieur parclosé)</w:t>
        </w:r>
      </w:hyperlink>
      <w:r>
        <w:rPr>
          <w:rStyle w:val="optioncarChar"/>
        </w:rPr>
        <w:t xml:space="preserve"> / </w:t>
      </w:r>
      <w:hyperlink w:anchor="917" w:history="1">
        <w:r>
          <w:rPr>
            <w:rStyle w:val="optioncarChar"/>
            <w:color w:val="0000EE"/>
          </w:rPr>
          <w:t>41.42 Systèmes de façade VEC (vitrage extérieur collé)</w:t>
        </w:r>
      </w:hyperlink>
      <w:r>
        <w:rPr>
          <w:rStyle w:val="optioncarChar"/>
        </w:rPr>
        <w:t xml:space="preserve"> / ***</w:t>
      </w:r>
      <w:r>
        <w:t xml:space="preserve"> et suivants.</w:t>
      </w:r>
    </w:p>
    <w:p w14:paraId="2352B733" w14:textId="77777777" w:rsidR="00772179" w:rsidRDefault="00000000">
      <w:pPr>
        <w:jc w:val="both"/>
      </w:pPr>
      <w:r>
        <w:t>Le travail comprend notamment :</w:t>
      </w:r>
    </w:p>
    <w:p w14:paraId="374AE2D0" w14:textId="77777777" w:rsidR="00772179" w:rsidRDefault="00000000">
      <w:pPr>
        <w:pStyle w:val="Author-eListParagraph"/>
        <w:numPr>
          <w:ilvl w:val="0"/>
          <w:numId w:val="514"/>
        </w:numPr>
      </w:pPr>
      <w:r>
        <w:t xml:space="preserve">Les prestations et travaux préparatoires dont : </w:t>
      </w:r>
    </w:p>
    <w:p w14:paraId="4EEC23BF" w14:textId="77777777" w:rsidR="00772179" w:rsidRDefault="00000000">
      <w:pPr>
        <w:pStyle w:val="Author-eListParagraph"/>
        <w:numPr>
          <w:ilvl w:val="1"/>
          <w:numId w:val="515"/>
        </w:numPr>
      </w:pPr>
      <w:r>
        <w:t>La prise et / ou la vérification des mesures in situ</w:t>
      </w:r>
    </w:p>
    <w:p w14:paraId="54243C97" w14:textId="77777777" w:rsidR="00772179" w:rsidRDefault="00000000">
      <w:pPr>
        <w:pStyle w:val="Author-eListParagraph"/>
        <w:numPr>
          <w:ilvl w:val="1"/>
          <w:numId w:val="515"/>
        </w:numPr>
      </w:pPr>
      <w:r>
        <w:t>La vérification des supports (planéité, aplomb, équerrage, …)</w:t>
      </w:r>
    </w:p>
    <w:p w14:paraId="0D353D68" w14:textId="77777777" w:rsidR="00772179" w:rsidRDefault="00000000">
      <w:pPr>
        <w:pStyle w:val="Author-eListParagraph"/>
        <w:numPr>
          <w:ilvl w:val="0"/>
          <w:numId w:val="514"/>
        </w:numPr>
      </w:pPr>
      <w:r>
        <w:t>Les mesures de sécurité ;</w:t>
      </w:r>
    </w:p>
    <w:p w14:paraId="4E817C5F" w14:textId="77777777" w:rsidR="00772179" w:rsidRDefault="00000000">
      <w:pPr>
        <w:pStyle w:val="Author-eListParagraph"/>
        <w:numPr>
          <w:ilvl w:val="0"/>
          <w:numId w:val="514"/>
        </w:numPr>
      </w:pPr>
      <w:r>
        <w:t>La coordination des différents intervenants ;</w:t>
      </w:r>
    </w:p>
    <w:p w14:paraId="588D2E30" w14:textId="77777777" w:rsidR="00772179" w:rsidRDefault="00000000">
      <w:pPr>
        <w:pStyle w:val="Author-eListParagraph"/>
        <w:numPr>
          <w:ilvl w:val="0"/>
          <w:numId w:val="514"/>
        </w:numPr>
      </w:pPr>
      <w:r>
        <w:t>Les études préliminaires ;</w:t>
      </w:r>
    </w:p>
    <w:p w14:paraId="3B31D3EF" w14:textId="77777777" w:rsidR="00772179" w:rsidRDefault="00000000">
      <w:pPr>
        <w:pStyle w:val="Author-eListParagraph"/>
        <w:numPr>
          <w:ilvl w:val="0"/>
          <w:numId w:val="514"/>
        </w:numPr>
      </w:pPr>
      <w:r>
        <w:t>Les éventuels plans complémentaires, notes de calcul et études particulières, …  spécifiquement nécessaires à l’exécution des ouvrages ;</w:t>
      </w:r>
    </w:p>
    <w:p w14:paraId="019C5244" w14:textId="77777777" w:rsidR="00772179" w:rsidRDefault="00000000">
      <w:pPr>
        <w:pStyle w:val="Author-eListParagraph"/>
        <w:numPr>
          <w:ilvl w:val="0"/>
          <w:numId w:val="514"/>
        </w:numPr>
      </w:pPr>
      <w:r>
        <w:t>La gestion des déchets (collecte, tri, traitement, évacuation en dehors du chantier, …), conformément aux 07 Déchets, matériaux et éléments réemployables et suivants.</w:t>
      </w:r>
    </w:p>
    <w:p w14:paraId="650CB765" w14:textId="77777777" w:rsidR="00772179" w:rsidRDefault="00000000">
      <w:pPr>
        <w:jc w:val="both"/>
      </w:pPr>
      <w:r>
        <w:t>Livraison, stockage, manutention, fournitures, mise en œuvre sont toujours conformes à la documentation technique qui accompagne les différents produits.</w:t>
      </w:r>
    </w:p>
    <w:p w14:paraId="33E47C7A" w14:textId="77777777" w:rsidR="00772179" w:rsidRDefault="00000000">
      <w:pPr>
        <w:pStyle w:val="pheading"/>
      </w:pPr>
      <w:r>
        <w:t>MATÉRIAUX</w:t>
      </w:r>
    </w:p>
    <w:p w14:paraId="5F883101" w14:textId="77777777" w:rsidR="00772179" w:rsidRDefault="00000000">
      <w:pPr>
        <w:jc w:val="both"/>
      </w:pPr>
      <w:r>
        <w:rPr>
          <w:b/>
        </w:rPr>
        <w:t>Conception / Dimensionnements </w:t>
      </w:r>
    </w:p>
    <w:p w14:paraId="06CCE7A8" w14:textId="77777777" w:rsidR="00772179" w:rsidRDefault="00000000">
      <w:pPr>
        <w:jc w:val="both"/>
      </w:pPr>
      <w:r>
        <w:t xml:space="preserve">Les caractéristiques d’isolation acoustique, thermiques, de protection solaire, … sont définies par </w:t>
      </w:r>
      <w:r>
        <w:rPr>
          <w:rStyle w:val="optioncarChar"/>
        </w:rPr>
        <w:t>l’auteur de projet / le bureau d’étude désigné par le maître d’ouvrage / ***</w:t>
      </w:r>
      <w:r>
        <w:t>.</w:t>
      </w:r>
    </w:p>
    <w:p w14:paraId="7DDFC7E8" w14:textId="77777777" w:rsidR="00772179" w:rsidRDefault="00000000">
      <w:pPr>
        <w:jc w:val="both"/>
      </w:pPr>
      <w:r>
        <w:t>Les systèmes de façade double peau sont conçus de manière globale (il s’agit d’un ensemble intégré) afin d’optimiser les performances et de combiner correctement les différents constituants de la paroi.</w:t>
      </w:r>
    </w:p>
    <w:p w14:paraId="0D05121C" w14:textId="77777777" w:rsidR="00772179" w:rsidRDefault="00000000">
      <w:pPr>
        <w:jc w:val="both"/>
      </w:pPr>
      <w:r>
        <w:t>Une attention particulière est accordée aux risques de condensation, à la combinaison des vitrages, …</w:t>
      </w:r>
    </w:p>
    <w:p w14:paraId="16947558" w14:textId="77777777" w:rsidR="00772179" w:rsidRDefault="00000000">
      <w:pPr>
        <w:jc w:val="both"/>
      </w:pPr>
      <w:r>
        <w:rPr>
          <w:b/>
        </w:rPr>
        <w:t>Sécurité incendie </w:t>
      </w:r>
      <w:r>
        <w:t> </w:t>
      </w:r>
    </w:p>
    <w:p w14:paraId="58667B26" w14:textId="77777777" w:rsidR="00772179" w:rsidRDefault="00000000">
      <w:pPr>
        <w:jc w:val="both"/>
      </w:pPr>
      <w:r>
        <w:t>Les systèmes de façade double peau répondent aux exigences spécifiques des « normes de base » notamment en ce qui concerne le compartimentage éventuel de l’espace intermédiaire.</w:t>
      </w:r>
    </w:p>
    <w:p w14:paraId="6E8F33E6" w14:textId="77777777" w:rsidR="00772179" w:rsidRDefault="00000000">
      <w:pPr>
        <w:jc w:val="both"/>
      </w:pPr>
      <w:r>
        <w:t>Voir également [NIT 282]. </w:t>
      </w:r>
    </w:p>
    <w:p w14:paraId="06C6E942" w14:textId="77777777" w:rsidR="00772179" w:rsidRDefault="00000000">
      <w:pPr>
        <w:jc w:val="both"/>
      </w:pPr>
      <w:r>
        <w:rPr>
          <w:b/>
        </w:rPr>
        <w:t>Transmission latérale du bruit </w:t>
      </w:r>
    </w:p>
    <w:p w14:paraId="17EF2F45" w14:textId="77777777" w:rsidR="00772179" w:rsidRDefault="00000000">
      <w:pPr>
        <w:jc w:val="both"/>
      </w:pPr>
      <w:r>
        <w:t>Voir [Buildwise Article Dossier (2023/02.08)].</w:t>
      </w:r>
    </w:p>
    <w:p w14:paraId="4DF51693" w14:textId="77777777" w:rsidR="00772179" w:rsidRDefault="00000000">
      <w:pPr>
        <w:pStyle w:val="pheading"/>
      </w:pPr>
      <w:r>
        <w:t>EXÉCUTION / MISE EN ŒUVRE</w:t>
      </w:r>
    </w:p>
    <w:p w14:paraId="4E6FDB32" w14:textId="77777777" w:rsidR="00772179" w:rsidRDefault="00000000">
      <w:pPr>
        <w:jc w:val="both"/>
      </w:pPr>
      <w:r>
        <w:rPr>
          <w:b/>
        </w:rPr>
        <w:t>Généralités</w:t>
      </w:r>
    </w:p>
    <w:p w14:paraId="3438E62E" w14:textId="77777777" w:rsidR="00772179" w:rsidRDefault="00000000">
      <w:pPr>
        <w:jc w:val="both"/>
      </w:pPr>
      <w:r>
        <w:t>Les conditions de pose correspondent strictement à la documentation technique qui accompagne les différents produits.</w:t>
      </w:r>
    </w:p>
    <w:p w14:paraId="05E34476" w14:textId="77777777" w:rsidR="00772179" w:rsidRDefault="00000000">
      <w:pPr>
        <w:jc w:val="both"/>
      </w:pPr>
      <w:r>
        <w:t>La mise en œuvre est réalisée par du personnel formé et qualifié.</w:t>
      </w:r>
    </w:p>
    <w:p w14:paraId="7AC61CDC" w14:textId="77777777" w:rsidR="00772179" w:rsidRDefault="00000000">
      <w:pPr>
        <w:jc w:val="both"/>
      </w:pPr>
      <w:r>
        <w:rPr>
          <w:b/>
        </w:rPr>
        <w:t>Prestations préparatoires</w:t>
      </w:r>
    </w:p>
    <w:p w14:paraId="1D4E1464" w14:textId="77777777" w:rsidR="00772179" w:rsidRDefault="00000000">
      <w:pPr>
        <w:jc w:val="both"/>
      </w:pPr>
      <w:r>
        <w:lastRenderedPageBreak/>
        <w:t>Avant le début des travaux, les différents entrepreneurs et/ou sous-traitants chargés de la mise en œuvre :</w:t>
      </w:r>
    </w:p>
    <w:p w14:paraId="57710C87" w14:textId="77777777" w:rsidR="00772179" w:rsidRDefault="00000000">
      <w:pPr>
        <w:pStyle w:val="Author-eListParagraph"/>
        <w:numPr>
          <w:ilvl w:val="0"/>
          <w:numId w:val="516"/>
        </w:numPr>
        <w:jc w:val="both"/>
      </w:pPr>
      <w:r>
        <w:t>réalisent un relevé précis des parois concernées par le système de façade double peau ;</w:t>
      </w:r>
    </w:p>
    <w:p w14:paraId="26FA8CD5" w14:textId="77777777" w:rsidR="00772179" w:rsidRDefault="00000000">
      <w:pPr>
        <w:pStyle w:val="Author-eListParagraph"/>
        <w:numPr>
          <w:ilvl w:val="0"/>
          <w:numId w:val="516"/>
        </w:numPr>
        <w:jc w:val="both"/>
      </w:pPr>
      <w:r>
        <w:t>se concertent obligatoirement afin d’intégrer et de coordonner les différents éléments ;</w:t>
      </w:r>
    </w:p>
    <w:p w14:paraId="74F98F88" w14:textId="77777777" w:rsidR="00772179" w:rsidRDefault="00000000">
      <w:pPr>
        <w:pStyle w:val="Author-eListParagraph"/>
        <w:numPr>
          <w:ilvl w:val="0"/>
          <w:numId w:val="516"/>
        </w:numPr>
        <w:jc w:val="both"/>
      </w:pPr>
      <w:r>
        <w:t>adaptent si nécessaires les différents plans d’exécution, détails, … en concertation étroite avec la direction des travaux, les différents fabricants, ...;</w:t>
      </w:r>
    </w:p>
    <w:p w14:paraId="2504518A" w14:textId="77777777" w:rsidR="00772179" w:rsidRDefault="00000000">
      <w:pPr>
        <w:pStyle w:val="Author-eListParagraph"/>
        <w:numPr>
          <w:ilvl w:val="0"/>
          <w:numId w:val="516"/>
        </w:numPr>
        <w:jc w:val="both"/>
      </w:pPr>
      <w:r>
        <w:t>réalisent les plans d’exécution spécifiques nécessaires à la réalisation et les soumettent à la direction des travaux pour approbation préalable.</w:t>
      </w:r>
    </w:p>
    <w:p w14:paraId="31B8DBCC" w14:textId="77777777" w:rsidR="00772179" w:rsidRDefault="00000000">
      <w:pPr>
        <w:jc w:val="both"/>
      </w:pPr>
      <w:r>
        <w:rPr>
          <w:b/>
        </w:rPr>
        <w:t>Mise en œuvre</w:t>
      </w:r>
    </w:p>
    <w:p w14:paraId="1BD4F196" w14:textId="77777777" w:rsidR="00772179" w:rsidRDefault="00000000">
      <w:pPr>
        <w:jc w:val="both"/>
      </w:pPr>
      <w:r>
        <w:t>Les différents entrepreneurs et/ou sous-traitants exécute les travaux en se concertant et en coordonnant préalablement leurs différentes prestations.</w:t>
      </w:r>
    </w:p>
    <w:p w14:paraId="5344BE1D" w14:textId="77777777" w:rsidR="00772179" w:rsidRDefault="00000000">
      <w:pPr>
        <w:pStyle w:val="pheading"/>
      </w:pPr>
      <w:r>
        <w:t>DOCUMENTS DE RÉFÉRENCE</w:t>
      </w:r>
    </w:p>
    <w:p w14:paraId="0F3E4856" w14:textId="77777777" w:rsidR="00772179" w:rsidRDefault="00000000">
      <w:pPr>
        <w:pStyle w:val="pheading"/>
      </w:pPr>
      <w:r>
        <w:t>- Matériau</w:t>
      </w:r>
    </w:p>
    <w:p w14:paraId="6369D100" w14:textId="77777777" w:rsidR="00772179" w:rsidRDefault="00000000">
      <w:r>
        <w:t>[NIT 282, Sécurité incendie des façades. Conception et mise en oeuvre des façades-rideaux (acier et aluminium).]</w:t>
      </w:r>
    </w:p>
    <w:p w14:paraId="6D83CAF5" w14:textId="77777777" w:rsidR="00772179" w:rsidRDefault="00000000">
      <w:pPr>
        <w:pStyle w:val="pheading"/>
      </w:pPr>
      <w:r>
        <w:t>- Exécution</w:t>
      </w:r>
    </w:p>
    <w:p w14:paraId="740E10A9" w14:textId="77777777" w:rsidR="00772179" w:rsidRDefault="00000000">
      <w:r>
        <w:t>[NIT 282, Sécurité incendie des façades. Conception et mise en oeuvre des façades-rideaux (acier et aluminium).]</w:t>
      </w:r>
    </w:p>
    <w:p w14:paraId="5AA226BE" w14:textId="77777777" w:rsidR="00772179" w:rsidRDefault="00000000">
      <w:pPr>
        <w:pStyle w:val="Author-eSectionHeading6Numberless"/>
      </w:pPr>
      <w:bookmarkStart w:id="219" w:name="_Toc220489958"/>
      <w:r>
        <w:t>41.44.1a Systèmes de façade double peau CCTB 01.12</w:t>
      </w:r>
      <w:bookmarkEnd w:id="219"/>
    </w:p>
    <w:p w14:paraId="19B530E6" w14:textId="77777777" w:rsidR="00772179" w:rsidRDefault="00000000">
      <w:pPr>
        <w:pStyle w:val="pheading"/>
      </w:pPr>
      <w:r>
        <w:t>DESCRIPTION</w:t>
      </w:r>
    </w:p>
    <w:p w14:paraId="5721B448" w14:textId="77777777" w:rsidR="00772179" w:rsidRDefault="00000000">
      <w:pPr>
        <w:pStyle w:val="pheading"/>
      </w:pPr>
      <w:r>
        <w:t>- Définition / Comprend</w:t>
      </w:r>
    </w:p>
    <w:p w14:paraId="430E07FF" w14:textId="77777777" w:rsidR="00772179" w:rsidRDefault="00000000">
      <w:pPr>
        <w:jc w:val="both"/>
      </w:pPr>
      <w:r>
        <w:t>Il s’agit de la gestion, de la coordination et selon les descriptions des différents éléments concernés de la fourniture et de la mise en œuvre de tous les composants d’un système intégré de façade double peau ventilé.</w:t>
      </w:r>
    </w:p>
    <w:p w14:paraId="0C559350" w14:textId="77777777" w:rsidR="00772179" w:rsidRDefault="00000000">
      <w:pPr>
        <w:pStyle w:val="pheading"/>
      </w:pPr>
      <w:r>
        <w:t>MATÉRIAUX</w:t>
      </w:r>
    </w:p>
    <w:p w14:paraId="4A011717" w14:textId="77777777" w:rsidR="00772179" w:rsidRDefault="00000000">
      <w:pPr>
        <w:pStyle w:val="pheading"/>
      </w:pPr>
      <w:r>
        <w:t>- Caractéristiques générales</w:t>
      </w:r>
    </w:p>
    <w:p w14:paraId="26DF9B95" w14:textId="77777777" w:rsidR="00772179" w:rsidRDefault="00000000">
      <w:pPr>
        <w:jc w:val="both"/>
      </w:pPr>
      <w:r>
        <w:rPr>
          <w:b/>
        </w:rPr>
        <w:t>Principe</w:t>
      </w:r>
    </w:p>
    <w:p w14:paraId="6B606EE1" w14:textId="77777777" w:rsidR="00772179" w:rsidRDefault="00000000">
      <w:pPr>
        <w:jc w:val="both"/>
      </w:pPr>
      <w:r>
        <w:rPr>
          <w:u w:val="single"/>
        </w:rPr>
        <w:t>Paroi extérieure :</w:t>
      </w:r>
    </w:p>
    <w:p w14:paraId="6D8AA014" w14:textId="77777777" w:rsidR="00772179" w:rsidRDefault="00000000">
      <w:pPr>
        <w:jc w:val="both"/>
      </w:pPr>
      <w:r>
        <w:t xml:space="preserve">Elle est principalement constituée d’un système de : </w:t>
      </w:r>
      <w:r>
        <w:rPr>
          <w:rStyle w:val="optioncarChar"/>
        </w:rPr>
        <w:t>façade rideau / protection solaire / bardage ajouré / ***</w:t>
      </w:r>
    </w:p>
    <w:p w14:paraId="7A2C004B" w14:textId="77777777" w:rsidR="00772179" w:rsidRDefault="00000000">
      <w:pPr>
        <w:jc w:val="both"/>
      </w:pPr>
      <w:r>
        <w:rPr>
          <w:b/>
        </w:rPr>
        <w:t>(soit)</w:t>
      </w:r>
    </w:p>
    <w:p w14:paraId="05144625" w14:textId="77777777" w:rsidR="00772179" w:rsidRDefault="00000000">
      <w:pPr>
        <w:jc w:val="both"/>
      </w:pPr>
      <w:r>
        <w:rPr>
          <w:rStyle w:val="soitChar"/>
          <w:u w:val="single"/>
        </w:rPr>
        <w:t>Façade rideau :</w:t>
      </w:r>
    </w:p>
    <w:p w14:paraId="75D3A785" w14:textId="77777777" w:rsidR="00772179" w:rsidRDefault="00000000">
      <w:pPr>
        <w:jc w:val="both"/>
      </w:pPr>
      <w:r>
        <w:rPr>
          <w:rStyle w:val="soitChar"/>
        </w:rPr>
        <w:t>Il s’agit d’un système de façade monté « </w:t>
      </w:r>
      <w:r>
        <w:rPr>
          <w:rStyle w:val="optioncarChar"/>
        </w:rPr>
        <w:t>sur grille / en panneau</w:t>
      </w:r>
      <w:r>
        <w:rPr>
          <w:rStyle w:val="soitChar"/>
        </w:rPr>
        <w:t xml:space="preserve"> » et composé de châssis </w:t>
      </w:r>
      <w:r>
        <w:rPr>
          <w:rStyle w:val="optioncarChar"/>
        </w:rPr>
        <w:t>VEP/ VEC / VEA / ***</w:t>
      </w:r>
    </w:p>
    <w:p w14:paraId="53CE8E5B" w14:textId="77777777" w:rsidR="00772179" w:rsidRDefault="00000000">
      <w:pPr>
        <w:jc w:val="both"/>
      </w:pPr>
      <w:r>
        <w:rPr>
          <w:rStyle w:val="soitChar"/>
        </w:rPr>
        <w:t xml:space="preserve"> Ce système est respectivement décrit et compté aux </w:t>
      </w:r>
      <w:hyperlink w:anchor="926" w:history="1">
        <w:r>
          <w:rPr>
            <w:rStyle w:val="optioncarChar"/>
            <w:color w:val="0000EE"/>
          </w:rPr>
          <w:t>41.41 Systèmes de façade VEP (vitrage extérieur parclosé)</w:t>
        </w:r>
      </w:hyperlink>
      <w:r>
        <w:rPr>
          <w:rStyle w:val="optioncarChar"/>
        </w:rPr>
        <w:t xml:space="preserve"> / </w:t>
      </w:r>
      <w:hyperlink w:anchor="917" w:history="1">
        <w:r>
          <w:rPr>
            <w:rStyle w:val="optioncarChar"/>
            <w:color w:val="0000EE"/>
          </w:rPr>
          <w:t>41.42 Systèmes de façade VEC (vitrage extérieur collé)</w:t>
        </w:r>
      </w:hyperlink>
      <w:r>
        <w:rPr>
          <w:rStyle w:val="optioncarChar"/>
        </w:rPr>
        <w:t xml:space="preserve"> / </w:t>
      </w:r>
      <w:hyperlink w:anchor="927" w:history="1">
        <w:r>
          <w:rPr>
            <w:rStyle w:val="optioncarChar"/>
            <w:color w:val="0000EE"/>
          </w:rPr>
          <w:t>41.43 Systèmes de façade VEA (vitrage extérieur attaché)</w:t>
        </w:r>
      </w:hyperlink>
      <w:r>
        <w:rPr>
          <w:rStyle w:val="optioncarChar"/>
        </w:rPr>
        <w:t xml:space="preserve"> / ***</w:t>
      </w:r>
      <w:r>
        <w:rPr>
          <w:rStyle w:val="soitChar"/>
        </w:rPr>
        <w:t xml:space="preserve"> et suivants.</w:t>
      </w:r>
    </w:p>
    <w:p w14:paraId="36380869" w14:textId="77777777" w:rsidR="00772179" w:rsidRDefault="00000000">
      <w:pPr>
        <w:jc w:val="both"/>
      </w:pPr>
      <w:r>
        <w:rPr>
          <w:b/>
        </w:rPr>
        <w:t>(soit)</w:t>
      </w:r>
    </w:p>
    <w:p w14:paraId="1EA76556" w14:textId="77777777" w:rsidR="00772179" w:rsidRDefault="00000000">
      <w:pPr>
        <w:jc w:val="both"/>
      </w:pPr>
      <w:r>
        <w:rPr>
          <w:rStyle w:val="soitChar"/>
          <w:u w:val="single"/>
        </w:rPr>
        <w:t>Protection solaire :</w:t>
      </w:r>
    </w:p>
    <w:p w14:paraId="16E748C5" w14:textId="77777777" w:rsidR="00772179" w:rsidRDefault="00000000">
      <w:pPr>
        <w:jc w:val="both"/>
      </w:pPr>
      <w:r>
        <w:rPr>
          <w:rStyle w:val="soitChar"/>
        </w:rPr>
        <w:t xml:space="preserve">Le système de protection solaire (p.ex. ventelles fixes et/ou mobiles, …) est décrit et compté aux </w:t>
      </w:r>
      <w:hyperlink w:anchor="928" w:history="1">
        <w:r>
          <w:rPr>
            <w:rStyle w:val="soitChar"/>
            <w:color w:val="0000EE"/>
          </w:rPr>
          <w:t>41.52 Protections solaires extérieures</w:t>
        </w:r>
      </w:hyperlink>
      <w:r>
        <w:rPr>
          <w:rStyle w:val="soitChar"/>
        </w:rPr>
        <w:t xml:space="preserve"> et suivants.</w:t>
      </w:r>
    </w:p>
    <w:p w14:paraId="41DF6DB5" w14:textId="77777777" w:rsidR="00772179" w:rsidRDefault="00000000">
      <w:pPr>
        <w:jc w:val="both"/>
      </w:pPr>
      <w:r>
        <w:rPr>
          <w:b/>
        </w:rPr>
        <w:t>(soit)</w:t>
      </w:r>
    </w:p>
    <w:p w14:paraId="33807ED0" w14:textId="77777777" w:rsidR="00772179" w:rsidRDefault="00000000">
      <w:pPr>
        <w:jc w:val="both"/>
      </w:pPr>
      <w:r>
        <w:rPr>
          <w:rStyle w:val="soitChar"/>
          <w:u w:val="single"/>
        </w:rPr>
        <w:t>Bardage ajouré :</w:t>
      </w:r>
    </w:p>
    <w:p w14:paraId="638DC508" w14:textId="77777777" w:rsidR="00772179" w:rsidRDefault="00000000">
      <w:pPr>
        <w:jc w:val="both"/>
      </w:pPr>
      <w:r>
        <w:rPr>
          <w:rStyle w:val="soitChar"/>
        </w:rPr>
        <w:lastRenderedPageBreak/>
        <w:t xml:space="preserve">Le système de revêtement de façade est décrit et compté aux </w:t>
      </w:r>
      <w:hyperlink w:anchor="382" w:history="1">
        <w:r>
          <w:rPr>
            <w:rStyle w:val="soitChar"/>
            <w:color w:val="0000EE"/>
          </w:rPr>
          <w:t>43 Revêtements de façade</w:t>
        </w:r>
      </w:hyperlink>
      <w:r>
        <w:rPr>
          <w:rStyle w:val="soitChar"/>
        </w:rPr>
        <w:t xml:space="preserve"> et suivants.</w:t>
      </w:r>
    </w:p>
    <w:p w14:paraId="50CCAB15" w14:textId="77777777" w:rsidR="00772179" w:rsidRDefault="00000000">
      <w:pPr>
        <w:jc w:val="both"/>
      </w:pPr>
      <w:r>
        <w:rPr>
          <w:b/>
        </w:rPr>
        <w:t>(soit)</w:t>
      </w:r>
    </w:p>
    <w:p w14:paraId="56CC230A" w14:textId="77777777" w:rsidR="00772179" w:rsidRDefault="00000000">
      <w:pPr>
        <w:jc w:val="both"/>
      </w:pPr>
      <w:r>
        <w:rPr>
          <w:rStyle w:val="optioncarChar"/>
        </w:rPr>
        <w:t>***  </w:t>
      </w:r>
    </w:p>
    <w:p w14:paraId="70690B60" w14:textId="77777777" w:rsidR="00772179" w:rsidRDefault="00000000">
      <w:pPr>
        <w:jc w:val="both"/>
      </w:pPr>
      <w:r>
        <w:rPr>
          <w:u w:val="single"/>
        </w:rPr>
        <w:t>Espace intermédiaire :</w:t>
      </w:r>
    </w:p>
    <w:p w14:paraId="08E64C6D" w14:textId="77777777" w:rsidR="00772179" w:rsidRDefault="00000000">
      <w:pPr>
        <w:ind w:left="567"/>
        <w:jc w:val="both"/>
      </w:pPr>
      <w:r>
        <w:t>Ventilation :</w:t>
      </w:r>
    </w:p>
    <w:p w14:paraId="060EB077" w14:textId="77777777" w:rsidR="00772179" w:rsidRDefault="00000000">
      <w:pPr>
        <w:ind w:left="567"/>
        <w:jc w:val="both"/>
      </w:pPr>
      <w:r>
        <w:t xml:space="preserve">L’espace intermédiaire entre les 2 parois est ventilé </w:t>
      </w:r>
      <w:r>
        <w:rPr>
          <w:rStyle w:val="optioncarChar"/>
        </w:rPr>
        <w:t>naturellement / mécaniquement / ***</w:t>
      </w:r>
    </w:p>
    <w:p w14:paraId="7C9487EA" w14:textId="77777777" w:rsidR="00772179" w:rsidRDefault="00000000">
      <w:pPr>
        <w:ind w:left="567"/>
        <w:jc w:val="both"/>
      </w:pPr>
      <w:r>
        <w:rPr>
          <w:b/>
        </w:rPr>
        <w:t>(soit)</w:t>
      </w:r>
    </w:p>
    <w:p w14:paraId="692F0F2C" w14:textId="77777777" w:rsidR="00772179" w:rsidRDefault="00000000">
      <w:pPr>
        <w:ind w:left="567"/>
        <w:jc w:val="both"/>
      </w:pPr>
      <w:r>
        <w:rPr>
          <w:rStyle w:val="soitChar"/>
          <w:u w:val="single"/>
        </w:rPr>
        <w:t>Naturellement :</w:t>
      </w:r>
    </w:p>
    <w:p w14:paraId="4D65EBDE" w14:textId="77777777" w:rsidR="00772179" w:rsidRDefault="00000000">
      <w:pPr>
        <w:ind w:left="567"/>
        <w:jc w:val="both"/>
      </w:pPr>
      <w:r>
        <w:rPr>
          <w:rStyle w:val="soitChar"/>
        </w:rPr>
        <w:t xml:space="preserve">La perméabilité à l’air de la paroi extérieure permet une circulation adaptée de l’air entre les 2 parois. </w:t>
      </w:r>
    </w:p>
    <w:p w14:paraId="5A16782B" w14:textId="77777777" w:rsidR="00772179" w:rsidRDefault="00000000">
      <w:pPr>
        <w:ind w:left="567"/>
        <w:jc w:val="both"/>
      </w:pPr>
      <w:r>
        <w:rPr>
          <w:rStyle w:val="soitChar"/>
        </w:rPr>
        <w:t xml:space="preserve"> L’étanchéité à l’air et à l’eau de la construction est assurée par la paroi intérieure.</w:t>
      </w:r>
    </w:p>
    <w:p w14:paraId="2B0CDF44" w14:textId="77777777" w:rsidR="00772179" w:rsidRDefault="00000000">
      <w:pPr>
        <w:ind w:left="567"/>
        <w:jc w:val="both"/>
      </w:pPr>
      <w:r>
        <w:rPr>
          <w:b/>
        </w:rPr>
        <w:t>(soit)</w:t>
      </w:r>
    </w:p>
    <w:p w14:paraId="27DDFEC8" w14:textId="77777777" w:rsidR="00772179" w:rsidRDefault="00000000">
      <w:pPr>
        <w:ind w:left="567"/>
        <w:jc w:val="both"/>
      </w:pPr>
      <w:r>
        <w:rPr>
          <w:rStyle w:val="soitChar"/>
          <w:u w:val="single"/>
        </w:rPr>
        <w:t>Mécaniquement :</w:t>
      </w:r>
    </w:p>
    <w:p w14:paraId="0A8418A6" w14:textId="77777777" w:rsidR="00772179" w:rsidRDefault="00000000">
      <w:pPr>
        <w:ind w:left="567"/>
        <w:jc w:val="both"/>
      </w:pPr>
      <w:r>
        <w:rPr>
          <w:rStyle w:val="soitChar"/>
        </w:rPr>
        <w:t>Dans ce système, l’étanchéité à l’air et à l’eau de la construction est essentiellement assurée par la paroi extérieure.</w:t>
      </w:r>
    </w:p>
    <w:p w14:paraId="08B2518E" w14:textId="77777777" w:rsidR="00772179" w:rsidRDefault="00000000">
      <w:pPr>
        <w:ind w:left="567"/>
        <w:jc w:val="both"/>
      </w:pPr>
      <w:r>
        <w:rPr>
          <w:rStyle w:val="soitChar"/>
        </w:rPr>
        <w:t xml:space="preserve"> L’espace intermédiaire est principalement ventilé via un système décrit et compté aux 61 Ventilation et suivants. </w:t>
      </w:r>
    </w:p>
    <w:p w14:paraId="3BEF5F5F" w14:textId="77777777" w:rsidR="00772179" w:rsidRDefault="00000000">
      <w:pPr>
        <w:ind w:left="567"/>
        <w:jc w:val="both"/>
      </w:pPr>
      <w:r>
        <w:rPr>
          <w:b/>
        </w:rPr>
        <w:t>(soit)</w:t>
      </w:r>
    </w:p>
    <w:p w14:paraId="692A8E7C" w14:textId="77777777" w:rsidR="00772179" w:rsidRDefault="00000000">
      <w:pPr>
        <w:ind w:left="567"/>
        <w:jc w:val="both"/>
      </w:pPr>
      <w:r>
        <w:rPr>
          <w:rStyle w:val="optioncarChar"/>
        </w:rPr>
        <w:t>***</w:t>
      </w:r>
    </w:p>
    <w:p w14:paraId="20A9161F" w14:textId="77777777" w:rsidR="00772179" w:rsidRDefault="00000000">
      <w:pPr>
        <w:ind w:left="567"/>
        <w:jc w:val="both"/>
      </w:pPr>
      <w:r>
        <w:t>Accessibilité :</w:t>
      </w:r>
    </w:p>
    <w:p w14:paraId="11C26C65" w14:textId="77777777" w:rsidR="00772179" w:rsidRDefault="00000000">
      <w:pPr>
        <w:ind w:left="567"/>
        <w:jc w:val="both"/>
      </w:pPr>
      <w:r>
        <w:t xml:space="preserve">Lorsque cet espace est par exemple accessible à une personne (espace de circulation / coursives), les éventuelles structures qui équipent cet espace sont décrites et comptées aux </w:t>
      </w:r>
      <w:r>
        <w:rPr>
          <w:rStyle w:val="optioncarChar"/>
        </w:rPr>
        <w:t>23 Superstructures métalliques / ***</w:t>
      </w:r>
      <w:r>
        <w:t xml:space="preserve"> et suivants. </w:t>
      </w:r>
    </w:p>
    <w:p w14:paraId="6AC51CF4" w14:textId="77777777" w:rsidR="00772179" w:rsidRDefault="00000000">
      <w:pPr>
        <w:jc w:val="both"/>
      </w:pPr>
      <w:r>
        <w:rPr>
          <w:u w:val="single"/>
        </w:rPr>
        <w:t>Paroi intérieure :</w:t>
      </w:r>
    </w:p>
    <w:p w14:paraId="26F4BAAC" w14:textId="77777777" w:rsidR="00772179" w:rsidRDefault="00000000">
      <w:pPr>
        <w:jc w:val="both"/>
      </w:pPr>
      <w:r>
        <w:t xml:space="preserve">Elle est principalement constituée d’un système de : </w:t>
      </w:r>
      <w:r>
        <w:rPr>
          <w:rStyle w:val="optioncarChar"/>
        </w:rPr>
        <w:t>châssis / façade rideau / ***</w:t>
      </w:r>
    </w:p>
    <w:p w14:paraId="15AA200B" w14:textId="77777777" w:rsidR="00772179" w:rsidRDefault="00000000">
      <w:pPr>
        <w:jc w:val="both"/>
      </w:pPr>
      <w:r>
        <w:rPr>
          <w:b/>
        </w:rPr>
        <w:t>(soit)</w:t>
      </w:r>
    </w:p>
    <w:p w14:paraId="3A9C0B61" w14:textId="77777777" w:rsidR="00772179" w:rsidRDefault="00000000">
      <w:pPr>
        <w:jc w:val="both"/>
      </w:pPr>
      <w:r>
        <w:rPr>
          <w:rStyle w:val="soitChar"/>
          <w:u w:val="single"/>
        </w:rPr>
        <w:t>Châssis :</w:t>
      </w:r>
    </w:p>
    <w:p w14:paraId="0F6D69B9" w14:textId="77777777" w:rsidR="00772179" w:rsidRDefault="00000000">
      <w:pPr>
        <w:jc w:val="both"/>
      </w:pPr>
      <w:r>
        <w:rPr>
          <w:rStyle w:val="soitChar"/>
        </w:rPr>
        <w:t xml:space="preserve">Il s’agit d’un système de châssis en </w:t>
      </w:r>
      <w:r>
        <w:rPr>
          <w:rStyle w:val="optioncarChar"/>
        </w:rPr>
        <w:t>bois / aluminium / acier / PVC / ***</w:t>
      </w:r>
      <w:r>
        <w:rPr>
          <w:rStyle w:val="soitChar"/>
        </w:rPr>
        <w:t xml:space="preserve"> respectivement décrit et compté aux </w:t>
      </w:r>
      <w:hyperlink w:anchor="65" w:history="1">
        <w:r>
          <w:rPr>
            <w:rStyle w:val="optioncarChar"/>
            <w:color w:val="0000EE"/>
          </w:rPr>
          <w:t>41.11 Fenêtres et portes-fenêtres en bois</w:t>
        </w:r>
      </w:hyperlink>
      <w:r>
        <w:rPr>
          <w:rStyle w:val="optioncarChar"/>
        </w:rPr>
        <w:t xml:space="preserve"> / </w:t>
      </w:r>
      <w:hyperlink w:anchor="933" w:history="1">
        <w:r>
          <w:rPr>
            <w:rStyle w:val="optioncarChar"/>
            <w:color w:val="0000EE"/>
          </w:rPr>
          <w:t>41.12 Fenêtres et portes-fenêtres en aluminium</w:t>
        </w:r>
      </w:hyperlink>
      <w:r>
        <w:rPr>
          <w:rStyle w:val="optioncarChar"/>
        </w:rPr>
        <w:t xml:space="preserve"> / </w:t>
      </w:r>
      <w:hyperlink w:anchor="934" w:history="1">
        <w:r>
          <w:rPr>
            <w:rStyle w:val="optioncarChar"/>
            <w:color w:val="0000EE"/>
          </w:rPr>
          <w:t>41.13 Fenêtres et portes-fenêtres en acier</w:t>
        </w:r>
      </w:hyperlink>
      <w:r>
        <w:rPr>
          <w:rStyle w:val="optioncarChar"/>
        </w:rPr>
        <w:t xml:space="preserve"> / </w:t>
      </w:r>
      <w:hyperlink w:anchor="935" w:history="1">
        <w:r>
          <w:rPr>
            <w:rStyle w:val="optioncarChar"/>
            <w:color w:val="0000EE"/>
          </w:rPr>
          <w:t>41.14 Fenêtres et portes-fenêtres en PVC</w:t>
        </w:r>
      </w:hyperlink>
      <w:r>
        <w:rPr>
          <w:rStyle w:val="optioncarChar"/>
        </w:rPr>
        <w:t xml:space="preserve"> / ***</w:t>
      </w:r>
      <w:r>
        <w:rPr>
          <w:rStyle w:val="soitChar"/>
        </w:rPr>
        <w:t xml:space="preserve"> et suivants.</w:t>
      </w:r>
    </w:p>
    <w:p w14:paraId="737D9DBE" w14:textId="77777777" w:rsidR="00772179" w:rsidRDefault="00000000">
      <w:pPr>
        <w:jc w:val="both"/>
      </w:pPr>
      <w:r>
        <w:rPr>
          <w:b/>
        </w:rPr>
        <w:t>(soit)</w:t>
      </w:r>
    </w:p>
    <w:p w14:paraId="3519836D" w14:textId="77777777" w:rsidR="00772179" w:rsidRDefault="00000000">
      <w:pPr>
        <w:jc w:val="both"/>
      </w:pPr>
      <w:r>
        <w:rPr>
          <w:rStyle w:val="soitChar"/>
          <w:u w:val="single"/>
        </w:rPr>
        <w:t>Façade rideau :</w:t>
      </w:r>
    </w:p>
    <w:p w14:paraId="2ED3BAC0" w14:textId="77777777" w:rsidR="00772179" w:rsidRDefault="00000000">
      <w:pPr>
        <w:jc w:val="both"/>
      </w:pPr>
      <w:r>
        <w:rPr>
          <w:rStyle w:val="soitChar"/>
        </w:rPr>
        <w:t xml:space="preserve">Il s’agit d’un système de façade monté « sur grille / en panneau » et composé de châssis </w:t>
      </w:r>
      <w:r>
        <w:rPr>
          <w:rStyle w:val="optioncarChar"/>
        </w:rPr>
        <w:t>VEP / VEC / VEA / ***</w:t>
      </w:r>
    </w:p>
    <w:p w14:paraId="0BB01C8A" w14:textId="77777777" w:rsidR="00772179" w:rsidRDefault="00000000">
      <w:pPr>
        <w:jc w:val="both"/>
      </w:pPr>
      <w:r>
        <w:rPr>
          <w:rStyle w:val="soitChar"/>
        </w:rPr>
        <w:t xml:space="preserve"> Ce système est respectivement décrit et compté aux </w:t>
      </w:r>
      <w:hyperlink w:anchor="926" w:history="1">
        <w:r>
          <w:rPr>
            <w:rStyle w:val="optioncarChar"/>
            <w:color w:val="0000EE"/>
          </w:rPr>
          <w:t>41.41 Systèmes de façade VEP (vitrage extérieur parclosé)</w:t>
        </w:r>
      </w:hyperlink>
      <w:r>
        <w:rPr>
          <w:rStyle w:val="optioncarChar"/>
        </w:rPr>
        <w:t xml:space="preserve"> / </w:t>
      </w:r>
      <w:hyperlink w:anchor="917" w:history="1">
        <w:r>
          <w:rPr>
            <w:rStyle w:val="optioncarChar"/>
            <w:color w:val="0000EE"/>
          </w:rPr>
          <w:t>41.42 Systèmes de façade VEC (vitrage extérieur collé)</w:t>
        </w:r>
      </w:hyperlink>
      <w:r>
        <w:rPr>
          <w:rStyle w:val="optioncarChar"/>
        </w:rPr>
        <w:t xml:space="preserve"> / </w:t>
      </w:r>
      <w:hyperlink w:anchor="927" w:history="1">
        <w:r>
          <w:rPr>
            <w:rStyle w:val="optioncarChar"/>
            <w:color w:val="0000EE"/>
          </w:rPr>
          <w:t>41.43 Systèmes de façade VEA (vitrage extérieur attaché)</w:t>
        </w:r>
      </w:hyperlink>
      <w:r>
        <w:rPr>
          <w:rStyle w:val="optioncarChar"/>
        </w:rPr>
        <w:t xml:space="preserve"> / ***</w:t>
      </w:r>
      <w:r>
        <w:rPr>
          <w:rStyle w:val="soitChar"/>
        </w:rPr>
        <w:t xml:space="preserve"> et suivants.</w:t>
      </w:r>
    </w:p>
    <w:p w14:paraId="7E4383DD" w14:textId="77777777" w:rsidR="00772179" w:rsidRDefault="00000000">
      <w:pPr>
        <w:jc w:val="both"/>
      </w:pPr>
      <w:r>
        <w:rPr>
          <w:b/>
        </w:rPr>
        <w:t>(soit)</w:t>
      </w:r>
    </w:p>
    <w:p w14:paraId="7F26BC27" w14:textId="77777777" w:rsidR="00772179" w:rsidRDefault="00000000">
      <w:pPr>
        <w:jc w:val="both"/>
      </w:pPr>
      <w:r>
        <w:rPr>
          <w:rStyle w:val="optioncarChar"/>
        </w:rPr>
        <w:t>***</w:t>
      </w:r>
    </w:p>
    <w:p w14:paraId="0C0D2293" w14:textId="77777777" w:rsidR="00772179" w:rsidRDefault="00000000">
      <w:pPr>
        <w:jc w:val="both"/>
      </w:pPr>
      <w:r>
        <w:rPr>
          <w:u w:val="single"/>
        </w:rPr>
        <w:t>Equipements :</w:t>
      </w:r>
    </w:p>
    <w:p w14:paraId="6EF4255C" w14:textId="77777777" w:rsidR="00772179" w:rsidRDefault="00000000">
      <w:pPr>
        <w:jc w:val="both"/>
      </w:pPr>
      <w:r>
        <w:t xml:space="preserve">Les équipements techniques (luminaires, accessoires, d’automatisation, …) à intégrer dans le système de façade double peau sont décrits et comptés aux </w:t>
      </w:r>
      <w:r>
        <w:rPr>
          <w:rStyle w:val="optioncarChar"/>
        </w:rPr>
        <w:t>6 T6 HVAC - sanitaires / 7 T7 Electricité / ***</w:t>
      </w:r>
      <w:r>
        <w:t xml:space="preserve"> et suivants.</w:t>
      </w:r>
    </w:p>
    <w:p w14:paraId="274A30F6" w14:textId="77777777" w:rsidR="00772179" w:rsidRDefault="00000000">
      <w:pPr>
        <w:pStyle w:val="pheading"/>
      </w:pPr>
      <w:r>
        <w:lastRenderedPageBreak/>
        <w:t>MESURAGE</w:t>
      </w:r>
    </w:p>
    <w:p w14:paraId="64450EA1" w14:textId="77777777" w:rsidR="00772179" w:rsidRDefault="00000000">
      <w:pPr>
        <w:pStyle w:val="pheading"/>
      </w:pPr>
      <w:r>
        <w:t>- unité de mesure:</w:t>
      </w:r>
    </w:p>
    <w:p w14:paraId="484F1858" w14:textId="77777777" w:rsidR="00772179" w:rsidRDefault="00000000">
      <w:r>
        <w:rPr>
          <w:rStyle w:val="optioncarChar"/>
        </w:rPr>
        <w:t>-</w:t>
      </w:r>
      <w:r>
        <w:t xml:space="preserve"> (par défaut)</w:t>
      </w:r>
      <w:r>
        <w:rPr>
          <w:rStyle w:val="optioncarChar"/>
        </w:rPr>
        <w:t xml:space="preserve"> / fft</w:t>
      </w:r>
    </w:p>
    <w:p w14:paraId="1D65CA5A" w14:textId="77777777" w:rsidR="00772179" w:rsidRDefault="00000000">
      <w:r>
        <w:rPr>
          <w:b/>
        </w:rPr>
        <w:t>(soit par défaut)</w:t>
      </w:r>
      <w:r>
        <w:br/>
      </w:r>
      <w:r>
        <w:rPr>
          <w:rStyle w:val="soitChar"/>
        </w:rPr>
        <w:t>1. -</w:t>
      </w:r>
      <w:r>
        <w:br/>
      </w:r>
      <w:r>
        <w:rPr>
          <w:b/>
        </w:rPr>
        <w:t>(soit)</w:t>
      </w:r>
      <w:r>
        <w:br/>
      </w:r>
      <w:r>
        <w:rPr>
          <w:rStyle w:val="soitChar"/>
        </w:rPr>
        <w:t>2. fft</w:t>
      </w:r>
    </w:p>
    <w:p w14:paraId="6510A520" w14:textId="77777777" w:rsidR="00772179" w:rsidRDefault="00000000">
      <w:pPr>
        <w:pStyle w:val="pheading"/>
      </w:pPr>
      <w:r>
        <w:t>- code de mesurage:</w:t>
      </w:r>
    </w:p>
    <w:p w14:paraId="4A9BB2F0" w14:textId="77777777" w:rsidR="00772179" w:rsidRDefault="00000000">
      <w:pPr>
        <w:jc w:val="both"/>
      </w:pPr>
      <w:r>
        <w:rPr>
          <w:rStyle w:val="optioncarChar"/>
        </w:rPr>
        <w:t>Compris</w:t>
      </w:r>
      <w:r>
        <w:t xml:space="preserve"> (par défaut)</w:t>
      </w:r>
      <w:r>
        <w:rPr>
          <w:rStyle w:val="optioncarChar"/>
        </w:rPr>
        <w:t xml:space="preserve"> / Pour l'ensemble des prestations à réaliser</w:t>
      </w:r>
    </w:p>
    <w:p w14:paraId="522C73C2" w14:textId="77777777" w:rsidR="00772179" w:rsidRDefault="00000000">
      <w:pPr>
        <w:jc w:val="both"/>
      </w:pPr>
      <w:r>
        <w:rPr>
          <w:b/>
        </w:rPr>
        <w:t>(soit par défaut)</w:t>
      </w:r>
    </w:p>
    <w:p w14:paraId="0E61B9C3" w14:textId="77777777" w:rsidR="00772179" w:rsidRDefault="00000000">
      <w:pPr>
        <w:jc w:val="both"/>
      </w:pPr>
      <w:r>
        <w:rPr>
          <w:rStyle w:val="soitChar"/>
        </w:rPr>
        <w:t xml:space="preserve">1. </w:t>
      </w:r>
      <w:r>
        <w:rPr>
          <w:rStyle w:val="soitChar"/>
          <w:u w:val="single"/>
        </w:rPr>
        <w:t>Compris :</w:t>
      </w:r>
    </w:p>
    <w:p w14:paraId="562030F9" w14:textId="77777777" w:rsidR="00772179" w:rsidRDefault="00000000">
      <w:pPr>
        <w:jc w:val="both"/>
      </w:pPr>
      <w:r>
        <w:rPr>
          <w:rStyle w:val="soitChar"/>
        </w:rPr>
        <w:t>Tous les frais liés à ces prestations sont compris et répartis dans la totalité de l'entreprise.</w:t>
      </w:r>
    </w:p>
    <w:p w14:paraId="2C03B712" w14:textId="77777777" w:rsidR="00772179" w:rsidRDefault="00000000">
      <w:pPr>
        <w:jc w:val="both"/>
      </w:pPr>
      <w:r>
        <w:rPr>
          <w:b/>
        </w:rPr>
        <w:t>(soit)</w:t>
      </w:r>
    </w:p>
    <w:p w14:paraId="2592F59F" w14:textId="77777777" w:rsidR="00772179" w:rsidRDefault="00000000">
      <w:pPr>
        <w:jc w:val="both"/>
      </w:pPr>
      <w:r>
        <w:rPr>
          <w:rStyle w:val="soitChar"/>
        </w:rPr>
        <w:t xml:space="preserve">2. </w:t>
      </w:r>
      <w:r>
        <w:rPr>
          <w:rStyle w:val="soitChar"/>
          <w:u w:val="single"/>
        </w:rPr>
        <w:t>Pour l’ensemble des prestations à réaliser :</w:t>
      </w:r>
    </w:p>
    <w:p w14:paraId="11E5A490" w14:textId="77777777" w:rsidR="00772179" w:rsidRDefault="00000000">
      <w:pPr>
        <w:jc w:val="both"/>
      </w:pPr>
      <w:r>
        <w:rPr>
          <w:rStyle w:val="soitChar"/>
        </w:rPr>
        <w:t>Le prix unitaire comprend toutes les prestations nécessaires pour l’exécution de l’ensemble.</w:t>
      </w:r>
    </w:p>
    <w:p w14:paraId="31E6ECF3" w14:textId="77777777" w:rsidR="00772179" w:rsidRDefault="00000000">
      <w:pPr>
        <w:jc w:val="both"/>
      </w:pPr>
      <w:r>
        <w:rPr>
          <w:rStyle w:val="soitChar"/>
        </w:rPr>
        <w:t>Eventuellement scindé dans différents postes selon le type de système, le lieu, ...</w:t>
      </w:r>
    </w:p>
    <w:p w14:paraId="031CE871" w14:textId="77777777" w:rsidR="00772179" w:rsidRDefault="00000000">
      <w:pPr>
        <w:pStyle w:val="pheading"/>
      </w:pPr>
      <w:r>
        <w:t>- nature du marché:</w:t>
      </w:r>
    </w:p>
    <w:p w14:paraId="070DF971" w14:textId="77777777" w:rsidR="00772179" w:rsidRDefault="00000000">
      <w:r>
        <w:rPr>
          <w:rStyle w:val="optioncarChar"/>
        </w:rPr>
        <w:t>PM</w:t>
      </w:r>
      <w:r>
        <w:t xml:space="preserve"> (par défaut)</w:t>
      </w:r>
      <w:r>
        <w:rPr>
          <w:rStyle w:val="optioncarChar"/>
        </w:rPr>
        <w:t xml:space="preserve"> / PG</w:t>
      </w:r>
    </w:p>
    <w:p w14:paraId="3E2714FB" w14:textId="77777777" w:rsidR="00772179" w:rsidRDefault="00000000">
      <w:r>
        <w:rPr>
          <w:b/>
        </w:rPr>
        <w:t>(soit par défaut)</w:t>
      </w:r>
      <w:r>
        <w:br/>
      </w:r>
      <w:r>
        <w:rPr>
          <w:rStyle w:val="soitChar"/>
        </w:rPr>
        <w:t>1. PM</w:t>
      </w:r>
      <w:r>
        <w:br/>
      </w:r>
      <w:r>
        <w:rPr>
          <w:b/>
        </w:rPr>
        <w:t>(soit)</w:t>
      </w:r>
      <w:r>
        <w:br/>
      </w:r>
      <w:r>
        <w:rPr>
          <w:rStyle w:val="soitChar"/>
        </w:rPr>
        <w:t>2. PG</w:t>
      </w:r>
    </w:p>
    <w:p w14:paraId="7C5CC31A" w14:textId="77777777" w:rsidR="00772179" w:rsidRDefault="00000000">
      <w:pPr>
        <w:pStyle w:val="Author-eSectionHeading4Numberless"/>
      </w:pPr>
      <w:bookmarkStart w:id="220" w:name="_Toc220489959"/>
      <w:r>
        <w:t>41.45 Systèmes de façade synthétiques CCTB 01.02</w:t>
      </w:r>
      <w:bookmarkEnd w:id="220"/>
    </w:p>
    <w:p w14:paraId="0DB5BCE0" w14:textId="77777777" w:rsidR="00772179" w:rsidRDefault="00000000">
      <w:pPr>
        <w:pStyle w:val="Author-eSectionHeading5Numberless"/>
      </w:pPr>
      <w:bookmarkStart w:id="221" w:name="_Toc220489960"/>
      <w:r>
        <w:t>41.45.1 Systèmes de façade synthétiques</w:t>
      </w:r>
      <w:bookmarkEnd w:id="221"/>
    </w:p>
    <w:p w14:paraId="101B9DBE" w14:textId="77777777" w:rsidR="00772179" w:rsidRDefault="00000000">
      <w:pPr>
        <w:pStyle w:val="Author-eSectionHeading6Numberless"/>
      </w:pPr>
      <w:bookmarkStart w:id="222" w:name="_Toc220489961"/>
      <w:r>
        <w:t>41.45.1a Systèmes de façade synthétiques</w:t>
      </w:r>
      <w:bookmarkEnd w:id="222"/>
    </w:p>
    <w:p w14:paraId="0E7F36A0" w14:textId="77777777" w:rsidR="00772179" w:rsidRDefault="00000000">
      <w:pPr>
        <w:pStyle w:val="Author-eSectionHeading3Numberless"/>
      </w:pPr>
      <w:bookmarkStart w:id="223" w:name="_Toc220489962"/>
      <w:r>
        <w:t>41.5 Volets et protections solaires extérieures CCTB 01.02</w:t>
      </w:r>
      <w:bookmarkEnd w:id="223"/>
    </w:p>
    <w:p w14:paraId="415F5F3B" w14:textId="77777777" w:rsidR="00772179" w:rsidRDefault="00000000">
      <w:pPr>
        <w:pStyle w:val="Author-eSectionHeading4Numberless"/>
      </w:pPr>
      <w:bookmarkStart w:id="224" w:name="1346"/>
      <w:bookmarkStart w:id="225" w:name="_Toc220489963"/>
      <w:bookmarkEnd w:id="224"/>
      <w:r>
        <w:t>41.51 Volets CCTB 01.11</w:t>
      </w:r>
      <w:bookmarkEnd w:id="225"/>
    </w:p>
    <w:p w14:paraId="02D542BD" w14:textId="77777777" w:rsidR="00772179" w:rsidRDefault="00000000">
      <w:pPr>
        <w:pStyle w:val="pheading"/>
      </w:pPr>
      <w:r>
        <w:t>DESCRIPTION</w:t>
      </w:r>
    </w:p>
    <w:p w14:paraId="4A6DFA24" w14:textId="77777777" w:rsidR="00772179" w:rsidRDefault="00000000">
      <w:pPr>
        <w:pStyle w:val="pheading"/>
      </w:pPr>
      <w:r>
        <w:t>- Définition / Comprend</w:t>
      </w:r>
    </w:p>
    <w:p w14:paraId="78221ABB" w14:textId="77777777" w:rsidR="00772179" w:rsidRDefault="00000000">
      <w:pPr>
        <w:pStyle w:val="Author-eListParagraph"/>
        <w:numPr>
          <w:ilvl w:val="0"/>
          <w:numId w:val="517"/>
        </w:numPr>
        <w:jc w:val="both"/>
      </w:pPr>
      <w:r>
        <w:t>Il s'agit de la fourniture et la pose de volets pour fenêtres, afin d'assurer la fermeture, la protection et l’occultation des ouvertures de façade. Ils sont constitués d’un tablier enroulable ou pivotable ou coulissant glissant dans des guides latéraux et d’un mécanisme de manœuvre pour lever et baisser le volet. Conformément aux dispositions générales et/ou spécifiques du cahier spécial des charges, les prix unitaires compris dans les articles concernant les volets doivent toujours comprendre :</w:t>
      </w:r>
    </w:p>
    <w:p w14:paraId="4F687F1B" w14:textId="77777777" w:rsidR="00772179" w:rsidRDefault="00000000">
      <w:pPr>
        <w:pStyle w:val="Author-eListParagraph"/>
        <w:numPr>
          <w:ilvl w:val="0"/>
          <w:numId w:val="517"/>
        </w:numPr>
        <w:jc w:val="both"/>
      </w:pPr>
      <w:r>
        <w:t>les tabliers de volet et tous les accessoires prévus,</w:t>
      </w:r>
    </w:p>
    <w:p w14:paraId="76E0FC5B" w14:textId="77777777" w:rsidR="00772179" w:rsidRDefault="00000000">
      <w:pPr>
        <w:pStyle w:val="Author-eListParagraph"/>
        <w:numPr>
          <w:ilvl w:val="0"/>
          <w:numId w:val="517"/>
        </w:numPr>
        <w:jc w:val="both"/>
      </w:pPr>
      <w:r>
        <w:t>les coulisses latérales avec tous les accessoires nécessaires au raccordement à la structure environnante;</w:t>
      </w:r>
    </w:p>
    <w:p w14:paraId="303E2F30" w14:textId="77777777" w:rsidR="00772179" w:rsidRDefault="00000000">
      <w:pPr>
        <w:pStyle w:val="Author-eListParagraph"/>
        <w:numPr>
          <w:ilvl w:val="0"/>
          <w:numId w:val="517"/>
        </w:numPr>
        <w:jc w:val="both"/>
      </w:pPr>
      <w:r>
        <w:t>le mécanisme de commande et de manutention (manuel et/ou à entraînement électrique). </w:t>
      </w:r>
    </w:p>
    <w:p w14:paraId="5CA50F4A" w14:textId="77777777" w:rsidR="00772179" w:rsidRDefault="00000000">
      <w:pPr>
        <w:pStyle w:val="Author-eListParagraph"/>
        <w:numPr>
          <w:ilvl w:val="0"/>
          <w:numId w:val="517"/>
        </w:numPr>
        <w:jc w:val="both"/>
      </w:pPr>
      <w:r>
        <w:t>le relevé, la vérification sur place des dimensions exactes;</w:t>
      </w:r>
    </w:p>
    <w:p w14:paraId="43487555" w14:textId="77777777" w:rsidR="00772179" w:rsidRDefault="00000000">
      <w:pPr>
        <w:pStyle w:val="Author-eListParagraph"/>
        <w:numPr>
          <w:ilvl w:val="0"/>
          <w:numId w:val="517"/>
        </w:numPr>
        <w:jc w:val="both"/>
      </w:pPr>
      <w:r>
        <w:t>le montage des profils de montage et de finition en combinaison avec les menuiseries extérieures des tabliers (feuilles) de volets, des guides, dispositifs de manœuvre;</w:t>
      </w:r>
    </w:p>
    <w:p w14:paraId="4DCA037D" w14:textId="77777777" w:rsidR="00772179" w:rsidRDefault="00000000">
      <w:pPr>
        <w:pStyle w:val="Author-eListParagraph"/>
        <w:numPr>
          <w:ilvl w:val="0"/>
          <w:numId w:val="517"/>
        </w:numPr>
        <w:jc w:val="both"/>
      </w:pPr>
      <w:r>
        <w:lastRenderedPageBreak/>
        <w:t>la fourniture et la pose, y compris tous les moyens de fixation et/ou d’ancrage, ainsi que tous les ragréages étanches et la finition des joints entre la menuiserie et le gros-œuvre, … </w:t>
      </w:r>
    </w:p>
    <w:p w14:paraId="59F4A26F" w14:textId="77777777" w:rsidR="00772179" w:rsidRDefault="00000000">
      <w:pPr>
        <w:pStyle w:val="Author-eListParagraph"/>
        <w:numPr>
          <w:ilvl w:val="0"/>
          <w:numId w:val="517"/>
        </w:numPr>
        <w:jc w:val="both"/>
      </w:pPr>
      <w:r>
        <w:t> </w:t>
      </w:r>
    </w:p>
    <w:p w14:paraId="190855DE" w14:textId="77777777" w:rsidR="00772179" w:rsidRDefault="00000000">
      <w:pPr>
        <w:jc w:val="both"/>
      </w:pPr>
      <w:r>
        <w:t>L'habillage des caisses à volets et leur isolation sont repris comme possibilité séparée sous les sous-titres 55.51 Habillage de fenêtres et 55.52 Habillage de portes.</w:t>
      </w:r>
    </w:p>
    <w:p w14:paraId="6FD2DB72" w14:textId="77777777" w:rsidR="00772179" w:rsidRDefault="00000000">
      <w:pPr>
        <w:pStyle w:val="pheading"/>
      </w:pPr>
      <w:r>
        <w:t>- Remarques importantes</w:t>
      </w:r>
    </w:p>
    <w:p w14:paraId="07398E4B" w14:textId="77777777" w:rsidR="00772179" w:rsidRDefault="00000000">
      <w:pPr>
        <w:pStyle w:val="Author-eListParagraph"/>
        <w:numPr>
          <w:ilvl w:val="0"/>
          <w:numId w:val="518"/>
        </w:numPr>
        <w:jc w:val="both"/>
      </w:pPr>
      <w:r>
        <w:t>Les éventuels travaux de démolition de la menuiserie existante, sont compris si nécessaire dans un élément séparé (voir 06.23.2a Démolitions d'éléments de fermetures et de finitions extérieures (y compris décapages))</w:t>
      </w:r>
    </w:p>
    <w:p w14:paraId="461479AF" w14:textId="77777777" w:rsidR="00772179" w:rsidRDefault="00000000">
      <w:pPr>
        <w:pStyle w:val="pheading"/>
      </w:pPr>
      <w:r>
        <w:t>MATÉRIAUX</w:t>
      </w:r>
    </w:p>
    <w:p w14:paraId="1A8D0F62" w14:textId="77777777" w:rsidR="00772179" w:rsidRDefault="00000000">
      <w:pPr>
        <w:jc w:val="both"/>
      </w:pPr>
      <w:r>
        <w:t>L'entrepreneur soumet, avant l'exécution, à l'approbation du maître d’ouvrage et de l’auteur de projet :</w:t>
      </w:r>
    </w:p>
    <w:p w14:paraId="3093F027" w14:textId="77777777" w:rsidR="00772179" w:rsidRDefault="00000000">
      <w:pPr>
        <w:pStyle w:val="Author-eListParagraph"/>
        <w:numPr>
          <w:ilvl w:val="0"/>
          <w:numId w:val="519"/>
        </w:numPr>
      </w:pPr>
      <w:r>
        <w:t>les notes de calcul nécessaires, les certificats de garantie et autres marquages, …</w:t>
      </w:r>
    </w:p>
    <w:p w14:paraId="3670E1EF" w14:textId="77777777" w:rsidR="00772179" w:rsidRDefault="00000000">
      <w:pPr>
        <w:pStyle w:val="Author-eListParagraph"/>
        <w:numPr>
          <w:ilvl w:val="0"/>
          <w:numId w:val="519"/>
        </w:numPr>
      </w:pPr>
      <w:r>
        <w:t>les dessins de détail et bordereaux de commande,</w:t>
      </w:r>
    </w:p>
    <w:p w14:paraId="23985888" w14:textId="77777777" w:rsidR="00772179" w:rsidRDefault="00000000">
      <w:pPr>
        <w:pStyle w:val="Author-eListParagraph"/>
        <w:numPr>
          <w:ilvl w:val="0"/>
          <w:numId w:val="519"/>
        </w:numPr>
      </w:pPr>
      <w:r>
        <w:t>les échantillons et/ou les prototypes des différentes composantes, c'est-à-dire au moins un échantillon du tablier de volet.  Cet échantillon reste à la disposition de l’auteur de projet ou du maître de l’ouvrage jusqu'à la réception provisoire.</w:t>
      </w:r>
    </w:p>
    <w:p w14:paraId="2689108E" w14:textId="77777777" w:rsidR="00772179" w:rsidRDefault="00000000">
      <w:pPr>
        <w:pStyle w:val="Author-eListParagraph"/>
        <w:numPr>
          <w:ilvl w:val="0"/>
          <w:numId w:val="519"/>
        </w:numPr>
      </w:pPr>
      <w:r>
        <w:t>une carte de couleurs de la gamme des couleurs livrées par le fabricant.  </w:t>
      </w:r>
    </w:p>
    <w:p w14:paraId="734CE56F" w14:textId="77777777" w:rsidR="00772179" w:rsidRDefault="00000000">
      <w:pPr>
        <w:pStyle w:val="Author-eListParagraph"/>
        <w:numPr>
          <w:ilvl w:val="0"/>
          <w:numId w:val="519"/>
        </w:numPr>
      </w:pPr>
      <w:r>
        <w:t>La terminologie des éléments constituants les volets, fermetures, stores extérieurs et stores intérieurs est conforme à la norme [NBN EN 12216].</w:t>
      </w:r>
    </w:p>
    <w:p w14:paraId="680AC8F6" w14:textId="77777777" w:rsidR="00772179" w:rsidRDefault="00000000">
      <w:pPr>
        <w:jc w:val="both"/>
      </w:pPr>
      <w:r>
        <w:rPr>
          <w:b/>
          <w:u w:val="single"/>
        </w:rPr>
        <w:t>Critères de performances.</w:t>
      </w:r>
    </w:p>
    <w:p w14:paraId="00CC661B" w14:textId="77777777" w:rsidR="00772179" w:rsidRDefault="00000000">
      <w:pPr>
        <w:jc w:val="both"/>
      </w:pPr>
      <w:r>
        <w:t>Les fermetures, stores extérieurs et volets doivent annoncer les performances définies dans le marquage CE de la norme produit [NBN EN 13659]. Les exigences en termes de résistance mécanique, de manœuvre, résistance aux fausses manœuvres, aux charges accidentelles, d’endurance mécanique, de résistance aux chocs, de résistance à l’effraction, de sécurité d’utilisation, de résistance thermique additionnelle, de facteur de transmission de l’énergie solaire et d’isolation acoustique sont décrites ci-dessous.  D’autres performances spécifiques sont reprises dans la norme [NBN EN 13659].</w:t>
      </w:r>
    </w:p>
    <w:p w14:paraId="3C75BA07" w14:textId="77777777" w:rsidR="00772179" w:rsidRDefault="00000000">
      <w:pPr>
        <w:jc w:val="both"/>
      </w:pPr>
      <w:r>
        <w:rPr>
          <w:b/>
          <w:u w:val="single"/>
        </w:rPr>
        <w:t>Résistance mécanique</w:t>
      </w:r>
    </w:p>
    <w:p w14:paraId="0B6E7C6F" w14:textId="77777777" w:rsidR="00772179" w:rsidRDefault="00000000">
      <w:pPr>
        <w:jc w:val="both"/>
      </w:pPr>
      <w:r>
        <w:t>La résistance au vent est classifiée selon la norme [NBN EN 13659] d’après les essais réalisés selon la norme [NBN EN 1932].  Les classes correspondent aux pressions de vent déterminées pour le chantier. </w:t>
      </w:r>
    </w:p>
    <w:tbl>
      <w:tblPr>
        <w:tblStyle w:val="Author-eTableGrid"/>
        <w:tblW w:w="9030" w:type="dxa"/>
        <w:tblLayout w:type="fixed"/>
        <w:tblLook w:val="04A0" w:firstRow="1" w:lastRow="0" w:firstColumn="1" w:lastColumn="0" w:noHBand="0" w:noVBand="1"/>
      </w:tblPr>
      <w:tblGrid>
        <w:gridCol w:w="2826"/>
        <w:gridCol w:w="887"/>
        <w:gridCol w:w="887"/>
        <w:gridCol w:w="886"/>
        <w:gridCol w:w="886"/>
        <w:gridCol w:w="886"/>
        <w:gridCol w:w="886"/>
        <w:gridCol w:w="886"/>
      </w:tblGrid>
      <w:tr w:rsidR="00772179" w14:paraId="485659BC" w14:textId="77777777">
        <w:tc>
          <w:tcPr>
            <w:tcW w:w="2820" w:type="dxa"/>
            <w:noWrap/>
          </w:tcPr>
          <w:p w14:paraId="28A85DC1" w14:textId="77777777" w:rsidR="00772179" w:rsidRDefault="00772179"/>
        </w:tc>
        <w:tc>
          <w:tcPr>
            <w:tcW w:w="6195" w:type="dxa"/>
            <w:gridSpan w:val="7"/>
            <w:noWrap/>
          </w:tcPr>
          <w:p w14:paraId="5E218E20" w14:textId="77777777" w:rsidR="00772179" w:rsidRDefault="00000000">
            <w:r>
              <w:t>Classes</w:t>
            </w:r>
          </w:p>
        </w:tc>
      </w:tr>
      <w:tr w:rsidR="00772179" w14:paraId="70C3B5D8" w14:textId="77777777">
        <w:tc>
          <w:tcPr>
            <w:tcW w:w="2820" w:type="dxa"/>
            <w:noWrap/>
          </w:tcPr>
          <w:p w14:paraId="33BD61A8" w14:textId="77777777" w:rsidR="00772179" w:rsidRDefault="00772179"/>
        </w:tc>
        <w:tc>
          <w:tcPr>
            <w:tcW w:w="885" w:type="dxa"/>
            <w:noWrap/>
          </w:tcPr>
          <w:p w14:paraId="03583424" w14:textId="77777777" w:rsidR="00772179" w:rsidRDefault="00000000">
            <w:r>
              <w:t>0</w:t>
            </w:r>
          </w:p>
        </w:tc>
        <w:tc>
          <w:tcPr>
            <w:tcW w:w="885" w:type="dxa"/>
            <w:noWrap/>
          </w:tcPr>
          <w:p w14:paraId="69D4EED7" w14:textId="77777777" w:rsidR="00772179" w:rsidRDefault="00000000">
            <w:r>
              <w:t>1</w:t>
            </w:r>
          </w:p>
        </w:tc>
        <w:tc>
          <w:tcPr>
            <w:tcW w:w="885" w:type="dxa"/>
            <w:noWrap/>
          </w:tcPr>
          <w:p w14:paraId="28DB9CED" w14:textId="77777777" w:rsidR="00772179" w:rsidRDefault="00000000">
            <w:r>
              <w:t>2</w:t>
            </w:r>
          </w:p>
        </w:tc>
        <w:tc>
          <w:tcPr>
            <w:tcW w:w="885" w:type="dxa"/>
            <w:noWrap/>
          </w:tcPr>
          <w:p w14:paraId="0C1FFC61" w14:textId="77777777" w:rsidR="00772179" w:rsidRDefault="00000000">
            <w:r>
              <w:t>3</w:t>
            </w:r>
          </w:p>
        </w:tc>
        <w:tc>
          <w:tcPr>
            <w:tcW w:w="885" w:type="dxa"/>
            <w:noWrap/>
          </w:tcPr>
          <w:p w14:paraId="4221C544" w14:textId="77777777" w:rsidR="00772179" w:rsidRDefault="00000000">
            <w:r>
              <w:t>4</w:t>
            </w:r>
          </w:p>
        </w:tc>
        <w:tc>
          <w:tcPr>
            <w:tcW w:w="885" w:type="dxa"/>
            <w:noWrap/>
          </w:tcPr>
          <w:p w14:paraId="2499AC1A" w14:textId="77777777" w:rsidR="00772179" w:rsidRDefault="00000000">
            <w:r>
              <w:t>5</w:t>
            </w:r>
          </w:p>
        </w:tc>
        <w:tc>
          <w:tcPr>
            <w:tcW w:w="885" w:type="dxa"/>
            <w:noWrap/>
          </w:tcPr>
          <w:p w14:paraId="366C3896" w14:textId="77777777" w:rsidR="00772179" w:rsidRDefault="00000000">
            <w:r>
              <w:t>6</w:t>
            </w:r>
          </w:p>
        </w:tc>
      </w:tr>
      <w:tr w:rsidR="00772179" w14:paraId="157D0F7C" w14:textId="77777777">
        <w:tc>
          <w:tcPr>
            <w:tcW w:w="2820" w:type="dxa"/>
            <w:noWrap/>
          </w:tcPr>
          <w:p w14:paraId="1F241A21" w14:textId="77777777" w:rsidR="00772179" w:rsidRDefault="00000000">
            <w:r>
              <w:t>Pression nominale (Pa)</w:t>
            </w:r>
          </w:p>
        </w:tc>
        <w:tc>
          <w:tcPr>
            <w:tcW w:w="885" w:type="dxa"/>
            <w:noWrap/>
          </w:tcPr>
          <w:p w14:paraId="470B24CD" w14:textId="77777777" w:rsidR="00772179" w:rsidRDefault="00000000">
            <w:r>
              <w:t>&lt;50</w:t>
            </w:r>
          </w:p>
        </w:tc>
        <w:tc>
          <w:tcPr>
            <w:tcW w:w="885" w:type="dxa"/>
            <w:noWrap/>
          </w:tcPr>
          <w:p w14:paraId="118FAAE3" w14:textId="77777777" w:rsidR="00772179" w:rsidRDefault="00000000">
            <w:r>
              <w:t>50</w:t>
            </w:r>
          </w:p>
        </w:tc>
        <w:tc>
          <w:tcPr>
            <w:tcW w:w="885" w:type="dxa"/>
            <w:noWrap/>
          </w:tcPr>
          <w:p w14:paraId="4F9B74D8" w14:textId="77777777" w:rsidR="00772179" w:rsidRDefault="00000000">
            <w:r>
              <w:t>70</w:t>
            </w:r>
          </w:p>
        </w:tc>
        <w:tc>
          <w:tcPr>
            <w:tcW w:w="885" w:type="dxa"/>
            <w:noWrap/>
          </w:tcPr>
          <w:p w14:paraId="19DE6D05" w14:textId="77777777" w:rsidR="00772179" w:rsidRDefault="00000000">
            <w:r>
              <w:t>100</w:t>
            </w:r>
          </w:p>
        </w:tc>
        <w:tc>
          <w:tcPr>
            <w:tcW w:w="885" w:type="dxa"/>
            <w:noWrap/>
          </w:tcPr>
          <w:p w14:paraId="05091789" w14:textId="77777777" w:rsidR="00772179" w:rsidRDefault="00000000">
            <w:r>
              <w:t>170</w:t>
            </w:r>
          </w:p>
        </w:tc>
        <w:tc>
          <w:tcPr>
            <w:tcW w:w="885" w:type="dxa"/>
            <w:noWrap/>
          </w:tcPr>
          <w:p w14:paraId="48D89785" w14:textId="77777777" w:rsidR="00772179" w:rsidRDefault="00000000">
            <w:r>
              <w:t>270</w:t>
            </w:r>
          </w:p>
        </w:tc>
        <w:tc>
          <w:tcPr>
            <w:tcW w:w="885" w:type="dxa"/>
            <w:noWrap/>
          </w:tcPr>
          <w:p w14:paraId="38399E5C" w14:textId="77777777" w:rsidR="00772179" w:rsidRDefault="00000000">
            <w:r>
              <w:t>400</w:t>
            </w:r>
          </w:p>
        </w:tc>
      </w:tr>
      <w:tr w:rsidR="00772179" w14:paraId="157630C2" w14:textId="77777777">
        <w:tc>
          <w:tcPr>
            <w:tcW w:w="2820" w:type="dxa"/>
            <w:noWrap/>
          </w:tcPr>
          <w:p w14:paraId="79C7B646" w14:textId="77777777" w:rsidR="00772179" w:rsidRDefault="00000000">
            <w:r>
              <w:t>Pression de sécurité (Pa)</w:t>
            </w:r>
          </w:p>
        </w:tc>
        <w:tc>
          <w:tcPr>
            <w:tcW w:w="885" w:type="dxa"/>
            <w:noWrap/>
          </w:tcPr>
          <w:p w14:paraId="7DA89E67" w14:textId="77777777" w:rsidR="00772179" w:rsidRDefault="00000000">
            <w:r>
              <w:t>&lt;75</w:t>
            </w:r>
          </w:p>
        </w:tc>
        <w:tc>
          <w:tcPr>
            <w:tcW w:w="885" w:type="dxa"/>
            <w:noWrap/>
          </w:tcPr>
          <w:p w14:paraId="48D1C2BD" w14:textId="77777777" w:rsidR="00772179" w:rsidRDefault="00000000">
            <w:r>
              <w:t>75</w:t>
            </w:r>
          </w:p>
        </w:tc>
        <w:tc>
          <w:tcPr>
            <w:tcW w:w="885" w:type="dxa"/>
            <w:noWrap/>
          </w:tcPr>
          <w:p w14:paraId="3228A71A" w14:textId="77777777" w:rsidR="00772179" w:rsidRDefault="00000000">
            <w:r>
              <w:t>100</w:t>
            </w:r>
          </w:p>
        </w:tc>
        <w:tc>
          <w:tcPr>
            <w:tcW w:w="885" w:type="dxa"/>
            <w:noWrap/>
          </w:tcPr>
          <w:p w14:paraId="5C9F4D23" w14:textId="77777777" w:rsidR="00772179" w:rsidRDefault="00000000">
            <w:r>
              <w:t>150</w:t>
            </w:r>
          </w:p>
        </w:tc>
        <w:tc>
          <w:tcPr>
            <w:tcW w:w="885" w:type="dxa"/>
            <w:noWrap/>
          </w:tcPr>
          <w:p w14:paraId="665F167F" w14:textId="77777777" w:rsidR="00772179" w:rsidRDefault="00000000">
            <w:r>
              <w:t>250</w:t>
            </w:r>
          </w:p>
        </w:tc>
        <w:tc>
          <w:tcPr>
            <w:tcW w:w="885" w:type="dxa"/>
            <w:noWrap/>
          </w:tcPr>
          <w:p w14:paraId="68EEFDB8" w14:textId="77777777" w:rsidR="00772179" w:rsidRDefault="00000000">
            <w:r>
              <w:t>400</w:t>
            </w:r>
          </w:p>
        </w:tc>
        <w:tc>
          <w:tcPr>
            <w:tcW w:w="885" w:type="dxa"/>
            <w:noWrap/>
          </w:tcPr>
          <w:p w14:paraId="33887827" w14:textId="77777777" w:rsidR="00772179" w:rsidRDefault="00000000">
            <w:r>
              <w:t>600</w:t>
            </w:r>
          </w:p>
        </w:tc>
      </w:tr>
    </w:tbl>
    <w:p w14:paraId="72394BFA" w14:textId="77777777" w:rsidR="00772179" w:rsidRDefault="00772179"/>
    <w:p w14:paraId="1B24BD4B" w14:textId="77777777" w:rsidR="00772179" w:rsidRDefault="00000000">
      <w:pPr>
        <w:jc w:val="both"/>
      </w:pPr>
      <w:r>
        <w:t>La résistance des éléments non rétractables aux charges de pression est vérifiée selon la norme [NBN EN 13659] pour une pression de 800 Pa.</w:t>
      </w:r>
    </w:p>
    <w:p w14:paraId="6B7EA94E" w14:textId="77777777" w:rsidR="00772179" w:rsidRDefault="00000000">
      <w:pPr>
        <w:jc w:val="both"/>
      </w:pPr>
      <w:r>
        <w:t>La résistance à la charge de neige ne s’applique qu’aux volets roulants de toit et de véranda dont l’angle d’inclinaison par rapport à l’horizontale est &lt; 60°. La performance est déterminée selon la norme [NBN EN 12833]. La détermination de la charge de neige est déterminée suivant la [NBN EN 1991-1-3].</w:t>
      </w:r>
    </w:p>
    <w:p w14:paraId="753204FA" w14:textId="77777777" w:rsidR="00772179" w:rsidRDefault="00000000">
      <w:pPr>
        <w:jc w:val="both"/>
      </w:pPr>
      <w:r>
        <w:rPr>
          <w:b/>
          <w:u w:val="single"/>
        </w:rPr>
        <w:t>Manoeuvre des stores et volets</w:t>
      </w:r>
    </w:p>
    <w:p w14:paraId="1AF5DD8A" w14:textId="77777777" w:rsidR="00772179" w:rsidRDefault="00000000">
      <w:pPr>
        <w:jc w:val="both"/>
      </w:pPr>
      <w:r>
        <w:t>Les efforts de manœuvre manuels sont déterminés selon la norme [NBN EN 13527]. Cette manœuvre manuelle est spécifiée selon deux classes :</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772179" w14:paraId="1727881D" w14:textId="77777777">
        <w:tc>
          <w:tcPr>
            <w:tcW w:w="4500" w:type="dxa"/>
            <w:gridSpan w:val="2"/>
            <w:vMerge w:val="restart"/>
            <w:noWrap/>
          </w:tcPr>
          <w:p w14:paraId="6540AE34" w14:textId="77777777" w:rsidR="00772179" w:rsidRDefault="00000000">
            <w:pPr>
              <w:jc w:val="center"/>
            </w:pPr>
            <w:r>
              <w:t>Types de manœuvre</w:t>
            </w:r>
          </w:p>
        </w:tc>
        <w:tc>
          <w:tcPr>
            <w:tcW w:w="4500" w:type="dxa"/>
            <w:gridSpan w:val="2"/>
            <w:noWrap/>
          </w:tcPr>
          <w:p w14:paraId="7D67EE22" w14:textId="77777777" w:rsidR="00772179" w:rsidRDefault="00000000">
            <w:pPr>
              <w:jc w:val="center"/>
            </w:pPr>
            <w:r>
              <w:t>Effort de manœuvre</w:t>
            </w:r>
          </w:p>
        </w:tc>
      </w:tr>
      <w:tr w:rsidR="00772179" w14:paraId="23FEC919" w14:textId="77777777">
        <w:tc>
          <w:tcPr>
            <w:tcW w:w="4500" w:type="dxa"/>
            <w:gridSpan w:val="2"/>
            <w:vMerge/>
            <w:noWrap/>
          </w:tcPr>
          <w:p w14:paraId="629D7A74" w14:textId="77777777" w:rsidR="00772179" w:rsidRDefault="00772179"/>
        </w:tc>
        <w:tc>
          <w:tcPr>
            <w:tcW w:w="2250" w:type="dxa"/>
            <w:noWrap/>
          </w:tcPr>
          <w:p w14:paraId="4E6F9DA4" w14:textId="77777777" w:rsidR="00772179" w:rsidRDefault="00000000">
            <w:pPr>
              <w:jc w:val="center"/>
            </w:pPr>
            <w:r>
              <w:t>Classe 1</w:t>
            </w:r>
          </w:p>
        </w:tc>
        <w:tc>
          <w:tcPr>
            <w:tcW w:w="2250" w:type="dxa"/>
            <w:noWrap/>
          </w:tcPr>
          <w:p w14:paraId="2AFF6CD4" w14:textId="77777777" w:rsidR="00772179" w:rsidRDefault="00000000">
            <w:pPr>
              <w:jc w:val="center"/>
            </w:pPr>
            <w:r>
              <w:t>Classe 2</w:t>
            </w:r>
          </w:p>
        </w:tc>
      </w:tr>
      <w:tr w:rsidR="00772179" w14:paraId="3B6BC181" w14:textId="77777777">
        <w:tc>
          <w:tcPr>
            <w:tcW w:w="4500" w:type="dxa"/>
            <w:gridSpan w:val="2"/>
            <w:noWrap/>
          </w:tcPr>
          <w:p w14:paraId="007593E3" w14:textId="77777777" w:rsidR="00772179" w:rsidRDefault="00000000">
            <w:r>
              <w:t>Manivelle à tige oscillante, à enroulement</w:t>
            </w:r>
          </w:p>
        </w:tc>
        <w:tc>
          <w:tcPr>
            <w:tcW w:w="2250" w:type="dxa"/>
            <w:noWrap/>
          </w:tcPr>
          <w:p w14:paraId="39B709BD" w14:textId="77777777" w:rsidR="00772179" w:rsidRDefault="00000000">
            <w:pPr>
              <w:jc w:val="center"/>
            </w:pPr>
            <w:r>
              <w:t>30</w:t>
            </w:r>
          </w:p>
        </w:tc>
        <w:tc>
          <w:tcPr>
            <w:tcW w:w="2250" w:type="dxa"/>
            <w:noWrap/>
          </w:tcPr>
          <w:p w14:paraId="3DFD59D3" w14:textId="77777777" w:rsidR="00772179" w:rsidRDefault="00000000">
            <w:pPr>
              <w:jc w:val="center"/>
            </w:pPr>
            <w:r>
              <w:t>15</w:t>
            </w:r>
          </w:p>
        </w:tc>
      </w:tr>
      <w:tr w:rsidR="00772179" w14:paraId="1D3E2987" w14:textId="77777777">
        <w:tc>
          <w:tcPr>
            <w:tcW w:w="4500" w:type="dxa"/>
            <w:gridSpan w:val="2"/>
            <w:noWrap/>
          </w:tcPr>
          <w:p w14:paraId="2FEB4124" w14:textId="77777777" w:rsidR="00772179" w:rsidRDefault="00000000">
            <w:r>
              <w:t>Sangle, corde ou cordon, chaîne ou chaînette</w:t>
            </w:r>
          </w:p>
        </w:tc>
        <w:tc>
          <w:tcPr>
            <w:tcW w:w="2250" w:type="dxa"/>
            <w:noWrap/>
          </w:tcPr>
          <w:p w14:paraId="6F2EBC4B" w14:textId="77777777" w:rsidR="00772179" w:rsidRDefault="00000000">
            <w:pPr>
              <w:jc w:val="center"/>
            </w:pPr>
            <w:r>
              <w:t>90</w:t>
            </w:r>
          </w:p>
        </w:tc>
        <w:tc>
          <w:tcPr>
            <w:tcW w:w="2250" w:type="dxa"/>
            <w:noWrap/>
          </w:tcPr>
          <w:p w14:paraId="6EFA8E9E" w14:textId="77777777" w:rsidR="00772179" w:rsidRDefault="00000000">
            <w:pPr>
              <w:jc w:val="center"/>
            </w:pPr>
            <w:r>
              <w:t>50</w:t>
            </w:r>
          </w:p>
        </w:tc>
      </w:tr>
      <w:tr w:rsidR="00772179" w14:paraId="73A62F96" w14:textId="77777777">
        <w:tc>
          <w:tcPr>
            <w:tcW w:w="2250" w:type="dxa"/>
            <w:vMerge w:val="restart"/>
            <w:noWrap/>
          </w:tcPr>
          <w:p w14:paraId="74CBE9B2" w14:textId="77777777" w:rsidR="00772179" w:rsidRDefault="00772179"/>
          <w:p w14:paraId="4DD140B5" w14:textId="77777777" w:rsidR="00772179" w:rsidRDefault="00000000">
            <w:r>
              <w:t>Bâton ou à tirage direct</w:t>
            </w:r>
          </w:p>
        </w:tc>
        <w:tc>
          <w:tcPr>
            <w:tcW w:w="2250" w:type="dxa"/>
            <w:noWrap/>
          </w:tcPr>
          <w:p w14:paraId="6FAC4115" w14:textId="77777777" w:rsidR="00772179" w:rsidRDefault="00000000">
            <w:r>
              <w:t>Mouvement vertical</w:t>
            </w:r>
          </w:p>
        </w:tc>
        <w:tc>
          <w:tcPr>
            <w:tcW w:w="2250" w:type="dxa"/>
            <w:noWrap/>
          </w:tcPr>
          <w:p w14:paraId="3E49C0F5" w14:textId="77777777" w:rsidR="00772179" w:rsidRDefault="00000000">
            <w:pPr>
              <w:jc w:val="center"/>
            </w:pPr>
            <w:r>
              <w:t>90</w:t>
            </w:r>
          </w:p>
        </w:tc>
        <w:tc>
          <w:tcPr>
            <w:tcW w:w="2250" w:type="dxa"/>
            <w:noWrap/>
          </w:tcPr>
          <w:p w14:paraId="2E7C5A6F" w14:textId="77777777" w:rsidR="00772179" w:rsidRDefault="00000000">
            <w:pPr>
              <w:jc w:val="center"/>
            </w:pPr>
            <w:r>
              <w:t>50</w:t>
            </w:r>
          </w:p>
        </w:tc>
      </w:tr>
      <w:tr w:rsidR="00772179" w14:paraId="658AD150" w14:textId="77777777">
        <w:tc>
          <w:tcPr>
            <w:tcW w:w="2250" w:type="dxa"/>
            <w:vMerge/>
            <w:noWrap/>
          </w:tcPr>
          <w:p w14:paraId="497C7079" w14:textId="77777777" w:rsidR="00772179" w:rsidRDefault="00772179"/>
        </w:tc>
        <w:tc>
          <w:tcPr>
            <w:tcW w:w="2250" w:type="dxa"/>
            <w:noWrap/>
          </w:tcPr>
          <w:p w14:paraId="45F3A9D9" w14:textId="77777777" w:rsidR="00772179" w:rsidRDefault="00000000">
            <w:r>
              <w:t>Mouvement horizontal ou incliné</w:t>
            </w:r>
          </w:p>
        </w:tc>
        <w:tc>
          <w:tcPr>
            <w:tcW w:w="2250" w:type="dxa"/>
            <w:noWrap/>
          </w:tcPr>
          <w:p w14:paraId="2FC7C625" w14:textId="77777777" w:rsidR="00772179" w:rsidRDefault="00000000">
            <w:pPr>
              <w:jc w:val="center"/>
            </w:pPr>
            <w:r>
              <w:t>50</w:t>
            </w:r>
          </w:p>
        </w:tc>
        <w:tc>
          <w:tcPr>
            <w:tcW w:w="2250" w:type="dxa"/>
            <w:noWrap/>
          </w:tcPr>
          <w:p w14:paraId="1E094AE4" w14:textId="77777777" w:rsidR="00772179" w:rsidRDefault="00000000">
            <w:pPr>
              <w:jc w:val="center"/>
            </w:pPr>
            <w:r>
              <w:t>30</w:t>
            </w:r>
          </w:p>
        </w:tc>
      </w:tr>
    </w:tbl>
    <w:p w14:paraId="198CC4A7" w14:textId="77777777" w:rsidR="00772179" w:rsidRDefault="00772179"/>
    <w:p w14:paraId="4861054C" w14:textId="77777777" w:rsidR="00772179" w:rsidRDefault="00000000">
      <w:pPr>
        <w:jc w:val="both"/>
      </w:pPr>
      <w:r>
        <w:t>L’organe de manœuvre respecte les exigences de la norme [NBN EN 13659].</w:t>
      </w:r>
    </w:p>
    <w:p w14:paraId="4D150B27" w14:textId="77777777" w:rsidR="00772179" w:rsidRDefault="00772179">
      <w:pPr>
        <w:jc w:val="both"/>
      </w:pPr>
    </w:p>
    <w:p w14:paraId="3B59A924" w14:textId="77777777" w:rsidR="00772179" w:rsidRDefault="00772179">
      <w:pPr>
        <w:jc w:val="both"/>
      </w:pPr>
    </w:p>
    <w:p w14:paraId="79BA98F9" w14:textId="77777777" w:rsidR="00772179" w:rsidRDefault="00000000">
      <w:pPr>
        <w:jc w:val="both"/>
      </w:pPr>
      <w:r>
        <w:rPr>
          <w:b/>
          <w:u w:val="single"/>
        </w:rPr>
        <w:t>Compatibilité électromagnétique</w:t>
      </w:r>
    </w:p>
    <w:p w14:paraId="068B92EE" w14:textId="77777777" w:rsidR="00772179" w:rsidRDefault="00000000">
      <w:pPr>
        <w:jc w:val="both"/>
      </w:pPr>
      <w:r>
        <w:t>Pour les ouvertures motorisées, les perturbations électromagnétiques générées par les systèmes d’ouverture ne peuvent pas dépasser les niveaux spécifiés dans la [NBN EN IEC 61000-6-3]. L’immunité des moteurs par rapport aux perturbations électromagnétiques est suffisante pour les perturbations du réseau spécifiée dans la [NBN EN IEC 61000-6-2].</w:t>
      </w:r>
    </w:p>
    <w:p w14:paraId="33905B5A" w14:textId="77777777" w:rsidR="00772179" w:rsidRDefault="00772179">
      <w:pPr>
        <w:jc w:val="both"/>
      </w:pPr>
    </w:p>
    <w:p w14:paraId="440D4996" w14:textId="77777777" w:rsidR="00772179" w:rsidRDefault="00772179">
      <w:pPr>
        <w:jc w:val="both"/>
      </w:pPr>
    </w:p>
    <w:p w14:paraId="4CCCDAAE" w14:textId="77777777" w:rsidR="00772179" w:rsidRDefault="00000000">
      <w:pPr>
        <w:jc w:val="both"/>
      </w:pPr>
      <w:r>
        <w:rPr>
          <w:b/>
          <w:u w:val="single"/>
        </w:rPr>
        <w:t>Résistance aux charges accidentelles</w:t>
      </w:r>
    </w:p>
    <w:p w14:paraId="69EE2138" w14:textId="77777777" w:rsidR="00772179" w:rsidRDefault="00000000">
      <w:pPr>
        <w:jc w:val="both"/>
      </w:pPr>
      <w:r>
        <w:t>Les stores et volets permettent une résistance aux fausses manœuvres et charges au nez et des organes maintenant la fermeture ou l’ouverture en position déployée tels que spécifiés dans les normes [NBN EN 12194] et [NBN EN 13659].</w:t>
      </w:r>
    </w:p>
    <w:p w14:paraId="6F7D63A4" w14:textId="77777777" w:rsidR="00772179" w:rsidRDefault="00772179">
      <w:pPr>
        <w:jc w:val="both"/>
      </w:pPr>
    </w:p>
    <w:p w14:paraId="386485E9" w14:textId="77777777" w:rsidR="00772179" w:rsidRDefault="00772179">
      <w:pPr>
        <w:jc w:val="both"/>
      </w:pPr>
    </w:p>
    <w:p w14:paraId="037214E3" w14:textId="77777777" w:rsidR="00772179" w:rsidRDefault="00000000">
      <w:pPr>
        <w:jc w:val="both"/>
      </w:pPr>
      <w:r>
        <w:rPr>
          <w:b/>
          <w:u w:val="single"/>
        </w:rPr>
        <w:t>Endurance mécanique</w:t>
      </w:r>
    </w:p>
    <w:p w14:paraId="4A9808C1" w14:textId="77777777" w:rsidR="00772179" w:rsidRDefault="00000000">
      <w:pPr>
        <w:jc w:val="both"/>
      </w:pPr>
      <w:r>
        <w:t>L’endurance mécanique est déterminée suivant les procédures des normes [NBN EN 14201] et [NBN EN 14203] et selon les exigences de la [NBN EN 13659].</w:t>
      </w:r>
    </w:p>
    <w:p w14:paraId="4594A81C" w14:textId="77777777" w:rsidR="00772179" w:rsidRDefault="00000000">
      <w:pPr>
        <w:jc w:val="both"/>
      </w:pPr>
      <w:r>
        <w:t>Les classes d’endurance sont reprises dans le tableau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772179" w14:paraId="06B63716" w14:textId="77777777">
        <w:tc>
          <w:tcPr>
            <w:tcW w:w="2250" w:type="dxa"/>
            <w:noWrap/>
          </w:tcPr>
          <w:p w14:paraId="73020566" w14:textId="77777777" w:rsidR="00772179" w:rsidRDefault="00000000">
            <w:r>
              <w:t>Nombre de cycles</w:t>
            </w:r>
          </w:p>
        </w:tc>
        <w:tc>
          <w:tcPr>
            <w:tcW w:w="2250" w:type="dxa"/>
            <w:noWrap/>
          </w:tcPr>
          <w:p w14:paraId="2F9601FB" w14:textId="77777777" w:rsidR="00772179" w:rsidRDefault="00000000">
            <w:pPr>
              <w:jc w:val="center"/>
            </w:pPr>
            <w:r>
              <w:t>Classe 1</w:t>
            </w:r>
          </w:p>
        </w:tc>
        <w:tc>
          <w:tcPr>
            <w:tcW w:w="2250" w:type="dxa"/>
            <w:noWrap/>
          </w:tcPr>
          <w:p w14:paraId="28D6D1A0" w14:textId="77777777" w:rsidR="00772179" w:rsidRDefault="00000000">
            <w:pPr>
              <w:jc w:val="center"/>
            </w:pPr>
            <w:r>
              <w:t>Classe 2</w:t>
            </w:r>
          </w:p>
        </w:tc>
        <w:tc>
          <w:tcPr>
            <w:tcW w:w="2250" w:type="dxa"/>
            <w:noWrap/>
          </w:tcPr>
          <w:p w14:paraId="5434BFFD" w14:textId="77777777" w:rsidR="00772179" w:rsidRDefault="00000000">
            <w:pPr>
              <w:jc w:val="center"/>
            </w:pPr>
            <w:r>
              <w:t>Classe 3</w:t>
            </w:r>
          </w:p>
        </w:tc>
      </w:tr>
      <w:tr w:rsidR="00772179" w14:paraId="1607CE5D" w14:textId="77777777">
        <w:tc>
          <w:tcPr>
            <w:tcW w:w="2250" w:type="dxa"/>
            <w:noWrap/>
          </w:tcPr>
          <w:p w14:paraId="176C093B" w14:textId="77777777" w:rsidR="00772179" w:rsidRDefault="00000000">
            <w:pPr>
              <w:jc w:val="center"/>
            </w:pPr>
            <w:r>
              <w:t>Déploiement/repliement</w:t>
            </w:r>
          </w:p>
        </w:tc>
        <w:tc>
          <w:tcPr>
            <w:tcW w:w="2250" w:type="dxa"/>
            <w:noWrap/>
          </w:tcPr>
          <w:p w14:paraId="26AAE5CA" w14:textId="77777777" w:rsidR="00772179" w:rsidRDefault="00000000">
            <w:pPr>
              <w:jc w:val="center"/>
            </w:pPr>
            <w:r>
              <w:t>3 000</w:t>
            </w:r>
          </w:p>
        </w:tc>
        <w:tc>
          <w:tcPr>
            <w:tcW w:w="2250" w:type="dxa"/>
            <w:noWrap/>
          </w:tcPr>
          <w:p w14:paraId="053E498F" w14:textId="77777777" w:rsidR="00772179" w:rsidRDefault="00000000">
            <w:pPr>
              <w:jc w:val="center"/>
            </w:pPr>
            <w:r>
              <w:t>7 000</w:t>
            </w:r>
          </w:p>
        </w:tc>
        <w:tc>
          <w:tcPr>
            <w:tcW w:w="2250" w:type="dxa"/>
            <w:noWrap/>
          </w:tcPr>
          <w:p w14:paraId="419897E4" w14:textId="77777777" w:rsidR="00772179" w:rsidRDefault="00000000">
            <w:pPr>
              <w:jc w:val="center"/>
            </w:pPr>
            <w:r>
              <w:t>10 000</w:t>
            </w:r>
          </w:p>
        </w:tc>
      </w:tr>
      <w:tr w:rsidR="00772179" w14:paraId="27DB3AED" w14:textId="77777777">
        <w:tc>
          <w:tcPr>
            <w:tcW w:w="2250" w:type="dxa"/>
            <w:noWrap/>
          </w:tcPr>
          <w:p w14:paraId="448472AB" w14:textId="77777777" w:rsidR="00772179" w:rsidRDefault="00000000">
            <w:r>
              <w:t>Orientation</w:t>
            </w:r>
          </w:p>
        </w:tc>
        <w:tc>
          <w:tcPr>
            <w:tcW w:w="2250" w:type="dxa"/>
            <w:noWrap/>
          </w:tcPr>
          <w:p w14:paraId="282FDC65" w14:textId="77777777" w:rsidR="00772179" w:rsidRDefault="00000000">
            <w:pPr>
              <w:jc w:val="center"/>
            </w:pPr>
            <w:r>
              <w:t>6 000</w:t>
            </w:r>
          </w:p>
        </w:tc>
        <w:tc>
          <w:tcPr>
            <w:tcW w:w="2250" w:type="dxa"/>
            <w:noWrap/>
          </w:tcPr>
          <w:p w14:paraId="4F26D31A" w14:textId="77777777" w:rsidR="00772179" w:rsidRDefault="00000000">
            <w:pPr>
              <w:jc w:val="center"/>
            </w:pPr>
            <w:r>
              <w:t>14 000</w:t>
            </w:r>
          </w:p>
        </w:tc>
        <w:tc>
          <w:tcPr>
            <w:tcW w:w="2250" w:type="dxa"/>
            <w:noWrap/>
          </w:tcPr>
          <w:p w14:paraId="1F7D6011" w14:textId="77777777" w:rsidR="00772179" w:rsidRDefault="00000000">
            <w:pPr>
              <w:jc w:val="center"/>
            </w:pPr>
            <w:r>
              <w:t>20 000</w:t>
            </w:r>
          </w:p>
        </w:tc>
      </w:tr>
    </w:tbl>
    <w:p w14:paraId="20706C44" w14:textId="77777777" w:rsidR="00772179" w:rsidRDefault="00000000">
      <w:pPr>
        <w:jc w:val="both"/>
      </w:pPr>
      <w:r>
        <w:t> </w:t>
      </w:r>
      <w:r>
        <w:rPr>
          <w:b/>
          <w:u w:val="single"/>
        </w:rPr>
        <w:t>Résistance aux chocs</w:t>
      </w:r>
    </w:p>
    <w:p w14:paraId="13F64233" w14:textId="77777777" w:rsidR="00772179" w:rsidRDefault="00000000">
      <w:pPr>
        <w:jc w:val="both"/>
      </w:pPr>
      <w:r>
        <w:t>La résistance aux chocs est déterminée suivant la procédure d’essai de la norme [NBN EN 13330].</w:t>
      </w:r>
    </w:p>
    <w:p w14:paraId="69565BAB" w14:textId="77777777" w:rsidR="00772179" w:rsidRDefault="00772179"/>
    <w:p w14:paraId="3107915A" w14:textId="77777777" w:rsidR="00772179" w:rsidRDefault="00000000">
      <w:pPr>
        <w:jc w:val="both"/>
      </w:pPr>
      <w:r>
        <w:rPr>
          <w:b/>
          <w:u w:val="single"/>
        </w:rPr>
        <w:t>Résistance à l’effraction</w:t>
      </w:r>
    </w:p>
    <w:p w14:paraId="0A60088F" w14:textId="77777777" w:rsidR="00772179" w:rsidRDefault="00000000">
      <w:pPr>
        <w:jc w:val="both"/>
      </w:pPr>
      <w:r>
        <w:t>Le choix de la classe de résistance à l'effraction peut être établi en tenant compte de ce qui suit:</w:t>
      </w:r>
    </w:p>
    <w:p w14:paraId="213507C7" w14:textId="77777777" w:rsidR="00772179" w:rsidRDefault="00000000">
      <w:pPr>
        <w:pStyle w:val="Author-eListParagraph"/>
        <w:numPr>
          <w:ilvl w:val="0"/>
          <w:numId w:val="520"/>
        </w:numPr>
      </w:pPr>
      <w:r>
        <w:t>L'évaluation des besoins en matière de protection contre l'effraction résulte d'une analyse tenant compte des facteurs objectifs ou subjectifs suivants :</w:t>
      </w:r>
    </w:p>
    <w:p w14:paraId="0A782F1E" w14:textId="77777777" w:rsidR="00772179" w:rsidRDefault="00000000">
      <w:pPr>
        <w:pStyle w:val="Author-eListParagraph"/>
        <w:numPr>
          <w:ilvl w:val="1"/>
          <w:numId w:val="521"/>
        </w:numPr>
      </w:pPr>
      <w:r>
        <w:t>la situation géographique de la construction,</w:t>
      </w:r>
    </w:p>
    <w:p w14:paraId="3FB452DD" w14:textId="77777777" w:rsidR="00772179" w:rsidRDefault="00000000">
      <w:pPr>
        <w:pStyle w:val="Author-eListParagraph"/>
        <w:numPr>
          <w:ilvl w:val="1"/>
          <w:numId w:val="521"/>
        </w:numPr>
      </w:pPr>
      <w:r>
        <w:t>son intégration urbaine,</w:t>
      </w:r>
    </w:p>
    <w:p w14:paraId="03DBAE46" w14:textId="77777777" w:rsidR="00772179" w:rsidRDefault="00000000">
      <w:pPr>
        <w:pStyle w:val="Author-eListParagraph"/>
        <w:numPr>
          <w:ilvl w:val="1"/>
          <w:numId w:val="521"/>
        </w:numPr>
      </w:pPr>
      <w:r>
        <w:t>son accessibilité aisée ou non,</w:t>
      </w:r>
    </w:p>
    <w:p w14:paraId="1DB95992" w14:textId="77777777" w:rsidR="00772179" w:rsidRDefault="00000000">
      <w:pPr>
        <w:pStyle w:val="Author-eListParagraph"/>
        <w:numPr>
          <w:ilvl w:val="1"/>
          <w:numId w:val="521"/>
        </w:numPr>
      </w:pPr>
      <w:r>
        <w:t>la présence de système de protection complémentaire,</w:t>
      </w:r>
    </w:p>
    <w:p w14:paraId="6AADFAF9" w14:textId="77777777" w:rsidR="00772179" w:rsidRDefault="00000000">
      <w:pPr>
        <w:pStyle w:val="Author-eListParagraph"/>
        <w:numPr>
          <w:ilvl w:val="1"/>
          <w:numId w:val="521"/>
        </w:numPr>
      </w:pPr>
      <w:r>
        <w:t>la valeur, la taille, le nombre, l'encombrement, le poids des biens à protéger,</w:t>
      </w:r>
    </w:p>
    <w:p w14:paraId="2F82007E" w14:textId="77777777" w:rsidR="00772179" w:rsidRDefault="00000000">
      <w:pPr>
        <w:pStyle w:val="Author-eListParagraph"/>
        <w:numPr>
          <w:ilvl w:val="1"/>
          <w:numId w:val="521"/>
        </w:numPr>
      </w:pPr>
      <w:r>
        <w:t>la fonction du bâtiment,</w:t>
      </w:r>
    </w:p>
    <w:p w14:paraId="2959BA0A" w14:textId="77777777" w:rsidR="00772179" w:rsidRDefault="00000000">
      <w:pPr>
        <w:pStyle w:val="Author-eListParagraph"/>
        <w:numPr>
          <w:ilvl w:val="1"/>
          <w:numId w:val="521"/>
        </w:numPr>
      </w:pPr>
      <w:r>
        <w:t>tous autres facteurs spécifiques, psychologiques et humains.</w:t>
      </w:r>
    </w:p>
    <w:p w14:paraId="7242EA6C" w14:textId="77777777" w:rsidR="00772179" w:rsidRDefault="00000000">
      <w:pPr>
        <w:pStyle w:val="Author-eListParagraph"/>
        <w:numPr>
          <w:ilvl w:val="0"/>
          <w:numId w:val="520"/>
        </w:numPr>
      </w:pPr>
      <w:r>
        <w:lastRenderedPageBreak/>
        <w:t>L'interprétation des classes de la [NBN EN 1627] :</w:t>
      </w:r>
    </w:p>
    <w:p w14:paraId="0C281471" w14:textId="77777777" w:rsidR="00772179" w:rsidRDefault="00000000">
      <w:pPr>
        <w:jc w:val="both"/>
      </w:pPr>
      <w:r>
        <w:t>Tableau - Classes et types d'attaque correspondant</w:t>
      </w:r>
    </w:p>
    <w:tbl>
      <w:tblPr>
        <w:tblStyle w:val="Author-eTableGrid"/>
        <w:tblW w:w="9030" w:type="dxa"/>
        <w:tblLayout w:type="fixed"/>
        <w:tblLook w:val="04A0" w:firstRow="1" w:lastRow="0" w:firstColumn="1" w:lastColumn="0" w:noHBand="0" w:noVBand="1"/>
      </w:tblPr>
      <w:tblGrid>
        <w:gridCol w:w="1125"/>
        <w:gridCol w:w="7905"/>
      </w:tblGrid>
      <w:tr w:rsidR="00772179" w14:paraId="7C887477" w14:textId="77777777">
        <w:tc>
          <w:tcPr>
            <w:tcW w:w="1125" w:type="dxa"/>
            <w:noWrap/>
          </w:tcPr>
          <w:p w14:paraId="78A4F968" w14:textId="77777777" w:rsidR="00772179" w:rsidRDefault="00000000">
            <w:pPr>
              <w:jc w:val="center"/>
            </w:pPr>
            <w:r>
              <w:t>Classes [NBN EN 1627]</w:t>
            </w:r>
          </w:p>
        </w:tc>
        <w:tc>
          <w:tcPr>
            <w:tcW w:w="7905" w:type="dxa"/>
            <w:noWrap/>
          </w:tcPr>
          <w:p w14:paraId="6C00FA1F" w14:textId="77777777" w:rsidR="00772179" w:rsidRDefault="00000000">
            <w:pPr>
              <w:jc w:val="center"/>
            </w:pPr>
            <w:r>
              <w:t>Types d'attaque</w:t>
            </w:r>
          </w:p>
        </w:tc>
      </w:tr>
      <w:tr w:rsidR="00772179" w14:paraId="579E4A93" w14:textId="77777777">
        <w:tc>
          <w:tcPr>
            <w:tcW w:w="1125" w:type="dxa"/>
            <w:noWrap/>
          </w:tcPr>
          <w:p w14:paraId="19E8E727" w14:textId="77777777" w:rsidR="00772179" w:rsidRDefault="00000000">
            <w:pPr>
              <w:jc w:val="center"/>
            </w:pPr>
            <w:r>
              <w:t>1</w:t>
            </w:r>
          </w:p>
        </w:tc>
        <w:tc>
          <w:tcPr>
            <w:tcW w:w="7905" w:type="dxa"/>
            <w:noWrap/>
          </w:tcPr>
          <w:p w14:paraId="16F888A1" w14:textId="77777777" w:rsidR="00772179" w:rsidRDefault="00000000">
            <w:r>
              <w:t>Un cambrioleur occasionnel essaie d'ouvrir la fenêtre, la porte ou la fermeture en utilisant la violence physique, par exemple coup de pied, coup d'épaule, soulèvement, arrachement.</w:t>
            </w:r>
          </w:p>
        </w:tc>
      </w:tr>
      <w:tr w:rsidR="00772179" w14:paraId="2ED376F7" w14:textId="77777777">
        <w:tc>
          <w:tcPr>
            <w:tcW w:w="1125" w:type="dxa"/>
            <w:noWrap/>
          </w:tcPr>
          <w:p w14:paraId="6E9FCB2E" w14:textId="77777777" w:rsidR="00772179" w:rsidRDefault="00000000">
            <w:pPr>
              <w:jc w:val="center"/>
            </w:pPr>
            <w:r>
              <w:t>2</w:t>
            </w:r>
          </w:p>
        </w:tc>
        <w:tc>
          <w:tcPr>
            <w:tcW w:w="7905" w:type="dxa"/>
            <w:noWrap/>
          </w:tcPr>
          <w:p w14:paraId="0342A57E" w14:textId="77777777" w:rsidR="00772179" w:rsidRDefault="00000000">
            <w:r>
              <w:t>Le cambrioleur occasionnel essaie en plus d'ouvrir la fenêtre, la porte ou la fermeture en utilisant des outils simples, par exemple tournevis, pince, coins.</w:t>
            </w:r>
          </w:p>
        </w:tc>
      </w:tr>
      <w:tr w:rsidR="00772179" w14:paraId="0A9369CA" w14:textId="77777777">
        <w:tc>
          <w:tcPr>
            <w:tcW w:w="1125" w:type="dxa"/>
            <w:noWrap/>
          </w:tcPr>
          <w:p w14:paraId="0187B150" w14:textId="77777777" w:rsidR="00772179" w:rsidRDefault="00000000">
            <w:pPr>
              <w:jc w:val="center"/>
            </w:pPr>
            <w:r>
              <w:t>3</w:t>
            </w:r>
          </w:p>
        </w:tc>
        <w:tc>
          <w:tcPr>
            <w:tcW w:w="7905" w:type="dxa"/>
            <w:noWrap/>
          </w:tcPr>
          <w:p w14:paraId="4DA9EA6E" w14:textId="77777777" w:rsidR="00772179" w:rsidRDefault="00000000">
            <w:r>
              <w:t>Le cambrioleur essaie d'entrer en utilisant 2 tournevis, ou plus, et un pied de biche.</w:t>
            </w:r>
          </w:p>
        </w:tc>
      </w:tr>
      <w:tr w:rsidR="00772179" w14:paraId="213D948B" w14:textId="77777777">
        <w:tc>
          <w:tcPr>
            <w:tcW w:w="1125" w:type="dxa"/>
            <w:noWrap/>
          </w:tcPr>
          <w:p w14:paraId="544E1192" w14:textId="77777777" w:rsidR="00772179" w:rsidRDefault="00000000">
            <w:pPr>
              <w:jc w:val="center"/>
            </w:pPr>
            <w:r>
              <w:t>4</w:t>
            </w:r>
          </w:p>
        </w:tc>
        <w:tc>
          <w:tcPr>
            <w:tcW w:w="7905" w:type="dxa"/>
            <w:noWrap/>
          </w:tcPr>
          <w:p w14:paraId="5204E7CD" w14:textId="77777777" w:rsidR="00772179" w:rsidRDefault="00000000">
            <w:r>
              <w:t>Le cambrioleur expérimenté utilise en plus des outils tels que scie, marteau, hache, ciseau, burin, perceuse électrique portative à batterie. </w:t>
            </w:r>
          </w:p>
        </w:tc>
      </w:tr>
      <w:tr w:rsidR="00772179" w14:paraId="0DA04D06" w14:textId="77777777">
        <w:tc>
          <w:tcPr>
            <w:tcW w:w="1125" w:type="dxa"/>
            <w:noWrap/>
          </w:tcPr>
          <w:p w14:paraId="52784FA4" w14:textId="77777777" w:rsidR="00772179" w:rsidRDefault="00000000">
            <w:pPr>
              <w:jc w:val="center"/>
            </w:pPr>
            <w:r>
              <w:t>5</w:t>
            </w:r>
          </w:p>
        </w:tc>
        <w:tc>
          <w:tcPr>
            <w:tcW w:w="7905" w:type="dxa"/>
            <w:noWrap/>
          </w:tcPr>
          <w:p w14:paraId="6C943ACA" w14:textId="77777777" w:rsidR="00772179" w:rsidRDefault="00000000">
            <w:r>
              <w:t>Le cambrioleur expérimenté utilise en plus des outils électriques, par exemple perceuse, scie sauteuse et sabre, meuleuse d'angle avec disque de diamètre maximum125 mm.</w:t>
            </w:r>
          </w:p>
        </w:tc>
      </w:tr>
      <w:tr w:rsidR="00772179" w14:paraId="22E2C8B9" w14:textId="77777777">
        <w:tc>
          <w:tcPr>
            <w:tcW w:w="1125" w:type="dxa"/>
            <w:noWrap/>
          </w:tcPr>
          <w:p w14:paraId="59B7998C" w14:textId="77777777" w:rsidR="00772179" w:rsidRDefault="00000000">
            <w:pPr>
              <w:jc w:val="center"/>
            </w:pPr>
            <w:r>
              <w:t>6</w:t>
            </w:r>
          </w:p>
        </w:tc>
        <w:tc>
          <w:tcPr>
            <w:tcW w:w="7905" w:type="dxa"/>
            <w:noWrap/>
          </w:tcPr>
          <w:p w14:paraId="738A7CCD" w14:textId="77777777" w:rsidR="00772179" w:rsidRDefault="00000000">
            <w:r>
              <w:t>Le cambrioleur expérimenté utilise en plus des outils électriques puissants, par exemple, perceuse, scie sauteuse et sabre, meuleuse d'angle avec disque de diamètre maximum 230mm.</w:t>
            </w:r>
          </w:p>
        </w:tc>
      </w:tr>
    </w:tbl>
    <w:p w14:paraId="713B2B9C" w14:textId="77777777" w:rsidR="00772179" w:rsidRDefault="00000000">
      <w:pPr>
        <w:jc w:val="both"/>
      </w:pPr>
      <w:r>
        <w:t>  </w:t>
      </w:r>
    </w:p>
    <w:p w14:paraId="0604E7AD" w14:textId="77777777" w:rsidR="00772179" w:rsidRDefault="00000000">
      <w:pPr>
        <w:jc w:val="both"/>
      </w:pPr>
      <w:r>
        <w:rPr>
          <w:b/>
          <w:u w:val="single"/>
        </w:rPr>
        <w:t>Résistance thermique additionnelle Delta-R</w:t>
      </w:r>
    </w:p>
    <w:p w14:paraId="05388FD3" w14:textId="77777777" w:rsidR="00772179" w:rsidRDefault="00000000">
      <w:pPr>
        <w:jc w:val="both"/>
      </w:pPr>
      <w:r>
        <w:t>Si elle intervient dans l’isolation thermique de l’enveloppe du bâtiment, une fermeture en position déployée et fermée introduit une résistance thermique additionnelle ΔR exprimée en m²K/W conformément à la méthode spécifiée dans la [NBN EN ISO 10077-1] et sur base de la perméabilité à l’air de la fermeture déterminée conformément à la [NBN EN 13125].</w:t>
      </w:r>
    </w:p>
    <w:p w14:paraId="65F23910" w14:textId="77777777" w:rsidR="00772179" w:rsidRDefault="00000000">
      <w:pPr>
        <w:jc w:val="both"/>
      </w:pPr>
      <w:r>
        <w:rPr>
          <w:b/>
          <w:u w:val="single"/>
        </w:rPr>
        <w:t>Facteur de transmission de l’énergie solaire</w:t>
      </w:r>
    </w:p>
    <w:p w14:paraId="1884097C" w14:textId="77777777" w:rsidR="00772179" w:rsidRDefault="00000000">
      <w:pPr>
        <w:jc w:val="both"/>
      </w:pPr>
      <w:r>
        <w:t>Le facteur de transmission de l’énergie solaire gtot est déterminée conformément à la [NBN EN ISO 52022-1] sur base des propriétés des matériaux déterminées conformément à la [NBN EN 14500] sous les conditions spécifiées dans la [NBN EN 14501].</w:t>
      </w:r>
    </w:p>
    <w:p w14:paraId="1C6C9864" w14:textId="77777777" w:rsidR="00772179" w:rsidRDefault="00000000">
      <w:pPr>
        <w:jc w:val="both"/>
      </w:pPr>
      <w:r>
        <w:rPr>
          <w:b/>
          <w:u w:val="single"/>
        </w:rPr>
        <w:t>Prestations acoustiques</w:t>
      </w:r>
      <w:r>
        <w:t> </w:t>
      </w:r>
    </w:p>
    <w:p w14:paraId="0D1EEC9A" w14:textId="77777777" w:rsidR="00772179" w:rsidRDefault="00000000">
      <w:pPr>
        <w:jc w:val="both"/>
      </w:pPr>
      <w:r>
        <w:t>La norme [NBN S 01-400-1] prévoit 2 qualités de confort acoustique, à savoir un « confort acoustique normal » et un « confort acoustique supérieur ». Toutes les exigences sont données pour le bâtiment parachevé.   </w:t>
      </w:r>
    </w:p>
    <w:tbl>
      <w:tblPr>
        <w:tblStyle w:val="Author-eTableGrid"/>
        <w:tblW w:w="9030" w:type="dxa"/>
        <w:tblLayout w:type="fixed"/>
        <w:tblLook w:val="04A0" w:firstRow="1" w:lastRow="0" w:firstColumn="1" w:lastColumn="0" w:noHBand="0" w:noVBand="1"/>
      </w:tblPr>
      <w:tblGrid>
        <w:gridCol w:w="1800"/>
        <w:gridCol w:w="1695"/>
        <w:gridCol w:w="3270"/>
        <w:gridCol w:w="2265"/>
      </w:tblGrid>
      <w:tr w:rsidR="00772179" w14:paraId="1911DA7E" w14:textId="77777777">
        <w:tc>
          <w:tcPr>
            <w:tcW w:w="1800" w:type="dxa"/>
            <w:noWrap/>
          </w:tcPr>
          <w:p w14:paraId="7667933A" w14:textId="77777777" w:rsidR="00772179" w:rsidRDefault="00772179"/>
        </w:tc>
        <w:tc>
          <w:tcPr>
            <w:tcW w:w="1695" w:type="dxa"/>
            <w:noWrap/>
          </w:tcPr>
          <w:p w14:paraId="7E881C9D" w14:textId="77777777" w:rsidR="00772179" w:rsidRDefault="00000000">
            <w:r>
              <w:rPr>
                <w:b/>
              </w:rPr>
              <w:t>Symbole</w:t>
            </w:r>
          </w:p>
        </w:tc>
        <w:tc>
          <w:tcPr>
            <w:tcW w:w="3270" w:type="dxa"/>
            <w:noWrap/>
          </w:tcPr>
          <w:p w14:paraId="46BEBFAD" w14:textId="77777777" w:rsidR="00772179" w:rsidRDefault="00000000">
            <w:r>
              <w:rPr>
                <w:b/>
              </w:rPr>
              <w:t>Signification</w:t>
            </w:r>
          </w:p>
        </w:tc>
        <w:tc>
          <w:tcPr>
            <w:tcW w:w="2265" w:type="dxa"/>
            <w:noWrap/>
          </w:tcPr>
          <w:p w14:paraId="1ECC2771" w14:textId="77777777" w:rsidR="00772179" w:rsidRDefault="00000000">
            <w:r>
              <w:rPr>
                <w:b/>
              </w:rPr>
              <w:t>Autre représentation</w:t>
            </w:r>
          </w:p>
        </w:tc>
      </w:tr>
      <w:tr w:rsidR="00772179" w14:paraId="0BA395CE" w14:textId="77777777">
        <w:tc>
          <w:tcPr>
            <w:tcW w:w="1800" w:type="dxa"/>
            <w:noWrap/>
          </w:tcPr>
          <w:p w14:paraId="5CF7CF57" w14:textId="77777777" w:rsidR="00772179" w:rsidRDefault="00000000">
            <w:r>
              <w:t>BRUITS EXTERIEURS</w:t>
            </w:r>
          </w:p>
        </w:tc>
        <w:tc>
          <w:tcPr>
            <w:tcW w:w="1695" w:type="dxa"/>
            <w:noWrap/>
          </w:tcPr>
          <w:p w14:paraId="29DA25F5" w14:textId="77777777" w:rsidR="00772179" w:rsidRDefault="00000000">
            <w:pPr>
              <w:jc w:val="center"/>
            </w:pPr>
            <w:r>
              <w:t>L</w:t>
            </w:r>
            <w:r>
              <w:rPr>
                <w:vertAlign w:val="subscript"/>
              </w:rPr>
              <w:t>Aref</w:t>
            </w:r>
            <w:r>
              <w:t xml:space="preserve"> et L</w:t>
            </w:r>
            <w:r>
              <w:rPr>
                <w:vertAlign w:val="subscript"/>
              </w:rPr>
              <w:t>A</w:t>
            </w:r>
            <w:r>
              <w:t xml:space="preserve"> [dB]</w:t>
            </w:r>
          </w:p>
        </w:tc>
        <w:tc>
          <w:tcPr>
            <w:tcW w:w="3270" w:type="dxa"/>
            <w:noWrap/>
          </w:tcPr>
          <w:p w14:paraId="30EEEA51" w14:textId="77777777" w:rsidR="00772179" w:rsidRDefault="00000000">
            <w:r>
              <w:t>L</w:t>
            </w:r>
            <w:r>
              <w:rPr>
                <w:vertAlign w:val="subscript"/>
              </w:rPr>
              <w:t>Aref</w:t>
            </w:r>
            <w:r>
              <w:t xml:space="preserve"> est déterminé à partir de mesures du niveau de pression acoustique effectuées à l’extérieur en un point de référence situé à 2 m de hauteur au-dessus du niveau du sol et à 2 m de distance perpendiculairement au milieu de la façade la plus exposée au bruit du bâtiment dans lequel se trouve le local à protéger.LA est la grandeur pondérée A calculée à partir de la grandeur LAref suivant la méthode décrite dans l’annexe normative B de la [NBN S 01-400-1] pour chaque pan de façade du local à protéger. Les exigences pour l’isolation d’un pan de façade sont déduites de cette grandeur.</w:t>
            </w:r>
          </w:p>
        </w:tc>
        <w:tc>
          <w:tcPr>
            <w:tcW w:w="2265" w:type="dxa"/>
            <w:noWrap/>
          </w:tcPr>
          <w:p w14:paraId="589FF5BF" w14:textId="77777777" w:rsidR="00772179" w:rsidRDefault="00000000">
            <w:pPr>
              <w:jc w:val="center"/>
            </w:pPr>
            <w:r>
              <w:t>/</w:t>
            </w:r>
          </w:p>
        </w:tc>
      </w:tr>
      <w:tr w:rsidR="00772179" w14:paraId="11E2F947" w14:textId="77777777">
        <w:tc>
          <w:tcPr>
            <w:tcW w:w="1800" w:type="dxa"/>
            <w:noWrap/>
          </w:tcPr>
          <w:p w14:paraId="1DB6A527" w14:textId="77777777" w:rsidR="00772179" w:rsidRDefault="00000000">
            <w:r>
              <w:lastRenderedPageBreak/>
              <w:t>PAN DE FACADE</w:t>
            </w:r>
          </w:p>
        </w:tc>
        <w:tc>
          <w:tcPr>
            <w:tcW w:w="1695" w:type="dxa"/>
            <w:noWrap/>
          </w:tcPr>
          <w:p w14:paraId="02EA8E2E" w14:textId="77777777" w:rsidR="00772179" w:rsidRDefault="00000000">
            <w:pPr>
              <w:jc w:val="center"/>
            </w:pPr>
            <w:r>
              <w:t>D</w:t>
            </w:r>
            <w:r>
              <w:rPr>
                <w:vertAlign w:val="subscript"/>
              </w:rPr>
              <w:t>Atr</w:t>
            </w:r>
            <w:r>
              <w:t xml:space="preserve"> [dB]</w:t>
            </w:r>
          </w:p>
        </w:tc>
        <w:tc>
          <w:tcPr>
            <w:tcW w:w="3270" w:type="dxa"/>
            <w:noWrap/>
          </w:tcPr>
          <w:p w14:paraId="7B5D3959" w14:textId="77777777" w:rsidR="00772179" w:rsidRDefault="00000000">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2265" w:type="dxa"/>
            <w:noWrap/>
          </w:tcPr>
          <w:p w14:paraId="426E05D8" w14:textId="77777777" w:rsidR="00772179" w:rsidRDefault="00000000">
            <w:pPr>
              <w:jc w:val="center"/>
            </w:pPr>
            <w:r>
              <w:t>D</w:t>
            </w:r>
            <w:r>
              <w:rPr>
                <w:vertAlign w:val="subscript"/>
              </w:rPr>
              <w:t>2m,nT,w</w:t>
            </w:r>
            <w:r>
              <w:t xml:space="preserve"> (C;Ctr) avec D</w:t>
            </w:r>
            <w:r>
              <w:rPr>
                <w:vertAlign w:val="subscript"/>
              </w:rPr>
              <w:t>Atr</w:t>
            </w:r>
            <w:r>
              <w:t>=D</w:t>
            </w:r>
            <w:r>
              <w:rPr>
                <w:vertAlign w:val="subscript"/>
              </w:rPr>
              <w:t>2m,nT,w</w:t>
            </w:r>
            <w:r>
              <w:t>+ C</w:t>
            </w:r>
            <w:r>
              <w:rPr>
                <w:vertAlign w:val="subscript"/>
              </w:rPr>
              <w:t>tr</w:t>
            </w:r>
          </w:p>
        </w:tc>
      </w:tr>
      <w:tr w:rsidR="00772179" w14:paraId="0497A92B" w14:textId="77777777">
        <w:tc>
          <w:tcPr>
            <w:tcW w:w="1800" w:type="dxa"/>
            <w:vMerge w:val="restart"/>
            <w:noWrap/>
          </w:tcPr>
          <w:p w14:paraId="4B81C90C" w14:textId="77777777" w:rsidR="00772179" w:rsidRDefault="00000000">
            <w:r>
              <w:t>ELEMENTS DE CONSTRUCTION</w:t>
            </w:r>
          </w:p>
        </w:tc>
        <w:tc>
          <w:tcPr>
            <w:tcW w:w="1695" w:type="dxa"/>
            <w:noWrap/>
          </w:tcPr>
          <w:p w14:paraId="4D0AAA4C" w14:textId="77777777" w:rsidR="00772179" w:rsidRDefault="00000000">
            <w:pPr>
              <w:jc w:val="center"/>
            </w:pPr>
            <w:r>
              <w:t>R</w:t>
            </w:r>
            <w:r>
              <w:rPr>
                <w:vertAlign w:val="subscript"/>
              </w:rPr>
              <w:t>Atr</w:t>
            </w:r>
            <w:r>
              <w:t xml:space="preserve"> [dB]</w:t>
            </w:r>
          </w:p>
        </w:tc>
        <w:tc>
          <w:tcPr>
            <w:tcW w:w="3270" w:type="dxa"/>
            <w:noWrap/>
          </w:tcPr>
          <w:p w14:paraId="2D3416C1" w14:textId="77777777" w:rsidR="00772179" w:rsidRDefault="00000000">
            <w:r>
              <w:t>Grandeur mesurée en laboratoire qui exprime l’affaiblissement acoustique au bruit de trafic par un élément de construction normal (verre, fenêtres, parois, …). Elle n’est pas d’application pour les grilles de ventilation.</w:t>
            </w:r>
          </w:p>
        </w:tc>
        <w:tc>
          <w:tcPr>
            <w:tcW w:w="2265" w:type="dxa"/>
            <w:noWrap/>
          </w:tcPr>
          <w:p w14:paraId="4259A83B" w14:textId="77777777" w:rsidR="00772179" w:rsidRDefault="00000000">
            <w:pPr>
              <w:jc w:val="center"/>
            </w:pPr>
            <w:r>
              <w:t>R</w:t>
            </w:r>
            <w:r>
              <w:rPr>
                <w:vertAlign w:val="subscript"/>
              </w:rPr>
              <w:t>w</w:t>
            </w:r>
            <w:r>
              <w:t>(C;Ctr) avec R</w:t>
            </w:r>
            <w:r>
              <w:rPr>
                <w:vertAlign w:val="subscript"/>
              </w:rPr>
              <w:t>Atr</w:t>
            </w:r>
            <w:r>
              <w:t>=R</w:t>
            </w:r>
            <w:r>
              <w:rPr>
                <w:vertAlign w:val="subscript"/>
              </w:rPr>
              <w:t>w</w:t>
            </w:r>
            <w:r>
              <w:t>+C</w:t>
            </w:r>
            <w:r>
              <w:rPr>
                <w:vertAlign w:val="subscript"/>
              </w:rPr>
              <w:t>tr</w:t>
            </w:r>
          </w:p>
        </w:tc>
      </w:tr>
      <w:tr w:rsidR="00772179" w14:paraId="6F9691CB" w14:textId="77777777">
        <w:tc>
          <w:tcPr>
            <w:tcW w:w="1800" w:type="dxa"/>
            <w:vMerge/>
            <w:noWrap/>
          </w:tcPr>
          <w:p w14:paraId="49417FE8" w14:textId="77777777" w:rsidR="00772179" w:rsidRDefault="00772179"/>
        </w:tc>
        <w:tc>
          <w:tcPr>
            <w:tcW w:w="1695" w:type="dxa"/>
            <w:noWrap/>
          </w:tcPr>
          <w:p w14:paraId="70D4C457" w14:textId="77777777" w:rsidR="00772179" w:rsidRDefault="00000000">
            <w:pPr>
              <w:jc w:val="center"/>
            </w:pPr>
            <w:r>
              <w:t>D</w:t>
            </w:r>
            <w:r>
              <w:rPr>
                <w:vertAlign w:val="subscript"/>
              </w:rPr>
              <w:t>n,e,Atr</w:t>
            </w:r>
            <w:r>
              <w:t xml:space="preserve"> [dB]</w:t>
            </w:r>
          </w:p>
        </w:tc>
        <w:tc>
          <w:tcPr>
            <w:tcW w:w="3270" w:type="dxa"/>
            <w:noWrap/>
          </w:tcPr>
          <w:p w14:paraId="2D7D2E60" w14:textId="77777777" w:rsidR="00772179" w:rsidRDefault="00000000">
            <w:r>
              <w:t>Pour des raisons de mesures, cette grandeur spéciale, mesurée en laboratoire, est utilisée pour exprimer l’affaiblissement acoustique au bruit de trafic de la grille de ventilation</w:t>
            </w:r>
          </w:p>
        </w:tc>
        <w:tc>
          <w:tcPr>
            <w:tcW w:w="2265" w:type="dxa"/>
            <w:noWrap/>
          </w:tcPr>
          <w:p w14:paraId="3668DA97" w14:textId="77777777" w:rsidR="00772179" w:rsidRDefault="00000000">
            <w:pPr>
              <w:jc w:val="center"/>
            </w:pPr>
            <w:r>
              <w:t>D</w:t>
            </w:r>
            <w:r>
              <w:rPr>
                <w:vertAlign w:val="subscript"/>
              </w:rPr>
              <w:t>n,e,w</w:t>
            </w:r>
            <w:r>
              <w:t>(C;C</w:t>
            </w:r>
            <w:r>
              <w:rPr>
                <w:vertAlign w:val="subscript"/>
              </w:rPr>
              <w:t>tr</w:t>
            </w:r>
            <w:r>
              <w:t>) avec D</w:t>
            </w:r>
            <w:r>
              <w:rPr>
                <w:vertAlign w:val="subscript"/>
              </w:rPr>
              <w:t>n,e,Atr</w:t>
            </w:r>
            <w:r>
              <w:t>=D</w:t>
            </w:r>
            <w:r>
              <w:rPr>
                <w:vertAlign w:val="subscript"/>
              </w:rPr>
              <w:t>n,e,w</w:t>
            </w:r>
            <w:r>
              <w:t>+C</w:t>
            </w:r>
            <w:r>
              <w:rPr>
                <w:vertAlign w:val="subscript"/>
              </w:rPr>
              <w:t>tr</w:t>
            </w:r>
          </w:p>
        </w:tc>
      </w:tr>
    </w:tbl>
    <w:p w14:paraId="7E6408C3" w14:textId="77777777" w:rsidR="00772179" w:rsidRDefault="00772179"/>
    <w:p w14:paraId="5EB10FF5" w14:textId="77777777" w:rsidR="00772179" w:rsidRDefault="00772179">
      <w:pPr>
        <w:jc w:val="both"/>
      </w:pPr>
    </w:p>
    <w:p w14:paraId="49BE123B" w14:textId="77777777" w:rsidR="00772179" w:rsidRDefault="00000000">
      <w:pPr>
        <w:jc w:val="both"/>
      </w:pPr>
      <w:r>
        <w:t>Remarque : 1) L'isolation acoustique aux bruits aériens d'un élément s'exprime au moyen d'un indicateur à valeur unique dont le calcul a été uniformisé dans la norme [NBN EN ISO 717-1]. L'isolation acoustique aux bruits aériens d'un élément s'exprime au moyen d’un spectre d’isolation ou par un indicateur à valeur unique suivi de deux termes : X</w:t>
      </w:r>
      <w:r>
        <w:rPr>
          <w:vertAlign w:val="subscript"/>
        </w:rPr>
        <w:t>w</w:t>
      </w:r>
      <w:r>
        <w:t xml:space="preserve"> (C; C</w:t>
      </w:r>
      <w:r>
        <w:rPr>
          <w:vertAlign w:val="subscript"/>
        </w:rPr>
        <w:t>tr</w:t>
      </w:r>
      <w:r>
        <w:t>) et X</w:t>
      </w:r>
      <w:r>
        <w:rPr>
          <w:vertAlign w:val="subscript"/>
        </w:rPr>
        <w:t>Atr</w:t>
      </w:r>
      <w:r>
        <w:t xml:space="preserve"> = X</w:t>
      </w:r>
      <w:r>
        <w:rPr>
          <w:vertAlign w:val="subscript"/>
        </w:rPr>
        <w:t>w</w:t>
      </w:r>
      <w:r>
        <w:t xml:space="preserve"> + C</w:t>
      </w:r>
      <w:r>
        <w:rPr>
          <w:vertAlign w:val="subscript"/>
        </w:rPr>
        <w:t>tr</w:t>
      </w:r>
    </w:p>
    <w:p w14:paraId="1BCE2E50" w14:textId="77777777" w:rsidR="00772179" w:rsidRDefault="00000000">
      <w:pPr>
        <w:pStyle w:val="Author-eListParagraph"/>
        <w:numPr>
          <w:ilvl w:val="0"/>
          <w:numId w:val="522"/>
        </w:numPr>
      </w:pPr>
      <w:r>
        <w:t>  X</w:t>
      </w:r>
      <w:r>
        <w:rPr>
          <w:vertAlign w:val="subscript"/>
        </w:rPr>
        <w:t>w</w:t>
      </w:r>
      <w:r>
        <w:t xml:space="preserve"> : représente l’indicateur à valeur unique (les valeurs pondérées) de l’unité X (dB)</w:t>
      </w:r>
    </w:p>
    <w:p w14:paraId="4FD37479" w14:textId="77777777" w:rsidR="00772179" w:rsidRDefault="00000000">
      <w:pPr>
        <w:jc w:val="both"/>
      </w:pPr>
      <w:r>
        <w:t>Par exemple :</w:t>
      </w:r>
    </w:p>
    <w:p w14:paraId="7E2835BF" w14:textId="77777777" w:rsidR="00772179" w:rsidRDefault="00000000">
      <w:pPr>
        <w:pStyle w:val="Author-eListParagraph"/>
        <w:numPr>
          <w:ilvl w:val="0"/>
          <w:numId w:val="523"/>
        </w:numPr>
      </w:pPr>
      <w:r>
        <w:t>   X</w:t>
      </w:r>
      <w:r>
        <w:rPr>
          <w:vertAlign w:val="subscript"/>
        </w:rPr>
        <w:t>w</w:t>
      </w:r>
      <w:r>
        <w:t>= R</w:t>
      </w:r>
      <w:r>
        <w:rPr>
          <w:vertAlign w:val="subscript"/>
        </w:rPr>
        <w:t>w</w:t>
      </w:r>
      <w:r>
        <w:t xml:space="preserve"> = l’indice d’affaiblissement acoustique mesuré pour des éléments de construction normaux</w:t>
      </w:r>
    </w:p>
    <w:p w14:paraId="67A2E0E3" w14:textId="77777777" w:rsidR="00772179" w:rsidRDefault="00000000">
      <w:pPr>
        <w:pStyle w:val="Author-eListParagraph"/>
        <w:numPr>
          <w:ilvl w:val="0"/>
          <w:numId w:val="523"/>
        </w:numPr>
      </w:pPr>
      <w:r>
        <w:t>   X</w:t>
      </w:r>
      <w:r>
        <w:rPr>
          <w:vertAlign w:val="subscript"/>
        </w:rPr>
        <w:t>w</w:t>
      </w:r>
      <w:r>
        <w:t>=D</w:t>
      </w:r>
      <w:r>
        <w:rPr>
          <w:vertAlign w:val="subscript"/>
        </w:rPr>
        <w:t>ne,w</w:t>
      </w:r>
      <w:r>
        <w:t xml:space="preserve"> l’isolement acoustique des grilles de ventilation, etc…</w:t>
      </w:r>
    </w:p>
    <w:p w14:paraId="6E9A5215" w14:textId="77777777" w:rsidR="00772179" w:rsidRDefault="00000000">
      <w:pPr>
        <w:pStyle w:val="Author-eListParagraph"/>
        <w:numPr>
          <w:ilvl w:val="0"/>
          <w:numId w:val="523"/>
        </w:numPr>
      </w:pPr>
      <w:r>
        <w:t>  C est le facteur d'adaptation pour le bruit rose (spectre 1) ;</w:t>
      </w:r>
    </w:p>
    <w:p w14:paraId="314BE5DE" w14:textId="77777777" w:rsidR="00772179" w:rsidRDefault="00000000">
      <w:pPr>
        <w:pStyle w:val="Author-eListParagraph"/>
        <w:numPr>
          <w:ilvl w:val="0"/>
          <w:numId w:val="523"/>
        </w:numPr>
      </w:pPr>
      <w:r>
        <w:t>  C</w:t>
      </w:r>
      <w:r>
        <w:rPr>
          <w:vertAlign w:val="subscript"/>
        </w:rPr>
        <w:t>tr</w:t>
      </w:r>
      <w:r>
        <w:t xml:space="preserve"> est le facteur d'adaptation pour le bruit de trafic (spectre 2).</w:t>
      </w:r>
    </w:p>
    <w:p w14:paraId="47BE4167" w14:textId="77777777" w:rsidR="00772179" w:rsidRDefault="00000000">
      <w:pPr>
        <w:jc w:val="both"/>
      </w:pPr>
      <w:r>
        <w:t>Les deux termes d'adaptation ont été définis de manière à tenir compte du type de bruit dont il faut s'isoler : le spectre 2 menant au calcul du facteur d’adaptation Ctr donne une indication de l’isolation du bruit de basse fréquence. La norme belge ne se base que sur les valeurs uniques auxquelles on a ajouté le terme d’adaptation C</w:t>
      </w:r>
      <w:r>
        <w:rPr>
          <w:vertAlign w:val="subscript"/>
        </w:rPr>
        <w:t>tr</w:t>
      </w:r>
      <w:r>
        <w:t xml:space="preserve"> correspondant à un trafic urbain.</w:t>
      </w:r>
    </w:p>
    <w:p w14:paraId="68DFD865" w14:textId="77777777" w:rsidR="00772179" w:rsidRDefault="00000000">
      <w:pPr>
        <w:jc w:val="both"/>
      </w:pPr>
      <w:r>
        <w:t>2).   Les performances d’un élément de construction sont exprimées avec une grandeur (en relation avec le rapport entre l’énergie acoustique transmise et celle incidente) qui n’est pas du tout égale aux prestations in situ d’un pan de façade (en relation avec la différence entre les niveaux de pression de bruit), même lorsque ce pan de façade est entièrement constitué par le même élément. Le tableau "classification des bruits extérieurs" selon la norme [NBN EN ISO 717-1] donne la répartition la plus courante.</w:t>
      </w:r>
    </w:p>
    <w:p w14:paraId="6E7D7B92" w14:textId="77777777" w:rsidR="00772179" w:rsidRDefault="00000000">
      <w:pPr>
        <w:jc w:val="both"/>
      </w:pPr>
      <w:r>
        <w:t>L’isolation acoustique d’une façade est conditionnée par le niveau du bruit auquel cette dernière est soumise.</w:t>
      </w:r>
    </w:p>
    <w:p w14:paraId="5EFA8AEB" w14:textId="77777777" w:rsidR="00772179" w:rsidRDefault="00000000">
      <w:pPr>
        <w:jc w:val="both"/>
      </w:pPr>
      <w:r>
        <w:t>Cette isolation est fonction du niveau de fréquence. Elle peut être calculée dans plusieurs circonstances :</w:t>
      </w:r>
    </w:p>
    <w:p w14:paraId="4CB05561" w14:textId="77777777" w:rsidR="00772179" w:rsidRDefault="00000000">
      <w:pPr>
        <w:pStyle w:val="Author-eListParagraph"/>
        <w:numPr>
          <w:ilvl w:val="0"/>
          <w:numId w:val="524"/>
        </w:numPr>
      </w:pPr>
      <w:r>
        <w:t>soit en laboratoires entre deux chambres de résonance;</w:t>
      </w:r>
    </w:p>
    <w:p w14:paraId="23C83552" w14:textId="77777777" w:rsidR="00772179" w:rsidRDefault="00000000">
      <w:pPr>
        <w:pStyle w:val="Author-eListParagraph"/>
        <w:numPr>
          <w:ilvl w:val="0"/>
          <w:numId w:val="524"/>
        </w:numPr>
      </w:pPr>
      <w:r>
        <w:lastRenderedPageBreak/>
        <w:t>soit sur place en prenant comme source le bruit extérieur ou un haut-parleur placé devant la façade.</w:t>
      </w:r>
    </w:p>
    <w:p w14:paraId="52B23E6A" w14:textId="77777777" w:rsidR="00772179" w:rsidRDefault="00000000">
      <w:pPr>
        <w:jc w:val="both"/>
      </w:pPr>
      <w:r>
        <w:t>Le facteur déterminant est bien entendu la différence de niveau de bruit constatée entre l’émetteur et le récepteur, hauteur de bruit qu’il conviendra parfois de corriger par des mesures spécifiques. La transformation de la valeur obtenue en valeur globale, celle qui est indiquée par un seul nombre, se déroule de la même façon que pour l’isolation phonique. La procédure est décrite en [NBN EN ISO 717-1]. Prenons comme exemple la façon de déterminer la qualité acoustique d’un vitrage. Valeur à atteindre comme résultat qui s’exprime par la formule suivante :</w:t>
      </w:r>
    </w:p>
    <w:p w14:paraId="1B11481E" w14:textId="77777777" w:rsidR="00772179" w:rsidRDefault="00000000">
      <w:pPr>
        <w:jc w:val="both"/>
      </w:pPr>
      <w:r>
        <w:t>R</w:t>
      </w:r>
      <w:r>
        <w:rPr>
          <w:vertAlign w:val="subscript"/>
        </w:rPr>
        <w:t>w</w:t>
      </w:r>
      <w:r>
        <w:t>(C;C</w:t>
      </w:r>
      <w:r>
        <w:rPr>
          <w:vertAlign w:val="subscript"/>
        </w:rPr>
        <w:t>tr</w:t>
      </w:r>
      <w:r>
        <w:t>) = 30(-1;-5) dB,</w:t>
      </w:r>
    </w:p>
    <w:p w14:paraId="0108780D" w14:textId="77777777" w:rsidR="00772179" w:rsidRDefault="00000000">
      <w:pPr>
        <w:jc w:val="both"/>
      </w:pPr>
      <w:r>
        <w:t>Pour le type I : la performance au point de vue de l’isolation acoustique s’exprime par : 30 - 1 = 29 dB.</w:t>
      </w:r>
    </w:p>
    <w:p w14:paraId="3CF23356" w14:textId="77777777" w:rsidR="00772179" w:rsidRDefault="00000000">
      <w:pPr>
        <w:jc w:val="both"/>
      </w:pPr>
      <w:r>
        <w:t>Pour le type II elle est : 30 - 5 = 25 dB.</w:t>
      </w:r>
    </w:p>
    <w:p w14:paraId="32A82EF4" w14:textId="77777777" w:rsidR="00772179" w:rsidRDefault="00000000">
      <w:pPr>
        <w:jc w:val="both"/>
      </w:pPr>
      <w:r>
        <w:rPr>
          <w:b/>
          <w:u w:val="single"/>
        </w:rPr>
        <w:t>Risques sur composants</w:t>
      </w:r>
    </w:p>
    <w:p w14:paraId="791E1B3B" w14:textId="77777777" w:rsidR="00772179" w:rsidRDefault="00000000">
      <w:pPr>
        <w:jc w:val="both"/>
      </w:pPr>
      <w:r>
        <w:t>La détermination :</w:t>
      </w:r>
    </w:p>
    <w:p w14:paraId="1307A969" w14:textId="77777777" w:rsidR="00772179" w:rsidRDefault="00000000">
      <w:pPr>
        <w:pStyle w:val="Author-eListParagraph"/>
        <w:numPr>
          <w:ilvl w:val="0"/>
          <w:numId w:val="525"/>
        </w:numPr>
      </w:pPr>
      <w:r>
        <w:t>du risque de repliement du tablier est effectuée selon la méthode d’essai de la norme [NBN EN 13330] et le déplacement &lt; 100 mm pour les actions de 400 N (classe 1) ou 750 N (classe 2).</w:t>
      </w:r>
    </w:p>
    <w:p w14:paraId="27FAE81A" w14:textId="77777777" w:rsidR="00772179" w:rsidRDefault="00000000">
      <w:pPr>
        <w:pStyle w:val="Author-eListParagraph"/>
        <w:numPr>
          <w:ilvl w:val="0"/>
          <w:numId w:val="525"/>
        </w:numPr>
      </w:pPr>
      <w:r>
        <w:t>du risque d’écartement des organes de guidage est effectuée selon la méthode d’essai de la norme [NBN EN 13330] sous les actions de 150 N (classe 1) ou 300 N (classe 2).</w:t>
      </w:r>
    </w:p>
    <w:p w14:paraId="5FA707CF" w14:textId="77777777" w:rsidR="00772179" w:rsidRDefault="00000000">
      <w:pPr>
        <w:pStyle w:val="Author-eListParagraph"/>
        <w:numPr>
          <w:ilvl w:val="0"/>
          <w:numId w:val="525"/>
        </w:numPr>
      </w:pPr>
      <w:r>
        <w:t>de la rigidité du tablier sous l’application d’une force horizontale est effectuée selon la méthode d’essai de la norme [NBN EN 1932] sous les actions de la classe 1 (correspondant à la classe 4 de résistance au vent) ou de classe 2 (correspondant à la classe 5 de résistance au vent).</w:t>
      </w:r>
    </w:p>
    <w:p w14:paraId="25E36C4A" w14:textId="77777777" w:rsidR="00772179" w:rsidRDefault="00000000">
      <w:pPr>
        <w:pStyle w:val="Author-eListParagraph"/>
        <w:numPr>
          <w:ilvl w:val="0"/>
          <w:numId w:val="525"/>
        </w:numPr>
      </w:pPr>
      <w:r>
        <w:t>du risque de perforation d’une lame ou d’un panneau est effectuée selon la méthode d’essai de la norme [NBN EN 13330] sous l’énergie de 7 Joules (classe 1) ou 12 Joules (classe 2).</w:t>
      </w:r>
    </w:p>
    <w:p w14:paraId="20BE0F6D" w14:textId="77777777" w:rsidR="00772179" w:rsidRDefault="00000000">
      <w:pPr>
        <w:pStyle w:val="Author-eListParagraph"/>
        <w:numPr>
          <w:ilvl w:val="0"/>
          <w:numId w:val="525"/>
        </w:numPr>
      </w:pPr>
      <w:r>
        <w:t>de la résistance de la lame du bas est effectuée selon la méthode d’essai de la norme [NBN EN 13330] sous l’action de 250 N (classe 1) ou 500 N (classe 2).</w:t>
      </w:r>
    </w:p>
    <w:p w14:paraId="36629972" w14:textId="77777777" w:rsidR="00772179" w:rsidRDefault="00000000">
      <w:pPr>
        <w:pStyle w:val="Author-eListParagraph"/>
        <w:numPr>
          <w:ilvl w:val="0"/>
          <w:numId w:val="525"/>
        </w:numPr>
      </w:pPr>
      <w:r>
        <w:t>de la résistance lors de l’installation de la fermeture est effectuée selon la méthode d’essai de la norme [NBN EN 13330] sous l’action horizontale sur l’organe de guidage de 150 N (classe 1) ou 300 N (classe 2).</w:t>
      </w:r>
    </w:p>
    <w:p w14:paraId="7FA583E0" w14:textId="77777777" w:rsidR="00772179" w:rsidRDefault="00000000">
      <w:pPr>
        <w:jc w:val="both"/>
      </w:pPr>
      <w:r>
        <w:t>Les éléments de fermeture ne sont pas démontables ni manœuvrables depuis l’extérieur.</w:t>
      </w:r>
    </w:p>
    <w:p w14:paraId="0BC123EF" w14:textId="77777777" w:rsidR="00772179" w:rsidRDefault="00000000">
      <w:pPr>
        <w:jc w:val="both"/>
      </w:pPr>
      <w:r>
        <w:t>La sécurité d’utilisation est assurée pour les éléments conformément à la norme [NBN EN 13659].</w:t>
      </w:r>
    </w:p>
    <w:p w14:paraId="0B8C4F89" w14:textId="77777777" w:rsidR="00772179" w:rsidRDefault="00000000">
      <w:pPr>
        <w:jc w:val="both"/>
      </w:pPr>
      <w:r>
        <w:rPr>
          <w:b/>
          <w:u w:val="single"/>
        </w:rPr>
        <w:t>Tableaux de volets</w:t>
      </w:r>
    </w:p>
    <w:p w14:paraId="20D3E7BB" w14:textId="77777777" w:rsidR="00772179" w:rsidRDefault="00000000">
      <w:pPr>
        <w:pStyle w:val="Author-eListParagraph"/>
        <w:numPr>
          <w:ilvl w:val="0"/>
          <w:numId w:val="526"/>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14:paraId="7C6DA3CE" w14:textId="77777777" w:rsidR="00772179" w:rsidRDefault="00000000">
      <w:pPr>
        <w:pStyle w:val="Author-eListParagraph"/>
        <w:numPr>
          <w:ilvl w:val="0"/>
          <w:numId w:val="526"/>
        </w:numPr>
      </w:pPr>
      <w:r>
        <w:t>La latte inférieure est renforcée et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w:t>
      </w:r>
    </w:p>
    <w:p w14:paraId="153222DB" w14:textId="77777777" w:rsidR="00772179" w:rsidRDefault="00000000">
      <w:pPr>
        <w:pStyle w:val="pheading"/>
      </w:pPr>
      <w:r>
        <w:t>EXÉCUTION / MISE EN ŒUVRE</w:t>
      </w:r>
    </w:p>
    <w:p w14:paraId="3F6FD957" w14:textId="77777777" w:rsidR="00772179" w:rsidRDefault="00000000">
      <w:r>
        <w:t>Les volets sont placés avec tous les accessoires et moyens de fixation nécessaires, conformément aux directives du fabricant et selon la [NIT 143].</w:t>
      </w:r>
      <w:r>
        <w:br/>
        <w:t>Les glissières latérales et les autres accessoires sont fixés uniquement à l'aide de matériaux inoxydables.</w:t>
      </w:r>
      <w:r>
        <w:br/>
        <w:t>Les détails de mise en œuvre des caissons à volets sont conformes aux critères énoncés dans la [NIT 283].</w:t>
      </w:r>
      <w:r>
        <w:br/>
        <w:t>L'étanchéité à l'air est mise en œuvre sur tout le pourtour du caisson à volet et la continuité avec le gros-œuvre et le châssis est réalisée.</w:t>
      </w:r>
      <w:r>
        <w:br/>
        <w:t xml:space="preserve">Le mode de pose et le guide d’utilisation (mode d’emploi pour chaque porte) sont communiqués au </w:t>
      </w:r>
      <w:r>
        <w:lastRenderedPageBreak/>
        <w:t>maître d’œuvre après la pose.</w:t>
      </w:r>
      <w:r>
        <w:br/>
        <w:t>Ils sont emballés ou conçus de manière à permettre un stockage sans détérioration.</w:t>
      </w:r>
    </w:p>
    <w:p w14:paraId="40F1B7C5" w14:textId="77777777" w:rsidR="00772179" w:rsidRDefault="00000000">
      <w:pPr>
        <w:jc w:val="both"/>
      </w:pPr>
      <w:r>
        <w:t>Les informations d’utilisation sont fournies conformément à la [NBN EN ISO 12100] et selon les exigences complémentaires suivantes :</w:t>
      </w:r>
    </w:p>
    <w:p w14:paraId="1423E041" w14:textId="77777777" w:rsidR="00772179" w:rsidRDefault="00000000">
      <w:pPr>
        <w:pStyle w:val="Author-eListParagraph"/>
        <w:numPr>
          <w:ilvl w:val="1"/>
          <w:numId w:val="528"/>
        </w:numPr>
        <w:jc w:val="both"/>
      </w:pPr>
      <w:r>
        <w:t>Un dispositif d’avertissement conforme à la [NBN EN 61310-1] accompagne la notice d’utilisation.</w:t>
      </w:r>
    </w:p>
    <w:p w14:paraId="3F5ECF5E" w14:textId="77777777" w:rsidR="00772179" w:rsidRDefault="00000000">
      <w:pPr>
        <w:pStyle w:val="Author-eListParagraph"/>
        <w:numPr>
          <w:ilvl w:val="1"/>
          <w:numId w:val="528"/>
        </w:numPr>
        <w:jc w:val="both"/>
      </w:pPr>
      <w:r>
        <w:t>La notice d’instruction décrit conformément à la [NBN EN ISO 12100] les instructions de montage, d’installation et de fixation, les phases de montage, d’éventuelles exigences particulières concernant le stockage, les méthodes de manutention correcte de la fermeture et de ses composants.</w:t>
      </w:r>
    </w:p>
    <w:p w14:paraId="33461401" w14:textId="77777777" w:rsidR="00772179" w:rsidRDefault="00000000">
      <w:pPr>
        <w:pStyle w:val="Author-eListParagraph"/>
        <w:numPr>
          <w:ilvl w:val="1"/>
          <w:numId w:val="528"/>
        </w:numPr>
        <w:jc w:val="both"/>
      </w:pPr>
      <w:r>
        <w:t>Les instructions concernant la motorisation</w:t>
      </w:r>
    </w:p>
    <w:p w14:paraId="227A2F73" w14:textId="77777777" w:rsidR="00772179" w:rsidRDefault="00000000">
      <w:pPr>
        <w:pStyle w:val="Author-eListParagraph"/>
        <w:numPr>
          <w:ilvl w:val="1"/>
          <w:numId w:val="528"/>
        </w:numPr>
        <w:jc w:val="both"/>
      </w:pPr>
      <w:r>
        <w:t>Les instructions d’utilisation et d’entretien</w:t>
      </w:r>
    </w:p>
    <w:p w14:paraId="447B1463" w14:textId="77777777" w:rsidR="00772179" w:rsidRDefault="00000000">
      <w:pPr>
        <w:ind w:left="750"/>
      </w:pPr>
      <w:r>
        <w:t> </w:t>
      </w:r>
    </w:p>
    <w:p w14:paraId="40C9E9FD" w14:textId="77777777" w:rsidR="00772179" w:rsidRDefault="00000000">
      <w:pPr>
        <w:pStyle w:val="pheading"/>
      </w:pPr>
      <w:r>
        <w:t>DOCUMENTS DE RÉFÉRENCE</w:t>
      </w:r>
    </w:p>
    <w:p w14:paraId="1D226874" w14:textId="77777777" w:rsidR="00772179" w:rsidRDefault="00000000">
      <w:pPr>
        <w:pStyle w:val="pheading"/>
      </w:pPr>
      <w:r>
        <w:t>- Matériau</w:t>
      </w:r>
    </w:p>
    <w:p w14:paraId="4C0DDFF0" w14:textId="77777777" w:rsidR="00772179" w:rsidRDefault="00000000">
      <w:r>
        <w:t>[NBN EN 12216, Fermetures, stores extérieurs et stores intérieurs - Terminologie, glossaire et définitions]</w:t>
      </w:r>
    </w:p>
    <w:p w14:paraId="4B54E410" w14:textId="77777777" w:rsidR="00772179" w:rsidRDefault="00000000">
      <w:r>
        <w:t>[NBN EN 13659, Fermetures et stores vénitiens extérieurs - Exigences de performance y compris la sécurité]</w:t>
      </w:r>
    </w:p>
    <w:p w14:paraId="12BE068B" w14:textId="77777777" w:rsidR="00772179" w:rsidRDefault="00000000">
      <w:r>
        <w:t>[NBN EN 1932, Fermetures pour baies équipées de fenêtres et stores extérieurs - Résistance aux charges de vent - Méthodes d'essai et critères de performance]</w:t>
      </w:r>
    </w:p>
    <w:p w14:paraId="1F0DB5F9" w14:textId="77777777" w:rsidR="00772179" w:rsidRDefault="00000000">
      <w:r>
        <w:t>[NBN EN 12833, Volets roulants de toit et véranda - Résistance à la charge de neige - Méthode d'essai]</w:t>
      </w:r>
    </w:p>
    <w:p w14:paraId="6C0AE320" w14:textId="77777777" w:rsidR="00772179" w:rsidRDefault="00000000">
      <w:r>
        <w:t>[NBN EN 1991-1-3, Eurocode 1 - Actions sur les structures - Partie 1-3: Actions générales - Charges de neige (+ AC:2009)]</w:t>
      </w:r>
    </w:p>
    <w:p w14:paraId="78B84260" w14:textId="77777777" w:rsidR="00772179" w:rsidRDefault="00000000">
      <w:r>
        <w:t>[NBN EN 13527, Fermetures pour baies équipées de fenêtres, stores intérieurs et extérieurs - Détermination de l'effort de manoeuvre - Méthodes d'essai]</w:t>
      </w:r>
    </w:p>
    <w:p w14:paraId="4FD7518A" w14:textId="77777777" w:rsidR="00772179" w:rsidRDefault="00000000">
      <w:r>
        <w:t>[NBN EN IEC 61000-6-3, Compatibilité électromagnétique (CEM) - Partie 6-3: Normes génériques - Norme sur l'émission relative aux appareils utilisés dans les environnements résidentiels]</w:t>
      </w:r>
    </w:p>
    <w:p w14:paraId="125FEDEF" w14:textId="77777777" w:rsidR="00772179" w:rsidRDefault="00000000">
      <w:r>
        <w:t>[NBN EN IEC 61000-6-2, Compatibilité électromagnétique (CEM) - Partie 6-2: Normes génériques - Norme d'immunité pour les environnements industriels]</w:t>
      </w:r>
    </w:p>
    <w:p w14:paraId="0537924A" w14:textId="77777777" w:rsidR="00772179" w:rsidRDefault="00000000">
      <w:r>
        <w:t>[NBN EN 12194, Fermetures pour baies équipées de fenêtres, stores extérieurs et intérieurs - Fausses manoeuvres - Méthodes d'essais]</w:t>
      </w:r>
    </w:p>
    <w:p w14:paraId="3FF3D7A8" w14:textId="77777777" w:rsidR="00772179" w:rsidRDefault="00000000">
      <w:r>
        <w:t>[NBN EN 14201, Fermetures pour baies équipées de fenêtres, stores intérieurs et stores extérieurs - Résistance aux manoeuvres répétées (endurance mécanique) - Méthodes d'essai]</w:t>
      </w:r>
    </w:p>
    <w:p w14:paraId="08A51968" w14:textId="77777777" w:rsidR="00772179" w:rsidRDefault="00000000">
      <w:r>
        <w:t>[NBN EN 14203, Fermetures pour baies équipées de fenêtres, stores intérieurs et stores extérieurs - Aptitude à l'emploi des treuils avec manivelle à tige oscillante - Exigences et méthodes d'essai]</w:t>
      </w:r>
    </w:p>
    <w:p w14:paraId="40CC684C" w14:textId="77777777" w:rsidR="00772179" w:rsidRDefault="00000000">
      <w:r>
        <w:t>[NBN EN 13330, Fermetures - Chocs de corps dur et protection de l'accès - Méthodes d'essai ]</w:t>
      </w:r>
    </w:p>
    <w:p w14:paraId="7CCA0A51" w14:textId="77777777" w:rsidR="00772179" w:rsidRDefault="00000000">
      <w:r>
        <w:t>[NBN EN 1627, Blocs-portes pour piétons, fenêtres, façades rideaux, grilles et fermetures - Résistance à l'effraction - Prescriptions et classification]</w:t>
      </w:r>
    </w:p>
    <w:p w14:paraId="6DFAB60A" w14:textId="77777777" w:rsidR="00772179" w:rsidRDefault="00000000">
      <w:r>
        <w:t>[NBN EN ISO 10077-1, Performance thermique des fenêtres, portes et fermetures - Calcul du coefficient de transmission thermique - Partie 1: Généralités (ISO 10077-1:2017, Version corrigée 2020-02)]</w:t>
      </w:r>
    </w:p>
    <w:p w14:paraId="46269E23" w14:textId="77777777" w:rsidR="00772179" w:rsidRDefault="00000000">
      <w:r>
        <w:t>[NBN EN 13125, Fermetures pour baies équipées de fenêtres, stores intérieurs et extérieurs - Résistance thermique additionnelle - Attribution d'une classe de perméabilité à l'air à un produit]</w:t>
      </w:r>
    </w:p>
    <w:p w14:paraId="528D6BF9" w14:textId="77777777" w:rsidR="00772179" w:rsidRDefault="00000000">
      <w:r>
        <w:t xml:space="preserve">[NBN EN ISO 52022-1, Performance énergétique des bâtiments - Propriétés thermiques, solaires et lumineuses des composants et éléments du bâtiment - Partie 1: Méthode de calcul simplifiée des </w:t>
      </w:r>
      <w:r>
        <w:lastRenderedPageBreak/>
        <w:t>caractéristiques solaires et lumineuses pour les dispositifs de protection solaire combinés à des vitrages (ISO 52022-1:2017)]</w:t>
      </w:r>
    </w:p>
    <w:p w14:paraId="1673FF55" w14:textId="77777777" w:rsidR="00772179" w:rsidRDefault="00000000">
      <w:r>
        <w:t>[NBN EN 14500, Fermetures et stores - Confort thermique et lumineux - Méthodes d'essai et de calcul]</w:t>
      </w:r>
    </w:p>
    <w:p w14:paraId="7B172B7A" w14:textId="77777777" w:rsidR="00772179" w:rsidRDefault="00000000">
      <w:r>
        <w:t>[NBN EN 14501, Fermetures et stores - Confort thermique et lumineux - Caractérisation des performances et classification]</w:t>
      </w:r>
    </w:p>
    <w:p w14:paraId="42EBF216" w14:textId="77777777" w:rsidR="00772179" w:rsidRDefault="00000000">
      <w:r>
        <w:t>[NBN S 01-400-1, Critères acoustiques pour les immeubles d'habitation]</w:t>
      </w:r>
    </w:p>
    <w:p w14:paraId="70B31F1D" w14:textId="77777777" w:rsidR="00772179" w:rsidRDefault="00000000">
      <w:r>
        <w:t>[NBN EN ISO 717-1, Acoustique - Évaluation de l'isolement acoustique des immeubles et des éléments de construction - Partie 1: Isolement aux bruits aériens (ISO 717-1:2020)]</w:t>
      </w:r>
    </w:p>
    <w:p w14:paraId="22BD95AC" w14:textId="77777777" w:rsidR="00772179" w:rsidRDefault="00000000">
      <w:pPr>
        <w:pStyle w:val="pheading"/>
      </w:pPr>
      <w:r>
        <w:t>- Exécution</w:t>
      </w:r>
    </w:p>
    <w:p w14:paraId="5E239DF5" w14:textId="77777777" w:rsidR="00772179" w:rsidRDefault="00000000">
      <w:r>
        <w:t>[NBN EN ISO 12100, Sécurité des machines - Principes généraux de conception - Appréciation du risque et réduction du risque (ISO 12100:2010)]</w:t>
      </w:r>
    </w:p>
    <w:p w14:paraId="176F9BDE" w14:textId="77777777" w:rsidR="00772179" w:rsidRDefault="00000000">
      <w:r>
        <w:t>[NBN EN 61310-1, Sécurité des machines - Indication, marquage et manoeuvre - Partie 1 : Exigences pour les signaux visuels, acoustiques et tactiles]</w:t>
      </w:r>
    </w:p>
    <w:p w14:paraId="2FBB61A6" w14:textId="77777777" w:rsidR="00772179" w:rsidRDefault="00000000">
      <w:r>
        <w:t>[NIT 143, Volets roulants pour habitations.]</w:t>
      </w:r>
    </w:p>
    <w:p w14:paraId="429DFA84" w14:textId="77777777" w:rsidR="00772179" w:rsidRDefault="00000000">
      <w:r>
        <w:t>[NIT 283, La pose des menuiseries extérieures. Partie 1 : aspects généraux.]</w:t>
      </w:r>
    </w:p>
    <w:p w14:paraId="41A0724B" w14:textId="77777777" w:rsidR="00772179" w:rsidRDefault="00000000">
      <w:pPr>
        <w:ind w:left="750"/>
      </w:pPr>
      <w:r>
        <w:t> </w:t>
      </w:r>
    </w:p>
    <w:p w14:paraId="434D8701" w14:textId="77777777" w:rsidR="00772179" w:rsidRDefault="00000000">
      <w:pPr>
        <w:pStyle w:val="Author-eSectionHeading5Numberless"/>
      </w:pPr>
      <w:bookmarkStart w:id="226" w:name="_Toc220489964"/>
      <w:r>
        <w:t>41.51.1 Volets roulants encastrés CCTB 01.11</w:t>
      </w:r>
      <w:bookmarkEnd w:id="226"/>
    </w:p>
    <w:p w14:paraId="10411073" w14:textId="77777777" w:rsidR="00772179" w:rsidRDefault="00000000">
      <w:pPr>
        <w:pStyle w:val="pheading"/>
      </w:pPr>
      <w:r>
        <w:t>DESCRIPTION</w:t>
      </w:r>
    </w:p>
    <w:p w14:paraId="2B20D283" w14:textId="77777777" w:rsidR="00772179" w:rsidRDefault="00000000">
      <w:pPr>
        <w:pStyle w:val="pheading"/>
      </w:pPr>
      <w:r>
        <w:t>- Définition / Comprend</w:t>
      </w:r>
    </w:p>
    <w:p w14:paraId="2538B10D" w14:textId="77777777" w:rsidR="00772179" w:rsidRDefault="00000000">
      <w:r>
        <w:t>Il s'agit de la fourniture et la pose de volets roulants pour fenêtres, afin d'assurer la fermeture, la protection et l’occultation des ouvertures de façade. Ils sont constitués d’un store enroulable glissant dans des coulisses latérales et d’un mécanisme de manœuvre pour lever et baisser le volet. Conformément aux dispositions générales et/ou spécifiques du cahier spécial des charges, les prix unitaires compris dans ce poste comprennent toujours, soit selon la ventilation dans le métré récapitulatif, soit dans leur totalité :</w:t>
      </w:r>
    </w:p>
    <w:p w14:paraId="0AED01D0" w14:textId="77777777" w:rsidR="00772179" w:rsidRDefault="00000000">
      <w:pPr>
        <w:pStyle w:val="Author-eListParagraph"/>
        <w:numPr>
          <w:ilvl w:val="0"/>
          <w:numId w:val="529"/>
        </w:numPr>
      </w:pPr>
      <w:r>
        <w:t>les feuilles de volet et tous les accessoires prévus ;</w:t>
      </w:r>
    </w:p>
    <w:p w14:paraId="416B43FB" w14:textId="77777777" w:rsidR="00772179" w:rsidRDefault="00000000">
      <w:pPr>
        <w:pStyle w:val="Author-eListParagraph"/>
        <w:numPr>
          <w:ilvl w:val="0"/>
          <w:numId w:val="529"/>
        </w:numPr>
      </w:pPr>
      <w:r>
        <w:t>les coulisses latérales avec tous les accessoires nécessaires au raccordement à la structure environnante ;</w:t>
      </w:r>
    </w:p>
    <w:p w14:paraId="4B1BCF99" w14:textId="77777777" w:rsidR="00772179" w:rsidRDefault="00000000">
      <w:pPr>
        <w:pStyle w:val="Author-eListParagraph"/>
        <w:numPr>
          <w:ilvl w:val="0"/>
          <w:numId w:val="529"/>
        </w:numPr>
      </w:pPr>
      <w:r>
        <w:t>le mécanisme de commande et d'enroulement (manuel et/ou à entraînement électrique).  </w:t>
      </w:r>
    </w:p>
    <w:p w14:paraId="04F7EB24" w14:textId="77777777" w:rsidR="00772179" w:rsidRDefault="00000000">
      <w:r>
        <w:rPr>
          <w:i/>
          <w:u w:val="single"/>
        </w:rPr>
        <w:t xml:space="preserve">Attention </w:t>
      </w:r>
      <w:r>
        <w:br/>
        <w:t>L'habillage des caisses à volets et leur isolation sont repris comme option séparée sous la rubrique 55.51 Habillage de fenêtres et 55.52 Habillage de portes habillage portes et fenêtres extérieures.</w:t>
      </w:r>
    </w:p>
    <w:p w14:paraId="36046D4A" w14:textId="77777777" w:rsidR="00772179" w:rsidRDefault="00000000">
      <w:pPr>
        <w:pStyle w:val="pheading"/>
      </w:pPr>
      <w:r>
        <w:t>MATÉRIAUX</w:t>
      </w:r>
    </w:p>
    <w:p w14:paraId="62E185F9" w14:textId="77777777" w:rsidR="00772179" w:rsidRDefault="00000000">
      <w:pPr>
        <w:pStyle w:val="Author-eListParagraph"/>
        <w:numPr>
          <w:ilvl w:val="0"/>
          <w:numId w:val="530"/>
        </w:numPr>
      </w:pPr>
      <w:r>
        <w:t>L'entrepreneur soumet à l'avance les dessins de détail et les relevés des pièces de volet en même temps que ceux de la menuiserie, pour approbation à l'auteur de projet.</w:t>
      </w:r>
    </w:p>
    <w:p w14:paraId="00DD9659" w14:textId="77777777" w:rsidR="00772179" w:rsidRDefault="00000000">
      <w:pPr>
        <w:pStyle w:val="heading"/>
      </w:pPr>
      <w:r>
        <w:t>Tableaux de volets</w:t>
      </w:r>
    </w:p>
    <w:p w14:paraId="4FDD9598" w14:textId="77777777" w:rsidR="00772179" w:rsidRDefault="00000000">
      <w:pPr>
        <w:pStyle w:val="Author-eListParagraph"/>
        <w:numPr>
          <w:ilvl w:val="0"/>
          <w:numId w:val="531"/>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14:paraId="02C0CA15" w14:textId="77777777" w:rsidR="00772179" w:rsidRDefault="00000000">
      <w:pPr>
        <w:pStyle w:val="Author-eListParagraph"/>
        <w:numPr>
          <w:ilvl w:val="0"/>
          <w:numId w:val="531"/>
        </w:numPr>
      </w:pPr>
      <w:r>
        <w:t>La latte inférieure est renforcée et pourvue de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 </w:t>
      </w:r>
    </w:p>
    <w:p w14:paraId="391528BF" w14:textId="77777777" w:rsidR="00772179" w:rsidRDefault="00000000">
      <w:pPr>
        <w:pStyle w:val="heading"/>
      </w:pPr>
      <w:r>
        <w:lastRenderedPageBreak/>
        <w:t>Mécanisme d'enroulement</w:t>
      </w:r>
    </w:p>
    <w:p w14:paraId="7BC90C2A" w14:textId="77777777" w:rsidR="00772179" w:rsidRDefault="00000000">
      <w:pPr>
        <w:pStyle w:val="Author-eListParagraph"/>
        <w:numPr>
          <w:ilvl w:val="0"/>
          <w:numId w:val="532"/>
        </w:numPr>
      </w:pPr>
      <w:r>
        <w:t xml:space="preserve">Les tableaux de volets sont actionnés par un système de pivot enrouleur en </w:t>
      </w:r>
      <w:r>
        <w:rPr>
          <w:rStyle w:val="optioncarChar"/>
        </w:rPr>
        <w:t xml:space="preserve">PVC / acier </w:t>
      </w:r>
      <w:r>
        <w:t xml:space="preserve">sur roulements à billes , Ø ≥ 60 mm. </w:t>
      </w:r>
      <w:r>
        <w:br/>
        <w:t>Le mécanisme d'enroulement se compose de :</w:t>
      </w:r>
    </w:p>
    <w:p w14:paraId="6AE4A3DC" w14:textId="77777777" w:rsidR="00772179" w:rsidRDefault="00000000">
      <w:r>
        <w:rPr>
          <w:b/>
        </w:rPr>
        <w:t>(soit par défaut)</w:t>
      </w:r>
      <w:r>
        <w:t xml:space="preserve"> : </w:t>
      </w:r>
      <w:r>
        <w:rPr>
          <w:rStyle w:val="soitChar"/>
          <w:u w:val="single"/>
        </w:rPr>
        <w:t>une poulie en matière synthétique ou en tôle d'acier galvanisé</w:t>
      </w:r>
      <w:r>
        <w:rPr>
          <w:rStyle w:val="soitChar"/>
        </w:rPr>
        <w:t>, un guide-ruban, un solide ruban en Nylon (largeur ± 22 mm ) avec enrouleur automatique encastré dans le caisson. L'ouverture pour le ruban est fermée par une plaque de couverture en laiton ou en matière synthétique. Lorsque les dimensions dans l'œuvre ≥ 2,50 m, un pivot enrouleur avec roue de dédoublement est posé.</w:t>
      </w:r>
      <w:r>
        <w:br/>
      </w:r>
      <w:r>
        <w:rPr>
          <w:b/>
        </w:rPr>
        <w:t>(soit)</w:t>
      </w:r>
      <w:r>
        <w:t xml:space="preserve"> : </w:t>
      </w:r>
      <w:r>
        <w:rPr>
          <w:rStyle w:val="optioncarChar"/>
        </w:rPr>
        <w:t>une poulie en matière synthétique / tôle d'acier galvanisé / ***</w:t>
      </w:r>
      <w:r>
        <w:t xml:space="preserve">, </w:t>
      </w:r>
      <w:r>
        <w:rPr>
          <w:rStyle w:val="soitChar"/>
        </w:rPr>
        <w:t>un câble en acier dans tube de guidage encastré, un treuil encastré avec plaque de couverture en </w:t>
      </w:r>
      <w:r>
        <w:rPr>
          <w:rStyle w:val="optioncarChar"/>
        </w:rPr>
        <w:t xml:space="preserve">laiton / matière synthétique / *** </w:t>
      </w:r>
      <w:r>
        <w:rPr>
          <w:rStyle w:val="soitChar"/>
        </w:rPr>
        <w:t>et un frein pour le blocage du volet à la hauteur désirée. L'ensemble est équipé d'une manivelle chromée amovible. Par unité de logement, on livre au moins deux manivelles.</w:t>
      </w:r>
      <w:r>
        <w:br/>
      </w:r>
      <w:r>
        <w:rPr>
          <w:b/>
        </w:rPr>
        <w:t>(soit)</w:t>
      </w:r>
      <w:r>
        <w:t> : </w:t>
      </w:r>
      <w:r>
        <w:rPr>
          <w:rStyle w:val="optioncarChar"/>
        </w:rPr>
        <w:t xml:space="preserve">une poulie en matière synthétique / tôle d'acier galvanisé / ***, </w:t>
      </w:r>
      <w:r>
        <w:rPr>
          <w:rStyle w:val="soitChar"/>
        </w:rPr>
        <w:t>pourvue d’un ressort encastré actionné par un système d’engrenage en fonte et d’une tige de manœuvre avec manivelle chromée pliable. Attention : les lattes à rainures de ventilation ne sont pas appliquées dans un système de volet à ressort encastré.</w:t>
      </w:r>
    </w:p>
    <w:p w14:paraId="606F31D2" w14:textId="77777777" w:rsidR="00772179" w:rsidRDefault="00000000">
      <w:pPr>
        <w:pStyle w:val="Author-eListParagraph"/>
        <w:numPr>
          <w:ilvl w:val="0"/>
          <w:numId w:val="533"/>
        </w:numPr>
      </w:pPr>
      <w:r>
        <w:rPr>
          <w:rStyle w:val="soitChar"/>
        </w:rPr>
        <w:t>L’enroulement du volet commence 3 cm au-dessus du jour de baie.</w:t>
      </w:r>
    </w:p>
    <w:p w14:paraId="24D72BB8" w14:textId="77777777" w:rsidR="00772179" w:rsidRDefault="00000000">
      <w:pPr>
        <w:pStyle w:val="Author-eListParagraph"/>
        <w:numPr>
          <w:ilvl w:val="0"/>
          <w:numId w:val="533"/>
        </w:numPr>
      </w:pPr>
      <w:r>
        <w:rPr>
          <w:rStyle w:val="soitChar"/>
        </w:rPr>
        <w:t>Un dispositif de verrouillage automatique encastré empêche le soulèvement du volet baissé et ferme l’intérieur du caisson.</w:t>
      </w:r>
    </w:p>
    <w:p w14:paraId="6DB4F0EE" w14:textId="77777777" w:rsidR="00772179" w:rsidRDefault="00000000">
      <w:pPr>
        <w:pStyle w:val="Author-eListParagraph"/>
        <w:numPr>
          <w:ilvl w:val="0"/>
          <w:numId w:val="533"/>
        </w:numPr>
      </w:pPr>
      <w:r>
        <w:rPr>
          <w:rStyle w:val="soitChar"/>
        </w:rPr>
        <w:t>Pour les volets dont la largeur est &gt; 1 m , on pose des rouleaux de compression sur la traverse supérieure des châssis de fenêtre, pour éviter que le tableau du volet ne frotte contre la partie supérieure au moment de l'ouverture et de la fermeture. Ces rouleaux sont en matière synthétique et leur écartement ≤ 1 m.</w:t>
      </w:r>
    </w:p>
    <w:p w14:paraId="518BD86A" w14:textId="77777777" w:rsidR="00772179" w:rsidRDefault="00000000">
      <w:pPr>
        <w:pStyle w:val="Author-eListParagraph"/>
        <w:numPr>
          <w:ilvl w:val="0"/>
          <w:numId w:val="533"/>
        </w:numPr>
      </w:pPr>
      <w:r>
        <w:rPr>
          <w:rStyle w:val="soitChar"/>
        </w:rPr>
        <w:t>Sur les volets d'une largeur &gt; 3,5 m, des crochets à pitons sont fixés pour éviter le déploiement en cas de poussée du vent élevée. </w:t>
      </w:r>
    </w:p>
    <w:p w14:paraId="7CFA4162" w14:textId="77777777" w:rsidR="00772179" w:rsidRDefault="00000000">
      <w:pPr>
        <w:pStyle w:val="heading"/>
      </w:pPr>
      <w:r>
        <w:t>Glissières latérales</w:t>
      </w:r>
    </w:p>
    <w:p w14:paraId="27AB3581" w14:textId="77777777" w:rsidR="00772179" w:rsidRDefault="00000000">
      <w:pPr>
        <w:pStyle w:val="Author-eListParagraph"/>
        <w:numPr>
          <w:ilvl w:val="0"/>
          <w:numId w:val="534"/>
        </w:numPr>
      </w:pPr>
      <w:r>
        <w:t>Les coulisses latérales assurent à la fois un enroulement régulier et souple et une protection contre le vent. Elles sont du type "glissière-tempête" pour le guidage des volets à crochets à pitons.</w:t>
      </w:r>
    </w:p>
    <w:p w14:paraId="6E3054BA" w14:textId="77777777" w:rsidR="00772179" w:rsidRDefault="00000000">
      <w:pPr>
        <w:pStyle w:val="Author-eListParagraph"/>
        <w:numPr>
          <w:ilvl w:val="0"/>
          <w:numId w:val="534"/>
        </w:numPr>
      </w:pPr>
      <w:r>
        <w:t xml:space="preserve">Selon le type et la description dans le cahier spécial des charges, les glissières latérales sont : </w:t>
      </w:r>
      <w:r>
        <w:rPr>
          <w:rStyle w:val="optioncarChar"/>
        </w:rPr>
        <w:t>encastrées de manière invisible entre le mur et le châssis de fenêtre / intégrées dans les profilés de la menuiserie extérieure </w:t>
      </w:r>
    </w:p>
    <w:p w14:paraId="4F2F4C9F" w14:textId="77777777" w:rsidR="00772179" w:rsidRDefault="00000000">
      <w:pPr>
        <w:pStyle w:val="Author-eListParagraph"/>
        <w:numPr>
          <w:ilvl w:val="0"/>
          <w:numId w:val="534"/>
        </w:numPr>
      </w:pPr>
      <w:r>
        <w:t>Sauf spécifications particulières dans le cahier spécial des charges, les glissières latérales sont réalisées à l'aide de profils en U (à lèvre), fabriqués dans le même matériau que la menuiserie extérieure, soit en aluminium anodisé, en acier galvanisé ou en matière synthétique.</w:t>
      </w:r>
    </w:p>
    <w:p w14:paraId="649B3CB6" w14:textId="77777777" w:rsidR="00772179" w:rsidRDefault="00000000">
      <w:pPr>
        <w:pStyle w:val="Author-eListParagraph"/>
        <w:numPr>
          <w:ilvl w:val="0"/>
          <w:numId w:val="534"/>
        </w:numPr>
      </w:pPr>
      <w:r>
        <w:t>Les glissières cachées ou intégrées sont, en principe, adaptées à la couleur de la menuiserie extérieure.</w:t>
      </w:r>
    </w:p>
    <w:p w14:paraId="327500DD" w14:textId="77777777" w:rsidR="00772179" w:rsidRDefault="00000000">
      <w:pPr>
        <w:pStyle w:val="Author-eListParagraph"/>
        <w:numPr>
          <w:ilvl w:val="0"/>
          <w:numId w:val="534"/>
        </w:numPr>
      </w:pPr>
      <w:r>
        <w:t>La profondeur de guidage des glissières latérales ≥ 25 mm pour les volets dont la largeur &lt; 2,50 m et 35 mm pour les largeurs &gt; 2,50 m. Le jeu latéral dans les glissières est déterminé par le fabricant, compte tenu du coefficient de dilatation du matériau. Pour les volets en PVC, le jeu ≥ 7 mm pour les volets d'une largeur ≤ 1,50 m et ≥ 10 mm pour les largeurs ≥ 2,50 m.</w:t>
      </w:r>
    </w:p>
    <w:p w14:paraId="4DAEE398" w14:textId="77777777" w:rsidR="00772179" w:rsidRDefault="00000000">
      <w:pPr>
        <w:pStyle w:val="Author-eListParagraph"/>
        <w:numPr>
          <w:ilvl w:val="0"/>
          <w:numId w:val="534"/>
        </w:numPr>
      </w:pPr>
      <w:r>
        <w:t>Lorsque les seuils sont inclinés, le bas des glissières est également biseauté. La hauteur des glissières latérales est égale à la hauteur dans l'œuvre de la baie + 8 cm. Dans le haut, les glissières sont élargies afin de faciliter le coulissage du volet. Pour les glissières en PVC, il existe des éléments spéciaux en entonnoir. </w:t>
      </w:r>
    </w:p>
    <w:p w14:paraId="495E18BB" w14:textId="77777777" w:rsidR="00772179" w:rsidRDefault="00000000">
      <w:pPr>
        <w:pStyle w:val="heading"/>
      </w:pPr>
      <w:r>
        <w:t>Caisses à volets</w:t>
      </w:r>
    </w:p>
    <w:p w14:paraId="39E7A7F5" w14:textId="77777777" w:rsidR="00772179" w:rsidRDefault="00000000">
      <w:pPr>
        <w:pStyle w:val="Author-eListParagraph"/>
        <w:numPr>
          <w:ilvl w:val="0"/>
          <w:numId w:val="535"/>
        </w:numPr>
      </w:pPr>
      <w:r>
        <w:t>Les dimensions des caisses à volets sont déterminées en fonction du volet ayant les plus grandes dimensions et la plus forte surcharge du vent, compte tenu du Ø du volet enroulé, de l’épaisseur du matériau isolant et du jeu nécessaire.</w:t>
      </w:r>
    </w:p>
    <w:p w14:paraId="07233CAC" w14:textId="77777777" w:rsidR="00772179" w:rsidRDefault="00000000">
      <w:pPr>
        <w:pStyle w:val="Author-eListParagraph"/>
        <w:numPr>
          <w:ilvl w:val="0"/>
          <w:numId w:val="535"/>
        </w:numPr>
      </w:pPr>
      <w:r>
        <w:lastRenderedPageBreak/>
        <w:t>Le jeu est ≥ 2 cm (pour les volets dont la largeur est &lt; 2,5 m) et de 4 cm (pour les volets dont la largeur est ≥ 2,5 m). Sur le côté, l'espace nécessaire est prévu pour le système de commande.</w:t>
      </w:r>
    </w:p>
    <w:p w14:paraId="6DDB3DB7" w14:textId="77777777" w:rsidR="00772179" w:rsidRDefault="00000000">
      <w:pPr>
        <w:pStyle w:val="Author-eListParagraph"/>
        <w:numPr>
          <w:ilvl w:val="0"/>
          <w:numId w:val="535"/>
        </w:numPr>
      </w:pPr>
      <w:r>
        <w:t>La caisse à volet est fabriquée en matériaux résistants à l'humidité. Afin de prévenir les ponts thermiques, la caisse à volet est isolée sur toutes les faces.</w:t>
      </w:r>
    </w:p>
    <w:p w14:paraId="0EDB8E45" w14:textId="77777777" w:rsidR="00772179" w:rsidRDefault="00000000">
      <w:pPr>
        <w:pStyle w:val="pheading"/>
      </w:pPr>
      <w:r>
        <w:t>EXÉCUTION / MISE EN ŒUVRE</w:t>
      </w:r>
    </w:p>
    <w:p w14:paraId="17ED990D" w14:textId="77777777" w:rsidR="00772179" w:rsidRDefault="00000000">
      <w:pPr>
        <w:pStyle w:val="Author-eListParagraph"/>
        <w:numPr>
          <w:ilvl w:val="0"/>
          <w:numId w:val="536"/>
        </w:numPr>
      </w:pPr>
      <w:r>
        <w:t>L'entrepreneur assume la responsabilité en ce qui concerne la bonne coordination entre les travaux de gros-œuvre et les dispositifs pour l'installation des volets. Les réservations nécessaires dans le gros-œuvre sont prévues conformément aux choix du profil de volet et de son mode d'actionnement.</w:t>
      </w:r>
    </w:p>
    <w:p w14:paraId="1115531B" w14:textId="77777777" w:rsidR="00772179" w:rsidRDefault="00000000">
      <w:pPr>
        <w:pStyle w:val="Author-eListParagraph"/>
        <w:numPr>
          <w:ilvl w:val="0"/>
          <w:numId w:val="536"/>
        </w:numPr>
      </w:pPr>
      <w:r>
        <w:t>Il prend à l'avance les mesures exactes du volet, adaptées à la profondeur des glissières latérales.</w:t>
      </w:r>
    </w:p>
    <w:p w14:paraId="7A21DBF1" w14:textId="77777777" w:rsidR="00772179" w:rsidRDefault="00000000">
      <w:pPr>
        <w:pStyle w:val="Author-eListParagraph"/>
        <w:numPr>
          <w:ilvl w:val="0"/>
          <w:numId w:val="536"/>
        </w:numPr>
      </w:pPr>
      <w:r>
        <w:t>Les volets sont placés avec tous les accessoires et moyens de fixation nécessaires, conformément aux directives du fabricant et selon la [NIT 143].</w:t>
      </w:r>
    </w:p>
    <w:p w14:paraId="7FFFA209" w14:textId="77777777" w:rsidR="00772179" w:rsidRDefault="00000000">
      <w:pPr>
        <w:pStyle w:val="Author-eListParagraph"/>
        <w:numPr>
          <w:ilvl w:val="0"/>
          <w:numId w:val="536"/>
        </w:numPr>
      </w:pPr>
      <w:r>
        <w:t>Les glissières latérales et les autres accessoires sont fixés uniquement à l'aide de matériaux inoxydables.</w:t>
      </w:r>
    </w:p>
    <w:p w14:paraId="0CF82C48" w14:textId="77777777" w:rsidR="00772179" w:rsidRDefault="00000000">
      <w:pPr>
        <w:pStyle w:val="Author-eListParagraph"/>
        <w:numPr>
          <w:ilvl w:val="0"/>
          <w:numId w:val="536"/>
        </w:numPr>
      </w:pPr>
      <w:r>
        <w:t>Les détails de mise en œuvre des caissons à volets sont conformes aux critères énoncés dans la [NIT 283].</w:t>
      </w:r>
    </w:p>
    <w:p w14:paraId="27C7871F" w14:textId="77777777" w:rsidR="00772179" w:rsidRDefault="00000000">
      <w:pPr>
        <w:pStyle w:val="Author-eListParagraph"/>
        <w:numPr>
          <w:ilvl w:val="0"/>
          <w:numId w:val="536"/>
        </w:numPr>
      </w:pPr>
      <w:r>
        <w:t>L'étanchéité à l'air est mise en œuvre sur tout le pourtour du caisson à volet et la continuité avec le gros-œuvre et le châssis est réalisée. </w:t>
      </w:r>
    </w:p>
    <w:p w14:paraId="2C97763F" w14:textId="77777777" w:rsidR="00772179" w:rsidRDefault="00000000">
      <w:pPr>
        <w:ind w:left="750"/>
      </w:pPr>
      <w:r>
        <w:t> </w:t>
      </w:r>
    </w:p>
    <w:p w14:paraId="49A01B63" w14:textId="77777777" w:rsidR="00772179" w:rsidRDefault="00000000">
      <w:pPr>
        <w:pStyle w:val="pheading"/>
      </w:pPr>
      <w:r>
        <w:t>CONTRÔLES</w:t>
      </w:r>
    </w:p>
    <w:p w14:paraId="1E479044" w14:textId="77777777" w:rsidR="00772179" w:rsidRDefault="00000000">
      <w:pPr>
        <w:pStyle w:val="Author-eListParagraph"/>
        <w:numPr>
          <w:ilvl w:val="0"/>
          <w:numId w:val="537"/>
        </w:numPr>
      </w:pPr>
      <w:r>
        <w:t>Les volets ne coincent pas, l'enroulement et le déroulement s'effectuent sans accroc.</w:t>
      </w:r>
    </w:p>
    <w:p w14:paraId="3A763860" w14:textId="77777777" w:rsidR="00772179" w:rsidRDefault="00000000">
      <w:pPr>
        <w:pStyle w:val="Author-eListParagraph"/>
        <w:numPr>
          <w:ilvl w:val="0"/>
          <w:numId w:val="537"/>
        </w:numPr>
      </w:pPr>
      <w:r>
        <w:t>Les éléments de volet qui sont endommagés sont remplacés.</w:t>
      </w:r>
    </w:p>
    <w:p w14:paraId="645D9323" w14:textId="77777777" w:rsidR="00772179" w:rsidRDefault="00000000">
      <w:pPr>
        <w:pStyle w:val="Author-eListParagraph"/>
        <w:numPr>
          <w:ilvl w:val="0"/>
          <w:numId w:val="537"/>
        </w:numPr>
      </w:pPr>
      <w:r>
        <w:t>Les glissières latérales se raccordent proprement et uniformément aux bords de la menuiserie extérieure et/ou du jour de la baie de fenêtre.</w:t>
      </w:r>
    </w:p>
    <w:p w14:paraId="74E2A4DE" w14:textId="77777777" w:rsidR="00772179" w:rsidRDefault="00000000">
      <w:pPr>
        <w:pStyle w:val="pheading"/>
      </w:pPr>
      <w:r>
        <w:t>AIDE</w:t>
      </w:r>
    </w:p>
    <w:p w14:paraId="35DBBBDB" w14:textId="77777777" w:rsidR="00772179" w:rsidRDefault="00000000">
      <w:r>
        <w:rPr>
          <w:i/>
          <w:u w:val="single"/>
        </w:rPr>
        <w:t>Note à l’attention de l’auteur de projet</w:t>
      </w:r>
      <w:r>
        <w:br/>
        <w:t>Lorsque les lames ont une épaisseur de 15 mm, il y a lieu de tenir compte du Ø libre suivant dans la caisse à volet :</w:t>
      </w:r>
    </w:p>
    <w:tbl>
      <w:tblPr>
        <w:tblStyle w:val="Author-eTableGrid"/>
        <w:tblW w:w="5000" w:type="pct"/>
        <w:tblLayout w:type="fixed"/>
        <w:tblLook w:val="04A0" w:firstRow="1" w:lastRow="0" w:firstColumn="1" w:lastColumn="0" w:noHBand="0" w:noVBand="1"/>
      </w:tblPr>
      <w:tblGrid>
        <w:gridCol w:w="1299"/>
        <w:gridCol w:w="1299"/>
        <w:gridCol w:w="1300"/>
        <w:gridCol w:w="1300"/>
        <w:gridCol w:w="1300"/>
        <w:gridCol w:w="1300"/>
        <w:gridCol w:w="1300"/>
      </w:tblGrid>
      <w:tr w:rsidR="00772179" w14:paraId="43C898F0" w14:textId="77777777">
        <w:tc>
          <w:tcPr>
            <w:tcW w:w="1290" w:type="dxa"/>
            <w:noWrap/>
          </w:tcPr>
          <w:p w14:paraId="49C286EA" w14:textId="77777777" w:rsidR="00772179" w:rsidRDefault="00000000">
            <w:r>
              <w:t>Hauteur de la fenêtre  (cm)</w:t>
            </w:r>
          </w:p>
        </w:tc>
        <w:tc>
          <w:tcPr>
            <w:tcW w:w="1290" w:type="dxa"/>
            <w:noWrap/>
          </w:tcPr>
          <w:p w14:paraId="46BEAE5A" w14:textId="77777777" w:rsidR="00772179" w:rsidRDefault="00000000">
            <w:r>
              <w:t>100</w:t>
            </w:r>
          </w:p>
        </w:tc>
        <w:tc>
          <w:tcPr>
            <w:tcW w:w="1290" w:type="dxa"/>
            <w:noWrap/>
          </w:tcPr>
          <w:p w14:paraId="1C338964" w14:textId="77777777" w:rsidR="00772179" w:rsidRDefault="00000000">
            <w:r>
              <w:t>125</w:t>
            </w:r>
          </w:p>
        </w:tc>
        <w:tc>
          <w:tcPr>
            <w:tcW w:w="1290" w:type="dxa"/>
            <w:noWrap/>
          </w:tcPr>
          <w:p w14:paraId="002A7AE1" w14:textId="77777777" w:rsidR="00772179" w:rsidRDefault="00000000">
            <w:r>
              <w:t>150</w:t>
            </w:r>
          </w:p>
        </w:tc>
        <w:tc>
          <w:tcPr>
            <w:tcW w:w="1290" w:type="dxa"/>
            <w:noWrap/>
          </w:tcPr>
          <w:p w14:paraId="78B8AA07" w14:textId="77777777" w:rsidR="00772179" w:rsidRDefault="00000000">
            <w:r>
              <w:t>200</w:t>
            </w:r>
          </w:p>
        </w:tc>
        <w:tc>
          <w:tcPr>
            <w:tcW w:w="1290" w:type="dxa"/>
            <w:noWrap/>
          </w:tcPr>
          <w:p w14:paraId="5F5FD9C2" w14:textId="77777777" w:rsidR="00772179" w:rsidRDefault="00000000">
            <w:r>
              <w:t>225</w:t>
            </w:r>
          </w:p>
        </w:tc>
        <w:tc>
          <w:tcPr>
            <w:tcW w:w="1290" w:type="dxa"/>
            <w:noWrap/>
          </w:tcPr>
          <w:p w14:paraId="7B31E26E" w14:textId="77777777" w:rsidR="00772179" w:rsidRDefault="00000000">
            <w:r>
              <w:t>250</w:t>
            </w:r>
          </w:p>
        </w:tc>
      </w:tr>
      <w:tr w:rsidR="00772179" w14:paraId="7DDB1555" w14:textId="77777777">
        <w:tc>
          <w:tcPr>
            <w:tcW w:w="1290" w:type="dxa"/>
            <w:noWrap/>
          </w:tcPr>
          <w:p w14:paraId="019FF626" w14:textId="77777777" w:rsidR="00772179" w:rsidRDefault="00000000">
            <w:r>
              <w:t>Diamètre de la caisse à volet (cm)</w:t>
            </w:r>
          </w:p>
        </w:tc>
        <w:tc>
          <w:tcPr>
            <w:tcW w:w="1290" w:type="dxa"/>
            <w:noWrap/>
          </w:tcPr>
          <w:p w14:paraId="70B2C3CD" w14:textId="77777777" w:rsidR="00772179" w:rsidRDefault="00000000">
            <w:r>
              <w:t>21</w:t>
            </w:r>
          </w:p>
        </w:tc>
        <w:tc>
          <w:tcPr>
            <w:tcW w:w="1290" w:type="dxa"/>
            <w:noWrap/>
          </w:tcPr>
          <w:p w14:paraId="150E91ED" w14:textId="77777777" w:rsidR="00772179" w:rsidRDefault="00000000">
            <w:r>
              <w:t>22</w:t>
            </w:r>
          </w:p>
        </w:tc>
        <w:tc>
          <w:tcPr>
            <w:tcW w:w="1290" w:type="dxa"/>
            <w:noWrap/>
          </w:tcPr>
          <w:p w14:paraId="6B00F940" w14:textId="77777777" w:rsidR="00772179" w:rsidRDefault="00000000">
            <w:r>
              <w:t>23</w:t>
            </w:r>
          </w:p>
        </w:tc>
        <w:tc>
          <w:tcPr>
            <w:tcW w:w="1290" w:type="dxa"/>
            <w:noWrap/>
          </w:tcPr>
          <w:p w14:paraId="1F670962" w14:textId="77777777" w:rsidR="00772179" w:rsidRDefault="00000000">
            <w:r>
              <w:t>27</w:t>
            </w:r>
          </w:p>
        </w:tc>
        <w:tc>
          <w:tcPr>
            <w:tcW w:w="1290" w:type="dxa"/>
            <w:noWrap/>
          </w:tcPr>
          <w:p w14:paraId="4EDFB544" w14:textId="77777777" w:rsidR="00772179" w:rsidRDefault="00000000">
            <w:r>
              <w:t>29</w:t>
            </w:r>
          </w:p>
        </w:tc>
        <w:tc>
          <w:tcPr>
            <w:tcW w:w="1290" w:type="dxa"/>
            <w:noWrap/>
          </w:tcPr>
          <w:p w14:paraId="7739C22C" w14:textId="77777777" w:rsidR="00772179" w:rsidRDefault="00000000">
            <w:r>
              <w:t>30</w:t>
            </w:r>
          </w:p>
        </w:tc>
      </w:tr>
    </w:tbl>
    <w:p w14:paraId="58CE47C0" w14:textId="77777777" w:rsidR="00772179" w:rsidRDefault="00000000">
      <w:pPr>
        <w:pStyle w:val="Author-eSectionHeading6Numberless"/>
      </w:pPr>
      <w:bookmarkStart w:id="227" w:name="_Toc220489965"/>
      <w:r>
        <w:t>41.51.1a Volets roulants encastrés en bois massif / lamellé-collé</w:t>
      </w:r>
      <w:bookmarkEnd w:id="227"/>
    </w:p>
    <w:p w14:paraId="7CA383E9" w14:textId="77777777" w:rsidR="00772179" w:rsidRDefault="00000000">
      <w:pPr>
        <w:pStyle w:val="Author-eSectionHeading6Numberless"/>
      </w:pPr>
      <w:bookmarkStart w:id="228" w:name="_Toc220489966"/>
      <w:r>
        <w:t>41.51.1b Volets roulants encastrés en aluminium CCTB 01.11</w:t>
      </w:r>
      <w:bookmarkEnd w:id="228"/>
    </w:p>
    <w:p w14:paraId="280888D1" w14:textId="77777777" w:rsidR="00772179" w:rsidRDefault="00000000">
      <w:pPr>
        <w:pStyle w:val="pheading"/>
      </w:pPr>
      <w:r>
        <w:t>DESCRIPTION</w:t>
      </w:r>
    </w:p>
    <w:p w14:paraId="6A758779" w14:textId="77777777" w:rsidR="00772179" w:rsidRDefault="00000000">
      <w:pPr>
        <w:pStyle w:val="pheading"/>
      </w:pPr>
      <w:r>
        <w:t>- Définition / Comprend</w:t>
      </w:r>
    </w:p>
    <w:p w14:paraId="39DB2D16" w14:textId="77777777" w:rsidR="00772179" w:rsidRDefault="00000000">
      <w:pPr>
        <w:jc w:val="both"/>
      </w:pPr>
      <w:r>
        <w:t>Il s’agit de la fourniture et la pose des volets roulants encastrés en aluminium.</w:t>
      </w:r>
    </w:p>
    <w:p w14:paraId="285D6FB3" w14:textId="77777777" w:rsidR="00772179" w:rsidRDefault="00000000">
      <w:pPr>
        <w:jc w:val="both"/>
      </w:pPr>
      <w:r>
        <w:t>Un marquage CE est imposé à ces produits suivant la [NBN EN 13659] afin d'attester qu’ils soient conformes aux spécifications techniques.</w:t>
      </w:r>
    </w:p>
    <w:p w14:paraId="2392DD2D" w14:textId="77777777" w:rsidR="00772179" w:rsidRDefault="00000000">
      <w:pPr>
        <w:jc w:val="both"/>
      </w:pPr>
      <w:r>
        <w:t xml:space="preserve">Les tabliers composés de lamelles isolées sont repris dans l’élément </w:t>
      </w:r>
      <w:hyperlink w:anchor="939" w:history="1">
        <w:r>
          <w:rPr>
            <w:color w:val="0000EE"/>
          </w:rPr>
          <w:t>41.51.1e Volets roulants encastrés en matériaux composites</w:t>
        </w:r>
      </w:hyperlink>
      <w:r>
        <w:t>.</w:t>
      </w:r>
    </w:p>
    <w:p w14:paraId="543BD532" w14:textId="77777777" w:rsidR="00772179" w:rsidRDefault="00000000">
      <w:pPr>
        <w:pStyle w:val="pheading"/>
      </w:pPr>
      <w:r>
        <w:t>- Localisation</w:t>
      </w:r>
    </w:p>
    <w:p w14:paraId="166ED4CE" w14:textId="77777777" w:rsidR="00772179" w:rsidRDefault="00000000">
      <w:r>
        <w:t xml:space="preserve">La localisation des volets est la suivante : </w:t>
      </w:r>
      <w:r>
        <w:rPr>
          <w:rStyle w:val="optioncarChar"/>
        </w:rPr>
        <w:t>***</w:t>
      </w:r>
      <w:r>
        <w:t>.</w:t>
      </w:r>
    </w:p>
    <w:p w14:paraId="34E69D0E" w14:textId="77777777" w:rsidR="00772179" w:rsidRDefault="00000000">
      <w:r>
        <w:lastRenderedPageBreak/>
        <w:t>Voir plans et métrés détaillés</w:t>
      </w:r>
    </w:p>
    <w:p w14:paraId="0E240119" w14:textId="77777777" w:rsidR="00772179" w:rsidRDefault="00000000">
      <w:pPr>
        <w:pStyle w:val="pheading"/>
      </w:pPr>
      <w:r>
        <w:t>MATÉRIAUX</w:t>
      </w:r>
    </w:p>
    <w:p w14:paraId="164ADBD9" w14:textId="77777777" w:rsidR="00772179" w:rsidRDefault="00000000">
      <w:pPr>
        <w:pStyle w:val="pheading"/>
      </w:pPr>
      <w:r>
        <w:t>- Caractéristiques générales</w:t>
      </w:r>
    </w:p>
    <w:p w14:paraId="50E0DD69" w14:textId="77777777" w:rsidR="00772179" w:rsidRDefault="00000000">
      <w:pPr>
        <w:jc w:val="both"/>
      </w:pPr>
      <w:r>
        <w:t>Les volets roulants encastrés en aluminium sont composés de plusieurs éléments regroupés comme suit :</w:t>
      </w:r>
    </w:p>
    <w:p w14:paraId="5D9AED38" w14:textId="77777777" w:rsidR="00772179" w:rsidRDefault="00000000">
      <w:pPr>
        <w:pStyle w:val="Author-eListParagraph"/>
        <w:numPr>
          <w:ilvl w:val="0"/>
          <w:numId w:val="538"/>
        </w:numPr>
      </w:pPr>
      <w:r>
        <w:t>Les lames formant le tablier (la feuille) du volet</w:t>
      </w:r>
    </w:p>
    <w:p w14:paraId="1B8B62A6" w14:textId="77777777" w:rsidR="00772179" w:rsidRDefault="00000000">
      <w:pPr>
        <w:pStyle w:val="Author-eListParagraph"/>
        <w:numPr>
          <w:ilvl w:val="0"/>
          <w:numId w:val="538"/>
        </w:numPr>
      </w:pPr>
      <w:r>
        <w:t>Les dispositifs de guidage et de support du volet</w:t>
      </w:r>
    </w:p>
    <w:p w14:paraId="4D5443F5" w14:textId="77777777" w:rsidR="00772179" w:rsidRDefault="00000000">
      <w:pPr>
        <w:pStyle w:val="Author-eListParagraph"/>
        <w:numPr>
          <w:ilvl w:val="0"/>
          <w:numId w:val="538"/>
        </w:numPr>
      </w:pPr>
      <w:r>
        <w:t>Le dispositif d’entrainement et le dispositif de compensation (ressorts ou contrepoids)</w:t>
      </w:r>
    </w:p>
    <w:p w14:paraId="34BFFD0C" w14:textId="77777777" w:rsidR="00772179" w:rsidRDefault="00000000">
      <w:pPr>
        <w:pStyle w:val="Author-eListParagraph"/>
        <w:numPr>
          <w:ilvl w:val="0"/>
          <w:numId w:val="538"/>
        </w:numPr>
      </w:pPr>
      <w:r>
        <w:t>Le dispositif de manœuvre</w:t>
      </w:r>
    </w:p>
    <w:p w14:paraId="445B968B" w14:textId="77777777" w:rsidR="00772179" w:rsidRDefault="00000000">
      <w:pPr>
        <w:pStyle w:val="Author-eListParagraph"/>
        <w:numPr>
          <w:ilvl w:val="0"/>
          <w:numId w:val="538"/>
        </w:numPr>
      </w:pPr>
      <w:r>
        <w:t>Les accessoires d’étanchéité et de sécurité.</w:t>
      </w:r>
    </w:p>
    <w:p w14:paraId="08AB1C87" w14:textId="77777777" w:rsidR="00772179" w:rsidRDefault="00000000">
      <w:pPr>
        <w:jc w:val="both"/>
      </w:pPr>
      <w:r>
        <w:rPr>
          <w:b/>
          <w:u w:val="single"/>
        </w:rPr>
        <w:t>1. Les lames des volets</w:t>
      </w:r>
    </w:p>
    <w:p w14:paraId="27722C34" w14:textId="77777777" w:rsidR="00772179" w:rsidRDefault="00000000">
      <w:pPr>
        <w:jc w:val="both"/>
      </w:pPr>
      <w:r>
        <w:t>Les lames en aluminium disposent d’une résistance à la corrosion conforme à la [NBN EN 1670]. Les performances complémentaires de résistance au brouillard salin suivant la [NBN EN ISO 9227] sont vérifiées sur les différents éléments et profils utilisés dans la fermeture ou sur son ensemble.</w:t>
      </w:r>
    </w:p>
    <w:p w14:paraId="62169377" w14:textId="77777777" w:rsidR="00772179" w:rsidRDefault="00000000">
      <w:pPr>
        <w:jc w:val="both"/>
      </w:pPr>
      <w:r>
        <w:t xml:space="preserve">La résistance à la corrosion des lames est de </w:t>
      </w:r>
      <w:r>
        <w:rPr>
          <w:rStyle w:val="optioncarChar"/>
        </w:rPr>
        <w:t xml:space="preserve">classe 2 – extérieur </w:t>
      </w:r>
      <w:r>
        <w:t xml:space="preserve">(par défaut) </w:t>
      </w:r>
      <w:r>
        <w:rPr>
          <w:rStyle w:val="optioncarChar"/>
        </w:rPr>
        <w:t>/ classe 3 – extérieur / classe 4 – extérieur / ***</w:t>
      </w:r>
      <w:r>
        <w:t>.</w:t>
      </w:r>
    </w:p>
    <w:p w14:paraId="17242E80" w14:textId="77777777" w:rsidR="00772179" w:rsidRDefault="00000000">
      <w:pPr>
        <w:jc w:val="both"/>
      </w:pPr>
      <w:r>
        <w:t>La largeur (aussi appelé hauteur) des lames est de</w:t>
      </w:r>
      <w:r>
        <w:rPr>
          <w:rStyle w:val="optioncarChar"/>
        </w:rPr>
        <w:t xml:space="preserve"> 40 </w:t>
      </w:r>
      <w:r>
        <w:t>(par défaut)</w:t>
      </w:r>
      <w:r>
        <w:rPr>
          <w:rStyle w:val="optioncarChar"/>
        </w:rPr>
        <w:t xml:space="preserve"> / ***</w:t>
      </w:r>
      <w:r>
        <w:t xml:space="preserve"> mm.</w:t>
      </w:r>
    </w:p>
    <w:p w14:paraId="6218980D" w14:textId="77777777" w:rsidR="00772179" w:rsidRDefault="00000000">
      <w:pPr>
        <w:jc w:val="both"/>
      </w:pPr>
      <w:r>
        <w:t>La hauteur de la lame inférieure est adaptée pour obtenir la pose de la finition (profil d’entrainement).</w:t>
      </w:r>
    </w:p>
    <w:p w14:paraId="648E035C" w14:textId="77777777" w:rsidR="00772179" w:rsidRDefault="00000000">
      <w:pPr>
        <w:jc w:val="both"/>
      </w:pPr>
      <w:r>
        <w:t xml:space="preserve">La lame inférieure est munie d’un </w:t>
      </w:r>
      <w:r>
        <w:rPr>
          <w:rStyle w:val="optioncarChar"/>
        </w:rPr>
        <w:t xml:space="preserve">préformé synthétique creux </w:t>
      </w:r>
      <w:r>
        <w:t>(par défaut)</w:t>
      </w:r>
      <w:r>
        <w:rPr>
          <w:rStyle w:val="optioncarChar"/>
        </w:rPr>
        <w:t xml:space="preserve"> / ***</w:t>
      </w:r>
      <w:r>
        <w:t>.</w:t>
      </w:r>
    </w:p>
    <w:p w14:paraId="3723DC0E" w14:textId="77777777" w:rsidR="00772179" w:rsidRDefault="00000000">
      <w:pPr>
        <w:jc w:val="both"/>
      </w:pPr>
      <w:r>
        <w:t xml:space="preserve">L’épaisseur des lames est de </w:t>
      </w:r>
      <w:r>
        <w:rPr>
          <w:rStyle w:val="optioncarChar"/>
        </w:rPr>
        <w:t xml:space="preserve">8 mm totale pour lame extrudée </w:t>
      </w:r>
      <w:r>
        <w:t>(par défaut)</w:t>
      </w:r>
      <w:r>
        <w:rPr>
          <w:rStyle w:val="optioncarChar"/>
        </w:rPr>
        <w:t xml:space="preserve"> / 12 mm totale pour lame extrudée / 1.1 mm totale pour lame profilée / *** mm</w:t>
      </w:r>
      <w:r>
        <w:t>.</w:t>
      </w:r>
    </w:p>
    <w:p w14:paraId="75BDD3AF" w14:textId="77777777" w:rsidR="00772179" w:rsidRDefault="00000000">
      <w:pPr>
        <w:jc w:val="both"/>
      </w:pPr>
      <w:r>
        <w:t xml:space="preserve">Les lames sont </w:t>
      </w:r>
      <w:r>
        <w:rPr>
          <w:rStyle w:val="optioncarChar"/>
        </w:rPr>
        <w:t xml:space="preserve">non texturées </w:t>
      </w:r>
      <w:r>
        <w:t>(par défaut)</w:t>
      </w:r>
      <w:r>
        <w:rPr>
          <w:rStyle w:val="optioncarChar"/>
        </w:rPr>
        <w:t xml:space="preserve"> / ***</w:t>
      </w:r>
      <w:r>
        <w:t xml:space="preserve"> .</w:t>
      </w:r>
    </w:p>
    <w:p w14:paraId="0E6ECF2C" w14:textId="77777777" w:rsidR="00772179" w:rsidRDefault="00000000">
      <w:pPr>
        <w:jc w:val="both"/>
      </w:pPr>
      <w:r>
        <w:t xml:space="preserve">Les lames sont </w:t>
      </w:r>
      <w:r>
        <w:rPr>
          <w:rStyle w:val="optioncarChar"/>
        </w:rPr>
        <w:t xml:space="preserve">en aluminium anodisé </w:t>
      </w:r>
      <w:r>
        <w:t>(par défaut)</w:t>
      </w:r>
      <w:r>
        <w:rPr>
          <w:rStyle w:val="optioncarChar"/>
        </w:rPr>
        <w:t xml:space="preserve"> / en aluminium laqué de couleur *** / ***</w:t>
      </w:r>
      <w:r>
        <w:t>.</w:t>
      </w:r>
    </w:p>
    <w:p w14:paraId="4C0E825B" w14:textId="77777777" w:rsidR="00772179" w:rsidRDefault="00000000">
      <w:pPr>
        <w:jc w:val="both"/>
      </w:pPr>
      <w:r>
        <w:t>Les bords des lames sont munis de profils et contre profils permettant de garantir l’étanchéité du tablier de porte et d’éviter les risques de sécurité d’utilisation (pince-doigts, ...).</w:t>
      </w:r>
    </w:p>
    <w:p w14:paraId="63ABBFD0" w14:textId="77777777" w:rsidR="00772179" w:rsidRDefault="00000000">
      <w:pPr>
        <w:jc w:val="both"/>
      </w:pPr>
      <w:r>
        <w:t xml:space="preserve">Les extrémités des lames sont munies </w:t>
      </w:r>
      <w:r>
        <w:rPr>
          <w:rStyle w:val="optioncarChar"/>
        </w:rPr>
        <w:t xml:space="preserve">d’un profils de protection </w:t>
      </w:r>
      <w:r>
        <w:t>(par défaut)</w:t>
      </w:r>
      <w:r>
        <w:rPr>
          <w:rStyle w:val="optioncarChar"/>
        </w:rPr>
        <w:t xml:space="preserve"> / de crochet / ***</w:t>
      </w:r>
      <w:r>
        <w:t xml:space="preserve"> .</w:t>
      </w:r>
    </w:p>
    <w:p w14:paraId="4EEA77D6" w14:textId="77777777" w:rsidR="00772179" w:rsidRDefault="00000000">
      <w:pPr>
        <w:jc w:val="both"/>
      </w:pPr>
      <w:r>
        <w:t xml:space="preserve">Le tablier est à mouvement </w:t>
      </w:r>
      <w:r>
        <w:rPr>
          <w:rStyle w:val="optioncarChar"/>
        </w:rPr>
        <w:t xml:space="preserve">plan </w:t>
      </w:r>
      <w:r>
        <w:t>(par défaut)</w:t>
      </w:r>
      <w:r>
        <w:rPr>
          <w:rStyle w:val="optioncarChar"/>
        </w:rPr>
        <w:t xml:space="preserve"> / à projection / ***</w:t>
      </w:r>
      <w:r>
        <w:t xml:space="preserve"> .</w:t>
      </w:r>
    </w:p>
    <w:p w14:paraId="14042E74" w14:textId="77777777" w:rsidR="00772179" w:rsidRDefault="00000000">
      <w:pPr>
        <w:jc w:val="both"/>
      </w:pPr>
      <w:r>
        <w:rPr>
          <w:b/>
          <w:i/>
        </w:rPr>
        <w:t>Les dispositifs de guidages</w:t>
      </w:r>
    </w:p>
    <w:p w14:paraId="7F76C638" w14:textId="77777777" w:rsidR="00772179" w:rsidRDefault="00000000">
      <w:pPr>
        <w:jc w:val="both"/>
      </w:pPr>
      <w:r>
        <w:t xml:space="preserve">La résistance à la corrosion des guides est de </w:t>
      </w:r>
      <w:r>
        <w:rPr>
          <w:rStyle w:val="optioncarChar"/>
        </w:rPr>
        <w:t>classe  2 – extérieur</w:t>
      </w:r>
      <w:r>
        <w:t xml:space="preserve"> (par défaut)</w:t>
      </w:r>
      <w:r>
        <w:rPr>
          <w:rStyle w:val="optioncarChar"/>
        </w:rPr>
        <w:t xml:space="preserve"> / classe 3 – extérieur / classe 4 – extérieur / ***</w:t>
      </w:r>
      <w:r>
        <w:t>.</w:t>
      </w:r>
    </w:p>
    <w:p w14:paraId="0A9F4763" w14:textId="77777777" w:rsidR="00772179" w:rsidRDefault="00000000">
      <w:pPr>
        <w:jc w:val="both"/>
      </w:pPr>
      <w:r>
        <w:t xml:space="preserve">Les guides sont placés de manière à être </w:t>
      </w:r>
      <w:r>
        <w:rPr>
          <w:rStyle w:val="optioncarChar"/>
        </w:rPr>
        <w:t xml:space="preserve">cachés par le parement de la paroi </w:t>
      </w:r>
      <w:r>
        <w:t>(par défaut)</w:t>
      </w:r>
      <w:r>
        <w:rPr>
          <w:rStyle w:val="optioncarChar"/>
        </w:rPr>
        <w:t xml:space="preserve"> / en applique dans le tableau de la baie / ***</w:t>
      </w:r>
      <w:r>
        <w:t>.</w:t>
      </w:r>
    </w:p>
    <w:p w14:paraId="1B8249F4" w14:textId="77777777" w:rsidR="00772179" w:rsidRDefault="00000000">
      <w:pPr>
        <w:jc w:val="both"/>
      </w:pPr>
      <w:r>
        <w:t xml:space="preserve">Les guides sont fixés à l’aide </w:t>
      </w:r>
      <w:r>
        <w:rPr>
          <w:rStyle w:val="optioncarChar"/>
        </w:rPr>
        <w:t>de dispositifs rigides</w:t>
      </w:r>
      <w:r>
        <w:t xml:space="preserve"> (par défaut)</w:t>
      </w:r>
      <w:r>
        <w:rPr>
          <w:rStyle w:val="optioncarChar"/>
        </w:rPr>
        <w:t xml:space="preserve"> / de dispositifs permettant la reprise des vibrations / ***</w:t>
      </w:r>
      <w:r>
        <w:t>.</w:t>
      </w:r>
    </w:p>
    <w:p w14:paraId="705BD6D3" w14:textId="77777777" w:rsidR="00772179" w:rsidRDefault="00000000">
      <w:pPr>
        <w:jc w:val="both"/>
      </w:pPr>
      <w:r>
        <w:t>Les guides et les dispositifs de roulement sont compatibles pour permettre le déplacement du tablier du volet selon les exigences.</w:t>
      </w:r>
    </w:p>
    <w:p w14:paraId="0E4D5DE8" w14:textId="77777777" w:rsidR="00772179" w:rsidRDefault="00000000">
      <w:pPr>
        <w:jc w:val="both"/>
      </w:pPr>
      <w:r>
        <w:t xml:space="preserve">Les guides sont munis </w:t>
      </w:r>
      <w:r>
        <w:rPr>
          <w:rStyle w:val="optioncarChar"/>
        </w:rPr>
        <w:t>de préformés d’étanchéité</w:t>
      </w:r>
      <w:r>
        <w:t xml:space="preserve"> (par défaut) </w:t>
      </w:r>
      <w:r>
        <w:rPr>
          <w:rStyle w:val="optioncarChar"/>
        </w:rPr>
        <w:t>/ de brosses d’étanchéité / ***</w:t>
      </w:r>
      <w:r>
        <w:t>.</w:t>
      </w:r>
    </w:p>
    <w:p w14:paraId="49184D7F" w14:textId="77777777" w:rsidR="00772179" w:rsidRDefault="00000000">
      <w:pPr>
        <w:jc w:val="both"/>
      </w:pPr>
      <w:r>
        <w:t xml:space="preserve">Les guides et autres profilés de finition sont </w:t>
      </w:r>
      <w:r>
        <w:rPr>
          <w:rStyle w:val="optioncarChar"/>
        </w:rPr>
        <w:t xml:space="preserve">en aluminium anodisé </w:t>
      </w:r>
      <w:r>
        <w:t>(par défaut)</w:t>
      </w:r>
      <w:r>
        <w:rPr>
          <w:rStyle w:val="optioncarChar"/>
        </w:rPr>
        <w:t xml:space="preserve"> / en aluminium laqué de couleur *** / ***</w:t>
      </w:r>
      <w:r>
        <w:t>.</w:t>
      </w:r>
    </w:p>
    <w:p w14:paraId="4461CE2A" w14:textId="77777777" w:rsidR="00772179" w:rsidRDefault="00000000">
      <w:pPr>
        <w:jc w:val="both"/>
      </w:pPr>
      <w:r>
        <w:rPr>
          <w:b/>
          <w:u w:val="single"/>
        </w:rPr>
        <w:t>2. Les dispositifs d’entrainement</w:t>
      </w:r>
    </w:p>
    <w:p w14:paraId="772EF09B" w14:textId="77777777" w:rsidR="00772179" w:rsidRDefault="00000000">
      <w:pPr>
        <w:jc w:val="both"/>
      </w:pPr>
      <w:r>
        <w:t xml:space="preserve">L’entrainement du volet est réalisé par </w:t>
      </w:r>
      <w:r>
        <w:rPr>
          <w:rStyle w:val="optioncarChar"/>
        </w:rPr>
        <w:t xml:space="preserve">poids du tablier </w:t>
      </w:r>
      <w:r>
        <w:t>(par défaut)</w:t>
      </w:r>
      <w:r>
        <w:rPr>
          <w:rStyle w:val="optioncarChar"/>
        </w:rPr>
        <w:t xml:space="preserve"> / 1 câble galvanisé par côté / 2 câbles galvanisés par côté  / 1 câble inox par côté  / 1 sangle par côté  / ***</w:t>
      </w:r>
      <w:r>
        <w:t>.</w:t>
      </w:r>
    </w:p>
    <w:p w14:paraId="5ED151DC" w14:textId="77777777" w:rsidR="00772179" w:rsidRDefault="00000000">
      <w:pPr>
        <w:jc w:val="both"/>
      </w:pPr>
      <w:r>
        <w:t xml:space="preserve">L’équilibrage (balancement) de l’entrainement est réalisé par </w:t>
      </w:r>
      <w:r>
        <w:rPr>
          <w:rStyle w:val="optioncarChar"/>
        </w:rPr>
        <w:t xml:space="preserve">la puissance intrinsèque du moteur </w:t>
      </w:r>
      <w:r>
        <w:t>(par défaut)</w:t>
      </w:r>
      <w:r>
        <w:rPr>
          <w:rStyle w:val="optioncarChar"/>
        </w:rPr>
        <w:t xml:space="preserve"> / ressort de torsion / contrepoids / ***.</w:t>
      </w:r>
    </w:p>
    <w:p w14:paraId="1F3E3FF6" w14:textId="77777777" w:rsidR="00772179" w:rsidRDefault="00000000">
      <w:pPr>
        <w:jc w:val="both"/>
      </w:pPr>
      <w:r>
        <w:rPr>
          <w:b/>
          <w:u w:val="single"/>
        </w:rPr>
        <w:lastRenderedPageBreak/>
        <w:t>3. Le dispositif de manœuvre</w:t>
      </w:r>
    </w:p>
    <w:p w14:paraId="32288E72" w14:textId="77777777" w:rsidR="00772179" w:rsidRDefault="00000000">
      <w:pPr>
        <w:jc w:val="both"/>
      </w:pPr>
      <w:r>
        <w:t xml:space="preserve">La manœuvre du volet est </w:t>
      </w:r>
      <w:r>
        <w:rPr>
          <w:rStyle w:val="optioncarChar"/>
        </w:rPr>
        <w:t xml:space="preserve">manuelle </w:t>
      </w:r>
      <w:r>
        <w:t>(par défaut)</w:t>
      </w:r>
      <w:r>
        <w:rPr>
          <w:rStyle w:val="optioncarChar"/>
        </w:rPr>
        <w:t xml:space="preserve"> / motorisée</w:t>
      </w:r>
      <w:r>
        <w:t>.</w:t>
      </w:r>
    </w:p>
    <w:p w14:paraId="58ED693B" w14:textId="77777777" w:rsidR="00772179" w:rsidRDefault="00000000">
      <w:pPr>
        <w:ind w:left="567"/>
        <w:jc w:val="both"/>
      </w:pPr>
      <w:r>
        <w:rPr>
          <w:b/>
          <w:i/>
        </w:rPr>
        <w:t>(soit par défaut) </w:t>
      </w:r>
    </w:p>
    <w:p w14:paraId="26EAD0A8" w14:textId="77777777" w:rsidR="00772179" w:rsidRDefault="00000000">
      <w:pPr>
        <w:ind w:left="567"/>
        <w:jc w:val="both"/>
      </w:pPr>
      <w:r>
        <w:rPr>
          <w:rStyle w:val="soitChar"/>
          <w:u w:val="single"/>
        </w:rPr>
        <w:t xml:space="preserve"> Manuelle :</w:t>
      </w:r>
      <w:r>
        <w:rPr>
          <w:rStyle w:val="soitChar"/>
        </w:rPr>
        <w:t xml:space="preserve"> l’organe est composé d’une </w:t>
      </w:r>
      <w:r>
        <w:rPr>
          <w:rStyle w:val="optioncarChar"/>
        </w:rPr>
        <w:t xml:space="preserve">manivelle à enroulement </w:t>
      </w:r>
      <w:r>
        <w:t>(par défaut)</w:t>
      </w:r>
      <w:r>
        <w:rPr>
          <w:rStyle w:val="optioncarChar"/>
        </w:rPr>
        <w:t xml:space="preserve"> / manivelle à tige oscillante / sangle / corde ou cordon / chaîne ou chaînette / tige à mouvement vertical / tige à mouvement horizontal ou incliné / ***</w:t>
      </w:r>
      <w:r>
        <w:rPr>
          <w:rStyle w:val="soitChar"/>
        </w:rPr>
        <w:t xml:space="preserve">.  Les efforts de manœuvre conformément au tableau 2 de la [NBN EN 13659] sont de classe </w:t>
      </w:r>
      <w:r>
        <w:rPr>
          <w:rStyle w:val="optioncarChar"/>
        </w:rPr>
        <w:t xml:space="preserve">1 </w:t>
      </w:r>
      <w:r>
        <w:t xml:space="preserve">(par défaut) </w:t>
      </w:r>
      <w:r>
        <w:rPr>
          <w:rStyle w:val="optioncarChar"/>
        </w:rPr>
        <w:t>/ 2</w:t>
      </w:r>
      <w:r>
        <w:rPr>
          <w:rStyle w:val="soitChar"/>
        </w:rPr>
        <w:t xml:space="preserve">. L’organe de manœuvre a une finition de type </w:t>
      </w:r>
      <w:r>
        <w:rPr>
          <w:rStyle w:val="optioncarChar"/>
        </w:rPr>
        <w:t xml:space="preserve">laquée de couleur blanche </w:t>
      </w:r>
      <w:r>
        <w:t>(par défaut)</w:t>
      </w:r>
      <w:r>
        <w:rPr>
          <w:rStyle w:val="optioncarChar"/>
        </w:rPr>
        <w:t xml:space="preserve"> / chromée /***</w:t>
      </w:r>
      <w:r>
        <w:rPr>
          <w:rStyle w:val="soitChar"/>
        </w:rPr>
        <w:t>.</w:t>
      </w:r>
    </w:p>
    <w:p w14:paraId="195376CE" w14:textId="77777777" w:rsidR="00772179" w:rsidRDefault="00000000">
      <w:pPr>
        <w:ind w:left="567"/>
        <w:jc w:val="both"/>
      </w:pPr>
      <w:r>
        <w:rPr>
          <w:b/>
          <w:i/>
        </w:rPr>
        <w:t>(soit) </w:t>
      </w:r>
    </w:p>
    <w:p w14:paraId="32017209" w14:textId="77777777" w:rsidR="00772179" w:rsidRDefault="00000000">
      <w:pPr>
        <w:ind w:left="567"/>
        <w:jc w:val="both"/>
      </w:pPr>
      <w:r>
        <w:rPr>
          <w:rStyle w:val="soitChar"/>
          <w:u w:val="single"/>
        </w:rPr>
        <w:t>Motorisée :</w:t>
      </w:r>
      <w:r>
        <w:rPr>
          <w:rStyle w:val="soitChar"/>
        </w:rPr>
        <w:t xml:space="preserve">  Les moteurs électriques des volets roulants sont conformes à la [NBN EN 60335-2-97]. Le moteur répond aux exigences de sécurité d’utilisation, de vitesse d’entrainement et de compatibilité électromagnétique La puissance est adaptée au volet à actionner afin de respecter les exigences de sécurité et d’endurance. Le moteur est alimenté par </w:t>
      </w:r>
      <w:r>
        <w:rPr>
          <w:rStyle w:val="optioncarChar"/>
        </w:rPr>
        <w:t xml:space="preserve">courant continu </w:t>
      </w:r>
      <w:r>
        <w:t>(par défaut)</w:t>
      </w:r>
      <w:r>
        <w:rPr>
          <w:rStyle w:val="optioncarChar"/>
        </w:rPr>
        <w:t xml:space="preserve"> / alternatif monophasé / ***</w:t>
      </w:r>
      <w:r>
        <w:rPr>
          <w:rStyle w:val="soitChar"/>
        </w:rPr>
        <w:t>.</w:t>
      </w:r>
      <w:r>
        <w:t> </w:t>
      </w:r>
    </w:p>
    <w:p w14:paraId="7C809BC2" w14:textId="77777777" w:rsidR="00772179" w:rsidRDefault="00000000">
      <w:pPr>
        <w:jc w:val="both"/>
      </w:pPr>
      <w:r>
        <w:t xml:space="preserve">La hauteur du dispositif d’action est </w:t>
      </w:r>
      <w:r>
        <w:rPr>
          <w:rStyle w:val="optioncarChar"/>
        </w:rPr>
        <w:t xml:space="preserve">110 cm par rapport au sol </w:t>
      </w:r>
      <w:r>
        <w:t xml:space="preserve">(par défaut) </w:t>
      </w:r>
      <w:r>
        <w:rPr>
          <w:rStyle w:val="optioncarChar"/>
        </w:rPr>
        <w:t>/ ***</w:t>
      </w:r>
      <w:r>
        <w:t>.</w:t>
      </w:r>
    </w:p>
    <w:p w14:paraId="6CE44F2B" w14:textId="77777777" w:rsidR="00772179" w:rsidRDefault="00000000">
      <w:pPr>
        <w:jc w:val="both"/>
      </w:pPr>
      <w:r>
        <w:t xml:space="preserve">Le mécanisme d'enroulement est constitué d’un </w:t>
      </w:r>
      <w:r>
        <w:rPr>
          <w:rStyle w:val="optioncarChar"/>
        </w:rPr>
        <w:t xml:space="preserve">pivot enrouleur en acier sur roulements à billes </w:t>
      </w:r>
      <w:r>
        <w:t>(par défaut)</w:t>
      </w:r>
      <w:r>
        <w:rPr>
          <w:rStyle w:val="optioncarChar"/>
        </w:rPr>
        <w:t xml:space="preserve"> / dispositif synthétique / ***</w:t>
      </w:r>
      <w:r>
        <w:t>.</w:t>
      </w:r>
    </w:p>
    <w:p w14:paraId="0DBE21D4" w14:textId="77777777" w:rsidR="00772179" w:rsidRDefault="00000000">
      <w:pPr>
        <w:jc w:val="both"/>
      </w:pPr>
      <w:r>
        <w:t>Le diamètre est de ≥</w:t>
      </w:r>
      <w:r>
        <w:rPr>
          <w:rStyle w:val="optioncarChar"/>
        </w:rPr>
        <w:t xml:space="preserve"> 60 </w:t>
      </w:r>
      <w:r>
        <w:t>(par défaut)</w:t>
      </w:r>
      <w:r>
        <w:rPr>
          <w:rStyle w:val="optioncarChar"/>
        </w:rPr>
        <w:t xml:space="preserve"> / ***</w:t>
      </w:r>
      <w:r>
        <w:t xml:space="preserve"> mm.</w:t>
      </w:r>
    </w:p>
    <w:p w14:paraId="52248992" w14:textId="77777777" w:rsidR="00772179" w:rsidRDefault="00000000">
      <w:pPr>
        <w:jc w:val="both"/>
      </w:pPr>
      <w:r>
        <w:t>L’enroulement du volet commence ≥ 3 cm au-dessus du jour de baie.</w:t>
      </w:r>
    </w:p>
    <w:p w14:paraId="5EBE91C9" w14:textId="77777777" w:rsidR="00772179" w:rsidRDefault="00000000">
      <w:pPr>
        <w:jc w:val="both"/>
      </w:pPr>
      <w:r>
        <w:t>Un dispositif de verrouillage automatique encastré empêche le soulèvement du volet baissé et ferme l’intérieur du caisson.</w:t>
      </w:r>
    </w:p>
    <w:p w14:paraId="4FEBAD80" w14:textId="77777777" w:rsidR="00772179" w:rsidRDefault="00000000">
      <w:pPr>
        <w:jc w:val="both"/>
      </w:pPr>
      <w:r>
        <w:t>Pour les volets dont la largeur est &gt; 1 m, on pose des rouleaux de compression sur la traverse supérieure des châssis de fenêtre, pour éviter que le tableau du volet ne frotte contre la partie supérieure au moment de l'ouverture et de la fermeture. Ces rouleaux sont en matière synthétique et leur écartement &lt; 1 mètre.</w:t>
      </w:r>
    </w:p>
    <w:p w14:paraId="1F6BED68" w14:textId="77777777" w:rsidR="00772179" w:rsidRDefault="00000000">
      <w:pPr>
        <w:jc w:val="both"/>
      </w:pPr>
      <w:r>
        <w:t>Sur les volets d'une largeur &gt; 3,5 m, des crochets à pitons sont fixés pour éviter le déploiement en cas de poussée du vent élevée.</w:t>
      </w:r>
    </w:p>
    <w:p w14:paraId="0A7F6376" w14:textId="77777777" w:rsidR="00772179" w:rsidRDefault="00000000">
      <w:pPr>
        <w:jc w:val="both"/>
      </w:pPr>
      <w:r>
        <w:rPr>
          <w:b/>
          <w:u w:val="single"/>
        </w:rPr>
        <w:t>4. Les accessoires d’étanchéité et de sécurité</w:t>
      </w:r>
    </w:p>
    <w:p w14:paraId="54174D94" w14:textId="77777777" w:rsidR="00772179" w:rsidRDefault="00000000">
      <w:pPr>
        <w:jc w:val="both"/>
      </w:pPr>
      <w:r>
        <w:t>Les accessoires de mise en œuvre du volet sont repris dans la description des essais initiaux pour le marquage permettant d’atteindre les exigences définies.</w:t>
      </w:r>
    </w:p>
    <w:p w14:paraId="1D080AF2" w14:textId="77777777" w:rsidR="00772179" w:rsidRDefault="00000000">
      <w:pPr>
        <w:jc w:val="both"/>
      </w:pPr>
      <w:r>
        <w:rPr>
          <w:b/>
          <w:u w:val="single"/>
        </w:rPr>
        <w:t>5. Performances des volets</w:t>
      </w:r>
    </w:p>
    <w:p w14:paraId="5898BA22" w14:textId="77777777" w:rsidR="00772179" w:rsidRDefault="00000000">
      <w:pPr>
        <w:jc w:val="both"/>
      </w:pPr>
      <w:r>
        <w:t>La résistance au vent est de classe</w:t>
      </w:r>
      <w:r>
        <w:rPr>
          <w:rStyle w:val="optioncarChar"/>
        </w:rPr>
        <w:t xml:space="preserve"> 2 / 3 </w:t>
      </w:r>
      <w:r>
        <w:t xml:space="preserve">(par défaut) </w:t>
      </w:r>
      <w:r>
        <w:rPr>
          <w:rStyle w:val="optioncarChar"/>
        </w:rPr>
        <w:t>/ 4 / 5 / 6</w:t>
      </w:r>
    </w:p>
    <w:p w14:paraId="76298A7B" w14:textId="77777777" w:rsidR="00772179" w:rsidRDefault="00000000">
      <w:pPr>
        <w:jc w:val="both"/>
      </w:pPr>
      <w:r>
        <w:t>La résistance à la charge de neige est</w:t>
      </w:r>
      <w:r>
        <w:rPr>
          <w:rStyle w:val="optioncarChar"/>
        </w:rPr>
        <w:t xml:space="preserve"> non requise pour éléments verticaux </w:t>
      </w:r>
      <w:r>
        <w:t>(par défaut)</w:t>
      </w:r>
      <w:r>
        <w:rPr>
          <w:rStyle w:val="optioncarChar"/>
        </w:rPr>
        <w:t xml:space="preserve"> / 0,5 / ***</w:t>
      </w:r>
      <w:r>
        <w:t> kN/m².</w:t>
      </w:r>
    </w:p>
    <w:p w14:paraId="32B2929C" w14:textId="77777777" w:rsidR="00772179" w:rsidRDefault="00000000">
      <w:pPr>
        <w:jc w:val="both"/>
      </w:pPr>
      <w:r>
        <w:t>L’endurance mécanique est de classe</w:t>
      </w:r>
      <w:r>
        <w:rPr>
          <w:rStyle w:val="optioncarChar"/>
        </w:rPr>
        <w:t xml:space="preserve"> 1 </w:t>
      </w:r>
      <w:r>
        <w:t xml:space="preserve">(par défaut) </w:t>
      </w:r>
      <w:r>
        <w:rPr>
          <w:rStyle w:val="optioncarChar"/>
        </w:rPr>
        <w:t>/ 2 / 3</w:t>
      </w:r>
      <w:r>
        <w:t>.</w:t>
      </w:r>
    </w:p>
    <w:p w14:paraId="07AF4351" w14:textId="77777777" w:rsidR="00772179" w:rsidRDefault="00000000">
      <w:pPr>
        <w:jc w:val="both"/>
      </w:pPr>
      <w:r>
        <w:t>La résistance à l’effraction est de classe</w:t>
      </w:r>
      <w:r>
        <w:rPr>
          <w:rStyle w:val="optioncarChar"/>
        </w:rPr>
        <w:t xml:space="preserve"> 0 </w:t>
      </w:r>
      <w:r>
        <w:t>(par défaut)</w:t>
      </w:r>
      <w:r>
        <w:rPr>
          <w:rStyle w:val="optioncarChar"/>
        </w:rPr>
        <w:t xml:space="preserve"> / 1 / 2 / ***</w:t>
      </w:r>
      <w:r>
        <w:t>.</w:t>
      </w:r>
    </w:p>
    <w:p w14:paraId="69B62954" w14:textId="77777777" w:rsidR="00772179" w:rsidRDefault="00000000">
      <w:pPr>
        <w:jc w:val="both"/>
      </w:pPr>
      <w:r>
        <w:t xml:space="preserve">La résistance thermique DR est </w:t>
      </w:r>
      <w:r>
        <w:rPr>
          <w:rStyle w:val="optioncarChar"/>
        </w:rPr>
        <w:t xml:space="preserve">non requise pour ce chantier </w:t>
      </w:r>
      <w:r>
        <w:t>(par défaut)</w:t>
      </w:r>
      <w:r>
        <w:rPr>
          <w:rStyle w:val="optioncarChar"/>
        </w:rPr>
        <w:t xml:space="preserve"> / &gt; 0,2  / *** </w:t>
      </w:r>
      <w:r>
        <w:t>m²K/W</w:t>
      </w:r>
    </w:p>
    <w:p w14:paraId="0C5C707B" w14:textId="77777777" w:rsidR="00772179" w:rsidRDefault="00000000">
      <w:pPr>
        <w:jc w:val="both"/>
      </w:pPr>
      <w:r>
        <w:t>L’isolation thermique du caisson de volet est de ≤</w:t>
      </w:r>
      <w:r>
        <w:rPr>
          <w:rStyle w:val="optioncarChar"/>
        </w:rPr>
        <w:t xml:space="preserve"> 1,5  </w:t>
      </w:r>
      <w:r>
        <w:t xml:space="preserve">(par défaut) </w:t>
      </w:r>
      <w:r>
        <w:rPr>
          <w:rStyle w:val="optioncarChar"/>
        </w:rPr>
        <w:t xml:space="preserve">/ *** </w:t>
      </w:r>
      <w:r>
        <w:t>W/m²K.</w:t>
      </w:r>
    </w:p>
    <w:p w14:paraId="5153E6EA" w14:textId="77777777" w:rsidR="00772179" w:rsidRDefault="00000000">
      <w:pPr>
        <w:jc w:val="both"/>
      </w:pPr>
      <w:r>
        <w:t>Le facteur de transmission de l’énergie solaire g</w:t>
      </w:r>
      <w:r>
        <w:rPr>
          <w:vertAlign w:val="subscript"/>
        </w:rPr>
        <w:t>tot</w:t>
      </w:r>
      <w:r>
        <w:t xml:space="preserve"> est &lt;</w:t>
      </w:r>
      <w:r>
        <w:rPr>
          <w:rStyle w:val="optioncarChar"/>
        </w:rPr>
        <w:t xml:space="preserve"> 0,1 </w:t>
      </w:r>
      <w:r>
        <w:t>(par défaut)</w:t>
      </w:r>
      <w:r>
        <w:rPr>
          <w:rStyle w:val="optioncarChar"/>
        </w:rPr>
        <w:t xml:space="preserve"> / ***</w:t>
      </w:r>
      <w:r>
        <w:t>.</w:t>
      </w:r>
    </w:p>
    <w:p w14:paraId="1ACE7CBF" w14:textId="77777777" w:rsidR="00772179" w:rsidRDefault="00000000">
      <w:pPr>
        <w:jc w:val="both"/>
      </w:pPr>
      <w:r>
        <w:t xml:space="preserve">L'isolation acoustique aux bruits aériens d'un volet et du caisson est ≥ </w:t>
      </w:r>
      <w:r>
        <w:rPr>
          <w:rStyle w:val="optioncarChar"/>
        </w:rPr>
        <w:t xml:space="preserve">38 / *** </w:t>
      </w:r>
      <w:r>
        <w:t>dB.</w:t>
      </w:r>
    </w:p>
    <w:p w14:paraId="7E9467C7" w14:textId="77777777" w:rsidR="00772179" w:rsidRDefault="00000000">
      <w:pPr>
        <w:jc w:val="both"/>
      </w:pPr>
      <w:r>
        <w:t>Le risque de repliement du tablier est de classe</w:t>
      </w:r>
      <w:r>
        <w:rPr>
          <w:rStyle w:val="optioncarChar"/>
        </w:rPr>
        <w:t xml:space="preserve"> 1 </w:t>
      </w:r>
      <w:r>
        <w:t xml:space="preserve">(par défaut) </w:t>
      </w:r>
      <w:r>
        <w:rPr>
          <w:rStyle w:val="optioncarChar"/>
        </w:rPr>
        <w:t>/ 2</w:t>
      </w:r>
      <w:r>
        <w:t>.</w:t>
      </w:r>
    </w:p>
    <w:p w14:paraId="1E5E2692" w14:textId="77777777" w:rsidR="00772179" w:rsidRDefault="00000000">
      <w:pPr>
        <w:jc w:val="both"/>
      </w:pPr>
      <w:r>
        <w:t>Le risque d’écartement des organes de guidage est de classe</w:t>
      </w:r>
      <w:r>
        <w:rPr>
          <w:rStyle w:val="optioncarChar"/>
        </w:rPr>
        <w:t xml:space="preserve"> 1 </w:t>
      </w:r>
      <w:r>
        <w:t>(par défaut) </w:t>
      </w:r>
      <w:r>
        <w:rPr>
          <w:rStyle w:val="optioncarChar"/>
        </w:rPr>
        <w:t>/ 2</w:t>
      </w:r>
      <w:r>
        <w:t>.</w:t>
      </w:r>
    </w:p>
    <w:p w14:paraId="1CFA6A76" w14:textId="77777777" w:rsidR="00772179" w:rsidRDefault="00000000">
      <w:pPr>
        <w:jc w:val="both"/>
      </w:pPr>
      <w:r>
        <w:t xml:space="preserve">La rigidité du tablier sous l’application d’une force horizontale est  classe </w:t>
      </w:r>
      <w:r>
        <w:rPr>
          <w:rStyle w:val="optioncarChar"/>
        </w:rPr>
        <w:t>1 </w:t>
      </w:r>
      <w:r>
        <w:t>(par défaut) </w:t>
      </w:r>
      <w:r>
        <w:rPr>
          <w:rStyle w:val="optioncarChar"/>
        </w:rPr>
        <w:t>/ 2</w:t>
      </w:r>
      <w:r>
        <w:t>.</w:t>
      </w:r>
    </w:p>
    <w:p w14:paraId="4DD2E5EA" w14:textId="77777777" w:rsidR="00772179" w:rsidRDefault="00000000">
      <w:pPr>
        <w:jc w:val="both"/>
      </w:pPr>
      <w:r>
        <w:t>Le risque de perforation d’une lame est  classe</w:t>
      </w:r>
      <w:r>
        <w:rPr>
          <w:rStyle w:val="optioncarChar"/>
        </w:rPr>
        <w:t xml:space="preserve"> 1 </w:t>
      </w:r>
      <w:r>
        <w:t>(par défaut) </w:t>
      </w:r>
      <w:r>
        <w:rPr>
          <w:rStyle w:val="optioncarChar"/>
        </w:rPr>
        <w:t>/ 2</w:t>
      </w:r>
      <w:r>
        <w:t>.</w:t>
      </w:r>
    </w:p>
    <w:p w14:paraId="2ECB32ED" w14:textId="77777777" w:rsidR="00772179" w:rsidRDefault="00000000">
      <w:pPr>
        <w:jc w:val="both"/>
      </w:pPr>
      <w:r>
        <w:lastRenderedPageBreak/>
        <w:t>La résistance de la lame du bas est  classe</w:t>
      </w:r>
      <w:r>
        <w:rPr>
          <w:rStyle w:val="optioncarChar"/>
        </w:rPr>
        <w:t xml:space="preserve"> 1 </w:t>
      </w:r>
      <w:r>
        <w:t>(par défaut) </w:t>
      </w:r>
      <w:r>
        <w:rPr>
          <w:rStyle w:val="optioncarChar"/>
        </w:rPr>
        <w:t>/ 2</w:t>
      </w:r>
      <w:r>
        <w:t>.</w:t>
      </w:r>
    </w:p>
    <w:p w14:paraId="446D7DAC" w14:textId="77777777" w:rsidR="00772179" w:rsidRDefault="00000000">
      <w:pPr>
        <w:jc w:val="both"/>
      </w:pPr>
      <w:r>
        <w:t>La résistance lors de l’installation de la fermeture est  classe</w:t>
      </w:r>
      <w:r>
        <w:rPr>
          <w:rStyle w:val="optioncarChar"/>
        </w:rPr>
        <w:t xml:space="preserve"> 1 </w:t>
      </w:r>
      <w:r>
        <w:t>(par défaut) </w:t>
      </w:r>
      <w:r>
        <w:rPr>
          <w:rStyle w:val="optioncarChar"/>
        </w:rPr>
        <w:t>/ 2</w:t>
      </w:r>
      <w:r>
        <w:t>.</w:t>
      </w:r>
    </w:p>
    <w:p w14:paraId="377B0594" w14:textId="77777777" w:rsidR="00772179" w:rsidRDefault="00772179"/>
    <w:p w14:paraId="0591CD4B" w14:textId="77777777" w:rsidR="00772179" w:rsidRDefault="00000000">
      <w:pPr>
        <w:pStyle w:val="pheading"/>
      </w:pPr>
      <w:r>
        <w:t>- Finitions</w:t>
      </w:r>
    </w:p>
    <w:p w14:paraId="457D7782" w14:textId="77777777" w:rsidR="00772179" w:rsidRDefault="00000000">
      <w:r>
        <w:t>Les finitions sont définies dans les compositions des lamelles (matériau).</w:t>
      </w:r>
    </w:p>
    <w:p w14:paraId="795E9814" w14:textId="77777777" w:rsidR="00772179" w:rsidRDefault="00000000">
      <w:pPr>
        <w:pStyle w:val="pheading"/>
      </w:pPr>
      <w:r>
        <w:t>EXÉCUTION / MISE EN ŒUVRE</w:t>
      </w:r>
    </w:p>
    <w:p w14:paraId="3CFD4003" w14:textId="77777777" w:rsidR="00772179" w:rsidRDefault="00000000">
      <w:pPr>
        <w:pStyle w:val="pheading"/>
      </w:pPr>
      <w:r>
        <w:t>- Prescriptions générales</w:t>
      </w:r>
    </w:p>
    <w:p w14:paraId="5A8D7999" w14:textId="77777777" w:rsidR="00772179" w:rsidRDefault="00000000">
      <w:pPr>
        <w:jc w:val="both"/>
      </w:pPr>
      <w:r>
        <w:t>Le resserrage permet d’éviter toute infiltration entre les guides et la menuiserie extérieure et entre les guides et la finition extérieure.</w:t>
      </w:r>
    </w:p>
    <w:p w14:paraId="007EB981" w14:textId="77777777" w:rsidR="00772179" w:rsidRDefault="00000000">
      <w:pPr>
        <w:jc w:val="both"/>
      </w:pPr>
      <w:r>
        <w:t xml:space="preserve">Pour la continuité de l’étanchéité à l’eau, le resserrage entre les guides et la menuiserie extérieure est muni d’un </w:t>
      </w:r>
      <w:r>
        <w:rPr>
          <w:rStyle w:val="optioncarChar"/>
        </w:rPr>
        <w:t>kit de mastic conforme à la [STS 56.1] </w:t>
      </w:r>
      <w:r>
        <w:t>(par défaut)</w:t>
      </w:r>
      <w:r>
        <w:rPr>
          <w:rStyle w:val="optioncarChar"/>
        </w:rPr>
        <w:t xml:space="preserve"> / joint compressible / profilé de resserrage / ***</w:t>
      </w:r>
      <w:r>
        <w:t>.</w:t>
      </w:r>
    </w:p>
    <w:p w14:paraId="189F31F4" w14:textId="77777777" w:rsidR="00772179" w:rsidRDefault="00000000">
      <w:pPr>
        <w:jc w:val="both"/>
      </w:pPr>
      <w:r>
        <w:t xml:space="preserve">Pour la continuité de l’étanchéité à l’eau, le resserrage entre les guides et la finition extérieure est muni d’un </w:t>
      </w:r>
      <w:r>
        <w:rPr>
          <w:rStyle w:val="optioncarChar"/>
        </w:rPr>
        <w:t>kit de mastic conforme à la [STS 56.1] </w:t>
      </w:r>
      <w:r>
        <w:t>(par défaut)</w:t>
      </w:r>
      <w:r>
        <w:rPr>
          <w:rStyle w:val="optioncarChar"/>
        </w:rPr>
        <w:t xml:space="preserve"> / joint compressible / profilé de resserrage / ***</w:t>
      </w:r>
      <w:r>
        <w:t>.</w:t>
      </w:r>
    </w:p>
    <w:p w14:paraId="2E4C17F0" w14:textId="77777777" w:rsidR="00772179" w:rsidRDefault="00000000">
      <w:pPr>
        <w:jc w:val="both"/>
      </w:pPr>
      <w:r>
        <w:t xml:space="preserve">La connexion électrique est effectuée en accord avec la puissance du moteur sur </w:t>
      </w:r>
      <w:r>
        <w:rPr>
          <w:rStyle w:val="optioncarChar"/>
        </w:rPr>
        <w:t xml:space="preserve">boite de dérivation fixée sur le plafond en surplomb du moteur </w:t>
      </w:r>
      <w:r>
        <w:t xml:space="preserve">(par défaut) </w:t>
      </w:r>
      <w:r>
        <w:rPr>
          <w:rStyle w:val="optioncarChar"/>
        </w:rPr>
        <w:t>/  ***</w:t>
      </w:r>
      <w:r>
        <w:t>.</w:t>
      </w:r>
    </w:p>
    <w:p w14:paraId="383F1D4E" w14:textId="77777777" w:rsidR="00772179" w:rsidRDefault="00772179">
      <w:pPr>
        <w:jc w:val="both"/>
      </w:pPr>
    </w:p>
    <w:p w14:paraId="685403A0" w14:textId="77777777" w:rsidR="00772179" w:rsidRDefault="00772179">
      <w:pPr>
        <w:jc w:val="both"/>
      </w:pPr>
    </w:p>
    <w:p w14:paraId="7A1C01D0" w14:textId="77777777" w:rsidR="00772179" w:rsidRDefault="00000000">
      <w:pPr>
        <w:jc w:val="both"/>
      </w:pPr>
      <w:r>
        <w:rPr>
          <w:b/>
        </w:rPr>
        <w:t>Caisses à volets</w:t>
      </w:r>
    </w:p>
    <w:p w14:paraId="1F7E8FF6" w14:textId="77777777" w:rsidR="00772179" w:rsidRDefault="00000000">
      <w:pPr>
        <w:jc w:val="both"/>
      </w:pPr>
      <w:r>
        <w:t>Les dimensions des caisses à volets sont déterminées en fonction du volet ayant les plus grandes dimensions et la plus forte surcharge du vent, compte tenu du Ø du volet enroulé, de l’épaisseur du matériau isolant et du jeu nécessaire.</w:t>
      </w:r>
    </w:p>
    <w:p w14:paraId="55658C89" w14:textId="77777777" w:rsidR="00772179" w:rsidRDefault="00000000">
      <w:pPr>
        <w:jc w:val="both"/>
      </w:pPr>
      <w:r>
        <w:t>Le jeu est ≥ 2 cm (pour les volets dont la largeur est &lt; 2,5 m) et de 4 cm (pour les volets dont la largeur est ≥ 2,5 m). Sur le côté, l'espace nécessaire pour le système de commande est prévu.</w:t>
      </w:r>
    </w:p>
    <w:p w14:paraId="33CD3824" w14:textId="77777777" w:rsidR="00772179" w:rsidRDefault="00000000">
      <w:pPr>
        <w:jc w:val="both"/>
      </w:pPr>
      <w:r>
        <w:t>La caisse à volet est fabriquée en matériaux résistants à l'humidité, permettant de garantir la continuité de l’isolation et l’étanchéité à l’air.</w:t>
      </w:r>
    </w:p>
    <w:p w14:paraId="62EF84C8" w14:textId="77777777" w:rsidR="00772179" w:rsidRDefault="00000000">
      <w:pPr>
        <w:pStyle w:val="pheading"/>
      </w:pPr>
      <w:r>
        <w:t>DOCUMENTS DE RÉFÉRENCE COMPLÉMENTAIRES</w:t>
      </w:r>
    </w:p>
    <w:p w14:paraId="19C5E658" w14:textId="77777777" w:rsidR="00772179" w:rsidRDefault="00000000">
      <w:pPr>
        <w:pStyle w:val="pheading"/>
      </w:pPr>
      <w:r>
        <w:t>- Matériau</w:t>
      </w:r>
    </w:p>
    <w:p w14:paraId="582270D8" w14:textId="77777777" w:rsidR="00772179" w:rsidRDefault="00000000">
      <w:r>
        <w:t>[NBN EN 13659, Fermetures et stores vénitiens extérieurs - Exigences de performance y compris la sécurité]</w:t>
      </w:r>
    </w:p>
    <w:p w14:paraId="3C4FF51F" w14:textId="77777777" w:rsidR="00772179" w:rsidRDefault="00000000">
      <w:r>
        <w:t>[NBN EN 1670, Quincaillerie pour le bâtiment - Résistance à la corrosion - Exigences et méthodes d'essai]</w:t>
      </w:r>
    </w:p>
    <w:p w14:paraId="627B7A41" w14:textId="77777777" w:rsidR="00772179" w:rsidRDefault="00000000">
      <w:r>
        <w:t>[NBN EN ISO 9227, Essais de corrosion en atmosphères artificielles - Essais aux brouillards salins (ISO 9227:2022) ]</w:t>
      </w:r>
    </w:p>
    <w:p w14:paraId="360E0135" w14:textId="77777777" w:rsidR="00772179" w:rsidRDefault="00000000">
      <w:r>
        <w:t>[NBN EN 60335-2-97, Appareils électrodomestiques et analogues - Sécurité - Partie 2-97 : Règles particulières pour les motorisations de volets, stores, rideaux et équipements enroulables analogues]</w:t>
      </w:r>
    </w:p>
    <w:p w14:paraId="52510FD1" w14:textId="77777777" w:rsidR="00772179" w:rsidRDefault="00000000">
      <w:pPr>
        <w:pStyle w:val="pheading"/>
      </w:pPr>
      <w:r>
        <w:t>- Exécution</w:t>
      </w:r>
    </w:p>
    <w:p w14:paraId="0AD89C4C" w14:textId="77777777" w:rsidR="00772179" w:rsidRDefault="00000000">
      <w:r>
        <w:t>[STS 56.1, Mastics d’étanchéité des façades]</w:t>
      </w:r>
    </w:p>
    <w:p w14:paraId="32F0BB25" w14:textId="77777777" w:rsidR="00772179" w:rsidRDefault="00000000">
      <w:pPr>
        <w:pStyle w:val="pheading"/>
      </w:pPr>
      <w:r>
        <w:t>MESURAGE</w:t>
      </w:r>
    </w:p>
    <w:p w14:paraId="5848425F" w14:textId="77777777" w:rsidR="00772179" w:rsidRDefault="00000000">
      <w:pPr>
        <w:pStyle w:val="pheading"/>
      </w:pPr>
      <w:r>
        <w:t>- unité de mesure:</w:t>
      </w:r>
    </w:p>
    <w:p w14:paraId="67271EBC" w14:textId="77777777" w:rsidR="00772179" w:rsidRDefault="00000000">
      <w:r>
        <w:rPr>
          <w:rStyle w:val="optioncarChar"/>
        </w:rPr>
        <w:t xml:space="preserve">pc ; m² </w:t>
      </w:r>
      <w:r>
        <w:t>(par défaut)</w:t>
      </w:r>
      <w:r>
        <w:rPr>
          <w:rStyle w:val="optioncarChar"/>
        </w:rPr>
        <w:t xml:space="preserve"> / -</w:t>
      </w:r>
    </w:p>
    <w:p w14:paraId="62D30589" w14:textId="77777777" w:rsidR="00772179" w:rsidRDefault="00000000">
      <w:r>
        <w:rPr>
          <w:b/>
          <w:i/>
        </w:rPr>
        <w:t>(Soit par défaut)</w:t>
      </w:r>
    </w:p>
    <w:p w14:paraId="5488408B" w14:textId="77777777" w:rsidR="00772179" w:rsidRDefault="00000000">
      <w:r>
        <w:rPr>
          <w:rStyle w:val="soitChar"/>
        </w:rPr>
        <w:lastRenderedPageBreak/>
        <w:t>1.  pc ; m²</w:t>
      </w:r>
    </w:p>
    <w:p w14:paraId="0A21044B" w14:textId="77777777" w:rsidR="00772179" w:rsidRDefault="00000000">
      <w:r>
        <w:rPr>
          <w:b/>
          <w:i/>
        </w:rPr>
        <w:t>(Soit)</w:t>
      </w:r>
    </w:p>
    <w:p w14:paraId="2FAE6506" w14:textId="77777777" w:rsidR="00772179" w:rsidRDefault="00000000">
      <w:r>
        <w:rPr>
          <w:rStyle w:val="soitChar"/>
        </w:rPr>
        <w:t>2.  –</w:t>
      </w:r>
    </w:p>
    <w:p w14:paraId="50665E5C" w14:textId="77777777" w:rsidR="00772179" w:rsidRDefault="00000000">
      <w:pPr>
        <w:pStyle w:val="pheading"/>
      </w:pPr>
      <w:r>
        <w:t>- code de mesurage:</w:t>
      </w:r>
    </w:p>
    <w:p w14:paraId="023EDEB2" w14:textId="77777777" w:rsidR="00772179" w:rsidRDefault="00000000">
      <w:pPr>
        <w:jc w:val="both"/>
      </w:pPr>
      <w:r>
        <w:rPr>
          <w:rStyle w:val="optioncarChar"/>
        </w:rPr>
        <w:t xml:space="preserve">Quantité nette et par m² de surface nette </w:t>
      </w:r>
      <w:r>
        <w:t>(par défaut)</w:t>
      </w:r>
      <w:r>
        <w:rPr>
          <w:rStyle w:val="optioncarChar"/>
        </w:rPr>
        <w:t xml:space="preserve"> / compris</w:t>
      </w:r>
    </w:p>
    <w:p w14:paraId="40F1FC06" w14:textId="77777777" w:rsidR="00772179" w:rsidRDefault="00000000">
      <w:pPr>
        <w:jc w:val="both"/>
      </w:pPr>
      <w:r>
        <w:rPr>
          <w:b/>
          <w:i/>
        </w:rPr>
        <w:t>(Soit par défaut)</w:t>
      </w:r>
    </w:p>
    <w:p w14:paraId="1E5E5637" w14:textId="77777777" w:rsidR="00772179" w:rsidRDefault="00000000">
      <w:pPr>
        <w:jc w:val="both"/>
      </w:pPr>
      <w:r>
        <w:rPr>
          <w:rStyle w:val="soitChar"/>
          <w:u w:val="single"/>
        </w:rPr>
        <w:t>1. Quantité nette et par m² de surface nette </w:t>
      </w:r>
      <w:r>
        <w:rPr>
          <w:rStyle w:val="soitChar"/>
        </w:rPr>
        <w:t>: Le code de mesurage exprimé par volet suivant l’identification (nature, mouvement, performances spéciales. dimensions nominales, forme et aspect) comprendra la surface nette (surface jour et caisson) du volet exprimée en m².</w:t>
      </w:r>
    </w:p>
    <w:p w14:paraId="241E32E8" w14:textId="77777777" w:rsidR="00772179" w:rsidRDefault="00000000">
      <w:pPr>
        <w:jc w:val="both"/>
      </w:pPr>
      <w:r>
        <w:rPr>
          <w:b/>
          <w:i/>
        </w:rPr>
        <w:t>(Soit)</w:t>
      </w:r>
    </w:p>
    <w:p w14:paraId="3593A73A" w14:textId="77777777" w:rsidR="00772179" w:rsidRDefault="00772179">
      <w:pPr>
        <w:jc w:val="both"/>
      </w:pPr>
    </w:p>
    <w:p w14:paraId="7C8337B4" w14:textId="77777777" w:rsidR="00772179" w:rsidRDefault="00000000">
      <w:pPr>
        <w:jc w:val="both"/>
      </w:pPr>
      <w:r>
        <w:rPr>
          <w:rStyle w:val="soitChar"/>
          <w:u w:val="single"/>
        </w:rPr>
        <w:t>2. Compris :</w:t>
      </w:r>
      <w:r>
        <w:rPr>
          <w:rStyle w:val="soitChar"/>
        </w:rPr>
        <w:t xml:space="preserve"> Les volets et leur mise en œuvre sont repris dans le prix des menuiseries extérieures dans l’élément </w:t>
      </w:r>
      <w:r>
        <w:rPr>
          <w:rStyle w:val="optioncarChar"/>
        </w:rPr>
        <w:t>***</w:t>
      </w:r>
      <w:r>
        <w:rPr>
          <w:rStyle w:val="soitChar"/>
        </w:rPr>
        <w:t xml:space="preserve"> et les caissons et profilés de finition sont compris dans le prix unitaire de l’élément et ne sont pas mesurés.</w:t>
      </w:r>
    </w:p>
    <w:p w14:paraId="50FCFA36" w14:textId="77777777" w:rsidR="00772179" w:rsidRDefault="00772179"/>
    <w:p w14:paraId="1417D358" w14:textId="77777777" w:rsidR="00772179" w:rsidRDefault="00000000">
      <w:pPr>
        <w:pStyle w:val="pheading"/>
      </w:pPr>
      <w:r>
        <w:t>- nature du marché:</w:t>
      </w:r>
    </w:p>
    <w:p w14:paraId="711395C2" w14:textId="77777777" w:rsidR="00772179" w:rsidRDefault="00000000">
      <w:r>
        <w:rPr>
          <w:rStyle w:val="optioncarChar"/>
        </w:rPr>
        <w:t xml:space="preserve">QF </w:t>
      </w:r>
      <w:r>
        <w:t xml:space="preserve">(par défaut) </w:t>
      </w:r>
      <w:r>
        <w:rPr>
          <w:rStyle w:val="optioncarChar"/>
        </w:rPr>
        <w:t>/ PM</w:t>
      </w:r>
    </w:p>
    <w:p w14:paraId="1765158F" w14:textId="77777777" w:rsidR="00772179" w:rsidRDefault="00000000">
      <w:r>
        <w:rPr>
          <w:b/>
          <w:i/>
        </w:rPr>
        <w:t>(Soit par défaut)</w:t>
      </w:r>
    </w:p>
    <w:p w14:paraId="1BF8DFF3" w14:textId="77777777" w:rsidR="00772179" w:rsidRDefault="00000000">
      <w:r>
        <w:rPr>
          <w:rStyle w:val="soitChar"/>
        </w:rPr>
        <w:t>1.     QF</w:t>
      </w:r>
    </w:p>
    <w:p w14:paraId="35B42E51" w14:textId="77777777" w:rsidR="00772179" w:rsidRDefault="00000000">
      <w:r>
        <w:rPr>
          <w:b/>
          <w:i/>
        </w:rPr>
        <w:t>(Soit)</w:t>
      </w:r>
    </w:p>
    <w:p w14:paraId="5C61A660" w14:textId="77777777" w:rsidR="00772179" w:rsidRDefault="00000000">
      <w:r>
        <w:rPr>
          <w:rStyle w:val="soitChar"/>
        </w:rPr>
        <w:t>2.     PM</w:t>
      </w:r>
    </w:p>
    <w:p w14:paraId="29389F9F" w14:textId="77777777" w:rsidR="00772179" w:rsidRDefault="00000000">
      <w:pPr>
        <w:pStyle w:val="Author-eSectionHeading6Numberless"/>
      </w:pPr>
      <w:bookmarkStart w:id="229" w:name="_Toc220489967"/>
      <w:r>
        <w:t>41.51.1c Volets roulants encastrés en acier</w:t>
      </w:r>
      <w:bookmarkEnd w:id="229"/>
    </w:p>
    <w:p w14:paraId="7C505C11" w14:textId="77777777" w:rsidR="00772179" w:rsidRDefault="00000000">
      <w:pPr>
        <w:pStyle w:val="Author-eSectionHeading6Numberless"/>
      </w:pPr>
      <w:bookmarkStart w:id="230" w:name="_Toc220489968"/>
      <w:r>
        <w:t>41.51.1d Volets roulants encastrés en PVC CCTB 01.11</w:t>
      </w:r>
      <w:bookmarkEnd w:id="230"/>
    </w:p>
    <w:p w14:paraId="31E8F90E" w14:textId="77777777" w:rsidR="00772179" w:rsidRDefault="00000000">
      <w:pPr>
        <w:pStyle w:val="pheading"/>
      </w:pPr>
      <w:r>
        <w:t>MATÉRIAUX</w:t>
      </w:r>
    </w:p>
    <w:p w14:paraId="51A751BF" w14:textId="77777777" w:rsidR="00772179" w:rsidRDefault="00000000">
      <w:pPr>
        <w:pStyle w:val="pheading"/>
      </w:pPr>
      <w:r>
        <w:t>- Caractéristiques générales</w:t>
      </w:r>
    </w:p>
    <w:p w14:paraId="1AF7E70D" w14:textId="77777777" w:rsidR="00772179" w:rsidRDefault="00000000">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sont pourvus de fentes qui laissent pénétrer l’air et la lumière lorsque le volet est légèrement levé. A partir d’une largeur de fenêtre supérieure à 2,00 m, les lattes sont pourvues de profils de renfort en métal non corrosif, selon les prescriptions du fabricant. En ce qui concerne la stabilité des couleurs, une garantie de dix ans est accordée pendant laquelle la décoloration n'excède pas le niveau 3 à l'échelle des gris, selon l'[ISO 105/A02] .</w:t>
      </w:r>
    </w:p>
    <w:p w14:paraId="3367AF52" w14:textId="77777777" w:rsidR="00772179" w:rsidRDefault="00000000">
      <w:r>
        <w:t>L'ensemble des profilés et éléments mis en œuvre sont conformes aux prescriptions du fabricant.</w:t>
      </w:r>
    </w:p>
    <w:p w14:paraId="2BBDAF36" w14:textId="77777777" w:rsidR="00772179" w:rsidRDefault="00000000">
      <w:pPr>
        <w:pStyle w:val="pheading"/>
      </w:pPr>
      <w:r>
        <w:t>EXÉCUTION / MISE EN ŒUVRE</w:t>
      </w:r>
    </w:p>
    <w:p w14:paraId="26F77CF7" w14:textId="77777777" w:rsidR="00772179" w:rsidRDefault="00000000">
      <w:pPr>
        <w:pStyle w:val="pheading"/>
      </w:pPr>
      <w:r>
        <w:t>- Prescriptions générales</w:t>
      </w:r>
    </w:p>
    <w:p w14:paraId="7F81DB1B" w14:textId="77777777" w:rsidR="00772179" w:rsidRDefault="00000000">
      <w:r>
        <w:t xml:space="preserve">Les glissières latérales sont </w:t>
      </w:r>
      <w:r>
        <w:rPr>
          <w:rStyle w:val="optioncarChar"/>
        </w:rPr>
        <w:t xml:space="preserve">encastrées de manière invisible entre le mur et le châssis </w:t>
      </w:r>
      <w:r>
        <w:t>(par défaut)</w:t>
      </w:r>
      <w:r>
        <w:rPr>
          <w:rStyle w:val="optioncarChar"/>
        </w:rPr>
        <w:t xml:space="preserve"> / ***</w:t>
      </w:r>
      <w:r>
        <w:t>.</w:t>
      </w:r>
    </w:p>
    <w:p w14:paraId="33BF90AC" w14:textId="77777777" w:rsidR="00772179" w:rsidRDefault="00000000">
      <w:pPr>
        <w:pStyle w:val="pheading"/>
      </w:pPr>
      <w:r>
        <w:t>- Notes d’exécution complémentaires</w:t>
      </w:r>
    </w:p>
    <w:p w14:paraId="571DE5AF" w14:textId="77777777" w:rsidR="00772179" w:rsidRDefault="00000000">
      <w:r>
        <w:t>Caisses à volets : voir les options aux articles 55.51.3a Habillage de fenêtres en matière synthétique et 55.52.3a Habillage de portes en matière synthétique</w:t>
      </w:r>
    </w:p>
    <w:p w14:paraId="31014431" w14:textId="77777777" w:rsidR="00772179" w:rsidRDefault="00000000">
      <w:pPr>
        <w:pStyle w:val="pheading"/>
      </w:pPr>
      <w:r>
        <w:lastRenderedPageBreak/>
        <w:t>MESURAGE</w:t>
      </w:r>
    </w:p>
    <w:p w14:paraId="18A1C892" w14:textId="77777777" w:rsidR="00772179" w:rsidRDefault="00000000">
      <w:pPr>
        <w:pStyle w:val="pheading"/>
      </w:pPr>
      <w:r>
        <w:t>- unité de mesure:</w:t>
      </w:r>
    </w:p>
    <w:p w14:paraId="1198486E" w14:textId="77777777" w:rsidR="00772179" w:rsidRDefault="00000000">
      <w:r>
        <w:rPr>
          <w:rStyle w:val="optioncarChar"/>
        </w:rPr>
        <w:t>pc ; m² </w:t>
      </w:r>
      <w:r>
        <w:t>(par défaut)</w:t>
      </w:r>
      <w:r>
        <w:rPr>
          <w:rStyle w:val="optioncarChar"/>
        </w:rPr>
        <w:t> / -</w:t>
      </w:r>
    </w:p>
    <w:p w14:paraId="1A1F7111" w14:textId="77777777" w:rsidR="00772179" w:rsidRDefault="00000000">
      <w:r>
        <w:rPr>
          <w:b/>
          <w:i/>
        </w:rPr>
        <w:t>(soit par défaut)</w:t>
      </w:r>
    </w:p>
    <w:p w14:paraId="43414921" w14:textId="77777777" w:rsidR="00772179" w:rsidRDefault="00000000">
      <w:r>
        <w:rPr>
          <w:rStyle w:val="soitChar"/>
        </w:rPr>
        <w:t>1.  pc ; m²</w:t>
      </w:r>
    </w:p>
    <w:p w14:paraId="3A9F5A6B" w14:textId="77777777" w:rsidR="00772179" w:rsidRDefault="00000000">
      <w:r>
        <w:rPr>
          <w:b/>
          <w:i/>
        </w:rPr>
        <w:t>(soit)</w:t>
      </w:r>
    </w:p>
    <w:p w14:paraId="0E5C9623" w14:textId="77777777" w:rsidR="00772179" w:rsidRDefault="00000000">
      <w:r>
        <w:rPr>
          <w:rStyle w:val="soitChar"/>
        </w:rPr>
        <w:t>2.  –</w:t>
      </w:r>
    </w:p>
    <w:p w14:paraId="10F87956" w14:textId="77777777" w:rsidR="00772179" w:rsidRDefault="00000000">
      <w:pPr>
        <w:pStyle w:val="pheading"/>
      </w:pPr>
      <w:r>
        <w:t>- code de mesurage:</w:t>
      </w:r>
    </w:p>
    <w:p w14:paraId="275389B2" w14:textId="77777777" w:rsidR="00772179" w:rsidRDefault="00000000">
      <w:pPr>
        <w:jc w:val="both"/>
      </w:pPr>
      <w:r>
        <w:rPr>
          <w:rStyle w:val="optioncarChar"/>
        </w:rPr>
        <w:t>Quantité nette et par m² de surface nette </w:t>
      </w:r>
      <w:r>
        <w:t>(par défaut)</w:t>
      </w:r>
      <w:r>
        <w:rPr>
          <w:rStyle w:val="optioncarChar"/>
        </w:rPr>
        <w:t> / compris</w:t>
      </w:r>
    </w:p>
    <w:p w14:paraId="4AD64702" w14:textId="77777777" w:rsidR="00772179" w:rsidRDefault="00000000">
      <w:pPr>
        <w:jc w:val="both"/>
      </w:pPr>
      <w:r>
        <w:rPr>
          <w:b/>
          <w:i/>
        </w:rPr>
        <w:t>(soit par défaut)</w:t>
      </w:r>
    </w:p>
    <w:p w14:paraId="196EED4C" w14:textId="77777777" w:rsidR="00772179" w:rsidRDefault="00000000">
      <w:pPr>
        <w:jc w:val="both"/>
      </w:pPr>
      <w:r>
        <w:rPr>
          <w:rStyle w:val="soitChar"/>
          <w:u w:val="single"/>
        </w:rPr>
        <w:t>1. Quantité nette et par m² de surface nette </w:t>
      </w:r>
      <w:r>
        <w:rPr>
          <w:rStyle w:val="soitChar"/>
        </w:rPr>
        <w:t>: Le code de mesurage exprimé par volet suivant l’identification (nature, mouvement, performances spéciales. dimensions nominales, forme et aspect) comprendra la surface nette (surface jour et caisson) du volet exprimée en m².</w:t>
      </w:r>
    </w:p>
    <w:p w14:paraId="4F9240B8" w14:textId="77777777" w:rsidR="00772179" w:rsidRDefault="00000000">
      <w:pPr>
        <w:jc w:val="both"/>
      </w:pPr>
      <w:r>
        <w:rPr>
          <w:b/>
          <w:i/>
        </w:rPr>
        <w:t>(soit)</w:t>
      </w:r>
    </w:p>
    <w:p w14:paraId="38C9B0F4" w14:textId="77777777" w:rsidR="00772179" w:rsidRDefault="00772179">
      <w:pPr>
        <w:jc w:val="both"/>
      </w:pPr>
    </w:p>
    <w:p w14:paraId="2C965FE0" w14:textId="77777777" w:rsidR="00772179" w:rsidRDefault="00000000">
      <w:pPr>
        <w:jc w:val="both"/>
      </w:pPr>
      <w:r>
        <w:rPr>
          <w:rStyle w:val="soitChar"/>
          <w:u w:val="single"/>
        </w:rPr>
        <w:t>2. Compris :</w:t>
      </w:r>
      <w:r>
        <w:rPr>
          <w:rStyle w:val="soitChar"/>
        </w:rPr>
        <w:t> Les volets et leur mise en œuvre sont repris dans le prix des menuiseries extérieures dans l’élément </w:t>
      </w:r>
      <w:r>
        <w:rPr>
          <w:rStyle w:val="optioncarChar"/>
        </w:rPr>
        <w:t>***</w:t>
      </w:r>
      <w:r>
        <w:t> </w:t>
      </w:r>
      <w:r>
        <w:rPr>
          <w:rStyle w:val="soitChar"/>
        </w:rPr>
        <w:t>et les caissons et profilés de finition sont compris dans le prix unitaire de l’élément et ne sont pas mesurés.</w:t>
      </w:r>
    </w:p>
    <w:p w14:paraId="1FE8E90C" w14:textId="77777777" w:rsidR="00772179" w:rsidRDefault="00000000">
      <w:pPr>
        <w:pStyle w:val="pheading"/>
      </w:pPr>
      <w:r>
        <w:t>- nature du marché:</w:t>
      </w:r>
    </w:p>
    <w:p w14:paraId="45412E93" w14:textId="77777777" w:rsidR="00772179" w:rsidRDefault="00000000">
      <w:r>
        <w:rPr>
          <w:rStyle w:val="optioncarChar"/>
        </w:rPr>
        <w:t>QF </w:t>
      </w:r>
      <w:r>
        <w:t>(par défaut) </w:t>
      </w:r>
      <w:r>
        <w:rPr>
          <w:rStyle w:val="optioncarChar"/>
        </w:rPr>
        <w:t>/ PM</w:t>
      </w:r>
    </w:p>
    <w:p w14:paraId="70A4A699" w14:textId="77777777" w:rsidR="00772179" w:rsidRDefault="00000000">
      <w:r>
        <w:rPr>
          <w:b/>
          <w:i/>
        </w:rPr>
        <w:t>(soit par défaut)</w:t>
      </w:r>
    </w:p>
    <w:p w14:paraId="77983CAE" w14:textId="77777777" w:rsidR="00772179" w:rsidRDefault="00000000">
      <w:r>
        <w:rPr>
          <w:rStyle w:val="soitChar"/>
        </w:rPr>
        <w:t>1. QF</w:t>
      </w:r>
    </w:p>
    <w:p w14:paraId="265CDE37" w14:textId="77777777" w:rsidR="00772179" w:rsidRDefault="00000000">
      <w:r>
        <w:rPr>
          <w:b/>
          <w:i/>
        </w:rPr>
        <w:t>(soit)</w:t>
      </w:r>
    </w:p>
    <w:p w14:paraId="53C5B953" w14:textId="77777777" w:rsidR="00772179" w:rsidRDefault="00000000">
      <w:r>
        <w:rPr>
          <w:rStyle w:val="soitChar"/>
        </w:rPr>
        <w:t>2. PM</w:t>
      </w:r>
    </w:p>
    <w:p w14:paraId="63637AB8" w14:textId="77777777" w:rsidR="00772179" w:rsidRDefault="00000000">
      <w:pPr>
        <w:pStyle w:val="Author-eSectionHeading6Numberless"/>
      </w:pPr>
      <w:bookmarkStart w:id="231" w:name="_Toc220489969"/>
      <w:r>
        <w:t>41.51.1e Volets roulants encastrés en matériaux composites</w:t>
      </w:r>
      <w:bookmarkEnd w:id="231"/>
    </w:p>
    <w:p w14:paraId="7A67CF50" w14:textId="77777777" w:rsidR="00772179" w:rsidRDefault="00000000">
      <w:pPr>
        <w:pStyle w:val="Author-eSectionHeading5Numberless"/>
      </w:pPr>
      <w:bookmarkStart w:id="232" w:name="939"/>
      <w:bookmarkStart w:id="233" w:name="_Toc220489970"/>
      <w:bookmarkEnd w:id="232"/>
      <w:r>
        <w:t>41.51.2 Volets roulants appliqués CCTB 01.11</w:t>
      </w:r>
      <w:bookmarkEnd w:id="233"/>
    </w:p>
    <w:p w14:paraId="7B893488" w14:textId="77777777" w:rsidR="00772179" w:rsidRDefault="00000000">
      <w:pPr>
        <w:pStyle w:val="pheading"/>
      </w:pPr>
      <w:r>
        <w:t>DESCRIPTION</w:t>
      </w:r>
    </w:p>
    <w:p w14:paraId="59B14B01" w14:textId="77777777" w:rsidR="00772179" w:rsidRDefault="00000000">
      <w:pPr>
        <w:pStyle w:val="pheading"/>
      </w:pPr>
      <w:r>
        <w:t>- Définition / Comprend</w:t>
      </w:r>
    </w:p>
    <w:p w14:paraId="01973A1C" w14:textId="77777777" w:rsidR="00772179" w:rsidRDefault="00000000">
      <w:r>
        <w:t>Il s'agit de la fourniture et la pose de volets roulants pour fenêtres, afin d'assurer la fermeture, la protection et l’occultation des ouvertures de façade. Ils sont constitués d’un store enroulable glissant dans des coulisses latérales et d’un mécanisme de manœuvre pour lever et baisser le volet. Conformément aux dispositions générales et/ou spécifiques du cahier spécial des charges, les prix unitaires compris dans ce poste comprennent toujours, soit selon la ventilation dans le métré récapitulatif, soit dans leur totalité :</w:t>
      </w:r>
    </w:p>
    <w:p w14:paraId="219D085C" w14:textId="77777777" w:rsidR="00772179" w:rsidRDefault="00000000">
      <w:pPr>
        <w:pStyle w:val="Author-eListParagraph"/>
        <w:numPr>
          <w:ilvl w:val="0"/>
          <w:numId w:val="539"/>
        </w:numPr>
      </w:pPr>
      <w:r>
        <w:t>les feuilles de volet et tous les accessoires prévus ;</w:t>
      </w:r>
    </w:p>
    <w:p w14:paraId="20567024" w14:textId="77777777" w:rsidR="00772179" w:rsidRDefault="00000000">
      <w:pPr>
        <w:pStyle w:val="Author-eListParagraph"/>
        <w:numPr>
          <w:ilvl w:val="0"/>
          <w:numId w:val="539"/>
        </w:numPr>
      </w:pPr>
      <w:r>
        <w:t>les coulisses latérales avec tous les accessoires nécessaires au raccordement à la structure environnante ;</w:t>
      </w:r>
    </w:p>
    <w:p w14:paraId="2F18D555" w14:textId="77777777" w:rsidR="00772179" w:rsidRDefault="00000000">
      <w:pPr>
        <w:pStyle w:val="Author-eListParagraph"/>
        <w:numPr>
          <w:ilvl w:val="0"/>
          <w:numId w:val="539"/>
        </w:numPr>
      </w:pPr>
      <w:r>
        <w:t>le mécanisme de commande et d'enroulement (manuel et/ou à entraînement électrique).</w:t>
      </w:r>
    </w:p>
    <w:p w14:paraId="66BCDB35" w14:textId="77777777" w:rsidR="00772179" w:rsidRDefault="00000000">
      <w:r>
        <w:t>Attention</w:t>
      </w:r>
    </w:p>
    <w:p w14:paraId="763260B9" w14:textId="77777777" w:rsidR="00772179" w:rsidRDefault="00000000">
      <w:pPr>
        <w:pStyle w:val="Author-eListParagraph"/>
        <w:numPr>
          <w:ilvl w:val="0"/>
          <w:numId w:val="540"/>
        </w:numPr>
      </w:pPr>
      <w:r>
        <w:t>L'habillage des caisses à volets et leur isolation sont repris comme option séparée sous la rubrique 55.51 Habillage de fenêtres et 55.52 Habillage de portes habillage portes et fenêtres extérieures.</w:t>
      </w:r>
    </w:p>
    <w:p w14:paraId="05B580E9" w14:textId="77777777" w:rsidR="00772179" w:rsidRDefault="00000000">
      <w:pPr>
        <w:pStyle w:val="Author-eListParagraph"/>
        <w:numPr>
          <w:ilvl w:val="0"/>
          <w:numId w:val="540"/>
        </w:numPr>
      </w:pPr>
      <w:r>
        <w:t>Les volets sont uniquement recommandés au rez-de-chaussée en bordure du trottoir.</w:t>
      </w:r>
    </w:p>
    <w:p w14:paraId="1F1F2D1C" w14:textId="77777777" w:rsidR="00772179" w:rsidRDefault="00000000">
      <w:pPr>
        <w:pStyle w:val="pheading"/>
      </w:pPr>
      <w:r>
        <w:lastRenderedPageBreak/>
        <w:t>MATÉRIAUX</w:t>
      </w:r>
    </w:p>
    <w:p w14:paraId="0A124312" w14:textId="77777777" w:rsidR="00772179" w:rsidRDefault="00000000">
      <w:pPr>
        <w:pStyle w:val="Author-eListParagraph"/>
        <w:numPr>
          <w:ilvl w:val="0"/>
          <w:numId w:val="541"/>
        </w:numPr>
      </w:pPr>
      <w:r>
        <w:t>L'entrepreneur soumet à l'avance les dessins de détail et les relevés des pièces de volet en même temps que ceux de la menuiserie, pour approbation à l'auteur de projet.</w:t>
      </w:r>
    </w:p>
    <w:p w14:paraId="79A3D058" w14:textId="77777777" w:rsidR="00772179" w:rsidRDefault="00000000">
      <w:pPr>
        <w:pStyle w:val="heading"/>
      </w:pPr>
      <w:r>
        <w:t>Tableaux de volets</w:t>
      </w:r>
    </w:p>
    <w:p w14:paraId="1C7CB2C3" w14:textId="77777777" w:rsidR="00772179" w:rsidRDefault="00000000">
      <w:pPr>
        <w:pStyle w:val="Author-eListParagraph"/>
        <w:numPr>
          <w:ilvl w:val="0"/>
          <w:numId w:val="542"/>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14:paraId="76E2A0CD" w14:textId="77777777" w:rsidR="00772179" w:rsidRDefault="00000000">
      <w:pPr>
        <w:pStyle w:val="Author-eListParagraph"/>
        <w:numPr>
          <w:ilvl w:val="0"/>
          <w:numId w:val="542"/>
        </w:numPr>
      </w:pPr>
      <w:r>
        <w:t>La latte inférieure est renforcée et pourvue de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  </w:t>
      </w:r>
    </w:p>
    <w:p w14:paraId="6F3FE0FD" w14:textId="77777777" w:rsidR="00772179" w:rsidRDefault="00000000">
      <w:pPr>
        <w:pStyle w:val="heading"/>
      </w:pPr>
      <w:r>
        <w:t>Mécanisme d'enroulement</w:t>
      </w:r>
    </w:p>
    <w:p w14:paraId="00A74852" w14:textId="77777777" w:rsidR="00772179" w:rsidRDefault="00000000">
      <w:pPr>
        <w:pStyle w:val="Author-eListParagraph"/>
        <w:numPr>
          <w:ilvl w:val="0"/>
          <w:numId w:val="543"/>
        </w:numPr>
      </w:pPr>
      <w:r>
        <w:t xml:space="preserve">Les tableaux de volets sont actionnés par un système de pivot enrouleur en </w:t>
      </w:r>
      <w:r>
        <w:rPr>
          <w:rStyle w:val="optioncarChar"/>
        </w:rPr>
        <w:t>PVC / acier / *** </w:t>
      </w:r>
      <w:r>
        <w:t>sur roulements à billes, Ø ≥ 60 mm. Le mécanisme d'enroulement se compose de :</w:t>
      </w:r>
    </w:p>
    <w:p w14:paraId="2C8E0F63" w14:textId="77777777" w:rsidR="00772179" w:rsidRDefault="00000000">
      <w:r>
        <w:rPr>
          <w:b/>
        </w:rPr>
        <w:t>(soit par défaut)</w:t>
      </w:r>
      <w:r>
        <w:t xml:space="preserve"> : </w:t>
      </w:r>
      <w:r>
        <w:rPr>
          <w:rStyle w:val="soitChar"/>
        </w:rPr>
        <w:t>une poulie en matière synthétique ou en tôle d'acier galvanisé, un guide-ruban, un solide ruban en Nylon (largeur ± 22 mm ) avec enrouleur automatique encastré dans le caisson. L'ouverture pour le ruban est fermée par une plaque de couverture en laiton ou en matière synthétique. Lorsque les dimensions dans l'œuvre ≥ 2,50 m, un pivot enrouleur avec roue de dédoublement est posé</w:t>
      </w:r>
      <w:r>
        <w:t xml:space="preserve">. </w:t>
      </w:r>
      <w:r>
        <w:br/>
      </w:r>
      <w:r>
        <w:rPr>
          <w:b/>
        </w:rPr>
        <w:t>(soit) </w:t>
      </w:r>
      <w:r>
        <w:t xml:space="preserve">: une poulie en </w:t>
      </w:r>
      <w:r>
        <w:rPr>
          <w:rStyle w:val="optioncarChar"/>
        </w:rPr>
        <w:t>matière synthétique / tôle d'acier galvanisé, un câble en acier dans tube de guidage encastré</w:t>
      </w:r>
      <w:r>
        <w:t xml:space="preserve">, </w:t>
      </w:r>
      <w:r>
        <w:rPr>
          <w:rStyle w:val="soitChar"/>
        </w:rPr>
        <w:t>un treuil encastré avec plaque de couverture en </w:t>
      </w:r>
      <w:r>
        <w:rPr>
          <w:rStyle w:val="optioncarChar"/>
        </w:rPr>
        <w:t xml:space="preserve">laiton / matière synthétique / *** </w:t>
      </w:r>
      <w:r>
        <w:rPr>
          <w:rStyle w:val="soitChar"/>
        </w:rPr>
        <w:t>et un frein pour le blocage du volet à la hauteur désirée. L'ensemble est équipé d'une manivelle chromée amovible. Par unité de logement, il est prévu au moins deux manivelles.</w:t>
      </w:r>
      <w:r>
        <w:br/>
      </w:r>
      <w:r>
        <w:rPr>
          <w:b/>
        </w:rPr>
        <w:t>(soit)</w:t>
      </w:r>
      <w:r>
        <w:t xml:space="preserve"> : </w:t>
      </w:r>
      <w:r>
        <w:rPr>
          <w:rStyle w:val="optioncarChar"/>
        </w:rPr>
        <w:t>une poulie en matière synthétique / tôle d'acier galvanisé / ***</w:t>
      </w:r>
      <w:r>
        <w:t>, pourvue d’un ressort encastré actionné par un système d’engrenage en fonte et d’une tige de manœuvre avec manivelle chromée pliable. Attention : les lattes à rainures de ventilation ne sont pas appliquées dans un système de volet à ressort encastré.</w:t>
      </w:r>
    </w:p>
    <w:p w14:paraId="60F11923" w14:textId="77777777" w:rsidR="00772179" w:rsidRDefault="00000000">
      <w:pPr>
        <w:pStyle w:val="Author-eListParagraph"/>
        <w:numPr>
          <w:ilvl w:val="0"/>
          <w:numId w:val="544"/>
        </w:numPr>
      </w:pPr>
      <w:r>
        <w:t>L’enroulement du volet commence 3 cm au-dessus du jour de baie.</w:t>
      </w:r>
    </w:p>
    <w:p w14:paraId="1C5E46B2" w14:textId="77777777" w:rsidR="00772179" w:rsidRDefault="00000000">
      <w:pPr>
        <w:pStyle w:val="Author-eListParagraph"/>
        <w:numPr>
          <w:ilvl w:val="0"/>
          <w:numId w:val="544"/>
        </w:numPr>
      </w:pPr>
      <w:r>
        <w:t>Un dispositif de verrouillage automatique encastré empêche le soulèvement du volet baissé et ferme l’intérieur du caisson.</w:t>
      </w:r>
    </w:p>
    <w:p w14:paraId="67CAD6E8" w14:textId="77777777" w:rsidR="00772179" w:rsidRDefault="00000000">
      <w:pPr>
        <w:pStyle w:val="Author-eListParagraph"/>
        <w:numPr>
          <w:ilvl w:val="0"/>
          <w:numId w:val="544"/>
        </w:numPr>
      </w:pPr>
      <w:r>
        <w:t>Pour les volets dont la largeur est &gt; 1 m, des rouleaux de compression sont posés sur la traverse supérieure des châssis de fenêtre, pour éviter que le tableau du volet ne frotte contre la partie supérieure au moment de l'ouverture et de la fermeture. Ces rouleaux sont en matière synthétique et leur écartement est &lt; 1 m.</w:t>
      </w:r>
    </w:p>
    <w:p w14:paraId="6BA35D9E" w14:textId="77777777" w:rsidR="00772179" w:rsidRDefault="00000000">
      <w:pPr>
        <w:pStyle w:val="Author-eListParagraph"/>
        <w:numPr>
          <w:ilvl w:val="0"/>
          <w:numId w:val="544"/>
        </w:numPr>
      </w:pPr>
      <w:r>
        <w:t>Sur les volets d'une largeur &gt; 3,5 m, des crochets à pitons sont fixés pour éviter le déploiement en cas de poussée du vent élevée.  </w:t>
      </w:r>
    </w:p>
    <w:p w14:paraId="754B6058" w14:textId="77777777" w:rsidR="00772179" w:rsidRDefault="00000000">
      <w:pPr>
        <w:pStyle w:val="heading"/>
      </w:pPr>
      <w:r>
        <w:t>Glissières latérales</w:t>
      </w:r>
    </w:p>
    <w:p w14:paraId="67BC0A2D" w14:textId="77777777" w:rsidR="00772179" w:rsidRDefault="00000000">
      <w:pPr>
        <w:pStyle w:val="Author-eListParagraph"/>
        <w:numPr>
          <w:ilvl w:val="0"/>
          <w:numId w:val="545"/>
        </w:numPr>
      </w:pPr>
      <w:r>
        <w:t>Les coulisses latérales assurent à la fois un enroulement régulier et souple et une protection contre le vent. Elles sont du type "glissière-tempête" pour le guidage des volets à crochets à pitons.</w:t>
      </w:r>
    </w:p>
    <w:p w14:paraId="33DF4414" w14:textId="77777777" w:rsidR="00772179" w:rsidRDefault="00000000">
      <w:pPr>
        <w:pStyle w:val="Author-eListParagraph"/>
        <w:numPr>
          <w:ilvl w:val="0"/>
          <w:numId w:val="545"/>
        </w:numPr>
      </w:pPr>
      <w:r>
        <w:t xml:space="preserve">Selon le type et la description dans le cahier spécial des charges, les glissières latérales sont </w:t>
      </w:r>
      <w:r>
        <w:rPr>
          <w:rStyle w:val="optioncarChar"/>
        </w:rPr>
        <w:t>disposées en apparent à côté de la batée de la baie de fenêtre / ***</w:t>
      </w:r>
      <w:r>
        <w:t>.</w:t>
      </w:r>
    </w:p>
    <w:p w14:paraId="1743840B" w14:textId="77777777" w:rsidR="00772179" w:rsidRDefault="00000000">
      <w:pPr>
        <w:pStyle w:val="Author-eListParagraph"/>
        <w:numPr>
          <w:ilvl w:val="0"/>
          <w:numId w:val="545"/>
        </w:numPr>
      </w:pPr>
      <w:r>
        <w:t>Sauf spécifications particulières dans le cahier spécial des charges, les glissières latérales sont réalisées à l'aide de profils en U (à lèvre), fabriqués dans le même matériau que la menuiserie extérieure, soit en aluminium anodisé, en acier galvanisé ou en matière synthétique.</w:t>
      </w:r>
    </w:p>
    <w:p w14:paraId="142D4622" w14:textId="77777777" w:rsidR="00772179" w:rsidRDefault="00000000">
      <w:pPr>
        <w:pStyle w:val="Author-eListParagraph"/>
        <w:numPr>
          <w:ilvl w:val="0"/>
          <w:numId w:val="545"/>
        </w:numPr>
      </w:pPr>
      <w:r>
        <w:t>Les glissières apparentes sont exécutées dans la même couleur que le volet.</w:t>
      </w:r>
    </w:p>
    <w:p w14:paraId="27E8394E" w14:textId="77777777" w:rsidR="00772179" w:rsidRDefault="00000000">
      <w:pPr>
        <w:pStyle w:val="Author-eListParagraph"/>
        <w:numPr>
          <w:ilvl w:val="0"/>
          <w:numId w:val="545"/>
        </w:numPr>
      </w:pPr>
      <w:r>
        <w:t xml:space="preserve">La profondeur de guidage des glissières latérales est ≥ 25 mm pour les volets dont la largeur ne dépasse pas 2,50 m et ≥ 35 mm pour les largeurs &gt; 2,50 m. Le jeu latéral dans les </w:t>
      </w:r>
      <w:r>
        <w:lastRenderedPageBreak/>
        <w:t>glissières est déterminé par le fabricant, compte tenu du coefficient de dilatation du matériau. Pour les volets en PVC, le jeu est ≥ 7 mm pour les volets d'une largeur jusqu'à 1,50 m et ≥ 10 mm pour les largeurs &gt; 2,50 m.</w:t>
      </w:r>
    </w:p>
    <w:p w14:paraId="12EB2C99" w14:textId="77777777" w:rsidR="00772179" w:rsidRDefault="00000000">
      <w:pPr>
        <w:pStyle w:val="Author-eListParagraph"/>
        <w:numPr>
          <w:ilvl w:val="0"/>
          <w:numId w:val="545"/>
        </w:numPr>
      </w:pPr>
      <w:r>
        <w:t>Lorsque les seuils sont inclinés, le bas des glissières est également biseauté.</w:t>
      </w:r>
    </w:p>
    <w:p w14:paraId="631A9317" w14:textId="77777777" w:rsidR="00772179" w:rsidRDefault="00000000">
      <w:pPr>
        <w:pStyle w:val="Author-eListParagraph"/>
        <w:numPr>
          <w:ilvl w:val="0"/>
          <w:numId w:val="545"/>
        </w:numPr>
      </w:pPr>
      <w:r>
        <w:t>La hauteur des glissières latérales = à la hauteur dans l'œuvre de la baie + 8 cm. Dans le haut, les glissières sont élargies afin de faciliter le coulissage du volet.</w:t>
      </w:r>
    </w:p>
    <w:p w14:paraId="0D89CB53" w14:textId="77777777" w:rsidR="00772179" w:rsidRDefault="00000000">
      <w:pPr>
        <w:pStyle w:val="Author-eListParagraph"/>
        <w:numPr>
          <w:ilvl w:val="0"/>
          <w:numId w:val="545"/>
        </w:numPr>
      </w:pPr>
      <w:r>
        <w:t>Pour les glissières en PVC, il existe des éléments spéciaux en entonnoir.  </w:t>
      </w:r>
    </w:p>
    <w:p w14:paraId="7A49ED31" w14:textId="77777777" w:rsidR="00772179" w:rsidRDefault="00000000">
      <w:pPr>
        <w:pStyle w:val="heading"/>
      </w:pPr>
      <w:r>
        <w:t>Caisses à volets</w:t>
      </w:r>
    </w:p>
    <w:p w14:paraId="011D59EE" w14:textId="77777777" w:rsidR="00772179" w:rsidRDefault="00000000">
      <w:pPr>
        <w:pStyle w:val="Author-eListParagraph"/>
        <w:numPr>
          <w:ilvl w:val="0"/>
          <w:numId w:val="546"/>
        </w:numPr>
      </w:pPr>
      <w:r>
        <w:t>Les dimensions des caisses à volets sont déterminées en fonction du volet ayant les plus grandes dimensions et la plus forte surcharge du vent, compte tenu du diamètre du volet enroulé, de l’épaisseur du matériau isolant et du jeu nécessaire.</w:t>
      </w:r>
    </w:p>
    <w:p w14:paraId="5E0FACF1" w14:textId="77777777" w:rsidR="00772179" w:rsidRDefault="00000000">
      <w:pPr>
        <w:pStyle w:val="Author-eListParagraph"/>
        <w:numPr>
          <w:ilvl w:val="0"/>
          <w:numId w:val="546"/>
        </w:numPr>
      </w:pPr>
      <w:r>
        <w:t>Le jeu est ≥ 2 cm (pour les volets dont la largeur est &lt; 2,5 m ) et de 4 cm (pour les volets dont la largeur est ≥ 2,5 m ). Sur le côté, un espace nécessaire pour le système de commande est prévu.</w:t>
      </w:r>
    </w:p>
    <w:p w14:paraId="1A6A7D36" w14:textId="77777777" w:rsidR="00772179" w:rsidRDefault="00000000">
      <w:pPr>
        <w:pStyle w:val="Author-eListParagraph"/>
        <w:numPr>
          <w:ilvl w:val="0"/>
          <w:numId w:val="546"/>
        </w:numPr>
      </w:pPr>
      <w:r>
        <w:t>La caisse à volet est fabriquée en matériaux résistants à l'humidité. Afin de prévenir les ponts thermiques, la caisse à volet est isolée sur toutes les faces.   </w:t>
      </w:r>
    </w:p>
    <w:p w14:paraId="02522F87" w14:textId="77777777" w:rsidR="00772179" w:rsidRDefault="00000000">
      <w:pPr>
        <w:pStyle w:val="pheading"/>
      </w:pPr>
      <w:r>
        <w:t>EXÉCUTION / MISE EN ŒUVRE</w:t>
      </w:r>
    </w:p>
    <w:p w14:paraId="25F5F648" w14:textId="77777777" w:rsidR="00772179" w:rsidRDefault="00000000">
      <w:pPr>
        <w:pStyle w:val="Author-eListParagraph"/>
        <w:numPr>
          <w:ilvl w:val="0"/>
          <w:numId w:val="547"/>
        </w:numPr>
      </w:pPr>
      <w:r>
        <w:t>L'entrepreneur assume la responsabilité en ce qui concerne la bonne coordination entre les travaux de gros-œuvre et les dispositifs pour l'installation des volets. Les réservations nécessaires dans le gros-œuvre sont prévues conformément aux choix du profil de volet et de son mode d'actionnement.</w:t>
      </w:r>
    </w:p>
    <w:p w14:paraId="67F5F063" w14:textId="77777777" w:rsidR="00772179" w:rsidRDefault="00000000">
      <w:pPr>
        <w:pStyle w:val="Author-eListParagraph"/>
        <w:numPr>
          <w:ilvl w:val="0"/>
          <w:numId w:val="547"/>
        </w:numPr>
      </w:pPr>
      <w:r>
        <w:t>Il prend à l'avance les mesures exactes du volet, adaptées à la profondeur des glissières latérales.</w:t>
      </w:r>
    </w:p>
    <w:p w14:paraId="6113FAB4" w14:textId="77777777" w:rsidR="00772179" w:rsidRDefault="00000000">
      <w:pPr>
        <w:pStyle w:val="Author-eListParagraph"/>
        <w:numPr>
          <w:ilvl w:val="0"/>
          <w:numId w:val="547"/>
        </w:numPr>
      </w:pPr>
      <w:r>
        <w:t>Les volets sont placés avec tous les accessoires et moyens de fixation nécessaires, conformément aux directives du fabricant et selon la [NIT 143].</w:t>
      </w:r>
    </w:p>
    <w:p w14:paraId="5685A514" w14:textId="77777777" w:rsidR="00772179" w:rsidRDefault="00000000">
      <w:pPr>
        <w:pStyle w:val="Author-eListParagraph"/>
        <w:numPr>
          <w:ilvl w:val="0"/>
          <w:numId w:val="547"/>
        </w:numPr>
      </w:pPr>
      <w:r>
        <w:t>Les glissières latérales et les autres accessoires sont uniquement fixés à l'aide de matériaux inoxydables.</w:t>
      </w:r>
    </w:p>
    <w:p w14:paraId="601ADA5D" w14:textId="77777777" w:rsidR="00772179" w:rsidRDefault="00000000">
      <w:pPr>
        <w:pStyle w:val="pheading"/>
      </w:pPr>
      <w:r>
        <w:t>CONTRÔLES</w:t>
      </w:r>
    </w:p>
    <w:p w14:paraId="0138036C" w14:textId="77777777" w:rsidR="00772179" w:rsidRDefault="00000000">
      <w:pPr>
        <w:pStyle w:val="Author-eListParagraph"/>
        <w:numPr>
          <w:ilvl w:val="0"/>
          <w:numId w:val="548"/>
        </w:numPr>
      </w:pPr>
      <w:r>
        <w:t>Les volets ne coincent pas, l'enroulement et le déroulement s'effectuent sans accroc.</w:t>
      </w:r>
    </w:p>
    <w:p w14:paraId="5CE7ED58" w14:textId="77777777" w:rsidR="00772179" w:rsidRDefault="00000000">
      <w:pPr>
        <w:pStyle w:val="Author-eListParagraph"/>
        <w:numPr>
          <w:ilvl w:val="0"/>
          <w:numId w:val="548"/>
        </w:numPr>
      </w:pPr>
      <w:r>
        <w:t>Les éléments de volet qui sont endommagés sont remplacés.</w:t>
      </w:r>
    </w:p>
    <w:p w14:paraId="48894221" w14:textId="77777777" w:rsidR="00772179" w:rsidRDefault="00000000">
      <w:pPr>
        <w:pStyle w:val="Author-eListParagraph"/>
        <w:numPr>
          <w:ilvl w:val="0"/>
          <w:numId w:val="548"/>
        </w:numPr>
      </w:pPr>
      <w:r>
        <w:t>Les glissières latérales se raccordent proprement et uniformément aux bords de la menuiserie extérieure et/ou du jour de la baie de fenêtre.  </w:t>
      </w:r>
    </w:p>
    <w:p w14:paraId="54BAC647" w14:textId="77777777" w:rsidR="00772179" w:rsidRDefault="00000000">
      <w:pPr>
        <w:pStyle w:val="pheading"/>
      </w:pPr>
      <w:r>
        <w:t>DOCUMENTS DE RÉFÉRENCE</w:t>
      </w:r>
    </w:p>
    <w:p w14:paraId="1C5566EA" w14:textId="77777777" w:rsidR="00772179" w:rsidRDefault="00000000">
      <w:pPr>
        <w:pStyle w:val="pheading"/>
      </w:pPr>
      <w:r>
        <w:t>- Exécution</w:t>
      </w:r>
    </w:p>
    <w:p w14:paraId="1359DFAD" w14:textId="77777777" w:rsidR="00772179" w:rsidRDefault="00000000">
      <w:pPr>
        <w:ind w:left="435"/>
      </w:pPr>
      <w:r>
        <w:t>L'exécution des volets est régie par les dispositions de la [NIT 143, Volets roulants pour habitations.].</w:t>
      </w:r>
    </w:p>
    <w:p w14:paraId="79E699F4" w14:textId="77777777" w:rsidR="00772179" w:rsidRDefault="00000000">
      <w:pPr>
        <w:pStyle w:val="pheading"/>
      </w:pPr>
      <w:r>
        <w:t>AIDE</w:t>
      </w:r>
    </w:p>
    <w:p w14:paraId="1EAD28FE" w14:textId="77777777" w:rsidR="00772179" w:rsidRDefault="00000000">
      <w:r>
        <w:t> </w:t>
      </w:r>
    </w:p>
    <w:p w14:paraId="740A5BC8" w14:textId="77777777" w:rsidR="00772179" w:rsidRDefault="00000000">
      <w:r>
        <w:rPr>
          <w:i/>
          <w:u w:val="single"/>
        </w:rPr>
        <w:t>Note à l’attention de l’auteur de projet</w:t>
      </w:r>
      <w:r>
        <w:br/>
        <w:t>Lorsque les lames ont une épaisseur de 15 mm, il y a lieu de tenir compte du diamètre libre suivant dans la caisse à volet :</w:t>
      </w:r>
    </w:p>
    <w:tbl>
      <w:tblPr>
        <w:tblStyle w:val="Author-eTableGrid"/>
        <w:tblW w:w="4600" w:type="pct"/>
        <w:tblLayout w:type="fixed"/>
        <w:tblLook w:val="04A0" w:firstRow="1" w:lastRow="0" w:firstColumn="1" w:lastColumn="0" w:noHBand="0" w:noVBand="1"/>
      </w:tblPr>
      <w:tblGrid>
        <w:gridCol w:w="1195"/>
        <w:gridCol w:w="1195"/>
        <w:gridCol w:w="1196"/>
        <w:gridCol w:w="1196"/>
        <w:gridCol w:w="1196"/>
        <w:gridCol w:w="1196"/>
        <w:gridCol w:w="1196"/>
      </w:tblGrid>
      <w:tr w:rsidR="00772179" w14:paraId="19182FA6" w14:textId="77777777">
        <w:tc>
          <w:tcPr>
            <w:tcW w:w="1185" w:type="dxa"/>
            <w:noWrap/>
          </w:tcPr>
          <w:p w14:paraId="4C6FFABF" w14:textId="77777777" w:rsidR="00772179" w:rsidRDefault="00000000">
            <w:r>
              <w:t>Hauteur de la fenêtre  (cm)</w:t>
            </w:r>
          </w:p>
        </w:tc>
        <w:tc>
          <w:tcPr>
            <w:tcW w:w="1185" w:type="dxa"/>
            <w:noWrap/>
          </w:tcPr>
          <w:p w14:paraId="7EF34B39" w14:textId="77777777" w:rsidR="00772179" w:rsidRDefault="00000000">
            <w:pPr>
              <w:jc w:val="center"/>
            </w:pPr>
            <w:r>
              <w:t>100</w:t>
            </w:r>
          </w:p>
        </w:tc>
        <w:tc>
          <w:tcPr>
            <w:tcW w:w="1185" w:type="dxa"/>
            <w:noWrap/>
          </w:tcPr>
          <w:p w14:paraId="5699C1BE" w14:textId="77777777" w:rsidR="00772179" w:rsidRDefault="00000000">
            <w:pPr>
              <w:jc w:val="center"/>
            </w:pPr>
            <w:r>
              <w:t>125</w:t>
            </w:r>
          </w:p>
        </w:tc>
        <w:tc>
          <w:tcPr>
            <w:tcW w:w="1185" w:type="dxa"/>
            <w:noWrap/>
          </w:tcPr>
          <w:p w14:paraId="63AA6F90" w14:textId="77777777" w:rsidR="00772179" w:rsidRDefault="00000000">
            <w:pPr>
              <w:jc w:val="center"/>
            </w:pPr>
            <w:r>
              <w:t>150</w:t>
            </w:r>
          </w:p>
        </w:tc>
        <w:tc>
          <w:tcPr>
            <w:tcW w:w="1185" w:type="dxa"/>
            <w:noWrap/>
          </w:tcPr>
          <w:p w14:paraId="1C86C37A" w14:textId="77777777" w:rsidR="00772179" w:rsidRDefault="00000000">
            <w:pPr>
              <w:jc w:val="center"/>
            </w:pPr>
            <w:r>
              <w:t>200</w:t>
            </w:r>
          </w:p>
        </w:tc>
        <w:tc>
          <w:tcPr>
            <w:tcW w:w="1185" w:type="dxa"/>
            <w:noWrap/>
          </w:tcPr>
          <w:p w14:paraId="7905E2D4" w14:textId="77777777" w:rsidR="00772179" w:rsidRDefault="00000000">
            <w:pPr>
              <w:jc w:val="center"/>
            </w:pPr>
            <w:r>
              <w:t>225</w:t>
            </w:r>
          </w:p>
        </w:tc>
        <w:tc>
          <w:tcPr>
            <w:tcW w:w="1185" w:type="dxa"/>
            <w:noWrap/>
          </w:tcPr>
          <w:p w14:paraId="71DBD21A" w14:textId="77777777" w:rsidR="00772179" w:rsidRDefault="00000000">
            <w:pPr>
              <w:jc w:val="center"/>
            </w:pPr>
            <w:r>
              <w:t>250</w:t>
            </w:r>
          </w:p>
        </w:tc>
      </w:tr>
      <w:tr w:rsidR="00772179" w14:paraId="1440387D" w14:textId="77777777">
        <w:tc>
          <w:tcPr>
            <w:tcW w:w="1185" w:type="dxa"/>
            <w:noWrap/>
          </w:tcPr>
          <w:p w14:paraId="4FE8C50D" w14:textId="77777777" w:rsidR="00772179" w:rsidRDefault="00000000">
            <w:r>
              <w:t>Diamètre de la caisse à volet (cm)</w:t>
            </w:r>
          </w:p>
        </w:tc>
        <w:tc>
          <w:tcPr>
            <w:tcW w:w="1185" w:type="dxa"/>
            <w:noWrap/>
          </w:tcPr>
          <w:p w14:paraId="2FDC6415" w14:textId="77777777" w:rsidR="00772179" w:rsidRDefault="00000000">
            <w:pPr>
              <w:jc w:val="center"/>
            </w:pPr>
            <w:r>
              <w:t>21</w:t>
            </w:r>
          </w:p>
        </w:tc>
        <w:tc>
          <w:tcPr>
            <w:tcW w:w="1185" w:type="dxa"/>
            <w:noWrap/>
          </w:tcPr>
          <w:p w14:paraId="34F843BC" w14:textId="77777777" w:rsidR="00772179" w:rsidRDefault="00000000">
            <w:pPr>
              <w:jc w:val="center"/>
            </w:pPr>
            <w:r>
              <w:t>22</w:t>
            </w:r>
          </w:p>
        </w:tc>
        <w:tc>
          <w:tcPr>
            <w:tcW w:w="1185" w:type="dxa"/>
            <w:noWrap/>
          </w:tcPr>
          <w:p w14:paraId="334B4F6D" w14:textId="77777777" w:rsidR="00772179" w:rsidRDefault="00000000">
            <w:pPr>
              <w:jc w:val="center"/>
            </w:pPr>
            <w:r>
              <w:t>23</w:t>
            </w:r>
          </w:p>
        </w:tc>
        <w:tc>
          <w:tcPr>
            <w:tcW w:w="1185" w:type="dxa"/>
            <w:noWrap/>
          </w:tcPr>
          <w:p w14:paraId="6B32D10D" w14:textId="77777777" w:rsidR="00772179" w:rsidRDefault="00000000">
            <w:pPr>
              <w:jc w:val="center"/>
            </w:pPr>
            <w:r>
              <w:t>27</w:t>
            </w:r>
          </w:p>
        </w:tc>
        <w:tc>
          <w:tcPr>
            <w:tcW w:w="1185" w:type="dxa"/>
            <w:noWrap/>
          </w:tcPr>
          <w:p w14:paraId="178AD25E" w14:textId="77777777" w:rsidR="00772179" w:rsidRDefault="00000000">
            <w:pPr>
              <w:jc w:val="center"/>
            </w:pPr>
            <w:r>
              <w:t>29</w:t>
            </w:r>
          </w:p>
        </w:tc>
        <w:tc>
          <w:tcPr>
            <w:tcW w:w="1185" w:type="dxa"/>
            <w:noWrap/>
          </w:tcPr>
          <w:p w14:paraId="43B51054" w14:textId="77777777" w:rsidR="00772179" w:rsidRDefault="00000000">
            <w:pPr>
              <w:jc w:val="center"/>
            </w:pPr>
            <w:r>
              <w:t>30</w:t>
            </w:r>
          </w:p>
        </w:tc>
      </w:tr>
    </w:tbl>
    <w:p w14:paraId="7EC3E24E" w14:textId="77777777" w:rsidR="00772179" w:rsidRDefault="00000000">
      <w:pPr>
        <w:pStyle w:val="Author-eSectionHeading6Numberless"/>
      </w:pPr>
      <w:bookmarkStart w:id="234" w:name="_Toc220489971"/>
      <w:r>
        <w:lastRenderedPageBreak/>
        <w:t>41.51.2a Volets roulants appliqués en bois massif / lamellé-collé</w:t>
      </w:r>
      <w:bookmarkEnd w:id="234"/>
    </w:p>
    <w:p w14:paraId="3BCDD4CE" w14:textId="77777777" w:rsidR="00772179" w:rsidRDefault="00000000">
      <w:pPr>
        <w:pStyle w:val="Author-eSectionHeading6Numberless"/>
      </w:pPr>
      <w:bookmarkStart w:id="235" w:name="_Toc220489972"/>
      <w:r>
        <w:t>41.51.2b Volets roulants appliqués en aluminium</w:t>
      </w:r>
      <w:bookmarkEnd w:id="235"/>
    </w:p>
    <w:p w14:paraId="6269B016" w14:textId="77777777" w:rsidR="00772179" w:rsidRDefault="00000000">
      <w:pPr>
        <w:pStyle w:val="Author-eSectionHeading6Numberless"/>
      </w:pPr>
      <w:bookmarkStart w:id="236" w:name="_Toc220489973"/>
      <w:r>
        <w:t>41.51.2c Volets roulants appliqués en acier</w:t>
      </w:r>
      <w:bookmarkEnd w:id="236"/>
    </w:p>
    <w:p w14:paraId="0B952040" w14:textId="77777777" w:rsidR="00772179" w:rsidRDefault="00000000">
      <w:pPr>
        <w:pStyle w:val="Author-eSectionHeading6Numberless"/>
      </w:pPr>
      <w:bookmarkStart w:id="237" w:name="_Toc220489974"/>
      <w:r>
        <w:t>41.51.2d Volets roulants appliqués en PVC CCTB 01.10</w:t>
      </w:r>
      <w:bookmarkEnd w:id="237"/>
    </w:p>
    <w:p w14:paraId="7302EC12" w14:textId="77777777" w:rsidR="00772179" w:rsidRDefault="00000000">
      <w:pPr>
        <w:pStyle w:val="pheading"/>
      </w:pPr>
      <w:r>
        <w:t>MATÉRIAUX</w:t>
      </w:r>
    </w:p>
    <w:p w14:paraId="522770EA" w14:textId="77777777" w:rsidR="00772179" w:rsidRDefault="00000000">
      <w:pPr>
        <w:pStyle w:val="pheading"/>
      </w:pPr>
      <w:r>
        <w:t>- Caractéristiques générales</w:t>
      </w:r>
    </w:p>
    <w:p w14:paraId="4E239CF2" w14:textId="77777777" w:rsidR="00772179" w:rsidRDefault="00000000">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sont pourvus de fentes qui laissent pénétrer l’air et la lumière lorsque le volet est légèrement levé. A partir d’une largeur de fenêtre &gt; 2,00 m, les lattes sont pourvues de profils de renfort en métal non corrosif, selon les prescriptions du fabricant. En ce qui concerne la stabilité des couleurs, une garantie de dix ans est accordée pendant laquelle les teintes et différences de teinte sont mesurées selon l' [ISO 7724-3] . L'écart des teintes est tel que DE</w:t>
      </w:r>
      <w:r>
        <w:rPr>
          <w:vertAlign w:val="subscript"/>
        </w:rPr>
        <w:t>ob</w:t>
      </w:r>
      <w:r>
        <w:t xml:space="preserve"> ≤ 3.</w:t>
      </w:r>
    </w:p>
    <w:p w14:paraId="4748C4E2" w14:textId="77777777" w:rsidR="00772179" w:rsidRDefault="00000000">
      <w:pPr>
        <w:pStyle w:val="pheading"/>
      </w:pPr>
      <w:r>
        <w:t>EXÉCUTION / MISE EN ŒUVRE</w:t>
      </w:r>
    </w:p>
    <w:p w14:paraId="4DB5EB31" w14:textId="77777777" w:rsidR="00772179" w:rsidRDefault="00000000">
      <w:pPr>
        <w:pStyle w:val="pheading"/>
      </w:pPr>
      <w:r>
        <w:t>- Prescriptions générales</w:t>
      </w:r>
    </w:p>
    <w:p w14:paraId="570C8F84" w14:textId="77777777" w:rsidR="00772179" w:rsidRDefault="00000000">
      <w:r>
        <w:t xml:space="preserve">Les glissières latérales sont </w:t>
      </w:r>
      <w:r>
        <w:rPr>
          <w:rStyle w:val="optioncarChar"/>
        </w:rPr>
        <w:t xml:space="preserve">placées en apparent à côté de la batée de la baie de fenêtre </w:t>
      </w:r>
      <w:r>
        <w:t>(par défaut)</w:t>
      </w:r>
      <w:r>
        <w:rPr>
          <w:rStyle w:val="optioncarChar"/>
        </w:rPr>
        <w:t xml:space="preserve"> / ***.</w:t>
      </w:r>
    </w:p>
    <w:p w14:paraId="17EA9731" w14:textId="77777777" w:rsidR="00772179" w:rsidRDefault="00000000">
      <w:pPr>
        <w:pStyle w:val="pheading"/>
      </w:pPr>
      <w:r>
        <w:t>- Notes d’exécution complémentaires</w:t>
      </w:r>
    </w:p>
    <w:p w14:paraId="1DB6FD48" w14:textId="77777777" w:rsidR="00772179" w:rsidRDefault="00000000">
      <w:r>
        <w:t>Caisses à volets : voir les options aux articles 55.51.3a Habillage de fenêtres en matière synthétique et 55.52.3a Habillage de portes en matière synthétique</w:t>
      </w:r>
    </w:p>
    <w:p w14:paraId="101F7BC4" w14:textId="77777777" w:rsidR="00772179" w:rsidRDefault="00000000">
      <w:pPr>
        <w:pStyle w:val="pheading"/>
      </w:pPr>
      <w:r>
        <w:t>MESURAGE</w:t>
      </w:r>
    </w:p>
    <w:p w14:paraId="22DBC20E" w14:textId="77777777" w:rsidR="00772179" w:rsidRDefault="00000000">
      <w:pPr>
        <w:pStyle w:val="pheading"/>
      </w:pPr>
      <w:r>
        <w:t>- unité de mesure:</w:t>
      </w:r>
    </w:p>
    <w:p w14:paraId="63B0613C" w14:textId="77777777" w:rsidR="00772179" w:rsidRDefault="00000000">
      <w:r>
        <w:t>pc</w:t>
      </w:r>
    </w:p>
    <w:p w14:paraId="008F25F3" w14:textId="77777777" w:rsidR="00772179" w:rsidRDefault="00000000">
      <w:pPr>
        <w:pStyle w:val="pheading"/>
      </w:pPr>
      <w:r>
        <w:t>- nature du marché:</w:t>
      </w:r>
    </w:p>
    <w:p w14:paraId="0EAF8504" w14:textId="77777777" w:rsidR="00772179" w:rsidRDefault="00000000">
      <w:r>
        <w:t>QF</w:t>
      </w:r>
    </w:p>
    <w:p w14:paraId="7E8EA498" w14:textId="77777777" w:rsidR="00772179" w:rsidRDefault="00000000">
      <w:pPr>
        <w:pStyle w:val="Author-eSectionHeading6Numberless"/>
      </w:pPr>
      <w:bookmarkStart w:id="238" w:name="_Toc220489975"/>
      <w:r>
        <w:t>41.51.2e Volets roulants appliqués en matériaux composites</w:t>
      </w:r>
      <w:bookmarkEnd w:id="238"/>
    </w:p>
    <w:p w14:paraId="414D6520" w14:textId="77777777" w:rsidR="00772179" w:rsidRDefault="00000000">
      <w:pPr>
        <w:pStyle w:val="Author-eSectionHeading5Numberless"/>
      </w:pPr>
      <w:bookmarkStart w:id="239" w:name="_Toc220489976"/>
      <w:r>
        <w:t>41.51.3 Volets roulants projetants CCTB 01.11</w:t>
      </w:r>
      <w:bookmarkEnd w:id="239"/>
    </w:p>
    <w:p w14:paraId="512D4F45" w14:textId="77777777" w:rsidR="00772179" w:rsidRDefault="00000000">
      <w:pPr>
        <w:pStyle w:val="pheading"/>
      </w:pPr>
      <w:r>
        <w:t>DESCRIPTION</w:t>
      </w:r>
    </w:p>
    <w:p w14:paraId="5246F151" w14:textId="77777777" w:rsidR="00772179" w:rsidRDefault="00000000">
      <w:pPr>
        <w:pStyle w:val="pheading"/>
      </w:pPr>
      <w:r>
        <w:t>- Définition / Comprend</w:t>
      </w:r>
    </w:p>
    <w:p w14:paraId="06A495CF" w14:textId="77777777" w:rsidR="00772179" w:rsidRDefault="00000000">
      <w:r>
        <w:t>Il s'agit de la fourniture et la pose de volets roulants pour fenêtres, afin d'assurer la fermeture, la protection et l’occultation des ouvertures de façade. Ils sont constitués d'un volet roulant et de mécanisme de projetant. Conformément aux dispositions générales et/ou spécifiques du cahier spécial des charges, les prix unitaires compris dans ce poste comprennent toujours, soit selon la ventilation dans le métré récapitulatif, soit dans leur totalité :</w:t>
      </w:r>
    </w:p>
    <w:p w14:paraId="7313D075" w14:textId="77777777" w:rsidR="00772179" w:rsidRDefault="00000000">
      <w:pPr>
        <w:pStyle w:val="Author-eListParagraph"/>
        <w:numPr>
          <w:ilvl w:val="0"/>
          <w:numId w:val="549"/>
        </w:numPr>
      </w:pPr>
      <w:r>
        <w:t>les feuilles de volet et tous les accessoires prévus,</w:t>
      </w:r>
    </w:p>
    <w:p w14:paraId="5A31036D" w14:textId="77777777" w:rsidR="00772179" w:rsidRDefault="00000000">
      <w:pPr>
        <w:pStyle w:val="Author-eListParagraph"/>
        <w:numPr>
          <w:ilvl w:val="0"/>
          <w:numId w:val="549"/>
        </w:numPr>
      </w:pPr>
      <w:r>
        <w:t>les coulisses latérales avec tous les accessoires nécessaires au raccordement à la structure environnante;</w:t>
      </w:r>
    </w:p>
    <w:p w14:paraId="255D4E3B" w14:textId="77777777" w:rsidR="00772179" w:rsidRDefault="00000000">
      <w:pPr>
        <w:pStyle w:val="Author-eListParagraph"/>
        <w:numPr>
          <w:ilvl w:val="0"/>
          <w:numId w:val="549"/>
        </w:numPr>
      </w:pPr>
      <w:r>
        <w:t>le mécanisme de commande et d'enroulement (manuel et/ou à entraînement électrique).</w:t>
      </w:r>
    </w:p>
    <w:p w14:paraId="078EFAEA" w14:textId="77777777" w:rsidR="00772179" w:rsidRDefault="00000000">
      <w:r>
        <w:rPr>
          <w:i/>
          <w:u w:val="single"/>
        </w:rPr>
        <w:t>Attention</w:t>
      </w:r>
    </w:p>
    <w:p w14:paraId="133C8F71" w14:textId="77777777" w:rsidR="00772179" w:rsidRDefault="00000000">
      <w:pPr>
        <w:pStyle w:val="Author-eListParagraph"/>
        <w:numPr>
          <w:ilvl w:val="0"/>
          <w:numId w:val="550"/>
        </w:numPr>
      </w:pPr>
      <w:r>
        <w:lastRenderedPageBreak/>
        <w:t>L'habillage des caisses à volets et leur isolation sont repris comme option séparée sous la rubrique 55.51 Habillage de fenêtres et 55.52 Habillage de portes habillage portes et fenêtres extérieures.</w:t>
      </w:r>
    </w:p>
    <w:p w14:paraId="1557B0E1" w14:textId="77777777" w:rsidR="00772179" w:rsidRDefault="00000000">
      <w:pPr>
        <w:pStyle w:val="Author-eListParagraph"/>
        <w:numPr>
          <w:ilvl w:val="0"/>
          <w:numId w:val="550"/>
        </w:numPr>
      </w:pPr>
      <w:r>
        <w:t>Les volets sont uniquement recommandés au rez-de-chaussée en bordure du trottoir.</w:t>
      </w:r>
    </w:p>
    <w:p w14:paraId="60295E82" w14:textId="77777777" w:rsidR="00772179" w:rsidRDefault="00000000">
      <w:pPr>
        <w:pStyle w:val="pheading"/>
      </w:pPr>
      <w:r>
        <w:t>MATÉRIAUX</w:t>
      </w:r>
    </w:p>
    <w:p w14:paraId="2E1B98F7" w14:textId="77777777" w:rsidR="00772179" w:rsidRDefault="00000000">
      <w:pPr>
        <w:pStyle w:val="Author-eListParagraph"/>
        <w:numPr>
          <w:ilvl w:val="0"/>
          <w:numId w:val="551"/>
        </w:numPr>
      </w:pPr>
      <w:r>
        <w:t>L'entrepreneur soumet à l'avance les dessins de détail et les relevés des pièces de volet en même temps que ceux de la menuiserie, pour approbation à l'auteur de projet.</w:t>
      </w:r>
    </w:p>
    <w:p w14:paraId="73C7F93E" w14:textId="77777777" w:rsidR="00772179" w:rsidRDefault="00000000">
      <w:pPr>
        <w:pStyle w:val="heading"/>
      </w:pPr>
      <w:r>
        <w:t>Tableaux de volets</w:t>
      </w:r>
    </w:p>
    <w:p w14:paraId="59B1C498" w14:textId="77777777" w:rsidR="00772179" w:rsidRDefault="00000000">
      <w:pPr>
        <w:pStyle w:val="Author-eListParagraph"/>
        <w:numPr>
          <w:ilvl w:val="0"/>
          <w:numId w:val="552"/>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14:paraId="13CFEBD7" w14:textId="77777777" w:rsidR="00772179" w:rsidRDefault="00000000">
      <w:pPr>
        <w:pStyle w:val="Author-eListParagraph"/>
        <w:numPr>
          <w:ilvl w:val="0"/>
          <w:numId w:val="552"/>
        </w:numPr>
      </w:pPr>
      <w:r>
        <w:t>La latte inférieure est renforcée et pourvue de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w:t>
      </w:r>
    </w:p>
    <w:p w14:paraId="2A974ACF" w14:textId="77777777" w:rsidR="00772179" w:rsidRDefault="00000000">
      <w:pPr>
        <w:pStyle w:val="heading"/>
      </w:pPr>
      <w:r>
        <w:t>Mécanisme d'enroulement</w:t>
      </w:r>
    </w:p>
    <w:p w14:paraId="091DA76B" w14:textId="77777777" w:rsidR="00772179" w:rsidRDefault="00000000">
      <w:pPr>
        <w:pStyle w:val="Author-eListParagraph"/>
        <w:numPr>
          <w:ilvl w:val="0"/>
          <w:numId w:val="553"/>
        </w:numPr>
      </w:pPr>
      <w:r>
        <w:t xml:space="preserve">Les tableaux de volets sont actionnés par un système de pivot enrouleur en </w:t>
      </w:r>
      <w:r>
        <w:rPr>
          <w:rStyle w:val="optioncarChar"/>
        </w:rPr>
        <w:t>PVC / acier / *** sur roulements à billes</w:t>
      </w:r>
      <w:r>
        <w:t xml:space="preserve">, Ø ≥ 60 mm. </w:t>
      </w:r>
      <w:r>
        <w:br/>
        <w:t>Le mécanisme d'enroulement se compose de :</w:t>
      </w:r>
    </w:p>
    <w:p w14:paraId="51AC5A89" w14:textId="77777777" w:rsidR="00772179" w:rsidRDefault="00000000">
      <w:pPr>
        <w:ind w:left="450"/>
      </w:pPr>
      <w:r>
        <w:rPr>
          <w:b/>
        </w:rPr>
        <w:t>(soit par défaut)</w:t>
      </w:r>
      <w:r>
        <w:t> : u</w:t>
      </w:r>
      <w:r>
        <w:rPr>
          <w:rStyle w:val="soitChar"/>
        </w:rPr>
        <w:t>ne poulie en matière synthétique ou en tôle d'acier galvanisé, un guide-ruban, un solide ruban en Nylon (largeur ± 22 mm ) avec enrouleur automatique encastré dans le caisson. L'ouverture pour le ruban est fermée par une plaque de couverture en laiton ou en matière synthétique. Lorsque les dimensions dans l'œuvre sont ≥ 2,50 m, un pivot enrouleur avec roue de dédoublement est posé</w:t>
      </w:r>
      <w:r>
        <w:t xml:space="preserve">. </w:t>
      </w:r>
      <w:r>
        <w:br/>
      </w:r>
      <w:r>
        <w:rPr>
          <w:b/>
        </w:rPr>
        <w:t>(soit)</w:t>
      </w:r>
      <w:r>
        <w:t> :</w:t>
      </w:r>
      <w:r>
        <w:rPr>
          <w:rStyle w:val="optioncarChar"/>
        </w:rPr>
        <w:t> une poulie en matière synthétique / tôle d'acier galvanisé / ***</w:t>
      </w:r>
      <w:r>
        <w:t xml:space="preserve">, </w:t>
      </w:r>
      <w:r>
        <w:rPr>
          <w:rStyle w:val="soitChar"/>
        </w:rPr>
        <w:t>un câble en acier dans tube de guidage encastré, un treuil encastré avec plaque de couverture en </w:t>
      </w:r>
      <w:r>
        <w:rPr>
          <w:rStyle w:val="optioncarChar"/>
        </w:rPr>
        <w:t>laiton / matière synthétique / ***</w:t>
      </w:r>
      <w:r>
        <w:rPr>
          <w:rStyle w:val="soitChar"/>
        </w:rPr>
        <w:t>et un frein pour le blocage du volet à la hauteur désirée. L'ensemble est équipé d'une manivelle chromée amovible. Par unité de logement, au moins deux manivelles sont livrées.</w:t>
      </w:r>
      <w:r>
        <w:br/>
      </w:r>
      <w:r>
        <w:rPr>
          <w:b/>
        </w:rPr>
        <w:t>(soit)</w:t>
      </w:r>
      <w:r>
        <w:t xml:space="preserve"> : </w:t>
      </w:r>
      <w:r>
        <w:rPr>
          <w:rStyle w:val="optioncarChar"/>
        </w:rPr>
        <w:t>une poulie en matière synthétique / tôle d'acier galvanisé / ***</w:t>
      </w:r>
      <w:r>
        <w:t>, pourvue d’un ressort encastré actionné par un système d’engrenage en fonte et d’une tige de manœuvre avec manivelle chromée pliable. Attention : les lattes à rainures de ventilation ne sont pas appliquées dans un système de volet à ressort encastré.</w:t>
      </w:r>
    </w:p>
    <w:p w14:paraId="5C1A091E" w14:textId="77777777" w:rsidR="00772179" w:rsidRDefault="00000000">
      <w:pPr>
        <w:pStyle w:val="Author-eListParagraph"/>
        <w:numPr>
          <w:ilvl w:val="0"/>
          <w:numId w:val="554"/>
        </w:numPr>
      </w:pPr>
      <w:r>
        <w:t>L’enroulement du volet commence </w:t>
      </w:r>
      <w:r>
        <w:rPr>
          <w:rStyle w:val="optioncarChar"/>
        </w:rPr>
        <w:t xml:space="preserve">3 </w:t>
      </w:r>
      <w:r>
        <w:t xml:space="preserve">(par défaut) </w:t>
      </w:r>
      <w:r>
        <w:rPr>
          <w:rStyle w:val="optioncarChar"/>
        </w:rPr>
        <w:t>/ ***</w:t>
      </w:r>
      <w:r>
        <w:t> cm au-dessus du jour de baie.</w:t>
      </w:r>
    </w:p>
    <w:p w14:paraId="6DDCAB72" w14:textId="77777777" w:rsidR="00772179" w:rsidRDefault="00000000">
      <w:pPr>
        <w:pStyle w:val="Author-eListParagraph"/>
        <w:numPr>
          <w:ilvl w:val="0"/>
          <w:numId w:val="554"/>
        </w:numPr>
      </w:pPr>
      <w:r>
        <w:t>Un dispositif de verrouillage automatique encastré empêche le soulèvement du volet baissé et ferme l’intérieur du caisson.</w:t>
      </w:r>
    </w:p>
    <w:p w14:paraId="45AA35AA" w14:textId="77777777" w:rsidR="00772179" w:rsidRDefault="00000000">
      <w:pPr>
        <w:pStyle w:val="Author-eListParagraph"/>
        <w:numPr>
          <w:ilvl w:val="0"/>
          <w:numId w:val="554"/>
        </w:numPr>
      </w:pPr>
      <w:r>
        <w:t xml:space="preserve">Les dispositions constructives sont conformes aux prescriptions du fabricant et conformes aux exigences des normes [NBN EN 13241:2003+A2] si le passage des personnes est prévu et </w:t>
      </w:r>
      <w:r>
        <w:rPr>
          <w:shd w:val="clear" w:color="auto" w:fill="FFFFFF"/>
        </w:rPr>
        <w:t>[NBN EN 13659]</w:t>
      </w:r>
      <w:r>
        <w:t xml:space="preserve"> lorsque le passage de personnes n'est pas prévu.</w:t>
      </w:r>
    </w:p>
    <w:p w14:paraId="2DD9A156" w14:textId="77777777" w:rsidR="00772179" w:rsidRDefault="00000000">
      <w:pPr>
        <w:pStyle w:val="heading"/>
      </w:pPr>
      <w:r>
        <w:t>Glissières latérales</w:t>
      </w:r>
    </w:p>
    <w:p w14:paraId="110F2D46" w14:textId="77777777" w:rsidR="00772179" w:rsidRDefault="00000000">
      <w:pPr>
        <w:pStyle w:val="Author-eListParagraph"/>
        <w:numPr>
          <w:ilvl w:val="0"/>
          <w:numId w:val="555"/>
        </w:numPr>
      </w:pPr>
      <w:r>
        <w:t>Les coulisses latérales assurent à la fois un enroulement régulier et souple et une protection contre le vent. Elles sont du type "glissière-tempête" pour le guidage des volets à crochets à pitons.</w:t>
      </w:r>
    </w:p>
    <w:p w14:paraId="0E487F6B" w14:textId="77777777" w:rsidR="00772179" w:rsidRDefault="00000000">
      <w:pPr>
        <w:pStyle w:val="Author-eListParagraph"/>
        <w:numPr>
          <w:ilvl w:val="0"/>
          <w:numId w:val="555"/>
        </w:numPr>
      </w:pPr>
      <w:r>
        <w:t xml:space="preserve">Selon le type et la description dans le cahier spécial des charges, les glissières latérales sont </w:t>
      </w:r>
      <w:r>
        <w:rPr>
          <w:rStyle w:val="optioncarChar"/>
        </w:rPr>
        <w:t>disposées en apparent à côté de la batée de la baie de fenêtre / ***.</w:t>
      </w:r>
    </w:p>
    <w:p w14:paraId="0E4CED10" w14:textId="77777777" w:rsidR="00772179" w:rsidRDefault="00000000">
      <w:pPr>
        <w:pStyle w:val="Author-eListParagraph"/>
        <w:numPr>
          <w:ilvl w:val="0"/>
          <w:numId w:val="555"/>
        </w:numPr>
      </w:pPr>
      <w:r>
        <w:t>Sauf spécifications particulières dans le cahier spécial des charges, les glissières latérales sont réalisées à l'aide de profils en U (à lèvre), fabriqués dans le même matériau que la menuiserie extérieure, soit en aluminium anodisé, en acier galvanisé ou en matière synthétique.</w:t>
      </w:r>
    </w:p>
    <w:p w14:paraId="382F3357" w14:textId="77777777" w:rsidR="00772179" w:rsidRDefault="00000000">
      <w:pPr>
        <w:pStyle w:val="Author-eListParagraph"/>
        <w:numPr>
          <w:ilvl w:val="0"/>
          <w:numId w:val="555"/>
        </w:numPr>
      </w:pPr>
      <w:r>
        <w:lastRenderedPageBreak/>
        <w:t>Les glissières apparentes sont exécutées dans la même couleur que le volet.</w:t>
      </w:r>
    </w:p>
    <w:p w14:paraId="05D150BF" w14:textId="77777777" w:rsidR="00772179" w:rsidRDefault="00000000">
      <w:pPr>
        <w:pStyle w:val="Author-eListParagraph"/>
        <w:numPr>
          <w:ilvl w:val="0"/>
          <w:numId w:val="555"/>
        </w:numPr>
      </w:pPr>
      <w:r>
        <w:t>La profondeur de guidage des glissières latérales est ≥ 25 mm pour les volets dont la largeur ≤ 2,50 m et ≥ 35 mm pour les largeurs ≥ 2,50 m. Le jeu latéral dans les glissières est déterminé par le fabricant, compte tenu du coefficient de dilatation du matériau. Pour les volets en PVC, le jeu est ≥ 7 mm pour les volets d'une largeur jusqu'à 1,50 m et ≥ 10 mm pour les largeurs &gt; 2,50 m .</w:t>
      </w:r>
    </w:p>
    <w:p w14:paraId="4A137572" w14:textId="77777777" w:rsidR="00772179" w:rsidRDefault="00000000">
      <w:pPr>
        <w:pStyle w:val="Author-eListParagraph"/>
        <w:numPr>
          <w:ilvl w:val="0"/>
          <w:numId w:val="555"/>
        </w:numPr>
      </w:pPr>
      <w:r>
        <w:t>Lorsque les seuils sont inclinés, le bas des glissières est également biseauté.</w:t>
      </w:r>
    </w:p>
    <w:p w14:paraId="678D69E2" w14:textId="77777777" w:rsidR="00772179" w:rsidRDefault="00000000">
      <w:pPr>
        <w:pStyle w:val="Author-eListParagraph"/>
        <w:numPr>
          <w:ilvl w:val="0"/>
          <w:numId w:val="555"/>
        </w:numPr>
      </w:pPr>
      <w:r>
        <w:t>La hauteur des glissières latérales = hauteur dans l'œuvre de la baie + 8 cm . Dans le haut, les glissières sont élargies afin de faciliter le coulissage du volet.</w:t>
      </w:r>
    </w:p>
    <w:p w14:paraId="3723EA47" w14:textId="77777777" w:rsidR="00772179" w:rsidRDefault="00000000">
      <w:pPr>
        <w:pStyle w:val="Author-eListParagraph"/>
        <w:numPr>
          <w:ilvl w:val="0"/>
          <w:numId w:val="555"/>
        </w:numPr>
      </w:pPr>
      <w:r>
        <w:t>Pour les glissières en PVC, il existe des éléments spéciaux en entonnoir.</w:t>
      </w:r>
    </w:p>
    <w:p w14:paraId="77DF8433" w14:textId="77777777" w:rsidR="00772179" w:rsidRDefault="00000000">
      <w:pPr>
        <w:pStyle w:val="heading"/>
      </w:pPr>
      <w:r>
        <w:t>Caisses à volets</w:t>
      </w:r>
    </w:p>
    <w:p w14:paraId="54DF93A2" w14:textId="77777777" w:rsidR="00772179" w:rsidRDefault="00000000">
      <w:pPr>
        <w:pStyle w:val="Author-eListParagraph"/>
        <w:numPr>
          <w:ilvl w:val="0"/>
          <w:numId w:val="556"/>
        </w:numPr>
      </w:pPr>
      <w:r>
        <w:t>Les dimensions des caisses à volets sont déterminées en fonction du volet ayant les plus grandes dimensions et la plus forte surcharge du vent, compte tenu du diamètre du volet enroulé, de l’épaisseur du matériau isolant et du jeu nécessaire.</w:t>
      </w:r>
    </w:p>
    <w:p w14:paraId="202F987A" w14:textId="77777777" w:rsidR="00772179" w:rsidRDefault="00000000">
      <w:pPr>
        <w:pStyle w:val="Author-eListParagraph"/>
        <w:numPr>
          <w:ilvl w:val="0"/>
          <w:numId w:val="556"/>
        </w:numPr>
      </w:pPr>
      <w:r>
        <w:t>Le jeu est au moins de 2 cm (pour les volets dont la largeur est &lt; 2,5 m) et de 4 cm (pour les volets dont la largeur est ≥ 2,5 m). Sur le côté, un espace nécessaire est prévu pour le système de commande.</w:t>
      </w:r>
    </w:p>
    <w:p w14:paraId="5CF94601" w14:textId="77777777" w:rsidR="00772179" w:rsidRDefault="00000000">
      <w:pPr>
        <w:pStyle w:val="Author-eListParagraph"/>
        <w:numPr>
          <w:ilvl w:val="0"/>
          <w:numId w:val="556"/>
        </w:numPr>
      </w:pPr>
      <w:r>
        <w:t>La caisse à volet est fabriquée en matériaux résistants à l'humidité. Afin de prévenir les ponts thermiques, la caisse à volet est isolée sur toutes les faces. </w:t>
      </w:r>
    </w:p>
    <w:p w14:paraId="61FF6B5A" w14:textId="77777777" w:rsidR="00772179" w:rsidRDefault="00000000">
      <w:pPr>
        <w:pStyle w:val="pheading"/>
      </w:pPr>
      <w:r>
        <w:t>EXÉCUTION / MISE EN ŒUVRE</w:t>
      </w:r>
    </w:p>
    <w:p w14:paraId="1EC6577B" w14:textId="77777777" w:rsidR="00772179" w:rsidRDefault="00000000">
      <w:pPr>
        <w:pStyle w:val="Author-eListParagraph"/>
        <w:numPr>
          <w:ilvl w:val="0"/>
          <w:numId w:val="557"/>
        </w:numPr>
      </w:pPr>
      <w:r>
        <w:t>L'entrepreneur assume la responsabilité en ce qui concerne la bonne coordination entre les travaux de gros-œuvre et les dispositifs pour l'installation des volets. Les réservations nécessaires dans le gros-œuvre sont prévues conformément aux choix du profil de volet et de son mode d'actionnement.</w:t>
      </w:r>
    </w:p>
    <w:p w14:paraId="3A16BFDC" w14:textId="77777777" w:rsidR="00772179" w:rsidRDefault="00000000">
      <w:pPr>
        <w:pStyle w:val="Author-eListParagraph"/>
        <w:numPr>
          <w:ilvl w:val="0"/>
          <w:numId w:val="557"/>
        </w:numPr>
      </w:pPr>
      <w:r>
        <w:t>Il prend à l'avance les mesures exactes du volet, adaptées à la profondeur des glissières latérales.</w:t>
      </w:r>
    </w:p>
    <w:p w14:paraId="15CB1AEA" w14:textId="77777777" w:rsidR="00772179" w:rsidRDefault="00000000">
      <w:pPr>
        <w:pStyle w:val="Author-eListParagraph"/>
        <w:numPr>
          <w:ilvl w:val="0"/>
          <w:numId w:val="557"/>
        </w:numPr>
      </w:pPr>
      <w:r>
        <w:t>Les volets sont placés avec tous les accessoires et moyens de fixation nécessaires, conformément aux directives du fabricant et selon la [NIT 143].</w:t>
      </w:r>
    </w:p>
    <w:p w14:paraId="2BD43B21" w14:textId="77777777" w:rsidR="00772179" w:rsidRDefault="00000000">
      <w:pPr>
        <w:pStyle w:val="Author-eListParagraph"/>
        <w:numPr>
          <w:ilvl w:val="0"/>
          <w:numId w:val="557"/>
        </w:numPr>
      </w:pPr>
      <w:r>
        <w:t>Les glissières latérales et les autres accessoires peuvent uniquement être fixés à l'aide de matériaux inoxydables.</w:t>
      </w:r>
    </w:p>
    <w:p w14:paraId="07ED3CB4" w14:textId="77777777" w:rsidR="00772179" w:rsidRDefault="00000000">
      <w:pPr>
        <w:pStyle w:val="pheading"/>
      </w:pPr>
      <w:r>
        <w:t>CONTRÔLES</w:t>
      </w:r>
    </w:p>
    <w:p w14:paraId="333E8575" w14:textId="77777777" w:rsidR="00772179" w:rsidRDefault="00000000">
      <w:pPr>
        <w:pStyle w:val="Author-eListParagraph"/>
        <w:numPr>
          <w:ilvl w:val="0"/>
          <w:numId w:val="558"/>
        </w:numPr>
      </w:pPr>
      <w:r>
        <w:t>Les volets ne coincent pas, l'enroulement et le déroulement s'effectuent sans accroc.</w:t>
      </w:r>
    </w:p>
    <w:p w14:paraId="00929899" w14:textId="77777777" w:rsidR="00772179" w:rsidRDefault="00000000">
      <w:pPr>
        <w:pStyle w:val="Author-eListParagraph"/>
        <w:numPr>
          <w:ilvl w:val="0"/>
          <w:numId w:val="558"/>
        </w:numPr>
      </w:pPr>
      <w:r>
        <w:t>Les éléments de volet qui sont endommagés sont remplacés.</w:t>
      </w:r>
    </w:p>
    <w:p w14:paraId="12F4D6D0" w14:textId="77777777" w:rsidR="00772179" w:rsidRDefault="00000000">
      <w:pPr>
        <w:pStyle w:val="Author-eListParagraph"/>
        <w:numPr>
          <w:ilvl w:val="0"/>
          <w:numId w:val="558"/>
        </w:numPr>
      </w:pPr>
      <w:r>
        <w:t>Les glissières latérales se raccordent proprement et uniformément aux bords de la menuiserie extérieure et/ou du jour de la baie de fenêtre.</w:t>
      </w:r>
    </w:p>
    <w:p w14:paraId="55E1AA00" w14:textId="77777777" w:rsidR="00772179" w:rsidRDefault="00000000">
      <w:pPr>
        <w:pStyle w:val="Author-eSectionHeading6Numberless"/>
      </w:pPr>
      <w:bookmarkStart w:id="240" w:name="_Toc220489977"/>
      <w:r>
        <w:t>41.51.3a Volets roulants projetants en bois massif / lamellé-collé</w:t>
      </w:r>
      <w:bookmarkEnd w:id="240"/>
    </w:p>
    <w:p w14:paraId="4D43AF6F" w14:textId="77777777" w:rsidR="00772179" w:rsidRDefault="00000000">
      <w:pPr>
        <w:pStyle w:val="Author-eSectionHeading6Numberless"/>
      </w:pPr>
      <w:bookmarkStart w:id="241" w:name="_Toc220489978"/>
      <w:r>
        <w:t>41.51.3b Volets roulants projetants en aluminium</w:t>
      </w:r>
      <w:bookmarkEnd w:id="241"/>
    </w:p>
    <w:p w14:paraId="38AE06FF" w14:textId="77777777" w:rsidR="00772179" w:rsidRDefault="00000000">
      <w:pPr>
        <w:pStyle w:val="Author-eSectionHeading6Numberless"/>
      </w:pPr>
      <w:bookmarkStart w:id="242" w:name="_Toc220489979"/>
      <w:r>
        <w:t>41.51.3c Volets roulants projetants en acier</w:t>
      </w:r>
      <w:bookmarkEnd w:id="242"/>
    </w:p>
    <w:p w14:paraId="074F3E08" w14:textId="77777777" w:rsidR="00772179" w:rsidRDefault="00000000">
      <w:pPr>
        <w:pStyle w:val="Author-eSectionHeading6Numberless"/>
      </w:pPr>
      <w:bookmarkStart w:id="243" w:name="_Toc220489980"/>
      <w:r>
        <w:t>41.51.3d Volets roulants projetants en PVC CCTB 01.11</w:t>
      </w:r>
      <w:bookmarkEnd w:id="243"/>
    </w:p>
    <w:p w14:paraId="060B60C6" w14:textId="77777777" w:rsidR="00772179" w:rsidRDefault="00000000">
      <w:pPr>
        <w:pStyle w:val="pheading"/>
      </w:pPr>
      <w:r>
        <w:t>MATÉRIAUX</w:t>
      </w:r>
    </w:p>
    <w:p w14:paraId="7D8C3151" w14:textId="77777777" w:rsidR="00772179" w:rsidRDefault="00000000">
      <w:pPr>
        <w:pStyle w:val="pheading"/>
      </w:pPr>
      <w:r>
        <w:t>- Caractéristiques générales</w:t>
      </w:r>
    </w:p>
    <w:p w14:paraId="064CE2C5" w14:textId="77777777" w:rsidR="00772179" w:rsidRDefault="00000000">
      <w:r>
        <w:t xml:space="preserve">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sont pourvus de fentes qui laissent pénétrer l’air et la lumière lorsque le volet est légèrement levé. A partir d’une largeur de fenêtre &gt; 2,00 m, les lattes sont pourvues de profils de renfort en métal non corrosif, selon les prescriptions du fabricant. En ce qui concerne la stabilité des couleurs, une garantie de dix ans est accordée pendant </w:t>
      </w:r>
      <w:r>
        <w:lastRenderedPageBreak/>
        <w:t>laquelle les teintes et différences de teinte sont mesurées selon l' [ISO 7724-3] . L'écart des teintes est tel que DE</w:t>
      </w:r>
      <w:r>
        <w:rPr>
          <w:vertAlign w:val="subscript"/>
        </w:rPr>
        <w:t>ob</w:t>
      </w:r>
      <w:r>
        <w:t xml:space="preserve"> ≤ 3.</w:t>
      </w:r>
    </w:p>
    <w:p w14:paraId="4EA45A3C" w14:textId="77777777" w:rsidR="00772179" w:rsidRDefault="00000000">
      <w:pPr>
        <w:pStyle w:val="pheading"/>
      </w:pPr>
      <w:r>
        <w:t>EXÉCUTION / MISE EN ŒUVRE</w:t>
      </w:r>
    </w:p>
    <w:p w14:paraId="12269241" w14:textId="77777777" w:rsidR="00772179" w:rsidRDefault="00000000">
      <w:pPr>
        <w:pStyle w:val="pheading"/>
      </w:pPr>
      <w:r>
        <w:t>- Prescriptions générales</w:t>
      </w:r>
    </w:p>
    <w:p w14:paraId="6CC59503" w14:textId="77777777" w:rsidR="00772179" w:rsidRDefault="00000000">
      <w:r>
        <w:t xml:space="preserve">Les glissières latérales sont </w:t>
      </w:r>
      <w:r>
        <w:rPr>
          <w:rStyle w:val="optioncarChar"/>
        </w:rPr>
        <w:t xml:space="preserve">placées en apparent à côté de la batée de la baie de fenêtre </w:t>
      </w:r>
      <w:r>
        <w:t>(par défaut)</w:t>
      </w:r>
      <w:r>
        <w:rPr>
          <w:rStyle w:val="optioncarChar"/>
        </w:rPr>
        <w:t xml:space="preserve"> / ***</w:t>
      </w:r>
      <w:r>
        <w:t>.</w:t>
      </w:r>
    </w:p>
    <w:p w14:paraId="72F28647" w14:textId="77777777" w:rsidR="00772179" w:rsidRDefault="00000000">
      <w:pPr>
        <w:pStyle w:val="pheading"/>
      </w:pPr>
      <w:r>
        <w:t>- Notes d’exécution complémentaires</w:t>
      </w:r>
    </w:p>
    <w:p w14:paraId="5D164B1A" w14:textId="77777777" w:rsidR="00772179" w:rsidRDefault="00000000">
      <w:r>
        <w:t>Caisses à volets : voir les options aux articles 55.51.3a Habillage de fenêtres en matière synthétique et 55.52.3a Habillage de portes en matière synthétique</w:t>
      </w:r>
    </w:p>
    <w:p w14:paraId="3B4C0148" w14:textId="77777777" w:rsidR="00772179" w:rsidRDefault="00000000">
      <w:pPr>
        <w:pStyle w:val="pheading"/>
      </w:pPr>
      <w:r>
        <w:t>MESURAGE</w:t>
      </w:r>
    </w:p>
    <w:p w14:paraId="6DDA0304" w14:textId="77777777" w:rsidR="00772179" w:rsidRDefault="00000000">
      <w:pPr>
        <w:pStyle w:val="pheading"/>
      </w:pPr>
      <w:r>
        <w:t>- unité de mesure:</w:t>
      </w:r>
    </w:p>
    <w:p w14:paraId="5FB2A4D1" w14:textId="77777777" w:rsidR="00772179" w:rsidRDefault="00000000">
      <w:r>
        <w:t>pc</w:t>
      </w:r>
    </w:p>
    <w:p w14:paraId="6369C336" w14:textId="77777777" w:rsidR="00772179" w:rsidRDefault="00000000">
      <w:pPr>
        <w:pStyle w:val="pheading"/>
      </w:pPr>
      <w:r>
        <w:t>- nature du marché:</w:t>
      </w:r>
    </w:p>
    <w:p w14:paraId="6B72CDEC" w14:textId="77777777" w:rsidR="00772179" w:rsidRDefault="00000000">
      <w:r>
        <w:t>QF</w:t>
      </w:r>
    </w:p>
    <w:p w14:paraId="2E52D8BD" w14:textId="77777777" w:rsidR="00772179" w:rsidRDefault="00000000">
      <w:pPr>
        <w:pStyle w:val="Author-eSectionHeading6Numberless"/>
      </w:pPr>
      <w:bookmarkStart w:id="244" w:name="_Toc220489981"/>
      <w:r>
        <w:t>41.51.3e Volets roulants projetants en matériaux composites</w:t>
      </w:r>
      <w:bookmarkEnd w:id="244"/>
    </w:p>
    <w:p w14:paraId="3B5183D5" w14:textId="77777777" w:rsidR="00772179" w:rsidRDefault="00000000">
      <w:pPr>
        <w:pStyle w:val="Author-eSectionHeading5Numberless"/>
      </w:pPr>
      <w:bookmarkStart w:id="245" w:name="_Toc220489982"/>
      <w:r>
        <w:t>41.51.4 Volets battants CCTB 01.02</w:t>
      </w:r>
      <w:bookmarkEnd w:id="245"/>
    </w:p>
    <w:p w14:paraId="413B4C8F" w14:textId="77777777" w:rsidR="00772179" w:rsidRDefault="00000000">
      <w:pPr>
        <w:pStyle w:val="Author-eSectionHeading6Numberless"/>
      </w:pPr>
      <w:bookmarkStart w:id="246" w:name="_Toc220489983"/>
      <w:r>
        <w:t>41.51.4a Volets battants en bois massif / lamellé-collé</w:t>
      </w:r>
      <w:bookmarkEnd w:id="246"/>
    </w:p>
    <w:p w14:paraId="1AF4DD0C" w14:textId="77777777" w:rsidR="00772179" w:rsidRDefault="00000000">
      <w:pPr>
        <w:pStyle w:val="Author-eSectionHeading6Numberless"/>
      </w:pPr>
      <w:bookmarkStart w:id="247" w:name="_Toc220489984"/>
      <w:r>
        <w:t>41.51.4b Volets battants en aluminium</w:t>
      </w:r>
      <w:bookmarkEnd w:id="247"/>
    </w:p>
    <w:p w14:paraId="3ED0D9B2" w14:textId="77777777" w:rsidR="00772179" w:rsidRDefault="00000000">
      <w:pPr>
        <w:pStyle w:val="Author-eSectionHeading6Numberless"/>
      </w:pPr>
      <w:bookmarkStart w:id="248" w:name="_Toc220489985"/>
      <w:r>
        <w:t>41.51.4c Volets battants en acier</w:t>
      </w:r>
      <w:bookmarkEnd w:id="248"/>
    </w:p>
    <w:p w14:paraId="6D3C4E50" w14:textId="77777777" w:rsidR="00772179" w:rsidRDefault="00000000">
      <w:pPr>
        <w:pStyle w:val="Author-eSectionHeading6Numberless"/>
      </w:pPr>
      <w:bookmarkStart w:id="249" w:name="_Toc220489986"/>
      <w:r>
        <w:t>41.51.4d Volets battants en PVC</w:t>
      </w:r>
      <w:bookmarkEnd w:id="249"/>
    </w:p>
    <w:p w14:paraId="3D954C4C" w14:textId="77777777" w:rsidR="00772179" w:rsidRDefault="00000000">
      <w:pPr>
        <w:pStyle w:val="Author-eSectionHeading6Numberless"/>
      </w:pPr>
      <w:bookmarkStart w:id="250" w:name="_Toc220489987"/>
      <w:r>
        <w:t>41.51.4e Volets battants en matériaux composites</w:t>
      </w:r>
      <w:bookmarkEnd w:id="250"/>
    </w:p>
    <w:p w14:paraId="239CD58E" w14:textId="77777777" w:rsidR="00772179" w:rsidRDefault="00000000">
      <w:pPr>
        <w:pStyle w:val="Author-eSectionHeading5Numberless"/>
      </w:pPr>
      <w:bookmarkStart w:id="251" w:name="_Toc220489988"/>
      <w:r>
        <w:t>41.51.5 Volets coulissants CCTB 01.02</w:t>
      </w:r>
      <w:bookmarkEnd w:id="251"/>
    </w:p>
    <w:p w14:paraId="52B9692C" w14:textId="77777777" w:rsidR="00772179" w:rsidRDefault="00000000">
      <w:pPr>
        <w:pStyle w:val="Author-eSectionHeading6Numberless"/>
      </w:pPr>
      <w:bookmarkStart w:id="252" w:name="_Toc220489989"/>
      <w:r>
        <w:t>41.51.5a Volets coulissants en bois massif / lamellé-collé</w:t>
      </w:r>
      <w:bookmarkEnd w:id="252"/>
    </w:p>
    <w:p w14:paraId="2E04ACDB" w14:textId="77777777" w:rsidR="00772179" w:rsidRDefault="00000000">
      <w:pPr>
        <w:pStyle w:val="Author-eSectionHeading6Numberless"/>
      </w:pPr>
      <w:bookmarkStart w:id="253" w:name="_Toc220489990"/>
      <w:r>
        <w:t>41.51.5b Volets coulissants en aluminium</w:t>
      </w:r>
      <w:bookmarkEnd w:id="253"/>
    </w:p>
    <w:p w14:paraId="0468084E" w14:textId="77777777" w:rsidR="00772179" w:rsidRDefault="00000000">
      <w:pPr>
        <w:pStyle w:val="Author-eSectionHeading6Numberless"/>
      </w:pPr>
      <w:bookmarkStart w:id="254" w:name="_Toc220489991"/>
      <w:r>
        <w:t>41.51.5c Volets coulissants en acier</w:t>
      </w:r>
      <w:bookmarkEnd w:id="254"/>
    </w:p>
    <w:p w14:paraId="26135B66" w14:textId="77777777" w:rsidR="00772179" w:rsidRDefault="00000000">
      <w:pPr>
        <w:pStyle w:val="Author-eSectionHeading6Numberless"/>
      </w:pPr>
      <w:bookmarkStart w:id="255" w:name="_Toc220489992"/>
      <w:r>
        <w:t>41.51.5d Volets coulissants en PVC</w:t>
      </w:r>
      <w:bookmarkEnd w:id="255"/>
    </w:p>
    <w:p w14:paraId="4FA62155" w14:textId="77777777" w:rsidR="00772179" w:rsidRDefault="00000000">
      <w:pPr>
        <w:pStyle w:val="Author-eSectionHeading6Numberless"/>
      </w:pPr>
      <w:bookmarkStart w:id="256" w:name="_Toc220489993"/>
      <w:r>
        <w:t>41.51.5e Volets coulissants en matériaux composites</w:t>
      </w:r>
      <w:bookmarkEnd w:id="256"/>
    </w:p>
    <w:p w14:paraId="3359AC72" w14:textId="77777777" w:rsidR="00772179" w:rsidRDefault="00000000">
      <w:pPr>
        <w:pStyle w:val="Author-eSectionHeading5Numberless"/>
      </w:pPr>
      <w:bookmarkStart w:id="257" w:name="_Toc220489994"/>
      <w:r>
        <w:t>41.51.6 Volets pliants ou à accordéon CCTB 01.02</w:t>
      </w:r>
      <w:bookmarkEnd w:id="257"/>
    </w:p>
    <w:p w14:paraId="123960D7" w14:textId="77777777" w:rsidR="00772179" w:rsidRDefault="00000000">
      <w:pPr>
        <w:pStyle w:val="Author-eSectionHeading6Numberless"/>
      </w:pPr>
      <w:bookmarkStart w:id="258" w:name="_Toc220489995"/>
      <w:r>
        <w:t>41.51.6a Volets pliants ou à accordéon en bois massif / lamellé-collé</w:t>
      </w:r>
      <w:bookmarkEnd w:id="258"/>
    </w:p>
    <w:p w14:paraId="3E44E043" w14:textId="77777777" w:rsidR="00772179" w:rsidRDefault="00000000">
      <w:pPr>
        <w:pStyle w:val="Author-eSectionHeading6Numberless"/>
      </w:pPr>
      <w:bookmarkStart w:id="259" w:name="_Toc220489996"/>
      <w:r>
        <w:t>41.51.6b Volets pliants ou à accordéon en aluminium</w:t>
      </w:r>
      <w:bookmarkEnd w:id="259"/>
    </w:p>
    <w:p w14:paraId="735C411B" w14:textId="77777777" w:rsidR="00772179" w:rsidRDefault="00000000">
      <w:pPr>
        <w:pStyle w:val="Author-eSectionHeading6Numberless"/>
      </w:pPr>
      <w:bookmarkStart w:id="260" w:name="_Toc220489997"/>
      <w:r>
        <w:t>41.51.6c Volets pliants ou à accordéon en acier</w:t>
      </w:r>
      <w:bookmarkEnd w:id="260"/>
    </w:p>
    <w:p w14:paraId="353A8FB0" w14:textId="77777777" w:rsidR="00772179" w:rsidRDefault="00000000">
      <w:pPr>
        <w:pStyle w:val="Author-eSectionHeading6Numberless"/>
      </w:pPr>
      <w:bookmarkStart w:id="261" w:name="_Toc220489998"/>
      <w:r>
        <w:t>41.51.6d Volets pliants ou à accordéon en PVC</w:t>
      </w:r>
      <w:bookmarkEnd w:id="261"/>
    </w:p>
    <w:p w14:paraId="22A7158D" w14:textId="77777777" w:rsidR="00772179" w:rsidRDefault="00000000">
      <w:pPr>
        <w:pStyle w:val="Author-eSectionHeading6Numberless"/>
      </w:pPr>
      <w:bookmarkStart w:id="262" w:name="_Toc220489999"/>
      <w:r>
        <w:t>41.51.6e Volets pliants ou à accordéon en matériaux composites</w:t>
      </w:r>
      <w:bookmarkEnd w:id="262"/>
    </w:p>
    <w:p w14:paraId="7EF2880D" w14:textId="77777777" w:rsidR="00772179" w:rsidRDefault="00000000">
      <w:pPr>
        <w:pStyle w:val="Author-eSectionHeading4Numberless"/>
      </w:pPr>
      <w:bookmarkStart w:id="263" w:name="_Toc220490000"/>
      <w:r>
        <w:t>41.52 Protections solaires extérieures CCTB 01.11</w:t>
      </w:r>
      <w:bookmarkEnd w:id="263"/>
    </w:p>
    <w:p w14:paraId="395A6604" w14:textId="77777777" w:rsidR="00772179" w:rsidRDefault="00000000">
      <w:pPr>
        <w:pStyle w:val="pheading"/>
      </w:pPr>
      <w:bookmarkStart w:id="264" w:name="928"/>
      <w:bookmarkEnd w:id="264"/>
      <w:r>
        <w:t>DESCRIPTION</w:t>
      </w:r>
    </w:p>
    <w:p w14:paraId="5C0874B4" w14:textId="77777777" w:rsidR="00772179" w:rsidRDefault="00000000">
      <w:pPr>
        <w:pStyle w:val="pheading"/>
      </w:pPr>
      <w:r>
        <w:t>- Définition / Comprend</w:t>
      </w:r>
    </w:p>
    <w:p w14:paraId="4B7201A5" w14:textId="77777777" w:rsidR="00772179" w:rsidRDefault="00000000">
      <w:pPr>
        <w:jc w:val="both"/>
      </w:pPr>
      <w:r>
        <w:lastRenderedPageBreak/>
        <w:t>Il s'agit de la fourniture et la pose de protections solaires extérieures. Ils sont constitués d’un tablier et éventuellement d’un mécanisme de manœuvre et des profilés de finition. Conformément aux dispositions générales et/ou spécifiques du cahier spécial des charges, les prix unitaires compris dans les articles concernant les protections solaires comprennent toujours :</w:t>
      </w:r>
    </w:p>
    <w:p w14:paraId="6FB5F220" w14:textId="77777777" w:rsidR="00772179" w:rsidRDefault="00000000">
      <w:pPr>
        <w:pStyle w:val="Author-eListParagraph"/>
        <w:numPr>
          <w:ilvl w:val="0"/>
          <w:numId w:val="559"/>
        </w:numPr>
      </w:pPr>
      <w:r>
        <w:t>les feuilles de protections solaires et tous les accessoires prévus ;</w:t>
      </w:r>
    </w:p>
    <w:p w14:paraId="3216B800" w14:textId="77777777" w:rsidR="00772179" w:rsidRDefault="00000000">
      <w:pPr>
        <w:pStyle w:val="Author-eListParagraph"/>
        <w:numPr>
          <w:ilvl w:val="0"/>
          <w:numId w:val="559"/>
        </w:numPr>
      </w:pPr>
      <w:r>
        <w:t>les support de la protection solaire ;</w:t>
      </w:r>
    </w:p>
    <w:p w14:paraId="2C9DB3F0" w14:textId="77777777" w:rsidR="00772179" w:rsidRDefault="00000000">
      <w:pPr>
        <w:pStyle w:val="Author-eListParagraph"/>
        <w:numPr>
          <w:ilvl w:val="0"/>
          <w:numId w:val="559"/>
        </w:numPr>
      </w:pPr>
      <w:r>
        <w:t>le mécanisme de commande et de manutention (manuel et/ou à entraînement électrique). </w:t>
      </w:r>
    </w:p>
    <w:p w14:paraId="390CD328" w14:textId="77777777" w:rsidR="00772179" w:rsidRDefault="00000000">
      <w:pPr>
        <w:pStyle w:val="Author-eListParagraph"/>
        <w:numPr>
          <w:ilvl w:val="0"/>
          <w:numId w:val="559"/>
        </w:numPr>
      </w:pPr>
      <w:r>
        <w:t>le relevé, la vérification sur place des dimensions exactes ;</w:t>
      </w:r>
    </w:p>
    <w:p w14:paraId="3C0D7E9F" w14:textId="77777777" w:rsidR="00772179" w:rsidRDefault="00000000">
      <w:pPr>
        <w:pStyle w:val="Author-eListParagraph"/>
        <w:numPr>
          <w:ilvl w:val="0"/>
          <w:numId w:val="559"/>
        </w:numPr>
      </w:pPr>
      <w:r>
        <w:t>le montage des profils de finition en combinaison avec les menuiseries extérieures des protections solaires, des guides, dispositifs de manœuvre ;</w:t>
      </w:r>
    </w:p>
    <w:p w14:paraId="6CBF7279" w14:textId="77777777" w:rsidR="00772179" w:rsidRDefault="00000000">
      <w:pPr>
        <w:pStyle w:val="Author-eListParagraph"/>
        <w:numPr>
          <w:ilvl w:val="0"/>
          <w:numId w:val="559"/>
        </w:numPr>
      </w:pPr>
      <w:r>
        <w:t>tous les ragréages étanches et la finition des joints entre la menuiserie et le gros-œuvre, … .</w:t>
      </w:r>
    </w:p>
    <w:p w14:paraId="07978E90" w14:textId="77777777" w:rsidR="00772179" w:rsidRDefault="00000000">
      <w:pPr>
        <w:jc w:val="both"/>
      </w:pPr>
      <w:r>
        <w:t>Une déclaration d'aptitude suivant 02.42.1 Critères d'acceptabilité est imposée à ces produits suivant la [NBN EN 13561] afin d'attester qu’ils sont conformes aux spécifications techniques.</w:t>
      </w:r>
    </w:p>
    <w:p w14:paraId="5C44CE80" w14:textId="77777777" w:rsidR="00772179" w:rsidRDefault="00000000">
      <w:pPr>
        <w:jc w:val="both"/>
      </w:pPr>
      <w:r>
        <w:t>Cet élément comprend également l’étude par le fabricant :</w:t>
      </w:r>
    </w:p>
    <w:p w14:paraId="56B2FA70" w14:textId="77777777" w:rsidR="00772179" w:rsidRDefault="00000000">
      <w:pPr>
        <w:pStyle w:val="Author-eListParagraph"/>
        <w:numPr>
          <w:ilvl w:val="0"/>
          <w:numId w:val="560"/>
        </w:numPr>
        <w:jc w:val="both"/>
      </w:pPr>
      <w:r>
        <w:t>du dimensionnement des structures de support des lames et des ancrages et ce, en tenant compte de la nécessité d'éviter la création de ponts thermiques au niveau des fixations ;</w:t>
      </w:r>
    </w:p>
    <w:p w14:paraId="2B3E70C8" w14:textId="77777777" w:rsidR="00772179" w:rsidRDefault="00000000">
      <w:pPr>
        <w:pStyle w:val="Author-eListParagraph"/>
        <w:numPr>
          <w:ilvl w:val="0"/>
          <w:numId w:val="560"/>
        </w:numPr>
        <w:jc w:val="both"/>
      </w:pPr>
      <w:r>
        <w:t>du positionnement, de l’inclinaison et du pas des lames de protection solaire en fonction de l’orientation des baies à protéger et du modèle choisi par l’auteur de projet.</w:t>
      </w:r>
    </w:p>
    <w:p w14:paraId="1579772F" w14:textId="77777777" w:rsidR="00772179" w:rsidRDefault="00000000">
      <w:pPr>
        <w:jc w:val="both"/>
      </w:pPr>
      <w:r>
        <w:t>L’ensemble des notes de calcul et des plans de détail sont soumis à l’approbation de la direction du chantier.</w:t>
      </w:r>
    </w:p>
    <w:p w14:paraId="6FDE0756" w14:textId="77777777" w:rsidR="00772179" w:rsidRDefault="00000000">
      <w:pPr>
        <w:pStyle w:val="pheading"/>
      </w:pPr>
      <w:r>
        <w:t>MATÉRIAUX</w:t>
      </w:r>
    </w:p>
    <w:p w14:paraId="33CC501A" w14:textId="77777777" w:rsidR="00772179" w:rsidRDefault="00000000">
      <w:pPr>
        <w:jc w:val="both"/>
      </w:pPr>
      <w:r>
        <w:t>L'entrepreneur soumet, avant l'exécution, à l'approbation du maître d’ouvrage et de l’auteur de projet :</w:t>
      </w:r>
    </w:p>
    <w:p w14:paraId="4029B19D" w14:textId="77777777" w:rsidR="00772179" w:rsidRDefault="00000000">
      <w:pPr>
        <w:pStyle w:val="Author-eListParagraph"/>
        <w:numPr>
          <w:ilvl w:val="0"/>
          <w:numId w:val="561"/>
        </w:numPr>
      </w:pPr>
      <w:r>
        <w:t>les notes de calcul nécessaires, les certificats de garantie et autres marquages, …</w:t>
      </w:r>
    </w:p>
    <w:p w14:paraId="1A8FA868" w14:textId="77777777" w:rsidR="00772179" w:rsidRDefault="00000000">
      <w:pPr>
        <w:pStyle w:val="Author-eListParagraph"/>
        <w:numPr>
          <w:ilvl w:val="0"/>
          <w:numId w:val="561"/>
        </w:numPr>
      </w:pPr>
      <w:r>
        <w:t>les dessins de détail et bordereaux de commande,</w:t>
      </w:r>
    </w:p>
    <w:p w14:paraId="143C657E" w14:textId="77777777" w:rsidR="00772179" w:rsidRDefault="00000000">
      <w:pPr>
        <w:pStyle w:val="Author-eListParagraph"/>
        <w:numPr>
          <w:ilvl w:val="0"/>
          <w:numId w:val="561"/>
        </w:numPr>
      </w:pPr>
      <w:r>
        <w:t>les échantillons et/ou les prototypes des différentes composantes, c'est-à-dire au moins un échantillon de la feuille de protection solaire.  Cet échantillon reste à la disposition de l’auteur de projet ou du maître de l’ouvrage jusqu'à la réception provisoire.</w:t>
      </w:r>
    </w:p>
    <w:p w14:paraId="6C0E3FBA" w14:textId="77777777" w:rsidR="00772179" w:rsidRDefault="00000000">
      <w:pPr>
        <w:pStyle w:val="Author-eListParagraph"/>
        <w:numPr>
          <w:ilvl w:val="0"/>
          <w:numId w:val="561"/>
        </w:numPr>
      </w:pPr>
      <w:r>
        <w:t>une carte de couleurs de la gamme des couleurs livrées par le fabricant.  </w:t>
      </w:r>
    </w:p>
    <w:p w14:paraId="79AFC22C" w14:textId="77777777" w:rsidR="00772179" w:rsidRDefault="00000000">
      <w:pPr>
        <w:jc w:val="both"/>
      </w:pPr>
      <w:r>
        <w:t>La terminologie des éléments constituants les protections solaires, fermetures, stores extérieurs et stores intérieurs est conforme à la norme [NBN EN 12216].</w:t>
      </w:r>
    </w:p>
    <w:p w14:paraId="66B8F8B6" w14:textId="77777777" w:rsidR="00772179" w:rsidRDefault="00000000">
      <w:pPr>
        <w:jc w:val="both"/>
      </w:pPr>
      <w:r>
        <w:rPr>
          <w:b/>
          <w:u w:val="single"/>
        </w:rPr>
        <w:t>Critères de performances</w:t>
      </w:r>
    </w:p>
    <w:p w14:paraId="612A3927" w14:textId="77777777" w:rsidR="00772179" w:rsidRDefault="00000000">
      <w:pPr>
        <w:jc w:val="both"/>
      </w:pPr>
      <w:r>
        <w:t>Les protections solaires annoncent les performances définies dans la déclaration d'aptitude suivant 02.42.1 Critères d'acceptabilité. Les exigences en termes de résistance mécanique, de manœuvre, résistance aux fausses manœuvres, aux charges accidentelles, d’endurance mécanique, de résistance aux chocs, de sécurité d’utilisation additionnelle, de facteur de transmission de l’énergie solaire, de transmission de la lumière sont décrites ci-dessous. D’autres performances spécifiques sont reprises dans la norme [NBN EN 13561].</w:t>
      </w:r>
    </w:p>
    <w:p w14:paraId="2BDF819C" w14:textId="77777777" w:rsidR="00772179" w:rsidRDefault="00000000">
      <w:pPr>
        <w:jc w:val="both"/>
      </w:pPr>
      <w:r>
        <w:rPr>
          <w:b/>
          <w:u w:val="single"/>
        </w:rPr>
        <w:t>Résistance mécanique</w:t>
      </w:r>
    </w:p>
    <w:p w14:paraId="387BFB7D" w14:textId="77777777" w:rsidR="00772179" w:rsidRDefault="00000000">
      <w:pPr>
        <w:jc w:val="both"/>
      </w:pPr>
      <w:r>
        <w:t>La résistance au vent est classifiée selon la norme [NBN EN 13561] d’après les essais réalisés selon la norme [NBN EN 1932].  Les classes correspondent aux pressions de vent déterminées pour le chantier.</w:t>
      </w:r>
    </w:p>
    <w:tbl>
      <w:tblPr>
        <w:tblStyle w:val="Author-eTableGrid"/>
        <w:tblW w:w="9030" w:type="dxa"/>
        <w:tblLayout w:type="fixed"/>
        <w:tblLook w:val="04A0" w:firstRow="1" w:lastRow="0" w:firstColumn="1" w:lastColumn="0" w:noHBand="0" w:noVBand="1"/>
      </w:tblPr>
      <w:tblGrid>
        <w:gridCol w:w="2826"/>
        <w:gridCol w:w="887"/>
        <w:gridCol w:w="887"/>
        <w:gridCol w:w="886"/>
        <w:gridCol w:w="886"/>
        <w:gridCol w:w="886"/>
        <w:gridCol w:w="886"/>
        <w:gridCol w:w="886"/>
      </w:tblGrid>
      <w:tr w:rsidR="00772179" w14:paraId="1673DD54" w14:textId="77777777">
        <w:tc>
          <w:tcPr>
            <w:tcW w:w="2820" w:type="dxa"/>
            <w:noWrap/>
          </w:tcPr>
          <w:p w14:paraId="076BBEA2" w14:textId="77777777" w:rsidR="00772179" w:rsidRDefault="00772179"/>
        </w:tc>
        <w:tc>
          <w:tcPr>
            <w:tcW w:w="6195" w:type="dxa"/>
            <w:gridSpan w:val="7"/>
            <w:noWrap/>
          </w:tcPr>
          <w:p w14:paraId="4B7D069F" w14:textId="77777777" w:rsidR="00772179" w:rsidRDefault="00000000">
            <w:r>
              <w:t>Classes</w:t>
            </w:r>
          </w:p>
        </w:tc>
      </w:tr>
      <w:tr w:rsidR="00772179" w14:paraId="14F15DCF" w14:textId="77777777">
        <w:tc>
          <w:tcPr>
            <w:tcW w:w="2820" w:type="dxa"/>
            <w:noWrap/>
          </w:tcPr>
          <w:p w14:paraId="75FE91A4" w14:textId="77777777" w:rsidR="00772179" w:rsidRDefault="00772179"/>
        </w:tc>
        <w:tc>
          <w:tcPr>
            <w:tcW w:w="885" w:type="dxa"/>
            <w:noWrap/>
          </w:tcPr>
          <w:p w14:paraId="42262E46" w14:textId="77777777" w:rsidR="00772179" w:rsidRDefault="00000000">
            <w:r>
              <w:t>0</w:t>
            </w:r>
          </w:p>
        </w:tc>
        <w:tc>
          <w:tcPr>
            <w:tcW w:w="885" w:type="dxa"/>
            <w:noWrap/>
          </w:tcPr>
          <w:p w14:paraId="4DCA0A45" w14:textId="77777777" w:rsidR="00772179" w:rsidRDefault="00000000">
            <w:r>
              <w:t>1</w:t>
            </w:r>
          </w:p>
        </w:tc>
        <w:tc>
          <w:tcPr>
            <w:tcW w:w="885" w:type="dxa"/>
            <w:noWrap/>
          </w:tcPr>
          <w:p w14:paraId="5AF8E6E9" w14:textId="77777777" w:rsidR="00772179" w:rsidRDefault="00000000">
            <w:r>
              <w:t>2</w:t>
            </w:r>
          </w:p>
        </w:tc>
        <w:tc>
          <w:tcPr>
            <w:tcW w:w="885" w:type="dxa"/>
            <w:noWrap/>
          </w:tcPr>
          <w:p w14:paraId="19BF5D6D" w14:textId="77777777" w:rsidR="00772179" w:rsidRDefault="00000000">
            <w:r>
              <w:t>3</w:t>
            </w:r>
          </w:p>
        </w:tc>
        <w:tc>
          <w:tcPr>
            <w:tcW w:w="885" w:type="dxa"/>
            <w:noWrap/>
          </w:tcPr>
          <w:p w14:paraId="5D6FDDD6" w14:textId="77777777" w:rsidR="00772179" w:rsidRDefault="00000000">
            <w:r>
              <w:t>4</w:t>
            </w:r>
          </w:p>
        </w:tc>
        <w:tc>
          <w:tcPr>
            <w:tcW w:w="885" w:type="dxa"/>
            <w:noWrap/>
          </w:tcPr>
          <w:p w14:paraId="279E4046" w14:textId="77777777" w:rsidR="00772179" w:rsidRDefault="00000000">
            <w:r>
              <w:t>5</w:t>
            </w:r>
          </w:p>
        </w:tc>
        <w:tc>
          <w:tcPr>
            <w:tcW w:w="885" w:type="dxa"/>
            <w:noWrap/>
          </w:tcPr>
          <w:p w14:paraId="7D14759F" w14:textId="77777777" w:rsidR="00772179" w:rsidRDefault="00000000">
            <w:r>
              <w:t>6</w:t>
            </w:r>
          </w:p>
        </w:tc>
      </w:tr>
      <w:tr w:rsidR="00772179" w14:paraId="7957E215" w14:textId="77777777">
        <w:tc>
          <w:tcPr>
            <w:tcW w:w="2820" w:type="dxa"/>
            <w:noWrap/>
          </w:tcPr>
          <w:p w14:paraId="0AA88A38" w14:textId="77777777" w:rsidR="00772179" w:rsidRDefault="00000000">
            <w:r>
              <w:t>Pression nominale (Pa)</w:t>
            </w:r>
          </w:p>
        </w:tc>
        <w:tc>
          <w:tcPr>
            <w:tcW w:w="885" w:type="dxa"/>
            <w:noWrap/>
          </w:tcPr>
          <w:p w14:paraId="7ECB4CC6" w14:textId="77777777" w:rsidR="00772179" w:rsidRDefault="00000000">
            <w:r>
              <w:t>&lt; 40</w:t>
            </w:r>
          </w:p>
        </w:tc>
        <w:tc>
          <w:tcPr>
            <w:tcW w:w="885" w:type="dxa"/>
            <w:noWrap/>
          </w:tcPr>
          <w:p w14:paraId="584D3E3E" w14:textId="77777777" w:rsidR="00772179" w:rsidRDefault="00000000">
            <w:r>
              <w:t>540</w:t>
            </w:r>
          </w:p>
        </w:tc>
        <w:tc>
          <w:tcPr>
            <w:tcW w:w="885" w:type="dxa"/>
            <w:noWrap/>
          </w:tcPr>
          <w:p w14:paraId="2659A32C" w14:textId="77777777" w:rsidR="00772179" w:rsidRDefault="00000000">
            <w:r>
              <w:t>70</w:t>
            </w:r>
          </w:p>
        </w:tc>
        <w:tc>
          <w:tcPr>
            <w:tcW w:w="885" w:type="dxa"/>
            <w:noWrap/>
          </w:tcPr>
          <w:p w14:paraId="57D58FDF" w14:textId="77777777" w:rsidR="00772179" w:rsidRDefault="00000000">
            <w:r>
              <w:t>110</w:t>
            </w:r>
          </w:p>
        </w:tc>
        <w:tc>
          <w:tcPr>
            <w:tcW w:w="885" w:type="dxa"/>
            <w:noWrap/>
          </w:tcPr>
          <w:p w14:paraId="36FD4364" w14:textId="77777777" w:rsidR="00772179" w:rsidRDefault="00000000">
            <w:r>
              <w:t>170</w:t>
            </w:r>
          </w:p>
        </w:tc>
        <w:tc>
          <w:tcPr>
            <w:tcW w:w="885" w:type="dxa"/>
            <w:noWrap/>
          </w:tcPr>
          <w:p w14:paraId="2D0F23F4" w14:textId="77777777" w:rsidR="00772179" w:rsidRDefault="00000000">
            <w:r>
              <w:t>270</w:t>
            </w:r>
          </w:p>
        </w:tc>
        <w:tc>
          <w:tcPr>
            <w:tcW w:w="885" w:type="dxa"/>
            <w:noWrap/>
          </w:tcPr>
          <w:p w14:paraId="38E30C33" w14:textId="77777777" w:rsidR="00772179" w:rsidRDefault="00000000">
            <w:r>
              <w:t>400</w:t>
            </w:r>
          </w:p>
        </w:tc>
      </w:tr>
      <w:tr w:rsidR="00772179" w14:paraId="6D4D56DE" w14:textId="77777777">
        <w:tc>
          <w:tcPr>
            <w:tcW w:w="2820" w:type="dxa"/>
            <w:noWrap/>
          </w:tcPr>
          <w:p w14:paraId="3B892C80" w14:textId="77777777" w:rsidR="00772179" w:rsidRDefault="00000000">
            <w:r>
              <w:t>Pression de sécurité (Pa)</w:t>
            </w:r>
          </w:p>
        </w:tc>
        <w:tc>
          <w:tcPr>
            <w:tcW w:w="885" w:type="dxa"/>
            <w:noWrap/>
          </w:tcPr>
          <w:p w14:paraId="187D017F" w14:textId="77777777" w:rsidR="00772179" w:rsidRDefault="00000000">
            <w:r>
              <w:t>&lt; 48</w:t>
            </w:r>
          </w:p>
        </w:tc>
        <w:tc>
          <w:tcPr>
            <w:tcW w:w="885" w:type="dxa"/>
            <w:noWrap/>
          </w:tcPr>
          <w:p w14:paraId="0EAF1432" w14:textId="77777777" w:rsidR="00772179" w:rsidRDefault="00000000">
            <w:r>
              <w:t>48</w:t>
            </w:r>
          </w:p>
        </w:tc>
        <w:tc>
          <w:tcPr>
            <w:tcW w:w="885" w:type="dxa"/>
            <w:noWrap/>
          </w:tcPr>
          <w:p w14:paraId="6DA67856" w14:textId="77777777" w:rsidR="00772179" w:rsidRDefault="00000000">
            <w:r>
              <w:t>84</w:t>
            </w:r>
          </w:p>
        </w:tc>
        <w:tc>
          <w:tcPr>
            <w:tcW w:w="885" w:type="dxa"/>
            <w:noWrap/>
          </w:tcPr>
          <w:p w14:paraId="26636199" w14:textId="77777777" w:rsidR="00772179" w:rsidRDefault="00000000">
            <w:r>
              <w:t>132</w:t>
            </w:r>
          </w:p>
        </w:tc>
        <w:tc>
          <w:tcPr>
            <w:tcW w:w="885" w:type="dxa"/>
            <w:noWrap/>
          </w:tcPr>
          <w:p w14:paraId="4DA3E2DA" w14:textId="77777777" w:rsidR="00772179" w:rsidRDefault="00000000">
            <w:r>
              <w:t>204</w:t>
            </w:r>
          </w:p>
        </w:tc>
        <w:tc>
          <w:tcPr>
            <w:tcW w:w="885" w:type="dxa"/>
            <w:noWrap/>
          </w:tcPr>
          <w:p w14:paraId="2342AED9" w14:textId="77777777" w:rsidR="00772179" w:rsidRDefault="00000000">
            <w:r>
              <w:t>434</w:t>
            </w:r>
          </w:p>
        </w:tc>
        <w:tc>
          <w:tcPr>
            <w:tcW w:w="885" w:type="dxa"/>
            <w:noWrap/>
          </w:tcPr>
          <w:p w14:paraId="503A72A7" w14:textId="77777777" w:rsidR="00772179" w:rsidRDefault="00000000">
            <w:r>
              <w:t>480</w:t>
            </w:r>
          </w:p>
        </w:tc>
      </w:tr>
    </w:tbl>
    <w:p w14:paraId="4B0A798F" w14:textId="77777777" w:rsidR="00772179" w:rsidRDefault="00772179"/>
    <w:p w14:paraId="6BE646FA" w14:textId="77777777" w:rsidR="00772179" w:rsidRDefault="00000000">
      <w:pPr>
        <w:jc w:val="both"/>
      </w:pPr>
      <w:r>
        <w:lastRenderedPageBreak/>
        <w:t>Pour les stores bannes, la classe 2 est la classe maximale autorisée. Les classes 4 à 6 ne sont autorisées que pour les stores extérieurs dont la toile se déploie le long des guides latéraux et les stores de pergola.</w:t>
      </w:r>
    </w:p>
    <w:p w14:paraId="7C3DD177" w14:textId="77777777" w:rsidR="00772179" w:rsidRDefault="00000000">
      <w:pPr>
        <w:jc w:val="both"/>
      </w:pPr>
      <w:r>
        <w:t>Le fabricant annonce la vitesse de vent maximale au-dessus de laquelle le store extérieur est replié.</w:t>
      </w:r>
    </w:p>
    <w:p w14:paraId="6A99AAC1" w14:textId="77777777" w:rsidR="00772179" w:rsidRDefault="00000000">
      <w:pPr>
        <w:jc w:val="both"/>
      </w:pPr>
      <w:r>
        <w:t>Lorsque le store est replié, il ne subit aucune dégradation pour une pression de 800 Pa.</w:t>
      </w:r>
    </w:p>
    <w:p w14:paraId="243896F1" w14:textId="77777777" w:rsidR="00772179" w:rsidRDefault="00000000">
      <w:pPr>
        <w:jc w:val="both"/>
      </w:pPr>
      <w:r>
        <w:t>La résistance à la charge de neige ne s’applique qu’aux stores extérieurs non repliables. La vérification se base sur le dimensionnement pour les actions déterminées suivant la [NBN EN 1991-1-3] en utilisant l’Eurocode 3 [NBN EN 1993 série] pour les structures en acier et l’Eurocode 9 [NBN EN 1999 série] pour les structures en aluminium.</w:t>
      </w:r>
    </w:p>
    <w:p w14:paraId="2A035373" w14:textId="77777777" w:rsidR="00772179" w:rsidRDefault="00000000">
      <w:pPr>
        <w:jc w:val="both"/>
      </w:pPr>
      <w:r>
        <w:t>La tenue à la poche d’eau ne s’applique qu’aux stores bannes, stores à projection par pantographe, stores corbeilles et stores de pergola.  La détermination de la performance est réalisée conformément à la norme [NBN EN 1933]. Les protections solaires résistent pour les débits donnés dans les classes suivantes :</w:t>
      </w:r>
    </w:p>
    <w:tbl>
      <w:tblPr>
        <w:tblStyle w:val="Author-eTableGrid"/>
        <w:tblW w:w="9030" w:type="dxa"/>
        <w:tblLayout w:type="fixed"/>
        <w:tblLook w:val="04A0" w:firstRow="1" w:lastRow="0" w:firstColumn="1" w:lastColumn="0" w:noHBand="0" w:noVBand="1"/>
      </w:tblPr>
      <w:tblGrid>
        <w:gridCol w:w="3010"/>
        <w:gridCol w:w="3010"/>
        <w:gridCol w:w="3010"/>
      </w:tblGrid>
      <w:tr w:rsidR="00772179" w14:paraId="5545472F" w14:textId="77777777">
        <w:tc>
          <w:tcPr>
            <w:tcW w:w="3000" w:type="dxa"/>
            <w:noWrap/>
          </w:tcPr>
          <w:p w14:paraId="5CA52995" w14:textId="77777777" w:rsidR="00772179" w:rsidRDefault="00000000">
            <w:r>
              <w:t>Classes </w:t>
            </w:r>
          </w:p>
        </w:tc>
        <w:tc>
          <w:tcPr>
            <w:tcW w:w="3000" w:type="dxa"/>
            <w:noWrap/>
          </w:tcPr>
          <w:p w14:paraId="47392BEB" w14:textId="77777777" w:rsidR="00772179" w:rsidRDefault="00000000">
            <w:r>
              <w:t>1</w:t>
            </w:r>
          </w:p>
        </w:tc>
        <w:tc>
          <w:tcPr>
            <w:tcW w:w="3000" w:type="dxa"/>
            <w:noWrap/>
          </w:tcPr>
          <w:p w14:paraId="7756BAB2" w14:textId="77777777" w:rsidR="00772179" w:rsidRDefault="00000000">
            <w:r>
              <w:t>2</w:t>
            </w:r>
          </w:p>
        </w:tc>
      </w:tr>
      <w:tr w:rsidR="00772179" w14:paraId="1B3DF662" w14:textId="77777777">
        <w:tc>
          <w:tcPr>
            <w:tcW w:w="3000" w:type="dxa"/>
            <w:noWrap/>
          </w:tcPr>
          <w:p w14:paraId="5DC8AE1D" w14:textId="77777777" w:rsidR="00772179" w:rsidRDefault="00000000">
            <w:r>
              <w:t>Débit</w:t>
            </w:r>
          </w:p>
        </w:tc>
        <w:tc>
          <w:tcPr>
            <w:tcW w:w="3000" w:type="dxa"/>
            <w:noWrap/>
          </w:tcPr>
          <w:p w14:paraId="76CC78C8" w14:textId="77777777" w:rsidR="00772179" w:rsidRDefault="00000000">
            <w:r>
              <w:t>17 l/m²h</w:t>
            </w:r>
          </w:p>
        </w:tc>
        <w:tc>
          <w:tcPr>
            <w:tcW w:w="3000" w:type="dxa"/>
            <w:noWrap/>
          </w:tcPr>
          <w:p w14:paraId="1D42803A" w14:textId="77777777" w:rsidR="00772179" w:rsidRDefault="00000000">
            <w:r>
              <w:t>56 l/m²h</w:t>
            </w:r>
          </w:p>
        </w:tc>
      </w:tr>
    </w:tbl>
    <w:p w14:paraId="3321C1C1" w14:textId="77777777" w:rsidR="00772179" w:rsidRDefault="00000000">
      <w:pPr>
        <w:jc w:val="both"/>
      </w:pPr>
      <w:r>
        <w:t> </w:t>
      </w:r>
    </w:p>
    <w:p w14:paraId="3112CCC6" w14:textId="77777777" w:rsidR="00772179" w:rsidRDefault="00000000">
      <w:pPr>
        <w:jc w:val="both"/>
      </w:pPr>
      <w:r>
        <w:rPr>
          <w:b/>
          <w:u w:val="single"/>
        </w:rPr>
        <w:t>Manoeuvre des protections solaires</w:t>
      </w:r>
    </w:p>
    <w:p w14:paraId="3946A298" w14:textId="77777777" w:rsidR="00772179" w:rsidRDefault="00000000">
      <w:pPr>
        <w:jc w:val="both"/>
      </w:pPr>
      <w:r>
        <w:t>Les efforts de manœuvre manuels sont déterminés selon la norme [NBN EN 13527]. Cette manœuvre manuelle est spécifiée selon deux classes :</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772179" w14:paraId="5896BEAD" w14:textId="77777777">
        <w:tc>
          <w:tcPr>
            <w:tcW w:w="4500" w:type="dxa"/>
            <w:gridSpan w:val="2"/>
            <w:vMerge w:val="restart"/>
            <w:noWrap/>
          </w:tcPr>
          <w:p w14:paraId="65D872D0" w14:textId="77777777" w:rsidR="00772179" w:rsidRDefault="00000000">
            <w:pPr>
              <w:jc w:val="center"/>
            </w:pPr>
            <w:r>
              <w:rPr>
                <w:b/>
              </w:rPr>
              <w:t>Types de manœuvre</w:t>
            </w:r>
          </w:p>
        </w:tc>
        <w:tc>
          <w:tcPr>
            <w:tcW w:w="4500" w:type="dxa"/>
            <w:gridSpan w:val="2"/>
            <w:noWrap/>
          </w:tcPr>
          <w:p w14:paraId="3BB98E59" w14:textId="77777777" w:rsidR="00772179" w:rsidRDefault="00000000">
            <w:pPr>
              <w:jc w:val="center"/>
            </w:pPr>
            <w:r>
              <w:rPr>
                <w:b/>
              </w:rPr>
              <w:t>Effort de manœuvre</w:t>
            </w:r>
          </w:p>
        </w:tc>
      </w:tr>
      <w:tr w:rsidR="00772179" w14:paraId="01D3ABB9" w14:textId="77777777">
        <w:tc>
          <w:tcPr>
            <w:tcW w:w="4500" w:type="dxa"/>
            <w:gridSpan w:val="2"/>
            <w:vMerge/>
            <w:noWrap/>
          </w:tcPr>
          <w:p w14:paraId="2A1DE497" w14:textId="77777777" w:rsidR="00772179" w:rsidRDefault="00772179"/>
        </w:tc>
        <w:tc>
          <w:tcPr>
            <w:tcW w:w="2250" w:type="dxa"/>
            <w:noWrap/>
          </w:tcPr>
          <w:p w14:paraId="57D7445A" w14:textId="77777777" w:rsidR="00772179" w:rsidRDefault="00000000">
            <w:pPr>
              <w:jc w:val="center"/>
            </w:pPr>
            <w:r>
              <w:rPr>
                <w:b/>
              </w:rPr>
              <w:t>Classe 1</w:t>
            </w:r>
          </w:p>
        </w:tc>
        <w:tc>
          <w:tcPr>
            <w:tcW w:w="2250" w:type="dxa"/>
            <w:noWrap/>
          </w:tcPr>
          <w:p w14:paraId="7866262E" w14:textId="77777777" w:rsidR="00772179" w:rsidRDefault="00000000">
            <w:pPr>
              <w:jc w:val="center"/>
            </w:pPr>
            <w:r>
              <w:rPr>
                <w:b/>
              </w:rPr>
              <w:t>Classe 2</w:t>
            </w:r>
          </w:p>
        </w:tc>
      </w:tr>
      <w:tr w:rsidR="00772179" w14:paraId="17D38AD1" w14:textId="77777777">
        <w:tc>
          <w:tcPr>
            <w:tcW w:w="4500" w:type="dxa"/>
            <w:gridSpan w:val="2"/>
            <w:noWrap/>
          </w:tcPr>
          <w:p w14:paraId="306F992C" w14:textId="77777777" w:rsidR="00772179" w:rsidRDefault="00000000">
            <w:r>
              <w:t>Manivelle à tige oscillante, à enroulement</w:t>
            </w:r>
          </w:p>
        </w:tc>
        <w:tc>
          <w:tcPr>
            <w:tcW w:w="2250" w:type="dxa"/>
            <w:noWrap/>
          </w:tcPr>
          <w:p w14:paraId="4453F2F8" w14:textId="77777777" w:rsidR="00772179" w:rsidRDefault="00000000">
            <w:pPr>
              <w:jc w:val="center"/>
            </w:pPr>
            <w:r>
              <w:t>30</w:t>
            </w:r>
          </w:p>
        </w:tc>
        <w:tc>
          <w:tcPr>
            <w:tcW w:w="2250" w:type="dxa"/>
            <w:noWrap/>
          </w:tcPr>
          <w:p w14:paraId="639CF799" w14:textId="77777777" w:rsidR="00772179" w:rsidRDefault="00000000">
            <w:pPr>
              <w:jc w:val="center"/>
            </w:pPr>
            <w:r>
              <w:t>15</w:t>
            </w:r>
          </w:p>
        </w:tc>
      </w:tr>
      <w:tr w:rsidR="00772179" w14:paraId="37597633" w14:textId="77777777">
        <w:tc>
          <w:tcPr>
            <w:tcW w:w="4500" w:type="dxa"/>
            <w:gridSpan w:val="2"/>
            <w:noWrap/>
          </w:tcPr>
          <w:p w14:paraId="29812C6C" w14:textId="77777777" w:rsidR="00772179" w:rsidRDefault="00000000">
            <w:r>
              <w:t>Sangle, corde ou cordon, chaîne ou chaînette</w:t>
            </w:r>
          </w:p>
        </w:tc>
        <w:tc>
          <w:tcPr>
            <w:tcW w:w="2250" w:type="dxa"/>
            <w:noWrap/>
          </w:tcPr>
          <w:p w14:paraId="5B92036C" w14:textId="77777777" w:rsidR="00772179" w:rsidRDefault="00000000">
            <w:pPr>
              <w:jc w:val="center"/>
            </w:pPr>
            <w:r>
              <w:t>90</w:t>
            </w:r>
          </w:p>
        </w:tc>
        <w:tc>
          <w:tcPr>
            <w:tcW w:w="2250" w:type="dxa"/>
            <w:noWrap/>
          </w:tcPr>
          <w:p w14:paraId="0B9A3E6C" w14:textId="77777777" w:rsidR="00772179" w:rsidRDefault="00000000">
            <w:pPr>
              <w:jc w:val="center"/>
            </w:pPr>
            <w:r>
              <w:t>50</w:t>
            </w:r>
          </w:p>
        </w:tc>
      </w:tr>
      <w:tr w:rsidR="00772179" w14:paraId="35138E1A" w14:textId="77777777">
        <w:tc>
          <w:tcPr>
            <w:tcW w:w="2250" w:type="dxa"/>
            <w:vMerge w:val="restart"/>
            <w:noWrap/>
          </w:tcPr>
          <w:p w14:paraId="7E184882" w14:textId="77777777" w:rsidR="00772179" w:rsidRDefault="00772179"/>
          <w:p w14:paraId="04A29618" w14:textId="77777777" w:rsidR="00772179" w:rsidRDefault="00000000">
            <w:r>
              <w:t>Bâton ou à tirage direct</w:t>
            </w:r>
          </w:p>
        </w:tc>
        <w:tc>
          <w:tcPr>
            <w:tcW w:w="2250" w:type="dxa"/>
            <w:noWrap/>
          </w:tcPr>
          <w:p w14:paraId="6C64DBBA" w14:textId="77777777" w:rsidR="00772179" w:rsidRDefault="00000000">
            <w:r>
              <w:t>Mouvement vertical</w:t>
            </w:r>
          </w:p>
        </w:tc>
        <w:tc>
          <w:tcPr>
            <w:tcW w:w="2250" w:type="dxa"/>
            <w:noWrap/>
          </w:tcPr>
          <w:p w14:paraId="744E5392" w14:textId="77777777" w:rsidR="00772179" w:rsidRDefault="00000000">
            <w:pPr>
              <w:jc w:val="center"/>
            </w:pPr>
            <w:r>
              <w:t>90</w:t>
            </w:r>
          </w:p>
        </w:tc>
        <w:tc>
          <w:tcPr>
            <w:tcW w:w="2250" w:type="dxa"/>
            <w:noWrap/>
          </w:tcPr>
          <w:p w14:paraId="7BE9028B" w14:textId="77777777" w:rsidR="00772179" w:rsidRDefault="00000000">
            <w:pPr>
              <w:jc w:val="center"/>
            </w:pPr>
            <w:r>
              <w:t>50</w:t>
            </w:r>
          </w:p>
        </w:tc>
      </w:tr>
      <w:tr w:rsidR="00772179" w14:paraId="115E24C9" w14:textId="77777777">
        <w:tc>
          <w:tcPr>
            <w:tcW w:w="2250" w:type="dxa"/>
            <w:vMerge/>
            <w:noWrap/>
          </w:tcPr>
          <w:p w14:paraId="4A3F3BCF" w14:textId="77777777" w:rsidR="00772179" w:rsidRDefault="00772179"/>
        </w:tc>
        <w:tc>
          <w:tcPr>
            <w:tcW w:w="2250" w:type="dxa"/>
            <w:noWrap/>
          </w:tcPr>
          <w:p w14:paraId="76E64F29" w14:textId="77777777" w:rsidR="00772179" w:rsidRDefault="00000000">
            <w:r>
              <w:t>Mouvement horizontal ou incliné</w:t>
            </w:r>
          </w:p>
        </w:tc>
        <w:tc>
          <w:tcPr>
            <w:tcW w:w="2250" w:type="dxa"/>
            <w:noWrap/>
          </w:tcPr>
          <w:p w14:paraId="7C77C55D" w14:textId="77777777" w:rsidR="00772179" w:rsidRDefault="00000000">
            <w:pPr>
              <w:jc w:val="center"/>
            </w:pPr>
            <w:r>
              <w:t>50</w:t>
            </w:r>
          </w:p>
        </w:tc>
        <w:tc>
          <w:tcPr>
            <w:tcW w:w="2250" w:type="dxa"/>
            <w:noWrap/>
          </w:tcPr>
          <w:p w14:paraId="19DB692A" w14:textId="77777777" w:rsidR="00772179" w:rsidRDefault="00000000">
            <w:pPr>
              <w:jc w:val="center"/>
            </w:pPr>
            <w:r>
              <w:t>30</w:t>
            </w:r>
          </w:p>
        </w:tc>
      </w:tr>
    </w:tbl>
    <w:p w14:paraId="63B5F328" w14:textId="77777777" w:rsidR="00772179" w:rsidRDefault="00772179"/>
    <w:p w14:paraId="563E31F4" w14:textId="77777777" w:rsidR="00772179" w:rsidRDefault="00000000">
      <w:pPr>
        <w:jc w:val="both"/>
      </w:pPr>
      <w:r>
        <w:t>L’organe de manœuvre respecte les exigences de la norme [NBN EN 13561].</w:t>
      </w:r>
    </w:p>
    <w:p w14:paraId="2B0F311D" w14:textId="77777777" w:rsidR="00772179" w:rsidRDefault="00000000">
      <w:pPr>
        <w:jc w:val="both"/>
      </w:pPr>
      <w:r>
        <w:rPr>
          <w:b/>
          <w:u w:val="single"/>
        </w:rPr>
        <w:t>Compatibilité électromagnétique et électrique</w:t>
      </w:r>
    </w:p>
    <w:p w14:paraId="00DBE65A" w14:textId="77777777" w:rsidR="00772179" w:rsidRDefault="00000000">
      <w:pPr>
        <w:jc w:val="both"/>
      </w:pPr>
      <w:r>
        <w:t>Pour les déploiements motorisés, les perturbations électromagnétiques générées par les systèmes de manœuvre ne peuvent pas dépasser les niveaux spécifiés dans la [NBN EN IEC 61000-6-3]. L’immunité des moteurs par rapport aux perturbations électromagnétiques est suffisante pour les perturbations du réseau spécifiée dans la [NBN EN IEC 61000-6-2].</w:t>
      </w:r>
    </w:p>
    <w:p w14:paraId="0F20C2BF" w14:textId="77777777" w:rsidR="00772179" w:rsidRDefault="00000000">
      <w:pPr>
        <w:jc w:val="both"/>
      </w:pPr>
      <w:r>
        <w:t>Les moteurs sont conformes aux normes [NBN EN IEC 60335-1] et [NBN EN 60335-2-97].</w:t>
      </w:r>
    </w:p>
    <w:p w14:paraId="76DBC7C4" w14:textId="77777777" w:rsidR="00772179" w:rsidRDefault="00000000">
      <w:pPr>
        <w:jc w:val="both"/>
      </w:pPr>
      <w:r>
        <w:rPr>
          <w:b/>
          <w:u w:val="single"/>
        </w:rPr>
        <w:t>Résistance aux charges accidentelles</w:t>
      </w:r>
    </w:p>
    <w:p w14:paraId="688BA040" w14:textId="77777777" w:rsidR="00772179" w:rsidRDefault="00000000">
      <w:pPr>
        <w:jc w:val="both"/>
      </w:pPr>
      <w:r>
        <w:t>Les protections solaires permettent une résistance aux fausses manœuvres tels que spécifié dans les normes [NBN EN 12194] et [NBN EN 13561].</w:t>
      </w:r>
    </w:p>
    <w:p w14:paraId="4F8FAB03" w14:textId="77777777" w:rsidR="00772179" w:rsidRDefault="00000000">
      <w:pPr>
        <w:jc w:val="both"/>
      </w:pPr>
      <w:r>
        <w:rPr>
          <w:b/>
          <w:u w:val="single"/>
        </w:rPr>
        <w:t>Endurance mécanique</w:t>
      </w:r>
    </w:p>
    <w:p w14:paraId="55A08448" w14:textId="77777777" w:rsidR="00772179" w:rsidRDefault="00000000">
      <w:pPr>
        <w:jc w:val="both"/>
      </w:pPr>
      <w:r>
        <w:t>L’endurance mécanique est déterminée suivant les procédures des normes [NBN EN 14201] et [NBN EN 14203] et selon les exigences de la [NBN EN 13561].</w:t>
      </w:r>
    </w:p>
    <w:p w14:paraId="09FF911B" w14:textId="77777777" w:rsidR="00772179" w:rsidRDefault="00000000">
      <w:pPr>
        <w:jc w:val="both"/>
      </w:pPr>
      <w:r>
        <w:t>Les classes d’endurance sont reprises dans le tableau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772179" w14:paraId="5C2CE4AF" w14:textId="77777777">
        <w:tc>
          <w:tcPr>
            <w:tcW w:w="2250" w:type="dxa"/>
            <w:noWrap/>
          </w:tcPr>
          <w:p w14:paraId="2C6E6F35" w14:textId="77777777" w:rsidR="00772179" w:rsidRDefault="00000000">
            <w:r>
              <w:rPr>
                <w:b/>
              </w:rPr>
              <w:t>Nombre de cycles</w:t>
            </w:r>
          </w:p>
        </w:tc>
        <w:tc>
          <w:tcPr>
            <w:tcW w:w="2250" w:type="dxa"/>
            <w:noWrap/>
          </w:tcPr>
          <w:p w14:paraId="23AD1926" w14:textId="77777777" w:rsidR="00772179" w:rsidRDefault="00000000">
            <w:pPr>
              <w:jc w:val="center"/>
            </w:pPr>
            <w:r>
              <w:rPr>
                <w:b/>
              </w:rPr>
              <w:t>Classe 1</w:t>
            </w:r>
          </w:p>
        </w:tc>
        <w:tc>
          <w:tcPr>
            <w:tcW w:w="2250" w:type="dxa"/>
            <w:noWrap/>
          </w:tcPr>
          <w:p w14:paraId="42AA98ED" w14:textId="77777777" w:rsidR="00772179" w:rsidRDefault="00000000">
            <w:pPr>
              <w:jc w:val="center"/>
            </w:pPr>
            <w:r>
              <w:rPr>
                <w:b/>
              </w:rPr>
              <w:t>Classe 2</w:t>
            </w:r>
          </w:p>
        </w:tc>
        <w:tc>
          <w:tcPr>
            <w:tcW w:w="2250" w:type="dxa"/>
            <w:noWrap/>
          </w:tcPr>
          <w:p w14:paraId="25B998F0" w14:textId="77777777" w:rsidR="00772179" w:rsidRDefault="00000000">
            <w:pPr>
              <w:jc w:val="center"/>
            </w:pPr>
            <w:r>
              <w:rPr>
                <w:b/>
              </w:rPr>
              <w:t>Classe 3</w:t>
            </w:r>
          </w:p>
        </w:tc>
      </w:tr>
      <w:tr w:rsidR="00772179" w14:paraId="05B3B2DD" w14:textId="77777777">
        <w:tc>
          <w:tcPr>
            <w:tcW w:w="2250" w:type="dxa"/>
            <w:noWrap/>
          </w:tcPr>
          <w:p w14:paraId="414E01F0" w14:textId="77777777" w:rsidR="00772179" w:rsidRDefault="00000000">
            <w:r>
              <w:t>Déploiement/repliement</w:t>
            </w:r>
          </w:p>
        </w:tc>
        <w:tc>
          <w:tcPr>
            <w:tcW w:w="2250" w:type="dxa"/>
            <w:noWrap/>
          </w:tcPr>
          <w:p w14:paraId="68AD3165" w14:textId="77777777" w:rsidR="00772179" w:rsidRDefault="00000000">
            <w:pPr>
              <w:jc w:val="center"/>
            </w:pPr>
            <w:r>
              <w:t>3 000</w:t>
            </w:r>
          </w:p>
        </w:tc>
        <w:tc>
          <w:tcPr>
            <w:tcW w:w="2250" w:type="dxa"/>
            <w:noWrap/>
          </w:tcPr>
          <w:p w14:paraId="574CEE65" w14:textId="77777777" w:rsidR="00772179" w:rsidRDefault="00000000">
            <w:pPr>
              <w:jc w:val="center"/>
            </w:pPr>
            <w:r>
              <w:t>7 000</w:t>
            </w:r>
          </w:p>
        </w:tc>
        <w:tc>
          <w:tcPr>
            <w:tcW w:w="2250" w:type="dxa"/>
            <w:noWrap/>
          </w:tcPr>
          <w:p w14:paraId="3D627873" w14:textId="77777777" w:rsidR="00772179" w:rsidRDefault="00000000">
            <w:pPr>
              <w:jc w:val="center"/>
            </w:pPr>
            <w:r>
              <w:t>10 000</w:t>
            </w:r>
          </w:p>
        </w:tc>
      </w:tr>
      <w:tr w:rsidR="00772179" w14:paraId="038E03BC" w14:textId="77777777">
        <w:tc>
          <w:tcPr>
            <w:tcW w:w="2250" w:type="dxa"/>
            <w:noWrap/>
          </w:tcPr>
          <w:p w14:paraId="59E18F04" w14:textId="77777777" w:rsidR="00772179" w:rsidRDefault="00000000">
            <w:r>
              <w:t>Orientation</w:t>
            </w:r>
          </w:p>
        </w:tc>
        <w:tc>
          <w:tcPr>
            <w:tcW w:w="2250" w:type="dxa"/>
            <w:noWrap/>
          </w:tcPr>
          <w:p w14:paraId="3D387847" w14:textId="77777777" w:rsidR="00772179" w:rsidRDefault="00000000">
            <w:pPr>
              <w:jc w:val="center"/>
            </w:pPr>
            <w:r>
              <w:t>6 000</w:t>
            </w:r>
          </w:p>
        </w:tc>
        <w:tc>
          <w:tcPr>
            <w:tcW w:w="2250" w:type="dxa"/>
            <w:noWrap/>
          </w:tcPr>
          <w:p w14:paraId="3A6AFDE1" w14:textId="77777777" w:rsidR="00772179" w:rsidRDefault="00000000">
            <w:pPr>
              <w:jc w:val="center"/>
            </w:pPr>
            <w:r>
              <w:t>14 000</w:t>
            </w:r>
          </w:p>
        </w:tc>
        <w:tc>
          <w:tcPr>
            <w:tcW w:w="2250" w:type="dxa"/>
            <w:noWrap/>
          </w:tcPr>
          <w:p w14:paraId="359A8285" w14:textId="77777777" w:rsidR="00772179" w:rsidRDefault="00000000">
            <w:pPr>
              <w:jc w:val="center"/>
            </w:pPr>
            <w:r>
              <w:t>20 000</w:t>
            </w:r>
          </w:p>
        </w:tc>
      </w:tr>
    </w:tbl>
    <w:p w14:paraId="7A31E77C" w14:textId="77777777" w:rsidR="00772179" w:rsidRDefault="00772179"/>
    <w:p w14:paraId="678A75FB" w14:textId="77777777" w:rsidR="00772179" w:rsidRDefault="00000000">
      <w:pPr>
        <w:jc w:val="both"/>
      </w:pPr>
      <w:r>
        <w:rPr>
          <w:b/>
          <w:u w:val="single"/>
        </w:rPr>
        <w:t>Sécurité d’utilisation.</w:t>
      </w:r>
    </w:p>
    <w:p w14:paraId="45DD1ACA" w14:textId="77777777" w:rsidR="00772179" w:rsidRDefault="00000000">
      <w:pPr>
        <w:jc w:val="both"/>
      </w:pPr>
      <w:r>
        <w:t>Les exigences de sécurité d’utilisation sont déterminées dans la norme [NBN EN 13561] et dans son annexe B La résistance aux chocs est déterminée suivant la procédure d’essai de la norme [NBN EN 13330].</w:t>
      </w:r>
    </w:p>
    <w:p w14:paraId="4E5993D8" w14:textId="77777777" w:rsidR="00772179" w:rsidRDefault="00000000">
      <w:pPr>
        <w:jc w:val="both"/>
      </w:pPr>
      <w:r>
        <w:rPr>
          <w:b/>
          <w:u w:val="single"/>
        </w:rPr>
        <w:t>Résistance thermique additionnelle Delta-R</w:t>
      </w:r>
    </w:p>
    <w:p w14:paraId="5D89A4DA" w14:textId="77777777" w:rsidR="00772179" w:rsidRDefault="00000000">
      <w:pPr>
        <w:jc w:val="both"/>
      </w:pPr>
      <w:r>
        <w:t>Si elle intervient dans l’isolation thermique de l’enveloppe du bâtiment, une protection solaire en position déployée et fermée introduit une résistance thermique additionnelle Delta-R exprimée en m²K/W conformément à la méthode spécifiée dans la [NBN EN ISO 10077-1] et sur base de la perméabilité à l’air de la fermeture déterminée conformément à la [NBN EN 13125].</w:t>
      </w:r>
    </w:p>
    <w:p w14:paraId="048621CE" w14:textId="77777777" w:rsidR="00772179" w:rsidRDefault="00000000">
      <w:pPr>
        <w:jc w:val="both"/>
      </w:pPr>
      <w:r>
        <w:rPr>
          <w:b/>
          <w:u w:val="single"/>
        </w:rPr>
        <w:t>Facteur de transmission de l’énergie solaire</w:t>
      </w:r>
    </w:p>
    <w:p w14:paraId="28CB90D0" w14:textId="77777777" w:rsidR="00772179" w:rsidRDefault="00000000">
      <w:pPr>
        <w:jc w:val="both"/>
      </w:pPr>
      <w:r>
        <w:t>Le facteur de transmission de l’énergie solaire gtot est déterminée conformément à la [NBN EN ISO 52022-1] sur base des propriétés des matériaux déterminées conformément à la [NBN EN 14500] sous les conditions spécifiées dans la [NBN EN 14501].</w:t>
      </w:r>
    </w:p>
    <w:p w14:paraId="247F3F26" w14:textId="77777777" w:rsidR="00772179" w:rsidRDefault="00000000">
      <w:pPr>
        <w:jc w:val="both"/>
      </w:pPr>
      <w:r>
        <w:t>Classification sur la base du facteur solaire gtot selon la norme [NBN EN 14501] :</w:t>
      </w:r>
    </w:p>
    <w:tbl>
      <w:tblPr>
        <w:tblStyle w:val="Author-eTableGrid"/>
        <w:tblW w:w="9030" w:type="dxa"/>
        <w:tblLayout w:type="fixed"/>
        <w:tblLook w:val="04A0" w:firstRow="1" w:lastRow="0" w:firstColumn="1" w:lastColumn="0" w:noHBand="0" w:noVBand="1"/>
      </w:tblPr>
      <w:tblGrid>
        <w:gridCol w:w="840"/>
        <w:gridCol w:w="1410"/>
        <w:gridCol w:w="1695"/>
        <w:gridCol w:w="1695"/>
        <w:gridCol w:w="1695"/>
        <w:gridCol w:w="1695"/>
      </w:tblGrid>
      <w:tr w:rsidR="00772179" w14:paraId="1D9D0D59" w14:textId="77777777">
        <w:tc>
          <w:tcPr>
            <w:tcW w:w="840" w:type="dxa"/>
            <w:noWrap/>
          </w:tcPr>
          <w:p w14:paraId="40A66880" w14:textId="77777777" w:rsidR="00772179" w:rsidRDefault="00000000">
            <w:r>
              <w:t>Classe</w:t>
            </w:r>
          </w:p>
        </w:tc>
        <w:tc>
          <w:tcPr>
            <w:tcW w:w="1410" w:type="dxa"/>
            <w:noWrap/>
          </w:tcPr>
          <w:p w14:paraId="4B03CC38" w14:textId="77777777" w:rsidR="00772179" w:rsidRDefault="00000000">
            <w:r>
              <w:t>0</w:t>
            </w:r>
          </w:p>
        </w:tc>
        <w:tc>
          <w:tcPr>
            <w:tcW w:w="1695" w:type="dxa"/>
            <w:noWrap/>
          </w:tcPr>
          <w:p w14:paraId="6BBE5263" w14:textId="77777777" w:rsidR="00772179" w:rsidRDefault="00000000">
            <w:r>
              <w:t>1</w:t>
            </w:r>
          </w:p>
        </w:tc>
        <w:tc>
          <w:tcPr>
            <w:tcW w:w="1695" w:type="dxa"/>
            <w:noWrap/>
          </w:tcPr>
          <w:p w14:paraId="7F6B9C31" w14:textId="77777777" w:rsidR="00772179" w:rsidRDefault="00000000">
            <w:r>
              <w:t>2</w:t>
            </w:r>
          </w:p>
        </w:tc>
        <w:tc>
          <w:tcPr>
            <w:tcW w:w="1695" w:type="dxa"/>
            <w:noWrap/>
          </w:tcPr>
          <w:p w14:paraId="5E540A4C" w14:textId="77777777" w:rsidR="00772179" w:rsidRDefault="00000000">
            <w:r>
              <w:t>3</w:t>
            </w:r>
          </w:p>
        </w:tc>
        <w:tc>
          <w:tcPr>
            <w:tcW w:w="1695" w:type="dxa"/>
            <w:noWrap/>
          </w:tcPr>
          <w:p w14:paraId="591BE13F" w14:textId="77777777" w:rsidR="00772179" w:rsidRDefault="00000000">
            <w:r>
              <w:t>4</w:t>
            </w:r>
          </w:p>
        </w:tc>
      </w:tr>
      <w:tr w:rsidR="00772179" w14:paraId="61CBDEE5" w14:textId="77777777">
        <w:tc>
          <w:tcPr>
            <w:tcW w:w="840" w:type="dxa"/>
            <w:noWrap/>
          </w:tcPr>
          <w:p w14:paraId="2D15D28B" w14:textId="77777777" w:rsidR="00772179" w:rsidRDefault="00000000">
            <w:r>
              <w:t>g</w:t>
            </w:r>
            <w:r>
              <w:rPr>
                <w:vertAlign w:val="subscript"/>
              </w:rPr>
              <w:t>tot</w:t>
            </w:r>
          </w:p>
        </w:tc>
        <w:tc>
          <w:tcPr>
            <w:tcW w:w="1410" w:type="dxa"/>
            <w:noWrap/>
          </w:tcPr>
          <w:p w14:paraId="393AF5B7" w14:textId="77777777" w:rsidR="00772179" w:rsidRDefault="00000000">
            <w:r>
              <w:t>0,50 ≤ g</w:t>
            </w:r>
            <w:r>
              <w:rPr>
                <w:vertAlign w:val="subscript"/>
              </w:rPr>
              <w:t>tot</w:t>
            </w:r>
          </w:p>
        </w:tc>
        <w:tc>
          <w:tcPr>
            <w:tcW w:w="1695" w:type="dxa"/>
            <w:noWrap/>
          </w:tcPr>
          <w:p w14:paraId="25F13171" w14:textId="77777777" w:rsidR="00772179" w:rsidRDefault="00000000">
            <w:r>
              <w:t>0,35 ≤ g</w:t>
            </w:r>
            <w:r>
              <w:rPr>
                <w:vertAlign w:val="subscript"/>
              </w:rPr>
              <w:t>tot</w:t>
            </w:r>
            <w:r>
              <w:t> &lt; 0,50</w:t>
            </w:r>
          </w:p>
        </w:tc>
        <w:tc>
          <w:tcPr>
            <w:tcW w:w="1695" w:type="dxa"/>
            <w:noWrap/>
          </w:tcPr>
          <w:p w14:paraId="31028C3A" w14:textId="77777777" w:rsidR="00772179" w:rsidRDefault="00000000">
            <w:r>
              <w:t>0,15 ≤ g</w:t>
            </w:r>
            <w:r>
              <w:rPr>
                <w:vertAlign w:val="subscript"/>
              </w:rPr>
              <w:t>tot</w:t>
            </w:r>
            <w:r>
              <w:t> &lt; 0,35</w:t>
            </w:r>
          </w:p>
        </w:tc>
        <w:tc>
          <w:tcPr>
            <w:tcW w:w="1695" w:type="dxa"/>
            <w:noWrap/>
          </w:tcPr>
          <w:p w14:paraId="49CA4E2F" w14:textId="77777777" w:rsidR="00772179" w:rsidRDefault="00000000">
            <w:r>
              <w:t>0,10 ≤ g</w:t>
            </w:r>
            <w:r>
              <w:rPr>
                <w:vertAlign w:val="subscript"/>
              </w:rPr>
              <w:t>tot</w:t>
            </w:r>
            <w:r>
              <w:t> &lt; 0,15</w:t>
            </w:r>
          </w:p>
        </w:tc>
        <w:tc>
          <w:tcPr>
            <w:tcW w:w="1695" w:type="dxa"/>
            <w:noWrap/>
          </w:tcPr>
          <w:p w14:paraId="712634FE" w14:textId="77777777" w:rsidR="00772179" w:rsidRDefault="00000000">
            <w:r>
              <w:t>g</w:t>
            </w:r>
            <w:r>
              <w:rPr>
                <w:vertAlign w:val="subscript"/>
              </w:rPr>
              <w:t>tot</w:t>
            </w:r>
            <w:r>
              <w:t> &lt; 0,1</w:t>
            </w:r>
          </w:p>
        </w:tc>
      </w:tr>
    </w:tbl>
    <w:p w14:paraId="6532E350" w14:textId="77777777" w:rsidR="00772179" w:rsidRDefault="00000000">
      <w:pPr>
        <w:jc w:val="both"/>
      </w:pPr>
      <w:r>
        <w:t> </w:t>
      </w:r>
    </w:p>
    <w:p w14:paraId="6C475205" w14:textId="77777777" w:rsidR="00772179" w:rsidRDefault="00000000">
      <w:pPr>
        <w:jc w:val="both"/>
      </w:pPr>
      <w:r>
        <w:rPr>
          <w:b/>
          <w:u w:val="single"/>
        </w:rPr>
        <w:t>Facteur de transmission de la lumière</w:t>
      </w:r>
    </w:p>
    <w:p w14:paraId="0722817B" w14:textId="77777777" w:rsidR="00772179" w:rsidRDefault="00000000">
      <w:pPr>
        <w:jc w:val="both"/>
      </w:pPr>
      <w:r>
        <w:t>Le facteur de transmission de la lumière est déterminé conformément à la méthode de la norme [NBN EN 14500]. Le facteur de transmission de la lumière est déterminé conformément à la [NBN EN 14501].</w:t>
      </w:r>
    </w:p>
    <w:p w14:paraId="51CE024E" w14:textId="77777777" w:rsidR="00772179" w:rsidRDefault="00000000">
      <w:pPr>
        <w:jc w:val="both"/>
      </w:pPr>
      <w:r>
        <w:t>Les caractéristiques concernant les matériaux sont reprises dans la [NBN EN 13561].</w:t>
      </w:r>
    </w:p>
    <w:p w14:paraId="673B5422" w14:textId="77777777" w:rsidR="00772179" w:rsidRDefault="00000000">
      <w:pPr>
        <w:jc w:val="both"/>
      </w:pPr>
      <w:r>
        <w:t> </w:t>
      </w:r>
    </w:p>
    <w:p w14:paraId="6A178879" w14:textId="77777777" w:rsidR="00772179" w:rsidRDefault="00000000">
      <w:pPr>
        <w:pStyle w:val="pheading"/>
      </w:pPr>
      <w:r>
        <w:t>EXÉCUTION / MISE EN ŒUVRE</w:t>
      </w:r>
    </w:p>
    <w:p w14:paraId="23DB67EB" w14:textId="77777777" w:rsidR="00772179" w:rsidRDefault="00000000">
      <w:pPr>
        <w:jc w:val="both"/>
      </w:pPr>
      <w:r>
        <w:t>Les protections solaires sont placées avec tous les accessoires et moyens de fixation nécessaires, conformément aux directives du fabricant.</w:t>
      </w:r>
    </w:p>
    <w:p w14:paraId="332E73AB" w14:textId="77777777" w:rsidR="00772179" w:rsidRDefault="00000000">
      <w:pPr>
        <w:jc w:val="both"/>
      </w:pPr>
      <w:r>
        <w:t>Les supports, ancrages et les autres accessoires sont uniquement fixés à l'aide de matériaux inoxydables.</w:t>
      </w:r>
    </w:p>
    <w:p w14:paraId="18184409" w14:textId="77777777" w:rsidR="00772179" w:rsidRDefault="00000000">
      <w:pPr>
        <w:jc w:val="both"/>
      </w:pPr>
      <w:r>
        <w:t>L'étanchéité à l'air est mise en œuvre sur tout le pourtour du caisson à stores et la continuité avec le gros-œuvre et le châssis est réalisée.</w:t>
      </w:r>
    </w:p>
    <w:p w14:paraId="75F6C9BC" w14:textId="77777777" w:rsidR="00772179" w:rsidRDefault="00000000">
      <w:pPr>
        <w:jc w:val="both"/>
      </w:pPr>
      <w:r>
        <w:t>Le mode de pose et le guide d’utilisation (mode d’emploi pour chaque porte) sont communiqués au maître d’œuvre après la pose.</w:t>
      </w:r>
    </w:p>
    <w:p w14:paraId="17A6218B" w14:textId="77777777" w:rsidR="00772179" w:rsidRDefault="00000000">
      <w:pPr>
        <w:jc w:val="both"/>
      </w:pPr>
      <w:r>
        <w:t>Les composants sont emballés ou conçus de manière à permettre un stockage sans détérioration.</w:t>
      </w:r>
    </w:p>
    <w:p w14:paraId="5B6188DE" w14:textId="77777777" w:rsidR="00772179" w:rsidRDefault="00000000">
      <w:pPr>
        <w:jc w:val="both"/>
      </w:pPr>
      <w:r>
        <w:t>Les informations d’utilisation sont fournies conformément à la [NBN EN ISO 12100] et selon les exigences complémentaires suivantes :</w:t>
      </w:r>
    </w:p>
    <w:p w14:paraId="47CC8F67" w14:textId="77777777" w:rsidR="00772179" w:rsidRDefault="00000000">
      <w:pPr>
        <w:pStyle w:val="Author-eListParagraph"/>
        <w:numPr>
          <w:ilvl w:val="0"/>
          <w:numId w:val="562"/>
        </w:numPr>
        <w:jc w:val="both"/>
      </w:pPr>
      <w:r>
        <w:t>Un dispositif d’avertissement conforme à la [NBN EN 61310-1] accompagne la notice d’utilisation.</w:t>
      </w:r>
    </w:p>
    <w:p w14:paraId="0DA64BB2" w14:textId="77777777" w:rsidR="00772179" w:rsidRDefault="00000000">
      <w:pPr>
        <w:pStyle w:val="Author-eListParagraph"/>
        <w:numPr>
          <w:ilvl w:val="0"/>
          <w:numId w:val="562"/>
        </w:numPr>
        <w:jc w:val="both"/>
      </w:pPr>
      <w:r>
        <w:t>La notice d’instruction décrit conformément à la [NBN EN ISO 12100] les instructions de montage, d’installation et de fixation, les phases de montage, d’éventuelles exigences particulières concernant le stockage, les méthodes de manutention correctes de la fermeture et de ses composants.</w:t>
      </w:r>
    </w:p>
    <w:p w14:paraId="3FB2A702" w14:textId="77777777" w:rsidR="00772179" w:rsidRDefault="00000000">
      <w:pPr>
        <w:pStyle w:val="Author-eListParagraph"/>
        <w:numPr>
          <w:ilvl w:val="0"/>
          <w:numId w:val="562"/>
        </w:numPr>
        <w:jc w:val="both"/>
      </w:pPr>
      <w:r>
        <w:t>Les instructions concernant la motorisation</w:t>
      </w:r>
    </w:p>
    <w:p w14:paraId="43BDCC2C" w14:textId="77777777" w:rsidR="00772179" w:rsidRDefault="00000000">
      <w:pPr>
        <w:pStyle w:val="Author-eListParagraph"/>
        <w:numPr>
          <w:ilvl w:val="0"/>
          <w:numId w:val="562"/>
        </w:numPr>
        <w:jc w:val="both"/>
      </w:pPr>
      <w:r>
        <w:t>Les instructions d’utilisation et d’entretien</w:t>
      </w:r>
    </w:p>
    <w:p w14:paraId="634E82A8" w14:textId="77777777" w:rsidR="00772179" w:rsidRDefault="00000000">
      <w:pPr>
        <w:jc w:val="both"/>
      </w:pPr>
      <w:r>
        <w:lastRenderedPageBreak/>
        <w:t>La mise en œuvre et les assemblages sont exécutés conformément à la documentation technique accompagnant le produit et aux détails approuvés par la direction du chantier lors de l’étude du fabricant prescrite ci-avant.</w:t>
      </w:r>
    </w:p>
    <w:p w14:paraId="55F75C98" w14:textId="77777777" w:rsidR="00772179" w:rsidRDefault="00000000">
      <w:pPr>
        <w:pStyle w:val="pheading"/>
      </w:pPr>
      <w:r>
        <w:t>DOCUMENTS DE RÉFÉRENCE</w:t>
      </w:r>
    </w:p>
    <w:p w14:paraId="0DA80CD6" w14:textId="77777777" w:rsidR="00772179" w:rsidRDefault="00000000">
      <w:pPr>
        <w:pStyle w:val="pheading"/>
      </w:pPr>
      <w:r>
        <w:t>- Matériau</w:t>
      </w:r>
    </w:p>
    <w:p w14:paraId="03012A83" w14:textId="77777777" w:rsidR="00772179" w:rsidRDefault="00000000">
      <w:r>
        <w:t>[NBN EN 12216, Fermetures, stores extérieurs et stores intérieurs - Terminologie, glossaire et définitions]</w:t>
      </w:r>
    </w:p>
    <w:p w14:paraId="5EC8A2FA" w14:textId="77777777" w:rsidR="00772179" w:rsidRDefault="00000000">
      <w:r>
        <w:t>[NBN EN 13561, Stores extérieurs - Exigences de performance, y compris la sécurité]</w:t>
      </w:r>
    </w:p>
    <w:p w14:paraId="52214449" w14:textId="77777777" w:rsidR="00772179" w:rsidRDefault="00000000">
      <w:r>
        <w:t>[NBN EN 1932, Fermetures pour baies équipées de fenêtres et stores extérieurs - Résistance aux charges de vent - Méthodes d'essai et critères de performance]</w:t>
      </w:r>
    </w:p>
    <w:p w14:paraId="614591D7" w14:textId="77777777" w:rsidR="00772179" w:rsidRDefault="00000000">
      <w:r>
        <w:t>[NBN EN 1991-1-3, Eurocode 1 - Actions sur les structures - Partie 1-3: Actions générales - Charges de neige (+ AC:2009)]</w:t>
      </w:r>
    </w:p>
    <w:p w14:paraId="44F8BF78" w14:textId="77777777" w:rsidR="00772179" w:rsidRDefault="00000000">
      <w:r>
        <w:t>[NBN EN 1993 série, Eurocode 3 – Calcul des structures en acier]</w:t>
      </w:r>
    </w:p>
    <w:p w14:paraId="15D63AAF" w14:textId="77777777" w:rsidR="00772179" w:rsidRDefault="00000000">
      <w:r>
        <w:t>[NBN EN 1999 série]</w:t>
      </w:r>
    </w:p>
    <w:p w14:paraId="5696081D" w14:textId="77777777" w:rsidR="00772179" w:rsidRDefault="00000000">
      <w:r>
        <w:t>[NBN EN 1933]</w:t>
      </w:r>
    </w:p>
    <w:p w14:paraId="54C237BF" w14:textId="77777777" w:rsidR="00772179" w:rsidRDefault="00000000">
      <w:r>
        <w:t>[NBN EN 13527, Fermetures pour baies équipées de fenêtres, stores intérieurs et extérieurs - Détermination de l'effort de manoeuvre - Méthodes d'essai]</w:t>
      </w:r>
    </w:p>
    <w:p w14:paraId="39E173DA" w14:textId="77777777" w:rsidR="00772179" w:rsidRDefault="00000000">
      <w:r>
        <w:t>[NBN EN IEC 61000-6-3, Compatibilité électromagnétique (CEM) - Partie 6-3: Normes génériques - Norme sur l'émission relative aux appareils utilisés dans les environnements résidentiels]</w:t>
      </w:r>
    </w:p>
    <w:p w14:paraId="19264764" w14:textId="77777777" w:rsidR="00772179" w:rsidRDefault="00000000">
      <w:r>
        <w:t>[NBN EN IEC 61000-6-2, Compatibilité électromagnétique (CEM) - Partie 6-2: Normes génériques - Norme d'immunité pour les environnements industriels]</w:t>
      </w:r>
    </w:p>
    <w:p w14:paraId="6C8D8EF5" w14:textId="77777777" w:rsidR="00772179" w:rsidRDefault="00000000">
      <w:r>
        <w:t>[NBN EN IEC 60335-1, Appareils électrodomestiques et analogues - Sécurité - Partie 1: Exigences générales]</w:t>
      </w:r>
    </w:p>
    <w:p w14:paraId="0DB23FB9" w14:textId="77777777" w:rsidR="00772179" w:rsidRDefault="00000000">
      <w:r>
        <w:t>[NBN EN 60335-2-97, Appareils électrodomestiques et analogues - Sécurité - Partie 2-97 : Règles particulières pour les motorisations de volets, stores, rideaux et équipements enroulables analogues]</w:t>
      </w:r>
    </w:p>
    <w:p w14:paraId="0A435348" w14:textId="77777777" w:rsidR="00772179" w:rsidRDefault="00000000">
      <w:r>
        <w:t>[NBN EN 12194, Fermetures pour baies équipées de fenêtres, stores extérieurs et intérieurs - Fausses manoeuvres - Méthodes d'essais]</w:t>
      </w:r>
    </w:p>
    <w:p w14:paraId="53DEB80A" w14:textId="77777777" w:rsidR="00772179" w:rsidRDefault="00000000">
      <w:r>
        <w:t>[NBN EN 14201, Fermetures pour baies équipées de fenêtres, stores intérieurs et stores extérieurs - Résistance aux manoeuvres répétées (endurance mécanique) - Méthodes d'essai]</w:t>
      </w:r>
    </w:p>
    <w:p w14:paraId="22472B08" w14:textId="77777777" w:rsidR="00772179" w:rsidRDefault="00000000">
      <w:r>
        <w:t>[NBN EN 14203, Fermetures pour baies équipées de fenêtres, stores intérieurs et stores extérieurs - Aptitude à l'emploi des treuils avec manivelle à tige oscillante - Exigences et méthodes d'essai]</w:t>
      </w:r>
    </w:p>
    <w:p w14:paraId="1F4A8BC1" w14:textId="77777777" w:rsidR="00772179" w:rsidRDefault="00000000">
      <w:r>
        <w:t>[NBN EN 13330, Fermetures - Chocs de corps dur et protection de l'accès - Méthodes d'essai ]</w:t>
      </w:r>
    </w:p>
    <w:p w14:paraId="09E02749" w14:textId="77777777" w:rsidR="00772179" w:rsidRDefault="00000000">
      <w:r>
        <w:t>[NBN EN ISO 10077-1, Performance thermique des fenêtres, portes et fermetures - Calcul du coefficient de transmission thermique - Partie 1: Généralités (ISO 10077-1:2017, Version corrigée 2020-02)]</w:t>
      </w:r>
    </w:p>
    <w:p w14:paraId="774FC986" w14:textId="77777777" w:rsidR="00772179" w:rsidRDefault="00000000">
      <w:r>
        <w:t>[NBN EN 13125, Fermetures pour baies équipées de fenêtres, stores intérieurs et extérieurs - Résistance thermique additionnelle - Attribution d'une classe de perméabilité à l'air à un produit]</w:t>
      </w:r>
    </w:p>
    <w:p w14:paraId="4AF307C0" w14:textId="77777777" w:rsidR="00772179" w:rsidRDefault="00000000">
      <w:r>
        <w:t>[NBN EN ISO 52022-1, Performance énergétique des bâtiments - Propriétés thermiques, solaires et lumineuses des composants et éléments du bâtiment - Partie 1: Méthode de calcul simplifiée des caractéristiques solaires et lumineuses pour les dispositifs de protection solaire combinés à des vitrages (ISO 52022-1:2017)]</w:t>
      </w:r>
    </w:p>
    <w:p w14:paraId="687D2425" w14:textId="77777777" w:rsidR="00772179" w:rsidRDefault="00000000">
      <w:r>
        <w:t>[NBN EN 14500, Fermetures et stores - Confort thermique et lumineux - Méthodes d'essai et de calcul]</w:t>
      </w:r>
    </w:p>
    <w:p w14:paraId="23E07FA7" w14:textId="77777777" w:rsidR="00772179" w:rsidRDefault="00000000">
      <w:r>
        <w:t>[NBN EN 14501, Fermetures et stores - Confort thermique et lumineux - Caractérisation des performances et classification]</w:t>
      </w:r>
    </w:p>
    <w:p w14:paraId="768DE5D5" w14:textId="77777777" w:rsidR="00772179" w:rsidRDefault="00000000">
      <w:pPr>
        <w:pStyle w:val="pheading"/>
      </w:pPr>
      <w:r>
        <w:lastRenderedPageBreak/>
        <w:t>- Exécution</w:t>
      </w:r>
    </w:p>
    <w:p w14:paraId="3CB7171D" w14:textId="77777777" w:rsidR="00772179" w:rsidRDefault="00000000">
      <w:r>
        <w:t>[NBN EN ISO 12100, Sécurité des machines - Principes généraux de conception - Appréciation du risque et réduction du risque (ISO 12100:2010)]</w:t>
      </w:r>
    </w:p>
    <w:p w14:paraId="56FE7B64" w14:textId="77777777" w:rsidR="00772179" w:rsidRDefault="00000000">
      <w:r>
        <w:t>[NBN EN 61310-1, Sécurité des machines - Indication, marquage et manoeuvre - Partie 1 : Exigences pour les signaux visuels, acoustiques et tactiles]</w:t>
      </w:r>
    </w:p>
    <w:p w14:paraId="7BD08C95" w14:textId="77777777" w:rsidR="00772179" w:rsidRDefault="00000000">
      <w:pPr>
        <w:pStyle w:val="Author-eSectionHeading5Numberless"/>
      </w:pPr>
      <w:bookmarkStart w:id="265" w:name="_Toc220490001"/>
      <w:r>
        <w:t>41.52.1 Protections solaires extérieures fixes CCTB 01.12</w:t>
      </w:r>
      <w:bookmarkEnd w:id="265"/>
    </w:p>
    <w:p w14:paraId="0AAE277E" w14:textId="77777777" w:rsidR="00772179" w:rsidRDefault="00000000">
      <w:pPr>
        <w:pStyle w:val="pheading"/>
      </w:pPr>
      <w:r>
        <w:t>DESCRIPTION</w:t>
      </w:r>
    </w:p>
    <w:p w14:paraId="562DCDE3" w14:textId="77777777" w:rsidR="00772179" w:rsidRDefault="00000000">
      <w:pPr>
        <w:pStyle w:val="pheading"/>
      </w:pPr>
      <w:r>
        <w:t>- Définition / Comprend</w:t>
      </w:r>
    </w:p>
    <w:p w14:paraId="36405163" w14:textId="77777777" w:rsidR="00772179" w:rsidRDefault="00000000">
      <w:pPr>
        <w:jc w:val="both"/>
      </w:pPr>
      <w:r>
        <w:t>Il s’agit de la fourniture et de la pose de protections solaires permanentes extérieures posées perpendiculairement ou parallèlement au plan de la façade.</w:t>
      </w:r>
    </w:p>
    <w:p w14:paraId="5C7F0739" w14:textId="77777777" w:rsidR="00772179" w:rsidRDefault="00000000">
      <w:pPr>
        <w:jc w:val="both"/>
      </w:pPr>
      <w:r>
        <w:t>Une déclaration d'aptitude suivant 02.42.1 Critères d'acceptabilité est imposée à ces produits suivant la [NBN EN 13561] afin d'attester qu’ils sont conformes aux spécifications techniques.</w:t>
      </w:r>
    </w:p>
    <w:p w14:paraId="104501C2" w14:textId="77777777" w:rsidR="00772179" w:rsidRDefault="00000000">
      <w:pPr>
        <w:jc w:val="both"/>
      </w:pPr>
      <w:r>
        <w:t>Cet élément comprend également l’étude par le fabricant du dimensionnement des structures de support des protections solaires et de leurs ancrages et ce, sous la responsabilité de l’entrepreneur et en tenant compte de la nécessité d'éviter la création de ponts thermiques au niveau des fixations. L’ensemble des plans de détail et des notes de calcul sont ensuite soumis à l’approbation de la direction du chantier.</w:t>
      </w:r>
    </w:p>
    <w:p w14:paraId="4261201B" w14:textId="77777777" w:rsidR="00772179" w:rsidRDefault="00000000">
      <w:pPr>
        <w:pStyle w:val="pheading"/>
      </w:pPr>
      <w:r>
        <w:t>MATÉRIAUX</w:t>
      </w:r>
    </w:p>
    <w:p w14:paraId="2319813B" w14:textId="77777777" w:rsidR="00772179" w:rsidRDefault="00000000">
      <w:pPr>
        <w:jc w:val="both"/>
      </w:pPr>
      <w:r>
        <w:t>Le brise-soleil est composé de kits d’assemblage ou de modules prémontés sur une structure porteuse métallique inoxydable dont le dimensionnement est calculé en fonction de la portée, du poids et de la prise au vent des protections solaires.</w:t>
      </w:r>
    </w:p>
    <w:p w14:paraId="247F6A9C" w14:textId="77777777" w:rsidR="00772179" w:rsidRDefault="00000000">
      <w:pPr>
        <w:pStyle w:val="pheading"/>
      </w:pPr>
      <w:r>
        <w:t>EXÉCUTION / MISE EN ŒUVRE</w:t>
      </w:r>
    </w:p>
    <w:p w14:paraId="4729A2A9" w14:textId="77777777" w:rsidR="00772179" w:rsidRDefault="00000000">
      <w:pPr>
        <w:jc w:val="both"/>
      </w:pPr>
      <w:r>
        <w:t>La mise en œuvre et les assemblages sont exécutés conformément à la documentation technique accompagnant le produit et aux détails approuvés par la direction du chantier lors de l’étude prescrite ci-avant.</w:t>
      </w:r>
    </w:p>
    <w:p w14:paraId="23520BE2" w14:textId="77777777" w:rsidR="00772179" w:rsidRDefault="00000000">
      <w:pPr>
        <w:jc w:val="both"/>
      </w:pPr>
      <w:r>
        <w:t>Les raccordements électriques des éventuelles motorisations sont réalisés par l’entreprise chargée de la fourniture et de la pose des protections solaires sur les alimentations laissées en attente par l’entreprise chargée du chapitre électricité.</w:t>
      </w:r>
    </w:p>
    <w:p w14:paraId="1D9E9274" w14:textId="77777777" w:rsidR="00772179" w:rsidRDefault="00000000">
      <w:pPr>
        <w:pStyle w:val="pheading"/>
      </w:pPr>
      <w:r>
        <w:t>DOCUMENTS DE RÉFÉRENCE</w:t>
      </w:r>
    </w:p>
    <w:p w14:paraId="67652C34" w14:textId="77777777" w:rsidR="00772179" w:rsidRDefault="00000000">
      <w:pPr>
        <w:pStyle w:val="pheading"/>
      </w:pPr>
      <w:r>
        <w:t>- Matériau</w:t>
      </w:r>
    </w:p>
    <w:p w14:paraId="2F5DAC58" w14:textId="77777777" w:rsidR="00772179" w:rsidRDefault="00000000">
      <w:r>
        <w:t>[NBN EN ISO 9227, Essais de corrosion en atmosphères artificielles - Essais aux brouillards salins (ISO 9227:2022) ]</w:t>
      </w:r>
    </w:p>
    <w:p w14:paraId="37A98390" w14:textId="77777777" w:rsidR="00772179" w:rsidRDefault="00000000">
      <w:r>
        <w:t>[NBN EN 10346, Produits plats en acier revêtus en continu par immersion à chaud pour formage à froid - Conditions techniques de livraison]</w:t>
      </w:r>
    </w:p>
    <w:p w14:paraId="7D28EBBF" w14:textId="77777777" w:rsidR="00772179" w:rsidRDefault="00000000">
      <w:r>
        <w:t>[NBN EN 10169, Produits plats en acier revêtus en continu de matières organiques (prélaqués) - Conditions techniques de livraison]</w:t>
      </w:r>
    </w:p>
    <w:p w14:paraId="25E906AF" w14:textId="77777777" w:rsidR="00772179" w:rsidRDefault="00000000">
      <w:r>
        <w:t>[NBN EN 485-2:2016+A1, Aluminium et alliages d'aluminium - Tôles, bandes et tôles épaisses - Partie 2: Caractéristiques mécaniques]</w:t>
      </w:r>
    </w:p>
    <w:p w14:paraId="77B22AA2" w14:textId="77777777" w:rsidR="00772179" w:rsidRDefault="00000000">
      <w:r>
        <w:t>[NBN EN 1396, Aluminium et alliages d'aluminium - Tôles et bandes revêtues en bobine pour applications générales - Spécifications]</w:t>
      </w:r>
    </w:p>
    <w:p w14:paraId="091A7880" w14:textId="77777777" w:rsidR="00772179" w:rsidRDefault="00000000">
      <w:r>
        <w:t>[NBN EN 485-4, Aluminium et alliages d'aluminium - Tôles, bandes et tôles épaisses - Partie 4: Tolérances sur forme et dimensions des produits laminés à froid]</w:t>
      </w:r>
    </w:p>
    <w:p w14:paraId="578D6C7D" w14:textId="77777777" w:rsidR="00772179" w:rsidRDefault="00000000">
      <w:r>
        <w:t>[NBN EN 321, Panneaux à base de bois - Détermination de la résistance à l'humidité selon essais cycliques]</w:t>
      </w:r>
    </w:p>
    <w:p w14:paraId="6787D4C5" w14:textId="77777777" w:rsidR="00772179" w:rsidRDefault="00000000">
      <w:r>
        <w:lastRenderedPageBreak/>
        <w:t>[NBN EN 1991-1-1, Eurocode 1: Actions sur les structures - Partie 1-1: Actions générales - Poids volumiques, poids propres, charges d'exploitation bâtiments (+ AC:2009)]</w:t>
      </w:r>
    </w:p>
    <w:p w14:paraId="60FA6FD8" w14:textId="77777777" w:rsidR="00772179" w:rsidRDefault="00000000">
      <w:r>
        <w:t>[NBN EN 1991-1-4, Eurocode 1 : Actions sur les structures - Partie 1-4 : Actions générales - Actions du vent (+ AC:2010)]</w:t>
      </w:r>
    </w:p>
    <w:p w14:paraId="02A188FD" w14:textId="77777777" w:rsidR="00772179" w:rsidRDefault="00000000">
      <w:r>
        <w:t>[NBN EN 60335-2-97, Appareils électrodomestiques et analogues - Sécurité - Partie 2-97 : Règles particulières pour les motorisations de volets, stores, rideaux et équipements enroulables analogues]</w:t>
      </w:r>
    </w:p>
    <w:p w14:paraId="0A110B62" w14:textId="77777777" w:rsidR="00772179" w:rsidRDefault="00000000">
      <w:pPr>
        <w:pStyle w:val="Author-eSectionHeading6Numberless"/>
      </w:pPr>
      <w:bookmarkStart w:id="266" w:name="_Toc220490002"/>
      <w:r>
        <w:t>41.52.1a Protections solaires extérieures fixes à lamelles orientables CCTB 01.12</w:t>
      </w:r>
      <w:bookmarkEnd w:id="266"/>
    </w:p>
    <w:p w14:paraId="4AEE6E4B" w14:textId="77777777" w:rsidR="00772179" w:rsidRDefault="00000000">
      <w:pPr>
        <w:pStyle w:val="pheading"/>
      </w:pPr>
      <w:r>
        <w:t>DESCRIPTION</w:t>
      </w:r>
    </w:p>
    <w:p w14:paraId="380A0CDA" w14:textId="77777777" w:rsidR="00772179" w:rsidRDefault="00000000">
      <w:pPr>
        <w:pStyle w:val="pheading"/>
      </w:pPr>
      <w:r>
        <w:t>- Définition / Comprend</w:t>
      </w:r>
    </w:p>
    <w:p w14:paraId="749BDB0A" w14:textId="77777777" w:rsidR="00772179" w:rsidRDefault="00000000">
      <w:pPr>
        <w:jc w:val="both"/>
      </w:pPr>
      <w:r>
        <w:t>Il s’agit de la fourniture et de la pose de protections solaires permanentes extérieures à lamelles orientables posées perpendiculairement ou parallèlement au plan de la façade et composées :</w:t>
      </w:r>
    </w:p>
    <w:p w14:paraId="1A2EF24A" w14:textId="77777777" w:rsidR="00772179" w:rsidRDefault="00000000">
      <w:pPr>
        <w:pStyle w:val="Author-eListParagraph"/>
        <w:numPr>
          <w:ilvl w:val="0"/>
          <w:numId w:val="563"/>
        </w:numPr>
      </w:pPr>
      <w:r>
        <w:t>de profils porteurs avec consoles de fixation ;</w:t>
      </w:r>
    </w:p>
    <w:p w14:paraId="1611CAD7" w14:textId="77777777" w:rsidR="00772179" w:rsidRDefault="00000000">
      <w:pPr>
        <w:pStyle w:val="Author-eListParagraph"/>
        <w:numPr>
          <w:ilvl w:val="0"/>
          <w:numId w:val="563"/>
        </w:numPr>
      </w:pPr>
      <w:r>
        <w:t>de lames de protection solaire fixées aux profils de supports des lames par l’intermédiaire de sets de fixation rotatifs.</w:t>
      </w:r>
    </w:p>
    <w:p w14:paraId="439F584C" w14:textId="77777777" w:rsidR="00772179" w:rsidRDefault="00000000">
      <w:pPr>
        <w:jc w:val="both"/>
      </w:pPr>
      <w:r>
        <w:t>Cet article comprend également :</w:t>
      </w:r>
    </w:p>
    <w:p w14:paraId="530B2C4E" w14:textId="77777777" w:rsidR="00772179" w:rsidRDefault="00000000">
      <w:pPr>
        <w:pStyle w:val="Author-eListParagraph"/>
        <w:numPr>
          <w:ilvl w:val="0"/>
          <w:numId w:val="564"/>
        </w:numPr>
        <w:jc w:val="both"/>
      </w:pPr>
      <w:r>
        <w:t>l’étude par le fabricant des plans de détail à établir sur base des plans de façade et à soumettre à l’approbation de la direction du chantier ;</w:t>
      </w:r>
    </w:p>
    <w:p w14:paraId="6EAF9E39" w14:textId="77777777" w:rsidR="00772179" w:rsidRDefault="00000000">
      <w:pPr>
        <w:pStyle w:val="Author-eListParagraph"/>
        <w:numPr>
          <w:ilvl w:val="0"/>
          <w:numId w:val="564"/>
        </w:numPr>
        <w:jc w:val="both"/>
      </w:pPr>
      <w:r>
        <w:t>en cas de motorisation électrique : la fourniture, placement, réglage, toutes prestations et fournitures nécessaires et raccordements des moteurs sur alimentation(s) en attente conformément au [RGIE].</w:t>
      </w:r>
    </w:p>
    <w:p w14:paraId="6255F481" w14:textId="77777777" w:rsidR="00772179" w:rsidRDefault="00000000">
      <w:pPr>
        <w:pStyle w:val="pheading"/>
      </w:pPr>
      <w:r>
        <w:t>MATÉRIAUX</w:t>
      </w:r>
    </w:p>
    <w:p w14:paraId="1691E630" w14:textId="77777777" w:rsidR="00772179" w:rsidRDefault="00000000">
      <w:pPr>
        <w:pStyle w:val="pheading"/>
      </w:pPr>
      <w:r>
        <w:t>- Caractéristiques générales</w:t>
      </w:r>
    </w:p>
    <w:p w14:paraId="7638736F" w14:textId="77777777" w:rsidR="00772179" w:rsidRDefault="00000000">
      <w:pPr>
        <w:jc w:val="both"/>
      </w:pPr>
      <w:r>
        <w:rPr>
          <w:b/>
        </w:rPr>
        <w:t>Cadre de support</w:t>
      </w:r>
    </w:p>
    <w:p w14:paraId="6EB16BC6" w14:textId="77777777" w:rsidR="00772179" w:rsidRDefault="00000000">
      <w:pPr>
        <w:jc w:val="both"/>
      </w:pPr>
      <w:r>
        <w:t>Profil de support en aluminium Al Mg Si 0.5 conforme à la [NBN EN 485-2:2016+A1] ou [NBN EN 1396] ancré à la structure de façade.</w:t>
      </w:r>
    </w:p>
    <w:p w14:paraId="27806DE9" w14:textId="77777777" w:rsidR="00772179" w:rsidRDefault="00000000">
      <w:pPr>
        <w:pStyle w:val="Author-eListParagraph"/>
        <w:numPr>
          <w:ilvl w:val="0"/>
          <w:numId w:val="565"/>
        </w:numPr>
      </w:pPr>
      <w:r>
        <w:t xml:space="preserve">Positionnement par rapport au plan de la façade : </w:t>
      </w:r>
      <w:r>
        <w:rPr>
          <w:rStyle w:val="optioncarChar"/>
        </w:rPr>
        <w:t>horizontal / vertical</w:t>
      </w:r>
    </w:p>
    <w:p w14:paraId="05055B8A" w14:textId="77777777" w:rsidR="00772179" w:rsidRDefault="00000000">
      <w:pPr>
        <w:pStyle w:val="Author-eListParagraph"/>
        <w:numPr>
          <w:ilvl w:val="0"/>
          <w:numId w:val="565"/>
        </w:numPr>
      </w:pPr>
      <w:r>
        <w:t>Dimensions : voir métré détaillé.</w:t>
      </w:r>
    </w:p>
    <w:p w14:paraId="39957315" w14:textId="77777777" w:rsidR="00772179" w:rsidRDefault="00000000">
      <w:pPr>
        <w:pStyle w:val="Author-eListParagraph"/>
        <w:numPr>
          <w:ilvl w:val="0"/>
          <w:numId w:val="565"/>
        </w:numPr>
      </w:pPr>
      <w:r>
        <w:t xml:space="preserve">Type : </w:t>
      </w:r>
      <w:r>
        <w:rPr>
          <w:rStyle w:val="optioncarChar"/>
        </w:rPr>
        <w:t>fourche de support des portes lamelles (pose horizontale) / profil de support des lamelles (pose verticale)</w:t>
      </w:r>
      <w:r>
        <w:t>.</w:t>
      </w:r>
    </w:p>
    <w:p w14:paraId="356CBE14" w14:textId="77777777" w:rsidR="00772179" w:rsidRDefault="00000000">
      <w:pPr>
        <w:pStyle w:val="Author-eListParagraph"/>
        <w:numPr>
          <w:ilvl w:val="0"/>
          <w:numId w:val="565"/>
        </w:numPr>
      </w:pPr>
      <w:r>
        <w:t>Type d’ancrage et dimensions : à déterminer par le fabricant du système et à soumettre à l’approbation de la direction du chantier.</w:t>
      </w:r>
    </w:p>
    <w:p w14:paraId="27C4C9C0" w14:textId="77777777" w:rsidR="00772179" w:rsidRDefault="00000000">
      <w:pPr>
        <w:pStyle w:val="Author-eListParagraph"/>
        <w:numPr>
          <w:ilvl w:val="0"/>
          <w:numId w:val="565"/>
        </w:numPr>
      </w:pPr>
      <w:r>
        <w:t xml:space="preserve">Cadre périphérique de finition : </w:t>
      </w:r>
      <w:r>
        <w:rPr>
          <w:rStyle w:val="optioncarChar"/>
        </w:rPr>
        <w:t>2 faces (latérales)</w:t>
      </w:r>
      <w:r>
        <w:t xml:space="preserve"> (par défaut)</w:t>
      </w:r>
      <w:r>
        <w:rPr>
          <w:rStyle w:val="optioncarChar"/>
        </w:rPr>
        <w:t xml:space="preserve"> / 3 faces (avant et latérale) / 4 faces</w:t>
      </w:r>
      <w:r>
        <w:t>.</w:t>
      </w:r>
    </w:p>
    <w:p w14:paraId="437CA557" w14:textId="77777777" w:rsidR="00772179" w:rsidRDefault="00000000">
      <w:pPr>
        <w:jc w:val="both"/>
      </w:pPr>
      <w:r>
        <w:rPr>
          <w:b/>
        </w:rPr>
        <w:t>Porte lamelles</w:t>
      </w:r>
    </w:p>
    <w:p w14:paraId="1FDFC53D" w14:textId="77777777" w:rsidR="00772179" w:rsidRDefault="00000000">
      <w:pPr>
        <w:pStyle w:val="Author-eListParagraph"/>
        <w:numPr>
          <w:ilvl w:val="0"/>
          <w:numId w:val="566"/>
        </w:numPr>
      </w:pPr>
      <w:r>
        <w:t>Pièces intégrées dans le cadre de support en </w:t>
      </w:r>
      <w:r>
        <w:rPr>
          <w:rStyle w:val="optioncarChar"/>
        </w:rPr>
        <w:t xml:space="preserve">bagues en matière synthétique fabriquées à partir de polyamide renforcé de fibre de verre et résistantes aux UV </w:t>
      </w:r>
      <w:r>
        <w:t>(par défaut)</w:t>
      </w:r>
      <w:r>
        <w:rPr>
          <w:rStyle w:val="optioncarChar"/>
        </w:rPr>
        <w:t xml:space="preserve"> / acier inoxydable / ***.</w:t>
      </w:r>
    </w:p>
    <w:p w14:paraId="669E6556" w14:textId="77777777" w:rsidR="00772179" w:rsidRDefault="00000000">
      <w:pPr>
        <w:pStyle w:val="Author-eListParagraph"/>
        <w:numPr>
          <w:ilvl w:val="0"/>
          <w:numId w:val="566"/>
        </w:numPr>
      </w:pPr>
      <w:r>
        <w:t xml:space="preserve">Fixation des lames : </w:t>
      </w:r>
      <w:r>
        <w:rPr>
          <w:rStyle w:val="optioncarChar"/>
        </w:rPr>
        <w:t xml:space="preserve">axes en acier inoxydable </w:t>
      </w:r>
      <w:r>
        <w:t>(par défaut)</w:t>
      </w:r>
      <w:r>
        <w:rPr>
          <w:rStyle w:val="optioncarChar"/>
        </w:rPr>
        <w:t xml:space="preserve"> / ***</w:t>
      </w:r>
      <w:r>
        <w:t>.</w:t>
      </w:r>
    </w:p>
    <w:p w14:paraId="65A28C93" w14:textId="77777777" w:rsidR="00772179" w:rsidRDefault="00000000">
      <w:pPr>
        <w:pStyle w:val="Author-eListParagraph"/>
        <w:numPr>
          <w:ilvl w:val="0"/>
          <w:numId w:val="566"/>
        </w:numPr>
      </w:pPr>
      <w:r>
        <w:t xml:space="preserve">Position des lames par rapport au cadre de support : </w:t>
      </w:r>
      <w:r>
        <w:rPr>
          <w:rStyle w:val="optioncarChar"/>
        </w:rPr>
        <w:t>encadrées</w:t>
      </w:r>
      <w:r>
        <w:t xml:space="preserve"> (par défaut)</w:t>
      </w:r>
      <w:r>
        <w:rPr>
          <w:rStyle w:val="optioncarChar"/>
        </w:rPr>
        <w:t xml:space="preserve"> / ***</w:t>
      </w:r>
      <w:r>
        <w:t>.</w:t>
      </w:r>
    </w:p>
    <w:p w14:paraId="27F7D8AB" w14:textId="77777777" w:rsidR="00772179" w:rsidRDefault="00000000">
      <w:pPr>
        <w:pStyle w:val="Author-eListParagraph"/>
        <w:numPr>
          <w:ilvl w:val="0"/>
          <w:numId w:val="566"/>
        </w:numPr>
      </w:pPr>
      <w:r>
        <w:t xml:space="preserve">Angle d’inclinaison des lames : </w:t>
      </w:r>
      <w:r>
        <w:rPr>
          <w:rStyle w:val="optioncarChar"/>
        </w:rPr>
        <w:t xml:space="preserve">orientable à 90° </w:t>
      </w:r>
      <w:r>
        <w:t xml:space="preserve">(par défaut) </w:t>
      </w:r>
      <w:r>
        <w:rPr>
          <w:rStyle w:val="optioncarChar"/>
        </w:rPr>
        <w:t>/ *** °</w:t>
      </w:r>
      <w:r>
        <w:t>.</w:t>
      </w:r>
    </w:p>
    <w:p w14:paraId="6A3FD5DC" w14:textId="77777777" w:rsidR="00772179" w:rsidRDefault="00000000">
      <w:pPr>
        <w:pStyle w:val="Author-eListParagraph"/>
        <w:numPr>
          <w:ilvl w:val="0"/>
          <w:numId w:val="566"/>
        </w:numPr>
      </w:pPr>
      <w:r>
        <w:t xml:space="preserve">Pas des lames : </w:t>
      </w:r>
      <w:r>
        <w:rPr>
          <w:rStyle w:val="optioncarChar"/>
        </w:rPr>
        <w:t>suivant étude du fabricant à soumettre pour approbation</w:t>
      </w:r>
      <w:r>
        <w:t xml:space="preserve"> (par défaut)</w:t>
      </w:r>
      <w:r>
        <w:rPr>
          <w:rStyle w:val="optioncarChar"/>
        </w:rPr>
        <w:t xml:space="preserve"> / *** mm</w:t>
      </w:r>
      <w:r>
        <w:t>.</w:t>
      </w:r>
    </w:p>
    <w:p w14:paraId="2DFC4C8A" w14:textId="77777777" w:rsidR="00772179" w:rsidRDefault="00000000">
      <w:pPr>
        <w:jc w:val="both"/>
      </w:pPr>
      <w:r>
        <w:rPr>
          <w:b/>
        </w:rPr>
        <w:t>Lamelles</w:t>
      </w:r>
    </w:p>
    <w:p w14:paraId="43110806" w14:textId="77777777" w:rsidR="00772179" w:rsidRDefault="00000000">
      <w:pPr>
        <w:jc w:val="both"/>
      </w:pPr>
      <w:r>
        <w:t xml:space="preserve">Les lames de protection solaire sont en </w:t>
      </w:r>
      <w:r>
        <w:rPr>
          <w:rStyle w:val="optioncarChar"/>
        </w:rPr>
        <w:t>aluminium</w:t>
      </w:r>
      <w:r>
        <w:t xml:space="preserve"> (par défaut) </w:t>
      </w:r>
      <w:r>
        <w:rPr>
          <w:rStyle w:val="optioncarChar"/>
        </w:rPr>
        <w:t>/ bois / ***</w:t>
      </w:r>
      <w:r>
        <w:t>.</w:t>
      </w:r>
    </w:p>
    <w:p w14:paraId="7F6DA95D" w14:textId="77777777" w:rsidR="00772179" w:rsidRDefault="00000000">
      <w:pPr>
        <w:jc w:val="both"/>
      </w:pPr>
      <w:r>
        <w:rPr>
          <w:b/>
        </w:rPr>
        <w:t>(soit par défaut)</w:t>
      </w:r>
    </w:p>
    <w:p w14:paraId="2D075729" w14:textId="77777777" w:rsidR="00772179" w:rsidRDefault="00000000">
      <w:pPr>
        <w:jc w:val="both"/>
      </w:pPr>
      <w:r>
        <w:rPr>
          <w:rStyle w:val="soitChar"/>
          <w:u w:val="single"/>
        </w:rPr>
        <w:lastRenderedPageBreak/>
        <w:t>Aluminium :</w:t>
      </w:r>
      <w:r>
        <w:rPr>
          <w:rStyle w:val="soitChar"/>
        </w:rPr>
        <w:t> Al Mg Si 0.5 conforme à la [NBN EN 485-2:2016+A1] ou [NBN EN 1396]. L'épaisseur des tôles de parement en aluminium est déterminée conformément à la [NBN EN 485-4] ou [NBN EN 1396].</w:t>
      </w:r>
    </w:p>
    <w:p w14:paraId="0DA79BD6" w14:textId="77777777" w:rsidR="00772179" w:rsidRDefault="00000000">
      <w:pPr>
        <w:jc w:val="both"/>
      </w:pPr>
      <w:r>
        <w:rPr>
          <w:b/>
        </w:rPr>
        <w:t>(soit)</w:t>
      </w:r>
    </w:p>
    <w:p w14:paraId="72120F58" w14:textId="77777777" w:rsidR="00772179" w:rsidRDefault="00000000">
      <w:pPr>
        <w:jc w:val="both"/>
      </w:pPr>
      <w:r>
        <w:rPr>
          <w:rStyle w:val="soitChar"/>
          <w:u w:val="single"/>
        </w:rPr>
        <w:t>Bois de type :</w:t>
      </w:r>
      <w:r>
        <w:rPr>
          <w:rStyle w:val="soitChar"/>
        </w:rPr>
        <w:t> </w:t>
      </w:r>
      <w:r>
        <w:rPr>
          <w:rStyle w:val="optioncarChar"/>
        </w:rPr>
        <w:t xml:space="preserve">contreplaqué </w:t>
      </w:r>
      <w:r>
        <w:t>(par défaut)</w:t>
      </w:r>
      <w:r>
        <w:rPr>
          <w:rStyle w:val="optioncarChar"/>
        </w:rPr>
        <w:t xml:space="preserve"> / panneau de particule / planchettes d’essence de bois *** / ***</w:t>
      </w:r>
      <w:r>
        <w:rPr>
          <w:rStyle w:val="soitChar"/>
        </w:rPr>
        <w:t xml:space="preserve">. Le parement en bois et son collage sont choisis pour résister au vieillissement tel que spécifié dans la [NBN EN 321]. L’essence de bois sur le parement extérieur est de classe de durabilité naturelle </w:t>
      </w:r>
      <w:r>
        <w:rPr>
          <w:rStyle w:val="optioncarChar"/>
        </w:rPr>
        <w:t>1 / 2</w:t>
      </w:r>
      <w:r>
        <w:rPr>
          <w:rStyle w:val="soitChar"/>
        </w:rPr>
        <w:t xml:space="preserve"> ou a reçu un traitement de préservation de type </w:t>
      </w:r>
      <w:r>
        <w:rPr>
          <w:rStyle w:val="optioncarChar"/>
        </w:rPr>
        <w:t xml:space="preserve">C1 </w:t>
      </w:r>
      <w:r>
        <w:t>(par défaut)</w:t>
      </w:r>
      <w:r>
        <w:rPr>
          <w:rStyle w:val="optioncarChar"/>
        </w:rPr>
        <w:t xml:space="preserve"> / ***</w:t>
      </w:r>
      <w:r>
        <w:rPr>
          <w:rStyle w:val="soitChar"/>
        </w:rPr>
        <w:t>.  </w:t>
      </w:r>
    </w:p>
    <w:p w14:paraId="39E3A26C" w14:textId="77777777" w:rsidR="00772179" w:rsidRDefault="00000000">
      <w:pPr>
        <w:jc w:val="both"/>
      </w:pPr>
      <w:r>
        <w:rPr>
          <w:b/>
        </w:rPr>
        <w:t>(soit)</w:t>
      </w:r>
    </w:p>
    <w:p w14:paraId="6CDAE206" w14:textId="77777777" w:rsidR="00772179" w:rsidRDefault="00000000">
      <w:pPr>
        <w:jc w:val="both"/>
      </w:pPr>
      <w:r>
        <w:rPr>
          <w:rStyle w:val="optioncarChar"/>
        </w:rPr>
        <w:t>***</w:t>
      </w:r>
    </w:p>
    <w:p w14:paraId="241DE363" w14:textId="77777777" w:rsidR="00772179" w:rsidRDefault="00000000">
      <w:pPr>
        <w:pStyle w:val="Author-eListParagraph"/>
        <w:numPr>
          <w:ilvl w:val="0"/>
          <w:numId w:val="567"/>
        </w:numPr>
      </w:pPr>
      <w:r>
        <w:t xml:space="preserve">Forme : </w:t>
      </w:r>
      <w:r>
        <w:rPr>
          <w:rStyle w:val="optioncarChar"/>
        </w:rPr>
        <w:t xml:space="preserve">à faces planes parallèles </w:t>
      </w:r>
      <w:r>
        <w:t>(par défaut)</w:t>
      </w:r>
      <w:r>
        <w:rPr>
          <w:rStyle w:val="optioncarChar"/>
        </w:rPr>
        <w:t xml:space="preserve"> / planes incurvées / en forme de Z / bombées / ellipsoïdale / ***</w:t>
      </w:r>
      <w:r>
        <w:t>.</w:t>
      </w:r>
    </w:p>
    <w:p w14:paraId="29A91353" w14:textId="77777777" w:rsidR="00772179" w:rsidRDefault="00000000">
      <w:pPr>
        <w:pStyle w:val="Author-eListParagraph"/>
        <w:numPr>
          <w:ilvl w:val="0"/>
          <w:numId w:val="567"/>
        </w:numPr>
      </w:pPr>
      <w:r>
        <w:t xml:space="preserve">Largeur (aussi appelée hauteur) des lames : </w:t>
      </w:r>
      <w:r>
        <w:rPr>
          <w:rStyle w:val="optioncarChar"/>
        </w:rPr>
        <w:t xml:space="preserve">40 </w:t>
      </w:r>
      <w:r>
        <w:t>(par défaut)</w:t>
      </w:r>
      <w:r>
        <w:rPr>
          <w:rStyle w:val="optioncarChar"/>
        </w:rPr>
        <w:t xml:space="preserve"> / 50 / 70 / 75 / 80 / ***</w:t>
      </w:r>
      <w:r>
        <w:t xml:space="preserve"> mm.</w:t>
      </w:r>
    </w:p>
    <w:p w14:paraId="56572022" w14:textId="77777777" w:rsidR="00772179" w:rsidRDefault="00000000">
      <w:pPr>
        <w:pStyle w:val="Author-eListParagraph"/>
        <w:numPr>
          <w:ilvl w:val="0"/>
          <w:numId w:val="567"/>
        </w:numPr>
      </w:pPr>
      <w:r>
        <w:t xml:space="preserve">Pas des lames : </w:t>
      </w:r>
      <w:r>
        <w:rPr>
          <w:rStyle w:val="optioncarChar"/>
        </w:rPr>
        <w:t xml:space="preserve">suivant étude du fabricant à soumettre pour approbation </w:t>
      </w:r>
      <w:r>
        <w:t>(par défaut)</w:t>
      </w:r>
      <w:r>
        <w:rPr>
          <w:rStyle w:val="optioncarChar"/>
        </w:rPr>
        <w:t xml:space="preserve"> / 70 / 75 / 10 / 100 / 110 / 140 / *** mm</w:t>
      </w:r>
      <w:r>
        <w:t>.</w:t>
      </w:r>
    </w:p>
    <w:p w14:paraId="67788F0B" w14:textId="77777777" w:rsidR="00772179" w:rsidRDefault="00000000">
      <w:pPr>
        <w:pStyle w:val="Author-eListParagraph"/>
        <w:numPr>
          <w:ilvl w:val="0"/>
          <w:numId w:val="567"/>
        </w:numPr>
      </w:pPr>
      <w:r>
        <w:t xml:space="preserve">Sens de pose : </w:t>
      </w:r>
      <w:r>
        <w:rPr>
          <w:rStyle w:val="optioncarChar"/>
        </w:rPr>
        <w:t>horizontal / vertical</w:t>
      </w:r>
    </w:p>
    <w:p w14:paraId="171478E8" w14:textId="77777777" w:rsidR="00772179" w:rsidRDefault="00000000">
      <w:pPr>
        <w:jc w:val="both"/>
      </w:pPr>
      <w:r>
        <w:rPr>
          <w:b/>
        </w:rPr>
        <w:t>Dispositif de manœuvre des lamelles</w:t>
      </w:r>
    </w:p>
    <w:p w14:paraId="076F22F1" w14:textId="77777777" w:rsidR="00772179" w:rsidRDefault="00000000">
      <w:pPr>
        <w:jc w:val="both"/>
      </w:pPr>
      <w:r>
        <w:rPr>
          <w:rStyle w:val="optioncarChar"/>
        </w:rPr>
        <w:t>Manuel</w:t>
      </w:r>
      <w:r>
        <w:t xml:space="preserve"> (par défaut) </w:t>
      </w:r>
      <w:r>
        <w:rPr>
          <w:rStyle w:val="optioncarChar"/>
        </w:rPr>
        <w:t>/ Motorisé.</w:t>
      </w:r>
    </w:p>
    <w:p w14:paraId="4D9C360A" w14:textId="77777777" w:rsidR="00772179" w:rsidRDefault="00000000">
      <w:pPr>
        <w:jc w:val="both"/>
      </w:pPr>
      <w:r>
        <w:rPr>
          <w:b/>
        </w:rPr>
        <w:t>(soit par défaut)</w:t>
      </w:r>
    </w:p>
    <w:p w14:paraId="7CD20A33" w14:textId="77777777" w:rsidR="00772179" w:rsidRDefault="00000000">
      <w:pPr>
        <w:jc w:val="both"/>
      </w:pPr>
      <w:r>
        <w:rPr>
          <w:rStyle w:val="soitChar"/>
          <w:u w:val="single"/>
        </w:rPr>
        <w:t>Manuel :</w:t>
      </w:r>
      <w:r>
        <w:rPr>
          <w:rStyle w:val="soitChar"/>
        </w:rPr>
        <w:t xml:space="preserve"> par l’intermédiaire d’une tringle de transmission reliant les lames orientables entre-elles.</w:t>
      </w:r>
    </w:p>
    <w:p w14:paraId="20DE4E4D" w14:textId="77777777" w:rsidR="00772179" w:rsidRDefault="00000000">
      <w:pPr>
        <w:jc w:val="both"/>
      </w:pPr>
      <w:r>
        <w:rPr>
          <w:b/>
        </w:rPr>
        <w:t>(soit)</w:t>
      </w:r>
    </w:p>
    <w:p w14:paraId="0B6E988C" w14:textId="77777777" w:rsidR="00772179" w:rsidRDefault="00000000">
      <w:pPr>
        <w:jc w:val="both"/>
      </w:pPr>
      <w:r>
        <w:rPr>
          <w:rStyle w:val="soitChar"/>
          <w:u w:val="single"/>
        </w:rPr>
        <w:t>Motorisé :</w:t>
      </w:r>
      <w:r>
        <w:rPr>
          <w:rStyle w:val="soitChar"/>
        </w:rPr>
        <w:t>  Les moteurs électriques sont conformes à la [NBN EN 60335-2-97] et répondent aux exigences de sécurité d’utilisation, de vitesse d’entrainement et de compatibilité électromagnétique.</w:t>
      </w:r>
    </w:p>
    <w:p w14:paraId="2CDEEBA8" w14:textId="77777777" w:rsidR="00772179" w:rsidRDefault="00000000">
      <w:pPr>
        <w:jc w:val="both"/>
      </w:pPr>
      <w:r>
        <w:rPr>
          <w:rStyle w:val="soitChar"/>
        </w:rPr>
        <w:t>Transmission électrique par l’intermédiaire d’une tringle mobile et réglable reliant les lames orientables entre-elles. La puissance du moteur est adaptée selon la grandeur et le nombre de lames (poids) afin de respecter les exigences de sécurité et d’endurance.</w:t>
      </w:r>
    </w:p>
    <w:p w14:paraId="7F0359BA" w14:textId="77777777" w:rsidR="00772179" w:rsidRDefault="00000000">
      <w:pPr>
        <w:pStyle w:val="Author-eListParagraph"/>
        <w:numPr>
          <w:ilvl w:val="0"/>
          <w:numId w:val="568"/>
        </w:numPr>
      </w:pPr>
      <w:r>
        <w:rPr>
          <w:rStyle w:val="soitChar"/>
        </w:rPr>
        <w:t>Type :</w:t>
      </w:r>
      <w:r>
        <w:t xml:space="preserve">  </w:t>
      </w:r>
      <w:r>
        <w:rPr>
          <w:rStyle w:val="optioncarChar"/>
        </w:rPr>
        <w:t xml:space="preserve">à vitesse constante </w:t>
      </w:r>
      <w:r>
        <w:t>(par défaut)</w:t>
      </w:r>
      <w:r>
        <w:rPr>
          <w:rStyle w:val="optioncarChar"/>
        </w:rPr>
        <w:t xml:space="preserve"> / ***</w:t>
      </w:r>
      <w:r>
        <w:t>.</w:t>
      </w:r>
    </w:p>
    <w:p w14:paraId="3E9642A2" w14:textId="77777777" w:rsidR="00772179" w:rsidRDefault="00000000">
      <w:pPr>
        <w:pStyle w:val="Author-eListParagraph"/>
        <w:numPr>
          <w:ilvl w:val="0"/>
          <w:numId w:val="568"/>
        </w:numPr>
      </w:pPr>
      <w:r>
        <w:rPr>
          <w:rStyle w:val="soitChar"/>
        </w:rPr>
        <w:t>Commande :</w:t>
      </w:r>
      <w:r>
        <w:t xml:space="preserve">  </w:t>
      </w:r>
      <w:r>
        <w:rPr>
          <w:rStyle w:val="optioncarChar"/>
        </w:rPr>
        <w:t xml:space="preserve">manuelle </w:t>
      </w:r>
      <w:r>
        <w:t xml:space="preserve">(par défaut) </w:t>
      </w:r>
      <w:r>
        <w:rPr>
          <w:rStyle w:val="optioncarChar"/>
        </w:rPr>
        <w:t>/ manuelle et couplée avec des détecteurs de luminosité décrits et comptés à l’article ***</w:t>
      </w:r>
      <w:r>
        <w:t>.</w:t>
      </w:r>
    </w:p>
    <w:p w14:paraId="258729AE" w14:textId="77777777" w:rsidR="00772179" w:rsidRDefault="00000000">
      <w:pPr>
        <w:pStyle w:val="Author-eListParagraph"/>
        <w:numPr>
          <w:ilvl w:val="0"/>
          <w:numId w:val="568"/>
        </w:numPr>
      </w:pPr>
      <w:r>
        <w:rPr>
          <w:rStyle w:val="soitChar"/>
        </w:rPr>
        <w:t>Degré de protection :</w:t>
      </w:r>
      <w:r>
        <w:t xml:space="preserve">  </w:t>
      </w:r>
      <w:r>
        <w:rPr>
          <w:rStyle w:val="optioncarChar"/>
        </w:rPr>
        <w:t xml:space="preserve">IP 55 </w:t>
      </w:r>
      <w:r>
        <w:t>(par défaut)</w:t>
      </w:r>
      <w:r>
        <w:rPr>
          <w:rStyle w:val="optioncarChar"/>
        </w:rPr>
        <w:t xml:space="preserve"> / ***</w:t>
      </w:r>
      <w:r>
        <w:t>.</w:t>
      </w:r>
    </w:p>
    <w:p w14:paraId="4D56B01B" w14:textId="77777777" w:rsidR="00772179" w:rsidRDefault="00000000">
      <w:pPr>
        <w:pStyle w:val="Author-eListParagraph"/>
        <w:numPr>
          <w:ilvl w:val="0"/>
          <w:numId w:val="568"/>
        </w:numPr>
      </w:pPr>
      <w:r>
        <w:rPr>
          <w:rStyle w:val="soitChar"/>
        </w:rPr>
        <w:t>T° de fonctionnement : de - 20 °C à + 50 °C.</w:t>
      </w:r>
    </w:p>
    <w:p w14:paraId="11AEE8FB" w14:textId="77777777" w:rsidR="00772179" w:rsidRDefault="00000000">
      <w:pPr>
        <w:pStyle w:val="Author-eListParagraph"/>
        <w:numPr>
          <w:ilvl w:val="0"/>
          <w:numId w:val="568"/>
        </w:numPr>
      </w:pPr>
      <w:r>
        <w:rPr>
          <w:rStyle w:val="soitChar"/>
        </w:rPr>
        <w:t>Service : ne nécessitant aucun entretien.</w:t>
      </w:r>
    </w:p>
    <w:p w14:paraId="7E2CB19B" w14:textId="77777777" w:rsidR="00772179" w:rsidRDefault="00000000">
      <w:pPr>
        <w:pStyle w:val="Author-eListParagraph"/>
        <w:numPr>
          <w:ilvl w:val="0"/>
          <w:numId w:val="568"/>
        </w:numPr>
      </w:pPr>
      <w:r>
        <w:rPr>
          <w:rStyle w:val="soitChar"/>
        </w:rPr>
        <w:t>Garantie :</w:t>
      </w:r>
      <w:r>
        <w:t>  </w:t>
      </w:r>
      <w:r>
        <w:rPr>
          <w:rStyle w:val="optioncarChar"/>
        </w:rPr>
        <w:t xml:space="preserve">2 </w:t>
      </w:r>
      <w:r>
        <w:t>(par défaut)</w:t>
      </w:r>
      <w:r>
        <w:rPr>
          <w:rStyle w:val="optioncarChar"/>
        </w:rPr>
        <w:t> / ***</w:t>
      </w:r>
      <w:r>
        <w:t>  </w:t>
      </w:r>
      <w:r>
        <w:rPr>
          <w:rStyle w:val="soitChar"/>
        </w:rPr>
        <w:t>ans.</w:t>
      </w:r>
    </w:p>
    <w:p w14:paraId="13A69201" w14:textId="77777777" w:rsidR="00772179" w:rsidRDefault="00000000">
      <w:pPr>
        <w:pStyle w:val="Author-eListParagraph"/>
        <w:numPr>
          <w:ilvl w:val="0"/>
          <w:numId w:val="568"/>
        </w:numPr>
      </w:pPr>
      <w:r>
        <w:rPr>
          <w:rStyle w:val="soitChar"/>
        </w:rPr>
        <w:t>Attestation des cycles de test : ≥ à</w:t>
      </w:r>
      <w:r>
        <w:t xml:space="preserve">  </w:t>
      </w:r>
      <w:r>
        <w:rPr>
          <w:rStyle w:val="optioncarChar"/>
        </w:rPr>
        <w:t xml:space="preserve">100000 </w:t>
      </w:r>
      <w:r>
        <w:t>(par défaut)</w:t>
      </w:r>
      <w:r>
        <w:rPr>
          <w:rStyle w:val="optioncarChar"/>
        </w:rPr>
        <w:t xml:space="preserve"> / ***</w:t>
      </w:r>
      <w:r>
        <w:t>.</w:t>
      </w:r>
    </w:p>
    <w:p w14:paraId="783BEC3A" w14:textId="77777777" w:rsidR="00772179" w:rsidRDefault="00000000">
      <w:pPr>
        <w:jc w:val="both"/>
      </w:pPr>
      <w:r>
        <w:rPr>
          <w:b/>
        </w:rPr>
        <w:t>Aspects environnementaux</w:t>
      </w:r>
    </w:p>
    <w:p w14:paraId="2DE2724B" w14:textId="77777777" w:rsidR="00772179" w:rsidRDefault="00000000">
      <w:pPr>
        <w:pStyle w:val="Author-eListParagraph"/>
        <w:numPr>
          <w:ilvl w:val="0"/>
          <w:numId w:val="569"/>
        </w:numPr>
      </w:pPr>
      <w:r>
        <w:t xml:space="preserve">Matériaux disposant d’un label suivant prescriptions du 02.42.6 Labels environnementaux : </w:t>
      </w:r>
      <w:r>
        <w:rPr>
          <w:rStyle w:val="optioncarChar"/>
        </w:rPr>
        <w:t>oui / non </w:t>
      </w:r>
    </w:p>
    <w:p w14:paraId="63477F96" w14:textId="77777777" w:rsidR="00772179" w:rsidRDefault="00000000">
      <w:pPr>
        <w:jc w:val="both"/>
      </w:pPr>
      <w:r>
        <w:t>Pour les profils aluminium :</w:t>
      </w:r>
    </w:p>
    <w:p w14:paraId="48F67D40" w14:textId="77777777" w:rsidR="00772179" w:rsidRDefault="00000000">
      <w:pPr>
        <w:pStyle w:val="Author-eListParagraph"/>
        <w:numPr>
          <w:ilvl w:val="0"/>
          <w:numId w:val="570"/>
        </w:numPr>
      </w:pPr>
      <w:r>
        <w:t xml:space="preserve">Matériaux recyclés entrant dans la fabrication du produit : </w:t>
      </w:r>
      <w:r>
        <w:rPr>
          <w:rStyle w:val="optioncarChar"/>
        </w:rPr>
        <w:t>oui / non </w:t>
      </w:r>
    </w:p>
    <w:p w14:paraId="332FDF56" w14:textId="77777777" w:rsidR="00772179" w:rsidRDefault="00000000">
      <w:pPr>
        <w:jc w:val="both"/>
      </w:pPr>
      <w:r>
        <w:t>Pour les lamelles en bois :</w:t>
      </w:r>
    </w:p>
    <w:p w14:paraId="4E97ACF9" w14:textId="77777777" w:rsidR="00772179" w:rsidRDefault="00000000">
      <w:pPr>
        <w:pStyle w:val="Author-eListParagraph"/>
        <w:numPr>
          <w:ilvl w:val="0"/>
          <w:numId w:val="571"/>
        </w:numPr>
        <w:jc w:val="both"/>
      </w:pPr>
      <w:r>
        <w:t xml:space="preserve">Panneaux à base de bois issu de forêts gérées durablement suivant prescriptions du 02.42.4 Bois provenant de forêts gérées durablement : </w:t>
      </w:r>
      <w:r>
        <w:rPr>
          <w:rStyle w:val="optioncarChar"/>
        </w:rPr>
        <w:t>oui / non</w:t>
      </w:r>
      <w:r>
        <w:t> </w:t>
      </w:r>
    </w:p>
    <w:p w14:paraId="2BD3B848" w14:textId="77777777" w:rsidR="00772179" w:rsidRDefault="00000000">
      <w:pPr>
        <w:pStyle w:val="pheading"/>
      </w:pPr>
      <w:r>
        <w:t>- Finitions</w:t>
      </w:r>
    </w:p>
    <w:p w14:paraId="7451643D" w14:textId="77777777" w:rsidR="00772179" w:rsidRDefault="00000000">
      <w:r>
        <w:rPr>
          <w:b/>
        </w:rPr>
        <w:t>Cadre de support</w:t>
      </w:r>
      <w:r>
        <w:br/>
      </w:r>
      <w:r>
        <w:rPr>
          <w:rStyle w:val="optioncarChar"/>
        </w:rPr>
        <w:t>Anodisé</w:t>
      </w:r>
      <w:r>
        <w:t xml:space="preserve"> (par défaut) </w:t>
      </w:r>
      <w:r>
        <w:rPr>
          <w:rStyle w:val="optioncarChar"/>
        </w:rPr>
        <w:t>/ Thermolaqué par poudrage polyester / ***</w:t>
      </w:r>
      <w:r>
        <w:t>.</w:t>
      </w:r>
    </w:p>
    <w:p w14:paraId="717F804D" w14:textId="77777777" w:rsidR="00772179" w:rsidRDefault="00000000">
      <w:r>
        <w:rPr>
          <w:b/>
        </w:rPr>
        <w:lastRenderedPageBreak/>
        <w:t>(soit par défaut)</w:t>
      </w:r>
      <w:r>
        <w:br/>
      </w:r>
      <w:r>
        <w:rPr>
          <w:rStyle w:val="soitChar"/>
          <w:u w:val="single"/>
        </w:rPr>
        <w:t>Anodisé :</w:t>
      </w:r>
      <w:r>
        <w:rPr>
          <w:rStyle w:val="soitChar"/>
        </w:rPr>
        <w:t xml:space="preserve"> selon [Qualanod] épaisseur ≥ 18 μm</w:t>
      </w:r>
    </w:p>
    <w:p w14:paraId="436A0BD3" w14:textId="77777777" w:rsidR="00772179" w:rsidRDefault="00000000">
      <w:pPr>
        <w:pStyle w:val="Author-eListParagraph"/>
        <w:numPr>
          <w:ilvl w:val="0"/>
          <w:numId w:val="572"/>
        </w:numPr>
      </w:pPr>
      <w:r>
        <w:rPr>
          <w:rStyle w:val="soitChar"/>
        </w:rPr>
        <w:t>Couleur :</w:t>
      </w:r>
      <w:r>
        <w:t>  </w:t>
      </w:r>
      <w:r>
        <w:rPr>
          <w:rStyle w:val="optioncarChar"/>
        </w:rPr>
        <w:t>naturelle</w:t>
      </w:r>
      <w:r>
        <w:t xml:space="preserve"> (par défaut)</w:t>
      </w:r>
      <w:r>
        <w:rPr>
          <w:rStyle w:val="optioncarChar"/>
        </w:rPr>
        <w:t xml:space="preserve"> / ***.</w:t>
      </w:r>
    </w:p>
    <w:p w14:paraId="56546F40" w14:textId="77777777" w:rsidR="00772179" w:rsidRDefault="00000000">
      <w:pPr>
        <w:pStyle w:val="Author-eListParagraph"/>
        <w:numPr>
          <w:ilvl w:val="0"/>
          <w:numId w:val="572"/>
        </w:numPr>
      </w:pPr>
      <w:r>
        <w:rPr>
          <w:rStyle w:val="soitChar"/>
        </w:rPr>
        <w:t>Finition :</w:t>
      </w:r>
      <w:r>
        <w:t>  </w:t>
      </w:r>
      <w:r>
        <w:rPr>
          <w:rStyle w:val="optioncarChar"/>
        </w:rPr>
        <w:t>mate</w:t>
      </w:r>
      <w:r>
        <w:t xml:space="preserve"> (par défaut)</w:t>
      </w:r>
      <w:r>
        <w:rPr>
          <w:rStyle w:val="optioncarChar"/>
        </w:rPr>
        <w:t xml:space="preserve"> / ***.</w:t>
      </w:r>
    </w:p>
    <w:p w14:paraId="003CBCAD" w14:textId="77777777" w:rsidR="00772179" w:rsidRDefault="00000000">
      <w:r>
        <w:rPr>
          <w:b/>
        </w:rPr>
        <w:t>(soit)</w:t>
      </w:r>
      <w:r>
        <w:br/>
      </w:r>
      <w:r>
        <w:rPr>
          <w:rStyle w:val="soitChar"/>
          <w:u w:val="single"/>
        </w:rPr>
        <w:t>Thermolaqué par poudrage polyester :</w:t>
      </w:r>
      <w:r>
        <w:rPr>
          <w:rStyle w:val="soitChar"/>
        </w:rPr>
        <w:t xml:space="preserve"> selon [Qualicoat] épaisseur ≥ 60 μm</w:t>
      </w:r>
    </w:p>
    <w:p w14:paraId="351EE4D5" w14:textId="77777777" w:rsidR="00772179" w:rsidRDefault="00000000">
      <w:pPr>
        <w:pStyle w:val="Author-eListParagraph"/>
        <w:numPr>
          <w:ilvl w:val="0"/>
          <w:numId w:val="573"/>
        </w:numPr>
      </w:pPr>
      <w:r>
        <w:rPr>
          <w:rStyle w:val="soitChar"/>
        </w:rPr>
        <w:t>Couleur : RAL n°</w:t>
      </w:r>
      <w:r>
        <w:t>  </w:t>
      </w:r>
      <w:r>
        <w:rPr>
          <w:rStyle w:val="optioncarChar"/>
        </w:rPr>
        <w:t>***</w:t>
      </w:r>
    </w:p>
    <w:p w14:paraId="7D3D8AC1" w14:textId="77777777" w:rsidR="00772179" w:rsidRDefault="00000000">
      <w:pPr>
        <w:pStyle w:val="Author-eListParagraph"/>
        <w:numPr>
          <w:ilvl w:val="0"/>
          <w:numId w:val="573"/>
        </w:numPr>
      </w:pPr>
      <w:r>
        <w:rPr>
          <w:rStyle w:val="soitChar"/>
        </w:rPr>
        <w:t>Brillance :</w:t>
      </w:r>
      <w:r>
        <w:t>  </w:t>
      </w:r>
      <w:r>
        <w:rPr>
          <w:rStyle w:val="optioncarChar"/>
        </w:rPr>
        <w:t xml:space="preserve">70 </w:t>
      </w:r>
      <w:r>
        <w:t>(par défaut)</w:t>
      </w:r>
      <w:r>
        <w:rPr>
          <w:rStyle w:val="optioncarChar"/>
        </w:rPr>
        <w:t xml:space="preserve"> / ***</w:t>
      </w:r>
      <w:r>
        <w:t>  </w:t>
      </w:r>
      <w:r>
        <w:rPr>
          <w:rStyle w:val="soitChar"/>
        </w:rPr>
        <w:t>%.</w:t>
      </w:r>
    </w:p>
    <w:p w14:paraId="3D01125D" w14:textId="77777777" w:rsidR="00772179" w:rsidRDefault="00000000">
      <w:r>
        <w:rPr>
          <w:b/>
        </w:rPr>
        <w:t>(soit)</w:t>
      </w:r>
      <w:r>
        <w:br/>
      </w:r>
      <w:r>
        <w:rPr>
          <w:rStyle w:val="optioncarChar"/>
        </w:rPr>
        <w:t>***</w:t>
      </w:r>
    </w:p>
    <w:p w14:paraId="6D2A4430" w14:textId="77777777" w:rsidR="00772179" w:rsidRDefault="00000000">
      <w:r>
        <w:rPr>
          <w:b/>
        </w:rPr>
        <w:t>Porte lamelles</w:t>
      </w:r>
      <w:r>
        <w:br/>
      </w:r>
      <w:r>
        <w:rPr>
          <w:rStyle w:val="optioncarChar"/>
        </w:rPr>
        <w:t>Polyamide</w:t>
      </w:r>
      <w:r>
        <w:t xml:space="preserve"> (par défaut)</w:t>
      </w:r>
      <w:r>
        <w:rPr>
          <w:rStyle w:val="optioncarChar"/>
        </w:rPr>
        <w:t xml:space="preserve"> / Acier inoxydable / ***</w:t>
      </w:r>
      <w:r>
        <w:t>.</w:t>
      </w:r>
    </w:p>
    <w:p w14:paraId="0986CD71" w14:textId="77777777" w:rsidR="00772179" w:rsidRDefault="00000000">
      <w:r>
        <w:rPr>
          <w:b/>
        </w:rPr>
        <w:t>(soit par défaut)</w:t>
      </w:r>
      <w:r>
        <w:br/>
      </w:r>
      <w:r>
        <w:rPr>
          <w:rStyle w:val="soitChar"/>
          <w:u w:val="single"/>
        </w:rPr>
        <w:t>Polyamide :</w:t>
      </w:r>
    </w:p>
    <w:p w14:paraId="13842006" w14:textId="77777777" w:rsidR="00772179" w:rsidRDefault="00000000">
      <w:pPr>
        <w:pStyle w:val="Author-eListParagraph"/>
        <w:numPr>
          <w:ilvl w:val="0"/>
          <w:numId w:val="574"/>
        </w:numPr>
      </w:pPr>
      <w:r>
        <w:rPr>
          <w:rStyle w:val="soitChar"/>
        </w:rPr>
        <w:t>Couleur :</w:t>
      </w:r>
      <w:r>
        <w:t xml:space="preserve">  </w:t>
      </w:r>
      <w:r>
        <w:rPr>
          <w:rStyle w:val="optioncarChar"/>
        </w:rPr>
        <w:t xml:space="preserve">noir </w:t>
      </w:r>
      <w:r>
        <w:t xml:space="preserve">(par défaut) </w:t>
      </w:r>
      <w:r>
        <w:rPr>
          <w:rStyle w:val="optioncarChar"/>
        </w:rPr>
        <w:t>/ ***.</w:t>
      </w:r>
    </w:p>
    <w:p w14:paraId="4ECD53F4" w14:textId="77777777" w:rsidR="00772179" w:rsidRDefault="00000000">
      <w:r>
        <w:rPr>
          <w:b/>
        </w:rPr>
        <w:t>(soit)</w:t>
      </w:r>
      <w:r>
        <w:br/>
      </w:r>
      <w:r>
        <w:rPr>
          <w:rStyle w:val="soitChar"/>
          <w:u w:val="single"/>
        </w:rPr>
        <w:t>Acier inoxydable :</w:t>
      </w:r>
    </w:p>
    <w:p w14:paraId="361AA650" w14:textId="77777777" w:rsidR="00772179" w:rsidRDefault="00000000">
      <w:pPr>
        <w:pStyle w:val="Author-eListParagraph"/>
        <w:numPr>
          <w:ilvl w:val="0"/>
          <w:numId w:val="575"/>
        </w:numPr>
      </w:pPr>
      <w:r>
        <w:rPr>
          <w:rStyle w:val="soitChar"/>
        </w:rPr>
        <w:t>Couleur :</w:t>
      </w:r>
      <w:r>
        <w:t>  </w:t>
      </w:r>
      <w:r>
        <w:rPr>
          <w:rStyle w:val="optioncarChar"/>
        </w:rPr>
        <w:t>naturelle</w:t>
      </w:r>
      <w:r>
        <w:t xml:space="preserve"> (par défaut)</w:t>
      </w:r>
      <w:r>
        <w:rPr>
          <w:rStyle w:val="optioncarChar"/>
        </w:rPr>
        <w:t xml:space="preserve"> / ***</w:t>
      </w:r>
      <w:r>
        <w:t>.</w:t>
      </w:r>
    </w:p>
    <w:p w14:paraId="376B0967" w14:textId="77777777" w:rsidR="00772179" w:rsidRDefault="00000000">
      <w:pPr>
        <w:pStyle w:val="Author-eListParagraph"/>
        <w:numPr>
          <w:ilvl w:val="0"/>
          <w:numId w:val="575"/>
        </w:numPr>
      </w:pPr>
      <w:r>
        <w:rPr>
          <w:rStyle w:val="soitChar"/>
        </w:rPr>
        <w:t>Finition :</w:t>
      </w:r>
      <w:r>
        <w:t>  </w:t>
      </w:r>
      <w:r>
        <w:rPr>
          <w:rStyle w:val="optioncarChar"/>
        </w:rPr>
        <w:t xml:space="preserve">brillante </w:t>
      </w:r>
      <w:r>
        <w:t>(par défaut)</w:t>
      </w:r>
      <w:r>
        <w:rPr>
          <w:rStyle w:val="optioncarChar"/>
        </w:rPr>
        <w:t xml:space="preserve"> / ***</w:t>
      </w:r>
      <w:r>
        <w:t>.</w:t>
      </w:r>
    </w:p>
    <w:p w14:paraId="2054930E" w14:textId="77777777" w:rsidR="00772179" w:rsidRDefault="00000000">
      <w:r>
        <w:rPr>
          <w:b/>
        </w:rPr>
        <w:t>(soit)</w:t>
      </w:r>
      <w:r>
        <w:br/>
      </w:r>
      <w:r>
        <w:rPr>
          <w:rStyle w:val="optioncarChar"/>
        </w:rPr>
        <w:t>***</w:t>
      </w:r>
    </w:p>
    <w:p w14:paraId="679A435F" w14:textId="77777777" w:rsidR="00772179" w:rsidRDefault="00000000">
      <w:r>
        <w:rPr>
          <w:b/>
        </w:rPr>
        <w:t>Lamelles</w:t>
      </w:r>
      <w:r>
        <w:br/>
        <w:t xml:space="preserve">Les lamelles en aluminium sont </w:t>
      </w:r>
      <w:r>
        <w:rPr>
          <w:rStyle w:val="optioncarChar"/>
        </w:rPr>
        <w:t>thermolaquées par poudrage polyester</w:t>
      </w:r>
      <w:r>
        <w:t xml:space="preserve"> (par défaut)</w:t>
      </w:r>
      <w:r>
        <w:rPr>
          <w:rStyle w:val="optioncarChar"/>
        </w:rPr>
        <w:t xml:space="preserve"> / anodisées / ***</w:t>
      </w:r>
      <w:r>
        <w:t>.</w:t>
      </w:r>
    </w:p>
    <w:p w14:paraId="241771B3" w14:textId="77777777" w:rsidR="00772179" w:rsidRDefault="00000000">
      <w:r>
        <w:rPr>
          <w:b/>
        </w:rPr>
        <w:t>(soit par défaut)</w:t>
      </w:r>
      <w:r>
        <w:br/>
      </w:r>
      <w:r>
        <w:rPr>
          <w:rStyle w:val="soitChar"/>
          <w:u w:val="single"/>
        </w:rPr>
        <w:t>Thermolaquées par poudrage polyester :</w:t>
      </w:r>
      <w:r>
        <w:rPr>
          <w:rStyle w:val="soitChar"/>
        </w:rPr>
        <w:t xml:space="preserve"> selon [Qualicoat] épaisseur ≥ 60 μm</w:t>
      </w:r>
    </w:p>
    <w:p w14:paraId="32719FDE" w14:textId="77777777" w:rsidR="00772179" w:rsidRDefault="00000000">
      <w:pPr>
        <w:pStyle w:val="Author-eListParagraph"/>
        <w:numPr>
          <w:ilvl w:val="0"/>
          <w:numId w:val="576"/>
        </w:numPr>
      </w:pPr>
      <w:r>
        <w:rPr>
          <w:rStyle w:val="soitChar"/>
        </w:rPr>
        <w:t xml:space="preserve">Couleur : RAL n° </w:t>
      </w:r>
      <w:r>
        <w:rPr>
          <w:rStyle w:val="optioncarChar"/>
        </w:rPr>
        <w:t>***</w:t>
      </w:r>
    </w:p>
    <w:p w14:paraId="4C0ED832" w14:textId="77777777" w:rsidR="00772179" w:rsidRDefault="00000000">
      <w:pPr>
        <w:pStyle w:val="Author-eListParagraph"/>
        <w:numPr>
          <w:ilvl w:val="0"/>
          <w:numId w:val="576"/>
        </w:numPr>
      </w:pPr>
      <w:r>
        <w:rPr>
          <w:rStyle w:val="soitChar"/>
        </w:rPr>
        <w:t xml:space="preserve">Brillance : </w:t>
      </w:r>
      <w:r>
        <w:rPr>
          <w:rStyle w:val="optioncarChar"/>
        </w:rPr>
        <w:t xml:space="preserve">70 </w:t>
      </w:r>
      <w:r>
        <w:t xml:space="preserve">(par défaut) </w:t>
      </w:r>
      <w:r>
        <w:rPr>
          <w:rStyle w:val="optioncarChar"/>
        </w:rPr>
        <w:t>/ ***</w:t>
      </w:r>
      <w:r>
        <w:rPr>
          <w:rStyle w:val="soitChar"/>
        </w:rPr>
        <w:t xml:space="preserve"> %.</w:t>
      </w:r>
    </w:p>
    <w:p w14:paraId="7088DA1E" w14:textId="77777777" w:rsidR="00772179" w:rsidRDefault="00000000">
      <w:r>
        <w:rPr>
          <w:b/>
        </w:rPr>
        <w:t>(soit)</w:t>
      </w:r>
      <w:r>
        <w:br/>
      </w:r>
      <w:r>
        <w:rPr>
          <w:rStyle w:val="soitChar"/>
          <w:u w:val="single"/>
        </w:rPr>
        <w:t>Anodisé :</w:t>
      </w:r>
      <w:r>
        <w:rPr>
          <w:rStyle w:val="soitChar"/>
        </w:rPr>
        <w:t xml:space="preserve"> selon [Qualanod] épaisseur ≥ 18 μm</w:t>
      </w:r>
    </w:p>
    <w:p w14:paraId="4D249693" w14:textId="77777777" w:rsidR="00772179" w:rsidRDefault="00000000">
      <w:pPr>
        <w:pStyle w:val="Author-eListParagraph"/>
        <w:numPr>
          <w:ilvl w:val="0"/>
          <w:numId w:val="577"/>
        </w:numPr>
      </w:pPr>
      <w:r>
        <w:rPr>
          <w:rStyle w:val="soitChar"/>
        </w:rPr>
        <w:t xml:space="preserve">Couleur : </w:t>
      </w:r>
      <w:r>
        <w:rPr>
          <w:rStyle w:val="optioncarChar"/>
        </w:rPr>
        <w:t xml:space="preserve">naturelle </w:t>
      </w:r>
      <w:r>
        <w:t>(par défaut)</w:t>
      </w:r>
      <w:r>
        <w:rPr>
          <w:rStyle w:val="optioncarChar"/>
        </w:rPr>
        <w:t xml:space="preserve"> / ***.</w:t>
      </w:r>
    </w:p>
    <w:p w14:paraId="0FB171FA" w14:textId="77777777" w:rsidR="00772179" w:rsidRDefault="00000000">
      <w:pPr>
        <w:pStyle w:val="Author-eListParagraph"/>
        <w:numPr>
          <w:ilvl w:val="0"/>
          <w:numId w:val="577"/>
        </w:numPr>
      </w:pPr>
      <w:r>
        <w:rPr>
          <w:rStyle w:val="soitChar"/>
        </w:rPr>
        <w:t xml:space="preserve">Finition : </w:t>
      </w:r>
      <w:r>
        <w:rPr>
          <w:rStyle w:val="optioncarChar"/>
        </w:rPr>
        <w:t xml:space="preserve">mate </w:t>
      </w:r>
      <w:r>
        <w:t xml:space="preserve">(par défaut) </w:t>
      </w:r>
      <w:r>
        <w:rPr>
          <w:rStyle w:val="optioncarChar"/>
        </w:rPr>
        <w:t>/ ***</w:t>
      </w:r>
      <w:r>
        <w:rPr>
          <w:rStyle w:val="soitChar"/>
        </w:rPr>
        <w:t>.</w:t>
      </w:r>
    </w:p>
    <w:p w14:paraId="256E3EDE" w14:textId="77777777" w:rsidR="00772179" w:rsidRDefault="00000000">
      <w:r>
        <w:rPr>
          <w:b/>
        </w:rPr>
        <w:t>(soit)</w:t>
      </w:r>
      <w:r>
        <w:br/>
      </w:r>
      <w:r>
        <w:rPr>
          <w:rStyle w:val="optioncarChar"/>
        </w:rPr>
        <w:t>***</w:t>
      </w:r>
    </w:p>
    <w:p w14:paraId="116E8339" w14:textId="77777777" w:rsidR="00772179" w:rsidRDefault="00000000">
      <w:r>
        <w:t xml:space="preserve">Les lamelles en bois sont </w:t>
      </w:r>
      <w:r>
        <w:rPr>
          <w:rStyle w:val="optioncarChar"/>
        </w:rPr>
        <w:t xml:space="preserve">laquées </w:t>
      </w:r>
      <w:r>
        <w:t>(par défaut)</w:t>
      </w:r>
      <w:r>
        <w:rPr>
          <w:rStyle w:val="optioncarChar"/>
        </w:rPr>
        <w:t xml:space="preserve"> / lasurées / ***</w:t>
      </w:r>
      <w:r>
        <w:t>.</w:t>
      </w:r>
    </w:p>
    <w:p w14:paraId="57ACDA80" w14:textId="77777777" w:rsidR="00772179" w:rsidRDefault="00000000">
      <w:r>
        <w:rPr>
          <w:b/>
        </w:rPr>
        <w:t>(soit par défaut)</w:t>
      </w:r>
      <w:r>
        <w:br/>
      </w:r>
      <w:r>
        <w:rPr>
          <w:rStyle w:val="soitChar"/>
          <w:u w:val="single"/>
        </w:rPr>
        <w:t>Laquées :</w:t>
      </w:r>
      <w:r>
        <w:rPr>
          <w:rStyle w:val="soitChar"/>
        </w:rPr>
        <w:t xml:space="preserve"> selon [Qualicoat] épaisseur ≥ 60 μm</w:t>
      </w:r>
    </w:p>
    <w:p w14:paraId="1D475491" w14:textId="77777777" w:rsidR="00772179" w:rsidRDefault="00000000">
      <w:pPr>
        <w:pStyle w:val="Author-eListParagraph"/>
        <w:numPr>
          <w:ilvl w:val="0"/>
          <w:numId w:val="578"/>
        </w:numPr>
      </w:pPr>
      <w:r>
        <w:rPr>
          <w:rStyle w:val="soitChar"/>
        </w:rPr>
        <w:t xml:space="preserve">Couleur : RAL n° </w:t>
      </w:r>
      <w:r>
        <w:rPr>
          <w:rStyle w:val="optioncarChar"/>
        </w:rPr>
        <w:t>***</w:t>
      </w:r>
    </w:p>
    <w:p w14:paraId="54840003" w14:textId="77777777" w:rsidR="00772179" w:rsidRDefault="00000000">
      <w:pPr>
        <w:pStyle w:val="Author-eListParagraph"/>
        <w:numPr>
          <w:ilvl w:val="0"/>
          <w:numId w:val="578"/>
        </w:numPr>
      </w:pPr>
      <w:r>
        <w:rPr>
          <w:rStyle w:val="soitChar"/>
        </w:rPr>
        <w:t xml:space="preserve">Brillance : </w:t>
      </w:r>
      <w:r>
        <w:rPr>
          <w:rStyle w:val="optioncarChar"/>
        </w:rPr>
        <w:t>70</w:t>
      </w:r>
      <w:r>
        <w:t xml:space="preserve"> (par défaut) </w:t>
      </w:r>
      <w:r>
        <w:rPr>
          <w:rStyle w:val="optioncarChar"/>
        </w:rPr>
        <w:t>/ ***</w:t>
      </w:r>
      <w:r>
        <w:rPr>
          <w:rStyle w:val="soitChar"/>
        </w:rPr>
        <w:t xml:space="preserve"> %.</w:t>
      </w:r>
    </w:p>
    <w:p w14:paraId="67015BEA" w14:textId="77777777" w:rsidR="00772179" w:rsidRDefault="00000000">
      <w:r>
        <w:rPr>
          <w:b/>
        </w:rPr>
        <w:t>(soit)</w:t>
      </w:r>
      <w:r>
        <w:br/>
      </w:r>
      <w:r>
        <w:rPr>
          <w:rStyle w:val="soitChar"/>
          <w:u w:val="single"/>
        </w:rPr>
        <w:t>Lasurées :</w:t>
      </w:r>
    </w:p>
    <w:p w14:paraId="3A2FFE45" w14:textId="77777777" w:rsidR="00772179" w:rsidRDefault="00000000">
      <w:pPr>
        <w:pStyle w:val="Author-eListParagraph"/>
        <w:numPr>
          <w:ilvl w:val="0"/>
          <w:numId w:val="579"/>
        </w:numPr>
      </w:pPr>
      <w:r>
        <w:rPr>
          <w:rStyle w:val="soitChar"/>
        </w:rPr>
        <w:t xml:space="preserve">Couleur : RAL n° </w:t>
      </w:r>
      <w:r>
        <w:rPr>
          <w:rStyle w:val="optioncarChar"/>
        </w:rPr>
        <w:t>***</w:t>
      </w:r>
    </w:p>
    <w:p w14:paraId="5E3A63DF" w14:textId="77777777" w:rsidR="00772179" w:rsidRDefault="00000000">
      <w:pPr>
        <w:pStyle w:val="Author-eListParagraph"/>
        <w:numPr>
          <w:ilvl w:val="0"/>
          <w:numId w:val="579"/>
        </w:numPr>
      </w:pPr>
      <w:r>
        <w:rPr>
          <w:rStyle w:val="soitChar"/>
        </w:rPr>
        <w:t xml:space="preserve">Finition : </w:t>
      </w:r>
      <w:r>
        <w:rPr>
          <w:rStyle w:val="optioncarChar"/>
        </w:rPr>
        <w:t xml:space="preserve">satinée </w:t>
      </w:r>
      <w:r>
        <w:t>(par défaut)</w:t>
      </w:r>
      <w:r>
        <w:rPr>
          <w:rStyle w:val="optioncarChar"/>
        </w:rPr>
        <w:t xml:space="preserve"> / brillante / mate / légèrement structurée / ***.</w:t>
      </w:r>
    </w:p>
    <w:p w14:paraId="011654CE" w14:textId="77777777" w:rsidR="00772179" w:rsidRDefault="00000000">
      <w:r>
        <w:rPr>
          <w:b/>
        </w:rPr>
        <w:t>(soit)</w:t>
      </w:r>
      <w:r>
        <w:br/>
      </w:r>
      <w:r>
        <w:rPr>
          <w:rStyle w:val="optioncarChar"/>
        </w:rPr>
        <w:t>***</w:t>
      </w:r>
    </w:p>
    <w:p w14:paraId="50C020CD" w14:textId="77777777" w:rsidR="00772179" w:rsidRDefault="00000000">
      <w:pPr>
        <w:pStyle w:val="pheading"/>
      </w:pPr>
      <w:r>
        <w:t>EXÉCUTION / MISE EN ŒUVRE</w:t>
      </w:r>
    </w:p>
    <w:p w14:paraId="75B73AA0" w14:textId="77777777" w:rsidR="00772179" w:rsidRDefault="00000000">
      <w:pPr>
        <w:pStyle w:val="pheading"/>
      </w:pPr>
      <w:r>
        <w:lastRenderedPageBreak/>
        <w:t>- Prescriptions générales</w:t>
      </w:r>
    </w:p>
    <w:p w14:paraId="115115D9" w14:textId="77777777" w:rsidR="00772179" w:rsidRDefault="00000000">
      <w:r>
        <w:t>Alimentation électrique voir 71.24.7 Équipements particuliers et/ou lot électricité.</w:t>
      </w:r>
    </w:p>
    <w:p w14:paraId="6EBFD3E9" w14:textId="77777777" w:rsidR="00772179" w:rsidRDefault="00000000">
      <w:pPr>
        <w:pStyle w:val="pheading"/>
      </w:pPr>
      <w:r>
        <w:t>- Échantillons</w:t>
      </w:r>
    </w:p>
    <w:p w14:paraId="503186AF" w14:textId="77777777" w:rsidR="00772179" w:rsidRDefault="00000000">
      <w:r>
        <w:t>L’entrepreneur soumet un échantillon du système qu’il propose à l’approbation de la direction du chantier.</w:t>
      </w:r>
    </w:p>
    <w:p w14:paraId="1708B6ED" w14:textId="77777777" w:rsidR="00772179" w:rsidRDefault="00000000">
      <w:pPr>
        <w:pStyle w:val="pheading"/>
      </w:pPr>
      <w:r>
        <w:t>MESURAGE</w:t>
      </w:r>
    </w:p>
    <w:p w14:paraId="445E6349" w14:textId="77777777" w:rsidR="00772179" w:rsidRDefault="00000000">
      <w:pPr>
        <w:pStyle w:val="pheading"/>
      </w:pPr>
      <w:r>
        <w:t>- unité de mesure:</w:t>
      </w:r>
    </w:p>
    <w:p w14:paraId="7413C268" w14:textId="77777777" w:rsidR="00772179" w:rsidRDefault="00000000">
      <w:r>
        <w:t>m²</w:t>
      </w:r>
    </w:p>
    <w:p w14:paraId="3515F649" w14:textId="77777777" w:rsidR="00772179" w:rsidRDefault="00000000">
      <w:pPr>
        <w:pStyle w:val="pheading"/>
      </w:pPr>
      <w:r>
        <w:t>- code de mesurage:</w:t>
      </w:r>
    </w:p>
    <w:p w14:paraId="26961494" w14:textId="77777777" w:rsidR="00772179" w:rsidRDefault="00000000">
      <w:pPr>
        <w:jc w:val="both"/>
      </w:pPr>
      <w:r>
        <w:t>Surface nette de protections à mettre en œuvre, éventuellement ventilée suivant le type de lame, de sens de pose, de finition, de type de manœuvre, etc...</w:t>
      </w:r>
    </w:p>
    <w:p w14:paraId="66A0453C" w14:textId="77777777" w:rsidR="00772179" w:rsidRDefault="00000000">
      <w:pPr>
        <w:pStyle w:val="pheading"/>
      </w:pPr>
      <w:r>
        <w:t>- nature du marché:</w:t>
      </w:r>
    </w:p>
    <w:p w14:paraId="2D8CF5F9" w14:textId="77777777" w:rsidR="00772179" w:rsidRDefault="00000000">
      <w:r>
        <w:t>QF</w:t>
      </w:r>
    </w:p>
    <w:p w14:paraId="13C52FDF" w14:textId="77777777" w:rsidR="00772179" w:rsidRDefault="00000000">
      <w:pPr>
        <w:pStyle w:val="Author-eSectionHeading6Numberless"/>
      </w:pPr>
      <w:bookmarkStart w:id="267" w:name="_Toc220490003"/>
      <w:r>
        <w:t>41.52.1b Protections solaires extérieures fixes à lamelles fixes CCTB 01.12</w:t>
      </w:r>
      <w:bookmarkEnd w:id="267"/>
    </w:p>
    <w:p w14:paraId="0ECA2C65" w14:textId="77777777" w:rsidR="00772179" w:rsidRDefault="00000000">
      <w:pPr>
        <w:pStyle w:val="pheading"/>
      </w:pPr>
      <w:r>
        <w:t>DESCRIPTION</w:t>
      </w:r>
    </w:p>
    <w:p w14:paraId="7D15E2DF" w14:textId="77777777" w:rsidR="00772179" w:rsidRDefault="00000000">
      <w:pPr>
        <w:pStyle w:val="pheading"/>
      </w:pPr>
      <w:r>
        <w:t>- Définition / Comprend</w:t>
      </w:r>
    </w:p>
    <w:p w14:paraId="4BAD9074" w14:textId="77777777" w:rsidR="00772179" w:rsidRDefault="00000000">
      <w:pPr>
        <w:jc w:val="both"/>
      </w:pPr>
      <w:r>
        <w:rPr>
          <w:color w:val="000000"/>
        </w:rPr>
        <w:t xml:space="preserve">Il s’agit de la fourniture et de la pose de protections solaires permanentes extérieures à lamelles fixes posées perpendiculairement ou parallèlement au plan de la façade et composées : </w:t>
      </w:r>
    </w:p>
    <w:p w14:paraId="5C8B8D54" w14:textId="77777777" w:rsidR="00772179" w:rsidRDefault="00000000">
      <w:pPr>
        <w:pStyle w:val="Author-eListParagraph"/>
        <w:numPr>
          <w:ilvl w:val="0"/>
          <w:numId w:val="580"/>
        </w:numPr>
      </w:pPr>
      <w:r>
        <w:rPr>
          <w:color w:val="000000"/>
        </w:rPr>
        <w:t>de profils porteurs avec consoles de fixation.</w:t>
      </w:r>
    </w:p>
    <w:p w14:paraId="70B9AB86" w14:textId="77777777" w:rsidR="00772179" w:rsidRDefault="00000000">
      <w:pPr>
        <w:pStyle w:val="Author-eListParagraph"/>
        <w:numPr>
          <w:ilvl w:val="0"/>
          <w:numId w:val="580"/>
        </w:numPr>
      </w:pPr>
      <w:r>
        <w:rPr>
          <w:color w:val="000000"/>
        </w:rPr>
        <w:t>de lames de protection solaire fixées ou clipsées aux profils de supports des lames.</w:t>
      </w:r>
    </w:p>
    <w:p w14:paraId="1DF635FB" w14:textId="77777777" w:rsidR="00772179" w:rsidRDefault="00000000">
      <w:pPr>
        <w:jc w:val="both"/>
      </w:pPr>
      <w:r>
        <w:t xml:space="preserve">Cet article comprend également l’étude par le fabricant : </w:t>
      </w:r>
    </w:p>
    <w:p w14:paraId="0981B33B" w14:textId="77777777" w:rsidR="00772179" w:rsidRDefault="00000000">
      <w:pPr>
        <w:pStyle w:val="Author-eListParagraph"/>
        <w:numPr>
          <w:ilvl w:val="0"/>
          <w:numId w:val="581"/>
        </w:numPr>
      </w:pPr>
      <w:r>
        <w:t>des plans de détail à établir sur base des plans de façade.</w:t>
      </w:r>
    </w:p>
    <w:p w14:paraId="4FC59821" w14:textId="77777777" w:rsidR="00772179" w:rsidRDefault="00000000">
      <w:pPr>
        <w:pStyle w:val="Author-eListParagraph"/>
        <w:numPr>
          <w:ilvl w:val="0"/>
          <w:numId w:val="581"/>
        </w:numPr>
      </w:pPr>
      <w:r>
        <w:t>du positionnement, de l’inclinaison et du pas des lames de protection solaire en fonction de l’orientation des baies à protéger et du modèle choisi par l’auteur de projet.</w:t>
      </w:r>
    </w:p>
    <w:p w14:paraId="6A69FE94" w14:textId="77777777" w:rsidR="00772179" w:rsidRDefault="00000000">
      <w:pPr>
        <w:jc w:val="both"/>
      </w:pPr>
      <w:r>
        <w:t xml:space="preserve">L’ensemble est à soumettre à l’approbation de la direction du chantier. </w:t>
      </w:r>
    </w:p>
    <w:p w14:paraId="7F5876BD" w14:textId="77777777" w:rsidR="00772179" w:rsidRDefault="00000000">
      <w:pPr>
        <w:pStyle w:val="pheading"/>
      </w:pPr>
      <w:r>
        <w:t>MATÉRIAUX</w:t>
      </w:r>
    </w:p>
    <w:p w14:paraId="7FD01DFA" w14:textId="77777777" w:rsidR="00772179" w:rsidRDefault="00000000">
      <w:pPr>
        <w:pStyle w:val="pheading"/>
      </w:pPr>
      <w:r>
        <w:t>- Caractéristiques générales</w:t>
      </w:r>
    </w:p>
    <w:p w14:paraId="6E1B009F" w14:textId="77777777" w:rsidR="00772179" w:rsidRDefault="00000000">
      <w:pPr>
        <w:jc w:val="both"/>
      </w:pPr>
      <w:r>
        <w:rPr>
          <w:b/>
        </w:rPr>
        <w:t>Cadre de support :</w:t>
      </w:r>
    </w:p>
    <w:p w14:paraId="1CF3B6E5" w14:textId="77777777" w:rsidR="00772179" w:rsidRDefault="00000000">
      <w:pPr>
        <w:jc w:val="both"/>
      </w:pPr>
      <w:r>
        <w:t>Profil de support en aluminium Al Mg Si 0.5 conforme à la [NBN EN 485-2:2016+A1] ou [NBN EN 1396] ancré à la structure de façade.</w:t>
      </w:r>
    </w:p>
    <w:p w14:paraId="4CBC2EA8" w14:textId="77777777" w:rsidR="00772179" w:rsidRDefault="00000000">
      <w:pPr>
        <w:pStyle w:val="Author-eListParagraph"/>
        <w:numPr>
          <w:ilvl w:val="0"/>
          <w:numId w:val="582"/>
        </w:numPr>
      </w:pPr>
      <w:r>
        <w:t xml:space="preserve">Positionnement par rapport au plan de la façade : </w:t>
      </w:r>
      <w:r>
        <w:rPr>
          <w:rStyle w:val="optioncarChar"/>
        </w:rPr>
        <w:t>horizontal / vertical.</w:t>
      </w:r>
    </w:p>
    <w:p w14:paraId="6A56B719" w14:textId="77777777" w:rsidR="00772179" w:rsidRDefault="00000000">
      <w:pPr>
        <w:pStyle w:val="Author-eListParagraph"/>
        <w:numPr>
          <w:ilvl w:val="0"/>
          <w:numId w:val="582"/>
        </w:numPr>
      </w:pPr>
      <w:r>
        <w:t>Dimensions : voir métré détaillé.</w:t>
      </w:r>
    </w:p>
    <w:p w14:paraId="1BBB32A5" w14:textId="77777777" w:rsidR="00772179" w:rsidRDefault="00000000">
      <w:pPr>
        <w:pStyle w:val="Author-eListParagraph"/>
        <w:numPr>
          <w:ilvl w:val="0"/>
          <w:numId w:val="582"/>
        </w:numPr>
      </w:pPr>
      <w:r>
        <w:t xml:space="preserve">Type : </w:t>
      </w:r>
      <w:r>
        <w:rPr>
          <w:rStyle w:val="optioncarChar"/>
        </w:rPr>
        <w:t>fourche de support des portes lamelles (pose horizontale) / profil de support des lamelles (pose verticale)</w:t>
      </w:r>
      <w:r>
        <w:t>.</w:t>
      </w:r>
    </w:p>
    <w:p w14:paraId="7792A161" w14:textId="77777777" w:rsidR="00772179" w:rsidRDefault="00000000">
      <w:pPr>
        <w:pStyle w:val="Author-eListParagraph"/>
        <w:numPr>
          <w:ilvl w:val="0"/>
          <w:numId w:val="582"/>
        </w:numPr>
      </w:pPr>
      <w:r>
        <w:t>Type d’ancrage et dimensions : à déterminer par le fabricant du système et à soumettre à l’approbation de la direction du chantier.</w:t>
      </w:r>
    </w:p>
    <w:p w14:paraId="4F460458" w14:textId="77777777" w:rsidR="00772179" w:rsidRDefault="00000000">
      <w:pPr>
        <w:pStyle w:val="Author-eListParagraph"/>
        <w:numPr>
          <w:ilvl w:val="0"/>
          <w:numId w:val="582"/>
        </w:numPr>
      </w:pPr>
      <w:r>
        <w:t xml:space="preserve">Cadre périphérique de finition : </w:t>
      </w:r>
      <w:r>
        <w:rPr>
          <w:rStyle w:val="optioncarChar"/>
        </w:rPr>
        <w:t xml:space="preserve">néant </w:t>
      </w:r>
      <w:r>
        <w:t>(par défaut &amp; en cas de pose verticale)</w:t>
      </w:r>
      <w:r>
        <w:rPr>
          <w:rStyle w:val="optioncarChar"/>
        </w:rPr>
        <w:t xml:space="preserve"> / 1 face (avant) / 2 faces (latérales) / 3 faces (avant et latérale) / 4 faces</w:t>
      </w:r>
      <w:r>
        <w:t>.</w:t>
      </w:r>
    </w:p>
    <w:p w14:paraId="4C21726B" w14:textId="77777777" w:rsidR="00772179" w:rsidRDefault="00000000">
      <w:r>
        <w:rPr>
          <w:b/>
        </w:rPr>
        <w:t>Porte lamelles :</w:t>
      </w:r>
    </w:p>
    <w:p w14:paraId="3A2F5387" w14:textId="77777777" w:rsidR="00772179" w:rsidRDefault="00000000">
      <w:pPr>
        <w:pStyle w:val="Author-eListParagraph"/>
        <w:numPr>
          <w:ilvl w:val="0"/>
          <w:numId w:val="583"/>
        </w:numPr>
      </w:pPr>
      <w:r>
        <w:t>Pièces intégrées dans le cadre de support en </w:t>
      </w:r>
      <w:r>
        <w:rPr>
          <w:rStyle w:val="optioncarChar"/>
        </w:rPr>
        <w:t xml:space="preserve">matière synthétique fabriqué à partir de polyamide renforcé de fibre de verre et résistante aux UV </w:t>
      </w:r>
      <w:r>
        <w:t>(par défaut)</w:t>
      </w:r>
      <w:r>
        <w:rPr>
          <w:rStyle w:val="optioncarChar"/>
        </w:rPr>
        <w:t xml:space="preserve"> / acier inoxydable / ***</w:t>
      </w:r>
      <w:r>
        <w:t>.</w:t>
      </w:r>
    </w:p>
    <w:p w14:paraId="44A44805" w14:textId="77777777" w:rsidR="00772179" w:rsidRDefault="00000000">
      <w:pPr>
        <w:pStyle w:val="Author-eListParagraph"/>
        <w:numPr>
          <w:ilvl w:val="0"/>
          <w:numId w:val="583"/>
        </w:numPr>
      </w:pPr>
      <w:r>
        <w:t xml:space="preserve">Fixation des lames : </w:t>
      </w:r>
      <w:r>
        <w:rPr>
          <w:rStyle w:val="optioncarChar"/>
        </w:rPr>
        <w:t xml:space="preserve">vissées </w:t>
      </w:r>
      <w:r>
        <w:t xml:space="preserve">(par défaut) </w:t>
      </w:r>
      <w:r>
        <w:rPr>
          <w:rStyle w:val="optioncarChar"/>
        </w:rPr>
        <w:t>/ clipsées / ***</w:t>
      </w:r>
      <w:r>
        <w:t>.</w:t>
      </w:r>
    </w:p>
    <w:p w14:paraId="6D6BC9D2" w14:textId="77777777" w:rsidR="00772179" w:rsidRDefault="00000000">
      <w:pPr>
        <w:pStyle w:val="Author-eListParagraph"/>
        <w:numPr>
          <w:ilvl w:val="0"/>
          <w:numId w:val="583"/>
        </w:numPr>
      </w:pPr>
      <w:r>
        <w:lastRenderedPageBreak/>
        <w:t xml:space="preserve">Position des lames par rapport au cadre de support : </w:t>
      </w:r>
      <w:r>
        <w:rPr>
          <w:rStyle w:val="optioncarChar"/>
        </w:rPr>
        <w:t xml:space="preserve">encadrées </w:t>
      </w:r>
      <w:r>
        <w:t>(par défaut)</w:t>
      </w:r>
      <w:r>
        <w:rPr>
          <w:rStyle w:val="optioncarChar"/>
        </w:rPr>
        <w:t xml:space="preserve"> / suspendues sous les cadres (pose horizontale) / superposées sur les cadres / ***</w:t>
      </w:r>
      <w:r>
        <w:t>.</w:t>
      </w:r>
    </w:p>
    <w:p w14:paraId="5B2A6D9B" w14:textId="77777777" w:rsidR="00772179" w:rsidRDefault="00000000">
      <w:pPr>
        <w:pStyle w:val="Author-eListParagraph"/>
        <w:numPr>
          <w:ilvl w:val="0"/>
          <w:numId w:val="583"/>
        </w:numPr>
      </w:pPr>
      <w:r>
        <w:t xml:space="preserve">Angle d’inclinaison des lames : </w:t>
      </w:r>
      <w:r>
        <w:rPr>
          <w:rStyle w:val="optioncarChar"/>
        </w:rPr>
        <w:t>suivant étude du fabricant à soumettre pour approbation</w:t>
      </w:r>
      <w:r>
        <w:t xml:space="preserve"> (par défaut) </w:t>
      </w:r>
      <w:r>
        <w:rPr>
          <w:rStyle w:val="optioncarChar"/>
        </w:rPr>
        <w:t>/ *** °</w:t>
      </w:r>
      <w:r>
        <w:t>.</w:t>
      </w:r>
    </w:p>
    <w:p w14:paraId="05BBB7F1" w14:textId="77777777" w:rsidR="00772179" w:rsidRDefault="00000000">
      <w:pPr>
        <w:pStyle w:val="Author-eListParagraph"/>
        <w:numPr>
          <w:ilvl w:val="0"/>
          <w:numId w:val="583"/>
        </w:numPr>
      </w:pPr>
      <w:r>
        <w:t xml:space="preserve">Pas des lames : </w:t>
      </w:r>
      <w:r>
        <w:rPr>
          <w:rStyle w:val="optioncarChar"/>
        </w:rPr>
        <w:t>suivant étude du fabricant à soumettre pour approbation</w:t>
      </w:r>
      <w:r>
        <w:t xml:space="preserve"> (par défaut)</w:t>
      </w:r>
      <w:r>
        <w:rPr>
          <w:rStyle w:val="optioncarChar"/>
        </w:rPr>
        <w:t xml:space="preserve"> / *** mm</w:t>
      </w:r>
      <w:r>
        <w:t>.</w:t>
      </w:r>
    </w:p>
    <w:p w14:paraId="0D8C49DB" w14:textId="77777777" w:rsidR="00772179" w:rsidRDefault="00000000">
      <w:pPr>
        <w:jc w:val="both"/>
      </w:pPr>
      <w:r>
        <w:rPr>
          <w:b/>
        </w:rPr>
        <w:t>Lamelles :</w:t>
      </w:r>
    </w:p>
    <w:p w14:paraId="59FA1DF7" w14:textId="77777777" w:rsidR="00772179" w:rsidRDefault="00000000">
      <w:pPr>
        <w:jc w:val="both"/>
      </w:pPr>
      <w:r>
        <w:t>Profils en aluminium extrudé Al Mg Si 0.5 conformes à la [NBN EN 485-2:2016+A1] ou [NBN EN 1396].</w:t>
      </w:r>
    </w:p>
    <w:p w14:paraId="6B5C6A8A" w14:textId="77777777" w:rsidR="00772179" w:rsidRDefault="00000000">
      <w:pPr>
        <w:pStyle w:val="Author-eListParagraph"/>
        <w:numPr>
          <w:ilvl w:val="0"/>
          <w:numId w:val="584"/>
        </w:numPr>
      </w:pPr>
      <w:r>
        <w:t xml:space="preserve">Sens de pose : </w:t>
      </w:r>
      <w:r>
        <w:rPr>
          <w:rStyle w:val="optioncarChar"/>
        </w:rPr>
        <w:t>horizontal / vertical</w:t>
      </w:r>
      <w:r>
        <w:t>.</w:t>
      </w:r>
    </w:p>
    <w:p w14:paraId="537019DB" w14:textId="77777777" w:rsidR="00772179" w:rsidRDefault="00000000">
      <w:pPr>
        <w:pStyle w:val="Author-eListParagraph"/>
        <w:numPr>
          <w:ilvl w:val="0"/>
          <w:numId w:val="584"/>
        </w:numPr>
      </w:pPr>
      <w:r>
        <w:t xml:space="preserve">Type : </w:t>
      </w:r>
      <w:r>
        <w:rPr>
          <w:rStyle w:val="optioncarChar"/>
        </w:rPr>
        <w:t>en forme de C</w:t>
      </w:r>
      <w:r>
        <w:t xml:space="preserve"> (par défaut)</w:t>
      </w:r>
      <w:r>
        <w:rPr>
          <w:rStyle w:val="optioncarChar"/>
        </w:rPr>
        <w:t xml:space="preserve"> / en forme de D / en forme d’ovale / en forme de parallélogramme / ovale / rectangulaire / en forme d’aile perforée / ***</w:t>
      </w:r>
      <w:r>
        <w:t>.</w:t>
      </w:r>
    </w:p>
    <w:p w14:paraId="0E9CCBCA" w14:textId="77777777" w:rsidR="00772179" w:rsidRDefault="00000000">
      <w:pPr>
        <w:jc w:val="both"/>
      </w:pPr>
      <w:r>
        <w:rPr>
          <w:b/>
        </w:rPr>
        <w:t>(soit par défaut)</w:t>
      </w:r>
    </w:p>
    <w:p w14:paraId="3042C712" w14:textId="77777777" w:rsidR="00772179" w:rsidRDefault="00000000">
      <w:pPr>
        <w:jc w:val="both"/>
      </w:pPr>
      <w:r>
        <w:rPr>
          <w:rStyle w:val="soitChar"/>
          <w:u w:val="single"/>
        </w:rPr>
        <w:t>En forme de C :</w:t>
      </w:r>
    </w:p>
    <w:p w14:paraId="0CDBCA58" w14:textId="77777777" w:rsidR="00772179" w:rsidRDefault="00000000">
      <w:pPr>
        <w:pStyle w:val="Author-eListParagraph"/>
        <w:numPr>
          <w:ilvl w:val="0"/>
          <w:numId w:val="585"/>
        </w:numPr>
      </w:pPr>
      <w:r>
        <w:rPr>
          <w:rStyle w:val="soitChar"/>
        </w:rPr>
        <w:t>Largeur (aussi appelée hauteur) des lames :</w:t>
      </w:r>
      <w:r>
        <w:t> </w:t>
      </w:r>
      <w:r>
        <w:rPr>
          <w:rStyle w:val="optioncarChar"/>
        </w:rPr>
        <w:t>100</w:t>
      </w:r>
      <w:r>
        <w:t xml:space="preserve"> (par défaut) </w:t>
      </w:r>
      <w:r>
        <w:rPr>
          <w:rStyle w:val="optioncarChar"/>
        </w:rPr>
        <w:t>/ 150 / ***  </w:t>
      </w:r>
      <w:r>
        <w:rPr>
          <w:rStyle w:val="soitChar"/>
        </w:rPr>
        <w:t>mm.</w:t>
      </w:r>
    </w:p>
    <w:p w14:paraId="66EE4C69" w14:textId="77777777" w:rsidR="00772179" w:rsidRDefault="00000000">
      <w:pPr>
        <w:jc w:val="both"/>
      </w:pPr>
      <w:r>
        <w:rPr>
          <w:b/>
        </w:rPr>
        <w:t>(soit)</w:t>
      </w:r>
    </w:p>
    <w:p w14:paraId="5EF64C0F" w14:textId="77777777" w:rsidR="00772179" w:rsidRDefault="00000000">
      <w:pPr>
        <w:jc w:val="both"/>
      </w:pPr>
      <w:r>
        <w:rPr>
          <w:rStyle w:val="soitChar"/>
          <w:u w:val="single"/>
        </w:rPr>
        <w:t>En forme de D :</w:t>
      </w:r>
    </w:p>
    <w:p w14:paraId="29D0B537" w14:textId="77777777" w:rsidR="00772179" w:rsidRDefault="00000000">
      <w:pPr>
        <w:pStyle w:val="Author-eListParagraph"/>
        <w:numPr>
          <w:ilvl w:val="0"/>
          <w:numId w:val="586"/>
        </w:numPr>
      </w:pPr>
      <w:r>
        <w:rPr>
          <w:rStyle w:val="soitChar"/>
        </w:rPr>
        <w:t>Largeur (aussi appelée hauteur) des lames :</w:t>
      </w:r>
      <w:r>
        <w:t> </w:t>
      </w:r>
      <w:r>
        <w:rPr>
          <w:rStyle w:val="optioncarChar"/>
        </w:rPr>
        <w:t xml:space="preserve">100 </w:t>
      </w:r>
      <w:r>
        <w:t xml:space="preserve">(par défaut) </w:t>
      </w:r>
      <w:r>
        <w:rPr>
          <w:rStyle w:val="optioncarChar"/>
        </w:rPr>
        <w:t>/ 150 / ***</w:t>
      </w:r>
      <w:r>
        <w:t>  </w:t>
      </w:r>
      <w:r>
        <w:rPr>
          <w:rStyle w:val="soitChar"/>
        </w:rPr>
        <w:t>mm</w:t>
      </w:r>
      <w:r>
        <w:t>.</w:t>
      </w:r>
    </w:p>
    <w:p w14:paraId="46C4C9AF" w14:textId="77777777" w:rsidR="00772179" w:rsidRDefault="00000000">
      <w:pPr>
        <w:jc w:val="both"/>
      </w:pPr>
      <w:r>
        <w:rPr>
          <w:b/>
        </w:rPr>
        <w:t>(soit)</w:t>
      </w:r>
    </w:p>
    <w:p w14:paraId="067A1C17" w14:textId="77777777" w:rsidR="00772179" w:rsidRDefault="00000000">
      <w:pPr>
        <w:jc w:val="both"/>
      </w:pPr>
      <w:r>
        <w:rPr>
          <w:rStyle w:val="soitChar"/>
          <w:u w:val="single"/>
        </w:rPr>
        <w:t>En forme d’ovale :</w:t>
      </w:r>
    </w:p>
    <w:p w14:paraId="159445D8" w14:textId="77777777" w:rsidR="00772179" w:rsidRDefault="00000000">
      <w:pPr>
        <w:pStyle w:val="Author-eListParagraph"/>
        <w:numPr>
          <w:ilvl w:val="0"/>
          <w:numId w:val="587"/>
        </w:numPr>
      </w:pPr>
      <w:r>
        <w:rPr>
          <w:rStyle w:val="soitChar"/>
        </w:rPr>
        <w:t>Largeur (aussi appelée hauteur) des lames :</w:t>
      </w:r>
      <w:r>
        <w:t> </w:t>
      </w:r>
      <w:r>
        <w:rPr>
          <w:rStyle w:val="optioncarChar"/>
        </w:rPr>
        <w:t>100</w:t>
      </w:r>
      <w:r>
        <w:t xml:space="preserve"> (par défaut)</w:t>
      </w:r>
      <w:r>
        <w:rPr>
          <w:rStyle w:val="optioncarChar"/>
        </w:rPr>
        <w:t xml:space="preserve"> / 150 / ***</w:t>
      </w:r>
      <w:r>
        <w:t>  </w:t>
      </w:r>
      <w:r>
        <w:rPr>
          <w:rStyle w:val="soitChar"/>
        </w:rPr>
        <w:t>mm.</w:t>
      </w:r>
    </w:p>
    <w:p w14:paraId="74483EBD" w14:textId="77777777" w:rsidR="00772179" w:rsidRDefault="00000000">
      <w:pPr>
        <w:jc w:val="both"/>
      </w:pPr>
      <w:r>
        <w:rPr>
          <w:b/>
        </w:rPr>
        <w:t>(soit)</w:t>
      </w:r>
    </w:p>
    <w:p w14:paraId="129BDF9C" w14:textId="77777777" w:rsidR="00772179" w:rsidRDefault="00000000">
      <w:pPr>
        <w:jc w:val="both"/>
      </w:pPr>
      <w:r>
        <w:rPr>
          <w:rStyle w:val="soitChar"/>
          <w:u w:val="single"/>
        </w:rPr>
        <w:t>En forme de parallélogramme :</w:t>
      </w:r>
    </w:p>
    <w:p w14:paraId="00DE1C66" w14:textId="77777777" w:rsidR="00772179" w:rsidRDefault="00000000">
      <w:pPr>
        <w:pStyle w:val="Author-eListParagraph"/>
        <w:numPr>
          <w:ilvl w:val="0"/>
          <w:numId w:val="588"/>
        </w:numPr>
      </w:pPr>
      <w:r>
        <w:rPr>
          <w:rStyle w:val="soitChar"/>
        </w:rPr>
        <w:t>Largeur (aussi appelée hauteur) des lames :</w:t>
      </w:r>
      <w:r>
        <w:t> </w:t>
      </w:r>
      <w:r>
        <w:rPr>
          <w:rStyle w:val="optioncarChar"/>
        </w:rPr>
        <w:t>200</w:t>
      </w:r>
      <w:r>
        <w:t xml:space="preserve"> (par défaut) </w:t>
      </w:r>
      <w:r>
        <w:rPr>
          <w:rStyle w:val="optioncarChar"/>
        </w:rPr>
        <w:t>/ 300 / ***</w:t>
      </w:r>
      <w:r>
        <w:t>  </w:t>
      </w:r>
      <w:r>
        <w:rPr>
          <w:rStyle w:val="soitChar"/>
        </w:rPr>
        <w:t>mm.</w:t>
      </w:r>
    </w:p>
    <w:p w14:paraId="63F4156C" w14:textId="77777777" w:rsidR="00772179" w:rsidRDefault="00000000">
      <w:pPr>
        <w:jc w:val="both"/>
      </w:pPr>
      <w:r>
        <w:rPr>
          <w:b/>
        </w:rPr>
        <w:t>(soit)</w:t>
      </w:r>
    </w:p>
    <w:p w14:paraId="25E6BC0F" w14:textId="77777777" w:rsidR="00772179" w:rsidRDefault="00000000">
      <w:pPr>
        <w:jc w:val="both"/>
      </w:pPr>
      <w:r>
        <w:rPr>
          <w:rStyle w:val="soitChar"/>
          <w:u w:val="single"/>
        </w:rPr>
        <w:t>Ovale :</w:t>
      </w:r>
    </w:p>
    <w:p w14:paraId="1FC95901" w14:textId="77777777" w:rsidR="00772179" w:rsidRDefault="00000000">
      <w:pPr>
        <w:pStyle w:val="Author-eListParagraph"/>
        <w:numPr>
          <w:ilvl w:val="0"/>
          <w:numId w:val="589"/>
        </w:numPr>
      </w:pPr>
      <w:r>
        <w:rPr>
          <w:rStyle w:val="soitChar"/>
        </w:rPr>
        <w:t>Largeur (aussi appelée hauteur) des lames :</w:t>
      </w:r>
      <w:r>
        <w:t> </w:t>
      </w:r>
      <w:r>
        <w:rPr>
          <w:rStyle w:val="optioncarChar"/>
        </w:rPr>
        <w:t xml:space="preserve">100 </w:t>
      </w:r>
      <w:r>
        <w:t xml:space="preserve">(par défaut) </w:t>
      </w:r>
      <w:r>
        <w:rPr>
          <w:rStyle w:val="optioncarChar"/>
        </w:rPr>
        <w:t>/ 150 / 200 / 250 / 300 / ***</w:t>
      </w:r>
      <w:r>
        <w:t>  </w:t>
      </w:r>
      <w:r>
        <w:rPr>
          <w:rStyle w:val="soitChar"/>
        </w:rPr>
        <w:t>mm.</w:t>
      </w:r>
    </w:p>
    <w:p w14:paraId="0A682EC5" w14:textId="77777777" w:rsidR="00772179" w:rsidRDefault="00000000">
      <w:pPr>
        <w:jc w:val="both"/>
      </w:pPr>
      <w:r>
        <w:rPr>
          <w:b/>
        </w:rPr>
        <w:t>(soit)</w:t>
      </w:r>
    </w:p>
    <w:p w14:paraId="59D6DFE8" w14:textId="77777777" w:rsidR="00772179" w:rsidRDefault="00000000">
      <w:pPr>
        <w:jc w:val="both"/>
      </w:pPr>
      <w:r>
        <w:rPr>
          <w:rStyle w:val="soitChar"/>
          <w:u w:val="single"/>
        </w:rPr>
        <w:t>Rectangulaire :</w:t>
      </w:r>
    </w:p>
    <w:p w14:paraId="2358A4CB" w14:textId="77777777" w:rsidR="00772179" w:rsidRDefault="00000000">
      <w:pPr>
        <w:pStyle w:val="Author-eListParagraph"/>
        <w:numPr>
          <w:ilvl w:val="0"/>
          <w:numId w:val="590"/>
        </w:numPr>
      </w:pPr>
      <w:r>
        <w:rPr>
          <w:rStyle w:val="soitChar"/>
        </w:rPr>
        <w:t>Largeur (aussi appelée hauteur) des lames :</w:t>
      </w:r>
      <w:r>
        <w:t> </w:t>
      </w:r>
      <w:r>
        <w:rPr>
          <w:rStyle w:val="optioncarChar"/>
        </w:rPr>
        <w:t xml:space="preserve">100 </w:t>
      </w:r>
      <w:r>
        <w:t>(par défaut)</w:t>
      </w:r>
      <w:r>
        <w:rPr>
          <w:rStyle w:val="optioncarChar"/>
        </w:rPr>
        <w:t xml:space="preserve"> / 150 / 200 / 300 / 400 / ***</w:t>
      </w:r>
      <w:r>
        <w:t>  </w:t>
      </w:r>
      <w:r>
        <w:rPr>
          <w:rStyle w:val="soitChar"/>
        </w:rPr>
        <w:t>mm.</w:t>
      </w:r>
    </w:p>
    <w:p w14:paraId="1AB6CD99" w14:textId="77777777" w:rsidR="00772179" w:rsidRDefault="00000000">
      <w:pPr>
        <w:jc w:val="both"/>
      </w:pPr>
      <w:r>
        <w:rPr>
          <w:b/>
        </w:rPr>
        <w:t>(soit)</w:t>
      </w:r>
    </w:p>
    <w:p w14:paraId="71FA35DA" w14:textId="77777777" w:rsidR="00772179" w:rsidRDefault="00000000">
      <w:pPr>
        <w:jc w:val="both"/>
      </w:pPr>
      <w:r>
        <w:rPr>
          <w:rStyle w:val="soitChar"/>
          <w:u w:val="single"/>
        </w:rPr>
        <w:t>En forme d’aile perforée :</w:t>
      </w:r>
    </w:p>
    <w:p w14:paraId="26F0F325" w14:textId="77777777" w:rsidR="00772179" w:rsidRDefault="00000000">
      <w:pPr>
        <w:pStyle w:val="Author-eListParagraph"/>
        <w:numPr>
          <w:ilvl w:val="0"/>
          <w:numId w:val="591"/>
        </w:numPr>
      </w:pPr>
      <w:r>
        <w:rPr>
          <w:rStyle w:val="soitChar"/>
        </w:rPr>
        <w:t>Largeur (aussi appelée hauteur) des lames :</w:t>
      </w:r>
      <w:r>
        <w:t> </w:t>
      </w:r>
      <w:r>
        <w:rPr>
          <w:rStyle w:val="optioncarChar"/>
        </w:rPr>
        <w:t xml:space="preserve">500 </w:t>
      </w:r>
      <w:r>
        <w:t>(par défaut)</w:t>
      </w:r>
      <w:r>
        <w:rPr>
          <w:rStyle w:val="optioncarChar"/>
        </w:rPr>
        <w:t xml:space="preserve"> / 600 / ***</w:t>
      </w:r>
      <w:r>
        <w:t>  </w:t>
      </w:r>
      <w:r>
        <w:rPr>
          <w:rStyle w:val="soitChar"/>
        </w:rPr>
        <w:t>mm.</w:t>
      </w:r>
    </w:p>
    <w:p w14:paraId="04AC8B2B" w14:textId="77777777" w:rsidR="00772179" w:rsidRDefault="00000000">
      <w:pPr>
        <w:pStyle w:val="Author-eListParagraph"/>
        <w:numPr>
          <w:ilvl w:val="0"/>
          <w:numId w:val="591"/>
        </w:numPr>
      </w:pPr>
      <w:r>
        <w:rPr>
          <w:rStyle w:val="soitChar"/>
        </w:rPr>
        <w:t>Diamètre des perforations :</w:t>
      </w:r>
      <w:r>
        <w:t> </w:t>
      </w:r>
      <w:r>
        <w:rPr>
          <w:rStyle w:val="optioncarChar"/>
        </w:rPr>
        <w:t xml:space="preserve">10 </w:t>
      </w:r>
      <w:r>
        <w:t>(par défaut)</w:t>
      </w:r>
      <w:r>
        <w:rPr>
          <w:rStyle w:val="optioncarChar"/>
        </w:rPr>
        <w:t xml:space="preserve"> / ***</w:t>
      </w:r>
      <w:r>
        <w:t>  </w:t>
      </w:r>
      <w:r>
        <w:rPr>
          <w:rStyle w:val="soitChar"/>
        </w:rPr>
        <w:t>mm.</w:t>
      </w:r>
    </w:p>
    <w:p w14:paraId="6A6390FD" w14:textId="77777777" w:rsidR="00772179" w:rsidRDefault="00000000">
      <w:pPr>
        <w:jc w:val="both"/>
      </w:pPr>
      <w:r>
        <w:rPr>
          <w:b/>
        </w:rPr>
        <w:t>(soit)</w:t>
      </w:r>
    </w:p>
    <w:p w14:paraId="08BE25BC" w14:textId="77777777" w:rsidR="00772179" w:rsidRDefault="00000000">
      <w:pPr>
        <w:jc w:val="both"/>
      </w:pPr>
      <w:r>
        <w:rPr>
          <w:rStyle w:val="optioncarChar"/>
        </w:rPr>
        <w:t>***</w:t>
      </w:r>
    </w:p>
    <w:p w14:paraId="01BA5F63" w14:textId="77777777" w:rsidR="00772179" w:rsidRDefault="00000000">
      <w:pPr>
        <w:jc w:val="both"/>
      </w:pPr>
      <w:r>
        <w:rPr>
          <w:b/>
        </w:rPr>
        <w:t>Aspects environnementaux</w:t>
      </w:r>
    </w:p>
    <w:p w14:paraId="65EA1462" w14:textId="77777777" w:rsidR="00772179" w:rsidRDefault="00000000">
      <w:pPr>
        <w:pStyle w:val="Author-eListParagraph"/>
        <w:numPr>
          <w:ilvl w:val="0"/>
          <w:numId w:val="592"/>
        </w:numPr>
        <w:jc w:val="both"/>
      </w:pPr>
      <w:r>
        <w:t xml:space="preserve">Matériaux disposant d’un label suivant prescriptions du 02.42.6 Labels environnementaux : </w:t>
      </w:r>
      <w:r>
        <w:rPr>
          <w:rStyle w:val="optioncarChar"/>
        </w:rPr>
        <w:t>oui / non </w:t>
      </w:r>
    </w:p>
    <w:p w14:paraId="601CCF04" w14:textId="77777777" w:rsidR="00772179" w:rsidRDefault="00000000">
      <w:pPr>
        <w:pStyle w:val="Author-eListParagraph"/>
        <w:numPr>
          <w:ilvl w:val="0"/>
          <w:numId w:val="592"/>
        </w:numPr>
        <w:jc w:val="both"/>
      </w:pPr>
      <w:r>
        <w:t xml:space="preserve">Matériaux recyclés entrant dans la fabrication du produit : </w:t>
      </w:r>
      <w:r>
        <w:rPr>
          <w:rStyle w:val="optioncarChar"/>
        </w:rPr>
        <w:t>oui / non </w:t>
      </w:r>
    </w:p>
    <w:p w14:paraId="4C3EAE02" w14:textId="77777777" w:rsidR="00772179" w:rsidRDefault="00000000">
      <w:pPr>
        <w:pStyle w:val="pheading"/>
      </w:pPr>
      <w:r>
        <w:t>- Finitions</w:t>
      </w:r>
    </w:p>
    <w:p w14:paraId="1BA66F9A" w14:textId="77777777" w:rsidR="00772179" w:rsidRDefault="00000000">
      <w:r>
        <w:rPr>
          <w:b/>
        </w:rPr>
        <w:t>Cadre de support :</w:t>
      </w:r>
      <w:r>
        <w:br/>
      </w:r>
      <w:r>
        <w:rPr>
          <w:rStyle w:val="optioncarChar"/>
        </w:rPr>
        <w:t>Anodisé</w:t>
      </w:r>
      <w:r>
        <w:t xml:space="preserve"> (par défaut)</w:t>
      </w:r>
      <w:r>
        <w:rPr>
          <w:rStyle w:val="optioncarChar"/>
        </w:rPr>
        <w:t xml:space="preserve"> / Thermolaqué par poudrage polyester / ***</w:t>
      </w:r>
      <w:r>
        <w:t>.</w:t>
      </w:r>
    </w:p>
    <w:p w14:paraId="5B14177F" w14:textId="77777777" w:rsidR="00772179" w:rsidRDefault="00000000">
      <w:r>
        <w:rPr>
          <w:b/>
        </w:rPr>
        <w:lastRenderedPageBreak/>
        <w:t>(soit par défaut)</w:t>
      </w:r>
      <w:r>
        <w:br/>
      </w:r>
      <w:r>
        <w:rPr>
          <w:rStyle w:val="soitChar"/>
          <w:u w:val="single"/>
        </w:rPr>
        <w:t>Anodisé :</w:t>
      </w:r>
      <w:r>
        <w:rPr>
          <w:rStyle w:val="soitChar"/>
        </w:rPr>
        <w:t xml:space="preserve"> selon [Qualanod] épaisseur ≥ 18 μm</w:t>
      </w:r>
    </w:p>
    <w:p w14:paraId="2CD657F4" w14:textId="77777777" w:rsidR="00772179" w:rsidRDefault="00000000">
      <w:pPr>
        <w:pStyle w:val="Author-eListParagraph"/>
        <w:numPr>
          <w:ilvl w:val="0"/>
          <w:numId w:val="593"/>
        </w:numPr>
      </w:pPr>
      <w:r>
        <w:rPr>
          <w:rStyle w:val="soitChar"/>
        </w:rPr>
        <w:t>Couleur :</w:t>
      </w:r>
      <w:r>
        <w:rPr>
          <w:rStyle w:val="optioncarChar"/>
        </w:rPr>
        <w:t xml:space="preserve"> naturelle</w:t>
      </w:r>
      <w:r>
        <w:t xml:space="preserve"> (par défaut)</w:t>
      </w:r>
      <w:r>
        <w:rPr>
          <w:rStyle w:val="optioncarChar"/>
        </w:rPr>
        <w:t xml:space="preserve"> / ***.</w:t>
      </w:r>
    </w:p>
    <w:p w14:paraId="35F8E5F0" w14:textId="77777777" w:rsidR="00772179" w:rsidRDefault="00000000">
      <w:pPr>
        <w:pStyle w:val="Author-eListParagraph"/>
        <w:numPr>
          <w:ilvl w:val="0"/>
          <w:numId w:val="593"/>
        </w:numPr>
      </w:pPr>
      <w:r>
        <w:rPr>
          <w:rStyle w:val="soitChar"/>
        </w:rPr>
        <w:t>Finition :</w:t>
      </w:r>
      <w:r>
        <w:rPr>
          <w:rStyle w:val="optioncarChar"/>
        </w:rPr>
        <w:t xml:space="preserve">mate </w:t>
      </w:r>
      <w:r>
        <w:t>(par défaut)</w:t>
      </w:r>
      <w:r>
        <w:rPr>
          <w:rStyle w:val="optioncarChar"/>
        </w:rPr>
        <w:t xml:space="preserve"> / ***.</w:t>
      </w:r>
    </w:p>
    <w:p w14:paraId="2899E7CE" w14:textId="77777777" w:rsidR="00772179" w:rsidRDefault="00000000">
      <w:r>
        <w:rPr>
          <w:b/>
        </w:rPr>
        <w:t>(soit)</w:t>
      </w:r>
      <w:r>
        <w:br/>
      </w:r>
      <w:r>
        <w:rPr>
          <w:rStyle w:val="soitChar"/>
          <w:u w:val="single"/>
        </w:rPr>
        <w:t>Thermolaqué par poudrage polyester</w:t>
      </w:r>
      <w:r>
        <w:rPr>
          <w:rStyle w:val="soitChar"/>
        </w:rPr>
        <w:t xml:space="preserve"> : selon [Qualicoat] épaisseur ≥ 60 μm</w:t>
      </w:r>
    </w:p>
    <w:p w14:paraId="335E857B" w14:textId="77777777" w:rsidR="00772179" w:rsidRDefault="00000000">
      <w:pPr>
        <w:pStyle w:val="Author-eListParagraph"/>
        <w:numPr>
          <w:ilvl w:val="0"/>
          <w:numId w:val="594"/>
        </w:numPr>
      </w:pPr>
      <w:r>
        <w:rPr>
          <w:rStyle w:val="soitChar"/>
        </w:rPr>
        <w:t xml:space="preserve">Couleur :RAL n° </w:t>
      </w:r>
      <w:r>
        <w:rPr>
          <w:rStyle w:val="optioncarChar"/>
        </w:rPr>
        <w:t>***</w:t>
      </w:r>
    </w:p>
    <w:p w14:paraId="4C3389A3" w14:textId="77777777" w:rsidR="00772179" w:rsidRDefault="00000000">
      <w:pPr>
        <w:pStyle w:val="Author-eListParagraph"/>
        <w:numPr>
          <w:ilvl w:val="0"/>
          <w:numId w:val="594"/>
        </w:numPr>
      </w:pPr>
      <w:r>
        <w:rPr>
          <w:rStyle w:val="soitChar"/>
        </w:rPr>
        <w:t>Brillance :</w:t>
      </w:r>
      <w:r>
        <w:t xml:space="preserve">  </w:t>
      </w:r>
      <w:r>
        <w:rPr>
          <w:rStyle w:val="optioncarChar"/>
        </w:rPr>
        <w:t xml:space="preserve">70 </w:t>
      </w:r>
      <w:r>
        <w:t>(par défaut)</w:t>
      </w:r>
      <w:r>
        <w:rPr>
          <w:rStyle w:val="optioncarChar"/>
        </w:rPr>
        <w:t xml:space="preserve"> / *** %.</w:t>
      </w:r>
    </w:p>
    <w:p w14:paraId="703416C4" w14:textId="77777777" w:rsidR="00772179" w:rsidRDefault="00000000">
      <w:r>
        <w:rPr>
          <w:b/>
        </w:rPr>
        <w:t>(soit)</w:t>
      </w:r>
      <w:r>
        <w:br/>
      </w:r>
      <w:r>
        <w:rPr>
          <w:rStyle w:val="optioncarChar"/>
        </w:rPr>
        <w:t>***</w:t>
      </w:r>
    </w:p>
    <w:p w14:paraId="195A5444" w14:textId="77777777" w:rsidR="00772179" w:rsidRDefault="00000000">
      <w:r>
        <w:rPr>
          <w:b/>
        </w:rPr>
        <w:t>Porte lamelles :</w:t>
      </w:r>
      <w:r>
        <w:br/>
      </w:r>
      <w:r>
        <w:rPr>
          <w:rStyle w:val="optioncarChar"/>
        </w:rPr>
        <w:t xml:space="preserve">Polyamide </w:t>
      </w:r>
      <w:r>
        <w:t xml:space="preserve">(par défaut) </w:t>
      </w:r>
      <w:r>
        <w:rPr>
          <w:rStyle w:val="optioncarChar"/>
        </w:rPr>
        <w:t>/ Acier inoxydable / ***.</w:t>
      </w:r>
    </w:p>
    <w:p w14:paraId="395F804E" w14:textId="77777777" w:rsidR="00772179" w:rsidRDefault="00000000">
      <w:r>
        <w:rPr>
          <w:b/>
        </w:rPr>
        <w:t>(soit par défaut)</w:t>
      </w:r>
      <w:r>
        <w:br/>
      </w:r>
      <w:r>
        <w:rPr>
          <w:rStyle w:val="soitChar"/>
          <w:u w:val="single"/>
        </w:rPr>
        <w:t>Polyamide :</w:t>
      </w:r>
    </w:p>
    <w:p w14:paraId="1FCA14BE" w14:textId="77777777" w:rsidR="00772179" w:rsidRDefault="00000000">
      <w:pPr>
        <w:pStyle w:val="Author-eListParagraph"/>
        <w:numPr>
          <w:ilvl w:val="0"/>
          <w:numId w:val="595"/>
        </w:numPr>
      </w:pPr>
      <w:r>
        <w:rPr>
          <w:rStyle w:val="soitChar"/>
        </w:rPr>
        <w:t>Couleur :</w:t>
      </w:r>
      <w:r>
        <w:t xml:space="preserve">  </w:t>
      </w:r>
      <w:r>
        <w:rPr>
          <w:rStyle w:val="optioncarChar"/>
        </w:rPr>
        <w:t xml:space="preserve">noir </w:t>
      </w:r>
      <w:r>
        <w:t>(par défaut)</w:t>
      </w:r>
      <w:r>
        <w:rPr>
          <w:rStyle w:val="optioncarChar"/>
        </w:rPr>
        <w:t xml:space="preserve"> / ***.</w:t>
      </w:r>
    </w:p>
    <w:p w14:paraId="268A7FC9" w14:textId="77777777" w:rsidR="00772179" w:rsidRDefault="00000000">
      <w:r>
        <w:rPr>
          <w:b/>
        </w:rPr>
        <w:t>(soit)</w:t>
      </w:r>
      <w:r>
        <w:br/>
      </w:r>
      <w:r>
        <w:rPr>
          <w:rStyle w:val="soitChar"/>
          <w:u w:val="single"/>
        </w:rPr>
        <w:t>Acier inoxydable :</w:t>
      </w:r>
    </w:p>
    <w:p w14:paraId="2A5515CA" w14:textId="77777777" w:rsidR="00772179" w:rsidRDefault="00000000">
      <w:pPr>
        <w:pStyle w:val="Author-eListParagraph"/>
        <w:numPr>
          <w:ilvl w:val="0"/>
          <w:numId w:val="596"/>
        </w:numPr>
      </w:pPr>
      <w:r>
        <w:rPr>
          <w:rStyle w:val="soitChar"/>
        </w:rPr>
        <w:t>Couleur :</w:t>
      </w:r>
      <w:r>
        <w:t>  </w:t>
      </w:r>
      <w:r>
        <w:rPr>
          <w:rStyle w:val="optioncarChar"/>
        </w:rPr>
        <w:t>naturelle</w:t>
      </w:r>
      <w:r>
        <w:t xml:space="preserve"> (par défaut) </w:t>
      </w:r>
      <w:r>
        <w:rPr>
          <w:rStyle w:val="optioncarChar"/>
        </w:rPr>
        <w:t>/ ***.</w:t>
      </w:r>
    </w:p>
    <w:p w14:paraId="1D31C312" w14:textId="77777777" w:rsidR="00772179" w:rsidRDefault="00000000">
      <w:pPr>
        <w:pStyle w:val="Author-eListParagraph"/>
        <w:numPr>
          <w:ilvl w:val="0"/>
          <w:numId w:val="596"/>
        </w:numPr>
      </w:pPr>
      <w:r>
        <w:rPr>
          <w:rStyle w:val="soitChar"/>
        </w:rPr>
        <w:t>Finition :</w:t>
      </w:r>
      <w:r>
        <w:t>  </w:t>
      </w:r>
      <w:r>
        <w:rPr>
          <w:rStyle w:val="optioncarChar"/>
        </w:rPr>
        <w:t xml:space="preserve">brillante </w:t>
      </w:r>
      <w:r>
        <w:t>(par défaut)</w:t>
      </w:r>
      <w:r>
        <w:rPr>
          <w:rStyle w:val="optioncarChar"/>
        </w:rPr>
        <w:t xml:space="preserve"> / ***.</w:t>
      </w:r>
    </w:p>
    <w:p w14:paraId="19155778" w14:textId="77777777" w:rsidR="00772179" w:rsidRDefault="00000000">
      <w:r>
        <w:rPr>
          <w:b/>
        </w:rPr>
        <w:t>(soit)</w:t>
      </w:r>
      <w:r>
        <w:br/>
      </w:r>
      <w:r>
        <w:rPr>
          <w:rStyle w:val="optioncarChar"/>
        </w:rPr>
        <w:t>***</w:t>
      </w:r>
    </w:p>
    <w:p w14:paraId="62C94679" w14:textId="77777777" w:rsidR="00772179" w:rsidRDefault="00000000">
      <w:r>
        <w:rPr>
          <w:b/>
        </w:rPr>
        <w:t>Lamelles</w:t>
      </w:r>
      <w:r>
        <w:br/>
      </w:r>
      <w:r>
        <w:rPr>
          <w:rStyle w:val="optioncarChar"/>
        </w:rPr>
        <w:t>Anodisées</w:t>
      </w:r>
      <w:r>
        <w:t xml:space="preserve"> (par défaut)</w:t>
      </w:r>
      <w:r>
        <w:rPr>
          <w:rStyle w:val="optioncarChar"/>
        </w:rPr>
        <w:t xml:space="preserve"> / Thermolaquées par poudrage polyester / ***.</w:t>
      </w:r>
    </w:p>
    <w:p w14:paraId="5EA16C6B" w14:textId="77777777" w:rsidR="00772179" w:rsidRDefault="00000000">
      <w:r>
        <w:rPr>
          <w:b/>
        </w:rPr>
        <w:t>(soit par défaut)</w:t>
      </w:r>
      <w:r>
        <w:br/>
      </w:r>
      <w:r>
        <w:rPr>
          <w:rStyle w:val="soitChar"/>
          <w:u w:val="single"/>
        </w:rPr>
        <w:t>Anodisées :</w:t>
      </w:r>
      <w:r>
        <w:rPr>
          <w:rStyle w:val="soitChar"/>
        </w:rPr>
        <w:t xml:space="preserve"> selon [Qualanod] épaisseur ≥ 18 μm</w:t>
      </w:r>
    </w:p>
    <w:p w14:paraId="71C92441" w14:textId="77777777" w:rsidR="00772179" w:rsidRDefault="00000000">
      <w:pPr>
        <w:pStyle w:val="Author-eListParagraph"/>
        <w:numPr>
          <w:ilvl w:val="0"/>
          <w:numId w:val="597"/>
        </w:numPr>
      </w:pPr>
      <w:r>
        <w:rPr>
          <w:rStyle w:val="soitChar"/>
        </w:rPr>
        <w:t>Couleur :</w:t>
      </w:r>
      <w:r>
        <w:t xml:space="preserve">  </w:t>
      </w:r>
      <w:r>
        <w:rPr>
          <w:rStyle w:val="optioncarChar"/>
        </w:rPr>
        <w:t xml:space="preserve">naturelle </w:t>
      </w:r>
      <w:r>
        <w:t>(par défaut)</w:t>
      </w:r>
      <w:r>
        <w:rPr>
          <w:rStyle w:val="optioncarChar"/>
        </w:rPr>
        <w:t xml:space="preserve"> / ***.</w:t>
      </w:r>
    </w:p>
    <w:p w14:paraId="4C80B438" w14:textId="77777777" w:rsidR="00772179" w:rsidRDefault="00000000">
      <w:pPr>
        <w:pStyle w:val="Author-eListParagraph"/>
        <w:numPr>
          <w:ilvl w:val="0"/>
          <w:numId w:val="597"/>
        </w:numPr>
      </w:pPr>
      <w:r>
        <w:rPr>
          <w:rStyle w:val="soitChar"/>
        </w:rPr>
        <w:t>Finition :</w:t>
      </w:r>
      <w:r>
        <w:t xml:space="preserve">  </w:t>
      </w:r>
      <w:r>
        <w:rPr>
          <w:rStyle w:val="optioncarChar"/>
        </w:rPr>
        <w:t>mate</w:t>
      </w:r>
      <w:r>
        <w:t xml:space="preserve"> (par défaut) </w:t>
      </w:r>
      <w:r>
        <w:rPr>
          <w:rStyle w:val="optioncarChar"/>
        </w:rPr>
        <w:t>/ ***.</w:t>
      </w:r>
    </w:p>
    <w:p w14:paraId="008EA3AF" w14:textId="77777777" w:rsidR="00772179" w:rsidRDefault="00000000">
      <w:r>
        <w:rPr>
          <w:b/>
        </w:rPr>
        <w:t>(soit)</w:t>
      </w:r>
      <w:r>
        <w:br/>
      </w:r>
      <w:r>
        <w:rPr>
          <w:rStyle w:val="soitChar"/>
          <w:u w:val="single"/>
        </w:rPr>
        <w:t>Thermolaquées par poudrage polyester :</w:t>
      </w:r>
      <w:r>
        <w:rPr>
          <w:rStyle w:val="soitChar"/>
        </w:rPr>
        <w:t xml:space="preserve"> selon [Qualicoat] épaisseur ≥ 60 μm</w:t>
      </w:r>
    </w:p>
    <w:p w14:paraId="7B2A3428" w14:textId="77777777" w:rsidR="00772179" w:rsidRDefault="00000000">
      <w:pPr>
        <w:pStyle w:val="Author-eListParagraph"/>
        <w:numPr>
          <w:ilvl w:val="0"/>
          <w:numId w:val="598"/>
        </w:numPr>
      </w:pPr>
      <w:r>
        <w:rPr>
          <w:rStyle w:val="soitChar"/>
        </w:rPr>
        <w:t>Couleur :</w:t>
      </w:r>
      <w:r>
        <w:t xml:space="preserve">  </w:t>
      </w:r>
      <w:r>
        <w:rPr>
          <w:rStyle w:val="soitChar"/>
        </w:rPr>
        <w:t xml:space="preserve">RAL n° </w:t>
      </w:r>
      <w:r>
        <w:rPr>
          <w:rStyle w:val="optioncarChar"/>
        </w:rPr>
        <w:t>***</w:t>
      </w:r>
    </w:p>
    <w:p w14:paraId="1D1FDC98" w14:textId="77777777" w:rsidR="00772179" w:rsidRDefault="00000000">
      <w:pPr>
        <w:pStyle w:val="Author-eListParagraph"/>
        <w:numPr>
          <w:ilvl w:val="0"/>
          <w:numId w:val="598"/>
        </w:numPr>
      </w:pPr>
      <w:r>
        <w:rPr>
          <w:rStyle w:val="soitChar"/>
        </w:rPr>
        <w:t>Brillance :</w:t>
      </w:r>
      <w:r>
        <w:t>  </w:t>
      </w:r>
      <w:r>
        <w:rPr>
          <w:rStyle w:val="optioncarChar"/>
        </w:rPr>
        <w:t xml:space="preserve">70 </w:t>
      </w:r>
      <w:r>
        <w:t>(par défaut)</w:t>
      </w:r>
      <w:r>
        <w:rPr>
          <w:rStyle w:val="optioncarChar"/>
        </w:rPr>
        <w:t xml:space="preserve"> / *** %.</w:t>
      </w:r>
    </w:p>
    <w:p w14:paraId="6A5E6E2F" w14:textId="77777777" w:rsidR="00772179" w:rsidRDefault="00000000">
      <w:r>
        <w:rPr>
          <w:b/>
        </w:rPr>
        <w:t>(soit)</w:t>
      </w:r>
      <w:r>
        <w:br/>
      </w:r>
      <w:r>
        <w:rPr>
          <w:rStyle w:val="optioncarChar"/>
        </w:rPr>
        <w:t>***</w:t>
      </w:r>
    </w:p>
    <w:p w14:paraId="43B5FF67" w14:textId="77777777" w:rsidR="00772179" w:rsidRDefault="00000000">
      <w:pPr>
        <w:pStyle w:val="pheading"/>
      </w:pPr>
      <w:r>
        <w:t>EXÉCUTION / MISE EN ŒUVRE</w:t>
      </w:r>
    </w:p>
    <w:p w14:paraId="3813F5B3" w14:textId="77777777" w:rsidR="00772179" w:rsidRDefault="00000000">
      <w:pPr>
        <w:pStyle w:val="pheading"/>
      </w:pPr>
      <w:r>
        <w:t>- Échantillons</w:t>
      </w:r>
    </w:p>
    <w:p w14:paraId="70C5A15A" w14:textId="77777777" w:rsidR="00772179" w:rsidRDefault="00000000">
      <w:pPr>
        <w:jc w:val="both"/>
      </w:pPr>
      <w:r>
        <w:t>L’entrepreneur soumet un échantillon du système qu’il propose à l’approbation de la direction du chantier.</w:t>
      </w:r>
    </w:p>
    <w:p w14:paraId="68CBE4EA" w14:textId="77777777" w:rsidR="00772179" w:rsidRDefault="00000000">
      <w:pPr>
        <w:pStyle w:val="pheading"/>
      </w:pPr>
      <w:r>
        <w:t>MESURAGE</w:t>
      </w:r>
    </w:p>
    <w:p w14:paraId="7119E283" w14:textId="77777777" w:rsidR="00772179" w:rsidRDefault="00000000">
      <w:pPr>
        <w:pStyle w:val="pheading"/>
      </w:pPr>
      <w:r>
        <w:t>- unité de mesure:</w:t>
      </w:r>
    </w:p>
    <w:p w14:paraId="09139EF3" w14:textId="77777777" w:rsidR="00772179" w:rsidRDefault="00000000">
      <w:r>
        <w:t>m²</w:t>
      </w:r>
    </w:p>
    <w:p w14:paraId="50C57E5C" w14:textId="77777777" w:rsidR="00772179" w:rsidRDefault="00000000">
      <w:pPr>
        <w:pStyle w:val="pheading"/>
      </w:pPr>
      <w:r>
        <w:t>- code de mesurage:</w:t>
      </w:r>
    </w:p>
    <w:p w14:paraId="438D5E19" w14:textId="77777777" w:rsidR="00772179" w:rsidRDefault="00000000">
      <w:pPr>
        <w:jc w:val="both"/>
      </w:pPr>
      <w:r>
        <w:t>Surface nette de protections à mettre en œuvre, éventuellement ventilée suivant le type de lame, de sens de pose, de finition, etc...</w:t>
      </w:r>
    </w:p>
    <w:p w14:paraId="215FB449" w14:textId="77777777" w:rsidR="00772179" w:rsidRDefault="00000000">
      <w:pPr>
        <w:pStyle w:val="pheading"/>
      </w:pPr>
      <w:r>
        <w:t>- nature du marché:</w:t>
      </w:r>
    </w:p>
    <w:p w14:paraId="6F9407C5" w14:textId="77777777" w:rsidR="00772179" w:rsidRDefault="00000000">
      <w:r>
        <w:lastRenderedPageBreak/>
        <w:t>QF</w:t>
      </w:r>
    </w:p>
    <w:p w14:paraId="1CFAF3B3" w14:textId="77777777" w:rsidR="00772179" w:rsidRDefault="00000000">
      <w:pPr>
        <w:pStyle w:val="Author-eSectionHeading6Numberless"/>
      </w:pPr>
      <w:bookmarkStart w:id="268" w:name="_Toc220490004"/>
      <w:r>
        <w:t>41.52.1c Protections solaires extérieures fixes par panneaux CCTB 01.12</w:t>
      </w:r>
      <w:bookmarkEnd w:id="268"/>
    </w:p>
    <w:p w14:paraId="6263D97D" w14:textId="77777777" w:rsidR="00772179" w:rsidRDefault="00000000">
      <w:pPr>
        <w:pStyle w:val="pheading"/>
      </w:pPr>
      <w:r>
        <w:t>DESCRIPTION</w:t>
      </w:r>
    </w:p>
    <w:p w14:paraId="2B9B8AD8" w14:textId="77777777" w:rsidR="00772179" w:rsidRDefault="00000000">
      <w:pPr>
        <w:pStyle w:val="pheading"/>
      </w:pPr>
      <w:r>
        <w:t>- Définition / Comprend</w:t>
      </w:r>
    </w:p>
    <w:p w14:paraId="092A52AB" w14:textId="77777777" w:rsidR="00772179" w:rsidRDefault="00000000">
      <w:pPr>
        <w:jc w:val="both"/>
      </w:pPr>
      <w:r>
        <w:t>Il s’agit de la fourniture et de la pose de protections solaires permanentes extérieures à panneaux fixes perforés posées parallèlement au plan de la façade et composées :</w:t>
      </w:r>
    </w:p>
    <w:p w14:paraId="37B22790" w14:textId="77777777" w:rsidR="00772179" w:rsidRDefault="00000000">
      <w:pPr>
        <w:pStyle w:val="Author-eListParagraph"/>
        <w:numPr>
          <w:ilvl w:val="0"/>
          <w:numId w:val="599"/>
        </w:numPr>
      </w:pPr>
      <w:r>
        <w:t>de profils porteurs avec consoles de fixation ;</w:t>
      </w:r>
    </w:p>
    <w:p w14:paraId="48A4970E" w14:textId="77777777" w:rsidR="00772179" w:rsidRDefault="00000000">
      <w:pPr>
        <w:pStyle w:val="Author-eListParagraph"/>
        <w:numPr>
          <w:ilvl w:val="0"/>
          <w:numId w:val="599"/>
        </w:numPr>
      </w:pPr>
      <w:r>
        <w:t>de tôles perforées de protection solaire fixées aux profils de supports.</w:t>
      </w:r>
    </w:p>
    <w:p w14:paraId="6D43C275" w14:textId="77777777" w:rsidR="00772179" w:rsidRDefault="00000000">
      <w:pPr>
        <w:jc w:val="both"/>
      </w:pPr>
      <w:r>
        <w:t>Cet article comprend également l’étude par le fabricant des plans de détail à établir sur base des plans de façade et à soumettre à l’approbation de la direction du chantier.</w:t>
      </w:r>
    </w:p>
    <w:p w14:paraId="5B88028E" w14:textId="77777777" w:rsidR="00772179" w:rsidRDefault="00000000">
      <w:pPr>
        <w:pStyle w:val="pheading"/>
      </w:pPr>
      <w:r>
        <w:t>MATÉRIAUX</w:t>
      </w:r>
    </w:p>
    <w:p w14:paraId="0BD6EBC3" w14:textId="77777777" w:rsidR="00772179" w:rsidRDefault="00000000">
      <w:pPr>
        <w:pStyle w:val="pheading"/>
      </w:pPr>
      <w:r>
        <w:t>- Caractéristiques générales</w:t>
      </w:r>
    </w:p>
    <w:p w14:paraId="4F1F5A13" w14:textId="77777777" w:rsidR="00772179" w:rsidRDefault="00000000">
      <w:pPr>
        <w:jc w:val="both"/>
      </w:pPr>
      <w:r>
        <w:rPr>
          <w:b/>
        </w:rPr>
        <w:t>Cadre de support</w:t>
      </w:r>
    </w:p>
    <w:p w14:paraId="00CF7AA0" w14:textId="77777777" w:rsidR="00772179" w:rsidRDefault="00000000">
      <w:pPr>
        <w:jc w:val="both"/>
      </w:pPr>
      <w:r>
        <w:t>Profil de support en aluminium Al Mg Si 0.5 conforme à la [NBN EN 485-2:2016+A1] ou [NBN EN 1396] ancré à la structure de façade.</w:t>
      </w:r>
    </w:p>
    <w:p w14:paraId="329FF8EF" w14:textId="77777777" w:rsidR="00772179" w:rsidRDefault="00000000">
      <w:pPr>
        <w:pStyle w:val="Author-eListParagraph"/>
        <w:numPr>
          <w:ilvl w:val="0"/>
          <w:numId w:val="600"/>
        </w:numPr>
      </w:pPr>
      <w:r>
        <w:t>Positionnement par rapport au plan de la façade : vertical.</w:t>
      </w:r>
    </w:p>
    <w:p w14:paraId="3E1DB421" w14:textId="77777777" w:rsidR="00772179" w:rsidRDefault="00000000">
      <w:pPr>
        <w:pStyle w:val="Author-eListParagraph"/>
        <w:numPr>
          <w:ilvl w:val="0"/>
          <w:numId w:val="600"/>
        </w:numPr>
      </w:pPr>
      <w:r>
        <w:t>Dimensions : voir métré détaillé.</w:t>
      </w:r>
    </w:p>
    <w:p w14:paraId="14942A06" w14:textId="77777777" w:rsidR="00772179" w:rsidRDefault="00000000">
      <w:pPr>
        <w:pStyle w:val="Author-eListParagraph"/>
        <w:numPr>
          <w:ilvl w:val="0"/>
          <w:numId w:val="600"/>
        </w:numPr>
      </w:pPr>
      <w:r>
        <w:t xml:space="preserve">Type : profils carrés de </w:t>
      </w:r>
      <w:r>
        <w:rPr>
          <w:rStyle w:val="optioncarChar"/>
        </w:rPr>
        <w:t>40 x 40</w:t>
      </w:r>
      <w:r>
        <w:t xml:space="preserve"> (par défaut)</w:t>
      </w:r>
      <w:r>
        <w:rPr>
          <w:rStyle w:val="optioncarChar"/>
        </w:rPr>
        <w:t xml:space="preserve"> / ***</w:t>
      </w:r>
      <w:r>
        <w:t xml:space="preserve"> mm.</w:t>
      </w:r>
    </w:p>
    <w:p w14:paraId="131CE3AD" w14:textId="77777777" w:rsidR="00772179" w:rsidRDefault="00000000">
      <w:pPr>
        <w:pStyle w:val="Author-eListParagraph"/>
        <w:numPr>
          <w:ilvl w:val="0"/>
          <w:numId w:val="600"/>
        </w:numPr>
      </w:pPr>
      <w:r>
        <w:t>Type d’ancrage et dimensions : à déterminer par le fabricant du système et à soumettre à l’approbation de la direction du chantier.</w:t>
      </w:r>
    </w:p>
    <w:p w14:paraId="56571FDD" w14:textId="77777777" w:rsidR="00772179" w:rsidRDefault="00000000">
      <w:pPr>
        <w:pStyle w:val="Author-eListParagraph"/>
        <w:numPr>
          <w:ilvl w:val="0"/>
          <w:numId w:val="600"/>
        </w:numPr>
      </w:pPr>
      <w:r>
        <w:t xml:space="preserve">Cadre périphérique de finition : </w:t>
      </w:r>
      <w:r>
        <w:rPr>
          <w:rStyle w:val="optioncarChar"/>
        </w:rPr>
        <w:t xml:space="preserve">4 </w:t>
      </w:r>
      <w:r>
        <w:t>(par défaut)</w:t>
      </w:r>
      <w:r>
        <w:rPr>
          <w:rStyle w:val="optioncarChar"/>
        </w:rPr>
        <w:t xml:space="preserve"> / 2 / ***</w:t>
      </w:r>
      <w:r>
        <w:t xml:space="preserve"> faces.</w:t>
      </w:r>
    </w:p>
    <w:p w14:paraId="676E4E14" w14:textId="77777777" w:rsidR="00772179" w:rsidRDefault="00000000">
      <w:pPr>
        <w:jc w:val="both"/>
      </w:pPr>
      <w:r>
        <w:rPr>
          <w:b/>
        </w:rPr>
        <w:t>Plaques perforées</w:t>
      </w:r>
    </w:p>
    <w:p w14:paraId="0DB64B95" w14:textId="77777777" w:rsidR="00772179" w:rsidRDefault="00000000">
      <w:pPr>
        <w:jc w:val="both"/>
      </w:pPr>
      <w:r>
        <w:t>Plaques perforées en aluminium extrudé Al Mg Si 0.5 conformes à la [NBN EN 485-2:2016+A1] ou [NBN EN 1396]. Les quatre bords latéraux sont repliés sur la profondeur des cadres latéraux afin de permettre la fixation des plaques au cadre de support. </w:t>
      </w:r>
    </w:p>
    <w:p w14:paraId="257E3F57" w14:textId="77777777" w:rsidR="00772179" w:rsidRDefault="00000000">
      <w:pPr>
        <w:pStyle w:val="Author-eListParagraph"/>
        <w:numPr>
          <w:ilvl w:val="0"/>
          <w:numId w:val="601"/>
        </w:numPr>
      </w:pPr>
      <w:r>
        <w:t xml:space="preserve">Fixation des plaques : </w:t>
      </w:r>
      <w:r>
        <w:rPr>
          <w:rStyle w:val="optioncarChar"/>
        </w:rPr>
        <w:t xml:space="preserve">vissées </w:t>
      </w:r>
      <w:r>
        <w:t xml:space="preserve">(par défaut) </w:t>
      </w:r>
      <w:r>
        <w:rPr>
          <w:rStyle w:val="optioncarChar"/>
        </w:rPr>
        <w:t>/ boulonnées / ***</w:t>
      </w:r>
      <w:r>
        <w:t>.</w:t>
      </w:r>
    </w:p>
    <w:p w14:paraId="7750A686" w14:textId="77777777" w:rsidR="00772179" w:rsidRDefault="00000000">
      <w:pPr>
        <w:pStyle w:val="Author-eListParagraph"/>
        <w:numPr>
          <w:ilvl w:val="0"/>
          <w:numId w:val="601"/>
        </w:numPr>
      </w:pPr>
      <w:r>
        <w:t xml:space="preserve">Position des plaques par rapport au cadre de support : </w:t>
      </w:r>
      <w:r>
        <w:rPr>
          <w:rStyle w:val="optioncarChar"/>
        </w:rPr>
        <w:t>alignées au plan extérieur du cadre</w:t>
      </w:r>
      <w:r>
        <w:t xml:space="preserve"> (par défaut)</w:t>
      </w:r>
      <w:r>
        <w:rPr>
          <w:rStyle w:val="optioncarChar"/>
        </w:rPr>
        <w:t xml:space="preserve"> / encadrées / ***.</w:t>
      </w:r>
    </w:p>
    <w:p w14:paraId="6C114C2D" w14:textId="77777777" w:rsidR="00772179" w:rsidRDefault="00000000">
      <w:pPr>
        <w:jc w:val="both"/>
      </w:pPr>
      <w:r>
        <w:t>Perforations :</w:t>
      </w:r>
    </w:p>
    <w:p w14:paraId="6EA450F5" w14:textId="77777777" w:rsidR="00772179" w:rsidRDefault="00000000">
      <w:pPr>
        <w:pStyle w:val="Author-eListParagraph"/>
        <w:numPr>
          <w:ilvl w:val="0"/>
          <w:numId w:val="602"/>
        </w:numPr>
      </w:pPr>
      <w:r>
        <w:t xml:space="preserve">Forme : </w:t>
      </w:r>
      <w:r>
        <w:rPr>
          <w:rStyle w:val="optioncarChar"/>
        </w:rPr>
        <w:t xml:space="preserve">ronde </w:t>
      </w:r>
      <w:r>
        <w:t xml:space="preserve">(par défaut) </w:t>
      </w:r>
      <w:r>
        <w:rPr>
          <w:rStyle w:val="optioncarChar"/>
        </w:rPr>
        <w:t>/ carrée / ***</w:t>
      </w:r>
    </w:p>
    <w:p w14:paraId="30C2B586" w14:textId="77777777" w:rsidR="00772179" w:rsidRDefault="00000000">
      <w:pPr>
        <w:pStyle w:val="Author-eListParagraph"/>
        <w:numPr>
          <w:ilvl w:val="0"/>
          <w:numId w:val="602"/>
        </w:numPr>
      </w:pPr>
      <w:r>
        <w:t xml:space="preserve">Disposition : </w:t>
      </w:r>
      <w:r>
        <w:rPr>
          <w:rStyle w:val="optioncarChar"/>
        </w:rPr>
        <w:t>en quinconce</w:t>
      </w:r>
      <w:r>
        <w:t xml:space="preserve"> (par défaut)</w:t>
      </w:r>
      <w:r>
        <w:rPr>
          <w:rStyle w:val="optioncarChar"/>
        </w:rPr>
        <w:t xml:space="preserve"> / en ligne / ***</w:t>
      </w:r>
    </w:p>
    <w:p w14:paraId="38BAAC86" w14:textId="77777777" w:rsidR="00772179" w:rsidRDefault="00000000">
      <w:pPr>
        <w:pStyle w:val="Author-eListParagraph"/>
        <w:numPr>
          <w:ilvl w:val="0"/>
          <w:numId w:val="602"/>
        </w:numPr>
      </w:pPr>
      <w:r>
        <w:t xml:space="preserve">Pourcentage de vide : </w:t>
      </w:r>
      <w:r>
        <w:rPr>
          <w:rStyle w:val="optioncarChar"/>
        </w:rPr>
        <w:t>40</w:t>
      </w:r>
      <w:r>
        <w:t xml:space="preserve"> (par défaut) </w:t>
      </w:r>
      <w:r>
        <w:rPr>
          <w:rStyle w:val="optioncarChar"/>
        </w:rPr>
        <w:t>/ 30 / 35 / 45 / ***</w:t>
      </w:r>
      <w:r>
        <w:t xml:space="preserve"> %</w:t>
      </w:r>
    </w:p>
    <w:p w14:paraId="6C795829" w14:textId="77777777" w:rsidR="00772179" w:rsidRDefault="00000000">
      <w:pPr>
        <w:jc w:val="both"/>
      </w:pPr>
      <w:r>
        <w:rPr>
          <w:b/>
        </w:rPr>
        <w:t>Aspects environnementaux</w:t>
      </w:r>
    </w:p>
    <w:p w14:paraId="063801AD" w14:textId="77777777" w:rsidR="00772179" w:rsidRDefault="00000000">
      <w:pPr>
        <w:pStyle w:val="Author-eListParagraph"/>
        <w:numPr>
          <w:ilvl w:val="0"/>
          <w:numId w:val="603"/>
        </w:numPr>
        <w:jc w:val="both"/>
      </w:pPr>
      <w:r>
        <w:t xml:space="preserve">Matériaux disposant d’un label suivant prescriptions du 02.42.6 Labels environnementaux : </w:t>
      </w:r>
      <w:r>
        <w:rPr>
          <w:rStyle w:val="optioncarChar"/>
        </w:rPr>
        <w:t>oui / non </w:t>
      </w:r>
    </w:p>
    <w:p w14:paraId="2DA5092A" w14:textId="77777777" w:rsidR="00772179" w:rsidRDefault="00000000">
      <w:pPr>
        <w:pStyle w:val="Author-eListParagraph"/>
        <w:numPr>
          <w:ilvl w:val="0"/>
          <w:numId w:val="603"/>
        </w:numPr>
        <w:jc w:val="both"/>
      </w:pPr>
      <w:r>
        <w:t xml:space="preserve">Matériaux recyclés entrant dans la fabrication du produit : </w:t>
      </w:r>
      <w:r>
        <w:rPr>
          <w:rStyle w:val="optioncarChar"/>
        </w:rPr>
        <w:t>oui / non </w:t>
      </w:r>
    </w:p>
    <w:p w14:paraId="2F5D5664" w14:textId="77777777" w:rsidR="00772179" w:rsidRDefault="00000000">
      <w:pPr>
        <w:pStyle w:val="pheading"/>
      </w:pPr>
      <w:r>
        <w:t>- Finitions</w:t>
      </w:r>
    </w:p>
    <w:p w14:paraId="2AC814C5" w14:textId="77777777" w:rsidR="00772179" w:rsidRDefault="00000000">
      <w:pPr>
        <w:jc w:val="both"/>
      </w:pPr>
      <w:r>
        <w:rPr>
          <w:b/>
        </w:rPr>
        <w:t>Cadre de support</w:t>
      </w:r>
    </w:p>
    <w:p w14:paraId="58D18642" w14:textId="77777777" w:rsidR="00772179" w:rsidRDefault="00000000">
      <w:pPr>
        <w:jc w:val="both"/>
      </w:pPr>
      <w:r>
        <w:rPr>
          <w:rStyle w:val="optioncarChar"/>
        </w:rPr>
        <w:t>Anodisé</w:t>
      </w:r>
      <w:r>
        <w:t xml:space="preserve"> (par défaut)</w:t>
      </w:r>
      <w:r>
        <w:rPr>
          <w:rStyle w:val="optioncarChar"/>
        </w:rPr>
        <w:t xml:space="preserve"> / Thermolaqué par poudrage polyester / ***.</w:t>
      </w:r>
    </w:p>
    <w:p w14:paraId="791870C2" w14:textId="77777777" w:rsidR="00772179" w:rsidRDefault="00000000">
      <w:pPr>
        <w:jc w:val="both"/>
      </w:pPr>
      <w:r>
        <w:rPr>
          <w:b/>
        </w:rPr>
        <w:t>(soit par défaut)</w:t>
      </w:r>
    </w:p>
    <w:p w14:paraId="39AABA10" w14:textId="77777777" w:rsidR="00772179" w:rsidRDefault="00000000">
      <w:pPr>
        <w:jc w:val="both"/>
      </w:pPr>
      <w:r>
        <w:rPr>
          <w:rStyle w:val="soitChar"/>
          <w:u w:val="single"/>
        </w:rPr>
        <w:t>Anodisé :</w:t>
      </w:r>
      <w:r>
        <w:rPr>
          <w:rStyle w:val="soitChar"/>
        </w:rPr>
        <w:t xml:space="preserve"> selon [Qualanod] épaisseur ≥ 18 μm</w:t>
      </w:r>
    </w:p>
    <w:p w14:paraId="65B0CDC1" w14:textId="77777777" w:rsidR="00772179" w:rsidRDefault="00000000">
      <w:pPr>
        <w:pStyle w:val="Author-eListParagraph"/>
        <w:numPr>
          <w:ilvl w:val="0"/>
          <w:numId w:val="604"/>
        </w:numPr>
      </w:pPr>
      <w:r>
        <w:rPr>
          <w:rStyle w:val="soitChar"/>
        </w:rPr>
        <w:t xml:space="preserve">Couleur : </w:t>
      </w:r>
      <w:r>
        <w:rPr>
          <w:rStyle w:val="optioncarChar"/>
        </w:rPr>
        <w:t>naturelle</w:t>
      </w:r>
      <w:r>
        <w:t xml:space="preserve"> (par défaut)</w:t>
      </w:r>
      <w:r>
        <w:rPr>
          <w:rStyle w:val="optioncarChar"/>
        </w:rPr>
        <w:t xml:space="preserve"> / ***</w:t>
      </w:r>
      <w:r>
        <w:rPr>
          <w:rStyle w:val="soitChar"/>
        </w:rPr>
        <w:t>.</w:t>
      </w:r>
    </w:p>
    <w:p w14:paraId="4AD24C10" w14:textId="77777777" w:rsidR="00772179" w:rsidRDefault="00000000">
      <w:pPr>
        <w:pStyle w:val="Author-eListParagraph"/>
        <w:numPr>
          <w:ilvl w:val="0"/>
          <w:numId w:val="604"/>
        </w:numPr>
      </w:pPr>
      <w:r>
        <w:rPr>
          <w:rStyle w:val="soitChar"/>
        </w:rPr>
        <w:t xml:space="preserve">Finition : </w:t>
      </w:r>
      <w:r>
        <w:rPr>
          <w:rStyle w:val="optioncarChar"/>
        </w:rPr>
        <w:t xml:space="preserve">mate </w:t>
      </w:r>
      <w:r>
        <w:t>(par défaut)</w:t>
      </w:r>
      <w:r>
        <w:rPr>
          <w:rStyle w:val="optioncarChar"/>
        </w:rPr>
        <w:t xml:space="preserve"> / ***.</w:t>
      </w:r>
    </w:p>
    <w:p w14:paraId="00BCF1AF" w14:textId="77777777" w:rsidR="00772179" w:rsidRDefault="00000000">
      <w:pPr>
        <w:jc w:val="both"/>
      </w:pPr>
      <w:r>
        <w:rPr>
          <w:b/>
        </w:rPr>
        <w:t>(soit)</w:t>
      </w:r>
    </w:p>
    <w:p w14:paraId="6B908151" w14:textId="77777777" w:rsidR="00772179" w:rsidRDefault="00000000">
      <w:pPr>
        <w:jc w:val="both"/>
      </w:pPr>
      <w:r>
        <w:rPr>
          <w:rStyle w:val="soitChar"/>
          <w:u w:val="single"/>
        </w:rPr>
        <w:lastRenderedPageBreak/>
        <w:t>Thermolaqué par poudrage polyester :</w:t>
      </w:r>
      <w:r>
        <w:rPr>
          <w:rStyle w:val="soitChar"/>
        </w:rPr>
        <w:t xml:space="preserve"> selon [Qualicoat] épaisseur ≥ 60 μm</w:t>
      </w:r>
    </w:p>
    <w:p w14:paraId="21BDE9DA" w14:textId="77777777" w:rsidR="00772179" w:rsidRDefault="00000000">
      <w:pPr>
        <w:pStyle w:val="Author-eListParagraph"/>
        <w:numPr>
          <w:ilvl w:val="0"/>
          <w:numId w:val="605"/>
        </w:numPr>
      </w:pPr>
      <w:r>
        <w:rPr>
          <w:rStyle w:val="soitChar"/>
        </w:rPr>
        <w:t xml:space="preserve">Couleur : RAL n° </w:t>
      </w:r>
      <w:r>
        <w:rPr>
          <w:rStyle w:val="optioncarChar"/>
        </w:rPr>
        <w:t>***</w:t>
      </w:r>
    </w:p>
    <w:p w14:paraId="0DC12518" w14:textId="77777777" w:rsidR="00772179" w:rsidRDefault="00000000">
      <w:pPr>
        <w:pStyle w:val="Author-eListParagraph"/>
        <w:numPr>
          <w:ilvl w:val="0"/>
          <w:numId w:val="605"/>
        </w:numPr>
      </w:pPr>
      <w:r>
        <w:rPr>
          <w:rStyle w:val="soitChar"/>
        </w:rPr>
        <w:t xml:space="preserve">Brillance : </w:t>
      </w:r>
      <w:r>
        <w:rPr>
          <w:rStyle w:val="optioncarChar"/>
        </w:rPr>
        <w:t>70</w:t>
      </w:r>
      <w:r>
        <w:t xml:space="preserve"> (par défaut)</w:t>
      </w:r>
      <w:r>
        <w:rPr>
          <w:rStyle w:val="optioncarChar"/>
        </w:rPr>
        <w:t xml:space="preserve"> / ***</w:t>
      </w:r>
      <w:r>
        <w:rPr>
          <w:rStyle w:val="soitChar"/>
        </w:rPr>
        <w:t xml:space="preserve"> %.</w:t>
      </w:r>
    </w:p>
    <w:p w14:paraId="45B8B57A" w14:textId="77777777" w:rsidR="00772179" w:rsidRDefault="00000000">
      <w:pPr>
        <w:jc w:val="both"/>
      </w:pPr>
      <w:r>
        <w:rPr>
          <w:b/>
        </w:rPr>
        <w:t>(soit)</w:t>
      </w:r>
    </w:p>
    <w:p w14:paraId="5A16E628" w14:textId="77777777" w:rsidR="00772179" w:rsidRDefault="00000000">
      <w:pPr>
        <w:jc w:val="both"/>
      </w:pPr>
      <w:r>
        <w:rPr>
          <w:rStyle w:val="optioncarChar"/>
        </w:rPr>
        <w:t>***</w:t>
      </w:r>
    </w:p>
    <w:p w14:paraId="3B886865" w14:textId="77777777" w:rsidR="00772179" w:rsidRDefault="00000000">
      <w:pPr>
        <w:jc w:val="both"/>
      </w:pPr>
      <w:r>
        <w:rPr>
          <w:b/>
        </w:rPr>
        <w:t>Plaques perforées</w:t>
      </w:r>
    </w:p>
    <w:p w14:paraId="7B19B8B0" w14:textId="77777777" w:rsidR="00772179" w:rsidRDefault="00000000">
      <w:pPr>
        <w:jc w:val="both"/>
      </w:pPr>
      <w:r>
        <w:rPr>
          <w:rStyle w:val="optioncarChar"/>
        </w:rPr>
        <w:t>Anodisées</w:t>
      </w:r>
      <w:r>
        <w:t xml:space="preserve"> (par défaut) </w:t>
      </w:r>
      <w:r>
        <w:rPr>
          <w:rStyle w:val="optioncarChar"/>
        </w:rPr>
        <w:t>/ Thermolaquées par poudrage polyester / ***</w:t>
      </w:r>
      <w:r>
        <w:t>.</w:t>
      </w:r>
    </w:p>
    <w:p w14:paraId="24CF3B83" w14:textId="77777777" w:rsidR="00772179" w:rsidRDefault="00000000">
      <w:pPr>
        <w:jc w:val="both"/>
      </w:pPr>
      <w:r>
        <w:rPr>
          <w:b/>
        </w:rPr>
        <w:t>(soit par défaut)</w:t>
      </w:r>
    </w:p>
    <w:p w14:paraId="3D2AE8EE" w14:textId="77777777" w:rsidR="00772179" w:rsidRDefault="00000000">
      <w:pPr>
        <w:jc w:val="both"/>
      </w:pPr>
      <w:r>
        <w:rPr>
          <w:rStyle w:val="soitChar"/>
          <w:u w:val="single"/>
        </w:rPr>
        <w:t>Anodisées :</w:t>
      </w:r>
      <w:r>
        <w:rPr>
          <w:rStyle w:val="soitChar"/>
        </w:rPr>
        <w:t xml:space="preserve"> selon [Qualanod] épaisseur ≥ 18 μm</w:t>
      </w:r>
    </w:p>
    <w:p w14:paraId="3236D238" w14:textId="77777777" w:rsidR="00772179" w:rsidRDefault="00000000">
      <w:pPr>
        <w:pStyle w:val="Author-eListParagraph"/>
        <w:numPr>
          <w:ilvl w:val="0"/>
          <w:numId w:val="606"/>
        </w:numPr>
      </w:pPr>
      <w:r>
        <w:rPr>
          <w:rStyle w:val="soitChar"/>
        </w:rPr>
        <w:t xml:space="preserve">Couleur : </w:t>
      </w:r>
      <w:r>
        <w:rPr>
          <w:rStyle w:val="optioncarChar"/>
        </w:rPr>
        <w:t xml:space="preserve">naturelle </w:t>
      </w:r>
      <w:r>
        <w:t>(par défaut)</w:t>
      </w:r>
      <w:r>
        <w:rPr>
          <w:rStyle w:val="optioncarChar"/>
        </w:rPr>
        <w:t xml:space="preserve"> / ***</w:t>
      </w:r>
      <w:r>
        <w:rPr>
          <w:rStyle w:val="soitChar"/>
        </w:rPr>
        <w:t>.</w:t>
      </w:r>
    </w:p>
    <w:p w14:paraId="7C2B8D6D" w14:textId="77777777" w:rsidR="00772179" w:rsidRDefault="00000000">
      <w:pPr>
        <w:pStyle w:val="Author-eListParagraph"/>
        <w:numPr>
          <w:ilvl w:val="0"/>
          <w:numId w:val="606"/>
        </w:numPr>
      </w:pPr>
      <w:r>
        <w:rPr>
          <w:rStyle w:val="soitChar"/>
        </w:rPr>
        <w:t xml:space="preserve">Finition : </w:t>
      </w:r>
      <w:r>
        <w:rPr>
          <w:rStyle w:val="optioncarChar"/>
        </w:rPr>
        <w:t xml:space="preserve">mate </w:t>
      </w:r>
      <w:r>
        <w:t>(par défaut)</w:t>
      </w:r>
      <w:r>
        <w:rPr>
          <w:rStyle w:val="optioncarChar"/>
        </w:rPr>
        <w:t xml:space="preserve"> / ***</w:t>
      </w:r>
      <w:r>
        <w:rPr>
          <w:rStyle w:val="soitChar"/>
        </w:rPr>
        <w:t>.</w:t>
      </w:r>
    </w:p>
    <w:p w14:paraId="2DDD7BB2" w14:textId="77777777" w:rsidR="00772179" w:rsidRDefault="00000000">
      <w:pPr>
        <w:jc w:val="both"/>
      </w:pPr>
      <w:r>
        <w:rPr>
          <w:b/>
        </w:rPr>
        <w:t>(soit)</w:t>
      </w:r>
    </w:p>
    <w:p w14:paraId="24DF2120" w14:textId="77777777" w:rsidR="00772179" w:rsidRDefault="00000000">
      <w:pPr>
        <w:jc w:val="both"/>
      </w:pPr>
      <w:r>
        <w:rPr>
          <w:rStyle w:val="soitChar"/>
          <w:u w:val="single"/>
        </w:rPr>
        <w:t>Thermolaquées par poudrage polyester :</w:t>
      </w:r>
      <w:r>
        <w:rPr>
          <w:rStyle w:val="soitChar"/>
        </w:rPr>
        <w:t xml:space="preserve"> selon [Qualicoat] épaisseur ≥ 60 μm</w:t>
      </w:r>
    </w:p>
    <w:p w14:paraId="1F068AB7" w14:textId="77777777" w:rsidR="00772179" w:rsidRDefault="00000000">
      <w:pPr>
        <w:pStyle w:val="Author-eListParagraph"/>
        <w:numPr>
          <w:ilvl w:val="0"/>
          <w:numId w:val="607"/>
        </w:numPr>
      </w:pPr>
      <w:r>
        <w:rPr>
          <w:rStyle w:val="soitChar"/>
        </w:rPr>
        <w:t xml:space="preserve">Couleur : RAL n° </w:t>
      </w:r>
      <w:r>
        <w:rPr>
          <w:rStyle w:val="optioncarChar"/>
        </w:rPr>
        <w:t>***</w:t>
      </w:r>
    </w:p>
    <w:p w14:paraId="590449E6" w14:textId="77777777" w:rsidR="00772179" w:rsidRDefault="00000000">
      <w:pPr>
        <w:pStyle w:val="Author-eListParagraph"/>
        <w:numPr>
          <w:ilvl w:val="0"/>
          <w:numId w:val="607"/>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1493D7F8" w14:textId="77777777" w:rsidR="00772179" w:rsidRDefault="00000000">
      <w:pPr>
        <w:jc w:val="both"/>
      </w:pPr>
      <w:r>
        <w:rPr>
          <w:b/>
        </w:rPr>
        <w:t>(soit)</w:t>
      </w:r>
    </w:p>
    <w:p w14:paraId="06D10FA7" w14:textId="77777777" w:rsidR="00772179" w:rsidRDefault="00000000">
      <w:pPr>
        <w:jc w:val="both"/>
      </w:pPr>
      <w:r>
        <w:rPr>
          <w:rStyle w:val="optioncarChar"/>
        </w:rPr>
        <w:t>***</w:t>
      </w:r>
    </w:p>
    <w:p w14:paraId="1D5222E2" w14:textId="77777777" w:rsidR="00772179" w:rsidRDefault="00000000">
      <w:pPr>
        <w:pStyle w:val="pheading"/>
      </w:pPr>
      <w:r>
        <w:t>EXÉCUTION / MISE EN ŒUVRE</w:t>
      </w:r>
    </w:p>
    <w:p w14:paraId="7310E7D4" w14:textId="77777777" w:rsidR="00772179" w:rsidRDefault="00000000">
      <w:pPr>
        <w:pStyle w:val="pheading"/>
      </w:pPr>
      <w:r>
        <w:t>- Échantillons</w:t>
      </w:r>
    </w:p>
    <w:p w14:paraId="6A9AA4E7" w14:textId="77777777" w:rsidR="00772179" w:rsidRDefault="00000000">
      <w:pPr>
        <w:jc w:val="both"/>
      </w:pPr>
      <w:r>
        <w:t>L’entrepreneur soumet un échantillon du système qu’il propose à l’approbation de la direction du chantier.</w:t>
      </w:r>
    </w:p>
    <w:p w14:paraId="49B5198B" w14:textId="77777777" w:rsidR="00772179" w:rsidRDefault="00000000">
      <w:pPr>
        <w:pStyle w:val="pheading"/>
      </w:pPr>
      <w:r>
        <w:t>MESURAGE</w:t>
      </w:r>
    </w:p>
    <w:p w14:paraId="43A1CB5A" w14:textId="77777777" w:rsidR="00772179" w:rsidRDefault="00000000">
      <w:pPr>
        <w:pStyle w:val="pheading"/>
      </w:pPr>
      <w:r>
        <w:t>- unité de mesure:</w:t>
      </w:r>
    </w:p>
    <w:p w14:paraId="31031E14" w14:textId="77777777" w:rsidR="00772179" w:rsidRDefault="00000000">
      <w:r>
        <w:t>m²</w:t>
      </w:r>
    </w:p>
    <w:p w14:paraId="5FA5ABB2" w14:textId="77777777" w:rsidR="00772179" w:rsidRDefault="00000000">
      <w:pPr>
        <w:pStyle w:val="pheading"/>
      </w:pPr>
      <w:r>
        <w:t>- code de mesurage:</w:t>
      </w:r>
    </w:p>
    <w:p w14:paraId="71B8C1F9" w14:textId="77777777" w:rsidR="00772179" w:rsidRDefault="00000000">
      <w:pPr>
        <w:jc w:val="both"/>
      </w:pPr>
      <w:r>
        <w:t>Surface nette de protections à mettre en œuvre, éventuellement ventilée suivant le type de perforation, de finition, etc...</w:t>
      </w:r>
    </w:p>
    <w:p w14:paraId="57F66664" w14:textId="77777777" w:rsidR="00772179" w:rsidRDefault="00000000">
      <w:pPr>
        <w:pStyle w:val="pheading"/>
      </w:pPr>
      <w:r>
        <w:t>- nature du marché:</w:t>
      </w:r>
    </w:p>
    <w:p w14:paraId="22C2EAC3" w14:textId="77777777" w:rsidR="00772179" w:rsidRDefault="00000000">
      <w:r>
        <w:t>QF</w:t>
      </w:r>
    </w:p>
    <w:p w14:paraId="2AB50BEA" w14:textId="77777777" w:rsidR="00772179" w:rsidRDefault="00000000">
      <w:pPr>
        <w:pStyle w:val="Author-eSectionHeading6Numberless"/>
      </w:pPr>
      <w:bookmarkStart w:id="269" w:name="_Toc220490005"/>
      <w:r>
        <w:t>41.52.1d Protections solaires extérieures fixes par toile</w:t>
      </w:r>
      <w:bookmarkEnd w:id="269"/>
    </w:p>
    <w:p w14:paraId="7E96D803" w14:textId="77777777" w:rsidR="00772179" w:rsidRDefault="00000000">
      <w:pPr>
        <w:pStyle w:val="Author-eSectionHeading5Numberless"/>
      </w:pPr>
      <w:bookmarkStart w:id="270" w:name="_Toc220490006"/>
      <w:r>
        <w:t>41.52.2 Protections solaires extérieures mobiles CCTB 01.12</w:t>
      </w:r>
      <w:bookmarkEnd w:id="270"/>
    </w:p>
    <w:p w14:paraId="7BE9DA48" w14:textId="77777777" w:rsidR="00772179" w:rsidRDefault="00000000">
      <w:pPr>
        <w:pStyle w:val="pheading"/>
      </w:pPr>
      <w:r>
        <w:t>DESCRIPTION</w:t>
      </w:r>
    </w:p>
    <w:p w14:paraId="5567EB46" w14:textId="77777777" w:rsidR="00772179" w:rsidRDefault="00000000">
      <w:pPr>
        <w:pStyle w:val="pheading"/>
      </w:pPr>
      <w:r>
        <w:t>- Définition / Comprend</w:t>
      </w:r>
    </w:p>
    <w:p w14:paraId="0EB9C4A9" w14:textId="77777777" w:rsidR="00772179" w:rsidRDefault="00000000">
      <w:pPr>
        <w:jc w:val="both"/>
      </w:pPr>
      <w:r>
        <w:t>Il s’agit de la fourniture et de la pose de protections solaires mobiles extérieures posées parallèlement au plan de la façade.</w:t>
      </w:r>
    </w:p>
    <w:p w14:paraId="07BA2DE9" w14:textId="77777777" w:rsidR="00772179" w:rsidRDefault="00000000">
      <w:pPr>
        <w:jc w:val="both"/>
      </w:pPr>
      <w:r>
        <w:t>Une déclaration d'aptitude suivant 02.42.1 Critères d'acceptabilité est imposée à ces produits suivant la [NBN EN 13561] afin d'attester qu’ils sont conformes aux spécifications techniques.</w:t>
      </w:r>
    </w:p>
    <w:p w14:paraId="0C80050F" w14:textId="77777777" w:rsidR="00772179" w:rsidRDefault="00000000">
      <w:pPr>
        <w:jc w:val="both"/>
      </w:pPr>
      <w:r>
        <w:t>Cet élément comprend également :</w:t>
      </w:r>
    </w:p>
    <w:p w14:paraId="264ED9E1" w14:textId="77777777" w:rsidR="00772179" w:rsidRDefault="00000000">
      <w:pPr>
        <w:pStyle w:val="Author-eListParagraph"/>
        <w:numPr>
          <w:ilvl w:val="0"/>
          <w:numId w:val="608"/>
        </w:numPr>
        <w:jc w:val="both"/>
      </w:pPr>
      <w:r>
        <w:t>L’étude par le fabricant du dimensionnement des structures de support des protections solaires et de leurs ancrages et ce, sous la responsabilité de l’entrepreneur et en tenant compte de la nécessité d'éviter la création de ponts thermiques au niveau des fixations.</w:t>
      </w:r>
    </w:p>
    <w:p w14:paraId="3A0966E1" w14:textId="77777777" w:rsidR="00772179" w:rsidRDefault="00000000">
      <w:pPr>
        <w:pStyle w:val="Author-eListParagraph"/>
        <w:numPr>
          <w:ilvl w:val="0"/>
          <w:numId w:val="608"/>
        </w:numPr>
        <w:jc w:val="both"/>
      </w:pPr>
      <w:r>
        <w:lastRenderedPageBreak/>
        <w:t>L’ensemble des plans de détail et des notes de calcul sont ensuite soumis à l’approbation de la direction du chantier.</w:t>
      </w:r>
    </w:p>
    <w:p w14:paraId="15BC8CEC" w14:textId="77777777" w:rsidR="00772179" w:rsidRDefault="00000000">
      <w:pPr>
        <w:pStyle w:val="Author-eListParagraph"/>
        <w:numPr>
          <w:ilvl w:val="0"/>
          <w:numId w:val="608"/>
        </w:numPr>
        <w:jc w:val="both"/>
      </w:pPr>
      <w:r>
        <w:t>En cas de motorisation électrique : la fourniture, placement, réglage, toutes prestations et fournitures nécessaires et raccordements des moteurs sur alimentation(s) en attente conformément au [RGIE].</w:t>
      </w:r>
    </w:p>
    <w:p w14:paraId="7D7702A3" w14:textId="77777777" w:rsidR="00772179" w:rsidRDefault="00000000">
      <w:pPr>
        <w:pStyle w:val="pheading"/>
      </w:pPr>
      <w:r>
        <w:t>MATÉRIAUX</w:t>
      </w:r>
    </w:p>
    <w:p w14:paraId="59AD1D4D" w14:textId="77777777" w:rsidR="00772179" w:rsidRDefault="00000000">
      <w:pPr>
        <w:jc w:val="both"/>
      </w:pPr>
      <w:r>
        <w:t>Le brise-soleil est composé de kits d’assemblage ou de modules prémontés sur une structure porteuse métallique inoxydable dont le dimensionnement et les ancrages sont calculés en fonction du nombre, des dimensions, du poids et de la prise au vent des panneaux.</w:t>
      </w:r>
    </w:p>
    <w:p w14:paraId="6149F700" w14:textId="77777777" w:rsidR="00772179" w:rsidRDefault="00000000">
      <w:pPr>
        <w:pStyle w:val="pheading"/>
      </w:pPr>
      <w:r>
        <w:t>EXÉCUTION / MISE EN ŒUVRE</w:t>
      </w:r>
    </w:p>
    <w:p w14:paraId="6D95A7A5" w14:textId="77777777" w:rsidR="00772179" w:rsidRDefault="00000000">
      <w:pPr>
        <w:jc w:val="both"/>
      </w:pPr>
      <w:r>
        <w:t>La mise en œuvre et les assemblages sont exécutés conformément à la documentation technique accompagnant le produit et aux détails approuvés par la direction du chantier lors de l’étude du fabricant prescrite ci-avant.</w:t>
      </w:r>
    </w:p>
    <w:p w14:paraId="214D4D52" w14:textId="77777777" w:rsidR="00772179" w:rsidRDefault="00000000">
      <w:pPr>
        <w:jc w:val="both"/>
      </w:pPr>
      <w:r>
        <w:t>Les raccordements électriques des éventuelles motorisations sont réalisés par l’entreprise chargée de la fourniture et de la pose des protections solaires sur les alimentations laissées en attente par l’entreprise chargée du chapitre électricité.</w:t>
      </w:r>
    </w:p>
    <w:p w14:paraId="2D9BF751" w14:textId="77777777" w:rsidR="00772179" w:rsidRDefault="00000000">
      <w:pPr>
        <w:jc w:val="both"/>
      </w:pPr>
      <w:r>
        <w:t>Alimentation électrique voir 71.24.7 Équipements particuliers et/ou lot électricité.</w:t>
      </w:r>
    </w:p>
    <w:p w14:paraId="536B9E90" w14:textId="77777777" w:rsidR="00772179" w:rsidRDefault="00000000">
      <w:pPr>
        <w:pStyle w:val="pheading"/>
      </w:pPr>
      <w:r>
        <w:t>DOCUMENTS DE RÉFÉRENCE</w:t>
      </w:r>
    </w:p>
    <w:p w14:paraId="62AEE6BB" w14:textId="77777777" w:rsidR="00772179" w:rsidRDefault="00000000">
      <w:pPr>
        <w:pStyle w:val="pheading"/>
      </w:pPr>
      <w:r>
        <w:t>- Matériau</w:t>
      </w:r>
    </w:p>
    <w:p w14:paraId="6AD68DC4" w14:textId="77777777" w:rsidR="00772179" w:rsidRDefault="00000000">
      <w:r>
        <w:t>[NBN EN ISO 9227, Essais de corrosion en atmosphères artificielles - Essais aux brouillards salins (ISO 9227:2022) ]</w:t>
      </w:r>
    </w:p>
    <w:p w14:paraId="44097F61" w14:textId="77777777" w:rsidR="00772179" w:rsidRDefault="00000000">
      <w:r>
        <w:t>[NBN EN 10346, Produits plats en acier revêtus en continu par immersion à chaud pour formage à froid - Conditions techniques de livraison]</w:t>
      </w:r>
    </w:p>
    <w:p w14:paraId="3B688AB9" w14:textId="77777777" w:rsidR="00772179" w:rsidRDefault="00000000">
      <w:r>
        <w:t>[NBN EN 10169, Produits plats en acier revêtus en continu de matières organiques (prélaqués) - Conditions techniques de livraison]</w:t>
      </w:r>
    </w:p>
    <w:p w14:paraId="349EB6EC" w14:textId="77777777" w:rsidR="00772179" w:rsidRDefault="00000000">
      <w:r>
        <w:t>[NBN EN 485-2:2016+A1, Aluminium et alliages d'aluminium - Tôles, bandes et tôles épaisses - Partie 2: Caractéristiques mécaniques]</w:t>
      </w:r>
    </w:p>
    <w:p w14:paraId="47DC3BCC" w14:textId="77777777" w:rsidR="00772179" w:rsidRDefault="00000000">
      <w:r>
        <w:t>[NBN EN 1396, Aluminium et alliages d'aluminium - Tôles et bandes revêtues en bobine pour applications générales - Spécifications]</w:t>
      </w:r>
    </w:p>
    <w:p w14:paraId="66EEE68F" w14:textId="77777777" w:rsidR="00772179" w:rsidRDefault="00000000">
      <w:r>
        <w:t>[NBN EN 485-4, Aluminium et alliages d'aluminium - Tôles, bandes et tôles épaisses - Partie 4: Tolérances sur forme et dimensions des produits laminés à froid]</w:t>
      </w:r>
    </w:p>
    <w:p w14:paraId="760FF9E7" w14:textId="77777777" w:rsidR="00772179" w:rsidRDefault="00000000">
      <w:r>
        <w:t>[NBN EN 321, Panneaux à base de bois - Détermination de la résistance à l'humidité selon essais cycliques]</w:t>
      </w:r>
    </w:p>
    <w:p w14:paraId="5DF2F9B8" w14:textId="77777777" w:rsidR="00772179" w:rsidRDefault="00000000">
      <w:r>
        <w:t>[NBN EN 1999-1-1, Eurocode 9: Calcul des structures en aluminium - Partie 1-1: Règles générales]</w:t>
      </w:r>
    </w:p>
    <w:p w14:paraId="4D62E9C6" w14:textId="77777777" w:rsidR="00772179" w:rsidRDefault="00000000">
      <w:r>
        <w:t>[NBN EN 1991-1-4, Eurocode 1 : Actions sur les structures - Partie 1-4 : Actions générales - Actions du vent (+ AC:2010)]</w:t>
      </w:r>
    </w:p>
    <w:p w14:paraId="66AF3A47" w14:textId="77777777" w:rsidR="00772179" w:rsidRDefault="00000000">
      <w:r>
        <w:t>[NBN EN 60335-2-97, Appareils électrodomestiques et analogues - Sécurité - Partie 2-97 : Règles particulières pour les motorisations de volets, stores, rideaux et équipements enroulables analogues]</w:t>
      </w:r>
    </w:p>
    <w:p w14:paraId="6B5B9E77" w14:textId="77777777" w:rsidR="00772179" w:rsidRDefault="00000000">
      <w:pPr>
        <w:pStyle w:val="Author-eSectionHeading6Numberless"/>
      </w:pPr>
      <w:bookmarkStart w:id="271" w:name="_Toc220490007"/>
      <w:r>
        <w:t>41.52.2a Protections solaires extérieures mobiles à lamelles orientables CCTB 01.12</w:t>
      </w:r>
      <w:bookmarkEnd w:id="271"/>
    </w:p>
    <w:p w14:paraId="34DB31EB" w14:textId="77777777" w:rsidR="00772179" w:rsidRDefault="00000000">
      <w:pPr>
        <w:pStyle w:val="pheading"/>
      </w:pPr>
      <w:r>
        <w:t>DESCRIPTION</w:t>
      </w:r>
    </w:p>
    <w:p w14:paraId="5816D36B" w14:textId="77777777" w:rsidR="00772179" w:rsidRDefault="00000000">
      <w:pPr>
        <w:pStyle w:val="pheading"/>
      </w:pPr>
      <w:r>
        <w:t>- Définition / Comprend</w:t>
      </w:r>
    </w:p>
    <w:p w14:paraId="7EB9A1E9" w14:textId="77777777" w:rsidR="00772179" w:rsidRDefault="00000000">
      <w:pPr>
        <w:jc w:val="both"/>
      </w:pPr>
      <w:r>
        <w:t>Il s’agit de la fourniture et de la pose de protections solaires extérieures coulissantes ou pliantes à lamelles orientables posées parallèlement au plan de la façade et composées :</w:t>
      </w:r>
    </w:p>
    <w:p w14:paraId="32855305" w14:textId="77777777" w:rsidR="00772179" w:rsidRDefault="00000000">
      <w:pPr>
        <w:pStyle w:val="Author-eListParagraph"/>
        <w:numPr>
          <w:ilvl w:val="0"/>
          <w:numId w:val="609"/>
        </w:numPr>
      </w:pPr>
      <w:r>
        <w:t>de cadres dans lesquels sont intégrés des lames orientables ;</w:t>
      </w:r>
    </w:p>
    <w:p w14:paraId="3FCEA588" w14:textId="77777777" w:rsidR="00772179" w:rsidRDefault="00000000">
      <w:pPr>
        <w:pStyle w:val="Author-eListParagraph"/>
        <w:numPr>
          <w:ilvl w:val="0"/>
          <w:numId w:val="609"/>
        </w:numPr>
      </w:pPr>
      <w:r>
        <w:t>de dispositifs de guidage et de support avec ancrages de fixation ;</w:t>
      </w:r>
    </w:p>
    <w:p w14:paraId="75B12D84" w14:textId="77777777" w:rsidR="00772179" w:rsidRDefault="00000000">
      <w:pPr>
        <w:pStyle w:val="Author-eListParagraph"/>
        <w:numPr>
          <w:ilvl w:val="0"/>
          <w:numId w:val="609"/>
        </w:numPr>
      </w:pPr>
      <w:r>
        <w:lastRenderedPageBreak/>
        <w:t>de dispositifs de manœuvre ;</w:t>
      </w:r>
    </w:p>
    <w:p w14:paraId="292C1C5D" w14:textId="77777777" w:rsidR="00772179" w:rsidRDefault="00000000">
      <w:pPr>
        <w:pStyle w:val="Author-eListParagraph"/>
        <w:numPr>
          <w:ilvl w:val="0"/>
          <w:numId w:val="609"/>
        </w:numPr>
      </w:pPr>
      <w:r>
        <w:t>d’accessoires complémentaires.</w:t>
      </w:r>
    </w:p>
    <w:p w14:paraId="1C48D58F" w14:textId="77777777" w:rsidR="00772179" w:rsidRDefault="00000000">
      <w:pPr>
        <w:jc w:val="both"/>
      </w:pPr>
      <w:r>
        <w:t>Cet article comprend également :</w:t>
      </w:r>
    </w:p>
    <w:p w14:paraId="31358426" w14:textId="77777777" w:rsidR="00772179" w:rsidRDefault="00000000">
      <w:pPr>
        <w:pStyle w:val="Author-eListParagraph"/>
        <w:numPr>
          <w:ilvl w:val="0"/>
          <w:numId w:val="610"/>
        </w:numPr>
        <w:jc w:val="both"/>
      </w:pPr>
      <w:r>
        <w:t>l’étude par le fabricant des plans de détail à établir sur base des plans de façade et à soumettre à l’approbation de la direction du chantier.</w:t>
      </w:r>
    </w:p>
    <w:p w14:paraId="6D1B7E4B" w14:textId="77777777" w:rsidR="00772179" w:rsidRDefault="00000000">
      <w:pPr>
        <w:pStyle w:val="pheading"/>
      </w:pPr>
      <w:r>
        <w:t>MATÉRIAUX</w:t>
      </w:r>
    </w:p>
    <w:p w14:paraId="52C8F0F1" w14:textId="77777777" w:rsidR="00772179" w:rsidRDefault="00000000">
      <w:pPr>
        <w:pStyle w:val="pheading"/>
      </w:pPr>
      <w:r>
        <w:t>- Caractéristiques générales</w:t>
      </w:r>
    </w:p>
    <w:p w14:paraId="01D02466" w14:textId="77777777" w:rsidR="00772179" w:rsidRDefault="00000000">
      <w:pPr>
        <w:jc w:val="both"/>
      </w:pPr>
      <w:r>
        <w:rPr>
          <w:b/>
        </w:rPr>
        <w:t>Cadre de support</w:t>
      </w:r>
    </w:p>
    <w:p w14:paraId="2910FE2D" w14:textId="77777777" w:rsidR="00772179" w:rsidRDefault="00000000">
      <w:pPr>
        <w:jc w:val="both"/>
      </w:pPr>
      <w:r>
        <w:t>Le cadre de support des protections solaires est composé de profils en aluminium Al Mg Si 0.5 conforme à la [NBN EN 485-2:2016+A1] ou [NBN EN 1396] :</w:t>
      </w:r>
    </w:p>
    <w:p w14:paraId="0BF3C2C5" w14:textId="77777777" w:rsidR="00772179" w:rsidRDefault="00000000">
      <w:pPr>
        <w:pStyle w:val="Author-eListParagraph"/>
        <w:numPr>
          <w:ilvl w:val="0"/>
          <w:numId w:val="611"/>
        </w:numPr>
      </w:pPr>
      <w:r>
        <w:t>Dimensions des cadres : voir métré détaillé.</w:t>
      </w:r>
    </w:p>
    <w:p w14:paraId="2183AF73" w14:textId="77777777" w:rsidR="00772179" w:rsidRDefault="00000000">
      <w:pPr>
        <w:pStyle w:val="Author-eListParagraph"/>
        <w:numPr>
          <w:ilvl w:val="0"/>
          <w:numId w:val="611"/>
        </w:numPr>
      </w:pPr>
      <w:r>
        <w:t xml:space="preserve">Nombre de panneaux : </w:t>
      </w:r>
      <w:r>
        <w:rPr>
          <w:rStyle w:val="optioncarChar"/>
        </w:rPr>
        <w:t xml:space="preserve">suivant plan de principe des façades et étude du fabricant à soumettre pour approbation </w:t>
      </w:r>
      <w:r>
        <w:t>(par défaut)</w:t>
      </w:r>
      <w:r>
        <w:rPr>
          <w:rStyle w:val="optioncarChar"/>
        </w:rPr>
        <w:t xml:space="preserve"> / 1 / 2 / 3 / ***</w:t>
      </w:r>
      <w:r>
        <w:t>.</w:t>
      </w:r>
    </w:p>
    <w:p w14:paraId="53EE84E0" w14:textId="77777777" w:rsidR="00772179" w:rsidRDefault="00000000">
      <w:pPr>
        <w:pStyle w:val="Author-eListParagraph"/>
        <w:numPr>
          <w:ilvl w:val="0"/>
          <w:numId w:val="611"/>
        </w:numPr>
      </w:pPr>
      <w:r>
        <w:t xml:space="preserve">Section : </w:t>
      </w:r>
      <w:r>
        <w:rPr>
          <w:rStyle w:val="optioncarChar"/>
        </w:rPr>
        <w:t xml:space="preserve">40 x 40 </w:t>
      </w:r>
      <w:r>
        <w:t xml:space="preserve">(par défaut) </w:t>
      </w:r>
      <w:r>
        <w:rPr>
          <w:rStyle w:val="optioncarChar"/>
        </w:rPr>
        <w:t>/ 40 x 80 / 45 x 130 / 5 x 40 / 5 x 80 / ***</w:t>
      </w:r>
      <w:r>
        <w:t xml:space="preserve"> mm.</w:t>
      </w:r>
    </w:p>
    <w:p w14:paraId="006C64C3" w14:textId="77777777" w:rsidR="00772179" w:rsidRDefault="00000000">
      <w:pPr>
        <w:pStyle w:val="Author-eListParagraph"/>
        <w:numPr>
          <w:ilvl w:val="0"/>
          <w:numId w:val="611"/>
        </w:numPr>
      </w:pPr>
      <w:r>
        <w:t>Cadre périphérique de finition : 4 faces.</w:t>
      </w:r>
    </w:p>
    <w:p w14:paraId="59624915" w14:textId="77777777" w:rsidR="00772179" w:rsidRDefault="00000000">
      <w:pPr>
        <w:jc w:val="both"/>
      </w:pPr>
      <w:r>
        <w:rPr>
          <w:b/>
        </w:rPr>
        <w:t>Dispositif de manœuvre des cadres de support</w:t>
      </w:r>
    </w:p>
    <w:p w14:paraId="2A9A85F8" w14:textId="77777777" w:rsidR="00772179" w:rsidRDefault="00000000">
      <w:pPr>
        <w:jc w:val="both"/>
      </w:pPr>
      <w:r>
        <w:t>Le guidage est constitué de rails en aluminium Al Mg Si 0.5 :</w:t>
      </w:r>
    </w:p>
    <w:p w14:paraId="05124A26" w14:textId="77777777" w:rsidR="00772179" w:rsidRDefault="00000000">
      <w:pPr>
        <w:pStyle w:val="Author-eListParagraph"/>
        <w:numPr>
          <w:ilvl w:val="0"/>
          <w:numId w:val="612"/>
        </w:numPr>
      </w:pPr>
      <w:r>
        <w:t xml:space="preserve">Fixations : </w:t>
      </w:r>
      <w:r>
        <w:rPr>
          <w:rStyle w:val="optioncarChar"/>
        </w:rPr>
        <w:t>à l’aide de dispositifs rigides</w:t>
      </w:r>
      <w:r>
        <w:t xml:space="preserve"> (par défaut)</w:t>
      </w:r>
      <w:r>
        <w:rPr>
          <w:rStyle w:val="optioncarChar"/>
        </w:rPr>
        <w:t xml:space="preserve"> / de dispositifs permettant la reprise des vibrations / ***</w:t>
      </w:r>
      <w:r>
        <w:t>.</w:t>
      </w:r>
    </w:p>
    <w:p w14:paraId="29B3391F" w14:textId="77777777" w:rsidR="00772179" w:rsidRDefault="00000000">
      <w:pPr>
        <w:pStyle w:val="Author-eListParagraph"/>
        <w:numPr>
          <w:ilvl w:val="0"/>
          <w:numId w:val="612"/>
        </w:numPr>
      </w:pPr>
      <w:r>
        <w:t xml:space="preserve">Placement : </w:t>
      </w:r>
      <w:r>
        <w:rPr>
          <w:rStyle w:val="optioncarChar"/>
        </w:rPr>
        <w:t xml:space="preserve">en saillie </w:t>
      </w:r>
      <w:r>
        <w:t xml:space="preserve">(par défaut) </w:t>
      </w:r>
      <w:r>
        <w:rPr>
          <w:rStyle w:val="optioncarChar"/>
        </w:rPr>
        <w:t>/ encastré / ***</w:t>
      </w:r>
      <w:r>
        <w:t>.</w:t>
      </w:r>
    </w:p>
    <w:p w14:paraId="5BA31F45" w14:textId="77777777" w:rsidR="00772179" w:rsidRDefault="00000000">
      <w:pPr>
        <w:pStyle w:val="Author-eListParagraph"/>
        <w:numPr>
          <w:ilvl w:val="0"/>
          <w:numId w:val="612"/>
        </w:numPr>
      </w:pPr>
      <w:r>
        <w:t xml:space="preserve">Type de guidage : </w:t>
      </w:r>
      <w:r>
        <w:rPr>
          <w:rStyle w:val="optioncarChar"/>
        </w:rPr>
        <w:t>coulissant simple</w:t>
      </w:r>
      <w:r>
        <w:t xml:space="preserve"> (par défaut)</w:t>
      </w:r>
      <w:r>
        <w:rPr>
          <w:rStyle w:val="optioncarChar"/>
        </w:rPr>
        <w:t xml:space="preserve"> / coulissant télescopique / coulissant symétrique / simultané / pliable / ***</w:t>
      </w:r>
      <w:r>
        <w:t>.</w:t>
      </w:r>
    </w:p>
    <w:p w14:paraId="1BF37F13" w14:textId="77777777" w:rsidR="00772179" w:rsidRDefault="00000000">
      <w:pPr>
        <w:pStyle w:val="Author-eListParagraph"/>
        <w:numPr>
          <w:ilvl w:val="0"/>
          <w:numId w:val="612"/>
        </w:numPr>
      </w:pPr>
      <w:r>
        <w:t xml:space="preserve">Type de déplacement : </w:t>
      </w:r>
      <w:r>
        <w:rPr>
          <w:rStyle w:val="optioncarChar"/>
        </w:rPr>
        <w:t>manuel</w:t>
      </w:r>
      <w:r>
        <w:t xml:space="preserve"> (par défaut)</w:t>
      </w:r>
      <w:r>
        <w:rPr>
          <w:rStyle w:val="optioncarChar"/>
        </w:rPr>
        <w:t xml:space="preserve"> / motorisé.</w:t>
      </w:r>
    </w:p>
    <w:p w14:paraId="675EA9AE" w14:textId="77777777" w:rsidR="00772179" w:rsidRDefault="00000000">
      <w:pPr>
        <w:ind w:left="567"/>
        <w:jc w:val="both"/>
      </w:pPr>
      <w:r>
        <w:rPr>
          <w:b/>
        </w:rPr>
        <w:t>(soit par défaut)</w:t>
      </w:r>
    </w:p>
    <w:p w14:paraId="35A077BD" w14:textId="77777777" w:rsidR="00772179" w:rsidRDefault="00000000">
      <w:pPr>
        <w:ind w:left="567"/>
        <w:jc w:val="both"/>
      </w:pPr>
      <w:r>
        <w:rPr>
          <w:rStyle w:val="soitChar"/>
          <w:u w:val="single"/>
        </w:rPr>
        <w:t>Manuel :</w:t>
      </w:r>
      <w:r>
        <w:rPr>
          <w:rStyle w:val="soitChar"/>
        </w:rPr>
        <w:t xml:space="preserve"> par déplacement des cadres à la main.</w:t>
      </w:r>
    </w:p>
    <w:p w14:paraId="681E6D57" w14:textId="77777777" w:rsidR="00772179" w:rsidRDefault="00000000">
      <w:pPr>
        <w:ind w:left="567"/>
        <w:jc w:val="both"/>
      </w:pPr>
      <w:r>
        <w:rPr>
          <w:b/>
        </w:rPr>
        <w:t>(soit)</w:t>
      </w:r>
    </w:p>
    <w:p w14:paraId="7255A115" w14:textId="77777777" w:rsidR="00772179" w:rsidRDefault="00000000">
      <w:pPr>
        <w:ind w:left="567"/>
        <w:jc w:val="both"/>
      </w:pPr>
      <w:r>
        <w:rPr>
          <w:rStyle w:val="soitChar"/>
          <w:u w:val="single"/>
        </w:rPr>
        <w:t>Motorisé :</w:t>
      </w:r>
      <w:r>
        <w:rPr>
          <w:rStyle w:val="soitChar"/>
        </w:rPr>
        <w:t>  Les moteurs électriques sont conformes à la [NBN EN 60335-2-97] et répondent aux exigences de sécurité d’utilisation, de vitesse d’entrainement et de compatibilité électromagnétique.</w:t>
      </w:r>
    </w:p>
    <w:p w14:paraId="5A1193D8" w14:textId="77777777" w:rsidR="00772179" w:rsidRDefault="00000000">
      <w:pPr>
        <w:ind w:left="567"/>
        <w:jc w:val="both"/>
      </w:pPr>
      <w:r>
        <w:rPr>
          <w:rStyle w:val="soitChar"/>
        </w:rPr>
        <w:t>La puissance est adaptée à la protection solaire à actionner afin de respecter les exigences de sécurité et d’endurance.</w:t>
      </w:r>
    </w:p>
    <w:p w14:paraId="6F61B0FD" w14:textId="77777777" w:rsidR="00772179" w:rsidRDefault="00000000">
      <w:pPr>
        <w:pStyle w:val="Author-eListParagraph"/>
        <w:numPr>
          <w:ilvl w:val="0"/>
          <w:numId w:val="613"/>
        </w:numPr>
      </w:pPr>
      <w:r>
        <w:rPr>
          <w:rStyle w:val="soitChar"/>
        </w:rPr>
        <w:t xml:space="preserve">Type : </w:t>
      </w:r>
      <w:r>
        <w:rPr>
          <w:rStyle w:val="optioncarChar"/>
        </w:rPr>
        <w:t>à vitesse constante</w:t>
      </w:r>
      <w:r>
        <w:t xml:space="preserve"> (par défaut) </w:t>
      </w:r>
      <w:r>
        <w:rPr>
          <w:rStyle w:val="optioncarChar"/>
        </w:rPr>
        <w:t>/ variable / ***</w:t>
      </w:r>
      <w:r>
        <w:rPr>
          <w:rStyle w:val="soitChar"/>
        </w:rPr>
        <w:t>.</w:t>
      </w:r>
    </w:p>
    <w:p w14:paraId="11CFCCDA" w14:textId="77777777" w:rsidR="00772179" w:rsidRDefault="00000000">
      <w:pPr>
        <w:pStyle w:val="Author-eListParagraph"/>
        <w:numPr>
          <w:ilvl w:val="0"/>
          <w:numId w:val="613"/>
        </w:numPr>
      </w:pPr>
      <w:r>
        <w:rPr>
          <w:rStyle w:val="soitChar"/>
        </w:rPr>
        <w:t xml:space="preserve">Commande : </w:t>
      </w:r>
      <w:r>
        <w:rPr>
          <w:rStyle w:val="optioncarChar"/>
        </w:rPr>
        <w:t>manuelle</w:t>
      </w:r>
      <w:r>
        <w:t xml:space="preserve"> (par défaut)</w:t>
      </w:r>
      <w:r>
        <w:rPr>
          <w:rStyle w:val="optioncarChar"/>
        </w:rPr>
        <w:t xml:space="preserve"> / manuelle et couplée avec des détecteurs de luminosité et de vitesse de vent décrits et comptés à l’article ***</w:t>
      </w:r>
      <w:r>
        <w:rPr>
          <w:rStyle w:val="soitChar"/>
        </w:rPr>
        <w:t>.</w:t>
      </w:r>
    </w:p>
    <w:p w14:paraId="6BF2933F" w14:textId="77777777" w:rsidR="00772179" w:rsidRDefault="00000000">
      <w:pPr>
        <w:pStyle w:val="Author-eListParagraph"/>
        <w:numPr>
          <w:ilvl w:val="0"/>
          <w:numId w:val="613"/>
        </w:numPr>
      </w:pPr>
      <w:r>
        <w:rPr>
          <w:rStyle w:val="soitChar"/>
        </w:rPr>
        <w:t xml:space="preserve">Vitesse maximale : ≥ à </w:t>
      </w:r>
      <w:r>
        <w:rPr>
          <w:rStyle w:val="optioncarChar"/>
        </w:rPr>
        <w:t>0,10</w:t>
      </w:r>
      <w:r>
        <w:t xml:space="preserve"> (par défaut) </w:t>
      </w:r>
      <w:r>
        <w:rPr>
          <w:rStyle w:val="optioncarChar"/>
        </w:rPr>
        <w:t>/ ***</w:t>
      </w:r>
      <w:r>
        <w:rPr>
          <w:rStyle w:val="soitChar"/>
        </w:rPr>
        <w:t xml:space="preserve"> m/s.</w:t>
      </w:r>
    </w:p>
    <w:p w14:paraId="5407BFBD" w14:textId="77777777" w:rsidR="00772179" w:rsidRDefault="00000000">
      <w:pPr>
        <w:pStyle w:val="Author-eListParagraph"/>
        <w:numPr>
          <w:ilvl w:val="0"/>
          <w:numId w:val="613"/>
        </w:numPr>
      </w:pPr>
      <w:r>
        <w:rPr>
          <w:rStyle w:val="soitChar"/>
        </w:rPr>
        <w:t xml:space="preserve">Degré de protection : IP </w:t>
      </w:r>
      <w:r>
        <w:rPr>
          <w:rStyle w:val="optioncarChar"/>
        </w:rPr>
        <w:t>55</w:t>
      </w:r>
      <w:r>
        <w:t xml:space="preserve"> (par défaut)</w:t>
      </w:r>
      <w:r>
        <w:rPr>
          <w:rStyle w:val="optioncarChar"/>
        </w:rPr>
        <w:t xml:space="preserve"> / ***</w:t>
      </w:r>
      <w:r>
        <w:rPr>
          <w:rStyle w:val="soitChar"/>
        </w:rPr>
        <w:t>.</w:t>
      </w:r>
    </w:p>
    <w:p w14:paraId="48538635" w14:textId="77777777" w:rsidR="00772179" w:rsidRDefault="00000000">
      <w:pPr>
        <w:pStyle w:val="Author-eListParagraph"/>
        <w:numPr>
          <w:ilvl w:val="0"/>
          <w:numId w:val="613"/>
        </w:numPr>
      </w:pPr>
      <w:r>
        <w:rPr>
          <w:rStyle w:val="soitChar"/>
        </w:rPr>
        <w:t>T° de fonctionnement : de - 20 °C à + 50 °C.</w:t>
      </w:r>
    </w:p>
    <w:p w14:paraId="47508335" w14:textId="77777777" w:rsidR="00772179" w:rsidRDefault="00000000">
      <w:pPr>
        <w:pStyle w:val="Author-eListParagraph"/>
        <w:numPr>
          <w:ilvl w:val="0"/>
          <w:numId w:val="613"/>
        </w:numPr>
      </w:pPr>
      <w:r>
        <w:rPr>
          <w:rStyle w:val="soitChar"/>
        </w:rPr>
        <w:t>Sécurité de serrage : oui.</w:t>
      </w:r>
    </w:p>
    <w:p w14:paraId="76C66DEE" w14:textId="77777777" w:rsidR="00772179" w:rsidRDefault="00000000">
      <w:pPr>
        <w:pStyle w:val="Author-eListParagraph"/>
        <w:numPr>
          <w:ilvl w:val="0"/>
          <w:numId w:val="613"/>
        </w:numPr>
      </w:pPr>
      <w:r>
        <w:rPr>
          <w:rStyle w:val="soitChar"/>
        </w:rPr>
        <w:t>Service : ne nécessitant aucun entretien.</w:t>
      </w:r>
    </w:p>
    <w:p w14:paraId="35742FF5" w14:textId="77777777" w:rsidR="00772179" w:rsidRDefault="00000000">
      <w:pPr>
        <w:pStyle w:val="Author-eListParagraph"/>
        <w:numPr>
          <w:ilvl w:val="0"/>
          <w:numId w:val="613"/>
        </w:numPr>
      </w:pPr>
      <w:r>
        <w:rPr>
          <w:rStyle w:val="soitChar"/>
        </w:rPr>
        <w:t xml:space="preserve">Garantie : </w:t>
      </w:r>
      <w:r>
        <w:rPr>
          <w:rStyle w:val="optioncarChar"/>
        </w:rPr>
        <w:t xml:space="preserve">2 </w:t>
      </w:r>
      <w:r>
        <w:t>(par défaut)</w:t>
      </w:r>
      <w:r>
        <w:rPr>
          <w:rStyle w:val="optioncarChar"/>
        </w:rPr>
        <w:t> / ***</w:t>
      </w:r>
      <w:r>
        <w:rPr>
          <w:rStyle w:val="soitChar"/>
        </w:rPr>
        <w:t xml:space="preserve"> ans.</w:t>
      </w:r>
    </w:p>
    <w:p w14:paraId="4560A471" w14:textId="77777777" w:rsidR="00772179" w:rsidRDefault="00000000">
      <w:pPr>
        <w:pStyle w:val="Author-eListParagraph"/>
        <w:numPr>
          <w:ilvl w:val="0"/>
          <w:numId w:val="613"/>
        </w:numPr>
      </w:pPr>
      <w:r>
        <w:rPr>
          <w:rStyle w:val="soitChar"/>
        </w:rPr>
        <w:t xml:space="preserve">Attestation des cycles de test : ≥ à </w:t>
      </w:r>
      <w:r>
        <w:rPr>
          <w:rStyle w:val="optioncarChar"/>
        </w:rPr>
        <w:t xml:space="preserve">100000 </w:t>
      </w:r>
      <w:r>
        <w:t>(par défaut)</w:t>
      </w:r>
      <w:r>
        <w:rPr>
          <w:rStyle w:val="optioncarChar"/>
        </w:rPr>
        <w:t xml:space="preserve"> / ***</w:t>
      </w:r>
      <w:r>
        <w:rPr>
          <w:rStyle w:val="soitChar"/>
        </w:rPr>
        <w:t>.</w:t>
      </w:r>
    </w:p>
    <w:p w14:paraId="2791661C" w14:textId="77777777" w:rsidR="00772179" w:rsidRDefault="00000000">
      <w:pPr>
        <w:jc w:val="both"/>
      </w:pPr>
      <w:r>
        <w:rPr>
          <w:b/>
        </w:rPr>
        <w:t>Porte lamelles</w:t>
      </w:r>
    </w:p>
    <w:p w14:paraId="1006F899" w14:textId="77777777" w:rsidR="00772179" w:rsidRDefault="00000000">
      <w:pPr>
        <w:pStyle w:val="Author-eListParagraph"/>
        <w:numPr>
          <w:ilvl w:val="0"/>
          <w:numId w:val="614"/>
        </w:numPr>
      </w:pPr>
      <w:r>
        <w:t>Pièces intégrées dans le cadre de support en </w:t>
      </w:r>
      <w:r>
        <w:rPr>
          <w:rStyle w:val="optioncarChar"/>
        </w:rPr>
        <w:t xml:space="preserve">bagues en matière synthétique fabriquées à partir de polyamide renforcé de fibre de verre et résistante aux UV </w:t>
      </w:r>
      <w:r>
        <w:t>(par défaut)</w:t>
      </w:r>
      <w:r>
        <w:rPr>
          <w:rStyle w:val="optioncarChar"/>
        </w:rPr>
        <w:t xml:space="preserve"> / acier inoxydable / ***.</w:t>
      </w:r>
    </w:p>
    <w:p w14:paraId="767BB070" w14:textId="77777777" w:rsidR="00772179" w:rsidRDefault="00000000">
      <w:pPr>
        <w:pStyle w:val="Author-eListParagraph"/>
        <w:numPr>
          <w:ilvl w:val="0"/>
          <w:numId w:val="614"/>
        </w:numPr>
      </w:pPr>
      <w:r>
        <w:t xml:space="preserve">Fixation des lames : </w:t>
      </w:r>
      <w:r>
        <w:rPr>
          <w:rStyle w:val="optioncarChar"/>
        </w:rPr>
        <w:t xml:space="preserve">axes en acier inoxydable </w:t>
      </w:r>
      <w:r>
        <w:t>(par défaut)</w:t>
      </w:r>
      <w:r>
        <w:rPr>
          <w:rStyle w:val="optioncarChar"/>
        </w:rPr>
        <w:t xml:space="preserve"> / ***</w:t>
      </w:r>
      <w:r>
        <w:t>.</w:t>
      </w:r>
    </w:p>
    <w:p w14:paraId="022CB4FF" w14:textId="77777777" w:rsidR="00772179" w:rsidRDefault="00000000">
      <w:pPr>
        <w:pStyle w:val="Author-eListParagraph"/>
        <w:numPr>
          <w:ilvl w:val="0"/>
          <w:numId w:val="614"/>
        </w:numPr>
      </w:pPr>
      <w:r>
        <w:t xml:space="preserve">Position des lames par rapport au cadre de support : </w:t>
      </w:r>
      <w:r>
        <w:rPr>
          <w:rStyle w:val="optioncarChar"/>
        </w:rPr>
        <w:t xml:space="preserve">encadrées </w:t>
      </w:r>
      <w:r>
        <w:t>(par défaut)</w:t>
      </w:r>
      <w:r>
        <w:rPr>
          <w:rStyle w:val="optioncarChar"/>
        </w:rPr>
        <w:t xml:space="preserve"> / ***</w:t>
      </w:r>
      <w:r>
        <w:t>.</w:t>
      </w:r>
    </w:p>
    <w:p w14:paraId="08285B4E" w14:textId="77777777" w:rsidR="00772179" w:rsidRDefault="00000000">
      <w:pPr>
        <w:pStyle w:val="Author-eListParagraph"/>
        <w:numPr>
          <w:ilvl w:val="0"/>
          <w:numId w:val="614"/>
        </w:numPr>
      </w:pPr>
      <w:r>
        <w:lastRenderedPageBreak/>
        <w:t xml:space="preserve">Angle d’inclinaison des lames : </w:t>
      </w:r>
      <w:r>
        <w:rPr>
          <w:rStyle w:val="optioncarChar"/>
        </w:rPr>
        <w:t xml:space="preserve">orientable à 90° </w:t>
      </w:r>
      <w:r>
        <w:t xml:space="preserve">(par défaut) </w:t>
      </w:r>
      <w:r>
        <w:rPr>
          <w:rStyle w:val="optioncarChar"/>
        </w:rPr>
        <w:t>/ *** °</w:t>
      </w:r>
      <w:r>
        <w:t>.</w:t>
      </w:r>
    </w:p>
    <w:p w14:paraId="0F436974" w14:textId="77777777" w:rsidR="00772179" w:rsidRDefault="00000000">
      <w:pPr>
        <w:pStyle w:val="Author-eListParagraph"/>
        <w:numPr>
          <w:ilvl w:val="0"/>
          <w:numId w:val="614"/>
        </w:numPr>
      </w:pPr>
      <w:r>
        <w:t xml:space="preserve">Pas des lames : </w:t>
      </w:r>
      <w:r>
        <w:rPr>
          <w:rStyle w:val="optioncarChar"/>
        </w:rPr>
        <w:t xml:space="preserve">suivant étude du fabricant à soumettre pour approbation </w:t>
      </w:r>
      <w:r>
        <w:t>(par défaut)</w:t>
      </w:r>
      <w:r>
        <w:rPr>
          <w:rStyle w:val="optioncarChar"/>
        </w:rPr>
        <w:t xml:space="preserve"> / *** mm.</w:t>
      </w:r>
    </w:p>
    <w:p w14:paraId="28312E65" w14:textId="77777777" w:rsidR="00772179" w:rsidRDefault="00000000">
      <w:pPr>
        <w:jc w:val="both"/>
      </w:pPr>
      <w:r>
        <w:rPr>
          <w:b/>
        </w:rPr>
        <w:t>Lamelles</w:t>
      </w:r>
    </w:p>
    <w:p w14:paraId="01CDAA2E" w14:textId="77777777" w:rsidR="00772179" w:rsidRDefault="00000000">
      <w:pPr>
        <w:jc w:val="both"/>
      </w:pPr>
      <w:r>
        <w:t xml:space="preserve">Les lames de protection solaire sont en </w:t>
      </w:r>
      <w:r>
        <w:rPr>
          <w:rStyle w:val="optioncarChar"/>
        </w:rPr>
        <w:t>aluminium</w:t>
      </w:r>
      <w:r>
        <w:t xml:space="preserve"> (par défaut)</w:t>
      </w:r>
      <w:r>
        <w:rPr>
          <w:rStyle w:val="optioncarChar"/>
        </w:rPr>
        <w:t xml:space="preserve"> / bois / ***</w:t>
      </w:r>
      <w:r>
        <w:t>.</w:t>
      </w:r>
    </w:p>
    <w:p w14:paraId="4A065B7F" w14:textId="77777777" w:rsidR="00772179" w:rsidRDefault="00000000">
      <w:pPr>
        <w:jc w:val="both"/>
      </w:pPr>
      <w:r>
        <w:rPr>
          <w:b/>
        </w:rPr>
        <w:t>(soit par défaut)</w:t>
      </w:r>
    </w:p>
    <w:p w14:paraId="70F102D9" w14:textId="77777777" w:rsidR="00772179" w:rsidRDefault="00000000">
      <w:pPr>
        <w:jc w:val="both"/>
      </w:pPr>
      <w:r>
        <w:rPr>
          <w:rStyle w:val="soitChar"/>
          <w:u w:val="single"/>
        </w:rPr>
        <w:t>Aluminium :</w:t>
      </w:r>
      <w:r>
        <w:rPr>
          <w:rStyle w:val="soitChar"/>
        </w:rPr>
        <w:t>  Al Mg Si 0.5 conforme à la [NBN EN 485-2:2016+A1] ou [NBN EN 1396]. L'épaisseur des tôles de parement en aluminium est déterminée conformément à la [NBN EN 485-4] ou [NBN EN 1396].</w:t>
      </w:r>
    </w:p>
    <w:p w14:paraId="6907209C" w14:textId="77777777" w:rsidR="00772179" w:rsidRDefault="00000000">
      <w:pPr>
        <w:jc w:val="both"/>
      </w:pPr>
      <w:r>
        <w:rPr>
          <w:b/>
        </w:rPr>
        <w:t>(soit)</w:t>
      </w:r>
    </w:p>
    <w:p w14:paraId="517B0286" w14:textId="77777777" w:rsidR="00772179" w:rsidRDefault="00000000">
      <w:pPr>
        <w:jc w:val="both"/>
      </w:pPr>
      <w:r>
        <w:rPr>
          <w:rStyle w:val="soitChar"/>
          <w:u w:val="single"/>
        </w:rPr>
        <w:t>Bois :</w:t>
      </w:r>
      <w:r>
        <w:rPr>
          <w:rStyle w:val="soitChar"/>
        </w:rPr>
        <w:t xml:space="preserve"> de type </w:t>
      </w:r>
      <w:r>
        <w:rPr>
          <w:rStyle w:val="optioncarChar"/>
        </w:rPr>
        <w:t xml:space="preserve">contreplaqué </w:t>
      </w:r>
      <w:r>
        <w:t>(par défaut)</w:t>
      </w:r>
      <w:r>
        <w:rPr>
          <w:rStyle w:val="optioncarChar"/>
        </w:rPr>
        <w:t xml:space="preserve"> / panneau de particule / planchettes d’essence de bois *** / ***</w:t>
      </w:r>
      <w:r>
        <w:rPr>
          <w:rStyle w:val="soitChar"/>
        </w:rPr>
        <w:t xml:space="preserve">. Le parement en bois et son collage sont choisis pour résister au vieillissement tel que spécifié dans la [NBN EN 321]. L’essence de bois sur le parement extérieur est de classe de durabilité naturelle </w:t>
      </w:r>
      <w:r>
        <w:rPr>
          <w:rStyle w:val="optioncarChar"/>
        </w:rPr>
        <w:t>1 / 2</w:t>
      </w:r>
      <w:r>
        <w:rPr>
          <w:rStyle w:val="soitChar"/>
        </w:rPr>
        <w:t xml:space="preserve"> ou a reçu un traitement de préservation de type </w:t>
      </w:r>
      <w:r>
        <w:rPr>
          <w:rStyle w:val="optioncarChar"/>
        </w:rPr>
        <w:t xml:space="preserve">C1 </w:t>
      </w:r>
      <w:r>
        <w:t xml:space="preserve">(par défaut) </w:t>
      </w:r>
      <w:r>
        <w:rPr>
          <w:rStyle w:val="optioncarChar"/>
        </w:rPr>
        <w:t>/ ***</w:t>
      </w:r>
      <w:r>
        <w:rPr>
          <w:rStyle w:val="soitChar"/>
        </w:rPr>
        <w:t>.  </w:t>
      </w:r>
    </w:p>
    <w:p w14:paraId="771CA033" w14:textId="77777777" w:rsidR="00772179" w:rsidRDefault="00000000">
      <w:pPr>
        <w:jc w:val="both"/>
      </w:pPr>
      <w:r>
        <w:rPr>
          <w:b/>
        </w:rPr>
        <w:t>(soit)</w:t>
      </w:r>
    </w:p>
    <w:p w14:paraId="203AB658" w14:textId="77777777" w:rsidR="00772179" w:rsidRDefault="00000000">
      <w:pPr>
        <w:jc w:val="both"/>
      </w:pPr>
      <w:r>
        <w:rPr>
          <w:rStyle w:val="optioncarChar"/>
        </w:rPr>
        <w:t>***</w:t>
      </w:r>
    </w:p>
    <w:p w14:paraId="07722484" w14:textId="77777777" w:rsidR="00772179" w:rsidRDefault="00000000">
      <w:pPr>
        <w:pStyle w:val="Author-eListParagraph"/>
        <w:numPr>
          <w:ilvl w:val="0"/>
          <w:numId w:val="615"/>
        </w:numPr>
      </w:pPr>
      <w:r>
        <w:t xml:space="preserve">Forme : </w:t>
      </w:r>
      <w:r>
        <w:rPr>
          <w:rStyle w:val="optioncarChar"/>
        </w:rPr>
        <w:t xml:space="preserve">à faces planes parallèles </w:t>
      </w:r>
      <w:r>
        <w:t>(par défaut)</w:t>
      </w:r>
      <w:r>
        <w:rPr>
          <w:rStyle w:val="optioncarChar"/>
        </w:rPr>
        <w:t xml:space="preserve"> / planes incurvées / en forme de Z / bombées / ellipsoïdales / ***</w:t>
      </w:r>
      <w:r>
        <w:t>.</w:t>
      </w:r>
    </w:p>
    <w:p w14:paraId="40EF8790" w14:textId="77777777" w:rsidR="00772179" w:rsidRDefault="00000000">
      <w:pPr>
        <w:pStyle w:val="Author-eListParagraph"/>
        <w:numPr>
          <w:ilvl w:val="0"/>
          <w:numId w:val="615"/>
        </w:numPr>
      </w:pPr>
      <w:r>
        <w:t xml:space="preserve">Largeur (aussi appelée hauteur) des lames : </w:t>
      </w:r>
      <w:r>
        <w:rPr>
          <w:rStyle w:val="optioncarChar"/>
        </w:rPr>
        <w:t xml:space="preserve">40 </w:t>
      </w:r>
      <w:r>
        <w:t>(par défaut)</w:t>
      </w:r>
      <w:r>
        <w:rPr>
          <w:rStyle w:val="optioncarChar"/>
        </w:rPr>
        <w:t xml:space="preserve"> / 50 / 70 / 75 / 80 / ***</w:t>
      </w:r>
      <w:r>
        <w:t xml:space="preserve"> mm.</w:t>
      </w:r>
    </w:p>
    <w:p w14:paraId="40306E36" w14:textId="77777777" w:rsidR="00772179" w:rsidRDefault="00000000">
      <w:pPr>
        <w:pStyle w:val="Author-eListParagraph"/>
        <w:numPr>
          <w:ilvl w:val="0"/>
          <w:numId w:val="615"/>
        </w:numPr>
      </w:pPr>
      <w:r>
        <w:t xml:space="preserve">Pas des lames : </w:t>
      </w:r>
      <w:r>
        <w:rPr>
          <w:rStyle w:val="optioncarChar"/>
        </w:rPr>
        <w:t>suivant étude du fabricant à soumettre pour approbation</w:t>
      </w:r>
      <w:r>
        <w:t xml:space="preserve"> (par défaut)</w:t>
      </w:r>
      <w:r>
        <w:rPr>
          <w:rStyle w:val="optioncarChar"/>
        </w:rPr>
        <w:t xml:space="preserve"> / 70 / 75 / 10 / 100 / 110 / 140 / *** mm</w:t>
      </w:r>
      <w:r>
        <w:t>.</w:t>
      </w:r>
    </w:p>
    <w:p w14:paraId="1D00F1B9" w14:textId="77777777" w:rsidR="00772179" w:rsidRDefault="00000000">
      <w:pPr>
        <w:pStyle w:val="Author-eListParagraph"/>
        <w:numPr>
          <w:ilvl w:val="0"/>
          <w:numId w:val="615"/>
        </w:numPr>
      </w:pPr>
      <w:r>
        <w:t xml:space="preserve">Sens de pose : </w:t>
      </w:r>
      <w:r>
        <w:rPr>
          <w:rStyle w:val="optioncarChar"/>
        </w:rPr>
        <w:t>horizontal / vertical.</w:t>
      </w:r>
    </w:p>
    <w:p w14:paraId="48461375" w14:textId="77777777" w:rsidR="00772179" w:rsidRDefault="00000000">
      <w:pPr>
        <w:jc w:val="both"/>
      </w:pPr>
      <w:r>
        <w:rPr>
          <w:b/>
        </w:rPr>
        <w:t>Dispositif de manœuvre des lamelles</w:t>
      </w:r>
    </w:p>
    <w:p w14:paraId="436553C2" w14:textId="77777777" w:rsidR="00772179" w:rsidRDefault="00000000">
      <w:pPr>
        <w:jc w:val="both"/>
      </w:pPr>
      <w:r>
        <w:rPr>
          <w:rStyle w:val="optioncarChar"/>
        </w:rPr>
        <w:t>Manuel</w:t>
      </w:r>
      <w:r>
        <w:t xml:space="preserve"> (par défaut) </w:t>
      </w:r>
      <w:r>
        <w:rPr>
          <w:rStyle w:val="optioncarChar"/>
        </w:rPr>
        <w:t>/ Motorisé.</w:t>
      </w:r>
    </w:p>
    <w:p w14:paraId="214B14AB" w14:textId="77777777" w:rsidR="00772179" w:rsidRDefault="00000000">
      <w:pPr>
        <w:jc w:val="both"/>
      </w:pPr>
      <w:r>
        <w:rPr>
          <w:b/>
        </w:rPr>
        <w:t>(soit par défaut)</w:t>
      </w:r>
    </w:p>
    <w:p w14:paraId="586499C5" w14:textId="77777777" w:rsidR="00772179" w:rsidRDefault="00000000">
      <w:pPr>
        <w:jc w:val="both"/>
      </w:pPr>
      <w:r>
        <w:rPr>
          <w:rStyle w:val="soitChar"/>
          <w:u w:val="single"/>
        </w:rPr>
        <w:t>Manuel :</w:t>
      </w:r>
      <w:r>
        <w:rPr>
          <w:rStyle w:val="soitChar"/>
        </w:rPr>
        <w:t xml:space="preserve"> par l’intermédiaire d’une tringle de transmission reliant les lames orientables entre elles.</w:t>
      </w:r>
    </w:p>
    <w:p w14:paraId="266BF681" w14:textId="77777777" w:rsidR="00772179" w:rsidRDefault="00000000">
      <w:pPr>
        <w:jc w:val="both"/>
      </w:pPr>
      <w:r>
        <w:rPr>
          <w:b/>
        </w:rPr>
        <w:t>(soit)</w:t>
      </w:r>
    </w:p>
    <w:p w14:paraId="16DC87D6" w14:textId="77777777" w:rsidR="00772179" w:rsidRDefault="00000000">
      <w:pPr>
        <w:jc w:val="both"/>
      </w:pPr>
      <w:r>
        <w:rPr>
          <w:rStyle w:val="soitChar"/>
        </w:rPr>
        <w:t>Motorisé :  Les moteurs électriques sont conformes à la [NBN EN 60335-2-97] et répondent aux exigences de sécurité d’utilisation, de vitesse d’entrainement et de compatibilité électromagnétique.</w:t>
      </w:r>
    </w:p>
    <w:p w14:paraId="2553CF78" w14:textId="77777777" w:rsidR="00772179" w:rsidRDefault="00000000">
      <w:pPr>
        <w:jc w:val="both"/>
      </w:pPr>
      <w:r>
        <w:rPr>
          <w:rStyle w:val="soitChar"/>
        </w:rPr>
        <w:t>Transmission électrique par l’intermédiaire d’une tringle mobile et réglable reliant les lames orientables entre elles. La puissance du moteur est adaptée selon la grandeur et le nombre de lames (poids) afin de respecter les exigences de sécurité et d’endurance.</w:t>
      </w:r>
    </w:p>
    <w:p w14:paraId="1B4B0750" w14:textId="77777777" w:rsidR="00772179" w:rsidRDefault="00000000">
      <w:pPr>
        <w:pStyle w:val="Author-eListParagraph"/>
        <w:numPr>
          <w:ilvl w:val="0"/>
          <w:numId w:val="616"/>
        </w:numPr>
      </w:pPr>
      <w:r>
        <w:rPr>
          <w:rStyle w:val="soitChar"/>
        </w:rPr>
        <w:t xml:space="preserve">Type : </w:t>
      </w:r>
      <w:r>
        <w:rPr>
          <w:rStyle w:val="optioncarChar"/>
        </w:rPr>
        <w:t>à vitesse constante</w:t>
      </w:r>
      <w:r>
        <w:t xml:space="preserve"> (par défaut)</w:t>
      </w:r>
      <w:r>
        <w:rPr>
          <w:rStyle w:val="optioncarChar"/>
        </w:rPr>
        <w:t xml:space="preserve"> / ***</w:t>
      </w:r>
      <w:r>
        <w:rPr>
          <w:rStyle w:val="soitChar"/>
        </w:rPr>
        <w:t>.</w:t>
      </w:r>
    </w:p>
    <w:p w14:paraId="28643DF0" w14:textId="77777777" w:rsidR="00772179" w:rsidRDefault="00000000">
      <w:pPr>
        <w:pStyle w:val="Author-eListParagraph"/>
        <w:numPr>
          <w:ilvl w:val="0"/>
          <w:numId w:val="616"/>
        </w:numPr>
      </w:pPr>
      <w:r>
        <w:rPr>
          <w:rStyle w:val="soitChar"/>
        </w:rPr>
        <w:t xml:space="preserve">Commande : </w:t>
      </w:r>
      <w:r>
        <w:rPr>
          <w:rStyle w:val="optioncarChar"/>
        </w:rPr>
        <w:t xml:space="preserve">manuelle </w:t>
      </w:r>
      <w:r>
        <w:t>(par défaut)</w:t>
      </w:r>
      <w:r>
        <w:rPr>
          <w:rStyle w:val="optioncarChar"/>
        </w:rPr>
        <w:t xml:space="preserve"> / manuelle et couplée avec des détecteurs de luminosité</w:t>
      </w:r>
      <w:r>
        <w:rPr>
          <w:rStyle w:val="soitChar"/>
        </w:rPr>
        <w:t>.</w:t>
      </w:r>
    </w:p>
    <w:p w14:paraId="28A8EAAB" w14:textId="77777777" w:rsidR="00772179" w:rsidRDefault="00000000">
      <w:pPr>
        <w:pStyle w:val="Author-eListParagraph"/>
        <w:numPr>
          <w:ilvl w:val="0"/>
          <w:numId w:val="616"/>
        </w:numPr>
      </w:pPr>
      <w:r>
        <w:rPr>
          <w:rStyle w:val="soitChar"/>
        </w:rPr>
        <w:t xml:space="preserve">Degré de protection : IP </w:t>
      </w:r>
      <w:r>
        <w:rPr>
          <w:rStyle w:val="optioncarChar"/>
        </w:rPr>
        <w:t xml:space="preserve">55 </w:t>
      </w:r>
      <w:r>
        <w:t>(par défaut)</w:t>
      </w:r>
      <w:r>
        <w:rPr>
          <w:rStyle w:val="optioncarChar"/>
        </w:rPr>
        <w:t xml:space="preserve"> / ***</w:t>
      </w:r>
      <w:r>
        <w:rPr>
          <w:rStyle w:val="soitChar"/>
        </w:rPr>
        <w:t>.</w:t>
      </w:r>
    </w:p>
    <w:p w14:paraId="733F6AB9" w14:textId="77777777" w:rsidR="00772179" w:rsidRDefault="00000000">
      <w:pPr>
        <w:pStyle w:val="Author-eListParagraph"/>
        <w:numPr>
          <w:ilvl w:val="0"/>
          <w:numId w:val="616"/>
        </w:numPr>
      </w:pPr>
      <w:r>
        <w:rPr>
          <w:rStyle w:val="soitChar"/>
        </w:rPr>
        <w:t>T° de fonctionnement : de - 20 °C à + 50 °C.</w:t>
      </w:r>
    </w:p>
    <w:p w14:paraId="62EE3BC8" w14:textId="77777777" w:rsidR="00772179" w:rsidRDefault="00000000">
      <w:pPr>
        <w:pStyle w:val="Author-eListParagraph"/>
        <w:numPr>
          <w:ilvl w:val="0"/>
          <w:numId w:val="616"/>
        </w:numPr>
      </w:pPr>
      <w:r>
        <w:rPr>
          <w:rStyle w:val="soitChar"/>
        </w:rPr>
        <w:t>Service : ne nécessitant aucun entretien.</w:t>
      </w:r>
    </w:p>
    <w:p w14:paraId="68785C2B" w14:textId="77777777" w:rsidR="00772179" w:rsidRDefault="00000000">
      <w:pPr>
        <w:pStyle w:val="Author-eListParagraph"/>
        <w:numPr>
          <w:ilvl w:val="0"/>
          <w:numId w:val="616"/>
        </w:numPr>
      </w:pPr>
      <w:r>
        <w:rPr>
          <w:rStyle w:val="soitChar"/>
        </w:rPr>
        <w:t xml:space="preserve">Garantie : </w:t>
      </w:r>
      <w:r>
        <w:rPr>
          <w:rStyle w:val="optioncarChar"/>
        </w:rPr>
        <w:t xml:space="preserve">2 </w:t>
      </w:r>
      <w:r>
        <w:t>(par défaut) </w:t>
      </w:r>
      <w:r>
        <w:rPr>
          <w:rStyle w:val="optioncarChar"/>
        </w:rPr>
        <w:t>/ ***</w:t>
      </w:r>
      <w:r>
        <w:rPr>
          <w:rStyle w:val="soitChar"/>
        </w:rPr>
        <w:t xml:space="preserve"> ans.</w:t>
      </w:r>
    </w:p>
    <w:p w14:paraId="6C74C8C4" w14:textId="77777777" w:rsidR="00772179" w:rsidRDefault="00000000">
      <w:pPr>
        <w:pStyle w:val="Author-eListParagraph"/>
        <w:numPr>
          <w:ilvl w:val="0"/>
          <w:numId w:val="616"/>
        </w:numPr>
      </w:pPr>
      <w:r>
        <w:rPr>
          <w:rStyle w:val="soitChar"/>
        </w:rPr>
        <w:t xml:space="preserve">Attestation des cycles de test : ≥ à </w:t>
      </w:r>
      <w:r>
        <w:rPr>
          <w:rStyle w:val="optioncarChar"/>
        </w:rPr>
        <w:t xml:space="preserve">100000 </w:t>
      </w:r>
      <w:r>
        <w:t>(par défaut)</w:t>
      </w:r>
      <w:r>
        <w:rPr>
          <w:rStyle w:val="optioncarChar"/>
        </w:rPr>
        <w:t xml:space="preserve"> / ***</w:t>
      </w:r>
      <w:r>
        <w:rPr>
          <w:rStyle w:val="soitChar"/>
        </w:rPr>
        <w:t>.</w:t>
      </w:r>
    </w:p>
    <w:p w14:paraId="5746FDAA" w14:textId="77777777" w:rsidR="00772179" w:rsidRDefault="00000000">
      <w:pPr>
        <w:jc w:val="both"/>
      </w:pPr>
      <w:r>
        <w:rPr>
          <w:b/>
        </w:rPr>
        <w:t>Aspects environnementaux</w:t>
      </w:r>
    </w:p>
    <w:p w14:paraId="597E4357" w14:textId="77777777" w:rsidR="00772179" w:rsidRDefault="00000000">
      <w:pPr>
        <w:pStyle w:val="Author-eListParagraph"/>
        <w:numPr>
          <w:ilvl w:val="0"/>
          <w:numId w:val="617"/>
        </w:numPr>
      </w:pPr>
      <w:r>
        <w:t xml:space="preserve">Matériaux disposant d’un label suivant prescriptions du 02.42.6 Labels environnementaux : </w:t>
      </w:r>
      <w:r>
        <w:rPr>
          <w:rStyle w:val="optioncarChar"/>
        </w:rPr>
        <w:t>oui / non </w:t>
      </w:r>
    </w:p>
    <w:p w14:paraId="5BEA3F9D" w14:textId="77777777" w:rsidR="00772179" w:rsidRDefault="00000000">
      <w:pPr>
        <w:jc w:val="both"/>
      </w:pPr>
      <w:r>
        <w:t>Pour les profils aluminium :</w:t>
      </w:r>
    </w:p>
    <w:p w14:paraId="4497502A" w14:textId="77777777" w:rsidR="00772179" w:rsidRDefault="00000000">
      <w:pPr>
        <w:pStyle w:val="Author-eListParagraph"/>
        <w:numPr>
          <w:ilvl w:val="0"/>
          <w:numId w:val="618"/>
        </w:numPr>
      </w:pPr>
      <w:r>
        <w:t xml:space="preserve">Matériaux recyclés entrant dans la fabrication du produit : </w:t>
      </w:r>
      <w:r>
        <w:rPr>
          <w:rStyle w:val="optioncarChar"/>
        </w:rPr>
        <w:t>oui / non</w:t>
      </w:r>
      <w:r>
        <w:t> </w:t>
      </w:r>
    </w:p>
    <w:p w14:paraId="7BEB24D6" w14:textId="77777777" w:rsidR="00772179" w:rsidRDefault="00000000">
      <w:pPr>
        <w:jc w:val="both"/>
      </w:pPr>
      <w:r>
        <w:t>Pour les lamelles en bois :</w:t>
      </w:r>
    </w:p>
    <w:p w14:paraId="06F10DD2" w14:textId="77777777" w:rsidR="00772179" w:rsidRDefault="00000000">
      <w:pPr>
        <w:pStyle w:val="Author-eListParagraph"/>
        <w:numPr>
          <w:ilvl w:val="0"/>
          <w:numId w:val="619"/>
        </w:numPr>
        <w:jc w:val="both"/>
      </w:pPr>
      <w:r>
        <w:lastRenderedPageBreak/>
        <w:t xml:space="preserve">Panneaux à base de bois issu de forêts gérées durablement suivant prescriptions du 02.42.4 Bois provenant de forêts gérées durablement : </w:t>
      </w:r>
      <w:r>
        <w:rPr>
          <w:rStyle w:val="optioncarChar"/>
        </w:rPr>
        <w:t>oui / non </w:t>
      </w:r>
    </w:p>
    <w:p w14:paraId="68ABF04D" w14:textId="77777777" w:rsidR="00772179" w:rsidRDefault="00000000">
      <w:pPr>
        <w:pStyle w:val="pheading"/>
      </w:pPr>
      <w:r>
        <w:t>- Finitions</w:t>
      </w:r>
    </w:p>
    <w:p w14:paraId="272EB0F6" w14:textId="77777777" w:rsidR="00772179" w:rsidRDefault="00000000">
      <w:pPr>
        <w:jc w:val="both"/>
      </w:pPr>
      <w:r>
        <w:rPr>
          <w:b/>
        </w:rPr>
        <w:t>Cadre de support</w:t>
      </w:r>
    </w:p>
    <w:p w14:paraId="454791ED" w14:textId="77777777" w:rsidR="00772179" w:rsidRDefault="00000000">
      <w:pPr>
        <w:jc w:val="both"/>
      </w:pPr>
      <w:r>
        <w:rPr>
          <w:rStyle w:val="optioncarChar"/>
        </w:rPr>
        <w:t>Anodisé</w:t>
      </w:r>
      <w:r>
        <w:t xml:space="preserve"> (par défaut) </w:t>
      </w:r>
      <w:r>
        <w:rPr>
          <w:rStyle w:val="optioncarChar"/>
        </w:rPr>
        <w:t>/ Thermolaqué par poudrage polyester / ***</w:t>
      </w:r>
      <w:r>
        <w:t>.</w:t>
      </w:r>
    </w:p>
    <w:p w14:paraId="65B612A7" w14:textId="77777777" w:rsidR="00772179" w:rsidRDefault="00000000">
      <w:pPr>
        <w:jc w:val="both"/>
      </w:pPr>
      <w:r>
        <w:rPr>
          <w:b/>
        </w:rPr>
        <w:t>(soit par défaut)</w:t>
      </w:r>
    </w:p>
    <w:p w14:paraId="14F67D8B" w14:textId="77777777" w:rsidR="00772179" w:rsidRDefault="00000000">
      <w:pPr>
        <w:jc w:val="both"/>
      </w:pPr>
      <w:r>
        <w:rPr>
          <w:rStyle w:val="soitChar"/>
          <w:u w:val="single"/>
        </w:rPr>
        <w:t>Anodisé :</w:t>
      </w:r>
      <w:r>
        <w:rPr>
          <w:rStyle w:val="soitChar"/>
        </w:rPr>
        <w:t xml:space="preserve"> selon [Qualanod] épaisseur ≥ 18 μm</w:t>
      </w:r>
    </w:p>
    <w:p w14:paraId="4F3AEE0D" w14:textId="77777777" w:rsidR="00772179" w:rsidRDefault="00000000">
      <w:pPr>
        <w:pStyle w:val="Author-eListParagraph"/>
        <w:numPr>
          <w:ilvl w:val="0"/>
          <w:numId w:val="620"/>
        </w:numPr>
      </w:pPr>
      <w:r>
        <w:rPr>
          <w:rStyle w:val="soitChar"/>
        </w:rPr>
        <w:t xml:space="preserve">Couleur : </w:t>
      </w:r>
      <w:r>
        <w:rPr>
          <w:rStyle w:val="optioncarChar"/>
        </w:rPr>
        <w:t>naturelle</w:t>
      </w:r>
      <w:r>
        <w:t xml:space="preserve"> (par défaut) </w:t>
      </w:r>
      <w:r>
        <w:rPr>
          <w:rStyle w:val="optioncarChar"/>
        </w:rPr>
        <w:t>/ ***.</w:t>
      </w:r>
    </w:p>
    <w:p w14:paraId="22CB372D" w14:textId="77777777" w:rsidR="00772179" w:rsidRDefault="00000000">
      <w:pPr>
        <w:pStyle w:val="Author-eListParagraph"/>
        <w:numPr>
          <w:ilvl w:val="0"/>
          <w:numId w:val="620"/>
        </w:numPr>
      </w:pPr>
      <w:r>
        <w:rPr>
          <w:rStyle w:val="soitChar"/>
        </w:rPr>
        <w:t xml:space="preserve">Finition : </w:t>
      </w:r>
      <w:r>
        <w:rPr>
          <w:rStyle w:val="optioncarChar"/>
        </w:rPr>
        <w:t>mate</w:t>
      </w:r>
      <w:r>
        <w:t xml:space="preserve"> (par défaut) </w:t>
      </w:r>
      <w:r>
        <w:rPr>
          <w:rStyle w:val="optioncarChar"/>
        </w:rPr>
        <w:t>/ ***.</w:t>
      </w:r>
    </w:p>
    <w:p w14:paraId="691073A4" w14:textId="77777777" w:rsidR="00772179" w:rsidRDefault="00000000">
      <w:pPr>
        <w:jc w:val="both"/>
      </w:pPr>
      <w:r>
        <w:rPr>
          <w:b/>
        </w:rPr>
        <w:t>(soit)</w:t>
      </w:r>
    </w:p>
    <w:p w14:paraId="3731408E" w14:textId="77777777" w:rsidR="00772179" w:rsidRDefault="00000000">
      <w:pPr>
        <w:jc w:val="both"/>
      </w:pPr>
      <w:r>
        <w:rPr>
          <w:rStyle w:val="soitChar"/>
          <w:u w:val="single"/>
        </w:rPr>
        <w:t>Thermolaqué par poudrage polyester :</w:t>
      </w:r>
      <w:r>
        <w:rPr>
          <w:rStyle w:val="soitChar"/>
        </w:rPr>
        <w:t xml:space="preserve"> selon [Qualicoat] épaisseur ≥ 60 μm</w:t>
      </w:r>
    </w:p>
    <w:p w14:paraId="77866997" w14:textId="77777777" w:rsidR="00772179" w:rsidRDefault="00000000">
      <w:pPr>
        <w:pStyle w:val="Author-eListParagraph"/>
        <w:numPr>
          <w:ilvl w:val="0"/>
          <w:numId w:val="621"/>
        </w:numPr>
      </w:pPr>
      <w:r>
        <w:rPr>
          <w:rStyle w:val="soitChar"/>
        </w:rPr>
        <w:t xml:space="preserve">Couleur : RAL n° </w:t>
      </w:r>
      <w:r>
        <w:rPr>
          <w:rStyle w:val="optioncarChar"/>
        </w:rPr>
        <w:t>***</w:t>
      </w:r>
    </w:p>
    <w:p w14:paraId="7A8DB62B" w14:textId="77777777" w:rsidR="00772179" w:rsidRDefault="00000000">
      <w:pPr>
        <w:pStyle w:val="Author-eListParagraph"/>
        <w:numPr>
          <w:ilvl w:val="0"/>
          <w:numId w:val="621"/>
        </w:numPr>
      </w:pPr>
      <w:r>
        <w:rPr>
          <w:rStyle w:val="soitChar"/>
        </w:rPr>
        <w:t xml:space="preserve">Brillance : </w:t>
      </w:r>
      <w:r>
        <w:rPr>
          <w:rStyle w:val="optioncarChar"/>
        </w:rPr>
        <w:t>70</w:t>
      </w:r>
      <w:r>
        <w:t xml:space="preserve"> (par défaut)</w:t>
      </w:r>
      <w:r>
        <w:rPr>
          <w:rStyle w:val="optioncarChar"/>
        </w:rPr>
        <w:t xml:space="preserve"> / ***</w:t>
      </w:r>
      <w:r>
        <w:rPr>
          <w:rStyle w:val="soitChar"/>
        </w:rPr>
        <w:t xml:space="preserve"> %.</w:t>
      </w:r>
    </w:p>
    <w:p w14:paraId="29929A9D" w14:textId="77777777" w:rsidR="00772179" w:rsidRDefault="00000000">
      <w:pPr>
        <w:jc w:val="both"/>
      </w:pPr>
      <w:r>
        <w:rPr>
          <w:b/>
        </w:rPr>
        <w:t>(soit)</w:t>
      </w:r>
    </w:p>
    <w:p w14:paraId="784250C6" w14:textId="77777777" w:rsidR="00772179" w:rsidRDefault="00000000">
      <w:pPr>
        <w:jc w:val="both"/>
      </w:pPr>
      <w:r>
        <w:rPr>
          <w:rStyle w:val="optioncarChar"/>
        </w:rPr>
        <w:t>***</w:t>
      </w:r>
    </w:p>
    <w:p w14:paraId="2321B0AC" w14:textId="77777777" w:rsidR="00772179" w:rsidRDefault="00000000">
      <w:pPr>
        <w:jc w:val="both"/>
      </w:pPr>
      <w:r>
        <w:rPr>
          <w:b/>
        </w:rPr>
        <w:t>Porte lamelles</w:t>
      </w:r>
    </w:p>
    <w:p w14:paraId="5E8369F5" w14:textId="77777777" w:rsidR="00772179" w:rsidRDefault="00000000">
      <w:pPr>
        <w:jc w:val="both"/>
      </w:pPr>
      <w:r>
        <w:rPr>
          <w:rStyle w:val="optioncarChar"/>
        </w:rPr>
        <w:t xml:space="preserve">Polyamide </w:t>
      </w:r>
      <w:r>
        <w:t xml:space="preserve">(par défaut) </w:t>
      </w:r>
      <w:r>
        <w:rPr>
          <w:rStyle w:val="optioncarChar"/>
        </w:rPr>
        <w:t>/ Acier inoxydable / ***.</w:t>
      </w:r>
    </w:p>
    <w:p w14:paraId="7284D409" w14:textId="77777777" w:rsidR="00772179" w:rsidRDefault="00000000">
      <w:pPr>
        <w:jc w:val="both"/>
      </w:pPr>
      <w:r>
        <w:rPr>
          <w:b/>
        </w:rPr>
        <w:t>(soit par défaut)</w:t>
      </w:r>
    </w:p>
    <w:p w14:paraId="6CC75D05" w14:textId="77777777" w:rsidR="00772179" w:rsidRDefault="00000000">
      <w:pPr>
        <w:jc w:val="both"/>
      </w:pPr>
      <w:r>
        <w:rPr>
          <w:rStyle w:val="soitChar"/>
          <w:u w:val="single"/>
        </w:rPr>
        <w:t>Polyamide :</w:t>
      </w:r>
    </w:p>
    <w:p w14:paraId="37487D7B" w14:textId="77777777" w:rsidR="00772179" w:rsidRDefault="00000000">
      <w:pPr>
        <w:pStyle w:val="Author-eListParagraph"/>
        <w:numPr>
          <w:ilvl w:val="0"/>
          <w:numId w:val="622"/>
        </w:numPr>
      </w:pPr>
      <w:r>
        <w:rPr>
          <w:rStyle w:val="soitChar"/>
        </w:rPr>
        <w:t xml:space="preserve">Couleur : </w:t>
      </w:r>
      <w:r>
        <w:rPr>
          <w:rStyle w:val="optioncarChar"/>
        </w:rPr>
        <w:t>noir</w:t>
      </w:r>
      <w:r>
        <w:t xml:space="preserve"> (par défaut) </w:t>
      </w:r>
      <w:r>
        <w:rPr>
          <w:rStyle w:val="optioncarChar"/>
        </w:rPr>
        <w:t>/ ***</w:t>
      </w:r>
      <w:r>
        <w:rPr>
          <w:rStyle w:val="soitChar"/>
        </w:rPr>
        <w:t>.</w:t>
      </w:r>
    </w:p>
    <w:p w14:paraId="7302AA7A" w14:textId="77777777" w:rsidR="00772179" w:rsidRDefault="00000000">
      <w:pPr>
        <w:jc w:val="both"/>
      </w:pPr>
      <w:r>
        <w:rPr>
          <w:b/>
        </w:rPr>
        <w:t>(soit)</w:t>
      </w:r>
    </w:p>
    <w:p w14:paraId="4852FF82" w14:textId="77777777" w:rsidR="00772179" w:rsidRDefault="00000000">
      <w:pPr>
        <w:jc w:val="both"/>
      </w:pPr>
      <w:r>
        <w:rPr>
          <w:rStyle w:val="soitChar"/>
          <w:u w:val="single"/>
        </w:rPr>
        <w:t>Acier inoxydable :</w:t>
      </w:r>
    </w:p>
    <w:p w14:paraId="3320FB5D" w14:textId="77777777" w:rsidR="00772179" w:rsidRDefault="00000000">
      <w:pPr>
        <w:pStyle w:val="Author-eListParagraph"/>
        <w:numPr>
          <w:ilvl w:val="0"/>
          <w:numId w:val="623"/>
        </w:numPr>
      </w:pPr>
      <w:r>
        <w:rPr>
          <w:rStyle w:val="soitChar"/>
        </w:rPr>
        <w:t xml:space="preserve">Couleur : </w:t>
      </w:r>
      <w:r>
        <w:rPr>
          <w:rStyle w:val="optioncarChar"/>
        </w:rPr>
        <w:t xml:space="preserve">naturelle </w:t>
      </w:r>
      <w:r>
        <w:t>(par défaut)</w:t>
      </w:r>
      <w:r>
        <w:rPr>
          <w:rStyle w:val="optioncarChar"/>
        </w:rPr>
        <w:t xml:space="preserve"> / ***.</w:t>
      </w:r>
    </w:p>
    <w:p w14:paraId="1357F029" w14:textId="77777777" w:rsidR="00772179" w:rsidRDefault="00000000">
      <w:pPr>
        <w:pStyle w:val="Author-eListParagraph"/>
        <w:numPr>
          <w:ilvl w:val="0"/>
          <w:numId w:val="623"/>
        </w:numPr>
      </w:pPr>
      <w:r>
        <w:rPr>
          <w:rStyle w:val="soitChar"/>
        </w:rPr>
        <w:t xml:space="preserve">Finition : </w:t>
      </w:r>
      <w:r>
        <w:rPr>
          <w:rStyle w:val="optioncarChar"/>
        </w:rPr>
        <w:t xml:space="preserve">brillante </w:t>
      </w:r>
      <w:r>
        <w:t>(par défaut)</w:t>
      </w:r>
      <w:r>
        <w:rPr>
          <w:rStyle w:val="optioncarChar"/>
        </w:rPr>
        <w:t xml:space="preserve"> / ***.</w:t>
      </w:r>
    </w:p>
    <w:p w14:paraId="2FA51269" w14:textId="77777777" w:rsidR="00772179" w:rsidRDefault="00000000">
      <w:pPr>
        <w:jc w:val="both"/>
      </w:pPr>
      <w:r>
        <w:rPr>
          <w:b/>
        </w:rPr>
        <w:t>(soit)</w:t>
      </w:r>
    </w:p>
    <w:p w14:paraId="6AC024DA" w14:textId="77777777" w:rsidR="00772179" w:rsidRDefault="00000000">
      <w:pPr>
        <w:jc w:val="both"/>
      </w:pPr>
      <w:r>
        <w:rPr>
          <w:rStyle w:val="optioncarChar"/>
        </w:rPr>
        <w:t>***</w:t>
      </w:r>
    </w:p>
    <w:p w14:paraId="6852AFCF" w14:textId="77777777" w:rsidR="00772179" w:rsidRDefault="00000000">
      <w:pPr>
        <w:jc w:val="both"/>
      </w:pPr>
      <w:r>
        <w:rPr>
          <w:b/>
        </w:rPr>
        <w:t>Lamelles</w:t>
      </w:r>
    </w:p>
    <w:p w14:paraId="472F98A0" w14:textId="77777777" w:rsidR="00772179" w:rsidRDefault="00000000">
      <w:pPr>
        <w:jc w:val="both"/>
      </w:pPr>
      <w:r>
        <w:t xml:space="preserve">Les lamelles en aluminium sont </w:t>
      </w:r>
      <w:r>
        <w:rPr>
          <w:rStyle w:val="optioncarChar"/>
        </w:rPr>
        <w:t>thermolaquées par poudrage polyester</w:t>
      </w:r>
      <w:r>
        <w:t xml:space="preserve"> (par défaut)</w:t>
      </w:r>
      <w:r>
        <w:rPr>
          <w:rStyle w:val="optioncarChar"/>
        </w:rPr>
        <w:t xml:space="preserve"> / anodisées / ***</w:t>
      </w:r>
      <w:r>
        <w:t>.</w:t>
      </w:r>
    </w:p>
    <w:p w14:paraId="07FF18B5" w14:textId="77777777" w:rsidR="00772179" w:rsidRDefault="00000000">
      <w:pPr>
        <w:jc w:val="both"/>
      </w:pPr>
      <w:r>
        <w:rPr>
          <w:b/>
        </w:rPr>
        <w:t>(soit par défaut)</w:t>
      </w:r>
    </w:p>
    <w:p w14:paraId="60637E6A" w14:textId="77777777" w:rsidR="00772179" w:rsidRDefault="00000000">
      <w:pPr>
        <w:jc w:val="both"/>
      </w:pPr>
      <w:r>
        <w:rPr>
          <w:rStyle w:val="soitChar"/>
          <w:u w:val="single"/>
        </w:rPr>
        <w:t>Thermolaquées par poudrage polyester :</w:t>
      </w:r>
      <w:r>
        <w:rPr>
          <w:rStyle w:val="soitChar"/>
        </w:rPr>
        <w:t xml:space="preserve"> selon [Qualicoat] épaisseur ≥ 60 μm</w:t>
      </w:r>
    </w:p>
    <w:p w14:paraId="63F59E38" w14:textId="77777777" w:rsidR="00772179" w:rsidRDefault="00000000">
      <w:pPr>
        <w:pStyle w:val="Author-eListParagraph"/>
        <w:numPr>
          <w:ilvl w:val="0"/>
          <w:numId w:val="624"/>
        </w:numPr>
      </w:pPr>
      <w:r>
        <w:rPr>
          <w:rStyle w:val="soitChar"/>
        </w:rPr>
        <w:t xml:space="preserve">Couleur : RAL n° </w:t>
      </w:r>
      <w:r>
        <w:rPr>
          <w:rStyle w:val="optioncarChar"/>
        </w:rPr>
        <w:t>***</w:t>
      </w:r>
    </w:p>
    <w:p w14:paraId="60C3B1E5" w14:textId="77777777" w:rsidR="00772179" w:rsidRDefault="00000000">
      <w:pPr>
        <w:pStyle w:val="Author-eListParagraph"/>
        <w:numPr>
          <w:ilvl w:val="0"/>
          <w:numId w:val="624"/>
        </w:numPr>
      </w:pPr>
      <w:r>
        <w:rPr>
          <w:rStyle w:val="soitChar"/>
        </w:rPr>
        <w:t xml:space="preserve">Brillance : </w:t>
      </w:r>
      <w:r>
        <w:rPr>
          <w:rStyle w:val="optioncarChar"/>
        </w:rPr>
        <w:t>70</w:t>
      </w:r>
      <w:r>
        <w:t xml:space="preserve"> (par défaut)</w:t>
      </w:r>
      <w:r>
        <w:rPr>
          <w:rStyle w:val="optioncarChar"/>
        </w:rPr>
        <w:t xml:space="preserve"> / ***</w:t>
      </w:r>
      <w:r>
        <w:rPr>
          <w:rStyle w:val="soitChar"/>
        </w:rPr>
        <w:t xml:space="preserve"> %.</w:t>
      </w:r>
    </w:p>
    <w:p w14:paraId="4E8C7914" w14:textId="77777777" w:rsidR="00772179" w:rsidRDefault="00000000">
      <w:pPr>
        <w:jc w:val="both"/>
      </w:pPr>
      <w:r>
        <w:rPr>
          <w:b/>
        </w:rPr>
        <w:t>(soit)</w:t>
      </w:r>
    </w:p>
    <w:p w14:paraId="7E0DDAC4" w14:textId="77777777" w:rsidR="00772179" w:rsidRDefault="00000000">
      <w:pPr>
        <w:jc w:val="both"/>
      </w:pPr>
      <w:r>
        <w:rPr>
          <w:color w:val="33CCCC"/>
          <w:u w:val="single"/>
        </w:rPr>
        <w:t>Anodisé :</w:t>
      </w:r>
      <w:r>
        <w:rPr>
          <w:color w:val="33CCCC"/>
        </w:rPr>
        <w:t xml:space="preserve"> selon [Qualanod] épaisseur ≥ 18 μm</w:t>
      </w:r>
    </w:p>
    <w:p w14:paraId="748E7D9F" w14:textId="77777777" w:rsidR="00772179" w:rsidRDefault="00000000">
      <w:pPr>
        <w:pStyle w:val="Author-eListParagraph"/>
        <w:numPr>
          <w:ilvl w:val="0"/>
          <w:numId w:val="625"/>
        </w:numPr>
      </w:pPr>
      <w:r>
        <w:rPr>
          <w:rStyle w:val="soitChar"/>
        </w:rPr>
        <w:t xml:space="preserve">Couleur : </w:t>
      </w:r>
      <w:r>
        <w:rPr>
          <w:rStyle w:val="optioncarChar"/>
        </w:rPr>
        <w:t xml:space="preserve">naturelle </w:t>
      </w:r>
      <w:r>
        <w:t xml:space="preserve">(par défaut) </w:t>
      </w:r>
      <w:r>
        <w:rPr>
          <w:rStyle w:val="optioncarChar"/>
        </w:rPr>
        <w:t>/ ***.</w:t>
      </w:r>
    </w:p>
    <w:p w14:paraId="197636AC" w14:textId="77777777" w:rsidR="00772179" w:rsidRDefault="00000000">
      <w:pPr>
        <w:pStyle w:val="Author-eListParagraph"/>
        <w:numPr>
          <w:ilvl w:val="0"/>
          <w:numId w:val="625"/>
        </w:numPr>
      </w:pPr>
      <w:r>
        <w:rPr>
          <w:rStyle w:val="soitChar"/>
        </w:rPr>
        <w:t xml:space="preserve">Finition : </w:t>
      </w:r>
      <w:r>
        <w:rPr>
          <w:rStyle w:val="optioncarChar"/>
        </w:rPr>
        <w:t>mate</w:t>
      </w:r>
      <w:r>
        <w:t xml:space="preserve"> (par défaut)</w:t>
      </w:r>
      <w:r>
        <w:rPr>
          <w:rStyle w:val="optioncarChar"/>
        </w:rPr>
        <w:t xml:space="preserve"> / ***.</w:t>
      </w:r>
    </w:p>
    <w:p w14:paraId="671C2C57" w14:textId="77777777" w:rsidR="00772179" w:rsidRDefault="00000000">
      <w:pPr>
        <w:jc w:val="both"/>
      </w:pPr>
      <w:r>
        <w:rPr>
          <w:b/>
        </w:rPr>
        <w:t>(soit)</w:t>
      </w:r>
    </w:p>
    <w:p w14:paraId="3EDDE6DD" w14:textId="77777777" w:rsidR="00772179" w:rsidRDefault="00000000">
      <w:pPr>
        <w:jc w:val="both"/>
      </w:pPr>
      <w:r>
        <w:rPr>
          <w:rStyle w:val="optioncarChar"/>
        </w:rPr>
        <w:t>***</w:t>
      </w:r>
    </w:p>
    <w:p w14:paraId="61EE7D48" w14:textId="77777777" w:rsidR="00772179" w:rsidRDefault="00000000">
      <w:pPr>
        <w:jc w:val="both"/>
      </w:pPr>
      <w:r>
        <w:t xml:space="preserve">Les lamelles en bois sont </w:t>
      </w:r>
      <w:r>
        <w:rPr>
          <w:rStyle w:val="optioncarChar"/>
        </w:rPr>
        <w:t xml:space="preserve">laquées </w:t>
      </w:r>
      <w:r>
        <w:t>(par défaut)</w:t>
      </w:r>
      <w:r>
        <w:rPr>
          <w:rStyle w:val="optioncarChar"/>
        </w:rPr>
        <w:t xml:space="preserve"> / lasurées / ***.</w:t>
      </w:r>
    </w:p>
    <w:p w14:paraId="15491A8F" w14:textId="77777777" w:rsidR="00772179" w:rsidRDefault="00000000">
      <w:pPr>
        <w:jc w:val="both"/>
      </w:pPr>
      <w:r>
        <w:rPr>
          <w:b/>
        </w:rPr>
        <w:t>(soit par défaut)</w:t>
      </w:r>
    </w:p>
    <w:p w14:paraId="308CACE7" w14:textId="77777777" w:rsidR="00772179" w:rsidRDefault="00000000">
      <w:pPr>
        <w:jc w:val="both"/>
      </w:pPr>
      <w:r>
        <w:rPr>
          <w:rStyle w:val="soitChar"/>
          <w:u w:val="single"/>
        </w:rPr>
        <w:t>Laquées :</w:t>
      </w:r>
    </w:p>
    <w:p w14:paraId="1FD1E24D" w14:textId="77777777" w:rsidR="00772179" w:rsidRDefault="00000000">
      <w:pPr>
        <w:pStyle w:val="Author-eListParagraph"/>
        <w:numPr>
          <w:ilvl w:val="0"/>
          <w:numId w:val="626"/>
        </w:numPr>
      </w:pPr>
      <w:r>
        <w:rPr>
          <w:rStyle w:val="soitChar"/>
        </w:rPr>
        <w:lastRenderedPageBreak/>
        <w:t xml:space="preserve">Couleur : RAL n° </w:t>
      </w:r>
      <w:r>
        <w:rPr>
          <w:rStyle w:val="optioncarChar"/>
        </w:rPr>
        <w:t>***</w:t>
      </w:r>
    </w:p>
    <w:p w14:paraId="51E36948" w14:textId="77777777" w:rsidR="00772179" w:rsidRDefault="00000000">
      <w:pPr>
        <w:pStyle w:val="Author-eListParagraph"/>
        <w:numPr>
          <w:ilvl w:val="0"/>
          <w:numId w:val="626"/>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1C4AC9AC" w14:textId="77777777" w:rsidR="00772179" w:rsidRDefault="00000000">
      <w:pPr>
        <w:jc w:val="both"/>
      </w:pPr>
      <w:r>
        <w:rPr>
          <w:b/>
        </w:rPr>
        <w:t>(soit)</w:t>
      </w:r>
    </w:p>
    <w:p w14:paraId="7C278F24" w14:textId="77777777" w:rsidR="00772179" w:rsidRDefault="00000000">
      <w:pPr>
        <w:jc w:val="both"/>
      </w:pPr>
      <w:r>
        <w:rPr>
          <w:rStyle w:val="soitChar"/>
          <w:u w:val="single"/>
        </w:rPr>
        <w:t>Lasurées :</w:t>
      </w:r>
    </w:p>
    <w:p w14:paraId="14AB591C" w14:textId="77777777" w:rsidR="00772179" w:rsidRDefault="00000000">
      <w:pPr>
        <w:pStyle w:val="Author-eListParagraph"/>
        <w:numPr>
          <w:ilvl w:val="0"/>
          <w:numId w:val="627"/>
        </w:numPr>
      </w:pPr>
      <w:r>
        <w:rPr>
          <w:rStyle w:val="soitChar"/>
        </w:rPr>
        <w:t xml:space="preserve">Couleur : </w:t>
      </w:r>
      <w:r>
        <w:rPr>
          <w:rStyle w:val="optioncarChar"/>
        </w:rPr>
        <w:t>***</w:t>
      </w:r>
    </w:p>
    <w:p w14:paraId="0C86328F" w14:textId="77777777" w:rsidR="00772179" w:rsidRDefault="00000000">
      <w:pPr>
        <w:pStyle w:val="Author-eListParagraph"/>
        <w:numPr>
          <w:ilvl w:val="0"/>
          <w:numId w:val="627"/>
        </w:numPr>
      </w:pPr>
      <w:r>
        <w:rPr>
          <w:rStyle w:val="soitChar"/>
        </w:rPr>
        <w:t xml:space="preserve">Finition : </w:t>
      </w:r>
      <w:r>
        <w:rPr>
          <w:rStyle w:val="optioncarChar"/>
        </w:rPr>
        <w:t xml:space="preserve">satinée </w:t>
      </w:r>
      <w:r>
        <w:t>(par défaut)</w:t>
      </w:r>
      <w:r>
        <w:rPr>
          <w:rStyle w:val="optioncarChar"/>
        </w:rPr>
        <w:t xml:space="preserve"> / brillante / mate / légèrement structurée / ***</w:t>
      </w:r>
      <w:r>
        <w:rPr>
          <w:rStyle w:val="soitChar"/>
        </w:rPr>
        <w:t>.</w:t>
      </w:r>
    </w:p>
    <w:p w14:paraId="134E51F2" w14:textId="77777777" w:rsidR="00772179" w:rsidRDefault="00000000">
      <w:pPr>
        <w:jc w:val="both"/>
      </w:pPr>
      <w:r>
        <w:rPr>
          <w:b/>
        </w:rPr>
        <w:t>(soit)</w:t>
      </w:r>
    </w:p>
    <w:p w14:paraId="3EAA7B05" w14:textId="77777777" w:rsidR="00772179" w:rsidRDefault="00000000">
      <w:pPr>
        <w:jc w:val="both"/>
      </w:pPr>
      <w:r>
        <w:rPr>
          <w:rStyle w:val="optioncarChar"/>
        </w:rPr>
        <w:t>***</w:t>
      </w:r>
    </w:p>
    <w:p w14:paraId="2D3E3AF2" w14:textId="77777777" w:rsidR="00772179" w:rsidRDefault="00000000">
      <w:pPr>
        <w:jc w:val="both"/>
      </w:pPr>
      <w:r>
        <w:rPr>
          <w:b/>
        </w:rPr>
        <w:t>Rail</w:t>
      </w:r>
    </w:p>
    <w:p w14:paraId="47681E5F" w14:textId="77777777" w:rsidR="00772179" w:rsidRDefault="00000000">
      <w:pPr>
        <w:jc w:val="both"/>
      </w:pPr>
      <w:r>
        <w:rPr>
          <w:rStyle w:val="optioncarChar"/>
        </w:rPr>
        <w:t xml:space="preserve">Thermolaqué par poudrage polyester </w:t>
      </w:r>
      <w:r>
        <w:t>(par défaut)</w:t>
      </w:r>
      <w:r>
        <w:rPr>
          <w:rStyle w:val="optioncarChar"/>
        </w:rPr>
        <w:t xml:space="preserve"> / Anodisé / ***</w:t>
      </w:r>
    </w:p>
    <w:p w14:paraId="0061EECB" w14:textId="77777777" w:rsidR="00772179" w:rsidRDefault="00000000">
      <w:pPr>
        <w:jc w:val="both"/>
      </w:pPr>
      <w:r>
        <w:rPr>
          <w:b/>
        </w:rPr>
        <w:t>(soit par défaut)</w:t>
      </w:r>
    </w:p>
    <w:p w14:paraId="481291C6" w14:textId="77777777" w:rsidR="00772179" w:rsidRDefault="00000000">
      <w:pPr>
        <w:jc w:val="both"/>
      </w:pPr>
      <w:r>
        <w:rPr>
          <w:rStyle w:val="soitChar"/>
          <w:u w:val="single"/>
        </w:rPr>
        <w:t>Thermolaqué par poudrage polyester :</w:t>
      </w:r>
      <w:r>
        <w:rPr>
          <w:rStyle w:val="soitChar"/>
        </w:rPr>
        <w:t xml:space="preserve"> selon [Qualicoat] épaisseur ≥ 60 μm</w:t>
      </w:r>
    </w:p>
    <w:p w14:paraId="0B6F4355" w14:textId="77777777" w:rsidR="00772179" w:rsidRDefault="00000000">
      <w:pPr>
        <w:pStyle w:val="Author-eListParagraph"/>
        <w:numPr>
          <w:ilvl w:val="0"/>
          <w:numId w:val="628"/>
        </w:numPr>
      </w:pPr>
      <w:r>
        <w:rPr>
          <w:rStyle w:val="soitChar"/>
        </w:rPr>
        <w:t>Couleur : RAL n° </w:t>
      </w:r>
      <w:r>
        <w:rPr>
          <w:rStyle w:val="optioncarChar"/>
        </w:rPr>
        <w:t>***</w:t>
      </w:r>
    </w:p>
    <w:p w14:paraId="4676D30B" w14:textId="77777777" w:rsidR="00772179" w:rsidRDefault="00000000">
      <w:pPr>
        <w:pStyle w:val="Author-eListParagraph"/>
        <w:numPr>
          <w:ilvl w:val="0"/>
          <w:numId w:val="628"/>
        </w:numPr>
      </w:pPr>
      <w:r>
        <w:rPr>
          <w:rStyle w:val="soitChar"/>
        </w:rPr>
        <w:t>Brillance : </w:t>
      </w:r>
      <w:r>
        <w:rPr>
          <w:rStyle w:val="optioncarChar"/>
        </w:rPr>
        <w:t>70 </w:t>
      </w:r>
      <w:r>
        <w:t>(par défaut)</w:t>
      </w:r>
      <w:r>
        <w:rPr>
          <w:rStyle w:val="optioncarChar"/>
        </w:rPr>
        <w:t> / ***</w:t>
      </w:r>
      <w:r>
        <w:rPr>
          <w:rStyle w:val="soitChar"/>
        </w:rPr>
        <w:t> %.</w:t>
      </w:r>
    </w:p>
    <w:p w14:paraId="578B2B8E" w14:textId="77777777" w:rsidR="00772179" w:rsidRDefault="00000000">
      <w:r>
        <w:rPr>
          <w:b/>
        </w:rPr>
        <w:t>(soit)</w:t>
      </w:r>
      <w:r>
        <w:br/>
      </w:r>
      <w:r>
        <w:rPr>
          <w:rStyle w:val="soitChar"/>
          <w:u w:val="single"/>
        </w:rPr>
        <w:t>Anodisé :</w:t>
      </w:r>
      <w:r>
        <w:rPr>
          <w:color w:val="33CCCC"/>
        </w:rPr>
        <w:t xml:space="preserve"> selon [Qualanod] épaisseur ≥ 18 μm</w:t>
      </w:r>
    </w:p>
    <w:p w14:paraId="1112C945" w14:textId="77777777" w:rsidR="00772179" w:rsidRDefault="00000000">
      <w:pPr>
        <w:pStyle w:val="Author-eListParagraph"/>
        <w:numPr>
          <w:ilvl w:val="0"/>
          <w:numId w:val="629"/>
        </w:numPr>
      </w:pPr>
      <w:r>
        <w:rPr>
          <w:rStyle w:val="soitChar"/>
        </w:rPr>
        <w:t>Couleur : </w:t>
      </w:r>
      <w:r>
        <w:rPr>
          <w:rStyle w:val="optioncarChar"/>
        </w:rPr>
        <w:t>naturelle </w:t>
      </w:r>
      <w:r>
        <w:t>(par défaut) </w:t>
      </w:r>
      <w:r>
        <w:rPr>
          <w:rStyle w:val="optioncarChar"/>
        </w:rPr>
        <w:t>/ ***.</w:t>
      </w:r>
    </w:p>
    <w:p w14:paraId="18C01803" w14:textId="77777777" w:rsidR="00772179" w:rsidRDefault="00000000">
      <w:pPr>
        <w:pStyle w:val="Author-eListParagraph"/>
        <w:numPr>
          <w:ilvl w:val="0"/>
          <w:numId w:val="629"/>
        </w:numPr>
      </w:pPr>
      <w:r>
        <w:rPr>
          <w:rStyle w:val="soitChar"/>
        </w:rPr>
        <w:t>Finition : </w:t>
      </w:r>
      <w:r>
        <w:rPr>
          <w:rStyle w:val="optioncarChar"/>
        </w:rPr>
        <w:t>mate</w:t>
      </w:r>
      <w:r>
        <w:t> (par défaut)</w:t>
      </w:r>
      <w:r>
        <w:rPr>
          <w:rStyle w:val="optioncarChar"/>
        </w:rPr>
        <w:t> / ***.</w:t>
      </w:r>
    </w:p>
    <w:p w14:paraId="1C65EA8E" w14:textId="77777777" w:rsidR="00772179" w:rsidRDefault="00000000">
      <w:r>
        <w:rPr>
          <w:b/>
        </w:rPr>
        <w:t>(soit)</w:t>
      </w:r>
      <w:r>
        <w:br/>
      </w:r>
      <w:r>
        <w:rPr>
          <w:rStyle w:val="optioncarChar"/>
        </w:rPr>
        <w:t>***</w:t>
      </w:r>
    </w:p>
    <w:p w14:paraId="0CE41DA9" w14:textId="77777777" w:rsidR="00772179" w:rsidRDefault="00000000">
      <w:pPr>
        <w:pStyle w:val="pheading"/>
      </w:pPr>
      <w:r>
        <w:t>EXÉCUTION / MISE EN ŒUVRE</w:t>
      </w:r>
    </w:p>
    <w:p w14:paraId="2652883B" w14:textId="77777777" w:rsidR="00772179" w:rsidRDefault="00000000">
      <w:pPr>
        <w:pStyle w:val="pheading"/>
      </w:pPr>
      <w:r>
        <w:t>- Échantillons</w:t>
      </w:r>
    </w:p>
    <w:p w14:paraId="4740FCE0" w14:textId="77777777" w:rsidR="00772179" w:rsidRDefault="00000000">
      <w:pPr>
        <w:jc w:val="both"/>
      </w:pPr>
      <w:r>
        <w:t>L’entrepreneur soumet un échantillon du système qu’il propose à l’approbation de la direction du chantier.</w:t>
      </w:r>
    </w:p>
    <w:p w14:paraId="2331F51E" w14:textId="77777777" w:rsidR="00772179" w:rsidRDefault="00000000">
      <w:pPr>
        <w:pStyle w:val="pheading"/>
      </w:pPr>
      <w:r>
        <w:t>MESURAGE</w:t>
      </w:r>
    </w:p>
    <w:p w14:paraId="4E954E46" w14:textId="77777777" w:rsidR="00772179" w:rsidRDefault="00000000">
      <w:pPr>
        <w:pStyle w:val="pheading"/>
      </w:pPr>
      <w:r>
        <w:t>- unité de mesure:</w:t>
      </w:r>
    </w:p>
    <w:p w14:paraId="50E8AD1E" w14:textId="77777777" w:rsidR="00772179" w:rsidRDefault="00000000">
      <w:r>
        <w:t>m²</w:t>
      </w:r>
    </w:p>
    <w:p w14:paraId="09464200" w14:textId="77777777" w:rsidR="00772179" w:rsidRDefault="00000000">
      <w:pPr>
        <w:pStyle w:val="pheading"/>
      </w:pPr>
      <w:r>
        <w:t>- code de mesurage:</w:t>
      </w:r>
    </w:p>
    <w:p w14:paraId="675EB544" w14:textId="77777777" w:rsidR="00772179" w:rsidRDefault="00000000">
      <w:pPr>
        <w:jc w:val="both"/>
      </w:pPr>
      <w:r>
        <w:t>Surface nette de protections à mettre en œuvre, éventuellement ventilée suivant le type de lame, de sens de pose, de finition, de type de manœuvre, etc...</w:t>
      </w:r>
    </w:p>
    <w:p w14:paraId="375CE58B" w14:textId="77777777" w:rsidR="00772179" w:rsidRDefault="00000000">
      <w:pPr>
        <w:pStyle w:val="pheading"/>
      </w:pPr>
      <w:r>
        <w:t>- nature du marché:</w:t>
      </w:r>
    </w:p>
    <w:p w14:paraId="01DED84C" w14:textId="77777777" w:rsidR="00772179" w:rsidRDefault="00000000">
      <w:r>
        <w:t>QF</w:t>
      </w:r>
    </w:p>
    <w:p w14:paraId="5D1C8412" w14:textId="77777777" w:rsidR="00772179" w:rsidRDefault="00000000">
      <w:pPr>
        <w:pStyle w:val="Author-eSectionHeading6Numberless"/>
      </w:pPr>
      <w:bookmarkStart w:id="272" w:name="_Toc220490008"/>
      <w:r>
        <w:t>41.52.2b Protections solaires extérieures mobiles à lamelles fixes CCTB 01.11</w:t>
      </w:r>
      <w:bookmarkEnd w:id="272"/>
    </w:p>
    <w:p w14:paraId="2A0383AE" w14:textId="77777777" w:rsidR="00772179" w:rsidRDefault="00000000">
      <w:pPr>
        <w:pStyle w:val="pheading"/>
      </w:pPr>
      <w:r>
        <w:t>DESCRIPTION</w:t>
      </w:r>
    </w:p>
    <w:p w14:paraId="63DF6C39" w14:textId="77777777" w:rsidR="00772179" w:rsidRDefault="00000000">
      <w:pPr>
        <w:pStyle w:val="pheading"/>
      </w:pPr>
      <w:r>
        <w:t>- Définition / Comprend</w:t>
      </w:r>
    </w:p>
    <w:p w14:paraId="0D47A186" w14:textId="77777777" w:rsidR="00772179" w:rsidRDefault="00000000">
      <w:pPr>
        <w:jc w:val="both"/>
      </w:pPr>
      <w:r>
        <w:t xml:space="preserve">Il s’agit de la fourniture et de la pose de protections solaires extérieures coulissantes ou pliantes à lamelles fixes posées parallèlement au plan de la façade et composées : </w:t>
      </w:r>
    </w:p>
    <w:p w14:paraId="100C4ADA" w14:textId="77777777" w:rsidR="00772179" w:rsidRDefault="00000000">
      <w:pPr>
        <w:pStyle w:val="Author-eListParagraph"/>
        <w:numPr>
          <w:ilvl w:val="0"/>
          <w:numId w:val="630"/>
        </w:numPr>
        <w:jc w:val="both"/>
      </w:pPr>
      <w:r>
        <w:t>de cadres dans lesquels sont intégrés des lames fixes ;</w:t>
      </w:r>
    </w:p>
    <w:p w14:paraId="42A05760" w14:textId="77777777" w:rsidR="00772179" w:rsidRDefault="00000000">
      <w:pPr>
        <w:pStyle w:val="Author-eListParagraph"/>
        <w:numPr>
          <w:ilvl w:val="0"/>
          <w:numId w:val="630"/>
        </w:numPr>
        <w:jc w:val="both"/>
      </w:pPr>
      <w:r>
        <w:t>de dispositifs de guidage et de support avec ancrages de fixation ;</w:t>
      </w:r>
    </w:p>
    <w:p w14:paraId="1C44D0F9" w14:textId="77777777" w:rsidR="00772179" w:rsidRDefault="00000000">
      <w:pPr>
        <w:pStyle w:val="Author-eListParagraph"/>
        <w:numPr>
          <w:ilvl w:val="0"/>
          <w:numId w:val="630"/>
        </w:numPr>
        <w:jc w:val="both"/>
      </w:pPr>
      <w:r>
        <w:t>de dispositif de manœuvre ;</w:t>
      </w:r>
    </w:p>
    <w:p w14:paraId="1711A4CB" w14:textId="77777777" w:rsidR="00772179" w:rsidRDefault="00000000">
      <w:pPr>
        <w:pStyle w:val="Author-eListParagraph"/>
        <w:numPr>
          <w:ilvl w:val="0"/>
          <w:numId w:val="630"/>
        </w:numPr>
        <w:jc w:val="both"/>
      </w:pPr>
      <w:r>
        <w:t>d’accessoires complémentaires.</w:t>
      </w:r>
    </w:p>
    <w:p w14:paraId="1AEBCC66" w14:textId="77777777" w:rsidR="00772179" w:rsidRDefault="00000000">
      <w:pPr>
        <w:pStyle w:val="pheading"/>
      </w:pPr>
      <w:r>
        <w:lastRenderedPageBreak/>
        <w:t>MATÉRIAUX</w:t>
      </w:r>
    </w:p>
    <w:p w14:paraId="630D37EC" w14:textId="77777777" w:rsidR="00772179" w:rsidRDefault="00000000">
      <w:pPr>
        <w:pStyle w:val="pheading"/>
      </w:pPr>
      <w:r>
        <w:t>- Caractéristiques générales</w:t>
      </w:r>
    </w:p>
    <w:p w14:paraId="0D2754E5" w14:textId="77777777" w:rsidR="00772179" w:rsidRDefault="00000000">
      <w:pPr>
        <w:jc w:val="both"/>
      </w:pPr>
      <w:r>
        <w:t>Les panneaux sont composés de kits d’assemblage ou de modules prémontés sur une structure de guidage métallique inoxydable dont le dimensionnement et les ancrages sont calculés en fonction du nombre, des dimensions et du poids des panneaux.</w:t>
      </w:r>
    </w:p>
    <w:p w14:paraId="38F087D8" w14:textId="77777777" w:rsidR="00772179" w:rsidRDefault="00000000">
      <w:pPr>
        <w:jc w:val="both"/>
      </w:pPr>
      <w:r>
        <w:t>Les calculs de résistance sont basés sur les normes suivantes :</w:t>
      </w:r>
    </w:p>
    <w:p w14:paraId="7E983B36" w14:textId="77777777" w:rsidR="00772179" w:rsidRDefault="00000000">
      <w:pPr>
        <w:pStyle w:val="Author-eListParagraph"/>
        <w:numPr>
          <w:ilvl w:val="0"/>
          <w:numId w:val="631"/>
        </w:numPr>
      </w:pPr>
      <w:r>
        <w:t>[NBN EN 1991-1-1, Eurocode 1: Actions sur les structures - Partie 1-1: Actions générales - Poids volumiques, poids propres, charges d'exploitation bâtiments (+ AC:2009)]</w:t>
      </w:r>
    </w:p>
    <w:p w14:paraId="31248D57" w14:textId="77777777" w:rsidR="00772179" w:rsidRDefault="00000000">
      <w:pPr>
        <w:pStyle w:val="Author-eListParagraph"/>
        <w:numPr>
          <w:ilvl w:val="0"/>
          <w:numId w:val="631"/>
        </w:numPr>
      </w:pPr>
      <w:r>
        <w:t>[NBN EN 1991-1-4, Eurocode 1 : Actions sur les structures - Partie 1-4 : Actions générales - Actions du vent (+ AC:2010)]</w:t>
      </w:r>
    </w:p>
    <w:p w14:paraId="624F0CDC" w14:textId="77777777" w:rsidR="00772179" w:rsidRDefault="00000000">
      <w:pPr>
        <w:jc w:val="both"/>
      </w:pPr>
      <w:r>
        <w:rPr>
          <w:b/>
        </w:rPr>
        <w:t>Cadre :</w:t>
      </w:r>
    </w:p>
    <w:p w14:paraId="0DAD2DFD" w14:textId="77777777" w:rsidR="00772179" w:rsidRDefault="00000000">
      <w:pPr>
        <w:jc w:val="both"/>
      </w:pPr>
      <w:r>
        <w:t>Le cadre de support des protections solaires est composé de profils en aluminium Al Mg Si 0.5 conforme à la [NBN EN 485-2:2016+A1] ou [NBN EN 1396] :</w:t>
      </w:r>
    </w:p>
    <w:p w14:paraId="47CA0320" w14:textId="77777777" w:rsidR="00772179" w:rsidRDefault="00000000">
      <w:pPr>
        <w:pStyle w:val="Author-eListParagraph"/>
        <w:numPr>
          <w:ilvl w:val="0"/>
          <w:numId w:val="632"/>
        </w:numPr>
      </w:pPr>
      <w:r>
        <w:t>Dimensions des cadres : voir métré détaillé.</w:t>
      </w:r>
    </w:p>
    <w:p w14:paraId="2BE6AFA7" w14:textId="77777777" w:rsidR="00772179" w:rsidRDefault="00000000">
      <w:pPr>
        <w:pStyle w:val="Author-eListParagraph"/>
        <w:numPr>
          <w:ilvl w:val="0"/>
          <w:numId w:val="632"/>
        </w:numPr>
      </w:pPr>
      <w:r>
        <w:t xml:space="preserve">Section : </w:t>
      </w:r>
      <w:r>
        <w:rPr>
          <w:rStyle w:val="optioncarChar"/>
        </w:rPr>
        <w:t xml:space="preserve">40 x 40 </w:t>
      </w:r>
      <w:r>
        <w:t xml:space="preserve">(par défaut) </w:t>
      </w:r>
      <w:r>
        <w:rPr>
          <w:rStyle w:val="optioncarChar"/>
        </w:rPr>
        <w:t>/ 40 x 80 / 45 x 130 / 5 x 40 / 5 x 80 / ***</w:t>
      </w:r>
      <w:r>
        <w:t xml:space="preserve"> mm.</w:t>
      </w:r>
    </w:p>
    <w:p w14:paraId="4BED6904" w14:textId="77777777" w:rsidR="00772179" w:rsidRDefault="00000000">
      <w:pPr>
        <w:jc w:val="both"/>
      </w:pPr>
      <w:r>
        <w:rPr>
          <w:b/>
        </w:rPr>
        <w:t>Lamelles :</w:t>
      </w:r>
    </w:p>
    <w:p w14:paraId="6DE2A600" w14:textId="77777777" w:rsidR="00772179" w:rsidRDefault="00000000">
      <w:pPr>
        <w:jc w:val="both"/>
      </w:pPr>
      <w:r>
        <w:t xml:space="preserve">Les lames de protection solaire sont en </w:t>
      </w:r>
      <w:r>
        <w:rPr>
          <w:rStyle w:val="optioncarChar"/>
        </w:rPr>
        <w:t>aluminium</w:t>
      </w:r>
      <w:r>
        <w:t xml:space="preserve"> (par défaut)</w:t>
      </w:r>
      <w:r>
        <w:rPr>
          <w:rStyle w:val="optioncarChar"/>
        </w:rPr>
        <w:t xml:space="preserve"> / bois / ***</w:t>
      </w:r>
      <w:r>
        <w:t>.</w:t>
      </w:r>
    </w:p>
    <w:p w14:paraId="2B074F41" w14:textId="77777777" w:rsidR="00772179" w:rsidRDefault="00000000">
      <w:pPr>
        <w:jc w:val="both"/>
      </w:pPr>
      <w:r>
        <w:rPr>
          <w:b/>
        </w:rPr>
        <w:t>(soit par défaut)</w:t>
      </w:r>
    </w:p>
    <w:p w14:paraId="527830D3" w14:textId="77777777" w:rsidR="00772179" w:rsidRDefault="00000000">
      <w:pPr>
        <w:jc w:val="both"/>
      </w:pPr>
      <w:r>
        <w:rPr>
          <w:rStyle w:val="soitChar"/>
          <w:u w:val="single"/>
        </w:rPr>
        <w:t>Aluminium :</w:t>
      </w:r>
      <w:r>
        <w:rPr>
          <w:rStyle w:val="soitChar"/>
        </w:rPr>
        <w:t>  Al Mg Si 0.5 conforme à la [NBN EN 485-2:2016+A1] ou [NBN EN 1396], il possède une limite d'élasticité ≥ </w:t>
      </w:r>
      <w:r>
        <w:rPr>
          <w:rStyle w:val="optioncarChar"/>
        </w:rPr>
        <w:t xml:space="preserve">140 </w:t>
      </w:r>
      <w:r>
        <w:t>(par défaut)</w:t>
      </w:r>
      <w:r>
        <w:rPr>
          <w:rStyle w:val="optioncarChar"/>
        </w:rPr>
        <w:t xml:space="preserve"> / ***</w:t>
      </w:r>
      <w:r>
        <w:rPr>
          <w:rStyle w:val="soitChar"/>
        </w:rPr>
        <w:t xml:space="preserve"> N/mm². L'épaisseur des tôles de parement en aluminium est déterminée conformément à la [NBN EN 485-4] ou [NBN EN 1396].</w:t>
      </w:r>
    </w:p>
    <w:p w14:paraId="67F6020A" w14:textId="77777777" w:rsidR="00772179" w:rsidRDefault="00000000">
      <w:pPr>
        <w:jc w:val="both"/>
      </w:pPr>
      <w:r>
        <w:rPr>
          <w:b/>
        </w:rPr>
        <w:t>(soit)</w:t>
      </w:r>
    </w:p>
    <w:p w14:paraId="63B92F58" w14:textId="77777777" w:rsidR="00772179" w:rsidRDefault="00000000">
      <w:pPr>
        <w:jc w:val="both"/>
      </w:pPr>
      <w:r>
        <w:rPr>
          <w:rStyle w:val="soitChar"/>
          <w:u w:val="single"/>
        </w:rPr>
        <w:t>Bois de type :</w:t>
      </w:r>
      <w:r>
        <w:rPr>
          <w:rStyle w:val="soitChar"/>
        </w:rPr>
        <w:t> </w:t>
      </w:r>
      <w:r>
        <w:rPr>
          <w:rStyle w:val="optioncarChar"/>
        </w:rPr>
        <w:t xml:space="preserve">contreplaqué </w:t>
      </w:r>
      <w:r>
        <w:t>(par défaut)</w:t>
      </w:r>
      <w:r>
        <w:rPr>
          <w:rStyle w:val="optioncarChar"/>
        </w:rPr>
        <w:t xml:space="preserve"> / panneau de particule / planchettes d’essence de bois *** / ***.</w:t>
      </w:r>
      <w:r>
        <w:rPr>
          <w:rStyle w:val="soitChar"/>
        </w:rPr>
        <w:t xml:space="preserve"> Le parement en bois et son collage sont choisis pour résister au vieillissement tel que spécifié dans la [NBN EN 321]. L’essence de bois sur le parement extérieur est de classe de durabilité naturelle </w:t>
      </w:r>
      <w:r>
        <w:rPr>
          <w:rStyle w:val="optioncarChar"/>
        </w:rPr>
        <w:t>1 / 2</w:t>
      </w:r>
      <w:r>
        <w:rPr>
          <w:rStyle w:val="soitChar"/>
        </w:rPr>
        <w:t xml:space="preserve"> ou a reçu un traitement de préservation de type </w:t>
      </w:r>
      <w:r>
        <w:rPr>
          <w:rStyle w:val="optioncarChar"/>
        </w:rPr>
        <w:t xml:space="preserve">C1 </w:t>
      </w:r>
      <w:r>
        <w:t>(par défaut)</w:t>
      </w:r>
      <w:r>
        <w:rPr>
          <w:rStyle w:val="optioncarChar"/>
        </w:rPr>
        <w:t xml:space="preserve"> / ***.</w:t>
      </w:r>
      <w:r>
        <w:rPr>
          <w:rStyle w:val="soitChar"/>
        </w:rPr>
        <w:t>  </w:t>
      </w:r>
    </w:p>
    <w:p w14:paraId="525A2A85" w14:textId="77777777" w:rsidR="00772179" w:rsidRDefault="00000000">
      <w:pPr>
        <w:jc w:val="both"/>
      </w:pPr>
      <w:r>
        <w:rPr>
          <w:b/>
        </w:rPr>
        <w:t>(soit)</w:t>
      </w:r>
    </w:p>
    <w:p w14:paraId="681E0B34" w14:textId="77777777" w:rsidR="00772179" w:rsidRDefault="00000000">
      <w:pPr>
        <w:jc w:val="both"/>
      </w:pPr>
      <w:r>
        <w:rPr>
          <w:rStyle w:val="optioncarChar"/>
        </w:rPr>
        <w:t>***</w:t>
      </w:r>
    </w:p>
    <w:p w14:paraId="63A0B064" w14:textId="77777777" w:rsidR="00772179" w:rsidRDefault="00000000">
      <w:pPr>
        <w:pStyle w:val="Author-eListParagraph"/>
        <w:numPr>
          <w:ilvl w:val="0"/>
          <w:numId w:val="633"/>
        </w:numPr>
      </w:pPr>
      <w:r>
        <w:t xml:space="preserve">Forme : </w:t>
      </w:r>
      <w:r>
        <w:rPr>
          <w:rStyle w:val="optioncarChar"/>
        </w:rPr>
        <w:t>à faces planes parallèles</w:t>
      </w:r>
      <w:r>
        <w:t xml:space="preserve"> (par défaut)</w:t>
      </w:r>
      <w:r>
        <w:rPr>
          <w:rStyle w:val="optioncarChar"/>
        </w:rPr>
        <w:t xml:space="preserve"> / planes incurvées / en forme de Z / bombées / ellipsoïdale / ***.</w:t>
      </w:r>
    </w:p>
    <w:p w14:paraId="269BD8C0" w14:textId="77777777" w:rsidR="00772179" w:rsidRDefault="00000000">
      <w:pPr>
        <w:pStyle w:val="Author-eListParagraph"/>
        <w:numPr>
          <w:ilvl w:val="0"/>
          <w:numId w:val="633"/>
        </w:numPr>
      </w:pPr>
      <w:r>
        <w:t xml:space="preserve">Largeur (aussi appelée hauteur) des lames : </w:t>
      </w:r>
      <w:r>
        <w:rPr>
          <w:rStyle w:val="optioncarChar"/>
        </w:rPr>
        <w:t xml:space="preserve">40 </w:t>
      </w:r>
      <w:r>
        <w:t>(par défaut)</w:t>
      </w:r>
      <w:r>
        <w:rPr>
          <w:rStyle w:val="optioncarChar"/>
        </w:rPr>
        <w:t xml:space="preserve"> / 50 / 70 / 75 / 80 / ***</w:t>
      </w:r>
      <w:r>
        <w:t xml:space="preserve"> mm.</w:t>
      </w:r>
    </w:p>
    <w:p w14:paraId="43D71138" w14:textId="77777777" w:rsidR="00772179" w:rsidRDefault="00000000">
      <w:pPr>
        <w:pStyle w:val="Author-eListParagraph"/>
        <w:numPr>
          <w:ilvl w:val="0"/>
          <w:numId w:val="633"/>
        </w:numPr>
      </w:pPr>
      <w:r>
        <w:t xml:space="preserve">Pas des lames : </w:t>
      </w:r>
      <w:r>
        <w:rPr>
          <w:rStyle w:val="optioncarChar"/>
        </w:rPr>
        <w:t xml:space="preserve">suivant étude du fabricant à soumettre pour approbation </w:t>
      </w:r>
      <w:r>
        <w:t>(par défaut)</w:t>
      </w:r>
      <w:r>
        <w:rPr>
          <w:rStyle w:val="optioncarChar"/>
        </w:rPr>
        <w:t xml:space="preserve"> / 70 / 75 / 10 / 100 / 110 / 140 / *** mm.</w:t>
      </w:r>
    </w:p>
    <w:p w14:paraId="2CBC7886" w14:textId="77777777" w:rsidR="00772179" w:rsidRDefault="00000000">
      <w:pPr>
        <w:pStyle w:val="Author-eListParagraph"/>
        <w:numPr>
          <w:ilvl w:val="0"/>
          <w:numId w:val="633"/>
        </w:numPr>
      </w:pPr>
      <w:r>
        <w:t>Angle d’inclinaison :</w:t>
      </w:r>
      <w:r>
        <w:rPr>
          <w:rStyle w:val="optioncarChar"/>
        </w:rPr>
        <w:t xml:space="preserve"> suivant étude du fabricant à soumettre pour approbation </w:t>
      </w:r>
      <w:r>
        <w:t>(par défaut)</w:t>
      </w:r>
      <w:r>
        <w:rPr>
          <w:rStyle w:val="optioncarChar"/>
        </w:rPr>
        <w:t xml:space="preserve"> / 35 / 45 / 50 / 55 / 60 / ***</w:t>
      </w:r>
      <w:r>
        <w:t>.</w:t>
      </w:r>
    </w:p>
    <w:p w14:paraId="556864BA" w14:textId="77777777" w:rsidR="00772179" w:rsidRDefault="00000000">
      <w:pPr>
        <w:pStyle w:val="Author-eListParagraph"/>
        <w:numPr>
          <w:ilvl w:val="0"/>
          <w:numId w:val="633"/>
        </w:numPr>
      </w:pPr>
      <w:r>
        <w:t xml:space="preserve">Sens de pose : </w:t>
      </w:r>
      <w:r>
        <w:rPr>
          <w:rStyle w:val="optioncarChar"/>
        </w:rPr>
        <w:t>horizontal / vertical</w:t>
      </w:r>
      <w:r>
        <w:t>.</w:t>
      </w:r>
    </w:p>
    <w:p w14:paraId="20ED0851" w14:textId="77777777" w:rsidR="00772179" w:rsidRDefault="00000000">
      <w:pPr>
        <w:jc w:val="both"/>
      </w:pPr>
      <w:r>
        <w:rPr>
          <w:b/>
        </w:rPr>
        <w:t>Dispositif de guidage :</w:t>
      </w:r>
    </w:p>
    <w:p w14:paraId="4064CF9C" w14:textId="77777777" w:rsidR="00772179" w:rsidRDefault="00000000">
      <w:pPr>
        <w:jc w:val="both"/>
      </w:pPr>
      <w:r>
        <w:t>Le guidage est constitué de rails en aluminium Al Mg Si 0.5 :</w:t>
      </w:r>
    </w:p>
    <w:p w14:paraId="767D78BF" w14:textId="77777777" w:rsidR="00772179" w:rsidRDefault="00000000">
      <w:pPr>
        <w:pStyle w:val="Author-eListParagraph"/>
        <w:numPr>
          <w:ilvl w:val="0"/>
          <w:numId w:val="634"/>
        </w:numPr>
      </w:pPr>
      <w:r>
        <w:t xml:space="preserve">Fixations : </w:t>
      </w:r>
      <w:r>
        <w:rPr>
          <w:rStyle w:val="optioncarChar"/>
        </w:rPr>
        <w:t>à l’aide de dispositifs rigides</w:t>
      </w:r>
      <w:r>
        <w:t xml:space="preserve"> (par défaut)</w:t>
      </w:r>
      <w:r>
        <w:rPr>
          <w:rStyle w:val="optioncarChar"/>
        </w:rPr>
        <w:t xml:space="preserve"> / de dispositifs permettant la reprise des vibrations / ***.</w:t>
      </w:r>
    </w:p>
    <w:p w14:paraId="468E38DD" w14:textId="77777777" w:rsidR="00772179" w:rsidRDefault="00000000">
      <w:pPr>
        <w:pStyle w:val="Author-eListParagraph"/>
        <w:numPr>
          <w:ilvl w:val="0"/>
          <w:numId w:val="634"/>
        </w:numPr>
      </w:pPr>
      <w:r>
        <w:t>Type d’ancrage et dimensions : à déterminer par le fabricant du système et à soumettre à l’approbation de la direction du chantier.</w:t>
      </w:r>
    </w:p>
    <w:p w14:paraId="59284B54" w14:textId="77777777" w:rsidR="00772179" w:rsidRDefault="00000000">
      <w:pPr>
        <w:pStyle w:val="Author-eListParagraph"/>
        <w:numPr>
          <w:ilvl w:val="0"/>
          <w:numId w:val="634"/>
        </w:numPr>
      </w:pPr>
      <w:r>
        <w:t xml:space="preserve">Placement : </w:t>
      </w:r>
      <w:r>
        <w:rPr>
          <w:rStyle w:val="optioncarChar"/>
        </w:rPr>
        <w:t xml:space="preserve">en saillie </w:t>
      </w:r>
      <w:r>
        <w:t>(par défaut)</w:t>
      </w:r>
      <w:r>
        <w:rPr>
          <w:rStyle w:val="optioncarChar"/>
        </w:rPr>
        <w:t xml:space="preserve"> / encastré / ***</w:t>
      </w:r>
      <w:r>
        <w:t>.</w:t>
      </w:r>
    </w:p>
    <w:p w14:paraId="79DEB592" w14:textId="77777777" w:rsidR="00772179" w:rsidRDefault="00000000">
      <w:pPr>
        <w:pStyle w:val="Author-eListParagraph"/>
        <w:numPr>
          <w:ilvl w:val="0"/>
          <w:numId w:val="634"/>
        </w:numPr>
      </w:pPr>
      <w:r>
        <w:t>Type de coulissant : système</w:t>
      </w:r>
      <w:r>
        <w:rPr>
          <w:rStyle w:val="optioncarChar"/>
        </w:rPr>
        <w:t xml:space="preserve"> coulissant simple</w:t>
      </w:r>
      <w:r>
        <w:t xml:space="preserve"> (par défaut) </w:t>
      </w:r>
      <w:r>
        <w:rPr>
          <w:rStyle w:val="optioncarChar"/>
        </w:rPr>
        <w:t>/ coulissant symétrique / coulissant télescopique / coulissant et pliant / ***</w:t>
      </w:r>
      <w:r>
        <w:t>.</w:t>
      </w:r>
    </w:p>
    <w:p w14:paraId="6FE89CFE" w14:textId="77777777" w:rsidR="00772179" w:rsidRDefault="00000000">
      <w:pPr>
        <w:ind w:left="567"/>
        <w:jc w:val="both"/>
      </w:pPr>
      <w:r>
        <w:rPr>
          <w:b/>
        </w:rPr>
        <w:t>(soit par défaut)</w:t>
      </w:r>
    </w:p>
    <w:p w14:paraId="49DBBF53" w14:textId="77777777" w:rsidR="00772179" w:rsidRDefault="00000000">
      <w:pPr>
        <w:ind w:left="567"/>
        <w:jc w:val="both"/>
      </w:pPr>
      <w:r>
        <w:rPr>
          <w:rStyle w:val="soitChar"/>
          <w:u w:val="single"/>
        </w:rPr>
        <w:lastRenderedPageBreak/>
        <w:t>Coulissant simple :</w:t>
      </w:r>
      <w:r>
        <w:rPr>
          <w:rStyle w:val="soitChar"/>
        </w:rPr>
        <w:t xml:space="preserve"> vantail simple ou multiple à manœuvre individuelle sur 1 rail de guidage.</w:t>
      </w:r>
    </w:p>
    <w:p w14:paraId="0E47A128" w14:textId="77777777" w:rsidR="00772179" w:rsidRDefault="00000000">
      <w:pPr>
        <w:ind w:left="567"/>
        <w:jc w:val="both"/>
      </w:pPr>
      <w:r>
        <w:rPr>
          <w:b/>
        </w:rPr>
        <w:t>(soit)</w:t>
      </w:r>
    </w:p>
    <w:p w14:paraId="6CFE3260" w14:textId="77777777" w:rsidR="00772179" w:rsidRDefault="00000000">
      <w:pPr>
        <w:ind w:left="567"/>
        <w:jc w:val="both"/>
      </w:pPr>
      <w:r>
        <w:rPr>
          <w:rStyle w:val="soitChar"/>
          <w:u w:val="single"/>
        </w:rPr>
        <w:t>Coulissant symétrique :</w:t>
      </w:r>
      <w:r>
        <w:rPr>
          <w:rStyle w:val="soitChar"/>
        </w:rPr>
        <w:t xml:space="preserve"> deux vantaux solidaires entre eux qui coulissent latéralement en position ouverte ou fermée en parfaite symétrie sur 1 rail de guidage.</w:t>
      </w:r>
    </w:p>
    <w:p w14:paraId="6EDF8B94" w14:textId="77777777" w:rsidR="00772179" w:rsidRDefault="00000000">
      <w:pPr>
        <w:ind w:left="567"/>
        <w:jc w:val="both"/>
      </w:pPr>
      <w:r>
        <w:rPr>
          <w:b/>
        </w:rPr>
        <w:t>(soit)</w:t>
      </w:r>
    </w:p>
    <w:p w14:paraId="10FA8C9A" w14:textId="77777777" w:rsidR="00772179" w:rsidRDefault="00000000">
      <w:pPr>
        <w:ind w:left="567"/>
        <w:jc w:val="both"/>
      </w:pPr>
      <w:r>
        <w:rPr>
          <w:rStyle w:val="soitChar"/>
          <w:u w:val="single"/>
        </w:rPr>
        <w:t>Coulissant télescopique :</w:t>
      </w:r>
      <w:r>
        <w:rPr>
          <w:rStyle w:val="soitChar"/>
        </w:rPr>
        <w:t xml:space="preserve">  composé de </w:t>
      </w:r>
      <w:r>
        <w:rPr>
          <w:rStyle w:val="optioncarChar"/>
        </w:rPr>
        <w:t>2 / 3</w:t>
      </w:r>
      <w:r>
        <w:rPr>
          <w:rStyle w:val="soitChar"/>
        </w:rPr>
        <w:t xml:space="preserve"> vantaux solidaires entre eux qui coulissent successivement sur </w:t>
      </w:r>
      <w:r>
        <w:rPr>
          <w:rStyle w:val="optioncarChar"/>
        </w:rPr>
        <w:t>2 / 3</w:t>
      </w:r>
      <w:r>
        <w:t xml:space="preserve">  </w:t>
      </w:r>
      <w:r>
        <w:rPr>
          <w:rStyle w:val="soitChar"/>
        </w:rPr>
        <w:t>rails de guidage.</w:t>
      </w:r>
    </w:p>
    <w:p w14:paraId="76F0AFB5" w14:textId="77777777" w:rsidR="00772179" w:rsidRDefault="00000000">
      <w:pPr>
        <w:ind w:left="567"/>
        <w:jc w:val="both"/>
      </w:pPr>
      <w:r>
        <w:rPr>
          <w:b/>
        </w:rPr>
        <w:t>(soit)</w:t>
      </w:r>
    </w:p>
    <w:p w14:paraId="0A91A2B3" w14:textId="77777777" w:rsidR="00772179" w:rsidRDefault="00000000">
      <w:pPr>
        <w:ind w:left="567"/>
        <w:jc w:val="both"/>
      </w:pPr>
      <w:r>
        <w:rPr>
          <w:rStyle w:val="soitChar"/>
          <w:u w:val="single"/>
        </w:rPr>
        <w:t>Coulissant et pliant :</w:t>
      </w:r>
      <w:r>
        <w:rPr>
          <w:rStyle w:val="soitChar"/>
        </w:rPr>
        <w:t xml:space="preserve"> composé de </w:t>
      </w:r>
      <w:r>
        <w:rPr>
          <w:rStyle w:val="optioncarChar"/>
        </w:rPr>
        <w:t>2 / 4</w:t>
      </w:r>
      <w:r>
        <w:t>  </w:t>
      </w:r>
      <w:r>
        <w:rPr>
          <w:rStyle w:val="soitChar"/>
        </w:rPr>
        <w:t>vantaux qui pivotent et coulissent sur le côté (principe accordéon) sont intégrés dans un ensemble coulissant sur 1 rail de guidage.</w:t>
      </w:r>
    </w:p>
    <w:p w14:paraId="101B6EE4" w14:textId="77777777" w:rsidR="00772179" w:rsidRDefault="00000000">
      <w:pPr>
        <w:ind w:left="567"/>
        <w:jc w:val="both"/>
      </w:pPr>
      <w:r>
        <w:rPr>
          <w:b/>
        </w:rPr>
        <w:t>(soit)</w:t>
      </w:r>
    </w:p>
    <w:p w14:paraId="0779EDB5" w14:textId="77777777" w:rsidR="00772179" w:rsidRDefault="00000000">
      <w:pPr>
        <w:ind w:left="567"/>
        <w:jc w:val="both"/>
      </w:pPr>
      <w:r>
        <w:rPr>
          <w:rStyle w:val="optioncarChar"/>
        </w:rPr>
        <w:t>***</w:t>
      </w:r>
    </w:p>
    <w:p w14:paraId="6BA0FA2A" w14:textId="77777777" w:rsidR="00772179" w:rsidRDefault="00000000">
      <w:pPr>
        <w:jc w:val="both"/>
      </w:pPr>
      <w:r>
        <w:rPr>
          <w:b/>
        </w:rPr>
        <w:t>Dispositif de manœuvre :</w:t>
      </w:r>
    </w:p>
    <w:p w14:paraId="19AA0D0E" w14:textId="77777777" w:rsidR="00772179" w:rsidRDefault="00000000">
      <w:pPr>
        <w:jc w:val="both"/>
      </w:pPr>
      <w:r>
        <w:rPr>
          <w:rStyle w:val="optioncarChar"/>
        </w:rPr>
        <w:t>Manuel</w:t>
      </w:r>
      <w:r>
        <w:t xml:space="preserve"> (par défaut) </w:t>
      </w:r>
      <w:r>
        <w:rPr>
          <w:rStyle w:val="optioncarChar"/>
        </w:rPr>
        <w:t>/ Motorisé.</w:t>
      </w:r>
    </w:p>
    <w:p w14:paraId="2BC385DD" w14:textId="77777777" w:rsidR="00772179" w:rsidRDefault="00000000">
      <w:pPr>
        <w:jc w:val="both"/>
      </w:pPr>
      <w:r>
        <w:rPr>
          <w:b/>
        </w:rPr>
        <w:t>(soit par défaut)</w:t>
      </w:r>
    </w:p>
    <w:p w14:paraId="06F33679" w14:textId="77777777" w:rsidR="00772179" w:rsidRDefault="00000000">
      <w:pPr>
        <w:jc w:val="both"/>
      </w:pPr>
      <w:r>
        <w:rPr>
          <w:rStyle w:val="soitChar"/>
          <w:u w:val="single"/>
        </w:rPr>
        <w:t>Manuel</w:t>
      </w:r>
    </w:p>
    <w:p w14:paraId="3B7D6280" w14:textId="77777777" w:rsidR="00772179" w:rsidRDefault="00000000">
      <w:pPr>
        <w:jc w:val="both"/>
      </w:pPr>
      <w:r>
        <w:rPr>
          <w:b/>
        </w:rPr>
        <w:t>(soit)</w:t>
      </w:r>
    </w:p>
    <w:p w14:paraId="54389839" w14:textId="77777777" w:rsidR="00772179" w:rsidRDefault="00000000">
      <w:pPr>
        <w:jc w:val="both"/>
      </w:pPr>
      <w:r>
        <w:rPr>
          <w:rStyle w:val="soitChar"/>
          <w:u w:val="single"/>
        </w:rPr>
        <w:t>Motorisé : </w:t>
      </w:r>
      <w:r>
        <w:rPr>
          <w:rStyle w:val="soitChar"/>
        </w:rPr>
        <w:t xml:space="preserve"> Les moteurs électriques sont conformes à la [NBN EN 60335-2-97] et répondent aux exigences de sécurité d’utilisation, de vitesse d’entrainement et de compatibilité électromagnétique.</w:t>
      </w:r>
    </w:p>
    <w:p w14:paraId="1A34A6BD" w14:textId="77777777" w:rsidR="00772179" w:rsidRDefault="00000000">
      <w:pPr>
        <w:jc w:val="both"/>
      </w:pPr>
      <w:r>
        <w:rPr>
          <w:rStyle w:val="soitChar"/>
        </w:rPr>
        <w:t>La puissance est adaptée à la protection solaire à actionner afin de respecter les exigences de sécurité et d’endurance.</w:t>
      </w:r>
    </w:p>
    <w:p w14:paraId="70ED66F1" w14:textId="77777777" w:rsidR="00772179" w:rsidRDefault="00000000">
      <w:pPr>
        <w:pStyle w:val="Author-eListParagraph"/>
        <w:numPr>
          <w:ilvl w:val="0"/>
          <w:numId w:val="635"/>
        </w:numPr>
      </w:pPr>
      <w:r>
        <w:rPr>
          <w:rStyle w:val="soitChar"/>
        </w:rPr>
        <w:t xml:space="preserve">Type : </w:t>
      </w:r>
      <w:r>
        <w:rPr>
          <w:rStyle w:val="optioncarChar"/>
        </w:rPr>
        <w:t>à vitesse constante</w:t>
      </w:r>
      <w:r>
        <w:t xml:space="preserve"> (par défaut)</w:t>
      </w:r>
      <w:r>
        <w:rPr>
          <w:rStyle w:val="optioncarChar"/>
        </w:rPr>
        <w:t xml:space="preserve"> / variable / ***.</w:t>
      </w:r>
    </w:p>
    <w:p w14:paraId="5E9313ED" w14:textId="77777777" w:rsidR="00772179" w:rsidRDefault="00000000">
      <w:pPr>
        <w:pStyle w:val="Author-eListParagraph"/>
        <w:numPr>
          <w:ilvl w:val="0"/>
          <w:numId w:val="635"/>
        </w:numPr>
      </w:pPr>
      <w:r>
        <w:rPr>
          <w:rStyle w:val="soitChar"/>
        </w:rPr>
        <w:t xml:space="preserve">Commande : </w:t>
      </w:r>
      <w:r>
        <w:rPr>
          <w:rStyle w:val="optioncarChar"/>
        </w:rPr>
        <w:t xml:space="preserve">manuelle </w:t>
      </w:r>
      <w:r>
        <w:t xml:space="preserve">(par défaut) </w:t>
      </w:r>
      <w:r>
        <w:rPr>
          <w:rStyle w:val="optioncarChar"/>
        </w:rPr>
        <w:t>/ manuelle et couplée avec des détecteurs de luminosité et de vitesse de vent</w:t>
      </w:r>
      <w:r>
        <w:rPr>
          <w:rStyle w:val="soitChar"/>
        </w:rPr>
        <w:t>.</w:t>
      </w:r>
    </w:p>
    <w:p w14:paraId="4B7045FC" w14:textId="77777777" w:rsidR="00772179" w:rsidRDefault="00000000">
      <w:pPr>
        <w:pStyle w:val="Author-eListParagraph"/>
        <w:numPr>
          <w:ilvl w:val="0"/>
          <w:numId w:val="635"/>
        </w:numPr>
      </w:pPr>
      <w:r>
        <w:rPr>
          <w:rStyle w:val="soitChar"/>
        </w:rPr>
        <w:t xml:space="preserve">Vitesse maximale : ≥ à </w:t>
      </w:r>
      <w:r>
        <w:rPr>
          <w:rStyle w:val="optioncarChar"/>
        </w:rPr>
        <w:t>0,10</w:t>
      </w:r>
      <w:r>
        <w:t xml:space="preserve"> (par défaut) </w:t>
      </w:r>
      <w:r>
        <w:rPr>
          <w:rStyle w:val="optioncarChar"/>
        </w:rPr>
        <w:t>/ ***</w:t>
      </w:r>
      <w:r>
        <w:rPr>
          <w:rStyle w:val="soitChar"/>
        </w:rPr>
        <w:t xml:space="preserve"> m/s.</w:t>
      </w:r>
    </w:p>
    <w:p w14:paraId="2D39BB0D" w14:textId="77777777" w:rsidR="00772179" w:rsidRDefault="00000000">
      <w:pPr>
        <w:pStyle w:val="Author-eListParagraph"/>
        <w:numPr>
          <w:ilvl w:val="0"/>
          <w:numId w:val="635"/>
        </w:numPr>
      </w:pPr>
      <w:r>
        <w:rPr>
          <w:rStyle w:val="soitChar"/>
        </w:rPr>
        <w:t>Degré de protection : IP</w:t>
      </w:r>
      <w:r>
        <w:rPr>
          <w:rStyle w:val="optioncarChar"/>
        </w:rPr>
        <w:t xml:space="preserve"> 55</w:t>
      </w:r>
      <w:r>
        <w:t xml:space="preserve"> (par défaut)</w:t>
      </w:r>
      <w:r>
        <w:rPr>
          <w:rStyle w:val="optioncarChar"/>
        </w:rPr>
        <w:t xml:space="preserve"> / ***</w:t>
      </w:r>
      <w:r>
        <w:rPr>
          <w:rStyle w:val="soitChar"/>
        </w:rPr>
        <w:t>.</w:t>
      </w:r>
    </w:p>
    <w:p w14:paraId="1AC9A7C9" w14:textId="77777777" w:rsidR="00772179" w:rsidRDefault="00000000">
      <w:pPr>
        <w:pStyle w:val="Author-eListParagraph"/>
        <w:numPr>
          <w:ilvl w:val="0"/>
          <w:numId w:val="635"/>
        </w:numPr>
      </w:pPr>
      <w:r>
        <w:rPr>
          <w:rStyle w:val="soitChar"/>
        </w:rPr>
        <w:t>T° de fonctionnement : de - 20 °C à + 50 °C.</w:t>
      </w:r>
    </w:p>
    <w:p w14:paraId="45367720" w14:textId="77777777" w:rsidR="00772179" w:rsidRDefault="00000000">
      <w:pPr>
        <w:pStyle w:val="Author-eListParagraph"/>
        <w:numPr>
          <w:ilvl w:val="0"/>
          <w:numId w:val="635"/>
        </w:numPr>
      </w:pPr>
      <w:r>
        <w:rPr>
          <w:rStyle w:val="soitChar"/>
        </w:rPr>
        <w:t>Sécurité de serrage : oui.</w:t>
      </w:r>
    </w:p>
    <w:p w14:paraId="5584EDCD" w14:textId="77777777" w:rsidR="00772179" w:rsidRDefault="00000000">
      <w:pPr>
        <w:pStyle w:val="Author-eListParagraph"/>
        <w:numPr>
          <w:ilvl w:val="0"/>
          <w:numId w:val="635"/>
        </w:numPr>
      </w:pPr>
      <w:r>
        <w:rPr>
          <w:rStyle w:val="soitChar"/>
        </w:rPr>
        <w:t>Service : ne nécessitant aucun entretien.</w:t>
      </w:r>
    </w:p>
    <w:p w14:paraId="67A3AFE1" w14:textId="77777777" w:rsidR="00772179" w:rsidRDefault="00000000">
      <w:pPr>
        <w:pStyle w:val="Author-eListParagraph"/>
        <w:numPr>
          <w:ilvl w:val="0"/>
          <w:numId w:val="635"/>
        </w:numPr>
      </w:pPr>
      <w:r>
        <w:rPr>
          <w:rStyle w:val="soitChar"/>
        </w:rPr>
        <w:t xml:space="preserve">Garantie : </w:t>
      </w:r>
      <w:r>
        <w:rPr>
          <w:rStyle w:val="optioncarChar"/>
        </w:rPr>
        <w:t>2</w:t>
      </w:r>
      <w:r>
        <w:t xml:space="preserve"> (par défaut)</w:t>
      </w:r>
      <w:r>
        <w:rPr>
          <w:rStyle w:val="optioncarChar"/>
        </w:rPr>
        <w:t> / ***</w:t>
      </w:r>
      <w:r>
        <w:rPr>
          <w:rStyle w:val="soitChar"/>
        </w:rPr>
        <w:t xml:space="preserve"> ans.</w:t>
      </w:r>
    </w:p>
    <w:p w14:paraId="0D9F45D9" w14:textId="77777777" w:rsidR="00772179" w:rsidRDefault="00000000">
      <w:pPr>
        <w:pStyle w:val="Author-eListParagraph"/>
        <w:numPr>
          <w:ilvl w:val="0"/>
          <w:numId w:val="635"/>
        </w:numPr>
      </w:pPr>
      <w:r>
        <w:rPr>
          <w:rStyle w:val="soitChar"/>
        </w:rPr>
        <w:t xml:space="preserve">Attestation des cycles de test : ≥ à </w:t>
      </w:r>
      <w:r>
        <w:rPr>
          <w:rStyle w:val="optioncarChar"/>
        </w:rPr>
        <w:t xml:space="preserve">100000 </w:t>
      </w:r>
      <w:r>
        <w:t>(par défaut)</w:t>
      </w:r>
      <w:r>
        <w:rPr>
          <w:rStyle w:val="optioncarChar"/>
        </w:rPr>
        <w:t xml:space="preserve"> / ***</w:t>
      </w:r>
      <w:r>
        <w:rPr>
          <w:rStyle w:val="soitChar"/>
        </w:rPr>
        <w:t>.</w:t>
      </w:r>
    </w:p>
    <w:p w14:paraId="32475A05" w14:textId="77777777" w:rsidR="00772179" w:rsidRDefault="00000000">
      <w:pPr>
        <w:pStyle w:val="pheading"/>
      </w:pPr>
      <w:r>
        <w:t>- Finitions</w:t>
      </w:r>
    </w:p>
    <w:p w14:paraId="76553087" w14:textId="77777777" w:rsidR="00772179" w:rsidRDefault="00000000">
      <w:pPr>
        <w:jc w:val="both"/>
      </w:pPr>
      <w:r>
        <w:rPr>
          <w:b/>
        </w:rPr>
        <w:t>Cadre :</w:t>
      </w:r>
    </w:p>
    <w:p w14:paraId="3D33AC85" w14:textId="77777777" w:rsidR="00772179" w:rsidRDefault="00000000">
      <w:pPr>
        <w:jc w:val="both"/>
      </w:pPr>
      <w:r>
        <w:rPr>
          <w:rStyle w:val="optioncarChar"/>
        </w:rPr>
        <w:t xml:space="preserve">Thermolaqué par poudrage polyester </w:t>
      </w:r>
      <w:r>
        <w:t>(par défaut)</w:t>
      </w:r>
      <w:r>
        <w:rPr>
          <w:rStyle w:val="optioncarChar"/>
        </w:rPr>
        <w:t xml:space="preserve"> / Anodisé / ***</w:t>
      </w:r>
    </w:p>
    <w:p w14:paraId="026E3F5D" w14:textId="77777777" w:rsidR="00772179" w:rsidRDefault="00000000">
      <w:pPr>
        <w:jc w:val="both"/>
      </w:pPr>
      <w:r>
        <w:rPr>
          <w:b/>
        </w:rPr>
        <w:t>(soit par défaut)</w:t>
      </w:r>
    </w:p>
    <w:p w14:paraId="5A818C7B" w14:textId="77777777" w:rsidR="00772179" w:rsidRDefault="00000000">
      <w:pPr>
        <w:jc w:val="both"/>
      </w:pPr>
      <w:r>
        <w:rPr>
          <w:rStyle w:val="soitChar"/>
          <w:u w:val="single"/>
        </w:rPr>
        <w:t>Thermolaqué par poudrage polyester :</w:t>
      </w:r>
      <w:r>
        <w:rPr>
          <w:rStyle w:val="soitChar"/>
        </w:rPr>
        <w:t xml:space="preserve"> selon [Qualicoat] épaisseur ≥ 60 μm</w:t>
      </w:r>
    </w:p>
    <w:p w14:paraId="36F71F48" w14:textId="77777777" w:rsidR="00772179" w:rsidRDefault="00000000">
      <w:pPr>
        <w:pStyle w:val="Author-eListParagraph"/>
        <w:numPr>
          <w:ilvl w:val="0"/>
          <w:numId w:val="636"/>
        </w:numPr>
      </w:pPr>
      <w:r>
        <w:rPr>
          <w:rStyle w:val="soitChar"/>
        </w:rPr>
        <w:t xml:space="preserve">Couleur : RAL n° </w:t>
      </w:r>
      <w:r>
        <w:rPr>
          <w:rStyle w:val="optioncarChar"/>
        </w:rPr>
        <w:t>***</w:t>
      </w:r>
    </w:p>
    <w:p w14:paraId="4177DA68" w14:textId="77777777" w:rsidR="00772179" w:rsidRDefault="00000000">
      <w:pPr>
        <w:pStyle w:val="Author-eListParagraph"/>
        <w:numPr>
          <w:ilvl w:val="0"/>
          <w:numId w:val="636"/>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2E02AC09" w14:textId="77777777" w:rsidR="00772179" w:rsidRDefault="00000000">
      <w:pPr>
        <w:jc w:val="both"/>
      </w:pPr>
      <w:r>
        <w:rPr>
          <w:b/>
        </w:rPr>
        <w:t>(soit)</w:t>
      </w:r>
    </w:p>
    <w:p w14:paraId="378EB075" w14:textId="77777777" w:rsidR="00772179" w:rsidRDefault="00000000">
      <w:pPr>
        <w:jc w:val="both"/>
      </w:pPr>
      <w:r>
        <w:rPr>
          <w:rStyle w:val="soitChar"/>
          <w:u w:val="single"/>
        </w:rPr>
        <w:t>Anodisé :</w:t>
      </w:r>
      <w:r>
        <w:rPr>
          <w:rStyle w:val="soitChar"/>
        </w:rPr>
        <w:t xml:space="preserve"> selon [Qualanod] épaisseur ≥ 18 μm</w:t>
      </w:r>
    </w:p>
    <w:p w14:paraId="78145483" w14:textId="77777777" w:rsidR="00772179" w:rsidRDefault="00000000">
      <w:pPr>
        <w:pStyle w:val="Author-eListParagraph"/>
        <w:numPr>
          <w:ilvl w:val="0"/>
          <w:numId w:val="637"/>
        </w:numPr>
      </w:pPr>
      <w:r>
        <w:rPr>
          <w:rStyle w:val="soitChar"/>
        </w:rPr>
        <w:t xml:space="preserve">Couleur : </w:t>
      </w:r>
      <w:r>
        <w:rPr>
          <w:rStyle w:val="optioncarChar"/>
        </w:rPr>
        <w:t>naturelle</w:t>
      </w:r>
      <w:r>
        <w:t xml:space="preserve"> (par défaut)</w:t>
      </w:r>
      <w:r>
        <w:rPr>
          <w:rStyle w:val="optioncarChar"/>
        </w:rPr>
        <w:t xml:space="preserve"> / ***.</w:t>
      </w:r>
    </w:p>
    <w:p w14:paraId="3EFB27E4" w14:textId="77777777" w:rsidR="00772179" w:rsidRDefault="00000000">
      <w:pPr>
        <w:pStyle w:val="Author-eListParagraph"/>
        <w:numPr>
          <w:ilvl w:val="0"/>
          <w:numId w:val="637"/>
        </w:numPr>
      </w:pPr>
      <w:r>
        <w:rPr>
          <w:rStyle w:val="soitChar"/>
        </w:rPr>
        <w:t xml:space="preserve">Finition : </w:t>
      </w:r>
      <w:r>
        <w:rPr>
          <w:rStyle w:val="optioncarChar"/>
        </w:rPr>
        <w:t>mate</w:t>
      </w:r>
      <w:r>
        <w:t xml:space="preserve"> (par défaut)</w:t>
      </w:r>
      <w:r>
        <w:rPr>
          <w:rStyle w:val="optioncarChar"/>
        </w:rPr>
        <w:t xml:space="preserve"> / ***</w:t>
      </w:r>
      <w:r>
        <w:rPr>
          <w:rStyle w:val="soitChar"/>
        </w:rPr>
        <w:t>.</w:t>
      </w:r>
    </w:p>
    <w:p w14:paraId="44362ADF" w14:textId="77777777" w:rsidR="00772179" w:rsidRDefault="00000000">
      <w:pPr>
        <w:jc w:val="both"/>
      </w:pPr>
      <w:r>
        <w:rPr>
          <w:b/>
        </w:rPr>
        <w:t>(soit)</w:t>
      </w:r>
    </w:p>
    <w:p w14:paraId="6D178D11" w14:textId="77777777" w:rsidR="00772179" w:rsidRDefault="00000000">
      <w:pPr>
        <w:jc w:val="both"/>
      </w:pPr>
      <w:r>
        <w:rPr>
          <w:rStyle w:val="optioncarChar"/>
        </w:rPr>
        <w:t>***</w:t>
      </w:r>
    </w:p>
    <w:p w14:paraId="3B8BC022" w14:textId="77777777" w:rsidR="00772179" w:rsidRDefault="00000000">
      <w:pPr>
        <w:jc w:val="both"/>
      </w:pPr>
      <w:r>
        <w:rPr>
          <w:b/>
        </w:rPr>
        <w:lastRenderedPageBreak/>
        <w:t>Lamelles :</w:t>
      </w:r>
    </w:p>
    <w:p w14:paraId="7B56B509" w14:textId="77777777" w:rsidR="00772179" w:rsidRDefault="00000000">
      <w:pPr>
        <w:jc w:val="both"/>
      </w:pPr>
      <w:r>
        <w:t xml:space="preserve">Les lamelles en aluminium sont </w:t>
      </w:r>
      <w:r>
        <w:rPr>
          <w:rStyle w:val="optioncarChar"/>
        </w:rPr>
        <w:t xml:space="preserve">thermolaquées par poudrage polyester </w:t>
      </w:r>
      <w:r>
        <w:t>(par défaut)</w:t>
      </w:r>
      <w:r>
        <w:rPr>
          <w:rStyle w:val="optioncarChar"/>
        </w:rPr>
        <w:t xml:space="preserve"> / anodisées / ***.</w:t>
      </w:r>
    </w:p>
    <w:p w14:paraId="486C0E8F" w14:textId="77777777" w:rsidR="00772179" w:rsidRDefault="00772179">
      <w:pPr>
        <w:jc w:val="both"/>
      </w:pPr>
    </w:p>
    <w:p w14:paraId="74775A30" w14:textId="77777777" w:rsidR="00772179" w:rsidRDefault="00000000">
      <w:pPr>
        <w:jc w:val="both"/>
      </w:pPr>
      <w:r>
        <w:rPr>
          <w:b/>
        </w:rPr>
        <w:t>(soit par défaut)</w:t>
      </w:r>
    </w:p>
    <w:p w14:paraId="21CBE644" w14:textId="77777777" w:rsidR="00772179" w:rsidRDefault="00000000">
      <w:pPr>
        <w:jc w:val="both"/>
      </w:pPr>
      <w:r>
        <w:rPr>
          <w:rStyle w:val="soitChar"/>
          <w:u w:val="single"/>
        </w:rPr>
        <w:t>Thermolaquées par poudrage polyester :</w:t>
      </w:r>
      <w:r>
        <w:rPr>
          <w:rStyle w:val="soitChar"/>
        </w:rPr>
        <w:t xml:space="preserve"> selon [Qualicoat] épaisseur ≥ 60 μm</w:t>
      </w:r>
    </w:p>
    <w:p w14:paraId="264D77E0" w14:textId="77777777" w:rsidR="00772179" w:rsidRDefault="00000000">
      <w:pPr>
        <w:pStyle w:val="Author-eListParagraph"/>
        <w:numPr>
          <w:ilvl w:val="0"/>
          <w:numId w:val="638"/>
        </w:numPr>
      </w:pPr>
      <w:r>
        <w:rPr>
          <w:rStyle w:val="soitChar"/>
        </w:rPr>
        <w:t>Couleur : RAL n°</w:t>
      </w:r>
      <w:r>
        <w:t> </w:t>
      </w:r>
      <w:r>
        <w:rPr>
          <w:rStyle w:val="optioncarChar"/>
        </w:rPr>
        <w:t>***</w:t>
      </w:r>
    </w:p>
    <w:p w14:paraId="04FC968F" w14:textId="77777777" w:rsidR="00772179" w:rsidRDefault="00000000">
      <w:pPr>
        <w:pStyle w:val="Author-eListParagraph"/>
        <w:numPr>
          <w:ilvl w:val="0"/>
          <w:numId w:val="638"/>
        </w:numPr>
      </w:pPr>
      <w:r>
        <w:rPr>
          <w:rStyle w:val="soitChar"/>
        </w:rPr>
        <w:t>Brillance : </w:t>
      </w:r>
      <w:r>
        <w:rPr>
          <w:rStyle w:val="optioncarChar"/>
        </w:rPr>
        <w:t>70 </w:t>
      </w:r>
      <w:r>
        <w:t>(par défaut)</w:t>
      </w:r>
      <w:r>
        <w:rPr>
          <w:rStyle w:val="optioncarChar"/>
        </w:rPr>
        <w:t> / ***</w:t>
      </w:r>
      <w:r>
        <w:rPr>
          <w:rStyle w:val="soitChar"/>
        </w:rPr>
        <w:t> %.</w:t>
      </w:r>
    </w:p>
    <w:p w14:paraId="692898AE" w14:textId="77777777" w:rsidR="00772179" w:rsidRDefault="00000000">
      <w:pPr>
        <w:jc w:val="both"/>
      </w:pPr>
      <w:r>
        <w:rPr>
          <w:b/>
        </w:rPr>
        <w:t>(soit)</w:t>
      </w:r>
    </w:p>
    <w:p w14:paraId="557635E8" w14:textId="77777777" w:rsidR="00772179" w:rsidRDefault="00000000">
      <w:pPr>
        <w:jc w:val="both"/>
      </w:pPr>
      <w:r>
        <w:rPr>
          <w:rStyle w:val="soitChar"/>
          <w:u w:val="single"/>
        </w:rPr>
        <w:t>Anodisé :</w:t>
      </w:r>
      <w:r>
        <w:rPr>
          <w:rStyle w:val="soitChar"/>
        </w:rPr>
        <w:t xml:space="preserve"> selon [Qualanod] épaisseur ≥ 18 μm</w:t>
      </w:r>
    </w:p>
    <w:p w14:paraId="32FEF84C" w14:textId="77777777" w:rsidR="00772179" w:rsidRDefault="00000000">
      <w:pPr>
        <w:pStyle w:val="Author-eListParagraph"/>
        <w:numPr>
          <w:ilvl w:val="0"/>
          <w:numId w:val="639"/>
        </w:numPr>
      </w:pPr>
      <w:r>
        <w:rPr>
          <w:rStyle w:val="soitChar"/>
        </w:rPr>
        <w:t>Couleur : </w:t>
      </w:r>
      <w:r>
        <w:rPr>
          <w:rStyle w:val="optioncarChar"/>
        </w:rPr>
        <w:t>naturelle</w:t>
      </w:r>
      <w:r>
        <w:t> (par défaut)</w:t>
      </w:r>
      <w:r>
        <w:rPr>
          <w:rStyle w:val="optioncarChar"/>
        </w:rPr>
        <w:t> / ***.</w:t>
      </w:r>
    </w:p>
    <w:p w14:paraId="7A884E7A" w14:textId="77777777" w:rsidR="00772179" w:rsidRDefault="00000000">
      <w:pPr>
        <w:pStyle w:val="Author-eListParagraph"/>
        <w:numPr>
          <w:ilvl w:val="0"/>
          <w:numId w:val="639"/>
        </w:numPr>
      </w:pPr>
      <w:r>
        <w:rPr>
          <w:rStyle w:val="soitChar"/>
        </w:rPr>
        <w:t>Finition : </w:t>
      </w:r>
      <w:r>
        <w:rPr>
          <w:rStyle w:val="optioncarChar"/>
        </w:rPr>
        <w:t>mate</w:t>
      </w:r>
      <w:r>
        <w:t> (par défaut)</w:t>
      </w:r>
      <w:r>
        <w:rPr>
          <w:rStyle w:val="optioncarChar"/>
        </w:rPr>
        <w:t> / ***</w:t>
      </w:r>
      <w:r>
        <w:rPr>
          <w:rStyle w:val="soitChar"/>
        </w:rPr>
        <w:t>.</w:t>
      </w:r>
    </w:p>
    <w:p w14:paraId="5A379A7A" w14:textId="77777777" w:rsidR="00772179" w:rsidRDefault="00000000">
      <w:pPr>
        <w:jc w:val="both"/>
      </w:pPr>
      <w:r>
        <w:rPr>
          <w:b/>
        </w:rPr>
        <w:t>(soit)</w:t>
      </w:r>
    </w:p>
    <w:p w14:paraId="222E136A" w14:textId="77777777" w:rsidR="00772179" w:rsidRDefault="00000000">
      <w:pPr>
        <w:jc w:val="both"/>
      </w:pPr>
      <w:r>
        <w:rPr>
          <w:rStyle w:val="optioncarChar"/>
        </w:rPr>
        <w:t>***</w:t>
      </w:r>
    </w:p>
    <w:p w14:paraId="5CAB7BDC" w14:textId="77777777" w:rsidR="00772179" w:rsidRDefault="00000000">
      <w:pPr>
        <w:jc w:val="both"/>
      </w:pPr>
      <w:r>
        <w:t xml:space="preserve">Les lamelles en bois sont </w:t>
      </w:r>
      <w:r>
        <w:rPr>
          <w:rStyle w:val="optioncarChar"/>
        </w:rPr>
        <w:t>laquées</w:t>
      </w:r>
      <w:r>
        <w:t xml:space="preserve"> (par défaut) </w:t>
      </w:r>
      <w:r>
        <w:rPr>
          <w:rStyle w:val="optioncarChar"/>
        </w:rPr>
        <w:t>/ lasurées / ***.</w:t>
      </w:r>
    </w:p>
    <w:p w14:paraId="39BB8329" w14:textId="77777777" w:rsidR="00772179" w:rsidRDefault="00772179">
      <w:pPr>
        <w:jc w:val="both"/>
      </w:pPr>
    </w:p>
    <w:p w14:paraId="69A3865F" w14:textId="77777777" w:rsidR="00772179" w:rsidRDefault="00000000">
      <w:pPr>
        <w:jc w:val="both"/>
      </w:pPr>
      <w:r>
        <w:rPr>
          <w:b/>
        </w:rPr>
        <w:t>(soit par défaut)</w:t>
      </w:r>
    </w:p>
    <w:p w14:paraId="4166D97B" w14:textId="77777777" w:rsidR="00772179" w:rsidRDefault="00000000">
      <w:pPr>
        <w:jc w:val="both"/>
      </w:pPr>
      <w:r>
        <w:rPr>
          <w:rStyle w:val="soitChar"/>
          <w:u w:val="single"/>
        </w:rPr>
        <w:t>Laquées :</w:t>
      </w:r>
      <w:r>
        <w:rPr>
          <w:rStyle w:val="soitChar"/>
        </w:rPr>
        <w:t xml:space="preserve"> selon [Qualicoat] épaisseur ≥ 60 μm</w:t>
      </w:r>
    </w:p>
    <w:p w14:paraId="21B21DE6" w14:textId="77777777" w:rsidR="00772179" w:rsidRDefault="00000000">
      <w:pPr>
        <w:pStyle w:val="Author-eListParagraph"/>
        <w:numPr>
          <w:ilvl w:val="0"/>
          <w:numId w:val="640"/>
        </w:numPr>
      </w:pPr>
      <w:r>
        <w:rPr>
          <w:rStyle w:val="soitChar"/>
        </w:rPr>
        <w:t>Couleur : RAL n° </w:t>
      </w:r>
      <w:r>
        <w:rPr>
          <w:rStyle w:val="optioncarChar"/>
        </w:rPr>
        <w:t>***</w:t>
      </w:r>
    </w:p>
    <w:p w14:paraId="4931CEB4" w14:textId="77777777" w:rsidR="00772179" w:rsidRDefault="00000000">
      <w:pPr>
        <w:pStyle w:val="Author-eListParagraph"/>
        <w:numPr>
          <w:ilvl w:val="0"/>
          <w:numId w:val="640"/>
        </w:numPr>
      </w:pPr>
      <w:r>
        <w:rPr>
          <w:rStyle w:val="soitChar"/>
        </w:rPr>
        <w:t>Brillance : </w:t>
      </w:r>
      <w:r>
        <w:rPr>
          <w:rStyle w:val="optioncarChar"/>
        </w:rPr>
        <w:t>70 </w:t>
      </w:r>
      <w:r>
        <w:t>(par défaut)</w:t>
      </w:r>
      <w:r>
        <w:rPr>
          <w:rStyle w:val="optioncarChar"/>
        </w:rPr>
        <w:t> / ***</w:t>
      </w:r>
      <w:r>
        <w:rPr>
          <w:rStyle w:val="soitChar"/>
        </w:rPr>
        <w:t> %.</w:t>
      </w:r>
    </w:p>
    <w:p w14:paraId="16D3BA8A" w14:textId="77777777" w:rsidR="00772179" w:rsidRDefault="00000000">
      <w:pPr>
        <w:jc w:val="both"/>
      </w:pPr>
      <w:r>
        <w:rPr>
          <w:b/>
        </w:rPr>
        <w:t>(soit)</w:t>
      </w:r>
    </w:p>
    <w:p w14:paraId="53A8103B" w14:textId="77777777" w:rsidR="00772179" w:rsidRDefault="00000000">
      <w:pPr>
        <w:jc w:val="both"/>
      </w:pPr>
      <w:r>
        <w:rPr>
          <w:rStyle w:val="soitChar"/>
          <w:u w:val="single"/>
        </w:rPr>
        <w:t>Lasurées :</w:t>
      </w:r>
    </w:p>
    <w:p w14:paraId="718387F0" w14:textId="77777777" w:rsidR="00772179" w:rsidRDefault="00000000">
      <w:pPr>
        <w:pStyle w:val="Author-eListParagraph"/>
        <w:numPr>
          <w:ilvl w:val="0"/>
          <w:numId w:val="641"/>
        </w:numPr>
      </w:pPr>
      <w:r>
        <w:rPr>
          <w:rStyle w:val="soitChar"/>
        </w:rPr>
        <w:t xml:space="preserve">Couleur : RAL n° </w:t>
      </w:r>
      <w:r>
        <w:rPr>
          <w:rStyle w:val="optioncarChar"/>
        </w:rPr>
        <w:t>***</w:t>
      </w:r>
    </w:p>
    <w:p w14:paraId="5E030097" w14:textId="77777777" w:rsidR="00772179" w:rsidRDefault="00000000">
      <w:pPr>
        <w:pStyle w:val="Author-eListParagraph"/>
        <w:numPr>
          <w:ilvl w:val="0"/>
          <w:numId w:val="641"/>
        </w:numPr>
      </w:pPr>
      <w:r>
        <w:rPr>
          <w:rStyle w:val="soitChar"/>
        </w:rPr>
        <w:t xml:space="preserve">Finition : </w:t>
      </w:r>
      <w:r>
        <w:rPr>
          <w:rStyle w:val="optioncarChar"/>
        </w:rPr>
        <w:t>satinée</w:t>
      </w:r>
      <w:r>
        <w:t xml:space="preserve"> (par défaut)</w:t>
      </w:r>
      <w:r>
        <w:rPr>
          <w:rStyle w:val="optioncarChar"/>
        </w:rPr>
        <w:t xml:space="preserve"> / brillante / mate / légèrement structurée / ***.</w:t>
      </w:r>
    </w:p>
    <w:p w14:paraId="343A8B2E" w14:textId="77777777" w:rsidR="00772179" w:rsidRDefault="00000000">
      <w:pPr>
        <w:jc w:val="both"/>
      </w:pPr>
      <w:r>
        <w:rPr>
          <w:b/>
        </w:rPr>
        <w:t>(soit)</w:t>
      </w:r>
    </w:p>
    <w:p w14:paraId="44FA33E2" w14:textId="77777777" w:rsidR="00772179" w:rsidRDefault="00000000">
      <w:pPr>
        <w:jc w:val="both"/>
      </w:pPr>
      <w:r>
        <w:rPr>
          <w:rStyle w:val="optioncarChar"/>
        </w:rPr>
        <w:t>***</w:t>
      </w:r>
    </w:p>
    <w:p w14:paraId="4DA54C94" w14:textId="77777777" w:rsidR="00772179" w:rsidRDefault="00000000">
      <w:pPr>
        <w:jc w:val="both"/>
      </w:pPr>
      <w:r>
        <w:rPr>
          <w:b/>
        </w:rPr>
        <w:t>Rail :</w:t>
      </w:r>
    </w:p>
    <w:p w14:paraId="59779DAF" w14:textId="77777777" w:rsidR="00772179" w:rsidRDefault="00000000">
      <w:pPr>
        <w:jc w:val="both"/>
      </w:pPr>
      <w:r>
        <w:rPr>
          <w:rStyle w:val="optioncarChar"/>
        </w:rPr>
        <w:t>Thermolaqué par poudrage polyester</w:t>
      </w:r>
      <w:r>
        <w:t xml:space="preserve"> (par défaut)</w:t>
      </w:r>
      <w:r>
        <w:rPr>
          <w:rStyle w:val="optioncarChar"/>
        </w:rPr>
        <w:t xml:space="preserve"> / Anodisé / ***</w:t>
      </w:r>
    </w:p>
    <w:p w14:paraId="5CE92D32" w14:textId="77777777" w:rsidR="00772179" w:rsidRDefault="00000000">
      <w:pPr>
        <w:jc w:val="both"/>
      </w:pPr>
      <w:r>
        <w:rPr>
          <w:b/>
        </w:rPr>
        <w:t>(soit par défaut)</w:t>
      </w:r>
    </w:p>
    <w:p w14:paraId="7877C335" w14:textId="77777777" w:rsidR="00772179" w:rsidRDefault="00000000">
      <w:pPr>
        <w:jc w:val="both"/>
      </w:pPr>
      <w:r>
        <w:rPr>
          <w:rStyle w:val="soitChar"/>
          <w:u w:val="single"/>
        </w:rPr>
        <w:t>Thermolaqué par poudrage polyester</w:t>
      </w:r>
      <w:r>
        <w:rPr>
          <w:rStyle w:val="soitChar"/>
        </w:rPr>
        <w:t xml:space="preserve"> : selon [Qualicoat] épaisseur ≥ 60 μm</w:t>
      </w:r>
    </w:p>
    <w:p w14:paraId="2588C59C" w14:textId="77777777" w:rsidR="00772179" w:rsidRDefault="00000000">
      <w:pPr>
        <w:pStyle w:val="Author-eListParagraph"/>
        <w:numPr>
          <w:ilvl w:val="0"/>
          <w:numId w:val="642"/>
        </w:numPr>
      </w:pPr>
      <w:r>
        <w:rPr>
          <w:rStyle w:val="soitChar"/>
        </w:rPr>
        <w:t>Couleur : RAL n° </w:t>
      </w:r>
      <w:r>
        <w:rPr>
          <w:rStyle w:val="optioncarChar"/>
        </w:rPr>
        <w:t>***</w:t>
      </w:r>
    </w:p>
    <w:p w14:paraId="0B11C72B" w14:textId="77777777" w:rsidR="00772179" w:rsidRDefault="00000000">
      <w:pPr>
        <w:pStyle w:val="Author-eListParagraph"/>
        <w:numPr>
          <w:ilvl w:val="0"/>
          <w:numId w:val="642"/>
        </w:numPr>
      </w:pPr>
      <w:r>
        <w:rPr>
          <w:rStyle w:val="soitChar"/>
        </w:rPr>
        <w:t>Brillance : </w:t>
      </w:r>
      <w:r>
        <w:rPr>
          <w:rStyle w:val="optioncarChar"/>
        </w:rPr>
        <w:t>70 </w:t>
      </w:r>
      <w:r>
        <w:t>(par défaut)</w:t>
      </w:r>
      <w:r>
        <w:rPr>
          <w:rStyle w:val="optioncarChar"/>
        </w:rPr>
        <w:t> / ***</w:t>
      </w:r>
      <w:r>
        <w:rPr>
          <w:rStyle w:val="soitChar"/>
        </w:rPr>
        <w:t> %.</w:t>
      </w:r>
    </w:p>
    <w:p w14:paraId="441279C3" w14:textId="77777777" w:rsidR="00772179" w:rsidRDefault="00000000">
      <w:pPr>
        <w:jc w:val="both"/>
      </w:pPr>
      <w:r>
        <w:rPr>
          <w:b/>
        </w:rPr>
        <w:t>(soit)</w:t>
      </w:r>
    </w:p>
    <w:p w14:paraId="13D61013" w14:textId="77777777" w:rsidR="00772179" w:rsidRDefault="00000000">
      <w:pPr>
        <w:jc w:val="both"/>
      </w:pPr>
      <w:r>
        <w:rPr>
          <w:rStyle w:val="soitChar"/>
          <w:u w:val="single"/>
        </w:rPr>
        <w:t>Anodisé :</w:t>
      </w:r>
      <w:r>
        <w:rPr>
          <w:rStyle w:val="soitChar"/>
        </w:rPr>
        <w:t xml:space="preserve"> selon [Qualanod] épaisseur ≥ 18 μm</w:t>
      </w:r>
    </w:p>
    <w:p w14:paraId="16336167" w14:textId="77777777" w:rsidR="00772179" w:rsidRDefault="00000000">
      <w:pPr>
        <w:pStyle w:val="Author-eListParagraph"/>
        <w:numPr>
          <w:ilvl w:val="0"/>
          <w:numId w:val="643"/>
        </w:numPr>
      </w:pPr>
      <w:r>
        <w:rPr>
          <w:rStyle w:val="soitChar"/>
        </w:rPr>
        <w:t>Couleur : </w:t>
      </w:r>
      <w:r>
        <w:rPr>
          <w:rStyle w:val="optioncarChar"/>
        </w:rPr>
        <w:t>naturelle</w:t>
      </w:r>
      <w:r>
        <w:t> (par défaut)</w:t>
      </w:r>
      <w:r>
        <w:rPr>
          <w:rStyle w:val="optioncarChar"/>
        </w:rPr>
        <w:t> / ***.</w:t>
      </w:r>
    </w:p>
    <w:p w14:paraId="4C2C5E3F" w14:textId="77777777" w:rsidR="00772179" w:rsidRDefault="00000000">
      <w:pPr>
        <w:pStyle w:val="Author-eListParagraph"/>
        <w:numPr>
          <w:ilvl w:val="0"/>
          <w:numId w:val="643"/>
        </w:numPr>
      </w:pPr>
      <w:r>
        <w:rPr>
          <w:rStyle w:val="soitChar"/>
        </w:rPr>
        <w:t>Finition : </w:t>
      </w:r>
      <w:r>
        <w:rPr>
          <w:rStyle w:val="optioncarChar"/>
        </w:rPr>
        <w:t>mate</w:t>
      </w:r>
      <w:r>
        <w:t> (par défaut)</w:t>
      </w:r>
      <w:r>
        <w:rPr>
          <w:rStyle w:val="optioncarChar"/>
        </w:rPr>
        <w:t> / ***</w:t>
      </w:r>
      <w:r>
        <w:rPr>
          <w:rStyle w:val="soitChar"/>
        </w:rPr>
        <w:t>.</w:t>
      </w:r>
    </w:p>
    <w:p w14:paraId="5D2868B5" w14:textId="77777777" w:rsidR="00772179" w:rsidRDefault="00000000">
      <w:pPr>
        <w:jc w:val="both"/>
      </w:pPr>
      <w:r>
        <w:rPr>
          <w:b/>
        </w:rPr>
        <w:t>(soit)</w:t>
      </w:r>
    </w:p>
    <w:p w14:paraId="7245CF14" w14:textId="77777777" w:rsidR="00772179" w:rsidRDefault="00000000">
      <w:pPr>
        <w:jc w:val="both"/>
      </w:pPr>
      <w:r>
        <w:rPr>
          <w:rStyle w:val="optioncarChar"/>
        </w:rPr>
        <w:t>***</w:t>
      </w:r>
    </w:p>
    <w:p w14:paraId="7B261E9C" w14:textId="77777777" w:rsidR="00772179" w:rsidRDefault="00000000">
      <w:pPr>
        <w:pStyle w:val="pheading"/>
      </w:pPr>
      <w:r>
        <w:t>EXÉCUTION / MISE EN ŒUVRE</w:t>
      </w:r>
    </w:p>
    <w:p w14:paraId="007139B1" w14:textId="77777777" w:rsidR="00772179" w:rsidRDefault="00000000">
      <w:pPr>
        <w:pStyle w:val="pheading"/>
      </w:pPr>
      <w:r>
        <w:t>- Échantillons</w:t>
      </w:r>
    </w:p>
    <w:p w14:paraId="12BEE7E3" w14:textId="77777777" w:rsidR="00772179" w:rsidRDefault="00000000">
      <w:pPr>
        <w:jc w:val="both"/>
      </w:pPr>
      <w:r>
        <w:t>L’entrepreneur soumet un échantillon du système qu’il propose à l’approbation de la direction du chantier.</w:t>
      </w:r>
    </w:p>
    <w:p w14:paraId="40D2A5DD" w14:textId="77777777" w:rsidR="00772179" w:rsidRDefault="00000000">
      <w:pPr>
        <w:pStyle w:val="pheading"/>
      </w:pPr>
      <w:r>
        <w:lastRenderedPageBreak/>
        <w:t>MESURAGE</w:t>
      </w:r>
    </w:p>
    <w:p w14:paraId="6C31EFAE" w14:textId="77777777" w:rsidR="00772179" w:rsidRDefault="00000000">
      <w:pPr>
        <w:pStyle w:val="pheading"/>
      </w:pPr>
      <w:r>
        <w:t>- unité de mesure:</w:t>
      </w:r>
    </w:p>
    <w:p w14:paraId="52C4C704" w14:textId="77777777" w:rsidR="00772179" w:rsidRDefault="00000000">
      <w:r>
        <w:t>m²</w:t>
      </w:r>
    </w:p>
    <w:p w14:paraId="6213D85E" w14:textId="77777777" w:rsidR="00772179" w:rsidRDefault="00000000">
      <w:pPr>
        <w:pStyle w:val="pheading"/>
      </w:pPr>
      <w:r>
        <w:t>- code de mesurage:</w:t>
      </w:r>
    </w:p>
    <w:p w14:paraId="2E6067EA" w14:textId="77777777" w:rsidR="00772179" w:rsidRDefault="00000000">
      <w:pPr>
        <w:jc w:val="both"/>
      </w:pPr>
      <w:r>
        <w:t>Surface nette de panneaux à mettre en œuvre, ventilée suivant le type de panneau, de guidage, de manœuvre, etc...</w:t>
      </w:r>
    </w:p>
    <w:p w14:paraId="437F46B6" w14:textId="77777777" w:rsidR="00772179" w:rsidRDefault="00000000">
      <w:pPr>
        <w:pStyle w:val="pheading"/>
      </w:pPr>
      <w:r>
        <w:t>- nature du marché:</w:t>
      </w:r>
    </w:p>
    <w:p w14:paraId="04C891A2" w14:textId="77777777" w:rsidR="00772179" w:rsidRDefault="00000000">
      <w:r>
        <w:t>QF</w:t>
      </w:r>
    </w:p>
    <w:p w14:paraId="1D879B57" w14:textId="77777777" w:rsidR="00772179" w:rsidRDefault="00000000">
      <w:pPr>
        <w:pStyle w:val="Author-eSectionHeading6Numberless"/>
      </w:pPr>
      <w:bookmarkStart w:id="273" w:name="_Toc220490009"/>
      <w:r>
        <w:t>41.52.2c Protections solaires extérieures mobiles par panneaux CCTB 01.12</w:t>
      </w:r>
      <w:bookmarkEnd w:id="273"/>
    </w:p>
    <w:p w14:paraId="765F27E0" w14:textId="77777777" w:rsidR="00772179" w:rsidRDefault="00000000">
      <w:pPr>
        <w:pStyle w:val="pheading"/>
      </w:pPr>
      <w:r>
        <w:t>DESCRIPTION</w:t>
      </w:r>
    </w:p>
    <w:p w14:paraId="3B89C352" w14:textId="77777777" w:rsidR="00772179" w:rsidRDefault="00000000">
      <w:pPr>
        <w:pStyle w:val="pheading"/>
      </w:pPr>
      <w:r>
        <w:t>- Définition / Comprend</w:t>
      </w:r>
    </w:p>
    <w:p w14:paraId="2F16FFE0" w14:textId="77777777" w:rsidR="00772179" w:rsidRDefault="00000000">
      <w:pPr>
        <w:jc w:val="both"/>
      </w:pPr>
      <w:r>
        <w:t>Il s’agit de la fourniture et de la pose de protections solaires extérieures coulissantes ou pliantes à panneaux fixes perforés posées parallèlement au plan de la façade et composées :</w:t>
      </w:r>
    </w:p>
    <w:p w14:paraId="2062FB1C" w14:textId="77777777" w:rsidR="00772179" w:rsidRDefault="00000000">
      <w:pPr>
        <w:pStyle w:val="Author-eListParagraph"/>
        <w:numPr>
          <w:ilvl w:val="0"/>
          <w:numId w:val="644"/>
        </w:numPr>
      </w:pPr>
      <w:r>
        <w:t>de cadres dans lesquels sont intégrés des tôles perforées ;</w:t>
      </w:r>
    </w:p>
    <w:p w14:paraId="104826A2" w14:textId="77777777" w:rsidR="00772179" w:rsidRDefault="00000000">
      <w:pPr>
        <w:pStyle w:val="Author-eListParagraph"/>
        <w:numPr>
          <w:ilvl w:val="0"/>
          <w:numId w:val="644"/>
        </w:numPr>
      </w:pPr>
      <w:r>
        <w:t>de dispositifs de guidage et de support avec ancrages de fixation ;</w:t>
      </w:r>
    </w:p>
    <w:p w14:paraId="3AFED6F0" w14:textId="77777777" w:rsidR="00772179" w:rsidRDefault="00000000">
      <w:pPr>
        <w:pStyle w:val="Author-eListParagraph"/>
        <w:numPr>
          <w:ilvl w:val="0"/>
          <w:numId w:val="644"/>
        </w:numPr>
      </w:pPr>
      <w:r>
        <w:t>de dispositif de manœuvre ;</w:t>
      </w:r>
    </w:p>
    <w:p w14:paraId="5D8896F8" w14:textId="77777777" w:rsidR="00772179" w:rsidRDefault="00000000">
      <w:pPr>
        <w:pStyle w:val="Author-eListParagraph"/>
        <w:numPr>
          <w:ilvl w:val="0"/>
          <w:numId w:val="644"/>
        </w:numPr>
      </w:pPr>
      <w:r>
        <w:t>d’accessoires complémentaires.</w:t>
      </w:r>
    </w:p>
    <w:p w14:paraId="5C148381" w14:textId="77777777" w:rsidR="00772179" w:rsidRDefault="00000000">
      <w:pPr>
        <w:jc w:val="both"/>
      </w:pPr>
      <w:r>
        <w:t>Cet article comprend également l’étude par le fabricant des plans de détail à établir sur base des plans de façade et à soumettre à l’approbation de la direction du chantier.</w:t>
      </w:r>
    </w:p>
    <w:p w14:paraId="1A05DCC8" w14:textId="77777777" w:rsidR="00772179" w:rsidRDefault="00000000">
      <w:pPr>
        <w:pStyle w:val="pheading"/>
      </w:pPr>
      <w:r>
        <w:t>MATÉRIAUX</w:t>
      </w:r>
    </w:p>
    <w:p w14:paraId="6DF3B43A" w14:textId="77777777" w:rsidR="00772179" w:rsidRDefault="00000000">
      <w:pPr>
        <w:pStyle w:val="pheading"/>
      </w:pPr>
      <w:r>
        <w:t>- Caractéristiques générales</w:t>
      </w:r>
    </w:p>
    <w:p w14:paraId="39561187" w14:textId="77777777" w:rsidR="00772179" w:rsidRDefault="00000000">
      <w:pPr>
        <w:jc w:val="both"/>
      </w:pPr>
      <w:r>
        <w:rPr>
          <w:b/>
        </w:rPr>
        <w:t>Cadre de support</w:t>
      </w:r>
    </w:p>
    <w:p w14:paraId="35EB36A5" w14:textId="77777777" w:rsidR="00772179" w:rsidRDefault="00000000">
      <w:pPr>
        <w:jc w:val="both"/>
      </w:pPr>
      <w:r>
        <w:t>Le cadre de support des protections solaires est composé de profils en aluminium Al Mg Si 0.5 conforme à la [NBN EN 485-2:2016+A1] ou [NBN EN 1396] :</w:t>
      </w:r>
    </w:p>
    <w:p w14:paraId="1B9C202D" w14:textId="77777777" w:rsidR="00772179" w:rsidRDefault="00000000">
      <w:pPr>
        <w:pStyle w:val="Author-eListParagraph"/>
        <w:numPr>
          <w:ilvl w:val="0"/>
          <w:numId w:val="645"/>
        </w:numPr>
      </w:pPr>
      <w:r>
        <w:t>Dimensions des cadres : voir métré détaillé.</w:t>
      </w:r>
    </w:p>
    <w:p w14:paraId="4F8B15B8" w14:textId="77777777" w:rsidR="00772179" w:rsidRDefault="00000000">
      <w:pPr>
        <w:pStyle w:val="Author-eListParagraph"/>
        <w:numPr>
          <w:ilvl w:val="0"/>
          <w:numId w:val="645"/>
        </w:numPr>
      </w:pPr>
      <w:r>
        <w:t xml:space="preserve">Nombre de panneaux : </w:t>
      </w:r>
      <w:r>
        <w:rPr>
          <w:rStyle w:val="optioncarChar"/>
        </w:rPr>
        <w:t>suivant plan de principe des façades et étude du fabricant à soumettre pour approbation</w:t>
      </w:r>
      <w:r>
        <w:t xml:space="preserve"> (par défaut)</w:t>
      </w:r>
      <w:r>
        <w:rPr>
          <w:rStyle w:val="optioncarChar"/>
        </w:rPr>
        <w:t xml:space="preserve"> / 1 / 2 / 3 / ***</w:t>
      </w:r>
      <w:r>
        <w:t>.</w:t>
      </w:r>
    </w:p>
    <w:p w14:paraId="25CD169A" w14:textId="77777777" w:rsidR="00772179" w:rsidRDefault="00000000">
      <w:pPr>
        <w:pStyle w:val="Author-eListParagraph"/>
        <w:numPr>
          <w:ilvl w:val="0"/>
          <w:numId w:val="645"/>
        </w:numPr>
      </w:pPr>
      <w:r>
        <w:t xml:space="preserve">Section : </w:t>
      </w:r>
      <w:r>
        <w:rPr>
          <w:rStyle w:val="optioncarChar"/>
        </w:rPr>
        <w:t>40 x 40</w:t>
      </w:r>
      <w:r>
        <w:t xml:space="preserve"> (par défaut) </w:t>
      </w:r>
      <w:r>
        <w:rPr>
          <w:rStyle w:val="optioncarChar"/>
        </w:rPr>
        <w:t>/ ***</w:t>
      </w:r>
      <w:r>
        <w:t xml:space="preserve"> mm.</w:t>
      </w:r>
    </w:p>
    <w:p w14:paraId="47E8D4DB" w14:textId="77777777" w:rsidR="00772179" w:rsidRDefault="00000000">
      <w:pPr>
        <w:pStyle w:val="Author-eListParagraph"/>
        <w:numPr>
          <w:ilvl w:val="0"/>
          <w:numId w:val="645"/>
        </w:numPr>
      </w:pPr>
      <w:r>
        <w:t>Cadre périphérique de finition : 4 faces.</w:t>
      </w:r>
    </w:p>
    <w:p w14:paraId="4A3AB744" w14:textId="77777777" w:rsidR="00772179" w:rsidRDefault="00000000">
      <w:pPr>
        <w:jc w:val="both"/>
      </w:pPr>
      <w:r>
        <w:rPr>
          <w:b/>
        </w:rPr>
        <w:t>Dispositif de manœuvre des cadres de support</w:t>
      </w:r>
    </w:p>
    <w:p w14:paraId="49958026" w14:textId="77777777" w:rsidR="00772179" w:rsidRDefault="00000000">
      <w:pPr>
        <w:jc w:val="both"/>
      </w:pPr>
      <w:r>
        <w:t>Le guidage est constitué de rails en aluminium Al Mg Si 0.5 :</w:t>
      </w:r>
    </w:p>
    <w:p w14:paraId="0762007C" w14:textId="77777777" w:rsidR="00772179" w:rsidRDefault="00000000">
      <w:pPr>
        <w:pStyle w:val="Author-eListParagraph"/>
        <w:numPr>
          <w:ilvl w:val="0"/>
          <w:numId w:val="646"/>
        </w:numPr>
      </w:pPr>
      <w:r>
        <w:t xml:space="preserve">Fixations : </w:t>
      </w:r>
      <w:r>
        <w:rPr>
          <w:rStyle w:val="optioncarChar"/>
        </w:rPr>
        <w:t xml:space="preserve">à l’aide de dispositifs rigides </w:t>
      </w:r>
      <w:r>
        <w:t>(par défaut)</w:t>
      </w:r>
      <w:r>
        <w:rPr>
          <w:rStyle w:val="optioncarChar"/>
        </w:rPr>
        <w:t xml:space="preserve"> / de dispositifs permettant la reprise des vibrations / ***</w:t>
      </w:r>
      <w:r>
        <w:t>.</w:t>
      </w:r>
    </w:p>
    <w:p w14:paraId="55B93DE2" w14:textId="77777777" w:rsidR="00772179" w:rsidRDefault="00000000">
      <w:pPr>
        <w:pStyle w:val="Author-eListParagraph"/>
        <w:numPr>
          <w:ilvl w:val="0"/>
          <w:numId w:val="646"/>
        </w:numPr>
      </w:pPr>
      <w:r>
        <w:t xml:space="preserve">Placement : </w:t>
      </w:r>
      <w:r>
        <w:rPr>
          <w:rStyle w:val="optioncarChar"/>
        </w:rPr>
        <w:t xml:space="preserve">en saillie </w:t>
      </w:r>
      <w:r>
        <w:t>(par défaut)</w:t>
      </w:r>
      <w:r>
        <w:rPr>
          <w:rStyle w:val="optioncarChar"/>
        </w:rPr>
        <w:t xml:space="preserve"> / encastré / ***</w:t>
      </w:r>
      <w:r>
        <w:t>.</w:t>
      </w:r>
    </w:p>
    <w:p w14:paraId="3E87E0B7" w14:textId="77777777" w:rsidR="00772179" w:rsidRDefault="00000000">
      <w:pPr>
        <w:pStyle w:val="Author-eListParagraph"/>
        <w:numPr>
          <w:ilvl w:val="0"/>
          <w:numId w:val="646"/>
        </w:numPr>
      </w:pPr>
      <w:r>
        <w:t xml:space="preserve">Type de guidage : </w:t>
      </w:r>
      <w:r>
        <w:rPr>
          <w:rStyle w:val="optioncarChar"/>
        </w:rPr>
        <w:t xml:space="preserve">coulissant simple </w:t>
      </w:r>
      <w:r>
        <w:t>(par défaut)</w:t>
      </w:r>
      <w:r>
        <w:rPr>
          <w:rStyle w:val="optioncarChar"/>
        </w:rPr>
        <w:t xml:space="preserve"> / coulissant télescopique / coulissant symétrique / simultané / pliable / ***</w:t>
      </w:r>
      <w:r>
        <w:t>.</w:t>
      </w:r>
    </w:p>
    <w:p w14:paraId="7DC4AF9B" w14:textId="77777777" w:rsidR="00772179" w:rsidRDefault="00000000">
      <w:pPr>
        <w:pStyle w:val="Author-eListParagraph"/>
        <w:numPr>
          <w:ilvl w:val="0"/>
          <w:numId w:val="646"/>
        </w:numPr>
      </w:pPr>
      <w:r>
        <w:t xml:space="preserve">Type de déplacement : </w:t>
      </w:r>
      <w:r>
        <w:rPr>
          <w:rStyle w:val="optioncarChar"/>
        </w:rPr>
        <w:t xml:space="preserve">manuel </w:t>
      </w:r>
      <w:r>
        <w:t>(par défaut)</w:t>
      </w:r>
      <w:r>
        <w:rPr>
          <w:rStyle w:val="optioncarChar"/>
        </w:rPr>
        <w:t xml:space="preserve"> / motorisé</w:t>
      </w:r>
      <w:r>
        <w:t>.</w:t>
      </w:r>
    </w:p>
    <w:p w14:paraId="7D91D96C" w14:textId="77777777" w:rsidR="00772179" w:rsidRDefault="00000000">
      <w:pPr>
        <w:ind w:left="567"/>
        <w:jc w:val="both"/>
      </w:pPr>
      <w:r>
        <w:rPr>
          <w:b/>
        </w:rPr>
        <w:t>(soit par défaut)</w:t>
      </w:r>
    </w:p>
    <w:p w14:paraId="5F4EF7D9" w14:textId="77777777" w:rsidR="00772179" w:rsidRDefault="00000000">
      <w:pPr>
        <w:ind w:left="567"/>
        <w:jc w:val="both"/>
      </w:pPr>
      <w:r>
        <w:rPr>
          <w:rStyle w:val="soitChar"/>
          <w:u w:val="single"/>
        </w:rPr>
        <w:t>Manuel :</w:t>
      </w:r>
      <w:r>
        <w:rPr>
          <w:rStyle w:val="soitChar"/>
        </w:rPr>
        <w:t xml:space="preserve"> par déplacement des cadres à la main.</w:t>
      </w:r>
    </w:p>
    <w:p w14:paraId="73872428" w14:textId="77777777" w:rsidR="00772179" w:rsidRDefault="00000000">
      <w:pPr>
        <w:ind w:left="567"/>
        <w:jc w:val="both"/>
      </w:pPr>
      <w:r>
        <w:rPr>
          <w:b/>
        </w:rPr>
        <w:t>(soit)</w:t>
      </w:r>
    </w:p>
    <w:p w14:paraId="22831B0D" w14:textId="77777777" w:rsidR="00772179" w:rsidRDefault="00000000">
      <w:pPr>
        <w:ind w:left="567"/>
        <w:jc w:val="both"/>
      </w:pPr>
      <w:r>
        <w:rPr>
          <w:rStyle w:val="soitChar"/>
          <w:u w:val="single"/>
        </w:rPr>
        <w:t>Motorisé :</w:t>
      </w:r>
      <w:r>
        <w:rPr>
          <w:rStyle w:val="soitChar"/>
        </w:rPr>
        <w:t>  Les moteurs électriques sont conformes à la [NBN EN 60335-2-97] et répondent aux exigences de sécurité d’utilisation, de vitesse d’entrainement et de compatibilité électromagnétique.</w:t>
      </w:r>
    </w:p>
    <w:p w14:paraId="1AB199C4" w14:textId="77777777" w:rsidR="00772179" w:rsidRDefault="00000000">
      <w:pPr>
        <w:ind w:left="567"/>
        <w:jc w:val="both"/>
      </w:pPr>
      <w:r>
        <w:rPr>
          <w:rStyle w:val="soitChar"/>
        </w:rPr>
        <w:lastRenderedPageBreak/>
        <w:t>La puissance est adaptée à la protection solaire à actionner afin de respecter les exigences de sécurité et d’endurance.</w:t>
      </w:r>
    </w:p>
    <w:p w14:paraId="2A64B817" w14:textId="77777777" w:rsidR="00772179" w:rsidRDefault="00000000">
      <w:pPr>
        <w:pStyle w:val="Author-eListParagraph"/>
        <w:numPr>
          <w:ilvl w:val="0"/>
          <w:numId w:val="647"/>
        </w:numPr>
      </w:pPr>
      <w:r>
        <w:rPr>
          <w:rStyle w:val="soitChar"/>
        </w:rPr>
        <w:t xml:space="preserve">Type : </w:t>
      </w:r>
      <w:r>
        <w:rPr>
          <w:rStyle w:val="optioncarChar"/>
        </w:rPr>
        <w:t>à vitesse constante</w:t>
      </w:r>
      <w:r>
        <w:t xml:space="preserve"> (par défaut) </w:t>
      </w:r>
      <w:r>
        <w:rPr>
          <w:rStyle w:val="optioncarChar"/>
        </w:rPr>
        <w:t>/ variable / ***</w:t>
      </w:r>
      <w:r>
        <w:rPr>
          <w:rStyle w:val="soitChar"/>
        </w:rPr>
        <w:t>.</w:t>
      </w:r>
    </w:p>
    <w:p w14:paraId="74F7138F" w14:textId="77777777" w:rsidR="00772179" w:rsidRDefault="00000000">
      <w:pPr>
        <w:pStyle w:val="Author-eListParagraph"/>
        <w:numPr>
          <w:ilvl w:val="0"/>
          <w:numId w:val="647"/>
        </w:numPr>
      </w:pPr>
      <w:r>
        <w:rPr>
          <w:rStyle w:val="soitChar"/>
        </w:rPr>
        <w:t xml:space="preserve">Commande : </w:t>
      </w:r>
      <w:r>
        <w:rPr>
          <w:rStyle w:val="optioncarChar"/>
        </w:rPr>
        <w:t xml:space="preserve">manuelle </w:t>
      </w:r>
      <w:r>
        <w:t xml:space="preserve">(par défaut) </w:t>
      </w:r>
      <w:r>
        <w:rPr>
          <w:rStyle w:val="optioncarChar"/>
        </w:rPr>
        <w:t>/ manuelle et couplée avec des détecteurs de luminosité et de vitesse de vent décrits et comptés à l’article ***</w:t>
      </w:r>
      <w:r>
        <w:rPr>
          <w:rStyle w:val="soitChar"/>
        </w:rPr>
        <w:t>.</w:t>
      </w:r>
    </w:p>
    <w:p w14:paraId="45B6408C" w14:textId="77777777" w:rsidR="00772179" w:rsidRDefault="00000000">
      <w:pPr>
        <w:pStyle w:val="Author-eListParagraph"/>
        <w:numPr>
          <w:ilvl w:val="0"/>
          <w:numId w:val="647"/>
        </w:numPr>
      </w:pPr>
      <w:r>
        <w:rPr>
          <w:rStyle w:val="soitChar"/>
        </w:rPr>
        <w:t xml:space="preserve">Vitesse maximale : ≥ à </w:t>
      </w:r>
      <w:r>
        <w:rPr>
          <w:rStyle w:val="optioncarChar"/>
        </w:rPr>
        <w:t xml:space="preserve">0,10 </w:t>
      </w:r>
      <w:r>
        <w:t>(par défaut)</w:t>
      </w:r>
      <w:r>
        <w:rPr>
          <w:rStyle w:val="optioncarChar"/>
        </w:rPr>
        <w:t xml:space="preserve"> / ***</w:t>
      </w:r>
      <w:r>
        <w:rPr>
          <w:rStyle w:val="soitChar"/>
        </w:rPr>
        <w:t xml:space="preserve"> m/s.</w:t>
      </w:r>
    </w:p>
    <w:p w14:paraId="7BD70E67" w14:textId="77777777" w:rsidR="00772179" w:rsidRDefault="00000000">
      <w:pPr>
        <w:pStyle w:val="Author-eListParagraph"/>
        <w:numPr>
          <w:ilvl w:val="0"/>
          <w:numId w:val="647"/>
        </w:numPr>
      </w:pPr>
      <w:r>
        <w:rPr>
          <w:rStyle w:val="soitChar"/>
        </w:rPr>
        <w:t xml:space="preserve">Degré de protection : IP </w:t>
      </w:r>
      <w:r>
        <w:rPr>
          <w:rStyle w:val="optioncarChar"/>
        </w:rPr>
        <w:t xml:space="preserve">55 </w:t>
      </w:r>
      <w:r>
        <w:t>(par défaut)</w:t>
      </w:r>
      <w:r>
        <w:rPr>
          <w:rStyle w:val="optioncarChar"/>
        </w:rPr>
        <w:t xml:space="preserve"> / ***</w:t>
      </w:r>
      <w:r>
        <w:rPr>
          <w:rStyle w:val="soitChar"/>
        </w:rPr>
        <w:t>.</w:t>
      </w:r>
    </w:p>
    <w:p w14:paraId="04507391" w14:textId="77777777" w:rsidR="00772179" w:rsidRDefault="00000000">
      <w:pPr>
        <w:pStyle w:val="Author-eListParagraph"/>
        <w:numPr>
          <w:ilvl w:val="0"/>
          <w:numId w:val="647"/>
        </w:numPr>
      </w:pPr>
      <w:r>
        <w:rPr>
          <w:rStyle w:val="soitChar"/>
        </w:rPr>
        <w:t>T° de fonctionnement : de - 20 °C à + 50 °C.</w:t>
      </w:r>
    </w:p>
    <w:p w14:paraId="1D6E35C1" w14:textId="77777777" w:rsidR="00772179" w:rsidRDefault="00000000">
      <w:pPr>
        <w:pStyle w:val="Author-eListParagraph"/>
        <w:numPr>
          <w:ilvl w:val="0"/>
          <w:numId w:val="647"/>
        </w:numPr>
      </w:pPr>
      <w:r>
        <w:rPr>
          <w:rStyle w:val="soitChar"/>
        </w:rPr>
        <w:t>Sécurité de serrage : oui.</w:t>
      </w:r>
    </w:p>
    <w:p w14:paraId="2810E9CF" w14:textId="77777777" w:rsidR="00772179" w:rsidRDefault="00000000">
      <w:pPr>
        <w:pStyle w:val="Author-eListParagraph"/>
        <w:numPr>
          <w:ilvl w:val="0"/>
          <w:numId w:val="647"/>
        </w:numPr>
      </w:pPr>
      <w:r>
        <w:rPr>
          <w:rStyle w:val="soitChar"/>
        </w:rPr>
        <w:t>Service : ne nécessitant aucun entretien.</w:t>
      </w:r>
    </w:p>
    <w:p w14:paraId="2BE6629F" w14:textId="77777777" w:rsidR="00772179" w:rsidRDefault="00000000">
      <w:pPr>
        <w:pStyle w:val="Author-eListParagraph"/>
        <w:numPr>
          <w:ilvl w:val="0"/>
          <w:numId w:val="647"/>
        </w:numPr>
      </w:pPr>
      <w:r>
        <w:rPr>
          <w:rStyle w:val="soitChar"/>
        </w:rPr>
        <w:t xml:space="preserve">Garantie : </w:t>
      </w:r>
      <w:r>
        <w:rPr>
          <w:rStyle w:val="optioncarChar"/>
        </w:rPr>
        <w:t xml:space="preserve">2 </w:t>
      </w:r>
      <w:r>
        <w:t>(par défaut)</w:t>
      </w:r>
      <w:r>
        <w:rPr>
          <w:rStyle w:val="optioncarChar"/>
        </w:rPr>
        <w:t> / ***</w:t>
      </w:r>
      <w:r>
        <w:rPr>
          <w:rStyle w:val="soitChar"/>
        </w:rPr>
        <w:t xml:space="preserve"> ans.</w:t>
      </w:r>
    </w:p>
    <w:p w14:paraId="40623EFC" w14:textId="77777777" w:rsidR="00772179" w:rsidRDefault="00000000">
      <w:pPr>
        <w:pStyle w:val="Author-eListParagraph"/>
        <w:numPr>
          <w:ilvl w:val="0"/>
          <w:numId w:val="647"/>
        </w:numPr>
      </w:pPr>
      <w:r>
        <w:rPr>
          <w:rStyle w:val="soitChar"/>
        </w:rPr>
        <w:t xml:space="preserve">Attestation des cycles de test : ≥ à </w:t>
      </w:r>
      <w:r>
        <w:rPr>
          <w:rStyle w:val="optioncarChar"/>
        </w:rPr>
        <w:t xml:space="preserve">100000 </w:t>
      </w:r>
      <w:r>
        <w:t>(par défaut)</w:t>
      </w:r>
      <w:r>
        <w:rPr>
          <w:rStyle w:val="optioncarChar"/>
        </w:rPr>
        <w:t xml:space="preserve"> / ***</w:t>
      </w:r>
      <w:r>
        <w:rPr>
          <w:rStyle w:val="soitChar"/>
        </w:rPr>
        <w:t>.</w:t>
      </w:r>
    </w:p>
    <w:p w14:paraId="14171F7E" w14:textId="77777777" w:rsidR="00772179" w:rsidRDefault="00000000">
      <w:pPr>
        <w:jc w:val="both"/>
      </w:pPr>
      <w:r>
        <w:rPr>
          <w:b/>
        </w:rPr>
        <w:t>Plaques perforées</w:t>
      </w:r>
    </w:p>
    <w:p w14:paraId="561FE55C" w14:textId="77777777" w:rsidR="00772179" w:rsidRDefault="00000000">
      <w:pPr>
        <w:jc w:val="both"/>
      </w:pPr>
      <w:r>
        <w:t>Plaques perforées en aluminium extrudé Al Mg Si 0.5 conformes à la [NBN EN 485-2:2016+A1] ou [NBN EN 1396]. Les quatre bords latéraux sont repliés sur la profondeur des cadres latéraux afin de permettre la fixation des plaques au cadre de support. </w:t>
      </w:r>
    </w:p>
    <w:p w14:paraId="20AEEA4B" w14:textId="77777777" w:rsidR="00772179" w:rsidRDefault="00000000">
      <w:pPr>
        <w:pStyle w:val="Author-eListParagraph"/>
        <w:numPr>
          <w:ilvl w:val="0"/>
          <w:numId w:val="648"/>
        </w:numPr>
      </w:pPr>
      <w:r>
        <w:t xml:space="preserve">Fixation des plaques : </w:t>
      </w:r>
      <w:r>
        <w:rPr>
          <w:rStyle w:val="optioncarChar"/>
        </w:rPr>
        <w:t xml:space="preserve">vissées </w:t>
      </w:r>
      <w:r>
        <w:t>(par défaut)</w:t>
      </w:r>
      <w:r>
        <w:rPr>
          <w:rStyle w:val="optioncarChar"/>
        </w:rPr>
        <w:t xml:space="preserve"> / boulonnées / ***</w:t>
      </w:r>
      <w:r>
        <w:t>.</w:t>
      </w:r>
    </w:p>
    <w:p w14:paraId="715EF9FD" w14:textId="77777777" w:rsidR="00772179" w:rsidRDefault="00000000">
      <w:pPr>
        <w:pStyle w:val="Author-eListParagraph"/>
        <w:numPr>
          <w:ilvl w:val="0"/>
          <w:numId w:val="648"/>
        </w:numPr>
      </w:pPr>
      <w:r>
        <w:t>Position des plaques par rapport au cadre de support :</w:t>
      </w:r>
      <w:r>
        <w:rPr>
          <w:rStyle w:val="optioncarChar"/>
        </w:rPr>
        <w:t xml:space="preserve"> alignées au plan extérieur du cadre </w:t>
      </w:r>
      <w:r>
        <w:t>(par défaut)</w:t>
      </w:r>
      <w:r>
        <w:rPr>
          <w:rStyle w:val="optioncarChar"/>
        </w:rPr>
        <w:t xml:space="preserve"> / encadrées / ***.</w:t>
      </w:r>
    </w:p>
    <w:p w14:paraId="63A94855" w14:textId="77777777" w:rsidR="00772179" w:rsidRDefault="00000000">
      <w:pPr>
        <w:pStyle w:val="Author-eListParagraph"/>
        <w:numPr>
          <w:ilvl w:val="0"/>
          <w:numId w:val="648"/>
        </w:numPr>
      </w:pPr>
      <w:r>
        <w:t>Perforations :</w:t>
      </w:r>
    </w:p>
    <w:p w14:paraId="7048D498" w14:textId="77777777" w:rsidR="00772179" w:rsidRDefault="00000000">
      <w:pPr>
        <w:pStyle w:val="Author-eListParagraph"/>
        <w:numPr>
          <w:ilvl w:val="1"/>
          <w:numId w:val="649"/>
        </w:numPr>
      </w:pPr>
      <w:r>
        <w:t xml:space="preserve">Forme : </w:t>
      </w:r>
      <w:r>
        <w:rPr>
          <w:rStyle w:val="optioncarChar"/>
        </w:rPr>
        <w:t>ronde</w:t>
      </w:r>
      <w:r>
        <w:t xml:space="preserve"> (par défaut) </w:t>
      </w:r>
      <w:r>
        <w:rPr>
          <w:rStyle w:val="optioncarChar"/>
        </w:rPr>
        <w:t>/ carrée / ***</w:t>
      </w:r>
      <w:r>
        <w:t>.</w:t>
      </w:r>
    </w:p>
    <w:p w14:paraId="3510C4C1" w14:textId="77777777" w:rsidR="00772179" w:rsidRDefault="00000000">
      <w:pPr>
        <w:pStyle w:val="Author-eListParagraph"/>
        <w:numPr>
          <w:ilvl w:val="1"/>
          <w:numId w:val="649"/>
        </w:numPr>
      </w:pPr>
      <w:r>
        <w:t xml:space="preserve">Disposition : </w:t>
      </w:r>
      <w:r>
        <w:rPr>
          <w:rStyle w:val="optioncarChar"/>
        </w:rPr>
        <w:t>en quinconce</w:t>
      </w:r>
      <w:r>
        <w:t xml:space="preserve"> (par défaut)</w:t>
      </w:r>
      <w:r>
        <w:rPr>
          <w:rStyle w:val="optioncarChar"/>
        </w:rPr>
        <w:t xml:space="preserve"> / en ligne / ***</w:t>
      </w:r>
      <w:r>
        <w:t>.</w:t>
      </w:r>
    </w:p>
    <w:p w14:paraId="5F58EB91" w14:textId="77777777" w:rsidR="00772179" w:rsidRDefault="00000000">
      <w:pPr>
        <w:pStyle w:val="Author-eListParagraph"/>
        <w:numPr>
          <w:ilvl w:val="1"/>
          <w:numId w:val="649"/>
        </w:numPr>
      </w:pPr>
      <w:r>
        <w:t xml:space="preserve">Pourcentage de vide : </w:t>
      </w:r>
      <w:r>
        <w:rPr>
          <w:rStyle w:val="optioncarChar"/>
        </w:rPr>
        <w:t xml:space="preserve">40 </w:t>
      </w:r>
      <w:r>
        <w:t>(par défaut)</w:t>
      </w:r>
      <w:r>
        <w:rPr>
          <w:rStyle w:val="optioncarChar"/>
        </w:rPr>
        <w:t xml:space="preserve"> / 30 / 35 / 45 / ***</w:t>
      </w:r>
      <w:r>
        <w:t xml:space="preserve"> %.</w:t>
      </w:r>
    </w:p>
    <w:p w14:paraId="7151F024" w14:textId="77777777" w:rsidR="00772179" w:rsidRDefault="00000000">
      <w:pPr>
        <w:jc w:val="both"/>
      </w:pPr>
      <w:r>
        <w:rPr>
          <w:b/>
        </w:rPr>
        <w:t>Aspects environnementaux</w:t>
      </w:r>
    </w:p>
    <w:p w14:paraId="6F768671" w14:textId="77777777" w:rsidR="00772179" w:rsidRDefault="00000000">
      <w:pPr>
        <w:pStyle w:val="Author-eListParagraph"/>
        <w:numPr>
          <w:ilvl w:val="0"/>
          <w:numId w:val="650"/>
        </w:numPr>
        <w:jc w:val="both"/>
      </w:pPr>
      <w:r>
        <w:t xml:space="preserve">Matériaux disposant d’un label suivant prescriptions du 02.42.6 Labels environnementaux : </w:t>
      </w:r>
      <w:r>
        <w:rPr>
          <w:rStyle w:val="optioncarChar"/>
        </w:rPr>
        <w:t>oui / non </w:t>
      </w:r>
    </w:p>
    <w:p w14:paraId="31109683" w14:textId="77777777" w:rsidR="00772179" w:rsidRDefault="00000000">
      <w:pPr>
        <w:pStyle w:val="Author-eListParagraph"/>
        <w:numPr>
          <w:ilvl w:val="0"/>
          <w:numId w:val="650"/>
        </w:numPr>
        <w:jc w:val="both"/>
      </w:pPr>
      <w:r>
        <w:t xml:space="preserve">Matériaux recyclés entrant dans la fabrication du produit : </w:t>
      </w:r>
      <w:r>
        <w:rPr>
          <w:rStyle w:val="optioncarChar"/>
        </w:rPr>
        <w:t>oui / non</w:t>
      </w:r>
      <w:r>
        <w:t> </w:t>
      </w:r>
    </w:p>
    <w:p w14:paraId="646AE3FF" w14:textId="77777777" w:rsidR="00772179" w:rsidRDefault="00000000">
      <w:pPr>
        <w:pStyle w:val="pheading"/>
      </w:pPr>
      <w:r>
        <w:t>- Finitions</w:t>
      </w:r>
    </w:p>
    <w:p w14:paraId="73B9A79E" w14:textId="77777777" w:rsidR="00772179" w:rsidRDefault="00000000">
      <w:pPr>
        <w:jc w:val="both"/>
      </w:pPr>
      <w:r>
        <w:rPr>
          <w:b/>
        </w:rPr>
        <w:t>Cadre de support</w:t>
      </w:r>
    </w:p>
    <w:p w14:paraId="34604D83" w14:textId="77777777" w:rsidR="00772179" w:rsidRDefault="00000000">
      <w:pPr>
        <w:jc w:val="both"/>
      </w:pPr>
      <w:r>
        <w:rPr>
          <w:rStyle w:val="optioncarChar"/>
        </w:rPr>
        <w:t>Anodisé</w:t>
      </w:r>
      <w:r>
        <w:t> (par défaut) </w:t>
      </w:r>
      <w:r>
        <w:rPr>
          <w:rStyle w:val="optioncarChar"/>
        </w:rPr>
        <w:t>/ Thermolaqué par poudrage polyester / ***</w:t>
      </w:r>
      <w:r>
        <w:t>.</w:t>
      </w:r>
    </w:p>
    <w:p w14:paraId="6D8A70D4" w14:textId="77777777" w:rsidR="00772179" w:rsidRDefault="00000000">
      <w:pPr>
        <w:jc w:val="both"/>
      </w:pPr>
      <w:r>
        <w:rPr>
          <w:b/>
        </w:rPr>
        <w:t>(soit par défaut)</w:t>
      </w:r>
    </w:p>
    <w:p w14:paraId="731777D6" w14:textId="77777777" w:rsidR="00772179" w:rsidRDefault="00000000">
      <w:pPr>
        <w:jc w:val="both"/>
      </w:pPr>
      <w:r>
        <w:rPr>
          <w:rStyle w:val="soitChar"/>
          <w:u w:val="single"/>
        </w:rPr>
        <w:t>Anodisé :</w:t>
      </w:r>
      <w:r>
        <w:rPr>
          <w:rStyle w:val="soitChar"/>
        </w:rPr>
        <w:t> selon [Qualanod] épaisseur ≥ 18 μm</w:t>
      </w:r>
    </w:p>
    <w:p w14:paraId="665D52A3" w14:textId="77777777" w:rsidR="00772179" w:rsidRDefault="00000000">
      <w:pPr>
        <w:pStyle w:val="Author-eListParagraph"/>
        <w:numPr>
          <w:ilvl w:val="0"/>
          <w:numId w:val="651"/>
        </w:numPr>
      </w:pPr>
      <w:r>
        <w:rPr>
          <w:rStyle w:val="soitChar"/>
        </w:rPr>
        <w:t>Couleur : </w:t>
      </w:r>
      <w:r>
        <w:rPr>
          <w:rStyle w:val="optioncarChar"/>
        </w:rPr>
        <w:t>naturelle</w:t>
      </w:r>
      <w:r>
        <w:t> (par défaut) </w:t>
      </w:r>
      <w:r>
        <w:rPr>
          <w:rStyle w:val="optioncarChar"/>
        </w:rPr>
        <w:t>/ ***.</w:t>
      </w:r>
    </w:p>
    <w:p w14:paraId="253827D6" w14:textId="77777777" w:rsidR="00772179" w:rsidRDefault="00000000">
      <w:pPr>
        <w:pStyle w:val="Author-eListParagraph"/>
        <w:numPr>
          <w:ilvl w:val="0"/>
          <w:numId w:val="651"/>
        </w:numPr>
      </w:pPr>
      <w:r>
        <w:rPr>
          <w:rStyle w:val="soitChar"/>
        </w:rPr>
        <w:t>Finition : </w:t>
      </w:r>
      <w:r>
        <w:rPr>
          <w:rStyle w:val="optioncarChar"/>
        </w:rPr>
        <w:t>mate</w:t>
      </w:r>
      <w:r>
        <w:t> (par défaut) </w:t>
      </w:r>
      <w:r>
        <w:rPr>
          <w:rStyle w:val="optioncarChar"/>
        </w:rPr>
        <w:t>/ ***.</w:t>
      </w:r>
    </w:p>
    <w:p w14:paraId="765CF071" w14:textId="77777777" w:rsidR="00772179" w:rsidRDefault="00000000">
      <w:pPr>
        <w:jc w:val="both"/>
      </w:pPr>
      <w:r>
        <w:rPr>
          <w:b/>
        </w:rPr>
        <w:t>(soit)</w:t>
      </w:r>
    </w:p>
    <w:p w14:paraId="668105A0" w14:textId="77777777" w:rsidR="00772179" w:rsidRDefault="00000000">
      <w:pPr>
        <w:jc w:val="both"/>
      </w:pPr>
      <w:r>
        <w:rPr>
          <w:rStyle w:val="soitChar"/>
          <w:u w:val="single"/>
        </w:rPr>
        <w:t>Thermolaqué par poudrage polyester :</w:t>
      </w:r>
      <w:r>
        <w:rPr>
          <w:rStyle w:val="soitChar"/>
        </w:rPr>
        <w:t> selon [Qualicoat] épaisseur ≥ 60 μm</w:t>
      </w:r>
    </w:p>
    <w:p w14:paraId="7EC1BE96" w14:textId="77777777" w:rsidR="00772179" w:rsidRDefault="00000000">
      <w:pPr>
        <w:pStyle w:val="Author-eListParagraph"/>
        <w:numPr>
          <w:ilvl w:val="0"/>
          <w:numId w:val="652"/>
        </w:numPr>
      </w:pPr>
      <w:r>
        <w:rPr>
          <w:rStyle w:val="soitChar"/>
        </w:rPr>
        <w:t>Couleur : RAL n° </w:t>
      </w:r>
      <w:r>
        <w:rPr>
          <w:rStyle w:val="optioncarChar"/>
        </w:rPr>
        <w:t>***</w:t>
      </w:r>
    </w:p>
    <w:p w14:paraId="69B97D2C" w14:textId="77777777" w:rsidR="00772179" w:rsidRDefault="00000000">
      <w:pPr>
        <w:pStyle w:val="Author-eListParagraph"/>
        <w:numPr>
          <w:ilvl w:val="0"/>
          <w:numId w:val="652"/>
        </w:numPr>
      </w:pPr>
      <w:r>
        <w:rPr>
          <w:rStyle w:val="soitChar"/>
        </w:rPr>
        <w:t>Brillance : </w:t>
      </w:r>
      <w:r>
        <w:rPr>
          <w:rStyle w:val="optioncarChar"/>
        </w:rPr>
        <w:t>70</w:t>
      </w:r>
      <w:r>
        <w:t> (par défaut)</w:t>
      </w:r>
      <w:r>
        <w:rPr>
          <w:rStyle w:val="optioncarChar"/>
        </w:rPr>
        <w:t> / ***</w:t>
      </w:r>
      <w:r>
        <w:rPr>
          <w:rStyle w:val="soitChar"/>
        </w:rPr>
        <w:t> %.</w:t>
      </w:r>
    </w:p>
    <w:p w14:paraId="0C03E46B" w14:textId="77777777" w:rsidR="00772179" w:rsidRDefault="00000000">
      <w:pPr>
        <w:jc w:val="both"/>
      </w:pPr>
      <w:r>
        <w:rPr>
          <w:b/>
        </w:rPr>
        <w:t>(soit)</w:t>
      </w:r>
    </w:p>
    <w:p w14:paraId="0C5E91C6" w14:textId="77777777" w:rsidR="00772179" w:rsidRDefault="00000000">
      <w:pPr>
        <w:jc w:val="both"/>
      </w:pPr>
      <w:r>
        <w:rPr>
          <w:rStyle w:val="optioncarChar"/>
        </w:rPr>
        <w:t>***</w:t>
      </w:r>
    </w:p>
    <w:p w14:paraId="230B158C" w14:textId="77777777" w:rsidR="00772179" w:rsidRDefault="00000000">
      <w:pPr>
        <w:jc w:val="both"/>
      </w:pPr>
      <w:r>
        <w:rPr>
          <w:b/>
        </w:rPr>
        <w:t>Plaques perforées</w:t>
      </w:r>
    </w:p>
    <w:p w14:paraId="7B4673AC" w14:textId="77777777" w:rsidR="00772179" w:rsidRDefault="00000000">
      <w:pPr>
        <w:jc w:val="both"/>
      </w:pPr>
      <w:r>
        <w:rPr>
          <w:rStyle w:val="optioncarChar"/>
        </w:rPr>
        <w:t>Anodisées</w:t>
      </w:r>
      <w:r>
        <w:t>  (par défaut) </w:t>
      </w:r>
      <w:r>
        <w:rPr>
          <w:rStyle w:val="optioncarChar"/>
        </w:rPr>
        <w:t>/ Thermolaquées par poudrage polyester / ***</w:t>
      </w:r>
      <w:r>
        <w:t>.</w:t>
      </w:r>
    </w:p>
    <w:p w14:paraId="58D08931" w14:textId="77777777" w:rsidR="00772179" w:rsidRDefault="00000000">
      <w:pPr>
        <w:jc w:val="both"/>
      </w:pPr>
      <w:r>
        <w:rPr>
          <w:b/>
        </w:rPr>
        <w:t>(soit par défaut)</w:t>
      </w:r>
    </w:p>
    <w:p w14:paraId="532BF271" w14:textId="77777777" w:rsidR="00772179" w:rsidRDefault="00000000">
      <w:pPr>
        <w:jc w:val="both"/>
      </w:pPr>
      <w:r>
        <w:rPr>
          <w:rStyle w:val="soitChar"/>
          <w:u w:val="single"/>
        </w:rPr>
        <w:t>Anodisées :</w:t>
      </w:r>
      <w:r>
        <w:rPr>
          <w:rStyle w:val="soitChar"/>
        </w:rPr>
        <w:t>  selon [Qualanod] épaisseur ≥ 18 μm</w:t>
      </w:r>
    </w:p>
    <w:p w14:paraId="5800CA7E" w14:textId="77777777" w:rsidR="00772179" w:rsidRDefault="00000000">
      <w:pPr>
        <w:pStyle w:val="Author-eListParagraph"/>
        <w:numPr>
          <w:ilvl w:val="0"/>
          <w:numId w:val="653"/>
        </w:numPr>
      </w:pPr>
      <w:r>
        <w:rPr>
          <w:rStyle w:val="soitChar"/>
        </w:rPr>
        <w:t>Couleur : </w:t>
      </w:r>
      <w:r>
        <w:t> </w:t>
      </w:r>
      <w:r>
        <w:rPr>
          <w:rStyle w:val="optioncarChar"/>
        </w:rPr>
        <w:t>naturelle</w:t>
      </w:r>
      <w:r>
        <w:t>  (par défaut) </w:t>
      </w:r>
      <w:r>
        <w:rPr>
          <w:rStyle w:val="optioncarChar"/>
        </w:rPr>
        <w:t>/ ***.</w:t>
      </w:r>
    </w:p>
    <w:p w14:paraId="31651DC3" w14:textId="77777777" w:rsidR="00772179" w:rsidRDefault="00000000">
      <w:pPr>
        <w:pStyle w:val="Author-eListParagraph"/>
        <w:numPr>
          <w:ilvl w:val="0"/>
          <w:numId w:val="653"/>
        </w:numPr>
      </w:pPr>
      <w:r>
        <w:rPr>
          <w:rStyle w:val="soitChar"/>
        </w:rPr>
        <w:lastRenderedPageBreak/>
        <w:t>Finition : </w:t>
      </w:r>
      <w:r>
        <w:t> </w:t>
      </w:r>
      <w:r>
        <w:rPr>
          <w:rStyle w:val="optioncarChar"/>
        </w:rPr>
        <w:t>mate</w:t>
      </w:r>
      <w:r>
        <w:t>  (par défaut) </w:t>
      </w:r>
      <w:r>
        <w:rPr>
          <w:rStyle w:val="optioncarChar"/>
        </w:rPr>
        <w:t>/ ***.</w:t>
      </w:r>
    </w:p>
    <w:p w14:paraId="0F33A174" w14:textId="77777777" w:rsidR="00772179" w:rsidRDefault="00000000">
      <w:pPr>
        <w:jc w:val="both"/>
      </w:pPr>
      <w:r>
        <w:rPr>
          <w:b/>
        </w:rPr>
        <w:t>(soit)</w:t>
      </w:r>
    </w:p>
    <w:p w14:paraId="4AC589ED" w14:textId="77777777" w:rsidR="00772179" w:rsidRDefault="00000000">
      <w:pPr>
        <w:jc w:val="both"/>
      </w:pPr>
      <w:r>
        <w:rPr>
          <w:rStyle w:val="soitChar"/>
          <w:u w:val="single"/>
        </w:rPr>
        <w:t>Thermolaquées par poudrage polyester :</w:t>
      </w:r>
      <w:r>
        <w:rPr>
          <w:rStyle w:val="soitChar"/>
        </w:rPr>
        <w:t>  selon [Qualicoat] épaisseur ≥ 60 μm</w:t>
      </w:r>
    </w:p>
    <w:p w14:paraId="17491813" w14:textId="77777777" w:rsidR="00772179" w:rsidRDefault="00000000">
      <w:pPr>
        <w:pStyle w:val="Author-eListParagraph"/>
        <w:numPr>
          <w:ilvl w:val="0"/>
          <w:numId w:val="654"/>
        </w:numPr>
      </w:pPr>
      <w:r>
        <w:rPr>
          <w:rStyle w:val="soitChar"/>
        </w:rPr>
        <w:t>Couleur : RAL n° </w:t>
      </w:r>
      <w:r>
        <w:t> </w:t>
      </w:r>
      <w:r>
        <w:rPr>
          <w:rStyle w:val="optioncarChar"/>
        </w:rPr>
        <w:t>***</w:t>
      </w:r>
    </w:p>
    <w:p w14:paraId="6A2D559C" w14:textId="77777777" w:rsidR="00772179" w:rsidRDefault="00000000">
      <w:pPr>
        <w:pStyle w:val="Author-eListParagraph"/>
        <w:numPr>
          <w:ilvl w:val="0"/>
          <w:numId w:val="654"/>
        </w:numPr>
      </w:pPr>
      <w:r>
        <w:rPr>
          <w:rStyle w:val="soitChar"/>
        </w:rPr>
        <w:t>Brillance : </w:t>
      </w:r>
      <w:r>
        <w:t> </w:t>
      </w:r>
      <w:r>
        <w:rPr>
          <w:rStyle w:val="optioncarChar"/>
        </w:rPr>
        <w:t>70</w:t>
      </w:r>
      <w:r>
        <w:t>  (par défaut)</w:t>
      </w:r>
      <w:r>
        <w:rPr>
          <w:rStyle w:val="optioncarChar"/>
        </w:rPr>
        <w:t> / ***</w:t>
      </w:r>
      <w:r>
        <w:rPr>
          <w:rStyle w:val="soitChar"/>
        </w:rPr>
        <w:t> %.</w:t>
      </w:r>
    </w:p>
    <w:p w14:paraId="683A312A" w14:textId="77777777" w:rsidR="00772179" w:rsidRDefault="00000000">
      <w:pPr>
        <w:jc w:val="both"/>
      </w:pPr>
      <w:r>
        <w:rPr>
          <w:b/>
        </w:rPr>
        <w:t>(soit)</w:t>
      </w:r>
    </w:p>
    <w:p w14:paraId="1B7CFCE4" w14:textId="77777777" w:rsidR="00772179" w:rsidRDefault="00000000">
      <w:pPr>
        <w:jc w:val="both"/>
      </w:pPr>
      <w:r>
        <w:rPr>
          <w:rStyle w:val="optioncarChar"/>
        </w:rPr>
        <w:t>***</w:t>
      </w:r>
    </w:p>
    <w:p w14:paraId="24FE6822" w14:textId="77777777" w:rsidR="00772179" w:rsidRDefault="00000000">
      <w:pPr>
        <w:jc w:val="both"/>
      </w:pPr>
      <w:r>
        <w:rPr>
          <w:b/>
        </w:rPr>
        <w:t>Rail</w:t>
      </w:r>
    </w:p>
    <w:p w14:paraId="4EEDA7C2" w14:textId="77777777" w:rsidR="00772179" w:rsidRDefault="00000000">
      <w:pPr>
        <w:jc w:val="both"/>
      </w:pPr>
      <w:r>
        <w:rPr>
          <w:rStyle w:val="optioncarChar"/>
        </w:rPr>
        <w:t>Thermolaqué par poudrage polyester </w:t>
      </w:r>
      <w:r>
        <w:t>(par défaut)</w:t>
      </w:r>
      <w:r>
        <w:rPr>
          <w:rStyle w:val="optioncarChar"/>
        </w:rPr>
        <w:t> / Anodisé / ***</w:t>
      </w:r>
    </w:p>
    <w:p w14:paraId="0E499B4A" w14:textId="77777777" w:rsidR="00772179" w:rsidRDefault="00000000">
      <w:pPr>
        <w:jc w:val="both"/>
      </w:pPr>
      <w:r>
        <w:rPr>
          <w:b/>
        </w:rPr>
        <w:t>(soit par défaut)</w:t>
      </w:r>
    </w:p>
    <w:p w14:paraId="38D7293E" w14:textId="77777777" w:rsidR="00772179" w:rsidRDefault="00000000">
      <w:pPr>
        <w:jc w:val="both"/>
      </w:pPr>
      <w:r>
        <w:rPr>
          <w:rStyle w:val="soitChar"/>
          <w:u w:val="single"/>
        </w:rPr>
        <w:t>Thermolaqué par poudrage polyester :</w:t>
      </w:r>
      <w:r>
        <w:rPr>
          <w:rStyle w:val="soitChar"/>
        </w:rPr>
        <w:t> selon [Qualicoat] épaisseur ≥ 60 μm</w:t>
      </w:r>
    </w:p>
    <w:p w14:paraId="315614AE" w14:textId="77777777" w:rsidR="00772179" w:rsidRDefault="00000000">
      <w:pPr>
        <w:pStyle w:val="Author-eListParagraph"/>
        <w:numPr>
          <w:ilvl w:val="0"/>
          <w:numId w:val="655"/>
        </w:numPr>
      </w:pPr>
      <w:r>
        <w:rPr>
          <w:rStyle w:val="soitChar"/>
        </w:rPr>
        <w:t>Couleur : RAL n° </w:t>
      </w:r>
      <w:r>
        <w:t> </w:t>
      </w:r>
      <w:r>
        <w:rPr>
          <w:rStyle w:val="optioncarChar"/>
        </w:rPr>
        <w:t>***</w:t>
      </w:r>
    </w:p>
    <w:p w14:paraId="4E6412EE" w14:textId="77777777" w:rsidR="00772179" w:rsidRDefault="00000000">
      <w:pPr>
        <w:pStyle w:val="Author-eListParagraph"/>
        <w:numPr>
          <w:ilvl w:val="0"/>
          <w:numId w:val="655"/>
        </w:numPr>
      </w:pPr>
      <w:r>
        <w:rPr>
          <w:rStyle w:val="soitChar"/>
        </w:rPr>
        <w:t>Brillance : </w:t>
      </w:r>
      <w:r>
        <w:t> </w:t>
      </w:r>
      <w:r>
        <w:rPr>
          <w:rStyle w:val="optioncarChar"/>
        </w:rPr>
        <w:t>70 </w:t>
      </w:r>
      <w:r>
        <w:t>(par défaut)</w:t>
      </w:r>
      <w:r>
        <w:rPr>
          <w:rStyle w:val="optioncarChar"/>
        </w:rPr>
        <w:t> / ***</w:t>
      </w:r>
      <w:r>
        <w:rPr>
          <w:rStyle w:val="soitChar"/>
        </w:rPr>
        <w:t> %.</w:t>
      </w:r>
    </w:p>
    <w:p w14:paraId="70370562" w14:textId="77777777" w:rsidR="00772179" w:rsidRDefault="00000000">
      <w:r>
        <w:rPr>
          <w:b/>
        </w:rPr>
        <w:t>(soit)</w:t>
      </w:r>
      <w:r>
        <w:br/>
      </w:r>
      <w:r>
        <w:rPr>
          <w:rStyle w:val="soitChar"/>
          <w:u w:val="single"/>
        </w:rPr>
        <w:t>Anodisé :</w:t>
      </w:r>
      <w:r>
        <w:t> </w:t>
      </w:r>
      <w:r>
        <w:rPr>
          <w:color w:val="33CCCC"/>
        </w:rPr>
        <w:t>selon [Qualanod] épaisseur ≥ 18 μm</w:t>
      </w:r>
    </w:p>
    <w:p w14:paraId="09D6610A" w14:textId="77777777" w:rsidR="00772179" w:rsidRDefault="00000000">
      <w:pPr>
        <w:pStyle w:val="Author-eListParagraph"/>
        <w:numPr>
          <w:ilvl w:val="0"/>
          <w:numId w:val="656"/>
        </w:numPr>
      </w:pPr>
      <w:r>
        <w:rPr>
          <w:rStyle w:val="soitChar"/>
        </w:rPr>
        <w:t>Couleur : </w:t>
      </w:r>
      <w:r>
        <w:t> </w:t>
      </w:r>
      <w:r>
        <w:rPr>
          <w:rStyle w:val="optioncarChar"/>
        </w:rPr>
        <w:t>naturelle </w:t>
      </w:r>
      <w:r>
        <w:t>(par défaut) </w:t>
      </w:r>
      <w:r>
        <w:rPr>
          <w:rStyle w:val="optioncarChar"/>
        </w:rPr>
        <w:t>/ ***.</w:t>
      </w:r>
    </w:p>
    <w:p w14:paraId="0055676C" w14:textId="77777777" w:rsidR="00772179" w:rsidRDefault="00000000">
      <w:pPr>
        <w:pStyle w:val="Author-eListParagraph"/>
        <w:numPr>
          <w:ilvl w:val="0"/>
          <w:numId w:val="656"/>
        </w:numPr>
      </w:pPr>
      <w:r>
        <w:rPr>
          <w:rStyle w:val="soitChar"/>
        </w:rPr>
        <w:t>Finition : </w:t>
      </w:r>
      <w:r>
        <w:t> </w:t>
      </w:r>
      <w:r>
        <w:rPr>
          <w:rStyle w:val="optioncarChar"/>
        </w:rPr>
        <w:t>mate</w:t>
      </w:r>
      <w:r>
        <w:t>  (par défaut)</w:t>
      </w:r>
      <w:r>
        <w:rPr>
          <w:rStyle w:val="optioncarChar"/>
        </w:rPr>
        <w:t> / ***.</w:t>
      </w:r>
    </w:p>
    <w:p w14:paraId="676D42D8" w14:textId="77777777" w:rsidR="00772179" w:rsidRDefault="00000000">
      <w:r>
        <w:rPr>
          <w:b/>
        </w:rPr>
        <w:t>(soit)</w:t>
      </w:r>
      <w:r>
        <w:br/>
      </w:r>
      <w:r>
        <w:rPr>
          <w:rStyle w:val="optioncarChar"/>
        </w:rPr>
        <w:t>***</w:t>
      </w:r>
    </w:p>
    <w:p w14:paraId="65AA438A" w14:textId="77777777" w:rsidR="00772179" w:rsidRDefault="00000000">
      <w:pPr>
        <w:pStyle w:val="pheading"/>
      </w:pPr>
      <w:r>
        <w:t>EXÉCUTION / MISE EN ŒUVRE</w:t>
      </w:r>
    </w:p>
    <w:p w14:paraId="4FEE0303" w14:textId="77777777" w:rsidR="00772179" w:rsidRDefault="00000000">
      <w:pPr>
        <w:pStyle w:val="pheading"/>
      </w:pPr>
      <w:r>
        <w:t>- Échantillons</w:t>
      </w:r>
    </w:p>
    <w:p w14:paraId="78F669EC" w14:textId="77777777" w:rsidR="00772179" w:rsidRDefault="00000000">
      <w:pPr>
        <w:jc w:val="both"/>
      </w:pPr>
      <w:r>
        <w:t>L’entrepreneur soumet un échantillon du système qu’il propose à l’approbation de la direction du chantier.</w:t>
      </w:r>
    </w:p>
    <w:p w14:paraId="204A68CA" w14:textId="77777777" w:rsidR="00772179" w:rsidRDefault="00000000">
      <w:pPr>
        <w:pStyle w:val="pheading"/>
      </w:pPr>
      <w:r>
        <w:t>MESURAGE</w:t>
      </w:r>
    </w:p>
    <w:p w14:paraId="61A2D024" w14:textId="77777777" w:rsidR="00772179" w:rsidRDefault="00000000">
      <w:pPr>
        <w:pStyle w:val="pheading"/>
      </w:pPr>
      <w:r>
        <w:t>- unité de mesure:</w:t>
      </w:r>
    </w:p>
    <w:p w14:paraId="3E17EF36" w14:textId="77777777" w:rsidR="00772179" w:rsidRDefault="00000000">
      <w:r>
        <w:t>m²</w:t>
      </w:r>
    </w:p>
    <w:p w14:paraId="3740C74E" w14:textId="77777777" w:rsidR="00772179" w:rsidRDefault="00000000">
      <w:pPr>
        <w:pStyle w:val="pheading"/>
      </w:pPr>
      <w:r>
        <w:t>- code de mesurage:</w:t>
      </w:r>
    </w:p>
    <w:p w14:paraId="4B2AC943" w14:textId="77777777" w:rsidR="00772179" w:rsidRDefault="00000000">
      <w:pPr>
        <w:jc w:val="both"/>
      </w:pPr>
      <w:r>
        <w:t>Surface nette de protections à mettre en œuvre, éventuellement ventilée suivant le type de perforation, de finition, de type de manœuvre, etc...</w:t>
      </w:r>
    </w:p>
    <w:p w14:paraId="4377E595" w14:textId="77777777" w:rsidR="00772179" w:rsidRDefault="00000000">
      <w:pPr>
        <w:pStyle w:val="pheading"/>
      </w:pPr>
      <w:r>
        <w:t>- nature du marché:</w:t>
      </w:r>
    </w:p>
    <w:p w14:paraId="69AF6197" w14:textId="77777777" w:rsidR="00772179" w:rsidRDefault="00000000">
      <w:r>
        <w:t>QF</w:t>
      </w:r>
    </w:p>
    <w:p w14:paraId="083FBD3E" w14:textId="77777777" w:rsidR="00772179" w:rsidRDefault="00000000">
      <w:pPr>
        <w:pStyle w:val="Author-eSectionHeading6Numberless"/>
      </w:pPr>
      <w:bookmarkStart w:id="274" w:name="_Toc220490010"/>
      <w:r>
        <w:t>41.52.2d Protections solaires extérieures mobiles par toile CCTB 01.12</w:t>
      </w:r>
      <w:bookmarkEnd w:id="274"/>
    </w:p>
    <w:p w14:paraId="104BAFC5" w14:textId="77777777" w:rsidR="00772179" w:rsidRDefault="00000000">
      <w:pPr>
        <w:pStyle w:val="pheading"/>
      </w:pPr>
      <w:bookmarkStart w:id="275" w:name="894"/>
      <w:bookmarkEnd w:id="275"/>
      <w:r>
        <w:t>DESCRIPTION</w:t>
      </w:r>
    </w:p>
    <w:p w14:paraId="42A2CD8A" w14:textId="77777777" w:rsidR="00772179" w:rsidRDefault="00000000">
      <w:pPr>
        <w:pStyle w:val="pheading"/>
      </w:pPr>
      <w:r>
        <w:t>- Définition / Comprend</w:t>
      </w:r>
    </w:p>
    <w:p w14:paraId="7AB41114" w14:textId="77777777" w:rsidR="00772179" w:rsidRDefault="00000000">
      <w:pPr>
        <w:jc w:val="both"/>
      </w:pPr>
      <w:r>
        <w:t>Il s’agit de la fourniture et de la pose de protections solaires extérieures mobiles en toile posées parallèlement au plan de la façade. Le système est composé :</w:t>
      </w:r>
    </w:p>
    <w:p w14:paraId="69002652" w14:textId="77777777" w:rsidR="00772179" w:rsidRDefault="00000000">
      <w:pPr>
        <w:pStyle w:val="Author-eListParagraph"/>
        <w:numPr>
          <w:ilvl w:val="0"/>
          <w:numId w:val="657"/>
        </w:numPr>
      </w:pPr>
      <w:r>
        <w:t>d’un coffre supérieur pour le support et l’enroulement de la toile ;</w:t>
      </w:r>
    </w:p>
    <w:p w14:paraId="45CB13F2" w14:textId="77777777" w:rsidR="00772179" w:rsidRDefault="00000000">
      <w:pPr>
        <w:pStyle w:val="Author-eListParagraph"/>
        <w:numPr>
          <w:ilvl w:val="0"/>
          <w:numId w:val="657"/>
        </w:numPr>
      </w:pPr>
      <w:r>
        <w:t>de dispositifs de guidages latéraux et de support avec ancrages de fixation ;</w:t>
      </w:r>
    </w:p>
    <w:p w14:paraId="1AC903EE" w14:textId="77777777" w:rsidR="00772179" w:rsidRDefault="00000000">
      <w:pPr>
        <w:pStyle w:val="Author-eListParagraph"/>
        <w:numPr>
          <w:ilvl w:val="0"/>
          <w:numId w:val="657"/>
        </w:numPr>
      </w:pPr>
      <w:r>
        <w:t>de stores coulissants et éventuellement projetants en toile ;</w:t>
      </w:r>
    </w:p>
    <w:p w14:paraId="2CA89336" w14:textId="77777777" w:rsidR="00772179" w:rsidRDefault="00000000">
      <w:pPr>
        <w:pStyle w:val="Author-eListParagraph"/>
        <w:numPr>
          <w:ilvl w:val="0"/>
          <w:numId w:val="657"/>
        </w:numPr>
      </w:pPr>
      <w:r>
        <w:t>de dispositifs de manœuvre ;</w:t>
      </w:r>
    </w:p>
    <w:p w14:paraId="5A24389C" w14:textId="77777777" w:rsidR="00772179" w:rsidRDefault="00000000">
      <w:pPr>
        <w:pStyle w:val="Author-eListParagraph"/>
        <w:numPr>
          <w:ilvl w:val="0"/>
          <w:numId w:val="657"/>
        </w:numPr>
      </w:pPr>
      <w:r>
        <w:t>d’accessoires complémentaires.</w:t>
      </w:r>
    </w:p>
    <w:p w14:paraId="3A9CA924" w14:textId="77777777" w:rsidR="00772179" w:rsidRDefault="00000000">
      <w:pPr>
        <w:jc w:val="both"/>
      </w:pPr>
      <w:r>
        <w:lastRenderedPageBreak/>
        <w:t>Cet article comprend également l’étude par le fabricant des plans de détail à établir sur base des plans de façade et à soumettre à l’approbation de la direction du chantier.</w:t>
      </w:r>
    </w:p>
    <w:p w14:paraId="27119635" w14:textId="77777777" w:rsidR="00772179" w:rsidRDefault="00000000">
      <w:pPr>
        <w:pStyle w:val="pheading"/>
      </w:pPr>
      <w:r>
        <w:t>MATÉRIAUX</w:t>
      </w:r>
    </w:p>
    <w:p w14:paraId="68BC37B5" w14:textId="77777777" w:rsidR="00772179" w:rsidRDefault="00000000">
      <w:pPr>
        <w:pStyle w:val="pheading"/>
      </w:pPr>
      <w:r>
        <w:t>- Caractéristiques générales</w:t>
      </w:r>
    </w:p>
    <w:p w14:paraId="17B20D66" w14:textId="77777777" w:rsidR="00772179" w:rsidRDefault="00000000">
      <w:pPr>
        <w:jc w:val="both"/>
      </w:pPr>
      <w:r>
        <w:rPr>
          <w:b/>
        </w:rPr>
        <w:t>Coffre</w:t>
      </w:r>
    </w:p>
    <w:p w14:paraId="24B8B216" w14:textId="77777777" w:rsidR="00772179" w:rsidRDefault="00000000">
      <w:pPr>
        <w:jc w:val="both"/>
      </w:pPr>
      <w:r>
        <w:t>Le coffre se compose de profilés fixes et d'un profilé inférieur amovible en aluminium extrudé Al Mg Si 0.5 conforme à la [NBN EN 485-2:2016+A1] ou [NBN EN 1396]. Le profilé inférieur amovible peut être retiré sans démonter les coulisses latérales.</w:t>
      </w:r>
    </w:p>
    <w:p w14:paraId="5C94BA07" w14:textId="77777777" w:rsidR="00772179" w:rsidRDefault="00000000">
      <w:pPr>
        <w:jc w:val="both"/>
      </w:pPr>
      <w:r>
        <w:t>Les joues du coffre supportent le mécanisme d'enroulement. Le profilé de guidage interne assure le guidage de la toile et sert de butée pour la barre de charge.</w:t>
      </w:r>
    </w:p>
    <w:p w14:paraId="50B175AF" w14:textId="77777777" w:rsidR="00772179" w:rsidRDefault="00000000">
      <w:pPr>
        <w:jc w:val="both"/>
      </w:pPr>
      <w:r>
        <w:t xml:space="preserve">Le tube d'enroulement en </w:t>
      </w:r>
      <w:r>
        <w:rPr>
          <w:rStyle w:val="optioncarChar"/>
        </w:rPr>
        <w:t xml:space="preserve">acier galvanisé à chaud </w:t>
      </w:r>
      <w:r>
        <w:t>(par défaut)</w:t>
      </w:r>
      <w:r>
        <w:rPr>
          <w:rStyle w:val="optioncarChar"/>
        </w:rPr>
        <w:t xml:space="preserve"> / ***</w:t>
      </w:r>
      <w:r>
        <w:t xml:space="preserve"> est de type facilement et rapidement monté ou démonté si nécessaire.</w:t>
      </w:r>
    </w:p>
    <w:p w14:paraId="42FC9DEE" w14:textId="77777777" w:rsidR="00772179" w:rsidRDefault="00000000">
      <w:pPr>
        <w:pStyle w:val="Author-eListParagraph"/>
        <w:numPr>
          <w:ilvl w:val="0"/>
          <w:numId w:val="658"/>
        </w:numPr>
      </w:pPr>
      <w:r>
        <w:t xml:space="preserve">Forme du coffre : </w:t>
      </w:r>
      <w:r>
        <w:rPr>
          <w:rStyle w:val="optioncarChar"/>
        </w:rPr>
        <w:t xml:space="preserve">rectangulaire </w:t>
      </w:r>
      <w:r>
        <w:t xml:space="preserve">(par défaut) </w:t>
      </w:r>
      <w:r>
        <w:rPr>
          <w:rStyle w:val="optioncarChar"/>
        </w:rPr>
        <w:t>/ ***.</w:t>
      </w:r>
    </w:p>
    <w:p w14:paraId="704387C1" w14:textId="77777777" w:rsidR="00772179" w:rsidRDefault="00000000">
      <w:pPr>
        <w:pStyle w:val="Author-eListParagraph"/>
        <w:numPr>
          <w:ilvl w:val="0"/>
          <w:numId w:val="658"/>
        </w:numPr>
      </w:pPr>
      <w:r>
        <w:t xml:space="preserve">Dimensions : </w:t>
      </w:r>
      <w:r>
        <w:rPr>
          <w:rStyle w:val="optioncarChar"/>
        </w:rPr>
        <w:t xml:space="preserve">suivant étude du fabricant à soumettre pour approbation </w:t>
      </w:r>
      <w:r>
        <w:t>(par défaut)</w:t>
      </w:r>
      <w:r>
        <w:rPr>
          <w:rStyle w:val="optioncarChar"/>
        </w:rPr>
        <w:t xml:space="preserve"> / 150 x 110 / *** mm.</w:t>
      </w:r>
    </w:p>
    <w:p w14:paraId="69BBDE36" w14:textId="77777777" w:rsidR="00772179" w:rsidRDefault="00000000">
      <w:pPr>
        <w:pStyle w:val="Author-eListParagraph"/>
        <w:numPr>
          <w:ilvl w:val="0"/>
          <w:numId w:val="658"/>
        </w:numPr>
      </w:pPr>
      <w:r>
        <w:t xml:space="preserve">Positionnement : </w:t>
      </w:r>
      <w:r>
        <w:rPr>
          <w:rStyle w:val="optioncarChar"/>
        </w:rPr>
        <w:t xml:space="preserve">apparent entre batées </w:t>
      </w:r>
      <w:r>
        <w:t>(par défaut)</w:t>
      </w:r>
      <w:r>
        <w:rPr>
          <w:rStyle w:val="optioncarChar"/>
        </w:rPr>
        <w:t xml:space="preserve"> / invisible derrière les batées / ***</w:t>
      </w:r>
      <w:r>
        <w:t>.</w:t>
      </w:r>
    </w:p>
    <w:p w14:paraId="6748BB6B" w14:textId="77777777" w:rsidR="00772179" w:rsidRDefault="00000000">
      <w:pPr>
        <w:jc w:val="both"/>
      </w:pPr>
      <w:r>
        <w:rPr>
          <w:b/>
        </w:rPr>
        <w:t>Coulisses latérales et barre de charge</w:t>
      </w:r>
    </w:p>
    <w:p w14:paraId="6C4AF719" w14:textId="77777777" w:rsidR="00772179" w:rsidRDefault="00000000">
      <w:pPr>
        <w:jc w:val="both"/>
      </w:pPr>
      <w:r>
        <w:t>Les coulisses sont constituées de profilés en aluminium extrudé équipés de 2 brosses et d’un embout noir en plastique au bas. Le guidage dans les coulisses latérales assure le déplacement de la toile de store et de la barre de charge et garantit que la toile reste plane.</w:t>
      </w:r>
    </w:p>
    <w:p w14:paraId="12F66442" w14:textId="77777777" w:rsidR="00772179" w:rsidRDefault="00000000">
      <w:pPr>
        <w:jc w:val="both"/>
      </w:pPr>
      <w:r>
        <w:t>La barre de charge est composée d'un profilé tombant en aluminium extrudé avec charge intégrée pour permettre le guidage de la toile et assurer une tension optimale.</w:t>
      </w:r>
    </w:p>
    <w:p w14:paraId="1170FA4B" w14:textId="77777777" w:rsidR="00772179" w:rsidRDefault="00000000">
      <w:pPr>
        <w:pStyle w:val="Author-eListParagraph"/>
        <w:numPr>
          <w:ilvl w:val="0"/>
          <w:numId w:val="659"/>
        </w:numPr>
      </w:pPr>
      <w:r>
        <w:t xml:space="preserve">Fixation des coulisses : </w:t>
      </w:r>
      <w:r>
        <w:rPr>
          <w:rStyle w:val="optioncarChar"/>
        </w:rPr>
        <w:t xml:space="preserve">sur la menuiserie </w:t>
      </w:r>
      <w:r>
        <w:t xml:space="preserve">(par défaut) </w:t>
      </w:r>
      <w:r>
        <w:rPr>
          <w:rStyle w:val="optioncarChar"/>
        </w:rPr>
        <w:t>/ sur les batées latérales / ***.</w:t>
      </w:r>
    </w:p>
    <w:p w14:paraId="363EB935" w14:textId="77777777" w:rsidR="00772179" w:rsidRDefault="00000000">
      <w:pPr>
        <w:pStyle w:val="Author-eListParagraph"/>
        <w:numPr>
          <w:ilvl w:val="0"/>
          <w:numId w:val="659"/>
        </w:numPr>
      </w:pPr>
      <w:r>
        <w:t xml:space="preserve">Type de déroulement de la toile : </w:t>
      </w:r>
      <w:r>
        <w:rPr>
          <w:rStyle w:val="optioncarChar"/>
        </w:rPr>
        <w:t>le long de la fenêtre et vers l’extérieur / le long de la fenêtre.</w:t>
      </w:r>
    </w:p>
    <w:p w14:paraId="1F53F54E" w14:textId="77777777" w:rsidR="00772179" w:rsidRDefault="00000000">
      <w:pPr>
        <w:ind w:left="567"/>
        <w:jc w:val="both"/>
      </w:pPr>
      <w:r>
        <w:rPr>
          <w:b/>
        </w:rPr>
        <w:t>(soit)</w:t>
      </w:r>
    </w:p>
    <w:p w14:paraId="72F67D03" w14:textId="77777777" w:rsidR="00772179" w:rsidRDefault="00000000">
      <w:pPr>
        <w:ind w:left="567"/>
        <w:jc w:val="both"/>
      </w:pPr>
      <w:r>
        <w:rPr>
          <w:rStyle w:val="soitChar"/>
          <w:u w:val="single"/>
        </w:rPr>
        <w:t>Le long de la fenêtre et vers l’extérieur (déroulement vertical et projetant) :</w:t>
      </w:r>
    </w:p>
    <w:p w14:paraId="7526C776" w14:textId="77777777" w:rsidR="00772179" w:rsidRDefault="00000000">
      <w:pPr>
        <w:pStyle w:val="Author-eListParagraph"/>
        <w:numPr>
          <w:ilvl w:val="0"/>
          <w:numId w:val="660"/>
        </w:numPr>
      </w:pPr>
      <w:r>
        <w:rPr>
          <w:rStyle w:val="soitChar"/>
        </w:rPr>
        <w:t xml:space="preserve">Dimension des coulisses latérales : </w:t>
      </w:r>
      <w:r>
        <w:rPr>
          <w:rStyle w:val="optioncarChar"/>
        </w:rPr>
        <w:t>36 x 110</w:t>
      </w:r>
      <w:r>
        <w:t xml:space="preserve"> (par défaut) </w:t>
      </w:r>
      <w:r>
        <w:rPr>
          <w:rStyle w:val="optioncarChar"/>
        </w:rPr>
        <w:t>/ ***</w:t>
      </w:r>
      <w:r>
        <w:rPr>
          <w:rStyle w:val="soitChar"/>
        </w:rPr>
        <w:t xml:space="preserve"> mm.</w:t>
      </w:r>
    </w:p>
    <w:p w14:paraId="6BBEDEF1" w14:textId="77777777" w:rsidR="00772179" w:rsidRDefault="00000000">
      <w:pPr>
        <w:pStyle w:val="Author-eListParagraph"/>
        <w:numPr>
          <w:ilvl w:val="0"/>
          <w:numId w:val="660"/>
        </w:numPr>
      </w:pPr>
      <w:r>
        <w:rPr>
          <w:rStyle w:val="soitChar"/>
        </w:rPr>
        <w:t xml:space="preserve">Angle de projection du bras tombant par rapport à la verticale : </w:t>
      </w:r>
      <w:r>
        <w:rPr>
          <w:rStyle w:val="optioncarChar"/>
        </w:rPr>
        <w:t xml:space="preserve">90° </w:t>
      </w:r>
      <w:r>
        <w:t>(par défaut)</w:t>
      </w:r>
      <w:r>
        <w:rPr>
          <w:rStyle w:val="optioncarChar"/>
        </w:rPr>
        <w:t xml:space="preserve"> / *** °</w:t>
      </w:r>
      <w:r>
        <w:rPr>
          <w:rStyle w:val="soitChar"/>
        </w:rPr>
        <w:t>.</w:t>
      </w:r>
    </w:p>
    <w:p w14:paraId="147BC51B" w14:textId="77777777" w:rsidR="00772179" w:rsidRDefault="00000000">
      <w:pPr>
        <w:ind w:left="567"/>
        <w:jc w:val="both"/>
      </w:pPr>
      <w:r>
        <w:rPr>
          <w:rStyle w:val="soitChar"/>
        </w:rPr>
        <w:t>Pour permettre la projection de la toile, des éléments supplémentaires sont ajoutés dans les coulisseaux latéraux, à savoir le frein, le bras tombant et le bras de coulisse, etc.</w:t>
      </w:r>
    </w:p>
    <w:p w14:paraId="6B455288" w14:textId="77777777" w:rsidR="00772179" w:rsidRDefault="00000000">
      <w:pPr>
        <w:ind w:left="567"/>
        <w:jc w:val="both"/>
      </w:pPr>
      <w:r>
        <w:rPr>
          <w:rStyle w:val="soitChar"/>
          <w:b/>
        </w:rPr>
        <w:t>(soit)</w:t>
      </w:r>
    </w:p>
    <w:p w14:paraId="5D7C0E4F" w14:textId="77777777" w:rsidR="00772179" w:rsidRDefault="00000000">
      <w:pPr>
        <w:ind w:left="567"/>
        <w:jc w:val="both"/>
      </w:pPr>
      <w:r>
        <w:rPr>
          <w:rStyle w:val="soitChar"/>
          <w:u w:val="single"/>
        </w:rPr>
        <w:t>Le long de la fenêtre uniquement (déroulement vertical).</w:t>
      </w:r>
    </w:p>
    <w:p w14:paraId="7B3DE3E8" w14:textId="77777777" w:rsidR="00772179" w:rsidRDefault="00000000">
      <w:pPr>
        <w:pStyle w:val="Author-eListParagraph"/>
        <w:numPr>
          <w:ilvl w:val="0"/>
          <w:numId w:val="661"/>
        </w:numPr>
      </w:pPr>
      <w:r>
        <w:rPr>
          <w:rStyle w:val="soitChar"/>
        </w:rPr>
        <w:t>Dimension des coulisses latérales : 36 x 49 (par défaut) / *** mm.</w:t>
      </w:r>
    </w:p>
    <w:p w14:paraId="105D3B1D" w14:textId="77777777" w:rsidR="00772179" w:rsidRDefault="00000000">
      <w:pPr>
        <w:jc w:val="both"/>
      </w:pPr>
      <w:r>
        <w:rPr>
          <w:b/>
        </w:rPr>
        <w:t>Toile solaire</w:t>
      </w:r>
    </w:p>
    <w:p w14:paraId="63B17683" w14:textId="77777777" w:rsidR="00772179" w:rsidRDefault="00000000">
      <w:pPr>
        <w:pStyle w:val="Author-eListParagraph"/>
        <w:numPr>
          <w:ilvl w:val="0"/>
          <w:numId w:val="662"/>
        </w:numPr>
      </w:pPr>
      <w:r>
        <w:t>Dimensions : voir métré détaillé.</w:t>
      </w:r>
    </w:p>
    <w:p w14:paraId="2A1C7B86" w14:textId="77777777" w:rsidR="00772179" w:rsidRDefault="00000000">
      <w:pPr>
        <w:pStyle w:val="Author-eListParagraph"/>
        <w:numPr>
          <w:ilvl w:val="0"/>
          <w:numId w:val="662"/>
        </w:numPr>
      </w:pPr>
      <w:r>
        <w:t xml:space="preserve">Résistance au vent ([NBN EN 13561]) : classe de vent </w:t>
      </w:r>
      <w:r>
        <w:rPr>
          <w:rStyle w:val="optioncarChar"/>
        </w:rPr>
        <w:t xml:space="preserve">1 - jusqu'à 50 km/h </w:t>
      </w:r>
      <w:r>
        <w:t>(par défaut)</w:t>
      </w:r>
      <w:r>
        <w:rPr>
          <w:rStyle w:val="optioncarChar"/>
        </w:rPr>
        <w:t xml:space="preserve"> / ***</w:t>
      </w:r>
      <w:r>
        <w:t>.</w:t>
      </w:r>
    </w:p>
    <w:p w14:paraId="21BB87CB" w14:textId="77777777" w:rsidR="00772179" w:rsidRDefault="00000000">
      <w:pPr>
        <w:pStyle w:val="Author-eListParagraph"/>
        <w:numPr>
          <w:ilvl w:val="0"/>
          <w:numId w:val="662"/>
        </w:numPr>
      </w:pPr>
      <w:r>
        <w:t xml:space="preserve">Type de toile : </w:t>
      </w:r>
      <w:r>
        <w:rPr>
          <w:rStyle w:val="optioncarChar"/>
        </w:rPr>
        <w:t>polyester</w:t>
      </w:r>
      <w:r>
        <w:t xml:space="preserve"> (par défaut)</w:t>
      </w:r>
      <w:r>
        <w:rPr>
          <w:rStyle w:val="optioncarChar"/>
        </w:rPr>
        <w:t xml:space="preserve"> / polyester et chanvre / ***</w:t>
      </w:r>
      <w:r>
        <w:t>.</w:t>
      </w:r>
    </w:p>
    <w:p w14:paraId="32552E7E" w14:textId="77777777" w:rsidR="00772179" w:rsidRDefault="00000000">
      <w:pPr>
        <w:ind w:left="567"/>
        <w:jc w:val="both"/>
      </w:pPr>
      <w:r>
        <w:rPr>
          <w:b/>
        </w:rPr>
        <w:t>(soit par défaut)</w:t>
      </w:r>
    </w:p>
    <w:p w14:paraId="08E57703" w14:textId="77777777" w:rsidR="00772179" w:rsidRDefault="00000000">
      <w:pPr>
        <w:ind w:left="567"/>
        <w:jc w:val="both"/>
      </w:pPr>
      <w:r>
        <w:rPr>
          <w:rStyle w:val="soitChar"/>
          <w:u w:val="single"/>
        </w:rPr>
        <w:t xml:space="preserve">Polyester : </w:t>
      </w:r>
    </w:p>
    <w:p w14:paraId="66135C65" w14:textId="77777777" w:rsidR="00772179" w:rsidRDefault="00000000">
      <w:pPr>
        <w:ind w:left="567"/>
        <w:jc w:val="both"/>
      </w:pPr>
      <w:r>
        <w:rPr>
          <w:rStyle w:val="soitChar"/>
        </w:rPr>
        <w:t>Toile microperforée perméable à l’air tissée à base de fils en polyester (HTP) à haute résistance à la traction et fixée à l’aide de PVC liquide rendant la toile pratiquement indéformable.</w:t>
      </w:r>
    </w:p>
    <w:p w14:paraId="0FCC7246" w14:textId="77777777" w:rsidR="00772179" w:rsidRDefault="00000000">
      <w:pPr>
        <w:pStyle w:val="Author-eListParagraph"/>
        <w:numPr>
          <w:ilvl w:val="0"/>
          <w:numId w:val="663"/>
        </w:numPr>
      </w:pPr>
      <w:r>
        <w:rPr>
          <w:rStyle w:val="soitChar"/>
        </w:rPr>
        <w:t>Poids ([NBN EN ISO 2286-2]) : ≥ à</w:t>
      </w:r>
      <w:r>
        <w:rPr>
          <w:rStyle w:val="optioncarChar"/>
        </w:rPr>
        <w:t xml:space="preserve"> 380</w:t>
      </w:r>
      <w:r>
        <w:t xml:space="preserve"> (par défaut)</w:t>
      </w:r>
      <w:r>
        <w:rPr>
          <w:rStyle w:val="optioncarChar"/>
        </w:rPr>
        <w:t xml:space="preserve"> / 420 / ***</w:t>
      </w:r>
      <w:r>
        <w:rPr>
          <w:rStyle w:val="soitChar"/>
        </w:rPr>
        <w:t xml:space="preserve"> g/m²</w:t>
      </w:r>
    </w:p>
    <w:p w14:paraId="3148AA44" w14:textId="77777777" w:rsidR="00772179" w:rsidRDefault="00000000">
      <w:pPr>
        <w:pStyle w:val="Author-eListParagraph"/>
        <w:numPr>
          <w:ilvl w:val="0"/>
          <w:numId w:val="663"/>
        </w:numPr>
      </w:pPr>
      <w:r>
        <w:rPr>
          <w:rStyle w:val="soitChar"/>
        </w:rPr>
        <w:t xml:space="preserve">Épaisseur ([NBN EN ISO 2286-3]) : ≥ à </w:t>
      </w:r>
      <w:r>
        <w:rPr>
          <w:rStyle w:val="optioncarChar"/>
        </w:rPr>
        <w:t xml:space="preserve">0,43 </w:t>
      </w:r>
      <w:r>
        <w:t xml:space="preserve">(par défaut) </w:t>
      </w:r>
      <w:r>
        <w:rPr>
          <w:rStyle w:val="optioncarChar"/>
        </w:rPr>
        <w:t>/ 0,45 / ***</w:t>
      </w:r>
      <w:r>
        <w:rPr>
          <w:rStyle w:val="soitChar"/>
        </w:rPr>
        <w:t xml:space="preserve"> mm.</w:t>
      </w:r>
    </w:p>
    <w:p w14:paraId="4BB8CD71" w14:textId="77777777" w:rsidR="00772179" w:rsidRDefault="00000000">
      <w:pPr>
        <w:pStyle w:val="Author-eListParagraph"/>
        <w:numPr>
          <w:ilvl w:val="0"/>
          <w:numId w:val="663"/>
        </w:numPr>
      </w:pPr>
      <w:r>
        <w:rPr>
          <w:rStyle w:val="soitChar"/>
        </w:rPr>
        <w:t xml:space="preserve">Classe de feu ([NBN EN 13501-1]) : </w:t>
      </w:r>
      <w:r>
        <w:rPr>
          <w:rStyle w:val="optioncarChar"/>
        </w:rPr>
        <w:t xml:space="preserve">B-s2.d0 </w:t>
      </w:r>
      <w:r>
        <w:t>(par défaut)</w:t>
      </w:r>
      <w:r>
        <w:rPr>
          <w:rStyle w:val="optioncarChar"/>
        </w:rPr>
        <w:t xml:space="preserve"> / ***</w:t>
      </w:r>
      <w:r>
        <w:rPr>
          <w:rStyle w:val="soitChar"/>
        </w:rPr>
        <w:t>.</w:t>
      </w:r>
    </w:p>
    <w:p w14:paraId="0BAE409F" w14:textId="77777777" w:rsidR="00772179" w:rsidRDefault="00000000">
      <w:pPr>
        <w:pStyle w:val="Author-eListParagraph"/>
        <w:numPr>
          <w:ilvl w:val="0"/>
          <w:numId w:val="663"/>
        </w:numPr>
      </w:pPr>
      <w:r>
        <w:rPr>
          <w:rStyle w:val="soitChar"/>
        </w:rPr>
        <w:lastRenderedPageBreak/>
        <w:t xml:space="preserve">FO / Facteur d'ouverture :  ≥ à </w:t>
      </w:r>
      <w:r>
        <w:rPr>
          <w:rStyle w:val="optioncarChar"/>
        </w:rPr>
        <w:t>14</w:t>
      </w:r>
      <w:r>
        <w:t xml:space="preserve"> (par défaut) </w:t>
      </w:r>
      <w:r>
        <w:rPr>
          <w:rStyle w:val="optioncarChar"/>
        </w:rPr>
        <w:t>/ 3 / ***</w:t>
      </w:r>
      <w:r>
        <w:rPr>
          <w:rStyle w:val="soitChar"/>
        </w:rPr>
        <w:t xml:space="preserve"> %.</w:t>
      </w:r>
    </w:p>
    <w:p w14:paraId="36F1BBB3" w14:textId="77777777" w:rsidR="00772179" w:rsidRDefault="00000000">
      <w:pPr>
        <w:pStyle w:val="Author-eListParagraph"/>
        <w:numPr>
          <w:ilvl w:val="0"/>
          <w:numId w:val="663"/>
        </w:numPr>
      </w:pPr>
      <w:r>
        <w:rPr>
          <w:rStyle w:val="soitChar"/>
        </w:rPr>
        <w:t xml:space="preserve">Résistance à la traction de la chaîne ([NBN EN ISO 1421]) : ≥ à </w:t>
      </w:r>
      <w:r>
        <w:rPr>
          <w:rStyle w:val="optioncarChar"/>
        </w:rPr>
        <w:t>230</w:t>
      </w:r>
      <w:r>
        <w:t xml:space="preserve"> (par défaut)</w:t>
      </w:r>
      <w:r>
        <w:rPr>
          <w:rStyle w:val="optioncarChar"/>
        </w:rPr>
        <w:t xml:space="preserve"> / 310 / ***</w:t>
      </w:r>
      <w:r>
        <w:rPr>
          <w:rStyle w:val="soitChar"/>
        </w:rPr>
        <w:t xml:space="preserve"> daN/5cm.</w:t>
      </w:r>
    </w:p>
    <w:p w14:paraId="72BA94BF" w14:textId="77777777" w:rsidR="00772179" w:rsidRDefault="00000000">
      <w:pPr>
        <w:pStyle w:val="Author-eListParagraph"/>
        <w:numPr>
          <w:ilvl w:val="0"/>
          <w:numId w:val="663"/>
        </w:numPr>
      </w:pPr>
      <w:r>
        <w:rPr>
          <w:rStyle w:val="soitChar"/>
        </w:rPr>
        <w:t xml:space="preserve">Résistance à la traction de la trame ([NBN EN ISO 1421]) : ≥ à </w:t>
      </w:r>
      <w:r>
        <w:rPr>
          <w:rStyle w:val="optioncarChar"/>
        </w:rPr>
        <w:t xml:space="preserve">160 </w:t>
      </w:r>
      <w:r>
        <w:t>(par défaut)</w:t>
      </w:r>
      <w:r>
        <w:rPr>
          <w:rStyle w:val="optioncarChar"/>
        </w:rPr>
        <w:t xml:space="preserve"> / 210 / ***</w:t>
      </w:r>
      <w:r>
        <w:rPr>
          <w:rStyle w:val="soitChar"/>
        </w:rPr>
        <w:t xml:space="preserve"> daN/5cm.</w:t>
      </w:r>
    </w:p>
    <w:p w14:paraId="7AE9519A" w14:textId="77777777" w:rsidR="00772179" w:rsidRDefault="00000000">
      <w:pPr>
        <w:pStyle w:val="Author-eListParagraph"/>
        <w:numPr>
          <w:ilvl w:val="0"/>
          <w:numId w:val="663"/>
        </w:numPr>
      </w:pPr>
      <w:r>
        <w:rPr>
          <w:rStyle w:val="soitChar"/>
        </w:rPr>
        <w:t xml:space="preserve">Résistance au vent ([NBN EN 13561]) : classe de vent </w:t>
      </w:r>
      <w:r>
        <w:rPr>
          <w:rStyle w:val="optioncarChar"/>
        </w:rPr>
        <w:t xml:space="preserve">1 - jusqu'à 50 km/h </w:t>
      </w:r>
      <w:r>
        <w:t>(par défaut)</w:t>
      </w:r>
      <w:r>
        <w:rPr>
          <w:rStyle w:val="optioncarChar"/>
        </w:rPr>
        <w:t xml:space="preserve"> / ***.</w:t>
      </w:r>
    </w:p>
    <w:p w14:paraId="63EC88A3" w14:textId="77777777" w:rsidR="00772179" w:rsidRDefault="00000000">
      <w:pPr>
        <w:ind w:left="567"/>
        <w:jc w:val="both"/>
      </w:pPr>
      <w:r>
        <w:rPr>
          <w:b/>
        </w:rPr>
        <w:t>(soit)</w:t>
      </w:r>
    </w:p>
    <w:p w14:paraId="0442D39F" w14:textId="77777777" w:rsidR="00772179" w:rsidRDefault="00000000">
      <w:pPr>
        <w:ind w:left="567"/>
        <w:jc w:val="both"/>
      </w:pPr>
      <w:r>
        <w:rPr>
          <w:rStyle w:val="soitChar"/>
          <w:u w:val="single"/>
        </w:rPr>
        <w:t xml:space="preserve">Polyester et chanvre : </w:t>
      </w:r>
    </w:p>
    <w:p w14:paraId="12BD3EA6" w14:textId="77777777" w:rsidR="00772179" w:rsidRDefault="00000000">
      <w:pPr>
        <w:ind w:left="567"/>
        <w:jc w:val="both"/>
      </w:pPr>
      <w:r>
        <w:rPr>
          <w:rStyle w:val="soitChar"/>
        </w:rPr>
        <w:t>Toile microperforée perméable à l’air tissée à base d’un mélange de fils en polyester (HTP) à haute résistance à la traction et de chanvre. L’ensemble est fixé à l’aide de PVC liquide rendant la toile pratiquement indéformable et infroissable.</w:t>
      </w:r>
    </w:p>
    <w:p w14:paraId="01192F84" w14:textId="77777777" w:rsidR="00772179" w:rsidRDefault="00000000">
      <w:pPr>
        <w:pStyle w:val="Author-eListParagraph"/>
        <w:numPr>
          <w:ilvl w:val="0"/>
          <w:numId w:val="664"/>
        </w:numPr>
      </w:pPr>
      <w:r>
        <w:rPr>
          <w:rStyle w:val="soitChar"/>
        </w:rPr>
        <w:t xml:space="preserve">Poids ([NBN EN ISO 2286-2]) : ≥ à </w:t>
      </w:r>
      <w:r>
        <w:rPr>
          <w:rStyle w:val="optioncarChar"/>
        </w:rPr>
        <w:t xml:space="preserve">600 </w:t>
      </w:r>
      <w:r>
        <w:t>(par défaut)</w:t>
      </w:r>
      <w:r>
        <w:rPr>
          <w:rStyle w:val="optioncarChar"/>
        </w:rPr>
        <w:t xml:space="preserve"> / ***</w:t>
      </w:r>
      <w:r>
        <w:rPr>
          <w:rStyle w:val="soitChar"/>
        </w:rPr>
        <w:t xml:space="preserve"> g/m²</w:t>
      </w:r>
    </w:p>
    <w:p w14:paraId="3E4079D3" w14:textId="77777777" w:rsidR="00772179" w:rsidRDefault="00000000">
      <w:pPr>
        <w:pStyle w:val="Author-eListParagraph"/>
        <w:numPr>
          <w:ilvl w:val="0"/>
          <w:numId w:val="664"/>
        </w:numPr>
      </w:pPr>
      <w:r>
        <w:rPr>
          <w:rStyle w:val="soitChar"/>
        </w:rPr>
        <w:t xml:space="preserve">Épaisseur ([NBN EN ISO 2286-3]) : ≥ à </w:t>
      </w:r>
      <w:r>
        <w:rPr>
          <w:rStyle w:val="optioncarChar"/>
        </w:rPr>
        <w:t xml:space="preserve">0,90 </w:t>
      </w:r>
      <w:r>
        <w:t>(par défaut)</w:t>
      </w:r>
      <w:r>
        <w:rPr>
          <w:rStyle w:val="optioncarChar"/>
        </w:rPr>
        <w:t xml:space="preserve"> / ***</w:t>
      </w:r>
      <w:r>
        <w:rPr>
          <w:rStyle w:val="soitChar"/>
        </w:rPr>
        <w:t xml:space="preserve"> mm.</w:t>
      </w:r>
    </w:p>
    <w:p w14:paraId="4A8E6733" w14:textId="77777777" w:rsidR="00772179" w:rsidRDefault="00000000">
      <w:pPr>
        <w:pStyle w:val="Author-eListParagraph"/>
        <w:numPr>
          <w:ilvl w:val="0"/>
          <w:numId w:val="664"/>
        </w:numPr>
      </w:pPr>
      <w:r>
        <w:rPr>
          <w:rStyle w:val="soitChar"/>
        </w:rPr>
        <w:t xml:space="preserve">Classe de feu ([NBN EN 13501-1]) : </w:t>
      </w:r>
      <w:r>
        <w:rPr>
          <w:rStyle w:val="optioncarChar"/>
        </w:rPr>
        <w:t xml:space="preserve">B-s2.d0 </w:t>
      </w:r>
      <w:r>
        <w:t>(par défaut)</w:t>
      </w:r>
      <w:r>
        <w:rPr>
          <w:rStyle w:val="optioncarChar"/>
        </w:rPr>
        <w:t xml:space="preserve"> / ***</w:t>
      </w:r>
      <w:r>
        <w:rPr>
          <w:rStyle w:val="soitChar"/>
        </w:rPr>
        <w:t>.</w:t>
      </w:r>
    </w:p>
    <w:p w14:paraId="5419E2C6" w14:textId="77777777" w:rsidR="00772179" w:rsidRDefault="00000000">
      <w:pPr>
        <w:pStyle w:val="Author-eListParagraph"/>
        <w:numPr>
          <w:ilvl w:val="0"/>
          <w:numId w:val="664"/>
        </w:numPr>
      </w:pPr>
      <w:r>
        <w:rPr>
          <w:rStyle w:val="soitChar"/>
        </w:rPr>
        <w:t xml:space="preserve">FO / Facteur d'ouverture :  ≥ à </w:t>
      </w:r>
      <w:r>
        <w:rPr>
          <w:rStyle w:val="optioncarChar"/>
        </w:rPr>
        <w:t>3</w:t>
      </w:r>
      <w:r>
        <w:t xml:space="preserve"> (par défaut) </w:t>
      </w:r>
      <w:r>
        <w:rPr>
          <w:rStyle w:val="optioncarChar"/>
        </w:rPr>
        <w:t>/ ***</w:t>
      </w:r>
      <w:r>
        <w:rPr>
          <w:rStyle w:val="soitChar"/>
        </w:rPr>
        <w:t xml:space="preserve"> %.</w:t>
      </w:r>
    </w:p>
    <w:p w14:paraId="001D9835" w14:textId="77777777" w:rsidR="00772179" w:rsidRDefault="00000000">
      <w:pPr>
        <w:pStyle w:val="Author-eListParagraph"/>
        <w:numPr>
          <w:ilvl w:val="0"/>
          <w:numId w:val="664"/>
        </w:numPr>
      </w:pPr>
      <w:r>
        <w:rPr>
          <w:rStyle w:val="soitChar"/>
        </w:rPr>
        <w:t xml:space="preserve">Résistance à la traction de la chaîne ([NBN EN ISO 1421]) : ≥ à </w:t>
      </w:r>
      <w:r>
        <w:rPr>
          <w:rStyle w:val="optioncarChar"/>
        </w:rPr>
        <w:t xml:space="preserve">260 </w:t>
      </w:r>
      <w:r>
        <w:t xml:space="preserve">(par défaut) </w:t>
      </w:r>
      <w:r>
        <w:rPr>
          <w:rStyle w:val="optioncarChar"/>
        </w:rPr>
        <w:t>/ ***</w:t>
      </w:r>
      <w:r>
        <w:rPr>
          <w:rStyle w:val="soitChar"/>
        </w:rPr>
        <w:t xml:space="preserve"> daN/5cm.</w:t>
      </w:r>
    </w:p>
    <w:p w14:paraId="0A64C74E" w14:textId="77777777" w:rsidR="00772179" w:rsidRDefault="00000000">
      <w:pPr>
        <w:pStyle w:val="Author-eListParagraph"/>
        <w:numPr>
          <w:ilvl w:val="0"/>
          <w:numId w:val="664"/>
        </w:numPr>
      </w:pPr>
      <w:r>
        <w:rPr>
          <w:rStyle w:val="soitChar"/>
        </w:rPr>
        <w:t xml:space="preserve">Résistance à la traction de la trame ([NBN EN ISO 1421]) : ≥ à </w:t>
      </w:r>
      <w:r>
        <w:rPr>
          <w:rStyle w:val="optioncarChar"/>
        </w:rPr>
        <w:t xml:space="preserve">225 </w:t>
      </w:r>
      <w:r>
        <w:t>(par défaut)</w:t>
      </w:r>
      <w:r>
        <w:rPr>
          <w:rStyle w:val="optioncarChar"/>
        </w:rPr>
        <w:t xml:space="preserve"> / ***</w:t>
      </w:r>
      <w:r>
        <w:rPr>
          <w:rStyle w:val="soitChar"/>
        </w:rPr>
        <w:t xml:space="preserve"> daN/5cm.</w:t>
      </w:r>
    </w:p>
    <w:p w14:paraId="573EA898" w14:textId="77777777" w:rsidR="00772179" w:rsidRDefault="00000000">
      <w:pPr>
        <w:ind w:left="567"/>
        <w:jc w:val="both"/>
      </w:pPr>
      <w:r>
        <w:rPr>
          <w:b/>
        </w:rPr>
        <w:t>(soit)</w:t>
      </w:r>
    </w:p>
    <w:p w14:paraId="19D6AC59" w14:textId="77777777" w:rsidR="00772179" w:rsidRDefault="00000000">
      <w:pPr>
        <w:ind w:left="567"/>
        <w:jc w:val="both"/>
      </w:pPr>
      <w:r>
        <w:rPr>
          <w:rStyle w:val="optioncarChar"/>
        </w:rPr>
        <w:t>***</w:t>
      </w:r>
    </w:p>
    <w:p w14:paraId="5B9E946B" w14:textId="77777777" w:rsidR="00772179" w:rsidRDefault="00000000">
      <w:pPr>
        <w:jc w:val="both"/>
      </w:pPr>
      <w:r>
        <w:rPr>
          <w:b/>
        </w:rPr>
        <w:t>Dispositif de manœuvre de la toile</w:t>
      </w:r>
    </w:p>
    <w:p w14:paraId="6DB0AEA6" w14:textId="77777777" w:rsidR="00772179" w:rsidRDefault="00000000">
      <w:pPr>
        <w:jc w:val="both"/>
      </w:pPr>
      <w:r>
        <w:rPr>
          <w:rStyle w:val="optioncarChar"/>
        </w:rPr>
        <w:t xml:space="preserve">Motorisé </w:t>
      </w:r>
      <w:r>
        <w:t xml:space="preserve">(par défaut) </w:t>
      </w:r>
      <w:r>
        <w:rPr>
          <w:rStyle w:val="optioncarChar"/>
        </w:rPr>
        <w:t>/ Manuel.</w:t>
      </w:r>
    </w:p>
    <w:p w14:paraId="2E291815" w14:textId="77777777" w:rsidR="00772179" w:rsidRDefault="00000000">
      <w:pPr>
        <w:jc w:val="both"/>
      </w:pPr>
      <w:r>
        <w:rPr>
          <w:b/>
        </w:rPr>
        <w:t>(soit par défaut)</w:t>
      </w:r>
    </w:p>
    <w:p w14:paraId="798DA82E" w14:textId="77777777" w:rsidR="00772179" w:rsidRDefault="00000000">
      <w:pPr>
        <w:jc w:val="both"/>
      </w:pPr>
      <w:r>
        <w:rPr>
          <w:rStyle w:val="soitChar"/>
          <w:u w:val="single"/>
        </w:rPr>
        <w:t>Motorisé :</w:t>
      </w:r>
      <w:r>
        <w:rPr>
          <w:rStyle w:val="soitChar"/>
        </w:rPr>
        <w:t> Les moteurs électriques sont conformes à la [NBN EN 60335-2-97] et répondent aux exigences de sécurité d’utilisation, de vitesse d’entrainement et de compatibilité électromagnétique.</w:t>
      </w:r>
    </w:p>
    <w:p w14:paraId="4A79E2A6" w14:textId="77777777" w:rsidR="00772179" w:rsidRDefault="00000000">
      <w:pPr>
        <w:jc w:val="both"/>
      </w:pPr>
      <w:r>
        <w:rPr>
          <w:rStyle w:val="soitChar"/>
        </w:rPr>
        <w:t xml:space="preserve">Transmission électrique par l’intermédiaire d’un moteur couplé au tube d’enroulement. La puissance du moteur est adaptée selon la grandeur des toiles afin de respecter les exigences de sécurité et d’endurance. La motorisation est toujours asservie à un capteur de vent repliant la toile lorsque sa vitesse atteint </w:t>
      </w:r>
      <w:r>
        <w:rPr>
          <w:rStyle w:val="optioncarChar"/>
        </w:rPr>
        <w:t xml:space="preserve">50 </w:t>
      </w:r>
      <w:r>
        <w:t>(par défaut)</w:t>
      </w:r>
      <w:r>
        <w:rPr>
          <w:rStyle w:val="optioncarChar"/>
        </w:rPr>
        <w:t xml:space="preserve"> / ***</w:t>
      </w:r>
      <w:r>
        <w:rPr>
          <w:rStyle w:val="soitChar"/>
        </w:rPr>
        <w:t xml:space="preserve"> km/h.</w:t>
      </w:r>
    </w:p>
    <w:p w14:paraId="40F8D08C" w14:textId="77777777" w:rsidR="00772179" w:rsidRDefault="00000000">
      <w:pPr>
        <w:pStyle w:val="Author-eListParagraph"/>
        <w:numPr>
          <w:ilvl w:val="0"/>
          <w:numId w:val="665"/>
        </w:numPr>
      </w:pPr>
      <w:r>
        <w:rPr>
          <w:rStyle w:val="soitChar"/>
        </w:rPr>
        <w:t xml:space="preserve">Type : </w:t>
      </w:r>
      <w:r>
        <w:rPr>
          <w:rStyle w:val="optioncarChar"/>
        </w:rPr>
        <w:t>à vitesse constante</w:t>
      </w:r>
      <w:r>
        <w:t xml:space="preserve"> (par défaut)</w:t>
      </w:r>
      <w:r>
        <w:rPr>
          <w:rStyle w:val="optioncarChar"/>
        </w:rPr>
        <w:t xml:space="preserve"> / ***</w:t>
      </w:r>
      <w:r>
        <w:rPr>
          <w:rStyle w:val="soitChar"/>
        </w:rPr>
        <w:t>.</w:t>
      </w:r>
    </w:p>
    <w:p w14:paraId="24656753" w14:textId="77777777" w:rsidR="00772179" w:rsidRDefault="00000000">
      <w:pPr>
        <w:pStyle w:val="Author-eListParagraph"/>
        <w:numPr>
          <w:ilvl w:val="0"/>
          <w:numId w:val="665"/>
        </w:numPr>
      </w:pPr>
      <w:r>
        <w:rPr>
          <w:rStyle w:val="soitChar"/>
        </w:rPr>
        <w:t xml:space="preserve">Commande : </w:t>
      </w:r>
      <w:r>
        <w:rPr>
          <w:rStyle w:val="optioncarChar"/>
        </w:rPr>
        <w:t xml:space="preserve">par commande à bouton </w:t>
      </w:r>
      <w:r>
        <w:t>(par défaut)</w:t>
      </w:r>
      <w:r>
        <w:rPr>
          <w:rStyle w:val="optioncarChar"/>
        </w:rPr>
        <w:t xml:space="preserve"> / par télécommande / par commande couplée avec des détecteurs de luminosité décrits et comptés à l’article *** / ***</w:t>
      </w:r>
      <w:r>
        <w:rPr>
          <w:rStyle w:val="soitChar"/>
        </w:rPr>
        <w:t>.</w:t>
      </w:r>
    </w:p>
    <w:p w14:paraId="6139942C" w14:textId="77777777" w:rsidR="00772179" w:rsidRDefault="00000000">
      <w:pPr>
        <w:pStyle w:val="Author-eListParagraph"/>
        <w:numPr>
          <w:ilvl w:val="0"/>
          <w:numId w:val="665"/>
        </w:numPr>
      </w:pPr>
      <w:r>
        <w:rPr>
          <w:rStyle w:val="soitChar"/>
        </w:rPr>
        <w:t xml:space="preserve">Degré de protection : IP </w:t>
      </w:r>
      <w:r>
        <w:rPr>
          <w:rStyle w:val="optioncarChar"/>
        </w:rPr>
        <w:t xml:space="preserve">55 </w:t>
      </w:r>
      <w:r>
        <w:t>(par défaut)</w:t>
      </w:r>
      <w:r>
        <w:rPr>
          <w:rStyle w:val="optioncarChar"/>
        </w:rPr>
        <w:t xml:space="preserve"> / ***</w:t>
      </w:r>
      <w:r>
        <w:rPr>
          <w:rStyle w:val="soitChar"/>
        </w:rPr>
        <w:t>.</w:t>
      </w:r>
    </w:p>
    <w:p w14:paraId="78F63E96" w14:textId="77777777" w:rsidR="00772179" w:rsidRDefault="00000000">
      <w:pPr>
        <w:pStyle w:val="Author-eListParagraph"/>
        <w:numPr>
          <w:ilvl w:val="0"/>
          <w:numId w:val="665"/>
        </w:numPr>
      </w:pPr>
      <w:r>
        <w:rPr>
          <w:rStyle w:val="soitChar"/>
        </w:rPr>
        <w:t>T° de fonctionnement : de - 20 °C à + 50 °C.</w:t>
      </w:r>
    </w:p>
    <w:p w14:paraId="19CC0232" w14:textId="77777777" w:rsidR="00772179" w:rsidRDefault="00000000">
      <w:pPr>
        <w:pStyle w:val="Author-eListParagraph"/>
        <w:numPr>
          <w:ilvl w:val="0"/>
          <w:numId w:val="665"/>
        </w:numPr>
      </w:pPr>
      <w:r>
        <w:rPr>
          <w:rStyle w:val="soitChar"/>
        </w:rPr>
        <w:t>Service : ne nécessitant aucun entretien.</w:t>
      </w:r>
    </w:p>
    <w:p w14:paraId="427CFBD3" w14:textId="77777777" w:rsidR="00772179" w:rsidRDefault="00000000">
      <w:pPr>
        <w:pStyle w:val="Author-eListParagraph"/>
        <w:numPr>
          <w:ilvl w:val="0"/>
          <w:numId w:val="665"/>
        </w:numPr>
      </w:pPr>
      <w:r>
        <w:rPr>
          <w:rStyle w:val="soitChar"/>
        </w:rPr>
        <w:t xml:space="preserve">Garantie : </w:t>
      </w:r>
      <w:r>
        <w:rPr>
          <w:rStyle w:val="optioncarChar"/>
        </w:rPr>
        <w:t xml:space="preserve">2 </w:t>
      </w:r>
      <w:r>
        <w:t>(par défaut)</w:t>
      </w:r>
      <w:r>
        <w:rPr>
          <w:rStyle w:val="optioncarChar"/>
        </w:rPr>
        <w:t> / ***</w:t>
      </w:r>
      <w:r>
        <w:rPr>
          <w:rStyle w:val="soitChar"/>
        </w:rPr>
        <w:t xml:space="preserve"> ans.</w:t>
      </w:r>
    </w:p>
    <w:p w14:paraId="4FD5A851" w14:textId="77777777" w:rsidR="00772179" w:rsidRDefault="00000000">
      <w:pPr>
        <w:pStyle w:val="Author-eListParagraph"/>
        <w:numPr>
          <w:ilvl w:val="0"/>
          <w:numId w:val="665"/>
        </w:numPr>
      </w:pPr>
      <w:r>
        <w:rPr>
          <w:rStyle w:val="soitChar"/>
        </w:rPr>
        <w:t xml:space="preserve">Attestation des cycles de test : ≥ à </w:t>
      </w:r>
      <w:r>
        <w:rPr>
          <w:rStyle w:val="optioncarChar"/>
        </w:rPr>
        <w:t>100000</w:t>
      </w:r>
      <w:r>
        <w:t xml:space="preserve"> (par défaut) </w:t>
      </w:r>
      <w:r>
        <w:rPr>
          <w:rStyle w:val="optioncarChar"/>
        </w:rPr>
        <w:t>/ ***</w:t>
      </w:r>
      <w:r>
        <w:rPr>
          <w:rStyle w:val="soitChar"/>
        </w:rPr>
        <w:t>.</w:t>
      </w:r>
    </w:p>
    <w:p w14:paraId="52A6FD06" w14:textId="77777777" w:rsidR="00772179" w:rsidRDefault="00000000">
      <w:pPr>
        <w:jc w:val="both"/>
      </w:pPr>
      <w:r>
        <w:rPr>
          <w:b/>
        </w:rPr>
        <w:t>(soit)</w:t>
      </w:r>
    </w:p>
    <w:p w14:paraId="6B45A199" w14:textId="77777777" w:rsidR="00772179" w:rsidRDefault="00000000">
      <w:pPr>
        <w:jc w:val="both"/>
      </w:pPr>
      <w:r>
        <w:rPr>
          <w:rStyle w:val="soitChar"/>
          <w:u w:val="single"/>
        </w:rPr>
        <w:t>Manuel :</w:t>
      </w:r>
      <w:r>
        <w:rPr>
          <w:rStyle w:val="soitChar"/>
        </w:rPr>
        <w:t xml:space="preserve"> par l’intermédiaire d’une barre de transmission intérieure.</w:t>
      </w:r>
    </w:p>
    <w:p w14:paraId="6955634A" w14:textId="77777777" w:rsidR="00772179" w:rsidRDefault="00000000">
      <w:pPr>
        <w:jc w:val="both"/>
      </w:pPr>
      <w:r>
        <w:rPr>
          <w:b/>
        </w:rPr>
        <w:t>Aspects environnementaux </w:t>
      </w:r>
    </w:p>
    <w:p w14:paraId="0BCEFFB4" w14:textId="77777777" w:rsidR="00772179" w:rsidRDefault="00000000">
      <w:pPr>
        <w:pStyle w:val="Author-eListParagraph"/>
        <w:numPr>
          <w:ilvl w:val="0"/>
          <w:numId w:val="666"/>
        </w:numPr>
        <w:jc w:val="both"/>
      </w:pPr>
      <w:r>
        <w:t xml:space="preserve">Matériaux disposant d’un label suivant prescriptions du 02.42.6 Labels environnementaux : </w:t>
      </w:r>
      <w:r>
        <w:rPr>
          <w:rStyle w:val="optioncarChar"/>
        </w:rPr>
        <w:t>oui/ non </w:t>
      </w:r>
    </w:p>
    <w:p w14:paraId="1F344C7F" w14:textId="77777777" w:rsidR="00772179" w:rsidRDefault="00000000">
      <w:pPr>
        <w:pStyle w:val="Author-eListParagraph"/>
        <w:numPr>
          <w:ilvl w:val="0"/>
          <w:numId w:val="666"/>
        </w:numPr>
        <w:jc w:val="both"/>
      </w:pPr>
      <w:r>
        <w:t xml:space="preserve">Matériaux recyclés entrant dans la fabrication du produit : </w:t>
      </w:r>
      <w:r>
        <w:rPr>
          <w:rStyle w:val="optioncarChar"/>
        </w:rPr>
        <w:t>oui / non </w:t>
      </w:r>
    </w:p>
    <w:p w14:paraId="34676F24" w14:textId="77777777" w:rsidR="00772179" w:rsidRDefault="00000000">
      <w:pPr>
        <w:pStyle w:val="pheading"/>
      </w:pPr>
      <w:r>
        <w:t>- Finitions</w:t>
      </w:r>
    </w:p>
    <w:p w14:paraId="7F1F8B18" w14:textId="77777777" w:rsidR="00772179" w:rsidRDefault="00000000">
      <w:pPr>
        <w:jc w:val="both"/>
      </w:pPr>
      <w:r>
        <w:rPr>
          <w:b/>
        </w:rPr>
        <w:t>Coffre, coulisses latérales et barre de charge</w:t>
      </w:r>
    </w:p>
    <w:p w14:paraId="782821CF" w14:textId="77777777" w:rsidR="00772179" w:rsidRDefault="00000000">
      <w:pPr>
        <w:jc w:val="both"/>
      </w:pPr>
      <w:r>
        <w:rPr>
          <w:rStyle w:val="optioncarChar"/>
        </w:rPr>
        <w:t>Anodisé</w:t>
      </w:r>
      <w:r>
        <w:t xml:space="preserve"> (par défaut) </w:t>
      </w:r>
      <w:r>
        <w:rPr>
          <w:rStyle w:val="optioncarChar"/>
        </w:rPr>
        <w:t>/ Thermolaqué par poudrage polyester / ***</w:t>
      </w:r>
      <w:r>
        <w:t>.</w:t>
      </w:r>
    </w:p>
    <w:p w14:paraId="36A5F969" w14:textId="77777777" w:rsidR="00772179" w:rsidRDefault="00000000">
      <w:pPr>
        <w:jc w:val="both"/>
      </w:pPr>
      <w:r>
        <w:rPr>
          <w:b/>
        </w:rPr>
        <w:lastRenderedPageBreak/>
        <w:t>(soit par défaut)</w:t>
      </w:r>
    </w:p>
    <w:p w14:paraId="185E0AB0" w14:textId="77777777" w:rsidR="00772179" w:rsidRDefault="00000000">
      <w:pPr>
        <w:jc w:val="both"/>
      </w:pPr>
      <w:r>
        <w:rPr>
          <w:rStyle w:val="soitChar"/>
          <w:u w:val="single"/>
        </w:rPr>
        <w:t>Anodisé :</w:t>
      </w:r>
      <w:r>
        <w:rPr>
          <w:rStyle w:val="soitChar"/>
        </w:rPr>
        <w:t xml:space="preserve"> selon [Qualanod] épaisseur ≥ 18 μm</w:t>
      </w:r>
    </w:p>
    <w:p w14:paraId="6ACCB7BC" w14:textId="77777777" w:rsidR="00772179" w:rsidRDefault="00000000">
      <w:pPr>
        <w:pStyle w:val="Author-eListParagraph"/>
        <w:numPr>
          <w:ilvl w:val="0"/>
          <w:numId w:val="667"/>
        </w:numPr>
      </w:pPr>
      <w:r>
        <w:rPr>
          <w:rStyle w:val="soitChar"/>
        </w:rPr>
        <w:t xml:space="preserve">Couleur : </w:t>
      </w:r>
      <w:r>
        <w:rPr>
          <w:rStyle w:val="optioncarChar"/>
        </w:rPr>
        <w:t xml:space="preserve">naturelle </w:t>
      </w:r>
      <w:r>
        <w:t xml:space="preserve">(par défaut) </w:t>
      </w:r>
      <w:r>
        <w:rPr>
          <w:rStyle w:val="optioncarChar"/>
        </w:rPr>
        <w:t>/ ***.</w:t>
      </w:r>
    </w:p>
    <w:p w14:paraId="4AB1912C" w14:textId="77777777" w:rsidR="00772179" w:rsidRDefault="00000000">
      <w:pPr>
        <w:pStyle w:val="Author-eListParagraph"/>
        <w:numPr>
          <w:ilvl w:val="0"/>
          <w:numId w:val="667"/>
        </w:numPr>
      </w:pPr>
      <w:r>
        <w:rPr>
          <w:rStyle w:val="soitChar"/>
        </w:rPr>
        <w:t>Finition :</w:t>
      </w:r>
      <w:r>
        <w:rPr>
          <w:rStyle w:val="optioncarChar"/>
        </w:rPr>
        <w:t xml:space="preserve"> mate</w:t>
      </w:r>
      <w:r>
        <w:t xml:space="preserve"> (par défaut) </w:t>
      </w:r>
      <w:r>
        <w:rPr>
          <w:rStyle w:val="optioncarChar"/>
        </w:rPr>
        <w:t>/ ***</w:t>
      </w:r>
      <w:r>
        <w:rPr>
          <w:rStyle w:val="soitChar"/>
        </w:rPr>
        <w:t>.</w:t>
      </w:r>
    </w:p>
    <w:p w14:paraId="191B11CA" w14:textId="77777777" w:rsidR="00772179" w:rsidRDefault="00000000">
      <w:pPr>
        <w:jc w:val="both"/>
      </w:pPr>
      <w:r>
        <w:rPr>
          <w:b/>
        </w:rPr>
        <w:t>(soit)</w:t>
      </w:r>
    </w:p>
    <w:p w14:paraId="3E862CD4" w14:textId="77777777" w:rsidR="00772179" w:rsidRDefault="00000000">
      <w:pPr>
        <w:jc w:val="both"/>
      </w:pPr>
      <w:r>
        <w:rPr>
          <w:rStyle w:val="soitChar"/>
          <w:u w:val="single"/>
        </w:rPr>
        <w:t>Thermolaqué par poudrage polyester :</w:t>
      </w:r>
      <w:r>
        <w:rPr>
          <w:rStyle w:val="soitChar"/>
        </w:rPr>
        <w:t xml:space="preserve"> selon [Qualicoat] épaisseur ≥ 60 μm</w:t>
      </w:r>
    </w:p>
    <w:p w14:paraId="3C728E91" w14:textId="77777777" w:rsidR="00772179" w:rsidRDefault="00000000">
      <w:pPr>
        <w:pStyle w:val="Author-eListParagraph"/>
        <w:numPr>
          <w:ilvl w:val="0"/>
          <w:numId w:val="668"/>
        </w:numPr>
      </w:pPr>
      <w:r>
        <w:rPr>
          <w:rStyle w:val="soitChar"/>
        </w:rPr>
        <w:t xml:space="preserve">Couleur : RAL n° </w:t>
      </w:r>
      <w:r>
        <w:rPr>
          <w:rStyle w:val="optioncarChar"/>
        </w:rPr>
        <w:t>***</w:t>
      </w:r>
    </w:p>
    <w:p w14:paraId="11D42A71" w14:textId="77777777" w:rsidR="00772179" w:rsidRDefault="00000000">
      <w:pPr>
        <w:pStyle w:val="Author-eListParagraph"/>
        <w:numPr>
          <w:ilvl w:val="0"/>
          <w:numId w:val="668"/>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136CFBC2" w14:textId="77777777" w:rsidR="00772179" w:rsidRDefault="00000000">
      <w:pPr>
        <w:jc w:val="both"/>
      </w:pPr>
      <w:r>
        <w:rPr>
          <w:b/>
        </w:rPr>
        <w:t>(soit)</w:t>
      </w:r>
    </w:p>
    <w:p w14:paraId="5702F89F" w14:textId="77777777" w:rsidR="00772179" w:rsidRDefault="00000000">
      <w:pPr>
        <w:jc w:val="both"/>
      </w:pPr>
      <w:r>
        <w:rPr>
          <w:rStyle w:val="optioncarChar"/>
        </w:rPr>
        <w:t>***</w:t>
      </w:r>
    </w:p>
    <w:p w14:paraId="2808DFFA" w14:textId="77777777" w:rsidR="00772179" w:rsidRDefault="00000000">
      <w:pPr>
        <w:jc w:val="both"/>
      </w:pPr>
      <w:r>
        <w:rPr>
          <w:b/>
        </w:rPr>
        <w:t>Toile solaire</w:t>
      </w:r>
    </w:p>
    <w:p w14:paraId="77854917" w14:textId="77777777" w:rsidR="00772179" w:rsidRDefault="00000000">
      <w:pPr>
        <w:pStyle w:val="Author-eListParagraph"/>
        <w:numPr>
          <w:ilvl w:val="0"/>
          <w:numId w:val="669"/>
        </w:numPr>
      </w:pPr>
      <w:r>
        <w:t xml:space="preserve">Couleur de la toile : à choisir librement dans la gamme du fabricant parmi un choix de </w:t>
      </w:r>
      <w:r>
        <w:rPr>
          <w:rStyle w:val="optioncarChar"/>
        </w:rPr>
        <w:t>20</w:t>
      </w:r>
      <w:r>
        <w:t xml:space="preserve"> (par défaut)</w:t>
      </w:r>
      <w:r>
        <w:rPr>
          <w:rStyle w:val="optioncarChar"/>
        </w:rPr>
        <w:t xml:space="preserve"> / ***</w:t>
      </w:r>
      <w:r>
        <w:t xml:space="preserve"> coloris.</w:t>
      </w:r>
    </w:p>
    <w:p w14:paraId="4F51FE4D" w14:textId="77777777" w:rsidR="00772179" w:rsidRDefault="00000000">
      <w:pPr>
        <w:pStyle w:val="Author-eListParagraph"/>
        <w:numPr>
          <w:ilvl w:val="0"/>
          <w:numId w:val="669"/>
        </w:numPr>
      </w:pPr>
      <w:r>
        <w:t xml:space="preserve">Décor : </w:t>
      </w:r>
      <w:r>
        <w:rPr>
          <w:rStyle w:val="optioncarChar"/>
        </w:rPr>
        <w:t xml:space="preserve">teinte unie </w:t>
      </w:r>
      <w:r>
        <w:t>(par défaut)</w:t>
      </w:r>
      <w:r>
        <w:rPr>
          <w:rStyle w:val="optioncarChar"/>
        </w:rPr>
        <w:t xml:space="preserve"> / à rayures / à motifs / ***</w:t>
      </w:r>
      <w:r>
        <w:t>.</w:t>
      </w:r>
    </w:p>
    <w:p w14:paraId="1795AF0F" w14:textId="77777777" w:rsidR="00772179" w:rsidRDefault="00000000">
      <w:pPr>
        <w:jc w:val="both"/>
      </w:pPr>
      <w:r>
        <w:t>Les toiles sont hydrofuges, imputrescibles et résistantes aux moisissures, mais aussi perméables à l’air ainsi que résistantes aux UV, aux intempéries et à la saleté.</w:t>
      </w:r>
    </w:p>
    <w:p w14:paraId="6469992E" w14:textId="77777777" w:rsidR="00772179" w:rsidRDefault="00000000">
      <w:pPr>
        <w:jc w:val="both"/>
      </w:pPr>
      <w:r>
        <w:t xml:space="preserve">La garantie du fabricant est de </w:t>
      </w:r>
      <w:r>
        <w:rPr>
          <w:rStyle w:val="optioncarChar"/>
        </w:rPr>
        <w:t xml:space="preserve">5 </w:t>
      </w:r>
      <w:r>
        <w:t xml:space="preserve">(par défaut) </w:t>
      </w:r>
      <w:r>
        <w:rPr>
          <w:rStyle w:val="optioncarChar"/>
        </w:rPr>
        <w:t>/ ***</w:t>
      </w:r>
      <w:r>
        <w:t xml:space="preserve"> ans.</w:t>
      </w:r>
    </w:p>
    <w:p w14:paraId="42266588" w14:textId="77777777" w:rsidR="00772179" w:rsidRDefault="00000000">
      <w:pPr>
        <w:pStyle w:val="pheading"/>
      </w:pPr>
      <w:r>
        <w:t>EXÉCUTION / MISE EN ŒUVRE</w:t>
      </w:r>
    </w:p>
    <w:p w14:paraId="5611FADB" w14:textId="77777777" w:rsidR="00772179" w:rsidRDefault="00000000">
      <w:pPr>
        <w:pStyle w:val="pheading"/>
      </w:pPr>
      <w:r>
        <w:t>- Échantillons</w:t>
      </w:r>
    </w:p>
    <w:p w14:paraId="0AD18558" w14:textId="77777777" w:rsidR="00772179" w:rsidRDefault="00000000">
      <w:pPr>
        <w:jc w:val="both"/>
      </w:pPr>
      <w:r>
        <w:t>L’entrepreneur soumet un échantillon du système et de la toile qu’il propose à l’approbation de la direction du chantier.</w:t>
      </w:r>
    </w:p>
    <w:p w14:paraId="22F53605" w14:textId="77777777" w:rsidR="00772179" w:rsidRDefault="00000000">
      <w:pPr>
        <w:pStyle w:val="pheading"/>
      </w:pPr>
      <w:r>
        <w:t>MESURAGE</w:t>
      </w:r>
    </w:p>
    <w:p w14:paraId="3426285F" w14:textId="77777777" w:rsidR="00772179" w:rsidRDefault="00000000">
      <w:pPr>
        <w:pStyle w:val="pheading"/>
      </w:pPr>
      <w:r>
        <w:t>- unité de mesure:</w:t>
      </w:r>
    </w:p>
    <w:p w14:paraId="36E79416" w14:textId="77777777" w:rsidR="00772179" w:rsidRDefault="00000000">
      <w:r>
        <w:t>m²</w:t>
      </w:r>
    </w:p>
    <w:p w14:paraId="6D28E615" w14:textId="77777777" w:rsidR="00772179" w:rsidRDefault="00000000">
      <w:pPr>
        <w:pStyle w:val="pheading"/>
      </w:pPr>
      <w:r>
        <w:t>- code de mesurage:</w:t>
      </w:r>
    </w:p>
    <w:p w14:paraId="550FA884" w14:textId="77777777" w:rsidR="00772179" w:rsidRDefault="00000000">
      <w:pPr>
        <w:jc w:val="both"/>
      </w:pPr>
      <w:r>
        <w:t>Surface nette de protection solaire en toile à mettre en œuvre, éventuellement ventilée suivant le type de déroulement, de coloris, de finition, de type de manœuvre, etc...</w:t>
      </w:r>
    </w:p>
    <w:p w14:paraId="54C0B794" w14:textId="77777777" w:rsidR="00772179" w:rsidRDefault="00000000">
      <w:pPr>
        <w:pStyle w:val="pheading"/>
      </w:pPr>
      <w:r>
        <w:t>- nature du marché:</w:t>
      </w:r>
    </w:p>
    <w:p w14:paraId="004F8AA0" w14:textId="77777777" w:rsidR="00772179" w:rsidRDefault="00000000">
      <w:r>
        <w:t>QF</w:t>
      </w:r>
    </w:p>
    <w:p w14:paraId="0685D825" w14:textId="77777777" w:rsidR="00772179" w:rsidRDefault="00000000">
      <w:pPr>
        <w:pStyle w:val="Author-eSectionHeading3Numberless"/>
      </w:pPr>
      <w:bookmarkStart w:id="276" w:name="_Toc220490011"/>
      <w:r>
        <w:t>41.6 Vérandas / verrières CCTB 01.02</w:t>
      </w:r>
      <w:bookmarkEnd w:id="276"/>
    </w:p>
    <w:p w14:paraId="57C1C9E0" w14:textId="77777777" w:rsidR="00772179" w:rsidRDefault="00000000">
      <w:pPr>
        <w:pStyle w:val="Author-eSectionHeading4Numberless"/>
      </w:pPr>
      <w:bookmarkStart w:id="277" w:name="779"/>
      <w:bookmarkStart w:id="278" w:name="_Toc220490012"/>
      <w:bookmarkEnd w:id="277"/>
      <w:r>
        <w:t>41.61 Vérandas / verrières en bois CCTB 01.02</w:t>
      </w:r>
      <w:bookmarkEnd w:id="278"/>
    </w:p>
    <w:p w14:paraId="406A74B2" w14:textId="77777777" w:rsidR="00772179" w:rsidRDefault="00000000">
      <w:pPr>
        <w:pStyle w:val="Author-eSectionHeading5Numberless"/>
      </w:pPr>
      <w:bookmarkStart w:id="279" w:name="_Toc220490013"/>
      <w:r>
        <w:t>41.61.1 Vérandas / verrières en bois CCTB 01.04</w:t>
      </w:r>
      <w:bookmarkEnd w:id="279"/>
    </w:p>
    <w:p w14:paraId="4F0BADF3" w14:textId="77777777" w:rsidR="00772179" w:rsidRDefault="00000000">
      <w:pPr>
        <w:pStyle w:val="Author-eSectionHeading6Numberless"/>
      </w:pPr>
      <w:bookmarkStart w:id="280" w:name="_Toc220490014"/>
      <w:r>
        <w:t>41.61.1a Vérandas / verrières en bois</w:t>
      </w:r>
      <w:bookmarkEnd w:id="280"/>
    </w:p>
    <w:p w14:paraId="0E1D2297" w14:textId="77777777" w:rsidR="00772179" w:rsidRDefault="00000000">
      <w:pPr>
        <w:pStyle w:val="Author-eSectionHeading5Numberless"/>
      </w:pPr>
      <w:bookmarkStart w:id="281" w:name="_Toc220490015"/>
      <w:r>
        <w:t>41.61.2 Vérandas / verrières en bois à composition mixte - profilés collaborants CCTB 01.02</w:t>
      </w:r>
      <w:bookmarkEnd w:id="281"/>
    </w:p>
    <w:p w14:paraId="0EC4B022" w14:textId="77777777" w:rsidR="00772179" w:rsidRDefault="00000000">
      <w:pPr>
        <w:pStyle w:val="Author-eSectionHeading6Numberless"/>
      </w:pPr>
      <w:bookmarkStart w:id="282" w:name="_Toc220490016"/>
      <w:r>
        <w:t>41.61.2a Vérandas / verrières en bois à composition mixte - profilés collaborants en aluminium CCTB 01.02</w:t>
      </w:r>
      <w:bookmarkEnd w:id="282"/>
    </w:p>
    <w:p w14:paraId="2AA5C173" w14:textId="77777777" w:rsidR="00772179" w:rsidRDefault="00000000">
      <w:pPr>
        <w:pStyle w:val="Author-eSectionHeading5Numberless"/>
      </w:pPr>
      <w:bookmarkStart w:id="283" w:name="_Toc220490017"/>
      <w:r>
        <w:t>41.61.3 Vérandas / verrières en bois à composition mixte - profilés de finition CCTB 01.02</w:t>
      </w:r>
      <w:bookmarkEnd w:id="283"/>
    </w:p>
    <w:p w14:paraId="33FB1BFD" w14:textId="77777777" w:rsidR="00772179" w:rsidRDefault="00000000">
      <w:pPr>
        <w:pStyle w:val="Author-eSectionHeading6Numberless"/>
      </w:pPr>
      <w:bookmarkStart w:id="284" w:name="_Toc220490018"/>
      <w:r>
        <w:lastRenderedPageBreak/>
        <w:t>41.61.3a Vérandas / verrières en bois à composition mixte - profilés de finition en aluminium CCTB 01.02</w:t>
      </w:r>
      <w:bookmarkEnd w:id="284"/>
    </w:p>
    <w:p w14:paraId="436D9020" w14:textId="77777777" w:rsidR="00772179" w:rsidRDefault="00000000">
      <w:pPr>
        <w:pStyle w:val="Author-eSectionHeading6Numberless"/>
      </w:pPr>
      <w:bookmarkStart w:id="285" w:name="_Toc220490019"/>
      <w:r>
        <w:t>41.61.3b Vérandas / verrières en bois à composition mixte - profilés de finition en inox CCTB 01.02</w:t>
      </w:r>
      <w:bookmarkEnd w:id="285"/>
    </w:p>
    <w:p w14:paraId="5D3F05F2" w14:textId="77777777" w:rsidR="00772179" w:rsidRDefault="00000000">
      <w:pPr>
        <w:pStyle w:val="Author-eSectionHeading6Numberless"/>
      </w:pPr>
      <w:bookmarkStart w:id="286" w:name="_Toc220490020"/>
      <w:r>
        <w:t>41.61.3c Vérandas / verrières en bois à composition mixte - profilés de finition en PVC CCTB 01.02</w:t>
      </w:r>
      <w:bookmarkEnd w:id="286"/>
    </w:p>
    <w:p w14:paraId="55D40B73" w14:textId="77777777" w:rsidR="00772179" w:rsidRDefault="00000000">
      <w:pPr>
        <w:pStyle w:val="Author-eSectionHeading5Numberless"/>
      </w:pPr>
      <w:bookmarkStart w:id="287" w:name="_Toc220490021"/>
      <w:r>
        <w:t>41.61.4 Vérandas / verrières en bois à composition mixte - isolation intégrée CCTB 01.02</w:t>
      </w:r>
      <w:bookmarkEnd w:id="287"/>
    </w:p>
    <w:p w14:paraId="42C82241" w14:textId="77777777" w:rsidR="00772179" w:rsidRDefault="00000000">
      <w:pPr>
        <w:pStyle w:val="Author-eSectionHeading6Numberless"/>
      </w:pPr>
      <w:bookmarkStart w:id="288" w:name="_Toc220490022"/>
      <w:r>
        <w:t>41.61.4a Vérandas / verrières en bois à composition mixte - isolation intégrée - finition en bois CCTB 01.02</w:t>
      </w:r>
      <w:bookmarkEnd w:id="288"/>
    </w:p>
    <w:p w14:paraId="12D6EB89" w14:textId="77777777" w:rsidR="00772179" w:rsidRDefault="00000000">
      <w:pPr>
        <w:pStyle w:val="Author-eSectionHeading6Numberless"/>
      </w:pPr>
      <w:bookmarkStart w:id="289" w:name="_Toc220490023"/>
      <w:r>
        <w:t>41.61.4b Vérandas / verrières en bois à composition mixte - isolation intégrée - finition en aluminium CCTB 01.02</w:t>
      </w:r>
      <w:bookmarkEnd w:id="289"/>
    </w:p>
    <w:p w14:paraId="5A16AB07" w14:textId="77777777" w:rsidR="00772179" w:rsidRDefault="00000000">
      <w:pPr>
        <w:pStyle w:val="Author-eSectionHeading6Numberless"/>
      </w:pPr>
      <w:bookmarkStart w:id="290" w:name="_Toc220490024"/>
      <w:r>
        <w:t>41.61.4c Vérandas / verrières en bois à composition mixte - isolation intégrée - finition en inox CCTB 01.11</w:t>
      </w:r>
      <w:bookmarkEnd w:id="290"/>
    </w:p>
    <w:p w14:paraId="32AC1797" w14:textId="77777777" w:rsidR="00772179" w:rsidRDefault="00000000">
      <w:pPr>
        <w:pStyle w:val="pheading"/>
      </w:pPr>
      <w:r>
        <w:t>DESCRIPTION</w:t>
      </w:r>
    </w:p>
    <w:p w14:paraId="0F11D2DA" w14:textId="77777777" w:rsidR="00772179" w:rsidRDefault="00000000">
      <w:pPr>
        <w:pStyle w:val="pheading"/>
      </w:pPr>
      <w:r>
        <w:t>- Définition / Comprend</w:t>
      </w:r>
    </w:p>
    <w:p w14:paraId="39D2A440" w14:textId="77777777" w:rsidR="00772179" w:rsidRDefault="00000000">
      <w:pPr>
        <w:jc w:val="both"/>
      </w:pPr>
      <w:r>
        <w:t>Il s’agit de la fourniture et la pose de véranda ou de verrière en bois à composition mixte (isolation intégrée) et finition en inox. Les éléments de remplissage sont parclosés sous la finition en inox.</w:t>
      </w:r>
    </w:p>
    <w:p w14:paraId="60F407C9" w14:textId="77777777" w:rsidR="00772179" w:rsidRDefault="00000000">
      <w:pPr>
        <w:jc w:val="both"/>
      </w:pPr>
      <w:r>
        <w:t xml:space="preserve">Les éléments verticaux de menuiserie extérieure de la véranda sont décrits et comptabilisés dans les articles </w:t>
      </w:r>
      <w:hyperlink w:anchor="946" w:history="1">
        <w:r>
          <w:rPr>
            <w:color w:val="0000EE"/>
          </w:rPr>
          <w:t>41.11.4c Fenêtres et portes-fenêtres en bois à composition mixte - isolation intégrée - finition en inox</w:t>
        </w:r>
      </w:hyperlink>
      <w:r>
        <w:t xml:space="preserve"> et </w:t>
      </w:r>
      <w:hyperlink w:anchor="947" w:history="1">
        <w:r>
          <w:rPr>
            <w:color w:val="0000EE"/>
          </w:rPr>
          <w:t>41.21.4c Portes d'entrée en bois à composition mixte - isolation intégrée - finition en inox</w:t>
        </w:r>
      </w:hyperlink>
      <w:r>
        <w:t>.</w:t>
      </w:r>
    </w:p>
    <w:p w14:paraId="0CDB9060" w14:textId="77777777" w:rsidR="00772179" w:rsidRDefault="00000000">
      <w:pPr>
        <w:jc w:val="both"/>
      </w:pPr>
      <w:r>
        <w:t>Les éléments de structure portante verticale sont repris dans les articles du 2 T2 Superstructures.</w:t>
      </w:r>
    </w:p>
    <w:p w14:paraId="5E3E6AFF" w14:textId="77777777" w:rsidR="00772179" w:rsidRDefault="00000000">
      <w:pPr>
        <w:jc w:val="both"/>
      </w:pPr>
      <w:r>
        <w:t>Les parties horizontales/obliques ainsi que tous les ouvrages de raccord sont décrits et comptabilisés dans le présent article.</w:t>
      </w:r>
    </w:p>
    <w:p w14:paraId="1B9B945A" w14:textId="77777777" w:rsidR="00772179" w:rsidRDefault="00000000">
      <w:pPr>
        <w:pStyle w:val="pheading"/>
      </w:pPr>
      <w:r>
        <w:t>- Localisation</w:t>
      </w:r>
    </w:p>
    <w:p w14:paraId="3A9700C2" w14:textId="77777777" w:rsidR="00772179" w:rsidRDefault="00000000">
      <w:pPr>
        <w:jc w:val="both"/>
      </w:pPr>
      <w:r>
        <w:t xml:space="preserve">La localisation des vérandas et verrières à composition mixte et finition en inox est la suivante : </w:t>
      </w:r>
      <w:r>
        <w:rPr>
          <w:rStyle w:val="optioncarChar"/>
        </w:rPr>
        <w:t>***</w:t>
      </w:r>
      <w:r>
        <w:t>.</w:t>
      </w:r>
    </w:p>
    <w:p w14:paraId="4E04F7EE" w14:textId="77777777" w:rsidR="00772179" w:rsidRDefault="00000000">
      <w:pPr>
        <w:jc w:val="both"/>
      </w:pPr>
      <w:r>
        <w:t xml:space="preserve">Voir : </w:t>
      </w:r>
      <w:r>
        <w:rPr>
          <w:rStyle w:val="optioncarChar"/>
        </w:rPr>
        <w:t>plans et métrés détaillés / ***</w:t>
      </w:r>
      <w:r>
        <w:t>.</w:t>
      </w:r>
    </w:p>
    <w:p w14:paraId="2FA83D0E" w14:textId="77777777" w:rsidR="00772179" w:rsidRDefault="00000000">
      <w:pPr>
        <w:pStyle w:val="pheading"/>
      </w:pPr>
      <w:r>
        <w:t>MATÉRIAUX</w:t>
      </w:r>
    </w:p>
    <w:p w14:paraId="643B0286" w14:textId="77777777" w:rsidR="00772179" w:rsidRDefault="00000000">
      <w:pPr>
        <w:pStyle w:val="pheading"/>
      </w:pPr>
      <w:r>
        <w:t>- Caractéristiques générales</w:t>
      </w:r>
    </w:p>
    <w:p w14:paraId="46DCB09C" w14:textId="77777777" w:rsidR="00772179" w:rsidRDefault="00000000">
      <w:pPr>
        <w:jc w:val="both"/>
      </w:pPr>
      <w:r>
        <w:t>Une véranda ou une verrière se compose de profilés en bois à composition mixte, de profilé inox extérieur, de vitrage, d’égouttage, d’éléments ouvrants, de raccord d’étanchéité.</w:t>
      </w:r>
    </w:p>
    <w:p w14:paraId="1B703A06" w14:textId="77777777" w:rsidR="00772179" w:rsidRDefault="00000000">
      <w:pPr>
        <w:jc w:val="both"/>
      </w:pPr>
      <w:r>
        <w:t xml:space="preserve">La véranda est de type véranda </w:t>
      </w:r>
      <w:r>
        <w:rPr>
          <w:rStyle w:val="optioncarChar"/>
        </w:rPr>
        <w:t xml:space="preserve">en épi (en appui) </w:t>
      </w:r>
      <w:r>
        <w:t xml:space="preserve">(par défaut) </w:t>
      </w:r>
      <w:r>
        <w:rPr>
          <w:rStyle w:val="optioncarChar"/>
        </w:rPr>
        <w:t>/ encastrée / avec arêtier / en appui 3 pentes / en applique (pans coupés à 135°) / rayonnante (pans coupés à 135°) / rayonnante (pans coupés à 150°) / en T et partie rayonnante (pans coupés à 135°) / ***</w:t>
      </w:r>
      <w:r>
        <w:t>.</w:t>
      </w:r>
    </w:p>
    <w:p w14:paraId="3B6EBA7E" w14:textId="77777777" w:rsidR="00772179" w:rsidRDefault="00000000">
      <w:pPr>
        <w:jc w:val="both"/>
      </w:pPr>
      <w:r>
        <w:rPr>
          <w:noProof/>
        </w:rPr>
        <w:lastRenderedPageBreak/>
        <w:drawing>
          <wp:inline distT="0" distB="0" distL="0" distR="0" wp14:anchorId="6B5D3DF1" wp14:editId="731E3152">
            <wp:extent cx="1809750" cy="1809750"/>
            <wp:effectExtent l="0" t="0" r="0" b="0"/>
            <wp:docPr id="3" name="41.61.4c1.jpg" descr="41.61.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042" descr="41.61.4c1.jpg"/>
                    <pic:cNvPicPr>
                      <a:picLocks noChangeAspect="1" noChangeArrowheads="1"/>
                    </pic:cNvPicPr>
                  </pic:nvPicPr>
                  <pic:blipFill>
                    <a:blip r:embed="rId10"/>
                    <a:srcRect/>
                    <a:stretch>
                      <a:fillRect/>
                    </a:stretch>
                  </pic:blipFill>
                  <pic:spPr bwMode="auto">
                    <a:xfrm>
                      <a:off x="0" y="0"/>
                      <a:ext cx="1809750" cy="1809750"/>
                    </a:xfrm>
                    <a:prstGeom prst="rect">
                      <a:avLst/>
                    </a:prstGeom>
                  </pic:spPr>
                </pic:pic>
              </a:graphicData>
            </a:graphic>
          </wp:inline>
        </w:drawing>
      </w:r>
      <w:r>
        <w:t> </w:t>
      </w:r>
      <w:r>
        <w:rPr>
          <w:noProof/>
        </w:rPr>
        <w:drawing>
          <wp:inline distT="0" distB="0" distL="0" distR="0" wp14:anchorId="685710D8" wp14:editId="6F2E2A9F">
            <wp:extent cx="1809750" cy="1809750"/>
            <wp:effectExtent l="0" t="0" r="0" b="0"/>
            <wp:docPr id="4" name="41.61.4c2.jpg" descr="41.61.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043" descr="41.61.4c2.jpg"/>
                    <pic:cNvPicPr>
                      <a:picLocks noChangeAspect="1" noChangeArrowheads="1"/>
                    </pic:cNvPicPr>
                  </pic:nvPicPr>
                  <pic:blipFill>
                    <a:blip r:embed="rId11"/>
                    <a:srcRect/>
                    <a:stretch>
                      <a:fillRect/>
                    </a:stretch>
                  </pic:blipFill>
                  <pic:spPr bwMode="auto">
                    <a:xfrm>
                      <a:off x="0" y="0"/>
                      <a:ext cx="1809750" cy="1809750"/>
                    </a:xfrm>
                    <a:prstGeom prst="rect">
                      <a:avLst/>
                    </a:prstGeom>
                  </pic:spPr>
                </pic:pic>
              </a:graphicData>
            </a:graphic>
          </wp:inline>
        </w:drawing>
      </w:r>
      <w:r>
        <w:t> </w:t>
      </w:r>
      <w:r>
        <w:rPr>
          <w:noProof/>
        </w:rPr>
        <w:drawing>
          <wp:inline distT="0" distB="0" distL="0" distR="0" wp14:anchorId="59261523" wp14:editId="2505D7D4">
            <wp:extent cx="1809750" cy="1809750"/>
            <wp:effectExtent l="0" t="0" r="0" b="0"/>
            <wp:docPr id="5" name="41.61.4c3.jpg" descr="41.61.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8044" descr="41.61.4c3.jpg"/>
                    <pic:cNvPicPr>
                      <a:picLocks noChangeAspect="1" noChangeArrowheads="1"/>
                    </pic:cNvPicPr>
                  </pic:nvPicPr>
                  <pic:blipFill>
                    <a:blip r:embed="rId12"/>
                    <a:srcRect/>
                    <a:stretch>
                      <a:fillRect/>
                    </a:stretch>
                  </pic:blipFill>
                  <pic:spPr bwMode="auto">
                    <a:xfrm>
                      <a:off x="0" y="0"/>
                      <a:ext cx="1809750" cy="1809750"/>
                    </a:xfrm>
                    <a:prstGeom prst="rect">
                      <a:avLst/>
                    </a:prstGeom>
                  </pic:spPr>
                </pic:pic>
              </a:graphicData>
            </a:graphic>
          </wp:inline>
        </w:drawing>
      </w:r>
    </w:p>
    <w:p w14:paraId="21F54419" w14:textId="77777777" w:rsidR="00772179" w:rsidRDefault="00772179"/>
    <w:p w14:paraId="59424221" w14:textId="77777777" w:rsidR="00772179" w:rsidRDefault="00000000">
      <w:pPr>
        <w:jc w:val="both"/>
      </w:pPr>
      <w:r>
        <w:t>Les profilés de véranda et verrière reprenant les vitrages sont composés d’une partie principale en bois, d’une partie isolante et d’un profilé et contreprofilé assurant l’étanchéité. Des profilés de renforts sont également associés suivant la rigidité nécessaire.</w:t>
      </w:r>
    </w:p>
    <w:p w14:paraId="5DEFDE07" w14:textId="77777777" w:rsidR="00772179" w:rsidRDefault="00000000">
      <w:pPr>
        <w:jc w:val="both"/>
      </w:pPr>
      <w:r>
        <w:t xml:space="preserve">La partie principale des profilés de véranda (assurant les fonctions mécaniques) est en bois de type </w:t>
      </w:r>
      <w:r>
        <w:rPr>
          <w:rStyle w:val="optioncarChar"/>
        </w:rPr>
        <w:t xml:space="preserve">Chêne d’Europe (Quercus robur et Q. Petraea) / Douglas (Pseudotsuga menziesii) </w:t>
      </w:r>
      <w:r>
        <w:t xml:space="preserve">(par défaut) </w:t>
      </w:r>
      <w:r>
        <w:rPr>
          <w:rStyle w:val="optioncarChar"/>
        </w:rPr>
        <w:t>/ Mélèze (Larix) / Yellow pine (Pinus) / Meranti, Dark Red (Shorea)/ Afzélia Doussié / Afzélia Pachiloba / Merbau (Intsia) / ***</w:t>
      </w:r>
      <w:r>
        <w:t xml:space="preserve"> dont les caractéristiques sont conformes aux spécifications reprises dans la [STS 52.1].</w:t>
      </w:r>
    </w:p>
    <w:p w14:paraId="56259DEA" w14:textId="77777777" w:rsidR="00772179" w:rsidRDefault="00000000">
      <w:pPr>
        <w:jc w:val="both"/>
      </w:pPr>
      <w:r>
        <w:t xml:space="preserve">La partie isolante du profilé est de type </w:t>
      </w:r>
      <w:r>
        <w:rPr>
          <w:rStyle w:val="optioncarChar"/>
        </w:rPr>
        <w:t xml:space="preserve">Polyuréthane (PU) </w:t>
      </w:r>
      <w:r>
        <w:t xml:space="preserve">(par défaut) </w:t>
      </w:r>
      <w:r>
        <w:rPr>
          <w:rStyle w:val="optioncarChar"/>
        </w:rPr>
        <w:t>/ Polyisocyanurate (PIR) / profilé ajouré en Polyamide / Polystyrène (EPS/XPS) / Liège (ICB) / ***</w:t>
      </w:r>
      <w:r>
        <w:t>.</w:t>
      </w:r>
    </w:p>
    <w:p w14:paraId="7C27FF02" w14:textId="77777777" w:rsidR="00772179" w:rsidRDefault="00000000">
      <w:pPr>
        <w:jc w:val="both"/>
      </w:pPr>
      <w:r>
        <w:t xml:space="preserve">La densité minimum de l’isolant est </w:t>
      </w:r>
      <w:r>
        <w:rPr>
          <w:rStyle w:val="optioncarChar"/>
        </w:rPr>
        <w:t xml:space="preserve">sélectionnée pour atteindre les performances mécaniques requises par la fonction </w:t>
      </w:r>
      <w:r>
        <w:t xml:space="preserve">(par défaut) </w:t>
      </w:r>
      <w:r>
        <w:rPr>
          <w:rStyle w:val="optioncarChar"/>
        </w:rPr>
        <w:t>/ supérieure à *** kg/m³</w:t>
      </w:r>
      <w:r>
        <w:t>.</w:t>
      </w:r>
    </w:p>
    <w:p w14:paraId="256EEA3C" w14:textId="77777777" w:rsidR="00772179" w:rsidRDefault="00000000">
      <w:pPr>
        <w:jc w:val="both"/>
      </w:pPr>
      <w:r>
        <w:t xml:space="preserve">L’isolant est </w:t>
      </w:r>
      <w:r>
        <w:rPr>
          <w:rStyle w:val="optioncarChar"/>
        </w:rPr>
        <w:t>collé</w:t>
      </w:r>
      <w:r>
        <w:t xml:space="preserve"> (par défaut)</w:t>
      </w:r>
      <w:r>
        <w:rPr>
          <w:rStyle w:val="optioncarChar"/>
        </w:rPr>
        <w:t xml:space="preserve"> / fixé mécaniquement / ***</w:t>
      </w:r>
      <w:r>
        <w:t xml:space="preserve"> sur le bois. Les colles utilisées sont conformes à l’[AR 2014-05-08] concernant le rejet de COV (composés organiques volatils). Conformément à l’[AR 2014-05-08], la teneur totale en composés organiques volatils (COVT) est &lt; 1000 µg/m³ et la teneur totale en composés organiques semi-volatils (COSVT) est &lt; 100 µg/m³.</w:t>
      </w:r>
    </w:p>
    <w:p w14:paraId="2B1CD90A" w14:textId="77777777" w:rsidR="00772179" w:rsidRDefault="00000000">
      <w:pPr>
        <w:jc w:val="both"/>
      </w:pPr>
      <w:r>
        <w:t>La mise en feuillure des vitrages est assurée par une partie drainante et un profilé extérieur en inox extérieur.</w:t>
      </w:r>
    </w:p>
    <w:p w14:paraId="0CBF14ED" w14:textId="77777777" w:rsidR="00772179" w:rsidRDefault="00000000">
      <w:pPr>
        <w:jc w:val="both"/>
      </w:pPr>
      <w:r>
        <w:t xml:space="preserve">La partie drainante est assurée par </w:t>
      </w:r>
      <w:r>
        <w:rPr>
          <w:rStyle w:val="optioncarChar"/>
        </w:rPr>
        <w:t xml:space="preserve">profils synthétiques </w:t>
      </w:r>
      <w:r>
        <w:t xml:space="preserve">(par défaut) </w:t>
      </w:r>
      <w:r>
        <w:rPr>
          <w:rStyle w:val="optioncarChar"/>
        </w:rPr>
        <w:t>/ profilés aluminium et espaceurs synthétiques / membranes avec contre profilage de l’isolant</w:t>
      </w:r>
      <w:r>
        <w:t>.</w:t>
      </w:r>
    </w:p>
    <w:p w14:paraId="199275BB" w14:textId="77777777" w:rsidR="00772179" w:rsidRDefault="00000000">
      <w:pPr>
        <w:ind w:left="567"/>
        <w:jc w:val="both"/>
      </w:pPr>
      <w:r>
        <w:rPr>
          <w:b/>
          <w:i/>
        </w:rPr>
        <w:t>(soit par défaut)</w:t>
      </w:r>
    </w:p>
    <w:p w14:paraId="22BB522A" w14:textId="77777777" w:rsidR="00772179" w:rsidRDefault="00000000">
      <w:pPr>
        <w:ind w:left="567"/>
        <w:jc w:val="both"/>
      </w:pPr>
      <w:r>
        <w:rPr>
          <w:rStyle w:val="soitChar"/>
          <w:u w:val="single"/>
        </w:rPr>
        <w:t>Les profils synthétiques</w:t>
      </w:r>
      <w:r>
        <w:rPr>
          <w:rStyle w:val="soitChar"/>
        </w:rPr>
        <w:t xml:space="preserve"> : les profils synthétiques sont composés de </w:t>
      </w:r>
      <w:r>
        <w:rPr>
          <w:rStyle w:val="optioncarChar"/>
        </w:rPr>
        <w:t xml:space="preserve">polyamide </w:t>
      </w:r>
      <w:r>
        <w:t xml:space="preserve">(par défaut) </w:t>
      </w:r>
      <w:r>
        <w:rPr>
          <w:rStyle w:val="optioncarChar"/>
        </w:rPr>
        <w:t>/ pvc / ***</w:t>
      </w:r>
      <w:r>
        <w:rPr>
          <w:rStyle w:val="soitChar"/>
        </w:rPr>
        <w:t xml:space="preserve">. Les profils synthétiques disposent de rainures pour le placement des joints préformés d’étanchéité du vitrage. La hauteur d’eau utile dans les profils synthétiques est &gt; </w:t>
      </w:r>
      <w:r>
        <w:rPr>
          <w:rStyle w:val="optioncarChar"/>
        </w:rPr>
        <w:t xml:space="preserve">12 </w:t>
      </w:r>
      <w:r>
        <w:t>(par défaut)</w:t>
      </w:r>
      <w:r>
        <w:rPr>
          <w:rStyle w:val="optioncarChar"/>
        </w:rPr>
        <w:t xml:space="preserve"> / ***</w:t>
      </w:r>
      <w:r>
        <w:rPr>
          <w:rStyle w:val="soitChar"/>
        </w:rPr>
        <w:t xml:space="preserve"> mm. Les profilés synthétiques sont fixés aux profils porteurs par l’intermédiaire de </w:t>
      </w:r>
      <w:r>
        <w:rPr>
          <w:rStyle w:val="optioncarChar"/>
        </w:rPr>
        <w:t xml:space="preserve">collage </w:t>
      </w:r>
      <w:r>
        <w:t>(par défaut)</w:t>
      </w:r>
      <w:r>
        <w:rPr>
          <w:rStyle w:val="optioncarChar"/>
        </w:rPr>
        <w:t xml:space="preserve"> / fixations métalliques / ***</w:t>
      </w:r>
      <w:r>
        <w:rPr>
          <w:rStyle w:val="soitChar"/>
        </w:rPr>
        <w:t xml:space="preserve">. Le profilé synthétique dispose </w:t>
      </w:r>
      <w:r>
        <w:rPr>
          <w:rStyle w:val="optioncarChar"/>
        </w:rPr>
        <w:t xml:space="preserve">d’espaceurs continus intégrés </w:t>
      </w:r>
      <w:r>
        <w:t>(par défaut)</w:t>
      </w:r>
      <w:r>
        <w:rPr>
          <w:rStyle w:val="optioncarChar"/>
        </w:rPr>
        <w:t xml:space="preserve"> / d’espaceurs ponctuels / ***</w:t>
      </w:r>
      <w:r>
        <w:rPr>
          <w:rStyle w:val="soitChar"/>
        </w:rPr>
        <w:t xml:space="preserve"> reprenant l’épaisseur des vitrages. Les profilés de récolte des eaux permettent la continuité de l’écoulement.</w:t>
      </w:r>
    </w:p>
    <w:p w14:paraId="074BD6D3" w14:textId="77777777" w:rsidR="00772179" w:rsidRDefault="00000000">
      <w:pPr>
        <w:ind w:left="567"/>
        <w:jc w:val="both"/>
      </w:pPr>
      <w:r>
        <w:rPr>
          <w:b/>
          <w:i/>
        </w:rPr>
        <w:t>(soit)</w:t>
      </w:r>
    </w:p>
    <w:p w14:paraId="037D0DA9" w14:textId="77777777" w:rsidR="00772179" w:rsidRDefault="00000000">
      <w:pPr>
        <w:ind w:left="567"/>
        <w:jc w:val="both"/>
      </w:pPr>
      <w:r>
        <w:rPr>
          <w:rStyle w:val="soitChar"/>
          <w:u w:val="single"/>
        </w:rPr>
        <w:t>Les profilés aluminium et espaceurs synthétiques.</w:t>
      </w:r>
      <w:r>
        <w:rPr>
          <w:rStyle w:val="soitChar"/>
        </w:rPr>
        <w:t xml:space="preserve"> La composition de l’aluminium est conforme aux exigences de la [STS 52.2]. L’ambiance lors de la vie de la menuiserie est en </w:t>
      </w:r>
      <w:r>
        <w:rPr>
          <w:rStyle w:val="optioncarChar"/>
        </w:rPr>
        <w:t xml:space="preserve">climat normal </w:t>
      </w:r>
      <w:r>
        <w:t xml:space="preserve">(par défaut) </w:t>
      </w:r>
      <w:r>
        <w:rPr>
          <w:rStyle w:val="optioncarChar"/>
        </w:rPr>
        <w:t>/ climat agressif</w:t>
      </w:r>
      <w:r>
        <w:rPr>
          <w:rStyle w:val="soitChar"/>
        </w:rPr>
        <w:t xml:space="preserve">. Dans le cas de climats normaux, les alliages AW-6060 ou AW-6063 sont utilisés. Pour des climats agressifs, l’alliage AW-6060-B est utilisé. Les alliages sont conformes à la norme [NBN EN 755-2]; Les profilés synthétiques formant l’espaceur sont composés de </w:t>
      </w:r>
      <w:r>
        <w:rPr>
          <w:rStyle w:val="optioncarChar"/>
        </w:rPr>
        <w:t xml:space="preserve">polyamide </w:t>
      </w:r>
      <w:r>
        <w:t xml:space="preserve">(par défaut) </w:t>
      </w:r>
      <w:r>
        <w:rPr>
          <w:rStyle w:val="optioncarChar"/>
        </w:rPr>
        <w:t>/ pvc / ***</w:t>
      </w:r>
      <w:r>
        <w:rPr>
          <w:rStyle w:val="soitChar"/>
        </w:rPr>
        <w:t xml:space="preserve">, traverses fixées mécaniquement aux montants dans le logement préalablement usiné en atelier, sur les montants et/ou les traverses. Les profils aluminium disposent de rainures pour le placement des joints préformés d’étanchéité du vitrage. Les profilés synthétiques sont </w:t>
      </w:r>
      <w:r>
        <w:rPr>
          <w:rStyle w:val="optioncarChar"/>
        </w:rPr>
        <w:t xml:space="preserve">clippés </w:t>
      </w:r>
      <w:r>
        <w:t>(par défaut)</w:t>
      </w:r>
      <w:r>
        <w:rPr>
          <w:rStyle w:val="optioncarChar"/>
        </w:rPr>
        <w:t xml:space="preserve"> / vissés / ***</w:t>
      </w:r>
      <w:r>
        <w:rPr>
          <w:rStyle w:val="soitChar"/>
        </w:rPr>
        <w:t xml:space="preserve"> dans le profilé </w:t>
      </w:r>
      <w:r>
        <w:rPr>
          <w:rStyle w:val="soitChar"/>
        </w:rPr>
        <w:lastRenderedPageBreak/>
        <w:t xml:space="preserve">aluminium. La hauteur d’eau utile dans les profilés aluminium est &gt; </w:t>
      </w:r>
      <w:r>
        <w:rPr>
          <w:rStyle w:val="optioncarChar"/>
        </w:rPr>
        <w:t>12</w:t>
      </w:r>
      <w:r>
        <w:t xml:space="preserve"> (par défaut) </w:t>
      </w:r>
      <w:r>
        <w:rPr>
          <w:rStyle w:val="optioncarChar"/>
        </w:rPr>
        <w:t>/ ***</w:t>
      </w:r>
      <w:r>
        <w:rPr>
          <w:rStyle w:val="soitChar"/>
        </w:rPr>
        <w:t xml:space="preserve"> mm. La continuité du drainage entre les profilés aluminium est assurée de manière étanche.</w:t>
      </w:r>
    </w:p>
    <w:p w14:paraId="6F81B7ED" w14:textId="77777777" w:rsidR="00772179" w:rsidRDefault="00000000">
      <w:pPr>
        <w:ind w:left="567"/>
        <w:jc w:val="both"/>
      </w:pPr>
      <w:r>
        <w:rPr>
          <w:b/>
          <w:i/>
        </w:rPr>
        <w:t>(soit)</w:t>
      </w:r>
    </w:p>
    <w:p w14:paraId="5E79ED64" w14:textId="77777777" w:rsidR="00772179" w:rsidRDefault="00000000">
      <w:pPr>
        <w:ind w:left="567"/>
        <w:jc w:val="both"/>
      </w:pPr>
      <w:r>
        <w:rPr>
          <w:rStyle w:val="soitChar"/>
          <w:u w:val="single"/>
        </w:rPr>
        <w:t>Les membranes avec contre-profilage de l’isolant.</w:t>
      </w:r>
      <w:r>
        <w:rPr>
          <w:rStyle w:val="soitChar"/>
        </w:rPr>
        <w:t xml:space="preserve"> La hauteur d’eau utile dans le contre-profilage de l’isolant est &gt; </w:t>
      </w:r>
      <w:r>
        <w:rPr>
          <w:rStyle w:val="optioncarChar"/>
        </w:rPr>
        <w:t xml:space="preserve">12 </w:t>
      </w:r>
      <w:r>
        <w:t xml:space="preserve">(par défaut) </w:t>
      </w:r>
      <w:r>
        <w:rPr>
          <w:rStyle w:val="optioncarChar"/>
        </w:rPr>
        <w:t>/ ***</w:t>
      </w:r>
      <w:r>
        <w:rPr>
          <w:rStyle w:val="soitChar"/>
        </w:rPr>
        <w:t xml:space="preserve"> mm. La membrane est de type </w:t>
      </w:r>
      <w:r>
        <w:rPr>
          <w:rStyle w:val="optioncarChar"/>
        </w:rPr>
        <w:t xml:space="preserve">EPDM </w:t>
      </w:r>
      <w:r>
        <w:t>(par défaut)</w:t>
      </w:r>
      <w:r>
        <w:rPr>
          <w:rStyle w:val="optioncarChar"/>
        </w:rPr>
        <w:t xml:space="preserve"> / PVC / ***</w:t>
      </w:r>
      <w:r>
        <w:rPr>
          <w:rStyle w:val="soitChar"/>
        </w:rPr>
        <w:t>. Elle est collée sur l’isolant (dans ce cas, le profilé inox extérieur est vissé dans le profilé porteur en bois). La continuité du drainage entre les membranes est assurée par chevauchement et collage des membranes. Les joints des vitrages sont réalisés par mastic de jointoyage avec fond de joint reprenant le poids du vitrage ou mastic de type butyle.</w:t>
      </w:r>
    </w:p>
    <w:p w14:paraId="0694FD8F" w14:textId="77777777" w:rsidR="00772179" w:rsidRDefault="00000000">
      <w:r>
        <w:t>Les profilés extérieurs sont constitués d’</w:t>
      </w:r>
      <w:r>
        <w:rPr>
          <w:rStyle w:val="optioncarChar"/>
        </w:rPr>
        <w:t xml:space="preserve">inox </w:t>
      </w:r>
      <w:r>
        <w:t xml:space="preserve">(par défaut) </w:t>
      </w:r>
      <w:r>
        <w:rPr>
          <w:rStyle w:val="optioncarChar"/>
        </w:rPr>
        <w:t>/ inox et profilé synthétique/ ***.</w:t>
      </w:r>
      <w:r>
        <w:t xml:space="preserve"> Les profilés sont </w:t>
      </w:r>
      <w:r>
        <w:rPr>
          <w:rStyle w:val="optioncarChar"/>
        </w:rPr>
        <w:t>vissés tous les  20 cm</w:t>
      </w:r>
      <w:r>
        <w:t xml:space="preserve"> (par défaut)</w:t>
      </w:r>
      <w:r>
        <w:rPr>
          <w:rStyle w:val="optioncarChar"/>
        </w:rPr>
        <w:t xml:space="preserve"> / clippés / ***</w:t>
      </w:r>
      <w:r>
        <w:t>.</w:t>
      </w:r>
    </w:p>
    <w:p w14:paraId="1CCFFD77" w14:textId="77777777" w:rsidR="00772179" w:rsidRDefault="00000000">
      <w:pPr>
        <w:jc w:val="both"/>
      </w:pPr>
      <w:r>
        <w:t xml:space="preserve">Les nuances d’acier inoxydable selon la norme [NBN EN 10088-2] sont :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w:t>
      </w:r>
      <w:r>
        <w:t>. Les qualités d’acier inoxydable équivalentes sont proposées à l’architecte.</w:t>
      </w:r>
    </w:p>
    <w:p w14:paraId="723B7FA4" w14:textId="77777777" w:rsidR="00772179" w:rsidRDefault="00000000">
      <w:pPr>
        <w:jc w:val="both"/>
      </w:pPr>
      <w:r>
        <w:t xml:space="preserve">Du côté extérieur du vitrage, l’étanchéité est assurée par </w:t>
      </w:r>
      <w:r>
        <w:rPr>
          <w:rStyle w:val="optioncarChar"/>
        </w:rPr>
        <w:t>un fond de joint et mastics</w:t>
      </w:r>
      <w:r>
        <w:t xml:space="preserve"> (par défaut) </w:t>
      </w:r>
      <w:r>
        <w:rPr>
          <w:rStyle w:val="optioncarChar"/>
        </w:rPr>
        <w:t>/ un mastic de type butyle  / ***.</w:t>
      </w:r>
    </w:p>
    <w:p w14:paraId="6F9CA65E" w14:textId="77777777" w:rsidR="00772179" w:rsidRDefault="00000000">
      <w:pPr>
        <w:jc w:val="both"/>
      </w:pPr>
      <w:r>
        <w:t>La méthode de fixation du profilé est conforme aux descriptions du système repris dans les rapports d’essais pour la détermination des performances. </w:t>
      </w:r>
    </w:p>
    <w:p w14:paraId="67A764A6" w14:textId="77777777" w:rsidR="00772179" w:rsidRDefault="00000000">
      <w:pPr>
        <w:jc w:val="both"/>
      </w:pPr>
      <w:r>
        <w:rPr>
          <w:b/>
        </w:rPr>
        <w:t>Forme et dimensions des profils</w:t>
      </w:r>
    </w:p>
    <w:p w14:paraId="1BCD21ED" w14:textId="77777777" w:rsidR="00772179" w:rsidRDefault="00000000">
      <w: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w:t>
      </w:r>
    </w:p>
    <w:p w14:paraId="279B50F9" w14:textId="77777777" w:rsidR="00772179" w:rsidRDefault="00000000">
      <w:pPr>
        <w:pStyle w:val="Author-eListParagraph"/>
        <w:numPr>
          <w:ilvl w:val="0"/>
          <w:numId w:val="670"/>
        </w:numPr>
        <w:jc w:val="both"/>
      </w:pPr>
      <w:r>
        <w:t xml:space="preserve">hauteur du profil : ≤ </w:t>
      </w:r>
      <w:r>
        <w:rPr>
          <w:rStyle w:val="optioncarChar"/>
        </w:rPr>
        <w:t xml:space="preserve">80 </w:t>
      </w:r>
      <w:r>
        <w:t xml:space="preserve">(par défaut) </w:t>
      </w:r>
      <w:r>
        <w:rPr>
          <w:rStyle w:val="optioncarChar"/>
        </w:rPr>
        <w:t>/ ***</w:t>
      </w:r>
      <w:r>
        <w:t xml:space="preserve"> mm.</w:t>
      </w:r>
    </w:p>
    <w:p w14:paraId="0C7E2C10" w14:textId="77777777" w:rsidR="00772179" w:rsidRDefault="00000000">
      <w:pPr>
        <w:pStyle w:val="Author-eListParagraph"/>
        <w:numPr>
          <w:ilvl w:val="0"/>
          <w:numId w:val="670"/>
        </w:numPr>
        <w:jc w:val="both"/>
      </w:pPr>
      <w:r>
        <w:t xml:space="preserve">épaisseur  du profil : </w:t>
      </w:r>
      <w:r>
        <w:rPr>
          <w:rStyle w:val="optioncarChar"/>
        </w:rPr>
        <w:t xml:space="preserve">correspondant à la valeur Uf spécifiée </w:t>
      </w:r>
      <w:r>
        <w:t xml:space="preserve">(par défaut) </w:t>
      </w:r>
      <w:r>
        <w:rPr>
          <w:rStyle w:val="optioncarChar"/>
        </w:rPr>
        <w:t xml:space="preserve">/ 110 / *** </w:t>
      </w:r>
      <w:r>
        <w:t>mm.</w:t>
      </w:r>
    </w:p>
    <w:p w14:paraId="5F6D1FDA" w14:textId="77777777" w:rsidR="00772179" w:rsidRDefault="00000000">
      <w:pPr>
        <w:pStyle w:val="Author-eListParagraph"/>
        <w:numPr>
          <w:ilvl w:val="0"/>
          <w:numId w:val="670"/>
        </w:numPr>
        <w:jc w:val="both"/>
      </w:pPr>
      <w:r>
        <w:t>De plus fortes sections de bois seront utilisées pour renforcer les profilés de traverses ou montants, les fenêtres coulissantes, etc. … </w:t>
      </w:r>
    </w:p>
    <w:p w14:paraId="786BD751" w14:textId="77777777" w:rsidR="00772179" w:rsidRDefault="00000000">
      <w:pPr>
        <w:jc w:val="both"/>
      </w:pPr>
      <w:r>
        <w:t>La structure portante de la véranda ou verrière (poutres et colonnes) est décrite et comptabilisée dans le tome 2 suivant les articles correspondant.</w:t>
      </w:r>
    </w:p>
    <w:p w14:paraId="5C30388F" w14:textId="77777777" w:rsidR="00772179" w:rsidRDefault="00000000">
      <w:pPr>
        <w:jc w:val="both"/>
      </w:pPr>
      <w:r>
        <w:t>Les chéneaux sont réalisés en</w:t>
      </w:r>
      <w:r>
        <w:rPr>
          <w:rStyle w:val="optioncarChar"/>
        </w:rPr>
        <w:t xml:space="preserve"> zinc</w:t>
      </w:r>
      <w:r>
        <w:t xml:space="preserve"> (par défaut) </w:t>
      </w:r>
      <w:r>
        <w:rPr>
          <w:rStyle w:val="optioncarChar"/>
        </w:rPr>
        <w:t>/ profilés aluminium / membrane</w:t>
      </w:r>
      <w:r>
        <w:t>.</w:t>
      </w:r>
    </w:p>
    <w:p w14:paraId="40F6A2C9" w14:textId="77777777" w:rsidR="00772179" w:rsidRDefault="00000000">
      <w:pPr>
        <w:ind w:left="567"/>
        <w:jc w:val="both"/>
      </w:pPr>
      <w:r>
        <w:rPr>
          <w:b/>
          <w:i/>
        </w:rPr>
        <w:t>(soit par défaut)</w:t>
      </w:r>
    </w:p>
    <w:p w14:paraId="50CFD4E2" w14:textId="77777777" w:rsidR="00772179" w:rsidRDefault="00000000">
      <w:pPr>
        <w:ind w:left="567"/>
        <w:jc w:val="both"/>
      </w:pPr>
      <w:r>
        <w:rPr>
          <w:rStyle w:val="soitChar"/>
          <w:u w:val="single"/>
        </w:rPr>
        <w:t>En zinc : </w:t>
      </w:r>
      <w:r>
        <w:rPr>
          <w:rStyle w:val="soitChar"/>
        </w:rPr>
        <w:t xml:space="preserve"> les chéneaux en zinc répondent aux prescriptions de l’article 33.11.1a Etanchéités pour chéneaux en feuilles de zinc et à la [NBN EN 501]. L’épaisseur des feuilles est de ≥ </w:t>
      </w:r>
      <w:r>
        <w:rPr>
          <w:rStyle w:val="optioncarChar"/>
        </w:rPr>
        <w:t xml:space="preserve">0,8 </w:t>
      </w:r>
      <w:r>
        <w:t>(par défaut)</w:t>
      </w:r>
      <w:r>
        <w:rPr>
          <w:rStyle w:val="optioncarChar"/>
        </w:rPr>
        <w:t xml:space="preserve"> / 1 / *** </w:t>
      </w:r>
      <w:r>
        <w:rPr>
          <w:rStyle w:val="soitChar"/>
        </w:rPr>
        <w:t xml:space="preserve">mm.  Les travaux éventuels de soudobrasage sont effectués sur un support propre en trois opérations successives : la préparation des surfaces à l'aide </w:t>
      </w:r>
      <w:r>
        <w:rPr>
          <w:rStyle w:val="optioncarChar"/>
        </w:rPr>
        <w:t xml:space="preserve">d'acide chlorhydrique / du produit de décapage recommandé par le fabricant </w:t>
      </w:r>
      <w:r>
        <w:t xml:space="preserve">(par défaut) </w:t>
      </w:r>
      <w:r>
        <w:rPr>
          <w:rStyle w:val="optioncarChar"/>
        </w:rPr>
        <w:t>/ ***</w:t>
      </w:r>
      <w:r>
        <w:rPr>
          <w:rStyle w:val="soitChar"/>
        </w:rPr>
        <w:t xml:space="preserve">, l'étamage et le soudage.  La profondeur des chéneaux est ≥ </w:t>
      </w:r>
      <w:r>
        <w:rPr>
          <w:rStyle w:val="optioncarChar"/>
        </w:rPr>
        <w:t xml:space="preserve">25 </w:t>
      </w:r>
      <w:r>
        <w:t>(par défaut)</w:t>
      </w:r>
      <w:r>
        <w:rPr>
          <w:rStyle w:val="optioncarChar"/>
        </w:rPr>
        <w:t xml:space="preserve"> / ***</w:t>
      </w:r>
      <w:r>
        <w:rPr>
          <w:rStyle w:val="soitChar"/>
        </w:rPr>
        <w:t xml:space="preserve"> mm. La pente des chéneaux est ≥ </w:t>
      </w:r>
      <w:r>
        <w:rPr>
          <w:rStyle w:val="optioncarChar"/>
        </w:rPr>
        <w:t xml:space="preserve">1.5 </w:t>
      </w:r>
      <w:r>
        <w:t>(par défaut)</w:t>
      </w:r>
      <w:r>
        <w:rPr>
          <w:rStyle w:val="optioncarChar"/>
        </w:rPr>
        <w:t xml:space="preserve"> / *** </w:t>
      </w:r>
      <w:r>
        <w:rPr>
          <w:rStyle w:val="soitChar"/>
        </w:rPr>
        <w:t xml:space="preserve">%. Les chéneaux en zinc sont fixés par </w:t>
      </w:r>
      <w:r>
        <w:rPr>
          <w:rStyle w:val="optioncarChar"/>
        </w:rPr>
        <w:t xml:space="preserve">agrafe </w:t>
      </w:r>
      <w:r>
        <w:t xml:space="preserve">(par défaut) </w:t>
      </w:r>
      <w:r>
        <w:rPr>
          <w:rStyle w:val="optioncarChar"/>
        </w:rPr>
        <w:t>/ patte de fixation / ***</w:t>
      </w:r>
      <w:r>
        <w:rPr>
          <w:rStyle w:val="soitChar"/>
        </w:rPr>
        <w:t>.</w:t>
      </w:r>
    </w:p>
    <w:p w14:paraId="5026B01A" w14:textId="77777777" w:rsidR="00772179" w:rsidRDefault="00000000">
      <w:pPr>
        <w:ind w:left="567"/>
        <w:jc w:val="both"/>
      </w:pPr>
      <w:r>
        <w:rPr>
          <w:b/>
          <w:i/>
        </w:rPr>
        <w:t>(soit)</w:t>
      </w:r>
    </w:p>
    <w:p w14:paraId="773EB2A7" w14:textId="77777777" w:rsidR="00772179" w:rsidRDefault="00000000">
      <w:pPr>
        <w:ind w:left="567"/>
        <w:jc w:val="both"/>
      </w:pPr>
      <w:r>
        <w:rPr>
          <w:rStyle w:val="soitChar"/>
          <w:u w:val="single"/>
        </w:rPr>
        <w:t>Les profilés aluminium</w:t>
      </w:r>
      <w:r>
        <w:rPr>
          <w:rStyle w:val="soitChar"/>
        </w:rPr>
        <w:t xml:space="preserve"> ; la composition de l’aluminium est conforme aux exigences de la [STS 52.2]. L’ambiance lors de la vie de la menuiserie est en </w:t>
      </w:r>
      <w:r>
        <w:rPr>
          <w:rStyle w:val="optioncarChar"/>
        </w:rPr>
        <w:t xml:space="preserve">climat normal </w:t>
      </w:r>
      <w:r>
        <w:t xml:space="preserve">(par défaut) </w:t>
      </w:r>
      <w:r>
        <w:rPr>
          <w:rStyle w:val="optioncarChar"/>
        </w:rPr>
        <w:t>/ climat agressif</w:t>
      </w:r>
      <w:r>
        <w:rPr>
          <w:rStyle w:val="soitChar"/>
        </w:rPr>
        <w:t xml:space="preserve">. Dans le cas de climats normaux, les alliages AW-6060 ou AW-6063 sont utilisés. Pour des climats agressifs, l’alliage AW-6060-B est utilisé.  La profondeur de chéneaux est de min </w:t>
      </w:r>
      <w:r>
        <w:rPr>
          <w:rStyle w:val="optioncarChar"/>
        </w:rPr>
        <w:t xml:space="preserve">25 </w:t>
      </w:r>
      <w:r>
        <w:t>(par défaut)</w:t>
      </w:r>
      <w:r>
        <w:rPr>
          <w:rStyle w:val="optioncarChar"/>
        </w:rPr>
        <w:t xml:space="preserve"> / ***</w:t>
      </w:r>
      <w:r>
        <w:rPr>
          <w:rStyle w:val="soitChar"/>
        </w:rPr>
        <w:t xml:space="preserve"> mm. La pente des chéneaux est ≥ </w:t>
      </w:r>
      <w:r>
        <w:rPr>
          <w:rStyle w:val="optioncarChar"/>
        </w:rPr>
        <w:t>1.5 </w:t>
      </w:r>
      <w:r>
        <w:t>(par défaut)</w:t>
      </w:r>
      <w:r>
        <w:rPr>
          <w:rStyle w:val="optioncarChar"/>
        </w:rPr>
        <w:t xml:space="preserve"> / *** </w:t>
      </w:r>
      <w:r>
        <w:rPr>
          <w:rStyle w:val="soitChar"/>
        </w:rPr>
        <w:t xml:space="preserve">%. Les chéneaux en aluminium sont fixés par </w:t>
      </w:r>
      <w:r>
        <w:rPr>
          <w:rStyle w:val="optioncarChar"/>
        </w:rPr>
        <w:t xml:space="preserve">vis </w:t>
      </w:r>
      <w:r>
        <w:t>(par défaut)</w:t>
      </w:r>
      <w:r>
        <w:rPr>
          <w:rStyle w:val="optioncarChar"/>
        </w:rPr>
        <w:t xml:space="preserve"> / rivetage / clippage / ***</w:t>
      </w:r>
      <w:r>
        <w:rPr>
          <w:rStyle w:val="soitChar"/>
        </w:rPr>
        <w:t xml:space="preserve">. La finition des chéneaux en aluminium est </w:t>
      </w:r>
      <w:r>
        <w:rPr>
          <w:rStyle w:val="optioncarChar"/>
        </w:rPr>
        <w:t>anodisée</w:t>
      </w:r>
      <w:r>
        <w:t xml:space="preserve"> (par défaut) </w:t>
      </w:r>
      <w:r>
        <w:rPr>
          <w:rStyle w:val="optioncarChar"/>
        </w:rPr>
        <w:t>/ laquée de couleur *** / ***</w:t>
      </w:r>
      <w:r>
        <w:rPr>
          <w:rStyle w:val="soitChar"/>
        </w:rPr>
        <w:t>.</w:t>
      </w:r>
    </w:p>
    <w:p w14:paraId="3B58AF5F" w14:textId="77777777" w:rsidR="00772179" w:rsidRDefault="00000000">
      <w:pPr>
        <w:ind w:left="567"/>
        <w:jc w:val="both"/>
      </w:pPr>
      <w:r>
        <w:rPr>
          <w:b/>
          <w:i/>
        </w:rPr>
        <w:t>(soit)</w:t>
      </w:r>
    </w:p>
    <w:p w14:paraId="544CAF58" w14:textId="77777777" w:rsidR="00772179" w:rsidRDefault="00000000">
      <w:pPr>
        <w:ind w:left="567"/>
        <w:jc w:val="both"/>
      </w:pPr>
      <w:r>
        <w:rPr>
          <w:rStyle w:val="soitChar"/>
          <w:u w:val="single"/>
        </w:rPr>
        <w:lastRenderedPageBreak/>
        <w:t>La membrane</w:t>
      </w:r>
      <w:r>
        <w:rPr>
          <w:rStyle w:val="soitChar"/>
        </w:rPr>
        <w:t xml:space="preserve"> est composée </w:t>
      </w:r>
      <w:r>
        <w:rPr>
          <w:rStyle w:val="optioncarChar"/>
        </w:rPr>
        <w:t xml:space="preserve">d’EPDM </w:t>
      </w:r>
      <w:r>
        <w:t xml:space="preserve">(par défaut) </w:t>
      </w:r>
      <w:r>
        <w:rPr>
          <w:rStyle w:val="optioncarChar"/>
        </w:rPr>
        <w:t>/ de membrane bitumineuse / ***</w:t>
      </w:r>
      <w:r>
        <w:rPr>
          <w:rStyle w:val="soitChar"/>
        </w:rPr>
        <w:t xml:space="preserve">. La membrane répond aux prescriptions des articles 33.11.3a Etanchéités pour chéneaux en membranes hautement polymérisées / EPDM, 33.11.2a Etanchéités pour chéneaux en bitume élastomérisé (SBS) ou 33.11.2b Etanchéités pour chéneaux en bitume plastomérisé (APP), selon le type.  L’épaisseur de la membrane est de </w:t>
      </w:r>
      <w:r>
        <w:rPr>
          <w:rStyle w:val="optioncarChar"/>
        </w:rPr>
        <w:t xml:space="preserve">1.2 mm </w:t>
      </w:r>
      <w:r>
        <w:t>(par défaut)</w:t>
      </w:r>
      <w:r>
        <w:rPr>
          <w:rStyle w:val="optioncarChar"/>
        </w:rPr>
        <w:t xml:space="preserve"> / ***</w:t>
      </w:r>
      <w:r>
        <w:rPr>
          <w:rStyle w:val="soitChar"/>
        </w:rPr>
        <w:t xml:space="preserve">. Le fond de chéneau est composé </w:t>
      </w:r>
      <w:r>
        <w:rPr>
          <w:rStyle w:val="optioncarChar"/>
        </w:rPr>
        <w:t xml:space="preserve">de planches de bois / de panneaux isolant (de type PU </w:t>
      </w:r>
      <w:r>
        <w:t>(par défaut)</w:t>
      </w:r>
      <w:r>
        <w:rPr>
          <w:rStyle w:val="optioncarChar"/>
        </w:rPr>
        <w:t xml:space="preserve"> / ***)</w:t>
      </w:r>
      <w:r>
        <w:rPr>
          <w:rStyle w:val="soitChar"/>
        </w:rPr>
        <w:t xml:space="preserve">. Les chéneaux répondent aux prescriptions des articles 31.33.1a Eléments de support de chéneaux en voliges ou 31.33.1b Eléments de support de chéneaux en panneaux de bois, selon le type.  L’épaisseur du support est ≥ </w:t>
      </w:r>
      <w:r>
        <w:rPr>
          <w:rStyle w:val="optioncarChar"/>
        </w:rPr>
        <w:t xml:space="preserve">20 mm </w:t>
      </w:r>
      <w:r>
        <w:t xml:space="preserve">(par défaut) </w:t>
      </w:r>
      <w:r>
        <w:rPr>
          <w:rStyle w:val="optioncarChar"/>
        </w:rPr>
        <w:t>/ ***</w:t>
      </w:r>
      <w:r>
        <w:rPr>
          <w:rStyle w:val="soitChar"/>
        </w:rPr>
        <w:t>. La membrane est</w:t>
      </w:r>
      <w:r>
        <w:rPr>
          <w:rStyle w:val="optioncarChar"/>
        </w:rPr>
        <w:t xml:space="preserve"> collée </w:t>
      </w:r>
      <w:r>
        <w:t xml:space="preserve">(par défaut) </w:t>
      </w:r>
      <w:r>
        <w:rPr>
          <w:rStyle w:val="optioncarChar"/>
        </w:rPr>
        <w:t>/ soudée / ***</w:t>
      </w:r>
      <w:r>
        <w:rPr>
          <w:rStyle w:val="soitChar"/>
        </w:rPr>
        <w:t xml:space="preserve"> sur le support. La profondeur de chéneaux est ≥ </w:t>
      </w:r>
      <w:r>
        <w:rPr>
          <w:rStyle w:val="optioncarChar"/>
        </w:rPr>
        <w:t>25</w:t>
      </w:r>
      <w:r>
        <w:t xml:space="preserve"> (par défaut)</w:t>
      </w:r>
      <w:r>
        <w:rPr>
          <w:rStyle w:val="optioncarChar"/>
        </w:rPr>
        <w:t xml:space="preserve"> / ***</w:t>
      </w:r>
      <w:r>
        <w:rPr>
          <w:rStyle w:val="soitChar"/>
        </w:rPr>
        <w:t xml:space="preserve"> mm. La pente des chéneaux est ≥ </w:t>
      </w:r>
      <w:r>
        <w:rPr>
          <w:rStyle w:val="optioncarChar"/>
        </w:rPr>
        <w:t xml:space="preserve">1.5 % </w:t>
      </w:r>
      <w:r>
        <w:t xml:space="preserve">(par défaut) </w:t>
      </w:r>
      <w:r>
        <w:rPr>
          <w:rStyle w:val="optioncarChar"/>
        </w:rPr>
        <w:t>/ ***</w:t>
      </w:r>
      <w:r>
        <w:rPr>
          <w:rStyle w:val="soitChar"/>
        </w:rPr>
        <w:t>.</w:t>
      </w:r>
    </w:p>
    <w:p w14:paraId="1CEFA906" w14:textId="77777777" w:rsidR="00772179" w:rsidRDefault="00000000">
      <w:pPr>
        <w:jc w:val="both"/>
      </w:pPr>
      <w:r>
        <w:t xml:space="preserve">Le faîtage est réalisé en </w:t>
      </w:r>
      <w:r>
        <w:rPr>
          <w:rStyle w:val="optioncarChar"/>
        </w:rPr>
        <w:t xml:space="preserve">inox </w:t>
      </w:r>
      <w:r>
        <w:t xml:space="preserve">(par défaut) </w:t>
      </w:r>
      <w:r>
        <w:rPr>
          <w:rStyle w:val="optioncarChar"/>
        </w:rPr>
        <w:t>/ aluminium / zinc / ***</w:t>
      </w:r>
      <w:r>
        <w:t xml:space="preserve"> et répond aux prescriptions de l’article 35.11.3a Faîtages pour couvertures en tôles préfaçonnés.</w:t>
      </w:r>
    </w:p>
    <w:p w14:paraId="31340DCB" w14:textId="77777777" w:rsidR="00772179" w:rsidRDefault="00000000">
      <w:pPr>
        <w:jc w:val="both"/>
      </w:pPr>
      <w:r>
        <w:t xml:space="preserve">Les arêtiers sont réalisés en </w:t>
      </w:r>
      <w:r>
        <w:rPr>
          <w:rStyle w:val="optioncarChar"/>
        </w:rPr>
        <w:t xml:space="preserve">inox </w:t>
      </w:r>
      <w:r>
        <w:t>(par défaut)</w:t>
      </w:r>
      <w:r>
        <w:rPr>
          <w:rStyle w:val="optioncarChar"/>
        </w:rPr>
        <w:t xml:space="preserve"> / aluminium / zinc / ***</w:t>
      </w:r>
      <w:r>
        <w:t xml:space="preserve"> et répond aux prescriptions de l’article 35.12.3a Arêtiers en tôles préfaçonnés.</w:t>
      </w:r>
    </w:p>
    <w:p w14:paraId="3501EA95" w14:textId="77777777" w:rsidR="00772179" w:rsidRDefault="00000000">
      <w:pPr>
        <w:jc w:val="both"/>
      </w:pPr>
      <w:r>
        <w:t xml:space="preserve">Les noues sont réalisées en </w:t>
      </w:r>
      <w:r>
        <w:rPr>
          <w:rStyle w:val="optioncarChar"/>
        </w:rPr>
        <w:t xml:space="preserve">inox </w:t>
      </w:r>
      <w:r>
        <w:t xml:space="preserve">(par défaut) </w:t>
      </w:r>
      <w:r>
        <w:rPr>
          <w:rStyle w:val="optioncarChar"/>
        </w:rPr>
        <w:t>/ aluminium / zinc / ***</w:t>
      </w:r>
      <w:r>
        <w:t xml:space="preserve"> et répond aux prescriptions de l’article 35.13.3a Noues en tôles préfaçonnées. </w:t>
      </w:r>
    </w:p>
    <w:p w14:paraId="259114B2" w14:textId="77777777" w:rsidR="00772179" w:rsidRDefault="00000000">
      <w:pPr>
        <w:jc w:val="both"/>
      </w:pPr>
      <w:r>
        <w:t>Les raccords de rives sont réalisés en</w:t>
      </w:r>
      <w:r>
        <w:rPr>
          <w:rStyle w:val="optioncarChar"/>
        </w:rPr>
        <w:t xml:space="preserve"> inox </w:t>
      </w:r>
      <w:r>
        <w:t>(par défaut)</w:t>
      </w:r>
      <w:r>
        <w:rPr>
          <w:rStyle w:val="optioncarChar"/>
        </w:rPr>
        <w:t xml:space="preserve"> / aluminium / zinc.</w:t>
      </w:r>
      <w:r>
        <w:t xml:space="preserve">  </w:t>
      </w:r>
    </w:p>
    <w:p w14:paraId="49D3BDD7" w14:textId="77777777" w:rsidR="00772179" w:rsidRDefault="00000000">
      <w:pPr>
        <w:ind w:left="567"/>
        <w:jc w:val="both"/>
      </w:pPr>
      <w:r>
        <w:rPr>
          <w:b/>
          <w:i/>
        </w:rPr>
        <w:t>(soit par défaut)</w:t>
      </w:r>
    </w:p>
    <w:p w14:paraId="5B26BE64" w14:textId="77777777" w:rsidR="00772179" w:rsidRDefault="00000000">
      <w:pPr>
        <w:ind w:left="567"/>
        <w:jc w:val="both"/>
      </w:pPr>
      <w:r>
        <w:rPr>
          <w:rStyle w:val="soitChar"/>
          <w:u w:val="single"/>
        </w:rPr>
        <w:t>En inox :</w:t>
      </w:r>
      <w:r>
        <w:rPr>
          <w:rStyle w:val="soitChar"/>
        </w:rPr>
        <w:t xml:space="preserve"> ils répondent aux prescriptions de l’article 35.14.2d Profilés de rive de toiture en acier inoxydable</w:t>
      </w:r>
    </w:p>
    <w:p w14:paraId="7862E1A2" w14:textId="77777777" w:rsidR="00772179" w:rsidRDefault="00772179"/>
    <w:p w14:paraId="047705DB" w14:textId="77777777" w:rsidR="00772179" w:rsidRDefault="00000000">
      <w:pPr>
        <w:ind w:left="567"/>
        <w:jc w:val="both"/>
      </w:pPr>
      <w:r>
        <w:rPr>
          <w:b/>
          <w:i/>
        </w:rPr>
        <w:t>(soit)</w:t>
      </w:r>
    </w:p>
    <w:p w14:paraId="65285BBA" w14:textId="77777777" w:rsidR="00772179" w:rsidRDefault="00772179">
      <w:pPr>
        <w:ind w:left="567"/>
        <w:jc w:val="both"/>
      </w:pPr>
    </w:p>
    <w:p w14:paraId="5853DF1D" w14:textId="77777777" w:rsidR="00772179" w:rsidRDefault="00000000">
      <w:pPr>
        <w:ind w:left="567"/>
        <w:jc w:val="both"/>
      </w:pPr>
      <w:r>
        <w:rPr>
          <w:rStyle w:val="soitChar"/>
          <w:u w:val="single"/>
        </w:rPr>
        <w:t>En aluminium :</w:t>
      </w:r>
      <w:r>
        <w:rPr>
          <w:rStyle w:val="soitChar"/>
        </w:rPr>
        <w:t xml:space="preserve"> ils répondent aux prescriptions de l’article 35.14.2a Profilés de rive de toiture en aluminium extrudé</w:t>
      </w:r>
    </w:p>
    <w:p w14:paraId="24A32EA2" w14:textId="77777777" w:rsidR="00772179" w:rsidRDefault="00772179"/>
    <w:p w14:paraId="2340C130" w14:textId="77777777" w:rsidR="00772179" w:rsidRDefault="00000000">
      <w:pPr>
        <w:ind w:left="567"/>
        <w:jc w:val="both"/>
      </w:pPr>
      <w:r>
        <w:rPr>
          <w:b/>
          <w:i/>
        </w:rPr>
        <w:t>(soit)</w:t>
      </w:r>
    </w:p>
    <w:p w14:paraId="06401B18" w14:textId="77777777" w:rsidR="00772179" w:rsidRDefault="00772179">
      <w:pPr>
        <w:ind w:left="567"/>
        <w:jc w:val="both"/>
      </w:pPr>
    </w:p>
    <w:p w14:paraId="645C1439" w14:textId="77777777" w:rsidR="00772179" w:rsidRDefault="00000000">
      <w:pPr>
        <w:ind w:left="567"/>
        <w:jc w:val="both"/>
      </w:pPr>
      <w:r>
        <w:rPr>
          <w:rStyle w:val="soitChar"/>
          <w:u w:val="single"/>
        </w:rPr>
        <w:t>En zinc</w:t>
      </w:r>
      <w:r>
        <w:rPr>
          <w:rStyle w:val="soitChar"/>
        </w:rPr>
        <w:t xml:space="preserve"> : ils répondent aux prescriptions de l’article 35.14.2b Profilés de rive de toiture en zinc</w:t>
      </w:r>
    </w:p>
    <w:p w14:paraId="3B80CADD" w14:textId="77777777" w:rsidR="00772179" w:rsidRDefault="00772179"/>
    <w:p w14:paraId="56F3594D" w14:textId="77777777" w:rsidR="00772179" w:rsidRDefault="00000000">
      <w:pPr>
        <w:ind w:left="567"/>
        <w:jc w:val="both"/>
      </w:pPr>
      <w:r>
        <w:t xml:space="preserve">Les éléments de remplissage sont composés de </w:t>
      </w:r>
      <w:r>
        <w:rPr>
          <w:rStyle w:val="optioncarChar"/>
        </w:rPr>
        <w:t xml:space="preserve">vitrage </w:t>
      </w:r>
      <w:r>
        <w:t>(par défaut)</w:t>
      </w:r>
      <w:r>
        <w:rPr>
          <w:rStyle w:val="optioncarChar"/>
        </w:rPr>
        <w:t xml:space="preserve"> / polycarbonates (PC) / polyméthacrylate de méthyle (PMMA) / panneaux sandwich / ***</w:t>
      </w:r>
    </w:p>
    <w:p w14:paraId="50B5B0B8" w14:textId="77777777" w:rsidR="00772179" w:rsidRDefault="00000000">
      <w:pPr>
        <w:ind w:left="567"/>
        <w:jc w:val="both"/>
      </w:pPr>
      <w:r>
        <w:rPr>
          <w:b/>
          <w:i/>
        </w:rPr>
        <w:t>(soit par défaut)</w:t>
      </w:r>
    </w:p>
    <w:p w14:paraId="65496333" w14:textId="77777777" w:rsidR="00772179" w:rsidRDefault="00000000">
      <w:pPr>
        <w:ind w:left="567"/>
        <w:jc w:val="both"/>
      </w:pPr>
      <w:r>
        <w:rPr>
          <w:rStyle w:val="soitChar"/>
          <w:u w:val="single"/>
        </w:rPr>
        <w:t>Vitrage :</w:t>
      </w:r>
      <w:r>
        <w:rPr>
          <w:rStyle w:val="soitChar"/>
        </w:rPr>
        <w:t xml:space="preserve"> il répond aux prescriptions de l’article 36.12.1a Vitrage pour verrières. Il s’agit d’un </w:t>
      </w:r>
      <w:r>
        <w:rPr>
          <w:rStyle w:val="optioncarChar"/>
        </w:rPr>
        <w:t>vitrage plat</w:t>
      </w:r>
      <w:r>
        <w:t xml:space="preserve"> (par défaut)</w:t>
      </w:r>
      <w:r>
        <w:rPr>
          <w:rStyle w:val="optioncarChar"/>
        </w:rPr>
        <w:t xml:space="preserve"> / vitrage bombé / ***</w:t>
      </w:r>
      <w:r>
        <w:rPr>
          <w:rStyle w:val="soitChar"/>
        </w:rPr>
        <w:t>.</w:t>
      </w:r>
    </w:p>
    <w:p w14:paraId="4B6F8BFF" w14:textId="77777777" w:rsidR="00772179" w:rsidRDefault="00000000">
      <w:pPr>
        <w:ind w:left="567"/>
        <w:jc w:val="both"/>
      </w:pPr>
      <w:r>
        <w:rPr>
          <w:rStyle w:val="soitChar"/>
        </w:rPr>
        <w:t xml:space="preserve">Le type de vitrage à utiliser est choisi en fonction des exigences requises conformément à la [NBN S 23-002]. En particulier, l'épaisseur des feuilles de verre est déterminée sur base des sollicitations dues au poids propre, au poids de la neige et à la pression du vent. Les calculs sont effectués selon les méthodes de calcul préconisées dans la [NBN S 23-002-2]. Une note de calcul justificative est fournie à l’auteur de projet. La valeur U est calculée conformément aux prescriptions de la [NBN EN 675] : ≤ </w:t>
      </w:r>
      <w:r>
        <w:rPr>
          <w:rStyle w:val="optioncarChar"/>
        </w:rPr>
        <w:t>1.1 </w:t>
      </w:r>
      <w:r>
        <w:t xml:space="preserve">(par défaut) </w:t>
      </w:r>
      <w:r>
        <w:rPr>
          <w:rStyle w:val="optioncarChar"/>
        </w:rPr>
        <w:t>/ *** </w:t>
      </w:r>
      <w:r>
        <w:rPr>
          <w:rStyle w:val="soitChar"/>
        </w:rPr>
        <w:t>W/m²K. Le facteur solaire (g) (ou facteur énergétique global) est mesuré conformément à la [NBN EN 410] : comprise entre </w:t>
      </w:r>
      <w:r>
        <w:rPr>
          <w:rStyle w:val="optioncarChar"/>
        </w:rPr>
        <w:t xml:space="preserve">0.3 et 0.71 </w:t>
      </w:r>
      <w:r>
        <w:t xml:space="preserve">(par défaut) </w:t>
      </w:r>
      <w:r>
        <w:rPr>
          <w:rStyle w:val="optioncarChar"/>
        </w:rPr>
        <w:t>/ ***</w:t>
      </w:r>
      <w:r>
        <w:rPr>
          <w:rStyle w:val="soitChar"/>
        </w:rPr>
        <w:t>. Le vitrage intérieur est composé d’un</w:t>
      </w:r>
      <w:r>
        <w:rPr>
          <w:rStyle w:val="optioncarChar"/>
        </w:rPr>
        <w:t xml:space="preserve"> verre simple feuilleté</w:t>
      </w:r>
      <w:r>
        <w:t xml:space="preserve"> (par défaut)</w:t>
      </w:r>
      <w:r>
        <w:rPr>
          <w:rStyle w:val="optioncarChar"/>
        </w:rPr>
        <w:t xml:space="preserve"> / ***</w:t>
      </w:r>
      <w:r>
        <w:rPr>
          <w:rStyle w:val="soitChar"/>
        </w:rPr>
        <w:t>. L’épaisseur du vitrage intérieur</w:t>
      </w:r>
      <w:r>
        <w:rPr>
          <w:rStyle w:val="optioncarChar"/>
        </w:rPr>
        <w:t xml:space="preserve"> répond à la [NBN S 23-002-2] </w:t>
      </w:r>
      <w:r>
        <w:t>(par défaut)</w:t>
      </w:r>
      <w:r>
        <w:rPr>
          <w:rStyle w:val="optioncarChar"/>
        </w:rPr>
        <w:t xml:space="preserve"> / est égal à *** mm</w:t>
      </w:r>
    </w:p>
    <w:p w14:paraId="115A81C4" w14:textId="77777777" w:rsidR="00772179" w:rsidRDefault="00000000">
      <w:pPr>
        <w:ind w:left="567"/>
        <w:jc w:val="both"/>
      </w:pPr>
      <w:r>
        <w:rPr>
          <w:rStyle w:val="soitChar"/>
        </w:rPr>
        <w:lastRenderedPageBreak/>
        <w:t xml:space="preserve">Le vitrage extérieur est composé de </w:t>
      </w:r>
      <w:r>
        <w:rPr>
          <w:rStyle w:val="optioncarChar"/>
        </w:rPr>
        <w:t xml:space="preserve">verre simple floaté (ordinaire) / verre simple trempé </w:t>
      </w:r>
      <w:r>
        <w:t>(par défaut)</w:t>
      </w:r>
      <w:r>
        <w:rPr>
          <w:rStyle w:val="optioncarChar"/>
        </w:rPr>
        <w:t xml:space="preserve"> / verre simple durci / verre simple feuilleté / ***</w:t>
      </w:r>
      <w:r>
        <w:rPr>
          <w:rStyle w:val="soitChar"/>
        </w:rPr>
        <w:t>. L’épaisseur du vitrage extérieur</w:t>
      </w:r>
      <w:r>
        <w:rPr>
          <w:rStyle w:val="optioncarChar"/>
        </w:rPr>
        <w:t xml:space="preserve"> répond à la [NBN S 23-002-2] </w:t>
      </w:r>
      <w:r>
        <w:t>(par défaut)</w:t>
      </w:r>
      <w:r>
        <w:rPr>
          <w:rStyle w:val="optioncarChar"/>
        </w:rPr>
        <w:t xml:space="preserve"> / est = *** </w:t>
      </w:r>
      <w:r>
        <w:t>mm</w:t>
      </w:r>
      <w:r>
        <w:rPr>
          <w:rStyle w:val="soitChar"/>
        </w:rPr>
        <w:t>.</w:t>
      </w:r>
    </w:p>
    <w:p w14:paraId="583104A8" w14:textId="77777777" w:rsidR="00772179" w:rsidRDefault="00000000">
      <w:pPr>
        <w:ind w:left="567"/>
        <w:jc w:val="both"/>
      </w:pPr>
      <w:r>
        <w:rPr>
          <w:b/>
          <w:i/>
        </w:rPr>
        <w:t>(soit)</w:t>
      </w:r>
    </w:p>
    <w:p w14:paraId="6B8C93AB" w14:textId="77777777" w:rsidR="00772179" w:rsidRDefault="00000000">
      <w:pPr>
        <w:ind w:left="567"/>
        <w:jc w:val="both"/>
      </w:pPr>
      <w:r>
        <w:rPr>
          <w:rStyle w:val="soitChar"/>
          <w:u w:val="single"/>
        </w:rPr>
        <w:t>Polycarbonate (PC) :</w:t>
      </w:r>
      <w:r>
        <w:rPr>
          <w:rStyle w:val="soitChar"/>
        </w:rPr>
        <w:t xml:space="preserve"> il répond aux prescriptions de l’article 36.42.2a Plaques en matière synthétique pour lanterneaux. La plaque en polycarbonate est alvéolée de </w:t>
      </w:r>
      <w:r>
        <w:rPr>
          <w:rStyle w:val="optioncarChar"/>
        </w:rPr>
        <w:t xml:space="preserve">5 chambres </w:t>
      </w:r>
      <w:r>
        <w:t xml:space="preserve">(par défaut) </w:t>
      </w:r>
      <w:r>
        <w:rPr>
          <w:rStyle w:val="optioncarChar"/>
        </w:rPr>
        <w:t>/ alvéolée de 3 chambres / ***</w:t>
      </w:r>
      <w:r>
        <w:rPr>
          <w:rStyle w:val="soitChar"/>
        </w:rPr>
        <w:t xml:space="preserve">.  La valeur U du panneau est inférieure à </w:t>
      </w:r>
      <w:r>
        <w:rPr>
          <w:rStyle w:val="optioncarChar"/>
        </w:rPr>
        <w:t xml:space="preserve">1.8 / *** </w:t>
      </w:r>
      <w:r>
        <w:rPr>
          <w:rStyle w:val="soitChar"/>
        </w:rPr>
        <w:t>W/m²K. La transmission lumineuse est</w:t>
      </w:r>
      <w:r>
        <w:rPr>
          <w:rStyle w:val="optioncarChar"/>
        </w:rPr>
        <w:t xml:space="preserve"> &gt; 60 % </w:t>
      </w:r>
      <w:r>
        <w:t xml:space="preserve">(par défaut) </w:t>
      </w:r>
      <w:r>
        <w:rPr>
          <w:rStyle w:val="optioncarChar"/>
        </w:rPr>
        <w:t>/ ***</w:t>
      </w:r>
      <w:r>
        <w:rPr>
          <w:rStyle w:val="soitChar"/>
        </w:rPr>
        <w:t xml:space="preserve">. L’épaisseur du panneau est de </w:t>
      </w:r>
      <w:r>
        <w:rPr>
          <w:rStyle w:val="optioncarChar"/>
        </w:rPr>
        <w:t>10 / 16 / ***</w:t>
      </w:r>
      <w:r>
        <w:rPr>
          <w:rStyle w:val="soitChar"/>
        </w:rPr>
        <w:t xml:space="preserve"> mm.</w:t>
      </w:r>
    </w:p>
    <w:p w14:paraId="0B0A03E1" w14:textId="77777777" w:rsidR="00772179" w:rsidRDefault="00772179"/>
    <w:p w14:paraId="1A4392DA" w14:textId="77777777" w:rsidR="00772179" w:rsidRDefault="00000000">
      <w:pPr>
        <w:ind w:left="567"/>
        <w:jc w:val="both"/>
      </w:pPr>
      <w:r>
        <w:rPr>
          <w:b/>
          <w:i/>
        </w:rPr>
        <w:t>(soit)</w:t>
      </w:r>
    </w:p>
    <w:p w14:paraId="2D656CF2" w14:textId="77777777" w:rsidR="00772179" w:rsidRDefault="00772179">
      <w:pPr>
        <w:ind w:left="567"/>
        <w:jc w:val="both"/>
      </w:pPr>
    </w:p>
    <w:p w14:paraId="271138C9" w14:textId="77777777" w:rsidR="00772179" w:rsidRDefault="00000000">
      <w:pPr>
        <w:ind w:left="567"/>
        <w:jc w:val="both"/>
      </w:pPr>
      <w:r>
        <w:rPr>
          <w:rStyle w:val="soitChar"/>
          <w:u w:val="single"/>
        </w:rPr>
        <w:t>Polyméthacrylate de Méthyle (PMMA) :</w:t>
      </w:r>
      <w:r>
        <w:rPr>
          <w:rStyle w:val="soitChar"/>
        </w:rPr>
        <w:t xml:space="preserve"> il répond aux prescriptions de l’article 36.42.2a Plaques en matière synthétique pour lanterneaux. La plaque en PMMA est</w:t>
      </w:r>
      <w:r>
        <w:rPr>
          <w:rStyle w:val="optioncarChar"/>
        </w:rPr>
        <w:t xml:space="preserve"> plane </w:t>
      </w:r>
      <w:r>
        <w:t>(par défaut)</w:t>
      </w:r>
      <w:r>
        <w:rPr>
          <w:rStyle w:val="optioncarChar"/>
        </w:rPr>
        <w:t xml:space="preserve"> / bombée / ***</w:t>
      </w:r>
      <w:r>
        <w:rPr>
          <w:rStyle w:val="soitChar"/>
        </w:rPr>
        <w:t xml:space="preserve">.  La valeur U du panneau est &lt; </w:t>
      </w:r>
      <w:r>
        <w:rPr>
          <w:rStyle w:val="optioncarChar"/>
        </w:rPr>
        <w:t>1.8 / *** </w:t>
      </w:r>
      <w:r>
        <w:rPr>
          <w:rStyle w:val="soitChar"/>
        </w:rPr>
        <w:t>W/m²K. La transmission lumineuse est &gt;</w:t>
      </w:r>
      <w:r>
        <w:rPr>
          <w:rStyle w:val="optioncarChar"/>
        </w:rPr>
        <w:t xml:space="preserve"> 80 % </w:t>
      </w:r>
      <w:r>
        <w:t xml:space="preserve">(par défaut) </w:t>
      </w:r>
      <w:r>
        <w:rPr>
          <w:rStyle w:val="optioncarChar"/>
        </w:rPr>
        <w:t>/ ***</w:t>
      </w:r>
      <w:r>
        <w:rPr>
          <w:rStyle w:val="soitChar"/>
        </w:rPr>
        <w:t xml:space="preserve">. L’épaisseur du panneau est de </w:t>
      </w:r>
      <w:r>
        <w:rPr>
          <w:rStyle w:val="optioncarChar"/>
        </w:rPr>
        <w:t>8 / *** </w:t>
      </w:r>
      <w:r>
        <w:rPr>
          <w:rStyle w:val="soitChar"/>
        </w:rPr>
        <w:t>mm.</w:t>
      </w:r>
    </w:p>
    <w:p w14:paraId="5ABC4BB0" w14:textId="77777777" w:rsidR="00772179" w:rsidRDefault="00772179"/>
    <w:p w14:paraId="04B08285" w14:textId="77777777" w:rsidR="00772179" w:rsidRDefault="00000000">
      <w:pPr>
        <w:ind w:left="567"/>
        <w:jc w:val="both"/>
      </w:pPr>
      <w:r>
        <w:rPr>
          <w:b/>
          <w:i/>
        </w:rPr>
        <w:t>(soit)</w:t>
      </w:r>
    </w:p>
    <w:p w14:paraId="028BEB28" w14:textId="77777777" w:rsidR="00772179" w:rsidRDefault="00000000">
      <w:pPr>
        <w:ind w:left="567"/>
        <w:jc w:val="both"/>
      </w:pPr>
      <w:r>
        <w:rPr>
          <w:rStyle w:val="soitChar"/>
          <w:u w:val="single"/>
        </w:rPr>
        <w:t>Panneaux sandwich :</w:t>
      </w:r>
      <w:r>
        <w:rPr>
          <w:rStyle w:val="soitChar"/>
        </w:rPr>
        <w:t xml:space="preserve">  L’épaisseur du panneau sandwich est de </w:t>
      </w:r>
      <w:r>
        <w:rPr>
          <w:rStyle w:val="optioncarChar"/>
        </w:rPr>
        <w:t>***</w:t>
      </w:r>
      <w:r>
        <w:rPr>
          <w:rStyle w:val="soitChar"/>
        </w:rPr>
        <w:t xml:space="preserve"> mm. L’isolation du panneau est en </w:t>
      </w:r>
      <w:r>
        <w:rPr>
          <w:rStyle w:val="optioncarChar"/>
        </w:rPr>
        <w:t>Polyuréthane (PU) / Polyisocyanurate (PIR) / Polystyrène (EPS) / Laine de roche (MW) / Liège/ ***.</w:t>
      </w:r>
      <w:r>
        <w:rPr>
          <w:rStyle w:val="soitChar"/>
        </w:rPr>
        <w:t xml:space="preserve"> La valeur U du panneau est &lt; </w:t>
      </w:r>
      <w:r>
        <w:rPr>
          <w:rStyle w:val="optioncarChar"/>
        </w:rPr>
        <w:t>1.1 / *** W/m²K</w:t>
      </w:r>
      <w:r>
        <w:rPr>
          <w:rStyle w:val="soitChar"/>
        </w:rPr>
        <w:t xml:space="preserve">. Le parement intérieur est en </w:t>
      </w:r>
      <w:r>
        <w:rPr>
          <w:rStyle w:val="optioncarChar"/>
        </w:rPr>
        <w:t>aluminium / inox / *** </w:t>
      </w:r>
      <w:r>
        <w:rPr>
          <w:rStyle w:val="soitChar"/>
        </w:rPr>
        <w:t xml:space="preserve"> de couleur </w:t>
      </w:r>
      <w:r>
        <w:rPr>
          <w:rStyle w:val="optioncarChar"/>
        </w:rPr>
        <w:t>***</w:t>
      </w:r>
      <w:r>
        <w:rPr>
          <w:rStyle w:val="soitChar"/>
        </w:rPr>
        <w:t xml:space="preserve">. Le parement extérieur est en </w:t>
      </w:r>
      <w:r>
        <w:rPr>
          <w:rStyle w:val="optioncarChar"/>
        </w:rPr>
        <w:t xml:space="preserve">aluminium / inox </w:t>
      </w:r>
      <w:r>
        <w:t> </w:t>
      </w:r>
      <w:r>
        <w:rPr>
          <w:rStyle w:val="soitChar"/>
        </w:rPr>
        <w:t xml:space="preserve">de couleur </w:t>
      </w:r>
      <w:r>
        <w:rPr>
          <w:rStyle w:val="optioncarChar"/>
        </w:rPr>
        <w:t>***</w:t>
      </w:r>
      <w:r>
        <w:rPr>
          <w:rStyle w:val="soitChar"/>
        </w:rPr>
        <w:t>. </w:t>
      </w:r>
    </w:p>
    <w:p w14:paraId="4CC911E8" w14:textId="77777777" w:rsidR="00772179" w:rsidRDefault="00000000">
      <w:pPr>
        <w:jc w:val="both"/>
      </w:pPr>
      <w:r>
        <w:t xml:space="preserve">La pose des éléments de remplissage est conçue de manière à empêcher toute accumulation d’eau et à garantir un bon drainage (en particulier dans le cas d’utilisation de vitrages feuilletés et/ou d’isolants). Le drainage d’éléments de remplissage fixés par contre-profilés est conçu de telle manière que l’eau circule de rainure d’éléments secondaires vers des rainures d’éléments primaires sans accumulation d’eau. La continuité entre les profils de drainage est assurée en cascade par </w:t>
      </w:r>
      <w:r>
        <w:rPr>
          <w:rStyle w:val="optioncarChar"/>
        </w:rPr>
        <w:t xml:space="preserve">déversement / membrane de raccord / profilé de raccord / injection des profilés creux </w:t>
      </w:r>
      <w:r>
        <w:t>pour finalement être évacuée au niveau du chéneau et vers les évacuations. En cas d’injection des profilés creux, le produit d’injection est constitué de mastics permettant la reprise élastique ≥ 150 %, une liaison mécanique entre profilés empêche la déformation relative au niveau de l’assemblage. Ceci permet de supprimer les eaux ruisselantes et les trous de drainage sous les traverses. Ce drainage est assuré par le recouvrement des traverses sur les montants.</w:t>
      </w:r>
    </w:p>
    <w:p w14:paraId="58C0C9D9" w14:textId="77777777" w:rsidR="00772179" w:rsidRDefault="00000000">
      <w:pPr>
        <w:jc w:val="both"/>
      </w:pPr>
      <w:r>
        <w:rPr>
          <w:b/>
        </w:rPr>
        <w:t>Garniture d’étanchéité</w:t>
      </w:r>
    </w:p>
    <w:p w14:paraId="770C6F22" w14:textId="77777777" w:rsidR="00772179" w:rsidRDefault="00000000">
      <w:pPr>
        <w:jc w:val="both"/>
      </w:pPr>
      <w:r>
        <w:t>Il s’agit de</w:t>
      </w:r>
      <w:r>
        <w:rPr>
          <w:rStyle w:val="optioncarChar"/>
        </w:rPr>
        <w:t xml:space="preserve"> joints EPDM / mastic élastomère / mastic élastomère extrudé </w:t>
      </w:r>
      <w:r>
        <w:t>utilisés pour les joints de finition intérieurs et pour les joints d’étanchéité extérieurs (étanchéité de la façade).</w:t>
      </w:r>
    </w:p>
    <w:p w14:paraId="33105B5F" w14:textId="77777777" w:rsidR="00772179" w:rsidRDefault="00000000">
      <w:pPr>
        <w:jc w:val="both"/>
      </w:pPr>
      <w:r>
        <w:t>Ils sont compatibles avec tous les matériaux environnants (par exemple, finition du profilé en aluminium, ...).</w:t>
      </w:r>
    </w:p>
    <w:p w14:paraId="158E1445" w14:textId="77777777" w:rsidR="00772179" w:rsidRDefault="00000000">
      <w:pPr>
        <w:jc w:val="both"/>
      </w:pPr>
      <w:r>
        <w:t xml:space="preserve">La couleur de la garniture d’étanchéité est </w:t>
      </w:r>
      <w:r>
        <w:rPr>
          <w:rStyle w:val="optioncarChar"/>
        </w:rPr>
        <w:t>transparente / grise / noire</w:t>
      </w:r>
      <w:r>
        <w:t>.</w:t>
      </w:r>
    </w:p>
    <w:p w14:paraId="06AC5CDB" w14:textId="77777777" w:rsidR="00772179" w:rsidRDefault="00000000">
      <w:pPr>
        <w:jc w:val="both"/>
      </w:pPr>
      <w:r>
        <w:rPr>
          <w:b/>
        </w:rPr>
        <w:t>Autres composants</w:t>
      </w:r>
    </w:p>
    <w:p w14:paraId="1D730378" w14:textId="77777777" w:rsidR="00772179" w:rsidRDefault="00000000">
      <w:pPr>
        <w:jc w:val="both"/>
      </w:pPr>
      <w:r>
        <w:t>Les fonds de joints (bande préformée continue délimitant la profondeur de la garniture d’étanchéité) sont compatibles avec les produits environnants.</w:t>
      </w:r>
    </w:p>
    <w:p w14:paraId="6058D820" w14:textId="77777777" w:rsidR="00772179" w:rsidRDefault="00000000">
      <w:pPr>
        <w:jc w:val="both"/>
      </w:pPr>
      <w:r>
        <w:t xml:space="preserve">Les cales sont en matériau imputrescible et de dureté </w:t>
      </w:r>
      <w:r>
        <w:rPr>
          <w:rStyle w:val="optioncarChar"/>
        </w:rPr>
        <w:t xml:space="preserve">≥ 75° ±  5° Shore A </w:t>
      </w:r>
      <w:r>
        <w:t>(par défaut)</w:t>
      </w:r>
      <w:r>
        <w:rPr>
          <w:rStyle w:val="optioncarChar"/>
        </w:rPr>
        <w:t xml:space="preserve"> / ***</w:t>
      </w:r>
      <w:r>
        <w:t>.</w:t>
      </w:r>
    </w:p>
    <w:p w14:paraId="4B68330B" w14:textId="77777777" w:rsidR="00772179" w:rsidRDefault="00000000">
      <w:pPr>
        <w:jc w:val="both"/>
      </w:pPr>
      <w:r>
        <w:t>A défaut d’autres documents prescriptifs, les performances des vérandas sont similaires aux exigences des façades suivant la norme [NBN B 25-002-1].</w:t>
      </w:r>
    </w:p>
    <w:p w14:paraId="777B0AA7" w14:textId="77777777" w:rsidR="00772179" w:rsidRDefault="00000000">
      <w:pPr>
        <w:pStyle w:val="Author-eListParagraph"/>
        <w:numPr>
          <w:ilvl w:val="0"/>
          <w:numId w:val="671"/>
        </w:numPr>
        <w:jc w:val="both"/>
      </w:pPr>
      <w:r>
        <w:t xml:space="preserve">Performances thermiques : la valeur Uw est de </w:t>
      </w:r>
      <w:r>
        <w:rPr>
          <w:rStyle w:val="optioncarChar"/>
        </w:rPr>
        <w:t xml:space="preserve">0.85 </w:t>
      </w:r>
      <w:r>
        <w:t xml:space="preserve">(par défaut) </w:t>
      </w:r>
      <w:r>
        <w:rPr>
          <w:rStyle w:val="optioncarChar"/>
        </w:rPr>
        <w:t>/ 0.65 / ***</w:t>
      </w:r>
      <w:r>
        <w:t xml:space="preserve"> W/m²K</w:t>
      </w:r>
    </w:p>
    <w:p w14:paraId="4654AAD1" w14:textId="77777777" w:rsidR="00772179" w:rsidRDefault="00000000">
      <w:pPr>
        <w:pStyle w:val="Author-eListParagraph"/>
        <w:numPr>
          <w:ilvl w:val="0"/>
          <w:numId w:val="671"/>
        </w:numPr>
        <w:jc w:val="both"/>
      </w:pPr>
      <w:r>
        <w:t xml:space="preserve">Perméabilité à l’air : </w:t>
      </w:r>
      <w:r>
        <w:rPr>
          <w:rStyle w:val="optioncarChar"/>
        </w:rPr>
        <w:t xml:space="preserve">Classe A4 </w:t>
      </w:r>
      <w:r>
        <w:t>(par défaut)</w:t>
      </w:r>
      <w:r>
        <w:rPr>
          <w:rStyle w:val="optioncarChar"/>
        </w:rPr>
        <w:t xml:space="preserve"> / ***</w:t>
      </w:r>
    </w:p>
    <w:p w14:paraId="392A0166" w14:textId="77777777" w:rsidR="00772179" w:rsidRDefault="00000000">
      <w:pPr>
        <w:pStyle w:val="Author-eListParagraph"/>
        <w:numPr>
          <w:ilvl w:val="0"/>
          <w:numId w:val="671"/>
        </w:numPr>
        <w:jc w:val="both"/>
      </w:pPr>
      <w:r>
        <w:lastRenderedPageBreak/>
        <w:t xml:space="preserve">Etanchéité à l’eau : </w:t>
      </w:r>
      <w:r>
        <w:rPr>
          <w:rStyle w:val="optioncarChar"/>
        </w:rPr>
        <w:t xml:space="preserve">Classe R7 / 600Pa </w:t>
      </w:r>
      <w:r>
        <w:t xml:space="preserve">(par défaut) </w:t>
      </w:r>
      <w:r>
        <w:rPr>
          <w:rStyle w:val="optioncarChar"/>
        </w:rPr>
        <w:t>/ ***</w:t>
      </w:r>
    </w:p>
    <w:p w14:paraId="1B8467FE" w14:textId="77777777" w:rsidR="00772179" w:rsidRDefault="00000000">
      <w:pPr>
        <w:pStyle w:val="Author-eListParagraph"/>
        <w:numPr>
          <w:ilvl w:val="0"/>
          <w:numId w:val="671"/>
        </w:numPr>
        <w:jc w:val="both"/>
      </w:pPr>
      <w:r>
        <w:t xml:space="preserve">Résistance au vent : </w:t>
      </w:r>
      <w:r>
        <w:rPr>
          <w:rStyle w:val="optioncarChar"/>
        </w:rPr>
        <w:t>Classe w</w:t>
      </w:r>
      <w:r>
        <w:rPr>
          <w:rStyle w:val="optioncarChar"/>
          <w:vertAlign w:val="subscript"/>
        </w:rPr>
        <w:t>k</w:t>
      </w:r>
      <w:r>
        <w:rPr>
          <w:rStyle w:val="optioncarChar"/>
        </w:rPr>
        <w:t xml:space="preserve"> = 1200 Pa/ w</w:t>
      </w:r>
      <w:r>
        <w:rPr>
          <w:rStyle w:val="optioncarChar"/>
          <w:vertAlign w:val="subscript"/>
        </w:rPr>
        <w:t>u</w:t>
      </w:r>
      <w:r>
        <w:rPr>
          <w:rStyle w:val="optioncarChar"/>
        </w:rPr>
        <w:t xml:space="preserve"> = 1800 Pa </w:t>
      </w:r>
      <w:r>
        <w:t xml:space="preserve">(par défaut) </w:t>
      </w:r>
      <w:r>
        <w:rPr>
          <w:rStyle w:val="optioncarChar"/>
        </w:rPr>
        <w:t>/ ***</w:t>
      </w:r>
    </w:p>
    <w:p w14:paraId="41964F1E" w14:textId="77777777" w:rsidR="00772179" w:rsidRDefault="00000000">
      <w:pPr>
        <w:pStyle w:val="Author-eListParagraph"/>
        <w:numPr>
          <w:ilvl w:val="0"/>
          <w:numId w:val="671"/>
        </w:numPr>
        <w:jc w:val="both"/>
      </w:pPr>
      <w:r>
        <w:t xml:space="preserve">Performances acoustiques : D Atr supérieur à </w:t>
      </w:r>
      <w:r>
        <w:rPr>
          <w:rStyle w:val="optioncarChar"/>
        </w:rPr>
        <w:t>38 </w:t>
      </w:r>
      <w:r>
        <w:t xml:space="preserve">(par défaut) </w:t>
      </w:r>
      <w:r>
        <w:rPr>
          <w:rStyle w:val="optioncarChar"/>
        </w:rPr>
        <w:t>/ *** </w:t>
      </w:r>
      <w:r>
        <w:t>dB</w:t>
      </w:r>
    </w:p>
    <w:p w14:paraId="3E66158E" w14:textId="77777777" w:rsidR="00772179" w:rsidRDefault="00000000">
      <w:pPr>
        <w:pStyle w:val="Author-eListParagraph"/>
        <w:numPr>
          <w:ilvl w:val="0"/>
          <w:numId w:val="671"/>
        </w:numPr>
        <w:jc w:val="both"/>
      </w:pPr>
      <w:r>
        <w:t xml:space="preserve">Résistance à l’effraction : </w:t>
      </w:r>
      <w:r>
        <w:rPr>
          <w:rStyle w:val="optioncarChar"/>
        </w:rPr>
        <w:t xml:space="preserve">Classe RC 2 </w:t>
      </w:r>
      <w:r>
        <w:t xml:space="preserve">(par défaut) </w:t>
      </w:r>
      <w:r>
        <w:rPr>
          <w:rStyle w:val="optioncarChar"/>
        </w:rPr>
        <w:t>/ ***</w:t>
      </w:r>
    </w:p>
    <w:p w14:paraId="6D55B263" w14:textId="77777777" w:rsidR="00772179" w:rsidRDefault="00000000">
      <w:pPr>
        <w:pStyle w:val="Author-eListParagraph"/>
        <w:numPr>
          <w:ilvl w:val="0"/>
          <w:numId w:val="671"/>
        </w:numPr>
        <w:jc w:val="both"/>
      </w:pPr>
      <w:r>
        <w:t xml:space="preserve">Résistance aux chocs : </w:t>
      </w:r>
      <w:r>
        <w:rPr>
          <w:rStyle w:val="optioncarChar"/>
        </w:rPr>
        <w:t xml:space="preserve">Classes E4/I3 </w:t>
      </w:r>
      <w:r>
        <w:t>(par défaut)</w:t>
      </w:r>
      <w:r>
        <w:rPr>
          <w:rStyle w:val="optioncarChar"/>
        </w:rPr>
        <w:t xml:space="preserve"> / ***</w:t>
      </w:r>
    </w:p>
    <w:p w14:paraId="0BA97CF3" w14:textId="77777777" w:rsidR="00772179" w:rsidRDefault="00000000">
      <w:pPr>
        <w:jc w:val="both"/>
      </w:pPr>
      <w:r>
        <w:rPr>
          <w:b/>
        </w:rPr>
        <w:t>Types de fenêtres et portes fenêtres</w:t>
      </w:r>
    </w:p>
    <w:p w14:paraId="002B28DC" w14:textId="77777777" w:rsidR="00772179" w:rsidRDefault="00000000">
      <w:pPr>
        <w:jc w:val="both"/>
      </w:pPr>
      <w:r>
        <w:t xml:space="preserve">(Voir </w:t>
      </w:r>
      <w:hyperlink w:anchor="64" w:history="1">
        <w:r>
          <w:rPr>
            <w:color w:val="0000EE"/>
          </w:rPr>
          <w:t>41.1 Fenêtres et portes-fenêtres</w:t>
        </w:r>
      </w:hyperlink>
      <w:r>
        <w:t>)</w:t>
      </w:r>
    </w:p>
    <w:p w14:paraId="12CB2457" w14:textId="77777777" w:rsidR="00772179" w:rsidRDefault="00000000">
      <w:pPr>
        <w:pStyle w:val="Author-eListParagraph"/>
        <w:numPr>
          <w:ilvl w:val="0"/>
          <w:numId w:val="672"/>
        </w:numPr>
      </w:pPr>
      <w:r>
        <w:t xml:space="preserve">Dimensions : </w:t>
      </w:r>
      <w:r>
        <w:rPr>
          <w:rStyle w:val="optioncarChar"/>
        </w:rPr>
        <w:t>*** </w:t>
      </w:r>
      <w:r>
        <w:t xml:space="preserve">x </w:t>
      </w:r>
      <w:r>
        <w:rPr>
          <w:rStyle w:val="optioncarChar"/>
        </w:rPr>
        <w:t>***</w:t>
      </w:r>
      <w:r>
        <w:t xml:space="preserve"> mm</w:t>
      </w:r>
    </w:p>
    <w:p w14:paraId="163DDBBA" w14:textId="77777777" w:rsidR="00772179" w:rsidRDefault="00000000">
      <w:pPr>
        <w:pStyle w:val="Author-eListParagraph"/>
        <w:numPr>
          <w:ilvl w:val="0"/>
          <w:numId w:val="672"/>
        </w:numPr>
      </w:pPr>
      <w:r>
        <w:t xml:space="preserve">Remplissage : </w:t>
      </w:r>
      <w:r>
        <w:rPr>
          <w:rStyle w:val="optioncarChar"/>
        </w:rPr>
        <w:t>***</w:t>
      </w:r>
      <w:r>
        <w:t xml:space="preserve"> (Voir </w:t>
      </w:r>
      <w:hyperlink w:anchor="852" w:history="1">
        <w:r>
          <w:rPr>
            <w:color w:val="0000EE"/>
          </w:rPr>
          <w:t>42 Vitrages extérieurs et éléments de remplissage</w:t>
        </w:r>
      </w:hyperlink>
      <w:r>
        <w:t>)</w:t>
      </w:r>
    </w:p>
    <w:p w14:paraId="5E23204D" w14:textId="77777777" w:rsidR="00772179" w:rsidRDefault="00000000">
      <w:pPr>
        <w:pStyle w:val="Author-eListParagraph"/>
        <w:numPr>
          <w:ilvl w:val="0"/>
          <w:numId w:val="672"/>
        </w:numPr>
      </w:pPr>
      <w:r>
        <w:t xml:space="preserve">Type d’ouvrant : </w:t>
      </w:r>
      <w:r>
        <w:rPr>
          <w:rStyle w:val="optioncarChar"/>
        </w:rPr>
        <w:t>battant / oscillo-battant / basculant / projetant / pivotant / ***</w:t>
      </w:r>
      <w:r>
        <w:t>.</w:t>
      </w:r>
    </w:p>
    <w:p w14:paraId="049B230B" w14:textId="77777777" w:rsidR="00772179" w:rsidRDefault="00000000">
      <w:pPr>
        <w:pStyle w:val="Author-eListParagraph"/>
        <w:numPr>
          <w:ilvl w:val="0"/>
          <w:numId w:val="672"/>
        </w:numPr>
      </w:pPr>
      <w:r>
        <w:t xml:space="preserve">Quincaillerie : (voir chapitre </w:t>
      </w:r>
      <w:hyperlink w:anchor="884" w:history="1">
        <w:r>
          <w:rPr>
            <w:color w:val="0000EE"/>
          </w:rPr>
          <w:t>41.72 Quincailleries</w:t>
        </w:r>
      </w:hyperlink>
      <w:r>
        <w:t>)</w:t>
      </w:r>
    </w:p>
    <w:p w14:paraId="4E9C065B" w14:textId="77777777" w:rsidR="00772179" w:rsidRDefault="00772179"/>
    <w:p w14:paraId="52ACB516" w14:textId="77777777" w:rsidR="00772179" w:rsidRDefault="00000000">
      <w:pPr>
        <w:pStyle w:val="pheading"/>
      </w:pPr>
      <w:r>
        <w:t>- Finitions</w:t>
      </w:r>
    </w:p>
    <w:p w14:paraId="46ABF9A3" w14:textId="77777777" w:rsidR="00772179" w:rsidRDefault="00000000">
      <w:pPr>
        <w:jc w:val="both"/>
      </w:pPr>
      <w:r>
        <w:rPr>
          <w:b/>
        </w:rPr>
        <w:t>Finition du bois côté intérieur :</w:t>
      </w:r>
    </w:p>
    <w:p w14:paraId="4E94CA97" w14:textId="77777777" w:rsidR="00772179" w:rsidRDefault="00000000">
      <w:pPr>
        <w:jc w:val="both"/>
      </w:pPr>
      <w:r>
        <w:t xml:space="preserve">Traitement de protection du profilé bois: </w:t>
      </w:r>
      <w:r>
        <w:rPr>
          <w:rStyle w:val="optioncarChar"/>
        </w:rPr>
        <w:t>Non nécessaire (classe de durabilité du bois suffisante)</w:t>
      </w:r>
      <w:r>
        <w:t xml:space="preserve"> (par défaut)</w:t>
      </w:r>
      <w:r>
        <w:rPr>
          <w:rStyle w:val="optioncarChar"/>
        </w:rPr>
        <w:t xml:space="preserve"> / conforme à la [STS 04.3] / Traitement pour une classe d’emploi 3 (selon [NBN EN 335]) / ***.</w:t>
      </w:r>
    </w:p>
    <w:p w14:paraId="3D2CDDAB" w14:textId="77777777" w:rsidR="00772179" w:rsidRDefault="00000000">
      <w:pPr>
        <w:jc w:val="both"/>
      </w:pPr>
      <w:r>
        <w:t>Traitement de la surface de base :</w:t>
      </w:r>
      <w:r>
        <w:rPr>
          <w:rStyle w:val="optioncarChar"/>
        </w:rPr>
        <w:t xml:space="preserve"> première couche en usine de type peinture </w:t>
      </w:r>
      <w:r>
        <w:t>(par défaut)</w:t>
      </w:r>
      <w:r>
        <w:rPr>
          <w:rStyle w:val="optioncarChar"/>
        </w:rPr>
        <w:t xml:space="preserve"> / première couche en usine de lasure transparente / première couche en usine de lasure teintée / à posteriori / ***.</w:t>
      </w:r>
    </w:p>
    <w:p w14:paraId="7D40C8A7" w14:textId="77777777" w:rsidR="00772179" w:rsidRDefault="00000000">
      <w:pPr>
        <w:jc w:val="both"/>
      </w:pPr>
      <w:r>
        <w:t xml:space="preserve">Traitement de la surface : </w:t>
      </w:r>
      <w:r>
        <w:rPr>
          <w:rStyle w:val="optioncarChar"/>
        </w:rPr>
        <w:t xml:space="preserve">protection incolore selon le procédé </w:t>
      </w:r>
      <w:r>
        <w:t xml:space="preserve">(par défaut) </w:t>
      </w:r>
      <w:r>
        <w:rPr>
          <w:rStyle w:val="optioncarChar"/>
        </w:rPr>
        <w:t>/ produits de peinture non filmogènes.</w:t>
      </w:r>
      <w:r>
        <w:t> </w:t>
      </w:r>
    </w:p>
    <w:p w14:paraId="395E9F36" w14:textId="77777777" w:rsidR="00772179" w:rsidRDefault="00000000">
      <w:pPr>
        <w:ind w:left="567"/>
        <w:jc w:val="both"/>
      </w:pPr>
      <w:r>
        <w:rPr>
          <w:b/>
          <w:i/>
        </w:rPr>
        <w:t>(soit par défaut) </w:t>
      </w:r>
    </w:p>
    <w:p w14:paraId="7E0EADDC" w14:textId="77777777" w:rsidR="00772179" w:rsidRDefault="00000000">
      <w:pPr>
        <w:ind w:left="567"/>
        <w:jc w:val="both"/>
      </w:pPr>
      <w:r>
        <w:rPr>
          <w:rStyle w:val="soitChar"/>
          <w:u w:val="single"/>
        </w:rPr>
        <w:t>Un système de protection incolore, selon le procédé C2</w:t>
      </w:r>
      <w:r>
        <w:rPr>
          <w:rStyle w:val="soitChar"/>
        </w:rPr>
        <w:t>, selon les [STS 04.3]. Le produit se compose d'un vernis à bois régulateur d'humidité avec un pourcentage élevé de résines alkydes et d'agents antibactériens, disponible en différentes couleurs. Le produit n’est pas toxique et est utilisé indifféremment à l'intérieur et à l'extérieur, sur des essences de bois douces, dures et tropicales. Le produit est résistant aux rayons UV. Au moins 3 couches sont prévues : la première couche de protection est appliquée dans la station d'imprégnation ou en atelier, la deuxième couche après la pose par l'entrepreneur et la troisième avant la réception.</w:t>
      </w:r>
    </w:p>
    <w:p w14:paraId="1430C98F" w14:textId="77777777" w:rsidR="00772179" w:rsidRDefault="00772179"/>
    <w:p w14:paraId="2EB13783" w14:textId="77777777" w:rsidR="00772179" w:rsidRDefault="00000000">
      <w:pPr>
        <w:ind w:left="567"/>
        <w:jc w:val="both"/>
      </w:pPr>
      <w:r>
        <w:rPr>
          <w:b/>
          <w:i/>
        </w:rPr>
        <w:t>(soit)</w:t>
      </w:r>
    </w:p>
    <w:p w14:paraId="5FAB57C8" w14:textId="77777777" w:rsidR="00772179" w:rsidRDefault="00000000">
      <w:pPr>
        <w:ind w:left="567"/>
        <w:jc w:val="both"/>
      </w:pPr>
      <w:r>
        <w:rPr>
          <w:rStyle w:val="soitChar"/>
          <w:u w:val="single"/>
        </w:rPr>
        <w:t>Produits de peinture non filmogènes.</w:t>
      </w:r>
      <w:r>
        <w:rPr>
          <w:rStyle w:val="soitChar"/>
        </w:rPr>
        <w:t xml:space="preserve"> L'épaisseur totale des trois couches de produit de finition, mesurées à sec est ≥ </w:t>
      </w:r>
      <w:r>
        <w:rPr>
          <w:rStyle w:val="optioncarChar"/>
        </w:rPr>
        <w:t>100 / 120 / ***</w:t>
      </w:r>
      <w:r>
        <w:rPr>
          <w:rStyle w:val="soitChar"/>
        </w:rPr>
        <w:t xml:space="preserve"> microns. Ce produit s'imprégne profondément dans le bois, sans toutefois former un film fermé. Le produit laisse passer la vapeur d'eau, il est résistant aux intempéries et répulsif à l'eau. Il protège le bois contre le vieillissement, ne vieillit pas lui-même et contient des pigments qui préviennent la décomposition du film d'imprégnation par les rayons UV. La couleur est déterminée par l'auteur de projet après la soumission des échantillons de couleur sur l'essence de bois utilisée. Après et pendant la mise en œuvre, les ouvrages sont restaurés si nécessaire.</w:t>
      </w:r>
    </w:p>
    <w:p w14:paraId="4B538087" w14:textId="77777777" w:rsidR="00772179" w:rsidRDefault="00000000">
      <w:pPr>
        <w:jc w:val="both"/>
      </w:pPr>
      <w:r>
        <w:t>Avant tout traitement de finition, la préparation de surface est adaptée à l’essence de bois et au produit de finition.</w:t>
      </w:r>
    </w:p>
    <w:p w14:paraId="5D7691F5" w14:textId="77777777" w:rsidR="00772179" w:rsidRDefault="00000000">
      <w:pPr>
        <w:jc w:val="both"/>
      </w:pPr>
      <w:r>
        <w:t>Les profilés en inox sont sciés et ébarbés; les assemblages sont fraisés et ajustés de manière à respecter la forme des profilés transversaux.</w:t>
      </w:r>
    </w:p>
    <w:p w14:paraId="28CA58D2" w14:textId="77777777" w:rsidR="00772179" w:rsidRDefault="00000000">
      <w:pPr>
        <w:pStyle w:val="Author-eListParagraph"/>
        <w:numPr>
          <w:ilvl w:val="0"/>
          <w:numId w:val="673"/>
        </w:numPr>
        <w:jc w:val="both"/>
      </w:pPr>
      <w:r>
        <w:t xml:space="preserve">La teinte des profilés est </w:t>
      </w:r>
      <w:r>
        <w:rPr>
          <w:rStyle w:val="optioncarChar"/>
        </w:rPr>
        <w:t>naturelle</w:t>
      </w:r>
      <w:r>
        <w:t xml:space="preserve"> (par défaut)</w:t>
      </w:r>
      <w:r>
        <w:rPr>
          <w:rStyle w:val="optioncarChar"/>
        </w:rPr>
        <w:t xml:space="preserve"> / brossée / couleur RAL : *** / ***</w:t>
      </w:r>
    </w:p>
    <w:p w14:paraId="75BE2A95" w14:textId="77777777" w:rsidR="00772179" w:rsidRDefault="00000000">
      <w:pPr>
        <w:pStyle w:val="Author-eListParagraph"/>
        <w:numPr>
          <w:ilvl w:val="0"/>
          <w:numId w:val="673"/>
        </w:numPr>
        <w:jc w:val="both"/>
      </w:pPr>
      <w:r>
        <w:t xml:space="preserve">L’assemblage des angles est </w:t>
      </w:r>
      <w:r>
        <w:rPr>
          <w:rStyle w:val="optioncarChar"/>
        </w:rPr>
        <w:t xml:space="preserve">soudé </w:t>
      </w:r>
      <w:r>
        <w:t>(par défaut)</w:t>
      </w:r>
      <w:r>
        <w:rPr>
          <w:rStyle w:val="optioncarChar"/>
        </w:rPr>
        <w:t xml:space="preserve"> / ***</w:t>
      </w:r>
      <w:r>
        <w:t>. </w:t>
      </w:r>
    </w:p>
    <w:p w14:paraId="1B747C1C" w14:textId="77777777" w:rsidR="00772179" w:rsidRDefault="00000000">
      <w:pPr>
        <w:jc w:val="both"/>
      </w:pPr>
      <w:r>
        <w:rPr>
          <w:b/>
        </w:rPr>
        <w:t>Finition de l’Inox côté extérieur :</w:t>
      </w:r>
    </w:p>
    <w:p w14:paraId="5EC9F9E3" w14:textId="77777777" w:rsidR="00772179" w:rsidRDefault="00000000">
      <w:pPr>
        <w:jc w:val="both"/>
      </w:pPr>
      <w:r>
        <w:lastRenderedPageBreak/>
        <w:t>Le procédé de finition par laquage sur inox est conforme à la norme [NBN EN 12206-1]. Les couches de peinture résistent aux chocs et ne s’écaille aux bords lors d’opérations mécaniques (forage, sciage, fraisage, poinçonnage, ...).</w:t>
      </w:r>
    </w:p>
    <w:p w14:paraId="058470C1" w14:textId="77777777" w:rsidR="00772179" w:rsidRDefault="00000000">
      <w:pPr>
        <w:jc w:val="both"/>
      </w:pPr>
      <w:r>
        <w:t xml:space="preserve">La finition inox est </w:t>
      </w:r>
      <w:r>
        <w:rPr>
          <w:rStyle w:val="optioncarChar"/>
        </w:rPr>
        <w:t xml:space="preserve">sans finition </w:t>
      </w:r>
      <w:r>
        <w:t xml:space="preserve">(par défaut) </w:t>
      </w:r>
      <w:r>
        <w:rPr>
          <w:rStyle w:val="optioncarChar"/>
        </w:rPr>
        <w:t>/ laquée / ***</w:t>
      </w:r>
    </w:p>
    <w:p w14:paraId="44E6562F" w14:textId="77777777" w:rsidR="00772179" w:rsidRDefault="00000000">
      <w:pPr>
        <w:jc w:val="both"/>
      </w:pPr>
      <w:r>
        <w:t>Revêtements laqués</w:t>
      </w:r>
    </w:p>
    <w:p w14:paraId="53851A25" w14:textId="77777777" w:rsidR="00772179" w:rsidRDefault="00000000">
      <w:pPr>
        <w:pStyle w:val="Author-eListParagraph"/>
        <w:numPr>
          <w:ilvl w:val="0"/>
          <w:numId w:val="674"/>
        </w:numPr>
      </w:pPr>
      <w:r>
        <w:t>Les profilés inox revêtus en continu de matière organique permettent un niveau ≥ résistance à la corrosion RC3 selon la norme [NBN EN 10169] après au moins 2 ans d’expositions extérieures ainsi qu’un niveau minimum de résistance aux rayons UV RUV3 (RUV2 pour les couleurs métalliques ou vives) selon la norme [NBN EN 10169]</w:t>
      </w:r>
    </w:p>
    <w:p w14:paraId="3448EBD0" w14:textId="77777777" w:rsidR="00772179" w:rsidRDefault="00000000">
      <w:pPr>
        <w:pStyle w:val="Author-eListParagraph"/>
        <w:numPr>
          <w:ilvl w:val="0"/>
          <w:numId w:val="674"/>
        </w:numPr>
      </w:pPr>
      <w:r>
        <w:t>Les systèmes de peintures sont donnés la norme [NBN EN ISO 12944-5] ;</w:t>
      </w:r>
    </w:p>
    <w:p w14:paraId="6C8B5364" w14:textId="77777777" w:rsidR="00772179" w:rsidRDefault="00000000">
      <w:pPr>
        <w:pStyle w:val="Author-eListParagraph"/>
        <w:numPr>
          <w:ilvl w:val="0"/>
          <w:numId w:val="674"/>
        </w:numPr>
      </w:pPr>
      <w:r>
        <w:t>Les couches de peinture résistent aux chocs et ne peuvent pas s’écailler aux bords lors d’opérations mécaniques (forage, sciage, fraisage, poinçonnage,...). Les échantillons de profilés nécessaires sont préalablement soumis à l’auteur de projet.</w:t>
      </w:r>
    </w:p>
    <w:p w14:paraId="380B1273" w14:textId="77777777" w:rsidR="00772179" w:rsidRDefault="00772179"/>
    <w:p w14:paraId="1BCF87A4" w14:textId="77777777" w:rsidR="00772179" w:rsidRDefault="00000000">
      <w:pPr>
        <w:jc w:val="both"/>
      </w:pPr>
      <w:r>
        <w:t xml:space="preserve"> Pour les couleurs RAL, l’épaisseur de couche ≥ 60 μm.</w:t>
      </w:r>
    </w:p>
    <w:p w14:paraId="03936B75" w14:textId="77777777" w:rsidR="00772179" w:rsidRDefault="00000000">
      <w:pPr>
        <w:jc w:val="both"/>
      </w:pPr>
      <w:r>
        <w:t xml:space="preserve"> Pour les couleurs métallisées, le pigment de couleur est ‘fondu’ avec la poudre de base (Bonding process). La teinte du traitement de surface du profilé peut être consultée sur base d’un échantillon chez le fonctionnaire dirigeant/l’architecte</w:t>
      </w:r>
    </w:p>
    <w:p w14:paraId="498E28EB" w14:textId="77777777" w:rsidR="00772179" w:rsidRDefault="00000000">
      <w:pPr>
        <w:pStyle w:val="Author-eListParagraph"/>
        <w:numPr>
          <w:ilvl w:val="0"/>
          <w:numId w:val="675"/>
        </w:numPr>
        <w:jc w:val="both"/>
      </w:pPr>
      <w:r>
        <w:t xml:space="preserve">Teinte du profilé extérieur : </w:t>
      </w:r>
      <w:r>
        <w:rPr>
          <w:rStyle w:val="optioncarChar"/>
        </w:rPr>
        <w:t>libre choix dans la gamme standard du fabricant / Couleur RAL :  ***</w:t>
      </w:r>
      <w:r>
        <w:t> Degré de brillance :</w:t>
      </w:r>
      <w:r>
        <w:rPr>
          <w:rStyle w:val="optioncarChar"/>
        </w:rPr>
        <w:t> 30 / 70 / 90 </w:t>
      </w:r>
      <w:r>
        <w:t>% sous un angle de 60 °</w:t>
      </w:r>
      <w:r>
        <w:rPr>
          <w:rStyle w:val="optioncarChar"/>
        </w:rPr>
        <w:t> / *** / métallisée</w:t>
      </w:r>
    </w:p>
    <w:p w14:paraId="6DC488CC" w14:textId="77777777" w:rsidR="00772179" w:rsidRDefault="00000000">
      <w:pPr>
        <w:pStyle w:val="pheading"/>
      </w:pPr>
      <w:r>
        <w:t>- Prescriptions complémentaires</w:t>
      </w:r>
    </w:p>
    <w:p w14:paraId="27C0FA9D" w14:textId="77777777" w:rsidR="00772179" w:rsidRDefault="00000000">
      <w:r>
        <w:rPr>
          <w:rStyle w:val="facultChar"/>
        </w:rPr>
        <w:t>Nuances de teintes du verre recuit</w:t>
      </w:r>
    </w:p>
    <w:p w14:paraId="315B204B" w14:textId="77777777" w:rsidR="00772179" w:rsidRDefault="00000000">
      <w:r>
        <w:rPr>
          <w:rStyle w:val="facultChar"/>
        </w:rPr>
        <w:t xml:space="preserve">(Voir </w:t>
      </w:r>
      <w:hyperlink w:anchor="852" w:history="1">
        <w:r>
          <w:rPr>
            <w:rStyle w:val="facultChar"/>
            <w:color w:val="0000EE"/>
          </w:rPr>
          <w:t>42 Vitrages extérieurs et éléments de remplissage</w:t>
        </w:r>
      </w:hyperlink>
      <w:r>
        <w:rPr>
          <w:rStyle w:val="facultChar"/>
        </w:rPr>
        <w:t>)</w:t>
      </w:r>
    </w:p>
    <w:p w14:paraId="0FF2AD1F" w14:textId="77777777" w:rsidR="00772179" w:rsidRDefault="00000000">
      <w:pPr>
        <w:pStyle w:val="pheading"/>
      </w:pPr>
      <w:r>
        <w:t>EXÉCUTION / MISE EN ŒUVRE</w:t>
      </w:r>
    </w:p>
    <w:p w14:paraId="6BE849DD" w14:textId="77777777" w:rsidR="00772179" w:rsidRDefault="00000000">
      <w:pPr>
        <w:pStyle w:val="pheading"/>
      </w:pPr>
      <w:r>
        <w:t>- Prescriptions générales</w:t>
      </w:r>
    </w:p>
    <w:p w14:paraId="496687B0" w14:textId="77777777" w:rsidR="00772179" w:rsidRDefault="00000000">
      <w:pPr>
        <w:jc w:val="both"/>
      </w:pPr>
      <w:r>
        <w:t xml:space="preserve">L’assemblage des éléments de remplissage est réalisé </w:t>
      </w:r>
      <w:r>
        <w:rPr>
          <w:rStyle w:val="optioncarChar"/>
        </w:rPr>
        <w:t xml:space="preserve">en atelier </w:t>
      </w:r>
      <w:r>
        <w:t>(par défaut)</w:t>
      </w:r>
      <w:r>
        <w:rPr>
          <w:rStyle w:val="optioncarChar"/>
        </w:rPr>
        <w:t xml:space="preserve"> / sur chantier</w:t>
      </w:r>
      <w:r>
        <w:t>. Dans le cas de l’assemblage en atelier, les modules sont assemblés avec leur remplissage. Les profilés de resserrage sont fixés mécaniquement sur le profilé au travers de l’isolant.</w:t>
      </w:r>
    </w:p>
    <w:p w14:paraId="7D70540F" w14:textId="77777777" w:rsidR="00772179" w:rsidRDefault="00000000">
      <w:pPr>
        <w:jc w:val="both"/>
      </w:pPr>
      <w:r>
        <w:t xml:space="preserve">En cas d’assemblage sur chantier, les châssis sont fixés aux montants et traverses par les pattes d’attaches. L’étanchéité entre les éléments est assurée par </w:t>
      </w:r>
      <w:r>
        <w:rPr>
          <w:rStyle w:val="optioncarChar"/>
        </w:rPr>
        <w:t xml:space="preserve">des joints EPDM spéciaux </w:t>
      </w:r>
      <w:r>
        <w:t xml:space="preserve">(par défaut) </w:t>
      </w:r>
      <w:r>
        <w:rPr>
          <w:rStyle w:val="optioncarChar"/>
        </w:rPr>
        <w:t>/ mastic élastomère extrudé / ***</w:t>
      </w:r>
      <w:r>
        <w:t>.</w:t>
      </w:r>
    </w:p>
    <w:p w14:paraId="5955BD95" w14:textId="77777777" w:rsidR="00772179" w:rsidRDefault="00000000">
      <w:pPr>
        <w:jc w:val="both"/>
      </w:pPr>
      <w:r>
        <w:t>La pose des vitrages est réalisée conformément à la [NIT 221].</w:t>
      </w:r>
    </w:p>
    <w:p w14:paraId="4956D9F7" w14:textId="77777777" w:rsidR="00772179" w:rsidRDefault="00000000">
      <w:pPr>
        <w:jc w:val="both"/>
      </w:pPr>
      <w:r>
        <w:t>La liaison de la véranda avec le gros œuvre est conforme aux prescriptions de la [NIT 283]. Le solin est réalisé en</w:t>
      </w:r>
      <w:r>
        <w:rPr>
          <w:rStyle w:val="optioncarChar"/>
        </w:rPr>
        <w:t xml:space="preserve"> zinc </w:t>
      </w:r>
      <w:r>
        <w:t xml:space="preserve">(par défaut) </w:t>
      </w:r>
      <w:r>
        <w:rPr>
          <w:rStyle w:val="optioncarChar"/>
        </w:rPr>
        <w:t>/ aluminium / matériaux synthétiques / cuivre / ***</w:t>
      </w:r>
      <w:r>
        <w:t>.</w:t>
      </w:r>
    </w:p>
    <w:p w14:paraId="23F4B498" w14:textId="77777777" w:rsidR="00772179" w:rsidRDefault="00000000">
      <w:pPr>
        <w:ind w:left="567"/>
        <w:jc w:val="both"/>
      </w:pPr>
      <w:r>
        <w:rPr>
          <w:b/>
          <w:i/>
        </w:rPr>
        <w:t>(Soit par défaut)</w:t>
      </w:r>
    </w:p>
    <w:p w14:paraId="7DC0F937" w14:textId="77777777" w:rsidR="00772179" w:rsidRDefault="00000000">
      <w:pPr>
        <w:ind w:left="567"/>
        <w:jc w:val="both"/>
      </w:pPr>
      <w:r>
        <w:rPr>
          <w:rStyle w:val="soitChar"/>
          <w:u w:val="single"/>
        </w:rPr>
        <w:t>En zinc :</w:t>
      </w:r>
      <w:r>
        <w:rPr>
          <w:rStyle w:val="soitChar"/>
        </w:rPr>
        <w:t xml:space="preserve"> il répond aux prescriptions de l’article 35.15.1a Solins en zinc</w:t>
      </w:r>
    </w:p>
    <w:p w14:paraId="6F25B68D" w14:textId="77777777" w:rsidR="00772179" w:rsidRDefault="00772179"/>
    <w:p w14:paraId="14D93DEE" w14:textId="77777777" w:rsidR="00772179" w:rsidRDefault="00000000">
      <w:pPr>
        <w:ind w:left="567"/>
        <w:jc w:val="both"/>
      </w:pPr>
      <w:r>
        <w:rPr>
          <w:b/>
          <w:i/>
        </w:rPr>
        <w:t>(Soit)</w:t>
      </w:r>
    </w:p>
    <w:p w14:paraId="6D298CEE" w14:textId="77777777" w:rsidR="00772179" w:rsidRDefault="00000000">
      <w:pPr>
        <w:ind w:left="567"/>
        <w:jc w:val="both"/>
      </w:pPr>
      <w:r>
        <w:rPr>
          <w:rStyle w:val="soitChar"/>
          <w:u w:val="single"/>
        </w:rPr>
        <w:t> En aluminium :</w:t>
      </w:r>
      <w:r>
        <w:rPr>
          <w:rStyle w:val="soitChar"/>
        </w:rPr>
        <w:t xml:space="preserve"> il répond aux prescriptions de l’article 35.15.1e Solins en aluminium</w:t>
      </w:r>
    </w:p>
    <w:p w14:paraId="6E106C83" w14:textId="77777777" w:rsidR="00772179" w:rsidRDefault="00772179"/>
    <w:p w14:paraId="071FC6B8" w14:textId="77777777" w:rsidR="00772179" w:rsidRDefault="00000000">
      <w:pPr>
        <w:ind w:left="567"/>
        <w:jc w:val="both"/>
      </w:pPr>
      <w:r>
        <w:rPr>
          <w:b/>
          <w:i/>
        </w:rPr>
        <w:t>(Soit)</w:t>
      </w:r>
    </w:p>
    <w:p w14:paraId="69172E53" w14:textId="77777777" w:rsidR="00772179" w:rsidRDefault="00000000">
      <w:pPr>
        <w:ind w:left="567"/>
        <w:jc w:val="both"/>
      </w:pPr>
      <w:r>
        <w:rPr>
          <w:rStyle w:val="soitChar"/>
          <w:u w:val="single"/>
        </w:rPr>
        <w:t>En matériaux synthétiques :</w:t>
      </w:r>
      <w:r>
        <w:rPr>
          <w:rStyle w:val="soitChar"/>
        </w:rPr>
        <w:t xml:space="preserve"> il répond aux prescriptions de l’article 35.15.1c Solins en matériaux remplaçant le plomb</w:t>
      </w:r>
    </w:p>
    <w:p w14:paraId="395909CF" w14:textId="77777777" w:rsidR="00772179" w:rsidRDefault="00772179"/>
    <w:p w14:paraId="27DA1401" w14:textId="77777777" w:rsidR="00772179" w:rsidRDefault="00000000">
      <w:pPr>
        <w:ind w:left="567"/>
        <w:jc w:val="both"/>
      </w:pPr>
      <w:r>
        <w:rPr>
          <w:b/>
          <w:i/>
        </w:rPr>
        <w:lastRenderedPageBreak/>
        <w:t>(Soit)</w:t>
      </w:r>
    </w:p>
    <w:p w14:paraId="743E40FA" w14:textId="77777777" w:rsidR="00772179" w:rsidRDefault="00000000">
      <w:pPr>
        <w:ind w:left="567"/>
        <w:jc w:val="both"/>
      </w:pPr>
      <w:r>
        <w:rPr>
          <w:rStyle w:val="soitChar"/>
          <w:u w:val="single"/>
        </w:rPr>
        <w:t>En cuivre :</w:t>
      </w:r>
      <w:r>
        <w:rPr>
          <w:rStyle w:val="soitChar"/>
        </w:rPr>
        <w:t xml:space="preserve"> il répond aux prescriptions de l’article 35.15.1d Solins en cuivre</w:t>
      </w:r>
    </w:p>
    <w:p w14:paraId="134FB620" w14:textId="77777777" w:rsidR="00772179" w:rsidRDefault="00772179"/>
    <w:p w14:paraId="740AB47A" w14:textId="77777777" w:rsidR="00772179" w:rsidRDefault="00000000">
      <w:pPr>
        <w:ind w:left="567"/>
        <w:jc w:val="both"/>
      </w:pPr>
      <w:r>
        <w:rPr>
          <w:b/>
          <w:i/>
        </w:rPr>
        <w:t>(Soit)</w:t>
      </w:r>
    </w:p>
    <w:p w14:paraId="59BA97C4" w14:textId="77777777" w:rsidR="00772179" w:rsidRDefault="00000000">
      <w:pPr>
        <w:ind w:left="567"/>
        <w:jc w:val="both"/>
      </w:pPr>
      <w:r>
        <w:rPr>
          <w:rStyle w:val="optioncarChar"/>
        </w:rPr>
        <w:t>***</w:t>
      </w:r>
      <w:r>
        <w:t> </w:t>
      </w:r>
    </w:p>
    <w:p w14:paraId="665D2653" w14:textId="77777777" w:rsidR="00772179" w:rsidRDefault="00000000">
      <w:pPr>
        <w:jc w:val="both"/>
      </w:pPr>
      <w:r>
        <w:t>Les opérations de pose sur chantier se résument exclusivement à des opérations d’assemblage.</w:t>
      </w:r>
    </w:p>
    <w:p w14:paraId="1E941C1D" w14:textId="77777777" w:rsidR="00772179" w:rsidRDefault="00000000">
      <w:pPr>
        <w:jc w:val="both"/>
      </w:pPr>
      <w:r>
        <w:t>L’ensemble de la véranda est installé par un seul entrepreneur.</w:t>
      </w:r>
    </w:p>
    <w:p w14:paraId="330755D5" w14:textId="77777777" w:rsidR="00772179" w:rsidRDefault="00000000">
      <w:pPr>
        <w:jc w:val="both"/>
      </w:pPr>
      <w:r>
        <w:rPr>
          <w:b/>
        </w:rPr>
        <w:t>Entretien et inspection</w:t>
      </w:r>
    </w:p>
    <w:p w14:paraId="3B74A94A" w14:textId="77777777" w:rsidR="00772179" w:rsidRDefault="00000000">
      <w:pPr>
        <w:jc w:val="both"/>
      </w:pPr>
      <w:r>
        <w:t>Le manuel d’entretien et planning d’intervention de l’entrepreneur pendant la durée de garantie de la véranda sont fournis à l’architecte ou, à défaut, au maitre d’ouvrage.</w:t>
      </w:r>
    </w:p>
    <w:p w14:paraId="058F5EB8" w14:textId="77777777" w:rsidR="00772179" w:rsidRDefault="00000000">
      <w:pPr>
        <w:ind w:left="750"/>
      </w:pPr>
      <w:r>
        <w:t> </w:t>
      </w:r>
    </w:p>
    <w:p w14:paraId="68315C5C" w14:textId="77777777" w:rsidR="00772179" w:rsidRDefault="00000000">
      <w:pPr>
        <w:pStyle w:val="pheading"/>
      </w:pPr>
      <w:r>
        <w:t>- Échantillons</w:t>
      </w:r>
    </w:p>
    <w:p w14:paraId="48B11302" w14:textId="77777777" w:rsidR="00772179" w:rsidRDefault="00000000">
      <w:pPr>
        <w:jc w:val="both"/>
      </w:pPr>
      <w:r>
        <w:t>Les échantillons de profilés nécessaires sont préalablement soumis à l’auteur de projet. Les échantillons sont composés d’</w:t>
      </w:r>
      <w:r>
        <w:rPr>
          <w:rStyle w:val="optioncarChar"/>
        </w:rPr>
        <w:t xml:space="preserve">un raccord d’assemblage d’angle droit dont les profilés sont de longueur &gt; 40 cm sans remplissage </w:t>
      </w:r>
      <w:r>
        <w:t>(par défaut)</w:t>
      </w:r>
      <w:r>
        <w:rPr>
          <w:rStyle w:val="optioncarChar"/>
        </w:rPr>
        <w:t xml:space="preserve"> / ***</w:t>
      </w:r>
    </w:p>
    <w:p w14:paraId="4C33088C" w14:textId="77777777" w:rsidR="00772179" w:rsidRDefault="00000000">
      <w:pPr>
        <w:pStyle w:val="pheading"/>
      </w:pPr>
      <w:r>
        <w:t>DOCUMENTS DE RÉFÉRENCE COMPLÉMENTAIRES</w:t>
      </w:r>
    </w:p>
    <w:p w14:paraId="5CDBAE03" w14:textId="77777777" w:rsidR="00772179" w:rsidRDefault="00000000">
      <w:pPr>
        <w:pStyle w:val="pheading"/>
      </w:pPr>
      <w:r>
        <w:t>- Matériau</w:t>
      </w:r>
    </w:p>
    <w:p w14:paraId="72AF8A0B" w14:textId="77777777" w:rsidR="00772179" w:rsidRDefault="00000000">
      <w:r>
        <w:t>[STS 52.1, Menuiseries extérieures en bois]</w:t>
      </w:r>
    </w:p>
    <w:p w14:paraId="534FC9D9" w14:textId="77777777" w:rsidR="00772179" w:rsidRDefault="00000000">
      <w:r>
        <w:t>[STS 52.2, Menuiseries extérieures en aluminium]</w:t>
      </w:r>
    </w:p>
    <w:p w14:paraId="36FF5B6E" w14:textId="77777777" w:rsidR="00772179" w:rsidRDefault="00000000">
      <w:r>
        <w:t>[NBN EN 755-2, Aluminium et alliages d'aluminium - Barres, tubes et profilés filés - Partie 2 : Caractéristiques mécaniques]</w:t>
      </w:r>
    </w:p>
    <w:p w14:paraId="7D635D61" w14:textId="77777777" w:rsidR="00772179" w:rsidRDefault="00000000">
      <w:r>
        <w:t>[NBN EN 10088-2, Aciers inoxydables - Partie 2: Conditions techniques de livraison des tôles et bandes en acier de résistance à la corrosion pour usage général]</w:t>
      </w:r>
    </w:p>
    <w:p w14:paraId="68024AF2" w14:textId="77777777" w:rsidR="00772179" w:rsidRDefault="00000000">
      <w:r>
        <w:t>[NBN EN 501, Produits de couverture en tôle métallique - Spécification pour les produits de couverture en feuille de zinc totalement supportés]</w:t>
      </w:r>
    </w:p>
    <w:p w14:paraId="3B0217BB" w14:textId="77777777" w:rsidR="00772179" w:rsidRDefault="00000000">
      <w:r>
        <w:t>[NBN S 23-002-2, Vitrerie - Partie 2 : Calcul des épaisseurs de verre]</w:t>
      </w:r>
    </w:p>
    <w:p w14:paraId="5A553766" w14:textId="77777777" w:rsidR="00772179" w:rsidRDefault="00000000">
      <w:r>
        <w:t>[NBN EN 675, Verre dans la construction - Détermination du coefficient de transmission thermique, U - Méthode du fluxmètre]</w:t>
      </w:r>
    </w:p>
    <w:p w14:paraId="123B356D" w14:textId="77777777" w:rsidR="00772179" w:rsidRDefault="00000000">
      <w:r>
        <w:t>[NBN EN 410, Verre dans la construction - Détermination des caractéristiques lumineuses et solaires des vitrages]</w:t>
      </w:r>
    </w:p>
    <w:p w14:paraId="047D4342" w14:textId="77777777" w:rsidR="00772179" w:rsidRDefault="00000000">
      <w:r>
        <w:t>[NBN S 23-002-2, Vitrerie - Partie 2 : Calcul des épaisseurs de verre]</w:t>
      </w:r>
    </w:p>
    <w:p w14:paraId="5489F858" w14:textId="77777777" w:rsidR="00772179" w:rsidRDefault="00000000">
      <w:r>
        <w:t>[NBN B 25-002-1, Menuiserie extérieure - Partie 1: Prescription des performances générales – Fenêtres et façades rideaux]</w:t>
      </w:r>
    </w:p>
    <w:p w14:paraId="4C0918BE" w14:textId="77777777" w:rsidR="00772179" w:rsidRDefault="00000000">
      <w:r>
        <w:t>[STS 04.3, Bois et panneaux à base de bois : traitements du bois]</w:t>
      </w:r>
    </w:p>
    <w:p w14:paraId="14070386" w14:textId="77777777" w:rsidR="00772179" w:rsidRDefault="00000000">
      <w:r>
        <w:t>[NBN EN 335, Durabilité du bois et des matériaux à base de bois - Classes d'emploi: définitions, application au bois massif et aux matériaux à base de bois]</w:t>
      </w:r>
    </w:p>
    <w:p w14:paraId="6C1EDEA1" w14:textId="77777777" w:rsidR="00772179" w:rsidRDefault="00000000">
      <w:r>
        <w:t>[NBN EN 12206-1, Peintures et vernis - Revêtement de l'aluminium et de ses alliages pour des applications architecturales - Partie 1: Revêtements à partir de peinture en poudre thermodurcissable]  </w:t>
      </w:r>
    </w:p>
    <w:p w14:paraId="774FB41B" w14:textId="77777777" w:rsidR="00772179" w:rsidRDefault="00000000">
      <w:pPr>
        <w:pStyle w:val="pheading"/>
      </w:pPr>
      <w:r>
        <w:t>- Exécution</w:t>
      </w:r>
    </w:p>
    <w:p w14:paraId="47BD661F" w14:textId="77777777" w:rsidR="00772179" w:rsidRDefault="00000000">
      <w:r>
        <w:t>[NIT 283, La pose des menuiseries extérieures. Partie 1 : aspects généraux.]</w:t>
      </w:r>
    </w:p>
    <w:p w14:paraId="480385E8" w14:textId="77777777" w:rsidR="00772179" w:rsidRDefault="00000000">
      <w:r>
        <w:t>[NIT 221, La pose des vitrages en feuillure (Les NIT 214 et 221 remplacent les NIT 110 et 113).]</w:t>
      </w:r>
    </w:p>
    <w:p w14:paraId="4A34FC88" w14:textId="77777777" w:rsidR="00772179" w:rsidRDefault="00000000">
      <w:pPr>
        <w:ind w:left="750"/>
      </w:pPr>
      <w:r>
        <w:t> </w:t>
      </w:r>
    </w:p>
    <w:p w14:paraId="6DC8D2C8" w14:textId="77777777" w:rsidR="00772179" w:rsidRDefault="00000000">
      <w:pPr>
        <w:pStyle w:val="pheading"/>
      </w:pPr>
      <w:r>
        <w:lastRenderedPageBreak/>
        <w:t>MESURAGE</w:t>
      </w:r>
    </w:p>
    <w:p w14:paraId="4C4B39A4" w14:textId="77777777" w:rsidR="00772179" w:rsidRDefault="00000000">
      <w:pPr>
        <w:pStyle w:val="pheading"/>
      </w:pPr>
      <w:r>
        <w:t>- unité de mesure:</w:t>
      </w:r>
    </w:p>
    <w:p w14:paraId="7CEF337F" w14:textId="77777777" w:rsidR="00772179" w:rsidRDefault="00000000">
      <w:r>
        <w:rPr>
          <w:rStyle w:val="optioncarChar"/>
        </w:rPr>
        <w:t>m²</w:t>
      </w:r>
      <w:r>
        <w:t xml:space="preserve"> (par défaut) </w:t>
      </w:r>
      <w:r>
        <w:rPr>
          <w:rStyle w:val="optioncarChar"/>
        </w:rPr>
        <w:t>/ pc</w:t>
      </w:r>
    </w:p>
    <w:p w14:paraId="7F97970E" w14:textId="77777777" w:rsidR="00772179" w:rsidRDefault="00000000">
      <w:r>
        <w:rPr>
          <w:b/>
          <w:i/>
        </w:rPr>
        <w:t>(Soit par défaut)</w:t>
      </w:r>
    </w:p>
    <w:p w14:paraId="758AE11B" w14:textId="77777777" w:rsidR="00772179" w:rsidRDefault="00000000">
      <w:r>
        <w:rPr>
          <w:rStyle w:val="soitChar"/>
        </w:rPr>
        <w:t>1. m²</w:t>
      </w:r>
    </w:p>
    <w:p w14:paraId="6BEAADBC" w14:textId="77777777" w:rsidR="00772179" w:rsidRDefault="00000000">
      <w:r>
        <w:rPr>
          <w:b/>
          <w:i/>
        </w:rPr>
        <w:t>(Soit)</w:t>
      </w:r>
    </w:p>
    <w:p w14:paraId="2517F8EA" w14:textId="77777777" w:rsidR="00772179" w:rsidRDefault="00000000">
      <w:r>
        <w:rPr>
          <w:rStyle w:val="soitChar"/>
        </w:rPr>
        <w:t>2. pc</w:t>
      </w:r>
    </w:p>
    <w:p w14:paraId="23B4E6FA" w14:textId="77777777" w:rsidR="00772179" w:rsidRDefault="00000000">
      <w:pPr>
        <w:pStyle w:val="pheading"/>
      </w:pPr>
      <w:r>
        <w:t>- code de mesurage:</w:t>
      </w:r>
    </w:p>
    <w:p w14:paraId="6E0DC09C" w14:textId="77777777" w:rsidR="00772179" w:rsidRDefault="00000000">
      <w:pPr>
        <w:jc w:val="both"/>
      </w:pPr>
      <w:r>
        <w:rPr>
          <w:rStyle w:val="optioncarChar"/>
        </w:rPr>
        <w:t xml:space="preserve">Surface nette </w:t>
      </w:r>
      <w:r>
        <w:t xml:space="preserve">(par défaut) </w:t>
      </w:r>
      <w:r>
        <w:rPr>
          <w:rStyle w:val="optioncarChar"/>
        </w:rPr>
        <w:t>/ Quantité nette</w:t>
      </w:r>
    </w:p>
    <w:p w14:paraId="20A31EEE" w14:textId="77777777" w:rsidR="00772179" w:rsidRDefault="00000000">
      <w:pPr>
        <w:jc w:val="both"/>
      </w:pPr>
      <w:r>
        <w:rPr>
          <w:b/>
          <w:i/>
        </w:rPr>
        <w:t>(Soit par défaut)</w:t>
      </w:r>
    </w:p>
    <w:p w14:paraId="2CE6467C" w14:textId="77777777" w:rsidR="00772179" w:rsidRDefault="00000000">
      <w:pPr>
        <w:jc w:val="both"/>
      </w:pPr>
      <w:r>
        <w:rPr>
          <w:rStyle w:val="soitChar"/>
          <w:u w:val="single"/>
        </w:rPr>
        <w:t>1. Surface nette</w:t>
      </w:r>
      <w:r>
        <w:rPr>
          <w:rStyle w:val="soitChar"/>
        </w:rPr>
        <w:t xml:space="preserve"> à mettre en œuvre en développement des dimensions intérieures mesurées dans l’axe des profilés de châssis (distinction faite selon le type ou le modèle).</w:t>
      </w:r>
    </w:p>
    <w:p w14:paraId="192ADB77" w14:textId="77777777" w:rsidR="00772179" w:rsidRDefault="00000000">
      <w:pPr>
        <w:jc w:val="both"/>
      </w:pPr>
      <w:r>
        <w:rPr>
          <w:b/>
          <w:i/>
        </w:rPr>
        <w:t>(Soit)</w:t>
      </w:r>
    </w:p>
    <w:p w14:paraId="1C322499" w14:textId="77777777" w:rsidR="00772179" w:rsidRDefault="00000000">
      <w:pPr>
        <w:jc w:val="both"/>
      </w:pPr>
      <w:r>
        <w:rPr>
          <w:rStyle w:val="soitChar"/>
          <w:u w:val="single"/>
        </w:rPr>
        <w:t>2. Quantité nette</w:t>
      </w:r>
      <w:r>
        <w:rPr>
          <w:rStyle w:val="soitChar"/>
        </w:rPr>
        <w:t xml:space="preserve"> à mettre en œuvre (distinction faite selon le type, le modèle ou les dimensions).</w:t>
      </w:r>
    </w:p>
    <w:p w14:paraId="4AB2B62E" w14:textId="77777777" w:rsidR="00772179" w:rsidRDefault="00000000">
      <w:pPr>
        <w:pStyle w:val="pheading"/>
      </w:pPr>
      <w:r>
        <w:t>- nature du marché:</w:t>
      </w:r>
    </w:p>
    <w:p w14:paraId="4503F02E" w14:textId="77777777" w:rsidR="00772179" w:rsidRDefault="00000000">
      <w:r>
        <w:t>QF</w:t>
      </w:r>
    </w:p>
    <w:p w14:paraId="4321FD03" w14:textId="77777777" w:rsidR="00772179" w:rsidRDefault="00000000">
      <w:pPr>
        <w:pStyle w:val="Author-eSectionHeading6Numberless"/>
      </w:pPr>
      <w:bookmarkStart w:id="291" w:name="_Toc220490025"/>
      <w:r>
        <w:t>41.61.4d Vérandas / verrières en bois à composition mixte - isolation intégrée - finition en PVC CCTB 01.02</w:t>
      </w:r>
      <w:bookmarkEnd w:id="291"/>
    </w:p>
    <w:p w14:paraId="09F42FF0" w14:textId="77777777" w:rsidR="00772179" w:rsidRDefault="00000000">
      <w:pPr>
        <w:pStyle w:val="Author-eSectionHeading4Numberless"/>
      </w:pPr>
      <w:bookmarkStart w:id="292" w:name="_Toc220490026"/>
      <w:r>
        <w:t>41.62 Vérandas / verrières métalliques CCTB 01.04</w:t>
      </w:r>
      <w:bookmarkEnd w:id="292"/>
    </w:p>
    <w:p w14:paraId="77DFC77A" w14:textId="77777777" w:rsidR="00772179" w:rsidRDefault="00000000">
      <w:pPr>
        <w:pStyle w:val="Author-eSectionHeading5Numberless"/>
      </w:pPr>
      <w:bookmarkStart w:id="293" w:name="_Toc220490027"/>
      <w:r>
        <w:t>41.62.1 Vérandas / verrières en aluminium  CCTB 01.04</w:t>
      </w:r>
      <w:bookmarkEnd w:id="293"/>
    </w:p>
    <w:p w14:paraId="5EF4837D" w14:textId="77777777" w:rsidR="00772179" w:rsidRDefault="00000000">
      <w:pPr>
        <w:pStyle w:val="Author-eSectionHeading6Numberless"/>
      </w:pPr>
      <w:bookmarkStart w:id="294" w:name="_Toc220490028"/>
      <w:r>
        <w:t>41.62.1a Vérandas / verrières en aluminium sans coupure thermique</w:t>
      </w:r>
      <w:bookmarkEnd w:id="294"/>
    </w:p>
    <w:p w14:paraId="6565291A" w14:textId="77777777" w:rsidR="00772179" w:rsidRDefault="00000000">
      <w:pPr>
        <w:pStyle w:val="Author-eSectionHeading6Numberless"/>
      </w:pPr>
      <w:bookmarkStart w:id="295" w:name="_Toc220490029"/>
      <w:r>
        <w:t>41.62.1b Vérandas / verrières en aluminium avec coupure thermique</w:t>
      </w:r>
      <w:bookmarkEnd w:id="295"/>
    </w:p>
    <w:p w14:paraId="74E6AA5A" w14:textId="77777777" w:rsidR="00772179" w:rsidRDefault="00000000">
      <w:pPr>
        <w:pStyle w:val="Author-eSectionHeading5Numberless"/>
      </w:pPr>
      <w:bookmarkStart w:id="296" w:name="_Toc220490030"/>
      <w:r>
        <w:t>41.62.2 Vérandas / verrières en acier  CCTB 01.04</w:t>
      </w:r>
      <w:bookmarkEnd w:id="296"/>
    </w:p>
    <w:p w14:paraId="50222BB7" w14:textId="77777777" w:rsidR="00772179" w:rsidRDefault="00000000">
      <w:pPr>
        <w:pStyle w:val="Author-eSectionHeading6Numberless"/>
      </w:pPr>
      <w:bookmarkStart w:id="297" w:name="_Toc220490031"/>
      <w:r>
        <w:t>41.62.2a Vérandas / verrières en acier sans coupure thermique</w:t>
      </w:r>
      <w:bookmarkEnd w:id="297"/>
    </w:p>
    <w:p w14:paraId="49F3F069" w14:textId="77777777" w:rsidR="00772179" w:rsidRDefault="00000000">
      <w:pPr>
        <w:pStyle w:val="Author-eSectionHeading6Numberless"/>
      </w:pPr>
      <w:bookmarkStart w:id="298" w:name="_Toc220490032"/>
      <w:r>
        <w:t>41.62.2b Vérandas / verrières en acier avec coupure thermique</w:t>
      </w:r>
      <w:bookmarkEnd w:id="298"/>
    </w:p>
    <w:p w14:paraId="2E5AB952" w14:textId="77777777" w:rsidR="00772179" w:rsidRDefault="00000000">
      <w:pPr>
        <w:pStyle w:val="Author-eSectionHeading5Numberless"/>
      </w:pPr>
      <w:bookmarkStart w:id="299" w:name="_Toc220490033"/>
      <w:r>
        <w:t>41.62.3 Vérandas / verrières en fonte</w:t>
      </w:r>
      <w:bookmarkEnd w:id="299"/>
    </w:p>
    <w:p w14:paraId="69845C13" w14:textId="77777777" w:rsidR="00772179" w:rsidRDefault="00000000">
      <w:pPr>
        <w:pStyle w:val="Author-eSectionHeading6Numberless"/>
      </w:pPr>
      <w:bookmarkStart w:id="300" w:name="_Toc220490034"/>
      <w:r>
        <w:t>41.62.3a Vérandas / verrières en fonte</w:t>
      </w:r>
      <w:bookmarkEnd w:id="300"/>
    </w:p>
    <w:p w14:paraId="15CD2437" w14:textId="77777777" w:rsidR="00772179" w:rsidRDefault="00000000">
      <w:pPr>
        <w:pStyle w:val="Author-eSectionHeading5Numberless"/>
      </w:pPr>
      <w:bookmarkStart w:id="301" w:name="_Toc220490035"/>
      <w:r>
        <w:t>41.62.4 Vérandas / verrières en fer forgé</w:t>
      </w:r>
      <w:bookmarkEnd w:id="301"/>
    </w:p>
    <w:p w14:paraId="79F30740" w14:textId="77777777" w:rsidR="00772179" w:rsidRDefault="00000000">
      <w:pPr>
        <w:pStyle w:val="Author-eSectionHeading6Numberless"/>
      </w:pPr>
      <w:bookmarkStart w:id="302" w:name="_Toc220490036"/>
      <w:r>
        <w:t>41.62.4a Vérandas / verrières en fer forgé</w:t>
      </w:r>
      <w:bookmarkEnd w:id="302"/>
    </w:p>
    <w:p w14:paraId="7B6A2812" w14:textId="77777777" w:rsidR="00772179" w:rsidRDefault="00000000">
      <w:pPr>
        <w:pStyle w:val="Author-eSectionHeading4Numberless"/>
      </w:pPr>
      <w:bookmarkStart w:id="303" w:name="_Toc220490037"/>
      <w:r>
        <w:t>41.63 Vérandas / verrières en PVC CCTB 01.02</w:t>
      </w:r>
      <w:bookmarkEnd w:id="303"/>
    </w:p>
    <w:p w14:paraId="32902444" w14:textId="77777777" w:rsidR="00772179" w:rsidRDefault="00000000">
      <w:pPr>
        <w:pStyle w:val="Author-eSectionHeading5Numberless"/>
      </w:pPr>
      <w:bookmarkStart w:id="304" w:name="_Toc220490038"/>
      <w:r>
        <w:t>41.63.1 Vérandas / verrières en PVC</w:t>
      </w:r>
      <w:bookmarkEnd w:id="304"/>
    </w:p>
    <w:p w14:paraId="5ECC0391" w14:textId="77777777" w:rsidR="00772179" w:rsidRDefault="00000000">
      <w:pPr>
        <w:pStyle w:val="Author-eSectionHeading6Numberless"/>
      </w:pPr>
      <w:bookmarkStart w:id="305" w:name="_Toc220490039"/>
      <w:r>
        <w:t>41.63.1a Vérandas / verrières en PVC</w:t>
      </w:r>
      <w:bookmarkEnd w:id="305"/>
    </w:p>
    <w:p w14:paraId="53B1BAB9" w14:textId="77777777" w:rsidR="00772179" w:rsidRDefault="00000000">
      <w:pPr>
        <w:pStyle w:val="Author-eSectionHeading4Numberless"/>
      </w:pPr>
      <w:bookmarkStart w:id="306" w:name="_Toc220490040"/>
      <w:r>
        <w:t>41.64 Vérandas / verrières en matériaux composites CCTB 01.02</w:t>
      </w:r>
      <w:bookmarkEnd w:id="306"/>
    </w:p>
    <w:p w14:paraId="64553E5F" w14:textId="77777777" w:rsidR="00772179" w:rsidRDefault="00000000">
      <w:pPr>
        <w:pStyle w:val="Author-eSectionHeading5Numberless"/>
      </w:pPr>
      <w:bookmarkStart w:id="307" w:name="_Toc220490041"/>
      <w:r>
        <w:t>41.64.1 Vérandas / verrières en mélange PVC/bois (dans la masse) CCTB 01.02</w:t>
      </w:r>
      <w:bookmarkEnd w:id="307"/>
    </w:p>
    <w:p w14:paraId="3546A352" w14:textId="77777777" w:rsidR="00772179" w:rsidRDefault="00000000">
      <w:pPr>
        <w:pStyle w:val="Author-eSectionHeading6Numberless"/>
      </w:pPr>
      <w:bookmarkStart w:id="308" w:name="_Toc220490042"/>
      <w:r>
        <w:t>41.64.1a Vérandas / verrières en mélange PVC/bois (dans la masse)</w:t>
      </w:r>
      <w:bookmarkEnd w:id="308"/>
    </w:p>
    <w:p w14:paraId="71F44E56" w14:textId="77777777" w:rsidR="00772179" w:rsidRDefault="00000000">
      <w:pPr>
        <w:pStyle w:val="Author-eSectionHeading4Numberless"/>
      </w:pPr>
      <w:bookmarkStart w:id="309" w:name="_Toc220490043"/>
      <w:r>
        <w:lastRenderedPageBreak/>
        <w:t>41.65 Vérandas / verrières - éléments de renfort</w:t>
      </w:r>
      <w:bookmarkEnd w:id="309"/>
    </w:p>
    <w:p w14:paraId="446E395F" w14:textId="77777777" w:rsidR="00772179" w:rsidRDefault="00000000">
      <w:pPr>
        <w:pStyle w:val="Author-eSectionHeading5Numberless"/>
      </w:pPr>
      <w:bookmarkStart w:id="310" w:name="_Toc220490044"/>
      <w:r>
        <w:t>41.65.1 Vérandas / verrières - éléments de renfort en bois</w:t>
      </w:r>
      <w:bookmarkEnd w:id="310"/>
    </w:p>
    <w:p w14:paraId="539BBC5D" w14:textId="77777777" w:rsidR="00772179" w:rsidRDefault="00000000">
      <w:pPr>
        <w:pStyle w:val="Author-eSectionHeading6Numberless"/>
      </w:pPr>
      <w:bookmarkStart w:id="311" w:name="_Toc220490045"/>
      <w:r>
        <w:t>41.65.1a Vérandas / verrières - éléments de renfort en bois</w:t>
      </w:r>
      <w:bookmarkEnd w:id="311"/>
    </w:p>
    <w:p w14:paraId="1896273C" w14:textId="77777777" w:rsidR="00772179" w:rsidRDefault="00000000">
      <w:pPr>
        <w:pStyle w:val="Author-eSectionHeading5Numberless"/>
      </w:pPr>
      <w:bookmarkStart w:id="312" w:name="_Toc220490046"/>
      <w:r>
        <w:t>41.65.2 Vérandas / verrières - éléments de renfort en aluminium</w:t>
      </w:r>
      <w:bookmarkEnd w:id="312"/>
    </w:p>
    <w:p w14:paraId="536BEE68" w14:textId="77777777" w:rsidR="00772179" w:rsidRDefault="00000000">
      <w:pPr>
        <w:pStyle w:val="Author-eSectionHeading6Numberless"/>
      </w:pPr>
      <w:bookmarkStart w:id="313" w:name="_Toc220490047"/>
      <w:r>
        <w:t>41.65.2a Vérandas / verrières - éléments de renfort en aluminium</w:t>
      </w:r>
      <w:bookmarkEnd w:id="313"/>
    </w:p>
    <w:p w14:paraId="6EA5DBCD" w14:textId="77777777" w:rsidR="00772179" w:rsidRDefault="00000000">
      <w:pPr>
        <w:pStyle w:val="Author-eSectionHeading5Numberless"/>
      </w:pPr>
      <w:bookmarkStart w:id="314" w:name="_Toc220490048"/>
      <w:r>
        <w:t>41.65.3 Vérandas / verrières - éléments de renfort en acier</w:t>
      </w:r>
      <w:bookmarkEnd w:id="314"/>
    </w:p>
    <w:p w14:paraId="6BEE475F" w14:textId="77777777" w:rsidR="00772179" w:rsidRDefault="00000000">
      <w:pPr>
        <w:pStyle w:val="Author-eSectionHeading6Numberless"/>
      </w:pPr>
      <w:bookmarkStart w:id="315" w:name="_Toc220490049"/>
      <w:r>
        <w:t>41.65.3a Vérandas / verrières - éléments de renfort en acier</w:t>
      </w:r>
      <w:bookmarkEnd w:id="315"/>
    </w:p>
    <w:p w14:paraId="2F350A1D" w14:textId="77777777" w:rsidR="00772179" w:rsidRDefault="00000000">
      <w:pPr>
        <w:pStyle w:val="Author-eSectionHeading5Numberless"/>
      </w:pPr>
      <w:bookmarkStart w:id="316" w:name="_Toc220490050"/>
      <w:r>
        <w:t>41.65.4 Vérandas / verrières - éléments de renfort mixte</w:t>
      </w:r>
      <w:bookmarkEnd w:id="316"/>
    </w:p>
    <w:p w14:paraId="20D1C517" w14:textId="77777777" w:rsidR="00772179" w:rsidRDefault="00000000">
      <w:pPr>
        <w:pStyle w:val="Author-eSectionHeading6Numberless"/>
      </w:pPr>
      <w:bookmarkStart w:id="317" w:name="_Toc220490051"/>
      <w:r>
        <w:t>41.65.4a Vérandas / verrières - éléments de renfort mixte</w:t>
      </w:r>
      <w:bookmarkEnd w:id="317"/>
    </w:p>
    <w:p w14:paraId="2A82D2EE" w14:textId="77777777" w:rsidR="00772179" w:rsidRDefault="00000000">
      <w:pPr>
        <w:pStyle w:val="Author-eSectionHeading3Numberless"/>
      </w:pPr>
      <w:bookmarkStart w:id="318" w:name="_Toc220490052"/>
      <w:r>
        <w:t>41.7 Eléments particuliers / accessoires / signalétique CCTB 01.02</w:t>
      </w:r>
      <w:bookmarkEnd w:id="318"/>
    </w:p>
    <w:p w14:paraId="77E2CA8D" w14:textId="77777777" w:rsidR="00772179" w:rsidRDefault="00000000">
      <w:pPr>
        <w:pStyle w:val="Author-eSectionHeading4Numberless"/>
      </w:pPr>
      <w:bookmarkStart w:id="319" w:name="_Toc220490053"/>
      <w:r>
        <w:t>41.71 Seuils CCTB 01.11</w:t>
      </w:r>
      <w:bookmarkEnd w:id="319"/>
    </w:p>
    <w:p w14:paraId="5281781C" w14:textId="77777777" w:rsidR="00772179" w:rsidRDefault="00000000">
      <w:pPr>
        <w:pStyle w:val="pheading"/>
      </w:pPr>
      <w:bookmarkStart w:id="320" w:name="410"/>
      <w:bookmarkEnd w:id="320"/>
      <w:r>
        <w:t>EXÉCUTION / MISE EN ŒUVRE</w:t>
      </w:r>
    </w:p>
    <w:p w14:paraId="4BE9B1CC" w14:textId="77777777" w:rsidR="00772179" w:rsidRDefault="00000000">
      <w:pPr>
        <w:jc w:val="both"/>
      </w:pPr>
      <w:r>
        <w:t>La mise en œuvre et les assemblages sont exécutés conformément à la documentation technique accompagnant le produit.</w:t>
      </w:r>
    </w:p>
    <w:p w14:paraId="5F56C0F7" w14:textId="77777777" w:rsidR="00772179" w:rsidRDefault="00000000">
      <w:pPr>
        <w:pStyle w:val="pheading"/>
      </w:pPr>
      <w:r>
        <w:t>DOCUMENTS DE RÉFÉRENCE</w:t>
      </w:r>
    </w:p>
    <w:p w14:paraId="1E35A61D" w14:textId="77777777" w:rsidR="00772179" w:rsidRDefault="00000000">
      <w:pPr>
        <w:pStyle w:val="pheading"/>
      </w:pPr>
      <w:r>
        <w:t>- Exécution</w:t>
      </w:r>
    </w:p>
    <w:p w14:paraId="0B326CF9" w14:textId="77777777" w:rsidR="00772179" w:rsidRDefault="00000000">
      <w:r>
        <w:t>[NIT 283, La pose des menuiseries extérieures. Partie 1 : aspects généraux.]</w:t>
      </w:r>
    </w:p>
    <w:p w14:paraId="288B360B" w14:textId="77777777" w:rsidR="00772179" w:rsidRDefault="00000000">
      <w:pPr>
        <w:ind w:left="750"/>
      </w:pPr>
      <w:r>
        <w:t> </w:t>
      </w:r>
    </w:p>
    <w:p w14:paraId="7FA51690" w14:textId="77777777" w:rsidR="00772179" w:rsidRDefault="00000000">
      <w:pPr>
        <w:pStyle w:val="Author-eSectionHeading5Numberless"/>
      </w:pPr>
      <w:bookmarkStart w:id="321" w:name="_Toc220490054"/>
      <w:r>
        <w:t>41.71.1 Seuils intégrés au système de châssis CCTB 01.11</w:t>
      </w:r>
      <w:bookmarkEnd w:id="321"/>
    </w:p>
    <w:p w14:paraId="7B5F98F5" w14:textId="77777777" w:rsidR="00772179" w:rsidRDefault="00000000">
      <w:pPr>
        <w:pStyle w:val="pheading"/>
      </w:pPr>
      <w:r>
        <w:t>DESCRIPTION</w:t>
      </w:r>
    </w:p>
    <w:p w14:paraId="1D7BD895" w14:textId="77777777" w:rsidR="00772179" w:rsidRDefault="00000000">
      <w:pPr>
        <w:pStyle w:val="pheading"/>
      </w:pPr>
      <w:r>
        <w:t>- Définition / Comprend</w:t>
      </w:r>
    </w:p>
    <w:p w14:paraId="33307D0F" w14:textId="77777777" w:rsidR="00772179" w:rsidRDefault="00000000">
      <w:r>
        <w:t>Il s'agit de seuils de fenêtre préfabriqués, formant un ensemble indissociable avec le système de profilés choisi pour les châssis de fenêtre (PVC / aluminium, …). Ils sont livrés et placés avec tous les accessoires nécessaires tels que pattes d'ancrage, profils d'assemblage, abouts spéciaux, angles rentrants et sortants, …</w:t>
      </w:r>
    </w:p>
    <w:p w14:paraId="663A7360" w14:textId="77777777" w:rsidR="00772179" w:rsidRDefault="00000000">
      <w:pPr>
        <w:pStyle w:val="pheading"/>
      </w:pPr>
      <w:r>
        <w:t>MATÉRIAUX</w:t>
      </w:r>
    </w:p>
    <w:p w14:paraId="6B691C4A" w14:textId="77777777" w:rsidR="00772179" w:rsidRDefault="00000000">
      <w:r>
        <w:t>L'ensemble (fenêtre et seuil) assure un raccord parfait avec les fenêtres et déborde suffisamment sur le plan de la façade pour servir de rejet d'eau. Les dimensions des profilés de seuils prévoient une saillie ≥ 35 mm sur la façade achevée. Ils sont en outre conçus de manière à prévenir toute déformation suite aux variations de température.</w:t>
      </w:r>
    </w:p>
    <w:p w14:paraId="3A6F2ABC" w14:textId="77777777" w:rsidR="00772179" w:rsidRDefault="00000000">
      <w:pPr>
        <w:pStyle w:val="pheading"/>
      </w:pPr>
      <w:r>
        <w:t>EXÉCUTION / MISE EN ŒUVRE</w:t>
      </w:r>
    </w:p>
    <w:p w14:paraId="55C73ED8" w14:textId="77777777" w:rsidR="00772179" w:rsidRDefault="00000000">
      <w:r>
        <w:t xml:space="preserve">La pose s'effectue conformément aux prescriptions du fabricant. Les seuils de fenêtres en aluminium sont établis en alignement droit et sont réalisés en longueurs maximales. Des pattes d'ancrage sont prévues au moins tous les 75 cm. Le joint de </w:t>
      </w:r>
      <w:r>
        <w:rPr>
          <w:rFonts w:ascii="Symbol" w:hAnsi="Symbol" w:cs="Symbol"/>
        </w:rPr>
        <w:t>± </w:t>
      </w:r>
      <w:r>
        <w:t>1 cm entre les châssis et les palettes d’about verticales est  rempli d’un mastic élastique. La pose assure la continuité de l'étanchéité à l'eau. La mise en œuvre est conforme à la [NIT 283]. </w:t>
      </w:r>
    </w:p>
    <w:p w14:paraId="57C2C86C" w14:textId="77777777" w:rsidR="00772179" w:rsidRDefault="00000000">
      <w:pPr>
        <w:ind w:left="750"/>
      </w:pPr>
      <w:r>
        <w:t> </w:t>
      </w:r>
    </w:p>
    <w:p w14:paraId="668FBCE9" w14:textId="77777777" w:rsidR="00772179" w:rsidRDefault="00000000">
      <w:pPr>
        <w:pStyle w:val="Author-eSectionHeading6Numberless"/>
      </w:pPr>
      <w:bookmarkStart w:id="322" w:name="_Toc220490055"/>
      <w:r>
        <w:t>41.71.1a Seuils intégrés au système de châssis en bois CCTB 01.02</w:t>
      </w:r>
      <w:bookmarkEnd w:id="322"/>
    </w:p>
    <w:p w14:paraId="334F2324" w14:textId="77777777" w:rsidR="00772179" w:rsidRDefault="00000000">
      <w:pPr>
        <w:pStyle w:val="Author-eSectionHeading6Numberless"/>
      </w:pPr>
      <w:bookmarkStart w:id="323" w:name="_Toc220490056"/>
      <w:r>
        <w:lastRenderedPageBreak/>
        <w:t>41.71.1b Seuils intégrés au système de châssis en aluminium CCTB 01.11</w:t>
      </w:r>
      <w:bookmarkEnd w:id="323"/>
    </w:p>
    <w:p w14:paraId="7E03F683" w14:textId="77777777" w:rsidR="00772179" w:rsidRDefault="00000000">
      <w:pPr>
        <w:pStyle w:val="pheading"/>
      </w:pPr>
      <w:r>
        <w:t>MATÉRIAUX</w:t>
      </w:r>
    </w:p>
    <w:p w14:paraId="79150901" w14:textId="77777777" w:rsidR="00772179" w:rsidRDefault="00000000">
      <w:pPr>
        <w:pStyle w:val="pheading"/>
      </w:pPr>
      <w:r>
        <w:t>- Caractéristiques générales</w:t>
      </w:r>
    </w:p>
    <w:p w14:paraId="370770A9" w14:textId="77777777" w:rsidR="00772179" w:rsidRDefault="00000000">
      <w:r>
        <w:t xml:space="preserve">Les seuils de fenêtre en aluminium sont fabriqués en aluminium extrudé et font intégralement partie du système de </w:t>
      </w:r>
      <w:r>
        <w:rPr>
          <w:rStyle w:val="optioncarChar"/>
        </w:rPr>
        <w:t>fenêtres en aluminium / panneaux de façade en aluminium </w:t>
      </w:r>
    </w:p>
    <w:p w14:paraId="3379E2A1" w14:textId="77777777" w:rsidR="00772179" w:rsidRDefault="00000000">
      <w:pPr>
        <w:pStyle w:val="pheading"/>
      </w:pPr>
      <w:r>
        <w:t>- Finitions</w:t>
      </w:r>
    </w:p>
    <w:p w14:paraId="65F80F28" w14:textId="77777777" w:rsidR="00772179" w:rsidRDefault="00000000">
      <w:pPr>
        <w:pStyle w:val="Author-eListParagraph"/>
        <w:numPr>
          <w:ilvl w:val="0"/>
          <w:numId w:val="676"/>
        </w:numPr>
      </w:pPr>
      <w:r>
        <w:t>Les seuils de fenêtre sont profilés:</w:t>
      </w:r>
    </w:p>
    <w:p w14:paraId="786A551C" w14:textId="77777777" w:rsidR="00772179" w:rsidRDefault="00000000">
      <w:pPr>
        <w:ind w:left="450"/>
      </w:pPr>
      <w:r>
        <w:rPr>
          <w:rStyle w:val="optioncarChar"/>
        </w:rPr>
        <w:t xml:space="preserve">en forme de Z </w:t>
      </w:r>
      <w:r>
        <w:t>(par défaut)</w:t>
      </w:r>
      <w:r>
        <w:rPr>
          <w:rStyle w:val="optioncarChar"/>
        </w:rPr>
        <w:t xml:space="preserve"> / avec le bord avant arrondi</w:t>
      </w:r>
    </w:p>
    <w:p w14:paraId="224FFC60" w14:textId="77777777" w:rsidR="00772179" w:rsidRDefault="00000000">
      <w:pPr>
        <w:ind w:left="450"/>
      </w:pPr>
      <w:r>
        <w:rPr>
          <w:b/>
        </w:rPr>
        <w:t>(soit par défaut)</w:t>
      </w:r>
      <w:r>
        <w:t xml:space="preserve"> : </w:t>
      </w:r>
      <w:r>
        <w:rPr>
          <w:rStyle w:val="soitChar"/>
          <w:u w:val="single"/>
        </w:rPr>
        <w:t>en forme de Z</w:t>
      </w:r>
      <w:r>
        <w:rPr>
          <w:rStyle w:val="soitChar"/>
        </w:rPr>
        <w:t xml:space="preserve">, avec un bord avant ≥ </w:t>
      </w:r>
      <w:r>
        <w:rPr>
          <w:rStyle w:val="optioncarChar"/>
        </w:rPr>
        <w:t>20 / 30 </w:t>
      </w:r>
      <w:r>
        <w:rPr>
          <w:rStyle w:val="soitChar"/>
        </w:rPr>
        <w:t>mm. Inclinaison</w:t>
      </w:r>
      <w:r>
        <w:rPr>
          <w:rStyle w:val="optioncarChar"/>
        </w:rPr>
        <w:t> 5° / 11° / 15° .</w:t>
      </w:r>
      <w:r>
        <w:t> </w:t>
      </w:r>
      <w:r>
        <w:rPr>
          <w:rStyle w:val="soitChar"/>
        </w:rPr>
        <w:t>Le relevé contre les châssis est </w:t>
      </w:r>
      <w:r>
        <w:rPr>
          <w:rStyle w:val="optioncarChar"/>
        </w:rPr>
        <w:t>nervuré / plat</w:t>
      </w:r>
      <w:r>
        <w:t>.</w:t>
      </w:r>
      <w:r>
        <w:br/>
      </w:r>
      <w:r>
        <w:rPr>
          <w:b/>
        </w:rPr>
        <w:t>(soit)</w:t>
      </w:r>
      <w:r>
        <w:t> : </w:t>
      </w:r>
      <w:r>
        <w:rPr>
          <w:rStyle w:val="soitChar"/>
          <w:u w:val="single"/>
        </w:rPr>
        <w:t>avec le bord avant arrondi</w:t>
      </w:r>
      <w:r>
        <w:rPr>
          <w:rStyle w:val="soitChar"/>
        </w:rPr>
        <w:t>. Inclinaison </w:t>
      </w:r>
      <w:r>
        <w:rPr>
          <w:rStyle w:val="optioncarChar"/>
        </w:rPr>
        <w:t>15° / ***</w:t>
      </w:r>
      <w:r>
        <w:t xml:space="preserve">. </w:t>
      </w:r>
      <w:r>
        <w:rPr>
          <w:rStyle w:val="soitChar"/>
        </w:rPr>
        <w:t>Le relevé contre les châssis est nervuré. </w:t>
      </w:r>
    </w:p>
    <w:p w14:paraId="7191A33F" w14:textId="77777777" w:rsidR="00772179" w:rsidRDefault="00000000">
      <w:pPr>
        <w:pStyle w:val="Author-eListParagraph"/>
        <w:numPr>
          <w:ilvl w:val="0"/>
          <w:numId w:val="677"/>
        </w:numPr>
      </w:pPr>
      <w:r>
        <w:t xml:space="preserve">La largeur est de </w:t>
      </w:r>
      <w:r>
        <w:rPr>
          <w:rStyle w:val="optioncarChar"/>
        </w:rPr>
        <w:t xml:space="preserve">*** </w:t>
      </w:r>
      <w:r>
        <w:t>cm.</w:t>
      </w:r>
    </w:p>
    <w:p w14:paraId="7B30A6D0" w14:textId="77777777" w:rsidR="00772179" w:rsidRDefault="00000000">
      <w:pPr>
        <w:pStyle w:val="Author-eListParagraph"/>
        <w:numPr>
          <w:ilvl w:val="0"/>
          <w:numId w:val="677"/>
        </w:numPr>
      </w:pPr>
      <w:r>
        <w:t>La finition de la surface est :</w:t>
      </w:r>
    </w:p>
    <w:p w14:paraId="147C6E61" w14:textId="77777777" w:rsidR="00772179" w:rsidRDefault="00000000">
      <w:pPr>
        <w:ind w:left="450"/>
      </w:pPr>
      <w:r>
        <w:rPr>
          <w:rStyle w:val="optioncarChar"/>
        </w:rPr>
        <w:t xml:space="preserve">anodisée </w:t>
      </w:r>
      <w:r>
        <w:t>(par défaut)</w:t>
      </w:r>
      <w:r>
        <w:rPr>
          <w:rStyle w:val="optioncarChar"/>
        </w:rPr>
        <w:t xml:space="preserve"> / laquée par poudrage électrostatique</w:t>
      </w:r>
    </w:p>
    <w:p w14:paraId="04A3399D" w14:textId="77777777" w:rsidR="00772179" w:rsidRDefault="00000000">
      <w:pPr>
        <w:ind w:left="450"/>
      </w:pPr>
      <w:r>
        <w:rPr>
          <w:b/>
        </w:rPr>
        <w:t>(soit par défaut) </w:t>
      </w:r>
      <w:r>
        <w:t xml:space="preserve">: </w:t>
      </w:r>
      <w:r>
        <w:rPr>
          <w:rStyle w:val="soitChar"/>
          <w:u w:val="single"/>
        </w:rPr>
        <w:t>anodisée</w:t>
      </w:r>
      <w:r>
        <w:rPr>
          <w:rStyle w:val="soitChar"/>
        </w:rPr>
        <w:t>, ≥ 18 μm, finition couleur </w:t>
      </w:r>
      <w:r>
        <w:rPr>
          <w:rStyle w:val="optioncarChar"/>
        </w:rPr>
        <w:t>naturelle mate / noire </w:t>
      </w:r>
      <w:r>
        <w:br/>
      </w:r>
      <w:r>
        <w:rPr>
          <w:b/>
        </w:rPr>
        <w:t>(soit )</w:t>
      </w:r>
      <w:r>
        <w:t xml:space="preserve"> : </w:t>
      </w:r>
      <w:r>
        <w:rPr>
          <w:rStyle w:val="soitChar"/>
          <w:u w:val="single"/>
        </w:rPr>
        <w:t>laquée par poudrage électrostatique</w:t>
      </w:r>
      <w:r>
        <w:rPr>
          <w:rStyle w:val="soitChar"/>
        </w:rPr>
        <w:t>, qualité et couleur : </w:t>
      </w:r>
      <w:r>
        <w:rPr>
          <w:rStyle w:val="optioncarChar"/>
        </w:rPr>
        <w:t>identiques à la menuiserie extérieure / à choisir par l'auteur de projet </w:t>
      </w:r>
      <w:r>
        <w:t xml:space="preserve"> RAL n° </w:t>
      </w:r>
      <w:r>
        <w:rPr>
          <w:rStyle w:val="optioncarChar"/>
        </w:rPr>
        <w:t xml:space="preserve">*** </w:t>
      </w:r>
    </w:p>
    <w:p w14:paraId="04E5DC42" w14:textId="77777777" w:rsidR="00772179" w:rsidRDefault="00000000">
      <w:pPr>
        <w:pStyle w:val="pheading"/>
      </w:pPr>
      <w:r>
        <w:t>EXÉCUTION / MISE EN ŒUVRE</w:t>
      </w:r>
    </w:p>
    <w:p w14:paraId="013F8781" w14:textId="77777777" w:rsidR="00772179" w:rsidRDefault="00000000">
      <w:pPr>
        <w:pStyle w:val="pheading"/>
      </w:pPr>
      <w:r>
        <w:t>- Prescriptions générales</w:t>
      </w:r>
    </w:p>
    <w:p w14:paraId="7D3E03D3" w14:textId="77777777" w:rsidR="00772179" w:rsidRDefault="00000000">
      <w:r>
        <w:t xml:space="preserve">Les pattes d'ancrage sont posées au moins tous les </w:t>
      </w:r>
      <w:r>
        <w:rPr>
          <w:rStyle w:val="optioncarChar"/>
        </w:rPr>
        <w:t xml:space="preserve">75 </w:t>
      </w:r>
      <w:r>
        <w:t xml:space="preserve">(par défaut) </w:t>
      </w:r>
      <w:r>
        <w:rPr>
          <w:rStyle w:val="optioncarChar"/>
        </w:rPr>
        <w:t>/ ***</w:t>
      </w:r>
      <w:r>
        <w:t xml:space="preserve"> cm. Le remplissage entre le seuil de fenêtre et le support est constitué sur toute la longueur d'une isolation acoustique réalisée par </w:t>
      </w:r>
      <w:r>
        <w:rPr>
          <w:rStyle w:val="optioncarChar"/>
        </w:rPr>
        <w:t>un cordon d'étanchéité compressible / mousse d'injection &lt;</w:t>
      </w:r>
      <w:r>
        <w:t xml:space="preserve"> 1 cm de la face du mur. Le joint de </w:t>
      </w:r>
      <w:r>
        <w:rPr>
          <w:rFonts w:ascii="Symbol" w:hAnsi="Symbol" w:cs="Symbol"/>
        </w:rPr>
        <w:t>± </w:t>
      </w:r>
      <w:r>
        <w:t>1 cm est rempli d’un mastic de la classe V suivant la [STS 56]. Le joint entre les palettes d'about verticales et la maçonnerie est également soigneusement obturé, sans maculer la maçonnerie.</w:t>
      </w:r>
    </w:p>
    <w:p w14:paraId="4F25BD0C" w14:textId="77777777" w:rsidR="00772179" w:rsidRDefault="00000000">
      <w:pPr>
        <w:pStyle w:val="pheading"/>
      </w:pPr>
      <w:r>
        <w:t>MESURAGE</w:t>
      </w:r>
    </w:p>
    <w:p w14:paraId="75D2636D" w14:textId="77777777" w:rsidR="00772179" w:rsidRDefault="00000000">
      <w:pPr>
        <w:pStyle w:val="pheading"/>
      </w:pPr>
      <w:r>
        <w:t>- unité de mesure:</w:t>
      </w:r>
    </w:p>
    <w:p w14:paraId="233D4649" w14:textId="77777777" w:rsidR="00772179" w:rsidRDefault="00000000">
      <w:r>
        <w:t>m</w:t>
      </w:r>
    </w:p>
    <w:p w14:paraId="00BE1166" w14:textId="77777777" w:rsidR="00772179" w:rsidRDefault="00000000">
      <w:pPr>
        <w:pStyle w:val="pheading"/>
      </w:pPr>
      <w:r>
        <w:t>- code de mesurage:</w:t>
      </w:r>
    </w:p>
    <w:p w14:paraId="16AE3659" w14:textId="77777777" w:rsidR="00772179" w:rsidRDefault="00000000">
      <w:r>
        <w:t>longueur nette à exécuter selon la largeur utile.</w:t>
      </w:r>
    </w:p>
    <w:p w14:paraId="3467A1F7" w14:textId="77777777" w:rsidR="00772179" w:rsidRDefault="00000000">
      <w:pPr>
        <w:pStyle w:val="pheading"/>
      </w:pPr>
      <w:r>
        <w:t>- nature du marché:</w:t>
      </w:r>
    </w:p>
    <w:p w14:paraId="06BD5777" w14:textId="77777777" w:rsidR="00772179" w:rsidRDefault="00000000">
      <w:r>
        <w:t>QF</w:t>
      </w:r>
    </w:p>
    <w:p w14:paraId="28D11A14" w14:textId="77777777" w:rsidR="00772179" w:rsidRDefault="00000000">
      <w:pPr>
        <w:pStyle w:val="Author-eSectionHeading6Numberless"/>
      </w:pPr>
      <w:bookmarkStart w:id="324" w:name="_Toc220490057"/>
      <w:r>
        <w:t>41.71.1c Seuils intégrés au système de châssis en acier CCTB 01.02</w:t>
      </w:r>
      <w:bookmarkEnd w:id="324"/>
    </w:p>
    <w:p w14:paraId="78E2490A" w14:textId="77777777" w:rsidR="00772179" w:rsidRDefault="00000000">
      <w:pPr>
        <w:pStyle w:val="Author-eSectionHeading6Numberless"/>
      </w:pPr>
      <w:bookmarkStart w:id="325" w:name="_Toc220490058"/>
      <w:r>
        <w:t>41.71.1d Seuils intégrés au système de châssis en PVC CCTB 01.02</w:t>
      </w:r>
      <w:bookmarkEnd w:id="325"/>
    </w:p>
    <w:p w14:paraId="1C19100A" w14:textId="77777777" w:rsidR="00772179" w:rsidRDefault="00000000">
      <w:pPr>
        <w:pStyle w:val="Author-eSectionHeading5Numberless"/>
      </w:pPr>
      <w:bookmarkStart w:id="326" w:name="_Toc220490059"/>
      <w:r>
        <w:t>41.71.2 Seuils posés a posteriori CCTB 01.12</w:t>
      </w:r>
      <w:bookmarkEnd w:id="326"/>
    </w:p>
    <w:p w14:paraId="08891432" w14:textId="77777777" w:rsidR="00772179" w:rsidRDefault="00000000">
      <w:pPr>
        <w:pStyle w:val="pheading"/>
      </w:pPr>
      <w:r>
        <w:t>DESCRIPTION</w:t>
      </w:r>
    </w:p>
    <w:p w14:paraId="0DD87D5C" w14:textId="77777777" w:rsidR="00772179" w:rsidRDefault="00000000">
      <w:pPr>
        <w:pStyle w:val="pheading"/>
      </w:pPr>
      <w:r>
        <w:t>- Définition / Comprend</w:t>
      </w:r>
    </w:p>
    <w:p w14:paraId="454DF8EE" w14:textId="77777777" w:rsidR="00772179" w:rsidRDefault="00000000">
      <w:pPr>
        <w:jc w:val="both"/>
      </w:pPr>
      <w:r>
        <w:t>Il s’agit de la fourniture et de la pose de seuils de fenêtres préfabriqués posés a posteriori et assemblés de manière à former un ensemble avec le système de profilés choisi pour les châssis de fenêtre. Ils sont livrés et placés avec tous les accessoires nécessaires tels que pattes d'ancrage, profils d'assemblage, abouts spéciaux, angles rentrants et sortants, etc…</w:t>
      </w:r>
    </w:p>
    <w:p w14:paraId="5B539960" w14:textId="77777777" w:rsidR="00772179" w:rsidRDefault="00000000">
      <w:pPr>
        <w:jc w:val="both"/>
      </w:pPr>
      <w:r>
        <w:lastRenderedPageBreak/>
        <w:t>L'ensemble assure un raccord parfait avec les fenêtres et déborde suffisamment sur le plan de la façade pour servir de rejet d'eau. Ils sont en outre conçus et assemblés de manière à prévenir toute déformation suite aux variations de température.</w:t>
      </w:r>
    </w:p>
    <w:p w14:paraId="312FECB0" w14:textId="77777777" w:rsidR="00772179" w:rsidRDefault="00000000">
      <w:pPr>
        <w:pStyle w:val="pheading"/>
      </w:pPr>
      <w:r>
        <w:t>MATÉRIAUX</w:t>
      </w:r>
    </w:p>
    <w:p w14:paraId="1697FC99" w14:textId="77777777" w:rsidR="00772179" w:rsidRDefault="00000000">
      <w:pPr>
        <w:jc w:val="both"/>
      </w:pPr>
      <w:r>
        <w:rPr>
          <w:b/>
        </w:rPr>
        <w:t>Aspects environnementaux</w:t>
      </w:r>
    </w:p>
    <w:p w14:paraId="5FC23932" w14:textId="77777777" w:rsidR="00772179" w:rsidRDefault="00000000">
      <w:pPr>
        <w:pStyle w:val="Author-eListParagraph"/>
        <w:numPr>
          <w:ilvl w:val="0"/>
          <w:numId w:val="678"/>
        </w:numPr>
        <w:jc w:val="both"/>
      </w:pPr>
      <w:r>
        <w:t xml:space="preserve">Matériaux disposant d’un label suivant prescriptions du 02.42.6 Labels environnementaux : </w:t>
      </w:r>
      <w:r>
        <w:rPr>
          <w:rStyle w:val="optioncarChar"/>
        </w:rPr>
        <w:t>oui / non </w:t>
      </w:r>
    </w:p>
    <w:p w14:paraId="3919152C" w14:textId="77777777" w:rsidR="00772179" w:rsidRDefault="00000000">
      <w:pPr>
        <w:pStyle w:val="Author-eListParagraph"/>
        <w:numPr>
          <w:ilvl w:val="0"/>
          <w:numId w:val="678"/>
        </w:numPr>
        <w:jc w:val="both"/>
      </w:pPr>
      <w:r>
        <w:t xml:space="preserve">Matériaux recyclés entrant dans la fabrication du produit : </w:t>
      </w:r>
      <w:r>
        <w:rPr>
          <w:rStyle w:val="optioncarChar"/>
        </w:rPr>
        <w:t>oui / non </w:t>
      </w:r>
    </w:p>
    <w:p w14:paraId="124E02F1" w14:textId="77777777" w:rsidR="00772179" w:rsidRDefault="00000000">
      <w:pPr>
        <w:pStyle w:val="pheading"/>
      </w:pPr>
      <w:r>
        <w:t>EXÉCUTION / MISE EN ŒUVRE</w:t>
      </w:r>
    </w:p>
    <w:p w14:paraId="55D395BE" w14:textId="77777777" w:rsidR="00772179" w:rsidRDefault="00000000">
      <w:pPr>
        <w:jc w:val="both"/>
      </w:pPr>
      <w:r>
        <w:t>La mise en œuvre et les assemblages sont exécutés conformément à la documentation technique accompagnant le produit.</w:t>
      </w:r>
    </w:p>
    <w:p w14:paraId="31246AB9" w14:textId="77777777" w:rsidR="00772179" w:rsidRDefault="00000000">
      <w:pPr>
        <w:pStyle w:val="Author-eSectionHeading6Numberless"/>
      </w:pPr>
      <w:bookmarkStart w:id="327" w:name="_Toc220490060"/>
      <w:r>
        <w:t>41.71.2a Seuils posés a posteriori en pierre / béton / fibre ciment</w:t>
      </w:r>
      <w:bookmarkEnd w:id="327"/>
    </w:p>
    <w:p w14:paraId="5D1F06BC" w14:textId="77777777" w:rsidR="00772179" w:rsidRDefault="00000000">
      <w:pPr>
        <w:pStyle w:val="Author-eSectionHeading6Numberless"/>
      </w:pPr>
      <w:bookmarkStart w:id="328" w:name="_Toc220490061"/>
      <w:r>
        <w:t>41.71.2b Seuils posés a posteriori métalliques CCTB 01.11</w:t>
      </w:r>
      <w:bookmarkEnd w:id="328"/>
    </w:p>
    <w:p w14:paraId="0A5237BC" w14:textId="77777777" w:rsidR="00772179" w:rsidRDefault="00000000">
      <w:pPr>
        <w:pStyle w:val="pheading"/>
      </w:pPr>
      <w:r>
        <w:t>DESCRIPTION</w:t>
      </w:r>
    </w:p>
    <w:p w14:paraId="0F30EE2F" w14:textId="77777777" w:rsidR="00772179" w:rsidRDefault="00000000">
      <w:pPr>
        <w:pStyle w:val="pheading"/>
      </w:pPr>
      <w:r>
        <w:t>- Définition / Comprend</w:t>
      </w:r>
    </w:p>
    <w:p w14:paraId="632E2E1B" w14:textId="77777777" w:rsidR="00772179" w:rsidRDefault="00000000">
      <w:pPr>
        <w:jc w:val="both"/>
      </w:pPr>
      <w:r>
        <w:t>Il s’agit de la fourniture et de la pose de seuils de fenêtres préfabriqués métallique posés à postériori et assemblés de manière à former un ensemble avec le système de profilés choisi pour les châssis de fenêtre (PVC / aluminium, …). Ils sont livrés et placés avec tous les accessoires nécessaires tels que pattes d'ancrage, profils d'assemblage, abouts spéciaux, angles rentrants et sortants, etc…</w:t>
      </w:r>
    </w:p>
    <w:p w14:paraId="7DABA203" w14:textId="77777777" w:rsidR="00772179" w:rsidRDefault="00000000">
      <w:pPr>
        <w:jc w:val="both"/>
      </w:pPr>
      <w:r>
        <w:t>L'ensemble assure un raccord parfait avec les fenêtres et déborde suffisamment sur le plan de la façade pour servir de rejet d'eau. Ils sont en outre conçus et assemblés de manière à prévenir toute déformation suite aux variations de température.</w:t>
      </w:r>
    </w:p>
    <w:p w14:paraId="3C7355FC" w14:textId="77777777" w:rsidR="00772179" w:rsidRDefault="00000000">
      <w:pPr>
        <w:pStyle w:val="pheading"/>
      </w:pPr>
      <w:r>
        <w:t>MATÉRIAUX</w:t>
      </w:r>
    </w:p>
    <w:p w14:paraId="2FB678FE" w14:textId="77777777" w:rsidR="00772179" w:rsidRDefault="00000000">
      <w:pPr>
        <w:pStyle w:val="pheading"/>
      </w:pPr>
      <w:r>
        <w:t>- Caractéristiques générales</w:t>
      </w:r>
    </w:p>
    <w:p w14:paraId="064C76F4" w14:textId="77777777" w:rsidR="00772179" w:rsidRDefault="00000000">
      <w:pPr>
        <w:jc w:val="both"/>
      </w:pPr>
      <w:r>
        <w:t>Les seuils de fenêtre sont fabriqués en aluminium extrudé constitué d’un alliage de type EN AW 6063 T66.</w:t>
      </w:r>
    </w:p>
    <w:p w14:paraId="3E7C177A" w14:textId="77777777" w:rsidR="00772179" w:rsidRDefault="00000000">
      <w:pPr>
        <w:pStyle w:val="Author-eListParagraph"/>
        <w:numPr>
          <w:ilvl w:val="0"/>
          <w:numId w:val="679"/>
        </w:numPr>
      </w:pPr>
      <w:r>
        <w:t>Le seuil de fenêtre est profilé : </w:t>
      </w:r>
      <w:r>
        <w:rPr>
          <w:rStyle w:val="optioncarChar"/>
        </w:rPr>
        <w:t>en forme de Z</w:t>
      </w:r>
      <w:r>
        <w:t xml:space="preserve"> (par défaut)</w:t>
      </w:r>
      <w:r>
        <w:rPr>
          <w:rStyle w:val="optioncarChar"/>
        </w:rPr>
        <w:t xml:space="preserve"> / ***</w:t>
      </w:r>
      <w:r>
        <w:t>.</w:t>
      </w:r>
    </w:p>
    <w:p w14:paraId="399D7CEF" w14:textId="77777777" w:rsidR="00772179" w:rsidRDefault="00000000">
      <w:pPr>
        <w:pStyle w:val="Author-eListParagraph"/>
        <w:numPr>
          <w:ilvl w:val="0"/>
          <w:numId w:val="679"/>
        </w:numPr>
      </w:pPr>
      <w:r>
        <w:t xml:space="preserve">Largeur : égale à la largeur du mur ou du revêtement de façade à couvrir depuis le plan des menuiseries plus </w:t>
      </w:r>
      <w:r>
        <w:rPr>
          <w:rStyle w:val="optioncarChar"/>
        </w:rPr>
        <w:t xml:space="preserve">35 </w:t>
      </w:r>
      <w:r>
        <w:t>(par défaut)</w:t>
      </w:r>
      <w:r>
        <w:rPr>
          <w:rStyle w:val="optioncarChar"/>
        </w:rPr>
        <w:t xml:space="preserve"> / ***</w:t>
      </w:r>
      <w:r>
        <w:t xml:space="preserve"> mm.</w:t>
      </w:r>
    </w:p>
    <w:p w14:paraId="69CEBFF4" w14:textId="77777777" w:rsidR="00772179" w:rsidRDefault="00000000">
      <w:pPr>
        <w:pStyle w:val="Author-eListParagraph"/>
        <w:numPr>
          <w:ilvl w:val="0"/>
          <w:numId w:val="679"/>
        </w:numPr>
      </w:pPr>
      <w:r>
        <w:t xml:space="preserve">Bord avant : hauteur ≥ à </w:t>
      </w:r>
      <w:r>
        <w:rPr>
          <w:rStyle w:val="optioncarChar"/>
        </w:rPr>
        <w:t>40</w:t>
      </w:r>
      <w:r>
        <w:t xml:space="preserve"> (par défaut)</w:t>
      </w:r>
      <w:r>
        <w:rPr>
          <w:rStyle w:val="optioncarChar"/>
        </w:rPr>
        <w:t xml:space="preserve"> / ***</w:t>
      </w:r>
      <w:r>
        <w:t xml:space="preserve"> mm avec un repli en partie basse formant casse-gouttes et permettant l’accrochage des éventuels éléments de support.</w:t>
      </w:r>
    </w:p>
    <w:p w14:paraId="3BA6D965" w14:textId="77777777" w:rsidR="00772179" w:rsidRDefault="00000000">
      <w:pPr>
        <w:pStyle w:val="Author-eListParagraph"/>
        <w:numPr>
          <w:ilvl w:val="0"/>
          <w:numId w:val="679"/>
        </w:numPr>
      </w:pPr>
      <w:r>
        <w:t xml:space="preserve">Arrête de fixation au profil de châssis : hauteur ≥ à </w:t>
      </w:r>
      <w:r>
        <w:rPr>
          <w:rStyle w:val="optioncarChar"/>
        </w:rPr>
        <w:t xml:space="preserve">25 </w:t>
      </w:r>
      <w:r>
        <w:t>(par défaut)</w:t>
      </w:r>
      <w:r>
        <w:rPr>
          <w:rStyle w:val="optioncarChar"/>
        </w:rPr>
        <w:t xml:space="preserve"> / ***</w:t>
      </w:r>
      <w:r>
        <w:t xml:space="preserve"> mm. La face en contact avec le profil est </w:t>
      </w:r>
      <w:r>
        <w:rPr>
          <w:rStyle w:val="optioncarChar"/>
        </w:rPr>
        <w:t>nervurée</w:t>
      </w:r>
      <w:r>
        <w:t xml:space="preserve"> (par défaut) </w:t>
      </w:r>
      <w:r>
        <w:rPr>
          <w:rStyle w:val="optioncarChar"/>
        </w:rPr>
        <w:t>/ plate</w:t>
      </w:r>
      <w:r>
        <w:t xml:space="preserve"> et munie de trous oblongs permettant la dilatation du profil au niveau des fixations.</w:t>
      </w:r>
    </w:p>
    <w:p w14:paraId="0AEEC4CC" w14:textId="77777777" w:rsidR="00772179" w:rsidRDefault="00000000">
      <w:pPr>
        <w:pStyle w:val="Author-eListParagraph"/>
        <w:numPr>
          <w:ilvl w:val="0"/>
          <w:numId w:val="679"/>
        </w:numPr>
      </w:pPr>
      <w:r>
        <w:t xml:space="preserve">Pente : ≥ à </w:t>
      </w:r>
      <w:r>
        <w:rPr>
          <w:rStyle w:val="optioncarChar"/>
        </w:rPr>
        <w:t xml:space="preserve">5 ° </w:t>
      </w:r>
      <w:r>
        <w:t>(par défaut)</w:t>
      </w:r>
      <w:r>
        <w:rPr>
          <w:rStyle w:val="optioncarChar"/>
        </w:rPr>
        <w:t xml:space="preserve"> / ***</w:t>
      </w:r>
      <w:r>
        <w:t>.</w:t>
      </w:r>
    </w:p>
    <w:p w14:paraId="05007611" w14:textId="77777777" w:rsidR="00772179" w:rsidRDefault="00000000">
      <w:pPr>
        <w:pStyle w:val="Author-eListParagraph"/>
        <w:numPr>
          <w:ilvl w:val="0"/>
          <w:numId w:val="679"/>
        </w:numPr>
      </w:pPr>
      <w:r>
        <w:t xml:space="preserve">Eléments d’about : en forme de </w:t>
      </w:r>
      <w:r>
        <w:rPr>
          <w:rStyle w:val="optioncarChar"/>
        </w:rPr>
        <w:t>U (pour mur enduit) /  L</w:t>
      </w:r>
      <w:r>
        <w:t>.</w:t>
      </w:r>
    </w:p>
    <w:p w14:paraId="7DBE273D" w14:textId="77777777" w:rsidR="00772179" w:rsidRDefault="00000000">
      <w:pPr>
        <w:pStyle w:val="Author-eListParagraph"/>
        <w:numPr>
          <w:ilvl w:val="0"/>
          <w:numId w:val="679"/>
        </w:numPr>
      </w:pPr>
      <w:r>
        <w:t xml:space="preserve">Eléments de jonction entre deux profils de seuil : </w:t>
      </w:r>
      <w:r>
        <w:rPr>
          <w:rStyle w:val="optioncarChar"/>
        </w:rPr>
        <w:t xml:space="preserve">pièce de raccord en H </w:t>
      </w:r>
      <w:r>
        <w:t>(par défaut)</w:t>
      </w:r>
      <w:r>
        <w:rPr>
          <w:rStyle w:val="optioncarChar"/>
        </w:rPr>
        <w:t xml:space="preserve"> / ***</w:t>
      </w:r>
      <w:r>
        <w:t>.</w:t>
      </w:r>
    </w:p>
    <w:p w14:paraId="02F450CA" w14:textId="77777777" w:rsidR="00772179" w:rsidRDefault="00000000">
      <w:pPr>
        <w:pStyle w:val="Author-eListParagraph"/>
        <w:numPr>
          <w:ilvl w:val="0"/>
          <w:numId w:val="679"/>
        </w:numPr>
      </w:pPr>
      <w:r>
        <w:t xml:space="preserve">Coins extérieur : </w:t>
      </w:r>
      <w:r>
        <w:rPr>
          <w:rStyle w:val="optioncarChar"/>
        </w:rPr>
        <w:t xml:space="preserve">pièce de raccord en H avec bord avant et arrête pliée en angle sortant </w:t>
      </w:r>
      <w:r>
        <w:t xml:space="preserve">(par défaut) </w:t>
      </w:r>
      <w:r>
        <w:rPr>
          <w:rStyle w:val="optioncarChar"/>
        </w:rPr>
        <w:t>/ ***</w:t>
      </w:r>
    </w:p>
    <w:p w14:paraId="71CC1226" w14:textId="77777777" w:rsidR="00772179" w:rsidRDefault="00000000">
      <w:pPr>
        <w:pStyle w:val="Author-eListParagraph"/>
        <w:numPr>
          <w:ilvl w:val="0"/>
          <w:numId w:val="679"/>
        </w:numPr>
      </w:pPr>
      <w:r>
        <w:t xml:space="preserve">Coins intérieur : </w:t>
      </w:r>
      <w:r>
        <w:rPr>
          <w:rStyle w:val="optioncarChar"/>
        </w:rPr>
        <w:t xml:space="preserve">pièce de raccord en H avec bord avant et arrête pliée en angle rentrant </w:t>
      </w:r>
      <w:r>
        <w:t xml:space="preserve">(par défaut) </w:t>
      </w:r>
      <w:r>
        <w:rPr>
          <w:rStyle w:val="optioncarChar"/>
        </w:rPr>
        <w:t>/ ***</w:t>
      </w:r>
    </w:p>
    <w:p w14:paraId="3CE1218F" w14:textId="77777777" w:rsidR="00772179" w:rsidRDefault="00000000">
      <w:pPr>
        <w:jc w:val="both"/>
      </w:pPr>
      <w:r>
        <w:t xml:space="preserve">Si la largeur des seuils est ≥ à 150 mm, ils sont posés sur des équerres de support en acier galvanisé dont la partie supérieure est coulissante et munie en son extrémité d’un rebord enfichable dans l’about de l’élément de seuil. Ces équerres constituant autant de ponts thermiques nuisant à l'efficacité de l'isolation, elles sont munies de plaques de rupture thermique présentant une résistance thermique ≥ à </w:t>
      </w:r>
      <w:r>
        <w:rPr>
          <w:rStyle w:val="optioncarChar"/>
        </w:rPr>
        <w:t xml:space="preserve">0,038 </w:t>
      </w:r>
      <w:r>
        <w:t xml:space="preserve">(par défaut) </w:t>
      </w:r>
      <w:r>
        <w:rPr>
          <w:rStyle w:val="optioncarChar"/>
        </w:rPr>
        <w:t>/ ***</w:t>
      </w:r>
      <w:r>
        <w:t xml:space="preserve"> m²K/W entre les consoles et la structure dans lequel elles viennent se fixer.</w:t>
      </w:r>
    </w:p>
    <w:p w14:paraId="23D14F21" w14:textId="77777777" w:rsidR="00772179" w:rsidRDefault="00000000">
      <w:pPr>
        <w:pStyle w:val="pheading"/>
      </w:pPr>
      <w:r>
        <w:lastRenderedPageBreak/>
        <w:t>- Finitions</w:t>
      </w:r>
    </w:p>
    <w:p w14:paraId="2FD57936" w14:textId="77777777" w:rsidR="00772179" w:rsidRDefault="00000000">
      <w:pPr>
        <w:jc w:val="both"/>
      </w:pPr>
      <w:r>
        <w:rPr>
          <w:rStyle w:val="optioncarChar"/>
        </w:rPr>
        <w:t>Laquée par poudrage électrostatique</w:t>
      </w:r>
      <w:r>
        <w:t xml:space="preserve"> (par défaut) </w:t>
      </w:r>
      <w:r>
        <w:rPr>
          <w:rStyle w:val="optioncarChar"/>
        </w:rPr>
        <w:t>/ Anodisée / ***</w:t>
      </w:r>
    </w:p>
    <w:p w14:paraId="2B97C663" w14:textId="77777777" w:rsidR="00772179" w:rsidRDefault="00000000">
      <w:pPr>
        <w:jc w:val="both"/>
      </w:pPr>
      <w:r>
        <w:rPr>
          <w:b/>
        </w:rPr>
        <w:t>(soit par défaut)</w:t>
      </w:r>
    </w:p>
    <w:p w14:paraId="78A29F86" w14:textId="77777777" w:rsidR="00772179" w:rsidRDefault="00000000">
      <w:pPr>
        <w:jc w:val="both"/>
      </w:pPr>
      <w:r>
        <w:rPr>
          <w:rStyle w:val="soitChar"/>
          <w:u w:val="single"/>
        </w:rPr>
        <w:t>Laquée par poudrage électrostatique</w:t>
      </w:r>
      <w:r>
        <w:rPr>
          <w:rStyle w:val="soitChar"/>
        </w:rPr>
        <w:t> : selon [Qualicoat] épaisseur ≥ 60 μm</w:t>
      </w:r>
    </w:p>
    <w:p w14:paraId="11CED689" w14:textId="77777777" w:rsidR="00772179" w:rsidRDefault="00000000">
      <w:pPr>
        <w:pStyle w:val="Author-eListParagraph"/>
        <w:numPr>
          <w:ilvl w:val="0"/>
          <w:numId w:val="680"/>
        </w:numPr>
      </w:pPr>
      <w:r>
        <w:rPr>
          <w:rStyle w:val="soitChar"/>
        </w:rPr>
        <w:t>Couleur :</w:t>
      </w:r>
      <w:r>
        <w:rPr>
          <w:rStyle w:val="optioncarChar"/>
        </w:rPr>
        <w:t>identique à la menuiserie extérieure</w:t>
      </w:r>
      <w:r>
        <w:t xml:space="preserve"> (par défaut) </w:t>
      </w:r>
      <w:r>
        <w:rPr>
          <w:rStyle w:val="optioncarChar"/>
        </w:rPr>
        <w:t>/ RAL n° ***</w:t>
      </w:r>
    </w:p>
    <w:p w14:paraId="47090D2D" w14:textId="77777777" w:rsidR="00772179" w:rsidRDefault="00000000">
      <w:pPr>
        <w:pStyle w:val="Author-eListParagraph"/>
        <w:numPr>
          <w:ilvl w:val="0"/>
          <w:numId w:val="680"/>
        </w:numPr>
      </w:pPr>
      <w:r>
        <w:rPr>
          <w:rStyle w:val="soitChar"/>
        </w:rPr>
        <w:t>Finition :</w:t>
      </w:r>
      <w:r>
        <w:rPr>
          <w:rStyle w:val="optioncarChar"/>
        </w:rPr>
        <w:t xml:space="preserve">identique à la menuiserie extérieure </w:t>
      </w:r>
      <w:r>
        <w:t>(par défaut)</w:t>
      </w:r>
      <w:r>
        <w:rPr>
          <w:rStyle w:val="optioncarChar"/>
        </w:rPr>
        <w:t xml:space="preserve"> / brillante / mate / légèrement structurée / ***.</w:t>
      </w:r>
    </w:p>
    <w:p w14:paraId="414B5528" w14:textId="77777777" w:rsidR="00772179" w:rsidRDefault="00000000">
      <w:pPr>
        <w:jc w:val="both"/>
      </w:pPr>
      <w:r>
        <w:rPr>
          <w:b/>
        </w:rPr>
        <w:t>(soit)</w:t>
      </w:r>
    </w:p>
    <w:p w14:paraId="020EC942" w14:textId="77777777" w:rsidR="00772179" w:rsidRDefault="00000000">
      <w:pPr>
        <w:jc w:val="both"/>
      </w:pPr>
      <w:r>
        <w:rPr>
          <w:rStyle w:val="soitChar"/>
          <w:u w:val="single"/>
        </w:rPr>
        <w:t>Anodisée :</w:t>
      </w:r>
      <w:r>
        <w:rPr>
          <w:rStyle w:val="soitChar"/>
        </w:rPr>
        <w:t xml:space="preserve"> selon [Qualanod] épaisseur ≥ 18 μm</w:t>
      </w:r>
    </w:p>
    <w:p w14:paraId="0C4BA7C5" w14:textId="77777777" w:rsidR="00772179" w:rsidRDefault="00000000">
      <w:pPr>
        <w:pStyle w:val="Author-eListParagraph"/>
        <w:numPr>
          <w:ilvl w:val="0"/>
          <w:numId w:val="681"/>
        </w:numPr>
      </w:pPr>
      <w:r>
        <w:rPr>
          <w:rStyle w:val="soitChar"/>
        </w:rPr>
        <w:t>Couleur :</w:t>
      </w:r>
      <w:r>
        <w:rPr>
          <w:rStyle w:val="optioncarChar"/>
        </w:rPr>
        <w:t xml:space="preserve"> identique à la menuiserie extérieure</w:t>
      </w:r>
      <w:r>
        <w:t xml:space="preserve"> (par défaut)</w:t>
      </w:r>
      <w:r>
        <w:rPr>
          <w:rStyle w:val="optioncarChar"/>
        </w:rPr>
        <w:t xml:space="preserve"> / naturelle mate / noire ***.</w:t>
      </w:r>
    </w:p>
    <w:p w14:paraId="4D6FEC49" w14:textId="77777777" w:rsidR="00772179" w:rsidRDefault="00000000">
      <w:pPr>
        <w:pStyle w:val="Author-eListParagraph"/>
        <w:numPr>
          <w:ilvl w:val="0"/>
          <w:numId w:val="681"/>
        </w:numPr>
      </w:pPr>
      <w:r>
        <w:rPr>
          <w:rStyle w:val="soitChar"/>
        </w:rPr>
        <w:t>Finition :</w:t>
      </w:r>
      <w:r>
        <w:rPr>
          <w:rStyle w:val="optioncarChar"/>
        </w:rPr>
        <w:t>identique à la menuiserie extérieure</w:t>
      </w:r>
      <w:r>
        <w:t xml:space="preserve"> (par défaut)</w:t>
      </w:r>
      <w:r>
        <w:rPr>
          <w:rStyle w:val="optioncarChar"/>
        </w:rPr>
        <w:t xml:space="preserve"> / mate / ***.</w:t>
      </w:r>
    </w:p>
    <w:p w14:paraId="59C8946F" w14:textId="77777777" w:rsidR="00772179" w:rsidRDefault="00000000">
      <w:pPr>
        <w:jc w:val="both"/>
      </w:pPr>
      <w:r>
        <w:rPr>
          <w:b/>
        </w:rPr>
        <w:t>(soit)</w:t>
      </w:r>
    </w:p>
    <w:p w14:paraId="7EF354C4" w14:textId="77777777" w:rsidR="00772179" w:rsidRDefault="00000000">
      <w:pPr>
        <w:jc w:val="both"/>
      </w:pPr>
      <w:r>
        <w:rPr>
          <w:rStyle w:val="optioncarChar"/>
        </w:rPr>
        <w:t>***</w:t>
      </w:r>
    </w:p>
    <w:p w14:paraId="5807D95D" w14:textId="77777777" w:rsidR="00772179" w:rsidRDefault="00000000">
      <w:pPr>
        <w:pStyle w:val="pheading"/>
      </w:pPr>
      <w:r>
        <w:t>EXÉCUTION / MISE EN ŒUVRE</w:t>
      </w:r>
    </w:p>
    <w:p w14:paraId="402AAFDC" w14:textId="77777777" w:rsidR="00772179" w:rsidRDefault="00000000">
      <w:pPr>
        <w:pStyle w:val="pheading"/>
      </w:pPr>
      <w:r>
        <w:t>- Prescriptions générales</w:t>
      </w:r>
    </w:p>
    <w:p w14:paraId="40A9540D" w14:textId="77777777" w:rsidR="00772179" w:rsidRDefault="00000000">
      <w:pPr>
        <w:jc w:val="both"/>
      </w:pPr>
      <w:r>
        <w:t>Le remplissage entre le seuil de fenêtre et le support est constitué sur toute la longueur :</w:t>
      </w:r>
    </w:p>
    <w:p w14:paraId="3B0A5B5A" w14:textId="77777777" w:rsidR="00772179" w:rsidRDefault="00000000">
      <w:pPr>
        <w:pStyle w:val="Author-eListParagraph"/>
        <w:numPr>
          <w:ilvl w:val="0"/>
          <w:numId w:val="682"/>
        </w:numPr>
        <w:jc w:val="both"/>
      </w:pPr>
      <w:r>
        <w:rPr>
          <w:rStyle w:val="optioncarChar"/>
        </w:rPr>
        <w:t>de bandes d’étanchéité compressibles</w:t>
      </w:r>
      <w:r>
        <w:t xml:space="preserve"> (par défaut) </w:t>
      </w:r>
      <w:r>
        <w:rPr>
          <w:rStyle w:val="optioncarChar"/>
        </w:rPr>
        <w:t>/ de mousse d'injection / ***</w:t>
      </w:r>
      <w:r>
        <w:t xml:space="preserve"> jusqu'à 1 cm de la face extérieure du revêtement de façade.</w:t>
      </w:r>
    </w:p>
    <w:p w14:paraId="175F635D" w14:textId="77777777" w:rsidR="00772179" w:rsidRDefault="00000000">
      <w:pPr>
        <w:pStyle w:val="Author-eListParagraph"/>
        <w:numPr>
          <w:ilvl w:val="0"/>
          <w:numId w:val="682"/>
        </w:numPr>
        <w:jc w:val="both"/>
      </w:pPr>
      <w:r>
        <w:t>le joint en face avant est rempli d’un mastic élastique de type F suivant la [NBN EN ISO 11600].</w:t>
      </w:r>
    </w:p>
    <w:p w14:paraId="4173AE31" w14:textId="77777777" w:rsidR="00772179" w:rsidRDefault="00000000">
      <w:pPr>
        <w:jc w:val="both"/>
      </w:pPr>
      <w:r>
        <w:t>Les joints entre les éléments d'about et la façade sont également soigneusement obturés conformément à la documentation technique accompagnant le produit et en évitant soigneusement de maculer le revêtement de finition des façades.</w:t>
      </w:r>
    </w:p>
    <w:p w14:paraId="0DEE6B9D" w14:textId="77777777" w:rsidR="00772179" w:rsidRDefault="00772179">
      <w:pPr>
        <w:jc w:val="both"/>
      </w:pPr>
    </w:p>
    <w:p w14:paraId="0EA32966" w14:textId="77777777" w:rsidR="00772179" w:rsidRDefault="00000000">
      <w:pPr>
        <w:jc w:val="both"/>
      </w:pPr>
      <w:r>
        <w:t xml:space="preserve">Si la largeur des seuils est ≥ à 150 mm, des équerres de support sont posées avec un entre-axe ≤ à </w:t>
      </w:r>
      <w:r>
        <w:rPr>
          <w:rStyle w:val="optioncarChar"/>
        </w:rPr>
        <w:t xml:space="preserve">75 </w:t>
      </w:r>
      <w:r>
        <w:t>(par défaut)</w:t>
      </w:r>
      <w:r>
        <w:rPr>
          <w:rStyle w:val="optioncarChar"/>
        </w:rPr>
        <w:t xml:space="preserve"> / ***</w:t>
      </w:r>
      <w:r>
        <w:t xml:space="preserve"> cm.</w:t>
      </w:r>
    </w:p>
    <w:p w14:paraId="2477ECD9" w14:textId="77777777" w:rsidR="00772179" w:rsidRDefault="00000000">
      <w:pPr>
        <w:pStyle w:val="pheading"/>
      </w:pPr>
      <w:r>
        <w:t>- Échantillons</w:t>
      </w:r>
    </w:p>
    <w:p w14:paraId="27C5FC8D" w14:textId="77777777" w:rsidR="00772179" w:rsidRDefault="00000000">
      <w:pPr>
        <w:jc w:val="both"/>
      </w:pPr>
      <w:r>
        <w:t>L’entrepreneur soumet un échantillon du modèle de seuil qu’il propose à l’approbation de la direction du chantier.</w:t>
      </w:r>
    </w:p>
    <w:p w14:paraId="71767E24" w14:textId="77777777" w:rsidR="00772179" w:rsidRDefault="00000000">
      <w:pPr>
        <w:pStyle w:val="pheading"/>
      </w:pPr>
      <w:r>
        <w:t>MESURAGE</w:t>
      </w:r>
    </w:p>
    <w:p w14:paraId="69D231DF" w14:textId="77777777" w:rsidR="00772179" w:rsidRDefault="00000000">
      <w:pPr>
        <w:pStyle w:val="pheading"/>
      </w:pPr>
      <w:r>
        <w:t>- unité de mesure:</w:t>
      </w:r>
    </w:p>
    <w:p w14:paraId="3FD02F86" w14:textId="77777777" w:rsidR="00772179" w:rsidRDefault="00000000">
      <w:r>
        <w:t>m</w:t>
      </w:r>
    </w:p>
    <w:p w14:paraId="30BBF6A8" w14:textId="77777777" w:rsidR="00772179" w:rsidRDefault="00000000">
      <w:pPr>
        <w:pStyle w:val="pheading"/>
      </w:pPr>
      <w:r>
        <w:t>- code de mesurage:</w:t>
      </w:r>
    </w:p>
    <w:p w14:paraId="35F24FBE" w14:textId="77777777" w:rsidR="00772179" w:rsidRDefault="00000000">
      <w:r>
        <w:t>Longueur nette à mettre en œuvre, ventilée selon la largeur utile.</w:t>
      </w:r>
    </w:p>
    <w:p w14:paraId="2BE9F528" w14:textId="77777777" w:rsidR="00772179" w:rsidRDefault="00000000">
      <w:pPr>
        <w:pStyle w:val="pheading"/>
      </w:pPr>
      <w:r>
        <w:t>- nature du marché:</w:t>
      </w:r>
    </w:p>
    <w:p w14:paraId="496EBDCC" w14:textId="77777777" w:rsidR="00772179" w:rsidRDefault="00000000">
      <w:r>
        <w:t>QF</w:t>
      </w:r>
    </w:p>
    <w:p w14:paraId="387412C7" w14:textId="77777777" w:rsidR="00772179" w:rsidRDefault="00000000">
      <w:pPr>
        <w:pStyle w:val="Author-eSectionHeading6Numberless"/>
      </w:pPr>
      <w:bookmarkStart w:id="329" w:name="_Toc220490062"/>
      <w:r>
        <w:t>41.71.2c Seuils posés a posteriori synthétiques</w:t>
      </w:r>
      <w:bookmarkEnd w:id="329"/>
    </w:p>
    <w:p w14:paraId="580123B3" w14:textId="77777777" w:rsidR="00772179" w:rsidRDefault="00000000">
      <w:pPr>
        <w:pStyle w:val="Author-eSectionHeading6Numberless"/>
      </w:pPr>
      <w:bookmarkStart w:id="330" w:name="_Toc220490063"/>
      <w:r>
        <w:t>41.71.2d Seuils posés a posteriori en matériau composite</w:t>
      </w:r>
      <w:bookmarkEnd w:id="330"/>
    </w:p>
    <w:p w14:paraId="3EC367D7" w14:textId="77777777" w:rsidR="00772179" w:rsidRDefault="00000000">
      <w:pPr>
        <w:pStyle w:val="Author-eSectionHeading5Numberless"/>
      </w:pPr>
      <w:bookmarkStart w:id="331" w:name="_Toc220490064"/>
      <w:r>
        <w:t>41.71.3 Seuils - protections en plomb pour seuil existant</w:t>
      </w:r>
      <w:bookmarkEnd w:id="331"/>
    </w:p>
    <w:p w14:paraId="69736677" w14:textId="77777777" w:rsidR="00772179" w:rsidRDefault="00000000">
      <w:pPr>
        <w:pStyle w:val="Author-eSectionHeading6Numberless"/>
      </w:pPr>
      <w:bookmarkStart w:id="332" w:name="_Toc220490065"/>
      <w:r>
        <w:t>41.71.3a Seuils - protections en plomb pour seuil existant</w:t>
      </w:r>
      <w:bookmarkEnd w:id="332"/>
    </w:p>
    <w:p w14:paraId="0B2EC863" w14:textId="77777777" w:rsidR="00772179" w:rsidRDefault="00000000">
      <w:pPr>
        <w:pStyle w:val="Author-eSectionHeading4Numberless"/>
      </w:pPr>
      <w:bookmarkStart w:id="333" w:name="_Toc220490066"/>
      <w:r>
        <w:lastRenderedPageBreak/>
        <w:t>41.72 Quincailleries CCTB 01.11</w:t>
      </w:r>
      <w:bookmarkEnd w:id="333"/>
    </w:p>
    <w:p w14:paraId="1CCA39AF" w14:textId="77777777" w:rsidR="00772179" w:rsidRDefault="00000000">
      <w:pPr>
        <w:pStyle w:val="pheading"/>
      </w:pPr>
      <w:bookmarkStart w:id="334" w:name="884"/>
      <w:bookmarkEnd w:id="334"/>
      <w:r>
        <w:t>DESCRIPTION</w:t>
      </w:r>
    </w:p>
    <w:p w14:paraId="1513BF80" w14:textId="77777777" w:rsidR="00772179" w:rsidRDefault="00000000">
      <w:pPr>
        <w:pStyle w:val="pheading"/>
      </w:pPr>
      <w:r>
        <w:t>- Définition / Comprend</w:t>
      </w:r>
    </w:p>
    <w:p w14:paraId="31A64B92" w14:textId="77777777" w:rsidR="00772179" w:rsidRDefault="00000000">
      <w:r>
        <w:t>Cette rubrique comprend la fourniture et la pose de tous les éléments de quincaillerie prévus, c'est-à-dire tous les organes de commande, d'équilibrage, de suspension, de fermeture et de verrouillage, … Les exigences générales et/ou spécifiques formulées pour la quincaillerie, ainsi que les domaines d'application directs, sont spécifiés dans le cahier spécial des charges et sous la présente rubrique mais sont compris dans le prix unitaire des profilés.</w:t>
      </w:r>
    </w:p>
    <w:p w14:paraId="53ADF11C" w14:textId="77777777" w:rsidR="00772179" w:rsidRDefault="00000000">
      <w:pPr>
        <w:pStyle w:val="Author-eListParagraph"/>
        <w:numPr>
          <w:ilvl w:val="0"/>
          <w:numId w:val="683"/>
        </w:numPr>
      </w:pPr>
      <w:r>
        <w:t>La quincaillerie permet l'ouverture dans le sens prescrit. Des paumelles, charnières, crapaudines, dispositifs de fermeture et de blocage sont utilisées. Ces éléments sont fabriqués en matériaux adaptés à la fonction qu'ils remplissent et sont compatibles avec le matériau des profilés. Dans le cas de profilés en métal, ils sont efficacement protégés afin d'éviter les couples électrolytiques. Tous les accessoires de fixation et autres goupilles, vis, etc. sont en acier inoxydable.</w:t>
      </w:r>
    </w:p>
    <w:p w14:paraId="5307AD8A" w14:textId="77777777" w:rsidR="00772179" w:rsidRDefault="00000000">
      <w:pPr>
        <w:pStyle w:val="Author-eListParagraph"/>
        <w:numPr>
          <w:ilvl w:val="0"/>
          <w:numId w:val="683"/>
        </w:numPr>
      </w:pPr>
      <w:r>
        <w:t>La quincaillerie est proposée par le fabricant des châssis en fonction du poids et des dimensions des portes et fenêtres. Le constructeur est obligé de motiver le choix de la quincaillerie.</w:t>
      </w:r>
    </w:p>
    <w:p w14:paraId="68997653" w14:textId="77777777" w:rsidR="00772179" w:rsidRDefault="00000000">
      <w:pPr>
        <w:pStyle w:val="Author-eListParagraph"/>
        <w:numPr>
          <w:ilvl w:val="0"/>
          <w:numId w:val="683"/>
        </w:numPr>
      </w:pPr>
      <w:r>
        <w:t>Sur simple demande, les modèles de toute la quincaillerie, des poignées, rosaces, serrures et autres accessoires sont soumis pour approbation au maître d’ouvrage.</w:t>
      </w:r>
    </w:p>
    <w:p w14:paraId="625D3D45" w14:textId="77777777" w:rsidR="00772179" w:rsidRDefault="00000000">
      <w:pPr>
        <w:pStyle w:val="pheading"/>
      </w:pPr>
      <w:r>
        <w:t>EXÉCUTION / MISE EN ŒUVRE</w:t>
      </w:r>
    </w:p>
    <w:p w14:paraId="2E046838" w14:textId="77777777" w:rsidR="00772179" w:rsidRDefault="00000000">
      <w:pPr>
        <w:pStyle w:val="Author-eListParagraph"/>
        <w:numPr>
          <w:ilvl w:val="0"/>
          <w:numId w:val="684"/>
        </w:numPr>
      </w:pPr>
      <w:r>
        <w:t>La quincaillerie est principalement encastrée mais reste facilement remplaçable.</w:t>
      </w:r>
    </w:p>
    <w:p w14:paraId="7A1EF240" w14:textId="77777777" w:rsidR="00772179" w:rsidRDefault="00000000">
      <w:pPr>
        <w:pStyle w:val="Author-eListParagraph"/>
        <w:numPr>
          <w:ilvl w:val="0"/>
          <w:numId w:val="684"/>
        </w:numPr>
      </w:pPr>
      <w:r>
        <w:t>Les organes de fermeture sont disposés de manière telle à permettre l'actionnement ergonomique par une seule personne, les forces d'actionnement étant toujours &lt; 200 N et la force de déplacement des vantaux de fenêtre &lt; 100 N (10 Nm) / 50 N (5 Nm) selon les prescriptions de la norme [NBN EN 12608-1:2016+A1] . Lorsqu'il est nécessaire de prévoir plusieurs points de fermeture, ils sont actionnés par une espagnolette à pompe qui commande des tringles cachées dans les profilés.</w:t>
      </w:r>
    </w:p>
    <w:p w14:paraId="10406D26" w14:textId="77777777" w:rsidR="00772179" w:rsidRDefault="00000000">
      <w:pPr>
        <w:pStyle w:val="Author-eListParagraph"/>
        <w:numPr>
          <w:ilvl w:val="0"/>
          <w:numId w:val="684"/>
        </w:numPr>
      </w:pPr>
      <w:r>
        <w:t xml:space="preserve">Pour les châssis de fenêtres, les poignées se situent à ≤ </w:t>
      </w:r>
      <w:r>
        <w:rPr>
          <w:rStyle w:val="optioncarChar"/>
        </w:rPr>
        <w:t xml:space="preserve">105 (PMR) / 150 / *** </w:t>
      </w:r>
      <w:r>
        <w:t xml:space="preserve">cm au-dessus du niveau du sol et pour les portes extérieures ≤ </w:t>
      </w:r>
      <w:r>
        <w:rPr>
          <w:rStyle w:val="optioncarChar"/>
        </w:rPr>
        <w:t>105 (PMR) / ***</w:t>
      </w:r>
      <w:r>
        <w:t> cm au-dessus du niveau du sol. Ces mesures sont discutées au préalable avec l'administration, lorsqu'il s'agit d'habitations adaptées aux personnes âgées et/ou avec un handicap.</w:t>
      </w:r>
    </w:p>
    <w:p w14:paraId="12A813DD" w14:textId="77777777" w:rsidR="00772179" w:rsidRDefault="00000000">
      <w:pPr>
        <w:pStyle w:val="pheading"/>
      </w:pPr>
      <w:r>
        <w:t>CONTRÔLES</w:t>
      </w:r>
    </w:p>
    <w:p w14:paraId="550EBC95" w14:textId="77777777" w:rsidR="00772179" w:rsidRDefault="00000000">
      <w:r>
        <w:t>Tous les mécanismes de suspension et de fermeture fonctionnent facilement, sans jeu aucun, sans accroc et silencieusement.</w:t>
      </w:r>
    </w:p>
    <w:p w14:paraId="31657BEB" w14:textId="77777777" w:rsidR="00772179" w:rsidRDefault="00000000">
      <w:pPr>
        <w:pStyle w:val="pheading"/>
      </w:pPr>
      <w:r>
        <w:t>DOCUMENTS DE RÉFÉRENCE</w:t>
      </w:r>
    </w:p>
    <w:p w14:paraId="1D4FAD68" w14:textId="77777777" w:rsidR="00772179" w:rsidRDefault="00000000">
      <w:pPr>
        <w:pStyle w:val="pheading"/>
      </w:pPr>
      <w:r>
        <w:t>- Matériau</w:t>
      </w:r>
    </w:p>
    <w:p w14:paraId="14BC29C1" w14:textId="77777777" w:rsidR="00772179" w:rsidRDefault="00000000">
      <w:r>
        <w:t>[NBN EN 1303]</w:t>
      </w:r>
    </w:p>
    <w:p w14:paraId="119A82B8" w14:textId="77777777" w:rsidR="00772179" w:rsidRDefault="00000000">
      <w:r>
        <w:rPr>
          <w:shd w:val="clear" w:color="auto" w:fill="FFFFFF"/>
        </w:rPr>
        <w:t>[NBN EN 1670]</w:t>
      </w:r>
    </w:p>
    <w:p w14:paraId="6F9589C2" w14:textId="77777777" w:rsidR="00772179" w:rsidRDefault="00000000">
      <w:r>
        <w:rPr>
          <w:shd w:val="clear" w:color="auto" w:fill="FFFFFF"/>
        </w:rPr>
        <w:t>[NBN EN 12051]</w:t>
      </w:r>
    </w:p>
    <w:p w14:paraId="56D2CB2A" w14:textId="77777777" w:rsidR="00772179" w:rsidRDefault="00000000">
      <w:r>
        <w:rPr>
          <w:shd w:val="clear" w:color="auto" w:fill="FFFFFF"/>
        </w:rPr>
        <w:t>[NBN EN 179]</w:t>
      </w:r>
    </w:p>
    <w:p w14:paraId="6FC8F57A" w14:textId="77777777" w:rsidR="00772179" w:rsidRDefault="00000000">
      <w:r>
        <w:t>[NBN EN 1125]</w:t>
      </w:r>
    </w:p>
    <w:p w14:paraId="0B7E46C1" w14:textId="77777777" w:rsidR="00772179" w:rsidRDefault="00000000">
      <w:r>
        <w:t>[NBN EN 1154]</w:t>
      </w:r>
    </w:p>
    <w:p w14:paraId="066D104A" w14:textId="77777777" w:rsidR="00772179" w:rsidRDefault="00000000">
      <w:r>
        <w:rPr>
          <w:shd w:val="clear" w:color="auto" w:fill="FFFFFF"/>
        </w:rPr>
        <w:t>[NBN EN 1155]</w:t>
      </w:r>
    </w:p>
    <w:p w14:paraId="2116A6E0" w14:textId="77777777" w:rsidR="00772179" w:rsidRDefault="00000000">
      <w:r>
        <w:rPr>
          <w:shd w:val="clear" w:color="auto" w:fill="FFFFFF"/>
        </w:rPr>
        <w:t>[NBN EN 1158]</w:t>
      </w:r>
    </w:p>
    <w:p w14:paraId="7D0C977E" w14:textId="77777777" w:rsidR="00772179" w:rsidRDefault="00000000">
      <w:r>
        <w:t>[NBN EN 1627 à 1630 série]</w:t>
      </w:r>
    </w:p>
    <w:p w14:paraId="671CBED9" w14:textId="77777777" w:rsidR="00772179" w:rsidRDefault="00000000">
      <w:pPr>
        <w:pStyle w:val="Author-eSectionHeading5Numberless"/>
      </w:pPr>
      <w:bookmarkStart w:id="335" w:name="_Toc220490067"/>
      <w:r>
        <w:lastRenderedPageBreak/>
        <w:t>41.72.1 Charnières et paumelles CCTB 01.04</w:t>
      </w:r>
      <w:bookmarkEnd w:id="335"/>
    </w:p>
    <w:p w14:paraId="54D27142" w14:textId="77777777" w:rsidR="00772179" w:rsidRDefault="00000000">
      <w:pPr>
        <w:pStyle w:val="Author-eSectionHeading6Numberless"/>
      </w:pPr>
      <w:bookmarkStart w:id="336" w:name="_Toc220490068"/>
      <w:r>
        <w:t>41.72.1a Charnières et paumelles CCTB 01.11</w:t>
      </w:r>
      <w:bookmarkEnd w:id="336"/>
    </w:p>
    <w:p w14:paraId="284FD66E" w14:textId="77777777" w:rsidR="00772179" w:rsidRDefault="00000000">
      <w:pPr>
        <w:pStyle w:val="pheading"/>
      </w:pPr>
      <w:bookmarkStart w:id="337" w:name="881"/>
      <w:bookmarkEnd w:id="337"/>
      <w:r>
        <w:t>MATÉRIAUX</w:t>
      </w:r>
    </w:p>
    <w:p w14:paraId="19E2118E" w14:textId="77777777" w:rsidR="00772179" w:rsidRDefault="00000000">
      <w:pPr>
        <w:pStyle w:val="pheading"/>
      </w:pPr>
      <w:r>
        <w:t>- Caractéristiques générales</w:t>
      </w:r>
    </w:p>
    <w:p w14:paraId="10C83507" w14:textId="77777777" w:rsidR="00772179" w:rsidRDefault="00000000">
      <w:pPr>
        <w:pStyle w:val="Author-eListParagraph"/>
        <w:numPr>
          <w:ilvl w:val="0"/>
          <w:numId w:val="685"/>
        </w:numPr>
      </w:pPr>
      <w:r>
        <w:t xml:space="preserve">Les </w:t>
      </w:r>
      <w:r>
        <w:rPr>
          <w:rStyle w:val="optioncarChar"/>
        </w:rPr>
        <w:t>paumelles / charnières </w:t>
      </w:r>
      <w:r>
        <w:t>sont fabriquées en :</w:t>
      </w:r>
    </w:p>
    <w:p w14:paraId="6BA7091C" w14:textId="77777777" w:rsidR="00772179" w:rsidRDefault="00000000">
      <w:pPr>
        <w:ind w:left="450"/>
      </w:pPr>
      <w:r>
        <w:rPr>
          <w:rStyle w:val="optioncarChar"/>
        </w:rPr>
        <w:t>aluminium</w:t>
      </w:r>
      <w:r>
        <w:t xml:space="preserve"> (par défaut)/</w:t>
      </w:r>
      <w:r>
        <w:rPr>
          <w:rStyle w:val="optioncarChar"/>
        </w:rPr>
        <w:t xml:space="preserve"> nylon / acier inoxydable  / acier bichromaté</w:t>
      </w:r>
    </w:p>
    <w:p w14:paraId="02156086" w14:textId="77777777" w:rsidR="00772179" w:rsidRDefault="00000000">
      <w:pPr>
        <w:ind w:left="450"/>
      </w:pPr>
      <w:r>
        <w:rPr>
          <w:b/>
        </w:rPr>
        <w:t>(soit par défaut)</w:t>
      </w:r>
      <w:r>
        <w:t> :</w:t>
      </w:r>
      <w:r>
        <w:rPr>
          <w:rStyle w:val="optioncarChar"/>
        </w:rPr>
        <w:t> </w:t>
      </w:r>
      <w:r>
        <w:rPr>
          <w:rStyle w:val="soitChar"/>
          <w:u w:val="single"/>
        </w:rPr>
        <w:t>aluminium</w:t>
      </w:r>
      <w:r>
        <w:rPr>
          <w:rStyle w:val="optioncarChar"/>
        </w:rPr>
        <w:t xml:space="preserve"> ALMgSi 0,5 F22 / G ALMg 3 </w:t>
      </w:r>
      <w:r>
        <w:rPr>
          <w:rStyle w:val="soitChar"/>
        </w:rPr>
        <w:t>selon les </w:t>
      </w:r>
      <w:r>
        <w:rPr>
          <w:shd w:val="clear" w:color="auto" w:fill="FFFFFF"/>
        </w:rPr>
        <w:t>[STS 36]</w:t>
      </w:r>
      <w:r>
        <w:rPr>
          <w:rStyle w:val="soitChar"/>
          <w:shd w:val="clear" w:color="auto" w:fill="FFFFFF"/>
        </w:rPr>
        <w:t xml:space="preserve">.14.13 </w:t>
      </w:r>
      <w:r>
        <w:rPr>
          <w:rStyle w:val="soitChar"/>
        </w:rPr>
        <w:t>et </w:t>
      </w:r>
      <w:r>
        <w:rPr>
          <w:rStyle w:val="optioncarChar"/>
        </w:rPr>
        <w:t>anodisé couleur naturelle / laqué dans la même couleur que la menuiserie </w:t>
      </w:r>
      <w:r>
        <w:br/>
      </w:r>
      <w:r>
        <w:rPr>
          <w:b/>
        </w:rPr>
        <w:t>(soit)</w:t>
      </w:r>
      <w:r>
        <w:t> : </w:t>
      </w:r>
      <w:r>
        <w:rPr>
          <w:rStyle w:val="soitChar"/>
          <w:u w:val="single"/>
        </w:rPr>
        <w:t>Nylon</w:t>
      </w:r>
      <w:r>
        <w:rPr>
          <w:rStyle w:val="soitChar"/>
        </w:rPr>
        <w:t xml:space="preserve"> coloré dans la masse avec une âme en acier, de la même couleur que les profilés</w:t>
      </w:r>
      <w:r>
        <w:br/>
      </w:r>
      <w:r>
        <w:rPr>
          <w:b/>
        </w:rPr>
        <w:t>(soit) </w:t>
      </w:r>
      <w:r>
        <w:t>: </w:t>
      </w:r>
      <w:r>
        <w:rPr>
          <w:rStyle w:val="soitChar"/>
          <w:u w:val="single"/>
        </w:rPr>
        <w:t>acier inoxydable</w:t>
      </w:r>
      <w:r>
        <w:rPr>
          <w:rStyle w:val="optioncarChar"/>
        </w:rPr>
        <w:t>18/8 / 18/10 poli avec bague d'usure en inox</w:t>
      </w:r>
      <w:r>
        <w:br/>
      </w:r>
      <w:r>
        <w:rPr>
          <w:b/>
        </w:rPr>
        <w:t>(soit)</w:t>
      </w:r>
      <w:r>
        <w:t> :  </w:t>
      </w:r>
      <w:r>
        <w:rPr>
          <w:rStyle w:val="soitChar"/>
          <w:u w:val="single"/>
        </w:rPr>
        <w:t>acier bichromaté</w:t>
      </w:r>
    </w:p>
    <w:p w14:paraId="0924B725" w14:textId="77777777" w:rsidR="00772179" w:rsidRDefault="00000000">
      <w:pPr>
        <w:pStyle w:val="Author-eListParagraph"/>
        <w:numPr>
          <w:ilvl w:val="0"/>
          <w:numId w:val="686"/>
        </w:numPr>
      </w:pPr>
      <w:r>
        <w:t>Les pivots sont en acier inoxydable dans une bague de roulement en nylon.</w:t>
      </w:r>
    </w:p>
    <w:p w14:paraId="6092BE57" w14:textId="77777777" w:rsidR="00772179" w:rsidRDefault="00000000">
      <w:pPr>
        <w:pStyle w:val="Author-eListParagraph"/>
        <w:numPr>
          <w:ilvl w:val="0"/>
          <w:numId w:val="686"/>
        </w:numPr>
      </w:pPr>
      <w:r>
        <w:t>L'acier chromaté n'est en aucun cas autorisé.</w:t>
      </w:r>
    </w:p>
    <w:p w14:paraId="789CED67" w14:textId="77777777" w:rsidR="00772179" w:rsidRDefault="00000000">
      <w:pPr>
        <w:pStyle w:val="Author-eListParagraph"/>
        <w:numPr>
          <w:ilvl w:val="0"/>
          <w:numId w:val="686"/>
        </w:numPr>
      </w:pPr>
      <w:r>
        <w:t xml:space="preserve">Les bagues d'usure sont en </w:t>
      </w:r>
      <w:r>
        <w:rPr>
          <w:rStyle w:val="optioncarChar"/>
        </w:rPr>
        <w:t>polyamide / en bronze / inox</w:t>
      </w:r>
      <w:r>
        <w:t>.</w:t>
      </w:r>
    </w:p>
    <w:p w14:paraId="374C8938" w14:textId="77777777" w:rsidR="00772179" w:rsidRDefault="00000000">
      <w:pPr>
        <w:pStyle w:val="Author-eListParagraph"/>
        <w:numPr>
          <w:ilvl w:val="0"/>
          <w:numId w:val="686"/>
        </w:numPr>
      </w:pPr>
      <w:r>
        <w:t>La hauteur et le Ø du nœud des paumelles et le nombre de nœuds des charnières sont déterminés par le fabricant des châssis en fonction du poids des parties ouvrantes.</w:t>
      </w:r>
    </w:p>
    <w:p w14:paraId="0E390C7A" w14:textId="77777777" w:rsidR="00772179" w:rsidRDefault="00000000">
      <w:pPr>
        <w:pStyle w:val="Author-eListParagraph"/>
        <w:numPr>
          <w:ilvl w:val="0"/>
          <w:numId w:val="686"/>
        </w:numPr>
      </w:pPr>
      <w:r>
        <w:t>Les charnières sont conformes à la norme [NBN EN 1935].  </w:t>
      </w:r>
    </w:p>
    <w:p w14:paraId="3DA063B6" w14:textId="77777777" w:rsidR="00772179" w:rsidRDefault="00000000">
      <w:pPr>
        <w:pStyle w:val="pheading"/>
      </w:pPr>
      <w:r>
        <w:t>- Finitions</w:t>
      </w:r>
    </w:p>
    <w:p w14:paraId="4D1E0A38" w14:textId="77777777" w:rsidR="00772179" w:rsidRDefault="00000000">
      <w:pPr>
        <w:pStyle w:val="Author-eListParagraph"/>
        <w:numPr>
          <w:ilvl w:val="0"/>
          <w:numId w:val="687"/>
        </w:numPr>
      </w:pPr>
      <w:r>
        <w:t xml:space="preserve">Type : </w:t>
      </w:r>
      <w:r>
        <w:rPr>
          <w:rStyle w:val="optioncarChar"/>
        </w:rPr>
        <w:t xml:space="preserve">paumelles / charnières </w:t>
      </w:r>
    </w:p>
    <w:p w14:paraId="147ADCAA" w14:textId="77777777" w:rsidR="00772179" w:rsidRDefault="00000000">
      <w:pPr>
        <w:pStyle w:val="Author-eListParagraph"/>
        <w:numPr>
          <w:ilvl w:val="0"/>
          <w:numId w:val="687"/>
        </w:numPr>
      </w:pPr>
      <w:r>
        <w:t xml:space="preserve">Hauteur : ≥ </w:t>
      </w:r>
      <w:r>
        <w:rPr>
          <w:rStyle w:val="optioncarChar"/>
        </w:rPr>
        <w:t xml:space="preserve">*** </w:t>
      </w:r>
    </w:p>
    <w:p w14:paraId="487022D3" w14:textId="77777777" w:rsidR="00772179" w:rsidRDefault="00000000">
      <w:pPr>
        <w:pStyle w:val="Author-eListParagraph"/>
        <w:numPr>
          <w:ilvl w:val="0"/>
          <w:numId w:val="687"/>
        </w:numPr>
      </w:pPr>
      <w:r>
        <w:t>Diamètre du nœud : ≥</w:t>
      </w:r>
      <w:r>
        <w:rPr>
          <w:rStyle w:val="optioncarChar"/>
        </w:rPr>
        <w:t> 11</w:t>
      </w:r>
      <w:r>
        <w:t xml:space="preserve"> mm</w:t>
      </w:r>
    </w:p>
    <w:p w14:paraId="10F4D3EB" w14:textId="77777777" w:rsidR="00772179" w:rsidRDefault="00000000">
      <w:pPr>
        <w:pStyle w:val="pheading"/>
      </w:pPr>
      <w:r>
        <w:t>EXÉCUTION / MISE EN ŒUVRE</w:t>
      </w:r>
    </w:p>
    <w:p w14:paraId="1B729AFE" w14:textId="77777777" w:rsidR="00772179" w:rsidRDefault="00000000">
      <w:pPr>
        <w:pStyle w:val="pheading"/>
      </w:pPr>
      <w:r>
        <w:t>- Prescriptions générales</w:t>
      </w:r>
    </w:p>
    <w:p w14:paraId="16B0B3BB" w14:textId="77777777" w:rsidR="00772179" w:rsidRDefault="00000000">
      <w:r>
        <w:t>En fonction de la hauteur des portes et/ou fenêtres, on place au moins le nombre suivant de charnières :</w:t>
      </w:r>
    </w:p>
    <w:p w14:paraId="13EBBBEB" w14:textId="77777777" w:rsidR="00772179" w:rsidRDefault="00000000">
      <w:pPr>
        <w:ind w:left="675"/>
      </w:pPr>
      <w:r>
        <w:t>⇒ hauteur de 50 à 120 cm : ≥ 2 charnières</w:t>
      </w:r>
    </w:p>
    <w:p w14:paraId="5594D593" w14:textId="77777777" w:rsidR="00772179" w:rsidRDefault="00000000">
      <w:pPr>
        <w:ind w:left="675"/>
      </w:pPr>
      <w:r>
        <w:t>⇒ hauteur de 120 à 180 cm : ≥ 3 charnières</w:t>
      </w:r>
    </w:p>
    <w:p w14:paraId="49D252E0" w14:textId="77777777" w:rsidR="00772179" w:rsidRDefault="00000000">
      <w:pPr>
        <w:ind w:left="675"/>
      </w:pPr>
      <w:r>
        <w:t>⇒ hauteur de 180 à 220 cm : ≥ 4 charnières</w:t>
      </w:r>
    </w:p>
    <w:p w14:paraId="24C2397D" w14:textId="77777777" w:rsidR="00772179" w:rsidRDefault="00000000">
      <w:pPr>
        <w:pStyle w:val="pheading"/>
      </w:pPr>
      <w:r>
        <w:t>MESURAGE</w:t>
      </w:r>
    </w:p>
    <w:p w14:paraId="4A242948" w14:textId="77777777" w:rsidR="00772179" w:rsidRDefault="00000000">
      <w:pPr>
        <w:pStyle w:val="pheading"/>
      </w:pPr>
      <w:r>
        <w:t>- unité de mesure:</w:t>
      </w:r>
    </w:p>
    <w:p w14:paraId="685083D3" w14:textId="77777777" w:rsidR="00772179" w:rsidRDefault="00000000">
      <w:r>
        <w:t>- (par défaut)</w:t>
      </w:r>
      <w:r>
        <w:rPr>
          <w:rStyle w:val="optioncarChar"/>
        </w:rPr>
        <w:t> / pc</w:t>
      </w:r>
    </w:p>
    <w:p w14:paraId="73DE193B" w14:textId="77777777" w:rsidR="00772179" w:rsidRDefault="00000000">
      <w:r>
        <w:rPr>
          <w:b/>
        </w:rPr>
        <w:t>(soit par défaut)</w:t>
      </w:r>
    </w:p>
    <w:p w14:paraId="2A7AD5A2" w14:textId="77777777" w:rsidR="00772179" w:rsidRDefault="00000000">
      <w:r>
        <w:rPr>
          <w:rStyle w:val="soitChar"/>
        </w:rPr>
        <w:t>1. -</w:t>
      </w:r>
    </w:p>
    <w:p w14:paraId="45628297" w14:textId="77777777" w:rsidR="00772179" w:rsidRDefault="00000000">
      <w:r>
        <w:rPr>
          <w:b/>
        </w:rPr>
        <w:t>(soit)</w:t>
      </w:r>
    </w:p>
    <w:p w14:paraId="6F38B36B" w14:textId="77777777" w:rsidR="00772179" w:rsidRDefault="00000000">
      <w:r>
        <w:rPr>
          <w:rStyle w:val="soitChar"/>
        </w:rPr>
        <w:t>2. pc</w:t>
      </w:r>
    </w:p>
    <w:p w14:paraId="6D480488" w14:textId="77777777" w:rsidR="00772179" w:rsidRDefault="00000000">
      <w:pPr>
        <w:pStyle w:val="pheading"/>
      </w:pPr>
      <w:r>
        <w:t>- code de mesurage:</w:t>
      </w:r>
    </w:p>
    <w:p w14:paraId="7EE2CE90" w14:textId="77777777" w:rsidR="00772179" w:rsidRDefault="00000000">
      <w:r>
        <w:rPr>
          <w:rStyle w:val="optioncarChar"/>
        </w:rPr>
        <w:t xml:space="preserve">compris </w:t>
      </w:r>
      <w:r>
        <w:t>(par défaut)</w:t>
      </w:r>
      <w:r>
        <w:rPr>
          <w:rStyle w:val="optioncarChar"/>
        </w:rPr>
        <w:t xml:space="preserve"> / postes séparés</w:t>
      </w:r>
    </w:p>
    <w:p w14:paraId="5E1B5F93" w14:textId="77777777" w:rsidR="00772179" w:rsidRDefault="00000000">
      <w:r>
        <w:rPr>
          <w:b/>
        </w:rPr>
        <w:t>(soit par défaut)</w:t>
      </w:r>
      <w:r>
        <w:t xml:space="preserve"> : </w:t>
      </w:r>
      <w:r>
        <w:rPr>
          <w:rStyle w:val="soitChar"/>
        </w:rPr>
        <w:t xml:space="preserve">Sauf indications spécifique contraire dans le cahier spécial des charges et./ou le métré récapitulatif, le prix de toute la quincaillerie sera </w:t>
      </w:r>
      <w:r>
        <w:rPr>
          <w:rStyle w:val="soitChar"/>
          <w:u w:val="single"/>
        </w:rPr>
        <w:t>compris</w:t>
      </w:r>
      <w:r>
        <w:rPr>
          <w:rStyle w:val="soitChar"/>
        </w:rPr>
        <w:t xml:space="preserve"> dans le prix unitaire de la menuiserie extérieure (profilés ).</w:t>
      </w:r>
      <w:r>
        <w:br/>
      </w:r>
      <w:r>
        <w:rPr>
          <w:b/>
        </w:rPr>
        <w:t>(soit)</w:t>
      </w:r>
      <w:r>
        <w:t xml:space="preserve"> : </w:t>
      </w:r>
      <w:r>
        <w:rPr>
          <w:rStyle w:val="soitChar"/>
        </w:rPr>
        <w:t xml:space="preserve">Exceptionnellement et moyennant mention expresse dans le cahier spécial des charges et le métré récapitulatif, la quincaillerie spéciale peut être reprise comme </w:t>
      </w:r>
      <w:r>
        <w:rPr>
          <w:rStyle w:val="soitChar"/>
          <w:u w:val="single"/>
        </w:rPr>
        <w:t>postes séparés</w:t>
      </w:r>
      <w:r>
        <w:rPr>
          <w:rStyle w:val="soitChar"/>
        </w:rPr>
        <w:t xml:space="preserve"> (par ex. ferme-porte / barre antipanique / serrures électriques / ...).</w:t>
      </w:r>
    </w:p>
    <w:p w14:paraId="5B2E6E95" w14:textId="77777777" w:rsidR="00772179" w:rsidRDefault="00000000">
      <w:pPr>
        <w:pStyle w:val="pheading"/>
      </w:pPr>
      <w:r>
        <w:lastRenderedPageBreak/>
        <w:t>- nature du marché:</w:t>
      </w:r>
    </w:p>
    <w:p w14:paraId="1F551E5A" w14:textId="77777777" w:rsidR="00772179" w:rsidRDefault="00000000">
      <w:r>
        <w:rPr>
          <w:rStyle w:val="optioncarChar"/>
        </w:rPr>
        <w:t xml:space="preserve">PM </w:t>
      </w:r>
      <w:r>
        <w:t>(par défaut)</w:t>
      </w:r>
      <w:r>
        <w:rPr>
          <w:rStyle w:val="optioncarChar"/>
        </w:rPr>
        <w:t xml:space="preserve"> / QF</w:t>
      </w:r>
    </w:p>
    <w:p w14:paraId="1F7A1C78" w14:textId="77777777" w:rsidR="00772179" w:rsidRDefault="00000000">
      <w:r>
        <w:rPr>
          <w:b/>
        </w:rPr>
        <w:t>(soit par défaut)</w:t>
      </w:r>
    </w:p>
    <w:p w14:paraId="2AA2DCCB" w14:textId="77777777" w:rsidR="00772179" w:rsidRDefault="00000000">
      <w:r>
        <w:rPr>
          <w:rStyle w:val="soitChar"/>
        </w:rPr>
        <w:t>1. PM</w:t>
      </w:r>
    </w:p>
    <w:p w14:paraId="44FD303D" w14:textId="77777777" w:rsidR="00772179" w:rsidRDefault="00000000">
      <w:r>
        <w:rPr>
          <w:b/>
        </w:rPr>
        <w:t>(soit)</w:t>
      </w:r>
    </w:p>
    <w:p w14:paraId="40305B7E" w14:textId="77777777" w:rsidR="00772179" w:rsidRDefault="00000000">
      <w:r>
        <w:rPr>
          <w:rStyle w:val="soitChar"/>
        </w:rPr>
        <w:t>2. QF</w:t>
      </w:r>
    </w:p>
    <w:p w14:paraId="1A32C79E" w14:textId="77777777" w:rsidR="00772179" w:rsidRDefault="00000000">
      <w:pPr>
        <w:pStyle w:val="Author-eSectionHeading5Numberless"/>
      </w:pPr>
      <w:bookmarkStart w:id="338" w:name="_Toc220490069"/>
      <w:r>
        <w:t>41.72.2 Serrures CCTB 01.02</w:t>
      </w:r>
      <w:bookmarkEnd w:id="338"/>
    </w:p>
    <w:p w14:paraId="2920BFE2" w14:textId="77777777" w:rsidR="00772179" w:rsidRDefault="00000000">
      <w:pPr>
        <w:pStyle w:val="Author-eSectionHeading6Numberless"/>
      </w:pPr>
      <w:bookmarkStart w:id="339" w:name="913"/>
      <w:bookmarkStart w:id="340" w:name="_Toc220490070"/>
      <w:bookmarkEnd w:id="339"/>
      <w:r>
        <w:t>41.72.2a Serrures CCTB 01.11</w:t>
      </w:r>
      <w:bookmarkEnd w:id="340"/>
    </w:p>
    <w:p w14:paraId="686DFF84" w14:textId="77777777" w:rsidR="00772179" w:rsidRDefault="00000000">
      <w:pPr>
        <w:pStyle w:val="pheading"/>
      </w:pPr>
      <w:bookmarkStart w:id="341" w:name="905"/>
      <w:bookmarkEnd w:id="341"/>
      <w:r>
        <w:t>DESCRIPTION</w:t>
      </w:r>
    </w:p>
    <w:p w14:paraId="5EF0508E" w14:textId="77777777" w:rsidR="00772179" w:rsidRDefault="00000000">
      <w:pPr>
        <w:pStyle w:val="pheading"/>
      </w:pPr>
      <w:r>
        <w:t>- Localisation</w:t>
      </w:r>
    </w:p>
    <w:p w14:paraId="444F3D1D" w14:textId="77777777" w:rsidR="00772179" w:rsidRDefault="00000000">
      <w:r>
        <w:t xml:space="preserve">Pour tous les accès, selon le plan de fermeture. </w:t>
      </w:r>
    </w:p>
    <w:p w14:paraId="2EE86019" w14:textId="77777777" w:rsidR="00772179" w:rsidRDefault="00000000">
      <w:pPr>
        <w:pStyle w:val="pheading"/>
      </w:pPr>
      <w:r>
        <w:t>MATÉRIAUX</w:t>
      </w:r>
    </w:p>
    <w:p w14:paraId="23BB5B67" w14:textId="77777777" w:rsidR="00772179" w:rsidRDefault="00000000">
      <w:pPr>
        <w:pStyle w:val="pheading"/>
      </w:pPr>
      <w:r>
        <w:t>- Caractéristiques générales</w:t>
      </w:r>
    </w:p>
    <w:p w14:paraId="65AE3A5C" w14:textId="77777777" w:rsidR="00772179" w:rsidRDefault="00000000">
      <w:pPr>
        <w:pStyle w:val="Author-eListParagraph"/>
        <w:numPr>
          <w:ilvl w:val="0"/>
          <w:numId w:val="688"/>
        </w:numPr>
      </w:pPr>
      <w:r>
        <w:t>Toutes les serrures sont encloisonnées dans un boîtier universel de façon que la réservation à prévoir dans la porte puisse aussi, le cas échéant, être utilisée pour d'autres applications. Les serrures conviennent aussi bien pour les portes extérieures s'ouvrant vers la gauche que vers la droite. Les boîtiers sont fabriqués en acier et sont laqués à l'intérieur comme à l'extérieur afin de les protéger contre la corrosion. Toutes les autres parties métallisées sont achevées par galvanisation ou par application d'une couche de cadmium. Toutes les fixations et assemblages doivent être protégés contre l'enlèvement par forage et sont pourvus de tiges anti-manipulation. Les fouillots sont à palier. Les pênes de jour et dormant sont en laiton. Les clés des cylindres actionnent aussi bien le pêne de jour que le pêne dormant. Par cylindre, il est toujours prévu </w:t>
      </w:r>
      <w:r>
        <w:rPr>
          <w:rStyle w:val="optioncarChar"/>
        </w:rPr>
        <w:t xml:space="preserve">trois </w:t>
      </w:r>
      <w:r>
        <w:t>(par défaut)</w:t>
      </w:r>
      <w:r>
        <w:rPr>
          <w:rStyle w:val="optioncarChar"/>
        </w:rPr>
        <w:t xml:space="preserve"> / *** </w:t>
      </w:r>
      <w:r>
        <w:t>clés avec bague et plaquette d'identification en matière synthétique.</w:t>
      </w:r>
    </w:p>
    <w:p w14:paraId="6801C13F" w14:textId="77777777" w:rsidR="00772179" w:rsidRDefault="00000000">
      <w:pPr>
        <w:pStyle w:val="Author-eListParagraph"/>
        <w:numPr>
          <w:ilvl w:val="0"/>
          <w:numId w:val="688"/>
        </w:numPr>
      </w:pPr>
      <w:r>
        <w:t>Les serrures mécaniques et gâches sont conformes aux exigences de la norme [NBN EN 12209] pour une serrure "Code 3" et le cylindre est pourvu d'une protection selon le grade 4 de la norme [NBN EN 1303]. </w:t>
      </w:r>
    </w:p>
    <w:p w14:paraId="265F8852" w14:textId="77777777" w:rsidR="00772179" w:rsidRDefault="00000000">
      <w:pPr>
        <w:pStyle w:val="Author-eListParagraph"/>
        <w:numPr>
          <w:ilvl w:val="0"/>
          <w:numId w:val="688"/>
        </w:numPr>
      </w:pPr>
      <w:r>
        <w:t>En concertation avec l'administration, les serrures sont intégrées dans un plan de fermeture. Les combinaisons de clés demandées sont soumises pour approbation au plus tard trois mois avant la réception. Exemple d'un plan de fermeture : </w:t>
      </w:r>
    </w:p>
    <w:tbl>
      <w:tblPr>
        <w:tblStyle w:val="Author-eTableGrid"/>
        <w:tblW w:w="5000" w:type="pct"/>
        <w:tblLayout w:type="fixed"/>
        <w:tblLook w:val="04A0" w:firstRow="1" w:lastRow="0" w:firstColumn="1" w:lastColumn="0" w:noHBand="0" w:noVBand="1"/>
      </w:tblPr>
      <w:tblGrid>
        <w:gridCol w:w="909"/>
        <w:gridCol w:w="909"/>
        <w:gridCol w:w="910"/>
        <w:gridCol w:w="910"/>
        <w:gridCol w:w="910"/>
        <w:gridCol w:w="910"/>
        <w:gridCol w:w="910"/>
        <w:gridCol w:w="910"/>
        <w:gridCol w:w="910"/>
        <w:gridCol w:w="910"/>
      </w:tblGrid>
      <w:tr w:rsidR="00772179" w14:paraId="27776C8E" w14:textId="77777777">
        <w:tc>
          <w:tcPr>
            <w:tcW w:w="900" w:type="dxa"/>
            <w:noWrap/>
          </w:tcPr>
          <w:p w14:paraId="39FD83FC" w14:textId="77777777" w:rsidR="00772179" w:rsidRDefault="00000000">
            <w:r>
              <w:rPr>
                <w:b/>
              </w:rPr>
              <w:t xml:space="preserve"> Propriétaire des clés </w:t>
            </w:r>
          </w:p>
        </w:tc>
        <w:tc>
          <w:tcPr>
            <w:tcW w:w="900" w:type="dxa"/>
            <w:noWrap/>
          </w:tcPr>
          <w:p w14:paraId="4DBD3E5A" w14:textId="77777777" w:rsidR="00772179" w:rsidRDefault="00000000">
            <w:r>
              <w:t> </w:t>
            </w:r>
          </w:p>
        </w:tc>
        <w:tc>
          <w:tcPr>
            <w:tcW w:w="900" w:type="dxa"/>
            <w:noWrap/>
          </w:tcPr>
          <w:p w14:paraId="700DDA6F" w14:textId="77777777" w:rsidR="00772179" w:rsidRDefault="00000000">
            <w:pPr>
              <w:jc w:val="center"/>
            </w:pPr>
            <w:r>
              <w:rPr>
                <w:b/>
              </w:rPr>
              <w:t xml:space="preserve">APP </w:t>
            </w:r>
          </w:p>
        </w:tc>
        <w:tc>
          <w:tcPr>
            <w:tcW w:w="900" w:type="dxa"/>
            <w:noWrap/>
          </w:tcPr>
          <w:p w14:paraId="5E81C910" w14:textId="77777777" w:rsidR="00772179" w:rsidRDefault="00000000">
            <w:pPr>
              <w:jc w:val="center"/>
            </w:pPr>
            <w:r>
              <w:rPr>
                <w:b/>
              </w:rPr>
              <w:t xml:space="preserve">APP </w:t>
            </w:r>
          </w:p>
        </w:tc>
        <w:tc>
          <w:tcPr>
            <w:tcW w:w="900" w:type="dxa"/>
            <w:noWrap/>
          </w:tcPr>
          <w:p w14:paraId="340B44A7" w14:textId="77777777" w:rsidR="00772179" w:rsidRDefault="00000000">
            <w:pPr>
              <w:jc w:val="center"/>
            </w:pPr>
            <w:r>
              <w:rPr>
                <w:b/>
              </w:rPr>
              <w:t>APP</w:t>
            </w:r>
          </w:p>
        </w:tc>
        <w:tc>
          <w:tcPr>
            <w:tcW w:w="900" w:type="dxa"/>
            <w:noWrap/>
          </w:tcPr>
          <w:p w14:paraId="2F558C57" w14:textId="77777777" w:rsidR="00772179" w:rsidRDefault="00000000">
            <w:pPr>
              <w:jc w:val="center"/>
            </w:pPr>
            <w:r>
              <w:rPr>
                <w:b/>
              </w:rPr>
              <w:t xml:space="preserve">APP </w:t>
            </w:r>
          </w:p>
        </w:tc>
        <w:tc>
          <w:tcPr>
            <w:tcW w:w="900" w:type="dxa"/>
            <w:noWrap/>
          </w:tcPr>
          <w:p w14:paraId="7FF5BEFE" w14:textId="77777777" w:rsidR="00772179" w:rsidRDefault="00000000">
            <w:r>
              <w:t> </w:t>
            </w:r>
          </w:p>
        </w:tc>
        <w:tc>
          <w:tcPr>
            <w:tcW w:w="900" w:type="dxa"/>
            <w:noWrap/>
          </w:tcPr>
          <w:p w14:paraId="11AD0ADD" w14:textId="77777777" w:rsidR="00772179" w:rsidRDefault="00000000">
            <w:r>
              <w:t> </w:t>
            </w:r>
          </w:p>
        </w:tc>
        <w:tc>
          <w:tcPr>
            <w:tcW w:w="900" w:type="dxa"/>
            <w:noWrap/>
          </w:tcPr>
          <w:p w14:paraId="36868C0A" w14:textId="77777777" w:rsidR="00772179" w:rsidRDefault="00000000">
            <w:r>
              <w:t> </w:t>
            </w:r>
          </w:p>
        </w:tc>
        <w:tc>
          <w:tcPr>
            <w:tcW w:w="900" w:type="dxa"/>
            <w:noWrap/>
          </w:tcPr>
          <w:p w14:paraId="62B7279C" w14:textId="77777777" w:rsidR="00772179" w:rsidRDefault="00000000">
            <w:pPr>
              <w:jc w:val="center"/>
            </w:pPr>
            <w:r>
              <w:rPr>
                <w:b/>
              </w:rPr>
              <w:t xml:space="preserve">SHM </w:t>
            </w:r>
          </w:p>
        </w:tc>
      </w:tr>
      <w:tr w:rsidR="00772179" w14:paraId="00FF3B7B" w14:textId="77777777">
        <w:tc>
          <w:tcPr>
            <w:tcW w:w="900" w:type="dxa"/>
            <w:noWrap/>
          </w:tcPr>
          <w:p w14:paraId="2B8C581B" w14:textId="77777777" w:rsidR="00772179" w:rsidRDefault="00000000">
            <w:r>
              <w:t> </w:t>
            </w:r>
          </w:p>
        </w:tc>
        <w:tc>
          <w:tcPr>
            <w:tcW w:w="900" w:type="dxa"/>
            <w:noWrap/>
          </w:tcPr>
          <w:p w14:paraId="421CD974" w14:textId="77777777" w:rsidR="00772179" w:rsidRDefault="00000000">
            <w:pPr>
              <w:jc w:val="center"/>
            </w:pPr>
            <w:r>
              <w:t>Code</w:t>
            </w:r>
          </w:p>
        </w:tc>
        <w:tc>
          <w:tcPr>
            <w:tcW w:w="900" w:type="dxa"/>
            <w:noWrap/>
          </w:tcPr>
          <w:p w14:paraId="67CF0237" w14:textId="77777777" w:rsidR="00772179" w:rsidRDefault="00000000">
            <w:pPr>
              <w:jc w:val="center"/>
            </w:pPr>
            <w:r>
              <w:t>1</w:t>
            </w:r>
          </w:p>
        </w:tc>
        <w:tc>
          <w:tcPr>
            <w:tcW w:w="900" w:type="dxa"/>
            <w:noWrap/>
          </w:tcPr>
          <w:p w14:paraId="0B94F856" w14:textId="77777777" w:rsidR="00772179" w:rsidRDefault="00000000">
            <w:pPr>
              <w:jc w:val="center"/>
            </w:pPr>
            <w:r>
              <w:t>2</w:t>
            </w:r>
          </w:p>
        </w:tc>
        <w:tc>
          <w:tcPr>
            <w:tcW w:w="900" w:type="dxa"/>
            <w:noWrap/>
          </w:tcPr>
          <w:p w14:paraId="6D07B47C" w14:textId="77777777" w:rsidR="00772179" w:rsidRDefault="00000000">
            <w:pPr>
              <w:jc w:val="center"/>
            </w:pPr>
            <w:r>
              <w:t>3</w:t>
            </w:r>
          </w:p>
        </w:tc>
        <w:tc>
          <w:tcPr>
            <w:tcW w:w="900" w:type="dxa"/>
            <w:noWrap/>
          </w:tcPr>
          <w:p w14:paraId="5BA3F08E" w14:textId="77777777" w:rsidR="00772179" w:rsidRDefault="00000000">
            <w:pPr>
              <w:jc w:val="center"/>
            </w:pPr>
            <w:r>
              <w:t>4</w:t>
            </w:r>
          </w:p>
        </w:tc>
        <w:tc>
          <w:tcPr>
            <w:tcW w:w="900" w:type="dxa"/>
            <w:noWrap/>
          </w:tcPr>
          <w:p w14:paraId="3B506D00" w14:textId="77777777" w:rsidR="00772179" w:rsidRDefault="00000000">
            <w:r>
              <w:t> </w:t>
            </w:r>
          </w:p>
        </w:tc>
        <w:tc>
          <w:tcPr>
            <w:tcW w:w="900" w:type="dxa"/>
            <w:noWrap/>
          </w:tcPr>
          <w:p w14:paraId="177264AE" w14:textId="77777777" w:rsidR="00772179" w:rsidRDefault="00000000">
            <w:r>
              <w:t> </w:t>
            </w:r>
          </w:p>
        </w:tc>
        <w:tc>
          <w:tcPr>
            <w:tcW w:w="900" w:type="dxa"/>
            <w:noWrap/>
          </w:tcPr>
          <w:p w14:paraId="1A8D2C39" w14:textId="77777777" w:rsidR="00772179" w:rsidRDefault="00000000">
            <w:r>
              <w:t> </w:t>
            </w:r>
          </w:p>
        </w:tc>
        <w:tc>
          <w:tcPr>
            <w:tcW w:w="900" w:type="dxa"/>
            <w:noWrap/>
          </w:tcPr>
          <w:p w14:paraId="34E64559" w14:textId="77777777" w:rsidR="00772179" w:rsidRDefault="00000000">
            <w:r>
              <w:t>Passe-partout</w:t>
            </w:r>
          </w:p>
        </w:tc>
      </w:tr>
      <w:tr w:rsidR="00772179" w14:paraId="787BD588" w14:textId="77777777">
        <w:tc>
          <w:tcPr>
            <w:tcW w:w="900" w:type="dxa"/>
            <w:noWrap/>
          </w:tcPr>
          <w:p w14:paraId="5A99907C" w14:textId="77777777" w:rsidR="00772179" w:rsidRDefault="00000000">
            <w:r>
              <w:t>Nombre de clés</w:t>
            </w:r>
          </w:p>
        </w:tc>
        <w:tc>
          <w:tcPr>
            <w:tcW w:w="900" w:type="dxa"/>
            <w:noWrap/>
          </w:tcPr>
          <w:p w14:paraId="5048C4BB" w14:textId="77777777" w:rsidR="00772179" w:rsidRDefault="00000000">
            <w:r>
              <w:t> </w:t>
            </w:r>
          </w:p>
        </w:tc>
        <w:tc>
          <w:tcPr>
            <w:tcW w:w="900" w:type="dxa"/>
            <w:noWrap/>
          </w:tcPr>
          <w:p w14:paraId="12B01D84" w14:textId="77777777" w:rsidR="00772179" w:rsidRDefault="00000000">
            <w:pPr>
              <w:jc w:val="center"/>
            </w:pPr>
            <w:r>
              <w:t>3</w:t>
            </w:r>
          </w:p>
        </w:tc>
        <w:tc>
          <w:tcPr>
            <w:tcW w:w="900" w:type="dxa"/>
            <w:noWrap/>
          </w:tcPr>
          <w:p w14:paraId="096913CB" w14:textId="77777777" w:rsidR="00772179" w:rsidRDefault="00000000">
            <w:pPr>
              <w:jc w:val="center"/>
            </w:pPr>
            <w:r>
              <w:t>3</w:t>
            </w:r>
          </w:p>
        </w:tc>
        <w:tc>
          <w:tcPr>
            <w:tcW w:w="900" w:type="dxa"/>
            <w:noWrap/>
          </w:tcPr>
          <w:p w14:paraId="1F290720" w14:textId="77777777" w:rsidR="00772179" w:rsidRDefault="00000000">
            <w:pPr>
              <w:jc w:val="center"/>
            </w:pPr>
            <w:r>
              <w:t>3</w:t>
            </w:r>
          </w:p>
        </w:tc>
        <w:tc>
          <w:tcPr>
            <w:tcW w:w="900" w:type="dxa"/>
            <w:noWrap/>
          </w:tcPr>
          <w:p w14:paraId="040308D5" w14:textId="77777777" w:rsidR="00772179" w:rsidRDefault="00000000">
            <w:pPr>
              <w:jc w:val="center"/>
            </w:pPr>
            <w:r>
              <w:t> </w:t>
            </w:r>
          </w:p>
        </w:tc>
        <w:tc>
          <w:tcPr>
            <w:tcW w:w="900" w:type="dxa"/>
            <w:noWrap/>
          </w:tcPr>
          <w:p w14:paraId="03767B52" w14:textId="77777777" w:rsidR="00772179" w:rsidRDefault="00000000">
            <w:pPr>
              <w:jc w:val="center"/>
            </w:pPr>
            <w:r>
              <w:t> </w:t>
            </w:r>
          </w:p>
        </w:tc>
        <w:tc>
          <w:tcPr>
            <w:tcW w:w="900" w:type="dxa"/>
            <w:noWrap/>
          </w:tcPr>
          <w:p w14:paraId="7365A525" w14:textId="77777777" w:rsidR="00772179" w:rsidRDefault="00000000">
            <w:pPr>
              <w:jc w:val="center"/>
            </w:pPr>
            <w:r>
              <w:t> </w:t>
            </w:r>
          </w:p>
        </w:tc>
        <w:tc>
          <w:tcPr>
            <w:tcW w:w="900" w:type="dxa"/>
            <w:noWrap/>
          </w:tcPr>
          <w:p w14:paraId="1D7D6AAA" w14:textId="77777777" w:rsidR="00772179" w:rsidRDefault="00000000">
            <w:pPr>
              <w:jc w:val="center"/>
            </w:pPr>
            <w:r>
              <w:t> </w:t>
            </w:r>
          </w:p>
        </w:tc>
        <w:tc>
          <w:tcPr>
            <w:tcW w:w="900" w:type="dxa"/>
            <w:noWrap/>
          </w:tcPr>
          <w:p w14:paraId="6F71B6B9" w14:textId="77777777" w:rsidR="00772179" w:rsidRDefault="00000000">
            <w:pPr>
              <w:jc w:val="center"/>
            </w:pPr>
            <w:r>
              <w:t>3</w:t>
            </w:r>
          </w:p>
        </w:tc>
      </w:tr>
      <w:tr w:rsidR="00772179" w14:paraId="55A01E1B" w14:textId="77777777">
        <w:tc>
          <w:tcPr>
            <w:tcW w:w="900" w:type="dxa"/>
            <w:noWrap/>
          </w:tcPr>
          <w:p w14:paraId="41BBCC33" w14:textId="77777777" w:rsidR="00772179" w:rsidRDefault="00000000">
            <w:r>
              <w:t>Emplacement du cylindre</w:t>
            </w:r>
          </w:p>
        </w:tc>
        <w:tc>
          <w:tcPr>
            <w:tcW w:w="900" w:type="dxa"/>
            <w:noWrap/>
          </w:tcPr>
          <w:p w14:paraId="5C959BDD" w14:textId="77777777" w:rsidR="00772179" w:rsidRDefault="00000000">
            <w:pPr>
              <w:jc w:val="center"/>
            </w:pPr>
            <w:r>
              <w:t>NR</w:t>
            </w:r>
          </w:p>
        </w:tc>
        <w:tc>
          <w:tcPr>
            <w:tcW w:w="900" w:type="dxa"/>
            <w:noWrap/>
          </w:tcPr>
          <w:p w14:paraId="7289573B" w14:textId="77777777" w:rsidR="00772179" w:rsidRDefault="00000000">
            <w:pPr>
              <w:jc w:val="center"/>
            </w:pPr>
            <w:r>
              <w:t> </w:t>
            </w:r>
          </w:p>
        </w:tc>
        <w:tc>
          <w:tcPr>
            <w:tcW w:w="900" w:type="dxa"/>
            <w:noWrap/>
          </w:tcPr>
          <w:p w14:paraId="19E46C7F" w14:textId="77777777" w:rsidR="00772179" w:rsidRDefault="00000000">
            <w:pPr>
              <w:jc w:val="center"/>
            </w:pPr>
            <w:r>
              <w:t> </w:t>
            </w:r>
          </w:p>
        </w:tc>
        <w:tc>
          <w:tcPr>
            <w:tcW w:w="900" w:type="dxa"/>
            <w:noWrap/>
          </w:tcPr>
          <w:p w14:paraId="6B22F390" w14:textId="77777777" w:rsidR="00772179" w:rsidRDefault="00000000">
            <w:pPr>
              <w:jc w:val="center"/>
            </w:pPr>
            <w:r>
              <w:t> </w:t>
            </w:r>
          </w:p>
        </w:tc>
        <w:tc>
          <w:tcPr>
            <w:tcW w:w="900" w:type="dxa"/>
            <w:noWrap/>
          </w:tcPr>
          <w:p w14:paraId="36E6DAB1" w14:textId="77777777" w:rsidR="00772179" w:rsidRDefault="00000000">
            <w:pPr>
              <w:jc w:val="center"/>
            </w:pPr>
            <w:r>
              <w:t> </w:t>
            </w:r>
          </w:p>
        </w:tc>
        <w:tc>
          <w:tcPr>
            <w:tcW w:w="900" w:type="dxa"/>
            <w:noWrap/>
          </w:tcPr>
          <w:p w14:paraId="51608A0C" w14:textId="77777777" w:rsidR="00772179" w:rsidRDefault="00000000">
            <w:pPr>
              <w:jc w:val="center"/>
            </w:pPr>
            <w:r>
              <w:t> </w:t>
            </w:r>
          </w:p>
        </w:tc>
        <w:tc>
          <w:tcPr>
            <w:tcW w:w="900" w:type="dxa"/>
            <w:noWrap/>
          </w:tcPr>
          <w:p w14:paraId="7F9CCEB7" w14:textId="77777777" w:rsidR="00772179" w:rsidRDefault="00000000">
            <w:pPr>
              <w:jc w:val="center"/>
            </w:pPr>
            <w:r>
              <w:t> </w:t>
            </w:r>
          </w:p>
        </w:tc>
        <w:tc>
          <w:tcPr>
            <w:tcW w:w="900" w:type="dxa"/>
            <w:noWrap/>
          </w:tcPr>
          <w:p w14:paraId="3DB332F3" w14:textId="77777777" w:rsidR="00772179" w:rsidRDefault="00000000">
            <w:pPr>
              <w:jc w:val="center"/>
            </w:pPr>
            <w:r>
              <w:t> </w:t>
            </w:r>
          </w:p>
        </w:tc>
        <w:tc>
          <w:tcPr>
            <w:tcW w:w="900" w:type="dxa"/>
            <w:noWrap/>
          </w:tcPr>
          <w:p w14:paraId="1EB6607B" w14:textId="77777777" w:rsidR="00772179" w:rsidRDefault="00000000">
            <w:pPr>
              <w:jc w:val="center"/>
            </w:pPr>
            <w:r>
              <w:t> </w:t>
            </w:r>
          </w:p>
        </w:tc>
      </w:tr>
      <w:tr w:rsidR="00772179" w14:paraId="15B22537" w14:textId="77777777">
        <w:tc>
          <w:tcPr>
            <w:tcW w:w="900" w:type="dxa"/>
            <w:noWrap/>
          </w:tcPr>
          <w:p w14:paraId="7AAFE053" w14:textId="77777777" w:rsidR="00772179" w:rsidRDefault="00000000">
            <w:r>
              <w:t>Entrée de l'app. rez 01</w:t>
            </w:r>
          </w:p>
        </w:tc>
        <w:tc>
          <w:tcPr>
            <w:tcW w:w="900" w:type="dxa"/>
            <w:noWrap/>
          </w:tcPr>
          <w:p w14:paraId="483DCD48" w14:textId="77777777" w:rsidR="00772179" w:rsidRDefault="00000000">
            <w:pPr>
              <w:jc w:val="center"/>
            </w:pPr>
            <w:r>
              <w:t>1</w:t>
            </w:r>
          </w:p>
        </w:tc>
        <w:tc>
          <w:tcPr>
            <w:tcW w:w="900" w:type="dxa"/>
            <w:noWrap/>
          </w:tcPr>
          <w:p w14:paraId="05F92A30" w14:textId="77777777" w:rsidR="00772179" w:rsidRDefault="00000000">
            <w:pPr>
              <w:jc w:val="center"/>
            </w:pPr>
            <w:r>
              <w:t>XXX</w:t>
            </w:r>
          </w:p>
        </w:tc>
        <w:tc>
          <w:tcPr>
            <w:tcW w:w="900" w:type="dxa"/>
            <w:noWrap/>
          </w:tcPr>
          <w:p w14:paraId="42D41D8C" w14:textId="77777777" w:rsidR="00772179" w:rsidRDefault="00000000">
            <w:pPr>
              <w:jc w:val="center"/>
            </w:pPr>
            <w:r>
              <w:t> </w:t>
            </w:r>
          </w:p>
        </w:tc>
        <w:tc>
          <w:tcPr>
            <w:tcW w:w="900" w:type="dxa"/>
            <w:noWrap/>
          </w:tcPr>
          <w:p w14:paraId="5E7E60D8" w14:textId="77777777" w:rsidR="00772179" w:rsidRDefault="00000000">
            <w:pPr>
              <w:jc w:val="center"/>
            </w:pPr>
            <w:r>
              <w:t> </w:t>
            </w:r>
          </w:p>
        </w:tc>
        <w:tc>
          <w:tcPr>
            <w:tcW w:w="900" w:type="dxa"/>
            <w:noWrap/>
          </w:tcPr>
          <w:p w14:paraId="31562845" w14:textId="77777777" w:rsidR="00772179" w:rsidRDefault="00000000">
            <w:pPr>
              <w:jc w:val="center"/>
            </w:pPr>
            <w:r>
              <w:t> </w:t>
            </w:r>
          </w:p>
        </w:tc>
        <w:tc>
          <w:tcPr>
            <w:tcW w:w="900" w:type="dxa"/>
            <w:noWrap/>
          </w:tcPr>
          <w:p w14:paraId="5153A4D3" w14:textId="77777777" w:rsidR="00772179" w:rsidRDefault="00000000">
            <w:pPr>
              <w:jc w:val="center"/>
            </w:pPr>
            <w:r>
              <w:t> </w:t>
            </w:r>
          </w:p>
        </w:tc>
        <w:tc>
          <w:tcPr>
            <w:tcW w:w="900" w:type="dxa"/>
            <w:noWrap/>
          </w:tcPr>
          <w:p w14:paraId="10E7109E" w14:textId="77777777" w:rsidR="00772179" w:rsidRDefault="00000000">
            <w:pPr>
              <w:jc w:val="center"/>
            </w:pPr>
            <w:r>
              <w:t> </w:t>
            </w:r>
          </w:p>
        </w:tc>
        <w:tc>
          <w:tcPr>
            <w:tcW w:w="900" w:type="dxa"/>
            <w:noWrap/>
          </w:tcPr>
          <w:p w14:paraId="0B752856" w14:textId="77777777" w:rsidR="00772179" w:rsidRDefault="00000000">
            <w:pPr>
              <w:jc w:val="center"/>
            </w:pPr>
            <w:r>
              <w:t> </w:t>
            </w:r>
          </w:p>
        </w:tc>
        <w:tc>
          <w:tcPr>
            <w:tcW w:w="900" w:type="dxa"/>
            <w:noWrap/>
          </w:tcPr>
          <w:p w14:paraId="289921CB" w14:textId="77777777" w:rsidR="00772179" w:rsidRDefault="00000000">
            <w:pPr>
              <w:jc w:val="center"/>
            </w:pPr>
            <w:r>
              <w:t>XXX</w:t>
            </w:r>
          </w:p>
        </w:tc>
      </w:tr>
      <w:tr w:rsidR="00772179" w14:paraId="2E689676" w14:textId="77777777">
        <w:tc>
          <w:tcPr>
            <w:tcW w:w="900" w:type="dxa"/>
            <w:noWrap/>
          </w:tcPr>
          <w:p w14:paraId="6E4A78DB" w14:textId="77777777" w:rsidR="00772179" w:rsidRDefault="00000000">
            <w:r>
              <w:t>Entrée de l'app. rez 02</w:t>
            </w:r>
          </w:p>
        </w:tc>
        <w:tc>
          <w:tcPr>
            <w:tcW w:w="900" w:type="dxa"/>
            <w:noWrap/>
          </w:tcPr>
          <w:p w14:paraId="3A0B6D82" w14:textId="77777777" w:rsidR="00772179" w:rsidRDefault="00000000">
            <w:pPr>
              <w:jc w:val="center"/>
            </w:pPr>
            <w:r>
              <w:t>2</w:t>
            </w:r>
          </w:p>
        </w:tc>
        <w:tc>
          <w:tcPr>
            <w:tcW w:w="900" w:type="dxa"/>
            <w:noWrap/>
          </w:tcPr>
          <w:p w14:paraId="6374E91E" w14:textId="77777777" w:rsidR="00772179" w:rsidRDefault="00000000">
            <w:pPr>
              <w:jc w:val="center"/>
            </w:pPr>
            <w:r>
              <w:t> </w:t>
            </w:r>
          </w:p>
        </w:tc>
        <w:tc>
          <w:tcPr>
            <w:tcW w:w="900" w:type="dxa"/>
            <w:noWrap/>
          </w:tcPr>
          <w:p w14:paraId="17201C63" w14:textId="77777777" w:rsidR="00772179" w:rsidRDefault="00000000">
            <w:pPr>
              <w:jc w:val="center"/>
            </w:pPr>
            <w:r>
              <w:t>XXX</w:t>
            </w:r>
          </w:p>
        </w:tc>
        <w:tc>
          <w:tcPr>
            <w:tcW w:w="900" w:type="dxa"/>
            <w:noWrap/>
          </w:tcPr>
          <w:p w14:paraId="45EDB870" w14:textId="77777777" w:rsidR="00772179" w:rsidRDefault="00000000">
            <w:pPr>
              <w:jc w:val="center"/>
            </w:pPr>
            <w:r>
              <w:t> </w:t>
            </w:r>
          </w:p>
        </w:tc>
        <w:tc>
          <w:tcPr>
            <w:tcW w:w="900" w:type="dxa"/>
            <w:noWrap/>
          </w:tcPr>
          <w:p w14:paraId="4BC97C8D" w14:textId="77777777" w:rsidR="00772179" w:rsidRDefault="00000000">
            <w:pPr>
              <w:jc w:val="center"/>
            </w:pPr>
            <w:r>
              <w:t> </w:t>
            </w:r>
          </w:p>
        </w:tc>
        <w:tc>
          <w:tcPr>
            <w:tcW w:w="900" w:type="dxa"/>
            <w:noWrap/>
          </w:tcPr>
          <w:p w14:paraId="0BBBFB3A" w14:textId="77777777" w:rsidR="00772179" w:rsidRDefault="00000000">
            <w:pPr>
              <w:jc w:val="center"/>
            </w:pPr>
            <w:r>
              <w:t> </w:t>
            </w:r>
          </w:p>
        </w:tc>
        <w:tc>
          <w:tcPr>
            <w:tcW w:w="900" w:type="dxa"/>
            <w:noWrap/>
          </w:tcPr>
          <w:p w14:paraId="45A196EB" w14:textId="77777777" w:rsidR="00772179" w:rsidRDefault="00000000">
            <w:pPr>
              <w:jc w:val="center"/>
            </w:pPr>
            <w:r>
              <w:t> </w:t>
            </w:r>
          </w:p>
        </w:tc>
        <w:tc>
          <w:tcPr>
            <w:tcW w:w="900" w:type="dxa"/>
            <w:noWrap/>
          </w:tcPr>
          <w:p w14:paraId="63278DB6" w14:textId="77777777" w:rsidR="00772179" w:rsidRDefault="00000000">
            <w:pPr>
              <w:jc w:val="center"/>
            </w:pPr>
            <w:r>
              <w:t> </w:t>
            </w:r>
          </w:p>
        </w:tc>
        <w:tc>
          <w:tcPr>
            <w:tcW w:w="900" w:type="dxa"/>
            <w:noWrap/>
          </w:tcPr>
          <w:p w14:paraId="7F745EDF" w14:textId="77777777" w:rsidR="00772179" w:rsidRDefault="00000000">
            <w:pPr>
              <w:jc w:val="center"/>
            </w:pPr>
            <w:r>
              <w:t>XXX</w:t>
            </w:r>
          </w:p>
        </w:tc>
      </w:tr>
      <w:tr w:rsidR="00772179" w14:paraId="5C556A62" w14:textId="77777777">
        <w:tc>
          <w:tcPr>
            <w:tcW w:w="900" w:type="dxa"/>
            <w:noWrap/>
          </w:tcPr>
          <w:p w14:paraId="7D60F3AC" w14:textId="77777777" w:rsidR="00772179" w:rsidRDefault="00000000">
            <w:r>
              <w:t xml:space="preserve">Entrée </w:t>
            </w:r>
            <w:r>
              <w:lastRenderedPageBreak/>
              <w:t>de l'app. niv. 03</w:t>
            </w:r>
          </w:p>
        </w:tc>
        <w:tc>
          <w:tcPr>
            <w:tcW w:w="900" w:type="dxa"/>
            <w:noWrap/>
          </w:tcPr>
          <w:p w14:paraId="0B710047" w14:textId="77777777" w:rsidR="00772179" w:rsidRDefault="00000000">
            <w:pPr>
              <w:jc w:val="center"/>
            </w:pPr>
            <w:r>
              <w:lastRenderedPageBreak/>
              <w:t>3</w:t>
            </w:r>
          </w:p>
        </w:tc>
        <w:tc>
          <w:tcPr>
            <w:tcW w:w="900" w:type="dxa"/>
            <w:noWrap/>
          </w:tcPr>
          <w:p w14:paraId="092461C3" w14:textId="77777777" w:rsidR="00772179" w:rsidRDefault="00000000">
            <w:pPr>
              <w:jc w:val="center"/>
            </w:pPr>
            <w:r>
              <w:t> </w:t>
            </w:r>
          </w:p>
        </w:tc>
        <w:tc>
          <w:tcPr>
            <w:tcW w:w="900" w:type="dxa"/>
            <w:noWrap/>
          </w:tcPr>
          <w:p w14:paraId="53C731A2" w14:textId="77777777" w:rsidR="00772179" w:rsidRDefault="00000000">
            <w:pPr>
              <w:jc w:val="center"/>
            </w:pPr>
            <w:r>
              <w:t> </w:t>
            </w:r>
          </w:p>
        </w:tc>
        <w:tc>
          <w:tcPr>
            <w:tcW w:w="900" w:type="dxa"/>
            <w:noWrap/>
          </w:tcPr>
          <w:p w14:paraId="1BC7EBBF" w14:textId="77777777" w:rsidR="00772179" w:rsidRDefault="00000000">
            <w:pPr>
              <w:jc w:val="center"/>
            </w:pPr>
            <w:r>
              <w:t>XXX</w:t>
            </w:r>
          </w:p>
        </w:tc>
        <w:tc>
          <w:tcPr>
            <w:tcW w:w="900" w:type="dxa"/>
            <w:noWrap/>
          </w:tcPr>
          <w:p w14:paraId="5FABB455" w14:textId="77777777" w:rsidR="00772179" w:rsidRDefault="00000000">
            <w:pPr>
              <w:jc w:val="center"/>
            </w:pPr>
            <w:r>
              <w:t> </w:t>
            </w:r>
          </w:p>
        </w:tc>
        <w:tc>
          <w:tcPr>
            <w:tcW w:w="900" w:type="dxa"/>
            <w:noWrap/>
          </w:tcPr>
          <w:p w14:paraId="593218B0" w14:textId="77777777" w:rsidR="00772179" w:rsidRDefault="00000000">
            <w:pPr>
              <w:jc w:val="center"/>
            </w:pPr>
            <w:r>
              <w:t> </w:t>
            </w:r>
          </w:p>
        </w:tc>
        <w:tc>
          <w:tcPr>
            <w:tcW w:w="900" w:type="dxa"/>
            <w:noWrap/>
          </w:tcPr>
          <w:p w14:paraId="71EA02C8" w14:textId="77777777" w:rsidR="00772179" w:rsidRDefault="00000000">
            <w:pPr>
              <w:jc w:val="center"/>
            </w:pPr>
            <w:r>
              <w:t> </w:t>
            </w:r>
          </w:p>
        </w:tc>
        <w:tc>
          <w:tcPr>
            <w:tcW w:w="900" w:type="dxa"/>
            <w:noWrap/>
          </w:tcPr>
          <w:p w14:paraId="3979B39C" w14:textId="77777777" w:rsidR="00772179" w:rsidRDefault="00000000">
            <w:pPr>
              <w:jc w:val="center"/>
            </w:pPr>
            <w:r>
              <w:t> </w:t>
            </w:r>
          </w:p>
        </w:tc>
        <w:tc>
          <w:tcPr>
            <w:tcW w:w="900" w:type="dxa"/>
            <w:noWrap/>
          </w:tcPr>
          <w:p w14:paraId="0CEC3261" w14:textId="77777777" w:rsidR="00772179" w:rsidRDefault="00000000">
            <w:pPr>
              <w:jc w:val="center"/>
            </w:pPr>
            <w:r>
              <w:t>XXX</w:t>
            </w:r>
          </w:p>
        </w:tc>
      </w:tr>
      <w:tr w:rsidR="00772179" w14:paraId="3C13E441" w14:textId="77777777">
        <w:tc>
          <w:tcPr>
            <w:tcW w:w="900" w:type="dxa"/>
            <w:noWrap/>
          </w:tcPr>
          <w:p w14:paraId="53DF25D1" w14:textId="77777777" w:rsidR="00772179" w:rsidRDefault="00000000">
            <w:r>
              <w:t>Entrée de l'app. niv. 04</w:t>
            </w:r>
          </w:p>
        </w:tc>
        <w:tc>
          <w:tcPr>
            <w:tcW w:w="900" w:type="dxa"/>
            <w:noWrap/>
          </w:tcPr>
          <w:p w14:paraId="32BA9233" w14:textId="77777777" w:rsidR="00772179" w:rsidRDefault="00000000">
            <w:pPr>
              <w:jc w:val="center"/>
            </w:pPr>
            <w:r>
              <w:t>4</w:t>
            </w:r>
          </w:p>
        </w:tc>
        <w:tc>
          <w:tcPr>
            <w:tcW w:w="900" w:type="dxa"/>
            <w:noWrap/>
          </w:tcPr>
          <w:p w14:paraId="3A878F1C" w14:textId="77777777" w:rsidR="00772179" w:rsidRDefault="00000000">
            <w:pPr>
              <w:jc w:val="center"/>
            </w:pPr>
            <w:r>
              <w:t> </w:t>
            </w:r>
          </w:p>
        </w:tc>
        <w:tc>
          <w:tcPr>
            <w:tcW w:w="900" w:type="dxa"/>
            <w:noWrap/>
          </w:tcPr>
          <w:p w14:paraId="7D8A042D" w14:textId="77777777" w:rsidR="00772179" w:rsidRDefault="00000000">
            <w:pPr>
              <w:jc w:val="center"/>
            </w:pPr>
            <w:r>
              <w:t> </w:t>
            </w:r>
          </w:p>
        </w:tc>
        <w:tc>
          <w:tcPr>
            <w:tcW w:w="900" w:type="dxa"/>
            <w:noWrap/>
          </w:tcPr>
          <w:p w14:paraId="32CF3ED7" w14:textId="77777777" w:rsidR="00772179" w:rsidRDefault="00000000">
            <w:pPr>
              <w:jc w:val="center"/>
            </w:pPr>
            <w:r>
              <w:t> </w:t>
            </w:r>
          </w:p>
        </w:tc>
        <w:tc>
          <w:tcPr>
            <w:tcW w:w="900" w:type="dxa"/>
            <w:noWrap/>
          </w:tcPr>
          <w:p w14:paraId="53AA87C2" w14:textId="77777777" w:rsidR="00772179" w:rsidRDefault="00000000">
            <w:pPr>
              <w:jc w:val="center"/>
            </w:pPr>
            <w:r>
              <w:t>XXX</w:t>
            </w:r>
          </w:p>
        </w:tc>
        <w:tc>
          <w:tcPr>
            <w:tcW w:w="900" w:type="dxa"/>
            <w:noWrap/>
          </w:tcPr>
          <w:p w14:paraId="50270C85" w14:textId="77777777" w:rsidR="00772179" w:rsidRDefault="00000000">
            <w:pPr>
              <w:jc w:val="center"/>
            </w:pPr>
            <w:r>
              <w:t> </w:t>
            </w:r>
          </w:p>
        </w:tc>
        <w:tc>
          <w:tcPr>
            <w:tcW w:w="900" w:type="dxa"/>
            <w:noWrap/>
          </w:tcPr>
          <w:p w14:paraId="05182B81" w14:textId="77777777" w:rsidR="00772179" w:rsidRDefault="00000000">
            <w:pPr>
              <w:jc w:val="center"/>
            </w:pPr>
            <w:r>
              <w:t> </w:t>
            </w:r>
          </w:p>
        </w:tc>
        <w:tc>
          <w:tcPr>
            <w:tcW w:w="900" w:type="dxa"/>
            <w:noWrap/>
          </w:tcPr>
          <w:p w14:paraId="0B499788" w14:textId="77777777" w:rsidR="00772179" w:rsidRDefault="00000000">
            <w:pPr>
              <w:jc w:val="center"/>
            </w:pPr>
            <w:r>
              <w:t> </w:t>
            </w:r>
          </w:p>
        </w:tc>
        <w:tc>
          <w:tcPr>
            <w:tcW w:w="900" w:type="dxa"/>
            <w:noWrap/>
          </w:tcPr>
          <w:p w14:paraId="21470191" w14:textId="77777777" w:rsidR="00772179" w:rsidRDefault="00000000">
            <w:pPr>
              <w:jc w:val="center"/>
            </w:pPr>
            <w:r>
              <w:t>XXX</w:t>
            </w:r>
          </w:p>
        </w:tc>
      </w:tr>
      <w:tr w:rsidR="00772179" w14:paraId="71747B37" w14:textId="77777777">
        <w:tc>
          <w:tcPr>
            <w:tcW w:w="900" w:type="dxa"/>
            <w:noWrap/>
          </w:tcPr>
          <w:p w14:paraId="62285D84" w14:textId="77777777" w:rsidR="00772179" w:rsidRDefault="00000000">
            <w:r>
              <w:t>Porte de terrasse App 01</w:t>
            </w:r>
          </w:p>
        </w:tc>
        <w:tc>
          <w:tcPr>
            <w:tcW w:w="900" w:type="dxa"/>
            <w:noWrap/>
          </w:tcPr>
          <w:p w14:paraId="41986ADE" w14:textId="77777777" w:rsidR="00772179" w:rsidRDefault="00000000">
            <w:pPr>
              <w:jc w:val="center"/>
            </w:pPr>
            <w:r>
              <w:t> </w:t>
            </w:r>
          </w:p>
        </w:tc>
        <w:tc>
          <w:tcPr>
            <w:tcW w:w="900" w:type="dxa"/>
            <w:noWrap/>
          </w:tcPr>
          <w:p w14:paraId="0F489F4B" w14:textId="77777777" w:rsidR="00772179" w:rsidRDefault="00000000">
            <w:pPr>
              <w:jc w:val="center"/>
            </w:pPr>
            <w:r>
              <w:t>XXX</w:t>
            </w:r>
          </w:p>
        </w:tc>
        <w:tc>
          <w:tcPr>
            <w:tcW w:w="900" w:type="dxa"/>
            <w:noWrap/>
          </w:tcPr>
          <w:p w14:paraId="7013AF26" w14:textId="77777777" w:rsidR="00772179" w:rsidRDefault="00000000">
            <w:pPr>
              <w:jc w:val="center"/>
            </w:pPr>
            <w:r>
              <w:t> </w:t>
            </w:r>
          </w:p>
        </w:tc>
        <w:tc>
          <w:tcPr>
            <w:tcW w:w="900" w:type="dxa"/>
            <w:noWrap/>
          </w:tcPr>
          <w:p w14:paraId="3E3339C5" w14:textId="77777777" w:rsidR="00772179" w:rsidRDefault="00000000">
            <w:pPr>
              <w:jc w:val="center"/>
            </w:pPr>
            <w:r>
              <w:t> </w:t>
            </w:r>
          </w:p>
        </w:tc>
        <w:tc>
          <w:tcPr>
            <w:tcW w:w="900" w:type="dxa"/>
            <w:noWrap/>
          </w:tcPr>
          <w:p w14:paraId="4E3C02DF" w14:textId="77777777" w:rsidR="00772179" w:rsidRDefault="00000000">
            <w:pPr>
              <w:jc w:val="center"/>
            </w:pPr>
            <w:r>
              <w:t> </w:t>
            </w:r>
          </w:p>
        </w:tc>
        <w:tc>
          <w:tcPr>
            <w:tcW w:w="900" w:type="dxa"/>
            <w:noWrap/>
          </w:tcPr>
          <w:p w14:paraId="6F4709B6" w14:textId="77777777" w:rsidR="00772179" w:rsidRDefault="00000000">
            <w:pPr>
              <w:jc w:val="center"/>
            </w:pPr>
            <w:r>
              <w:t> </w:t>
            </w:r>
          </w:p>
        </w:tc>
        <w:tc>
          <w:tcPr>
            <w:tcW w:w="900" w:type="dxa"/>
            <w:noWrap/>
          </w:tcPr>
          <w:p w14:paraId="134C901E" w14:textId="77777777" w:rsidR="00772179" w:rsidRDefault="00000000">
            <w:pPr>
              <w:jc w:val="center"/>
            </w:pPr>
            <w:r>
              <w:t> </w:t>
            </w:r>
          </w:p>
        </w:tc>
        <w:tc>
          <w:tcPr>
            <w:tcW w:w="900" w:type="dxa"/>
            <w:noWrap/>
          </w:tcPr>
          <w:p w14:paraId="7B419241" w14:textId="77777777" w:rsidR="00772179" w:rsidRDefault="00000000">
            <w:pPr>
              <w:jc w:val="center"/>
            </w:pPr>
            <w:r>
              <w:t> </w:t>
            </w:r>
          </w:p>
        </w:tc>
        <w:tc>
          <w:tcPr>
            <w:tcW w:w="900" w:type="dxa"/>
            <w:noWrap/>
          </w:tcPr>
          <w:p w14:paraId="1D94D322" w14:textId="77777777" w:rsidR="00772179" w:rsidRDefault="00000000">
            <w:pPr>
              <w:jc w:val="center"/>
            </w:pPr>
            <w:r>
              <w:t> </w:t>
            </w:r>
          </w:p>
        </w:tc>
      </w:tr>
      <w:tr w:rsidR="00772179" w14:paraId="03B8B49C" w14:textId="77777777">
        <w:tc>
          <w:tcPr>
            <w:tcW w:w="900" w:type="dxa"/>
            <w:noWrap/>
          </w:tcPr>
          <w:p w14:paraId="1CA7F235" w14:textId="77777777" w:rsidR="00772179" w:rsidRDefault="00000000">
            <w:r>
              <w:t>Porte de terrasse App 02</w:t>
            </w:r>
          </w:p>
        </w:tc>
        <w:tc>
          <w:tcPr>
            <w:tcW w:w="900" w:type="dxa"/>
            <w:noWrap/>
          </w:tcPr>
          <w:p w14:paraId="72038D3A" w14:textId="77777777" w:rsidR="00772179" w:rsidRDefault="00000000">
            <w:pPr>
              <w:jc w:val="center"/>
            </w:pPr>
            <w:r>
              <w:t> </w:t>
            </w:r>
          </w:p>
        </w:tc>
        <w:tc>
          <w:tcPr>
            <w:tcW w:w="900" w:type="dxa"/>
            <w:noWrap/>
          </w:tcPr>
          <w:p w14:paraId="0D4DF032" w14:textId="77777777" w:rsidR="00772179" w:rsidRDefault="00000000">
            <w:pPr>
              <w:jc w:val="center"/>
            </w:pPr>
            <w:r>
              <w:t> </w:t>
            </w:r>
          </w:p>
        </w:tc>
        <w:tc>
          <w:tcPr>
            <w:tcW w:w="900" w:type="dxa"/>
            <w:noWrap/>
          </w:tcPr>
          <w:p w14:paraId="0204670A" w14:textId="77777777" w:rsidR="00772179" w:rsidRDefault="00000000">
            <w:pPr>
              <w:jc w:val="center"/>
            </w:pPr>
            <w:r>
              <w:t>XXX</w:t>
            </w:r>
          </w:p>
        </w:tc>
        <w:tc>
          <w:tcPr>
            <w:tcW w:w="900" w:type="dxa"/>
            <w:noWrap/>
          </w:tcPr>
          <w:p w14:paraId="7DF198EF" w14:textId="77777777" w:rsidR="00772179" w:rsidRDefault="00000000">
            <w:pPr>
              <w:jc w:val="center"/>
            </w:pPr>
            <w:r>
              <w:t> </w:t>
            </w:r>
          </w:p>
        </w:tc>
        <w:tc>
          <w:tcPr>
            <w:tcW w:w="900" w:type="dxa"/>
            <w:noWrap/>
          </w:tcPr>
          <w:p w14:paraId="388512C5" w14:textId="77777777" w:rsidR="00772179" w:rsidRDefault="00000000">
            <w:pPr>
              <w:jc w:val="center"/>
            </w:pPr>
            <w:r>
              <w:t> </w:t>
            </w:r>
          </w:p>
        </w:tc>
        <w:tc>
          <w:tcPr>
            <w:tcW w:w="900" w:type="dxa"/>
            <w:noWrap/>
          </w:tcPr>
          <w:p w14:paraId="642DE967" w14:textId="77777777" w:rsidR="00772179" w:rsidRDefault="00000000">
            <w:pPr>
              <w:jc w:val="center"/>
            </w:pPr>
            <w:r>
              <w:t> </w:t>
            </w:r>
          </w:p>
        </w:tc>
        <w:tc>
          <w:tcPr>
            <w:tcW w:w="900" w:type="dxa"/>
            <w:noWrap/>
          </w:tcPr>
          <w:p w14:paraId="50600C74" w14:textId="77777777" w:rsidR="00772179" w:rsidRDefault="00000000">
            <w:pPr>
              <w:jc w:val="center"/>
            </w:pPr>
            <w:r>
              <w:t> </w:t>
            </w:r>
          </w:p>
        </w:tc>
        <w:tc>
          <w:tcPr>
            <w:tcW w:w="900" w:type="dxa"/>
            <w:noWrap/>
          </w:tcPr>
          <w:p w14:paraId="0FCA9789" w14:textId="77777777" w:rsidR="00772179" w:rsidRDefault="00000000">
            <w:pPr>
              <w:jc w:val="center"/>
            </w:pPr>
            <w:r>
              <w:t> </w:t>
            </w:r>
          </w:p>
        </w:tc>
        <w:tc>
          <w:tcPr>
            <w:tcW w:w="900" w:type="dxa"/>
            <w:noWrap/>
          </w:tcPr>
          <w:p w14:paraId="6A240AA1" w14:textId="77777777" w:rsidR="00772179" w:rsidRDefault="00000000">
            <w:pPr>
              <w:jc w:val="center"/>
            </w:pPr>
            <w:r>
              <w:t> </w:t>
            </w:r>
          </w:p>
        </w:tc>
      </w:tr>
      <w:tr w:rsidR="00772179" w14:paraId="65D25249" w14:textId="77777777">
        <w:tc>
          <w:tcPr>
            <w:tcW w:w="900" w:type="dxa"/>
            <w:noWrap/>
          </w:tcPr>
          <w:p w14:paraId="5FF56A49" w14:textId="77777777" w:rsidR="00772179" w:rsidRDefault="00000000">
            <w:r>
              <w:t> </w:t>
            </w:r>
          </w:p>
        </w:tc>
        <w:tc>
          <w:tcPr>
            <w:tcW w:w="900" w:type="dxa"/>
            <w:noWrap/>
          </w:tcPr>
          <w:p w14:paraId="64FB5366" w14:textId="77777777" w:rsidR="00772179" w:rsidRDefault="00000000">
            <w:pPr>
              <w:jc w:val="center"/>
            </w:pPr>
            <w:r>
              <w:t> </w:t>
            </w:r>
          </w:p>
        </w:tc>
        <w:tc>
          <w:tcPr>
            <w:tcW w:w="900" w:type="dxa"/>
            <w:noWrap/>
          </w:tcPr>
          <w:p w14:paraId="18BB6AF1" w14:textId="77777777" w:rsidR="00772179" w:rsidRDefault="00000000">
            <w:pPr>
              <w:jc w:val="center"/>
            </w:pPr>
            <w:r>
              <w:t> </w:t>
            </w:r>
          </w:p>
        </w:tc>
        <w:tc>
          <w:tcPr>
            <w:tcW w:w="900" w:type="dxa"/>
            <w:noWrap/>
          </w:tcPr>
          <w:p w14:paraId="69024ED4" w14:textId="77777777" w:rsidR="00772179" w:rsidRDefault="00000000">
            <w:pPr>
              <w:jc w:val="center"/>
            </w:pPr>
            <w:r>
              <w:t> </w:t>
            </w:r>
          </w:p>
        </w:tc>
        <w:tc>
          <w:tcPr>
            <w:tcW w:w="900" w:type="dxa"/>
            <w:noWrap/>
          </w:tcPr>
          <w:p w14:paraId="18970C76" w14:textId="77777777" w:rsidR="00772179" w:rsidRDefault="00000000">
            <w:pPr>
              <w:jc w:val="center"/>
            </w:pPr>
            <w:r>
              <w:t> </w:t>
            </w:r>
          </w:p>
        </w:tc>
        <w:tc>
          <w:tcPr>
            <w:tcW w:w="900" w:type="dxa"/>
            <w:noWrap/>
          </w:tcPr>
          <w:p w14:paraId="75C5BE7D" w14:textId="77777777" w:rsidR="00772179" w:rsidRDefault="00000000">
            <w:pPr>
              <w:jc w:val="center"/>
            </w:pPr>
            <w:r>
              <w:t> </w:t>
            </w:r>
          </w:p>
        </w:tc>
        <w:tc>
          <w:tcPr>
            <w:tcW w:w="900" w:type="dxa"/>
            <w:noWrap/>
          </w:tcPr>
          <w:p w14:paraId="3E29C762" w14:textId="77777777" w:rsidR="00772179" w:rsidRDefault="00000000">
            <w:pPr>
              <w:jc w:val="center"/>
            </w:pPr>
            <w:r>
              <w:t> </w:t>
            </w:r>
          </w:p>
        </w:tc>
        <w:tc>
          <w:tcPr>
            <w:tcW w:w="900" w:type="dxa"/>
            <w:noWrap/>
          </w:tcPr>
          <w:p w14:paraId="63D2CBBF" w14:textId="77777777" w:rsidR="00772179" w:rsidRDefault="00000000">
            <w:pPr>
              <w:jc w:val="center"/>
            </w:pPr>
            <w:r>
              <w:t> </w:t>
            </w:r>
          </w:p>
        </w:tc>
        <w:tc>
          <w:tcPr>
            <w:tcW w:w="900" w:type="dxa"/>
            <w:noWrap/>
          </w:tcPr>
          <w:p w14:paraId="28DF53BA" w14:textId="77777777" w:rsidR="00772179" w:rsidRDefault="00000000">
            <w:pPr>
              <w:jc w:val="center"/>
            </w:pPr>
            <w:r>
              <w:t> </w:t>
            </w:r>
          </w:p>
        </w:tc>
        <w:tc>
          <w:tcPr>
            <w:tcW w:w="900" w:type="dxa"/>
            <w:noWrap/>
          </w:tcPr>
          <w:p w14:paraId="1A9BCB48" w14:textId="77777777" w:rsidR="00772179" w:rsidRDefault="00000000">
            <w:pPr>
              <w:jc w:val="center"/>
            </w:pPr>
            <w:r>
              <w:t> </w:t>
            </w:r>
          </w:p>
        </w:tc>
      </w:tr>
      <w:tr w:rsidR="00772179" w14:paraId="3BA4D9A9" w14:textId="77777777">
        <w:tc>
          <w:tcPr>
            <w:tcW w:w="900" w:type="dxa"/>
            <w:noWrap/>
          </w:tcPr>
          <w:p w14:paraId="50AB9F26" w14:textId="77777777" w:rsidR="00772179" w:rsidRDefault="00000000">
            <w:r>
              <w:t>Entrée à rue A</w:t>
            </w:r>
          </w:p>
        </w:tc>
        <w:tc>
          <w:tcPr>
            <w:tcW w:w="900" w:type="dxa"/>
            <w:noWrap/>
          </w:tcPr>
          <w:p w14:paraId="63054C78" w14:textId="77777777" w:rsidR="00772179" w:rsidRDefault="00000000">
            <w:pPr>
              <w:jc w:val="center"/>
            </w:pPr>
            <w:r>
              <w:t> </w:t>
            </w:r>
          </w:p>
        </w:tc>
        <w:tc>
          <w:tcPr>
            <w:tcW w:w="900" w:type="dxa"/>
            <w:noWrap/>
          </w:tcPr>
          <w:p w14:paraId="5D53855D" w14:textId="77777777" w:rsidR="00772179" w:rsidRDefault="00000000">
            <w:pPr>
              <w:jc w:val="center"/>
            </w:pPr>
            <w:r>
              <w:t>XXX</w:t>
            </w:r>
          </w:p>
        </w:tc>
        <w:tc>
          <w:tcPr>
            <w:tcW w:w="900" w:type="dxa"/>
            <w:noWrap/>
          </w:tcPr>
          <w:p w14:paraId="68301E98" w14:textId="77777777" w:rsidR="00772179" w:rsidRDefault="00000000">
            <w:pPr>
              <w:jc w:val="center"/>
            </w:pPr>
            <w:r>
              <w:t>XXX</w:t>
            </w:r>
          </w:p>
        </w:tc>
        <w:tc>
          <w:tcPr>
            <w:tcW w:w="900" w:type="dxa"/>
            <w:noWrap/>
          </w:tcPr>
          <w:p w14:paraId="191296F2" w14:textId="77777777" w:rsidR="00772179" w:rsidRDefault="00000000">
            <w:pPr>
              <w:jc w:val="center"/>
            </w:pPr>
            <w:r>
              <w:t> </w:t>
            </w:r>
          </w:p>
        </w:tc>
        <w:tc>
          <w:tcPr>
            <w:tcW w:w="900" w:type="dxa"/>
            <w:noWrap/>
          </w:tcPr>
          <w:p w14:paraId="793580B3" w14:textId="77777777" w:rsidR="00772179" w:rsidRDefault="00000000">
            <w:pPr>
              <w:jc w:val="center"/>
            </w:pPr>
            <w:r>
              <w:t> </w:t>
            </w:r>
          </w:p>
        </w:tc>
        <w:tc>
          <w:tcPr>
            <w:tcW w:w="900" w:type="dxa"/>
            <w:noWrap/>
          </w:tcPr>
          <w:p w14:paraId="14975B7A" w14:textId="77777777" w:rsidR="00772179" w:rsidRDefault="00000000">
            <w:pPr>
              <w:jc w:val="center"/>
            </w:pPr>
            <w:r>
              <w:t> </w:t>
            </w:r>
          </w:p>
        </w:tc>
        <w:tc>
          <w:tcPr>
            <w:tcW w:w="900" w:type="dxa"/>
            <w:noWrap/>
          </w:tcPr>
          <w:p w14:paraId="0D9D01F5" w14:textId="77777777" w:rsidR="00772179" w:rsidRDefault="00000000">
            <w:pPr>
              <w:jc w:val="center"/>
            </w:pPr>
            <w:r>
              <w:t> </w:t>
            </w:r>
          </w:p>
        </w:tc>
        <w:tc>
          <w:tcPr>
            <w:tcW w:w="900" w:type="dxa"/>
            <w:noWrap/>
          </w:tcPr>
          <w:p w14:paraId="5B60D50A" w14:textId="77777777" w:rsidR="00772179" w:rsidRDefault="00000000">
            <w:pPr>
              <w:jc w:val="center"/>
            </w:pPr>
            <w:r>
              <w:t> </w:t>
            </w:r>
          </w:p>
        </w:tc>
        <w:tc>
          <w:tcPr>
            <w:tcW w:w="900" w:type="dxa"/>
            <w:noWrap/>
          </w:tcPr>
          <w:p w14:paraId="2CD9D3F3" w14:textId="77777777" w:rsidR="00772179" w:rsidRDefault="00000000">
            <w:pPr>
              <w:jc w:val="center"/>
            </w:pPr>
            <w:r>
              <w:t>XXX</w:t>
            </w:r>
          </w:p>
        </w:tc>
      </w:tr>
      <w:tr w:rsidR="00772179" w14:paraId="7644E5C3" w14:textId="77777777">
        <w:tc>
          <w:tcPr>
            <w:tcW w:w="900" w:type="dxa"/>
            <w:noWrap/>
          </w:tcPr>
          <w:p w14:paraId="3E3EEDB4" w14:textId="77777777" w:rsidR="00772179" w:rsidRDefault="00000000">
            <w:r>
              <w:t>Entrée à rue B</w:t>
            </w:r>
          </w:p>
        </w:tc>
        <w:tc>
          <w:tcPr>
            <w:tcW w:w="900" w:type="dxa"/>
            <w:noWrap/>
          </w:tcPr>
          <w:p w14:paraId="0F31ECE8" w14:textId="77777777" w:rsidR="00772179" w:rsidRDefault="00000000">
            <w:r>
              <w:t> </w:t>
            </w:r>
          </w:p>
        </w:tc>
        <w:tc>
          <w:tcPr>
            <w:tcW w:w="900" w:type="dxa"/>
            <w:noWrap/>
          </w:tcPr>
          <w:p w14:paraId="095A43F2" w14:textId="77777777" w:rsidR="00772179" w:rsidRDefault="00000000">
            <w:r>
              <w:t> </w:t>
            </w:r>
          </w:p>
        </w:tc>
        <w:tc>
          <w:tcPr>
            <w:tcW w:w="900" w:type="dxa"/>
            <w:noWrap/>
          </w:tcPr>
          <w:p w14:paraId="66ED4F36" w14:textId="77777777" w:rsidR="00772179" w:rsidRDefault="00000000">
            <w:r>
              <w:t> </w:t>
            </w:r>
          </w:p>
        </w:tc>
        <w:tc>
          <w:tcPr>
            <w:tcW w:w="900" w:type="dxa"/>
            <w:noWrap/>
          </w:tcPr>
          <w:p w14:paraId="3904C294" w14:textId="77777777" w:rsidR="00772179" w:rsidRDefault="00000000">
            <w:pPr>
              <w:jc w:val="center"/>
            </w:pPr>
            <w:r>
              <w:t>XXX</w:t>
            </w:r>
          </w:p>
        </w:tc>
        <w:tc>
          <w:tcPr>
            <w:tcW w:w="900" w:type="dxa"/>
            <w:noWrap/>
          </w:tcPr>
          <w:p w14:paraId="06A97A31" w14:textId="77777777" w:rsidR="00772179" w:rsidRDefault="00000000">
            <w:pPr>
              <w:jc w:val="center"/>
            </w:pPr>
            <w:r>
              <w:t>XXX</w:t>
            </w:r>
          </w:p>
        </w:tc>
        <w:tc>
          <w:tcPr>
            <w:tcW w:w="900" w:type="dxa"/>
            <w:noWrap/>
          </w:tcPr>
          <w:p w14:paraId="2EC155C9" w14:textId="77777777" w:rsidR="00772179" w:rsidRDefault="00000000">
            <w:pPr>
              <w:jc w:val="center"/>
            </w:pPr>
            <w:r>
              <w:t> </w:t>
            </w:r>
          </w:p>
        </w:tc>
        <w:tc>
          <w:tcPr>
            <w:tcW w:w="900" w:type="dxa"/>
            <w:noWrap/>
          </w:tcPr>
          <w:p w14:paraId="4A04CB66" w14:textId="77777777" w:rsidR="00772179" w:rsidRDefault="00000000">
            <w:pPr>
              <w:jc w:val="center"/>
            </w:pPr>
            <w:r>
              <w:t> </w:t>
            </w:r>
          </w:p>
        </w:tc>
        <w:tc>
          <w:tcPr>
            <w:tcW w:w="900" w:type="dxa"/>
            <w:noWrap/>
          </w:tcPr>
          <w:p w14:paraId="34FBD78E" w14:textId="77777777" w:rsidR="00772179" w:rsidRDefault="00000000">
            <w:pPr>
              <w:jc w:val="center"/>
            </w:pPr>
            <w:r>
              <w:t> </w:t>
            </w:r>
          </w:p>
        </w:tc>
        <w:tc>
          <w:tcPr>
            <w:tcW w:w="900" w:type="dxa"/>
            <w:noWrap/>
          </w:tcPr>
          <w:p w14:paraId="3C8931B6" w14:textId="77777777" w:rsidR="00772179" w:rsidRDefault="00000000">
            <w:pPr>
              <w:jc w:val="center"/>
            </w:pPr>
            <w:r>
              <w:t>XXX</w:t>
            </w:r>
          </w:p>
        </w:tc>
      </w:tr>
      <w:tr w:rsidR="00772179" w14:paraId="301216B4" w14:textId="77777777">
        <w:tc>
          <w:tcPr>
            <w:tcW w:w="900" w:type="dxa"/>
            <w:noWrap/>
          </w:tcPr>
          <w:p w14:paraId="4C2F5117" w14:textId="77777777" w:rsidR="00772179" w:rsidRDefault="00000000">
            <w:r>
              <w:t>local compteur</w:t>
            </w:r>
          </w:p>
        </w:tc>
        <w:tc>
          <w:tcPr>
            <w:tcW w:w="900" w:type="dxa"/>
            <w:noWrap/>
          </w:tcPr>
          <w:p w14:paraId="4E46C4E2" w14:textId="77777777" w:rsidR="00772179" w:rsidRDefault="00000000">
            <w:r>
              <w:t> </w:t>
            </w:r>
          </w:p>
        </w:tc>
        <w:tc>
          <w:tcPr>
            <w:tcW w:w="900" w:type="dxa"/>
            <w:noWrap/>
          </w:tcPr>
          <w:p w14:paraId="0BFBF0AA" w14:textId="77777777" w:rsidR="00772179" w:rsidRDefault="00000000">
            <w:pPr>
              <w:jc w:val="center"/>
            </w:pPr>
            <w:r>
              <w:t>XXX</w:t>
            </w:r>
          </w:p>
        </w:tc>
        <w:tc>
          <w:tcPr>
            <w:tcW w:w="900" w:type="dxa"/>
            <w:noWrap/>
          </w:tcPr>
          <w:p w14:paraId="5B4C6613" w14:textId="77777777" w:rsidR="00772179" w:rsidRDefault="00000000">
            <w:pPr>
              <w:jc w:val="center"/>
            </w:pPr>
            <w:r>
              <w:t>XXX</w:t>
            </w:r>
          </w:p>
        </w:tc>
        <w:tc>
          <w:tcPr>
            <w:tcW w:w="900" w:type="dxa"/>
            <w:noWrap/>
          </w:tcPr>
          <w:p w14:paraId="1CF4C936" w14:textId="77777777" w:rsidR="00772179" w:rsidRDefault="00000000">
            <w:pPr>
              <w:jc w:val="center"/>
            </w:pPr>
            <w:r>
              <w:t>XXX</w:t>
            </w:r>
          </w:p>
        </w:tc>
        <w:tc>
          <w:tcPr>
            <w:tcW w:w="900" w:type="dxa"/>
            <w:noWrap/>
          </w:tcPr>
          <w:p w14:paraId="75D7DC14" w14:textId="77777777" w:rsidR="00772179" w:rsidRDefault="00000000">
            <w:pPr>
              <w:jc w:val="center"/>
            </w:pPr>
            <w:r>
              <w:t>XXX</w:t>
            </w:r>
          </w:p>
        </w:tc>
        <w:tc>
          <w:tcPr>
            <w:tcW w:w="900" w:type="dxa"/>
            <w:noWrap/>
          </w:tcPr>
          <w:p w14:paraId="7522E5B2" w14:textId="77777777" w:rsidR="00772179" w:rsidRDefault="00000000">
            <w:pPr>
              <w:jc w:val="center"/>
            </w:pPr>
            <w:r>
              <w:t> </w:t>
            </w:r>
          </w:p>
        </w:tc>
        <w:tc>
          <w:tcPr>
            <w:tcW w:w="900" w:type="dxa"/>
            <w:noWrap/>
          </w:tcPr>
          <w:p w14:paraId="56D2D65F" w14:textId="77777777" w:rsidR="00772179" w:rsidRDefault="00000000">
            <w:pPr>
              <w:jc w:val="center"/>
            </w:pPr>
            <w:r>
              <w:t> </w:t>
            </w:r>
          </w:p>
        </w:tc>
        <w:tc>
          <w:tcPr>
            <w:tcW w:w="900" w:type="dxa"/>
            <w:noWrap/>
          </w:tcPr>
          <w:p w14:paraId="7176EC53" w14:textId="77777777" w:rsidR="00772179" w:rsidRDefault="00000000">
            <w:pPr>
              <w:jc w:val="center"/>
            </w:pPr>
            <w:r>
              <w:t> </w:t>
            </w:r>
          </w:p>
        </w:tc>
        <w:tc>
          <w:tcPr>
            <w:tcW w:w="900" w:type="dxa"/>
            <w:noWrap/>
          </w:tcPr>
          <w:p w14:paraId="7A5528FB" w14:textId="77777777" w:rsidR="00772179" w:rsidRDefault="00000000">
            <w:pPr>
              <w:jc w:val="center"/>
            </w:pPr>
            <w:r>
              <w:t>XXX</w:t>
            </w:r>
          </w:p>
        </w:tc>
      </w:tr>
      <w:tr w:rsidR="00772179" w14:paraId="18833494" w14:textId="77777777">
        <w:tc>
          <w:tcPr>
            <w:tcW w:w="900" w:type="dxa"/>
            <w:noWrap/>
          </w:tcPr>
          <w:p w14:paraId="40FDB20F" w14:textId="77777777" w:rsidR="00772179" w:rsidRDefault="00000000">
            <w:r>
              <w:t>local poubelles</w:t>
            </w:r>
          </w:p>
        </w:tc>
        <w:tc>
          <w:tcPr>
            <w:tcW w:w="900" w:type="dxa"/>
            <w:noWrap/>
          </w:tcPr>
          <w:p w14:paraId="5FA4CBE7" w14:textId="77777777" w:rsidR="00772179" w:rsidRDefault="00000000">
            <w:r>
              <w:t> </w:t>
            </w:r>
          </w:p>
        </w:tc>
        <w:tc>
          <w:tcPr>
            <w:tcW w:w="900" w:type="dxa"/>
            <w:noWrap/>
          </w:tcPr>
          <w:p w14:paraId="502F50AE" w14:textId="77777777" w:rsidR="00772179" w:rsidRDefault="00000000">
            <w:pPr>
              <w:jc w:val="center"/>
            </w:pPr>
            <w:r>
              <w:t>XXX</w:t>
            </w:r>
          </w:p>
        </w:tc>
        <w:tc>
          <w:tcPr>
            <w:tcW w:w="900" w:type="dxa"/>
            <w:noWrap/>
          </w:tcPr>
          <w:p w14:paraId="42371567" w14:textId="77777777" w:rsidR="00772179" w:rsidRDefault="00000000">
            <w:pPr>
              <w:jc w:val="center"/>
            </w:pPr>
            <w:r>
              <w:t>XXX</w:t>
            </w:r>
          </w:p>
        </w:tc>
        <w:tc>
          <w:tcPr>
            <w:tcW w:w="900" w:type="dxa"/>
            <w:noWrap/>
          </w:tcPr>
          <w:p w14:paraId="563CE35D" w14:textId="77777777" w:rsidR="00772179" w:rsidRDefault="00000000">
            <w:pPr>
              <w:jc w:val="center"/>
            </w:pPr>
            <w:r>
              <w:t>XXX</w:t>
            </w:r>
          </w:p>
        </w:tc>
        <w:tc>
          <w:tcPr>
            <w:tcW w:w="900" w:type="dxa"/>
            <w:noWrap/>
          </w:tcPr>
          <w:p w14:paraId="78EB438B" w14:textId="77777777" w:rsidR="00772179" w:rsidRDefault="00000000">
            <w:pPr>
              <w:jc w:val="center"/>
            </w:pPr>
            <w:r>
              <w:t>XXX</w:t>
            </w:r>
          </w:p>
        </w:tc>
        <w:tc>
          <w:tcPr>
            <w:tcW w:w="900" w:type="dxa"/>
            <w:noWrap/>
          </w:tcPr>
          <w:p w14:paraId="748B26C0" w14:textId="77777777" w:rsidR="00772179" w:rsidRDefault="00000000">
            <w:pPr>
              <w:jc w:val="center"/>
            </w:pPr>
            <w:r>
              <w:t> </w:t>
            </w:r>
          </w:p>
        </w:tc>
        <w:tc>
          <w:tcPr>
            <w:tcW w:w="900" w:type="dxa"/>
            <w:noWrap/>
          </w:tcPr>
          <w:p w14:paraId="195A8C50" w14:textId="77777777" w:rsidR="00772179" w:rsidRDefault="00000000">
            <w:pPr>
              <w:jc w:val="center"/>
            </w:pPr>
            <w:r>
              <w:t> </w:t>
            </w:r>
          </w:p>
        </w:tc>
        <w:tc>
          <w:tcPr>
            <w:tcW w:w="900" w:type="dxa"/>
            <w:noWrap/>
          </w:tcPr>
          <w:p w14:paraId="41C59694" w14:textId="77777777" w:rsidR="00772179" w:rsidRDefault="00000000">
            <w:pPr>
              <w:jc w:val="center"/>
            </w:pPr>
            <w:r>
              <w:t> </w:t>
            </w:r>
          </w:p>
        </w:tc>
        <w:tc>
          <w:tcPr>
            <w:tcW w:w="900" w:type="dxa"/>
            <w:noWrap/>
          </w:tcPr>
          <w:p w14:paraId="542E8A79" w14:textId="77777777" w:rsidR="00772179" w:rsidRDefault="00000000">
            <w:pPr>
              <w:jc w:val="center"/>
            </w:pPr>
            <w:r>
              <w:t>XXX</w:t>
            </w:r>
          </w:p>
        </w:tc>
      </w:tr>
      <w:tr w:rsidR="00772179" w14:paraId="65FB425D" w14:textId="77777777">
        <w:tc>
          <w:tcPr>
            <w:tcW w:w="900" w:type="dxa"/>
            <w:noWrap/>
          </w:tcPr>
          <w:p w14:paraId="7C84C576" w14:textId="77777777" w:rsidR="00772179" w:rsidRDefault="00000000">
            <w:r>
              <w:t>local vélos</w:t>
            </w:r>
          </w:p>
        </w:tc>
        <w:tc>
          <w:tcPr>
            <w:tcW w:w="900" w:type="dxa"/>
            <w:noWrap/>
          </w:tcPr>
          <w:p w14:paraId="0C984CD0" w14:textId="77777777" w:rsidR="00772179" w:rsidRDefault="00000000">
            <w:r>
              <w:t> </w:t>
            </w:r>
          </w:p>
        </w:tc>
        <w:tc>
          <w:tcPr>
            <w:tcW w:w="900" w:type="dxa"/>
            <w:noWrap/>
          </w:tcPr>
          <w:p w14:paraId="49C76E4D" w14:textId="77777777" w:rsidR="00772179" w:rsidRDefault="00000000">
            <w:pPr>
              <w:jc w:val="center"/>
            </w:pPr>
            <w:r>
              <w:t>XXX</w:t>
            </w:r>
          </w:p>
        </w:tc>
        <w:tc>
          <w:tcPr>
            <w:tcW w:w="900" w:type="dxa"/>
            <w:noWrap/>
          </w:tcPr>
          <w:p w14:paraId="02DF564B" w14:textId="77777777" w:rsidR="00772179" w:rsidRDefault="00000000">
            <w:pPr>
              <w:jc w:val="center"/>
            </w:pPr>
            <w:r>
              <w:t>XXX</w:t>
            </w:r>
          </w:p>
        </w:tc>
        <w:tc>
          <w:tcPr>
            <w:tcW w:w="900" w:type="dxa"/>
            <w:noWrap/>
          </w:tcPr>
          <w:p w14:paraId="4CFE3850" w14:textId="77777777" w:rsidR="00772179" w:rsidRDefault="00000000">
            <w:pPr>
              <w:jc w:val="center"/>
            </w:pPr>
            <w:r>
              <w:t>XXX</w:t>
            </w:r>
          </w:p>
        </w:tc>
        <w:tc>
          <w:tcPr>
            <w:tcW w:w="900" w:type="dxa"/>
            <w:noWrap/>
          </w:tcPr>
          <w:p w14:paraId="4FC33054" w14:textId="77777777" w:rsidR="00772179" w:rsidRDefault="00000000">
            <w:pPr>
              <w:jc w:val="center"/>
            </w:pPr>
            <w:r>
              <w:t>XXX</w:t>
            </w:r>
          </w:p>
        </w:tc>
        <w:tc>
          <w:tcPr>
            <w:tcW w:w="900" w:type="dxa"/>
            <w:noWrap/>
          </w:tcPr>
          <w:p w14:paraId="0E21DA24" w14:textId="77777777" w:rsidR="00772179" w:rsidRDefault="00000000">
            <w:pPr>
              <w:jc w:val="center"/>
            </w:pPr>
            <w:r>
              <w:t> </w:t>
            </w:r>
          </w:p>
        </w:tc>
        <w:tc>
          <w:tcPr>
            <w:tcW w:w="900" w:type="dxa"/>
            <w:noWrap/>
          </w:tcPr>
          <w:p w14:paraId="43BA3F77" w14:textId="77777777" w:rsidR="00772179" w:rsidRDefault="00000000">
            <w:pPr>
              <w:jc w:val="center"/>
            </w:pPr>
            <w:r>
              <w:t> </w:t>
            </w:r>
          </w:p>
        </w:tc>
        <w:tc>
          <w:tcPr>
            <w:tcW w:w="900" w:type="dxa"/>
            <w:noWrap/>
          </w:tcPr>
          <w:p w14:paraId="5B218E66" w14:textId="77777777" w:rsidR="00772179" w:rsidRDefault="00000000">
            <w:pPr>
              <w:jc w:val="center"/>
            </w:pPr>
            <w:r>
              <w:t> </w:t>
            </w:r>
          </w:p>
        </w:tc>
        <w:tc>
          <w:tcPr>
            <w:tcW w:w="900" w:type="dxa"/>
            <w:noWrap/>
          </w:tcPr>
          <w:p w14:paraId="3160B48D" w14:textId="77777777" w:rsidR="00772179" w:rsidRDefault="00000000">
            <w:pPr>
              <w:jc w:val="center"/>
            </w:pPr>
            <w:r>
              <w:t>XXX</w:t>
            </w:r>
          </w:p>
        </w:tc>
      </w:tr>
      <w:tr w:rsidR="00772179" w14:paraId="694A23BE" w14:textId="77777777">
        <w:tc>
          <w:tcPr>
            <w:tcW w:w="900" w:type="dxa"/>
            <w:noWrap/>
          </w:tcPr>
          <w:p w14:paraId="732DCC03" w14:textId="77777777" w:rsidR="00772179" w:rsidRDefault="00000000">
            <w:r>
              <w:t>machinerie d'ascenseur</w:t>
            </w:r>
          </w:p>
        </w:tc>
        <w:tc>
          <w:tcPr>
            <w:tcW w:w="900" w:type="dxa"/>
            <w:noWrap/>
          </w:tcPr>
          <w:p w14:paraId="3EF89450" w14:textId="77777777" w:rsidR="00772179" w:rsidRDefault="00000000">
            <w:r>
              <w:t> </w:t>
            </w:r>
          </w:p>
        </w:tc>
        <w:tc>
          <w:tcPr>
            <w:tcW w:w="900" w:type="dxa"/>
            <w:noWrap/>
          </w:tcPr>
          <w:p w14:paraId="615E9967" w14:textId="77777777" w:rsidR="00772179" w:rsidRDefault="00000000">
            <w:r>
              <w:t> </w:t>
            </w:r>
          </w:p>
        </w:tc>
        <w:tc>
          <w:tcPr>
            <w:tcW w:w="900" w:type="dxa"/>
            <w:noWrap/>
          </w:tcPr>
          <w:p w14:paraId="052FE42E" w14:textId="77777777" w:rsidR="00772179" w:rsidRDefault="00000000">
            <w:r>
              <w:t> </w:t>
            </w:r>
          </w:p>
        </w:tc>
        <w:tc>
          <w:tcPr>
            <w:tcW w:w="900" w:type="dxa"/>
            <w:noWrap/>
          </w:tcPr>
          <w:p w14:paraId="1951716F" w14:textId="77777777" w:rsidR="00772179" w:rsidRDefault="00000000">
            <w:r>
              <w:t> </w:t>
            </w:r>
          </w:p>
        </w:tc>
        <w:tc>
          <w:tcPr>
            <w:tcW w:w="900" w:type="dxa"/>
            <w:noWrap/>
          </w:tcPr>
          <w:p w14:paraId="6479760E" w14:textId="77777777" w:rsidR="00772179" w:rsidRDefault="00000000">
            <w:r>
              <w:t> </w:t>
            </w:r>
          </w:p>
        </w:tc>
        <w:tc>
          <w:tcPr>
            <w:tcW w:w="900" w:type="dxa"/>
            <w:noWrap/>
          </w:tcPr>
          <w:p w14:paraId="22B2E2E9" w14:textId="77777777" w:rsidR="00772179" w:rsidRDefault="00000000">
            <w:r>
              <w:t> </w:t>
            </w:r>
          </w:p>
        </w:tc>
        <w:tc>
          <w:tcPr>
            <w:tcW w:w="900" w:type="dxa"/>
            <w:noWrap/>
          </w:tcPr>
          <w:p w14:paraId="43B7C6BB" w14:textId="77777777" w:rsidR="00772179" w:rsidRDefault="00000000">
            <w:r>
              <w:t> </w:t>
            </w:r>
          </w:p>
        </w:tc>
        <w:tc>
          <w:tcPr>
            <w:tcW w:w="900" w:type="dxa"/>
            <w:noWrap/>
          </w:tcPr>
          <w:p w14:paraId="7C4FD5B6" w14:textId="77777777" w:rsidR="00772179" w:rsidRDefault="00000000">
            <w:r>
              <w:t> </w:t>
            </w:r>
          </w:p>
        </w:tc>
        <w:tc>
          <w:tcPr>
            <w:tcW w:w="900" w:type="dxa"/>
            <w:noWrap/>
          </w:tcPr>
          <w:p w14:paraId="1DC6A8E5" w14:textId="77777777" w:rsidR="00772179" w:rsidRDefault="00000000">
            <w:pPr>
              <w:jc w:val="center"/>
            </w:pPr>
            <w:r>
              <w:t>XXX</w:t>
            </w:r>
          </w:p>
        </w:tc>
      </w:tr>
    </w:tbl>
    <w:p w14:paraId="5C4A25F6" w14:textId="77777777" w:rsidR="00772179" w:rsidRDefault="00000000">
      <w:pPr>
        <w:pStyle w:val="heading"/>
      </w:pPr>
      <w:r>
        <w:t> Principes de base</w:t>
      </w:r>
    </w:p>
    <w:p w14:paraId="239F2476" w14:textId="77777777" w:rsidR="00772179" w:rsidRDefault="00000000">
      <w:pPr>
        <w:pStyle w:val="Author-eListParagraph"/>
        <w:numPr>
          <w:ilvl w:val="0"/>
          <w:numId w:val="689"/>
        </w:numPr>
      </w:pPr>
      <w:r>
        <w:t>Les portes du sas d'entrée, de la cage d'escalier, du local à vélos, du local poubelles et des locaux à compteurs sont ouvertes avec chaque clé d'appartement.</w:t>
      </w:r>
    </w:p>
    <w:p w14:paraId="2B469165" w14:textId="77777777" w:rsidR="00772179" w:rsidRDefault="00000000">
      <w:pPr>
        <w:pStyle w:val="Author-eListParagraph"/>
        <w:numPr>
          <w:ilvl w:val="0"/>
          <w:numId w:val="689"/>
        </w:numPr>
      </w:pPr>
      <w:r>
        <w:t xml:space="preserve">Les locaux techniques, la machinerie d'ascenseur et les caves réservées à </w:t>
      </w:r>
      <w:r>
        <w:rPr>
          <w:rStyle w:val="optioncarChar"/>
        </w:rPr>
        <w:t xml:space="preserve">au service technique / l'administration / la société de logement sociaux </w:t>
      </w:r>
      <w:r>
        <w:t> ne sont ouvertes qu'avec une seule clé qui s'adapte également aux autres serrures, telle qu'une clé d'appartement supplémentaire.</w:t>
      </w:r>
    </w:p>
    <w:p w14:paraId="4D4490F4" w14:textId="77777777" w:rsidR="00772179" w:rsidRDefault="00000000">
      <w:pPr>
        <w:pStyle w:val="pheading"/>
      </w:pPr>
      <w:r>
        <w:t>- Finitions</w:t>
      </w:r>
    </w:p>
    <w:p w14:paraId="5A79C27F" w14:textId="77777777" w:rsidR="00772179" w:rsidRDefault="00000000">
      <w:pPr>
        <w:pStyle w:val="Author-eListParagraph"/>
        <w:numPr>
          <w:ilvl w:val="0"/>
          <w:numId w:val="690"/>
        </w:numPr>
      </w:pPr>
      <w:r>
        <w:t>Type de serrure :</w:t>
      </w:r>
      <w:r>
        <w:rPr>
          <w:rStyle w:val="optioncarChar"/>
        </w:rPr>
        <w:t> cylindre profilé / cylindre de sécurité, fabriqués en laiton nickelé  </w:t>
      </w:r>
    </w:p>
    <w:p w14:paraId="0C276485" w14:textId="77777777" w:rsidR="00772179" w:rsidRDefault="00000000">
      <w:pPr>
        <w:pStyle w:val="Author-eListParagraph"/>
        <w:numPr>
          <w:ilvl w:val="0"/>
          <w:numId w:val="690"/>
        </w:numPr>
      </w:pPr>
      <w:r>
        <w:t>Diamètre du cylindre :</w:t>
      </w:r>
      <w:r>
        <w:rPr>
          <w:rStyle w:val="optioncarChar"/>
        </w:rPr>
        <w:t> 17 / 22 </w:t>
      </w:r>
    </w:p>
    <w:p w14:paraId="5E4808BF" w14:textId="77777777" w:rsidR="00772179" w:rsidRDefault="00000000">
      <w:pPr>
        <w:pStyle w:val="Author-eListParagraph"/>
        <w:numPr>
          <w:ilvl w:val="0"/>
          <w:numId w:val="690"/>
        </w:numPr>
      </w:pPr>
      <w:r>
        <w:t xml:space="preserve">Plaquettes : en </w:t>
      </w:r>
      <w:r>
        <w:rPr>
          <w:rStyle w:val="optioncarChar"/>
        </w:rPr>
        <w:t xml:space="preserve">laiton / inox </w:t>
      </w:r>
      <w:r>
        <w:t> , modèle adapté au modèle de serrure et de porte</w:t>
      </w:r>
    </w:p>
    <w:p w14:paraId="0C847DB4" w14:textId="77777777" w:rsidR="00772179" w:rsidRDefault="00000000">
      <w:pPr>
        <w:pStyle w:val="Author-eListParagraph"/>
        <w:numPr>
          <w:ilvl w:val="0"/>
          <w:numId w:val="690"/>
        </w:numPr>
      </w:pPr>
      <w:r>
        <w:t xml:space="preserve">Nombre de points de fermeture : ≥ </w:t>
      </w:r>
      <w:r>
        <w:rPr>
          <w:rStyle w:val="optioncarChar"/>
        </w:rPr>
        <w:t xml:space="preserve">3 / 4 / 5 / adapté au modèle de serrure et de porte </w:t>
      </w:r>
    </w:p>
    <w:p w14:paraId="51D70E99" w14:textId="77777777" w:rsidR="00772179" w:rsidRDefault="00000000">
      <w:pPr>
        <w:pStyle w:val="pheading"/>
      </w:pPr>
      <w:r>
        <w:t>- Prescriptions complémentaires</w:t>
      </w:r>
    </w:p>
    <w:p w14:paraId="4257E3DD" w14:textId="77777777" w:rsidR="00772179" w:rsidRDefault="00000000">
      <w:r>
        <w:t xml:space="preserve">Les locaux suivants sont uniquement accessibles avec une clé de l'extérieur : </w:t>
      </w:r>
      <w:r>
        <w:rPr>
          <w:rStyle w:val="optioncarChar"/>
        </w:rPr>
        <w:t>***</w:t>
      </w:r>
    </w:p>
    <w:p w14:paraId="40CD7EC9" w14:textId="77777777" w:rsidR="00772179" w:rsidRDefault="00000000">
      <w:r>
        <w:t xml:space="preserve">Les portes suivantes sont équipées de : </w:t>
      </w:r>
      <w:r>
        <w:rPr>
          <w:rStyle w:val="optioncarChar"/>
        </w:rPr>
        <w:t>une serrure de sécurité lourdement blindée</w:t>
      </w:r>
      <w:r>
        <w:t xml:space="preserve"> (par défaut) </w:t>
      </w:r>
      <w:r>
        <w:rPr>
          <w:rStyle w:val="optioncarChar"/>
        </w:rPr>
        <w:t>/ une serrure de porte coulissante / une serrure électromagnétique / une serrure pour porte vitrée / serrure antipanique adaptée</w:t>
      </w:r>
      <w:r>
        <w:br/>
      </w:r>
      <w:r>
        <w:rPr>
          <w:b/>
        </w:rPr>
        <w:t>(soit par défaut)</w:t>
      </w:r>
      <w:r>
        <w:t xml:space="preserve"> : </w:t>
      </w:r>
      <w:r>
        <w:rPr>
          <w:rStyle w:val="optioncarChar"/>
          <w:u w:val="single"/>
        </w:rPr>
        <w:t>une serrure de sécurité lourdement blindée</w:t>
      </w:r>
      <w:r>
        <w:rPr>
          <w:rStyle w:val="optioncarChar"/>
        </w:rPr>
        <w:t>. Le pêne dormant résiste au sciage. Le pêne de jour est verrouillé en position fermée. Une plaque épaisse en acier au manganèse ≥ 1,5 mm d'épaisseur est fixée sur la serrure avant que cette dernière et la plaque de protection soient posées dans la porte.</w:t>
      </w:r>
      <w:r>
        <w:br/>
      </w:r>
      <w:r>
        <w:rPr>
          <w:b/>
        </w:rPr>
        <w:t>(soit)</w:t>
      </w:r>
      <w:r>
        <w:t xml:space="preserve"> : </w:t>
      </w:r>
      <w:r>
        <w:rPr>
          <w:rStyle w:val="soitChar"/>
          <w:u w:val="single"/>
        </w:rPr>
        <w:t>une serrure de porte coulissante</w:t>
      </w:r>
      <w:r>
        <w:rPr>
          <w:rStyle w:val="soitChar"/>
        </w:rPr>
        <w:t xml:space="preserve"> en </w:t>
      </w:r>
      <w:r>
        <w:rPr>
          <w:rStyle w:val="optioncarChar"/>
        </w:rPr>
        <w:t>inox / laiton / ***</w:t>
      </w:r>
      <w:r>
        <w:t> </w:t>
      </w:r>
      <w:r>
        <w:rPr>
          <w:rStyle w:val="soitChar"/>
        </w:rPr>
        <w:t>: avec aiguille, fouillot à palier et pêne à crochet.</w:t>
      </w:r>
      <w:r>
        <w:br/>
      </w:r>
      <w:r>
        <w:rPr>
          <w:b/>
        </w:rPr>
        <w:lastRenderedPageBreak/>
        <w:t>(soit) </w:t>
      </w:r>
      <w:r>
        <w:t>: </w:t>
      </w:r>
      <w:r>
        <w:rPr>
          <w:rStyle w:val="soitChar"/>
          <w:u w:val="single"/>
        </w:rPr>
        <w:t>une serrure électromagnétique</w:t>
      </w:r>
      <w:r>
        <w:rPr>
          <w:rStyle w:val="soitChar"/>
        </w:rPr>
        <w:t xml:space="preserve"> (standard pour une installation avec parlophone).</w:t>
      </w:r>
      <w:r>
        <w:br/>
      </w:r>
      <w:r>
        <w:rPr>
          <w:b/>
        </w:rPr>
        <w:t>(soit)</w:t>
      </w:r>
      <w:r>
        <w:t xml:space="preserve"> : </w:t>
      </w:r>
      <w:r>
        <w:rPr>
          <w:rStyle w:val="soitChar"/>
          <w:u w:val="single"/>
        </w:rPr>
        <w:t>une serrure pour porte vitrée</w:t>
      </w:r>
      <w:r>
        <w:rPr>
          <w:rStyle w:val="soitChar"/>
        </w:rPr>
        <w:t>, avec boîtier de serrure en métal léger et un pêne dormant renforcé avec une goupille en métal. Avec les joints nécessaires en caoutchouc. Pour les portes à double battant : boîtier de fermeture dans le même matériau et de dimensions identiques au boîtier de serrure.</w:t>
      </w:r>
      <w:r>
        <w:br/>
      </w:r>
      <w:r>
        <w:rPr>
          <w:b/>
        </w:rPr>
        <w:t>(soit)</w:t>
      </w:r>
      <w:r>
        <w:t xml:space="preserve"> : </w:t>
      </w:r>
      <w:r>
        <w:rPr>
          <w:rStyle w:val="soitChar"/>
          <w:u w:val="single"/>
        </w:rPr>
        <w:t>serrure antipanique adaptée</w:t>
      </w:r>
      <w:r>
        <w:rPr>
          <w:rStyle w:val="soitChar"/>
        </w:rPr>
        <w:t xml:space="preserve"> : à prévoir pour les sorties de secours et autres portes qui sont utilisées comme issues de secours. Des tringles verticales sont fixées sur les portes qui les verrouillent comme une espagnolette. Des barres horizontales sont appliquées qui, lorsqu'elles sont actionnées vers la bas, déverrouillent les portes. Les barres horizontales sont adaptées à la largeur de la porte. Toutes les barres sont fabriquées en acier et seront galvanisées. Les consoles sont en acier traité contre la corrosion. Lorsque les portes servent également d'entrée, une serrure à cylindre est appliquée à l'extérieur. Un bouton verrouillable sur le boîtier de la serrure permet d'actionner ou non les barres à l'intérieur.</w:t>
      </w:r>
    </w:p>
    <w:p w14:paraId="2685B545" w14:textId="77777777" w:rsidR="00772179" w:rsidRDefault="00000000">
      <w:pPr>
        <w:pStyle w:val="pheading"/>
      </w:pPr>
      <w:r>
        <w:t>EXÉCUTION / MISE EN ŒUVRE</w:t>
      </w:r>
    </w:p>
    <w:p w14:paraId="7287E025" w14:textId="77777777" w:rsidR="00772179" w:rsidRDefault="00000000">
      <w:pPr>
        <w:pStyle w:val="pheading"/>
      </w:pPr>
      <w:r>
        <w:t>- Prescriptions générales</w:t>
      </w:r>
    </w:p>
    <w:p w14:paraId="61AEE19A" w14:textId="77777777" w:rsidR="00772179" w:rsidRDefault="00000000">
      <w:pPr>
        <w:pStyle w:val="Author-eListParagraph"/>
        <w:numPr>
          <w:ilvl w:val="0"/>
          <w:numId w:val="691"/>
        </w:numPr>
      </w:pPr>
      <w:r>
        <w:t xml:space="preserve">Les serrures à cylindre sont placées à ≤ </w:t>
      </w:r>
      <w:r>
        <w:rPr>
          <w:rStyle w:val="optioncarChar"/>
        </w:rPr>
        <w:t xml:space="preserve">105 </w:t>
      </w:r>
      <w:r>
        <w:t>(par défaut)</w:t>
      </w:r>
      <w:r>
        <w:rPr>
          <w:rStyle w:val="optioncarChar"/>
        </w:rPr>
        <w:t xml:space="preserve"> / ***</w:t>
      </w:r>
      <w:r>
        <w:t> cm au-dessus du niveau du sol.</w:t>
      </w:r>
    </w:p>
    <w:p w14:paraId="0D11BC05" w14:textId="77777777" w:rsidR="00772179" w:rsidRDefault="00000000">
      <w:pPr>
        <w:pStyle w:val="Author-eListParagraph"/>
        <w:numPr>
          <w:ilvl w:val="0"/>
          <w:numId w:val="691"/>
        </w:numPr>
      </w:pPr>
      <w:r>
        <w:t>Le montage des serrures dans les profilés des portes extérieures se fait de manière à les protéger contre l'effraction. Les cylindres ne dépassent pas de plus de 2 mm par rapport au plan du vantail afin d'empêcher qu'ils puissent être enlevés. Lorsque ce débordement est &gt; 2 mm , une rosette de sécurité est fixée au travers de la feuille de porte.</w:t>
      </w:r>
    </w:p>
    <w:p w14:paraId="7C66D4F1" w14:textId="77777777" w:rsidR="00772179" w:rsidRDefault="00000000">
      <w:pPr>
        <w:pStyle w:val="pheading"/>
      </w:pPr>
      <w:r>
        <w:t>CONTRÔLES PARTICULIERS</w:t>
      </w:r>
    </w:p>
    <w:p w14:paraId="10042C8C" w14:textId="77777777" w:rsidR="00772179" w:rsidRDefault="00000000">
      <w:r>
        <w:t>Après leur pose, les serrures fonctionnent facilement sans problème. Le pêne de jour tombe toujours facilement dans la fermeture sans devoir actionner la poignée. En position fermée, il n'y a aucun jeu sur le pêne de jour.</w:t>
      </w:r>
    </w:p>
    <w:p w14:paraId="0B2DA83E" w14:textId="77777777" w:rsidR="00772179" w:rsidRDefault="00000000">
      <w:pPr>
        <w:pStyle w:val="pheading"/>
      </w:pPr>
      <w:r>
        <w:t>MESURAGE</w:t>
      </w:r>
    </w:p>
    <w:p w14:paraId="719BFA88" w14:textId="77777777" w:rsidR="00772179" w:rsidRDefault="00000000">
      <w:pPr>
        <w:pStyle w:val="pheading"/>
      </w:pPr>
      <w:r>
        <w:t>- unité de mesure:</w:t>
      </w:r>
    </w:p>
    <w:p w14:paraId="07E73376" w14:textId="77777777" w:rsidR="00772179" w:rsidRDefault="00000000">
      <w:r>
        <w:t>- (par défaut)</w:t>
      </w:r>
      <w:r>
        <w:rPr>
          <w:rStyle w:val="optioncarChar"/>
        </w:rPr>
        <w:t> / pc</w:t>
      </w:r>
    </w:p>
    <w:p w14:paraId="4BADF9AD" w14:textId="77777777" w:rsidR="00772179" w:rsidRDefault="00000000">
      <w:r>
        <w:rPr>
          <w:b/>
        </w:rPr>
        <w:t>(soit par défaut)</w:t>
      </w:r>
    </w:p>
    <w:p w14:paraId="6C504A72" w14:textId="77777777" w:rsidR="00772179" w:rsidRDefault="00000000">
      <w:r>
        <w:rPr>
          <w:rStyle w:val="soitChar"/>
        </w:rPr>
        <w:t>1. -</w:t>
      </w:r>
    </w:p>
    <w:p w14:paraId="5F44E721" w14:textId="77777777" w:rsidR="00772179" w:rsidRDefault="00000000">
      <w:r>
        <w:rPr>
          <w:b/>
        </w:rPr>
        <w:t>(soit)</w:t>
      </w:r>
    </w:p>
    <w:p w14:paraId="7163D698" w14:textId="77777777" w:rsidR="00772179" w:rsidRDefault="00000000">
      <w:r>
        <w:rPr>
          <w:rStyle w:val="soitChar"/>
        </w:rPr>
        <w:t>2. pc</w:t>
      </w:r>
    </w:p>
    <w:p w14:paraId="1E2C7DDB" w14:textId="77777777" w:rsidR="00772179" w:rsidRDefault="00000000">
      <w:pPr>
        <w:pStyle w:val="pheading"/>
      </w:pPr>
      <w:r>
        <w:t>- code de mesurage:</w:t>
      </w:r>
    </w:p>
    <w:p w14:paraId="2BE4FF1F" w14:textId="77777777" w:rsidR="00772179" w:rsidRDefault="00000000">
      <w:r>
        <w:rPr>
          <w:rStyle w:val="optioncarChar"/>
        </w:rPr>
        <w:t>compris </w:t>
      </w:r>
      <w:r>
        <w:t>(par défaut)</w:t>
      </w:r>
      <w:r>
        <w:rPr>
          <w:rStyle w:val="optioncarChar"/>
        </w:rPr>
        <w:t> / postes séparés</w:t>
      </w:r>
    </w:p>
    <w:p w14:paraId="0B1C0375" w14:textId="77777777" w:rsidR="00772179" w:rsidRDefault="00000000">
      <w:r>
        <w:rPr>
          <w:b/>
        </w:rPr>
        <w:t>(soit par défaut)</w:t>
      </w:r>
      <w:r>
        <w:t> : </w:t>
      </w:r>
      <w:r>
        <w:rPr>
          <w:rStyle w:val="soitChar"/>
        </w:rPr>
        <w:t>Sauf indications spécifique contraire dans le cahier spécial des charges et./ou le métré récapitulatif, le prix de toute la quincaillerie est </w:t>
      </w:r>
      <w:r>
        <w:rPr>
          <w:rStyle w:val="soitChar"/>
          <w:u w:val="single"/>
        </w:rPr>
        <w:t>compris</w:t>
      </w:r>
      <w:r>
        <w:rPr>
          <w:rStyle w:val="soitChar"/>
        </w:rPr>
        <w:t> dans le prix unitaire de la menuiserie extérieure (profilés ).</w:t>
      </w:r>
      <w:r>
        <w:br/>
      </w:r>
      <w:r>
        <w:rPr>
          <w:b/>
        </w:rPr>
        <w:t>(soit)</w:t>
      </w:r>
      <w:r>
        <w:t> : </w:t>
      </w:r>
      <w:r>
        <w:rPr>
          <w:rStyle w:val="soitChar"/>
        </w:rPr>
        <w:t>Exceptionnellement et moyennant mention expresse dans le cahier spécial des charges et le métré récapitulatif, la quincaillerie spéciale peut être reprise comme </w:t>
      </w:r>
      <w:r>
        <w:rPr>
          <w:rStyle w:val="soitChar"/>
          <w:u w:val="single"/>
        </w:rPr>
        <w:t>postes séparés</w:t>
      </w:r>
      <w:r>
        <w:rPr>
          <w:rStyle w:val="soitChar"/>
        </w:rPr>
        <w:t> (par ex. ferme-porte / barre antipanique / serrures électriques / ...).</w:t>
      </w:r>
    </w:p>
    <w:p w14:paraId="4CBD6603" w14:textId="77777777" w:rsidR="00772179" w:rsidRDefault="00000000">
      <w:pPr>
        <w:pStyle w:val="pheading"/>
      </w:pPr>
      <w:r>
        <w:t>- nature du marché:</w:t>
      </w:r>
    </w:p>
    <w:p w14:paraId="18FF5802" w14:textId="77777777" w:rsidR="00772179" w:rsidRDefault="00000000">
      <w:r>
        <w:rPr>
          <w:rStyle w:val="optioncarChar"/>
        </w:rPr>
        <w:t>PM </w:t>
      </w:r>
      <w:r>
        <w:t>(par défaut)</w:t>
      </w:r>
      <w:r>
        <w:rPr>
          <w:rStyle w:val="optioncarChar"/>
        </w:rPr>
        <w:t> / QF</w:t>
      </w:r>
    </w:p>
    <w:p w14:paraId="16E0132E" w14:textId="77777777" w:rsidR="00772179" w:rsidRDefault="00000000">
      <w:r>
        <w:rPr>
          <w:b/>
        </w:rPr>
        <w:t>(soit par défaut)</w:t>
      </w:r>
    </w:p>
    <w:p w14:paraId="2D4C8602" w14:textId="77777777" w:rsidR="00772179" w:rsidRDefault="00000000">
      <w:r>
        <w:rPr>
          <w:rStyle w:val="soitChar"/>
        </w:rPr>
        <w:t>1. PM</w:t>
      </w:r>
    </w:p>
    <w:p w14:paraId="6BBDBA57" w14:textId="77777777" w:rsidR="00772179" w:rsidRDefault="00000000">
      <w:r>
        <w:rPr>
          <w:b/>
        </w:rPr>
        <w:t>(soit)</w:t>
      </w:r>
    </w:p>
    <w:p w14:paraId="68A27D9C" w14:textId="77777777" w:rsidR="00772179" w:rsidRDefault="00000000">
      <w:r>
        <w:rPr>
          <w:rStyle w:val="soitChar"/>
        </w:rPr>
        <w:t>2. QF</w:t>
      </w:r>
    </w:p>
    <w:p w14:paraId="3CB9B9FD" w14:textId="77777777" w:rsidR="00772179" w:rsidRDefault="00000000">
      <w:pPr>
        <w:pStyle w:val="pheading"/>
      </w:pPr>
      <w:r>
        <w:lastRenderedPageBreak/>
        <w:t>AIDE</w:t>
      </w:r>
    </w:p>
    <w:p w14:paraId="3C210377" w14:textId="77777777" w:rsidR="00772179" w:rsidRDefault="00000000">
      <w:r>
        <w:rPr>
          <w:i/>
          <w:u w:val="single"/>
        </w:rPr>
        <w:t>Note à l'attention de l'auteur de projet</w:t>
      </w:r>
      <w:r>
        <w:br/>
        <w:t>Il est préférable que les portes de jardin et de terrasses puissent uniquement être verrouillées de l'intérieur. Les locaux techniques et les remises à vélos se ferment en principe uniquement de l'extérieur.</w:t>
      </w:r>
    </w:p>
    <w:p w14:paraId="598EBCED" w14:textId="77777777" w:rsidR="00772179" w:rsidRDefault="00000000">
      <w:pPr>
        <w:pStyle w:val="Author-eListParagraph"/>
        <w:numPr>
          <w:ilvl w:val="0"/>
          <w:numId w:val="692"/>
        </w:numPr>
      </w:pPr>
      <w:r>
        <w:t>En concertation avec l'administration, les clés sontnt s'adaptées dans le plan de fermeture général (voir annexe). Les combinaisons de clés demandées sont soumises pour approbation au plus tard trois mois avant la réception.</w:t>
      </w:r>
    </w:p>
    <w:p w14:paraId="53F2C1FD" w14:textId="77777777" w:rsidR="00772179" w:rsidRDefault="00000000">
      <w:pPr>
        <w:pStyle w:val="Author-eListParagraph"/>
        <w:numPr>
          <w:ilvl w:val="0"/>
          <w:numId w:val="692"/>
        </w:numPr>
      </w:pPr>
      <w:r>
        <w:t>Certificats : les clés sont livrées avec un certificat de propriété et un certificat permettant de refaire des clés supplémentaires. Le fabricant envoit ces certificats directement au maître de l'ouvrage par envoi recommandé.</w:t>
      </w:r>
    </w:p>
    <w:p w14:paraId="2308E459" w14:textId="77777777" w:rsidR="00772179" w:rsidRDefault="00000000">
      <w:pPr>
        <w:pStyle w:val="Author-eListParagraph"/>
        <w:numPr>
          <w:ilvl w:val="0"/>
          <w:numId w:val="692"/>
        </w:numPr>
      </w:pPr>
      <w:r>
        <w:t>Serrure à cylindre à entailler avec fonction anti-panique, l'intérieur de la serrure pouvant toujours être actionné à l'aide d'une demi-poignée qui ouvre aussi automatiquement le pêne dormant.</w:t>
      </w:r>
    </w:p>
    <w:p w14:paraId="272CF137" w14:textId="77777777" w:rsidR="00772179" w:rsidRDefault="00000000">
      <w:pPr>
        <w:pStyle w:val="Author-eSectionHeading5Numberless"/>
      </w:pPr>
      <w:bookmarkStart w:id="342" w:name="_Toc220490071"/>
      <w:r>
        <w:t>41.72.3 Poignées CCTB 01.11</w:t>
      </w:r>
      <w:bookmarkEnd w:id="342"/>
    </w:p>
    <w:p w14:paraId="022E9E61" w14:textId="77777777" w:rsidR="00772179" w:rsidRDefault="00000000">
      <w:pPr>
        <w:pStyle w:val="pheading"/>
      </w:pPr>
      <w:bookmarkStart w:id="343" w:name="886"/>
      <w:bookmarkEnd w:id="343"/>
      <w:r>
        <w:t>MATÉRIAUX</w:t>
      </w:r>
    </w:p>
    <w:p w14:paraId="517EA915" w14:textId="77777777" w:rsidR="00772179" w:rsidRDefault="00000000">
      <w:r>
        <w:t>PERFORMANCES</w:t>
      </w:r>
    </w:p>
    <w:p w14:paraId="03296D2A" w14:textId="77777777" w:rsidR="00772179" w:rsidRDefault="00000000">
      <w:r>
        <w:t>Efforts de manœuvre</w:t>
      </w:r>
    </w:p>
    <w:p w14:paraId="674DA944" w14:textId="77777777" w:rsidR="00772179" w:rsidRDefault="00000000">
      <w:r>
        <w:rPr>
          <w:u w:val="single"/>
        </w:rPr>
        <w:t>Poignées de portes</w:t>
      </w:r>
      <w:r>
        <w:t>   </w:t>
      </w:r>
    </w:p>
    <w:p w14:paraId="29637AB6" w14:textId="77777777" w:rsidR="00772179" w:rsidRDefault="00000000">
      <w:r>
        <w:t>La classification des forces et couples de manœuvre des portes, ainsi que de leur quincaillerie, est définie dans la norme [NBN EN 12217] (voir Tableau X). Comme l'indique la [STS 53.1], la Classe 2 est celle que l'on prend lorsque le cahier spécial des charges ne prescrit pas de classe spécifique. Les Classes 3 et 4 sont donc recommandées pour une utilisation notamment par des personnes à mobilité réduite (PMR). </w:t>
      </w:r>
    </w:p>
    <w:p w14:paraId="68675CE6" w14:textId="77777777" w:rsidR="00772179" w:rsidRDefault="00000000">
      <w:r>
        <w:t>Tableau X – Classification des forces et couples de manœuvre selon la norme [NBN EN 12217]   </w:t>
      </w:r>
    </w:p>
    <w:tbl>
      <w:tblPr>
        <w:tblStyle w:val="Author-eTableGrid"/>
        <w:tblW w:w="0" w:type="auto"/>
        <w:tblLayout w:type="fixed"/>
        <w:tblLook w:val="04A0" w:firstRow="1" w:lastRow="0" w:firstColumn="1" w:lastColumn="0" w:noHBand="0" w:noVBand="1"/>
      </w:tblPr>
      <w:tblGrid>
        <w:gridCol w:w="1800"/>
        <w:gridCol w:w="1800"/>
        <w:gridCol w:w="1800"/>
        <w:gridCol w:w="1800"/>
        <w:gridCol w:w="1800"/>
      </w:tblGrid>
      <w:tr w:rsidR="00772179" w14:paraId="2F4F9788" w14:textId="77777777">
        <w:trPr>
          <w:trHeight w:val="150"/>
        </w:trPr>
        <w:tc>
          <w:tcPr>
            <w:tcW w:w="1800" w:type="dxa"/>
            <w:shd w:val="clear" w:color="auto" w:fill="C0C0C0"/>
            <w:noWrap/>
          </w:tcPr>
          <w:p w14:paraId="6063DA04" w14:textId="77777777" w:rsidR="00772179" w:rsidRDefault="00000000">
            <w:r>
              <w:rPr>
                <w:shd w:val="clear" w:color="auto" w:fill="C0C0C0"/>
              </w:rPr>
              <w:t> </w:t>
            </w:r>
            <w:r>
              <w:rPr>
                <w:b/>
                <w:shd w:val="clear" w:color="auto" w:fill="C0C0C0"/>
              </w:rPr>
              <w:t>Résistance à :</w:t>
            </w:r>
            <w:r>
              <w:rPr>
                <w:shd w:val="clear" w:color="auto" w:fill="C0C0C0"/>
              </w:rPr>
              <w:t>          </w:t>
            </w:r>
          </w:p>
        </w:tc>
        <w:tc>
          <w:tcPr>
            <w:tcW w:w="1800" w:type="dxa"/>
            <w:shd w:val="clear" w:color="auto" w:fill="C0C0C0"/>
            <w:noWrap/>
          </w:tcPr>
          <w:p w14:paraId="71AFABF5" w14:textId="77777777" w:rsidR="00772179" w:rsidRDefault="00000000">
            <w:r>
              <w:rPr>
                <w:b/>
                <w:shd w:val="clear" w:color="auto" w:fill="C0C0C0"/>
              </w:rPr>
              <w:t>Classe 1</w:t>
            </w:r>
          </w:p>
        </w:tc>
        <w:tc>
          <w:tcPr>
            <w:tcW w:w="1800" w:type="dxa"/>
            <w:shd w:val="clear" w:color="auto" w:fill="C0C0C0"/>
            <w:noWrap/>
          </w:tcPr>
          <w:p w14:paraId="7B64D468" w14:textId="77777777" w:rsidR="00772179" w:rsidRDefault="00000000">
            <w:pPr>
              <w:jc w:val="center"/>
            </w:pPr>
            <w:r>
              <w:rPr>
                <w:b/>
                <w:shd w:val="clear" w:color="auto" w:fill="C0C0C0"/>
              </w:rPr>
              <w:t>Classe 2</w:t>
            </w:r>
          </w:p>
        </w:tc>
        <w:tc>
          <w:tcPr>
            <w:tcW w:w="1800" w:type="dxa"/>
            <w:shd w:val="clear" w:color="auto" w:fill="C0C0C0"/>
            <w:noWrap/>
          </w:tcPr>
          <w:p w14:paraId="6635841A" w14:textId="77777777" w:rsidR="00772179" w:rsidRDefault="00000000">
            <w:pPr>
              <w:jc w:val="center"/>
            </w:pPr>
            <w:r>
              <w:rPr>
                <w:b/>
                <w:shd w:val="clear" w:color="auto" w:fill="C0C0C0"/>
              </w:rPr>
              <w:t>Classe 3</w:t>
            </w:r>
          </w:p>
        </w:tc>
        <w:tc>
          <w:tcPr>
            <w:tcW w:w="1800" w:type="dxa"/>
            <w:shd w:val="clear" w:color="auto" w:fill="C0C0C0"/>
            <w:noWrap/>
          </w:tcPr>
          <w:p w14:paraId="2E19D00F" w14:textId="77777777" w:rsidR="00772179" w:rsidRDefault="00000000">
            <w:pPr>
              <w:jc w:val="center"/>
            </w:pPr>
            <w:r>
              <w:rPr>
                <w:b/>
                <w:shd w:val="clear" w:color="auto" w:fill="C0C0C0"/>
              </w:rPr>
              <w:t>Classe 4</w:t>
            </w:r>
          </w:p>
        </w:tc>
      </w:tr>
      <w:tr w:rsidR="00772179" w14:paraId="746211E3" w14:textId="77777777">
        <w:tc>
          <w:tcPr>
            <w:tcW w:w="9000" w:type="dxa"/>
            <w:gridSpan w:val="5"/>
            <w:noWrap/>
          </w:tcPr>
          <w:p w14:paraId="1B750C35" w14:textId="77777777" w:rsidR="00772179" w:rsidRDefault="00000000">
            <w:r>
              <w:t>Portes</w:t>
            </w:r>
          </w:p>
        </w:tc>
      </w:tr>
      <w:tr w:rsidR="00772179" w14:paraId="32A6D544" w14:textId="77777777">
        <w:tc>
          <w:tcPr>
            <w:tcW w:w="1800" w:type="dxa"/>
            <w:noWrap/>
          </w:tcPr>
          <w:p w14:paraId="715519FD" w14:textId="77777777" w:rsidR="00772179" w:rsidRDefault="00000000">
            <w:r>
              <w:t>Force de fermeture ou force destinée à initier le mouvement, valeur maximale, (N)</w:t>
            </w:r>
          </w:p>
        </w:tc>
        <w:tc>
          <w:tcPr>
            <w:tcW w:w="1800" w:type="dxa"/>
            <w:noWrap/>
          </w:tcPr>
          <w:p w14:paraId="68D2E7BC" w14:textId="77777777" w:rsidR="00772179" w:rsidRDefault="00000000">
            <w:pPr>
              <w:jc w:val="center"/>
            </w:pPr>
            <w:r>
              <w:t>75</w:t>
            </w:r>
          </w:p>
        </w:tc>
        <w:tc>
          <w:tcPr>
            <w:tcW w:w="1800" w:type="dxa"/>
            <w:noWrap/>
          </w:tcPr>
          <w:p w14:paraId="7E10F5A1" w14:textId="77777777" w:rsidR="00772179" w:rsidRDefault="00000000">
            <w:pPr>
              <w:jc w:val="center"/>
            </w:pPr>
            <w:r>
              <w:t>50</w:t>
            </w:r>
          </w:p>
        </w:tc>
        <w:tc>
          <w:tcPr>
            <w:tcW w:w="1800" w:type="dxa"/>
            <w:noWrap/>
          </w:tcPr>
          <w:p w14:paraId="6BAC15A0" w14:textId="77777777" w:rsidR="00772179" w:rsidRDefault="00000000">
            <w:pPr>
              <w:jc w:val="center"/>
            </w:pPr>
            <w:r>
              <w:t>25</w:t>
            </w:r>
          </w:p>
        </w:tc>
        <w:tc>
          <w:tcPr>
            <w:tcW w:w="1800" w:type="dxa"/>
            <w:noWrap/>
          </w:tcPr>
          <w:p w14:paraId="43C689F2" w14:textId="77777777" w:rsidR="00772179" w:rsidRDefault="00000000">
            <w:pPr>
              <w:jc w:val="center"/>
            </w:pPr>
            <w:r>
              <w:t>10</w:t>
            </w:r>
          </w:p>
        </w:tc>
      </w:tr>
      <w:tr w:rsidR="00772179" w14:paraId="39C19F17" w14:textId="77777777">
        <w:tc>
          <w:tcPr>
            <w:tcW w:w="9000" w:type="dxa"/>
            <w:gridSpan w:val="5"/>
            <w:noWrap/>
          </w:tcPr>
          <w:p w14:paraId="45506F10" w14:textId="77777777" w:rsidR="00772179" w:rsidRDefault="00000000">
            <w:r>
              <w:t>Quincaillerie manœuvrée à la main</w:t>
            </w:r>
          </w:p>
        </w:tc>
      </w:tr>
      <w:tr w:rsidR="00772179" w14:paraId="2B19A432" w14:textId="77777777">
        <w:tc>
          <w:tcPr>
            <w:tcW w:w="1800" w:type="dxa"/>
            <w:noWrap/>
          </w:tcPr>
          <w:p w14:paraId="54010CDF" w14:textId="77777777" w:rsidR="00772179" w:rsidRDefault="00000000">
            <w:r>
              <w:t>Force maximale, (N)Couple maximal, (Nm)</w:t>
            </w:r>
          </w:p>
        </w:tc>
        <w:tc>
          <w:tcPr>
            <w:tcW w:w="1800" w:type="dxa"/>
            <w:noWrap/>
          </w:tcPr>
          <w:p w14:paraId="4757A6D8" w14:textId="77777777" w:rsidR="00772179" w:rsidRDefault="00000000">
            <w:pPr>
              <w:jc w:val="center"/>
            </w:pPr>
            <w:r>
              <w:t>10010</w:t>
            </w:r>
          </w:p>
        </w:tc>
        <w:tc>
          <w:tcPr>
            <w:tcW w:w="1800" w:type="dxa"/>
            <w:noWrap/>
          </w:tcPr>
          <w:p w14:paraId="08A89286" w14:textId="77777777" w:rsidR="00772179" w:rsidRDefault="00000000">
            <w:pPr>
              <w:jc w:val="center"/>
            </w:pPr>
            <w:r>
              <w:t>505</w:t>
            </w:r>
          </w:p>
        </w:tc>
        <w:tc>
          <w:tcPr>
            <w:tcW w:w="1800" w:type="dxa"/>
            <w:noWrap/>
          </w:tcPr>
          <w:p w14:paraId="4609E14A" w14:textId="77777777" w:rsidR="00772179" w:rsidRDefault="00000000">
            <w:pPr>
              <w:jc w:val="center"/>
            </w:pPr>
            <w:r>
              <w:t>252.5</w:t>
            </w:r>
          </w:p>
        </w:tc>
        <w:tc>
          <w:tcPr>
            <w:tcW w:w="1800" w:type="dxa"/>
            <w:noWrap/>
          </w:tcPr>
          <w:p w14:paraId="0414C015" w14:textId="77777777" w:rsidR="00772179" w:rsidRDefault="00000000">
            <w:pPr>
              <w:jc w:val="center"/>
            </w:pPr>
            <w:r>
              <w:t>101</w:t>
            </w:r>
          </w:p>
        </w:tc>
      </w:tr>
      <w:tr w:rsidR="00772179" w14:paraId="15D0E9E5" w14:textId="77777777">
        <w:tc>
          <w:tcPr>
            <w:tcW w:w="9000" w:type="dxa"/>
            <w:gridSpan w:val="5"/>
            <w:noWrap/>
          </w:tcPr>
          <w:p w14:paraId="11BCDF58" w14:textId="77777777" w:rsidR="00772179" w:rsidRDefault="00000000">
            <w:r>
              <w:t>Quincaillerie manœuvrée avec le doigt</w:t>
            </w:r>
          </w:p>
        </w:tc>
      </w:tr>
      <w:tr w:rsidR="00772179" w14:paraId="376AB07C" w14:textId="77777777">
        <w:tc>
          <w:tcPr>
            <w:tcW w:w="1800" w:type="dxa"/>
            <w:noWrap/>
          </w:tcPr>
          <w:p w14:paraId="0AA9AF24" w14:textId="77777777" w:rsidR="00772179" w:rsidRDefault="00000000">
            <w:r>
              <w:t>Force maximale, (N)Couple maximal, (Nm)</w:t>
            </w:r>
          </w:p>
        </w:tc>
        <w:tc>
          <w:tcPr>
            <w:tcW w:w="1800" w:type="dxa"/>
            <w:noWrap/>
          </w:tcPr>
          <w:p w14:paraId="2AB0AD5B" w14:textId="77777777" w:rsidR="00772179" w:rsidRDefault="00000000">
            <w:r>
              <w:t>205</w:t>
            </w:r>
          </w:p>
        </w:tc>
        <w:tc>
          <w:tcPr>
            <w:tcW w:w="1800" w:type="dxa"/>
            <w:noWrap/>
          </w:tcPr>
          <w:p w14:paraId="56F73527" w14:textId="77777777" w:rsidR="00772179" w:rsidRDefault="00000000">
            <w:pPr>
              <w:jc w:val="center"/>
            </w:pPr>
            <w:r>
              <w:t>102.5</w:t>
            </w:r>
          </w:p>
        </w:tc>
        <w:tc>
          <w:tcPr>
            <w:tcW w:w="1800" w:type="dxa"/>
            <w:noWrap/>
          </w:tcPr>
          <w:p w14:paraId="64BF02BD" w14:textId="77777777" w:rsidR="00772179" w:rsidRDefault="00000000">
            <w:pPr>
              <w:jc w:val="center"/>
            </w:pPr>
            <w:r>
              <w:t>61.5</w:t>
            </w:r>
          </w:p>
        </w:tc>
        <w:tc>
          <w:tcPr>
            <w:tcW w:w="1800" w:type="dxa"/>
            <w:noWrap/>
          </w:tcPr>
          <w:p w14:paraId="0ED90A3E" w14:textId="77777777" w:rsidR="00772179" w:rsidRDefault="00000000">
            <w:r>
              <w:t>41</w:t>
            </w:r>
          </w:p>
        </w:tc>
      </w:tr>
    </w:tbl>
    <w:p w14:paraId="13015539" w14:textId="77777777" w:rsidR="00772179" w:rsidRDefault="00000000">
      <w:r>
        <w:t xml:space="preserve"> Les poignées de portes sont de : </w:t>
      </w:r>
      <w:r>
        <w:rPr>
          <w:rStyle w:val="optioncarChar"/>
        </w:rPr>
        <w:t>Classe 1 / Classe 2 / Classe 3 (PMR) / Classe 4 (PMR)</w:t>
      </w:r>
      <w:r>
        <w:t>. </w:t>
      </w:r>
    </w:p>
    <w:p w14:paraId="352F2CD2" w14:textId="77777777" w:rsidR="00772179" w:rsidRDefault="00000000">
      <w:r>
        <w:rPr>
          <w:u w:val="single"/>
        </w:rPr>
        <w:t xml:space="preserve">Poignées de (portes-)fenêtres </w:t>
      </w:r>
      <w:r>
        <w:t> </w:t>
      </w:r>
    </w:p>
    <w:p w14:paraId="6DD74835" w14:textId="77777777" w:rsidR="00772179" w:rsidRDefault="00000000">
      <w:r>
        <w:t>La classification des efforts de manœuvre des (portes-)fenêtres battantes et coulissantes, ainsi que de leur quincaillerie, est définie dans la norme [NBN B 25-002-1] (voir Tableau Y).Comme indiqué dans ce tableau, la Classe 2 est recommandée pour une utilisation notamment par des personnes à mobilité réduite (PMR). </w:t>
      </w:r>
    </w:p>
    <w:p w14:paraId="76FA03E0" w14:textId="77777777" w:rsidR="00772179" w:rsidRDefault="00000000">
      <w:r>
        <w:t>Tableau Y – Classification des efforts de manœuvre selon la norme [NBN B 25-002-1]   </w:t>
      </w:r>
    </w:p>
    <w:tbl>
      <w:tblPr>
        <w:tblStyle w:val="Author-eTableGrid"/>
        <w:tblW w:w="0" w:type="auto"/>
        <w:tblLayout w:type="fixed"/>
        <w:tblLook w:val="04A0" w:firstRow="1" w:lastRow="0" w:firstColumn="1" w:lastColumn="0" w:noHBand="0" w:noVBand="1"/>
      </w:tblPr>
      <w:tblGrid>
        <w:gridCol w:w="3000"/>
        <w:gridCol w:w="3000"/>
        <w:gridCol w:w="3000"/>
      </w:tblGrid>
      <w:tr w:rsidR="00772179" w14:paraId="408479E9" w14:textId="77777777">
        <w:trPr>
          <w:trHeight w:val="150"/>
        </w:trPr>
        <w:tc>
          <w:tcPr>
            <w:tcW w:w="3000" w:type="dxa"/>
            <w:shd w:val="clear" w:color="auto" w:fill="C0C0C0"/>
            <w:noWrap/>
          </w:tcPr>
          <w:p w14:paraId="7073947E" w14:textId="77777777" w:rsidR="00772179" w:rsidRDefault="00000000">
            <w:r>
              <w:rPr>
                <w:shd w:val="clear" w:color="auto" w:fill="C0C0C0"/>
              </w:rPr>
              <w:lastRenderedPageBreak/>
              <w:t> </w:t>
            </w:r>
            <w:r>
              <w:rPr>
                <w:b/>
                <w:shd w:val="clear" w:color="auto" w:fill="C0C0C0"/>
              </w:rPr>
              <w:t xml:space="preserve">Résistance aux efforts de manœuvre  </w:t>
            </w:r>
            <w:r>
              <w:rPr>
                <w:shd w:val="clear" w:color="auto" w:fill="C0C0C0"/>
              </w:rPr>
              <w:t> </w:t>
            </w:r>
          </w:p>
        </w:tc>
        <w:tc>
          <w:tcPr>
            <w:tcW w:w="3000" w:type="dxa"/>
            <w:shd w:val="clear" w:color="auto" w:fill="C0C0C0"/>
            <w:noWrap/>
          </w:tcPr>
          <w:p w14:paraId="1D14AA2D" w14:textId="77777777" w:rsidR="00772179" w:rsidRDefault="00000000">
            <w:r>
              <w:rPr>
                <w:b/>
                <w:shd w:val="clear" w:color="auto" w:fill="C0C0C0"/>
              </w:rPr>
              <w:t>Classe 1</w:t>
            </w:r>
          </w:p>
        </w:tc>
        <w:tc>
          <w:tcPr>
            <w:tcW w:w="3000" w:type="dxa"/>
            <w:shd w:val="clear" w:color="auto" w:fill="C0C0C0"/>
            <w:noWrap/>
          </w:tcPr>
          <w:p w14:paraId="3CD13253" w14:textId="77777777" w:rsidR="00772179" w:rsidRDefault="00000000">
            <w:r>
              <w:rPr>
                <w:b/>
                <w:shd w:val="clear" w:color="auto" w:fill="C0C0C0"/>
              </w:rPr>
              <w:t xml:space="preserve">Classe 2 </w:t>
            </w:r>
          </w:p>
        </w:tc>
      </w:tr>
      <w:tr w:rsidR="00772179" w14:paraId="4FB2D2AA" w14:textId="77777777">
        <w:tc>
          <w:tcPr>
            <w:tcW w:w="9000" w:type="dxa"/>
            <w:gridSpan w:val="3"/>
            <w:noWrap/>
          </w:tcPr>
          <w:p w14:paraId="3545BEBB" w14:textId="77777777" w:rsidR="00772179" w:rsidRDefault="00000000">
            <w:r>
              <w:t>Fenêtres battantes ou coulissantes</w:t>
            </w:r>
          </w:p>
        </w:tc>
      </w:tr>
      <w:tr w:rsidR="00772179" w14:paraId="3D5E0854" w14:textId="77777777">
        <w:tc>
          <w:tcPr>
            <w:tcW w:w="3000" w:type="dxa"/>
            <w:noWrap/>
          </w:tcPr>
          <w:p w14:paraId="1A48AF95" w14:textId="77777777" w:rsidR="00772179" w:rsidRDefault="00000000">
            <w:r>
              <w:t>Force de fermeture ou force destinée à initier le mouvement, valeur maximale, (N)</w:t>
            </w:r>
          </w:p>
        </w:tc>
        <w:tc>
          <w:tcPr>
            <w:tcW w:w="3000" w:type="dxa"/>
            <w:noWrap/>
          </w:tcPr>
          <w:p w14:paraId="7184A937" w14:textId="77777777" w:rsidR="00772179" w:rsidRDefault="00000000">
            <w:r>
              <w:t>100</w:t>
            </w:r>
          </w:p>
        </w:tc>
        <w:tc>
          <w:tcPr>
            <w:tcW w:w="3000" w:type="dxa"/>
            <w:noWrap/>
          </w:tcPr>
          <w:p w14:paraId="095C84C4" w14:textId="77777777" w:rsidR="00772179" w:rsidRDefault="00000000">
            <w:r>
              <w:t>30</w:t>
            </w:r>
          </w:p>
        </w:tc>
      </w:tr>
      <w:tr w:rsidR="00772179" w14:paraId="4B755B16" w14:textId="77777777">
        <w:tc>
          <w:tcPr>
            <w:tcW w:w="9000" w:type="dxa"/>
            <w:gridSpan w:val="3"/>
            <w:noWrap/>
          </w:tcPr>
          <w:p w14:paraId="5B725009" w14:textId="77777777" w:rsidR="00772179" w:rsidRDefault="00000000">
            <w:r>
              <w:t>Quincaillerie manœuvrée à la main</w:t>
            </w:r>
          </w:p>
        </w:tc>
      </w:tr>
      <w:tr w:rsidR="00772179" w14:paraId="43A07282" w14:textId="77777777">
        <w:tc>
          <w:tcPr>
            <w:tcW w:w="3000" w:type="dxa"/>
            <w:noWrap/>
          </w:tcPr>
          <w:p w14:paraId="70343175" w14:textId="77777777" w:rsidR="00772179" w:rsidRDefault="00000000">
            <w:r>
              <w:t>Force maximale, (N)</w:t>
            </w:r>
          </w:p>
        </w:tc>
        <w:tc>
          <w:tcPr>
            <w:tcW w:w="3000" w:type="dxa"/>
            <w:noWrap/>
          </w:tcPr>
          <w:p w14:paraId="1D5A46DF" w14:textId="77777777" w:rsidR="00772179" w:rsidRDefault="00000000">
            <w:pPr>
              <w:jc w:val="center"/>
            </w:pPr>
            <w:r>
              <w:t>100</w:t>
            </w:r>
          </w:p>
        </w:tc>
        <w:tc>
          <w:tcPr>
            <w:tcW w:w="3000" w:type="dxa"/>
            <w:noWrap/>
          </w:tcPr>
          <w:p w14:paraId="2B5DAC1C" w14:textId="77777777" w:rsidR="00772179" w:rsidRDefault="00000000">
            <w:pPr>
              <w:jc w:val="center"/>
            </w:pPr>
            <w:r>
              <w:t>30</w:t>
            </w:r>
          </w:p>
        </w:tc>
      </w:tr>
      <w:tr w:rsidR="00772179" w14:paraId="48B0DAFD" w14:textId="77777777">
        <w:tc>
          <w:tcPr>
            <w:tcW w:w="3000" w:type="dxa"/>
            <w:noWrap/>
          </w:tcPr>
          <w:p w14:paraId="7D55B1E0" w14:textId="77777777" w:rsidR="00772179" w:rsidRDefault="00000000">
            <w:r>
              <w:t>Couple maximal, (Nm)</w:t>
            </w:r>
          </w:p>
        </w:tc>
        <w:tc>
          <w:tcPr>
            <w:tcW w:w="3000" w:type="dxa"/>
            <w:noWrap/>
          </w:tcPr>
          <w:p w14:paraId="5B95D79C" w14:textId="77777777" w:rsidR="00772179" w:rsidRDefault="00000000">
            <w:pPr>
              <w:jc w:val="center"/>
            </w:pPr>
            <w:r>
              <w:t>10</w:t>
            </w:r>
          </w:p>
        </w:tc>
        <w:tc>
          <w:tcPr>
            <w:tcW w:w="3000" w:type="dxa"/>
            <w:noWrap/>
          </w:tcPr>
          <w:p w14:paraId="1E7D519E" w14:textId="77777777" w:rsidR="00772179" w:rsidRDefault="00000000">
            <w:pPr>
              <w:jc w:val="center"/>
            </w:pPr>
            <w:r>
              <w:t>5</w:t>
            </w:r>
          </w:p>
        </w:tc>
      </w:tr>
      <w:tr w:rsidR="00772179" w14:paraId="4CE6F49D" w14:textId="77777777">
        <w:tc>
          <w:tcPr>
            <w:tcW w:w="9000" w:type="dxa"/>
            <w:gridSpan w:val="3"/>
            <w:noWrap/>
          </w:tcPr>
          <w:p w14:paraId="43CDE56A" w14:textId="77777777" w:rsidR="00772179" w:rsidRDefault="00000000">
            <w:r>
              <w:t>Quincaillerie manœuvrée avec le doigt</w:t>
            </w:r>
          </w:p>
        </w:tc>
      </w:tr>
      <w:tr w:rsidR="00772179" w14:paraId="04EC7E28" w14:textId="77777777">
        <w:tc>
          <w:tcPr>
            <w:tcW w:w="3000" w:type="dxa"/>
            <w:noWrap/>
          </w:tcPr>
          <w:p w14:paraId="53431475" w14:textId="77777777" w:rsidR="00772179" w:rsidRDefault="00000000">
            <w:r>
              <w:t>Force maximale, (N)</w:t>
            </w:r>
          </w:p>
        </w:tc>
        <w:tc>
          <w:tcPr>
            <w:tcW w:w="3000" w:type="dxa"/>
            <w:noWrap/>
          </w:tcPr>
          <w:p w14:paraId="4F74BC25" w14:textId="77777777" w:rsidR="00772179" w:rsidRDefault="00000000">
            <w:pPr>
              <w:jc w:val="center"/>
            </w:pPr>
            <w:r>
              <w:t>50</w:t>
            </w:r>
          </w:p>
        </w:tc>
        <w:tc>
          <w:tcPr>
            <w:tcW w:w="3000" w:type="dxa"/>
            <w:noWrap/>
          </w:tcPr>
          <w:p w14:paraId="4C62CA02" w14:textId="77777777" w:rsidR="00772179" w:rsidRDefault="00000000">
            <w:pPr>
              <w:jc w:val="center"/>
            </w:pPr>
            <w:r>
              <w:t>20</w:t>
            </w:r>
          </w:p>
        </w:tc>
      </w:tr>
      <w:tr w:rsidR="00772179" w14:paraId="29B2F388" w14:textId="77777777">
        <w:tc>
          <w:tcPr>
            <w:tcW w:w="3000" w:type="dxa"/>
            <w:noWrap/>
          </w:tcPr>
          <w:p w14:paraId="7FB06652" w14:textId="77777777" w:rsidR="00772179" w:rsidRDefault="00000000">
            <w:r>
              <w:t>Couple maximal, (Nm)</w:t>
            </w:r>
          </w:p>
        </w:tc>
        <w:tc>
          <w:tcPr>
            <w:tcW w:w="3000" w:type="dxa"/>
            <w:noWrap/>
          </w:tcPr>
          <w:p w14:paraId="2D5254EC" w14:textId="77777777" w:rsidR="00772179" w:rsidRDefault="00000000">
            <w:pPr>
              <w:jc w:val="center"/>
            </w:pPr>
            <w:r>
              <w:t>5</w:t>
            </w:r>
          </w:p>
        </w:tc>
        <w:tc>
          <w:tcPr>
            <w:tcW w:w="3000" w:type="dxa"/>
            <w:noWrap/>
          </w:tcPr>
          <w:p w14:paraId="4A90A266" w14:textId="77777777" w:rsidR="00772179" w:rsidRDefault="00000000">
            <w:pPr>
              <w:jc w:val="center"/>
            </w:pPr>
            <w:r>
              <w:t>2</w:t>
            </w:r>
          </w:p>
        </w:tc>
      </w:tr>
      <w:tr w:rsidR="00772179" w14:paraId="79CBBF87" w14:textId="77777777">
        <w:tc>
          <w:tcPr>
            <w:tcW w:w="3000" w:type="dxa"/>
            <w:noWrap/>
          </w:tcPr>
          <w:p w14:paraId="51355F07" w14:textId="77777777" w:rsidR="00772179" w:rsidRDefault="00000000">
            <w:r>
              <w:rPr>
                <w:b/>
              </w:rPr>
              <w:t>Applications</w:t>
            </w:r>
          </w:p>
        </w:tc>
        <w:tc>
          <w:tcPr>
            <w:tcW w:w="3000" w:type="dxa"/>
            <w:noWrap/>
          </w:tcPr>
          <w:p w14:paraId="078B7958" w14:textId="77777777" w:rsidR="00772179" w:rsidRDefault="00000000">
            <w:r>
              <w:t>Toutes applications normales où la manœuvre de la fenêtre ne pose pas de problème particulier à l’opérateur</w:t>
            </w:r>
          </w:p>
        </w:tc>
        <w:tc>
          <w:tcPr>
            <w:tcW w:w="3000" w:type="dxa"/>
            <w:noWrap/>
          </w:tcPr>
          <w:p w14:paraId="0CBAEABB" w14:textId="77777777" w:rsidR="00772179" w:rsidRDefault="00000000">
            <w:r>
              <w:t>Toutes applications non reprises à la classe 1, par exemple, opérateur physiquement handicapé, …, en fonction de la situation</w:t>
            </w:r>
          </w:p>
        </w:tc>
      </w:tr>
    </w:tbl>
    <w:p w14:paraId="187F95B5" w14:textId="77777777" w:rsidR="00772179" w:rsidRDefault="00000000">
      <w:r>
        <w:t xml:space="preserve"> Les poignées de (portes-)fenêtres sont de : </w:t>
      </w:r>
      <w:r>
        <w:rPr>
          <w:rStyle w:val="optioncarChar"/>
        </w:rPr>
        <w:t>Classe 1 / Classe 2 (PMR)</w:t>
      </w:r>
      <w:r>
        <w:t>. </w:t>
      </w:r>
    </w:p>
    <w:p w14:paraId="719EF760" w14:textId="77777777" w:rsidR="00772179" w:rsidRDefault="00000000">
      <w:pPr>
        <w:pStyle w:val="pheading"/>
      </w:pPr>
      <w:r>
        <w:t>AIDE</w:t>
      </w:r>
    </w:p>
    <w:p w14:paraId="7A8507AC" w14:textId="77777777" w:rsidR="00772179" w:rsidRDefault="00000000">
      <w:r>
        <w:t>NOTE A L'AUTEUR DE PROJET</w:t>
      </w:r>
    </w:p>
    <w:p w14:paraId="5C843D9B" w14:textId="77777777" w:rsidR="00772179" w:rsidRDefault="00000000">
      <w:r>
        <w:rPr>
          <w:b/>
        </w:rPr>
        <w:t>Accessibilité aux personnes à mobilité réduite (PMR)  </w:t>
      </w:r>
    </w:p>
    <w:p w14:paraId="583C4158" w14:textId="77777777" w:rsidR="00772179" w:rsidRDefault="00000000">
      <w:r>
        <w:rPr>
          <w:u w:val="single"/>
        </w:rPr>
        <w:t>Poignées de portes :</w:t>
      </w:r>
      <w:r>
        <w:t>   </w:t>
      </w:r>
    </w:p>
    <w:p w14:paraId="1AA3A53D" w14:textId="77777777" w:rsidR="00772179" w:rsidRDefault="00000000">
      <w:pPr>
        <w:pStyle w:val="Author-eListParagraph"/>
        <w:numPr>
          <w:ilvl w:val="0"/>
          <w:numId w:val="693"/>
        </w:numPr>
      </w:pPr>
      <w:r>
        <w:t>Hauteur de la poignée : entre 90 et 110 cm au-dessus du niveau du sol   [SWL CALA]    </w:t>
      </w:r>
    </w:p>
    <w:p w14:paraId="1306C797" w14:textId="77777777" w:rsidR="00772179" w:rsidRDefault="00000000">
      <w:pPr>
        <w:pStyle w:val="Author-eListParagraph"/>
        <w:numPr>
          <w:ilvl w:val="0"/>
          <w:numId w:val="693"/>
        </w:numPr>
      </w:pPr>
      <w:r>
        <w:t>Forme de la poignée : type levier (utilisable le poing fermé)   [SWL CALA]               </w:t>
      </w:r>
    </w:p>
    <w:p w14:paraId="0623A8B3" w14:textId="77777777" w:rsidR="00772179" w:rsidRDefault="00000000">
      <w:pPr>
        <w:pStyle w:val="Author-eListParagraph"/>
        <w:numPr>
          <w:ilvl w:val="0"/>
          <w:numId w:val="693"/>
        </w:numPr>
      </w:pPr>
      <w:r>
        <w:t xml:space="preserve">Ergonomie du levier : [BS 8300]  </w:t>
      </w:r>
    </w:p>
    <w:p w14:paraId="210BA163" w14:textId="77777777" w:rsidR="00772179" w:rsidRDefault="00000000">
      <w:pPr>
        <w:pStyle w:val="Author-eListParagraph"/>
        <w:numPr>
          <w:ilvl w:val="1"/>
          <w:numId w:val="694"/>
        </w:numPr>
      </w:pPr>
      <w:r>
        <w:t>Diamètre de la zone de préhension : ≥ 19 mm</w:t>
      </w:r>
    </w:p>
    <w:p w14:paraId="563B1BF2" w14:textId="77777777" w:rsidR="00772179" w:rsidRDefault="00000000">
      <w:pPr>
        <w:pStyle w:val="Author-eListParagraph"/>
        <w:numPr>
          <w:ilvl w:val="1"/>
          <w:numId w:val="694"/>
        </w:numPr>
      </w:pPr>
      <w:r>
        <w:t>Distance entre la zone de préhension et la feuille de porte : ≥ 45 mm</w:t>
      </w:r>
    </w:p>
    <w:p w14:paraId="34ABE99B" w14:textId="77777777" w:rsidR="00772179" w:rsidRDefault="00000000">
      <w:pPr>
        <w:pStyle w:val="Author-eListParagraph"/>
        <w:numPr>
          <w:ilvl w:val="1"/>
          <w:numId w:val="694"/>
        </w:numPr>
      </w:pPr>
      <w:r>
        <w:t>Longueur de la zone de préhension : ≥ 95 mm</w:t>
      </w:r>
    </w:p>
    <w:p w14:paraId="422DBF38" w14:textId="77777777" w:rsidR="00772179" w:rsidRDefault="00000000">
      <w:pPr>
        <w:pStyle w:val="Author-eListParagraph"/>
        <w:numPr>
          <w:ilvl w:val="0"/>
          <w:numId w:val="693"/>
        </w:numPr>
      </w:pPr>
      <w:r>
        <w:t>Efforts de manoeuvre : Classe 3 ou 4 (Quincaillerie) de la norme [NBN EN 12217]   [SWL CALA] et [STS 53.1]</w:t>
      </w:r>
    </w:p>
    <w:p w14:paraId="700D8E00" w14:textId="77777777" w:rsidR="00772179" w:rsidRDefault="00000000">
      <w:pPr>
        <w:pStyle w:val="Author-eListParagraph"/>
        <w:numPr>
          <w:ilvl w:val="0"/>
          <w:numId w:val="693"/>
        </w:numPr>
      </w:pPr>
      <w:r>
        <w:t>Contraste : différence de coefficient de réflexion (LRV) entre la poignée et la porte de minimum 15%   [SWL CALA] et [NBN ISO 21542]</w:t>
      </w:r>
    </w:p>
    <w:p w14:paraId="530D7ADA" w14:textId="77777777" w:rsidR="00772179" w:rsidRDefault="00000000">
      <w:r>
        <w:t> </w:t>
      </w:r>
    </w:p>
    <w:p w14:paraId="472EE9EB" w14:textId="77777777" w:rsidR="00772179" w:rsidRDefault="00000000">
      <w:r>
        <w:rPr>
          <w:u w:val="single"/>
        </w:rPr>
        <w:t xml:space="preserve">Poignées de (portes-)fenêtres : </w:t>
      </w:r>
    </w:p>
    <w:p w14:paraId="6DD0A559" w14:textId="77777777" w:rsidR="00772179" w:rsidRDefault="00000000">
      <w:pPr>
        <w:pStyle w:val="Author-eListParagraph"/>
        <w:numPr>
          <w:ilvl w:val="0"/>
          <w:numId w:val="695"/>
        </w:numPr>
      </w:pPr>
      <w:r>
        <w:t>Hauteur de la poignée : entre 80 et 110 cm au-dessus du niveau du sol   [SWL CALA]</w:t>
      </w:r>
    </w:p>
    <w:p w14:paraId="78644462" w14:textId="77777777" w:rsidR="00772179" w:rsidRDefault="00000000">
      <w:pPr>
        <w:pStyle w:val="Author-eListParagraph"/>
        <w:numPr>
          <w:ilvl w:val="0"/>
          <w:numId w:val="695"/>
        </w:numPr>
      </w:pPr>
      <w:r>
        <w:t>Forme de la poignée : type levier (utilisable le poing fermé)   [SWL CALA]</w:t>
      </w:r>
    </w:p>
    <w:p w14:paraId="39A069F3" w14:textId="77777777" w:rsidR="00772179" w:rsidRDefault="00000000">
      <w:pPr>
        <w:pStyle w:val="Author-eListParagraph"/>
        <w:numPr>
          <w:ilvl w:val="0"/>
          <w:numId w:val="695"/>
        </w:numPr>
      </w:pPr>
      <w:r>
        <w:t>Efforts de manœuvre : Classe 2 (Quincaillerie) de la norme [NBN B 25-002-1]</w:t>
      </w:r>
    </w:p>
    <w:p w14:paraId="5A0D5CFA" w14:textId="77777777" w:rsidR="00772179" w:rsidRDefault="00000000">
      <w:pPr>
        <w:pStyle w:val="Author-eListParagraph"/>
        <w:numPr>
          <w:ilvl w:val="0"/>
          <w:numId w:val="695"/>
        </w:numPr>
      </w:pPr>
      <w:r>
        <w:t>Contraste : différence de coefficient de réflexion (LRV) entre la poignée et la (porte-)fenêtre de ≥ 15 % [SWL CALA] et [NBN ISO 21542]</w:t>
      </w:r>
    </w:p>
    <w:p w14:paraId="4DB4CA85" w14:textId="77777777" w:rsidR="00772179" w:rsidRDefault="00000000">
      <w:pPr>
        <w:pStyle w:val="Author-eSectionHeading6Numberless"/>
      </w:pPr>
      <w:bookmarkStart w:id="344" w:name="_Toc220490072"/>
      <w:r>
        <w:t>41.72.3a Poignées CCTB 01.11</w:t>
      </w:r>
      <w:bookmarkEnd w:id="344"/>
    </w:p>
    <w:p w14:paraId="2BCA3925" w14:textId="77777777" w:rsidR="00772179" w:rsidRDefault="00000000">
      <w:pPr>
        <w:pStyle w:val="pheading"/>
      </w:pPr>
      <w:bookmarkStart w:id="345" w:name="882"/>
      <w:bookmarkEnd w:id="345"/>
      <w:r>
        <w:t>DESCRIPTION</w:t>
      </w:r>
    </w:p>
    <w:p w14:paraId="07FEF857" w14:textId="77777777" w:rsidR="00772179" w:rsidRDefault="00000000">
      <w:pPr>
        <w:pStyle w:val="pheading"/>
      </w:pPr>
      <w:r>
        <w:t>- Localisation</w:t>
      </w:r>
    </w:p>
    <w:p w14:paraId="5B89E869" w14:textId="77777777" w:rsidR="00772179" w:rsidRDefault="00000000">
      <w:pPr>
        <w:pStyle w:val="Author-eListParagraph"/>
        <w:numPr>
          <w:ilvl w:val="0"/>
          <w:numId w:val="696"/>
        </w:numPr>
      </w:pPr>
      <w:r>
        <w:t>Poignées de fenêtre</w:t>
      </w:r>
    </w:p>
    <w:p w14:paraId="54A5F6EF" w14:textId="77777777" w:rsidR="00772179" w:rsidRDefault="00000000">
      <w:pPr>
        <w:pStyle w:val="Author-eListParagraph"/>
        <w:numPr>
          <w:ilvl w:val="0"/>
          <w:numId w:val="696"/>
        </w:numPr>
      </w:pPr>
      <w:r>
        <w:t>Poignées de porte : à placer à l'intérieur des</w:t>
      </w:r>
      <w:r>
        <w:rPr>
          <w:rStyle w:val="optioncarChar"/>
        </w:rPr>
        <w:t xml:space="preserve"> portes d'entrée / portes coulissantes / *** </w:t>
      </w:r>
    </w:p>
    <w:p w14:paraId="7DFF1326" w14:textId="77777777" w:rsidR="00772179" w:rsidRDefault="00000000">
      <w:pPr>
        <w:pStyle w:val="Author-eListParagraph"/>
        <w:numPr>
          <w:ilvl w:val="0"/>
          <w:numId w:val="696"/>
        </w:numPr>
      </w:pPr>
      <w:r>
        <w:t xml:space="preserve">Poignées fixes : à poser à l'extérieur des </w:t>
      </w:r>
      <w:r>
        <w:rPr>
          <w:rStyle w:val="optioncarChar"/>
        </w:rPr>
        <w:t>portes d'entrée</w:t>
      </w:r>
    </w:p>
    <w:p w14:paraId="3D8EA153" w14:textId="77777777" w:rsidR="00772179" w:rsidRDefault="00000000">
      <w:pPr>
        <w:pStyle w:val="pheading"/>
      </w:pPr>
      <w:r>
        <w:t>MATÉRIAUX</w:t>
      </w:r>
    </w:p>
    <w:p w14:paraId="23CFC532" w14:textId="77777777" w:rsidR="00772179" w:rsidRDefault="00000000">
      <w:pPr>
        <w:pStyle w:val="pheading"/>
      </w:pPr>
      <w:r>
        <w:lastRenderedPageBreak/>
        <w:t>- Caractéristiques générales</w:t>
      </w:r>
    </w:p>
    <w:p w14:paraId="74CCD30C" w14:textId="77777777" w:rsidR="00772179" w:rsidRDefault="00000000">
      <w:r>
        <w:t>Les poignées de</w:t>
      </w:r>
      <w:r>
        <w:rPr>
          <w:rStyle w:val="optioncarChar"/>
        </w:rPr>
        <w:t> fenêtre / porte </w:t>
      </w:r>
      <w:r>
        <w:t xml:space="preserve">sont fabriquées en </w:t>
      </w:r>
      <w:r>
        <w:rPr>
          <w:rStyle w:val="optioncarChar"/>
        </w:rPr>
        <w:t>aluminium</w:t>
      </w:r>
      <w:r>
        <w:t xml:space="preserve"> (par défaut) </w:t>
      </w:r>
      <w:r>
        <w:rPr>
          <w:rStyle w:val="optioncarChar"/>
        </w:rPr>
        <w:t>/ Nylon / acier inoxydable / acier bichromaté</w:t>
      </w:r>
    </w:p>
    <w:p w14:paraId="70C962ED" w14:textId="77777777" w:rsidR="00772179" w:rsidRDefault="00000000">
      <w:r>
        <w:rPr>
          <w:b/>
        </w:rPr>
        <w:t>(soit par défaut)</w:t>
      </w:r>
      <w:r>
        <w:t xml:space="preserve"> : </w:t>
      </w:r>
      <w:r>
        <w:rPr>
          <w:rStyle w:val="soitChar"/>
          <w:u w:val="single"/>
        </w:rPr>
        <w:t>aluminium</w:t>
      </w:r>
      <w:r>
        <w:rPr>
          <w:rStyle w:val="soitChar"/>
        </w:rPr>
        <w:t xml:space="preserve"> travaillé à froid AlMgSi ou aluminium coulé GAlmG3 selon les</w:t>
      </w:r>
      <w:r>
        <w:rPr>
          <w:shd w:val="clear" w:color="auto" w:fill="FFFFFF"/>
        </w:rPr>
        <w:t>[STS 36]</w:t>
      </w:r>
      <w:r>
        <w:rPr>
          <w:rStyle w:val="soitChar"/>
          <w:shd w:val="clear" w:color="auto" w:fill="FFFFFF"/>
        </w:rPr>
        <w:t>.14.13.</w:t>
      </w:r>
      <w:r>
        <w:rPr>
          <w:rStyle w:val="soitChar"/>
        </w:rPr>
        <w:t>L'aluminium est anodisé couleur naturelle / laqué dans la même couleur que la teinte des profilés.</w:t>
      </w:r>
      <w:r>
        <w:br/>
      </w:r>
      <w:r>
        <w:rPr>
          <w:b/>
        </w:rPr>
        <w:t>(soit)</w:t>
      </w:r>
      <w:r>
        <w:t> : </w:t>
      </w:r>
      <w:r>
        <w:rPr>
          <w:rStyle w:val="soitChar"/>
          <w:u w:val="single"/>
        </w:rPr>
        <w:t>Nylon</w:t>
      </w:r>
      <w:r>
        <w:rPr>
          <w:rStyle w:val="soitChar"/>
        </w:rPr>
        <w:t xml:space="preserve"> coloré dans la masse avec une âme en acier, couleur: RAL</w:t>
      </w:r>
      <w:r>
        <w:rPr>
          <w:rStyle w:val="optioncarChar"/>
        </w:rPr>
        <w:t xml:space="preserve"> *** / à choisir dans la gamme du fabricant</w:t>
      </w:r>
      <w:r>
        <w:br/>
      </w:r>
      <w:r>
        <w:rPr>
          <w:b/>
        </w:rPr>
        <w:t>(soit)</w:t>
      </w:r>
      <w:r>
        <w:t xml:space="preserve"> : </w:t>
      </w:r>
      <w:r>
        <w:rPr>
          <w:rStyle w:val="soitChar"/>
          <w:u w:val="single"/>
        </w:rPr>
        <w:t>acier inoxydable</w:t>
      </w:r>
      <w:r>
        <w:rPr>
          <w:rStyle w:val="soitChar"/>
        </w:rPr>
        <w:t xml:space="preserve"> poli 18/8 et 18/10.</w:t>
      </w:r>
      <w:r>
        <w:br/>
      </w:r>
      <w:r>
        <w:rPr>
          <w:b/>
        </w:rPr>
        <w:t>(soit)</w:t>
      </w:r>
      <w:r>
        <w:t xml:space="preserve"> : </w:t>
      </w:r>
      <w:r>
        <w:rPr>
          <w:rStyle w:val="soitChar"/>
          <w:u w:val="single"/>
        </w:rPr>
        <w:t>acier bichromaté</w:t>
      </w:r>
      <w:r>
        <w:rPr>
          <w:rStyle w:val="soitChar"/>
        </w:rPr>
        <w:t>.</w:t>
      </w:r>
    </w:p>
    <w:p w14:paraId="78E509C4" w14:textId="77777777" w:rsidR="00772179" w:rsidRDefault="00000000">
      <w:r>
        <w:t>Efforts de manœuvre :</w:t>
      </w:r>
    </w:p>
    <w:p w14:paraId="05B4A529" w14:textId="77777777" w:rsidR="00772179" w:rsidRDefault="00000000">
      <w:pPr>
        <w:pStyle w:val="Author-eListParagraph"/>
        <w:numPr>
          <w:ilvl w:val="0"/>
          <w:numId w:val="697"/>
        </w:numPr>
      </w:pPr>
      <w:r>
        <w:t xml:space="preserve">Poignées de portes : </w:t>
      </w:r>
      <w:r>
        <w:rPr>
          <w:rStyle w:val="optioncarChar"/>
        </w:rPr>
        <w:t>Classe 1 / Classe 2 / Classe 3 (PMR) / Classe 4 (PMR) / ***</w:t>
      </w:r>
    </w:p>
    <w:p w14:paraId="7E30BA3B" w14:textId="77777777" w:rsidR="00772179" w:rsidRDefault="00000000">
      <w:pPr>
        <w:pStyle w:val="Author-eListParagraph"/>
        <w:numPr>
          <w:ilvl w:val="0"/>
          <w:numId w:val="697"/>
        </w:numPr>
      </w:pPr>
      <w:r>
        <w:t>Poignées de (portes-)fenêtres :</w:t>
      </w:r>
      <w:r>
        <w:rPr>
          <w:rStyle w:val="optioncarChar"/>
        </w:rPr>
        <w:t> Classe 1 / Classe 2 (PMR) / ***</w:t>
      </w:r>
      <w:r>
        <w:t> </w:t>
      </w:r>
    </w:p>
    <w:p w14:paraId="2E656D4F" w14:textId="77777777" w:rsidR="00772179" w:rsidRDefault="00000000">
      <w:r>
        <w:t>Les poignées fixes se composent d'un profil tubulaire creux en forme de U</w:t>
      </w:r>
      <w:r>
        <w:rPr>
          <w:rStyle w:val="optioncarChar"/>
        </w:rPr>
        <w:t xml:space="preserve"> en inox </w:t>
      </w:r>
      <w:r>
        <w:t>(par défaut)</w:t>
      </w:r>
      <w:r>
        <w:rPr>
          <w:rStyle w:val="optioncarChar"/>
        </w:rPr>
        <w:t> / en matière synthétique inaltérable / avec une âme en acier inoxydable</w:t>
      </w:r>
    </w:p>
    <w:p w14:paraId="041F3D8E" w14:textId="77777777" w:rsidR="00772179" w:rsidRDefault="00000000">
      <w:r>
        <w:rPr>
          <w:b/>
        </w:rPr>
        <w:t>(soit par défaut)</w:t>
      </w:r>
      <w:r>
        <w:t xml:space="preserve"> : </w:t>
      </w:r>
      <w:r>
        <w:rPr>
          <w:rStyle w:val="soitChar"/>
        </w:rPr>
        <w:t>u</w:t>
      </w:r>
      <w:r>
        <w:rPr>
          <w:rStyle w:val="soitChar"/>
          <w:u w:val="single"/>
        </w:rPr>
        <w:t>n profil tubulaire creux en forme de U en inox</w:t>
      </w:r>
      <w:r>
        <w:rPr>
          <w:rStyle w:val="soitChar"/>
        </w:rPr>
        <w:t xml:space="preserve"> brossé mat 18/8 selon AISI 304.</w:t>
      </w:r>
      <w:r>
        <w:br/>
      </w:r>
      <w:r>
        <w:rPr>
          <w:b/>
        </w:rPr>
        <w:t>(soit)</w:t>
      </w:r>
      <w:r>
        <w:t xml:space="preserve"> : </w:t>
      </w:r>
      <w:r>
        <w:rPr>
          <w:rStyle w:val="soitChar"/>
        </w:rPr>
        <w:t>un profil tubulaire creux en forme de U en matière synthétique inaltérable. La couleur est choisie dans la gamme de couleurs standard du fabricant.</w:t>
      </w:r>
      <w:r>
        <w:br/>
      </w:r>
      <w:r>
        <w:rPr>
          <w:b/>
        </w:rPr>
        <w:t>(soit)</w:t>
      </w:r>
      <w:r>
        <w:t xml:space="preserve"> : </w:t>
      </w:r>
      <w:r>
        <w:rPr>
          <w:rStyle w:val="soitChar"/>
          <w:u w:val="single"/>
        </w:rPr>
        <w:t>un profil tubulaire creux en forme de U avec une âme en acier inoxydable</w:t>
      </w:r>
      <w:r>
        <w:rPr>
          <w:rStyle w:val="soitChar"/>
        </w:rPr>
        <w:t xml:space="preserve"> revêtu de Nylon inaltérable. La couleur est choisie dans la gamme de couleurs standard du fabricant.</w:t>
      </w:r>
    </w:p>
    <w:p w14:paraId="3D89197F" w14:textId="77777777" w:rsidR="00772179" w:rsidRDefault="00000000">
      <w:pPr>
        <w:pStyle w:val="pheading"/>
      </w:pPr>
      <w:r>
        <w:t>- Finitions</w:t>
      </w:r>
    </w:p>
    <w:p w14:paraId="4FA3FDB8" w14:textId="77777777" w:rsidR="00772179" w:rsidRDefault="00000000">
      <w:r>
        <w:t xml:space="preserve"> Poignées de </w:t>
      </w:r>
      <w:r>
        <w:rPr>
          <w:rStyle w:val="optioncarChar"/>
        </w:rPr>
        <w:t xml:space="preserve">fenêtre / porte </w:t>
      </w:r>
      <w:r>
        <w:t>:</w:t>
      </w:r>
    </w:p>
    <w:p w14:paraId="61495ADA" w14:textId="77777777" w:rsidR="00772179" w:rsidRDefault="00000000">
      <w:pPr>
        <w:pStyle w:val="Author-eListParagraph"/>
        <w:numPr>
          <w:ilvl w:val="0"/>
          <w:numId w:val="698"/>
        </w:numPr>
      </w:pPr>
      <w:r>
        <w:t xml:space="preserve">Type : </w:t>
      </w:r>
      <w:r>
        <w:rPr>
          <w:rStyle w:val="optioncarChar"/>
        </w:rPr>
        <w:t>système d' ouverture </w:t>
      </w:r>
    </w:p>
    <w:p w14:paraId="562F4352" w14:textId="77777777" w:rsidR="00772179" w:rsidRDefault="00000000">
      <w:pPr>
        <w:pStyle w:val="Author-eListParagraph"/>
        <w:numPr>
          <w:ilvl w:val="0"/>
          <w:numId w:val="698"/>
        </w:numPr>
      </w:pPr>
      <w:r>
        <w:t xml:space="preserve">Forme : </w:t>
      </w:r>
      <w:r>
        <w:rPr>
          <w:rStyle w:val="optioncarChar"/>
        </w:rPr>
        <w:t>levier avec retour (en forme de U) (PMR) / levier sans retour (en forme de L) (PMR) / ***</w:t>
      </w:r>
    </w:p>
    <w:p w14:paraId="6E3690BB" w14:textId="77777777" w:rsidR="00772179" w:rsidRDefault="00000000">
      <w:pPr>
        <w:pStyle w:val="Author-eListParagraph"/>
        <w:numPr>
          <w:ilvl w:val="0"/>
          <w:numId w:val="698"/>
        </w:numPr>
      </w:pPr>
      <w:r>
        <w:t>Section :</w:t>
      </w:r>
      <w:r>
        <w:rPr>
          <w:rStyle w:val="optioncarChar"/>
        </w:rPr>
        <w:t xml:space="preserve"> rectangulaire aplatie </w:t>
      </w:r>
      <w:r>
        <w:t xml:space="preserve">(par défaut) </w:t>
      </w:r>
      <w:r>
        <w:rPr>
          <w:rStyle w:val="optioncarChar"/>
        </w:rPr>
        <w:t>/ tubulaire (PMR) / ***</w:t>
      </w:r>
    </w:p>
    <w:p w14:paraId="3E5B3E02" w14:textId="77777777" w:rsidR="00772179" w:rsidRDefault="00000000">
      <w:pPr>
        <w:pStyle w:val="Author-eListParagraph"/>
        <w:numPr>
          <w:ilvl w:val="0"/>
          <w:numId w:val="698"/>
        </w:numPr>
      </w:pPr>
      <w:r>
        <w:t xml:space="preserve">Diamètre de la zone de préhension : ≥ </w:t>
      </w:r>
      <w:r>
        <w:rPr>
          <w:rStyle w:val="optioncarChar"/>
        </w:rPr>
        <w:t>19 (PMR) / *** </w:t>
      </w:r>
      <w:r>
        <w:t>mm</w:t>
      </w:r>
    </w:p>
    <w:p w14:paraId="4D66B81B" w14:textId="77777777" w:rsidR="00772179" w:rsidRDefault="00000000">
      <w:pPr>
        <w:pStyle w:val="Author-eListParagraph"/>
        <w:numPr>
          <w:ilvl w:val="0"/>
          <w:numId w:val="698"/>
        </w:numPr>
      </w:pPr>
      <w:r>
        <w:t>Longueur de la zone de préhension : ≥</w:t>
      </w:r>
      <w:r>
        <w:rPr>
          <w:rStyle w:val="optioncarChar"/>
        </w:rPr>
        <w:t> 95 (PMR)</w:t>
      </w:r>
      <w:r>
        <w:t> </w:t>
      </w:r>
      <w:r>
        <w:rPr>
          <w:rStyle w:val="optioncarChar"/>
        </w:rPr>
        <w:t>/ ***</w:t>
      </w:r>
      <w:r>
        <w:t xml:space="preserve"> mm</w:t>
      </w:r>
    </w:p>
    <w:p w14:paraId="78B1B46E" w14:textId="77777777" w:rsidR="00772179" w:rsidRDefault="00000000">
      <w:pPr>
        <w:pStyle w:val="Author-eListParagraph"/>
        <w:numPr>
          <w:ilvl w:val="0"/>
          <w:numId w:val="698"/>
        </w:numPr>
      </w:pPr>
      <w:r>
        <w:t xml:space="preserve">Distance entre la zone de préhension et la feuille de porte : ≥ </w:t>
      </w:r>
      <w:r>
        <w:rPr>
          <w:rStyle w:val="optioncarChar"/>
        </w:rPr>
        <w:t>45 (PMR) / ***</w:t>
      </w:r>
      <w:r>
        <w:t>  mm</w:t>
      </w:r>
    </w:p>
    <w:p w14:paraId="5463CAE2" w14:textId="77777777" w:rsidR="00772179" w:rsidRDefault="00000000">
      <w:pPr>
        <w:pStyle w:val="Author-eListParagraph"/>
        <w:numPr>
          <w:ilvl w:val="0"/>
          <w:numId w:val="698"/>
        </w:numPr>
      </w:pPr>
      <w:r>
        <w:t>Montage :</w:t>
      </w:r>
      <w:r>
        <w:rPr>
          <w:rStyle w:val="optioncarChar"/>
        </w:rPr>
        <w:t xml:space="preserve"> avec / sans </w:t>
      </w:r>
      <w:r>
        <w:t>plaquettes de couverture</w:t>
      </w:r>
    </w:p>
    <w:p w14:paraId="136B21BC" w14:textId="77777777" w:rsidR="00772179" w:rsidRDefault="00000000">
      <w:pPr>
        <w:pStyle w:val="Author-eListParagraph"/>
        <w:numPr>
          <w:ilvl w:val="0"/>
          <w:numId w:val="698"/>
        </w:numPr>
      </w:pPr>
      <w:r>
        <w:t xml:space="preserve">Différence de LRV entre la poignée et la fenêtre/porte : ≥ </w:t>
      </w:r>
      <w:r>
        <w:rPr>
          <w:rStyle w:val="optioncarChar"/>
        </w:rPr>
        <w:t xml:space="preserve">15 (PMR) / *** </w:t>
      </w:r>
      <w:r>
        <w:t>% </w:t>
      </w:r>
    </w:p>
    <w:p w14:paraId="0FF9F6C7" w14:textId="77777777" w:rsidR="00772179" w:rsidRDefault="00000000">
      <w:r>
        <w:t>Poignées fixes :</w:t>
      </w:r>
    </w:p>
    <w:p w14:paraId="037CDCBB" w14:textId="77777777" w:rsidR="00772179" w:rsidRDefault="00000000">
      <w:pPr>
        <w:pStyle w:val="Author-eListParagraph"/>
        <w:numPr>
          <w:ilvl w:val="0"/>
          <w:numId w:val="699"/>
        </w:numPr>
      </w:pPr>
      <w:r>
        <w:t>Section :</w:t>
      </w:r>
      <w:r>
        <w:rPr>
          <w:rStyle w:val="optioncarChar"/>
        </w:rPr>
        <w:t> rectangulaire aplatie </w:t>
      </w:r>
      <w:r>
        <w:t>(par défaut)</w:t>
      </w:r>
      <w:r>
        <w:rPr>
          <w:rStyle w:val="optioncarChar"/>
        </w:rPr>
        <w:t> / tubulaire (PMR) / ***</w:t>
      </w:r>
    </w:p>
    <w:p w14:paraId="682C9A65" w14:textId="77777777" w:rsidR="00772179" w:rsidRDefault="00000000">
      <w:pPr>
        <w:pStyle w:val="Author-eListParagraph"/>
        <w:numPr>
          <w:ilvl w:val="0"/>
          <w:numId w:val="699"/>
        </w:numPr>
      </w:pPr>
      <w:r>
        <w:t>Diamètre extérieur de la zone de préhension : ≥</w:t>
      </w:r>
      <w:r>
        <w:rPr>
          <w:rStyle w:val="optioncarChar"/>
        </w:rPr>
        <w:t xml:space="preserve"> 19 (PMR) / 20 (PMR) / 25 (PMR) / 30 (PMR) / *** </w:t>
      </w:r>
      <w:r>
        <w:t>mm</w:t>
      </w:r>
    </w:p>
    <w:p w14:paraId="122BF1D5" w14:textId="77777777" w:rsidR="00772179" w:rsidRDefault="00000000">
      <w:pPr>
        <w:pStyle w:val="Author-eListParagraph"/>
        <w:numPr>
          <w:ilvl w:val="0"/>
          <w:numId w:val="699"/>
        </w:numPr>
      </w:pPr>
      <w:r>
        <w:t>Longueur de la zone de préhension : ≥</w:t>
      </w:r>
      <w:r>
        <w:rPr>
          <w:rStyle w:val="optioncarChar"/>
        </w:rPr>
        <w:t> 95 (PMR) / ***</w:t>
      </w:r>
      <w:r>
        <w:t>  mm</w:t>
      </w:r>
    </w:p>
    <w:p w14:paraId="3AE92363" w14:textId="77777777" w:rsidR="00772179" w:rsidRDefault="00000000">
      <w:pPr>
        <w:pStyle w:val="Author-eListParagraph"/>
        <w:numPr>
          <w:ilvl w:val="0"/>
          <w:numId w:val="699"/>
        </w:numPr>
      </w:pPr>
      <w:r>
        <w:t xml:space="preserve">Distance entre la zone de préhension et la feuille de porte : ≥ </w:t>
      </w:r>
      <w:r>
        <w:rPr>
          <w:rStyle w:val="optioncarChar"/>
        </w:rPr>
        <w:t>45 (PMR) / ***</w:t>
      </w:r>
      <w:r>
        <w:t>  mm</w:t>
      </w:r>
    </w:p>
    <w:p w14:paraId="1CFF70D9" w14:textId="77777777" w:rsidR="00772179" w:rsidRDefault="00000000">
      <w:pPr>
        <w:pStyle w:val="Author-eListParagraph"/>
        <w:numPr>
          <w:ilvl w:val="0"/>
          <w:numId w:val="699"/>
        </w:numPr>
      </w:pPr>
      <w:r>
        <w:t xml:space="preserve">Longueur mesurée entre les points de fixation : ≥ </w:t>
      </w:r>
      <w:r>
        <w:rPr>
          <w:rStyle w:val="optioncarChar"/>
        </w:rPr>
        <w:t>200 / 300 / 400  </w:t>
      </w:r>
      <w:r>
        <w:t>mm.</w:t>
      </w:r>
    </w:p>
    <w:p w14:paraId="0E98ED2E" w14:textId="77777777" w:rsidR="00772179" w:rsidRDefault="00000000">
      <w:pPr>
        <w:pStyle w:val="Author-eListParagraph"/>
        <w:numPr>
          <w:ilvl w:val="0"/>
          <w:numId w:val="699"/>
        </w:numPr>
      </w:pPr>
      <w:r>
        <w:t xml:space="preserve">Débordement : ≥ </w:t>
      </w:r>
      <w:r>
        <w:rPr>
          <w:rStyle w:val="optioncarChar"/>
        </w:rPr>
        <w:t xml:space="preserve">75 </w:t>
      </w:r>
      <w:r>
        <w:t>(par défaut)</w:t>
      </w:r>
      <w:r>
        <w:rPr>
          <w:rStyle w:val="optioncarChar"/>
        </w:rPr>
        <w:t> / ***</w:t>
      </w:r>
      <w:r>
        <w:t> mm ( + 5 mm ) par rapport au plan du vantail</w:t>
      </w:r>
    </w:p>
    <w:p w14:paraId="1BCFC7F8" w14:textId="77777777" w:rsidR="00772179" w:rsidRDefault="00000000">
      <w:pPr>
        <w:pStyle w:val="Author-eListParagraph"/>
        <w:numPr>
          <w:ilvl w:val="0"/>
          <w:numId w:val="699"/>
        </w:numPr>
      </w:pPr>
      <w:r>
        <w:t xml:space="preserve">Différence de LRV entre la poignée et la fenêtre/porte : ≥ </w:t>
      </w:r>
      <w:r>
        <w:rPr>
          <w:rStyle w:val="optioncarChar"/>
        </w:rPr>
        <w:t xml:space="preserve">15 (PMR) / *** </w:t>
      </w:r>
      <w:r>
        <w:t>%</w:t>
      </w:r>
    </w:p>
    <w:p w14:paraId="0D3728CC" w14:textId="77777777" w:rsidR="00772179" w:rsidRDefault="00000000">
      <w:pPr>
        <w:pStyle w:val="pheading"/>
      </w:pPr>
      <w:r>
        <w:t>- Prescriptions complémentaires</w:t>
      </w:r>
    </w:p>
    <w:p w14:paraId="1824DA53" w14:textId="77777777" w:rsidR="00772179" w:rsidRDefault="00000000">
      <w:r>
        <w:t>Poignées de fenêtre :</w:t>
      </w:r>
    </w:p>
    <w:p w14:paraId="58D86F2D" w14:textId="77777777" w:rsidR="00772179" w:rsidRDefault="00000000">
      <w:pPr>
        <w:pStyle w:val="Author-eListParagraph"/>
        <w:numPr>
          <w:ilvl w:val="0"/>
          <w:numId w:val="700"/>
        </w:numPr>
      </w:pPr>
      <w:r>
        <w:t xml:space="preserve">Les fenêtres extérieures suivantes sont pourvues de poignées avec serrures intégrées : </w:t>
      </w:r>
      <w:r>
        <w:rPr>
          <w:rStyle w:val="optioncarChar"/>
        </w:rPr>
        <w:t xml:space="preserve">***. </w:t>
      </w:r>
      <w:r>
        <w:t>La serrure est</w:t>
      </w:r>
      <w:r>
        <w:rPr>
          <w:rStyle w:val="optioncarChar"/>
        </w:rPr>
        <w:t> identique / différente </w:t>
      </w:r>
      <w:r>
        <w:t>pour toutes les fenêtres.</w:t>
      </w:r>
    </w:p>
    <w:p w14:paraId="022E0710" w14:textId="77777777" w:rsidR="00772179" w:rsidRDefault="00000000">
      <w:pPr>
        <w:pStyle w:val="Author-eListParagraph"/>
        <w:numPr>
          <w:ilvl w:val="0"/>
          <w:numId w:val="700"/>
        </w:numPr>
      </w:pPr>
      <w:r>
        <w:t xml:space="preserve">La quincaillerie anti-effraction des châssis de fenêtre répond aux exigences de la norme [NBN EN 1627]. Ce dispositif se compose d'un système de verrouillage encastré dans le châssis et comprend des verrouillages aux angles et au centre, qui sont actionnés par une </w:t>
      </w:r>
      <w:r>
        <w:lastRenderedPageBreak/>
        <w:t xml:space="preserve">fermeture à espagnolette encastrée ou appliquée. Les châssis de fenêtre suivants sont pourvus d'une quincaillerie anti-effraction : </w:t>
      </w:r>
      <w:r>
        <w:rPr>
          <w:rStyle w:val="optioncarChar"/>
        </w:rPr>
        <w:t>***</w:t>
      </w:r>
      <w:r>
        <w:t> </w:t>
      </w:r>
    </w:p>
    <w:p w14:paraId="3AD1B200" w14:textId="77777777" w:rsidR="00772179" w:rsidRDefault="00000000">
      <w:r>
        <w:t>Poignées de porte :</w:t>
      </w:r>
    </w:p>
    <w:p w14:paraId="19A684E5" w14:textId="77777777" w:rsidR="00772179" w:rsidRDefault="00000000">
      <w:pPr>
        <w:pStyle w:val="Author-eListParagraph"/>
        <w:numPr>
          <w:ilvl w:val="0"/>
          <w:numId w:val="701"/>
        </w:numPr>
      </w:pPr>
      <w:r>
        <w:t>Le vantail simple de porte extérieure est pourvu, sur la face intérieure, de deux targettes avec ressort, d’un bouton à bascule et d’étriers de fermeture correspondants.</w:t>
      </w:r>
    </w:p>
    <w:p w14:paraId="2444F5F9" w14:textId="77777777" w:rsidR="00772179" w:rsidRDefault="00000000">
      <w:pPr>
        <w:pStyle w:val="pheading"/>
      </w:pPr>
      <w:r>
        <w:t>EXÉCUTION / MISE EN ŒUVRE</w:t>
      </w:r>
    </w:p>
    <w:p w14:paraId="049D0E74" w14:textId="77777777" w:rsidR="00772179" w:rsidRDefault="00000000">
      <w:pPr>
        <w:pStyle w:val="pheading"/>
      </w:pPr>
      <w:r>
        <w:t>- Prescriptions générales</w:t>
      </w:r>
    </w:p>
    <w:p w14:paraId="18402613" w14:textId="77777777" w:rsidR="00772179" w:rsidRDefault="00000000">
      <w:r>
        <w:rPr>
          <w:u w:val="single"/>
        </w:rPr>
        <w:t xml:space="preserve">Poignées de </w:t>
      </w:r>
      <w:r>
        <w:rPr>
          <w:rStyle w:val="optioncarChar"/>
          <w:u w:val="single"/>
        </w:rPr>
        <w:t>fenêtre/porte</w:t>
      </w:r>
    </w:p>
    <w:p w14:paraId="700167A3" w14:textId="77777777" w:rsidR="00772179" w:rsidRDefault="00000000">
      <w:r>
        <w:t xml:space="preserve">Les poignées des </w:t>
      </w:r>
      <w:r>
        <w:rPr>
          <w:rStyle w:val="optioncarChar"/>
        </w:rPr>
        <w:t>fenêtres / portes</w:t>
      </w:r>
      <w:r>
        <w:t xml:space="preserve"> se situent à </w:t>
      </w:r>
      <w:r>
        <w:rPr>
          <w:rStyle w:val="optioncarChar"/>
        </w:rPr>
        <w:t>105 (PMR) / ***  </w:t>
      </w:r>
      <w:r>
        <w:t>cm au-dessus du niveau du sol.  </w:t>
      </w:r>
    </w:p>
    <w:p w14:paraId="00F1D606" w14:textId="77777777" w:rsidR="00772179" w:rsidRDefault="00000000">
      <w:r>
        <w:t> </w:t>
      </w:r>
    </w:p>
    <w:p w14:paraId="58AC56C1" w14:textId="77777777" w:rsidR="00772179" w:rsidRDefault="00000000">
      <w:r>
        <w:rPr>
          <w:u w:val="single"/>
        </w:rPr>
        <w:t>Poignées fixes</w:t>
      </w:r>
    </w:p>
    <w:p w14:paraId="66891B41" w14:textId="77777777" w:rsidR="00772179" w:rsidRDefault="00000000">
      <w:r>
        <w:t>Montage selon les prescriptions du fabricant. Les poignées fixes conviennent pour être montées d'un seul côté à l'aide de vis d'un Ø ≥ M10.</w:t>
      </w:r>
    </w:p>
    <w:p w14:paraId="34E77C8F" w14:textId="77777777" w:rsidR="00772179" w:rsidRDefault="00000000">
      <w:r>
        <w:t xml:space="preserve">Les poignées fixes se situent à </w:t>
      </w:r>
      <w:r>
        <w:rPr>
          <w:rStyle w:val="optioncarChar"/>
        </w:rPr>
        <w:t>105 (PMR) / *** </w:t>
      </w:r>
      <w:r>
        <w:t>cm au-dessus du niveau du sol.</w:t>
      </w:r>
    </w:p>
    <w:p w14:paraId="2FA23BAA" w14:textId="77777777" w:rsidR="00772179" w:rsidRDefault="00000000">
      <w:pPr>
        <w:pStyle w:val="pheading"/>
      </w:pPr>
      <w:r>
        <w:t>MESURAGE</w:t>
      </w:r>
    </w:p>
    <w:p w14:paraId="7DD7A7B2" w14:textId="77777777" w:rsidR="00772179" w:rsidRDefault="00000000">
      <w:pPr>
        <w:pStyle w:val="pheading"/>
      </w:pPr>
      <w:r>
        <w:t>- unité de mesure:</w:t>
      </w:r>
    </w:p>
    <w:p w14:paraId="554947AE" w14:textId="77777777" w:rsidR="00772179" w:rsidRDefault="00000000">
      <w:r>
        <w:rPr>
          <w:rStyle w:val="optioncarChar"/>
        </w:rPr>
        <w:t xml:space="preserve">- </w:t>
      </w:r>
      <w:r>
        <w:t>(par défaut)</w:t>
      </w:r>
      <w:r>
        <w:rPr>
          <w:rStyle w:val="optioncarChar"/>
        </w:rPr>
        <w:t> / pc</w:t>
      </w:r>
    </w:p>
    <w:p w14:paraId="774FCD54" w14:textId="77777777" w:rsidR="00772179" w:rsidRDefault="00000000">
      <w:r>
        <w:rPr>
          <w:b/>
        </w:rPr>
        <w:t>(soit par défaut)</w:t>
      </w:r>
    </w:p>
    <w:p w14:paraId="4B84F7AA" w14:textId="77777777" w:rsidR="00772179" w:rsidRDefault="00000000">
      <w:r>
        <w:rPr>
          <w:rStyle w:val="soitChar"/>
        </w:rPr>
        <w:t>1. -</w:t>
      </w:r>
    </w:p>
    <w:p w14:paraId="471E212E" w14:textId="77777777" w:rsidR="00772179" w:rsidRDefault="00000000">
      <w:r>
        <w:t>(soit)</w:t>
      </w:r>
    </w:p>
    <w:p w14:paraId="69EBB52E" w14:textId="77777777" w:rsidR="00772179" w:rsidRDefault="00000000">
      <w:r>
        <w:rPr>
          <w:rStyle w:val="soitChar"/>
        </w:rPr>
        <w:t>2. pc</w:t>
      </w:r>
    </w:p>
    <w:p w14:paraId="12928CE4" w14:textId="77777777" w:rsidR="00772179" w:rsidRDefault="00000000">
      <w:pPr>
        <w:pStyle w:val="pheading"/>
      </w:pPr>
      <w:r>
        <w:t>- code de mesurage:</w:t>
      </w:r>
    </w:p>
    <w:p w14:paraId="1B33BEE1" w14:textId="77777777" w:rsidR="00772179" w:rsidRDefault="00000000">
      <w:r>
        <w:rPr>
          <w:rStyle w:val="optioncarChar"/>
        </w:rPr>
        <w:t xml:space="preserve">compris </w:t>
      </w:r>
      <w:r>
        <w:t>(par défaut) </w:t>
      </w:r>
      <w:r>
        <w:rPr>
          <w:rStyle w:val="optioncarChar"/>
        </w:rPr>
        <w:t>/ poste séparé</w:t>
      </w:r>
    </w:p>
    <w:p w14:paraId="2B2E6C1F" w14:textId="77777777" w:rsidR="00772179" w:rsidRDefault="00000000">
      <w:r>
        <w:rPr>
          <w:b/>
        </w:rPr>
        <w:t>(soit par défaut)</w:t>
      </w:r>
      <w:r>
        <w:t xml:space="preserve"> : </w:t>
      </w:r>
      <w:r>
        <w:rPr>
          <w:rStyle w:val="soitChar"/>
        </w:rPr>
        <w:t xml:space="preserve">Sauf indications spécifique contraire dans le cahier spécial des charges et./ou le métré récapitulatif, le prix de toute la quincaillerie est </w:t>
      </w:r>
      <w:r>
        <w:rPr>
          <w:rStyle w:val="soitChar"/>
          <w:u w:val="single"/>
        </w:rPr>
        <w:t>compris dans le prix unitaire</w:t>
      </w:r>
      <w:r>
        <w:rPr>
          <w:rStyle w:val="soitChar"/>
        </w:rPr>
        <w:t xml:space="preserve"> de la menuiserie extérieure (profilés ).</w:t>
      </w:r>
      <w:r>
        <w:br/>
      </w:r>
      <w:r>
        <w:rPr>
          <w:b/>
        </w:rPr>
        <w:t>(soit)</w:t>
      </w:r>
      <w:r>
        <w:t xml:space="preserve"> : </w:t>
      </w:r>
      <w:r>
        <w:rPr>
          <w:rStyle w:val="soitChar"/>
        </w:rPr>
        <w:t xml:space="preserve">Exceptionnellement et moyennant mention expresse dans le cahier spécial des charges et le métré récapitulatif, la quincaillerie spéciale peut être reprise comme </w:t>
      </w:r>
      <w:r>
        <w:rPr>
          <w:rStyle w:val="soitChar"/>
          <w:u w:val="single"/>
        </w:rPr>
        <w:t>poste séparé</w:t>
      </w:r>
      <w:r>
        <w:rPr>
          <w:rStyle w:val="soitChar"/>
        </w:rPr>
        <w:t xml:space="preserve"> (par ex. ferme-porte / barre antipanique / serrures  électriques / ...).</w:t>
      </w:r>
    </w:p>
    <w:p w14:paraId="2EF6A573" w14:textId="77777777" w:rsidR="00772179" w:rsidRDefault="00000000">
      <w:pPr>
        <w:pStyle w:val="pheading"/>
      </w:pPr>
      <w:r>
        <w:t>- nature du marché:</w:t>
      </w:r>
    </w:p>
    <w:p w14:paraId="4735EB7E" w14:textId="77777777" w:rsidR="00772179" w:rsidRDefault="00000000">
      <w:r>
        <w:rPr>
          <w:rStyle w:val="optioncarChar"/>
        </w:rPr>
        <w:t>PM (par défaut) / QF</w:t>
      </w:r>
    </w:p>
    <w:p w14:paraId="7A981BE2" w14:textId="77777777" w:rsidR="00772179" w:rsidRDefault="00000000">
      <w:r>
        <w:rPr>
          <w:b/>
        </w:rPr>
        <w:t>(soit par défaut)</w:t>
      </w:r>
    </w:p>
    <w:p w14:paraId="3872A882" w14:textId="77777777" w:rsidR="00772179" w:rsidRDefault="00000000">
      <w:r>
        <w:rPr>
          <w:rStyle w:val="soitChar"/>
        </w:rPr>
        <w:t>1. PM</w:t>
      </w:r>
    </w:p>
    <w:p w14:paraId="21B7635D" w14:textId="77777777" w:rsidR="00772179" w:rsidRDefault="00000000">
      <w:r>
        <w:rPr>
          <w:b/>
        </w:rPr>
        <w:t>(soit)</w:t>
      </w:r>
    </w:p>
    <w:p w14:paraId="136B9BFD" w14:textId="77777777" w:rsidR="00772179" w:rsidRDefault="00000000">
      <w:r>
        <w:rPr>
          <w:rStyle w:val="soitChar"/>
        </w:rPr>
        <w:t>2. QF</w:t>
      </w:r>
    </w:p>
    <w:p w14:paraId="224BEB0A" w14:textId="77777777" w:rsidR="00772179" w:rsidRDefault="00772179"/>
    <w:p w14:paraId="5584A5F7" w14:textId="77777777" w:rsidR="00772179" w:rsidRDefault="00000000">
      <w:pPr>
        <w:pStyle w:val="Author-eSectionHeading5Numberless"/>
      </w:pPr>
      <w:bookmarkStart w:id="346" w:name="_Toc220490073"/>
      <w:r>
        <w:t>41.72.4 Systèmes d'ouverture et de fermeture CCTB 01.02</w:t>
      </w:r>
      <w:bookmarkEnd w:id="346"/>
    </w:p>
    <w:p w14:paraId="5CDFCB92" w14:textId="77777777" w:rsidR="00772179" w:rsidRDefault="00000000">
      <w:pPr>
        <w:pStyle w:val="Author-eSectionHeading6Numberless"/>
      </w:pPr>
      <w:bookmarkStart w:id="347" w:name="_Toc220490074"/>
      <w:r>
        <w:t>41.72.4a Systèmes d'ouverture mécaniques CCTB 01.11</w:t>
      </w:r>
      <w:bookmarkEnd w:id="347"/>
    </w:p>
    <w:p w14:paraId="10918DE3" w14:textId="77777777" w:rsidR="00772179" w:rsidRDefault="00000000">
      <w:pPr>
        <w:pStyle w:val="pheading"/>
      </w:pPr>
      <w:bookmarkStart w:id="348" w:name="967"/>
      <w:bookmarkEnd w:id="348"/>
      <w:r>
        <w:t>DESCRIPTION</w:t>
      </w:r>
    </w:p>
    <w:p w14:paraId="3AFCFBE1" w14:textId="77777777" w:rsidR="00772179" w:rsidRDefault="00000000">
      <w:pPr>
        <w:pStyle w:val="pheading"/>
      </w:pPr>
      <w:r>
        <w:t>- Définition / Comprend</w:t>
      </w:r>
    </w:p>
    <w:p w14:paraId="1657CC58" w14:textId="77777777" w:rsidR="00772179" w:rsidRDefault="00000000">
      <w:pPr>
        <w:jc w:val="both"/>
      </w:pPr>
      <w:r>
        <w:lastRenderedPageBreak/>
        <w:t xml:space="preserve">Il s’agit de la fourniture et la pose des systèmes d’ouverture mécaniques. Cet article est à considérer en complément des descriptions des portes d’entrée - éléments </w:t>
      </w:r>
      <w:hyperlink w:anchor="904" w:history="1">
        <w:r>
          <w:rPr>
            <w:color w:val="0000EE"/>
          </w:rPr>
          <w:t>41.2 Portes d'entrée</w:t>
        </w:r>
      </w:hyperlink>
      <w:r>
        <w:t xml:space="preserve"> et ceux des niveaux inférieurs.</w:t>
      </w:r>
    </w:p>
    <w:p w14:paraId="41470B22" w14:textId="77777777" w:rsidR="00772179" w:rsidRDefault="00000000">
      <w:pPr>
        <w:jc w:val="both"/>
      </w:pPr>
      <w:r>
        <w:t xml:space="preserve">Les systèmes d’ouverture mécaniques regroupent tous les systèmes permettant le mouvement d’ouverture et de fermeture de la porte ou de la menuiserie extérieure. Le dispositif électronique d’activation de l’ouverture et/ou de la fermeture est repris dans l’élément </w:t>
      </w:r>
      <w:hyperlink w:anchor="966" w:history="1">
        <w:r>
          <w:rPr>
            <w:color w:val="0000EE"/>
          </w:rPr>
          <w:t>41.72.4b Systèmes d'ouverture électroniques</w:t>
        </w:r>
      </w:hyperlink>
      <w:r>
        <w:t>.</w:t>
      </w:r>
    </w:p>
    <w:p w14:paraId="5D82F5E9" w14:textId="77777777" w:rsidR="00772179" w:rsidRDefault="00000000">
      <w:pPr>
        <w:jc w:val="both"/>
      </w:pPr>
      <w:r>
        <w:t>Les travaux comprennent la fourniture et la pose des systèmes d’ouverture mécanique, y compris les pièces d’ajustage, la fixation sur la porte, accessoires de finition et les réglages.</w:t>
      </w:r>
    </w:p>
    <w:p w14:paraId="0420CE54" w14:textId="77777777" w:rsidR="00772179" w:rsidRDefault="00000000">
      <w:pPr>
        <w:pStyle w:val="pheading"/>
      </w:pPr>
      <w:r>
        <w:t>- Localisation</w:t>
      </w:r>
    </w:p>
    <w:p w14:paraId="79982874" w14:textId="77777777" w:rsidR="00772179" w:rsidRDefault="00000000">
      <w:pPr>
        <w:jc w:val="both"/>
      </w:pPr>
      <w:r>
        <w:t xml:space="preserve">La localisation des portes sur lesquelles les systèmes d’ouverture électroniques sont installés est la suivante : </w:t>
      </w:r>
      <w:r>
        <w:rPr>
          <w:rStyle w:val="optioncarChar"/>
        </w:rPr>
        <w:t>***</w:t>
      </w:r>
      <w:r>
        <w:t>.</w:t>
      </w:r>
    </w:p>
    <w:p w14:paraId="5D54F654" w14:textId="77777777" w:rsidR="00772179" w:rsidRDefault="00000000">
      <w:pPr>
        <w:jc w:val="both"/>
      </w:pPr>
      <w:r>
        <w:t xml:space="preserve">Voir : </w:t>
      </w:r>
      <w:r>
        <w:rPr>
          <w:rStyle w:val="optioncarChar"/>
        </w:rPr>
        <w:t>plans et métrés détaillés / ***</w:t>
      </w:r>
      <w:r>
        <w:t>.</w:t>
      </w:r>
    </w:p>
    <w:p w14:paraId="1F7AEF07" w14:textId="77777777" w:rsidR="00772179" w:rsidRDefault="00000000">
      <w:pPr>
        <w:pStyle w:val="pheading"/>
      </w:pPr>
      <w:r>
        <w:t>MATÉRIAUX</w:t>
      </w:r>
    </w:p>
    <w:p w14:paraId="4A309258" w14:textId="77777777" w:rsidR="00772179" w:rsidRDefault="00000000">
      <w:pPr>
        <w:pStyle w:val="pheading"/>
      </w:pPr>
      <w:r>
        <w:t>- Caractéristiques générales</w:t>
      </w:r>
    </w:p>
    <w:p w14:paraId="446B19A7" w14:textId="77777777" w:rsidR="00772179" w:rsidRDefault="00000000">
      <w:pPr>
        <w:jc w:val="both"/>
      </w:pPr>
      <w:r>
        <w:t>Le système d’ouverture permet la mise en mouvement de la porte ou de la menuiserie extérieure et le déclanchement des gâches d’ouverture de la porte.</w:t>
      </w:r>
    </w:p>
    <w:p w14:paraId="5BC3F3C8" w14:textId="77777777" w:rsidR="00772179" w:rsidRDefault="00000000">
      <w:pPr>
        <w:jc w:val="both"/>
      </w:pPr>
      <w:r>
        <w:t xml:space="preserve">Le dispositif mécanique est un </w:t>
      </w:r>
      <w:r>
        <w:rPr>
          <w:rStyle w:val="optioncarChar"/>
        </w:rPr>
        <w:t xml:space="preserve">moteur électrique </w:t>
      </w:r>
      <w:r>
        <w:t>(par défaut)</w:t>
      </w:r>
      <w:r>
        <w:rPr>
          <w:rStyle w:val="optioncarChar"/>
        </w:rPr>
        <w:t xml:space="preserve"> / pneumatique / électromagnétique / hydraulique / ***</w:t>
      </w:r>
      <w:r>
        <w:t>.</w:t>
      </w:r>
    </w:p>
    <w:p w14:paraId="076C30E0" w14:textId="77777777" w:rsidR="00772179" w:rsidRDefault="00000000">
      <w:pPr>
        <w:ind w:left="567"/>
        <w:jc w:val="both"/>
      </w:pPr>
      <w:r>
        <w:rPr>
          <w:b/>
          <w:i/>
        </w:rPr>
        <w:t>(soit par défaut) </w:t>
      </w:r>
    </w:p>
    <w:p w14:paraId="5C9BC675" w14:textId="77777777" w:rsidR="00772179" w:rsidRDefault="00772179">
      <w:pPr>
        <w:ind w:left="567"/>
        <w:jc w:val="both"/>
      </w:pPr>
    </w:p>
    <w:p w14:paraId="5F196279" w14:textId="77777777" w:rsidR="00772179" w:rsidRDefault="00000000">
      <w:pPr>
        <w:ind w:left="567"/>
        <w:jc w:val="both"/>
      </w:pPr>
      <w:r>
        <w:rPr>
          <w:rStyle w:val="soitChar"/>
          <w:u w:val="single"/>
        </w:rPr>
        <w:t>Moteur électrique</w:t>
      </w:r>
      <w:r>
        <w:rPr>
          <w:rStyle w:val="soitChar"/>
        </w:rPr>
        <w:t xml:space="preserve"> :  Les moteurs électriques sont conformes à la [NBN EN 60335-2-97]. Le moteur répond aux exigences de sécurité d’utilisation, de vitesse d’entrainement et de compatibilité électromagnétique. La puissance est adaptée à la porte ou la menuiserie extérieure à actionner afin de respecter les exigences de sécurité et d’endurance, le moteur est alimenté par </w:t>
      </w:r>
      <w:r>
        <w:rPr>
          <w:rStyle w:val="optioncarChar"/>
        </w:rPr>
        <w:t xml:space="preserve">courant continu </w:t>
      </w:r>
      <w:r>
        <w:t>(par défaut)</w:t>
      </w:r>
      <w:r>
        <w:rPr>
          <w:rStyle w:val="optioncarChar"/>
        </w:rPr>
        <w:t xml:space="preserve"> / alternatif monophasé / ***</w:t>
      </w:r>
      <w:r>
        <w:rPr>
          <w:rStyle w:val="soitChar"/>
        </w:rPr>
        <w:t xml:space="preserve">. Le moteur est à actionnement à vitesse </w:t>
      </w:r>
      <w:r>
        <w:rPr>
          <w:rStyle w:val="optioncarChar"/>
        </w:rPr>
        <w:t>constante</w:t>
      </w:r>
      <w:r>
        <w:t xml:space="preserve"> (par défaut) </w:t>
      </w:r>
      <w:r>
        <w:rPr>
          <w:rStyle w:val="optioncarChar"/>
        </w:rPr>
        <w:t>/ variable / ***.</w:t>
      </w:r>
    </w:p>
    <w:p w14:paraId="6BE3B257" w14:textId="77777777" w:rsidR="00772179" w:rsidRDefault="00000000">
      <w:pPr>
        <w:ind w:left="567"/>
        <w:jc w:val="both"/>
      </w:pPr>
      <w:r>
        <w:rPr>
          <w:b/>
          <w:i/>
        </w:rPr>
        <w:t>(soit) </w:t>
      </w:r>
    </w:p>
    <w:p w14:paraId="193DB383" w14:textId="77777777" w:rsidR="00772179" w:rsidRDefault="00000000">
      <w:pPr>
        <w:ind w:left="567"/>
        <w:jc w:val="both"/>
      </w:pPr>
      <w:r>
        <w:rPr>
          <w:rStyle w:val="soitChar"/>
          <w:u w:val="single"/>
        </w:rPr>
        <w:t>Pneumatique </w:t>
      </w:r>
      <w:r>
        <w:rPr>
          <w:rStyle w:val="soitChar"/>
        </w:rPr>
        <w:t xml:space="preserve">: le dispositif pneumatique est actionné par un </w:t>
      </w:r>
      <w:r>
        <w:rPr>
          <w:rStyle w:val="optioncarChar"/>
        </w:rPr>
        <w:t>compresseur autonome</w:t>
      </w:r>
      <w:r>
        <w:t xml:space="preserve"> (par défaut)</w:t>
      </w:r>
      <w:r>
        <w:rPr>
          <w:rStyle w:val="optioncarChar"/>
        </w:rPr>
        <w:t xml:space="preserve"> / un réseau pneumatique/ une bouteille d’air comprimé / ***</w:t>
      </w:r>
      <w:r>
        <w:rPr>
          <w:rStyle w:val="soitChar"/>
        </w:rPr>
        <w:t xml:space="preserve">. Le vérin est à </w:t>
      </w:r>
      <w:r>
        <w:rPr>
          <w:rStyle w:val="optioncarChar"/>
        </w:rPr>
        <w:t xml:space="preserve">double </w:t>
      </w:r>
      <w:r>
        <w:t>(par défaut)</w:t>
      </w:r>
      <w:r>
        <w:rPr>
          <w:rStyle w:val="optioncarChar"/>
        </w:rPr>
        <w:t xml:space="preserve"> / simple manœuvre.</w:t>
      </w:r>
      <w:r>
        <w:rPr>
          <w:rStyle w:val="soitChar"/>
        </w:rPr>
        <w:t xml:space="preserve"> Le vérin est lié à la porte par une tringlerie en</w:t>
      </w:r>
      <w:r>
        <w:rPr>
          <w:rStyle w:val="optioncarChar"/>
        </w:rPr>
        <w:t xml:space="preserve"> inox </w:t>
      </w:r>
      <w:r>
        <w:t>(par défaut)</w:t>
      </w:r>
      <w:r>
        <w:rPr>
          <w:rStyle w:val="optioncarChar"/>
        </w:rPr>
        <w:t xml:space="preserve"> / acier galvanisé/ aluminium / alliage</w:t>
      </w:r>
      <w:r>
        <w:rPr>
          <w:rStyle w:val="soitChar"/>
        </w:rPr>
        <w:t xml:space="preserve">. Le dispositif est muni de fins de courses. Le dispositif fonctionne avec des pressions inférieures à </w:t>
      </w:r>
      <w:r>
        <w:rPr>
          <w:rStyle w:val="optioncarChar"/>
        </w:rPr>
        <w:t xml:space="preserve">8 </w:t>
      </w:r>
      <w:r>
        <w:t>(par défaut)</w:t>
      </w:r>
      <w:r>
        <w:rPr>
          <w:rStyle w:val="optioncarChar"/>
        </w:rPr>
        <w:t xml:space="preserve"> / ***</w:t>
      </w:r>
      <w:r>
        <w:rPr>
          <w:rStyle w:val="soitChar"/>
        </w:rPr>
        <w:t xml:space="preserve"> bars. Les raccords sont munis d’un détendeur et de vannes. Le système est conforme aux [NBN E 48-001] et [NBN E 51-005]. La sécurité du système est conforme à la [NBN EN ISO 4414].</w:t>
      </w:r>
    </w:p>
    <w:p w14:paraId="6F1C5E76" w14:textId="77777777" w:rsidR="00772179" w:rsidRDefault="00000000">
      <w:pPr>
        <w:ind w:left="567"/>
        <w:jc w:val="both"/>
      </w:pPr>
      <w:r>
        <w:rPr>
          <w:b/>
          <w:i/>
        </w:rPr>
        <w:t>(Soit) </w:t>
      </w:r>
    </w:p>
    <w:p w14:paraId="2E60C5B6" w14:textId="77777777" w:rsidR="00772179" w:rsidRDefault="00000000">
      <w:pPr>
        <w:ind w:left="567"/>
        <w:jc w:val="both"/>
      </w:pPr>
      <w:r>
        <w:rPr>
          <w:rStyle w:val="soitChar"/>
          <w:u w:val="single"/>
        </w:rPr>
        <w:t>Electromagnétique</w:t>
      </w:r>
      <w:r>
        <w:rPr>
          <w:rStyle w:val="soitChar"/>
        </w:rPr>
        <w:t xml:space="preserve"> : Le dispositif est combiné à un système de ressorts ou de contrepoids. Les perturbations électromagnétiques générées par la porte motorisée ne peuvent pas dépasser les niveaux spécifiés dans la [NBN EN IEC 61000-6-3]. L’immunité des portes par rapport aux perturbations électromagnétiques est suffisante pour les perturbations du réseau spécifiée dans la [NBN EN IEC 61000-6-2]. </w:t>
      </w:r>
    </w:p>
    <w:p w14:paraId="518D9FDF" w14:textId="77777777" w:rsidR="00772179" w:rsidRDefault="00000000">
      <w:pPr>
        <w:ind w:left="567"/>
        <w:jc w:val="both"/>
      </w:pPr>
      <w:r>
        <w:rPr>
          <w:b/>
          <w:i/>
        </w:rPr>
        <w:t>(Soit) </w:t>
      </w:r>
    </w:p>
    <w:p w14:paraId="413B162A" w14:textId="77777777" w:rsidR="00772179" w:rsidRDefault="00000000">
      <w:pPr>
        <w:ind w:left="567"/>
        <w:jc w:val="both"/>
      </w:pPr>
      <w:r>
        <w:rPr>
          <w:rStyle w:val="soitChar"/>
          <w:u w:val="single"/>
        </w:rPr>
        <w:t>Hydraulique</w:t>
      </w:r>
      <w:r>
        <w:rPr>
          <w:rStyle w:val="soitChar"/>
        </w:rPr>
        <w:t xml:space="preserve"> :  Le dispositif est composé d’un vérin et de régulateur de pression, de vannes de régulation et de filtres, d’une soupape de sécurité conformément à la [NBN EN 764-7].  Le dispositif est conforme à la [NBN E 48-001].</w:t>
      </w:r>
    </w:p>
    <w:p w14:paraId="12CE0F2B" w14:textId="77777777" w:rsidR="00772179" w:rsidRDefault="00000000">
      <w:pPr>
        <w:jc w:val="both"/>
      </w:pPr>
      <w:r>
        <w:t>Les portes sont liées aux organes de manœuvre par des bras, axes, ... offrant une protection contre la corrosion.</w:t>
      </w:r>
    </w:p>
    <w:p w14:paraId="0628AA29" w14:textId="77777777" w:rsidR="00772179" w:rsidRDefault="00000000">
      <w:pPr>
        <w:jc w:val="both"/>
      </w:pPr>
      <w:r>
        <w:lastRenderedPageBreak/>
        <w:t>Les dispositifs d’ouverture mécanique font partie intégrante des portes piétonnes, ils répondent aux prescriptions fondamentales figurant dans la directive Machines [Directive 2006/42/CE] et sont pourvue d'un marquage CE. Une analyse de risques (ou prouver que la porte est couverte par la norme de type C [NBN EN ISO 12100] et les prescriptions du fabricant sont communiquées au maître d’œuvre.</w:t>
      </w:r>
    </w:p>
    <w:p w14:paraId="61148996" w14:textId="77777777" w:rsidR="00772179" w:rsidRDefault="00000000">
      <w:pPr>
        <w:jc w:val="both"/>
      </w:pPr>
      <w:r>
        <w:t>Le dispositif d’ouverture et de fermeture répond à la norme [NBN EN 16005:2023+A1].</w:t>
      </w:r>
    </w:p>
    <w:p w14:paraId="6BEF1D26" w14:textId="77777777" w:rsidR="00772179" w:rsidRDefault="00000000">
      <w:pPr>
        <w:jc w:val="both"/>
      </w:pPr>
      <w:r>
        <w:t xml:space="preserve">En cas de défaillance de l'alimentation électrique ou de nécessité, le dispositif d’ouverture et/ou de fermeture peut s'ouvrir manuellement et se déverrouiller automatiquement (serrure à sécurité positive). La force à exercer peut toutefois dépasser les efforts de manœuvre de 100 N mais ≤ </w:t>
      </w:r>
      <w:r>
        <w:rPr>
          <w:rStyle w:val="optioncarChar"/>
        </w:rPr>
        <w:t xml:space="preserve">150 N (ou 15 Nm) </w:t>
      </w:r>
      <w:r>
        <w:t xml:space="preserve">(par défaut) </w:t>
      </w:r>
      <w:r>
        <w:rPr>
          <w:rStyle w:val="optioncarChar"/>
        </w:rPr>
        <w:t>/ ***</w:t>
      </w:r>
      <w:r>
        <w:t>.</w:t>
      </w:r>
    </w:p>
    <w:p w14:paraId="4F3E3CF4" w14:textId="77777777" w:rsidR="00772179" w:rsidRDefault="00000000">
      <w:pPr>
        <w:jc w:val="both"/>
      </w:pPr>
      <w:r>
        <w:t>La serrure d'une porte automatique est déverrouillée automatiquement quand la porte est activée. En fonction du type de porte, il convient donc de prévoir une serrure motorisée ou une serrure à gâche électrique. Les serrures mécaniques en solénoïde ne sont pas utilisées avec des portes automatiques.</w:t>
      </w:r>
    </w:p>
    <w:p w14:paraId="21B54A1D" w14:textId="77777777" w:rsidR="00772179" w:rsidRDefault="00000000">
      <w:pPr>
        <w:jc w:val="both"/>
      </w:pPr>
      <w:r>
        <w:t xml:space="preserve">Le dispositif permet la manœuvre de l’ouverture simple sur </w:t>
      </w:r>
      <w:r>
        <w:rPr>
          <w:rStyle w:val="optioncarChar"/>
        </w:rPr>
        <w:t>commande séparée / ouverture et fermeture consécutive</w:t>
      </w:r>
      <w:r>
        <w:t>.</w:t>
      </w:r>
    </w:p>
    <w:p w14:paraId="42E8FC79" w14:textId="77777777" w:rsidR="00772179" w:rsidRDefault="00000000">
      <w:pPr>
        <w:jc w:val="both"/>
      </w:pPr>
      <w:r>
        <w:t xml:space="preserve">La vitesse d’ouverture est de </w:t>
      </w:r>
      <w:r>
        <w:rPr>
          <w:rStyle w:val="optioncarChar"/>
        </w:rPr>
        <w:t xml:space="preserve">20° / seconde </w:t>
      </w:r>
      <w:r>
        <w:t>(par défaut)</w:t>
      </w:r>
      <w:r>
        <w:rPr>
          <w:rStyle w:val="optioncarChar"/>
        </w:rPr>
        <w:t xml:space="preserve"> / ***</w:t>
      </w:r>
    </w:p>
    <w:p w14:paraId="7F2A81CC" w14:textId="77777777" w:rsidR="00772179" w:rsidRDefault="00000000">
      <w:pPr>
        <w:jc w:val="both"/>
      </w:pPr>
      <w:r>
        <w:t xml:space="preserve">Le temps d’attente est de </w:t>
      </w:r>
      <w:r>
        <w:rPr>
          <w:rStyle w:val="optioncarChar"/>
        </w:rPr>
        <w:t xml:space="preserve">25 s </w:t>
      </w:r>
      <w:r>
        <w:t>(par défaut)</w:t>
      </w:r>
      <w:r>
        <w:rPr>
          <w:rStyle w:val="optioncarChar"/>
        </w:rPr>
        <w:t xml:space="preserve"> / ***</w:t>
      </w:r>
      <w:r>
        <w:t>.</w:t>
      </w:r>
    </w:p>
    <w:p w14:paraId="1CC27921" w14:textId="77777777" w:rsidR="00772179" w:rsidRDefault="00000000">
      <w:pPr>
        <w:jc w:val="both"/>
      </w:pPr>
      <w:r>
        <w:t xml:space="preserve">La fermeture automatique peut être empêchée par </w:t>
      </w:r>
      <w:r>
        <w:rPr>
          <w:rStyle w:val="optioncarChar"/>
        </w:rPr>
        <w:t xml:space="preserve">un détecteur de présence </w:t>
      </w:r>
      <w:r>
        <w:t>(par défaut)</w:t>
      </w:r>
      <w:r>
        <w:rPr>
          <w:rStyle w:val="optioncarChar"/>
        </w:rPr>
        <w:t xml:space="preserve"> / un détecteur d’impact / *** </w:t>
      </w:r>
    </w:p>
    <w:p w14:paraId="6BADB0F1" w14:textId="77777777" w:rsidR="00772179" w:rsidRDefault="00000000">
      <w:pPr>
        <w:jc w:val="both"/>
      </w:pPr>
      <w:r>
        <w:t>En cas de panne, un dispositif manuel est disponible.</w:t>
      </w:r>
    </w:p>
    <w:p w14:paraId="0169F21C" w14:textId="77777777" w:rsidR="00772179" w:rsidRDefault="00000000">
      <w:pPr>
        <w:jc w:val="both"/>
      </w:pPr>
      <w:r>
        <w:t xml:space="preserve">Le dispositif électronique contrôle </w:t>
      </w:r>
      <w:r>
        <w:rPr>
          <w:rStyle w:val="optioncarChar"/>
        </w:rPr>
        <w:t>1</w:t>
      </w:r>
      <w:r>
        <w:t xml:space="preserve"> (par défaut) </w:t>
      </w:r>
      <w:r>
        <w:rPr>
          <w:rStyle w:val="optioncarChar"/>
        </w:rPr>
        <w:t>/ 2 / 3 / ***</w:t>
      </w:r>
      <w:r>
        <w:t xml:space="preserve"> point(s) de fermeture.</w:t>
      </w:r>
    </w:p>
    <w:p w14:paraId="5879C6A8" w14:textId="77777777" w:rsidR="00772179" w:rsidRDefault="00000000">
      <w:pPr>
        <w:jc w:val="both"/>
      </w:pPr>
      <w:r>
        <w:t xml:space="preserve">Le module de commande électronique est défini dans l’élément </w:t>
      </w:r>
      <w:hyperlink w:anchor="966" w:history="1">
        <w:r>
          <w:rPr>
            <w:color w:val="0000EE"/>
          </w:rPr>
          <w:t>41.72.4b Systèmes d'ouverture électroniques</w:t>
        </w:r>
      </w:hyperlink>
      <w:r>
        <w:t>.</w:t>
      </w:r>
    </w:p>
    <w:p w14:paraId="52C6F47F" w14:textId="77777777" w:rsidR="00772179" w:rsidRDefault="00000000">
      <w:pPr>
        <w:jc w:val="both"/>
      </w:pPr>
      <w:r>
        <w:t>Le mécanisme de manœuvre est constitué d’</w:t>
      </w:r>
      <w:r>
        <w:rPr>
          <w:rStyle w:val="optioncarChar"/>
        </w:rPr>
        <w:t xml:space="preserve">acier galvanisé </w:t>
      </w:r>
      <w:r>
        <w:t>(par défaut)</w:t>
      </w:r>
      <w:r>
        <w:rPr>
          <w:rStyle w:val="optioncarChar"/>
        </w:rPr>
        <w:t xml:space="preserve"> / aluminium anodisé / aluminium laqué de couleur *** / un matériau synthétique de couleur ***/ acier inoxydable / ***</w:t>
      </w:r>
      <w:r>
        <w:t>.</w:t>
      </w:r>
    </w:p>
    <w:p w14:paraId="359E8CCC" w14:textId="77777777" w:rsidR="00772179" w:rsidRDefault="00000000">
      <w:pPr>
        <w:jc w:val="both"/>
      </w:pPr>
      <w:r>
        <w:t xml:space="preserve">L’alimentation du système électronique est effectuée en </w:t>
      </w:r>
      <w:r>
        <w:rPr>
          <w:rStyle w:val="optioncarChar"/>
        </w:rPr>
        <w:t xml:space="preserve">courant continu 24V </w:t>
      </w:r>
      <w:r>
        <w:t>(par défaut)</w:t>
      </w:r>
      <w:r>
        <w:rPr>
          <w:rStyle w:val="optioncarChar"/>
        </w:rPr>
        <w:t xml:space="preserve"> / courant monophasé 220V / ***.</w:t>
      </w:r>
    </w:p>
    <w:p w14:paraId="1E8C2DBA" w14:textId="77777777" w:rsidR="00772179" w:rsidRDefault="00000000">
      <w:pPr>
        <w:jc w:val="both"/>
      </w:pPr>
      <w:r>
        <w:t>Les dispositifs de retenue électromagnétique pour les portes battantes sont conformes aux exigences de la [NBN EN 1155].</w:t>
      </w:r>
    </w:p>
    <w:p w14:paraId="02C2F438" w14:textId="77777777" w:rsidR="00772179" w:rsidRDefault="00000000">
      <w:pPr>
        <w:jc w:val="both"/>
      </w:pPr>
      <w:r>
        <w:t xml:space="preserve">La classe d’endurance du dispositif est </w:t>
      </w:r>
      <w:r>
        <w:rPr>
          <w:rStyle w:val="optioncarChar"/>
        </w:rPr>
        <w:t xml:space="preserve">f1 (5 000 cycles) </w:t>
      </w:r>
      <w:r>
        <w:t xml:space="preserve">(par défaut) </w:t>
      </w:r>
      <w:r>
        <w:rPr>
          <w:rStyle w:val="optioncarChar"/>
        </w:rPr>
        <w:t>/ f2 (10 000 cycles) / f3 (20 000 cycles) / f4 (50 000 cycles) / f5 (100000 cycles) / f6 (200 000 cycles) / f7 (500 000 cycles) / f8 (1 000 000 cycles)</w:t>
      </w:r>
      <w:r>
        <w:t>.</w:t>
      </w:r>
    </w:p>
    <w:p w14:paraId="0C1FABF0" w14:textId="77777777" w:rsidR="00772179" w:rsidRDefault="00000000">
      <w:pPr>
        <w:pStyle w:val="pheading"/>
      </w:pPr>
      <w:r>
        <w:t>EXÉCUTION / MISE EN ŒUVRE</w:t>
      </w:r>
    </w:p>
    <w:p w14:paraId="3613D462" w14:textId="77777777" w:rsidR="00772179" w:rsidRDefault="00000000">
      <w:pPr>
        <w:pStyle w:val="pheading"/>
      </w:pPr>
      <w:r>
        <w:t>- Prescriptions générales</w:t>
      </w:r>
    </w:p>
    <w:p w14:paraId="31C774EE" w14:textId="77777777" w:rsidR="00772179" w:rsidRDefault="00000000">
      <w:pPr>
        <w:jc w:val="both"/>
      </w:pPr>
      <w:r>
        <w:t>Le module de commande est défini dans l’élément </w:t>
      </w:r>
      <w:hyperlink w:anchor="966" w:history="1">
        <w:r>
          <w:rPr>
            <w:color w:val="0000EE"/>
          </w:rPr>
          <w:t>41.72.4b Systèmes d'ouverture électroniques</w:t>
        </w:r>
      </w:hyperlink>
      <w:r>
        <w:t> .</w:t>
      </w:r>
    </w:p>
    <w:p w14:paraId="4BDDA800" w14:textId="77777777" w:rsidR="00772179" w:rsidRDefault="00000000">
      <w:pPr>
        <w:jc w:val="both"/>
      </w:pPr>
      <w:r>
        <w:t>Les connexions et alimentations sont protégées </w:t>
      </w:r>
      <w:r>
        <w:rPr>
          <w:rStyle w:val="optioncarChar"/>
        </w:rPr>
        <w:t>dans les profils des portes </w:t>
      </w:r>
      <w:r>
        <w:t>(par défaut)</w:t>
      </w:r>
      <w:r>
        <w:rPr>
          <w:rStyle w:val="optioncarChar"/>
        </w:rPr>
        <w:t> / par des profilés d’habillage de couleur *** / ***</w:t>
      </w:r>
      <w:r>
        <w:t>.</w:t>
      </w:r>
    </w:p>
    <w:p w14:paraId="1182E42A" w14:textId="77777777" w:rsidR="00772179" w:rsidRDefault="00000000">
      <w:pPr>
        <w:jc w:val="both"/>
      </w:pPr>
      <w:r>
        <w:t>Les dispositifs de fermeture sont fixés </w:t>
      </w:r>
      <w:r>
        <w:rPr>
          <w:rStyle w:val="optioncarChar"/>
        </w:rPr>
        <w:t>dans le cadre du vantail de la porte</w:t>
      </w:r>
      <w:r>
        <w:t> (par défaut) </w:t>
      </w:r>
      <w:r>
        <w:rPr>
          <w:rStyle w:val="optioncarChar"/>
        </w:rPr>
        <w:t>/ dans la feuille de porte / ***</w:t>
      </w:r>
      <w:r>
        <w:t>.</w:t>
      </w:r>
    </w:p>
    <w:p w14:paraId="6577E2C4" w14:textId="77777777" w:rsidR="00772179" w:rsidRDefault="00000000">
      <w:pPr>
        <w:jc w:val="both"/>
      </w:pPr>
      <w:r>
        <w:t>Le réglage du dispositif de fermeture est réalisé afin de ne pas réduire la manœuvre des vantaux</w:t>
      </w:r>
    </w:p>
    <w:p w14:paraId="43436C4B" w14:textId="77777777" w:rsidR="00772179" w:rsidRDefault="00000000">
      <w:pPr>
        <w:jc w:val="both"/>
      </w:pPr>
      <w:r>
        <w:t>Les perturbations électromagnétiques générées par les systèmes d’ouverture ne dépassent pas les niveaux spécifiés dans la [NBN EN IEC 61000-6-3]. L’immunité des systèmes électroniques par rapport aux perturbations électromagnétiques est suffisante pour les perturbations du réseau spécifiée dans la [NBN EN IEC 61000-6-2].</w:t>
      </w:r>
    </w:p>
    <w:p w14:paraId="0C9E5317" w14:textId="77777777" w:rsidR="00772179" w:rsidRDefault="00000000">
      <w:pPr>
        <w:jc w:val="both"/>
      </w:pPr>
      <w:r>
        <w:lastRenderedPageBreak/>
        <w:t>Les systèmes d’ouverture par commande à distance ou liée à un réseau sont protégés contre toute utilisation non autorisée.</w:t>
      </w:r>
    </w:p>
    <w:p w14:paraId="30E644AA" w14:textId="77777777" w:rsidR="00772179" w:rsidRDefault="00000000">
      <w:pPr>
        <w:jc w:val="both"/>
      </w:pPr>
      <w:r>
        <w:t>Le dispositif de sécurité dispose :</w:t>
      </w:r>
    </w:p>
    <w:p w14:paraId="0CE50727" w14:textId="77777777" w:rsidR="00772179" w:rsidRDefault="00000000">
      <w:pPr>
        <w:pStyle w:val="Author-eListParagraph"/>
        <w:numPr>
          <w:ilvl w:val="0"/>
          <w:numId w:val="702"/>
        </w:numPr>
        <w:jc w:val="both"/>
      </w:pPr>
      <w:r>
        <w:t>d’un espace suffisamment grand entre la porte et le mur ;</w:t>
      </w:r>
    </w:p>
    <w:p w14:paraId="49500B08" w14:textId="77777777" w:rsidR="00772179" w:rsidRDefault="00772179">
      <w:pPr>
        <w:pStyle w:val="Author-eListParagraph"/>
        <w:numPr>
          <w:ilvl w:val="0"/>
          <w:numId w:val="702"/>
        </w:numPr>
        <w:jc w:val="both"/>
      </w:pPr>
    </w:p>
    <w:p w14:paraId="1EC3FDA9" w14:textId="77777777" w:rsidR="00772179" w:rsidRDefault="00000000">
      <w:pPr>
        <w:pStyle w:val="Author-eListParagraph"/>
        <w:numPr>
          <w:ilvl w:val="0"/>
          <w:numId w:val="702"/>
        </w:numPr>
        <w:jc w:val="both"/>
      </w:pPr>
      <w:r>
        <w:t>d’une protection des zones dangereuses (à l'aide d'un dispositif de protection pour les doigts, notamment) ;</w:t>
      </w:r>
    </w:p>
    <w:p w14:paraId="5FE7085F" w14:textId="77777777" w:rsidR="00772179" w:rsidRDefault="00772179">
      <w:pPr>
        <w:pStyle w:val="Author-eListParagraph"/>
        <w:numPr>
          <w:ilvl w:val="0"/>
          <w:numId w:val="702"/>
        </w:numPr>
        <w:jc w:val="both"/>
      </w:pPr>
    </w:p>
    <w:p w14:paraId="3D390565" w14:textId="77777777" w:rsidR="00772179" w:rsidRDefault="00000000">
      <w:pPr>
        <w:pStyle w:val="Author-eListParagraph"/>
        <w:numPr>
          <w:ilvl w:val="0"/>
          <w:numId w:val="702"/>
        </w:numPr>
        <w:jc w:val="both"/>
      </w:pPr>
      <w:r>
        <w:t>d’une réduction de l'impact lors du contact avec la porte (la force mesurée sur le bord de la porte, côté fermeture, inférieure à </w:t>
      </w:r>
      <w:r>
        <w:rPr>
          <w:rStyle w:val="optioncarChar"/>
        </w:rPr>
        <w:t>50 </w:t>
      </w:r>
      <w:r>
        <w:t>(par défaut)</w:t>
      </w:r>
      <w:r>
        <w:rPr>
          <w:rStyle w:val="optioncarChar"/>
        </w:rPr>
        <w:t> / ***</w:t>
      </w:r>
      <w:r>
        <w:t> N et l'énergie cinétique de la porte en mouvement &lt; </w:t>
      </w:r>
      <w:r>
        <w:rPr>
          <w:rStyle w:val="optioncarChar"/>
        </w:rPr>
        <w:t>1,5 </w:t>
      </w:r>
      <w:r>
        <w:t>(par défaut)</w:t>
      </w:r>
      <w:r>
        <w:rPr>
          <w:rStyle w:val="optioncarChar"/>
        </w:rPr>
        <w:t> / ***</w:t>
      </w:r>
      <w:r>
        <w:t> J) en dotant la porte, partiellement ou entièrement, d'équipements de protection sensibles à la pression et/ou électro-sensibles.</w:t>
      </w:r>
    </w:p>
    <w:p w14:paraId="4F90C836" w14:textId="77777777" w:rsidR="00772179" w:rsidRDefault="00000000">
      <w:pPr>
        <w:jc w:val="both"/>
      </w:pPr>
      <w:r>
        <w:t>Les distances minimales sont conformes à la norme [NBN EN 16005:2023+A1] afin d'éviter le coincement et l’écrasement.</w:t>
      </w:r>
    </w:p>
    <w:p w14:paraId="005D9544" w14:textId="77777777" w:rsidR="00772179" w:rsidRDefault="00000000">
      <w:pPr>
        <w:pStyle w:val="pheading"/>
      </w:pPr>
      <w:r>
        <w:t>DOCUMENTS DE RÉFÉRENCE COMPLÉMENTAIRES</w:t>
      </w:r>
    </w:p>
    <w:p w14:paraId="2133F66C" w14:textId="77777777" w:rsidR="00772179" w:rsidRDefault="00000000">
      <w:pPr>
        <w:pStyle w:val="pheading"/>
      </w:pPr>
      <w:r>
        <w:t>- Matériau</w:t>
      </w:r>
    </w:p>
    <w:p w14:paraId="618140DC" w14:textId="77777777" w:rsidR="00772179" w:rsidRDefault="00000000">
      <w:r>
        <w:t>[Directive 2006/42/CE, Directive du Parlement européen et du Conseil relative aux machines et modifiant la directive 95/16/CE (refonte)]</w:t>
      </w:r>
    </w:p>
    <w:p w14:paraId="36A225EB" w14:textId="77777777" w:rsidR="00772179" w:rsidRDefault="00000000">
      <w:r>
        <w:t>[NBN E 48-001, Transmissions hydrauliques et pneumatiques - Pressions nominales]</w:t>
      </w:r>
    </w:p>
    <w:p w14:paraId="059574BA" w14:textId="77777777" w:rsidR="00772179" w:rsidRDefault="00000000">
      <w:r>
        <w:t>[NBN E 51-005, Machines pneumatiques rotatives, percutantes et roto- percutantes - Essais de fonctionnement (ISO 2787 : 1984)]</w:t>
      </w:r>
    </w:p>
    <w:p w14:paraId="51ABBA91" w14:textId="77777777" w:rsidR="00772179" w:rsidRDefault="00000000">
      <w:r>
        <w:t>[NBN EN ISO 4414, Transmissions pneumatiques - Règles générales et exigences de sécurité pour les systèmes et leurs composants (ISO 4414:2010)]</w:t>
      </w:r>
    </w:p>
    <w:p w14:paraId="442132F4" w14:textId="77777777" w:rsidR="00772179" w:rsidRDefault="00000000">
      <w:r>
        <w:t>[NBN EN 16005:2023+A1, Blocs-portes motorisés pour piétons - Sécurité d'utilisation - Exigences et méthodes d'essai]</w:t>
      </w:r>
    </w:p>
    <w:p w14:paraId="48AC9228" w14:textId="77777777" w:rsidR="00772179" w:rsidRDefault="00000000">
      <w:r>
        <w:t>[NBN EN IEC 61000-6-3, Compatibilité électromagnétique (CEM) - Partie 6-3: Normes génériques - Norme sur l'émission relative aux appareils utilisés dans les environnements résidentiels]</w:t>
      </w:r>
    </w:p>
    <w:p w14:paraId="1F6FE85E" w14:textId="77777777" w:rsidR="00772179" w:rsidRDefault="00000000">
      <w:r>
        <w:t>[NBN EN IEC 61000-6-2, Compatibilité électromagnétique (CEM) - Partie 6-2: Normes génériques - Norme d'immunité pour les environnements industriels]</w:t>
      </w:r>
    </w:p>
    <w:p w14:paraId="23321DD7" w14:textId="77777777" w:rsidR="00772179" w:rsidRDefault="00000000">
      <w:r>
        <w:t>[NBN EN 60335-2-97, Appareils électrodomestiques et analogues - Sécurité - Partie 2-97 : Règles particulières pour les motorisations de volets, stores, rideaux et équipements enroulables analogues]</w:t>
      </w:r>
    </w:p>
    <w:p w14:paraId="54AF83B7" w14:textId="77777777" w:rsidR="00772179" w:rsidRDefault="00000000">
      <w:r>
        <w:t>[NBN EN ISO 12100, Sécurité des machines - Principes généraux de conception - Appréciation du risque et réduction du risque (ISO 12100:2010)]</w:t>
      </w:r>
    </w:p>
    <w:p w14:paraId="6C5CEFAD" w14:textId="77777777" w:rsidR="00772179" w:rsidRDefault="00000000">
      <w:r>
        <w:t>[NBN EN 764-7, Equipements sous pression - Partie 7: Systèmes de sécurité pour équipements sous pression non soumis à la flamme (+ AC:2004) (+ AC:2006)]</w:t>
      </w:r>
    </w:p>
    <w:p w14:paraId="4463A4C7" w14:textId="77777777" w:rsidR="00772179" w:rsidRDefault="00000000">
      <w:r>
        <w:t>[NBN EN 1155, Quincaillerie pour le bâtiment - Dispositifs de retenue électromagnétique pour portes battantes - Prescriptions et méthodes d'essai]</w:t>
      </w:r>
    </w:p>
    <w:p w14:paraId="3DB5338B" w14:textId="77777777" w:rsidR="00772179" w:rsidRDefault="00000000">
      <w:r>
        <w:t>[NBN EN 14637, Quincaillerie pour le bâtiment - Systèmes de retenue contrôlés électriquement pour blocs-portes, coupe-feu ou pare-fumée - Exigences, méthode d'essai, mise en oeuvre et maintenance]</w:t>
      </w:r>
    </w:p>
    <w:p w14:paraId="6B873FBF" w14:textId="77777777" w:rsidR="00772179" w:rsidRDefault="00000000">
      <w:pPr>
        <w:pStyle w:val="pheading"/>
      </w:pPr>
      <w:r>
        <w:t>- Exécution</w:t>
      </w:r>
    </w:p>
    <w:p w14:paraId="3EA583F0" w14:textId="77777777" w:rsidR="00772179" w:rsidRDefault="00000000">
      <w:r>
        <w:t>[CEN/TR 15894, Quincaillerie pour le bâtiment - Accessoires de portes pour enfants, personnes âgées ou personnes handicapées dans les habitations et bâtiments publics - Guide destiné aux prescripteurs]</w:t>
      </w:r>
    </w:p>
    <w:p w14:paraId="6EC36A46" w14:textId="77777777" w:rsidR="00772179" w:rsidRDefault="00000000">
      <w:pPr>
        <w:pStyle w:val="pheading"/>
      </w:pPr>
      <w:r>
        <w:t>MESURAGE</w:t>
      </w:r>
    </w:p>
    <w:p w14:paraId="59D0E255" w14:textId="77777777" w:rsidR="00772179" w:rsidRDefault="00000000">
      <w:pPr>
        <w:pStyle w:val="pheading"/>
      </w:pPr>
      <w:r>
        <w:t>- unité de mesure:</w:t>
      </w:r>
    </w:p>
    <w:p w14:paraId="3D87CE17" w14:textId="77777777" w:rsidR="00772179" w:rsidRDefault="00000000">
      <w:r>
        <w:rPr>
          <w:rStyle w:val="optioncarChar"/>
        </w:rPr>
        <w:lastRenderedPageBreak/>
        <w:t xml:space="preserve">- </w:t>
      </w:r>
      <w:r>
        <w:t>(par défaut)</w:t>
      </w:r>
      <w:r>
        <w:rPr>
          <w:rStyle w:val="optioncarChar"/>
        </w:rPr>
        <w:t xml:space="preserve"> / pc</w:t>
      </w:r>
    </w:p>
    <w:p w14:paraId="1DFA21D2" w14:textId="77777777" w:rsidR="00772179" w:rsidRDefault="00000000">
      <w:r>
        <w:rPr>
          <w:b/>
          <w:i/>
        </w:rPr>
        <w:t>(soit par défaut)</w:t>
      </w:r>
    </w:p>
    <w:p w14:paraId="1FF04A7C" w14:textId="77777777" w:rsidR="00772179" w:rsidRDefault="00000000">
      <w:r>
        <w:rPr>
          <w:rStyle w:val="soitChar"/>
        </w:rPr>
        <w:t>1.     –</w:t>
      </w:r>
    </w:p>
    <w:p w14:paraId="60663EAD" w14:textId="77777777" w:rsidR="00772179" w:rsidRDefault="00000000">
      <w:r>
        <w:rPr>
          <w:b/>
          <w:i/>
        </w:rPr>
        <w:t>(soit)</w:t>
      </w:r>
    </w:p>
    <w:p w14:paraId="4D7F6590" w14:textId="77777777" w:rsidR="00772179" w:rsidRDefault="00000000">
      <w:r>
        <w:rPr>
          <w:rStyle w:val="soitChar"/>
        </w:rPr>
        <w:t>2.     pc</w:t>
      </w:r>
    </w:p>
    <w:p w14:paraId="2B6822AD" w14:textId="77777777" w:rsidR="00772179" w:rsidRDefault="00000000">
      <w:pPr>
        <w:pStyle w:val="pheading"/>
      </w:pPr>
      <w:r>
        <w:t>- code de mesurage:</w:t>
      </w:r>
    </w:p>
    <w:p w14:paraId="550706C3" w14:textId="77777777" w:rsidR="00772179" w:rsidRDefault="00000000">
      <w:r>
        <w:rPr>
          <w:rStyle w:val="optioncarChar"/>
        </w:rPr>
        <w:t xml:space="preserve">Compris </w:t>
      </w:r>
      <w:r>
        <w:t xml:space="preserve">(par défaut) </w:t>
      </w:r>
      <w:r>
        <w:rPr>
          <w:rStyle w:val="optioncarChar"/>
        </w:rPr>
        <w:t>/ quantité nette</w:t>
      </w:r>
    </w:p>
    <w:p w14:paraId="099B3E5C" w14:textId="77777777" w:rsidR="00772179" w:rsidRDefault="00000000">
      <w:r>
        <w:rPr>
          <w:b/>
          <w:i/>
        </w:rPr>
        <w:t>(soit par défaut)</w:t>
      </w:r>
    </w:p>
    <w:p w14:paraId="23B408E5" w14:textId="77777777" w:rsidR="00772179" w:rsidRDefault="00000000">
      <w:r>
        <w:rPr>
          <w:rStyle w:val="soitChar"/>
          <w:u w:val="single"/>
        </w:rPr>
        <w:t>1. Compris :</w:t>
      </w:r>
      <w:r>
        <w:rPr>
          <w:rStyle w:val="soitChar"/>
        </w:rPr>
        <w:t xml:space="preserve"> Les systèmes, détecteurs et modules de commande sont compris dans le prix unitaire des portes dans l’élément</w:t>
      </w:r>
      <w:r>
        <w:t>   </w:t>
      </w:r>
      <w:r>
        <w:rPr>
          <w:rStyle w:val="optioncarChar"/>
        </w:rPr>
        <w:t>***</w:t>
      </w:r>
      <w:r>
        <w:t>   </w:t>
      </w:r>
      <w:r>
        <w:rPr>
          <w:rStyle w:val="soitChar"/>
        </w:rPr>
        <w:t>et ne sont pas mesurés</w:t>
      </w:r>
    </w:p>
    <w:p w14:paraId="4CC5F8E1" w14:textId="77777777" w:rsidR="00772179" w:rsidRDefault="00000000">
      <w:r>
        <w:rPr>
          <w:b/>
          <w:i/>
        </w:rPr>
        <w:t>(soit)</w:t>
      </w:r>
      <w:r>
        <w:br/>
      </w:r>
      <w:r>
        <w:br/>
      </w:r>
      <w:r>
        <w:rPr>
          <w:rStyle w:val="soitChar"/>
          <w:u w:val="single"/>
        </w:rPr>
        <w:t>2. Quantité nette </w:t>
      </w:r>
      <w:r>
        <w:rPr>
          <w:rStyle w:val="soitChar"/>
        </w:rPr>
        <w:t>: Les moteurs et actionneurs, détecteurs et modules de commande sont décrits.</w:t>
      </w:r>
    </w:p>
    <w:p w14:paraId="61E9B8B6" w14:textId="77777777" w:rsidR="00772179" w:rsidRDefault="00000000">
      <w:pPr>
        <w:pStyle w:val="pheading"/>
      </w:pPr>
      <w:r>
        <w:t>- nature du marché:</w:t>
      </w:r>
    </w:p>
    <w:p w14:paraId="5E600A50" w14:textId="77777777" w:rsidR="00772179" w:rsidRDefault="00000000">
      <w:r>
        <w:rPr>
          <w:rStyle w:val="optioncarChar"/>
        </w:rPr>
        <w:t xml:space="preserve">PM </w:t>
      </w:r>
      <w:r>
        <w:t xml:space="preserve">(par défaut) </w:t>
      </w:r>
      <w:r>
        <w:rPr>
          <w:rStyle w:val="optioncarChar"/>
        </w:rPr>
        <w:t>/ QF</w:t>
      </w:r>
    </w:p>
    <w:p w14:paraId="257883FE" w14:textId="77777777" w:rsidR="00772179" w:rsidRDefault="00000000">
      <w:r>
        <w:rPr>
          <w:b/>
          <w:i/>
        </w:rPr>
        <w:t>(soit par défaut)</w:t>
      </w:r>
    </w:p>
    <w:p w14:paraId="1B6C7474" w14:textId="77777777" w:rsidR="00772179" w:rsidRDefault="00000000">
      <w:r>
        <w:rPr>
          <w:rStyle w:val="soitChar"/>
        </w:rPr>
        <w:t>1. PM</w:t>
      </w:r>
    </w:p>
    <w:p w14:paraId="2ABC3D11" w14:textId="77777777" w:rsidR="00772179" w:rsidRDefault="00000000">
      <w:r>
        <w:rPr>
          <w:b/>
          <w:i/>
        </w:rPr>
        <w:t>(soit)</w:t>
      </w:r>
    </w:p>
    <w:p w14:paraId="127F6E20" w14:textId="77777777" w:rsidR="00772179" w:rsidRDefault="00000000">
      <w:r>
        <w:rPr>
          <w:rStyle w:val="soitChar"/>
        </w:rPr>
        <w:t>2. QF</w:t>
      </w:r>
    </w:p>
    <w:p w14:paraId="3DB076E6" w14:textId="77777777" w:rsidR="00772179" w:rsidRDefault="00000000">
      <w:pPr>
        <w:pStyle w:val="Author-eSectionHeading6Numberless"/>
      </w:pPr>
      <w:bookmarkStart w:id="349" w:name="_Toc220490075"/>
      <w:r>
        <w:t>41.72.4b Systèmes d'ouverture électroniques CCTB 01.11</w:t>
      </w:r>
      <w:bookmarkEnd w:id="349"/>
    </w:p>
    <w:p w14:paraId="35CE3504" w14:textId="77777777" w:rsidR="00772179" w:rsidRDefault="00000000">
      <w:pPr>
        <w:pStyle w:val="pheading"/>
      </w:pPr>
      <w:bookmarkStart w:id="350" w:name="966"/>
      <w:bookmarkEnd w:id="350"/>
      <w:r>
        <w:t>DESCRIPTION</w:t>
      </w:r>
    </w:p>
    <w:p w14:paraId="42D49DAA" w14:textId="77777777" w:rsidR="00772179" w:rsidRDefault="00000000">
      <w:pPr>
        <w:pStyle w:val="pheading"/>
      </w:pPr>
      <w:r>
        <w:t>- Définition / Comprend</w:t>
      </w:r>
    </w:p>
    <w:p w14:paraId="71B159F9" w14:textId="77777777" w:rsidR="00772179" w:rsidRDefault="00000000">
      <w:pPr>
        <w:jc w:val="both"/>
      </w:pPr>
      <w:r>
        <w:t xml:space="preserve">Il s’agit de la fourniture et la pose des systèmes d’ouverture électroniques. Cet article est à considérer en complément des descriptions des portes d’entrée - éléments </w:t>
      </w:r>
      <w:hyperlink w:anchor="904" w:history="1">
        <w:r>
          <w:rPr>
            <w:color w:val="0000EE"/>
          </w:rPr>
          <w:t>41.2 Portes d'entrée</w:t>
        </w:r>
      </w:hyperlink>
      <w:r>
        <w:t xml:space="preserve"> et ceux des niveaux inférieurs</w:t>
      </w:r>
    </w:p>
    <w:p w14:paraId="3BD58FC8" w14:textId="77777777" w:rsidR="00772179" w:rsidRDefault="00000000">
      <w:pPr>
        <w:jc w:val="both"/>
      </w:pPr>
      <w:r>
        <w:t>Les systèmes d’ouverture électroniques regroupent tous les systèmes permettant d’activer l’ouverture ou la fermeture de la porte ou de la menuiserie extérieure mais pas le mouvement de ceux-ci. L‘activation peut être opérée par détecteur de présence, de mouvement, incendie, par connexion à distance, par code d’accès, ...</w:t>
      </w:r>
    </w:p>
    <w:p w14:paraId="0AF9BBE8" w14:textId="77777777" w:rsidR="00772179" w:rsidRDefault="00000000">
      <w:pPr>
        <w:jc w:val="both"/>
      </w:pPr>
      <w:r>
        <w:t xml:space="preserve">Le mouvement de la porte ou de la menuiserie est repris dans l’élément </w:t>
      </w:r>
      <w:hyperlink w:anchor="967" w:history="1">
        <w:r>
          <w:rPr>
            <w:color w:val="0000EE"/>
          </w:rPr>
          <w:t>41.72.4a Systèmes d'ouverture mécaniques</w:t>
        </w:r>
      </w:hyperlink>
      <w:r>
        <w:t>.</w:t>
      </w:r>
    </w:p>
    <w:p w14:paraId="29AA7B5D" w14:textId="77777777" w:rsidR="00772179" w:rsidRDefault="00000000">
      <w:pPr>
        <w:jc w:val="both"/>
      </w:pPr>
      <w:r>
        <w:t>Les travaux comprennent la fourniture et la pose des systèmes d’ouverture électronique, y compris les pièces d’ajustage, la fixation sur la porte, accessoires de finition et les réglages.</w:t>
      </w:r>
    </w:p>
    <w:p w14:paraId="0C4B6E96" w14:textId="77777777" w:rsidR="00772179" w:rsidRDefault="00000000">
      <w:pPr>
        <w:pStyle w:val="pheading"/>
      </w:pPr>
      <w:r>
        <w:t>- Localisation</w:t>
      </w:r>
    </w:p>
    <w:p w14:paraId="44DE3520" w14:textId="77777777" w:rsidR="00772179" w:rsidRDefault="00000000">
      <w:pPr>
        <w:jc w:val="both"/>
      </w:pPr>
      <w:r>
        <w:t xml:space="preserve">La localisation des portes sur lesquelles les systèmes d’ouverture électroniques sont installés est la suivante : </w:t>
      </w:r>
      <w:r>
        <w:rPr>
          <w:rStyle w:val="optioncarChar"/>
        </w:rPr>
        <w:t>***</w:t>
      </w:r>
      <w:r>
        <w:t>.</w:t>
      </w:r>
    </w:p>
    <w:p w14:paraId="1BA8F527" w14:textId="77777777" w:rsidR="00772179" w:rsidRDefault="00000000">
      <w:pPr>
        <w:jc w:val="both"/>
      </w:pPr>
      <w:r>
        <w:t xml:space="preserve">Voir : </w:t>
      </w:r>
      <w:r>
        <w:rPr>
          <w:rStyle w:val="optioncarChar"/>
        </w:rPr>
        <w:t>plans et métrés détaillés / ***</w:t>
      </w:r>
      <w:r>
        <w:t>.</w:t>
      </w:r>
    </w:p>
    <w:p w14:paraId="3BD19B8E" w14:textId="77777777" w:rsidR="00772179" w:rsidRDefault="00000000">
      <w:pPr>
        <w:pStyle w:val="pheading"/>
      </w:pPr>
      <w:r>
        <w:t>MATÉRIAUX</w:t>
      </w:r>
    </w:p>
    <w:p w14:paraId="73496DE0" w14:textId="77777777" w:rsidR="00772179" w:rsidRDefault="00000000">
      <w:pPr>
        <w:pStyle w:val="pheading"/>
      </w:pPr>
      <w:r>
        <w:t>- Caractéristiques générales</w:t>
      </w:r>
    </w:p>
    <w:p w14:paraId="63091BAA" w14:textId="77777777" w:rsidR="00772179" w:rsidRDefault="00000000">
      <w:pPr>
        <w:jc w:val="both"/>
      </w:pPr>
      <w:r>
        <w:t>Le système d’ouverture permet le déclenchement des gâches d’ouverture de la porte.</w:t>
      </w:r>
    </w:p>
    <w:p w14:paraId="6F773B2C" w14:textId="77777777" w:rsidR="00772179" w:rsidRDefault="00000000">
      <w:pPr>
        <w:jc w:val="both"/>
      </w:pPr>
      <w:r>
        <w:t xml:space="preserve">Le dispositif électronique est activé par </w:t>
      </w:r>
      <w:r>
        <w:rPr>
          <w:rStyle w:val="optioncarChar"/>
        </w:rPr>
        <w:t>code d’accès par clavier</w:t>
      </w:r>
      <w:r>
        <w:t xml:space="preserve"> (par défaut)</w:t>
      </w:r>
      <w:r>
        <w:rPr>
          <w:rStyle w:val="optioncarChar"/>
        </w:rPr>
        <w:t xml:space="preserve"> / commande à distance hertzienne / commande à distance via réseau ou téléphonie / par détecteur de présence / par </w:t>
      </w:r>
      <w:r>
        <w:rPr>
          <w:rStyle w:val="optioncarChar"/>
        </w:rPr>
        <w:lastRenderedPageBreak/>
        <w:t>détecteur de fumée ou d’incendie / par détecteur de CO2 / ***</w:t>
      </w:r>
      <w:r>
        <w:t xml:space="preserve">. Le dispositif verrouille ou déverrouille la porte </w:t>
      </w:r>
      <w:r>
        <w:rPr>
          <w:rStyle w:val="optioncarChar"/>
        </w:rPr>
        <w:t xml:space="preserve">sans induire de mouvement à la porte </w:t>
      </w:r>
      <w:r>
        <w:t>(par défaut)</w:t>
      </w:r>
      <w:r>
        <w:rPr>
          <w:rStyle w:val="optioncarChar"/>
        </w:rPr>
        <w:t xml:space="preserve"> / en induisant le début d’ouverture / ***.</w:t>
      </w:r>
    </w:p>
    <w:p w14:paraId="4C25EED6" w14:textId="77777777" w:rsidR="00772179" w:rsidRDefault="00000000">
      <w:pPr>
        <w:jc w:val="both"/>
      </w:pPr>
      <w:r>
        <w:t xml:space="preserve">Le dispositif électronique contrôle </w:t>
      </w:r>
      <w:r>
        <w:rPr>
          <w:rStyle w:val="optioncarChar"/>
        </w:rPr>
        <w:t xml:space="preserve">1 </w:t>
      </w:r>
      <w:r>
        <w:t>(par défaut)</w:t>
      </w:r>
      <w:r>
        <w:rPr>
          <w:rStyle w:val="optioncarChar"/>
        </w:rPr>
        <w:t xml:space="preserve"> / 2 / 3 / ***</w:t>
      </w:r>
      <w:r>
        <w:t xml:space="preserve"> point(s) de fermeture.</w:t>
      </w:r>
    </w:p>
    <w:p w14:paraId="6648584A" w14:textId="77777777" w:rsidR="00772179" w:rsidRDefault="00000000">
      <w:pPr>
        <w:jc w:val="both"/>
      </w:pPr>
      <w:r>
        <w:t xml:space="preserve">Le système est </w:t>
      </w:r>
      <w:r>
        <w:rPr>
          <w:rStyle w:val="optioncarChar"/>
        </w:rPr>
        <w:t xml:space="preserve">autonome </w:t>
      </w:r>
      <w:r>
        <w:t>(par défaut)</w:t>
      </w:r>
      <w:r>
        <w:rPr>
          <w:rStyle w:val="optioncarChar"/>
        </w:rPr>
        <w:t xml:space="preserve"> / s’ouvre / ***</w:t>
      </w:r>
      <w:r>
        <w:t xml:space="preserve"> lors de coupure d’électricité.</w:t>
      </w:r>
    </w:p>
    <w:p w14:paraId="006FF2D7" w14:textId="77777777" w:rsidR="00772179" w:rsidRDefault="00000000">
      <w:pPr>
        <w:jc w:val="both"/>
      </w:pPr>
      <w:r>
        <w:t xml:space="preserve">Le détecteur ou le récepteur est placé </w:t>
      </w:r>
      <w:r>
        <w:rPr>
          <w:rStyle w:val="optioncarChar"/>
        </w:rPr>
        <w:t>au-dessus de la porte</w:t>
      </w:r>
      <w:r>
        <w:t xml:space="preserve"> (par défaut) </w:t>
      </w:r>
      <w:r>
        <w:rPr>
          <w:rStyle w:val="optioncarChar"/>
        </w:rPr>
        <w:t>/ ***</w:t>
      </w:r>
      <w:r>
        <w:t>.</w:t>
      </w:r>
    </w:p>
    <w:p w14:paraId="61C3E16B" w14:textId="77777777" w:rsidR="00772179" w:rsidRDefault="00000000">
      <w:pPr>
        <w:jc w:val="both"/>
      </w:pPr>
      <w:r>
        <w:t>Le module de commande électronique est constitué d’</w:t>
      </w:r>
      <w:r>
        <w:rPr>
          <w:rStyle w:val="optioncarChar"/>
        </w:rPr>
        <w:t xml:space="preserve">aluminium brossé </w:t>
      </w:r>
      <w:r>
        <w:t>(par défaut)</w:t>
      </w:r>
      <w:r>
        <w:rPr>
          <w:rStyle w:val="optioncarChar"/>
        </w:rPr>
        <w:t xml:space="preserve"> / aluminium anodisé / aluminium laqué de couleur ***/ matériau synthétique de couleur *** / acier inoxydable / **</w:t>
      </w:r>
      <w:r>
        <w:t>*.</w:t>
      </w:r>
    </w:p>
    <w:p w14:paraId="32ABB25F" w14:textId="77777777" w:rsidR="00772179" w:rsidRDefault="00000000">
      <w:pPr>
        <w:jc w:val="both"/>
      </w:pPr>
      <w:r>
        <w:t xml:space="preserve">L’alimentation du système électronique est effectuée en </w:t>
      </w:r>
      <w:r>
        <w:rPr>
          <w:rStyle w:val="optioncarChar"/>
        </w:rPr>
        <w:t xml:space="preserve">courant continu 24V </w:t>
      </w:r>
      <w:r>
        <w:t xml:space="preserve">(par défaut) </w:t>
      </w:r>
      <w:r>
        <w:rPr>
          <w:rStyle w:val="optioncarChar"/>
        </w:rPr>
        <w:t>/ courant monophasé 220V / ***</w:t>
      </w:r>
      <w:r>
        <w:t>.</w:t>
      </w:r>
    </w:p>
    <w:p w14:paraId="7FE6A60C" w14:textId="77777777" w:rsidR="00772179" w:rsidRDefault="00000000">
      <w:pPr>
        <w:jc w:val="both"/>
      </w:pPr>
      <w:r>
        <w:t>Les dispositifs de fermeture par électro-aimant ou tout autre système de fermeture électronique sont actionnés avec des forces et des vitesses ne permettant pas d’écrasement de doigts.</w:t>
      </w:r>
    </w:p>
    <w:p w14:paraId="4E7D1BC3" w14:textId="77777777" w:rsidR="00772179" w:rsidRDefault="00000000">
      <w:pPr>
        <w:jc w:val="both"/>
      </w:pPr>
      <w:r>
        <w:t>Les dispositifs de retenue électromagnétique pour les portes battantes sont conformes aux exigences de la [NBN EN 1155].</w:t>
      </w:r>
    </w:p>
    <w:p w14:paraId="309ED5FE" w14:textId="77777777" w:rsidR="00772179" w:rsidRDefault="00000000">
      <w:pPr>
        <w:pStyle w:val="pheading"/>
      </w:pPr>
      <w:r>
        <w:t>EXÉCUTION / MISE EN ŒUVRE</w:t>
      </w:r>
    </w:p>
    <w:p w14:paraId="5884360E" w14:textId="77777777" w:rsidR="00772179" w:rsidRDefault="00000000">
      <w:pPr>
        <w:pStyle w:val="pheading"/>
      </w:pPr>
      <w:r>
        <w:t>- Prescriptions générales</w:t>
      </w:r>
    </w:p>
    <w:p w14:paraId="631AAD8C" w14:textId="77777777" w:rsidR="00772179" w:rsidRDefault="00000000">
      <w:pPr>
        <w:jc w:val="both"/>
      </w:pPr>
      <w:r>
        <w:t xml:space="preserve">Le module de commande est placé à une hauteur de </w:t>
      </w:r>
      <w:r>
        <w:rPr>
          <w:rStyle w:val="optioncarChar"/>
        </w:rPr>
        <w:t xml:space="preserve">110 cm </w:t>
      </w:r>
      <w:r>
        <w:t>(par défaut)</w:t>
      </w:r>
      <w:r>
        <w:rPr>
          <w:rStyle w:val="optioncarChar"/>
        </w:rPr>
        <w:t xml:space="preserve"> / ***</w:t>
      </w:r>
      <w:r>
        <w:t xml:space="preserve"> cm (par rapport au sol fini) du côté </w:t>
      </w:r>
      <w:r>
        <w:rPr>
          <w:rStyle w:val="optioncarChar"/>
        </w:rPr>
        <w:t xml:space="preserve">poignée de la porte </w:t>
      </w:r>
      <w:r>
        <w:t>(par défaut)</w:t>
      </w:r>
      <w:r>
        <w:rPr>
          <w:rStyle w:val="optioncarChar"/>
        </w:rPr>
        <w:t xml:space="preserve"> / ***</w:t>
      </w:r>
      <w:r>
        <w:t xml:space="preserve"> sur </w:t>
      </w:r>
      <w:r>
        <w:rPr>
          <w:rStyle w:val="optioncarChar"/>
        </w:rPr>
        <w:t>la paroi</w:t>
      </w:r>
      <w:r>
        <w:t xml:space="preserve"> (par défaut)</w:t>
      </w:r>
      <w:r>
        <w:rPr>
          <w:rStyle w:val="optioncarChar"/>
        </w:rPr>
        <w:t xml:space="preserve"> / la porte / ***.</w:t>
      </w:r>
    </w:p>
    <w:p w14:paraId="1180B45F" w14:textId="77777777" w:rsidR="00772179" w:rsidRDefault="00000000">
      <w:pPr>
        <w:jc w:val="both"/>
      </w:pPr>
      <w:r>
        <w:t>Le module de commande est situé à plus de 0,40 m d’un angle rentrant de parois, ou de tout autre obstacle, à l’approche d’un fauteuil roulant.</w:t>
      </w:r>
    </w:p>
    <w:p w14:paraId="11945231" w14:textId="77777777" w:rsidR="00772179" w:rsidRDefault="00000000">
      <w:pPr>
        <w:jc w:val="both"/>
      </w:pPr>
      <w:r>
        <w:t xml:space="preserve">Les connexions et alimentations sont protégées </w:t>
      </w:r>
      <w:r>
        <w:rPr>
          <w:rStyle w:val="optioncarChar"/>
        </w:rPr>
        <w:t xml:space="preserve">dans les profils des portes </w:t>
      </w:r>
      <w:r>
        <w:t>(par défaut)</w:t>
      </w:r>
      <w:r>
        <w:rPr>
          <w:rStyle w:val="optioncarChar"/>
        </w:rPr>
        <w:t xml:space="preserve"> / par des profilés d’habillage de couleur *** / ***</w:t>
      </w:r>
      <w:r>
        <w:t>.</w:t>
      </w:r>
    </w:p>
    <w:p w14:paraId="0221E5B1" w14:textId="77777777" w:rsidR="00772179" w:rsidRDefault="00000000">
      <w:pPr>
        <w:jc w:val="both"/>
      </w:pPr>
      <w:r>
        <w:t xml:space="preserve">Les dispositifs de fermeture sont fixés </w:t>
      </w:r>
      <w:r>
        <w:rPr>
          <w:rStyle w:val="optioncarChar"/>
        </w:rPr>
        <w:t xml:space="preserve">dans le cadre du vantail de la porte </w:t>
      </w:r>
      <w:r>
        <w:t>(par défaut)</w:t>
      </w:r>
      <w:r>
        <w:rPr>
          <w:rStyle w:val="optioncarChar"/>
        </w:rPr>
        <w:t xml:space="preserve"> / dans la feuille de porte / ***</w:t>
      </w:r>
      <w:r>
        <w:t>.</w:t>
      </w:r>
    </w:p>
    <w:p w14:paraId="69755A24" w14:textId="77777777" w:rsidR="00772179" w:rsidRDefault="00000000">
      <w:pPr>
        <w:jc w:val="both"/>
      </w:pPr>
      <w:r>
        <w:t>Le réglage du dispositif de fermeture est réalisé afin de ne pas réduire la manœuvre des vantaux.</w:t>
      </w:r>
    </w:p>
    <w:p w14:paraId="561002AD" w14:textId="77777777" w:rsidR="00772179" w:rsidRDefault="00000000">
      <w:pPr>
        <w:jc w:val="both"/>
      </w:pPr>
      <w:r>
        <w:t>Les perturbations électromagnétiques générées par les systèmes d’ouverture ne dépassent pas les niveaux spécifiés dans la [NBN EN IEC 61000-6-3]. L’immunité des systèmes électroniques par rapport aux perturbations électromagnétiques est suffisante pour les perturbations du réseau spécifiées dans la [NBN EN IEC 61000-6-2].</w:t>
      </w:r>
    </w:p>
    <w:p w14:paraId="3F439165" w14:textId="77777777" w:rsidR="00772179" w:rsidRDefault="00000000">
      <w:pPr>
        <w:jc w:val="both"/>
      </w:pPr>
      <w:r>
        <w:t>Les systèmes d’ouverture par commande à distance ou liée à un réseau sont protégés contre toutes utilisations non autorisées.</w:t>
      </w:r>
    </w:p>
    <w:p w14:paraId="1E2DB4C6" w14:textId="77777777" w:rsidR="00772179" w:rsidRDefault="00000000">
      <w:pPr>
        <w:jc w:val="both"/>
      </w:pPr>
      <w:r>
        <w:t>Les systèmes d’ouvertures et de fermetures électroniques sont exécutés conformément aux prescriptions du [CEN/TR 15894].</w:t>
      </w:r>
    </w:p>
    <w:p w14:paraId="5A7CC4AE" w14:textId="77777777" w:rsidR="00772179" w:rsidRDefault="00000000">
      <w:pPr>
        <w:pStyle w:val="pheading"/>
      </w:pPr>
      <w:r>
        <w:t>DOCUMENTS DE RÉFÉRENCE COMPLÉMENTAIRES</w:t>
      </w:r>
    </w:p>
    <w:p w14:paraId="7F921C40" w14:textId="77777777" w:rsidR="00772179" w:rsidRDefault="00000000">
      <w:pPr>
        <w:pStyle w:val="pheading"/>
      </w:pPr>
      <w:r>
        <w:t>- Matériau</w:t>
      </w:r>
    </w:p>
    <w:p w14:paraId="2352C9AC" w14:textId="77777777" w:rsidR="00772179" w:rsidRDefault="00000000">
      <w:r>
        <w:t>[NBN EN 1155, Quincaillerie pour le bâtiment - Dispositifs de retenue électromagnétique pour portes battantes - Prescriptions et méthodes d'essai]</w:t>
      </w:r>
    </w:p>
    <w:p w14:paraId="3A0FA03B" w14:textId="77777777" w:rsidR="00772179" w:rsidRDefault="00000000">
      <w:r>
        <w:t>[NBN EN 14637, Quincaillerie pour le bâtiment - Systèmes de retenue contrôlés électriquement pour blocs-portes, coupe-feu ou pare-fumée - Exigences, méthode d'essai, mise en oeuvre et maintenance]</w:t>
      </w:r>
    </w:p>
    <w:p w14:paraId="0482BB9F" w14:textId="77777777" w:rsidR="00772179" w:rsidRDefault="00000000">
      <w:pPr>
        <w:pStyle w:val="pheading"/>
      </w:pPr>
      <w:r>
        <w:t>- Exécution</w:t>
      </w:r>
    </w:p>
    <w:p w14:paraId="2664817B" w14:textId="77777777" w:rsidR="00772179" w:rsidRDefault="00000000">
      <w:r>
        <w:t>[NBN EN IEC 61000-6-3, Compatibilité électromagnétique (CEM) - Partie 6-3: Normes génériques - Norme sur l'émission relative aux appareils utilisés dans les environnements résidentiels]</w:t>
      </w:r>
    </w:p>
    <w:p w14:paraId="78C8006E" w14:textId="77777777" w:rsidR="00772179" w:rsidRDefault="00000000">
      <w:r>
        <w:t>[NBN EN IEC 61000-6-2, Compatibilité électromagnétique (CEM) - Partie 6-2: Normes génériques - Norme d'immunité pour les environnements industriels]</w:t>
      </w:r>
    </w:p>
    <w:p w14:paraId="2BC5775F" w14:textId="77777777" w:rsidR="00772179" w:rsidRDefault="00000000">
      <w:r>
        <w:lastRenderedPageBreak/>
        <w:t>[NBN EN 1155, Quincaillerie pour le bâtiment - Dispositifs de retenue électromagnétique pour portes battantes - Prescriptions et méthodes d'essai]</w:t>
      </w:r>
    </w:p>
    <w:p w14:paraId="51813148" w14:textId="77777777" w:rsidR="00772179" w:rsidRDefault="00000000">
      <w:r>
        <w:t>[CEN/TR 15894, Quincaillerie pour le bâtiment - Accessoires de portes pour enfants, personnes âgées ou personnes handicapées dans les habitations et bâtiments publics - Guide destiné aux prescripteurs]</w:t>
      </w:r>
    </w:p>
    <w:p w14:paraId="644C72B7" w14:textId="77777777" w:rsidR="00772179" w:rsidRDefault="00000000">
      <w:pPr>
        <w:pStyle w:val="pheading"/>
      </w:pPr>
      <w:r>
        <w:t>MESURAGE</w:t>
      </w:r>
    </w:p>
    <w:p w14:paraId="63D9D555" w14:textId="77777777" w:rsidR="00772179" w:rsidRDefault="00000000">
      <w:pPr>
        <w:pStyle w:val="pheading"/>
      </w:pPr>
      <w:r>
        <w:t>- unité de mesure:</w:t>
      </w:r>
    </w:p>
    <w:p w14:paraId="36DA0B93" w14:textId="77777777" w:rsidR="00772179" w:rsidRDefault="00000000">
      <w:r>
        <w:rPr>
          <w:rStyle w:val="optioncarChar"/>
        </w:rPr>
        <w:t xml:space="preserve">-  </w:t>
      </w:r>
      <w:r>
        <w:t xml:space="preserve">(par défaut) </w:t>
      </w:r>
      <w:r>
        <w:rPr>
          <w:rStyle w:val="optioncarChar"/>
        </w:rPr>
        <w:t>/ pc</w:t>
      </w:r>
    </w:p>
    <w:p w14:paraId="65FADD3E" w14:textId="77777777" w:rsidR="00772179" w:rsidRDefault="00000000">
      <w:r>
        <w:rPr>
          <w:b/>
          <w:i/>
        </w:rPr>
        <w:t>(soit par défaut)</w:t>
      </w:r>
    </w:p>
    <w:p w14:paraId="6406815E" w14:textId="77777777" w:rsidR="00772179" w:rsidRDefault="00000000">
      <w:r>
        <w:rPr>
          <w:rStyle w:val="soitChar"/>
        </w:rPr>
        <w:t>1. –</w:t>
      </w:r>
    </w:p>
    <w:p w14:paraId="689DD7ED" w14:textId="77777777" w:rsidR="00772179" w:rsidRDefault="00000000">
      <w:r>
        <w:rPr>
          <w:b/>
          <w:i/>
        </w:rPr>
        <w:t>(soit)</w:t>
      </w:r>
    </w:p>
    <w:p w14:paraId="0A7184B4" w14:textId="77777777" w:rsidR="00772179" w:rsidRDefault="00000000">
      <w:r>
        <w:rPr>
          <w:rStyle w:val="soitChar"/>
        </w:rPr>
        <w:t>2. pc</w:t>
      </w:r>
    </w:p>
    <w:p w14:paraId="3FFCAC8E" w14:textId="77777777" w:rsidR="00772179" w:rsidRDefault="00000000">
      <w:pPr>
        <w:pStyle w:val="pheading"/>
      </w:pPr>
      <w:r>
        <w:t>- code de mesurage:</w:t>
      </w:r>
    </w:p>
    <w:p w14:paraId="5B74A225" w14:textId="77777777" w:rsidR="00772179" w:rsidRDefault="00000000">
      <w:r>
        <w:rPr>
          <w:rStyle w:val="optioncarChar"/>
        </w:rPr>
        <w:t xml:space="preserve">Compris </w:t>
      </w:r>
      <w:r>
        <w:t xml:space="preserve">(par défaut) </w:t>
      </w:r>
      <w:r>
        <w:rPr>
          <w:rStyle w:val="optioncarChar"/>
        </w:rPr>
        <w:t>/ quantité nette</w:t>
      </w:r>
    </w:p>
    <w:p w14:paraId="247D4820" w14:textId="77777777" w:rsidR="00772179" w:rsidRDefault="00000000">
      <w:r>
        <w:rPr>
          <w:b/>
          <w:i/>
        </w:rPr>
        <w:t>(soit par défaut)</w:t>
      </w:r>
    </w:p>
    <w:p w14:paraId="7544AF91" w14:textId="77777777" w:rsidR="00772179" w:rsidRDefault="00000000">
      <w:r>
        <w:rPr>
          <w:rStyle w:val="soitChar"/>
          <w:u w:val="single"/>
        </w:rPr>
        <w:t>1. Compris :</w:t>
      </w:r>
      <w:r>
        <w:rPr>
          <w:rStyle w:val="soitChar"/>
        </w:rPr>
        <w:t xml:space="preserve"> Les systèmes, détecteurs et modules de commande sont compris dans le prix unitaire des portes dans l’élément</w:t>
      </w:r>
      <w:r>
        <w:t>   </w:t>
      </w:r>
      <w:r>
        <w:rPr>
          <w:rStyle w:val="optioncarChar"/>
        </w:rPr>
        <w:t>***</w:t>
      </w:r>
      <w:r>
        <w:t>   </w:t>
      </w:r>
      <w:r>
        <w:rPr>
          <w:rStyle w:val="soitChar"/>
        </w:rPr>
        <w:t>et ne seront pas mesurés.</w:t>
      </w:r>
    </w:p>
    <w:p w14:paraId="67103380" w14:textId="77777777" w:rsidR="00772179" w:rsidRDefault="00000000">
      <w:r>
        <w:rPr>
          <w:b/>
          <w:i/>
        </w:rPr>
        <w:t>(soit)</w:t>
      </w:r>
      <w:r>
        <w:br/>
      </w:r>
      <w:r>
        <w:br/>
      </w:r>
      <w:r>
        <w:rPr>
          <w:rStyle w:val="soitChar"/>
          <w:u w:val="single"/>
        </w:rPr>
        <w:t>2. Quantité nette :</w:t>
      </w:r>
      <w:r>
        <w:rPr>
          <w:rStyle w:val="soitChar"/>
        </w:rPr>
        <w:t xml:space="preserve"> Les systèmes, détecteurs et modules de commande ne sont pas compris dans le prix unitaire de la porte.</w:t>
      </w:r>
    </w:p>
    <w:p w14:paraId="7394B001" w14:textId="77777777" w:rsidR="00772179" w:rsidRDefault="00000000">
      <w:pPr>
        <w:pStyle w:val="pheading"/>
      </w:pPr>
      <w:r>
        <w:t>- nature du marché:</w:t>
      </w:r>
    </w:p>
    <w:p w14:paraId="2A3115E5" w14:textId="77777777" w:rsidR="00772179" w:rsidRDefault="00000000">
      <w:r>
        <w:rPr>
          <w:rStyle w:val="optioncarChar"/>
        </w:rPr>
        <w:t xml:space="preserve">PM </w:t>
      </w:r>
      <w:r>
        <w:t xml:space="preserve">(par défaut) </w:t>
      </w:r>
      <w:r>
        <w:rPr>
          <w:rStyle w:val="optioncarChar"/>
        </w:rPr>
        <w:t>/ QF</w:t>
      </w:r>
    </w:p>
    <w:p w14:paraId="3821ABAA" w14:textId="77777777" w:rsidR="00772179" w:rsidRDefault="00000000">
      <w:r>
        <w:rPr>
          <w:b/>
          <w:i/>
        </w:rPr>
        <w:t>(soit par défaut)</w:t>
      </w:r>
    </w:p>
    <w:p w14:paraId="7EC35871" w14:textId="77777777" w:rsidR="00772179" w:rsidRDefault="00000000">
      <w:r>
        <w:rPr>
          <w:rStyle w:val="soitChar"/>
        </w:rPr>
        <w:t>1.     PM</w:t>
      </w:r>
    </w:p>
    <w:p w14:paraId="2724F664" w14:textId="77777777" w:rsidR="00772179" w:rsidRDefault="00000000">
      <w:r>
        <w:rPr>
          <w:b/>
          <w:i/>
        </w:rPr>
        <w:t>(soit)</w:t>
      </w:r>
    </w:p>
    <w:p w14:paraId="500D203C" w14:textId="77777777" w:rsidR="00772179" w:rsidRDefault="00000000">
      <w:r>
        <w:rPr>
          <w:rStyle w:val="soitChar"/>
        </w:rPr>
        <w:t>2.     QF</w:t>
      </w:r>
    </w:p>
    <w:p w14:paraId="229A89B2" w14:textId="77777777" w:rsidR="00772179" w:rsidRDefault="00000000">
      <w:pPr>
        <w:pStyle w:val="Author-eSectionHeading6Numberless"/>
      </w:pPr>
      <w:bookmarkStart w:id="351" w:name="_Toc220490076"/>
      <w:r>
        <w:t>41.72.4c Barres anti-panique CCTB 01.11</w:t>
      </w:r>
      <w:bookmarkEnd w:id="351"/>
    </w:p>
    <w:p w14:paraId="1DA13AB9" w14:textId="77777777" w:rsidR="00772179" w:rsidRDefault="00000000">
      <w:pPr>
        <w:pStyle w:val="pheading"/>
      </w:pPr>
      <w:r>
        <w:t>DESCRIPTION</w:t>
      </w:r>
    </w:p>
    <w:p w14:paraId="4D568281" w14:textId="77777777" w:rsidR="00772179" w:rsidRDefault="00000000">
      <w:pPr>
        <w:pStyle w:val="pheading"/>
      </w:pPr>
      <w:r>
        <w:t>- Définition / Comprend</w:t>
      </w:r>
    </w:p>
    <w:p w14:paraId="0AD96AA7" w14:textId="77777777" w:rsidR="00772179" w:rsidRDefault="00000000">
      <w:pPr>
        <w:jc w:val="both"/>
      </w:pPr>
      <w:r>
        <w:t xml:space="preserve">Cet article décrit la fourniture et la pose des barres anti-panique. Cet article est à considérer en complément des descriptions des portes d’entrées - élément </w:t>
      </w:r>
      <w:hyperlink w:anchor="904" w:history="1">
        <w:r>
          <w:rPr>
            <w:color w:val="0000EE"/>
          </w:rPr>
          <w:t>41.2 Portes d'entrée</w:t>
        </w:r>
      </w:hyperlink>
      <w:r>
        <w:t xml:space="preserve"> et suivants.</w:t>
      </w:r>
    </w:p>
    <w:p w14:paraId="51DD4FB3" w14:textId="77777777" w:rsidR="00772179" w:rsidRDefault="00000000">
      <w:pPr>
        <w:jc w:val="both"/>
      </w:pPr>
      <w:r>
        <w:t>Les travaux comprennent la fourniture et la pose des barres anti-paniques et autres fermetures d’urgence, y compris les pièces d’ajustage, la fixation sur la porte, accessoires de finition et les réglages.</w:t>
      </w:r>
    </w:p>
    <w:p w14:paraId="3247675C" w14:textId="77777777" w:rsidR="00772179" w:rsidRDefault="00000000">
      <w:pPr>
        <w:jc w:val="both"/>
      </w:pPr>
      <w:r>
        <w:t>Les barres anti-panique couvrent deux produits différents :</w:t>
      </w:r>
    </w:p>
    <w:p w14:paraId="78550C62" w14:textId="77777777" w:rsidR="00772179" w:rsidRDefault="00000000">
      <w:pPr>
        <w:pStyle w:val="Author-eListParagraph"/>
        <w:numPr>
          <w:ilvl w:val="0"/>
          <w:numId w:val="703"/>
        </w:numPr>
      </w:pPr>
      <w:r>
        <w:t>Fermetures d’urgence pour issues de secours manœuvrées par une béquille ou une plaque de poussée destinées à être utilisées sur des voies d’évacuation [NBN EN 179]. Cette norme spécifie les systèmes utilisés dans des situations d’évacuation d’urgence lorsque des situations de panique sont peu probables.</w:t>
      </w:r>
    </w:p>
    <w:p w14:paraId="71C9153E" w14:textId="77777777" w:rsidR="00772179" w:rsidRDefault="00000000">
      <w:pPr>
        <w:pStyle w:val="Author-eListParagraph"/>
        <w:numPr>
          <w:ilvl w:val="0"/>
          <w:numId w:val="703"/>
        </w:numPr>
      </w:pPr>
      <w:r>
        <w:t>Fermeture anti-panique manœuvrées par une barre horizontale destinées à être utilisées sur des voies d’évacuation [NBN EN 1125]. Cette norme spécifie les systèmes utilisés dans des situations de panique.</w:t>
      </w:r>
    </w:p>
    <w:p w14:paraId="4A40DF4A" w14:textId="77777777" w:rsidR="00772179" w:rsidRDefault="00000000">
      <w:pPr>
        <w:jc w:val="both"/>
      </w:pPr>
      <w:r>
        <w:lastRenderedPageBreak/>
        <w:t>L’article ne couvre pas les systèmes de fermeture et anti-panique pour issues de secours contrôlés électriquement.</w:t>
      </w:r>
    </w:p>
    <w:p w14:paraId="35C2E5C9" w14:textId="77777777" w:rsidR="00772179" w:rsidRDefault="00000000">
      <w:pPr>
        <w:pStyle w:val="pheading"/>
      </w:pPr>
      <w:r>
        <w:t>- Localisation</w:t>
      </w:r>
    </w:p>
    <w:p w14:paraId="10F629F0" w14:textId="77777777" w:rsidR="00772179" w:rsidRDefault="00000000">
      <w:r>
        <w:t xml:space="preserve">La localisation des portes d’évacuation est la suivante : </w:t>
      </w:r>
      <w:r>
        <w:rPr>
          <w:rStyle w:val="optioncarChar"/>
        </w:rPr>
        <w:t>***</w:t>
      </w:r>
      <w:r>
        <w:t>.</w:t>
      </w:r>
    </w:p>
    <w:p w14:paraId="4EB38E77" w14:textId="77777777" w:rsidR="00772179" w:rsidRDefault="00000000">
      <w:r>
        <w:t xml:space="preserve">Voir : </w:t>
      </w:r>
      <w:r>
        <w:rPr>
          <w:rStyle w:val="optioncarChar"/>
        </w:rPr>
        <w:t>plans et métrés détaillés / ***</w:t>
      </w:r>
      <w:r>
        <w:t>.</w:t>
      </w:r>
    </w:p>
    <w:p w14:paraId="596D407F" w14:textId="77777777" w:rsidR="00772179" w:rsidRDefault="00000000">
      <w:pPr>
        <w:pStyle w:val="pheading"/>
      </w:pPr>
      <w:r>
        <w:t>MATÉRIAUX</w:t>
      </w:r>
    </w:p>
    <w:p w14:paraId="4F503D19" w14:textId="77777777" w:rsidR="00772179" w:rsidRDefault="00000000">
      <w:pPr>
        <w:pStyle w:val="pheading"/>
      </w:pPr>
      <w:r>
        <w:t>- Caractéristiques générales</w:t>
      </w:r>
    </w:p>
    <w:p w14:paraId="5444D6AD" w14:textId="77777777" w:rsidR="00772179" w:rsidRDefault="00000000">
      <w:pPr>
        <w:jc w:val="both"/>
      </w:pPr>
      <w:r>
        <w:t xml:space="preserve">Type de dispositif d’ouverture : </w:t>
      </w:r>
      <w:r>
        <w:rPr>
          <w:rStyle w:val="optioncarChar"/>
        </w:rPr>
        <w:t xml:space="preserve">barre horizontale de manœuvre fixée sur levier </w:t>
      </w:r>
      <w:r>
        <w:t xml:space="preserve">(par défaut) </w:t>
      </w:r>
      <w:r>
        <w:rPr>
          <w:rStyle w:val="optioncarChar"/>
        </w:rPr>
        <w:t>/ barre d’enfoncement/ béquille / plaque de poussée</w:t>
      </w:r>
      <w:r>
        <w:t> </w:t>
      </w:r>
    </w:p>
    <w:p w14:paraId="6FEC8895" w14:textId="77777777" w:rsidR="00772179" w:rsidRDefault="00000000">
      <w:pPr>
        <w:ind w:left="567"/>
        <w:jc w:val="both"/>
      </w:pPr>
      <w:r>
        <w:rPr>
          <w:b/>
          <w:i/>
        </w:rPr>
        <w:t>(soit par défaut)  </w:t>
      </w:r>
    </w:p>
    <w:p w14:paraId="60409EE2" w14:textId="77777777" w:rsidR="00772179" w:rsidRDefault="00772179">
      <w:pPr>
        <w:ind w:left="567"/>
        <w:jc w:val="both"/>
      </w:pPr>
    </w:p>
    <w:p w14:paraId="2A1C2D87" w14:textId="77777777" w:rsidR="00772179" w:rsidRDefault="00000000">
      <w:pPr>
        <w:ind w:left="567"/>
        <w:jc w:val="both"/>
      </w:pPr>
      <w:r>
        <w:rPr>
          <w:rStyle w:val="soitChar"/>
          <w:u w:val="single"/>
        </w:rPr>
        <w:t>Barre horizontale de manœuvre</w:t>
      </w:r>
      <w:r>
        <w:rPr>
          <w:rStyle w:val="soitChar"/>
        </w:rPr>
        <w:t xml:space="preserve"> anti-panique avec une barre de poussée </w:t>
      </w:r>
      <w:r>
        <w:rPr>
          <w:rStyle w:val="soitChar"/>
          <w:u w:val="single"/>
        </w:rPr>
        <w:t>fixée sur des leviers</w:t>
      </w:r>
      <w:r>
        <w:rPr>
          <w:rStyle w:val="soitChar"/>
        </w:rPr>
        <w:t xml:space="preserve"> de supports pivotants et qui fonctionne dans la direction de la sortie et/ou dans un arc de cercle vers le bas. Il s’agit du système d’ouverture de </w:t>
      </w:r>
      <w:r>
        <w:rPr>
          <w:rStyle w:val="soitChar"/>
          <w:b/>
        </w:rPr>
        <w:t>Type A selon la norme [NBN EN 1125]. </w:t>
      </w:r>
    </w:p>
    <w:p w14:paraId="160B5D53" w14:textId="77777777" w:rsidR="00772179" w:rsidRDefault="00000000">
      <w:pPr>
        <w:ind w:left="567"/>
        <w:jc w:val="both"/>
      </w:pPr>
      <w:r>
        <w:rPr>
          <w:b/>
          <w:i/>
        </w:rPr>
        <w:t>(soit)  </w:t>
      </w:r>
    </w:p>
    <w:p w14:paraId="4D08055B" w14:textId="77777777" w:rsidR="00772179" w:rsidRDefault="00772179">
      <w:pPr>
        <w:ind w:left="567"/>
        <w:jc w:val="both"/>
      </w:pPr>
    </w:p>
    <w:p w14:paraId="47C2437C" w14:textId="77777777" w:rsidR="00772179" w:rsidRDefault="00000000">
      <w:pPr>
        <w:ind w:left="567"/>
        <w:jc w:val="both"/>
      </w:pPr>
      <w:r>
        <w:rPr>
          <w:rStyle w:val="soitChar"/>
          <w:u w:val="single"/>
        </w:rPr>
        <w:t>Barre d’enfoncement </w:t>
      </w:r>
      <w:r>
        <w:rPr>
          <w:rStyle w:val="soitChar"/>
          <w:b/>
        </w:rPr>
        <w:t>Type B conforme à la norme [NBN EN 1125].</w:t>
      </w:r>
      <w:r>
        <w:rPr>
          <w:rStyle w:val="soitChar"/>
        </w:rPr>
        <w:t> Le dispositif est constitué </w:t>
      </w:r>
      <w:r>
        <w:rPr>
          <w:rStyle w:val="optioncarChar"/>
        </w:rPr>
        <w:t xml:space="preserve">d’une barre horizontale </w:t>
      </w:r>
      <w:r>
        <w:t>(par défaut)</w:t>
      </w:r>
      <w:r>
        <w:rPr>
          <w:rStyle w:val="optioncarChar"/>
        </w:rPr>
        <w:t xml:space="preserve"> / partie d’un support *** / partie d’un système de montage ***</w:t>
      </w:r>
      <w:r>
        <w:rPr>
          <w:rStyle w:val="soitChar"/>
        </w:rPr>
        <w:t xml:space="preserve"> . Le dispositif est actionné en direction de la sortie.</w:t>
      </w:r>
    </w:p>
    <w:p w14:paraId="02A3B435" w14:textId="77777777" w:rsidR="00772179" w:rsidRDefault="00000000">
      <w:pPr>
        <w:ind w:left="567"/>
        <w:jc w:val="both"/>
      </w:pPr>
      <w:r>
        <w:rPr>
          <w:b/>
          <w:i/>
        </w:rPr>
        <w:t>(soit) </w:t>
      </w:r>
    </w:p>
    <w:p w14:paraId="5D4505A8" w14:textId="77777777" w:rsidR="00772179" w:rsidRDefault="00772179">
      <w:pPr>
        <w:ind w:left="567"/>
        <w:jc w:val="both"/>
      </w:pPr>
    </w:p>
    <w:p w14:paraId="3BF6E4E9" w14:textId="77777777" w:rsidR="00772179" w:rsidRDefault="00000000">
      <w:pPr>
        <w:ind w:left="567"/>
        <w:jc w:val="both"/>
      </w:pPr>
      <w:r>
        <w:rPr>
          <w:rStyle w:val="soitChar"/>
          <w:u w:val="single"/>
        </w:rPr>
        <w:t>Béquille:</w:t>
      </w:r>
      <w:r>
        <w:rPr>
          <w:rStyle w:val="soitChar"/>
        </w:rPr>
        <w:t xml:space="preserve"> Dispositif d’ouverture d’urgence avec manœuvre par béquille. Il s’agit du dispositf de </w:t>
      </w:r>
      <w:r>
        <w:rPr>
          <w:rStyle w:val="soitChar"/>
          <w:b/>
        </w:rPr>
        <w:t>type A selon la norme [NBN EN 179]</w:t>
      </w:r>
      <w:r>
        <w:rPr>
          <w:rStyle w:val="soitChar"/>
        </w:rPr>
        <w:t>.</w:t>
      </w:r>
    </w:p>
    <w:p w14:paraId="09B89830" w14:textId="77777777" w:rsidR="00772179" w:rsidRDefault="00000000">
      <w:pPr>
        <w:ind w:left="567"/>
        <w:jc w:val="both"/>
      </w:pPr>
      <w:r>
        <w:rPr>
          <w:b/>
          <w:i/>
        </w:rPr>
        <w:t>(soit) </w:t>
      </w:r>
    </w:p>
    <w:p w14:paraId="09B31F3D" w14:textId="77777777" w:rsidR="00772179" w:rsidRDefault="00772179">
      <w:pPr>
        <w:ind w:left="567"/>
        <w:jc w:val="both"/>
      </w:pPr>
    </w:p>
    <w:p w14:paraId="37C22AAC" w14:textId="77777777" w:rsidR="00772179" w:rsidRDefault="00000000">
      <w:pPr>
        <w:ind w:left="567"/>
        <w:jc w:val="both"/>
      </w:pPr>
      <w:r>
        <w:rPr>
          <w:rStyle w:val="soitChar"/>
          <w:u w:val="single"/>
        </w:rPr>
        <w:t>Plaque de poussée :</w:t>
      </w:r>
      <w:r>
        <w:rPr>
          <w:rStyle w:val="soitChar"/>
        </w:rPr>
        <w:t xml:space="preserve"> Dispositif d’ouverture d’urgence avec manœuvre par plaque de poussée. Il s’agit du dispositf de </w:t>
      </w:r>
      <w:r>
        <w:rPr>
          <w:rStyle w:val="soitChar"/>
          <w:b/>
        </w:rPr>
        <w:t>type B selon la norme [NBN EN 179].</w:t>
      </w:r>
      <w:r>
        <w:t> </w:t>
      </w:r>
    </w:p>
    <w:p w14:paraId="2EEBD536" w14:textId="77777777" w:rsidR="00772179" w:rsidRDefault="00000000">
      <w:pPr>
        <w:jc w:val="both"/>
      </w:pPr>
      <w:r>
        <w:t xml:space="preserve">Le système permet l’engagement de </w:t>
      </w:r>
      <w:r>
        <w:rPr>
          <w:rStyle w:val="optioncarChar"/>
        </w:rPr>
        <w:t xml:space="preserve">1 </w:t>
      </w:r>
      <w:r>
        <w:t xml:space="preserve">(par défaut) </w:t>
      </w:r>
      <w:r>
        <w:rPr>
          <w:rStyle w:val="optioncarChar"/>
        </w:rPr>
        <w:t>/ 2 / 3 / ***</w:t>
      </w:r>
      <w:r>
        <w:t xml:space="preserve"> pênes</w:t>
      </w:r>
    </w:p>
    <w:p w14:paraId="285F5275" w14:textId="77777777" w:rsidR="00772179" w:rsidRDefault="00000000">
      <w:pPr>
        <w:jc w:val="both"/>
      </w:pPr>
      <w:r>
        <w:rPr>
          <w:b/>
        </w:rPr>
        <w:t>Pour les fermetures anti-panique répondant à la [NBN EN 1125],</w:t>
      </w:r>
    </w:p>
    <w:p w14:paraId="6BEB242C" w14:textId="77777777" w:rsidR="00772179" w:rsidRDefault="00000000">
      <w:pPr>
        <w:pStyle w:val="Author-eListParagraph"/>
        <w:numPr>
          <w:ilvl w:val="0"/>
          <w:numId w:val="704"/>
        </w:numPr>
      </w:pPr>
      <w:r>
        <w:t>Fermetures anti-panique sont montées du côté du chemin de fuite</w:t>
      </w:r>
    </w:p>
    <w:p w14:paraId="36D7ABBD" w14:textId="77777777" w:rsidR="00772179" w:rsidRDefault="00000000">
      <w:pPr>
        <w:pStyle w:val="Author-eListParagraph"/>
        <w:numPr>
          <w:ilvl w:val="0"/>
          <w:numId w:val="704"/>
        </w:numPr>
      </w:pPr>
      <w:r>
        <w:t>La fermeture permet à la porte de battre librement dans la direction de la sortie une fois la porte déverrouillée</w:t>
      </w:r>
    </w:p>
    <w:p w14:paraId="0AE43FF7" w14:textId="77777777" w:rsidR="00772179" w:rsidRDefault="00000000">
      <w:pPr>
        <w:pStyle w:val="Author-eListParagraph"/>
        <w:numPr>
          <w:ilvl w:val="0"/>
          <w:numId w:val="704"/>
        </w:numPr>
      </w:pPr>
      <w:r>
        <w:t xml:space="preserve">La fermeture anti-panique pour issues de secours est placée en saillie maximale </w:t>
      </w:r>
      <w:r>
        <w:rPr>
          <w:rStyle w:val="optioncarChar"/>
        </w:rPr>
        <w:t>de 150 mm (catégorie 1)</w:t>
      </w:r>
      <w:r>
        <w:t xml:space="preserve"> (par défaut) </w:t>
      </w:r>
      <w:r>
        <w:rPr>
          <w:rStyle w:val="optioncarChar"/>
        </w:rPr>
        <w:t>/ ou 100 mm (catégorie 2)</w:t>
      </w:r>
    </w:p>
    <w:p w14:paraId="71769316" w14:textId="77777777" w:rsidR="00772179" w:rsidRDefault="00000000">
      <w:pPr>
        <w:pStyle w:val="Author-eListParagraph"/>
        <w:numPr>
          <w:ilvl w:val="0"/>
          <w:numId w:val="704"/>
        </w:numPr>
      </w:pPr>
      <w:r>
        <w:t xml:space="preserve">La force de fermeture est spécifiée tel que : </w:t>
      </w:r>
    </w:p>
    <w:p w14:paraId="6CF5A136" w14:textId="77777777" w:rsidR="00772179" w:rsidRDefault="00000000">
      <w:pPr>
        <w:pStyle w:val="Author-eListParagraph"/>
        <w:numPr>
          <w:ilvl w:val="1"/>
          <w:numId w:val="705"/>
        </w:numPr>
      </w:pPr>
      <w:r>
        <w:t>première ouverture, sans aucune charge sur le vantail. La porte s’ouvre avec un effort &lt; 80 N</w:t>
      </w:r>
    </w:p>
    <w:p w14:paraId="263675F3" w14:textId="77777777" w:rsidR="00772179" w:rsidRDefault="00000000">
      <w:pPr>
        <w:pStyle w:val="Author-eListParagraph"/>
        <w:numPr>
          <w:ilvl w:val="1"/>
          <w:numId w:val="705"/>
        </w:numPr>
      </w:pPr>
      <w:r>
        <w:t>deuxième ouverture, avec  une charge de 1000 N est exercée sur le vantail. La force maximale nécessaire à l’ouverture est &lt; 220 N</w:t>
      </w:r>
    </w:p>
    <w:p w14:paraId="1257C352" w14:textId="77777777" w:rsidR="00772179" w:rsidRDefault="00000000">
      <w:pPr>
        <w:pStyle w:val="Author-eListParagraph"/>
        <w:numPr>
          <w:ilvl w:val="0"/>
          <w:numId w:val="704"/>
        </w:numPr>
      </w:pPr>
      <w:r>
        <w:t>Force de réengagement: force requise pour enclencher un dispositif automatique d’empennage dans le but de réengager la fermeture anti-panique pour issues de secours en position verrouillée ≤ 50N</w:t>
      </w:r>
    </w:p>
    <w:p w14:paraId="4BECE4AC" w14:textId="77777777" w:rsidR="00772179" w:rsidRDefault="00000000">
      <w:pPr>
        <w:pStyle w:val="Author-eListParagraph"/>
        <w:numPr>
          <w:ilvl w:val="0"/>
          <w:numId w:val="704"/>
        </w:numPr>
      </w:pPr>
      <w:r>
        <w:t xml:space="preserve">Les dispositifs automatiques d’empennage répondent à une résistance à l’endurance </w:t>
      </w:r>
      <w:r>
        <w:rPr>
          <w:rStyle w:val="optioncarChar"/>
        </w:rPr>
        <w:t>grade 6 (100 000 cycles)</w:t>
      </w:r>
      <w:r>
        <w:t xml:space="preserve"> (par défaut) </w:t>
      </w:r>
      <w:r>
        <w:rPr>
          <w:rStyle w:val="optioncarChar"/>
        </w:rPr>
        <w:t>/ grade 7 (200 000 cycles)</w:t>
      </w:r>
    </w:p>
    <w:p w14:paraId="5A0D8A0D" w14:textId="77777777" w:rsidR="00772179" w:rsidRDefault="00000000">
      <w:pPr>
        <w:pStyle w:val="Author-eListParagraph"/>
        <w:numPr>
          <w:ilvl w:val="0"/>
          <w:numId w:val="704"/>
        </w:numPr>
      </w:pPr>
      <w:r>
        <w:t>Résistance à la surcharge : la barre résiste à une force de 1000 N.</w:t>
      </w:r>
    </w:p>
    <w:p w14:paraId="54760052" w14:textId="77777777" w:rsidR="00772179" w:rsidRDefault="00000000">
      <w:pPr>
        <w:pStyle w:val="Author-eListParagraph"/>
        <w:numPr>
          <w:ilvl w:val="0"/>
          <w:numId w:val="704"/>
        </w:numPr>
      </w:pPr>
      <w:r>
        <w:t>La tringle verticale montée en applique résiste à une force de traction de 500 N.</w:t>
      </w:r>
    </w:p>
    <w:p w14:paraId="4DF71D55" w14:textId="77777777" w:rsidR="00772179" w:rsidRDefault="00000000">
      <w:pPr>
        <w:pStyle w:val="Author-eListParagraph"/>
        <w:numPr>
          <w:ilvl w:val="0"/>
          <w:numId w:val="704"/>
        </w:numPr>
      </w:pPr>
      <w:r>
        <w:lastRenderedPageBreak/>
        <w:t>Sécurité des biens : la fermeture d’urgence reste en position verrouillée et conserve la porte en position verrouillée lorsqu’elle est soumise à une force de 1000 N pour atteindre le grade 2 conformément à la [NBN EN 1125]</w:t>
      </w:r>
    </w:p>
    <w:p w14:paraId="1C2D3407" w14:textId="77777777" w:rsidR="00772179" w:rsidRDefault="00000000">
      <w:pPr>
        <w:pStyle w:val="Author-eListParagraph"/>
        <w:numPr>
          <w:ilvl w:val="0"/>
          <w:numId w:val="704"/>
        </w:numPr>
      </w:pPr>
      <w:r>
        <w:t>Résistance à la corrosion : Les béquilles ou plaque de poussée résiste à la corrosion telle que définie dans la norme [NBN EN 179]. </w:t>
      </w:r>
    </w:p>
    <w:p w14:paraId="0D31A479" w14:textId="77777777" w:rsidR="00772179" w:rsidRDefault="00000000">
      <w:pPr>
        <w:jc w:val="both"/>
      </w:pPr>
      <w:r>
        <w:rPr>
          <w:b/>
        </w:rPr>
        <w:t>Pour les béquilles ou plaque de poussée (répondant à la [NBN EN 179]),</w:t>
      </w:r>
    </w:p>
    <w:p w14:paraId="447F64B6" w14:textId="77777777" w:rsidR="00772179" w:rsidRDefault="00000000">
      <w:pPr>
        <w:pStyle w:val="Author-eListParagraph"/>
        <w:numPr>
          <w:ilvl w:val="0"/>
          <w:numId w:val="706"/>
        </w:numPr>
      </w:pPr>
      <w:r>
        <w:t xml:space="preserve">Force d’ouverture: la norme fixe la force requise pour déverrouiller les fermetures d’urgence manœuvrées par : </w:t>
      </w:r>
    </w:p>
    <w:p w14:paraId="66478124" w14:textId="77777777" w:rsidR="00772179" w:rsidRDefault="00000000">
      <w:pPr>
        <w:pStyle w:val="Author-eListParagraph"/>
        <w:numPr>
          <w:ilvl w:val="1"/>
          <w:numId w:val="707"/>
        </w:numPr>
      </w:pPr>
      <w:r>
        <w:t>Béquille (type A) : ≤ 70 N</w:t>
      </w:r>
    </w:p>
    <w:p w14:paraId="603238EA" w14:textId="77777777" w:rsidR="00772179" w:rsidRDefault="00000000">
      <w:pPr>
        <w:pStyle w:val="Author-eListParagraph"/>
        <w:numPr>
          <w:ilvl w:val="1"/>
          <w:numId w:val="707"/>
        </w:numPr>
      </w:pPr>
      <w:r>
        <w:t>Plaque de poussée (type B) : ≤ 150 N</w:t>
      </w:r>
    </w:p>
    <w:p w14:paraId="01BE45FF" w14:textId="77777777" w:rsidR="00772179" w:rsidRDefault="00000000">
      <w:pPr>
        <w:pStyle w:val="Author-eListParagraph"/>
        <w:numPr>
          <w:ilvl w:val="0"/>
          <w:numId w:val="706"/>
        </w:numPr>
      </w:pPr>
      <w:r>
        <w:t>Force de réengagement : force requise pour enclencher un dispositif automatique d’empennage dans le but de réengager la fermeture d’urgence en position verrouillée est &lt; 50N ;</w:t>
      </w:r>
    </w:p>
    <w:p w14:paraId="7B900B12" w14:textId="77777777" w:rsidR="00772179" w:rsidRDefault="00000000">
      <w:pPr>
        <w:pStyle w:val="Author-eListParagraph"/>
        <w:numPr>
          <w:ilvl w:val="0"/>
          <w:numId w:val="706"/>
        </w:numPr>
      </w:pPr>
      <w:r>
        <w:t xml:space="preserve">Les dispositifs béquilles ou plaque de poussée répondent à une résistance à l’endurance </w:t>
      </w:r>
      <w:r>
        <w:rPr>
          <w:rStyle w:val="optioncarChar"/>
        </w:rPr>
        <w:t>grade 6 (100 000 cycles)</w:t>
      </w:r>
      <w:r>
        <w:t xml:space="preserve"> (par défaut)</w:t>
      </w:r>
      <w:r>
        <w:rPr>
          <w:rStyle w:val="optioncarChar"/>
        </w:rPr>
        <w:t xml:space="preserve"> / grade 7 (200 000 cycles)</w:t>
      </w:r>
    </w:p>
    <w:p w14:paraId="60059DA9" w14:textId="77777777" w:rsidR="00772179" w:rsidRDefault="00000000">
      <w:pPr>
        <w:pStyle w:val="Author-eListParagraph"/>
        <w:numPr>
          <w:ilvl w:val="0"/>
          <w:numId w:val="706"/>
        </w:numPr>
      </w:pPr>
      <w:r>
        <w:t>Fermeture d’urgence manœuvrée : l’élément résiste à une force perpendiculaire de 1000 N et à une force verticale de 500 N.</w:t>
      </w:r>
    </w:p>
    <w:p w14:paraId="527E515B" w14:textId="77777777" w:rsidR="00772179" w:rsidRDefault="00000000">
      <w:pPr>
        <w:pStyle w:val="Author-eListParagraph"/>
        <w:numPr>
          <w:ilvl w:val="0"/>
          <w:numId w:val="706"/>
        </w:numPr>
      </w:pPr>
      <w:r>
        <w:t xml:space="preserve">La tringle verticale est montée </w:t>
      </w:r>
      <w:r>
        <w:rPr>
          <w:rStyle w:val="optioncarChar"/>
        </w:rPr>
        <w:t xml:space="preserve">en applique sans capot </w:t>
      </w:r>
      <w:r>
        <w:t>(par défaut)</w:t>
      </w:r>
      <w:r>
        <w:rPr>
          <w:rStyle w:val="optioncarChar"/>
        </w:rPr>
        <w:t xml:space="preserve"> / en applique sans capot / intégrée à l’élément / ***</w:t>
      </w:r>
    </w:p>
    <w:p w14:paraId="5303FEA7" w14:textId="77777777" w:rsidR="00772179" w:rsidRDefault="00000000">
      <w:pPr>
        <w:pStyle w:val="Author-eListParagraph"/>
        <w:numPr>
          <w:ilvl w:val="0"/>
          <w:numId w:val="706"/>
        </w:numPr>
      </w:pPr>
      <w:r>
        <w:t>Sécurité des biens : la fermeture d’urgence reste en position verrouillée et conserve la porte en position verrouillée lorsqu’elle est soumise à une force de </w:t>
      </w:r>
      <w:r>
        <w:rPr>
          <w:rStyle w:val="optioncarChar"/>
        </w:rPr>
        <w:t xml:space="preserve">1000 N pour atteindre le grade 2 </w:t>
      </w:r>
      <w:r>
        <w:t>(par défaut)</w:t>
      </w:r>
      <w:r>
        <w:rPr>
          <w:rStyle w:val="optioncarChar"/>
        </w:rPr>
        <w:t xml:space="preserve"> / 2000 N pour atteindre le grade 3 / 3000 N pour atteindre le grade 4 / 5000 N pour atteindre le grade 5</w:t>
      </w:r>
    </w:p>
    <w:p w14:paraId="5B4D2A67" w14:textId="77777777" w:rsidR="00772179" w:rsidRDefault="00000000">
      <w:pPr>
        <w:pStyle w:val="Author-eListParagraph"/>
        <w:numPr>
          <w:ilvl w:val="0"/>
          <w:numId w:val="706"/>
        </w:numPr>
      </w:pPr>
      <w:r>
        <w:t>Résistance à la corrosion : Les béquilles ou plaque de poussée résiste à la corrosion telle que définie dans la norme [NBN EN 179]. </w:t>
      </w:r>
    </w:p>
    <w:p w14:paraId="3A60942D" w14:textId="77777777" w:rsidR="00772179" w:rsidRDefault="00000000">
      <w:pPr>
        <w:jc w:val="both"/>
      </w:pPr>
      <w:r>
        <w:t>Les éléments sont adaptés (dimensions, poids, ...) aux portes sur lesquelles les dispositifs sont fixés.</w:t>
      </w:r>
    </w:p>
    <w:p w14:paraId="26214543" w14:textId="77777777" w:rsidR="00772179" w:rsidRDefault="00000000">
      <w:pPr>
        <w:jc w:val="both"/>
      </w:pPr>
      <w:r>
        <w:t>Lors de la livraison des dispositifs de fermetures d’urgence, le guide d’instructions claires et détaillées pour leur installation et maintenance est fourni en français et toute autre langue nationale requise par le maître d’ouvrage. </w:t>
      </w:r>
    </w:p>
    <w:p w14:paraId="656AD6AE" w14:textId="77777777" w:rsidR="00772179" w:rsidRDefault="00000000">
      <w:pPr>
        <w:pStyle w:val="pheading"/>
      </w:pPr>
      <w:r>
        <w:t>- Finitions</w:t>
      </w:r>
    </w:p>
    <w:p w14:paraId="4EBACC05" w14:textId="77777777" w:rsidR="00772179" w:rsidRDefault="00000000">
      <w:pPr>
        <w:jc w:val="both"/>
      </w:pPr>
      <w:r>
        <w:t xml:space="preserve">Les tringles sont de couleur: </w:t>
      </w:r>
      <w:r>
        <w:rPr>
          <w:rStyle w:val="optioncarChar"/>
        </w:rPr>
        <w:t xml:space="preserve">métallisée </w:t>
      </w:r>
      <w:r>
        <w:t xml:space="preserve">(par défaut) </w:t>
      </w:r>
      <w:r>
        <w:rPr>
          <w:rStyle w:val="optioncarChar"/>
        </w:rPr>
        <w:t>/ grise / blanche / ***</w:t>
      </w:r>
    </w:p>
    <w:p w14:paraId="6F31AA7D" w14:textId="77777777" w:rsidR="00772179" w:rsidRDefault="00000000">
      <w:pPr>
        <w:jc w:val="both"/>
      </w:pPr>
      <w:r>
        <w:t xml:space="preserve">Les dispositifs de manœuvre sont de couleur </w:t>
      </w:r>
      <w:r>
        <w:rPr>
          <w:rStyle w:val="optioncarChar"/>
        </w:rPr>
        <w:t xml:space="preserve">métallisée </w:t>
      </w:r>
      <w:r>
        <w:t xml:space="preserve">(par défaut) </w:t>
      </w:r>
      <w:r>
        <w:rPr>
          <w:rStyle w:val="optioncarChar"/>
        </w:rPr>
        <w:t>/ grise / blanche / ***</w:t>
      </w:r>
    </w:p>
    <w:p w14:paraId="5F6672F9" w14:textId="77777777" w:rsidR="00772179" w:rsidRDefault="00000000">
      <w:pPr>
        <w:jc w:val="both"/>
      </w:pPr>
      <w:r>
        <w:t xml:space="preserve">Les pattes de fixation dans le vantail de la porte sont de couleur </w:t>
      </w:r>
      <w:r>
        <w:rPr>
          <w:rStyle w:val="optioncarChar"/>
        </w:rPr>
        <w:t xml:space="preserve">métallisée </w:t>
      </w:r>
      <w:r>
        <w:t>(par défaut)</w:t>
      </w:r>
      <w:r>
        <w:rPr>
          <w:rStyle w:val="optioncarChar"/>
        </w:rPr>
        <w:t xml:space="preserve"> / noire / grise / blanche / ***</w:t>
      </w:r>
    </w:p>
    <w:p w14:paraId="78559425" w14:textId="77777777" w:rsidR="00772179" w:rsidRDefault="00000000">
      <w:pPr>
        <w:pStyle w:val="pheading"/>
      </w:pPr>
      <w:r>
        <w:t>EXÉCUTION / MISE EN ŒUVRE</w:t>
      </w:r>
    </w:p>
    <w:p w14:paraId="0621398B" w14:textId="77777777" w:rsidR="00772179" w:rsidRDefault="00000000">
      <w:pPr>
        <w:pStyle w:val="pheading"/>
      </w:pPr>
      <w:r>
        <w:t>- Prescriptions générales</w:t>
      </w:r>
    </w:p>
    <w:p w14:paraId="43A944C4" w14:textId="77777777" w:rsidR="00772179" w:rsidRDefault="00000000">
      <w:r>
        <w:t xml:space="preserve">Les dispositifs de fermeture sont fixés </w:t>
      </w:r>
      <w:r>
        <w:rPr>
          <w:rStyle w:val="optioncarChar"/>
        </w:rPr>
        <w:t>dans le cadre du vantail de la porte</w:t>
      </w:r>
      <w:r>
        <w:t xml:space="preserve"> (par défaut)</w:t>
      </w:r>
      <w:r>
        <w:rPr>
          <w:rStyle w:val="optioncarChar"/>
        </w:rPr>
        <w:t xml:space="preserve"> / dans la feuille de porte/ ***.</w:t>
      </w:r>
      <w:r>
        <w:br/>
        <w:t xml:space="preserve">Les fixations sont réalisées par </w:t>
      </w:r>
      <w:r>
        <w:rPr>
          <w:rStyle w:val="optioncarChar"/>
        </w:rPr>
        <w:t xml:space="preserve">vis </w:t>
      </w:r>
      <w:r>
        <w:t xml:space="preserve">(par défaut) </w:t>
      </w:r>
      <w:r>
        <w:rPr>
          <w:rStyle w:val="optioncarChar"/>
        </w:rPr>
        <w:t>/ vis traversantes et munies de cache du côté opposé / ***.</w:t>
      </w:r>
      <w:r>
        <w:br/>
        <w:t>Le réglage du dispositif de fermeture est réalisé afin de ne pas réduire la manœuvre des vantaux.</w:t>
      </w:r>
    </w:p>
    <w:p w14:paraId="4FBFE0AE" w14:textId="77777777" w:rsidR="00772179" w:rsidRDefault="00000000">
      <w:pPr>
        <w:pStyle w:val="pheading"/>
      </w:pPr>
      <w:r>
        <w:t>DOCUMENTS DE RÉFÉRENCE COMPLÉMENTAIRES</w:t>
      </w:r>
    </w:p>
    <w:p w14:paraId="0F1B4603" w14:textId="77777777" w:rsidR="00772179" w:rsidRDefault="00000000">
      <w:pPr>
        <w:pStyle w:val="pheading"/>
      </w:pPr>
      <w:r>
        <w:t>- Matériau</w:t>
      </w:r>
    </w:p>
    <w:p w14:paraId="2459898E" w14:textId="77777777" w:rsidR="00772179" w:rsidRDefault="00000000">
      <w:r>
        <w:t>[NBN EN 179, Quincaillerie pour le bâtiment - Fermetures d'urgence pour issues de secours manœuvrées par une béquille ou une plaque de poussée, destinées à être utilisées sur des voies d'évacuation - Exigences et méthodes d'essai]</w:t>
      </w:r>
    </w:p>
    <w:p w14:paraId="19FEC35C" w14:textId="77777777" w:rsidR="00772179" w:rsidRDefault="00000000">
      <w:r>
        <w:t>[NBN EN 1125, Quincaillerie pour le bâtiment - Fermetures anti-panique manœuvrées par une barre horizontale, destinées à être utilisées sur des voies d'évacuation - Exigences et méthodes d'essai]</w:t>
      </w:r>
    </w:p>
    <w:p w14:paraId="5D9971CB" w14:textId="77777777" w:rsidR="00772179" w:rsidRDefault="00000000">
      <w:pPr>
        <w:pStyle w:val="pheading"/>
      </w:pPr>
      <w:r>
        <w:lastRenderedPageBreak/>
        <w:t>MESURAGE</w:t>
      </w:r>
    </w:p>
    <w:p w14:paraId="62AF5CA0" w14:textId="77777777" w:rsidR="00772179" w:rsidRDefault="00000000">
      <w:pPr>
        <w:pStyle w:val="pheading"/>
      </w:pPr>
      <w:r>
        <w:t>- unité de mesure:</w:t>
      </w:r>
    </w:p>
    <w:p w14:paraId="7C8144D5" w14:textId="77777777" w:rsidR="00772179" w:rsidRDefault="00000000">
      <w:r>
        <w:rPr>
          <w:rStyle w:val="optioncarChar"/>
        </w:rPr>
        <w:t>-</w:t>
      </w:r>
      <w:r>
        <w:t xml:space="preserve"> (par défaut) </w:t>
      </w:r>
      <w:r>
        <w:rPr>
          <w:rStyle w:val="optioncarChar"/>
        </w:rPr>
        <w:t>/ pc </w:t>
      </w:r>
    </w:p>
    <w:p w14:paraId="063A9000" w14:textId="77777777" w:rsidR="00772179" w:rsidRDefault="00000000">
      <w:r>
        <w:rPr>
          <w:b/>
          <w:i/>
        </w:rPr>
        <w:t>(Soit par défaut)</w:t>
      </w:r>
    </w:p>
    <w:p w14:paraId="0FB303C7" w14:textId="77777777" w:rsidR="00772179" w:rsidRDefault="00000000">
      <w:r>
        <w:rPr>
          <w:rStyle w:val="soitChar"/>
        </w:rPr>
        <w:t>1. –</w:t>
      </w:r>
    </w:p>
    <w:p w14:paraId="61A4B079" w14:textId="77777777" w:rsidR="00772179" w:rsidRDefault="00000000">
      <w:r>
        <w:rPr>
          <w:b/>
          <w:i/>
        </w:rPr>
        <w:t>(Soit)</w:t>
      </w:r>
    </w:p>
    <w:p w14:paraId="0613013B" w14:textId="77777777" w:rsidR="00772179" w:rsidRDefault="00000000">
      <w:r>
        <w:rPr>
          <w:rStyle w:val="soitChar"/>
        </w:rPr>
        <w:t>2. pc</w:t>
      </w:r>
    </w:p>
    <w:p w14:paraId="2222DDCC" w14:textId="77777777" w:rsidR="00772179" w:rsidRDefault="00000000">
      <w:pPr>
        <w:pStyle w:val="pheading"/>
      </w:pPr>
      <w:r>
        <w:t>- code de mesurage:</w:t>
      </w:r>
    </w:p>
    <w:p w14:paraId="2EA398C7" w14:textId="77777777" w:rsidR="00772179" w:rsidRDefault="00000000">
      <w:r>
        <w:rPr>
          <w:rStyle w:val="optioncarChar"/>
        </w:rPr>
        <w:t xml:space="preserve">Compris </w:t>
      </w:r>
      <w:r>
        <w:t xml:space="preserve">(par défaut) </w:t>
      </w:r>
      <w:r>
        <w:rPr>
          <w:rStyle w:val="optioncarChar"/>
        </w:rPr>
        <w:t>/ quantité nette / quantité nette</w:t>
      </w:r>
    </w:p>
    <w:p w14:paraId="5528D093" w14:textId="77777777" w:rsidR="00772179" w:rsidRDefault="00000000">
      <w:r>
        <w:rPr>
          <w:b/>
          <w:i/>
        </w:rPr>
        <w:t>(Soit par défaut)</w:t>
      </w:r>
      <w:r>
        <w:br/>
      </w:r>
      <w:r>
        <w:br/>
      </w:r>
      <w:r>
        <w:rPr>
          <w:rStyle w:val="soitChar"/>
          <w:u w:val="single"/>
        </w:rPr>
        <w:t xml:space="preserve">1. Compris </w:t>
      </w:r>
      <w:r>
        <w:rPr>
          <w:rStyle w:val="soitChar"/>
        </w:rPr>
        <w:t xml:space="preserve">dans l'article </w:t>
      </w:r>
      <w:r>
        <w:rPr>
          <w:rStyle w:val="optioncarChar"/>
        </w:rPr>
        <w:t>***</w:t>
      </w:r>
      <w:r>
        <w:rPr>
          <w:rStyle w:val="soitChar"/>
        </w:rPr>
        <w:t> y compris les accessoires, tringlerie, fixations, et caches.</w:t>
      </w:r>
    </w:p>
    <w:p w14:paraId="19D67FC8" w14:textId="77777777" w:rsidR="00772179" w:rsidRDefault="00000000">
      <w:r>
        <w:rPr>
          <w:b/>
          <w:i/>
        </w:rPr>
        <w:t>(Soit)</w:t>
      </w:r>
      <w:r>
        <w:br/>
      </w:r>
      <w:r>
        <w:br/>
      </w:r>
      <w:r>
        <w:rPr>
          <w:rStyle w:val="soitChar"/>
          <w:u w:val="single"/>
        </w:rPr>
        <w:t xml:space="preserve">2. Quantité nette </w:t>
      </w:r>
      <w:r>
        <w:rPr>
          <w:rStyle w:val="soitChar"/>
        </w:rPr>
        <w:t>y compris les accessoires, tringlerie, fixations, et caches.</w:t>
      </w:r>
    </w:p>
    <w:p w14:paraId="54F0D01B" w14:textId="77777777" w:rsidR="00772179" w:rsidRDefault="00000000">
      <w:pPr>
        <w:pStyle w:val="pheading"/>
      </w:pPr>
      <w:r>
        <w:t>- nature du marché:</w:t>
      </w:r>
    </w:p>
    <w:p w14:paraId="356C7B58" w14:textId="77777777" w:rsidR="00772179" w:rsidRDefault="00000000">
      <w:r>
        <w:rPr>
          <w:rStyle w:val="optioncarChar"/>
        </w:rPr>
        <w:t xml:space="preserve">PM </w:t>
      </w:r>
      <w:r>
        <w:t xml:space="preserve">(par défaut) </w:t>
      </w:r>
      <w:r>
        <w:rPr>
          <w:rStyle w:val="optioncarChar"/>
        </w:rPr>
        <w:t>/ QF</w:t>
      </w:r>
    </w:p>
    <w:p w14:paraId="1DC4A926" w14:textId="77777777" w:rsidR="00772179" w:rsidRDefault="00000000">
      <w:r>
        <w:rPr>
          <w:b/>
          <w:i/>
        </w:rPr>
        <w:t>(Soit par défaut)</w:t>
      </w:r>
    </w:p>
    <w:p w14:paraId="1C99E9E7" w14:textId="77777777" w:rsidR="00772179" w:rsidRDefault="00000000">
      <w:r>
        <w:rPr>
          <w:rStyle w:val="soitChar"/>
        </w:rPr>
        <w:t>1.     PM</w:t>
      </w:r>
    </w:p>
    <w:p w14:paraId="57AF0740" w14:textId="77777777" w:rsidR="00772179" w:rsidRDefault="00000000">
      <w:r>
        <w:rPr>
          <w:b/>
          <w:i/>
        </w:rPr>
        <w:t>(Soit)</w:t>
      </w:r>
    </w:p>
    <w:p w14:paraId="70B61543" w14:textId="77777777" w:rsidR="00772179" w:rsidRDefault="00000000">
      <w:r>
        <w:rPr>
          <w:rStyle w:val="soitChar"/>
        </w:rPr>
        <w:t>2.     QF</w:t>
      </w:r>
    </w:p>
    <w:p w14:paraId="145AA494" w14:textId="77777777" w:rsidR="00772179" w:rsidRDefault="00772179"/>
    <w:p w14:paraId="74687158" w14:textId="77777777" w:rsidR="00772179" w:rsidRDefault="00000000">
      <w:pPr>
        <w:pStyle w:val="Author-eSectionHeading6Numberless"/>
      </w:pPr>
      <w:bookmarkStart w:id="352" w:name="_Toc220490077"/>
      <w:r>
        <w:t>41.72.4d Ferme-portes CCTB 01.11</w:t>
      </w:r>
      <w:bookmarkEnd w:id="352"/>
    </w:p>
    <w:p w14:paraId="65D123EB" w14:textId="77777777" w:rsidR="00772179" w:rsidRDefault="00000000">
      <w:pPr>
        <w:pStyle w:val="pheading"/>
      </w:pPr>
      <w:r>
        <w:t>DESCRIPTION</w:t>
      </w:r>
    </w:p>
    <w:p w14:paraId="235BDE64" w14:textId="77777777" w:rsidR="00772179" w:rsidRDefault="00000000">
      <w:pPr>
        <w:pStyle w:val="pheading"/>
      </w:pPr>
      <w:r>
        <w:t>- Définition / Comprend</w:t>
      </w:r>
    </w:p>
    <w:p w14:paraId="166F6B03" w14:textId="77777777" w:rsidR="00772179" w:rsidRDefault="00000000">
      <w:r>
        <w:t>Portes d'entrées principales et portes des sas.</w:t>
      </w:r>
    </w:p>
    <w:p w14:paraId="4B690CE8" w14:textId="77777777" w:rsidR="00772179" w:rsidRDefault="00000000">
      <w:pPr>
        <w:pStyle w:val="pheading"/>
      </w:pPr>
      <w:r>
        <w:t>MATÉRIAUX</w:t>
      </w:r>
    </w:p>
    <w:p w14:paraId="182110AD" w14:textId="77777777" w:rsidR="00772179" w:rsidRDefault="00000000">
      <w:pPr>
        <w:pStyle w:val="pheading"/>
      </w:pPr>
      <w:r>
        <w:t>- Caractéristiques générales</w:t>
      </w:r>
    </w:p>
    <w:p w14:paraId="47898202" w14:textId="77777777" w:rsidR="00772179" w:rsidRDefault="00000000">
      <w:r>
        <w:t>Les ferme-porte satisfont à la [NBN EN 1154, Quincaillerie pour le bâtiment - Dispositifs de fermeture de porte avec amortissement - Prescriptions et méthodes d'essai].</w:t>
      </w:r>
    </w:p>
    <w:p w14:paraId="014D534F" w14:textId="77777777" w:rsidR="00772179" w:rsidRDefault="00000000">
      <w:r>
        <w:t>Il s'agit de système </w:t>
      </w:r>
      <w:r>
        <w:rPr>
          <w:rStyle w:val="optioncarChar"/>
        </w:rPr>
        <w:t xml:space="preserve">à bras articulé </w:t>
      </w:r>
      <w:r>
        <w:t>(par défaut)</w:t>
      </w:r>
      <w:r>
        <w:rPr>
          <w:rStyle w:val="optioncarChar"/>
        </w:rPr>
        <w:t xml:space="preserve"> / à bras coulissant</w:t>
      </w:r>
    </w:p>
    <w:p w14:paraId="0E81A33E" w14:textId="77777777" w:rsidR="00772179" w:rsidRDefault="00000000">
      <w:pPr>
        <w:ind w:left="450"/>
      </w:pPr>
      <w:r>
        <w:rPr>
          <w:b/>
        </w:rPr>
        <w:t>(soit par défaut) :</w:t>
      </w:r>
      <w:r>
        <w:t>  </w:t>
      </w:r>
      <w:r>
        <w:rPr>
          <w:rStyle w:val="soitChar"/>
          <w:u w:val="single"/>
        </w:rPr>
        <w:t xml:space="preserve">ferme-porte à bras articulé </w:t>
      </w:r>
      <w:r>
        <w:rPr>
          <w:rStyle w:val="soitChar"/>
        </w:rPr>
        <w:t>: le ferme-porte à bras articulé est de forme parallélépipédique et est fabriqué dans un alliage d'aluminium à résistance à la corrosion élevée ou en fonte revêtue d'un capuchon en aluminium. Le ferme-porte est du type à pompe à amortissement hydraulique.</w:t>
      </w:r>
    </w:p>
    <w:p w14:paraId="1E603514" w14:textId="77777777" w:rsidR="00772179" w:rsidRDefault="00000000">
      <w:pPr>
        <w:ind w:left="450"/>
      </w:pPr>
      <w:r>
        <w:rPr>
          <w:b/>
        </w:rPr>
        <w:t xml:space="preserve">(soit) : </w:t>
      </w:r>
      <w:r>
        <w:rPr>
          <w:rStyle w:val="soitChar"/>
          <w:u w:val="single"/>
        </w:rPr>
        <w:t xml:space="preserve">ferme-porte à bras coulissant </w:t>
      </w:r>
      <w:r>
        <w:rPr>
          <w:rStyle w:val="soitChar"/>
        </w:rPr>
        <w:t>: le ferme-porte à bras coulissant est de forme parallélépipédique et est fabriqué dans un alliage d'aluminium à résistance à la corrosion élevée ou en fonte revêtue d'un capuchon en aluminium. Le ferme-porte est du type à amortissement hydraulique et bras coulissant et il est multifonctionnel.</w:t>
      </w:r>
    </w:p>
    <w:p w14:paraId="6BE0FE0B" w14:textId="77777777" w:rsidR="00772179" w:rsidRDefault="00000000">
      <w:r>
        <w:t>Ces ferme-portes sont réglables et sont adaptés aux différentes sollicitations auxquelles les portes sont soumises en fonction :</w:t>
      </w:r>
    </w:p>
    <w:p w14:paraId="317ECFEA" w14:textId="77777777" w:rsidR="00772179" w:rsidRDefault="00000000">
      <w:pPr>
        <w:pStyle w:val="Author-eListParagraph"/>
        <w:numPr>
          <w:ilvl w:val="0"/>
          <w:numId w:val="708"/>
        </w:numPr>
      </w:pPr>
      <w:r>
        <w:t>de la catégorie et du type des portes.</w:t>
      </w:r>
    </w:p>
    <w:p w14:paraId="68FB130E" w14:textId="77777777" w:rsidR="00772179" w:rsidRDefault="00000000">
      <w:pPr>
        <w:pStyle w:val="Author-eListParagraph"/>
        <w:numPr>
          <w:ilvl w:val="0"/>
          <w:numId w:val="708"/>
        </w:numPr>
      </w:pPr>
      <w:r>
        <w:lastRenderedPageBreak/>
        <w:t>de la masse des vantaux de porte.</w:t>
      </w:r>
    </w:p>
    <w:p w14:paraId="0316F221" w14:textId="77777777" w:rsidR="00772179" w:rsidRDefault="00000000">
      <w:pPr>
        <w:pStyle w:val="Author-eListParagraph"/>
        <w:numPr>
          <w:ilvl w:val="0"/>
          <w:numId w:val="708"/>
        </w:numPr>
      </w:pPr>
      <w:r>
        <w:t>la largeur des portes.</w:t>
      </w:r>
    </w:p>
    <w:p w14:paraId="2253A100" w14:textId="77777777" w:rsidR="00772179" w:rsidRDefault="00000000">
      <w:pPr>
        <w:pStyle w:val="pheading"/>
      </w:pPr>
      <w:r>
        <w:t>- Finitions</w:t>
      </w:r>
    </w:p>
    <w:p w14:paraId="7D543BA4" w14:textId="77777777" w:rsidR="00772179" w:rsidRDefault="00000000">
      <w:pPr>
        <w:pStyle w:val="Author-eListParagraph"/>
        <w:numPr>
          <w:ilvl w:val="0"/>
          <w:numId w:val="709"/>
        </w:numPr>
      </w:pPr>
      <w:r>
        <w:t xml:space="preserve">Coloris : </w:t>
      </w:r>
      <w:r>
        <w:rPr>
          <w:rStyle w:val="optioncarChar"/>
        </w:rPr>
        <w:t>couleur naturelle / blanc </w:t>
      </w:r>
    </w:p>
    <w:p w14:paraId="2380EDBA" w14:textId="77777777" w:rsidR="00772179" w:rsidRDefault="00000000">
      <w:pPr>
        <w:pStyle w:val="Author-eListParagraph"/>
        <w:numPr>
          <w:ilvl w:val="0"/>
          <w:numId w:val="709"/>
        </w:numPr>
      </w:pPr>
      <w:r>
        <w:t>La frappe finale est réglable au bras de réglage.</w:t>
      </w:r>
    </w:p>
    <w:p w14:paraId="242CC8D2" w14:textId="77777777" w:rsidR="00772179" w:rsidRDefault="00000000">
      <w:pPr>
        <w:pStyle w:val="Author-eListParagraph"/>
        <w:numPr>
          <w:ilvl w:val="0"/>
          <w:numId w:val="709"/>
        </w:numPr>
      </w:pPr>
      <w:r>
        <w:t xml:space="preserve">La force de fermeture est réglable en fonction de la largeur de la porte, de façon telle que la force de fermeture puisse être augmentée ou diminuée de </w:t>
      </w:r>
      <w:r>
        <w:rPr>
          <w:rStyle w:val="optioncarChar"/>
        </w:rPr>
        <w:t xml:space="preserve">10 / *** </w:t>
      </w:r>
      <w:r>
        <w:t>%.</w:t>
      </w:r>
    </w:p>
    <w:p w14:paraId="6520E85E" w14:textId="77777777" w:rsidR="00772179" w:rsidRDefault="00000000">
      <w:pPr>
        <w:pStyle w:val="Author-eListParagraph"/>
        <w:numPr>
          <w:ilvl w:val="0"/>
          <w:numId w:val="709"/>
        </w:numPr>
      </w:pPr>
      <w:r>
        <w:t>La vitesse de fermeture est indépendante des variations de température</w:t>
      </w:r>
    </w:p>
    <w:p w14:paraId="3A7F5450" w14:textId="77777777" w:rsidR="00772179" w:rsidRDefault="00000000">
      <w:pPr>
        <w:ind w:left="450"/>
      </w:pPr>
      <w:r>
        <w:t>Le ferme-porte est équipé d'un</w:t>
      </w:r>
      <w:r>
        <w:rPr>
          <w:rStyle w:val="optioncarChar"/>
        </w:rPr>
        <w:t xml:space="preserve"> bras normal et d'un retardateur de fermeture </w:t>
      </w:r>
      <w:r>
        <w:t>(par défaut)</w:t>
      </w:r>
      <w:r>
        <w:rPr>
          <w:rStyle w:val="optioncarChar"/>
        </w:rPr>
        <w:t xml:space="preserve"> / d'un retardateur de fermeture réglable.</w:t>
      </w:r>
    </w:p>
    <w:p w14:paraId="41D245B2" w14:textId="77777777" w:rsidR="00772179" w:rsidRDefault="00000000">
      <w:pPr>
        <w:ind w:left="450"/>
      </w:pPr>
      <w:r>
        <w:rPr>
          <w:b/>
        </w:rPr>
        <w:t>(soit par défaut) :</w:t>
      </w:r>
      <w:r>
        <w:t>  </w:t>
      </w:r>
      <w:r>
        <w:rPr>
          <w:rStyle w:val="soitChar"/>
        </w:rPr>
        <w:t xml:space="preserve">Le ferme-porte est équipé </w:t>
      </w:r>
      <w:r>
        <w:rPr>
          <w:rStyle w:val="soitChar"/>
          <w:u w:val="single"/>
        </w:rPr>
        <w:t>d'un bras normal et d'un retardateur de fermeture</w:t>
      </w:r>
      <w:r>
        <w:rPr>
          <w:rStyle w:val="soitChar"/>
        </w:rPr>
        <w:t>.</w:t>
      </w:r>
    </w:p>
    <w:p w14:paraId="3AC8A631" w14:textId="77777777" w:rsidR="00772179" w:rsidRDefault="00000000">
      <w:pPr>
        <w:ind w:left="450"/>
      </w:pPr>
      <w:r>
        <w:rPr>
          <w:b/>
        </w:rPr>
        <w:t>(soit) :</w:t>
      </w:r>
      <w:r>
        <w:rPr>
          <w:rStyle w:val="soitChar"/>
        </w:rPr>
        <w:t xml:space="preserve">Le ferme-porte est  équipé </w:t>
      </w:r>
      <w:r>
        <w:rPr>
          <w:rStyle w:val="soitChar"/>
          <w:u w:val="single"/>
        </w:rPr>
        <w:t>d'un retardateur de fermeture réglable</w:t>
      </w:r>
      <w:r>
        <w:rPr>
          <w:rStyle w:val="soitChar"/>
        </w:rPr>
        <w:t>.</w:t>
      </w:r>
    </w:p>
    <w:p w14:paraId="3E9C6830" w14:textId="77777777" w:rsidR="00772179" w:rsidRDefault="00000000">
      <w:pPr>
        <w:pStyle w:val="Author-eListParagraph"/>
        <w:numPr>
          <w:ilvl w:val="0"/>
          <w:numId w:val="710"/>
        </w:numPr>
      </w:pPr>
      <w:r>
        <w:rPr>
          <w:rStyle w:val="soitChar"/>
        </w:rPr>
        <w:t> </w:t>
      </w:r>
      <w:r>
        <w:t>Vitesse de fermeture : ≤</w:t>
      </w:r>
      <w:r>
        <w:rPr>
          <w:rStyle w:val="optioncarChar"/>
        </w:rPr>
        <w:t> 4 (PMR) / ***</w:t>
      </w:r>
      <w:r>
        <w:t xml:space="preserve"> m/s</w:t>
      </w:r>
    </w:p>
    <w:p w14:paraId="1155D0BB" w14:textId="77777777" w:rsidR="00772179" w:rsidRDefault="00000000">
      <w:pPr>
        <w:pStyle w:val="Author-eListParagraph"/>
        <w:numPr>
          <w:ilvl w:val="0"/>
          <w:numId w:val="710"/>
        </w:numPr>
      </w:pPr>
      <w:r>
        <w:t>Temps de passage (angle d’ouverture ≥ 75 degrés) : ≥</w:t>
      </w:r>
      <w:r>
        <w:rPr>
          <w:rStyle w:val="optioncarChar"/>
        </w:rPr>
        <w:t> 6 (PMR) / ***</w:t>
      </w:r>
      <w:r>
        <w:t xml:space="preserve"> secondes  </w:t>
      </w:r>
    </w:p>
    <w:p w14:paraId="243560DD" w14:textId="77777777" w:rsidR="00772179" w:rsidRDefault="00000000">
      <w:pPr>
        <w:pStyle w:val="pheading"/>
      </w:pPr>
      <w:r>
        <w:t>- Prescriptions complémentaires</w:t>
      </w:r>
    </w:p>
    <w:p w14:paraId="2ED1CA57" w14:textId="77777777" w:rsidR="00772179" w:rsidRDefault="00000000">
      <w:r>
        <w:t>Le ferme-porte sur une porte extérieure et/ou de sas est  équipé d'un amortisseur hydraulique afin que la porte ne s'ouvre pas trop brusquement;</w:t>
      </w:r>
    </w:p>
    <w:p w14:paraId="414C2D18" w14:textId="77777777" w:rsidR="00772179" w:rsidRDefault="00000000">
      <w:r>
        <w:t>Les ferme-porte pour les doubles portes sont équipés d'un régulateur de fermeture avec sélecteur de porte universel avec amortisseur télescopique à ressort.</w:t>
      </w:r>
    </w:p>
    <w:p w14:paraId="226AC21E" w14:textId="77777777" w:rsidR="00772179" w:rsidRDefault="00000000">
      <w:r>
        <w:t>Le ferme-porte est  équipé d'un bras d'immobilisation réglable pour tout angle d'ouverture.</w:t>
      </w:r>
    </w:p>
    <w:p w14:paraId="74A5CEEA" w14:textId="77777777" w:rsidR="00772179" w:rsidRDefault="00000000">
      <w:r>
        <w:t>L'entrepreneur soumet préalablement la documentation technique pour approbation à l'auteur de projet.</w:t>
      </w:r>
    </w:p>
    <w:p w14:paraId="17FFD4EE" w14:textId="77777777" w:rsidR="00772179" w:rsidRDefault="00000000">
      <w:pPr>
        <w:pStyle w:val="pheading"/>
      </w:pPr>
      <w:r>
        <w:t>EXÉCUTION / MISE EN ŒUVRE</w:t>
      </w:r>
    </w:p>
    <w:p w14:paraId="4C9873EB" w14:textId="77777777" w:rsidR="00772179" w:rsidRDefault="00000000">
      <w:pPr>
        <w:pStyle w:val="pheading"/>
      </w:pPr>
      <w:r>
        <w:t>- Prescriptions générales</w:t>
      </w:r>
    </w:p>
    <w:p w14:paraId="0FA3E6D3" w14:textId="77777777" w:rsidR="00772179" w:rsidRDefault="00000000">
      <w:r>
        <w:t>La fixation est invisible grâce à l'application d'une plaque de protection.</w:t>
      </w:r>
    </w:p>
    <w:p w14:paraId="1DDAE813" w14:textId="77777777" w:rsidR="00772179" w:rsidRDefault="00000000">
      <w:pPr>
        <w:pStyle w:val="pheading"/>
      </w:pPr>
      <w:r>
        <w:t>- Notes d’exécution complémentaires</w:t>
      </w:r>
    </w:p>
    <w:p w14:paraId="7205D5F3" w14:textId="77777777" w:rsidR="00772179" w:rsidRDefault="00000000">
      <w:r>
        <w:t>Pour la fixation du ferme-porte sur une porte extérieure où le montage direct est impossible ou non souhaitable, on utilise une plaque de montage spéciale ou une console.</w:t>
      </w:r>
    </w:p>
    <w:p w14:paraId="64EDBC31" w14:textId="77777777" w:rsidR="00772179" w:rsidRDefault="00000000">
      <w:pPr>
        <w:pStyle w:val="pheading"/>
      </w:pPr>
      <w:r>
        <w:t>MESURAGE</w:t>
      </w:r>
    </w:p>
    <w:p w14:paraId="0F5999D1" w14:textId="77777777" w:rsidR="00772179" w:rsidRDefault="00000000">
      <w:pPr>
        <w:pStyle w:val="pheading"/>
      </w:pPr>
      <w:r>
        <w:t>- unité de mesure:</w:t>
      </w:r>
    </w:p>
    <w:p w14:paraId="7B6E9D9F" w14:textId="77777777" w:rsidR="00772179" w:rsidRDefault="00000000">
      <w:r>
        <w:t>- (par défaut)</w:t>
      </w:r>
      <w:r>
        <w:rPr>
          <w:rStyle w:val="optioncarChar"/>
        </w:rPr>
        <w:t xml:space="preserve"> / pc</w:t>
      </w:r>
    </w:p>
    <w:p w14:paraId="5DA1CD87" w14:textId="77777777" w:rsidR="00772179" w:rsidRDefault="00000000">
      <w:r>
        <w:t>(</w:t>
      </w:r>
      <w:r>
        <w:rPr>
          <w:b/>
        </w:rPr>
        <w:t>soit par défaut)</w:t>
      </w:r>
    </w:p>
    <w:p w14:paraId="23569C1F" w14:textId="77777777" w:rsidR="00772179" w:rsidRDefault="00000000">
      <w:r>
        <w:rPr>
          <w:rStyle w:val="soitChar"/>
        </w:rPr>
        <w:t>1. -</w:t>
      </w:r>
    </w:p>
    <w:p w14:paraId="4CB01033" w14:textId="77777777" w:rsidR="00772179" w:rsidRDefault="00000000">
      <w:r>
        <w:rPr>
          <w:b/>
        </w:rPr>
        <w:t>(soit)</w:t>
      </w:r>
    </w:p>
    <w:p w14:paraId="196A648C" w14:textId="77777777" w:rsidR="00772179" w:rsidRDefault="00000000">
      <w:r>
        <w:rPr>
          <w:rStyle w:val="soitChar"/>
        </w:rPr>
        <w:t>2. pc</w:t>
      </w:r>
    </w:p>
    <w:p w14:paraId="21A0178B" w14:textId="77777777" w:rsidR="00772179" w:rsidRDefault="00000000">
      <w:pPr>
        <w:pStyle w:val="pheading"/>
      </w:pPr>
      <w:r>
        <w:t>- code de mesurage:</w:t>
      </w:r>
    </w:p>
    <w:p w14:paraId="15B3EA51" w14:textId="77777777" w:rsidR="00772179" w:rsidRDefault="00000000">
      <w:r>
        <w:rPr>
          <w:rStyle w:val="optioncarChar"/>
        </w:rPr>
        <w:t>compris</w:t>
      </w:r>
      <w:r>
        <w:t xml:space="preserve"> (par défaut)</w:t>
      </w:r>
      <w:r>
        <w:rPr>
          <w:rStyle w:val="optioncarChar"/>
        </w:rPr>
        <w:t> / poste séparé</w:t>
      </w:r>
    </w:p>
    <w:p w14:paraId="3230EF75" w14:textId="77777777" w:rsidR="00772179" w:rsidRDefault="00000000">
      <w:r>
        <w:rPr>
          <w:b/>
        </w:rPr>
        <w:t>(soit par défaut) :</w:t>
      </w:r>
      <w:r>
        <w:t> </w:t>
      </w:r>
      <w:r>
        <w:rPr>
          <w:rStyle w:val="soitChar"/>
        </w:rPr>
        <w:t xml:space="preserve">le prix de toute la quincaillerie est </w:t>
      </w:r>
      <w:r>
        <w:rPr>
          <w:rStyle w:val="soitChar"/>
          <w:u w:val="single"/>
        </w:rPr>
        <w:t>compris</w:t>
      </w:r>
      <w:r>
        <w:rPr>
          <w:rStyle w:val="soitChar"/>
        </w:rPr>
        <w:t xml:space="preserve"> dans le prix unitaire de la menuiserie extérieure</w:t>
      </w:r>
    </w:p>
    <w:p w14:paraId="1A5F20AA" w14:textId="77777777" w:rsidR="00772179" w:rsidRDefault="00000000">
      <w:r>
        <w:rPr>
          <w:b/>
        </w:rPr>
        <w:t>(soit) : </w:t>
      </w:r>
      <w:r>
        <w:rPr>
          <w:rStyle w:val="soitChar"/>
        </w:rPr>
        <w:t xml:space="preserve">compté comme </w:t>
      </w:r>
      <w:r>
        <w:rPr>
          <w:rStyle w:val="soitChar"/>
          <w:u w:val="single"/>
        </w:rPr>
        <w:t>poste séparé</w:t>
      </w:r>
      <w:r>
        <w:rPr>
          <w:rStyle w:val="soitChar"/>
        </w:rPr>
        <w:t xml:space="preserve"> (par ex. ferme-porte / barre anti-panique / serrures  électriques / ...)</w:t>
      </w:r>
    </w:p>
    <w:p w14:paraId="4E74E655" w14:textId="77777777" w:rsidR="00772179" w:rsidRDefault="00000000">
      <w:r>
        <w:rPr>
          <w:rStyle w:val="optioncarChar"/>
        </w:rPr>
        <w:t> </w:t>
      </w:r>
    </w:p>
    <w:p w14:paraId="75B53D24" w14:textId="77777777" w:rsidR="00772179" w:rsidRDefault="00000000">
      <w:pPr>
        <w:pStyle w:val="pheading"/>
      </w:pPr>
      <w:r>
        <w:lastRenderedPageBreak/>
        <w:t>- nature du marché:</w:t>
      </w:r>
    </w:p>
    <w:p w14:paraId="44F78E5B" w14:textId="77777777" w:rsidR="00772179" w:rsidRDefault="00000000">
      <w:r>
        <w:rPr>
          <w:rStyle w:val="optioncarChar"/>
        </w:rPr>
        <w:t xml:space="preserve">PM </w:t>
      </w:r>
      <w:r>
        <w:t>(par défaut)</w:t>
      </w:r>
      <w:r>
        <w:rPr>
          <w:rStyle w:val="optioncarChar"/>
        </w:rPr>
        <w:t xml:space="preserve"> / QF</w:t>
      </w:r>
    </w:p>
    <w:p w14:paraId="681D11B2" w14:textId="77777777" w:rsidR="00772179" w:rsidRDefault="00000000">
      <w:r>
        <w:rPr>
          <w:b/>
        </w:rPr>
        <w:t>(soit par défaut)</w:t>
      </w:r>
    </w:p>
    <w:p w14:paraId="3E3CD54C" w14:textId="77777777" w:rsidR="00772179" w:rsidRDefault="00000000">
      <w:r>
        <w:rPr>
          <w:rStyle w:val="soitChar"/>
        </w:rPr>
        <w:t>1. PM</w:t>
      </w:r>
    </w:p>
    <w:p w14:paraId="3ECF9336" w14:textId="77777777" w:rsidR="00772179" w:rsidRDefault="00000000">
      <w:r>
        <w:rPr>
          <w:b/>
        </w:rPr>
        <w:t>(soit)</w:t>
      </w:r>
    </w:p>
    <w:p w14:paraId="3C4F46D9" w14:textId="77777777" w:rsidR="00772179" w:rsidRDefault="00000000">
      <w:r>
        <w:rPr>
          <w:rStyle w:val="soitChar"/>
        </w:rPr>
        <w:t>2. QF</w:t>
      </w:r>
    </w:p>
    <w:p w14:paraId="485DD091" w14:textId="77777777" w:rsidR="00772179" w:rsidRDefault="00000000">
      <w:pPr>
        <w:pStyle w:val="pheading"/>
      </w:pPr>
      <w:r>
        <w:t>AIDE</w:t>
      </w:r>
    </w:p>
    <w:p w14:paraId="52172D6E" w14:textId="77777777" w:rsidR="00772179" w:rsidRDefault="00000000">
      <w:r>
        <w:t>NOTE A L’AUTEUR DE PROJET </w:t>
      </w:r>
    </w:p>
    <w:p w14:paraId="5E36BE3C" w14:textId="77777777" w:rsidR="00772179" w:rsidRDefault="00000000">
      <w:r>
        <w:rPr>
          <w:b/>
        </w:rPr>
        <w:t>Accessibilité aux personnes à mobilité réduite (PMR)</w:t>
      </w:r>
    </w:p>
    <w:p w14:paraId="752CE580" w14:textId="77777777" w:rsidR="00772179" w:rsidRDefault="00000000">
      <w:pPr>
        <w:pStyle w:val="Author-eListParagraph"/>
        <w:numPr>
          <w:ilvl w:val="0"/>
          <w:numId w:val="711"/>
        </w:numPr>
      </w:pPr>
      <w:r>
        <w:t>D’un point de vue force de manipulation, les fermes-portes adaptés aux PMR sont les fermes-portes de Force 1 et 2 du Tableau 1 de la norme [NBN EN 1154]. Cependant, ces deux types de fermes-portes ne conviennent pas en cas d’incendie. Ainsi, lorsque des fermes-portes conformes aux dispositions incendie sont installés, à savoir ceux de Force 3 à 7, il est recommandé de les coupler à un système d’ouverture électronique.</w:t>
      </w:r>
    </w:p>
    <w:p w14:paraId="566D5A4E" w14:textId="77777777" w:rsidR="00772179" w:rsidRDefault="00000000">
      <w:pPr>
        <w:pStyle w:val="Author-eListParagraph"/>
        <w:numPr>
          <w:ilvl w:val="0"/>
          <w:numId w:val="712"/>
        </w:numPr>
      </w:pPr>
      <w:r>
        <w:t>Par ailleurs, il est également recommandé que les fermes-portes présentent les caractéristiques suivantes : [NEN 1814] </w:t>
      </w:r>
    </w:p>
    <w:p w14:paraId="3C2E5773" w14:textId="77777777" w:rsidR="00772179" w:rsidRDefault="00000000">
      <w:pPr>
        <w:pStyle w:val="Author-eListParagraph"/>
        <w:numPr>
          <w:ilvl w:val="1"/>
          <w:numId w:val="713"/>
        </w:numPr>
      </w:pPr>
      <w:r>
        <w:t>Vitesse de fermeture : ≤ 4 m/s</w:t>
      </w:r>
    </w:p>
    <w:p w14:paraId="58DDACF2" w14:textId="77777777" w:rsidR="00772179" w:rsidRDefault="00000000">
      <w:pPr>
        <w:pStyle w:val="Author-eListParagraph"/>
        <w:numPr>
          <w:ilvl w:val="1"/>
          <w:numId w:val="713"/>
        </w:numPr>
      </w:pPr>
      <w:r>
        <w:t>Temps de passage (angle d’ouverture d’au moins 75 degrés) : ≥ 6 secondes </w:t>
      </w:r>
    </w:p>
    <w:p w14:paraId="4B409568" w14:textId="77777777" w:rsidR="00772179" w:rsidRDefault="00000000">
      <w:r>
        <w:t> </w:t>
      </w:r>
    </w:p>
    <w:p w14:paraId="07B09A4A" w14:textId="77777777" w:rsidR="00772179" w:rsidRDefault="00000000">
      <w:r>
        <w:t> </w:t>
      </w:r>
    </w:p>
    <w:p w14:paraId="1D1BC4C1" w14:textId="77777777" w:rsidR="00772179" w:rsidRDefault="00000000">
      <w:r>
        <w:t> </w:t>
      </w:r>
    </w:p>
    <w:p w14:paraId="4D57D89C" w14:textId="77777777" w:rsidR="00772179" w:rsidRDefault="00000000">
      <w:pPr>
        <w:pStyle w:val="Author-eSectionHeading6Numberless"/>
      </w:pPr>
      <w:bookmarkStart w:id="353" w:name="_Toc220490078"/>
      <w:r>
        <w:t>41.72.4e Dispositifs d'arrêt de porte CCTB 01.11</w:t>
      </w:r>
      <w:bookmarkEnd w:id="353"/>
    </w:p>
    <w:p w14:paraId="3E1DB0DD" w14:textId="77777777" w:rsidR="00772179" w:rsidRDefault="00000000">
      <w:pPr>
        <w:pStyle w:val="pheading"/>
      </w:pPr>
      <w:r>
        <w:t>MATÉRIAUX</w:t>
      </w:r>
    </w:p>
    <w:p w14:paraId="1416E01C" w14:textId="77777777" w:rsidR="00772179" w:rsidRDefault="00000000">
      <w:pPr>
        <w:pStyle w:val="pheading"/>
      </w:pPr>
      <w:r>
        <w:t>- Caractéristiques générales</w:t>
      </w:r>
    </w:p>
    <w:p w14:paraId="4CA05322" w14:textId="77777777" w:rsidR="00772179" w:rsidRDefault="00000000">
      <w:r>
        <w:t xml:space="preserve">Il s'agit d'arrêts de porte appropriés, qui sont destinés à être fixés dans </w:t>
      </w:r>
      <w:r>
        <w:rPr>
          <w:rStyle w:val="optioncarChar"/>
        </w:rPr>
        <w:t>le sol / le mur</w:t>
      </w:r>
      <w:r>
        <w:t xml:space="preserve"> , afin de limiter l'ouverture de la porte. Modèle à soumettre pour approbation au maître d’ouvrage.</w:t>
      </w:r>
    </w:p>
    <w:p w14:paraId="3DA22BB3" w14:textId="77777777" w:rsidR="00772179" w:rsidRDefault="00000000">
      <w:pPr>
        <w:pStyle w:val="pheading"/>
      </w:pPr>
      <w:r>
        <w:t>- Finitions</w:t>
      </w:r>
    </w:p>
    <w:p w14:paraId="11733E88" w14:textId="77777777" w:rsidR="00772179" w:rsidRDefault="00000000">
      <w:pPr>
        <w:pStyle w:val="Author-eListParagraph"/>
        <w:numPr>
          <w:ilvl w:val="0"/>
          <w:numId w:val="717"/>
        </w:numPr>
      </w:pPr>
      <w:r>
        <w:t>Matériau :</w:t>
      </w:r>
      <w:r>
        <w:rPr>
          <w:rStyle w:val="optioncarChar"/>
        </w:rPr>
        <w:t xml:space="preserve"> caoutchouc lourd </w:t>
      </w:r>
      <w:r>
        <w:t>(par défaut)</w:t>
      </w:r>
      <w:r>
        <w:rPr>
          <w:rStyle w:val="optioncarChar"/>
        </w:rPr>
        <w:t xml:space="preserve"> / matière synthétique de qualité </w:t>
      </w:r>
      <w:r>
        <w:t>, avec une cheville profonde et une vis inoxydable </w:t>
      </w:r>
    </w:p>
    <w:p w14:paraId="0D32AC58" w14:textId="77777777" w:rsidR="00772179" w:rsidRDefault="00000000">
      <w:pPr>
        <w:pStyle w:val="Author-eListParagraph"/>
        <w:numPr>
          <w:ilvl w:val="0"/>
          <w:numId w:val="717"/>
        </w:numPr>
      </w:pPr>
      <w:r>
        <w:t>Diamètre : ≥</w:t>
      </w:r>
      <w:r>
        <w:rPr>
          <w:rStyle w:val="optioncarChar"/>
        </w:rPr>
        <w:t> 30 / ***</w:t>
      </w:r>
      <w:r>
        <w:t> mm</w:t>
      </w:r>
    </w:p>
    <w:p w14:paraId="6C0A63A3" w14:textId="77777777" w:rsidR="00772179" w:rsidRDefault="00000000">
      <w:pPr>
        <w:pStyle w:val="pheading"/>
      </w:pPr>
      <w:r>
        <w:t>EXÉCUTION / MISE EN ŒUVRE</w:t>
      </w:r>
    </w:p>
    <w:p w14:paraId="659D62D7" w14:textId="77777777" w:rsidR="00772179" w:rsidRDefault="00000000">
      <w:pPr>
        <w:pStyle w:val="pheading"/>
      </w:pPr>
      <w:r>
        <w:t>- Prescriptions générales</w:t>
      </w:r>
    </w:p>
    <w:p w14:paraId="61E5D168" w14:textId="77777777" w:rsidR="00772179" w:rsidRDefault="00000000">
      <w:r>
        <w:t xml:space="preserve">Le trou est foré de manière à ne pas endommager la finition du sol, à au moins </w:t>
      </w:r>
      <w:r>
        <w:rPr>
          <w:rStyle w:val="optioncarChar"/>
        </w:rPr>
        <w:t>2,5 </w:t>
      </w:r>
      <w:r>
        <w:t>(par défaut) </w:t>
      </w:r>
      <w:r>
        <w:rPr>
          <w:rStyle w:val="optioncarChar"/>
        </w:rPr>
        <w:t>/ ***</w:t>
      </w:r>
      <w:r>
        <w:t>  cm de distance du bord d'un carreau. L'implantation est décidée en concertation avec l'auteur de projet et tient compte des dimensions de la poignée de porte afin de ne pas endommager les murs.</w:t>
      </w:r>
    </w:p>
    <w:p w14:paraId="489F73EC" w14:textId="77777777" w:rsidR="00772179" w:rsidRDefault="00000000">
      <w:pPr>
        <w:pStyle w:val="pheading"/>
      </w:pPr>
      <w:r>
        <w:t>MESURAGE</w:t>
      </w:r>
    </w:p>
    <w:p w14:paraId="282F0937" w14:textId="77777777" w:rsidR="00772179" w:rsidRDefault="00000000">
      <w:pPr>
        <w:pStyle w:val="pheading"/>
      </w:pPr>
      <w:r>
        <w:t>- unité de mesure:</w:t>
      </w:r>
    </w:p>
    <w:p w14:paraId="2F814CB6" w14:textId="77777777" w:rsidR="00772179" w:rsidRDefault="00000000">
      <w:r>
        <w:rPr>
          <w:rStyle w:val="optioncarChar"/>
        </w:rPr>
        <w:t xml:space="preserve"> - </w:t>
      </w:r>
      <w:r>
        <w:t>(par défaut)</w:t>
      </w:r>
      <w:r>
        <w:rPr>
          <w:rStyle w:val="optioncarChar"/>
        </w:rPr>
        <w:t xml:space="preserve"> / pc</w:t>
      </w:r>
    </w:p>
    <w:p w14:paraId="0E68B1C5" w14:textId="77777777" w:rsidR="00772179" w:rsidRDefault="00000000">
      <w:pPr>
        <w:pStyle w:val="pheading"/>
      </w:pPr>
      <w:r>
        <w:t>- code de mesurage:</w:t>
      </w:r>
    </w:p>
    <w:p w14:paraId="61788943" w14:textId="77777777" w:rsidR="00772179" w:rsidRDefault="00000000">
      <w:r>
        <w:rPr>
          <w:rStyle w:val="optioncarChar"/>
        </w:rPr>
        <w:t>Compris</w:t>
      </w:r>
      <w:r>
        <w:t xml:space="preserve"> (par défaut) / </w:t>
      </w:r>
      <w:r>
        <w:rPr>
          <w:rStyle w:val="optioncarChar"/>
        </w:rPr>
        <w:t>à la pièce</w:t>
      </w:r>
    </w:p>
    <w:p w14:paraId="6836C01B" w14:textId="77777777" w:rsidR="00772179" w:rsidRDefault="00000000">
      <w:r>
        <w:rPr>
          <w:b/>
        </w:rPr>
        <w:t>(soit par défaut) :</w:t>
      </w:r>
      <w:r>
        <w:t>  </w:t>
      </w:r>
      <w:r>
        <w:rPr>
          <w:rStyle w:val="soitChar"/>
          <w:u w:val="single"/>
        </w:rPr>
        <w:t xml:space="preserve">Compris </w:t>
      </w:r>
      <w:r>
        <w:rPr>
          <w:rStyle w:val="soitChar"/>
        </w:rPr>
        <w:t>dans le prix de la menuiserie extérieure</w:t>
      </w:r>
    </w:p>
    <w:p w14:paraId="1774B3D0" w14:textId="77777777" w:rsidR="00772179" w:rsidRDefault="00000000">
      <w:r>
        <w:rPr>
          <w:b/>
        </w:rPr>
        <w:t>(soit) :</w:t>
      </w:r>
      <w:r>
        <w:t> </w:t>
      </w:r>
      <w:r>
        <w:rPr>
          <w:rStyle w:val="soitChar"/>
          <w:u w:val="single"/>
        </w:rPr>
        <w:t>A la pièce</w:t>
      </w:r>
      <w:r>
        <w:rPr>
          <w:rStyle w:val="soitChar"/>
        </w:rPr>
        <w:t xml:space="preserve"> et ventilé le cas échéant selon la nature et le type</w:t>
      </w:r>
    </w:p>
    <w:p w14:paraId="7322EA88" w14:textId="77777777" w:rsidR="00772179" w:rsidRDefault="00000000">
      <w:pPr>
        <w:pStyle w:val="pheading"/>
      </w:pPr>
      <w:r>
        <w:lastRenderedPageBreak/>
        <w:t>- nature du marché:</w:t>
      </w:r>
    </w:p>
    <w:p w14:paraId="1D8C578C" w14:textId="77777777" w:rsidR="00772179" w:rsidRDefault="00000000">
      <w:r>
        <w:rPr>
          <w:rStyle w:val="optioncarChar"/>
        </w:rPr>
        <w:t xml:space="preserve">PM </w:t>
      </w:r>
      <w:r>
        <w:t>(par défaut)</w:t>
      </w:r>
      <w:r>
        <w:rPr>
          <w:rStyle w:val="optioncarChar"/>
        </w:rPr>
        <w:t xml:space="preserve"> / QF</w:t>
      </w:r>
    </w:p>
    <w:p w14:paraId="2C075E51" w14:textId="77777777" w:rsidR="00772179" w:rsidRDefault="00000000">
      <w:r>
        <w:rPr>
          <w:b/>
        </w:rPr>
        <w:t>(soit par défaut)</w:t>
      </w:r>
    </w:p>
    <w:p w14:paraId="31BA15B4" w14:textId="77777777" w:rsidR="00772179" w:rsidRDefault="00000000">
      <w:r>
        <w:rPr>
          <w:rStyle w:val="soitChar"/>
        </w:rPr>
        <w:t>1. PM</w:t>
      </w:r>
    </w:p>
    <w:p w14:paraId="4ADF70C8" w14:textId="77777777" w:rsidR="00772179" w:rsidRDefault="00000000">
      <w:r>
        <w:rPr>
          <w:b/>
        </w:rPr>
        <w:t>(soit)</w:t>
      </w:r>
    </w:p>
    <w:p w14:paraId="78F6930D" w14:textId="77777777" w:rsidR="00772179" w:rsidRDefault="00000000">
      <w:r>
        <w:rPr>
          <w:rStyle w:val="soitChar"/>
        </w:rPr>
        <w:t>2. QF</w:t>
      </w:r>
    </w:p>
    <w:p w14:paraId="2674573B" w14:textId="77777777" w:rsidR="00772179" w:rsidRDefault="00000000">
      <w:pPr>
        <w:pStyle w:val="Author-eSectionHeading6Numberless"/>
      </w:pPr>
      <w:bookmarkStart w:id="354" w:name="_Toc220490079"/>
      <w:r>
        <w:t>41.72.4f Espagnolettes</w:t>
      </w:r>
      <w:bookmarkEnd w:id="354"/>
    </w:p>
    <w:p w14:paraId="58432F80" w14:textId="77777777" w:rsidR="00772179" w:rsidRDefault="00000000">
      <w:pPr>
        <w:pStyle w:val="Author-eSectionHeading6Numberless"/>
      </w:pPr>
      <w:bookmarkStart w:id="355" w:name="_Toc220490080"/>
      <w:r>
        <w:t>41.72.4g Crémones</w:t>
      </w:r>
      <w:bookmarkEnd w:id="355"/>
    </w:p>
    <w:p w14:paraId="24821CC4" w14:textId="77777777" w:rsidR="00772179" w:rsidRDefault="00000000">
      <w:pPr>
        <w:pStyle w:val="Author-eSectionHeading6Numberless"/>
      </w:pPr>
      <w:bookmarkStart w:id="356" w:name="_Toc220490081"/>
      <w:r>
        <w:t>41.72.4h Verrous</w:t>
      </w:r>
      <w:bookmarkEnd w:id="356"/>
    </w:p>
    <w:p w14:paraId="2E9647D2" w14:textId="77777777" w:rsidR="00772179" w:rsidRDefault="00000000">
      <w:pPr>
        <w:pStyle w:val="Author-eSectionHeading5Numberless"/>
      </w:pPr>
      <w:bookmarkStart w:id="357" w:name="_Toc220490082"/>
      <w:r>
        <w:t>41.72.5 Axes d'ouverture sur pivots CCTB 01.02</w:t>
      </w:r>
      <w:bookmarkEnd w:id="357"/>
    </w:p>
    <w:p w14:paraId="564E1B1B" w14:textId="77777777" w:rsidR="00772179" w:rsidRDefault="00000000">
      <w:pPr>
        <w:pStyle w:val="Author-eSectionHeading6Numberless"/>
      </w:pPr>
      <w:bookmarkStart w:id="358" w:name="_Toc220490083"/>
      <w:r>
        <w:t>41.72.5a Axes d'ouverture sur pivots</w:t>
      </w:r>
      <w:bookmarkEnd w:id="358"/>
    </w:p>
    <w:p w14:paraId="0D72B028" w14:textId="77777777" w:rsidR="00772179" w:rsidRDefault="00000000">
      <w:pPr>
        <w:pStyle w:val="Author-eSectionHeading4Numberless"/>
      </w:pPr>
      <w:bookmarkStart w:id="359" w:name="912"/>
      <w:bookmarkStart w:id="360" w:name="_Toc220490084"/>
      <w:bookmarkEnd w:id="359"/>
      <w:r>
        <w:t>41.73 Huisseries extérieures CCTB 01.02</w:t>
      </w:r>
      <w:bookmarkEnd w:id="360"/>
    </w:p>
    <w:p w14:paraId="03DC9DBD" w14:textId="77777777" w:rsidR="00772179" w:rsidRDefault="00000000">
      <w:pPr>
        <w:pStyle w:val="Author-eSectionHeading5Numberless"/>
      </w:pPr>
      <w:bookmarkStart w:id="361" w:name="_Toc220490085"/>
      <w:r>
        <w:t>41.73.1 Huisseries extérieures intégrées au système de châssis</w:t>
      </w:r>
      <w:bookmarkEnd w:id="361"/>
    </w:p>
    <w:p w14:paraId="419C1FC5" w14:textId="77777777" w:rsidR="00772179" w:rsidRDefault="00000000">
      <w:pPr>
        <w:pStyle w:val="Author-eSectionHeading6Numberless"/>
      </w:pPr>
      <w:bookmarkStart w:id="362" w:name="_Toc220490086"/>
      <w:r>
        <w:t>41.73.1a Huisseries extérieures en bois intégrées au système de châssis en bois CCTB 01.11</w:t>
      </w:r>
      <w:bookmarkEnd w:id="362"/>
    </w:p>
    <w:p w14:paraId="1D7BA6AE" w14:textId="77777777" w:rsidR="00772179" w:rsidRDefault="00000000">
      <w:pPr>
        <w:pStyle w:val="Author-eSectionHeading6Numberless"/>
      </w:pPr>
      <w:bookmarkStart w:id="363" w:name="_Toc220490087"/>
      <w:r>
        <w:t>41.73.1b Huisseries extérieures en aluminium intégrées au système de châssis en aluminium CCTB 01.11</w:t>
      </w:r>
      <w:bookmarkEnd w:id="363"/>
    </w:p>
    <w:p w14:paraId="2BB61A15" w14:textId="77777777" w:rsidR="00772179" w:rsidRDefault="00000000">
      <w:pPr>
        <w:pStyle w:val="pheading"/>
      </w:pPr>
      <w:r>
        <w:t>DESCRIPTION</w:t>
      </w:r>
    </w:p>
    <w:p w14:paraId="04136C4D" w14:textId="77777777" w:rsidR="00772179" w:rsidRDefault="00000000">
      <w:pPr>
        <w:pStyle w:val="pheading"/>
      </w:pPr>
      <w:r>
        <w:t>- Définition / Comprend</w:t>
      </w:r>
    </w:p>
    <w:p w14:paraId="782E8330" w14:textId="77777777" w:rsidR="00772179" w:rsidRDefault="00000000">
      <w:pPr>
        <w:jc w:val="both"/>
      </w:pPr>
      <w:r>
        <w:t>Il s’agit de la fourniture et la pose des profilés servant d’huisseries extérieures en aluminium intégrées au système de châssis en aluminium.</w:t>
      </w:r>
    </w:p>
    <w:p w14:paraId="2B6BB1A3" w14:textId="77777777" w:rsidR="00772179" w:rsidRDefault="00000000">
      <w:pPr>
        <w:jc w:val="both"/>
      </w:pPr>
      <w:r>
        <w:t xml:space="preserve">Cet élément est à considérer en complément des éléments </w:t>
      </w:r>
      <w:hyperlink w:anchor="922" w:history="1">
        <w:r>
          <w:rPr>
            <w:color w:val="0000EE"/>
          </w:rPr>
          <w:t>41.12.2a Fenêtres et portes-fenêtres en aluminium avec coupure thermique</w:t>
        </w:r>
      </w:hyperlink>
      <w:r>
        <w:t xml:space="preserve"> et </w:t>
      </w:r>
      <w:hyperlink w:anchor="923" w:history="1">
        <w:r>
          <w:rPr>
            <w:color w:val="0000EE"/>
          </w:rPr>
          <w:t>41.22.2a Portes d'entrée en aluminium avec coupure thermique</w:t>
        </w:r>
      </w:hyperlink>
      <w:r>
        <w:t>.</w:t>
      </w:r>
    </w:p>
    <w:p w14:paraId="5D8A94F4" w14:textId="77777777" w:rsidR="00772179" w:rsidRDefault="00000000">
      <w:pPr>
        <w:pStyle w:val="pheading"/>
      </w:pPr>
      <w:r>
        <w:t>- Localisation</w:t>
      </w:r>
    </w:p>
    <w:p w14:paraId="28812D35" w14:textId="77777777" w:rsidR="00772179" w:rsidRDefault="00000000">
      <w:r>
        <w:t xml:space="preserve">La localisation des fenêtres et portes-fenêtres est la suivante : </w:t>
      </w:r>
      <w:r>
        <w:rPr>
          <w:rStyle w:val="optioncarChar"/>
        </w:rPr>
        <w:t>***</w:t>
      </w:r>
      <w:r>
        <w:t>.</w:t>
      </w:r>
    </w:p>
    <w:p w14:paraId="7EB0188D" w14:textId="77777777" w:rsidR="00772179" w:rsidRDefault="00000000">
      <w:r>
        <w:t xml:space="preserve">Voir : </w:t>
      </w:r>
      <w:r>
        <w:rPr>
          <w:rStyle w:val="optioncarChar"/>
        </w:rPr>
        <w:t>plans et métrés détaillés / ***</w:t>
      </w:r>
    </w:p>
    <w:p w14:paraId="44AAD24F" w14:textId="77777777" w:rsidR="00772179" w:rsidRDefault="00000000">
      <w:pPr>
        <w:pStyle w:val="pheading"/>
      </w:pPr>
      <w:r>
        <w:t>MATÉRIAUX</w:t>
      </w:r>
    </w:p>
    <w:p w14:paraId="6852E88E" w14:textId="77777777" w:rsidR="00772179" w:rsidRDefault="00000000">
      <w:pPr>
        <w:pStyle w:val="pheading"/>
      </w:pPr>
      <w:r>
        <w:t>- Caractéristiques générales</w:t>
      </w:r>
    </w:p>
    <w:p w14:paraId="4FB070D8" w14:textId="77777777" w:rsidR="00772179" w:rsidRDefault="00000000">
      <w:pPr>
        <w:jc w:val="both"/>
      </w:pPr>
      <w:r>
        <w:t>La composition de l’aluminium est conforme aux exigences de la [STS 52.1]. L’ambiance lors de la vie de l’huisserie est en climat normal (par défaut) / climat agressif. Dans le cas de climats normaux, les alliages AW-6060 ou AW-6063 sont utilisés. Pour des climats agressifs, l’alliage AW-6060-B est utilisé. Les alliages sont conformes à la [NBN EN 755-2].</w:t>
      </w:r>
    </w:p>
    <w:p w14:paraId="3EE5DF77" w14:textId="77777777" w:rsidR="00772179" w:rsidRDefault="00000000">
      <w:pPr>
        <w:jc w:val="both"/>
      </w:pPr>
      <w:r>
        <w:t xml:space="preserve">L’huisserie extérieure reprend </w:t>
      </w:r>
      <w:r>
        <w:rPr>
          <w:rStyle w:val="optioncarChar"/>
        </w:rPr>
        <w:t xml:space="preserve">le tableau (joues) de la baie, le linteau et le seuil </w:t>
      </w:r>
      <w:r>
        <w:t>(par défaut)</w:t>
      </w:r>
      <w:r>
        <w:rPr>
          <w:rStyle w:val="optioncarChar"/>
        </w:rPr>
        <w:t xml:space="preserve"> / le tableau (joues) et le linteau / le tableau (joues) et le seuil / ***</w:t>
      </w:r>
      <w:r>
        <w:t>.</w:t>
      </w:r>
    </w:p>
    <w:p w14:paraId="13BABFA2" w14:textId="77777777" w:rsidR="00772179" w:rsidRDefault="00000000">
      <w:pPr>
        <w:jc w:val="both"/>
      </w:pPr>
      <w:r>
        <w:t xml:space="preserve">Le profilé de seuil est en surplomb de </w:t>
      </w:r>
      <w:r>
        <w:rPr>
          <w:rStyle w:val="optioncarChar"/>
        </w:rPr>
        <w:t xml:space="preserve">50 mm </w:t>
      </w:r>
      <w:r>
        <w:t>(par défaut)</w:t>
      </w:r>
      <w:r>
        <w:rPr>
          <w:rStyle w:val="optioncarChar"/>
        </w:rPr>
        <w:t xml:space="preserve"> / ***</w:t>
      </w:r>
      <w:r>
        <w:t xml:space="preserve"> et dispose d’un casse-goutte.</w:t>
      </w:r>
    </w:p>
    <w:p w14:paraId="7E5676CD" w14:textId="77777777" w:rsidR="00772179" w:rsidRDefault="00000000">
      <w:pPr>
        <w:jc w:val="both"/>
      </w:pPr>
      <w:r>
        <w:t xml:space="preserve">L’étanchéité entre l’huisserie et le châssis de fenêtre ou de porte est réalisé par </w:t>
      </w:r>
      <w:r>
        <w:rPr>
          <w:rStyle w:val="optioncarChar"/>
        </w:rPr>
        <w:t xml:space="preserve">mastic d’étanchéité </w:t>
      </w:r>
      <w:r>
        <w:t>(par défaut)</w:t>
      </w:r>
      <w:r>
        <w:rPr>
          <w:rStyle w:val="optioncarChar"/>
        </w:rPr>
        <w:t xml:space="preserve"> / joint compressible / emboîtement / ***</w:t>
      </w:r>
      <w:r>
        <w:t>.</w:t>
      </w:r>
    </w:p>
    <w:p w14:paraId="56188537" w14:textId="77777777" w:rsidR="00772179" w:rsidRDefault="00000000">
      <w:pPr>
        <w:jc w:val="both"/>
      </w:pPr>
      <w:r>
        <w:t xml:space="preserve">L’assemblage entre l’huisserie et le châssis de fenêtre ou de porte est assuré par </w:t>
      </w:r>
      <w:r>
        <w:rPr>
          <w:rStyle w:val="optioncarChar"/>
        </w:rPr>
        <w:t xml:space="preserve">fixations mécaniques </w:t>
      </w:r>
      <w:r>
        <w:t>(par défaut)</w:t>
      </w:r>
      <w:r>
        <w:rPr>
          <w:rStyle w:val="optioncarChar"/>
        </w:rPr>
        <w:t xml:space="preserve"> / soudure / collage / ***</w:t>
      </w:r>
      <w:r>
        <w:t>.</w:t>
      </w:r>
    </w:p>
    <w:p w14:paraId="05BB7ACE" w14:textId="77777777" w:rsidR="00772179" w:rsidRDefault="00000000">
      <w:pPr>
        <w:jc w:val="both"/>
      </w:pPr>
      <w:r>
        <w:lastRenderedPageBreak/>
        <w:t>Les mastics utilisés sont conformes aux [STS 56.1].</w:t>
      </w:r>
    </w:p>
    <w:p w14:paraId="0462F2ED" w14:textId="77777777" w:rsidR="00772179" w:rsidRDefault="00000000">
      <w:pPr>
        <w:jc w:val="both"/>
      </w:pPr>
      <w:r>
        <w:t xml:space="preserve">Les profilés verticaux et du linteau reviennent </w:t>
      </w:r>
      <w:r>
        <w:rPr>
          <w:rStyle w:val="optioncarChar"/>
        </w:rPr>
        <w:t xml:space="preserve">sur le parement de la façade </w:t>
      </w:r>
      <w:r>
        <w:t>(par défaut)</w:t>
      </w:r>
      <w:r>
        <w:rPr>
          <w:rStyle w:val="optioncarChar"/>
        </w:rPr>
        <w:t xml:space="preserve"> / ***</w:t>
      </w:r>
      <w:r>
        <w:t>.</w:t>
      </w:r>
    </w:p>
    <w:p w14:paraId="630E2984" w14:textId="77777777" w:rsidR="00772179" w:rsidRDefault="00000000">
      <w:pPr>
        <w:jc w:val="both"/>
      </w:pPr>
      <w:r>
        <w:t>Le retour de profilé sur le parement est de ≤</w:t>
      </w:r>
      <w:r>
        <w:rPr>
          <w:rStyle w:val="optioncarChar"/>
        </w:rPr>
        <w:t xml:space="preserve"> 20 mm </w:t>
      </w:r>
      <w:r>
        <w:t xml:space="preserve">(par défaut) </w:t>
      </w:r>
      <w:r>
        <w:rPr>
          <w:rStyle w:val="optioncarChar"/>
        </w:rPr>
        <w:t>/ ***</w:t>
      </w:r>
      <w:r>
        <w:t>.</w:t>
      </w:r>
    </w:p>
    <w:p w14:paraId="315B885E" w14:textId="77777777" w:rsidR="00772179" w:rsidRDefault="00000000">
      <w:pPr>
        <w:jc w:val="both"/>
      </w:pPr>
      <w:r>
        <w:t xml:space="preserve">La dimension vue (projection horizontale) de l’huisserie est ≤ </w:t>
      </w:r>
      <w:r>
        <w:rPr>
          <w:rStyle w:val="optioncarChar"/>
        </w:rPr>
        <w:t>***</w:t>
      </w:r>
      <w:r>
        <w:t xml:space="preserve"> mm.</w:t>
      </w:r>
    </w:p>
    <w:p w14:paraId="1F8B48B4" w14:textId="77777777" w:rsidR="00772179" w:rsidRDefault="00000000">
      <w:pPr>
        <w:pStyle w:val="pheading"/>
      </w:pPr>
      <w:r>
        <w:t>- Finitions</w:t>
      </w:r>
    </w:p>
    <w:p w14:paraId="3D70F0F7" w14:textId="77777777" w:rsidR="00772179" w:rsidRDefault="00000000">
      <w:pPr>
        <w:jc w:val="both"/>
      </w:pPr>
      <w:r>
        <w:t>Pour l'usinage, le traitement et la mise en place des profils préformés, il est toujours tenu compte des prescriptions du fournisseur du système. </w:t>
      </w:r>
    </w:p>
    <w:p w14:paraId="30D909D3" w14:textId="77777777" w:rsidR="00772179" w:rsidRDefault="00000000">
      <w:pPr>
        <w:pStyle w:val="Author-eListParagraph"/>
        <w:numPr>
          <w:ilvl w:val="0"/>
          <w:numId w:val="718"/>
        </w:numPr>
      </w:pPr>
      <w:r>
        <w:t>Lors d’une observation perpendiculaire à la surface concernée sous une lumière diffuse (ciel couvert à l’extérieur et sans éclairage artificiel à l’intérieur), aucun défaut de surface décrit ci-après n'est visible à l’œil nu à une distance de 2 m : </w:t>
      </w:r>
      <w:r>
        <w:br/>
      </w:r>
    </w:p>
    <w:p w14:paraId="115AB22E" w14:textId="77777777" w:rsidR="00772179" w:rsidRDefault="00000000">
      <w:pPr>
        <w:pStyle w:val="Author-eListParagraph"/>
        <w:numPr>
          <w:ilvl w:val="1"/>
          <w:numId w:val="719"/>
        </w:numPr>
      </w:pPr>
      <w:r>
        <w:t>Surface rude, gouttes d’écoulement, boursouflures, effet de peau d’orange, inclusions, cratères, taches mates, trous, griffes.</w:t>
      </w:r>
      <w:r>
        <w:br/>
      </w:r>
    </w:p>
    <w:p w14:paraId="5F724FF9" w14:textId="77777777" w:rsidR="00772179" w:rsidRDefault="00000000">
      <w:pPr>
        <w:pStyle w:val="Author-eListParagraph"/>
        <w:numPr>
          <w:ilvl w:val="1"/>
          <w:numId w:val="719"/>
        </w:numPr>
      </w:pPr>
      <w:r>
        <w:t>L’exécution laquée au four présente une teinte et un éclat uniformes et est couvrante. Aucune différence de teinte incommodante n'apparaît entre les pièces séparées. Tous les profilés, les tôles et les accessoires en exécution métallique sont laqués au four avec une poudre du même lot, sans interruption, et lors de commandes supplémentaires pour le même projet, il convient de donner un échantillon au laqueur afin de minimiser les différences de teinte.</w:t>
      </w:r>
      <w:r>
        <w:br/>
      </w:r>
      <w:r>
        <w:br/>
        <w:t>L’aspect de la face visible des profilés anodisés ne présente aucune différence de teinte ni de taches incommodantes qui est jugées gênantes.  </w:t>
      </w:r>
    </w:p>
    <w:p w14:paraId="3F72E550" w14:textId="77777777" w:rsidR="00772179" w:rsidRDefault="00000000">
      <w:pPr>
        <w:jc w:val="both"/>
      </w:pPr>
      <w:r>
        <w:t xml:space="preserve">La finition de surface est la suivante : </w:t>
      </w:r>
      <w:r>
        <w:rPr>
          <w:rStyle w:val="optioncarChar"/>
        </w:rPr>
        <w:t>laquage et revêtement par poudrage (laquage au four) / laquage de peinture liquide / anodisation / ***</w:t>
      </w:r>
      <w:r>
        <w:t>.</w:t>
      </w:r>
    </w:p>
    <w:p w14:paraId="35D41072" w14:textId="77777777" w:rsidR="00772179" w:rsidRDefault="00000000">
      <w:pPr>
        <w:jc w:val="both"/>
      </w:pPr>
      <w:r>
        <w:rPr>
          <w:b/>
          <w:u w:val="single"/>
        </w:rPr>
        <w:t>Laquages / Revêtements</w:t>
      </w:r>
    </w:p>
    <w:p w14:paraId="2387ABD9" w14:textId="77777777" w:rsidR="00772179" w:rsidRDefault="00772179">
      <w:pPr>
        <w:jc w:val="both"/>
      </w:pPr>
    </w:p>
    <w:p w14:paraId="26D873C8" w14:textId="77777777" w:rsidR="00772179" w:rsidRDefault="00000000">
      <w:pPr>
        <w:pStyle w:val="Author-eListParagraph"/>
        <w:numPr>
          <w:ilvl w:val="0"/>
          <w:numId w:val="720"/>
        </w:numPr>
      </w:pPr>
      <w:r>
        <w:t>Le procédé de finition par laquage sur aluminium est conforme à la norme [NBN EN 12206-1]</w:t>
      </w:r>
    </w:p>
    <w:p w14:paraId="58DE923A" w14:textId="77777777" w:rsidR="00772179" w:rsidRDefault="00000000">
      <w:pPr>
        <w:pStyle w:val="Author-eListParagraph"/>
        <w:numPr>
          <w:ilvl w:val="0"/>
          <w:numId w:val="720"/>
        </w:numPr>
      </w:pPr>
      <w:r>
        <w:t>Les couches de peinture résistent aux chocs et ne s'écaillent pas aux bords lors d’opérations mécaniques (forage, sciage, fraisage, poinçonnage, ...). Les échantillons de profilés nécessaires sont préalablement soumis à l’auteur de projet.</w:t>
      </w:r>
    </w:p>
    <w:p w14:paraId="6D9C9B5A" w14:textId="77777777" w:rsidR="00772179" w:rsidRDefault="00000000">
      <w:pPr>
        <w:ind w:left="567"/>
        <w:jc w:val="both"/>
      </w:pPr>
      <w:r>
        <w:t>Domaine d’application : Classe</w:t>
      </w:r>
      <w:r>
        <w:rPr>
          <w:rStyle w:val="optioncarChar"/>
        </w:rPr>
        <w:t xml:space="preserve"> 2 </w:t>
      </w:r>
      <w:r>
        <w:t>(par défaut)</w:t>
      </w:r>
      <w:r>
        <w:rPr>
          <w:rStyle w:val="optioncarChar"/>
        </w:rPr>
        <w:t xml:space="preserve"> / 3</w:t>
      </w:r>
      <w:r>
        <w:t>.</w:t>
      </w:r>
    </w:p>
    <w:p w14:paraId="2C00B532" w14:textId="77777777" w:rsidR="00772179" w:rsidRDefault="00000000">
      <w:pPr>
        <w:ind w:left="567"/>
        <w:jc w:val="both"/>
      </w:pPr>
      <w:r>
        <w:rPr>
          <w:b/>
          <w:i/>
        </w:rPr>
        <w:t>(soit par défaut)</w:t>
      </w:r>
    </w:p>
    <w:p w14:paraId="32340F6A" w14:textId="77777777" w:rsidR="00772179" w:rsidRDefault="00000000">
      <w:pPr>
        <w:ind w:left="567"/>
        <w:jc w:val="both"/>
      </w:pPr>
      <w:r>
        <w:rPr>
          <w:rStyle w:val="soitChar"/>
          <w:u w:val="single"/>
        </w:rPr>
        <w:t> Domaine d’application : Classe 2</w:t>
      </w:r>
      <w:r>
        <w:rPr>
          <w:rStyle w:val="soitChar"/>
        </w:rPr>
        <w:t xml:space="preserve"> – atmosphère urbaine – charge normale. </w:t>
      </w:r>
    </w:p>
    <w:p w14:paraId="12401D98" w14:textId="77777777" w:rsidR="00772179" w:rsidRDefault="00000000">
      <w:pPr>
        <w:ind w:left="567"/>
        <w:jc w:val="both"/>
      </w:pPr>
      <w:r>
        <w:rPr>
          <w:rStyle w:val="soitChar"/>
        </w:rPr>
        <w:t>Après le dégraissage et le décapage (1 à 2 gr/m²), les profilés reçoivent une couche de conversion à base de chrome (0,6 à 1 gr/m²). Maximum 16 heures après le rinçage et le séchage à une température de l’air ≤ 100 °C ,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40BBF9A8" w14:textId="77777777" w:rsidR="00772179" w:rsidRDefault="00000000">
      <w:pPr>
        <w:ind w:left="567"/>
        <w:jc w:val="both"/>
      </w:pPr>
      <w:r>
        <w:rPr>
          <w:b/>
          <w:i/>
        </w:rPr>
        <w:t>(soit)</w:t>
      </w:r>
    </w:p>
    <w:p w14:paraId="066566AB" w14:textId="77777777" w:rsidR="00772179" w:rsidRDefault="00000000">
      <w:pPr>
        <w:ind w:left="567"/>
        <w:jc w:val="both"/>
      </w:pPr>
      <w:r>
        <w:rPr>
          <w:rStyle w:val="soitChar"/>
          <w:u w:val="single"/>
        </w:rPr>
        <w:t>Domaine d’application : Classe 3</w:t>
      </w:r>
      <w:r>
        <w:rPr>
          <w:rStyle w:val="soitChar"/>
        </w:rPr>
        <w:t xml:space="preserve"> – charge agressive.</w:t>
      </w:r>
    </w:p>
    <w:p w14:paraId="7B207048" w14:textId="77777777" w:rsidR="00772179" w:rsidRDefault="00772179">
      <w:pPr>
        <w:ind w:left="567"/>
        <w:jc w:val="both"/>
      </w:pPr>
    </w:p>
    <w:p w14:paraId="268062E8" w14:textId="77777777" w:rsidR="00772179" w:rsidRDefault="00000000">
      <w:pPr>
        <w:ind w:left="567"/>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265F35B9" w14:textId="77777777" w:rsidR="00772179" w:rsidRDefault="00000000">
      <w:pPr>
        <w:ind w:left="567"/>
        <w:jc w:val="both"/>
      </w:pPr>
      <w:r>
        <w:rPr>
          <w:rStyle w:val="soitChar"/>
        </w:rPr>
        <w:lastRenderedPageBreak/>
        <w:t xml:space="preserve"> 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minutes/μm) pour permettre une bonne adhérence de la couche de peinture. Ensuite, le matériel est manipulé avec des gants afin d’éviter les taches de graisse.</w:t>
      </w:r>
    </w:p>
    <w:p w14:paraId="2D9CD313" w14:textId="77777777" w:rsidR="00772179" w:rsidRDefault="00000000">
      <w:pPr>
        <w:ind w:left="567"/>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180 - 200 °C.</w:t>
      </w:r>
    </w:p>
    <w:p w14:paraId="745A43B6" w14:textId="77777777" w:rsidR="00772179" w:rsidRDefault="00000000">
      <w:pPr>
        <w:ind w:left="567"/>
        <w:jc w:val="both"/>
      </w:pPr>
      <w:r>
        <w:rPr>
          <w:rStyle w:val="soitChar"/>
        </w:rPr>
        <w:t xml:space="preserve"> Pour les couleurs RAL, l’épaisseur de couche est ≥ 60 μm.</w:t>
      </w:r>
    </w:p>
    <w:p w14:paraId="45E485B8" w14:textId="77777777" w:rsidR="00772179" w:rsidRDefault="00000000">
      <w:pPr>
        <w:ind w:left="567"/>
        <w:jc w:val="both"/>
      </w:pPr>
      <w:r>
        <w:rPr>
          <w:rStyle w:val="soitChar"/>
        </w:rPr>
        <w:t xml:space="preserve"> Pour les couleurs métallisées, le pigment de couleur est ‘fondu’ avec la poudre de base (Bonding process). Un mélange homogène de l’aluminium ou des particules en inox n’est pas autorisé afin d’éviter la formation de nuages.</w:t>
      </w:r>
    </w:p>
    <w:p w14:paraId="6AEAAD32" w14:textId="77777777" w:rsidR="00772179" w:rsidRDefault="00000000">
      <w:pPr>
        <w:jc w:val="both"/>
      </w:pPr>
      <w:r>
        <w:rPr>
          <w:b/>
          <w:u w:val="single"/>
        </w:rPr>
        <w:t>Méthode d'anodisation</w:t>
      </w:r>
    </w:p>
    <w:p w14:paraId="480350B3" w14:textId="77777777" w:rsidR="00772179" w:rsidRDefault="00000000">
      <w:pPr>
        <w:pStyle w:val="Author-eListParagraph"/>
        <w:numPr>
          <w:ilvl w:val="0"/>
          <w:numId w:val="721"/>
        </w:numPr>
        <w:jc w:val="both"/>
      </w:pPr>
      <w:r>
        <w:t>L’anodisation se fait conformément aux prescriptions du [Qualicoat].</w:t>
      </w:r>
    </w:p>
    <w:p w14:paraId="423BAE7B" w14:textId="77777777" w:rsidR="00772179" w:rsidRDefault="00000000">
      <w:pPr>
        <w:pStyle w:val="Author-eListParagraph"/>
        <w:numPr>
          <w:ilvl w:val="0"/>
          <w:numId w:val="721"/>
        </w:numPr>
        <w:jc w:val="both"/>
      </w:pPr>
      <w:r>
        <w:t>Le traitement préliminaire et la protection de la menuiserie répondent aux spécifications des [STS 36] §.14.4. et sont conformes :</w:t>
      </w:r>
      <w:r>
        <w:rPr>
          <w:rStyle w:val="optioncarChar"/>
        </w:rPr>
        <w:t xml:space="preserve"> idem menuiseries </w:t>
      </w:r>
      <w:r>
        <w:t xml:space="preserve">(par défaut) </w:t>
      </w:r>
      <w:r>
        <w:rPr>
          <w:rStyle w:val="optioncarChar"/>
        </w:rPr>
        <w:t>/  au mode AO - Non poli avec traitement anodique /  mode BO - Semi-poli avec traitement anodique (satiné) /  mode CO - Complètement poli avec traitement anodique (brillant).</w:t>
      </w:r>
    </w:p>
    <w:p w14:paraId="06A17B28" w14:textId="77777777" w:rsidR="00772179" w:rsidRDefault="00000000">
      <w:pPr>
        <w:pStyle w:val="Author-eListParagraph"/>
        <w:numPr>
          <w:ilvl w:val="0"/>
          <w:numId w:val="721"/>
        </w:numPr>
        <w:jc w:val="both"/>
      </w:pPr>
      <w:r>
        <w:t>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L’entreprise chargée de l’anodisation possède le label de qualité QUALANOD. La qualité est contrôlée par des essais suivant la procédure prévue dans le label. L’épaisseur exigée de la couche d’oxyde répond également aux spécifications des [STS 36] §.05.33 et atteint au moins :</w:t>
      </w:r>
    </w:p>
    <w:p w14:paraId="7BFE522B" w14:textId="77777777" w:rsidR="00772179" w:rsidRDefault="00772179">
      <w:pPr>
        <w:pStyle w:val="Author-eListParagraph"/>
        <w:numPr>
          <w:ilvl w:val="0"/>
          <w:numId w:val="721"/>
        </w:numPr>
        <w:jc w:val="both"/>
      </w:pPr>
    </w:p>
    <w:p w14:paraId="66A33501" w14:textId="77777777" w:rsidR="00772179" w:rsidRDefault="00000000">
      <w:pPr>
        <w:pStyle w:val="Author-eListParagraph"/>
        <w:numPr>
          <w:ilvl w:val="1"/>
          <w:numId w:val="722"/>
        </w:numPr>
      </w:pPr>
      <w:r>
        <w:t>Classe 2 - atmosphère urbaine - 20 μm</w:t>
      </w:r>
    </w:p>
    <w:p w14:paraId="1E354B18" w14:textId="77777777" w:rsidR="00772179" w:rsidRDefault="00000000">
      <w:pPr>
        <w:pStyle w:val="Author-eListParagraph"/>
        <w:numPr>
          <w:ilvl w:val="1"/>
          <w:numId w:val="722"/>
        </w:numPr>
      </w:pPr>
      <w:r>
        <w:t>Classe 3 - atmosphère maritime ou industrielle - 25 μm</w:t>
      </w:r>
      <w:r>
        <w:br/>
      </w:r>
    </w:p>
    <w:p w14:paraId="7D8EA87D" w14:textId="77777777" w:rsidR="00772179" w:rsidRDefault="00000000">
      <w:pPr>
        <w:pStyle w:val="Author-eListParagraph"/>
        <w:numPr>
          <w:ilvl w:val="0"/>
          <w:numId w:val="721"/>
        </w:numPr>
        <w:jc w:val="both"/>
      </w:pPr>
      <w:r>
        <w:t xml:space="preserve">La teinte de la couche d’anodisation du profilé est consultée sur base d’un échantillon auprès </w:t>
      </w:r>
      <w:r>
        <w:rPr>
          <w:rStyle w:val="optioncarChar"/>
        </w:rPr>
        <w:t>du fonctionnaire dirigeant / de l’architecte</w:t>
      </w:r>
      <w:r>
        <w:t>. </w:t>
      </w:r>
    </w:p>
    <w:p w14:paraId="64E2BC44" w14:textId="77777777" w:rsidR="00772179" w:rsidRDefault="00000000">
      <w:pPr>
        <w:pStyle w:val="Author-eListParagraph"/>
        <w:numPr>
          <w:ilvl w:val="0"/>
          <w:numId w:val="721"/>
        </w:numPr>
        <w:jc w:val="both"/>
      </w:pPr>
      <w:r>
        <w:t xml:space="preserve">La teinte est : </w:t>
      </w:r>
      <w:r>
        <w:rPr>
          <w:rStyle w:val="optioncarChar"/>
        </w:rPr>
        <w:t xml:space="preserve">naturelle </w:t>
      </w:r>
      <w:r>
        <w:t>(par défaut)</w:t>
      </w:r>
      <w:r>
        <w:rPr>
          <w:rStyle w:val="optioncarChar"/>
        </w:rPr>
        <w:t xml:space="preserve"> / noir / bronze / ***</w:t>
      </w:r>
      <w:r>
        <w:t>.</w:t>
      </w:r>
    </w:p>
    <w:p w14:paraId="695D7C74" w14:textId="77777777" w:rsidR="00772179" w:rsidRDefault="00000000">
      <w:pPr>
        <w:pStyle w:val="Author-eListParagraph"/>
        <w:numPr>
          <w:ilvl w:val="0"/>
          <w:numId w:val="721"/>
        </w:numPr>
        <w:jc w:val="both"/>
      </w:pPr>
      <w:r>
        <w:t>Teinte du profilé:</w:t>
      </w:r>
      <w:r>
        <w:rPr>
          <w:rStyle w:val="optioncarChar"/>
        </w:rPr>
        <w:t xml:space="preserve"> libre choix dans la gamme standard du fabricant comprenant un minimum de *** teintes différentes / Couleur RAL : ***. </w:t>
      </w:r>
    </w:p>
    <w:p w14:paraId="427C62BB" w14:textId="77777777" w:rsidR="00772179" w:rsidRDefault="00000000">
      <w:pPr>
        <w:pStyle w:val="Author-eListParagraph"/>
        <w:numPr>
          <w:ilvl w:val="0"/>
          <w:numId w:val="721"/>
        </w:numPr>
        <w:jc w:val="both"/>
      </w:pPr>
      <w:r>
        <w:t xml:space="preserve">Degré de brillance : </w:t>
      </w:r>
      <w:r>
        <w:rPr>
          <w:rStyle w:val="optioncarChar"/>
        </w:rPr>
        <w:t>30 / 70 / 90 </w:t>
      </w:r>
      <w:r>
        <w:t xml:space="preserve">% sous un angle de 60 ° </w:t>
      </w:r>
      <w:r>
        <w:rPr>
          <w:rStyle w:val="optioncarChar"/>
        </w:rPr>
        <w:t>/ métallisée</w:t>
      </w:r>
    </w:p>
    <w:p w14:paraId="38E46BB0" w14:textId="77777777" w:rsidR="00772179" w:rsidRDefault="00000000">
      <w:pPr>
        <w:pStyle w:val="pheading"/>
      </w:pPr>
      <w:r>
        <w:t>EXÉCUTION / MISE EN ŒUVRE</w:t>
      </w:r>
    </w:p>
    <w:p w14:paraId="2E040AEB" w14:textId="77777777" w:rsidR="00772179" w:rsidRDefault="00000000">
      <w:pPr>
        <w:pStyle w:val="pheading"/>
      </w:pPr>
      <w:r>
        <w:t>- Prescriptions générales</w:t>
      </w:r>
    </w:p>
    <w:p w14:paraId="6C2393E3" w14:textId="77777777" w:rsidR="00772179" w:rsidRDefault="00000000">
      <w:pPr>
        <w:jc w:val="both"/>
      </w:pPr>
      <w:r>
        <w:t>L'huisserie extérieure assure la liaison entre les éléments de fermeture de la baie et le parement.</w:t>
      </w:r>
    </w:p>
    <w:p w14:paraId="2BED6659" w14:textId="77777777" w:rsidR="00772179" w:rsidRDefault="00000000">
      <w:pPr>
        <w:jc w:val="both"/>
      </w:pPr>
      <w:r>
        <w:t>La pose de l'huisserie n’entrave pas l’écoulement du drainage de la paroi et la ventilation de la coulisse.</w:t>
      </w:r>
    </w:p>
    <w:p w14:paraId="4D7C39F9" w14:textId="77777777" w:rsidR="00772179" w:rsidRDefault="00000000">
      <w:pPr>
        <w:jc w:val="both"/>
      </w:pPr>
      <w:r>
        <w:t>Pour la continuité de l’étanchéité à l’eau ou la perméabilité à l’air, le profilé de resserrage dispose de garniture d’étanchéité de type :</w:t>
      </w:r>
      <w:r>
        <w:rPr>
          <w:rStyle w:val="optioncarChar"/>
        </w:rPr>
        <w:t xml:space="preserve"> non requis </w:t>
      </w:r>
      <w:r>
        <w:t>(par défaut)</w:t>
      </w:r>
      <w:r>
        <w:rPr>
          <w:rStyle w:val="optioncarChar"/>
        </w:rPr>
        <w:t xml:space="preserve"> / un fond de joint et un mastic de classe conforme aux [STS 56.1] de couleur *** / un profilé (préformé) d'étanchéité alvéolaire en EPDM ou équivalent  de couleur *** / ***.</w:t>
      </w:r>
    </w:p>
    <w:p w14:paraId="31C8F6E6" w14:textId="77777777" w:rsidR="00772179" w:rsidRDefault="00772179">
      <w:pPr>
        <w:jc w:val="both"/>
      </w:pPr>
    </w:p>
    <w:p w14:paraId="05B4AF8C" w14:textId="77777777" w:rsidR="00772179" w:rsidRDefault="00000000">
      <w:pPr>
        <w:jc w:val="both"/>
      </w:pPr>
      <w:r>
        <w:t>La fixation de l'huisserie intégrée est conforme à la [NIT 283].</w:t>
      </w:r>
    </w:p>
    <w:p w14:paraId="7FBF471A" w14:textId="77777777" w:rsidR="00772179" w:rsidRDefault="00000000">
      <w:pPr>
        <w:jc w:val="both"/>
      </w:pPr>
      <w:r>
        <w:t>Tous les assemblages sont réalisés à l'aide d'accessoires standards provenant du même fabricant que les profils et totalement adaptés aux assemblages.</w:t>
      </w:r>
    </w:p>
    <w:p w14:paraId="6817A7F4" w14:textId="77777777" w:rsidR="00772179" w:rsidRDefault="00000000">
      <w:pPr>
        <w:jc w:val="both"/>
      </w:pPr>
      <w:r>
        <w:lastRenderedPageBreak/>
        <w:t>Les profils sont sciés et ébarbés. Les assemblages sont fraisés et ajustés de manière à respecter la forme des profils transversaux. Toutes les faces de sciage ou les surfaces fraisées reçoivent un traitement étanche à l'aide d'un produit anticorrosion adapté.</w:t>
      </w:r>
    </w:p>
    <w:p w14:paraId="6E93310D" w14:textId="77777777" w:rsidR="00772179" w:rsidRDefault="00000000">
      <w:pPr>
        <w:ind w:left="750"/>
      </w:pPr>
      <w:r>
        <w:t> </w:t>
      </w:r>
    </w:p>
    <w:p w14:paraId="1FCDB1C4" w14:textId="77777777" w:rsidR="00772179" w:rsidRDefault="00000000">
      <w:pPr>
        <w:pStyle w:val="pheading"/>
      </w:pPr>
      <w:r>
        <w:t>DOCUMENTS DE RÉFÉRENCE COMPLÉMENTAIRES</w:t>
      </w:r>
    </w:p>
    <w:p w14:paraId="3129715D" w14:textId="77777777" w:rsidR="00772179" w:rsidRDefault="00000000">
      <w:pPr>
        <w:pStyle w:val="pheading"/>
      </w:pPr>
      <w:r>
        <w:t>- Matériau</w:t>
      </w:r>
    </w:p>
    <w:p w14:paraId="1DEEC95D" w14:textId="77777777" w:rsidR="00772179" w:rsidRDefault="00000000">
      <w:r>
        <w:t>[NBN EN 573-3:2019+A2, Aluminium et alliages d'aluminium - Composition chimique et forme des produits corroyés - Partie 3: Composition chimique et forme des produits]</w:t>
      </w:r>
    </w:p>
    <w:p w14:paraId="6CAFC0AF" w14:textId="77777777" w:rsidR="00772179" w:rsidRDefault="00000000">
      <w:r>
        <w:t>[NBN EN 515, Aluminium et alliages d'aluminium - Produits corroyés - Désignation des états métallurgiques]</w:t>
      </w:r>
    </w:p>
    <w:p w14:paraId="2D7FF9DA" w14:textId="77777777" w:rsidR="00772179" w:rsidRDefault="00000000">
      <w:r>
        <w:t>[NBN EN 12020-2, Aluminium et alliages d'aluminium - Profilés de précision filés en alliages EN AW-6060 et EN AW-6063 - Partie 2 : Tolérances sur dimensions et forme]</w:t>
      </w:r>
    </w:p>
    <w:p w14:paraId="21A0F8D6" w14:textId="77777777" w:rsidR="00772179" w:rsidRDefault="00000000">
      <w:r>
        <w:t>[NBN EN 12206-1, Peintures et vernis - Revêtement de l'aluminium et de ses alliages pour des applications architecturales - Partie 1: Revêtements à partir de peinture en poudre thermodurcissable]</w:t>
      </w:r>
    </w:p>
    <w:p w14:paraId="3776FF03" w14:textId="77777777" w:rsidR="00772179" w:rsidRDefault="00000000">
      <w:pPr>
        <w:pStyle w:val="pheading"/>
      </w:pPr>
      <w:r>
        <w:t>- Exécution</w:t>
      </w:r>
    </w:p>
    <w:p w14:paraId="6B21E4B0" w14:textId="77777777" w:rsidR="00772179" w:rsidRDefault="00000000">
      <w:r>
        <w:t>[NIT 283, La pose des menuiseries extérieures. Partie 1 : aspects généraux.]</w:t>
      </w:r>
    </w:p>
    <w:p w14:paraId="0E4F2289" w14:textId="77777777" w:rsidR="00772179" w:rsidRDefault="00000000">
      <w:pPr>
        <w:ind w:left="750"/>
      </w:pPr>
      <w:r>
        <w:t> </w:t>
      </w:r>
    </w:p>
    <w:p w14:paraId="0CEC9925" w14:textId="77777777" w:rsidR="00772179" w:rsidRDefault="00000000">
      <w:pPr>
        <w:pStyle w:val="pheading"/>
      </w:pPr>
      <w:r>
        <w:t>MESURAGE</w:t>
      </w:r>
    </w:p>
    <w:p w14:paraId="6BBBDCD5" w14:textId="77777777" w:rsidR="00772179" w:rsidRDefault="00000000">
      <w:pPr>
        <w:pStyle w:val="pheading"/>
      </w:pPr>
      <w:r>
        <w:t>- unité de mesure:</w:t>
      </w:r>
    </w:p>
    <w:p w14:paraId="2113C0A8" w14:textId="77777777" w:rsidR="00772179" w:rsidRDefault="00000000">
      <w:r>
        <w:rPr>
          <w:rStyle w:val="optioncarChar"/>
        </w:rPr>
        <w:t xml:space="preserve">- </w:t>
      </w:r>
      <w:r>
        <w:t>(par défaut)</w:t>
      </w:r>
      <w:r>
        <w:rPr>
          <w:rStyle w:val="optioncarChar"/>
        </w:rPr>
        <w:t xml:space="preserve"> / m</w:t>
      </w:r>
    </w:p>
    <w:p w14:paraId="0DD2A874" w14:textId="77777777" w:rsidR="00772179" w:rsidRDefault="00000000">
      <w:r>
        <w:rPr>
          <w:b/>
          <w:i/>
        </w:rPr>
        <w:t>(soit par défaut)</w:t>
      </w:r>
    </w:p>
    <w:p w14:paraId="65951F30" w14:textId="77777777" w:rsidR="00772179" w:rsidRDefault="00000000">
      <w:r>
        <w:rPr>
          <w:rStyle w:val="soitChar"/>
        </w:rPr>
        <w:t>1.       –</w:t>
      </w:r>
    </w:p>
    <w:p w14:paraId="24DA655B" w14:textId="77777777" w:rsidR="00772179" w:rsidRDefault="00000000">
      <w:r>
        <w:rPr>
          <w:b/>
          <w:i/>
        </w:rPr>
        <w:t>(soit)</w:t>
      </w:r>
    </w:p>
    <w:p w14:paraId="696F23A1" w14:textId="77777777" w:rsidR="00772179" w:rsidRDefault="00000000">
      <w:r>
        <w:rPr>
          <w:rStyle w:val="soitChar"/>
        </w:rPr>
        <w:t>2.       m</w:t>
      </w:r>
    </w:p>
    <w:p w14:paraId="67B6D3F1" w14:textId="77777777" w:rsidR="00772179" w:rsidRDefault="00000000">
      <w:pPr>
        <w:pStyle w:val="pheading"/>
      </w:pPr>
      <w:r>
        <w:t>- code de mesurage:</w:t>
      </w:r>
    </w:p>
    <w:p w14:paraId="6BEDB970" w14:textId="77777777" w:rsidR="00772179" w:rsidRDefault="00000000">
      <w:r>
        <w:rPr>
          <w:rStyle w:val="optioncarChar"/>
        </w:rPr>
        <w:t>Compris</w:t>
      </w:r>
      <w:r>
        <w:t xml:space="preserve"> (par défaut)</w:t>
      </w:r>
      <w:r>
        <w:rPr>
          <w:rStyle w:val="optioncarChar"/>
        </w:rPr>
        <w:t xml:space="preserve"> / longueur nette sur base du périmètre “jour”  de la menuiserie</w:t>
      </w:r>
    </w:p>
    <w:p w14:paraId="19EFE551" w14:textId="77777777" w:rsidR="00772179" w:rsidRDefault="00000000">
      <w:r>
        <w:rPr>
          <w:b/>
          <w:i/>
        </w:rPr>
        <w:t>(soit par défaut)</w:t>
      </w:r>
    </w:p>
    <w:p w14:paraId="233D0FFF" w14:textId="77777777" w:rsidR="00772179" w:rsidRDefault="00000000">
      <w:r>
        <w:rPr>
          <w:rStyle w:val="soitChar"/>
          <w:u w:val="single"/>
        </w:rPr>
        <w:t>1. Compris :</w:t>
      </w:r>
      <w:r>
        <w:rPr>
          <w:rStyle w:val="soitChar"/>
        </w:rPr>
        <w:t xml:space="preserve"> Les huisseries intégrées sont comprises dans le prix unitaire des fenêtres ou portes de l’élément </w:t>
      </w:r>
      <w:r>
        <w:rPr>
          <w:rStyle w:val="optioncarChar"/>
        </w:rPr>
        <w:t>***</w:t>
      </w:r>
      <w:r>
        <w:rPr>
          <w:rStyle w:val="soitChar"/>
        </w:rPr>
        <w:t xml:space="preserve"> et ne sont pas mesurées.</w:t>
      </w:r>
    </w:p>
    <w:p w14:paraId="789B6C9F" w14:textId="77777777" w:rsidR="00772179" w:rsidRDefault="00000000">
      <w:r>
        <w:rPr>
          <w:b/>
          <w:i/>
        </w:rPr>
        <w:t>(soit)</w:t>
      </w:r>
      <w:r>
        <w:br/>
      </w:r>
      <w:r>
        <w:br/>
      </w:r>
      <w:r>
        <w:rPr>
          <w:rStyle w:val="soitChar"/>
          <w:u w:val="single"/>
        </w:rPr>
        <w:t>2. Longueur nette sur base du périmètre "jour" de la menuiserie </w:t>
      </w:r>
      <w:r>
        <w:rPr>
          <w:rStyle w:val="soitChar"/>
        </w:rPr>
        <w:t>: Les huisseries intégrées sont mesurées sur les dimensions du périmètre “jour” des fenêtres ou des portes.</w:t>
      </w:r>
    </w:p>
    <w:p w14:paraId="7DA2F86F" w14:textId="77777777" w:rsidR="00772179" w:rsidRDefault="00000000">
      <w:pPr>
        <w:pStyle w:val="pheading"/>
      </w:pPr>
      <w:r>
        <w:t>- nature du marché:</w:t>
      </w:r>
    </w:p>
    <w:p w14:paraId="7021B115" w14:textId="77777777" w:rsidR="00772179" w:rsidRDefault="00000000">
      <w:r>
        <w:rPr>
          <w:rStyle w:val="optioncarChar"/>
        </w:rPr>
        <w:t xml:space="preserve">PM </w:t>
      </w:r>
      <w:r>
        <w:t xml:space="preserve">(par défaut) </w:t>
      </w:r>
      <w:r>
        <w:rPr>
          <w:rStyle w:val="optioncarChar"/>
        </w:rPr>
        <w:t>/ QF</w:t>
      </w:r>
    </w:p>
    <w:p w14:paraId="57936F15" w14:textId="77777777" w:rsidR="00772179" w:rsidRDefault="00000000">
      <w:r>
        <w:rPr>
          <w:b/>
          <w:i/>
        </w:rPr>
        <w:t>(soit par défaut)</w:t>
      </w:r>
    </w:p>
    <w:p w14:paraId="4E196D97" w14:textId="77777777" w:rsidR="00772179" w:rsidRDefault="00000000">
      <w:r>
        <w:rPr>
          <w:rStyle w:val="soitChar"/>
        </w:rPr>
        <w:t>1.  PM</w:t>
      </w:r>
    </w:p>
    <w:p w14:paraId="408E2873" w14:textId="77777777" w:rsidR="00772179" w:rsidRDefault="00000000">
      <w:r>
        <w:rPr>
          <w:b/>
          <w:i/>
        </w:rPr>
        <w:t>(soit)</w:t>
      </w:r>
    </w:p>
    <w:p w14:paraId="28B2A184" w14:textId="77777777" w:rsidR="00772179" w:rsidRDefault="00000000">
      <w:r>
        <w:rPr>
          <w:rStyle w:val="soitChar"/>
        </w:rPr>
        <w:t>2. QF</w:t>
      </w:r>
    </w:p>
    <w:p w14:paraId="67EB0158" w14:textId="77777777" w:rsidR="00772179" w:rsidRDefault="00000000">
      <w:pPr>
        <w:pStyle w:val="Author-eSectionHeading6Numberless"/>
      </w:pPr>
      <w:bookmarkStart w:id="364" w:name="_Toc220490088"/>
      <w:r>
        <w:t>41.73.1c Huisseries extérieures en acier intégrées au système de châssis en acier</w:t>
      </w:r>
      <w:bookmarkEnd w:id="364"/>
    </w:p>
    <w:p w14:paraId="3D9F763E" w14:textId="77777777" w:rsidR="00772179" w:rsidRDefault="00000000">
      <w:pPr>
        <w:pStyle w:val="Author-eSectionHeading6Numberless"/>
      </w:pPr>
      <w:bookmarkStart w:id="365" w:name="_Toc220490089"/>
      <w:r>
        <w:t>41.73.1d Huisseries extérieures en PVC intégrées au système de châssis en PVC</w:t>
      </w:r>
      <w:bookmarkEnd w:id="365"/>
    </w:p>
    <w:p w14:paraId="29880A3B" w14:textId="77777777" w:rsidR="00772179" w:rsidRDefault="00000000">
      <w:pPr>
        <w:pStyle w:val="Author-eSectionHeading4Numberless"/>
      </w:pPr>
      <w:bookmarkStart w:id="366" w:name="_Toc220490090"/>
      <w:r>
        <w:lastRenderedPageBreak/>
        <w:t>41.74 Ouvrages de raccord et finition CCTB 01.02</w:t>
      </w:r>
      <w:bookmarkEnd w:id="366"/>
    </w:p>
    <w:p w14:paraId="62FD4DE0" w14:textId="77777777" w:rsidR="00772179" w:rsidRDefault="00000000">
      <w:pPr>
        <w:pStyle w:val="Author-eSectionHeading5Numberless"/>
      </w:pPr>
      <w:bookmarkStart w:id="367" w:name="903"/>
      <w:bookmarkStart w:id="368" w:name="_Toc220490091"/>
      <w:bookmarkEnd w:id="367"/>
      <w:r>
        <w:t>41.74.1 Joints de resserrage CCTB 01.04</w:t>
      </w:r>
      <w:bookmarkEnd w:id="368"/>
    </w:p>
    <w:p w14:paraId="2AA17F6A" w14:textId="77777777" w:rsidR="00772179" w:rsidRDefault="00000000">
      <w:pPr>
        <w:pStyle w:val="pheading"/>
      </w:pPr>
      <w:r>
        <w:t>DESCRIPTION</w:t>
      </w:r>
    </w:p>
    <w:p w14:paraId="10A1D4B6" w14:textId="77777777" w:rsidR="00772179" w:rsidRDefault="00000000">
      <w:pPr>
        <w:pStyle w:val="pheading"/>
      </w:pPr>
      <w:r>
        <w:t>- Définition / Comprend</w:t>
      </w:r>
    </w:p>
    <w:p w14:paraId="2B69FD5F" w14:textId="77777777" w:rsidR="00772179" w:rsidRDefault="00000000">
      <w:r>
        <w:t xml:space="preserve">Renvoi au </w:t>
      </w:r>
      <w:hyperlink w:anchor="968" w:history="1">
        <w:r>
          <w:rPr>
            <w:color w:val="0000EE"/>
          </w:rPr>
          <w:t>46.52 Etanchéisation de joints</w:t>
        </w:r>
      </w:hyperlink>
    </w:p>
    <w:p w14:paraId="1C29E248" w14:textId="77777777" w:rsidR="00772179" w:rsidRDefault="00000000">
      <w:pPr>
        <w:pStyle w:val="Author-eSectionHeading5Numberless"/>
      </w:pPr>
      <w:bookmarkStart w:id="369" w:name="_Toc220490092"/>
      <w:r>
        <w:t>41.74.2 Profilés de resserrage CCTB 01.10</w:t>
      </w:r>
      <w:bookmarkEnd w:id="369"/>
    </w:p>
    <w:p w14:paraId="0DDAA38D" w14:textId="77777777" w:rsidR="00772179" w:rsidRDefault="00000000">
      <w:pPr>
        <w:pStyle w:val="pheading"/>
      </w:pPr>
      <w:r>
        <w:t>DESCRIPTION</w:t>
      </w:r>
    </w:p>
    <w:p w14:paraId="17C0FEF7" w14:textId="77777777" w:rsidR="00772179" w:rsidRDefault="00000000">
      <w:pPr>
        <w:pStyle w:val="pheading"/>
      </w:pPr>
      <w:r>
        <w:t>- Définition / Comprend</w:t>
      </w:r>
    </w:p>
    <w:p w14:paraId="6201F9AF" w14:textId="77777777" w:rsidR="00772179" w:rsidRDefault="00000000">
      <w:pPr>
        <w:jc w:val="both"/>
      </w:pPr>
      <w:r>
        <w:t>Les articles suivants décrivent les profilés de raccords permettant la finition extérieure des fenêtres et portes-fenêtres, portes d’entrées, portes de garage ou industrielles, façades, volets et dispositifs de protection solaire et véranda.</w:t>
      </w:r>
    </w:p>
    <w:p w14:paraId="00D49202" w14:textId="77777777" w:rsidR="00772179" w:rsidRDefault="00000000">
      <w:pPr>
        <w:pStyle w:val="pheading"/>
      </w:pPr>
      <w:r>
        <w:t>MATÉRIAUX</w:t>
      </w:r>
    </w:p>
    <w:p w14:paraId="75F20B9F" w14:textId="77777777" w:rsidR="00772179" w:rsidRDefault="00000000">
      <w:pPr>
        <w:jc w:val="both"/>
      </w:pPr>
      <w:r>
        <w:t>Bien que cet article décrive les profilés de raccord, l’entreprise s’assure de la compatibilité des matériaux des profilés de resserrage avec les articles correspondant aux éléments joints resserrés par ces profilés. Les matériaux, finitions seront accordés.</w:t>
      </w:r>
    </w:p>
    <w:p w14:paraId="61B4DC1B" w14:textId="77777777" w:rsidR="00772179" w:rsidRDefault="00000000">
      <w:pPr>
        <w:pStyle w:val="pheading"/>
      </w:pPr>
      <w:r>
        <w:t>EXÉCUTION / MISE EN ŒUVRE</w:t>
      </w:r>
    </w:p>
    <w:p w14:paraId="726CDB3C" w14:textId="77777777" w:rsidR="00772179" w:rsidRDefault="00000000">
      <w:pPr>
        <w:jc w:val="both"/>
      </w:pPr>
      <w:r>
        <w:t>Les profilés de resserrage assurent la liaison entre les éléments de fermeture de la baie et le gros-œuvre. A ce titre, le profilé de resserrage assure la continuité de performances tels que l’étanchéité à l’eau, à l’air, de reprise d’efforts mécaniques, … Ces performances sont spécifiées dans les articles ci-dessous et sont conformes aux articles correspondant aux éléments joints resserrés par ces profilés (fenêtres et portes-fenêtres, portes d’entrées, portes de garage ou industrielles, façades, volets et dispositifs de protection solaire et véranda). </w:t>
      </w:r>
    </w:p>
    <w:p w14:paraId="55238E6C" w14:textId="77777777" w:rsidR="00772179" w:rsidRDefault="00000000">
      <w:pPr>
        <w:jc w:val="both"/>
      </w:pPr>
      <w:r>
        <w:t>Les fixations, la forme du profilé, sa composition assurent les performances équivalentes des fermetures des baies.</w:t>
      </w:r>
    </w:p>
    <w:p w14:paraId="501BA85D" w14:textId="77777777" w:rsidR="00772179" w:rsidRDefault="00000000">
      <w:pPr>
        <w:jc w:val="both"/>
      </w:pPr>
      <w:r>
        <w:t>La pose des profilés n’entrave pas l’écoulement du drainage de la paroi et la ventilation de la coulisse.</w:t>
      </w:r>
    </w:p>
    <w:p w14:paraId="5016DD8A" w14:textId="77777777" w:rsidR="00772179" w:rsidRDefault="00000000">
      <w:pPr>
        <w:jc w:val="both"/>
      </w:pPr>
      <w:r>
        <w:t>Dans la mesure du possible, les profilés de resserrage sont placés dans le plan du cadre dormant de la menuiserie à resserrer.  Dans les autres cas, ils sont placés à recouvrement sur ce cadre.</w:t>
      </w:r>
    </w:p>
    <w:p w14:paraId="183DC43D" w14:textId="77777777" w:rsidR="00772179" w:rsidRDefault="00000000">
      <w:pPr>
        <w:pStyle w:val="Author-eSectionHeading6Numberless"/>
      </w:pPr>
      <w:bookmarkStart w:id="370" w:name="_Toc220490093"/>
      <w:r>
        <w:t>41.74.2a Profilés de resserrage en bois CCTB 01.11</w:t>
      </w:r>
      <w:bookmarkEnd w:id="370"/>
    </w:p>
    <w:p w14:paraId="149E081E" w14:textId="77777777" w:rsidR="00772179" w:rsidRDefault="00000000">
      <w:pPr>
        <w:pStyle w:val="pheading"/>
      </w:pPr>
      <w:r>
        <w:t>DESCRIPTION</w:t>
      </w:r>
    </w:p>
    <w:p w14:paraId="0DAA23F8" w14:textId="77777777" w:rsidR="00772179" w:rsidRDefault="00000000">
      <w:pPr>
        <w:pStyle w:val="pheading"/>
      </w:pPr>
      <w:r>
        <w:t>- Définition / Comprend</w:t>
      </w:r>
    </w:p>
    <w:p w14:paraId="533295FE" w14:textId="77777777" w:rsidR="00772179" w:rsidRDefault="00000000">
      <w:r>
        <w:t>Cet article décrit la fourniture et la pose des profilés de raccord en matériau bois ou à base de bois.</w:t>
      </w:r>
    </w:p>
    <w:p w14:paraId="56B11441" w14:textId="77777777" w:rsidR="00772179" w:rsidRDefault="00000000">
      <w:pPr>
        <w:pStyle w:val="pheading"/>
      </w:pPr>
      <w:r>
        <w:t>- Localisation</w:t>
      </w:r>
    </w:p>
    <w:p w14:paraId="6262D96D" w14:textId="77777777" w:rsidR="00772179" w:rsidRDefault="00000000">
      <w:r>
        <w:t>La localisation est la suivante :</w:t>
      </w:r>
      <w:r>
        <w:rPr>
          <w:rStyle w:val="optioncarChar"/>
        </w:rPr>
        <w:t xml:space="preserve"> ***</w:t>
      </w:r>
      <w:r>
        <w:t>.</w:t>
      </w:r>
    </w:p>
    <w:p w14:paraId="053C264F" w14:textId="77777777" w:rsidR="00772179" w:rsidRDefault="00000000">
      <w:r>
        <w:t>Voir plans et métrés détaillés.</w:t>
      </w:r>
    </w:p>
    <w:p w14:paraId="6F9653E7" w14:textId="77777777" w:rsidR="00772179" w:rsidRDefault="00000000">
      <w:pPr>
        <w:pStyle w:val="pheading"/>
      </w:pPr>
      <w:r>
        <w:t>MATÉRIAUX</w:t>
      </w:r>
    </w:p>
    <w:p w14:paraId="751DAF63" w14:textId="77777777" w:rsidR="00772179" w:rsidRDefault="00000000">
      <w:pPr>
        <w:pStyle w:val="pheading"/>
      </w:pPr>
      <w:r>
        <w:t>- Caractéristiques générales</w:t>
      </w:r>
    </w:p>
    <w:p w14:paraId="0EDE6D84" w14:textId="77777777" w:rsidR="00772179" w:rsidRDefault="00000000">
      <w:pPr>
        <w:jc w:val="both"/>
      </w:pPr>
      <w:r>
        <w:t>Les profilés de raccords sont en bois de type</w:t>
      </w:r>
      <w:r>
        <w:rPr>
          <w:rStyle w:val="optioncarChar"/>
        </w:rPr>
        <w:t xml:space="preserve"> Identique à la menuiserie</w:t>
      </w:r>
      <w:r>
        <w:t xml:space="preserve"> (par défaut)</w:t>
      </w:r>
      <w:r>
        <w:rPr>
          <w:rStyle w:val="optioncarChar"/>
        </w:rPr>
        <w:t xml:space="preserve"> / Chêne d’Europe (Quercus robur et Q. Petraea) / Douglas (Pseudotsuga menziesii) / Mélèze (Larix) / Yellow pine (Pinus)/ Meranti, Dark Red (Shorea) / Afzélia Doussié / Afzélia Pachiloba / Merbau (Intsia) / HPL / à base de particules de bois / à base de fibres de bois / ***</w:t>
      </w:r>
    </w:p>
    <w:p w14:paraId="061C20DF" w14:textId="77777777" w:rsidR="00772179" w:rsidRDefault="00000000">
      <w:pPr>
        <w:jc w:val="both"/>
      </w:pPr>
      <w:r>
        <w:lastRenderedPageBreak/>
        <w:t xml:space="preserve">Le type de bois est compatible avec le traitement de finition des éléments </w:t>
      </w:r>
      <w:hyperlink w:anchor="63" w:history="1">
        <w:r>
          <w:rPr>
            <w:color w:val="0000EE"/>
          </w:rPr>
          <w:t>41 Menuiseries extérieures</w:t>
        </w:r>
      </w:hyperlink>
    </w:p>
    <w:p w14:paraId="0025BC2B" w14:textId="77777777" w:rsidR="00772179" w:rsidRDefault="00000000">
      <w:pPr>
        <w:jc w:val="both"/>
      </w:pPr>
      <w:r>
        <w:t xml:space="preserve">La masse volumique a </w:t>
      </w:r>
      <w:r>
        <w:rPr>
          <w:rStyle w:val="optioncarChar"/>
        </w:rPr>
        <w:t>une moyenne conforme au tableau de l’annexe 2 des [STS 52.1]</w:t>
      </w:r>
      <w:r>
        <w:t xml:space="preserve"> (par défaut) </w:t>
      </w:r>
      <w:r>
        <w:rPr>
          <w:rStyle w:val="optioncarChar"/>
        </w:rPr>
        <w:t xml:space="preserve">/ </w:t>
      </w:r>
      <w:r>
        <w:t>≥</w:t>
      </w:r>
      <w:r>
        <w:rPr>
          <w:rStyle w:val="optioncarChar"/>
        </w:rPr>
        <w:t xml:space="preserve"> *** </w:t>
      </w:r>
      <w:r>
        <w:t>Kg/m³ </w:t>
      </w:r>
    </w:p>
    <w:p w14:paraId="42B07717" w14:textId="77777777" w:rsidR="00772179" w:rsidRDefault="00000000">
      <w:pPr>
        <w:jc w:val="both"/>
      </w:pPr>
      <w:r>
        <w:t>Avant la pose des profilés de raccord, l'entrepreneur  prouve la provenance du bois.</w:t>
      </w:r>
    </w:p>
    <w:p w14:paraId="06D5936A" w14:textId="77777777" w:rsidR="00772179" w:rsidRDefault="00000000">
      <w:pPr>
        <w:jc w:val="both"/>
      </w:pPr>
      <w:r>
        <w:t>L'humidité du cœur du bois à mettre en œuvre est comprise entre 12 et 18 % et est compatible avec la finition prévue ci-après.</w:t>
      </w:r>
    </w:p>
    <w:p w14:paraId="4A84F424" w14:textId="77777777" w:rsidR="00772179" w:rsidRDefault="00000000">
      <w:pPr>
        <w:jc w:val="both"/>
      </w:pPr>
      <w:r>
        <w:t>Le bois mis en œuvre est droit (inclinaison ≤ 5 %) = l'inclinaison du fil du bois par rapport aux faces latérales est &lt; 5 %, selon les [STS 52.1].</w:t>
      </w:r>
    </w:p>
    <w:p w14:paraId="6996F07A" w14:textId="77777777" w:rsidR="00772179" w:rsidRDefault="00000000">
      <w:pPr>
        <w:jc w:val="both"/>
      </w:pPr>
      <w:r>
        <w:t>Les critères d’acceptations du bois sont définis dans les [STS 52.1].</w:t>
      </w:r>
    </w:p>
    <w:p w14:paraId="5E946BA2" w14:textId="77777777" w:rsidR="00772179" w:rsidRDefault="00000000">
      <w:pPr>
        <w:jc w:val="both"/>
      </w:pPr>
      <w:r>
        <w:rPr>
          <w:u w:val="single"/>
        </w:rPr>
        <w:t>Profils</w:t>
      </w:r>
    </w:p>
    <w:p w14:paraId="7EF21498" w14:textId="77777777" w:rsidR="00772179" w:rsidRDefault="00000000">
      <w:pPr>
        <w:jc w:val="both"/>
      </w:pPr>
      <w:r>
        <w:t>Toutes les faces du bois sont rabotées. Les faces destinées à rester apparentes sont traitées et poncées lisses jusqu'à ce que toutes les traces d'outillage et de traitement aient disparu.</w:t>
      </w:r>
    </w:p>
    <w:p w14:paraId="280CF6E4" w14:textId="77777777" w:rsidR="00772179" w:rsidRDefault="00000000">
      <w:pPr>
        <w:jc w:val="both"/>
      </w:pPr>
      <w:r>
        <w:t xml:space="preserve">Les profilés de resserrage sont de section </w:t>
      </w:r>
      <w:r>
        <w:rPr>
          <w:rStyle w:val="optioncarChar"/>
        </w:rPr>
        <w:t>rectangulaire</w:t>
      </w:r>
      <w:r>
        <w:t xml:space="preserve"> (par défaut) </w:t>
      </w:r>
      <w:r>
        <w:rPr>
          <w:rStyle w:val="optioncarChar"/>
        </w:rPr>
        <w:t>/ ***</w:t>
      </w:r>
    </w:p>
    <w:p w14:paraId="1468636B" w14:textId="77777777" w:rsidR="00772179" w:rsidRDefault="00000000">
      <w:pPr>
        <w:jc w:val="both"/>
      </w:pPr>
      <w:r>
        <w:t>Dimensions nominales des éléments achevés, exprimées en mm (sans décimales).</w:t>
      </w:r>
    </w:p>
    <w:p w14:paraId="03BACA81" w14:textId="77777777" w:rsidR="00772179" w:rsidRDefault="00000000">
      <w:pPr>
        <w:pStyle w:val="Author-eListParagraph"/>
        <w:numPr>
          <w:ilvl w:val="0"/>
          <w:numId w:val="723"/>
        </w:numPr>
      </w:pPr>
      <w:r>
        <w:t xml:space="preserve">largeur vue du profil : </w:t>
      </w:r>
      <w:r>
        <w:rPr>
          <w:rStyle w:val="optioncarChar"/>
        </w:rPr>
        <w:t xml:space="preserve">*** </w:t>
      </w:r>
      <w:r>
        <w:t>mm</w:t>
      </w:r>
      <w:r>
        <w:rPr>
          <w:rStyle w:val="optioncarChar"/>
        </w:rPr>
        <w:t xml:space="preserve"> / en fonction des dimensions du resserrage à effectuer</w:t>
      </w:r>
      <w:r>
        <w:t xml:space="preserve"> (par défaut).</w:t>
      </w:r>
    </w:p>
    <w:p w14:paraId="2FF7670B" w14:textId="77777777" w:rsidR="00772179" w:rsidRDefault="00000000">
      <w:pPr>
        <w:pStyle w:val="Author-eListParagraph"/>
        <w:numPr>
          <w:ilvl w:val="0"/>
          <w:numId w:val="723"/>
        </w:numPr>
      </w:pPr>
      <w:r>
        <w:t xml:space="preserve">épaisseur du profil : </w:t>
      </w:r>
      <w:r>
        <w:rPr>
          <w:rStyle w:val="optioncarChar"/>
        </w:rPr>
        <w:t xml:space="preserve">*** </w:t>
      </w:r>
      <w:r>
        <w:t>mm</w:t>
      </w:r>
      <w:r>
        <w:rPr>
          <w:rStyle w:val="optioncarChar"/>
        </w:rPr>
        <w:t xml:space="preserve"> / en fonction des dimensions du resserrage à effectuer</w:t>
      </w:r>
      <w:r>
        <w:t xml:space="preserve"> (par défaut).</w:t>
      </w:r>
    </w:p>
    <w:p w14:paraId="4138E2F8" w14:textId="77777777" w:rsidR="00772179" w:rsidRDefault="00000000">
      <w:pPr>
        <w:pStyle w:val="pheading"/>
      </w:pPr>
      <w:r>
        <w:t>- Finitions</w:t>
      </w:r>
    </w:p>
    <w:p w14:paraId="3E6812FE" w14:textId="77777777" w:rsidR="00772179" w:rsidRDefault="00000000">
      <w:pPr>
        <w:jc w:val="both"/>
      </w:pPr>
      <w:r>
        <w:t>Protection du bois</w:t>
      </w:r>
    </w:p>
    <w:p w14:paraId="39AD7E61" w14:textId="77777777" w:rsidR="00772179" w:rsidRDefault="00000000">
      <w:pPr>
        <w:jc w:val="both"/>
      </w:pPr>
      <w:r>
        <w:t xml:space="preserve">Traitement de protection : </w:t>
      </w:r>
      <w:r>
        <w:rPr>
          <w:rStyle w:val="optioncarChar"/>
        </w:rPr>
        <w:t>type C1</w:t>
      </w:r>
      <w:r>
        <w:t xml:space="preserve"> (par défaut) </w:t>
      </w:r>
      <w:r>
        <w:rPr>
          <w:rStyle w:val="optioncarChar"/>
        </w:rPr>
        <w:t>/ non requis (pour durabilité naturelle 1 ou 2) / pour une classe d’emploi 4 (selon [NBN EN 599-1+A1] / repris dans l’article 81.11.1d Traitements intérieurs biocides sur murs et plafonds minéraux</w:t>
      </w:r>
      <w:r>
        <w:t>.</w:t>
      </w:r>
    </w:p>
    <w:p w14:paraId="4FD61C7D" w14:textId="77777777" w:rsidR="00772179" w:rsidRDefault="00000000">
      <w:pPr>
        <w:jc w:val="both"/>
      </w:pPr>
      <w:r>
        <w:t xml:space="preserve">La finition des profilés est de type </w:t>
      </w:r>
      <w:r>
        <w:rPr>
          <w:rStyle w:val="optioncarChar"/>
        </w:rPr>
        <w:t>identique à la menuiserie</w:t>
      </w:r>
      <w:r>
        <w:t xml:space="preserve"> (par défaut) </w:t>
      </w:r>
      <w:r>
        <w:rPr>
          <w:rStyle w:val="optioncarChar"/>
        </w:rPr>
        <w:t>/ lasure de teinte *** / peinture de couleur *** / produit de saturation *** / ***</w:t>
      </w:r>
    </w:p>
    <w:p w14:paraId="640FCBAA" w14:textId="77777777" w:rsidR="00772179" w:rsidRDefault="00000000">
      <w:pPr>
        <w:jc w:val="both"/>
      </w:pPr>
      <w:r>
        <w:t>Le bois utilisé provient de forêts gérées durablement suivant les prescriptions de l'élément 02.42.4 Bois provenant de forêts gérées durablement.</w:t>
      </w:r>
    </w:p>
    <w:p w14:paraId="4D0513F2" w14:textId="77777777" w:rsidR="00772179" w:rsidRDefault="00000000">
      <w:pPr>
        <w:pStyle w:val="pheading"/>
      </w:pPr>
      <w:r>
        <w:t>EXÉCUTION / MISE EN ŒUVRE</w:t>
      </w:r>
    </w:p>
    <w:p w14:paraId="56DB06ED" w14:textId="77777777" w:rsidR="00772179" w:rsidRDefault="00000000">
      <w:pPr>
        <w:pStyle w:val="pheading"/>
      </w:pPr>
      <w:r>
        <w:t>- Prescriptions générales</w:t>
      </w:r>
    </w:p>
    <w:p w14:paraId="2BA58E09" w14:textId="77777777" w:rsidR="00772179" w:rsidRDefault="00000000">
      <w:pPr>
        <w:jc w:val="both"/>
      </w:pPr>
      <w:r>
        <w:t xml:space="preserve">Pour la continuité de l’étanchéité à l’eau ou la perméabilité à l’air, le profilé de resserrage dispose de garniture d’étanchéité de type : </w:t>
      </w:r>
      <w:r>
        <w:rPr>
          <w:rStyle w:val="optioncarChar"/>
        </w:rPr>
        <w:t>non requis</w:t>
      </w:r>
      <w:r>
        <w:t xml:space="preserve"> (par défaut)</w:t>
      </w:r>
      <w:r>
        <w:rPr>
          <w:rStyle w:val="optioncarChar"/>
        </w:rPr>
        <w:t xml:space="preserve"> / un fond de joint et un mastic de classe conforme aux [STS 56.1] de couleur *** / un profilé (préformé) d'étanchéité alvéolaire en EPDM ou équivalent de couleur *** / ***</w:t>
      </w:r>
      <w:r>
        <w:t>.</w:t>
      </w:r>
    </w:p>
    <w:p w14:paraId="0946C43E" w14:textId="77777777" w:rsidR="00772179" w:rsidRDefault="00000000">
      <w:pPr>
        <w:jc w:val="both"/>
      </w:pPr>
      <w:r>
        <w:t xml:space="preserve">Les raccords d’angles entre les profilés sont réalisés par onglet </w:t>
      </w:r>
      <w:r>
        <w:rPr>
          <w:rStyle w:val="optioncarChar"/>
        </w:rPr>
        <w:t>à 45° / profilé horizontaux passant / profilés verticaux passant</w:t>
      </w:r>
      <w:r>
        <w:t xml:space="preserve"> (par défaut) </w:t>
      </w:r>
      <w:r>
        <w:rPr>
          <w:rStyle w:val="optioncarChar"/>
        </w:rPr>
        <w:t>/ ***</w:t>
      </w:r>
      <w:r>
        <w:t>.</w:t>
      </w:r>
    </w:p>
    <w:p w14:paraId="7AE3313F" w14:textId="77777777" w:rsidR="00772179" w:rsidRDefault="00000000">
      <w:pPr>
        <w:jc w:val="both"/>
      </w:pPr>
      <w:r>
        <w:t xml:space="preserve">Les profilés sont fixés sur leur support par </w:t>
      </w:r>
      <w:r>
        <w:rPr>
          <w:rStyle w:val="optioncarChar"/>
        </w:rPr>
        <w:t>collage</w:t>
      </w:r>
      <w:r>
        <w:t xml:space="preserve"> (par défaut) </w:t>
      </w:r>
      <w:r>
        <w:rPr>
          <w:rStyle w:val="optioncarChar"/>
        </w:rPr>
        <w:t>/ fixation mécanique de type pointe / par fixation mécanique de type vis / ***</w:t>
      </w:r>
      <w:r>
        <w:t>.</w:t>
      </w:r>
    </w:p>
    <w:p w14:paraId="78E53CF6" w14:textId="77777777" w:rsidR="00772179" w:rsidRDefault="00000000">
      <w:pPr>
        <w:jc w:val="both"/>
      </w:pPr>
      <w:r>
        <w:t>Les vis apparentes, s'il y a lieu, sont placées avec un espacement régulier.</w:t>
      </w:r>
    </w:p>
    <w:p w14:paraId="0D60ABF8" w14:textId="77777777" w:rsidR="00772179" w:rsidRDefault="00000000">
      <w:pPr>
        <w:pStyle w:val="pheading"/>
      </w:pPr>
      <w:r>
        <w:t>DOCUMENTS DE RÉFÉRENCE COMPLÉMENTAIRES</w:t>
      </w:r>
    </w:p>
    <w:p w14:paraId="50B213A6" w14:textId="77777777" w:rsidR="00772179" w:rsidRDefault="00000000">
      <w:pPr>
        <w:pStyle w:val="pheading"/>
      </w:pPr>
      <w:r>
        <w:t>- Matériau</w:t>
      </w:r>
    </w:p>
    <w:p w14:paraId="5AA896E1" w14:textId="77777777" w:rsidR="00772179" w:rsidRDefault="00000000">
      <w:r>
        <w:t>[STS 52.1, Menuiseries extérieures en bois]</w:t>
      </w:r>
    </w:p>
    <w:p w14:paraId="10B10BD6" w14:textId="77777777" w:rsidR="00772179" w:rsidRDefault="00000000">
      <w:r>
        <w:t>[NBN EN 599-1+A1, Durabilité du bois et des matériaux dérivés du bois - Efficacité des produits préventifs de préservation du bois établie par des essais biologiques - Partie 1: Spécification par classe d'emploi]</w:t>
      </w:r>
    </w:p>
    <w:p w14:paraId="731FB8E7" w14:textId="77777777" w:rsidR="00772179" w:rsidRDefault="00000000">
      <w:pPr>
        <w:pStyle w:val="pheading"/>
      </w:pPr>
      <w:r>
        <w:lastRenderedPageBreak/>
        <w:t>- Exécution</w:t>
      </w:r>
    </w:p>
    <w:p w14:paraId="23055D8C" w14:textId="77777777" w:rsidR="00772179" w:rsidRDefault="00000000">
      <w:r>
        <w:t>[STS 56.1, Mastics d’étanchéité des façades]</w:t>
      </w:r>
    </w:p>
    <w:p w14:paraId="1FE27F6E" w14:textId="77777777" w:rsidR="00772179" w:rsidRDefault="00000000">
      <w:pPr>
        <w:pStyle w:val="pheading"/>
      </w:pPr>
      <w:r>
        <w:t>MESURAGE</w:t>
      </w:r>
    </w:p>
    <w:p w14:paraId="4F3F61F2" w14:textId="77777777" w:rsidR="00772179" w:rsidRDefault="00000000">
      <w:pPr>
        <w:pStyle w:val="pheading"/>
      </w:pPr>
      <w:r>
        <w:t>- unité de mesure:</w:t>
      </w:r>
    </w:p>
    <w:p w14:paraId="4D9D6997" w14:textId="77777777" w:rsidR="00772179" w:rsidRDefault="00000000">
      <w:r>
        <w:rPr>
          <w:rStyle w:val="optioncarChar"/>
        </w:rPr>
        <w:t>fft</w:t>
      </w:r>
      <w:r>
        <w:t xml:space="preserve"> (par défaut) </w:t>
      </w:r>
      <w:r>
        <w:rPr>
          <w:rStyle w:val="optioncarChar"/>
        </w:rPr>
        <w:t>/ pc / m</w:t>
      </w:r>
    </w:p>
    <w:p w14:paraId="2AE8962E" w14:textId="77777777" w:rsidR="00772179" w:rsidRDefault="00000000">
      <w:r>
        <w:rPr>
          <w:b/>
          <w:i/>
        </w:rPr>
        <w:t>(soit par défaut)</w:t>
      </w:r>
    </w:p>
    <w:p w14:paraId="37D631C3" w14:textId="77777777" w:rsidR="00772179" w:rsidRDefault="00000000">
      <w:r>
        <w:rPr>
          <w:rStyle w:val="soitChar"/>
        </w:rPr>
        <w:t>1. fft</w:t>
      </w:r>
    </w:p>
    <w:p w14:paraId="2F3FD185" w14:textId="77777777" w:rsidR="00772179" w:rsidRDefault="00000000">
      <w:r>
        <w:rPr>
          <w:b/>
          <w:i/>
        </w:rPr>
        <w:t>(soit)</w:t>
      </w:r>
    </w:p>
    <w:p w14:paraId="3E55A053" w14:textId="77777777" w:rsidR="00772179" w:rsidRDefault="00000000">
      <w:r>
        <w:rPr>
          <w:rStyle w:val="soitChar"/>
        </w:rPr>
        <w:t>2. pc</w:t>
      </w:r>
    </w:p>
    <w:p w14:paraId="75F47527" w14:textId="77777777" w:rsidR="00772179" w:rsidRDefault="00000000">
      <w:r>
        <w:rPr>
          <w:b/>
          <w:i/>
        </w:rPr>
        <w:t>(soit)</w:t>
      </w:r>
    </w:p>
    <w:p w14:paraId="3E3F53AD" w14:textId="77777777" w:rsidR="00772179" w:rsidRDefault="00000000">
      <w:r>
        <w:rPr>
          <w:rStyle w:val="soitChar"/>
        </w:rPr>
        <w:t>3. m</w:t>
      </w:r>
    </w:p>
    <w:p w14:paraId="1E79ED17" w14:textId="77777777" w:rsidR="00772179" w:rsidRDefault="00000000">
      <w:pPr>
        <w:pStyle w:val="pheading"/>
      </w:pPr>
      <w:r>
        <w:t>- code de mesurage:</w:t>
      </w:r>
    </w:p>
    <w:p w14:paraId="46894BA5" w14:textId="77777777" w:rsidR="00772179" w:rsidRDefault="00000000">
      <w:r>
        <w:rPr>
          <w:rStyle w:val="optioncarChar"/>
        </w:rPr>
        <w:t>Pour l’ensemble</w:t>
      </w:r>
      <w:r>
        <w:t xml:space="preserve"> (par défaut)</w:t>
      </w:r>
      <w:r>
        <w:rPr>
          <w:rStyle w:val="optioncarChar"/>
        </w:rPr>
        <w:t xml:space="preserve"> / par élément à resserrer / longueur nette</w:t>
      </w:r>
    </w:p>
    <w:p w14:paraId="1C27CCF0" w14:textId="77777777" w:rsidR="00772179" w:rsidRDefault="00000000">
      <w:r>
        <w:rPr>
          <w:b/>
          <w:i/>
        </w:rPr>
        <w:t>(soit par défaut)</w:t>
      </w:r>
    </w:p>
    <w:p w14:paraId="3DEDDE6A" w14:textId="77777777" w:rsidR="00772179" w:rsidRDefault="00000000">
      <w:r>
        <w:rPr>
          <w:rStyle w:val="soitChar"/>
        </w:rPr>
        <w:t xml:space="preserve">1.     </w:t>
      </w:r>
      <w:r>
        <w:rPr>
          <w:rStyle w:val="soitChar"/>
          <w:u w:val="single"/>
        </w:rPr>
        <w:t>Pour l’ensemble</w:t>
      </w:r>
      <w:r>
        <w:rPr>
          <w:rStyle w:val="soitChar"/>
        </w:rPr>
        <w:t>, toutes sujétions comprises.</w:t>
      </w:r>
    </w:p>
    <w:p w14:paraId="697A706E" w14:textId="77777777" w:rsidR="00772179" w:rsidRDefault="00000000">
      <w:r>
        <w:rPr>
          <w:b/>
          <w:i/>
        </w:rPr>
        <w:t>(soit)</w:t>
      </w:r>
    </w:p>
    <w:p w14:paraId="193829B1" w14:textId="77777777" w:rsidR="00772179" w:rsidRDefault="00000000">
      <w:r>
        <w:rPr>
          <w:rStyle w:val="soitChar"/>
        </w:rPr>
        <w:t xml:space="preserve">2.     </w:t>
      </w:r>
      <w:r>
        <w:rPr>
          <w:rStyle w:val="soitChar"/>
          <w:u w:val="single"/>
        </w:rPr>
        <w:t>Par élément à resserrer</w:t>
      </w:r>
      <w:r>
        <w:rPr>
          <w:rStyle w:val="soitChar"/>
        </w:rPr>
        <w:t xml:space="preserve"> (baie), ventilé selon les spécifications de chaque type</w:t>
      </w:r>
    </w:p>
    <w:p w14:paraId="1AA43D33" w14:textId="77777777" w:rsidR="00772179" w:rsidRDefault="00000000">
      <w:r>
        <w:rPr>
          <w:b/>
          <w:i/>
        </w:rPr>
        <w:t>(soit)</w:t>
      </w:r>
    </w:p>
    <w:p w14:paraId="29CC9576" w14:textId="77777777" w:rsidR="00772179" w:rsidRDefault="00000000">
      <w:r>
        <w:rPr>
          <w:rStyle w:val="soitChar"/>
        </w:rPr>
        <w:t xml:space="preserve">3.     </w:t>
      </w:r>
      <w:r>
        <w:rPr>
          <w:rStyle w:val="soitChar"/>
          <w:u w:val="single"/>
        </w:rPr>
        <w:t>Longueur nette</w:t>
      </w:r>
      <w:r>
        <w:rPr>
          <w:rStyle w:val="soitChar"/>
        </w:rPr>
        <w:t xml:space="preserve"> de profils de resserrage à mettre en œuvre, toutes sujétions comprises.</w:t>
      </w:r>
    </w:p>
    <w:p w14:paraId="288E91BB" w14:textId="77777777" w:rsidR="00772179" w:rsidRDefault="00000000">
      <w:pPr>
        <w:pStyle w:val="pheading"/>
      </w:pPr>
      <w:r>
        <w:t>- nature du marché:</w:t>
      </w:r>
    </w:p>
    <w:p w14:paraId="00797FD0" w14:textId="77777777" w:rsidR="00772179" w:rsidRDefault="00000000">
      <w:r>
        <w:rPr>
          <w:rStyle w:val="optioncarChar"/>
        </w:rPr>
        <w:t>PG</w:t>
      </w:r>
      <w:r>
        <w:t xml:space="preserve"> (par défaut)</w:t>
      </w:r>
      <w:r>
        <w:rPr>
          <w:rStyle w:val="optioncarChar"/>
        </w:rPr>
        <w:t xml:space="preserve"> / QF</w:t>
      </w:r>
    </w:p>
    <w:p w14:paraId="50290FF9" w14:textId="77777777" w:rsidR="00772179" w:rsidRDefault="00000000">
      <w:r>
        <w:br/>
      </w:r>
      <w:r>
        <w:rPr>
          <w:b/>
          <w:i/>
        </w:rPr>
        <w:t xml:space="preserve"> (soit par défaut)</w:t>
      </w:r>
    </w:p>
    <w:p w14:paraId="5256B340" w14:textId="77777777" w:rsidR="00772179" w:rsidRDefault="00000000">
      <w:r>
        <w:rPr>
          <w:rStyle w:val="soitChar"/>
        </w:rPr>
        <w:t>1.     PG</w:t>
      </w:r>
    </w:p>
    <w:p w14:paraId="632783DA" w14:textId="77777777" w:rsidR="00772179" w:rsidRDefault="00000000">
      <w:r>
        <w:rPr>
          <w:b/>
          <w:i/>
        </w:rPr>
        <w:t>(soit)</w:t>
      </w:r>
    </w:p>
    <w:p w14:paraId="7DFA27B8" w14:textId="77777777" w:rsidR="00772179" w:rsidRDefault="00000000">
      <w:r>
        <w:rPr>
          <w:rStyle w:val="soitChar"/>
        </w:rPr>
        <w:t>2. et 3.  QF</w:t>
      </w:r>
    </w:p>
    <w:p w14:paraId="00D2C2C5" w14:textId="77777777" w:rsidR="00772179" w:rsidRDefault="00000000">
      <w:pPr>
        <w:pStyle w:val="pheading"/>
      </w:pPr>
      <w:r>
        <w:t>AIDE</w:t>
      </w:r>
    </w:p>
    <w:p w14:paraId="3086BC09" w14:textId="77777777" w:rsidR="00772179" w:rsidRDefault="00000000">
      <w:pPr>
        <w:jc w:val="both"/>
      </w:pPr>
      <w:r>
        <w:rPr>
          <w:color w:val="000000"/>
          <w:shd w:val="clear" w:color="auto" w:fill="FFFFFF"/>
        </w:rPr>
        <w:t>Une liste non limitative des espèces de bois les plus aptes à l’emploi en menuiserie est donnée dans l’annexe 2 des spécifications techniques [STS 52.1].</w:t>
      </w:r>
    </w:p>
    <w:p w14:paraId="3BE86F27" w14:textId="77777777" w:rsidR="00772179" w:rsidRDefault="00000000">
      <w:pPr>
        <w:spacing w:after="0" w:line="0" w:lineRule="atLeast"/>
        <w:jc w:val="both"/>
      </w:pPr>
      <w:r>
        <w:rPr>
          <w:color w:val="000000"/>
          <w:shd w:val="clear" w:color="auto" w:fill="FFFFFF"/>
        </w:rPr>
        <w:t>Lorsque l’essence de bois ne possède pas une durabilité naturelle suffisante (≥ 3 ) le bois nécessite un traitement de protection complet. Les traitements de protection comprennent en général deux phases complémentaires : la préservation et la finition. Ces 2 traitements ont des objectifs et des finalités différentes.</w:t>
      </w:r>
    </w:p>
    <w:p w14:paraId="5EFCEDE4" w14:textId="77777777" w:rsidR="00772179" w:rsidRDefault="00000000">
      <w:pPr>
        <w:spacing w:after="0" w:line="0" w:lineRule="atLeast"/>
        <w:jc w:val="both"/>
      </w:pPr>
      <w:r>
        <w:rPr>
          <w:color w:val="000000"/>
          <w:shd w:val="clear" w:color="auto" w:fill="FFFFFF"/>
        </w:rPr>
        <w:t>Les traitements de préservation ont pour objectif de rendre durable un bois qui l’est insuffisamment naturellement pour l’emploi auquel il est destiné.</w:t>
      </w:r>
    </w:p>
    <w:p w14:paraId="283F2756" w14:textId="77777777" w:rsidR="00772179" w:rsidRDefault="00000000">
      <w:pPr>
        <w:spacing w:after="0" w:line="0" w:lineRule="atLeast"/>
        <w:jc w:val="both"/>
      </w:pPr>
      <w:r>
        <w:rPr>
          <w:color w:val="000000"/>
          <w:shd w:val="clear" w:color="auto" w:fill="FFFFFF"/>
        </w:rPr>
        <w:t>Les traitements de finition assurent une protection physique de la surface, tout en lui conférant une esthétique particulière. Certains d’entre eux apportent aussi un complément de préservation à la surface du bois, cependant, ils sont inopérants pour protéger une espèce de bois non durable contre les attaques des insectes et des champignons.</w:t>
      </w:r>
    </w:p>
    <w:p w14:paraId="19D4CA1D" w14:textId="77777777" w:rsidR="00772179" w:rsidRDefault="00000000">
      <w:pPr>
        <w:pStyle w:val="Author-eSectionHeading6Numberless"/>
      </w:pPr>
      <w:bookmarkStart w:id="371" w:name="_Toc220490094"/>
      <w:r>
        <w:t>41.74.2b Profilés de resserrage en métal CCTB 01.11</w:t>
      </w:r>
      <w:bookmarkEnd w:id="371"/>
    </w:p>
    <w:p w14:paraId="135A7309" w14:textId="77777777" w:rsidR="00772179" w:rsidRDefault="00000000">
      <w:pPr>
        <w:pStyle w:val="pheading"/>
      </w:pPr>
      <w:r>
        <w:t>DESCRIPTION</w:t>
      </w:r>
    </w:p>
    <w:p w14:paraId="0FFBD21A" w14:textId="77777777" w:rsidR="00772179" w:rsidRDefault="00000000">
      <w:pPr>
        <w:pStyle w:val="pheading"/>
      </w:pPr>
      <w:r>
        <w:t>- Définition / Comprend</w:t>
      </w:r>
    </w:p>
    <w:p w14:paraId="4AB7DAE7" w14:textId="77777777" w:rsidR="00772179" w:rsidRDefault="00000000">
      <w:pPr>
        <w:jc w:val="both"/>
      </w:pPr>
      <w:r>
        <w:rPr>
          <w:rStyle w:val="normalChar"/>
        </w:rPr>
        <w:lastRenderedPageBreak/>
        <w:t xml:space="preserve">Cet article décrit la fourniture et la pose des profilés de raccord en métal (acier, inox, aluminium ou tout autre métal). </w:t>
      </w:r>
    </w:p>
    <w:p w14:paraId="0A55B73F" w14:textId="77777777" w:rsidR="00772179" w:rsidRDefault="00000000">
      <w:pPr>
        <w:pStyle w:val="pheading"/>
      </w:pPr>
      <w:r>
        <w:t>- Localisation</w:t>
      </w:r>
    </w:p>
    <w:p w14:paraId="1563B1DF" w14:textId="77777777" w:rsidR="00772179" w:rsidRDefault="00000000">
      <w:r>
        <w:t xml:space="preserve">La localisation est la suivante : </w:t>
      </w:r>
      <w:r>
        <w:rPr>
          <w:rStyle w:val="optioncarChar"/>
        </w:rPr>
        <w:t>***</w:t>
      </w:r>
      <w:r>
        <w:t>. </w:t>
      </w:r>
    </w:p>
    <w:p w14:paraId="2CAB8484" w14:textId="77777777" w:rsidR="00772179" w:rsidRDefault="00000000">
      <w:r>
        <w:t xml:space="preserve">Voir : </w:t>
      </w:r>
      <w:r>
        <w:rPr>
          <w:rStyle w:val="optioncarChar"/>
        </w:rPr>
        <w:t>plans et métrés détaillés / ***</w:t>
      </w:r>
      <w:r>
        <w:t>.</w:t>
      </w:r>
    </w:p>
    <w:p w14:paraId="4B0780E3" w14:textId="77777777" w:rsidR="00772179" w:rsidRDefault="00000000">
      <w:pPr>
        <w:pStyle w:val="pheading"/>
      </w:pPr>
      <w:r>
        <w:t>MATÉRIAUX</w:t>
      </w:r>
    </w:p>
    <w:p w14:paraId="79E8627F" w14:textId="77777777" w:rsidR="00772179" w:rsidRDefault="00000000">
      <w:pPr>
        <w:pStyle w:val="pheading"/>
      </w:pPr>
      <w:r>
        <w:t>- Caractéristiques générales</w:t>
      </w:r>
    </w:p>
    <w:p w14:paraId="6317A0C4" w14:textId="77777777" w:rsidR="00772179" w:rsidRDefault="00000000">
      <w:pPr>
        <w:jc w:val="both"/>
      </w:pPr>
      <w:r>
        <w:t xml:space="preserve">Les profilés de raccords sont en métal de type </w:t>
      </w:r>
      <w:r>
        <w:rPr>
          <w:rStyle w:val="optioncarChar"/>
        </w:rPr>
        <w:t>idem menuiserie</w:t>
      </w:r>
      <w:r>
        <w:t xml:space="preserve"> (par défaut) </w:t>
      </w:r>
      <w:r>
        <w:rPr>
          <w:rStyle w:val="optioncarChar"/>
        </w:rPr>
        <w:t>/ acier inoxydable / acier galvanisé / acier peint / aluminium laqué / aluminium anodisé / laiton</w:t>
      </w:r>
      <w:r>
        <w:t>.</w:t>
      </w:r>
    </w:p>
    <w:p w14:paraId="1C7F5825" w14:textId="77777777" w:rsidR="00772179" w:rsidRDefault="00000000">
      <w:pPr>
        <w:jc w:val="both"/>
      </w:pPr>
      <w:r>
        <w:t xml:space="preserve">L’alliage d’aluminium : L’ambiance lors de la vie de la menuiserie est en </w:t>
      </w:r>
      <w:r>
        <w:rPr>
          <w:rStyle w:val="optioncarChar"/>
        </w:rPr>
        <w:t>climat normal</w:t>
      </w:r>
      <w:r>
        <w:t xml:space="preserve"> (par défaut) </w:t>
      </w:r>
      <w:r>
        <w:rPr>
          <w:rStyle w:val="optioncarChar"/>
        </w:rPr>
        <w:t>/ climat agressif</w:t>
      </w:r>
      <w:r>
        <w:t>. Dans le cas de climats normaux, les alliages AW-6060 ou AW-6063 sont utilisés.  Pour des climats agressifs, l’alliage AW-6060-B est utilisé. Les alliages sont conformes à la norme [NBN EN 755-2].</w:t>
      </w:r>
    </w:p>
    <w:p w14:paraId="5C654E38" w14:textId="77777777" w:rsidR="00772179" w:rsidRDefault="00000000">
      <w:pPr>
        <w:jc w:val="both"/>
      </w:pPr>
      <w:r>
        <w:t>Les tolérances (déversement – gauchissement des faces droites) du profilé sont de +/ - 0.5 mm</w:t>
      </w:r>
    </w:p>
    <w:p w14:paraId="35769ED3" w14:textId="77777777" w:rsidR="00772179" w:rsidRDefault="00000000">
      <w:pPr>
        <w:jc w:val="both"/>
      </w:pPr>
      <w:r>
        <w:t>Profils</w:t>
      </w:r>
    </w:p>
    <w:p w14:paraId="22B7CE62" w14:textId="77777777" w:rsidR="00772179" w:rsidRDefault="00000000">
      <w:pPr>
        <w:jc w:val="both"/>
      </w:pPr>
      <w:r>
        <w:t xml:space="preserve">Les profilés de resserrage sont de section </w:t>
      </w:r>
      <w:r>
        <w:rPr>
          <w:rStyle w:val="optioncarChar"/>
        </w:rPr>
        <w:t>tubulaire / rectangulaire</w:t>
      </w:r>
      <w:r>
        <w:t xml:space="preserve"> (par défaut) </w:t>
      </w:r>
      <w:r>
        <w:rPr>
          <w:rStyle w:val="optioncarChar"/>
        </w:rPr>
        <w:t>/ ***</w:t>
      </w:r>
    </w:p>
    <w:p w14:paraId="00755541" w14:textId="77777777" w:rsidR="00772179" w:rsidRDefault="00000000">
      <w:pPr>
        <w:jc w:val="both"/>
      </w:pPr>
      <w:r>
        <w:t>Dimensions nominales des éléments achevés, exprimées en mm (sans décimales).</w:t>
      </w:r>
    </w:p>
    <w:p w14:paraId="30545550" w14:textId="77777777" w:rsidR="00772179" w:rsidRDefault="00000000">
      <w:pPr>
        <w:pStyle w:val="Author-eListParagraph"/>
        <w:numPr>
          <w:ilvl w:val="0"/>
          <w:numId w:val="724"/>
        </w:numPr>
      </w:pPr>
      <w:r>
        <w:t xml:space="preserve">Largeur vue du profil : </w:t>
      </w:r>
      <w:r>
        <w:rPr>
          <w:rStyle w:val="optioncarChar"/>
        </w:rPr>
        <w:t xml:space="preserve">*** </w:t>
      </w:r>
      <w:r>
        <w:t>mm</w:t>
      </w:r>
      <w:r>
        <w:rPr>
          <w:rStyle w:val="optioncarChar"/>
        </w:rPr>
        <w:t xml:space="preserve"> / en fonction des dimensions du resserrage à effectuer</w:t>
      </w:r>
      <w:r>
        <w:t xml:space="preserve"> (par défaut)</w:t>
      </w:r>
    </w:p>
    <w:p w14:paraId="2E59A878" w14:textId="77777777" w:rsidR="00772179" w:rsidRDefault="00000000">
      <w:pPr>
        <w:pStyle w:val="Author-eListParagraph"/>
        <w:numPr>
          <w:ilvl w:val="0"/>
          <w:numId w:val="724"/>
        </w:numPr>
      </w:pPr>
      <w:r>
        <w:t xml:space="preserve">Epaisseur du profil : </w:t>
      </w:r>
      <w:r>
        <w:rPr>
          <w:rStyle w:val="optioncarChar"/>
        </w:rPr>
        <w:t xml:space="preserve">*** </w:t>
      </w:r>
      <w:r>
        <w:t xml:space="preserve">mm </w:t>
      </w:r>
      <w:r>
        <w:rPr>
          <w:rStyle w:val="optioncarChar"/>
        </w:rPr>
        <w:t>/ en fonction des dimensions du resserrage à effectuer</w:t>
      </w:r>
      <w:r>
        <w:t xml:space="preserve"> (par défaut)</w:t>
      </w:r>
    </w:p>
    <w:p w14:paraId="40A0D0BC" w14:textId="77777777" w:rsidR="00772179" w:rsidRDefault="00000000">
      <w:pPr>
        <w:pStyle w:val="pheading"/>
      </w:pPr>
      <w:r>
        <w:t>- Finitions</w:t>
      </w:r>
    </w:p>
    <w:p w14:paraId="747482EA" w14:textId="77777777" w:rsidR="00772179" w:rsidRDefault="00000000">
      <w:pPr>
        <w:jc w:val="both"/>
      </w:pPr>
      <w:r>
        <w:rPr>
          <w:rStyle w:val="headingChar"/>
          <w:u w:val="single"/>
        </w:rPr>
        <w:t>Pour L’Aluminium</w:t>
      </w:r>
    </w:p>
    <w:p w14:paraId="34CF3F99" w14:textId="77777777" w:rsidR="00772179" w:rsidRDefault="00000000">
      <w:pPr>
        <w:jc w:val="both"/>
      </w:pPr>
      <w:r>
        <w:t>Pour l'usinage, le traitement et la mise en place des profils préformés, il est toujours tenu compte des prescriptions du fournisseur du système.</w:t>
      </w:r>
    </w:p>
    <w:p w14:paraId="0DC79C57" w14:textId="77777777" w:rsidR="00772179" w:rsidRDefault="00000000">
      <w:pPr>
        <w:jc w:val="both"/>
      </w:pPr>
      <w:r>
        <w:t>Lors d’une observation perpendiculaire à la surface concernée sous une lumière diffuse (ciel couvert à l’extérieur et sans éclairage artificiel à l’intérieur), aucun défaut de surface décrit ci-après n'est visibles à l’œil nu à une distance de 2 m :</w:t>
      </w:r>
    </w:p>
    <w:p w14:paraId="3DC55B38" w14:textId="77777777" w:rsidR="00772179" w:rsidRDefault="00000000">
      <w:pPr>
        <w:pStyle w:val="Author-eListParagraph"/>
        <w:numPr>
          <w:ilvl w:val="0"/>
          <w:numId w:val="725"/>
        </w:numPr>
      </w:pPr>
      <w:r>
        <w:t>Surface rude, gouttes d’écoulement, boursouflures, effet de peau d’orange, inclusions, cratères, taches mates, trous, griffes.</w:t>
      </w:r>
      <w:r>
        <w:br/>
      </w:r>
    </w:p>
    <w:p w14:paraId="5749543A" w14:textId="77777777" w:rsidR="00772179" w:rsidRDefault="00000000">
      <w:pPr>
        <w:pStyle w:val="Author-eListParagraph"/>
        <w:numPr>
          <w:ilvl w:val="0"/>
          <w:numId w:val="725"/>
        </w:numPr>
      </w:pPr>
      <w:r>
        <w:t>L’exécution laquée au four présente une teinte et un éclat uniformes et est couvrante. Aucune différence de teinte incommodante n'apparaît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33310997" w14:textId="77777777" w:rsidR="00772179" w:rsidRDefault="00000000">
      <w:pPr>
        <w:pStyle w:val="Author-eListParagraph"/>
        <w:numPr>
          <w:ilvl w:val="0"/>
          <w:numId w:val="726"/>
        </w:numPr>
      </w:pPr>
      <w:r>
        <w:t>L’aspect de la face visible des profilés anodisés ne présente aucune différence de teinte ni de taches incommodantes qui sont jugées gênantes.  </w:t>
      </w:r>
    </w:p>
    <w:p w14:paraId="7B49BB7F" w14:textId="77777777" w:rsidR="00772179" w:rsidRDefault="00000000">
      <w:pPr>
        <w:jc w:val="both"/>
      </w:pPr>
      <w:r>
        <w:t>La finition de surface est la suivante :</w:t>
      </w:r>
      <w:r>
        <w:rPr>
          <w:rStyle w:val="optioncarChar"/>
        </w:rPr>
        <w:t xml:space="preserve"> idem menuiserie</w:t>
      </w:r>
      <w:r>
        <w:t xml:space="preserve"> (par défaut) </w:t>
      </w:r>
      <w:r>
        <w:rPr>
          <w:rStyle w:val="optioncarChar"/>
        </w:rPr>
        <w:t>/ Laquage et revêtement par poudrage (laquage au four) / Laquage de peinture liquide / Anodisation / ***</w:t>
      </w:r>
      <w:r>
        <w:t>.</w:t>
      </w:r>
    </w:p>
    <w:p w14:paraId="56AAE894" w14:textId="77777777" w:rsidR="00772179" w:rsidRDefault="00000000">
      <w:pPr>
        <w:jc w:val="both"/>
      </w:pPr>
      <w:r>
        <w:rPr>
          <w:b/>
        </w:rPr>
        <w:t>Méthode d'anodisation</w:t>
      </w:r>
    </w:p>
    <w:p w14:paraId="75A94FE7" w14:textId="77777777" w:rsidR="00772179" w:rsidRDefault="00000000">
      <w:pPr>
        <w:pStyle w:val="Author-eListParagraph"/>
        <w:numPr>
          <w:ilvl w:val="0"/>
          <w:numId w:val="727"/>
        </w:numPr>
      </w:pPr>
      <w:r>
        <w:t>L’anodisation se fait conformément aux prescriptions du Manuel de Qualité 1.</w:t>
      </w:r>
      <w:r>
        <w:br/>
      </w:r>
    </w:p>
    <w:p w14:paraId="7B6B3E76" w14:textId="77777777" w:rsidR="00772179" w:rsidRDefault="00000000">
      <w:pPr>
        <w:pStyle w:val="Author-eListParagraph"/>
        <w:numPr>
          <w:ilvl w:val="0"/>
          <w:numId w:val="727"/>
        </w:numPr>
      </w:pPr>
      <w:r>
        <w:t xml:space="preserve">Le traitement préliminaire et la protection de la menuiserie répondent aux spécifications [STS 36] (§.14.4). et sont conformes : </w:t>
      </w:r>
      <w:r>
        <w:rPr>
          <w:rStyle w:val="optioncarChar"/>
        </w:rPr>
        <w:t>idem menuiserie</w:t>
      </w:r>
      <w:r>
        <w:t xml:space="preserve"> (par défaut) </w:t>
      </w:r>
      <w:r>
        <w:rPr>
          <w:rStyle w:val="optioncarChar"/>
        </w:rPr>
        <w:t xml:space="preserve">/ au mode AO - Non poli avec traitement anodique / mode BO - Semi-poli avec traitement anodique (satiné) / mode CO - </w:t>
      </w:r>
      <w:r>
        <w:rPr>
          <w:rStyle w:val="optioncarChar"/>
        </w:rPr>
        <w:lastRenderedPageBreak/>
        <w:t>Complètement poli avec traitement anodique (brillant)</w:t>
      </w:r>
      <w:r>
        <w:t>.</w:t>
      </w:r>
      <w:r>
        <w:br/>
      </w:r>
    </w:p>
    <w:p w14:paraId="5C482449" w14:textId="77777777" w:rsidR="00772179" w:rsidRDefault="00000000">
      <w:pPr>
        <w:pStyle w:val="Author-eListParagraph"/>
        <w:numPr>
          <w:ilvl w:val="0"/>
          <w:numId w:val="727"/>
        </w:numPr>
      </w:pPr>
      <w:r>
        <w:t xml:space="preserve"> 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L’entreprise chargée de l’anodisation possède le label de qualité QUALANOD. La qualité est contrôlée par des essais suivant la procédure prévue dans le label. L’épaisseur exigée de la couche d’oxyde répond également aux spécifications [STS 36]  (§.05.33) et atteint au moins : </w:t>
      </w:r>
    </w:p>
    <w:p w14:paraId="56A4E241" w14:textId="77777777" w:rsidR="00772179" w:rsidRDefault="00000000">
      <w:pPr>
        <w:pStyle w:val="Author-eListParagraph"/>
        <w:numPr>
          <w:ilvl w:val="1"/>
          <w:numId w:val="728"/>
        </w:numPr>
      </w:pPr>
      <w:r>
        <w:t>Classe 2 - atmosphère urbaine - 20 μm</w:t>
      </w:r>
    </w:p>
    <w:p w14:paraId="0E88BA5F" w14:textId="77777777" w:rsidR="00772179" w:rsidRDefault="00000000">
      <w:pPr>
        <w:pStyle w:val="Author-eListParagraph"/>
        <w:numPr>
          <w:ilvl w:val="1"/>
          <w:numId w:val="728"/>
        </w:numPr>
      </w:pPr>
      <w:r>
        <w:t>Classe 3 - atmosphère maritime ou industrielle - 25 μm</w:t>
      </w:r>
    </w:p>
    <w:p w14:paraId="2E62916D" w14:textId="77777777" w:rsidR="00772179" w:rsidRDefault="00000000">
      <w:pPr>
        <w:pStyle w:val="Author-eListParagraph"/>
        <w:numPr>
          <w:ilvl w:val="0"/>
          <w:numId w:val="729"/>
        </w:numPr>
      </w:pPr>
      <w:r>
        <w:t xml:space="preserve">La teinte de la couche d’anodisation du profilé est consultée sur base d’un échantillon auprès </w:t>
      </w:r>
      <w:r>
        <w:rPr>
          <w:rStyle w:val="optioncarChar"/>
        </w:rPr>
        <w:t>du fonctionnaire dirigeant / de l’architecte</w:t>
      </w:r>
      <w:r>
        <w:t>. </w:t>
      </w:r>
      <w:r>
        <w:br/>
      </w:r>
    </w:p>
    <w:p w14:paraId="1671BDF2" w14:textId="77777777" w:rsidR="00772179" w:rsidRDefault="00000000">
      <w:pPr>
        <w:pStyle w:val="Author-eListParagraph"/>
        <w:numPr>
          <w:ilvl w:val="0"/>
          <w:numId w:val="729"/>
        </w:numPr>
      </w:pPr>
      <w:r>
        <w:t>La teinte est :</w:t>
      </w:r>
      <w:r>
        <w:rPr>
          <w:rStyle w:val="optioncarChar"/>
        </w:rPr>
        <w:t xml:space="preserve"> naturelle</w:t>
      </w:r>
      <w:r>
        <w:t xml:space="preserve"> (par défaut)</w:t>
      </w:r>
      <w:r>
        <w:rPr>
          <w:rStyle w:val="optioncarChar"/>
        </w:rPr>
        <w:t xml:space="preserve"> / noir / bronze / ***</w:t>
      </w:r>
    </w:p>
    <w:p w14:paraId="24909AFF" w14:textId="77777777" w:rsidR="00772179" w:rsidRDefault="00000000">
      <w:pPr>
        <w:jc w:val="both"/>
      </w:pPr>
      <w:r>
        <w:rPr>
          <w:b/>
        </w:rPr>
        <w:t>Laquages / Revêtements</w:t>
      </w:r>
    </w:p>
    <w:p w14:paraId="5A96F74F" w14:textId="77777777" w:rsidR="00772179" w:rsidRDefault="00000000">
      <w:pPr>
        <w:pStyle w:val="Author-eListParagraph"/>
        <w:numPr>
          <w:ilvl w:val="0"/>
          <w:numId w:val="730"/>
        </w:numPr>
      </w:pPr>
      <w:r>
        <w:t>Le procédé de finition par laquage sur aluminium est conforme à la norme [NBN EN 12206-1].</w:t>
      </w:r>
      <w:r>
        <w:br/>
      </w:r>
    </w:p>
    <w:p w14:paraId="6C9A8742" w14:textId="77777777" w:rsidR="00772179" w:rsidRDefault="00000000">
      <w:pPr>
        <w:pStyle w:val="Author-eListParagraph"/>
        <w:numPr>
          <w:ilvl w:val="0"/>
          <w:numId w:val="730"/>
        </w:numPr>
      </w:pPr>
      <w:r>
        <w:t>Les couches de peinture résistent aux chocs et  s’écaille pas aux bords lors d’opérations mécaniques (forage, sciage, fraisage, poinçonnage, ...). Les échantillons de profilés nécessaires sont préalablement soumis à l’auteur de projet.</w:t>
      </w:r>
    </w:p>
    <w:p w14:paraId="7F43EEF3" w14:textId="77777777" w:rsidR="00772179" w:rsidRDefault="00000000">
      <w:pPr>
        <w:jc w:val="both"/>
      </w:pPr>
      <w:r>
        <w:rPr>
          <w:b/>
        </w:rPr>
        <w:t>Domaine d’application</w:t>
      </w:r>
      <w:r>
        <w:t xml:space="preserve"> : </w:t>
      </w:r>
      <w:r>
        <w:rPr>
          <w:rStyle w:val="optioncarChar"/>
        </w:rPr>
        <w:t>Classe 2</w:t>
      </w:r>
      <w:r>
        <w:t xml:space="preserve"> (par défaut)</w:t>
      </w:r>
      <w:r>
        <w:rPr>
          <w:rStyle w:val="optioncarChar"/>
        </w:rPr>
        <w:t xml:space="preserve"> / Classe 3 / ***</w:t>
      </w:r>
      <w:r>
        <w:t>.</w:t>
      </w:r>
    </w:p>
    <w:p w14:paraId="6C32E9C5" w14:textId="77777777" w:rsidR="00772179" w:rsidRDefault="00000000">
      <w:pPr>
        <w:jc w:val="both"/>
      </w:pPr>
      <w:r>
        <w:rPr>
          <w:b/>
          <w:i/>
        </w:rPr>
        <w:t>(soit par défaut) :</w:t>
      </w:r>
      <w:r>
        <w:rPr>
          <w:rStyle w:val="soitChar"/>
        </w:rPr>
        <w:t xml:space="preserve"> Domaine d’application : </w:t>
      </w:r>
      <w:r>
        <w:rPr>
          <w:rStyle w:val="soitChar"/>
          <w:u w:val="single"/>
        </w:rPr>
        <w:t>Classe 2</w:t>
      </w:r>
      <w:r>
        <w:rPr>
          <w:rStyle w:val="soitChar"/>
        </w:rPr>
        <w:t xml:space="preserve"> – atmosphère urbaine – charge normale. </w:t>
      </w:r>
    </w:p>
    <w:p w14:paraId="783F1064" w14:textId="77777777" w:rsidR="00772179" w:rsidRDefault="00000000">
      <w:pPr>
        <w:jc w:val="both"/>
      </w:pPr>
      <w:r>
        <w:rPr>
          <w:rStyle w:val="soitChar"/>
        </w:rPr>
        <w:t>Après le dégraissage et le décapage (1 à 2 gr/m²), les profilés reçoivent une couche de conversion à base de chrome (0,6 à 1 gr/m²). Maximum 16 heures après le rinçage et le séchage à une température de l’air ≤ 100 °C,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moyenne de la couche est ≥ 60 μm. </w:t>
      </w:r>
    </w:p>
    <w:p w14:paraId="2664C6D6" w14:textId="77777777" w:rsidR="00772179" w:rsidRDefault="00772179"/>
    <w:p w14:paraId="032CD8FC" w14:textId="77777777" w:rsidR="00772179" w:rsidRDefault="00000000">
      <w:pPr>
        <w:jc w:val="both"/>
      </w:pPr>
      <w:r>
        <w:rPr>
          <w:b/>
          <w:i/>
        </w:rPr>
        <w:t>(soit) :</w:t>
      </w:r>
      <w:r>
        <w:rPr>
          <w:rStyle w:val="soitChar"/>
        </w:rPr>
        <w:t>Domaine d’application :</w:t>
      </w:r>
      <w:r>
        <w:rPr>
          <w:rStyle w:val="soitChar"/>
          <w:u w:val="single"/>
        </w:rPr>
        <w:t xml:space="preserve"> Classe 3</w:t>
      </w:r>
      <w:r>
        <w:rPr>
          <w:rStyle w:val="soitChar"/>
        </w:rPr>
        <w:t xml:space="preserve"> – charge agressive.</w:t>
      </w:r>
    </w:p>
    <w:p w14:paraId="6A8CFBD5" w14:textId="77777777" w:rsidR="00772179" w:rsidRDefault="00000000">
      <w:pPr>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3DA614BD" w14:textId="77777777" w:rsidR="00772179" w:rsidRDefault="00000000">
      <w:pPr>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minutes/μm) pour permettre une bonne adhérence de la couche de peinture. Ensuite, le matériel est manipulé avec des gants afin d’éviter les taches de graisse.</w:t>
      </w:r>
    </w:p>
    <w:p w14:paraId="277678E5" w14:textId="77777777" w:rsidR="00772179" w:rsidRDefault="00000000">
      <w:pPr>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les 180 - 200 °C.</w:t>
      </w:r>
    </w:p>
    <w:p w14:paraId="0708A1B1" w14:textId="77777777" w:rsidR="00772179" w:rsidRDefault="00000000">
      <w:pPr>
        <w:jc w:val="both"/>
      </w:pPr>
      <w:r>
        <w:rPr>
          <w:rStyle w:val="soitChar"/>
        </w:rPr>
        <w:t xml:space="preserve"> Pour les couleurs RAL, l’épaisseur moyenne de la couche est ≥ 60 μm.</w:t>
      </w:r>
    </w:p>
    <w:p w14:paraId="712FB520" w14:textId="77777777" w:rsidR="00772179" w:rsidRDefault="00000000">
      <w:pPr>
        <w:jc w:val="both"/>
      </w:pPr>
      <w:r>
        <w:rPr>
          <w:rStyle w:val="soitChar"/>
        </w:rPr>
        <w:t xml:space="preserve"> Pour les couleurs métallisées, le pigment de couleur est ‘fondu’ avec la poudre de base (Bonding process). Un mélange homogène de l’aluminium ou des particules en inox n’est pas autorisé afin d’éviter la formation de nuages.</w:t>
      </w:r>
    </w:p>
    <w:p w14:paraId="4E4484CF" w14:textId="77777777" w:rsidR="00772179" w:rsidRDefault="00000000">
      <w:pPr>
        <w:jc w:val="both"/>
      </w:pPr>
      <w:r>
        <w:t>Pour garantir la qualité continue, seul un traitement de surface est autorisé en gestion propre du fournisseur de système, et l’alliage d’aluminium satisfait aux critères ci-dessus. Un label QUALICOAT (pour le revêtement par poudrage) présente immédiatement à la demande de l’architecte.</w:t>
      </w:r>
    </w:p>
    <w:p w14:paraId="35A7E087" w14:textId="77777777" w:rsidR="00772179" w:rsidRDefault="00000000">
      <w:pPr>
        <w:pStyle w:val="Author-eListParagraph"/>
        <w:numPr>
          <w:ilvl w:val="0"/>
          <w:numId w:val="731"/>
        </w:numPr>
      </w:pPr>
      <w:r>
        <w:lastRenderedPageBreak/>
        <w:t>La teinte du traitement de surface du profilé est consultée sur base d’un échantillon chez le fonctionnaire dirigeant/l’architecte</w:t>
      </w:r>
      <w:r>
        <w:br/>
      </w:r>
    </w:p>
    <w:p w14:paraId="045D6108" w14:textId="77777777" w:rsidR="00772179" w:rsidRDefault="00000000">
      <w:pPr>
        <w:pStyle w:val="Author-eListParagraph"/>
        <w:numPr>
          <w:ilvl w:val="0"/>
          <w:numId w:val="731"/>
        </w:numPr>
      </w:pPr>
      <w:r>
        <w:t>Les finitions de surface permettent en outre les combinaisons de couleurs intérieures / extérieures </w:t>
      </w:r>
      <w:r>
        <w:br/>
      </w:r>
    </w:p>
    <w:p w14:paraId="0D60160C" w14:textId="77777777" w:rsidR="00772179" w:rsidRDefault="00000000">
      <w:pPr>
        <w:pStyle w:val="Author-eListParagraph"/>
        <w:numPr>
          <w:ilvl w:val="0"/>
          <w:numId w:val="731"/>
        </w:numPr>
      </w:pPr>
      <w:r>
        <w:t xml:space="preserve">Teinte du profilé: </w:t>
      </w:r>
      <w:r>
        <w:rPr>
          <w:rStyle w:val="optioncarChar"/>
        </w:rPr>
        <w:t xml:space="preserve">libre choix dans la gamme standard du fabricant comprenant un minimum de *** </w:t>
      </w:r>
      <w:r>
        <w:t>teintes différentes</w:t>
      </w:r>
      <w:r>
        <w:rPr>
          <w:rStyle w:val="optioncarChar"/>
        </w:rPr>
        <w:t xml:space="preserve"> / Couleur RAL : *** </w:t>
      </w:r>
    </w:p>
    <w:p w14:paraId="3A3A8F4B" w14:textId="77777777" w:rsidR="00772179" w:rsidRDefault="00000000">
      <w:pPr>
        <w:pStyle w:val="Author-eListParagraph"/>
        <w:numPr>
          <w:ilvl w:val="0"/>
          <w:numId w:val="732"/>
        </w:numPr>
      </w:pPr>
      <w:r>
        <w:t xml:space="preserve">Degré de brillance : </w:t>
      </w:r>
      <w:r>
        <w:rPr>
          <w:rStyle w:val="optioncarChar"/>
        </w:rPr>
        <w:t>30 / 70 / 90 </w:t>
      </w:r>
      <w:r>
        <w:t xml:space="preserve">% </w:t>
      </w:r>
      <w:r>
        <w:rPr>
          <w:rStyle w:val="normalChar"/>
        </w:rPr>
        <w:t>sous un angle de 60 °</w:t>
      </w:r>
      <w:r>
        <w:rPr>
          <w:rStyle w:val="optioncarChar"/>
        </w:rPr>
        <w:t xml:space="preserve"> / métallisée</w:t>
      </w:r>
    </w:p>
    <w:p w14:paraId="73980E47" w14:textId="77777777" w:rsidR="00772179" w:rsidRDefault="00000000">
      <w:pPr>
        <w:jc w:val="both"/>
      </w:pPr>
      <w:r>
        <w:rPr>
          <w:rStyle w:val="headingChar"/>
          <w:u w:val="single"/>
        </w:rPr>
        <w:t>Pour L’Acier</w:t>
      </w:r>
    </w:p>
    <w:p w14:paraId="2B68B86C" w14:textId="77777777" w:rsidR="00772179" w:rsidRDefault="00000000">
      <w:pPr>
        <w:pStyle w:val="Author-eListParagraph"/>
        <w:numPr>
          <w:ilvl w:val="0"/>
          <w:numId w:val="733"/>
        </w:numPr>
      </w:pPr>
      <w:r>
        <w:t>Tous les profils, montants de renfort et les parcloses subissent le même traitement de protection. Les éléments à protégés sont d'abord sablés. </w:t>
      </w:r>
    </w:p>
    <w:p w14:paraId="6B77E02C" w14:textId="77777777" w:rsidR="00772179" w:rsidRDefault="00000000">
      <w:pPr>
        <w:pStyle w:val="Author-eListParagraph"/>
        <w:numPr>
          <w:ilvl w:val="0"/>
          <w:numId w:val="734"/>
        </w:numPr>
      </w:pPr>
      <w:r>
        <w:t>La protection est effectuée selon une des trois options.</w:t>
      </w:r>
      <w:r>
        <w:br/>
      </w:r>
      <w:r>
        <w:rPr>
          <w:b/>
        </w:rPr>
        <w:t>Traitement de protection :</w:t>
      </w:r>
      <w:r>
        <w:rPr>
          <w:rStyle w:val="optioncarChar"/>
        </w:rPr>
        <w:t xml:space="preserve"> métallisation par pulvérisation/ par phosphatation/ par galvanisation</w:t>
      </w:r>
    </w:p>
    <w:p w14:paraId="70DFE920" w14:textId="77777777" w:rsidR="00772179" w:rsidRDefault="00000000">
      <w:pPr>
        <w:ind w:left="567"/>
        <w:jc w:val="both"/>
      </w:pPr>
      <w:r>
        <w:rPr>
          <w:b/>
          <w:i/>
        </w:rPr>
        <w:t>(soit) :</w:t>
      </w:r>
      <w:r>
        <w:rPr>
          <w:rStyle w:val="soitChar"/>
          <w:u w:val="single"/>
        </w:rPr>
        <w:t>par métallisation par pulvérisation</w:t>
      </w:r>
      <w:r>
        <w:rPr>
          <w:rStyle w:val="soitChar"/>
        </w:rPr>
        <w:t xml:space="preserve"> de zinc suivie d'une mise en peinture : métallisation selon la classe Zn40. La première couche de peinture à base de chromate de zinc est appliquée en atelier;</w:t>
      </w:r>
    </w:p>
    <w:p w14:paraId="58FF5541" w14:textId="77777777" w:rsidR="00772179" w:rsidRDefault="00772179"/>
    <w:p w14:paraId="5676765A" w14:textId="77777777" w:rsidR="00772179" w:rsidRDefault="00000000">
      <w:pPr>
        <w:ind w:left="567"/>
        <w:jc w:val="both"/>
      </w:pPr>
      <w:r>
        <w:rPr>
          <w:b/>
          <w:i/>
        </w:rPr>
        <w:t>(soit) :</w:t>
      </w:r>
      <w:r>
        <w:t> </w:t>
      </w:r>
      <w:r>
        <w:rPr>
          <w:rStyle w:val="soitChar"/>
          <w:u w:val="single"/>
        </w:rPr>
        <w:t>par phosphatation</w:t>
      </w:r>
      <w:r>
        <w:rPr>
          <w:rStyle w:val="soitChar"/>
        </w:rPr>
        <w:t xml:space="preserve"> suivie d'une mise en peinture : phosphatation jusqu'à saturation; après rinçage et séchage, les profils reçoivent en atelier la première couche de peinture à base de chromate de zinc ;</w:t>
      </w:r>
    </w:p>
    <w:p w14:paraId="19A74F70" w14:textId="77777777" w:rsidR="00772179" w:rsidRDefault="00772179"/>
    <w:p w14:paraId="429F2F03" w14:textId="77777777" w:rsidR="00772179" w:rsidRDefault="00000000">
      <w:pPr>
        <w:ind w:left="567"/>
        <w:jc w:val="both"/>
      </w:pPr>
      <w:r>
        <w:rPr>
          <w:b/>
          <w:i/>
        </w:rPr>
        <w:t>(soit) :</w:t>
      </w:r>
      <w:r>
        <w:rPr>
          <w:rStyle w:val="soitChar"/>
          <w:u w:val="single"/>
        </w:rPr>
        <w:t>par galvanisation</w:t>
      </w:r>
      <w:r>
        <w:rPr>
          <w:rStyle w:val="soitChar"/>
        </w:rPr>
        <w:t xml:space="preserve"> par immersion suivie d'une mise en peinture : galvanisation par immersion dans un bain de zinc liquide.</w:t>
      </w:r>
    </w:p>
    <w:p w14:paraId="6FDB7030" w14:textId="77777777" w:rsidR="00772179" w:rsidRDefault="00000000">
      <w:pPr>
        <w:pStyle w:val="Author-eListParagraph"/>
        <w:numPr>
          <w:ilvl w:val="0"/>
          <w:numId w:val="735"/>
        </w:numPr>
      </w:pPr>
      <w:r>
        <w:t>Le revêtement de la surface est effectué selon les options suivantes. </w:t>
      </w:r>
      <w:r>
        <w:br/>
      </w:r>
      <w:r>
        <w:rPr>
          <w:b/>
        </w:rPr>
        <w:t>Revêtement de surface :</w:t>
      </w:r>
      <w:r>
        <w:rPr>
          <w:rStyle w:val="optioncarChar"/>
        </w:rPr>
        <w:t>Thermolaquage (application électrostatique)</w:t>
      </w:r>
      <w:r>
        <w:t xml:space="preserve"> (par défaut)</w:t>
      </w:r>
      <w:r>
        <w:rPr>
          <w:rStyle w:val="optioncarChar"/>
        </w:rPr>
        <w:t xml:space="preserve"> / ***</w:t>
      </w:r>
    </w:p>
    <w:p w14:paraId="506BC312" w14:textId="77777777" w:rsidR="00772179" w:rsidRDefault="00000000">
      <w:pPr>
        <w:ind w:left="567"/>
        <w:jc w:val="both"/>
      </w:pPr>
      <w:r>
        <w:rPr>
          <w:b/>
          <w:i/>
        </w:rPr>
        <w:t>(Soit par défaut) :</w:t>
      </w:r>
      <w:r>
        <w:rPr>
          <w:rStyle w:val="soitChar"/>
          <w:u w:val="single"/>
        </w:rPr>
        <w:t>Thermolaquage par application électrostatique</w:t>
      </w:r>
      <w:r>
        <w:rPr>
          <w:rStyle w:val="soitChar"/>
        </w:rPr>
        <w:t xml:space="preserve"> d'un revêtement en poudre en deux couches. La première couche est un primer acrylique ou époxy convenant pour l'acier, épaisseur 40 microns; la deuxième couche est une laque polyuréthane ou polyester, épaisseur 40 microns. Le processus d'application du revêtement par poudrage est réglé de façon telle que la première couche soit presque complètement durcie avant l'application de la deuxième couche. La température de cuisson de la deuxième couche est supérieure à celle de la première couche. Les cuissons des couches sont réalisées au four</w:t>
      </w:r>
    </w:p>
    <w:p w14:paraId="51275717" w14:textId="77777777" w:rsidR="00772179" w:rsidRDefault="00000000">
      <w:pPr>
        <w:ind w:left="567"/>
        <w:jc w:val="both"/>
      </w:pPr>
      <w:r>
        <w:rPr>
          <w:b/>
        </w:rPr>
        <w:t>(soit) :</w:t>
      </w:r>
      <w:r>
        <w:rPr>
          <w:rStyle w:val="optioncarChar"/>
        </w:rPr>
        <w:t>***</w:t>
      </w:r>
    </w:p>
    <w:p w14:paraId="6D44E71E" w14:textId="77777777" w:rsidR="00772179" w:rsidRDefault="00000000">
      <w:pPr>
        <w:pStyle w:val="Author-eListParagraph"/>
        <w:numPr>
          <w:ilvl w:val="0"/>
          <w:numId w:val="736"/>
        </w:numPr>
      </w:pPr>
      <w:r>
        <w:t xml:space="preserve">Une garantie de </w:t>
      </w:r>
      <w:r>
        <w:rPr>
          <w:rStyle w:val="optioncarChar"/>
        </w:rPr>
        <w:t>10</w:t>
      </w:r>
      <w:r>
        <w:t xml:space="preserve"> (par défaut) </w:t>
      </w:r>
      <w:r>
        <w:rPr>
          <w:rStyle w:val="optioncarChar"/>
        </w:rPr>
        <w:t>/ ***</w:t>
      </w:r>
      <w:r>
        <w:t xml:space="preserve"> ans est donnée sur l'adhérence et l'inaltérabilité des couleurs et de la brillance. L'entrepreneur soumet une note technique concernant l'exécution du traitement préalable et l'application de la couche de finition.</w:t>
      </w:r>
    </w:p>
    <w:p w14:paraId="07635AF8" w14:textId="77777777" w:rsidR="00772179" w:rsidRDefault="00000000">
      <w:pPr>
        <w:jc w:val="both"/>
      </w:pPr>
      <w:r>
        <w:rPr>
          <w:rStyle w:val="headingChar"/>
          <w:u w:val="single"/>
        </w:rPr>
        <w:t>Pour Le Laiton, Le Bronze :</w:t>
      </w:r>
    </w:p>
    <w:p w14:paraId="09A59352" w14:textId="77777777" w:rsidR="00772179" w:rsidRDefault="00000000">
      <w:pPr>
        <w:pStyle w:val="Author-eListParagraph"/>
        <w:numPr>
          <w:ilvl w:val="0"/>
          <w:numId w:val="737"/>
        </w:numPr>
      </w:pPr>
      <w:r>
        <w:t xml:space="preserve">La finition des profilés est effectuée par : </w:t>
      </w:r>
      <w:r>
        <w:rPr>
          <w:rStyle w:val="optioncarChar"/>
        </w:rPr>
        <w:t>nettoyage par produit d’entretien approprié / un vernis transparent / ***</w:t>
      </w:r>
    </w:p>
    <w:p w14:paraId="30115F3F" w14:textId="77777777" w:rsidR="00772179" w:rsidRDefault="00000000">
      <w:pPr>
        <w:pStyle w:val="pheading"/>
      </w:pPr>
      <w:r>
        <w:t>EXÉCUTION / MISE EN ŒUVRE</w:t>
      </w:r>
    </w:p>
    <w:p w14:paraId="257FBF0B" w14:textId="77777777" w:rsidR="00772179" w:rsidRDefault="00000000">
      <w:pPr>
        <w:pStyle w:val="pheading"/>
      </w:pPr>
      <w:r>
        <w:t>- Prescriptions générales</w:t>
      </w:r>
    </w:p>
    <w:p w14:paraId="30D0C397" w14:textId="77777777" w:rsidR="00772179" w:rsidRDefault="00000000">
      <w:pPr>
        <w:jc w:val="both"/>
      </w:pPr>
      <w:r>
        <w:t xml:space="preserve">Pour la continuité de l’étanchéité à l’eau ou la perméabilité à l’air, le profilé de resserrage dispose de garniture d’étanchéité de type : </w:t>
      </w:r>
      <w:r>
        <w:rPr>
          <w:rStyle w:val="optioncarChar"/>
        </w:rPr>
        <w:t>non requis</w:t>
      </w:r>
      <w:r>
        <w:t xml:space="preserve"> (par défaut) </w:t>
      </w:r>
      <w:r>
        <w:rPr>
          <w:rStyle w:val="optioncarChar"/>
        </w:rPr>
        <w:t>/ un fond de joint et un mastic de classe conforme aux [STS 56.1] de couleur *** / un profilé (préformé) d'étanchéité alvéolaire en EPDM ou équivalent de couleur *** / ***</w:t>
      </w:r>
    </w:p>
    <w:p w14:paraId="53EC5358" w14:textId="77777777" w:rsidR="00772179" w:rsidRDefault="00000000">
      <w:pPr>
        <w:jc w:val="both"/>
      </w:pPr>
      <w:r>
        <w:lastRenderedPageBreak/>
        <w:t xml:space="preserve">Les angles des profilés sont réalisés par </w:t>
      </w:r>
      <w:r>
        <w:rPr>
          <w:rStyle w:val="optioncarChar"/>
        </w:rPr>
        <w:t>onglet 45° / profilé horizontaux passant / profilés verticaux passant (par défaut) / ***</w:t>
      </w:r>
      <w:r>
        <w:t>.</w:t>
      </w:r>
    </w:p>
    <w:p w14:paraId="2C46287E" w14:textId="77777777" w:rsidR="00772179" w:rsidRDefault="00000000">
      <w:pPr>
        <w:jc w:val="both"/>
      </w:pPr>
      <w:r>
        <w:t xml:space="preserve">Les profilés sont fixés sur leur support par </w:t>
      </w:r>
      <w:r>
        <w:rPr>
          <w:rStyle w:val="optioncarChar"/>
        </w:rPr>
        <w:t>clippage / collage</w:t>
      </w:r>
      <w:r>
        <w:rPr>
          <w:rStyle w:val="normalChar"/>
        </w:rPr>
        <w:t xml:space="preserve"> (par défaut)</w:t>
      </w:r>
      <w:r>
        <w:rPr>
          <w:rStyle w:val="optioncarChar"/>
        </w:rPr>
        <w:t xml:space="preserve"> / fixation mécanique de type rivet / par fixation mécanique de type vis / ***</w:t>
      </w:r>
    </w:p>
    <w:p w14:paraId="1A8C353B" w14:textId="77777777" w:rsidR="00772179" w:rsidRDefault="00000000">
      <w:pPr>
        <w:jc w:val="both"/>
      </w:pPr>
      <w:r>
        <w:t>Les vis apparentes, s'il y a lieu, sont placées avec un espacement régulier.</w:t>
      </w:r>
    </w:p>
    <w:p w14:paraId="0FE2C88A" w14:textId="77777777" w:rsidR="00772179" w:rsidRDefault="00000000">
      <w:pPr>
        <w:jc w:val="both"/>
      </w:pPr>
      <w:r>
        <w:t>Tous les assemblages sont réalisés à l'aide d'accessoires standards provenant du même fabricant que les profils et totalement adaptés aux assemblages.</w:t>
      </w:r>
    </w:p>
    <w:p w14:paraId="0A342124" w14:textId="77777777" w:rsidR="00772179" w:rsidRDefault="00000000">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adapté.</w:t>
      </w:r>
    </w:p>
    <w:p w14:paraId="0CE80EBD" w14:textId="77777777" w:rsidR="00772179" w:rsidRDefault="00000000">
      <w:pPr>
        <w:pStyle w:val="pheading"/>
      </w:pPr>
      <w:r>
        <w:t>DOCUMENTS DE RÉFÉRENCE COMPLÉMENTAIRES</w:t>
      </w:r>
    </w:p>
    <w:p w14:paraId="3D8A2607" w14:textId="77777777" w:rsidR="00772179" w:rsidRDefault="00000000">
      <w:pPr>
        <w:pStyle w:val="pheading"/>
      </w:pPr>
      <w:r>
        <w:t>- Matériau</w:t>
      </w:r>
    </w:p>
    <w:p w14:paraId="77E1AB50" w14:textId="77777777" w:rsidR="00772179" w:rsidRDefault="00000000">
      <w:r>
        <w:t>[NBN EN 573-3:2019+A2, Aluminium et alliages d'aluminium - Composition chimique et forme des produits corroyés - Partie 3: Composition chimique et forme des produits]</w:t>
      </w:r>
    </w:p>
    <w:p w14:paraId="277614EC" w14:textId="77777777" w:rsidR="00772179" w:rsidRDefault="00000000">
      <w:r>
        <w:t>[NBN EN 515, Aluminium et alliages d'aluminium - Produits corroyés - Désignation des états métallurgiques]</w:t>
      </w:r>
    </w:p>
    <w:p w14:paraId="780D7B1F" w14:textId="77777777" w:rsidR="00772179" w:rsidRDefault="00000000">
      <w:r>
        <w:t>[NBN EN 12020-2, Aluminium et alliages d'aluminium - Profilés de précision filés en alliages EN AW-6060 et EN AW-6063 - Partie 2 : Tolérances sur dimensions et forme]</w:t>
      </w:r>
    </w:p>
    <w:p w14:paraId="383948DA" w14:textId="77777777" w:rsidR="00772179" w:rsidRDefault="00000000">
      <w:r>
        <w:t>[NBN EN 12206-1, Peintures et vernis - Revêtement de l'aluminium et de ses alliages pour des applications architecturales - Partie 1: Revêtements à partir de peinture en poudre thermodurcissable]</w:t>
      </w:r>
    </w:p>
    <w:p w14:paraId="08AC9EF4" w14:textId="77777777" w:rsidR="00772179" w:rsidRDefault="00000000">
      <w:r>
        <w:t>[STS 36, Menuiseries métalliques : fenêtres, façades légères et huisseries]</w:t>
      </w:r>
    </w:p>
    <w:p w14:paraId="615A9C41" w14:textId="77777777" w:rsidR="00772179" w:rsidRDefault="00000000">
      <w:pPr>
        <w:pStyle w:val="pheading"/>
      </w:pPr>
      <w:r>
        <w:t>MESURAGE</w:t>
      </w:r>
    </w:p>
    <w:p w14:paraId="6C294A7E" w14:textId="77777777" w:rsidR="00772179" w:rsidRDefault="00000000">
      <w:pPr>
        <w:pStyle w:val="pheading"/>
      </w:pPr>
      <w:r>
        <w:t>- unité de mesure:</w:t>
      </w:r>
    </w:p>
    <w:p w14:paraId="071BBEA9" w14:textId="77777777" w:rsidR="00772179" w:rsidRDefault="00000000">
      <w:r>
        <w:rPr>
          <w:rStyle w:val="optioncarChar"/>
        </w:rPr>
        <w:t>fft</w:t>
      </w:r>
      <w:r>
        <w:t xml:space="preserve"> (par défaut) </w:t>
      </w:r>
      <w:r>
        <w:rPr>
          <w:rStyle w:val="optioncarChar"/>
        </w:rPr>
        <w:t>/ pc / m</w:t>
      </w:r>
    </w:p>
    <w:p w14:paraId="4E6E08AC" w14:textId="77777777" w:rsidR="00772179" w:rsidRDefault="00000000">
      <w:r>
        <w:rPr>
          <w:b/>
          <w:i/>
        </w:rPr>
        <w:t>(soit par défaut)</w:t>
      </w:r>
    </w:p>
    <w:p w14:paraId="6E4F9FEC" w14:textId="77777777" w:rsidR="00772179" w:rsidRDefault="00000000">
      <w:r>
        <w:rPr>
          <w:rStyle w:val="soitChar"/>
        </w:rPr>
        <w:t>1. fft</w:t>
      </w:r>
    </w:p>
    <w:p w14:paraId="7FB72115" w14:textId="77777777" w:rsidR="00772179" w:rsidRDefault="00000000">
      <w:r>
        <w:rPr>
          <w:b/>
          <w:i/>
        </w:rPr>
        <w:t>(soit)</w:t>
      </w:r>
    </w:p>
    <w:p w14:paraId="2F7D28AD" w14:textId="77777777" w:rsidR="00772179" w:rsidRDefault="00000000">
      <w:r>
        <w:rPr>
          <w:rStyle w:val="soitChar"/>
        </w:rPr>
        <w:t>2. pc</w:t>
      </w:r>
    </w:p>
    <w:p w14:paraId="6F8E4D09" w14:textId="77777777" w:rsidR="00772179" w:rsidRDefault="00000000">
      <w:r>
        <w:rPr>
          <w:b/>
          <w:i/>
        </w:rPr>
        <w:t>(soit)</w:t>
      </w:r>
    </w:p>
    <w:p w14:paraId="412E4A74" w14:textId="77777777" w:rsidR="00772179" w:rsidRDefault="00000000">
      <w:r>
        <w:rPr>
          <w:rStyle w:val="soitChar"/>
        </w:rPr>
        <w:t>3. m</w:t>
      </w:r>
    </w:p>
    <w:p w14:paraId="27EB2B78" w14:textId="77777777" w:rsidR="00772179" w:rsidRDefault="00000000">
      <w:pPr>
        <w:pStyle w:val="pheading"/>
      </w:pPr>
      <w:r>
        <w:t>- code de mesurage:</w:t>
      </w:r>
    </w:p>
    <w:p w14:paraId="03EF6095" w14:textId="77777777" w:rsidR="00772179" w:rsidRDefault="00000000">
      <w:r>
        <w:rPr>
          <w:rStyle w:val="optioncarChar"/>
        </w:rPr>
        <w:t>Pour l’ensemble</w:t>
      </w:r>
      <w:r>
        <w:t xml:space="preserve"> (par défaut) </w:t>
      </w:r>
      <w:r>
        <w:rPr>
          <w:rStyle w:val="optioncarChar"/>
        </w:rPr>
        <w:t>/ par élément à resserrer / longueur nette</w:t>
      </w:r>
    </w:p>
    <w:p w14:paraId="1158DA45" w14:textId="77777777" w:rsidR="00772179" w:rsidRDefault="00000000">
      <w:r>
        <w:rPr>
          <w:b/>
          <w:i/>
        </w:rPr>
        <w:t>(soit par défaut)</w:t>
      </w:r>
    </w:p>
    <w:p w14:paraId="18BA4E01" w14:textId="77777777" w:rsidR="00772179" w:rsidRDefault="00000000">
      <w:r>
        <w:rPr>
          <w:rStyle w:val="soitChar"/>
        </w:rPr>
        <w:t xml:space="preserve">1.     </w:t>
      </w:r>
      <w:r>
        <w:rPr>
          <w:rStyle w:val="soitChar"/>
          <w:u w:val="single"/>
        </w:rPr>
        <w:t>Pour l’ensemble</w:t>
      </w:r>
      <w:r>
        <w:rPr>
          <w:rStyle w:val="soitChar"/>
        </w:rPr>
        <w:t>, toutes sujétions comprises.</w:t>
      </w:r>
    </w:p>
    <w:p w14:paraId="3E4F3409" w14:textId="77777777" w:rsidR="00772179" w:rsidRDefault="00000000">
      <w:r>
        <w:rPr>
          <w:b/>
          <w:i/>
        </w:rPr>
        <w:t>(soit)</w:t>
      </w:r>
    </w:p>
    <w:p w14:paraId="7F8C1588" w14:textId="77777777" w:rsidR="00772179" w:rsidRDefault="00000000">
      <w:r>
        <w:rPr>
          <w:rStyle w:val="soitChar"/>
        </w:rPr>
        <w:t xml:space="preserve">2.     </w:t>
      </w:r>
      <w:r>
        <w:rPr>
          <w:rStyle w:val="soitChar"/>
          <w:u w:val="single"/>
        </w:rPr>
        <w:t>Par élément à resserrer</w:t>
      </w:r>
      <w:r>
        <w:rPr>
          <w:rStyle w:val="soitChar"/>
        </w:rPr>
        <w:t xml:space="preserve"> (baie), ventilé selon les spécifications de chaque type</w:t>
      </w:r>
    </w:p>
    <w:p w14:paraId="3C23018F" w14:textId="77777777" w:rsidR="00772179" w:rsidRDefault="00000000">
      <w:r>
        <w:rPr>
          <w:b/>
          <w:i/>
        </w:rPr>
        <w:t>(soit)</w:t>
      </w:r>
    </w:p>
    <w:p w14:paraId="25FFAE3B" w14:textId="77777777" w:rsidR="00772179" w:rsidRDefault="00000000">
      <w:r>
        <w:rPr>
          <w:rStyle w:val="soitChar"/>
        </w:rPr>
        <w:t xml:space="preserve">3.     </w:t>
      </w:r>
      <w:r>
        <w:rPr>
          <w:rStyle w:val="soitChar"/>
          <w:u w:val="single"/>
        </w:rPr>
        <w:t>Longueur nette</w:t>
      </w:r>
      <w:r>
        <w:rPr>
          <w:rStyle w:val="soitChar"/>
        </w:rPr>
        <w:t xml:space="preserve"> de profilées de resserrage à mettre en œuvre, toutes sujétions comprises.</w:t>
      </w:r>
    </w:p>
    <w:p w14:paraId="5CCBDAC2" w14:textId="77777777" w:rsidR="00772179" w:rsidRDefault="00000000">
      <w:pPr>
        <w:pStyle w:val="pheading"/>
      </w:pPr>
      <w:r>
        <w:t>- nature du marché:</w:t>
      </w:r>
    </w:p>
    <w:p w14:paraId="13942FB4" w14:textId="77777777" w:rsidR="00772179" w:rsidRDefault="00000000">
      <w:r>
        <w:rPr>
          <w:rStyle w:val="optioncarChar"/>
        </w:rPr>
        <w:t>PG</w:t>
      </w:r>
      <w:r>
        <w:t xml:space="preserve"> (par défaut) </w:t>
      </w:r>
      <w:r>
        <w:rPr>
          <w:rStyle w:val="optioncarChar"/>
        </w:rPr>
        <w:t>/ QF</w:t>
      </w:r>
    </w:p>
    <w:p w14:paraId="36F6BD18" w14:textId="77777777" w:rsidR="00772179" w:rsidRDefault="00000000">
      <w:r>
        <w:rPr>
          <w:b/>
          <w:i/>
        </w:rPr>
        <w:t>(soit par défaut)</w:t>
      </w:r>
    </w:p>
    <w:p w14:paraId="32C11E1B" w14:textId="77777777" w:rsidR="00772179" w:rsidRDefault="00000000">
      <w:r>
        <w:rPr>
          <w:rStyle w:val="soitChar"/>
        </w:rPr>
        <w:t>1. PG</w:t>
      </w:r>
    </w:p>
    <w:p w14:paraId="35ACCA3A" w14:textId="77777777" w:rsidR="00772179" w:rsidRDefault="00000000">
      <w:r>
        <w:rPr>
          <w:b/>
          <w:i/>
        </w:rPr>
        <w:lastRenderedPageBreak/>
        <w:t>(soit)</w:t>
      </w:r>
    </w:p>
    <w:p w14:paraId="40D6D36F" w14:textId="77777777" w:rsidR="00772179" w:rsidRDefault="00000000">
      <w:r>
        <w:rPr>
          <w:rStyle w:val="soitChar"/>
        </w:rPr>
        <w:t>2. et 3.  QF</w:t>
      </w:r>
    </w:p>
    <w:p w14:paraId="0C7A244A" w14:textId="77777777" w:rsidR="00772179" w:rsidRDefault="00000000">
      <w:pPr>
        <w:pStyle w:val="pheading"/>
      </w:pPr>
      <w:r>
        <w:t>AIDE</w:t>
      </w:r>
    </w:p>
    <w:p w14:paraId="44CEF1FD" w14:textId="77777777" w:rsidR="00772179" w:rsidRDefault="00000000">
      <w:pPr>
        <w:jc w:val="both"/>
      </w:pPr>
      <w:r>
        <w:t>Pour les profilés en aluminium : Les alliages les plus courants dans la construction et l’architecture sont ceux de type Al-Mg, Al-Mg- Mn et Al-Mg-Si. La composition chimique et la désignation des états métallurgiques sont définies dans les normes [NBN EN 573-3:2019+A2] et [NBN EN 515]. Les alliages AW 6060 et AW 6033 sont conseillés pour les applications dans le bâtiment. Les tolérances dimensionnelles et de forme des profilés en aluminium extrudés satisfont à la norme [NBN EN 12020-2]. D’autres tolérances sont livrées après concertation et accord de l’extrudeur.</w:t>
      </w:r>
    </w:p>
    <w:p w14:paraId="52265F36" w14:textId="77777777" w:rsidR="00772179" w:rsidRDefault="00000000">
      <w:pPr>
        <w:pStyle w:val="Author-eSectionHeading6Numberless"/>
      </w:pPr>
      <w:bookmarkStart w:id="372" w:name="_Toc220490095"/>
      <w:r>
        <w:t>41.74.2c Profilés de resserrage en synthétique CCTB 01.11</w:t>
      </w:r>
      <w:bookmarkEnd w:id="372"/>
    </w:p>
    <w:p w14:paraId="251F6E77" w14:textId="77777777" w:rsidR="00772179" w:rsidRDefault="00000000">
      <w:pPr>
        <w:pStyle w:val="pheading"/>
      </w:pPr>
      <w:r>
        <w:t>DESCRIPTION</w:t>
      </w:r>
    </w:p>
    <w:p w14:paraId="41DD8886" w14:textId="77777777" w:rsidR="00772179" w:rsidRDefault="00000000">
      <w:pPr>
        <w:pStyle w:val="pheading"/>
      </w:pPr>
      <w:r>
        <w:t>- Définition / Comprend</w:t>
      </w:r>
    </w:p>
    <w:p w14:paraId="6ACB467B" w14:textId="77777777" w:rsidR="00772179" w:rsidRDefault="00000000">
      <w:r>
        <w:t>Cet article décrit la fourniture et la pose des profilés de raccord en matière synthétique (PVC, PE, PA,...).</w:t>
      </w:r>
    </w:p>
    <w:p w14:paraId="135BD9AB" w14:textId="77777777" w:rsidR="00772179" w:rsidRDefault="00000000">
      <w:pPr>
        <w:pStyle w:val="pheading"/>
      </w:pPr>
      <w:r>
        <w:t>- Localisation</w:t>
      </w:r>
    </w:p>
    <w:p w14:paraId="45BA27B3" w14:textId="77777777" w:rsidR="00772179" w:rsidRDefault="00000000">
      <w:r>
        <w:t xml:space="preserve">La localisation est la suivante : </w:t>
      </w:r>
      <w:r>
        <w:rPr>
          <w:rStyle w:val="optioncarChar"/>
        </w:rPr>
        <w:t>***</w:t>
      </w:r>
      <w:r>
        <w:t>.</w:t>
      </w:r>
    </w:p>
    <w:p w14:paraId="1191C8CF" w14:textId="77777777" w:rsidR="00772179" w:rsidRDefault="00000000">
      <w:r>
        <w:t>Voir plans et métrés détaillés.</w:t>
      </w:r>
    </w:p>
    <w:p w14:paraId="20D16B51" w14:textId="77777777" w:rsidR="00772179" w:rsidRDefault="00000000">
      <w:pPr>
        <w:pStyle w:val="pheading"/>
      </w:pPr>
      <w:r>
        <w:t>MATÉRIAUX</w:t>
      </w:r>
    </w:p>
    <w:p w14:paraId="1D0ECC28" w14:textId="77777777" w:rsidR="00772179" w:rsidRDefault="00000000">
      <w:pPr>
        <w:pStyle w:val="pheading"/>
      </w:pPr>
      <w:r>
        <w:t>- Caractéristiques générales</w:t>
      </w:r>
    </w:p>
    <w:p w14:paraId="5BBAEA2E" w14:textId="77777777" w:rsidR="00772179" w:rsidRDefault="00000000">
      <w:r>
        <w:t xml:space="preserve">Les profilés de raccords sont en matière synthétique de type </w:t>
      </w:r>
      <w:r>
        <w:rPr>
          <w:rStyle w:val="optioncarChar"/>
        </w:rPr>
        <w:t>idem menuiserie</w:t>
      </w:r>
      <w:r>
        <w:t xml:space="preserve"> (par défaut) </w:t>
      </w:r>
      <w:r>
        <w:rPr>
          <w:rStyle w:val="optioncarChar"/>
        </w:rPr>
        <w:t>/ PVC / PA / Fibre de verre / ***</w:t>
      </w:r>
      <w:r>
        <w:t>.</w:t>
      </w:r>
    </w:p>
    <w:p w14:paraId="2CB6C3C6" w14:textId="77777777" w:rsidR="00772179" w:rsidRDefault="00000000">
      <w:r>
        <w:t>Les profilés de rapport posés horizontalement présentent une légère inclinaison sur +/- </w:t>
      </w:r>
      <w:r>
        <w:rPr>
          <w:rStyle w:val="optioncarChar"/>
        </w:rPr>
        <w:t>15° / ***</w:t>
      </w:r>
      <w:r>
        <w:t>.</w:t>
      </w:r>
      <w:r>
        <w:br/>
        <w:t>Les profilés en PVC de teinte blanche sont conformes à la [NBN EN 12608-1:2016+A1]. Les profilés colorés dans la masse sont conformes aux prescriptions et descriptions des profilés des châssis de fenêtre définis dans la [STS 52.3]. Le PVC résistera à la classe de climat M de cette [NBN EN 12608-1:2016+A1].</w:t>
      </w:r>
    </w:p>
    <w:p w14:paraId="7A814D55" w14:textId="77777777" w:rsidR="00772179" w:rsidRDefault="00000000">
      <w:r>
        <w:t>Profils</w:t>
      </w:r>
    </w:p>
    <w:p w14:paraId="4D809DE1" w14:textId="77777777" w:rsidR="00772179" w:rsidRDefault="00000000">
      <w:r>
        <w:br/>
        <w:t>Les vis apparentes, s'il y a lieu, sont placées avec un espacement régulier.</w:t>
      </w:r>
    </w:p>
    <w:p w14:paraId="5A359F12" w14:textId="77777777" w:rsidR="00772179" w:rsidRDefault="00000000">
      <w:r>
        <w:t xml:space="preserve">Les profilés de resserrage sont de section : </w:t>
      </w:r>
      <w:r>
        <w:rPr>
          <w:rStyle w:val="optioncarChar"/>
        </w:rPr>
        <w:t>tubulaire/rectangulaire</w:t>
      </w:r>
      <w:r>
        <w:t xml:space="preserve"> (par défaut) </w:t>
      </w:r>
      <w:r>
        <w:rPr>
          <w:rStyle w:val="optioncarChar"/>
        </w:rPr>
        <w:t>/ ***</w:t>
      </w:r>
      <w:r>
        <w:t>.</w:t>
      </w:r>
    </w:p>
    <w:p w14:paraId="562469AD" w14:textId="77777777" w:rsidR="00772179" w:rsidRDefault="00000000">
      <w:r>
        <w:t>Dimensions nominales des éléments achevés, exprimées en mm (sans décimales).</w:t>
      </w:r>
    </w:p>
    <w:p w14:paraId="4DF70084" w14:textId="77777777" w:rsidR="00772179" w:rsidRDefault="00000000">
      <w:pPr>
        <w:pStyle w:val="Author-eListParagraph"/>
        <w:numPr>
          <w:ilvl w:val="0"/>
          <w:numId w:val="738"/>
        </w:numPr>
      </w:pPr>
      <w:r>
        <w:t xml:space="preserve">Parois de : </w:t>
      </w:r>
      <w:r>
        <w:rPr>
          <w:rStyle w:val="optioncarChar"/>
        </w:rPr>
        <w:t xml:space="preserve">2,8 </w:t>
      </w:r>
      <w:r>
        <w:rPr>
          <w:rStyle w:val="normalChar"/>
        </w:rPr>
        <w:t>mm</w:t>
      </w:r>
      <w:r>
        <w:t xml:space="preserve"> (par défaut) /</w:t>
      </w:r>
      <w:r>
        <w:rPr>
          <w:rStyle w:val="optioncarChar"/>
        </w:rPr>
        <w:t xml:space="preserve"> ***</w:t>
      </w:r>
      <w:r>
        <w:t>.</w:t>
      </w:r>
    </w:p>
    <w:p w14:paraId="17DBACA9" w14:textId="77777777" w:rsidR="00772179" w:rsidRDefault="00000000">
      <w:pPr>
        <w:pStyle w:val="Author-eListParagraph"/>
        <w:numPr>
          <w:ilvl w:val="0"/>
          <w:numId w:val="738"/>
        </w:numPr>
      </w:pPr>
      <w:r>
        <w:t xml:space="preserve">Largeur vue du profil : </w:t>
      </w:r>
      <w:r>
        <w:rPr>
          <w:rStyle w:val="optioncarChar"/>
        </w:rPr>
        <w:t xml:space="preserve">*** </w:t>
      </w:r>
      <w:r>
        <w:rPr>
          <w:rStyle w:val="normalChar"/>
        </w:rPr>
        <w:t>mm</w:t>
      </w:r>
      <w:r>
        <w:rPr>
          <w:rStyle w:val="optioncarChar"/>
        </w:rPr>
        <w:t xml:space="preserve"> / en fonction des dimensions du resserrage à effectuer</w:t>
      </w:r>
      <w:r>
        <w:t xml:space="preserve"> (par défaut).</w:t>
      </w:r>
    </w:p>
    <w:p w14:paraId="617B87AA" w14:textId="77777777" w:rsidR="00772179" w:rsidRDefault="00000000">
      <w:pPr>
        <w:pStyle w:val="Author-eListParagraph"/>
        <w:numPr>
          <w:ilvl w:val="0"/>
          <w:numId w:val="738"/>
        </w:numPr>
      </w:pPr>
      <w:r>
        <w:t xml:space="preserve">Epaisseur du profil : </w:t>
      </w:r>
      <w:r>
        <w:rPr>
          <w:rStyle w:val="optioncarChar"/>
        </w:rPr>
        <w:t xml:space="preserve">*** </w:t>
      </w:r>
      <w:r>
        <w:rPr>
          <w:rStyle w:val="normalChar"/>
        </w:rPr>
        <w:t>mm</w:t>
      </w:r>
      <w:r>
        <w:rPr>
          <w:rStyle w:val="optioncarChar"/>
        </w:rPr>
        <w:t xml:space="preserve"> / en fonction des dimensions du resserrage à effectuer</w:t>
      </w:r>
      <w:r>
        <w:t xml:space="preserve"> (par défaut).</w:t>
      </w:r>
    </w:p>
    <w:p w14:paraId="5B106E68" w14:textId="77777777" w:rsidR="00772179" w:rsidRDefault="00000000">
      <w:pPr>
        <w:pStyle w:val="pheading"/>
      </w:pPr>
      <w:r>
        <w:t>- Finitions</w:t>
      </w:r>
    </w:p>
    <w:p w14:paraId="206869F8" w14:textId="77777777" w:rsidR="00772179" w:rsidRDefault="00000000">
      <w:pPr>
        <w:jc w:val="both"/>
      </w:pPr>
      <w:r>
        <w:t xml:space="preserve">La finition des profilés synthétiques est </w:t>
      </w:r>
      <w:r>
        <w:rPr>
          <w:rStyle w:val="optioncarChar"/>
        </w:rPr>
        <w:t>blanche</w:t>
      </w:r>
      <w:r>
        <w:t xml:space="preserve"> (par défaut) </w:t>
      </w:r>
      <w:r>
        <w:rPr>
          <w:rStyle w:val="optioncarChar"/>
        </w:rPr>
        <w:t>/ coloration dans la masse / laquage / Collage de feuille / Co-extrusion / ***</w:t>
      </w:r>
      <w:r>
        <w:t>.</w:t>
      </w:r>
    </w:p>
    <w:p w14:paraId="60B60EEE" w14:textId="77777777" w:rsidR="00772179" w:rsidRDefault="00000000">
      <w:pPr>
        <w:jc w:val="both"/>
      </w:pPr>
      <w:r>
        <w:rPr>
          <w:b/>
          <w:i/>
        </w:rPr>
        <w:t>(soit par défaut):</w:t>
      </w:r>
      <w:r>
        <w:rPr>
          <w:rStyle w:val="soitChar"/>
        </w:rPr>
        <w:t xml:space="preserve"> Profilé Blanc</w:t>
      </w:r>
    </w:p>
    <w:p w14:paraId="4367B75F" w14:textId="77777777" w:rsidR="00772179" w:rsidRDefault="00000000">
      <w:pPr>
        <w:jc w:val="both"/>
      </w:pPr>
      <w:r>
        <w:rPr>
          <w:b/>
          <w:i/>
        </w:rPr>
        <w:t>(soit) :</w:t>
      </w:r>
      <w:r>
        <w:rPr>
          <w:i/>
        </w:rPr>
        <w:t>  </w:t>
      </w:r>
      <w:r>
        <w:rPr>
          <w:rStyle w:val="soitChar"/>
        </w:rPr>
        <w:t xml:space="preserve">La </w:t>
      </w:r>
      <w:r>
        <w:rPr>
          <w:rStyle w:val="soitChar"/>
          <w:u w:val="single"/>
        </w:rPr>
        <w:t>coloration dans la masse</w:t>
      </w:r>
      <w:r>
        <w:rPr>
          <w:rStyle w:val="soitChar"/>
        </w:rPr>
        <w:t xml:space="preserve"> (CPm) Ce procédé consiste à extruder les profilés avec une composition vinylique pigmentée ou autre dans la masse : Couleur RAL : </w:t>
      </w:r>
      <w:r>
        <w:rPr>
          <w:rStyle w:val="optioncarChar"/>
        </w:rPr>
        <w:t>***</w:t>
      </w:r>
    </w:p>
    <w:p w14:paraId="7CF29B76" w14:textId="77777777" w:rsidR="00772179" w:rsidRDefault="00000000">
      <w:pPr>
        <w:jc w:val="both"/>
      </w:pPr>
      <w:r>
        <w:rPr>
          <w:b/>
          <w:i/>
        </w:rPr>
        <w:t>(soit) :</w:t>
      </w:r>
      <w:r>
        <w:rPr>
          <w:i/>
        </w:rPr>
        <w:t>  </w:t>
      </w:r>
      <w:r>
        <w:rPr>
          <w:rStyle w:val="soitChar"/>
        </w:rPr>
        <w:t xml:space="preserve">Le </w:t>
      </w:r>
      <w:r>
        <w:rPr>
          <w:rStyle w:val="soitChar"/>
          <w:u w:val="single"/>
        </w:rPr>
        <w:t>laquage</w:t>
      </w:r>
      <w:r>
        <w:rPr>
          <w:rStyle w:val="soitChar"/>
        </w:rPr>
        <w:t xml:space="preserve"> (CPp) : Une ou plusieurs couches de laque sont appliquées sur le profilé. Couleur intérieure RAL :</w:t>
      </w:r>
      <w:r>
        <w:rPr>
          <w:rStyle w:val="optioncarChar"/>
        </w:rPr>
        <w:t xml:space="preserve"> ***</w:t>
      </w:r>
      <w:r>
        <w:rPr>
          <w:rStyle w:val="soitChar"/>
        </w:rPr>
        <w:t xml:space="preserve">. Couleur extérieure RAL : </w:t>
      </w:r>
      <w:r>
        <w:rPr>
          <w:rStyle w:val="optioncarChar"/>
        </w:rPr>
        <w:t>***</w:t>
      </w:r>
      <w:r>
        <w:rPr>
          <w:rStyle w:val="soitChar"/>
        </w:rPr>
        <w:t>.</w:t>
      </w:r>
    </w:p>
    <w:p w14:paraId="024309EA" w14:textId="77777777" w:rsidR="00772179" w:rsidRDefault="00000000">
      <w:pPr>
        <w:jc w:val="both"/>
      </w:pPr>
      <w:r>
        <w:rPr>
          <w:b/>
          <w:i/>
        </w:rPr>
        <w:lastRenderedPageBreak/>
        <w:t>(soit) :</w:t>
      </w:r>
      <w:r>
        <w:rPr>
          <w:i/>
        </w:rPr>
        <w:t>  </w:t>
      </w:r>
      <w:r>
        <w:rPr>
          <w:rStyle w:val="soitChar"/>
        </w:rPr>
        <w:t xml:space="preserve">Le </w:t>
      </w:r>
      <w:r>
        <w:rPr>
          <w:rStyle w:val="soitChar"/>
          <w:u w:val="single"/>
        </w:rPr>
        <w:t>collage de feuille</w:t>
      </w:r>
      <w:r>
        <w:rPr>
          <w:rStyle w:val="soitChar"/>
        </w:rPr>
        <w:t xml:space="preserve"> (CPf) Ce procédé consiste à appliquer un film protecteur et décoratif par collage sur le profilé. Teinte ou texture intérieure : </w:t>
      </w:r>
      <w:r>
        <w:rPr>
          <w:rStyle w:val="optioncarChar"/>
        </w:rPr>
        <w:t>***</w:t>
      </w:r>
      <w:r>
        <w:rPr>
          <w:rStyle w:val="soitChar"/>
        </w:rPr>
        <w:t xml:space="preserve">. Teinte ou texture extérieure: </w:t>
      </w:r>
      <w:r>
        <w:rPr>
          <w:rStyle w:val="optioncarChar"/>
        </w:rPr>
        <w:t>***</w:t>
      </w:r>
    </w:p>
    <w:p w14:paraId="60DFF5DA" w14:textId="77777777" w:rsidR="00772179" w:rsidRDefault="00000000">
      <w:pPr>
        <w:jc w:val="both"/>
      </w:pPr>
      <w:r>
        <w:rPr>
          <w:b/>
          <w:i/>
        </w:rPr>
        <w:t>(soit) :</w:t>
      </w:r>
      <w:r>
        <w:rPr>
          <w:i/>
        </w:rPr>
        <w:t>  </w:t>
      </w:r>
      <w:r>
        <w:rPr>
          <w:rStyle w:val="soitChar"/>
        </w:rPr>
        <w:t xml:space="preserve">La </w:t>
      </w:r>
      <w:r>
        <w:rPr>
          <w:rStyle w:val="soitChar"/>
          <w:u w:val="single"/>
        </w:rPr>
        <w:t>co-extrusion</w:t>
      </w:r>
      <w:r>
        <w:rPr>
          <w:rStyle w:val="soitChar"/>
        </w:rPr>
        <w:t xml:space="preserve"> (CPc) 2 matériaux thermoplastiques durables sont préparés séparément et passent dans une filière d’extrusion. Teinte ou texture intérieure : </w:t>
      </w:r>
      <w:r>
        <w:rPr>
          <w:rStyle w:val="optioncarChar"/>
        </w:rPr>
        <w:t>***</w:t>
      </w:r>
      <w:r>
        <w:rPr>
          <w:rStyle w:val="soitChar"/>
        </w:rPr>
        <w:t xml:space="preserve">. Teinte ou texture extérieure: </w:t>
      </w:r>
      <w:r>
        <w:rPr>
          <w:rStyle w:val="optioncarChar"/>
        </w:rPr>
        <w:t>***</w:t>
      </w:r>
    </w:p>
    <w:p w14:paraId="0AE78D9C" w14:textId="77777777" w:rsidR="00772179" w:rsidRDefault="00000000">
      <w:pPr>
        <w:jc w:val="both"/>
      </w:pPr>
      <w:r>
        <w:t>Les exigences de finitions sont décrites dans les [STS 52.3].</w:t>
      </w:r>
    </w:p>
    <w:p w14:paraId="703042E1" w14:textId="77777777" w:rsidR="00772179" w:rsidRDefault="00000000">
      <w:pPr>
        <w:jc w:val="both"/>
      </w:pPr>
      <w:r>
        <w:t>Pour l'usinage, le traitement et la mise en place des profils préformés, les prescriptions du fournisseur du système sont également prisent en compte.</w:t>
      </w:r>
    </w:p>
    <w:p w14:paraId="0682AE33" w14:textId="77777777" w:rsidR="00772179" w:rsidRDefault="00000000">
      <w:pPr>
        <w:jc w:val="both"/>
      </w:pPr>
      <w:r>
        <w:t>Tous les assemblages sont réalisés à l'aide d'accessoires standards provenant du même fabricant que les profils et totalement adaptés aux assemblages.</w:t>
      </w:r>
    </w:p>
    <w:p w14:paraId="5E6182C3" w14:textId="77777777" w:rsidR="00772179" w:rsidRDefault="00000000">
      <w:pPr>
        <w:jc w:val="both"/>
      </w:pPr>
      <w:r>
        <w:t>Les profils sont coupés et ébarbés. Les assemblages sont fraisés et ajustés de manière à respecter la forme des profils transversaux.</w:t>
      </w:r>
    </w:p>
    <w:p w14:paraId="5DE2616F" w14:textId="77777777" w:rsidR="00772179" w:rsidRDefault="00000000">
      <w:pPr>
        <w:jc w:val="both"/>
      </w:pPr>
      <w:r>
        <w:t>Lors d’une observation perpendiculaire à la surface concernée sous une lumière diffuse (ciel couvert à l’extérieur et sans éclairage artificiel à l’intérieur), aucun défaut (surface rude, gouttes d’écoulement, boursouflures, effet de peau d’orange, inclusions, cratères, taches mates, trous, griffes) de surface décrit ci-après ne doit être visibles à l’œil nu à une distance de 2 m.</w:t>
      </w:r>
    </w:p>
    <w:p w14:paraId="50C0BD0F" w14:textId="77777777" w:rsidR="00772179" w:rsidRDefault="00000000">
      <w:pPr>
        <w:jc w:val="both"/>
      </w:pPr>
      <w:r>
        <w:t>Les écarts de teinte pour les profilés blancs dans la masse sont conformes aux prescriptions des [STS 52.3]. </w:t>
      </w:r>
    </w:p>
    <w:p w14:paraId="0D21CB35" w14:textId="77777777" w:rsidR="00772179" w:rsidRDefault="00000000">
      <w:pPr>
        <w:jc w:val="both"/>
      </w:pPr>
      <w:r>
        <w:t>Les faces blanches vues totalement ou partiellement lorsque la fenêtre est fermée respectent les écarts de teintes suivants par rapport aux valeurs nominales :</w:t>
      </w:r>
    </w:p>
    <w:p w14:paraId="647D732A" w14:textId="77777777" w:rsidR="00772179" w:rsidRDefault="00000000">
      <w:pPr>
        <w:pStyle w:val="Author-eListParagraph"/>
        <w:numPr>
          <w:ilvl w:val="0"/>
          <w:numId w:val="739"/>
        </w:numPr>
      </w:pPr>
      <w:r>
        <w:t>ΔL* ≤ 1,0</w:t>
      </w:r>
    </w:p>
    <w:p w14:paraId="3BB7F3F7" w14:textId="77777777" w:rsidR="00772179" w:rsidRDefault="00000000">
      <w:pPr>
        <w:pStyle w:val="Author-eListParagraph"/>
        <w:numPr>
          <w:ilvl w:val="0"/>
          <w:numId w:val="739"/>
        </w:numPr>
      </w:pPr>
      <w:r>
        <w:t>Δa* ≤ 0,5</w:t>
      </w:r>
    </w:p>
    <w:p w14:paraId="1B171F2D" w14:textId="77777777" w:rsidR="00772179" w:rsidRDefault="00000000">
      <w:pPr>
        <w:pStyle w:val="Author-eListParagraph"/>
        <w:numPr>
          <w:ilvl w:val="0"/>
          <w:numId w:val="739"/>
        </w:numPr>
      </w:pPr>
      <w:r>
        <w:t>Δb* ≤ 0,8</w:t>
      </w:r>
    </w:p>
    <w:p w14:paraId="6113D005" w14:textId="77777777" w:rsidR="00772179" w:rsidRDefault="00000000">
      <w:pPr>
        <w:pStyle w:val="Author-eListParagraph"/>
        <w:numPr>
          <w:ilvl w:val="0"/>
          <w:numId w:val="739"/>
        </w:numPr>
      </w:pPr>
      <w:r>
        <w:t>ΔE* ≤ 1,0 </w:t>
      </w:r>
    </w:p>
    <w:p w14:paraId="50204561" w14:textId="77777777" w:rsidR="00772179" w:rsidRDefault="00000000">
      <w:pPr>
        <w:pStyle w:val="pheading"/>
      </w:pPr>
      <w:r>
        <w:t>EXÉCUTION / MISE EN ŒUVRE</w:t>
      </w:r>
    </w:p>
    <w:p w14:paraId="011273DB" w14:textId="77777777" w:rsidR="00772179" w:rsidRDefault="00000000">
      <w:pPr>
        <w:pStyle w:val="pheading"/>
      </w:pPr>
      <w:r>
        <w:t>- Prescriptions générales</w:t>
      </w:r>
    </w:p>
    <w:p w14:paraId="3BF35553" w14:textId="77777777" w:rsidR="00772179" w:rsidRDefault="00000000">
      <w:pPr>
        <w:jc w:val="both"/>
      </w:pPr>
      <w:r>
        <w:t xml:space="preserve">Pour la continuité de l’étanchéité à l’eau ou la perméabilité à l’air, le profilé de resserrage dispose de garniture d’étanchéité de type : </w:t>
      </w:r>
      <w:r>
        <w:rPr>
          <w:rStyle w:val="optioncarChar"/>
        </w:rPr>
        <w:t>non requis</w:t>
      </w:r>
      <w:r>
        <w:t xml:space="preserve"> (par défaut) </w:t>
      </w:r>
      <w:r>
        <w:rPr>
          <w:rStyle w:val="optioncarChar"/>
        </w:rPr>
        <w:t>/ un fond de joint et un mastic de classe conforme aux [STS 56.1] de couleur *** / un profilé (préformé) d'étanchéité alvéolaire en EPDM ou équivalent de couleur *** / ***.</w:t>
      </w:r>
    </w:p>
    <w:p w14:paraId="011D36E9" w14:textId="77777777" w:rsidR="00772179" w:rsidRDefault="00000000">
      <w:pPr>
        <w:jc w:val="both"/>
      </w:pPr>
      <w:r>
        <w:t xml:space="preserve">Les angles des profilés sont réalisés par </w:t>
      </w:r>
      <w:r>
        <w:rPr>
          <w:rStyle w:val="optioncarChar"/>
        </w:rPr>
        <w:t>onglet 45° / profilé horizontaux passant / profilés verticaux passant</w:t>
      </w:r>
      <w:r>
        <w:t xml:space="preserve"> (par défaut)</w:t>
      </w:r>
      <w:r>
        <w:rPr>
          <w:rStyle w:val="optioncarChar"/>
        </w:rPr>
        <w:t xml:space="preserve"> / ***</w:t>
      </w:r>
      <w:r>
        <w:t>.</w:t>
      </w:r>
    </w:p>
    <w:p w14:paraId="58D03AD8" w14:textId="77777777" w:rsidR="00772179" w:rsidRDefault="00000000">
      <w:pPr>
        <w:jc w:val="both"/>
      </w:pPr>
      <w:r>
        <w:t xml:space="preserve">Les profilés sont fixés sur leur support par </w:t>
      </w:r>
      <w:r>
        <w:rPr>
          <w:rStyle w:val="optioncarChar"/>
        </w:rPr>
        <w:t>clippage / collage</w:t>
      </w:r>
      <w:r>
        <w:t xml:space="preserve"> (par défaut) </w:t>
      </w:r>
      <w:r>
        <w:rPr>
          <w:rStyle w:val="optioncarChar"/>
        </w:rPr>
        <w:t>/ fixation mécanique de type rivet / par fixation mécanique de type vis / ***</w:t>
      </w:r>
      <w:r>
        <w:t>.</w:t>
      </w:r>
    </w:p>
    <w:p w14:paraId="476E6522" w14:textId="77777777" w:rsidR="00772179" w:rsidRDefault="00000000">
      <w:pPr>
        <w:pStyle w:val="pheading"/>
      </w:pPr>
      <w:r>
        <w:t>DOCUMENTS DE RÉFÉRENCE COMPLÉMENTAIRES</w:t>
      </w:r>
    </w:p>
    <w:p w14:paraId="712AA789" w14:textId="77777777" w:rsidR="00772179" w:rsidRDefault="00000000">
      <w:pPr>
        <w:pStyle w:val="pheading"/>
      </w:pPr>
      <w:r>
        <w:t>- Matériau</w:t>
      </w:r>
    </w:p>
    <w:p w14:paraId="0C6A18FA" w14:textId="77777777" w:rsidR="00772179" w:rsidRDefault="00000000">
      <w:r>
        <w:t>[STS 52.3, Menuiserie extérieure en PVC]</w:t>
      </w:r>
    </w:p>
    <w:p w14:paraId="5D4CD901" w14:textId="77777777" w:rsidR="00772179" w:rsidRDefault="00000000">
      <w:r>
        <w:t>[NBN EN 12608-1:2016+A1, Profilés de poly(chlorure de vinyle) non plastifié (PVC-U) pour la fabrication des fenêtres et des portes — Classification, exigences et méthodes d’essai - Partie 1: Profilés en PVC-U non revêtus avec des faces de teinte claire]</w:t>
      </w:r>
    </w:p>
    <w:p w14:paraId="682DDF51" w14:textId="77777777" w:rsidR="00772179" w:rsidRDefault="00772179"/>
    <w:p w14:paraId="42DD0C1B" w14:textId="77777777" w:rsidR="00772179" w:rsidRDefault="00000000">
      <w:pPr>
        <w:pStyle w:val="pheading"/>
      </w:pPr>
      <w:r>
        <w:t>MESURAGE</w:t>
      </w:r>
    </w:p>
    <w:p w14:paraId="35262DF1" w14:textId="77777777" w:rsidR="00772179" w:rsidRDefault="00000000">
      <w:pPr>
        <w:pStyle w:val="pheading"/>
      </w:pPr>
      <w:r>
        <w:t>- unité de mesure:</w:t>
      </w:r>
    </w:p>
    <w:p w14:paraId="14BD50FE" w14:textId="77777777" w:rsidR="00772179" w:rsidRDefault="00000000">
      <w:r>
        <w:rPr>
          <w:rStyle w:val="optioncarChar"/>
        </w:rPr>
        <w:t>fft</w:t>
      </w:r>
      <w:r>
        <w:t xml:space="preserve"> (par défaut) </w:t>
      </w:r>
      <w:r>
        <w:rPr>
          <w:rStyle w:val="optioncarChar"/>
        </w:rPr>
        <w:t>/ pc / m</w:t>
      </w:r>
    </w:p>
    <w:p w14:paraId="3DD8DCF7" w14:textId="77777777" w:rsidR="00772179" w:rsidRDefault="00000000">
      <w:r>
        <w:rPr>
          <w:b/>
          <w:i/>
        </w:rPr>
        <w:t>(soit par défaut)</w:t>
      </w:r>
    </w:p>
    <w:p w14:paraId="43A1CE84" w14:textId="77777777" w:rsidR="00772179" w:rsidRDefault="00000000">
      <w:r>
        <w:rPr>
          <w:rStyle w:val="soitChar"/>
        </w:rPr>
        <w:t>1. fft</w:t>
      </w:r>
    </w:p>
    <w:p w14:paraId="317C6F2D" w14:textId="77777777" w:rsidR="00772179" w:rsidRDefault="00000000">
      <w:r>
        <w:rPr>
          <w:b/>
          <w:i/>
        </w:rPr>
        <w:lastRenderedPageBreak/>
        <w:t>(soit)</w:t>
      </w:r>
    </w:p>
    <w:p w14:paraId="0DC1E74B" w14:textId="77777777" w:rsidR="00772179" w:rsidRDefault="00000000">
      <w:r>
        <w:rPr>
          <w:rStyle w:val="soitChar"/>
        </w:rPr>
        <w:t>2. pc</w:t>
      </w:r>
    </w:p>
    <w:p w14:paraId="62D2E8D5" w14:textId="77777777" w:rsidR="00772179" w:rsidRDefault="00000000">
      <w:r>
        <w:rPr>
          <w:b/>
          <w:i/>
        </w:rPr>
        <w:t>(soit)</w:t>
      </w:r>
    </w:p>
    <w:p w14:paraId="503B233F" w14:textId="77777777" w:rsidR="00772179" w:rsidRDefault="00000000">
      <w:r>
        <w:rPr>
          <w:rStyle w:val="soitChar"/>
        </w:rPr>
        <w:t>3. m</w:t>
      </w:r>
    </w:p>
    <w:p w14:paraId="07C408FF" w14:textId="77777777" w:rsidR="00772179" w:rsidRDefault="00000000">
      <w:pPr>
        <w:pStyle w:val="pheading"/>
      </w:pPr>
      <w:r>
        <w:t>- code de mesurage:</w:t>
      </w:r>
    </w:p>
    <w:p w14:paraId="0699E1B4" w14:textId="77777777" w:rsidR="00772179" w:rsidRDefault="00000000">
      <w:r>
        <w:rPr>
          <w:rStyle w:val="optioncarChar"/>
        </w:rPr>
        <w:t>Pour l’ensemble</w:t>
      </w:r>
      <w:r>
        <w:t xml:space="preserve"> (par défaut) </w:t>
      </w:r>
      <w:r>
        <w:rPr>
          <w:rStyle w:val="optioncarChar"/>
        </w:rPr>
        <w:t>/ par élément à resserrer / longueur nette</w:t>
      </w:r>
    </w:p>
    <w:p w14:paraId="5874594E" w14:textId="77777777" w:rsidR="00772179" w:rsidRDefault="00000000">
      <w:r>
        <w:rPr>
          <w:b/>
          <w:i/>
        </w:rPr>
        <w:t>(soit par défaut)</w:t>
      </w:r>
    </w:p>
    <w:p w14:paraId="0292F7E8" w14:textId="77777777" w:rsidR="00772179" w:rsidRDefault="00000000">
      <w:r>
        <w:rPr>
          <w:rStyle w:val="soitChar"/>
        </w:rPr>
        <w:t xml:space="preserve">1.     </w:t>
      </w:r>
      <w:r>
        <w:rPr>
          <w:rStyle w:val="soitChar"/>
          <w:u w:val="single"/>
        </w:rPr>
        <w:t>Pour l’ensemble</w:t>
      </w:r>
      <w:r>
        <w:rPr>
          <w:rStyle w:val="soitChar"/>
        </w:rPr>
        <w:t>, toutes sujétions comprises.</w:t>
      </w:r>
    </w:p>
    <w:p w14:paraId="5B3D2857" w14:textId="77777777" w:rsidR="00772179" w:rsidRDefault="00000000">
      <w:r>
        <w:rPr>
          <w:b/>
          <w:i/>
        </w:rPr>
        <w:t>(soit)</w:t>
      </w:r>
    </w:p>
    <w:p w14:paraId="54418020" w14:textId="77777777" w:rsidR="00772179" w:rsidRDefault="00000000">
      <w:r>
        <w:rPr>
          <w:rStyle w:val="soitChar"/>
        </w:rPr>
        <w:t xml:space="preserve">2.     </w:t>
      </w:r>
      <w:r>
        <w:rPr>
          <w:rStyle w:val="soitChar"/>
          <w:u w:val="single"/>
        </w:rPr>
        <w:t>Par élément à resserrer</w:t>
      </w:r>
      <w:r>
        <w:rPr>
          <w:rStyle w:val="soitChar"/>
        </w:rPr>
        <w:t xml:space="preserve"> (baie), ventilé selon les spécifications de chaque type</w:t>
      </w:r>
    </w:p>
    <w:p w14:paraId="6FDD3964" w14:textId="77777777" w:rsidR="00772179" w:rsidRDefault="00000000">
      <w:r>
        <w:rPr>
          <w:b/>
          <w:i/>
        </w:rPr>
        <w:t>(soit)</w:t>
      </w:r>
    </w:p>
    <w:p w14:paraId="14EFB581" w14:textId="77777777" w:rsidR="00772179" w:rsidRDefault="00000000">
      <w:r>
        <w:rPr>
          <w:rStyle w:val="soitChar"/>
        </w:rPr>
        <w:t xml:space="preserve">3.     </w:t>
      </w:r>
      <w:r>
        <w:rPr>
          <w:rStyle w:val="soitChar"/>
          <w:u w:val="single"/>
        </w:rPr>
        <w:t>Longueur nette</w:t>
      </w:r>
      <w:r>
        <w:rPr>
          <w:rStyle w:val="soitChar"/>
        </w:rPr>
        <w:t xml:space="preserve"> de profilées de resserrage à mettre en œuvre, toutes sujétions comprises.</w:t>
      </w:r>
    </w:p>
    <w:p w14:paraId="4B12D939" w14:textId="77777777" w:rsidR="00772179" w:rsidRDefault="00000000">
      <w:pPr>
        <w:pStyle w:val="pheading"/>
      </w:pPr>
      <w:r>
        <w:t>- nature du marché:</w:t>
      </w:r>
    </w:p>
    <w:p w14:paraId="2D2444DD" w14:textId="77777777" w:rsidR="00772179" w:rsidRDefault="00000000">
      <w:r>
        <w:rPr>
          <w:rStyle w:val="optioncarChar"/>
        </w:rPr>
        <w:t>PG</w:t>
      </w:r>
      <w:r>
        <w:t xml:space="preserve"> (par défaut) </w:t>
      </w:r>
      <w:r>
        <w:rPr>
          <w:rStyle w:val="optioncarChar"/>
        </w:rPr>
        <w:t>/ QF</w:t>
      </w:r>
    </w:p>
    <w:p w14:paraId="63728E00" w14:textId="77777777" w:rsidR="00772179" w:rsidRDefault="00000000">
      <w:r>
        <w:rPr>
          <w:b/>
          <w:i/>
        </w:rPr>
        <w:t>(soit par défaut)</w:t>
      </w:r>
    </w:p>
    <w:p w14:paraId="3CBE8D49" w14:textId="77777777" w:rsidR="00772179" w:rsidRDefault="00000000">
      <w:r>
        <w:rPr>
          <w:rStyle w:val="soitChar"/>
        </w:rPr>
        <w:t>1. PG</w:t>
      </w:r>
    </w:p>
    <w:p w14:paraId="753F09F3" w14:textId="77777777" w:rsidR="00772179" w:rsidRDefault="00000000">
      <w:r>
        <w:rPr>
          <w:b/>
          <w:i/>
        </w:rPr>
        <w:t>(soit)</w:t>
      </w:r>
    </w:p>
    <w:p w14:paraId="0E6DA6B7" w14:textId="77777777" w:rsidR="00772179" w:rsidRDefault="00000000">
      <w:r>
        <w:rPr>
          <w:rStyle w:val="soitChar"/>
        </w:rPr>
        <w:t>2. et 3.  QF</w:t>
      </w:r>
    </w:p>
    <w:p w14:paraId="1FA182A4" w14:textId="77777777" w:rsidR="00772179" w:rsidRDefault="00000000">
      <w:pPr>
        <w:pStyle w:val="Author-eSectionHeading4Numberless"/>
      </w:pPr>
      <w:bookmarkStart w:id="373" w:name="_Toc220490096"/>
      <w:r>
        <w:t>41.75 Ouvertures de ventilation CCTB 01.11</w:t>
      </w:r>
      <w:bookmarkEnd w:id="373"/>
    </w:p>
    <w:p w14:paraId="121D7DFC" w14:textId="77777777" w:rsidR="00772179" w:rsidRDefault="00000000">
      <w:pPr>
        <w:pStyle w:val="pheading"/>
      </w:pPr>
      <w:r>
        <w:t>DESCRIPTION</w:t>
      </w:r>
    </w:p>
    <w:p w14:paraId="1076ED10" w14:textId="77777777" w:rsidR="00772179" w:rsidRDefault="00000000">
      <w:pPr>
        <w:pStyle w:val="pheading"/>
      </w:pPr>
      <w:r>
        <w:t>- Remarques importantes</w:t>
      </w:r>
    </w:p>
    <w:p w14:paraId="3D714159" w14:textId="77777777" w:rsidR="00772179" w:rsidRDefault="00000000">
      <w:pPr>
        <w:pStyle w:val="heading"/>
      </w:pPr>
      <w:r>
        <w:t>Systèmes de ventilation</w:t>
      </w:r>
    </w:p>
    <w:p w14:paraId="3CE4D890" w14:textId="77777777" w:rsidR="00772179" w:rsidRDefault="00000000">
      <w:r>
        <w:t>La norme [NBN D 50-001] décrit 4 systèmes s'appuyant sur le principe suivant :</w:t>
      </w:r>
    </w:p>
    <w:p w14:paraId="3254CF00" w14:textId="77777777" w:rsidR="00772179" w:rsidRDefault="00000000">
      <w:pPr>
        <w:pStyle w:val="Author-eListParagraph"/>
        <w:numPr>
          <w:ilvl w:val="0"/>
          <w:numId w:val="740"/>
        </w:numPr>
      </w:pPr>
      <w:r>
        <w:t>Amenée d’air frais dans les locaux secs de vie : séjour, chambres à coucher, pièces d'étude et salles de jeux, …</w:t>
      </w:r>
    </w:p>
    <w:p w14:paraId="7A95FFCC" w14:textId="77777777" w:rsidR="00772179" w:rsidRDefault="00000000">
      <w:pPr>
        <w:pStyle w:val="Author-eListParagraph"/>
        <w:numPr>
          <w:ilvl w:val="0"/>
          <w:numId w:val="740"/>
        </w:numPr>
      </w:pPr>
      <w:r>
        <w:t>Transfert d’air via les couloirs, halls, … depuis les locaux secs vers les locaux humides</w:t>
      </w:r>
    </w:p>
    <w:p w14:paraId="67833C47" w14:textId="77777777" w:rsidR="00772179" w:rsidRDefault="00000000">
      <w:pPr>
        <w:pStyle w:val="Author-eListParagraph"/>
        <w:numPr>
          <w:ilvl w:val="0"/>
          <w:numId w:val="740"/>
        </w:numPr>
      </w:pPr>
      <w:r>
        <w:t>Evacuation d’air vicié depuis les locaux humides : cuisines, salles de bains, wc, buanderie, ….</w:t>
      </w:r>
    </w:p>
    <w:p w14:paraId="30AC63B5" w14:textId="77777777" w:rsidR="00772179" w:rsidRDefault="00000000">
      <w:pPr>
        <w:pStyle w:val="pheading"/>
      </w:pPr>
      <w:r>
        <w:t>MATÉRIAUX</w:t>
      </w:r>
    </w:p>
    <w:p w14:paraId="6079F084" w14:textId="77777777" w:rsidR="00772179" w:rsidRDefault="00000000">
      <w:r>
        <w:t>La norme [NBN D 50-001, Dispositifs de ventilation dans les bâtiments d'habitation] est d'application sur tous les projets d'habitations sociales. Comme les habitations sociales se caractérisent par un volume réduit et, souvent, également par un taux d'occupation élevé, le degré d'humidité à l'intérieur risque d'être relativement élevé. Sans une isolation thermique soignée et des dispositifs de ventilation spécifiques, les risques de condensation superficielle et/ou d'apparition de moisissures sont réels. A cet effet, la norme sur la ventilation est intégralement d'application dans les nouvelles constructions et les travaux de rénovations importants. Pour les travaux de moindre importance, l'amélioration des possibilités de ventilation est toujours visée (en prévoyant, par exemple, des grilles de ventilation dans la menuiserie extérieure).</w:t>
      </w:r>
    </w:p>
    <w:p w14:paraId="410CE905" w14:textId="77777777" w:rsidR="00772179" w:rsidRDefault="00000000">
      <w:pPr>
        <w:pStyle w:val="heading"/>
      </w:pPr>
      <w:r>
        <w:t>Débit de ventilation</w:t>
      </w:r>
    </w:p>
    <w:p w14:paraId="27544254" w14:textId="77777777" w:rsidR="00772179" w:rsidRDefault="00000000">
      <w:r>
        <w:t>Les débits de ventilation dans le tableau suivant sont donnés à titre indicatif en vue du dimensionnement des dispositifs de ventilation :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772179" w14:paraId="0C0E0B6D" w14:textId="77777777">
        <w:tc>
          <w:tcPr>
            <w:tcW w:w="10860" w:type="dxa"/>
            <w:gridSpan w:val="4"/>
            <w:noWrap/>
          </w:tcPr>
          <w:p w14:paraId="66815E5D" w14:textId="77777777" w:rsidR="00772179" w:rsidRDefault="00000000">
            <w:r>
              <w:rPr>
                <w:shd w:val="clear" w:color="auto" w:fill="FFFFFF"/>
              </w:rPr>
              <w:t>ALIMENTATION D’AIR</w:t>
            </w:r>
          </w:p>
        </w:tc>
      </w:tr>
      <w:tr w:rsidR="00772179" w14:paraId="2D2F426C" w14:textId="77777777">
        <w:tc>
          <w:tcPr>
            <w:tcW w:w="2715" w:type="dxa"/>
            <w:noWrap/>
          </w:tcPr>
          <w:p w14:paraId="11D90ED2" w14:textId="77777777" w:rsidR="00772179" w:rsidRDefault="00000000">
            <w:r>
              <w:rPr>
                <w:shd w:val="clear" w:color="auto" w:fill="FFFFFF"/>
              </w:rPr>
              <w:lastRenderedPageBreak/>
              <w:t>Local</w:t>
            </w:r>
          </w:p>
        </w:tc>
        <w:tc>
          <w:tcPr>
            <w:tcW w:w="2715" w:type="dxa"/>
            <w:noWrap/>
          </w:tcPr>
          <w:p w14:paraId="4F1A46EF" w14:textId="77777777" w:rsidR="00772179" w:rsidRDefault="00000000">
            <w:r>
              <w:rPr>
                <w:shd w:val="clear" w:color="auto" w:fill="FFFFFF"/>
              </w:rPr>
              <w:t>Au moins m³/h</w:t>
            </w:r>
          </w:p>
        </w:tc>
        <w:tc>
          <w:tcPr>
            <w:tcW w:w="2715" w:type="dxa"/>
            <w:noWrap/>
          </w:tcPr>
          <w:p w14:paraId="3E2024F4" w14:textId="77777777" w:rsidR="00772179" w:rsidRDefault="00000000">
            <w:r>
              <w:rPr>
                <w:shd w:val="clear" w:color="auto" w:fill="FFFFFF"/>
              </w:rPr>
              <w:t>Nominal m³/h</w:t>
            </w:r>
          </w:p>
        </w:tc>
        <w:tc>
          <w:tcPr>
            <w:tcW w:w="2715" w:type="dxa"/>
            <w:noWrap/>
          </w:tcPr>
          <w:p w14:paraId="72366E38" w14:textId="77777777" w:rsidR="00772179" w:rsidRDefault="00000000">
            <w:r>
              <w:rPr>
                <w:shd w:val="clear" w:color="auto" w:fill="FFFFFF"/>
              </w:rPr>
              <w:t>Maximal m³/h</w:t>
            </w:r>
          </w:p>
        </w:tc>
      </w:tr>
      <w:tr w:rsidR="00772179" w14:paraId="05DA481D" w14:textId="77777777">
        <w:tc>
          <w:tcPr>
            <w:tcW w:w="2715" w:type="dxa"/>
            <w:noWrap/>
          </w:tcPr>
          <w:p w14:paraId="0913E841" w14:textId="77777777" w:rsidR="00772179" w:rsidRDefault="00000000">
            <w:r>
              <w:rPr>
                <w:shd w:val="clear" w:color="auto" w:fill="FFFFFF"/>
              </w:rPr>
              <w:t>Séjour</w:t>
            </w:r>
          </w:p>
        </w:tc>
        <w:tc>
          <w:tcPr>
            <w:tcW w:w="2715" w:type="dxa"/>
            <w:noWrap/>
          </w:tcPr>
          <w:p w14:paraId="5BC1AFDF" w14:textId="77777777" w:rsidR="00772179" w:rsidRDefault="00000000">
            <w:r>
              <w:rPr>
                <w:shd w:val="clear" w:color="auto" w:fill="FFFFFF"/>
              </w:rPr>
              <w:t>75</w:t>
            </w:r>
          </w:p>
        </w:tc>
        <w:tc>
          <w:tcPr>
            <w:tcW w:w="2715" w:type="dxa"/>
            <w:noWrap/>
          </w:tcPr>
          <w:p w14:paraId="3084E8F0" w14:textId="77777777" w:rsidR="00772179" w:rsidRDefault="00000000">
            <w:r>
              <w:rPr>
                <w:shd w:val="clear" w:color="auto" w:fill="FFFFFF"/>
              </w:rPr>
              <w:t>Surface au sol (m²) x 3.6</w:t>
            </w:r>
          </w:p>
        </w:tc>
        <w:tc>
          <w:tcPr>
            <w:tcW w:w="2715" w:type="dxa"/>
            <w:noWrap/>
          </w:tcPr>
          <w:p w14:paraId="75E8FA61" w14:textId="77777777" w:rsidR="00772179" w:rsidRDefault="00000000">
            <w:r>
              <w:rPr>
                <w:shd w:val="clear" w:color="auto" w:fill="FFFFFF"/>
              </w:rPr>
              <w:t>150</w:t>
            </w:r>
          </w:p>
        </w:tc>
      </w:tr>
      <w:tr w:rsidR="00772179" w14:paraId="0B0BE200" w14:textId="77777777">
        <w:tc>
          <w:tcPr>
            <w:tcW w:w="2715" w:type="dxa"/>
            <w:noWrap/>
          </w:tcPr>
          <w:p w14:paraId="220D312A" w14:textId="77777777" w:rsidR="00772179" w:rsidRDefault="00000000">
            <w:r>
              <w:rPr>
                <w:shd w:val="clear" w:color="auto" w:fill="FFFFFF"/>
              </w:rPr>
              <w:t>Chambre à coucher, bureau, salle de jeu</w:t>
            </w:r>
          </w:p>
        </w:tc>
        <w:tc>
          <w:tcPr>
            <w:tcW w:w="2715" w:type="dxa"/>
            <w:noWrap/>
          </w:tcPr>
          <w:p w14:paraId="6F23EDAC" w14:textId="77777777" w:rsidR="00772179" w:rsidRDefault="00000000">
            <w:r>
              <w:rPr>
                <w:shd w:val="clear" w:color="auto" w:fill="FFFFFF"/>
              </w:rPr>
              <w:t>25</w:t>
            </w:r>
          </w:p>
        </w:tc>
        <w:tc>
          <w:tcPr>
            <w:tcW w:w="2715" w:type="dxa"/>
            <w:noWrap/>
          </w:tcPr>
          <w:p w14:paraId="5061E262" w14:textId="77777777" w:rsidR="00772179" w:rsidRDefault="00000000">
            <w:r>
              <w:rPr>
                <w:shd w:val="clear" w:color="auto" w:fill="FFFFFF"/>
              </w:rPr>
              <w:t>Surface au sol (m²) x 3,6</w:t>
            </w:r>
          </w:p>
        </w:tc>
        <w:tc>
          <w:tcPr>
            <w:tcW w:w="2715" w:type="dxa"/>
            <w:noWrap/>
          </w:tcPr>
          <w:p w14:paraId="5636B007" w14:textId="77777777" w:rsidR="00772179" w:rsidRDefault="00000000">
            <w:r>
              <w:rPr>
                <w:shd w:val="clear" w:color="auto" w:fill="FFFFFF"/>
              </w:rPr>
              <w:t>36 par personne</w:t>
            </w:r>
          </w:p>
        </w:tc>
      </w:tr>
    </w:tbl>
    <w:p w14:paraId="61E9CB3A" w14:textId="77777777" w:rsidR="00772179" w:rsidRDefault="00772179"/>
    <w:tbl>
      <w:tblPr>
        <w:tblStyle w:val="Author-eTableGrid"/>
        <w:tblW w:w="10890" w:type="dxa"/>
        <w:tblLayout w:type="fixed"/>
        <w:tblLook w:val="04A0" w:firstRow="1" w:lastRow="0" w:firstColumn="1" w:lastColumn="0" w:noHBand="0" w:noVBand="1"/>
      </w:tblPr>
      <w:tblGrid>
        <w:gridCol w:w="2722"/>
        <w:gridCol w:w="2722"/>
        <w:gridCol w:w="2723"/>
        <w:gridCol w:w="2723"/>
      </w:tblGrid>
      <w:tr w:rsidR="00772179" w14:paraId="16DF8AF2" w14:textId="77777777">
        <w:tc>
          <w:tcPr>
            <w:tcW w:w="10860" w:type="dxa"/>
            <w:gridSpan w:val="4"/>
            <w:noWrap/>
          </w:tcPr>
          <w:p w14:paraId="612656DF" w14:textId="77777777" w:rsidR="00772179" w:rsidRDefault="00000000">
            <w:r>
              <w:rPr>
                <w:shd w:val="clear" w:color="auto" w:fill="FFFFFF"/>
              </w:rPr>
              <w:t>TRANSFERT D’AIR</w:t>
            </w:r>
          </w:p>
        </w:tc>
      </w:tr>
      <w:tr w:rsidR="00772179" w14:paraId="03B06AB9" w14:textId="77777777">
        <w:tc>
          <w:tcPr>
            <w:tcW w:w="2715" w:type="dxa"/>
            <w:noWrap/>
          </w:tcPr>
          <w:p w14:paraId="18E228E7" w14:textId="77777777" w:rsidR="00772179" w:rsidRDefault="00000000">
            <w:r>
              <w:rPr>
                <w:shd w:val="clear" w:color="auto" w:fill="FFFFFF"/>
              </w:rPr>
              <w:t>Local</w:t>
            </w:r>
          </w:p>
        </w:tc>
        <w:tc>
          <w:tcPr>
            <w:tcW w:w="2715" w:type="dxa"/>
            <w:noWrap/>
          </w:tcPr>
          <w:p w14:paraId="3747E83B" w14:textId="77777777" w:rsidR="00772179" w:rsidRDefault="00000000">
            <w:r>
              <w:rPr>
                <w:shd w:val="clear" w:color="auto" w:fill="FFFFFF"/>
              </w:rPr>
              <w:t>Au moins m³/h</w:t>
            </w:r>
          </w:p>
        </w:tc>
        <w:tc>
          <w:tcPr>
            <w:tcW w:w="2715" w:type="dxa"/>
            <w:noWrap/>
          </w:tcPr>
          <w:p w14:paraId="5CA4EFC1" w14:textId="77777777" w:rsidR="00772179" w:rsidRDefault="00000000">
            <w:r>
              <w:rPr>
                <w:shd w:val="clear" w:color="auto" w:fill="FFFFFF"/>
              </w:rPr>
              <w:t>Nominal m³/h</w:t>
            </w:r>
          </w:p>
        </w:tc>
        <w:tc>
          <w:tcPr>
            <w:tcW w:w="2715" w:type="dxa"/>
            <w:noWrap/>
          </w:tcPr>
          <w:p w14:paraId="3E8EB487" w14:textId="77777777" w:rsidR="00772179" w:rsidRDefault="00000000">
            <w:r>
              <w:rPr>
                <w:shd w:val="clear" w:color="auto" w:fill="FFFFFF"/>
              </w:rPr>
              <w:t>Maximal m³/h</w:t>
            </w:r>
          </w:p>
        </w:tc>
      </w:tr>
      <w:tr w:rsidR="00772179" w14:paraId="789E70E9" w14:textId="77777777">
        <w:tc>
          <w:tcPr>
            <w:tcW w:w="2715" w:type="dxa"/>
            <w:noWrap/>
          </w:tcPr>
          <w:p w14:paraId="21FB0038" w14:textId="77777777" w:rsidR="00772179" w:rsidRDefault="00000000">
            <w:r>
              <w:rPr>
                <w:shd w:val="clear" w:color="auto" w:fill="FFFFFF"/>
              </w:rPr>
              <w:t>Halls, couloirs ou cages d’escaliers privatives</w:t>
            </w:r>
          </w:p>
        </w:tc>
        <w:tc>
          <w:tcPr>
            <w:tcW w:w="2715" w:type="dxa"/>
            <w:noWrap/>
          </w:tcPr>
          <w:p w14:paraId="354422FC" w14:textId="77777777" w:rsidR="00772179" w:rsidRDefault="00000000">
            <w:r>
              <w:rPr>
                <w:shd w:val="clear" w:color="auto" w:fill="FFFFFF"/>
              </w:rPr>
              <w:t>-</w:t>
            </w:r>
          </w:p>
        </w:tc>
        <w:tc>
          <w:tcPr>
            <w:tcW w:w="2715" w:type="dxa"/>
            <w:noWrap/>
          </w:tcPr>
          <w:p w14:paraId="11FEF1B2" w14:textId="77777777" w:rsidR="00772179" w:rsidRDefault="00000000">
            <w:r>
              <w:rPr>
                <w:shd w:val="clear" w:color="auto" w:fill="FFFFFF"/>
              </w:rPr>
              <w:t>Surface au sol (m²) x 3.6</w:t>
            </w:r>
          </w:p>
        </w:tc>
        <w:tc>
          <w:tcPr>
            <w:tcW w:w="2715" w:type="dxa"/>
            <w:noWrap/>
          </w:tcPr>
          <w:p w14:paraId="7C8AEC76" w14:textId="77777777" w:rsidR="00772179" w:rsidRDefault="00000000">
            <w:r>
              <w:rPr>
                <w:shd w:val="clear" w:color="auto" w:fill="FFFFFF"/>
              </w:rPr>
              <w:t>-</w:t>
            </w:r>
          </w:p>
        </w:tc>
      </w:tr>
      <w:tr w:rsidR="00772179" w14:paraId="3E3E40D5" w14:textId="77777777">
        <w:tc>
          <w:tcPr>
            <w:tcW w:w="2715" w:type="dxa"/>
            <w:noWrap/>
          </w:tcPr>
          <w:p w14:paraId="715E9932" w14:textId="77777777" w:rsidR="00772179" w:rsidRDefault="00000000">
            <w:r>
              <w:rPr>
                <w:shd w:val="clear" w:color="auto" w:fill="FFFFFF"/>
              </w:rPr>
              <w:t>Halls, couloirs ou cages d'escaliers communautaires</w:t>
            </w:r>
          </w:p>
        </w:tc>
        <w:tc>
          <w:tcPr>
            <w:tcW w:w="2715" w:type="dxa"/>
            <w:noWrap/>
          </w:tcPr>
          <w:p w14:paraId="55280B6C" w14:textId="77777777" w:rsidR="00772179" w:rsidRDefault="00000000">
            <w:r>
              <w:rPr>
                <w:shd w:val="clear" w:color="auto" w:fill="FFFFFF"/>
              </w:rPr>
              <w:t>1/2 volume/h</w:t>
            </w:r>
          </w:p>
        </w:tc>
        <w:tc>
          <w:tcPr>
            <w:tcW w:w="2715" w:type="dxa"/>
            <w:noWrap/>
          </w:tcPr>
          <w:p w14:paraId="7C4B1C9A" w14:textId="77777777" w:rsidR="00772179" w:rsidRDefault="00000000">
            <w:r>
              <w:rPr>
                <w:shd w:val="clear" w:color="auto" w:fill="FFFFFF"/>
              </w:rPr>
              <w:t>-</w:t>
            </w:r>
          </w:p>
        </w:tc>
        <w:tc>
          <w:tcPr>
            <w:tcW w:w="2715" w:type="dxa"/>
            <w:noWrap/>
          </w:tcPr>
          <w:p w14:paraId="68952F23" w14:textId="77777777" w:rsidR="00772179" w:rsidRDefault="00000000">
            <w:r>
              <w:rPr>
                <w:shd w:val="clear" w:color="auto" w:fill="FFFFFF"/>
              </w:rPr>
              <w:t>-</w:t>
            </w:r>
          </w:p>
        </w:tc>
      </w:tr>
    </w:tbl>
    <w:p w14:paraId="754A1387" w14:textId="77777777" w:rsidR="00772179" w:rsidRDefault="00000000">
      <w:r>
        <w:t>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772179" w14:paraId="561DFF08" w14:textId="77777777">
        <w:tc>
          <w:tcPr>
            <w:tcW w:w="10860" w:type="dxa"/>
            <w:gridSpan w:val="4"/>
            <w:noWrap/>
          </w:tcPr>
          <w:p w14:paraId="35DC0E51" w14:textId="77777777" w:rsidR="00772179" w:rsidRDefault="00000000">
            <w:r>
              <w:rPr>
                <w:shd w:val="clear" w:color="auto" w:fill="FFFFFF"/>
              </w:rPr>
              <w:t>EXTRACTION D’AIR</w:t>
            </w:r>
          </w:p>
        </w:tc>
      </w:tr>
      <w:tr w:rsidR="00772179" w14:paraId="2DB72A38" w14:textId="77777777">
        <w:tc>
          <w:tcPr>
            <w:tcW w:w="2715" w:type="dxa"/>
            <w:noWrap/>
          </w:tcPr>
          <w:p w14:paraId="57CDCC4B" w14:textId="77777777" w:rsidR="00772179" w:rsidRDefault="00000000">
            <w:r>
              <w:rPr>
                <w:shd w:val="clear" w:color="auto" w:fill="FFFFFF"/>
              </w:rPr>
              <w:t>Local</w:t>
            </w:r>
          </w:p>
        </w:tc>
        <w:tc>
          <w:tcPr>
            <w:tcW w:w="2715" w:type="dxa"/>
            <w:noWrap/>
          </w:tcPr>
          <w:p w14:paraId="0D2332CA" w14:textId="77777777" w:rsidR="00772179" w:rsidRDefault="00000000">
            <w:r>
              <w:rPr>
                <w:shd w:val="clear" w:color="auto" w:fill="FFFFFF"/>
              </w:rPr>
              <w:t>Au moins m³/h</w:t>
            </w:r>
          </w:p>
        </w:tc>
        <w:tc>
          <w:tcPr>
            <w:tcW w:w="2715" w:type="dxa"/>
            <w:noWrap/>
          </w:tcPr>
          <w:p w14:paraId="1A60252F" w14:textId="77777777" w:rsidR="00772179" w:rsidRDefault="00000000">
            <w:r>
              <w:rPr>
                <w:shd w:val="clear" w:color="auto" w:fill="FFFFFF"/>
              </w:rPr>
              <w:t>Nominal m³/h</w:t>
            </w:r>
          </w:p>
        </w:tc>
        <w:tc>
          <w:tcPr>
            <w:tcW w:w="2715" w:type="dxa"/>
            <w:noWrap/>
          </w:tcPr>
          <w:p w14:paraId="757F3F95" w14:textId="77777777" w:rsidR="00772179" w:rsidRDefault="00000000">
            <w:r>
              <w:rPr>
                <w:shd w:val="clear" w:color="auto" w:fill="FFFFFF"/>
              </w:rPr>
              <w:t>Maximal m³/h</w:t>
            </w:r>
          </w:p>
        </w:tc>
      </w:tr>
      <w:tr w:rsidR="00772179" w14:paraId="6F7ADE11" w14:textId="77777777">
        <w:tc>
          <w:tcPr>
            <w:tcW w:w="2715" w:type="dxa"/>
            <w:noWrap/>
          </w:tcPr>
          <w:p w14:paraId="66DB802E" w14:textId="77777777" w:rsidR="00772179" w:rsidRDefault="00000000">
            <w:r>
              <w:rPr>
                <w:shd w:val="clear" w:color="auto" w:fill="FFFFFF"/>
              </w:rPr>
              <w:t>Cuisine fermée</w:t>
            </w:r>
          </w:p>
        </w:tc>
        <w:tc>
          <w:tcPr>
            <w:tcW w:w="2715" w:type="dxa"/>
            <w:noWrap/>
          </w:tcPr>
          <w:p w14:paraId="0DD15CC0" w14:textId="77777777" w:rsidR="00772179" w:rsidRDefault="00000000">
            <w:r>
              <w:rPr>
                <w:shd w:val="clear" w:color="auto" w:fill="FFFFFF"/>
              </w:rPr>
              <w:t>50</w:t>
            </w:r>
          </w:p>
        </w:tc>
        <w:tc>
          <w:tcPr>
            <w:tcW w:w="2715" w:type="dxa"/>
            <w:noWrap/>
          </w:tcPr>
          <w:p w14:paraId="33DFE4C7" w14:textId="77777777" w:rsidR="00772179" w:rsidRDefault="00000000">
            <w:r>
              <w:t> </w:t>
            </w:r>
          </w:p>
        </w:tc>
        <w:tc>
          <w:tcPr>
            <w:tcW w:w="2715" w:type="dxa"/>
            <w:noWrap/>
          </w:tcPr>
          <w:p w14:paraId="2F587485" w14:textId="77777777" w:rsidR="00772179" w:rsidRDefault="00000000">
            <w:r>
              <w:rPr>
                <w:shd w:val="clear" w:color="auto" w:fill="FFFFFF"/>
              </w:rPr>
              <w:t>75</w:t>
            </w:r>
          </w:p>
        </w:tc>
      </w:tr>
      <w:tr w:rsidR="00772179" w14:paraId="5E457407" w14:textId="77777777">
        <w:tc>
          <w:tcPr>
            <w:tcW w:w="2715" w:type="dxa"/>
            <w:noWrap/>
          </w:tcPr>
          <w:p w14:paraId="57A62484" w14:textId="77777777" w:rsidR="00772179" w:rsidRDefault="00000000">
            <w:r>
              <w:rPr>
                <w:shd w:val="clear" w:color="auto" w:fill="FFFFFF"/>
              </w:rPr>
              <w:t>Salle de bains, Wc</w:t>
            </w:r>
          </w:p>
        </w:tc>
        <w:tc>
          <w:tcPr>
            <w:tcW w:w="2715" w:type="dxa"/>
            <w:noWrap/>
          </w:tcPr>
          <w:p w14:paraId="1BD3BCFD" w14:textId="77777777" w:rsidR="00772179" w:rsidRDefault="00000000">
            <w:r>
              <w:t> </w:t>
            </w:r>
          </w:p>
        </w:tc>
        <w:tc>
          <w:tcPr>
            <w:tcW w:w="2715" w:type="dxa"/>
            <w:noWrap/>
          </w:tcPr>
          <w:p w14:paraId="2505F201" w14:textId="77777777" w:rsidR="00772179" w:rsidRDefault="00000000">
            <w:r>
              <w:rPr>
                <w:shd w:val="clear" w:color="auto" w:fill="FFFFFF"/>
              </w:rPr>
              <w:t>50</w:t>
            </w:r>
          </w:p>
        </w:tc>
        <w:tc>
          <w:tcPr>
            <w:tcW w:w="2715" w:type="dxa"/>
            <w:noWrap/>
          </w:tcPr>
          <w:p w14:paraId="7021DDC3" w14:textId="77777777" w:rsidR="00772179" w:rsidRDefault="00000000">
            <w:r>
              <w:rPr>
                <w:shd w:val="clear" w:color="auto" w:fill="FFFFFF"/>
              </w:rPr>
              <w:t>75</w:t>
            </w:r>
          </w:p>
        </w:tc>
      </w:tr>
      <w:tr w:rsidR="00772179" w14:paraId="7AFC8DAE" w14:textId="77777777">
        <w:tc>
          <w:tcPr>
            <w:tcW w:w="2715" w:type="dxa"/>
            <w:noWrap/>
          </w:tcPr>
          <w:p w14:paraId="298129DB" w14:textId="77777777" w:rsidR="00772179" w:rsidRDefault="00000000">
            <w:r>
              <w:rPr>
                <w:shd w:val="clear" w:color="auto" w:fill="FFFFFF"/>
              </w:rPr>
              <w:t>Buanderie, séchoir</w:t>
            </w:r>
          </w:p>
        </w:tc>
        <w:tc>
          <w:tcPr>
            <w:tcW w:w="2715" w:type="dxa"/>
            <w:noWrap/>
          </w:tcPr>
          <w:p w14:paraId="5B2F6CF5" w14:textId="77777777" w:rsidR="00772179" w:rsidRDefault="00000000">
            <w:r>
              <w:t> </w:t>
            </w:r>
          </w:p>
        </w:tc>
        <w:tc>
          <w:tcPr>
            <w:tcW w:w="2715" w:type="dxa"/>
            <w:noWrap/>
          </w:tcPr>
          <w:p w14:paraId="4573C7E6" w14:textId="77777777" w:rsidR="00772179" w:rsidRDefault="00000000">
            <w:r>
              <w:rPr>
                <w:shd w:val="clear" w:color="auto" w:fill="FFFFFF"/>
              </w:rPr>
              <w:t>50</w:t>
            </w:r>
          </w:p>
        </w:tc>
        <w:tc>
          <w:tcPr>
            <w:tcW w:w="2715" w:type="dxa"/>
            <w:noWrap/>
          </w:tcPr>
          <w:p w14:paraId="05C894AE" w14:textId="77777777" w:rsidR="00772179" w:rsidRDefault="00000000">
            <w:r>
              <w:rPr>
                <w:shd w:val="clear" w:color="auto" w:fill="FFFFFF"/>
              </w:rPr>
              <w:t>75</w:t>
            </w:r>
          </w:p>
        </w:tc>
      </w:tr>
      <w:tr w:rsidR="00772179" w14:paraId="793A6E58" w14:textId="77777777">
        <w:tc>
          <w:tcPr>
            <w:tcW w:w="2715" w:type="dxa"/>
            <w:noWrap/>
          </w:tcPr>
          <w:p w14:paraId="45D44E70" w14:textId="77777777" w:rsidR="00772179" w:rsidRDefault="00000000">
            <w:r>
              <w:rPr>
                <w:shd w:val="clear" w:color="auto" w:fill="FFFFFF"/>
              </w:rPr>
              <w:t>Espace analogue</w:t>
            </w:r>
          </w:p>
        </w:tc>
        <w:tc>
          <w:tcPr>
            <w:tcW w:w="2715" w:type="dxa"/>
            <w:noWrap/>
          </w:tcPr>
          <w:p w14:paraId="7CD1ECD6" w14:textId="77777777" w:rsidR="00772179" w:rsidRDefault="00000000">
            <w:r>
              <w:t> </w:t>
            </w:r>
          </w:p>
        </w:tc>
        <w:tc>
          <w:tcPr>
            <w:tcW w:w="2715" w:type="dxa"/>
            <w:noWrap/>
          </w:tcPr>
          <w:p w14:paraId="1C77B8E4" w14:textId="77777777" w:rsidR="00772179" w:rsidRDefault="00000000">
            <w:r>
              <w:rPr>
                <w:shd w:val="clear" w:color="auto" w:fill="FFFFFF"/>
              </w:rPr>
              <w:t>50</w:t>
            </w:r>
          </w:p>
        </w:tc>
        <w:tc>
          <w:tcPr>
            <w:tcW w:w="2715" w:type="dxa"/>
            <w:noWrap/>
          </w:tcPr>
          <w:p w14:paraId="37FCD314" w14:textId="77777777" w:rsidR="00772179" w:rsidRDefault="00000000">
            <w:r>
              <w:rPr>
                <w:shd w:val="clear" w:color="auto" w:fill="FFFFFF"/>
              </w:rPr>
              <w:t>75</w:t>
            </w:r>
          </w:p>
        </w:tc>
      </w:tr>
      <w:tr w:rsidR="00772179" w14:paraId="7892C160" w14:textId="77777777">
        <w:tc>
          <w:tcPr>
            <w:tcW w:w="2715" w:type="dxa"/>
            <w:noWrap/>
          </w:tcPr>
          <w:p w14:paraId="51A81C21" w14:textId="77777777" w:rsidR="00772179" w:rsidRDefault="00000000">
            <w:r>
              <w:rPr>
                <w:shd w:val="clear" w:color="auto" w:fill="FFFFFF"/>
              </w:rPr>
              <w:t>Cuisine ouverte</w:t>
            </w:r>
          </w:p>
        </w:tc>
        <w:tc>
          <w:tcPr>
            <w:tcW w:w="2715" w:type="dxa"/>
            <w:noWrap/>
          </w:tcPr>
          <w:p w14:paraId="394C0910" w14:textId="77777777" w:rsidR="00772179" w:rsidRDefault="00000000">
            <w:r>
              <w:rPr>
                <w:shd w:val="clear" w:color="auto" w:fill="FFFFFF"/>
              </w:rPr>
              <w:t>75</w:t>
            </w:r>
          </w:p>
        </w:tc>
        <w:tc>
          <w:tcPr>
            <w:tcW w:w="2715" w:type="dxa"/>
            <w:noWrap/>
          </w:tcPr>
          <w:p w14:paraId="350473F2" w14:textId="77777777" w:rsidR="00772179" w:rsidRDefault="00000000">
            <w:r>
              <w:t> </w:t>
            </w:r>
          </w:p>
        </w:tc>
        <w:tc>
          <w:tcPr>
            <w:tcW w:w="2715" w:type="dxa"/>
            <w:noWrap/>
          </w:tcPr>
          <w:p w14:paraId="06E0C92F" w14:textId="77777777" w:rsidR="00772179" w:rsidRDefault="00000000">
            <w:r>
              <w:rPr>
                <w:shd w:val="clear" w:color="auto" w:fill="FFFFFF"/>
              </w:rPr>
              <w:t>75</w:t>
            </w:r>
          </w:p>
        </w:tc>
      </w:tr>
      <w:tr w:rsidR="00772179" w14:paraId="4B634675" w14:textId="77777777">
        <w:tc>
          <w:tcPr>
            <w:tcW w:w="2715" w:type="dxa"/>
            <w:noWrap/>
          </w:tcPr>
          <w:p w14:paraId="31116DA5" w14:textId="77777777" w:rsidR="00772179" w:rsidRDefault="00000000">
            <w:r>
              <w:rPr>
                <w:shd w:val="clear" w:color="auto" w:fill="FFFFFF"/>
              </w:rPr>
              <w:t>WC</w:t>
            </w:r>
          </w:p>
        </w:tc>
        <w:tc>
          <w:tcPr>
            <w:tcW w:w="2715" w:type="dxa"/>
            <w:noWrap/>
          </w:tcPr>
          <w:p w14:paraId="04A830D5" w14:textId="77777777" w:rsidR="00772179" w:rsidRDefault="00000000">
            <w:r>
              <w:rPr>
                <w:shd w:val="clear" w:color="auto" w:fill="FFFFFF"/>
              </w:rPr>
              <w:t>-</w:t>
            </w:r>
          </w:p>
        </w:tc>
        <w:tc>
          <w:tcPr>
            <w:tcW w:w="2715" w:type="dxa"/>
            <w:noWrap/>
          </w:tcPr>
          <w:p w14:paraId="4365FF58" w14:textId="77777777" w:rsidR="00772179" w:rsidRDefault="00000000">
            <w:r>
              <w:rPr>
                <w:shd w:val="clear" w:color="auto" w:fill="FFFFFF"/>
              </w:rPr>
              <w:t>25</w:t>
            </w:r>
          </w:p>
        </w:tc>
        <w:tc>
          <w:tcPr>
            <w:tcW w:w="2715" w:type="dxa"/>
            <w:noWrap/>
          </w:tcPr>
          <w:p w14:paraId="3B01B400" w14:textId="77777777" w:rsidR="00772179" w:rsidRDefault="00000000">
            <w:r>
              <w:rPr>
                <w:shd w:val="clear" w:color="auto" w:fill="FFFFFF"/>
              </w:rPr>
              <w:t>25</w:t>
            </w:r>
          </w:p>
        </w:tc>
      </w:tr>
    </w:tbl>
    <w:p w14:paraId="3A92C3E8" w14:textId="77777777" w:rsidR="00772179" w:rsidRDefault="00000000">
      <w:r>
        <w:t> </w:t>
      </w:r>
    </w:p>
    <w:p w14:paraId="2B72671C" w14:textId="77777777" w:rsidR="00772179" w:rsidRDefault="00000000">
      <w:pPr>
        <w:pStyle w:val="heading"/>
      </w:pPr>
      <w:r>
        <w:t>Ventilation et chauffage</w:t>
      </w:r>
    </w:p>
    <w:p w14:paraId="5EEA701E" w14:textId="77777777" w:rsidR="00772179" w:rsidRDefault="00000000">
      <w:r>
        <w:t>Le système de ventilation ne perturbe en aucun cas le bon fonctionnement des appareils de chauffage à combustion ouverte (chauffe-eau au gaz, poêles, feux ouverts, …).</w:t>
      </w:r>
    </w:p>
    <w:p w14:paraId="62DC0BA8" w14:textId="77777777" w:rsidR="00772179" w:rsidRDefault="00000000">
      <w:r>
        <w:t>Les appareils à combustion ouverte d'une puissance P ≥ 10 kW (telles que les chaudières de CC, les chauffe-eau, …) sont interdits dans les pièces d'habitation et dans les petits débarras mis en communication avec la cuisine. </w:t>
      </w:r>
    </w:p>
    <w:p w14:paraId="2EB8274A" w14:textId="77777777" w:rsidR="00772179" w:rsidRDefault="00000000">
      <w:pPr>
        <w:pStyle w:val="heading"/>
      </w:pPr>
      <w:r>
        <w:t>Ventilation et acoustique</w:t>
      </w:r>
    </w:p>
    <w:p w14:paraId="69C81401" w14:textId="77777777" w:rsidR="00772179" w:rsidRDefault="00000000">
      <w:r>
        <w:t>Dans le cas d’implantation d’immeubles situés en zone bruyante, il convient de sélectionner des alimentations d’air à performance d’isolation acoustique adaptée. </w:t>
      </w:r>
    </w:p>
    <w:p w14:paraId="3BB44733" w14:textId="77777777" w:rsidR="00772179" w:rsidRDefault="00000000">
      <w:r>
        <w:rPr>
          <w:u w:val="single"/>
        </w:rPr>
        <w:t>A proximité des aéroports wallons</w:t>
      </w:r>
    </w:p>
    <w:p w14:paraId="0E1C4B65" w14:textId="77777777" w:rsidR="00772179" w:rsidRDefault="00000000">
      <w:pPr>
        <w:pStyle w:val="Author-eListParagraph"/>
        <w:numPr>
          <w:ilvl w:val="0"/>
          <w:numId w:val="741"/>
        </w:numPr>
      </w:pPr>
      <w:r>
        <w:t>Dans le cas de constructions ou rénovations jouxtant les aéroports wallons, des normes minimales d’isolation acoustique sont respectées. </w:t>
      </w:r>
    </w:p>
    <w:p w14:paraId="6E850953" w14:textId="77777777" w:rsidR="00772179" w:rsidRDefault="00000000">
      <w:pPr>
        <w:pStyle w:val="Author-eListParagraph"/>
        <w:numPr>
          <w:ilvl w:val="0"/>
          <w:numId w:val="741"/>
        </w:numPr>
      </w:pPr>
      <w:r>
        <w:t>Les exigences varient en fonction de la proximité, plus ou moins grande, des aéroports. Plus l’éloignement est grand, plus les exigences sont faibles.</w:t>
      </w:r>
    </w:p>
    <w:p w14:paraId="00C3B8BB" w14:textId="77777777" w:rsidR="00772179" w:rsidRDefault="00000000">
      <w:pPr>
        <w:pStyle w:val="Author-eListParagraph"/>
        <w:numPr>
          <w:ilvl w:val="0"/>
          <w:numId w:val="741"/>
        </w:numPr>
      </w:pPr>
      <w:r>
        <w:t xml:space="preserve">Les exigences sont classifiées par zone reprises sur les cartes de cadastre de bruit, consultables auprès de la : </w:t>
      </w:r>
      <w:hyperlink r:id="rId13" w:history="1">
        <w:r>
          <w:rPr>
            <w:color w:val="0000EE"/>
          </w:rPr>
          <w:t>www.sowaer.be</w:t>
        </w:r>
      </w:hyperlink>
      <w:r>
        <w:t> </w:t>
      </w:r>
    </w:p>
    <w:p w14:paraId="6F928FE8" w14:textId="77777777" w:rsidR="00772179" w:rsidRDefault="00000000">
      <w:pPr>
        <w:pStyle w:val="Author-eListParagraph"/>
        <w:numPr>
          <w:ilvl w:val="0"/>
          <w:numId w:val="741"/>
        </w:numPr>
      </w:pPr>
      <w:r>
        <w:t>Les méthodes d’insonorisation tout en assurant la ventilation des logements sont quant à elles multiples et doivent être discutées avec un acousticien compétent en la matière. </w:t>
      </w:r>
    </w:p>
    <w:p w14:paraId="64A7BD67" w14:textId="77777777" w:rsidR="00772179" w:rsidRDefault="00000000">
      <w:r>
        <w:rPr>
          <w:u w:val="single"/>
        </w:rPr>
        <w:t>Autres situations</w:t>
      </w:r>
    </w:p>
    <w:p w14:paraId="121A030B" w14:textId="77777777" w:rsidR="00772179" w:rsidRDefault="00000000">
      <w:pPr>
        <w:pStyle w:val="Author-eListParagraph"/>
        <w:numPr>
          <w:ilvl w:val="0"/>
          <w:numId w:val="742"/>
        </w:numPr>
      </w:pPr>
      <w:r>
        <w:t>Les constructions avoisinant les aéroports ne sont pas les seules souffrant de nuisances sonores.</w:t>
      </w:r>
    </w:p>
    <w:p w14:paraId="0AF382AF" w14:textId="77777777" w:rsidR="00772179" w:rsidRDefault="00000000">
      <w:pPr>
        <w:pStyle w:val="Author-eListParagraph"/>
        <w:numPr>
          <w:ilvl w:val="0"/>
          <w:numId w:val="742"/>
        </w:numPr>
      </w:pPr>
      <w:r>
        <w:t>Les voies routières à haute fréquentation, les voies ferroviaires, la proximité de zones industrielles sont également sources de bruit. </w:t>
      </w:r>
    </w:p>
    <w:p w14:paraId="3AE92434" w14:textId="77777777" w:rsidR="00772179" w:rsidRDefault="00000000">
      <w:r>
        <w:lastRenderedPageBreak/>
        <w:t>C’est pourquoi les logements satisfont à un affaiblissement acoustique minimal (exprimé en valeur Dne) de 25 db en position ouverte et de 40 db en position fermée</w:t>
      </w:r>
    </w:p>
    <w:p w14:paraId="1D1EB450" w14:textId="77777777" w:rsidR="00772179" w:rsidRDefault="00000000">
      <w:pPr>
        <w:pStyle w:val="pheading"/>
      </w:pPr>
      <w:r>
        <w:t>DOCUMENTS DE RÉFÉRENCE</w:t>
      </w:r>
    </w:p>
    <w:p w14:paraId="3DF8173C" w14:textId="77777777" w:rsidR="00772179" w:rsidRDefault="00000000">
      <w:pPr>
        <w:pStyle w:val="pheading"/>
      </w:pPr>
      <w:r>
        <w:t>- Exécution</w:t>
      </w:r>
    </w:p>
    <w:p w14:paraId="71A03F25" w14:textId="77777777" w:rsidR="00772179" w:rsidRDefault="00000000">
      <w:r>
        <w:t>[NBN D 50-001, Dispositifs de ventilation dans les bâtiments d'habitation]</w:t>
      </w:r>
    </w:p>
    <w:p w14:paraId="2BA3734A" w14:textId="77777777" w:rsidR="00772179" w:rsidRDefault="00000000">
      <w:r>
        <w:t>[NIT 258, Guide pratique des systèmes de ventilation de base des logements.]</w:t>
      </w:r>
    </w:p>
    <w:p w14:paraId="388AB9AC" w14:textId="77777777" w:rsidR="00772179" w:rsidRDefault="00000000">
      <w:pPr>
        <w:ind w:left="750"/>
      </w:pPr>
      <w:r>
        <w:t> </w:t>
      </w:r>
    </w:p>
    <w:p w14:paraId="3D01C284" w14:textId="77777777" w:rsidR="00772179" w:rsidRDefault="00000000">
      <w:pPr>
        <w:pStyle w:val="pheading"/>
      </w:pPr>
      <w:r>
        <w:t>AIDE</w:t>
      </w:r>
    </w:p>
    <w:p w14:paraId="0790234A" w14:textId="77777777" w:rsidR="00772179" w:rsidRDefault="00000000">
      <w:r>
        <w:rPr>
          <w:i/>
          <w:u w:val="single"/>
        </w:rPr>
        <w:t xml:space="preserve">Note à l'auteur du projet </w:t>
      </w:r>
      <w:r>
        <w:br/>
        <w:t>Le système est choisi dès l'avant-projet par le maître de l'ouvrage, en concertation avec l'auteur de projet. Les 4 systèmes décrits par la norme sont :</w:t>
      </w:r>
    </w:p>
    <w:p w14:paraId="3FA67F7C" w14:textId="77777777" w:rsidR="00772179" w:rsidRDefault="00000000">
      <w:pPr>
        <w:pStyle w:val="Author-eListParagraph"/>
        <w:numPr>
          <w:ilvl w:val="0"/>
          <w:numId w:val="743"/>
        </w:numPr>
      </w:pPr>
      <w:r>
        <w:t>Système A : Amenée et évacuation naturelles de l'air.</w:t>
      </w:r>
    </w:p>
    <w:p w14:paraId="71759B53" w14:textId="77777777" w:rsidR="00772179" w:rsidRDefault="00000000">
      <w:pPr>
        <w:pStyle w:val="Author-eListParagraph"/>
        <w:numPr>
          <w:ilvl w:val="0"/>
          <w:numId w:val="743"/>
        </w:numPr>
      </w:pPr>
      <w:r>
        <w:t>Système B : Amenée mécanique d'air frais et évacuation naturelle.</w:t>
      </w:r>
    </w:p>
    <w:p w14:paraId="47D4B2D7" w14:textId="77777777" w:rsidR="00772179" w:rsidRDefault="00000000">
      <w:pPr>
        <w:pStyle w:val="Author-eListParagraph"/>
        <w:numPr>
          <w:ilvl w:val="0"/>
          <w:numId w:val="743"/>
        </w:numPr>
      </w:pPr>
      <w:r>
        <w:t>Système C : Amenée naturelle et évacuation mécanique de l'air.</w:t>
      </w:r>
    </w:p>
    <w:p w14:paraId="45DDCD54" w14:textId="77777777" w:rsidR="00772179" w:rsidRDefault="00000000">
      <w:pPr>
        <w:pStyle w:val="Author-eListParagraph"/>
        <w:numPr>
          <w:ilvl w:val="0"/>
          <w:numId w:val="743"/>
        </w:numPr>
      </w:pPr>
      <w:r>
        <w:t>Système D : Amenée et évacuation mécaniques de l’air avec échangeur de chaleur.</w:t>
      </w:r>
    </w:p>
    <w:p w14:paraId="691AE695" w14:textId="77777777" w:rsidR="00772179" w:rsidRDefault="00000000">
      <w:pPr>
        <w:pStyle w:val="Author-eSectionHeading5Numberless"/>
      </w:pPr>
      <w:bookmarkStart w:id="374" w:name="_Toc220490097"/>
      <w:r>
        <w:t>41.75.1 Ouvertures d'amenée d'air réglables CCTB 01.02</w:t>
      </w:r>
      <w:bookmarkEnd w:id="374"/>
    </w:p>
    <w:p w14:paraId="480CBE84" w14:textId="77777777" w:rsidR="00772179" w:rsidRDefault="00000000">
      <w:pPr>
        <w:pStyle w:val="Author-eSectionHeading6Numberless"/>
      </w:pPr>
      <w:bookmarkStart w:id="375" w:name="_Toc220490098"/>
      <w:r>
        <w:t>41.75.1a Ouvertures d'amenée d'air dans le mur CCTB 01.11</w:t>
      </w:r>
      <w:bookmarkEnd w:id="375"/>
    </w:p>
    <w:p w14:paraId="2BF5A65F" w14:textId="77777777" w:rsidR="00772179" w:rsidRDefault="00000000">
      <w:pPr>
        <w:pStyle w:val="pheading"/>
      </w:pPr>
      <w:r>
        <w:t>DESCRIPTION</w:t>
      </w:r>
    </w:p>
    <w:p w14:paraId="09FC4AE1" w14:textId="77777777" w:rsidR="00772179" w:rsidRDefault="00000000">
      <w:pPr>
        <w:pStyle w:val="pheading"/>
      </w:pPr>
      <w:r>
        <w:t>- Définition / Comprend</w:t>
      </w:r>
    </w:p>
    <w:p w14:paraId="2ED14E57" w14:textId="77777777" w:rsidR="00772179" w:rsidRDefault="00000000">
      <w:r>
        <w:t>Il s'agit des systèmes de ventilation naturelle, réglables, intégrés dans la maçonnerie extérieure. La ventilation entend l’amenée, le transfert et l’extraction d’air. L’un n'est pas envisageable sans l’autre. Cet article traite de l’amenée d’air.</w:t>
      </w:r>
    </w:p>
    <w:p w14:paraId="2EB726B7" w14:textId="77777777" w:rsidR="00772179" w:rsidRDefault="00000000">
      <w:r>
        <w:t>L'étanchéité des grilles extérieures est conforme aux exigences de la norme </w:t>
      </w:r>
      <w:r>
        <w:rPr>
          <w:shd w:val="clear" w:color="auto" w:fill="FFFFFF"/>
        </w:rPr>
        <w:t>[NBN EN 13030]. </w:t>
      </w:r>
      <w:r>
        <w:t>Les performances des grilles sont données conformément à la norme </w:t>
      </w:r>
      <w:r>
        <w:rPr>
          <w:shd w:val="clear" w:color="auto" w:fill="FFFFFF"/>
        </w:rPr>
        <w:t>[NBN EN 13141 série] .</w:t>
      </w:r>
    </w:p>
    <w:p w14:paraId="4354FC6B" w14:textId="77777777" w:rsidR="00772179" w:rsidRDefault="00000000">
      <w:r>
        <w:t>Le transfert d’air est décrit au tome 5.</w:t>
      </w:r>
      <w:r>
        <w:br/>
        <w:t>L’évacuation d’air pour le système A est décrite au tome 6,</w:t>
      </w:r>
      <w:r>
        <w:br/>
        <w:t>L’évacuation d’air pour le système C est décrite au tome 6.</w:t>
      </w:r>
    </w:p>
    <w:p w14:paraId="2E6468B8" w14:textId="77777777" w:rsidR="00772179" w:rsidRDefault="00000000">
      <w:r>
        <w:t>L’aérateur est choisi en fonction de son débit nominal sous 2 Pa de manière à répondre au besoin de ventilation du local, conformément à la [NBN D 50-001], c'est-à-dire, pour rappel : </w:t>
      </w:r>
    </w:p>
    <w:tbl>
      <w:tblPr>
        <w:tblStyle w:val="Author-eTableGrid"/>
        <w:tblW w:w="0" w:type="auto"/>
        <w:tblLayout w:type="fixed"/>
        <w:tblLook w:val="04A0" w:firstRow="1" w:lastRow="0" w:firstColumn="1" w:lastColumn="0" w:noHBand="0" w:noVBand="1"/>
      </w:tblPr>
      <w:tblGrid>
        <w:gridCol w:w="2265"/>
        <w:gridCol w:w="2265"/>
        <w:gridCol w:w="2265"/>
        <w:gridCol w:w="2265"/>
      </w:tblGrid>
      <w:tr w:rsidR="00772179" w14:paraId="1A34C086" w14:textId="77777777">
        <w:tc>
          <w:tcPr>
            <w:tcW w:w="9060" w:type="dxa"/>
            <w:gridSpan w:val="4"/>
            <w:noWrap/>
          </w:tcPr>
          <w:p w14:paraId="5D121822" w14:textId="77777777" w:rsidR="00772179" w:rsidRDefault="00000000">
            <w:pPr>
              <w:jc w:val="center"/>
            </w:pPr>
            <w:r>
              <w:t>ALIMENTATION D’AIR</w:t>
            </w:r>
          </w:p>
        </w:tc>
      </w:tr>
      <w:tr w:rsidR="00772179" w14:paraId="20B7CC61" w14:textId="77777777">
        <w:tc>
          <w:tcPr>
            <w:tcW w:w="2265" w:type="dxa"/>
            <w:noWrap/>
          </w:tcPr>
          <w:p w14:paraId="74CA84EE" w14:textId="77777777" w:rsidR="00772179" w:rsidRDefault="00000000">
            <w:r>
              <w:t>Local</w:t>
            </w:r>
          </w:p>
        </w:tc>
        <w:tc>
          <w:tcPr>
            <w:tcW w:w="2265" w:type="dxa"/>
            <w:noWrap/>
          </w:tcPr>
          <w:p w14:paraId="185A9DC4" w14:textId="77777777" w:rsidR="00772179" w:rsidRDefault="00000000">
            <w:pPr>
              <w:jc w:val="center"/>
            </w:pPr>
            <w:r>
              <w:t>Au moins m³/h</w:t>
            </w:r>
          </w:p>
        </w:tc>
        <w:tc>
          <w:tcPr>
            <w:tcW w:w="2265" w:type="dxa"/>
            <w:noWrap/>
          </w:tcPr>
          <w:p w14:paraId="6763330E" w14:textId="77777777" w:rsidR="00772179" w:rsidRDefault="00000000">
            <w:pPr>
              <w:jc w:val="center"/>
            </w:pPr>
            <w:r>
              <w:t>Nominal m³/h</w:t>
            </w:r>
          </w:p>
        </w:tc>
        <w:tc>
          <w:tcPr>
            <w:tcW w:w="2265" w:type="dxa"/>
            <w:noWrap/>
          </w:tcPr>
          <w:p w14:paraId="63AA8B88" w14:textId="77777777" w:rsidR="00772179" w:rsidRDefault="00000000">
            <w:pPr>
              <w:jc w:val="center"/>
            </w:pPr>
            <w:r>
              <w:t>Maximal m³/h</w:t>
            </w:r>
          </w:p>
        </w:tc>
      </w:tr>
      <w:tr w:rsidR="00772179" w14:paraId="1AB6E4B1" w14:textId="77777777">
        <w:tc>
          <w:tcPr>
            <w:tcW w:w="2265" w:type="dxa"/>
            <w:noWrap/>
          </w:tcPr>
          <w:p w14:paraId="46287543" w14:textId="77777777" w:rsidR="00772179" w:rsidRDefault="00000000">
            <w:r>
              <w:t>Séjour, bureau, salle de jeu</w:t>
            </w:r>
          </w:p>
        </w:tc>
        <w:tc>
          <w:tcPr>
            <w:tcW w:w="2265" w:type="dxa"/>
            <w:noWrap/>
          </w:tcPr>
          <w:p w14:paraId="192764E2" w14:textId="77777777" w:rsidR="00772179" w:rsidRDefault="00000000">
            <w:pPr>
              <w:jc w:val="center"/>
            </w:pPr>
            <w:r>
              <w:t>75</w:t>
            </w:r>
          </w:p>
        </w:tc>
        <w:tc>
          <w:tcPr>
            <w:tcW w:w="2265" w:type="dxa"/>
            <w:noWrap/>
          </w:tcPr>
          <w:p w14:paraId="1755E7E7" w14:textId="77777777" w:rsidR="00772179" w:rsidRDefault="00000000">
            <w:pPr>
              <w:jc w:val="center"/>
            </w:pPr>
            <w:r>
              <w:t>Surface au sol (m²) x 3.6</w:t>
            </w:r>
          </w:p>
        </w:tc>
        <w:tc>
          <w:tcPr>
            <w:tcW w:w="2265" w:type="dxa"/>
            <w:noWrap/>
          </w:tcPr>
          <w:p w14:paraId="55AE4C6D" w14:textId="77777777" w:rsidR="00772179" w:rsidRDefault="00000000">
            <w:pPr>
              <w:jc w:val="center"/>
            </w:pPr>
            <w:r>
              <w:t>150</w:t>
            </w:r>
          </w:p>
        </w:tc>
      </w:tr>
      <w:tr w:rsidR="00772179" w14:paraId="37477318" w14:textId="77777777">
        <w:tc>
          <w:tcPr>
            <w:tcW w:w="2265" w:type="dxa"/>
            <w:noWrap/>
          </w:tcPr>
          <w:p w14:paraId="75700DC6" w14:textId="77777777" w:rsidR="00772179" w:rsidRDefault="00000000">
            <w:r>
              <w:t>Chambre à coucher</w:t>
            </w:r>
          </w:p>
        </w:tc>
        <w:tc>
          <w:tcPr>
            <w:tcW w:w="2265" w:type="dxa"/>
            <w:noWrap/>
          </w:tcPr>
          <w:p w14:paraId="66CD5CF6" w14:textId="77777777" w:rsidR="00772179" w:rsidRDefault="00000000">
            <w:pPr>
              <w:jc w:val="center"/>
            </w:pPr>
            <w:r>
              <w:t>25</w:t>
            </w:r>
          </w:p>
        </w:tc>
        <w:tc>
          <w:tcPr>
            <w:tcW w:w="2265" w:type="dxa"/>
            <w:noWrap/>
          </w:tcPr>
          <w:p w14:paraId="6F744944" w14:textId="77777777" w:rsidR="00772179" w:rsidRDefault="00000000">
            <w:pPr>
              <w:jc w:val="center"/>
            </w:pPr>
            <w:r>
              <w:t>Surface au sol (m²) x 3,6</w:t>
            </w:r>
          </w:p>
        </w:tc>
        <w:tc>
          <w:tcPr>
            <w:tcW w:w="2265" w:type="dxa"/>
            <w:noWrap/>
          </w:tcPr>
          <w:p w14:paraId="5B2BB83A" w14:textId="77777777" w:rsidR="00772179" w:rsidRDefault="00000000">
            <w:pPr>
              <w:jc w:val="center"/>
            </w:pPr>
            <w:r>
              <w:t>36 par personne</w:t>
            </w:r>
          </w:p>
        </w:tc>
      </w:tr>
    </w:tbl>
    <w:p w14:paraId="4B173A62" w14:textId="77777777" w:rsidR="00772179" w:rsidRDefault="00772179"/>
    <w:p w14:paraId="55279333" w14:textId="77777777" w:rsidR="00772179" w:rsidRDefault="00000000">
      <w:r>
        <w:t>Certains locaux qui ne font pas partie des espaces d’habitation (couloirs communs ou cages d’escalier communes, cages et gaines d’ascenseur, vide-ordures, chaufferie, caves, greniers, garages etc…) doivent être ventilés au moyen de grilles ou extracteurs mécaniques dont le débit correspond aux exigences normatives. </w:t>
      </w:r>
    </w:p>
    <w:p w14:paraId="6A46DDF2" w14:textId="77777777" w:rsidR="00772179" w:rsidRDefault="00000000">
      <w:r>
        <w:t>Ce poste s’entend dans une entité : Grilles extérieures et intérieures ainsi que le fourreau de passage sont parfaitement adapté l’un à l’autre.</w:t>
      </w:r>
    </w:p>
    <w:p w14:paraId="3BBD85A0" w14:textId="77777777" w:rsidR="00772179" w:rsidRDefault="00000000">
      <w:pPr>
        <w:pStyle w:val="pheading"/>
      </w:pPr>
      <w:r>
        <w:t>MATÉRIAUX</w:t>
      </w:r>
    </w:p>
    <w:p w14:paraId="70BC1680" w14:textId="77777777" w:rsidR="00772179" w:rsidRDefault="00000000">
      <w:pPr>
        <w:pStyle w:val="pheading"/>
      </w:pPr>
      <w:r>
        <w:t>- Caractéristiques générales</w:t>
      </w:r>
    </w:p>
    <w:p w14:paraId="7AB8225C" w14:textId="77777777" w:rsidR="00772179" w:rsidRDefault="00000000">
      <w:pPr>
        <w:pStyle w:val="heading"/>
      </w:pPr>
      <w:r>
        <w:lastRenderedPageBreak/>
        <w:t>Grille extérieure</w:t>
      </w:r>
    </w:p>
    <w:p w14:paraId="050B18FD" w14:textId="77777777" w:rsidR="00772179" w:rsidRDefault="00000000">
      <w:r>
        <w:t xml:space="preserve">Grille en aluminium </w:t>
      </w:r>
      <w:r>
        <w:rPr>
          <w:rStyle w:val="optioncarChar"/>
        </w:rPr>
        <w:t>Al Mg Si 0,5 / ***</w:t>
      </w:r>
      <w:r>
        <w:t> composée de lames horizontales comprises dans un cadre.</w:t>
      </w:r>
    </w:p>
    <w:p w14:paraId="15CA553D" w14:textId="77777777" w:rsidR="00772179" w:rsidRDefault="00000000">
      <w:r>
        <w:t xml:space="preserve">L'épaisseur des profils : ≥ </w:t>
      </w:r>
      <w:r>
        <w:rPr>
          <w:rStyle w:val="optioncarChar"/>
        </w:rPr>
        <w:t>1,5</w:t>
      </w:r>
      <w:r>
        <w:t xml:space="preserve"> (par défaut)</w:t>
      </w:r>
      <w:r>
        <w:rPr>
          <w:rStyle w:val="optioncarChar"/>
        </w:rPr>
        <w:t xml:space="preserve"> / ***</w:t>
      </w:r>
      <w:r>
        <w:t xml:space="preserve"> mm. </w:t>
      </w:r>
      <w:r>
        <w:br/>
        <w:t>La grille est pourvue d'un profil récupérateur d'eau, monté en dessous de la lame inférieure afin d'assurer une étanchéité à l'eau optimale.</w:t>
      </w:r>
    </w:p>
    <w:p w14:paraId="0E34C8E6" w14:textId="77777777" w:rsidR="00772179" w:rsidRDefault="00000000">
      <w:r>
        <w:t>Tous les éléments sont préalablement assemblés avant anodisation ou thermo-laquage pour garantir une finition parfaite au niveau des découpes et raccordements de coins.</w:t>
      </w:r>
      <w:r>
        <w:br/>
        <w:t>La finition est soit anodisée, soit laquée (épaisseur ≥ 60 μm sur support chromaté ou support pré-anodisé en environnement agressif)</w:t>
      </w:r>
    </w:p>
    <w:p w14:paraId="1A0BDAD3" w14:textId="77777777" w:rsidR="00772179" w:rsidRDefault="00000000">
      <w:r>
        <w:t>En face arrière, la grille est pourvue d’une moustiquaire antistatique en inox 304 fixée sur le cadre.</w:t>
      </w:r>
      <w:r>
        <w:br/>
        <w:t>La grille est fixée, de manière non visible de l’extérieur.</w:t>
      </w:r>
    </w:p>
    <w:p w14:paraId="53D69E21" w14:textId="77777777" w:rsidR="00772179" w:rsidRDefault="00000000">
      <w:pPr>
        <w:pStyle w:val="heading"/>
      </w:pPr>
      <w:r>
        <w:t>Grille intérieure réglable</w:t>
      </w:r>
    </w:p>
    <w:p w14:paraId="6B7D2AC8" w14:textId="77777777" w:rsidR="00772179" w:rsidRDefault="00000000">
      <w:r>
        <w:t xml:space="preserve">Grille en aluminium </w:t>
      </w:r>
      <w:r>
        <w:rPr>
          <w:rStyle w:val="optioncarChar"/>
        </w:rPr>
        <w:t>Al Mg Si 0,5 / ***</w:t>
      </w:r>
    </w:p>
    <w:p w14:paraId="3BDF2FD8" w14:textId="77777777" w:rsidR="00772179" w:rsidRDefault="00000000">
      <w:r>
        <w:t>La grille est caractérisée par un design sobre. La plaque de recouvrement empêche la vue directe du conduit de passage d’air et est fixée de manière invisible sur une pièce coulissante. Cet élément réglable est monté sur une base vissée de manière non visible à la paroi ou au plafond.</w:t>
      </w:r>
    </w:p>
    <w:p w14:paraId="7C3B4E9A" w14:textId="77777777" w:rsidR="00772179" w:rsidRDefault="00000000">
      <w:r>
        <w:t>La grille est choisie en fonction de son passage d’air, ce dernier est conforme aux normes de ventilation en vigueur. </w:t>
      </w:r>
    </w:p>
    <w:p w14:paraId="0A4361AF" w14:textId="77777777" w:rsidR="00772179" w:rsidRDefault="00000000">
      <w:pPr>
        <w:pStyle w:val="heading"/>
      </w:pPr>
      <w:r>
        <w:t>Fourreau de ventilation</w:t>
      </w:r>
    </w:p>
    <w:p w14:paraId="5607343D" w14:textId="77777777" w:rsidR="00772179" w:rsidRDefault="00000000">
      <w:r>
        <w:t>Fourreau réalisé en matière inaltérable, parfaitement jointif aux faces intérieures des grilles extérieures et intérieures dont il est question dans cet article.</w:t>
      </w:r>
    </w:p>
    <w:p w14:paraId="6D6BF4CE" w14:textId="77777777" w:rsidR="00772179" w:rsidRDefault="00000000">
      <w:r>
        <w:t>La section intérieure du fourreau est calculée de manière à permettre au moins le débit minimum de la grille intérieure.</w:t>
      </w:r>
      <w:r>
        <w:br/>
        <w:t>Pour mémoire, 3,6 m³/h d’air passent par 10 cm² libres sous une pression de 2 Pa.</w:t>
      </w:r>
    </w:p>
    <w:p w14:paraId="619B6B36" w14:textId="77777777" w:rsidR="00772179" w:rsidRDefault="00000000">
      <w:pPr>
        <w:pStyle w:val="pheading"/>
      </w:pPr>
      <w:r>
        <w:t>- Finitions</w:t>
      </w:r>
    </w:p>
    <w:p w14:paraId="226CD182" w14:textId="77777777" w:rsidR="00772179" w:rsidRDefault="00000000">
      <w:pPr>
        <w:pStyle w:val="heading"/>
      </w:pPr>
      <w:r>
        <w:t>Grille extérieure</w:t>
      </w:r>
    </w:p>
    <w:p w14:paraId="43AE285E" w14:textId="77777777" w:rsidR="00772179" w:rsidRDefault="00000000">
      <w:pPr>
        <w:pStyle w:val="Author-eListParagraph"/>
        <w:numPr>
          <w:ilvl w:val="0"/>
          <w:numId w:val="744"/>
        </w:numPr>
      </w:pPr>
      <w:r>
        <w:t>Type : Grille murale de ventilation permanente.</w:t>
      </w:r>
    </w:p>
    <w:p w14:paraId="0B4F6436" w14:textId="77777777" w:rsidR="00772179" w:rsidRDefault="00000000">
      <w:pPr>
        <w:pStyle w:val="Author-eListParagraph"/>
        <w:numPr>
          <w:ilvl w:val="0"/>
          <w:numId w:val="744"/>
        </w:numPr>
      </w:pPr>
      <w:r>
        <w:t>Débit : Répondant à la norme [NBN D 50-001], Le débit de la grille est fonction de son passage physique libre qui est justifié par la fourniture de la fiche technique du produit sélectionné.</w:t>
      </w:r>
    </w:p>
    <w:p w14:paraId="7FC418B8" w14:textId="77777777" w:rsidR="00772179" w:rsidRDefault="00000000">
      <w:pPr>
        <w:pStyle w:val="Author-eListParagraph"/>
        <w:numPr>
          <w:ilvl w:val="0"/>
          <w:numId w:val="744"/>
        </w:numPr>
      </w:pPr>
      <w:r>
        <w:t xml:space="preserve">Finition : </w:t>
      </w:r>
      <w:r>
        <w:rPr>
          <w:rStyle w:val="optioncarChar"/>
        </w:rPr>
        <w:t xml:space="preserve">Anodisée </w:t>
      </w:r>
      <w:r>
        <w:t>(par défaut)</w:t>
      </w:r>
      <w:r>
        <w:rPr>
          <w:rStyle w:val="optioncarChar"/>
        </w:rPr>
        <w:t xml:space="preserve"> / Laquée </w:t>
      </w:r>
      <w:r>
        <w:t xml:space="preserve">(teinte RAL et structure à préciser : </w:t>
      </w:r>
      <w:r>
        <w:rPr>
          <w:rStyle w:val="optioncarChar"/>
        </w:rPr>
        <w:t>***</w:t>
      </w:r>
      <w:r>
        <w:t xml:space="preserve">) </w:t>
      </w:r>
      <w:r>
        <w:rPr>
          <w:rStyle w:val="optioncarChar"/>
        </w:rPr>
        <w:t>/ ***</w:t>
      </w:r>
    </w:p>
    <w:p w14:paraId="20F55863" w14:textId="77777777" w:rsidR="00772179" w:rsidRDefault="00000000">
      <w:pPr>
        <w:pStyle w:val="heading"/>
      </w:pPr>
      <w:r>
        <w:t>Grille intérieure réglable</w:t>
      </w:r>
    </w:p>
    <w:p w14:paraId="7F4C8615" w14:textId="77777777" w:rsidR="00772179" w:rsidRDefault="00000000">
      <w:pPr>
        <w:pStyle w:val="Author-eListParagraph"/>
        <w:numPr>
          <w:ilvl w:val="0"/>
          <w:numId w:val="745"/>
        </w:numPr>
      </w:pPr>
      <w:r>
        <w:t xml:space="preserve">Grille en aluminium </w:t>
      </w:r>
      <w:r>
        <w:rPr>
          <w:rStyle w:val="optioncarChar"/>
        </w:rPr>
        <w:t>Al Mg Si 0,5 / ***</w:t>
      </w:r>
    </w:p>
    <w:p w14:paraId="35C0D5B5" w14:textId="77777777" w:rsidR="00772179" w:rsidRDefault="00000000">
      <w:pPr>
        <w:pStyle w:val="Author-eListParagraph"/>
        <w:numPr>
          <w:ilvl w:val="0"/>
          <w:numId w:val="745"/>
        </w:numPr>
      </w:pPr>
      <w:r>
        <w:t>Type : Grille murale de ventilation réglable</w:t>
      </w:r>
    </w:p>
    <w:p w14:paraId="41D340D1" w14:textId="77777777" w:rsidR="00772179" w:rsidRDefault="00000000">
      <w:pPr>
        <w:pStyle w:val="Author-eListParagraph"/>
        <w:numPr>
          <w:ilvl w:val="0"/>
          <w:numId w:val="745"/>
        </w:numPr>
      </w:pPr>
      <w:r>
        <w:t>Débit : Répondant à la norme [NBN D 50-001], Le débit de la grille est fonction de son passage physique libre qui est justifié par la fourniture de la fiche technique du produit sélectionné.</w:t>
      </w:r>
    </w:p>
    <w:p w14:paraId="606A7761" w14:textId="77777777" w:rsidR="00772179" w:rsidRDefault="00000000">
      <w:pPr>
        <w:pStyle w:val="Author-eListParagraph"/>
        <w:numPr>
          <w:ilvl w:val="0"/>
          <w:numId w:val="745"/>
        </w:numPr>
      </w:pPr>
      <w:r>
        <w:t>Finition :</w:t>
      </w:r>
      <w:r>
        <w:rPr>
          <w:rStyle w:val="optioncarChar"/>
        </w:rPr>
        <w:t> Anodisée</w:t>
      </w:r>
      <w:r>
        <w:t xml:space="preserve"> (par défaut)</w:t>
      </w:r>
      <w:r>
        <w:rPr>
          <w:rStyle w:val="optioncarChar"/>
        </w:rPr>
        <w:t xml:space="preserve"> / Laquée </w:t>
      </w:r>
      <w:r>
        <w:t xml:space="preserve">(teinte RAL et structure à préciser : </w:t>
      </w:r>
      <w:r>
        <w:rPr>
          <w:rStyle w:val="optioncarChar"/>
        </w:rPr>
        <w:t>***</w:t>
      </w:r>
      <w:r>
        <w:t xml:space="preserve">) </w:t>
      </w:r>
      <w:r>
        <w:rPr>
          <w:rStyle w:val="optioncarChar"/>
        </w:rPr>
        <w:t>/ ***</w:t>
      </w:r>
    </w:p>
    <w:p w14:paraId="6F729BD4" w14:textId="77777777" w:rsidR="00772179" w:rsidRDefault="00000000">
      <w:pPr>
        <w:pStyle w:val="heading"/>
      </w:pPr>
      <w:r>
        <w:t>Fourreau de ventilation</w:t>
      </w:r>
    </w:p>
    <w:p w14:paraId="1AD0FAD2" w14:textId="77777777" w:rsidR="00772179" w:rsidRDefault="00000000">
      <w:pPr>
        <w:pStyle w:val="Author-eListParagraph"/>
        <w:numPr>
          <w:ilvl w:val="0"/>
          <w:numId w:val="746"/>
        </w:numPr>
      </w:pPr>
      <w:r>
        <w:t>Type : Grille murale de ventilation réglable</w:t>
      </w:r>
    </w:p>
    <w:p w14:paraId="5E3305DB" w14:textId="77777777" w:rsidR="00772179" w:rsidRDefault="00000000">
      <w:pPr>
        <w:pStyle w:val="Author-eListParagraph"/>
        <w:numPr>
          <w:ilvl w:val="0"/>
          <w:numId w:val="746"/>
        </w:numPr>
      </w:pPr>
      <w:r>
        <w:t>Débit : Répondant à la norme [NBN D 50-001], Le débit de la grille est fonction de son passage physique libre qui est justifié par la fourniture de la fiche technique du produit sélectionné.</w:t>
      </w:r>
    </w:p>
    <w:p w14:paraId="66748BE8" w14:textId="77777777" w:rsidR="00772179" w:rsidRDefault="00000000">
      <w:pPr>
        <w:pStyle w:val="Author-eListParagraph"/>
        <w:numPr>
          <w:ilvl w:val="0"/>
          <w:numId w:val="746"/>
        </w:numPr>
      </w:pPr>
      <w:r>
        <w:t xml:space="preserve">Matériau : </w:t>
      </w:r>
      <w:r>
        <w:rPr>
          <w:rStyle w:val="optioncarChar"/>
        </w:rPr>
        <w:t xml:space="preserve">PVC gris </w:t>
      </w:r>
      <w:r>
        <w:t xml:space="preserve">(par défaut) </w:t>
      </w:r>
      <w:r>
        <w:rPr>
          <w:rStyle w:val="optioncarChar"/>
        </w:rPr>
        <w:t>/ Acier galvanisé / Inox / ***</w:t>
      </w:r>
    </w:p>
    <w:p w14:paraId="20282BF5" w14:textId="77777777" w:rsidR="00772179" w:rsidRDefault="00000000">
      <w:pPr>
        <w:pStyle w:val="pheading"/>
      </w:pPr>
      <w:r>
        <w:t>MESURAGE</w:t>
      </w:r>
    </w:p>
    <w:p w14:paraId="402B2654" w14:textId="77777777" w:rsidR="00772179" w:rsidRDefault="00000000">
      <w:pPr>
        <w:pStyle w:val="pheading"/>
      </w:pPr>
      <w:r>
        <w:lastRenderedPageBreak/>
        <w:t>- unité de mesure:</w:t>
      </w:r>
    </w:p>
    <w:p w14:paraId="526A3390" w14:textId="77777777" w:rsidR="00772179" w:rsidRDefault="00000000">
      <w:r>
        <w:t>pc</w:t>
      </w:r>
    </w:p>
    <w:p w14:paraId="4F490D5A" w14:textId="77777777" w:rsidR="00772179" w:rsidRDefault="00000000">
      <w:pPr>
        <w:pStyle w:val="pheading"/>
      </w:pPr>
      <w:r>
        <w:t>- code de mesurage:</w:t>
      </w:r>
    </w:p>
    <w:p w14:paraId="40922111" w14:textId="77777777" w:rsidR="00772179" w:rsidRDefault="00000000">
      <w:r>
        <w:t>Selon les dimensions dans l’œuvre</w:t>
      </w:r>
    </w:p>
    <w:p w14:paraId="410B6E2E" w14:textId="77777777" w:rsidR="00772179" w:rsidRDefault="00000000">
      <w:pPr>
        <w:pStyle w:val="pheading"/>
      </w:pPr>
      <w:r>
        <w:t>- nature du marché:</w:t>
      </w:r>
    </w:p>
    <w:p w14:paraId="6E8EAEDA" w14:textId="77777777" w:rsidR="00772179" w:rsidRDefault="00000000">
      <w:r>
        <w:t>QP</w:t>
      </w:r>
    </w:p>
    <w:p w14:paraId="72D6E0B8" w14:textId="77777777" w:rsidR="00772179" w:rsidRDefault="00000000">
      <w:pPr>
        <w:pStyle w:val="Author-eSectionHeading6Numberless"/>
      </w:pPr>
      <w:bookmarkStart w:id="376" w:name="_Toc220490099"/>
      <w:r>
        <w:t>41.75.1b Ouvertures d'amenée d'air dans baie hors châssis CCTB 01.11</w:t>
      </w:r>
      <w:bookmarkEnd w:id="376"/>
    </w:p>
    <w:p w14:paraId="3877F90B" w14:textId="77777777" w:rsidR="00772179" w:rsidRDefault="00000000">
      <w:pPr>
        <w:pStyle w:val="pheading"/>
      </w:pPr>
      <w:r>
        <w:t>DESCRIPTION</w:t>
      </w:r>
    </w:p>
    <w:p w14:paraId="6D99DAC2" w14:textId="77777777" w:rsidR="00772179" w:rsidRDefault="00000000">
      <w:pPr>
        <w:pStyle w:val="pheading"/>
      </w:pPr>
      <w:r>
        <w:t>- Définition / Comprend</w:t>
      </w:r>
    </w:p>
    <w:p w14:paraId="426A346B" w14:textId="77777777" w:rsidR="00772179" w:rsidRDefault="00000000">
      <w:r>
        <w:t>Il s'agit des systèmes de ventilation naturelle, réglables, intégrés dans une baie hors châssis. La ventilation entend l’amenée, le transfert et l’extraction d’air. L’un n'est envisageable sans l’autre. Cet article traite de l’amenée d’air.</w:t>
      </w:r>
    </w:p>
    <w:p w14:paraId="7F69D518" w14:textId="77777777" w:rsidR="00772179" w:rsidRDefault="00000000">
      <w:r>
        <w:t>L'étanchéité des grilles extérieures est conforme aux exigences de la norme [NBN EN 13030].  Les performances des grilles sont données conformément à la norme [NBN EN 13141 série].</w:t>
      </w:r>
    </w:p>
    <w:p w14:paraId="1A20ECF6" w14:textId="77777777" w:rsidR="00772179" w:rsidRDefault="00000000">
      <w:r>
        <w:t>Le transfert d’air est décrit au tome 5.</w:t>
      </w:r>
      <w:r>
        <w:br/>
        <w:t>L’évacuation d’air pour le système A est décrite au tome 6,</w:t>
      </w:r>
      <w:r>
        <w:br/>
        <w:t>L’évacuation d’air pour le système C est décrite au tome 6.</w:t>
      </w:r>
    </w:p>
    <w:p w14:paraId="7C2F5AED" w14:textId="77777777" w:rsidR="00772179" w:rsidRDefault="00000000">
      <w:r>
        <w:t>L’aérateur est choisi en fonction de son débit nominal sous 2 Pa de manière à répondre au besoin de ventilation du local, conformément à la [NBN D 50-001], c'est-à-dire, pour rappel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772179" w14:paraId="4B911E10" w14:textId="77777777">
        <w:tc>
          <w:tcPr>
            <w:tcW w:w="10860" w:type="dxa"/>
            <w:gridSpan w:val="4"/>
            <w:noWrap/>
          </w:tcPr>
          <w:p w14:paraId="3FC033D4" w14:textId="77777777" w:rsidR="00772179" w:rsidRDefault="00000000">
            <w:pPr>
              <w:jc w:val="center"/>
            </w:pPr>
            <w:r>
              <w:t>ALIMENTATION D’AIR</w:t>
            </w:r>
          </w:p>
        </w:tc>
      </w:tr>
      <w:tr w:rsidR="00772179" w14:paraId="56D7A67B" w14:textId="77777777">
        <w:tc>
          <w:tcPr>
            <w:tcW w:w="2715" w:type="dxa"/>
            <w:noWrap/>
          </w:tcPr>
          <w:p w14:paraId="193B21AF" w14:textId="77777777" w:rsidR="00772179" w:rsidRDefault="00000000">
            <w:r>
              <w:t>Local</w:t>
            </w:r>
          </w:p>
        </w:tc>
        <w:tc>
          <w:tcPr>
            <w:tcW w:w="2715" w:type="dxa"/>
            <w:noWrap/>
          </w:tcPr>
          <w:p w14:paraId="0C87F033" w14:textId="77777777" w:rsidR="00772179" w:rsidRDefault="00000000">
            <w:pPr>
              <w:jc w:val="center"/>
            </w:pPr>
            <w:r>
              <w:t>Au moins m³/h</w:t>
            </w:r>
          </w:p>
        </w:tc>
        <w:tc>
          <w:tcPr>
            <w:tcW w:w="2715" w:type="dxa"/>
            <w:noWrap/>
          </w:tcPr>
          <w:p w14:paraId="56167BCA" w14:textId="77777777" w:rsidR="00772179" w:rsidRDefault="00000000">
            <w:pPr>
              <w:jc w:val="center"/>
            </w:pPr>
            <w:r>
              <w:t>Nominal m³/h</w:t>
            </w:r>
          </w:p>
        </w:tc>
        <w:tc>
          <w:tcPr>
            <w:tcW w:w="2715" w:type="dxa"/>
            <w:noWrap/>
          </w:tcPr>
          <w:p w14:paraId="3797D51E" w14:textId="77777777" w:rsidR="00772179" w:rsidRDefault="00000000">
            <w:pPr>
              <w:jc w:val="center"/>
            </w:pPr>
            <w:r>
              <w:t>Maximal m³/h</w:t>
            </w:r>
          </w:p>
        </w:tc>
      </w:tr>
      <w:tr w:rsidR="00772179" w14:paraId="3C468A06" w14:textId="77777777">
        <w:tc>
          <w:tcPr>
            <w:tcW w:w="2715" w:type="dxa"/>
            <w:noWrap/>
          </w:tcPr>
          <w:p w14:paraId="2A1A9A92" w14:textId="77777777" w:rsidR="00772179" w:rsidRDefault="00000000">
            <w:r>
              <w:t>Séjour, bureau, salle de jeu</w:t>
            </w:r>
          </w:p>
        </w:tc>
        <w:tc>
          <w:tcPr>
            <w:tcW w:w="2715" w:type="dxa"/>
            <w:noWrap/>
          </w:tcPr>
          <w:p w14:paraId="59A89D5E" w14:textId="77777777" w:rsidR="00772179" w:rsidRDefault="00000000">
            <w:pPr>
              <w:jc w:val="center"/>
            </w:pPr>
            <w:r>
              <w:t>75</w:t>
            </w:r>
          </w:p>
        </w:tc>
        <w:tc>
          <w:tcPr>
            <w:tcW w:w="2715" w:type="dxa"/>
            <w:noWrap/>
          </w:tcPr>
          <w:p w14:paraId="34AA002E" w14:textId="77777777" w:rsidR="00772179" w:rsidRDefault="00000000">
            <w:pPr>
              <w:jc w:val="center"/>
            </w:pPr>
            <w:r>
              <w:t>Surface au sol (m²) x 3.6</w:t>
            </w:r>
          </w:p>
        </w:tc>
        <w:tc>
          <w:tcPr>
            <w:tcW w:w="2715" w:type="dxa"/>
            <w:noWrap/>
          </w:tcPr>
          <w:p w14:paraId="78D5C72A" w14:textId="77777777" w:rsidR="00772179" w:rsidRDefault="00000000">
            <w:pPr>
              <w:jc w:val="center"/>
            </w:pPr>
            <w:r>
              <w:t>150</w:t>
            </w:r>
          </w:p>
        </w:tc>
      </w:tr>
      <w:tr w:rsidR="00772179" w14:paraId="4FB95D4C" w14:textId="77777777">
        <w:tc>
          <w:tcPr>
            <w:tcW w:w="2715" w:type="dxa"/>
            <w:noWrap/>
          </w:tcPr>
          <w:p w14:paraId="7929D414" w14:textId="77777777" w:rsidR="00772179" w:rsidRDefault="00000000">
            <w:r>
              <w:t>Chambre à coucher</w:t>
            </w:r>
          </w:p>
        </w:tc>
        <w:tc>
          <w:tcPr>
            <w:tcW w:w="2715" w:type="dxa"/>
            <w:noWrap/>
          </w:tcPr>
          <w:p w14:paraId="54BA038B" w14:textId="77777777" w:rsidR="00772179" w:rsidRDefault="00000000">
            <w:pPr>
              <w:jc w:val="center"/>
            </w:pPr>
            <w:r>
              <w:t>25</w:t>
            </w:r>
          </w:p>
        </w:tc>
        <w:tc>
          <w:tcPr>
            <w:tcW w:w="2715" w:type="dxa"/>
            <w:noWrap/>
          </w:tcPr>
          <w:p w14:paraId="7F26C422" w14:textId="77777777" w:rsidR="00772179" w:rsidRDefault="00000000">
            <w:pPr>
              <w:jc w:val="center"/>
            </w:pPr>
            <w:r>
              <w:t>Surface au sol (m²) x 3,6</w:t>
            </w:r>
          </w:p>
        </w:tc>
        <w:tc>
          <w:tcPr>
            <w:tcW w:w="2715" w:type="dxa"/>
            <w:noWrap/>
          </w:tcPr>
          <w:p w14:paraId="0D3F47FD" w14:textId="77777777" w:rsidR="00772179" w:rsidRDefault="00000000">
            <w:pPr>
              <w:jc w:val="center"/>
            </w:pPr>
            <w:r>
              <w:t>36 par personne</w:t>
            </w:r>
          </w:p>
        </w:tc>
      </w:tr>
    </w:tbl>
    <w:p w14:paraId="153D02C8" w14:textId="77777777" w:rsidR="00772179" w:rsidRDefault="00000000">
      <w:r>
        <w:t> </w:t>
      </w:r>
    </w:p>
    <w:p w14:paraId="60A061C9" w14:textId="77777777" w:rsidR="00772179" w:rsidRDefault="00000000">
      <w:r>
        <w:t>Ce poste s’entend dans une entité : Grilles extérieures et intérieures ainsi que le fourreau de passage sont parfaitement adapté l’un à l’autre.</w:t>
      </w:r>
    </w:p>
    <w:p w14:paraId="03D43F87" w14:textId="77777777" w:rsidR="00772179" w:rsidRDefault="00000000">
      <w:pPr>
        <w:pStyle w:val="pheading"/>
      </w:pPr>
      <w:r>
        <w:t>MATÉRIAUX</w:t>
      </w:r>
    </w:p>
    <w:p w14:paraId="0095D9EA" w14:textId="77777777" w:rsidR="00772179" w:rsidRDefault="00000000">
      <w:pPr>
        <w:pStyle w:val="pheading"/>
      </w:pPr>
      <w:r>
        <w:t>- Caractéristiques générales</w:t>
      </w:r>
    </w:p>
    <w:p w14:paraId="0FD59E82" w14:textId="77777777" w:rsidR="00772179" w:rsidRDefault="00000000">
      <w:pPr>
        <w:pStyle w:val="heading"/>
      </w:pPr>
      <w:r>
        <w:t>Grille extérieure</w:t>
      </w:r>
    </w:p>
    <w:p w14:paraId="112E930F" w14:textId="77777777" w:rsidR="00772179" w:rsidRDefault="00000000">
      <w:r>
        <w:t xml:space="preserve">Grille en aluminium </w:t>
      </w:r>
      <w:r>
        <w:rPr>
          <w:rStyle w:val="optioncarChar"/>
        </w:rPr>
        <w:t>Al Mg Si 0,5 / ***</w:t>
      </w:r>
      <w:r>
        <w:t xml:space="preserve"> composée de lames horizontales comprises dans un cadre.</w:t>
      </w:r>
    </w:p>
    <w:p w14:paraId="42CC5D69" w14:textId="77777777" w:rsidR="00772179" w:rsidRDefault="00000000">
      <w:r>
        <w:t xml:space="preserve">L'épaisseur minimale des profils est de 1,5 mm. </w:t>
      </w:r>
      <w:r>
        <w:br/>
        <w:t>La grille est pourvue d'un profil récupérateur d'eau, monté en dessous de la lame inférieure afin d'assurer une étanchéité à l'eau optimale.</w:t>
      </w:r>
    </w:p>
    <w:p w14:paraId="352854C2" w14:textId="77777777" w:rsidR="00772179" w:rsidRDefault="00000000">
      <w:r>
        <w:t>Tous les éléments sont préalablement assemblés avant anodisation ou thermo-laquage pour garantir une finition parfaite au niveau des découpes et raccordements de coins.</w:t>
      </w:r>
      <w:r>
        <w:br/>
        <w:t>La finition est soit anodisée, soit laquée (épaisseur ≥ 60 μm sur support chromaté ou support pré-anodisé en environnement agressif).</w:t>
      </w:r>
    </w:p>
    <w:p w14:paraId="67485CE8" w14:textId="77777777" w:rsidR="00772179" w:rsidRDefault="00000000">
      <w:r>
        <w:t>En face arrière, la grille est pourvue d’une moustiquaire antistatique en inox 304 fixée sur le cadre.</w:t>
      </w:r>
      <w:r>
        <w:br/>
        <w:t>La grille est fixée, de manière non visible de l’extérieur .</w:t>
      </w:r>
    </w:p>
    <w:p w14:paraId="5E212697" w14:textId="77777777" w:rsidR="00772179" w:rsidRDefault="00000000">
      <w:pPr>
        <w:pStyle w:val="heading"/>
      </w:pPr>
      <w:r>
        <w:t>Grille intérieure réglable</w:t>
      </w:r>
    </w:p>
    <w:p w14:paraId="38D267CA" w14:textId="77777777" w:rsidR="00772179" w:rsidRDefault="00000000">
      <w:r>
        <w:t xml:space="preserve">Grille en aluminium </w:t>
      </w:r>
      <w:r>
        <w:rPr>
          <w:rStyle w:val="optioncarChar"/>
        </w:rPr>
        <w:t>Al Mg Si 0,5 / ***</w:t>
      </w:r>
    </w:p>
    <w:p w14:paraId="7AE490AA" w14:textId="77777777" w:rsidR="00772179" w:rsidRDefault="00000000">
      <w:r>
        <w:lastRenderedPageBreak/>
        <w:t>La grille est caractérisée par un design sobre. La plaque de recouvrement empêche la vue directe du conduit de passage d’air et est fixée de manière invisible sur une pièce coulissante. Cet élément réglable est monté sur une base vissée de manière non visible à la paroi ou au plafond.</w:t>
      </w:r>
    </w:p>
    <w:p w14:paraId="2D8EB342" w14:textId="77777777" w:rsidR="00772179" w:rsidRDefault="00000000">
      <w:r>
        <w:t>La grille est choisie en fonction de son passage d’air, ce dernier est conforme aux normes de ventilation en vigueur.</w:t>
      </w:r>
    </w:p>
    <w:p w14:paraId="567FBB39" w14:textId="77777777" w:rsidR="00772179" w:rsidRDefault="00000000">
      <w:pPr>
        <w:pStyle w:val="heading"/>
      </w:pPr>
      <w:r>
        <w:t>Fourreau de ventilation</w:t>
      </w:r>
    </w:p>
    <w:p w14:paraId="7D3E6826" w14:textId="77777777" w:rsidR="00772179" w:rsidRDefault="00000000">
      <w:r>
        <w:t>Fourreau réalisé en matière inaltérable, parfaitement jointif aux faces intérieures des grilles extérieures et intérieures dont il est question dans cet article.</w:t>
      </w:r>
    </w:p>
    <w:p w14:paraId="5E2E6FF7" w14:textId="77777777" w:rsidR="00772179" w:rsidRDefault="00000000">
      <w:r>
        <w:t>La section intérieure du fourreau est calculée de manière à permettre au moins le débit minimum de la grille intérieure.</w:t>
      </w:r>
      <w:r>
        <w:br/>
        <w:t>Pour mémoire, 3,6 m³/h d’air passent par 10 cm² libres sous une pression de 2 Pa.</w:t>
      </w:r>
    </w:p>
    <w:p w14:paraId="368A41CE" w14:textId="77777777" w:rsidR="00772179" w:rsidRDefault="00000000">
      <w:pPr>
        <w:pStyle w:val="pheading"/>
      </w:pPr>
      <w:r>
        <w:t>- Finitions</w:t>
      </w:r>
    </w:p>
    <w:p w14:paraId="710B44F7" w14:textId="77777777" w:rsidR="00772179" w:rsidRDefault="00000000">
      <w:pPr>
        <w:pStyle w:val="heading"/>
      </w:pPr>
      <w:r>
        <w:t>Grille extérieure</w:t>
      </w:r>
    </w:p>
    <w:p w14:paraId="58619C5C" w14:textId="77777777" w:rsidR="00772179" w:rsidRDefault="00000000">
      <w:pPr>
        <w:pStyle w:val="Author-eListParagraph"/>
        <w:numPr>
          <w:ilvl w:val="0"/>
          <w:numId w:val="747"/>
        </w:numPr>
      </w:pPr>
      <w:r>
        <w:t>Type : Grille murale de ventilation permanente.</w:t>
      </w:r>
    </w:p>
    <w:p w14:paraId="33B84D2A" w14:textId="77777777" w:rsidR="00772179" w:rsidRDefault="00000000">
      <w:pPr>
        <w:pStyle w:val="Author-eListParagraph"/>
        <w:numPr>
          <w:ilvl w:val="0"/>
          <w:numId w:val="747"/>
        </w:numPr>
      </w:pPr>
      <w:r>
        <w:t>Débit : Répondant à la norme [NBN D 50-001], le débit de la grille est fonction de son passage physique libre qui est justifié par la fourniture de la fiche technique du produit sélectionné.</w:t>
      </w:r>
    </w:p>
    <w:p w14:paraId="407512A2" w14:textId="77777777" w:rsidR="00772179" w:rsidRDefault="00000000">
      <w:pPr>
        <w:pStyle w:val="Author-eListParagraph"/>
        <w:numPr>
          <w:ilvl w:val="0"/>
          <w:numId w:val="747"/>
        </w:numPr>
      </w:pPr>
      <w:r>
        <w:t xml:space="preserve">Finition : </w:t>
      </w:r>
      <w:r>
        <w:rPr>
          <w:rStyle w:val="optioncarChar"/>
        </w:rPr>
        <w:t xml:space="preserve">Anodisée </w:t>
      </w:r>
      <w:r>
        <w:t>(par défaut)</w:t>
      </w:r>
      <w:r>
        <w:rPr>
          <w:rStyle w:val="optioncarChar"/>
        </w:rPr>
        <w:t xml:space="preserve"> / Laquée</w:t>
      </w:r>
      <w:r>
        <w:t xml:space="preserve"> (teinte RAL et structure à préciser : </w:t>
      </w:r>
      <w:r>
        <w:rPr>
          <w:rStyle w:val="optioncarChar"/>
        </w:rPr>
        <w:t>***</w:t>
      </w:r>
      <w:r>
        <w:t>) </w:t>
      </w:r>
      <w:r>
        <w:rPr>
          <w:rStyle w:val="optioncarChar"/>
        </w:rPr>
        <w:t>/ ***</w:t>
      </w:r>
    </w:p>
    <w:p w14:paraId="6658AA8A" w14:textId="77777777" w:rsidR="00772179" w:rsidRDefault="00000000">
      <w:pPr>
        <w:pStyle w:val="heading"/>
      </w:pPr>
      <w:r>
        <w:t>Grille intérieure réglable</w:t>
      </w:r>
    </w:p>
    <w:p w14:paraId="72935A3A" w14:textId="77777777" w:rsidR="00772179" w:rsidRDefault="00000000">
      <w:pPr>
        <w:pStyle w:val="Author-eListParagraph"/>
        <w:numPr>
          <w:ilvl w:val="0"/>
          <w:numId w:val="748"/>
        </w:numPr>
      </w:pPr>
      <w:r>
        <w:t xml:space="preserve">Grille en aluminium </w:t>
      </w:r>
      <w:r>
        <w:rPr>
          <w:rStyle w:val="optioncarChar"/>
        </w:rPr>
        <w:t>Al Mg Si 0,5 / ***</w:t>
      </w:r>
    </w:p>
    <w:p w14:paraId="19F96B11" w14:textId="77777777" w:rsidR="00772179" w:rsidRDefault="00000000">
      <w:pPr>
        <w:pStyle w:val="Author-eListParagraph"/>
        <w:numPr>
          <w:ilvl w:val="0"/>
          <w:numId w:val="748"/>
        </w:numPr>
      </w:pPr>
      <w:r>
        <w:t>Type : Grille murale de ventilation réglable</w:t>
      </w:r>
    </w:p>
    <w:p w14:paraId="108D38BB" w14:textId="77777777" w:rsidR="00772179" w:rsidRDefault="00000000">
      <w:pPr>
        <w:pStyle w:val="Author-eListParagraph"/>
        <w:numPr>
          <w:ilvl w:val="0"/>
          <w:numId w:val="748"/>
        </w:numPr>
      </w:pPr>
      <w:r>
        <w:t>Débit : Répondant à la norme [NBN D 50-001], le débit de la grille est fonction de son passage physique libre qui est  justifié par la fourniture de la fiche technique du produit sélectionné.</w:t>
      </w:r>
    </w:p>
    <w:p w14:paraId="14C61156" w14:textId="77777777" w:rsidR="00772179" w:rsidRDefault="00000000">
      <w:pPr>
        <w:pStyle w:val="Author-eListParagraph"/>
        <w:numPr>
          <w:ilvl w:val="0"/>
          <w:numId w:val="748"/>
        </w:numPr>
      </w:pPr>
      <w:r>
        <w:t>Finition :</w:t>
      </w:r>
      <w:r>
        <w:rPr>
          <w:rStyle w:val="optioncarChar"/>
        </w:rPr>
        <w:t> Anodisée </w:t>
      </w:r>
      <w:r>
        <w:t>(par défaut)</w:t>
      </w:r>
      <w:r>
        <w:rPr>
          <w:rStyle w:val="optioncarChar"/>
        </w:rPr>
        <w:t xml:space="preserve"> / Laquée </w:t>
      </w:r>
      <w:r>
        <w:t xml:space="preserve">(teinte RAL et structure à préciser : </w:t>
      </w:r>
      <w:r>
        <w:rPr>
          <w:rStyle w:val="optioncarChar"/>
        </w:rPr>
        <w:t>***</w:t>
      </w:r>
      <w:r>
        <w:t xml:space="preserve">) </w:t>
      </w:r>
      <w:r>
        <w:rPr>
          <w:rStyle w:val="optioncarChar"/>
        </w:rPr>
        <w:t>/ ***</w:t>
      </w:r>
    </w:p>
    <w:p w14:paraId="0D93DAF3" w14:textId="77777777" w:rsidR="00772179" w:rsidRDefault="00000000">
      <w:pPr>
        <w:pStyle w:val="heading"/>
      </w:pPr>
      <w:r>
        <w:t>Fourreau de ventilation</w:t>
      </w:r>
    </w:p>
    <w:p w14:paraId="7C43536C" w14:textId="77777777" w:rsidR="00772179" w:rsidRDefault="00000000">
      <w:pPr>
        <w:pStyle w:val="Author-eListParagraph"/>
        <w:numPr>
          <w:ilvl w:val="0"/>
          <w:numId w:val="749"/>
        </w:numPr>
      </w:pPr>
      <w:r>
        <w:t>Type : Grille murale de ventilation réglable</w:t>
      </w:r>
    </w:p>
    <w:p w14:paraId="3DE44A73" w14:textId="77777777" w:rsidR="00772179" w:rsidRDefault="00000000">
      <w:pPr>
        <w:pStyle w:val="Author-eListParagraph"/>
        <w:numPr>
          <w:ilvl w:val="0"/>
          <w:numId w:val="749"/>
        </w:numPr>
      </w:pPr>
      <w:r>
        <w:t>Débit : Répondant à la norme [NBN D 50-001], le débit de la grille est fonction de son passage physique libre qui est justifié par la fourniture de la fiche technique du produit sélectionné.</w:t>
      </w:r>
    </w:p>
    <w:p w14:paraId="7A08ED20" w14:textId="77777777" w:rsidR="00772179" w:rsidRDefault="00000000">
      <w:pPr>
        <w:pStyle w:val="Author-eListParagraph"/>
        <w:numPr>
          <w:ilvl w:val="0"/>
          <w:numId w:val="749"/>
        </w:numPr>
      </w:pPr>
      <w:r>
        <w:t xml:space="preserve">Matériau : </w:t>
      </w:r>
      <w:r>
        <w:rPr>
          <w:rStyle w:val="optioncarChar"/>
        </w:rPr>
        <w:t>PVC gris </w:t>
      </w:r>
      <w:r>
        <w:t xml:space="preserve">(par défaut) </w:t>
      </w:r>
      <w:r>
        <w:rPr>
          <w:rStyle w:val="optioncarChar"/>
        </w:rPr>
        <w:t>/ Acier galvanisé / Inox / ***</w:t>
      </w:r>
    </w:p>
    <w:p w14:paraId="437DCC2D" w14:textId="77777777" w:rsidR="00772179" w:rsidRDefault="00000000">
      <w:pPr>
        <w:pStyle w:val="pheading"/>
      </w:pPr>
      <w:r>
        <w:t>MESURAGE</w:t>
      </w:r>
    </w:p>
    <w:p w14:paraId="4C0EB563" w14:textId="77777777" w:rsidR="00772179" w:rsidRDefault="00000000">
      <w:pPr>
        <w:pStyle w:val="pheading"/>
      </w:pPr>
      <w:r>
        <w:t>- unité de mesure:</w:t>
      </w:r>
    </w:p>
    <w:p w14:paraId="6B51650A" w14:textId="77777777" w:rsidR="00772179" w:rsidRDefault="00000000">
      <w:r>
        <w:t>pc</w:t>
      </w:r>
    </w:p>
    <w:p w14:paraId="2C9E14D0" w14:textId="77777777" w:rsidR="00772179" w:rsidRDefault="00000000">
      <w:pPr>
        <w:pStyle w:val="pheading"/>
      </w:pPr>
      <w:r>
        <w:t>- code de mesurage:</w:t>
      </w:r>
    </w:p>
    <w:p w14:paraId="479143DB" w14:textId="77777777" w:rsidR="00772179" w:rsidRDefault="00000000">
      <w:r>
        <w:t>Selon les dimensions dans l’œuvre</w:t>
      </w:r>
    </w:p>
    <w:p w14:paraId="2AE50FA9" w14:textId="77777777" w:rsidR="00772179" w:rsidRDefault="00000000">
      <w:pPr>
        <w:pStyle w:val="pheading"/>
      </w:pPr>
      <w:r>
        <w:t>- nature du marché:</w:t>
      </w:r>
    </w:p>
    <w:p w14:paraId="30969DD6" w14:textId="77777777" w:rsidR="00772179" w:rsidRDefault="00000000">
      <w:r>
        <w:t>QP</w:t>
      </w:r>
    </w:p>
    <w:p w14:paraId="1D31F39C" w14:textId="77777777" w:rsidR="00772179" w:rsidRDefault="00000000">
      <w:pPr>
        <w:pStyle w:val="Author-eSectionHeading6Numberless"/>
      </w:pPr>
      <w:bookmarkStart w:id="377" w:name="_Toc220490100"/>
      <w:r>
        <w:t>41.75.1c Ouvertures d'amenée d'air dans quincaillerie CCTB 01.02</w:t>
      </w:r>
      <w:bookmarkEnd w:id="377"/>
    </w:p>
    <w:p w14:paraId="205B6B7C" w14:textId="77777777" w:rsidR="00772179" w:rsidRDefault="00000000">
      <w:pPr>
        <w:pStyle w:val="Author-eSectionHeading6Numberless"/>
      </w:pPr>
      <w:bookmarkStart w:id="378" w:name="_Toc220490101"/>
      <w:r>
        <w:t>41.75.1d Ouvertures d'amenée d'air dans vitrage CCTB 01.11</w:t>
      </w:r>
      <w:bookmarkEnd w:id="378"/>
    </w:p>
    <w:p w14:paraId="6E373648" w14:textId="77777777" w:rsidR="00772179" w:rsidRDefault="00000000">
      <w:pPr>
        <w:pStyle w:val="pheading"/>
      </w:pPr>
      <w:r>
        <w:t>DESCRIPTION</w:t>
      </w:r>
    </w:p>
    <w:p w14:paraId="572A57E0" w14:textId="77777777" w:rsidR="00772179" w:rsidRDefault="00000000">
      <w:pPr>
        <w:pStyle w:val="pheading"/>
      </w:pPr>
      <w:r>
        <w:t>- Définition / Comprend</w:t>
      </w:r>
    </w:p>
    <w:p w14:paraId="0E79FFA0" w14:textId="77777777" w:rsidR="00772179" w:rsidRDefault="00000000">
      <w:r>
        <w:lastRenderedPageBreak/>
        <w:t>Il s'agit des systèmes de ventilation naturelle, réglables, intégrés dans la menuiserie extérieure, posés sur le vitrage. La ventilation entend l’amenée, le transfert et l’extraction d’air. L’un n'est envisageable sans l’autre.</w:t>
      </w:r>
    </w:p>
    <w:p w14:paraId="79504908" w14:textId="77777777" w:rsidR="00772179" w:rsidRDefault="00000000">
      <w:r>
        <w:t>Cet article traite de l’amenée d’air,</w:t>
      </w:r>
      <w:r>
        <w:br/>
        <w:t>Le transfert d’air est décrit au tome 5,</w:t>
      </w:r>
      <w:r>
        <w:br/>
        <w:t>L’évacuation d’air pour le système A est décrite au tome 6 système A,</w:t>
      </w:r>
      <w:r>
        <w:br/>
        <w:t>L’évacuation d’air pour le système C est décrite au tome 6 système C. </w:t>
      </w:r>
    </w:p>
    <w:p w14:paraId="180EA2AF" w14:textId="77777777" w:rsidR="00772179" w:rsidRDefault="00000000">
      <w:r>
        <w:t xml:space="preserve">Les ouvertures d'amenée d'air dans les vitrages ne diminuent en aucun cas les performances optimales définies dans l'article </w:t>
      </w:r>
      <w:hyperlink w:anchor="64" w:history="1">
        <w:r>
          <w:rPr>
            <w:color w:val="0000EE"/>
          </w:rPr>
          <w:t>41.1 Fenêtres et portes-fenêtres</w:t>
        </w:r>
      </w:hyperlink>
      <w:r>
        <w:t xml:space="preserve"> et </w:t>
      </w:r>
      <w:hyperlink w:anchor="972" w:history="1">
        <w:r>
          <w:rPr>
            <w:color w:val="0000EE"/>
          </w:rPr>
          <w:t>42.1 Vitrages simples</w:t>
        </w:r>
      </w:hyperlink>
      <w:r>
        <w:t xml:space="preserve"> pour les châssis de fenêtre, les façades et les vitrages.</w:t>
      </w:r>
    </w:p>
    <w:p w14:paraId="0483C0E9" w14:textId="77777777" w:rsidR="00772179" w:rsidRDefault="00000000">
      <w:r>
        <w:t>L’aérateur est choisi en fonction de son débit nominal sous 2 Pa de manière à répondre au besoin de ventilation du local, conformément à la norme [NBN D 50-001], c'est-à-dire, pour rappel : </w:t>
      </w:r>
    </w:p>
    <w:tbl>
      <w:tblPr>
        <w:tblStyle w:val="Author-eTableGrid"/>
        <w:tblW w:w="8520" w:type="dxa"/>
        <w:tblLayout w:type="fixed"/>
        <w:tblLook w:val="04A0" w:firstRow="1" w:lastRow="0" w:firstColumn="1" w:lastColumn="0" w:noHBand="0" w:noVBand="1"/>
      </w:tblPr>
      <w:tblGrid>
        <w:gridCol w:w="2130"/>
        <w:gridCol w:w="2130"/>
        <w:gridCol w:w="2130"/>
        <w:gridCol w:w="2130"/>
      </w:tblGrid>
      <w:tr w:rsidR="00772179" w14:paraId="1C65840D" w14:textId="77777777">
        <w:tc>
          <w:tcPr>
            <w:tcW w:w="8520" w:type="dxa"/>
            <w:gridSpan w:val="4"/>
            <w:noWrap/>
          </w:tcPr>
          <w:p w14:paraId="4D8C5A00" w14:textId="77777777" w:rsidR="00772179" w:rsidRDefault="00000000">
            <w:pPr>
              <w:jc w:val="center"/>
            </w:pPr>
            <w:r>
              <w:t>ALIMENTATION D’AIR</w:t>
            </w:r>
          </w:p>
        </w:tc>
      </w:tr>
      <w:tr w:rsidR="00772179" w14:paraId="61ED8AAB" w14:textId="77777777">
        <w:tc>
          <w:tcPr>
            <w:tcW w:w="2130" w:type="dxa"/>
            <w:noWrap/>
          </w:tcPr>
          <w:p w14:paraId="7D879639" w14:textId="77777777" w:rsidR="00772179" w:rsidRDefault="00000000">
            <w:r>
              <w:t>Local</w:t>
            </w:r>
          </w:p>
        </w:tc>
        <w:tc>
          <w:tcPr>
            <w:tcW w:w="2130" w:type="dxa"/>
            <w:noWrap/>
          </w:tcPr>
          <w:p w14:paraId="559B0F0D" w14:textId="77777777" w:rsidR="00772179" w:rsidRDefault="00000000">
            <w:pPr>
              <w:jc w:val="center"/>
            </w:pPr>
            <w:r>
              <w:t>Au moins m³/h</w:t>
            </w:r>
          </w:p>
        </w:tc>
        <w:tc>
          <w:tcPr>
            <w:tcW w:w="2130" w:type="dxa"/>
            <w:noWrap/>
          </w:tcPr>
          <w:p w14:paraId="389D59CA" w14:textId="77777777" w:rsidR="00772179" w:rsidRDefault="00000000">
            <w:pPr>
              <w:jc w:val="center"/>
            </w:pPr>
            <w:r>
              <w:t>Nominal m³/h</w:t>
            </w:r>
          </w:p>
        </w:tc>
        <w:tc>
          <w:tcPr>
            <w:tcW w:w="2130" w:type="dxa"/>
            <w:noWrap/>
          </w:tcPr>
          <w:p w14:paraId="078A5BB9" w14:textId="77777777" w:rsidR="00772179" w:rsidRDefault="00000000">
            <w:pPr>
              <w:jc w:val="center"/>
            </w:pPr>
            <w:r>
              <w:t>Maximal m³/h</w:t>
            </w:r>
          </w:p>
        </w:tc>
      </w:tr>
      <w:tr w:rsidR="00772179" w14:paraId="6B28A932" w14:textId="77777777">
        <w:tc>
          <w:tcPr>
            <w:tcW w:w="2130" w:type="dxa"/>
            <w:noWrap/>
          </w:tcPr>
          <w:p w14:paraId="70EDA061" w14:textId="77777777" w:rsidR="00772179" w:rsidRDefault="00000000">
            <w:r>
              <w:t>Séjour, bureau, salle de jeu</w:t>
            </w:r>
          </w:p>
        </w:tc>
        <w:tc>
          <w:tcPr>
            <w:tcW w:w="2130" w:type="dxa"/>
            <w:noWrap/>
          </w:tcPr>
          <w:p w14:paraId="672E9668" w14:textId="77777777" w:rsidR="00772179" w:rsidRDefault="00000000">
            <w:pPr>
              <w:jc w:val="center"/>
            </w:pPr>
            <w:r>
              <w:t>75</w:t>
            </w:r>
          </w:p>
        </w:tc>
        <w:tc>
          <w:tcPr>
            <w:tcW w:w="2130" w:type="dxa"/>
            <w:noWrap/>
          </w:tcPr>
          <w:p w14:paraId="014D06A7" w14:textId="77777777" w:rsidR="00772179" w:rsidRDefault="00000000">
            <w:pPr>
              <w:jc w:val="center"/>
            </w:pPr>
            <w:r>
              <w:t>Surface au sol (m²) x 3.6</w:t>
            </w:r>
          </w:p>
        </w:tc>
        <w:tc>
          <w:tcPr>
            <w:tcW w:w="2130" w:type="dxa"/>
            <w:noWrap/>
          </w:tcPr>
          <w:p w14:paraId="0304D33E" w14:textId="77777777" w:rsidR="00772179" w:rsidRDefault="00000000">
            <w:pPr>
              <w:jc w:val="center"/>
            </w:pPr>
            <w:r>
              <w:t>150</w:t>
            </w:r>
          </w:p>
        </w:tc>
      </w:tr>
      <w:tr w:rsidR="00772179" w14:paraId="3166C5F7" w14:textId="77777777">
        <w:tc>
          <w:tcPr>
            <w:tcW w:w="2130" w:type="dxa"/>
            <w:noWrap/>
          </w:tcPr>
          <w:p w14:paraId="11EFC6EF" w14:textId="77777777" w:rsidR="00772179" w:rsidRDefault="00000000">
            <w:r>
              <w:t>Chambre à coucher</w:t>
            </w:r>
          </w:p>
        </w:tc>
        <w:tc>
          <w:tcPr>
            <w:tcW w:w="2130" w:type="dxa"/>
            <w:noWrap/>
          </w:tcPr>
          <w:p w14:paraId="36AF6902" w14:textId="77777777" w:rsidR="00772179" w:rsidRDefault="00000000">
            <w:pPr>
              <w:jc w:val="center"/>
            </w:pPr>
            <w:r>
              <w:t>25</w:t>
            </w:r>
          </w:p>
        </w:tc>
        <w:tc>
          <w:tcPr>
            <w:tcW w:w="2130" w:type="dxa"/>
            <w:noWrap/>
          </w:tcPr>
          <w:p w14:paraId="025C55AF" w14:textId="77777777" w:rsidR="00772179" w:rsidRDefault="00000000">
            <w:pPr>
              <w:jc w:val="center"/>
            </w:pPr>
            <w:r>
              <w:t>Surface au sol (m²) x 3,6</w:t>
            </w:r>
          </w:p>
        </w:tc>
        <w:tc>
          <w:tcPr>
            <w:tcW w:w="2130" w:type="dxa"/>
            <w:noWrap/>
          </w:tcPr>
          <w:p w14:paraId="2B4FD9E4" w14:textId="77777777" w:rsidR="00772179" w:rsidRDefault="00000000">
            <w:pPr>
              <w:jc w:val="center"/>
            </w:pPr>
            <w:r>
              <w:t>36 par personne</w:t>
            </w:r>
          </w:p>
        </w:tc>
      </w:tr>
    </w:tbl>
    <w:p w14:paraId="4EC55FCF" w14:textId="77777777" w:rsidR="00772179" w:rsidRDefault="00000000">
      <w:pPr>
        <w:pStyle w:val="pheading"/>
      </w:pPr>
      <w:r>
        <w:t>MATÉRIAUX</w:t>
      </w:r>
    </w:p>
    <w:p w14:paraId="04F96231" w14:textId="77777777" w:rsidR="00772179" w:rsidRDefault="00000000">
      <w:pPr>
        <w:pStyle w:val="pheading"/>
      </w:pPr>
      <w:r>
        <w:t>- Caractéristiques générales</w:t>
      </w:r>
    </w:p>
    <w:p w14:paraId="6E38AB0B" w14:textId="77777777" w:rsidR="00772179" w:rsidRDefault="00000000">
      <w:r>
        <w:t>Les grilles de ventilation sont fabriquées</w:t>
      </w:r>
      <w:r>
        <w:rPr>
          <w:rStyle w:val="optioncarChar"/>
        </w:rPr>
        <w:t> en aluminium à rupture thermique (AIMgSI 0,5</w:t>
      </w:r>
      <w:r>
        <w:t xml:space="preserve">) </w:t>
      </w:r>
      <w:r>
        <w:rPr>
          <w:rStyle w:val="optioncarChar"/>
        </w:rPr>
        <w:t>/ ***</w:t>
      </w:r>
      <w:r>
        <w:t>.  L'épaisseur moyenne de l'aluminium est  ≥ 1,5 mm. La finition est  soit anodisée, soit laquée (épaisseur ≥ 60 μm sur support chromaté ou support pré-anodisé en environnement agressif).</w:t>
      </w:r>
      <w:r>
        <w:br/>
        <w:t>Les extrémités sont fabriquées en matière synthétique dure résistant aux intempéries. Lorsque celles-ci sont disponibles en plusieurs couleurs, des échantillons sont soumis au maître d’ouvrage.</w:t>
      </w:r>
      <w:r>
        <w:br/>
        <w:t>Sauf dispositions spéciales dans le cahier spécial des charges, l'entrepreneur peut choisir librement des grilles plates et/ou des grilles saillantes par rapport au plan de la fenêtre. Tous les dispositifs de réglage sont autorisés, pourvu qu'ils répondent aux dispositions des articles suivants. Tous les types placés dans une même façade s'harmonisent au niveau de la forme. </w:t>
      </w:r>
      <w:r>
        <w:br/>
        <w:t>L'entrée d'air est  protégée contre la pluie. Par vent violent, les grilles ne sifflent pas ou cliquettent.</w:t>
      </w:r>
      <w:r>
        <w:br/>
        <w:t>Les grilles de ventilations sont équipées d’une protection contre l’intrusion d’insectes : elles sont soit équipées d’une moustiquaire, soit de perforations dans l’aluminium faisant office.</w:t>
      </w:r>
      <w:r>
        <w:br/>
        <w:t>Le nettoyage des grilles de ventilation s’effectue facilement. </w:t>
      </w:r>
      <w:r>
        <w:br/>
        <w:t>Les débits d'air nominaux respectifs correspondent à la norme sur la ventilation [NBN D 50-001]. La perméabilité à l'air est réglée ou fermée de l'intérieur.</w:t>
      </w:r>
      <w:r>
        <w:br/>
        <w:t>Des échantillons des types proposés sont soumis pour approbation au maître d’ouvrage.</w:t>
      </w:r>
    </w:p>
    <w:p w14:paraId="0F06BC83" w14:textId="77777777" w:rsidR="00772179" w:rsidRDefault="00000000">
      <w:pPr>
        <w:pStyle w:val="heading"/>
      </w:pPr>
      <w:r>
        <w:t>Aérateur non auto-réglable</w:t>
      </w:r>
    </w:p>
    <w:p w14:paraId="107A9647" w14:textId="77777777" w:rsidR="00772179" w:rsidRDefault="00000000">
      <w:r>
        <w:t>Le profil intérieur possède des perforations qui garantissent le passage d'air et fait également office de moustiquaire.</w:t>
      </w:r>
      <w:r>
        <w:br/>
        <w:t>En position fermée, ce profil intérieur garantit une étanchéité parfaite à l'eau et au vent, pour des différences de pression aussi bien négatives que positives. </w:t>
      </w:r>
      <w:r>
        <w:br/>
        <w:t>Les embouts ont des nervures de jonction et d'étanchéité à l'eau de façon à obtenir une fermeture parfaite de l’ensemble aérateur-vitrage dans la même épaisseur que le vitrage. </w:t>
      </w:r>
      <w:r>
        <w:br/>
        <w:t>Au préalable, l'entrepreneur soumet le type d’aérateur sélectionné à l'approbation du maître de l’ouvrage, en même temps qu'une fiche technique avec les spécifications du produit en ce qui concerne le passage de l'air. </w:t>
      </w:r>
    </w:p>
    <w:p w14:paraId="49E3ED78" w14:textId="77777777" w:rsidR="00772179" w:rsidRDefault="00000000">
      <w:pPr>
        <w:pStyle w:val="heading"/>
      </w:pPr>
      <w:r>
        <w:t>Aérateur auto-réglable </w:t>
      </w:r>
    </w:p>
    <w:p w14:paraId="4819FFF7" w14:textId="77777777" w:rsidR="00772179" w:rsidRDefault="00000000">
      <w:r>
        <w:t>Le volume d'air est réglé en deux phases :</w:t>
      </w:r>
    </w:p>
    <w:p w14:paraId="287D8BBC" w14:textId="77777777" w:rsidR="00772179" w:rsidRDefault="00000000">
      <w:pPr>
        <w:pStyle w:val="Author-eListParagraph"/>
        <w:numPr>
          <w:ilvl w:val="0"/>
          <w:numId w:val="750"/>
        </w:numPr>
      </w:pPr>
      <w:r>
        <w:lastRenderedPageBreak/>
        <w:t>D’une part par un dispositif de réglage posé dans l'ouverture d'entrée d'air, et qui réagit automatiquement aux variations de pression et à la force du vent. Ce mécanisme ne peut être influencé par l'utilisateur.</w:t>
      </w:r>
    </w:p>
    <w:p w14:paraId="73667F70" w14:textId="77777777" w:rsidR="00772179" w:rsidRDefault="00000000">
      <w:pPr>
        <w:pStyle w:val="Author-eListParagraph"/>
        <w:numPr>
          <w:ilvl w:val="0"/>
          <w:numId w:val="750"/>
        </w:numPr>
      </w:pPr>
      <w:r>
        <w:t>D’autre part, par un dispositif de fermeture réglable rigide.</w:t>
      </w:r>
    </w:p>
    <w:p w14:paraId="3E33EB37" w14:textId="77777777" w:rsidR="00772179" w:rsidRDefault="00000000">
      <w:r>
        <w:t>Le rejet d'eau offre une protection supplémentaire contre les intempéries.</w:t>
      </w:r>
      <w:r>
        <w:br/>
        <w:t>Le clapet de fermeture, réglable, est de forme adaptée afin d'obtenir un passage d'air maximal, en position ouverte.</w:t>
      </w:r>
      <w:r>
        <w:br/>
        <w:t>En position fermée, ce clapet garantit une étanchéité parfaite à l'eau et au vent, pour des différences de pression aussi bien négatives que positives.</w:t>
      </w:r>
      <w:r>
        <w:br/>
        <w:t>Le profil intérieur possède des perforations qui garantissent le passage d'air et fait également office de moustiquaire.</w:t>
      </w:r>
      <w:r>
        <w:br/>
        <w:t>Les embouts ont des nervures de jonction et d'étanchéité à l'eau de façon à obtenir une fermeture parfaite de l’ensemble aérateur-vitrage dans la même épaisseur que le vitrage.</w:t>
      </w:r>
      <w:r>
        <w:br/>
        <w:t>Au préalable, l'entrepreneur soumet le type d’aérateur sélectionné à l'approbation du maître de l’ouvrage, en même temps qu'une fiche technique avec les spécifications du produit en ce qui concerne le passage de l'air. </w:t>
      </w:r>
    </w:p>
    <w:p w14:paraId="68D37CD0" w14:textId="77777777" w:rsidR="00772179" w:rsidRDefault="00000000">
      <w:pPr>
        <w:pStyle w:val="heading"/>
      </w:pPr>
      <w:r>
        <w:t>Aérateur isophonique auto-réglable</w:t>
      </w:r>
    </w:p>
    <w:p w14:paraId="14681D9E" w14:textId="77777777" w:rsidR="00772179" w:rsidRDefault="00000000">
      <w:r>
        <w:t>L'aérateur est posé directement sur le vitrage, au moyen de silicones ou d'un joint néoprène.</w:t>
      </w:r>
      <w:r>
        <w:br/>
        <w:t>Le volume d'air est réglé en deux phases :</w:t>
      </w:r>
    </w:p>
    <w:p w14:paraId="7944F902" w14:textId="77777777" w:rsidR="00772179" w:rsidRDefault="00000000">
      <w:pPr>
        <w:pStyle w:val="Author-eListParagraph"/>
        <w:numPr>
          <w:ilvl w:val="0"/>
          <w:numId w:val="751"/>
        </w:numPr>
      </w:pPr>
      <w:r>
        <w:t>D’une part par un dispositif de réglage posé dans l'ouverture d'entrée d'air, et qui réagit automatiquement aux variations de pression et à la force du vent. Ce mécanisme n'est influencé par l'utilisateur.</w:t>
      </w:r>
    </w:p>
    <w:p w14:paraId="6611ADEC" w14:textId="77777777" w:rsidR="00772179" w:rsidRDefault="00000000">
      <w:pPr>
        <w:pStyle w:val="Author-eListParagraph"/>
        <w:numPr>
          <w:ilvl w:val="0"/>
          <w:numId w:val="751"/>
        </w:numPr>
      </w:pPr>
      <w:r>
        <w:t>D’autre part par un dispositif de fermeture réglable rigide. </w:t>
      </w:r>
    </w:p>
    <w:p w14:paraId="4F4A1BAA" w14:textId="77777777" w:rsidR="00772179" w:rsidRDefault="00000000">
      <w:r>
        <w:t>La grille intérieure perforée, qui empêche l’intrusion d’insectes, est amovible pour le nettoyage.</w:t>
      </w:r>
      <w:r>
        <w:br/>
        <w:t>Les matériaux isophoniques sont remplacés de l'intérieur, sans démontage de l'aérateur. </w:t>
      </w:r>
      <w:r>
        <w:br/>
        <w:t>La combinaison entre performances isophoniques et débits de ventilation satisfont d’une part aux exigences de performance acoustique souhaitées et d’autre part aux réglementations en vigueur concernant ventilation.</w:t>
      </w:r>
    </w:p>
    <w:p w14:paraId="691415EF" w14:textId="77777777" w:rsidR="00772179" w:rsidRDefault="00000000">
      <w:pPr>
        <w:pStyle w:val="pheading"/>
      </w:pPr>
      <w:r>
        <w:t>- Finitions</w:t>
      </w:r>
    </w:p>
    <w:p w14:paraId="429A4F1C" w14:textId="77777777" w:rsidR="00772179" w:rsidRDefault="00000000">
      <w:pPr>
        <w:pStyle w:val="heading"/>
      </w:pPr>
      <w:r>
        <w:t> Aérateur non auto-réglable</w:t>
      </w:r>
    </w:p>
    <w:p w14:paraId="34D9C47B" w14:textId="77777777" w:rsidR="00772179" w:rsidRDefault="00000000">
      <w:pPr>
        <w:pStyle w:val="Author-eListParagraph"/>
        <w:numPr>
          <w:ilvl w:val="0"/>
          <w:numId w:val="752"/>
        </w:numPr>
      </w:pPr>
      <w:r>
        <w:t>Débit : Répondant à la norme [NBN D 50-001]</w:t>
      </w:r>
    </w:p>
    <w:p w14:paraId="21537E53" w14:textId="77777777" w:rsidR="00772179" w:rsidRDefault="00000000">
      <w:pPr>
        <w:pStyle w:val="Author-eListParagraph"/>
        <w:numPr>
          <w:ilvl w:val="0"/>
          <w:numId w:val="752"/>
        </w:numPr>
      </w:pPr>
      <w:r>
        <w:t>Dispositif de réglage : Réglage en continu ou pourvu de 3 positions entre « ouvert » et « fermé »</w:t>
      </w:r>
    </w:p>
    <w:p w14:paraId="1B21EF40" w14:textId="77777777" w:rsidR="00772179" w:rsidRDefault="00000000">
      <w:pPr>
        <w:pStyle w:val="Author-eListParagraph"/>
        <w:numPr>
          <w:ilvl w:val="0"/>
          <w:numId w:val="752"/>
        </w:numPr>
      </w:pPr>
      <w:r>
        <w:t xml:space="preserve">Finition : </w:t>
      </w:r>
      <w:r>
        <w:rPr>
          <w:rStyle w:val="optioncarChar"/>
        </w:rPr>
        <w:t>Anodisée </w:t>
      </w:r>
      <w:r>
        <w:t>(par défaut)</w:t>
      </w:r>
      <w:r>
        <w:rPr>
          <w:rStyle w:val="optioncarChar"/>
        </w:rPr>
        <w:t xml:space="preserve"> / Laquée</w:t>
      </w:r>
      <w:r>
        <w:t xml:space="preserve"> (teinte RAL et structure à préciser : </w:t>
      </w:r>
      <w:r>
        <w:rPr>
          <w:rStyle w:val="optioncarChar"/>
        </w:rPr>
        <w:t>***</w:t>
      </w:r>
      <w:r>
        <w:t>) </w:t>
      </w:r>
    </w:p>
    <w:p w14:paraId="7FE42D75" w14:textId="77777777" w:rsidR="00772179" w:rsidRDefault="00000000">
      <w:pPr>
        <w:pStyle w:val="Author-eListParagraph"/>
        <w:numPr>
          <w:ilvl w:val="0"/>
          <w:numId w:val="752"/>
        </w:numPr>
      </w:pPr>
      <w:r>
        <w:t xml:space="preserve">Finition des embouts : </w:t>
      </w:r>
      <w:r>
        <w:rPr>
          <w:rStyle w:val="optioncarChar"/>
        </w:rPr>
        <w:t xml:space="preserve">PVC teinté dans la masse / Laquée </w:t>
      </w:r>
      <w:r>
        <w:t xml:space="preserve">(teinte RAL et structure à préciser : </w:t>
      </w:r>
      <w:r>
        <w:rPr>
          <w:rStyle w:val="optioncarChar"/>
        </w:rPr>
        <w:t xml:space="preserve">*** </w:t>
      </w:r>
      <w:r>
        <w:t>) </w:t>
      </w:r>
      <w:r>
        <w:rPr>
          <w:rStyle w:val="optioncarChar"/>
        </w:rPr>
        <w:t>/ ***</w:t>
      </w:r>
    </w:p>
    <w:p w14:paraId="6FB0DF15" w14:textId="77777777" w:rsidR="00772179" w:rsidRDefault="00000000">
      <w:pPr>
        <w:pStyle w:val="Author-eListParagraph"/>
        <w:numPr>
          <w:ilvl w:val="0"/>
          <w:numId w:val="752"/>
        </w:numPr>
      </w:pPr>
      <w:r>
        <w:t xml:space="preserve">Commande : </w:t>
      </w:r>
      <w:r>
        <w:rPr>
          <w:rStyle w:val="optioncarChar"/>
        </w:rPr>
        <w:t>Manuelle / Tringle / Cordelette</w:t>
      </w:r>
      <w:r>
        <w:t> </w:t>
      </w:r>
    </w:p>
    <w:p w14:paraId="6F6B12F3" w14:textId="77777777" w:rsidR="00772179" w:rsidRDefault="00000000">
      <w:pPr>
        <w:pStyle w:val="heading"/>
      </w:pPr>
      <w:r>
        <w:t>Aérateur auto-réglable </w:t>
      </w:r>
    </w:p>
    <w:p w14:paraId="79C2EAE3" w14:textId="77777777" w:rsidR="00772179" w:rsidRDefault="00000000">
      <w:pPr>
        <w:pStyle w:val="Author-eListParagraph"/>
        <w:numPr>
          <w:ilvl w:val="0"/>
          <w:numId w:val="753"/>
        </w:numPr>
      </w:pPr>
      <w:r>
        <w:t>Débit : Répondant à la norme [NBN D 50-001]</w:t>
      </w:r>
    </w:p>
    <w:p w14:paraId="45B9F4FC" w14:textId="77777777" w:rsidR="00772179" w:rsidRDefault="00000000">
      <w:pPr>
        <w:pStyle w:val="Author-eListParagraph"/>
        <w:numPr>
          <w:ilvl w:val="0"/>
          <w:numId w:val="753"/>
        </w:numPr>
      </w:pPr>
      <w:r>
        <w:t>Classe d’auto-régulation : ≥ P1 ou à définir (P2 à P4)</w:t>
      </w:r>
    </w:p>
    <w:p w14:paraId="09F83E64" w14:textId="77777777" w:rsidR="00772179" w:rsidRDefault="00000000">
      <w:pPr>
        <w:pStyle w:val="Author-eListParagraph"/>
        <w:numPr>
          <w:ilvl w:val="0"/>
          <w:numId w:val="753"/>
        </w:numPr>
      </w:pPr>
      <w:r>
        <w:t>Dispositif de réglage : Réglage en continu ou pourvu de 3 positions entre « ouvert » et « fermé »</w:t>
      </w:r>
    </w:p>
    <w:p w14:paraId="137E49D0" w14:textId="77777777" w:rsidR="00772179" w:rsidRDefault="00000000">
      <w:pPr>
        <w:pStyle w:val="Author-eListParagraph"/>
        <w:numPr>
          <w:ilvl w:val="0"/>
          <w:numId w:val="753"/>
        </w:numPr>
      </w:pPr>
      <w:r>
        <w:t xml:space="preserve">Finition : </w:t>
      </w:r>
      <w:r>
        <w:rPr>
          <w:rStyle w:val="optioncarChar"/>
        </w:rPr>
        <w:t>Anodisée </w:t>
      </w:r>
      <w:r>
        <w:t>(par défaut)</w:t>
      </w:r>
      <w:r>
        <w:rPr>
          <w:rStyle w:val="optioncarChar"/>
        </w:rPr>
        <w:t xml:space="preserve"> / Laquée </w:t>
      </w:r>
      <w:r>
        <w:t xml:space="preserve">(teinte RAL et structure à préciser : </w:t>
      </w:r>
      <w:r>
        <w:rPr>
          <w:rStyle w:val="optioncarChar"/>
        </w:rPr>
        <w:t>***</w:t>
      </w:r>
      <w:r>
        <w:t>) </w:t>
      </w:r>
      <w:r>
        <w:rPr>
          <w:rStyle w:val="optioncarChar"/>
        </w:rPr>
        <w:t>/ ***</w:t>
      </w:r>
    </w:p>
    <w:p w14:paraId="6EE26EFA" w14:textId="77777777" w:rsidR="00772179" w:rsidRDefault="00000000">
      <w:pPr>
        <w:pStyle w:val="Author-eListParagraph"/>
        <w:numPr>
          <w:ilvl w:val="0"/>
          <w:numId w:val="753"/>
        </w:numPr>
      </w:pPr>
      <w:r>
        <w:t xml:space="preserve">Finition des embouts : </w:t>
      </w:r>
      <w:r>
        <w:rPr>
          <w:rStyle w:val="optioncarChar"/>
        </w:rPr>
        <w:t xml:space="preserve">PVC teinté dans la masse / Laquée </w:t>
      </w:r>
      <w:r>
        <w:t xml:space="preserve">(teinte RAL et structure à préciser : </w:t>
      </w:r>
      <w:r>
        <w:rPr>
          <w:rStyle w:val="optioncarChar"/>
        </w:rPr>
        <w:t xml:space="preserve">*** </w:t>
      </w:r>
      <w:r>
        <w:t>)</w:t>
      </w:r>
    </w:p>
    <w:p w14:paraId="7FC8526B" w14:textId="77777777" w:rsidR="00772179" w:rsidRDefault="00000000">
      <w:pPr>
        <w:pStyle w:val="Author-eListParagraph"/>
        <w:numPr>
          <w:ilvl w:val="0"/>
          <w:numId w:val="753"/>
        </w:numPr>
      </w:pPr>
      <w:r>
        <w:t xml:space="preserve">Commande : </w:t>
      </w:r>
      <w:r>
        <w:rPr>
          <w:rStyle w:val="optioncarChar"/>
        </w:rPr>
        <w:t>Manuelle / Tringle / Cordelette </w:t>
      </w:r>
    </w:p>
    <w:p w14:paraId="430EDEC3" w14:textId="77777777" w:rsidR="00772179" w:rsidRDefault="00000000">
      <w:pPr>
        <w:pStyle w:val="heading"/>
      </w:pPr>
      <w:r>
        <w:t>Aérateur isophonique auto-réglable </w:t>
      </w:r>
    </w:p>
    <w:p w14:paraId="2C84BD7A" w14:textId="77777777" w:rsidR="00772179" w:rsidRDefault="00000000">
      <w:pPr>
        <w:pStyle w:val="Author-eListParagraph"/>
        <w:numPr>
          <w:ilvl w:val="0"/>
          <w:numId w:val="754"/>
        </w:numPr>
      </w:pPr>
      <w:r>
        <w:t>Affaiblissement acoustique : ≥ 40 (-1,-2) db en position ouverte &amp; ≥ 44 (-2,-5) db en position fermée.</w:t>
      </w:r>
    </w:p>
    <w:p w14:paraId="7B65B49A" w14:textId="77777777" w:rsidR="00772179" w:rsidRDefault="00000000">
      <w:pPr>
        <w:pStyle w:val="Author-eListParagraph"/>
        <w:numPr>
          <w:ilvl w:val="0"/>
          <w:numId w:val="754"/>
        </w:numPr>
      </w:pPr>
      <w:r>
        <w:lastRenderedPageBreak/>
        <w:t>Débit : Répondant à la norme [NBN D 50-001],</w:t>
      </w:r>
    </w:p>
    <w:p w14:paraId="07CE7C7F" w14:textId="77777777" w:rsidR="00772179" w:rsidRDefault="00000000">
      <w:pPr>
        <w:pStyle w:val="Author-eListParagraph"/>
        <w:numPr>
          <w:ilvl w:val="0"/>
          <w:numId w:val="754"/>
        </w:numPr>
      </w:pPr>
      <w:r>
        <w:t>Classe d’auto-régulation : ≥ P3</w:t>
      </w:r>
    </w:p>
    <w:p w14:paraId="178AD40E" w14:textId="77777777" w:rsidR="00772179" w:rsidRDefault="00000000">
      <w:pPr>
        <w:pStyle w:val="Author-eListParagraph"/>
        <w:numPr>
          <w:ilvl w:val="0"/>
          <w:numId w:val="754"/>
        </w:numPr>
      </w:pPr>
      <w:r>
        <w:t>Dispositif de réglage : Réglage en continu ou pourvu de 3 positions entre « ouvert » et « fermé »</w:t>
      </w:r>
    </w:p>
    <w:p w14:paraId="43F5CE3D" w14:textId="77777777" w:rsidR="00772179" w:rsidRDefault="00000000">
      <w:pPr>
        <w:pStyle w:val="Author-eListParagraph"/>
        <w:numPr>
          <w:ilvl w:val="0"/>
          <w:numId w:val="754"/>
        </w:numPr>
      </w:pPr>
      <w:r>
        <w:t>Finition :</w:t>
      </w:r>
      <w:r>
        <w:rPr>
          <w:rStyle w:val="optioncarChar"/>
        </w:rPr>
        <w:t> Anodisée</w:t>
      </w:r>
      <w:r>
        <w:t xml:space="preserve"> (par défaut) </w:t>
      </w:r>
      <w:r>
        <w:rPr>
          <w:rStyle w:val="optioncarChar"/>
        </w:rPr>
        <w:t xml:space="preserve">/ Laquée </w:t>
      </w:r>
      <w:r>
        <w:t xml:space="preserve">(teinte RAL et structure à préciser : </w:t>
      </w:r>
      <w:r>
        <w:rPr>
          <w:rStyle w:val="optioncarChar"/>
        </w:rPr>
        <w:t>***</w:t>
      </w:r>
      <w:r>
        <w:t>)</w:t>
      </w:r>
    </w:p>
    <w:p w14:paraId="47F5D9FE" w14:textId="77777777" w:rsidR="00772179" w:rsidRDefault="00000000">
      <w:pPr>
        <w:pStyle w:val="Author-eListParagraph"/>
        <w:numPr>
          <w:ilvl w:val="0"/>
          <w:numId w:val="754"/>
        </w:numPr>
      </w:pPr>
      <w:r>
        <w:t xml:space="preserve">Finition des embouts : </w:t>
      </w:r>
      <w:r>
        <w:rPr>
          <w:rStyle w:val="optioncarChar"/>
        </w:rPr>
        <w:t xml:space="preserve">Matière synthétique teintée dans la masse / Laquée </w:t>
      </w:r>
      <w:r>
        <w:t xml:space="preserve">(teinte RAL et structure à préciser : </w:t>
      </w:r>
      <w:r>
        <w:rPr>
          <w:rStyle w:val="optioncarChar"/>
        </w:rPr>
        <w:t>***</w:t>
      </w:r>
      <w:r>
        <w:t>)</w:t>
      </w:r>
    </w:p>
    <w:p w14:paraId="3DB8CB54" w14:textId="77777777" w:rsidR="00772179" w:rsidRDefault="00000000">
      <w:pPr>
        <w:pStyle w:val="Author-eListParagraph"/>
        <w:numPr>
          <w:ilvl w:val="0"/>
          <w:numId w:val="754"/>
        </w:numPr>
      </w:pPr>
      <w:r>
        <w:t>Commande </w:t>
      </w:r>
      <w:r>
        <w:rPr>
          <w:rStyle w:val="optioncarChar"/>
        </w:rPr>
        <w:t>: Manuelle / Tringle / Cordelette </w:t>
      </w:r>
    </w:p>
    <w:p w14:paraId="755D1820" w14:textId="77777777" w:rsidR="00772179" w:rsidRDefault="00000000">
      <w:pPr>
        <w:pStyle w:val="Author-eListParagraph"/>
        <w:numPr>
          <w:ilvl w:val="0"/>
          <w:numId w:val="754"/>
        </w:numPr>
      </w:pPr>
      <w:r>
        <w:t>Entretien : Facilité grâce à un profilé intérieur amovible</w:t>
      </w:r>
    </w:p>
    <w:p w14:paraId="0F736FD3" w14:textId="77777777" w:rsidR="00772179" w:rsidRDefault="00000000">
      <w:pPr>
        <w:pStyle w:val="pheading"/>
      </w:pPr>
      <w:r>
        <w:t>EXÉCUTION / MISE EN ŒUVRE</w:t>
      </w:r>
    </w:p>
    <w:p w14:paraId="5A95B037" w14:textId="77777777" w:rsidR="00772179" w:rsidRDefault="00000000">
      <w:pPr>
        <w:pStyle w:val="pheading"/>
      </w:pPr>
      <w:r>
        <w:t>- Prescriptions générales</w:t>
      </w:r>
    </w:p>
    <w:p w14:paraId="3B962185" w14:textId="77777777" w:rsidR="00772179" w:rsidRDefault="00000000">
      <w:r>
        <w:t>Selon les indications sur les plans, les châssis de fenêtres sont équipés de grilles de ventilation. Les débits d'air nominaux des grilles correspondent aux dispositions en matière de ventilation de la norme [NBN D 50-001]. La pose s'effectue selon les prescriptions du fabricant. La jonction des grilles avec le double vitrage et les dormants de châssis est parfaitement étanche à l'air et à l'eau. La pose assure un ensemble rigide et stable. Pendant la durée des travaux, les grilles sont protégées contre toute dégradation et salissure.</w:t>
      </w:r>
    </w:p>
    <w:p w14:paraId="0990C89B" w14:textId="77777777" w:rsidR="00772179" w:rsidRDefault="00000000">
      <w:pPr>
        <w:pStyle w:val="pheading"/>
      </w:pPr>
      <w:r>
        <w:t>MESURAGE</w:t>
      </w:r>
    </w:p>
    <w:p w14:paraId="126C9B42" w14:textId="77777777" w:rsidR="00772179" w:rsidRDefault="00000000">
      <w:pPr>
        <w:pStyle w:val="pheading"/>
      </w:pPr>
      <w:r>
        <w:t>- unité de mesure:</w:t>
      </w:r>
    </w:p>
    <w:p w14:paraId="6B8CE840" w14:textId="77777777" w:rsidR="00772179" w:rsidRDefault="00000000">
      <w:r>
        <w:t>m</w:t>
      </w:r>
    </w:p>
    <w:p w14:paraId="17B6BEB6" w14:textId="77777777" w:rsidR="00772179" w:rsidRDefault="00000000">
      <w:pPr>
        <w:pStyle w:val="pheading"/>
      </w:pPr>
      <w:r>
        <w:t>- code de mesurage:</w:t>
      </w:r>
    </w:p>
    <w:p w14:paraId="58BF0F7A" w14:textId="77777777" w:rsidR="00772179" w:rsidRDefault="00000000">
      <w:r>
        <w:t>Selon les dimensions</w:t>
      </w:r>
    </w:p>
    <w:p w14:paraId="34C1A079" w14:textId="77777777" w:rsidR="00772179" w:rsidRDefault="00000000">
      <w:pPr>
        <w:pStyle w:val="pheading"/>
      </w:pPr>
      <w:r>
        <w:t>- nature du marché:</w:t>
      </w:r>
    </w:p>
    <w:p w14:paraId="0336240B" w14:textId="77777777" w:rsidR="00772179" w:rsidRDefault="00000000">
      <w:r>
        <w:t>QP</w:t>
      </w:r>
    </w:p>
    <w:p w14:paraId="4F11648E" w14:textId="77777777" w:rsidR="00772179" w:rsidRDefault="00000000">
      <w:pPr>
        <w:pStyle w:val="pheading"/>
      </w:pPr>
      <w:r>
        <w:t>AIDE</w:t>
      </w:r>
    </w:p>
    <w:p w14:paraId="694B7C05" w14:textId="77777777" w:rsidR="00772179" w:rsidRDefault="00000000">
      <w:r>
        <w:rPr>
          <w:i/>
          <w:u w:val="single"/>
        </w:rPr>
        <w:t>Note à  l'auteur de projet :</w:t>
      </w:r>
    </w:p>
    <w:p w14:paraId="0FE1B3E5" w14:textId="77777777" w:rsidR="00772179" w:rsidRDefault="00000000">
      <w:r>
        <w:t>La liste des environnements agressifs, non exhaustive, comprend :</w:t>
      </w:r>
    </w:p>
    <w:p w14:paraId="60BF1721" w14:textId="77777777" w:rsidR="00772179" w:rsidRDefault="00000000">
      <w:pPr>
        <w:pStyle w:val="Author-eListParagraph"/>
        <w:numPr>
          <w:ilvl w:val="0"/>
          <w:numId w:val="755"/>
        </w:numPr>
      </w:pPr>
      <w:r>
        <w:t>La zone étendue depuis le bord de mer jusqu’à 10 kilomètres à l’intérieur des terres,</w:t>
      </w:r>
    </w:p>
    <w:p w14:paraId="1DE73D02" w14:textId="77777777" w:rsidR="00772179" w:rsidRDefault="00000000">
      <w:pPr>
        <w:pStyle w:val="Author-eListParagraph"/>
        <w:numPr>
          <w:ilvl w:val="0"/>
          <w:numId w:val="755"/>
        </w:numPr>
      </w:pPr>
      <w:r>
        <w:t>Les abords immédiats des voies ferrées,</w:t>
      </w:r>
    </w:p>
    <w:p w14:paraId="4B1C3E68" w14:textId="77777777" w:rsidR="00772179" w:rsidRDefault="00000000">
      <w:pPr>
        <w:pStyle w:val="Author-eListParagraph"/>
        <w:numPr>
          <w:ilvl w:val="0"/>
          <w:numId w:val="755"/>
        </w:numPr>
      </w:pPr>
      <w:r>
        <w:t>Les abords immédiats des routes à grand trafic,</w:t>
      </w:r>
    </w:p>
    <w:p w14:paraId="1592FCF7" w14:textId="77777777" w:rsidR="00772179" w:rsidRDefault="00000000">
      <w:pPr>
        <w:pStyle w:val="Author-eListParagraph"/>
        <w:numPr>
          <w:ilvl w:val="0"/>
          <w:numId w:val="755"/>
        </w:numPr>
      </w:pPr>
      <w:r>
        <w:t xml:space="preserve">Les abords immédiats des zones industrielles polluantes, </w:t>
      </w:r>
    </w:p>
    <w:p w14:paraId="42FF59C3" w14:textId="77777777" w:rsidR="00772179" w:rsidRDefault="00000000">
      <w:pPr>
        <w:pStyle w:val="Author-eSectionHeading6Numberless"/>
      </w:pPr>
      <w:bookmarkStart w:id="379" w:name="_Toc220490102"/>
      <w:r>
        <w:t>41.75.1e Ouvertures d'amenée d'air dans le profil de châssis CCTB 01.11</w:t>
      </w:r>
      <w:bookmarkEnd w:id="379"/>
    </w:p>
    <w:p w14:paraId="592352FF" w14:textId="77777777" w:rsidR="00772179" w:rsidRDefault="00000000">
      <w:pPr>
        <w:pStyle w:val="pheading"/>
      </w:pPr>
      <w:r>
        <w:t>DESCRIPTION</w:t>
      </w:r>
    </w:p>
    <w:p w14:paraId="3B33F394" w14:textId="77777777" w:rsidR="00772179" w:rsidRDefault="00000000">
      <w:pPr>
        <w:pStyle w:val="pheading"/>
      </w:pPr>
      <w:r>
        <w:t>- Définition / Comprend</w:t>
      </w:r>
    </w:p>
    <w:p w14:paraId="531440AB" w14:textId="77777777" w:rsidR="00772179" w:rsidRDefault="00000000">
      <w:r>
        <w:t>Il s'agit des systèmes de ventilation naturelle, réglables, intégrés dans la menuiserie extérieure, posés sur le châssis. La ventilation entend l’amenée, le transfert et l’extraction d’air. L’un n'est envisageable sans l’autre.</w:t>
      </w:r>
    </w:p>
    <w:p w14:paraId="4B01BA09" w14:textId="77777777" w:rsidR="00772179" w:rsidRDefault="00000000">
      <w:r>
        <w:t>Cet article traite de l’amenée d’air,</w:t>
      </w:r>
      <w:r>
        <w:br/>
        <w:t>Le transfert d’air est décrit au tome 5,</w:t>
      </w:r>
      <w:r>
        <w:br/>
        <w:t>L’évacuation d’air pour le système A est décrite au  tome 6 système A,</w:t>
      </w:r>
      <w:r>
        <w:br/>
        <w:t>L’évacuation d’air pour le système C est décrite au  tome 6 système C.</w:t>
      </w:r>
    </w:p>
    <w:p w14:paraId="1C4AC3EA" w14:textId="77777777" w:rsidR="00772179" w:rsidRDefault="00000000">
      <w:r>
        <w:t>L’aérateur est choisi en fonction de son débit nominal sous 2 Pa de manière à répondre au besoin de ventilation du local, conformément à la norme [NBN D 50-001] , c'est-à-dire, pour rappel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772179" w14:paraId="778C5D9B" w14:textId="77777777">
        <w:tc>
          <w:tcPr>
            <w:tcW w:w="10860" w:type="dxa"/>
            <w:gridSpan w:val="4"/>
            <w:noWrap/>
          </w:tcPr>
          <w:p w14:paraId="7B4A96E9" w14:textId="77777777" w:rsidR="00772179" w:rsidRDefault="00000000">
            <w:pPr>
              <w:jc w:val="center"/>
            </w:pPr>
            <w:r>
              <w:t>ALIMENTATION D’AIR</w:t>
            </w:r>
          </w:p>
        </w:tc>
      </w:tr>
      <w:tr w:rsidR="00772179" w14:paraId="21D85595" w14:textId="77777777">
        <w:tc>
          <w:tcPr>
            <w:tcW w:w="2715" w:type="dxa"/>
            <w:noWrap/>
          </w:tcPr>
          <w:p w14:paraId="5EEFF1FA" w14:textId="77777777" w:rsidR="00772179" w:rsidRDefault="00000000">
            <w:r>
              <w:lastRenderedPageBreak/>
              <w:t>Local</w:t>
            </w:r>
          </w:p>
        </w:tc>
        <w:tc>
          <w:tcPr>
            <w:tcW w:w="2715" w:type="dxa"/>
            <w:noWrap/>
          </w:tcPr>
          <w:p w14:paraId="3622E89A" w14:textId="77777777" w:rsidR="00772179" w:rsidRDefault="00000000">
            <w:pPr>
              <w:jc w:val="center"/>
            </w:pPr>
            <w:r>
              <w:t>Au moins  m³/h</w:t>
            </w:r>
          </w:p>
        </w:tc>
        <w:tc>
          <w:tcPr>
            <w:tcW w:w="2715" w:type="dxa"/>
            <w:noWrap/>
          </w:tcPr>
          <w:p w14:paraId="74421B2F" w14:textId="77777777" w:rsidR="00772179" w:rsidRDefault="00000000">
            <w:pPr>
              <w:jc w:val="center"/>
            </w:pPr>
            <w:r>
              <w:t>Nominal m³/h</w:t>
            </w:r>
          </w:p>
        </w:tc>
        <w:tc>
          <w:tcPr>
            <w:tcW w:w="2715" w:type="dxa"/>
            <w:noWrap/>
          </w:tcPr>
          <w:p w14:paraId="2719BF9B" w14:textId="77777777" w:rsidR="00772179" w:rsidRDefault="00000000">
            <w:pPr>
              <w:jc w:val="center"/>
            </w:pPr>
            <w:r>
              <w:t>Maximal m³/h</w:t>
            </w:r>
          </w:p>
        </w:tc>
      </w:tr>
      <w:tr w:rsidR="00772179" w14:paraId="1921151A" w14:textId="77777777">
        <w:tc>
          <w:tcPr>
            <w:tcW w:w="2715" w:type="dxa"/>
            <w:noWrap/>
          </w:tcPr>
          <w:p w14:paraId="0357F86B" w14:textId="77777777" w:rsidR="00772179" w:rsidRDefault="00000000">
            <w:r>
              <w:t>Séjour, bureau, salle de jeu</w:t>
            </w:r>
          </w:p>
        </w:tc>
        <w:tc>
          <w:tcPr>
            <w:tcW w:w="2715" w:type="dxa"/>
            <w:noWrap/>
          </w:tcPr>
          <w:p w14:paraId="60E1D8B1" w14:textId="77777777" w:rsidR="00772179" w:rsidRDefault="00000000">
            <w:pPr>
              <w:jc w:val="center"/>
            </w:pPr>
            <w:r>
              <w:t>75</w:t>
            </w:r>
          </w:p>
        </w:tc>
        <w:tc>
          <w:tcPr>
            <w:tcW w:w="2715" w:type="dxa"/>
            <w:noWrap/>
          </w:tcPr>
          <w:p w14:paraId="5342E481" w14:textId="77777777" w:rsidR="00772179" w:rsidRDefault="00000000">
            <w:pPr>
              <w:jc w:val="center"/>
            </w:pPr>
            <w:r>
              <w:t>Surface au sol (m²) x 3.6</w:t>
            </w:r>
          </w:p>
        </w:tc>
        <w:tc>
          <w:tcPr>
            <w:tcW w:w="2715" w:type="dxa"/>
            <w:noWrap/>
          </w:tcPr>
          <w:p w14:paraId="4844F969" w14:textId="77777777" w:rsidR="00772179" w:rsidRDefault="00000000">
            <w:pPr>
              <w:jc w:val="center"/>
            </w:pPr>
            <w:r>
              <w:t>150</w:t>
            </w:r>
          </w:p>
        </w:tc>
      </w:tr>
      <w:tr w:rsidR="00772179" w14:paraId="063978AD" w14:textId="77777777">
        <w:tc>
          <w:tcPr>
            <w:tcW w:w="2715" w:type="dxa"/>
            <w:noWrap/>
          </w:tcPr>
          <w:p w14:paraId="253345C3" w14:textId="77777777" w:rsidR="00772179" w:rsidRDefault="00000000">
            <w:r>
              <w:t>Chambre à coucher</w:t>
            </w:r>
          </w:p>
        </w:tc>
        <w:tc>
          <w:tcPr>
            <w:tcW w:w="2715" w:type="dxa"/>
            <w:noWrap/>
          </w:tcPr>
          <w:p w14:paraId="3B080FF9" w14:textId="77777777" w:rsidR="00772179" w:rsidRDefault="00000000">
            <w:pPr>
              <w:jc w:val="center"/>
            </w:pPr>
            <w:r>
              <w:t>25</w:t>
            </w:r>
          </w:p>
        </w:tc>
        <w:tc>
          <w:tcPr>
            <w:tcW w:w="2715" w:type="dxa"/>
            <w:noWrap/>
          </w:tcPr>
          <w:p w14:paraId="3F599DE5" w14:textId="77777777" w:rsidR="00772179" w:rsidRDefault="00000000">
            <w:pPr>
              <w:jc w:val="center"/>
            </w:pPr>
            <w:r>
              <w:t>Surface au sol (m²) x 3,6</w:t>
            </w:r>
          </w:p>
        </w:tc>
        <w:tc>
          <w:tcPr>
            <w:tcW w:w="2715" w:type="dxa"/>
            <w:noWrap/>
          </w:tcPr>
          <w:p w14:paraId="6C0B3D3F" w14:textId="77777777" w:rsidR="00772179" w:rsidRDefault="00000000">
            <w:pPr>
              <w:jc w:val="center"/>
            </w:pPr>
            <w:r>
              <w:t>36 par personne</w:t>
            </w:r>
          </w:p>
        </w:tc>
      </w:tr>
    </w:tbl>
    <w:p w14:paraId="65D72FC8" w14:textId="77777777" w:rsidR="00772179" w:rsidRDefault="00000000">
      <w:r>
        <w:t> </w:t>
      </w:r>
    </w:p>
    <w:p w14:paraId="0B50E892" w14:textId="77777777" w:rsidR="00772179" w:rsidRDefault="00000000">
      <w:r>
        <w:t>Tout local à fonction de séjour et de repos dispose d'une fenêtre ouvrante ou d'une porte afin de pouvoir assurer une ventilation intensive, par exemple en vue de l'évacuation rapide d'odeurs et/ou de la chaleur en été. </w:t>
      </w:r>
    </w:p>
    <w:p w14:paraId="39F6E582" w14:textId="77777777" w:rsidR="00772179" w:rsidRDefault="00000000">
      <w:pPr>
        <w:pStyle w:val="pheading"/>
      </w:pPr>
      <w:r>
        <w:t>MATÉRIAUX</w:t>
      </w:r>
    </w:p>
    <w:p w14:paraId="4FCF761B" w14:textId="77777777" w:rsidR="00772179" w:rsidRDefault="00000000">
      <w:pPr>
        <w:pStyle w:val="pheading"/>
      </w:pPr>
      <w:r>
        <w:t>- Caractéristiques générales</w:t>
      </w:r>
    </w:p>
    <w:p w14:paraId="64F2C764" w14:textId="77777777" w:rsidR="00772179" w:rsidRDefault="00000000">
      <w:r>
        <w:t xml:space="preserve">Les grilles de ventilation sont fabriquées en </w:t>
      </w:r>
      <w:r>
        <w:rPr>
          <w:rStyle w:val="optioncarChar"/>
        </w:rPr>
        <w:t>aluminium à rupture thermique (AIMgSI 0,5) / ***</w:t>
      </w:r>
      <w:r>
        <w:t>. L'épaisseur moyenne de l'aluminium est &gt; 1,5 mm. La finition est soit anodisée, soit laquée (épaisseur ≥ 60 μm sur support chromaté ou support pré-anodisé en environnement agressif). Les extrémités sont fabriquées en matière synthétique dure résistant aux intempéries. Lorsque celles-ci sont disponibles en plusieurs couleurs, des échantillons sont soumis au maître d’ouvrage. </w:t>
      </w:r>
      <w:r>
        <w:br/>
        <w:t>Sauf dispositions spéciales dans le cahier spécial des charges, l'entrepreneur choisit librement des grilles plates et/ou des grilles saillantes par rapport au plan de la fenêtre. Tous les dispositifs de réglage sont autorisés, pourvu qu'ils répondent aux dispositions des articles suivants. Tous les types placés dans une même façade s'harmonisent au niveau de la forme. </w:t>
      </w:r>
      <w:r>
        <w:br/>
        <w:t>L'entrée d'air est protégée contre la pluie. Par vent violent, les grilles ne sifflent pas ou ne cliquettent pas. Les grilles de ventilations sont équipées d’une protection contre l’intrusion d’insectes : elles sont soit équipées d’une moustiquaire, soit de perforations dans l’aluminium faisant office.</w:t>
      </w:r>
      <w:r>
        <w:br/>
        <w:t>Le nettoyage des grilles de ventilation s’effectue facilement.</w:t>
      </w:r>
      <w:r>
        <w:br/>
        <w:t>Les débits d'air nominaux respectifs correspondent à la norme sur la ventilation [NBN D 50-001]. La perméabilité à l'air doit est réglée ou fermée de l'intérieur.</w:t>
      </w:r>
      <w:r>
        <w:br/>
        <w:t>Des échantillons des types proposés sont soumis pour approbation au maître d’ouvrage. </w:t>
      </w:r>
    </w:p>
    <w:p w14:paraId="50D84282" w14:textId="77777777" w:rsidR="00772179" w:rsidRDefault="00000000">
      <w:pPr>
        <w:pStyle w:val="heading"/>
      </w:pPr>
      <w:r>
        <w:t>Aérateur non auto-réglable </w:t>
      </w:r>
    </w:p>
    <w:p w14:paraId="137C66BF" w14:textId="77777777" w:rsidR="00772179" w:rsidRDefault="00000000">
      <w:r>
        <w:t>Aérateur en aluminium à coupure thermique se plaçant au-dessus du châssis qu’il soit en aluminium, bois ou PVC, de profondeur d'encastrement adaptée à la battée du châssis.</w:t>
      </w:r>
      <w:r>
        <w:br/>
        <w:t>Le profil intérieur possède des perforations qui garantissent le passage d'air et fait également office de moustiquaire.</w:t>
      </w:r>
      <w:r>
        <w:br/>
        <w:t>En position fermée, ce profil intérieur garantit une étanchéité parfaite à l'eau et au vent, pour des différences de pression aussi bien négatives que positives. </w:t>
      </w:r>
      <w:r>
        <w:br/>
        <w:t>Les embouts ont des nervures de jonction et d'étanchéité à l'eau de façon à obtenir une fermeture parfaite de l’ensemble aérateur-vitrage dans la même épaisseur que le vitrage.</w:t>
      </w:r>
      <w:r>
        <w:br/>
        <w:t>Au préalable, l'entrepreneur soumet le type d’aérateur sélectionné à l'approbation du maître de l’ouvrage, en même temps qu'une fiche technique avec les spécifications du produit en ce qui concerne le passage de l'air.</w:t>
      </w:r>
    </w:p>
    <w:p w14:paraId="267E67FC" w14:textId="77777777" w:rsidR="00772179" w:rsidRDefault="00000000">
      <w:pPr>
        <w:pStyle w:val="heading"/>
      </w:pPr>
      <w:r>
        <w:t>Aérateur isophonique </w:t>
      </w:r>
    </w:p>
    <w:p w14:paraId="5A67E3AB" w14:textId="77777777" w:rsidR="00772179" w:rsidRDefault="00000000">
      <w:r>
        <w:t>Aérateur en aluminium à coupure thermique se plaçant au-dessus du châssis qu’il soit en aluminium, bois ou PVC, de profondeur d'encastrement adaptée à la battée du châssis.</w:t>
      </w:r>
      <w:r>
        <w:br/>
        <w:t>L’aérateur permet toujours l’éventuelle fixation supérieure du châssis au gros-oeuvre. </w:t>
      </w:r>
      <w:r>
        <w:br/>
        <w:t>Le volume d'air est réglé par un dispositif de fermeture réglable rigide.</w:t>
      </w:r>
      <w:r>
        <w:br/>
        <w:t>La grille intérieure perforée permettant le passage d’air fait aussi office de moustiquaire et est complètement amovible pour faciliter le nettoyage.</w:t>
      </w:r>
      <w:r>
        <w:br/>
        <w:t>Le passage d'air est réglé manuellement par un profil intérieur pourvu d'un réglage à positions multiples.</w:t>
      </w:r>
      <w:r>
        <w:br/>
        <w:t>Le clapet de fermeture, réglable, est de forme adaptée afin d'obtenir un passage d'air maximal, en position ouverte.</w:t>
      </w:r>
      <w:r>
        <w:br/>
        <w:t xml:space="preserve">En position fermée, ce profil intérieur exerce une pression sur un joint souple et garantit une étanchéité parfaite à l'eau et au vent, pour des différences de pression aussi bien négatives que </w:t>
      </w:r>
      <w:r>
        <w:lastRenderedPageBreak/>
        <w:t>positives.</w:t>
      </w:r>
      <w:r>
        <w:br/>
        <w:t>L'aérateur est pourvu d'un caisson insonorisant. L'insonorisation est obtenue par deux zones de matériaux isophoniques de qualité supérieure. Entre ces deux zones se trouve le vide qui assure le passage d'air. </w:t>
      </w:r>
      <w:r>
        <w:br/>
        <w:t>Les embouts ont des nervures de jonction et d'étanchéité à l'eau de façon à obtenir une fermeture parfaite de l’ensemble aérateur-châssis dans la même épaisseur que le châssis.</w:t>
      </w:r>
      <w:r>
        <w:br/>
        <w:t>Au préalable, l'entrepreneur soumet le type d’aérateur sélectionné à l'approbation du maître de l’ouvrage, en même temps qu'une fiche technique avec les spécifications du produit en ce qui concerne le passage de l'air. </w:t>
      </w:r>
    </w:p>
    <w:p w14:paraId="5E960F01" w14:textId="77777777" w:rsidR="00772179" w:rsidRDefault="00000000">
      <w:pPr>
        <w:pStyle w:val="heading"/>
      </w:pPr>
      <w:r>
        <w:t>Aérateur auto-réglable</w:t>
      </w:r>
    </w:p>
    <w:p w14:paraId="3DCA8B2E" w14:textId="77777777" w:rsidR="00772179" w:rsidRDefault="00000000">
      <w:r>
        <w:t>L’aérateur permet toujours l’éventuelle fixation supérieure du châssis au gros-œuvre </w:t>
      </w:r>
      <w:r>
        <w:br/>
        <w:t>Le volume d'air est réglé en deux phases :</w:t>
      </w:r>
    </w:p>
    <w:p w14:paraId="1E4A3A2E" w14:textId="77777777" w:rsidR="00772179" w:rsidRDefault="00000000">
      <w:pPr>
        <w:pStyle w:val="Author-eListParagraph"/>
        <w:numPr>
          <w:ilvl w:val="0"/>
          <w:numId w:val="756"/>
        </w:numPr>
      </w:pPr>
      <w:r>
        <w:t>D’une part, par un dispositif de réglage posé dans l'ouverture d'entrée d'air, et qui réagit automatiquement aux variations de pression et à la force du vent. Ce mécanisme n'est pas influencé par l'utilisateur.</w:t>
      </w:r>
    </w:p>
    <w:p w14:paraId="20A6C1B7" w14:textId="77777777" w:rsidR="00772179" w:rsidRDefault="00000000">
      <w:pPr>
        <w:pStyle w:val="Author-eListParagraph"/>
        <w:numPr>
          <w:ilvl w:val="0"/>
          <w:numId w:val="756"/>
        </w:numPr>
      </w:pPr>
      <w:r>
        <w:t>D’autre part, par un dispositif de fermeture réglable rigide. </w:t>
      </w:r>
    </w:p>
    <w:p w14:paraId="38625C80" w14:textId="77777777" w:rsidR="00772179" w:rsidRDefault="00000000">
      <w:r>
        <w:t>La grille intérieure perforée permettant le passage d’air fait aussi office de moustiquaire et est complètement amovible pour faciliter le nettoyage.</w:t>
      </w:r>
      <w:r>
        <w:br/>
        <w:t>Le passage d'air est réglé manuellement par un profil intérieur pourvu d'un réglage à positions multiples.</w:t>
      </w:r>
      <w:r>
        <w:br/>
        <w:t>Le clapet de fermeture, réglable, est de forme adaptée afin d'obtenir un passage d'air maximal, en position ouverte.</w:t>
      </w:r>
      <w:r>
        <w:br/>
        <w:t>En position fermée, ce profil intérieur exerce une pression sur un joint souple et garantit une étanchéité parfaite à l'eau et au vent, pour des différences de pression aussi bien négatives que positives.</w:t>
      </w:r>
      <w:r>
        <w:br/>
        <w:t>Les embouts ont des nervures de jonction et d'étanchéité à l'eau de façon à obtenir une fermeture parfaite de l’ensemble aérateur-châssis dans la même épaisseur que le châssis. </w:t>
      </w:r>
      <w:r>
        <w:br/>
        <w:t>Au préalable, l'entrepreneur soumet le type d’aérateur sélectionné à l'approbation du maître de l’ouvrage, en même temps qu'une fiche technique avec les spécifications du produit en ce qui concerne le passage de l'air.</w:t>
      </w:r>
    </w:p>
    <w:p w14:paraId="30837E3B" w14:textId="77777777" w:rsidR="00772179" w:rsidRDefault="00000000">
      <w:pPr>
        <w:pStyle w:val="heading"/>
      </w:pPr>
      <w:r>
        <w:t>Aérateur auto-réglable isophonique </w:t>
      </w:r>
    </w:p>
    <w:p w14:paraId="3F8E6E35" w14:textId="77777777" w:rsidR="00772179" w:rsidRDefault="00000000">
      <w:r>
        <w:t>Aérateur à coupure thermique en aluminium consistant en un caisson insonorisant divisé en plusieurs zones : des zones de matériau isophonique de qualité supérieure et un vide qui assure le passage d'air.</w:t>
      </w:r>
      <w:r>
        <w:br/>
        <w:t>L'aérateur est posé sur le châssis, partiellement encastré derrière la battée.</w:t>
      </w:r>
      <w:r>
        <w:br/>
        <w:t>Le volume d'air est réglé en deux phases :</w:t>
      </w:r>
    </w:p>
    <w:p w14:paraId="5626B9C0" w14:textId="77777777" w:rsidR="00772179" w:rsidRDefault="00000000">
      <w:pPr>
        <w:pStyle w:val="Author-eListParagraph"/>
        <w:numPr>
          <w:ilvl w:val="0"/>
          <w:numId w:val="757"/>
        </w:numPr>
      </w:pPr>
      <w:r>
        <w:t>D’une part, par un dispositif de réglage posé dans l'ouverture d'entrée d'air, et qui réagit automatiquement aux variations de pression et à la force du vent. Ce mécanisme n'est pas influencé par l'utilisateur.</w:t>
      </w:r>
    </w:p>
    <w:p w14:paraId="26B0D411" w14:textId="77777777" w:rsidR="00772179" w:rsidRDefault="00000000">
      <w:pPr>
        <w:pStyle w:val="Author-eListParagraph"/>
        <w:numPr>
          <w:ilvl w:val="0"/>
          <w:numId w:val="757"/>
        </w:numPr>
      </w:pPr>
      <w:r>
        <w:t>D’autre part, par un dispositif de fermeture réglable rigide. </w:t>
      </w:r>
    </w:p>
    <w:p w14:paraId="68C4576E" w14:textId="77777777" w:rsidR="00772179" w:rsidRDefault="00000000">
      <w:r>
        <w:t>La grille intérieure perforée, qui empêche l’intrusion d’insectes, est amovible pour le nettoyage.</w:t>
      </w:r>
      <w:r>
        <w:br/>
        <w:t>Les matériaux isophoniques sont remplacés de l'intérieur, sans démontage de l'aérateur.</w:t>
      </w:r>
      <w:r>
        <w:br/>
        <w:t>La combinaison entre performances isophoniques et débits de ventilation satisfont :</w:t>
      </w:r>
    </w:p>
    <w:p w14:paraId="4F5B0D32" w14:textId="77777777" w:rsidR="00772179" w:rsidRDefault="00000000">
      <w:pPr>
        <w:pStyle w:val="Author-eListParagraph"/>
        <w:numPr>
          <w:ilvl w:val="0"/>
          <w:numId w:val="758"/>
        </w:numPr>
      </w:pPr>
      <w:r>
        <w:t xml:space="preserve">D’une part aux exigences de performance acoustique souhaitées et </w:t>
      </w:r>
    </w:p>
    <w:p w14:paraId="73162921" w14:textId="77777777" w:rsidR="00772179" w:rsidRDefault="00000000">
      <w:pPr>
        <w:pStyle w:val="Author-eListParagraph"/>
        <w:numPr>
          <w:ilvl w:val="0"/>
          <w:numId w:val="758"/>
        </w:numPr>
      </w:pPr>
      <w:r>
        <w:t>D’autre part aux réglementations en vigueur concernant ventilation.</w:t>
      </w:r>
    </w:p>
    <w:p w14:paraId="3434BB65" w14:textId="77777777" w:rsidR="00772179" w:rsidRDefault="00000000">
      <w:pPr>
        <w:pStyle w:val="heading"/>
      </w:pPr>
      <w:r>
        <w:t>Aérateur auto-réglable isophonique sur traverse</w:t>
      </w:r>
    </w:p>
    <w:p w14:paraId="6605D473" w14:textId="77777777" w:rsidR="00772179" w:rsidRDefault="00000000">
      <w:r>
        <w:t>Aérateur à coupure thermique en aluminium consistant en un caisson insonorisant divisé en plusieurs zones : des zones de matériau isophonique de qualité supérieure et un vide qui assure le passage d'air. L'aérateur est posé sur traverse.</w:t>
      </w:r>
      <w:r>
        <w:br/>
        <w:t>Le volume d'air est réglé en deux phases :</w:t>
      </w:r>
    </w:p>
    <w:p w14:paraId="08B439EA" w14:textId="77777777" w:rsidR="00772179" w:rsidRDefault="00000000">
      <w:pPr>
        <w:pStyle w:val="Author-eListParagraph"/>
        <w:numPr>
          <w:ilvl w:val="0"/>
          <w:numId w:val="759"/>
        </w:numPr>
      </w:pPr>
      <w:r>
        <w:lastRenderedPageBreak/>
        <w:t>D’une part, par un dispositif de réglage posé dans l'ouverture d'entrée d'air, et qui réagit automatiquement aux variations de pression et à la force du vent. Ce mécanisme n'est pas influencé par l'utilisateur.</w:t>
      </w:r>
    </w:p>
    <w:p w14:paraId="051E7C56" w14:textId="77777777" w:rsidR="00772179" w:rsidRDefault="00000000">
      <w:pPr>
        <w:pStyle w:val="Author-eListParagraph"/>
        <w:numPr>
          <w:ilvl w:val="0"/>
          <w:numId w:val="759"/>
        </w:numPr>
      </w:pPr>
      <w:r>
        <w:t>D’autre part, par un dispositif de fermeture réglable rigide. </w:t>
      </w:r>
    </w:p>
    <w:p w14:paraId="7D9496CD" w14:textId="77777777" w:rsidR="00772179" w:rsidRDefault="00000000">
      <w:r>
        <w:t>La grille intérieure perforée, qui empêche l’intrusion d’insectes, est amovible pour le nettoyage.</w:t>
      </w:r>
      <w:r>
        <w:br/>
        <w:t>Les matériaux isophoniques sont remplacés de l'intérieur, sans démontage de l'aérateur. </w:t>
      </w:r>
      <w:r>
        <w:br/>
        <w:t>La combinaison entre performances isophoniques et débits de ventilation satisfont d’une part aux exigences de performance acoustique souhaitées et d’autre part aux réglementations en vigueur concernant ventilation.</w:t>
      </w:r>
    </w:p>
    <w:p w14:paraId="486A3314" w14:textId="77777777" w:rsidR="00772179" w:rsidRDefault="00000000">
      <w:pPr>
        <w:pStyle w:val="heading"/>
      </w:pPr>
      <w:r>
        <w:t>Aérateur auto-réglable sur châssis avec protection solaire </w:t>
      </w:r>
    </w:p>
    <w:p w14:paraId="2D3662CE" w14:textId="77777777" w:rsidR="00772179" w:rsidRDefault="00000000">
      <w:r>
        <w:t>Aérateur auto-réglable en aluminium à coupure thermique et toile solaire extérieure intégrée (store) se plaçant au-dessus du châssis qu’il soit en aluminium, bois ou PVC, de profondeur d'encastrement adaptée à la profondeur du châssis. </w:t>
      </w:r>
      <w:r>
        <w:br/>
        <w:t>La combinaison aérateur-toile solaire permet toujours l’éventuelle fixation supérieure du châssis au gros-œuvre. </w:t>
      </w:r>
      <w:r>
        <w:br/>
        <w:t>Le volume d'air est réglé en 2 phases :</w:t>
      </w:r>
    </w:p>
    <w:p w14:paraId="1A7938D4" w14:textId="77777777" w:rsidR="00772179" w:rsidRDefault="00000000">
      <w:pPr>
        <w:pStyle w:val="Author-eListParagraph"/>
        <w:numPr>
          <w:ilvl w:val="0"/>
          <w:numId w:val="760"/>
        </w:numPr>
      </w:pPr>
      <w:r>
        <w:t>D’une part, par un dispositif de réglage posé dans l'ouverture d'entrée d'air, et qui réagit automatiquement aux variations de pression et à la force du vent. Ce mécanisme n'est pas influencé par l'utilisateur.</w:t>
      </w:r>
    </w:p>
    <w:p w14:paraId="3785D523" w14:textId="77777777" w:rsidR="00772179" w:rsidRDefault="00000000">
      <w:pPr>
        <w:pStyle w:val="Author-eListParagraph"/>
        <w:numPr>
          <w:ilvl w:val="0"/>
          <w:numId w:val="760"/>
        </w:numPr>
      </w:pPr>
      <w:r>
        <w:t>D’autre part, par un dispositif de fermeture réglable rigide.</w:t>
      </w:r>
    </w:p>
    <w:p w14:paraId="244E7B6E" w14:textId="77777777" w:rsidR="00772179" w:rsidRDefault="00000000">
      <w:r>
        <w:t>La grille intérieure perforée permettant le passage d’air fait aussi office de moustiquaire et est complètement amovible pour faciliter le nettoyage.</w:t>
      </w:r>
      <w:r>
        <w:br/>
        <w:t>Le passage d'air est réglé manuellement par un profil intérieur pourvu d'un réglage à positions multiples.</w:t>
      </w:r>
      <w:r>
        <w:br/>
        <w:t>Le clapet de fermeture, réglable, est de forme adaptée afin d'obtenir un passage d'air maximal, en position ouverte. En position fermée, ce profil intérieur exerce une pression sur un joint souple et garantit une étanchéité parfaite à l'eau et au vent, pour des différences de pression aussi bien négatives que positives. </w:t>
      </w:r>
      <w:r>
        <w:br/>
        <w:t>Les guides latéraux et le profilé de lestage du store solaire sont d'un design compact et élégant.</w:t>
      </w:r>
      <w:r>
        <w:br/>
        <w:t>Entre le passage de l'air et l'axe d'enroulement, se trouve un élément de séparation en aluminium, pour que la toile solaire ne soit salie par le passage de l'air</w:t>
      </w:r>
      <w:r>
        <w:br/>
        <w:t>La toile solaire et le moteur sont démontables de l'intérieur pour montage, nettoyage ou éventuel remplacement</w:t>
      </w:r>
      <w:r>
        <w:br/>
        <w:t xml:space="preserve">La toile solaire (en option : classe de réaction au feu </w:t>
      </w:r>
      <w:r>
        <w:rPr>
          <w:rStyle w:val="optioncarChar"/>
        </w:rPr>
        <w:t xml:space="preserve">A1 / A2 / B </w:t>
      </w:r>
      <w:r>
        <w:t>selon la norme [NBN EN 13501-1] est tissée de fibres de verre et est pourvue d'un coating PVC. Le tissu est indéformable, insensible à l'humidité et à la chaleur, non salissant, imputrescible et de couleur stable.</w:t>
      </w:r>
      <w:r>
        <w:br/>
        <w:t>Les côtés de la toile finie sont renforcés par une bande transparente.</w:t>
      </w:r>
      <w:r>
        <w:br/>
        <w:t>Les côtés inférieurs et supérieurs sont terminés par une couture pour l'intégration d'une corde de renfort.</w:t>
      </w:r>
      <w:r>
        <w:br/>
        <w:t>Au préalable, l'entrepreneur soumet le type d’aérateur sélectionné à l'approbation du maître de l’ouvrage, en même temps qu'une fiche technique avec les spécifications du produit en ce qui concerne le passage de l'air.</w:t>
      </w:r>
    </w:p>
    <w:p w14:paraId="71E1EB06" w14:textId="77777777" w:rsidR="00772179" w:rsidRDefault="00000000">
      <w:pPr>
        <w:pStyle w:val="heading"/>
      </w:pPr>
      <w:r>
        <w:t>Grille de ventilation intensive</w:t>
      </w:r>
    </w:p>
    <w:p w14:paraId="03022AA3" w14:textId="77777777" w:rsidR="00772179" w:rsidRDefault="00000000">
      <w:r>
        <w:t>Grille en aluminium Al Mg Si 0,5 composée de lames horizontales comprises dans un cadre.</w:t>
      </w:r>
      <w:r>
        <w:br/>
        <w:t>L'épaisseur des profils en aluminium est ≥ 1,5 mm.</w:t>
      </w:r>
      <w:r>
        <w:br/>
        <w:t>Tous les éléments sont préalablement assemblés avant anodisation ou thermo-laquage pour garantir une finition parfaite au niveau des découpes et raccordements de coins.</w:t>
      </w:r>
      <w:r>
        <w:br/>
        <w:t>La finition est soit anodisée, soit laquée (épaisseur ≥ 60 μm sur support chromaté ou support pré-anodisé en environnement agressif)</w:t>
      </w:r>
      <w:r>
        <w:br/>
        <w:t>La grille est fixée, de manière non-visible de l’extérieur, sur le cadre dormant extérieur de la baie. La grille est démontable de l’intérieur.</w:t>
      </w:r>
      <w:r>
        <w:br/>
        <w:t>En face arrière, la grille est pourvue d’une moustiquaire antistatique en inox 304 fixée sur le cadre.</w:t>
      </w:r>
    </w:p>
    <w:p w14:paraId="052A6099" w14:textId="77777777" w:rsidR="00772179" w:rsidRDefault="00000000">
      <w:pPr>
        <w:pStyle w:val="pheading"/>
      </w:pPr>
      <w:r>
        <w:lastRenderedPageBreak/>
        <w:t>- Finitions</w:t>
      </w:r>
    </w:p>
    <w:p w14:paraId="45C87599" w14:textId="77777777" w:rsidR="00772179" w:rsidRDefault="00000000">
      <w:pPr>
        <w:pStyle w:val="heading"/>
      </w:pPr>
      <w:r>
        <w:t> Aérateur non auto-réglable</w:t>
      </w:r>
    </w:p>
    <w:p w14:paraId="365438E7" w14:textId="77777777" w:rsidR="00772179" w:rsidRDefault="00000000">
      <w:pPr>
        <w:pStyle w:val="Author-eListParagraph"/>
        <w:numPr>
          <w:ilvl w:val="0"/>
          <w:numId w:val="761"/>
        </w:numPr>
      </w:pPr>
      <w:r>
        <w:t>Débit : Répondant à la norme [NBN D 50-001]</w:t>
      </w:r>
    </w:p>
    <w:p w14:paraId="5817C7AA" w14:textId="77777777" w:rsidR="00772179" w:rsidRDefault="00000000">
      <w:pPr>
        <w:pStyle w:val="Author-eListParagraph"/>
        <w:numPr>
          <w:ilvl w:val="0"/>
          <w:numId w:val="761"/>
        </w:numPr>
      </w:pPr>
      <w:r>
        <w:t>Dispositif de réglage : Réglage en continu ou pourvu de 3 positions entre « ouvert » et « fermé »</w:t>
      </w:r>
    </w:p>
    <w:p w14:paraId="2353A51E" w14:textId="77777777" w:rsidR="00772179" w:rsidRDefault="00000000">
      <w:pPr>
        <w:pStyle w:val="Author-eListParagraph"/>
        <w:numPr>
          <w:ilvl w:val="0"/>
          <w:numId w:val="761"/>
        </w:numPr>
      </w:pPr>
      <w:r>
        <w:t>Finition :</w:t>
      </w:r>
      <w:r>
        <w:rPr>
          <w:rStyle w:val="optioncarChar"/>
        </w:rPr>
        <w:t xml:space="preserve"> Anodisée / Laquée </w:t>
      </w:r>
      <w:r>
        <w:t xml:space="preserve">(teinte RAL et structure à préciser : </w:t>
      </w:r>
      <w:r>
        <w:rPr>
          <w:rStyle w:val="optioncarChar"/>
        </w:rPr>
        <w:t>***</w:t>
      </w:r>
      <w:r>
        <w:t xml:space="preserve">) </w:t>
      </w:r>
      <w:r>
        <w:rPr>
          <w:rStyle w:val="optioncarChar"/>
        </w:rPr>
        <w:t>/ ***</w:t>
      </w:r>
    </w:p>
    <w:p w14:paraId="5AF23A00" w14:textId="77777777" w:rsidR="00772179" w:rsidRDefault="00000000">
      <w:pPr>
        <w:pStyle w:val="Author-eListParagraph"/>
        <w:numPr>
          <w:ilvl w:val="0"/>
          <w:numId w:val="761"/>
        </w:numPr>
      </w:pPr>
      <w:r>
        <w:t xml:space="preserve">Finition des embouts : </w:t>
      </w:r>
      <w:r>
        <w:rPr>
          <w:rStyle w:val="optioncarChar"/>
        </w:rPr>
        <w:t xml:space="preserve">PVC teinté dans la masse / Laquée </w:t>
      </w:r>
      <w:r>
        <w:t xml:space="preserve">(teinte RAL et structure à préciser : </w:t>
      </w:r>
      <w:r>
        <w:rPr>
          <w:rStyle w:val="optioncarChar"/>
        </w:rPr>
        <w:t xml:space="preserve">*** </w:t>
      </w:r>
      <w:r>
        <w:t xml:space="preserve">) </w:t>
      </w:r>
      <w:r>
        <w:rPr>
          <w:rStyle w:val="optioncarChar"/>
        </w:rPr>
        <w:t>/ ***</w:t>
      </w:r>
    </w:p>
    <w:p w14:paraId="19A8047E" w14:textId="77777777" w:rsidR="00772179" w:rsidRDefault="00000000">
      <w:pPr>
        <w:pStyle w:val="Author-eListParagraph"/>
        <w:numPr>
          <w:ilvl w:val="0"/>
          <w:numId w:val="761"/>
        </w:numPr>
      </w:pPr>
      <w:r>
        <w:t xml:space="preserve">Commande : </w:t>
      </w:r>
      <w:r>
        <w:rPr>
          <w:rStyle w:val="optioncarChar"/>
        </w:rPr>
        <w:t>Manuelle / Tringle / Cordelette / ***</w:t>
      </w:r>
    </w:p>
    <w:p w14:paraId="5DC11E3A" w14:textId="77777777" w:rsidR="00772179" w:rsidRDefault="00000000">
      <w:pPr>
        <w:pStyle w:val="heading"/>
      </w:pPr>
      <w:r>
        <w:t>Aérateur isophonique</w:t>
      </w:r>
    </w:p>
    <w:p w14:paraId="54B189B6" w14:textId="77777777" w:rsidR="00772179" w:rsidRDefault="00000000">
      <w:pPr>
        <w:pStyle w:val="Author-eListParagraph"/>
        <w:numPr>
          <w:ilvl w:val="0"/>
          <w:numId w:val="762"/>
        </w:numPr>
      </w:pPr>
      <w:r>
        <w:t>Débit : Répondant à la norme [NBN D 50-001],</w:t>
      </w:r>
    </w:p>
    <w:p w14:paraId="39FCE183" w14:textId="77777777" w:rsidR="00772179" w:rsidRDefault="00000000">
      <w:pPr>
        <w:pStyle w:val="Author-eListParagraph"/>
        <w:numPr>
          <w:ilvl w:val="0"/>
          <w:numId w:val="762"/>
        </w:numPr>
      </w:pPr>
      <w:r>
        <w:t>Dispositif de réglage : Réglage en continu ou pourvu de 3 positions entre « ouvert » et « fermé »</w:t>
      </w:r>
    </w:p>
    <w:p w14:paraId="356422A0" w14:textId="77777777" w:rsidR="00772179" w:rsidRDefault="00000000">
      <w:pPr>
        <w:pStyle w:val="Author-eListParagraph"/>
        <w:numPr>
          <w:ilvl w:val="0"/>
          <w:numId w:val="762"/>
        </w:numPr>
      </w:pPr>
      <w:r>
        <w:t>Finition :</w:t>
      </w:r>
      <w:r>
        <w:rPr>
          <w:rStyle w:val="optioncarChar"/>
        </w:rPr>
        <w:t xml:space="preserve"> Anodisée / Laquée </w:t>
      </w:r>
      <w:r>
        <w:t xml:space="preserve">(teinte RAL et structure à préciser : </w:t>
      </w:r>
      <w:r>
        <w:rPr>
          <w:rStyle w:val="optioncarChar"/>
        </w:rPr>
        <w:t>***</w:t>
      </w:r>
      <w:r>
        <w:t xml:space="preserve">) </w:t>
      </w:r>
      <w:r>
        <w:rPr>
          <w:rStyle w:val="optioncarChar"/>
        </w:rPr>
        <w:t>/ ***</w:t>
      </w:r>
    </w:p>
    <w:p w14:paraId="5D912B44" w14:textId="77777777" w:rsidR="00772179" w:rsidRDefault="00000000">
      <w:pPr>
        <w:pStyle w:val="Author-eListParagraph"/>
        <w:numPr>
          <w:ilvl w:val="0"/>
          <w:numId w:val="762"/>
        </w:numPr>
      </w:pPr>
      <w:r>
        <w:t>Finition des embouts :</w:t>
      </w:r>
      <w:r>
        <w:rPr>
          <w:rStyle w:val="optioncarChar"/>
        </w:rPr>
        <w:t xml:space="preserve"> PVC teinté dans la masse / Laquée </w:t>
      </w:r>
      <w:r>
        <w:t xml:space="preserve">(teinte et structure à préciser : </w:t>
      </w:r>
      <w:r>
        <w:rPr>
          <w:rStyle w:val="optioncarChar"/>
        </w:rPr>
        <w:t xml:space="preserve">*** </w:t>
      </w:r>
      <w:r>
        <w:t xml:space="preserve">) </w:t>
      </w:r>
      <w:r>
        <w:rPr>
          <w:rStyle w:val="optioncarChar"/>
        </w:rPr>
        <w:t>/ ***</w:t>
      </w:r>
    </w:p>
    <w:p w14:paraId="2535B30F" w14:textId="77777777" w:rsidR="00772179" w:rsidRDefault="00000000">
      <w:pPr>
        <w:pStyle w:val="Author-eListParagraph"/>
        <w:numPr>
          <w:ilvl w:val="0"/>
          <w:numId w:val="762"/>
        </w:numPr>
      </w:pPr>
      <w:r>
        <w:t xml:space="preserve">Commande : </w:t>
      </w:r>
      <w:r>
        <w:rPr>
          <w:rStyle w:val="optioncarChar"/>
        </w:rPr>
        <w:t>Manuelle / Tringle / Cordelette / ***</w:t>
      </w:r>
    </w:p>
    <w:p w14:paraId="18231ABF" w14:textId="77777777" w:rsidR="00772179" w:rsidRDefault="00000000">
      <w:pPr>
        <w:pStyle w:val="heading"/>
      </w:pPr>
      <w:r>
        <w:t>Aérateur auto-réglable</w:t>
      </w:r>
    </w:p>
    <w:p w14:paraId="15C5D221" w14:textId="77777777" w:rsidR="00772179" w:rsidRDefault="00000000">
      <w:pPr>
        <w:pStyle w:val="Author-eListParagraph"/>
        <w:numPr>
          <w:ilvl w:val="0"/>
          <w:numId w:val="763"/>
        </w:numPr>
      </w:pPr>
      <w:r>
        <w:t>Débit : Répondant à la norme [NBN D 50-001],</w:t>
      </w:r>
    </w:p>
    <w:p w14:paraId="611AED11" w14:textId="77777777" w:rsidR="00772179" w:rsidRDefault="00000000">
      <w:pPr>
        <w:pStyle w:val="Author-eListParagraph"/>
        <w:numPr>
          <w:ilvl w:val="0"/>
          <w:numId w:val="763"/>
        </w:numPr>
      </w:pPr>
      <w:r>
        <w:t>Classe d’auto-régulation : ≥ P1 ou à définir (P2 à P4)</w:t>
      </w:r>
    </w:p>
    <w:p w14:paraId="61057E0A" w14:textId="77777777" w:rsidR="00772179" w:rsidRDefault="00000000">
      <w:pPr>
        <w:pStyle w:val="Author-eListParagraph"/>
        <w:numPr>
          <w:ilvl w:val="0"/>
          <w:numId w:val="763"/>
        </w:numPr>
      </w:pPr>
      <w:r>
        <w:t>Dispositif de réglage : Réglage en continu ou pourvu de 3 positions entre « ouvert » et « fermé »</w:t>
      </w:r>
    </w:p>
    <w:p w14:paraId="2AC12FCF" w14:textId="77777777" w:rsidR="00772179" w:rsidRDefault="00000000">
      <w:pPr>
        <w:pStyle w:val="Author-eListParagraph"/>
        <w:numPr>
          <w:ilvl w:val="0"/>
          <w:numId w:val="763"/>
        </w:numPr>
      </w:pPr>
      <w:r>
        <w:t>Finition :</w:t>
      </w:r>
      <w:r>
        <w:rPr>
          <w:rStyle w:val="optioncarChar"/>
        </w:rPr>
        <w:t xml:space="preserve"> Anodisée / Laquée </w:t>
      </w:r>
      <w:r>
        <w:t xml:space="preserve">(teinte RAL et structure à préciser : </w:t>
      </w:r>
      <w:r>
        <w:rPr>
          <w:rStyle w:val="optioncarChar"/>
        </w:rPr>
        <w:t>***</w:t>
      </w:r>
      <w:r>
        <w:t xml:space="preserve">) </w:t>
      </w:r>
      <w:r>
        <w:rPr>
          <w:rStyle w:val="optioncarChar"/>
        </w:rPr>
        <w:t>/ ***</w:t>
      </w:r>
    </w:p>
    <w:p w14:paraId="5053DA6F" w14:textId="77777777" w:rsidR="00772179" w:rsidRDefault="00000000">
      <w:pPr>
        <w:pStyle w:val="Author-eListParagraph"/>
        <w:numPr>
          <w:ilvl w:val="0"/>
          <w:numId w:val="763"/>
        </w:numPr>
      </w:pPr>
      <w:r>
        <w:t xml:space="preserve">Finition des embouts : </w:t>
      </w:r>
      <w:r>
        <w:rPr>
          <w:rStyle w:val="optioncarChar"/>
        </w:rPr>
        <w:t xml:space="preserve">PVC teinté dans la masse / Laquée </w:t>
      </w:r>
      <w:r>
        <w:t xml:space="preserve">(teinte et structure à préciser : </w:t>
      </w:r>
      <w:r>
        <w:rPr>
          <w:rStyle w:val="optioncarChar"/>
        </w:rPr>
        <w:t xml:space="preserve">*** </w:t>
      </w:r>
      <w:r>
        <w:t xml:space="preserve">) </w:t>
      </w:r>
      <w:r>
        <w:rPr>
          <w:rStyle w:val="optioncarChar"/>
        </w:rPr>
        <w:t>/ ***</w:t>
      </w:r>
    </w:p>
    <w:p w14:paraId="3BEFC40B" w14:textId="77777777" w:rsidR="00772179" w:rsidRDefault="00000000">
      <w:pPr>
        <w:pStyle w:val="Author-eListParagraph"/>
        <w:numPr>
          <w:ilvl w:val="0"/>
          <w:numId w:val="763"/>
        </w:numPr>
      </w:pPr>
      <w:r>
        <w:t>Commande :</w:t>
      </w:r>
      <w:r>
        <w:rPr>
          <w:rStyle w:val="optioncarChar"/>
        </w:rPr>
        <w:t> Manuelle / Tringle / Cordelette / *** </w:t>
      </w:r>
    </w:p>
    <w:p w14:paraId="7840AD2A" w14:textId="77777777" w:rsidR="00772179" w:rsidRDefault="00000000">
      <w:pPr>
        <w:pStyle w:val="heading"/>
      </w:pPr>
      <w:r>
        <w:t>Aérateur auto-réglable isophonique</w:t>
      </w:r>
    </w:p>
    <w:p w14:paraId="644015EC" w14:textId="77777777" w:rsidR="00772179" w:rsidRDefault="00000000">
      <w:pPr>
        <w:pStyle w:val="Author-eListParagraph"/>
        <w:numPr>
          <w:ilvl w:val="0"/>
          <w:numId w:val="764"/>
        </w:numPr>
      </w:pPr>
      <w:r>
        <w:t>Affaiblissement acoustique : ≥ 40 (-1,-2) db en position ouverte &amp; ≥ 44(-2,-5) db en position fermée.</w:t>
      </w:r>
    </w:p>
    <w:p w14:paraId="0995EDB5" w14:textId="77777777" w:rsidR="00772179" w:rsidRDefault="00000000">
      <w:pPr>
        <w:pStyle w:val="Author-eListParagraph"/>
        <w:numPr>
          <w:ilvl w:val="0"/>
          <w:numId w:val="764"/>
        </w:numPr>
      </w:pPr>
      <w:r>
        <w:t>Débit : Répondant à la norme [NBN D 50-001],</w:t>
      </w:r>
    </w:p>
    <w:p w14:paraId="57CCEC9A" w14:textId="77777777" w:rsidR="00772179" w:rsidRDefault="00000000">
      <w:pPr>
        <w:pStyle w:val="Author-eListParagraph"/>
        <w:numPr>
          <w:ilvl w:val="0"/>
          <w:numId w:val="764"/>
        </w:numPr>
      </w:pPr>
      <w:r>
        <w:t>Classe d’auto-régulation : ≥ P3</w:t>
      </w:r>
    </w:p>
    <w:p w14:paraId="6B9DC475" w14:textId="77777777" w:rsidR="00772179" w:rsidRDefault="00000000">
      <w:pPr>
        <w:pStyle w:val="Author-eListParagraph"/>
        <w:numPr>
          <w:ilvl w:val="0"/>
          <w:numId w:val="764"/>
        </w:numPr>
      </w:pPr>
      <w:r>
        <w:t>Dispositif de réglage : Réglage en continu ou pourvu de 3 positions entre « ouvert » et « fermé »</w:t>
      </w:r>
    </w:p>
    <w:p w14:paraId="1E86A7A7" w14:textId="77777777" w:rsidR="00772179" w:rsidRDefault="00000000">
      <w:pPr>
        <w:pStyle w:val="Author-eListParagraph"/>
        <w:numPr>
          <w:ilvl w:val="0"/>
          <w:numId w:val="764"/>
        </w:numPr>
      </w:pPr>
      <w:r>
        <w:t>Finition :</w:t>
      </w:r>
      <w:r>
        <w:rPr>
          <w:rStyle w:val="optioncarChar"/>
        </w:rPr>
        <w:t xml:space="preserve"> Anodisée / Laquée </w:t>
      </w:r>
      <w:r>
        <w:t xml:space="preserve">(teinte RAL et structure à préciser : </w:t>
      </w:r>
      <w:r>
        <w:rPr>
          <w:rStyle w:val="optioncarChar"/>
        </w:rPr>
        <w:t xml:space="preserve">*** </w:t>
      </w:r>
      <w:r>
        <w:t xml:space="preserve">) </w:t>
      </w:r>
      <w:r>
        <w:rPr>
          <w:rStyle w:val="optioncarChar"/>
        </w:rPr>
        <w:t>/ ***</w:t>
      </w:r>
    </w:p>
    <w:p w14:paraId="2EDA81EB" w14:textId="77777777" w:rsidR="00772179" w:rsidRDefault="00000000">
      <w:pPr>
        <w:pStyle w:val="Author-eListParagraph"/>
        <w:numPr>
          <w:ilvl w:val="0"/>
          <w:numId w:val="764"/>
        </w:numPr>
      </w:pPr>
      <w:r>
        <w:t xml:space="preserve">Finition des embouts : Matière synthétique teintée dans la masse (teinte RAL et structure à préciser : </w:t>
      </w:r>
      <w:r>
        <w:rPr>
          <w:rStyle w:val="optioncarChar"/>
        </w:rPr>
        <w:t xml:space="preserve">*** </w:t>
      </w:r>
      <w:r>
        <w:t xml:space="preserve">) </w:t>
      </w:r>
      <w:r>
        <w:rPr>
          <w:rStyle w:val="optioncarChar"/>
        </w:rPr>
        <w:t>/ ***</w:t>
      </w:r>
    </w:p>
    <w:p w14:paraId="0FB6DC75" w14:textId="77777777" w:rsidR="00772179" w:rsidRDefault="00000000">
      <w:pPr>
        <w:pStyle w:val="Author-eListParagraph"/>
        <w:numPr>
          <w:ilvl w:val="0"/>
          <w:numId w:val="764"/>
        </w:numPr>
      </w:pPr>
      <w:r>
        <w:t xml:space="preserve">Commande : </w:t>
      </w:r>
      <w:r>
        <w:rPr>
          <w:rStyle w:val="optioncarChar"/>
        </w:rPr>
        <w:t>Manuelle / Tringle / Cordelette / ***</w:t>
      </w:r>
    </w:p>
    <w:p w14:paraId="75341DF0" w14:textId="77777777" w:rsidR="00772179" w:rsidRDefault="00000000">
      <w:pPr>
        <w:pStyle w:val="Author-eListParagraph"/>
        <w:numPr>
          <w:ilvl w:val="0"/>
          <w:numId w:val="764"/>
        </w:numPr>
      </w:pPr>
      <w:r>
        <w:t>Entretien : Facilité grâce à un profilé intérieur amovible </w:t>
      </w:r>
    </w:p>
    <w:p w14:paraId="6B6D6B2F" w14:textId="77777777" w:rsidR="00772179" w:rsidRDefault="00000000">
      <w:pPr>
        <w:pStyle w:val="heading"/>
      </w:pPr>
      <w:r>
        <w:t>Aérateur auto-réglable isophonique sur traverse</w:t>
      </w:r>
    </w:p>
    <w:p w14:paraId="5FB5D299" w14:textId="77777777" w:rsidR="00772179" w:rsidRDefault="00000000">
      <w:pPr>
        <w:pStyle w:val="Author-eListParagraph"/>
        <w:numPr>
          <w:ilvl w:val="0"/>
          <w:numId w:val="765"/>
        </w:numPr>
      </w:pPr>
      <w:r>
        <w:t>Affaiblissement acoustique : ≥ 40 (-1,-2) db en position ouverte &amp; ≥ 44 (-2,-5) db en position fermée.</w:t>
      </w:r>
    </w:p>
    <w:p w14:paraId="5D5D2068" w14:textId="77777777" w:rsidR="00772179" w:rsidRDefault="00000000">
      <w:pPr>
        <w:pStyle w:val="Author-eListParagraph"/>
        <w:numPr>
          <w:ilvl w:val="0"/>
          <w:numId w:val="765"/>
        </w:numPr>
      </w:pPr>
      <w:r>
        <w:t>Débit : Répondant à la norme [NBN D 50-001],</w:t>
      </w:r>
    </w:p>
    <w:p w14:paraId="58B1140A" w14:textId="77777777" w:rsidR="00772179" w:rsidRDefault="00000000">
      <w:pPr>
        <w:pStyle w:val="Author-eListParagraph"/>
        <w:numPr>
          <w:ilvl w:val="0"/>
          <w:numId w:val="765"/>
        </w:numPr>
      </w:pPr>
      <w:r>
        <w:t>Classe d’auto-régulation : ≥ P3</w:t>
      </w:r>
    </w:p>
    <w:p w14:paraId="1C5AB0CE" w14:textId="77777777" w:rsidR="00772179" w:rsidRDefault="00000000">
      <w:pPr>
        <w:pStyle w:val="Author-eListParagraph"/>
        <w:numPr>
          <w:ilvl w:val="0"/>
          <w:numId w:val="765"/>
        </w:numPr>
      </w:pPr>
      <w:r>
        <w:t>Dispositif de réglage : Réglage en continu ou pourvu de 3 positions entre « ouvert » et « fermé »</w:t>
      </w:r>
    </w:p>
    <w:p w14:paraId="5E3D9B43" w14:textId="77777777" w:rsidR="00772179" w:rsidRDefault="00000000">
      <w:pPr>
        <w:pStyle w:val="Author-eListParagraph"/>
        <w:numPr>
          <w:ilvl w:val="0"/>
          <w:numId w:val="765"/>
        </w:numPr>
      </w:pPr>
      <w:r>
        <w:t>Finition :</w:t>
      </w:r>
      <w:r>
        <w:rPr>
          <w:rStyle w:val="optioncarChar"/>
        </w:rPr>
        <w:t xml:space="preserve"> Anodisée / Laquée </w:t>
      </w:r>
      <w:r>
        <w:t xml:space="preserve">(teinte RAL et structure à préciser : </w:t>
      </w:r>
      <w:r>
        <w:rPr>
          <w:rStyle w:val="optioncarChar"/>
        </w:rPr>
        <w:t>***</w:t>
      </w:r>
      <w:r>
        <w:t xml:space="preserve">) </w:t>
      </w:r>
      <w:r>
        <w:rPr>
          <w:rStyle w:val="optioncarChar"/>
        </w:rPr>
        <w:t>/ ***</w:t>
      </w:r>
    </w:p>
    <w:p w14:paraId="7C7A3DAA" w14:textId="77777777" w:rsidR="00772179" w:rsidRDefault="00000000">
      <w:pPr>
        <w:pStyle w:val="Author-eListParagraph"/>
        <w:numPr>
          <w:ilvl w:val="0"/>
          <w:numId w:val="765"/>
        </w:numPr>
      </w:pPr>
      <w:r>
        <w:t xml:space="preserve">Finition des embouts : </w:t>
      </w:r>
      <w:r>
        <w:rPr>
          <w:rStyle w:val="optioncarChar"/>
        </w:rPr>
        <w:t xml:space="preserve">*** / Matière synthétique teintée dans la masse / Laquée </w:t>
      </w:r>
      <w:r>
        <w:t xml:space="preserve">(teinte RAL et structure à préciser : </w:t>
      </w:r>
      <w:r>
        <w:rPr>
          <w:rStyle w:val="optioncarChar"/>
        </w:rPr>
        <w:t>***</w:t>
      </w:r>
      <w:r>
        <w:t xml:space="preserve">) </w:t>
      </w:r>
      <w:r>
        <w:rPr>
          <w:rStyle w:val="optioncarChar"/>
        </w:rPr>
        <w:t>/ ***</w:t>
      </w:r>
    </w:p>
    <w:p w14:paraId="789CAB46" w14:textId="77777777" w:rsidR="00772179" w:rsidRDefault="00000000">
      <w:pPr>
        <w:pStyle w:val="Author-eListParagraph"/>
        <w:numPr>
          <w:ilvl w:val="0"/>
          <w:numId w:val="765"/>
        </w:numPr>
      </w:pPr>
      <w:r>
        <w:t xml:space="preserve">Commande : </w:t>
      </w:r>
      <w:r>
        <w:rPr>
          <w:rStyle w:val="optioncarChar"/>
        </w:rPr>
        <w:t>Manuelle / Tringle / Cordelette / ***</w:t>
      </w:r>
    </w:p>
    <w:p w14:paraId="2D639AD6" w14:textId="77777777" w:rsidR="00772179" w:rsidRDefault="00000000">
      <w:pPr>
        <w:pStyle w:val="Author-eListParagraph"/>
        <w:numPr>
          <w:ilvl w:val="0"/>
          <w:numId w:val="765"/>
        </w:numPr>
      </w:pPr>
      <w:r>
        <w:lastRenderedPageBreak/>
        <w:t>Entretien : Facilité grâce à un profilé intérieur amovible </w:t>
      </w:r>
    </w:p>
    <w:p w14:paraId="6137C7B3" w14:textId="77777777" w:rsidR="00772179" w:rsidRDefault="00000000">
      <w:pPr>
        <w:pStyle w:val="heading"/>
      </w:pPr>
      <w:r>
        <w:t>Aérateur auto-réglable sur châssis avec protection solaire</w:t>
      </w:r>
    </w:p>
    <w:p w14:paraId="33F51491" w14:textId="77777777" w:rsidR="00772179" w:rsidRDefault="00000000">
      <w:pPr>
        <w:pStyle w:val="Author-eListParagraph"/>
        <w:numPr>
          <w:ilvl w:val="0"/>
          <w:numId w:val="766"/>
        </w:numPr>
      </w:pPr>
      <w:r>
        <w:t>Type : Aérateur auto-réglable intégrant une toile de protection solaire</w:t>
      </w:r>
    </w:p>
    <w:p w14:paraId="5C22BFC9" w14:textId="77777777" w:rsidR="00772179" w:rsidRDefault="00000000">
      <w:pPr>
        <w:pStyle w:val="Author-eListParagraph"/>
        <w:numPr>
          <w:ilvl w:val="0"/>
          <w:numId w:val="766"/>
        </w:numPr>
      </w:pPr>
      <w:r>
        <w:t>Débit : Répondant à la norme [NBN D 50-001],</w:t>
      </w:r>
    </w:p>
    <w:p w14:paraId="3C247C4E" w14:textId="77777777" w:rsidR="00772179" w:rsidRDefault="00000000">
      <w:pPr>
        <w:pStyle w:val="Author-eListParagraph"/>
        <w:numPr>
          <w:ilvl w:val="0"/>
          <w:numId w:val="766"/>
        </w:numPr>
      </w:pPr>
      <w:r>
        <w:t>Classe d’auto-régulation : ≥ P1 ou à définir (P2 à P4)</w:t>
      </w:r>
    </w:p>
    <w:p w14:paraId="5EC18098" w14:textId="77777777" w:rsidR="00772179" w:rsidRDefault="00000000">
      <w:pPr>
        <w:pStyle w:val="Author-eListParagraph"/>
        <w:numPr>
          <w:ilvl w:val="0"/>
          <w:numId w:val="766"/>
        </w:numPr>
      </w:pPr>
      <w:r>
        <w:t>Dispositif de réglage : Réglage en continu ou pourvu de 3 positions entre « ouvert » et « fermé »</w:t>
      </w:r>
    </w:p>
    <w:p w14:paraId="406F3344" w14:textId="77777777" w:rsidR="00772179" w:rsidRDefault="00000000">
      <w:pPr>
        <w:pStyle w:val="Author-eListParagraph"/>
        <w:numPr>
          <w:ilvl w:val="0"/>
          <w:numId w:val="766"/>
        </w:numPr>
      </w:pPr>
      <w:r>
        <w:t xml:space="preserve">Finition : </w:t>
      </w:r>
      <w:r>
        <w:rPr>
          <w:rStyle w:val="optioncarChar"/>
        </w:rPr>
        <w:t xml:space="preserve">Anodisée / Laquée </w:t>
      </w:r>
      <w:r>
        <w:t xml:space="preserve">(teinte RAL et structure à préciser : </w:t>
      </w:r>
      <w:r>
        <w:rPr>
          <w:rStyle w:val="optioncarChar"/>
        </w:rPr>
        <w:t>***</w:t>
      </w:r>
      <w:r>
        <w:t xml:space="preserve">) </w:t>
      </w:r>
      <w:r>
        <w:rPr>
          <w:rStyle w:val="optioncarChar"/>
        </w:rPr>
        <w:t>/ ***</w:t>
      </w:r>
    </w:p>
    <w:p w14:paraId="050E8EB3" w14:textId="77777777" w:rsidR="00772179" w:rsidRDefault="00000000">
      <w:pPr>
        <w:pStyle w:val="Author-eListParagraph"/>
        <w:numPr>
          <w:ilvl w:val="0"/>
          <w:numId w:val="766"/>
        </w:numPr>
      </w:pPr>
      <w:r>
        <w:t>Finition des embouts : PVC teinté dans la masse</w:t>
      </w:r>
    </w:p>
    <w:p w14:paraId="1A851816" w14:textId="77777777" w:rsidR="00772179" w:rsidRDefault="00000000">
      <w:pPr>
        <w:pStyle w:val="Author-eListParagraph"/>
        <w:numPr>
          <w:ilvl w:val="0"/>
          <w:numId w:val="766"/>
        </w:numPr>
      </w:pPr>
      <w:r>
        <w:t xml:space="preserve">Commande de l’aérateur : Manuelle / Tringle / Cordelette / Moteur électrique </w:t>
      </w:r>
      <w:r>
        <w:rPr>
          <w:rStyle w:val="optioncarChar"/>
        </w:rPr>
        <w:t>/ ***</w:t>
      </w:r>
    </w:p>
    <w:p w14:paraId="7EF9BA29" w14:textId="77777777" w:rsidR="00772179" w:rsidRDefault="00000000">
      <w:pPr>
        <w:pStyle w:val="Author-eListParagraph"/>
        <w:numPr>
          <w:ilvl w:val="0"/>
          <w:numId w:val="766"/>
        </w:numPr>
      </w:pPr>
      <w:r>
        <w:t>Commande du store :</w:t>
      </w:r>
      <w:r>
        <w:rPr>
          <w:rStyle w:val="optioncarChar"/>
        </w:rPr>
        <w:t> Manivelle / Manivelle démontable / Moteur électrique / Moteur électrique à télécommande / *** </w:t>
      </w:r>
    </w:p>
    <w:p w14:paraId="4D67C39C" w14:textId="77777777" w:rsidR="00772179" w:rsidRDefault="00000000">
      <w:pPr>
        <w:pStyle w:val="heading"/>
      </w:pPr>
      <w:r>
        <w:t>Grille de ventilation intensive</w:t>
      </w:r>
    </w:p>
    <w:p w14:paraId="20C8164F" w14:textId="77777777" w:rsidR="00772179" w:rsidRDefault="00000000">
      <w:pPr>
        <w:pStyle w:val="Author-eListParagraph"/>
        <w:numPr>
          <w:ilvl w:val="0"/>
          <w:numId w:val="767"/>
        </w:numPr>
      </w:pPr>
      <w:r>
        <w:t>Type : Grille de ventilation intensive démontable</w:t>
      </w:r>
    </w:p>
    <w:p w14:paraId="370C97FC" w14:textId="77777777" w:rsidR="00772179" w:rsidRDefault="00000000">
      <w:pPr>
        <w:pStyle w:val="Author-eListParagraph"/>
        <w:numPr>
          <w:ilvl w:val="0"/>
          <w:numId w:val="767"/>
        </w:numPr>
      </w:pPr>
      <w:r>
        <w:t>Finition :</w:t>
      </w:r>
      <w:r>
        <w:rPr>
          <w:rStyle w:val="optioncarChar"/>
        </w:rPr>
        <w:t xml:space="preserve"> Anodisée / Laquée </w:t>
      </w:r>
      <w:r>
        <w:t xml:space="preserve">(teinte RAL et structure à préciser : </w:t>
      </w:r>
      <w:r>
        <w:rPr>
          <w:rStyle w:val="optioncarChar"/>
        </w:rPr>
        <w:t xml:space="preserve">*** </w:t>
      </w:r>
      <w:r>
        <w:t xml:space="preserve">) </w:t>
      </w:r>
      <w:r>
        <w:rPr>
          <w:rStyle w:val="optioncarChar"/>
        </w:rPr>
        <w:t>/ ***</w:t>
      </w:r>
    </w:p>
    <w:p w14:paraId="792F7CBB" w14:textId="77777777" w:rsidR="00772179" w:rsidRDefault="00000000">
      <w:pPr>
        <w:pStyle w:val="pheading"/>
      </w:pPr>
      <w:r>
        <w:t>EXÉCUTION / MISE EN ŒUVRE</w:t>
      </w:r>
    </w:p>
    <w:p w14:paraId="2DD0F823" w14:textId="77777777" w:rsidR="00772179" w:rsidRDefault="00000000">
      <w:pPr>
        <w:pStyle w:val="pheading"/>
      </w:pPr>
      <w:r>
        <w:t>- Prescriptions générales</w:t>
      </w:r>
    </w:p>
    <w:p w14:paraId="44CC2743" w14:textId="77777777" w:rsidR="00772179" w:rsidRDefault="00000000">
      <w:r>
        <w:t>Selon les indications sur les plans, les châssis de fenêtres sont équipés de grilles de ventilation. Les débits d'air nominaux des grilles correspondent aux dispositions en matière de ventilation de la norme [NBN D 50-001]. La pose s'effectue selon les prescriptions du fabricant. La jonction des grilles avec le double vitrage et les dormants de châssis est parfaitement étanche à l'air et à l'eau. La pose assure un ensemble rigide et stable. Pendant la durée des travaux, les grilles sont protégées contre toute dégradation et salissure.</w:t>
      </w:r>
    </w:p>
    <w:p w14:paraId="670B194B" w14:textId="77777777" w:rsidR="00772179" w:rsidRDefault="00000000">
      <w:pPr>
        <w:pStyle w:val="pheading"/>
      </w:pPr>
      <w:r>
        <w:t>MESURAGE</w:t>
      </w:r>
    </w:p>
    <w:p w14:paraId="2FD637ED" w14:textId="77777777" w:rsidR="00772179" w:rsidRDefault="00000000">
      <w:pPr>
        <w:pStyle w:val="pheading"/>
      </w:pPr>
      <w:r>
        <w:t>- unité de mesure:</w:t>
      </w:r>
    </w:p>
    <w:p w14:paraId="482C453B" w14:textId="77777777" w:rsidR="00772179" w:rsidRDefault="00000000">
      <w:r>
        <w:t>m</w:t>
      </w:r>
    </w:p>
    <w:p w14:paraId="6568C2DF" w14:textId="77777777" w:rsidR="00772179" w:rsidRDefault="00000000">
      <w:pPr>
        <w:pStyle w:val="pheading"/>
      </w:pPr>
      <w:r>
        <w:t>- code de mesurage:</w:t>
      </w:r>
    </w:p>
    <w:p w14:paraId="7F08C810" w14:textId="77777777" w:rsidR="00772179" w:rsidRDefault="00000000">
      <w:r>
        <w:t>Selon les dimensions</w:t>
      </w:r>
    </w:p>
    <w:p w14:paraId="0EF012F7" w14:textId="77777777" w:rsidR="00772179" w:rsidRDefault="00000000">
      <w:pPr>
        <w:pStyle w:val="pheading"/>
      </w:pPr>
      <w:r>
        <w:t>- nature du marché:</w:t>
      </w:r>
    </w:p>
    <w:p w14:paraId="2B1438AA" w14:textId="77777777" w:rsidR="00772179" w:rsidRDefault="00000000">
      <w:r>
        <w:t>QP</w:t>
      </w:r>
    </w:p>
    <w:p w14:paraId="41CEAEAB" w14:textId="77777777" w:rsidR="00772179" w:rsidRDefault="00000000">
      <w:pPr>
        <w:pStyle w:val="pheading"/>
      </w:pPr>
      <w:r>
        <w:t>AIDE</w:t>
      </w:r>
    </w:p>
    <w:p w14:paraId="310FB8F4" w14:textId="77777777" w:rsidR="00772179" w:rsidRDefault="00000000">
      <w:r>
        <w:rPr>
          <w:i/>
          <w:u w:val="single"/>
        </w:rPr>
        <w:t>Note à l'auteur de projet</w:t>
      </w:r>
      <w:r>
        <w:t xml:space="preserve"> :</w:t>
      </w:r>
    </w:p>
    <w:p w14:paraId="43373285" w14:textId="77777777" w:rsidR="00772179" w:rsidRDefault="00000000">
      <w:r>
        <w:t>La liste des environnements agressifs, non exhaustive, comprend :</w:t>
      </w:r>
    </w:p>
    <w:p w14:paraId="3799F5E7" w14:textId="77777777" w:rsidR="00772179" w:rsidRDefault="00000000">
      <w:pPr>
        <w:pStyle w:val="Author-eListParagraph"/>
        <w:numPr>
          <w:ilvl w:val="0"/>
          <w:numId w:val="768"/>
        </w:numPr>
      </w:pPr>
      <w:r>
        <w:t>La zone étendue depuis le bord de mer jusqu’à 10 kilomètres à l’intérieur des terres,</w:t>
      </w:r>
    </w:p>
    <w:p w14:paraId="287B73BD" w14:textId="77777777" w:rsidR="00772179" w:rsidRDefault="00000000">
      <w:pPr>
        <w:pStyle w:val="Author-eListParagraph"/>
        <w:numPr>
          <w:ilvl w:val="0"/>
          <w:numId w:val="768"/>
        </w:numPr>
      </w:pPr>
      <w:r>
        <w:t>Les abords immédiats des voies ferrées,</w:t>
      </w:r>
    </w:p>
    <w:p w14:paraId="2313E4D1" w14:textId="77777777" w:rsidR="00772179" w:rsidRDefault="00000000">
      <w:pPr>
        <w:pStyle w:val="Author-eListParagraph"/>
        <w:numPr>
          <w:ilvl w:val="0"/>
          <w:numId w:val="768"/>
        </w:numPr>
      </w:pPr>
      <w:r>
        <w:t>Les abords immédiats des routes à grand trafic,</w:t>
      </w:r>
    </w:p>
    <w:p w14:paraId="4D3DE085" w14:textId="77777777" w:rsidR="00772179" w:rsidRDefault="00000000">
      <w:pPr>
        <w:pStyle w:val="Author-eListParagraph"/>
        <w:numPr>
          <w:ilvl w:val="0"/>
          <w:numId w:val="768"/>
        </w:numPr>
      </w:pPr>
      <w:r>
        <w:t>Les abords immédiats des zones industrielles polluantes,</w:t>
      </w:r>
    </w:p>
    <w:p w14:paraId="59DB29CD" w14:textId="77777777" w:rsidR="00772179" w:rsidRDefault="00000000">
      <w:pPr>
        <w:pStyle w:val="Author-eSectionHeading4Numberless"/>
      </w:pPr>
      <w:bookmarkStart w:id="380" w:name="_Toc220490103"/>
      <w:r>
        <w:t>41.76 Accessoires et signalétique CCTB 01.04</w:t>
      </w:r>
      <w:bookmarkEnd w:id="380"/>
    </w:p>
    <w:p w14:paraId="47DF955C" w14:textId="77777777" w:rsidR="00772179" w:rsidRDefault="00000000">
      <w:pPr>
        <w:pStyle w:val="pheading"/>
      </w:pPr>
      <w:r>
        <w:t>MATÉRIAUX</w:t>
      </w:r>
    </w:p>
    <w:p w14:paraId="6771B5DF" w14:textId="77777777" w:rsidR="00772179" w:rsidRDefault="00000000">
      <w:r>
        <w:t>Avant la pose, un échantillon représentatif de tous les accessoires est soumis pour approbation au maître d’ouvrage.</w:t>
      </w:r>
    </w:p>
    <w:p w14:paraId="105B28D8" w14:textId="77777777" w:rsidR="00772179" w:rsidRDefault="00000000">
      <w:pPr>
        <w:pStyle w:val="Author-eSectionHeading5Numberless"/>
      </w:pPr>
      <w:bookmarkStart w:id="381" w:name="_Toc220490104"/>
      <w:r>
        <w:t>41.76.1 Accessoires CCTB 01.02</w:t>
      </w:r>
      <w:bookmarkEnd w:id="381"/>
    </w:p>
    <w:p w14:paraId="143AB17A" w14:textId="77777777" w:rsidR="00772179" w:rsidRDefault="00000000">
      <w:pPr>
        <w:pStyle w:val="Author-eSectionHeading6Numberless"/>
      </w:pPr>
      <w:bookmarkStart w:id="382" w:name="_Toc220490105"/>
      <w:r>
        <w:lastRenderedPageBreak/>
        <w:t>41.76.1a Boîtes aux lettres CCTB 01.13</w:t>
      </w:r>
      <w:bookmarkEnd w:id="382"/>
    </w:p>
    <w:p w14:paraId="2AB741FB" w14:textId="77777777" w:rsidR="00772179" w:rsidRDefault="00000000">
      <w:pPr>
        <w:pStyle w:val="pheading"/>
      </w:pPr>
      <w:bookmarkStart w:id="383" w:name="1738"/>
      <w:bookmarkEnd w:id="383"/>
      <w:r>
        <w:t>DESCRIPTION</w:t>
      </w:r>
    </w:p>
    <w:p w14:paraId="536AF78D" w14:textId="77777777" w:rsidR="00772179" w:rsidRDefault="00000000">
      <w:pPr>
        <w:pStyle w:val="pheading"/>
      </w:pPr>
      <w:r>
        <w:t>- Localisation</w:t>
      </w:r>
    </w:p>
    <w:p w14:paraId="49A7ACFF" w14:textId="77777777" w:rsidR="00772179" w:rsidRDefault="00000000">
      <w:r>
        <w:t>Suivant prescriptions BPost.</w:t>
      </w:r>
    </w:p>
    <w:p w14:paraId="40A48522" w14:textId="77777777" w:rsidR="00772179" w:rsidRDefault="00000000">
      <w:r>
        <w:t xml:space="preserve">Les portes d'entrée suivantes sont équipées d'une de boîte aux lettres intégrée : </w:t>
      </w:r>
      <w:r>
        <w:rPr>
          <w:rStyle w:val="optioncarChar"/>
        </w:rPr>
        <w:t>***</w:t>
      </w:r>
      <w:r>
        <w:t xml:space="preserve">  </w:t>
      </w:r>
    </w:p>
    <w:p w14:paraId="029442AC" w14:textId="77777777" w:rsidR="00772179" w:rsidRDefault="00000000">
      <w:pPr>
        <w:pStyle w:val="pheading"/>
      </w:pPr>
      <w:r>
        <w:t>MATÉRIAUX</w:t>
      </w:r>
    </w:p>
    <w:p w14:paraId="0CCE6162" w14:textId="77777777" w:rsidR="00772179" w:rsidRDefault="00000000">
      <w:pPr>
        <w:pStyle w:val="pheading"/>
      </w:pPr>
      <w:r>
        <w:t>- Caractéristiques générales</w:t>
      </w:r>
    </w:p>
    <w:p w14:paraId="647A961D" w14:textId="77777777" w:rsidR="00772179" w:rsidRDefault="00000000">
      <w:r>
        <w:t>Il s'agit de clapets de boîtes aux lettres à encastrer dans les portes d'entrée, fabriqués en:</w:t>
      </w:r>
    </w:p>
    <w:p w14:paraId="4DDDB922" w14:textId="77777777" w:rsidR="00772179" w:rsidRDefault="00000000">
      <w:pPr>
        <w:ind w:left="450"/>
      </w:pPr>
      <w:r>
        <w:rPr>
          <w:rStyle w:val="optioncarChar"/>
        </w:rPr>
        <w:t>aluminium </w:t>
      </w:r>
      <w:r>
        <w:t>(par défaut)</w:t>
      </w:r>
      <w:r>
        <w:rPr>
          <w:rStyle w:val="optioncarChar"/>
        </w:rPr>
        <w:t> / Nylon / acier inoxydable </w:t>
      </w:r>
    </w:p>
    <w:p w14:paraId="4E141967" w14:textId="77777777" w:rsidR="00772179" w:rsidRDefault="00000000">
      <w:pPr>
        <w:ind w:left="450"/>
      </w:pPr>
      <w:r>
        <w:rPr>
          <w:b/>
        </w:rPr>
        <w:t>(soit par défaut)</w:t>
      </w:r>
      <w:r>
        <w:t> :</w:t>
      </w:r>
      <w:r>
        <w:rPr>
          <w:rStyle w:val="optioncarChar"/>
        </w:rPr>
        <w:t> </w:t>
      </w:r>
      <w:r>
        <w:rPr>
          <w:rStyle w:val="soitChar"/>
          <w:u w:val="single"/>
        </w:rPr>
        <w:t>aluminium</w:t>
      </w:r>
      <w:r>
        <w:rPr>
          <w:rStyle w:val="optioncarChar"/>
        </w:rPr>
        <w:t xml:space="preserve"> anodisé / laqué</w:t>
      </w:r>
      <w:r>
        <w:t>, couleur : RAL n°</w:t>
      </w:r>
      <w:r>
        <w:rPr>
          <w:rStyle w:val="optioncarChar"/>
        </w:rPr>
        <w:t xml:space="preserve"> *** / à choisir dans la gamme de couleurs standard du fabricant </w:t>
      </w:r>
      <w:r>
        <w:t>.</w:t>
      </w:r>
      <w:r>
        <w:br/>
      </w:r>
      <w:r>
        <w:rPr>
          <w:b/>
        </w:rPr>
        <w:t>(soit)</w:t>
      </w:r>
      <w:r>
        <w:t xml:space="preserve"> : </w:t>
      </w:r>
      <w:r>
        <w:rPr>
          <w:rStyle w:val="soitChar"/>
          <w:u w:val="single"/>
        </w:rPr>
        <w:t>Nylon</w:t>
      </w:r>
      <w:r>
        <w:rPr>
          <w:rStyle w:val="soitChar"/>
        </w:rPr>
        <w:t xml:space="preserve"> de qualité coloré dans la masse, couleur : RAL n°</w:t>
      </w:r>
      <w:r>
        <w:rPr>
          <w:rStyle w:val="optioncarChar"/>
        </w:rPr>
        <w:t xml:space="preserve">*** / à choisir dans la gamme de couleurs standard du fabricant </w:t>
      </w:r>
      <w:r>
        <w:t>.</w:t>
      </w:r>
      <w:r>
        <w:br/>
      </w:r>
      <w:r>
        <w:rPr>
          <w:b/>
        </w:rPr>
        <w:t>(soit)</w:t>
      </w:r>
      <w:r>
        <w:t xml:space="preserve"> : </w:t>
      </w:r>
      <w:r>
        <w:rPr>
          <w:rStyle w:val="soitChar"/>
          <w:u w:val="single"/>
        </w:rPr>
        <w:t>acier inoxydable</w:t>
      </w:r>
      <w:r>
        <w:rPr>
          <w:rStyle w:val="soitChar"/>
        </w:rPr>
        <w:t xml:space="preserve"> poli 18/8 ou 18/10</w:t>
      </w:r>
    </w:p>
    <w:p w14:paraId="741F6C44" w14:textId="77777777" w:rsidR="00772179" w:rsidRDefault="00000000">
      <w:r>
        <w:t>A l'intérieur, il est prévu une boîte aux lettres, fixée au panneau intérieur de la porte d'entrée. La face avant est complètement ouverte. Ouverture d'accès à l'arrière. Portillon avec serrure à cylindre.</w:t>
      </w:r>
    </w:p>
    <w:p w14:paraId="74896376" w14:textId="77777777" w:rsidR="00772179" w:rsidRDefault="00000000">
      <w:pPr>
        <w:pStyle w:val="pheading"/>
      </w:pPr>
      <w:r>
        <w:t>- Finitions</w:t>
      </w:r>
    </w:p>
    <w:p w14:paraId="55B9A252" w14:textId="77777777" w:rsidR="00772179" w:rsidRDefault="00000000">
      <w:pPr>
        <w:pStyle w:val="Author-eListParagraph"/>
        <w:numPr>
          <w:ilvl w:val="0"/>
          <w:numId w:val="769"/>
        </w:numPr>
      </w:pPr>
      <w:r>
        <w:t xml:space="preserve">Charnières : </w:t>
      </w:r>
      <w:r>
        <w:rPr>
          <w:rStyle w:val="optioncarChar"/>
        </w:rPr>
        <w:t>goupilles en Nylon / ***</w:t>
      </w:r>
    </w:p>
    <w:p w14:paraId="4D9518C0" w14:textId="77777777" w:rsidR="00772179" w:rsidRDefault="00000000">
      <w:pPr>
        <w:pStyle w:val="Author-eListParagraph"/>
        <w:numPr>
          <w:ilvl w:val="0"/>
          <w:numId w:val="769"/>
        </w:numPr>
      </w:pPr>
      <w:r>
        <w:t xml:space="preserve">Dimensions extérieures : ≥ </w:t>
      </w:r>
      <w:r>
        <w:rPr>
          <w:rStyle w:val="optioncarChar"/>
        </w:rPr>
        <w:t>265 x 32 / ***</w:t>
      </w:r>
      <w:r>
        <w:t>  mm (conformément aux exigences de BPost )</w:t>
      </w:r>
    </w:p>
    <w:p w14:paraId="6BE36C58" w14:textId="77777777" w:rsidR="00772179" w:rsidRDefault="00000000">
      <w:pPr>
        <w:pStyle w:val="Author-eListParagraph"/>
        <w:numPr>
          <w:ilvl w:val="0"/>
          <w:numId w:val="769"/>
        </w:numPr>
      </w:pPr>
      <w:r>
        <w:t xml:space="preserve">Ouverture pour le courrier : ≥ </w:t>
      </w:r>
      <w:r>
        <w:rPr>
          <w:rStyle w:val="optioncarChar"/>
        </w:rPr>
        <w:t>230 x 30</w:t>
      </w:r>
      <w:r>
        <w:t xml:space="preserve"> (par défaut) </w:t>
      </w:r>
      <w:r>
        <w:rPr>
          <w:rStyle w:val="optioncarChar"/>
        </w:rPr>
        <w:t>/ ***</w:t>
      </w:r>
      <w:r>
        <w:t xml:space="preserve"> mm (conformément aux exigences de BPost )</w:t>
      </w:r>
    </w:p>
    <w:p w14:paraId="0EC049B5" w14:textId="77777777" w:rsidR="00772179" w:rsidRDefault="00000000">
      <w:pPr>
        <w:pStyle w:val="Author-eListParagraph"/>
        <w:numPr>
          <w:ilvl w:val="0"/>
          <w:numId w:val="769"/>
        </w:numPr>
      </w:pPr>
      <w:r>
        <w:t xml:space="preserve">Dimensions de la réservation : </w:t>
      </w:r>
      <w:r>
        <w:rPr>
          <w:rStyle w:val="optioncarChar"/>
        </w:rPr>
        <w:t xml:space="preserve">*** </w:t>
      </w:r>
      <w:r>
        <w:t>mm</w:t>
      </w:r>
    </w:p>
    <w:p w14:paraId="01D8613A" w14:textId="77777777" w:rsidR="00772179" w:rsidRDefault="00000000">
      <w:pPr>
        <w:pStyle w:val="pheading"/>
      </w:pPr>
      <w:r>
        <w:t>EXÉCUTION / MISE EN ŒUVRE</w:t>
      </w:r>
    </w:p>
    <w:p w14:paraId="65169196" w14:textId="77777777" w:rsidR="00772179" w:rsidRDefault="00000000">
      <w:pPr>
        <w:pStyle w:val="pheading"/>
      </w:pPr>
      <w:r>
        <w:t>- Prescriptions générales</w:t>
      </w:r>
    </w:p>
    <w:p w14:paraId="2DDC0515" w14:textId="77777777" w:rsidR="00772179" w:rsidRDefault="00000000">
      <w:r>
        <w:t xml:space="preserve">Les boîtes aux lettres sont placées de telle sorte que l'ouverture se situe à une hauteur de </w:t>
      </w:r>
      <w:r>
        <w:rPr>
          <w:rStyle w:val="optioncarChar"/>
        </w:rPr>
        <w:t>*** / 85-90 (PMR)</w:t>
      </w:r>
      <w:r>
        <w:t xml:space="preserve"> cm au-dessus du niveau du sol. Elles sont également placées à une distance latérale d'au moins </w:t>
      </w:r>
      <w:r>
        <w:rPr>
          <w:rStyle w:val="optioncarChar"/>
        </w:rPr>
        <w:t>*** / 50 (PMR)</w:t>
      </w:r>
      <w:r>
        <w:t> cm de tout mur contigu. </w:t>
      </w:r>
    </w:p>
    <w:p w14:paraId="6CBBBC16" w14:textId="77777777" w:rsidR="00772179" w:rsidRDefault="00000000">
      <w:r>
        <w:t xml:space="preserve">Fixation invisible dans le </w:t>
      </w:r>
      <w:r>
        <w:rPr>
          <w:rStyle w:val="optioncarChar"/>
        </w:rPr>
        <w:t xml:space="preserve">*** / panneau / montant </w:t>
      </w:r>
      <w:r>
        <w:t>de la porte d'entrée, conformément aux prescriptions du fabriquant.</w:t>
      </w:r>
    </w:p>
    <w:p w14:paraId="792B8070" w14:textId="77777777" w:rsidR="00772179" w:rsidRDefault="00000000">
      <w:r>
        <w:t>Hauteur de pose : </w:t>
      </w:r>
      <w:r>
        <w:rPr>
          <w:rStyle w:val="optioncarChar"/>
        </w:rPr>
        <w:t xml:space="preserve">entre 70 et 170 cm </w:t>
      </w:r>
      <w:r>
        <w:t>(suivant prescriptions BPost)</w:t>
      </w:r>
    </w:p>
    <w:p w14:paraId="14EB50FC" w14:textId="77777777" w:rsidR="00772179" w:rsidRDefault="00000000">
      <w:pPr>
        <w:pStyle w:val="pheading"/>
      </w:pPr>
      <w:r>
        <w:t>MESURAGE</w:t>
      </w:r>
    </w:p>
    <w:p w14:paraId="228E969C" w14:textId="77777777" w:rsidR="00772179" w:rsidRDefault="00000000">
      <w:pPr>
        <w:pStyle w:val="pheading"/>
      </w:pPr>
      <w:r>
        <w:t>- unité de mesure:</w:t>
      </w:r>
    </w:p>
    <w:p w14:paraId="5334A7F3" w14:textId="77777777" w:rsidR="00772179" w:rsidRDefault="00000000">
      <w:pPr>
        <w:pStyle w:val="soit"/>
      </w:pPr>
      <w:r>
        <w:t> </w:t>
      </w:r>
      <w:r>
        <w:rPr>
          <w:rStyle w:val="normalChar"/>
          <w:color w:val="FF0000"/>
        </w:rPr>
        <w:t>pc</w:t>
      </w:r>
      <w:r>
        <w:t> </w:t>
      </w:r>
      <w:r>
        <w:rPr>
          <w:color w:val="000000"/>
        </w:rPr>
        <w:t>(par défaut) </w:t>
      </w:r>
      <w:r>
        <w:rPr>
          <w:rStyle w:val="optioncarChar"/>
        </w:rPr>
        <w:t>/ -</w:t>
      </w:r>
    </w:p>
    <w:p w14:paraId="261C07D8" w14:textId="77777777" w:rsidR="00772179" w:rsidRDefault="00000000">
      <w:r>
        <w:rPr>
          <w:b/>
        </w:rPr>
        <w:t>(soit par défaut)</w:t>
      </w:r>
    </w:p>
    <w:p w14:paraId="1C65B8E5" w14:textId="77777777" w:rsidR="00772179" w:rsidRDefault="00000000">
      <w:r>
        <w:rPr>
          <w:rStyle w:val="soitChar"/>
        </w:rPr>
        <w:t>1. pc</w:t>
      </w:r>
    </w:p>
    <w:p w14:paraId="0572F15A" w14:textId="77777777" w:rsidR="00772179" w:rsidRDefault="00000000">
      <w:r>
        <w:rPr>
          <w:b/>
        </w:rPr>
        <w:t>(soit)</w:t>
      </w:r>
    </w:p>
    <w:p w14:paraId="25A1BA1A" w14:textId="77777777" w:rsidR="00772179" w:rsidRDefault="00000000">
      <w:r>
        <w:rPr>
          <w:rStyle w:val="soitChar"/>
        </w:rPr>
        <w:t>2. -</w:t>
      </w:r>
    </w:p>
    <w:p w14:paraId="486D37F5" w14:textId="77777777" w:rsidR="00772179" w:rsidRDefault="00000000">
      <w:pPr>
        <w:pStyle w:val="pheading"/>
      </w:pPr>
      <w:r>
        <w:t>- code de mesurage:</w:t>
      </w:r>
    </w:p>
    <w:p w14:paraId="21089AE8" w14:textId="77777777" w:rsidR="00772179" w:rsidRDefault="00000000">
      <w:r>
        <w:rPr>
          <w:rStyle w:val="optioncarChar"/>
        </w:rPr>
        <w:t>Ventilé le cas échéant selon la nature et le type </w:t>
      </w:r>
      <w:r>
        <w:t xml:space="preserve">(par défaut) </w:t>
      </w:r>
      <w:r>
        <w:rPr>
          <w:rStyle w:val="optioncarChar"/>
        </w:rPr>
        <w:t>/ Compris dans le prix de la menuiserie extérieure </w:t>
      </w:r>
    </w:p>
    <w:p w14:paraId="622B7525" w14:textId="77777777" w:rsidR="00772179" w:rsidRDefault="00000000">
      <w:r>
        <w:rPr>
          <w:b/>
        </w:rPr>
        <w:t>(soit par défaut) :</w:t>
      </w:r>
    </w:p>
    <w:p w14:paraId="3839F57E" w14:textId="77777777" w:rsidR="00772179" w:rsidRDefault="00000000">
      <w:r>
        <w:rPr>
          <w:rStyle w:val="soitChar"/>
        </w:rPr>
        <w:t>1. Ventilé le cas échéant selon la nature et le type</w:t>
      </w:r>
    </w:p>
    <w:p w14:paraId="228BAF94" w14:textId="77777777" w:rsidR="00772179" w:rsidRDefault="00000000">
      <w:r>
        <w:rPr>
          <w:b/>
        </w:rPr>
        <w:lastRenderedPageBreak/>
        <w:t>(soit)</w:t>
      </w:r>
    </w:p>
    <w:p w14:paraId="63DB7B35" w14:textId="77777777" w:rsidR="00772179" w:rsidRDefault="00000000">
      <w:r>
        <w:rPr>
          <w:rStyle w:val="soitChar"/>
        </w:rPr>
        <w:t>2. Compris dans le prix de la menuiserie extérieure</w:t>
      </w:r>
    </w:p>
    <w:p w14:paraId="7612942A" w14:textId="77777777" w:rsidR="00772179" w:rsidRDefault="00772179"/>
    <w:p w14:paraId="41CB0F63" w14:textId="77777777" w:rsidR="00772179" w:rsidRDefault="00000000">
      <w:pPr>
        <w:pStyle w:val="pheading"/>
      </w:pPr>
      <w:r>
        <w:t>- nature du marché:</w:t>
      </w:r>
    </w:p>
    <w:p w14:paraId="261A13D2" w14:textId="77777777" w:rsidR="00772179" w:rsidRDefault="00000000">
      <w:r>
        <w:rPr>
          <w:rStyle w:val="optioncarChar"/>
        </w:rPr>
        <w:t>QF </w:t>
      </w:r>
      <w:r>
        <w:t>(par défaut)</w:t>
      </w:r>
      <w:r>
        <w:rPr>
          <w:rStyle w:val="optioncarChar"/>
        </w:rPr>
        <w:t xml:space="preserve"> / PM</w:t>
      </w:r>
    </w:p>
    <w:p w14:paraId="5177245F" w14:textId="77777777" w:rsidR="00772179" w:rsidRDefault="00000000">
      <w:r>
        <w:rPr>
          <w:b/>
        </w:rPr>
        <w:t>(soit par défaut)</w:t>
      </w:r>
    </w:p>
    <w:p w14:paraId="62BB3C7B" w14:textId="77777777" w:rsidR="00772179" w:rsidRDefault="00000000">
      <w:r>
        <w:rPr>
          <w:rStyle w:val="soitChar"/>
        </w:rPr>
        <w:t>1. QF</w:t>
      </w:r>
    </w:p>
    <w:p w14:paraId="440C3112" w14:textId="77777777" w:rsidR="00772179" w:rsidRDefault="00000000">
      <w:r>
        <w:rPr>
          <w:b/>
        </w:rPr>
        <w:t>(soit)</w:t>
      </w:r>
    </w:p>
    <w:p w14:paraId="22C35915" w14:textId="77777777" w:rsidR="00772179" w:rsidRDefault="00000000">
      <w:r>
        <w:rPr>
          <w:rStyle w:val="soitChar"/>
        </w:rPr>
        <w:t>2. PM</w:t>
      </w:r>
    </w:p>
    <w:p w14:paraId="3B3D306E" w14:textId="77777777" w:rsidR="00772179" w:rsidRDefault="00000000">
      <w:pPr>
        <w:pStyle w:val="pheading"/>
      </w:pPr>
      <w:r>
        <w:t>AIDE</w:t>
      </w:r>
    </w:p>
    <w:p w14:paraId="3577AF79" w14:textId="77777777" w:rsidR="00772179" w:rsidRDefault="00000000">
      <w:r>
        <w:t>NOTE A L'AUTEUR DE PROJET</w:t>
      </w:r>
    </w:p>
    <w:p w14:paraId="4B9381AF" w14:textId="77777777" w:rsidR="00772179" w:rsidRDefault="00000000">
      <w:r>
        <w:rPr>
          <w:b/>
        </w:rPr>
        <w:t>Accessibilité aux personnes à mobilité réduite (PMR)</w:t>
      </w:r>
    </w:p>
    <w:p w14:paraId="74E2F069" w14:textId="77777777" w:rsidR="00772179" w:rsidRDefault="00000000">
      <w:pPr>
        <w:pStyle w:val="Author-eListParagraph"/>
        <w:numPr>
          <w:ilvl w:val="0"/>
          <w:numId w:val="770"/>
        </w:numPr>
      </w:pPr>
      <w:r>
        <w:t>Hauteur de l’ouverture : entre 85 et 90 cm au-dessus du niveau du sol   [CoDT] </w:t>
      </w:r>
    </w:p>
    <w:p w14:paraId="412DE42E" w14:textId="77777777" w:rsidR="00772179" w:rsidRDefault="00000000">
      <w:pPr>
        <w:pStyle w:val="Author-eListParagraph"/>
        <w:numPr>
          <w:ilvl w:val="0"/>
          <w:numId w:val="770"/>
        </w:numPr>
      </w:pPr>
      <w:r>
        <w:t>Distance latérale : ≥ 50 cm de tout mur contigu  [SWL CALA] et [NEN 1814]</w:t>
      </w:r>
    </w:p>
    <w:p w14:paraId="18979241" w14:textId="77777777" w:rsidR="00772179" w:rsidRDefault="00000000">
      <w:pPr>
        <w:pStyle w:val="Author-eSectionHeading6Numberless"/>
      </w:pPr>
      <w:bookmarkStart w:id="384" w:name="_Toc220490106"/>
      <w:r>
        <w:t>41.76.1b Judas CCTB 01.11</w:t>
      </w:r>
      <w:bookmarkEnd w:id="384"/>
    </w:p>
    <w:p w14:paraId="09D27D6A" w14:textId="77777777" w:rsidR="00772179" w:rsidRDefault="00000000">
      <w:pPr>
        <w:pStyle w:val="pheading"/>
      </w:pPr>
      <w:r>
        <w:t>MATÉRIAUX</w:t>
      </w:r>
    </w:p>
    <w:p w14:paraId="6B220F04" w14:textId="77777777" w:rsidR="00772179" w:rsidRDefault="00000000">
      <w:pPr>
        <w:pStyle w:val="pheading"/>
      </w:pPr>
      <w:r>
        <w:t>- Caractéristiques générales</w:t>
      </w:r>
    </w:p>
    <w:p w14:paraId="14A6FF8C" w14:textId="77777777" w:rsidR="00772179" w:rsidRDefault="00000000">
      <w:r>
        <w:t>Il s'agit d'un judas en laiton ou inox à encastrer dans les portes d'entrée d'un logement. Modèle à soumettre pour approbation au maître d’ouvrage.</w:t>
      </w:r>
    </w:p>
    <w:p w14:paraId="65A65155" w14:textId="77777777" w:rsidR="00772179" w:rsidRDefault="00000000">
      <w:pPr>
        <w:pStyle w:val="pheading"/>
      </w:pPr>
      <w:r>
        <w:t>EXÉCUTION / MISE EN ŒUVRE</w:t>
      </w:r>
    </w:p>
    <w:p w14:paraId="388B21EA" w14:textId="77777777" w:rsidR="00772179" w:rsidRDefault="00000000">
      <w:pPr>
        <w:pStyle w:val="pheading"/>
      </w:pPr>
      <w:r>
        <w:t>- Prescriptions générales</w:t>
      </w:r>
    </w:p>
    <w:p w14:paraId="4CA0E766" w14:textId="77777777" w:rsidR="00772179" w:rsidRDefault="00000000">
      <w:r>
        <w:t>Les judas sont placés à hauteur des yeux (</w:t>
      </w:r>
      <w:r>
        <w:rPr>
          <w:rStyle w:val="optioncarChar"/>
        </w:rPr>
        <w:t xml:space="preserve">150 cm </w:t>
      </w:r>
      <w:r>
        <w:t>(par défaut)</w:t>
      </w:r>
      <w:r>
        <w:rPr>
          <w:rStyle w:val="optioncarChar"/>
        </w:rPr>
        <w:t xml:space="preserve"> / ***</w:t>
      </w:r>
      <w:r>
        <w:t>) et au centre de la feuille de porte, conformément aux prescriptions du fabricant.</w:t>
      </w:r>
    </w:p>
    <w:p w14:paraId="53DA0247" w14:textId="77777777" w:rsidR="00772179" w:rsidRDefault="00000000">
      <w:pPr>
        <w:pStyle w:val="pheading"/>
      </w:pPr>
      <w:r>
        <w:t>MESURAGE</w:t>
      </w:r>
    </w:p>
    <w:p w14:paraId="6D964FE8" w14:textId="77777777" w:rsidR="00772179" w:rsidRDefault="00000000">
      <w:pPr>
        <w:pStyle w:val="pheading"/>
      </w:pPr>
      <w:r>
        <w:t>- unité de mesure:</w:t>
      </w:r>
    </w:p>
    <w:p w14:paraId="3A84699F" w14:textId="77777777" w:rsidR="00772179" w:rsidRDefault="00000000">
      <w:r>
        <w:rPr>
          <w:rStyle w:val="optioncarChar"/>
        </w:rPr>
        <w:t xml:space="preserve">- </w:t>
      </w:r>
      <w:r>
        <w:t>(par défaut)</w:t>
      </w:r>
      <w:r>
        <w:rPr>
          <w:rStyle w:val="optioncarChar"/>
        </w:rPr>
        <w:t xml:space="preserve"> /  pc</w:t>
      </w:r>
    </w:p>
    <w:p w14:paraId="04D4D9CC" w14:textId="77777777" w:rsidR="00772179" w:rsidRDefault="00000000">
      <w:r>
        <w:rPr>
          <w:b/>
        </w:rPr>
        <w:t>(soit par défaut)</w:t>
      </w:r>
    </w:p>
    <w:p w14:paraId="74B42333" w14:textId="77777777" w:rsidR="00772179" w:rsidRDefault="00000000">
      <w:r>
        <w:rPr>
          <w:rStyle w:val="soitChar"/>
        </w:rPr>
        <w:t>1. -</w:t>
      </w:r>
    </w:p>
    <w:p w14:paraId="3DB74F4B" w14:textId="77777777" w:rsidR="00772179" w:rsidRDefault="00000000">
      <w:r>
        <w:rPr>
          <w:b/>
        </w:rPr>
        <w:t>(soit)</w:t>
      </w:r>
    </w:p>
    <w:p w14:paraId="3C69BC26" w14:textId="77777777" w:rsidR="00772179" w:rsidRDefault="00000000">
      <w:r>
        <w:rPr>
          <w:rStyle w:val="soitChar"/>
        </w:rPr>
        <w:t>2. pc</w:t>
      </w:r>
    </w:p>
    <w:p w14:paraId="3F63D7B8" w14:textId="77777777" w:rsidR="00772179" w:rsidRDefault="00000000">
      <w:pPr>
        <w:pStyle w:val="pheading"/>
      </w:pPr>
      <w:r>
        <w:t>- code de mesurage:</w:t>
      </w:r>
    </w:p>
    <w:p w14:paraId="7457867B" w14:textId="77777777" w:rsidR="00772179" w:rsidRDefault="00000000">
      <w:r>
        <w:rPr>
          <w:rStyle w:val="optioncarChar"/>
        </w:rPr>
        <w:t xml:space="preserve">Compris dans le prix de la menuiserie extérieure </w:t>
      </w:r>
      <w:r>
        <w:t>(par défaut)</w:t>
      </w:r>
      <w:r>
        <w:rPr>
          <w:rStyle w:val="optioncarChar"/>
        </w:rPr>
        <w:t xml:space="preserve"> / Ventilé le cas échéant selon la nature et le type</w:t>
      </w:r>
    </w:p>
    <w:p w14:paraId="5CCF1850" w14:textId="77777777" w:rsidR="00772179" w:rsidRDefault="00000000">
      <w:r>
        <w:t>(</w:t>
      </w:r>
      <w:r>
        <w:rPr>
          <w:b/>
        </w:rPr>
        <w:t>soit par défaut)</w:t>
      </w:r>
    </w:p>
    <w:p w14:paraId="0FE4AA2E" w14:textId="77777777" w:rsidR="00772179" w:rsidRDefault="00000000">
      <w:r>
        <w:rPr>
          <w:rStyle w:val="soitChar"/>
        </w:rPr>
        <w:t>1. Compris dans le prix de la menuiserie extérieure</w:t>
      </w:r>
    </w:p>
    <w:p w14:paraId="52615684" w14:textId="77777777" w:rsidR="00772179" w:rsidRDefault="00000000">
      <w:r>
        <w:rPr>
          <w:b/>
        </w:rPr>
        <w:t>(soit)</w:t>
      </w:r>
    </w:p>
    <w:p w14:paraId="7B40DB71" w14:textId="77777777" w:rsidR="00772179" w:rsidRDefault="00000000">
      <w:r>
        <w:rPr>
          <w:rStyle w:val="soitChar"/>
        </w:rPr>
        <w:t>2. Ventilé le cas échéant selon la nature et le type</w:t>
      </w:r>
    </w:p>
    <w:p w14:paraId="022F87EC" w14:textId="77777777" w:rsidR="00772179" w:rsidRDefault="00000000">
      <w:pPr>
        <w:pStyle w:val="pheading"/>
      </w:pPr>
      <w:r>
        <w:t>- nature du marché:</w:t>
      </w:r>
    </w:p>
    <w:p w14:paraId="747E2499" w14:textId="77777777" w:rsidR="00772179" w:rsidRDefault="00000000">
      <w:r>
        <w:rPr>
          <w:rStyle w:val="optioncarChar"/>
        </w:rPr>
        <w:t xml:space="preserve">PM </w:t>
      </w:r>
      <w:r>
        <w:t>(par défaut)</w:t>
      </w:r>
      <w:r>
        <w:rPr>
          <w:rStyle w:val="optioncarChar"/>
        </w:rPr>
        <w:t xml:space="preserve"> / QF</w:t>
      </w:r>
    </w:p>
    <w:p w14:paraId="264F06CF" w14:textId="77777777" w:rsidR="00772179" w:rsidRDefault="00000000">
      <w:r>
        <w:rPr>
          <w:b/>
        </w:rPr>
        <w:lastRenderedPageBreak/>
        <w:t>(soit par défaut)</w:t>
      </w:r>
    </w:p>
    <w:p w14:paraId="40C4FC1B" w14:textId="77777777" w:rsidR="00772179" w:rsidRDefault="00000000">
      <w:r>
        <w:rPr>
          <w:rStyle w:val="soitChar"/>
        </w:rPr>
        <w:t>1. PM</w:t>
      </w:r>
    </w:p>
    <w:p w14:paraId="60086788" w14:textId="77777777" w:rsidR="00772179" w:rsidRDefault="00000000">
      <w:r>
        <w:rPr>
          <w:b/>
        </w:rPr>
        <w:t>(soit)</w:t>
      </w:r>
    </w:p>
    <w:p w14:paraId="3D78B070" w14:textId="77777777" w:rsidR="00772179" w:rsidRDefault="00000000">
      <w:r>
        <w:rPr>
          <w:rStyle w:val="soitChar"/>
        </w:rPr>
        <w:t>2. QF</w:t>
      </w:r>
    </w:p>
    <w:p w14:paraId="5A157EF8" w14:textId="77777777" w:rsidR="00772179" w:rsidRDefault="00000000">
      <w:pPr>
        <w:pStyle w:val="Author-eSectionHeading6Numberless"/>
      </w:pPr>
      <w:bookmarkStart w:id="385" w:name="_Toc220490107"/>
      <w:r>
        <w:t>41.76.1c Plaques de protection CCTB 01.11</w:t>
      </w:r>
      <w:bookmarkEnd w:id="385"/>
    </w:p>
    <w:p w14:paraId="05B4D879" w14:textId="77777777" w:rsidR="00772179" w:rsidRDefault="00000000">
      <w:pPr>
        <w:pStyle w:val="pheading"/>
      </w:pPr>
      <w:r>
        <w:t>DESCRIPTION</w:t>
      </w:r>
    </w:p>
    <w:p w14:paraId="05E14E69" w14:textId="77777777" w:rsidR="00772179" w:rsidRDefault="00000000">
      <w:pPr>
        <w:pStyle w:val="pheading"/>
      </w:pPr>
      <w:r>
        <w:t>- Localisation</w:t>
      </w:r>
    </w:p>
    <w:p w14:paraId="2F89CB51" w14:textId="77777777" w:rsidR="00772179" w:rsidRDefault="00000000">
      <w:pPr>
        <w:pStyle w:val="Author-eListParagraph"/>
        <w:numPr>
          <w:ilvl w:val="0"/>
          <w:numId w:val="771"/>
        </w:numPr>
      </w:pPr>
      <w:r>
        <w:t xml:space="preserve"> Porte d'entrée principale : </w:t>
      </w:r>
      <w:r>
        <w:rPr>
          <w:rStyle w:val="optioncarChar"/>
        </w:rPr>
        <w:t xml:space="preserve">*** </w:t>
      </w:r>
    </w:p>
    <w:p w14:paraId="5449AC9B" w14:textId="77777777" w:rsidR="00772179" w:rsidRDefault="00000000">
      <w:pPr>
        <w:pStyle w:val="Author-eListParagraph"/>
        <w:numPr>
          <w:ilvl w:val="0"/>
          <w:numId w:val="771"/>
        </w:numPr>
      </w:pPr>
      <w:r>
        <w:t xml:space="preserve">Porte du local vélos : </w:t>
      </w:r>
      <w:r>
        <w:rPr>
          <w:rStyle w:val="optioncarChar"/>
        </w:rPr>
        <w:t xml:space="preserve">*** </w:t>
      </w:r>
    </w:p>
    <w:p w14:paraId="296F8968" w14:textId="77777777" w:rsidR="00772179" w:rsidRDefault="00000000">
      <w:pPr>
        <w:pStyle w:val="pheading"/>
      </w:pPr>
      <w:r>
        <w:t>MATÉRIAUX</w:t>
      </w:r>
    </w:p>
    <w:p w14:paraId="36F71F1E" w14:textId="77777777" w:rsidR="00772179" w:rsidRDefault="00000000">
      <w:pPr>
        <w:pStyle w:val="pheading"/>
      </w:pPr>
      <w:r>
        <w:t>- Caractéristiques générales</w:t>
      </w:r>
    </w:p>
    <w:p w14:paraId="41718E8D" w14:textId="77777777" w:rsidR="00772179" w:rsidRDefault="00000000">
      <w:r>
        <w:t>Il s'agit de plaques en métal appliquées pour la protection de la partie inférieure des profils de portes.</w:t>
      </w:r>
    </w:p>
    <w:p w14:paraId="3C768A18" w14:textId="77777777" w:rsidR="00772179" w:rsidRDefault="00000000">
      <w:pPr>
        <w:pStyle w:val="pheading"/>
      </w:pPr>
      <w:r>
        <w:t>- Finitions</w:t>
      </w:r>
    </w:p>
    <w:p w14:paraId="2A9C9083" w14:textId="77777777" w:rsidR="00772179" w:rsidRDefault="00000000">
      <w:pPr>
        <w:pStyle w:val="Author-eListParagraph"/>
        <w:numPr>
          <w:ilvl w:val="0"/>
          <w:numId w:val="772"/>
        </w:numPr>
      </w:pPr>
      <w:r>
        <w:t>Matériau :</w:t>
      </w:r>
      <w:r>
        <w:rPr>
          <w:rStyle w:val="optioncarChar"/>
        </w:rPr>
        <w:t> inox / cuivre </w:t>
      </w:r>
    </w:p>
    <w:p w14:paraId="5360CA9B" w14:textId="77777777" w:rsidR="00772179" w:rsidRDefault="00000000">
      <w:pPr>
        <w:pStyle w:val="Author-eListParagraph"/>
        <w:numPr>
          <w:ilvl w:val="0"/>
          <w:numId w:val="772"/>
        </w:numPr>
      </w:pPr>
      <w:r>
        <w:t xml:space="preserve">Aspect : </w:t>
      </w:r>
      <w:r>
        <w:rPr>
          <w:rStyle w:val="optioncarChar"/>
        </w:rPr>
        <w:t xml:space="preserve">brossé / brillant </w:t>
      </w:r>
    </w:p>
    <w:p w14:paraId="43496E0E" w14:textId="77777777" w:rsidR="00772179" w:rsidRDefault="00000000">
      <w:pPr>
        <w:pStyle w:val="Author-eListParagraph"/>
        <w:numPr>
          <w:ilvl w:val="0"/>
          <w:numId w:val="772"/>
        </w:numPr>
      </w:pPr>
      <w:r>
        <w:t>Epaisseur de la plaque : ≥</w:t>
      </w:r>
      <w:r>
        <w:rPr>
          <w:rStyle w:val="optioncarChar"/>
        </w:rPr>
        <w:t> 0,8 / 1,0  </w:t>
      </w:r>
      <w:r>
        <w:t>mm</w:t>
      </w:r>
    </w:p>
    <w:p w14:paraId="730FEF71" w14:textId="77777777" w:rsidR="00772179" w:rsidRDefault="00000000">
      <w:pPr>
        <w:pStyle w:val="Author-eListParagraph"/>
        <w:numPr>
          <w:ilvl w:val="0"/>
          <w:numId w:val="772"/>
        </w:numPr>
      </w:pPr>
      <w:r>
        <w:t xml:space="preserve">Dimensions : </w:t>
      </w:r>
      <w:r>
        <w:rPr>
          <w:rStyle w:val="optioncarChar"/>
        </w:rPr>
        <w:t>conformément au dessin de détail / ***</w:t>
      </w:r>
    </w:p>
    <w:p w14:paraId="4561B285" w14:textId="77777777" w:rsidR="00772179" w:rsidRDefault="00000000">
      <w:pPr>
        <w:pStyle w:val="pheading"/>
      </w:pPr>
      <w:r>
        <w:t>EXÉCUTION / MISE EN ŒUVRE</w:t>
      </w:r>
    </w:p>
    <w:p w14:paraId="500A6485" w14:textId="77777777" w:rsidR="00772179" w:rsidRDefault="00000000">
      <w:pPr>
        <w:pStyle w:val="pheading"/>
      </w:pPr>
      <w:r>
        <w:t>- Prescriptions générales</w:t>
      </w:r>
    </w:p>
    <w:p w14:paraId="39BF11BE" w14:textId="77777777" w:rsidR="00772179" w:rsidRDefault="00000000">
      <w:r>
        <w:t>Conformément aux prescriptions du fabricant, les plaques sont :</w:t>
      </w:r>
    </w:p>
    <w:p w14:paraId="72186E2D" w14:textId="77777777" w:rsidR="00772179" w:rsidRDefault="00000000">
      <w:r>
        <w:rPr>
          <w:rStyle w:val="optioncarChar"/>
        </w:rPr>
        <w:t xml:space="preserve">fixées de manière démontable sur la porte </w:t>
      </w:r>
      <w:r>
        <w:t>(par défaut)</w:t>
      </w:r>
      <w:r>
        <w:rPr>
          <w:rStyle w:val="optioncarChar"/>
        </w:rPr>
        <w:t xml:space="preserve"> / collées</w:t>
      </w:r>
    </w:p>
    <w:p w14:paraId="2E47B17B" w14:textId="77777777" w:rsidR="00772179" w:rsidRDefault="00000000">
      <w:r>
        <w:rPr>
          <w:b/>
        </w:rPr>
        <w:t>(soit par défaut) </w:t>
      </w:r>
      <w:r>
        <w:t>: </w:t>
      </w:r>
      <w:r>
        <w:rPr>
          <w:rStyle w:val="soitChar"/>
          <w:u w:val="single"/>
        </w:rPr>
        <w:t>fixées de manière démontable sur la porte</w:t>
      </w:r>
      <w:r>
        <w:rPr>
          <w:rStyle w:val="soitChar"/>
        </w:rPr>
        <w:t>, à l'aide de vis en inox, disposées avec un espacement régulier et esthétique</w:t>
      </w:r>
      <w:r>
        <w:br/>
      </w:r>
      <w:r>
        <w:rPr>
          <w:b/>
        </w:rPr>
        <w:t>(soit)</w:t>
      </w:r>
      <w:r>
        <w:t xml:space="preserve"> : </w:t>
      </w:r>
      <w:r>
        <w:rPr>
          <w:rStyle w:val="soitChar"/>
          <w:u w:val="single"/>
        </w:rPr>
        <w:t>collées</w:t>
      </w:r>
      <w:r>
        <w:rPr>
          <w:rStyle w:val="soitChar"/>
        </w:rPr>
        <w:t xml:space="preserve"> avec une colle de bonne qualité adaptée au support</w:t>
      </w:r>
    </w:p>
    <w:p w14:paraId="0F707C5A" w14:textId="77777777" w:rsidR="00772179" w:rsidRDefault="00000000">
      <w:pPr>
        <w:pStyle w:val="pheading"/>
      </w:pPr>
      <w:r>
        <w:t>MESURAGE</w:t>
      </w:r>
    </w:p>
    <w:p w14:paraId="695F32CE" w14:textId="77777777" w:rsidR="00772179" w:rsidRDefault="00000000">
      <w:pPr>
        <w:pStyle w:val="pheading"/>
      </w:pPr>
      <w:r>
        <w:t>- unité de mesure:</w:t>
      </w:r>
    </w:p>
    <w:p w14:paraId="042CE5D3" w14:textId="77777777" w:rsidR="00772179" w:rsidRDefault="00000000">
      <w:r>
        <w:rPr>
          <w:rStyle w:val="optioncarChar"/>
        </w:rPr>
        <w:t>- </w:t>
      </w:r>
      <w:r>
        <w:t>(par défaut)</w:t>
      </w:r>
      <w:r>
        <w:rPr>
          <w:rStyle w:val="optioncarChar"/>
        </w:rPr>
        <w:t> /  pc</w:t>
      </w:r>
    </w:p>
    <w:p w14:paraId="49799316" w14:textId="77777777" w:rsidR="00772179" w:rsidRDefault="00000000">
      <w:r>
        <w:rPr>
          <w:b/>
        </w:rPr>
        <w:t>(soit par défaut)</w:t>
      </w:r>
    </w:p>
    <w:p w14:paraId="580C9F1D" w14:textId="77777777" w:rsidR="00772179" w:rsidRDefault="00000000">
      <w:r>
        <w:rPr>
          <w:rStyle w:val="soitChar"/>
        </w:rPr>
        <w:t>1. -</w:t>
      </w:r>
    </w:p>
    <w:p w14:paraId="7740F97E" w14:textId="77777777" w:rsidR="00772179" w:rsidRDefault="00000000">
      <w:r>
        <w:rPr>
          <w:b/>
        </w:rPr>
        <w:t>(soit)</w:t>
      </w:r>
    </w:p>
    <w:p w14:paraId="12B04E70" w14:textId="77777777" w:rsidR="00772179" w:rsidRDefault="00000000">
      <w:r>
        <w:rPr>
          <w:rStyle w:val="soitChar"/>
        </w:rPr>
        <w:t>2. pc</w:t>
      </w:r>
    </w:p>
    <w:p w14:paraId="10BDD550" w14:textId="77777777" w:rsidR="00772179" w:rsidRDefault="00000000">
      <w:pPr>
        <w:pStyle w:val="pheading"/>
      </w:pPr>
      <w:r>
        <w:t>- code de mesurage:</w:t>
      </w:r>
    </w:p>
    <w:p w14:paraId="5DAD217F" w14:textId="77777777" w:rsidR="00772179" w:rsidRDefault="00000000">
      <w:r>
        <w:rPr>
          <w:rStyle w:val="optioncarChar"/>
        </w:rPr>
        <w:t>Compris dans le prix de la menuiserie extérieure </w:t>
      </w:r>
      <w:r>
        <w:t>(par défaut)</w:t>
      </w:r>
      <w:r>
        <w:rPr>
          <w:rStyle w:val="optioncarChar"/>
        </w:rPr>
        <w:t> / Ventilé le cas échéant selon la nature et le type</w:t>
      </w:r>
    </w:p>
    <w:p w14:paraId="55EAF142" w14:textId="77777777" w:rsidR="00772179" w:rsidRDefault="00000000">
      <w:r>
        <w:t>(</w:t>
      </w:r>
      <w:r>
        <w:rPr>
          <w:b/>
        </w:rPr>
        <w:t>soit par défaut)</w:t>
      </w:r>
    </w:p>
    <w:p w14:paraId="31364EF0" w14:textId="77777777" w:rsidR="00772179" w:rsidRDefault="00000000">
      <w:r>
        <w:rPr>
          <w:rStyle w:val="soitChar"/>
        </w:rPr>
        <w:t>1. Compris dans le prix de la menuiserie extérieure</w:t>
      </w:r>
    </w:p>
    <w:p w14:paraId="0B7F1E7D" w14:textId="77777777" w:rsidR="00772179" w:rsidRDefault="00000000">
      <w:r>
        <w:rPr>
          <w:b/>
        </w:rPr>
        <w:t>(soit)</w:t>
      </w:r>
    </w:p>
    <w:p w14:paraId="26C157F6" w14:textId="77777777" w:rsidR="00772179" w:rsidRDefault="00000000">
      <w:r>
        <w:rPr>
          <w:rStyle w:val="soitChar"/>
        </w:rPr>
        <w:t>2. Ventilé le cas échéant selon la nature et le type</w:t>
      </w:r>
    </w:p>
    <w:p w14:paraId="625834D5" w14:textId="77777777" w:rsidR="00772179" w:rsidRDefault="00000000">
      <w:pPr>
        <w:pStyle w:val="pheading"/>
      </w:pPr>
      <w:r>
        <w:t>- nature du marché:</w:t>
      </w:r>
    </w:p>
    <w:p w14:paraId="6CEFBF9E" w14:textId="77777777" w:rsidR="00772179" w:rsidRDefault="00000000">
      <w:r>
        <w:rPr>
          <w:rStyle w:val="optioncarChar"/>
        </w:rPr>
        <w:t>PM </w:t>
      </w:r>
      <w:r>
        <w:t>(par défaut)</w:t>
      </w:r>
      <w:r>
        <w:rPr>
          <w:rStyle w:val="optioncarChar"/>
        </w:rPr>
        <w:t> / QF</w:t>
      </w:r>
    </w:p>
    <w:p w14:paraId="44971459" w14:textId="77777777" w:rsidR="00772179" w:rsidRDefault="00000000">
      <w:r>
        <w:rPr>
          <w:b/>
        </w:rPr>
        <w:lastRenderedPageBreak/>
        <w:t>(soit par défaut)</w:t>
      </w:r>
    </w:p>
    <w:p w14:paraId="72F46F39" w14:textId="77777777" w:rsidR="00772179" w:rsidRDefault="00000000">
      <w:r>
        <w:rPr>
          <w:rStyle w:val="soitChar"/>
        </w:rPr>
        <w:t>1. PM</w:t>
      </w:r>
    </w:p>
    <w:p w14:paraId="265BD632" w14:textId="77777777" w:rsidR="00772179" w:rsidRDefault="00000000">
      <w:r>
        <w:rPr>
          <w:b/>
        </w:rPr>
        <w:t>(soit)</w:t>
      </w:r>
    </w:p>
    <w:p w14:paraId="2C34F2A3" w14:textId="77777777" w:rsidR="00772179" w:rsidRDefault="00000000">
      <w:r>
        <w:rPr>
          <w:rStyle w:val="soitChar"/>
        </w:rPr>
        <w:t>2. QF</w:t>
      </w:r>
    </w:p>
    <w:p w14:paraId="064D3315" w14:textId="77777777" w:rsidR="00772179" w:rsidRDefault="00000000">
      <w:pPr>
        <w:pStyle w:val="Author-eSectionHeading6Numberless"/>
      </w:pPr>
      <w:bookmarkStart w:id="386" w:name="_Toc220490108"/>
      <w:r>
        <w:t>41.76.1d Plaquettes - n° de maison CCTB 01.10</w:t>
      </w:r>
      <w:bookmarkEnd w:id="386"/>
    </w:p>
    <w:p w14:paraId="5AAD5444" w14:textId="77777777" w:rsidR="00772179" w:rsidRDefault="00000000">
      <w:pPr>
        <w:pStyle w:val="pheading"/>
      </w:pPr>
      <w:r>
        <w:t>MATÉRIAUX</w:t>
      </w:r>
    </w:p>
    <w:p w14:paraId="468691EA" w14:textId="77777777" w:rsidR="00772179" w:rsidRDefault="00000000">
      <w:pPr>
        <w:pStyle w:val="pheading"/>
      </w:pPr>
      <w:r>
        <w:t>- Caractéristiques générales</w:t>
      </w:r>
    </w:p>
    <w:p w14:paraId="33989659" w14:textId="77777777" w:rsidR="00772179" w:rsidRDefault="00000000">
      <w:r>
        <w:t>Les numéros de maison sont fabriqués en:</w:t>
      </w:r>
    </w:p>
    <w:p w14:paraId="7FCCB416" w14:textId="77777777" w:rsidR="00772179" w:rsidRDefault="00000000">
      <w:r>
        <w:rPr>
          <w:rStyle w:val="optioncarChar"/>
        </w:rPr>
        <w:t xml:space="preserve">plaquettes d'aluminium anodisé </w:t>
      </w:r>
      <w:r>
        <w:t>(par défaut)</w:t>
      </w:r>
      <w:r>
        <w:rPr>
          <w:rStyle w:val="optioncarChar"/>
        </w:rPr>
        <w:t xml:space="preserve"> / plaquettes en matière synthétique</w:t>
      </w:r>
    </w:p>
    <w:p w14:paraId="6B25B570" w14:textId="77777777" w:rsidR="00772179" w:rsidRDefault="00000000">
      <w:r>
        <w:rPr>
          <w:b/>
        </w:rPr>
        <w:t>(soit par défaut)</w:t>
      </w:r>
      <w:r>
        <w:t xml:space="preserve"> : </w:t>
      </w:r>
      <w:r>
        <w:rPr>
          <w:rStyle w:val="soitChar"/>
          <w:u w:val="single"/>
        </w:rPr>
        <w:t>plaquettes d'aluminium anodisé</w:t>
      </w:r>
      <w:r>
        <w:rPr>
          <w:rStyle w:val="soitChar"/>
        </w:rPr>
        <w:t>, ≥ 5 mm d'épaisseur dans lesquelles les chiffres sont fraisés et accentués dans la couleur RAL choisie.</w:t>
      </w:r>
      <w:r>
        <w:br/>
      </w:r>
      <w:r>
        <w:rPr>
          <w:b/>
        </w:rPr>
        <w:t>(soit)</w:t>
      </w:r>
      <w:r>
        <w:t xml:space="preserve"> : </w:t>
      </w:r>
      <w:r>
        <w:rPr>
          <w:rStyle w:val="soitChar"/>
          <w:u w:val="single"/>
        </w:rPr>
        <w:t>plaquettes en matière synthétique</w:t>
      </w:r>
      <w:r>
        <w:rPr>
          <w:rStyle w:val="soitChar"/>
        </w:rPr>
        <w:t xml:space="preserve"> dans lesquelles les chiffres sont perforés et accentués en noir.</w:t>
      </w:r>
    </w:p>
    <w:p w14:paraId="20AE76DC" w14:textId="77777777" w:rsidR="00772179" w:rsidRDefault="00000000">
      <w:pPr>
        <w:pStyle w:val="pheading"/>
      </w:pPr>
      <w:r>
        <w:t>- Finitions</w:t>
      </w:r>
    </w:p>
    <w:p w14:paraId="6012A26C" w14:textId="77777777" w:rsidR="00772179" w:rsidRDefault="00000000">
      <w:pPr>
        <w:pStyle w:val="Author-eListParagraph"/>
        <w:numPr>
          <w:ilvl w:val="0"/>
          <w:numId w:val="773"/>
        </w:numPr>
      </w:pPr>
      <w:r>
        <w:t xml:space="preserve">Format des plaquettes : </w:t>
      </w:r>
      <w:r>
        <w:rPr>
          <w:rStyle w:val="optioncarChar"/>
        </w:rPr>
        <w:t xml:space="preserve">*** </w:t>
      </w:r>
      <w:r>
        <w:t xml:space="preserve">x </w:t>
      </w:r>
      <w:r>
        <w:rPr>
          <w:rStyle w:val="optioncarChar"/>
        </w:rPr>
        <w:t xml:space="preserve">*** </w:t>
      </w:r>
      <w:r>
        <w:t>mm</w:t>
      </w:r>
    </w:p>
    <w:p w14:paraId="45EDF488" w14:textId="77777777" w:rsidR="00772179" w:rsidRDefault="00000000">
      <w:pPr>
        <w:pStyle w:val="Author-eListParagraph"/>
        <w:numPr>
          <w:ilvl w:val="0"/>
          <w:numId w:val="773"/>
        </w:numPr>
      </w:pPr>
      <w:r>
        <w:t xml:space="preserve">Hauteur des chiffres : environ </w:t>
      </w:r>
      <w:r>
        <w:rPr>
          <w:rStyle w:val="optioncarChar"/>
        </w:rPr>
        <w:t xml:space="preserve">50 / 75 </w:t>
      </w:r>
      <w:r>
        <w:t>mm</w:t>
      </w:r>
    </w:p>
    <w:p w14:paraId="54CAE371" w14:textId="77777777" w:rsidR="00772179" w:rsidRDefault="00000000">
      <w:pPr>
        <w:pStyle w:val="Author-eListParagraph"/>
        <w:numPr>
          <w:ilvl w:val="0"/>
          <w:numId w:val="773"/>
        </w:numPr>
      </w:pPr>
      <w:r>
        <w:t xml:space="preserve">Couleur RAL : </w:t>
      </w:r>
      <w:r>
        <w:rPr>
          <w:rStyle w:val="optioncarChar"/>
        </w:rPr>
        <w:t xml:space="preserve">*** </w:t>
      </w:r>
    </w:p>
    <w:p w14:paraId="06843E52" w14:textId="77777777" w:rsidR="00772179" w:rsidRDefault="00000000">
      <w:pPr>
        <w:pStyle w:val="pheading"/>
      </w:pPr>
      <w:r>
        <w:t>EXÉCUTION / MISE EN ŒUVRE</w:t>
      </w:r>
    </w:p>
    <w:p w14:paraId="1A578238" w14:textId="77777777" w:rsidR="00772179" w:rsidRDefault="00000000">
      <w:pPr>
        <w:pStyle w:val="pheading"/>
      </w:pPr>
      <w:r>
        <w:t>- Prescriptions générales</w:t>
      </w:r>
    </w:p>
    <w:p w14:paraId="2A2B5B30" w14:textId="77777777" w:rsidR="00772179" w:rsidRDefault="00000000">
      <w:r>
        <w:t>L'entrepreneur s'informe d'abord auprès de</w:t>
      </w:r>
      <w:r>
        <w:rPr>
          <w:rStyle w:val="optioncarChar"/>
        </w:rPr>
        <w:t xml:space="preserve"> la commune </w:t>
      </w:r>
      <w:r>
        <w:t>(par défaut)</w:t>
      </w:r>
      <w:r>
        <w:rPr>
          <w:rStyle w:val="optioncarChar"/>
        </w:rPr>
        <w:t xml:space="preserve"> / l'administration / *** </w:t>
      </w:r>
      <w:r>
        <w:t>pour connaître les numéros respectifs exacts.</w:t>
      </w:r>
    </w:p>
    <w:p w14:paraId="5C5606CB" w14:textId="77777777" w:rsidR="00772179" w:rsidRDefault="00000000">
      <w:pPr>
        <w:pStyle w:val="Author-eListParagraph"/>
        <w:numPr>
          <w:ilvl w:val="0"/>
          <w:numId w:val="774"/>
        </w:numPr>
      </w:pPr>
      <w:r>
        <w:t xml:space="preserve">Les plaquettes sont appliquées par </w:t>
      </w:r>
      <w:r>
        <w:rPr>
          <w:rStyle w:val="optioncarChar"/>
        </w:rPr>
        <w:t>collage / fixation invisible / *** </w:t>
      </w:r>
      <w:r>
        <w:t>à l'aide de vis et de chevilles</w:t>
      </w:r>
    </w:p>
    <w:p w14:paraId="6B4F8916" w14:textId="77777777" w:rsidR="00772179" w:rsidRDefault="00000000">
      <w:pPr>
        <w:pStyle w:val="Author-eListParagraph"/>
        <w:numPr>
          <w:ilvl w:val="0"/>
          <w:numId w:val="774"/>
        </w:numPr>
      </w:pPr>
      <w:r>
        <w:t xml:space="preserve">Disposition </w:t>
      </w:r>
      <w:r>
        <w:rPr>
          <w:rStyle w:val="optioncarChar"/>
        </w:rPr>
        <w:t>: à côté des portes d'entrée / sur les vantaux de portes / ***</w:t>
      </w:r>
    </w:p>
    <w:p w14:paraId="654B0E0C" w14:textId="77777777" w:rsidR="00772179" w:rsidRDefault="00000000">
      <w:pPr>
        <w:pStyle w:val="Author-eListParagraph"/>
        <w:numPr>
          <w:ilvl w:val="0"/>
          <w:numId w:val="774"/>
        </w:numPr>
      </w:pPr>
      <w:r>
        <w:t xml:space="preserve">Hauteur de pose : </w:t>
      </w:r>
      <w:r>
        <w:rPr>
          <w:rStyle w:val="optioncarChar"/>
        </w:rPr>
        <w:t xml:space="preserve">*** </w:t>
      </w:r>
      <w:r>
        <w:t>cm</w:t>
      </w:r>
    </w:p>
    <w:p w14:paraId="0B66C259" w14:textId="77777777" w:rsidR="00772179" w:rsidRDefault="00000000">
      <w:pPr>
        <w:pStyle w:val="pheading"/>
      </w:pPr>
      <w:r>
        <w:t>MESURAGE</w:t>
      </w:r>
    </w:p>
    <w:p w14:paraId="003A7799" w14:textId="77777777" w:rsidR="00772179" w:rsidRDefault="00000000">
      <w:pPr>
        <w:pStyle w:val="pheading"/>
      </w:pPr>
      <w:r>
        <w:t>- unité de mesure:</w:t>
      </w:r>
    </w:p>
    <w:p w14:paraId="5E0AE2F3" w14:textId="77777777" w:rsidR="00772179" w:rsidRDefault="00000000">
      <w:r>
        <w:rPr>
          <w:rStyle w:val="optioncarChar"/>
        </w:rPr>
        <w:t>- </w:t>
      </w:r>
      <w:r>
        <w:t>(par défaut)</w:t>
      </w:r>
      <w:r>
        <w:rPr>
          <w:rStyle w:val="optioncarChar"/>
        </w:rPr>
        <w:t> /  pc</w:t>
      </w:r>
    </w:p>
    <w:p w14:paraId="62B17139" w14:textId="77777777" w:rsidR="00772179" w:rsidRDefault="00000000">
      <w:r>
        <w:rPr>
          <w:b/>
        </w:rPr>
        <w:t>(soit par défaut)</w:t>
      </w:r>
    </w:p>
    <w:p w14:paraId="4C5183FA" w14:textId="77777777" w:rsidR="00772179" w:rsidRDefault="00000000">
      <w:r>
        <w:rPr>
          <w:rStyle w:val="soitChar"/>
        </w:rPr>
        <w:t>1. -</w:t>
      </w:r>
    </w:p>
    <w:p w14:paraId="6E40F9B7" w14:textId="77777777" w:rsidR="00772179" w:rsidRDefault="00000000">
      <w:r>
        <w:rPr>
          <w:b/>
        </w:rPr>
        <w:t>(soit)</w:t>
      </w:r>
    </w:p>
    <w:p w14:paraId="4DB8D0E6" w14:textId="77777777" w:rsidR="00772179" w:rsidRDefault="00000000">
      <w:r>
        <w:rPr>
          <w:rStyle w:val="soitChar"/>
        </w:rPr>
        <w:t>2. pc</w:t>
      </w:r>
    </w:p>
    <w:p w14:paraId="4632E54A" w14:textId="77777777" w:rsidR="00772179" w:rsidRDefault="00000000">
      <w:pPr>
        <w:pStyle w:val="pheading"/>
      </w:pPr>
      <w:r>
        <w:t>- code de mesurage:</w:t>
      </w:r>
    </w:p>
    <w:p w14:paraId="29932AA4" w14:textId="77777777" w:rsidR="00772179" w:rsidRDefault="00000000">
      <w:r>
        <w:rPr>
          <w:rStyle w:val="optioncarChar"/>
        </w:rPr>
        <w:t>Compris dans le prix de la menuiserie extérieure </w:t>
      </w:r>
      <w:r>
        <w:t>(par défaut)</w:t>
      </w:r>
      <w:r>
        <w:rPr>
          <w:rStyle w:val="optioncarChar"/>
        </w:rPr>
        <w:t> / Ventilé le cas échéant selon la nature et le type</w:t>
      </w:r>
    </w:p>
    <w:p w14:paraId="0DD7987E" w14:textId="77777777" w:rsidR="00772179" w:rsidRDefault="00000000">
      <w:r>
        <w:t>(</w:t>
      </w:r>
      <w:r>
        <w:rPr>
          <w:b/>
        </w:rPr>
        <w:t>soit par défaut)</w:t>
      </w:r>
    </w:p>
    <w:p w14:paraId="2301D51E" w14:textId="77777777" w:rsidR="00772179" w:rsidRDefault="00000000">
      <w:r>
        <w:rPr>
          <w:rStyle w:val="soitChar"/>
        </w:rPr>
        <w:t>1. Compris dans le prix de la menuiserie extérieure</w:t>
      </w:r>
    </w:p>
    <w:p w14:paraId="1859B458" w14:textId="77777777" w:rsidR="00772179" w:rsidRDefault="00000000">
      <w:r>
        <w:rPr>
          <w:b/>
        </w:rPr>
        <w:t>(soit)</w:t>
      </w:r>
    </w:p>
    <w:p w14:paraId="446862A5" w14:textId="77777777" w:rsidR="00772179" w:rsidRDefault="00000000">
      <w:r>
        <w:rPr>
          <w:rStyle w:val="soitChar"/>
        </w:rPr>
        <w:t>2. Ventilé le cas échéant selon la nature et le type</w:t>
      </w:r>
    </w:p>
    <w:p w14:paraId="739D2323" w14:textId="77777777" w:rsidR="00772179" w:rsidRDefault="00000000">
      <w:pPr>
        <w:pStyle w:val="pheading"/>
      </w:pPr>
      <w:r>
        <w:t>- nature du marché:</w:t>
      </w:r>
    </w:p>
    <w:p w14:paraId="6E59F5B1" w14:textId="77777777" w:rsidR="00772179" w:rsidRDefault="00000000">
      <w:r>
        <w:rPr>
          <w:rStyle w:val="optioncarChar"/>
        </w:rPr>
        <w:t>PM </w:t>
      </w:r>
      <w:r>
        <w:t>(par défaut)</w:t>
      </w:r>
      <w:r>
        <w:rPr>
          <w:rStyle w:val="optioncarChar"/>
        </w:rPr>
        <w:t> / QF</w:t>
      </w:r>
    </w:p>
    <w:p w14:paraId="0C336A6F" w14:textId="77777777" w:rsidR="00772179" w:rsidRDefault="00000000">
      <w:r>
        <w:rPr>
          <w:b/>
        </w:rPr>
        <w:lastRenderedPageBreak/>
        <w:t>(soit par défaut)</w:t>
      </w:r>
    </w:p>
    <w:p w14:paraId="2B86E3CA" w14:textId="77777777" w:rsidR="00772179" w:rsidRDefault="00000000">
      <w:r>
        <w:rPr>
          <w:rStyle w:val="soitChar"/>
        </w:rPr>
        <w:t>1. PM</w:t>
      </w:r>
    </w:p>
    <w:p w14:paraId="70DD9073" w14:textId="77777777" w:rsidR="00772179" w:rsidRDefault="00000000">
      <w:r>
        <w:rPr>
          <w:b/>
        </w:rPr>
        <w:t>(soit)</w:t>
      </w:r>
    </w:p>
    <w:p w14:paraId="7EFB8455" w14:textId="77777777" w:rsidR="00772179" w:rsidRDefault="00000000">
      <w:r>
        <w:rPr>
          <w:rStyle w:val="soitChar"/>
        </w:rPr>
        <w:t>2. QF</w:t>
      </w:r>
    </w:p>
    <w:p w14:paraId="1210BB20" w14:textId="77777777" w:rsidR="00772179" w:rsidRDefault="00000000">
      <w:pPr>
        <w:pStyle w:val="Author-eSectionHeading5Numberless"/>
      </w:pPr>
      <w:bookmarkStart w:id="387" w:name="_Toc220490109"/>
      <w:r>
        <w:t>41.76.2 Signalétique CCTB 01.02</w:t>
      </w:r>
      <w:bookmarkEnd w:id="387"/>
    </w:p>
    <w:p w14:paraId="26E7730C" w14:textId="77777777" w:rsidR="00772179" w:rsidRDefault="00000000">
      <w:pPr>
        <w:pStyle w:val="Author-eSectionHeading6Numberless"/>
      </w:pPr>
      <w:bookmarkStart w:id="388" w:name="_Toc220490110"/>
      <w:r>
        <w:t>41.76.2a Motifs de visibilité sur vitrage CCTB 01.11</w:t>
      </w:r>
      <w:bookmarkEnd w:id="388"/>
    </w:p>
    <w:p w14:paraId="18356496" w14:textId="77777777" w:rsidR="00772179" w:rsidRDefault="00000000">
      <w:pPr>
        <w:pStyle w:val="pheading"/>
      </w:pPr>
      <w:r>
        <w:t>DESCRIPTION</w:t>
      </w:r>
    </w:p>
    <w:p w14:paraId="53607E12" w14:textId="77777777" w:rsidR="00772179" w:rsidRDefault="00000000">
      <w:pPr>
        <w:pStyle w:val="pheading"/>
      </w:pPr>
      <w:r>
        <w:t>- Définition / Comprend</w:t>
      </w:r>
    </w:p>
    <w:p w14:paraId="37D15F7E" w14:textId="77777777" w:rsidR="00772179" w:rsidRDefault="00000000">
      <w:r>
        <w:t>Il s'agit de bandes de visibilité placées sur les portes/parois vitrées de manière à améliorer la sécurité des personnes présentant une déficience visuelle.</w:t>
      </w:r>
    </w:p>
    <w:p w14:paraId="76492E46" w14:textId="77777777" w:rsidR="00772179" w:rsidRDefault="00000000">
      <w:pPr>
        <w:pStyle w:val="pheading"/>
      </w:pPr>
      <w:r>
        <w:t>MATÉRIAUX</w:t>
      </w:r>
    </w:p>
    <w:p w14:paraId="70813AE6" w14:textId="77777777" w:rsidR="00772179" w:rsidRDefault="00000000">
      <w:pPr>
        <w:pStyle w:val="pheading"/>
      </w:pPr>
      <w:r>
        <w:t>- Finitions</w:t>
      </w:r>
    </w:p>
    <w:p w14:paraId="28BD72FB" w14:textId="77777777" w:rsidR="00772179" w:rsidRDefault="00000000">
      <w:r>
        <w:t xml:space="preserve">Différence de LRV entre les bandes de visibilité et l'arrière-plan : ≥ </w:t>
      </w:r>
      <w:r>
        <w:rPr>
          <w:rStyle w:val="optioncarChar"/>
        </w:rPr>
        <w:t>30 (PMR) / ***</w:t>
      </w:r>
      <w:r>
        <w:t> %.</w:t>
      </w:r>
    </w:p>
    <w:p w14:paraId="06F0D08B" w14:textId="77777777" w:rsidR="00772179" w:rsidRDefault="00000000">
      <w:pPr>
        <w:pStyle w:val="pheading"/>
      </w:pPr>
      <w:r>
        <w:t>EXÉCUTION / MISE EN ŒUVRE</w:t>
      </w:r>
    </w:p>
    <w:p w14:paraId="5F7D114D" w14:textId="77777777" w:rsidR="00772179" w:rsidRDefault="00000000">
      <w:pPr>
        <w:pStyle w:val="pheading"/>
      </w:pPr>
      <w:r>
        <w:t>- Prescriptions générales</w:t>
      </w:r>
    </w:p>
    <w:p w14:paraId="5C0DA8A3" w14:textId="77777777" w:rsidR="00772179" w:rsidRDefault="00000000">
      <w:r>
        <w:t>Les bandes de visibilité sont placées à deux hauteurs différentes :</w:t>
      </w:r>
    </w:p>
    <w:p w14:paraId="130B641D" w14:textId="77777777" w:rsidR="00772179" w:rsidRDefault="00000000">
      <w:pPr>
        <w:pStyle w:val="Author-eListParagraph"/>
        <w:numPr>
          <w:ilvl w:val="0"/>
          <w:numId w:val="775"/>
        </w:numPr>
      </w:pPr>
      <w:r>
        <w:t>Hauteur 1 :</w:t>
      </w:r>
      <w:r>
        <w:rPr>
          <w:rStyle w:val="optioncarChar"/>
        </w:rPr>
        <w:t xml:space="preserve"> entre 85 et 100 (PMR) / *** </w:t>
      </w:r>
      <w:r>
        <w:t>cm au-dessus du niveau du sol</w:t>
      </w:r>
    </w:p>
    <w:p w14:paraId="370C596B" w14:textId="77777777" w:rsidR="00772179" w:rsidRDefault="00000000">
      <w:pPr>
        <w:pStyle w:val="Author-eListParagraph"/>
        <w:numPr>
          <w:ilvl w:val="0"/>
          <w:numId w:val="775"/>
        </w:numPr>
      </w:pPr>
      <w:r>
        <w:t>Hauteur 2 :</w:t>
      </w:r>
      <w:r>
        <w:rPr>
          <w:rStyle w:val="optioncarChar"/>
        </w:rPr>
        <w:t xml:space="preserve"> entre 140 et 160 (PMR) / *** </w:t>
      </w:r>
      <w:r>
        <w:t>cm au-dessus du niveau du sol</w:t>
      </w:r>
    </w:p>
    <w:p w14:paraId="6FCF3024" w14:textId="77777777" w:rsidR="00772179" w:rsidRDefault="00000000">
      <w:pPr>
        <w:pStyle w:val="pheading"/>
      </w:pPr>
      <w:r>
        <w:t>MESURAGE</w:t>
      </w:r>
    </w:p>
    <w:p w14:paraId="7A76BFD9" w14:textId="77777777" w:rsidR="00772179" w:rsidRDefault="00000000">
      <w:pPr>
        <w:pStyle w:val="pheading"/>
      </w:pPr>
      <w:r>
        <w:t>- unité de mesure:</w:t>
      </w:r>
    </w:p>
    <w:p w14:paraId="38AAE1E4" w14:textId="77777777" w:rsidR="00772179" w:rsidRDefault="00000000">
      <w:r>
        <w:t>-</w:t>
      </w:r>
    </w:p>
    <w:p w14:paraId="0EA8BDA0" w14:textId="77777777" w:rsidR="00772179" w:rsidRDefault="00000000">
      <w:pPr>
        <w:pStyle w:val="pheading"/>
      </w:pPr>
      <w:r>
        <w:t>- nature du marché:</w:t>
      </w:r>
    </w:p>
    <w:p w14:paraId="7A7F55C6" w14:textId="77777777" w:rsidR="00772179" w:rsidRDefault="00000000">
      <w:r>
        <w:t>PM</w:t>
      </w:r>
    </w:p>
    <w:p w14:paraId="020A850B" w14:textId="77777777" w:rsidR="00772179" w:rsidRDefault="00000000">
      <w:pPr>
        <w:pStyle w:val="pheading"/>
      </w:pPr>
      <w:r>
        <w:t>AIDE</w:t>
      </w:r>
    </w:p>
    <w:p w14:paraId="689EB110" w14:textId="77777777" w:rsidR="00772179" w:rsidRDefault="00000000">
      <w:r>
        <w:t>NOTE A L'AUTEUR DE PROJET</w:t>
      </w:r>
    </w:p>
    <w:p w14:paraId="2AFBAA41" w14:textId="77777777" w:rsidR="00772179" w:rsidRDefault="00000000">
      <w:r>
        <w:rPr>
          <w:b/>
        </w:rPr>
        <w:t>Accessibilité aux personnes à mobilité réduite (PMR)</w:t>
      </w:r>
    </w:p>
    <w:p w14:paraId="13BF3843" w14:textId="77777777" w:rsidR="00772179" w:rsidRDefault="00000000">
      <w:r>
        <w:t>Repères visuels : [SWL CALA], [BS 8300] et [NBN ISO 21542]</w:t>
      </w:r>
    </w:p>
    <w:p w14:paraId="29DE221B" w14:textId="77777777" w:rsidR="00772179" w:rsidRDefault="00000000">
      <w:pPr>
        <w:pStyle w:val="Author-eListParagraph"/>
        <w:numPr>
          <w:ilvl w:val="0"/>
          <w:numId w:val="776"/>
        </w:numPr>
      </w:pPr>
      <w:r>
        <w:t>Présence de deux bandes colorées</w:t>
      </w:r>
    </w:p>
    <w:p w14:paraId="49CF2F63" w14:textId="77777777" w:rsidR="00772179" w:rsidRDefault="00000000">
      <w:pPr>
        <w:pStyle w:val="Author-eListParagraph"/>
        <w:numPr>
          <w:ilvl w:val="0"/>
          <w:numId w:val="777"/>
        </w:numPr>
      </w:pPr>
      <w:r>
        <w:t>Hauteurs des bandes : l’une entre 85 et 100 cm au-dessus du niveau du sol et l’autre entre 140 et 160 cm au-dessus du niveau du sol</w:t>
      </w:r>
    </w:p>
    <w:p w14:paraId="2C59D10B" w14:textId="77777777" w:rsidR="00772179" w:rsidRDefault="00000000">
      <w:pPr>
        <w:pStyle w:val="Author-eListParagraph"/>
        <w:numPr>
          <w:ilvl w:val="0"/>
          <w:numId w:val="777"/>
        </w:numPr>
      </w:pPr>
      <w:r>
        <w:t>Contraste : différence de coefficient de réflexion (LRV) ≥30% entre les bandes et l’arrière-plan</w:t>
      </w:r>
    </w:p>
    <w:p w14:paraId="0CB551F0" w14:textId="77777777" w:rsidR="00772179" w:rsidRDefault="00000000">
      <w:pPr>
        <w:pStyle w:val="Author-eSectionHeading6Numberless"/>
      </w:pPr>
      <w:bookmarkStart w:id="389" w:name="_Toc220490111"/>
      <w:r>
        <w:t>41.76.2b Plaques indicatives</w:t>
      </w:r>
      <w:bookmarkEnd w:id="389"/>
    </w:p>
    <w:p w14:paraId="23152DD8" w14:textId="77777777" w:rsidR="00772179" w:rsidRDefault="00000000">
      <w:pPr>
        <w:pStyle w:val="Author-eSectionHeading6Numberless"/>
      </w:pPr>
      <w:bookmarkStart w:id="390" w:name="_Toc220490112"/>
      <w:r>
        <w:t>41.76.2c Motifs indicatifs</w:t>
      </w:r>
      <w:bookmarkEnd w:id="390"/>
    </w:p>
    <w:p w14:paraId="7E8C8025" w14:textId="77777777" w:rsidR="00772179" w:rsidRDefault="00000000">
      <w:pPr>
        <w:pStyle w:val="Author-eSectionHeading6Numberless"/>
      </w:pPr>
      <w:bookmarkStart w:id="391" w:name="_Toc220490113"/>
      <w:r>
        <w:t>41.76.2d Enseignes</w:t>
      </w:r>
      <w:bookmarkEnd w:id="391"/>
    </w:p>
    <w:p w14:paraId="6F1D12FC" w14:textId="77777777" w:rsidR="00772179" w:rsidRDefault="00000000">
      <w:pPr>
        <w:pStyle w:val="Author-eSectionHeading4Numberless"/>
      </w:pPr>
      <w:bookmarkStart w:id="392" w:name="_Toc220490114"/>
      <w:r>
        <w:t>41.77 Eléments de renfort CCTB 01.12</w:t>
      </w:r>
      <w:bookmarkEnd w:id="392"/>
    </w:p>
    <w:p w14:paraId="496E3E04" w14:textId="77777777" w:rsidR="00772179" w:rsidRDefault="00000000">
      <w:pPr>
        <w:pStyle w:val="pheading"/>
      </w:pPr>
      <w:r>
        <w:t>DESCRIPTION</w:t>
      </w:r>
    </w:p>
    <w:p w14:paraId="254DEBA8" w14:textId="77777777" w:rsidR="00772179" w:rsidRDefault="00000000">
      <w:pPr>
        <w:pStyle w:val="pheading"/>
      </w:pPr>
      <w:r>
        <w:t>- Définition / Comprend</w:t>
      </w:r>
    </w:p>
    <w:p w14:paraId="39565B75" w14:textId="77777777" w:rsidR="00772179" w:rsidRDefault="00000000">
      <w:pPr>
        <w:jc w:val="both"/>
      </w:pPr>
      <w:r>
        <w:lastRenderedPageBreak/>
        <w:t>Ces éléments de renfort externe sont posés en applique, au niveau des assemblages (traverses / meneaux / mauclairs) entre menuiseries juxtaposées.</w:t>
      </w:r>
    </w:p>
    <w:p w14:paraId="40FF5FA9" w14:textId="77777777" w:rsidR="00772179" w:rsidRDefault="00000000">
      <w:pPr>
        <w:jc w:val="both"/>
      </w:pPr>
      <w:r>
        <w:t>Le travail comprend notamment :</w:t>
      </w:r>
    </w:p>
    <w:p w14:paraId="2005AD2A" w14:textId="77777777" w:rsidR="00772179" w:rsidRDefault="00000000">
      <w:pPr>
        <w:pStyle w:val="Author-eListParagraph"/>
        <w:numPr>
          <w:ilvl w:val="0"/>
          <w:numId w:val="778"/>
        </w:numPr>
      </w:pPr>
      <w:r>
        <w:t>le dimensionnement ;</w:t>
      </w:r>
    </w:p>
    <w:p w14:paraId="14D0E4C6" w14:textId="77777777" w:rsidR="00772179" w:rsidRDefault="00000000">
      <w:pPr>
        <w:pStyle w:val="Author-eListParagraph"/>
        <w:numPr>
          <w:ilvl w:val="0"/>
          <w:numId w:val="778"/>
        </w:numPr>
      </w:pPr>
      <w:r>
        <w:t>la fourniture et la pose des éléments de renfort, des éventuels profils complémentaires, des accessoires (socle, coiffe, …), …</w:t>
      </w:r>
    </w:p>
    <w:p w14:paraId="2CE54278" w14:textId="77777777" w:rsidR="00772179" w:rsidRDefault="00000000">
      <w:pPr>
        <w:jc w:val="both"/>
      </w:pPr>
      <w:r>
        <w:t>Fourniture et mise en œuvre répondent à la documentation technique qui les accompagne.</w:t>
      </w:r>
    </w:p>
    <w:p w14:paraId="7233B475" w14:textId="77777777" w:rsidR="00772179" w:rsidRDefault="00000000">
      <w:pPr>
        <w:pStyle w:val="pheading"/>
      </w:pPr>
      <w:r>
        <w:t>MATÉRIAUX</w:t>
      </w:r>
    </w:p>
    <w:p w14:paraId="449ED58E" w14:textId="77777777" w:rsidR="00772179" w:rsidRDefault="00000000">
      <w:pPr>
        <w:jc w:val="both"/>
      </w:pPr>
      <w:r>
        <w:t xml:space="preserve">Les éléments de renfort permettent aux ensembles de châssis de satisfaire aux critères minimums de performance générale indiqués au </w:t>
      </w:r>
      <w:hyperlink w:anchor="64" w:history="1">
        <w:r>
          <w:rPr>
            <w:color w:val="0000EE"/>
          </w:rPr>
          <w:t>41.1 Fenêtres et portes-fenêtres</w:t>
        </w:r>
      </w:hyperlink>
      <w:r>
        <w:t xml:space="preserve"> et suivants.</w:t>
      </w:r>
    </w:p>
    <w:p w14:paraId="1C73758A" w14:textId="77777777" w:rsidR="00772179" w:rsidRDefault="00000000">
      <w:pPr>
        <w:pStyle w:val="pheading"/>
      </w:pPr>
      <w:r>
        <w:t>EXÉCUTION / MISE EN ŒUVRE</w:t>
      </w:r>
    </w:p>
    <w:p w14:paraId="1470F784" w14:textId="77777777" w:rsidR="00772179" w:rsidRDefault="00000000">
      <w:pPr>
        <w:jc w:val="both"/>
      </w:pPr>
      <w:r>
        <w:t xml:space="preserve">La mise en œuvre est réalisée selon </w:t>
      </w:r>
      <w:hyperlink w:anchor="64" w:history="1">
        <w:r>
          <w:rPr>
            <w:color w:val="0000EE"/>
          </w:rPr>
          <w:t>41.1 Fenêtres et portes-fenêtres</w:t>
        </w:r>
      </w:hyperlink>
      <w:r>
        <w:t xml:space="preserve"> et suivants.</w:t>
      </w:r>
    </w:p>
    <w:p w14:paraId="4CD44843" w14:textId="77777777" w:rsidR="00772179" w:rsidRDefault="00000000">
      <w:pPr>
        <w:jc w:val="both"/>
      </w:pPr>
      <w:r>
        <w:t>Les éléments de renfort et leurs fixations n’engendrent aucune contrainte aux châssis.</w:t>
      </w:r>
    </w:p>
    <w:p w14:paraId="06E50CDB" w14:textId="77777777" w:rsidR="00772179" w:rsidRDefault="00000000">
      <w:pPr>
        <w:jc w:val="both"/>
      </w:pPr>
      <w:r>
        <w:t xml:space="preserve"> Les éléments de renfort sont solidarisés aux dormants des châssis.</w:t>
      </w:r>
    </w:p>
    <w:p w14:paraId="1C2AF139" w14:textId="77777777" w:rsidR="00772179" w:rsidRDefault="00000000">
      <w:pPr>
        <w:jc w:val="both"/>
      </w:pPr>
      <w:r>
        <w:t xml:space="preserve"> L’ensemble est réalisé de manière à garantir l’étanchéité.</w:t>
      </w:r>
    </w:p>
    <w:p w14:paraId="3674CC02" w14:textId="77777777" w:rsidR="00772179" w:rsidRDefault="00000000">
      <w:pPr>
        <w:pStyle w:val="Author-eSectionHeading5Numberless"/>
      </w:pPr>
      <w:bookmarkStart w:id="393" w:name="_Toc220490115"/>
      <w:r>
        <w:t>41.77.1 Eléments de renfort en bois pour menuiseries extérieures CCTB 01.12</w:t>
      </w:r>
      <w:bookmarkEnd w:id="393"/>
    </w:p>
    <w:p w14:paraId="39C33A53" w14:textId="77777777" w:rsidR="00772179" w:rsidRDefault="00000000">
      <w:pPr>
        <w:pStyle w:val="pheading"/>
      </w:pPr>
      <w:r>
        <w:t>DESCRIPTION</w:t>
      </w:r>
    </w:p>
    <w:p w14:paraId="11A15494" w14:textId="77777777" w:rsidR="00772179" w:rsidRDefault="00000000">
      <w:pPr>
        <w:pStyle w:val="pheading"/>
      </w:pPr>
      <w:r>
        <w:t>- Définition / Comprend</w:t>
      </w:r>
    </w:p>
    <w:p w14:paraId="75365DBF" w14:textId="77777777" w:rsidR="00772179" w:rsidRDefault="00000000">
      <w:pPr>
        <w:jc w:val="both"/>
      </w:pPr>
      <w:r>
        <w:t>Il s’agit de la fourniture et de la pose d’éléments de renfort en bois destinés à éviter toute déformation excessive des menuiseries extérieures.</w:t>
      </w:r>
    </w:p>
    <w:p w14:paraId="41B75A21" w14:textId="77777777" w:rsidR="00772179" w:rsidRDefault="00000000">
      <w:pPr>
        <w:pStyle w:val="pheading"/>
      </w:pPr>
      <w:r>
        <w:t>MATÉRIAUX</w:t>
      </w:r>
    </w:p>
    <w:p w14:paraId="320973A3" w14:textId="77777777" w:rsidR="00772179" w:rsidRDefault="00000000">
      <w:pPr>
        <w:jc w:val="both"/>
      </w:pPr>
      <w:r>
        <w:t xml:space="preserve">Caractéristiques du bois : selon </w:t>
      </w:r>
      <w:hyperlink w:anchor="65" w:history="1">
        <w:r>
          <w:rPr>
            <w:color w:val="0000EE"/>
          </w:rPr>
          <w:t>41.11 Fenêtres et portes-fenêtres en bois</w:t>
        </w:r>
      </w:hyperlink>
      <w:r>
        <w:t xml:space="preserve"> et suivants.</w:t>
      </w:r>
    </w:p>
    <w:p w14:paraId="2FA61147" w14:textId="77777777" w:rsidR="00772179" w:rsidRDefault="00000000">
      <w:pPr>
        <w:jc w:val="both"/>
      </w:pPr>
      <w:r>
        <w:t>Section des éléments de renfort : selon </w:t>
      </w:r>
      <w:r>
        <w:rPr>
          <w:rStyle w:val="optioncarChar"/>
        </w:rPr>
        <w:t>la documentation qui accompagne le produit</w:t>
      </w:r>
      <w:r>
        <w:t xml:space="preserve"> (par défaut) </w:t>
      </w:r>
      <w:r>
        <w:rPr>
          <w:rStyle w:val="optioncarChar"/>
        </w:rPr>
        <w:t>/ les dessins aux plans / ***</w:t>
      </w:r>
    </w:p>
    <w:p w14:paraId="10F19B33" w14:textId="77777777" w:rsidR="00772179" w:rsidRDefault="00000000">
      <w:pPr>
        <w:jc w:val="both"/>
      </w:pPr>
      <w:r>
        <w:t xml:space="preserve">Finition – Aspect : </w:t>
      </w:r>
      <w:r>
        <w:rPr>
          <w:rStyle w:val="optioncarChar"/>
        </w:rPr>
        <w:t xml:space="preserve">identique aux châssis auxquels ils se rapportent </w:t>
      </w:r>
      <w:r>
        <w:t xml:space="preserve">(par défaut) </w:t>
      </w:r>
      <w:r>
        <w:rPr>
          <w:rStyle w:val="optioncarChar"/>
        </w:rPr>
        <w:t>/ blanc / ***</w:t>
      </w:r>
    </w:p>
    <w:p w14:paraId="1FDBB52B" w14:textId="77777777" w:rsidR="00772179" w:rsidRDefault="00000000">
      <w:pPr>
        <w:pStyle w:val="Author-eSectionHeading6Numberless"/>
      </w:pPr>
      <w:bookmarkStart w:id="394" w:name="_Toc220490116"/>
      <w:r>
        <w:t>41.77.1a Eléments de renfort en bois pour menuiseries extérieures</w:t>
      </w:r>
      <w:bookmarkEnd w:id="394"/>
    </w:p>
    <w:p w14:paraId="4AC1EA98" w14:textId="77777777" w:rsidR="00772179" w:rsidRDefault="00000000">
      <w:pPr>
        <w:pStyle w:val="Author-eSectionHeading5Numberless"/>
      </w:pPr>
      <w:bookmarkStart w:id="395" w:name="_Toc220490117"/>
      <w:r>
        <w:t>41.77.2 Eléments de renfort en aluminium pour menuiseries extérieures</w:t>
      </w:r>
      <w:bookmarkEnd w:id="395"/>
    </w:p>
    <w:p w14:paraId="0C5196FF" w14:textId="77777777" w:rsidR="00772179" w:rsidRDefault="00000000">
      <w:pPr>
        <w:pStyle w:val="Author-eSectionHeading6Numberless"/>
      </w:pPr>
      <w:bookmarkStart w:id="396" w:name="_Toc220490118"/>
      <w:r>
        <w:t>41.77.2a Eléments de renfort en aluminium pour menuiseries extérieures</w:t>
      </w:r>
      <w:bookmarkEnd w:id="396"/>
    </w:p>
    <w:p w14:paraId="311A7CF2" w14:textId="77777777" w:rsidR="00772179" w:rsidRDefault="00000000">
      <w:pPr>
        <w:pStyle w:val="Author-eSectionHeading5Numberless"/>
      </w:pPr>
      <w:bookmarkStart w:id="397" w:name="_Toc220490119"/>
      <w:r>
        <w:t>41.77.3 Eléments de renfort en acier pour menuiseries extérieures</w:t>
      </w:r>
      <w:bookmarkEnd w:id="397"/>
    </w:p>
    <w:p w14:paraId="60380E41" w14:textId="77777777" w:rsidR="00772179" w:rsidRDefault="00000000">
      <w:pPr>
        <w:pStyle w:val="Author-eSectionHeading6Numberless"/>
      </w:pPr>
      <w:bookmarkStart w:id="398" w:name="_Toc220490120"/>
      <w:r>
        <w:t>41.77.3a Eléments de renfort en acier pour menuiseries extérieures CCTB 01.12</w:t>
      </w:r>
      <w:bookmarkEnd w:id="398"/>
    </w:p>
    <w:p w14:paraId="6187B23F" w14:textId="77777777" w:rsidR="00772179" w:rsidRDefault="00000000">
      <w:pPr>
        <w:pStyle w:val="pheading"/>
      </w:pPr>
      <w:r>
        <w:t>DESCRIPTION</w:t>
      </w:r>
    </w:p>
    <w:p w14:paraId="2DCE0489" w14:textId="77777777" w:rsidR="00772179" w:rsidRDefault="00000000">
      <w:pPr>
        <w:pStyle w:val="pheading"/>
      </w:pPr>
      <w:r>
        <w:t>- Définition / Comprend</w:t>
      </w:r>
    </w:p>
    <w:p w14:paraId="5390D9F4" w14:textId="77777777" w:rsidR="00772179" w:rsidRDefault="00000000">
      <w:pPr>
        <w:jc w:val="both"/>
      </w:pPr>
      <w:r>
        <w:t>Il s’agit de la fourniture et de la pose d’éléments de renfort en acier destinés à éviter toutes déformations excessives des menuiseries extérieures.</w:t>
      </w:r>
    </w:p>
    <w:p w14:paraId="77064BD7" w14:textId="77777777" w:rsidR="00772179" w:rsidRDefault="00000000">
      <w:pPr>
        <w:pStyle w:val="pheading"/>
      </w:pPr>
      <w:r>
        <w:t>MATÉRIAUX</w:t>
      </w:r>
    </w:p>
    <w:p w14:paraId="47986E04" w14:textId="77777777" w:rsidR="00772179" w:rsidRDefault="00000000">
      <w:pPr>
        <w:pStyle w:val="pheading"/>
      </w:pPr>
      <w:r>
        <w:t>- Caractéristiques générales</w:t>
      </w:r>
    </w:p>
    <w:p w14:paraId="3DC1737C" w14:textId="77777777" w:rsidR="00772179" w:rsidRDefault="00000000">
      <w:r>
        <w:t xml:space="preserve">Caractéristiques de l’acier : selon </w:t>
      </w:r>
      <w:hyperlink w:anchor="934" w:history="1">
        <w:r>
          <w:rPr>
            <w:color w:val="0000EE"/>
          </w:rPr>
          <w:t>41.13 Fenêtres et portes-fenêtres en acier</w:t>
        </w:r>
      </w:hyperlink>
      <w:r>
        <w:t xml:space="preserve"> et suivants.</w:t>
      </w:r>
    </w:p>
    <w:p w14:paraId="41782254" w14:textId="77777777" w:rsidR="00772179" w:rsidRDefault="00000000">
      <w:r>
        <w:lastRenderedPageBreak/>
        <w:t xml:space="preserve">Forme, type, dimensions des éléments de renfort : selon </w:t>
      </w:r>
      <w:r>
        <w:rPr>
          <w:rStyle w:val="optioncarChar"/>
        </w:rPr>
        <w:t xml:space="preserve">la documentation qui accompagne le produit </w:t>
      </w:r>
      <w:r>
        <w:t>(par défaut)</w:t>
      </w:r>
      <w:r>
        <w:rPr>
          <w:rStyle w:val="optioncarChar"/>
        </w:rPr>
        <w:t xml:space="preserve"> / les dessins aux plans / ***</w:t>
      </w:r>
    </w:p>
    <w:p w14:paraId="38C9D8E4" w14:textId="77777777" w:rsidR="00772179" w:rsidRDefault="00000000">
      <w:pPr>
        <w:pStyle w:val="pheading"/>
      </w:pPr>
      <w:r>
        <w:t>- Finitions</w:t>
      </w:r>
    </w:p>
    <w:p w14:paraId="32927DA4" w14:textId="77777777" w:rsidR="00772179" w:rsidRDefault="00000000">
      <w:r>
        <w:t xml:space="preserve">Finition – Aspect : </w:t>
      </w:r>
      <w:r>
        <w:rPr>
          <w:rStyle w:val="optioncarChar"/>
        </w:rPr>
        <w:t xml:space="preserve">identique aux châssis auxquels ils se rapportent </w:t>
      </w:r>
      <w:r>
        <w:t xml:space="preserve">(par défaut) </w:t>
      </w:r>
      <w:r>
        <w:rPr>
          <w:rStyle w:val="optioncarChar"/>
        </w:rPr>
        <w:t>/ blanc / ***</w:t>
      </w:r>
    </w:p>
    <w:p w14:paraId="38EADC1D" w14:textId="77777777" w:rsidR="00772179" w:rsidRDefault="00000000">
      <w:pPr>
        <w:pStyle w:val="pheading"/>
      </w:pPr>
      <w:r>
        <w:t>MESURAGE</w:t>
      </w:r>
    </w:p>
    <w:p w14:paraId="250B0EB7" w14:textId="77777777" w:rsidR="00772179" w:rsidRDefault="00000000">
      <w:pPr>
        <w:pStyle w:val="pheading"/>
      </w:pPr>
      <w:r>
        <w:t>- unité de mesure:</w:t>
      </w:r>
    </w:p>
    <w:p w14:paraId="34405594" w14:textId="77777777" w:rsidR="00772179" w:rsidRDefault="00000000">
      <w:r>
        <w:rPr>
          <w:rStyle w:val="optioncarChar"/>
        </w:rPr>
        <w:t xml:space="preserve">- </w:t>
      </w:r>
      <w:r>
        <w:t xml:space="preserve">(par défaut) </w:t>
      </w:r>
      <w:r>
        <w:rPr>
          <w:rStyle w:val="optioncarChar"/>
        </w:rPr>
        <w:t>/ fft / pc</w:t>
      </w:r>
    </w:p>
    <w:p w14:paraId="231FD31A" w14:textId="77777777" w:rsidR="00772179" w:rsidRDefault="00000000">
      <w:r>
        <w:rPr>
          <w:b/>
        </w:rPr>
        <w:t>(soit par défaut)</w:t>
      </w:r>
      <w:r>
        <w:br/>
      </w:r>
      <w:r>
        <w:rPr>
          <w:rStyle w:val="soitChar"/>
        </w:rPr>
        <w:t>1. -</w:t>
      </w:r>
      <w:r>
        <w:br/>
      </w:r>
      <w:r>
        <w:rPr>
          <w:b/>
        </w:rPr>
        <w:t>(soit)</w:t>
      </w:r>
      <w:r>
        <w:br/>
      </w:r>
      <w:r>
        <w:rPr>
          <w:rStyle w:val="soitChar"/>
        </w:rPr>
        <w:t>2. fft</w:t>
      </w:r>
      <w:r>
        <w:br/>
      </w:r>
      <w:r>
        <w:rPr>
          <w:b/>
        </w:rPr>
        <w:t>(soit)</w:t>
      </w:r>
      <w:r>
        <w:br/>
      </w:r>
      <w:r>
        <w:rPr>
          <w:rStyle w:val="soitChar"/>
        </w:rPr>
        <w:t>3. 4. pc</w:t>
      </w:r>
    </w:p>
    <w:p w14:paraId="16F2591A" w14:textId="77777777" w:rsidR="00772179" w:rsidRDefault="00000000">
      <w:pPr>
        <w:pStyle w:val="pheading"/>
      </w:pPr>
      <w:r>
        <w:t>- code de mesurage:</w:t>
      </w:r>
    </w:p>
    <w:p w14:paraId="6A50E6F3" w14:textId="77777777" w:rsidR="00772179" w:rsidRDefault="00000000">
      <w:pPr>
        <w:jc w:val="both"/>
      </w:pPr>
      <w:r>
        <w:rPr>
          <w:rStyle w:val="optioncarChar"/>
        </w:rPr>
        <w:t xml:space="preserve">Compris </w:t>
      </w:r>
      <w:r>
        <w:t>(par défaut)</w:t>
      </w:r>
      <w:r>
        <w:rPr>
          <w:rStyle w:val="optioncarChar"/>
        </w:rPr>
        <w:t xml:space="preserve"> / Pour l'ensemble des prestations à réaliser / Quantité nette</w:t>
      </w:r>
    </w:p>
    <w:p w14:paraId="3CB8F46F" w14:textId="77777777" w:rsidR="00772179" w:rsidRDefault="00000000">
      <w:pPr>
        <w:jc w:val="both"/>
      </w:pPr>
      <w:r>
        <w:rPr>
          <w:b/>
        </w:rPr>
        <w:t>(soit par défaut)</w:t>
      </w:r>
    </w:p>
    <w:p w14:paraId="1E861F57" w14:textId="77777777" w:rsidR="00772179" w:rsidRDefault="00000000">
      <w:pPr>
        <w:jc w:val="both"/>
      </w:pPr>
      <w:r>
        <w:rPr>
          <w:rStyle w:val="soitChar"/>
        </w:rPr>
        <w:t xml:space="preserve">1. </w:t>
      </w:r>
      <w:r>
        <w:rPr>
          <w:rStyle w:val="soitChar"/>
          <w:u w:val="single"/>
        </w:rPr>
        <w:t>Compris :</w:t>
      </w:r>
    </w:p>
    <w:p w14:paraId="1A6D1E5B" w14:textId="77777777" w:rsidR="00772179" w:rsidRDefault="00000000">
      <w:pPr>
        <w:jc w:val="both"/>
      </w:pPr>
      <w:r>
        <w:rPr>
          <w:rStyle w:val="soitChar"/>
        </w:rPr>
        <w:t xml:space="preserve">Tous les frais liés à ces prestations sont </w:t>
      </w:r>
      <w:r>
        <w:rPr>
          <w:rStyle w:val="optioncarChar"/>
        </w:rPr>
        <w:t>compris et répartis dans la totalité de l'entreprise</w:t>
      </w:r>
      <w:r>
        <w:t xml:space="preserve"> (par défaut)</w:t>
      </w:r>
      <w:r>
        <w:rPr>
          <w:rStyle w:val="optioncarChar"/>
        </w:rPr>
        <w:t xml:space="preserve"> / compris dans le prix des articles ***</w:t>
      </w:r>
    </w:p>
    <w:p w14:paraId="6732430D" w14:textId="77777777" w:rsidR="00772179" w:rsidRDefault="00000000">
      <w:pPr>
        <w:jc w:val="both"/>
      </w:pPr>
      <w:r>
        <w:rPr>
          <w:b/>
        </w:rPr>
        <w:t>(soit)</w:t>
      </w:r>
    </w:p>
    <w:p w14:paraId="0E433A32" w14:textId="77777777" w:rsidR="00772179" w:rsidRDefault="00000000">
      <w:pPr>
        <w:jc w:val="both"/>
      </w:pPr>
      <w:r>
        <w:rPr>
          <w:rStyle w:val="soitChar"/>
        </w:rPr>
        <w:t xml:space="preserve">2. </w:t>
      </w:r>
      <w:r>
        <w:rPr>
          <w:rStyle w:val="soitChar"/>
          <w:u w:val="single"/>
        </w:rPr>
        <w:t>Pour l’ensemble des prestations à réaliser :</w:t>
      </w:r>
    </w:p>
    <w:p w14:paraId="441C35EE" w14:textId="77777777" w:rsidR="00772179" w:rsidRDefault="00000000">
      <w:pPr>
        <w:jc w:val="both"/>
      </w:pPr>
      <w:r>
        <w:rPr>
          <w:rStyle w:val="soitChar"/>
        </w:rPr>
        <w:t>Le prix unitaire comprend toutes les prestations nécessaires pour l’exécution de l’ensemble.</w:t>
      </w:r>
    </w:p>
    <w:p w14:paraId="094DB3EC" w14:textId="77777777" w:rsidR="00772179" w:rsidRDefault="00000000">
      <w:pPr>
        <w:jc w:val="both"/>
      </w:pPr>
      <w:r>
        <w:rPr>
          <w:rStyle w:val="soitChar"/>
        </w:rPr>
        <w:t>Eventuellement scindé dans différents postes selon le type, la forme, ...</w:t>
      </w:r>
    </w:p>
    <w:p w14:paraId="04FC0AA7" w14:textId="77777777" w:rsidR="00772179" w:rsidRDefault="00000000">
      <w:pPr>
        <w:jc w:val="both"/>
      </w:pPr>
      <w:r>
        <w:rPr>
          <w:b/>
        </w:rPr>
        <w:t>(soit)</w:t>
      </w:r>
    </w:p>
    <w:p w14:paraId="543158B2" w14:textId="77777777" w:rsidR="00772179" w:rsidRDefault="00000000">
      <w:pPr>
        <w:jc w:val="both"/>
      </w:pPr>
      <w:r>
        <w:rPr>
          <w:rStyle w:val="soitChar"/>
        </w:rPr>
        <w:t>3. 4. </w:t>
      </w:r>
      <w:r>
        <w:rPr>
          <w:rStyle w:val="soitChar"/>
          <w:u w:val="single"/>
        </w:rPr>
        <w:t>Quantité nette :</w:t>
      </w:r>
    </w:p>
    <w:p w14:paraId="04248F11" w14:textId="77777777" w:rsidR="00772179" w:rsidRDefault="00000000">
      <w:pPr>
        <w:jc w:val="both"/>
      </w:pPr>
      <w:r>
        <w:rPr>
          <w:rStyle w:val="soitChar"/>
        </w:rPr>
        <w:t>Mesurée selon le nombre d’éléments à réaliser.</w:t>
      </w:r>
    </w:p>
    <w:p w14:paraId="09912FF5" w14:textId="77777777" w:rsidR="00772179" w:rsidRDefault="00000000">
      <w:pPr>
        <w:jc w:val="both"/>
      </w:pPr>
      <w:r>
        <w:rPr>
          <w:rStyle w:val="soitChar"/>
        </w:rPr>
        <w:t>Eventuellement scindé dans différents postes selon le type, la forme, ...</w:t>
      </w:r>
    </w:p>
    <w:p w14:paraId="21E986FF" w14:textId="77777777" w:rsidR="00772179" w:rsidRDefault="00000000">
      <w:pPr>
        <w:pStyle w:val="pheading"/>
      </w:pPr>
      <w:r>
        <w:t>- nature du marché:</w:t>
      </w:r>
    </w:p>
    <w:p w14:paraId="16ECB8EF" w14:textId="77777777" w:rsidR="00772179" w:rsidRDefault="00000000">
      <w:r>
        <w:rPr>
          <w:rStyle w:val="optioncarChar"/>
        </w:rPr>
        <w:t>PM</w:t>
      </w:r>
      <w:r>
        <w:t xml:space="preserve"> (par défaut)</w:t>
      </w:r>
      <w:r>
        <w:rPr>
          <w:rStyle w:val="optioncarChar"/>
        </w:rPr>
        <w:t xml:space="preserve"> / PG / QF / QP</w:t>
      </w:r>
    </w:p>
    <w:p w14:paraId="127F6991" w14:textId="77777777" w:rsidR="00772179" w:rsidRDefault="00000000">
      <w:r>
        <w:rPr>
          <w:b/>
        </w:rPr>
        <w:t>(soit par défaut)</w:t>
      </w:r>
      <w:r>
        <w:br/>
      </w:r>
      <w:r>
        <w:rPr>
          <w:rStyle w:val="soitChar"/>
        </w:rPr>
        <w:t>1. PM</w:t>
      </w:r>
      <w:r>
        <w:br/>
      </w:r>
      <w:r>
        <w:rPr>
          <w:b/>
        </w:rPr>
        <w:t>(soit)</w:t>
      </w:r>
      <w:r>
        <w:br/>
      </w:r>
      <w:r>
        <w:rPr>
          <w:rStyle w:val="soitChar"/>
        </w:rPr>
        <w:t>2. PG</w:t>
      </w:r>
      <w:r>
        <w:br/>
      </w:r>
      <w:r>
        <w:rPr>
          <w:b/>
        </w:rPr>
        <w:t>(soit)</w:t>
      </w:r>
      <w:r>
        <w:br/>
      </w:r>
      <w:r>
        <w:rPr>
          <w:rStyle w:val="soitChar"/>
        </w:rPr>
        <w:t>3. QF</w:t>
      </w:r>
      <w:r>
        <w:br/>
      </w:r>
      <w:r>
        <w:rPr>
          <w:b/>
        </w:rPr>
        <w:t>(soit)</w:t>
      </w:r>
      <w:r>
        <w:br/>
      </w:r>
      <w:r>
        <w:rPr>
          <w:rStyle w:val="soitChar"/>
        </w:rPr>
        <w:t>4. QP</w:t>
      </w:r>
    </w:p>
    <w:p w14:paraId="3D0190C1" w14:textId="77777777" w:rsidR="00772179" w:rsidRDefault="00000000">
      <w:pPr>
        <w:pStyle w:val="Author-eSectionHeading5Numberless"/>
      </w:pPr>
      <w:bookmarkStart w:id="399" w:name="_Toc220490121"/>
      <w:r>
        <w:t>41.77.4 Eléments de renfort mixtes pour menuiseries extérieures</w:t>
      </w:r>
      <w:bookmarkEnd w:id="399"/>
    </w:p>
    <w:p w14:paraId="001B14FC" w14:textId="77777777" w:rsidR="00772179" w:rsidRDefault="00000000">
      <w:pPr>
        <w:pStyle w:val="Author-eSectionHeading6Numberless"/>
      </w:pPr>
      <w:bookmarkStart w:id="400" w:name="_Toc220490122"/>
      <w:r>
        <w:t>41.77.4a Eléments de renfort mixtes pour menuiseries extérieures CCTB 01.12</w:t>
      </w:r>
      <w:bookmarkEnd w:id="400"/>
    </w:p>
    <w:p w14:paraId="2A00A4FF" w14:textId="77777777" w:rsidR="00772179" w:rsidRDefault="00000000">
      <w:pPr>
        <w:pStyle w:val="pheading"/>
      </w:pPr>
      <w:r>
        <w:t>DESCRIPTION</w:t>
      </w:r>
    </w:p>
    <w:p w14:paraId="75C68CDF" w14:textId="77777777" w:rsidR="00772179" w:rsidRDefault="00000000">
      <w:pPr>
        <w:pStyle w:val="pheading"/>
      </w:pPr>
      <w:r>
        <w:t>- Définition / Comprend</w:t>
      </w:r>
    </w:p>
    <w:p w14:paraId="5D17451D" w14:textId="77777777" w:rsidR="00772179" w:rsidRDefault="00000000">
      <w:pPr>
        <w:jc w:val="both"/>
      </w:pPr>
      <w:r>
        <w:t>Il s’agit de la fourniture et de la pose d’éléments de renfort en matériau composite destinés à éviter toutes déformations excessives des menuiseries extérieures.</w:t>
      </w:r>
    </w:p>
    <w:p w14:paraId="60C35E59" w14:textId="77777777" w:rsidR="00772179" w:rsidRDefault="00000000">
      <w:pPr>
        <w:pStyle w:val="pheading"/>
      </w:pPr>
      <w:r>
        <w:lastRenderedPageBreak/>
        <w:t>MATÉRIAUX</w:t>
      </w:r>
    </w:p>
    <w:p w14:paraId="42075CFD" w14:textId="77777777" w:rsidR="00772179" w:rsidRDefault="00000000">
      <w:pPr>
        <w:pStyle w:val="pheading"/>
      </w:pPr>
      <w:r>
        <w:t>- Caractéristiques générales</w:t>
      </w:r>
    </w:p>
    <w:p w14:paraId="2F873BE4" w14:textId="77777777" w:rsidR="00772179" w:rsidRDefault="00000000">
      <w:pPr>
        <w:jc w:val="both"/>
      </w:pPr>
      <w:r>
        <w:t xml:space="preserve">Caractéristiques du matériau composite : selon </w:t>
      </w:r>
      <w:hyperlink w:anchor="973" w:history="1">
        <w:r>
          <w:rPr>
            <w:color w:val="0000EE"/>
          </w:rPr>
          <w:t>41.17 Fenêtres et portes-fenêtres matériaux composites</w:t>
        </w:r>
      </w:hyperlink>
      <w:r>
        <w:t xml:space="preserve"> et suivants.</w:t>
      </w:r>
    </w:p>
    <w:p w14:paraId="72115578" w14:textId="77777777" w:rsidR="00772179" w:rsidRDefault="00000000">
      <w:pPr>
        <w:jc w:val="both"/>
      </w:pPr>
      <w:r>
        <w:t xml:space="preserve">Forme, type, dimensions des éléments de renfort : selon </w:t>
      </w:r>
      <w:r>
        <w:rPr>
          <w:rStyle w:val="optioncarChar"/>
        </w:rPr>
        <w:t xml:space="preserve">la documentation qui accompagne le produit </w:t>
      </w:r>
      <w:r>
        <w:t xml:space="preserve">(par défaut) </w:t>
      </w:r>
      <w:r>
        <w:rPr>
          <w:rStyle w:val="optioncarChar"/>
        </w:rPr>
        <w:t>/ les dessins aux plans / ***</w:t>
      </w:r>
    </w:p>
    <w:p w14:paraId="1E08CCEA" w14:textId="77777777" w:rsidR="00772179" w:rsidRDefault="00000000">
      <w:pPr>
        <w:pStyle w:val="pheading"/>
      </w:pPr>
      <w:r>
        <w:t>- Finitions</w:t>
      </w:r>
    </w:p>
    <w:p w14:paraId="52A9EB46" w14:textId="77777777" w:rsidR="00772179" w:rsidRDefault="00000000">
      <w:r>
        <w:t xml:space="preserve">Finition – Aspect : </w:t>
      </w:r>
      <w:r>
        <w:rPr>
          <w:rStyle w:val="optioncarChar"/>
        </w:rPr>
        <w:t>identique aux châssis auxquels ils se rapportent</w:t>
      </w:r>
      <w:r>
        <w:t xml:space="preserve"> (par défaut)</w:t>
      </w:r>
      <w:r>
        <w:rPr>
          <w:rStyle w:val="optioncarChar"/>
        </w:rPr>
        <w:t xml:space="preserve"> / blanc / ***</w:t>
      </w:r>
    </w:p>
    <w:p w14:paraId="5BB3B418" w14:textId="77777777" w:rsidR="00772179" w:rsidRDefault="00000000">
      <w:pPr>
        <w:pStyle w:val="pheading"/>
      </w:pPr>
      <w:r>
        <w:t>MESURAGE</w:t>
      </w:r>
    </w:p>
    <w:p w14:paraId="1810EA7E" w14:textId="77777777" w:rsidR="00772179" w:rsidRDefault="00000000">
      <w:pPr>
        <w:pStyle w:val="pheading"/>
      </w:pPr>
      <w:r>
        <w:t>- unité de mesure:</w:t>
      </w:r>
    </w:p>
    <w:p w14:paraId="5C009B38" w14:textId="77777777" w:rsidR="00772179" w:rsidRDefault="00000000">
      <w:r>
        <w:rPr>
          <w:rStyle w:val="optioncarChar"/>
        </w:rPr>
        <w:t xml:space="preserve">- </w:t>
      </w:r>
      <w:r>
        <w:t xml:space="preserve">(par défaut) </w:t>
      </w:r>
      <w:r>
        <w:rPr>
          <w:rStyle w:val="optioncarChar"/>
        </w:rPr>
        <w:t>/ fft / pc</w:t>
      </w:r>
    </w:p>
    <w:p w14:paraId="1E4F9D12" w14:textId="77777777" w:rsidR="00772179" w:rsidRDefault="00000000">
      <w:r>
        <w:rPr>
          <w:b/>
        </w:rPr>
        <w:t>(soit par défaut)</w:t>
      </w:r>
      <w:r>
        <w:br/>
      </w:r>
      <w:r>
        <w:rPr>
          <w:rStyle w:val="soitChar"/>
        </w:rPr>
        <w:t>1. -</w:t>
      </w:r>
      <w:r>
        <w:br/>
      </w:r>
      <w:r>
        <w:rPr>
          <w:b/>
        </w:rPr>
        <w:t>(soit)</w:t>
      </w:r>
      <w:r>
        <w:br/>
      </w:r>
      <w:r>
        <w:rPr>
          <w:rStyle w:val="soitChar"/>
        </w:rPr>
        <w:t>2. fft</w:t>
      </w:r>
      <w:r>
        <w:br/>
      </w:r>
      <w:r>
        <w:rPr>
          <w:b/>
        </w:rPr>
        <w:t>(soit)</w:t>
      </w:r>
      <w:r>
        <w:br/>
      </w:r>
      <w:r>
        <w:rPr>
          <w:rStyle w:val="soitChar"/>
        </w:rPr>
        <w:t>3. 4. pc</w:t>
      </w:r>
    </w:p>
    <w:p w14:paraId="6F497A54" w14:textId="77777777" w:rsidR="00772179" w:rsidRDefault="00000000">
      <w:pPr>
        <w:pStyle w:val="pheading"/>
      </w:pPr>
      <w:r>
        <w:t>- code de mesurage:</w:t>
      </w:r>
    </w:p>
    <w:p w14:paraId="70E6CA98" w14:textId="77777777" w:rsidR="00772179" w:rsidRDefault="00000000">
      <w:pPr>
        <w:jc w:val="both"/>
      </w:pPr>
      <w:r>
        <w:rPr>
          <w:rStyle w:val="optioncarChar"/>
        </w:rPr>
        <w:t xml:space="preserve">Compris </w:t>
      </w:r>
      <w:r>
        <w:t xml:space="preserve">(par défaut) </w:t>
      </w:r>
      <w:r>
        <w:rPr>
          <w:rStyle w:val="optioncarChar"/>
        </w:rPr>
        <w:t>/ Pour l'ensemble des prestations à réaliser / Quantité nette</w:t>
      </w:r>
    </w:p>
    <w:p w14:paraId="60F72094" w14:textId="77777777" w:rsidR="00772179" w:rsidRDefault="00000000">
      <w:pPr>
        <w:jc w:val="both"/>
      </w:pPr>
      <w:r>
        <w:rPr>
          <w:b/>
        </w:rPr>
        <w:t>(soit par défaut)</w:t>
      </w:r>
    </w:p>
    <w:p w14:paraId="03A9B53F" w14:textId="77777777" w:rsidR="00772179" w:rsidRDefault="00000000">
      <w:pPr>
        <w:jc w:val="both"/>
      </w:pPr>
      <w:r>
        <w:rPr>
          <w:rStyle w:val="soitChar"/>
        </w:rPr>
        <w:t xml:space="preserve">1. </w:t>
      </w:r>
      <w:r>
        <w:rPr>
          <w:rStyle w:val="soitChar"/>
          <w:u w:val="single"/>
        </w:rPr>
        <w:t>Compris :</w:t>
      </w:r>
    </w:p>
    <w:p w14:paraId="209ADF72" w14:textId="77777777" w:rsidR="00772179" w:rsidRDefault="00000000">
      <w:pPr>
        <w:jc w:val="both"/>
      </w:pPr>
      <w:r>
        <w:rPr>
          <w:rStyle w:val="soitChar"/>
        </w:rPr>
        <w:t xml:space="preserve">Tous les frais liés à ces prestations sont </w:t>
      </w:r>
      <w:r>
        <w:rPr>
          <w:rStyle w:val="optioncarChar"/>
        </w:rPr>
        <w:t xml:space="preserve">compris et répartis dans la totalité de l'entreprise </w:t>
      </w:r>
      <w:r>
        <w:t>(par défaut)</w:t>
      </w:r>
      <w:r>
        <w:rPr>
          <w:rStyle w:val="optioncarChar"/>
        </w:rPr>
        <w:t xml:space="preserve"> / compris dans le prix des articles ***</w:t>
      </w:r>
      <w:r>
        <w:rPr>
          <w:rStyle w:val="soitChar"/>
        </w:rPr>
        <w:t>.</w:t>
      </w:r>
    </w:p>
    <w:p w14:paraId="707ADCAC" w14:textId="77777777" w:rsidR="00772179" w:rsidRDefault="00000000">
      <w:pPr>
        <w:jc w:val="both"/>
      </w:pPr>
      <w:r>
        <w:rPr>
          <w:b/>
        </w:rPr>
        <w:t>(soit)</w:t>
      </w:r>
    </w:p>
    <w:p w14:paraId="34709E88" w14:textId="77777777" w:rsidR="00772179" w:rsidRDefault="00000000">
      <w:pPr>
        <w:jc w:val="both"/>
      </w:pPr>
      <w:r>
        <w:rPr>
          <w:rStyle w:val="soitChar"/>
        </w:rPr>
        <w:t xml:space="preserve">2. </w:t>
      </w:r>
      <w:r>
        <w:rPr>
          <w:rStyle w:val="soitChar"/>
          <w:u w:val="single"/>
        </w:rPr>
        <w:t>Pour l’ensemble des prestations à réaliser :</w:t>
      </w:r>
    </w:p>
    <w:p w14:paraId="5F7E9E8C" w14:textId="77777777" w:rsidR="00772179" w:rsidRDefault="00000000">
      <w:pPr>
        <w:jc w:val="both"/>
      </w:pPr>
      <w:r>
        <w:rPr>
          <w:rStyle w:val="soitChar"/>
        </w:rPr>
        <w:t>Le prix unitaire comprend toutes les prestations nécessaires pour l’exécution de l’ensemble.</w:t>
      </w:r>
    </w:p>
    <w:p w14:paraId="17954438" w14:textId="77777777" w:rsidR="00772179" w:rsidRDefault="00000000">
      <w:pPr>
        <w:jc w:val="both"/>
      </w:pPr>
      <w:r>
        <w:rPr>
          <w:rStyle w:val="soitChar"/>
        </w:rPr>
        <w:t>Eventuellement scindé dans différents postes selon le type, la forme, ...</w:t>
      </w:r>
    </w:p>
    <w:p w14:paraId="5466C646" w14:textId="77777777" w:rsidR="00772179" w:rsidRDefault="00000000">
      <w:pPr>
        <w:jc w:val="both"/>
      </w:pPr>
      <w:r>
        <w:rPr>
          <w:b/>
        </w:rPr>
        <w:t>(soit)</w:t>
      </w:r>
    </w:p>
    <w:p w14:paraId="05D15289" w14:textId="77777777" w:rsidR="00772179" w:rsidRDefault="00000000">
      <w:pPr>
        <w:jc w:val="both"/>
      </w:pPr>
      <w:r>
        <w:rPr>
          <w:rStyle w:val="soitChar"/>
        </w:rPr>
        <w:t>3. 4. </w:t>
      </w:r>
      <w:r>
        <w:rPr>
          <w:rStyle w:val="soitChar"/>
          <w:u w:val="single"/>
        </w:rPr>
        <w:t>Quantité nette :</w:t>
      </w:r>
    </w:p>
    <w:p w14:paraId="4A5802D9" w14:textId="77777777" w:rsidR="00772179" w:rsidRDefault="00000000">
      <w:pPr>
        <w:jc w:val="both"/>
      </w:pPr>
      <w:r>
        <w:rPr>
          <w:rStyle w:val="soitChar"/>
        </w:rPr>
        <w:t>Mesurée selon le nombre d’éléments à réaliser.</w:t>
      </w:r>
    </w:p>
    <w:p w14:paraId="2D7217B3" w14:textId="77777777" w:rsidR="00772179" w:rsidRDefault="00000000">
      <w:pPr>
        <w:jc w:val="both"/>
      </w:pPr>
      <w:r>
        <w:rPr>
          <w:rStyle w:val="soitChar"/>
        </w:rPr>
        <w:t>Eventuellement scindé dans différents postes selon le type, la forme, ...</w:t>
      </w:r>
    </w:p>
    <w:p w14:paraId="0D03F1D7" w14:textId="77777777" w:rsidR="00772179" w:rsidRDefault="00000000">
      <w:pPr>
        <w:pStyle w:val="pheading"/>
      </w:pPr>
      <w:r>
        <w:t>- nature du marché:</w:t>
      </w:r>
    </w:p>
    <w:p w14:paraId="6B618757" w14:textId="77777777" w:rsidR="00772179" w:rsidRDefault="00000000">
      <w:r>
        <w:rPr>
          <w:rStyle w:val="optioncarChar"/>
        </w:rPr>
        <w:t xml:space="preserve">PM </w:t>
      </w:r>
      <w:r>
        <w:t>(par défaut)</w:t>
      </w:r>
      <w:r>
        <w:rPr>
          <w:rStyle w:val="optioncarChar"/>
        </w:rPr>
        <w:t xml:space="preserve"> / PG / QF / QP</w:t>
      </w:r>
    </w:p>
    <w:p w14:paraId="17920454" w14:textId="77777777" w:rsidR="00772179" w:rsidRDefault="00000000">
      <w:r>
        <w:rPr>
          <w:b/>
        </w:rPr>
        <w:t>(soit par défaut)</w:t>
      </w:r>
      <w:r>
        <w:br/>
      </w:r>
      <w:r>
        <w:rPr>
          <w:rStyle w:val="soitChar"/>
        </w:rPr>
        <w:t>1. PM</w:t>
      </w:r>
      <w:r>
        <w:br/>
      </w:r>
      <w:r>
        <w:rPr>
          <w:b/>
        </w:rPr>
        <w:t>(soit)</w:t>
      </w:r>
      <w:r>
        <w:br/>
      </w:r>
      <w:r>
        <w:rPr>
          <w:rStyle w:val="soitChar"/>
        </w:rPr>
        <w:t>2. PG</w:t>
      </w:r>
      <w:r>
        <w:br/>
      </w:r>
      <w:r>
        <w:rPr>
          <w:b/>
        </w:rPr>
        <w:t>(soit)</w:t>
      </w:r>
      <w:r>
        <w:br/>
      </w:r>
      <w:r>
        <w:rPr>
          <w:rStyle w:val="soitChar"/>
        </w:rPr>
        <w:t>3. QF</w:t>
      </w:r>
      <w:r>
        <w:br/>
      </w:r>
      <w:r>
        <w:rPr>
          <w:b/>
        </w:rPr>
        <w:t>(soit)</w:t>
      </w:r>
      <w:r>
        <w:br/>
      </w:r>
      <w:r>
        <w:rPr>
          <w:rStyle w:val="soitChar"/>
        </w:rPr>
        <w:t>4. QP</w:t>
      </w:r>
    </w:p>
    <w:p w14:paraId="57BCB766" w14:textId="77777777" w:rsidR="00772179" w:rsidRDefault="00000000">
      <w:pPr>
        <w:pStyle w:val="Author-eSectionHeading3Numberless"/>
      </w:pPr>
      <w:bookmarkStart w:id="401" w:name="_Toc220490123"/>
      <w:r>
        <w:t>41.8 Menuiseries extérieures - rénovation CCTB 01.02</w:t>
      </w:r>
      <w:bookmarkEnd w:id="401"/>
    </w:p>
    <w:p w14:paraId="7DD49653" w14:textId="77777777" w:rsidR="00772179" w:rsidRDefault="00000000">
      <w:pPr>
        <w:pStyle w:val="Author-eSectionHeading4Numberless"/>
      </w:pPr>
      <w:bookmarkStart w:id="402" w:name="153"/>
      <w:bookmarkStart w:id="403" w:name="_Toc220490124"/>
      <w:bookmarkEnd w:id="402"/>
      <w:r>
        <w:lastRenderedPageBreak/>
        <w:t>41.81 Fenêtres et portes-fenêtres - rénovation</w:t>
      </w:r>
      <w:bookmarkEnd w:id="403"/>
    </w:p>
    <w:p w14:paraId="5F97D8EC" w14:textId="77777777" w:rsidR="00772179" w:rsidRDefault="00000000">
      <w:pPr>
        <w:pStyle w:val="Author-eSectionHeading5Numberless"/>
      </w:pPr>
      <w:bookmarkStart w:id="404" w:name="_Toc220490125"/>
      <w:r>
        <w:t>41.81.1 Fenêtres et portes-fenêtres en bois - rénovation CCTB 01.11</w:t>
      </w:r>
      <w:bookmarkEnd w:id="404"/>
    </w:p>
    <w:p w14:paraId="5F69CFCA" w14:textId="77777777" w:rsidR="00772179" w:rsidRDefault="00000000">
      <w:pPr>
        <w:pStyle w:val="pheading"/>
      </w:pPr>
      <w:r>
        <w:t>DOCUMENTS DE RÉFÉRENCE</w:t>
      </w:r>
    </w:p>
    <w:p w14:paraId="79557476" w14:textId="77777777" w:rsidR="00772179" w:rsidRDefault="00000000">
      <w:pPr>
        <w:pStyle w:val="pheading"/>
      </w:pPr>
      <w:r>
        <w:t>- Matériau</w:t>
      </w:r>
    </w:p>
    <w:p w14:paraId="5E61CB47" w14:textId="77777777" w:rsidR="00772179" w:rsidRDefault="00000000">
      <w:r>
        <w:t>[NIT 286, La pose des menuiseries extérieures Partie 2 : Mise en oeuvre de châssis en bois dans des murs creux]</w:t>
      </w:r>
    </w:p>
    <w:p w14:paraId="68C038BC" w14:textId="77777777" w:rsidR="00772179" w:rsidRDefault="00000000">
      <w:pPr>
        <w:pStyle w:val="pheading"/>
      </w:pPr>
      <w:r>
        <w:t>- Exécution</w:t>
      </w:r>
    </w:p>
    <w:p w14:paraId="314D6B40" w14:textId="77777777" w:rsidR="00772179" w:rsidRDefault="00000000">
      <w:r>
        <w:t>[NIT 286, La pose des menuiseries extérieures Partie 2 : Mise en oeuvre de châssis en bois dans des murs creux]</w:t>
      </w:r>
    </w:p>
    <w:p w14:paraId="02183FC2" w14:textId="77777777" w:rsidR="00772179" w:rsidRDefault="00000000">
      <w:pPr>
        <w:pStyle w:val="Author-eSectionHeading6Numberless"/>
      </w:pPr>
      <w:bookmarkStart w:id="405" w:name="_Toc220490126"/>
      <w:r>
        <w:t>41.81.1a Fenêtres et portes-fenêtres en bois - rénovation - greffes de bois</w:t>
      </w:r>
      <w:bookmarkEnd w:id="405"/>
    </w:p>
    <w:p w14:paraId="7752B038" w14:textId="77777777" w:rsidR="00772179" w:rsidRDefault="00000000">
      <w:pPr>
        <w:pStyle w:val="Author-eSectionHeading6Numberless"/>
      </w:pPr>
      <w:bookmarkStart w:id="406" w:name="_Toc220490127"/>
      <w:r>
        <w:t>41.81.1b Fenêtres et portes-fenêtres en bois - rénovation - réparation résine</w:t>
      </w:r>
      <w:bookmarkEnd w:id="406"/>
    </w:p>
    <w:p w14:paraId="3A3F3DC5" w14:textId="77777777" w:rsidR="00772179" w:rsidRDefault="00000000">
      <w:pPr>
        <w:pStyle w:val="Author-eSectionHeading6Numberless"/>
      </w:pPr>
      <w:bookmarkStart w:id="407" w:name="_Toc220490128"/>
      <w:r>
        <w:t>41.81.1c Fenêtres et portes-fenêtres en bois - rénovation - révision des quincailleries</w:t>
      </w:r>
      <w:bookmarkEnd w:id="407"/>
    </w:p>
    <w:p w14:paraId="27318EDA" w14:textId="77777777" w:rsidR="00772179" w:rsidRDefault="00000000">
      <w:pPr>
        <w:pStyle w:val="Author-eSectionHeading6Numberless"/>
      </w:pPr>
      <w:bookmarkStart w:id="408" w:name="_Toc220490129"/>
      <w:r>
        <w:t>41.81.1d Fenêtres et portes-fenêtres en bois - rénovation - restitution des quincailleries à l'identique</w:t>
      </w:r>
      <w:bookmarkEnd w:id="408"/>
    </w:p>
    <w:p w14:paraId="33420455" w14:textId="77777777" w:rsidR="00772179" w:rsidRDefault="00000000">
      <w:pPr>
        <w:pStyle w:val="Author-eSectionHeading6Numberless"/>
      </w:pPr>
      <w:bookmarkStart w:id="409" w:name="_Toc220490130"/>
      <w:r>
        <w:t>41.81.1e Fenêtres et portes-fenêtres en bois - rénovation - masticage</w:t>
      </w:r>
      <w:bookmarkEnd w:id="409"/>
    </w:p>
    <w:p w14:paraId="06AD0122" w14:textId="77777777" w:rsidR="00772179" w:rsidRDefault="00000000">
      <w:pPr>
        <w:pStyle w:val="Author-eSectionHeading6Numberless"/>
      </w:pPr>
      <w:bookmarkStart w:id="410" w:name="_Toc220490131"/>
      <w:r>
        <w:t>41.81.1f Fenêtres et portes-fenêtres en bois - rénovation - traitements de préservation du bois</w:t>
      </w:r>
      <w:bookmarkEnd w:id="410"/>
    </w:p>
    <w:p w14:paraId="36111712" w14:textId="77777777" w:rsidR="00772179" w:rsidRDefault="00000000">
      <w:pPr>
        <w:pStyle w:val="Author-eSectionHeading6Numberless"/>
      </w:pPr>
      <w:bookmarkStart w:id="411" w:name="_Toc220490132"/>
      <w:r>
        <w:t>41.81.1g Fenêtres et portes-fenêtres en bois - rénovation - déposes et reposes des tablettes intérieures CCTB 01.07</w:t>
      </w:r>
      <w:bookmarkEnd w:id="411"/>
    </w:p>
    <w:p w14:paraId="48AEDD56" w14:textId="77777777" w:rsidR="00772179" w:rsidRDefault="00000000">
      <w:pPr>
        <w:pStyle w:val="pheading"/>
      </w:pPr>
      <w:r>
        <w:t>DESCRIPTION</w:t>
      </w:r>
    </w:p>
    <w:p w14:paraId="776E173D" w14:textId="77777777" w:rsidR="00772179" w:rsidRDefault="00000000">
      <w:pPr>
        <w:pStyle w:val="pheading"/>
      </w:pPr>
      <w:r>
        <w:t>- Définition / Comprend</w:t>
      </w:r>
    </w:p>
    <w:p w14:paraId="557E67AF" w14:textId="77777777" w:rsidR="00772179" w:rsidRDefault="00000000">
      <w:r>
        <w:t>Renvoi au 5 T5 Fermetures / Finitions intérieures</w:t>
      </w:r>
    </w:p>
    <w:p w14:paraId="6D5C8D65" w14:textId="77777777" w:rsidR="00772179" w:rsidRDefault="00000000">
      <w:pPr>
        <w:pStyle w:val="Author-eSectionHeading6Numberless"/>
      </w:pPr>
      <w:bookmarkStart w:id="412" w:name="_Toc220490133"/>
      <w:r>
        <w:t>41.81.1h Fenêtres et portes-fenêtres en bois - rénovation - amélioration de l'étanchéité / embrèvement du joint</w:t>
      </w:r>
      <w:bookmarkEnd w:id="412"/>
    </w:p>
    <w:p w14:paraId="12A96051" w14:textId="77777777" w:rsidR="00772179" w:rsidRDefault="00000000">
      <w:pPr>
        <w:pStyle w:val="Author-eSectionHeading6Numberless"/>
      </w:pPr>
      <w:bookmarkStart w:id="413" w:name="_Toc220490134"/>
      <w:r>
        <w:t>41.81.1i Fenêtres et portes-fenêtres en bois - rénovation - survitrages</w:t>
      </w:r>
      <w:bookmarkEnd w:id="413"/>
    </w:p>
    <w:p w14:paraId="06E0CA63" w14:textId="77777777" w:rsidR="00772179" w:rsidRDefault="00000000">
      <w:pPr>
        <w:pStyle w:val="Author-eSectionHeading5Numberless"/>
      </w:pPr>
      <w:bookmarkStart w:id="414" w:name="_Toc220490135"/>
      <w:r>
        <w:t>41.81.2 Fenêtres et portes-fenêtres en aluminium - rénovation  CCTB 01.11</w:t>
      </w:r>
      <w:bookmarkEnd w:id="414"/>
    </w:p>
    <w:p w14:paraId="78C0EBF6" w14:textId="77777777" w:rsidR="00772179" w:rsidRDefault="00000000">
      <w:pPr>
        <w:pStyle w:val="Author-eSectionHeading6Numberless"/>
      </w:pPr>
      <w:bookmarkStart w:id="415" w:name="_Toc220490136"/>
      <w:r>
        <w:t>41.81.2a Fenêtres et portes-fenêtres en aluminium - rénovation - remplacement de profilés en aluminium</w:t>
      </w:r>
      <w:bookmarkEnd w:id="415"/>
    </w:p>
    <w:p w14:paraId="1C293ED2" w14:textId="77777777" w:rsidR="00772179" w:rsidRDefault="00000000">
      <w:pPr>
        <w:pStyle w:val="Author-eSectionHeading6Numberless"/>
      </w:pPr>
      <w:bookmarkStart w:id="416" w:name="_Toc220490137"/>
      <w:r>
        <w:t>41.81.2b Fenêtres et portes-fenêtres en aluminium - rénovation - réparation de profilés en aluminium</w:t>
      </w:r>
      <w:bookmarkEnd w:id="416"/>
    </w:p>
    <w:p w14:paraId="755BBAE7" w14:textId="77777777" w:rsidR="00772179" w:rsidRDefault="00000000">
      <w:pPr>
        <w:pStyle w:val="Author-eSectionHeading6Numberless"/>
      </w:pPr>
      <w:bookmarkStart w:id="417" w:name="_Toc220490138"/>
      <w:r>
        <w:t>41.81.2c Fenêtres et portes-fenêtres en aluminium - rénovation - révision des quincailleries</w:t>
      </w:r>
      <w:bookmarkEnd w:id="417"/>
    </w:p>
    <w:p w14:paraId="5B1E2E19" w14:textId="77777777" w:rsidR="00772179" w:rsidRDefault="00000000">
      <w:pPr>
        <w:pStyle w:val="Author-eSectionHeading6Numberless"/>
      </w:pPr>
      <w:bookmarkStart w:id="418" w:name="_Toc220490139"/>
      <w:r>
        <w:t>41.81.2d Fenêtres et portes-fenêtres en aluminium - rénovation - restitution des quincailleries à l'identique</w:t>
      </w:r>
      <w:bookmarkEnd w:id="418"/>
    </w:p>
    <w:p w14:paraId="2FDB4A6D" w14:textId="77777777" w:rsidR="00772179" w:rsidRDefault="00000000">
      <w:pPr>
        <w:pStyle w:val="Author-eSectionHeading6Numberless"/>
      </w:pPr>
      <w:bookmarkStart w:id="419" w:name="_Toc220490140"/>
      <w:r>
        <w:t>41.81.2e Fenêtres et portes-fenêtres en aluminium - rénovation - masticage</w:t>
      </w:r>
      <w:bookmarkEnd w:id="419"/>
    </w:p>
    <w:p w14:paraId="0AC30D2B" w14:textId="77777777" w:rsidR="00772179" w:rsidRDefault="00000000">
      <w:pPr>
        <w:pStyle w:val="Author-eSectionHeading6Numberless"/>
      </w:pPr>
      <w:bookmarkStart w:id="420" w:name="_Toc220490141"/>
      <w:r>
        <w:t>41.81.2f Fenêtres et portes-fenêtres en aluminium - rénovation - traitements des profilés</w:t>
      </w:r>
      <w:bookmarkEnd w:id="420"/>
    </w:p>
    <w:p w14:paraId="77DCEEBA" w14:textId="77777777" w:rsidR="00772179" w:rsidRDefault="00000000">
      <w:pPr>
        <w:pStyle w:val="Author-eSectionHeading6Numberless"/>
      </w:pPr>
      <w:bookmarkStart w:id="421" w:name="_Toc220490142"/>
      <w:r>
        <w:lastRenderedPageBreak/>
        <w:t>41.81.2g Fenêtres et portes-fenêtres en aluminium - rénovation - déposes et reposes des tablettes intérieures CCTB 01.07</w:t>
      </w:r>
      <w:bookmarkEnd w:id="421"/>
    </w:p>
    <w:p w14:paraId="71BF5A0A" w14:textId="77777777" w:rsidR="00772179" w:rsidRDefault="00000000">
      <w:pPr>
        <w:pStyle w:val="pheading"/>
      </w:pPr>
      <w:r>
        <w:t>DESCRIPTION</w:t>
      </w:r>
    </w:p>
    <w:p w14:paraId="54EE373B" w14:textId="77777777" w:rsidR="00772179" w:rsidRDefault="00000000">
      <w:pPr>
        <w:pStyle w:val="pheading"/>
      </w:pPr>
      <w:r>
        <w:t>- Définition / Comprend</w:t>
      </w:r>
    </w:p>
    <w:p w14:paraId="51C9A72D" w14:textId="77777777" w:rsidR="00772179" w:rsidRDefault="00000000">
      <w:r>
        <w:t>Renvoi au 5 T5 Fermetures / Finitions intérieures</w:t>
      </w:r>
    </w:p>
    <w:p w14:paraId="401F53E5" w14:textId="77777777" w:rsidR="00772179" w:rsidRDefault="00000000">
      <w:pPr>
        <w:pStyle w:val="Author-eSectionHeading6Numberless"/>
      </w:pPr>
      <w:bookmarkStart w:id="422" w:name="_Toc220490143"/>
      <w:r>
        <w:t>41.81.2h Fenêtres et portes-fenêtres en aluminium - rénovation - amélioration de l'étanchéité</w:t>
      </w:r>
      <w:bookmarkEnd w:id="422"/>
    </w:p>
    <w:p w14:paraId="0CE25D46" w14:textId="77777777" w:rsidR="00772179" w:rsidRDefault="00000000">
      <w:pPr>
        <w:pStyle w:val="Author-eSectionHeading6Numberless"/>
      </w:pPr>
      <w:bookmarkStart w:id="423" w:name="_Toc220490144"/>
      <w:r>
        <w:t>41.81.2i Fenêtres et portes-fenêtres en aluminium - rénovation - survitrages</w:t>
      </w:r>
      <w:bookmarkEnd w:id="423"/>
    </w:p>
    <w:p w14:paraId="6320FB2D" w14:textId="77777777" w:rsidR="00772179" w:rsidRDefault="00000000">
      <w:pPr>
        <w:pStyle w:val="Author-eSectionHeading5Numberless"/>
      </w:pPr>
      <w:bookmarkStart w:id="424" w:name="_Toc220490145"/>
      <w:r>
        <w:t>41.81.3 Fenêtres et portes-fenêtres en acier - rénovation</w:t>
      </w:r>
      <w:bookmarkEnd w:id="424"/>
    </w:p>
    <w:p w14:paraId="0350E8C2" w14:textId="77777777" w:rsidR="00772179" w:rsidRDefault="00000000">
      <w:pPr>
        <w:pStyle w:val="Author-eSectionHeading6Numberless"/>
      </w:pPr>
      <w:bookmarkStart w:id="425" w:name="_Toc220490146"/>
      <w:r>
        <w:t>41.81.3a Fenêtres et portes-fenêtres en acier - rénovation - remplacement de profilés métalliques</w:t>
      </w:r>
      <w:bookmarkEnd w:id="425"/>
    </w:p>
    <w:p w14:paraId="51FE142C" w14:textId="77777777" w:rsidR="00772179" w:rsidRDefault="00000000">
      <w:pPr>
        <w:pStyle w:val="Author-eSectionHeading6Numberless"/>
      </w:pPr>
      <w:bookmarkStart w:id="426" w:name="_Toc220490147"/>
      <w:r>
        <w:t>41.81.3b Fenêtres et portes-fenêtres en acier - rénovation - réparation de profilés métalliques</w:t>
      </w:r>
      <w:bookmarkEnd w:id="426"/>
    </w:p>
    <w:p w14:paraId="1B58B095" w14:textId="77777777" w:rsidR="00772179" w:rsidRDefault="00000000">
      <w:pPr>
        <w:pStyle w:val="Author-eSectionHeading6Numberless"/>
      </w:pPr>
      <w:bookmarkStart w:id="427" w:name="_Toc220490148"/>
      <w:r>
        <w:t>41.81.3c Fenêtres et portes-fenêtres en acier - rénovation - révision des quincailleries</w:t>
      </w:r>
      <w:bookmarkEnd w:id="427"/>
    </w:p>
    <w:p w14:paraId="347B1162" w14:textId="77777777" w:rsidR="00772179" w:rsidRDefault="00000000">
      <w:pPr>
        <w:pStyle w:val="Author-eSectionHeading6Numberless"/>
      </w:pPr>
      <w:bookmarkStart w:id="428" w:name="_Toc220490149"/>
      <w:r>
        <w:t>41.81.3d Fenêtres et portes-fenêtres en acier - rénovation - restitution des quincailleries à l'identique</w:t>
      </w:r>
      <w:bookmarkEnd w:id="428"/>
    </w:p>
    <w:p w14:paraId="70569A7D" w14:textId="77777777" w:rsidR="00772179" w:rsidRDefault="00000000">
      <w:pPr>
        <w:pStyle w:val="Author-eSectionHeading6Numberless"/>
      </w:pPr>
      <w:bookmarkStart w:id="429" w:name="_Toc220490150"/>
      <w:r>
        <w:t>41.81.3e Fenêtres et portes-fenêtres en acier - rénovation - masticage</w:t>
      </w:r>
      <w:bookmarkEnd w:id="429"/>
    </w:p>
    <w:p w14:paraId="4571AEF6" w14:textId="77777777" w:rsidR="00772179" w:rsidRDefault="00000000">
      <w:pPr>
        <w:pStyle w:val="Author-eSectionHeading6Numberless"/>
      </w:pPr>
      <w:bookmarkStart w:id="430" w:name="_Toc220490151"/>
      <w:r>
        <w:t>41.81.3f Fenêtres et portes-fenêtres en acier - rénovation - traitements des profilés</w:t>
      </w:r>
      <w:bookmarkEnd w:id="430"/>
    </w:p>
    <w:p w14:paraId="3551EF74" w14:textId="77777777" w:rsidR="00772179" w:rsidRDefault="00000000">
      <w:pPr>
        <w:pStyle w:val="Author-eSectionHeading6Numberless"/>
      </w:pPr>
      <w:bookmarkStart w:id="431" w:name="_Toc220490152"/>
      <w:r>
        <w:t>41.81.3g Fenêtres et portes-fenêtres en acier - rénovation - déposes et reposes des tablettes intérieures CCTB 01.07</w:t>
      </w:r>
      <w:bookmarkEnd w:id="431"/>
    </w:p>
    <w:p w14:paraId="235C180C" w14:textId="77777777" w:rsidR="00772179" w:rsidRDefault="00000000">
      <w:pPr>
        <w:pStyle w:val="pheading"/>
      </w:pPr>
      <w:r>
        <w:t>DESCRIPTION</w:t>
      </w:r>
    </w:p>
    <w:p w14:paraId="1F135536" w14:textId="77777777" w:rsidR="00772179" w:rsidRDefault="00000000">
      <w:pPr>
        <w:pStyle w:val="pheading"/>
      </w:pPr>
      <w:r>
        <w:t>- Définition / Comprend</w:t>
      </w:r>
    </w:p>
    <w:p w14:paraId="43B8ABB8" w14:textId="77777777" w:rsidR="00772179" w:rsidRDefault="00000000">
      <w:r>
        <w:t>Renvoi au 5 T5 Fermetures / Finitions intérieures</w:t>
      </w:r>
    </w:p>
    <w:p w14:paraId="1EA0870A" w14:textId="77777777" w:rsidR="00772179" w:rsidRDefault="00000000">
      <w:pPr>
        <w:pStyle w:val="Author-eSectionHeading6Numberless"/>
      </w:pPr>
      <w:bookmarkStart w:id="432" w:name="_Toc220490153"/>
      <w:r>
        <w:t>41.81.3h Fenêtres et portes-fenêtres en acier - rénovation - amélioration de l'étanchéité</w:t>
      </w:r>
      <w:bookmarkEnd w:id="432"/>
    </w:p>
    <w:p w14:paraId="0F695244" w14:textId="77777777" w:rsidR="00772179" w:rsidRDefault="00000000">
      <w:pPr>
        <w:pStyle w:val="Author-eSectionHeading6Numberless"/>
      </w:pPr>
      <w:bookmarkStart w:id="433" w:name="_Toc220490154"/>
      <w:r>
        <w:t>41.81.3i Fenêtres et portes-fenêtres en acier - rénovation - survitrages</w:t>
      </w:r>
      <w:bookmarkEnd w:id="433"/>
    </w:p>
    <w:p w14:paraId="5685C70E" w14:textId="77777777" w:rsidR="00772179" w:rsidRDefault="00000000">
      <w:pPr>
        <w:pStyle w:val="Author-eSectionHeading5Numberless"/>
      </w:pPr>
      <w:bookmarkStart w:id="434" w:name="_Toc220490155"/>
      <w:r>
        <w:t>41.81.4 Fenêtres et portes-fenêtres en PVC - rénovation</w:t>
      </w:r>
      <w:bookmarkEnd w:id="434"/>
    </w:p>
    <w:p w14:paraId="65324172" w14:textId="77777777" w:rsidR="00772179" w:rsidRDefault="00000000">
      <w:pPr>
        <w:pStyle w:val="Author-eSectionHeading6Numberless"/>
      </w:pPr>
      <w:bookmarkStart w:id="435" w:name="_Toc220490156"/>
      <w:r>
        <w:t>41.81.4a Fenêtres et portes-fenêtres en PVC - rénovation</w:t>
      </w:r>
      <w:bookmarkEnd w:id="435"/>
    </w:p>
    <w:p w14:paraId="540598B1" w14:textId="77777777" w:rsidR="00772179" w:rsidRDefault="00000000">
      <w:pPr>
        <w:pStyle w:val="Author-eSectionHeading4Numberless"/>
      </w:pPr>
      <w:bookmarkStart w:id="436" w:name="_Toc220490157"/>
      <w:r>
        <w:t>41.82 Portes d'entrée - rénovation CCTB 01.12</w:t>
      </w:r>
      <w:bookmarkEnd w:id="436"/>
    </w:p>
    <w:p w14:paraId="75BF95D0" w14:textId="77777777" w:rsidR="00772179" w:rsidRDefault="00000000">
      <w:pPr>
        <w:pStyle w:val="pheading"/>
      </w:pPr>
      <w:bookmarkStart w:id="437" w:name="974"/>
      <w:bookmarkEnd w:id="437"/>
      <w:r>
        <w:t>DESCRIPTION</w:t>
      </w:r>
    </w:p>
    <w:p w14:paraId="51E352C2" w14:textId="77777777" w:rsidR="00772179" w:rsidRDefault="00000000">
      <w:pPr>
        <w:pStyle w:val="pheading"/>
      </w:pPr>
      <w:r>
        <w:t>- Définition / Comprend</w:t>
      </w:r>
    </w:p>
    <w:p w14:paraId="18EAC29B" w14:textId="77777777" w:rsidR="00772179" w:rsidRDefault="00000000">
      <w:pPr>
        <w:jc w:val="both"/>
      </w:pPr>
      <w:r>
        <w:t>Le travail comprend notamment :</w:t>
      </w:r>
    </w:p>
    <w:p w14:paraId="01387DE4" w14:textId="77777777" w:rsidR="00772179" w:rsidRDefault="00000000">
      <w:pPr>
        <w:pStyle w:val="Author-eListParagraph"/>
        <w:numPr>
          <w:ilvl w:val="0"/>
          <w:numId w:val="779"/>
        </w:numPr>
        <w:jc w:val="both"/>
      </w:pPr>
      <w:r>
        <w:t>Les mesures de sécurité ;</w:t>
      </w:r>
    </w:p>
    <w:p w14:paraId="6F42558A" w14:textId="77777777" w:rsidR="00772179" w:rsidRDefault="00000000">
      <w:pPr>
        <w:pStyle w:val="Author-eListParagraph"/>
        <w:numPr>
          <w:ilvl w:val="0"/>
          <w:numId w:val="779"/>
        </w:numPr>
        <w:jc w:val="both"/>
      </w:pPr>
      <w:r>
        <w:t>Les mesures provisoires, en attente p. ex. du remplacement éventuel de certains éléments ;</w:t>
      </w:r>
    </w:p>
    <w:p w14:paraId="5ED8746F" w14:textId="77777777" w:rsidR="00772179" w:rsidRDefault="00000000">
      <w:pPr>
        <w:pStyle w:val="Author-eListParagraph"/>
        <w:numPr>
          <w:ilvl w:val="0"/>
          <w:numId w:val="779"/>
        </w:numPr>
        <w:jc w:val="both"/>
      </w:pPr>
      <w:r>
        <w:t>L’inspection des différents éléments de quincaillerie ;</w:t>
      </w:r>
    </w:p>
    <w:p w14:paraId="30F7C1E2" w14:textId="77777777" w:rsidR="00772179" w:rsidRDefault="00000000">
      <w:pPr>
        <w:pStyle w:val="Author-eListParagraph"/>
        <w:numPr>
          <w:ilvl w:val="0"/>
          <w:numId w:val="779"/>
        </w:numPr>
        <w:jc w:val="both"/>
      </w:pPr>
      <w:r>
        <w:t xml:space="preserve">La rédaction d’un rapport d’intervention : </w:t>
      </w:r>
      <w:r>
        <w:rPr>
          <w:rStyle w:val="optioncarChar"/>
        </w:rPr>
        <w:t>non</w:t>
      </w:r>
      <w:r>
        <w:t xml:space="preserve"> (par défaut)</w:t>
      </w:r>
      <w:r>
        <w:rPr>
          <w:rStyle w:val="optioncarChar"/>
        </w:rPr>
        <w:t xml:space="preserve"> / oui selon les modalités décrites aux articles suivants</w:t>
      </w:r>
      <w:r>
        <w:t> ;</w:t>
      </w:r>
    </w:p>
    <w:p w14:paraId="2BD5C2BC" w14:textId="77777777" w:rsidR="00772179" w:rsidRDefault="00000000">
      <w:pPr>
        <w:pStyle w:val="Author-eListParagraph"/>
        <w:numPr>
          <w:ilvl w:val="0"/>
          <w:numId w:val="779"/>
        </w:numPr>
        <w:jc w:val="both"/>
      </w:pPr>
      <w:r>
        <w:t>Le nettoyage, le contrôle et le réglage de ces éléments ;</w:t>
      </w:r>
    </w:p>
    <w:p w14:paraId="429C72A6" w14:textId="77777777" w:rsidR="00772179" w:rsidRDefault="00000000">
      <w:pPr>
        <w:pStyle w:val="Author-eListParagraph"/>
        <w:numPr>
          <w:ilvl w:val="0"/>
          <w:numId w:val="779"/>
        </w:numPr>
        <w:jc w:val="both"/>
      </w:pPr>
      <w:r>
        <w:lastRenderedPageBreak/>
        <w:t>Le démontage, la réparation et le remontage des éléments nécessaires ;</w:t>
      </w:r>
    </w:p>
    <w:p w14:paraId="06E727AB" w14:textId="77777777" w:rsidR="00772179" w:rsidRDefault="00000000">
      <w:pPr>
        <w:pStyle w:val="Author-eListParagraph"/>
        <w:numPr>
          <w:ilvl w:val="0"/>
          <w:numId w:val="779"/>
        </w:numPr>
        <w:jc w:val="both"/>
      </w:pPr>
      <w:r>
        <w:t>La collecte, le tri et l’évacuation des déchets ;</w:t>
      </w:r>
    </w:p>
    <w:p w14:paraId="6CE98B08" w14:textId="77777777" w:rsidR="00772179" w:rsidRDefault="00000000">
      <w:pPr>
        <w:pStyle w:val="Author-eListParagraph"/>
        <w:numPr>
          <w:ilvl w:val="0"/>
          <w:numId w:val="779"/>
        </w:numPr>
        <w:jc w:val="both"/>
      </w:pPr>
      <w:r>
        <w:t>En fin de chantier, le nettoyage des lieux.</w:t>
      </w:r>
    </w:p>
    <w:p w14:paraId="5687AFC9" w14:textId="77777777" w:rsidR="00772179" w:rsidRDefault="00000000">
      <w:pPr>
        <w:jc w:val="both"/>
      </w:pPr>
      <w:r>
        <w:t>L’entrepreneur traite, trie si nécessaire et évacue, en dehors du chantier, les déchets issus des travaux conformément au 07 Déchets, matériaux et éléments réemployables et suivants.</w:t>
      </w:r>
    </w:p>
    <w:p w14:paraId="2E6F91DB" w14:textId="77777777" w:rsidR="00772179" w:rsidRDefault="00000000">
      <w:pPr>
        <w:jc w:val="both"/>
      </w:pPr>
      <w:r>
        <w:t>Le cas échéant, l’ensemble est réalisé selon la documentation technique qui accompagne les différents éléments.</w:t>
      </w:r>
    </w:p>
    <w:p w14:paraId="093B3E40" w14:textId="77777777" w:rsidR="00772179" w:rsidRDefault="00000000">
      <w:pPr>
        <w:pStyle w:val="pheading"/>
      </w:pPr>
      <w:r>
        <w:t>EXÉCUTION / MISE EN ŒUVRE</w:t>
      </w:r>
    </w:p>
    <w:p w14:paraId="40CFDFDD" w14:textId="77777777" w:rsidR="00772179" w:rsidRDefault="00000000">
      <w:pPr>
        <w:jc w:val="both"/>
      </w:pPr>
      <w:r>
        <w:t>Les différentes prestations sont réalisées par du personnel qualifié.</w:t>
      </w:r>
    </w:p>
    <w:p w14:paraId="01CBE71F" w14:textId="77777777" w:rsidR="00772179" w:rsidRDefault="00000000">
      <w:pPr>
        <w:jc w:val="both"/>
      </w:pPr>
      <w:r>
        <w:t>Si le vantail est déposé ou ne peut plus être fermé provisoirement, l’entrepreneur prend, en concertation préalable avec la direction des travaux, toutes les mesures nécessaires pour mettre en place une solution alternative afin d’assurer la fermeture du bâtiment, en tenant compte des circonstances du chantier.</w:t>
      </w:r>
    </w:p>
    <w:p w14:paraId="066E4ED5" w14:textId="77777777" w:rsidR="00772179" w:rsidRDefault="00000000">
      <w:pPr>
        <w:pStyle w:val="Author-eSectionHeading5Numberless"/>
      </w:pPr>
      <w:bookmarkStart w:id="438" w:name="_Toc220490158"/>
      <w:r>
        <w:t>41.82.1 Portes d'entrée en bois - rénovation CCTB 01.11</w:t>
      </w:r>
      <w:bookmarkEnd w:id="438"/>
    </w:p>
    <w:p w14:paraId="50D2E832" w14:textId="77777777" w:rsidR="00772179" w:rsidRDefault="00000000">
      <w:pPr>
        <w:pStyle w:val="pheading"/>
      </w:pPr>
      <w:r>
        <w:t>DOCUMENTS DE RÉFÉRENCE</w:t>
      </w:r>
    </w:p>
    <w:p w14:paraId="46229414" w14:textId="77777777" w:rsidR="00772179" w:rsidRDefault="00000000">
      <w:pPr>
        <w:pStyle w:val="pheading"/>
      </w:pPr>
      <w:r>
        <w:t>- Matériau</w:t>
      </w:r>
    </w:p>
    <w:p w14:paraId="3797B096" w14:textId="77777777" w:rsidR="00772179" w:rsidRDefault="00000000">
      <w:r>
        <w:t>[NIT 286, La pose des menuiseries extérieures Partie 2 : Mise en oeuvre de châssis en bois dans des murs creux]</w:t>
      </w:r>
    </w:p>
    <w:p w14:paraId="515E44DB" w14:textId="77777777" w:rsidR="00772179" w:rsidRDefault="00000000">
      <w:pPr>
        <w:pStyle w:val="pheading"/>
      </w:pPr>
      <w:r>
        <w:t>- Exécution</w:t>
      </w:r>
    </w:p>
    <w:p w14:paraId="288461A6" w14:textId="77777777" w:rsidR="00772179" w:rsidRDefault="00000000">
      <w:r>
        <w:t>[NIT 286, La pose des menuiseries extérieures Partie 2 : Mise en oeuvre de châssis en bois dans des murs creux]</w:t>
      </w:r>
    </w:p>
    <w:p w14:paraId="79A2D9D8" w14:textId="77777777" w:rsidR="00772179" w:rsidRDefault="00000000">
      <w:pPr>
        <w:pStyle w:val="Author-eSectionHeading6Numberless"/>
      </w:pPr>
      <w:bookmarkStart w:id="439" w:name="_Toc220490159"/>
      <w:r>
        <w:t>41.82.1a Portes d'entrée en bois - rénovation - greffes de bois</w:t>
      </w:r>
      <w:bookmarkEnd w:id="439"/>
    </w:p>
    <w:p w14:paraId="778C2AAD" w14:textId="77777777" w:rsidR="00772179" w:rsidRDefault="00000000">
      <w:pPr>
        <w:pStyle w:val="Author-eSectionHeading6Numberless"/>
      </w:pPr>
      <w:bookmarkStart w:id="440" w:name="_Toc220490160"/>
      <w:r>
        <w:t>41.82.1b Portes d'entrée en bois - rénovation - réparation résine</w:t>
      </w:r>
      <w:bookmarkEnd w:id="440"/>
    </w:p>
    <w:p w14:paraId="574E2EC0" w14:textId="77777777" w:rsidR="00772179" w:rsidRDefault="00000000">
      <w:pPr>
        <w:pStyle w:val="Author-eSectionHeading6Numberless"/>
      </w:pPr>
      <w:bookmarkStart w:id="441" w:name="_Toc220490161"/>
      <w:r>
        <w:t>41.82.1c Portes d'entrée en bois - rénovation - révision des quincailleries</w:t>
      </w:r>
      <w:bookmarkEnd w:id="441"/>
    </w:p>
    <w:p w14:paraId="6D6457FC" w14:textId="77777777" w:rsidR="00772179" w:rsidRDefault="00000000">
      <w:pPr>
        <w:pStyle w:val="Author-eSectionHeading6Numberless"/>
      </w:pPr>
      <w:bookmarkStart w:id="442" w:name="_Toc220490162"/>
      <w:r>
        <w:t>41.82.1d Portes d'entrée en bois - rénovation - restitution des quincailleries à l'identique</w:t>
      </w:r>
      <w:bookmarkEnd w:id="442"/>
    </w:p>
    <w:p w14:paraId="3D904F64" w14:textId="77777777" w:rsidR="00772179" w:rsidRDefault="00000000">
      <w:pPr>
        <w:pStyle w:val="Author-eSectionHeading6Numberless"/>
      </w:pPr>
      <w:bookmarkStart w:id="443" w:name="_Toc220490163"/>
      <w:r>
        <w:t>41.82.1e Portes d'entrée en bois - rénovation - masticage</w:t>
      </w:r>
      <w:bookmarkEnd w:id="443"/>
    </w:p>
    <w:p w14:paraId="64427815" w14:textId="77777777" w:rsidR="00772179" w:rsidRDefault="00000000">
      <w:pPr>
        <w:pStyle w:val="Author-eSectionHeading6Numberless"/>
      </w:pPr>
      <w:bookmarkStart w:id="444" w:name="_Toc220490164"/>
      <w:r>
        <w:t>41.82.1f Portes d'entrée en bois - rénovation - traitements de préservation du bois</w:t>
      </w:r>
      <w:bookmarkEnd w:id="444"/>
    </w:p>
    <w:p w14:paraId="6505A5C7" w14:textId="77777777" w:rsidR="00772179" w:rsidRDefault="00000000">
      <w:pPr>
        <w:pStyle w:val="Author-eSectionHeading6Numberless"/>
      </w:pPr>
      <w:bookmarkStart w:id="445" w:name="_Toc220490165"/>
      <w:r>
        <w:t>41.82.1g Portes d'entrée en bois - rénovation - déposes et reposes des tablettes intérieures CCTB 01.07</w:t>
      </w:r>
      <w:bookmarkEnd w:id="445"/>
    </w:p>
    <w:p w14:paraId="24B5AF91" w14:textId="77777777" w:rsidR="00772179" w:rsidRDefault="00000000">
      <w:pPr>
        <w:pStyle w:val="pheading"/>
      </w:pPr>
      <w:r>
        <w:t>DESCRIPTION</w:t>
      </w:r>
    </w:p>
    <w:p w14:paraId="691D1335" w14:textId="77777777" w:rsidR="00772179" w:rsidRDefault="00000000">
      <w:pPr>
        <w:pStyle w:val="pheading"/>
      </w:pPr>
      <w:r>
        <w:t>- Définition / Comprend</w:t>
      </w:r>
    </w:p>
    <w:p w14:paraId="1B76C7AD" w14:textId="77777777" w:rsidR="00772179" w:rsidRDefault="00000000">
      <w:r>
        <w:t>Renvoi au 5 T5 Fermetures / Finitions intérieures</w:t>
      </w:r>
    </w:p>
    <w:p w14:paraId="36D6EF25" w14:textId="77777777" w:rsidR="00772179" w:rsidRDefault="00000000">
      <w:pPr>
        <w:pStyle w:val="Author-eSectionHeading6Numberless"/>
      </w:pPr>
      <w:bookmarkStart w:id="446" w:name="_Toc220490166"/>
      <w:r>
        <w:t>41.82.1h Portes d'entrée en bois - rénovation - amélioration de l'étanchéité / embrèvement du joint</w:t>
      </w:r>
      <w:bookmarkEnd w:id="446"/>
    </w:p>
    <w:p w14:paraId="6EA13A3A" w14:textId="77777777" w:rsidR="00772179" w:rsidRDefault="00000000">
      <w:pPr>
        <w:pStyle w:val="Author-eSectionHeading5Numberless"/>
      </w:pPr>
      <w:bookmarkStart w:id="447" w:name="_Toc220490167"/>
      <w:r>
        <w:t>41.82.2 Portes d'entrée en aluminium - rénovation</w:t>
      </w:r>
      <w:bookmarkEnd w:id="447"/>
    </w:p>
    <w:p w14:paraId="3A43B077" w14:textId="77777777" w:rsidR="00772179" w:rsidRDefault="00000000">
      <w:pPr>
        <w:pStyle w:val="Author-eSectionHeading6Numberless"/>
      </w:pPr>
      <w:bookmarkStart w:id="448" w:name="_Toc220490168"/>
      <w:r>
        <w:t>41.82.2a Portes d'entrée en aluminium - rénovation - remplacement de profilés en aluminium</w:t>
      </w:r>
      <w:bookmarkEnd w:id="448"/>
    </w:p>
    <w:p w14:paraId="51D5A690" w14:textId="77777777" w:rsidR="00772179" w:rsidRDefault="00000000">
      <w:pPr>
        <w:pStyle w:val="Author-eSectionHeading6Numberless"/>
      </w:pPr>
      <w:bookmarkStart w:id="449" w:name="_Toc220490169"/>
      <w:r>
        <w:t>41.82.2b Portes d'entrée en aluminium - rénovation - réparation de profilés en aluminium</w:t>
      </w:r>
      <w:bookmarkEnd w:id="449"/>
    </w:p>
    <w:p w14:paraId="0C63BA48" w14:textId="77777777" w:rsidR="00772179" w:rsidRDefault="00000000">
      <w:pPr>
        <w:pStyle w:val="Author-eSectionHeading6Numberless"/>
      </w:pPr>
      <w:bookmarkStart w:id="450" w:name="_Toc220490170"/>
      <w:r>
        <w:lastRenderedPageBreak/>
        <w:t>41.82.2c Portes d'entrée en aluminium - rénovation - révision des quincailleries CCTB 01.12</w:t>
      </w:r>
      <w:bookmarkEnd w:id="450"/>
    </w:p>
    <w:p w14:paraId="68EE1912" w14:textId="77777777" w:rsidR="00772179" w:rsidRDefault="00000000">
      <w:pPr>
        <w:pStyle w:val="pheading"/>
      </w:pPr>
      <w:r>
        <w:t>DESCRIPTION</w:t>
      </w:r>
    </w:p>
    <w:p w14:paraId="1144BB3B" w14:textId="77777777" w:rsidR="00772179" w:rsidRDefault="00000000">
      <w:pPr>
        <w:pStyle w:val="pheading"/>
      </w:pPr>
      <w:r>
        <w:t>- Définition / Comprend</w:t>
      </w:r>
    </w:p>
    <w:p w14:paraId="14CF8B4C" w14:textId="77777777" w:rsidR="00772179" w:rsidRDefault="00000000">
      <w:pPr>
        <w:jc w:val="both"/>
      </w:pPr>
      <w:r>
        <w:t>Il s’agit de la révision des différents éléments de quincaillerie de portes d’entrée existantes en aluminium.</w:t>
      </w:r>
    </w:p>
    <w:p w14:paraId="791F934F" w14:textId="77777777" w:rsidR="00772179" w:rsidRDefault="00000000">
      <w:pPr>
        <w:jc w:val="both"/>
      </w:pPr>
      <w:r>
        <w:t>Le travail porte plus particulièrement sur les éléments suivants :</w:t>
      </w:r>
    </w:p>
    <w:p w14:paraId="4B634073" w14:textId="77777777" w:rsidR="00772179" w:rsidRDefault="00000000">
      <w:pPr>
        <w:pStyle w:val="Author-eListParagraph"/>
        <w:numPr>
          <w:ilvl w:val="0"/>
          <w:numId w:val="780"/>
        </w:numPr>
      </w:pPr>
      <w:r>
        <w:t xml:space="preserve">Charnières – paumelles : </w:t>
      </w:r>
      <w:r>
        <w:rPr>
          <w:rStyle w:val="optioncarChar"/>
        </w:rPr>
        <w:t xml:space="preserve">oui </w:t>
      </w:r>
      <w:r>
        <w:t>(par défaut)</w:t>
      </w:r>
      <w:r>
        <w:rPr>
          <w:rStyle w:val="optioncarChar"/>
        </w:rPr>
        <w:t xml:space="preserve"> / non</w:t>
      </w:r>
    </w:p>
    <w:p w14:paraId="39AC5445" w14:textId="77777777" w:rsidR="00772179" w:rsidRDefault="00000000">
      <w:pPr>
        <w:pStyle w:val="Author-eListParagraph"/>
        <w:numPr>
          <w:ilvl w:val="0"/>
          <w:numId w:val="780"/>
        </w:numPr>
      </w:pPr>
      <w:r>
        <w:t xml:space="preserve">Serrures : </w:t>
      </w:r>
      <w:r>
        <w:rPr>
          <w:rStyle w:val="optioncarChar"/>
        </w:rPr>
        <w:t xml:space="preserve">oui </w:t>
      </w:r>
      <w:r>
        <w:t>(par défaut)</w:t>
      </w:r>
      <w:r>
        <w:rPr>
          <w:rStyle w:val="optioncarChar"/>
        </w:rPr>
        <w:t xml:space="preserve"> / non</w:t>
      </w:r>
    </w:p>
    <w:p w14:paraId="2329A266" w14:textId="77777777" w:rsidR="00772179" w:rsidRDefault="00000000">
      <w:pPr>
        <w:pStyle w:val="Author-eListParagraph"/>
        <w:numPr>
          <w:ilvl w:val="0"/>
          <w:numId w:val="780"/>
        </w:numPr>
      </w:pPr>
      <w:r>
        <w:t xml:space="preserve">Poignées – tirants : </w:t>
      </w:r>
      <w:r>
        <w:rPr>
          <w:rStyle w:val="optioncarChar"/>
        </w:rPr>
        <w:t xml:space="preserve">oui </w:t>
      </w:r>
      <w:r>
        <w:t>(par défaut)</w:t>
      </w:r>
      <w:r>
        <w:rPr>
          <w:rStyle w:val="optioncarChar"/>
        </w:rPr>
        <w:t xml:space="preserve"> / non</w:t>
      </w:r>
    </w:p>
    <w:p w14:paraId="0F47F9E6" w14:textId="77777777" w:rsidR="00772179" w:rsidRDefault="00000000">
      <w:pPr>
        <w:pStyle w:val="Author-eListParagraph"/>
        <w:numPr>
          <w:ilvl w:val="0"/>
          <w:numId w:val="780"/>
        </w:numPr>
      </w:pPr>
      <w:r>
        <w:t xml:space="preserve">Guillotine, brosse, seuil : </w:t>
      </w:r>
      <w:r>
        <w:rPr>
          <w:rStyle w:val="optioncarChar"/>
        </w:rPr>
        <w:t xml:space="preserve">oui </w:t>
      </w:r>
      <w:r>
        <w:t xml:space="preserve">(par défaut) </w:t>
      </w:r>
      <w:r>
        <w:rPr>
          <w:rStyle w:val="optioncarChar"/>
        </w:rPr>
        <w:t>/ non</w:t>
      </w:r>
    </w:p>
    <w:p w14:paraId="574AB409" w14:textId="77777777" w:rsidR="00772179" w:rsidRDefault="00000000">
      <w:pPr>
        <w:pStyle w:val="Author-eListParagraph"/>
        <w:numPr>
          <w:ilvl w:val="0"/>
          <w:numId w:val="780"/>
        </w:numPr>
      </w:pPr>
      <w:r>
        <w:t xml:space="preserve">Gâche électrique - système d’ouverture électronique : </w:t>
      </w:r>
      <w:r>
        <w:rPr>
          <w:rStyle w:val="optioncarChar"/>
        </w:rPr>
        <w:t xml:space="preserve">oui </w:t>
      </w:r>
      <w:r>
        <w:t>(par défaut)</w:t>
      </w:r>
      <w:r>
        <w:rPr>
          <w:rStyle w:val="optioncarChar"/>
        </w:rPr>
        <w:t xml:space="preserve"> / non</w:t>
      </w:r>
    </w:p>
    <w:p w14:paraId="67E9A20C" w14:textId="77777777" w:rsidR="00772179" w:rsidRDefault="00000000">
      <w:pPr>
        <w:pStyle w:val="Author-eListParagraph"/>
        <w:numPr>
          <w:ilvl w:val="0"/>
          <w:numId w:val="780"/>
        </w:numPr>
      </w:pPr>
      <w:r>
        <w:t xml:space="preserve">Barre antipanique : </w:t>
      </w:r>
      <w:r>
        <w:rPr>
          <w:rStyle w:val="optioncarChar"/>
        </w:rPr>
        <w:t xml:space="preserve">oui </w:t>
      </w:r>
      <w:r>
        <w:t>(par défaut)</w:t>
      </w:r>
      <w:r>
        <w:rPr>
          <w:rStyle w:val="optioncarChar"/>
        </w:rPr>
        <w:t xml:space="preserve"> / non</w:t>
      </w:r>
    </w:p>
    <w:p w14:paraId="08FA8BF7" w14:textId="77777777" w:rsidR="00772179" w:rsidRDefault="00000000">
      <w:pPr>
        <w:pStyle w:val="Author-eListParagraph"/>
        <w:numPr>
          <w:ilvl w:val="0"/>
          <w:numId w:val="780"/>
        </w:numPr>
      </w:pPr>
      <w:r>
        <w:t xml:space="preserve">Ferme porte : </w:t>
      </w:r>
      <w:r>
        <w:rPr>
          <w:rStyle w:val="optioncarChar"/>
        </w:rPr>
        <w:t xml:space="preserve">oui </w:t>
      </w:r>
      <w:r>
        <w:t>(par défaut)</w:t>
      </w:r>
      <w:r>
        <w:rPr>
          <w:rStyle w:val="optioncarChar"/>
        </w:rPr>
        <w:t xml:space="preserve"> / non</w:t>
      </w:r>
    </w:p>
    <w:p w14:paraId="0ED841E6" w14:textId="77777777" w:rsidR="00772179" w:rsidRDefault="00000000">
      <w:pPr>
        <w:pStyle w:val="Author-eListParagraph"/>
        <w:numPr>
          <w:ilvl w:val="0"/>
          <w:numId w:val="780"/>
        </w:numPr>
      </w:pPr>
      <w:r>
        <w:t>...</w:t>
      </w:r>
    </w:p>
    <w:p w14:paraId="1964CCC1" w14:textId="77777777" w:rsidR="00772179" w:rsidRDefault="00000000">
      <w:pPr>
        <w:jc w:val="both"/>
      </w:pPr>
      <w:r>
        <w:t>Si en cours de travail, le remplacement de certains éléments s’avère nécessaire, l’entrepreneur en informe directement la direction des travaux. Les mesures nécessaires sont déterminées en concertation préalable avec celle-ci.</w:t>
      </w:r>
    </w:p>
    <w:p w14:paraId="4B0FC46E" w14:textId="77777777" w:rsidR="00772179" w:rsidRDefault="00000000">
      <w:pPr>
        <w:jc w:val="both"/>
      </w:pPr>
      <w:r>
        <w:t xml:space="preserve"> Un devis séparé est soumis à la direction des travaux uniquement si l’état général de l’élément en question le justifie et si les caractéristiques inappropriées de celui-ci ne pouvaient pas être connues avant la remise de l’offre. L’approbation préalable de ce devis par la direction des travaux est indispensable à une adaptation de l’offre.</w:t>
      </w:r>
    </w:p>
    <w:p w14:paraId="36EF9245" w14:textId="77777777" w:rsidR="00772179" w:rsidRDefault="00000000">
      <w:pPr>
        <w:jc w:val="both"/>
      </w:pPr>
      <w:r>
        <w:t xml:space="preserve">La fourniture et la pose éventuelles de nouveaux éléments sont décrites et comptées aux </w:t>
      </w:r>
      <w:hyperlink w:anchor="884" w:history="1">
        <w:r>
          <w:rPr>
            <w:color w:val="0000EE"/>
          </w:rPr>
          <w:t>41.72 Quincailleries</w:t>
        </w:r>
      </w:hyperlink>
      <w:r>
        <w:t xml:space="preserve"> et suivants.</w:t>
      </w:r>
    </w:p>
    <w:p w14:paraId="1FCB2088" w14:textId="77777777" w:rsidR="00772179" w:rsidRDefault="00000000">
      <w:pPr>
        <w:jc w:val="both"/>
      </w:pPr>
      <w:r>
        <w:t xml:space="preserve">Les opérations de rénovation de la porte d’entrée proprement dite (châssis, vantail, joints, dispositifs de drainage, …) sont plus particulièrement décrites et comptées aux </w:t>
      </w:r>
      <w:hyperlink w:anchor="974" w:history="1">
        <w:r>
          <w:rPr>
            <w:color w:val="0000EE"/>
          </w:rPr>
          <w:t>41.82 Portes d'entrée - rénovation</w:t>
        </w:r>
      </w:hyperlink>
      <w:r>
        <w:t xml:space="preserve"> et suivants.</w:t>
      </w:r>
    </w:p>
    <w:p w14:paraId="4EABD57A" w14:textId="77777777" w:rsidR="00772179" w:rsidRDefault="00000000">
      <w:pPr>
        <w:pStyle w:val="pheading"/>
      </w:pPr>
      <w:r>
        <w:t>MATÉRIAUX</w:t>
      </w:r>
    </w:p>
    <w:p w14:paraId="31297B85" w14:textId="77777777" w:rsidR="00772179" w:rsidRDefault="00000000">
      <w:pPr>
        <w:pStyle w:val="pheading"/>
      </w:pPr>
      <w:r>
        <w:t>- Caractéristiques générales</w:t>
      </w:r>
    </w:p>
    <w:p w14:paraId="1F745AC3" w14:textId="77777777" w:rsidR="00772179" w:rsidRDefault="00000000">
      <w:pPr>
        <w:jc w:val="both"/>
      </w:pPr>
      <w:r>
        <w:t>Le travail consiste à réviser les quincailleries existantes sans remplacer celles-ci.</w:t>
      </w:r>
    </w:p>
    <w:p w14:paraId="4DCA9C38" w14:textId="77777777" w:rsidR="00772179" w:rsidRDefault="00000000">
      <w:pPr>
        <w:jc w:val="both"/>
      </w:pPr>
      <w:r>
        <w:t xml:space="preserve"> S’il s’avère néanmoins nécessaire de remplacer certains éléments, ceux-ci sont parfaitement similaires et compatibles avec les composants existants.</w:t>
      </w:r>
    </w:p>
    <w:p w14:paraId="70D7DEB7" w14:textId="77777777" w:rsidR="00772179" w:rsidRDefault="00000000">
      <w:pPr>
        <w:pStyle w:val="pheading"/>
      </w:pPr>
      <w:r>
        <w:t>EXÉCUTION / MISE EN ŒUVRE</w:t>
      </w:r>
    </w:p>
    <w:p w14:paraId="24881289" w14:textId="77777777" w:rsidR="00772179" w:rsidRDefault="00000000">
      <w:pPr>
        <w:pStyle w:val="pheading"/>
      </w:pPr>
      <w:r>
        <w:t>- Prescriptions générales</w:t>
      </w:r>
    </w:p>
    <w:p w14:paraId="133BD595" w14:textId="77777777" w:rsidR="00772179" w:rsidRDefault="00000000">
      <w:pPr>
        <w:jc w:val="both"/>
      </w:pPr>
      <w:r>
        <w:t>L’entrepreneur inspecte et vérifie tous les éléments qui composent les quincailleries notamment en ce qui concerne notamment :</w:t>
      </w:r>
    </w:p>
    <w:p w14:paraId="797D775D" w14:textId="77777777" w:rsidR="00772179" w:rsidRDefault="00000000">
      <w:pPr>
        <w:pStyle w:val="Author-eListParagraph"/>
        <w:numPr>
          <w:ilvl w:val="0"/>
          <w:numId w:val="781"/>
        </w:numPr>
      </w:pPr>
      <w:r>
        <w:t>La présence de dégradations ;</w:t>
      </w:r>
    </w:p>
    <w:p w14:paraId="5D591A80" w14:textId="77777777" w:rsidR="00772179" w:rsidRDefault="00000000">
      <w:pPr>
        <w:pStyle w:val="Author-eListParagraph"/>
        <w:numPr>
          <w:ilvl w:val="0"/>
          <w:numId w:val="781"/>
        </w:numPr>
      </w:pPr>
      <w:r>
        <w:t>La présence de corrosion (corrosion blanche, …) ;</w:t>
      </w:r>
    </w:p>
    <w:p w14:paraId="3E5A9A1C" w14:textId="77777777" w:rsidR="00772179" w:rsidRDefault="00000000">
      <w:pPr>
        <w:pStyle w:val="Author-eListParagraph"/>
        <w:numPr>
          <w:ilvl w:val="0"/>
          <w:numId w:val="781"/>
        </w:numPr>
      </w:pPr>
      <w:r>
        <w:t>Les mouvements du vantail ;</w:t>
      </w:r>
    </w:p>
    <w:p w14:paraId="34D6F672" w14:textId="77777777" w:rsidR="00772179" w:rsidRDefault="00000000">
      <w:pPr>
        <w:pStyle w:val="Author-eListParagraph"/>
        <w:numPr>
          <w:ilvl w:val="0"/>
          <w:numId w:val="781"/>
        </w:numPr>
      </w:pPr>
      <w:r>
        <w:t>La fixation et le fonctionnement des paumelles ;</w:t>
      </w:r>
    </w:p>
    <w:p w14:paraId="35B937D3" w14:textId="77777777" w:rsidR="00772179" w:rsidRDefault="00000000">
      <w:pPr>
        <w:pStyle w:val="Author-eListParagraph"/>
        <w:numPr>
          <w:ilvl w:val="0"/>
          <w:numId w:val="781"/>
        </w:numPr>
      </w:pPr>
      <w:r>
        <w:t>La qualité de compression des joints ;</w:t>
      </w:r>
    </w:p>
    <w:p w14:paraId="1D9F6D46" w14:textId="77777777" w:rsidR="00772179" w:rsidRDefault="00000000">
      <w:pPr>
        <w:pStyle w:val="Author-eListParagraph"/>
        <w:numPr>
          <w:ilvl w:val="0"/>
          <w:numId w:val="781"/>
        </w:numPr>
      </w:pPr>
      <w:r>
        <w:t>Le fonctionnement des crémones, galets, crochets, pênes, … ;</w:t>
      </w:r>
    </w:p>
    <w:p w14:paraId="082FE52F" w14:textId="77777777" w:rsidR="00772179" w:rsidRDefault="00000000">
      <w:pPr>
        <w:pStyle w:val="Author-eListParagraph"/>
        <w:numPr>
          <w:ilvl w:val="0"/>
          <w:numId w:val="781"/>
        </w:numPr>
      </w:pPr>
      <w:r>
        <w:t>L’étanchéité au vent et à l’eau de l’ensemble ;</w:t>
      </w:r>
    </w:p>
    <w:p w14:paraId="3077EBE1" w14:textId="77777777" w:rsidR="00772179" w:rsidRDefault="00000000">
      <w:pPr>
        <w:pStyle w:val="Author-eListParagraph"/>
        <w:numPr>
          <w:ilvl w:val="0"/>
          <w:numId w:val="781"/>
        </w:numPr>
      </w:pPr>
      <w:r>
        <w:t>La fixation et le fonctionnement des poignées, béquilles, … ;</w:t>
      </w:r>
    </w:p>
    <w:p w14:paraId="03A0EC3C" w14:textId="77777777" w:rsidR="00772179" w:rsidRDefault="00000000">
      <w:pPr>
        <w:pStyle w:val="Author-eListParagraph"/>
        <w:numPr>
          <w:ilvl w:val="0"/>
          <w:numId w:val="781"/>
        </w:numPr>
      </w:pPr>
      <w:r>
        <w:t>Le fonctionnement des clés, verrous, … à l’intérieur et à l’extérieur ;</w:t>
      </w:r>
    </w:p>
    <w:p w14:paraId="4F9376F0" w14:textId="77777777" w:rsidR="00772179" w:rsidRDefault="00000000">
      <w:pPr>
        <w:pStyle w:val="Author-eListParagraph"/>
        <w:numPr>
          <w:ilvl w:val="0"/>
          <w:numId w:val="781"/>
        </w:numPr>
      </w:pPr>
      <w:r>
        <w:t>La déformation de l’ensemble en cas d’exposition au soleil ;</w:t>
      </w:r>
    </w:p>
    <w:p w14:paraId="6746B76B" w14:textId="77777777" w:rsidR="00772179" w:rsidRDefault="00000000">
      <w:pPr>
        <w:pStyle w:val="Author-eListParagraph"/>
        <w:numPr>
          <w:ilvl w:val="0"/>
          <w:numId w:val="781"/>
        </w:numPr>
      </w:pPr>
      <w:r>
        <w:lastRenderedPageBreak/>
        <w:t>…</w:t>
      </w:r>
    </w:p>
    <w:p w14:paraId="1EF762BC" w14:textId="77777777" w:rsidR="00772179" w:rsidRDefault="00000000">
      <w:pPr>
        <w:jc w:val="both"/>
      </w:pPr>
      <w:r>
        <w:t>Il procède à un nettoyage approprié des différents éléments au moyen par exemple d’un chiffon légèrement humide éventuellement imprégné d’un peu de détergent doux (destiné au lavage des mains p.ex.), suivi d’un rinçage à l’eau claire.</w:t>
      </w:r>
    </w:p>
    <w:p w14:paraId="13937821" w14:textId="77777777" w:rsidR="00772179" w:rsidRDefault="00000000">
      <w:pPr>
        <w:jc w:val="both"/>
      </w:pPr>
      <w:r>
        <w:t xml:space="preserve"> Aucun produit agressif, abrasif, comprenant un solvant organique (alcool, nettoyants pour vitres, etc.), fortement alcalin (ammoniac, etc.) n’est utilisé.</w:t>
      </w:r>
    </w:p>
    <w:p w14:paraId="1B743573" w14:textId="77777777" w:rsidR="00772179" w:rsidRDefault="00000000">
      <w:pPr>
        <w:jc w:val="both"/>
      </w:pPr>
      <w:r>
        <w:t xml:space="preserve"> Une attention particulière est accordée aux pièces qui coulissent, ...</w:t>
      </w:r>
    </w:p>
    <w:p w14:paraId="54333DBD" w14:textId="77777777" w:rsidR="00772179" w:rsidRDefault="00000000">
      <w:pPr>
        <w:jc w:val="both"/>
      </w:pPr>
      <w:r>
        <w:t>Après séchage complet, les quincailleries sont (re)lubrifiées pour assurer leur fonctionnement en douceur et, si nécessaire, rétablir leur résistance à la corrosion.</w:t>
      </w:r>
    </w:p>
    <w:p w14:paraId="4CD46802" w14:textId="77777777" w:rsidR="00772179" w:rsidRDefault="00000000">
      <w:pPr>
        <w:jc w:val="both"/>
      </w:pPr>
      <w:r>
        <w:t xml:space="preserve"> Vis-à-vis de la corrosion, une attention particulière est accordée aux quincailleries soumises à un environnement agressif (zone industrielle, piscine, …).</w:t>
      </w:r>
    </w:p>
    <w:p w14:paraId="0BA6E13B" w14:textId="77777777" w:rsidR="00772179" w:rsidRDefault="00000000">
      <w:pPr>
        <w:jc w:val="both"/>
      </w:pPr>
      <w:r>
        <w:t>Les parties mobiles sont lubrifiées avec les produits suivants :</w:t>
      </w:r>
    </w:p>
    <w:p w14:paraId="1C1B595F" w14:textId="77777777" w:rsidR="00772179" w:rsidRDefault="00000000">
      <w:pPr>
        <w:pStyle w:val="Author-eListParagraph"/>
        <w:numPr>
          <w:ilvl w:val="0"/>
          <w:numId w:val="782"/>
        </w:numPr>
      </w:pPr>
      <w:r>
        <w:t>cylindres : graphite ou spray de silicone (ne jamais utiliser d’huile ou de graisse)</w:t>
      </w:r>
    </w:p>
    <w:p w14:paraId="6040492F" w14:textId="77777777" w:rsidR="00772179" w:rsidRDefault="00000000">
      <w:pPr>
        <w:pStyle w:val="Author-eListParagraph"/>
        <w:numPr>
          <w:ilvl w:val="0"/>
          <w:numId w:val="782"/>
        </w:numPr>
      </w:pPr>
      <w:r>
        <w:t>garnitures : huile non agressive ou graisse sans acide ; vaseline pour les couvercles de serrure ; graisse pour les charnières et organes de suspension.</w:t>
      </w:r>
    </w:p>
    <w:p w14:paraId="1D446858" w14:textId="77777777" w:rsidR="00772179" w:rsidRDefault="00000000">
      <w:pPr>
        <w:jc w:val="both"/>
      </w:pPr>
      <w:r>
        <w:t>Les différentes quincailleries sont :</w:t>
      </w:r>
    </w:p>
    <w:p w14:paraId="6463AA65" w14:textId="77777777" w:rsidR="00772179" w:rsidRDefault="00000000">
      <w:pPr>
        <w:pStyle w:val="Author-eListParagraph"/>
        <w:numPr>
          <w:ilvl w:val="0"/>
          <w:numId w:val="783"/>
        </w:numPr>
      </w:pPr>
      <w:r>
        <w:t>réparées (*) si nécessaire afin d’assurer leur fonctionnement et la meilleure durabilité possible.</w:t>
      </w:r>
    </w:p>
    <w:p w14:paraId="5E8CC7E5" w14:textId="77777777" w:rsidR="00772179" w:rsidRDefault="00000000">
      <w:pPr>
        <w:pStyle w:val="Author-eListParagraph"/>
        <w:numPr>
          <w:ilvl w:val="0"/>
          <w:numId w:val="783"/>
        </w:numPr>
      </w:pPr>
      <w:r>
        <w:t>réglées notamment lorsque des problèmes de manœuvre sont rencontrés ou que l’écrasement des préformés souples d’étanchéité à l’air n’est plus assuré.</w:t>
      </w:r>
    </w:p>
    <w:p w14:paraId="59DD88E9" w14:textId="77777777" w:rsidR="00772179" w:rsidRDefault="00000000">
      <w:pPr>
        <w:jc w:val="both"/>
      </w:pPr>
      <w:r>
        <w:t>Si le réglage n’est pas possible, l’entrepreneur vérifie les diagonales des ouvrants. En cas d’écart, il procède au recalage des vitrages et remplissages du vantail.</w:t>
      </w:r>
    </w:p>
    <w:p w14:paraId="22DA41FD" w14:textId="77777777" w:rsidR="00772179" w:rsidRDefault="00000000">
      <w:pPr>
        <w:jc w:val="both"/>
      </w:pPr>
      <w:r>
        <w:rPr>
          <w:b/>
        </w:rPr>
        <w:t>Rapport d’intervention :</w:t>
      </w:r>
    </w:p>
    <w:p w14:paraId="2A225D9B" w14:textId="77777777" w:rsidR="00772179" w:rsidRDefault="00000000">
      <w:pPr>
        <w:jc w:val="both"/>
      </w:pPr>
      <w:r>
        <w:t>Lorsque la réalisation d’un rapport d’intervention est inscrite dans les prestations à réaliser, l’entrepreneur rédige tout au long de l’exécution un document faisant état de ses constatations visuelles et des ses interventions.</w:t>
      </w:r>
    </w:p>
    <w:p w14:paraId="036DBCDC" w14:textId="77777777" w:rsidR="00772179" w:rsidRDefault="00000000">
      <w:pPr>
        <w:jc w:val="both"/>
      </w:pPr>
      <w:r>
        <w:t>Ce rapport est réalisé en vue du suivi, de la maintenance et de la gestion des quincailleries.</w:t>
      </w:r>
    </w:p>
    <w:p w14:paraId="23F2E438" w14:textId="77777777" w:rsidR="00772179" w:rsidRDefault="00000000">
      <w:pPr>
        <w:jc w:val="both"/>
      </w:pPr>
      <w:r>
        <w:t>Il mentionne notamment (liste non exhaustive) :</w:t>
      </w:r>
    </w:p>
    <w:p w14:paraId="3829F6D6" w14:textId="77777777" w:rsidR="00772179" w:rsidRDefault="00000000">
      <w:pPr>
        <w:pStyle w:val="Author-eListParagraph"/>
        <w:numPr>
          <w:ilvl w:val="0"/>
          <w:numId w:val="784"/>
        </w:numPr>
      </w:pPr>
      <w:r>
        <w:t>Les références du dossier ;</w:t>
      </w:r>
    </w:p>
    <w:p w14:paraId="3CEF35F3" w14:textId="77777777" w:rsidR="00772179" w:rsidRDefault="00000000">
      <w:pPr>
        <w:pStyle w:val="Author-eListParagraph"/>
        <w:numPr>
          <w:ilvl w:val="0"/>
          <w:numId w:val="784"/>
        </w:numPr>
      </w:pPr>
      <w:r>
        <w:t>Les coordonnées des différents intervenants ;</w:t>
      </w:r>
    </w:p>
    <w:p w14:paraId="3FF58CAF" w14:textId="77777777" w:rsidR="00772179" w:rsidRDefault="00000000">
      <w:pPr>
        <w:pStyle w:val="Author-eListParagraph"/>
        <w:numPr>
          <w:ilvl w:val="0"/>
          <w:numId w:val="784"/>
        </w:numPr>
      </w:pPr>
      <w:r>
        <w:t>La date d’intervention ;</w:t>
      </w:r>
    </w:p>
    <w:p w14:paraId="4A22F482" w14:textId="77777777" w:rsidR="00772179" w:rsidRDefault="00000000">
      <w:pPr>
        <w:pStyle w:val="Author-eListParagraph"/>
        <w:numPr>
          <w:ilvl w:val="0"/>
          <w:numId w:val="784"/>
        </w:numPr>
      </w:pPr>
      <w:r>
        <w:t>Les coordonnées de l’opérateur ;</w:t>
      </w:r>
    </w:p>
    <w:p w14:paraId="3A0AFE63" w14:textId="77777777" w:rsidR="00772179" w:rsidRDefault="00000000">
      <w:pPr>
        <w:pStyle w:val="Author-eListParagraph"/>
        <w:numPr>
          <w:ilvl w:val="0"/>
          <w:numId w:val="784"/>
        </w:numPr>
      </w:pPr>
      <w:r>
        <w:t>Les conditions d’analyse (p.ex. : avec ou sans démontage, …)</w:t>
      </w:r>
    </w:p>
    <w:p w14:paraId="52CDE9AA" w14:textId="77777777" w:rsidR="00772179" w:rsidRDefault="00000000">
      <w:pPr>
        <w:pStyle w:val="Author-eListParagraph"/>
        <w:numPr>
          <w:ilvl w:val="0"/>
          <w:numId w:val="784"/>
        </w:numPr>
      </w:pPr>
      <w:r>
        <w:t>La localisation précise des éléments révisés</w:t>
      </w:r>
    </w:p>
    <w:p w14:paraId="408A0675" w14:textId="77777777" w:rsidR="00772179" w:rsidRDefault="00000000">
      <w:pPr>
        <w:pStyle w:val="Author-eListParagraph"/>
        <w:numPr>
          <w:ilvl w:val="0"/>
          <w:numId w:val="784"/>
        </w:numPr>
      </w:pPr>
      <w:r>
        <w:t>L’état des quincailleries ;</w:t>
      </w:r>
    </w:p>
    <w:p w14:paraId="0A269F55" w14:textId="77777777" w:rsidR="00772179" w:rsidRDefault="00000000">
      <w:pPr>
        <w:pStyle w:val="Author-eListParagraph"/>
        <w:numPr>
          <w:ilvl w:val="0"/>
          <w:numId w:val="784"/>
        </w:numPr>
      </w:pPr>
      <w:r>
        <w:t>Les recommandations à prévoir (p.ex. : contrôle / entretien / remplacement …) et le délai qui s’y rapporte (p.ex. : à prévoir dans x mois - années, …)</w:t>
      </w:r>
    </w:p>
    <w:p w14:paraId="06BB37C7" w14:textId="77777777" w:rsidR="00772179" w:rsidRDefault="00000000">
      <w:pPr>
        <w:pStyle w:val="Author-eListParagraph"/>
        <w:numPr>
          <w:ilvl w:val="0"/>
          <w:numId w:val="784"/>
        </w:numPr>
      </w:pPr>
      <w:r>
        <w:t xml:space="preserve">Pour chaque nouvel élément placé : </w:t>
      </w:r>
    </w:p>
    <w:p w14:paraId="57579419" w14:textId="77777777" w:rsidR="00772179" w:rsidRDefault="00000000">
      <w:pPr>
        <w:pStyle w:val="Author-eListParagraph"/>
        <w:numPr>
          <w:ilvl w:val="1"/>
          <w:numId w:val="785"/>
        </w:numPr>
      </w:pPr>
      <w:r>
        <w:t>Les références commerciales</w:t>
      </w:r>
    </w:p>
    <w:p w14:paraId="55D975DF" w14:textId="77777777" w:rsidR="00772179" w:rsidRDefault="00000000">
      <w:pPr>
        <w:pStyle w:val="Author-eListParagraph"/>
        <w:numPr>
          <w:ilvl w:val="1"/>
          <w:numId w:val="785"/>
        </w:numPr>
      </w:pPr>
      <w:r>
        <w:t>Les caractéristiques exactes des produits</w:t>
      </w:r>
    </w:p>
    <w:p w14:paraId="128BD058" w14:textId="77777777" w:rsidR="00772179" w:rsidRDefault="00000000">
      <w:pPr>
        <w:pStyle w:val="Author-eListParagraph"/>
        <w:numPr>
          <w:ilvl w:val="1"/>
          <w:numId w:val="785"/>
        </w:numPr>
      </w:pPr>
      <w:r>
        <w:t>La localisation par rapport à la porte concernée</w:t>
      </w:r>
    </w:p>
    <w:p w14:paraId="18C47BC4" w14:textId="77777777" w:rsidR="00772179" w:rsidRDefault="00000000">
      <w:pPr>
        <w:pStyle w:val="Author-eListParagraph"/>
        <w:numPr>
          <w:ilvl w:val="1"/>
          <w:numId w:val="785"/>
        </w:numPr>
      </w:pPr>
      <w:r>
        <w:rPr>
          <w:rStyle w:val="optioncarChar"/>
        </w:rPr>
        <w:t>***</w:t>
      </w:r>
    </w:p>
    <w:p w14:paraId="44CCBFBB" w14:textId="77777777" w:rsidR="00772179" w:rsidRDefault="00000000">
      <w:pPr>
        <w:jc w:val="both"/>
      </w:pPr>
      <w:r>
        <w:t xml:space="preserve">Le rapport est accompagné de photos représentatives des éléments décrits : </w:t>
      </w:r>
      <w:r>
        <w:rPr>
          <w:rStyle w:val="optioncarChar"/>
        </w:rPr>
        <w:t xml:space="preserve">oui </w:t>
      </w:r>
      <w:r>
        <w:t xml:space="preserve">(par défaut) </w:t>
      </w:r>
      <w:r>
        <w:rPr>
          <w:rStyle w:val="optioncarChar"/>
        </w:rPr>
        <w:t>/ non</w:t>
      </w:r>
    </w:p>
    <w:p w14:paraId="7DE4453E" w14:textId="77777777" w:rsidR="00772179" w:rsidRDefault="00000000">
      <w:pPr>
        <w:jc w:val="both"/>
      </w:pPr>
      <w:r>
        <w:t xml:space="preserve">Le rapport alimente la constitution du DIU : </w:t>
      </w:r>
      <w:r>
        <w:rPr>
          <w:rStyle w:val="optioncarChar"/>
        </w:rPr>
        <w:t xml:space="preserve">oui </w:t>
      </w:r>
      <w:r>
        <w:t>(par défaut)</w:t>
      </w:r>
      <w:r>
        <w:rPr>
          <w:rStyle w:val="optioncarChar"/>
        </w:rPr>
        <w:t xml:space="preserve"> / non</w:t>
      </w:r>
    </w:p>
    <w:p w14:paraId="39415356" w14:textId="77777777" w:rsidR="00772179" w:rsidRDefault="00000000">
      <w:pPr>
        <w:jc w:val="both"/>
      </w:pPr>
      <w:r>
        <w:t>Le rapport est fourni sous la(es) forme(s) suivante(s) :</w:t>
      </w:r>
    </w:p>
    <w:p w14:paraId="1A26CECE" w14:textId="77777777" w:rsidR="00772179" w:rsidRDefault="00000000">
      <w:pPr>
        <w:pStyle w:val="Author-eListParagraph"/>
        <w:numPr>
          <w:ilvl w:val="0"/>
          <w:numId w:val="786"/>
        </w:numPr>
        <w:jc w:val="both"/>
      </w:pPr>
      <w:r>
        <w:t xml:space="preserve">A- sous format informatique : </w:t>
      </w:r>
      <w:r>
        <w:rPr>
          <w:rStyle w:val="optioncarChar"/>
        </w:rPr>
        <w:t>oui  </w:t>
      </w:r>
      <w:r>
        <w:t xml:space="preserve">(par défaut)  </w:t>
      </w:r>
      <w:r>
        <w:rPr>
          <w:rStyle w:val="optioncarChar"/>
        </w:rPr>
        <w:t xml:space="preserve">de type PDF et de type Microsoft Word (DOCX) et/ou de type Microsoft Excel (XLSX) (listing des pièces remplacées </w:t>
      </w:r>
      <w:r>
        <w:rPr>
          <w:rStyle w:val="optioncarChar"/>
        </w:rPr>
        <w:lastRenderedPageBreak/>
        <w:t xml:space="preserve">et à remplacer, défauts à corriger, …) </w:t>
      </w:r>
      <w:r>
        <w:t xml:space="preserve">(par défaut) </w:t>
      </w:r>
      <w:r>
        <w:rPr>
          <w:rStyle w:val="optioncarChar"/>
        </w:rPr>
        <w:t>/ de type PDF / ***, daté et signé électroniquement par son auteur via un lecteur de carte d’identité   /   non</w:t>
      </w:r>
    </w:p>
    <w:p w14:paraId="5DD87007" w14:textId="77777777" w:rsidR="00772179" w:rsidRDefault="00000000">
      <w:pPr>
        <w:pStyle w:val="Author-eListParagraph"/>
        <w:numPr>
          <w:ilvl w:val="0"/>
          <w:numId w:val="786"/>
        </w:numPr>
        <w:jc w:val="both"/>
      </w:pPr>
      <w:r>
        <w:t xml:space="preserve">B- sous format papier : </w:t>
      </w:r>
      <w:r>
        <w:rPr>
          <w:rStyle w:val="optioncarChar"/>
        </w:rPr>
        <w:t xml:space="preserve">oui </w:t>
      </w:r>
      <w:r>
        <w:t xml:space="preserve">(par défaut) </w:t>
      </w:r>
      <w:r>
        <w:rPr>
          <w:rStyle w:val="optioncarChar"/>
        </w:rPr>
        <w:t xml:space="preserve">en minimum : 1 / 2 </w:t>
      </w:r>
      <w:r>
        <w:t>(par défaut)</w:t>
      </w:r>
      <w:r>
        <w:rPr>
          <w:rStyle w:val="optioncarChar"/>
        </w:rPr>
        <w:t xml:space="preserve"> / 3 / *** exemplaires, daté et signé par son auteur  /  non</w:t>
      </w:r>
    </w:p>
    <w:p w14:paraId="534EA96A" w14:textId="77777777" w:rsidR="00772179" w:rsidRDefault="00000000">
      <w:pPr>
        <w:jc w:val="both"/>
      </w:pPr>
      <w:r>
        <w:t>Ces documents comprennent un espace dédié aux signatures des différents intervenants concernés (p.ex. : entrepreneur, sous-traitants, auteur de projet, CSS, maître d’ouvrage, …) qui reprend la portée et les limites de celles-ci (p.ex. : pour accusé de réception des documents / …).</w:t>
      </w:r>
    </w:p>
    <w:p w14:paraId="0BC61E6E" w14:textId="77777777" w:rsidR="00772179" w:rsidRDefault="00000000">
      <w:pPr>
        <w:pStyle w:val="pheading"/>
      </w:pPr>
      <w:r>
        <w:t>DOCUMENTS DE RÉFÉRENCE COMPLÉMENTAIRES</w:t>
      </w:r>
    </w:p>
    <w:p w14:paraId="4A8A0A0C" w14:textId="77777777" w:rsidR="00772179" w:rsidRDefault="00000000">
      <w:pPr>
        <w:pStyle w:val="pheading"/>
      </w:pPr>
      <w:r>
        <w:t>- Exécution</w:t>
      </w:r>
    </w:p>
    <w:p w14:paraId="2CB04F05" w14:textId="77777777" w:rsidR="00772179" w:rsidRDefault="00000000">
      <w:r>
        <w:t>[Buildwise Innovation paper 39, Guide de l'entretien pour des bâtiments durables]</w:t>
      </w:r>
    </w:p>
    <w:p w14:paraId="02D4326F" w14:textId="77777777" w:rsidR="00772179" w:rsidRDefault="00000000">
      <w:r>
        <w:t>[NBN B 25-002-2, Menuiseries extérieures. Partie 2 : Prescription des performances générales pour les portes extérieures pour piétons]</w:t>
      </w:r>
    </w:p>
    <w:p w14:paraId="219F87F8" w14:textId="77777777" w:rsidR="00772179" w:rsidRDefault="00000000">
      <w:r>
        <w:t>[NIT 283, La pose des menuiseries extérieures. Partie 1 : aspects généraux.]</w:t>
      </w:r>
    </w:p>
    <w:p w14:paraId="002FFF0E" w14:textId="77777777" w:rsidR="00772179" w:rsidRDefault="00000000">
      <w:pPr>
        <w:pStyle w:val="pheading"/>
      </w:pPr>
      <w:r>
        <w:t>MESURAGE</w:t>
      </w:r>
    </w:p>
    <w:p w14:paraId="4C586AEA" w14:textId="77777777" w:rsidR="00772179" w:rsidRDefault="00000000">
      <w:pPr>
        <w:pStyle w:val="pheading"/>
      </w:pPr>
      <w:r>
        <w:t>- unité de mesure:</w:t>
      </w:r>
    </w:p>
    <w:p w14:paraId="770A8100" w14:textId="77777777" w:rsidR="00772179" w:rsidRDefault="00000000">
      <w:r>
        <w:rPr>
          <w:rStyle w:val="optioncarChar"/>
        </w:rPr>
        <w:t xml:space="preserve">fft </w:t>
      </w:r>
      <w:r>
        <w:t>(par défaut)</w:t>
      </w:r>
      <w:r>
        <w:rPr>
          <w:rStyle w:val="optioncarChar"/>
        </w:rPr>
        <w:t xml:space="preserve"> / pc / -</w:t>
      </w:r>
    </w:p>
    <w:p w14:paraId="6903DE19" w14:textId="77777777" w:rsidR="00772179" w:rsidRDefault="00000000">
      <w:r>
        <w:rPr>
          <w:b/>
        </w:rPr>
        <w:t>(soit par défaut)</w:t>
      </w:r>
      <w:r>
        <w:br/>
      </w:r>
      <w:r>
        <w:rPr>
          <w:rStyle w:val="soitChar"/>
        </w:rPr>
        <w:t>1. fft</w:t>
      </w:r>
      <w:r>
        <w:br/>
      </w:r>
      <w:r>
        <w:rPr>
          <w:b/>
        </w:rPr>
        <w:t>(soit)</w:t>
      </w:r>
      <w:r>
        <w:br/>
      </w:r>
      <w:r>
        <w:rPr>
          <w:rStyle w:val="soitChar"/>
        </w:rPr>
        <w:t>2. 3.  pc</w:t>
      </w:r>
      <w:r>
        <w:br/>
      </w:r>
      <w:r>
        <w:rPr>
          <w:b/>
        </w:rPr>
        <w:t>(soit)</w:t>
      </w:r>
      <w:r>
        <w:br/>
      </w:r>
      <w:r>
        <w:rPr>
          <w:rStyle w:val="soitChar"/>
        </w:rPr>
        <w:t>4. -</w:t>
      </w:r>
    </w:p>
    <w:p w14:paraId="546C6416" w14:textId="77777777" w:rsidR="00772179" w:rsidRDefault="00000000">
      <w:pPr>
        <w:pStyle w:val="pheading"/>
      </w:pPr>
      <w:r>
        <w:t>- code de mesurage:</w:t>
      </w:r>
    </w:p>
    <w:p w14:paraId="5D487542" w14:textId="77777777" w:rsidR="00772179" w:rsidRDefault="00000000">
      <w:pPr>
        <w:jc w:val="both"/>
      </w:pPr>
      <w:r>
        <w:rPr>
          <w:rStyle w:val="optioncarChar"/>
        </w:rPr>
        <w:t>Pour l'ensemble des prestations à réaliser</w:t>
      </w:r>
      <w:r>
        <w:t xml:space="preserve"> (par défaut)</w:t>
      </w:r>
      <w:r>
        <w:rPr>
          <w:rStyle w:val="optioncarChar"/>
        </w:rPr>
        <w:t xml:space="preserve"> / Quantité nette / Compris</w:t>
      </w:r>
    </w:p>
    <w:p w14:paraId="3FC759F1" w14:textId="77777777" w:rsidR="00772179" w:rsidRDefault="00000000">
      <w:pPr>
        <w:jc w:val="both"/>
      </w:pPr>
      <w:r>
        <w:rPr>
          <w:b/>
        </w:rPr>
        <w:t>(soit par défaut)</w:t>
      </w:r>
    </w:p>
    <w:p w14:paraId="5DD23AC8" w14:textId="77777777" w:rsidR="00772179" w:rsidRDefault="00000000">
      <w:pPr>
        <w:jc w:val="both"/>
      </w:pPr>
      <w:r>
        <w:rPr>
          <w:rStyle w:val="soitChar"/>
        </w:rPr>
        <w:t xml:space="preserve">1. </w:t>
      </w:r>
      <w:r>
        <w:rPr>
          <w:rStyle w:val="soitChar"/>
          <w:u w:val="single"/>
        </w:rPr>
        <w:t>Pour l’ensemble des prestations à réaliser :</w:t>
      </w:r>
    </w:p>
    <w:p w14:paraId="6525E864" w14:textId="77777777" w:rsidR="00772179" w:rsidRDefault="00000000">
      <w:pPr>
        <w:jc w:val="both"/>
      </w:pPr>
      <w:r>
        <w:rPr>
          <w:rStyle w:val="soitChar"/>
        </w:rPr>
        <w:t>Le prix unitaire comprend toutes les prestations nécessaires pour l’exécution de l’ensemble.</w:t>
      </w:r>
    </w:p>
    <w:p w14:paraId="7A512715" w14:textId="77777777" w:rsidR="00772179" w:rsidRDefault="00000000">
      <w:pPr>
        <w:jc w:val="both"/>
      </w:pPr>
      <w:r>
        <w:rPr>
          <w:rStyle w:val="soitChar"/>
        </w:rPr>
        <w:t>Eventuellement scindé dans différents postes selon le type de porte, les dimensions, ...</w:t>
      </w:r>
    </w:p>
    <w:p w14:paraId="165539E8" w14:textId="77777777" w:rsidR="00772179" w:rsidRDefault="00000000">
      <w:pPr>
        <w:jc w:val="both"/>
      </w:pPr>
      <w:r>
        <w:rPr>
          <w:b/>
        </w:rPr>
        <w:t>(soit)</w:t>
      </w:r>
    </w:p>
    <w:p w14:paraId="5E9B34B3" w14:textId="77777777" w:rsidR="00772179" w:rsidRDefault="00000000">
      <w:pPr>
        <w:jc w:val="both"/>
      </w:pPr>
      <w:r>
        <w:rPr>
          <w:rStyle w:val="soitChar"/>
        </w:rPr>
        <w:t>2. 3. </w:t>
      </w:r>
      <w:r>
        <w:rPr>
          <w:rStyle w:val="soitChar"/>
          <w:u w:val="single"/>
        </w:rPr>
        <w:t>Quantité nette :</w:t>
      </w:r>
    </w:p>
    <w:p w14:paraId="03419272" w14:textId="77777777" w:rsidR="00772179" w:rsidRDefault="00000000">
      <w:pPr>
        <w:jc w:val="both"/>
      </w:pPr>
      <w:r>
        <w:rPr>
          <w:rStyle w:val="soitChar"/>
        </w:rPr>
        <w:t>Pour les interventions particulières à réaliser.</w:t>
      </w:r>
    </w:p>
    <w:p w14:paraId="059BC39C" w14:textId="77777777" w:rsidR="00772179" w:rsidRDefault="00000000">
      <w:pPr>
        <w:jc w:val="both"/>
      </w:pPr>
      <w:r>
        <w:rPr>
          <w:rStyle w:val="soitChar"/>
        </w:rPr>
        <w:t xml:space="preserve"> Scindée selon le type, l’objet, … de l’intervention particulière à réaliser.</w:t>
      </w:r>
    </w:p>
    <w:p w14:paraId="43ABE0E3" w14:textId="77777777" w:rsidR="00772179" w:rsidRDefault="00000000">
      <w:pPr>
        <w:jc w:val="both"/>
      </w:pPr>
      <w:r>
        <w:rPr>
          <w:b/>
        </w:rPr>
        <w:t>(soit)</w:t>
      </w:r>
    </w:p>
    <w:p w14:paraId="33DF2B30" w14:textId="77777777" w:rsidR="00772179" w:rsidRDefault="00000000">
      <w:pPr>
        <w:jc w:val="both"/>
      </w:pPr>
      <w:r>
        <w:rPr>
          <w:rStyle w:val="soitChar"/>
        </w:rPr>
        <w:t xml:space="preserve">4. </w:t>
      </w:r>
      <w:r>
        <w:rPr>
          <w:rStyle w:val="soitChar"/>
          <w:u w:val="single"/>
        </w:rPr>
        <w:t>Compris :</w:t>
      </w:r>
    </w:p>
    <w:p w14:paraId="1388ACFA" w14:textId="77777777" w:rsidR="00772179" w:rsidRDefault="00000000">
      <w:pPr>
        <w:jc w:val="both"/>
      </w:pPr>
      <w:r>
        <w:rPr>
          <w:rStyle w:val="soitChar"/>
        </w:rPr>
        <w:t xml:space="preserve">Tous les frais liés à ces prestations sont </w:t>
      </w:r>
      <w:r>
        <w:rPr>
          <w:rStyle w:val="optioncarChar"/>
        </w:rPr>
        <w:t>compris et répartis dans la totalité de l'entreprise</w:t>
      </w:r>
      <w:r>
        <w:t xml:space="preserve"> (par défaut)</w:t>
      </w:r>
      <w:r>
        <w:rPr>
          <w:rStyle w:val="optioncarChar"/>
        </w:rPr>
        <w:t xml:space="preserve"> / compris dans le prix des articles ***</w:t>
      </w:r>
    </w:p>
    <w:p w14:paraId="7D60B2CE" w14:textId="77777777" w:rsidR="00772179" w:rsidRDefault="00000000">
      <w:pPr>
        <w:pStyle w:val="pheading"/>
      </w:pPr>
      <w:r>
        <w:t>- nature du marché:</w:t>
      </w:r>
    </w:p>
    <w:p w14:paraId="01B88DB0" w14:textId="77777777" w:rsidR="00772179" w:rsidRDefault="00000000">
      <w:r>
        <w:rPr>
          <w:rStyle w:val="optioncarChar"/>
        </w:rPr>
        <w:t xml:space="preserve">PG </w:t>
      </w:r>
      <w:r>
        <w:t xml:space="preserve">(par défaut) </w:t>
      </w:r>
      <w:r>
        <w:rPr>
          <w:rStyle w:val="optioncarChar"/>
        </w:rPr>
        <w:t>/ QF / QP / PM</w:t>
      </w:r>
    </w:p>
    <w:p w14:paraId="20204E5D" w14:textId="77777777" w:rsidR="00772179" w:rsidRDefault="00000000">
      <w:r>
        <w:rPr>
          <w:b/>
        </w:rPr>
        <w:t>(soit par défaut)</w:t>
      </w:r>
      <w:r>
        <w:br/>
      </w:r>
      <w:r>
        <w:rPr>
          <w:rStyle w:val="soitChar"/>
        </w:rPr>
        <w:t>1. PG</w:t>
      </w:r>
      <w:r>
        <w:br/>
      </w:r>
      <w:r>
        <w:rPr>
          <w:b/>
        </w:rPr>
        <w:t>(soit)</w:t>
      </w:r>
      <w:r>
        <w:br/>
      </w:r>
      <w:r>
        <w:rPr>
          <w:rStyle w:val="soitChar"/>
        </w:rPr>
        <w:t>2. QF</w:t>
      </w:r>
      <w:r>
        <w:br/>
      </w:r>
      <w:r>
        <w:rPr>
          <w:b/>
        </w:rPr>
        <w:t>(soit)</w:t>
      </w:r>
      <w:r>
        <w:br/>
      </w:r>
      <w:r>
        <w:rPr>
          <w:rStyle w:val="soitChar"/>
        </w:rPr>
        <w:t>3. QP</w:t>
      </w:r>
      <w:r>
        <w:br/>
      </w:r>
      <w:r>
        <w:rPr>
          <w:b/>
        </w:rPr>
        <w:lastRenderedPageBreak/>
        <w:t>(soit)</w:t>
      </w:r>
      <w:r>
        <w:br/>
      </w:r>
      <w:r>
        <w:rPr>
          <w:rStyle w:val="soitChar"/>
        </w:rPr>
        <w:t>4. PM</w:t>
      </w:r>
    </w:p>
    <w:p w14:paraId="126B0CD3" w14:textId="77777777" w:rsidR="00772179" w:rsidRDefault="00000000">
      <w:pPr>
        <w:pStyle w:val="pheading"/>
      </w:pPr>
      <w:r>
        <w:t>AIDE</w:t>
      </w:r>
    </w:p>
    <w:p w14:paraId="2FD7A643" w14:textId="77777777" w:rsidR="00772179" w:rsidRDefault="00000000">
      <w:pPr>
        <w:jc w:val="both"/>
      </w:pPr>
      <w:r>
        <w:t>(*) Dans une réparation, l’élément principal est conservé. Des éléments secondaires sont éventuellement remplacés (p.ex. vis, cache, partie non essentielle, …).</w:t>
      </w:r>
    </w:p>
    <w:p w14:paraId="7F12273C" w14:textId="77777777" w:rsidR="00772179" w:rsidRDefault="00000000">
      <w:pPr>
        <w:pStyle w:val="Author-eSectionHeading6Numberless"/>
      </w:pPr>
      <w:bookmarkStart w:id="451" w:name="_Toc220490171"/>
      <w:r>
        <w:t>41.82.2d Portes d'entrée en aluminium - rénovation - restitution des quincailleries à l'identique</w:t>
      </w:r>
      <w:bookmarkEnd w:id="451"/>
    </w:p>
    <w:p w14:paraId="76783343" w14:textId="77777777" w:rsidR="00772179" w:rsidRDefault="00000000">
      <w:pPr>
        <w:pStyle w:val="Author-eSectionHeading6Numberless"/>
      </w:pPr>
      <w:bookmarkStart w:id="452" w:name="_Toc220490172"/>
      <w:r>
        <w:t>41.82.2e Portes d'entrée en aluminium - rénovation - masticage</w:t>
      </w:r>
      <w:bookmarkEnd w:id="452"/>
    </w:p>
    <w:p w14:paraId="7C5384F3" w14:textId="77777777" w:rsidR="00772179" w:rsidRDefault="00000000">
      <w:pPr>
        <w:pStyle w:val="Author-eSectionHeading6Numberless"/>
      </w:pPr>
      <w:bookmarkStart w:id="453" w:name="_Toc220490173"/>
      <w:r>
        <w:t>41.82.2f Portes d'entrée en aluminium - rénovation - traitements des profilés</w:t>
      </w:r>
      <w:bookmarkEnd w:id="453"/>
    </w:p>
    <w:p w14:paraId="2B2068F9" w14:textId="77777777" w:rsidR="00772179" w:rsidRDefault="00000000">
      <w:pPr>
        <w:pStyle w:val="Author-eSectionHeading6Numberless"/>
      </w:pPr>
      <w:bookmarkStart w:id="454" w:name="_Toc220490174"/>
      <w:r>
        <w:t>41.82.2g Portes d'entrée en aluminium - rénovation - déposes et reposes des tablettes intérieures CCTB 01.07</w:t>
      </w:r>
      <w:bookmarkEnd w:id="454"/>
    </w:p>
    <w:p w14:paraId="1567D454" w14:textId="77777777" w:rsidR="00772179" w:rsidRDefault="00000000">
      <w:pPr>
        <w:pStyle w:val="pheading"/>
      </w:pPr>
      <w:r>
        <w:t>DESCRIPTION</w:t>
      </w:r>
    </w:p>
    <w:p w14:paraId="4B495303" w14:textId="77777777" w:rsidR="00772179" w:rsidRDefault="00000000">
      <w:pPr>
        <w:pStyle w:val="pheading"/>
      </w:pPr>
      <w:r>
        <w:t>- Définition / Comprend</w:t>
      </w:r>
    </w:p>
    <w:p w14:paraId="57027248" w14:textId="77777777" w:rsidR="00772179" w:rsidRDefault="00000000">
      <w:r>
        <w:t>Renvoi au 5 T5 Fermetures / Finitions intérieures</w:t>
      </w:r>
    </w:p>
    <w:p w14:paraId="13E705FB" w14:textId="77777777" w:rsidR="00772179" w:rsidRDefault="00000000">
      <w:pPr>
        <w:pStyle w:val="Author-eSectionHeading6Numberless"/>
      </w:pPr>
      <w:bookmarkStart w:id="455" w:name="_Toc220490175"/>
      <w:r>
        <w:t>41.82.2h Portes d'entrée en aluminium - rénovation - amélioration de l'étanchéité</w:t>
      </w:r>
      <w:bookmarkEnd w:id="455"/>
    </w:p>
    <w:p w14:paraId="20DD2F26" w14:textId="77777777" w:rsidR="00772179" w:rsidRDefault="00000000">
      <w:pPr>
        <w:pStyle w:val="Author-eSectionHeading6Numberless"/>
      </w:pPr>
      <w:bookmarkStart w:id="456" w:name="_Toc220490176"/>
      <w:r>
        <w:t>41.82.2i Portes d'entrée en aluminium - rénovation - survitrages</w:t>
      </w:r>
      <w:bookmarkEnd w:id="456"/>
    </w:p>
    <w:p w14:paraId="60668AC9" w14:textId="77777777" w:rsidR="00772179" w:rsidRDefault="00000000">
      <w:pPr>
        <w:pStyle w:val="Author-eSectionHeading5Numberless"/>
      </w:pPr>
      <w:bookmarkStart w:id="457" w:name="_Toc220490177"/>
      <w:r>
        <w:t>41.82.3 Portes d'entrée en acier - rénovation</w:t>
      </w:r>
      <w:bookmarkEnd w:id="457"/>
    </w:p>
    <w:p w14:paraId="58E733E2" w14:textId="77777777" w:rsidR="00772179" w:rsidRDefault="00000000">
      <w:pPr>
        <w:pStyle w:val="Author-eSectionHeading6Numberless"/>
      </w:pPr>
      <w:bookmarkStart w:id="458" w:name="_Toc220490178"/>
      <w:r>
        <w:t>41.82.3a Portes d'entrée en acier - rénovation - remplacement de profilés en acier</w:t>
      </w:r>
      <w:bookmarkEnd w:id="458"/>
    </w:p>
    <w:p w14:paraId="38BE5066" w14:textId="77777777" w:rsidR="00772179" w:rsidRDefault="00000000">
      <w:pPr>
        <w:pStyle w:val="Author-eSectionHeading6Numberless"/>
      </w:pPr>
      <w:bookmarkStart w:id="459" w:name="_Toc220490179"/>
      <w:r>
        <w:t>41.82.3b Portes d'entrée en acier - rénovation - réparation de profilés en acier</w:t>
      </w:r>
      <w:bookmarkEnd w:id="459"/>
    </w:p>
    <w:p w14:paraId="781F3716" w14:textId="77777777" w:rsidR="00772179" w:rsidRDefault="00000000">
      <w:pPr>
        <w:pStyle w:val="Author-eSectionHeading6Numberless"/>
      </w:pPr>
      <w:bookmarkStart w:id="460" w:name="_Toc220490180"/>
      <w:r>
        <w:t>41.82.3c Portes d'entrée en acier - rénovation - révision des quincailleries</w:t>
      </w:r>
      <w:bookmarkEnd w:id="460"/>
    </w:p>
    <w:p w14:paraId="6091459F" w14:textId="77777777" w:rsidR="00772179" w:rsidRDefault="00000000">
      <w:pPr>
        <w:pStyle w:val="Author-eSectionHeading6Numberless"/>
      </w:pPr>
      <w:bookmarkStart w:id="461" w:name="_Toc220490181"/>
      <w:r>
        <w:t>41.82.3d Portes d'entrée en acier - rénovation - restitution des quincailleries à l'identique</w:t>
      </w:r>
      <w:bookmarkEnd w:id="461"/>
    </w:p>
    <w:p w14:paraId="4028BDB4" w14:textId="77777777" w:rsidR="00772179" w:rsidRDefault="00000000">
      <w:pPr>
        <w:pStyle w:val="Author-eSectionHeading6Numberless"/>
      </w:pPr>
      <w:bookmarkStart w:id="462" w:name="_Toc220490182"/>
      <w:r>
        <w:t>41.82.3e Portes d'entrée en acier - rénovation - masticage</w:t>
      </w:r>
      <w:bookmarkEnd w:id="462"/>
    </w:p>
    <w:p w14:paraId="76026D2B" w14:textId="77777777" w:rsidR="00772179" w:rsidRDefault="00000000">
      <w:pPr>
        <w:pStyle w:val="Author-eSectionHeading6Numberless"/>
      </w:pPr>
      <w:bookmarkStart w:id="463" w:name="_Toc220490183"/>
      <w:r>
        <w:t>41.82.3f Portes d'entrée en acier - rénovation - traitements des profilés</w:t>
      </w:r>
      <w:bookmarkEnd w:id="463"/>
    </w:p>
    <w:p w14:paraId="5622EF19" w14:textId="77777777" w:rsidR="00772179" w:rsidRDefault="00000000">
      <w:pPr>
        <w:pStyle w:val="Author-eSectionHeading6Numberless"/>
      </w:pPr>
      <w:bookmarkStart w:id="464" w:name="_Toc220490184"/>
      <w:r>
        <w:t>41.82.3g Portes d'entrée en acier - rénovation - déposes et reposes des tablettes intérieures CCTB 01.07</w:t>
      </w:r>
      <w:bookmarkEnd w:id="464"/>
    </w:p>
    <w:p w14:paraId="153B8241" w14:textId="77777777" w:rsidR="00772179" w:rsidRDefault="00000000">
      <w:pPr>
        <w:pStyle w:val="pheading"/>
      </w:pPr>
      <w:r>
        <w:t>DESCRIPTION</w:t>
      </w:r>
    </w:p>
    <w:p w14:paraId="2700A7DE" w14:textId="77777777" w:rsidR="00772179" w:rsidRDefault="00000000">
      <w:pPr>
        <w:pStyle w:val="pheading"/>
      </w:pPr>
      <w:r>
        <w:t>- Définition / Comprend</w:t>
      </w:r>
    </w:p>
    <w:p w14:paraId="5F34C896" w14:textId="77777777" w:rsidR="00772179" w:rsidRDefault="00000000">
      <w:r>
        <w:t>Renvoi au 5 T5 Fermetures / Finitions intérieures</w:t>
      </w:r>
    </w:p>
    <w:p w14:paraId="070013A3" w14:textId="77777777" w:rsidR="00772179" w:rsidRDefault="00000000">
      <w:pPr>
        <w:pStyle w:val="Author-eSectionHeading6Numberless"/>
      </w:pPr>
      <w:bookmarkStart w:id="465" w:name="_Toc220490185"/>
      <w:r>
        <w:t>41.82.3h Portes d'entrée en acier - rénovation - amélioration de l'étanchéité</w:t>
      </w:r>
      <w:bookmarkEnd w:id="465"/>
    </w:p>
    <w:p w14:paraId="28FE1255" w14:textId="77777777" w:rsidR="00772179" w:rsidRDefault="00000000">
      <w:pPr>
        <w:pStyle w:val="Author-eSectionHeading6Numberless"/>
      </w:pPr>
      <w:bookmarkStart w:id="466" w:name="_Toc220490186"/>
      <w:r>
        <w:t>41.82.3i Portes d'entrée en acier - rénovation - survitrages</w:t>
      </w:r>
      <w:bookmarkEnd w:id="466"/>
    </w:p>
    <w:p w14:paraId="3612109C" w14:textId="77777777" w:rsidR="00772179" w:rsidRDefault="00000000">
      <w:pPr>
        <w:pStyle w:val="Author-eSectionHeading5Numberless"/>
      </w:pPr>
      <w:bookmarkStart w:id="467" w:name="_Toc220490187"/>
      <w:r>
        <w:t>41.82.4 Portes d'entrée en PVC - rénovation</w:t>
      </w:r>
      <w:bookmarkEnd w:id="467"/>
    </w:p>
    <w:p w14:paraId="6E140051" w14:textId="77777777" w:rsidR="00772179" w:rsidRDefault="00000000">
      <w:pPr>
        <w:pStyle w:val="Author-eSectionHeading6Numberless"/>
      </w:pPr>
      <w:bookmarkStart w:id="468" w:name="_Toc220490188"/>
      <w:r>
        <w:t>41.82.4a Portes d'entrée en PVC - rénovation</w:t>
      </w:r>
      <w:bookmarkEnd w:id="468"/>
    </w:p>
    <w:p w14:paraId="105D26DA" w14:textId="77777777" w:rsidR="00772179" w:rsidRDefault="00000000">
      <w:pPr>
        <w:pStyle w:val="Author-eSectionHeading4Numberless"/>
      </w:pPr>
      <w:bookmarkStart w:id="469" w:name="_Toc220490189"/>
      <w:r>
        <w:t>41.83 Volets extérieurs (contrevents) et intérieurs / persiennes - manuels ou motorisés - rénovation</w:t>
      </w:r>
      <w:bookmarkEnd w:id="469"/>
    </w:p>
    <w:p w14:paraId="60A843BF" w14:textId="77777777" w:rsidR="00772179" w:rsidRDefault="00000000">
      <w:pPr>
        <w:pStyle w:val="Author-eSectionHeading5Numberless"/>
      </w:pPr>
      <w:bookmarkStart w:id="470" w:name="_Toc220490190"/>
      <w:r>
        <w:t>41.83.1 Volets extérieurs (contrevents) - rénovation</w:t>
      </w:r>
      <w:bookmarkEnd w:id="470"/>
    </w:p>
    <w:p w14:paraId="323BEC53" w14:textId="77777777" w:rsidR="00772179" w:rsidRDefault="00000000">
      <w:pPr>
        <w:pStyle w:val="Author-eSectionHeading6Numberless"/>
      </w:pPr>
      <w:bookmarkStart w:id="471" w:name="_Toc220490191"/>
      <w:r>
        <w:t>41.83.1a Volets roulants extérieurs (contrevents) encastrés - rénovation</w:t>
      </w:r>
      <w:bookmarkEnd w:id="471"/>
    </w:p>
    <w:p w14:paraId="3FE6023F" w14:textId="77777777" w:rsidR="00772179" w:rsidRDefault="00000000">
      <w:pPr>
        <w:pStyle w:val="Author-eSectionHeading6Numberless"/>
      </w:pPr>
      <w:bookmarkStart w:id="472" w:name="_Toc220490192"/>
      <w:r>
        <w:lastRenderedPageBreak/>
        <w:t>41.83.1b Volets roulants extérieurs (contrevents) appliqués - rénovation</w:t>
      </w:r>
      <w:bookmarkEnd w:id="472"/>
    </w:p>
    <w:p w14:paraId="75F0F969" w14:textId="77777777" w:rsidR="00772179" w:rsidRDefault="00000000">
      <w:pPr>
        <w:pStyle w:val="Author-eSectionHeading6Numberless"/>
      </w:pPr>
      <w:bookmarkStart w:id="473" w:name="_Toc220490193"/>
      <w:r>
        <w:t>41.83.1c Volets roulants extérieurs (contrevents) projetants - rénovation</w:t>
      </w:r>
      <w:bookmarkEnd w:id="473"/>
    </w:p>
    <w:p w14:paraId="389D18C5" w14:textId="77777777" w:rsidR="00772179" w:rsidRDefault="00000000">
      <w:pPr>
        <w:pStyle w:val="Author-eSectionHeading6Numberless"/>
      </w:pPr>
      <w:bookmarkStart w:id="474" w:name="_Toc220490194"/>
      <w:r>
        <w:t>41.83.1d Volets extérieurs (contrevents) battants - rénovation</w:t>
      </w:r>
      <w:bookmarkEnd w:id="474"/>
    </w:p>
    <w:p w14:paraId="7DCC1F7F" w14:textId="77777777" w:rsidR="00772179" w:rsidRDefault="00000000">
      <w:pPr>
        <w:pStyle w:val="Author-eSectionHeading5Numberless"/>
      </w:pPr>
      <w:bookmarkStart w:id="475" w:name="_Toc220490195"/>
      <w:r>
        <w:t>41.83.2 Volets intérieurs - rénovation</w:t>
      </w:r>
      <w:bookmarkEnd w:id="475"/>
    </w:p>
    <w:p w14:paraId="1AE1347D" w14:textId="77777777" w:rsidR="00772179" w:rsidRDefault="00000000">
      <w:pPr>
        <w:pStyle w:val="Author-eSectionHeading6Numberless"/>
      </w:pPr>
      <w:bookmarkStart w:id="476" w:name="_Toc220490196"/>
      <w:r>
        <w:t>41.83.2a Volets roulants intérieurs encastrés - rénovation</w:t>
      </w:r>
      <w:bookmarkEnd w:id="476"/>
    </w:p>
    <w:p w14:paraId="4CA761DF" w14:textId="77777777" w:rsidR="00772179" w:rsidRDefault="00000000">
      <w:pPr>
        <w:pStyle w:val="Author-eSectionHeading6Numberless"/>
      </w:pPr>
      <w:bookmarkStart w:id="477" w:name="_Toc220490197"/>
      <w:r>
        <w:t>41.83.2b Volets roulants intérieurs appliqués - rénovation</w:t>
      </w:r>
      <w:bookmarkEnd w:id="477"/>
    </w:p>
    <w:p w14:paraId="4C628645" w14:textId="77777777" w:rsidR="00772179" w:rsidRDefault="00000000">
      <w:pPr>
        <w:pStyle w:val="Author-eSectionHeading6Numberless"/>
      </w:pPr>
      <w:bookmarkStart w:id="478" w:name="_Toc220490198"/>
      <w:r>
        <w:t>41.83.2c Volets roulants intérieurs projetants - rénovation</w:t>
      </w:r>
      <w:bookmarkEnd w:id="478"/>
    </w:p>
    <w:p w14:paraId="7AC5F23C" w14:textId="77777777" w:rsidR="00772179" w:rsidRDefault="00000000">
      <w:pPr>
        <w:pStyle w:val="Author-eSectionHeading6Numberless"/>
      </w:pPr>
      <w:bookmarkStart w:id="479" w:name="_Toc220490199"/>
      <w:r>
        <w:t>41.83.2d Volets intérieurs battants - rénovation</w:t>
      </w:r>
      <w:bookmarkEnd w:id="479"/>
    </w:p>
    <w:p w14:paraId="16EADA97" w14:textId="77777777" w:rsidR="00772179" w:rsidRDefault="00000000">
      <w:pPr>
        <w:pStyle w:val="Author-eSectionHeading5Numberless"/>
      </w:pPr>
      <w:bookmarkStart w:id="480" w:name="_Toc220490200"/>
      <w:r>
        <w:t>41.83.3 Persiennes - rénovation</w:t>
      </w:r>
      <w:bookmarkEnd w:id="480"/>
    </w:p>
    <w:p w14:paraId="4AD090D2" w14:textId="77777777" w:rsidR="00772179" w:rsidRDefault="00000000">
      <w:pPr>
        <w:pStyle w:val="Author-eSectionHeading6Numberless"/>
      </w:pPr>
      <w:bookmarkStart w:id="481" w:name="_Toc220490201"/>
      <w:r>
        <w:t>41.83.3a Persiennes - rénovation</w:t>
      </w:r>
      <w:bookmarkEnd w:id="481"/>
    </w:p>
    <w:p w14:paraId="3E50AA72" w14:textId="77777777" w:rsidR="00772179" w:rsidRDefault="00000000">
      <w:pPr>
        <w:pStyle w:val="Author-eSectionHeading4Numberless"/>
      </w:pPr>
      <w:bookmarkStart w:id="482" w:name="_Toc220490202"/>
      <w:r>
        <w:t>41.84 Vérandas / verrières - rénovation</w:t>
      </w:r>
      <w:bookmarkEnd w:id="482"/>
    </w:p>
    <w:p w14:paraId="37A7AF4E" w14:textId="77777777" w:rsidR="00772179" w:rsidRDefault="00000000">
      <w:pPr>
        <w:pStyle w:val="Author-eSectionHeading5Numberless"/>
      </w:pPr>
      <w:bookmarkStart w:id="483" w:name="_Toc220490203"/>
      <w:r>
        <w:t>41.84.1 Vérandas / verrières en bois - rénovation</w:t>
      </w:r>
      <w:bookmarkEnd w:id="483"/>
    </w:p>
    <w:p w14:paraId="36FD1FA6" w14:textId="77777777" w:rsidR="00772179" w:rsidRDefault="00000000">
      <w:pPr>
        <w:pStyle w:val="Author-eSectionHeading5Numberless"/>
      </w:pPr>
      <w:bookmarkStart w:id="484" w:name="_Toc220490204"/>
      <w:r>
        <w:t>41.84.2 Vérandas / verrières en aluminium - rénovation</w:t>
      </w:r>
      <w:bookmarkEnd w:id="484"/>
    </w:p>
    <w:p w14:paraId="27B3F4C1" w14:textId="77777777" w:rsidR="00772179" w:rsidRDefault="00000000">
      <w:pPr>
        <w:pStyle w:val="Author-eSectionHeading5Numberless"/>
      </w:pPr>
      <w:bookmarkStart w:id="485" w:name="_Toc220490205"/>
      <w:r>
        <w:t>41.84.3 Vérandas / verrières en acier - rénovation</w:t>
      </w:r>
      <w:bookmarkEnd w:id="485"/>
    </w:p>
    <w:p w14:paraId="3DC15499" w14:textId="77777777" w:rsidR="00772179" w:rsidRDefault="00000000">
      <w:pPr>
        <w:pStyle w:val="Author-eSectionHeading5Numberless"/>
      </w:pPr>
      <w:bookmarkStart w:id="486" w:name="_Toc220490206"/>
      <w:r>
        <w:t>41.84.4 Vérandas / verrières en fonte - rénovation</w:t>
      </w:r>
      <w:bookmarkEnd w:id="486"/>
    </w:p>
    <w:p w14:paraId="3CD74C2C" w14:textId="77777777" w:rsidR="00772179" w:rsidRDefault="00000000">
      <w:pPr>
        <w:pStyle w:val="Author-eSectionHeading5Numberless"/>
      </w:pPr>
      <w:bookmarkStart w:id="487" w:name="_Toc220490207"/>
      <w:r>
        <w:t>41.84.5 Vérandas / verrières en fer forgé - rénovation</w:t>
      </w:r>
      <w:bookmarkEnd w:id="487"/>
    </w:p>
    <w:p w14:paraId="2A91FE9D" w14:textId="77777777" w:rsidR="00772179" w:rsidRDefault="00000000">
      <w:pPr>
        <w:pStyle w:val="Author-eSectionHeading4Numberless"/>
      </w:pPr>
      <w:bookmarkStart w:id="488" w:name="_Toc220490208"/>
      <w:r>
        <w:t>41.85 Eléments particuliers et accessoires - rénovation</w:t>
      </w:r>
      <w:bookmarkEnd w:id="488"/>
    </w:p>
    <w:p w14:paraId="3DE1A394" w14:textId="77777777" w:rsidR="00772179" w:rsidRDefault="00000000">
      <w:pPr>
        <w:pStyle w:val="Author-eSectionHeading5Numberless"/>
      </w:pPr>
      <w:bookmarkStart w:id="489" w:name="_Toc220490209"/>
      <w:r>
        <w:t>41.85.1 Seuils - rénovation</w:t>
      </w:r>
      <w:bookmarkEnd w:id="489"/>
    </w:p>
    <w:p w14:paraId="144D36BD" w14:textId="77777777" w:rsidR="00772179" w:rsidRDefault="00000000">
      <w:pPr>
        <w:pStyle w:val="Author-eSectionHeading6Numberless"/>
      </w:pPr>
      <w:bookmarkStart w:id="490" w:name="_Toc220490210"/>
      <w:r>
        <w:t>41.85.1a Seuils - rénovation</w:t>
      </w:r>
      <w:bookmarkEnd w:id="490"/>
    </w:p>
    <w:p w14:paraId="7139BF8F" w14:textId="77777777" w:rsidR="00772179" w:rsidRDefault="00000000">
      <w:pPr>
        <w:pStyle w:val="Author-eSectionHeading5Numberless"/>
      </w:pPr>
      <w:bookmarkStart w:id="491" w:name="_Toc220490211"/>
      <w:r>
        <w:t>41.85.2 Quincailleries - rénovation</w:t>
      </w:r>
      <w:bookmarkEnd w:id="491"/>
    </w:p>
    <w:p w14:paraId="4F76B50E" w14:textId="77777777" w:rsidR="00772179" w:rsidRDefault="00000000">
      <w:pPr>
        <w:pStyle w:val="Author-eSectionHeading6Numberless"/>
      </w:pPr>
      <w:bookmarkStart w:id="492" w:name="_Toc220490212"/>
      <w:r>
        <w:t>41.85.2a Quincailleries - rénovation - charnières et paumelles</w:t>
      </w:r>
      <w:bookmarkEnd w:id="492"/>
    </w:p>
    <w:p w14:paraId="180CA757" w14:textId="77777777" w:rsidR="00772179" w:rsidRDefault="00000000">
      <w:pPr>
        <w:pStyle w:val="Author-eSectionHeading6Numberless"/>
      </w:pPr>
      <w:bookmarkStart w:id="493" w:name="_Toc220490213"/>
      <w:r>
        <w:t>41.85.2b Quincailleries - rénovation - serrures</w:t>
      </w:r>
      <w:bookmarkEnd w:id="493"/>
    </w:p>
    <w:p w14:paraId="387C727F" w14:textId="77777777" w:rsidR="00772179" w:rsidRDefault="00000000">
      <w:pPr>
        <w:pStyle w:val="Author-eSectionHeading6Numberless"/>
      </w:pPr>
      <w:bookmarkStart w:id="494" w:name="_Toc220490214"/>
      <w:r>
        <w:t>41.85.2c Quincailleries - rénovation - poignées</w:t>
      </w:r>
      <w:bookmarkEnd w:id="494"/>
    </w:p>
    <w:p w14:paraId="19414D54" w14:textId="77777777" w:rsidR="00772179" w:rsidRDefault="00000000">
      <w:pPr>
        <w:pStyle w:val="Author-eSectionHeading6Numberless"/>
      </w:pPr>
      <w:bookmarkStart w:id="495" w:name="_Toc220490215"/>
      <w:r>
        <w:t>41.85.2d Quincailleries - rénovation - systèmes d'ouverture mécanique</w:t>
      </w:r>
      <w:bookmarkEnd w:id="495"/>
    </w:p>
    <w:p w14:paraId="79404529" w14:textId="77777777" w:rsidR="00772179" w:rsidRDefault="00000000">
      <w:pPr>
        <w:pStyle w:val="Author-eSectionHeading6Numberless"/>
      </w:pPr>
      <w:bookmarkStart w:id="496" w:name="_Toc220490216"/>
      <w:r>
        <w:t>41.85.2e Quincailleries - rénovation - systèmes d'ouverture électronique</w:t>
      </w:r>
      <w:bookmarkEnd w:id="496"/>
    </w:p>
    <w:p w14:paraId="31AA3832" w14:textId="77777777" w:rsidR="00772179" w:rsidRDefault="00000000">
      <w:pPr>
        <w:pStyle w:val="Author-eSectionHeading6Numberless"/>
      </w:pPr>
      <w:bookmarkStart w:id="497" w:name="_Toc220490217"/>
      <w:r>
        <w:t>41.85.2f Quincailleries - rénovation - barres anti-panique</w:t>
      </w:r>
      <w:bookmarkEnd w:id="497"/>
    </w:p>
    <w:p w14:paraId="6A3AAB35" w14:textId="77777777" w:rsidR="00772179" w:rsidRDefault="00000000">
      <w:pPr>
        <w:pStyle w:val="Author-eSectionHeading6Numberless"/>
      </w:pPr>
      <w:bookmarkStart w:id="498" w:name="_Toc220490218"/>
      <w:r>
        <w:t>41.85.2g Quincailleries - rénovation - ferme-portes</w:t>
      </w:r>
      <w:bookmarkEnd w:id="498"/>
    </w:p>
    <w:p w14:paraId="67C6F04F" w14:textId="77777777" w:rsidR="00772179" w:rsidRDefault="00000000">
      <w:pPr>
        <w:pStyle w:val="Author-eSectionHeading6Numberless"/>
      </w:pPr>
      <w:bookmarkStart w:id="499" w:name="_Toc220490219"/>
      <w:r>
        <w:t>41.85.2h Quincailleries - rénovation - dispositifs d'arrêt de porte</w:t>
      </w:r>
      <w:bookmarkEnd w:id="499"/>
    </w:p>
    <w:p w14:paraId="55FE01A8" w14:textId="77777777" w:rsidR="00772179" w:rsidRDefault="00000000">
      <w:pPr>
        <w:pStyle w:val="Author-eSectionHeading6Numberless"/>
      </w:pPr>
      <w:bookmarkStart w:id="500" w:name="_Toc220490220"/>
      <w:r>
        <w:t>41.85.2i Quincailleries - rénovation - axes d'ouverture sur pivots</w:t>
      </w:r>
      <w:bookmarkEnd w:id="500"/>
    </w:p>
    <w:p w14:paraId="0C9266A5" w14:textId="77777777" w:rsidR="00772179" w:rsidRDefault="00000000">
      <w:pPr>
        <w:pStyle w:val="Author-eSectionHeading6Numberless"/>
      </w:pPr>
      <w:bookmarkStart w:id="501" w:name="_Toc220490221"/>
      <w:r>
        <w:t>41.85.2j Quincailleries - rénovation - espagnolettes</w:t>
      </w:r>
      <w:bookmarkEnd w:id="501"/>
    </w:p>
    <w:p w14:paraId="67788EE5" w14:textId="77777777" w:rsidR="00772179" w:rsidRDefault="00000000">
      <w:pPr>
        <w:pStyle w:val="Author-eSectionHeading6Numberless"/>
      </w:pPr>
      <w:bookmarkStart w:id="502" w:name="_Toc220490222"/>
      <w:r>
        <w:t>41.85.2k Quincailleries - rénovation - crémones</w:t>
      </w:r>
      <w:bookmarkEnd w:id="502"/>
    </w:p>
    <w:p w14:paraId="170EE7EC" w14:textId="77777777" w:rsidR="00772179" w:rsidRDefault="00000000">
      <w:pPr>
        <w:pStyle w:val="Author-eSectionHeading6Numberless"/>
      </w:pPr>
      <w:bookmarkStart w:id="503" w:name="_Toc220490223"/>
      <w:r>
        <w:t>41.85.2l Quincailleries - rénovation - verrous</w:t>
      </w:r>
      <w:bookmarkEnd w:id="503"/>
    </w:p>
    <w:p w14:paraId="31E3FE76" w14:textId="77777777" w:rsidR="00772179" w:rsidRDefault="00000000">
      <w:pPr>
        <w:pStyle w:val="Author-eSectionHeading2Numberless"/>
      </w:pPr>
      <w:bookmarkStart w:id="504" w:name="_Toc220490224"/>
      <w:r>
        <w:lastRenderedPageBreak/>
        <w:t>42 Vitrages extérieurs et éléments de remplissage CCTB 01.11</w:t>
      </w:r>
      <w:bookmarkEnd w:id="504"/>
    </w:p>
    <w:p w14:paraId="12A5B16A" w14:textId="77777777" w:rsidR="00772179" w:rsidRDefault="00000000">
      <w:pPr>
        <w:pStyle w:val="pheading"/>
      </w:pPr>
      <w:bookmarkStart w:id="505" w:name="852"/>
      <w:bookmarkEnd w:id="505"/>
      <w:r>
        <w:t>DESCRIPTION</w:t>
      </w:r>
    </w:p>
    <w:p w14:paraId="7993D9FD" w14:textId="77777777" w:rsidR="00772179" w:rsidRDefault="00000000">
      <w:pPr>
        <w:pStyle w:val="pheading"/>
      </w:pPr>
      <w:r>
        <w:t>- Définition / Comprend</w:t>
      </w:r>
    </w:p>
    <w:p w14:paraId="381EBEBD" w14:textId="77777777" w:rsidR="00772179" w:rsidRDefault="00000000">
      <w:r>
        <w:t>Ce chapitre comprend tous les travaux et fournitures indispensables à la pose des vitrages extérieurs et/ou des panneaux de remplissages prescrits dans le cahier spécial des charges, y compris tous les accessoires, c'est-à-dire le vitrage, les cales, les mastics d'étanchéité, etc.</w:t>
      </w:r>
    </w:p>
    <w:p w14:paraId="0E882E02" w14:textId="77777777" w:rsidR="00772179" w:rsidRDefault="00000000">
      <w:r>
        <w:rPr>
          <w:i/>
          <w:u w:val="single"/>
        </w:rPr>
        <w:t>Attention</w:t>
      </w:r>
      <w:r>
        <w:br/>
        <w:t>Les parcloses et leurs moyens de fixation sont décrits dans le chapitre des profils des fenêtres, titre </w:t>
      </w:r>
      <w:hyperlink w:anchor="64" w:history="1">
        <w:r>
          <w:rPr>
            <w:color w:val="0000EE"/>
          </w:rPr>
          <w:t>41.1 Fenêtres et portes-fenêtres</w:t>
        </w:r>
      </w:hyperlink>
    </w:p>
    <w:p w14:paraId="1959B1EF" w14:textId="77777777" w:rsidR="00772179" w:rsidRDefault="00000000">
      <w:pPr>
        <w:pStyle w:val="pheading"/>
      </w:pPr>
      <w:r>
        <w:t>MATÉRIAUX</w:t>
      </w:r>
    </w:p>
    <w:p w14:paraId="210BE1F0" w14:textId="77777777" w:rsidR="00772179" w:rsidRDefault="00000000">
      <w:r>
        <w:rPr>
          <w:b/>
          <w:sz w:val="24"/>
        </w:rPr>
        <w:t>Mode de fabrication - Différents types de vitrage</w:t>
      </w:r>
    </w:p>
    <w:p w14:paraId="5FE76BEF" w14:textId="77777777" w:rsidR="00772179" w:rsidRDefault="00000000">
      <w:pPr>
        <w:pStyle w:val="Author-eListParagraph"/>
        <w:numPr>
          <w:ilvl w:val="0"/>
          <w:numId w:val="787"/>
        </w:numPr>
      </w:pPr>
      <w:r>
        <w:t>L'aspect, les caractéristiques particulières et les critères de qualité des types de vitrage prescrits sont établis dans le cahier spécial des charges et doivent correspondre aux dispositions de la norme [NBN S 23-002]</w:t>
      </w:r>
    </w:p>
    <w:p w14:paraId="4C248F0F" w14:textId="77777777" w:rsidR="00772179" w:rsidRDefault="00000000">
      <w:pPr>
        <w:pStyle w:val="Author-eListParagraph"/>
        <w:numPr>
          <w:ilvl w:val="0"/>
          <w:numId w:val="787"/>
        </w:numPr>
      </w:pPr>
      <w:r>
        <w:t>L'entrepreneur doit veiller à ce que les vitrages soient commandés et fournis à temps. Il est également seul responsable des dimensions et de l'épaisseur exacte des vitrages. Sur simple demande de l'administration, l'entrepreneur lui remet une documentation explicite et/ou des échantillons pour approbation. En ce qui concerne les vitrages de sécurité, les rapports des essais correspondants doivent également être soumis.</w:t>
      </w:r>
    </w:p>
    <w:p w14:paraId="3191071F" w14:textId="77777777" w:rsidR="00772179" w:rsidRDefault="00000000">
      <w:pPr>
        <w:pStyle w:val="Author-eListParagraph"/>
        <w:numPr>
          <w:ilvl w:val="0"/>
          <w:numId w:val="787"/>
        </w:numPr>
      </w:pPr>
      <w:r>
        <w:t>Conformément à la norme [NBN S 23-002], différents types de verres sont distingués :</w:t>
      </w:r>
    </w:p>
    <w:p w14:paraId="23CAED7B" w14:textId="77777777" w:rsidR="00772179" w:rsidRDefault="00000000">
      <w:pPr>
        <w:ind w:left="675"/>
      </w:pPr>
      <w:r>
        <w:t>⇒ Glace  (aussi dénommé verre flotté ou verre float ou verre simple)</w:t>
      </w:r>
    </w:p>
    <w:p w14:paraId="3B054A85" w14:textId="77777777" w:rsidR="00772179" w:rsidRDefault="00000000">
      <w:pPr>
        <w:ind w:left="675"/>
      </w:pPr>
      <w:r>
        <w:t>⇒ Verre étiré</w:t>
      </w:r>
    </w:p>
    <w:p w14:paraId="5508AB0E" w14:textId="77777777" w:rsidR="00772179" w:rsidRDefault="00000000">
      <w:pPr>
        <w:ind w:left="675"/>
      </w:pPr>
      <w:r>
        <w:t>⇒ Verre coulé</w:t>
      </w:r>
    </w:p>
    <w:p w14:paraId="489710A7" w14:textId="77777777" w:rsidR="00772179" w:rsidRDefault="00000000">
      <w:pPr>
        <w:ind w:left="675"/>
      </w:pPr>
      <w:r>
        <w:t>⇒ Verre moulé</w:t>
      </w:r>
    </w:p>
    <w:p w14:paraId="6666A4F7" w14:textId="77777777" w:rsidR="00772179" w:rsidRDefault="00000000">
      <w:pPr>
        <w:ind w:left="675"/>
      </w:pPr>
      <w:r>
        <w:t>⇒ Verre à caractéristiques particulières</w:t>
      </w:r>
    </w:p>
    <w:p w14:paraId="0AD390D1" w14:textId="77777777" w:rsidR="00772179" w:rsidRDefault="00000000">
      <w:pPr>
        <w:ind w:left="675"/>
      </w:pPr>
      <w:r>
        <w:t>⇒ Vitrage de sécurité</w:t>
      </w:r>
    </w:p>
    <w:p w14:paraId="716769C8" w14:textId="77777777" w:rsidR="00772179" w:rsidRDefault="00000000">
      <w:pPr>
        <w:ind w:left="675"/>
      </w:pPr>
      <w:r>
        <w:t xml:space="preserve">⇒ </w:t>
      </w:r>
      <w:r>
        <w:rPr>
          <w:rStyle w:val="optioncarChar"/>
        </w:rPr>
        <w:t>Verre feuilleté / Verre trempé </w:t>
      </w:r>
    </w:p>
    <w:p w14:paraId="2751FEEA" w14:textId="77777777" w:rsidR="00772179" w:rsidRDefault="00000000">
      <w:pPr>
        <w:ind w:left="675"/>
      </w:pPr>
      <w:r>
        <w:t xml:space="preserve">⇒ </w:t>
      </w:r>
      <w:r>
        <w:rPr>
          <w:rStyle w:val="optioncarChar"/>
        </w:rPr>
        <w:t>Verre à couches / Verre maté / verre sablé / verre sérigraphié / verre émaillé / verre laqué / autre </w:t>
      </w:r>
    </w:p>
    <w:p w14:paraId="0FAD2829" w14:textId="77777777" w:rsidR="00772179" w:rsidRDefault="00000000">
      <w:pPr>
        <w:ind w:left="675"/>
      </w:pPr>
      <w:r>
        <w:t>⇒ Vitrage isolant</w:t>
      </w:r>
    </w:p>
    <w:p w14:paraId="00EA5583" w14:textId="77777777" w:rsidR="00772179" w:rsidRDefault="00000000">
      <w:pPr>
        <w:pStyle w:val="Author-eListParagraph"/>
        <w:numPr>
          <w:ilvl w:val="0"/>
          <w:numId w:val="788"/>
        </w:numPr>
      </w:pPr>
      <w:r>
        <w:t>Pour plus d'informations, consultez le site de la 'Fédération de l'industrie du verre' (http://www.vgi-fiv.be). </w:t>
      </w:r>
    </w:p>
    <w:p w14:paraId="38DF20F0" w14:textId="77777777" w:rsidR="00772179" w:rsidRDefault="00000000">
      <w:r>
        <w:rPr>
          <w:b/>
          <w:sz w:val="24"/>
        </w:rPr>
        <w:t>Détermination de l'épaisseur des plaques de verre.</w:t>
      </w:r>
    </w:p>
    <w:p w14:paraId="62FF6051" w14:textId="77777777" w:rsidR="00772179" w:rsidRDefault="00000000">
      <w:pPr>
        <w:pStyle w:val="Author-eListParagraph"/>
        <w:numPr>
          <w:ilvl w:val="0"/>
          <w:numId w:val="789"/>
        </w:numPr>
      </w:pPr>
      <w:r>
        <w:t>L'épaisseur des vitres est déterminée par l'entrepreneur des vitrages, conformément aux normes [NBN S 23-002] et [NBN S 23-002-3]. </w:t>
      </w:r>
    </w:p>
    <w:p w14:paraId="7A1EF384" w14:textId="77777777" w:rsidR="00772179" w:rsidRDefault="00000000">
      <w:r>
        <w:t>Les</w:t>
      </w:r>
      <w:r>
        <w:rPr>
          <w:rStyle w:val="optioncarChar"/>
        </w:rPr>
        <w:t xml:space="preserve"> vitrages isolants / verres feuilletés / verres trempés / verres trempés Heat soaked / verres à couches / *** </w:t>
      </w:r>
      <w:r>
        <w:t>répondent à la déclaration de conformité</w:t>
      </w:r>
      <w:r>
        <w:rPr>
          <w:rStyle w:val="optioncarChar"/>
        </w:rPr>
        <w:t> </w:t>
      </w:r>
      <w:r>
        <w:t>conformément aux normes harmonisées d'application. Les caractéristiques performantes sont déclarées.</w:t>
      </w:r>
    </w:p>
    <w:p w14:paraId="107104F8" w14:textId="77777777" w:rsidR="00772179" w:rsidRDefault="00000000">
      <w:r>
        <w:t>L'entrepreneur remet au maître d’ouvrage un certificat daté et signé par le producteur, qui s'engage à garantir le vitrage pour une durée de 10 ans, à compter de la date de fabrication mentionnée, contre tout trouble provoqué par la condensation ou les dépôts de poussière. La garantie oblige l'entrepreneur à livrer gratuitement un nouveau vitrage, y compris les frais de démontage et de pose.</w:t>
      </w:r>
    </w:p>
    <w:p w14:paraId="5AD854DD" w14:textId="77777777" w:rsidR="00772179" w:rsidRDefault="00000000">
      <w:r>
        <w:rPr>
          <w:b/>
          <w:sz w:val="24"/>
          <w:shd w:val="clear" w:color="auto" w:fill="FFFFFF"/>
        </w:rPr>
        <w:t>Valeur de l'isolation  </w:t>
      </w:r>
    </w:p>
    <w:p w14:paraId="383C9A05" w14:textId="77777777" w:rsidR="00772179" w:rsidRDefault="00000000">
      <w:r>
        <w:lastRenderedPageBreak/>
        <w:t>La valeur déclarée (λ</w:t>
      </w:r>
      <w:r>
        <w:rPr>
          <w:vertAlign w:val="subscript"/>
        </w:rPr>
        <w:t>D</w:t>
      </w:r>
      <w:r>
        <w:t xml:space="preserve"> ou R</w:t>
      </w:r>
      <w:r>
        <w:rPr>
          <w:vertAlign w:val="subscript"/>
        </w:rPr>
        <w:t>D</w:t>
      </w:r>
      <w:r>
        <w:t>) des produits pour lesquels l'isolation est une propriété importante est déterminée selon les principes donnés dans la [NBN EN ISO 10456].</w:t>
      </w:r>
      <w:r>
        <w:br/>
        <w:t>La valeur Ug des vitrages est calculée ou mesurée selon les normes belges [NBN EN 673] et/ou [NBN EN 674].</w:t>
      </w:r>
    </w:p>
    <w:p w14:paraId="07ED95B3" w14:textId="77777777" w:rsidR="00772179" w:rsidRDefault="00000000">
      <w:r>
        <w:rPr>
          <w:shd w:val="clear" w:color="auto" w:fill="FFFFFF"/>
        </w:rPr>
        <w:t xml:space="preserve">La valeur U (ou Ug) exigée </w:t>
      </w:r>
      <w:r>
        <w:t>des</w:t>
      </w:r>
      <w:r>
        <w:rPr>
          <w:rStyle w:val="optioncarChar"/>
        </w:rPr>
        <w:t> vitrages / éléments translucides ou transparents / éléments de remplissage opaques</w:t>
      </w:r>
      <w:r>
        <w:t>, san</w:t>
      </w:r>
      <w:r>
        <w:rPr>
          <w:shd w:val="clear" w:color="auto" w:fill="FFFFFF"/>
        </w:rPr>
        <w:t>s tenir compte des effets d'arêtes, s'élève à U ≤ </w:t>
      </w:r>
      <w:r>
        <w:rPr>
          <w:rStyle w:val="optioncarChar"/>
          <w:shd w:val="clear" w:color="auto" w:fill="FFFFFF"/>
        </w:rPr>
        <w:t xml:space="preserve">0,5 / 1,1 </w:t>
      </w:r>
      <w:r>
        <w:t>(par défaut)</w:t>
      </w:r>
      <w:r>
        <w:rPr>
          <w:rStyle w:val="optioncarChar"/>
          <w:shd w:val="clear" w:color="auto" w:fill="FFFFFF"/>
        </w:rPr>
        <w:t xml:space="preserve"> / 1,2 / 1,6 / 2,0 </w:t>
      </w:r>
      <w:r>
        <w:rPr>
          <w:shd w:val="clear" w:color="auto" w:fill="FFFFFF"/>
        </w:rPr>
        <w:t>W/m²K.   </w:t>
      </w:r>
    </w:p>
    <w:p w14:paraId="4094AC60" w14:textId="77777777" w:rsidR="00772179" w:rsidRDefault="00000000">
      <w:r>
        <w:rPr>
          <w:b/>
          <w:sz w:val="24"/>
        </w:rPr>
        <w:t>Contrôle solaire (pour les vitrages et éléments translucides ou transparents)</w:t>
      </w:r>
    </w:p>
    <w:p w14:paraId="22A5A922" w14:textId="77777777" w:rsidR="00772179" w:rsidRDefault="00000000">
      <w:r>
        <w:t>La transmission lumineuse (facteur τ</w:t>
      </w:r>
      <w:r>
        <w:rPr>
          <w:vertAlign w:val="subscript"/>
        </w:rPr>
        <w:t>v</w:t>
      </w:r>
      <w:r>
        <w:t xml:space="preserve">) est d'au moins </w:t>
      </w:r>
      <w:r>
        <w:rPr>
          <w:rStyle w:val="optioncarChar"/>
        </w:rPr>
        <w:t>50 / 60 / 70 / 78</w:t>
      </w:r>
      <w:r>
        <w:t xml:space="preserve"> %. La teinte du </w:t>
      </w:r>
      <w:r>
        <w:rPr>
          <w:rStyle w:val="optioncarChar"/>
        </w:rPr>
        <w:t>verre / de l'élément translucide ou transparent</w:t>
      </w:r>
      <w:r>
        <w:t> est </w:t>
      </w:r>
      <w:r>
        <w:rPr>
          <w:rStyle w:val="optioncarChar"/>
        </w:rPr>
        <w:t>neutre</w:t>
      </w:r>
      <w:r>
        <w:t>.</w:t>
      </w:r>
    </w:p>
    <w:p w14:paraId="4856310D" w14:textId="77777777" w:rsidR="00772179" w:rsidRDefault="00000000">
      <w:r>
        <w:t xml:space="preserve">Le facteur solaire (facteur g) est ≥ </w:t>
      </w:r>
      <w:r>
        <w:rPr>
          <w:rStyle w:val="optioncarChar"/>
        </w:rPr>
        <w:t>27 / 40 / 60 / 65</w:t>
      </w:r>
      <w:r>
        <w:t xml:space="preserve"> %.</w:t>
      </w:r>
    </w:p>
    <w:p w14:paraId="2DA4A64D" w14:textId="77777777" w:rsidR="00772179" w:rsidRDefault="00000000">
      <w:pPr>
        <w:pStyle w:val="pheading"/>
      </w:pPr>
      <w:r>
        <w:t>EXÉCUTION / MISE EN ŒUVRE</w:t>
      </w:r>
    </w:p>
    <w:p w14:paraId="208CA500" w14:textId="77777777" w:rsidR="00772179" w:rsidRDefault="00000000">
      <w:r>
        <w:rPr>
          <w:b/>
          <w:sz w:val="24"/>
        </w:rPr>
        <w:t>Feuillures - Parcloses</w:t>
      </w:r>
    </w:p>
    <w:p w14:paraId="4EA2C059" w14:textId="77777777" w:rsidR="00772179" w:rsidRDefault="00000000">
      <w:pPr>
        <w:pStyle w:val="Author-eListParagraph"/>
        <w:numPr>
          <w:ilvl w:val="0"/>
          <w:numId w:val="790"/>
        </w:numPr>
      </w:pPr>
      <w:r>
        <w:t>Les vitrages ne sont posés que lorsque les feuillures et les parcloses ont reçu la couche de finition des châssis de fenêtre.</w:t>
      </w:r>
    </w:p>
    <w:p w14:paraId="54B9FDE2" w14:textId="77777777" w:rsidR="00772179" w:rsidRDefault="00000000">
      <w:pPr>
        <w:pStyle w:val="Author-eListParagraph"/>
        <w:numPr>
          <w:ilvl w:val="0"/>
          <w:numId w:val="790"/>
        </w:numPr>
      </w:pPr>
      <w:r>
        <w:t>Les dimensions des feuilles de verre sont telles qu'elles s'adaptent librement dans les feuillures. Avant la pose des vitrages, les feuillures, les parcloses et les bords des vitres seront nettoyés et dégraissés. Le vitrage est toujours posé de l'intérieur, les parcloses se situent également à l'intérieur.</w:t>
      </w:r>
    </w:p>
    <w:p w14:paraId="7E4DA1FC" w14:textId="77777777" w:rsidR="00772179" w:rsidRDefault="00000000">
      <w:pPr>
        <w:pStyle w:val="Author-eListParagraph"/>
        <w:numPr>
          <w:ilvl w:val="0"/>
          <w:numId w:val="790"/>
        </w:numPr>
      </w:pPr>
      <w:r>
        <w:t>Les dimensions des parcloses sont accordées à l'épaisseur du vitrage, de la feuillure, du profil des châssis et elles sont fixées sur toute leur longueur à l'aide d'un système à enclenchement ou avec des vis ou clous inoxydables (pour les profilés en bois).</w:t>
      </w:r>
    </w:p>
    <w:p w14:paraId="034C4D6B" w14:textId="77777777" w:rsidR="00772179" w:rsidRDefault="00000000">
      <w:pPr>
        <w:pStyle w:val="Author-eListParagraph"/>
        <w:numPr>
          <w:ilvl w:val="0"/>
          <w:numId w:val="790"/>
        </w:numPr>
      </w:pPr>
      <w:r>
        <w:t>La hauteur utile des feuillures est conforme à la [NIT 221].</w:t>
      </w:r>
    </w:p>
    <w:p w14:paraId="2142A191" w14:textId="77777777" w:rsidR="00772179" w:rsidRDefault="00000000">
      <w:r>
        <w:rPr>
          <w:b/>
          <w:sz w:val="24"/>
        </w:rPr>
        <w:t>Fixation du vitrage - Cales à vitrage</w:t>
      </w:r>
    </w:p>
    <w:p w14:paraId="143D0B27" w14:textId="77777777" w:rsidR="00772179" w:rsidRDefault="00000000">
      <w:pPr>
        <w:pStyle w:val="Author-eListParagraph"/>
        <w:numPr>
          <w:ilvl w:val="0"/>
          <w:numId w:val="791"/>
        </w:numPr>
      </w:pPr>
      <w:r>
        <w:t>Aucune feuille de verre ne peut être en contact direct avec des matériaux durs, sans intercalage de cales à vitrage à la fois compatibles avec le vitrage et le mastic et/ou les profils d'étanchéité continus. Pour les cales à vitrage, on peut utiliser [NIT 221] :</w:t>
      </w:r>
    </w:p>
    <w:p w14:paraId="04E188A0" w14:textId="77777777" w:rsidR="00772179" w:rsidRDefault="00000000">
      <w:pPr>
        <w:ind w:left="675"/>
      </w:pPr>
      <w:r>
        <w:t>⇒ des cales en matériau synthétique, élastique et imputrescible, dureté Shore-A 50 à 95, selon leur fonction (cales de support C1 -&gt; 705 à 95, cales de distance C2 -&gt; 70 à 95, cales d'espacement C3 -&gt; 50 à 70).</w:t>
      </w:r>
    </w:p>
    <w:p w14:paraId="5B43111B" w14:textId="77777777" w:rsidR="00772179" w:rsidRDefault="00000000">
      <w:pPr>
        <w:ind w:left="675"/>
      </w:pPr>
      <w:r>
        <w:t>⇒ des cales en bois dur imprégné, prêtes à l'usage (hêtre, sipo, teak, etc.) qui résistent à une pression de 15 kg/cm² (l'épaisseur des cales est indiquée par un code de couleur);</w:t>
      </w:r>
      <w:r>
        <w:br/>
      </w:r>
      <w:r>
        <w:rPr>
          <w:i/>
          <w:u w:val="single"/>
        </w:rPr>
        <w:t>Attention</w:t>
      </w:r>
      <w:r>
        <w:t xml:space="preserve"> : ne sont pas utilisés comme cales d'espacement!</w:t>
      </w:r>
    </w:p>
    <w:p w14:paraId="36F40E61" w14:textId="77777777" w:rsidR="00772179" w:rsidRDefault="00000000">
      <w:r>
        <w:t>L'épaisseur, la largeur et la longueur minimales des cales à vitrage répondent, selon la fonction des blocs (support, réglage, espacement), aux dispositions de la [NIT 221]. Pour déterminer la position des cales, il faut tenir compte du type de châssis et de leur mode de suspension, du système de verrouillage et de la garantie que :</w:t>
      </w:r>
    </w:p>
    <w:p w14:paraId="4BD86359" w14:textId="77777777" w:rsidR="00772179" w:rsidRDefault="00000000">
      <w:pPr>
        <w:ind w:left="675"/>
      </w:pPr>
      <w:r>
        <w:t>⇒ le drainage du fond de feuillure ne soit pas empêché et les ouvertures de drainage obturées ;</w:t>
      </w:r>
    </w:p>
    <w:p w14:paraId="47682B71" w14:textId="77777777" w:rsidR="00772179" w:rsidRDefault="00000000">
      <w:pPr>
        <w:ind w:left="675"/>
      </w:pPr>
      <w:r>
        <w:t>⇒ toute l'épaisseur du vitrage repose sur les cales et qu’elles puissent supporter tout le poids du vitrage ;</w:t>
      </w:r>
    </w:p>
    <w:p w14:paraId="02576D4A" w14:textId="77777777" w:rsidR="00772179" w:rsidRDefault="00000000">
      <w:pPr>
        <w:ind w:left="675"/>
      </w:pPr>
      <w:r>
        <w:t>⇒ l'équerrage du châssis de fenêtre et son bon fonctionnement soient assurés et que les déformations soient exclues.</w:t>
      </w:r>
    </w:p>
    <w:p w14:paraId="6F085E30" w14:textId="77777777" w:rsidR="00772179" w:rsidRDefault="00000000">
      <w:r>
        <w:t>Le vitrier vérifie à l'avance s'il n'y a pas, dans les environs des vitrages, des éléments qui risquent de former de l'ombre (protections solaires, garde-corps, …) afin de prévenir la rupture thermique. </w:t>
      </w:r>
    </w:p>
    <w:p w14:paraId="2F123B05" w14:textId="77777777" w:rsidR="00772179" w:rsidRDefault="00000000">
      <w:r>
        <w:rPr>
          <w:b/>
          <w:sz w:val="24"/>
        </w:rPr>
        <w:t>Joints du vitrage - Parcloses - Joints Plastiques</w:t>
      </w:r>
    </w:p>
    <w:p w14:paraId="696F08A7" w14:textId="77777777" w:rsidR="00772179" w:rsidRDefault="00000000">
      <w:r>
        <w:t>(Voir également [NIT 221] et [STS 56.1])</w:t>
      </w:r>
    </w:p>
    <w:p w14:paraId="63ABE6B4" w14:textId="77777777" w:rsidR="00772179" w:rsidRDefault="00000000">
      <w:r>
        <w:lastRenderedPageBreak/>
        <w:t>Tous les mastics utilisés sont compatibles avec les matériaux adjacents.  Après le rejointoiement, l'étanchéité au vent et à l'eau est parfaite. Il est conseillé d'utiliser des mastics qui satisfont aux critères d'acceptabilité du produit tels que définis dans l'article 02.42.1 Critères d'acceptabilité. Les prescriptions de mise en œuvre du fabricant, telles qu'elles sont publiées dans l'agrément technique, sont scrupuleusement respectées.</w:t>
      </w:r>
    </w:p>
    <w:p w14:paraId="54BE60C7" w14:textId="77777777" w:rsidR="00772179" w:rsidRDefault="00000000">
      <w:r>
        <w:rPr>
          <w:b/>
          <w:sz w:val="24"/>
        </w:rPr>
        <w:t>Produits d'étanchéité</w:t>
      </w:r>
    </w:p>
    <w:p w14:paraId="2693A6E2" w14:textId="77777777" w:rsidR="00772179" w:rsidRDefault="00000000">
      <w:r>
        <w:t>Les produits d'étanchéité sont conformes aux [STS 56.1] et à la [NIT 221].(Voir également [NBN S 23-002])       </w:t>
      </w:r>
    </w:p>
    <w:p w14:paraId="0975F7DC" w14:textId="77777777" w:rsidR="00772179" w:rsidRDefault="00000000">
      <w:r>
        <w:t>Conformément à la rubrique 01.44 PSS travaux de façade, établie par le coordinateur-projet et annexée au cahier spécial des charges. Toutes les directives en la matière et les indications concrètes données par le coordinateur-réalisation sont scrupuleusement respectées.</w:t>
      </w:r>
    </w:p>
    <w:p w14:paraId="0DB2588A" w14:textId="77777777" w:rsidR="00772179" w:rsidRDefault="00000000">
      <w:pPr>
        <w:pStyle w:val="pheading"/>
      </w:pPr>
      <w:r>
        <w:t>CONTRÔLES</w:t>
      </w:r>
    </w:p>
    <w:p w14:paraId="0DFB60A8" w14:textId="77777777" w:rsidR="00772179" w:rsidRDefault="00000000">
      <w:r>
        <w:t>Après la pose du vitrage, il est indispensable de contrôler la bonne adhérence entre le vitrage, l'étanchéité des joints et les profilés. Après la pose et avant la réception provisoire, les vitres sont débarrassées des étiquettes et inscriptions, qui sont remises au maître d’ouvrage. Avant la réception provisoire, tous les vitrages et miroirs sont soigneusement dégraissés et entièrement nettoyés. Il ne peut subsister aucune trace de doigts, de mastic, d'étiquettes ou de poussière.</w:t>
      </w:r>
    </w:p>
    <w:p w14:paraId="7FB7BB2F" w14:textId="77777777" w:rsidR="00772179" w:rsidRDefault="00000000">
      <w:pPr>
        <w:pStyle w:val="heading"/>
      </w:pPr>
      <w:r>
        <w:t>Défauts entrainant le refus</w:t>
      </w:r>
    </w:p>
    <w:p w14:paraId="4694F615" w14:textId="77777777" w:rsidR="00772179" w:rsidRDefault="00000000">
      <w:r>
        <w:t>(Voir également [FIV Note 03]) </w:t>
      </w:r>
    </w:p>
    <w:p w14:paraId="5BB14EC8" w14:textId="77777777" w:rsidR="00772179" w:rsidRDefault="00000000">
      <w:pPr>
        <w:ind w:left="675"/>
      </w:pPr>
      <w:r>
        <w:t>⇒ Les feuilles sont bien planes de façon à être bien jointives entre elles et contre la feuillure.</w:t>
      </w:r>
    </w:p>
    <w:p w14:paraId="3C282F9D" w14:textId="77777777" w:rsidR="00772179" w:rsidRDefault="00000000">
      <w:pPr>
        <w:ind w:left="675"/>
      </w:pPr>
      <w:r>
        <w:t>⇒ Le vitrage a partout la même couleur et est exempt de bulles, lentilles, bouillons, fils, taches de cuisson, trous, reflets ou autres défauts suite aux opérations de soufflage, d'étirage et de découpage.</w:t>
      </w:r>
    </w:p>
    <w:p w14:paraId="6CB77585" w14:textId="77777777" w:rsidR="00772179" w:rsidRDefault="00000000">
      <w:pPr>
        <w:ind w:left="675"/>
      </w:pPr>
      <w:r>
        <w:t>⇒ Il ne se produit aucune déformation lorsqu'on regarde le vitrage de gauche à droite et du bas en haut et inversement.</w:t>
      </w:r>
    </w:p>
    <w:p w14:paraId="55246733" w14:textId="77777777" w:rsidR="00772179" w:rsidRDefault="00000000">
      <w:pPr>
        <w:ind w:left="675"/>
      </w:pPr>
      <w:r>
        <w:t>⇒ La présente d'anneaux de Newton dans le verre est également considérée comme un défaut et entraîne le rebut.</w:t>
      </w:r>
    </w:p>
    <w:p w14:paraId="70980157" w14:textId="77777777" w:rsidR="00772179" w:rsidRDefault="00000000">
      <w:pPr>
        <w:ind w:left="675"/>
      </w:pPr>
      <w:r>
        <w:t>⇒ Le verre à vitres pèse au moins 2,4 kg /m² de surface et par millimètre d'épaisseur.</w:t>
      </w:r>
    </w:p>
    <w:p w14:paraId="12786370" w14:textId="77777777" w:rsidR="00772179" w:rsidRDefault="00000000">
      <w:pPr>
        <w:pStyle w:val="pheading"/>
      </w:pPr>
      <w:r>
        <w:t>DOCUMENTS DE RÉFÉRENCE</w:t>
      </w:r>
    </w:p>
    <w:p w14:paraId="2F8B8AD8" w14:textId="77777777" w:rsidR="00772179" w:rsidRDefault="00000000">
      <w:pPr>
        <w:pStyle w:val="pheading"/>
      </w:pPr>
      <w:r>
        <w:t>- Matériau</w:t>
      </w:r>
    </w:p>
    <w:p w14:paraId="175A3B11" w14:textId="77777777" w:rsidR="00772179"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7B98B04C" w14:textId="77777777" w:rsidR="00772179" w:rsidRDefault="00000000">
      <w:r>
        <w:t>[NBN EN 15998, Verre dans la construction - Sécurité en cas d'incendie, résistance au feu - Méthodologie d'essai du verre à des fins de classification]</w:t>
      </w:r>
    </w:p>
    <w:p w14:paraId="2BB04B7F" w14:textId="77777777" w:rsidR="00772179" w:rsidRDefault="00000000">
      <w:r>
        <w:rPr>
          <w:shd w:val="clear" w:color="auto" w:fill="FFFFFF"/>
        </w:rPr>
        <w:t>[NBN S 23-002, Vitrerie]</w:t>
      </w:r>
    </w:p>
    <w:p w14:paraId="254D1297" w14:textId="77777777" w:rsidR="00772179" w:rsidRDefault="00000000">
      <w:r>
        <w:t>[NBN S 23-002-2, Vitrerie - Partie 2 : Calcul des épaisseurs de verre]</w:t>
      </w:r>
    </w:p>
    <w:p w14:paraId="18CF0153" w14:textId="77777777" w:rsidR="00772179" w:rsidRDefault="00000000">
      <w:r>
        <w:t>[NBN S 23-002-3, Vitrerie - Partie 3 : Calcul des épaisseurs de verre en façade]</w:t>
      </w:r>
    </w:p>
    <w:p w14:paraId="58729828" w14:textId="77777777" w:rsidR="00772179" w:rsidRDefault="00000000">
      <w:r>
        <w:t>[NIT 214, Le verre et les produits verriers - Les fonctions des vitrages.]</w:t>
      </w:r>
    </w:p>
    <w:p w14:paraId="3F44098D" w14:textId="77777777" w:rsidR="00772179" w:rsidRDefault="00000000">
      <w:r>
        <w:t>[NIT 221, La pose des vitrages en feuillure (Les NIT 214 et 221 remplacent les NIT 110 et 113).]</w:t>
      </w:r>
    </w:p>
    <w:p w14:paraId="302F49F4" w14:textId="77777777" w:rsidR="00772179" w:rsidRDefault="00000000">
      <w:r>
        <w:rPr>
          <w:shd w:val="clear" w:color="auto" w:fill="FFFFFF"/>
        </w:rPr>
        <w:t>[NBN EN 572 série, Verre dans la construction - Produits de base: verre de silicate sodo-calcique (Parties 1 à 9)]</w:t>
      </w:r>
    </w:p>
    <w:p w14:paraId="2134E66A" w14:textId="77777777" w:rsidR="00772179" w:rsidRDefault="00000000">
      <w:r>
        <w:rPr>
          <w:shd w:val="clear" w:color="auto" w:fill="FFFFFF"/>
        </w:rPr>
        <w:t>[NBN EN 572-1:2012+A1, Verre dans la construction - Produits de base : verre de silicate sodo-calcique - Partie 1 : Définitions et propriétés physiques et mécaniques générales]</w:t>
      </w:r>
    </w:p>
    <w:p w14:paraId="05784302" w14:textId="77777777" w:rsidR="00772179" w:rsidRDefault="00000000">
      <w:r>
        <w:lastRenderedPageBreak/>
        <w:t>[NBN EN 356, Verre dans la construction - Vitrage de sécurité - Mise à essai et classification de la résistance à l'attaque manuelle]</w:t>
      </w:r>
    </w:p>
    <w:p w14:paraId="71AF56AD" w14:textId="77777777" w:rsidR="00772179" w:rsidRDefault="00000000">
      <w:r>
        <w:t>[NBN EN 410, Verre dans la construction - Détermination des caractéristiques lumineuses et solaires des vitrages]</w:t>
      </w:r>
    </w:p>
    <w:p w14:paraId="6E9D1877" w14:textId="77777777" w:rsidR="00772179" w:rsidRDefault="00000000">
      <w:r>
        <w:t>[NBN EN 1096 série, Verre dans la construction - Verre à couche]</w:t>
      </w:r>
    </w:p>
    <w:p w14:paraId="1BC0838B" w14:textId="77777777" w:rsidR="00772179" w:rsidRDefault="00000000">
      <w:r>
        <w:t>[NBN EN 1288 série, Verre dans la construction - Détermination de la résistance du verre à la flexion]</w:t>
      </w:r>
    </w:p>
    <w:p w14:paraId="43833E24" w14:textId="77777777" w:rsidR="00772179" w:rsidRDefault="00000000">
      <w:r>
        <w:t>[NBN EN 12898, Verre dans la construction - Détermination de l'émissivité]</w:t>
      </w:r>
    </w:p>
    <w:p w14:paraId="1CF3D255" w14:textId="77777777" w:rsidR="00772179" w:rsidRDefault="00000000">
      <w:r>
        <w:t>[NBN EN 1748 série, Verre dans la construction - Produits de base spéciaux]</w:t>
      </w:r>
    </w:p>
    <w:p w14:paraId="50D8C5E5" w14:textId="77777777" w:rsidR="00772179" w:rsidRDefault="00000000">
      <w:r>
        <w:t>[NBN EN 1863-1, Verre dans la construction - Verre de silicate sodo-calcique durci thermiquement - Partie 1: Définition et description]</w:t>
      </w:r>
    </w:p>
    <w:p w14:paraId="272CB2D1" w14:textId="77777777" w:rsidR="00772179" w:rsidRDefault="00000000">
      <w:r>
        <w:rPr>
          <w:shd w:val="clear" w:color="auto" w:fill="FFFFFF"/>
        </w:rPr>
        <w:t>[NBN EN ISO 12543 série, Verre dans la construction - Verre feuilleté et verre feuilleté de sécurité]</w:t>
      </w:r>
    </w:p>
    <w:p w14:paraId="78D4C07B" w14:textId="77777777" w:rsidR="00772179" w:rsidRDefault="00000000">
      <w:r>
        <w:t>[NBN EN 675, Verre dans la construction - Détermination du coefficient de transmission thermique, U - Méthode du fluxmètre]</w:t>
      </w:r>
    </w:p>
    <w:p w14:paraId="14E9369B" w14:textId="77777777" w:rsidR="00772179" w:rsidRDefault="00000000">
      <w:r>
        <w:t>[NBN EN 673, Verre dans la construction - Détermination du coefficient de transmission thermique, U - Méthode de calcul]</w:t>
      </w:r>
    </w:p>
    <w:p w14:paraId="51E09EF7" w14:textId="77777777" w:rsidR="00772179" w:rsidRDefault="00000000">
      <w:r>
        <w:t>[STS 56.1, Mastics d’étanchéité des façades]</w:t>
      </w:r>
    </w:p>
    <w:p w14:paraId="313F4E96" w14:textId="77777777" w:rsidR="00772179" w:rsidRDefault="00000000">
      <w:pPr>
        <w:ind w:left="750"/>
      </w:pPr>
      <w:r>
        <w:t> </w:t>
      </w:r>
    </w:p>
    <w:p w14:paraId="64B696B3" w14:textId="77777777" w:rsidR="00772179" w:rsidRDefault="00000000">
      <w:pPr>
        <w:pStyle w:val="pheading"/>
      </w:pPr>
      <w:r>
        <w:t>- Exécution</w:t>
      </w:r>
    </w:p>
    <w:p w14:paraId="4BC0326F" w14:textId="77777777" w:rsidR="00772179" w:rsidRDefault="00000000">
      <w:r>
        <w:t>[NBN S 23-002, Vitrerie]</w:t>
      </w:r>
    </w:p>
    <w:p w14:paraId="275BAB43" w14:textId="77777777" w:rsidR="00772179" w:rsidRDefault="00000000">
      <w:r>
        <w:t>[NIT 214, Le verre et les produits verriers - Les fonctions des vitrages.]</w:t>
      </w:r>
    </w:p>
    <w:p w14:paraId="02C5E224" w14:textId="77777777" w:rsidR="00772179" w:rsidRDefault="00000000">
      <w:r>
        <w:t>[NIT 221, La pose des vitrages en feuillure (Les NIT 214 et 221 remplacent les NIT 110 et 113).]</w:t>
      </w:r>
    </w:p>
    <w:p w14:paraId="7C81266A" w14:textId="77777777" w:rsidR="00772179" w:rsidRDefault="00000000">
      <w:r>
        <w:t>[FIV Note 03, Méthodes et critères d’acceptabilité d’aspect des vitrages transparents du bâtiment]</w:t>
      </w:r>
    </w:p>
    <w:p w14:paraId="01AB9837" w14:textId="77777777" w:rsidR="00772179" w:rsidRDefault="00000000">
      <w:r>
        <w:t>Les prescriptions et les recommandations du fabricant des profilés et du vitrage ou des éléments de remplissage</w:t>
      </w:r>
    </w:p>
    <w:p w14:paraId="2EFB2928" w14:textId="77777777" w:rsidR="00772179" w:rsidRDefault="00000000">
      <w:pPr>
        <w:ind w:left="750"/>
      </w:pPr>
      <w:r>
        <w:t> </w:t>
      </w:r>
    </w:p>
    <w:p w14:paraId="7466BFB1" w14:textId="77777777" w:rsidR="00772179" w:rsidRDefault="00000000">
      <w:pPr>
        <w:pStyle w:val="Author-eSectionHeading3Numberless"/>
      </w:pPr>
      <w:bookmarkStart w:id="506" w:name="_Toc220490225"/>
      <w:r>
        <w:t>42.1 Vitrages simples CCTB 01.10</w:t>
      </w:r>
      <w:bookmarkEnd w:id="506"/>
    </w:p>
    <w:p w14:paraId="24D4EA2E" w14:textId="77777777" w:rsidR="00772179" w:rsidRDefault="00000000">
      <w:pPr>
        <w:pStyle w:val="pheading"/>
      </w:pPr>
      <w:bookmarkStart w:id="507" w:name="972"/>
      <w:bookmarkEnd w:id="507"/>
      <w:r>
        <w:t>MATÉRIAUX</w:t>
      </w:r>
    </w:p>
    <w:p w14:paraId="1728AA60" w14:textId="77777777" w:rsidR="00772179" w:rsidRDefault="00000000">
      <w:r>
        <w:t>Les vitrages simples répondent aux dispositions des normes [NBN S 23-002] et [NBN EN 572-1:2012+A1]. L'épaisseur du vitrage est déterminée en fonction de la superficie du verre et de la pression dynamique de base selon les normes [NBN S 23-002-2] et [NBN S 23-002-3]. Un certificat attestant de la classe du mastic et/ou de la classe du profil d'étanchéité élastique est soumis pour approbation au maître d’ouvrage.</w:t>
      </w:r>
    </w:p>
    <w:p w14:paraId="0E1CD92E" w14:textId="77777777" w:rsidR="00772179" w:rsidRDefault="00000000">
      <w:pPr>
        <w:pStyle w:val="pheading"/>
      </w:pPr>
      <w:r>
        <w:t>EXÉCUTION / MISE EN ŒUVRE</w:t>
      </w:r>
    </w:p>
    <w:p w14:paraId="03C464F3" w14:textId="77777777" w:rsidR="00772179" w:rsidRDefault="00000000">
      <w:pPr>
        <w:pStyle w:val="Author-eListParagraph"/>
        <w:numPr>
          <w:ilvl w:val="0"/>
          <w:numId w:val="792"/>
        </w:numPr>
      </w:pPr>
      <w:r>
        <w:t>Le vitrage est posé selon la [NIT 221] et les prescriptions du fabricant.</w:t>
      </w:r>
    </w:p>
    <w:p w14:paraId="20616A56" w14:textId="77777777" w:rsidR="00772179" w:rsidRDefault="00000000">
      <w:pPr>
        <w:pStyle w:val="Author-eListParagraph"/>
        <w:numPr>
          <w:ilvl w:val="0"/>
          <w:numId w:val="792"/>
        </w:numPr>
      </w:pPr>
      <w:r>
        <w:t>Le. choix des mastics est réalisé conformément aux [STS 56.1] et à la [NIT 221].  Avant la pose du vitrage, les feuillures et les parcloses sont nettoyées ainsi que les bords du vitrage. Tout mastic utilisé est compatible avec</w:t>
      </w:r>
      <w:r>
        <w:rPr>
          <w:rStyle w:val="optioncarChar"/>
        </w:rPr>
        <w:t> les matériaux adjacents dans les profilés / les produits de traitement de la menuiserie extérieure / ***</w:t>
      </w:r>
      <w:r>
        <w:t>. Lorsque le fabricant du mastic le préconise, un primer est préalablement appliqué.</w:t>
      </w:r>
    </w:p>
    <w:p w14:paraId="54393796" w14:textId="77777777" w:rsidR="00772179" w:rsidRDefault="00000000">
      <w:pPr>
        <w:pStyle w:val="Author-eListParagraph"/>
        <w:numPr>
          <w:ilvl w:val="0"/>
          <w:numId w:val="792"/>
        </w:numPr>
      </w:pPr>
      <w:r>
        <w:t>Conformément au cahier spécial des charges, le vitrage est rendu étanche avec : </w:t>
      </w:r>
    </w:p>
    <w:p w14:paraId="3216673C" w14:textId="77777777" w:rsidR="00772179" w:rsidRDefault="00000000">
      <w:pPr>
        <w:ind w:left="450"/>
      </w:pPr>
      <w:r>
        <w:rPr>
          <w:rStyle w:val="optioncarChar"/>
        </w:rPr>
        <w:t xml:space="preserve">un mastic </w:t>
      </w:r>
      <w:r>
        <w:t>(par défaut)</w:t>
      </w:r>
      <w:r>
        <w:rPr>
          <w:rStyle w:val="optioncarChar"/>
        </w:rPr>
        <w:t xml:space="preserve"> / un profil d'étanchéité</w:t>
      </w:r>
    </w:p>
    <w:p w14:paraId="2083384C" w14:textId="77777777" w:rsidR="00772179" w:rsidRDefault="00000000">
      <w:pPr>
        <w:ind w:left="450"/>
      </w:pPr>
      <w:r>
        <w:rPr>
          <w:b/>
        </w:rPr>
        <w:t>(soit par défaut)</w:t>
      </w:r>
      <w:r>
        <w:t xml:space="preserve"> : </w:t>
      </w:r>
      <w:r>
        <w:rPr>
          <w:rStyle w:val="soitChar"/>
          <w:u w:val="single"/>
        </w:rPr>
        <w:t>un mastic</w:t>
      </w:r>
      <w:r>
        <w:rPr>
          <w:rStyle w:val="soitChar"/>
        </w:rPr>
        <w:t xml:space="preserve"> de la classe sur un profil de remplissage, couleur</w:t>
      </w:r>
      <w:r>
        <w:rPr>
          <w:rStyle w:val="optioncarChar"/>
        </w:rPr>
        <w:t>***</w:t>
      </w:r>
      <w:r>
        <w:t xml:space="preserve">  </w:t>
      </w:r>
      <w:r>
        <w:br/>
      </w:r>
      <w:r>
        <w:rPr>
          <w:b/>
        </w:rPr>
        <w:t>(soit) </w:t>
      </w:r>
      <w:r>
        <w:t>: </w:t>
      </w:r>
      <w:r>
        <w:rPr>
          <w:rStyle w:val="soitChar"/>
          <w:u w:val="single"/>
        </w:rPr>
        <w:t>un profil d'étanchéité</w:t>
      </w:r>
      <w:r>
        <w:rPr>
          <w:rStyle w:val="soitChar"/>
        </w:rPr>
        <w:t> conforme aux </w:t>
      </w:r>
      <w:r>
        <w:t>[STS 56.1] </w:t>
      </w:r>
      <w:r>
        <w:rPr>
          <w:rStyle w:val="soitChar"/>
        </w:rPr>
        <w:t>et à la </w:t>
      </w:r>
      <w:r>
        <w:t>[NIT 221]</w:t>
      </w:r>
    </w:p>
    <w:p w14:paraId="65138ABB" w14:textId="77777777" w:rsidR="00772179" w:rsidRDefault="00000000">
      <w:pPr>
        <w:pStyle w:val="pheading"/>
      </w:pPr>
      <w:r>
        <w:t>AIDE</w:t>
      </w:r>
    </w:p>
    <w:p w14:paraId="39BE20F2" w14:textId="77777777" w:rsidR="00772179" w:rsidRDefault="00000000">
      <w:r>
        <w:rPr>
          <w:i/>
          <w:u w:val="single"/>
        </w:rPr>
        <w:lastRenderedPageBreak/>
        <w:t>Note à l’attention de l’auteur de projet</w:t>
      </w:r>
      <w:r>
        <w:br/>
        <w:t>Les vitrages simples sont, en principe, uniquement utilisés dans des applications intérieures. Une exception est toutefois faite pour les rénovations afin d’éviter que les problèmes de condensation n’apparaissent ailleurs, le cas échéant il est opté pour un vitrage non-isolant.</w:t>
      </w:r>
    </w:p>
    <w:p w14:paraId="4E02A4CD" w14:textId="77777777" w:rsidR="00772179" w:rsidRDefault="00000000">
      <w:pPr>
        <w:pStyle w:val="Author-eSectionHeading4Numberless"/>
      </w:pPr>
      <w:bookmarkStart w:id="508" w:name="_Toc220490226"/>
      <w:r>
        <w:t>42.11 Vitrages simples floatés (ordinaires) CCTB 01.02</w:t>
      </w:r>
      <w:bookmarkEnd w:id="508"/>
    </w:p>
    <w:p w14:paraId="567931D9" w14:textId="77777777" w:rsidR="00772179" w:rsidRDefault="00000000">
      <w:pPr>
        <w:pStyle w:val="Author-eSectionHeading5Numberless"/>
      </w:pPr>
      <w:bookmarkStart w:id="509" w:name="855"/>
      <w:bookmarkStart w:id="510" w:name="_Toc220490227"/>
      <w:bookmarkEnd w:id="509"/>
      <w:r>
        <w:t>42.11.1 Vitrages simples floatés (ordinaires)</w:t>
      </w:r>
      <w:bookmarkEnd w:id="510"/>
    </w:p>
    <w:p w14:paraId="027A48D2" w14:textId="77777777" w:rsidR="00772179" w:rsidRDefault="00000000">
      <w:pPr>
        <w:pStyle w:val="Author-eSectionHeading6Numberless"/>
      </w:pPr>
      <w:bookmarkStart w:id="511" w:name="_Toc220490228"/>
      <w:r>
        <w:t>42.11.1a Vitrages simples floatés transparents CCTB 01.13</w:t>
      </w:r>
      <w:bookmarkEnd w:id="511"/>
    </w:p>
    <w:p w14:paraId="284864DA" w14:textId="77777777" w:rsidR="00772179" w:rsidRDefault="00000000">
      <w:pPr>
        <w:pStyle w:val="pheading"/>
      </w:pPr>
      <w:r>
        <w:t>DESCRIPTION</w:t>
      </w:r>
    </w:p>
    <w:p w14:paraId="7C51BA63" w14:textId="77777777" w:rsidR="00772179" w:rsidRDefault="00000000">
      <w:pPr>
        <w:pStyle w:val="pheading"/>
      </w:pPr>
      <w:r>
        <w:t>- Définition / Comprend</w:t>
      </w:r>
    </w:p>
    <w:p w14:paraId="66686BD6" w14:textId="77777777" w:rsidR="00772179" w:rsidRDefault="00000000">
      <w:pPr>
        <w:jc w:val="both"/>
      </w:pPr>
      <w:r>
        <w:t>Cet article décrit la fourniture et la pose des vitrages simples transparents de type “Float” conformes à la [NBN EN 572-1:2012+A1].</w:t>
      </w:r>
    </w:p>
    <w:p w14:paraId="4EFDE4F5" w14:textId="77777777" w:rsidR="00772179" w:rsidRDefault="00000000">
      <w:pPr>
        <w:jc w:val="both"/>
      </w:pPr>
      <w:r>
        <w:rPr>
          <w:b/>
        </w:rPr>
        <w:t>Remarques importantes :</w:t>
      </w:r>
    </w:p>
    <w:p w14:paraId="7D455A46" w14:textId="77777777" w:rsidR="00772179" w:rsidRDefault="00000000">
      <w:pPr>
        <w:jc w:val="both"/>
      </w:pPr>
      <w:r>
        <w:t>Tous les vitrages simples sont soumis au Règlement Produits de Construction (RPC ([Règlement (UE) 305/2011])). Une déclaration d'aptitude est imposée à ces produits suivant 02.42.1 Critères d'acceptabilité afin d'attester qu’ils soient conformes aux spécifications techniques de ce règlement.</w:t>
      </w:r>
    </w:p>
    <w:p w14:paraId="68A53660" w14:textId="77777777" w:rsidR="00772179" w:rsidRDefault="00000000">
      <w:pPr>
        <w:pStyle w:val="pheading"/>
      </w:pPr>
      <w:r>
        <w:t>- Localisation</w:t>
      </w:r>
    </w:p>
    <w:p w14:paraId="2523DFF6" w14:textId="77777777" w:rsidR="00772179" w:rsidRDefault="00000000">
      <w:r>
        <w:t>La localisation des vitrages simples floatés transparents est la suivante :</w:t>
      </w:r>
      <w:r>
        <w:rPr>
          <w:rStyle w:val="optioncarChar"/>
        </w:rPr>
        <w:t xml:space="preserve"> *** .</w:t>
      </w:r>
    </w:p>
    <w:p w14:paraId="6C53A719" w14:textId="77777777" w:rsidR="00772179" w:rsidRDefault="00000000">
      <w:r>
        <w:t>Voir plans et métrés détaillés</w:t>
      </w:r>
    </w:p>
    <w:p w14:paraId="603E55E7" w14:textId="77777777" w:rsidR="00772179" w:rsidRDefault="00000000">
      <w:pPr>
        <w:pStyle w:val="pheading"/>
      </w:pPr>
      <w:r>
        <w:t>MATÉRIAUX</w:t>
      </w:r>
    </w:p>
    <w:p w14:paraId="52726771" w14:textId="77777777" w:rsidR="00772179" w:rsidRDefault="00000000">
      <w:pPr>
        <w:pStyle w:val="pheading"/>
      </w:pPr>
      <w:r>
        <w:t>- Caractéristiques générales</w:t>
      </w:r>
    </w:p>
    <w:p w14:paraId="09F742CE" w14:textId="77777777" w:rsidR="00772179" w:rsidRDefault="00000000">
      <w:pPr>
        <w:pStyle w:val="Author-eListParagraph"/>
        <w:numPr>
          <w:ilvl w:val="0"/>
          <w:numId w:val="793"/>
        </w:numPr>
      </w:pPr>
      <w:r>
        <w:t>Le verre simple floaté (ou float) transparent un verre de silicate sodo-calcique plan, recuit, transparent, clair (verre non coloré et dont la transmission lumineuse du matériau verre seul sans les effets de la présence éventuelle d'une couche ou d'une rugosité de surface est conforme aux § 2.2.18 et 2.2.19 de la [NBN S 23-002]) ou coloré dont les deux faces sont planes et parallèles. Il est obtenu par coulée continue et flottage sur un bain de métal.</w:t>
      </w:r>
    </w:p>
    <w:p w14:paraId="6DCA89C3" w14:textId="77777777" w:rsidR="00772179" w:rsidRDefault="00000000">
      <w:pPr>
        <w:pStyle w:val="Author-eListParagraph"/>
        <w:numPr>
          <w:ilvl w:val="0"/>
          <w:numId w:val="793"/>
        </w:numPr>
      </w:pPr>
      <w:r>
        <w:t>Il est conforme aux prescriptions des [NBN EN 572-1:2012+A1], [NBN EN 572-2] et [NBN S 23-002]. L’épaisseur du vitrage intérieur répond à la [NBN S 23-002-2]</w:t>
      </w:r>
      <w:r>
        <w:rPr>
          <w:rStyle w:val="optioncarChar"/>
        </w:rPr>
        <w:t>et </w:t>
      </w:r>
      <w:r>
        <w:t xml:space="preserve">[NBN S 23-002-3] (par défaut) </w:t>
      </w:r>
      <w:r>
        <w:rPr>
          <w:rStyle w:val="optioncarChar"/>
        </w:rPr>
        <w:t>/est de  *** mm</w:t>
      </w:r>
    </w:p>
    <w:p w14:paraId="0E13EF23" w14:textId="77777777" w:rsidR="00772179" w:rsidRDefault="00000000">
      <w:pPr>
        <w:pStyle w:val="Author-eListParagraph"/>
        <w:numPr>
          <w:ilvl w:val="0"/>
          <w:numId w:val="793"/>
        </w:numPr>
      </w:pPr>
      <w:r>
        <w:t>Le facteur solaire (g) (ou facteur énergétique global) est mesuré conformément à la [NBN EN 410] :</w:t>
      </w:r>
      <w:r>
        <w:rPr>
          <w:rStyle w:val="optioncarChar"/>
        </w:rPr>
        <w:t xml:space="preserve"> 0.71 / ***</w:t>
      </w:r>
    </w:p>
    <w:p w14:paraId="2DC9B768" w14:textId="77777777" w:rsidR="00772179" w:rsidRDefault="00000000">
      <w:pPr>
        <w:pStyle w:val="Author-eListParagraph"/>
        <w:numPr>
          <w:ilvl w:val="0"/>
          <w:numId w:val="793"/>
        </w:numPr>
      </w:pPr>
      <w:r>
        <w:t xml:space="preserve">Le facteur de transmission lumineuse est mesuré conformément à la [NBN EN 410] : </w:t>
      </w:r>
      <w:r>
        <w:rPr>
          <w:rStyle w:val="optioncarChar"/>
        </w:rPr>
        <w:t>relatif au facteur solaire</w:t>
      </w:r>
      <w:r>
        <w:t xml:space="preserve"> (par défaut)</w:t>
      </w:r>
      <w:r>
        <w:rPr>
          <w:rStyle w:val="optioncarChar"/>
        </w:rPr>
        <w:t xml:space="preserve"> / 0.85 / ***</w:t>
      </w:r>
    </w:p>
    <w:p w14:paraId="2E8DD245" w14:textId="77777777" w:rsidR="00772179" w:rsidRDefault="00000000">
      <w:pPr>
        <w:pStyle w:val="pheading"/>
      </w:pPr>
      <w:r>
        <w:t>- Finitions</w:t>
      </w:r>
    </w:p>
    <w:p w14:paraId="11C87178" w14:textId="77777777" w:rsidR="00772179" w:rsidRDefault="00000000">
      <w:pPr>
        <w:pStyle w:val="Author-eListParagraph"/>
        <w:numPr>
          <w:ilvl w:val="0"/>
          <w:numId w:val="794"/>
        </w:numPr>
      </w:pPr>
      <w:r>
        <w:t>Finition des chants du verre : Différents types de finition des chants du verre sont possibles. Le plus simple est l'arête abattue (ou chant biseauté). D’autres types de chants sont également possibles dont les plus courants sont : joint plat industriel (ou chant meulé ou plat mat), joint plat industriel lisse (ou chant meulé lisse ou plat satiné), joint plat poli (ou chant poli ou plat poli)</w:t>
      </w:r>
    </w:p>
    <w:p w14:paraId="51B5B83F" w14:textId="77777777" w:rsidR="00772179" w:rsidRDefault="00000000">
      <w:pPr>
        <w:pStyle w:val="Author-eListParagraph"/>
        <w:numPr>
          <w:ilvl w:val="0"/>
          <w:numId w:val="794"/>
        </w:numPr>
      </w:pPr>
      <w:r>
        <w:t xml:space="preserve">La finition des chants du verre est </w:t>
      </w:r>
      <w:r>
        <w:rPr>
          <w:rStyle w:val="optioncarChar"/>
        </w:rPr>
        <w:t>arête abattue</w:t>
      </w:r>
      <w:r>
        <w:t xml:space="preserve"> (par défaut)</w:t>
      </w:r>
      <w:r>
        <w:rPr>
          <w:rStyle w:val="optioncarChar"/>
        </w:rPr>
        <w:t xml:space="preserve"> / plat mat / plat satiné / plat poli / ***</w:t>
      </w:r>
      <w:r>
        <w:t>.</w:t>
      </w:r>
    </w:p>
    <w:p w14:paraId="436A36CE" w14:textId="77777777" w:rsidR="00772179" w:rsidRDefault="00000000">
      <w:pPr>
        <w:pStyle w:val="Author-eListParagraph"/>
        <w:numPr>
          <w:ilvl w:val="0"/>
          <w:numId w:val="794"/>
        </w:numPr>
      </w:pPr>
      <w:r>
        <w:t xml:space="preserve">Les coins </w:t>
      </w:r>
      <w:r>
        <w:rPr>
          <w:rStyle w:val="optioncarChar"/>
        </w:rPr>
        <w:t>ne sont pas traités</w:t>
      </w:r>
      <w:r>
        <w:t xml:space="preserve"> (par défaut) </w:t>
      </w:r>
      <w:r>
        <w:rPr>
          <w:rStyle w:val="optioncarChar"/>
        </w:rPr>
        <w:t>/ sont traités / ***</w:t>
      </w:r>
      <w:r>
        <w:t>.</w:t>
      </w:r>
    </w:p>
    <w:p w14:paraId="5CC56895" w14:textId="77777777" w:rsidR="00772179" w:rsidRDefault="00000000">
      <w:pPr>
        <w:pStyle w:val="Author-eListParagraph"/>
        <w:numPr>
          <w:ilvl w:val="0"/>
          <w:numId w:val="794"/>
        </w:numPr>
      </w:pPr>
      <w:r>
        <w:t>Pour une finition de chant spéciale (découpe au jet d'eau par exemple), il convient de consulter le fabricant.</w:t>
      </w:r>
    </w:p>
    <w:p w14:paraId="1C49FD9D" w14:textId="77777777" w:rsidR="00772179" w:rsidRDefault="00000000">
      <w:pPr>
        <w:pStyle w:val="Author-eListParagraph"/>
        <w:numPr>
          <w:ilvl w:val="0"/>
          <w:numId w:val="795"/>
        </w:numPr>
      </w:pPr>
      <w:r>
        <w:t xml:space="preserve">Nuances (si nécessaire) : </w:t>
      </w:r>
      <w:r>
        <w:br/>
        <w:t xml:space="preserve"> Le vitrage simple floaté transparent est disponibles en différentes versions</w:t>
      </w:r>
      <w:r>
        <w:rPr>
          <w:rStyle w:val="facultChar"/>
        </w:rPr>
        <w:t> </w:t>
      </w:r>
      <w:r>
        <w:rPr>
          <w:rStyle w:val="optioncarChar"/>
        </w:rPr>
        <w:t>clair</w:t>
      </w:r>
      <w:r>
        <w:t xml:space="preserve"> (par défaut)</w:t>
      </w:r>
      <w:r>
        <w:rPr>
          <w:rStyle w:val="optioncarChar"/>
        </w:rPr>
        <w:t xml:space="preserve"> / extra-clair / vert / gris / bleu </w:t>
      </w:r>
      <w:r>
        <w:t>en fonction de sa composition.</w:t>
      </w:r>
    </w:p>
    <w:p w14:paraId="5D932F93" w14:textId="77777777" w:rsidR="00772179" w:rsidRDefault="00000000">
      <w:pPr>
        <w:pStyle w:val="pheading"/>
      </w:pPr>
      <w:r>
        <w:lastRenderedPageBreak/>
        <w:t>EXÉCUTION / MISE EN ŒUVRE</w:t>
      </w:r>
    </w:p>
    <w:p w14:paraId="7294F570" w14:textId="77777777" w:rsidR="00772179" w:rsidRDefault="00000000">
      <w:pPr>
        <w:pStyle w:val="pheading"/>
      </w:pPr>
      <w:r>
        <w:t>- Prescriptions générales</w:t>
      </w:r>
    </w:p>
    <w:p w14:paraId="5798BE20" w14:textId="77777777" w:rsidR="00772179" w:rsidRDefault="00000000">
      <w:pPr>
        <w:jc w:val="both"/>
      </w:pPr>
      <w:r>
        <w:t>La pose est effectuée conformément à la [NBN S 23-002] et à la [NIT 221] (voir également les éléments  </w:t>
      </w:r>
      <w:hyperlink w:anchor="852" w:history="1">
        <w:r>
          <w:rPr>
            <w:color w:val="0000EE"/>
          </w:rPr>
          <w:t>42 Vitrages extérieurs et éléments de remplissage</w:t>
        </w:r>
      </w:hyperlink>
      <w:r>
        <w:t xml:space="preserve"> et </w:t>
      </w:r>
      <w:hyperlink w:anchor="972" w:history="1">
        <w:r>
          <w:rPr>
            <w:color w:val="0000EE"/>
          </w:rPr>
          <w:t>42.1 Vitrages simples</w:t>
        </w:r>
      </w:hyperlink>
      <w:r>
        <w:t>).</w:t>
      </w:r>
    </w:p>
    <w:p w14:paraId="19C2B5F5" w14:textId="77777777" w:rsidR="00772179" w:rsidRDefault="00000000">
      <w:pPr>
        <w:jc w:val="both"/>
      </w:pPr>
      <w:r>
        <w:t xml:space="preserve">L'épaisseur du verre est déterminée en fonction des sollicitations, des dimensions du verre et de son mode de fixation conformément aux [NBN S 23-002], [NBN S 23-002-2] et [NBN S 23-002-3] et aux spécifications relatives à l’ouvrage vitré dans lequel il est intégré. Les épaisseurs disponibles sont de </w:t>
      </w:r>
      <w:r>
        <w:rPr>
          <w:rStyle w:val="optioncarChar"/>
        </w:rPr>
        <w:t>2 / 3 / 4 / 5 / 6</w:t>
      </w:r>
      <w:r>
        <w:t xml:space="preserve"> (par défaut) </w:t>
      </w:r>
      <w:r>
        <w:rPr>
          <w:rStyle w:val="optioncarChar"/>
        </w:rPr>
        <w:t>/ 8 / 10 / 12 / 15 / 19 / 25</w:t>
      </w:r>
      <w:r>
        <w:t xml:space="preserve"> mm.</w:t>
      </w:r>
    </w:p>
    <w:p w14:paraId="5DCB33CC" w14:textId="77777777" w:rsidR="00772179" w:rsidRDefault="00000000">
      <w:pPr>
        <w:jc w:val="both"/>
      </w:pPr>
      <w:r>
        <w:t>Les garnitures d’étanchéité placées entre le vitrage et le châssis afin d’assurer l’étanchéité à l’eau et à l’air et d’absorber les dilatations différentielles sont réalisées à l’aide d’</w:t>
      </w:r>
      <w:r>
        <w:rPr>
          <w:rStyle w:val="optioncarChar"/>
        </w:rPr>
        <w:t>un mastic de classe conforme aux [STS 56.1] et à la [NIT 221]</w:t>
      </w:r>
      <w:r>
        <w:t xml:space="preserve"> (par défaut) </w:t>
      </w:r>
      <w:r>
        <w:rPr>
          <w:rStyle w:val="optioncarChar"/>
        </w:rPr>
        <w:t>/ un profilé (préformé) d'étanchéité conforme à la [NBN EN 12365-1] et à la [NIT 221] / ***.</w:t>
      </w:r>
    </w:p>
    <w:p w14:paraId="578EF100" w14:textId="77777777" w:rsidR="00772179" w:rsidRDefault="00000000">
      <w:pPr>
        <w:jc w:val="both"/>
      </w:pPr>
      <w:r>
        <w:t>Informations complémentaires si nécessaire :</w:t>
      </w:r>
    </w:p>
    <w:p w14:paraId="21C06950" w14:textId="77777777" w:rsidR="00772179" w:rsidRDefault="00000000">
      <w:pPr>
        <w:pStyle w:val="Author-eListParagraph"/>
        <w:numPr>
          <w:ilvl w:val="0"/>
          <w:numId w:val="796"/>
        </w:numPr>
      </w:pPr>
      <w:r>
        <w:t>L’épaisseur minimale recommandée pour un verre simple posé en feuillure ouverte est de 4 mm. Il est également recommandé de limiter la surface de ces vitrages à 2 m² et ne pas les poser à une hauteur &gt; 10 m.</w:t>
      </w:r>
    </w:p>
    <w:p w14:paraId="6D94F382" w14:textId="77777777" w:rsidR="00772179" w:rsidRDefault="00000000">
      <w:pPr>
        <w:pStyle w:val="Author-eListParagraph"/>
        <w:numPr>
          <w:ilvl w:val="0"/>
          <w:numId w:val="796"/>
        </w:numPr>
      </w:pPr>
      <w:r>
        <w:t xml:space="preserve">Les cales de support et de distance sont en </w:t>
      </w:r>
      <w:r>
        <w:rPr>
          <w:rStyle w:val="optioncarChar"/>
        </w:rPr>
        <w:t>matière synthétique</w:t>
      </w:r>
      <w:r>
        <w:t xml:space="preserve"> (par défaut)</w:t>
      </w:r>
      <w:r>
        <w:rPr>
          <w:rStyle w:val="optioncarChar"/>
        </w:rPr>
        <w:t xml:space="preserve"> / en bois dur traité </w:t>
      </w:r>
      <w:r>
        <w:t>tandis que les cales d'espacement sont en matière synthétique.</w:t>
      </w:r>
    </w:p>
    <w:p w14:paraId="064EAD14" w14:textId="77777777" w:rsidR="00772179" w:rsidRDefault="00000000">
      <w:pPr>
        <w:pStyle w:val="Author-eListParagraph"/>
        <w:numPr>
          <w:ilvl w:val="0"/>
          <w:numId w:val="796"/>
        </w:numPr>
      </w:pPr>
      <w:r>
        <w:t xml:space="preserve">La couleur du </w:t>
      </w:r>
      <w:r>
        <w:rPr>
          <w:rStyle w:val="optioncarChar"/>
        </w:rPr>
        <w:t>mastic</w:t>
      </w:r>
      <w:r>
        <w:t xml:space="preserve"> (par défaut) </w:t>
      </w:r>
      <w:r>
        <w:rPr>
          <w:rStyle w:val="optioncarChar"/>
        </w:rPr>
        <w:t>/ du profil d'étanchéité </w:t>
      </w:r>
      <w:r>
        <w:t>est</w:t>
      </w:r>
      <w:r>
        <w:rPr>
          <w:rStyle w:val="facultChar"/>
        </w:rPr>
        <w:t> </w:t>
      </w:r>
      <w:r>
        <w:rPr>
          <w:rStyle w:val="optioncarChar"/>
        </w:rPr>
        <w:t>transparente</w:t>
      </w:r>
      <w:r>
        <w:t xml:space="preserve"> (par défaut)</w:t>
      </w:r>
      <w:r>
        <w:rPr>
          <w:rStyle w:val="optioncarChar"/>
        </w:rPr>
        <w:t xml:space="preserve"> / ***</w:t>
      </w:r>
      <w:r>
        <w:t xml:space="preserve"> .</w:t>
      </w:r>
    </w:p>
    <w:p w14:paraId="13528CA5" w14:textId="77777777" w:rsidR="00772179" w:rsidRDefault="00000000">
      <w:pPr>
        <w:pStyle w:val="Author-eListParagraph"/>
        <w:numPr>
          <w:ilvl w:val="0"/>
          <w:numId w:val="796"/>
        </w:numPr>
      </w:pPr>
      <w:r>
        <w:t>Les mastics sont de type à peindre.</w:t>
      </w:r>
    </w:p>
    <w:p w14:paraId="60EA4824" w14:textId="77777777" w:rsidR="00772179" w:rsidRDefault="00000000">
      <w:pPr>
        <w:pStyle w:val="pheading"/>
      </w:pPr>
      <w:r>
        <w:t>- Notes d’exécution complémentaires</w:t>
      </w:r>
    </w:p>
    <w:p w14:paraId="16DE81BF" w14:textId="77777777" w:rsidR="00772179" w:rsidRDefault="00000000">
      <w:r>
        <w:t> </w:t>
      </w:r>
    </w:p>
    <w:p w14:paraId="712428BE" w14:textId="77777777" w:rsidR="00772179" w:rsidRDefault="00000000">
      <w:pPr>
        <w:pStyle w:val="pheading"/>
      </w:pPr>
      <w:r>
        <w:t>DOCUMENTS DE RÉFÉRENCE COMPLÉMENTAIRES</w:t>
      </w:r>
    </w:p>
    <w:p w14:paraId="133BEF3F" w14:textId="77777777" w:rsidR="00772179" w:rsidRDefault="00000000">
      <w:pPr>
        <w:pStyle w:val="pheading"/>
      </w:pPr>
      <w:r>
        <w:t>- Matériau</w:t>
      </w:r>
    </w:p>
    <w:p w14:paraId="7D55FEDA" w14:textId="77777777" w:rsidR="00772179" w:rsidRDefault="00000000">
      <w:r>
        <w:t>[NBN S 23-002, Vitrerie]</w:t>
      </w:r>
    </w:p>
    <w:p w14:paraId="671EEF86" w14:textId="77777777" w:rsidR="00772179" w:rsidRDefault="00000000">
      <w:r>
        <w:t>[NBN S 23-002-2, Vitrerie - Partie 2 : Calcul des épaisseurs de verre]</w:t>
      </w:r>
    </w:p>
    <w:p w14:paraId="28D7CB1C" w14:textId="77777777" w:rsidR="00772179" w:rsidRDefault="00000000">
      <w:r>
        <w:t>[NBN S 23-002-3, Vitrerie - Partie 3 : Calcul des épaisseurs de verre en façade]</w:t>
      </w:r>
    </w:p>
    <w:p w14:paraId="7997CC6E" w14:textId="77777777" w:rsidR="00772179" w:rsidRDefault="00000000">
      <w:r>
        <w:t>[NBN EN 572-1:2012+A1, Verre dans la construction - Produits de base : verre de silicate sodo-calcique - Partie 1 : Définitions et propriétés physiques et mécaniques générales]</w:t>
      </w:r>
    </w:p>
    <w:p w14:paraId="4F8AA14E" w14:textId="77777777" w:rsidR="00772179" w:rsidRDefault="00000000">
      <w:r>
        <w:t>[NBN EN 572-2, Verre dans la construction - Produits de base : verre de silicate sodo-calcique - Partie 2 : Glace flottée]</w:t>
      </w:r>
    </w:p>
    <w:p w14:paraId="145B053B" w14:textId="77777777" w:rsidR="00772179" w:rsidRDefault="00000000">
      <w:r>
        <w:t>[NBN EN 572-9, Verre dans la construction - Verre de silicate sodo-calcique de base - Partie 9: Evaluation de la conformité]</w:t>
      </w:r>
    </w:p>
    <w:p w14:paraId="02E45E63" w14:textId="77777777" w:rsidR="00772179" w:rsidRDefault="00000000">
      <w:r>
        <w:t>[NBN EN 410, Verre dans la construction - Détermination des caractéristiques lumineuses et solaires des vitrages]</w:t>
      </w:r>
    </w:p>
    <w:p w14:paraId="0E05A70D" w14:textId="77777777" w:rsidR="00772179" w:rsidRDefault="00000000">
      <w:pPr>
        <w:pStyle w:val="pheading"/>
      </w:pPr>
      <w:r>
        <w:t>- Exécution</w:t>
      </w:r>
    </w:p>
    <w:p w14:paraId="09E66237" w14:textId="77777777" w:rsidR="00772179" w:rsidRDefault="00000000">
      <w:r>
        <w:t>[NBN EN 12365-1, Quincaillerie pour le bâtiment - Profilés d'étanchéité de vitrage et entre ouvrant et dormant pour portes, fenêtres, fermetures et façades rideaux - Partie 1: Exigences de performance et classification]</w:t>
      </w:r>
    </w:p>
    <w:p w14:paraId="66527CD8" w14:textId="77777777" w:rsidR="00772179" w:rsidRDefault="00000000">
      <w:r>
        <w:t>[STS 56.1, Mastics d’étanchéité des façades]</w:t>
      </w:r>
    </w:p>
    <w:p w14:paraId="058C5266" w14:textId="77777777" w:rsidR="00772179" w:rsidRDefault="00000000">
      <w:r>
        <w:t>[NIT 221, La pose des vitrages en feuillure (Les NIT 214 et 221 remplacent les NIT 110 et 113).]</w:t>
      </w:r>
    </w:p>
    <w:p w14:paraId="7341C40E" w14:textId="77777777" w:rsidR="00772179" w:rsidRDefault="00000000">
      <w:pPr>
        <w:pStyle w:val="pheading"/>
      </w:pPr>
      <w:r>
        <w:t>MESURAGE</w:t>
      </w:r>
    </w:p>
    <w:p w14:paraId="3D0B4559" w14:textId="77777777" w:rsidR="00772179" w:rsidRDefault="00000000">
      <w:pPr>
        <w:pStyle w:val="pheading"/>
      </w:pPr>
      <w:r>
        <w:t>- unité de mesure:</w:t>
      </w:r>
    </w:p>
    <w:p w14:paraId="74702F56" w14:textId="77777777" w:rsidR="00772179" w:rsidRDefault="00000000">
      <w:r>
        <w:rPr>
          <w:rStyle w:val="optioncarChar"/>
        </w:rPr>
        <w:t>-</w:t>
      </w:r>
      <w:r>
        <w:t xml:space="preserve"> (par défaut) </w:t>
      </w:r>
      <w:r>
        <w:rPr>
          <w:rStyle w:val="optioncarChar"/>
        </w:rPr>
        <w:t>/ m2</w:t>
      </w:r>
    </w:p>
    <w:p w14:paraId="0ED4E570" w14:textId="77777777" w:rsidR="00772179" w:rsidRDefault="00000000">
      <w:r>
        <w:rPr>
          <w:b/>
          <w:i/>
        </w:rPr>
        <w:lastRenderedPageBreak/>
        <w:t>(soit par défaut)</w:t>
      </w:r>
    </w:p>
    <w:p w14:paraId="1872C272" w14:textId="77777777" w:rsidR="00772179" w:rsidRDefault="00000000">
      <w:r>
        <w:rPr>
          <w:rStyle w:val="soitChar"/>
        </w:rPr>
        <w:t>1. -</w:t>
      </w:r>
    </w:p>
    <w:p w14:paraId="059A5134" w14:textId="77777777" w:rsidR="00772179" w:rsidRDefault="00000000">
      <w:r>
        <w:rPr>
          <w:b/>
          <w:i/>
        </w:rPr>
        <w:t>(soit)</w:t>
      </w:r>
    </w:p>
    <w:p w14:paraId="0C29FDCD" w14:textId="77777777" w:rsidR="00772179" w:rsidRDefault="00000000">
      <w:r>
        <w:rPr>
          <w:rStyle w:val="soitChar"/>
        </w:rPr>
        <w:t>2. m²</w:t>
      </w:r>
    </w:p>
    <w:p w14:paraId="41FA6702" w14:textId="77777777" w:rsidR="00772179" w:rsidRDefault="00000000">
      <w:pPr>
        <w:pStyle w:val="pheading"/>
      </w:pPr>
      <w:r>
        <w:t>- code de mesurage:</w:t>
      </w:r>
    </w:p>
    <w:p w14:paraId="3E4E80C8" w14:textId="77777777" w:rsidR="00772179" w:rsidRDefault="00000000">
      <w:pPr>
        <w:jc w:val="both"/>
      </w:pPr>
      <w:r>
        <w:rPr>
          <w:rStyle w:val="optioncarChar"/>
        </w:rPr>
        <w:t>compris </w:t>
      </w:r>
      <w:r>
        <w:t>(par défaut)</w:t>
      </w:r>
      <w:r>
        <w:rPr>
          <w:rStyle w:val="optioncarChar"/>
        </w:rPr>
        <w:t xml:space="preserve"> / surface nette</w:t>
      </w:r>
    </w:p>
    <w:p w14:paraId="64AF5651" w14:textId="77777777" w:rsidR="00772179" w:rsidRDefault="00000000">
      <w:pPr>
        <w:jc w:val="both"/>
      </w:pPr>
      <w:r>
        <w:rPr>
          <w:b/>
          <w:i/>
        </w:rPr>
        <w:t>(soit par défaut)</w:t>
      </w:r>
    </w:p>
    <w:p w14:paraId="358F3D37" w14:textId="77777777" w:rsidR="00772179" w:rsidRDefault="00000000">
      <w:pPr>
        <w:jc w:val="both"/>
      </w:pPr>
      <w:r>
        <w:rPr>
          <w:rStyle w:val="soitChar"/>
          <w:u w:val="single"/>
        </w:rPr>
        <w:t>1. Compris :</w:t>
      </w:r>
      <w:r>
        <w:rPr>
          <w:rStyle w:val="soitChar"/>
        </w:rPr>
        <w:t xml:space="preserve"> Sauf indication particulière dans le cahier spécial des charges et/ou le métré récapitulatif, le prix du vitrage extérieur est compris dans le </w:t>
      </w:r>
      <w:r>
        <w:rPr>
          <w:rStyle w:val="soitChar"/>
          <w:b/>
        </w:rPr>
        <w:t>prix unitaire global de la menuiserie</w:t>
      </w:r>
      <w:r>
        <w:rPr>
          <w:rStyle w:val="soitChar"/>
        </w:rPr>
        <w:t xml:space="preserve"> et/ou des lanterneaux, conformément aux spécifications pour les vitrages dans les postes concernés. Compris dans l'élément </w:t>
      </w:r>
      <w:r>
        <w:rPr>
          <w:rStyle w:val="optioncarChar"/>
        </w:rPr>
        <w:t>***</w:t>
      </w:r>
    </w:p>
    <w:p w14:paraId="532C2E03" w14:textId="77777777" w:rsidR="00772179" w:rsidRDefault="00000000">
      <w:pPr>
        <w:jc w:val="both"/>
      </w:pPr>
      <w:r>
        <w:rPr>
          <w:b/>
          <w:i/>
        </w:rPr>
        <w:t>(soit)</w:t>
      </w:r>
    </w:p>
    <w:p w14:paraId="60EE0A6C" w14:textId="77777777" w:rsidR="00772179" w:rsidRDefault="00000000">
      <w:pPr>
        <w:jc w:val="both"/>
      </w:pPr>
      <w:r>
        <w:rPr>
          <w:rStyle w:val="soitChar"/>
          <w:u w:val="single"/>
        </w:rPr>
        <w:t>2. Surface nette :</w:t>
      </w:r>
      <w:r>
        <w:rPr>
          <w:rStyle w:val="soitChar"/>
        </w:rPr>
        <w:t xml:space="preserve"> Exceptionnellement et uniquement moyennant mention explicite dans le cahier spécial des charges et le métré récapitulatif, certains vitrages extérieurs spéciaux sont repris dans un </w:t>
      </w:r>
      <w:r>
        <w:rPr>
          <w:rStyle w:val="soitChar"/>
          <w:b/>
        </w:rPr>
        <w:t>poste séparé,</w:t>
      </w:r>
      <w:r>
        <w:rPr>
          <w:rStyle w:val="soitChar"/>
        </w:rPr>
        <w:t xml:space="preserve"> ventilé en fonction du type de vitrage. Surfaces nettes vitrées (surface réellement placée). Les surfaces &lt; 0,25 m sont comptées pour 0,25 m. Les vitres non rectangulaires sont mesurées selon la superficie du plus petit rectangle circonscrit.</w:t>
      </w:r>
    </w:p>
    <w:p w14:paraId="2712A934" w14:textId="77777777" w:rsidR="00772179" w:rsidRDefault="00000000">
      <w:pPr>
        <w:pStyle w:val="pheading"/>
      </w:pPr>
      <w:r>
        <w:t>- nature du marché:</w:t>
      </w:r>
    </w:p>
    <w:p w14:paraId="11F1ECCF" w14:textId="77777777" w:rsidR="00772179" w:rsidRDefault="00000000">
      <w:r>
        <w:rPr>
          <w:rStyle w:val="optioncarChar"/>
        </w:rPr>
        <w:t>PM</w:t>
      </w:r>
      <w:r>
        <w:t xml:space="preserve"> (par défaut)</w:t>
      </w:r>
      <w:r>
        <w:rPr>
          <w:rStyle w:val="optioncarChar"/>
        </w:rPr>
        <w:t xml:space="preserve"> /QF</w:t>
      </w:r>
    </w:p>
    <w:p w14:paraId="09168E87" w14:textId="77777777" w:rsidR="00772179" w:rsidRDefault="00000000">
      <w:r>
        <w:rPr>
          <w:b/>
          <w:i/>
        </w:rPr>
        <w:t>(soit par défaut)</w:t>
      </w:r>
    </w:p>
    <w:p w14:paraId="416695E7" w14:textId="77777777" w:rsidR="00772179" w:rsidRDefault="00000000">
      <w:r>
        <w:rPr>
          <w:rStyle w:val="soitChar"/>
        </w:rPr>
        <w:t>1. PM</w:t>
      </w:r>
    </w:p>
    <w:p w14:paraId="179195FD" w14:textId="77777777" w:rsidR="00772179" w:rsidRDefault="00000000">
      <w:r>
        <w:rPr>
          <w:b/>
          <w:i/>
        </w:rPr>
        <w:t>(soit)</w:t>
      </w:r>
    </w:p>
    <w:p w14:paraId="4733C0EF" w14:textId="77777777" w:rsidR="00772179" w:rsidRDefault="00000000">
      <w:r>
        <w:rPr>
          <w:rStyle w:val="soitChar"/>
        </w:rPr>
        <w:t>2. QF</w:t>
      </w:r>
    </w:p>
    <w:p w14:paraId="277D693E" w14:textId="77777777" w:rsidR="00772179" w:rsidRDefault="00000000">
      <w:pPr>
        <w:pStyle w:val="Author-eSectionHeading6Numberless"/>
      </w:pPr>
      <w:bookmarkStart w:id="512" w:name="_Toc220490229"/>
      <w:r>
        <w:t>42.11.1b Vitrages simples floatés imprimés CCTB 01.02</w:t>
      </w:r>
      <w:bookmarkEnd w:id="512"/>
    </w:p>
    <w:p w14:paraId="113B2FE4" w14:textId="77777777" w:rsidR="00772179" w:rsidRDefault="00000000">
      <w:pPr>
        <w:pStyle w:val="Author-eSectionHeading6Numberless"/>
      </w:pPr>
      <w:bookmarkStart w:id="513" w:name="_Toc220490230"/>
      <w:r>
        <w:t>42.11.1c Vitrages simples floatés matés CCTB 01.11</w:t>
      </w:r>
      <w:bookmarkEnd w:id="513"/>
    </w:p>
    <w:p w14:paraId="26A8F26E" w14:textId="77777777" w:rsidR="00772179" w:rsidRDefault="00000000">
      <w:pPr>
        <w:pStyle w:val="pheading"/>
      </w:pPr>
      <w:r>
        <w:t>MATÉRIAUX</w:t>
      </w:r>
    </w:p>
    <w:p w14:paraId="3A692D12" w14:textId="77777777" w:rsidR="00772179" w:rsidRDefault="00000000">
      <w:pPr>
        <w:pStyle w:val="pheading"/>
      </w:pPr>
      <w:r>
        <w:t>- Caractéristiques générales</w:t>
      </w:r>
    </w:p>
    <w:p w14:paraId="6FF2CD79" w14:textId="77777777" w:rsidR="00772179" w:rsidRDefault="00000000">
      <w:r>
        <w:t>Le verre mat est conforme aux prescriptions de la norme [NBN S 23-002] .  L'aspect mat du verre est obtenu par ponçage ou par l'action d'acide fluorhydrique.</w:t>
      </w:r>
    </w:p>
    <w:p w14:paraId="50C1952A" w14:textId="77777777" w:rsidR="00772179" w:rsidRDefault="00000000">
      <w:pPr>
        <w:pStyle w:val="pheading"/>
      </w:pPr>
      <w:r>
        <w:t>- Finitions</w:t>
      </w:r>
    </w:p>
    <w:p w14:paraId="2D844FFD" w14:textId="77777777" w:rsidR="00772179" w:rsidRDefault="00000000">
      <w:pPr>
        <w:pStyle w:val="Author-eListParagraph"/>
        <w:numPr>
          <w:ilvl w:val="0"/>
          <w:numId w:val="797"/>
        </w:numPr>
      </w:pPr>
      <w:r>
        <w:t>Type : traité sur </w:t>
      </w:r>
      <w:r>
        <w:rPr>
          <w:rStyle w:val="optioncarChar"/>
        </w:rPr>
        <w:t> une face / deux faces</w:t>
      </w:r>
    </w:p>
    <w:p w14:paraId="47FD6DAF" w14:textId="77777777" w:rsidR="00772179" w:rsidRDefault="00000000">
      <w:pPr>
        <w:pStyle w:val="Author-eListParagraph"/>
        <w:numPr>
          <w:ilvl w:val="0"/>
          <w:numId w:val="797"/>
        </w:numPr>
      </w:pPr>
      <w:r>
        <w:t>L'épaisseur de la vitre est déterminée conformément aux normes [NBN S 23-002-2] et [NBN S 23-002-3]. </w:t>
      </w:r>
    </w:p>
    <w:p w14:paraId="6065A512" w14:textId="77777777" w:rsidR="00772179" w:rsidRDefault="00000000">
      <w:pPr>
        <w:pStyle w:val="Author-eListParagraph"/>
        <w:numPr>
          <w:ilvl w:val="0"/>
          <w:numId w:val="797"/>
        </w:numPr>
      </w:pPr>
      <w:r>
        <w:t xml:space="preserve">L'épaisseur est ≥ </w:t>
      </w:r>
      <w:r>
        <w:rPr>
          <w:rStyle w:val="optioncarChar"/>
        </w:rPr>
        <w:t xml:space="preserve">4 / 5 / 6 </w:t>
      </w:r>
      <w:r>
        <w:t>mm.</w:t>
      </w:r>
    </w:p>
    <w:p w14:paraId="367A7CDB" w14:textId="77777777" w:rsidR="00772179" w:rsidRDefault="00000000">
      <w:pPr>
        <w:pStyle w:val="Author-eListParagraph"/>
        <w:numPr>
          <w:ilvl w:val="0"/>
          <w:numId w:val="797"/>
        </w:numPr>
      </w:pPr>
      <w:r>
        <w:t xml:space="preserve">Les cales de support, de distance et d'espacement sont en </w:t>
      </w:r>
      <w:r>
        <w:rPr>
          <w:rStyle w:val="optioncarChar"/>
        </w:rPr>
        <w:t xml:space="preserve">matière synthétique </w:t>
      </w:r>
      <w:r>
        <w:t>(par défaut)</w:t>
      </w:r>
      <w:r>
        <w:rPr>
          <w:rStyle w:val="optioncarChar"/>
        </w:rPr>
        <w:t xml:space="preserve"> / ***</w:t>
      </w:r>
    </w:p>
    <w:p w14:paraId="1414A4D2" w14:textId="77777777" w:rsidR="00772179" w:rsidRDefault="00000000">
      <w:pPr>
        <w:pStyle w:val="Author-eListParagraph"/>
        <w:numPr>
          <w:ilvl w:val="0"/>
          <w:numId w:val="797"/>
        </w:numPr>
      </w:pPr>
      <w:r>
        <w:t xml:space="preserve">La couleur du </w:t>
      </w:r>
      <w:r>
        <w:rPr>
          <w:rStyle w:val="optioncarChar"/>
        </w:rPr>
        <w:t xml:space="preserve">mastic </w:t>
      </w:r>
      <w:r>
        <w:t xml:space="preserve">(par défaut) </w:t>
      </w:r>
      <w:r>
        <w:rPr>
          <w:rStyle w:val="optioncarChar"/>
        </w:rPr>
        <w:t>/ du profil d'étanchéité / </w:t>
      </w:r>
      <w:r>
        <w:t xml:space="preserve">est </w:t>
      </w:r>
      <w:r>
        <w:rPr>
          <w:rStyle w:val="optioncarChar"/>
        </w:rPr>
        <w:t>***</w:t>
      </w:r>
      <w:r>
        <w:t>.</w:t>
      </w:r>
    </w:p>
    <w:p w14:paraId="7703B5CC" w14:textId="77777777" w:rsidR="00772179" w:rsidRDefault="00000000">
      <w:pPr>
        <w:pStyle w:val="Author-eListParagraph"/>
        <w:numPr>
          <w:ilvl w:val="0"/>
          <w:numId w:val="797"/>
        </w:numPr>
      </w:pPr>
      <w:r>
        <w:t>Les mastics sont de type à peindre.</w:t>
      </w:r>
    </w:p>
    <w:p w14:paraId="64624513" w14:textId="77777777" w:rsidR="00772179" w:rsidRDefault="00000000">
      <w:pPr>
        <w:pStyle w:val="pheading"/>
      </w:pPr>
      <w:r>
        <w:t>EXÉCUTION / MISE EN ŒUVRE</w:t>
      </w:r>
    </w:p>
    <w:p w14:paraId="2900CE62" w14:textId="77777777" w:rsidR="00772179" w:rsidRDefault="00000000">
      <w:pPr>
        <w:pStyle w:val="pheading"/>
      </w:pPr>
      <w:r>
        <w:t>- Prescriptions générales</w:t>
      </w:r>
    </w:p>
    <w:p w14:paraId="1EFA4F55" w14:textId="77777777" w:rsidR="00772179" w:rsidRDefault="00000000">
      <w:r>
        <w:t>La pose est effectuée conformément à la norme [NBN S 23-002] et à la [NIT 221] </w:t>
      </w:r>
      <w:r>
        <w:rPr>
          <w:b/>
        </w:rPr>
        <w:t>(</w:t>
      </w:r>
      <w:r>
        <w:t xml:space="preserve">voir également les rubriques  </w:t>
      </w:r>
      <w:hyperlink w:anchor="852" w:history="1">
        <w:r>
          <w:rPr>
            <w:color w:val="0000EE"/>
          </w:rPr>
          <w:t>42 Vitrages extérieurs et éléments de remplissage</w:t>
        </w:r>
      </w:hyperlink>
      <w:r>
        <w:t xml:space="preserve"> et </w:t>
      </w:r>
      <w:hyperlink w:anchor="972" w:history="1">
        <w:r>
          <w:rPr>
            <w:color w:val="0000EE"/>
          </w:rPr>
          <w:t>42.1 Vitrages simples</w:t>
        </w:r>
      </w:hyperlink>
      <w:r>
        <w:rPr>
          <w:b/>
          <w:color w:val="969696"/>
        </w:rPr>
        <w:t xml:space="preserve">). </w:t>
      </w:r>
      <w:r>
        <w:t xml:space="preserve">Le vitrage est </w:t>
      </w:r>
      <w:r>
        <w:lastRenderedPageBreak/>
        <w:t xml:space="preserve">rendu étanche avec </w:t>
      </w:r>
      <w:r>
        <w:rPr>
          <w:rStyle w:val="optioncarChar"/>
        </w:rPr>
        <w:t>un mastic de la classe conforme aux [STS 56.1] et à la [NIT 221] sur un profil de remplissage / un profil d'étanchéité conforme à la [NIT 221]</w:t>
      </w:r>
    </w:p>
    <w:p w14:paraId="03C23F88" w14:textId="77777777" w:rsidR="00772179" w:rsidRDefault="00000000">
      <w:pPr>
        <w:pStyle w:val="pheading"/>
      </w:pPr>
      <w:r>
        <w:t>MESURAGE</w:t>
      </w:r>
    </w:p>
    <w:p w14:paraId="4E0BFB1A" w14:textId="77777777" w:rsidR="00772179" w:rsidRDefault="00000000">
      <w:pPr>
        <w:pStyle w:val="pheading"/>
      </w:pPr>
      <w:r>
        <w:t>- unité de mesure:</w:t>
      </w:r>
    </w:p>
    <w:p w14:paraId="3CAD0537" w14:textId="77777777" w:rsidR="00772179" w:rsidRDefault="00000000">
      <w:r>
        <w:rPr>
          <w:color w:val="FF0000"/>
        </w:rPr>
        <w:t>-</w:t>
      </w:r>
      <w:r>
        <w:t xml:space="preserve"> (par défaut)</w:t>
      </w:r>
      <w:r>
        <w:rPr>
          <w:rStyle w:val="optioncarChar"/>
        </w:rPr>
        <w:t> / m² </w:t>
      </w:r>
    </w:p>
    <w:p w14:paraId="54ADD09E" w14:textId="77777777" w:rsidR="00772179" w:rsidRDefault="00000000">
      <w:r>
        <w:rPr>
          <w:b/>
        </w:rPr>
        <w:t>(soit par défaut)</w:t>
      </w:r>
    </w:p>
    <w:p w14:paraId="2B291BBC" w14:textId="77777777" w:rsidR="00772179" w:rsidRDefault="00000000">
      <w:r>
        <w:rPr>
          <w:rStyle w:val="soitChar"/>
        </w:rPr>
        <w:t>1. -</w:t>
      </w:r>
    </w:p>
    <w:p w14:paraId="6319C912" w14:textId="77777777" w:rsidR="00772179" w:rsidRDefault="00000000">
      <w:r>
        <w:rPr>
          <w:b/>
        </w:rPr>
        <w:t>(soit)</w:t>
      </w:r>
    </w:p>
    <w:p w14:paraId="6F43A635" w14:textId="77777777" w:rsidR="00772179" w:rsidRDefault="00000000">
      <w:r>
        <w:rPr>
          <w:rStyle w:val="soitChar"/>
        </w:rPr>
        <w:t>2. m²</w:t>
      </w:r>
    </w:p>
    <w:p w14:paraId="114C23F6" w14:textId="77777777" w:rsidR="00772179" w:rsidRDefault="00000000">
      <w:pPr>
        <w:pStyle w:val="pheading"/>
      </w:pPr>
      <w:r>
        <w:t>- code de mesurage:</w:t>
      </w:r>
    </w:p>
    <w:p w14:paraId="310C4CA4" w14:textId="77777777" w:rsidR="00772179" w:rsidRDefault="00000000">
      <w:r>
        <w:rPr>
          <w:rStyle w:val="optioncarChar"/>
        </w:rPr>
        <w:t xml:space="preserve">Compris </w:t>
      </w:r>
      <w:r>
        <w:t>(par défaut)</w:t>
      </w:r>
      <w:r>
        <w:rPr>
          <w:rStyle w:val="optioncarChar"/>
        </w:rPr>
        <w:t xml:space="preserve"> / Surfaces nettes vitrées et réellement placées</w:t>
      </w:r>
    </w:p>
    <w:p w14:paraId="3FE4F2DD" w14:textId="77777777" w:rsidR="00772179" w:rsidRDefault="00000000">
      <w:r>
        <w:rPr>
          <w:b/>
        </w:rPr>
        <w:t>(soit par défaut)</w:t>
      </w:r>
      <w:r>
        <w:t xml:space="preserve"> : </w:t>
      </w:r>
      <w:r>
        <w:rPr>
          <w:rStyle w:val="soitChar"/>
        </w:rPr>
        <w:t xml:space="preserve">Sauf indication particulière dans le cahier spécial des charges et/ou le métré récapitulatif, le prix du vitrage extérieur est </w:t>
      </w:r>
      <w:r>
        <w:rPr>
          <w:rStyle w:val="soitChar"/>
          <w:u w:val="single"/>
        </w:rPr>
        <w:t>compris</w:t>
      </w:r>
      <w:r>
        <w:rPr>
          <w:rStyle w:val="soitChar"/>
        </w:rPr>
        <w:t xml:space="preserve"> dans le prix unitaire global de la menuiserie et/ou des lanterneaux, conformément aux spécifications pour les vitrages dans les postes concernés. </w:t>
      </w:r>
      <w:r>
        <w:t xml:space="preserve">   </w:t>
      </w:r>
      <w:r>
        <w:br/>
      </w:r>
      <w:r>
        <w:rPr>
          <w:b/>
        </w:rPr>
        <w:t>(soit)</w:t>
      </w:r>
      <w:r>
        <w:t xml:space="preserve"> : </w:t>
      </w:r>
      <w:r>
        <w:rPr>
          <w:rStyle w:val="soitChar"/>
        </w:rPr>
        <w:t xml:space="preserve">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4D45E678" w14:textId="77777777" w:rsidR="00772179" w:rsidRDefault="00000000">
      <w:pPr>
        <w:pStyle w:val="pheading"/>
      </w:pPr>
      <w:r>
        <w:t>- nature du marché:</w:t>
      </w:r>
    </w:p>
    <w:p w14:paraId="0DA76FCD" w14:textId="77777777" w:rsidR="00772179" w:rsidRDefault="00000000">
      <w:r>
        <w:rPr>
          <w:rStyle w:val="optioncarChar"/>
        </w:rPr>
        <w:t xml:space="preserve">PM </w:t>
      </w:r>
      <w:r>
        <w:t>(par défaut)</w:t>
      </w:r>
      <w:r>
        <w:rPr>
          <w:rStyle w:val="optioncarChar"/>
        </w:rPr>
        <w:t xml:space="preserve"> / QF</w:t>
      </w:r>
    </w:p>
    <w:p w14:paraId="6B78B5A8" w14:textId="77777777" w:rsidR="00772179" w:rsidRDefault="00000000">
      <w:r>
        <w:rPr>
          <w:b/>
        </w:rPr>
        <w:t>(soit par défaut)</w:t>
      </w:r>
    </w:p>
    <w:p w14:paraId="10DDD1FD" w14:textId="77777777" w:rsidR="00772179" w:rsidRDefault="00000000">
      <w:r>
        <w:rPr>
          <w:rStyle w:val="soitChar"/>
        </w:rPr>
        <w:t>1. PM</w:t>
      </w:r>
    </w:p>
    <w:p w14:paraId="28CD9660" w14:textId="77777777" w:rsidR="00772179" w:rsidRDefault="00000000">
      <w:r>
        <w:rPr>
          <w:b/>
        </w:rPr>
        <w:t>(soit)</w:t>
      </w:r>
    </w:p>
    <w:p w14:paraId="720EB4F1" w14:textId="77777777" w:rsidR="00772179" w:rsidRDefault="00000000">
      <w:r>
        <w:rPr>
          <w:rStyle w:val="soitChar"/>
        </w:rPr>
        <w:t>2. QF</w:t>
      </w:r>
    </w:p>
    <w:p w14:paraId="39407A1C" w14:textId="77777777" w:rsidR="00772179" w:rsidRDefault="00000000">
      <w:pPr>
        <w:pStyle w:val="Author-eSectionHeading6Numberless"/>
      </w:pPr>
      <w:bookmarkStart w:id="514" w:name="_Toc220490231"/>
      <w:r>
        <w:t>42.11.1d Vitrages simples floatés sablés CCTB 01.11</w:t>
      </w:r>
      <w:bookmarkEnd w:id="514"/>
    </w:p>
    <w:p w14:paraId="7999680C" w14:textId="77777777" w:rsidR="00772179" w:rsidRDefault="00000000">
      <w:pPr>
        <w:pStyle w:val="pheading"/>
      </w:pPr>
      <w:r>
        <w:t>MATÉRIAUX</w:t>
      </w:r>
    </w:p>
    <w:p w14:paraId="0D39996F" w14:textId="77777777" w:rsidR="00772179" w:rsidRDefault="00000000">
      <w:pPr>
        <w:pStyle w:val="pheading"/>
      </w:pPr>
      <w:r>
        <w:t>- Caractéristiques générales</w:t>
      </w:r>
    </w:p>
    <w:p w14:paraId="75C00193" w14:textId="77777777" w:rsidR="00772179" w:rsidRDefault="00000000">
      <w:r>
        <w:t>Le verre sablé est un verre dépoli au sable (permet d'obtenir des motifs uniformes ou en multi-relief). Il est conforme aux prescriptions de la [NBN S 23-002] et à la norme européenne relative au substrat de base utilisé pour réaliser le verre sablé conformément aux normes [NBN S 23-002-2] et [NBN S 23-002-3].</w:t>
      </w:r>
    </w:p>
    <w:p w14:paraId="620964D4" w14:textId="77777777" w:rsidR="00772179" w:rsidRDefault="00000000">
      <w:pPr>
        <w:pStyle w:val="pheading"/>
      </w:pPr>
      <w:r>
        <w:t>- Finitions</w:t>
      </w:r>
    </w:p>
    <w:p w14:paraId="1D6DFFBF" w14:textId="77777777" w:rsidR="00772179" w:rsidRDefault="00000000">
      <w:pPr>
        <w:pStyle w:val="Author-eListParagraph"/>
        <w:numPr>
          <w:ilvl w:val="0"/>
          <w:numId w:val="798"/>
        </w:numPr>
      </w:pPr>
      <w:r>
        <w:t xml:space="preserve">Couleur : </w:t>
      </w:r>
      <w:r>
        <w:rPr>
          <w:rStyle w:val="optioncarChar"/>
        </w:rPr>
        <w:t>gris-blanc / vert / bleu </w:t>
      </w:r>
    </w:p>
    <w:p w14:paraId="1FF8F6FD" w14:textId="77777777" w:rsidR="00772179" w:rsidRDefault="00000000">
      <w:pPr>
        <w:pStyle w:val="Author-eListParagraph"/>
        <w:numPr>
          <w:ilvl w:val="0"/>
          <w:numId w:val="798"/>
        </w:numPr>
      </w:pPr>
      <w:r>
        <w:t>L'épaisseur de la vitre est déterminée conformément aux normes [NBN S 23-002-2] et [NBN S 23-002-3]. </w:t>
      </w:r>
    </w:p>
    <w:p w14:paraId="2D280F05" w14:textId="77777777" w:rsidR="00772179" w:rsidRDefault="00000000">
      <w:pPr>
        <w:pStyle w:val="Author-eListParagraph"/>
        <w:numPr>
          <w:ilvl w:val="0"/>
          <w:numId w:val="798"/>
        </w:numPr>
      </w:pPr>
      <w:r>
        <w:t xml:space="preserve">L'épaisseur est ≥ </w:t>
      </w:r>
      <w:r>
        <w:rPr>
          <w:rStyle w:val="optioncarChar"/>
        </w:rPr>
        <w:t xml:space="preserve">4 / 5 / 6 </w:t>
      </w:r>
      <w:r>
        <w:t>mm.  </w:t>
      </w:r>
    </w:p>
    <w:p w14:paraId="74D4F4C0" w14:textId="77777777" w:rsidR="00772179" w:rsidRDefault="00000000">
      <w:pPr>
        <w:pStyle w:val="Author-eListParagraph"/>
        <w:numPr>
          <w:ilvl w:val="0"/>
          <w:numId w:val="798"/>
        </w:numPr>
      </w:pPr>
      <w:r>
        <w:t xml:space="preserve">Les cales de support, de distance et d'espacement sont en </w:t>
      </w:r>
      <w:r>
        <w:rPr>
          <w:rStyle w:val="optioncarChar"/>
        </w:rPr>
        <w:t xml:space="preserve">matière synthétique </w:t>
      </w:r>
      <w:r>
        <w:t xml:space="preserve">(par défaut) </w:t>
      </w:r>
      <w:r>
        <w:rPr>
          <w:rStyle w:val="optioncarChar"/>
        </w:rPr>
        <w:t>/ ***</w:t>
      </w:r>
    </w:p>
    <w:p w14:paraId="28BE63F6" w14:textId="77777777" w:rsidR="00772179" w:rsidRDefault="00000000">
      <w:pPr>
        <w:pStyle w:val="Author-eListParagraph"/>
        <w:numPr>
          <w:ilvl w:val="0"/>
          <w:numId w:val="798"/>
        </w:numPr>
      </w:pPr>
      <w:r>
        <w:t xml:space="preserve">La couleur du </w:t>
      </w:r>
      <w:r>
        <w:rPr>
          <w:rStyle w:val="optioncarChar"/>
        </w:rPr>
        <w:t>mastic / profil d'étanchéité est</w:t>
      </w:r>
      <w:r>
        <w:t> </w:t>
      </w:r>
      <w:r>
        <w:rPr>
          <w:rStyle w:val="optioncarChar"/>
        </w:rPr>
        <w:t>***.</w:t>
      </w:r>
    </w:p>
    <w:p w14:paraId="2B0D91BC" w14:textId="77777777" w:rsidR="00772179" w:rsidRDefault="00000000">
      <w:pPr>
        <w:pStyle w:val="Author-eListParagraph"/>
        <w:numPr>
          <w:ilvl w:val="0"/>
          <w:numId w:val="798"/>
        </w:numPr>
      </w:pPr>
      <w:r>
        <w:t>Les mastics sont de type à peindre.</w:t>
      </w:r>
    </w:p>
    <w:p w14:paraId="429CAA12" w14:textId="77777777" w:rsidR="00772179" w:rsidRDefault="00000000">
      <w:pPr>
        <w:pStyle w:val="pheading"/>
      </w:pPr>
      <w:r>
        <w:t>EXÉCUTION / MISE EN ŒUVRE</w:t>
      </w:r>
    </w:p>
    <w:p w14:paraId="0F35470A" w14:textId="77777777" w:rsidR="00772179" w:rsidRDefault="00000000">
      <w:pPr>
        <w:pStyle w:val="pheading"/>
      </w:pPr>
      <w:r>
        <w:t>- Prescriptions générales</w:t>
      </w:r>
    </w:p>
    <w:p w14:paraId="09F2FD96" w14:textId="77777777" w:rsidR="00772179" w:rsidRDefault="00000000">
      <w:r>
        <w:lastRenderedPageBreak/>
        <w:t>La pose est effectuée conformément à la norme [NBN S 23-002] et à la [NIT 221]</w:t>
      </w:r>
      <w:r>
        <w:rPr>
          <w:b/>
        </w:rPr>
        <w:t>(</w:t>
      </w:r>
      <w:r>
        <w:t xml:space="preserve">voir également les rubriques  </w:t>
      </w:r>
      <w:hyperlink w:anchor="852" w:history="1">
        <w:r>
          <w:rPr>
            <w:color w:val="0000EE"/>
          </w:rPr>
          <w:t>42 Vitrages extérieurs et éléments de remplissage</w:t>
        </w:r>
      </w:hyperlink>
      <w:r>
        <w:t xml:space="preserve"> et </w:t>
      </w:r>
      <w:hyperlink w:anchor="972" w:history="1">
        <w:r>
          <w:rPr>
            <w:color w:val="0000EE"/>
          </w:rPr>
          <w:t>42.1 Vitrages simples</w:t>
        </w:r>
      </w:hyperlink>
      <w:r>
        <w:rPr>
          <w:b/>
          <w:color w:val="969696"/>
        </w:rPr>
        <w:t xml:space="preserve">). </w:t>
      </w:r>
      <w:r>
        <w:t xml:space="preserve">Le vitrage est rendu étanche avec </w:t>
      </w:r>
      <w:r>
        <w:rPr>
          <w:rStyle w:val="optioncarChar"/>
        </w:rPr>
        <w:t>*** / un mastic de la classe conforme aux [STS 56.1] et à la [NIT 221] sur un profil de remplissage / un profil d'étanchéité conforme à la [NIT 221]</w:t>
      </w:r>
    </w:p>
    <w:p w14:paraId="49F72AC0" w14:textId="77777777" w:rsidR="00772179" w:rsidRDefault="00000000">
      <w:pPr>
        <w:pStyle w:val="pheading"/>
      </w:pPr>
      <w:r>
        <w:t>MESURAGE</w:t>
      </w:r>
    </w:p>
    <w:p w14:paraId="2A2FD7A0" w14:textId="77777777" w:rsidR="00772179" w:rsidRDefault="00000000">
      <w:pPr>
        <w:pStyle w:val="pheading"/>
      </w:pPr>
      <w:r>
        <w:t>- unité de mesure:</w:t>
      </w:r>
    </w:p>
    <w:p w14:paraId="086FE0BB" w14:textId="77777777" w:rsidR="00772179" w:rsidRDefault="00000000">
      <w:r>
        <w:rPr>
          <w:color w:val="FF0000"/>
        </w:rPr>
        <w:t>-</w:t>
      </w:r>
      <w:r>
        <w:t> (par défaut)</w:t>
      </w:r>
      <w:r>
        <w:rPr>
          <w:rStyle w:val="optioncarChar"/>
        </w:rPr>
        <w:t> / m² </w:t>
      </w:r>
    </w:p>
    <w:p w14:paraId="470D23F9" w14:textId="77777777" w:rsidR="00772179" w:rsidRDefault="00000000">
      <w:r>
        <w:rPr>
          <w:b/>
        </w:rPr>
        <w:t>(soit par défaut)</w:t>
      </w:r>
    </w:p>
    <w:p w14:paraId="5E29F094" w14:textId="77777777" w:rsidR="00772179" w:rsidRDefault="00000000">
      <w:r>
        <w:rPr>
          <w:rStyle w:val="soitChar"/>
        </w:rPr>
        <w:t>1. -</w:t>
      </w:r>
    </w:p>
    <w:p w14:paraId="09FF57E7" w14:textId="77777777" w:rsidR="00772179" w:rsidRDefault="00000000">
      <w:r>
        <w:rPr>
          <w:b/>
        </w:rPr>
        <w:t>(soit)</w:t>
      </w:r>
    </w:p>
    <w:p w14:paraId="23DBEF3E" w14:textId="77777777" w:rsidR="00772179" w:rsidRDefault="00000000">
      <w:r>
        <w:rPr>
          <w:rStyle w:val="soitChar"/>
        </w:rPr>
        <w:t>2. m²</w:t>
      </w:r>
    </w:p>
    <w:p w14:paraId="4775EB73" w14:textId="77777777" w:rsidR="00772179" w:rsidRDefault="00000000">
      <w:pPr>
        <w:pStyle w:val="pheading"/>
      </w:pPr>
      <w:r>
        <w:t>- code de mesurage:</w:t>
      </w:r>
    </w:p>
    <w:p w14:paraId="11D67106" w14:textId="77777777" w:rsidR="00772179" w:rsidRDefault="00000000">
      <w:r>
        <w:rPr>
          <w:rStyle w:val="optioncarChar"/>
        </w:rPr>
        <w:t>Compris </w:t>
      </w:r>
      <w:r>
        <w:t>(par défaut)</w:t>
      </w:r>
      <w:r>
        <w:rPr>
          <w:rStyle w:val="optioncarChar"/>
        </w:rPr>
        <w:t> / Surfaces nettes vitrées et réellement placées</w:t>
      </w:r>
    </w:p>
    <w:p w14:paraId="6ABAA947" w14:textId="77777777" w:rsidR="00772179"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15FCE82E" w14:textId="77777777" w:rsidR="00772179" w:rsidRDefault="00000000">
      <w:pPr>
        <w:pStyle w:val="pheading"/>
      </w:pPr>
      <w:r>
        <w:t>- nature du marché:</w:t>
      </w:r>
    </w:p>
    <w:p w14:paraId="2263E8F5" w14:textId="77777777" w:rsidR="00772179" w:rsidRDefault="00000000">
      <w:r>
        <w:rPr>
          <w:rStyle w:val="optioncarChar"/>
        </w:rPr>
        <w:t>PM </w:t>
      </w:r>
      <w:r>
        <w:t>(par défaut)</w:t>
      </w:r>
      <w:r>
        <w:rPr>
          <w:rStyle w:val="optioncarChar"/>
        </w:rPr>
        <w:t> / QF</w:t>
      </w:r>
    </w:p>
    <w:p w14:paraId="6DECB3FA" w14:textId="77777777" w:rsidR="00772179" w:rsidRDefault="00000000">
      <w:r>
        <w:rPr>
          <w:b/>
        </w:rPr>
        <w:t>(soit par défaut)</w:t>
      </w:r>
    </w:p>
    <w:p w14:paraId="2CC167C5" w14:textId="77777777" w:rsidR="00772179" w:rsidRDefault="00000000">
      <w:r>
        <w:rPr>
          <w:rStyle w:val="soitChar"/>
        </w:rPr>
        <w:t>1. PM</w:t>
      </w:r>
    </w:p>
    <w:p w14:paraId="12B6C46A" w14:textId="77777777" w:rsidR="00772179" w:rsidRDefault="00000000">
      <w:r>
        <w:rPr>
          <w:b/>
        </w:rPr>
        <w:t>(soit)</w:t>
      </w:r>
    </w:p>
    <w:p w14:paraId="0899D3CE" w14:textId="77777777" w:rsidR="00772179" w:rsidRDefault="00000000">
      <w:r>
        <w:rPr>
          <w:rStyle w:val="soitChar"/>
        </w:rPr>
        <w:t>2. QF</w:t>
      </w:r>
    </w:p>
    <w:p w14:paraId="105F2948" w14:textId="77777777" w:rsidR="00772179" w:rsidRDefault="00000000">
      <w:pPr>
        <w:pStyle w:val="Author-eSectionHeading6Numberless"/>
      </w:pPr>
      <w:bookmarkStart w:id="515" w:name="_Toc220490232"/>
      <w:r>
        <w:t>42.11.1e Vitrages simples floatés laqués CCTB 01.02</w:t>
      </w:r>
      <w:bookmarkEnd w:id="515"/>
    </w:p>
    <w:p w14:paraId="2DBF5F69" w14:textId="77777777" w:rsidR="00772179" w:rsidRDefault="00000000">
      <w:pPr>
        <w:pStyle w:val="Author-eSectionHeading6Numberless"/>
      </w:pPr>
      <w:bookmarkStart w:id="516" w:name="_Toc220490233"/>
      <w:r>
        <w:t>42.11.1f Vitrages simples floatés émaillés CCTB 01.02</w:t>
      </w:r>
      <w:bookmarkEnd w:id="516"/>
    </w:p>
    <w:p w14:paraId="21BC1816" w14:textId="77777777" w:rsidR="00772179" w:rsidRDefault="00000000">
      <w:pPr>
        <w:pStyle w:val="Author-eSectionHeading6Numberless"/>
      </w:pPr>
      <w:bookmarkStart w:id="517" w:name="_Toc220490234"/>
      <w:r>
        <w:t>42.11.1g Vitrages simples floatés sérigraphiés CCTB 01.02</w:t>
      </w:r>
      <w:bookmarkEnd w:id="517"/>
    </w:p>
    <w:p w14:paraId="47F4CEC5" w14:textId="77777777" w:rsidR="00772179" w:rsidRDefault="00000000">
      <w:pPr>
        <w:pStyle w:val="Author-eSectionHeading6Numberless"/>
      </w:pPr>
      <w:bookmarkStart w:id="518" w:name="_Toc220490235"/>
      <w:r>
        <w:t>42.11.1h Vitrages simples floatés teintés (dans la masse) CCTB 01.02</w:t>
      </w:r>
      <w:bookmarkEnd w:id="518"/>
    </w:p>
    <w:p w14:paraId="15AD400C" w14:textId="77777777" w:rsidR="00772179" w:rsidRDefault="00000000">
      <w:pPr>
        <w:pStyle w:val="Author-eSectionHeading6Numberless"/>
      </w:pPr>
      <w:bookmarkStart w:id="519" w:name="_Toc220490236"/>
      <w:r>
        <w:t>42.11.1i Vitrages simples floatés armés CCTB 01.11</w:t>
      </w:r>
      <w:bookmarkEnd w:id="519"/>
    </w:p>
    <w:p w14:paraId="327ED617" w14:textId="77777777" w:rsidR="00772179" w:rsidRDefault="00000000">
      <w:pPr>
        <w:pStyle w:val="pheading"/>
      </w:pPr>
      <w:r>
        <w:t>MATÉRIAUX</w:t>
      </w:r>
    </w:p>
    <w:p w14:paraId="46E80001" w14:textId="77777777" w:rsidR="00772179" w:rsidRDefault="00000000">
      <w:pPr>
        <w:pStyle w:val="pheading"/>
      </w:pPr>
      <w:r>
        <w:t>- Caractéristiques générales</w:t>
      </w:r>
    </w:p>
    <w:p w14:paraId="4D55036C" w14:textId="77777777" w:rsidR="00772179" w:rsidRDefault="00000000">
      <w:r>
        <w:t>Le verre </w:t>
      </w:r>
      <w:r>
        <w:rPr>
          <w:rStyle w:val="optioncarChar"/>
        </w:rPr>
        <w:t xml:space="preserve">float / coulé </w:t>
      </w:r>
      <w:r>
        <w:t xml:space="preserve">contient une armature de fils métalliques qui sont appliqués dans le verre pendant la fabrication pour retenir les éclats de verre en cas de bris. Le verre armé est conforme aux normes [NBN S 23-002] , [NBN EN 572-1:2012+A1], [NBN EN 572-2]et </w:t>
      </w:r>
      <w:r>
        <w:rPr>
          <w:shd w:val="clear" w:color="auto" w:fill="FFFFFF"/>
        </w:rPr>
        <w:t>[NBN EN 572-6].</w:t>
      </w:r>
    </w:p>
    <w:p w14:paraId="51713700" w14:textId="77777777" w:rsidR="00772179" w:rsidRDefault="00000000">
      <w:pPr>
        <w:pStyle w:val="pheading"/>
      </w:pPr>
      <w:r>
        <w:t>- Finitions</w:t>
      </w:r>
    </w:p>
    <w:p w14:paraId="7F57E2FF" w14:textId="77777777" w:rsidR="00772179" w:rsidRDefault="00000000">
      <w:pPr>
        <w:pStyle w:val="Author-eListParagraph"/>
        <w:numPr>
          <w:ilvl w:val="0"/>
          <w:numId w:val="799"/>
        </w:numPr>
      </w:pPr>
      <w:r>
        <w:t xml:space="preserve">La largeur des mailles est de : environ </w:t>
      </w:r>
      <w:r>
        <w:rPr>
          <w:rStyle w:val="optioncarChar"/>
        </w:rPr>
        <w:t xml:space="preserve">10 x 10 / 12,5 x 12,5 </w:t>
      </w:r>
      <w:r>
        <w:t>mm</w:t>
      </w:r>
    </w:p>
    <w:p w14:paraId="69AC5555" w14:textId="77777777" w:rsidR="00772179" w:rsidRDefault="00000000">
      <w:pPr>
        <w:pStyle w:val="Author-eListParagraph"/>
        <w:numPr>
          <w:ilvl w:val="0"/>
          <w:numId w:val="799"/>
        </w:numPr>
      </w:pPr>
      <w:r>
        <w:t>L'épaisseur de la vitre est déterminée conformément aux normes [NBN S 23-002-2] et [NBN S 23-002-3]. </w:t>
      </w:r>
    </w:p>
    <w:p w14:paraId="13529219" w14:textId="77777777" w:rsidR="00772179" w:rsidRDefault="00000000">
      <w:pPr>
        <w:pStyle w:val="Author-eListParagraph"/>
        <w:numPr>
          <w:ilvl w:val="0"/>
          <w:numId w:val="799"/>
        </w:numPr>
      </w:pPr>
      <w:r>
        <w:t xml:space="preserve">L'épaisseur nominale est ≥ </w:t>
      </w:r>
      <w:r>
        <w:rPr>
          <w:rStyle w:val="optioncarChar"/>
        </w:rPr>
        <w:t xml:space="preserve">6 </w:t>
      </w:r>
      <w:r>
        <w:t>(par défaut)</w:t>
      </w:r>
      <w:r>
        <w:rPr>
          <w:rStyle w:val="optioncarChar"/>
        </w:rPr>
        <w:t xml:space="preserve"> / ***</w:t>
      </w:r>
      <w:r>
        <w:t> mm .     </w:t>
      </w:r>
    </w:p>
    <w:p w14:paraId="61BB71FE" w14:textId="77777777" w:rsidR="00772179" w:rsidRDefault="00000000">
      <w:pPr>
        <w:pStyle w:val="Author-eListParagraph"/>
        <w:numPr>
          <w:ilvl w:val="0"/>
          <w:numId w:val="799"/>
        </w:numPr>
      </w:pPr>
      <w:r>
        <w:t xml:space="preserve">Couleur : </w:t>
      </w:r>
      <w:r>
        <w:rPr>
          <w:rStyle w:val="optioncarChar"/>
        </w:rPr>
        <w:t>blanc / à choisir par l'auteur de projet</w:t>
      </w:r>
    </w:p>
    <w:p w14:paraId="6F10FDDA" w14:textId="77777777" w:rsidR="00772179" w:rsidRDefault="00000000">
      <w:pPr>
        <w:pStyle w:val="Author-eListParagraph"/>
        <w:numPr>
          <w:ilvl w:val="0"/>
          <w:numId w:val="799"/>
        </w:numPr>
      </w:pPr>
      <w:r>
        <w:lastRenderedPageBreak/>
        <w:t>Description : </w:t>
      </w:r>
    </w:p>
    <w:p w14:paraId="79E79991" w14:textId="77777777" w:rsidR="00772179" w:rsidRDefault="00000000">
      <w:r>
        <w:t xml:space="preserve">Les cales de support, de distance et d'espacement sont en </w:t>
      </w:r>
      <w:r>
        <w:rPr>
          <w:rStyle w:val="optioncarChar"/>
        </w:rPr>
        <w:t xml:space="preserve">matière synthétique </w:t>
      </w:r>
      <w:r>
        <w:t xml:space="preserve">(par défaut) </w:t>
      </w:r>
      <w:r>
        <w:rPr>
          <w:rStyle w:val="optioncarChar"/>
        </w:rPr>
        <w:t>/ ***</w:t>
      </w:r>
      <w:r>
        <w:br/>
        <w:t xml:space="preserve">La couleur </w:t>
      </w:r>
      <w:r>
        <w:rPr>
          <w:rStyle w:val="optioncarChar"/>
        </w:rPr>
        <w:t xml:space="preserve">mastic </w:t>
      </w:r>
      <w:r>
        <w:t>(par défaut)</w:t>
      </w:r>
      <w:r>
        <w:rPr>
          <w:rStyle w:val="optioncarChar"/>
        </w:rPr>
        <w:t xml:space="preserve"> / profil d'étanchéité / ***</w:t>
      </w:r>
      <w:r>
        <w:t xml:space="preserve"> est </w:t>
      </w:r>
      <w:r>
        <w:rPr>
          <w:rStyle w:val="optioncarChar"/>
        </w:rPr>
        <w:t>***.</w:t>
      </w:r>
      <w:r>
        <w:br/>
        <w:t xml:space="preserve">Les mastics à peindre : </w:t>
      </w:r>
      <w:r>
        <w:rPr>
          <w:rStyle w:val="optioncarChar"/>
        </w:rPr>
        <w:t>OUI / NON</w:t>
      </w:r>
      <w:r>
        <w:t>. </w:t>
      </w:r>
    </w:p>
    <w:p w14:paraId="44FB35CE" w14:textId="77777777" w:rsidR="00772179" w:rsidRDefault="00000000">
      <w:pPr>
        <w:pStyle w:val="pheading"/>
      </w:pPr>
      <w:r>
        <w:t>EXÉCUTION / MISE EN ŒUVRE</w:t>
      </w:r>
    </w:p>
    <w:p w14:paraId="744BE97D" w14:textId="77777777" w:rsidR="00772179" w:rsidRDefault="00000000">
      <w:pPr>
        <w:pStyle w:val="pheading"/>
      </w:pPr>
      <w:r>
        <w:t>- Prescriptions générales</w:t>
      </w:r>
    </w:p>
    <w:p w14:paraId="1F494F75" w14:textId="77777777" w:rsidR="00772179" w:rsidRDefault="00000000">
      <w:r>
        <w:t>La pose est effectuée conformément à la norme [NBN S 23-002] et à la [NIT 221] </w:t>
      </w:r>
      <w:r>
        <w:rPr>
          <w:b/>
        </w:rPr>
        <w:t>(</w:t>
      </w:r>
      <w:r>
        <w:t xml:space="preserve">voir également les rubriques  </w:t>
      </w:r>
      <w:hyperlink w:anchor="852" w:history="1">
        <w:r>
          <w:rPr>
            <w:color w:val="0000EE"/>
          </w:rPr>
          <w:t>42 Vitrages extérieurs et éléments de remplissage</w:t>
        </w:r>
      </w:hyperlink>
      <w:r>
        <w:t xml:space="preserve"> et </w:t>
      </w:r>
      <w:hyperlink w:anchor="972" w:history="1">
        <w:r>
          <w:rPr>
            <w:color w:val="0000EE"/>
            <w:shd w:val="clear" w:color="auto" w:fill="FFFFFF"/>
          </w:rPr>
          <w:t>42.1 Vitrages simples</w:t>
        </w:r>
      </w:hyperlink>
      <w:r>
        <w:rPr>
          <w:shd w:val="clear" w:color="auto" w:fill="FFFFFF"/>
        </w:rPr>
        <w:t> </w:t>
      </w:r>
      <w:r>
        <w:rPr>
          <w:b/>
          <w:color w:val="000000"/>
          <w:shd w:val="clear" w:color="auto" w:fill="FFFFFF"/>
        </w:rPr>
        <w:t xml:space="preserve">). </w:t>
      </w:r>
      <w:r>
        <w:t xml:space="preserve">Le vitrage est rendu étanche avec </w:t>
      </w:r>
      <w:r>
        <w:rPr>
          <w:rStyle w:val="optioncarChar"/>
        </w:rPr>
        <w:t>un mastic de la classe conforme aux [STS 56.1] et à la [NIT 221] sur un profil de remplissage / un profil d'étanchéité conforme à la [NIT 221] </w:t>
      </w:r>
    </w:p>
    <w:p w14:paraId="5A79F679" w14:textId="77777777" w:rsidR="00772179" w:rsidRDefault="00000000">
      <w:pPr>
        <w:pStyle w:val="pheading"/>
      </w:pPr>
      <w:r>
        <w:t>- Notes d’exécution complémentaires</w:t>
      </w:r>
    </w:p>
    <w:p w14:paraId="13F157ED" w14:textId="77777777" w:rsidR="00772179" w:rsidRDefault="00000000">
      <w:r>
        <w:t>Lors du découpage du verre armé, toutes les mesures nécessaires sont prises pour prévenir la corrosion par oxydation des fils de métal.</w:t>
      </w:r>
    </w:p>
    <w:p w14:paraId="2CC6DC04" w14:textId="77777777" w:rsidR="00772179" w:rsidRDefault="00000000">
      <w:pPr>
        <w:pStyle w:val="pheading"/>
      </w:pPr>
      <w:r>
        <w:t>MESURAGE</w:t>
      </w:r>
    </w:p>
    <w:p w14:paraId="63F352C7" w14:textId="77777777" w:rsidR="00772179" w:rsidRDefault="00000000">
      <w:pPr>
        <w:pStyle w:val="pheading"/>
      </w:pPr>
      <w:r>
        <w:t>- unité de mesure:</w:t>
      </w:r>
    </w:p>
    <w:p w14:paraId="08BB8785" w14:textId="77777777" w:rsidR="00772179" w:rsidRDefault="00000000">
      <w:r>
        <w:rPr>
          <w:color w:val="FF0000"/>
        </w:rPr>
        <w:t>-</w:t>
      </w:r>
      <w:r>
        <w:t> (par défaut)</w:t>
      </w:r>
      <w:r>
        <w:rPr>
          <w:rStyle w:val="optioncarChar"/>
        </w:rPr>
        <w:t> / m² </w:t>
      </w:r>
    </w:p>
    <w:p w14:paraId="1D4AAA06" w14:textId="77777777" w:rsidR="00772179" w:rsidRDefault="00000000">
      <w:r>
        <w:rPr>
          <w:b/>
        </w:rPr>
        <w:t>(soit par défaut)</w:t>
      </w:r>
    </w:p>
    <w:p w14:paraId="54695E34" w14:textId="77777777" w:rsidR="00772179" w:rsidRDefault="00000000">
      <w:r>
        <w:rPr>
          <w:rStyle w:val="soitChar"/>
        </w:rPr>
        <w:t>1. -</w:t>
      </w:r>
    </w:p>
    <w:p w14:paraId="694FC94E" w14:textId="77777777" w:rsidR="00772179" w:rsidRDefault="00000000">
      <w:r>
        <w:rPr>
          <w:b/>
        </w:rPr>
        <w:t>(soit)</w:t>
      </w:r>
    </w:p>
    <w:p w14:paraId="34EA9C10" w14:textId="77777777" w:rsidR="00772179" w:rsidRDefault="00000000">
      <w:r>
        <w:rPr>
          <w:rStyle w:val="soitChar"/>
        </w:rPr>
        <w:t>2. m²</w:t>
      </w:r>
    </w:p>
    <w:p w14:paraId="2771ECC7" w14:textId="77777777" w:rsidR="00772179" w:rsidRDefault="00000000">
      <w:pPr>
        <w:pStyle w:val="pheading"/>
      </w:pPr>
      <w:r>
        <w:t>- code de mesurage:</w:t>
      </w:r>
    </w:p>
    <w:p w14:paraId="58955566" w14:textId="77777777" w:rsidR="00772179" w:rsidRDefault="00000000">
      <w:r>
        <w:rPr>
          <w:rStyle w:val="optioncarChar"/>
        </w:rPr>
        <w:t>Compris </w:t>
      </w:r>
      <w:r>
        <w:t>(par défaut)</w:t>
      </w:r>
      <w:r>
        <w:rPr>
          <w:rStyle w:val="optioncarChar"/>
        </w:rPr>
        <w:t> / Surfaces nettes vitrées et réellement placées</w:t>
      </w:r>
    </w:p>
    <w:p w14:paraId="73FA125A" w14:textId="77777777" w:rsidR="00772179"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5B9F00E7" w14:textId="77777777" w:rsidR="00772179" w:rsidRDefault="00000000">
      <w:pPr>
        <w:pStyle w:val="pheading"/>
      </w:pPr>
      <w:r>
        <w:t>- nature du marché:</w:t>
      </w:r>
    </w:p>
    <w:p w14:paraId="7DF281A5" w14:textId="77777777" w:rsidR="00772179" w:rsidRDefault="00000000">
      <w:r>
        <w:rPr>
          <w:rStyle w:val="optioncarChar"/>
        </w:rPr>
        <w:t>PM </w:t>
      </w:r>
      <w:r>
        <w:t>(par défaut)</w:t>
      </w:r>
      <w:r>
        <w:rPr>
          <w:rStyle w:val="optioncarChar"/>
        </w:rPr>
        <w:t> / QF</w:t>
      </w:r>
    </w:p>
    <w:p w14:paraId="5B648E13" w14:textId="77777777" w:rsidR="00772179" w:rsidRDefault="00000000">
      <w:r>
        <w:rPr>
          <w:b/>
        </w:rPr>
        <w:t>(soit par défaut)</w:t>
      </w:r>
    </w:p>
    <w:p w14:paraId="3BAB67EA" w14:textId="77777777" w:rsidR="00772179" w:rsidRDefault="00000000">
      <w:r>
        <w:rPr>
          <w:rStyle w:val="soitChar"/>
        </w:rPr>
        <w:t>1. PM</w:t>
      </w:r>
    </w:p>
    <w:p w14:paraId="39BE3CE5" w14:textId="77777777" w:rsidR="00772179" w:rsidRDefault="00000000">
      <w:r>
        <w:rPr>
          <w:b/>
        </w:rPr>
        <w:t>(soit)</w:t>
      </w:r>
    </w:p>
    <w:p w14:paraId="52330292" w14:textId="77777777" w:rsidR="00772179" w:rsidRDefault="00000000">
      <w:r>
        <w:rPr>
          <w:rStyle w:val="soitChar"/>
        </w:rPr>
        <w:t>2. QF</w:t>
      </w:r>
    </w:p>
    <w:p w14:paraId="09F66BAA" w14:textId="77777777" w:rsidR="00772179" w:rsidRDefault="00000000">
      <w:pPr>
        <w:pStyle w:val="Author-eSectionHeading6Numberless"/>
      </w:pPr>
      <w:bookmarkStart w:id="520" w:name="_Toc220490237"/>
      <w:r>
        <w:t>42.11.1j Vitrages simples floatés filmés</w:t>
      </w:r>
      <w:bookmarkEnd w:id="520"/>
    </w:p>
    <w:p w14:paraId="4D8D1D51" w14:textId="77777777" w:rsidR="00772179" w:rsidRDefault="00000000">
      <w:pPr>
        <w:pStyle w:val="Author-eSectionHeading6Numberless"/>
      </w:pPr>
      <w:bookmarkStart w:id="521" w:name="_Toc220490238"/>
      <w:r>
        <w:t>42.11.1k Vitrages - vitraux simples floatés décoratifs CCTB 01.02</w:t>
      </w:r>
      <w:bookmarkEnd w:id="521"/>
    </w:p>
    <w:p w14:paraId="39AA8DFC" w14:textId="77777777" w:rsidR="00772179" w:rsidRDefault="00000000">
      <w:pPr>
        <w:pStyle w:val="Author-eSectionHeading6Numberless"/>
      </w:pPr>
      <w:bookmarkStart w:id="522" w:name="1363"/>
      <w:bookmarkStart w:id="523" w:name="_Toc220490239"/>
      <w:bookmarkEnd w:id="522"/>
      <w:r>
        <w:t>42.11.1l Vitrages simples floatés profilés</w:t>
      </w:r>
      <w:bookmarkEnd w:id="523"/>
    </w:p>
    <w:p w14:paraId="5F15C30E" w14:textId="77777777" w:rsidR="00772179" w:rsidRDefault="00000000">
      <w:pPr>
        <w:pStyle w:val="Author-eSectionHeading6Numberless"/>
      </w:pPr>
      <w:bookmarkStart w:id="524" w:name="_Toc220490240"/>
      <w:r>
        <w:t>42.11.1m Vitrages simples floatés bombés CCTB 01.02</w:t>
      </w:r>
      <w:bookmarkEnd w:id="524"/>
    </w:p>
    <w:p w14:paraId="60E8C700" w14:textId="77777777" w:rsidR="00772179" w:rsidRDefault="00000000">
      <w:pPr>
        <w:pStyle w:val="Author-eSectionHeading6Numberless"/>
      </w:pPr>
      <w:bookmarkStart w:id="525" w:name="_Toc220490241"/>
      <w:r>
        <w:t>42.11.1n Vitrages simples floatés miroir CCTB 01.02</w:t>
      </w:r>
      <w:bookmarkEnd w:id="525"/>
    </w:p>
    <w:p w14:paraId="5D273FD0" w14:textId="77777777" w:rsidR="00772179" w:rsidRDefault="00000000">
      <w:pPr>
        <w:pStyle w:val="Author-eSectionHeading6Numberless"/>
      </w:pPr>
      <w:bookmarkStart w:id="526" w:name="_Toc220490242"/>
      <w:r>
        <w:t>42.11.1o Vitrages simples floatés chromogènes CCTB 01.02</w:t>
      </w:r>
      <w:bookmarkEnd w:id="526"/>
    </w:p>
    <w:p w14:paraId="45C7EF38" w14:textId="77777777" w:rsidR="00772179" w:rsidRDefault="00000000">
      <w:pPr>
        <w:pStyle w:val="Author-eSectionHeading4Numberless"/>
      </w:pPr>
      <w:bookmarkStart w:id="527" w:name="_Toc220490243"/>
      <w:r>
        <w:lastRenderedPageBreak/>
        <w:t>42.12 Vitrages simples étirés</w:t>
      </w:r>
      <w:bookmarkEnd w:id="527"/>
    </w:p>
    <w:p w14:paraId="22311D53" w14:textId="77777777" w:rsidR="00772179" w:rsidRDefault="00000000">
      <w:pPr>
        <w:pStyle w:val="Author-eSectionHeading5Numberless"/>
      </w:pPr>
      <w:bookmarkStart w:id="528" w:name="976"/>
      <w:bookmarkStart w:id="529" w:name="_Toc220490244"/>
      <w:bookmarkEnd w:id="528"/>
      <w:r>
        <w:t>42.12.1 Vitrages simples étirés</w:t>
      </w:r>
      <w:bookmarkEnd w:id="529"/>
    </w:p>
    <w:p w14:paraId="513EB4CB" w14:textId="77777777" w:rsidR="00772179" w:rsidRDefault="00000000">
      <w:pPr>
        <w:pStyle w:val="Author-eSectionHeading6Numberless"/>
      </w:pPr>
      <w:bookmarkStart w:id="530" w:name="_Toc220490245"/>
      <w:r>
        <w:t>42.12.1a Vitrages simples étirés transparents CCTB 01.04</w:t>
      </w:r>
      <w:bookmarkEnd w:id="530"/>
    </w:p>
    <w:p w14:paraId="6DAAC010" w14:textId="77777777" w:rsidR="00772179" w:rsidRDefault="00000000">
      <w:pPr>
        <w:pStyle w:val="Author-eSectionHeading6Numberless"/>
      </w:pPr>
      <w:bookmarkStart w:id="531" w:name="_Toc220490246"/>
      <w:r>
        <w:t>42.12.1b Vitrages simples étirés teintés (dans la masse)</w:t>
      </w:r>
      <w:bookmarkEnd w:id="531"/>
    </w:p>
    <w:p w14:paraId="4A970A5E" w14:textId="77777777" w:rsidR="00772179" w:rsidRDefault="00000000">
      <w:pPr>
        <w:pStyle w:val="Author-eSectionHeading6Numberless"/>
      </w:pPr>
      <w:bookmarkStart w:id="532" w:name="_Toc220490247"/>
      <w:r>
        <w:t>42.12.1c Vitrages simples étirés filmés</w:t>
      </w:r>
      <w:bookmarkEnd w:id="532"/>
    </w:p>
    <w:p w14:paraId="1F758900" w14:textId="77777777" w:rsidR="00772179" w:rsidRDefault="00000000">
      <w:pPr>
        <w:pStyle w:val="Author-eSectionHeading6Numberless"/>
      </w:pPr>
      <w:bookmarkStart w:id="533" w:name="_Toc220490248"/>
      <w:r>
        <w:t>42.12.1d Vitrages simples étirés martelés</w:t>
      </w:r>
      <w:bookmarkEnd w:id="533"/>
    </w:p>
    <w:p w14:paraId="7B157819" w14:textId="77777777" w:rsidR="00772179" w:rsidRDefault="00000000">
      <w:pPr>
        <w:pStyle w:val="Author-eSectionHeading6Numberless"/>
      </w:pPr>
      <w:bookmarkStart w:id="534" w:name="_Toc220490249"/>
      <w:r>
        <w:t>42.12.1e Vitrages - vitraux simples étirés décoratifs</w:t>
      </w:r>
      <w:bookmarkEnd w:id="534"/>
    </w:p>
    <w:p w14:paraId="01AD52A5" w14:textId="77777777" w:rsidR="00772179" w:rsidRDefault="00000000">
      <w:pPr>
        <w:pStyle w:val="Author-eSectionHeading4Numberless"/>
      </w:pPr>
      <w:bookmarkStart w:id="535" w:name="1364"/>
      <w:bookmarkStart w:id="536" w:name="_Toc220490250"/>
      <w:bookmarkEnd w:id="535"/>
      <w:r>
        <w:t>42.13 Vitrages simples soufflés</w:t>
      </w:r>
      <w:bookmarkEnd w:id="536"/>
    </w:p>
    <w:p w14:paraId="71482548" w14:textId="77777777" w:rsidR="00772179" w:rsidRDefault="00000000">
      <w:pPr>
        <w:pStyle w:val="Author-eSectionHeading5Numberless"/>
      </w:pPr>
      <w:bookmarkStart w:id="537" w:name="977"/>
      <w:bookmarkStart w:id="538" w:name="_Toc220490251"/>
      <w:bookmarkEnd w:id="537"/>
      <w:r>
        <w:t>42.13.1 Vitrages simples soufflés</w:t>
      </w:r>
      <w:bookmarkEnd w:id="538"/>
    </w:p>
    <w:p w14:paraId="77CB34D7" w14:textId="77777777" w:rsidR="00772179" w:rsidRDefault="00000000">
      <w:pPr>
        <w:pStyle w:val="Author-eSectionHeading6Numberless"/>
      </w:pPr>
      <w:bookmarkStart w:id="539" w:name="_Toc220490252"/>
      <w:r>
        <w:t>42.13.1a Vitrages simples soufflés CCTB 01.02</w:t>
      </w:r>
      <w:bookmarkEnd w:id="539"/>
    </w:p>
    <w:p w14:paraId="49B70C6C" w14:textId="77777777" w:rsidR="00772179" w:rsidRDefault="00000000">
      <w:pPr>
        <w:pStyle w:val="Author-eSectionHeading6Numberless"/>
      </w:pPr>
      <w:bookmarkStart w:id="540" w:name="_Toc220490253"/>
      <w:r>
        <w:t>42.13.1b Vitrages simples soufflés teintés (dans la masse)</w:t>
      </w:r>
      <w:bookmarkEnd w:id="540"/>
    </w:p>
    <w:p w14:paraId="0E646FDE" w14:textId="77777777" w:rsidR="00772179" w:rsidRDefault="00000000">
      <w:pPr>
        <w:pStyle w:val="Author-eSectionHeading6Numberless"/>
      </w:pPr>
      <w:bookmarkStart w:id="541" w:name="_Toc220490254"/>
      <w:r>
        <w:t>42.13.1c Vitrages simples soufflés filmés</w:t>
      </w:r>
      <w:bookmarkEnd w:id="541"/>
    </w:p>
    <w:p w14:paraId="3E2448F4" w14:textId="77777777" w:rsidR="00772179" w:rsidRDefault="00000000">
      <w:pPr>
        <w:pStyle w:val="Author-eSectionHeading6Numberless"/>
      </w:pPr>
      <w:bookmarkStart w:id="542" w:name="_Toc220490255"/>
      <w:r>
        <w:t>42.13.1d Vitrages - vitraux simples soufflés décoratifs</w:t>
      </w:r>
      <w:bookmarkEnd w:id="542"/>
    </w:p>
    <w:p w14:paraId="110F800D" w14:textId="77777777" w:rsidR="00772179" w:rsidRDefault="00000000">
      <w:pPr>
        <w:pStyle w:val="Author-eSectionHeading6Numberless"/>
      </w:pPr>
      <w:bookmarkStart w:id="543" w:name="1365"/>
      <w:bookmarkStart w:id="544" w:name="_Toc220490256"/>
      <w:bookmarkEnd w:id="543"/>
      <w:r>
        <w:t>42.13.1e Vitrages simples soufflés profilés</w:t>
      </w:r>
      <w:bookmarkEnd w:id="544"/>
    </w:p>
    <w:p w14:paraId="1AB02A2C" w14:textId="77777777" w:rsidR="00772179" w:rsidRDefault="00000000">
      <w:pPr>
        <w:pStyle w:val="Author-eSectionHeading4Numberless"/>
      </w:pPr>
      <w:bookmarkStart w:id="545" w:name="_Toc220490257"/>
      <w:r>
        <w:t>42.14 Vitrages simples trempés CCTB 01.11</w:t>
      </w:r>
      <w:bookmarkEnd w:id="545"/>
    </w:p>
    <w:p w14:paraId="734E9D58" w14:textId="77777777" w:rsidR="00772179" w:rsidRDefault="00000000">
      <w:pPr>
        <w:pStyle w:val="pheading"/>
      </w:pPr>
      <w:bookmarkStart w:id="546" w:name="856"/>
      <w:bookmarkEnd w:id="546"/>
      <w:r>
        <w:t>MATÉRIAUX</w:t>
      </w:r>
    </w:p>
    <w:p w14:paraId="29F71E20" w14:textId="77777777" w:rsidR="00772179" w:rsidRDefault="00000000">
      <w:pPr>
        <w:pStyle w:val="Author-eListParagraph"/>
        <w:numPr>
          <w:ilvl w:val="0"/>
          <w:numId w:val="800"/>
        </w:numPr>
      </w:pPr>
      <w:r>
        <w:t>Les vitrages de sécurité sont composés ou non de vitrages simples ou multiples, indépendamment de leurs caractéristiques particulières et de leur aspect. Les vitrages de sécurité satisfont à la norme [NBN S 23-002] et à son addendum [NBN S 23-002/A1]</w:t>
      </w:r>
    </w:p>
    <w:p w14:paraId="084B6D7F" w14:textId="77777777" w:rsidR="00772179" w:rsidRDefault="00000000">
      <w:pPr>
        <w:pStyle w:val="Author-eListParagraph"/>
        <w:numPr>
          <w:ilvl w:val="0"/>
          <w:numId w:val="800"/>
        </w:numPr>
      </w:pPr>
      <w:r>
        <w:t>Afin de déterminer l'épaisseur et/ou la composition du verre, il est notamment tenu compte de :</w:t>
      </w:r>
    </w:p>
    <w:p w14:paraId="50B459A2" w14:textId="77777777" w:rsidR="00772179" w:rsidRDefault="00000000">
      <w:pPr>
        <w:ind w:left="675"/>
      </w:pPr>
      <w:r>
        <w:t>⇒ la superficie du vitrage et la pression dynamique de base</w:t>
      </w:r>
    </w:p>
    <w:p w14:paraId="31DF740B" w14:textId="77777777" w:rsidR="00772179" w:rsidRDefault="00000000">
      <w:pPr>
        <w:ind w:left="675"/>
      </w:pPr>
      <w:r>
        <w:t>⇒ les performances requises</w:t>
      </w:r>
    </w:p>
    <w:p w14:paraId="64739BD1" w14:textId="77777777" w:rsidR="00772179" w:rsidRDefault="00000000">
      <w:pPr>
        <w:ind w:left="675"/>
      </w:pPr>
      <w:r>
        <w:t>⇒ les catégories d'usage et les cas d'utilisation</w:t>
      </w:r>
    </w:p>
    <w:p w14:paraId="422D8841" w14:textId="77777777" w:rsidR="00772179" w:rsidRDefault="00000000">
      <w:pPr>
        <w:pStyle w:val="Author-eListParagraph"/>
        <w:numPr>
          <w:ilvl w:val="0"/>
          <w:numId w:val="801"/>
        </w:numPr>
      </w:pPr>
      <w:r>
        <w:t>Les vitrages de sécurité ont une déclaration d'aptitude suivant 02.42.1 Critères d'acceptabilité.</w:t>
      </w:r>
    </w:p>
    <w:p w14:paraId="67D0EB98" w14:textId="77777777" w:rsidR="00772179" w:rsidRDefault="00000000">
      <w:pPr>
        <w:pStyle w:val="Author-eListParagraph"/>
        <w:numPr>
          <w:ilvl w:val="0"/>
          <w:numId w:val="801"/>
        </w:numPr>
      </w:pPr>
      <w:r>
        <w:t>Un certificat attestant de la classe du mastic et/ou de la classe du profil d'étanchéité élastique est soumis pour approbation à l'auteur de projet. Tout mastic utilisé est chimiquement compatible avec les produits adjacents dont les profilés ou les produits de traitement de la menuiserie. </w:t>
      </w:r>
    </w:p>
    <w:p w14:paraId="54EB1915" w14:textId="77777777" w:rsidR="00772179" w:rsidRDefault="00000000">
      <w:pPr>
        <w:pStyle w:val="pheading"/>
      </w:pPr>
      <w:r>
        <w:t>EXÉCUTION / MISE EN ŒUVRE</w:t>
      </w:r>
    </w:p>
    <w:p w14:paraId="5A2E25ED" w14:textId="77777777" w:rsidR="00772179" w:rsidRDefault="00000000">
      <w:pPr>
        <w:pStyle w:val="Author-eListParagraph"/>
        <w:numPr>
          <w:ilvl w:val="0"/>
          <w:numId w:val="802"/>
        </w:numPr>
      </w:pPr>
      <w:r>
        <w:t xml:space="preserve">Le vitrage est posé selon le </w:t>
      </w:r>
      <w:r>
        <w:rPr>
          <w:shd w:val="clear" w:color="auto" w:fill="FFFFFF"/>
        </w:rPr>
        <w:t>[NBN S 23-002]</w:t>
      </w:r>
      <w:r>
        <w:t xml:space="preserve">et la </w:t>
      </w:r>
      <w:r>
        <w:rPr>
          <w:shd w:val="clear" w:color="auto" w:fill="FFFFFF"/>
        </w:rPr>
        <w:t>[NIT 224]</w:t>
      </w:r>
      <w:r>
        <w:t xml:space="preserve"> et selon les prescriptions du fabricant.</w:t>
      </w:r>
    </w:p>
    <w:p w14:paraId="3771D322" w14:textId="77777777" w:rsidR="00772179" w:rsidRDefault="00000000">
      <w:pPr>
        <w:pStyle w:val="Author-eListParagraph"/>
        <w:numPr>
          <w:ilvl w:val="0"/>
          <w:numId w:val="802"/>
        </w:numPr>
      </w:pPr>
      <w:r>
        <w:t>Avant la pose du vitrage, les feuillures et les parcloses sont nettoyées.</w:t>
      </w:r>
    </w:p>
    <w:p w14:paraId="24BD979E" w14:textId="77777777" w:rsidR="00772179" w:rsidRDefault="00000000">
      <w:pPr>
        <w:pStyle w:val="Author-eListParagraph"/>
        <w:numPr>
          <w:ilvl w:val="0"/>
          <w:numId w:val="802"/>
        </w:numPr>
      </w:pPr>
      <w:r>
        <w:t>Lorsque le fabricant de mastics le préconise, un primer est préalablement appliqué.</w:t>
      </w:r>
    </w:p>
    <w:p w14:paraId="186E6131" w14:textId="77777777" w:rsidR="00772179" w:rsidRDefault="00000000">
      <w:pPr>
        <w:pStyle w:val="Author-eListParagraph"/>
        <w:numPr>
          <w:ilvl w:val="0"/>
          <w:numId w:val="802"/>
        </w:numPr>
      </w:pPr>
      <w:r>
        <w:t>Après la pose du vitrage, toutes les étiquettes et inscriptions sont enlevées et remises au maître d’ouvrage.</w:t>
      </w:r>
    </w:p>
    <w:p w14:paraId="5D9351A4" w14:textId="77777777" w:rsidR="00772179" w:rsidRDefault="00000000">
      <w:pPr>
        <w:pStyle w:val="pheading"/>
      </w:pPr>
      <w:r>
        <w:t>DOCUMENTS DE RÉFÉRENCE</w:t>
      </w:r>
    </w:p>
    <w:p w14:paraId="77AFED4C" w14:textId="77777777" w:rsidR="00772179" w:rsidRDefault="00000000">
      <w:pPr>
        <w:pStyle w:val="pheading"/>
      </w:pPr>
      <w:r>
        <w:t>- Matériau</w:t>
      </w:r>
    </w:p>
    <w:p w14:paraId="332F6BF4" w14:textId="77777777" w:rsidR="00772179" w:rsidRDefault="00000000">
      <w:r>
        <w:t>[NBN EN 356]</w:t>
      </w:r>
    </w:p>
    <w:p w14:paraId="3D4D467C" w14:textId="77777777" w:rsidR="00772179" w:rsidRDefault="00000000">
      <w:r>
        <w:lastRenderedPageBreak/>
        <w:t>[NBN EN 1063]</w:t>
      </w:r>
    </w:p>
    <w:p w14:paraId="5895CA87" w14:textId="77777777" w:rsidR="00772179" w:rsidRDefault="00000000">
      <w:r>
        <w:t>[NBN EN 13541]</w:t>
      </w:r>
    </w:p>
    <w:p w14:paraId="058781D3" w14:textId="77777777" w:rsidR="00772179" w:rsidRDefault="00000000">
      <w:r>
        <w:t>[NBN EN ISO 12543 série]</w:t>
      </w:r>
    </w:p>
    <w:p w14:paraId="3A8C3AE4" w14:textId="77777777" w:rsidR="00772179" w:rsidRDefault="00000000">
      <w:r>
        <w:t>[NBN EN 12150 série]</w:t>
      </w:r>
    </w:p>
    <w:p w14:paraId="30BC225B" w14:textId="77777777" w:rsidR="00772179" w:rsidRDefault="00000000">
      <w:r>
        <w:t>[NBN EN 12600]</w:t>
      </w:r>
      <w:r>
        <w:br/>
      </w:r>
      <w:r>
        <w:br/>
        <w:t>[NBN EN ISO 12543 série]</w:t>
      </w:r>
      <w:r>
        <w:br/>
      </w:r>
      <w:r>
        <w:br/>
      </w:r>
      <w:r>
        <w:rPr>
          <w:shd w:val="clear" w:color="auto" w:fill="FFFFFF"/>
        </w:rPr>
        <w:t>[NBN S 23-002/A1]</w:t>
      </w:r>
    </w:p>
    <w:p w14:paraId="3C7EDB9E" w14:textId="77777777" w:rsidR="00772179" w:rsidRDefault="00000000">
      <w:pPr>
        <w:pStyle w:val="Author-eSectionHeading5Numberless"/>
      </w:pPr>
      <w:bookmarkStart w:id="547" w:name="_Toc220490258"/>
      <w:r>
        <w:t>42.14.1 Vitrages simples trempés CCTB 01.04</w:t>
      </w:r>
      <w:bookmarkEnd w:id="547"/>
    </w:p>
    <w:p w14:paraId="69BC1F14" w14:textId="77777777" w:rsidR="00772179" w:rsidRDefault="00000000">
      <w:pPr>
        <w:pStyle w:val="Author-eSectionHeading6Numberless"/>
      </w:pPr>
      <w:bookmarkStart w:id="548" w:name="_Toc220490259"/>
      <w:r>
        <w:t>42.14.1a Vitrages simples trempés CCTB 01.11</w:t>
      </w:r>
      <w:bookmarkEnd w:id="548"/>
    </w:p>
    <w:p w14:paraId="71012492" w14:textId="77777777" w:rsidR="00772179" w:rsidRDefault="00000000">
      <w:pPr>
        <w:pStyle w:val="pheading"/>
      </w:pPr>
      <w:bookmarkStart w:id="549" w:name="911"/>
      <w:bookmarkEnd w:id="549"/>
      <w:r>
        <w:t>MATÉRIAUX</w:t>
      </w:r>
    </w:p>
    <w:p w14:paraId="53E4DADE" w14:textId="77777777" w:rsidR="00772179" w:rsidRDefault="00000000">
      <w:pPr>
        <w:pStyle w:val="pheading"/>
      </w:pPr>
      <w:r>
        <w:t>- Caractéristiques générales</w:t>
      </w:r>
    </w:p>
    <w:p w14:paraId="0DAD4ACC" w14:textId="77777777" w:rsidR="00772179" w:rsidRDefault="00000000">
      <w:r>
        <w:t>Le vitrage simple de sécurité satisfait aux normes </w:t>
      </w:r>
      <w:r>
        <w:rPr>
          <w:shd w:val="clear" w:color="auto" w:fill="FFFFFF"/>
        </w:rPr>
        <w:t>[NBN S 23-002]</w:t>
      </w:r>
      <w:r>
        <w:t xml:space="preserve"> et [NBN EN 12150 série]. Il se compose d'une feuille de verre float clair, qui a subi un traitement par trempe thermique. </w:t>
      </w:r>
    </w:p>
    <w:p w14:paraId="4C1B26E9" w14:textId="77777777" w:rsidR="00772179" w:rsidRDefault="00000000">
      <w:pPr>
        <w:pStyle w:val="pheading"/>
      </w:pPr>
      <w:r>
        <w:t>- Finitions</w:t>
      </w:r>
    </w:p>
    <w:p w14:paraId="48B09854" w14:textId="77777777" w:rsidR="00772179" w:rsidRDefault="00000000">
      <w:pPr>
        <w:pStyle w:val="Author-eListParagraph"/>
        <w:numPr>
          <w:ilvl w:val="0"/>
          <w:numId w:val="803"/>
        </w:numPr>
      </w:pPr>
      <w:r>
        <w:t xml:space="preserve">Le verre est </w:t>
      </w:r>
      <w:r>
        <w:rPr>
          <w:rStyle w:val="optioncarChar"/>
        </w:rPr>
        <w:t>incolore / à une teinte</w:t>
      </w:r>
      <w:r>
        <w:t xml:space="preserve"> et est </w:t>
      </w:r>
      <w:r>
        <w:rPr>
          <w:rStyle w:val="optioncarChar"/>
        </w:rPr>
        <w:t>non-réfléchissant / réfléchissant / ***</w:t>
      </w:r>
      <w:r>
        <w:t>.</w:t>
      </w:r>
    </w:p>
    <w:p w14:paraId="39D0A6A2" w14:textId="77777777" w:rsidR="00772179" w:rsidRDefault="00000000">
      <w:pPr>
        <w:pStyle w:val="Author-eListParagraph"/>
        <w:numPr>
          <w:ilvl w:val="0"/>
          <w:numId w:val="803"/>
        </w:numPr>
      </w:pPr>
      <w:r>
        <w:t>Finition des bords : </w:t>
      </w:r>
      <w:r>
        <w:rPr>
          <w:rStyle w:val="optioncarChar"/>
        </w:rPr>
        <w:t>chants biseautés / chants meulés / chants meulés lisses / chants polis / ***</w:t>
      </w:r>
    </w:p>
    <w:p w14:paraId="14955FB5" w14:textId="77777777" w:rsidR="00772179" w:rsidRDefault="00000000">
      <w:pPr>
        <w:pStyle w:val="Author-eListParagraph"/>
        <w:numPr>
          <w:ilvl w:val="0"/>
          <w:numId w:val="803"/>
        </w:numPr>
      </w:pPr>
      <w:r>
        <w:t>L'épaisseur est déterminée sur base des normes [NBN S 23-002] et [NBN S 23-002-3]</w:t>
      </w:r>
    </w:p>
    <w:p w14:paraId="418567D7" w14:textId="77777777" w:rsidR="00772179" w:rsidRDefault="00000000">
      <w:pPr>
        <w:ind w:left="675"/>
      </w:pPr>
      <w:r>
        <w:t>⇒ des performances de sécurité requises selon la norme [NBN S 23-002]</w:t>
      </w:r>
    </w:p>
    <w:p w14:paraId="35ED68B7" w14:textId="77777777" w:rsidR="00772179" w:rsidRDefault="00000000">
      <w:pPr>
        <w:pStyle w:val="Author-eListParagraph"/>
        <w:numPr>
          <w:ilvl w:val="0"/>
          <w:numId w:val="804"/>
        </w:numPr>
      </w:pPr>
      <w:r>
        <w:t>Pour les vitrages obliques, la flèche maximale est limitée à 1/200 sous le poids propre, les charges de vent et de la neige. </w:t>
      </w:r>
    </w:p>
    <w:p w14:paraId="6FD70480" w14:textId="77777777" w:rsidR="00772179" w:rsidRDefault="00000000">
      <w:pPr>
        <w:pStyle w:val="Author-eListParagraph"/>
        <w:numPr>
          <w:ilvl w:val="0"/>
          <w:numId w:val="804"/>
        </w:numPr>
      </w:pPr>
      <w:r>
        <w:t>Les cales de support, de distance et d'espacement sont en</w:t>
      </w:r>
      <w:r>
        <w:rPr>
          <w:rStyle w:val="optioncarChar"/>
        </w:rPr>
        <w:t> matière synthétique / ***.</w:t>
      </w:r>
    </w:p>
    <w:p w14:paraId="26D4A268" w14:textId="77777777" w:rsidR="00772179" w:rsidRDefault="00000000">
      <w:pPr>
        <w:pStyle w:val="Author-eListParagraph"/>
        <w:numPr>
          <w:ilvl w:val="0"/>
          <w:numId w:val="804"/>
        </w:numPr>
      </w:pPr>
      <w:r>
        <w:t>La couleur du</w:t>
      </w:r>
      <w:r>
        <w:rPr>
          <w:rStyle w:val="optioncarChar"/>
        </w:rPr>
        <w:t xml:space="preserve"> mastic </w:t>
      </w:r>
      <w:r>
        <w:t>(par défaut)</w:t>
      </w:r>
      <w:r>
        <w:rPr>
          <w:rStyle w:val="optioncarChar"/>
        </w:rPr>
        <w:t xml:space="preserve"> / profil d'étanchéité </w:t>
      </w:r>
      <w:r>
        <w:t xml:space="preserve">est </w:t>
      </w:r>
      <w:r>
        <w:rPr>
          <w:rStyle w:val="optioncarChar"/>
        </w:rPr>
        <w:t>***</w:t>
      </w:r>
    </w:p>
    <w:p w14:paraId="466725A8" w14:textId="77777777" w:rsidR="00772179" w:rsidRDefault="00000000">
      <w:pPr>
        <w:pStyle w:val="Author-eListParagraph"/>
        <w:numPr>
          <w:ilvl w:val="0"/>
          <w:numId w:val="804"/>
        </w:numPr>
      </w:pPr>
      <w:r>
        <w:t>Les mastics sont de type à peindre.</w:t>
      </w:r>
    </w:p>
    <w:p w14:paraId="7E1C6882" w14:textId="77777777" w:rsidR="00772179" w:rsidRDefault="00000000">
      <w:pPr>
        <w:pStyle w:val="pheading"/>
      </w:pPr>
      <w:r>
        <w:t>- Prescriptions complémentaires</w:t>
      </w:r>
    </w:p>
    <w:p w14:paraId="22E23233" w14:textId="77777777" w:rsidR="00772179" w:rsidRDefault="00000000">
      <w:r>
        <w:t>Le double vitrage respecte les critères d'acceptabilité du produits tels que définis dans l'article 02.42.1 Critères d'acceptabilité pour la composition et les performances concernées.</w:t>
      </w:r>
    </w:p>
    <w:p w14:paraId="5AAC8274" w14:textId="77777777" w:rsidR="00772179" w:rsidRDefault="00000000">
      <w:pPr>
        <w:pStyle w:val="pheading"/>
      </w:pPr>
      <w:r>
        <w:t>EXÉCUTION / MISE EN ŒUVRE</w:t>
      </w:r>
    </w:p>
    <w:p w14:paraId="27157143" w14:textId="77777777" w:rsidR="00772179" w:rsidRDefault="00000000">
      <w:pPr>
        <w:pStyle w:val="pheading"/>
      </w:pPr>
      <w:r>
        <w:t>- Prescriptions générales</w:t>
      </w:r>
    </w:p>
    <w:p w14:paraId="7CA6D800" w14:textId="77777777" w:rsidR="00772179" w:rsidRDefault="00000000">
      <w:r>
        <w:t xml:space="preserve">Le vitrage est rendu étanche avec : </w:t>
      </w:r>
      <w:r>
        <w:rPr>
          <w:rStyle w:val="optioncarChar"/>
        </w:rPr>
        <w:t>un mastic de classe conforme aux [STS 56.1] et à la [NIT 221] sur un profil de remplissage / un profil d'étanchéité conforme à la [NIT 221]</w:t>
      </w:r>
    </w:p>
    <w:p w14:paraId="27B96ED7" w14:textId="77777777" w:rsidR="00772179" w:rsidRDefault="00000000">
      <w:pPr>
        <w:pStyle w:val="pheading"/>
      </w:pPr>
      <w:r>
        <w:t>MESURAGE</w:t>
      </w:r>
    </w:p>
    <w:p w14:paraId="0FDDE4E2" w14:textId="77777777" w:rsidR="00772179" w:rsidRDefault="00000000">
      <w:pPr>
        <w:pStyle w:val="pheading"/>
      </w:pPr>
      <w:r>
        <w:t>- unité de mesure:</w:t>
      </w:r>
    </w:p>
    <w:p w14:paraId="4EA25D1C" w14:textId="77777777" w:rsidR="00772179" w:rsidRDefault="00000000">
      <w:r>
        <w:rPr>
          <w:color w:val="FF0000"/>
        </w:rPr>
        <w:t>-</w:t>
      </w:r>
      <w:r>
        <w:t xml:space="preserve"> (par défaut)</w:t>
      </w:r>
      <w:r>
        <w:rPr>
          <w:rStyle w:val="optioncarChar"/>
        </w:rPr>
        <w:t> / m² </w:t>
      </w:r>
    </w:p>
    <w:p w14:paraId="45DADF0D" w14:textId="77777777" w:rsidR="00772179" w:rsidRDefault="00000000">
      <w:r>
        <w:rPr>
          <w:b/>
        </w:rPr>
        <w:t>(soit par défaut)</w:t>
      </w:r>
    </w:p>
    <w:p w14:paraId="78ABD46E" w14:textId="77777777" w:rsidR="00772179" w:rsidRDefault="00000000">
      <w:r>
        <w:rPr>
          <w:rStyle w:val="soitChar"/>
        </w:rPr>
        <w:t>1. -</w:t>
      </w:r>
    </w:p>
    <w:p w14:paraId="73017093" w14:textId="77777777" w:rsidR="00772179" w:rsidRDefault="00000000">
      <w:r>
        <w:rPr>
          <w:b/>
        </w:rPr>
        <w:t>(soit)</w:t>
      </w:r>
    </w:p>
    <w:p w14:paraId="1948B7E8" w14:textId="77777777" w:rsidR="00772179" w:rsidRDefault="00000000">
      <w:r>
        <w:rPr>
          <w:rStyle w:val="soitChar"/>
        </w:rPr>
        <w:t>2. m²</w:t>
      </w:r>
    </w:p>
    <w:p w14:paraId="15C4068A" w14:textId="77777777" w:rsidR="00772179" w:rsidRDefault="00000000">
      <w:pPr>
        <w:pStyle w:val="pheading"/>
      </w:pPr>
      <w:r>
        <w:t>- code de mesurage:</w:t>
      </w:r>
    </w:p>
    <w:p w14:paraId="1C3BAC02" w14:textId="77777777" w:rsidR="00772179" w:rsidRDefault="00000000">
      <w:r>
        <w:rPr>
          <w:rStyle w:val="optioncarChar"/>
        </w:rPr>
        <w:t>Compris </w:t>
      </w:r>
      <w:r>
        <w:t>(par défaut)</w:t>
      </w:r>
      <w:r>
        <w:rPr>
          <w:rStyle w:val="optioncarChar"/>
        </w:rPr>
        <w:t> / Surfaces nettes vitrées et réellement placées</w:t>
      </w:r>
    </w:p>
    <w:p w14:paraId="38429454" w14:textId="77777777" w:rsidR="00772179" w:rsidRDefault="00000000">
      <w:r>
        <w:rPr>
          <w:b/>
        </w:rPr>
        <w:lastRenderedPageBreak/>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6D413EEB" w14:textId="77777777" w:rsidR="00772179" w:rsidRDefault="00000000">
      <w:pPr>
        <w:pStyle w:val="pheading"/>
      </w:pPr>
      <w:r>
        <w:t>- nature du marché:</w:t>
      </w:r>
    </w:p>
    <w:p w14:paraId="7B17A67E" w14:textId="77777777" w:rsidR="00772179" w:rsidRDefault="00000000">
      <w:r>
        <w:rPr>
          <w:rStyle w:val="optioncarChar"/>
        </w:rPr>
        <w:t>PM </w:t>
      </w:r>
      <w:r>
        <w:t>(par défaut)</w:t>
      </w:r>
      <w:r>
        <w:rPr>
          <w:rStyle w:val="optioncarChar"/>
        </w:rPr>
        <w:t> / QF</w:t>
      </w:r>
    </w:p>
    <w:p w14:paraId="555B29FB" w14:textId="77777777" w:rsidR="00772179" w:rsidRDefault="00000000">
      <w:r>
        <w:rPr>
          <w:b/>
        </w:rPr>
        <w:t>(soit par défaut)</w:t>
      </w:r>
    </w:p>
    <w:p w14:paraId="256665EA" w14:textId="77777777" w:rsidR="00772179" w:rsidRDefault="00000000">
      <w:r>
        <w:rPr>
          <w:rStyle w:val="soitChar"/>
        </w:rPr>
        <w:t>1. PM</w:t>
      </w:r>
    </w:p>
    <w:p w14:paraId="646092C7" w14:textId="77777777" w:rsidR="00772179" w:rsidRDefault="00000000">
      <w:r>
        <w:rPr>
          <w:b/>
        </w:rPr>
        <w:t>(soit)</w:t>
      </w:r>
    </w:p>
    <w:p w14:paraId="67EBD526" w14:textId="77777777" w:rsidR="00772179" w:rsidRDefault="00000000">
      <w:r>
        <w:rPr>
          <w:rStyle w:val="soitChar"/>
        </w:rPr>
        <w:t>2. QF</w:t>
      </w:r>
    </w:p>
    <w:p w14:paraId="5D5D127B" w14:textId="77777777" w:rsidR="00772179" w:rsidRDefault="00000000">
      <w:pPr>
        <w:pStyle w:val="Author-eSectionHeading4Numberless"/>
      </w:pPr>
      <w:bookmarkStart w:id="550" w:name="_Toc220490260"/>
      <w:r>
        <w:t>42.15 Vitrages simples durcis CCTB 01.11</w:t>
      </w:r>
      <w:bookmarkEnd w:id="550"/>
    </w:p>
    <w:p w14:paraId="569AE64D" w14:textId="77777777" w:rsidR="00772179" w:rsidRDefault="00000000">
      <w:pPr>
        <w:pStyle w:val="pheading"/>
      </w:pPr>
      <w:bookmarkStart w:id="551" w:name="857"/>
      <w:bookmarkEnd w:id="551"/>
      <w:r>
        <w:t>MATÉRIAUX</w:t>
      </w:r>
    </w:p>
    <w:p w14:paraId="0F820E36" w14:textId="77777777" w:rsidR="00772179" w:rsidRDefault="00000000">
      <w:pPr>
        <w:pStyle w:val="Author-eListParagraph"/>
        <w:numPr>
          <w:ilvl w:val="0"/>
          <w:numId w:val="805"/>
        </w:numPr>
      </w:pPr>
      <w:r>
        <w:t>Les vitrages de sécurité sont composés ou non de vitrages simples ou multiples, indépendamment de leurs caractéristiques particulières et de leur aspect.  Les vitrages de sécurité satisfont à la norme [NBN S 23-002] et à son addendum [NBN S 23-002/A1]</w:t>
      </w:r>
    </w:p>
    <w:p w14:paraId="0B67F939" w14:textId="77777777" w:rsidR="00772179" w:rsidRDefault="00000000">
      <w:pPr>
        <w:pStyle w:val="Author-eListParagraph"/>
        <w:numPr>
          <w:ilvl w:val="0"/>
          <w:numId w:val="805"/>
        </w:numPr>
      </w:pPr>
      <w:r>
        <w:t>Afin de déterminer l'épaisseur et/ou la composition du verre, il est notamment tenu compte de :</w:t>
      </w:r>
    </w:p>
    <w:p w14:paraId="2ED0BDC0" w14:textId="77777777" w:rsidR="00772179" w:rsidRDefault="00000000">
      <w:pPr>
        <w:ind w:left="675"/>
      </w:pPr>
      <w:r>
        <w:t>⇒ la superficie du vitrage et la pression dynamique de base</w:t>
      </w:r>
    </w:p>
    <w:p w14:paraId="190C3184" w14:textId="77777777" w:rsidR="00772179" w:rsidRDefault="00000000">
      <w:pPr>
        <w:ind w:left="675"/>
      </w:pPr>
      <w:r>
        <w:t>⇒ les performances requises</w:t>
      </w:r>
    </w:p>
    <w:p w14:paraId="03D4425D" w14:textId="77777777" w:rsidR="00772179" w:rsidRDefault="00000000">
      <w:pPr>
        <w:ind w:left="675"/>
      </w:pPr>
      <w:r>
        <w:t>⇒ les catégories d'usage et les cas d'utilisation</w:t>
      </w:r>
    </w:p>
    <w:p w14:paraId="0102A01D" w14:textId="77777777" w:rsidR="00772179" w:rsidRDefault="00000000">
      <w:pPr>
        <w:pStyle w:val="Author-eListParagraph"/>
        <w:numPr>
          <w:ilvl w:val="0"/>
          <w:numId w:val="806"/>
        </w:numPr>
      </w:pPr>
      <w:r>
        <w:t>Les vitrages de sécurité répondent à la déclaration d'aptitude suivant 02.42.1 Critères d'acceptabilité.</w:t>
      </w:r>
    </w:p>
    <w:p w14:paraId="5CC52019" w14:textId="77777777" w:rsidR="00772179" w:rsidRDefault="00000000">
      <w:pPr>
        <w:pStyle w:val="Author-eListParagraph"/>
        <w:numPr>
          <w:ilvl w:val="0"/>
          <w:numId w:val="806"/>
        </w:numPr>
      </w:pPr>
      <w:r>
        <w:t>Un certificat attestant de la classe du mastic et/ou de la classe du profil d'étanchéité élastique est soumis pour approbation à l'auteur de projet. Tout mastic utilisé est chimiquement compatible avec les produits adjacents dont les profilés ou les produits de traitement de la menuiserie. </w:t>
      </w:r>
    </w:p>
    <w:p w14:paraId="116D3554" w14:textId="77777777" w:rsidR="00772179" w:rsidRDefault="00000000">
      <w:pPr>
        <w:pStyle w:val="pheading"/>
      </w:pPr>
      <w:r>
        <w:t>EXÉCUTION / MISE EN ŒUVRE</w:t>
      </w:r>
    </w:p>
    <w:p w14:paraId="25A39914" w14:textId="77777777" w:rsidR="00772179" w:rsidRDefault="00000000">
      <w:pPr>
        <w:pStyle w:val="Author-eListParagraph"/>
        <w:numPr>
          <w:ilvl w:val="0"/>
          <w:numId w:val="807"/>
        </w:numPr>
      </w:pPr>
      <w:r>
        <w:t xml:space="preserve">Le vitrage est posé selon le </w:t>
      </w:r>
      <w:r>
        <w:rPr>
          <w:shd w:val="clear" w:color="auto" w:fill="FFFFFF"/>
        </w:rPr>
        <w:t>[NBN S 23-002]</w:t>
      </w:r>
      <w:r>
        <w:t xml:space="preserve">et la </w:t>
      </w:r>
      <w:r>
        <w:rPr>
          <w:shd w:val="clear" w:color="auto" w:fill="FFFFFF"/>
        </w:rPr>
        <w:t>[NIT 224]</w:t>
      </w:r>
      <w:r>
        <w:t xml:space="preserve"> et selon les prescriptions du fabricant.</w:t>
      </w:r>
    </w:p>
    <w:p w14:paraId="10346BA3" w14:textId="77777777" w:rsidR="00772179" w:rsidRDefault="00000000">
      <w:pPr>
        <w:pStyle w:val="Author-eListParagraph"/>
        <w:numPr>
          <w:ilvl w:val="0"/>
          <w:numId w:val="807"/>
        </w:numPr>
      </w:pPr>
      <w:r>
        <w:t>Avant la pose du vitrage, les feuillures et les parcloses sont nettoyées.</w:t>
      </w:r>
    </w:p>
    <w:p w14:paraId="4611F7C0" w14:textId="77777777" w:rsidR="00772179" w:rsidRDefault="00000000">
      <w:pPr>
        <w:pStyle w:val="Author-eListParagraph"/>
        <w:numPr>
          <w:ilvl w:val="0"/>
          <w:numId w:val="807"/>
        </w:numPr>
      </w:pPr>
      <w:r>
        <w:t>Lorsque le fabricant de mastics le préconise, un primer est préalablement appliqué.</w:t>
      </w:r>
    </w:p>
    <w:p w14:paraId="3A5A48AF" w14:textId="77777777" w:rsidR="00772179" w:rsidRDefault="00000000">
      <w:pPr>
        <w:pStyle w:val="Author-eListParagraph"/>
        <w:numPr>
          <w:ilvl w:val="0"/>
          <w:numId w:val="807"/>
        </w:numPr>
      </w:pPr>
      <w:r>
        <w:t>Après la pose du vitrage, toutes les étiquettes et inscriptions sont enlevées et remises au maître d’ouvrage.</w:t>
      </w:r>
    </w:p>
    <w:p w14:paraId="34A32370" w14:textId="77777777" w:rsidR="00772179" w:rsidRDefault="00000000">
      <w:pPr>
        <w:pStyle w:val="pheading"/>
      </w:pPr>
      <w:r>
        <w:t>DOCUMENTS DE RÉFÉRENCE</w:t>
      </w:r>
    </w:p>
    <w:p w14:paraId="71934C90" w14:textId="77777777" w:rsidR="00772179" w:rsidRDefault="00000000">
      <w:pPr>
        <w:pStyle w:val="pheading"/>
      </w:pPr>
      <w:r>
        <w:t>- Matériau</w:t>
      </w:r>
    </w:p>
    <w:p w14:paraId="3AED1817" w14:textId="77777777" w:rsidR="00772179" w:rsidRDefault="00000000">
      <w:r>
        <w:t>[NBN EN 356]</w:t>
      </w:r>
    </w:p>
    <w:p w14:paraId="34C1F3DC" w14:textId="77777777" w:rsidR="00772179" w:rsidRDefault="00000000">
      <w:r>
        <w:t>[NBN EN 1063]</w:t>
      </w:r>
    </w:p>
    <w:p w14:paraId="0FB52008" w14:textId="77777777" w:rsidR="00772179" w:rsidRDefault="00000000">
      <w:r>
        <w:t>[NBN EN 13541]</w:t>
      </w:r>
    </w:p>
    <w:p w14:paraId="329A95F8" w14:textId="77777777" w:rsidR="00772179" w:rsidRDefault="00000000">
      <w:r>
        <w:t>[NBN EN ISO 12543 série]</w:t>
      </w:r>
    </w:p>
    <w:p w14:paraId="6F78145F" w14:textId="77777777" w:rsidR="00772179" w:rsidRDefault="00000000">
      <w:r>
        <w:t>[NBN EN 12150 série]</w:t>
      </w:r>
    </w:p>
    <w:p w14:paraId="6CB27313" w14:textId="77777777" w:rsidR="00772179" w:rsidRDefault="00000000">
      <w:r>
        <w:lastRenderedPageBreak/>
        <w:t>[NBN EN 12600]</w:t>
      </w:r>
      <w:r>
        <w:br/>
      </w:r>
      <w:r>
        <w:br/>
        <w:t>[NBN EN ISO 12543 série]</w:t>
      </w:r>
      <w:r>
        <w:br/>
      </w:r>
      <w:r>
        <w:br/>
      </w:r>
      <w:r>
        <w:rPr>
          <w:shd w:val="clear" w:color="auto" w:fill="FFFFFF"/>
        </w:rPr>
        <w:t>[NBN S 23-002/A1]</w:t>
      </w:r>
    </w:p>
    <w:p w14:paraId="14F595C4" w14:textId="77777777" w:rsidR="00772179" w:rsidRDefault="00000000">
      <w:pPr>
        <w:pStyle w:val="Author-eSectionHeading5Numberless"/>
      </w:pPr>
      <w:bookmarkStart w:id="552" w:name="_Toc220490261"/>
      <w:r>
        <w:t>42.15.1 Vitrages simples durcis CCTB 01.02</w:t>
      </w:r>
      <w:bookmarkEnd w:id="552"/>
    </w:p>
    <w:p w14:paraId="2C7F4F67" w14:textId="77777777" w:rsidR="00772179" w:rsidRDefault="00000000">
      <w:pPr>
        <w:pStyle w:val="Author-eSectionHeading6Numberless"/>
      </w:pPr>
      <w:bookmarkStart w:id="553" w:name="_Toc220490262"/>
      <w:r>
        <w:t>42.15.1a Vitrages simples durcis CCTB 01.04</w:t>
      </w:r>
      <w:bookmarkEnd w:id="553"/>
    </w:p>
    <w:p w14:paraId="2B15FC09" w14:textId="77777777" w:rsidR="00772179" w:rsidRDefault="00000000">
      <w:pPr>
        <w:pStyle w:val="Author-eSectionHeading4Numberless"/>
      </w:pPr>
      <w:bookmarkStart w:id="554" w:name="_Toc220490263"/>
      <w:r>
        <w:t>42.16 Vitrages simples feuilletés CCTB 01.10</w:t>
      </w:r>
      <w:bookmarkEnd w:id="554"/>
    </w:p>
    <w:p w14:paraId="0572A20A" w14:textId="77777777" w:rsidR="00772179" w:rsidRDefault="00000000">
      <w:pPr>
        <w:pStyle w:val="pheading"/>
      </w:pPr>
      <w:bookmarkStart w:id="555" w:name="851"/>
      <w:bookmarkEnd w:id="555"/>
      <w:r>
        <w:t>MATÉRIAUX</w:t>
      </w:r>
    </w:p>
    <w:p w14:paraId="19BF1906" w14:textId="77777777" w:rsidR="00772179" w:rsidRDefault="00000000">
      <w:pPr>
        <w:pStyle w:val="Author-eListParagraph"/>
        <w:numPr>
          <w:ilvl w:val="0"/>
          <w:numId w:val="808"/>
        </w:numPr>
      </w:pPr>
      <w:r>
        <w:t>Les vitrages de sécurité sont composés ou non de vitrages simples ou multiples, indépendamment de leurs caractéristiques particulières et de leur aspect. Les vitrages de sécurité satisfont à la norme [NBN S 23-002] et à son addendum [NBN S 23-002/A1]</w:t>
      </w:r>
    </w:p>
    <w:p w14:paraId="532FC848" w14:textId="77777777" w:rsidR="00772179" w:rsidRDefault="00000000">
      <w:pPr>
        <w:pStyle w:val="Author-eListParagraph"/>
        <w:numPr>
          <w:ilvl w:val="0"/>
          <w:numId w:val="808"/>
        </w:numPr>
      </w:pPr>
      <w:r>
        <w:t>Afin de déterminer l'épaisseur et/ou la composition du verre, il est notamment tenu compte de :</w:t>
      </w:r>
    </w:p>
    <w:p w14:paraId="6B234879" w14:textId="77777777" w:rsidR="00772179" w:rsidRDefault="00000000">
      <w:pPr>
        <w:ind w:left="675"/>
      </w:pPr>
      <w:r>
        <w:t>⇒ la superficie du vitrage et la pression dynamique de base</w:t>
      </w:r>
    </w:p>
    <w:p w14:paraId="43A02D63" w14:textId="77777777" w:rsidR="00772179" w:rsidRDefault="00000000">
      <w:pPr>
        <w:ind w:left="675"/>
      </w:pPr>
      <w:r>
        <w:t>⇒ les performances requises</w:t>
      </w:r>
    </w:p>
    <w:p w14:paraId="72FA0A4D" w14:textId="77777777" w:rsidR="00772179" w:rsidRDefault="00000000">
      <w:pPr>
        <w:ind w:left="675"/>
      </w:pPr>
      <w:r>
        <w:t>⇒ les catégories d'usage et les cas d'utilisation</w:t>
      </w:r>
    </w:p>
    <w:p w14:paraId="7D6A15EB" w14:textId="77777777" w:rsidR="00772179" w:rsidRDefault="00000000">
      <w:pPr>
        <w:pStyle w:val="Author-eListParagraph"/>
        <w:numPr>
          <w:ilvl w:val="0"/>
          <w:numId w:val="809"/>
        </w:numPr>
      </w:pPr>
      <w:r>
        <w:t>Les vitrages de sécurité répondent à la déclaration d'aptitude suivant 02.42.1 Critères d'acceptabilité.</w:t>
      </w:r>
    </w:p>
    <w:p w14:paraId="69D7D294" w14:textId="77777777" w:rsidR="00772179" w:rsidRDefault="00000000">
      <w:pPr>
        <w:pStyle w:val="Author-eListParagraph"/>
        <w:numPr>
          <w:ilvl w:val="0"/>
          <w:numId w:val="809"/>
        </w:numPr>
      </w:pPr>
      <w:r>
        <w:t>Un certificat attestant de la classe du mastic et/ou de la classe du profil d'étanchéité élastique est soumis pour approbation à l'auteur de projet. Tout mastic utilisé est chimiquement compatible avec les produits adjacents dont les profilés ou les produits de traitement de la menuiserie. </w:t>
      </w:r>
    </w:p>
    <w:p w14:paraId="17B65B7F" w14:textId="77777777" w:rsidR="00772179" w:rsidRDefault="00000000">
      <w:pPr>
        <w:pStyle w:val="pheading"/>
      </w:pPr>
      <w:r>
        <w:t>EXÉCUTION / MISE EN ŒUVRE</w:t>
      </w:r>
    </w:p>
    <w:p w14:paraId="49E0E7E9" w14:textId="77777777" w:rsidR="00772179" w:rsidRDefault="00000000">
      <w:pPr>
        <w:pStyle w:val="Author-eListParagraph"/>
        <w:numPr>
          <w:ilvl w:val="0"/>
          <w:numId w:val="810"/>
        </w:numPr>
      </w:pPr>
      <w:r>
        <w:t xml:space="preserve">Le vitrage est posé selon le </w:t>
      </w:r>
      <w:r>
        <w:rPr>
          <w:shd w:val="clear" w:color="auto" w:fill="FFFFFF"/>
        </w:rPr>
        <w:t>[NBN S 23-002]</w:t>
      </w:r>
      <w:r>
        <w:t xml:space="preserve">et la </w:t>
      </w:r>
      <w:r>
        <w:rPr>
          <w:shd w:val="clear" w:color="auto" w:fill="FFFFFF"/>
        </w:rPr>
        <w:t>[NIT 224]</w:t>
      </w:r>
      <w:r>
        <w:t xml:space="preserve"> et selon les prescriptions du fabricant.</w:t>
      </w:r>
    </w:p>
    <w:p w14:paraId="542DA824" w14:textId="77777777" w:rsidR="00772179" w:rsidRDefault="00000000">
      <w:pPr>
        <w:pStyle w:val="Author-eListParagraph"/>
        <w:numPr>
          <w:ilvl w:val="0"/>
          <w:numId w:val="810"/>
        </w:numPr>
      </w:pPr>
      <w:r>
        <w:t>Avant la pose du vitrage, les feuillures et les parcloses sont nettoyées.</w:t>
      </w:r>
    </w:p>
    <w:p w14:paraId="76984664" w14:textId="77777777" w:rsidR="00772179" w:rsidRDefault="00000000">
      <w:pPr>
        <w:pStyle w:val="Author-eListParagraph"/>
        <w:numPr>
          <w:ilvl w:val="0"/>
          <w:numId w:val="810"/>
        </w:numPr>
      </w:pPr>
      <w:r>
        <w:t>Lorsque le fabricant de mastics le préconise, un primer est préalablement appliqué.</w:t>
      </w:r>
    </w:p>
    <w:p w14:paraId="4AD157F3" w14:textId="77777777" w:rsidR="00772179" w:rsidRDefault="00000000">
      <w:pPr>
        <w:pStyle w:val="Author-eListParagraph"/>
        <w:numPr>
          <w:ilvl w:val="0"/>
          <w:numId w:val="810"/>
        </w:numPr>
      </w:pPr>
      <w:r>
        <w:t>Après la pose du vitrage, toutes les étiquettes et inscriptions sont enlevées et remises au maître d’ouvrage.</w:t>
      </w:r>
    </w:p>
    <w:p w14:paraId="5C27D539" w14:textId="77777777" w:rsidR="00772179" w:rsidRDefault="00000000">
      <w:pPr>
        <w:pStyle w:val="pheading"/>
      </w:pPr>
      <w:r>
        <w:t>DOCUMENTS DE RÉFÉRENCE</w:t>
      </w:r>
    </w:p>
    <w:p w14:paraId="7F2BE4A3" w14:textId="77777777" w:rsidR="00772179" w:rsidRDefault="00000000">
      <w:pPr>
        <w:pStyle w:val="pheading"/>
      </w:pPr>
      <w:r>
        <w:t>- Matériau</w:t>
      </w:r>
    </w:p>
    <w:p w14:paraId="51EF47DC" w14:textId="77777777" w:rsidR="00772179" w:rsidRDefault="00000000">
      <w:r>
        <w:t>[NBN EN 356]</w:t>
      </w:r>
    </w:p>
    <w:p w14:paraId="63A4AC7E" w14:textId="77777777" w:rsidR="00772179" w:rsidRDefault="00000000">
      <w:r>
        <w:t>[NBN EN 1063]</w:t>
      </w:r>
    </w:p>
    <w:p w14:paraId="3F7A5B5B" w14:textId="77777777" w:rsidR="00772179" w:rsidRDefault="00000000">
      <w:r>
        <w:t>[NBN EN 13541]</w:t>
      </w:r>
    </w:p>
    <w:p w14:paraId="540F7605" w14:textId="77777777" w:rsidR="00772179" w:rsidRDefault="00000000">
      <w:r>
        <w:t>[NBN EN ISO 12543 série]</w:t>
      </w:r>
    </w:p>
    <w:p w14:paraId="702F6DFD" w14:textId="77777777" w:rsidR="00772179" w:rsidRDefault="00000000">
      <w:r>
        <w:t>[NBN EN 12150 série]</w:t>
      </w:r>
    </w:p>
    <w:p w14:paraId="669B6A62" w14:textId="77777777" w:rsidR="00772179" w:rsidRDefault="00000000">
      <w:r>
        <w:t>[NBN EN 12600]</w:t>
      </w:r>
      <w:r>
        <w:br/>
      </w:r>
      <w:r>
        <w:br/>
        <w:t>[NBN EN ISO 12543 série]</w:t>
      </w:r>
      <w:r>
        <w:br/>
      </w:r>
      <w:r>
        <w:br/>
      </w:r>
      <w:r>
        <w:rPr>
          <w:shd w:val="clear" w:color="auto" w:fill="FFFFFF"/>
        </w:rPr>
        <w:t>[NBN S 23-002/A1]</w:t>
      </w:r>
    </w:p>
    <w:p w14:paraId="734D2BF5" w14:textId="77777777" w:rsidR="00772179" w:rsidRDefault="00000000">
      <w:pPr>
        <w:pStyle w:val="Author-eSectionHeading5Numberless"/>
      </w:pPr>
      <w:bookmarkStart w:id="556" w:name="_Toc220490264"/>
      <w:r>
        <w:t>42.16.1 Vitrages simples feuilletés composés de verre CCTB 01.02</w:t>
      </w:r>
      <w:bookmarkEnd w:id="556"/>
    </w:p>
    <w:p w14:paraId="729C4798" w14:textId="77777777" w:rsidR="00772179" w:rsidRDefault="00000000">
      <w:pPr>
        <w:pStyle w:val="Author-eSectionHeading6Numberless"/>
      </w:pPr>
      <w:bookmarkStart w:id="557" w:name="1371"/>
      <w:bookmarkStart w:id="558" w:name="_Toc220490265"/>
      <w:bookmarkEnd w:id="557"/>
      <w:r>
        <w:lastRenderedPageBreak/>
        <w:t>42.16.1a Vitrages simples feuilletés composés de verre à intercalaires transparents CCTB 01.11</w:t>
      </w:r>
      <w:bookmarkEnd w:id="558"/>
    </w:p>
    <w:p w14:paraId="70737A24" w14:textId="77777777" w:rsidR="00772179" w:rsidRDefault="00000000">
      <w:pPr>
        <w:pStyle w:val="pheading"/>
      </w:pPr>
      <w:bookmarkStart w:id="559" w:name="909"/>
      <w:bookmarkEnd w:id="559"/>
      <w:r>
        <w:t>MATÉRIAUX</w:t>
      </w:r>
    </w:p>
    <w:p w14:paraId="1921B4E3" w14:textId="77777777" w:rsidR="00772179" w:rsidRDefault="00000000">
      <w:pPr>
        <w:pStyle w:val="pheading"/>
      </w:pPr>
      <w:r>
        <w:t>- Caractéristiques générales</w:t>
      </w:r>
    </w:p>
    <w:p w14:paraId="3D251B0B" w14:textId="77777777" w:rsidR="00772179" w:rsidRDefault="00000000">
      <w:r>
        <w:t>Les vitrages simples de sécurité en verre feuilleté se composent de deux ou plusieurs feuilles de verre assemblées sur toute leur surface avec un film intercalaire. Le verre feuilleté de sécurité satisfait à la [NBN EN ISO 12543 série, Verre dans la construction - Verre feuilleté et verre feuilleté de sécurité].  </w:t>
      </w:r>
    </w:p>
    <w:p w14:paraId="538B3FC6" w14:textId="77777777" w:rsidR="00772179" w:rsidRDefault="00000000">
      <w:r>
        <w:t>Les feuilles intercalaires sont fabriquées en butyral de polyvinyle ép. ≥ </w:t>
      </w:r>
      <w:r>
        <w:rPr>
          <w:rStyle w:val="optioncarChar"/>
        </w:rPr>
        <w:t xml:space="preserve">0,38 </w:t>
      </w:r>
      <w:r>
        <w:t>(par défaut)</w:t>
      </w:r>
      <w:r>
        <w:rPr>
          <w:rStyle w:val="optioncarChar"/>
        </w:rPr>
        <w:t xml:space="preserve"> / ***</w:t>
      </w:r>
      <w:r>
        <w:t xml:space="preserve"> mm et </w:t>
      </w:r>
      <w:r>
        <w:rPr>
          <w:rStyle w:val="optioncarChar"/>
        </w:rPr>
        <w:t>sont incolores / ont une teinte</w:t>
      </w:r>
      <w:r>
        <w:t>. Lorsque la production ou les possibilités de pose sont restreintes, la combinaison de verre et de butyral de polyvinyle est remplacée par une combinaison de verre, de polycarbonate et de films intercalaires appropriés. Cette application ne donne lieu à aucun décompte. Le verre est conforme à la norme [NBN EN 14449] qui précise notamment la classe atteinte suivant la norme [NBN EN 12600].</w:t>
      </w:r>
    </w:p>
    <w:p w14:paraId="201A7369" w14:textId="77777777" w:rsidR="00772179" w:rsidRDefault="00000000">
      <w:pPr>
        <w:pStyle w:val="pheading"/>
      </w:pPr>
      <w:r>
        <w:t>- Finitions</w:t>
      </w:r>
    </w:p>
    <w:p w14:paraId="31CA4CE0" w14:textId="77777777" w:rsidR="00772179" w:rsidRDefault="00000000">
      <w:pPr>
        <w:pStyle w:val="Author-eListParagraph"/>
        <w:numPr>
          <w:ilvl w:val="0"/>
          <w:numId w:val="811"/>
        </w:numPr>
      </w:pPr>
      <w:r>
        <w:t xml:space="preserve">Le vitrage est </w:t>
      </w:r>
      <w:r>
        <w:rPr>
          <w:rStyle w:val="optioncarChar"/>
        </w:rPr>
        <w:t>incolore/ aura une teinte</w:t>
      </w:r>
      <w:r>
        <w:t xml:space="preserve"> et est</w:t>
      </w:r>
      <w:r>
        <w:rPr>
          <w:rStyle w:val="optioncarChar"/>
        </w:rPr>
        <w:t> non-réfléchissant / réfléchissant .</w:t>
      </w:r>
    </w:p>
    <w:p w14:paraId="38F3FD06" w14:textId="77777777" w:rsidR="00772179" w:rsidRDefault="00000000">
      <w:pPr>
        <w:pStyle w:val="Author-eListParagraph"/>
        <w:numPr>
          <w:ilvl w:val="0"/>
          <w:numId w:val="811"/>
        </w:numPr>
      </w:pPr>
      <w:r>
        <w:t xml:space="preserve">Finition des bords : </w:t>
      </w:r>
      <w:r>
        <w:rPr>
          <w:rStyle w:val="optioncarChar"/>
        </w:rPr>
        <w:t>chants biseautés / chants meulés / chants meulés lisses / chants polis   </w:t>
      </w:r>
    </w:p>
    <w:p w14:paraId="033EAC3F" w14:textId="77777777" w:rsidR="00772179" w:rsidRDefault="00000000">
      <w:pPr>
        <w:pStyle w:val="Author-eListParagraph"/>
        <w:numPr>
          <w:ilvl w:val="0"/>
          <w:numId w:val="811"/>
        </w:numPr>
      </w:pPr>
      <w:r>
        <w:t>L'épaisseur du vitrage est déterminée sur base des normes [NBN S 23-002-2] et [NBN S 23-002-3] de sécurité requise suivant la norme [NBN S 23-002]</w:t>
      </w:r>
    </w:p>
    <w:p w14:paraId="166290EE" w14:textId="77777777" w:rsidR="00772179" w:rsidRDefault="00000000">
      <w:pPr>
        <w:pStyle w:val="Author-eListParagraph"/>
        <w:numPr>
          <w:ilvl w:val="0"/>
          <w:numId w:val="811"/>
        </w:numPr>
      </w:pPr>
      <w:r>
        <w:t>Pour les vitrages obliques, la flèche maximale est limitée à 1/500 sous le poids propre, les poussées du vent et de la neige.</w:t>
      </w:r>
    </w:p>
    <w:p w14:paraId="5E5EBC19" w14:textId="77777777" w:rsidR="00772179" w:rsidRDefault="00000000">
      <w:pPr>
        <w:pStyle w:val="Author-eListParagraph"/>
        <w:numPr>
          <w:ilvl w:val="0"/>
          <w:numId w:val="811"/>
        </w:numPr>
      </w:pPr>
      <w:r>
        <w:t xml:space="preserve">Les cales de support, de distance et d'espacement sont en </w:t>
      </w:r>
      <w:r>
        <w:rPr>
          <w:rStyle w:val="optioncarChar"/>
        </w:rPr>
        <w:t>matière synthétique / ***</w:t>
      </w:r>
    </w:p>
    <w:p w14:paraId="7363006B" w14:textId="77777777" w:rsidR="00772179" w:rsidRDefault="00000000">
      <w:pPr>
        <w:pStyle w:val="Author-eListParagraph"/>
        <w:numPr>
          <w:ilvl w:val="0"/>
          <w:numId w:val="811"/>
        </w:numPr>
      </w:pPr>
      <w:r>
        <w:t xml:space="preserve">La couleur du </w:t>
      </w:r>
      <w:r>
        <w:rPr>
          <w:rStyle w:val="optioncarChar"/>
        </w:rPr>
        <w:t>mastic / profil d'étanchéité </w:t>
      </w:r>
      <w:r>
        <w:t xml:space="preserve">est </w:t>
      </w:r>
      <w:r>
        <w:rPr>
          <w:rStyle w:val="optioncarChar"/>
        </w:rPr>
        <w:t xml:space="preserve">***   </w:t>
      </w:r>
    </w:p>
    <w:p w14:paraId="3813F3F2" w14:textId="77777777" w:rsidR="00772179" w:rsidRDefault="00000000">
      <w:pPr>
        <w:pStyle w:val="Author-eListParagraph"/>
        <w:numPr>
          <w:ilvl w:val="0"/>
          <w:numId w:val="811"/>
        </w:numPr>
      </w:pPr>
      <w:r>
        <w:t>Les mastics sont de type à peindre.</w:t>
      </w:r>
    </w:p>
    <w:p w14:paraId="7082541E" w14:textId="77777777" w:rsidR="00772179" w:rsidRDefault="00000000">
      <w:pPr>
        <w:pStyle w:val="pheading"/>
      </w:pPr>
      <w:r>
        <w:t>- Prescriptions complémentaires</w:t>
      </w:r>
    </w:p>
    <w:p w14:paraId="52E1EE7F" w14:textId="77777777" w:rsidR="00772179" w:rsidRDefault="00000000">
      <w:r>
        <w:t>Le vitrage satisfait aux critères d'acceptabilité du produit tels que définis dans l'article 02.42.1 Critères d'acceptabilité, pour la composition et les performances concernées.</w:t>
      </w:r>
    </w:p>
    <w:p w14:paraId="408751AF" w14:textId="77777777" w:rsidR="00772179" w:rsidRDefault="00000000">
      <w:pPr>
        <w:pStyle w:val="pheading"/>
      </w:pPr>
      <w:r>
        <w:t>EXÉCUTION / MISE EN ŒUVRE</w:t>
      </w:r>
    </w:p>
    <w:p w14:paraId="22556E5C" w14:textId="77777777" w:rsidR="00772179" w:rsidRDefault="00000000">
      <w:pPr>
        <w:pStyle w:val="pheading"/>
      </w:pPr>
      <w:r>
        <w:t>- Prescriptions générales</w:t>
      </w:r>
    </w:p>
    <w:p w14:paraId="42777359" w14:textId="77777777" w:rsidR="00772179" w:rsidRDefault="00000000">
      <w:r>
        <w:t xml:space="preserve">Le vitrage est rendu étanche avec </w:t>
      </w:r>
      <w:r>
        <w:rPr>
          <w:rStyle w:val="optioncarChar"/>
        </w:rPr>
        <w:t>un mastic de classe conforme aux [STS 56.1] et à la [NIT 221] / un profil d'étanchéité élastique</w:t>
      </w:r>
      <w:r>
        <w:t xml:space="preserve"> de classe conforme à la [NIT 221].</w:t>
      </w:r>
    </w:p>
    <w:p w14:paraId="7B90F272" w14:textId="77777777" w:rsidR="00772179" w:rsidRDefault="00000000">
      <w:pPr>
        <w:pStyle w:val="pheading"/>
      </w:pPr>
      <w:r>
        <w:t>MESURAGE</w:t>
      </w:r>
    </w:p>
    <w:p w14:paraId="02B20CCF" w14:textId="77777777" w:rsidR="00772179" w:rsidRDefault="00000000">
      <w:pPr>
        <w:pStyle w:val="pheading"/>
      </w:pPr>
      <w:r>
        <w:t>- unité de mesure:</w:t>
      </w:r>
    </w:p>
    <w:p w14:paraId="03A20B63" w14:textId="77777777" w:rsidR="00772179" w:rsidRDefault="00000000">
      <w:r>
        <w:rPr>
          <w:color w:val="FF0000"/>
        </w:rPr>
        <w:t>-</w:t>
      </w:r>
      <w:r>
        <w:t> (par défaut)</w:t>
      </w:r>
      <w:r>
        <w:rPr>
          <w:rStyle w:val="optioncarChar"/>
        </w:rPr>
        <w:t> / m² </w:t>
      </w:r>
    </w:p>
    <w:p w14:paraId="7A9B928E" w14:textId="77777777" w:rsidR="00772179" w:rsidRDefault="00000000">
      <w:r>
        <w:rPr>
          <w:b/>
        </w:rPr>
        <w:t>(soit par défaut)</w:t>
      </w:r>
    </w:p>
    <w:p w14:paraId="3D524E42" w14:textId="77777777" w:rsidR="00772179" w:rsidRDefault="00000000">
      <w:r>
        <w:rPr>
          <w:rStyle w:val="soitChar"/>
        </w:rPr>
        <w:t>1. -</w:t>
      </w:r>
    </w:p>
    <w:p w14:paraId="19910E46" w14:textId="77777777" w:rsidR="00772179" w:rsidRDefault="00000000">
      <w:r>
        <w:rPr>
          <w:b/>
        </w:rPr>
        <w:t>(soit)</w:t>
      </w:r>
    </w:p>
    <w:p w14:paraId="6CDD542A" w14:textId="77777777" w:rsidR="00772179" w:rsidRDefault="00000000">
      <w:r>
        <w:rPr>
          <w:rStyle w:val="soitChar"/>
        </w:rPr>
        <w:t>2. m²</w:t>
      </w:r>
    </w:p>
    <w:p w14:paraId="01F2CD11" w14:textId="77777777" w:rsidR="00772179" w:rsidRDefault="00000000">
      <w:pPr>
        <w:pStyle w:val="pheading"/>
      </w:pPr>
      <w:r>
        <w:t>- code de mesurage:</w:t>
      </w:r>
    </w:p>
    <w:p w14:paraId="5AB1B7C0" w14:textId="77777777" w:rsidR="00772179" w:rsidRDefault="00000000">
      <w:r>
        <w:rPr>
          <w:rStyle w:val="optioncarChar"/>
        </w:rPr>
        <w:t>Compris </w:t>
      </w:r>
      <w:r>
        <w:t>(par défaut)</w:t>
      </w:r>
      <w:r>
        <w:rPr>
          <w:rStyle w:val="optioncarChar"/>
        </w:rPr>
        <w:t> / Surfaces nettes vitrées et réellement placées</w:t>
      </w:r>
    </w:p>
    <w:p w14:paraId="6EE331E4" w14:textId="77777777" w:rsidR="00772179"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 xml:space="preserve">Exceptionnellement et uniquement moyennant mention explicite dans le cahier spécial des charges et le métré récapitulatif, certains vitrages extérieurs spéciaux sont repris dans un poste </w:t>
      </w:r>
      <w:r>
        <w:rPr>
          <w:rStyle w:val="soitChar"/>
        </w:rPr>
        <w:lastRenderedPageBreak/>
        <w:t>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1CFDF350" w14:textId="77777777" w:rsidR="00772179" w:rsidRDefault="00000000">
      <w:pPr>
        <w:pStyle w:val="pheading"/>
      </w:pPr>
      <w:r>
        <w:t>- nature du marché:</w:t>
      </w:r>
    </w:p>
    <w:p w14:paraId="556C04BA" w14:textId="77777777" w:rsidR="00772179" w:rsidRDefault="00000000">
      <w:r>
        <w:rPr>
          <w:rStyle w:val="optioncarChar"/>
        </w:rPr>
        <w:t>PM </w:t>
      </w:r>
      <w:r>
        <w:t>(par défaut)</w:t>
      </w:r>
      <w:r>
        <w:rPr>
          <w:rStyle w:val="optioncarChar"/>
        </w:rPr>
        <w:t> / QF</w:t>
      </w:r>
    </w:p>
    <w:p w14:paraId="2BFE240B" w14:textId="77777777" w:rsidR="00772179" w:rsidRDefault="00000000">
      <w:r>
        <w:rPr>
          <w:b/>
        </w:rPr>
        <w:t>(soit par défaut)</w:t>
      </w:r>
    </w:p>
    <w:p w14:paraId="4FB996FB" w14:textId="77777777" w:rsidR="00772179" w:rsidRDefault="00000000">
      <w:r>
        <w:rPr>
          <w:rStyle w:val="soitChar"/>
        </w:rPr>
        <w:t>1. PM</w:t>
      </w:r>
    </w:p>
    <w:p w14:paraId="1DE204FC" w14:textId="77777777" w:rsidR="00772179" w:rsidRDefault="00000000">
      <w:r>
        <w:rPr>
          <w:b/>
        </w:rPr>
        <w:t>(soit)</w:t>
      </w:r>
    </w:p>
    <w:p w14:paraId="02E5FD4F" w14:textId="77777777" w:rsidR="00772179" w:rsidRDefault="00000000">
      <w:r>
        <w:rPr>
          <w:rStyle w:val="soitChar"/>
        </w:rPr>
        <w:t>2. QF</w:t>
      </w:r>
    </w:p>
    <w:p w14:paraId="4C33774C" w14:textId="77777777" w:rsidR="00772179" w:rsidRDefault="00000000">
      <w:pPr>
        <w:pStyle w:val="pheading"/>
      </w:pPr>
      <w:r>
        <w:t>AIDE</w:t>
      </w:r>
    </w:p>
    <w:p w14:paraId="6D746FE8" w14:textId="77777777" w:rsidR="00772179" w:rsidRDefault="00000000">
      <w:r>
        <w:rPr>
          <w:i/>
          <w:u w:val="single"/>
        </w:rPr>
        <w:t>Note à l’attention de l’auteur de projet</w:t>
      </w:r>
    </w:p>
    <w:p w14:paraId="26F60B32" w14:textId="77777777" w:rsidR="00772179" w:rsidRDefault="00000000">
      <w:pPr>
        <w:pStyle w:val="Author-eListParagraph"/>
        <w:numPr>
          <w:ilvl w:val="0"/>
          <w:numId w:val="812"/>
        </w:numPr>
      </w:pPr>
      <w:r>
        <w:t xml:space="preserve">L'angle minimal pour la finition des bords est de 30° par rapport à la surface de la vitre. </w:t>
      </w:r>
    </w:p>
    <w:p w14:paraId="48185701" w14:textId="77777777" w:rsidR="00772179" w:rsidRDefault="00000000">
      <w:pPr>
        <w:pStyle w:val="Author-eListParagraph"/>
        <w:numPr>
          <w:ilvl w:val="0"/>
          <w:numId w:val="812"/>
        </w:numPr>
      </w:pPr>
      <w:r>
        <w:t>Pour les joints d'étanchéité, les fabricants préconisent un mastic neutre aux silicones. L'utilisation de mastics contenant de l'acide acétique n'est pas admise car certaines composantes de ces mastics peuvent causer des délaminages locaux.</w:t>
      </w:r>
    </w:p>
    <w:p w14:paraId="68CE9308" w14:textId="77777777" w:rsidR="00772179" w:rsidRDefault="00000000">
      <w:pPr>
        <w:pStyle w:val="Author-eSectionHeading6Numberless"/>
      </w:pPr>
      <w:bookmarkStart w:id="560" w:name="_Toc220490266"/>
      <w:r>
        <w:t>42.16.1b Vitrages simples feuilletés composés de verre à intercalaires décoratifs CCTB 01.04</w:t>
      </w:r>
      <w:bookmarkEnd w:id="560"/>
    </w:p>
    <w:p w14:paraId="57EB99A8" w14:textId="77777777" w:rsidR="00772179" w:rsidRDefault="00000000">
      <w:pPr>
        <w:pStyle w:val="Author-eSectionHeading6Numberless"/>
      </w:pPr>
      <w:bookmarkStart w:id="561" w:name="910"/>
      <w:bookmarkStart w:id="562" w:name="_Toc220490267"/>
      <w:bookmarkEnd w:id="561"/>
      <w:r>
        <w:t>42.16.1c Vitrages simples feuilletés composés de verre résistants au feu CCTB 01.11</w:t>
      </w:r>
      <w:bookmarkEnd w:id="562"/>
    </w:p>
    <w:p w14:paraId="0472B6A0" w14:textId="77777777" w:rsidR="00772179" w:rsidRDefault="00000000">
      <w:pPr>
        <w:pStyle w:val="pheading"/>
      </w:pPr>
      <w:r>
        <w:t>MATÉRIAUX</w:t>
      </w:r>
    </w:p>
    <w:p w14:paraId="3FD4BD84" w14:textId="77777777" w:rsidR="00772179" w:rsidRDefault="00000000">
      <w:pPr>
        <w:pStyle w:val="pheading"/>
      </w:pPr>
      <w:r>
        <w:t>- Caractéristiques générales</w:t>
      </w:r>
    </w:p>
    <w:p w14:paraId="5F773CEE" w14:textId="77777777" w:rsidR="00772179" w:rsidRDefault="00000000">
      <w:r>
        <w:t xml:space="preserve">Le vitrage résistant au feu est composé de deux ou de plusieurs feuilles de verre d'épaisseur différente, chaque feuille est elle-même constituée de plusieurs couches, et répond aux normes [NBN EN 13501-2], [NBN EN 15998], [NBN S 23-002-2] et </w:t>
      </w:r>
      <w:r>
        <w:rPr>
          <w:shd w:val="clear" w:color="auto" w:fill="FFFFFF"/>
        </w:rPr>
        <w:t>[NBN S 23-002]. </w:t>
      </w:r>
    </w:p>
    <w:p w14:paraId="7C695757" w14:textId="77777777" w:rsidR="00772179" w:rsidRDefault="00000000">
      <w:pPr>
        <w:pStyle w:val="pheading"/>
      </w:pPr>
      <w:r>
        <w:t>- Finitions</w:t>
      </w:r>
    </w:p>
    <w:p w14:paraId="70489F7C" w14:textId="77777777" w:rsidR="00772179" w:rsidRDefault="00000000">
      <w:pPr>
        <w:pStyle w:val="Author-eListParagraph"/>
        <w:numPr>
          <w:ilvl w:val="0"/>
          <w:numId w:val="813"/>
        </w:numPr>
      </w:pPr>
      <w:r>
        <w:t>Composition :</w:t>
      </w:r>
      <w:r>
        <w:rPr>
          <w:rStyle w:val="optioncarChar"/>
        </w:rPr>
        <w:t> verre float / verre feuilleté / verre trempé </w:t>
      </w:r>
    </w:p>
    <w:p w14:paraId="2D1B540E" w14:textId="77777777" w:rsidR="00772179" w:rsidRDefault="00000000">
      <w:pPr>
        <w:pStyle w:val="Author-eListParagraph"/>
        <w:numPr>
          <w:ilvl w:val="0"/>
          <w:numId w:val="813"/>
        </w:numPr>
      </w:pPr>
      <w:r>
        <w:t xml:space="preserve">Résistance au feu : </w:t>
      </w:r>
      <w:r>
        <w:rPr>
          <w:rStyle w:val="optioncarChar"/>
        </w:rPr>
        <w:t xml:space="preserve">E 30 / E 60 / EI 30 / EI 60 / EW 30 / EW 60 </w:t>
      </w:r>
      <w:r>
        <w:t>selon la norme [NBN EN 13501-2]</w:t>
      </w:r>
    </w:p>
    <w:p w14:paraId="0C74683E" w14:textId="77777777" w:rsidR="00772179" w:rsidRDefault="00000000">
      <w:pPr>
        <w:pStyle w:val="Author-eListParagraph"/>
        <w:numPr>
          <w:ilvl w:val="0"/>
          <w:numId w:val="813"/>
        </w:numPr>
      </w:pPr>
      <w:r>
        <w:t>La Valeur de résistance au feu est attestée par un rapport d’essai ou de classification établi par un laboratoire agréé.</w:t>
      </w:r>
    </w:p>
    <w:p w14:paraId="68CFCD1D" w14:textId="77777777" w:rsidR="00772179" w:rsidRDefault="00000000">
      <w:pPr>
        <w:pStyle w:val="Author-eListParagraph"/>
        <w:numPr>
          <w:ilvl w:val="0"/>
          <w:numId w:val="813"/>
        </w:numPr>
      </w:pPr>
      <w:r>
        <w:t>L'épaisseur, la nature et la composition sont déterminées sur base des normes [NBN S 23-002-2] et [NBN S 23-002-3] et des performances requises.   </w:t>
      </w:r>
    </w:p>
    <w:p w14:paraId="06FCD364" w14:textId="77777777" w:rsidR="00772179" w:rsidRDefault="00000000">
      <w:pPr>
        <w:pStyle w:val="Author-eListParagraph"/>
        <w:numPr>
          <w:ilvl w:val="0"/>
          <w:numId w:val="813"/>
        </w:numPr>
      </w:pPr>
      <w:r>
        <w:t>Les cales de support, de distance et d'espacement respectent les critères d'acceptabilité tels que définis dans l'article 02.42.1 Critères d'acceptabilité.</w:t>
      </w:r>
    </w:p>
    <w:p w14:paraId="2C464E7D" w14:textId="77777777" w:rsidR="00772179" w:rsidRDefault="00000000">
      <w:pPr>
        <w:pStyle w:val="Author-eListParagraph"/>
        <w:numPr>
          <w:ilvl w:val="0"/>
          <w:numId w:val="813"/>
        </w:numPr>
      </w:pPr>
      <w:r>
        <w:t xml:space="preserve">La couleur du </w:t>
      </w:r>
      <w:r>
        <w:rPr>
          <w:rStyle w:val="optioncarChar"/>
        </w:rPr>
        <w:t>mastic / profil d'étanchéité</w:t>
      </w:r>
      <w:r>
        <w:t xml:space="preserve"> est </w:t>
      </w:r>
      <w:r>
        <w:rPr>
          <w:rStyle w:val="optioncarChar"/>
        </w:rPr>
        <w:t xml:space="preserve">***. </w:t>
      </w:r>
      <w:r>
        <w:t>Les mastics sont de type à peindre.</w:t>
      </w:r>
    </w:p>
    <w:p w14:paraId="203DDCDD" w14:textId="77777777" w:rsidR="00772179" w:rsidRDefault="00000000">
      <w:pPr>
        <w:pStyle w:val="pheading"/>
      </w:pPr>
      <w:r>
        <w:t>EXÉCUTION / MISE EN ŒUVRE</w:t>
      </w:r>
    </w:p>
    <w:p w14:paraId="004EE0C2" w14:textId="77777777" w:rsidR="00772179" w:rsidRDefault="00000000">
      <w:pPr>
        <w:pStyle w:val="pheading"/>
      </w:pPr>
      <w:r>
        <w:t>- Prescriptions générales</w:t>
      </w:r>
    </w:p>
    <w:p w14:paraId="6D11171D" w14:textId="77777777" w:rsidR="00772179" w:rsidRDefault="00000000">
      <w:r>
        <w:t>La production du vitrage résistant au feu est mise sous contrôle permanent avec certificat. La pose est effectuée conformément aux prescriptions notées dans le rapport d'essai.</w:t>
      </w:r>
    </w:p>
    <w:p w14:paraId="43B0ACEC" w14:textId="77777777" w:rsidR="00772179" w:rsidRDefault="00000000">
      <w:pPr>
        <w:pStyle w:val="pheading"/>
      </w:pPr>
      <w:r>
        <w:t>MESURAGE</w:t>
      </w:r>
    </w:p>
    <w:p w14:paraId="6BE6A57C" w14:textId="77777777" w:rsidR="00772179" w:rsidRDefault="00000000">
      <w:pPr>
        <w:pStyle w:val="pheading"/>
      </w:pPr>
      <w:r>
        <w:t>- unité de mesure:</w:t>
      </w:r>
    </w:p>
    <w:p w14:paraId="0A677864" w14:textId="77777777" w:rsidR="00772179" w:rsidRDefault="00000000">
      <w:r>
        <w:rPr>
          <w:color w:val="FF0000"/>
        </w:rPr>
        <w:t>-</w:t>
      </w:r>
      <w:r>
        <w:t> (par défaut)</w:t>
      </w:r>
      <w:r>
        <w:rPr>
          <w:rStyle w:val="optioncarChar"/>
        </w:rPr>
        <w:t> / m² </w:t>
      </w:r>
    </w:p>
    <w:p w14:paraId="3E824EFF" w14:textId="77777777" w:rsidR="00772179" w:rsidRDefault="00000000">
      <w:r>
        <w:rPr>
          <w:b/>
        </w:rPr>
        <w:t>(soit par défaut)</w:t>
      </w:r>
    </w:p>
    <w:p w14:paraId="281D6F18" w14:textId="77777777" w:rsidR="00772179" w:rsidRDefault="00000000">
      <w:r>
        <w:rPr>
          <w:rStyle w:val="soitChar"/>
        </w:rPr>
        <w:lastRenderedPageBreak/>
        <w:t>1. -</w:t>
      </w:r>
    </w:p>
    <w:p w14:paraId="0C3BB920" w14:textId="77777777" w:rsidR="00772179" w:rsidRDefault="00000000">
      <w:r>
        <w:rPr>
          <w:b/>
        </w:rPr>
        <w:t>(soit)</w:t>
      </w:r>
    </w:p>
    <w:p w14:paraId="6A39A616" w14:textId="77777777" w:rsidR="00772179" w:rsidRDefault="00000000">
      <w:r>
        <w:rPr>
          <w:rStyle w:val="soitChar"/>
        </w:rPr>
        <w:t>2. m²</w:t>
      </w:r>
    </w:p>
    <w:p w14:paraId="40A5934D" w14:textId="77777777" w:rsidR="00772179" w:rsidRDefault="00000000">
      <w:pPr>
        <w:pStyle w:val="pheading"/>
      </w:pPr>
      <w:r>
        <w:t>- code de mesurage:</w:t>
      </w:r>
    </w:p>
    <w:p w14:paraId="2B10CDBC" w14:textId="77777777" w:rsidR="00772179" w:rsidRDefault="00000000">
      <w:r>
        <w:rPr>
          <w:rStyle w:val="optioncarChar"/>
        </w:rPr>
        <w:t>Compris    </w:t>
      </w:r>
      <w:r>
        <w:t>(par défaut)</w:t>
      </w:r>
      <w:r>
        <w:rPr>
          <w:rStyle w:val="optioncarChar"/>
        </w:rPr>
        <w:t> / Surfaces nettes vitrées et réellement placées</w:t>
      </w:r>
    </w:p>
    <w:p w14:paraId="3EB17A31" w14:textId="77777777" w:rsidR="00772179"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39A97BEC" w14:textId="77777777" w:rsidR="00772179" w:rsidRDefault="00000000">
      <w:pPr>
        <w:pStyle w:val="pheading"/>
      </w:pPr>
      <w:r>
        <w:t>- nature du marché:</w:t>
      </w:r>
    </w:p>
    <w:p w14:paraId="3603E992" w14:textId="77777777" w:rsidR="00772179" w:rsidRDefault="00000000">
      <w:r>
        <w:rPr>
          <w:rStyle w:val="optioncarChar"/>
        </w:rPr>
        <w:t>PM </w:t>
      </w:r>
      <w:r>
        <w:t>(par défaut)</w:t>
      </w:r>
      <w:r>
        <w:rPr>
          <w:rStyle w:val="optioncarChar"/>
        </w:rPr>
        <w:t> / QF</w:t>
      </w:r>
    </w:p>
    <w:p w14:paraId="4F2461E7" w14:textId="77777777" w:rsidR="00772179" w:rsidRDefault="00000000">
      <w:r>
        <w:rPr>
          <w:b/>
        </w:rPr>
        <w:t>(soit par défaut)</w:t>
      </w:r>
    </w:p>
    <w:p w14:paraId="41CCA8EB" w14:textId="77777777" w:rsidR="00772179" w:rsidRDefault="00000000">
      <w:r>
        <w:rPr>
          <w:rStyle w:val="soitChar"/>
        </w:rPr>
        <w:t>1. PM</w:t>
      </w:r>
    </w:p>
    <w:p w14:paraId="63791C94" w14:textId="77777777" w:rsidR="00772179" w:rsidRDefault="00000000">
      <w:r>
        <w:rPr>
          <w:b/>
        </w:rPr>
        <w:t>(soit)</w:t>
      </w:r>
    </w:p>
    <w:p w14:paraId="384A5878" w14:textId="77777777" w:rsidR="00772179" w:rsidRDefault="00000000">
      <w:r>
        <w:rPr>
          <w:rStyle w:val="soitChar"/>
        </w:rPr>
        <w:t>2. QF</w:t>
      </w:r>
    </w:p>
    <w:p w14:paraId="1730D35B" w14:textId="77777777" w:rsidR="00772179" w:rsidRDefault="00000000">
      <w:pPr>
        <w:pStyle w:val="Author-eSectionHeading5Numberless"/>
      </w:pPr>
      <w:bookmarkStart w:id="563" w:name="_Toc220490268"/>
      <w:r>
        <w:t>42.16.2 Vitrages simples feuilletés composés mixtes</w:t>
      </w:r>
      <w:bookmarkEnd w:id="563"/>
    </w:p>
    <w:p w14:paraId="472902C7" w14:textId="77777777" w:rsidR="00772179" w:rsidRDefault="00000000">
      <w:pPr>
        <w:pStyle w:val="Author-eSectionHeading6Numberless"/>
      </w:pPr>
      <w:bookmarkStart w:id="564" w:name="_Toc220490269"/>
      <w:r>
        <w:t>42.16.2a Vitrages simples feuilletés composés mixtes</w:t>
      </w:r>
      <w:bookmarkEnd w:id="564"/>
    </w:p>
    <w:p w14:paraId="0B5C7964" w14:textId="77777777" w:rsidR="00772179" w:rsidRDefault="00000000">
      <w:pPr>
        <w:pStyle w:val="Author-eSectionHeading5Numberless"/>
      </w:pPr>
      <w:bookmarkStart w:id="565" w:name="_Toc220490270"/>
      <w:r>
        <w:t>42.16.3 Vitrages simples feuilletés à traitements combinés</w:t>
      </w:r>
      <w:bookmarkEnd w:id="565"/>
    </w:p>
    <w:p w14:paraId="75A9B6C9" w14:textId="77777777" w:rsidR="00772179" w:rsidRDefault="00000000">
      <w:pPr>
        <w:pStyle w:val="Author-eSectionHeading6Numberless"/>
      </w:pPr>
      <w:bookmarkStart w:id="566" w:name="_Toc220490271"/>
      <w:r>
        <w:t>42.16.3a Vitrages simples feuilletés à traitements combinés CCTB 01.04</w:t>
      </w:r>
      <w:bookmarkEnd w:id="566"/>
    </w:p>
    <w:p w14:paraId="0AD62579" w14:textId="77777777" w:rsidR="00772179" w:rsidRDefault="00000000">
      <w:pPr>
        <w:pStyle w:val="Author-eSectionHeading4Numberless"/>
      </w:pPr>
      <w:bookmarkStart w:id="567" w:name="_Toc220490272"/>
      <w:r>
        <w:t>42.17 Vitrages simples anti-radiations CCTB 01.11</w:t>
      </w:r>
      <w:bookmarkEnd w:id="567"/>
    </w:p>
    <w:p w14:paraId="54684E86" w14:textId="77777777" w:rsidR="00772179" w:rsidRDefault="00000000">
      <w:pPr>
        <w:pStyle w:val="pheading"/>
      </w:pPr>
      <w:bookmarkStart w:id="568" w:name="979"/>
      <w:bookmarkEnd w:id="568"/>
      <w:r>
        <w:t>MATÉRIAUX</w:t>
      </w:r>
    </w:p>
    <w:p w14:paraId="40995407" w14:textId="77777777" w:rsidR="00772179" w:rsidRDefault="00000000">
      <w:pPr>
        <w:pStyle w:val="Author-eListParagraph"/>
        <w:numPr>
          <w:ilvl w:val="0"/>
          <w:numId w:val="814"/>
        </w:numPr>
      </w:pPr>
      <w:r>
        <w:t>Les vitrages de sécurité sont composés ou non de vitrages simples ou multiples, indépendamment de leurs caractéristiques particulières et de leur aspect. Les vitrages de sécurité satisfont à la norme [NBN S 23-002] et à son addendum [NBN S 23-002/A1]</w:t>
      </w:r>
    </w:p>
    <w:p w14:paraId="55397938" w14:textId="77777777" w:rsidR="00772179" w:rsidRDefault="00000000">
      <w:pPr>
        <w:pStyle w:val="Author-eListParagraph"/>
        <w:numPr>
          <w:ilvl w:val="0"/>
          <w:numId w:val="814"/>
        </w:numPr>
      </w:pPr>
      <w:r>
        <w:t>Afin de déterminer l'épaisseur et/ou la composition du verre, il est notamment tenu compte de :</w:t>
      </w:r>
    </w:p>
    <w:p w14:paraId="18EC29AB" w14:textId="77777777" w:rsidR="00772179" w:rsidRDefault="00000000">
      <w:r>
        <w:t>          ⇒ la superficie du vitrage et la pression dynamique de base</w:t>
      </w:r>
      <w:r>
        <w:br/>
        <w:t>          ⇒ les performances requises</w:t>
      </w:r>
      <w:r>
        <w:br/>
        <w:t>          ⇒ les catégories d'usage et les cas d'utilisation</w:t>
      </w:r>
    </w:p>
    <w:p w14:paraId="3707542C" w14:textId="77777777" w:rsidR="00772179" w:rsidRDefault="00000000">
      <w:pPr>
        <w:pStyle w:val="Author-eListParagraph"/>
        <w:numPr>
          <w:ilvl w:val="0"/>
          <w:numId w:val="815"/>
        </w:numPr>
      </w:pPr>
      <w:r>
        <w:t>Le vitrage satisfait aux critères d'acceptabilité du produit tels que définis dans l'article 02.42.1 Critères d'acceptabilité, pour la composition et les performances concernées.</w:t>
      </w:r>
    </w:p>
    <w:p w14:paraId="2F34E7AA" w14:textId="77777777" w:rsidR="00772179" w:rsidRDefault="00000000">
      <w:pPr>
        <w:pStyle w:val="Author-eListParagraph"/>
        <w:numPr>
          <w:ilvl w:val="0"/>
          <w:numId w:val="815"/>
        </w:numPr>
      </w:pPr>
      <w:r>
        <w:t>Un certificat attestant de la classe du mastic et/ou de la classe du profil d'étanchéité élastique est soumis pour approbation à l'auteur de projet. Tout mastic utilisé est chimiquement compatible avec les produits adjacents dont les profilés ou les produits de traitement de la menuiserie. </w:t>
      </w:r>
    </w:p>
    <w:p w14:paraId="1BA829C5" w14:textId="77777777" w:rsidR="00772179" w:rsidRDefault="00000000">
      <w:pPr>
        <w:pStyle w:val="pheading"/>
      </w:pPr>
      <w:r>
        <w:t>EXÉCUTION / MISE EN ŒUVRE</w:t>
      </w:r>
    </w:p>
    <w:p w14:paraId="1D572935" w14:textId="77777777" w:rsidR="00772179" w:rsidRDefault="00000000">
      <w:pPr>
        <w:pStyle w:val="Author-eListParagraph"/>
        <w:numPr>
          <w:ilvl w:val="0"/>
          <w:numId w:val="816"/>
        </w:numPr>
      </w:pPr>
      <w:r>
        <w:t xml:space="preserve">Le vitrage est posé selon le </w:t>
      </w:r>
      <w:r>
        <w:rPr>
          <w:shd w:val="clear" w:color="auto" w:fill="FFFFFF"/>
        </w:rPr>
        <w:t>[NBN S 23-002] </w:t>
      </w:r>
      <w:r>
        <w:t xml:space="preserve">et la </w:t>
      </w:r>
      <w:r>
        <w:rPr>
          <w:shd w:val="clear" w:color="auto" w:fill="FFFFFF"/>
        </w:rPr>
        <w:t>[NIT 224]</w:t>
      </w:r>
      <w:r>
        <w:t xml:space="preserve"> et selon les prescriptions du fabricant.</w:t>
      </w:r>
    </w:p>
    <w:p w14:paraId="33D4AA66" w14:textId="77777777" w:rsidR="00772179" w:rsidRDefault="00000000">
      <w:pPr>
        <w:pStyle w:val="Author-eListParagraph"/>
        <w:numPr>
          <w:ilvl w:val="0"/>
          <w:numId w:val="816"/>
        </w:numPr>
      </w:pPr>
      <w:r>
        <w:t>Avant la pose du vitrage, les feuillures et les parcloses sont nettoyées.</w:t>
      </w:r>
    </w:p>
    <w:p w14:paraId="0099E439" w14:textId="77777777" w:rsidR="00772179" w:rsidRDefault="00000000">
      <w:pPr>
        <w:pStyle w:val="Author-eListParagraph"/>
        <w:numPr>
          <w:ilvl w:val="0"/>
          <w:numId w:val="816"/>
        </w:numPr>
      </w:pPr>
      <w:r>
        <w:t>Lorsque le fabricant de mastics le préconise, un primer est préalablement appliqué.</w:t>
      </w:r>
    </w:p>
    <w:p w14:paraId="2AD51807" w14:textId="77777777" w:rsidR="00772179" w:rsidRDefault="00000000">
      <w:pPr>
        <w:pStyle w:val="Author-eListParagraph"/>
        <w:numPr>
          <w:ilvl w:val="0"/>
          <w:numId w:val="816"/>
        </w:numPr>
      </w:pPr>
      <w:r>
        <w:lastRenderedPageBreak/>
        <w:t>Après la pose du vitrage, toutes les étiquettes et inscriptions sont enlevées et remises au maître d’ouvrage.</w:t>
      </w:r>
    </w:p>
    <w:p w14:paraId="4C079CA9" w14:textId="77777777" w:rsidR="00772179" w:rsidRDefault="00000000">
      <w:pPr>
        <w:pStyle w:val="pheading"/>
      </w:pPr>
      <w:r>
        <w:t>DOCUMENTS DE RÉFÉRENCE</w:t>
      </w:r>
    </w:p>
    <w:p w14:paraId="5B11D5C0" w14:textId="77777777" w:rsidR="00772179" w:rsidRDefault="00000000">
      <w:pPr>
        <w:pStyle w:val="pheading"/>
      </w:pPr>
      <w:r>
        <w:t>- Matériau</w:t>
      </w:r>
    </w:p>
    <w:p w14:paraId="5641FA85" w14:textId="77777777" w:rsidR="00772179" w:rsidRDefault="00000000">
      <w:r>
        <w:t>[NBN EN 356]</w:t>
      </w:r>
    </w:p>
    <w:p w14:paraId="3C349D01" w14:textId="77777777" w:rsidR="00772179" w:rsidRDefault="00000000">
      <w:r>
        <w:t>[NBN EN 1063]</w:t>
      </w:r>
    </w:p>
    <w:p w14:paraId="4977FD4A" w14:textId="77777777" w:rsidR="00772179" w:rsidRDefault="00000000">
      <w:r>
        <w:t>[NBN EN 13541]</w:t>
      </w:r>
    </w:p>
    <w:p w14:paraId="1B3CD621" w14:textId="77777777" w:rsidR="00772179" w:rsidRDefault="00000000">
      <w:r>
        <w:t>[NBN EN ISO 12543 série]</w:t>
      </w:r>
    </w:p>
    <w:p w14:paraId="07EF6617" w14:textId="77777777" w:rsidR="00772179" w:rsidRDefault="00000000">
      <w:r>
        <w:t>[NBN EN 12150 série]</w:t>
      </w:r>
    </w:p>
    <w:p w14:paraId="062C3961" w14:textId="77777777" w:rsidR="00772179" w:rsidRDefault="00000000">
      <w:r>
        <w:t>[NBN EN 12600]</w:t>
      </w:r>
      <w:r>
        <w:br/>
      </w:r>
      <w:r>
        <w:br/>
        <w:t>[NBN EN ISO 12543 série]</w:t>
      </w:r>
      <w:r>
        <w:br/>
      </w:r>
      <w:r>
        <w:br/>
      </w:r>
      <w:r>
        <w:rPr>
          <w:shd w:val="clear" w:color="auto" w:fill="FFFFFF"/>
        </w:rPr>
        <w:t>[NBN S 23-002/A1]</w:t>
      </w:r>
    </w:p>
    <w:p w14:paraId="69A1FA7A" w14:textId="77777777" w:rsidR="00772179" w:rsidRDefault="00000000">
      <w:pPr>
        <w:pStyle w:val="Author-eSectionHeading5Numberless"/>
      </w:pPr>
      <w:bookmarkStart w:id="569" w:name="_Toc220490273"/>
      <w:r>
        <w:t>42.17.1 Vitrages simples anti-radiations CCTB 01.04</w:t>
      </w:r>
      <w:bookmarkEnd w:id="569"/>
    </w:p>
    <w:p w14:paraId="06131C06" w14:textId="77777777" w:rsidR="00772179" w:rsidRDefault="00000000">
      <w:pPr>
        <w:pStyle w:val="Author-eSectionHeading6Numberless"/>
      </w:pPr>
      <w:bookmarkStart w:id="570" w:name="_Toc220490274"/>
      <w:r>
        <w:t>42.17.1a Vitrages simples anti-radiations CCTB 01.02</w:t>
      </w:r>
      <w:bookmarkEnd w:id="570"/>
    </w:p>
    <w:p w14:paraId="2626D5C4" w14:textId="77777777" w:rsidR="00772179" w:rsidRDefault="00000000">
      <w:pPr>
        <w:pStyle w:val="Author-eSectionHeading3Numberless"/>
      </w:pPr>
      <w:bookmarkStart w:id="571" w:name="_Toc220490275"/>
      <w:r>
        <w:t>42.2 Vitrages multiples</w:t>
      </w:r>
      <w:bookmarkEnd w:id="571"/>
    </w:p>
    <w:p w14:paraId="3AE393E6" w14:textId="77777777" w:rsidR="00772179" w:rsidRDefault="00000000">
      <w:pPr>
        <w:pStyle w:val="Author-eSectionHeading4Numberless"/>
      </w:pPr>
      <w:bookmarkStart w:id="572" w:name="892"/>
      <w:bookmarkStart w:id="573" w:name="_Toc220490276"/>
      <w:bookmarkEnd w:id="572"/>
      <w:r>
        <w:t>42.21 Vitrages multiples - Air CCTB 01.11</w:t>
      </w:r>
      <w:bookmarkEnd w:id="573"/>
    </w:p>
    <w:p w14:paraId="47ADB446" w14:textId="77777777" w:rsidR="00772179" w:rsidRDefault="00000000">
      <w:pPr>
        <w:pStyle w:val="pheading"/>
      </w:pPr>
      <w:bookmarkStart w:id="574" w:name="1362"/>
      <w:bookmarkEnd w:id="574"/>
      <w:r>
        <w:t>MATÉRIAUX</w:t>
      </w:r>
    </w:p>
    <w:p w14:paraId="6DE9B379" w14:textId="77777777" w:rsidR="00772179" w:rsidRDefault="00000000">
      <w:r>
        <w:t xml:space="preserve">Composition : </w:t>
      </w:r>
    </w:p>
    <w:p w14:paraId="39972530" w14:textId="77777777" w:rsidR="00772179" w:rsidRDefault="00000000">
      <w:pPr>
        <w:pStyle w:val="Author-eListParagraph"/>
        <w:numPr>
          <w:ilvl w:val="0"/>
          <w:numId w:val="817"/>
        </w:numPr>
      </w:pPr>
      <w:r>
        <w:t xml:space="preserve">Le (double) vitrage isolant ordinaire répond aux normes [NBN S 23-002] et [NBN EN 1279-1]. Il se compose de deux feuilles de verre, dont une des deux est éventuellement revêtue d'une couche de métal. </w:t>
      </w:r>
    </w:p>
    <w:p w14:paraId="767A8291" w14:textId="77777777" w:rsidR="00772179" w:rsidRDefault="00000000">
      <w:pPr>
        <w:pStyle w:val="Author-eListParagraph"/>
        <w:numPr>
          <w:ilvl w:val="0"/>
          <w:numId w:val="817"/>
        </w:numPr>
      </w:pPr>
      <w:r>
        <w:t xml:space="preserve">Les vitres sont séparées par un vide exempt d’humidité rempli d'air déshydraté ou de gaz à isolation thermique.  </w:t>
      </w:r>
    </w:p>
    <w:p w14:paraId="54EFF69A" w14:textId="77777777" w:rsidR="00772179" w:rsidRDefault="00000000">
      <w:pPr>
        <w:pStyle w:val="Author-eListParagraph"/>
        <w:numPr>
          <w:ilvl w:val="0"/>
          <w:numId w:val="817"/>
        </w:numPr>
      </w:pPr>
      <w:r>
        <w:t>L'intérieur des feuilles de verre est impeccablement propre, à chaque exposition à la lumière. En fonction des performances demandées, chaque feuille de verre est de type différent et/ou se composer de plusieurs couches.</w:t>
      </w:r>
    </w:p>
    <w:p w14:paraId="14D44A97" w14:textId="77777777" w:rsidR="00772179" w:rsidRDefault="00000000">
      <w:pPr>
        <w:pStyle w:val="Author-eListParagraph"/>
        <w:numPr>
          <w:ilvl w:val="0"/>
          <w:numId w:val="817"/>
        </w:numPr>
      </w:pPr>
      <w:r>
        <w:t xml:space="preserve">L'épaisseur des vitres est notamment déterminée en fonction de la superficie et des pressions dynamiques de base selon les normes [NBN S 23-002] et [NBN S 23-002-3]. L'épaisseur de feuilles de verre est au moins indiquée sur l'étiquette. L'ensemble est assemblé à l'aide d'espaceurs fabriqués dans un matériau métallique </w:t>
      </w:r>
      <w:r>
        <w:rPr>
          <w:rStyle w:val="optioncarChar"/>
        </w:rPr>
        <w:t>en matière organique / ***</w:t>
      </w:r>
      <w:r>
        <w:t xml:space="preserve">. </w:t>
      </w:r>
    </w:p>
    <w:p w14:paraId="2F3E31C3" w14:textId="77777777" w:rsidR="00772179" w:rsidRDefault="00000000">
      <w:pPr>
        <w:pStyle w:val="Author-eListParagraph"/>
        <w:numPr>
          <w:ilvl w:val="0"/>
          <w:numId w:val="817"/>
        </w:numPr>
      </w:pPr>
      <w:r>
        <w:t>Les espaceurs contiennent un produit absorbant l'humidité.</w:t>
      </w:r>
    </w:p>
    <w:p w14:paraId="0007D472" w14:textId="77777777" w:rsidR="00772179" w:rsidRDefault="00000000">
      <w:pPr>
        <w:pStyle w:val="Author-eListParagraph"/>
        <w:numPr>
          <w:ilvl w:val="0"/>
          <w:numId w:val="817"/>
        </w:numPr>
      </w:pPr>
      <w:r>
        <w:t>Les assemblages d'angle sont hermétiquement fermés à l'aide de butyle projeté sous pression.</w:t>
      </w:r>
    </w:p>
    <w:p w14:paraId="476DBB48" w14:textId="77777777" w:rsidR="00772179" w:rsidRDefault="00000000">
      <w:pPr>
        <w:pStyle w:val="Author-eListParagraph"/>
        <w:numPr>
          <w:ilvl w:val="0"/>
          <w:numId w:val="817"/>
        </w:numPr>
      </w:pPr>
      <w:r>
        <w:t>Le vitrage satisfait aux critères d'acceptabilité du produit tels que définis dans l'article  02.42.1 Critères d'acceptabilité, pour la composition et les performances concernées.</w:t>
      </w:r>
    </w:p>
    <w:p w14:paraId="57B696E4" w14:textId="77777777" w:rsidR="00772179" w:rsidRDefault="00000000">
      <w:pPr>
        <w:pStyle w:val="Author-eListParagraph"/>
        <w:numPr>
          <w:ilvl w:val="0"/>
          <w:numId w:val="817"/>
        </w:numPr>
      </w:pPr>
      <w:r>
        <w:t>Vitrage à isolation thermique améliorée : il répond aux normes [NBN S 23-002] , [NBN EN 1279-1] et à la [NIT 214]. Il se compose de deux feuilles de verre clair, séparées par un vide rempli de gaz à isolation thermique. </w:t>
      </w:r>
    </w:p>
    <w:p w14:paraId="12C79939" w14:textId="77777777" w:rsidR="00772179" w:rsidRDefault="00000000">
      <w:r>
        <w:t>Spécifications :</w:t>
      </w:r>
    </w:p>
    <w:p w14:paraId="0E4DE4DF" w14:textId="77777777" w:rsidR="00772179" w:rsidRDefault="00000000">
      <w:pPr>
        <w:pStyle w:val="Author-eListParagraph"/>
        <w:numPr>
          <w:ilvl w:val="0"/>
          <w:numId w:val="818"/>
        </w:numPr>
      </w:pPr>
      <w:r>
        <w:t xml:space="preserve">Une des feuilles de verre est revêtue, du côté du vide, d'une couche de métal dont l'émissivité est ≤ </w:t>
      </w:r>
      <w:r>
        <w:rPr>
          <w:rStyle w:val="optioncarChar"/>
        </w:rPr>
        <w:t>0,09 / 0,05. </w:t>
      </w:r>
    </w:p>
    <w:p w14:paraId="5D51E539" w14:textId="77777777" w:rsidR="00772179" w:rsidRDefault="00000000">
      <w:pPr>
        <w:pStyle w:val="Author-eListParagraph"/>
        <w:numPr>
          <w:ilvl w:val="0"/>
          <w:numId w:val="818"/>
        </w:numPr>
      </w:pPr>
      <w:r>
        <w:t>L'épaisseur des feuilles de verre est déterminée conformément aux normes [NBN S 23-002-2] et [NBN S 23-002-3]. Par étage, l'épaisseur totale du vitrage isolant est identique.</w:t>
      </w:r>
    </w:p>
    <w:p w14:paraId="29D3ADF9" w14:textId="77777777" w:rsidR="00772179" w:rsidRDefault="00000000">
      <w:pPr>
        <w:pStyle w:val="Author-eListParagraph"/>
        <w:numPr>
          <w:ilvl w:val="0"/>
          <w:numId w:val="818"/>
        </w:numPr>
      </w:pPr>
      <w:r>
        <w:lastRenderedPageBreak/>
        <w:t xml:space="preserve">L'épaisseur de la coulisse est de : </w:t>
      </w:r>
      <w:r>
        <w:rPr>
          <w:rStyle w:val="optioncarChar"/>
        </w:rPr>
        <w:t xml:space="preserve">10 / 12 </w:t>
      </w:r>
      <w:r>
        <w:t>mm.</w:t>
      </w:r>
    </w:p>
    <w:p w14:paraId="38C6035F" w14:textId="77777777" w:rsidR="00772179" w:rsidRDefault="00000000">
      <w:pPr>
        <w:pStyle w:val="Author-eListParagraph"/>
        <w:numPr>
          <w:ilvl w:val="0"/>
          <w:numId w:val="818"/>
        </w:numPr>
      </w:pPr>
      <w:r>
        <w:t>Les cales de support, de réglage et d'espacement sont en matière synthétique.</w:t>
      </w:r>
    </w:p>
    <w:p w14:paraId="1F7C2C27" w14:textId="77777777" w:rsidR="00772179" w:rsidRDefault="00000000">
      <w:pPr>
        <w:pStyle w:val="Author-eListParagraph"/>
        <w:numPr>
          <w:ilvl w:val="0"/>
          <w:numId w:val="818"/>
        </w:numPr>
      </w:pPr>
      <w:r>
        <w:t xml:space="preserve">La couleur du </w:t>
      </w:r>
      <w:r>
        <w:rPr>
          <w:rStyle w:val="optioncarChar"/>
        </w:rPr>
        <w:t xml:space="preserve">mastic élastique </w:t>
      </w:r>
      <w:r>
        <w:t xml:space="preserve">(par défaut) </w:t>
      </w:r>
      <w:r>
        <w:rPr>
          <w:rStyle w:val="optioncarChar"/>
        </w:rPr>
        <w:t>/ profil d'étanchéité</w:t>
      </w:r>
      <w:r>
        <w:t xml:space="preserve"> est </w:t>
      </w:r>
      <w:r>
        <w:rPr>
          <w:rStyle w:val="optioncarChar"/>
        </w:rPr>
        <w:t xml:space="preserve">*** </w:t>
      </w:r>
    </w:p>
    <w:p w14:paraId="79B6A96F" w14:textId="77777777" w:rsidR="00772179" w:rsidRDefault="00000000">
      <w:pPr>
        <w:pStyle w:val="Author-eListParagraph"/>
        <w:numPr>
          <w:ilvl w:val="0"/>
          <w:numId w:val="818"/>
        </w:numPr>
      </w:pPr>
      <w:r>
        <w:t>Les mastics sont de type à peindre.</w:t>
      </w:r>
    </w:p>
    <w:p w14:paraId="6F8EFC49" w14:textId="77777777" w:rsidR="00772179" w:rsidRDefault="00000000">
      <w:r>
        <w:t>Vitrage à isolation acoustique améliorée : Le double vitrage à isolation acoustique améliorée satisfait aux normes [NBN S 23-002] , [NBN EN 1279-1] et à la [NIT 214]. Il se compose de deux (ou plusieurs) feuilles de verre d'épaisseur différente. Les deux vitres sont séparées par une coulisse remplie d'un gaz lourd absorbant.</w:t>
      </w:r>
    </w:p>
    <w:p w14:paraId="5B716B30" w14:textId="77777777" w:rsidR="00772179" w:rsidRDefault="00000000">
      <w:r>
        <w:t>Le vitrage se compose de :</w:t>
      </w:r>
    </w:p>
    <w:p w14:paraId="2929F538" w14:textId="77777777" w:rsidR="00772179" w:rsidRDefault="00000000">
      <w:r>
        <w:rPr>
          <w:rStyle w:val="optioncarChar"/>
        </w:rPr>
        <w:t xml:space="preserve">deux feuilles de verre clair </w:t>
      </w:r>
      <w:r>
        <w:t>(par défaut)</w:t>
      </w:r>
      <w:r>
        <w:rPr>
          <w:rStyle w:val="optioncarChar"/>
        </w:rPr>
        <w:t> / une feuille de verre clair et une vitre feuilletée / deux vitres feuilletées / une feuille de verre</w:t>
      </w:r>
    </w:p>
    <w:p w14:paraId="49B12495" w14:textId="77777777" w:rsidR="00772179" w:rsidRDefault="00000000">
      <w:r>
        <w:rPr>
          <w:b/>
        </w:rPr>
        <w:t>(soit par défaut)</w:t>
      </w:r>
      <w:r>
        <w:t xml:space="preserve"> : </w:t>
      </w:r>
      <w:r>
        <w:rPr>
          <w:rStyle w:val="soitChar"/>
          <w:u w:val="single"/>
        </w:rPr>
        <w:t>deux feuilles de verre clair</w:t>
      </w:r>
      <w:r>
        <w:br/>
      </w:r>
      <w:r>
        <w:rPr>
          <w:b/>
        </w:rPr>
        <w:t>(soit)</w:t>
      </w:r>
      <w:r>
        <w:t xml:space="preserve"> : </w:t>
      </w:r>
      <w:r>
        <w:rPr>
          <w:rStyle w:val="soitChar"/>
          <w:u w:val="single"/>
        </w:rPr>
        <w:t>une feuille de verre clair et une vitre feuilletée</w:t>
      </w:r>
      <w:r>
        <w:rPr>
          <w:rStyle w:val="soitChar"/>
        </w:rPr>
        <w:t xml:space="preserve"> selon la norme</w:t>
      </w:r>
      <w:r>
        <w:t>[NBN S 23-002]</w:t>
      </w:r>
      <w:r>
        <w:br/>
      </w:r>
      <w:r>
        <w:rPr>
          <w:b/>
        </w:rPr>
        <w:t>(soit) </w:t>
      </w:r>
      <w:r>
        <w:t>: </w:t>
      </w:r>
      <w:r>
        <w:rPr>
          <w:rStyle w:val="soitChar"/>
          <w:u w:val="single"/>
        </w:rPr>
        <w:t>deux vitres feuilletées</w:t>
      </w:r>
      <w:r>
        <w:rPr>
          <w:rStyle w:val="soitChar"/>
        </w:rPr>
        <w:t xml:space="preserve"> conformément à la norme</w:t>
      </w:r>
      <w:r>
        <w:t>[NBN S 23-002]</w:t>
      </w:r>
      <w:r>
        <w:br/>
      </w:r>
      <w:r>
        <w:rPr>
          <w:b/>
        </w:rPr>
        <w:t>(soit) </w:t>
      </w:r>
      <w:r>
        <w:t xml:space="preserve">: </w:t>
      </w:r>
      <w:r>
        <w:rPr>
          <w:rStyle w:val="soitChar"/>
          <w:u w:val="single"/>
        </w:rPr>
        <w:t>une feuille de verre </w:t>
      </w:r>
      <w:r>
        <w:rPr>
          <w:rStyle w:val="optioncarChar"/>
        </w:rPr>
        <w:t xml:space="preserve">*** </w:t>
      </w:r>
      <w:r>
        <w:rPr>
          <w:rStyle w:val="soitChar"/>
        </w:rPr>
        <w:t xml:space="preserve">à l'extérieur et une feuille de verre </w:t>
      </w:r>
      <w:r>
        <w:rPr>
          <w:rStyle w:val="optioncarChar"/>
        </w:rPr>
        <w:t xml:space="preserve">*** </w:t>
      </w:r>
      <w:r>
        <w:rPr>
          <w:rStyle w:val="soitChar"/>
        </w:rPr>
        <w:t>à l'intérieur.</w:t>
      </w:r>
    </w:p>
    <w:p w14:paraId="2BD54DA9" w14:textId="77777777" w:rsidR="00772179" w:rsidRDefault="00000000">
      <w:r>
        <w:rPr>
          <w:rStyle w:val="optioncarChar"/>
        </w:rPr>
        <w:t>L'épaisseur des vitres</w:t>
      </w:r>
      <w:r>
        <w:t xml:space="preserve"> (soit par défaut) </w:t>
      </w:r>
      <w:r>
        <w:rPr>
          <w:rStyle w:val="optioncarChar"/>
        </w:rPr>
        <w:t>/ Les prestations acoustiques</w:t>
      </w:r>
    </w:p>
    <w:p w14:paraId="31110498" w14:textId="77777777" w:rsidR="00772179" w:rsidRDefault="00000000">
      <w:r>
        <w:rPr>
          <w:b/>
          <w:shd w:val="clear" w:color="auto" w:fill="FFFFFF"/>
        </w:rPr>
        <w:t>(soit par défaut)</w:t>
      </w:r>
      <w:r>
        <w:rPr>
          <w:shd w:val="clear" w:color="auto" w:fill="FFFFFF"/>
        </w:rPr>
        <w:t xml:space="preserve"> : </w:t>
      </w:r>
      <w:r>
        <w:rPr>
          <w:rStyle w:val="soitChar"/>
          <w:shd w:val="clear" w:color="auto" w:fill="FFFFFF"/>
        </w:rPr>
        <w:t>l</w:t>
      </w:r>
      <w:r>
        <w:rPr>
          <w:rStyle w:val="soitChar"/>
          <w:u w:val="single"/>
          <w:shd w:val="clear" w:color="auto" w:fill="FFFFFF"/>
        </w:rPr>
        <w:t>'épaisseur des vitres </w:t>
      </w:r>
      <w:r>
        <w:rPr>
          <w:rStyle w:val="soitChar"/>
          <w:shd w:val="clear" w:color="auto" w:fill="FFFFFF"/>
        </w:rPr>
        <w:t>est de respectivement, ≥ </w:t>
      </w:r>
      <w:r>
        <w:rPr>
          <w:rStyle w:val="optioncarChar"/>
          <w:shd w:val="clear" w:color="auto" w:fill="FFFFFF"/>
        </w:rPr>
        <w:t>*** </w:t>
      </w:r>
      <w:r>
        <w:rPr>
          <w:rStyle w:val="soitChar"/>
          <w:shd w:val="clear" w:color="auto" w:fill="FFFFFF"/>
        </w:rPr>
        <w:t>et</w:t>
      </w:r>
      <w:r>
        <w:rPr>
          <w:shd w:val="clear" w:color="auto" w:fill="FFFFFF"/>
        </w:rPr>
        <w:t xml:space="preserve">  </w:t>
      </w:r>
      <w:r>
        <w:rPr>
          <w:rStyle w:val="optioncarChar"/>
          <w:shd w:val="clear" w:color="auto" w:fill="FFFFFF"/>
        </w:rPr>
        <w:t xml:space="preserve">***  </w:t>
      </w:r>
      <w:r>
        <w:rPr>
          <w:rStyle w:val="soitChar"/>
          <w:shd w:val="clear" w:color="auto" w:fill="FFFFFF"/>
        </w:rPr>
        <w:t>mm. Le vide d'air est de </w:t>
      </w:r>
      <w:r>
        <w:rPr>
          <w:rStyle w:val="optioncarChar"/>
          <w:shd w:val="clear" w:color="auto" w:fill="FFFFFF"/>
        </w:rPr>
        <w:t>*** </w:t>
      </w:r>
      <w:r>
        <w:rPr>
          <w:rStyle w:val="soitChar"/>
          <w:shd w:val="clear" w:color="auto" w:fill="FFFFFF"/>
        </w:rPr>
        <w:t>mm.</w:t>
      </w:r>
      <w:r>
        <w:br/>
      </w:r>
      <w:r>
        <w:rPr>
          <w:b/>
          <w:shd w:val="clear" w:color="auto" w:fill="FFFFFF"/>
        </w:rPr>
        <w:t>(soit)</w:t>
      </w:r>
      <w:r>
        <w:rPr>
          <w:shd w:val="clear" w:color="auto" w:fill="FFFFFF"/>
        </w:rPr>
        <w:t xml:space="preserve"> : </w:t>
      </w:r>
      <w:r>
        <w:rPr>
          <w:rStyle w:val="soitChar"/>
          <w:u w:val="single"/>
          <w:shd w:val="clear" w:color="auto" w:fill="FFFFFF"/>
        </w:rPr>
        <w:t>les prestations acoustiques</w:t>
      </w:r>
      <w:r>
        <w:rPr>
          <w:rStyle w:val="soitChar"/>
          <w:shd w:val="clear" w:color="auto" w:fill="FFFFFF"/>
        </w:rPr>
        <w:t xml:space="preserve"> sont les suivantes (sans mentionner l'épaisseur des vitres) : </w:t>
      </w:r>
      <w:r>
        <w:br/>
      </w:r>
      <w:r>
        <w:rPr>
          <w:rStyle w:val="soitChar"/>
          <w:shd w:val="clear" w:color="auto" w:fill="FFFFFF"/>
        </w:rPr>
        <w:t>L'indice d'affaiblissement acoustique (Rw) est ≥ </w:t>
      </w:r>
      <w:r>
        <w:rPr>
          <w:rStyle w:val="optioncarChar"/>
          <w:shd w:val="clear" w:color="auto" w:fill="FFFFFF"/>
        </w:rPr>
        <w:t>36 / *** </w:t>
      </w:r>
      <w:r>
        <w:rPr>
          <w:rStyle w:val="soitChar"/>
          <w:shd w:val="clear" w:color="auto" w:fill="FFFFFF"/>
        </w:rPr>
        <w:t>dB.</w:t>
      </w:r>
      <w:r>
        <w:br/>
      </w:r>
      <w:r>
        <w:rPr>
          <w:shd w:val="clear" w:color="auto" w:fill="FFFFFF"/>
        </w:rPr>
        <w:t>La classe d'isolation acoustique selon la norme [NBN S 01-400-1].</w:t>
      </w:r>
      <w:r>
        <w:t> Pour déterminer l'épaisseur des feuilles de verre, le choix est basé sur les normes [NBN S 23-002-2] et [NBN S 23-002-3]. Les cales de support, de distance et d'espacement sont en matière synthétique . La couleur du </w:t>
      </w:r>
      <w:r>
        <w:rPr>
          <w:rStyle w:val="optioncarChar"/>
        </w:rPr>
        <w:t>mastic élastique / profil d'étanchéité </w:t>
      </w:r>
      <w:r>
        <w:t>est</w:t>
      </w:r>
      <w:r>
        <w:rPr>
          <w:rStyle w:val="optioncarChar"/>
        </w:rPr>
        <w:t xml:space="preserve"> ***.</w:t>
      </w:r>
      <w:r>
        <w:t xml:space="preserve"> Les mastics peuvent être peints. Le double vitrage répond aux critères d'acceptabilité tels que définis dans l'article 02.42.1 Critères d'acceptabilité, pour la composition et les performances concernées.</w:t>
      </w:r>
    </w:p>
    <w:p w14:paraId="74E9F788" w14:textId="77777777" w:rsidR="00772179" w:rsidRDefault="00000000">
      <w:pPr>
        <w:pStyle w:val="pheading"/>
      </w:pPr>
      <w:r>
        <w:t>EXÉCUTION / MISE EN ŒUVRE</w:t>
      </w:r>
    </w:p>
    <w:p w14:paraId="4ECA2513" w14:textId="77777777" w:rsidR="00772179" w:rsidRDefault="00000000">
      <w:r>
        <w:t xml:space="preserve">Les vitrages sont posés selon la norme [NBN S 23-002] et la [NIT 221] et les prescriptions du fabricant (voir également la rubrique </w:t>
      </w:r>
      <w:hyperlink w:anchor="852" w:history="1">
        <w:r>
          <w:rPr>
            <w:color w:val="0000EE"/>
          </w:rPr>
          <w:t>42 Vitrages extérieurs et éléments de remplissage</w:t>
        </w:r>
      </w:hyperlink>
      <w:r>
        <w:t>). Le choix des mastics est réalisé conformément aux [STS 56.1] et à la [NIT 221]. Avant la pose des vitrages, les feuillures et les parcloses sont nettoyées ainsi que les bords du vitrage. Tout mastic utilisé doit être compatible chimiquement avec les matériaux adjacents dont les profilés ou les produits de traitement de la menuiserie extérieure. Lorsque le fabricant de mastics le préconise, un primer est préalablement appliqué.</w:t>
      </w:r>
    </w:p>
    <w:p w14:paraId="3BFD2FBB" w14:textId="77777777" w:rsidR="00772179" w:rsidRDefault="00000000">
      <w:r>
        <w:t>Conformément au cahier des charges, le vitrage est rendu étanche avec : </w:t>
      </w:r>
      <w:r>
        <w:rPr>
          <w:rStyle w:val="optioncarChar"/>
        </w:rPr>
        <w:t>un mastic de classe conforme aux [STS 56.1] et à la [NIT 221] sur un profil de remplissage / un profil d'étanchéité élastique conforme à la [NIT 221].</w:t>
      </w:r>
    </w:p>
    <w:p w14:paraId="7B1CED00" w14:textId="77777777" w:rsidR="00772179" w:rsidRDefault="00000000">
      <w:pPr>
        <w:pStyle w:val="pheading"/>
      </w:pPr>
      <w:r>
        <w:t>CONTRÔLES</w:t>
      </w:r>
    </w:p>
    <w:p w14:paraId="1FBD1190" w14:textId="77777777" w:rsidR="00772179" w:rsidRDefault="00000000">
      <w:r>
        <w:t>Les feuilles de verre ne sont ni ternes ni tachées, ne portent pas de traces durables de souillure. L'entrepreneur remet au maître d’ouvrage un certificat daté et signé par le producteur qui s'engage à garantir le vitrage pour une durée de 10 ans, à compter de la date de fabrication mentionnée, contre tout trouble provoqué par la condensation ou les dépôts de poussière. Un certificat attestant de la classe du mastic et/ou de la classe du profil d'étanchéité est soumis pour approbation à l'auteur de projet.</w:t>
      </w:r>
    </w:p>
    <w:p w14:paraId="33577ED4" w14:textId="77777777" w:rsidR="00772179" w:rsidRDefault="00000000">
      <w:r>
        <w:t>Pour vitrage à isolation acoustique améliorée : </w:t>
      </w:r>
      <w:r>
        <w:rPr>
          <w:shd w:val="clear" w:color="auto" w:fill="FFFFFF"/>
        </w:rPr>
        <w:t>[NBN EN ISO 16283-1, Acoustique - Mesurage in situ de l'isolation acoustique des bâtiments et des éléments de construction - Partie 1: Isolation des bruits aériens (ISO 16283-1:2014)]</w:t>
      </w:r>
    </w:p>
    <w:p w14:paraId="3EA969BA" w14:textId="77777777" w:rsidR="00772179" w:rsidRDefault="00000000">
      <w:pPr>
        <w:pStyle w:val="pheading"/>
      </w:pPr>
      <w:r>
        <w:t>DOCUMENTS DE RÉFÉRENCE</w:t>
      </w:r>
    </w:p>
    <w:p w14:paraId="0449CED4" w14:textId="77777777" w:rsidR="00772179" w:rsidRDefault="00000000">
      <w:pPr>
        <w:pStyle w:val="pheading"/>
      </w:pPr>
      <w:r>
        <w:t>- Matériau</w:t>
      </w:r>
    </w:p>
    <w:p w14:paraId="1E904EB8" w14:textId="77777777" w:rsidR="00772179" w:rsidRDefault="00000000">
      <w:r>
        <w:lastRenderedPageBreak/>
        <w:t>[NBN S 01-400-1, Critères acoustiques pour les immeubles d'habitation]</w:t>
      </w:r>
    </w:p>
    <w:p w14:paraId="2128A90F" w14:textId="77777777" w:rsidR="00772179" w:rsidRDefault="00000000">
      <w:r>
        <w:t>[NBN EN 1279-1, Verre dans la construction - Vitrage isolant - Partie 1 : Généralités, description du système, règles de substitution, tolérances et qualité visuelle]</w:t>
      </w:r>
    </w:p>
    <w:p w14:paraId="2FEA717A" w14:textId="77777777" w:rsidR="00772179" w:rsidRDefault="00000000">
      <w:pPr>
        <w:pStyle w:val="pheading"/>
      </w:pPr>
      <w:r>
        <w:t>AIDE</w:t>
      </w:r>
    </w:p>
    <w:p w14:paraId="501024AB" w14:textId="77777777" w:rsidR="00772179" w:rsidRDefault="00000000">
      <w:r>
        <w:rPr>
          <w:i/>
          <w:u w:val="single"/>
        </w:rPr>
        <w:t>Note à l’attention de l’auteur de projet</w:t>
      </w:r>
      <w:r>
        <w:br/>
      </w:r>
      <w:r>
        <w:rPr>
          <w:shd w:val="clear" w:color="auto" w:fill="FFFFFF"/>
        </w:rPr>
        <w:t xml:space="preserve">Pour plus d'informations, consultez "Isolation acoustique des fenêtres. Application de la norme [NBN EN ISO 717-1] et [Buildwise Article Revue (1998-03-26)]. </w:t>
      </w:r>
    </w:p>
    <w:p w14:paraId="165B9BAD" w14:textId="77777777" w:rsidR="00772179" w:rsidRDefault="00772179"/>
    <w:p w14:paraId="536FF05F" w14:textId="77777777" w:rsidR="00772179" w:rsidRDefault="00000000">
      <w:pPr>
        <w:pStyle w:val="Author-eSectionHeading5Numberless"/>
      </w:pPr>
      <w:bookmarkStart w:id="575" w:name="_Toc220490277"/>
      <w:r>
        <w:t>42.21.1 Vitrages doubles - Air CCTB 01.04</w:t>
      </w:r>
      <w:bookmarkEnd w:id="575"/>
    </w:p>
    <w:p w14:paraId="08655304" w14:textId="77777777" w:rsidR="00772179" w:rsidRDefault="00000000">
      <w:pPr>
        <w:pStyle w:val="Author-eSectionHeading6Numberless"/>
      </w:pPr>
      <w:bookmarkStart w:id="576" w:name="1372"/>
      <w:bookmarkStart w:id="577" w:name="_Toc220490278"/>
      <w:bookmarkEnd w:id="576"/>
      <w:r>
        <w:t>42.21.1a Vitrages doubles - Air CCTB 01.10</w:t>
      </w:r>
      <w:bookmarkEnd w:id="577"/>
    </w:p>
    <w:p w14:paraId="322E8683" w14:textId="77777777" w:rsidR="00772179" w:rsidRDefault="00000000">
      <w:pPr>
        <w:pStyle w:val="pheading"/>
      </w:pPr>
      <w:bookmarkStart w:id="578" w:name="1361"/>
      <w:bookmarkEnd w:id="578"/>
      <w:r>
        <w:t>MATÉRIAUX</w:t>
      </w:r>
    </w:p>
    <w:p w14:paraId="3DEB230F" w14:textId="77777777" w:rsidR="00772179" w:rsidRDefault="00000000">
      <w:pPr>
        <w:pStyle w:val="pheading"/>
      </w:pPr>
      <w:r>
        <w:t>- Caractéristiques générales</w:t>
      </w:r>
    </w:p>
    <w:p w14:paraId="00ACDDA1" w14:textId="77777777" w:rsidR="00772179" w:rsidRDefault="00000000">
      <w:r>
        <w:t>Le double vitrage isolant satisfait aux normes [NBN S 23-002] et [NBN EN 1279-1] et se compose de deux feuilles de verre float clair, séparées par un vide rempli d'air ou d'un gaz d'isolation thermique. </w:t>
      </w:r>
    </w:p>
    <w:p w14:paraId="02BF218A" w14:textId="77777777" w:rsidR="00772179" w:rsidRDefault="00000000">
      <w:pPr>
        <w:pStyle w:val="pheading"/>
      </w:pPr>
      <w:r>
        <w:t>- Finitions</w:t>
      </w:r>
    </w:p>
    <w:p w14:paraId="79765983" w14:textId="77777777" w:rsidR="00772179" w:rsidRDefault="00000000">
      <w:pPr>
        <w:pStyle w:val="Author-eListParagraph"/>
        <w:numPr>
          <w:ilvl w:val="0"/>
          <w:numId w:val="819"/>
        </w:numPr>
      </w:pPr>
      <w:r>
        <w:t>L'épaisseur des feuilles de verre est déterminée conformément aux normes [NBN S 23-002-2] et [NBN S 23-002-3]</w:t>
      </w:r>
    </w:p>
    <w:p w14:paraId="4C54ECA3" w14:textId="77777777" w:rsidR="00772179" w:rsidRDefault="00000000">
      <w:pPr>
        <w:pStyle w:val="Author-eListParagraph"/>
        <w:numPr>
          <w:ilvl w:val="0"/>
          <w:numId w:val="819"/>
        </w:numPr>
      </w:pPr>
      <w:r>
        <w:t xml:space="preserve">Les cales de support, de distance et d'espacement sont </w:t>
      </w:r>
      <w:r>
        <w:rPr>
          <w:rStyle w:val="optioncarChar"/>
        </w:rPr>
        <w:t>en matière synthétique / ***</w:t>
      </w:r>
      <w:r>
        <w:t>.</w:t>
      </w:r>
    </w:p>
    <w:p w14:paraId="7107060C" w14:textId="77777777" w:rsidR="00772179" w:rsidRDefault="00000000">
      <w:pPr>
        <w:pStyle w:val="Author-eListParagraph"/>
        <w:numPr>
          <w:ilvl w:val="0"/>
          <w:numId w:val="819"/>
        </w:numPr>
      </w:pPr>
      <w:r>
        <w:t xml:space="preserve">L'étanchéité est réalisée avec </w:t>
      </w:r>
      <w:r>
        <w:rPr>
          <w:rStyle w:val="optioncarChar"/>
        </w:rPr>
        <w:t>un mastic / un profil d'étanchéité</w:t>
      </w:r>
      <w:r>
        <w:t xml:space="preserve">, couleur </w:t>
      </w:r>
      <w:r>
        <w:rPr>
          <w:rStyle w:val="optioncarChar"/>
        </w:rPr>
        <w:t xml:space="preserve">*** </w:t>
      </w:r>
    </w:p>
    <w:p w14:paraId="357FFC96" w14:textId="77777777" w:rsidR="00772179" w:rsidRDefault="00000000">
      <w:pPr>
        <w:pStyle w:val="Author-eListParagraph"/>
        <w:numPr>
          <w:ilvl w:val="0"/>
          <w:numId w:val="819"/>
        </w:numPr>
      </w:pPr>
      <w:r>
        <w:t>Les mastics sont de type à peindre.</w:t>
      </w:r>
    </w:p>
    <w:p w14:paraId="0A09D4A5" w14:textId="77777777" w:rsidR="00772179" w:rsidRDefault="00000000">
      <w:pPr>
        <w:pStyle w:val="pheading"/>
      </w:pPr>
      <w:r>
        <w:t>- Prescriptions complémentaires</w:t>
      </w:r>
    </w:p>
    <w:p w14:paraId="362F82BA" w14:textId="77777777" w:rsidR="00772179" w:rsidRDefault="00000000">
      <w:r>
        <w:t>Le double vitrage satisfait aux critères d'acceptabilité du produit tels que définis dans l'article 02.42.1 Critères d'acceptabilité pour la composition et les performances concernées.</w:t>
      </w:r>
    </w:p>
    <w:p w14:paraId="57B6E9AB" w14:textId="77777777" w:rsidR="00772179" w:rsidRDefault="00000000">
      <w:pPr>
        <w:pStyle w:val="pheading"/>
      </w:pPr>
      <w:r>
        <w:t>EXÉCUTION / MISE EN ŒUVRE</w:t>
      </w:r>
    </w:p>
    <w:p w14:paraId="1F2F25A2" w14:textId="77777777" w:rsidR="00772179" w:rsidRDefault="00000000">
      <w:pPr>
        <w:pStyle w:val="pheading"/>
      </w:pPr>
      <w:r>
        <w:t>- Prescriptions générales</w:t>
      </w:r>
    </w:p>
    <w:p w14:paraId="6EC36987" w14:textId="77777777" w:rsidR="00772179" w:rsidRDefault="00000000">
      <w:r>
        <w:t>La pose est effectuée conformément à la [NIT 221] Le vitrage est rendu étanche avec </w:t>
      </w:r>
      <w:r>
        <w:rPr>
          <w:rStyle w:val="optioncarChar"/>
        </w:rPr>
        <w:t>un mastic de classe conforme aux [STS 56.1] et à la [NIT 221] sur un profil de remplissage / un profil d'étanchéité conforme à la [NIT 221].</w:t>
      </w:r>
    </w:p>
    <w:p w14:paraId="59B44A4A" w14:textId="77777777" w:rsidR="00772179" w:rsidRDefault="00000000">
      <w:pPr>
        <w:pStyle w:val="pheading"/>
      </w:pPr>
      <w:r>
        <w:t>MESURAGE</w:t>
      </w:r>
    </w:p>
    <w:p w14:paraId="7492E899" w14:textId="77777777" w:rsidR="00772179" w:rsidRDefault="00000000">
      <w:pPr>
        <w:pStyle w:val="pheading"/>
      </w:pPr>
      <w:r>
        <w:t>- unité de mesure:</w:t>
      </w:r>
    </w:p>
    <w:p w14:paraId="42F22F1E" w14:textId="77777777" w:rsidR="00772179" w:rsidRDefault="00000000">
      <w:r>
        <w:rPr>
          <w:color w:val="FF0000"/>
        </w:rPr>
        <w:t>-</w:t>
      </w:r>
      <w:r>
        <w:t> (par défaut)</w:t>
      </w:r>
      <w:r>
        <w:rPr>
          <w:rStyle w:val="optioncarChar"/>
        </w:rPr>
        <w:t> / m² </w:t>
      </w:r>
    </w:p>
    <w:p w14:paraId="60065D59" w14:textId="77777777" w:rsidR="00772179" w:rsidRDefault="00000000">
      <w:r>
        <w:rPr>
          <w:b/>
        </w:rPr>
        <w:t>(soit par défaut)</w:t>
      </w:r>
    </w:p>
    <w:p w14:paraId="6F381C29" w14:textId="77777777" w:rsidR="00772179" w:rsidRDefault="00000000">
      <w:r>
        <w:rPr>
          <w:rStyle w:val="soitChar"/>
        </w:rPr>
        <w:t>1. -</w:t>
      </w:r>
    </w:p>
    <w:p w14:paraId="569D4243" w14:textId="77777777" w:rsidR="00772179" w:rsidRDefault="00000000">
      <w:r>
        <w:rPr>
          <w:b/>
        </w:rPr>
        <w:t>(soit)</w:t>
      </w:r>
    </w:p>
    <w:p w14:paraId="6A03D76F" w14:textId="77777777" w:rsidR="00772179" w:rsidRDefault="00000000">
      <w:r>
        <w:rPr>
          <w:rStyle w:val="soitChar"/>
        </w:rPr>
        <w:t>2. m²</w:t>
      </w:r>
    </w:p>
    <w:p w14:paraId="306CA806" w14:textId="77777777" w:rsidR="00772179" w:rsidRDefault="00000000">
      <w:pPr>
        <w:pStyle w:val="pheading"/>
      </w:pPr>
      <w:r>
        <w:t>- code de mesurage:</w:t>
      </w:r>
    </w:p>
    <w:p w14:paraId="5376BAD5" w14:textId="77777777" w:rsidR="00772179" w:rsidRDefault="00000000">
      <w:r>
        <w:rPr>
          <w:rStyle w:val="optioncarChar"/>
        </w:rPr>
        <w:t>Compris </w:t>
      </w:r>
      <w:r>
        <w:t>(par défaut)</w:t>
      </w:r>
      <w:r>
        <w:rPr>
          <w:rStyle w:val="optioncarChar"/>
        </w:rPr>
        <w:t> / Surfaces nettes vitrées et réellement placées</w:t>
      </w:r>
    </w:p>
    <w:p w14:paraId="0CEA5041" w14:textId="77777777" w:rsidR="00772179" w:rsidRDefault="00000000">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 xml:space="preserve">Exceptionnellement et uniquement moyennant mention explicite dans le cahier spécial des charges et le métré récapitulatif, certains vitrages extérieurs spéciaux sont repris dans un poste </w:t>
      </w:r>
      <w:r>
        <w:rPr>
          <w:rStyle w:val="soitChar"/>
        </w:rPr>
        <w:lastRenderedPageBreak/>
        <w:t>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14157D0C" w14:textId="77777777" w:rsidR="00772179" w:rsidRDefault="00000000">
      <w:pPr>
        <w:pStyle w:val="pheading"/>
      </w:pPr>
      <w:r>
        <w:t>- nature du marché:</w:t>
      </w:r>
    </w:p>
    <w:p w14:paraId="176AE804" w14:textId="77777777" w:rsidR="00772179" w:rsidRDefault="00000000">
      <w:r>
        <w:rPr>
          <w:rStyle w:val="optioncarChar"/>
        </w:rPr>
        <w:t>PM </w:t>
      </w:r>
      <w:r>
        <w:t>(par défaut)</w:t>
      </w:r>
      <w:r>
        <w:rPr>
          <w:rStyle w:val="optioncarChar"/>
        </w:rPr>
        <w:t> / QF</w:t>
      </w:r>
    </w:p>
    <w:p w14:paraId="7B538CD5" w14:textId="77777777" w:rsidR="00772179" w:rsidRDefault="00000000">
      <w:r>
        <w:rPr>
          <w:b/>
        </w:rPr>
        <w:t>(soit par défaut)</w:t>
      </w:r>
    </w:p>
    <w:p w14:paraId="4F4ECE19" w14:textId="77777777" w:rsidR="00772179" w:rsidRDefault="00000000">
      <w:r>
        <w:rPr>
          <w:rStyle w:val="soitChar"/>
        </w:rPr>
        <w:t>1. PM</w:t>
      </w:r>
    </w:p>
    <w:p w14:paraId="1D4585B4" w14:textId="77777777" w:rsidR="00772179" w:rsidRDefault="00000000">
      <w:r>
        <w:rPr>
          <w:b/>
        </w:rPr>
        <w:t>(soit)</w:t>
      </w:r>
    </w:p>
    <w:p w14:paraId="0F26FE18" w14:textId="77777777" w:rsidR="00772179" w:rsidRDefault="00000000">
      <w:r>
        <w:rPr>
          <w:rStyle w:val="soitChar"/>
        </w:rPr>
        <w:t>2. QF</w:t>
      </w:r>
    </w:p>
    <w:p w14:paraId="65EE9EEE" w14:textId="77777777" w:rsidR="00772179" w:rsidRDefault="00000000">
      <w:pPr>
        <w:pStyle w:val="Author-eSectionHeading4Numberless"/>
      </w:pPr>
      <w:bookmarkStart w:id="579" w:name="_Toc220490279"/>
      <w:r>
        <w:t>42.22 Vitrages multiples - Gaz CCTB 01.11</w:t>
      </w:r>
      <w:bookmarkEnd w:id="579"/>
    </w:p>
    <w:p w14:paraId="0E5403DB" w14:textId="77777777" w:rsidR="00772179" w:rsidRDefault="00000000">
      <w:pPr>
        <w:pStyle w:val="pheading"/>
      </w:pPr>
      <w:r>
        <w:t>MATÉRIAUX</w:t>
      </w:r>
    </w:p>
    <w:p w14:paraId="4824918B" w14:textId="77777777" w:rsidR="00772179" w:rsidRDefault="00000000">
      <w:r>
        <w:t>Composition :</w:t>
      </w:r>
    </w:p>
    <w:p w14:paraId="3DF0690C" w14:textId="77777777" w:rsidR="00772179" w:rsidRDefault="00000000">
      <w:pPr>
        <w:pStyle w:val="Author-eListParagraph"/>
        <w:numPr>
          <w:ilvl w:val="0"/>
          <w:numId w:val="820"/>
        </w:numPr>
      </w:pPr>
      <w:r>
        <w:t>Le (double) vitrage isolant ordinaire répond aux normes [NBN S 23-002] et [NBN EN 1279-1]. Il se compose de deux feuilles de verre, dont une des deux est éventuellement revêtue d'une couche de métal.</w:t>
      </w:r>
    </w:p>
    <w:p w14:paraId="4AFACC3F" w14:textId="77777777" w:rsidR="00772179" w:rsidRDefault="00000000">
      <w:pPr>
        <w:pStyle w:val="Author-eListParagraph"/>
        <w:numPr>
          <w:ilvl w:val="0"/>
          <w:numId w:val="820"/>
        </w:numPr>
      </w:pPr>
      <w:r>
        <w:t>Les vitres sont séparées par un vide exempt d’humidité rempli d'air déshydraté ou de gaz à isolation thermique. </w:t>
      </w:r>
    </w:p>
    <w:p w14:paraId="127A7364" w14:textId="77777777" w:rsidR="00772179" w:rsidRDefault="00000000">
      <w:pPr>
        <w:pStyle w:val="Author-eListParagraph"/>
        <w:numPr>
          <w:ilvl w:val="0"/>
          <w:numId w:val="820"/>
        </w:numPr>
      </w:pPr>
      <w:r>
        <w:t>L'intérieur des feuilles de verre est impeccablement propre, à chaque exposition à la lumière. En fonction des performances demandées, chaque feuille de verre est de type différent et/ou se composer de plusieurs couches.</w:t>
      </w:r>
    </w:p>
    <w:p w14:paraId="7EA98962" w14:textId="77777777" w:rsidR="00772179" w:rsidRDefault="00000000">
      <w:pPr>
        <w:pStyle w:val="Author-eListParagraph"/>
        <w:numPr>
          <w:ilvl w:val="0"/>
          <w:numId w:val="820"/>
        </w:numPr>
      </w:pPr>
      <w:r>
        <w:t>L'épaisseur des vitres est notamment déterminée en fonction de la superficie et des pressions dynamiques de base selon les normes [NBN S 23-002] et [NBN S 23-002-3]. L'épaisseur de feuilles de verre est au moins indiquée sur l'étiquette. L'ensemble est assemblé à l'aide d'espaceurs fabriqués dans un matériau métallique </w:t>
      </w:r>
      <w:r>
        <w:rPr>
          <w:rStyle w:val="optioncarChar"/>
        </w:rPr>
        <w:t>en matière organique / ***</w:t>
      </w:r>
      <w:r>
        <w:t> .</w:t>
      </w:r>
    </w:p>
    <w:p w14:paraId="49086E6F" w14:textId="77777777" w:rsidR="00772179" w:rsidRDefault="00000000">
      <w:pPr>
        <w:pStyle w:val="Author-eListParagraph"/>
        <w:numPr>
          <w:ilvl w:val="0"/>
          <w:numId w:val="820"/>
        </w:numPr>
      </w:pPr>
      <w:r>
        <w:t>Les espaceurs contiennent un produit absorbant l'humidité.</w:t>
      </w:r>
    </w:p>
    <w:p w14:paraId="63817FA6" w14:textId="77777777" w:rsidR="00772179" w:rsidRDefault="00000000">
      <w:pPr>
        <w:pStyle w:val="Author-eListParagraph"/>
        <w:numPr>
          <w:ilvl w:val="0"/>
          <w:numId w:val="820"/>
        </w:numPr>
      </w:pPr>
      <w:r>
        <w:t>Les assemblages d'angle sont hermétiquement fermés à l'aide de butyle projeté sous pression.</w:t>
      </w:r>
    </w:p>
    <w:p w14:paraId="7A0AEFA6" w14:textId="77777777" w:rsidR="00772179" w:rsidRDefault="00000000">
      <w:pPr>
        <w:pStyle w:val="Author-eListParagraph"/>
        <w:numPr>
          <w:ilvl w:val="0"/>
          <w:numId w:val="820"/>
        </w:numPr>
      </w:pPr>
      <w:r>
        <w:t>Le vitrage satisfait aux critères d'acceptabilité du produit tels que définis dans l'article 02.42.1 Critères d'acceptabilité, pour la composition et les performances concernées.</w:t>
      </w:r>
    </w:p>
    <w:p w14:paraId="1098A62C" w14:textId="77777777" w:rsidR="00772179" w:rsidRDefault="00000000">
      <w:pPr>
        <w:pStyle w:val="Author-eListParagraph"/>
        <w:numPr>
          <w:ilvl w:val="0"/>
          <w:numId w:val="820"/>
        </w:numPr>
      </w:pPr>
      <w:r>
        <w:t>Vitrage à isolation thermique améliorée  Le vitrage à isolation thermique améliorée répond aux normes [NBN S 23-002] , [NBN EN 1279-1] et à la [NIT 214]. Il se compose de deux feuilles de verre clair, séparées par un vide rempli de gaz à isolation thermique. </w:t>
      </w:r>
    </w:p>
    <w:p w14:paraId="4B2BAAFE" w14:textId="77777777" w:rsidR="00772179" w:rsidRDefault="00000000">
      <w:r>
        <w:t>Spécifications :</w:t>
      </w:r>
    </w:p>
    <w:p w14:paraId="654BB746" w14:textId="77777777" w:rsidR="00772179" w:rsidRDefault="00000000">
      <w:pPr>
        <w:pStyle w:val="Author-eListParagraph"/>
        <w:numPr>
          <w:ilvl w:val="0"/>
          <w:numId w:val="821"/>
        </w:numPr>
      </w:pPr>
      <w:r>
        <w:t>Une des feuilles de verre est revêtue, du côté du vide, d'une couche de métal dont l'émissivité est ≤ </w:t>
      </w:r>
      <w:r>
        <w:rPr>
          <w:rStyle w:val="optioncarChar"/>
        </w:rPr>
        <w:t>0,09 / 0,05 / ***.</w:t>
      </w:r>
    </w:p>
    <w:p w14:paraId="24C2F2F0" w14:textId="77777777" w:rsidR="00772179" w:rsidRDefault="00000000">
      <w:pPr>
        <w:pStyle w:val="Author-eListParagraph"/>
        <w:numPr>
          <w:ilvl w:val="0"/>
          <w:numId w:val="821"/>
        </w:numPr>
      </w:pPr>
      <w:r>
        <w:t>L'épaisseur des feuilles de verre est déterminée conformément aux normes [NBN S 23-002-2] et [NBN S 23-002-3]. Par étage, l'épaisseur totale du vitrage isolant est identique.</w:t>
      </w:r>
    </w:p>
    <w:p w14:paraId="65EEBA5A" w14:textId="77777777" w:rsidR="00772179" w:rsidRDefault="00000000">
      <w:pPr>
        <w:pStyle w:val="Author-eListParagraph"/>
        <w:numPr>
          <w:ilvl w:val="0"/>
          <w:numId w:val="821"/>
        </w:numPr>
      </w:pPr>
      <w:r>
        <w:t>L'épaisseur de la coulisse est de : </w:t>
      </w:r>
      <w:r>
        <w:rPr>
          <w:rStyle w:val="optioncarChar"/>
        </w:rPr>
        <w:t>10 / 12 / *** </w:t>
      </w:r>
      <w:r>
        <w:t>mm.</w:t>
      </w:r>
    </w:p>
    <w:p w14:paraId="126FEE62" w14:textId="77777777" w:rsidR="00772179" w:rsidRDefault="00000000">
      <w:pPr>
        <w:pStyle w:val="Author-eListParagraph"/>
        <w:numPr>
          <w:ilvl w:val="0"/>
          <w:numId w:val="821"/>
        </w:numPr>
      </w:pPr>
      <w:r>
        <w:t>Les cales de support, de réglage et d'espacement sont en matière synthétique.</w:t>
      </w:r>
    </w:p>
    <w:p w14:paraId="6B18D75A" w14:textId="77777777" w:rsidR="00772179" w:rsidRDefault="00000000">
      <w:pPr>
        <w:pStyle w:val="Author-eListParagraph"/>
        <w:numPr>
          <w:ilvl w:val="0"/>
          <w:numId w:val="821"/>
        </w:numPr>
      </w:pPr>
      <w:r>
        <w:t>La couleur du </w:t>
      </w:r>
      <w:r>
        <w:rPr>
          <w:rStyle w:val="optioncarChar"/>
        </w:rPr>
        <w:t>mastic élastique </w:t>
      </w:r>
      <w:r>
        <w:t>(par défaut) </w:t>
      </w:r>
      <w:r>
        <w:rPr>
          <w:rStyle w:val="optioncarChar"/>
        </w:rPr>
        <w:t>/ profil d'étanchéité</w:t>
      </w:r>
      <w:r>
        <w:t> est </w:t>
      </w:r>
      <w:r>
        <w:rPr>
          <w:rStyle w:val="optioncarChar"/>
        </w:rPr>
        <w:t>***.</w:t>
      </w:r>
    </w:p>
    <w:p w14:paraId="330A88EA" w14:textId="77777777" w:rsidR="00772179" w:rsidRDefault="00000000">
      <w:pPr>
        <w:pStyle w:val="Author-eListParagraph"/>
        <w:numPr>
          <w:ilvl w:val="0"/>
          <w:numId w:val="821"/>
        </w:numPr>
      </w:pPr>
      <w:r>
        <w:t>Les mastics sont de type à peindre.</w:t>
      </w:r>
    </w:p>
    <w:p w14:paraId="36333E2B" w14:textId="77777777" w:rsidR="00772179" w:rsidRDefault="00000000">
      <w:r>
        <w:t>Vitrage à isolation acoustique améliorée : Le double vitrage à isolation acoustique améliorée satisfait aux normes [NBN S 23-002] , [NBN EN 1279-1] et à la [NIT 214]. Il se compose de deux (ou plusieurs) feuilles de verre d'épaisseur différente. Les deux vitres sont séparées par une coulisse remplie d'un gaz lourd absorbant.</w:t>
      </w:r>
    </w:p>
    <w:p w14:paraId="66E4C432" w14:textId="77777777" w:rsidR="00772179" w:rsidRDefault="00000000">
      <w:r>
        <w:t>Le vitrage se compose de : </w:t>
      </w:r>
      <w:r>
        <w:rPr>
          <w:rStyle w:val="optioncarChar"/>
        </w:rPr>
        <w:t>deux feuilles de verre clair </w:t>
      </w:r>
      <w:r>
        <w:t>(par défaut)</w:t>
      </w:r>
      <w:r>
        <w:rPr>
          <w:rStyle w:val="optioncarChar"/>
        </w:rPr>
        <w:t> / une feuille de verre clair et une vitre feuilletée / deux vitres feuilletées / une feuille de verre</w:t>
      </w:r>
    </w:p>
    <w:p w14:paraId="7147A46D" w14:textId="77777777" w:rsidR="00772179" w:rsidRDefault="00000000">
      <w:r>
        <w:rPr>
          <w:b/>
        </w:rPr>
        <w:lastRenderedPageBreak/>
        <w:t>(soit par défaut)</w:t>
      </w:r>
      <w:r>
        <w:t> : </w:t>
      </w:r>
      <w:r>
        <w:rPr>
          <w:rStyle w:val="soitChar"/>
          <w:u w:val="single"/>
        </w:rPr>
        <w:t>deux feuilles de verre clair</w:t>
      </w:r>
      <w:r>
        <w:br/>
      </w:r>
      <w:r>
        <w:rPr>
          <w:b/>
        </w:rPr>
        <w:t>(soit)</w:t>
      </w:r>
      <w:r>
        <w:t> : </w:t>
      </w:r>
      <w:r>
        <w:rPr>
          <w:rStyle w:val="soitChar"/>
          <w:u w:val="single"/>
        </w:rPr>
        <w:t>une feuille de verre clair et une vitre feuilletée</w:t>
      </w:r>
      <w:r>
        <w:rPr>
          <w:rStyle w:val="soitChar"/>
        </w:rPr>
        <w:t> selon la norme</w:t>
      </w:r>
      <w:r>
        <w:t> [NBN S 23-002]</w:t>
      </w:r>
      <w:r>
        <w:br/>
      </w:r>
      <w:r>
        <w:rPr>
          <w:b/>
        </w:rPr>
        <w:t>(soit) </w:t>
      </w:r>
      <w:r>
        <w:t>: </w:t>
      </w:r>
      <w:r>
        <w:rPr>
          <w:rStyle w:val="soitChar"/>
          <w:u w:val="single"/>
        </w:rPr>
        <w:t>deux vitres feuilletées</w:t>
      </w:r>
      <w:r>
        <w:rPr>
          <w:rStyle w:val="soitChar"/>
        </w:rPr>
        <w:t> conformément à la norme</w:t>
      </w:r>
      <w:r>
        <w:t> [NBN S 23-002]</w:t>
      </w:r>
      <w:r>
        <w:br/>
      </w:r>
      <w:r>
        <w:rPr>
          <w:b/>
        </w:rPr>
        <w:t>(soit) </w:t>
      </w:r>
      <w:r>
        <w:t>: </w:t>
      </w:r>
      <w:r>
        <w:rPr>
          <w:rStyle w:val="soitChar"/>
          <w:u w:val="single"/>
        </w:rPr>
        <w:t>une feuille de verre</w:t>
      </w:r>
      <w:r>
        <w:rPr>
          <w:rStyle w:val="soitChar"/>
        </w:rPr>
        <w:t> </w:t>
      </w:r>
      <w:r>
        <w:rPr>
          <w:rStyle w:val="optioncarChar"/>
        </w:rPr>
        <w:t>*** </w:t>
      </w:r>
      <w:r>
        <w:t>à l'extérieur et une feuille de verre </w:t>
      </w:r>
      <w:r>
        <w:rPr>
          <w:rStyle w:val="optioncarChar"/>
        </w:rPr>
        <w:t>*** </w:t>
      </w:r>
      <w:r>
        <w:t>à l'intérieur. Spécifications</w:t>
      </w:r>
    </w:p>
    <w:p w14:paraId="647BE9DF" w14:textId="77777777" w:rsidR="00772179" w:rsidRDefault="00000000">
      <w:r>
        <w:rPr>
          <w:b/>
        </w:rPr>
        <w:t>Choix opéré</w:t>
      </w:r>
      <w:r>
        <w:t> : </w:t>
      </w:r>
    </w:p>
    <w:p w14:paraId="00C80F05" w14:textId="77777777" w:rsidR="00772179" w:rsidRDefault="00000000">
      <w:r>
        <w:rPr>
          <w:b/>
          <w:shd w:val="clear" w:color="auto" w:fill="FFFFFF"/>
        </w:rPr>
        <w:t>(soit)</w:t>
      </w:r>
      <w:r>
        <w:rPr>
          <w:shd w:val="clear" w:color="auto" w:fill="FFFFFF"/>
        </w:rPr>
        <w:t xml:space="preserve"> : </w:t>
      </w:r>
      <w:r>
        <w:rPr>
          <w:rStyle w:val="soitChar"/>
          <w:shd w:val="clear" w:color="auto" w:fill="FFFFFF"/>
        </w:rPr>
        <w:t>l'épaisseur des vitres est de respectivement, ≥</w:t>
      </w:r>
      <w:r>
        <w:rPr>
          <w:shd w:val="clear" w:color="auto" w:fill="FFFFFF"/>
        </w:rPr>
        <w:t> </w:t>
      </w:r>
      <w:r>
        <w:rPr>
          <w:rStyle w:val="optioncarChar"/>
          <w:shd w:val="clear" w:color="auto" w:fill="FFFFFF"/>
        </w:rPr>
        <w:t>***</w:t>
      </w:r>
      <w:r>
        <w:rPr>
          <w:shd w:val="clear" w:color="auto" w:fill="FFFFFF"/>
        </w:rPr>
        <w:t> et  </w:t>
      </w:r>
      <w:r>
        <w:rPr>
          <w:rStyle w:val="optioncarChar"/>
          <w:shd w:val="clear" w:color="auto" w:fill="FFFFFF"/>
        </w:rPr>
        <w:t>***  </w:t>
      </w:r>
      <w:r>
        <w:rPr>
          <w:shd w:val="clear" w:color="auto" w:fill="FFFFFF"/>
        </w:rPr>
        <w:t xml:space="preserve">mm. </w:t>
      </w:r>
      <w:r>
        <w:rPr>
          <w:rStyle w:val="soitChar"/>
          <w:shd w:val="clear" w:color="auto" w:fill="FFFFFF"/>
        </w:rPr>
        <w:t>Le vide d'air est de</w:t>
      </w:r>
      <w:r>
        <w:rPr>
          <w:shd w:val="clear" w:color="auto" w:fill="FFFFFF"/>
        </w:rPr>
        <w:t> </w:t>
      </w:r>
      <w:r>
        <w:rPr>
          <w:rStyle w:val="optioncarChar"/>
          <w:shd w:val="clear" w:color="auto" w:fill="FFFFFF"/>
        </w:rPr>
        <w:t>***</w:t>
      </w:r>
      <w:r>
        <w:rPr>
          <w:shd w:val="clear" w:color="auto" w:fill="FFFFFF"/>
        </w:rPr>
        <w:t> mm.</w:t>
      </w:r>
      <w:r>
        <w:br/>
      </w:r>
      <w:r>
        <w:rPr>
          <w:b/>
          <w:shd w:val="clear" w:color="auto" w:fill="FFFFFF"/>
        </w:rPr>
        <w:t>(soit)</w:t>
      </w:r>
      <w:r>
        <w:rPr>
          <w:shd w:val="clear" w:color="auto" w:fill="FFFFFF"/>
        </w:rPr>
        <w:t xml:space="preserve"> : </w:t>
      </w:r>
      <w:r>
        <w:rPr>
          <w:rStyle w:val="soitChar"/>
          <w:shd w:val="clear" w:color="auto" w:fill="FFFFFF"/>
        </w:rPr>
        <w:t>les prestations acoustiques sont les suivantes (sans mentionner l'épaisseur des vitres) :</w:t>
      </w:r>
      <w:r>
        <w:br/>
      </w:r>
      <w:r>
        <w:rPr>
          <w:rStyle w:val="soitChar"/>
          <w:shd w:val="clear" w:color="auto" w:fill="FFFFFF"/>
        </w:rPr>
        <w:t>L'indice d'affaiblissement acoustique (Rw) est ≥ </w:t>
      </w:r>
      <w:r>
        <w:rPr>
          <w:rStyle w:val="optioncarChar"/>
          <w:shd w:val="clear" w:color="auto" w:fill="FFFFFF"/>
        </w:rPr>
        <w:t>36 / *** </w:t>
      </w:r>
      <w:r>
        <w:rPr>
          <w:shd w:val="clear" w:color="auto" w:fill="FFFFFF"/>
        </w:rPr>
        <w:t>dB.</w:t>
      </w:r>
      <w:r>
        <w:br/>
      </w:r>
    </w:p>
    <w:p w14:paraId="15F4E1B9" w14:textId="77777777" w:rsidR="00772179" w:rsidRDefault="00000000">
      <w:pPr>
        <w:pStyle w:val="Author-eListParagraph"/>
        <w:numPr>
          <w:ilvl w:val="0"/>
          <w:numId w:val="822"/>
        </w:numPr>
      </w:pPr>
      <w:r>
        <w:rPr>
          <w:shd w:val="clear" w:color="auto" w:fill="FFFFFF"/>
        </w:rPr>
        <w:t>La classe d'isolation acoustique selon la norme [NBN S 01-400-1].</w:t>
      </w:r>
      <w:r>
        <w:t> </w:t>
      </w:r>
    </w:p>
    <w:p w14:paraId="6E8444CE" w14:textId="77777777" w:rsidR="00772179" w:rsidRDefault="00000000">
      <w:pPr>
        <w:pStyle w:val="Author-eListParagraph"/>
        <w:numPr>
          <w:ilvl w:val="0"/>
          <w:numId w:val="822"/>
        </w:numPr>
      </w:pPr>
      <w:r>
        <w:t>Pour déterminer l'épaisseur des feuilles de verre, le choix est basé sur les normes [NBN S 23-002-2] et [NBN S 23-002-3]. Les cales de support, de distance et d'espacement sont en matière synthétique.</w:t>
      </w:r>
    </w:p>
    <w:p w14:paraId="63508CEE" w14:textId="77777777" w:rsidR="00772179" w:rsidRDefault="00000000">
      <w:pPr>
        <w:pStyle w:val="Author-eListParagraph"/>
        <w:numPr>
          <w:ilvl w:val="0"/>
          <w:numId w:val="822"/>
        </w:numPr>
      </w:pPr>
      <w:r>
        <w:t>La couleur du </w:t>
      </w:r>
      <w:r>
        <w:rPr>
          <w:rStyle w:val="optioncarChar"/>
        </w:rPr>
        <w:t>mastic élastique / profil d'étanchéité / *** </w:t>
      </w:r>
      <w:r>
        <w:t>est</w:t>
      </w:r>
      <w:r>
        <w:rPr>
          <w:rStyle w:val="optioncarChar"/>
        </w:rPr>
        <w:t> ***.</w:t>
      </w:r>
      <w:r>
        <w:t> </w:t>
      </w:r>
    </w:p>
    <w:p w14:paraId="243B72E2" w14:textId="77777777" w:rsidR="00772179" w:rsidRDefault="00000000">
      <w:pPr>
        <w:pStyle w:val="Author-eListParagraph"/>
        <w:numPr>
          <w:ilvl w:val="0"/>
          <w:numId w:val="822"/>
        </w:numPr>
      </w:pPr>
      <w:r>
        <w:t xml:space="preserve">Les mastics sont peints : </w:t>
      </w:r>
      <w:r>
        <w:rPr>
          <w:rStyle w:val="optioncarChar"/>
        </w:rPr>
        <w:t>OUI / NON</w:t>
      </w:r>
      <w:r>
        <w:t>.</w:t>
      </w:r>
    </w:p>
    <w:p w14:paraId="17B31B93" w14:textId="77777777" w:rsidR="00772179" w:rsidRDefault="00000000">
      <w:pPr>
        <w:pStyle w:val="Author-eListParagraph"/>
        <w:numPr>
          <w:ilvl w:val="0"/>
          <w:numId w:val="822"/>
        </w:numPr>
      </w:pPr>
      <w:r>
        <w:t>Le double vitrage répond aux critères d'acceptabilité tels que définis dans l'article 02.42.1 Critères d'acceptabilité, pour la composition et les performances concernées.</w:t>
      </w:r>
    </w:p>
    <w:p w14:paraId="4D359737" w14:textId="77777777" w:rsidR="00772179" w:rsidRDefault="00000000">
      <w:pPr>
        <w:pStyle w:val="pheading"/>
      </w:pPr>
      <w:r>
        <w:t>EXÉCUTION / MISE EN ŒUVRE</w:t>
      </w:r>
    </w:p>
    <w:p w14:paraId="1BF6F765" w14:textId="77777777" w:rsidR="00772179" w:rsidRDefault="00000000">
      <w:r>
        <w:t xml:space="preserve">Les vitrages sont posés selon la norme [NBN S 23-002] et la [NIT 221] et les prescriptions du fabricant ( voir également la rubrique </w:t>
      </w:r>
      <w:hyperlink w:anchor="852" w:history="1">
        <w:r>
          <w:rPr>
            <w:color w:val="0000EE"/>
          </w:rPr>
          <w:t>42 Vitrages extérieurs et éléments de remplissage</w:t>
        </w:r>
      </w:hyperlink>
      <w:r>
        <w:t>). Le choix des mastics est réalisé conformément aux [STS 56.1] et à la [NIT 221]. Avant la pose des vitrages, les feuillures et les parcloses sont nettoyées ainsi que les bords du vitrage. Tout mastic utilisé est compatible chimiquement avec les matériaux adjacents dont les profilés ou les produits de traitement de la menuiserie extérieure. Lorsque le fabricant de mastics le préconise, un primer est préalablement appliqué.</w:t>
      </w:r>
    </w:p>
    <w:p w14:paraId="6C7D8C12" w14:textId="77777777" w:rsidR="00772179" w:rsidRDefault="00000000">
      <w:r>
        <w:t>Conformément au cahier des charges, le vitrage est rendu étanche avec : </w:t>
      </w:r>
      <w:r>
        <w:rPr>
          <w:rStyle w:val="optioncarChar"/>
        </w:rPr>
        <w:t>un mastic de classe conforme aux [STS 56.1] et à la [NIT 221] sur un profil de remplissage / un profil d'étanchéité élastique conforme à la [NIT 221].</w:t>
      </w:r>
    </w:p>
    <w:p w14:paraId="27737917" w14:textId="77777777" w:rsidR="00772179" w:rsidRDefault="00000000">
      <w:pPr>
        <w:pStyle w:val="pheading"/>
      </w:pPr>
      <w:r>
        <w:t>CONTRÔLES</w:t>
      </w:r>
    </w:p>
    <w:p w14:paraId="13F92639" w14:textId="77777777" w:rsidR="00772179" w:rsidRDefault="00000000">
      <w:r>
        <w:t>Les feuilles de verre ne sont ni ternes ni tachées, ni porter des traces durables de souillure. L'entrepreneur remet au maître d’ouvrage un certificat daté et signé par le producteur qui s'engage à garantir le vitrage pour une durée de 10 ans, à compter de la date de fabrication mentionnée, contre tout trouble provoqué par la condensation ou les dépôts de poussière. Un certificat attestant de la classe du mastic et/ou de la classe du profil d'étanchéité est soumis pour approbation à l'auteur de projet.</w:t>
      </w:r>
    </w:p>
    <w:p w14:paraId="583C1B64" w14:textId="77777777" w:rsidR="00772179" w:rsidRDefault="00000000">
      <w:pPr>
        <w:pStyle w:val="heading"/>
      </w:pPr>
      <w:r>
        <w:t>Pour vitrage à isolation acoustique améliorée</w:t>
      </w:r>
    </w:p>
    <w:p w14:paraId="14F3BE7F" w14:textId="77777777" w:rsidR="00772179" w:rsidRDefault="00000000">
      <w:r>
        <w:rPr>
          <w:shd w:val="clear" w:color="auto" w:fill="FFFFFF"/>
        </w:rPr>
        <w:t>[NBN EN ISO 16283-1, Acoustique - Mesurage in situ de l'isolation acoustique des bâtiments et des éléments de construction - Partie 1: Isolation des bruits aériens (ISO 16283-1:2014)]</w:t>
      </w:r>
    </w:p>
    <w:p w14:paraId="65DFC894" w14:textId="77777777" w:rsidR="00772179" w:rsidRDefault="00000000">
      <w:pPr>
        <w:pStyle w:val="pheading"/>
      </w:pPr>
      <w:r>
        <w:t>DOCUMENTS DE RÉFÉRENCE</w:t>
      </w:r>
    </w:p>
    <w:p w14:paraId="551EC9AE" w14:textId="77777777" w:rsidR="00772179" w:rsidRDefault="00000000">
      <w:pPr>
        <w:pStyle w:val="pheading"/>
      </w:pPr>
      <w:r>
        <w:t>- Matériau</w:t>
      </w:r>
    </w:p>
    <w:p w14:paraId="192BF1FA" w14:textId="77777777" w:rsidR="00772179" w:rsidRDefault="00000000">
      <w:r>
        <w:t>[NBN S 01-400-1, Critères acoustiques pour les immeubles d'habitation]</w:t>
      </w:r>
    </w:p>
    <w:p w14:paraId="45EECE86" w14:textId="77777777" w:rsidR="00772179" w:rsidRDefault="00000000">
      <w:r>
        <w:t>[NBN EN 1279-1, Verre dans la construction - Vitrage isolant - Partie 1 : Généralités, description du système, règles de substitution, tolérances et qualité visuelle]</w:t>
      </w:r>
    </w:p>
    <w:p w14:paraId="7575C830" w14:textId="77777777" w:rsidR="00772179" w:rsidRDefault="00000000">
      <w:pPr>
        <w:pStyle w:val="pheading"/>
      </w:pPr>
      <w:r>
        <w:t>AIDE</w:t>
      </w:r>
    </w:p>
    <w:p w14:paraId="428DCDA7" w14:textId="77777777" w:rsidR="00772179" w:rsidRDefault="00000000">
      <w:r>
        <w:rPr>
          <w:i/>
          <w:u w:val="single"/>
        </w:rPr>
        <w:t>Note à l’attention de l’auteur de projet</w:t>
      </w:r>
      <w:r>
        <w:br/>
      </w:r>
      <w:r>
        <w:rPr>
          <w:shd w:val="clear" w:color="auto" w:fill="FFFFFF"/>
        </w:rPr>
        <w:t>Pour plus d'informations, consultez "Isolation acoustique des fenêtres. Application de la norme [NBN EN ISO 717-1] et [Buildwise Article Revue (1998-03-26)].</w:t>
      </w:r>
    </w:p>
    <w:p w14:paraId="55174F04" w14:textId="77777777" w:rsidR="00772179" w:rsidRDefault="00000000">
      <w:pPr>
        <w:ind w:left="750"/>
      </w:pPr>
      <w:r>
        <w:lastRenderedPageBreak/>
        <w:t> </w:t>
      </w:r>
    </w:p>
    <w:p w14:paraId="7A3F3400" w14:textId="77777777" w:rsidR="00772179" w:rsidRDefault="00000000">
      <w:pPr>
        <w:pStyle w:val="Author-eSectionHeading5Numberless"/>
      </w:pPr>
      <w:bookmarkStart w:id="580" w:name="_Toc220490280"/>
      <w:r>
        <w:t>42.22.1 Vitrages doubles - Gaz CCTB 01.02</w:t>
      </w:r>
      <w:bookmarkEnd w:id="580"/>
    </w:p>
    <w:p w14:paraId="65BAE540" w14:textId="77777777" w:rsidR="00772179" w:rsidRDefault="00000000">
      <w:pPr>
        <w:pStyle w:val="Author-eSectionHeading6Numberless"/>
      </w:pPr>
      <w:bookmarkStart w:id="581" w:name="1373"/>
      <w:bookmarkStart w:id="582" w:name="_Toc220490281"/>
      <w:bookmarkEnd w:id="581"/>
      <w:r>
        <w:t>42.22.1a Vitrages doubles - Gaz CCTB 01.11</w:t>
      </w:r>
      <w:bookmarkEnd w:id="582"/>
    </w:p>
    <w:p w14:paraId="4DF9AED4" w14:textId="77777777" w:rsidR="00772179" w:rsidRDefault="00000000">
      <w:pPr>
        <w:pStyle w:val="pheading"/>
      </w:pPr>
      <w:bookmarkStart w:id="583" w:name="878"/>
      <w:bookmarkEnd w:id="583"/>
      <w:r>
        <w:t>MATÉRIAUX</w:t>
      </w:r>
    </w:p>
    <w:p w14:paraId="7EB4C80A" w14:textId="77777777" w:rsidR="00772179" w:rsidRDefault="00000000">
      <w:pPr>
        <w:pStyle w:val="pheading"/>
      </w:pPr>
      <w:r>
        <w:t>- Caractéristiques générales</w:t>
      </w:r>
    </w:p>
    <w:p w14:paraId="786B1D58" w14:textId="77777777" w:rsidR="00772179" w:rsidRDefault="00000000">
      <w:r>
        <w:t>Le double vitrage isolant satisfait aux normes [NBN S 23-002] et [NBN EN 1279-1] et se compose de deux feuilles de verre float clair, séparées par un vide rempli d'air ou d'un gaz d'isolation thermique. </w:t>
      </w:r>
    </w:p>
    <w:p w14:paraId="4051A098" w14:textId="77777777" w:rsidR="00772179" w:rsidRDefault="00000000">
      <w:pPr>
        <w:pStyle w:val="pheading"/>
      </w:pPr>
      <w:r>
        <w:t>- Finitions</w:t>
      </w:r>
    </w:p>
    <w:p w14:paraId="168AC927" w14:textId="77777777" w:rsidR="00772179" w:rsidRDefault="00000000">
      <w:pPr>
        <w:pStyle w:val="Author-eListParagraph"/>
        <w:numPr>
          <w:ilvl w:val="0"/>
          <w:numId w:val="823"/>
        </w:numPr>
      </w:pPr>
      <w:r>
        <w:t>L'épaisseur des feuilles de verre est déterminée conformément aux normes [NBN S 23-002-2] et [NBN S 23-002-3]</w:t>
      </w:r>
    </w:p>
    <w:p w14:paraId="6553A027" w14:textId="77777777" w:rsidR="00772179" w:rsidRDefault="00000000">
      <w:pPr>
        <w:pStyle w:val="Author-eListParagraph"/>
        <w:numPr>
          <w:ilvl w:val="0"/>
          <w:numId w:val="823"/>
        </w:numPr>
      </w:pPr>
      <w:r>
        <w:t xml:space="preserve">Les cales de support, de distance et d'espacement sont </w:t>
      </w:r>
      <w:r>
        <w:rPr>
          <w:rStyle w:val="optioncarChar"/>
        </w:rPr>
        <w:t xml:space="preserve">en matière synthétique </w:t>
      </w:r>
      <w:r>
        <w:t>(par défaut)</w:t>
      </w:r>
      <w:r>
        <w:rPr>
          <w:rStyle w:val="optioncarChar"/>
        </w:rPr>
        <w:t xml:space="preserve"> / ***</w:t>
      </w:r>
      <w:r>
        <w:t>.</w:t>
      </w:r>
    </w:p>
    <w:p w14:paraId="5433E0D8" w14:textId="77777777" w:rsidR="00772179" w:rsidRDefault="00000000">
      <w:pPr>
        <w:pStyle w:val="Author-eListParagraph"/>
        <w:numPr>
          <w:ilvl w:val="0"/>
          <w:numId w:val="823"/>
        </w:numPr>
      </w:pPr>
      <w:r>
        <w:t xml:space="preserve">L'étanchéité est réalisée avec </w:t>
      </w:r>
      <w:r>
        <w:rPr>
          <w:rStyle w:val="optioncarChar"/>
        </w:rPr>
        <w:t>un mastic / un profil d'étanchéité</w:t>
      </w:r>
      <w:r>
        <w:t xml:space="preserve">, couleur </w:t>
      </w:r>
      <w:r>
        <w:rPr>
          <w:rStyle w:val="optioncarChar"/>
        </w:rPr>
        <w:t xml:space="preserve">*** </w:t>
      </w:r>
    </w:p>
    <w:p w14:paraId="65458ECA" w14:textId="77777777" w:rsidR="00772179" w:rsidRDefault="00000000">
      <w:pPr>
        <w:pStyle w:val="Author-eListParagraph"/>
        <w:numPr>
          <w:ilvl w:val="0"/>
          <w:numId w:val="823"/>
        </w:numPr>
      </w:pPr>
      <w:r>
        <w:t>Les mastics de type à peindre.</w:t>
      </w:r>
    </w:p>
    <w:p w14:paraId="3883D0CC" w14:textId="77777777" w:rsidR="00772179" w:rsidRDefault="00000000">
      <w:pPr>
        <w:pStyle w:val="pheading"/>
      </w:pPr>
      <w:r>
        <w:t>- Prescriptions complémentaires</w:t>
      </w:r>
    </w:p>
    <w:p w14:paraId="33EDEDCA" w14:textId="77777777" w:rsidR="00772179" w:rsidRDefault="00000000">
      <w:r>
        <w:t>Le double vitrage satisfait aux critères d'acceptabilité du produit tels que définis dans l'article 02.42.1 Critères d'acceptabilité pour la composition et les performances concernées.</w:t>
      </w:r>
    </w:p>
    <w:p w14:paraId="49C82364" w14:textId="77777777" w:rsidR="00772179" w:rsidRDefault="00000000">
      <w:pPr>
        <w:pStyle w:val="pheading"/>
      </w:pPr>
      <w:r>
        <w:t>EXÉCUTION / MISE EN ŒUVRE</w:t>
      </w:r>
    </w:p>
    <w:p w14:paraId="1E029855" w14:textId="77777777" w:rsidR="00772179" w:rsidRDefault="00000000">
      <w:pPr>
        <w:pStyle w:val="pheading"/>
      </w:pPr>
      <w:r>
        <w:t>- Prescriptions générales</w:t>
      </w:r>
    </w:p>
    <w:p w14:paraId="649AC905" w14:textId="77777777" w:rsidR="00772179" w:rsidRDefault="00000000">
      <w:r>
        <w:t xml:space="preserve">La pose est effectuée conformément à la [NIT 221] Le vitrage est rendu étanche avec </w:t>
      </w:r>
      <w:r>
        <w:rPr>
          <w:rStyle w:val="optioncarChar"/>
        </w:rPr>
        <w:t>un mastic de classe conforme aux [STS 56.1] et à la [NIT 221] sur un profil de remplissage / un profil d'étanchéité conforme à la [NIT 221].</w:t>
      </w:r>
    </w:p>
    <w:p w14:paraId="211EC459" w14:textId="77777777" w:rsidR="00772179" w:rsidRDefault="00000000">
      <w:pPr>
        <w:pStyle w:val="pheading"/>
      </w:pPr>
      <w:r>
        <w:t>MESURAGE</w:t>
      </w:r>
    </w:p>
    <w:p w14:paraId="345F43A7" w14:textId="77777777" w:rsidR="00772179" w:rsidRDefault="00000000">
      <w:pPr>
        <w:pStyle w:val="pheading"/>
      </w:pPr>
      <w:r>
        <w:t>- unité de mesure:</w:t>
      </w:r>
    </w:p>
    <w:p w14:paraId="45B335C9" w14:textId="77777777" w:rsidR="00772179" w:rsidRDefault="00000000">
      <w:r>
        <w:rPr>
          <w:color w:val="FF0000"/>
        </w:rPr>
        <w:t>-</w:t>
      </w:r>
      <w:r>
        <w:t>  (par défaut)</w:t>
      </w:r>
      <w:r>
        <w:rPr>
          <w:rStyle w:val="optioncarChar"/>
        </w:rPr>
        <w:t> / m² </w:t>
      </w:r>
    </w:p>
    <w:p w14:paraId="07232AE0" w14:textId="77777777" w:rsidR="00772179" w:rsidRDefault="00000000">
      <w:r>
        <w:rPr>
          <w:b/>
        </w:rPr>
        <w:t>(soit par défaut)</w:t>
      </w:r>
    </w:p>
    <w:p w14:paraId="6B309875" w14:textId="77777777" w:rsidR="00772179" w:rsidRDefault="00000000">
      <w:r>
        <w:rPr>
          <w:rStyle w:val="soitChar"/>
        </w:rPr>
        <w:t>1. -</w:t>
      </w:r>
    </w:p>
    <w:p w14:paraId="4255AC7A" w14:textId="77777777" w:rsidR="00772179" w:rsidRDefault="00000000">
      <w:r>
        <w:rPr>
          <w:b/>
        </w:rPr>
        <w:t>(soit)</w:t>
      </w:r>
    </w:p>
    <w:p w14:paraId="6BC6946B" w14:textId="77777777" w:rsidR="00772179" w:rsidRDefault="00000000">
      <w:r>
        <w:rPr>
          <w:rStyle w:val="soitChar"/>
        </w:rPr>
        <w:t>2. m²</w:t>
      </w:r>
    </w:p>
    <w:p w14:paraId="3C38AD61" w14:textId="77777777" w:rsidR="00772179" w:rsidRDefault="00000000">
      <w:pPr>
        <w:pStyle w:val="pheading"/>
      </w:pPr>
      <w:r>
        <w:t>- code de mesurage:</w:t>
      </w:r>
    </w:p>
    <w:p w14:paraId="65603A47" w14:textId="77777777" w:rsidR="00772179" w:rsidRDefault="00000000">
      <w:pPr>
        <w:jc w:val="both"/>
      </w:pPr>
      <w:r>
        <w:rPr>
          <w:rStyle w:val="optioncarChar"/>
        </w:rPr>
        <w:t>prix unitaire global</w:t>
      </w:r>
      <w:r>
        <w:t> (par défaut) </w:t>
      </w:r>
      <w:r>
        <w:rPr>
          <w:rStyle w:val="optioncarChar"/>
        </w:rPr>
        <w:t>/ poste séparé</w:t>
      </w:r>
    </w:p>
    <w:p w14:paraId="37A8A00B" w14:textId="77777777" w:rsidR="00772179" w:rsidRDefault="00000000">
      <w:pPr>
        <w:jc w:val="both"/>
      </w:pPr>
      <w:r>
        <w:rPr>
          <w:b/>
        </w:rPr>
        <w:t>(soit par défaut)</w:t>
      </w:r>
    </w:p>
    <w:p w14:paraId="5B108F33" w14:textId="77777777" w:rsidR="00772179"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25528320" w14:textId="77777777" w:rsidR="00772179" w:rsidRDefault="00000000">
      <w:pPr>
        <w:jc w:val="both"/>
      </w:pPr>
      <w:r>
        <w:rPr>
          <w:b/>
        </w:rPr>
        <w:t>(soit)</w:t>
      </w:r>
    </w:p>
    <w:p w14:paraId="697D362B" w14:textId="77777777" w:rsidR="00772179" w:rsidRDefault="00000000">
      <w:pPr>
        <w:jc w:val="both"/>
      </w:pPr>
      <w:r>
        <w:rPr>
          <w:rStyle w:val="soitChar"/>
          <w:u w:val="single"/>
        </w:rPr>
        <w:t>2. Poste séparé :</w:t>
      </w:r>
      <w:r>
        <w:rPr>
          <w:rStyle w:val="soitChar"/>
        </w:rPr>
        <w:t> Exceptionnellement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 sont comptées pour 0,25 m. Les vitres non rectangulaires sont mesurées selon la superficie du plus petit rectangle circonscrit.</w:t>
      </w:r>
    </w:p>
    <w:p w14:paraId="0393FDC5" w14:textId="77777777" w:rsidR="00772179" w:rsidRDefault="00000000">
      <w:pPr>
        <w:pStyle w:val="pheading"/>
      </w:pPr>
      <w:r>
        <w:lastRenderedPageBreak/>
        <w:t>- nature du marché:</w:t>
      </w:r>
    </w:p>
    <w:p w14:paraId="5F7B227D" w14:textId="77777777" w:rsidR="00772179" w:rsidRDefault="00000000">
      <w:r>
        <w:rPr>
          <w:rStyle w:val="optioncarChar"/>
        </w:rPr>
        <w:t>PM</w:t>
      </w:r>
      <w:r>
        <w:t> (par défaut) </w:t>
      </w:r>
      <w:r>
        <w:rPr>
          <w:rStyle w:val="optioncarChar"/>
        </w:rPr>
        <w:t>/ QF</w:t>
      </w:r>
    </w:p>
    <w:p w14:paraId="11E710E5" w14:textId="77777777" w:rsidR="00772179" w:rsidRDefault="00000000">
      <w:r>
        <w:rPr>
          <w:b/>
        </w:rPr>
        <w:t>(soit par défaut)</w:t>
      </w:r>
    </w:p>
    <w:p w14:paraId="687FE1DA" w14:textId="77777777" w:rsidR="00772179" w:rsidRDefault="00000000">
      <w:r>
        <w:rPr>
          <w:rStyle w:val="soitChar"/>
        </w:rPr>
        <w:t>1. PM</w:t>
      </w:r>
    </w:p>
    <w:p w14:paraId="0D085F09" w14:textId="77777777" w:rsidR="00772179" w:rsidRDefault="00000000">
      <w:r>
        <w:rPr>
          <w:b/>
        </w:rPr>
        <w:t>(soit)</w:t>
      </w:r>
    </w:p>
    <w:p w14:paraId="153292E5" w14:textId="77777777" w:rsidR="00772179" w:rsidRDefault="00000000">
      <w:r>
        <w:rPr>
          <w:rStyle w:val="soitChar"/>
        </w:rPr>
        <w:t>2. QF</w:t>
      </w:r>
    </w:p>
    <w:p w14:paraId="503A1EA0" w14:textId="77777777" w:rsidR="00772179" w:rsidRDefault="00000000">
      <w:pPr>
        <w:pStyle w:val="Author-eSectionHeading5Numberless"/>
      </w:pPr>
      <w:bookmarkStart w:id="584" w:name="_Toc220490282"/>
      <w:r>
        <w:t>42.22.2 Vitrages triples - Gaz CCTB 01.04</w:t>
      </w:r>
      <w:bookmarkEnd w:id="584"/>
    </w:p>
    <w:p w14:paraId="60B5CC3F" w14:textId="77777777" w:rsidR="00772179" w:rsidRDefault="00000000">
      <w:pPr>
        <w:pStyle w:val="Author-eSectionHeading6Numberless"/>
      </w:pPr>
      <w:bookmarkStart w:id="585" w:name="_Toc220490283"/>
      <w:r>
        <w:t>42.22.2a Vitrages triples - Gaz CCTB 01.11</w:t>
      </w:r>
      <w:bookmarkEnd w:id="585"/>
    </w:p>
    <w:p w14:paraId="39696AD9" w14:textId="77777777" w:rsidR="00772179" w:rsidRDefault="00000000">
      <w:pPr>
        <w:pStyle w:val="pheading"/>
      </w:pPr>
      <w:bookmarkStart w:id="586" w:name="879"/>
      <w:bookmarkEnd w:id="586"/>
      <w:r>
        <w:t>DESCRIPTION</w:t>
      </w:r>
    </w:p>
    <w:p w14:paraId="1C34D822" w14:textId="77777777" w:rsidR="00772179" w:rsidRDefault="00000000">
      <w:pPr>
        <w:pStyle w:val="pheading"/>
      </w:pPr>
      <w:r>
        <w:t>- Définition / Comprend</w:t>
      </w:r>
    </w:p>
    <w:p w14:paraId="325446E7" w14:textId="77777777" w:rsidR="00772179" w:rsidRDefault="00000000">
      <w:pPr>
        <w:jc w:val="both"/>
      </w:pPr>
      <w:r>
        <w:t>Cet article décrit la fourniture et la pose des vitrages triples – gaz conformes à la [NBN EN 1279-1].</w:t>
      </w:r>
    </w:p>
    <w:p w14:paraId="6630C862" w14:textId="77777777" w:rsidR="00772179" w:rsidRDefault="00000000">
      <w:pPr>
        <w:jc w:val="both"/>
      </w:pPr>
      <w:r>
        <w:rPr>
          <w:b/>
        </w:rPr>
        <w:t>Remarques importantes</w:t>
      </w:r>
    </w:p>
    <w:p w14:paraId="788447D7" w14:textId="77777777" w:rsidR="00772179" w:rsidRDefault="00000000">
      <w:pPr>
        <w:jc w:val="both"/>
      </w:pPr>
      <w:r>
        <w:t>Tous les vitrages isolants sont soumis au Règlement Produits de Construction (RPC). Le triple vitrage satisfait aux critères d'acceptabilité du produit tels que définis dans l'article 02.42.1 Critères d'acceptabilité  est imposé à ces produits suivant la [NBN EN 1279-5] afin d'attester qu’ils soient conformes aux spécifications techniques de ce règlement.</w:t>
      </w:r>
    </w:p>
    <w:p w14:paraId="05C5070F" w14:textId="77777777" w:rsidR="00772179" w:rsidRDefault="00000000">
      <w:pPr>
        <w:pStyle w:val="pheading"/>
      </w:pPr>
      <w:r>
        <w:t>- Localisation</w:t>
      </w:r>
    </w:p>
    <w:p w14:paraId="72AC78FA" w14:textId="77777777" w:rsidR="00772179" w:rsidRDefault="00000000">
      <w:r>
        <w:t xml:space="preserve">La localisation des vitrages triples - gaz est la suivante : </w:t>
      </w:r>
      <w:r>
        <w:rPr>
          <w:rStyle w:val="optioncarChar"/>
        </w:rPr>
        <w:t>***</w:t>
      </w:r>
      <w:r>
        <w:t xml:space="preserve"> .</w:t>
      </w:r>
    </w:p>
    <w:p w14:paraId="5DAA074E" w14:textId="77777777" w:rsidR="00772179" w:rsidRDefault="00000000">
      <w:r>
        <w:t>Voir plans et métrés détaillés</w:t>
      </w:r>
    </w:p>
    <w:p w14:paraId="5EE7182C" w14:textId="77777777" w:rsidR="00772179" w:rsidRDefault="00000000">
      <w:pPr>
        <w:pStyle w:val="pheading"/>
      </w:pPr>
      <w:r>
        <w:t>MATÉRIAUX</w:t>
      </w:r>
    </w:p>
    <w:p w14:paraId="62972BD8" w14:textId="77777777" w:rsidR="00772179" w:rsidRDefault="00000000">
      <w:pPr>
        <w:pStyle w:val="pheading"/>
      </w:pPr>
      <w:r>
        <w:t>- Caractéristiques générales</w:t>
      </w:r>
    </w:p>
    <w:p w14:paraId="5C79F1D5" w14:textId="77777777" w:rsidR="00772179" w:rsidRDefault="00000000">
      <w:pPr>
        <w:jc w:val="both"/>
      </w:pPr>
      <w:r>
        <w:t>Le triple vitrage rempli de gaz doit satisfaire aux [NBN S 23-002] et [NBN EN 1279-1], [NBN EN 1279-2], [NBN EN 1279-3], [NBN EN 1279-4], [NBN EN 1279-5], [NBN EN 1279-6]. Il se compose de trois feuilles de verre assemblées et scellées en usine, et séparées par deux espaces hermétiques clos renfermant un gaz déshydraté. En fonction des performances demandées, chaque feuille de verre peut être de type différent (float, verre trempé, verre feuilleté, verre à couche, …).</w:t>
      </w:r>
    </w:p>
    <w:p w14:paraId="4D3F5597" w14:textId="77777777" w:rsidR="00772179" w:rsidRDefault="00000000">
      <w:pPr>
        <w:jc w:val="both"/>
      </w:pPr>
      <w:r>
        <w:t>Les faces d’un triple vitrage sont conventionnellement numérotées en “position” 1 à 6 de l’ambiance extérieure vers l’ambiance intérieure.</w:t>
      </w:r>
    </w:p>
    <w:p w14:paraId="11C35A33" w14:textId="77777777" w:rsidR="00772179" w:rsidRDefault="00000000">
      <w:pPr>
        <w:jc w:val="both"/>
      </w:pPr>
      <w:r>
        <w:t>Le triple vitrage – gaz se compose des éléments suivants :</w:t>
      </w:r>
    </w:p>
    <w:p w14:paraId="0E680FED" w14:textId="77777777" w:rsidR="00772179" w:rsidRDefault="00000000">
      <w:pPr>
        <w:pStyle w:val="Author-eListParagraph"/>
        <w:numPr>
          <w:ilvl w:val="0"/>
          <w:numId w:val="824"/>
        </w:numPr>
      </w:pPr>
      <w:r>
        <w:t>trois feuilles de verre</w:t>
      </w:r>
    </w:p>
    <w:p w14:paraId="4937AFD1" w14:textId="77777777" w:rsidR="00772179" w:rsidRDefault="00000000">
      <w:pPr>
        <w:pStyle w:val="Author-eListParagraph"/>
        <w:numPr>
          <w:ilvl w:val="0"/>
          <w:numId w:val="824"/>
        </w:numPr>
      </w:pPr>
      <w:r>
        <w:t xml:space="preserve">un espaceur servant à fixer la largeur de l’espace entre les feuilles de verre </w:t>
      </w:r>
      <w:r>
        <w:rPr>
          <w:rStyle w:val="optioncarChar"/>
        </w:rPr>
        <w:t>métallique (généralement en aluminium)</w:t>
      </w:r>
      <w:r>
        <w:t xml:space="preserve"> (par défaut) </w:t>
      </w:r>
      <w:r>
        <w:rPr>
          <w:rStyle w:val="optioncarChar"/>
        </w:rPr>
        <w:t>/ en matériau synthétique / ***</w:t>
      </w:r>
    </w:p>
    <w:p w14:paraId="7860D205" w14:textId="77777777" w:rsidR="00772179" w:rsidRDefault="00000000">
      <w:pPr>
        <w:pStyle w:val="Author-eListParagraph"/>
        <w:numPr>
          <w:ilvl w:val="0"/>
          <w:numId w:val="824"/>
        </w:numPr>
      </w:pPr>
      <w:r>
        <w:t>deux barrières d’étanchéité : la première en polyisobuthylène (butyle) et la seconde le plus souvent formée de polyuréthane, de silicone ou de polysulfure</w:t>
      </w:r>
    </w:p>
    <w:p w14:paraId="3565F5A4" w14:textId="77777777" w:rsidR="00772179" w:rsidRDefault="00000000">
      <w:pPr>
        <w:pStyle w:val="Author-eListParagraph"/>
        <w:numPr>
          <w:ilvl w:val="0"/>
          <w:numId w:val="824"/>
        </w:numPr>
      </w:pPr>
      <w:r>
        <w:t>un dessiccatif introduit dans l’espaceur.</w:t>
      </w:r>
    </w:p>
    <w:p w14:paraId="238D56BE" w14:textId="77777777" w:rsidR="00772179" w:rsidRDefault="00000000">
      <w:pPr>
        <w:jc w:val="both"/>
      </w:pPr>
      <w:r>
        <w:t xml:space="preserve">Le gaz est </w:t>
      </w:r>
      <w:r>
        <w:rPr>
          <w:rStyle w:val="optioncarChar"/>
        </w:rPr>
        <w:t>de l’argon</w:t>
      </w:r>
      <w:r>
        <w:t xml:space="preserve"> (par défaut)</w:t>
      </w:r>
      <w:r>
        <w:rPr>
          <w:rStyle w:val="optioncarChar"/>
        </w:rPr>
        <w:t xml:space="preserve"> / du krypton / ***</w:t>
      </w:r>
    </w:p>
    <w:p w14:paraId="0045796A" w14:textId="77777777" w:rsidR="00772179" w:rsidRDefault="00000000">
      <w:pPr>
        <w:jc w:val="both"/>
      </w:pPr>
      <w:r>
        <w:t>Le triple virage rempli de gaz est conforme aux prescriptions des [NBN EN 1279-1] et [NBN S 23-002].</w:t>
      </w:r>
    </w:p>
    <w:p w14:paraId="044F8871" w14:textId="77777777" w:rsidR="00772179" w:rsidRDefault="00000000">
      <w:pPr>
        <w:jc w:val="both"/>
      </w:pPr>
      <w:r>
        <w:t xml:space="preserve">Le </w:t>
      </w:r>
      <w:r>
        <w:rPr>
          <w:b/>
        </w:rPr>
        <w:t>vitrage intérieur</w:t>
      </w:r>
      <w:r>
        <w:t xml:space="preserve"> est composé de </w:t>
      </w:r>
      <w:r>
        <w:rPr>
          <w:rStyle w:val="optioncarChar"/>
        </w:rPr>
        <w:t>Vitrages simples floatés (ordinaire) (</w:t>
      </w:r>
      <w:hyperlink w:anchor="855" w:history="1">
        <w:r>
          <w:rPr>
            <w:rStyle w:val="optioncarChar"/>
            <w:color w:val="0000EE"/>
          </w:rPr>
          <w:t>42.11</w:t>
        </w:r>
      </w:hyperlink>
      <w:r>
        <w:rPr>
          <w:rStyle w:val="optioncarChar"/>
        </w:rPr>
        <w:t>)</w:t>
      </w:r>
      <w:r>
        <w:t xml:space="preserve"> (par défaut) </w:t>
      </w:r>
      <w:r>
        <w:rPr>
          <w:rStyle w:val="optioncarChar"/>
        </w:rPr>
        <w:t>/ Vitrages simples étirés (</w:t>
      </w:r>
      <w:hyperlink w:anchor="976" w:history="1">
        <w:r>
          <w:rPr>
            <w:rStyle w:val="optioncarChar"/>
            <w:color w:val="0000EE"/>
          </w:rPr>
          <w:t>42.12</w:t>
        </w:r>
      </w:hyperlink>
      <w:r>
        <w:rPr>
          <w:rStyle w:val="optioncarChar"/>
        </w:rPr>
        <w:t>) / Vitrages simples soufflés (</w:t>
      </w:r>
      <w:hyperlink w:anchor="977" w:history="1">
        <w:r>
          <w:rPr>
            <w:rStyle w:val="optioncarChar"/>
            <w:color w:val="0000EE"/>
          </w:rPr>
          <w:t>42.13</w:t>
        </w:r>
      </w:hyperlink>
      <w:r>
        <w:rPr>
          <w:rStyle w:val="optioncarChar"/>
        </w:rPr>
        <w:t>) / Vitrages simples trempés (</w:t>
      </w:r>
      <w:hyperlink w:anchor="856" w:history="1">
        <w:r>
          <w:rPr>
            <w:rStyle w:val="optioncarChar"/>
            <w:color w:val="0000EE"/>
          </w:rPr>
          <w:t>42.14</w:t>
        </w:r>
      </w:hyperlink>
      <w:r>
        <w:rPr>
          <w:rStyle w:val="optioncarChar"/>
        </w:rPr>
        <w:t>) / Vitrages simples durcis (</w:t>
      </w:r>
      <w:hyperlink w:anchor="857" w:history="1">
        <w:r>
          <w:rPr>
            <w:rStyle w:val="optioncarChar"/>
            <w:color w:val="0000EE"/>
          </w:rPr>
          <w:t>42.15</w:t>
        </w:r>
      </w:hyperlink>
      <w:r>
        <w:rPr>
          <w:rStyle w:val="optioncarChar"/>
        </w:rPr>
        <w:t>) / Vitrages simples feuilletés (</w:t>
      </w:r>
      <w:hyperlink w:anchor="851" w:history="1">
        <w:r>
          <w:rPr>
            <w:rStyle w:val="optioncarChar"/>
            <w:color w:val="0000EE"/>
          </w:rPr>
          <w:t>42.16</w:t>
        </w:r>
      </w:hyperlink>
      <w:r>
        <w:rPr>
          <w:rStyle w:val="optioncarChar"/>
        </w:rPr>
        <w:t>) / Vitrages simples anti-radiations (</w:t>
      </w:r>
      <w:hyperlink w:anchor="979" w:history="1">
        <w:r>
          <w:rPr>
            <w:rStyle w:val="optioncarChar"/>
            <w:color w:val="0000EE"/>
          </w:rPr>
          <w:t>42.17</w:t>
        </w:r>
      </w:hyperlink>
      <w:r>
        <w:rPr>
          <w:rStyle w:val="optioncarChar"/>
        </w:rPr>
        <w:t>) / ***</w:t>
      </w:r>
    </w:p>
    <w:p w14:paraId="7A31FB9D" w14:textId="77777777" w:rsidR="00772179" w:rsidRDefault="00000000">
      <w:pPr>
        <w:jc w:val="both"/>
      </w:pPr>
      <w:r>
        <w:t>L’épaisseur du vitrage intérieur répond à la [NBN S 23-002-2]</w:t>
      </w:r>
      <w:r>
        <w:rPr>
          <w:rStyle w:val="optioncarChar"/>
        </w:rPr>
        <w:t> et [NBN S 23-002-3]</w:t>
      </w:r>
      <w:r>
        <w:t> (par défaut)</w:t>
      </w:r>
      <w:r>
        <w:rPr>
          <w:rStyle w:val="optioncarChar"/>
        </w:rPr>
        <w:t xml:space="preserve"> / *** mm</w:t>
      </w:r>
    </w:p>
    <w:p w14:paraId="6A8EB6D2" w14:textId="77777777" w:rsidR="00772179" w:rsidRDefault="00000000">
      <w:pPr>
        <w:jc w:val="both"/>
      </w:pPr>
      <w:r>
        <w:lastRenderedPageBreak/>
        <w:t>Le</w:t>
      </w:r>
      <w:r>
        <w:rPr>
          <w:b/>
        </w:rPr>
        <w:t xml:space="preserve"> vitrage central</w:t>
      </w:r>
      <w:r>
        <w:t xml:space="preserve"> est composé de </w:t>
      </w:r>
      <w:r>
        <w:rPr>
          <w:rStyle w:val="optioncarChar"/>
        </w:rPr>
        <w:t>Vitrages simples floatés (ordinaire) (</w:t>
      </w:r>
      <w:hyperlink w:anchor="855" w:history="1">
        <w:r>
          <w:rPr>
            <w:rStyle w:val="optioncarChar"/>
            <w:color w:val="0000EE"/>
          </w:rPr>
          <w:t>42.11</w:t>
        </w:r>
      </w:hyperlink>
      <w:r>
        <w:rPr>
          <w:rStyle w:val="optioncarChar"/>
        </w:rPr>
        <w:t>)</w:t>
      </w:r>
      <w:r>
        <w:t> (par défaut) </w:t>
      </w:r>
      <w:r>
        <w:rPr>
          <w:rStyle w:val="optioncarChar"/>
        </w:rPr>
        <w:t>/ Vitrages simples étirés (</w:t>
      </w:r>
      <w:hyperlink w:anchor="976" w:history="1">
        <w:r>
          <w:rPr>
            <w:rStyle w:val="optioncarChar"/>
            <w:color w:val="0000EE"/>
          </w:rPr>
          <w:t>42.12</w:t>
        </w:r>
      </w:hyperlink>
      <w:r>
        <w:rPr>
          <w:rStyle w:val="optioncarChar"/>
        </w:rPr>
        <w:t>) / Vitrages simples soufflés (</w:t>
      </w:r>
      <w:hyperlink w:anchor="977" w:history="1">
        <w:r>
          <w:rPr>
            <w:rStyle w:val="optioncarChar"/>
            <w:color w:val="0000EE"/>
          </w:rPr>
          <w:t>42.13</w:t>
        </w:r>
      </w:hyperlink>
      <w:r>
        <w:rPr>
          <w:rStyle w:val="optioncarChar"/>
        </w:rPr>
        <w:t>) / Vitrages simples trempés (</w:t>
      </w:r>
      <w:hyperlink w:anchor="856" w:history="1">
        <w:r>
          <w:rPr>
            <w:rStyle w:val="optioncarChar"/>
            <w:color w:val="0000EE"/>
          </w:rPr>
          <w:t>42.14</w:t>
        </w:r>
      </w:hyperlink>
      <w:r>
        <w:rPr>
          <w:rStyle w:val="optioncarChar"/>
        </w:rPr>
        <w:t>) / Vitrages simples durcis (</w:t>
      </w:r>
      <w:hyperlink w:anchor="857" w:history="1">
        <w:r>
          <w:rPr>
            <w:rStyle w:val="optioncarChar"/>
            <w:color w:val="0000EE"/>
          </w:rPr>
          <w:t>42.15</w:t>
        </w:r>
      </w:hyperlink>
      <w:r>
        <w:rPr>
          <w:rStyle w:val="optioncarChar"/>
        </w:rPr>
        <w:t>) / Vitrages simples feuilletés (</w:t>
      </w:r>
      <w:hyperlink w:anchor="851" w:history="1">
        <w:r>
          <w:rPr>
            <w:rStyle w:val="optioncarChar"/>
            <w:color w:val="0000EE"/>
          </w:rPr>
          <w:t>42.16</w:t>
        </w:r>
      </w:hyperlink>
      <w:r>
        <w:rPr>
          <w:rStyle w:val="optioncarChar"/>
        </w:rPr>
        <w:t>) / Vitrages simples anti-radiations (</w:t>
      </w:r>
      <w:hyperlink w:anchor="979" w:history="1">
        <w:r>
          <w:rPr>
            <w:rStyle w:val="optioncarChar"/>
            <w:color w:val="0000EE"/>
          </w:rPr>
          <w:t>42.17</w:t>
        </w:r>
      </w:hyperlink>
      <w:r>
        <w:rPr>
          <w:rStyle w:val="optioncarChar"/>
        </w:rPr>
        <w:t>) / ***</w:t>
      </w:r>
    </w:p>
    <w:p w14:paraId="000888DC" w14:textId="77777777" w:rsidR="00772179" w:rsidRDefault="00000000">
      <w:pPr>
        <w:jc w:val="both"/>
      </w:pPr>
      <w:r>
        <w:t>L’épaisseur du vitrage central répond à la [NBN S 23-002-2] </w:t>
      </w:r>
      <w:r>
        <w:rPr>
          <w:rStyle w:val="optioncarChar"/>
        </w:rPr>
        <w:t>et [NBN S 23-002-3]</w:t>
      </w:r>
      <w:r>
        <w:t xml:space="preserve"> (par défaut) </w:t>
      </w:r>
      <w:r>
        <w:rPr>
          <w:rStyle w:val="optioncarChar"/>
        </w:rPr>
        <w:t>/*** mm</w:t>
      </w:r>
    </w:p>
    <w:p w14:paraId="627708FB" w14:textId="77777777" w:rsidR="00772179" w:rsidRDefault="00000000">
      <w:pPr>
        <w:jc w:val="both"/>
      </w:pPr>
      <w:r>
        <w:t xml:space="preserve">Le </w:t>
      </w:r>
      <w:r>
        <w:rPr>
          <w:b/>
        </w:rPr>
        <w:t>vitrage extérieur</w:t>
      </w:r>
      <w:r>
        <w:t xml:space="preserve"> est composé de </w:t>
      </w:r>
      <w:r>
        <w:rPr>
          <w:rStyle w:val="optioncarChar"/>
        </w:rPr>
        <w:t>Vitrages simples floatés (ordinaire) (</w:t>
      </w:r>
      <w:hyperlink w:anchor="855" w:history="1">
        <w:r>
          <w:rPr>
            <w:rStyle w:val="optioncarChar"/>
            <w:color w:val="0000EE"/>
          </w:rPr>
          <w:t>42.11</w:t>
        </w:r>
      </w:hyperlink>
      <w:r>
        <w:rPr>
          <w:rStyle w:val="optioncarChar"/>
        </w:rPr>
        <w:t>)</w:t>
      </w:r>
      <w:r>
        <w:t> (par défaut) </w:t>
      </w:r>
      <w:r>
        <w:rPr>
          <w:rStyle w:val="optioncarChar"/>
        </w:rPr>
        <w:t>/ Vitrages simples étirés (</w:t>
      </w:r>
      <w:hyperlink w:anchor="976" w:history="1">
        <w:r>
          <w:rPr>
            <w:rStyle w:val="optioncarChar"/>
            <w:color w:val="0000EE"/>
          </w:rPr>
          <w:t>42.12</w:t>
        </w:r>
      </w:hyperlink>
      <w:r>
        <w:rPr>
          <w:rStyle w:val="optioncarChar"/>
        </w:rPr>
        <w:t>) / Vitrages simples soufflés (</w:t>
      </w:r>
      <w:hyperlink w:anchor="977" w:history="1">
        <w:r>
          <w:rPr>
            <w:rStyle w:val="optioncarChar"/>
            <w:color w:val="0000EE"/>
          </w:rPr>
          <w:t>42.13</w:t>
        </w:r>
      </w:hyperlink>
      <w:r>
        <w:rPr>
          <w:rStyle w:val="optioncarChar"/>
        </w:rPr>
        <w:t>) / Vitrages simples trempés (</w:t>
      </w:r>
      <w:hyperlink w:anchor="856" w:history="1">
        <w:r>
          <w:rPr>
            <w:rStyle w:val="optioncarChar"/>
            <w:color w:val="0000EE"/>
          </w:rPr>
          <w:t>42.14</w:t>
        </w:r>
      </w:hyperlink>
      <w:r>
        <w:rPr>
          <w:rStyle w:val="optioncarChar"/>
        </w:rPr>
        <w:t>) / Vitrages simples durcis (</w:t>
      </w:r>
      <w:hyperlink w:anchor="857" w:history="1">
        <w:r>
          <w:rPr>
            <w:rStyle w:val="optioncarChar"/>
            <w:color w:val="0000EE"/>
          </w:rPr>
          <w:t>42.15</w:t>
        </w:r>
      </w:hyperlink>
      <w:r>
        <w:rPr>
          <w:rStyle w:val="optioncarChar"/>
        </w:rPr>
        <w:t>) / Vitrages simples feuilletés (</w:t>
      </w:r>
      <w:hyperlink w:anchor="851" w:history="1">
        <w:r>
          <w:rPr>
            <w:rStyle w:val="optioncarChar"/>
            <w:color w:val="0000EE"/>
          </w:rPr>
          <w:t>42.16</w:t>
        </w:r>
      </w:hyperlink>
      <w:r>
        <w:rPr>
          <w:rStyle w:val="optioncarChar"/>
        </w:rPr>
        <w:t>) / Vitrages simples anti-radiations (</w:t>
      </w:r>
      <w:hyperlink w:anchor="979" w:history="1">
        <w:r>
          <w:rPr>
            <w:rStyle w:val="optioncarChar"/>
            <w:color w:val="0000EE"/>
          </w:rPr>
          <w:t>42.17</w:t>
        </w:r>
      </w:hyperlink>
      <w:r>
        <w:rPr>
          <w:rStyle w:val="optioncarChar"/>
        </w:rPr>
        <w:t>) / ***</w:t>
      </w:r>
    </w:p>
    <w:p w14:paraId="0BA073B5" w14:textId="77777777" w:rsidR="00772179" w:rsidRDefault="00000000">
      <w:pPr>
        <w:jc w:val="both"/>
      </w:pPr>
      <w:r>
        <w:t>L’épaisseur du vitrage extérieur répond à la [NBN S 23-002-2]</w:t>
      </w:r>
      <w:r>
        <w:rPr>
          <w:rStyle w:val="optioncarChar"/>
        </w:rPr>
        <w:t> et [NBN S 23-002-3] </w:t>
      </w:r>
      <w:r>
        <w:t>(par défaut)</w:t>
      </w:r>
      <w:r>
        <w:rPr>
          <w:rStyle w:val="optioncarChar"/>
        </w:rPr>
        <w:t xml:space="preserve"> / *** mm</w:t>
      </w:r>
    </w:p>
    <w:p w14:paraId="2583A4CC" w14:textId="77777777" w:rsidR="00772179" w:rsidRDefault="00000000">
      <w:pPr>
        <w:jc w:val="both"/>
      </w:pPr>
      <w:r>
        <w:t xml:space="preserve">Le facteur solaire (g) (ou facteur énergétique global) est mesuré conformément à [NBN EN 410] : maximum </w:t>
      </w:r>
      <w:r>
        <w:rPr>
          <w:rStyle w:val="optioncarChar"/>
        </w:rPr>
        <w:t>0.71 / ***</w:t>
      </w:r>
    </w:p>
    <w:p w14:paraId="4655E8DF" w14:textId="77777777" w:rsidR="00772179" w:rsidRDefault="00000000">
      <w:pPr>
        <w:jc w:val="both"/>
      </w:pPr>
      <w:r>
        <w:t xml:space="preserve">Le facteur de transmission lumineuse est mesuré conformément à [NBN EN 410] : </w:t>
      </w:r>
      <w:r>
        <w:rPr>
          <w:rStyle w:val="optioncarChar"/>
        </w:rPr>
        <w:t xml:space="preserve">relatif au facteur solaire </w:t>
      </w:r>
      <w:r>
        <w:t>(par défaut)</w:t>
      </w:r>
      <w:r>
        <w:rPr>
          <w:rStyle w:val="optioncarChar"/>
        </w:rPr>
        <w:t xml:space="preserve"> / 0.85 / ***</w:t>
      </w:r>
    </w:p>
    <w:p w14:paraId="68D386C8" w14:textId="77777777" w:rsidR="00772179" w:rsidRDefault="00000000">
      <w:pPr>
        <w:pStyle w:val="pheading"/>
      </w:pPr>
      <w:r>
        <w:t>- Finitions</w:t>
      </w:r>
    </w:p>
    <w:p w14:paraId="15E68358" w14:textId="77777777" w:rsidR="00772179" w:rsidRDefault="00000000">
      <w:pPr>
        <w:jc w:val="both"/>
      </w:pPr>
      <w:r>
        <w:t xml:space="preserve">Certains composants verriers font l’objet d’un façonnage des bords suivant les exigences de résistance mécanique, les risques de casse thermique et autres exigences de sécurité </w:t>
      </w:r>
      <w:r>
        <w:rPr>
          <w:rStyle w:val="optioncarChar"/>
        </w:rPr>
        <w:t xml:space="preserve">joint plat industriel lisse (ou chant meulé lisse ou plat satiné) </w:t>
      </w:r>
      <w:r>
        <w:t>(par défaut)</w:t>
      </w:r>
      <w:r>
        <w:rPr>
          <w:rStyle w:val="optioncarChar"/>
        </w:rPr>
        <w:t xml:space="preserve"> / arête abattue (ou chant biseauté) / joint plat industriel (ou chant meulé ou plat mat) / joint plat poli (ou chant poli ou plat poli) / autre à préciser par le demandeur / ***.</w:t>
      </w:r>
    </w:p>
    <w:p w14:paraId="474994E5" w14:textId="77777777" w:rsidR="00772179" w:rsidRDefault="00000000">
      <w:pPr>
        <w:jc w:val="both"/>
      </w:pPr>
      <w:r>
        <w:rPr>
          <w:u w:val="single"/>
        </w:rPr>
        <w:t>Le triple vitrage :</w:t>
      </w:r>
      <w:r>
        <w:t xml:space="preserve"> satisfait aux critères d'acceptabilité du produit pour la composition et les performances concernées tels que définis dans l'élément </w:t>
      </w:r>
      <w:r>
        <w:rPr>
          <w:rStyle w:val="facultChar"/>
        </w:rPr>
        <w:t>02.42.1 Critères d'acceptabilité.</w:t>
      </w:r>
    </w:p>
    <w:p w14:paraId="6CE1EB6E" w14:textId="77777777" w:rsidR="00772179" w:rsidRDefault="00000000">
      <w:pPr>
        <w:pStyle w:val="pheading"/>
      </w:pPr>
      <w:r>
        <w:t>EXÉCUTION / MISE EN ŒUVRE</w:t>
      </w:r>
    </w:p>
    <w:p w14:paraId="3211DDC9" w14:textId="77777777" w:rsidR="00772179" w:rsidRDefault="00000000">
      <w:pPr>
        <w:pStyle w:val="pheading"/>
      </w:pPr>
      <w:r>
        <w:t>- Prescriptions générales</w:t>
      </w:r>
    </w:p>
    <w:p w14:paraId="7276478D" w14:textId="77777777" w:rsidR="00772179" w:rsidRDefault="00000000">
      <w:pPr>
        <w:jc w:val="both"/>
      </w:pPr>
      <w:r>
        <w:t>La pose est effectuée conformément à la [NBN S 23-002] et à la [NIT 221].</w:t>
      </w:r>
    </w:p>
    <w:p w14:paraId="3EA3DCC4" w14:textId="77777777" w:rsidR="00772179" w:rsidRDefault="00000000">
      <w:pPr>
        <w:jc w:val="both"/>
      </w:pPr>
      <w:r>
        <w:t>L’épaisseur des différents composants du triple vitrage est déterminée en fonction des sollicitations, des dimensions du verre et de son mode de fixation conformément aux [NBN S 23-002], [NBN S 23-002-2] et [NBN S 23-002-3] et aux spécifications relatives à l’ouvrage vitré dans lequel il est intégré.</w:t>
      </w:r>
    </w:p>
    <w:p w14:paraId="2F591E73" w14:textId="77777777" w:rsidR="00772179" w:rsidRDefault="00000000">
      <w:pPr>
        <w:jc w:val="both"/>
      </w:pPr>
      <w:r>
        <w:t>Les garnitures d’étanchéité placées entre le vitrage et le châssis afin d’assurer l’étanchéité à l’eau et à l’air et d’absorber les dilatations différentielles sont réalisées à l’aide d’</w:t>
      </w:r>
      <w:r>
        <w:rPr>
          <w:rStyle w:val="optioncarChar"/>
        </w:rPr>
        <w:t>un mastic de classe conforme aux [STS 56.1] et à la [NIT 221] </w:t>
      </w:r>
      <w:r>
        <w:t>(par défaut)</w:t>
      </w:r>
      <w:r>
        <w:rPr>
          <w:rStyle w:val="optioncarChar"/>
        </w:rPr>
        <w:t xml:space="preserve"> / un profilé (préformé) d'étanchéité conforme à la [NBN EN 12365-1] et à la [NIT 221] / ***.</w:t>
      </w:r>
    </w:p>
    <w:p w14:paraId="08F1F40D" w14:textId="77777777" w:rsidR="00772179" w:rsidRDefault="00000000">
      <w:pPr>
        <w:jc w:val="both"/>
      </w:pPr>
      <w:r>
        <w:t>Prescriptions  :</w:t>
      </w:r>
    </w:p>
    <w:p w14:paraId="452C5B22" w14:textId="77777777" w:rsidR="00772179" w:rsidRDefault="00000000">
      <w:pPr>
        <w:pStyle w:val="Author-eListParagraph"/>
        <w:numPr>
          <w:ilvl w:val="0"/>
          <w:numId w:val="825"/>
        </w:numPr>
      </w:pPr>
      <w:r>
        <w:t>Les moyens de manutention et de mise en œuvre sont adaptés aux dimensions et au poids des vitrages</w:t>
      </w:r>
    </w:p>
    <w:p w14:paraId="51B0FAF9" w14:textId="77777777" w:rsidR="00772179" w:rsidRDefault="00000000">
      <w:pPr>
        <w:pStyle w:val="Author-eListParagraph"/>
        <w:numPr>
          <w:ilvl w:val="0"/>
          <w:numId w:val="825"/>
        </w:numPr>
      </w:pPr>
      <w:r>
        <w:t>Les menuiseries sont dimensionnées en fonction de l’épaisseur et du poids du vitrage. Dans le cas d’éléments de menuiserie ouvrants, elles sont équipées d’éléments de quincaillerie en nombre suffisant et dimensionnés pour les dimensions et le poids de l’ouvrant.</w:t>
      </w:r>
    </w:p>
    <w:p w14:paraId="0D98F136" w14:textId="77777777" w:rsidR="00772179" w:rsidRDefault="00000000">
      <w:pPr>
        <w:pStyle w:val="Author-eListParagraph"/>
        <w:numPr>
          <w:ilvl w:val="0"/>
          <w:numId w:val="825"/>
        </w:numPr>
      </w:pPr>
      <w:r>
        <w:t xml:space="preserve">Les cales de support, de distance et d'espacement sont en </w:t>
      </w:r>
      <w:r>
        <w:rPr>
          <w:rStyle w:val="optioncarChar"/>
        </w:rPr>
        <w:t>matière synthétique</w:t>
      </w:r>
      <w:r>
        <w:t xml:space="preserve"> (par défaut) </w:t>
      </w:r>
      <w:r>
        <w:rPr>
          <w:rStyle w:val="optioncarChar"/>
        </w:rPr>
        <w:t>/ ***</w:t>
      </w:r>
      <w:r>
        <w:t>.</w:t>
      </w:r>
    </w:p>
    <w:p w14:paraId="3F6A546C" w14:textId="77777777" w:rsidR="00772179" w:rsidRDefault="00000000">
      <w:pPr>
        <w:pStyle w:val="Author-eListParagraph"/>
        <w:numPr>
          <w:ilvl w:val="0"/>
          <w:numId w:val="825"/>
        </w:numPr>
      </w:pPr>
      <w:r>
        <w:t>Pour éviter le développement de contraintes de cisaillement au niveau des joints de scellement des triples vitrages, le calage de tous les composants verriers est requis. La longueur des cales de support est calculée conformément à la </w:t>
      </w:r>
      <w:r>
        <w:rPr>
          <w:rStyle w:val="facultChar"/>
        </w:rPr>
        <w:t>[NBN EN 12488].</w:t>
      </w:r>
    </w:p>
    <w:p w14:paraId="6D3588BA" w14:textId="77777777" w:rsidR="00772179" w:rsidRDefault="00000000">
      <w:pPr>
        <w:pStyle w:val="Author-eListParagraph"/>
        <w:numPr>
          <w:ilvl w:val="0"/>
          <w:numId w:val="825"/>
        </w:numPr>
      </w:pPr>
      <w:r>
        <w:t>À défaut de ne pouvoir garantir une hauteur de prise en feuillure minimale conforme à la </w:t>
      </w:r>
      <w:r>
        <w:rPr>
          <w:rStyle w:val="facultChar"/>
        </w:rPr>
        <w:t>[NBN S 23-002] </w:t>
      </w:r>
      <w:r>
        <w:t>à la </w:t>
      </w:r>
      <w:r>
        <w:rPr>
          <w:rStyle w:val="facultChar"/>
        </w:rPr>
        <w:t>[NIT 221]</w:t>
      </w:r>
      <w:r>
        <w:t>, la seconde barrière d’étanchéité constituant le joint de scellement du vitrage est réalisée avec un mastic de type silicone.</w:t>
      </w:r>
    </w:p>
    <w:p w14:paraId="39CB2B13" w14:textId="77777777" w:rsidR="00772179" w:rsidRDefault="00000000">
      <w:pPr>
        <w:pStyle w:val="Author-eListParagraph"/>
        <w:numPr>
          <w:ilvl w:val="0"/>
          <w:numId w:val="825"/>
        </w:numPr>
      </w:pPr>
      <w:r>
        <w:t xml:space="preserve">La couleur du </w:t>
      </w:r>
      <w:r>
        <w:rPr>
          <w:rStyle w:val="optioncarChar"/>
        </w:rPr>
        <w:t xml:space="preserve">mastic </w:t>
      </w:r>
      <w:r>
        <w:t>(par défaut)</w:t>
      </w:r>
      <w:r>
        <w:rPr>
          <w:rStyle w:val="optioncarChar"/>
        </w:rPr>
        <w:t xml:space="preserve"> / du profil d'étanchéité </w:t>
      </w:r>
      <w:r>
        <w:t>est</w:t>
      </w:r>
      <w:r>
        <w:rPr>
          <w:rStyle w:val="optioncarChar"/>
        </w:rPr>
        <w:t xml:space="preserve"> transparente </w:t>
      </w:r>
      <w:r>
        <w:t xml:space="preserve">(par défaut) </w:t>
      </w:r>
      <w:r>
        <w:rPr>
          <w:rStyle w:val="optioncarChar"/>
        </w:rPr>
        <w:t>/ *** .</w:t>
      </w:r>
    </w:p>
    <w:p w14:paraId="42405A22" w14:textId="77777777" w:rsidR="00772179" w:rsidRDefault="00000000">
      <w:pPr>
        <w:pStyle w:val="Author-eListParagraph"/>
        <w:numPr>
          <w:ilvl w:val="0"/>
          <w:numId w:val="825"/>
        </w:numPr>
      </w:pPr>
      <w:r>
        <w:t>Les mastics sont de type à peindre.</w:t>
      </w:r>
    </w:p>
    <w:p w14:paraId="39CEA936" w14:textId="77777777" w:rsidR="00772179" w:rsidRDefault="00000000">
      <w:pPr>
        <w:pStyle w:val="pheading"/>
      </w:pPr>
      <w:r>
        <w:lastRenderedPageBreak/>
        <w:t>- Notes d’exécution complémentaires</w:t>
      </w:r>
    </w:p>
    <w:p w14:paraId="483E54CF" w14:textId="77777777" w:rsidR="00772179" w:rsidRDefault="00000000">
      <w:r>
        <w:t> </w:t>
      </w:r>
    </w:p>
    <w:p w14:paraId="1A485B06" w14:textId="77777777" w:rsidR="00772179" w:rsidRDefault="00000000">
      <w:pPr>
        <w:pStyle w:val="pheading"/>
      </w:pPr>
      <w:r>
        <w:t>DOCUMENTS DE RÉFÉRENCE COMPLÉMENTAIRES</w:t>
      </w:r>
    </w:p>
    <w:p w14:paraId="64D8B624" w14:textId="77777777" w:rsidR="00772179" w:rsidRDefault="00000000">
      <w:pPr>
        <w:pStyle w:val="pheading"/>
      </w:pPr>
      <w:r>
        <w:t>- Matériau</w:t>
      </w:r>
    </w:p>
    <w:p w14:paraId="68D06F6C" w14:textId="77777777" w:rsidR="00772179" w:rsidRDefault="00000000">
      <w:r>
        <w:t>[NBN S 23-002, Vitrerie]</w:t>
      </w:r>
    </w:p>
    <w:p w14:paraId="1F4F751A" w14:textId="77777777" w:rsidR="00772179" w:rsidRDefault="00000000">
      <w:r>
        <w:t>[NBN S 23-002-2, Vitrerie - Partie 2 : Calcul des épaisseurs de verre]</w:t>
      </w:r>
    </w:p>
    <w:p w14:paraId="464C2B61" w14:textId="77777777" w:rsidR="00772179" w:rsidRDefault="00000000">
      <w:r>
        <w:t>[NBN S 23-002-3, Vitrerie - Partie 3 : Calcul des épaisseurs de verre en façade]</w:t>
      </w:r>
    </w:p>
    <w:p w14:paraId="73290645" w14:textId="77777777" w:rsidR="00772179" w:rsidRDefault="00000000">
      <w:r>
        <w:t>[NBN EN 1279-1, Verre dans la construction - Vitrage isolant - Partie 1 : Généralités, description du système, règles de substitution, tolérances et qualité visuelle]</w:t>
      </w:r>
    </w:p>
    <w:p w14:paraId="07E283B3" w14:textId="77777777" w:rsidR="00772179" w:rsidRDefault="00000000">
      <w:r>
        <w:t>[NBN EN 1279-2, Verre dans la construction - Vitrage isolant - Partie 2 : Méthode d'essai de longue durée et exigences en matière de pénétration d'humidité]</w:t>
      </w:r>
    </w:p>
    <w:p w14:paraId="17E31C9B" w14:textId="77777777" w:rsidR="00772179" w:rsidRDefault="00000000">
      <w:r>
        <w:t>[NBN EN 1279-3, Verre dans la construction - Vitrage isolant - Partie 3 : Méthode d'essai à long terme pour le débit de fuite et prescriptions pour les tolérances de concentration en gaz]</w:t>
      </w:r>
    </w:p>
    <w:p w14:paraId="7ECD3115" w14:textId="77777777" w:rsidR="00772179" w:rsidRDefault="00000000">
      <w:r>
        <w:t>[NBN EN 1279-4, Verre dans la construction - Vitrage isolant - Partie 4: Méthodes d'essai des propriétés physiques des composants et inserts]</w:t>
      </w:r>
    </w:p>
    <w:p w14:paraId="20E0FD79" w14:textId="77777777" w:rsidR="00772179" w:rsidRDefault="00000000">
      <w:r>
        <w:t>[NBN EN 1279-5, Verre dans la construction - Vitrage isolant - Partie 5: Norme de produit]</w:t>
      </w:r>
    </w:p>
    <w:p w14:paraId="7268D4C2" w14:textId="77777777" w:rsidR="00772179" w:rsidRDefault="00000000">
      <w:r>
        <w:t>[NBN EN 1279-6, Verre dans la construction - Vitrage isolant - Partie 6: Contrôle de production en usine et essais périodiques]</w:t>
      </w:r>
    </w:p>
    <w:p w14:paraId="3AB71375" w14:textId="77777777" w:rsidR="00772179" w:rsidRDefault="00000000">
      <w:r>
        <w:t>[NBN EN 410, Verre dans la construction - Détermination des caractéristiques lumineuses et solaires des vitrages]</w:t>
      </w:r>
    </w:p>
    <w:p w14:paraId="1C724872" w14:textId="77777777" w:rsidR="00772179" w:rsidRDefault="00772179"/>
    <w:p w14:paraId="67520831" w14:textId="77777777" w:rsidR="00772179" w:rsidRDefault="00000000">
      <w:pPr>
        <w:pStyle w:val="pheading"/>
      </w:pPr>
      <w:r>
        <w:t>- Exécution</w:t>
      </w:r>
    </w:p>
    <w:p w14:paraId="51112447" w14:textId="77777777" w:rsidR="00772179" w:rsidRDefault="00000000">
      <w:r>
        <w:t>[NBN S 23-002-2, Vitrerie - Partie 2 : Calcul des épaisseurs de verre]</w:t>
      </w:r>
    </w:p>
    <w:p w14:paraId="19A9A7E3" w14:textId="77777777" w:rsidR="00772179" w:rsidRDefault="00000000">
      <w:r>
        <w:t>[NBN S 23-002-3, Vitrerie - Partie 3 : Calcul des épaisseurs de verre en façade]</w:t>
      </w:r>
    </w:p>
    <w:p w14:paraId="1C9A7F1E" w14:textId="77777777" w:rsidR="00772179" w:rsidRDefault="00000000">
      <w:r>
        <w:t>[NBN EN 12365-1, Quincaillerie pour le bâtiment - Profilés d'étanchéité de vitrage et entre ouvrant et dormant pour portes, fenêtres, fermetures et façades rideaux - Partie 1: Exigences de performance et classification]</w:t>
      </w:r>
    </w:p>
    <w:p w14:paraId="6E0B5898" w14:textId="77777777" w:rsidR="00772179" w:rsidRDefault="00000000">
      <w:r>
        <w:t>[STS 56.1, Mastics d’étanchéité des façades]</w:t>
      </w:r>
    </w:p>
    <w:p w14:paraId="4452AFFC" w14:textId="77777777" w:rsidR="00772179" w:rsidRDefault="00000000">
      <w:r>
        <w:t>[NIT 221, La pose des vitrages en feuillure (Les NIT 214 et 221 remplacent les NIT 110 et 113).]</w:t>
      </w:r>
    </w:p>
    <w:p w14:paraId="33363EA0" w14:textId="77777777" w:rsidR="00772179" w:rsidRDefault="00000000">
      <w:r>
        <w:t>[NBN EN 12488, Verre dans la construction - Recommandations pour la mise en oeuvre - Principes de pose pour vitrage vertical et incliné]</w:t>
      </w:r>
    </w:p>
    <w:p w14:paraId="430D3F11" w14:textId="77777777" w:rsidR="00772179" w:rsidRDefault="00772179"/>
    <w:p w14:paraId="6E3938D4" w14:textId="77777777" w:rsidR="00772179" w:rsidRDefault="00000000">
      <w:pPr>
        <w:pStyle w:val="pheading"/>
      </w:pPr>
      <w:r>
        <w:t>MESURAGE</w:t>
      </w:r>
    </w:p>
    <w:p w14:paraId="24460C10" w14:textId="77777777" w:rsidR="00772179" w:rsidRDefault="00000000">
      <w:pPr>
        <w:pStyle w:val="pheading"/>
      </w:pPr>
      <w:r>
        <w:t>- unité de mesure:</w:t>
      </w:r>
    </w:p>
    <w:p w14:paraId="2E497CC8" w14:textId="77777777" w:rsidR="00772179" w:rsidRDefault="00000000">
      <w:r>
        <w:rPr>
          <w:rStyle w:val="optioncarChar"/>
        </w:rPr>
        <w:t>-</w:t>
      </w:r>
      <w:r>
        <w:t xml:space="preserve"> (par défaut) </w:t>
      </w:r>
      <w:r>
        <w:rPr>
          <w:rStyle w:val="optioncarChar"/>
        </w:rPr>
        <w:t>/ m²</w:t>
      </w:r>
    </w:p>
    <w:p w14:paraId="5444DC9F" w14:textId="77777777" w:rsidR="00772179" w:rsidRDefault="00000000">
      <w:r>
        <w:rPr>
          <w:b/>
        </w:rPr>
        <w:t>(soit par défaut)</w:t>
      </w:r>
    </w:p>
    <w:p w14:paraId="70D0A30A" w14:textId="77777777" w:rsidR="00772179" w:rsidRDefault="00000000">
      <w:r>
        <w:rPr>
          <w:rStyle w:val="soitChar"/>
        </w:rPr>
        <w:t>1. -</w:t>
      </w:r>
    </w:p>
    <w:p w14:paraId="0F0BAA53" w14:textId="77777777" w:rsidR="00772179" w:rsidRDefault="00000000">
      <w:r>
        <w:rPr>
          <w:b/>
        </w:rPr>
        <w:t>(soit)</w:t>
      </w:r>
    </w:p>
    <w:p w14:paraId="4D91F703" w14:textId="77777777" w:rsidR="00772179" w:rsidRDefault="00000000">
      <w:r>
        <w:rPr>
          <w:rStyle w:val="soitChar"/>
        </w:rPr>
        <w:t>2. m²</w:t>
      </w:r>
    </w:p>
    <w:p w14:paraId="73BE0527" w14:textId="77777777" w:rsidR="00772179" w:rsidRDefault="00000000">
      <w:pPr>
        <w:pStyle w:val="pheading"/>
      </w:pPr>
      <w:r>
        <w:t>- code de mesurage:</w:t>
      </w:r>
    </w:p>
    <w:p w14:paraId="5BD8ABEB" w14:textId="77777777" w:rsidR="00772179" w:rsidRDefault="00000000">
      <w:pPr>
        <w:jc w:val="both"/>
      </w:pPr>
      <w:r>
        <w:rPr>
          <w:rStyle w:val="optioncarChar"/>
        </w:rPr>
        <w:t>prix unitaire global</w:t>
      </w:r>
      <w:r>
        <w:t xml:space="preserve"> (par défaut) </w:t>
      </w:r>
      <w:r>
        <w:rPr>
          <w:rStyle w:val="optioncarChar"/>
        </w:rPr>
        <w:t>/ poste séparé</w:t>
      </w:r>
    </w:p>
    <w:p w14:paraId="22482EDD" w14:textId="77777777" w:rsidR="00772179" w:rsidRDefault="00000000">
      <w:pPr>
        <w:jc w:val="both"/>
      </w:pPr>
      <w:r>
        <w:rPr>
          <w:b/>
        </w:rPr>
        <w:lastRenderedPageBreak/>
        <w:t>(soit par défaut)</w:t>
      </w:r>
    </w:p>
    <w:p w14:paraId="463A9B9E" w14:textId="77777777" w:rsidR="00772179" w:rsidRDefault="00000000">
      <w:pPr>
        <w:jc w:val="both"/>
      </w:pPr>
      <w:r>
        <w:rPr>
          <w:rStyle w:val="soitChar"/>
          <w:u w:val="single"/>
        </w:rPr>
        <w:t>1. Prix unitaire :</w:t>
      </w:r>
      <w:r>
        <w:rPr>
          <w:rStyle w:val="soitChar"/>
        </w:rPr>
        <w:t xml:space="preserve">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xml:space="preserve"> et/ou des lanterneaux, conformément aux spécifications pour les vitrages dans les postes concernés.</w:t>
      </w:r>
    </w:p>
    <w:p w14:paraId="5170D33D" w14:textId="77777777" w:rsidR="00772179" w:rsidRDefault="00000000">
      <w:pPr>
        <w:jc w:val="both"/>
      </w:pPr>
      <w:r>
        <w:rPr>
          <w:b/>
        </w:rPr>
        <w:t>(soit)</w:t>
      </w:r>
    </w:p>
    <w:p w14:paraId="7064B901" w14:textId="77777777" w:rsidR="00772179" w:rsidRDefault="00000000">
      <w:pPr>
        <w:jc w:val="both"/>
      </w:pPr>
      <w:r>
        <w:rPr>
          <w:rStyle w:val="soitChar"/>
          <w:u w:val="single"/>
        </w:rPr>
        <w:t>2. Poste séparé :</w:t>
      </w:r>
      <w:r>
        <w:rPr>
          <w:rStyle w:val="soitChar"/>
        </w:rPr>
        <w:t xml:space="preserve"> Exceptionnellement et uniquement moyennant mention explicite dans le cahier spécial des charges et le métré récapitulatif, certains vitrages extérieurs spéciaux sont repris dans un </w:t>
      </w:r>
      <w:r>
        <w:rPr>
          <w:rStyle w:val="soitChar"/>
          <w:u w:val="single"/>
        </w:rPr>
        <w:t>poste séparé</w:t>
      </w:r>
      <w:r>
        <w:rPr>
          <w:rStyle w:val="soitChar"/>
        </w:rPr>
        <w:t>, ventilé en fonction du type de vitrage. Surfaces nettes vitrées (surface réellement placée). Les surfaces &lt; 0,25 m sont comptées pour 0,25 m. Les vitres non rectangulaires sont mesurées selon la superficie du plus petit rectangle circonscrit.</w:t>
      </w:r>
    </w:p>
    <w:p w14:paraId="631A4024" w14:textId="77777777" w:rsidR="00772179" w:rsidRDefault="00000000">
      <w:pPr>
        <w:pStyle w:val="pheading"/>
      </w:pPr>
      <w:r>
        <w:t>- nature du marché:</w:t>
      </w:r>
    </w:p>
    <w:p w14:paraId="011B8AC3" w14:textId="77777777" w:rsidR="00772179" w:rsidRDefault="00000000">
      <w:r>
        <w:rPr>
          <w:rStyle w:val="optioncarChar"/>
        </w:rPr>
        <w:t>PM</w:t>
      </w:r>
      <w:r>
        <w:t xml:space="preserve"> (par défaut) </w:t>
      </w:r>
      <w:r>
        <w:rPr>
          <w:rStyle w:val="optioncarChar"/>
        </w:rPr>
        <w:t>/ QF</w:t>
      </w:r>
    </w:p>
    <w:p w14:paraId="18A6FA9D" w14:textId="77777777" w:rsidR="00772179" w:rsidRDefault="00000000">
      <w:r>
        <w:rPr>
          <w:b/>
        </w:rPr>
        <w:t>(soit par défaut)</w:t>
      </w:r>
    </w:p>
    <w:p w14:paraId="58E90D1C" w14:textId="77777777" w:rsidR="00772179" w:rsidRDefault="00000000">
      <w:r>
        <w:rPr>
          <w:rStyle w:val="soitChar"/>
        </w:rPr>
        <w:t>1. PM</w:t>
      </w:r>
    </w:p>
    <w:p w14:paraId="7FA8D9BA" w14:textId="77777777" w:rsidR="00772179" w:rsidRDefault="00000000">
      <w:r>
        <w:rPr>
          <w:b/>
        </w:rPr>
        <w:t>(soit)</w:t>
      </w:r>
    </w:p>
    <w:p w14:paraId="0BB5A1F8" w14:textId="77777777" w:rsidR="00772179" w:rsidRDefault="00000000">
      <w:r>
        <w:rPr>
          <w:rStyle w:val="soitChar"/>
        </w:rPr>
        <w:t>2. QF</w:t>
      </w:r>
    </w:p>
    <w:p w14:paraId="52136210" w14:textId="77777777" w:rsidR="00772179" w:rsidRDefault="00000000">
      <w:pPr>
        <w:pStyle w:val="Author-eSectionHeading5Numberless"/>
      </w:pPr>
      <w:bookmarkStart w:id="587" w:name="_Toc220490284"/>
      <w:r>
        <w:t>42.22.3 Vitrages multiples à séparations par films tendus - Gaz CCTB 01.04</w:t>
      </w:r>
      <w:bookmarkEnd w:id="587"/>
    </w:p>
    <w:p w14:paraId="4CA5D7C7" w14:textId="77777777" w:rsidR="00772179" w:rsidRDefault="00000000">
      <w:pPr>
        <w:pStyle w:val="Author-eSectionHeading6Numberless"/>
      </w:pPr>
      <w:bookmarkStart w:id="588" w:name="_Toc220490285"/>
      <w:r>
        <w:t>42.22.3a Vitrages multiples à séparations par films tendus - Gaz CCTB 01.04</w:t>
      </w:r>
      <w:bookmarkEnd w:id="588"/>
    </w:p>
    <w:p w14:paraId="1153D093" w14:textId="77777777" w:rsidR="00772179" w:rsidRDefault="00000000">
      <w:pPr>
        <w:pStyle w:val="Author-eSectionHeading5Numberless"/>
      </w:pPr>
      <w:bookmarkStart w:id="589" w:name="_Toc220490286"/>
      <w:r>
        <w:t>42.22.4 Vitrages multiples (+ de trois) - Gaz</w:t>
      </w:r>
      <w:bookmarkEnd w:id="589"/>
    </w:p>
    <w:p w14:paraId="577564BA" w14:textId="77777777" w:rsidR="00772179" w:rsidRDefault="00000000">
      <w:pPr>
        <w:pStyle w:val="Author-eSectionHeading6Numberless"/>
      </w:pPr>
      <w:bookmarkStart w:id="590" w:name="_Toc220490287"/>
      <w:r>
        <w:t>42.22.4a Vitrages multiples (+ de trois) - Gaz</w:t>
      </w:r>
      <w:bookmarkEnd w:id="590"/>
    </w:p>
    <w:p w14:paraId="4DA61ECB" w14:textId="77777777" w:rsidR="00772179" w:rsidRDefault="00000000">
      <w:pPr>
        <w:pStyle w:val="Author-eSectionHeading4Numberless"/>
      </w:pPr>
      <w:bookmarkStart w:id="591" w:name="_Toc220490288"/>
      <w:r>
        <w:t>42.23 Vitrages multiples - Sous vide</w:t>
      </w:r>
      <w:bookmarkEnd w:id="591"/>
    </w:p>
    <w:p w14:paraId="78F828CF" w14:textId="77777777" w:rsidR="00772179" w:rsidRDefault="00000000">
      <w:pPr>
        <w:pStyle w:val="Author-eSectionHeading5Numberless"/>
      </w:pPr>
      <w:bookmarkStart w:id="592" w:name="_Toc220490289"/>
      <w:r>
        <w:t>42.23.1 Vitrages multiples - Sous vide</w:t>
      </w:r>
      <w:bookmarkEnd w:id="592"/>
    </w:p>
    <w:p w14:paraId="63428FF2" w14:textId="77777777" w:rsidR="00772179" w:rsidRDefault="00000000">
      <w:pPr>
        <w:pStyle w:val="Author-eSectionHeading6Numberless"/>
      </w:pPr>
      <w:bookmarkStart w:id="593" w:name="_Toc220490290"/>
      <w:r>
        <w:t>42.23.1a Vitrages multiples - Sous vide CCTB 01.12</w:t>
      </w:r>
      <w:bookmarkEnd w:id="593"/>
    </w:p>
    <w:p w14:paraId="0B9935C5" w14:textId="77777777" w:rsidR="00772179" w:rsidRDefault="00000000">
      <w:pPr>
        <w:pStyle w:val="pheading"/>
      </w:pPr>
      <w:r>
        <w:t>DESCRIPTION</w:t>
      </w:r>
    </w:p>
    <w:p w14:paraId="0FB08DE7" w14:textId="77777777" w:rsidR="00772179" w:rsidRDefault="00000000">
      <w:pPr>
        <w:pStyle w:val="pheading"/>
      </w:pPr>
      <w:r>
        <w:t>- Définition / Comprend</w:t>
      </w:r>
    </w:p>
    <w:p w14:paraId="03408767" w14:textId="77777777" w:rsidR="00772179" w:rsidRDefault="00000000">
      <w:pPr>
        <w:jc w:val="both"/>
      </w:pPr>
      <w:r>
        <w:t>Il s’agit de la fourniture et la pose de vitrages multiples – sous vide.</w:t>
      </w:r>
    </w:p>
    <w:p w14:paraId="5D971B89" w14:textId="77777777" w:rsidR="00772179" w:rsidRDefault="00000000">
      <w:pPr>
        <w:jc w:val="both"/>
      </w:pPr>
      <w:r>
        <w:t xml:space="preserve">L’étendue de l’ouvrage est décrite sous </w:t>
      </w:r>
      <w:hyperlink w:anchor="64" w:history="1">
        <w:r>
          <w:rPr>
            <w:color w:val="0000EE"/>
          </w:rPr>
          <w:t>41.1 Fenêtres et portes-fenêtres</w:t>
        </w:r>
      </w:hyperlink>
    </w:p>
    <w:p w14:paraId="09083B8E" w14:textId="77777777" w:rsidR="00772179" w:rsidRDefault="00000000">
      <w:pPr>
        <w:jc w:val="both"/>
      </w:pPr>
      <w:r>
        <w:t>Le vitrage satisfait aux critères d'acceptabilité du produit tels que définis au 02.42.1 Critères d'acceptabilité, pour la composition et les performances concernées.</w:t>
      </w:r>
    </w:p>
    <w:p w14:paraId="1BE16678" w14:textId="77777777" w:rsidR="00772179" w:rsidRDefault="00000000">
      <w:pPr>
        <w:pStyle w:val="pheading"/>
      </w:pPr>
      <w:r>
        <w:t>MATÉRIAUX</w:t>
      </w:r>
    </w:p>
    <w:p w14:paraId="3124BFB1" w14:textId="77777777" w:rsidR="00772179" w:rsidRDefault="00000000">
      <w:pPr>
        <w:pStyle w:val="pheading"/>
      </w:pPr>
      <w:r>
        <w:t>- Caractéristiques générales</w:t>
      </w:r>
    </w:p>
    <w:p w14:paraId="69DAC8AF" w14:textId="77777777" w:rsidR="00772179" w:rsidRDefault="00000000">
      <w:pPr>
        <w:jc w:val="both"/>
      </w:pPr>
      <w:r>
        <w:t>Composition : vitrage isolant sous vide composé de 2 feuilles de verre recuit séparées par une cavité sous vide de 0,1 mm d’épaisseur maintenue par des micro-intercalaires selon une grille carrée et scellé au moyen d’un joint de bord inorganique.</w:t>
      </w:r>
    </w:p>
    <w:p w14:paraId="0951C42F" w14:textId="77777777" w:rsidR="00772179" w:rsidRDefault="00000000">
      <w:pPr>
        <w:jc w:val="both"/>
      </w:pPr>
      <w:r>
        <w:t>La feuille extérieure est un verre clair conforme à la [NBN EN 572-2].</w:t>
      </w:r>
    </w:p>
    <w:p w14:paraId="20DFF40D" w14:textId="77777777" w:rsidR="00772179" w:rsidRDefault="00000000">
      <w:pPr>
        <w:jc w:val="both"/>
      </w:pPr>
      <w:r>
        <w:t>La feuille intérieure est dotée, côté vide, d’une couche à faible émissivité conforme à la [NBN EN 1096-3].</w:t>
      </w:r>
    </w:p>
    <w:p w14:paraId="4AA25A4F" w14:textId="77777777" w:rsidR="00772179" w:rsidRDefault="00000000">
      <w:pPr>
        <w:jc w:val="both"/>
      </w:pPr>
      <w:r>
        <w:t>L’épaisseur du verre est déterminée en fonction des dimensions du vitrage, et des pressions dynamiques.</w:t>
      </w:r>
    </w:p>
    <w:p w14:paraId="516F5C65" w14:textId="77777777" w:rsidR="00772179" w:rsidRDefault="00000000">
      <w:pPr>
        <w:jc w:val="both"/>
      </w:pPr>
      <w:r>
        <w:lastRenderedPageBreak/>
        <w:t xml:space="preserve">Type de vitrage : </w:t>
      </w:r>
      <w:r>
        <w:rPr>
          <w:rStyle w:val="optioncarChar"/>
        </w:rPr>
        <w:t>simple sous vide</w:t>
      </w:r>
      <w:r>
        <w:t xml:space="preserve"> (par défaut) </w:t>
      </w:r>
      <w:r>
        <w:rPr>
          <w:rStyle w:val="optioncarChar"/>
        </w:rPr>
        <w:t>/ composé avec une feuille de verre simple et l’espace rempli d’argon</w:t>
      </w:r>
    </w:p>
    <w:p w14:paraId="38386469" w14:textId="77777777" w:rsidR="00772179" w:rsidRDefault="00000000">
      <w:pPr>
        <w:jc w:val="both"/>
      </w:pPr>
      <w:r>
        <w:rPr>
          <w:b/>
        </w:rPr>
        <w:t>(soit par défaut)</w:t>
      </w:r>
    </w:p>
    <w:p w14:paraId="6670E230" w14:textId="77777777" w:rsidR="00772179" w:rsidRDefault="00000000">
      <w:pPr>
        <w:jc w:val="both"/>
      </w:pPr>
      <w:r>
        <w:rPr>
          <w:rStyle w:val="soitChar"/>
          <w:u w:val="single"/>
        </w:rPr>
        <w:t>Simple sous vide :</w:t>
      </w:r>
    </w:p>
    <w:p w14:paraId="13A247AC" w14:textId="77777777" w:rsidR="00772179" w:rsidRDefault="00000000">
      <w:pPr>
        <w:jc w:val="both"/>
      </w:pPr>
      <w:r>
        <w:rPr>
          <w:rStyle w:val="soitChar"/>
        </w:rPr>
        <w:t xml:space="preserve">Épaisseur ± : </w:t>
      </w:r>
      <w:r>
        <w:rPr>
          <w:rStyle w:val="optioncarChar"/>
        </w:rPr>
        <w:t xml:space="preserve">10 </w:t>
      </w:r>
      <w:r>
        <w:t>(par défaut)</w:t>
      </w:r>
      <w:r>
        <w:rPr>
          <w:rStyle w:val="optioncarChar"/>
        </w:rPr>
        <w:t xml:space="preserve"> / 7 / 8 / 12 / 14 / 20 / 32 / ***</w:t>
      </w:r>
      <w:r>
        <w:rPr>
          <w:rStyle w:val="soitChar"/>
        </w:rPr>
        <w:t xml:space="preserve"> mm</w:t>
      </w:r>
    </w:p>
    <w:p w14:paraId="53A44B1A" w14:textId="77777777" w:rsidR="00772179" w:rsidRDefault="00000000">
      <w:pPr>
        <w:jc w:val="both"/>
      </w:pPr>
      <w:r>
        <w:rPr>
          <w:rStyle w:val="soitChar"/>
        </w:rPr>
        <w:t xml:space="preserve">Coefficient d’isolation thermique selon [NBN EN 673] Ug ≤ : </w:t>
      </w:r>
      <w:r>
        <w:rPr>
          <w:rStyle w:val="optioncarChar"/>
        </w:rPr>
        <w:t>0,7</w:t>
      </w:r>
      <w:r>
        <w:t xml:space="preserve"> (par défaut) </w:t>
      </w:r>
      <w:r>
        <w:rPr>
          <w:rStyle w:val="optioncarChar"/>
        </w:rPr>
        <w:t>/ ***</w:t>
      </w:r>
      <w:r>
        <w:rPr>
          <w:rStyle w:val="soitChar"/>
        </w:rPr>
        <w:t xml:space="preserve"> W/m²K</w:t>
      </w:r>
    </w:p>
    <w:p w14:paraId="60E2186F" w14:textId="77777777" w:rsidR="00772179" w:rsidRDefault="00000000">
      <w:pPr>
        <w:jc w:val="both"/>
      </w:pPr>
      <w:r>
        <w:rPr>
          <w:rStyle w:val="soitChar"/>
        </w:rPr>
        <w:t xml:space="preserve">L'indice d'affaiblissement acoustique selon [NBN EN ISO 10140 série] ≥ : </w:t>
      </w:r>
      <w:r>
        <w:rPr>
          <w:rStyle w:val="optioncarChar"/>
        </w:rPr>
        <w:t>30</w:t>
      </w:r>
      <w:r>
        <w:t xml:space="preserve"> (par défaut)</w:t>
      </w:r>
      <w:r>
        <w:rPr>
          <w:rStyle w:val="optioncarChar"/>
        </w:rPr>
        <w:t xml:space="preserve"> / 33 / 34 / 36 / 37 / 38 / 39 / ***</w:t>
      </w:r>
      <w:r>
        <w:rPr>
          <w:rStyle w:val="soitChar"/>
        </w:rPr>
        <w:t xml:space="preserve"> dB.</w:t>
      </w:r>
    </w:p>
    <w:p w14:paraId="5CD03B0E" w14:textId="77777777" w:rsidR="00772179" w:rsidRDefault="00000000">
      <w:pPr>
        <w:jc w:val="both"/>
      </w:pPr>
      <w:r>
        <w:rPr>
          <w:rStyle w:val="soitChar"/>
        </w:rPr>
        <w:t>Performances lumineuses :</w:t>
      </w:r>
    </w:p>
    <w:p w14:paraId="3B767508" w14:textId="77777777" w:rsidR="00772179" w:rsidRDefault="00000000">
      <w:pPr>
        <w:pStyle w:val="Author-eListParagraph"/>
        <w:numPr>
          <w:ilvl w:val="0"/>
          <w:numId w:val="826"/>
        </w:numPr>
      </w:pPr>
      <w:r>
        <w:rPr>
          <w:rStyle w:val="soitChar"/>
        </w:rPr>
        <w:t xml:space="preserve">Tl ± : </w:t>
      </w:r>
      <w:r>
        <w:rPr>
          <w:rStyle w:val="optioncarChar"/>
        </w:rPr>
        <w:t xml:space="preserve">79 </w:t>
      </w:r>
      <w:r>
        <w:t>(par défaut)</w:t>
      </w:r>
      <w:r>
        <w:rPr>
          <w:rStyle w:val="optioncarChar"/>
        </w:rPr>
        <w:t xml:space="preserve"> / 80 / 78 / 77 / 75 / 61 / ***</w:t>
      </w:r>
      <w:r>
        <w:rPr>
          <w:rStyle w:val="soitChar"/>
        </w:rPr>
        <w:t xml:space="preserve"> %</w:t>
      </w:r>
    </w:p>
    <w:p w14:paraId="4A7491CB" w14:textId="77777777" w:rsidR="00772179" w:rsidRDefault="00000000">
      <w:pPr>
        <w:pStyle w:val="Author-eListParagraph"/>
        <w:numPr>
          <w:ilvl w:val="0"/>
          <w:numId w:val="826"/>
        </w:numPr>
      </w:pPr>
      <w:r>
        <w:rPr>
          <w:rStyle w:val="soitChar"/>
        </w:rPr>
        <w:t xml:space="preserve">RL ext ± : </w:t>
      </w:r>
      <w:r>
        <w:rPr>
          <w:rStyle w:val="optioncarChar"/>
        </w:rPr>
        <w:t>14</w:t>
      </w:r>
      <w:r>
        <w:t xml:space="preserve"> (par défaut)</w:t>
      </w:r>
      <w:r>
        <w:rPr>
          <w:rStyle w:val="optioncarChar"/>
        </w:rPr>
        <w:t xml:space="preserve"> / 13 / 15 / ***</w:t>
      </w:r>
      <w:r>
        <w:rPr>
          <w:rStyle w:val="soitChar"/>
        </w:rPr>
        <w:t xml:space="preserve"> %</w:t>
      </w:r>
    </w:p>
    <w:p w14:paraId="7509E312" w14:textId="77777777" w:rsidR="00772179" w:rsidRDefault="00000000">
      <w:pPr>
        <w:pStyle w:val="Author-eListParagraph"/>
        <w:numPr>
          <w:ilvl w:val="0"/>
          <w:numId w:val="826"/>
        </w:numPr>
      </w:pPr>
      <w:r>
        <w:rPr>
          <w:rStyle w:val="soitChar"/>
        </w:rPr>
        <w:t xml:space="preserve">RL int ± : </w:t>
      </w:r>
      <w:r>
        <w:rPr>
          <w:rStyle w:val="optioncarChar"/>
        </w:rPr>
        <w:t>14</w:t>
      </w:r>
      <w:r>
        <w:t xml:space="preserve"> (par défaut)</w:t>
      </w:r>
      <w:r>
        <w:rPr>
          <w:rStyle w:val="optioncarChar"/>
        </w:rPr>
        <w:t xml:space="preserve"> / 13 / 16 / ***</w:t>
      </w:r>
      <w:r>
        <w:rPr>
          <w:rStyle w:val="soitChar"/>
        </w:rPr>
        <w:t xml:space="preserve"> %</w:t>
      </w:r>
    </w:p>
    <w:p w14:paraId="175930F0" w14:textId="77777777" w:rsidR="00772179" w:rsidRDefault="00000000">
      <w:pPr>
        <w:pStyle w:val="Author-eListParagraph"/>
        <w:numPr>
          <w:ilvl w:val="0"/>
          <w:numId w:val="826"/>
        </w:numPr>
      </w:pPr>
      <w:r>
        <w:rPr>
          <w:rStyle w:val="soitChar"/>
        </w:rPr>
        <w:t xml:space="preserve">g ± : </w:t>
      </w:r>
      <w:r>
        <w:rPr>
          <w:rStyle w:val="optioncarChar"/>
        </w:rPr>
        <w:t xml:space="preserve">0,70 </w:t>
      </w:r>
      <w:r>
        <w:t>(par défaut)</w:t>
      </w:r>
      <w:r>
        <w:rPr>
          <w:rStyle w:val="optioncarChar"/>
        </w:rPr>
        <w:t xml:space="preserve"> / 0,60 / 0,58 / 0, 57 / 0, 56 / 0,40 / 0,30 / ***</w:t>
      </w:r>
    </w:p>
    <w:p w14:paraId="53B7235B" w14:textId="77777777" w:rsidR="00772179" w:rsidRDefault="00000000">
      <w:pPr>
        <w:jc w:val="both"/>
      </w:pPr>
      <w:r>
        <w:rPr>
          <w:rStyle w:val="soitChar"/>
        </w:rPr>
        <w:t xml:space="preserve">Sécurité des personnes [NBN S 23-002] : </w:t>
      </w:r>
      <w:r>
        <w:rPr>
          <w:rStyle w:val="optioncarChar"/>
        </w:rPr>
        <w:t>néant</w:t>
      </w:r>
      <w:r>
        <w:t xml:space="preserve"> (par défaut)</w:t>
      </w:r>
      <w:r>
        <w:rPr>
          <w:rStyle w:val="optioncarChar"/>
        </w:rPr>
        <w:t xml:space="preserve"> / 1B1 / ***</w:t>
      </w:r>
    </w:p>
    <w:p w14:paraId="33D42E6E" w14:textId="77777777" w:rsidR="00772179" w:rsidRDefault="00000000">
      <w:pPr>
        <w:jc w:val="both"/>
      </w:pPr>
      <w:r>
        <w:rPr>
          <w:rStyle w:val="soitChar"/>
        </w:rPr>
        <w:t xml:space="preserve">Performances anti-effraction : </w:t>
      </w:r>
      <w:r>
        <w:rPr>
          <w:rStyle w:val="optioncarChar"/>
        </w:rPr>
        <w:t xml:space="preserve">néant </w:t>
      </w:r>
      <w:r>
        <w:t>(par défaut)</w:t>
      </w:r>
      <w:r>
        <w:rPr>
          <w:rStyle w:val="optioncarChar"/>
        </w:rPr>
        <w:t xml:space="preserve"> / CR2 / ***</w:t>
      </w:r>
    </w:p>
    <w:p w14:paraId="6E05F9AA" w14:textId="77777777" w:rsidR="00772179" w:rsidRDefault="00000000">
      <w:pPr>
        <w:jc w:val="both"/>
      </w:pPr>
      <w:r>
        <w:rPr>
          <w:rStyle w:val="soitChar"/>
        </w:rPr>
        <w:t>Verre de restauration :</w:t>
      </w:r>
      <w:r>
        <w:rPr>
          <w:rStyle w:val="optioncarChar"/>
        </w:rPr>
        <w:t xml:space="preserve"> non </w:t>
      </w:r>
      <w:r>
        <w:t xml:space="preserve">(par défaut) </w:t>
      </w:r>
      <w:r>
        <w:rPr>
          <w:rStyle w:val="optioncarChar"/>
        </w:rPr>
        <w:t>/ période 1880 à 1920 / période 1920 à 1960 / à partir de 1960</w:t>
      </w:r>
    </w:p>
    <w:p w14:paraId="7647E870" w14:textId="77777777" w:rsidR="00772179" w:rsidRDefault="00000000">
      <w:pPr>
        <w:jc w:val="both"/>
      </w:pPr>
      <w:r>
        <w:rPr>
          <w:b/>
        </w:rPr>
        <w:t>(soit)</w:t>
      </w:r>
    </w:p>
    <w:p w14:paraId="3FAD104A" w14:textId="77777777" w:rsidR="00772179" w:rsidRDefault="00000000">
      <w:pPr>
        <w:jc w:val="both"/>
      </w:pPr>
      <w:r>
        <w:rPr>
          <w:rStyle w:val="soitChar"/>
          <w:u w:val="single"/>
        </w:rPr>
        <w:t>Composé avec une feuille de verre simple et l’espace rempli d’argon :</w:t>
      </w:r>
    </w:p>
    <w:p w14:paraId="6D56CD9B" w14:textId="77777777" w:rsidR="00772179" w:rsidRDefault="00000000">
      <w:pPr>
        <w:jc w:val="both"/>
      </w:pPr>
      <w:r>
        <w:rPr>
          <w:rStyle w:val="soitChar"/>
        </w:rPr>
        <w:t>Feuille pourvue d’une couche à contrôle solaire :</w:t>
      </w:r>
      <w:r>
        <w:rPr>
          <w:rStyle w:val="optioncarChar"/>
        </w:rPr>
        <w:t xml:space="preserve"> oui </w:t>
      </w:r>
      <w:r>
        <w:t xml:space="preserve">(par défaut) </w:t>
      </w:r>
      <w:r>
        <w:rPr>
          <w:rStyle w:val="optioncarChar"/>
        </w:rPr>
        <w:t>/ non</w:t>
      </w:r>
    </w:p>
    <w:p w14:paraId="361AB4A3" w14:textId="77777777" w:rsidR="00772179" w:rsidRDefault="00000000">
      <w:pPr>
        <w:jc w:val="both"/>
      </w:pPr>
      <w:r>
        <w:rPr>
          <w:rStyle w:val="soitChar"/>
        </w:rPr>
        <w:t xml:space="preserve">Épaisseur totale ± : </w:t>
      </w:r>
      <w:r>
        <w:rPr>
          <w:rStyle w:val="optioncarChar"/>
        </w:rPr>
        <w:t>32</w:t>
      </w:r>
      <w:r>
        <w:t xml:space="preserve"> (par défaut) </w:t>
      </w:r>
      <w:r>
        <w:rPr>
          <w:rStyle w:val="optioncarChar"/>
        </w:rPr>
        <w:t>/ ***</w:t>
      </w:r>
      <w:r>
        <w:rPr>
          <w:rStyle w:val="soitChar"/>
        </w:rPr>
        <w:t xml:space="preserve"> mm</w:t>
      </w:r>
    </w:p>
    <w:p w14:paraId="39909879" w14:textId="77777777" w:rsidR="00772179" w:rsidRDefault="00000000">
      <w:pPr>
        <w:jc w:val="both"/>
      </w:pPr>
      <w:r>
        <w:rPr>
          <w:rStyle w:val="soitChar"/>
        </w:rPr>
        <w:t xml:space="preserve">Coefficient d’isolation thermique selon [NBN EN 673] Ug ≤ : </w:t>
      </w:r>
      <w:r>
        <w:rPr>
          <w:rStyle w:val="optioncarChar"/>
        </w:rPr>
        <w:t>0,5</w:t>
      </w:r>
      <w:r>
        <w:t xml:space="preserve"> (par défaut)</w:t>
      </w:r>
      <w:r>
        <w:rPr>
          <w:rStyle w:val="optioncarChar"/>
        </w:rPr>
        <w:t xml:space="preserve"> / ***</w:t>
      </w:r>
      <w:r>
        <w:rPr>
          <w:rStyle w:val="soitChar"/>
        </w:rPr>
        <w:t xml:space="preserve"> W/m²K</w:t>
      </w:r>
    </w:p>
    <w:p w14:paraId="7B3629D4" w14:textId="77777777" w:rsidR="00772179" w:rsidRDefault="00000000">
      <w:pPr>
        <w:jc w:val="both"/>
      </w:pPr>
      <w:r>
        <w:rPr>
          <w:rStyle w:val="soitChar"/>
        </w:rPr>
        <w:t>L'indice d'affaiblissement acoustique selon [NBN EN ISO 10140 série] ≥ :</w:t>
      </w:r>
      <w:r>
        <w:rPr>
          <w:rStyle w:val="optioncarChar"/>
        </w:rPr>
        <w:t xml:space="preserve"> 39</w:t>
      </w:r>
      <w:r>
        <w:t xml:space="preserve"> (par défaut)</w:t>
      </w:r>
      <w:r>
        <w:rPr>
          <w:rStyle w:val="optioncarChar"/>
        </w:rPr>
        <w:t xml:space="preserve"> / *** </w:t>
      </w:r>
      <w:r>
        <w:rPr>
          <w:rStyle w:val="soitChar"/>
        </w:rPr>
        <w:t>dB.</w:t>
      </w:r>
    </w:p>
    <w:p w14:paraId="67EF9BFB" w14:textId="77777777" w:rsidR="00772179" w:rsidRDefault="00000000">
      <w:pPr>
        <w:jc w:val="both"/>
      </w:pPr>
      <w:r>
        <w:rPr>
          <w:rStyle w:val="soitChar"/>
        </w:rPr>
        <w:t>Performances lumineuses :</w:t>
      </w:r>
    </w:p>
    <w:p w14:paraId="6E3FD0A9" w14:textId="77777777" w:rsidR="00772179" w:rsidRDefault="00000000">
      <w:pPr>
        <w:pStyle w:val="Author-eListParagraph"/>
        <w:numPr>
          <w:ilvl w:val="0"/>
          <w:numId w:val="827"/>
        </w:numPr>
      </w:pPr>
      <w:r>
        <w:rPr>
          <w:rStyle w:val="soitChar"/>
        </w:rPr>
        <w:t>Tl ± :</w:t>
      </w:r>
      <w:r>
        <w:rPr>
          <w:rStyle w:val="optioncarChar"/>
        </w:rPr>
        <w:t xml:space="preserve"> 61</w:t>
      </w:r>
      <w:r>
        <w:t xml:space="preserve"> (par défaut)</w:t>
      </w:r>
      <w:r>
        <w:rPr>
          <w:rStyle w:val="optioncarChar"/>
        </w:rPr>
        <w:t xml:space="preserve"> / ***</w:t>
      </w:r>
      <w:r>
        <w:rPr>
          <w:rStyle w:val="soitChar"/>
        </w:rPr>
        <w:t xml:space="preserve"> %</w:t>
      </w:r>
    </w:p>
    <w:p w14:paraId="2134D37D" w14:textId="77777777" w:rsidR="00772179" w:rsidRDefault="00000000">
      <w:pPr>
        <w:pStyle w:val="Author-eListParagraph"/>
        <w:numPr>
          <w:ilvl w:val="0"/>
          <w:numId w:val="827"/>
        </w:numPr>
      </w:pPr>
      <w:r>
        <w:rPr>
          <w:rStyle w:val="soitChar"/>
        </w:rPr>
        <w:t xml:space="preserve">RL ext ± : </w:t>
      </w:r>
      <w:r>
        <w:rPr>
          <w:rStyle w:val="optioncarChar"/>
        </w:rPr>
        <w:t>16</w:t>
      </w:r>
      <w:r>
        <w:t xml:space="preserve"> (par défaut)</w:t>
      </w:r>
      <w:r>
        <w:rPr>
          <w:rStyle w:val="optioncarChar"/>
        </w:rPr>
        <w:t xml:space="preserve"> / ***</w:t>
      </w:r>
      <w:r>
        <w:rPr>
          <w:rStyle w:val="soitChar"/>
        </w:rPr>
        <w:t xml:space="preserve"> %</w:t>
      </w:r>
    </w:p>
    <w:p w14:paraId="02A23210" w14:textId="77777777" w:rsidR="00772179" w:rsidRDefault="00000000">
      <w:pPr>
        <w:pStyle w:val="Author-eListParagraph"/>
        <w:numPr>
          <w:ilvl w:val="0"/>
          <w:numId w:val="827"/>
        </w:numPr>
      </w:pPr>
      <w:r>
        <w:rPr>
          <w:rStyle w:val="soitChar"/>
        </w:rPr>
        <w:t xml:space="preserve">RL int ± : </w:t>
      </w:r>
      <w:r>
        <w:rPr>
          <w:rStyle w:val="optioncarChar"/>
        </w:rPr>
        <w:t>18</w:t>
      </w:r>
      <w:r>
        <w:t xml:space="preserve"> (par défaut)</w:t>
      </w:r>
      <w:r>
        <w:rPr>
          <w:rStyle w:val="optioncarChar"/>
        </w:rPr>
        <w:t xml:space="preserve"> / ***</w:t>
      </w:r>
      <w:r>
        <w:rPr>
          <w:rStyle w:val="soitChar"/>
        </w:rPr>
        <w:t>%</w:t>
      </w:r>
    </w:p>
    <w:p w14:paraId="23674683" w14:textId="77777777" w:rsidR="00772179" w:rsidRDefault="00000000">
      <w:pPr>
        <w:pStyle w:val="Author-eListParagraph"/>
        <w:numPr>
          <w:ilvl w:val="0"/>
          <w:numId w:val="827"/>
        </w:numPr>
      </w:pPr>
      <w:r>
        <w:rPr>
          <w:rStyle w:val="soitChar"/>
        </w:rPr>
        <w:t>g ± :</w:t>
      </w:r>
      <w:r>
        <w:rPr>
          <w:rStyle w:val="optioncarChar"/>
        </w:rPr>
        <w:t xml:space="preserve"> 33,5 </w:t>
      </w:r>
      <w:r>
        <w:t>(par défaut)</w:t>
      </w:r>
      <w:r>
        <w:rPr>
          <w:rStyle w:val="optioncarChar"/>
        </w:rPr>
        <w:t xml:space="preserve"> / ***</w:t>
      </w:r>
    </w:p>
    <w:p w14:paraId="4C08D9FF" w14:textId="77777777" w:rsidR="00772179" w:rsidRDefault="00000000">
      <w:pPr>
        <w:jc w:val="both"/>
      </w:pPr>
      <w:r>
        <w:rPr>
          <w:rStyle w:val="soitChar"/>
        </w:rPr>
        <w:t xml:space="preserve">Sécurité des personnes [NBN S 23-002] : </w:t>
      </w:r>
      <w:r>
        <w:rPr>
          <w:rStyle w:val="optioncarChar"/>
        </w:rPr>
        <w:t>néant</w:t>
      </w:r>
      <w:r>
        <w:t xml:space="preserve"> (par défaut)</w:t>
      </w:r>
      <w:r>
        <w:rPr>
          <w:rStyle w:val="optioncarChar"/>
        </w:rPr>
        <w:t xml:space="preserve"> / 1B1 / ***</w:t>
      </w:r>
    </w:p>
    <w:p w14:paraId="0A9FE448" w14:textId="77777777" w:rsidR="00772179" w:rsidRDefault="00000000">
      <w:pPr>
        <w:jc w:val="both"/>
      </w:pPr>
      <w:r>
        <w:rPr>
          <w:rStyle w:val="soitChar"/>
        </w:rPr>
        <w:t xml:space="preserve">Performances anti-éffraction : </w:t>
      </w:r>
      <w:r>
        <w:rPr>
          <w:rStyle w:val="optioncarChar"/>
        </w:rPr>
        <w:t>néant</w:t>
      </w:r>
      <w:r>
        <w:t xml:space="preserve"> (par défaut) </w:t>
      </w:r>
      <w:r>
        <w:rPr>
          <w:rStyle w:val="optioncarChar"/>
        </w:rPr>
        <w:t>/ CR2 / *** </w:t>
      </w:r>
    </w:p>
    <w:p w14:paraId="33054D10" w14:textId="77777777" w:rsidR="00772179" w:rsidRDefault="00000000">
      <w:pPr>
        <w:jc w:val="both"/>
      </w:pPr>
      <w:r>
        <w:rPr>
          <w:b/>
        </w:rPr>
        <w:t>Aspects environnementaux</w:t>
      </w:r>
    </w:p>
    <w:p w14:paraId="6D6A2D69" w14:textId="77777777" w:rsidR="00772179" w:rsidRDefault="00000000">
      <w:pPr>
        <w:pStyle w:val="Author-eListParagraph"/>
        <w:numPr>
          <w:ilvl w:val="0"/>
          <w:numId w:val="828"/>
        </w:numPr>
      </w:pPr>
      <w:r>
        <w:t>Exempt de plomb</w:t>
      </w:r>
    </w:p>
    <w:p w14:paraId="1D5D03BE" w14:textId="77777777" w:rsidR="00772179" w:rsidRDefault="00000000">
      <w:pPr>
        <w:pStyle w:val="Author-eListParagraph"/>
        <w:numPr>
          <w:ilvl w:val="0"/>
          <w:numId w:val="828"/>
        </w:numPr>
      </w:pPr>
      <w:r>
        <w:t>Recyclable : 100 %</w:t>
      </w:r>
    </w:p>
    <w:p w14:paraId="14654766" w14:textId="77777777" w:rsidR="00772179" w:rsidRDefault="00000000">
      <w:pPr>
        <w:pStyle w:val="Author-eListParagraph"/>
        <w:numPr>
          <w:ilvl w:val="0"/>
          <w:numId w:val="828"/>
        </w:numPr>
      </w:pPr>
      <w:r>
        <w:t xml:space="preserve">Verre certifié craddle to craddle : </w:t>
      </w:r>
      <w:r>
        <w:rPr>
          <w:rStyle w:val="optioncarChar"/>
        </w:rPr>
        <w:t xml:space="preserve">oui </w:t>
      </w:r>
      <w:r>
        <w:t>(par défaut)</w:t>
      </w:r>
      <w:r>
        <w:rPr>
          <w:rStyle w:val="optioncarChar"/>
        </w:rPr>
        <w:t xml:space="preserve"> / non</w:t>
      </w:r>
    </w:p>
    <w:p w14:paraId="0C70D073" w14:textId="77777777" w:rsidR="00772179" w:rsidRDefault="00000000">
      <w:pPr>
        <w:pStyle w:val="pheading"/>
      </w:pPr>
      <w:r>
        <w:t>EXÉCUTION / MISE EN ŒUVRE</w:t>
      </w:r>
    </w:p>
    <w:p w14:paraId="5EF98EB0" w14:textId="77777777" w:rsidR="00772179" w:rsidRDefault="00000000">
      <w:pPr>
        <w:pStyle w:val="pheading"/>
      </w:pPr>
      <w:r>
        <w:t>- Prescriptions générales</w:t>
      </w:r>
    </w:p>
    <w:p w14:paraId="26E3D7A5" w14:textId="77777777" w:rsidR="00772179" w:rsidRDefault="00000000">
      <w:r>
        <w:t xml:space="preserve">Les vitrages sont posés tel que décrit au </w:t>
      </w:r>
      <w:hyperlink w:anchor="852" w:history="1">
        <w:r>
          <w:rPr>
            <w:color w:val="0000EE"/>
          </w:rPr>
          <w:t>42 Vitrages extérieurs et éléments de remplissage</w:t>
        </w:r>
      </w:hyperlink>
      <w:r>
        <w:t>.</w:t>
      </w:r>
    </w:p>
    <w:p w14:paraId="0DD4A964" w14:textId="77777777" w:rsidR="00772179" w:rsidRDefault="00000000">
      <w:pPr>
        <w:pStyle w:val="pheading"/>
      </w:pPr>
      <w:r>
        <w:t>CONTRÔLES PARTICULIERS</w:t>
      </w:r>
    </w:p>
    <w:p w14:paraId="327309A4" w14:textId="77777777" w:rsidR="00772179" w:rsidRDefault="00000000">
      <w:r>
        <w:t xml:space="preserve">Les contrôles sont réalisés tel que décrit au </w:t>
      </w:r>
      <w:hyperlink w:anchor="852" w:history="1">
        <w:r>
          <w:rPr>
            <w:color w:val="0000EE"/>
          </w:rPr>
          <w:t>42 Vitrages extérieurs et éléments de remplissage</w:t>
        </w:r>
      </w:hyperlink>
      <w:r>
        <w:t>.</w:t>
      </w:r>
    </w:p>
    <w:p w14:paraId="0245A7C8" w14:textId="77777777" w:rsidR="00772179" w:rsidRDefault="00000000">
      <w:pPr>
        <w:pStyle w:val="pheading"/>
      </w:pPr>
      <w:r>
        <w:t>DOCUMENTS DE RÉFÉRENCE COMPLÉMENTAIRES</w:t>
      </w:r>
    </w:p>
    <w:p w14:paraId="454256E8" w14:textId="77777777" w:rsidR="00772179" w:rsidRDefault="00000000">
      <w:pPr>
        <w:pStyle w:val="pheading"/>
      </w:pPr>
      <w:r>
        <w:t>- Matériau</w:t>
      </w:r>
    </w:p>
    <w:p w14:paraId="1D0CE56B" w14:textId="77777777" w:rsidR="00772179" w:rsidRDefault="00000000">
      <w:r>
        <w:t>[NIT 221, La pose des vitrages en feuillure (Les NIT 214 et 221 remplacent les NIT 110 et 113).]</w:t>
      </w:r>
    </w:p>
    <w:p w14:paraId="12C9E9E7" w14:textId="77777777" w:rsidR="00772179" w:rsidRDefault="00000000">
      <w:r>
        <w:lastRenderedPageBreak/>
        <w:t>[NBN S 23-002, Vitrerie]</w:t>
      </w:r>
    </w:p>
    <w:p w14:paraId="671F06F3" w14:textId="77777777" w:rsidR="00772179" w:rsidRDefault="00000000">
      <w:r>
        <w:t>[NBN S 23-002-2, Vitrerie - Partie 2 : Calcul des épaisseurs de verre]</w:t>
      </w:r>
    </w:p>
    <w:p w14:paraId="2C5A95C9" w14:textId="77777777" w:rsidR="00772179" w:rsidRDefault="00000000">
      <w:r>
        <w:t>[NBN S 23-002-3, Vitrerie - Partie 3 : Calcul des épaisseurs de verre en façade]</w:t>
      </w:r>
    </w:p>
    <w:p w14:paraId="2A30FD03" w14:textId="77777777" w:rsidR="00772179" w:rsidRDefault="00000000">
      <w:r>
        <w:t>[NBN EN 410, Verre dans la construction - Détermination des caractéristiques lumineuses et solaires des vitrages]</w:t>
      </w:r>
    </w:p>
    <w:p w14:paraId="34673063" w14:textId="77777777" w:rsidR="00772179" w:rsidRDefault="00000000">
      <w:r>
        <w:t>[NBN EN 572-2, Verre dans la construction - Produits de base : verre de silicate sodo-calcique - Partie 2 : Glace flottée]</w:t>
      </w:r>
    </w:p>
    <w:p w14:paraId="75B806B3" w14:textId="77777777" w:rsidR="00772179" w:rsidRDefault="00000000">
      <w:r>
        <w:t>[NBN EN 673, Verre dans la construction - Détermination du coefficient de transmission thermique, U - Méthode de calcul]</w:t>
      </w:r>
    </w:p>
    <w:p w14:paraId="2FE5FED5" w14:textId="77777777" w:rsidR="00772179" w:rsidRDefault="00000000">
      <w:r>
        <w:t>[NBN EN 1096-3, Verre dans la construction - Verre à couche - Partie 3: Exigences et méthodes d'essai pour les couches C et D]</w:t>
      </w:r>
    </w:p>
    <w:p w14:paraId="256E0A52" w14:textId="77777777" w:rsidR="00772179" w:rsidRDefault="00000000">
      <w:r>
        <w:t>[NBN EN ISO 10140 série, Acoustique - Mesurage en laboratoire de l'isolation acoustique des éléments de construction]</w:t>
      </w:r>
    </w:p>
    <w:p w14:paraId="098EB692" w14:textId="77777777" w:rsidR="00772179" w:rsidRDefault="00000000">
      <w:pPr>
        <w:pStyle w:val="pheading"/>
      </w:pPr>
      <w:r>
        <w:t>- Exécution</w:t>
      </w:r>
    </w:p>
    <w:p w14:paraId="42FEBD28" w14:textId="77777777" w:rsidR="00772179" w:rsidRDefault="00000000">
      <w:r>
        <w:t>[NIT 221, La pose des vitrages en feuillure (Les NIT 214 et 221 remplacent les NIT 110 et 113).]</w:t>
      </w:r>
    </w:p>
    <w:p w14:paraId="41AB7143" w14:textId="77777777" w:rsidR="00772179" w:rsidRDefault="00000000">
      <w:pPr>
        <w:pStyle w:val="pheading"/>
      </w:pPr>
      <w:r>
        <w:t>MESURAGE</w:t>
      </w:r>
    </w:p>
    <w:p w14:paraId="6924E6FD" w14:textId="77777777" w:rsidR="00772179" w:rsidRDefault="00000000">
      <w:pPr>
        <w:pStyle w:val="pheading"/>
      </w:pPr>
      <w:r>
        <w:t>- unité de mesure:</w:t>
      </w:r>
    </w:p>
    <w:p w14:paraId="47BE54F9" w14:textId="77777777" w:rsidR="00772179" w:rsidRDefault="00000000">
      <w:r>
        <w:rPr>
          <w:rStyle w:val="optioncarChar"/>
        </w:rPr>
        <w:t>-</w:t>
      </w:r>
      <w:r>
        <w:t xml:space="preserve"> (par défaut) </w:t>
      </w:r>
      <w:r>
        <w:rPr>
          <w:rStyle w:val="optioncarChar"/>
        </w:rPr>
        <w:t>/ m²</w:t>
      </w:r>
    </w:p>
    <w:p w14:paraId="6BCE9EDC" w14:textId="77777777" w:rsidR="00772179" w:rsidRDefault="00000000">
      <w:r>
        <w:rPr>
          <w:b/>
        </w:rPr>
        <w:t>(soit par défaut)</w:t>
      </w:r>
      <w:r>
        <w:br/>
      </w:r>
      <w:r>
        <w:rPr>
          <w:rStyle w:val="soitChar"/>
        </w:rPr>
        <w:t>1. -</w:t>
      </w:r>
      <w:r>
        <w:br/>
      </w:r>
      <w:r>
        <w:rPr>
          <w:b/>
        </w:rPr>
        <w:t>(soit)</w:t>
      </w:r>
      <w:r>
        <w:br/>
      </w:r>
      <w:r>
        <w:rPr>
          <w:rStyle w:val="soitChar"/>
        </w:rPr>
        <w:t>2. m²</w:t>
      </w:r>
    </w:p>
    <w:p w14:paraId="70B145EB" w14:textId="77777777" w:rsidR="00772179" w:rsidRDefault="00000000">
      <w:pPr>
        <w:pStyle w:val="pheading"/>
      </w:pPr>
      <w:r>
        <w:t>- code de mesurage:</w:t>
      </w:r>
    </w:p>
    <w:p w14:paraId="5BD44D11" w14:textId="77777777" w:rsidR="00772179" w:rsidRDefault="00000000">
      <w:pPr>
        <w:jc w:val="both"/>
      </w:pPr>
      <w:r>
        <w:rPr>
          <w:rStyle w:val="optioncarChar"/>
        </w:rPr>
        <w:t xml:space="preserve">Compris </w:t>
      </w:r>
      <w:r>
        <w:t xml:space="preserve">(par défaut) </w:t>
      </w:r>
      <w:r>
        <w:rPr>
          <w:rStyle w:val="optioncarChar"/>
        </w:rPr>
        <w:t>/ Surface nette</w:t>
      </w:r>
    </w:p>
    <w:p w14:paraId="7A9D7963" w14:textId="77777777" w:rsidR="00772179" w:rsidRDefault="00000000">
      <w:pPr>
        <w:jc w:val="both"/>
      </w:pPr>
      <w:r>
        <w:rPr>
          <w:b/>
        </w:rPr>
        <w:t>(soit par défaut)</w:t>
      </w:r>
    </w:p>
    <w:p w14:paraId="0646C09B" w14:textId="77777777" w:rsidR="00772179" w:rsidRDefault="00000000">
      <w:pPr>
        <w:jc w:val="both"/>
      </w:pPr>
      <w:r>
        <w:rPr>
          <w:rStyle w:val="soitChar"/>
        </w:rPr>
        <w:t xml:space="preserve">1. </w:t>
      </w:r>
      <w:r>
        <w:rPr>
          <w:rStyle w:val="soitChar"/>
          <w:u w:val="single"/>
        </w:rPr>
        <w:t>Compris</w:t>
      </w:r>
      <w:r>
        <w:rPr>
          <w:rStyle w:val="soitChar"/>
        </w:rPr>
        <w:t xml:space="preserve"> dans le prix unitaire de la menuiserie dans laquelle le vitrage est intégré à l’article </w:t>
      </w:r>
      <w:r>
        <w:rPr>
          <w:rStyle w:val="optioncarChar"/>
        </w:rPr>
        <w:t>***</w:t>
      </w:r>
      <w:r>
        <w:t>.</w:t>
      </w:r>
    </w:p>
    <w:p w14:paraId="6357B4AD" w14:textId="77777777" w:rsidR="00772179" w:rsidRDefault="00000000">
      <w:pPr>
        <w:jc w:val="both"/>
      </w:pPr>
      <w:r>
        <w:rPr>
          <w:b/>
        </w:rPr>
        <w:t>(soit)</w:t>
      </w:r>
    </w:p>
    <w:p w14:paraId="36BB3DCB" w14:textId="77777777" w:rsidR="00772179" w:rsidRDefault="00000000">
      <w:pPr>
        <w:jc w:val="both"/>
      </w:pPr>
      <w:r>
        <w:rPr>
          <w:rStyle w:val="soitChar"/>
        </w:rPr>
        <w:t xml:space="preserve">2. </w:t>
      </w:r>
      <w:r>
        <w:rPr>
          <w:rStyle w:val="soitChar"/>
          <w:u w:val="single"/>
        </w:rPr>
        <w:t>Surface nette</w:t>
      </w:r>
      <w:r>
        <w:rPr>
          <w:rStyle w:val="soitChar"/>
        </w:rPr>
        <w:t>, distinction faite du type.</w:t>
      </w:r>
    </w:p>
    <w:p w14:paraId="483E72A2" w14:textId="77777777" w:rsidR="00772179" w:rsidRDefault="00000000">
      <w:pPr>
        <w:pStyle w:val="pheading"/>
      </w:pPr>
      <w:r>
        <w:t>- nature du marché:</w:t>
      </w:r>
    </w:p>
    <w:p w14:paraId="1EC07B2F" w14:textId="77777777" w:rsidR="00772179" w:rsidRDefault="00000000">
      <w:r>
        <w:rPr>
          <w:rStyle w:val="optioncarChar"/>
        </w:rPr>
        <w:t xml:space="preserve">PM </w:t>
      </w:r>
      <w:r>
        <w:t xml:space="preserve">(par défaut) </w:t>
      </w:r>
      <w:r>
        <w:rPr>
          <w:rStyle w:val="optioncarChar"/>
        </w:rPr>
        <w:t>QF</w:t>
      </w:r>
    </w:p>
    <w:p w14:paraId="594274BE" w14:textId="77777777" w:rsidR="00772179" w:rsidRDefault="00000000">
      <w:r>
        <w:rPr>
          <w:b/>
        </w:rPr>
        <w:t>(soit par défaut)</w:t>
      </w:r>
      <w:r>
        <w:br/>
      </w:r>
      <w:r>
        <w:rPr>
          <w:rStyle w:val="soitChar"/>
        </w:rPr>
        <w:t>1. PM</w:t>
      </w:r>
      <w:r>
        <w:br/>
      </w:r>
      <w:r>
        <w:rPr>
          <w:b/>
        </w:rPr>
        <w:t>(soit)</w:t>
      </w:r>
      <w:r>
        <w:br/>
      </w:r>
      <w:r>
        <w:rPr>
          <w:rStyle w:val="soitChar"/>
        </w:rPr>
        <w:t>2. QF</w:t>
      </w:r>
    </w:p>
    <w:p w14:paraId="65857F7A" w14:textId="77777777" w:rsidR="00772179" w:rsidRDefault="00000000">
      <w:pPr>
        <w:pStyle w:val="Author-eSectionHeading4Numberless"/>
      </w:pPr>
      <w:bookmarkStart w:id="594" w:name="_Toc220490291"/>
      <w:r>
        <w:t>42.24 Eléments complémentaires aux vitrages multiples</w:t>
      </w:r>
      <w:bookmarkEnd w:id="594"/>
    </w:p>
    <w:p w14:paraId="4D785F16" w14:textId="77777777" w:rsidR="00772179" w:rsidRDefault="00000000">
      <w:pPr>
        <w:pStyle w:val="Author-eSectionHeading5Numberless"/>
      </w:pPr>
      <w:bookmarkStart w:id="595" w:name="_Toc220490292"/>
      <w:r>
        <w:t>42.24.1 Stores intégrés aux vitrages multiples CCTB 01.02</w:t>
      </w:r>
      <w:bookmarkEnd w:id="595"/>
    </w:p>
    <w:p w14:paraId="1DE49AD2" w14:textId="77777777" w:rsidR="00772179" w:rsidRDefault="00000000">
      <w:pPr>
        <w:pStyle w:val="Author-eSectionHeading6Numberless"/>
      </w:pPr>
      <w:bookmarkStart w:id="596" w:name="_Toc220490293"/>
      <w:r>
        <w:t>42.24.1a Stores intégrés aux vitrages multiples</w:t>
      </w:r>
      <w:bookmarkEnd w:id="596"/>
    </w:p>
    <w:p w14:paraId="66143D3C" w14:textId="77777777" w:rsidR="00772179" w:rsidRDefault="00000000">
      <w:pPr>
        <w:pStyle w:val="Author-eSectionHeading5Numberless"/>
      </w:pPr>
      <w:bookmarkStart w:id="597" w:name="_Toc220490294"/>
      <w:r>
        <w:t>42.24.2 Croisillons intégrés aux vitrages multiples</w:t>
      </w:r>
      <w:bookmarkEnd w:id="597"/>
    </w:p>
    <w:p w14:paraId="317E038F" w14:textId="77777777" w:rsidR="00772179" w:rsidRDefault="00000000">
      <w:pPr>
        <w:pStyle w:val="Author-eSectionHeading6Numberless"/>
      </w:pPr>
      <w:bookmarkStart w:id="598" w:name="_Toc220490295"/>
      <w:r>
        <w:t>42.24.2a Croisillons intégrés aux vitrages multiples</w:t>
      </w:r>
      <w:bookmarkEnd w:id="598"/>
    </w:p>
    <w:p w14:paraId="4A5B59D8" w14:textId="77777777" w:rsidR="00772179" w:rsidRDefault="00000000">
      <w:pPr>
        <w:pStyle w:val="Author-eSectionHeading3Numberless"/>
      </w:pPr>
      <w:bookmarkStart w:id="599" w:name="_Toc220490296"/>
      <w:r>
        <w:t>42.3 Eléments de remplissage CCTB 01.10</w:t>
      </w:r>
      <w:bookmarkEnd w:id="599"/>
    </w:p>
    <w:p w14:paraId="2D928597" w14:textId="77777777" w:rsidR="00772179" w:rsidRDefault="00000000">
      <w:pPr>
        <w:pStyle w:val="pheading"/>
      </w:pPr>
      <w:r>
        <w:lastRenderedPageBreak/>
        <w:t>DESCRIPTION</w:t>
      </w:r>
    </w:p>
    <w:p w14:paraId="691BCEB0" w14:textId="77777777" w:rsidR="00772179" w:rsidRDefault="00000000">
      <w:pPr>
        <w:pStyle w:val="pheading"/>
      </w:pPr>
      <w:r>
        <w:t>- Définition / Comprend</w:t>
      </w:r>
    </w:p>
    <w:p w14:paraId="6AD53829" w14:textId="77777777" w:rsidR="00772179" w:rsidRDefault="00000000">
      <w:r>
        <w:t>Il s'agit d'éléments de remplissage, utilisés dans la menuiserie extérieure (principalement dans les portes d'entrée) pour les remplir et les rendre opaques. Ils sont placés comme le vitrage, en les insérant dans le cadre profilé et en les fixant avec des parcloses et un mastic d'étanchéité élastique.</w:t>
      </w:r>
    </w:p>
    <w:p w14:paraId="10D87143" w14:textId="77777777" w:rsidR="00772179" w:rsidRDefault="00000000">
      <w:pPr>
        <w:pStyle w:val="pheading"/>
      </w:pPr>
      <w:r>
        <w:t>MATÉRIAUX</w:t>
      </w:r>
    </w:p>
    <w:p w14:paraId="5A7DCE43" w14:textId="77777777" w:rsidR="00772179" w:rsidRDefault="00000000">
      <w:r>
        <w:t>Plaques </w:t>
      </w:r>
    </w:p>
    <w:p w14:paraId="275EBFA7" w14:textId="77777777" w:rsidR="00772179" w:rsidRDefault="00000000">
      <w:r>
        <w:t>Les éléments de remplissage et leurs moyens de fixation sont de nature telle, pour qu’ils soient compatibles avec le matériau et la forme du cadre dans lequel ils sont posés ainsi qu'avec les parcloses. Les éléments de remplissage n'exercent aucune influence néfaste sur l'étanchéité au vent, à la pluie et à l'air de l'ensemble de porte ou de fenêtre. Les éléments ne sont pas perforés. Les éléments de remplissage sont conçus comme :</w:t>
      </w:r>
    </w:p>
    <w:p w14:paraId="78EB1EF0" w14:textId="77777777" w:rsidR="00772179" w:rsidRDefault="00000000">
      <w:pPr>
        <w:ind w:left="675"/>
      </w:pPr>
      <w:r>
        <w:t>⇒ plaques simples, isolées et modulées ou non</w:t>
      </w:r>
    </w:p>
    <w:p w14:paraId="6F0EE302" w14:textId="77777777" w:rsidR="00772179" w:rsidRDefault="00000000">
      <w:pPr>
        <w:ind w:left="675"/>
      </w:pPr>
      <w:r>
        <w:t>⇒ panneaux simples en planchettes isolés et modulés ou non (principalement en bois ou en PVC)</w:t>
      </w:r>
    </w:p>
    <w:p w14:paraId="2927AD74" w14:textId="77777777" w:rsidR="00772179" w:rsidRDefault="00000000">
      <w:pPr>
        <w:ind w:left="675"/>
      </w:pPr>
      <w:r>
        <w:t>⇒ panneaux sandwich, finition double, avec insertion d'un matériau d'isolation. </w:t>
      </w:r>
    </w:p>
    <w:p w14:paraId="7235FA01" w14:textId="77777777" w:rsidR="00772179" w:rsidRDefault="00000000">
      <w:r>
        <w:t>MATÉRIAUX d'isolation</w:t>
      </w:r>
    </w:p>
    <w:p w14:paraId="1BC4E16A" w14:textId="77777777" w:rsidR="00772179" w:rsidRDefault="00000000">
      <w:r>
        <w:t>Note à l’attention de l’auteur de projet</w:t>
      </w:r>
    </w:p>
    <w:p w14:paraId="6B086C75" w14:textId="77777777" w:rsidR="00772179" w:rsidRDefault="00000000">
      <w:r>
        <w:t>Valeurs λ</w:t>
      </w:r>
      <w:r>
        <w:rPr>
          <w:vertAlign w:val="subscript"/>
        </w:rPr>
        <w:t>d</w:t>
      </w:r>
      <w:r>
        <w:t xml:space="preserve"> selon l'agrément technique ATG et valeur λ</w:t>
      </w:r>
      <w:r>
        <w:rPr>
          <w:vertAlign w:val="subscript"/>
        </w:rPr>
        <w:t>u</w:t>
      </w:r>
      <w:r>
        <w:t xml:space="preserve"> selon la norme  pour les matériaux d'isolation.</w:t>
      </w:r>
    </w:p>
    <w:tbl>
      <w:tblPr>
        <w:tblStyle w:val="Author-eTableGrid"/>
        <w:tblW w:w="0" w:type="auto"/>
        <w:tblBorders>
          <w:top w:val="single" w:sz="1" w:space="0" w:color="auto"/>
          <w:left w:val="single" w:sz="1" w:space="0" w:color="auto"/>
          <w:bottom w:val="single" w:sz="1" w:space="0" w:color="auto"/>
          <w:right w:val="single" w:sz="1" w:space="0" w:color="auto"/>
          <w:insideH w:val="nil"/>
          <w:insideV w:val="nil"/>
        </w:tblBorders>
        <w:tblLayout w:type="fixed"/>
        <w:tblLook w:val="04A0" w:firstRow="1" w:lastRow="0" w:firstColumn="1" w:lastColumn="0" w:noHBand="0" w:noVBand="1"/>
      </w:tblPr>
      <w:tblGrid>
        <w:gridCol w:w="3000"/>
        <w:gridCol w:w="3000"/>
        <w:gridCol w:w="3000"/>
      </w:tblGrid>
      <w:tr w:rsidR="00772179" w14:paraId="032E4FAD" w14:textId="77777777">
        <w:tc>
          <w:tcPr>
            <w:tcW w:w="3000" w:type="dxa"/>
            <w:tcBorders>
              <w:top w:val="single" w:sz="1" w:space="0" w:color="000000"/>
              <w:left w:val="single" w:sz="1" w:space="0" w:color="000000"/>
              <w:bottom w:val="single" w:sz="1" w:space="0" w:color="808080"/>
              <w:right w:val="single" w:sz="1" w:space="0" w:color="000000"/>
            </w:tcBorders>
            <w:noWrap/>
          </w:tcPr>
          <w:p w14:paraId="3D35B340" w14:textId="77777777" w:rsidR="00772179" w:rsidRDefault="00000000">
            <w:r>
              <w:rPr>
                <w:b/>
              </w:rPr>
              <w:t>Matériau d'isolation</w:t>
            </w:r>
          </w:p>
        </w:tc>
        <w:tc>
          <w:tcPr>
            <w:tcW w:w="3000" w:type="dxa"/>
            <w:tcBorders>
              <w:top w:val="single" w:sz="1" w:space="0" w:color="000000"/>
              <w:left w:val="single" w:sz="1" w:space="0" w:color="000000"/>
              <w:bottom w:val="single" w:sz="1" w:space="0" w:color="808080"/>
              <w:right w:val="single" w:sz="1" w:space="0" w:color="000000"/>
            </w:tcBorders>
            <w:noWrap/>
          </w:tcPr>
          <w:p w14:paraId="502A63B5" w14:textId="77777777" w:rsidR="00772179" w:rsidRDefault="00000000">
            <w:r>
              <w:rPr>
                <w:b/>
              </w:rPr>
              <w:t>valeur λ</w:t>
            </w:r>
            <w:r>
              <w:rPr>
                <w:b/>
                <w:vertAlign w:val="subscript"/>
              </w:rPr>
              <w:t>d</w:t>
            </w:r>
            <w:r>
              <w:rPr>
                <w:b/>
              </w:rPr>
              <w:t xml:space="preserve"> (1) </w:t>
            </w:r>
            <w:r>
              <w:t>(W/(m.K))</w:t>
            </w:r>
          </w:p>
        </w:tc>
        <w:tc>
          <w:tcPr>
            <w:tcW w:w="3000" w:type="dxa"/>
            <w:tcBorders>
              <w:top w:val="single" w:sz="1" w:space="0" w:color="000000"/>
              <w:left w:val="single" w:sz="1" w:space="0" w:color="000000"/>
              <w:bottom w:val="single" w:sz="1" w:space="0" w:color="808080"/>
              <w:right w:val="single" w:sz="1" w:space="0" w:color="000000"/>
            </w:tcBorders>
            <w:noWrap/>
          </w:tcPr>
          <w:p w14:paraId="053FFF35" w14:textId="77777777" w:rsidR="00772179" w:rsidRDefault="00000000">
            <w:r>
              <w:rPr>
                <w:b/>
              </w:rPr>
              <w:t xml:space="preserve">valeur de la norme (2) </w:t>
            </w:r>
            <w:r>
              <w:t>(W/(m.K))</w:t>
            </w:r>
          </w:p>
        </w:tc>
      </w:tr>
      <w:tr w:rsidR="00772179" w14:paraId="76E4C0C6" w14:textId="77777777">
        <w:tc>
          <w:tcPr>
            <w:tcW w:w="3000" w:type="dxa"/>
            <w:tcBorders>
              <w:top w:val="single" w:sz="1" w:space="0" w:color="000000"/>
              <w:left w:val="single" w:sz="1" w:space="0" w:color="000000"/>
              <w:bottom w:val="single" w:sz="1" w:space="0" w:color="000000"/>
              <w:right w:val="single" w:sz="1" w:space="0" w:color="000000"/>
            </w:tcBorders>
            <w:noWrap/>
          </w:tcPr>
          <w:p w14:paraId="22B354E6" w14:textId="77777777" w:rsidR="00772179" w:rsidRDefault="00000000">
            <w:r>
              <w:t>Laine minérale (MW)</w:t>
            </w:r>
          </w:p>
        </w:tc>
        <w:tc>
          <w:tcPr>
            <w:tcW w:w="3000" w:type="dxa"/>
            <w:tcBorders>
              <w:top w:val="single" w:sz="1" w:space="0" w:color="000000"/>
              <w:left w:val="single" w:sz="1" w:space="0" w:color="000000"/>
              <w:bottom w:val="single" w:sz="1" w:space="0" w:color="000000"/>
              <w:right w:val="single" w:sz="1" w:space="0" w:color="000000"/>
            </w:tcBorders>
            <w:noWrap/>
          </w:tcPr>
          <w:p w14:paraId="54CCC61C" w14:textId="77777777" w:rsidR="00772179" w:rsidRDefault="00000000">
            <w:r>
              <w:t>0,032 à 0,041 </w:t>
            </w:r>
          </w:p>
        </w:tc>
        <w:tc>
          <w:tcPr>
            <w:tcW w:w="3000" w:type="dxa"/>
            <w:tcBorders>
              <w:top w:val="single" w:sz="1" w:space="0" w:color="000000"/>
              <w:left w:val="single" w:sz="1" w:space="0" w:color="000000"/>
              <w:bottom w:val="single" w:sz="1" w:space="0" w:color="000000"/>
              <w:right w:val="single" w:sz="1" w:space="0" w:color="000000"/>
            </w:tcBorders>
            <w:noWrap/>
          </w:tcPr>
          <w:p w14:paraId="4ED906C0" w14:textId="77777777" w:rsidR="00772179" w:rsidRDefault="00000000">
            <w:r>
              <w:t>0,045</w:t>
            </w:r>
          </w:p>
        </w:tc>
      </w:tr>
      <w:tr w:rsidR="00772179" w14:paraId="670E75C4" w14:textId="77777777">
        <w:tc>
          <w:tcPr>
            <w:tcW w:w="3000" w:type="dxa"/>
            <w:tcBorders>
              <w:top w:val="single" w:sz="1" w:space="0" w:color="000000"/>
              <w:left w:val="single" w:sz="1" w:space="0" w:color="000000"/>
              <w:bottom w:val="single" w:sz="1" w:space="0" w:color="000000"/>
              <w:right w:val="single" w:sz="1" w:space="0" w:color="000000"/>
            </w:tcBorders>
            <w:noWrap/>
          </w:tcPr>
          <w:p w14:paraId="40C461A4" w14:textId="77777777" w:rsidR="00772179" w:rsidRDefault="00000000">
            <w:r>
              <w:t> Polystyrène expansé (EPS)</w:t>
            </w:r>
          </w:p>
        </w:tc>
        <w:tc>
          <w:tcPr>
            <w:tcW w:w="3000" w:type="dxa"/>
            <w:tcBorders>
              <w:top w:val="single" w:sz="1" w:space="0" w:color="000000"/>
              <w:left w:val="single" w:sz="1" w:space="0" w:color="000000"/>
              <w:bottom w:val="single" w:sz="1" w:space="0" w:color="000000"/>
              <w:right w:val="single" w:sz="1" w:space="0" w:color="000000"/>
            </w:tcBorders>
            <w:noWrap/>
          </w:tcPr>
          <w:p w14:paraId="48E2B834" w14:textId="77777777" w:rsidR="00772179" w:rsidRDefault="00000000">
            <w:r>
              <w:t>0,033 à 0,040</w:t>
            </w:r>
          </w:p>
        </w:tc>
        <w:tc>
          <w:tcPr>
            <w:tcW w:w="3000" w:type="dxa"/>
            <w:tcBorders>
              <w:top w:val="single" w:sz="1" w:space="0" w:color="000000"/>
              <w:left w:val="single" w:sz="1" w:space="0" w:color="000000"/>
              <w:bottom w:val="single" w:sz="1" w:space="0" w:color="000000"/>
              <w:right w:val="single" w:sz="1" w:space="0" w:color="000000"/>
            </w:tcBorders>
            <w:noWrap/>
          </w:tcPr>
          <w:p w14:paraId="3CC184BF" w14:textId="77777777" w:rsidR="00772179" w:rsidRDefault="00000000">
            <w:r>
              <w:t>0,045</w:t>
            </w:r>
          </w:p>
        </w:tc>
      </w:tr>
      <w:tr w:rsidR="00772179" w14:paraId="38EDB91E" w14:textId="77777777">
        <w:tc>
          <w:tcPr>
            <w:tcW w:w="3000" w:type="dxa"/>
            <w:tcBorders>
              <w:top w:val="single" w:sz="1" w:space="0" w:color="000000"/>
              <w:left w:val="single" w:sz="1" w:space="0" w:color="000000"/>
              <w:bottom w:val="single" w:sz="1" w:space="0" w:color="000000"/>
              <w:right w:val="single" w:sz="1" w:space="0" w:color="000000"/>
            </w:tcBorders>
            <w:noWrap/>
          </w:tcPr>
          <w:p w14:paraId="30C8CD00" w14:textId="77777777" w:rsidR="00772179" w:rsidRDefault="00000000">
            <w:r>
              <w:t>Verre cellulaire (CG)</w:t>
            </w:r>
          </w:p>
        </w:tc>
        <w:tc>
          <w:tcPr>
            <w:tcW w:w="3000" w:type="dxa"/>
            <w:tcBorders>
              <w:top w:val="single" w:sz="1" w:space="0" w:color="000000"/>
              <w:left w:val="single" w:sz="1" w:space="0" w:color="000000"/>
              <w:bottom w:val="single" w:sz="1" w:space="0" w:color="000000"/>
              <w:right w:val="single" w:sz="1" w:space="0" w:color="000000"/>
            </w:tcBorders>
            <w:noWrap/>
          </w:tcPr>
          <w:p w14:paraId="226D48F3" w14:textId="77777777" w:rsidR="00772179" w:rsidRDefault="00000000">
            <w:r>
              <w:t>0,040 à 0,048</w:t>
            </w:r>
          </w:p>
        </w:tc>
        <w:tc>
          <w:tcPr>
            <w:tcW w:w="3000" w:type="dxa"/>
            <w:tcBorders>
              <w:top w:val="single" w:sz="1" w:space="0" w:color="000000"/>
              <w:left w:val="single" w:sz="1" w:space="0" w:color="000000"/>
              <w:bottom w:val="single" w:sz="1" w:space="0" w:color="000000"/>
              <w:right w:val="single" w:sz="1" w:space="0" w:color="000000"/>
            </w:tcBorders>
            <w:noWrap/>
          </w:tcPr>
          <w:p w14:paraId="559464D9" w14:textId="77777777" w:rsidR="00772179" w:rsidRDefault="00000000">
            <w:r>
              <w:t>0,055</w:t>
            </w:r>
          </w:p>
        </w:tc>
      </w:tr>
      <w:tr w:rsidR="00772179" w14:paraId="42CEBADA" w14:textId="77777777">
        <w:tc>
          <w:tcPr>
            <w:tcW w:w="3000" w:type="dxa"/>
            <w:tcBorders>
              <w:top w:val="single" w:sz="1" w:space="0" w:color="000000"/>
              <w:left w:val="single" w:sz="1" w:space="0" w:color="000000"/>
              <w:bottom w:val="single" w:sz="1" w:space="0" w:color="000000"/>
              <w:right w:val="single" w:sz="1" w:space="0" w:color="000000"/>
            </w:tcBorders>
            <w:noWrap/>
          </w:tcPr>
          <w:p w14:paraId="12E3770A" w14:textId="77777777" w:rsidR="00772179" w:rsidRDefault="00000000">
            <w:r>
              <w:t>Polystyrène extrudé (XPS)</w:t>
            </w:r>
          </w:p>
        </w:tc>
        <w:tc>
          <w:tcPr>
            <w:tcW w:w="3000" w:type="dxa"/>
            <w:tcBorders>
              <w:top w:val="single" w:sz="1" w:space="0" w:color="000000"/>
              <w:left w:val="single" w:sz="1" w:space="0" w:color="000000"/>
              <w:bottom w:val="single" w:sz="1" w:space="0" w:color="000000"/>
              <w:right w:val="single" w:sz="1" w:space="0" w:color="000000"/>
            </w:tcBorders>
            <w:noWrap/>
          </w:tcPr>
          <w:p w14:paraId="3B5A6485" w14:textId="77777777" w:rsidR="00772179" w:rsidRDefault="00000000">
            <w:r>
              <w:t>0,027 à 0,034</w:t>
            </w:r>
          </w:p>
        </w:tc>
        <w:tc>
          <w:tcPr>
            <w:tcW w:w="3000" w:type="dxa"/>
            <w:tcBorders>
              <w:top w:val="single" w:sz="1" w:space="0" w:color="000000"/>
              <w:left w:val="single" w:sz="1" w:space="0" w:color="000000"/>
              <w:bottom w:val="single" w:sz="1" w:space="0" w:color="000000"/>
              <w:right w:val="single" w:sz="1" w:space="0" w:color="000000"/>
            </w:tcBorders>
            <w:noWrap/>
          </w:tcPr>
          <w:p w14:paraId="15CF0A66" w14:textId="77777777" w:rsidR="00772179" w:rsidRDefault="00000000">
            <w:r>
              <w:t>0,04</w:t>
            </w:r>
          </w:p>
        </w:tc>
      </w:tr>
      <w:tr w:rsidR="00772179" w14:paraId="6B4A7535" w14:textId="77777777">
        <w:tc>
          <w:tcPr>
            <w:tcW w:w="3000" w:type="dxa"/>
            <w:tcBorders>
              <w:top w:val="single" w:sz="1" w:space="0" w:color="000000"/>
              <w:left w:val="single" w:sz="1" w:space="0" w:color="000000"/>
              <w:bottom w:val="single" w:sz="1" w:space="0" w:color="000000"/>
              <w:right w:val="single" w:sz="1" w:space="0" w:color="000000"/>
            </w:tcBorders>
            <w:noWrap/>
          </w:tcPr>
          <w:p w14:paraId="0FE32832" w14:textId="77777777" w:rsidR="00772179" w:rsidRDefault="00000000">
            <w:r>
              <w:t>Polyuréthane (PUR) (2)</w:t>
            </w:r>
          </w:p>
        </w:tc>
        <w:tc>
          <w:tcPr>
            <w:tcW w:w="3000" w:type="dxa"/>
            <w:tcBorders>
              <w:top w:val="single" w:sz="1" w:space="0" w:color="000000"/>
              <w:left w:val="single" w:sz="1" w:space="0" w:color="000000"/>
              <w:bottom w:val="single" w:sz="1" w:space="0" w:color="000000"/>
              <w:right w:val="single" w:sz="1" w:space="0" w:color="000000"/>
            </w:tcBorders>
            <w:noWrap/>
          </w:tcPr>
          <w:p w14:paraId="1889C854" w14:textId="77777777" w:rsidR="00772179" w:rsidRDefault="00000000">
            <w:r>
              <w:t>0,024 à 0,029</w:t>
            </w:r>
          </w:p>
        </w:tc>
        <w:tc>
          <w:tcPr>
            <w:tcW w:w="3000" w:type="dxa"/>
            <w:tcBorders>
              <w:top w:val="single" w:sz="1" w:space="0" w:color="000000"/>
              <w:left w:val="single" w:sz="1" w:space="0" w:color="000000"/>
              <w:bottom w:val="single" w:sz="1" w:space="0" w:color="000000"/>
              <w:right w:val="single" w:sz="1" w:space="0" w:color="000000"/>
            </w:tcBorders>
            <w:noWrap/>
          </w:tcPr>
          <w:p w14:paraId="78D700E6" w14:textId="77777777" w:rsidR="00772179" w:rsidRDefault="00000000">
            <w:r>
              <w:t>0,035</w:t>
            </w:r>
          </w:p>
        </w:tc>
      </w:tr>
      <w:tr w:rsidR="00772179" w14:paraId="47C541A1" w14:textId="77777777">
        <w:tc>
          <w:tcPr>
            <w:tcW w:w="3000" w:type="dxa"/>
            <w:tcBorders>
              <w:top w:val="single" w:sz="1" w:space="0" w:color="000000"/>
              <w:left w:val="single" w:sz="1" w:space="0" w:color="000000"/>
              <w:bottom w:val="single" w:sz="1" w:space="0" w:color="000000"/>
              <w:right w:val="single" w:sz="1" w:space="0" w:color="000000"/>
            </w:tcBorders>
            <w:noWrap/>
          </w:tcPr>
          <w:p w14:paraId="227F639F" w14:textId="77777777" w:rsidR="00772179" w:rsidRDefault="00000000">
            <w:r>
              <w:t>Phénol (PF) (3)</w:t>
            </w:r>
          </w:p>
        </w:tc>
        <w:tc>
          <w:tcPr>
            <w:tcW w:w="3000" w:type="dxa"/>
            <w:tcBorders>
              <w:top w:val="single" w:sz="1" w:space="0" w:color="000000"/>
              <w:left w:val="single" w:sz="1" w:space="0" w:color="000000"/>
              <w:bottom w:val="single" w:sz="1" w:space="0" w:color="000000"/>
              <w:right w:val="single" w:sz="1" w:space="0" w:color="000000"/>
            </w:tcBorders>
            <w:noWrap/>
          </w:tcPr>
          <w:p w14:paraId="0C1D9DDC" w14:textId="77777777" w:rsidR="00772179" w:rsidRDefault="00000000">
            <w:r>
              <w:t>0,020 à 0,025</w:t>
            </w:r>
          </w:p>
        </w:tc>
        <w:tc>
          <w:tcPr>
            <w:tcW w:w="3000" w:type="dxa"/>
            <w:tcBorders>
              <w:top w:val="single" w:sz="1" w:space="0" w:color="000000"/>
              <w:left w:val="single" w:sz="1" w:space="0" w:color="000000"/>
              <w:bottom w:val="single" w:sz="1" w:space="0" w:color="000000"/>
              <w:right w:val="single" w:sz="1" w:space="0" w:color="000000"/>
            </w:tcBorders>
            <w:noWrap/>
          </w:tcPr>
          <w:p w14:paraId="673DC541" w14:textId="77777777" w:rsidR="00772179" w:rsidRDefault="00000000">
            <w:r>
              <w:t>0,045</w:t>
            </w:r>
          </w:p>
        </w:tc>
      </w:tr>
      <w:tr w:rsidR="00772179" w14:paraId="672E8D54" w14:textId="77777777">
        <w:tc>
          <w:tcPr>
            <w:tcW w:w="3000" w:type="dxa"/>
            <w:tcBorders>
              <w:top w:val="single" w:sz="1" w:space="0" w:color="000000"/>
              <w:left w:val="single" w:sz="1" w:space="0" w:color="000000"/>
              <w:bottom w:val="single" w:sz="1" w:space="0" w:color="000000"/>
              <w:right w:val="single" w:sz="1" w:space="0" w:color="000000"/>
            </w:tcBorders>
            <w:noWrap/>
          </w:tcPr>
          <w:p w14:paraId="7573905B" w14:textId="77777777" w:rsidR="00772179" w:rsidRDefault="00000000">
            <w:r>
              <w:t>Perlite expansée (EPB)</w:t>
            </w:r>
          </w:p>
        </w:tc>
        <w:tc>
          <w:tcPr>
            <w:tcW w:w="3000" w:type="dxa"/>
            <w:tcBorders>
              <w:top w:val="single" w:sz="1" w:space="0" w:color="000000"/>
              <w:left w:val="single" w:sz="1" w:space="0" w:color="000000"/>
              <w:bottom w:val="single" w:sz="1" w:space="0" w:color="000000"/>
              <w:right w:val="single" w:sz="1" w:space="0" w:color="000000"/>
            </w:tcBorders>
            <w:noWrap/>
          </w:tcPr>
          <w:p w14:paraId="6D75EF36" w14:textId="77777777" w:rsidR="00772179" w:rsidRDefault="00000000">
            <w:r>
              <w:t>0,052 à 00,055</w:t>
            </w:r>
          </w:p>
        </w:tc>
        <w:tc>
          <w:tcPr>
            <w:tcW w:w="3000" w:type="dxa"/>
            <w:tcBorders>
              <w:top w:val="single" w:sz="1" w:space="0" w:color="000000"/>
              <w:left w:val="single" w:sz="1" w:space="0" w:color="000000"/>
              <w:bottom w:val="single" w:sz="1" w:space="0" w:color="000000"/>
              <w:right w:val="single" w:sz="1" w:space="0" w:color="000000"/>
            </w:tcBorders>
            <w:noWrap/>
          </w:tcPr>
          <w:p w14:paraId="6066EA12" w14:textId="77777777" w:rsidR="00772179" w:rsidRDefault="00000000">
            <w:r>
              <w:t>0,06</w:t>
            </w:r>
          </w:p>
        </w:tc>
      </w:tr>
    </w:tbl>
    <w:p w14:paraId="7FF0B2B8" w14:textId="77777777" w:rsidR="00772179" w:rsidRDefault="00000000">
      <w:r>
        <w:t>(1) Intervalle des valeurs ATG certifiées du 17/6/1996.</w:t>
      </w:r>
    </w:p>
    <w:p w14:paraId="50052990" w14:textId="77777777" w:rsidR="00772179" w:rsidRDefault="00000000">
      <w:r>
        <w:t>(2) Depuis janvier 1997, les valeurs λ</w:t>
      </w:r>
      <w:r>
        <w:rPr>
          <w:vertAlign w:val="subscript"/>
        </w:rPr>
        <w:t>u</w:t>
      </w:r>
      <w:r>
        <w:t xml:space="preserve"> de l'addendum à la norme  (1) sont d'application à défaut de valeurs λ</w:t>
      </w:r>
      <w:r>
        <w:rPr>
          <w:vertAlign w:val="subscript"/>
        </w:rPr>
        <w:t>d</w:t>
      </w:r>
      <w:r>
        <w:t>.</w:t>
      </w:r>
    </w:p>
    <w:p w14:paraId="711868BA" w14:textId="77777777" w:rsidR="00772179" w:rsidRDefault="00000000">
      <w:r>
        <w:t>(3) Il s'agit de matériaux cachés.</w:t>
      </w:r>
    </w:p>
    <w:p w14:paraId="5076AB98" w14:textId="77777777" w:rsidR="00772179" w:rsidRDefault="00000000">
      <w:pPr>
        <w:ind w:left="750"/>
      </w:pPr>
      <w:r>
        <w:t> </w:t>
      </w:r>
    </w:p>
    <w:p w14:paraId="73A1C227" w14:textId="77777777" w:rsidR="00772179" w:rsidRDefault="00000000">
      <w:pPr>
        <w:pStyle w:val="pheading"/>
      </w:pPr>
      <w:r>
        <w:t>EXÉCUTION / MISE EN ŒUVRE</w:t>
      </w:r>
    </w:p>
    <w:p w14:paraId="1FA24D81" w14:textId="77777777" w:rsidR="00772179" w:rsidRDefault="00000000">
      <w:r>
        <w:t>Les éléments de remplissage sont conformes aux dimensions indiquées sur les croquis de façade et/ou de détail. La pose est obligatoirement effectuée selon le mode adapté au type des plaques et du traitement de la surface, entre autres en ce qui concerne le choix des moyens de fixation et le sens de pose. Les prescriptions de pose du fabricant sont scrupuleusement respectées.</w:t>
      </w:r>
    </w:p>
    <w:p w14:paraId="308400BE" w14:textId="77777777" w:rsidR="00772179" w:rsidRDefault="00000000">
      <w:r>
        <w:t xml:space="preserve">Les éléments de remplissage sont placés sous </w:t>
      </w:r>
      <w:r>
        <w:rPr>
          <w:rStyle w:val="optioncarChar"/>
        </w:rPr>
        <w:t>vitrage comprimés / semi-comprimés / non-comprimés.</w:t>
      </w:r>
      <w:r>
        <w:t> </w:t>
      </w:r>
    </w:p>
    <w:p w14:paraId="531D3950" w14:textId="77777777" w:rsidR="00772179" w:rsidRDefault="00000000">
      <w:r>
        <w:rPr>
          <w:u w:val="single"/>
        </w:rPr>
        <w:t>Note à l’attention de l’auteur de projet</w:t>
      </w:r>
    </w:p>
    <w:p w14:paraId="232C860F" w14:textId="77777777" w:rsidR="00772179" w:rsidRDefault="00000000">
      <w:pPr>
        <w:pStyle w:val="Author-eListParagraph"/>
        <w:numPr>
          <w:ilvl w:val="0"/>
          <w:numId w:val="829"/>
        </w:numPr>
      </w:pPr>
      <w:r>
        <w:t>Pour les vitrages comprimés, la pression des profils en caoutchouc est réglable à l'aide de vis de réglage.</w:t>
      </w:r>
    </w:p>
    <w:p w14:paraId="7E1FB8AC" w14:textId="77777777" w:rsidR="00772179" w:rsidRDefault="00000000">
      <w:pPr>
        <w:pStyle w:val="Author-eListParagraph"/>
        <w:numPr>
          <w:ilvl w:val="0"/>
          <w:numId w:val="829"/>
        </w:numPr>
      </w:pPr>
      <w:r>
        <w:t xml:space="preserve">Pour les vitrages semi-comprimés, il n'y a pas de vis de réglage mais le profil en caoutchouc entre la batée et le panneau est remplacé par une bande de caoutchouc cellulaire </w:t>
      </w:r>
      <w:r>
        <w:lastRenderedPageBreak/>
        <w:t>compressible. La pression n'est plus réglable mais dépend plus ou moins des largeurs de joint changeantes.</w:t>
      </w:r>
    </w:p>
    <w:p w14:paraId="21FCACC6" w14:textId="77777777" w:rsidR="00772179" w:rsidRDefault="00000000">
      <w:pPr>
        <w:pStyle w:val="Author-eListParagraph"/>
        <w:numPr>
          <w:ilvl w:val="0"/>
          <w:numId w:val="829"/>
        </w:numPr>
      </w:pPr>
      <w:r>
        <w:t>Pour les vitrages non comprimés, la pression des profils en caoutchouc n'est pas réglable (pas de vis de réglage) et dépend en outre fortement des largeurs de joint changeantes.</w:t>
      </w:r>
    </w:p>
    <w:p w14:paraId="757CFF5E" w14:textId="77777777" w:rsidR="00772179" w:rsidRDefault="00000000">
      <w:pPr>
        <w:pStyle w:val="Author-eListParagraph"/>
        <w:numPr>
          <w:ilvl w:val="0"/>
          <w:numId w:val="829"/>
        </w:numPr>
      </w:pPr>
      <w:r>
        <w:t xml:space="preserve">Les éléments de remplissage sont placés dans un système </w:t>
      </w:r>
      <w:r>
        <w:rPr>
          <w:rStyle w:val="optioncarChar"/>
        </w:rPr>
        <w:t>ouvert / fermé.</w:t>
      </w:r>
      <w:r>
        <w:t> </w:t>
      </w:r>
    </w:p>
    <w:p w14:paraId="575DB860" w14:textId="77777777" w:rsidR="00772179" w:rsidRDefault="00000000">
      <w:r>
        <w:rPr>
          <w:u w:val="single"/>
        </w:rPr>
        <w:t>Note à l’attention de l’auteur de projet</w:t>
      </w:r>
    </w:p>
    <w:p w14:paraId="41772533" w14:textId="77777777" w:rsidR="00772179" w:rsidRDefault="00000000">
      <w:pPr>
        <w:pStyle w:val="Author-eListParagraph"/>
        <w:numPr>
          <w:ilvl w:val="0"/>
          <w:numId w:val="830"/>
        </w:numPr>
      </w:pPr>
      <w:r>
        <w:t>Pour les systèmes fermés, aussi appelés méthode de vitrage humide, le panneau est enfermé sur toute sa périphérie par un profil et/ou du mastic. L'humidité qui pénètre dans cette construction ne peut plus s'évacuer. Il est, par conséquent, déconseillé d'utiliser des panneaux ligneux dans les systèmes fermés.</w:t>
      </w:r>
    </w:p>
    <w:p w14:paraId="12DAE5B4" w14:textId="77777777" w:rsidR="00772179" w:rsidRDefault="00000000">
      <w:pPr>
        <w:pStyle w:val="Author-eListParagraph"/>
        <w:numPr>
          <w:ilvl w:val="0"/>
          <w:numId w:val="830"/>
        </w:numPr>
      </w:pPr>
      <w:r>
        <w:t>Pour les systèmes ouverts (méthode de vitrage sèche), la plaque est insérée avec suffisamment de jeu (à l'aide de cales d'espacement) afin de permettre l'évacuation par le bas et d'assurer une ventilation suffisante du panneau.</w:t>
      </w:r>
    </w:p>
    <w:p w14:paraId="72AAEB80" w14:textId="77777777" w:rsidR="00772179" w:rsidRDefault="00000000">
      <w:r>
        <w:t>Les plaques sont de préférence assemblées en atelier par le fabricant des profilés de menuiserie. Lorsque les éléments de remplissage sont néanmoins être montés sur chantier, ils sont entreposés au sec, horizontalement et sur un support plat. Les éléments entreposés sont de tout temps protégés contre les dégradations et les déformations suite aux changements de température.</w:t>
      </w:r>
    </w:p>
    <w:p w14:paraId="221987C9" w14:textId="77777777" w:rsidR="00772179" w:rsidRDefault="00000000">
      <w:pPr>
        <w:pStyle w:val="Author-eSectionHeading4Numberless"/>
      </w:pPr>
      <w:bookmarkStart w:id="600" w:name="_Toc220490297"/>
      <w:r>
        <w:t>42.31 Eléments de remplissage en planchettes CCTB 01.02</w:t>
      </w:r>
      <w:bookmarkEnd w:id="600"/>
    </w:p>
    <w:p w14:paraId="487AEE47" w14:textId="77777777" w:rsidR="00772179" w:rsidRDefault="00000000">
      <w:pPr>
        <w:pStyle w:val="Author-eSectionHeading5Numberless"/>
      </w:pPr>
      <w:bookmarkStart w:id="601" w:name="_Toc220490298"/>
      <w:r>
        <w:t>42.31.1 Eléments de remplissage en planchettes en bois CCTB 01.02</w:t>
      </w:r>
      <w:bookmarkEnd w:id="601"/>
    </w:p>
    <w:p w14:paraId="2F1405D7" w14:textId="77777777" w:rsidR="00772179" w:rsidRDefault="00000000">
      <w:pPr>
        <w:pStyle w:val="Author-eSectionHeading6Numberless"/>
      </w:pPr>
      <w:bookmarkStart w:id="602" w:name="_Toc220490299"/>
      <w:r>
        <w:t>42.31.1a Eléments de remplissage en planchettes en bois CCTB 01.11</w:t>
      </w:r>
      <w:bookmarkEnd w:id="602"/>
    </w:p>
    <w:p w14:paraId="2E30E019" w14:textId="77777777" w:rsidR="00772179" w:rsidRDefault="00000000">
      <w:pPr>
        <w:pStyle w:val="pheading"/>
      </w:pPr>
      <w:r>
        <w:t>MATÉRIAUX</w:t>
      </w:r>
    </w:p>
    <w:p w14:paraId="2411F481" w14:textId="77777777" w:rsidR="00772179" w:rsidRDefault="00000000">
      <w:pPr>
        <w:pStyle w:val="pheading"/>
      </w:pPr>
      <w:r>
        <w:t>- Caractéristiques générales</w:t>
      </w:r>
    </w:p>
    <w:p w14:paraId="5FDDAF09" w14:textId="77777777" w:rsidR="00772179" w:rsidRDefault="00000000">
      <w:r>
        <w:t>Les éléments de remplissage sont composés d'éléments modulaires ou de planchettes en bois massif. Le fil du bois mis en œuvre est droit (inclinaison ≤ 5 %). Le bois est exempt d’aubier, de nœuds, d’entre-écorce, de fissures, de faux cœur accompagnés de pourriture, de double aubier, de bois de compression, de fractures d’abattage, de blessures, de piqûres, de trous de vers, de pourritures, d’échauffures, de bleuissement, de moelle et de flaches. Les nœuds sains incrustés dont le diamètre est &gt; 20 mm ne sont pas admis. Le nombre des cercles annuels mesurés radialement sur une base de 40 mm est ≥ 15. Les bois qui présentent des creux et des fissures contenant des matières blanches, jaunes ou colorées qui apparaissent en surface après la mise en œuvre, sont refusés. Le taux d'humidité au cœur du bois mis en œuvre &lt; 18% avec un écart de 3 % et est en outre compatible avec la finition. Le bois est conforme aux exigences des spécifications techniques [STS 52.1].</w:t>
      </w:r>
    </w:p>
    <w:p w14:paraId="5690D29F" w14:textId="77777777" w:rsidR="00772179" w:rsidRDefault="00000000">
      <w:pPr>
        <w:pStyle w:val="pheading"/>
      </w:pPr>
      <w:r>
        <w:t>- Finitions</w:t>
      </w:r>
    </w:p>
    <w:p w14:paraId="0CECFC40" w14:textId="77777777" w:rsidR="00772179" w:rsidRDefault="00000000">
      <w:pPr>
        <w:pStyle w:val="Author-eListParagraph"/>
        <w:numPr>
          <w:ilvl w:val="0"/>
          <w:numId w:val="831"/>
        </w:numPr>
      </w:pPr>
      <w:r>
        <w:t xml:space="preserve">Essence du bois : </w:t>
      </w:r>
      <w:r>
        <w:rPr>
          <w:rStyle w:val="optioncarChar"/>
        </w:rPr>
        <w:t>identique au bois de la menuiserie extérieure / Dark Red Meranti / Light Red Meranti / Nemesu / Afzelia bipidensis (dénomination botanique) / Afzelia Doussie (dénomination commerciale) originaire du Cameroun / Afzelia Pachyloba / Afzelia Africana (dénomination botanique) / Apa ou Lingue (dénomination commerciale).</w:t>
      </w:r>
    </w:p>
    <w:p w14:paraId="7A95D898" w14:textId="77777777" w:rsidR="00772179" w:rsidRDefault="00000000">
      <w:pPr>
        <w:pStyle w:val="Author-eListParagraph"/>
        <w:numPr>
          <w:ilvl w:val="0"/>
          <w:numId w:val="831"/>
        </w:numPr>
      </w:pPr>
      <w:r>
        <w:t xml:space="preserve">Classe de durabilité : </w:t>
      </w:r>
      <w:r>
        <w:rPr>
          <w:rStyle w:val="optioncarChar"/>
        </w:rPr>
        <w:t>I / II / III / IV</w:t>
      </w:r>
      <w:r>
        <w:t xml:space="preserve">. Le bois de classe III à IV reçoit un traitement de préservation de type </w:t>
      </w:r>
      <w:r>
        <w:rPr>
          <w:rStyle w:val="optioncarChar"/>
        </w:rPr>
        <w:t>A2 / A3 / C1   </w:t>
      </w:r>
    </w:p>
    <w:p w14:paraId="61A34C02" w14:textId="77777777" w:rsidR="00772179" w:rsidRDefault="00000000">
      <w:pPr>
        <w:pStyle w:val="Author-eListParagraph"/>
        <w:numPr>
          <w:ilvl w:val="0"/>
          <w:numId w:val="831"/>
        </w:numPr>
      </w:pPr>
      <w:r>
        <w:t xml:space="preserve">Masse volumique : ≥ </w:t>
      </w:r>
      <w:r>
        <w:rPr>
          <w:rStyle w:val="optioncarChar"/>
        </w:rPr>
        <w:t xml:space="preserve">*** </w:t>
      </w:r>
      <w:r>
        <w:t xml:space="preserve">kg/m³ (pour un taux d'humidité de </w:t>
      </w:r>
      <w:r>
        <w:rPr>
          <w:rStyle w:val="optioncarChar"/>
        </w:rPr>
        <w:t xml:space="preserve">*** </w:t>
      </w:r>
      <w:r>
        <w:t>%).</w:t>
      </w:r>
    </w:p>
    <w:p w14:paraId="50A7CE41" w14:textId="77777777" w:rsidR="00772179" w:rsidRDefault="00000000">
      <w:pPr>
        <w:pStyle w:val="Author-eListParagraph"/>
        <w:numPr>
          <w:ilvl w:val="0"/>
          <w:numId w:val="831"/>
        </w:numPr>
      </w:pPr>
      <w:r>
        <w:t>Taux d'humidité : entre 12 et 18 %.</w:t>
      </w:r>
    </w:p>
    <w:p w14:paraId="50A0722C" w14:textId="77777777" w:rsidR="00772179" w:rsidRDefault="00000000">
      <w:pPr>
        <w:pStyle w:val="Author-eListParagraph"/>
        <w:numPr>
          <w:ilvl w:val="0"/>
          <w:numId w:val="831"/>
        </w:numPr>
      </w:pPr>
      <w:r>
        <w:t xml:space="preserve">Forme des planchettes : </w:t>
      </w:r>
      <w:r>
        <w:rPr>
          <w:rStyle w:val="optioncarChar"/>
        </w:rPr>
        <w:t>à rainure et languette / rectangulaire avec rainure pour assemblage à ressort / dans le même matériau.</w:t>
      </w:r>
    </w:p>
    <w:p w14:paraId="3648E4AA" w14:textId="77777777" w:rsidR="00772179" w:rsidRDefault="00000000">
      <w:pPr>
        <w:pStyle w:val="Author-eListParagraph"/>
        <w:numPr>
          <w:ilvl w:val="0"/>
          <w:numId w:val="831"/>
        </w:numPr>
      </w:pPr>
      <w:r>
        <w:t xml:space="preserve">Largeur modulaire des planchettes : </w:t>
      </w:r>
      <w:r>
        <w:rPr>
          <w:rStyle w:val="optioncarChar"/>
        </w:rPr>
        <w:t>70 / 100 / 150 / 200</w:t>
      </w:r>
    </w:p>
    <w:p w14:paraId="25793011" w14:textId="77777777" w:rsidR="00772179" w:rsidRDefault="00000000">
      <w:pPr>
        <w:pStyle w:val="Author-eListParagraph"/>
        <w:numPr>
          <w:ilvl w:val="0"/>
          <w:numId w:val="831"/>
        </w:numPr>
      </w:pPr>
      <w:r>
        <w:t>Largeur des joints :</w:t>
      </w:r>
      <w:r>
        <w:rPr>
          <w:rStyle w:val="optioncarChar"/>
        </w:rPr>
        <w:t> sans joints / 5 / 10 / 15 / 20 </w:t>
      </w:r>
      <w:r>
        <w:t>mm</w:t>
      </w:r>
    </w:p>
    <w:p w14:paraId="3535BBA4" w14:textId="77777777" w:rsidR="00772179" w:rsidRDefault="00000000">
      <w:pPr>
        <w:pStyle w:val="Author-eListParagraph"/>
        <w:numPr>
          <w:ilvl w:val="0"/>
          <w:numId w:val="831"/>
        </w:numPr>
      </w:pPr>
      <w:r>
        <w:t xml:space="preserve">Epaisseur des planchettes : ≥ </w:t>
      </w:r>
      <w:r>
        <w:rPr>
          <w:rStyle w:val="optioncarChar"/>
        </w:rPr>
        <w:t>10 / 12,5 / 15 / 18 </w:t>
      </w:r>
      <w:r>
        <w:t>mm.</w:t>
      </w:r>
    </w:p>
    <w:p w14:paraId="696C56A5" w14:textId="77777777" w:rsidR="00772179" w:rsidRDefault="00000000">
      <w:pPr>
        <w:pStyle w:val="Author-eListParagraph"/>
        <w:numPr>
          <w:ilvl w:val="0"/>
          <w:numId w:val="831"/>
        </w:numPr>
      </w:pPr>
      <w:r>
        <w:t xml:space="preserve">Orientation des planchettes : </w:t>
      </w:r>
      <w:r>
        <w:rPr>
          <w:rStyle w:val="optioncarChar"/>
        </w:rPr>
        <w:t>selon les indications sur les plans / horizontales / verticales / en diagonale</w:t>
      </w:r>
    </w:p>
    <w:p w14:paraId="7C44F07F" w14:textId="77777777" w:rsidR="00772179" w:rsidRDefault="00000000">
      <w:pPr>
        <w:pStyle w:val="Author-eListParagraph"/>
        <w:numPr>
          <w:ilvl w:val="0"/>
          <w:numId w:val="831"/>
        </w:numPr>
      </w:pPr>
      <w:r>
        <w:lastRenderedPageBreak/>
        <w:t>Finition du bois :</w:t>
      </w:r>
      <w:r>
        <w:rPr>
          <w:rStyle w:val="optioncarChar"/>
        </w:rPr>
        <w:t> raboté / finement scié </w:t>
      </w:r>
    </w:p>
    <w:p w14:paraId="7BCB424D" w14:textId="77777777" w:rsidR="00772179" w:rsidRDefault="00000000">
      <w:pPr>
        <w:pStyle w:val="Author-eListParagraph"/>
        <w:numPr>
          <w:ilvl w:val="0"/>
          <w:numId w:val="831"/>
        </w:numPr>
      </w:pPr>
      <w:r>
        <w:t>Finition :</w:t>
      </w:r>
    </w:p>
    <w:p w14:paraId="3FBB8214" w14:textId="77777777" w:rsidR="00772179" w:rsidRDefault="00000000">
      <w:r>
        <w:t xml:space="preserve">                 ⇒ Traitement de la surface : </w:t>
      </w:r>
      <w:r>
        <w:rPr>
          <w:rStyle w:val="optioncarChar"/>
        </w:rPr>
        <w:t>non laqué / laque UV-polyacrylate / teint / une face revêtue                           d'une couche de finition à peindre </w:t>
      </w:r>
      <w:r>
        <w:br/>
        <w:t>                 ⇒ Epaisseur de la couche de finition :</w:t>
      </w:r>
      <w:r>
        <w:rPr>
          <w:rStyle w:val="optioncarChar"/>
        </w:rPr>
        <w:t>100 / ***</w:t>
      </w:r>
      <w:r>
        <w:t> µm.</w:t>
      </w:r>
      <w:r>
        <w:br/>
        <w:t xml:space="preserve">                 ⇒ Brillance : </w:t>
      </w:r>
      <w:r>
        <w:rPr>
          <w:rStyle w:val="optioncarChar"/>
        </w:rPr>
        <w:t>couvrant / transparent </w:t>
      </w:r>
      <w:r>
        <w:br/>
        <w:t>                 ⇒ Couleur :</w:t>
      </w:r>
      <w:r>
        <w:rPr>
          <w:rStyle w:val="optioncarChar"/>
        </w:rPr>
        <w:t> à choisir dans la gamme complète du fabricant / ***</w:t>
      </w:r>
      <w:r>
        <w:t xml:space="preserve"> Couleur RAL n° . </w:t>
      </w:r>
      <w:r>
        <w:rPr>
          <w:rStyle w:val="optioncarChar"/>
        </w:rPr>
        <w:t>***</w:t>
      </w:r>
    </w:p>
    <w:p w14:paraId="177A07B8" w14:textId="77777777" w:rsidR="00772179" w:rsidRDefault="00000000">
      <w:pPr>
        <w:pStyle w:val="pheading"/>
      </w:pPr>
      <w:r>
        <w:t>- Prescriptions complémentaires</w:t>
      </w:r>
    </w:p>
    <w:p w14:paraId="3F86D823" w14:textId="77777777" w:rsidR="00772179" w:rsidRDefault="00000000">
      <w:pPr>
        <w:pStyle w:val="Author-eListParagraph"/>
        <w:numPr>
          <w:ilvl w:val="0"/>
          <w:numId w:val="832"/>
        </w:numPr>
      </w:pPr>
      <w:r>
        <w:t>Une isolation thermique est prévue à l'arrière des planchettes.</w:t>
      </w:r>
    </w:p>
    <w:p w14:paraId="331E9CB2" w14:textId="77777777" w:rsidR="00772179" w:rsidRDefault="00000000">
      <w:pPr>
        <w:pStyle w:val="Author-eListParagraph"/>
        <w:numPr>
          <w:ilvl w:val="0"/>
          <w:numId w:val="832"/>
        </w:numPr>
      </w:pPr>
      <w:r>
        <w:t>Nature du matériau d'isolation :</w:t>
      </w:r>
      <w:r>
        <w:rPr>
          <w:rStyle w:val="optioncarChar"/>
        </w:rPr>
        <w:t> EPS (polystyrène expansé) / XPS (polystyrène extrudé ) / PUR (polyuréthane) / MW (laine minérale) / CG (verre cellulaire) / PF (mousse de phénolformaldéhyde (mousse de résol) / PIR (mousse de polyisocyanurate) / ciment de laine de bois / magnésite de laine de bois</w:t>
      </w:r>
    </w:p>
    <w:p w14:paraId="386E144F" w14:textId="77777777" w:rsidR="00772179" w:rsidRDefault="00000000">
      <w:pPr>
        <w:pStyle w:val="Author-eListParagraph"/>
        <w:numPr>
          <w:ilvl w:val="0"/>
          <w:numId w:val="832"/>
        </w:numPr>
      </w:pPr>
      <w:r>
        <w:t>Mode de pose :</w:t>
      </w:r>
      <w:r>
        <w:rPr>
          <w:rStyle w:val="optioncarChar"/>
        </w:rPr>
        <w:t> en indépendant / collage sur les planchettes / sur la structure attenante</w:t>
      </w:r>
    </w:p>
    <w:p w14:paraId="720DE4A7" w14:textId="77777777" w:rsidR="00772179" w:rsidRDefault="00000000">
      <w:pPr>
        <w:pStyle w:val="Author-eListParagraph"/>
        <w:numPr>
          <w:ilvl w:val="0"/>
          <w:numId w:val="832"/>
        </w:numPr>
      </w:pPr>
      <w:r>
        <w:t xml:space="preserve">Valeur ld déclarée : </w:t>
      </w:r>
      <w:r>
        <w:rPr>
          <w:rStyle w:val="optioncarChar"/>
        </w:rPr>
        <w:t xml:space="preserve">*** </w:t>
      </w:r>
      <w:r>
        <w:t>W/mK</w:t>
      </w:r>
    </w:p>
    <w:p w14:paraId="1A09BF39" w14:textId="77777777" w:rsidR="00772179" w:rsidRDefault="00000000">
      <w:pPr>
        <w:pStyle w:val="Author-eListParagraph"/>
        <w:numPr>
          <w:ilvl w:val="0"/>
          <w:numId w:val="832"/>
        </w:numPr>
      </w:pPr>
      <w:r>
        <w:t>Epaisseur de l'isolation :</w:t>
      </w:r>
      <w:r>
        <w:rPr>
          <w:rStyle w:val="optioncarChar"/>
        </w:rPr>
        <w:t> 20 / 30 / 40 </w:t>
      </w:r>
      <w:r>
        <w:t>mm.</w:t>
      </w:r>
    </w:p>
    <w:p w14:paraId="02F9BE8F" w14:textId="77777777" w:rsidR="00772179" w:rsidRDefault="00000000">
      <w:pPr>
        <w:pStyle w:val="pheading"/>
      </w:pPr>
      <w:r>
        <w:t>EXÉCUTION / MISE EN ŒUVRE</w:t>
      </w:r>
    </w:p>
    <w:p w14:paraId="4210270D" w14:textId="77777777" w:rsidR="00772179" w:rsidRDefault="00000000">
      <w:pPr>
        <w:pStyle w:val="pheading"/>
      </w:pPr>
      <w:r>
        <w:t>- Prescriptions générales</w:t>
      </w:r>
    </w:p>
    <w:p w14:paraId="00B6F2EC" w14:textId="77777777" w:rsidR="00772179" w:rsidRDefault="00000000">
      <w:r>
        <w:t>Les éléments à planchettes sont intégrés lors de la fabrication des éléments de menuiserie.</w:t>
      </w:r>
    </w:p>
    <w:p w14:paraId="05920002" w14:textId="77777777" w:rsidR="00772179" w:rsidRDefault="00000000">
      <w:pPr>
        <w:pStyle w:val="pheading"/>
      </w:pPr>
      <w:r>
        <w:t>CONTRÔLES PARTICULIERS</w:t>
      </w:r>
    </w:p>
    <w:p w14:paraId="4D171003" w14:textId="77777777" w:rsidR="00772179" w:rsidRDefault="00000000">
      <w:r>
        <w:t>Le certificat d'origine du bois doit être remis à la demande, avant la pose des planchettes.</w:t>
      </w:r>
    </w:p>
    <w:p w14:paraId="08CE2CC6" w14:textId="77777777" w:rsidR="00772179" w:rsidRDefault="00000000">
      <w:pPr>
        <w:pStyle w:val="pheading"/>
      </w:pPr>
      <w:r>
        <w:t>MESURAGE</w:t>
      </w:r>
    </w:p>
    <w:p w14:paraId="68986ECF" w14:textId="77777777" w:rsidR="00772179" w:rsidRDefault="00000000">
      <w:pPr>
        <w:pStyle w:val="pheading"/>
      </w:pPr>
      <w:r>
        <w:t>- unité de mesure:</w:t>
      </w:r>
    </w:p>
    <w:p w14:paraId="3ADFF4F5" w14:textId="77777777" w:rsidR="00772179" w:rsidRDefault="00000000">
      <w:r>
        <w:rPr>
          <w:color w:val="FF0000"/>
        </w:rPr>
        <w:t>-</w:t>
      </w:r>
      <w:r>
        <w:t>    (par défaut)</w:t>
      </w:r>
      <w:r>
        <w:rPr>
          <w:rStyle w:val="optioncarChar"/>
        </w:rPr>
        <w:t> / m² </w:t>
      </w:r>
    </w:p>
    <w:p w14:paraId="3CC53B36" w14:textId="77777777" w:rsidR="00772179" w:rsidRDefault="00000000">
      <w:r>
        <w:rPr>
          <w:b/>
        </w:rPr>
        <w:t>(soit par défaut)</w:t>
      </w:r>
    </w:p>
    <w:p w14:paraId="757D6925" w14:textId="77777777" w:rsidR="00772179" w:rsidRDefault="00000000">
      <w:r>
        <w:rPr>
          <w:rStyle w:val="soitChar"/>
        </w:rPr>
        <w:t>1. -</w:t>
      </w:r>
    </w:p>
    <w:p w14:paraId="6737AB2C" w14:textId="77777777" w:rsidR="00772179" w:rsidRDefault="00000000">
      <w:r>
        <w:rPr>
          <w:b/>
        </w:rPr>
        <w:t>(soit)</w:t>
      </w:r>
    </w:p>
    <w:p w14:paraId="5DAEA534" w14:textId="77777777" w:rsidR="00772179" w:rsidRDefault="00000000">
      <w:r>
        <w:rPr>
          <w:rStyle w:val="soitChar"/>
        </w:rPr>
        <w:t>2. m²</w:t>
      </w:r>
    </w:p>
    <w:p w14:paraId="10049D27" w14:textId="77777777" w:rsidR="00772179" w:rsidRDefault="00000000">
      <w:pPr>
        <w:pStyle w:val="pheading"/>
      </w:pPr>
      <w:r>
        <w:t>- code de mesurage:</w:t>
      </w:r>
    </w:p>
    <w:p w14:paraId="1C0D8BCE" w14:textId="77777777" w:rsidR="00772179" w:rsidRDefault="00000000">
      <w:pPr>
        <w:jc w:val="both"/>
      </w:pPr>
      <w:r>
        <w:rPr>
          <w:rStyle w:val="optioncarChar"/>
        </w:rPr>
        <w:t>prix unitaire global</w:t>
      </w:r>
      <w:r>
        <w:t xml:space="preserve"> (par défaut) </w:t>
      </w:r>
      <w:r>
        <w:rPr>
          <w:rStyle w:val="optioncarChar"/>
        </w:rPr>
        <w:t>/ poste séparé</w:t>
      </w:r>
    </w:p>
    <w:p w14:paraId="4EB91EE0" w14:textId="77777777" w:rsidR="00772179" w:rsidRDefault="00000000">
      <w:pPr>
        <w:jc w:val="both"/>
      </w:pPr>
      <w:r>
        <w:rPr>
          <w:b/>
        </w:rPr>
        <w:t>(soit par défaut)</w:t>
      </w:r>
    </w:p>
    <w:p w14:paraId="2EE24454" w14:textId="77777777" w:rsidR="00772179" w:rsidRDefault="00000000">
      <w:pPr>
        <w:jc w:val="both"/>
      </w:pPr>
      <w:r>
        <w:rPr>
          <w:rStyle w:val="soitChar"/>
          <w:u w:val="single"/>
        </w:rPr>
        <w:t>1. Prix unitaire :</w:t>
      </w:r>
      <w:r>
        <w:rPr>
          <w:rStyle w:val="soitChar"/>
        </w:rPr>
        <w:t xml:space="preserve">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396412E6" w14:textId="77777777" w:rsidR="00772179" w:rsidRDefault="00000000">
      <w:pPr>
        <w:jc w:val="both"/>
      </w:pPr>
      <w:r>
        <w:rPr>
          <w:b/>
        </w:rPr>
        <w:t>(soit)</w:t>
      </w:r>
    </w:p>
    <w:p w14:paraId="4F35C6DD" w14:textId="77777777" w:rsidR="00772179" w:rsidRDefault="00000000">
      <w:pPr>
        <w:jc w:val="both"/>
      </w:pPr>
      <w:r>
        <w:rPr>
          <w:rStyle w:val="soitChar"/>
          <w:u w:val="single"/>
        </w:rPr>
        <w:t>2. Poste séparé :</w:t>
      </w:r>
      <w:r>
        <w:rPr>
          <w:rStyle w:val="soitChar"/>
        </w:rPr>
        <w:t xml:space="preserve"> Exceptionnellement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 sont comptées pour 0,25 m. Les vitres non rectangulaires sont mesurées selon la superficie du plus petit rectangle circonscrit.</w:t>
      </w:r>
    </w:p>
    <w:p w14:paraId="5D1AE6CC" w14:textId="77777777" w:rsidR="00772179" w:rsidRDefault="00000000">
      <w:pPr>
        <w:pStyle w:val="pheading"/>
      </w:pPr>
      <w:r>
        <w:t>- nature du marché:</w:t>
      </w:r>
    </w:p>
    <w:p w14:paraId="6C150A21" w14:textId="77777777" w:rsidR="00772179" w:rsidRDefault="00000000">
      <w:r>
        <w:rPr>
          <w:rStyle w:val="optioncarChar"/>
        </w:rPr>
        <w:t>PM</w:t>
      </w:r>
      <w:r>
        <w:t xml:space="preserve"> (par défaut) </w:t>
      </w:r>
      <w:r>
        <w:rPr>
          <w:rStyle w:val="optioncarChar"/>
        </w:rPr>
        <w:t>/ QF</w:t>
      </w:r>
    </w:p>
    <w:p w14:paraId="7E329503" w14:textId="77777777" w:rsidR="00772179" w:rsidRDefault="00000000">
      <w:r>
        <w:rPr>
          <w:b/>
        </w:rPr>
        <w:t>(soit par défaut)</w:t>
      </w:r>
    </w:p>
    <w:p w14:paraId="758B8C32" w14:textId="77777777" w:rsidR="00772179" w:rsidRDefault="00000000">
      <w:r>
        <w:rPr>
          <w:rStyle w:val="soitChar"/>
        </w:rPr>
        <w:lastRenderedPageBreak/>
        <w:t>1. PM</w:t>
      </w:r>
    </w:p>
    <w:p w14:paraId="058E60F7" w14:textId="77777777" w:rsidR="00772179" w:rsidRDefault="00000000">
      <w:r>
        <w:rPr>
          <w:b/>
        </w:rPr>
        <w:t>(soit)</w:t>
      </w:r>
    </w:p>
    <w:p w14:paraId="422A8E84" w14:textId="77777777" w:rsidR="00772179" w:rsidRDefault="00000000">
      <w:r>
        <w:rPr>
          <w:rStyle w:val="soitChar"/>
        </w:rPr>
        <w:t>2. QF</w:t>
      </w:r>
    </w:p>
    <w:p w14:paraId="75AA2CED" w14:textId="77777777" w:rsidR="00772179" w:rsidRDefault="00000000">
      <w:pPr>
        <w:pStyle w:val="Author-eSectionHeading5Numberless"/>
      </w:pPr>
      <w:bookmarkStart w:id="603" w:name="_Toc220490300"/>
      <w:r>
        <w:t>42.31.2 Eléments de remplissage en planchettes métalliques CCTB 01.02</w:t>
      </w:r>
      <w:bookmarkEnd w:id="603"/>
    </w:p>
    <w:p w14:paraId="1C8A6B2C" w14:textId="77777777" w:rsidR="00772179" w:rsidRDefault="00000000">
      <w:pPr>
        <w:pStyle w:val="Author-eSectionHeading6Numberless"/>
      </w:pPr>
      <w:bookmarkStart w:id="604" w:name="_Toc220490301"/>
      <w:r>
        <w:t>42.31.2a Eléments de remplissage en planchettes métalliques CCTB 01.11</w:t>
      </w:r>
      <w:bookmarkEnd w:id="604"/>
    </w:p>
    <w:p w14:paraId="053E4031" w14:textId="77777777" w:rsidR="00772179" w:rsidRDefault="00000000">
      <w:pPr>
        <w:pStyle w:val="pheading"/>
      </w:pPr>
      <w:r>
        <w:t>MATÉRIAUX</w:t>
      </w:r>
    </w:p>
    <w:p w14:paraId="40315D09" w14:textId="77777777" w:rsidR="00772179" w:rsidRDefault="00000000">
      <w:pPr>
        <w:pStyle w:val="pheading"/>
      </w:pPr>
      <w:r>
        <w:t>- Caractéristiques générales</w:t>
      </w:r>
    </w:p>
    <w:p w14:paraId="40CAF5D1" w14:textId="77777777" w:rsidR="00772179" w:rsidRDefault="00000000">
      <w:r>
        <w:t>Les planchettes de remplissage à isolation thermique sont composées en tôles d'aluminium recouvrant une âme isolante. Les planchettes sont livrées avec un film de protection amovible.</w:t>
      </w:r>
    </w:p>
    <w:p w14:paraId="45451AB5" w14:textId="77777777" w:rsidR="00772179" w:rsidRDefault="00000000">
      <w:pPr>
        <w:pStyle w:val="pheading"/>
      </w:pPr>
      <w:r>
        <w:t>- Finitions</w:t>
      </w:r>
    </w:p>
    <w:p w14:paraId="071E6C0C" w14:textId="77777777" w:rsidR="00772179" w:rsidRDefault="00000000">
      <w:pPr>
        <w:pStyle w:val="Author-eListParagraph"/>
        <w:numPr>
          <w:ilvl w:val="0"/>
          <w:numId w:val="833"/>
        </w:numPr>
      </w:pPr>
      <w:r>
        <w:t>Epaisseur des planches : ≥</w:t>
      </w:r>
      <w:r>
        <w:rPr>
          <w:rStyle w:val="optioncarChar"/>
        </w:rPr>
        <w:t> 20 / 30 / 40</w:t>
      </w:r>
      <w:r>
        <w:t> mm.</w:t>
      </w:r>
    </w:p>
    <w:p w14:paraId="3523B71E" w14:textId="77777777" w:rsidR="00772179" w:rsidRDefault="00000000">
      <w:pPr>
        <w:pStyle w:val="Author-eListParagraph"/>
        <w:numPr>
          <w:ilvl w:val="0"/>
          <w:numId w:val="833"/>
        </w:numPr>
      </w:pPr>
      <w:r>
        <w:t xml:space="preserve">Largeur modulaire des planchettes : </w:t>
      </w:r>
      <w:r>
        <w:rPr>
          <w:rStyle w:val="optioncarChar"/>
        </w:rPr>
        <w:t>70 / 100 / 150 / 200</w:t>
      </w:r>
    </w:p>
    <w:p w14:paraId="3634BA90" w14:textId="77777777" w:rsidR="00772179" w:rsidRDefault="00000000">
      <w:pPr>
        <w:pStyle w:val="Author-eListParagraph"/>
        <w:numPr>
          <w:ilvl w:val="0"/>
          <w:numId w:val="833"/>
        </w:numPr>
      </w:pPr>
      <w:r>
        <w:t>Largeur des joints :</w:t>
      </w:r>
      <w:r>
        <w:rPr>
          <w:rStyle w:val="optioncarChar"/>
        </w:rPr>
        <w:t> sans joints / 5 / 10 / 15 / 20 </w:t>
      </w:r>
      <w:r>
        <w:t>mm</w:t>
      </w:r>
    </w:p>
    <w:p w14:paraId="1FE5F6CA" w14:textId="77777777" w:rsidR="00772179" w:rsidRDefault="00000000">
      <w:pPr>
        <w:pStyle w:val="Author-eListParagraph"/>
        <w:numPr>
          <w:ilvl w:val="0"/>
          <w:numId w:val="833"/>
        </w:numPr>
      </w:pPr>
      <w:r>
        <w:t>Orientation des planchettes :</w:t>
      </w:r>
      <w:r>
        <w:rPr>
          <w:rStyle w:val="optioncarChar"/>
        </w:rPr>
        <w:t xml:space="preserve"> selon les indications sur les plans / horizontales / verticales / en diagonale </w:t>
      </w:r>
    </w:p>
    <w:p w14:paraId="54395A01" w14:textId="77777777" w:rsidR="00772179" w:rsidRDefault="00000000">
      <w:pPr>
        <w:pStyle w:val="Author-eListParagraph"/>
        <w:numPr>
          <w:ilvl w:val="0"/>
          <w:numId w:val="833"/>
        </w:numPr>
      </w:pPr>
      <w:r>
        <w:t>Nature des planches d'aluminium :</w:t>
      </w:r>
    </w:p>
    <w:p w14:paraId="373EC22A" w14:textId="77777777" w:rsidR="00772179" w:rsidRDefault="00000000">
      <w:r>
        <w:t xml:space="preserve">                      ⇒ Épaisseur nominale : ≥ </w:t>
      </w:r>
      <w:r>
        <w:rPr>
          <w:rStyle w:val="optioncarChar"/>
        </w:rPr>
        <w:t>0,7 / 1,5 </w:t>
      </w:r>
      <w:r>
        <w:t>cm</w:t>
      </w:r>
      <w:r>
        <w:br/>
        <w:t xml:space="preserve">                      ⇒ Finition et couleur : </w:t>
      </w:r>
      <w:r>
        <w:rPr>
          <w:rStyle w:val="optioncarChar"/>
        </w:rPr>
        <w:t xml:space="preserve">identiques à celles des profilés de fenêtre </w:t>
      </w:r>
      <w:r>
        <w:t>(par défaut)</w:t>
      </w:r>
      <w:r>
        <w:rPr>
          <w:rStyle w:val="optioncarChar"/>
        </w:rPr>
        <w:t xml:space="preserve"> / ***</w:t>
      </w:r>
    </w:p>
    <w:p w14:paraId="7DAB8B03" w14:textId="77777777" w:rsidR="00772179" w:rsidRDefault="00000000">
      <w:pPr>
        <w:pStyle w:val="Author-eListParagraph"/>
        <w:numPr>
          <w:ilvl w:val="0"/>
          <w:numId w:val="834"/>
        </w:numPr>
      </w:pPr>
      <w:r>
        <w:t>Nature du matériau d'isolation :</w:t>
      </w:r>
    </w:p>
    <w:p w14:paraId="3900F66A" w14:textId="77777777" w:rsidR="00772179" w:rsidRDefault="00000000">
      <w:r>
        <w:t xml:space="preserve">                      ⇒ Matériau : </w:t>
      </w:r>
      <w:r>
        <w:rPr>
          <w:rStyle w:val="optioncarChar"/>
        </w:rPr>
        <w:t>polystyrène extrudé / polyuréthane / fibres minérales /</w:t>
      </w:r>
      <w:r>
        <w:br/>
        <w:t xml:space="preserve">                      ⇒ Épaisseur nominale : ≥ </w:t>
      </w:r>
      <w:r>
        <w:rPr>
          <w:rStyle w:val="optioncarChar"/>
        </w:rPr>
        <w:t>20 / 30 / 40 </w:t>
      </w:r>
      <w:r>
        <w:t>mm.</w:t>
      </w:r>
      <w:r>
        <w:br/>
        <w:t xml:space="preserve">                      ⇒ Conductibilité thermique : ≤ </w:t>
      </w:r>
      <w:r>
        <w:rPr>
          <w:rStyle w:val="optioncarChar"/>
        </w:rPr>
        <w:t xml:space="preserve">40 </w:t>
      </w:r>
      <w:r>
        <w:t>W/mK  </w:t>
      </w:r>
    </w:p>
    <w:p w14:paraId="74FA11F4" w14:textId="77777777" w:rsidR="00772179" w:rsidRDefault="00000000">
      <w:pPr>
        <w:pStyle w:val="pheading"/>
      </w:pPr>
      <w:r>
        <w:t>- Prescriptions complémentaires</w:t>
      </w:r>
    </w:p>
    <w:p w14:paraId="388FA87D" w14:textId="77777777" w:rsidR="00772179" w:rsidRDefault="00000000">
      <w:r>
        <w:t xml:space="preserve">Les planchettes de remplissage pour les portes d'entrée sont pourvues d'une fenêtre </w:t>
      </w:r>
      <w:r>
        <w:rPr>
          <w:rStyle w:val="optioncarChar"/>
        </w:rPr>
        <w:t xml:space="preserve">ronde / carrée </w:t>
      </w:r>
      <w:r>
        <w:t>à double vitrage (</w:t>
      </w:r>
      <w:r>
        <w:rPr>
          <w:rStyle w:val="optioncarChar"/>
        </w:rPr>
        <w:t xml:space="preserve"> mat / clair </w:t>
      </w:r>
      <w:r>
        <w:t xml:space="preserve">), située dans le même plan que le panneau, intégrée dans le panneau sans profils périphériques et colmatée avec des silicones incolores. Diamètre : </w:t>
      </w:r>
      <w:r>
        <w:rPr>
          <w:rStyle w:val="optioncarChar"/>
        </w:rPr>
        <w:t>30 / *** </w:t>
      </w:r>
      <w:r>
        <w:t>cm.</w:t>
      </w:r>
      <w:r>
        <w:br/>
        <w:t>Un drainage vers l'extérieur est mis en œuvre ainsi qu'une ventilation de la feuillure - cfr [NIT 221].</w:t>
      </w:r>
      <w:r>
        <w:br/>
        <w:t>Les vitrages de portes sont conformes à la norme [NBN S 23-002].</w:t>
      </w:r>
      <w:r>
        <w:br/>
        <w:t>Le verre est feuilleté ou trempé si les dimensions &gt; 0,5 m² et si se situe &lt; 1,4 m.</w:t>
      </w:r>
    </w:p>
    <w:p w14:paraId="7A3F9E25" w14:textId="77777777" w:rsidR="00772179" w:rsidRDefault="00000000">
      <w:pPr>
        <w:pStyle w:val="pheading"/>
      </w:pPr>
      <w:r>
        <w:t>EXÉCUTION / MISE EN ŒUVRE</w:t>
      </w:r>
    </w:p>
    <w:p w14:paraId="75A2F05E" w14:textId="77777777" w:rsidR="00772179" w:rsidRDefault="00000000">
      <w:pPr>
        <w:pStyle w:val="pheading"/>
      </w:pPr>
      <w:r>
        <w:t>- Prescriptions générales</w:t>
      </w:r>
    </w:p>
    <w:p w14:paraId="06EC3AF7" w14:textId="77777777" w:rsidR="00772179" w:rsidRDefault="00000000">
      <w:pPr>
        <w:pStyle w:val="Author-eListParagraph"/>
        <w:numPr>
          <w:ilvl w:val="0"/>
          <w:numId w:val="835"/>
        </w:numPr>
      </w:pPr>
      <w:r>
        <w:t xml:space="preserve">Les éléments de remplissage sont placés sous </w:t>
      </w:r>
      <w:r>
        <w:rPr>
          <w:rStyle w:val="optioncarChar"/>
        </w:rPr>
        <w:t>vitrage comprimé / semi-comprimé / non-comprimé</w:t>
      </w:r>
      <w:r>
        <w:t>.</w:t>
      </w:r>
    </w:p>
    <w:p w14:paraId="2F9ED01A" w14:textId="77777777" w:rsidR="00772179" w:rsidRDefault="00000000">
      <w:pPr>
        <w:pStyle w:val="Author-eListParagraph"/>
        <w:numPr>
          <w:ilvl w:val="0"/>
          <w:numId w:val="835"/>
        </w:numPr>
      </w:pPr>
      <w:r>
        <w:t xml:space="preserve">Les éléments de remplissage sont placés dans un système </w:t>
      </w:r>
      <w:r>
        <w:rPr>
          <w:rStyle w:val="optioncarChar"/>
        </w:rPr>
        <w:t>ouvert / fermé</w:t>
      </w:r>
      <w:r>
        <w:t>.</w:t>
      </w:r>
    </w:p>
    <w:p w14:paraId="7AA23C06" w14:textId="77777777" w:rsidR="00772179" w:rsidRDefault="00000000">
      <w:pPr>
        <w:pStyle w:val="pheading"/>
      </w:pPr>
      <w:r>
        <w:t>MESURAGE</w:t>
      </w:r>
    </w:p>
    <w:p w14:paraId="3CE5B66E" w14:textId="77777777" w:rsidR="00772179" w:rsidRDefault="00000000">
      <w:pPr>
        <w:pStyle w:val="pheading"/>
      </w:pPr>
      <w:r>
        <w:t>- unité de mesure:</w:t>
      </w:r>
    </w:p>
    <w:p w14:paraId="5394645D" w14:textId="77777777" w:rsidR="00772179" w:rsidRDefault="00000000">
      <w:r>
        <w:rPr>
          <w:color w:val="FF0000"/>
        </w:rPr>
        <w:t>-</w:t>
      </w:r>
      <w:r>
        <w:t> (par défaut)</w:t>
      </w:r>
      <w:r>
        <w:rPr>
          <w:rStyle w:val="optioncarChar"/>
        </w:rPr>
        <w:t> / m² </w:t>
      </w:r>
    </w:p>
    <w:p w14:paraId="7EDB2BC8" w14:textId="77777777" w:rsidR="00772179" w:rsidRDefault="00000000">
      <w:r>
        <w:rPr>
          <w:b/>
        </w:rPr>
        <w:t>(soit par défaut)</w:t>
      </w:r>
    </w:p>
    <w:p w14:paraId="392B9C5B" w14:textId="77777777" w:rsidR="00772179" w:rsidRDefault="00000000">
      <w:r>
        <w:rPr>
          <w:rStyle w:val="soitChar"/>
        </w:rPr>
        <w:t>1. -</w:t>
      </w:r>
    </w:p>
    <w:p w14:paraId="591A1CE8" w14:textId="77777777" w:rsidR="00772179" w:rsidRDefault="00000000">
      <w:r>
        <w:rPr>
          <w:b/>
        </w:rPr>
        <w:t>(soit)</w:t>
      </w:r>
    </w:p>
    <w:p w14:paraId="59D3E5EB" w14:textId="77777777" w:rsidR="00772179" w:rsidRDefault="00000000">
      <w:r>
        <w:rPr>
          <w:rStyle w:val="soitChar"/>
        </w:rPr>
        <w:t>2. m²</w:t>
      </w:r>
    </w:p>
    <w:p w14:paraId="312848F4" w14:textId="77777777" w:rsidR="00772179" w:rsidRDefault="00000000">
      <w:pPr>
        <w:pStyle w:val="pheading"/>
      </w:pPr>
      <w:r>
        <w:lastRenderedPageBreak/>
        <w:t>- code de mesurage:</w:t>
      </w:r>
    </w:p>
    <w:p w14:paraId="718397A6" w14:textId="77777777" w:rsidR="00772179" w:rsidRDefault="00000000">
      <w:pPr>
        <w:jc w:val="both"/>
      </w:pPr>
      <w:r>
        <w:rPr>
          <w:rStyle w:val="optioncarChar"/>
        </w:rPr>
        <w:t>prix unitaire global</w:t>
      </w:r>
      <w:r>
        <w:t> (par défaut) </w:t>
      </w:r>
      <w:r>
        <w:rPr>
          <w:rStyle w:val="optioncarChar"/>
        </w:rPr>
        <w:t>/ poste séparé</w:t>
      </w:r>
    </w:p>
    <w:p w14:paraId="605DA16E" w14:textId="77777777" w:rsidR="00772179" w:rsidRDefault="00000000">
      <w:pPr>
        <w:jc w:val="both"/>
      </w:pPr>
      <w:r>
        <w:rPr>
          <w:b/>
        </w:rPr>
        <w:t>(soit par défaut)</w:t>
      </w:r>
    </w:p>
    <w:p w14:paraId="0306E8FC" w14:textId="77777777" w:rsidR="00772179"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3B24ADDD" w14:textId="77777777" w:rsidR="00772179" w:rsidRDefault="00000000">
      <w:pPr>
        <w:jc w:val="both"/>
      </w:pPr>
      <w:r>
        <w:rPr>
          <w:b/>
        </w:rPr>
        <w:t>(soit)</w:t>
      </w:r>
    </w:p>
    <w:p w14:paraId="092ED879" w14:textId="77777777" w:rsidR="00772179" w:rsidRDefault="00000000">
      <w:pPr>
        <w:jc w:val="both"/>
      </w:pPr>
      <w:r>
        <w:rPr>
          <w:rStyle w:val="soitChar"/>
          <w:u w:val="single"/>
        </w:rPr>
        <w:t>2. Poste séparé :</w:t>
      </w:r>
      <w:r>
        <w:rPr>
          <w:rStyle w:val="soitChar"/>
        </w:rPr>
        <w:t xml:space="preserve"> Exceptionnellement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i&lt; 0,25 m sont comptées pour 0,25 m. Les vitres non rectangulaires sont mesurées selon la superficie du plus petit rectangle circonscrit.</w:t>
      </w:r>
    </w:p>
    <w:p w14:paraId="653354A0" w14:textId="77777777" w:rsidR="00772179" w:rsidRDefault="00000000">
      <w:pPr>
        <w:pStyle w:val="pheading"/>
      </w:pPr>
      <w:r>
        <w:t>- nature du marché:</w:t>
      </w:r>
    </w:p>
    <w:p w14:paraId="7D426094" w14:textId="77777777" w:rsidR="00772179" w:rsidRDefault="00000000">
      <w:r>
        <w:rPr>
          <w:rStyle w:val="optioncarChar"/>
        </w:rPr>
        <w:t>PM</w:t>
      </w:r>
      <w:r>
        <w:t> (par défaut) </w:t>
      </w:r>
      <w:r>
        <w:rPr>
          <w:rStyle w:val="optioncarChar"/>
        </w:rPr>
        <w:t>/ QF</w:t>
      </w:r>
    </w:p>
    <w:p w14:paraId="76800187" w14:textId="77777777" w:rsidR="00772179" w:rsidRDefault="00000000">
      <w:r>
        <w:rPr>
          <w:b/>
        </w:rPr>
        <w:t>(soit par défaut)</w:t>
      </w:r>
    </w:p>
    <w:p w14:paraId="27C78A4F" w14:textId="77777777" w:rsidR="00772179" w:rsidRDefault="00000000">
      <w:r>
        <w:rPr>
          <w:rStyle w:val="soitChar"/>
        </w:rPr>
        <w:t>1. PM</w:t>
      </w:r>
    </w:p>
    <w:p w14:paraId="2D11D2B1" w14:textId="77777777" w:rsidR="00772179" w:rsidRDefault="00000000">
      <w:r>
        <w:rPr>
          <w:b/>
        </w:rPr>
        <w:t>(soit)</w:t>
      </w:r>
    </w:p>
    <w:p w14:paraId="1FCC898C" w14:textId="77777777" w:rsidR="00772179" w:rsidRDefault="00000000">
      <w:r>
        <w:rPr>
          <w:rStyle w:val="soitChar"/>
        </w:rPr>
        <w:t>2. QF</w:t>
      </w:r>
    </w:p>
    <w:p w14:paraId="04C59103" w14:textId="77777777" w:rsidR="00772179" w:rsidRDefault="00000000">
      <w:pPr>
        <w:pStyle w:val="Author-eSectionHeading5Numberless"/>
      </w:pPr>
      <w:bookmarkStart w:id="605" w:name="_Toc220490302"/>
      <w:r>
        <w:t>42.31.3 Eléments de remplissage en planchettes en matière synthétique CCTB 01.02</w:t>
      </w:r>
      <w:bookmarkEnd w:id="605"/>
    </w:p>
    <w:p w14:paraId="2A58C8B4" w14:textId="77777777" w:rsidR="00772179" w:rsidRDefault="00000000">
      <w:pPr>
        <w:pStyle w:val="Author-eSectionHeading6Numberless"/>
      </w:pPr>
      <w:bookmarkStart w:id="606" w:name="_Toc220490303"/>
      <w:r>
        <w:t>42.31.3a Eléments de remplissage en planchettes en matière synthétique CCTB 01.11</w:t>
      </w:r>
      <w:bookmarkEnd w:id="606"/>
    </w:p>
    <w:p w14:paraId="2B18661A" w14:textId="77777777" w:rsidR="00772179" w:rsidRDefault="00000000">
      <w:pPr>
        <w:pStyle w:val="pheading"/>
      </w:pPr>
      <w:r>
        <w:t>MATÉRIAUX</w:t>
      </w:r>
    </w:p>
    <w:p w14:paraId="6211BC93" w14:textId="77777777" w:rsidR="00772179" w:rsidRDefault="00000000">
      <w:pPr>
        <w:pStyle w:val="pheading"/>
      </w:pPr>
      <w:r>
        <w:t>- Caractéristiques générales</w:t>
      </w:r>
    </w:p>
    <w:p w14:paraId="5D7C3808" w14:textId="77777777" w:rsidR="00772179" w:rsidRDefault="00000000">
      <w:r>
        <w:t>Les éléments de remplissage se composent de planchettes en PVC dur (chlorure de polyvinyle dur) et d'une âme isolante. Elles sont livrées avec un film de polyéthylène amovible. Le PVC utilisé est conforme à la norme [NBN EN 514].</w:t>
      </w:r>
    </w:p>
    <w:p w14:paraId="017E6294" w14:textId="77777777" w:rsidR="00772179" w:rsidRDefault="00000000">
      <w:r>
        <w:t>Les éléments de remplissage en PVC sont conformes aux exigences des Spécifications Techniques [STS 52.3]. </w:t>
      </w:r>
    </w:p>
    <w:p w14:paraId="689868CF" w14:textId="77777777" w:rsidR="00772179" w:rsidRDefault="00000000">
      <w:pPr>
        <w:pStyle w:val="pheading"/>
      </w:pPr>
      <w:r>
        <w:t>- Finitions</w:t>
      </w:r>
    </w:p>
    <w:p w14:paraId="39F9AB03" w14:textId="77777777" w:rsidR="00772179" w:rsidRDefault="00000000">
      <w:pPr>
        <w:pStyle w:val="Author-eListParagraph"/>
        <w:numPr>
          <w:ilvl w:val="0"/>
          <w:numId w:val="836"/>
        </w:numPr>
      </w:pPr>
      <w:r>
        <w:t>Forme des planchettes :</w:t>
      </w:r>
      <w:r>
        <w:rPr>
          <w:rStyle w:val="optioncarChar"/>
        </w:rPr>
        <w:t xml:space="preserve"> à rainure et languette / rectangulaire avec rainure pour assemblage à ressort / dans le même matériau. </w:t>
      </w:r>
    </w:p>
    <w:p w14:paraId="3A2260EA" w14:textId="77777777" w:rsidR="00772179" w:rsidRDefault="00000000">
      <w:pPr>
        <w:pStyle w:val="Author-eListParagraph"/>
        <w:numPr>
          <w:ilvl w:val="0"/>
          <w:numId w:val="836"/>
        </w:numPr>
      </w:pPr>
      <w:r>
        <w:t>Largeur modulaire des planchettes :</w:t>
      </w:r>
      <w:r>
        <w:rPr>
          <w:rStyle w:val="optioncarChar"/>
        </w:rPr>
        <w:t xml:space="preserve"> 70 / 100 / 150 / 200 </w:t>
      </w:r>
    </w:p>
    <w:p w14:paraId="53ECCE25" w14:textId="77777777" w:rsidR="00772179" w:rsidRDefault="00000000">
      <w:pPr>
        <w:pStyle w:val="Author-eListParagraph"/>
        <w:numPr>
          <w:ilvl w:val="0"/>
          <w:numId w:val="836"/>
        </w:numPr>
      </w:pPr>
      <w:r>
        <w:t>Largeur des joints :</w:t>
      </w:r>
      <w:r>
        <w:rPr>
          <w:rStyle w:val="optioncarChar"/>
        </w:rPr>
        <w:t> sans joints / 5 / 10 / 15 / 20</w:t>
      </w:r>
      <w:r>
        <w:t> mm</w:t>
      </w:r>
    </w:p>
    <w:p w14:paraId="3EAD32D0" w14:textId="77777777" w:rsidR="00772179" w:rsidRDefault="00000000">
      <w:pPr>
        <w:pStyle w:val="Author-eListParagraph"/>
        <w:numPr>
          <w:ilvl w:val="0"/>
          <w:numId w:val="836"/>
        </w:numPr>
      </w:pPr>
      <w:r>
        <w:t xml:space="preserve">Orientation des planchettes : </w:t>
      </w:r>
      <w:r>
        <w:rPr>
          <w:rStyle w:val="optioncarChar"/>
        </w:rPr>
        <w:t xml:space="preserve">*** / selon les indications sur les plans / horizontales / verticales / en diagonale </w:t>
      </w:r>
    </w:p>
    <w:p w14:paraId="15833972" w14:textId="77777777" w:rsidR="00772179" w:rsidRDefault="00000000">
      <w:pPr>
        <w:pStyle w:val="Author-eListParagraph"/>
        <w:numPr>
          <w:ilvl w:val="0"/>
          <w:numId w:val="836"/>
        </w:numPr>
      </w:pPr>
      <w:r>
        <w:t>Epaisseur des planchettes : ≥</w:t>
      </w:r>
      <w:r>
        <w:rPr>
          <w:rStyle w:val="optioncarChar"/>
        </w:rPr>
        <w:t> 20 / 30 / 40 </w:t>
      </w:r>
      <w:r>
        <w:t>mm.</w:t>
      </w:r>
    </w:p>
    <w:p w14:paraId="663F82C2" w14:textId="77777777" w:rsidR="00772179" w:rsidRDefault="00000000">
      <w:pPr>
        <w:pStyle w:val="Author-eListParagraph"/>
        <w:numPr>
          <w:ilvl w:val="0"/>
          <w:numId w:val="836"/>
        </w:numPr>
      </w:pPr>
      <w:r>
        <w:t>Type :</w:t>
      </w:r>
      <w:r>
        <w:rPr>
          <w:rStyle w:val="optioncarChar"/>
        </w:rPr>
        <w:t xml:space="preserve"> à simple paroi / à double paroi. Les plaques sont pourvues d'une isolation thermique *** / à l'intérieur / à l'arrière . </w:t>
      </w:r>
    </w:p>
    <w:p w14:paraId="2D883D18" w14:textId="77777777" w:rsidR="00772179" w:rsidRDefault="00000000">
      <w:pPr>
        <w:pStyle w:val="Author-eListParagraph"/>
        <w:numPr>
          <w:ilvl w:val="0"/>
          <w:numId w:val="836"/>
        </w:numPr>
      </w:pPr>
      <w:r>
        <w:t>Nature des plaques en PVC : extrudées dans une composition de PVC dure </w:t>
      </w:r>
      <w:r>
        <w:rPr>
          <w:rStyle w:val="optioncarChar"/>
        </w:rPr>
        <w:t xml:space="preserve">à base de pâte de granulats blanche </w:t>
      </w:r>
      <w:r>
        <w:t>(par défaut) </w:t>
      </w:r>
      <w:r>
        <w:rPr>
          <w:rStyle w:val="optioncarChar"/>
        </w:rPr>
        <w:t>/ de couleur blanche / extrudées dans du PVC à résistance aux chocs élevée</w:t>
      </w:r>
    </w:p>
    <w:p w14:paraId="5E9C9BC8" w14:textId="77777777" w:rsidR="00772179" w:rsidRDefault="00000000">
      <w:pPr>
        <w:ind w:left="450"/>
      </w:pPr>
      <w:r>
        <w:rPr>
          <w:b/>
        </w:rPr>
        <w:t>(soit par défaut) : </w:t>
      </w:r>
      <w:r>
        <w:rPr>
          <w:rStyle w:val="soitChar"/>
          <w:u w:val="single"/>
        </w:rPr>
        <w:t>extrudées dans une composition de PVC dure à base de pâte de granulats blanche</w:t>
      </w:r>
      <w:r>
        <w:rPr>
          <w:rStyle w:val="soitChar"/>
        </w:rPr>
        <w:t>, colorée dans la masse.</w:t>
      </w:r>
    </w:p>
    <w:p w14:paraId="39112E3C" w14:textId="77777777" w:rsidR="00772179" w:rsidRDefault="00000000">
      <w:pPr>
        <w:ind w:left="450"/>
      </w:pPr>
      <w:r>
        <w:rPr>
          <w:b/>
        </w:rPr>
        <w:lastRenderedPageBreak/>
        <w:t>(soit) :</w:t>
      </w:r>
      <w:r>
        <w:t> </w:t>
      </w:r>
      <w:r>
        <w:rPr>
          <w:rStyle w:val="soitChar"/>
          <w:u w:val="single"/>
        </w:rPr>
        <w:t>extrudées dans une composition de PVC dure de couleur blanche</w:t>
      </w:r>
      <w:r>
        <w:rPr>
          <w:rStyle w:val="soitChar"/>
        </w:rPr>
        <w:t>, référence</w:t>
      </w:r>
      <w:r>
        <w:rPr>
          <w:rStyle w:val="optioncarChar"/>
        </w:rPr>
        <w:t xml:space="preserve">*** </w:t>
      </w:r>
      <w:r>
        <w:t>.</w:t>
      </w:r>
      <w:r>
        <w:br/>
      </w:r>
      <w:r>
        <w:rPr>
          <w:b/>
        </w:rPr>
        <w:t>(soit) : </w:t>
      </w:r>
      <w:r>
        <w:rPr>
          <w:rStyle w:val="soitChar"/>
          <w:u w:val="single"/>
        </w:rPr>
        <w:t>extrudées dans du PVC à résistance aux chocs élevée</w:t>
      </w:r>
      <w:r>
        <w:rPr>
          <w:rStyle w:val="soitChar"/>
        </w:rPr>
        <w:t xml:space="preserve"> avec une couche de couleur acrylique PMMA dans la masse; la couleur est extrudée en même temps afin d'obtenir une cohésion homogène entre le PVC et l'acrylique.</w:t>
      </w:r>
    </w:p>
    <w:p w14:paraId="632780D2" w14:textId="77777777" w:rsidR="00772179" w:rsidRDefault="00000000">
      <w:r>
        <w:t xml:space="preserve">               ⇒ Epaisseur nominale : </w:t>
      </w:r>
      <w:r>
        <w:rPr>
          <w:rStyle w:val="optioncarChar"/>
        </w:rPr>
        <w:t>3 / 4 / 5 </w:t>
      </w:r>
      <w:r>
        <w:t>mm.</w:t>
      </w:r>
      <w:r>
        <w:br/>
        <w:t xml:space="preserve">               ⇒ Poids spécifique : ≥ </w:t>
      </w:r>
      <w:r>
        <w:rPr>
          <w:rStyle w:val="optioncarChar"/>
        </w:rPr>
        <w:t>1400  </w:t>
      </w:r>
      <w:r>
        <w:t>kg/m³</w:t>
      </w:r>
      <w:r>
        <w:br/>
        <w:t>               ⇒ Coefficient de dilatation linéaire :</w:t>
      </w:r>
      <w:r>
        <w:rPr>
          <w:rStyle w:val="optioncarChar"/>
        </w:rPr>
        <w:t> 7 à 9 x 10</w:t>
      </w:r>
      <w:r>
        <w:rPr>
          <w:rStyle w:val="optioncarChar"/>
          <w:vertAlign w:val="superscript"/>
        </w:rPr>
        <w:t>-5</w:t>
      </w:r>
      <w:r>
        <w:rPr>
          <w:rStyle w:val="optioncarChar"/>
        </w:rPr>
        <w:t xml:space="preserve"> / *** </w:t>
      </w:r>
      <w:r>
        <w:t>mm.</w:t>
      </w:r>
      <w:r>
        <w:br/>
        <w:t xml:space="preserve">               ⇒ Point Vicat sous 5 kg : </w:t>
      </w:r>
      <w:r>
        <w:rPr>
          <w:rStyle w:val="optioncarChar"/>
        </w:rPr>
        <w:t xml:space="preserve">70 </w:t>
      </w:r>
      <w:r>
        <w:t>°C</w:t>
      </w:r>
      <w:r>
        <w:br/>
        <w:t xml:space="preserve">               ⇒ Couleur : </w:t>
      </w:r>
      <w:r>
        <w:rPr>
          <w:rStyle w:val="optioncarChar"/>
        </w:rPr>
        <w:t>identique à celles des profilés de fenêtre / choisie par l'auteur de projet dans la                      gamme complète du fabricant</w:t>
      </w:r>
      <w:r>
        <w:t xml:space="preserve">. Couleur RAL n° . </w:t>
      </w:r>
      <w:r>
        <w:rPr>
          <w:rStyle w:val="optioncarChar"/>
        </w:rPr>
        <w:t>***</w:t>
      </w:r>
      <w:r>
        <w:br/>
        <w:t>               ⇒ Brillance : </w:t>
      </w:r>
      <w:r>
        <w:rPr>
          <w:rStyle w:val="optioncarChar"/>
        </w:rPr>
        <w:t>mat / brillant</w:t>
      </w:r>
    </w:p>
    <w:p w14:paraId="7D85EDFF" w14:textId="77777777" w:rsidR="00772179" w:rsidRDefault="00000000">
      <w:pPr>
        <w:pStyle w:val="Author-eListParagraph"/>
        <w:numPr>
          <w:ilvl w:val="0"/>
          <w:numId w:val="837"/>
        </w:numPr>
      </w:pPr>
      <w:r>
        <w:t>Nature du matériau d'isolation :</w:t>
      </w:r>
    </w:p>
    <w:p w14:paraId="16085D8E" w14:textId="77777777" w:rsidR="00772179" w:rsidRDefault="00000000">
      <w:r>
        <w:t xml:space="preserve">               ⇒ Matériau : </w:t>
      </w:r>
      <w:r>
        <w:rPr>
          <w:rStyle w:val="optioncarChar"/>
        </w:rPr>
        <w:t>EPS (polystyrène expansé) / XPS (polystyrène extrudé ) / PUR                  (polyuréthane) / PF (mousse de phénolformaldéhyde / PIR (mousse de polyisocyanure)</w:t>
      </w:r>
      <w:r>
        <w:br/>
        <w:t xml:space="preserve">               ⇒ Mode de pose : </w:t>
      </w:r>
      <w:r>
        <w:rPr>
          <w:rStyle w:val="optioncarChar"/>
        </w:rPr>
        <w:t>collage à l'arrière des panneaux / fixation sur l'ouvrage de                          construction attenant</w:t>
      </w:r>
      <w:r>
        <w:t>.</w:t>
      </w:r>
      <w:r>
        <w:br/>
        <w:t xml:space="preserve">               ⇒ Épaisseur nominale : </w:t>
      </w:r>
      <w:r>
        <w:rPr>
          <w:rStyle w:val="optioncarChar"/>
        </w:rPr>
        <w:t>3 / 6 / 10 / 20 / 30 </w:t>
      </w:r>
      <w:r>
        <w:t>mm</w:t>
      </w:r>
      <w:r>
        <w:br/>
        <w:t xml:space="preserve">               ⇒ Valeur ld déclarée : </w:t>
      </w:r>
      <w:r>
        <w:rPr>
          <w:rStyle w:val="optioncarChar"/>
        </w:rPr>
        <w:t xml:space="preserve">*** </w:t>
      </w:r>
      <w:r>
        <w:t>W/mK</w:t>
      </w:r>
    </w:p>
    <w:p w14:paraId="59F9C542" w14:textId="77777777" w:rsidR="00772179" w:rsidRDefault="00000000">
      <w:pPr>
        <w:pStyle w:val="pheading"/>
      </w:pPr>
      <w:r>
        <w:t>- Prescriptions complémentaires</w:t>
      </w:r>
    </w:p>
    <w:p w14:paraId="5E11696A" w14:textId="77777777" w:rsidR="00772179" w:rsidRDefault="00000000">
      <w:pPr>
        <w:pStyle w:val="Author-eListParagraph"/>
        <w:numPr>
          <w:ilvl w:val="0"/>
          <w:numId w:val="838"/>
        </w:numPr>
      </w:pPr>
      <w:r>
        <w:t xml:space="preserve">Les panneaux de remplissage pour les portes d'entrée sont pourvus d'une fenêtre </w:t>
      </w:r>
      <w:r>
        <w:rPr>
          <w:rStyle w:val="optioncarChar"/>
        </w:rPr>
        <w:t>ronde / ***</w:t>
      </w:r>
      <w:r>
        <w:t xml:space="preserve"> à double vitrage, située dans le même plan que le panneau, intégrée dans le panneau sans profils périphériques et colmatée avec des silicones incolores. Ø : </w:t>
      </w:r>
      <w:r>
        <w:rPr>
          <w:rStyle w:val="optioncarChar"/>
        </w:rPr>
        <w:t>30 / ***</w:t>
      </w:r>
      <w:r>
        <w:t xml:space="preserve"> cm.</w:t>
      </w:r>
    </w:p>
    <w:p w14:paraId="5D05EBAF" w14:textId="77777777" w:rsidR="00772179" w:rsidRDefault="00000000">
      <w:pPr>
        <w:pStyle w:val="Author-eListParagraph"/>
        <w:numPr>
          <w:ilvl w:val="0"/>
          <w:numId w:val="838"/>
        </w:numPr>
      </w:pPr>
      <w:r>
        <w:t>Les vitrages de portes sont conformes à la norme [NBN S 23-002]. Le verre est feuilleté ou trempé si les dimensions &lt; 0,5 m² et si &lt; 1,4m.</w:t>
      </w:r>
    </w:p>
    <w:p w14:paraId="472F9328" w14:textId="77777777" w:rsidR="00772179" w:rsidRDefault="00000000">
      <w:pPr>
        <w:pStyle w:val="pheading"/>
      </w:pPr>
      <w:r>
        <w:t>EXÉCUTION / MISE EN ŒUVRE</w:t>
      </w:r>
    </w:p>
    <w:p w14:paraId="072D45AB" w14:textId="77777777" w:rsidR="00772179" w:rsidRDefault="00000000">
      <w:pPr>
        <w:pStyle w:val="pheading"/>
      </w:pPr>
      <w:r>
        <w:t>- Prescriptions générales</w:t>
      </w:r>
    </w:p>
    <w:p w14:paraId="6ED66651" w14:textId="77777777" w:rsidR="00772179" w:rsidRDefault="00000000">
      <w:pPr>
        <w:pStyle w:val="Author-eListParagraph"/>
        <w:numPr>
          <w:ilvl w:val="0"/>
          <w:numId w:val="839"/>
        </w:numPr>
      </w:pPr>
      <w:r>
        <w:t xml:space="preserve">Les éléments de remplissage sont placés sous </w:t>
      </w:r>
      <w:r>
        <w:rPr>
          <w:rStyle w:val="optioncarChar"/>
        </w:rPr>
        <w:t>vitrage comprimé / semi-comprimé / non-comprimé</w:t>
      </w:r>
      <w:r>
        <w:t>.</w:t>
      </w:r>
    </w:p>
    <w:p w14:paraId="32203048" w14:textId="77777777" w:rsidR="00772179" w:rsidRDefault="00000000">
      <w:pPr>
        <w:pStyle w:val="Author-eListParagraph"/>
        <w:numPr>
          <w:ilvl w:val="0"/>
          <w:numId w:val="839"/>
        </w:numPr>
      </w:pPr>
      <w:r>
        <w:t xml:space="preserve">Les éléments de remplissage sont placés dans un système </w:t>
      </w:r>
      <w:r>
        <w:rPr>
          <w:rStyle w:val="optioncarChar"/>
        </w:rPr>
        <w:t>ouvert / fermé</w:t>
      </w:r>
      <w:r>
        <w:t>.</w:t>
      </w:r>
    </w:p>
    <w:p w14:paraId="17E90191" w14:textId="77777777" w:rsidR="00772179" w:rsidRDefault="00000000">
      <w:pPr>
        <w:pStyle w:val="Author-eListParagraph"/>
        <w:numPr>
          <w:ilvl w:val="0"/>
          <w:numId w:val="839"/>
        </w:numPr>
      </w:pPr>
      <w:r>
        <w:t>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w:t>
      </w:r>
    </w:p>
    <w:p w14:paraId="60EDCF1F" w14:textId="77777777" w:rsidR="00772179" w:rsidRDefault="00000000">
      <w:pPr>
        <w:pStyle w:val="pheading"/>
      </w:pPr>
      <w:r>
        <w:t>MESURAGE</w:t>
      </w:r>
    </w:p>
    <w:p w14:paraId="1E2FC1FD" w14:textId="77777777" w:rsidR="00772179" w:rsidRDefault="00000000">
      <w:pPr>
        <w:pStyle w:val="pheading"/>
      </w:pPr>
      <w:r>
        <w:t>- unité de mesure:</w:t>
      </w:r>
    </w:p>
    <w:p w14:paraId="2931C5B4" w14:textId="77777777" w:rsidR="00772179" w:rsidRDefault="00000000">
      <w:r>
        <w:rPr>
          <w:color w:val="FF0000"/>
        </w:rPr>
        <w:t>-</w:t>
      </w:r>
      <w:r>
        <w:t> (par défaut)</w:t>
      </w:r>
      <w:r>
        <w:rPr>
          <w:rStyle w:val="optioncarChar"/>
        </w:rPr>
        <w:t> / m² </w:t>
      </w:r>
    </w:p>
    <w:p w14:paraId="757A461B" w14:textId="77777777" w:rsidR="00772179" w:rsidRDefault="00000000">
      <w:r>
        <w:rPr>
          <w:b/>
        </w:rPr>
        <w:t>(soit par défaut)</w:t>
      </w:r>
    </w:p>
    <w:p w14:paraId="6EE07118" w14:textId="77777777" w:rsidR="00772179" w:rsidRDefault="00000000">
      <w:r>
        <w:rPr>
          <w:rStyle w:val="soitChar"/>
        </w:rPr>
        <w:t>1. -</w:t>
      </w:r>
    </w:p>
    <w:p w14:paraId="335F8627" w14:textId="77777777" w:rsidR="00772179" w:rsidRDefault="00000000">
      <w:r>
        <w:rPr>
          <w:b/>
        </w:rPr>
        <w:t>(soit)</w:t>
      </w:r>
    </w:p>
    <w:p w14:paraId="72AA5750" w14:textId="77777777" w:rsidR="00772179" w:rsidRDefault="00000000">
      <w:r>
        <w:rPr>
          <w:rStyle w:val="soitChar"/>
        </w:rPr>
        <w:t>2. m²</w:t>
      </w:r>
    </w:p>
    <w:p w14:paraId="0BE48D67" w14:textId="77777777" w:rsidR="00772179" w:rsidRDefault="00000000">
      <w:pPr>
        <w:pStyle w:val="pheading"/>
      </w:pPr>
      <w:r>
        <w:t>- code de mesurage:</w:t>
      </w:r>
    </w:p>
    <w:p w14:paraId="5A116D47" w14:textId="77777777" w:rsidR="00772179" w:rsidRDefault="00000000">
      <w:pPr>
        <w:jc w:val="both"/>
      </w:pPr>
      <w:r>
        <w:rPr>
          <w:rStyle w:val="optioncarChar"/>
        </w:rPr>
        <w:t>prix unitaire global</w:t>
      </w:r>
      <w:r>
        <w:t> (par défaut) </w:t>
      </w:r>
      <w:r>
        <w:rPr>
          <w:rStyle w:val="optioncarChar"/>
        </w:rPr>
        <w:t>/ poste séparé</w:t>
      </w:r>
    </w:p>
    <w:p w14:paraId="699A13DC" w14:textId="77777777" w:rsidR="00772179" w:rsidRDefault="00000000">
      <w:pPr>
        <w:jc w:val="both"/>
      </w:pPr>
      <w:r>
        <w:rPr>
          <w:b/>
        </w:rPr>
        <w:t>(soit par défaut)</w:t>
      </w:r>
    </w:p>
    <w:p w14:paraId="56F8BB4F" w14:textId="77777777" w:rsidR="00772179"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 xml:space="preserve">prix unitaire global de la </w:t>
      </w:r>
      <w:r>
        <w:rPr>
          <w:rStyle w:val="soitChar"/>
          <w:b/>
          <w:u w:val="single"/>
        </w:rPr>
        <w:lastRenderedPageBreak/>
        <w:t>menuiserie</w:t>
      </w:r>
      <w:r>
        <w:rPr>
          <w:rStyle w:val="soitChar"/>
        </w:rPr>
        <w:t> et/ou des lanterneaux, conformément aux spécifications pour les vitrages dans les postes concernés.</w:t>
      </w:r>
    </w:p>
    <w:p w14:paraId="1F369E1E" w14:textId="77777777" w:rsidR="00772179" w:rsidRDefault="00000000">
      <w:pPr>
        <w:jc w:val="both"/>
      </w:pPr>
      <w:r>
        <w:rPr>
          <w:b/>
        </w:rPr>
        <w:t>(soit)</w:t>
      </w:r>
    </w:p>
    <w:p w14:paraId="0D5CA544" w14:textId="77777777" w:rsidR="00772179" w:rsidRDefault="00000000">
      <w:pPr>
        <w:jc w:val="both"/>
      </w:pPr>
      <w:r>
        <w:rPr>
          <w:rStyle w:val="soitChar"/>
          <w:u w:val="single"/>
        </w:rPr>
        <w:t>2. Poste séparé :</w:t>
      </w:r>
      <w:r>
        <w:rPr>
          <w:rStyle w:val="soitChar"/>
        </w:rPr>
        <w:t xml:space="preserve"> Exceptionnellement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 sont comptées pour 0,25 m. Les vitres non rectangulaires sont mesurées selon la superficie du plus petit rectangle circonscrit.</w:t>
      </w:r>
    </w:p>
    <w:p w14:paraId="363CD64E" w14:textId="77777777" w:rsidR="00772179" w:rsidRDefault="00000000">
      <w:pPr>
        <w:pStyle w:val="pheading"/>
      </w:pPr>
      <w:r>
        <w:t>- nature du marché:</w:t>
      </w:r>
    </w:p>
    <w:p w14:paraId="56F63571" w14:textId="77777777" w:rsidR="00772179" w:rsidRDefault="00000000">
      <w:r>
        <w:rPr>
          <w:rStyle w:val="optioncarChar"/>
        </w:rPr>
        <w:t>PM</w:t>
      </w:r>
      <w:r>
        <w:t>  (par défaut) </w:t>
      </w:r>
      <w:r>
        <w:rPr>
          <w:rStyle w:val="optioncarChar"/>
        </w:rPr>
        <w:t>/ QF</w:t>
      </w:r>
    </w:p>
    <w:p w14:paraId="3E6D185A" w14:textId="77777777" w:rsidR="00772179" w:rsidRDefault="00000000">
      <w:r>
        <w:rPr>
          <w:b/>
        </w:rPr>
        <w:t>(soit par défaut)</w:t>
      </w:r>
    </w:p>
    <w:p w14:paraId="7A4C0889" w14:textId="77777777" w:rsidR="00772179" w:rsidRDefault="00000000">
      <w:r>
        <w:rPr>
          <w:rStyle w:val="soitChar"/>
        </w:rPr>
        <w:t>1. PM</w:t>
      </w:r>
    </w:p>
    <w:p w14:paraId="51F079C9" w14:textId="77777777" w:rsidR="00772179" w:rsidRDefault="00000000">
      <w:r>
        <w:rPr>
          <w:b/>
        </w:rPr>
        <w:t>(soit)</w:t>
      </w:r>
    </w:p>
    <w:p w14:paraId="117D0457" w14:textId="77777777" w:rsidR="00772179" w:rsidRDefault="00000000">
      <w:r>
        <w:rPr>
          <w:rStyle w:val="soitChar"/>
        </w:rPr>
        <w:t>2. QF</w:t>
      </w:r>
    </w:p>
    <w:p w14:paraId="041C3BCD" w14:textId="77777777" w:rsidR="00772179" w:rsidRDefault="00000000">
      <w:pPr>
        <w:pStyle w:val="Author-eSectionHeading5Numberless"/>
      </w:pPr>
      <w:bookmarkStart w:id="607" w:name="_Toc220490304"/>
      <w:r>
        <w:t>42.31.4 Eléments de remplissage en planchettes en fibres ciment CCTB 01.02</w:t>
      </w:r>
      <w:bookmarkEnd w:id="607"/>
    </w:p>
    <w:p w14:paraId="4A2ED1CF" w14:textId="77777777" w:rsidR="00772179" w:rsidRDefault="00000000">
      <w:pPr>
        <w:pStyle w:val="Author-eSectionHeading6Numberless"/>
      </w:pPr>
      <w:bookmarkStart w:id="608" w:name="_Toc220490305"/>
      <w:r>
        <w:t>42.31.4a Eléments de remplissage en planchettes en fibres ciment CCTB 01.11</w:t>
      </w:r>
      <w:bookmarkEnd w:id="608"/>
    </w:p>
    <w:p w14:paraId="0133BDBB" w14:textId="77777777" w:rsidR="00772179" w:rsidRDefault="00000000">
      <w:pPr>
        <w:pStyle w:val="pheading"/>
      </w:pPr>
      <w:r>
        <w:t>MATÉRIAUX</w:t>
      </w:r>
    </w:p>
    <w:p w14:paraId="39026602" w14:textId="77777777" w:rsidR="00772179" w:rsidRDefault="00000000">
      <w:pPr>
        <w:pStyle w:val="pheading"/>
      </w:pPr>
      <w:r>
        <w:t>- Caractéristiques générales</w:t>
      </w:r>
    </w:p>
    <w:p w14:paraId="2C10219D" w14:textId="77777777" w:rsidR="00772179" w:rsidRDefault="00000000">
      <w:r>
        <w:t>Les éléments de remplissage sont des planchettes double face avec une âme isolante et une plaque extérieure en fibres-ciment. Les planchettes en ciment-fibres sont conformes à la norme [NBN EN 12467:2012+A2].</w:t>
      </w:r>
    </w:p>
    <w:p w14:paraId="01E63C89" w14:textId="77777777" w:rsidR="00772179" w:rsidRDefault="00000000">
      <w:pPr>
        <w:pStyle w:val="pheading"/>
      </w:pPr>
      <w:r>
        <w:t>- Finitions</w:t>
      </w:r>
    </w:p>
    <w:p w14:paraId="78AD0598" w14:textId="77777777" w:rsidR="00772179" w:rsidRDefault="00000000">
      <w:pPr>
        <w:pStyle w:val="Author-eListParagraph"/>
        <w:numPr>
          <w:ilvl w:val="0"/>
          <w:numId w:val="840"/>
        </w:numPr>
      </w:pPr>
      <w:r>
        <w:t>Forme des planchettes :</w:t>
      </w:r>
      <w:r>
        <w:rPr>
          <w:rStyle w:val="optioncarChar"/>
        </w:rPr>
        <w:t xml:space="preserve"> à rainure et languette / rectangulaire avec rainure pour assemblage à ressort / dans le même matériau. </w:t>
      </w:r>
    </w:p>
    <w:p w14:paraId="20BC9069" w14:textId="77777777" w:rsidR="00772179" w:rsidRDefault="00000000">
      <w:pPr>
        <w:pStyle w:val="Author-eListParagraph"/>
        <w:numPr>
          <w:ilvl w:val="0"/>
          <w:numId w:val="840"/>
        </w:numPr>
      </w:pPr>
      <w:r>
        <w:t>Largeur modulaire des planchettes : </w:t>
      </w:r>
      <w:r>
        <w:rPr>
          <w:rStyle w:val="optioncarChar"/>
        </w:rPr>
        <w:t xml:space="preserve">70 / 100 / 150 / 200 </w:t>
      </w:r>
      <w:r>
        <w:t>mm</w:t>
      </w:r>
    </w:p>
    <w:p w14:paraId="7CFCBDD2" w14:textId="77777777" w:rsidR="00772179" w:rsidRDefault="00000000">
      <w:pPr>
        <w:pStyle w:val="Author-eListParagraph"/>
        <w:numPr>
          <w:ilvl w:val="0"/>
          <w:numId w:val="840"/>
        </w:numPr>
      </w:pPr>
      <w:r>
        <w:t xml:space="preserve">Largeur des joints : </w:t>
      </w:r>
      <w:r>
        <w:rPr>
          <w:rStyle w:val="optioncarChar"/>
        </w:rPr>
        <w:t>sans joints / 5 / 10 / 15 / 20</w:t>
      </w:r>
      <w:r>
        <w:t> mm</w:t>
      </w:r>
    </w:p>
    <w:p w14:paraId="070B0B8B" w14:textId="77777777" w:rsidR="00772179" w:rsidRDefault="00000000">
      <w:pPr>
        <w:pStyle w:val="Author-eListParagraph"/>
        <w:numPr>
          <w:ilvl w:val="0"/>
          <w:numId w:val="840"/>
        </w:numPr>
      </w:pPr>
      <w:r>
        <w:t xml:space="preserve">Orientation des planchettes : </w:t>
      </w:r>
      <w:r>
        <w:rPr>
          <w:rStyle w:val="optioncarChar"/>
        </w:rPr>
        <w:t xml:space="preserve">selon les indications sur les plans / horizontales / verticales / en diagonale </w:t>
      </w:r>
    </w:p>
    <w:p w14:paraId="4DC6767D" w14:textId="77777777" w:rsidR="00772179" w:rsidRDefault="00000000">
      <w:pPr>
        <w:pStyle w:val="Author-eListParagraph"/>
        <w:numPr>
          <w:ilvl w:val="0"/>
          <w:numId w:val="840"/>
        </w:numPr>
      </w:pPr>
      <w:r>
        <w:t>Epaisseur des planchettes : ≥</w:t>
      </w:r>
      <w:r>
        <w:rPr>
          <w:rStyle w:val="optioncarChar"/>
        </w:rPr>
        <w:t> 20 / 30 / 40 </w:t>
      </w:r>
      <w:r>
        <w:t>mm</w:t>
      </w:r>
    </w:p>
    <w:p w14:paraId="51BC6C94" w14:textId="77777777" w:rsidR="00772179" w:rsidRDefault="00000000">
      <w:pPr>
        <w:pStyle w:val="Author-eListParagraph"/>
        <w:numPr>
          <w:ilvl w:val="0"/>
          <w:numId w:val="840"/>
        </w:numPr>
      </w:pPr>
      <w:r>
        <w:t>Nature des plaques de fibres-ciment</w:t>
      </w:r>
    </w:p>
    <w:p w14:paraId="449E5B6F" w14:textId="77777777" w:rsidR="00772179" w:rsidRDefault="00000000">
      <w:r>
        <w:t>                  ⇒ Épaisseur nominale : ≥ </w:t>
      </w:r>
      <w:r>
        <w:rPr>
          <w:rStyle w:val="optioncarChar"/>
        </w:rPr>
        <w:t> 3 / 4 / 5 </w:t>
      </w:r>
      <w:r>
        <w:t>mm</w:t>
      </w:r>
      <w:r>
        <w:br/>
        <w:t xml:space="preserve">                  ⇒ Couleur : </w:t>
      </w:r>
      <w:r>
        <w:rPr>
          <w:rStyle w:val="optioncarChar"/>
        </w:rPr>
        <w:t>à choisir dans la gamme de couleurs standard du fabricant / ***</w:t>
      </w:r>
    </w:p>
    <w:p w14:paraId="0A2679DC" w14:textId="77777777" w:rsidR="00772179" w:rsidRDefault="00000000">
      <w:pPr>
        <w:pStyle w:val="Author-eListParagraph"/>
        <w:numPr>
          <w:ilvl w:val="0"/>
          <w:numId w:val="841"/>
        </w:numPr>
      </w:pPr>
      <w:r>
        <w:t>Nature de l'âme isolante :</w:t>
      </w:r>
    </w:p>
    <w:p w14:paraId="011D99CF" w14:textId="77777777" w:rsidR="00772179" w:rsidRDefault="00000000">
      <w:r>
        <w:t>                  ⇒ Matériau :</w:t>
      </w:r>
      <w:r>
        <w:rPr>
          <w:rStyle w:val="optioncarChar"/>
        </w:rPr>
        <w:t> EPS (polystyrène expansé) / XPS (polystyrène extrudé ) / PUR                    (polyuréthane) / MW (laine minérale) / CG (verre cellulaire) / PF (mousse de                      phénolformaldéhyde) / PIR (mousse de polyisocyanate) / ciment de laine de bois /                      magnésite de laine de bois</w:t>
      </w:r>
      <w:r>
        <w:br/>
        <w:t xml:space="preserve">                  ⇒ Valeur Id déclarée : </w:t>
      </w:r>
      <w:r>
        <w:rPr>
          <w:rStyle w:val="optioncarChar"/>
        </w:rPr>
        <w:t xml:space="preserve">*** </w:t>
      </w:r>
      <w:r>
        <w:t>W/mK</w:t>
      </w:r>
      <w:r>
        <w:br/>
        <w:t xml:space="preserve">                  ⇒ Epaisseur de l'isolation : </w:t>
      </w:r>
      <w:r>
        <w:rPr>
          <w:rStyle w:val="optioncarChar"/>
        </w:rPr>
        <w:t>3 / 6 / 10 / 20 / 30 </w:t>
      </w:r>
      <w:r>
        <w:t>mm.</w:t>
      </w:r>
    </w:p>
    <w:p w14:paraId="67A2461B" w14:textId="77777777" w:rsidR="00772179" w:rsidRDefault="00000000">
      <w:pPr>
        <w:pStyle w:val="pheading"/>
      </w:pPr>
      <w:r>
        <w:t>- Prescriptions complémentaires</w:t>
      </w:r>
    </w:p>
    <w:p w14:paraId="57686495" w14:textId="77777777" w:rsidR="00772179" w:rsidRDefault="00000000">
      <w:r>
        <w:t>Plaque intérieure : </w:t>
      </w:r>
      <w:r>
        <w:rPr>
          <w:rStyle w:val="optioncarChar"/>
        </w:rPr>
        <w:t>fibres-ciment / aluminium / bois / multiplex avec placage.</w:t>
      </w:r>
    </w:p>
    <w:p w14:paraId="5AE78736" w14:textId="77777777" w:rsidR="00772179" w:rsidRDefault="00000000">
      <w:pPr>
        <w:pStyle w:val="pheading"/>
      </w:pPr>
      <w:r>
        <w:t>EXÉCUTION / MISE EN ŒUVRE</w:t>
      </w:r>
    </w:p>
    <w:p w14:paraId="7F3B0FB6" w14:textId="77777777" w:rsidR="00772179" w:rsidRDefault="00000000">
      <w:pPr>
        <w:pStyle w:val="pheading"/>
      </w:pPr>
      <w:r>
        <w:t>- Prescriptions générales</w:t>
      </w:r>
    </w:p>
    <w:p w14:paraId="17D6A4F1" w14:textId="77777777" w:rsidR="00772179" w:rsidRDefault="00000000">
      <w:pPr>
        <w:pStyle w:val="Author-eListParagraph"/>
        <w:numPr>
          <w:ilvl w:val="0"/>
          <w:numId w:val="842"/>
        </w:numPr>
      </w:pPr>
      <w:r>
        <w:lastRenderedPageBreak/>
        <w:t xml:space="preserve">Les éléments de remplissage sont placés sous </w:t>
      </w:r>
      <w:r>
        <w:rPr>
          <w:rStyle w:val="optioncarChar"/>
        </w:rPr>
        <w:t>vitrage comprimé / semi-comprimé / non-comprimé</w:t>
      </w:r>
      <w:r>
        <w:t>.</w:t>
      </w:r>
    </w:p>
    <w:p w14:paraId="208273B7" w14:textId="77777777" w:rsidR="00772179" w:rsidRDefault="00000000">
      <w:pPr>
        <w:pStyle w:val="Author-eListParagraph"/>
        <w:numPr>
          <w:ilvl w:val="0"/>
          <w:numId w:val="842"/>
        </w:numPr>
      </w:pPr>
      <w:r>
        <w:t xml:space="preserve">Les éléments de remplissage sont placés dans un système </w:t>
      </w:r>
      <w:r>
        <w:rPr>
          <w:rStyle w:val="optioncarChar"/>
        </w:rPr>
        <w:t>ouvert / fermé </w:t>
      </w:r>
    </w:p>
    <w:p w14:paraId="479DF5DE" w14:textId="77777777" w:rsidR="00772179" w:rsidRDefault="00000000">
      <w:r>
        <w:t>Les vitrages de portes sont conformes à la norme [NBN S 23-002]. Le verre est feuilleté ou trempé si les dimensions &gt; 0,5 m² et &lt; 1,4m.</w:t>
      </w:r>
    </w:p>
    <w:p w14:paraId="11EE1CF1" w14:textId="77777777" w:rsidR="00772179" w:rsidRDefault="00000000">
      <w:pPr>
        <w:pStyle w:val="pheading"/>
      </w:pPr>
      <w:r>
        <w:t>MESURAGE</w:t>
      </w:r>
    </w:p>
    <w:p w14:paraId="76D9147A" w14:textId="77777777" w:rsidR="00772179" w:rsidRDefault="00000000">
      <w:pPr>
        <w:pStyle w:val="pheading"/>
      </w:pPr>
      <w:r>
        <w:t>- unité de mesure:</w:t>
      </w:r>
    </w:p>
    <w:p w14:paraId="00F37EBD" w14:textId="77777777" w:rsidR="00772179" w:rsidRDefault="00000000">
      <w:r>
        <w:rPr>
          <w:color w:val="FF0000"/>
        </w:rPr>
        <w:t>-</w:t>
      </w:r>
      <w:r>
        <w:t> (par défaut)</w:t>
      </w:r>
      <w:r>
        <w:rPr>
          <w:rStyle w:val="optioncarChar"/>
        </w:rPr>
        <w:t> / m² </w:t>
      </w:r>
    </w:p>
    <w:p w14:paraId="1851DA3A" w14:textId="77777777" w:rsidR="00772179" w:rsidRDefault="00000000">
      <w:r>
        <w:rPr>
          <w:b/>
        </w:rPr>
        <w:t>(soit par défaut)</w:t>
      </w:r>
    </w:p>
    <w:p w14:paraId="172D9414" w14:textId="77777777" w:rsidR="00772179" w:rsidRDefault="00000000">
      <w:r>
        <w:rPr>
          <w:rStyle w:val="soitChar"/>
        </w:rPr>
        <w:t>1. -</w:t>
      </w:r>
    </w:p>
    <w:p w14:paraId="4A967A4D" w14:textId="77777777" w:rsidR="00772179" w:rsidRDefault="00000000">
      <w:r>
        <w:rPr>
          <w:b/>
        </w:rPr>
        <w:t>(soit)</w:t>
      </w:r>
    </w:p>
    <w:p w14:paraId="09DEB28E" w14:textId="77777777" w:rsidR="00772179" w:rsidRDefault="00000000">
      <w:r>
        <w:rPr>
          <w:rStyle w:val="soitChar"/>
        </w:rPr>
        <w:t>2. m²</w:t>
      </w:r>
    </w:p>
    <w:p w14:paraId="3F74B3D3" w14:textId="77777777" w:rsidR="00772179" w:rsidRDefault="00000000">
      <w:pPr>
        <w:pStyle w:val="pheading"/>
      </w:pPr>
      <w:r>
        <w:t>- code de mesurage:</w:t>
      </w:r>
    </w:p>
    <w:p w14:paraId="7B236F01" w14:textId="77777777" w:rsidR="00772179" w:rsidRDefault="00000000">
      <w:pPr>
        <w:jc w:val="both"/>
      </w:pPr>
      <w:r>
        <w:rPr>
          <w:rStyle w:val="optioncarChar"/>
        </w:rPr>
        <w:t>prix unitaire global</w:t>
      </w:r>
      <w:r>
        <w:t> (par défaut) </w:t>
      </w:r>
      <w:r>
        <w:rPr>
          <w:rStyle w:val="optioncarChar"/>
        </w:rPr>
        <w:t>/ poste séparé</w:t>
      </w:r>
    </w:p>
    <w:p w14:paraId="196672E6" w14:textId="77777777" w:rsidR="00772179" w:rsidRDefault="00000000">
      <w:pPr>
        <w:jc w:val="both"/>
      </w:pPr>
      <w:r>
        <w:rPr>
          <w:b/>
        </w:rPr>
        <w:t>(soit par défaut)</w:t>
      </w:r>
    </w:p>
    <w:p w14:paraId="0A52AD03" w14:textId="77777777" w:rsidR="00772179"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20C3FC32" w14:textId="77777777" w:rsidR="00772179" w:rsidRDefault="00000000">
      <w:pPr>
        <w:jc w:val="both"/>
      </w:pPr>
      <w:r>
        <w:rPr>
          <w:b/>
        </w:rPr>
        <w:t>(soit)</w:t>
      </w:r>
    </w:p>
    <w:p w14:paraId="19AED52C" w14:textId="77777777" w:rsidR="00772179"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i&lt; 0,25 m sont comptées pour 0,25 m. Les vitres non rectangulaires sont mesurées selon la superficie du plus petit rectangle circonscrit.</w:t>
      </w:r>
    </w:p>
    <w:p w14:paraId="6334A5A4" w14:textId="77777777" w:rsidR="00772179" w:rsidRDefault="00000000">
      <w:pPr>
        <w:pStyle w:val="pheading"/>
      </w:pPr>
      <w:r>
        <w:t>- nature du marché:</w:t>
      </w:r>
    </w:p>
    <w:p w14:paraId="75C3684E" w14:textId="77777777" w:rsidR="00772179" w:rsidRDefault="00000000">
      <w:r>
        <w:rPr>
          <w:rStyle w:val="optioncarChar"/>
        </w:rPr>
        <w:t>PM</w:t>
      </w:r>
      <w:r>
        <w:t> (par défaut) </w:t>
      </w:r>
      <w:r>
        <w:rPr>
          <w:rStyle w:val="optioncarChar"/>
        </w:rPr>
        <w:t>/ QF</w:t>
      </w:r>
    </w:p>
    <w:p w14:paraId="64856F78" w14:textId="77777777" w:rsidR="00772179" w:rsidRDefault="00000000">
      <w:r>
        <w:rPr>
          <w:b/>
        </w:rPr>
        <w:t>(soit par défaut)</w:t>
      </w:r>
    </w:p>
    <w:p w14:paraId="6E12479A" w14:textId="77777777" w:rsidR="00772179" w:rsidRDefault="00000000">
      <w:r>
        <w:rPr>
          <w:rStyle w:val="soitChar"/>
        </w:rPr>
        <w:t>1. PM</w:t>
      </w:r>
    </w:p>
    <w:p w14:paraId="4E51C632" w14:textId="77777777" w:rsidR="00772179" w:rsidRDefault="00000000">
      <w:r>
        <w:rPr>
          <w:b/>
        </w:rPr>
        <w:t>(soit)</w:t>
      </w:r>
    </w:p>
    <w:p w14:paraId="322D51B1" w14:textId="77777777" w:rsidR="00772179" w:rsidRDefault="00000000">
      <w:r>
        <w:rPr>
          <w:rStyle w:val="soitChar"/>
        </w:rPr>
        <w:t>2. QF</w:t>
      </w:r>
    </w:p>
    <w:p w14:paraId="0FA3D1DD" w14:textId="77777777" w:rsidR="00772179" w:rsidRDefault="00000000">
      <w:pPr>
        <w:pStyle w:val="Author-eSectionHeading4Numberless"/>
      </w:pPr>
      <w:bookmarkStart w:id="609" w:name="_Toc220490306"/>
      <w:r>
        <w:t>42.32 Eléments de remplissage en panneaux transparents / translucides CCTB 01.11</w:t>
      </w:r>
      <w:bookmarkEnd w:id="609"/>
    </w:p>
    <w:p w14:paraId="1AB6C79B" w14:textId="77777777" w:rsidR="00772179" w:rsidRDefault="00000000">
      <w:pPr>
        <w:pStyle w:val="pheading"/>
      </w:pPr>
      <w:r>
        <w:t>DESCRIPTION</w:t>
      </w:r>
    </w:p>
    <w:p w14:paraId="71144140" w14:textId="77777777" w:rsidR="00772179" w:rsidRDefault="00000000">
      <w:pPr>
        <w:pStyle w:val="pheading"/>
      </w:pPr>
      <w:r>
        <w:t>- Définition / Comprend</w:t>
      </w:r>
    </w:p>
    <w:p w14:paraId="31181A14" w14:textId="77777777" w:rsidR="00772179" w:rsidRDefault="00000000">
      <w:r>
        <w:t>En fonction de la nature des vitrages en matière synthétique ou des éléments de construction correspondants, on distingue :</w:t>
      </w:r>
    </w:p>
    <w:p w14:paraId="04AD456A" w14:textId="77777777" w:rsidR="00772179" w:rsidRDefault="00000000">
      <w:r>
        <w:t>              ⇒ type, choix, niveau, groupe, ...</w:t>
      </w:r>
      <w:r>
        <w:br/>
        <w:t>              ⇒ épaisseur nominale.</w:t>
      </w:r>
      <w:r>
        <w:br/>
        <w:t>              ⇒ caractéristiques et aspect.</w:t>
      </w:r>
      <w:r>
        <w:br/>
        <w:t>              ⇒ nature des matériaux de construction.</w:t>
      </w:r>
    </w:p>
    <w:p w14:paraId="064CA650" w14:textId="77777777" w:rsidR="00772179" w:rsidRDefault="00000000">
      <w:r>
        <w:t>Selon le mode de montage, on distingue :</w:t>
      </w:r>
    </w:p>
    <w:p w14:paraId="45950462" w14:textId="77777777" w:rsidR="00772179" w:rsidRDefault="00000000">
      <w:r>
        <w:lastRenderedPageBreak/>
        <w:t>              ⇒ la nature du montant ou du cadre (bois, métal, matière synthétique, béton, ...).</w:t>
      </w:r>
      <w:r>
        <w:br/>
        <w:t>              ⇒ le mode de fixation (clous, lattes de vitrage en matière synthétique, ...).</w:t>
      </w:r>
      <w:r>
        <w:br/>
        <w:t>              ⇒ la largeur et la hauteur de la feuillure.</w:t>
      </w:r>
      <w:r>
        <w:br/>
        <w:t>              ⇒ le joint d'étanchéité.</w:t>
      </w:r>
      <w:r>
        <w:br/>
        <w:t>              ⇒ les vitrages en matière synthétique ou les éléments de construction inférieurs à 0,50 m2</w:t>
      </w:r>
      <w:r>
        <w:br/>
        <w:t>              ⇒ la circonférence des vitrages en matière synthétique ou des baies revêtues de vitrages en                    matière synthétique.</w:t>
      </w:r>
    </w:p>
    <w:p w14:paraId="00D5FBB9" w14:textId="77777777" w:rsidR="00772179" w:rsidRDefault="00000000">
      <w:r>
        <w:t>              ⇒ les vitres courbées.</w:t>
      </w:r>
      <w:r>
        <w:br/>
        <w:t>              ⇒ les trous à forer par type d'ouvertures à réaliser, bords taillés et autres traitements du                          vitrage en matière synthétique.</w:t>
      </w:r>
      <w:r>
        <w:br/>
        <w:t>              ⇒ les vitrages suspendus en matière synthétique.</w:t>
      </w:r>
      <w:r>
        <w:br/>
        <w:t>              ⇒ les vitrages décoratifs en matière synthétique.</w:t>
      </w:r>
      <w:r>
        <w:br/>
        <w:t>              ⇒ les vitrages de sécurité en matière synthétique.</w:t>
      </w:r>
      <w:r>
        <w:br/>
        <w:t>              ⇒ les vitrages isolants en matière synthétique.</w:t>
      </w:r>
    </w:p>
    <w:p w14:paraId="2C268CB3" w14:textId="77777777" w:rsidR="00772179" w:rsidRDefault="00000000">
      <w:pPr>
        <w:pStyle w:val="pheading"/>
      </w:pPr>
      <w:r>
        <w:t>EXÉCUTION / MISE EN ŒUVRE</w:t>
      </w:r>
    </w:p>
    <w:p w14:paraId="5DF0741C" w14:textId="77777777" w:rsidR="00772179" w:rsidRDefault="00000000">
      <w:r>
        <w:t>En concertation avec l'entrepreneur vitrier, l'auteur de projet détermine le mode de pose et de fixation. Pour les vitrages en matière synthétique intégrés dans les toitures, une attention particulière est accordée aux autres éléments de construction et à la sécurité, le tout en conformité avec les dessins de détail établis par le fabricant et/ou l'auteur de projet.  </w:t>
      </w:r>
    </w:p>
    <w:p w14:paraId="6CA34DA5" w14:textId="77777777" w:rsidR="00772179" w:rsidRDefault="00000000">
      <w:pPr>
        <w:pStyle w:val="pheading"/>
      </w:pPr>
      <w:r>
        <w:t>CONTRÔLES</w:t>
      </w:r>
    </w:p>
    <w:p w14:paraId="4FE691A6" w14:textId="77777777" w:rsidR="00772179" w:rsidRDefault="00000000">
      <w:r>
        <w:t xml:space="preserve">Une documentation explicite et/ou des échantillons sont soumis pour approbation </w:t>
      </w:r>
      <w:r>
        <w:rPr>
          <w:rStyle w:val="optioncarChar"/>
        </w:rPr>
        <w:t>avec la soumission / après l'attribution des travaux / à la demande de l'auteur de projet</w:t>
      </w:r>
      <w:r>
        <w:t>.</w:t>
      </w:r>
      <w:r>
        <w:br/>
        <w:t>Les plaques en matière synthétique sont parfaitement planes de façon à être bien jointives entre elles et avec la feuillure.</w:t>
      </w:r>
    </w:p>
    <w:p w14:paraId="5B6E7DEC" w14:textId="77777777" w:rsidR="00772179" w:rsidRDefault="00000000">
      <w:pPr>
        <w:pStyle w:val="Author-eListParagraph"/>
        <w:numPr>
          <w:ilvl w:val="0"/>
          <w:numId w:val="843"/>
        </w:numPr>
      </w:pPr>
      <w:r>
        <w:t>Les vitrages en matière synthétique ont partout la même couleur et sont exempts de        bulles, lentilles, bouillons, fils, taches de cuisson, trous, reflets ou autres défauts suite                aux opérations de soufflage, d'étirage et de découpage.</w:t>
      </w:r>
    </w:p>
    <w:p w14:paraId="38E1A0CD" w14:textId="77777777" w:rsidR="00772179" w:rsidRDefault="00000000">
      <w:pPr>
        <w:pStyle w:val="Author-eListParagraph"/>
        <w:numPr>
          <w:ilvl w:val="0"/>
          <w:numId w:val="843"/>
        </w:numPr>
      </w:pPr>
      <w:r>
        <w:t>Il ne peut se produire aucune déformation lorsqu'on regarde le vitrage de gauche à                    droite et du bas en haut et inversement.</w:t>
      </w:r>
    </w:p>
    <w:p w14:paraId="42E298B0" w14:textId="77777777" w:rsidR="00772179" w:rsidRDefault="00000000">
      <w:pPr>
        <w:pStyle w:val="Author-eListParagraph"/>
        <w:numPr>
          <w:ilvl w:val="0"/>
          <w:numId w:val="843"/>
        </w:numPr>
      </w:pPr>
      <w:r>
        <w:t>L'entrepreneur garantit le vitrage en matière synthétique pendant 10 ans contre les                    troubles de la vue par condensation ou poussière.</w:t>
      </w:r>
    </w:p>
    <w:p w14:paraId="0A0864F8" w14:textId="77777777" w:rsidR="00772179" w:rsidRDefault="00000000">
      <w:pPr>
        <w:pStyle w:val="pheading"/>
      </w:pPr>
      <w:r>
        <w:t>DOCUMENTS DE RÉFÉRENCE</w:t>
      </w:r>
    </w:p>
    <w:p w14:paraId="7F162713" w14:textId="77777777" w:rsidR="00772179" w:rsidRDefault="00000000">
      <w:pPr>
        <w:pStyle w:val="pheading"/>
      </w:pPr>
      <w:r>
        <w:t>- Matériau</w:t>
      </w:r>
    </w:p>
    <w:p w14:paraId="0FE611D2" w14:textId="77777777" w:rsidR="00772179" w:rsidRDefault="00000000">
      <w:r>
        <w:t>[NBN EN 1013+A1, Plaques d'éclairement profilées, simple paroi, en matière plastique, pour toitures, bardages et plafonds intérieurs et extérieurs - Exigences et méthodes d'essai] </w:t>
      </w:r>
    </w:p>
    <w:p w14:paraId="084659F8" w14:textId="77777777" w:rsidR="00772179" w:rsidRDefault="00000000">
      <w:r>
        <w:t>[NIT 214, Le verre et les produits verriers - Les fonctions des vitrages.]</w:t>
      </w:r>
    </w:p>
    <w:p w14:paraId="0DF626CF" w14:textId="77777777" w:rsidR="00772179" w:rsidRDefault="00000000">
      <w:r>
        <w:t>[NIT 221, La pose des vitrages en feuillure (Les NIT 214 et 221 remplacent les NIT 110 et 113).]</w:t>
      </w:r>
    </w:p>
    <w:p w14:paraId="373B9104" w14:textId="77777777" w:rsidR="00772179" w:rsidRDefault="00000000">
      <w:r>
        <w:rPr>
          <w:shd w:val="clear" w:color="auto" w:fill="FFFFFF"/>
        </w:rPr>
        <w:t xml:space="preserve">L'entrepreneur détermine l'épaisseur des plaques en matière synthétique en fonction du nombre de côtés supportés </w:t>
      </w:r>
      <w:r>
        <w:rPr>
          <w:rStyle w:val="optioncarChar"/>
          <w:shd w:val="clear" w:color="auto" w:fill="FFFFFF"/>
        </w:rPr>
        <w:t>2 / 3 / 4</w:t>
      </w:r>
      <w:r>
        <w:rPr>
          <w:shd w:val="clear" w:color="auto" w:fill="FFFFFF"/>
        </w:rPr>
        <w:t>, des dimensions des plaques de verre et des charges pouvant s'y appliquer  </w:t>
      </w:r>
      <w:r>
        <w:rPr>
          <w:rStyle w:val="optioncarChar"/>
          <w:shd w:val="clear" w:color="auto" w:fill="FFFFFF"/>
        </w:rPr>
        <w:t>vent / neige / poids propre</w:t>
      </w:r>
      <w:r>
        <w:rPr>
          <w:shd w:val="clear" w:color="auto" w:fill="FFFFFF"/>
        </w:rPr>
        <w:t>  (voir [RGPT, Règlement général pour la protection du travail])</w:t>
      </w:r>
    </w:p>
    <w:p w14:paraId="03371AAD" w14:textId="77777777" w:rsidR="00772179" w:rsidRDefault="00000000">
      <w:r>
        <w:t>[Buildwise Méthode de dimensionnement Rapport 11, Application des Eurocodes à la conception des menuiseries extérieures (disponible en ligne uniquement).]</w:t>
      </w:r>
    </w:p>
    <w:p w14:paraId="7407189D" w14:textId="77777777" w:rsidR="00772179" w:rsidRDefault="00000000">
      <w:pPr>
        <w:ind w:left="750"/>
      </w:pPr>
      <w:r>
        <w:t> </w:t>
      </w:r>
    </w:p>
    <w:p w14:paraId="4F4840F6" w14:textId="77777777" w:rsidR="00772179" w:rsidRDefault="00000000">
      <w:pPr>
        <w:pStyle w:val="Author-eSectionHeading5Numberless"/>
      </w:pPr>
      <w:bookmarkStart w:id="610" w:name="_Toc220490307"/>
      <w:r>
        <w:t>42.32.1 Eléments de remplissage en panneaux translucides / transparents en polycarbonate CCTB 01.02</w:t>
      </w:r>
      <w:bookmarkEnd w:id="610"/>
    </w:p>
    <w:p w14:paraId="21F10CF0" w14:textId="77777777" w:rsidR="00772179" w:rsidRDefault="00000000">
      <w:pPr>
        <w:pStyle w:val="Author-eSectionHeading6Numberless"/>
      </w:pPr>
      <w:bookmarkStart w:id="611" w:name="_Toc220490308"/>
      <w:r>
        <w:t>42.32.1a Eléments de remplissage en panneaux translucides / transparents en polycarbonate CCTB 01.11</w:t>
      </w:r>
      <w:bookmarkEnd w:id="611"/>
    </w:p>
    <w:p w14:paraId="378A186C" w14:textId="77777777" w:rsidR="00772179" w:rsidRDefault="00000000">
      <w:pPr>
        <w:pStyle w:val="pheading"/>
      </w:pPr>
      <w:r>
        <w:lastRenderedPageBreak/>
        <w:t>DESCRIPTION</w:t>
      </w:r>
    </w:p>
    <w:p w14:paraId="47D7BAC7" w14:textId="77777777" w:rsidR="00772179" w:rsidRDefault="00000000">
      <w:pPr>
        <w:pStyle w:val="pheading"/>
      </w:pPr>
      <w:r>
        <w:t>- Localisation</w:t>
      </w:r>
    </w:p>
    <w:p w14:paraId="3A255270" w14:textId="77777777" w:rsidR="00772179" w:rsidRDefault="00000000">
      <w:r>
        <w:t>Les vitrages en matière synthétique sont livrés pour l'exécution du poste :</w:t>
      </w:r>
    </w:p>
    <w:p w14:paraId="44D86CFA" w14:textId="77777777" w:rsidR="00772179" w:rsidRDefault="00000000">
      <w:r>
        <w:t xml:space="preserve">             ⇒ Ouvertures de toiture (lanterneaux, coupoles) : à l'article </w:t>
      </w:r>
      <w:r>
        <w:rPr>
          <w:rStyle w:val="optioncarChar"/>
        </w:rPr>
        <w:t>***</w:t>
      </w:r>
      <w:r>
        <w:br/>
        <w:t>             ⇒ Portes et fenêtres extérieures : à l'article</w:t>
      </w:r>
      <w:r>
        <w:rPr>
          <w:rStyle w:val="optioncarChar"/>
        </w:rPr>
        <w:t xml:space="preserve"> ***</w:t>
      </w:r>
      <w:r>
        <w:br/>
        <w:t xml:space="preserve">             ⇒ Menuiserie extérieure / portes et volets : à l'article </w:t>
      </w:r>
      <w:r>
        <w:rPr>
          <w:rStyle w:val="optioncarChar"/>
        </w:rPr>
        <w:t>***</w:t>
      </w:r>
      <w:r>
        <w:br/>
        <w:t xml:space="preserve">             ⇒ Escaliers extérieurs et main-courantes (panneautages) : à l'article </w:t>
      </w:r>
      <w:r>
        <w:rPr>
          <w:rStyle w:val="optioncarChar"/>
        </w:rPr>
        <w:t>***</w:t>
      </w:r>
      <w:r>
        <w:br/>
        <w:t xml:space="preserve">             ⇒ Vérandas : à l'article </w:t>
      </w:r>
      <w:r>
        <w:rPr>
          <w:rStyle w:val="optioncarChar"/>
        </w:rPr>
        <w:t>*** </w:t>
      </w:r>
    </w:p>
    <w:p w14:paraId="3DD987F0" w14:textId="77777777" w:rsidR="00772179" w:rsidRDefault="00000000">
      <w:pPr>
        <w:pStyle w:val="pheading"/>
      </w:pPr>
      <w:r>
        <w:t>MATÉRIAUX</w:t>
      </w:r>
    </w:p>
    <w:p w14:paraId="5D40E936" w14:textId="77777777" w:rsidR="00772179" w:rsidRDefault="00000000">
      <w:pPr>
        <w:pStyle w:val="pheading"/>
      </w:pPr>
      <w:r>
        <w:t>- Caractéristiques générales</w:t>
      </w:r>
    </w:p>
    <w:p w14:paraId="1E3FB375" w14:textId="77777777" w:rsidR="00772179" w:rsidRDefault="00000000">
      <w:r>
        <w:t>Le vitrage se compose de panneaux en polycarbonate (PC). Les panneaux cloisonnés avec des creux tubulaires sont hermétiquement fermés à l'avance ou au moment de la pose.</w:t>
      </w:r>
    </w:p>
    <w:p w14:paraId="0CD44621" w14:textId="77777777" w:rsidR="00772179" w:rsidRDefault="00000000">
      <w:pPr>
        <w:pStyle w:val="pheading"/>
      </w:pPr>
      <w:r>
        <w:t>- Finitions</w:t>
      </w:r>
    </w:p>
    <w:p w14:paraId="4693236C" w14:textId="77777777" w:rsidR="00772179" w:rsidRDefault="00000000">
      <w:pPr>
        <w:pStyle w:val="Author-eListParagraph"/>
        <w:numPr>
          <w:ilvl w:val="0"/>
          <w:numId w:val="844"/>
        </w:numPr>
      </w:pPr>
      <w:r>
        <w:t xml:space="preserve">Type : </w:t>
      </w:r>
      <w:r>
        <w:rPr>
          <w:rStyle w:val="optioncarChar"/>
        </w:rPr>
        <w:t>à simple paroi / à double paroi isolante / à triple paroi / quadruple paroi </w:t>
      </w:r>
    </w:p>
    <w:p w14:paraId="15C2D25C" w14:textId="77777777" w:rsidR="00772179" w:rsidRDefault="00000000">
      <w:pPr>
        <w:pStyle w:val="Author-eListParagraph"/>
        <w:numPr>
          <w:ilvl w:val="0"/>
          <w:numId w:val="844"/>
        </w:numPr>
      </w:pPr>
      <w:r>
        <w:t xml:space="preserve">Forme : </w:t>
      </w:r>
      <w:r>
        <w:rPr>
          <w:rStyle w:val="optioncarChar"/>
        </w:rPr>
        <w:t>plat / courbé</w:t>
      </w:r>
    </w:p>
    <w:p w14:paraId="6E0CCB04" w14:textId="77777777" w:rsidR="00772179" w:rsidRDefault="00000000">
      <w:pPr>
        <w:pStyle w:val="Author-eListParagraph"/>
        <w:numPr>
          <w:ilvl w:val="0"/>
          <w:numId w:val="844"/>
        </w:numPr>
      </w:pPr>
      <w:r>
        <w:t xml:space="preserve">Epaisseur des plaques : </w:t>
      </w:r>
      <w:r>
        <w:rPr>
          <w:rStyle w:val="optioncarChar"/>
        </w:rPr>
        <w:t xml:space="preserve">6 / 10 / 16 </w:t>
      </w:r>
      <w:r>
        <w:t>mm</w:t>
      </w:r>
    </w:p>
    <w:p w14:paraId="7BD5501C" w14:textId="77777777" w:rsidR="00772179" w:rsidRDefault="00000000">
      <w:pPr>
        <w:pStyle w:val="Author-eListParagraph"/>
        <w:numPr>
          <w:ilvl w:val="0"/>
          <w:numId w:val="844"/>
        </w:numPr>
      </w:pPr>
      <w:r>
        <w:t xml:space="preserve">Epaisseur du vide : </w:t>
      </w:r>
      <w:r>
        <w:rPr>
          <w:rStyle w:val="optioncarChar"/>
        </w:rPr>
        <w:t xml:space="preserve">1 / 2 / 3 </w:t>
      </w:r>
      <w:r>
        <w:t xml:space="preserve">x </w:t>
      </w:r>
      <w:r>
        <w:rPr>
          <w:rStyle w:val="optioncarChar"/>
        </w:rPr>
        <w:t xml:space="preserve">***  </w:t>
      </w:r>
      <w:r>
        <w:t>mm</w:t>
      </w:r>
    </w:p>
    <w:p w14:paraId="416F4585" w14:textId="77777777" w:rsidR="00772179" w:rsidRDefault="00000000">
      <w:pPr>
        <w:pStyle w:val="Author-eListParagraph"/>
        <w:numPr>
          <w:ilvl w:val="0"/>
          <w:numId w:val="844"/>
        </w:numPr>
      </w:pPr>
      <w:r>
        <w:t>Composition : les feuilles assemblées sont hermétiquement fermées et remplies d'air déshydraté. </w:t>
      </w:r>
    </w:p>
    <w:p w14:paraId="64CAE930" w14:textId="77777777" w:rsidR="00772179" w:rsidRDefault="00000000">
      <w:pPr>
        <w:pStyle w:val="Author-eListParagraph"/>
        <w:numPr>
          <w:ilvl w:val="0"/>
          <w:numId w:val="844"/>
        </w:numPr>
      </w:pPr>
      <w:r>
        <w:t>Traitement de la surface : la couche de finition est un filtre UV.</w:t>
      </w:r>
    </w:p>
    <w:p w14:paraId="5760C987" w14:textId="77777777" w:rsidR="00772179" w:rsidRDefault="00000000">
      <w:pPr>
        <w:pStyle w:val="Author-eListParagraph"/>
        <w:numPr>
          <w:ilvl w:val="0"/>
          <w:numId w:val="844"/>
        </w:numPr>
      </w:pPr>
      <w:r>
        <w:t xml:space="preserve">Couleur : </w:t>
      </w:r>
      <w:r>
        <w:rPr>
          <w:rStyle w:val="optioncarChar"/>
        </w:rPr>
        <w:t>claire / opale </w:t>
      </w:r>
    </w:p>
    <w:p w14:paraId="372019E2" w14:textId="77777777" w:rsidR="00772179" w:rsidRDefault="00000000">
      <w:pPr>
        <w:pStyle w:val="pheading"/>
      </w:pPr>
      <w:r>
        <w:t>MESURAGE</w:t>
      </w:r>
    </w:p>
    <w:p w14:paraId="658DC4C5" w14:textId="77777777" w:rsidR="00772179" w:rsidRDefault="00000000">
      <w:pPr>
        <w:pStyle w:val="pheading"/>
      </w:pPr>
      <w:r>
        <w:t>- unité de mesure:</w:t>
      </w:r>
    </w:p>
    <w:p w14:paraId="0AC2B953" w14:textId="77777777" w:rsidR="00772179" w:rsidRDefault="00000000">
      <w:r>
        <w:rPr>
          <w:color w:val="FF0000"/>
        </w:rPr>
        <w:t>-</w:t>
      </w:r>
      <w:r>
        <w:t>  (par défaut)</w:t>
      </w:r>
      <w:r>
        <w:rPr>
          <w:rStyle w:val="optioncarChar"/>
        </w:rPr>
        <w:t> / m² </w:t>
      </w:r>
    </w:p>
    <w:p w14:paraId="6B4C4D03" w14:textId="77777777" w:rsidR="00772179" w:rsidRDefault="00000000">
      <w:r>
        <w:rPr>
          <w:b/>
        </w:rPr>
        <w:t>(soit par défaut)</w:t>
      </w:r>
    </w:p>
    <w:p w14:paraId="69335E34" w14:textId="77777777" w:rsidR="00772179" w:rsidRDefault="00000000">
      <w:r>
        <w:rPr>
          <w:rStyle w:val="soitChar"/>
        </w:rPr>
        <w:t>1. -</w:t>
      </w:r>
    </w:p>
    <w:p w14:paraId="72B1E34E" w14:textId="77777777" w:rsidR="00772179" w:rsidRDefault="00000000">
      <w:r>
        <w:rPr>
          <w:b/>
        </w:rPr>
        <w:t>(soit)</w:t>
      </w:r>
    </w:p>
    <w:p w14:paraId="2D6A0F30" w14:textId="77777777" w:rsidR="00772179" w:rsidRDefault="00000000">
      <w:r>
        <w:rPr>
          <w:rStyle w:val="soitChar"/>
        </w:rPr>
        <w:t>2. m²</w:t>
      </w:r>
    </w:p>
    <w:p w14:paraId="58D574FC" w14:textId="77777777" w:rsidR="00772179" w:rsidRDefault="00000000">
      <w:pPr>
        <w:pStyle w:val="pheading"/>
      </w:pPr>
      <w:r>
        <w:t>- code de mesurage:</w:t>
      </w:r>
    </w:p>
    <w:p w14:paraId="0FF5CB81" w14:textId="77777777" w:rsidR="00772179" w:rsidRDefault="00000000">
      <w:pPr>
        <w:jc w:val="both"/>
      </w:pPr>
      <w:r>
        <w:rPr>
          <w:rStyle w:val="optioncarChar"/>
        </w:rPr>
        <w:t>prix unitaire global</w:t>
      </w:r>
      <w:r>
        <w:t>  (par défaut) </w:t>
      </w:r>
      <w:r>
        <w:rPr>
          <w:rStyle w:val="optioncarChar"/>
        </w:rPr>
        <w:t>/ poste séparé</w:t>
      </w:r>
    </w:p>
    <w:p w14:paraId="638CD32D" w14:textId="77777777" w:rsidR="00772179" w:rsidRDefault="00000000">
      <w:pPr>
        <w:jc w:val="both"/>
      </w:pPr>
      <w:r>
        <w:rPr>
          <w:b/>
        </w:rPr>
        <w:t>(soit par défaut)</w:t>
      </w:r>
    </w:p>
    <w:p w14:paraId="2C8E51D8" w14:textId="77777777" w:rsidR="00772179"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6AE6A5E8" w14:textId="77777777" w:rsidR="00772179" w:rsidRDefault="00000000">
      <w:pPr>
        <w:jc w:val="both"/>
      </w:pPr>
      <w:r>
        <w:rPr>
          <w:b/>
        </w:rPr>
        <w:t>(soit)</w:t>
      </w:r>
    </w:p>
    <w:p w14:paraId="2D779857" w14:textId="77777777" w:rsidR="00772179"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601BFA2D" w14:textId="77777777" w:rsidR="00772179" w:rsidRDefault="00000000">
      <w:pPr>
        <w:pStyle w:val="pheading"/>
      </w:pPr>
      <w:r>
        <w:t>- nature du marché:</w:t>
      </w:r>
    </w:p>
    <w:p w14:paraId="2C596F82" w14:textId="77777777" w:rsidR="00772179" w:rsidRDefault="00000000">
      <w:r>
        <w:rPr>
          <w:rStyle w:val="optioncarChar"/>
        </w:rPr>
        <w:t>PM</w:t>
      </w:r>
      <w:r>
        <w:t>  (par défaut) </w:t>
      </w:r>
      <w:r>
        <w:rPr>
          <w:rStyle w:val="optioncarChar"/>
        </w:rPr>
        <w:t>/ QF</w:t>
      </w:r>
    </w:p>
    <w:p w14:paraId="7E179BEC" w14:textId="77777777" w:rsidR="00772179" w:rsidRDefault="00000000">
      <w:r>
        <w:rPr>
          <w:b/>
        </w:rPr>
        <w:t>(soit par défaut)</w:t>
      </w:r>
    </w:p>
    <w:p w14:paraId="6AC5BACC" w14:textId="77777777" w:rsidR="00772179" w:rsidRDefault="00000000">
      <w:r>
        <w:rPr>
          <w:rStyle w:val="soitChar"/>
        </w:rPr>
        <w:lastRenderedPageBreak/>
        <w:t>1. PM</w:t>
      </w:r>
    </w:p>
    <w:p w14:paraId="3E9C0CEF" w14:textId="77777777" w:rsidR="00772179" w:rsidRDefault="00000000">
      <w:r>
        <w:rPr>
          <w:b/>
        </w:rPr>
        <w:t>(soit)</w:t>
      </w:r>
    </w:p>
    <w:p w14:paraId="03A90B2A" w14:textId="77777777" w:rsidR="00772179" w:rsidRDefault="00000000">
      <w:r>
        <w:rPr>
          <w:rStyle w:val="soitChar"/>
        </w:rPr>
        <w:t>2. QF</w:t>
      </w:r>
    </w:p>
    <w:p w14:paraId="071DF1AD" w14:textId="77777777" w:rsidR="00772179" w:rsidRDefault="00000000">
      <w:pPr>
        <w:pStyle w:val="Author-eSectionHeading5Numberless"/>
      </w:pPr>
      <w:bookmarkStart w:id="612" w:name="_Toc220490309"/>
      <w:r>
        <w:t>42.32.2 Eléments de remplissage en panneaux translucides / transparents en PMMA CCTB 01.02</w:t>
      </w:r>
      <w:bookmarkEnd w:id="612"/>
    </w:p>
    <w:p w14:paraId="22CD1BCB" w14:textId="77777777" w:rsidR="00772179" w:rsidRDefault="00000000">
      <w:pPr>
        <w:pStyle w:val="Author-eSectionHeading6Numberless"/>
      </w:pPr>
      <w:bookmarkStart w:id="613" w:name="_Toc220490310"/>
      <w:r>
        <w:t>42.32.2a Eléments de remplissage en panneaux translucides / transparents en PMMA</w:t>
      </w:r>
      <w:bookmarkEnd w:id="613"/>
    </w:p>
    <w:p w14:paraId="31AFF916" w14:textId="77777777" w:rsidR="00772179" w:rsidRDefault="00000000">
      <w:pPr>
        <w:pStyle w:val="Author-eSectionHeading5Numberless"/>
      </w:pPr>
      <w:bookmarkStart w:id="614" w:name="_Toc220490311"/>
      <w:r>
        <w:t>42.32.3 Eléments de remplissage en panneaux translucides / transparents en acrylique CCTB 01.02</w:t>
      </w:r>
      <w:bookmarkEnd w:id="614"/>
    </w:p>
    <w:p w14:paraId="46F39FA0" w14:textId="77777777" w:rsidR="00772179" w:rsidRDefault="00000000">
      <w:pPr>
        <w:pStyle w:val="Author-eSectionHeading6Numberless"/>
      </w:pPr>
      <w:bookmarkStart w:id="615" w:name="_Toc220490312"/>
      <w:r>
        <w:t>42.32.3a Eléments de remplissage en panneaux translucides / transparents en acrylique CCTB 01.10</w:t>
      </w:r>
      <w:bookmarkEnd w:id="615"/>
    </w:p>
    <w:p w14:paraId="0B3FA6C7" w14:textId="77777777" w:rsidR="00772179" w:rsidRDefault="00000000">
      <w:pPr>
        <w:pStyle w:val="pheading"/>
      </w:pPr>
      <w:r>
        <w:t>DESCRIPTION</w:t>
      </w:r>
    </w:p>
    <w:p w14:paraId="23EDD81E" w14:textId="77777777" w:rsidR="00772179" w:rsidRDefault="00000000">
      <w:pPr>
        <w:pStyle w:val="pheading"/>
      </w:pPr>
      <w:r>
        <w:t>- Localisation</w:t>
      </w:r>
    </w:p>
    <w:p w14:paraId="7688B6BC" w14:textId="77777777" w:rsidR="00772179" w:rsidRDefault="00000000">
      <w:r>
        <w:t>Les vitrages en matière synthétique sont livrés pour l'exécution du poste :</w:t>
      </w:r>
    </w:p>
    <w:p w14:paraId="75D74135" w14:textId="77777777" w:rsidR="00772179" w:rsidRDefault="00000000">
      <w:r>
        <w:t xml:space="preserve">           ⇒ Ouvertures de toiture (lanterneaux) : à l'article </w:t>
      </w:r>
      <w:r>
        <w:rPr>
          <w:rStyle w:val="optioncarChar"/>
        </w:rPr>
        <w:t>***</w:t>
      </w:r>
      <w:r>
        <w:br/>
        <w:t xml:space="preserve">           ⇒ Portes et fenêtres extérieures : à l'article </w:t>
      </w:r>
      <w:r>
        <w:rPr>
          <w:rStyle w:val="optioncarChar"/>
        </w:rPr>
        <w:t>***</w:t>
      </w:r>
      <w:r>
        <w:br/>
        <w:t xml:space="preserve">           ⇒ Menuiserie extérieure / portes et volets : à l'article </w:t>
      </w:r>
      <w:r>
        <w:rPr>
          <w:rStyle w:val="optioncarChar"/>
        </w:rPr>
        <w:t>***</w:t>
      </w:r>
      <w:r>
        <w:br/>
        <w:t>           ⇒ Escaliers extérieurs et main-courantes (panneautages) : à l'article</w:t>
      </w:r>
      <w:r>
        <w:rPr>
          <w:rStyle w:val="optioncarChar"/>
        </w:rPr>
        <w:t xml:space="preserve"> ***</w:t>
      </w:r>
      <w:r>
        <w:br/>
        <w:t xml:space="preserve">           ⇒Garde-corps : à l'article </w:t>
      </w:r>
      <w:r>
        <w:rPr>
          <w:rStyle w:val="optioncarChar"/>
        </w:rPr>
        <w:t>***</w:t>
      </w:r>
      <w:r>
        <w:t> </w:t>
      </w:r>
    </w:p>
    <w:p w14:paraId="5DED7248" w14:textId="77777777" w:rsidR="00772179" w:rsidRDefault="00000000">
      <w:pPr>
        <w:pStyle w:val="pheading"/>
      </w:pPr>
      <w:r>
        <w:t>MATÉRIAUX</w:t>
      </w:r>
    </w:p>
    <w:p w14:paraId="794620E0" w14:textId="77777777" w:rsidR="00772179" w:rsidRDefault="00000000">
      <w:pPr>
        <w:pStyle w:val="pheading"/>
      </w:pPr>
      <w:r>
        <w:t>- Caractéristiques générales</w:t>
      </w:r>
    </w:p>
    <w:p w14:paraId="126820B9" w14:textId="77777777" w:rsidR="00772179" w:rsidRDefault="00000000">
      <w:r>
        <w:t>Le vitrage se compose de panneaux en PMMA (polymétacrylate de méthyle). Les panneaux cloisonnés avec creux tubulaires sont hermétiquement fermés à l'avance ou au moment de la pose.</w:t>
      </w:r>
    </w:p>
    <w:p w14:paraId="3FBC09B0" w14:textId="77777777" w:rsidR="00772179" w:rsidRDefault="00000000">
      <w:pPr>
        <w:pStyle w:val="pheading"/>
      </w:pPr>
      <w:r>
        <w:t>- Finitions</w:t>
      </w:r>
    </w:p>
    <w:p w14:paraId="2BCC6C6C" w14:textId="77777777" w:rsidR="00772179" w:rsidRDefault="00000000">
      <w:pPr>
        <w:pStyle w:val="Author-eListParagraph"/>
        <w:numPr>
          <w:ilvl w:val="0"/>
          <w:numId w:val="845"/>
        </w:numPr>
      </w:pPr>
      <w:r>
        <w:t xml:space="preserve">Type : </w:t>
      </w:r>
      <w:r>
        <w:rPr>
          <w:rStyle w:val="optioncarChar"/>
        </w:rPr>
        <w:t>à simple paroi / à double paroi isolante / à triple paroi</w:t>
      </w:r>
    </w:p>
    <w:p w14:paraId="5C6829A6" w14:textId="77777777" w:rsidR="00772179" w:rsidRDefault="00000000">
      <w:pPr>
        <w:pStyle w:val="Author-eListParagraph"/>
        <w:numPr>
          <w:ilvl w:val="0"/>
          <w:numId w:val="845"/>
        </w:numPr>
      </w:pPr>
      <w:r>
        <w:t xml:space="preserve">Forme : </w:t>
      </w:r>
      <w:r>
        <w:rPr>
          <w:rStyle w:val="optioncarChar"/>
        </w:rPr>
        <w:t>plat / courbé</w:t>
      </w:r>
    </w:p>
    <w:p w14:paraId="2312AAE9" w14:textId="77777777" w:rsidR="00772179" w:rsidRDefault="00000000">
      <w:pPr>
        <w:pStyle w:val="Author-eListParagraph"/>
        <w:numPr>
          <w:ilvl w:val="0"/>
          <w:numId w:val="845"/>
        </w:numPr>
      </w:pPr>
      <w:r>
        <w:t xml:space="preserve">Epaisseur des plaques : </w:t>
      </w:r>
      <w:r>
        <w:rPr>
          <w:rStyle w:val="optioncarChar"/>
        </w:rPr>
        <w:t>6 / 10 / 16  </w:t>
      </w:r>
      <w:r>
        <w:t>mm</w:t>
      </w:r>
    </w:p>
    <w:p w14:paraId="1E336BD0" w14:textId="77777777" w:rsidR="00772179" w:rsidRDefault="00000000">
      <w:pPr>
        <w:pStyle w:val="Author-eListParagraph"/>
        <w:numPr>
          <w:ilvl w:val="0"/>
          <w:numId w:val="845"/>
        </w:numPr>
      </w:pPr>
      <w:r>
        <w:t xml:space="preserve">Epaisseur du vide : </w:t>
      </w:r>
      <w:r>
        <w:rPr>
          <w:rStyle w:val="optioncarChar"/>
        </w:rPr>
        <w:t>1 / 2</w:t>
      </w:r>
      <w:r>
        <w:t xml:space="preserve">  x </w:t>
      </w:r>
      <w:r>
        <w:rPr>
          <w:rStyle w:val="optioncarChar"/>
        </w:rPr>
        <w:t>*** </w:t>
      </w:r>
      <w:r>
        <w:t>mm</w:t>
      </w:r>
    </w:p>
    <w:p w14:paraId="35BBC2C2" w14:textId="77777777" w:rsidR="00772179" w:rsidRDefault="00000000">
      <w:pPr>
        <w:pStyle w:val="Author-eListParagraph"/>
        <w:numPr>
          <w:ilvl w:val="0"/>
          <w:numId w:val="845"/>
        </w:numPr>
      </w:pPr>
      <w:r>
        <w:t>Composition : les feuilles assemblées sont hermétiquement fermées et remplies d'air déshydraté. </w:t>
      </w:r>
    </w:p>
    <w:p w14:paraId="7F2B6F27" w14:textId="77777777" w:rsidR="00772179" w:rsidRDefault="00000000">
      <w:pPr>
        <w:pStyle w:val="Author-eListParagraph"/>
        <w:numPr>
          <w:ilvl w:val="0"/>
          <w:numId w:val="845"/>
        </w:numPr>
      </w:pPr>
      <w:r>
        <w:t>Traitement de la surface : la couche de finition est un filtre UV.</w:t>
      </w:r>
    </w:p>
    <w:p w14:paraId="405433D6" w14:textId="77777777" w:rsidR="00772179" w:rsidRDefault="00000000">
      <w:pPr>
        <w:pStyle w:val="Author-eListParagraph"/>
        <w:numPr>
          <w:ilvl w:val="0"/>
          <w:numId w:val="845"/>
        </w:numPr>
      </w:pPr>
      <w:r>
        <w:t xml:space="preserve">Couleur : </w:t>
      </w:r>
      <w:r>
        <w:rPr>
          <w:rStyle w:val="optioncarChar"/>
        </w:rPr>
        <w:t>claire / opale </w:t>
      </w:r>
    </w:p>
    <w:p w14:paraId="79557E91" w14:textId="77777777" w:rsidR="00772179" w:rsidRDefault="00000000">
      <w:pPr>
        <w:pStyle w:val="pheading"/>
      </w:pPr>
      <w:r>
        <w:t>MESURAGE</w:t>
      </w:r>
    </w:p>
    <w:p w14:paraId="5FE57B1B" w14:textId="77777777" w:rsidR="00772179" w:rsidRDefault="00000000">
      <w:pPr>
        <w:pStyle w:val="pheading"/>
      </w:pPr>
      <w:r>
        <w:t>- unité de mesure:</w:t>
      </w:r>
    </w:p>
    <w:p w14:paraId="01B0B386" w14:textId="77777777" w:rsidR="00772179" w:rsidRDefault="00000000">
      <w:r>
        <w:rPr>
          <w:color w:val="FF0000"/>
        </w:rPr>
        <w:t>-</w:t>
      </w:r>
      <w:r>
        <w:t>  (par défaut)</w:t>
      </w:r>
      <w:r>
        <w:rPr>
          <w:rStyle w:val="optioncarChar"/>
        </w:rPr>
        <w:t> / m² </w:t>
      </w:r>
    </w:p>
    <w:p w14:paraId="72E3C0B1" w14:textId="77777777" w:rsidR="00772179" w:rsidRDefault="00000000">
      <w:r>
        <w:rPr>
          <w:b/>
        </w:rPr>
        <w:t>(soit par défaut)</w:t>
      </w:r>
    </w:p>
    <w:p w14:paraId="26643C2B" w14:textId="77777777" w:rsidR="00772179" w:rsidRDefault="00000000">
      <w:r>
        <w:rPr>
          <w:rStyle w:val="soitChar"/>
        </w:rPr>
        <w:t>1. -</w:t>
      </w:r>
    </w:p>
    <w:p w14:paraId="6E64FD62" w14:textId="77777777" w:rsidR="00772179" w:rsidRDefault="00000000">
      <w:r>
        <w:rPr>
          <w:b/>
        </w:rPr>
        <w:t>(soit)</w:t>
      </w:r>
    </w:p>
    <w:p w14:paraId="3359888C" w14:textId="77777777" w:rsidR="00772179" w:rsidRDefault="00000000">
      <w:r>
        <w:rPr>
          <w:rStyle w:val="soitChar"/>
        </w:rPr>
        <w:t>2. m²</w:t>
      </w:r>
    </w:p>
    <w:p w14:paraId="0CD824BA" w14:textId="77777777" w:rsidR="00772179" w:rsidRDefault="00000000">
      <w:pPr>
        <w:pStyle w:val="pheading"/>
      </w:pPr>
      <w:r>
        <w:t>- code de mesurage:</w:t>
      </w:r>
    </w:p>
    <w:p w14:paraId="5B059A15" w14:textId="77777777" w:rsidR="00772179" w:rsidRDefault="00000000">
      <w:pPr>
        <w:jc w:val="both"/>
      </w:pPr>
      <w:r>
        <w:rPr>
          <w:rStyle w:val="optioncarChar"/>
        </w:rPr>
        <w:t>prix unitaire global</w:t>
      </w:r>
      <w:r>
        <w:t>  (par défaut) </w:t>
      </w:r>
      <w:r>
        <w:rPr>
          <w:rStyle w:val="optioncarChar"/>
        </w:rPr>
        <w:t>/ poste séparé</w:t>
      </w:r>
    </w:p>
    <w:p w14:paraId="00F4FF69" w14:textId="77777777" w:rsidR="00772179" w:rsidRDefault="00000000">
      <w:pPr>
        <w:jc w:val="both"/>
      </w:pPr>
      <w:r>
        <w:rPr>
          <w:b/>
        </w:rPr>
        <w:lastRenderedPageBreak/>
        <w:t>(soit par défaut)</w:t>
      </w:r>
    </w:p>
    <w:p w14:paraId="51F70236" w14:textId="77777777" w:rsidR="00772179"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0C1CABC3" w14:textId="77777777" w:rsidR="00772179" w:rsidRDefault="00000000">
      <w:pPr>
        <w:jc w:val="both"/>
      </w:pPr>
      <w:r>
        <w:rPr>
          <w:b/>
        </w:rPr>
        <w:t>(soit)</w:t>
      </w:r>
    </w:p>
    <w:p w14:paraId="42F6041F" w14:textId="77777777" w:rsidR="00772179" w:rsidRDefault="00000000">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73090083" w14:textId="77777777" w:rsidR="00772179" w:rsidRDefault="00000000">
      <w:pPr>
        <w:pStyle w:val="pheading"/>
      </w:pPr>
      <w:r>
        <w:t>- nature du marché:</w:t>
      </w:r>
    </w:p>
    <w:p w14:paraId="3B6586F8" w14:textId="77777777" w:rsidR="00772179" w:rsidRDefault="00000000">
      <w:r>
        <w:rPr>
          <w:rStyle w:val="optioncarChar"/>
        </w:rPr>
        <w:t>PM</w:t>
      </w:r>
      <w:r>
        <w:t>  (par défaut) </w:t>
      </w:r>
      <w:r>
        <w:rPr>
          <w:rStyle w:val="optioncarChar"/>
        </w:rPr>
        <w:t>/ QF</w:t>
      </w:r>
    </w:p>
    <w:p w14:paraId="40F7A8CB" w14:textId="77777777" w:rsidR="00772179" w:rsidRDefault="00000000">
      <w:r>
        <w:rPr>
          <w:b/>
        </w:rPr>
        <w:t>(soit par défaut)</w:t>
      </w:r>
    </w:p>
    <w:p w14:paraId="78133F45" w14:textId="77777777" w:rsidR="00772179" w:rsidRDefault="00000000">
      <w:r>
        <w:rPr>
          <w:rStyle w:val="soitChar"/>
        </w:rPr>
        <w:t>1. PM</w:t>
      </w:r>
    </w:p>
    <w:p w14:paraId="156F3DDE" w14:textId="77777777" w:rsidR="00772179" w:rsidRDefault="00000000">
      <w:r>
        <w:rPr>
          <w:b/>
        </w:rPr>
        <w:t>(soit)</w:t>
      </w:r>
    </w:p>
    <w:p w14:paraId="67A5349A" w14:textId="77777777" w:rsidR="00772179" w:rsidRDefault="00000000">
      <w:r>
        <w:rPr>
          <w:rStyle w:val="soitChar"/>
        </w:rPr>
        <w:t>2. QF</w:t>
      </w:r>
    </w:p>
    <w:p w14:paraId="47DFF8AC" w14:textId="77777777" w:rsidR="00772179" w:rsidRDefault="00000000">
      <w:pPr>
        <w:pStyle w:val="Author-eSectionHeading5Numberless"/>
      </w:pPr>
      <w:bookmarkStart w:id="616" w:name="_Toc220490313"/>
      <w:r>
        <w:t>42.32.4 Eléments de remplissage en panneaux translucides / transparents en PVC CCTB 01.02</w:t>
      </w:r>
      <w:bookmarkEnd w:id="616"/>
    </w:p>
    <w:p w14:paraId="7653BA91" w14:textId="77777777" w:rsidR="00772179" w:rsidRDefault="00000000">
      <w:pPr>
        <w:pStyle w:val="Author-eSectionHeading6Numberless"/>
      </w:pPr>
      <w:bookmarkStart w:id="617" w:name="_Toc220490314"/>
      <w:r>
        <w:t>42.32.4a Eléments de remplissage en panneaux translucides / transparents en PVC CCTB 01.10</w:t>
      </w:r>
      <w:bookmarkEnd w:id="617"/>
    </w:p>
    <w:p w14:paraId="052955F3" w14:textId="77777777" w:rsidR="00772179" w:rsidRDefault="00000000">
      <w:pPr>
        <w:pStyle w:val="pheading"/>
      </w:pPr>
      <w:r>
        <w:t>DESCRIPTION</w:t>
      </w:r>
    </w:p>
    <w:p w14:paraId="1DD2F5C4" w14:textId="77777777" w:rsidR="00772179" w:rsidRDefault="00000000">
      <w:pPr>
        <w:pStyle w:val="pheading"/>
      </w:pPr>
      <w:r>
        <w:t>- Localisation</w:t>
      </w:r>
    </w:p>
    <w:p w14:paraId="412B134E" w14:textId="77777777" w:rsidR="00772179" w:rsidRDefault="00000000">
      <w:r>
        <w:t>Les vitrages en matière synthétique sont livrés pour l'exécution du poste :</w:t>
      </w:r>
    </w:p>
    <w:p w14:paraId="2C906C88" w14:textId="77777777" w:rsidR="00772179" w:rsidRDefault="00000000">
      <w:r>
        <w:t>           ⇒ Ouvertures de toiture (lanterneaux) : à l'article </w:t>
      </w:r>
      <w:r>
        <w:rPr>
          <w:rStyle w:val="optioncarChar"/>
        </w:rPr>
        <w:t>***</w:t>
      </w:r>
      <w:r>
        <w:br/>
        <w:t>           ⇒ Portes et fenêtres extérieures : à l'article </w:t>
      </w:r>
      <w:r>
        <w:rPr>
          <w:rStyle w:val="optioncarChar"/>
        </w:rPr>
        <w:t>***</w:t>
      </w:r>
      <w:r>
        <w:br/>
        <w:t>           ⇒ Menuiserie extérieure / portes et volets : à l'article </w:t>
      </w:r>
      <w:r>
        <w:rPr>
          <w:rStyle w:val="optioncarChar"/>
        </w:rPr>
        <w:t>***</w:t>
      </w:r>
      <w:r>
        <w:br/>
        <w:t>           ⇒ Escaliers extérieurs et main-courantes (panneautages) : à l'article </w:t>
      </w:r>
      <w:r>
        <w:rPr>
          <w:rStyle w:val="optioncarChar"/>
        </w:rPr>
        <w:t>***</w:t>
      </w:r>
      <w:r>
        <w:br/>
        <w:t>           ⇒Garde-corps : à l'article </w:t>
      </w:r>
      <w:r>
        <w:rPr>
          <w:rStyle w:val="optioncarChar"/>
        </w:rPr>
        <w:t>***</w:t>
      </w:r>
      <w:r>
        <w:t>  </w:t>
      </w:r>
    </w:p>
    <w:p w14:paraId="3BA0650A" w14:textId="77777777" w:rsidR="00772179" w:rsidRDefault="00000000">
      <w:pPr>
        <w:pStyle w:val="pheading"/>
      </w:pPr>
      <w:r>
        <w:t>MATÉRIAUX</w:t>
      </w:r>
    </w:p>
    <w:p w14:paraId="1350FCFD" w14:textId="77777777" w:rsidR="00772179" w:rsidRDefault="00000000">
      <w:pPr>
        <w:pStyle w:val="pheading"/>
      </w:pPr>
      <w:r>
        <w:t>- Caractéristiques générales</w:t>
      </w:r>
    </w:p>
    <w:p w14:paraId="25062CE9" w14:textId="77777777" w:rsidR="00772179" w:rsidRDefault="00000000">
      <w:r>
        <w:t>Le vitrage se compose de panneaux en PVC (chlorure de polyvinyle). Les panneaux cloisonnés avec creux tubulaires sont hermétiquement fermés à l'avance ou au moment de la pose.</w:t>
      </w:r>
    </w:p>
    <w:p w14:paraId="78F5A68E" w14:textId="77777777" w:rsidR="00772179" w:rsidRDefault="00000000">
      <w:pPr>
        <w:pStyle w:val="pheading"/>
      </w:pPr>
      <w:r>
        <w:t>- Finitions</w:t>
      </w:r>
    </w:p>
    <w:p w14:paraId="03039378" w14:textId="77777777" w:rsidR="00772179" w:rsidRDefault="00000000">
      <w:pPr>
        <w:pStyle w:val="Author-eListParagraph"/>
        <w:numPr>
          <w:ilvl w:val="0"/>
          <w:numId w:val="846"/>
        </w:numPr>
      </w:pPr>
      <w:r>
        <w:t xml:space="preserve">Type : </w:t>
      </w:r>
      <w:r>
        <w:rPr>
          <w:rStyle w:val="optioncarChar"/>
        </w:rPr>
        <w:t>à simple paroi / à double paroi isolante / à triple paroi</w:t>
      </w:r>
    </w:p>
    <w:p w14:paraId="3B3D1C10" w14:textId="77777777" w:rsidR="00772179" w:rsidRDefault="00000000">
      <w:pPr>
        <w:pStyle w:val="Author-eListParagraph"/>
        <w:numPr>
          <w:ilvl w:val="0"/>
          <w:numId w:val="846"/>
        </w:numPr>
      </w:pPr>
      <w:r>
        <w:t>Forme : </w:t>
      </w:r>
      <w:r>
        <w:rPr>
          <w:rStyle w:val="optioncarChar"/>
        </w:rPr>
        <w:t>plat / courbé</w:t>
      </w:r>
    </w:p>
    <w:p w14:paraId="326A77DE" w14:textId="77777777" w:rsidR="00772179" w:rsidRDefault="00000000">
      <w:pPr>
        <w:pStyle w:val="Author-eListParagraph"/>
        <w:numPr>
          <w:ilvl w:val="0"/>
          <w:numId w:val="846"/>
        </w:numPr>
      </w:pPr>
      <w:r>
        <w:t xml:space="preserve">Epaisseur des plaques : </w:t>
      </w:r>
      <w:r>
        <w:rPr>
          <w:rStyle w:val="optioncarChar"/>
        </w:rPr>
        <w:t>6 / 10 / 16 </w:t>
      </w:r>
      <w:r>
        <w:t>mm</w:t>
      </w:r>
    </w:p>
    <w:p w14:paraId="39855943" w14:textId="77777777" w:rsidR="00772179" w:rsidRDefault="00000000">
      <w:pPr>
        <w:pStyle w:val="Author-eListParagraph"/>
        <w:numPr>
          <w:ilvl w:val="0"/>
          <w:numId w:val="846"/>
        </w:numPr>
      </w:pPr>
      <w:r>
        <w:t xml:space="preserve">Epaisseur du vide : </w:t>
      </w:r>
      <w:r>
        <w:rPr>
          <w:rStyle w:val="optioncarChar"/>
        </w:rPr>
        <w:t>1 / 2</w:t>
      </w:r>
      <w:r>
        <w:t xml:space="preserve">  x </w:t>
      </w:r>
      <w:r>
        <w:rPr>
          <w:rStyle w:val="optioncarChar"/>
        </w:rPr>
        <w:t>*** </w:t>
      </w:r>
      <w:r>
        <w:t>mm</w:t>
      </w:r>
    </w:p>
    <w:p w14:paraId="4BBE4278" w14:textId="77777777" w:rsidR="00772179" w:rsidRDefault="00000000">
      <w:pPr>
        <w:pStyle w:val="Author-eListParagraph"/>
        <w:numPr>
          <w:ilvl w:val="0"/>
          <w:numId w:val="846"/>
        </w:numPr>
      </w:pPr>
      <w:r>
        <w:t>Composition : les feuilles assemblées seront hermétiquement fermées et remplies d'air déshydraté. </w:t>
      </w:r>
    </w:p>
    <w:p w14:paraId="5D08DB58" w14:textId="77777777" w:rsidR="00772179" w:rsidRDefault="00000000">
      <w:pPr>
        <w:pStyle w:val="Author-eListParagraph"/>
        <w:numPr>
          <w:ilvl w:val="0"/>
          <w:numId w:val="846"/>
        </w:numPr>
      </w:pPr>
      <w:r>
        <w:t>Traitement de la surface : la couche de finition est un filtre UV.</w:t>
      </w:r>
    </w:p>
    <w:p w14:paraId="37D3B26F" w14:textId="77777777" w:rsidR="00772179" w:rsidRDefault="00000000">
      <w:pPr>
        <w:pStyle w:val="Author-eListParagraph"/>
        <w:numPr>
          <w:ilvl w:val="0"/>
          <w:numId w:val="846"/>
        </w:numPr>
      </w:pPr>
      <w:r>
        <w:t xml:space="preserve">Couleur : </w:t>
      </w:r>
      <w:r>
        <w:rPr>
          <w:rStyle w:val="optioncarChar"/>
        </w:rPr>
        <w:t>claire / opale </w:t>
      </w:r>
    </w:p>
    <w:p w14:paraId="4F7122A4" w14:textId="77777777" w:rsidR="00772179" w:rsidRDefault="00000000">
      <w:pPr>
        <w:pStyle w:val="pheading"/>
      </w:pPr>
      <w:r>
        <w:t>MESURAGE</w:t>
      </w:r>
    </w:p>
    <w:p w14:paraId="424AD102" w14:textId="77777777" w:rsidR="00772179" w:rsidRDefault="00000000">
      <w:pPr>
        <w:pStyle w:val="pheading"/>
      </w:pPr>
      <w:r>
        <w:t>- unité de mesure:</w:t>
      </w:r>
    </w:p>
    <w:p w14:paraId="4B4114FD" w14:textId="77777777" w:rsidR="00772179" w:rsidRDefault="00000000">
      <w:r>
        <w:rPr>
          <w:color w:val="FF0000"/>
        </w:rPr>
        <w:lastRenderedPageBreak/>
        <w:t>-</w:t>
      </w:r>
      <w:r>
        <w:t xml:space="preserve"> (par défaut)</w:t>
      </w:r>
      <w:r>
        <w:rPr>
          <w:rStyle w:val="optioncarChar"/>
        </w:rPr>
        <w:t> / m² </w:t>
      </w:r>
    </w:p>
    <w:p w14:paraId="1ACF10E5" w14:textId="77777777" w:rsidR="00772179" w:rsidRDefault="00000000">
      <w:r>
        <w:rPr>
          <w:b/>
        </w:rPr>
        <w:t>(soit par défaut)</w:t>
      </w:r>
    </w:p>
    <w:p w14:paraId="14C7D2A6" w14:textId="77777777" w:rsidR="00772179" w:rsidRDefault="00000000">
      <w:r>
        <w:rPr>
          <w:rStyle w:val="soitChar"/>
        </w:rPr>
        <w:t>1. -</w:t>
      </w:r>
    </w:p>
    <w:p w14:paraId="50E8D949" w14:textId="77777777" w:rsidR="00772179" w:rsidRDefault="00000000">
      <w:r>
        <w:rPr>
          <w:b/>
        </w:rPr>
        <w:t>(soit)</w:t>
      </w:r>
    </w:p>
    <w:p w14:paraId="0FE49B17" w14:textId="77777777" w:rsidR="00772179" w:rsidRDefault="00000000">
      <w:r>
        <w:rPr>
          <w:rStyle w:val="soitChar"/>
        </w:rPr>
        <w:t>2. m²</w:t>
      </w:r>
    </w:p>
    <w:p w14:paraId="501E8577" w14:textId="77777777" w:rsidR="00772179" w:rsidRDefault="00000000">
      <w:pPr>
        <w:pStyle w:val="pheading"/>
      </w:pPr>
      <w:r>
        <w:t>- code de mesurage:</w:t>
      </w:r>
    </w:p>
    <w:p w14:paraId="3DF30457" w14:textId="77777777" w:rsidR="00772179" w:rsidRDefault="00000000">
      <w:pPr>
        <w:jc w:val="both"/>
      </w:pPr>
      <w:r>
        <w:rPr>
          <w:rStyle w:val="optioncarChar"/>
        </w:rPr>
        <w:t>prix unitaire global</w:t>
      </w:r>
      <w:r>
        <w:t xml:space="preserve"> (par défaut) </w:t>
      </w:r>
      <w:r>
        <w:rPr>
          <w:rStyle w:val="optioncarChar"/>
        </w:rPr>
        <w:t>/ poste séparé</w:t>
      </w:r>
    </w:p>
    <w:p w14:paraId="2EFA5CD7" w14:textId="77777777" w:rsidR="00772179" w:rsidRDefault="00000000">
      <w:pPr>
        <w:jc w:val="both"/>
      </w:pPr>
      <w:r>
        <w:rPr>
          <w:b/>
        </w:rPr>
        <w:t>(soit par défaut)</w:t>
      </w:r>
    </w:p>
    <w:p w14:paraId="55C878C6" w14:textId="77777777" w:rsidR="00772179"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06CE2783" w14:textId="77777777" w:rsidR="00772179" w:rsidRDefault="00000000">
      <w:pPr>
        <w:jc w:val="both"/>
      </w:pPr>
      <w:r>
        <w:rPr>
          <w:b/>
        </w:rPr>
        <w:t>(soit)</w:t>
      </w:r>
    </w:p>
    <w:p w14:paraId="2DCE8F6D" w14:textId="77777777" w:rsidR="00772179" w:rsidRDefault="00000000">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68612355" w14:textId="77777777" w:rsidR="00772179" w:rsidRDefault="00000000">
      <w:r>
        <w:rPr>
          <w:rStyle w:val="optioncarChar"/>
        </w:rPr>
        <w:t> </w:t>
      </w:r>
    </w:p>
    <w:p w14:paraId="719572CE" w14:textId="77777777" w:rsidR="00772179" w:rsidRDefault="00000000">
      <w:pPr>
        <w:pStyle w:val="pheading"/>
      </w:pPr>
      <w:r>
        <w:t>- nature du marché:</w:t>
      </w:r>
    </w:p>
    <w:p w14:paraId="0D623D81" w14:textId="77777777" w:rsidR="00772179" w:rsidRDefault="00000000">
      <w:r>
        <w:rPr>
          <w:rStyle w:val="optioncarChar"/>
        </w:rPr>
        <w:t>PM</w:t>
      </w:r>
      <w:r>
        <w:t> (par défaut) </w:t>
      </w:r>
      <w:r>
        <w:rPr>
          <w:rStyle w:val="optioncarChar"/>
        </w:rPr>
        <w:t>/ QF</w:t>
      </w:r>
    </w:p>
    <w:p w14:paraId="0CDE2A4D" w14:textId="77777777" w:rsidR="00772179" w:rsidRDefault="00000000">
      <w:r>
        <w:rPr>
          <w:b/>
        </w:rPr>
        <w:t>(soit par défaut)</w:t>
      </w:r>
    </w:p>
    <w:p w14:paraId="4209746F" w14:textId="77777777" w:rsidR="00772179" w:rsidRDefault="00000000">
      <w:r>
        <w:rPr>
          <w:rStyle w:val="soitChar"/>
        </w:rPr>
        <w:t>1. PM</w:t>
      </w:r>
    </w:p>
    <w:p w14:paraId="7FC4A375" w14:textId="77777777" w:rsidR="00772179" w:rsidRDefault="00000000">
      <w:r>
        <w:rPr>
          <w:b/>
        </w:rPr>
        <w:t>(soit)</w:t>
      </w:r>
    </w:p>
    <w:p w14:paraId="35BFB73E" w14:textId="77777777" w:rsidR="00772179" w:rsidRDefault="00000000">
      <w:r>
        <w:rPr>
          <w:rStyle w:val="soitChar"/>
        </w:rPr>
        <w:t>2. QF</w:t>
      </w:r>
    </w:p>
    <w:p w14:paraId="16E58331" w14:textId="77777777" w:rsidR="00772179" w:rsidRDefault="00000000">
      <w:pPr>
        <w:pStyle w:val="Author-eSectionHeading4Numberless"/>
      </w:pPr>
      <w:bookmarkStart w:id="618" w:name="_Toc220490315"/>
      <w:r>
        <w:t>42.33 Eléments de remplissage en panneaux opaques CCTB 01.02</w:t>
      </w:r>
      <w:bookmarkEnd w:id="618"/>
    </w:p>
    <w:p w14:paraId="7DE6B514" w14:textId="77777777" w:rsidR="00772179" w:rsidRDefault="00000000">
      <w:pPr>
        <w:pStyle w:val="Author-eSectionHeading5Numberless"/>
      </w:pPr>
      <w:bookmarkStart w:id="619" w:name="_Toc220490316"/>
      <w:r>
        <w:t>42.33.1 Eléments de remplissage en panneaux opaques en bois CCTB 01.02</w:t>
      </w:r>
      <w:bookmarkEnd w:id="619"/>
    </w:p>
    <w:p w14:paraId="16BDCF02" w14:textId="77777777" w:rsidR="00772179" w:rsidRDefault="00000000">
      <w:pPr>
        <w:pStyle w:val="Author-eSectionHeading6Numberless"/>
      </w:pPr>
      <w:bookmarkStart w:id="620" w:name="_Toc220490317"/>
      <w:r>
        <w:t>42.33.1a Eléments de remplissage en panneaux opaques en bois CCTB 01.11</w:t>
      </w:r>
      <w:bookmarkEnd w:id="620"/>
    </w:p>
    <w:p w14:paraId="0ABB3441" w14:textId="77777777" w:rsidR="00772179" w:rsidRDefault="00000000">
      <w:pPr>
        <w:pStyle w:val="pheading"/>
      </w:pPr>
      <w:r>
        <w:t>MATÉRIAUX</w:t>
      </w:r>
    </w:p>
    <w:p w14:paraId="4AD061C0" w14:textId="77777777" w:rsidR="00772179" w:rsidRDefault="00000000">
      <w:pPr>
        <w:pStyle w:val="pheading"/>
      </w:pPr>
      <w:r>
        <w:t>- Caractéristiques générales</w:t>
      </w:r>
    </w:p>
    <w:p w14:paraId="3742EF2C" w14:textId="77777777" w:rsidR="00772179" w:rsidRDefault="00000000">
      <w:r>
        <w:rPr>
          <w:b/>
        </w:rPr>
        <w:t>Choix à faire</w:t>
      </w:r>
      <w:r>
        <w:t xml:space="preserve"> : </w:t>
      </w:r>
      <w:r>
        <w:rPr>
          <w:rStyle w:val="optioncarChar"/>
        </w:rPr>
        <w:t>Contreplaqué / bois massif</w:t>
      </w:r>
    </w:p>
    <w:p w14:paraId="1DDE3E75" w14:textId="77777777" w:rsidR="00772179" w:rsidRDefault="00000000">
      <w:pPr>
        <w:pStyle w:val="heading"/>
      </w:pPr>
      <w:r>
        <w:t>Contreplaqué</w:t>
      </w:r>
    </w:p>
    <w:p w14:paraId="720ECF50" w14:textId="77777777" w:rsidR="00772179" w:rsidRDefault="00000000">
      <w:pPr>
        <w:pStyle w:val="Author-eListParagraph"/>
        <w:numPr>
          <w:ilvl w:val="0"/>
          <w:numId w:val="847"/>
        </w:numPr>
      </w:pPr>
      <w:r>
        <w:t>Les éléments de remplissage sont des panneaux à une face en contreplaqué, convenant pour une classe d'utilisation III - climat extérieur humide (selon la norme [CEN/TS 635-4]).</w:t>
      </w:r>
    </w:p>
    <w:p w14:paraId="3D3434D6" w14:textId="77777777" w:rsidR="00772179" w:rsidRDefault="00000000">
      <w:pPr>
        <w:pStyle w:val="Author-eListParagraph"/>
        <w:numPr>
          <w:ilvl w:val="0"/>
          <w:numId w:val="847"/>
        </w:numPr>
      </w:pPr>
      <w:r>
        <w:t>Voir également descriptif au § 31.32.3a Panneaux en contre-plaqué.</w:t>
      </w:r>
    </w:p>
    <w:p w14:paraId="16DBCA7D" w14:textId="77777777" w:rsidR="00772179" w:rsidRDefault="00000000">
      <w:pPr>
        <w:pStyle w:val="heading"/>
      </w:pPr>
      <w:r>
        <w:t>Bois massif</w:t>
      </w:r>
    </w:p>
    <w:p w14:paraId="08F3E199" w14:textId="77777777" w:rsidR="00772179" w:rsidRDefault="00000000">
      <w:pPr>
        <w:pStyle w:val="Author-eListParagraph"/>
        <w:numPr>
          <w:ilvl w:val="0"/>
          <w:numId w:val="848"/>
        </w:numPr>
      </w:pPr>
      <w:r>
        <w:t xml:space="preserve">Les éléments de remplissage sont des panneaux simples en bois massif (de la même essence, de qualité et de finition identiques à celle de la menuiserie extérieure dont ils font partie). Le bois mis en œuvre est droit (inclinaison ≤ 5 %). Le bois est exempt d’aubier, de nœuds, d’entre-écorce, de fissures, de faux cœur accompagnés de pourriture, de double aubier, de bois de compression, de fractures d’abattage, de blessures, de piqûres, de trous </w:t>
      </w:r>
      <w:r>
        <w:lastRenderedPageBreak/>
        <w:t>de vers, de pourritures, d’échauffures, de bleuissement, de moelle et de flaches. Les nœuds sains incrustés dont le Ø &gt; 20 mm ne sont pas admis.</w:t>
      </w:r>
    </w:p>
    <w:p w14:paraId="0F22694D" w14:textId="77777777" w:rsidR="00772179" w:rsidRDefault="00000000">
      <w:pPr>
        <w:pStyle w:val="Author-eListParagraph"/>
        <w:numPr>
          <w:ilvl w:val="0"/>
          <w:numId w:val="848"/>
        </w:numPr>
      </w:pPr>
      <w:r>
        <w:t>Le nombre des cercles annuels mesurés radialement sur une base de 40 mm est ≥ 15. Le taux d'humidité au cœur du bois mis en œuvre est &lt; </w:t>
      </w:r>
      <w:r>
        <w:rPr>
          <w:rStyle w:val="optioncarChar"/>
        </w:rPr>
        <w:t>18</w:t>
      </w:r>
      <w:r>
        <w:t xml:space="preserve"> % avec un écart de 3 % et est en outre compatible avec la finition.</w:t>
      </w:r>
    </w:p>
    <w:p w14:paraId="362E63B9" w14:textId="77777777" w:rsidR="00772179" w:rsidRDefault="00000000">
      <w:pPr>
        <w:pStyle w:val="Author-eListParagraph"/>
        <w:numPr>
          <w:ilvl w:val="0"/>
          <w:numId w:val="848"/>
        </w:numPr>
      </w:pPr>
      <w:r>
        <w:t>Les planchettes utilisées dans le cadre de menuiseries extérieures sont conformes à la [STS 52.1].</w:t>
      </w:r>
    </w:p>
    <w:p w14:paraId="2CB48541" w14:textId="77777777" w:rsidR="00772179" w:rsidRDefault="00000000">
      <w:pPr>
        <w:pStyle w:val="pheading"/>
      </w:pPr>
      <w:r>
        <w:t>- Finitions</w:t>
      </w:r>
    </w:p>
    <w:p w14:paraId="2468C84F" w14:textId="77777777" w:rsidR="00772179" w:rsidRDefault="00000000">
      <w:pPr>
        <w:pStyle w:val="heading"/>
      </w:pPr>
      <w:r>
        <w:t>Contreplaqué</w:t>
      </w:r>
    </w:p>
    <w:p w14:paraId="62D9534B" w14:textId="77777777" w:rsidR="00772179" w:rsidRDefault="00000000">
      <w:pPr>
        <w:pStyle w:val="Author-eListParagraph"/>
        <w:numPr>
          <w:ilvl w:val="0"/>
          <w:numId w:val="849"/>
        </w:numPr>
      </w:pPr>
      <w:r>
        <w:t>Nature de la plaque de multiplex :</w:t>
      </w:r>
    </w:p>
    <w:p w14:paraId="465D40DB" w14:textId="77777777" w:rsidR="00772179" w:rsidRDefault="00000000">
      <w:r>
        <w:t>                   ⇒ Composition symétrique avec au moins</w:t>
      </w:r>
      <w:r>
        <w:rPr>
          <w:rStyle w:val="optioncarChar"/>
        </w:rPr>
        <w:t xml:space="preserve"> 3 / 5 / 7 </w:t>
      </w:r>
      <w:r>
        <w:t>couches de placage.</w:t>
      </w:r>
      <w:r>
        <w:br/>
        <w:t xml:space="preserve">                   ⇒ Epaisseur des plaques : </w:t>
      </w:r>
      <w:r>
        <w:rPr>
          <w:rStyle w:val="optioncarChar"/>
        </w:rPr>
        <w:t xml:space="preserve">6 / 8 / 10 / 12 / 15 / 18 </w:t>
      </w:r>
      <w:r>
        <w:t>mm.</w:t>
      </w:r>
      <w:r>
        <w:br/>
        <w:t xml:space="preserve">                   ⇒ Essence du bois de placage : </w:t>
      </w:r>
      <w:r>
        <w:rPr>
          <w:rStyle w:val="optioncarChar"/>
        </w:rPr>
        <w:t>bois tropical dur   </w:t>
      </w:r>
      <w:r>
        <w:br/>
        <w:t xml:space="preserve">                   ⇒ Masse volumique : ≥ </w:t>
      </w:r>
      <w:r>
        <w:rPr>
          <w:rStyle w:val="optioncarChar"/>
        </w:rPr>
        <w:t xml:space="preserve">520 </w:t>
      </w:r>
      <w:r>
        <w:t>(par défaut)</w:t>
      </w:r>
      <w:r>
        <w:rPr>
          <w:rStyle w:val="optioncarChar"/>
        </w:rPr>
        <w:t xml:space="preserve"> / ***</w:t>
      </w:r>
      <w:r>
        <w:t xml:space="preserve"> kg/m³.</w:t>
      </w:r>
      <w:r>
        <w:br/>
        <w:t>                   ⇒ Qualité de l'encollage : WBP 72-100  climat extérieur - indélimité . Soit classe de colle                          3 selon la norme [NBN EN 314-2] .</w:t>
      </w:r>
      <w:r>
        <w:br/>
        <w:t>                   ⇒ Placage : qualité A</w:t>
      </w:r>
    </w:p>
    <w:p w14:paraId="028DFEE2" w14:textId="77777777" w:rsidR="00772179" w:rsidRDefault="00000000">
      <w:pPr>
        <w:pStyle w:val="Author-eListParagraph"/>
        <w:numPr>
          <w:ilvl w:val="0"/>
          <w:numId w:val="850"/>
        </w:numPr>
      </w:pPr>
      <w:r>
        <w:t>Nature du placage :</w:t>
      </w:r>
    </w:p>
    <w:p w14:paraId="1C77D81B" w14:textId="77777777" w:rsidR="00772179" w:rsidRDefault="00000000">
      <w:r>
        <w:t xml:space="preserve">                   ⇒ Essence du bois de placage : </w:t>
      </w:r>
      <w:r>
        <w:rPr>
          <w:rStyle w:val="optioncarChar"/>
        </w:rPr>
        <w:t>bois tropical dur</w:t>
      </w:r>
      <w:r>
        <w:br/>
        <w:t xml:space="preserve">                   ⇒ Traitement de la surface : </w:t>
      </w:r>
      <w:r>
        <w:rPr>
          <w:rStyle w:val="optioncarChar"/>
        </w:rPr>
        <w:t>non laqué / laque UV-polyacrylate / teint / une face revêtue                           d'une couche de finition à peindre </w:t>
      </w:r>
      <w:r>
        <w:br/>
        <w:t>                   ⇒ Epaisseur de la couche de finition :</w:t>
      </w:r>
      <w:r>
        <w:rPr>
          <w:rStyle w:val="optioncarChar"/>
        </w:rPr>
        <w:t xml:space="preserve">100 </w:t>
      </w:r>
      <w:r>
        <w:t>µm.</w:t>
      </w:r>
      <w:r>
        <w:br/>
        <w:t>                   ⇒ Brillance :</w:t>
      </w:r>
      <w:r>
        <w:rPr>
          <w:rStyle w:val="optioncarChar"/>
        </w:rPr>
        <w:t> couvrant / transparent</w:t>
      </w:r>
      <w:r>
        <w:br/>
        <w:t xml:space="preserve">                   ⇒ Couleur : </w:t>
      </w:r>
      <w:r>
        <w:rPr>
          <w:rStyle w:val="optioncarChar"/>
        </w:rPr>
        <w:t>à choisir dans la gamme complète du fabricant / ***</w:t>
      </w:r>
      <w:r>
        <w:t xml:space="preserve">. Couleur RAL n° . </w:t>
      </w:r>
      <w:r>
        <w:rPr>
          <w:rStyle w:val="optioncarChar"/>
        </w:rPr>
        <w:t>***</w:t>
      </w:r>
    </w:p>
    <w:p w14:paraId="3CAA3989" w14:textId="77777777" w:rsidR="00772179" w:rsidRDefault="00000000">
      <w:pPr>
        <w:pStyle w:val="heading"/>
      </w:pPr>
      <w:r>
        <w:t> Bois massif</w:t>
      </w:r>
    </w:p>
    <w:p w14:paraId="696E1050" w14:textId="77777777" w:rsidR="00772179" w:rsidRDefault="00000000">
      <w:pPr>
        <w:pStyle w:val="Author-eListParagraph"/>
        <w:numPr>
          <w:ilvl w:val="0"/>
          <w:numId w:val="851"/>
        </w:numPr>
      </w:pPr>
      <w:r>
        <w:t>Essence du bois :</w:t>
      </w:r>
      <w:r>
        <w:rPr>
          <w:rStyle w:val="optioncarChar"/>
        </w:rPr>
        <w:t> identique au bois de la menuiserie extérieure / Dark Red Meranti / Light Red Meranti / Nemesu / Afzelia bipidensis (dénomination botanique) / Afzelia Doussie (dénomination commerciale) originaire du Cameroun / Afzelia Pachyloba / Afzelia Africana (dénomination botanique) / Apa ou Lingue (dénomination commerciale).</w:t>
      </w:r>
    </w:p>
    <w:p w14:paraId="3E74BB35" w14:textId="77777777" w:rsidR="00772179" w:rsidRDefault="00000000">
      <w:pPr>
        <w:pStyle w:val="Author-eListParagraph"/>
        <w:numPr>
          <w:ilvl w:val="0"/>
          <w:numId w:val="851"/>
        </w:numPr>
      </w:pPr>
      <w:r>
        <w:t xml:space="preserve">Classe de durabilité : </w:t>
      </w:r>
      <w:r>
        <w:rPr>
          <w:rStyle w:val="optioncarChar"/>
        </w:rPr>
        <w:t>I / II / III / IV</w:t>
      </w:r>
      <w:r>
        <w:t xml:space="preserve"> .  Les bois de classes III et IV reçoivent un traitement de préservation de type </w:t>
      </w:r>
      <w:r>
        <w:rPr>
          <w:rStyle w:val="optioncarChar"/>
        </w:rPr>
        <w:t>A2 / A3 / C1  </w:t>
      </w:r>
    </w:p>
    <w:p w14:paraId="1F3EBA8B" w14:textId="77777777" w:rsidR="00772179" w:rsidRDefault="00000000">
      <w:pPr>
        <w:pStyle w:val="Author-eListParagraph"/>
        <w:numPr>
          <w:ilvl w:val="0"/>
          <w:numId w:val="851"/>
        </w:numPr>
      </w:pPr>
      <w:r>
        <w:t xml:space="preserve">Masse volumique : ≥ </w:t>
      </w:r>
      <w:r>
        <w:rPr>
          <w:rStyle w:val="optioncarChar"/>
        </w:rPr>
        <w:t xml:space="preserve">*** </w:t>
      </w:r>
      <w:r>
        <w:t xml:space="preserve">kg/m² (pour un taux d'humidité de </w:t>
      </w:r>
      <w:r>
        <w:rPr>
          <w:rStyle w:val="optioncarChar"/>
        </w:rPr>
        <w:t xml:space="preserve">*** </w:t>
      </w:r>
      <w:r>
        <w:t>%).</w:t>
      </w:r>
    </w:p>
    <w:p w14:paraId="44873B9D" w14:textId="77777777" w:rsidR="00772179" w:rsidRDefault="00000000">
      <w:pPr>
        <w:pStyle w:val="Author-eListParagraph"/>
        <w:numPr>
          <w:ilvl w:val="0"/>
          <w:numId w:val="851"/>
        </w:numPr>
      </w:pPr>
      <w:r>
        <w:t>Taux d'humidité : entre 12 et 18 %.</w:t>
      </w:r>
    </w:p>
    <w:p w14:paraId="1306DD11" w14:textId="77777777" w:rsidR="00772179" w:rsidRDefault="00000000">
      <w:pPr>
        <w:pStyle w:val="Author-eListParagraph"/>
        <w:numPr>
          <w:ilvl w:val="0"/>
          <w:numId w:val="851"/>
        </w:numPr>
      </w:pPr>
      <w:r>
        <w:t>Epaisseur des plaques :</w:t>
      </w:r>
      <w:r>
        <w:rPr>
          <w:rStyle w:val="optioncarChar"/>
        </w:rPr>
        <w:t> 15 / 18 / 22  </w:t>
      </w:r>
      <w:r>
        <w:t>mm.</w:t>
      </w:r>
    </w:p>
    <w:p w14:paraId="095B7F4A" w14:textId="77777777" w:rsidR="00772179" w:rsidRDefault="00000000">
      <w:pPr>
        <w:pStyle w:val="Author-eListParagraph"/>
        <w:numPr>
          <w:ilvl w:val="0"/>
          <w:numId w:val="851"/>
        </w:numPr>
      </w:pPr>
      <w:r>
        <w:t>Finition du bois :</w:t>
      </w:r>
      <w:r>
        <w:rPr>
          <w:rStyle w:val="optioncarChar"/>
        </w:rPr>
        <w:t> raboté / finement scié </w:t>
      </w:r>
    </w:p>
    <w:p w14:paraId="162EF082" w14:textId="77777777" w:rsidR="00772179" w:rsidRDefault="00000000">
      <w:pPr>
        <w:pStyle w:val="Author-eListParagraph"/>
        <w:numPr>
          <w:ilvl w:val="0"/>
          <w:numId w:val="851"/>
        </w:numPr>
      </w:pPr>
      <w:r>
        <w:t>Finition :</w:t>
      </w:r>
    </w:p>
    <w:p w14:paraId="21CD6EAA" w14:textId="77777777" w:rsidR="00772179" w:rsidRDefault="00000000">
      <w:r>
        <w:t>                     ⇒ Traitement de la surface :</w:t>
      </w:r>
      <w:r>
        <w:rPr>
          <w:rStyle w:val="optioncarChar"/>
        </w:rPr>
        <w:t> non laqué / laque UV-polyacrylate / teinté / une face                                        revêtue d'une couche de finition à peindre </w:t>
      </w:r>
      <w:r>
        <w:br/>
        <w:t xml:space="preserve">                     ⇒ Epaisseur de la couche de finition : </w:t>
      </w:r>
      <w:r>
        <w:rPr>
          <w:rStyle w:val="optioncarChar"/>
        </w:rPr>
        <w:t xml:space="preserve">100 </w:t>
      </w:r>
      <w:r>
        <w:t>µm.</w:t>
      </w:r>
      <w:r>
        <w:br/>
        <w:t xml:space="preserve">                     ⇒ Brillance : </w:t>
      </w:r>
      <w:r>
        <w:rPr>
          <w:rStyle w:val="optioncarChar"/>
        </w:rPr>
        <w:t>couvrant / transparent</w:t>
      </w:r>
      <w:r>
        <w:br/>
        <w:t xml:space="preserve">                     ⇒ Couleur : </w:t>
      </w:r>
      <w:r>
        <w:rPr>
          <w:rStyle w:val="optioncarChar"/>
        </w:rPr>
        <w:t>à choisir dans la gamme complète du fabricant / ***</w:t>
      </w:r>
      <w:r>
        <w:t xml:space="preserve">. Couleur RAL n° </w:t>
      </w:r>
      <w:r>
        <w:rPr>
          <w:rStyle w:val="optioncarChar"/>
        </w:rPr>
        <w:t>***</w:t>
      </w:r>
    </w:p>
    <w:p w14:paraId="611B3584" w14:textId="77777777" w:rsidR="00772179" w:rsidRDefault="00000000">
      <w:pPr>
        <w:pStyle w:val="pheading"/>
      </w:pPr>
      <w:r>
        <w:t>- Prescriptions complémentaires</w:t>
      </w:r>
    </w:p>
    <w:p w14:paraId="6BE0E6E9" w14:textId="77777777" w:rsidR="00772179" w:rsidRDefault="00000000">
      <w:pPr>
        <w:pStyle w:val="Author-eListParagraph"/>
        <w:numPr>
          <w:ilvl w:val="0"/>
          <w:numId w:val="852"/>
        </w:numPr>
      </w:pPr>
      <w:r>
        <w:t>Une isolation thermique est prévue à l'arrière des plaques.</w:t>
      </w:r>
    </w:p>
    <w:p w14:paraId="2E07704E" w14:textId="77777777" w:rsidR="00772179" w:rsidRDefault="00000000">
      <w:pPr>
        <w:pStyle w:val="Author-eListParagraph"/>
        <w:numPr>
          <w:ilvl w:val="0"/>
          <w:numId w:val="852"/>
        </w:numPr>
      </w:pPr>
      <w:r>
        <w:t xml:space="preserve">Matériau : </w:t>
      </w:r>
      <w:r>
        <w:rPr>
          <w:rStyle w:val="optioncarChar"/>
        </w:rPr>
        <w:t>EPS (polystyrène expansé) / XPS (polystyrène extrudé) / PUR (polyuréthane) / MW (laine minérale) / CG (verre cellulaire) / PF (mousse de phénolformaldéhyde (mousse de résol) / PIR (mousse de polyisocyanurate) / ciment de laine de bois / magnésite de laine de bois / au choix de l'entrepreneur </w:t>
      </w:r>
    </w:p>
    <w:p w14:paraId="6E6C3D52" w14:textId="77777777" w:rsidR="00772179" w:rsidRDefault="00000000">
      <w:pPr>
        <w:pStyle w:val="Author-eListParagraph"/>
        <w:numPr>
          <w:ilvl w:val="0"/>
          <w:numId w:val="852"/>
        </w:numPr>
      </w:pPr>
      <w:r>
        <w:t>Mode de pose :</w:t>
      </w:r>
      <w:r>
        <w:rPr>
          <w:rStyle w:val="optioncarChar"/>
        </w:rPr>
        <w:t> en indépendant / collage sur les plaques / sur la structure attenante</w:t>
      </w:r>
    </w:p>
    <w:p w14:paraId="49795C96" w14:textId="77777777" w:rsidR="00772179" w:rsidRDefault="00000000">
      <w:pPr>
        <w:pStyle w:val="Author-eListParagraph"/>
        <w:numPr>
          <w:ilvl w:val="0"/>
          <w:numId w:val="852"/>
        </w:numPr>
      </w:pPr>
      <w:r>
        <w:t>Conductivité thermique (valeur λ</w:t>
      </w:r>
      <w:r>
        <w:rPr>
          <w:vertAlign w:val="subscript"/>
        </w:rPr>
        <w:t>d</w:t>
      </w:r>
      <w:r>
        <w:t xml:space="preserve"> ) : ≤ </w:t>
      </w:r>
      <w:r>
        <w:rPr>
          <w:rStyle w:val="optioncarChar"/>
        </w:rPr>
        <w:t xml:space="preserve">*** </w:t>
      </w:r>
      <w:r>
        <w:t>W/mK</w:t>
      </w:r>
    </w:p>
    <w:p w14:paraId="4FE1D29D" w14:textId="77777777" w:rsidR="00772179" w:rsidRDefault="00000000">
      <w:pPr>
        <w:pStyle w:val="Author-eListParagraph"/>
        <w:numPr>
          <w:ilvl w:val="0"/>
          <w:numId w:val="852"/>
        </w:numPr>
      </w:pPr>
      <w:r>
        <w:lastRenderedPageBreak/>
        <w:t>Epaisseur de l'isolation :</w:t>
      </w:r>
      <w:r>
        <w:rPr>
          <w:rStyle w:val="optioncarChar"/>
        </w:rPr>
        <w:t xml:space="preserve"> 20 / 30 / 40 </w:t>
      </w:r>
      <w:r>
        <w:t>mm.</w:t>
      </w:r>
    </w:p>
    <w:p w14:paraId="2559AEFF" w14:textId="77777777" w:rsidR="00772179" w:rsidRDefault="00000000">
      <w:pPr>
        <w:pStyle w:val="pheading"/>
      </w:pPr>
      <w:r>
        <w:t>EXÉCUTION / MISE EN ŒUVRE</w:t>
      </w:r>
    </w:p>
    <w:p w14:paraId="7C9B3DEE" w14:textId="77777777" w:rsidR="00772179" w:rsidRDefault="00000000">
      <w:pPr>
        <w:pStyle w:val="pheading"/>
      </w:pPr>
      <w:r>
        <w:t>- Prescriptions générales</w:t>
      </w:r>
    </w:p>
    <w:p w14:paraId="6AA3D6BC" w14:textId="77777777" w:rsidR="00772179" w:rsidRDefault="00000000">
      <w:r>
        <w:t>Les éléments de remplissage sont intégrés lors de la fabrication des éléments de menuiserie.</w:t>
      </w:r>
    </w:p>
    <w:p w14:paraId="2A71CD21" w14:textId="77777777" w:rsidR="00772179" w:rsidRDefault="00000000">
      <w:pPr>
        <w:pStyle w:val="pheading"/>
      </w:pPr>
      <w:r>
        <w:t>CONTRÔLES PARTICULIERS</w:t>
      </w:r>
    </w:p>
    <w:p w14:paraId="6AD734DE" w14:textId="77777777" w:rsidR="00772179" w:rsidRDefault="00000000">
      <w:r>
        <w:t>Le certificat d'origine est soumis sur demande, avant la pose des panneaux.</w:t>
      </w:r>
    </w:p>
    <w:p w14:paraId="5D14063C" w14:textId="77777777" w:rsidR="00772179" w:rsidRDefault="00000000">
      <w:pPr>
        <w:pStyle w:val="pheading"/>
      </w:pPr>
      <w:r>
        <w:t>MESURAGE</w:t>
      </w:r>
    </w:p>
    <w:p w14:paraId="644000B0" w14:textId="77777777" w:rsidR="00772179" w:rsidRDefault="00000000">
      <w:pPr>
        <w:pStyle w:val="pheading"/>
      </w:pPr>
      <w:r>
        <w:t>- unité de mesure:</w:t>
      </w:r>
    </w:p>
    <w:p w14:paraId="0667586D" w14:textId="77777777" w:rsidR="00772179" w:rsidRDefault="00000000">
      <w:r>
        <w:rPr>
          <w:color w:val="FF0000"/>
        </w:rPr>
        <w:t>-</w:t>
      </w:r>
      <w:r>
        <w:t> (par défaut)</w:t>
      </w:r>
      <w:r>
        <w:rPr>
          <w:rStyle w:val="optioncarChar"/>
        </w:rPr>
        <w:t> / m² </w:t>
      </w:r>
    </w:p>
    <w:p w14:paraId="45B80412" w14:textId="77777777" w:rsidR="00772179" w:rsidRDefault="00000000">
      <w:r>
        <w:rPr>
          <w:b/>
        </w:rPr>
        <w:t>(soit par défaut)</w:t>
      </w:r>
    </w:p>
    <w:p w14:paraId="3F810267" w14:textId="77777777" w:rsidR="00772179" w:rsidRDefault="00000000">
      <w:r>
        <w:rPr>
          <w:rStyle w:val="soitChar"/>
        </w:rPr>
        <w:t>1. -</w:t>
      </w:r>
    </w:p>
    <w:p w14:paraId="5345F76B" w14:textId="77777777" w:rsidR="00772179" w:rsidRDefault="00000000">
      <w:r>
        <w:rPr>
          <w:b/>
        </w:rPr>
        <w:t>(soit)</w:t>
      </w:r>
    </w:p>
    <w:p w14:paraId="3E31A115" w14:textId="77777777" w:rsidR="00772179" w:rsidRDefault="00000000">
      <w:r>
        <w:rPr>
          <w:rStyle w:val="soitChar"/>
        </w:rPr>
        <w:t>2. m²</w:t>
      </w:r>
    </w:p>
    <w:p w14:paraId="10FD7AF9" w14:textId="77777777" w:rsidR="00772179" w:rsidRDefault="00000000">
      <w:pPr>
        <w:pStyle w:val="pheading"/>
      </w:pPr>
      <w:r>
        <w:t>- code de mesurage:</w:t>
      </w:r>
    </w:p>
    <w:p w14:paraId="67635BDA" w14:textId="77777777" w:rsidR="00772179" w:rsidRDefault="00000000">
      <w:pPr>
        <w:jc w:val="both"/>
      </w:pPr>
      <w:r>
        <w:rPr>
          <w:rStyle w:val="optioncarChar"/>
        </w:rPr>
        <w:t>prix unitaire global</w:t>
      </w:r>
      <w:r>
        <w:t> (par défaut) </w:t>
      </w:r>
      <w:r>
        <w:rPr>
          <w:rStyle w:val="optioncarChar"/>
        </w:rPr>
        <w:t>/ poste séparé</w:t>
      </w:r>
    </w:p>
    <w:p w14:paraId="69C79947" w14:textId="77777777" w:rsidR="00772179" w:rsidRDefault="00000000">
      <w:pPr>
        <w:jc w:val="both"/>
      </w:pPr>
      <w:r>
        <w:rPr>
          <w:b/>
        </w:rPr>
        <w:t>(soit par défaut)</w:t>
      </w:r>
    </w:p>
    <w:p w14:paraId="295025E4" w14:textId="77777777" w:rsidR="00772179"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02CA614A" w14:textId="77777777" w:rsidR="00772179" w:rsidRDefault="00000000">
      <w:pPr>
        <w:jc w:val="both"/>
      </w:pPr>
      <w:r>
        <w:rPr>
          <w:b/>
        </w:rPr>
        <w:t>(soit)</w:t>
      </w:r>
    </w:p>
    <w:p w14:paraId="290315F9" w14:textId="77777777" w:rsidR="00772179"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766EACE0" w14:textId="77777777" w:rsidR="00772179" w:rsidRDefault="00000000">
      <w:pPr>
        <w:pStyle w:val="pheading"/>
      </w:pPr>
      <w:r>
        <w:t>- nature du marché:</w:t>
      </w:r>
    </w:p>
    <w:p w14:paraId="0EEAFFCB" w14:textId="77777777" w:rsidR="00772179" w:rsidRDefault="00000000">
      <w:r>
        <w:rPr>
          <w:rStyle w:val="optioncarChar"/>
        </w:rPr>
        <w:t>PM</w:t>
      </w:r>
      <w:r>
        <w:t> (par défaut) </w:t>
      </w:r>
      <w:r>
        <w:rPr>
          <w:rStyle w:val="optioncarChar"/>
        </w:rPr>
        <w:t>/ QF</w:t>
      </w:r>
    </w:p>
    <w:p w14:paraId="6863D04E" w14:textId="77777777" w:rsidR="00772179" w:rsidRDefault="00000000">
      <w:r>
        <w:rPr>
          <w:b/>
        </w:rPr>
        <w:t>(soit par défaut)</w:t>
      </w:r>
    </w:p>
    <w:p w14:paraId="583B3E11" w14:textId="77777777" w:rsidR="00772179" w:rsidRDefault="00000000">
      <w:r>
        <w:rPr>
          <w:rStyle w:val="soitChar"/>
        </w:rPr>
        <w:t>1. PM</w:t>
      </w:r>
    </w:p>
    <w:p w14:paraId="73C8E412" w14:textId="77777777" w:rsidR="00772179" w:rsidRDefault="00000000">
      <w:r>
        <w:rPr>
          <w:b/>
        </w:rPr>
        <w:t>(soit)</w:t>
      </w:r>
    </w:p>
    <w:p w14:paraId="7CE274D5" w14:textId="77777777" w:rsidR="00772179" w:rsidRDefault="00000000">
      <w:r>
        <w:rPr>
          <w:rStyle w:val="soitChar"/>
        </w:rPr>
        <w:t>2. QF</w:t>
      </w:r>
    </w:p>
    <w:p w14:paraId="16A8F79B" w14:textId="77777777" w:rsidR="00772179" w:rsidRDefault="00000000">
      <w:pPr>
        <w:pStyle w:val="Author-eSectionHeading5Numberless"/>
      </w:pPr>
      <w:bookmarkStart w:id="621" w:name="_Toc220490318"/>
      <w:r>
        <w:t>42.33.2 Eléments de remplissage en panneaux opaques métalliques CCTB 01.02</w:t>
      </w:r>
      <w:bookmarkEnd w:id="621"/>
    </w:p>
    <w:p w14:paraId="6B2FC242" w14:textId="77777777" w:rsidR="00772179" w:rsidRDefault="00000000">
      <w:pPr>
        <w:pStyle w:val="Author-eSectionHeading6Numberless"/>
      </w:pPr>
      <w:bookmarkStart w:id="622" w:name="_Toc220490319"/>
      <w:r>
        <w:t>42.33.2a Eléments de remplissage en panneaux opaques métalliques CCTB 01.11</w:t>
      </w:r>
      <w:bookmarkEnd w:id="622"/>
    </w:p>
    <w:p w14:paraId="223C4CB9" w14:textId="77777777" w:rsidR="00772179" w:rsidRDefault="00000000">
      <w:pPr>
        <w:pStyle w:val="pheading"/>
      </w:pPr>
      <w:r>
        <w:t>MATÉRIAUX</w:t>
      </w:r>
    </w:p>
    <w:p w14:paraId="7E581AA9" w14:textId="77777777" w:rsidR="00772179" w:rsidRDefault="00000000">
      <w:pPr>
        <w:pStyle w:val="pheading"/>
      </w:pPr>
      <w:r>
        <w:t>- Prescriptions complémentaires</w:t>
      </w:r>
    </w:p>
    <w:p w14:paraId="1503D436" w14:textId="77777777" w:rsidR="00772179" w:rsidRDefault="00000000">
      <w:r>
        <w:t xml:space="preserve">Les panneaux de remplissage pour les portes d'entrée sont pourvus d'une fenêtre </w:t>
      </w:r>
      <w:r>
        <w:rPr>
          <w:rStyle w:val="optioncarChar"/>
        </w:rPr>
        <w:t>ronde / carrée  </w:t>
      </w:r>
      <w:r>
        <w:t xml:space="preserve">à double vitrage </w:t>
      </w:r>
      <w:r>
        <w:rPr>
          <w:rStyle w:val="optioncarChar"/>
        </w:rPr>
        <w:t>mat / clair</w:t>
      </w:r>
      <w:r>
        <w:t xml:space="preserve">, située dans le même plan que le panneau, intégrée dans le panneau sans profils périphériques et colmatée avec des silicones incolores. Ø : </w:t>
      </w:r>
      <w:r>
        <w:rPr>
          <w:rStyle w:val="optioncarChar"/>
        </w:rPr>
        <w:t>30 </w:t>
      </w:r>
      <w:r>
        <w:t>cm.</w:t>
      </w:r>
    </w:p>
    <w:p w14:paraId="4EF0D72F" w14:textId="77777777" w:rsidR="00772179" w:rsidRDefault="00000000">
      <w:r>
        <w:lastRenderedPageBreak/>
        <w:t>Les vitrages de portes sont conformes à la norme [NBN S 23-002]. Le verre est feuilleté ou trempé si les dimensions &gt; 0,5m² et si se situe &lt; 1,4m.</w:t>
      </w:r>
    </w:p>
    <w:p w14:paraId="087C0F6D" w14:textId="77777777" w:rsidR="00772179" w:rsidRDefault="00000000">
      <w:r>
        <w:rPr>
          <w:u w:val="single"/>
        </w:rPr>
        <w:t>ISOLATION RAPPORTEE</w:t>
      </w:r>
    </w:p>
    <w:p w14:paraId="1A688AE9" w14:textId="77777777" w:rsidR="00772179" w:rsidRDefault="00000000">
      <w:pPr>
        <w:pStyle w:val="Author-eListParagraph"/>
        <w:numPr>
          <w:ilvl w:val="0"/>
          <w:numId w:val="853"/>
        </w:numPr>
      </w:pPr>
      <w:r>
        <w:t>Une isolation thermique est prévue à l'arrière des plaques.</w:t>
      </w:r>
    </w:p>
    <w:p w14:paraId="37A5DCF8" w14:textId="77777777" w:rsidR="00772179" w:rsidRDefault="00000000">
      <w:pPr>
        <w:pStyle w:val="Author-eListParagraph"/>
        <w:numPr>
          <w:ilvl w:val="0"/>
          <w:numId w:val="853"/>
        </w:numPr>
      </w:pPr>
      <w:r>
        <w:t xml:space="preserve">Matériau : </w:t>
      </w:r>
      <w:r>
        <w:rPr>
          <w:rStyle w:val="optioncarChar"/>
        </w:rPr>
        <w:t>EPS (polystyrène expansé) / XPS (polystyrène extrudé) / PUR (polyuréthane) / MW (laine minérale) / CG (verre cellulaire) / PF (mousse de phénolformaldéhyde (mousse de résol) / PIR (mousse de polyisocyanurate) / ciment de laine de bois / magnésite de laine de bois / au choix de l'entrepreneur </w:t>
      </w:r>
    </w:p>
    <w:p w14:paraId="711AE524" w14:textId="77777777" w:rsidR="00772179" w:rsidRDefault="00000000">
      <w:pPr>
        <w:pStyle w:val="Author-eListParagraph"/>
        <w:numPr>
          <w:ilvl w:val="0"/>
          <w:numId w:val="853"/>
        </w:numPr>
      </w:pPr>
      <w:r>
        <w:t>Mode de pose :</w:t>
      </w:r>
      <w:r>
        <w:rPr>
          <w:rStyle w:val="optioncarChar"/>
        </w:rPr>
        <w:t> en indépendant / collage sur les plaques / sur la structure attenante</w:t>
      </w:r>
    </w:p>
    <w:p w14:paraId="2FD5881F" w14:textId="77777777" w:rsidR="00772179" w:rsidRDefault="00000000">
      <w:pPr>
        <w:pStyle w:val="Author-eListParagraph"/>
        <w:numPr>
          <w:ilvl w:val="0"/>
          <w:numId w:val="853"/>
        </w:numPr>
      </w:pPr>
      <w:r>
        <w:t>Conductivité thermique (valeur λ</w:t>
      </w:r>
      <w:r>
        <w:rPr>
          <w:vertAlign w:val="subscript"/>
        </w:rPr>
        <w:t>d</w:t>
      </w:r>
      <w:r>
        <w:t xml:space="preserve"> ) : ≤ </w:t>
      </w:r>
      <w:r>
        <w:rPr>
          <w:rStyle w:val="optioncarChar"/>
        </w:rPr>
        <w:t xml:space="preserve">*** </w:t>
      </w:r>
      <w:r>
        <w:t>W/mK</w:t>
      </w:r>
    </w:p>
    <w:p w14:paraId="2DD3D26C" w14:textId="77777777" w:rsidR="00772179" w:rsidRDefault="00000000">
      <w:pPr>
        <w:pStyle w:val="Author-eListParagraph"/>
        <w:numPr>
          <w:ilvl w:val="0"/>
          <w:numId w:val="853"/>
        </w:numPr>
      </w:pPr>
      <w:r>
        <w:t>Epaisseur de l'isolation :</w:t>
      </w:r>
      <w:r>
        <w:rPr>
          <w:rStyle w:val="optioncarChar"/>
        </w:rPr>
        <w:t xml:space="preserve"> 20 / 30 / 40 </w:t>
      </w:r>
      <w:r>
        <w:t>mm.</w:t>
      </w:r>
    </w:p>
    <w:p w14:paraId="323C45D0" w14:textId="77777777" w:rsidR="00772179" w:rsidRDefault="00000000">
      <w:pPr>
        <w:pStyle w:val="pheading"/>
      </w:pPr>
      <w:r>
        <w:t>MESURAGE</w:t>
      </w:r>
    </w:p>
    <w:p w14:paraId="4D4F0877" w14:textId="77777777" w:rsidR="00772179" w:rsidRDefault="00000000">
      <w:pPr>
        <w:pStyle w:val="pheading"/>
      </w:pPr>
      <w:r>
        <w:t>- unité de mesure:</w:t>
      </w:r>
    </w:p>
    <w:p w14:paraId="6C049724" w14:textId="77777777" w:rsidR="00772179" w:rsidRDefault="00000000">
      <w:r>
        <w:rPr>
          <w:color w:val="FF0000"/>
        </w:rPr>
        <w:t>-</w:t>
      </w:r>
      <w:r>
        <w:t> (par défaut)</w:t>
      </w:r>
      <w:r>
        <w:rPr>
          <w:rStyle w:val="optioncarChar"/>
        </w:rPr>
        <w:t> / m² </w:t>
      </w:r>
    </w:p>
    <w:p w14:paraId="07273F16" w14:textId="77777777" w:rsidR="00772179" w:rsidRDefault="00000000">
      <w:r>
        <w:rPr>
          <w:b/>
        </w:rPr>
        <w:t>(soit par défaut)</w:t>
      </w:r>
    </w:p>
    <w:p w14:paraId="07ABDDFA" w14:textId="77777777" w:rsidR="00772179" w:rsidRDefault="00000000">
      <w:r>
        <w:rPr>
          <w:rStyle w:val="soitChar"/>
        </w:rPr>
        <w:t>1. -</w:t>
      </w:r>
    </w:p>
    <w:p w14:paraId="676F6F06" w14:textId="77777777" w:rsidR="00772179" w:rsidRDefault="00000000">
      <w:r>
        <w:rPr>
          <w:b/>
        </w:rPr>
        <w:t>(soit)</w:t>
      </w:r>
    </w:p>
    <w:p w14:paraId="390323A7" w14:textId="77777777" w:rsidR="00772179" w:rsidRDefault="00000000">
      <w:r>
        <w:rPr>
          <w:rStyle w:val="soitChar"/>
        </w:rPr>
        <w:t>2. m²</w:t>
      </w:r>
    </w:p>
    <w:p w14:paraId="487B9BC7" w14:textId="77777777" w:rsidR="00772179" w:rsidRDefault="00000000">
      <w:pPr>
        <w:pStyle w:val="pheading"/>
      </w:pPr>
      <w:r>
        <w:t>- code de mesurage:</w:t>
      </w:r>
    </w:p>
    <w:p w14:paraId="49140087" w14:textId="77777777" w:rsidR="00772179" w:rsidRDefault="00000000">
      <w:pPr>
        <w:jc w:val="both"/>
      </w:pPr>
      <w:r>
        <w:rPr>
          <w:rStyle w:val="optioncarChar"/>
        </w:rPr>
        <w:t>prix unitaire global</w:t>
      </w:r>
      <w:r>
        <w:t> (par défaut) </w:t>
      </w:r>
      <w:r>
        <w:rPr>
          <w:rStyle w:val="optioncarChar"/>
        </w:rPr>
        <w:t>/ poste séparé</w:t>
      </w:r>
    </w:p>
    <w:p w14:paraId="1F650FB7" w14:textId="77777777" w:rsidR="00772179" w:rsidRDefault="00000000">
      <w:pPr>
        <w:jc w:val="both"/>
      </w:pPr>
      <w:r>
        <w:rPr>
          <w:b/>
        </w:rPr>
        <w:t>(soit par défaut)</w:t>
      </w:r>
    </w:p>
    <w:p w14:paraId="03189CB3" w14:textId="77777777" w:rsidR="00772179"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624041DD" w14:textId="77777777" w:rsidR="00772179" w:rsidRDefault="00000000">
      <w:pPr>
        <w:jc w:val="both"/>
      </w:pPr>
      <w:r>
        <w:rPr>
          <w:b/>
        </w:rPr>
        <w:t>(soit)</w:t>
      </w:r>
    </w:p>
    <w:p w14:paraId="562B9606" w14:textId="77777777" w:rsidR="00772179"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612753BF" w14:textId="77777777" w:rsidR="00772179" w:rsidRDefault="00000000">
      <w:pPr>
        <w:pStyle w:val="pheading"/>
      </w:pPr>
      <w:r>
        <w:t>- nature du marché:</w:t>
      </w:r>
    </w:p>
    <w:p w14:paraId="3CC4B1FC" w14:textId="77777777" w:rsidR="00772179" w:rsidRDefault="00000000">
      <w:r>
        <w:rPr>
          <w:rStyle w:val="optioncarChar"/>
        </w:rPr>
        <w:t>PM</w:t>
      </w:r>
      <w:r>
        <w:t>  (par défaut) </w:t>
      </w:r>
      <w:r>
        <w:rPr>
          <w:rStyle w:val="optioncarChar"/>
        </w:rPr>
        <w:t>/ QF</w:t>
      </w:r>
    </w:p>
    <w:p w14:paraId="60ECE417" w14:textId="77777777" w:rsidR="00772179" w:rsidRDefault="00000000">
      <w:r>
        <w:rPr>
          <w:b/>
        </w:rPr>
        <w:t>(soit par défaut)</w:t>
      </w:r>
    </w:p>
    <w:p w14:paraId="7AF7347F" w14:textId="77777777" w:rsidR="00772179" w:rsidRDefault="00000000">
      <w:r>
        <w:rPr>
          <w:rStyle w:val="soitChar"/>
        </w:rPr>
        <w:t>1. PM</w:t>
      </w:r>
    </w:p>
    <w:p w14:paraId="78A5ECC9" w14:textId="77777777" w:rsidR="00772179" w:rsidRDefault="00000000">
      <w:r>
        <w:rPr>
          <w:b/>
        </w:rPr>
        <w:t>(soit)</w:t>
      </w:r>
    </w:p>
    <w:p w14:paraId="1079D694" w14:textId="77777777" w:rsidR="00772179" w:rsidRDefault="00000000">
      <w:r>
        <w:rPr>
          <w:rStyle w:val="soitChar"/>
        </w:rPr>
        <w:t>2. QF</w:t>
      </w:r>
    </w:p>
    <w:p w14:paraId="2D29B379" w14:textId="77777777" w:rsidR="00772179" w:rsidRDefault="00000000">
      <w:pPr>
        <w:pStyle w:val="Author-eSectionHeading5Numberless"/>
      </w:pPr>
      <w:bookmarkStart w:id="623" w:name="_Toc220490320"/>
      <w:r>
        <w:t>42.33.3 Eléments de remplissage en panneaux opaques en matière synthétique CCTB 01.02</w:t>
      </w:r>
      <w:bookmarkEnd w:id="623"/>
    </w:p>
    <w:p w14:paraId="33D6FC47" w14:textId="77777777" w:rsidR="00772179" w:rsidRDefault="00000000">
      <w:pPr>
        <w:pStyle w:val="Author-eSectionHeading6Numberless"/>
      </w:pPr>
      <w:bookmarkStart w:id="624" w:name="_Toc220490321"/>
      <w:r>
        <w:t>42.33.3a Eléments de remplissage en panneaux opaques en matière synthétique CCTB 01.11</w:t>
      </w:r>
      <w:bookmarkEnd w:id="624"/>
    </w:p>
    <w:p w14:paraId="59990908" w14:textId="77777777" w:rsidR="00772179" w:rsidRDefault="00000000">
      <w:pPr>
        <w:pStyle w:val="pheading"/>
      </w:pPr>
      <w:r>
        <w:t>MATÉRIAUX</w:t>
      </w:r>
    </w:p>
    <w:p w14:paraId="5EFC5E8E" w14:textId="77777777" w:rsidR="00772179" w:rsidRDefault="00000000">
      <w:pPr>
        <w:pStyle w:val="pheading"/>
      </w:pPr>
      <w:r>
        <w:t>- Caractéristiques générales</w:t>
      </w:r>
    </w:p>
    <w:p w14:paraId="12C467F2" w14:textId="77777777" w:rsidR="00772179" w:rsidRDefault="00000000">
      <w:r>
        <w:lastRenderedPageBreak/>
        <w:t>Les éléments de remplissage se composent de plaques en PVC dur (chlorure de polyvinyle dur). Les plaques sont livrées avec un film de polyéthylène amovible.</w:t>
      </w:r>
    </w:p>
    <w:p w14:paraId="13D47A25" w14:textId="77777777" w:rsidR="00772179" w:rsidRDefault="00000000">
      <w:r>
        <w:t>Les éléments de remplissage en PVC sont conformes aux exigences des Spécifications Techniques [STS 52.3]. </w:t>
      </w:r>
    </w:p>
    <w:p w14:paraId="595E9F01" w14:textId="77777777" w:rsidR="00772179" w:rsidRDefault="00000000">
      <w:r>
        <w:t>Les planchettes en PVC sont conformes à la norme [NBN EN 514].</w:t>
      </w:r>
    </w:p>
    <w:p w14:paraId="1E06C0BB" w14:textId="77777777" w:rsidR="00772179" w:rsidRDefault="00000000">
      <w:pPr>
        <w:pStyle w:val="pheading"/>
      </w:pPr>
      <w:r>
        <w:t>- Finitions</w:t>
      </w:r>
    </w:p>
    <w:p w14:paraId="041C97D6" w14:textId="77777777" w:rsidR="00772179" w:rsidRDefault="00000000">
      <w:pPr>
        <w:pStyle w:val="Author-eListParagraph"/>
        <w:numPr>
          <w:ilvl w:val="0"/>
          <w:numId w:val="854"/>
        </w:numPr>
      </w:pPr>
      <w:r>
        <w:t xml:space="preserve">Epaisseur des plaques : ≥ </w:t>
      </w:r>
      <w:r>
        <w:rPr>
          <w:rStyle w:val="optioncarChar"/>
        </w:rPr>
        <w:t xml:space="preserve">20 / 30 / 40 </w:t>
      </w:r>
      <w:r>
        <w:t>mm.</w:t>
      </w:r>
    </w:p>
    <w:p w14:paraId="57F98E4F" w14:textId="77777777" w:rsidR="00772179" w:rsidRDefault="00000000">
      <w:pPr>
        <w:pStyle w:val="Author-eListParagraph"/>
        <w:numPr>
          <w:ilvl w:val="0"/>
          <w:numId w:val="854"/>
        </w:numPr>
      </w:pPr>
      <w:r>
        <w:t>Type :</w:t>
      </w:r>
      <w:r>
        <w:rPr>
          <w:rStyle w:val="optioncarChar"/>
        </w:rPr>
        <w:t xml:space="preserve"> à simple paroi </w:t>
      </w:r>
    </w:p>
    <w:p w14:paraId="1BD554ED" w14:textId="77777777" w:rsidR="00772179" w:rsidRDefault="00000000">
      <w:pPr>
        <w:pStyle w:val="Author-eListParagraph"/>
        <w:numPr>
          <w:ilvl w:val="0"/>
          <w:numId w:val="854"/>
        </w:numPr>
      </w:pPr>
      <w:r>
        <w:t>Nature des plaques en PVC :</w:t>
      </w:r>
    </w:p>
    <w:p w14:paraId="6227D4F9" w14:textId="77777777" w:rsidR="00772179" w:rsidRDefault="00000000">
      <w:r>
        <w:t xml:space="preserve">extrudées dans une composition de PVC dure </w:t>
      </w:r>
      <w:r>
        <w:rPr>
          <w:rStyle w:val="optioncarChar"/>
        </w:rPr>
        <w:t xml:space="preserve">à base de pâte de granulats blanche </w:t>
      </w:r>
      <w:r>
        <w:t>(par défaut)</w:t>
      </w:r>
      <w:r>
        <w:rPr>
          <w:rStyle w:val="optioncarChar"/>
        </w:rPr>
        <w:t xml:space="preserve"> / de couleur blanche /extrudées dans du PVC à résistance aux chocs élevée</w:t>
      </w:r>
    </w:p>
    <w:p w14:paraId="2D223C3C" w14:textId="77777777" w:rsidR="00772179" w:rsidRDefault="00000000">
      <w:r>
        <w:rPr>
          <w:b/>
        </w:rPr>
        <w:t>(soit par défaut) </w:t>
      </w:r>
      <w:r>
        <w:t xml:space="preserve">: </w:t>
      </w:r>
      <w:r>
        <w:rPr>
          <w:rStyle w:val="soitChar"/>
          <w:u w:val="single"/>
        </w:rPr>
        <w:t>extrudées dans une composition de PVC dure à base de pâte de granulats blanche</w:t>
      </w:r>
      <w:r>
        <w:rPr>
          <w:rStyle w:val="soitChar"/>
        </w:rPr>
        <w:t>, colorée dans la masse</w:t>
      </w:r>
      <w:r>
        <w:br/>
      </w:r>
      <w:r>
        <w:rPr>
          <w:b/>
        </w:rPr>
        <w:t>(soit)</w:t>
      </w:r>
      <w:r>
        <w:t xml:space="preserve"> : </w:t>
      </w:r>
      <w:r>
        <w:rPr>
          <w:rStyle w:val="soitChar"/>
          <w:u w:val="single"/>
        </w:rPr>
        <w:t>extrudées dans une composition de PVC dure de couleur blanche</w:t>
      </w:r>
      <w:r>
        <w:rPr>
          <w:rStyle w:val="soitChar"/>
        </w:rPr>
        <w:t>, référence </w:t>
      </w:r>
      <w:r>
        <w:rPr>
          <w:rStyle w:val="optioncarChar"/>
        </w:rPr>
        <w:t xml:space="preserve">*** </w:t>
      </w:r>
      <w:r>
        <w:br/>
      </w:r>
      <w:r>
        <w:rPr>
          <w:b/>
        </w:rPr>
        <w:t>(soit)</w:t>
      </w:r>
      <w:r>
        <w:t xml:space="preserve"> : </w:t>
      </w:r>
      <w:r>
        <w:rPr>
          <w:rStyle w:val="soitChar"/>
          <w:u w:val="single"/>
        </w:rPr>
        <w:t>extrudées dans du PVC à résistance aux chocs élevée</w:t>
      </w:r>
      <w:r>
        <w:rPr>
          <w:rStyle w:val="soitChar"/>
        </w:rPr>
        <w:t xml:space="preserve"> avec une couche de couleur acrylique PMMA dans la masse; la couleur est extrudée en même temps afin d'obtenir une cohésion homogène entre le PVC et l'acrylique.</w:t>
      </w:r>
    </w:p>
    <w:p w14:paraId="156D933B" w14:textId="77777777" w:rsidR="00772179" w:rsidRDefault="00000000">
      <w:r>
        <w:t>                 ⇒ Epaisseur nominale :</w:t>
      </w:r>
      <w:r>
        <w:rPr>
          <w:rStyle w:val="optioncarChar"/>
        </w:rPr>
        <w:t xml:space="preserve"> 3 / 4 / 5 </w:t>
      </w:r>
      <w:r>
        <w:t>mm.</w:t>
      </w:r>
      <w:r>
        <w:br/>
        <w:t>                 ⇒ Poids spécifique : ≥</w:t>
      </w:r>
      <w:r>
        <w:rPr>
          <w:rStyle w:val="optioncarChar"/>
        </w:rPr>
        <w:t xml:space="preserve"> 1400 </w:t>
      </w:r>
      <w:r>
        <w:t>kg/m³</w:t>
      </w:r>
      <w:r>
        <w:br/>
        <w:t xml:space="preserve">                 ⇒ Coefficient de dilatation linéaire : </w:t>
      </w:r>
      <w:r>
        <w:rPr>
          <w:rStyle w:val="optioncarChar"/>
        </w:rPr>
        <w:t>7 à 9 x 10</w:t>
      </w:r>
      <w:r>
        <w:rPr>
          <w:rStyle w:val="optioncarChar"/>
          <w:vertAlign w:val="superscript"/>
        </w:rPr>
        <w:t>-5</w:t>
      </w:r>
      <w:r>
        <w:t> mm.</w:t>
      </w:r>
      <w:r>
        <w:br/>
        <w:t xml:space="preserve">                 ⇒ Point Vicat sous 5 kg : </w:t>
      </w:r>
      <w:r>
        <w:rPr>
          <w:rStyle w:val="optioncarChar"/>
        </w:rPr>
        <w:t>70</w:t>
      </w:r>
      <w:r>
        <w:t> °C</w:t>
      </w:r>
      <w:r>
        <w:br/>
        <w:t>                 ⇒ Couleur :</w:t>
      </w:r>
      <w:r>
        <w:rPr>
          <w:rStyle w:val="optioncarChar"/>
        </w:rPr>
        <w:t> identique à celles des profilés de fenêtre / choisie par l'auteur de projet dans  la gamme complète du fabricant</w:t>
      </w:r>
      <w:r>
        <w:t xml:space="preserve">. Couleur RAL n° . </w:t>
      </w:r>
      <w:r>
        <w:rPr>
          <w:rStyle w:val="optioncarChar"/>
        </w:rPr>
        <w:t>***</w:t>
      </w:r>
      <w:r>
        <w:br/>
        <w:t>                 ⇒ Brillance :</w:t>
      </w:r>
      <w:r>
        <w:rPr>
          <w:rStyle w:val="optioncarChar"/>
        </w:rPr>
        <w:t> mat / brillant</w:t>
      </w:r>
    </w:p>
    <w:p w14:paraId="27B5F236" w14:textId="77777777" w:rsidR="00772179" w:rsidRDefault="00000000">
      <w:pPr>
        <w:pStyle w:val="pheading"/>
      </w:pPr>
      <w:r>
        <w:t>- Prescriptions complémentaires</w:t>
      </w:r>
    </w:p>
    <w:p w14:paraId="0A19C8CD" w14:textId="77777777" w:rsidR="00772179" w:rsidRDefault="00000000">
      <w:r>
        <w:t xml:space="preserve">Les panneaux de remplissage pour les portes d'entrée sont pourvus d'une fenêtre </w:t>
      </w:r>
      <w:r>
        <w:rPr>
          <w:rStyle w:val="optioncarChar"/>
        </w:rPr>
        <w:t>ronde</w:t>
      </w:r>
      <w:r>
        <w:t xml:space="preserve"> à double vitrage, située dans le même plan que le panneau, intégrée dans le panneau sans profils périphériques et colmatée avec des silicones incolores. Ø : </w:t>
      </w:r>
      <w:r>
        <w:rPr>
          <w:rStyle w:val="optioncarChar"/>
        </w:rPr>
        <w:t xml:space="preserve">30 </w:t>
      </w:r>
      <w:r>
        <w:t>cm. </w:t>
      </w:r>
    </w:p>
    <w:p w14:paraId="1A392961" w14:textId="77777777" w:rsidR="00772179" w:rsidRDefault="00000000">
      <w:r>
        <w:rPr>
          <w:u w:val="single"/>
        </w:rPr>
        <w:t>ISOLATION RAPPORTEE</w:t>
      </w:r>
    </w:p>
    <w:p w14:paraId="1DF53DF7" w14:textId="77777777" w:rsidR="00772179" w:rsidRDefault="00000000">
      <w:pPr>
        <w:pStyle w:val="Author-eListParagraph"/>
        <w:numPr>
          <w:ilvl w:val="0"/>
          <w:numId w:val="855"/>
        </w:numPr>
      </w:pPr>
      <w:r>
        <w:t>Une isolation thermique est prévue à l'arrière des plaques.</w:t>
      </w:r>
    </w:p>
    <w:p w14:paraId="6456EA65" w14:textId="77777777" w:rsidR="00772179" w:rsidRDefault="00000000">
      <w:pPr>
        <w:pStyle w:val="Author-eListParagraph"/>
        <w:numPr>
          <w:ilvl w:val="0"/>
          <w:numId w:val="855"/>
        </w:numPr>
      </w:pPr>
      <w:r>
        <w:t xml:space="preserve">Matériau : </w:t>
      </w:r>
      <w:r>
        <w:rPr>
          <w:rStyle w:val="optioncarChar"/>
        </w:rPr>
        <w:t>EPS (polystyrène expansé) / XPS (polystyrène extrudé) / PUR (polyuréthane) / MW (laine minérale) / CG (verre cellulaire) / PF (mousse de phénolformaldéhyde (mousse de résol) / PIR (mousse de polyisocyanurate) / ciment de laine de bois / magnésite de laine de bois / au choix de l'entrepreneur </w:t>
      </w:r>
    </w:p>
    <w:p w14:paraId="756B1156" w14:textId="77777777" w:rsidR="00772179" w:rsidRDefault="00000000">
      <w:pPr>
        <w:pStyle w:val="Author-eListParagraph"/>
        <w:numPr>
          <w:ilvl w:val="0"/>
          <w:numId w:val="855"/>
        </w:numPr>
      </w:pPr>
      <w:r>
        <w:t>Mode de pose :</w:t>
      </w:r>
      <w:r>
        <w:rPr>
          <w:rStyle w:val="optioncarChar"/>
        </w:rPr>
        <w:t> en indépendant / collage sur les plaques / sur la structure attenante</w:t>
      </w:r>
    </w:p>
    <w:p w14:paraId="2784F89E" w14:textId="77777777" w:rsidR="00772179" w:rsidRDefault="00000000">
      <w:pPr>
        <w:pStyle w:val="Author-eListParagraph"/>
        <w:numPr>
          <w:ilvl w:val="0"/>
          <w:numId w:val="855"/>
        </w:numPr>
      </w:pPr>
      <w:r>
        <w:t>Conductivité thermique (valeur λ</w:t>
      </w:r>
      <w:r>
        <w:rPr>
          <w:vertAlign w:val="subscript"/>
        </w:rPr>
        <w:t>d</w:t>
      </w:r>
      <w:r>
        <w:t xml:space="preserve"> ) : ≤ </w:t>
      </w:r>
      <w:r>
        <w:rPr>
          <w:rStyle w:val="optioncarChar"/>
        </w:rPr>
        <w:t xml:space="preserve">*** </w:t>
      </w:r>
      <w:r>
        <w:t>W/mK</w:t>
      </w:r>
    </w:p>
    <w:p w14:paraId="3342A04A" w14:textId="77777777" w:rsidR="00772179" w:rsidRDefault="00000000">
      <w:pPr>
        <w:pStyle w:val="Author-eListParagraph"/>
        <w:numPr>
          <w:ilvl w:val="0"/>
          <w:numId w:val="855"/>
        </w:numPr>
      </w:pPr>
      <w:r>
        <w:t>Epaisseur de l'isolation :</w:t>
      </w:r>
      <w:r>
        <w:rPr>
          <w:rStyle w:val="optioncarChar"/>
        </w:rPr>
        <w:t xml:space="preserve"> 20 / 30 / 40 </w:t>
      </w:r>
      <w:r>
        <w:t>mm.</w:t>
      </w:r>
    </w:p>
    <w:p w14:paraId="1E0BF706" w14:textId="77777777" w:rsidR="00772179" w:rsidRDefault="00000000">
      <w:pPr>
        <w:pStyle w:val="pheading"/>
      </w:pPr>
      <w:r>
        <w:t>EXÉCUTION / MISE EN ŒUVRE</w:t>
      </w:r>
    </w:p>
    <w:p w14:paraId="4C10673D" w14:textId="77777777" w:rsidR="00772179" w:rsidRDefault="00000000">
      <w:pPr>
        <w:pStyle w:val="pheading"/>
      </w:pPr>
      <w:r>
        <w:t>- Prescriptions générales</w:t>
      </w:r>
    </w:p>
    <w:p w14:paraId="2C5562A2" w14:textId="77777777" w:rsidR="00772179" w:rsidRDefault="00000000">
      <w:pPr>
        <w:pStyle w:val="Author-eListParagraph"/>
        <w:numPr>
          <w:ilvl w:val="0"/>
          <w:numId w:val="856"/>
        </w:numPr>
      </w:pPr>
      <w:r>
        <w:t xml:space="preserve">Les éléments de remplissage sont placés sous vitrage </w:t>
      </w:r>
      <w:r>
        <w:rPr>
          <w:rStyle w:val="optioncarChar"/>
        </w:rPr>
        <w:t xml:space="preserve">comprimé / semi-comprimé / non-comprimé </w:t>
      </w:r>
      <w:r>
        <w:t>.</w:t>
      </w:r>
    </w:p>
    <w:p w14:paraId="62B5A1AA" w14:textId="77777777" w:rsidR="00772179" w:rsidRDefault="00000000">
      <w:pPr>
        <w:pStyle w:val="Author-eListParagraph"/>
        <w:numPr>
          <w:ilvl w:val="0"/>
          <w:numId w:val="856"/>
        </w:numPr>
      </w:pPr>
      <w:r>
        <w:t xml:space="preserve">Les éléments de remplissage sont placés dans un système </w:t>
      </w:r>
      <w:r>
        <w:rPr>
          <w:rStyle w:val="optioncarChar"/>
        </w:rPr>
        <w:t xml:space="preserve">ouvert / fermé </w:t>
      </w:r>
      <w:r>
        <w:t>.</w:t>
      </w:r>
    </w:p>
    <w:p w14:paraId="6D07D52A" w14:textId="77777777" w:rsidR="00772179" w:rsidRDefault="00000000">
      <w:pPr>
        <w:pStyle w:val="Author-eListParagraph"/>
        <w:numPr>
          <w:ilvl w:val="0"/>
          <w:numId w:val="856"/>
        </w:numPr>
      </w:pPr>
      <w:r>
        <w:t>Pour une obtenir un trait de scie sans ébarbures lors du sciage du PVC, deux modes d'exécution sont applicables : à la main (scie à lame et dents très minces) ou mécaniquement (scie circulaire à une vitesse maximale de 2500 tours/min - disque à dents très petites ou un disque au corborandum).</w:t>
      </w:r>
    </w:p>
    <w:p w14:paraId="6089A75D" w14:textId="77777777" w:rsidR="00772179" w:rsidRDefault="00000000">
      <w:r>
        <w:t>Les vitrages de portes sont conformes à la norme [NBN S 23-002]. Le verre est feuilleté ou trempé si les dimensions &gt; 0,5 m² et si &lt; 1,4 m.</w:t>
      </w:r>
    </w:p>
    <w:p w14:paraId="1BE68569" w14:textId="77777777" w:rsidR="00772179" w:rsidRDefault="00000000">
      <w:pPr>
        <w:pStyle w:val="pheading"/>
      </w:pPr>
      <w:r>
        <w:lastRenderedPageBreak/>
        <w:t>MESURAGE</w:t>
      </w:r>
    </w:p>
    <w:p w14:paraId="7598D2D3" w14:textId="77777777" w:rsidR="00772179" w:rsidRDefault="00000000">
      <w:pPr>
        <w:pStyle w:val="pheading"/>
      </w:pPr>
      <w:r>
        <w:t>- unité de mesure:</w:t>
      </w:r>
    </w:p>
    <w:p w14:paraId="02DCE603" w14:textId="77777777" w:rsidR="00772179" w:rsidRDefault="00000000">
      <w:r>
        <w:rPr>
          <w:color w:val="FF0000"/>
        </w:rPr>
        <w:t>-</w:t>
      </w:r>
      <w:r>
        <w:t> (par défaut)</w:t>
      </w:r>
      <w:r>
        <w:rPr>
          <w:rStyle w:val="optioncarChar"/>
        </w:rPr>
        <w:t> / m² </w:t>
      </w:r>
    </w:p>
    <w:p w14:paraId="6F70B038" w14:textId="77777777" w:rsidR="00772179" w:rsidRDefault="00000000">
      <w:r>
        <w:rPr>
          <w:b/>
        </w:rPr>
        <w:t>(soit par défaut)</w:t>
      </w:r>
    </w:p>
    <w:p w14:paraId="512537DA" w14:textId="77777777" w:rsidR="00772179" w:rsidRDefault="00000000">
      <w:r>
        <w:rPr>
          <w:rStyle w:val="soitChar"/>
        </w:rPr>
        <w:t>1. -</w:t>
      </w:r>
    </w:p>
    <w:p w14:paraId="1BDC7925" w14:textId="77777777" w:rsidR="00772179" w:rsidRDefault="00000000">
      <w:r>
        <w:rPr>
          <w:b/>
        </w:rPr>
        <w:t>(soit)</w:t>
      </w:r>
    </w:p>
    <w:p w14:paraId="742036D6" w14:textId="77777777" w:rsidR="00772179" w:rsidRDefault="00000000">
      <w:r>
        <w:rPr>
          <w:rStyle w:val="soitChar"/>
        </w:rPr>
        <w:t>2. m²</w:t>
      </w:r>
    </w:p>
    <w:p w14:paraId="12E4AB01" w14:textId="77777777" w:rsidR="00772179" w:rsidRDefault="00000000">
      <w:pPr>
        <w:pStyle w:val="pheading"/>
      </w:pPr>
      <w:r>
        <w:t>- code de mesurage:</w:t>
      </w:r>
    </w:p>
    <w:p w14:paraId="6980F132" w14:textId="77777777" w:rsidR="00772179" w:rsidRDefault="00000000">
      <w:pPr>
        <w:jc w:val="both"/>
      </w:pPr>
      <w:r>
        <w:rPr>
          <w:rStyle w:val="optioncarChar"/>
        </w:rPr>
        <w:t>prix unitaire global</w:t>
      </w:r>
      <w:r>
        <w:t> (par défaut) </w:t>
      </w:r>
      <w:r>
        <w:rPr>
          <w:rStyle w:val="optioncarChar"/>
        </w:rPr>
        <w:t>/ poste séparé</w:t>
      </w:r>
    </w:p>
    <w:p w14:paraId="12B1EEF9" w14:textId="77777777" w:rsidR="00772179" w:rsidRDefault="00000000">
      <w:pPr>
        <w:jc w:val="both"/>
      </w:pPr>
      <w:r>
        <w:rPr>
          <w:b/>
        </w:rPr>
        <w:t>(soit par défaut)</w:t>
      </w:r>
    </w:p>
    <w:p w14:paraId="4F2977D6" w14:textId="77777777" w:rsidR="00772179"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04E71B1F" w14:textId="77777777" w:rsidR="00772179" w:rsidRDefault="00000000">
      <w:pPr>
        <w:jc w:val="both"/>
      </w:pPr>
      <w:r>
        <w:rPr>
          <w:b/>
        </w:rPr>
        <w:t>(soit)</w:t>
      </w:r>
    </w:p>
    <w:p w14:paraId="31082797" w14:textId="77777777" w:rsidR="00772179"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20E38F98" w14:textId="77777777" w:rsidR="00772179" w:rsidRDefault="00000000">
      <w:pPr>
        <w:pStyle w:val="pheading"/>
      </w:pPr>
      <w:r>
        <w:t>- nature du marché:</w:t>
      </w:r>
    </w:p>
    <w:p w14:paraId="5508757C" w14:textId="77777777" w:rsidR="00772179" w:rsidRDefault="00000000">
      <w:r>
        <w:rPr>
          <w:rStyle w:val="optioncarChar"/>
        </w:rPr>
        <w:t> PM</w:t>
      </w:r>
      <w:r>
        <w:t>  (par défaut) </w:t>
      </w:r>
      <w:r>
        <w:rPr>
          <w:rStyle w:val="optioncarChar"/>
        </w:rPr>
        <w:t>/ QF</w:t>
      </w:r>
    </w:p>
    <w:p w14:paraId="409009E3" w14:textId="77777777" w:rsidR="00772179" w:rsidRDefault="00000000">
      <w:r>
        <w:rPr>
          <w:b/>
        </w:rPr>
        <w:t>(soit par défaut)</w:t>
      </w:r>
    </w:p>
    <w:p w14:paraId="70D81C42" w14:textId="77777777" w:rsidR="00772179" w:rsidRDefault="00000000">
      <w:r>
        <w:rPr>
          <w:rStyle w:val="soitChar"/>
        </w:rPr>
        <w:t>1. PM</w:t>
      </w:r>
    </w:p>
    <w:p w14:paraId="2DC1052A" w14:textId="77777777" w:rsidR="00772179" w:rsidRDefault="00000000">
      <w:r>
        <w:rPr>
          <w:b/>
        </w:rPr>
        <w:t>(soit)</w:t>
      </w:r>
    </w:p>
    <w:p w14:paraId="60EFF964" w14:textId="77777777" w:rsidR="00772179" w:rsidRDefault="00000000">
      <w:r>
        <w:rPr>
          <w:rStyle w:val="soitChar"/>
        </w:rPr>
        <w:t>2. QF</w:t>
      </w:r>
    </w:p>
    <w:p w14:paraId="713F6910" w14:textId="77777777" w:rsidR="00772179" w:rsidRDefault="00000000">
      <w:pPr>
        <w:pStyle w:val="Author-eSectionHeading5Numberless"/>
      </w:pPr>
      <w:bookmarkStart w:id="625" w:name="_Toc220490322"/>
      <w:r>
        <w:t>42.33.4 Eléments de remplissage en panneaux opaques en fibres ciment CCTB 01.02</w:t>
      </w:r>
      <w:bookmarkEnd w:id="625"/>
    </w:p>
    <w:p w14:paraId="28AE6EB2" w14:textId="77777777" w:rsidR="00772179" w:rsidRDefault="00000000">
      <w:pPr>
        <w:pStyle w:val="Author-eSectionHeading6Numberless"/>
      </w:pPr>
      <w:bookmarkStart w:id="626" w:name="_Toc220490323"/>
      <w:r>
        <w:t>42.33.4a Eléments de remplissage en panneaux opaques en fibres ciment CCTB 01.11</w:t>
      </w:r>
      <w:bookmarkEnd w:id="626"/>
    </w:p>
    <w:p w14:paraId="46D95B16" w14:textId="77777777" w:rsidR="00772179" w:rsidRDefault="00000000">
      <w:pPr>
        <w:pStyle w:val="pheading"/>
      </w:pPr>
      <w:r>
        <w:t>MATÉRIAUX</w:t>
      </w:r>
    </w:p>
    <w:p w14:paraId="1B882C38" w14:textId="77777777" w:rsidR="00772179" w:rsidRDefault="00000000">
      <w:pPr>
        <w:pStyle w:val="pheading"/>
      </w:pPr>
      <w:r>
        <w:t>- Caractéristiques générales</w:t>
      </w:r>
    </w:p>
    <w:p w14:paraId="52150FEC" w14:textId="77777777" w:rsidR="00772179" w:rsidRDefault="00000000">
      <w:r>
        <w:t>Les éléments de remplissage sont des panneaux double face avec une plaque extérieure en fibres-ciment.</w:t>
      </w:r>
    </w:p>
    <w:p w14:paraId="0D10B7B0" w14:textId="77777777" w:rsidR="00772179" w:rsidRDefault="00000000">
      <w:r>
        <w:t>Les plaques en fibres-ciment sont conformes à la norme [NBN EN 12467:2012+A2].</w:t>
      </w:r>
    </w:p>
    <w:p w14:paraId="5563A471" w14:textId="77777777" w:rsidR="00772179" w:rsidRDefault="00000000">
      <w:r>
        <w:t xml:space="preserve">Plaque intérieure : </w:t>
      </w:r>
      <w:r>
        <w:rPr>
          <w:rStyle w:val="optioncarChar"/>
        </w:rPr>
        <w:t>fibres-ciment / aluminium / bois / contreplaqué avec placage / isolation.</w:t>
      </w:r>
      <w:r>
        <w:t>  </w:t>
      </w:r>
    </w:p>
    <w:p w14:paraId="6AA86428" w14:textId="77777777" w:rsidR="00772179" w:rsidRDefault="00000000">
      <w:r>
        <w:t>En cas d'isolation rapportée à l'arrière des plaques</w:t>
      </w:r>
    </w:p>
    <w:p w14:paraId="59173BF4" w14:textId="77777777" w:rsidR="00772179" w:rsidRDefault="00000000">
      <w:pPr>
        <w:pStyle w:val="Author-eListParagraph"/>
        <w:numPr>
          <w:ilvl w:val="0"/>
          <w:numId w:val="857"/>
        </w:numPr>
      </w:pPr>
      <w:r>
        <w:t xml:space="preserve">Matériau : </w:t>
      </w:r>
      <w:r>
        <w:rPr>
          <w:rStyle w:val="optioncarChar"/>
        </w:rPr>
        <w:t>EPS (polystyrène expansé) / XPS (polystyrène extrudé) / PUR (polyuréthane) / MW (laine minérale) / CG (verre cellulaire) / PF (mousse de phénolformaldéhyde (mousse de résol) / PIR (mousse de polyisocyanurate) / ciment de laine de bois / magnésite de laine de bois / au choix de l'entrepreneur </w:t>
      </w:r>
    </w:p>
    <w:p w14:paraId="6B63EF48" w14:textId="77777777" w:rsidR="00772179" w:rsidRDefault="00000000">
      <w:pPr>
        <w:pStyle w:val="Author-eListParagraph"/>
        <w:numPr>
          <w:ilvl w:val="0"/>
          <w:numId w:val="857"/>
        </w:numPr>
      </w:pPr>
      <w:r>
        <w:t>Mode de pose :</w:t>
      </w:r>
      <w:r>
        <w:rPr>
          <w:rStyle w:val="optioncarChar"/>
        </w:rPr>
        <w:t> en indépendant / collage sur les plaques / sur la structure attenante</w:t>
      </w:r>
    </w:p>
    <w:p w14:paraId="73DF8FB8" w14:textId="77777777" w:rsidR="00772179" w:rsidRDefault="00000000">
      <w:pPr>
        <w:pStyle w:val="Author-eListParagraph"/>
        <w:numPr>
          <w:ilvl w:val="0"/>
          <w:numId w:val="857"/>
        </w:numPr>
      </w:pPr>
      <w:r>
        <w:lastRenderedPageBreak/>
        <w:t>Conductivité thermique (valeur λ</w:t>
      </w:r>
      <w:r>
        <w:rPr>
          <w:vertAlign w:val="subscript"/>
        </w:rPr>
        <w:t>d</w:t>
      </w:r>
      <w:r>
        <w:t xml:space="preserve"> ) : ≤ </w:t>
      </w:r>
      <w:r>
        <w:rPr>
          <w:rStyle w:val="optioncarChar"/>
        </w:rPr>
        <w:t xml:space="preserve">*** </w:t>
      </w:r>
      <w:r>
        <w:t>W/mK</w:t>
      </w:r>
    </w:p>
    <w:p w14:paraId="62997BB4" w14:textId="77777777" w:rsidR="00772179" w:rsidRDefault="00000000">
      <w:pPr>
        <w:pStyle w:val="Author-eListParagraph"/>
        <w:numPr>
          <w:ilvl w:val="0"/>
          <w:numId w:val="857"/>
        </w:numPr>
      </w:pPr>
      <w:r>
        <w:t>Epaisseur de l'isolation :</w:t>
      </w:r>
      <w:r>
        <w:rPr>
          <w:rStyle w:val="optioncarChar"/>
        </w:rPr>
        <w:t xml:space="preserve"> 20 / 30 / 40 </w:t>
      </w:r>
      <w:r>
        <w:t>mm.</w:t>
      </w:r>
    </w:p>
    <w:p w14:paraId="352B9DF4" w14:textId="77777777" w:rsidR="00772179" w:rsidRDefault="00000000">
      <w:pPr>
        <w:pStyle w:val="pheading"/>
      </w:pPr>
      <w:r>
        <w:t>- Finitions</w:t>
      </w:r>
    </w:p>
    <w:p w14:paraId="65577341" w14:textId="77777777" w:rsidR="00772179" w:rsidRDefault="00000000">
      <w:pPr>
        <w:pStyle w:val="Author-eListParagraph"/>
        <w:numPr>
          <w:ilvl w:val="0"/>
          <w:numId w:val="858"/>
        </w:numPr>
      </w:pPr>
      <w:r>
        <w:t xml:space="preserve">Epaisseur des plaques : ≥ </w:t>
      </w:r>
      <w:r>
        <w:rPr>
          <w:rStyle w:val="optioncarChar"/>
        </w:rPr>
        <w:t xml:space="preserve">20 / 30 / 40 </w:t>
      </w:r>
      <w:r>
        <w:t>mm</w:t>
      </w:r>
    </w:p>
    <w:p w14:paraId="66ED67BE" w14:textId="77777777" w:rsidR="00772179" w:rsidRDefault="00000000">
      <w:pPr>
        <w:pStyle w:val="Author-eListParagraph"/>
        <w:numPr>
          <w:ilvl w:val="0"/>
          <w:numId w:val="858"/>
        </w:numPr>
      </w:pPr>
      <w:r>
        <w:t>Nature des plaques de fibres-ciment :</w:t>
      </w:r>
    </w:p>
    <w:p w14:paraId="3CB1C9C7" w14:textId="77777777" w:rsidR="00772179" w:rsidRDefault="00000000">
      <w:pPr>
        <w:ind w:left="900"/>
      </w:pPr>
      <w:r>
        <w:t xml:space="preserve">⇒ Épaisseur nominale : ≥ </w:t>
      </w:r>
      <w:r>
        <w:rPr>
          <w:rStyle w:val="optioncarChar"/>
        </w:rPr>
        <w:t xml:space="preserve">3 / 4 / 5 </w:t>
      </w:r>
      <w:r>
        <w:t>mm</w:t>
      </w:r>
    </w:p>
    <w:p w14:paraId="0B96A466" w14:textId="77777777" w:rsidR="00772179" w:rsidRDefault="00000000">
      <w:pPr>
        <w:ind w:left="900"/>
      </w:pPr>
      <w:r>
        <w:t xml:space="preserve">⇒ Couleur : </w:t>
      </w:r>
      <w:r>
        <w:rPr>
          <w:rStyle w:val="optioncarChar"/>
        </w:rPr>
        <w:t xml:space="preserve">à choisir dans la gamme de couleurs standard du fabricant / *** </w:t>
      </w:r>
      <w:r>
        <w:t>RAL :</w:t>
      </w:r>
      <w:r>
        <w:rPr>
          <w:rStyle w:val="optioncarChar"/>
        </w:rPr>
        <w:t xml:space="preserve"> ***</w:t>
      </w:r>
    </w:p>
    <w:p w14:paraId="2D2D8D03" w14:textId="77777777" w:rsidR="00772179" w:rsidRDefault="00000000">
      <w:pPr>
        <w:pStyle w:val="pheading"/>
      </w:pPr>
      <w:r>
        <w:t>EXÉCUTION / MISE EN ŒUVRE</w:t>
      </w:r>
    </w:p>
    <w:p w14:paraId="47876928" w14:textId="77777777" w:rsidR="00772179" w:rsidRDefault="00000000">
      <w:pPr>
        <w:pStyle w:val="pheading"/>
      </w:pPr>
      <w:r>
        <w:t>- Prescriptions générales</w:t>
      </w:r>
    </w:p>
    <w:p w14:paraId="30D9FECC" w14:textId="77777777" w:rsidR="00772179" w:rsidRDefault="00000000">
      <w:pPr>
        <w:pStyle w:val="Author-eListParagraph"/>
        <w:numPr>
          <w:ilvl w:val="0"/>
          <w:numId w:val="859"/>
        </w:numPr>
      </w:pPr>
      <w:r>
        <w:t xml:space="preserve">Les éléments de remplissage sont placés sous vitrage </w:t>
      </w:r>
      <w:r>
        <w:rPr>
          <w:rStyle w:val="optioncarChar"/>
        </w:rPr>
        <w:t xml:space="preserve">comprimé / semi-comprimé / non-comprimé </w:t>
      </w:r>
      <w:r>
        <w:t>.</w:t>
      </w:r>
    </w:p>
    <w:p w14:paraId="361094BA" w14:textId="77777777" w:rsidR="00772179" w:rsidRDefault="00000000">
      <w:pPr>
        <w:pStyle w:val="Author-eListParagraph"/>
        <w:numPr>
          <w:ilvl w:val="0"/>
          <w:numId w:val="859"/>
        </w:numPr>
      </w:pPr>
      <w:r>
        <w:t xml:space="preserve">Les éléments de remplissage sont placés dans un système </w:t>
      </w:r>
      <w:r>
        <w:rPr>
          <w:rStyle w:val="optioncarChar"/>
        </w:rPr>
        <w:t xml:space="preserve">ouvert / fermé . </w:t>
      </w:r>
    </w:p>
    <w:p w14:paraId="35267B63" w14:textId="77777777" w:rsidR="00772179" w:rsidRDefault="00000000">
      <w:r>
        <w:t>Les vitrages de portes sont conformes à la norme [NBN S 23-002]. Le verre est feuilleté ou trempé si les dimensions &gt; 0,5m² et si &gt; 1,4m.</w:t>
      </w:r>
    </w:p>
    <w:p w14:paraId="20585A4F" w14:textId="77777777" w:rsidR="00772179" w:rsidRDefault="00000000">
      <w:pPr>
        <w:pStyle w:val="pheading"/>
      </w:pPr>
      <w:r>
        <w:t>MESURAGE</w:t>
      </w:r>
    </w:p>
    <w:p w14:paraId="788D5E44" w14:textId="77777777" w:rsidR="00772179" w:rsidRDefault="00000000">
      <w:pPr>
        <w:pStyle w:val="pheading"/>
      </w:pPr>
      <w:r>
        <w:t>- unité de mesure:</w:t>
      </w:r>
    </w:p>
    <w:p w14:paraId="6266412D" w14:textId="77777777" w:rsidR="00772179" w:rsidRDefault="00000000">
      <w:r>
        <w:rPr>
          <w:color w:val="FF0000"/>
        </w:rPr>
        <w:t>-</w:t>
      </w:r>
      <w:r>
        <w:t> (par défaut)</w:t>
      </w:r>
      <w:r>
        <w:rPr>
          <w:rStyle w:val="optioncarChar"/>
        </w:rPr>
        <w:t> / m² </w:t>
      </w:r>
    </w:p>
    <w:p w14:paraId="07DF3989" w14:textId="77777777" w:rsidR="00772179" w:rsidRDefault="00000000">
      <w:r>
        <w:rPr>
          <w:b/>
        </w:rPr>
        <w:t>(soit par défaut)</w:t>
      </w:r>
    </w:p>
    <w:p w14:paraId="19AEFC9C" w14:textId="77777777" w:rsidR="00772179" w:rsidRDefault="00000000">
      <w:r>
        <w:rPr>
          <w:rStyle w:val="soitChar"/>
        </w:rPr>
        <w:t>1. -</w:t>
      </w:r>
    </w:p>
    <w:p w14:paraId="691DBD38" w14:textId="77777777" w:rsidR="00772179" w:rsidRDefault="00000000">
      <w:r>
        <w:rPr>
          <w:b/>
        </w:rPr>
        <w:t>(soit)</w:t>
      </w:r>
    </w:p>
    <w:p w14:paraId="34F0F14D" w14:textId="77777777" w:rsidR="00772179" w:rsidRDefault="00000000">
      <w:r>
        <w:rPr>
          <w:rStyle w:val="soitChar"/>
        </w:rPr>
        <w:t>2. m²</w:t>
      </w:r>
    </w:p>
    <w:p w14:paraId="1A65D64A" w14:textId="77777777" w:rsidR="00772179" w:rsidRDefault="00000000">
      <w:pPr>
        <w:pStyle w:val="pheading"/>
      </w:pPr>
      <w:r>
        <w:t>- code de mesurage:</w:t>
      </w:r>
    </w:p>
    <w:p w14:paraId="4FDA9B04" w14:textId="77777777" w:rsidR="00772179" w:rsidRDefault="00000000">
      <w:pPr>
        <w:jc w:val="both"/>
      </w:pPr>
      <w:r>
        <w:rPr>
          <w:rStyle w:val="optioncarChar"/>
        </w:rPr>
        <w:t>prix unitaire global</w:t>
      </w:r>
      <w:r>
        <w:t> (par défaut) </w:t>
      </w:r>
      <w:r>
        <w:rPr>
          <w:rStyle w:val="optioncarChar"/>
        </w:rPr>
        <w:t>/ poste séparé</w:t>
      </w:r>
    </w:p>
    <w:p w14:paraId="1079C2E5" w14:textId="77777777" w:rsidR="00772179" w:rsidRDefault="00000000">
      <w:pPr>
        <w:jc w:val="both"/>
      </w:pPr>
      <w:r>
        <w:rPr>
          <w:b/>
        </w:rPr>
        <w:t>(soit par défaut)</w:t>
      </w:r>
    </w:p>
    <w:p w14:paraId="2A3687E3" w14:textId="77777777" w:rsidR="00772179"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0907C7E4" w14:textId="77777777" w:rsidR="00772179" w:rsidRDefault="00000000">
      <w:pPr>
        <w:jc w:val="both"/>
      </w:pPr>
      <w:r>
        <w:rPr>
          <w:b/>
        </w:rPr>
        <w:t>(soit)</w:t>
      </w:r>
    </w:p>
    <w:p w14:paraId="0A8C20B1" w14:textId="77777777" w:rsidR="00772179"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3CCED5E1" w14:textId="77777777" w:rsidR="00772179" w:rsidRDefault="00000000">
      <w:pPr>
        <w:pStyle w:val="pheading"/>
      </w:pPr>
      <w:r>
        <w:t>- nature du marché:</w:t>
      </w:r>
    </w:p>
    <w:p w14:paraId="65EFFFB0" w14:textId="77777777" w:rsidR="00772179" w:rsidRDefault="00000000">
      <w:r>
        <w:rPr>
          <w:rStyle w:val="optioncarChar"/>
        </w:rPr>
        <w:t>PM</w:t>
      </w:r>
      <w:r>
        <w:t xml:space="preserve"> (par défaut) </w:t>
      </w:r>
      <w:r>
        <w:rPr>
          <w:rStyle w:val="optioncarChar"/>
        </w:rPr>
        <w:t>/ QF</w:t>
      </w:r>
    </w:p>
    <w:p w14:paraId="4330F2CE" w14:textId="77777777" w:rsidR="00772179" w:rsidRDefault="00000000">
      <w:r>
        <w:rPr>
          <w:b/>
        </w:rPr>
        <w:t>(soit par défaut)</w:t>
      </w:r>
    </w:p>
    <w:p w14:paraId="47DFA9F1" w14:textId="77777777" w:rsidR="00772179" w:rsidRDefault="00000000">
      <w:r>
        <w:rPr>
          <w:rStyle w:val="soitChar"/>
        </w:rPr>
        <w:t>1. PM</w:t>
      </w:r>
    </w:p>
    <w:p w14:paraId="6A876BF9" w14:textId="77777777" w:rsidR="00772179" w:rsidRDefault="00000000">
      <w:r>
        <w:rPr>
          <w:b/>
        </w:rPr>
        <w:t>(soit)</w:t>
      </w:r>
    </w:p>
    <w:p w14:paraId="68461F19" w14:textId="77777777" w:rsidR="00772179" w:rsidRDefault="00000000">
      <w:r>
        <w:rPr>
          <w:rStyle w:val="soitChar"/>
        </w:rPr>
        <w:t>2. QF</w:t>
      </w:r>
    </w:p>
    <w:p w14:paraId="6523F4A5" w14:textId="77777777" w:rsidR="00772179" w:rsidRDefault="00000000">
      <w:pPr>
        <w:pStyle w:val="Author-eSectionHeading4Numberless"/>
      </w:pPr>
      <w:bookmarkStart w:id="627" w:name="_Toc220490324"/>
      <w:r>
        <w:t>42.34 Eléments de remplissage en panneaux sandwichs CCTB 01.10</w:t>
      </w:r>
      <w:bookmarkEnd w:id="627"/>
    </w:p>
    <w:p w14:paraId="2F6D53BB" w14:textId="77777777" w:rsidR="00772179" w:rsidRDefault="00000000">
      <w:pPr>
        <w:pStyle w:val="pheading"/>
      </w:pPr>
      <w:r>
        <w:lastRenderedPageBreak/>
        <w:t>MATÉRIAUX</w:t>
      </w:r>
    </w:p>
    <w:p w14:paraId="1031F518" w14:textId="77777777" w:rsidR="00772179" w:rsidRDefault="00000000">
      <w:r>
        <w:t>Les éléments de remplissage à isolation thermique sont constitués de panneaux en</w:t>
      </w:r>
      <w:r>
        <w:rPr>
          <w:rStyle w:val="optioncarChar"/>
        </w:rPr>
        <w:t xml:space="preserve"> bois / tôles métalliques / plaques en matière synthétique / plaques en fibres-ciment </w:t>
      </w:r>
      <w:r>
        <w:t>recouvrant une âme isolante.</w:t>
      </w:r>
    </w:p>
    <w:p w14:paraId="67944A1F" w14:textId="77777777" w:rsidR="00772179" w:rsidRDefault="00000000">
      <w:r>
        <w:t xml:space="preserve">Le matériau isolant est en </w:t>
      </w:r>
      <w:r>
        <w:rPr>
          <w:rStyle w:val="optioncarChar"/>
        </w:rPr>
        <w:t>polystyrène expansé (EPS) / polystyrène extrudé (XPS) / polyuréthane (PUR) / mousse phénolique (PF) / laine minérale (MW) / laine de bois (WW) / liège expansé (ICB) / fibres de bois (WF) / matériau à proposer par l'entrepreneur</w:t>
      </w:r>
      <w:r>
        <w:t>.</w:t>
      </w:r>
    </w:p>
    <w:p w14:paraId="3EEC6E23" w14:textId="77777777" w:rsidR="00772179" w:rsidRDefault="00000000">
      <w:r>
        <w:t>Les caractéristiques de celui-ci sont décrites au titre 32.4 Isolation.</w:t>
      </w:r>
      <w:r>
        <w:br/>
        <w:t>La conductivité thermique déclarée (valeur λ</w:t>
      </w:r>
      <w:r>
        <w:rPr>
          <w:vertAlign w:val="subscript"/>
        </w:rPr>
        <w:t>D</w:t>
      </w:r>
      <w:r>
        <w:t xml:space="preserve">  selon [NBN EN 12667] ou selon [NBN EN 12939] pour les produits épais) est de max. </w:t>
      </w:r>
      <w:r>
        <w:rPr>
          <w:rStyle w:val="optioncarChar"/>
        </w:rPr>
        <w:t xml:space="preserve">*** </w:t>
      </w:r>
      <w:r>
        <w:t>W/mK.</w:t>
      </w:r>
    </w:p>
    <w:p w14:paraId="0F4A1D9E" w14:textId="77777777" w:rsidR="00772179" w:rsidRDefault="00000000">
      <w:pPr>
        <w:pStyle w:val="Author-eSectionHeading5Numberless"/>
      </w:pPr>
      <w:bookmarkStart w:id="628" w:name="_Toc220490325"/>
      <w:r>
        <w:t>42.34.1 Eléments de remplissage en panneaux sandwichs en bois CCTB 01.02</w:t>
      </w:r>
      <w:bookmarkEnd w:id="628"/>
    </w:p>
    <w:p w14:paraId="295EF544" w14:textId="77777777" w:rsidR="00772179" w:rsidRDefault="00000000">
      <w:pPr>
        <w:pStyle w:val="Author-eSectionHeading6Numberless"/>
      </w:pPr>
      <w:bookmarkStart w:id="629" w:name="_Toc220490326"/>
      <w:r>
        <w:t>42.34.1a Eléments de remplissage en panneaux sandwichs en bois CCTB 01.11</w:t>
      </w:r>
      <w:bookmarkEnd w:id="629"/>
    </w:p>
    <w:p w14:paraId="3AF3F464" w14:textId="77777777" w:rsidR="00772179" w:rsidRDefault="00000000">
      <w:pPr>
        <w:pStyle w:val="pheading"/>
      </w:pPr>
      <w:r>
        <w:t>MATÉRIAUX</w:t>
      </w:r>
    </w:p>
    <w:p w14:paraId="3BF36D21" w14:textId="77777777" w:rsidR="00772179" w:rsidRDefault="00000000">
      <w:pPr>
        <w:pStyle w:val="pheading"/>
      </w:pPr>
      <w:r>
        <w:t>- Caractéristiques générales</w:t>
      </w:r>
    </w:p>
    <w:p w14:paraId="04AE6BCD" w14:textId="77777777" w:rsidR="00772179" w:rsidRDefault="00000000">
      <w:r>
        <w:t>Les éléments de remplissage sont des panneaux avec une âme isolante et une face en contreplaqué, convenant pour une classe d'utilisation III - climat extérieur humide (selon la norme [CEN/TS 635-4]).</w:t>
      </w:r>
    </w:p>
    <w:p w14:paraId="326A3EA9" w14:textId="77777777" w:rsidR="00772179" w:rsidRDefault="00000000">
      <w:pPr>
        <w:pStyle w:val="pheading"/>
      </w:pPr>
      <w:r>
        <w:t>- Finitions</w:t>
      </w:r>
    </w:p>
    <w:p w14:paraId="30F2B329" w14:textId="77777777" w:rsidR="00772179" w:rsidRDefault="00000000">
      <w:r>
        <w:t>Nature de la plaque de contreplaqué :</w:t>
      </w:r>
    </w:p>
    <w:p w14:paraId="69CFF699" w14:textId="77777777" w:rsidR="00772179" w:rsidRDefault="00000000">
      <w:r>
        <w:t>⇒ Composition symétrique avec au moins </w:t>
      </w:r>
      <w:r>
        <w:rPr>
          <w:rStyle w:val="optioncarChar"/>
        </w:rPr>
        <w:t xml:space="preserve">3 / 5 / 7 </w:t>
      </w:r>
      <w:r>
        <w:t>couches de placage.</w:t>
      </w:r>
      <w:r>
        <w:br/>
        <w:t>⇒ Epaisseur des plaques : </w:t>
      </w:r>
      <w:r>
        <w:rPr>
          <w:rStyle w:val="optioncarChar"/>
        </w:rPr>
        <w:t xml:space="preserve">6 / 8 / 10 / 12 / 15 / 18 </w:t>
      </w:r>
      <w:r>
        <w:t>mm.</w:t>
      </w:r>
      <w:r>
        <w:br/>
        <w:t>⇒ Masse volumique : env. 520 kg/m3.</w:t>
      </w:r>
      <w:r>
        <w:br/>
        <w:t>⇒ Qualité de l'encollage : </w:t>
      </w:r>
      <w:r>
        <w:rPr>
          <w:rStyle w:val="optioncarChar"/>
        </w:rPr>
        <w:t>WBP 72-100  climat extérieur - indélimité</w:t>
      </w:r>
      <w:r>
        <w:t xml:space="preserve"> . Soit classe de colle 3 selon la norme [NBN EN 314-2].  </w:t>
      </w:r>
      <w:r>
        <w:br/>
        <w:t>⇒ Placage : qualité A</w:t>
      </w:r>
    </w:p>
    <w:p w14:paraId="6A342917" w14:textId="77777777" w:rsidR="00772179" w:rsidRDefault="00000000">
      <w:r>
        <w:t>Nature du placage :</w:t>
      </w:r>
    </w:p>
    <w:p w14:paraId="6E194B91" w14:textId="77777777" w:rsidR="00772179" w:rsidRDefault="00000000">
      <w:r>
        <w:t xml:space="preserve">⇒ Essence du bois de placage : </w:t>
      </w:r>
      <w:r>
        <w:rPr>
          <w:rStyle w:val="optioncarChar"/>
        </w:rPr>
        <w:t>bois tropical dur / / identique au bois de la menuiserie extérieure / Dark Red Meranti / Light Red Meranti / Nemesu / Afzelia bipidensis (dénomination botanique) / Afzelia Doussie (dénomination commerciale) originaire du Cameroun / Afzelia Pachyloba / Afzelia Africana (dénomination botanique) / Apa ou Lingue (dénomination commerciale).</w:t>
      </w:r>
      <w:r>
        <w:t>  </w:t>
      </w:r>
      <w:r>
        <w:br/>
        <w:t>⇒ Traitement de la surface : </w:t>
      </w:r>
      <w:r>
        <w:rPr>
          <w:rStyle w:val="optioncarChar"/>
        </w:rPr>
        <w:t>non laqué / laque UV-polyacrylate / teint / une face revêtue d'une couche de finition à peindre </w:t>
      </w:r>
      <w:r>
        <w:br/>
        <w:t xml:space="preserve">⇒ Brillance </w:t>
      </w:r>
      <w:r>
        <w:rPr>
          <w:rStyle w:val="optioncarChar"/>
        </w:rPr>
        <w:t>: couvrant / transparent</w:t>
      </w:r>
      <w:r>
        <w:t xml:space="preserve">⇒ Couleur : </w:t>
      </w:r>
      <w:r>
        <w:rPr>
          <w:rStyle w:val="optioncarChar"/>
        </w:rPr>
        <w:t>à choisir dans la gamme complète du fabricant</w:t>
      </w:r>
      <w:r>
        <w:t xml:space="preserve"> Couleur RAL n° . </w:t>
      </w:r>
      <w:r>
        <w:rPr>
          <w:rStyle w:val="optioncarChar"/>
        </w:rPr>
        <w:t>***</w:t>
      </w:r>
      <w:r>
        <w:t> </w:t>
      </w:r>
    </w:p>
    <w:p w14:paraId="5B74EF50" w14:textId="77777777" w:rsidR="00772179" w:rsidRDefault="00000000">
      <w:r>
        <w:t>Isolant :</w:t>
      </w:r>
    </w:p>
    <w:p w14:paraId="300DB0CC" w14:textId="77777777" w:rsidR="00772179" w:rsidRDefault="00000000">
      <w:r>
        <w:t xml:space="preserve">⇒ Matériau : </w:t>
      </w:r>
      <w:r>
        <w:rPr>
          <w:rStyle w:val="optioncarChar"/>
        </w:rPr>
        <w:t>EPS (polystyrène expansé) / XPS (polystyrène extrudé) / PUR (polyuréthane) / MW (laine minérale) / CG (verre cellulaire) / PF (mousse de phénolformaldéhyde (mousse de résol) / PIR (mousse de polyisocyanurate) /  laine de bois (WW) /  au choix de l'entrepreneur </w:t>
      </w:r>
      <w:r>
        <w:br/>
        <w:t>⇒ Conductivité thermique (valeur λ</w:t>
      </w:r>
      <w:r>
        <w:rPr>
          <w:vertAlign w:val="subscript"/>
        </w:rPr>
        <w:t>d</w:t>
      </w:r>
      <w:r>
        <w:t xml:space="preserve"> ) : ≥ </w:t>
      </w:r>
      <w:r>
        <w:rPr>
          <w:rStyle w:val="optioncarChar"/>
        </w:rPr>
        <w:t xml:space="preserve">*** </w:t>
      </w:r>
      <w:r>
        <w:t>W/mK</w:t>
      </w:r>
      <w:r>
        <w:br/>
        <w:t xml:space="preserve">⇒ Epaisseur de l'isolation : </w:t>
      </w:r>
      <w:r>
        <w:rPr>
          <w:rStyle w:val="optioncarChar"/>
        </w:rPr>
        <w:t xml:space="preserve">20 / 30 / 40 </w:t>
      </w:r>
      <w:r>
        <w:t> mm</w:t>
      </w:r>
    </w:p>
    <w:p w14:paraId="184448B2" w14:textId="77777777" w:rsidR="00772179" w:rsidRDefault="00000000">
      <w:pPr>
        <w:pStyle w:val="pheading"/>
      </w:pPr>
      <w:r>
        <w:t>EXÉCUTION / MISE EN ŒUVRE</w:t>
      </w:r>
    </w:p>
    <w:p w14:paraId="0EA58C30" w14:textId="77777777" w:rsidR="00772179" w:rsidRDefault="00000000">
      <w:pPr>
        <w:pStyle w:val="pheading"/>
      </w:pPr>
      <w:r>
        <w:t>- Prescriptions générales</w:t>
      </w:r>
    </w:p>
    <w:p w14:paraId="7FFFD7C3" w14:textId="77777777" w:rsidR="00772179" w:rsidRDefault="00000000">
      <w:r>
        <w:t>Les éléments de remplissage sont intégrés lors de la fabrication des éléments de menuiserie.</w:t>
      </w:r>
    </w:p>
    <w:p w14:paraId="15055B3D" w14:textId="77777777" w:rsidR="00772179" w:rsidRDefault="00000000">
      <w:pPr>
        <w:pStyle w:val="pheading"/>
      </w:pPr>
      <w:r>
        <w:t>CONTRÔLES PARTICULIERS</w:t>
      </w:r>
    </w:p>
    <w:p w14:paraId="0989EF55" w14:textId="77777777" w:rsidR="00772179" w:rsidRDefault="00000000">
      <w:r>
        <w:t>Le certificat d'origine est soumis sur demande, avant la pose des panneaux.</w:t>
      </w:r>
    </w:p>
    <w:p w14:paraId="0BAF3DE3" w14:textId="77777777" w:rsidR="00772179" w:rsidRDefault="00000000">
      <w:pPr>
        <w:pStyle w:val="pheading"/>
      </w:pPr>
      <w:r>
        <w:lastRenderedPageBreak/>
        <w:t>MESURAGE</w:t>
      </w:r>
    </w:p>
    <w:p w14:paraId="5CE5F52B" w14:textId="77777777" w:rsidR="00772179" w:rsidRDefault="00000000">
      <w:pPr>
        <w:pStyle w:val="pheading"/>
      </w:pPr>
      <w:r>
        <w:t>- unité de mesure:</w:t>
      </w:r>
    </w:p>
    <w:p w14:paraId="7CFB6C4D" w14:textId="77777777" w:rsidR="00772179" w:rsidRDefault="00000000">
      <w:r>
        <w:rPr>
          <w:color w:val="FF0000"/>
        </w:rPr>
        <w:t>-</w:t>
      </w:r>
      <w:r>
        <w:t>  (par défaut)</w:t>
      </w:r>
      <w:r>
        <w:rPr>
          <w:rStyle w:val="optioncarChar"/>
        </w:rPr>
        <w:t> / m² </w:t>
      </w:r>
    </w:p>
    <w:p w14:paraId="5476C593" w14:textId="77777777" w:rsidR="00772179" w:rsidRDefault="00000000">
      <w:r>
        <w:rPr>
          <w:b/>
        </w:rPr>
        <w:t>(soit par défaut)</w:t>
      </w:r>
    </w:p>
    <w:p w14:paraId="6B867F20" w14:textId="77777777" w:rsidR="00772179" w:rsidRDefault="00000000">
      <w:r>
        <w:rPr>
          <w:rStyle w:val="soitChar"/>
        </w:rPr>
        <w:t>1. -</w:t>
      </w:r>
    </w:p>
    <w:p w14:paraId="21C7EFF4" w14:textId="77777777" w:rsidR="00772179" w:rsidRDefault="00000000">
      <w:r>
        <w:rPr>
          <w:b/>
        </w:rPr>
        <w:t>(soit)</w:t>
      </w:r>
    </w:p>
    <w:p w14:paraId="0E4D2AE7" w14:textId="77777777" w:rsidR="00772179" w:rsidRDefault="00000000">
      <w:r>
        <w:rPr>
          <w:rStyle w:val="soitChar"/>
        </w:rPr>
        <w:t>2. m²</w:t>
      </w:r>
    </w:p>
    <w:p w14:paraId="4173896E" w14:textId="77777777" w:rsidR="00772179" w:rsidRDefault="00000000">
      <w:pPr>
        <w:pStyle w:val="pheading"/>
      </w:pPr>
      <w:r>
        <w:t>- code de mesurage:</w:t>
      </w:r>
    </w:p>
    <w:p w14:paraId="086C0C91" w14:textId="77777777" w:rsidR="00772179" w:rsidRDefault="00000000">
      <w:pPr>
        <w:jc w:val="both"/>
      </w:pPr>
      <w:r>
        <w:rPr>
          <w:rStyle w:val="optioncarChar"/>
        </w:rPr>
        <w:t>prix unitaire global</w:t>
      </w:r>
      <w:r>
        <w:t>  (par défaut) </w:t>
      </w:r>
      <w:r>
        <w:rPr>
          <w:rStyle w:val="optioncarChar"/>
        </w:rPr>
        <w:t>/ poste séparé</w:t>
      </w:r>
    </w:p>
    <w:p w14:paraId="342AD4B8" w14:textId="77777777" w:rsidR="00772179" w:rsidRDefault="00000000">
      <w:pPr>
        <w:jc w:val="both"/>
      </w:pPr>
      <w:r>
        <w:rPr>
          <w:b/>
        </w:rPr>
        <w:t>(soit par défaut)</w:t>
      </w:r>
    </w:p>
    <w:p w14:paraId="6A2F599A" w14:textId="77777777" w:rsidR="00772179"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358D6314" w14:textId="77777777" w:rsidR="00772179" w:rsidRDefault="00000000">
      <w:pPr>
        <w:jc w:val="both"/>
      </w:pPr>
      <w:r>
        <w:rPr>
          <w:b/>
        </w:rPr>
        <w:t>(soit)</w:t>
      </w:r>
    </w:p>
    <w:p w14:paraId="0C1ED2F5" w14:textId="77777777" w:rsidR="00772179"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158FA892" w14:textId="77777777" w:rsidR="00772179" w:rsidRDefault="00000000">
      <w:pPr>
        <w:pStyle w:val="pheading"/>
      </w:pPr>
      <w:r>
        <w:t>- nature du marché:</w:t>
      </w:r>
    </w:p>
    <w:p w14:paraId="434298EB" w14:textId="77777777" w:rsidR="00772179" w:rsidRDefault="00000000">
      <w:r>
        <w:rPr>
          <w:rStyle w:val="optioncarChar"/>
        </w:rPr>
        <w:t>PM</w:t>
      </w:r>
      <w:r>
        <w:t> (par défaut) </w:t>
      </w:r>
      <w:r>
        <w:rPr>
          <w:rStyle w:val="optioncarChar"/>
        </w:rPr>
        <w:t>/ QF</w:t>
      </w:r>
    </w:p>
    <w:p w14:paraId="6CF14BD5" w14:textId="77777777" w:rsidR="00772179" w:rsidRDefault="00000000">
      <w:r>
        <w:rPr>
          <w:b/>
        </w:rPr>
        <w:t>(soit par défaut)</w:t>
      </w:r>
    </w:p>
    <w:p w14:paraId="7FF709C2" w14:textId="77777777" w:rsidR="00772179" w:rsidRDefault="00000000">
      <w:r>
        <w:rPr>
          <w:rStyle w:val="soitChar"/>
        </w:rPr>
        <w:t>1. PM</w:t>
      </w:r>
    </w:p>
    <w:p w14:paraId="433E6085" w14:textId="77777777" w:rsidR="00772179" w:rsidRDefault="00000000">
      <w:r>
        <w:rPr>
          <w:b/>
        </w:rPr>
        <w:t>(soit)</w:t>
      </w:r>
    </w:p>
    <w:p w14:paraId="4B09B0B2" w14:textId="77777777" w:rsidR="00772179" w:rsidRDefault="00000000">
      <w:r>
        <w:rPr>
          <w:rStyle w:val="soitChar"/>
        </w:rPr>
        <w:t>2. QF</w:t>
      </w:r>
    </w:p>
    <w:p w14:paraId="4DCC8976" w14:textId="77777777" w:rsidR="00772179" w:rsidRDefault="00000000">
      <w:pPr>
        <w:pStyle w:val="Author-eSectionHeading5Numberless"/>
      </w:pPr>
      <w:bookmarkStart w:id="630" w:name="_Toc220490327"/>
      <w:r>
        <w:t>42.34.2 Eléments de remplissage en panneaux sandwichs métalliques CCTB 01.02</w:t>
      </w:r>
      <w:bookmarkEnd w:id="630"/>
    </w:p>
    <w:p w14:paraId="3AC243D1" w14:textId="77777777" w:rsidR="00772179" w:rsidRDefault="00000000">
      <w:pPr>
        <w:pStyle w:val="Author-eSectionHeading6Numberless"/>
      </w:pPr>
      <w:bookmarkStart w:id="631" w:name="_Toc220490328"/>
      <w:r>
        <w:t>42.34.2a Eléments de remplissage en panneaux sandwichs métalliques CCTB 01.11</w:t>
      </w:r>
      <w:bookmarkEnd w:id="631"/>
    </w:p>
    <w:p w14:paraId="49B07B7F" w14:textId="77777777" w:rsidR="00772179" w:rsidRDefault="00000000">
      <w:pPr>
        <w:pStyle w:val="pheading"/>
      </w:pPr>
      <w:bookmarkStart w:id="632" w:name="880"/>
      <w:bookmarkEnd w:id="632"/>
      <w:r>
        <w:t>MATÉRIAUX</w:t>
      </w:r>
    </w:p>
    <w:p w14:paraId="127E976C" w14:textId="77777777" w:rsidR="00772179" w:rsidRDefault="00000000">
      <w:pPr>
        <w:pStyle w:val="pheading"/>
      </w:pPr>
      <w:r>
        <w:t>- Caractéristiques générales</w:t>
      </w:r>
    </w:p>
    <w:p w14:paraId="1D83CD5F" w14:textId="77777777" w:rsidR="00772179" w:rsidRDefault="00000000">
      <w:r>
        <w:t>Les éléments de remplissage à isolation thermique sont composés en tôles d'aluminium recouvrant une âme isolante. Les panneaux sont livrés avec un film de protection amovible.</w:t>
      </w:r>
    </w:p>
    <w:p w14:paraId="646A85C2" w14:textId="77777777" w:rsidR="00772179" w:rsidRDefault="00000000">
      <w:r>
        <w:t xml:space="preserve">Les panneaux sandwich répondent aux critères de la norme </w:t>
      </w:r>
      <w:r>
        <w:rPr>
          <w:shd w:val="clear" w:color="auto" w:fill="FFFFFF"/>
        </w:rPr>
        <w:t>[NBN EN 14509]</w:t>
      </w:r>
    </w:p>
    <w:p w14:paraId="659A51EB" w14:textId="77777777" w:rsidR="00772179" w:rsidRDefault="00000000">
      <w:pPr>
        <w:pStyle w:val="pheading"/>
      </w:pPr>
      <w:r>
        <w:t>- Finitions</w:t>
      </w:r>
    </w:p>
    <w:p w14:paraId="6C459A88" w14:textId="77777777" w:rsidR="00772179" w:rsidRDefault="00000000">
      <w:pPr>
        <w:pStyle w:val="Author-eListParagraph"/>
        <w:numPr>
          <w:ilvl w:val="0"/>
          <w:numId w:val="860"/>
        </w:numPr>
      </w:pPr>
      <w:r>
        <w:t xml:space="preserve">Epaisseur des plaques : &gt; </w:t>
      </w:r>
      <w:r>
        <w:rPr>
          <w:rStyle w:val="optioncarChar"/>
        </w:rPr>
        <w:t xml:space="preserve">20 / 30 / 40 </w:t>
      </w:r>
      <w:r>
        <w:t>mm.</w:t>
      </w:r>
    </w:p>
    <w:p w14:paraId="45463E67" w14:textId="77777777" w:rsidR="00772179" w:rsidRDefault="00000000">
      <w:pPr>
        <w:pStyle w:val="Author-eListParagraph"/>
        <w:numPr>
          <w:ilvl w:val="0"/>
          <w:numId w:val="860"/>
        </w:numPr>
      </w:pPr>
      <w:r>
        <w:t>Nature des plaques d'aluminium :</w:t>
      </w:r>
    </w:p>
    <w:p w14:paraId="32D4DDF2" w14:textId="77777777" w:rsidR="00772179" w:rsidRDefault="00000000">
      <w:r>
        <w:t>⇒ Épaisseur nominale : ≥</w:t>
      </w:r>
      <w:r>
        <w:rPr>
          <w:rStyle w:val="optioncarChar"/>
        </w:rPr>
        <w:t> 0,7 / 1,5</w:t>
      </w:r>
      <w:r>
        <w:t xml:space="preserve"> .</w:t>
      </w:r>
      <w:r>
        <w:br/>
        <w:t xml:space="preserve">⇒ Finition et couleur : </w:t>
      </w:r>
      <w:r>
        <w:rPr>
          <w:rStyle w:val="optioncarChar"/>
        </w:rPr>
        <w:t>identiques à celles des profilés de fenêtre </w:t>
      </w:r>
    </w:p>
    <w:p w14:paraId="2B534F4D" w14:textId="77777777" w:rsidR="00772179" w:rsidRDefault="00000000">
      <w:pPr>
        <w:pStyle w:val="Author-eListParagraph"/>
        <w:numPr>
          <w:ilvl w:val="0"/>
          <w:numId w:val="861"/>
        </w:numPr>
      </w:pPr>
      <w:r>
        <w:t>Isolant :</w:t>
      </w:r>
    </w:p>
    <w:p w14:paraId="36161444" w14:textId="77777777" w:rsidR="00772179" w:rsidRDefault="00000000">
      <w:r>
        <w:lastRenderedPageBreak/>
        <w:t xml:space="preserve"> ⇒ Matériau : </w:t>
      </w:r>
      <w:r>
        <w:rPr>
          <w:rStyle w:val="optioncarChar"/>
        </w:rPr>
        <w:t>EPS (polystyrène expansé) / XPS (polystyrène extrudé) / PUR (polyuréthane) / MW (laine minérale) / CG (verre cellulaire) / PF (mousse de phénolformaldéhyde (mousse de résol) / PIR (mousse de polyisocyanurate) /  laine de bois (WW) /  au choix de l'entrepreneur </w:t>
      </w:r>
      <w:r>
        <w:br/>
        <w:t>⇒ Conductivité thermique (valeur λ</w:t>
      </w:r>
      <w:r>
        <w:rPr>
          <w:vertAlign w:val="subscript"/>
        </w:rPr>
        <w:t>d</w:t>
      </w:r>
      <w:r>
        <w:t xml:space="preserve"> ) : ≥ </w:t>
      </w:r>
      <w:r>
        <w:rPr>
          <w:rStyle w:val="optioncarChar"/>
        </w:rPr>
        <w:t xml:space="preserve">*** </w:t>
      </w:r>
      <w:r>
        <w:t>W/mK</w:t>
      </w:r>
      <w:r>
        <w:br/>
        <w:t xml:space="preserve">⇒ Epaisseur de l'isolation : </w:t>
      </w:r>
      <w:r>
        <w:rPr>
          <w:rStyle w:val="optioncarChar"/>
        </w:rPr>
        <w:t xml:space="preserve">20 / 30 / 40 </w:t>
      </w:r>
      <w:r>
        <w:t>mm</w:t>
      </w:r>
    </w:p>
    <w:p w14:paraId="08143FA3" w14:textId="77777777" w:rsidR="00772179" w:rsidRDefault="00000000">
      <w:pPr>
        <w:pStyle w:val="pheading"/>
      </w:pPr>
      <w:r>
        <w:t>- Prescriptions complémentaires</w:t>
      </w:r>
    </w:p>
    <w:p w14:paraId="0BD9F5E8" w14:textId="77777777" w:rsidR="00772179" w:rsidRDefault="00000000">
      <w:r>
        <w:t>Les panneaux de remplissage pour les portes d'entrée sont pourvus d'une fenêtre</w:t>
      </w:r>
      <w:r>
        <w:rPr>
          <w:rStyle w:val="optioncarChar"/>
        </w:rPr>
        <w:t> ronde / carrée  </w:t>
      </w:r>
      <w:r>
        <w:t>à double vitrage (</w:t>
      </w:r>
      <w:r>
        <w:rPr>
          <w:rStyle w:val="optioncarChar"/>
        </w:rPr>
        <w:t xml:space="preserve"> mat / clair </w:t>
      </w:r>
      <w:r>
        <w:t xml:space="preserve">), située dans le même plan que le panneau, intégrée dans le panneau sans profils périphériques et colmatée avec des silicones incolores. Ø : </w:t>
      </w:r>
      <w:r>
        <w:rPr>
          <w:rStyle w:val="optioncarChar"/>
        </w:rPr>
        <w:t>30 </w:t>
      </w:r>
      <w:r>
        <w:t>cm.</w:t>
      </w:r>
    </w:p>
    <w:p w14:paraId="43BB86C5" w14:textId="77777777" w:rsidR="00772179" w:rsidRDefault="00000000">
      <w:r>
        <w:t>Les vitrages de portes sont conformes à la norme [NBN S 23-002]. Le verre est feuilleté ou trempé si les dimensions &gt; 0,5m² et si &lt; 1,4m.</w:t>
      </w:r>
    </w:p>
    <w:p w14:paraId="0C2E03F8" w14:textId="77777777" w:rsidR="00772179" w:rsidRDefault="00000000">
      <w:pPr>
        <w:pStyle w:val="pheading"/>
      </w:pPr>
      <w:r>
        <w:t>EXÉCUTION / MISE EN ŒUVRE</w:t>
      </w:r>
    </w:p>
    <w:p w14:paraId="5C5AF0BF" w14:textId="77777777" w:rsidR="00772179" w:rsidRDefault="00000000">
      <w:pPr>
        <w:pStyle w:val="pheading"/>
      </w:pPr>
      <w:r>
        <w:t>- Prescriptions générales</w:t>
      </w:r>
    </w:p>
    <w:p w14:paraId="27D2BD4F" w14:textId="77777777" w:rsidR="00772179" w:rsidRDefault="00000000">
      <w:pPr>
        <w:pStyle w:val="Author-eListParagraph"/>
        <w:numPr>
          <w:ilvl w:val="0"/>
          <w:numId w:val="862"/>
        </w:numPr>
      </w:pPr>
      <w:r>
        <w:t>Les éléments de remplissage sont placés sous vitrage</w:t>
      </w:r>
      <w:r>
        <w:rPr>
          <w:rStyle w:val="optioncarChar"/>
        </w:rPr>
        <w:t> comprimé / semi-comprimé / non-comprimé</w:t>
      </w:r>
      <w:r>
        <w:t>.</w:t>
      </w:r>
    </w:p>
    <w:p w14:paraId="5AB54515" w14:textId="77777777" w:rsidR="00772179" w:rsidRDefault="00000000">
      <w:pPr>
        <w:pStyle w:val="Author-eListParagraph"/>
        <w:numPr>
          <w:ilvl w:val="0"/>
          <w:numId w:val="862"/>
        </w:numPr>
      </w:pPr>
      <w:r>
        <w:t>Les éléments de remplissage sont placés dans un système</w:t>
      </w:r>
      <w:r>
        <w:rPr>
          <w:rStyle w:val="optioncarChar"/>
        </w:rPr>
        <w:t> ouvert / fermé</w:t>
      </w:r>
      <w:r>
        <w:t>.</w:t>
      </w:r>
    </w:p>
    <w:p w14:paraId="7728181C" w14:textId="77777777" w:rsidR="00772179" w:rsidRDefault="00000000">
      <w:pPr>
        <w:pStyle w:val="pheading"/>
      </w:pPr>
      <w:r>
        <w:t>MESURAGE</w:t>
      </w:r>
    </w:p>
    <w:p w14:paraId="5831D013" w14:textId="77777777" w:rsidR="00772179" w:rsidRDefault="00000000">
      <w:pPr>
        <w:pStyle w:val="pheading"/>
      </w:pPr>
      <w:r>
        <w:t>- unité de mesure:</w:t>
      </w:r>
    </w:p>
    <w:p w14:paraId="0A0843F2" w14:textId="77777777" w:rsidR="00772179" w:rsidRDefault="00000000">
      <w:r>
        <w:rPr>
          <w:color w:val="FF0000"/>
        </w:rPr>
        <w:t>-</w:t>
      </w:r>
      <w:r>
        <w:t>  (par défaut)</w:t>
      </w:r>
      <w:r>
        <w:rPr>
          <w:rStyle w:val="optioncarChar"/>
        </w:rPr>
        <w:t> / m² </w:t>
      </w:r>
    </w:p>
    <w:p w14:paraId="7A23429F" w14:textId="77777777" w:rsidR="00772179" w:rsidRDefault="00000000">
      <w:r>
        <w:rPr>
          <w:b/>
        </w:rPr>
        <w:t>(soit par défaut)</w:t>
      </w:r>
    </w:p>
    <w:p w14:paraId="35BFD84E" w14:textId="77777777" w:rsidR="00772179" w:rsidRDefault="00000000">
      <w:r>
        <w:rPr>
          <w:rStyle w:val="soitChar"/>
        </w:rPr>
        <w:t>1. -</w:t>
      </w:r>
    </w:p>
    <w:p w14:paraId="1BD9FCA2" w14:textId="77777777" w:rsidR="00772179" w:rsidRDefault="00000000">
      <w:r>
        <w:rPr>
          <w:b/>
        </w:rPr>
        <w:t>(soit)</w:t>
      </w:r>
    </w:p>
    <w:p w14:paraId="14BD9398" w14:textId="77777777" w:rsidR="00772179" w:rsidRDefault="00000000">
      <w:r>
        <w:rPr>
          <w:rStyle w:val="soitChar"/>
        </w:rPr>
        <w:t>2. m²</w:t>
      </w:r>
    </w:p>
    <w:p w14:paraId="47D3DF4C" w14:textId="77777777" w:rsidR="00772179" w:rsidRDefault="00000000">
      <w:pPr>
        <w:pStyle w:val="pheading"/>
      </w:pPr>
      <w:r>
        <w:t>- code de mesurage:</w:t>
      </w:r>
    </w:p>
    <w:p w14:paraId="262A3F7A" w14:textId="77777777" w:rsidR="00772179" w:rsidRDefault="00000000">
      <w:pPr>
        <w:jc w:val="both"/>
      </w:pPr>
      <w:r>
        <w:rPr>
          <w:rStyle w:val="optioncarChar"/>
        </w:rPr>
        <w:t>prix unitaire global</w:t>
      </w:r>
      <w:r>
        <w:t>  (par défaut) </w:t>
      </w:r>
      <w:r>
        <w:rPr>
          <w:rStyle w:val="optioncarChar"/>
        </w:rPr>
        <w:t>/ poste séparé</w:t>
      </w:r>
    </w:p>
    <w:p w14:paraId="3DD1EF22" w14:textId="77777777" w:rsidR="00772179" w:rsidRDefault="00000000">
      <w:pPr>
        <w:jc w:val="both"/>
      </w:pPr>
      <w:r>
        <w:rPr>
          <w:b/>
        </w:rPr>
        <w:t>(soit par défaut)</w:t>
      </w:r>
    </w:p>
    <w:p w14:paraId="39CFAD97" w14:textId="77777777" w:rsidR="00772179"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6F434335" w14:textId="77777777" w:rsidR="00772179" w:rsidRDefault="00000000">
      <w:pPr>
        <w:jc w:val="both"/>
      </w:pPr>
      <w:r>
        <w:rPr>
          <w:b/>
        </w:rPr>
        <w:t>(soit)</w:t>
      </w:r>
    </w:p>
    <w:p w14:paraId="027641CB" w14:textId="77777777" w:rsidR="00772179"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0DC6ADD7" w14:textId="77777777" w:rsidR="00772179" w:rsidRDefault="00000000">
      <w:pPr>
        <w:pStyle w:val="pheading"/>
      </w:pPr>
      <w:r>
        <w:t>- nature du marché:</w:t>
      </w:r>
    </w:p>
    <w:p w14:paraId="1A07C137" w14:textId="77777777" w:rsidR="00772179" w:rsidRDefault="00000000">
      <w:r>
        <w:rPr>
          <w:rStyle w:val="optioncarChar"/>
        </w:rPr>
        <w:t>PM</w:t>
      </w:r>
      <w:r>
        <w:t> (par défaut) </w:t>
      </w:r>
      <w:r>
        <w:rPr>
          <w:rStyle w:val="optioncarChar"/>
        </w:rPr>
        <w:t>/ QF</w:t>
      </w:r>
    </w:p>
    <w:p w14:paraId="368C16A0" w14:textId="77777777" w:rsidR="00772179" w:rsidRDefault="00000000">
      <w:r>
        <w:rPr>
          <w:b/>
        </w:rPr>
        <w:t>(soit par défaut)</w:t>
      </w:r>
    </w:p>
    <w:p w14:paraId="374CC215" w14:textId="77777777" w:rsidR="00772179" w:rsidRDefault="00000000">
      <w:r>
        <w:rPr>
          <w:rStyle w:val="soitChar"/>
        </w:rPr>
        <w:t>1. PM</w:t>
      </w:r>
    </w:p>
    <w:p w14:paraId="16BE5DD2" w14:textId="77777777" w:rsidR="00772179" w:rsidRDefault="00000000">
      <w:r>
        <w:rPr>
          <w:b/>
        </w:rPr>
        <w:t>(soit)</w:t>
      </w:r>
    </w:p>
    <w:p w14:paraId="202211FD" w14:textId="77777777" w:rsidR="00772179" w:rsidRDefault="00000000">
      <w:r>
        <w:rPr>
          <w:rStyle w:val="soitChar"/>
        </w:rPr>
        <w:t>2. QF</w:t>
      </w:r>
    </w:p>
    <w:p w14:paraId="5618E270" w14:textId="77777777" w:rsidR="00772179" w:rsidRDefault="00000000">
      <w:pPr>
        <w:pStyle w:val="Author-eSectionHeading5Numberless"/>
      </w:pPr>
      <w:bookmarkStart w:id="633" w:name="_Toc220490329"/>
      <w:r>
        <w:lastRenderedPageBreak/>
        <w:t>42.34.3 Eléments de remplissage en panneaux sandwichs en matière synthétique CCTB 01.02</w:t>
      </w:r>
      <w:bookmarkEnd w:id="633"/>
    </w:p>
    <w:p w14:paraId="13B3C020" w14:textId="77777777" w:rsidR="00772179" w:rsidRDefault="00000000">
      <w:pPr>
        <w:pStyle w:val="Author-eSectionHeading6Numberless"/>
      </w:pPr>
      <w:bookmarkStart w:id="634" w:name="_Toc220490330"/>
      <w:r>
        <w:t>42.34.3a Eléments de remplissage en panneaux sandwichs en matière synthétique CCTB 01.11</w:t>
      </w:r>
      <w:bookmarkEnd w:id="634"/>
    </w:p>
    <w:p w14:paraId="71DE5281" w14:textId="77777777" w:rsidR="00772179" w:rsidRDefault="00000000">
      <w:pPr>
        <w:pStyle w:val="pheading"/>
      </w:pPr>
      <w:r>
        <w:t>MATÉRIAUX</w:t>
      </w:r>
    </w:p>
    <w:p w14:paraId="7910189E" w14:textId="77777777" w:rsidR="00772179" w:rsidRDefault="00000000">
      <w:pPr>
        <w:pStyle w:val="pheading"/>
      </w:pPr>
      <w:r>
        <w:t>- Caractéristiques générales</w:t>
      </w:r>
    </w:p>
    <w:p w14:paraId="798D6C0B" w14:textId="77777777" w:rsidR="00772179" w:rsidRDefault="00000000">
      <w:r>
        <w:rPr>
          <w:rStyle w:val="optioncarChar"/>
        </w:rPr>
        <w:t xml:space="preserve">Matière synthétique </w:t>
      </w:r>
      <w:r>
        <w:t>(par défaut)</w:t>
      </w:r>
      <w:r>
        <w:rPr>
          <w:rStyle w:val="optioncarChar"/>
        </w:rPr>
        <w:t xml:space="preserve"> / Résine synthétique</w:t>
      </w:r>
    </w:p>
    <w:p w14:paraId="4176CB92" w14:textId="77777777" w:rsidR="00772179" w:rsidRDefault="00000000">
      <w:r>
        <w:rPr>
          <w:b/>
        </w:rPr>
        <w:t>(soit par défaut) :</w:t>
      </w:r>
      <w:r>
        <w:rPr>
          <w:rStyle w:val="soitChar"/>
          <w:u w:val="single"/>
        </w:rPr>
        <w:t>en matière synthétique</w:t>
      </w:r>
      <w:r>
        <w:rPr>
          <w:rStyle w:val="soitChar"/>
        </w:rPr>
        <w:t xml:space="preserve"> : Les éléments de remplissage se composent de plaques en PVC dur (chlorure de polyvinyle dur) et d'une âme isolante. Les plaques sont livrées avec un film de polyéthylène amovible.</w:t>
      </w:r>
    </w:p>
    <w:p w14:paraId="056C7756" w14:textId="77777777" w:rsidR="00772179" w:rsidRDefault="00000000">
      <w:r>
        <w:rPr>
          <w:b/>
        </w:rPr>
        <w:t>(soit) : </w:t>
      </w:r>
      <w:r>
        <w:rPr>
          <w:rStyle w:val="soitChar"/>
          <w:u w:val="single"/>
        </w:rPr>
        <w:t>en résine synthétique</w:t>
      </w:r>
      <w:r>
        <w:rPr>
          <w:rStyle w:val="soitChar"/>
        </w:rPr>
        <w:t> : Les éléments de remplissage se composent de plaques de résines synthétiques inaltérables d'une épaisseur ≥ 3 mm , isolées sur une épaisseur ≥ 2 cm à l'aide de plaques de polystyrène. Les plaques sont assemblées par collage. Elles sont résistantes aux griffes et à l'usure, sont stables et présentent une résistance élevée aux coups et aux chocs. La couleur est inaltérable.</w:t>
      </w:r>
    </w:p>
    <w:p w14:paraId="2D2AC2CF" w14:textId="77777777" w:rsidR="00772179" w:rsidRDefault="00000000">
      <w:pPr>
        <w:pStyle w:val="pheading"/>
      </w:pPr>
      <w:r>
        <w:t>- Finitions</w:t>
      </w:r>
    </w:p>
    <w:p w14:paraId="5C804B40" w14:textId="77777777" w:rsidR="00772179" w:rsidRDefault="00000000">
      <w:pPr>
        <w:pStyle w:val="heading"/>
      </w:pPr>
      <w:r>
        <w:t>Matière synthétique</w:t>
      </w:r>
    </w:p>
    <w:p w14:paraId="40D3BE1A" w14:textId="77777777" w:rsidR="00772179" w:rsidRDefault="00000000">
      <w:pPr>
        <w:pStyle w:val="Author-eListParagraph"/>
        <w:numPr>
          <w:ilvl w:val="0"/>
          <w:numId w:val="863"/>
        </w:numPr>
      </w:pPr>
      <w:r>
        <w:t>Epaisseur des plaques : ≥ </w:t>
      </w:r>
      <w:r>
        <w:rPr>
          <w:rStyle w:val="optioncarChar"/>
        </w:rPr>
        <w:t xml:space="preserve">20 / 30 / 40 </w:t>
      </w:r>
      <w:r>
        <w:t>mm.</w:t>
      </w:r>
    </w:p>
    <w:p w14:paraId="1630BBD9" w14:textId="77777777" w:rsidR="00772179" w:rsidRDefault="00000000">
      <w:pPr>
        <w:pStyle w:val="Author-eListParagraph"/>
        <w:numPr>
          <w:ilvl w:val="0"/>
          <w:numId w:val="863"/>
        </w:numPr>
      </w:pPr>
      <w:r>
        <w:t>Type :</w:t>
      </w:r>
      <w:r>
        <w:rPr>
          <w:rStyle w:val="optioncarChar"/>
        </w:rPr>
        <w:t xml:space="preserve"> à simple paroi / à double paroi (panneau sandwich). Les plaques sont pourvues d'une isolation thermique à l'intérieur / à l'arrière.</w:t>
      </w:r>
    </w:p>
    <w:p w14:paraId="66A3237C" w14:textId="77777777" w:rsidR="00772179" w:rsidRDefault="00000000">
      <w:pPr>
        <w:pStyle w:val="Author-eListParagraph"/>
        <w:numPr>
          <w:ilvl w:val="0"/>
          <w:numId w:val="863"/>
        </w:numPr>
      </w:pPr>
      <w:r>
        <w:t>Nature des plaques en PVC :</w:t>
      </w:r>
    </w:p>
    <w:p w14:paraId="1B9539F8" w14:textId="77777777" w:rsidR="00772179" w:rsidRDefault="00000000">
      <w:r>
        <w:t>extrudées dans une composition de PVC dure </w:t>
      </w:r>
      <w:r>
        <w:rPr>
          <w:rStyle w:val="optioncarChar"/>
        </w:rPr>
        <w:t>à base de pâte de granulats blanche </w:t>
      </w:r>
      <w:r>
        <w:t>(par défaut)</w:t>
      </w:r>
      <w:r>
        <w:rPr>
          <w:rStyle w:val="optioncarChar"/>
        </w:rPr>
        <w:t> / de couleur blanche /extrudées dans du PVC à résistance aux chocs élevée</w:t>
      </w:r>
    </w:p>
    <w:p w14:paraId="46DDA47A" w14:textId="77777777" w:rsidR="00772179" w:rsidRDefault="00000000">
      <w:r>
        <w:rPr>
          <w:b/>
        </w:rPr>
        <w:t>(soit par défaut) </w:t>
      </w:r>
      <w:r>
        <w:t>: </w:t>
      </w:r>
      <w:r>
        <w:rPr>
          <w:rStyle w:val="soitChar"/>
          <w:u w:val="single"/>
        </w:rPr>
        <w:t>extrudées dans une composition de PVC dure à base de pâte de granulats blanche</w:t>
      </w:r>
      <w:r>
        <w:rPr>
          <w:rStyle w:val="soitChar"/>
        </w:rPr>
        <w:t>, colorée dans la masse.</w:t>
      </w:r>
      <w:r>
        <w:br/>
      </w:r>
      <w:r>
        <w:rPr>
          <w:b/>
        </w:rPr>
        <w:t>(soit)</w:t>
      </w:r>
      <w:r>
        <w:t> : </w:t>
      </w:r>
      <w:r>
        <w:rPr>
          <w:rStyle w:val="soitChar"/>
          <w:u w:val="single"/>
        </w:rPr>
        <w:t>extrudées dans une composition de PVC dure de couleur blanche</w:t>
      </w:r>
      <w:r>
        <w:rPr>
          <w:rStyle w:val="soitChar"/>
        </w:rPr>
        <w:t>, référence </w:t>
      </w:r>
      <w:r>
        <w:rPr>
          <w:rStyle w:val="optioncarChar"/>
        </w:rPr>
        <w:t>***.</w:t>
      </w:r>
      <w:r>
        <w:br/>
      </w:r>
      <w:r>
        <w:rPr>
          <w:b/>
        </w:rPr>
        <w:t>(soit)</w:t>
      </w:r>
      <w:r>
        <w:t> : </w:t>
      </w:r>
      <w:r>
        <w:rPr>
          <w:rStyle w:val="soitChar"/>
          <w:u w:val="single"/>
        </w:rPr>
        <w:t>extrudées dans du PVC à résistance aux chocs élevée</w:t>
      </w:r>
      <w:r>
        <w:rPr>
          <w:rStyle w:val="soitChar"/>
        </w:rPr>
        <w:t> avec une couche de couleur acrylique PMMA dans la masse; la couleur est extrudée en même temps afin d'obtenir une cohésion homogène entre le PVC et l'acrylique.</w:t>
      </w:r>
    </w:p>
    <w:p w14:paraId="3FFBBDCD" w14:textId="77777777" w:rsidR="00772179" w:rsidRDefault="00000000">
      <w:r>
        <w:t>                 ⇒ Epaisseur nominale :</w:t>
      </w:r>
      <w:r>
        <w:rPr>
          <w:rStyle w:val="optioncarChar"/>
        </w:rPr>
        <w:t xml:space="preserve"> 3 / 4 / 5 </w:t>
      </w:r>
      <w:r>
        <w:t>mm.</w:t>
      </w:r>
      <w:r>
        <w:br/>
        <w:t>                 ⇒ Poids spécifique : ≥</w:t>
      </w:r>
      <w:r>
        <w:rPr>
          <w:rStyle w:val="optioncarChar"/>
        </w:rPr>
        <w:t xml:space="preserve"> 1400 </w:t>
      </w:r>
      <w:r>
        <w:t>kg/m³</w:t>
      </w:r>
      <w:r>
        <w:br/>
        <w:t>                 ⇒ Coefficient de dilatation linéaire : </w:t>
      </w:r>
      <w:r>
        <w:rPr>
          <w:rStyle w:val="optioncarChar"/>
        </w:rPr>
        <w:t>7 à 9 x 10</w:t>
      </w:r>
      <w:r>
        <w:rPr>
          <w:rStyle w:val="optioncarChar"/>
          <w:vertAlign w:val="superscript"/>
        </w:rPr>
        <w:t>-5</w:t>
      </w:r>
      <w:r>
        <w:t> mm.</w:t>
      </w:r>
      <w:r>
        <w:br/>
        <w:t>                 ⇒ Point Vicat sous 5 kg : </w:t>
      </w:r>
      <w:r>
        <w:rPr>
          <w:rStyle w:val="optioncarChar"/>
        </w:rPr>
        <w:t xml:space="preserve">70 </w:t>
      </w:r>
      <w:r>
        <w:t>°C</w:t>
      </w:r>
      <w:r>
        <w:br/>
        <w:t>                 ⇒ Couleur : </w:t>
      </w:r>
      <w:r>
        <w:rPr>
          <w:rStyle w:val="optioncarChar"/>
        </w:rPr>
        <w:t> identique à celles des profilés de fenêtre / choisie par l'auteur de projet dans                          la gamme complète du fabricant</w:t>
      </w:r>
      <w:r>
        <w:t> . Couleur RAL n° . </w:t>
      </w:r>
      <w:r>
        <w:rPr>
          <w:rStyle w:val="optioncarChar"/>
        </w:rPr>
        <w:t>***</w:t>
      </w:r>
      <w:r>
        <w:br/>
        <w:t>                 ⇒ Brillance : </w:t>
      </w:r>
      <w:r>
        <w:rPr>
          <w:rStyle w:val="optioncarChar"/>
        </w:rPr>
        <w:t> mat / brillant</w:t>
      </w:r>
      <w:r>
        <w:t> </w:t>
      </w:r>
    </w:p>
    <w:p w14:paraId="37AD4760" w14:textId="77777777" w:rsidR="00772179" w:rsidRDefault="00000000">
      <w:r>
        <w:rPr>
          <w:b/>
        </w:rPr>
        <w:t>Isolant</w:t>
      </w:r>
    </w:p>
    <w:p w14:paraId="0D9808EB" w14:textId="77777777" w:rsidR="00772179" w:rsidRDefault="00000000">
      <w:r>
        <w:t xml:space="preserve"> ⇒ Matériau : </w:t>
      </w:r>
      <w:r>
        <w:rPr>
          <w:rStyle w:val="optioncarChar"/>
        </w:rPr>
        <w:t>EPS (polystyrène expansé) / XPS (polystyrène extrudé) / PUR (polyuréthane) / MW (laine minérale) / CG (verre cellulaire) / PF (mousse de phénolformaldéhyde (mousse de résol) / PIR (mousse de polyisocyanurate) /  laine de bois (WW) /  au choix de l'entrepreneur </w:t>
      </w:r>
      <w:r>
        <w:br/>
        <w:t>⇒ Conductivité thermique (valeur λ</w:t>
      </w:r>
      <w:r>
        <w:rPr>
          <w:vertAlign w:val="subscript"/>
        </w:rPr>
        <w:t>d</w:t>
      </w:r>
      <w:r>
        <w:t xml:space="preserve"> ) : ≥ </w:t>
      </w:r>
      <w:r>
        <w:rPr>
          <w:rStyle w:val="optioncarChar"/>
        </w:rPr>
        <w:t xml:space="preserve">*** </w:t>
      </w:r>
      <w:r>
        <w:t>W/mK</w:t>
      </w:r>
      <w:r>
        <w:br/>
        <w:t xml:space="preserve">⇒ Epaisseur de l'isolation : </w:t>
      </w:r>
      <w:r>
        <w:rPr>
          <w:rStyle w:val="optioncarChar"/>
        </w:rPr>
        <w:t xml:space="preserve">20 / 30 / 40 </w:t>
      </w:r>
      <w:r>
        <w:t>mm</w:t>
      </w:r>
    </w:p>
    <w:p w14:paraId="1C9AC716" w14:textId="77777777" w:rsidR="00772179" w:rsidRDefault="00000000">
      <w:pPr>
        <w:pStyle w:val="heading"/>
      </w:pPr>
      <w:r>
        <w:t>Résine synthétique</w:t>
      </w:r>
    </w:p>
    <w:p w14:paraId="78D454CE" w14:textId="77777777" w:rsidR="00772179" w:rsidRDefault="00000000">
      <w:r>
        <w:t>Caractéristiques de la plaque extérieure :</w:t>
      </w:r>
    </w:p>
    <w:p w14:paraId="04C65D6C" w14:textId="77777777" w:rsidR="00772179" w:rsidRDefault="00000000">
      <w:pPr>
        <w:ind w:left="675"/>
      </w:pPr>
      <w:r>
        <w:t xml:space="preserve">⇒ Épaisseur nominale : &gt; </w:t>
      </w:r>
      <w:r>
        <w:rPr>
          <w:rStyle w:val="optioncarChar"/>
        </w:rPr>
        <w:t xml:space="preserve">3 </w:t>
      </w:r>
      <w:r>
        <w:t>mm.</w:t>
      </w:r>
    </w:p>
    <w:p w14:paraId="48FAB201" w14:textId="77777777" w:rsidR="00772179" w:rsidRDefault="00000000">
      <w:pPr>
        <w:ind w:left="675"/>
      </w:pPr>
      <w:r>
        <w:lastRenderedPageBreak/>
        <w:t>⇒ Finition et couleur : </w:t>
      </w:r>
      <w:r>
        <w:rPr>
          <w:rStyle w:val="optioncarChar"/>
        </w:rPr>
        <w:t>identiques aux profilés de fenêtre / RAL n° *** / à choisir dans la gamme complète du fabricant</w:t>
      </w:r>
    </w:p>
    <w:p w14:paraId="548BABED" w14:textId="77777777" w:rsidR="00772179" w:rsidRDefault="00000000">
      <w:r>
        <w:t xml:space="preserve">Caractéristiques de la plaque intérieure : </w:t>
      </w:r>
      <w:r>
        <w:rPr>
          <w:rStyle w:val="optioncarChar"/>
        </w:rPr>
        <w:t>idem / ***</w:t>
      </w:r>
    </w:p>
    <w:p w14:paraId="0D4F7B97" w14:textId="77777777" w:rsidR="00772179" w:rsidRDefault="00000000">
      <w:pPr>
        <w:pStyle w:val="pheading"/>
      </w:pPr>
      <w:r>
        <w:t>- Prescriptions complémentaires</w:t>
      </w:r>
    </w:p>
    <w:p w14:paraId="3D451730" w14:textId="77777777" w:rsidR="00772179" w:rsidRDefault="00000000">
      <w:r>
        <w:t xml:space="preserve">Les panneaux de remplissage pour les portes d'entrée sont pourvus d'une fenêtre </w:t>
      </w:r>
      <w:r>
        <w:rPr>
          <w:rStyle w:val="optioncarChar"/>
        </w:rPr>
        <w:t xml:space="preserve">ronde </w:t>
      </w:r>
      <w:r>
        <w:t xml:space="preserve">à double vitrage, située dans le même plan que le panneau, intégrée dans le panneau sans profils périphériques et colmatée avec des silicones incolores. Ø : </w:t>
      </w:r>
      <w:r>
        <w:rPr>
          <w:rStyle w:val="optioncarChar"/>
        </w:rPr>
        <w:t xml:space="preserve">30 </w:t>
      </w:r>
      <w:r>
        <w:t>cm.</w:t>
      </w:r>
    </w:p>
    <w:p w14:paraId="1E976348" w14:textId="77777777" w:rsidR="00772179" w:rsidRDefault="00000000">
      <w:r>
        <w:t>Les vitrages de portes sont conformes à la norme [NBN S 23-002]. Le verre est feuilleté ou trempé si les dimensions &gt; 0,5m² et si &lt; 1,4m.</w:t>
      </w:r>
    </w:p>
    <w:p w14:paraId="30C888A4" w14:textId="77777777" w:rsidR="00772179" w:rsidRDefault="00000000">
      <w:pPr>
        <w:pStyle w:val="pheading"/>
      </w:pPr>
      <w:r>
        <w:t>EXÉCUTION / MISE EN ŒUVRE</w:t>
      </w:r>
    </w:p>
    <w:p w14:paraId="182EB9FF" w14:textId="77777777" w:rsidR="00772179" w:rsidRDefault="00000000">
      <w:pPr>
        <w:pStyle w:val="pheading"/>
      </w:pPr>
      <w:r>
        <w:t>- Prescriptions générales</w:t>
      </w:r>
    </w:p>
    <w:p w14:paraId="53A22AE0" w14:textId="77777777" w:rsidR="00772179" w:rsidRDefault="00000000">
      <w:pPr>
        <w:pStyle w:val="Author-eListParagraph"/>
        <w:numPr>
          <w:ilvl w:val="0"/>
          <w:numId w:val="864"/>
        </w:numPr>
      </w:pPr>
      <w:r>
        <w:t xml:space="preserve">Les éléments de remplissage sont placés sous vitrage </w:t>
      </w:r>
      <w:r>
        <w:rPr>
          <w:rStyle w:val="optioncarChar"/>
        </w:rPr>
        <w:t>comprimé / semi-comprimé / non-comprimé</w:t>
      </w:r>
      <w:r>
        <w:t xml:space="preserve"> .</w:t>
      </w:r>
    </w:p>
    <w:p w14:paraId="0F53B8E8" w14:textId="77777777" w:rsidR="00772179" w:rsidRDefault="00000000">
      <w:pPr>
        <w:pStyle w:val="Author-eListParagraph"/>
        <w:numPr>
          <w:ilvl w:val="0"/>
          <w:numId w:val="864"/>
        </w:numPr>
      </w:pPr>
      <w:r>
        <w:t xml:space="preserve">Les éléments de remplissage sont placés dans un système </w:t>
      </w:r>
      <w:r>
        <w:rPr>
          <w:rStyle w:val="optioncarChar"/>
        </w:rPr>
        <w:t xml:space="preserve">ouvert / fermé . </w:t>
      </w:r>
    </w:p>
    <w:p w14:paraId="19E9547B" w14:textId="77777777" w:rsidR="00772179" w:rsidRDefault="00000000">
      <w:pPr>
        <w:pStyle w:val="heading"/>
      </w:pPr>
      <w:r>
        <w:t>Matière synthétique</w:t>
      </w:r>
    </w:p>
    <w:p w14:paraId="275AAF01" w14:textId="77777777" w:rsidR="00772179" w:rsidRDefault="00000000">
      <w:r>
        <w:t>Pour une obtenir un trait de scie sans ébarbures lors du sciage du PVC, deux modes d'exécution sont applicables : à la main (scie à lame et dents très minces) ou mécaniquement (scie circulaire à une vitesse maximale de 2500 tours/min - disque à dents très petites ou un disque au corborandum).</w:t>
      </w:r>
    </w:p>
    <w:p w14:paraId="5CF8754E" w14:textId="77777777" w:rsidR="00772179" w:rsidRDefault="00000000">
      <w:pPr>
        <w:pStyle w:val="pheading"/>
      </w:pPr>
      <w:r>
        <w:t>MESURAGE</w:t>
      </w:r>
    </w:p>
    <w:p w14:paraId="42B9172A" w14:textId="77777777" w:rsidR="00772179" w:rsidRDefault="00000000">
      <w:pPr>
        <w:pStyle w:val="pheading"/>
      </w:pPr>
      <w:r>
        <w:t>- unité de mesure:</w:t>
      </w:r>
    </w:p>
    <w:p w14:paraId="51BA7A54" w14:textId="77777777" w:rsidR="00772179" w:rsidRDefault="00000000">
      <w:r>
        <w:rPr>
          <w:color w:val="FF0000"/>
        </w:rPr>
        <w:t>-</w:t>
      </w:r>
      <w:r>
        <w:t>  (par défaut)</w:t>
      </w:r>
      <w:r>
        <w:rPr>
          <w:rStyle w:val="optioncarChar"/>
        </w:rPr>
        <w:t> / m² </w:t>
      </w:r>
    </w:p>
    <w:p w14:paraId="79F3BAB5" w14:textId="77777777" w:rsidR="00772179" w:rsidRDefault="00000000">
      <w:r>
        <w:rPr>
          <w:b/>
        </w:rPr>
        <w:t>(soit par défaut)</w:t>
      </w:r>
    </w:p>
    <w:p w14:paraId="164EBBED" w14:textId="77777777" w:rsidR="00772179" w:rsidRDefault="00000000">
      <w:r>
        <w:rPr>
          <w:rStyle w:val="soitChar"/>
        </w:rPr>
        <w:t>1. -</w:t>
      </w:r>
    </w:p>
    <w:p w14:paraId="658C2479" w14:textId="77777777" w:rsidR="00772179" w:rsidRDefault="00000000">
      <w:r>
        <w:rPr>
          <w:b/>
        </w:rPr>
        <w:t>(soit)</w:t>
      </w:r>
    </w:p>
    <w:p w14:paraId="4C602AB2" w14:textId="77777777" w:rsidR="00772179" w:rsidRDefault="00000000">
      <w:r>
        <w:rPr>
          <w:rStyle w:val="soitChar"/>
        </w:rPr>
        <w:t>2. m²</w:t>
      </w:r>
    </w:p>
    <w:p w14:paraId="2052C85B" w14:textId="77777777" w:rsidR="00772179" w:rsidRDefault="00000000">
      <w:pPr>
        <w:pStyle w:val="pheading"/>
      </w:pPr>
      <w:r>
        <w:t>- code de mesurage:</w:t>
      </w:r>
    </w:p>
    <w:p w14:paraId="22DD0ECC" w14:textId="77777777" w:rsidR="00772179" w:rsidRDefault="00000000">
      <w:pPr>
        <w:jc w:val="both"/>
      </w:pPr>
      <w:r>
        <w:rPr>
          <w:rStyle w:val="optioncarChar"/>
        </w:rPr>
        <w:t>prix unitaire global</w:t>
      </w:r>
      <w:r>
        <w:t> (par défaut) </w:t>
      </w:r>
      <w:r>
        <w:rPr>
          <w:rStyle w:val="optioncarChar"/>
        </w:rPr>
        <w:t>/ poste séparé</w:t>
      </w:r>
    </w:p>
    <w:p w14:paraId="158D6361" w14:textId="77777777" w:rsidR="00772179" w:rsidRDefault="00000000">
      <w:pPr>
        <w:jc w:val="both"/>
      </w:pPr>
      <w:r>
        <w:rPr>
          <w:b/>
        </w:rPr>
        <w:t>(soit par défaut)</w:t>
      </w:r>
    </w:p>
    <w:p w14:paraId="6C2A4DB6" w14:textId="77777777" w:rsidR="00772179"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2DF43847" w14:textId="77777777" w:rsidR="00772179" w:rsidRDefault="00000000">
      <w:pPr>
        <w:jc w:val="both"/>
      </w:pPr>
      <w:r>
        <w:rPr>
          <w:b/>
        </w:rPr>
        <w:t>(soit)</w:t>
      </w:r>
    </w:p>
    <w:p w14:paraId="0D1FCAB2" w14:textId="77777777" w:rsidR="00772179"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17AFCC68" w14:textId="77777777" w:rsidR="00772179" w:rsidRDefault="00000000">
      <w:pPr>
        <w:pStyle w:val="pheading"/>
      </w:pPr>
      <w:r>
        <w:t>- nature du marché:</w:t>
      </w:r>
    </w:p>
    <w:p w14:paraId="4E417F08" w14:textId="77777777" w:rsidR="00772179" w:rsidRDefault="00000000">
      <w:r>
        <w:rPr>
          <w:rStyle w:val="optioncarChar"/>
        </w:rPr>
        <w:t>PM</w:t>
      </w:r>
      <w:r>
        <w:t> (par défaut) </w:t>
      </w:r>
      <w:r>
        <w:rPr>
          <w:rStyle w:val="optioncarChar"/>
        </w:rPr>
        <w:t>/ QF</w:t>
      </w:r>
    </w:p>
    <w:p w14:paraId="41B33A29" w14:textId="77777777" w:rsidR="00772179" w:rsidRDefault="00000000">
      <w:r>
        <w:rPr>
          <w:b/>
        </w:rPr>
        <w:t>(soit par défaut)</w:t>
      </w:r>
    </w:p>
    <w:p w14:paraId="13CB1216" w14:textId="77777777" w:rsidR="00772179" w:rsidRDefault="00000000">
      <w:r>
        <w:rPr>
          <w:rStyle w:val="soitChar"/>
        </w:rPr>
        <w:t>1. PM</w:t>
      </w:r>
    </w:p>
    <w:p w14:paraId="70818BA3" w14:textId="77777777" w:rsidR="00772179" w:rsidRDefault="00000000">
      <w:r>
        <w:rPr>
          <w:b/>
        </w:rPr>
        <w:t>(soit)</w:t>
      </w:r>
    </w:p>
    <w:p w14:paraId="34D6EE84" w14:textId="77777777" w:rsidR="00772179" w:rsidRDefault="00000000">
      <w:r>
        <w:rPr>
          <w:rStyle w:val="soitChar"/>
        </w:rPr>
        <w:lastRenderedPageBreak/>
        <w:t>2. QF</w:t>
      </w:r>
    </w:p>
    <w:p w14:paraId="348912FF" w14:textId="77777777" w:rsidR="00772179" w:rsidRDefault="00000000">
      <w:pPr>
        <w:pStyle w:val="Author-eSectionHeading5Numberless"/>
      </w:pPr>
      <w:bookmarkStart w:id="635" w:name="_Toc220490331"/>
      <w:r>
        <w:t>42.34.4 Eléments de remplissage en panneaux sandwichs en fibres ciment CCTB 01.02</w:t>
      </w:r>
      <w:bookmarkEnd w:id="635"/>
    </w:p>
    <w:p w14:paraId="09AAA0B3" w14:textId="77777777" w:rsidR="00772179" w:rsidRDefault="00000000">
      <w:pPr>
        <w:pStyle w:val="Author-eSectionHeading6Numberless"/>
      </w:pPr>
      <w:bookmarkStart w:id="636" w:name="_Toc220490332"/>
      <w:r>
        <w:t>42.34.4a Eléments de remplissage en panneaux sandwichs en fibres ciment CCTB 01.11</w:t>
      </w:r>
      <w:bookmarkEnd w:id="636"/>
    </w:p>
    <w:p w14:paraId="71E3A141" w14:textId="77777777" w:rsidR="00772179" w:rsidRDefault="00000000">
      <w:pPr>
        <w:pStyle w:val="pheading"/>
      </w:pPr>
      <w:r>
        <w:t>MATÉRIAUX</w:t>
      </w:r>
    </w:p>
    <w:p w14:paraId="44AE3D97" w14:textId="77777777" w:rsidR="00772179" w:rsidRDefault="00000000">
      <w:pPr>
        <w:pStyle w:val="pheading"/>
      </w:pPr>
      <w:r>
        <w:t>- Caractéristiques générales</w:t>
      </w:r>
    </w:p>
    <w:p w14:paraId="6B7D90CF" w14:textId="77777777" w:rsidR="00772179" w:rsidRDefault="00000000">
      <w:r>
        <w:t>Les éléments de remplissage sont des panneaux double face avec une âme isolante et une plaque extérieure en fibres-ciment. Les panneaux en fibres-ciment sont conformes à la norme [NBN EN 12467:2012+A2].</w:t>
      </w:r>
    </w:p>
    <w:p w14:paraId="4B2955ED" w14:textId="77777777" w:rsidR="00772179" w:rsidRDefault="00000000">
      <w:pPr>
        <w:pStyle w:val="pheading"/>
      </w:pPr>
      <w:r>
        <w:t>- Finitions</w:t>
      </w:r>
    </w:p>
    <w:p w14:paraId="0BD24157" w14:textId="77777777" w:rsidR="00772179" w:rsidRDefault="00000000">
      <w:r>
        <w:t xml:space="preserve">Epaisseur des plaques : ≥ </w:t>
      </w:r>
      <w:r>
        <w:rPr>
          <w:rStyle w:val="optioncarChar"/>
        </w:rPr>
        <w:t>20 / 30 / 40</w:t>
      </w:r>
      <w:r>
        <w:t> mm</w:t>
      </w:r>
    </w:p>
    <w:p w14:paraId="1C214AB9" w14:textId="77777777" w:rsidR="00772179" w:rsidRDefault="00000000">
      <w:r>
        <w:t>Nature des plaques de fibres-ciment </w:t>
      </w:r>
    </w:p>
    <w:p w14:paraId="443C63D0" w14:textId="77777777" w:rsidR="00772179" w:rsidRDefault="00000000">
      <w:pPr>
        <w:pStyle w:val="Author-eListParagraph"/>
        <w:numPr>
          <w:ilvl w:val="0"/>
          <w:numId w:val="865"/>
        </w:numPr>
      </w:pPr>
      <w:r>
        <w:t xml:space="preserve">Épaisseur nominale : &gt; </w:t>
      </w:r>
      <w:r>
        <w:rPr>
          <w:rStyle w:val="optioncarChar"/>
        </w:rPr>
        <w:t xml:space="preserve">3 / 4 / 5 </w:t>
      </w:r>
      <w:r>
        <w:t>mm</w:t>
      </w:r>
    </w:p>
    <w:p w14:paraId="5BCDFCC6" w14:textId="77777777" w:rsidR="00772179" w:rsidRDefault="00000000">
      <w:pPr>
        <w:pStyle w:val="Author-eListParagraph"/>
        <w:numPr>
          <w:ilvl w:val="0"/>
          <w:numId w:val="865"/>
        </w:numPr>
      </w:pPr>
      <w:r>
        <w:t>Couleur :  </w:t>
      </w:r>
      <w:r>
        <w:rPr>
          <w:rStyle w:val="optioncarChar"/>
        </w:rPr>
        <w:t>à choisir dans la gamme de couleurs standard du fabricant RAL : ***</w:t>
      </w:r>
    </w:p>
    <w:p w14:paraId="08672C72" w14:textId="77777777" w:rsidR="00772179" w:rsidRDefault="00000000">
      <w:r>
        <w:t>Nature de l'âme isolante :</w:t>
      </w:r>
    </w:p>
    <w:p w14:paraId="7920D632" w14:textId="77777777" w:rsidR="00772179" w:rsidRDefault="00000000">
      <w:r>
        <w:t xml:space="preserve"> ⇒ Matériau : </w:t>
      </w:r>
      <w:r>
        <w:rPr>
          <w:rStyle w:val="optioncarChar"/>
        </w:rPr>
        <w:t>EPS (polystyrène expansé) / XPS (polystyrène extrudé) / PUR (polyuréthane) / MW (laine minérale) / CG (verre cellulaire) / PF (mousse de phénolformaldéhyde (mousse de résol) / PIR (mousse de polyisocyanurate) /  laine de bois (WW) /  au choix de l'entrepreneur </w:t>
      </w:r>
      <w:r>
        <w:br/>
        <w:t>⇒ Conductivité thermique (valeur λ</w:t>
      </w:r>
      <w:r>
        <w:rPr>
          <w:vertAlign w:val="subscript"/>
        </w:rPr>
        <w:t>d</w:t>
      </w:r>
      <w:r>
        <w:t xml:space="preserve"> ) : ≤ </w:t>
      </w:r>
      <w:r>
        <w:rPr>
          <w:rStyle w:val="optioncarChar"/>
        </w:rPr>
        <w:t xml:space="preserve">*** </w:t>
      </w:r>
      <w:r>
        <w:t>W/mK</w:t>
      </w:r>
      <w:r>
        <w:br/>
        <w:t xml:space="preserve">⇒ Epaisseur de l'isolation : </w:t>
      </w:r>
      <w:r>
        <w:rPr>
          <w:rStyle w:val="optioncarChar"/>
        </w:rPr>
        <w:t xml:space="preserve">20 / 30 / 40 </w:t>
      </w:r>
      <w:r>
        <w:t>mm</w:t>
      </w:r>
    </w:p>
    <w:p w14:paraId="7BC6329F" w14:textId="77777777" w:rsidR="00772179" w:rsidRDefault="00000000">
      <w:pPr>
        <w:pStyle w:val="pheading"/>
      </w:pPr>
      <w:r>
        <w:t>- Prescriptions complémentaires</w:t>
      </w:r>
    </w:p>
    <w:p w14:paraId="7D9104B4" w14:textId="77777777" w:rsidR="00772179" w:rsidRDefault="00000000">
      <w:r>
        <w:t xml:space="preserve">Plaque intérieure : </w:t>
      </w:r>
      <w:r>
        <w:rPr>
          <w:rStyle w:val="optioncarChar"/>
        </w:rPr>
        <w:t>fibres-ciment / aluminium / bois / multiplex avec placage</w:t>
      </w:r>
    </w:p>
    <w:p w14:paraId="3F6E72D7" w14:textId="77777777" w:rsidR="00772179" w:rsidRDefault="00000000">
      <w:pPr>
        <w:pStyle w:val="pheading"/>
      </w:pPr>
      <w:r>
        <w:t>EXÉCUTION / MISE EN ŒUVRE</w:t>
      </w:r>
    </w:p>
    <w:p w14:paraId="0B3868EB" w14:textId="77777777" w:rsidR="00772179" w:rsidRDefault="00000000">
      <w:pPr>
        <w:pStyle w:val="pheading"/>
      </w:pPr>
      <w:r>
        <w:t>- Prescriptions générales</w:t>
      </w:r>
    </w:p>
    <w:p w14:paraId="0E1DA570" w14:textId="77777777" w:rsidR="00772179" w:rsidRDefault="00000000">
      <w:pPr>
        <w:pStyle w:val="Author-eListParagraph"/>
        <w:numPr>
          <w:ilvl w:val="0"/>
          <w:numId w:val="866"/>
        </w:numPr>
      </w:pPr>
      <w:r>
        <w:t>Les éléments de remplissage sont placés sous vitrage</w:t>
      </w:r>
      <w:r>
        <w:rPr>
          <w:rStyle w:val="optioncarChar"/>
        </w:rPr>
        <w:t xml:space="preserve"> comprimé / semi-comprimé / non-comprimé </w:t>
      </w:r>
      <w:r>
        <w:t>.</w:t>
      </w:r>
    </w:p>
    <w:p w14:paraId="226077A8" w14:textId="77777777" w:rsidR="00772179" w:rsidRDefault="00000000">
      <w:pPr>
        <w:pStyle w:val="Author-eListParagraph"/>
        <w:numPr>
          <w:ilvl w:val="0"/>
          <w:numId w:val="866"/>
        </w:numPr>
      </w:pPr>
      <w:r>
        <w:t xml:space="preserve">Les éléments de remplissage sont placés dans un système </w:t>
      </w:r>
      <w:r>
        <w:rPr>
          <w:rStyle w:val="optioncarChar"/>
        </w:rPr>
        <w:t>ouvert / fermé</w:t>
      </w:r>
    </w:p>
    <w:p w14:paraId="69DB23D2" w14:textId="77777777" w:rsidR="00772179" w:rsidRDefault="00000000">
      <w:pPr>
        <w:pStyle w:val="pheading"/>
      </w:pPr>
      <w:r>
        <w:t>MESURAGE</w:t>
      </w:r>
    </w:p>
    <w:p w14:paraId="16FA2D8C" w14:textId="77777777" w:rsidR="00772179" w:rsidRDefault="00000000">
      <w:pPr>
        <w:pStyle w:val="pheading"/>
      </w:pPr>
      <w:r>
        <w:t>- unité de mesure:</w:t>
      </w:r>
    </w:p>
    <w:p w14:paraId="16B209D0" w14:textId="77777777" w:rsidR="00772179" w:rsidRDefault="00000000">
      <w:r>
        <w:rPr>
          <w:color w:val="FF0000"/>
        </w:rPr>
        <w:t>-</w:t>
      </w:r>
      <w:r>
        <w:t>  (par défaut)</w:t>
      </w:r>
      <w:r>
        <w:rPr>
          <w:rStyle w:val="optioncarChar"/>
        </w:rPr>
        <w:t> / m² </w:t>
      </w:r>
    </w:p>
    <w:p w14:paraId="472F1BA5" w14:textId="77777777" w:rsidR="00772179" w:rsidRDefault="00000000">
      <w:r>
        <w:rPr>
          <w:b/>
        </w:rPr>
        <w:t>(soit par défaut)</w:t>
      </w:r>
    </w:p>
    <w:p w14:paraId="754473C9" w14:textId="77777777" w:rsidR="00772179" w:rsidRDefault="00000000">
      <w:r>
        <w:rPr>
          <w:rStyle w:val="soitChar"/>
        </w:rPr>
        <w:t>1. -</w:t>
      </w:r>
    </w:p>
    <w:p w14:paraId="5E1AE6F8" w14:textId="77777777" w:rsidR="00772179" w:rsidRDefault="00000000">
      <w:r>
        <w:rPr>
          <w:b/>
        </w:rPr>
        <w:t>(soit)</w:t>
      </w:r>
    </w:p>
    <w:p w14:paraId="491BA929" w14:textId="77777777" w:rsidR="00772179" w:rsidRDefault="00000000">
      <w:r>
        <w:rPr>
          <w:rStyle w:val="soitChar"/>
        </w:rPr>
        <w:t>2. m²</w:t>
      </w:r>
    </w:p>
    <w:p w14:paraId="45356768" w14:textId="77777777" w:rsidR="00772179" w:rsidRDefault="00000000">
      <w:pPr>
        <w:pStyle w:val="pheading"/>
      </w:pPr>
      <w:r>
        <w:t>- code de mesurage:</w:t>
      </w:r>
    </w:p>
    <w:p w14:paraId="2CCCCEA2" w14:textId="77777777" w:rsidR="00772179" w:rsidRDefault="00000000">
      <w:pPr>
        <w:jc w:val="both"/>
      </w:pPr>
      <w:r>
        <w:rPr>
          <w:rStyle w:val="optioncarChar"/>
        </w:rPr>
        <w:t>prix unitaire global</w:t>
      </w:r>
      <w:r>
        <w:t>  (par défaut) </w:t>
      </w:r>
      <w:r>
        <w:rPr>
          <w:rStyle w:val="optioncarChar"/>
        </w:rPr>
        <w:t>/ poste séparé</w:t>
      </w:r>
    </w:p>
    <w:p w14:paraId="481FEC20" w14:textId="77777777" w:rsidR="00772179" w:rsidRDefault="00000000">
      <w:pPr>
        <w:jc w:val="both"/>
      </w:pPr>
      <w:r>
        <w:rPr>
          <w:b/>
        </w:rPr>
        <w:t>(soit par défaut)</w:t>
      </w:r>
    </w:p>
    <w:p w14:paraId="0BB26836" w14:textId="77777777" w:rsidR="00772179" w:rsidRDefault="00000000">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 xml:space="preserve">prix unitaire global de la </w:t>
      </w:r>
      <w:r>
        <w:rPr>
          <w:rStyle w:val="soitChar"/>
          <w:b/>
          <w:u w:val="single"/>
        </w:rPr>
        <w:lastRenderedPageBreak/>
        <w:t>menuiserie</w:t>
      </w:r>
      <w:r>
        <w:rPr>
          <w:rStyle w:val="soitChar"/>
        </w:rPr>
        <w:t> et/ou des lanterneaux, conformément aux spécifications pour les vitrages dans les postes concernés.</w:t>
      </w:r>
    </w:p>
    <w:p w14:paraId="56549843" w14:textId="77777777" w:rsidR="00772179" w:rsidRDefault="00000000">
      <w:pPr>
        <w:jc w:val="both"/>
      </w:pPr>
      <w:r>
        <w:rPr>
          <w:b/>
        </w:rPr>
        <w:t>(soit)</w:t>
      </w:r>
    </w:p>
    <w:p w14:paraId="06622879" w14:textId="77777777" w:rsidR="00772179" w:rsidRDefault="00000000">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7EB74D2B" w14:textId="77777777" w:rsidR="00772179" w:rsidRDefault="00000000">
      <w:pPr>
        <w:pStyle w:val="pheading"/>
      </w:pPr>
      <w:r>
        <w:t>- nature du marché:</w:t>
      </w:r>
    </w:p>
    <w:p w14:paraId="5918790F" w14:textId="77777777" w:rsidR="00772179" w:rsidRDefault="00000000">
      <w:r>
        <w:rPr>
          <w:rStyle w:val="optioncarChar"/>
        </w:rPr>
        <w:t>PM</w:t>
      </w:r>
      <w:r>
        <w:t> (par défaut) </w:t>
      </w:r>
      <w:r>
        <w:rPr>
          <w:rStyle w:val="optioncarChar"/>
        </w:rPr>
        <w:t>/ QF</w:t>
      </w:r>
    </w:p>
    <w:p w14:paraId="1AE919D4" w14:textId="77777777" w:rsidR="00772179" w:rsidRDefault="00000000">
      <w:r>
        <w:rPr>
          <w:b/>
        </w:rPr>
        <w:t>(soit par défaut)</w:t>
      </w:r>
    </w:p>
    <w:p w14:paraId="7B90AAA3" w14:textId="77777777" w:rsidR="00772179" w:rsidRDefault="00000000">
      <w:r>
        <w:rPr>
          <w:rStyle w:val="soitChar"/>
        </w:rPr>
        <w:t>1. PM</w:t>
      </w:r>
    </w:p>
    <w:p w14:paraId="77EF1A22" w14:textId="77777777" w:rsidR="00772179" w:rsidRDefault="00000000">
      <w:r>
        <w:rPr>
          <w:b/>
        </w:rPr>
        <w:t>(soit)</w:t>
      </w:r>
    </w:p>
    <w:p w14:paraId="2ACA9259" w14:textId="77777777" w:rsidR="00772179" w:rsidRDefault="00000000">
      <w:r>
        <w:rPr>
          <w:rStyle w:val="soitChar"/>
        </w:rPr>
        <w:t>2. QF</w:t>
      </w:r>
    </w:p>
    <w:p w14:paraId="385D2DE2" w14:textId="77777777" w:rsidR="00772179" w:rsidRDefault="00000000">
      <w:pPr>
        <w:pStyle w:val="Author-eSectionHeading3Numberless"/>
      </w:pPr>
      <w:bookmarkStart w:id="637" w:name="_Toc220490333"/>
      <w:r>
        <w:t>42.4 Systèmes en vitrages CCTB 01.11</w:t>
      </w:r>
      <w:bookmarkEnd w:id="637"/>
    </w:p>
    <w:p w14:paraId="69B610DD" w14:textId="77777777" w:rsidR="00772179" w:rsidRDefault="00000000">
      <w:pPr>
        <w:pStyle w:val="pheading"/>
      </w:pPr>
      <w:bookmarkStart w:id="638" w:name="1040"/>
      <w:bookmarkEnd w:id="638"/>
      <w:r>
        <w:t>DESCRIPTION</w:t>
      </w:r>
    </w:p>
    <w:p w14:paraId="08B1DF5B" w14:textId="77777777" w:rsidR="00772179" w:rsidRDefault="00000000">
      <w:pPr>
        <w:pStyle w:val="pheading"/>
      </w:pPr>
      <w:r>
        <w:t>- Définition / Comprend</w:t>
      </w:r>
    </w:p>
    <w:p w14:paraId="2AD25D35" w14:textId="77777777" w:rsidR="00772179" w:rsidRDefault="00000000">
      <w:r>
        <w:t xml:space="preserve">Les performances générales pour la menuiserie extérieure (article </w:t>
      </w:r>
      <w:hyperlink w:anchor="852" w:history="1">
        <w:r>
          <w:rPr>
            <w:color w:val="0000EE"/>
          </w:rPr>
          <w:t>42 Vitrages extérieurs et éléments de remplissage</w:t>
        </w:r>
      </w:hyperlink>
      <w:r>
        <w:t xml:space="preserve"> vitrages extérieurs et éléments de remplissage) et le vitrage restent intégralement d'application. Les cloisons préfabriquées ou les murs-rideaux constitués de bandes de verre profilé, satisfont en outre aux prescriptions des normes [NBN EN 13830:2015+A1], [NBN B 25-002-1] notamment en matière d'étanchéité à l'eau, à l'air et de résistance au vent. L'ensemble résiste aux coups et chocs, est suffisamment rigide et résister aux pressions, avec une résistance élevée à la flexion et au flambage. Tous les raccordements et étanchéités sont résistants aux intempéries.</w:t>
      </w:r>
    </w:p>
    <w:p w14:paraId="634E881A" w14:textId="77777777" w:rsidR="00772179" w:rsidRDefault="00000000">
      <w:r>
        <w:t xml:space="preserve">Les profilés des systèmes de façade sont décrits et répondent aux prescriptions du </w:t>
      </w:r>
      <w:hyperlink w:anchor="916" w:history="1">
        <w:r>
          <w:rPr>
            <w:color w:val="0000EE"/>
          </w:rPr>
          <w:t>41.4 Systèmes de façades</w:t>
        </w:r>
      </w:hyperlink>
    </w:p>
    <w:p w14:paraId="56C84315" w14:textId="77777777" w:rsidR="00772179" w:rsidRDefault="00000000">
      <w:pPr>
        <w:pStyle w:val="pheading"/>
      </w:pPr>
      <w:r>
        <w:t>- Remarques importantes</w:t>
      </w:r>
    </w:p>
    <w:p w14:paraId="5BC25D36" w14:textId="77777777" w:rsidR="00772179" w:rsidRDefault="00000000">
      <w:r>
        <w:t>Le verre profilé n'est pas utilisé pour tous les cas d'application de la norme [NBN S 23-002] en matière de sécurité des personnes.</w:t>
      </w:r>
    </w:p>
    <w:p w14:paraId="4A7EBFA0" w14:textId="77777777" w:rsidR="00772179" w:rsidRDefault="00000000">
      <w:pPr>
        <w:pStyle w:val="pheading"/>
      </w:pPr>
      <w:r>
        <w:t>MATÉRIAUX</w:t>
      </w:r>
    </w:p>
    <w:p w14:paraId="7B8A4340" w14:textId="77777777" w:rsidR="00772179" w:rsidRDefault="00000000">
      <w:r>
        <w:t>Il s'agit de bandes de verre profilé en verre coulé, fabriquées pour être posées dans les profilés en aluminium appropriés, livrées pour le fournisseur du système. Ce verre répond à la norme [NBN S 23-002] et à la norme [NBN EN 572-7]. Tous les profils de réglage et de fixation sont en aluminium à surface lisse. </w:t>
      </w:r>
    </w:p>
    <w:p w14:paraId="0242DE32" w14:textId="77777777" w:rsidR="00772179" w:rsidRDefault="00000000">
      <w:pPr>
        <w:pStyle w:val="heading"/>
      </w:pPr>
      <w:r>
        <w:t>Spécifications</w:t>
      </w:r>
    </w:p>
    <w:p w14:paraId="5A52E606" w14:textId="77777777" w:rsidR="00772179" w:rsidRDefault="00000000">
      <w:pPr>
        <w:pStyle w:val="Author-eListParagraph"/>
        <w:numPr>
          <w:ilvl w:val="0"/>
          <w:numId w:val="867"/>
        </w:numPr>
      </w:pPr>
      <w:r>
        <w:t xml:space="preserve">Epaisseur du verre : ≥ </w:t>
      </w:r>
      <w:r>
        <w:rPr>
          <w:rStyle w:val="optioncarChar"/>
        </w:rPr>
        <w:t>6 / 7 mm</w:t>
      </w:r>
    </w:p>
    <w:p w14:paraId="394F676C" w14:textId="77777777" w:rsidR="00772179" w:rsidRDefault="00000000">
      <w:pPr>
        <w:pStyle w:val="Author-eListParagraph"/>
        <w:numPr>
          <w:ilvl w:val="0"/>
          <w:numId w:val="867"/>
        </w:numPr>
      </w:pPr>
      <w:r>
        <w:t xml:space="preserve">Le verre est : </w:t>
      </w:r>
      <w:r>
        <w:rPr>
          <w:rStyle w:val="optioncarChar"/>
        </w:rPr>
        <w:t>armé / non armé / trempé.</w:t>
      </w:r>
    </w:p>
    <w:p w14:paraId="363F72A7" w14:textId="77777777" w:rsidR="00772179" w:rsidRDefault="00000000">
      <w:pPr>
        <w:pStyle w:val="Author-eListParagraph"/>
        <w:numPr>
          <w:ilvl w:val="0"/>
          <w:numId w:val="867"/>
        </w:numPr>
      </w:pPr>
      <w:r>
        <w:t>Largeur des bandes :  </w:t>
      </w:r>
      <w:r>
        <w:rPr>
          <w:rStyle w:val="optioncarChar"/>
        </w:rPr>
        <w:t>232 / 262 / 331 / 498 </w:t>
      </w:r>
      <w:r>
        <w:t>mm</w:t>
      </w:r>
    </w:p>
    <w:p w14:paraId="3B1E3108" w14:textId="77777777" w:rsidR="00772179" w:rsidRDefault="00000000">
      <w:pPr>
        <w:pStyle w:val="Author-eListParagraph"/>
        <w:numPr>
          <w:ilvl w:val="0"/>
          <w:numId w:val="867"/>
        </w:numPr>
      </w:pPr>
      <w:r>
        <w:t>Profondeur du vantail : </w:t>
      </w:r>
      <w:r>
        <w:rPr>
          <w:rStyle w:val="optioncarChar"/>
        </w:rPr>
        <w:t>41 / 60 </w:t>
      </w:r>
      <w:r>
        <w:t>mm</w:t>
      </w:r>
    </w:p>
    <w:p w14:paraId="104BDADF" w14:textId="77777777" w:rsidR="00772179" w:rsidRDefault="00000000">
      <w:pPr>
        <w:pStyle w:val="Author-eListParagraph"/>
        <w:numPr>
          <w:ilvl w:val="0"/>
          <w:numId w:val="867"/>
        </w:numPr>
      </w:pPr>
      <w:r>
        <w:t>Structure de la surface :  </w:t>
      </w:r>
      <w:r>
        <w:rPr>
          <w:rStyle w:val="optioncarChar"/>
        </w:rPr>
        <w:t xml:space="preserve">grain léger </w:t>
      </w:r>
      <w:r>
        <w:t>(avec reflet vert clair)</w:t>
      </w:r>
    </w:p>
    <w:p w14:paraId="4918641E" w14:textId="77777777" w:rsidR="00772179" w:rsidRDefault="00000000">
      <w:pPr>
        <w:pStyle w:val="heading"/>
      </w:pPr>
      <w:r>
        <w:t>Options</w:t>
      </w:r>
    </w:p>
    <w:p w14:paraId="47C5BB33" w14:textId="77777777" w:rsidR="00772179" w:rsidRDefault="00000000">
      <w:pPr>
        <w:pStyle w:val="Author-eListParagraph"/>
        <w:numPr>
          <w:ilvl w:val="0"/>
          <w:numId w:val="868"/>
        </w:numPr>
      </w:pPr>
      <w:r>
        <w:t>Le système de cloisons préfabriquées en vitrages profilés répond aux critères d'acceptabilité tels que définis dans l'article 02.42.1 Critères d'acceptabilité pour la composition et les performances concernées.</w:t>
      </w:r>
    </w:p>
    <w:p w14:paraId="07AB6760" w14:textId="77777777" w:rsidR="00772179" w:rsidRDefault="00000000">
      <w:pPr>
        <w:pStyle w:val="Author-eListParagraph"/>
        <w:numPr>
          <w:ilvl w:val="0"/>
          <w:numId w:val="868"/>
        </w:numPr>
      </w:pPr>
      <w:r>
        <w:lastRenderedPageBreak/>
        <w:t>Finition : la face lisse entre les deux feuilles est recouverte d'une mince couche d'oxyde métallique de faible émissivité.</w:t>
      </w:r>
    </w:p>
    <w:p w14:paraId="55A98B2A" w14:textId="77777777" w:rsidR="00772179" w:rsidRDefault="00000000">
      <w:pPr>
        <w:pStyle w:val="pheading"/>
      </w:pPr>
      <w:r>
        <w:t>EXÉCUTION / MISE EN ŒUVRE</w:t>
      </w:r>
    </w:p>
    <w:p w14:paraId="644CBA6C" w14:textId="77777777" w:rsidR="00772179" w:rsidRDefault="00000000">
      <w:r>
        <w:t>Le vitrage profilé est placé par un vitrier agréé, conformément aux prescriptions du fabricant. Le système et les plans d'exécution sont soumis pour approbation au maître d’ouvrage. Les bandes de verre sont serties dans des profils en aluminium spéciaux, les joints sont rendus parfaitement étanches à l'aide d'un mastic à base de silicones compatible avec la nature de l'application.</w:t>
      </w:r>
    </w:p>
    <w:p w14:paraId="6E98BE36" w14:textId="77777777" w:rsidR="00772179" w:rsidRDefault="00000000">
      <w:pPr>
        <w:pStyle w:val="Author-eListParagraph"/>
        <w:numPr>
          <w:ilvl w:val="0"/>
          <w:numId w:val="869"/>
        </w:numPr>
      </w:pPr>
      <w:r>
        <w:t xml:space="preserve">Pose : </w:t>
      </w:r>
      <w:r>
        <w:rPr>
          <w:rStyle w:val="optioncarChar"/>
        </w:rPr>
        <w:t>verticale / horizontale</w:t>
      </w:r>
      <w:r>
        <w:t>.</w:t>
      </w:r>
    </w:p>
    <w:p w14:paraId="74C61CEB" w14:textId="77777777" w:rsidR="00772179" w:rsidRDefault="00000000">
      <w:pPr>
        <w:pStyle w:val="Author-eListParagraph"/>
        <w:numPr>
          <w:ilvl w:val="0"/>
          <w:numId w:val="869"/>
        </w:numPr>
      </w:pPr>
      <w:r>
        <w:t xml:space="preserve">Type de cloisons : </w:t>
      </w:r>
      <w:r>
        <w:rPr>
          <w:rStyle w:val="optioncarChar"/>
        </w:rPr>
        <w:t xml:space="preserve">cloisons simples / cloisons doubles </w:t>
      </w:r>
    </w:p>
    <w:p w14:paraId="6F505496" w14:textId="77777777" w:rsidR="00772179" w:rsidRDefault="00000000">
      <w:pPr>
        <w:pStyle w:val="Author-eListParagraph"/>
        <w:numPr>
          <w:ilvl w:val="0"/>
          <w:numId w:val="869"/>
        </w:numPr>
      </w:pPr>
      <w:r>
        <w:t xml:space="preserve">Ecartement entre les points de support : </w:t>
      </w:r>
      <w:r>
        <w:rPr>
          <w:rStyle w:val="optioncarChar"/>
        </w:rPr>
        <w:t xml:space="preserve">*** </w:t>
      </w:r>
    </w:p>
    <w:p w14:paraId="77C9EA03" w14:textId="77777777" w:rsidR="00772179" w:rsidRDefault="00000000">
      <w:pPr>
        <w:pStyle w:val="heading"/>
      </w:pPr>
      <w:r>
        <w:t>Notes d'exécution complémentaires</w:t>
      </w:r>
    </w:p>
    <w:p w14:paraId="1823681C" w14:textId="77777777" w:rsidR="00772179" w:rsidRDefault="00000000">
      <w:pPr>
        <w:pStyle w:val="Author-eListParagraph"/>
        <w:numPr>
          <w:ilvl w:val="0"/>
          <w:numId w:val="870"/>
        </w:numPr>
      </w:pPr>
      <w:r>
        <w:t>Les fenêtres extérieures intégrées sont fixées dans le verre profilé par l'intermédiaire d'un cadre spécial assemblé à l'avance.</w:t>
      </w:r>
    </w:p>
    <w:p w14:paraId="215DA6C2" w14:textId="77777777" w:rsidR="00772179" w:rsidRDefault="00000000">
      <w:pPr>
        <w:pStyle w:val="Author-eListParagraph"/>
        <w:numPr>
          <w:ilvl w:val="0"/>
          <w:numId w:val="870"/>
        </w:numPr>
      </w:pPr>
      <w:r>
        <w:t>Les portes extérieures intégrées sont fixées à l'intérieur par l'intermédiaire d'un profil tubulaire spécial en acier galvanisé et laqué, situé derrière la menuiserie.</w:t>
      </w:r>
    </w:p>
    <w:p w14:paraId="20D316E0" w14:textId="77777777" w:rsidR="00772179" w:rsidRDefault="00000000">
      <w:pPr>
        <w:pStyle w:val="Author-eListParagraph"/>
        <w:numPr>
          <w:ilvl w:val="0"/>
          <w:numId w:val="870"/>
        </w:numPr>
      </w:pPr>
      <w:r>
        <w:t>L'intégration de la menuiserie extérieure se fait très soigneusement en veillant à éviter les ponts thermiques.</w:t>
      </w:r>
    </w:p>
    <w:p w14:paraId="5D216444" w14:textId="77777777" w:rsidR="00772179" w:rsidRDefault="00000000">
      <w:pPr>
        <w:pStyle w:val="Author-eSectionHeading4Numberless"/>
      </w:pPr>
      <w:bookmarkStart w:id="639" w:name="_Toc220490334"/>
      <w:r>
        <w:t>42.41 Vitrages structuraux CCTB 01.10</w:t>
      </w:r>
      <w:bookmarkEnd w:id="639"/>
    </w:p>
    <w:p w14:paraId="65107D30" w14:textId="77777777" w:rsidR="00772179" w:rsidRDefault="00000000">
      <w:pPr>
        <w:pStyle w:val="pheading"/>
      </w:pPr>
      <w:r>
        <w:t>DESCRIPTION</w:t>
      </w:r>
    </w:p>
    <w:p w14:paraId="449F7746" w14:textId="77777777" w:rsidR="00772179" w:rsidRDefault="00000000">
      <w:pPr>
        <w:pStyle w:val="pheading"/>
      </w:pPr>
      <w:r>
        <w:t>- Définition / Comprend</w:t>
      </w:r>
    </w:p>
    <w:p w14:paraId="34AF944B" w14:textId="77777777" w:rsidR="00772179" w:rsidRDefault="00000000">
      <w:r>
        <w:t>Les éléments structuraux en verre sont décrits et comptabilisés sous le 25 Superstructures en verre.</w:t>
      </w:r>
    </w:p>
    <w:p w14:paraId="4ED8CF3F" w14:textId="77777777" w:rsidR="00772179" w:rsidRDefault="00000000">
      <w:pPr>
        <w:ind w:left="750"/>
      </w:pPr>
      <w:r>
        <w:t> </w:t>
      </w:r>
    </w:p>
    <w:p w14:paraId="6E938118" w14:textId="77777777" w:rsidR="00772179" w:rsidRDefault="00000000">
      <w:pPr>
        <w:pStyle w:val="Author-eSectionHeading3Numberless"/>
      </w:pPr>
      <w:bookmarkStart w:id="640" w:name="_Toc220490335"/>
      <w:r>
        <w:t>42.5 Vitraux</w:t>
      </w:r>
      <w:bookmarkEnd w:id="640"/>
    </w:p>
    <w:p w14:paraId="2BCC746D" w14:textId="77777777" w:rsidR="00772179" w:rsidRDefault="00000000">
      <w:pPr>
        <w:pStyle w:val="Author-eSectionHeading3Numberless"/>
      </w:pPr>
      <w:bookmarkStart w:id="641" w:name="_Toc220490336"/>
      <w:r>
        <w:t>42.6 - CCTB 01.02</w:t>
      </w:r>
      <w:bookmarkEnd w:id="641"/>
    </w:p>
    <w:p w14:paraId="5D9B3311" w14:textId="77777777" w:rsidR="00772179" w:rsidRDefault="00000000">
      <w:pPr>
        <w:pStyle w:val="Author-eSectionHeading3Numberless"/>
      </w:pPr>
      <w:bookmarkStart w:id="642" w:name="_Toc220490337"/>
      <w:r>
        <w:t>42.7 - CCTB 01.02</w:t>
      </w:r>
      <w:bookmarkEnd w:id="642"/>
    </w:p>
    <w:p w14:paraId="2602F93B" w14:textId="77777777" w:rsidR="00772179" w:rsidRDefault="00000000">
      <w:pPr>
        <w:pStyle w:val="Author-eSectionHeading3Numberless"/>
      </w:pPr>
      <w:bookmarkStart w:id="643" w:name="_Toc220490338"/>
      <w:r>
        <w:t>42.8 Vitrages extérieurs et éléments de remplissage - rénovation CCTB 01.02</w:t>
      </w:r>
      <w:bookmarkEnd w:id="643"/>
    </w:p>
    <w:p w14:paraId="5B200F0B" w14:textId="77777777" w:rsidR="00772179" w:rsidRDefault="00000000">
      <w:pPr>
        <w:pStyle w:val="Author-eSectionHeading4Numberless"/>
      </w:pPr>
      <w:bookmarkStart w:id="644" w:name="_Toc220490339"/>
      <w:r>
        <w:t>42.81 Vitrages extérieurs et éléments de remplissage - rénovation</w:t>
      </w:r>
      <w:bookmarkEnd w:id="644"/>
    </w:p>
    <w:p w14:paraId="77EE0531" w14:textId="77777777" w:rsidR="00772179" w:rsidRDefault="00000000">
      <w:pPr>
        <w:pStyle w:val="Author-eSectionHeading4Numberless"/>
      </w:pPr>
      <w:bookmarkStart w:id="645" w:name="_Toc220490340"/>
      <w:r>
        <w:t>42.82 Vitraux - rénovation</w:t>
      </w:r>
      <w:bookmarkEnd w:id="645"/>
    </w:p>
    <w:p w14:paraId="014A0DBC" w14:textId="77777777" w:rsidR="00772179" w:rsidRDefault="00000000">
      <w:pPr>
        <w:pStyle w:val="Author-eSectionHeading5Numberless"/>
      </w:pPr>
      <w:bookmarkStart w:id="646" w:name="_Toc220490341"/>
      <w:r>
        <w:t>42.82.1 Vitraux - rénovation - études préalables</w:t>
      </w:r>
      <w:bookmarkEnd w:id="646"/>
    </w:p>
    <w:p w14:paraId="10FD8C30" w14:textId="77777777" w:rsidR="00772179" w:rsidRDefault="00000000">
      <w:pPr>
        <w:pStyle w:val="Author-eSectionHeading6Numberless"/>
      </w:pPr>
      <w:bookmarkStart w:id="647" w:name="_Toc220490342"/>
      <w:r>
        <w:t>42.82.1a Vitraux - rénovation - études préalables - études préliminaires in situ</w:t>
      </w:r>
      <w:bookmarkEnd w:id="647"/>
    </w:p>
    <w:p w14:paraId="69F7CB54" w14:textId="77777777" w:rsidR="00772179" w:rsidRDefault="00000000">
      <w:pPr>
        <w:pStyle w:val="Author-eSectionHeading6Numberless"/>
      </w:pPr>
      <w:bookmarkStart w:id="648" w:name="_Toc220490343"/>
      <w:r>
        <w:t>42.82.1b Vitraux - rénovation - études préalables - études préliminaires et diagnostics en atelier</w:t>
      </w:r>
      <w:bookmarkEnd w:id="648"/>
    </w:p>
    <w:p w14:paraId="62403C34" w14:textId="77777777" w:rsidR="00772179" w:rsidRDefault="00000000">
      <w:pPr>
        <w:pStyle w:val="Author-eSectionHeading6Numberless"/>
      </w:pPr>
      <w:bookmarkStart w:id="649" w:name="_Toc220490344"/>
      <w:r>
        <w:t>42.82.1c Vitraux - rénovation - études préalables - documentation après travaux</w:t>
      </w:r>
      <w:bookmarkEnd w:id="649"/>
    </w:p>
    <w:p w14:paraId="55528196" w14:textId="77777777" w:rsidR="00772179" w:rsidRDefault="00000000">
      <w:pPr>
        <w:pStyle w:val="Author-eSectionHeading6Numberless"/>
      </w:pPr>
      <w:bookmarkStart w:id="650" w:name="_Toc220490345"/>
      <w:r>
        <w:t>42.82.1d Vitraux - rénovation - études préalables - critiques d'authenticité</w:t>
      </w:r>
      <w:bookmarkEnd w:id="650"/>
    </w:p>
    <w:p w14:paraId="59424A82" w14:textId="77777777" w:rsidR="00772179" w:rsidRDefault="00000000">
      <w:pPr>
        <w:pStyle w:val="Author-eSectionHeading6Numberless"/>
      </w:pPr>
      <w:bookmarkStart w:id="651" w:name="_Toc220490346"/>
      <w:r>
        <w:t>42.82.1e Vitraux - rénovation - études préalables - numérotation des baies et panneaux</w:t>
      </w:r>
      <w:bookmarkEnd w:id="651"/>
    </w:p>
    <w:p w14:paraId="5F313018" w14:textId="77777777" w:rsidR="00772179" w:rsidRDefault="00000000">
      <w:pPr>
        <w:pStyle w:val="Author-eSectionHeading5Numberless"/>
      </w:pPr>
      <w:bookmarkStart w:id="652" w:name="_Toc220490347"/>
      <w:r>
        <w:t>42.82.2 Vitraux - rénovation - déposes en conservation</w:t>
      </w:r>
      <w:bookmarkEnd w:id="652"/>
    </w:p>
    <w:p w14:paraId="7D0F04DF" w14:textId="77777777" w:rsidR="00772179" w:rsidRDefault="00000000">
      <w:pPr>
        <w:pStyle w:val="Author-eSectionHeading6Numberless"/>
      </w:pPr>
      <w:bookmarkStart w:id="653" w:name="_Toc220490348"/>
      <w:r>
        <w:lastRenderedPageBreak/>
        <w:t>42.82.2a Vitraux - rénovation - déposes en conservation</w:t>
      </w:r>
      <w:bookmarkEnd w:id="653"/>
    </w:p>
    <w:p w14:paraId="443ADE64" w14:textId="77777777" w:rsidR="00772179" w:rsidRDefault="00000000">
      <w:pPr>
        <w:pStyle w:val="Author-eSectionHeading5Numberless"/>
      </w:pPr>
      <w:bookmarkStart w:id="654" w:name="_Toc220490349"/>
      <w:r>
        <w:t>42.82.3 Vitraux - rénovation - traitements des armatures métalliques</w:t>
      </w:r>
      <w:bookmarkEnd w:id="654"/>
    </w:p>
    <w:p w14:paraId="21727414" w14:textId="77777777" w:rsidR="00772179" w:rsidRDefault="00000000">
      <w:pPr>
        <w:pStyle w:val="Author-eSectionHeading6Numberless"/>
      </w:pPr>
      <w:bookmarkStart w:id="655" w:name="_Toc220490350"/>
      <w:r>
        <w:t>42.82.3a Vitraux - rénovation - traitements des armatures métalliques - traitements contre la rouille</w:t>
      </w:r>
      <w:bookmarkEnd w:id="655"/>
    </w:p>
    <w:p w14:paraId="3EDBDD43" w14:textId="77777777" w:rsidR="00772179" w:rsidRDefault="00000000">
      <w:pPr>
        <w:pStyle w:val="Author-eSectionHeading6Numberless"/>
      </w:pPr>
      <w:bookmarkStart w:id="656" w:name="_Toc220490351"/>
      <w:r>
        <w:t>42.82.3b Vitraux - rénovation - traitements des armatures métalliques - réparation des barlotières</w:t>
      </w:r>
      <w:bookmarkEnd w:id="656"/>
    </w:p>
    <w:p w14:paraId="13C41D72" w14:textId="77777777" w:rsidR="00772179" w:rsidRDefault="00000000">
      <w:pPr>
        <w:pStyle w:val="Author-eSectionHeading6Numberless"/>
      </w:pPr>
      <w:bookmarkStart w:id="657" w:name="_Toc220490352"/>
      <w:r>
        <w:t>42.82.3c Vitraux - rénovation - traitements des armatures métalliques - renouvellement des feuillard</w:t>
      </w:r>
      <w:bookmarkEnd w:id="657"/>
    </w:p>
    <w:p w14:paraId="65AA6A8A" w14:textId="77777777" w:rsidR="00772179" w:rsidRDefault="00000000">
      <w:pPr>
        <w:pStyle w:val="Author-eSectionHeading6Numberless"/>
      </w:pPr>
      <w:bookmarkStart w:id="658" w:name="_Toc220490353"/>
      <w:r>
        <w:t>42.82.3d Vitraux - rénovation - traitements des armatures métalliques - renouvellement des vergettes</w:t>
      </w:r>
      <w:bookmarkEnd w:id="658"/>
    </w:p>
    <w:p w14:paraId="55C61EF3" w14:textId="77777777" w:rsidR="00772179" w:rsidRDefault="00000000">
      <w:pPr>
        <w:pStyle w:val="Author-eSectionHeading6Numberless"/>
      </w:pPr>
      <w:bookmarkStart w:id="659" w:name="_Toc220490354"/>
      <w:r>
        <w:t>42.82.3e Vitraux - rénovation - traitements des armatures métalliques - poses d'un bac d'égouttage en plomb</w:t>
      </w:r>
      <w:bookmarkEnd w:id="659"/>
    </w:p>
    <w:p w14:paraId="2C9E42EB" w14:textId="77777777" w:rsidR="00772179" w:rsidRDefault="00000000">
      <w:pPr>
        <w:pStyle w:val="Author-eSectionHeading5Numberless"/>
      </w:pPr>
      <w:bookmarkStart w:id="660" w:name="_Toc220490355"/>
      <w:r>
        <w:t>42.82.4 Vitraux - rénovation - restauration-conservation en atelier</w:t>
      </w:r>
      <w:bookmarkEnd w:id="660"/>
    </w:p>
    <w:p w14:paraId="4E7A07C3" w14:textId="77777777" w:rsidR="00772179" w:rsidRDefault="00000000">
      <w:pPr>
        <w:pStyle w:val="Author-eSectionHeading6Numberless"/>
      </w:pPr>
      <w:bookmarkStart w:id="661" w:name="_Toc220490356"/>
      <w:r>
        <w:t>42.82.4a Vitraux - rénovation - restauration-conservation en atelier - nettoyage</w:t>
      </w:r>
      <w:bookmarkEnd w:id="661"/>
    </w:p>
    <w:p w14:paraId="3A88AE3D" w14:textId="77777777" w:rsidR="00772179" w:rsidRDefault="00000000">
      <w:pPr>
        <w:pStyle w:val="Author-eSectionHeading6Numberless"/>
      </w:pPr>
      <w:bookmarkStart w:id="662" w:name="_Toc220490357"/>
      <w:r>
        <w:t>42.82.4b Vitraux - rénovation - restauration-conservation en atelier - infiltration résine, casses simples / casses multiples</w:t>
      </w:r>
      <w:bookmarkEnd w:id="662"/>
    </w:p>
    <w:p w14:paraId="2891314E" w14:textId="77777777" w:rsidR="00772179" w:rsidRDefault="00000000">
      <w:pPr>
        <w:pStyle w:val="Author-eSectionHeading6Numberless"/>
      </w:pPr>
      <w:bookmarkStart w:id="663" w:name="_Toc220490358"/>
      <w:r>
        <w:t>42.82.4c Vitraux - rénovation - restauration-conservation en atelier - collage à la résine, casses simples / casses multiples</w:t>
      </w:r>
      <w:bookmarkEnd w:id="663"/>
    </w:p>
    <w:p w14:paraId="651D3A53" w14:textId="77777777" w:rsidR="00772179" w:rsidRDefault="00000000">
      <w:pPr>
        <w:pStyle w:val="Author-eSectionHeading6Numberless"/>
      </w:pPr>
      <w:bookmarkStart w:id="664" w:name="_Toc220490359"/>
      <w:r>
        <w:t>42.82.4d Vitraux - rénovation - restauration-conservation en atelier - collage au silicone CAF3, casses simples / casses multiples</w:t>
      </w:r>
      <w:bookmarkEnd w:id="664"/>
    </w:p>
    <w:p w14:paraId="2D537CD0" w14:textId="77777777" w:rsidR="00772179" w:rsidRDefault="00000000">
      <w:pPr>
        <w:pStyle w:val="Author-eSectionHeading6Numberless"/>
      </w:pPr>
      <w:bookmarkStart w:id="665" w:name="_Toc220490360"/>
      <w:r>
        <w:t>42.82.4e Vitraux - rénovation - restauration-conservation en atelier - comblement à la résine</w:t>
      </w:r>
      <w:bookmarkEnd w:id="665"/>
    </w:p>
    <w:p w14:paraId="76E7F84C" w14:textId="77777777" w:rsidR="00772179" w:rsidRDefault="00000000">
      <w:pPr>
        <w:pStyle w:val="Author-eSectionHeading6Numberless"/>
      </w:pPr>
      <w:bookmarkStart w:id="666" w:name="_Toc220490361"/>
      <w:r>
        <w:t>42.82.4f Vitraux - rénovation - restauration-conservation en atelier - montage Tiffany</w:t>
      </w:r>
      <w:bookmarkEnd w:id="666"/>
    </w:p>
    <w:p w14:paraId="3C2D796A" w14:textId="77777777" w:rsidR="00772179" w:rsidRDefault="00000000">
      <w:pPr>
        <w:pStyle w:val="Author-eSectionHeading6Numberless"/>
      </w:pPr>
      <w:bookmarkStart w:id="667" w:name="_Toc220490362"/>
      <w:r>
        <w:t>42.82.4g Vitraux - rénovation - restauration-conservation en atelier - plomb de casse</w:t>
      </w:r>
      <w:bookmarkEnd w:id="667"/>
    </w:p>
    <w:p w14:paraId="3797B073" w14:textId="77777777" w:rsidR="00772179" w:rsidRDefault="00000000">
      <w:pPr>
        <w:pStyle w:val="Author-eSectionHeading6Numberless"/>
      </w:pPr>
      <w:bookmarkStart w:id="668" w:name="_Toc220490363"/>
      <w:r>
        <w:t>42.82.4h Vitraux - rénovation - restauration-conservation en atelier - complément de verre (non peint / peint simple / peint moyen / peint complexe)</w:t>
      </w:r>
      <w:bookmarkEnd w:id="668"/>
    </w:p>
    <w:p w14:paraId="5158F68E" w14:textId="77777777" w:rsidR="00772179" w:rsidRDefault="00000000">
      <w:pPr>
        <w:pStyle w:val="Author-eSectionHeading6Numberless"/>
      </w:pPr>
      <w:bookmarkStart w:id="669" w:name="_Toc220490364"/>
      <w:r>
        <w:t>42.82.4i Vitraux - rénovation - restauration-conservation en atelier - nouveau verre (non peint / peint simple / peint moyen / peint complexe)</w:t>
      </w:r>
      <w:bookmarkEnd w:id="669"/>
    </w:p>
    <w:p w14:paraId="5CF78A10" w14:textId="77777777" w:rsidR="00772179" w:rsidRDefault="00000000">
      <w:pPr>
        <w:pStyle w:val="Author-eSectionHeading6Numberless"/>
      </w:pPr>
      <w:bookmarkStart w:id="670" w:name="_Toc220490365"/>
      <w:r>
        <w:t>42.82.4j Vitraux - rénovation - restauration-conservation en atelier - attaque à l'acide</w:t>
      </w:r>
      <w:bookmarkEnd w:id="670"/>
    </w:p>
    <w:p w14:paraId="1F7877E8" w14:textId="77777777" w:rsidR="00772179" w:rsidRDefault="00000000">
      <w:pPr>
        <w:pStyle w:val="Author-eSectionHeading6Numberless"/>
      </w:pPr>
      <w:bookmarkStart w:id="671" w:name="_Toc220490366"/>
      <w:r>
        <w:t>42.82.4k Vitraux - rénovation - restauration-conservation en atelier - doublage</w:t>
      </w:r>
      <w:bookmarkEnd w:id="671"/>
    </w:p>
    <w:p w14:paraId="6B9CCEED" w14:textId="77777777" w:rsidR="00772179" w:rsidRDefault="00000000">
      <w:pPr>
        <w:pStyle w:val="Author-eSectionHeading6Numberless"/>
      </w:pPr>
      <w:bookmarkStart w:id="672" w:name="_Toc220490367"/>
      <w:r>
        <w:t>42.82.4l Vitraux - rénovation - restauration-conservation en atelier - dépiquage-repiquage</w:t>
      </w:r>
      <w:bookmarkEnd w:id="672"/>
    </w:p>
    <w:p w14:paraId="79BB5D85" w14:textId="77777777" w:rsidR="00772179" w:rsidRDefault="00000000">
      <w:pPr>
        <w:pStyle w:val="Author-eSectionHeading6Numberless"/>
      </w:pPr>
      <w:bookmarkStart w:id="673" w:name="_Toc220490368"/>
      <w:r>
        <w:t>42.82.4m Vitraux - rénovation - restauration-conservation en atelier - réparation de plomb par soudure</w:t>
      </w:r>
      <w:bookmarkEnd w:id="673"/>
    </w:p>
    <w:p w14:paraId="23FFA83C" w14:textId="77777777" w:rsidR="00772179" w:rsidRDefault="00000000">
      <w:pPr>
        <w:pStyle w:val="Author-eSectionHeading6Numberless"/>
      </w:pPr>
      <w:bookmarkStart w:id="674" w:name="_Toc220490369"/>
      <w:r>
        <w:t>42.82.4n Vitraux - rénovation - restauration-conservation en atelier - remplacement de plomb de bordure</w:t>
      </w:r>
      <w:bookmarkEnd w:id="674"/>
    </w:p>
    <w:p w14:paraId="21E5D573" w14:textId="77777777" w:rsidR="00772179" w:rsidRDefault="00000000">
      <w:pPr>
        <w:pStyle w:val="Author-eSectionHeading6Numberless"/>
      </w:pPr>
      <w:bookmarkStart w:id="675" w:name="_Toc220490370"/>
      <w:r>
        <w:t>42.82.4o Vitraux - rénovation - restauration-conservation en atelier - renforcement de nouveaux plombs</w:t>
      </w:r>
      <w:bookmarkEnd w:id="675"/>
    </w:p>
    <w:p w14:paraId="093A537B" w14:textId="77777777" w:rsidR="00772179" w:rsidRDefault="00000000">
      <w:pPr>
        <w:pStyle w:val="Author-eSectionHeading6Numberless"/>
      </w:pPr>
      <w:bookmarkStart w:id="676" w:name="_Toc220490371"/>
      <w:r>
        <w:lastRenderedPageBreak/>
        <w:t>42.82.4p Vitraux - rénovation - restauration-conservation en atelier - réduction d'un plomb de casse</w:t>
      </w:r>
      <w:bookmarkEnd w:id="676"/>
    </w:p>
    <w:p w14:paraId="1DA139BA" w14:textId="77777777" w:rsidR="00772179" w:rsidRDefault="00000000">
      <w:pPr>
        <w:pStyle w:val="Author-eSectionHeading6Numberless"/>
      </w:pPr>
      <w:bookmarkStart w:id="677" w:name="_Toc220490372"/>
      <w:r>
        <w:t>42.82.4q Vitraux - rénovation - restauration-conservation en atelier - remplacement de plombs intérieurs</w:t>
      </w:r>
      <w:bookmarkEnd w:id="677"/>
    </w:p>
    <w:p w14:paraId="4D305635" w14:textId="77777777" w:rsidR="00772179" w:rsidRDefault="00000000">
      <w:pPr>
        <w:pStyle w:val="Author-eSectionHeading6Numberless"/>
      </w:pPr>
      <w:bookmarkStart w:id="678" w:name="_Toc220490373"/>
      <w:r>
        <w:t>42.82.4r Vitraux - rénovation - restauration-conservation en atelier - remise en plomb partielle / complète</w:t>
      </w:r>
      <w:bookmarkEnd w:id="678"/>
    </w:p>
    <w:p w14:paraId="52680D96" w14:textId="77777777" w:rsidR="00772179" w:rsidRDefault="00000000">
      <w:pPr>
        <w:pStyle w:val="Author-eSectionHeading6Numberless"/>
      </w:pPr>
      <w:bookmarkStart w:id="679" w:name="_Toc220490374"/>
      <w:r>
        <w:t>42.82.4s Vitraux - rénovation - restauration-conservation en atelier - fixation grisaille en recherche</w:t>
      </w:r>
      <w:bookmarkEnd w:id="679"/>
    </w:p>
    <w:p w14:paraId="7CDE27A1" w14:textId="77777777" w:rsidR="00772179" w:rsidRDefault="00000000">
      <w:pPr>
        <w:pStyle w:val="Author-eSectionHeading6Numberless"/>
      </w:pPr>
      <w:bookmarkStart w:id="680" w:name="_Toc220490375"/>
      <w:r>
        <w:t>42.82.4t Vitraux - rénovation - restauration-conservation en atelier - fixation grisaille générale</w:t>
      </w:r>
      <w:bookmarkEnd w:id="680"/>
    </w:p>
    <w:p w14:paraId="71A33A28" w14:textId="77777777" w:rsidR="00772179" w:rsidRDefault="00000000">
      <w:pPr>
        <w:pStyle w:val="Author-eSectionHeading6Numberless"/>
      </w:pPr>
      <w:bookmarkStart w:id="681" w:name="_Toc220490376"/>
      <w:r>
        <w:t>42.82.4u Vitraux - rénovation - restauration-conservation en atelier - restitution grisaille au revers</w:t>
      </w:r>
      <w:bookmarkEnd w:id="681"/>
    </w:p>
    <w:p w14:paraId="1DFAF550" w14:textId="77777777" w:rsidR="00772179" w:rsidRDefault="00000000">
      <w:pPr>
        <w:pStyle w:val="Author-eSectionHeading6Numberless"/>
      </w:pPr>
      <w:bookmarkStart w:id="682" w:name="_Toc220490377"/>
      <w:r>
        <w:t>42.82.4v Vitraux - rénovation - restauration-conservation en atelier - restitution grisaille sur verre de doublage</w:t>
      </w:r>
      <w:bookmarkEnd w:id="682"/>
    </w:p>
    <w:p w14:paraId="3FA1BD61" w14:textId="77777777" w:rsidR="00772179" w:rsidRDefault="00000000">
      <w:pPr>
        <w:pStyle w:val="Author-eSectionHeading6Numberless"/>
      </w:pPr>
      <w:bookmarkStart w:id="683" w:name="_Toc220490378"/>
      <w:r>
        <w:t>42.82.4w Vitraux - rénovation - restauration-conservation en atelier - masticage</w:t>
      </w:r>
      <w:bookmarkEnd w:id="683"/>
    </w:p>
    <w:p w14:paraId="3AEAF85F" w14:textId="77777777" w:rsidR="00772179" w:rsidRDefault="00000000">
      <w:pPr>
        <w:pStyle w:val="Author-eSectionHeading5Numberless"/>
      </w:pPr>
      <w:bookmarkStart w:id="684" w:name="_Toc220490379"/>
      <w:r>
        <w:t>42.82.5 Vitraux - rénovation - restauration-conservation in situ</w:t>
      </w:r>
      <w:bookmarkEnd w:id="684"/>
    </w:p>
    <w:p w14:paraId="63472EF3" w14:textId="77777777" w:rsidR="00772179" w:rsidRDefault="00000000">
      <w:pPr>
        <w:pStyle w:val="Author-eSectionHeading6Numberless"/>
      </w:pPr>
      <w:bookmarkStart w:id="685" w:name="_Toc220490380"/>
      <w:r>
        <w:t>42.82.5a Vitraux - rénovation - restauration-conservation in situ - dépiquage-repiquage verres non peints</w:t>
      </w:r>
      <w:bookmarkEnd w:id="685"/>
    </w:p>
    <w:p w14:paraId="3CE10355" w14:textId="77777777" w:rsidR="00772179" w:rsidRDefault="00000000">
      <w:pPr>
        <w:pStyle w:val="Author-eSectionHeading6Numberless"/>
      </w:pPr>
      <w:bookmarkStart w:id="686" w:name="_Toc220490381"/>
      <w:r>
        <w:t>42.82.5b Vitraux - rénovation - restauration-conservation in situ - verres peints</w:t>
      </w:r>
      <w:bookmarkEnd w:id="686"/>
    </w:p>
    <w:p w14:paraId="1F49B2AA" w14:textId="77777777" w:rsidR="00772179" w:rsidRDefault="00000000">
      <w:pPr>
        <w:pStyle w:val="Author-eSectionHeading5Numberless"/>
      </w:pPr>
      <w:bookmarkStart w:id="687" w:name="_Toc220490382"/>
      <w:r>
        <w:t>42.82.6 Vitraux - rénovation - placement</w:t>
      </w:r>
      <w:bookmarkEnd w:id="687"/>
    </w:p>
    <w:p w14:paraId="6957F4FA" w14:textId="77777777" w:rsidR="00772179" w:rsidRDefault="00000000">
      <w:pPr>
        <w:pStyle w:val="Author-eSectionHeading6Numberless"/>
      </w:pPr>
      <w:bookmarkStart w:id="688" w:name="_Toc220490383"/>
      <w:r>
        <w:t>42.82.6a Vitraux - rénovation - restauration-conservation in situ - placement - poses des vitraux en feuillure ou en rainure</w:t>
      </w:r>
      <w:bookmarkEnd w:id="688"/>
    </w:p>
    <w:p w14:paraId="6E5E1720" w14:textId="77777777" w:rsidR="00772179" w:rsidRDefault="00000000">
      <w:pPr>
        <w:pStyle w:val="Author-eSectionHeading6Numberless"/>
      </w:pPr>
      <w:bookmarkStart w:id="689" w:name="_Toc220490384"/>
      <w:r>
        <w:t>42.82.6b Vitraux - rénovation - restauration-conservation in situ - poses des vitraux en tableau</w:t>
      </w:r>
      <w:bookmarkEnd w:id="689"/>
    </w:p>
    <w:p w14:paraId="2AAA0D94" w14:textId="77777777" w:rsidR="00772179" w:rsidRDefault="00000000">
      <w:pPr>
        <w:pStyle w:val="Author-eSectionHeading6Numberless"/>
      </w:pPr>
      <w:bookmarkStart w:id="690" w:name="_Toc220490385"/>
      <w:r>
        <w:t>42.82.6c Vitraux - rénovation - restauration-conservation in situ - poses isothermiques</w:t>
      </w:r>
      <w:bookmarkEnd w:id="690"/>
    </w:p>
    <w:p w14:paraId="58D7B06B" w14:textId="77777777" w:rsidR="00772179" w:rsidRDefault="00000000">
      <w:pPr>
        <w:pStyle w:val="Author-eSectionHeading2Numberless"/>
      </w:pPr>
      <w:bookmarkStart w:id="691" w:name="_Toc220490386"/>
      <w:r>
        <w:t>43 Revêtements de façade CCTB 01.12</w:t>
      </w:r>
      <w:bookmarkEnd w:id="691"/>
    </w:p>
    <w:p w14:paraId="6597E7EA" w14:textId="77777777" w:rsidR="00772179" w:rsidRDefault="00000000">
      <w:pPr>
        <w:pStyle w:val="pheading"/>
      </w:pPr>
      <w:bookmarkStart w:id="692" w:name="382"/>
      <w:bookmarkEnd w:id="692"/>
      <w:r>
        <w:t>DESCRIPTION</w:t>
      </w:r>
    </w:p>
    <w:p w14:paraId="0FA8DD31" w14:textId="77777777" w:rsidR="00772179" w:rsidRDefault="00000000">
      <w:pPr>
        <w:pStyle w:val="pheading"/>
      </w:pPr>
      <w:r>
        <w:t>- Définition / Comprend</w:t>
      </w:r>
    </w:p>
    <w:p w14:paraId="5C3A6AD4" w14:textId="77777777" w:rsidR="00772179" w:rsidRDefault="00000000">
      <w:r>
        <w:t>Le poste "revêtements de façade" comprend :</w:t>
      </w:r>
    </w:p>
    <w:p w14:paraId="4821328A" w14:textId="77777777" w:rsidR="00772179" w:rsidRDefault="00000000">
      <w:pPr>
        <w:pStyle w:val="Author-eListParagraph"/>
        <w:numPr>
          <w:ilvl w:val="0"/>
          <w:numId w:val="871"/>
        </w:numPr>
      </w:pPr>
      <w:r>
        <w:t>Tous les éléments, travaux et fournitures en vue de la réalisation soignée des revêtements de façade (légers) décrits sur les plans de détail et dans le cahier spécial des charges.</w:t>
      </w:r>
    </w:p>
    <w:p w14:paraId="3C9CA4B6" w14:textId="77777777" w:rsidR="00772179" w:rsidRDefault="00000000">
      <w:pPr>
        <w:pStyle w:val="Author-eListParagraph"/>
        <w:numPr>
          <w:ilvl w:val="0"/>
          <w:numId w:val="871"/>
        </w:numPr>
      </w:pPr>
      <w:r>
        <w:t>La structure portante ou de réglage, les éléments d'habillage et d'ancrage, les étanchéités nécessaires et les raccordements.</w:t>
      </w:r>
    </w:p>
    <w:p w14:paraId="6067A605" w14:textId="77777777" w:rsidR="00772179" w:rsidRDefault="00000000">
      <w:r>
        <w:t>Conformément aux dispositions générales et/ou spécifiques du cahier spécial des charges, les prix unitaires repris dans ce poste comprennent toujours, soit selon la ventilation dans le métré récapitulatif, soit dans leur totalité :</w:t>
      </w:r>
    </w:p>
    <w:p w14:paraId="0358E7BC" w14:textId="77777777" w:rsidR="00772179" w:rsidRDefault="00000000">
      <w:pPr>
        <w:pStyle w:val="Author-eListParagraph"/>
        <w:numPr>
          <w:ilvl w:val="0"/>
          <w:numId w:val="872"/>
        </w:numPr>
      </w:pPr>
      <w:r>
        <w:t>Le relevé sur place des dimensions ou l'exécution conformément aux indications sur le plan;</w:t>
      </w:r>
    </w:p>
    <w:p w14:paraId="04BEC994" w14:textId="77777777" w:rsidR="00772179" w:rsidRDefault="00000000">
      <w:pPr>
        <w:pStyle w:val="Author-eListParagraph"/>
        <w:numPr>
          <w:ilvl w:val="0"/>
          <w:numId w:val="872"/>
        </w:numPr>
      </w:pPr>
      <w:r>
        <w:t>La mise en place et l'enlèvement, ultérieurement, des échafaudages nécessaires et des bâches de protection ainsi que de toutes les mesures de protection propres à l'ouvrage;</w:t>
      </w:r>
    </w:p>
    <w:p w14:paraId="2647E1AC" w14:textId="77777777" w:rsidR="00772179" w:rsidRDefault="00000000">
      <w:pPr>
        <w:pStyle w:val="Author-eListParagraph"/>
        <w:numPr>
          <w:ilvl w:val="0"/>
          <w:numId w:val="872"/>
        </w:numPr>
      </w:pPr>
      <w:r>
        <w:lastRenderedPageBreak/>
        <w:t>La fourniture et la pose des lattages prévus, y compris tous les accessoires et les éléments de fixation;</w:t>
      </w:r>
    </w:p>
    <w:p w14:paraId="2EA95216" w14:textId="77777777" w:rsidR="00772179" w:rsidRDefault="00000000">
      <w:pPr>
        <w:pStyle w:val="Author-eListParagraph"/>
        <w:numPr>
          <w:ilvl w:val="0"/>
          <w:numId w:val="872"/>
        </w:numPr>
      </w:pPr>
      <w:r>
        <w:t>La fourniture et la pose du revêtement proprement dit (plaques, bandes, tuiles, ardoises, …), y compris tous les accessoires et éléments de fixation;</w:t>
      </w:r>
    </w:p>
    <w:p w14:paraId="30BEDE39" w14:textId="77777777" w:rsidR="00772179" w:rsidRDefault="00000000">
      <w:pPr>
        <w:pStyle w:val="Author-eListParagraph"/>
        <w:numPr>
          <w:ilvl w:val="0"/>
          <w:numId w:val="872"/>
        </w:numPr>
      </w:pPr>
      <w:r>
        <w:t>La fourniture et la pose des finitions d'angle, la jonction avec les autres matériaux de façade, …;</w:t>
      </w:r>
    </w:p>
    <w:p w14:paraId="25600E72" w14:textId="77777777" w:rsidR="00772179" w:rsidRDefault="00000000">
      <w:pPr>
        <w:pStyle w:val="Author-eListParagraph"/>
        <w:numPr>
          <w:ilvl w:val="0"/>
          <w:numId w:val="872"/>
        </w:numPr>
      </w:pPr>
      <w:r>
        <w:t>L'évacuation et la gestion des déchets issus de travaux de démolition, de rénovation ou de construction font l'objet d'un ou plusieurs postes spécifiques, détaillés en section 07 Déchets, matériaux et éléments réemployables.</w:t>
      </w:r>
    </w:p>
    <w:p w14:paraId="7116E7CE" w14:textId="77777777" w:rsidR="00772179" w:rsidRDefault="00000000">
      <w:r>
        <w:rPr>
          <w:i/>
          <w:u w:val="single"/>
        </w:rPr>
        <w:t xml:space="preserve">Attention : </w:t>
      </w:r>
      <w:r>
        <w:br/>
        <w:t xml:space="preserve">L'isolation des façades est comprise dans un poste distinct au titre 26.4 Isolation. </w:t>
      </w:r>
      <w:r>
        <w:br/>
        <w:t>Les façades-rideaux en bandes de verre profilé sont repris au titre </w:t>
      </w:r>
      <w:hyperlink w:anchor="1040" w:history="1">
        <w:r>
          <w:rPr>
            <w:color w:val="0000EE"/>
          </w:rPr>
          <w:t>42.4 Systèmes en vitrages</w:t>
        </w:r>
      </w:hyperlink>
      <w:r>
        <w:t>.</w:t>
      </w:r>
    </w:p>
    <w:p w14:paraId="16C7B31D" w14:textId="77777777" w:rsidR="00772179" w:rsidRDefault="00000000">
      <w:pPr>
        <w:pStyle w:val="Author-eListParagraph"/>
        <w:numPr>
          <w:ilvl w:val="0"/>
          <w:numId w:val="873"/>
        </w:numPr>
      </w:pPr>
      <w:r>
        <w:t>Le montage des revêtements de façade prescrits s'effectue en étroite collaboration avec l'exécution des autres éléments de façade auxquels ils se raccordent, l'isolation des façades, les portes et fenêtres extérieures, les seuils de portes et fenêtres, les plinthes et la finition des rives de toiture, … Avant d'appliquer le revêtement de façade, l'entrepreneur vérifie si la structure portante correspond aux indications sur les plans et aux prescriptions et si l'exécution parfaite des ouvrages peut être assurée. Dans la négative, il en informe l'auteur de projet en temps utile afin que ce dernier puisse prendre les mesures qui s'imposent.</w:t>
      </w:r>
    </w:p>
    <w:p w14:paraId="062F1AF5" w14:textId="77777777" w:rsidR="00772179" w:rsidRDefault="00000000">
      <w:pPr>
        <w:pStyle w:val="Author-eListParagraph"/>
        <w:numPr>
          <w:ilvl w:val="0"/>
          <w:numId w:val="873"/>
        </w:numPr>
      </w:pPr>
      <w:r>
        <w:t>L'entrepreneur est tenu d'effectuer tous les travaux en temps utile. Tous les dégâts survenant en raison de l'exécution tardive des travaux sont mis à sa charge.</w:t>
      </w:r>
    </w:p>
    <w:p w14:paraId="5829DE0D" w14:textId="77777777" w:rsidR="00772179" w:rsidRDefault="00000000">
      <w:pPr>
        <w:pStyle w:val="Author-eListParagraph"/>
        <w:numPr>
          <w:ilvl w:val="0"/>
          <w:numId w:val="873"/>
        </w:numPr>
      </w:pPr>
      <w:r>
        <w:t>Les surfaces extérieures au rez-de-chaussée d'une hauteur ≤ 180 cm au-dessus des seuils d'entrée sont réalisées en matériaux anti-chocs. Elles ne comportent pas de bords aigus, d'ébarbures ou d'irrégularités qui, lors d'un usage normal, sont de nature à blesser les personnes qui se frottent à ces surfaces. </w:t>
      </w:r>
    </w:p>
    <w:p w14:paraId="593889A3" w14:textId="77777777" w:rsidR="00772179" w:rsidRDefault="00000000">
      <w:pPr>
        <w:pStyle w:val="pheading"/>
      </w:pPr>
      <w:r>
        <w:t>MATÉRIAUX</w:t>
      </w:r>
    </w:p>
    <w:p w14:paraId="69052826" w14:textId="77777777" w:rsidR="00772179" w:rsidRDefault="00000000">
      <w:pPr>
        <w:pStyle w:val="Author-eListParagraph"/>
        <w:numPr>
          <w:ilvl w:val="0"/>
          <w:numId w:val="874"/>
        </w:numPr>
      </w:pPr>
      <w:r>
        <w:t>Réaction au feu : Les revêtements de façades en combinaison avec les matériaux sous-jacents (« end use condition ») satisfont aux exigences requises en fonction du type et de la hauteur du bâtiment.</w:t>
      </w:r>
    </w:p>
    <w:p w14:paraId="05E23644" w14:textId="77777777" w:rsidR="00772179" w:rsidRDefault="00000000">
      <w:r>
        <w:t> </w:t>
      </w:r>
    </w:p>
    <w:p w14:paraId="524876DD" w14:textId="77777777" w:rsidR="00772179" w:rsidRDefault="00000000">
      <w:pPr>
        <w:pStyle w:val="pheading"/>
      </w:pPr>
      <w:r>
        <w:t>DOCUMENTS DE RÉFÉRENCE</w:t>
      </w:r>
    </w:p>
    <w:p w14:paraId="4104E3E9" w14:textId="77777777" w:rsidR="00772179" w:rsidRDefault="00000000">
      <w:pPr>
        <w:pStyle w:val="pheading"/>
      </w:pPr>
      <w:r>
        <w:t>- Matériau</w:t>
      </w:r>
    </w:p>
    <w:p w14:paraId="73A84380" w14:textId="77777777" w:rsidR="00772179" w:rsidRDefault="00000000">
      <w:r>
        <w:t>[NBN EN 12865, Performance hygrothermique des composants et parois de bâtiments - Détermination de la résistance à la pluie battante des systèmes de murs extérieurs sous pression d'air pulsatoire] </w:t>
      </w:r>
    </w:p>
    <w:p w14:paraId="193267E2" w14:textId="77777777" w:rsidR="00772179" w:rsidRDefault="00000000">
      <w:r>
        <w:t>[NBN EN 12153, Façades rideaux - Perméabilité à l'air - Méthode d'essai]</w:t>
      </w:r>
    </w:p>
    <w:p w14:paraId="3DC80F9C" w14:textId="77777777" w:rsidR="00772179" w:rsidRDefault="00000000">
      <w:r>
        <w:t>[NBN EN 12154, Façades rideaux - Etanchéité à l'eau - Exigences de performance et classification]</w:t>
      </w:r>
    </w:p>
    <w:p w14:paraId="3F0BAA97" w14:textId="77777777" w:rsidR="00772179" w:rsidRDefault="00000000">
      <w:r>
        <w:t>[NBN EN 12155, Façades rideaux - Détermination de l'étanchéité à l'eau - Essai de laboratoire sous pression statique]</w:t>
      </w:r>
    </w:p>
    <w:p w14:paraId="3D9C314E" w14:textId="77777777" w:rsidR="00772179" w:rsidRDefault="00000000">
      <w:r>
        <w:t>[NBN EN 12179, Façades rideaux - Résistance à la pression du vent - Méthode d'essai]</w:t>
      </w:r>
    </w:p>
    <w:p w14:paraId="2C1C5DFF" w14:textId="77777777" w:rsidR="00772179" w:rsidRDefault="00000000">
      <w:r>
        <w:t>[NBN EN 13050, Façades rideaux - Etanchéité à l'eau - Essai en laboratoire sous pression d'air dynamique et projection d'eau] </w:t>
      </w:r>
    </w:p>
    <w:p w14:paraId="574EBF40" w14:textId="77777777" w:rsidR="00772179" w:rsidRDefault="00000000">
      <w:r>
        <w:t>[NBN EN 13986+A1, Panneaux à base de bois destinés à la construction - Caractéristiques, évaluation de conformité et marquage] </w:t>
      </w:r>
    </w:p>
    <w:p w14:paraId="030BDC43" w14:textId="77777777" w:rsidR="00772179" w:rsidRDefault="00000000">
      <w:r>
        <w:t>[Buildwise Innovation paper 37, Sécurité incendie des façades de bâtiments multiétagés]</w:t>
      </w:r>
    </w:p>
    <w:p w14:paraId="790D99ED" w14:textId="77777777" w:rsidR="00772179" w:rsidRDefault="00000000">
      <w:r>
        <w:t>[AR 1994-07-07, Arrêté royal fixant les normes de base en matière de prévention contre l'incendie et l'explosion, auxquelles les bâtiments nouveaux doivent satisfaire]</w:t>
      </w:r>
    </w:p>
    <w:p w14:paraId="19D72405" w14:textId="77777777" w:rsidR="00772179" w:rsidRDefault="00000000">
      <w:r>
        <w:lastRenderedPageBreak/>
        <w:t>[NIT 282, Sécurité incendie des façades. Conception et mise en oeuvre des façades-rideaux (acier et aluminium).]</w:t>
      </w:r>
    </w:p>
    <w:p w14:paraId="6D8D953A" w14:textId="77777777" w:rsidR="00772179" w:rsidRDefault="00000000">
      <w:pPr>
        <w:pStyle w:val="pheading"/>
      </w:pPr>
      <w:r>
        <w:t>- Exécution</w:t>
      </w:r>
    </w:p>
    <w:p w14:paraId="6BA2C1DC" w14:textId="77777777" w:rsidR="00772179" w:rsidRDefault="00000000">
      <w:r>
        <w:t>Conformément à la rubrique 01.44 PSS travaux de façade, établie par le coordinateur-projet et annexée au cahier spécial des charges. Toutes les directives en la matière et les indications concrètes données par le coordinateur-réalisation sont scrupuleusement respectées.</w:t>
      </w:r>
    </w:p>
    <w:p w14:paraId="5DF4156C" w14:textId="77777777" w:rsidR="00772179" w:rsidRDefault="00000000">
      <w:r>
        <w:t>[NIT 282, Sécurité incendie des façades. Conception et mise en oeuvre des façades-rideaux (acier et aluminium).]</w:t>
      </w:r>
    </w:p>
    <w:p w14:paraId="77E6BDDA" w14:textId="77777777" w:rsidR="00772179" w:rsidRDefault="00000000">
      <w:pPr>
        <w:pStyle w:val="pheading"/>
      </w:pPr>
      <w:r>
        <w:t>AIDE</w:t>
      </w:r>
    </w:p>
    <w:p w14:paraId="6A0E4A6E" w14:textId="77777777" w:rsidR="00772179" w:rsidRDefault="00000000">
      <w:r>
        <w:t>Support aux prescripteurs : guide B de la prévention passive référencé dans le cahier des références.</w:t>
      </w:r>
    </w:p>
    <w:p w14:paraId="414A5014" w14:textId="77777777" w:rsidR="00772179" w:rsidRDefault="00000000">
      <w:pPr>
        <w:pStyle w:val="Author-eSectionHeading3Numberless"/>
      </w:pPr>
      <w:bookmarkStart w:id="693" w:name="_Toc220490387"/>
      <w:r>
        <w:t>43.1 Structures de support du revêtement de façade CCTB 01.02</w:t>
      </w:r>
      <w:bookmarkEnd w:id="693"/>
    </w:p>
    <w:p w14:paraId="5AEEDB3E" w14:textId="77777777" w:rsidR="00772179" w:rsidRDefault="00000000">
      <w:pPr>
        <w:pStyle w:val="Author-eSectionHeading4Numberless"/>
      </w:pPr>
      <w:bookmarkStart w:id="694" w:name="_Toc220490388"/>
      <w:r>
        <w:t>43.11 Profilés de support continu du revêtement de façade CCTB 01.02</w:t>
      </w:r>
      <w:bookmarkEnd w:id="694"/>
    </w:p>
    <w:p w14:paraId="185DBA69" w14:textId="77777777" w:rsidR="00772179" w:rsidRDefault="00000000">
      <w:pPr>
        <w:pStyle w:val="pheading"/>
      </w:pPr>
      <w:bookmarkStart w:id="695" w:name="991"/>
      <w:bookmarkEnd w:id="695"/>
      <w:r>
        <w:t>DESCRIPTION</w:t>
      </w:r>
    </w:p>
    <w:p w14:paraId="5EC4FC4C" w14:textId="77777777" w:rsidR="00772179" w:rsidRDefault="00000000">
      <w:pPr>
        <w:pStyle w:val="pheading"/>
      </w:pPr>
      <w:r>
        <w:t>- Définition / Comprend</w:t>
      </w:r>
    </w:p>
    <w:p w14:paraId="460FEB9E" w14:textId="77777777" w:rsidR="00772179" w:rsidRDefault="00000000">
      <w:r>
        <w:t>Il s'agit d'une structure (de réglage) indépendante et non porteuse pour la fixation des éléments d'habillage des façades sur la structure portante attenante.</w:t>
      </w:r>
    </w:p>
    <w:p w14:paraId="6BCED779" w14:textId="77777777" w:rsidR="00772179" w:rsidRDefault="00000000">
      <w:pPr>
        <w:pStyle w:val="pheading"/>
      </w:pPr>
      <w:r>
        <w:t>MATÉRIAUX</w:t>
      </w:r>
    </w:p>
    <w:p w14:paraId="792D3D4E" w14:textId="77777777" w:rsidR="00772179" w:rsidRDefault="00000000">
      <w:r>
        <w:t>Le système et les matériaux sont préalablement soumis à l'approbation de l'administration.</w:t>
      </w:r>
    </w:p>
    <w:p w14:paraId="5795DF62" w14:textId="77777777" w:rsidR="00772179" w:rsidRDefault="00000000">
      <w:pPr>
        <w:pStyle w:val="pheading"/>
      </w:pPr>
      <w:r>
        <w:t>EXÉCUTION / MISE EN ŒUVRE</w:t>
      </w:r>
    </w:p>
    <w:p w14:paraId="2BA78ACB" w14:textId="77777777" w:rsidR="00772179" w:rsidRDefault="00000000">
      <w:pPr>
        <w:pStyle w:val="Author-eListParagraph"/>
        <w:numPr>
          <w:ilvl w:val="0"/>
          <w:numId w:val="875"/>
        </w:numPr>
      </w:pPr>
      <w:r>
        <w:t xml:space="preserve"> La pose et la mise en œuvre sont effectuées par une entreprise professionnelle ayant de l'expérience en ce qui concerne le système d'habillage prescrit. Après la réalisation de la maçonnerie intérieure portante et/ou de l'ossature, la structure de façade légère est soigneusement alignée (en coordination avec le montage des portes et fenêtres extérieures). Les matériaux d'isolation de façade se raccordent parfaitement à la menuiserie extérieure afin d'obtenir l'étanchéité au vent. </w:t>
      </w:r>
    </w:p>
    <w:p w14:paraId="55845F91" w14:textId="77777777" w:rsidR="00772179" w:rsidRDefault="00000000">
      <w:pPr>
        <w:pStyle w:val="Author-eListParagraph"/>
        <w:numPr>
          <w:ilvl w:val="0"/>
          <w:numId w:val="875"/>
        </w:numPr>
      </w:pPr>
      <w:r>
        <w:t xml:space="preserve">Les sections et l'espacement des montants ainsi que le nombre de moyens de fixation sont déterminés en fonction du poids et de la modulation des éléments d'habillage, des caractéristiques de la structure portante attenante et de la conception générale de la façade rideau, selon les indications sur le plan de principe. Aux endroits nécessaires, les rejets d'eau et les joints de dilatation sont prévus. </w:t>
      </w:r>
    </w:p>
    <w:p w14:paraId="52532500" w14:textId="77777777" w:rsidR="00772179" w:rsidRDefault="00000000">
      <w:pPr>
        <w:pStyle w:val="Author-eListParagraph"/>
        <w:numPr>
          <w:ilvl w:val="0"/>
          <w:numId w:val="875"/>
        </w:numPr>
      </w:pPr>
      <w:r>
        <w:t xml:space="preserve">Les moyens de fixation à utiliser doivent être inoxydables et sont choisis en fonction du support. En fonction du poids et de la résistance au vent du revêtement prévu, les trous sont forés suffisamment profondément afin d'ancrer solidement le lattage à la structure portante attenante. </w:t>
      </w:r>
    </w:p>
    <w:p w14:paraId="5ABF5D58" w14:textId="77777777" w:rsidR="00772179" w:rsidRDefault="00000000">
      <w:pPr>
        <w:pStyle w:val="Author-eSectionHeading5Numberless"/>
      </w:pPr>
      <w:bookmarkStart w:id="696" w:name="_Toc220490389"/>
      <w:r>
        <w:t>43.11.1 Profilés de support continu en bois du revêtement de façade CCTB 01.02</w:t>
      </w:r>
      <w:bookmarkEnd w:id="696"/>
    </w:p>
    <w:p w14:paraId="7A6CEBD5" w14:textId="77777777" w:rsidR="00772179" w:rsidRDefault="00000000">
      <w:pPr>
        <w:pStyle w:val="Author-eSectionHeading6Numberless"/>
      </w:pPr>
      <w:bookmarkStart w:id="697" w:name="985"/>
      <w:bookmarkStart w:id="698" w:name="_Toc220490390"/>
      <w:bookmarkEnd w:id="697"/>
      <w:r>
        <w:t>43.11.1a Profilés de support continu en bois du revêtement de façade CCTB 01.11</w:t>
      </w:r>
      <w:bookmarkEnd w:id="698"/>
    </w:p>
    <w:p w14:paraId="3FA035AD" w14:textId="77777777" w:rsidR="00772179" w:rsidRDefault="00000000">
      <w:pPr>
        <w:pStyle w:val="pheading"/>
      </w:pPr>
      <w:r>
        <w:t>MATÉRIAUX</w:t>
      </w:r>
    </w:p>
    <w:p w14:paraId="00380BE3" w14:textId="77777777" w:rsidR="00772179" w:rsidRDefault="00000000">
      <w:pPr>
        <w:pStyle w:val="pheading"/>
      </w:pPr>
      <w:r>
        <w:t>- Caractéristiques générales</w:t>
      </w:r>
    </w:p>
    <w:p w14:paraId="012CB55F" w14:textId="77777777" w:rsidR="00772179" w:rsidRDefault="00000000">
      <w:r>
        <w:t xml:space="preserve">Il s'agit d'un lattage </w:t>
      </w:r>
      <w:r>
        <w:rPr>
          <w:rStyle w:val="optioncarChar"/>
        </w:rPr>
        <w:t xml:space="preserve">simple / double </w:t>
      </w:r>
      <w:r>
        <w:t xml:space="preserve">réalisé en montants de bois (fixés sur un support </w:t>
      </w:r>
      <w:r>
        <w:rPr>
          <w:rStyle w:val="optioncarChar"/>
        </w:rPr>
        <w:t>horizontal / vertical</w:t>
      </w:r>
      <w:r>
        <w:t xml:space="preserve">), entre lesquels s'insèrent des plaques d'isolation en </w:t>
      </w:r>
      <w:r>
        <w:rPr>
          <w:rStyle w:val="optioncarChar"/>
        </w:rPr>
        <w:t xml:space="preserve">*** </w:t>
      </w:r>
      <w:r>
        <w:t xml:space="preserve">(selon le poste 26.4 Isolation ). Les </w:t>
      </w:r>
      <w:r>
        <w:lastRenderedPageBreak/>
        <w:t>sections à prévoir ainsi que l'écartement entre les montants et tous les moyens de fixation sont déterminés en fonction du poids et de la modulation des éléments d'habillage, des caractéristiques de la structure porteuse attenante, de l'épaisseur de l'isolant prescrit et conformément aux indications sur les plans de principe. Les moyens de fixation sont tous inoxydables, de longueurs suffisantes et ils sont posés à intervalles réguliers. </w:t>
      </w:r>
    </w:p>
    <w:p w14:paraId="2B36AFF1" w14:textId="77777777" w:rsidR="00772179" w:rsidRDefault="00000000">
      <w:pPr>
        <w:pStyle w:val="pheading"/>
      </w:pPr>
      <w:r>
        <w:t>- Finitions</w:t>
      </w:r>
    </w:p>
    <w:p w14:paraId="6C087BC3" w14:textId="77777777" w:rsidR="00772179" w:rsidRDefault="00000000">
      <w:pPr>
        <w:pStyle w:val="Author-eListParagraph"/>
        <w:numPr>
          <w:ilvl w:val="0"/>
          <w:numId w:val="876"/>
        </w:numPr>
      </w:pPr>
      <w:r>
        <w:t xml:space="preserve">Essence du bois : </w:t>
      </w:r>
      <w:r>
        <w:rPr>
          <w:rStyle w:val="optioncarChar"/>
        </w:rPr>
        <w:t xml:space="preserve">Sapin rouge du Nord ou Résineux d'Europe </w:t>
      </w:r>
      <w:r>
        <w:t>(n° 416 ou 107 selon la [NBN EN 13556] ) </w:t>
      </w:r>
    </w:p>
    <w:p w14:paraId="1C80EABE" w14:textId="77777777" w:rsidR="00772179" w:rsidRDefault="00000000">
      <w:pPr>
        <w:pStyle w:val="Author-eListParagraph"/>
        <w:numPr>
          <w:ilvl w:val="0"/>
          <w:numId w:val="876"/>
        </w:numPr>
      </w:pPr>
      <w:r>
        <w:t>Imprégnation : produit de classe 1, les faces sciées sont traitées sur le chantier.</w:t>
      </w:r>
    </w:p>
    <w:p w14:paraId="18BA3B17" w14:textId="77777777" w:rsidR="00772179" w:rsidRDefault="00000000">
      <w:pPr>
        <w:pStyle w:val="Author-eListParagraph"/>
        <w:numPr>
          <w:ilvl w:val="0"/>
          <w:numId w:val="876"/>
        </w:numPr>
      </w:pPr>
      <w:r>
        <w:t>Dimensions :</w:t>
      </w:r>
    </w:p>
    <w:p w14:paraId="3B79A072" w14:textId="77777777" w:rsidR="00772179" w:rsidRDefault="00000000">
      <w:r>
        <w:t xml:space="preserve">                ⇒ section des montants verticaux : ≥ </w:t>
      </w:r>
      <w:r>
        <w:rPr>
          <w:rStyle w:val="optioncarChar"/>
        </w:rPr>
        <w:t xml:space="preserve">25 x 36 / 32 x 40 / 36 x 50 </w:t>
      </w:r>
      <w:r>
        <w:t>mm</w:t>
      </w:r>
      <w:r>
        <w:br/>
        <w:t xml:space="preserve">                ⇒ section des montants horizontaux : ≥ </w:t>
      </w:r>
      <w:r>
        <w:rPr>
          <w:rStyle w:val="optioncarChar"/>
        </w:rPr>
        <w:t xml:space="preserve">25 x 36 / 32 x 40 / 36 x 50 </w:t>
      </w:r>
      <w:r>
        <w:t>mm</w:t>
      </w:r>
    </w:p>
    <w:p w14:paraId="440D0D01" w14:textId="77777777" w:rsidR="00772179" w:rsidRDefault="00000000">
      <w:pPr>
        <w:pStyle w:val="Author-eListParagraph"/>
        <w:numPr>
          <w:ilvl w:val="0"/>
          <w:numId w:val="877"/>
        </w:numPr>
      </w:pPr>
      <w:r>
        <w:t xml:space="preserve">Ecartement vertical (axe en axe) : </w:t>
      </w:r>
      <w:r>
        <w:rPr>
          <w:rStyle w:val="optioncarChar"/>
        </w:rPr>
        <w:t xml:space="preserve">40 / 60 </w:t>
      </w:r>
      <w:r>
        <w:t>cm</w:t>
      </w:r>
    </w:p>
    <w:p w14:paraId="43B8C62A" w14:textId="77777777" w:rsidR="00772179" w:rsidRDefault="00000000">
      <w:pPr>
        <w:pStyle w:val="Author-eListParagraph"/>
        <w:numPr>
          <w:ilvl w:val="0"/>
          <w:numId w:val="877"/>
        </w:numPr>
      </w:pPr>
      <w:r>
        <w:t>Ecartement horizontal (axe en axe) : </w:t>
      </w:r>
      <w:r>
        <w:rPr>
          <w:rStyle w:val="optioncarChar"/>
        </w:rPr>
        <w:t xml:space="preserve">40 / 60 </w:t>
      </w:r>
      <w:r>
        <w:t>cm</w:t>
      </w:r>
    </w:p>
    <w:p w14:paraId="22971B31" w14:textId="77777777" w:rsidR="00772179" w:rsidRDefault="00000000">
      <w:pPr>
        <w:pStyle w:val="pheading"/>
      </w:pPr>
      <w:r>
        <w:t>MESURAGE</w:t>
      </w:r>
    </w:p>
    <w:p w14:paraId="19FAE9CA" w14:textId="77777777" w:rsidR="00772179" w:rsidRDefault="00000000">
      <w:pPr>
        <w:pStyle w:val="pheading"/>
      </w:pPr>
      <w:r>
        <w:t>- unité de mesure:</w:t>
      </w:r>
    </w:p>
    <w:p w14:paraId="49E7ACB2" w14:textId="77777777" w:rsidR="00772179" w:rsidRDefault="00000000">
      <w:r>
        <w:t>-</w:t>
      </w:r>
    </w:p>
    <w:p w14:paraId="57D8F8FC" w14:textId="77777777" w:rsidR="00772179" w:rsidRDefault="00000000">
      <w:pPr>
        <w:pStyle w:val="pheading"/>
      </w:pPr>
      <w:r>
        <w:t>- code de mesurage:</w:t>
      </w:r>
    </w:p>
    <w:p w14:paraId="39D4D0F6" w14:textId="77777777" w:rsidR="00772179" w:rsidRDefault="00000000">
      <w:r>
        <w:t>Compris dans le prix unitaire de des revêtements de façade prévus.</w:t>
      </w:r>
    </w:p>
    <w:p w14:paraId="3461390C" w14:textId="77777777" w:rsidR="00772179" w:rsidRDefault="00000000">
      <w:pPr>
        <w:pStyle w:val="pheading"/>
      </w:pPr>
      <w:r>
        <w:t>- nature du marché:</w:t>
      </w:r>
    </w:p>
    <w:p w14:paraId="10D6465F" w14:textId="77777777" w:rsidR="00772179" w:rsidRDefault="00000000">
      <w:r>
        <w:t>PM</w:t>
      </w:r>
    </w:p>
    <w:p w14:paraId="07566928" w14:textId="77777777" w:rsidR="00772179" w:rsidRDefault="00000000">
      <w:pPr>
        <w:pStyle w:val="Author-eSectionHeading5Numberless"/>
      </w:pPr>
      <w:bookmarkStart w:id="699" w:name="_Toc220490391"/>
      <w:r>
        <w:t>43.11.2 Profilés de support continu métallique du revêtement de façade CCTB 01.02</w:t>
      </w:r>
      <w:bookmarkEnd w:id="699"/>
    </w:p>
    <w:p w14:paraId="190CD151" w14:textId="77777777" w:rsidR="00772179" w:rsidRDefault="00000000">
      <w:pPr>
        <w:pStyle w:val="Author-eSectionHeading6Numberless"/>
      </w:pPr>
      <w:bookmarkStart w:id="700" w:name="993"/>
      <w:bookmarkStart w:id="701" w:name="_Toc220490392"/>
      <w:bookmarkEnd w:id="700"/>
      <w:r>
        <w:t>43.11.2a Profilés de support continu en acier galvanisé du revêtement de façade CCTB 01.02</w:t>
      </w:r>
      <w:bookmarkEnd w:id="701"/>
    </w:p>
    <w:p w14:paraId="1BC6C33B" w14:textId="77777777" w:rsidR="00772179" w:rsidRDefault="00000000">
      <w:pPr>
        <w:pStyle w:val="Author-eSectionHeading6Numberless"/>
      </w:pPr>
      <w:bookmarkStart w:id="702" w:name="_Toc220490393"/>
      <w:r>
        <w:t>43.11.2b Profilés de support continu en acier inoxydable du revêtement de façade CCTB 01.02</w:t>
      </w:r>
      <w:bookmarkEnd w:id="702"/>
    </w:p>
    <w:p w14:paraId="333C67C1" w14:textId="77777777" w:rsidR="00772179" w:rsidRDefault="00000000">
      <w:pPr>
        <w:pStyle w:val="Author-eSectionHeading6Numberless"/>
      </w:pPr>
      <w:bookmarkStart w:id="703" w:name="_Toc220490394"/>
      <w:r>
        <w:t>43.11.2c Profilés de support continu en aluminium du revêtement de façade CCTB 01.10</w:t>
      </w:r>
      <w:bookmarkEnd w:id="703"/>
    </w:p>
    <w:p w14:paraId="2F652F3B" w14:textId="77777777" w:rsidR="00772179" w:rsidRDefault="00000000">
      <w:pPr>
        <w:pStyle w:val="pheading"/>
      </w:pPr>
      <w:r>
        <w:t>MATÉRIAUX</w:t>
      </w:r>
    </w:p>
    <w:p w14:paraId="57D1B549" w14:textId="77777777" w:rsidR="00772179" w:rsidRDefault="00000000">
      <w:pPr>
        <w:pStyle w:val="pheading"/>
      </w:pPr>
      <w:r>
        <w:t>- Caractéristiques générales</w:t>
      </w:r>
    </w:p>
    <w:p w14:paraId="23249CF8" w14:textId="77777777" w:rsidR="00772179" w:rsidRDefault="00000000">
      <w:r>
        <w:t>Le système de profilés en aluminium dispose de critères d'acceptabilité du produit tels que définis dans l'article 02.42.1 Critères d'acceptabilité Les sections et l'écartement des étriers de support et des étriers coulissants, ainsi que le nombre de moyens de fixation sont déterminés en fonction du poids et de la modulation des plaques d'habillage, de l'épaisseur de l'isolant et de la conception de la façade rideau, selon les indications sur les plans de principe.</w:t>
      </w:r>
    </w:p>
    <w:p w14:paraId="4EA69BB4" w14:textId="77777777" w:rsidR="00772179" w:rsidRDefault="00000000">
      <w:r>
        <w:t>Ils font l'objet d'un calcul statique qui est effectué par le constructeur du système et soumis pour approbation à l'auteur de projet avant le commencement des travaux.</w:t>
      </w:r>
    </w:p>
    <w:p w14:paraId="68B01869" w14:textId="77777777" w:rsidR="00772179" w:rsidRDefault="00000000">
      <w:pPr>
        <w:pStyle w:val="pheading"/>
      </w:pPr>
      <w:r>
        <w:t>EXÉCUTION / MISE EN ŒUVRE</w:t>
      </w:r>
    </w:p>
    <w:p w14:paraId="46A5740C" w14:textId="77777777" w:rsidR="00772179" w:rsidRDefault="00000000">
      <w:pPr>
        <w:pStyle w:val="pheading"/>
      </w:pPr>
      <w:r>
        <w:t>- Prescriptions générales</w:t>
      </w:r>
    </w:p>
    <w:p w14:paraId="5461CC85" w14:textId="77777777" w:rsidR="00772179" w:rsidRDefault="00000000">
      <w:pPr>
        <w:pStyle w:val="Author-eListParagraph"/>
        <w:numPr>
          <w:ilvl w:val="0"/>
          <w:numId w:val="878"/>
        </w:numPr>
      </w:pPr>
      <w:r>
        <w:t xml:space="preserve">Les plaques d'habillage sont directement fixées sur les profilés verticaux ou par l'intermédiaire d'un lattage horizontal. Cette fixation est cachée ou non, en fonction du matériau de revêtement choisi et de la modulation de l'ensemble. Les crochets à lèvres, de </w:t>
      </w:r>
      <w:r>
        <w:lastRenderedPageBreak/>
        <w:t xml:space="preserve">plaques et/ou les écarteurs sont suffisamment résistants pour que les plaques d'habillage résistent à une force d'arrachement horizontale ≥ </w:t>
      </w:r>
      <w:r>
        <w:rPr>
          <w:rStyle w:val="optioncarChar"/>
        </w:rPr>
        <w:t xml:space="preserve">2,5 </w:t>
      </w:r>
      <w:r>
        <w:t>(par défaut)</w:t>
      </w:r>
      <w:r>
        <w:rPr>
          <w:rStyle w:val="optioncarChar"/>
        </w:rPr>
        <w:t xml:space="preserve"> / ***</w:t>
      </w:r>
      <w:r>
        <w:t> kN.</w:t>
      </w:r>
    </w:p>
    <w:p w14:paraId="46EFF431" w14:textId="77777777" w:rsidR="00772179" w:rsidRDefault="00000000">
      <w:pPr>
        <w:pStyle w:val="Author-eListParagraph"/>
        <w:numPr>
          <w:ilvl w:val="0"/>
          <w:numId w:val="878"/>
        </w:numPr>
      </w:pPr>
      <w:r>
        <w:t xml:space="preserve">Les étriers de support et les étriers coulissants en forme de </w:t>
      </w:r>
      <w:r>
        <w:rPr>
          <w:rStyle w:val="optioncarChar"/>
        </w:rPr>
        <w:t>L / T</w:t>
      </w:r>
      <w:r>
        <w:t xml:space="preserve"> sont ancrés</w:t>
      </w:r>
      <w:r>
        <w:rPr>
          <w:rStyle w:val="optioncarChar"/>
        </w:rPr>
        <w:t xml:space="preserve"> mécaniquement / chimiquement </w:t>
      </w:r>
      <w:r>
        <w:t>dans le support.</w:t>
      </w:r>
    </w:p>
    <w:p w14:paraId="7E77C886" w14:textId="77777777" w:rsidR="00772179" w:rsidRDefault="00000000">
      <w:pPr>
        <w:pStyle w:val="pheading"/>
      </w:pPr>
      <w:r>
        <w:t>MESURAGE</w:t>
      </w:r>
    </w:p>
    <w:p w14:paraId="5454BCE2" w14:textId="77777777" w:rsidR="00772179" w:rsidRDefault="00000000">
      <w:pPr>
        <w:pStyle w:val="pheading"/>
      </w:pPr>
      <w:r>
        <w:t>- unité de mesure:</w:t>
      </w:r>
    </w:p>
    <w:p w14:paraId="51DEFBD9" w14:textId="77777777" w:rsidR="00772179" w:rsidRDefault="00000000">
      <w:r>
        <w:t>-</w:t>
      </w:r>
    </w:p>
    <w:p w14:paraId="72709430" w14:textId="77777777" w:rsidR="00772179" w:rsidRDefault="00000000">
      <w:pPr>
        <w:pStyle w:val="pheading"/>
      </w:pPr>
      <w:r>
        <w:t>- code de mesurage:</w:t>
      </w:r>
    </w:p>
    <w:p w14:paraId="63F1E5E7" w14:textId="77777777" w:rsidR="00772179" w:rsidRDefault="00000000">
      <w:r>
        <w:t>Compris dans le prix unitaire de des revêtements de façade prévus.</w:t>
      </w:r>
    </w:p>
    <w:p w14:paraId="520DC17C" w14:textId="77777777" w:rsidR="00772179" w:rsidRDefault="00000000">
      <w:pPr>
        <w:pStyle w:val="pheading"/>
      </w:pPr>
      <w:r>
        <w:t>- nature du marché:</w:t>
      </w:r>
    </w:p>
    <w:p w14:paraId="74C48178" w14:textId="77777777" w:rsidR="00772179" w:rsidRDefault="00000000">
      <w:r>
        <w:t>PM</w:t>
      </w:r>
    </w:p>
    <w:p w14:paraId="31A7C71D" w14:textId="77777777" w:rsidR="00772179" w:rsidRDefault="00000000">
      <w:pPr>
        <w:pStyle w:val="Author-eSectionHeading5Numberless"/>
      </w:pPr>
      <w:bookmarkStart w:id="704" w:name="_Toc220490395"/>
      <w:r>
        <w:t>43.11.3 Profilés de support continu en matière synthétique du revêtement de façade CCTB 01.02</w:t>
      </w:r>
      <w:bookmarkEnd w:id="704"/>
    </w:p>
    <w:p w14:paraId="0C8E7A61" w14:textId="77777777" w:rsidR="00772179" w:rsidRDefault="00000000">
      <w:pPr>
        <w:pStyle w:val="Author-eSectionHeading6Numberless"/>
      </w:pPr>
      <w:bookmarkStart w:id="705" w:name="_Toc220490396"/>
      <w:r>
        <w:t>43.11.3a Profilés de support continu en matière synthétique du revêtement de façade</w:t>
      </w:r>
      <w:bookmarkEnd w:id="705"/>
    </w:p>
    <w:p w14:paraId="50F9A2B8" w14:textId="77777777" w:rsidR="00772179" w:rsidRDefault="00000000">
      <w:pPr>
        <w:pStyle w:val="Author-eSectionHeading5Numberless"/>
      </w:pPr>
      <w:bookmarkStart w:id="706" w:name="_Toc220490397"/>
      <w:r>
        <w:t>43.11.4 Profilés de support continu mixte du revêtement de façade CCTB 01.02</w:t>
      </w:r>
      <w:bookmarkEnd w:id="706"/>
    </w:p>
    <w:p w14:paraId="13E451A0" w14:textId="77777777" w:rsidR="00772179" w:rsidRDefault="00000000">
      <w:pPr>
        <w:pStyle w:val="Author-eSectionHeading6Numberless"/>
      </w:pPr>
      <w:bookmarkStart w:id="707" w:name="_Toc220490398"/>
      <w:r>
        <w:t>43.11.4a Profilés de support continu mixte du revêtement de façade</w:t>
      </w:r>
      <w:bookmarkEnd w:id="707"/>
    </w:p>
    <w:p w14:paraId="391C265D" w14:textId="77777777" w:rsidR="00772179" w:rsidRDefault="00000000">
      <w:pPr>
        <w:pStyle w:val="Author-eSectionHeading4Numberless"/>
      </w:pPr>
      <w:bookmarkStart w:id="708" w:name="_Toc220490399"/>
      <w:r>
        <w:t>43.12 Supports par plots du revêtement de façade CCTB 01.02</w:t>
      </w:r>
      <w:bookmarkEnd w:id="708"/>
    </w:p>
    <w:p w14:paraId="07F8A351" w14:textId="77777777" w:rsidR="00772179" w:rsidRDefault="00000000">
      <w:pPr>
        <w:pStyle w:val="Author-eSectionHeading5Numberless"/>
      </w:pPr>
      <w:bookmarkStart w:id="709" w:name="_Toc220490400"/>
      <w:r>
        <w:t>43.12.1 Supports par plots synthétiques du revêtement de façade CCTB 01.02</w:t>
      </w:r>
      <w:bookmarkEnd w:id="709"/>
    </w:p>
    <w:p w14:paraId="689E129F" w14:textId="77777777" w:rsidR="00772179" w:rsidRDefault="00000000">
      <w:pPr>
        <w:pStyle w:val="Author-eSectionHeading6Numberless"/>
      </w:pPr>
      <w:bookmarkStart w:id="710" w:name="_Toc220490401"/>
      <w:r>
        <w:t>43.12.1a Supports par plots synthétiques du revêtement de façade CCTB 01.11</w:t>
      </w:r>
      <w:bookmarkEnd w:id="710"/>
    </w:p>
    <w:p w14:paraId="133D4072" w14:textId="77777777" w:rsidR="00772179" w:rsidRDefault="00000000">
      <w:pPr>
        <w:pStyle w:val="pheading"/>
      </w:pPr>
      <w:r>
        <w:t>DESCRIPTION</w:t>
      </w:r>
    </w:p>
    <w:p w14:paraId="2FDE115C" w14:textId="77777777" w:rsidR="00772179" w:rsidRDefault="00000000">
      <w:pPr>
        <w:pStyle w:val="pheading"/>
      </w:pPr>
      <w:r>
        <w:t>- Définition / Comprend</w:t>
      </w:r>
    </w:p>
    <w:p w14:paraId="754CB5E2" w14:textId="77777777" w:rsidR="00772179" w:rsidRDefault="00000000">
      <w:pPr>
        <w:jc w:val="both"/>
      </w:pPr>
      <w:r>
        <w:t>Il s’agit de la fourniture et la pose de plots synthétiques en vue de la fixation des profilés de revêtements de façade.</w:t>
      </w:r>
    </w:p>
    <w:p w14:paraId="1AEA9989" w14:textId="77777777" w:rsidR="00772179" w:rsidRDefault="00000000">
      <w:pPr>
        <w:jc w:val="both"/>
      </w:pPr>
      <w:r>
        <w:t>Le travail comprend notamment :</w:t>
      </w:r>
    </w:p>
    <w:p w14:paraId="3510EF1E" w14:textId="77777777" w:rsidR="00772179" w:rsidRDefault="00000000">
      <w:pPr>
        <w:pStyle w:val="Author-eListParagraph"/>
        <w:numPr>
          <w:ilvl w:val="0"/>
          <w:numId w:val="879"/>
        </w:numPr>
        <w:jc w:val="both"/>
      </w:pPr>
      <w:r>
        <w:t>Vérification préalable de l’état du support ;</w:t>
      </w:r>
    </w:p>
    <w:p w14:paraId="65B21D46" w14:textId="77777777" w:rsidR="00772179" w:rsidRDefault="00000000">
      <w:pPr>
        <w:pStyle w:val="Author-eListParagraph"/>
        <w:numPr>
          <w:ilvl w:val="0"/>
          <w:numId w:val="879"/>
        </w:numPr>
        <w:jc w:val="both"/>
      </w:pPr>
      <w:r>
        <w:t xml:space="preserve">Coordination avec la mise en œuvre des revêtements de façade tels que décrits sous </w:t>
      </w:r>
      <w:hyperlink w:anchor="984" w:history="1">
        <w:r>
          <w:rPr>
            <w:color w:val="0000EE"/>
          </w:rPr>
          <w:t>43.2 Revêtements de façade rigides fixés mécaniquement</w:t>
        </w:r>
      </w:hyperlink>
      <w:r>
        <w:t>;</w:t>
      </w:r>
    </w:p>
    <w:p w14:paraId="7D19FC4A" w14:textId="77777777" w:rsidR="00772179" w:rsidRDefault="00000000">
      <w:pPr>
        <w:pStyle w:val="Author-eListParagraph"/>
        <w:numPr>
          <w:ilvl w:val="0"/>
          <w:numId w:val="879"/>
        </w:numPr>
        <w:jc w:val="both"/>
      </w:pPr>
      <w:r>
        <w:t xml:space="preserve">Fixation des éléments porteurs du revêtement de façade décrite sous </w:t>
      </w:r>
      <w:hyperlink w:anchor="985" w:history="1">
        <w:r>
          <w:rPr>
            <w:color w:val="0000EE"/>
          </w:rPr>
          <w:t>43.11.1 Profilés de support continu en bois du revêtement de façade</w:t>
        </w:r>
      </w:hyperlink>
      <w:r>
        <w:t> ;</w:t>
      </w:r>
    </w:p>
    <w:p w14:paraId="68F0985E" w14:textId="77777777" w:rsidR="00772179" w:rsidRDefault="00000000">
      <w:pPr>
        <w:pStyle w:val="Author-eListParagraph"/>
        <w:numPr>
          <w:ilvl w:val="0"/>
          <w:numId w:val="879"/>
        </w:numPr>
        <w:jc w:val="both"/>
      </w:pPr>
      <w:r>
        <w:t>Détermination du type de plot en fonction de l’épaisseur d’isolation décrite sous 26.4 Isolation et suivants ;</w:t>
      </w:r>
    </w:p>
    <w:p w14:paraId="71124728" w14:textId="77777777" w:rsidR="00772179" w:rsidRDefault="00000000">
      <w:pPr>
        <w:pStyle w:val="Author-eListParagraph"/>
        <w:numPr>
          <w:ilvl w:val="0"/>
          <w:numId w:val="879"/>
        </w:numPr>
        <w:jc w:val="both"/>
      </w:pPr>
      <w:r>
        <w:t>Fourniture et pose des plots synthétiques.</w:t>
      </w:r>
    </w:p>
    <w:p w14:paraId="6540B0C8" w14:textId="77777777" w:rsidR="00772179" w:rsidRDefault="00000000">
      <w:pPr>
        <w:pStyle w:val="pheading"/>
      </w:pPr>
      <w:r>
        <w:t>MATÉRIAUX</w:t>
      </w:r>
    </w:p>
    <w:p w14:paraId="7DCACE2E" w14:textId="77777777" w:rsidR="00772179" w:rsidRDefault="00000000">
      <w:pPr>
        <w:pStyle w:val="pheading"/>
      </w:pPr>
      <w:r>
        <w:t>- Caractéristiques générales</w:t>
      </w:r>
    </w:p>
    <w:p w14:paraId="6854BFA2" w14:textId="77777777" w:rsidR="00772179" w:rsidRDefault="00000000">
      <w:pPr>
        <w:jc w:val="both"/>
      </w:pPr>
      <w:r>
        <w:t>Plots synthétiques couverts par une déclaration d’aptitude à l’utilisation décrite au chapitre 02.42.1 Critères d'acceptabilité :</w:t>
      </w:r>
      <w:r>
        <w:rPr>
          <w:rStyle w:val="optioncarChar"/>
        </w:rPr>
        <w:t xml:space="preserve"> oui / non</w:t>
      </w:r>
      <w:r>
        <w:t>.</w:t>
      </w:r>
    </w:p>
    <w:p w14:paraId="16488CAF" w14:textId="77777777" w:rsidR="00772179" w:rsidRDefault="00000000">
      <w:pPr>
        <w:jc w:val="both"/>
      </w:pPr>
      <w:r>
        <w:t xml:space="preserve">Fabriqué à base de matériaux 100% recyclés : </w:t>
      </w:r>
      <w:r>
        <w:rPr>
          <w:rStyle w:val="optioncarChar"/>
        </w:rPr>
        <w:t>oui / non</w:t>
      </w:r>
    </w:p>
    <w:p w14:paraId="7849DF73" w14:textId="77777777" w:rsidR="00772179" w:rsidRDefault="00000000">
      <w:pPr>
        <w:jc w:val="both"/>
      </w:pPr>
      <w:r>
        <w:lastRenderedPageBreak/>
        <w:t>Plot synthétique de forme triangulaire avec U pour insertion du lattage bois :</w:t>
      </w:r>
      <w:r>
        <w:rPr>
          <w:rStyle w:val="optioncarChar"/>
        </w:rPr>
        <w:t xml:space="preserve"> pose dans l’épaisseur de l’isolation </w:t>
      </w:r>
      <w:r>
        <w:t xml:space="preserve">(par défaut) </w:t>
      </w:r>
      <w:r>
        <w:rPr>
          <w:rStyle w:val="optioncarChar"/>
        </w:rPr>
        <w:t>/ pose devant l’isolation en PIR/PUR</w:t>
      </w:r>
    </w:p>
    <w:p w14:paraId="450E42BA" w14:textId="77777777" w:rsidR="00772179" w:rsidRDefault="00000000">
      <w:pPr>
        <w:pStyle w:val="pheading"/>
      </w:pPr>
      <w:r>
        <w:t>EXÉCUTION / MISE EN ŒUVRE</w:t>
      </w:r>
    </w:p>
    <w:p w14:paraId="4F22AE77" w14:textId="77777777" w:rsidR="00772179" w:rsidRDefault="00000000">
      <w:pPr>
        <w:pStyle w:val="pheading"/>
      </w:pPr>
      <w:r>
        <w:t>- Prescriptions générales</w:t>
      </w:r>
    </w:p>
    <w:p w14:paraId="008BDD5B" w14:textId="77777777" w:rsidR="00772179" w:rsidRDefault="00000000">
      <w:pPr>
        <w:jc w:val="both"/>
      </w:pPr>
      <w:r>
        <w:t xml:space="preserve">La note de calcul déterminant le type de plot en fonction de la charge à reprendre et de la hauteur du bâtiment est à charge de l’entreprise et est présentée pour approbation </w:t>
      </w:r>
      <w:r>
        <w:rPr>
          <w:rStyle w:val="optioncarChar"/>
        </w:rPr>
        <w:t>à la direction de chantier / au bureau d’études</w:t>
      </w:r>
      <w:r>
        <w:t>.</w:t>
      </w:r>
    </w:p>
    <w:p w14:paraId="10B7A289" w14:textId="77777777" w:rsidR="00772179" w:rsidRDefault="00000000">
      <w:pPr>
        <w:jc w:val="both"/>
      </w:pPr>
      <w:r>
        <w:t xml:space="preserve">La coordination avec les profilés de support continu décrits et métrés sous </w:t>
      </w:r>
      <w:hyperlink w:anchor="985" w:history="1">
        <w:r>
          <w:rPr>
            <w:color w:val="0000EE"/>
          </w:rPr>
          <w:t>43.11.1 Profilés de support continu en bois du revêtement de façade</w:t>
        </w:r>
      </w:hyperlink>
      <w:r>
        <w:t xml:space="preserve"> est à charge de l’entrepreneur .</w:t>
      </w:r>
    </w:p>
    <w:p w14:paraId="6FE31744" w14:textId="77777777" w:rsidR="00772179" w:rsidRDefault="00000000">
      <w:pPr>
        <w:jc w:val="both"/>
      </w:pPr>
      <w:r>
        <w:t xml:space="preserve">L’entrepreneur présente le plan de pose des plots coordonné avec les profilés de support pour approbation </w:t>
      </w:r>
      <w:r>
        <w:rPr>
          <w:rStyle w:val="optioncarChar"/>
        </w:rPr>
        <w:t>à la direction de chantier / au bureau d’études</w:t>
      </w:r>
      <w:r>
        <w:t>.</w:t>
      </w:r>
    </w:p>
    <w:p w14:paraId="76008B91" w14:textId="77777777" w:rsidR="00772179" w:rsidRDefault="00000000">
      <w:pPr>
        <w:jc w:val="both"/>
      </w:pPr>
      <w:r>
        <w:t>Les plots sont fixés conformément à la documentation technique accompagnant le matériau :</w:t>
      </w:r>
    </w:p>
    <w:p w14:paraId="0DF725A7" w14:textId="77777777" w:rsidR="00772179" w:rsidRDefault="00000000">
      <w:pPr>
        <w:pStyle w:val="Author-eListParagraph"/>
        <w:numPr>
          <w:ilvl w:val="0"/>
          <w:numId w:val="880"/>
        </w:numPr>
      </w:pPr>
      <w:r>
        <w:t>fixation des plots au moyen de chevilles diamètre et profondeur suivant note de calcul ;</w:t>
      </w:r>
    </w:p>
    <w:p w14:paraId="5D6C2167" w14:textId="77777777" w:rsidR="00772179" w:rsidRDefault="00000000">
      <w:pPr>
        <w:pStyle w:val="Author-eListParagraph"/>
        <w:numPr>
          <w:ilvl w:val="0"/>
          <w:numId w:val="880"/>
        </w:numPr>
      </w:pPr>
      <w:r>
        <w:t>fixation des profilés de support du revêtement de façade au moyen de clous en inox ;</w:t>
      </w:r>
    </w:p>
    <w:p w14:paraId="184A4CEE" w14:textId="77777777" w:rsidR="00772179" w:rsidRDefault="00000000">
      <w:pPr>
        <w:pStyle w:val="Author-eListParagraph"/>
        <w:numPr>
          <w:ilvl w:val="0"/>
          <w:numId w:val="880"/>
        </w:numPr>
      </w:pPr>
      <w:r>
        <w:t xml:space="preserve">l’entreprise présente la note de calcul des fixations </w:t>
      </w:r>
      <w:r>
        <w:rPr>
          <w:rStyle w:val="optioncarChar"/>
        </w:rPr>
        <w:t>à la direction de chantier / au bureau d’étude.</w:t>
      </w:r>
    </w:p>
    <w:p w14:paraId="7575F823" w14:textId="77777777" w:rsidR="00772179" w:rsidRDefault="00000000">
      <w:pPr>
        <w:jc w:val="both"/>
      </w:pPr>
      <w:r>
        <w:t>En cas de pose devant l’isolation :</w:t>
      </w:r>
      <w:r>
        <w:rPr>
          <w:rStyle w:val="optioncarChar"/>
        </w:rPr>
        <w:t xml:space="preserve"> PUR suivant 26.41.1d Isolation en panneaux - polyuréthane (PUR) / PIR suivant 26.41.1e Isolation en panneaux - polyisocyanurate (PIR)</w:t>
      </w:r>
    </w:p>
    <w:p w14:paraId="49BD40F7" w14:textId="77777777" w:rsidR="00772179" w:rsidRDefault="00000000">
      <w:pPr>
        <w:pStyle w:val="Author-eListParagraph"/>
        <w:numPr>
          <w:ilvl w:val="0"/>
          <w:numId w:val="881"/>
        </w:numPr>
        <w:jc w:val="both"/>
      </w:pPr>
      <w:r>
        <w:t xml:space="preserve">pour pose de lattage : </w:t>
      </w:r>
      <w:r>
        <w:rPr>
          <w:rStyle w:val="optioncarChar"/>
        </w:rPr>
        <w:t>horizontal / vertical</w:t>
      </w:r>
    </w:p>
    <w:p w14:paraId="7C720D15" w14:textId="77777777" w:rsidR="00772179" w:rsidRDefault="00000000">
      <w:pPr>
        <w:pStyle w:val="Author-eListParagraph"/>
        <w:numPr>
          <w:ilvl w:val="0"/>
          <w:numId w:val="881"/>
        </w:numPr>
        <w:jc w:val="both"/>
      </w:pPr>
      <w:r>
        <w:t xml:space="preserve">épaisseur d’isolation : </w:t>
      </w:r>
      <w:r>
        <w:rPr>
          <w:rStyle w:val="optioncarChar"/>
        </w:rPr>
        <w:t>100 / 120 / 140 / 160</w:t>
      </w:r>
      <w:r>
        <w:t xml:space="preserve"> mm</w:t>
      </w:r>
    </w:p>
    <w:p w14:paraId="3E6CD82A" w14:textId="77777777" w:rsidR="00772179" w:rsidRDefault="00000000">
      <w:pPr>
        <w:pStyle w:val="pheading"/>
      </w:pPr>
      <w:r>
        <w:t>DOCUMENTS DE RÉFÉRENCE COMPLÉMENTAIRES</w:t>
      </w:r>
    </w:p>
    <w:p w14:paraId="70AD8EB5" w14:textId="77777777" w:rsidR="00772179" w:rsidRDefault="00000000">
      <w:pPr>
        <w:pStyle w:val="pheading"/>
      </w:pPr>
      <w:r>
        <w:t>- Exécution</w:t>
      </w:r>
    </w:p>
    <w:p w14:paraId="4D48B295" w14:textId="77777777" w:rsidR="00772179" w:rsidRDefault="00000000">
      <w:r>
        <w:t>[NBN EN 1991-1-1, Eurocode 1: Actions sur les structures - Partie 1-1: Actions générales - Poids volumiques, poids propres, charges d'exploitation bâtiments (+ AC:2009)]</w:t>
      </w:r>
    </w:p>
    <w:p w14:paraId="78F7EFA4" w14:textId="77777777" w:rsidR="00772179" w:rsidRDefault="00000000">
      <w:pPr>
        <w:pStyle w:val="pheading"/>
      </w:pPr>
      <w:r>
        <w:t>MESURAGE</w:t>
      </w:r>
    </w:p>
    <w:p w14:paraId="5AB16DE6" w14:textId="77777777" w:rsidR="00772179" w:rsidRDefault="00000000">
      <w:pPr>
        <w:pStyle w:val="pheading"/>
      </w:pPr>
      <w:r>
        <w:t>- unité de mesure:</w:t>
      </w:r>
    </w:p>
    <w:p w14:paraId="63D1EC31" w14:textId="77777777" w:rsidR="00772179" w:rsidRDefault="00000000">
      <w:r>
        <w:t>-</w:t>
      </w:r>
    </w:p>
    <w:p w14:paraId="075EF343" w14:textId="77777777" w:rsidR="00772179" w:rsidRDefault="00000000">
      <w:pPr>
        <w:pStyle w:val="pheading"/>
      </w:pPr>
      <w:r>
        <w:t>- code de mesurage:</w:t>
      </w:r>
    </w:p>
    <w:p w14:paraId="60A7148D" w14:textId="77777777" w:rsidR="00772179" w:rsidRDefault="00000000">
      <w:pPr>
        <w:jc w:val="both"/>
      </w:pPr>
      <w:r>
        <w:t xml:space="preserve">Compris dans le prix des profilés de support sous </w:t>
      </w:r>
      <w:hyperlink w:anchor="985" w:history="1">
        <w:r>
          <w:rPr>
            <w:color w:val="0000EE"/>
          </w:rPr>
          <w:t>43.11.1 Profilés de support continu en bois du revêtement de façade</w:t>
        </w:r>
      </w:hyperlink>
      <w:r>
        <w:t>.</w:t>
      </w:r>
    </w:p>
    <w:p w14:paraId="04CC3C71" w14:textId="77777777" w:rsidR="00772179" w:rsidRDefault="00000000">
      <w:pPr>
        <w:pStyle w:val="pheading"/>
      </w:pPr>
      <w:r>
        <w:t>- nature du marché:</w:t>
      </w:r>
    </w:p>
    <w:p w14:paraId="2A377F03" w14:textId="77777777" w:rsidR="00772179" w:rsidRDefault="00000000">
      <w:r>
        <w:t>PM</w:t>
      </w:r>
    </w:p>
    <w:p w14:paraId="2E106644" w14:textId="77777777" w:rsidR="00772179" w:rsidRDefault="00000000">
      <w:pPr>
        <w:pStyle w:val="Author-eSectionHeading5Numberless"/>
      </w:pPr>
      <w:bookmarkStart w:id="711" w:name="_Toc220490402"/>
      <w:r>
        <w:t>43.12.2 Supports par plots métalliques du revêtement de façade  CCTB 01.02</w:t>
      </w:r>
      <w:bookmarkEnd w:id="711"/>
    </w:p>
    <w:p w14:paraId="462FFFD1" w14:textId="77777777" w:rsidR="00772179" w:rsidRDefault="00000000">
      <w:pPr>
        <w:pStyle w:val="Author-eSectionHeading6Numberless"/>
      </w:pPr>
      <w:bookmarkStart w:id="712" w:name="_Toc220490403"/>
      <w:r>
        <w:t>43.12.2a Supports par plots métalliques du revêtement de façade</w:t>
      </w:r>
      <w:bookmarkEnd w:id="712"/>
    </w:p>
    <w:p w14:paraId="3A75C8D9" w14:textId="77777777" w:rsidR="00772179" w:rsidRDefault="00000000">
      <w:pPr>
        <w:pStyle w:val="Author-eSectionHeading4Numberless"/>
      </w:pPr>
      <w:bookmarkStart w:id="713" w:name="_Toc220490404"/>
      <w:r>
        <w:t>43.13 Panneaux sandwiches (autoportant et isolant) CCTB 01.02</w:t>
      </w:r>
      <w:bookmarkEnd w:id="713"/>
    </w:p>
    <w:p w14:paraId="53A6F117" w14:textId="77777777" w:rsidR="00772179" w:rsidRDefault="00000000">
      <w:pPr>
        <w:pStyle w:val="Author-eSectionHeading5Numberless"/>
      </w:pPr>
      <w:bookmarkStart w:id="714" w:name="_Toc220490405"/>
      <w:r>
        <w:t>43.13.1 Panneaux sandwiches (autoportant et isolant) CCTB 01.12</w:t>
      </w:r>
      <w:bookmarkEnd w:id="714"/>
    </w:p>
    <w:p w14:paraId="467BEB67" w14:textId="77777777" w:rsidR="00772179" w:rsidRDefault="00000000">
      <w:pPr>
        <w:pStyle w:val="pheading"/>
      </w:pPr>
      <w:bookmarkStart w:id="715" w:name="988"/>
      <w:bookmarkEnd w:id="715"/>
      <w:r>
        <w:t>DESCRIPTION</w:t>
      </w:r>
    </w:p>
    <w:p w14:paraId="1B02A56A" w14:textId="77777777" w:rsidR="00772179" w:rsidRDefault="00000000">
      <w:pPr>
        <w:pStyle w:val="pheading"/>
      </w:pPr>
      <w:r>
        <w:t>- Définition / Comprend</w:t>
      </w:r>
    </w:p>
    <w:p w14:paraId="4F908290" w14:textId="77777777" w:rsidR="00772179" w:rsidRDefault="00000000">
      <w:pPr>
        <w:jc w:val="both"/>
      </w:pPr>
      <w:r>
        <w:t>Il s’agit de la fourniture et la pose de panneaux sandwiches autoportants et isolants.</w:t>
      </w:r>
    </w:p>
    <w:p w14:paraId="75EDAAD9" w14:textId="77777777" w:rsidR="00772179" w:rsidRDefault="00000000">
      <w:pPr>
        <w:jc w:val="both"/>
      </w:pPr>
      <w:r>
        <w:t>Le travail comprend notamment :</w:t>
      </w:r>
    </w:p>
    <w:p w14:paraId="39C02D2F" w14:textId="77777777" w:rsidR="00772179" w:rsidRDefault="00000000">
      <w:pPr>
        <w:pStyle w:val="Author-eListParagraph"/>
        <w:numPr>
          <w:ilvl w:val="0"/>
          <w:numId w:val="882"/>
        </w:numPr>
        <w:jc w:val="both"/>
      </w:pPr>
      <w:r>
        <w:lastRenderedPageBreak/>
        <w:t>Toutes précautions en matière de sécurité conformément au 01.4 Plans de sécurité et de santé ;</w:t>
      </w:r>
    </w:p>
    <w:p w14:paraId="1C9242B6" w14:textId="77777777" w:rsidR="00772179" w:rsidRDefault="00000000">
      <w:pPr>
        <w:pStyle w:val="Author-eListParagraph"/>
        <w:numPr>
          <w:ilvl w:val="0"/>
          <w:numId w:val="882"/>
        </w:numPr>
        <w:jc w:val="both"/>
      </w:pPr>
      <w:r>
        <w:t>La vérification de l’état de la structure et de la compatibilité de l’exécution avec les tolérances de pose des panneaux ;</w:t>
      </w:r>
    </w:p>
    <w:p w14:paraId="32160367" w14:textId="77777777" w:rsidR="00772179" w:rsidRDefault="00000000">
      <w:pPr>
        <w:pStyle w:val="Author-eListParagraph"/>
        <w:numPr>
          <w:ilvl w:val="0"/>
          <w:numId w:val="882"/>
        </w:numPr>
        <w:jc w:val="both"/>
      </w:pPr>
      <w:r>
        <w:t>La mise au point du calepinage et l’établissement des plans d’exécution, y compris la localisation des équipements techniques traversant la façade ;</w:t>
      </w:r>
    </w:p>
    <w:p w14:paraId="118D649B" w14:textId="77777777" w:rsidR="00772179" w:rsidRDefault="00000000">
      <w:pPr>
        <w:pStyle w:val="Author-eListParagraph"/>
        <w:numPr>
          <w:ilvl w:val="0"/>
          <w:numId w:val="882"/>
        </w:numPr>
        <w:jc w:val="both"/>
      </w:pPr>
      <w:r>
        <w:t>La réalisation en atelier des réservations pour traversées techniques en coordination avec les études techniques ;</w:t>
      </w:r>
    </w:p>
    <w:p w14:paraId="78594E25" w14:textId="77777777" w:rsidR="00772179" w:rsidRDefault="00000000">
      <w:pPr>
        <w:pStyle w:val="Author-eListParagraph"/>
        <w:numPr>
          <w:ilvl w:val="0"/>
          <w:numId w:val="882"/>
        </w:numPr>
        <w:jc w:val="both"/>
      </w:pPr>
      <w:r>
        <w:t>La finition des bords coupés conformément à la documentation technique accompagnant les produits ;</w:t>
      </w:r>
    </w:p>
    <w:p w14:paraId="1517D85B" w14:textId="77777777" w:rsidR="00772179" w:rsidRDefault="00000000">
      <w:pPr>
        <w:pStyle w:val="Author-eListParagraph"/>
        <w:numPr>
          <w:ilvl w:val="0"/>
          <w:numId w:val="882"/>
        </w:numPr>
        <w:jc w:val="both"/>
      </w:pPr>
      <w:r>
        <w:t xml:space="preserve">Le dimensionnement et l’espacement des rails de fixation (en fonction des sollicitations, de la portée autorisée pour les panneaux) est à charge </w:t>
      </w:r>
      <w:r>
        <w:rPr>
          <w:rStyle w:val="optioncarChar"/>
        </w:rPr>
        <w:t>de l’entrepreneur / du bureau d’étude</w:t>
      </w:r>
      <w:r>
        <w:t> ;</w:t>
      </w:r>
    </w:p>
    <w:p w14:paraId="4ED3D8B9" w14:textId="77777777" w:rsidR="00772179" w:rsidRDefault="00000000">
      <w:pPr>
        <w:pStyle w:val="Author-eListParagraph"/>
        <w:numPr>
          <w:ilvl w:val="0"/>
          <w:numId w:val="882"/>
        </w:numPr>
        <w:jc w:val="both"/>
      </w:pPr>
      <w:r>
        <w:t>La fourniture et pose des rails de fixation ;</w:t>
      </w:r>
    </w:p>
    <w:p w14:paraId="302E1DDB" w14:textId="77777777" w:rsidR="00772179" w:rsidRDefault="00000000">
      <w:pPr>
        <w:pStyle w:val="Author-eListParagraph"/>
        <w:numPr>
          <w:ilvl w:val="0"/>
          <w:numId w:val="882"/>
        </w:numPr>
        <w:jc w:val="both"/>
      </w:pPr>
      <w:r>
        <w:t>Tous moyens pour assurer la continuité de l’isolant pour l’étanchéité à l’air, au vent et thermique (PEB), notamment au niveau des raccords avec les autres parois ;</w:t>
      </w:r>
    </w:p>
    <w:p w14:paraId="743C1C91" w14:textId="77777777" w:rsidR="00772179" w:rsidRDefault="00000000">
      <w:pPr>
        <w:pStyle w:val="Author-eListParagraph"/>
        <w:numPr>
          <w:ilvl w:val="0"/>
          <w:numId w:val="882"/>
        </w:numPr>
        <w:jc w:val="both"/>
      </w:pPr>
      <w:r>
        <w:t>L'évacuation et la gestion des déchets générés par les travaux tel que décrit au 07 Déchets, matériaux et éléments réemployables</w:t>
      </w:r>
    </w:p>
    <w:p w14:paraId="4120E7DA" w14:textId="77777777" w:rsidR="00772179" w:rsidRDefault="00000000">
      <w:pPr>
        <w:pStyle w:val="pheading"/>
      </w:pPr>
      <w:r>
        <w:t>EXÉCUTION / MISE EN ŒUVRE</w:t>
      </w:r>
    </w:p>
    <w:p w14:paraId="266B75BB" w14:textId="77777777" w:rsidR="00772179" w:rsidRDefault="00000000">
      <w:pPr>
        <w:jc w:val="both"/>
      </w:pPr>
      <w:r>
        <w:t>La mise en œuvre est exécutée conformément à la documentation technique accompagnant les produits.</w:t>
      </w:r>
    </w:p>
    <w:p w14:paraId="0390511E" w14:textId="77777777" w:rsidR="00772179" w:rsidRDefault="00000000">
      <w:pPr>
        <w:jc w:val="both"/>
      </w:pPr>
      <w:r>
        <w:t>Toutes les découpes pour raccords aux parements adjacents et réalisation des baies et ouvertures de tous types sont réalisées au moyen des outils préconisés dans la documentation technique accompagnant les produits.</w:t>
      </w:r>
    </w:p>
    <w:p w14:paraId="528498A1" w14:textId="77777777" w:rsidR="00772179" w:rsidRDefault="00000000">
      <w:pPr>
        <w:jc w:val="both"/>
      </w:pPr>
      <w:r>
        <w:t>En cas de dimensionnement et détermination des écartements des éléments structurels par l’entrepreneur, la note de calculs et les plans d’exécution sont présentés pour approbation à la direction de chantier.</w:t>
      </w:r>
    </w:p>
    <w:p w14:paraId="43E04330" w14:textId="77777777" w:rsidR="00772179" w:rsidRDefault="00000000">
      <w:pPr>
        <w:jc w:val="both"/>
      </w:pPr>
      <w:r>
        <w:t>En cas de pose de profilés supports, l’entrepreneur remet une description détaillée de la pose de la structure (type, entraxe, diamètre de fixation et nombre...) pour accord à la direction de chantier.</w:t>
      </w:r>
    </w:p>
    <w:p w14:paraId="0D7E5518" w14:textId="77777777" w:rsidR="00772179" w:rsidRDefault="00000000">
      <w:pPr>
        <w:pStyle w:val="pheading"/>
      </w:pPr>
      <w:r>
        <w:t>DOCUMENTS DE RÉFÉRENCE</w:t>
      </w:r>
    </w:p>
    <w:p w14:paraId="4293263A" w14:textId="77777777" w:rsidR="00772179" w:rsidRDefault="00000000">
      <w:pPr>
        <w:pStyle w:val="pheading"/>
      </w:pPr>
      <w:r>
        <w:t>- Matériau</w:t>
      </w:r>
    </w:p>
    <w:p w14:paraId="222E54DE" w14:textId="77777777" w:rsidR="00772179" w:rsidRDefault="00000000">
      <w:r>
        <w:t>[NIT 256, Conception et mise en oeuvre de bâtiments industriels conformes aux exigences de sécurité contre l'incendie.]</w:t>
      </w:r>
    </w:p>
    <w:p w14:paraId="667A7B4C" w14:textId="77777777" w:rsidR="00772179" w:rsidRDefault="00000000">
      <w:r>
        <w:t>[AR 1994-07-07, Arrêté royal fixant les normes de base en matière de prévention contre l'incendie et l'explosion, auxquelles les bâtiments nouveaux doivent satisfaire]</w:t>
      </w:r>
    </w:p>
    <w:p w14:paraId="03D90AB9" w14:textId="77777777" w:rsidR="00772179" w:rsidRDefault="00000000">
      <w:r>
        <w:t>[NBN EN 13501-1, Classement au feu des produits et éléments de construction - Partie 1: Classement à partir des données d'essais de réaction au feu]</w:t>
      </w:r>
    </w:p>
    <w:p w14:paraId="387D1534" w14:textId="77777777" w:rsidR="00772179"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31A335FF" w14:textId="77777777" w:rsidR="00772179" w:rsidRDefault="00000000">
      <w:r>
        <w:t>[NBN EN 14509, Panneaux sandwiches autoportants, isolants, double peau à parements métalliques - Produits manufacturés - Spécifications]</w:t>
      </w:r>
    </w:p>
    <w:p w14:paraId="5D5B43C3" w14:textId="77777777" w:rsidR="00772179" w:rsidRDefault="00000000">
      <w:r>
        <w:t>[NBN EN 1364-1, Essais de résistance au feu des éléments non porteurs - Partie 1: Murs]</w:t>
      </w:r>
    </w:p>
    <w:p w14:paraId="11437EA9" w14:textId="77777777" w:rsidR="00772179" w:rsidRDefault="00000000">
      <w:pPr>
        <w:pStyle w:val="Author-eSectionHeading6Numberless"/>
      </w:pPr>
      <w:bookmarkStart w:id="716" w:name="_Toc220490406"/>
      <w:r>
        <w:t>43.13.1a Panneaux sandwiches (autoportant et isolant) CCTB 01.12</w:t>
      </w:r>
      <w:bookmarkEnd w:id="716"/>
    </w:p>
    <w:p w14:paraId="655EE5AB" w14:textId="77777777" w:rsidR="00772179" w:rsidRDefault="00000000">
      <w:pPr>
        <w:pStyle w:val="pheading"/>
      </w:pPr>
      <w:r>
        <w:t>DESCRIPTION</w:t>
      </w:r>
    </w:p>
    <w:p w14:paraId="049DCDE1" w14:textId="77777777" w:rsidR="00772179" w:rsidRDefault="00000000">
      <w:pPr>
        <w:pStyle w:val="pheading"/>
      </w:pPr>
      <w:r>
        <w:t>- Définition / Comprend</w:t>
      </w:r>
    </w:p>
    <w:p w14:paraId="34EFF4C6" w14:textId="77777777" w:rsidR="00772179" w:rsidRDefault="00000000">
      <w:pPr>
        <w:jc w:val="both"/>
      </w:pPr>
      <w:r>
        <w:t>Il s’agit de la fourniture et la pose de panneaux sandwiches autoportants et isolants.</w:t>
      </w:r>
    </w:p>
    <w:p w14:paraId="748E2712" w14:textId="77777777" w:rsidR="00772179" w:rsidRDefault="00000000">
      <w:pPr>
        <w:jc w:val="both"/>
      </w:pPr>
      <w:r>
        <w:t xml:space="preserve">La portée des travaux est décrite au </w:t>
      </w:r>
      <w:hyperlink w:anchor="988" w:history="1">
        <w:r>
          <w:rPr>
            <w:color w:val="0000EE"/>
          </w:rPr>
          <w:t>43.13.1 Panneaux sandwiches (autoportant et isolant)</w:t>
        </w:r>
      </w:hyperlink>
      <w:r>
        <w:t>.</w:t>
      </w:r>
    </w:p>
    <w:p w14:paraId="0C7DC0E6" w14:textId="77777777" w:rsidR="00772179" w:rsidRDefault="00000000">
      <w:pPr>
        <w:pStyle w:val="pheading"/>
      </w:pPr>
      <w:r>
        <w:lastRenderedPageBreak/>
        <w:t>MATÉRIAUX</w:t>
      </w:r>
    </w:p>
    <w:p w14:paraId="4F5DE5A3" w14:textId="77777777" w:rsidR="00772179" w:rsidRDefault="00000000">
      <w:pPr>
        <w:pStyle w:val="pheading"/>
      </w:pPr>
      <w:r>
        <w:t>- Caractéristiques générales</w:t>
      </w:r>
    </w:p>
    <w:p w14:paraId="603F6CE3" w14:textId="77777777" w:rsidR="00772179" w:rsidRDefault="00000000">
      <w:pPr>
        <w:jc w:val="both"/>
      </w:pPr>
      <w:r>
        <w:t xml:space="preserve">Perméabilité à l’eau [NBN EN 14509] :  classe </w:t>
      </w:r>
      <w:r>
        <w:rPr>
          <w:rStyle w:val="optioncarChar"/>
        </w:rPr>
        <w:t>A / B / C</w:t>
      </w:r>
    </w:p>
    <w:p w14:paraId="7C413606" w14:textId="77777777" w:rsidR="00772179" w:rsidRDefault="00000000">
      <w:pPr>
        <w:jc w:val="both"/>
      </w:pPr>
      <w:r>
        <w:t xml:space="preserve">Résistance au feu [NBN EN 1364-1] : </w:t>
      </w:r>
      <w:r>
        <w:rPr>
          <w:rStyle w:val="optioncarChar"/>
        </w:rPr>
        <w:t>EI 0 / EI 30 / EI 60 / EI 120</w:t>
      </w:r>
    </w:p>
    <w:p w14:paraId="6CC28428" w14:textId="77777777" w:rsidR="00772179" w:rsidRDefault="00000000">
      <w:pPr>
        <w:jc w:val="both"/>
      </w:pPr>
      <w:r>
        <w:t xml:space="preserve">Réaction au feu : </w:t>
      </w:r>
      <w:r>
        <w:rPr>
          <w:rStyle w:val="optioncarChar"/>
        </w:rPr>
        <w:t>A2-s3,d0 / B-s3,d0 / C-s3,d1</w:t>
      </w:r>
      <w:r>
        <w:t xml:space="preserve"> (suivant hauteur du bâtiment)</w:t>
      </w:r>
    </w:p>
    <w:p w14:paraId="7D54D5A8" w14:textId="77777777" w:rsidR="00772179" w:rsidRDefault="00000000">
      <w:pPr>
        <w:jc w:val="both"/>
      </w:pPr>
      <w:r>
        <w:t>Isolation acoustique : valeur R</w:t>
      </w:r>
      <w:r>
        <w:rPr>
          <w:vertAlign w:val="subscript"/>
        </w:rPr>
        <w:t>w</w:t>
      </w:r>
      <w:r>
        <w:t xml:space="preserve"> (C ;C</w:t>
      </w:r>
      <w:r>
        <w:rPr>
          <w:vertAlign w:val="subscript"/>
        </w:rPr>
        <w:t>tr</w:t>
      </w:r>
      <w:r>
        <w:t>) à atteindre :</w:t>
      </w:r>
      <w:r>
        <w:rPr>
          <w:rStyle w:val="optioncarChar"/>
        </w:rPr>
        <w:t xml:space="preserve"> ***</w:t>
      </w:r>
      <w:r>
        <w:t xml:space="preserve"> dB</w:t>
      </w:r>
    </w:p>
    <w:p w14:paraId="3A959A39" w14:textId="77777777" w:rsidR="00772179" w:rsidRDefault="00000000">
      <w:pPr>
        <w:jc w:val="both"/>
      </w:pPr>
      <w:r>
        <w:t>Absorption acoustique en face intérieure : valeur α</w:t>
      </w:r>
      <w:r>
        <w:rPr>
          <w:vertAlign w:val="subscript"/>
        </w:rPr>
        <w:t>w</w:t>
      </w:r>
      <w:r>
        <w:t xml:space="preserve"> à atteindre (0 (0 %) à 1 (100 %)) : </w:t>
      </w:r>
      <w:r>
        <w:rPr>
          <w:rStyle w:val="optioncarChar"/>
        </w:rPr>
        <w:t>***</w:t>
      </w:r>
    </w:p>
    <w:p w14:paraId="184A50DB" w14:textId="77777777" w:rsidR="00772179" w:rsidRDefault="00000000">
      <w:pPr>
        <w:jc w:val="both"/>
      </w:pPr>
      <w:r>
        <w:t>Valeur U</w:t>
      </w:r>
      <w:r>
        <w:rPr>
          <w:vertAlign w:val="subscript"/>
        </w:rPr>
        <w:t>paroi</w:t>
      </w:r>
      <w:r>
        <w:t>  à atteindre :</w:t>
      </w:r>
      <w:r>
        <w:rPr>
          <w:rStyle w:val="optioncarChar"/>
        </w:rPr>
        <w:t xml:space="preserve"> ***</w:t>
      </w:r>
      <w:r>
        <w:t xml:space="preserve"> W/m²K.</w:t>
      </w:r>
    </w:p>
    <w:p w14:paraId="760C945B" w14:textId="77777777" w:rsidR="00772179" w:rsidRDefault="00000000">
      <w:pPr>
        <w:jc w:val="both"/>
      </w:pPr>
      <w:r>
        <w:t>Tolérance dimensionnelle suivant [NBN EN 14509], tableau 4.</w:t>
      </w:r>
    </w:p>
    <w:p w14:paraId="5BA46D1B" w14:textId="77777777" w:rsidR="00772179" w:rsidRDefault="00000000">
      <w:pPr>
        <w:jc w:val="both"/>
      </w:pPr>
      <w:r>
        <w:rPr>
          <w:b/>
        </w:rPr>
        <w:t>Panneaux sandwiches</w:t>
      </w:r>
    </w:p>
    <w:p w14:paraId="4DFA7D00" w14:textId="77777777" w:rsidR="00772179" w:rsidRDefault="00000000">
      <w:pPr>
        <w:jc w:val="both"/>
      </w:pPr>
      <w:r>
        <w:t>Emboîtement conformément à la figure A.20 de la [NBN EN 14509] : type</w:t>
      </w:r>
      <w:r>
        <w:rPr>
          <w:rStyle w:val="optioncarChar"/>
        </w:rPr>
        <w:t xml:space="preserve"> I / II / III / IV / V / VI / VII / VIII</w:t>
      </w:r>
    </w:p>
    <w:p w14:paraId="1D9A3AD3" w14:textId="77777777" w:rsidR="00772179" w:rsidRDefault="00000000">
      <w:pPr>
        <w:jc w:val="both"/>
      </w:pPr>
      <w:r>
        <w:t>Panneaux composés d’un revêtement intérieur et extérieur en acier avec une âme en matériau isolant :</w:t>
      </w:r>
    </w:p>
    <w:p w14:paraId="40CF719E" w14:textId="77777777" w:rsidR="00772179" w:rsidRDefault="00000000">
      <w:pPr>
        <w:pStyle w:val="Author-eListParagraph"/>
        <w:numPr>
          <w:ilvl w:val="0"/>
          <w:numId w:val="883"/>
        </w:numPr>
      </w:pPr>
      <w:r>
        <w:t xml:space="preserve">Longueur : </w:t>
      </w:r>
      <w:r>
        <w:rPr>
          <w:rStyle w:val="optioncarChar"/>
        </w:rPr>
        <w:t>***</w:t>
      </w:r>
      <w:r>
        <w:t xml:space="preserve"> mm</w:t>
      </w:r>
    </w:p>
    <w:p w14:paraId="71468061" w14:textId="77777777" w:rsidR="00772179" w:rsidRDefault="00000000">
      <w:pPr>
        <w:pStyle w:val="Author-eListParagraph"/>
        <w:numPr>
          <w:ilvl w:val="0"/>
          <w:numId w:val="883"/>
        </w:numPr>
      </w:pPr>
      <w:r>
        <w:t xml:space="preserve">Largeur utile : </w:t>
      </w:r>
      <w:r>
        <w:rPr>
          <w:rStyle w:val="optioncarChar"/>
        </w:rPr>
        <w:t>***</w:t>
      </w:r>
      <w:r>
        <w:t xml:space="preserve"> mm</w:t>
      </w:r>
    </w:p>
    <w:p w14:paraId="38B7FC1B" w14:textId="77777777" w:rsidR="00772179" w:rsidRDefault="00000000">
      <w:pPr>
        <w:pStyle w:val="Author-eListParagraph"/>
        <w:numPr>
          <w:ilvl w:val="0"/>
          <w:numId w:val="883"/>
        </w:numPr>
      </w:pPr>
      <w:r>
        <w:t xml:space="preserve">Épaisseur : </w:t>
      </w:r>
      <w:r>
        <w:rPr>
          <w:rStyle w:val="optioncarChar"/>
        </w:rPr>
        <w:t>***</w:t>
      </w:r>
      <w:r>
        <w:t xml:space="preserve"> mm</w:t>
      </w:r>
    </w:p>
    <w:p w14:paraId="054F5CD2" w14:textId="77777777" w:rsidR="00772179" w:rsidRDefault="00000000">
      <w:pPr>
        <w:pStyle w:val="Author-eListParagraph"/>
        <w:numPr>
          <w:ilvl w:val="0"/>
          <w:numId w:val="883"/>
        </w:numPr>
      </w:pPr>
      <w:r>
        <w:t xml:space="preserve">Uds déclaré suivant [NBN EN 14509] : </w:t>
      </w:r>
      <w:r>
        <w:rPr>
          <w:rStyle w:val="optioncarChar"/>
        </w:rPr>
        <w:t>***</w:t>
      </w:r>
      <w:r>
        <w:t xml:space="preserve"> W/mK</w:t>
      </w:r>
    </w:p>
    <w:p w14:paraId="50A8A2EE" w14:textId="77777777" w:rsidR="00772179" w:rsidRDefault="00000000">
      <w:pPr>
        <w:pStyle w:val="Author-eListParagraph"/>
        <w:numPr>
          <w:ilvl w:val="0"/>
          <w:numId w:val="883"/>
        </w:numPr>
      </w:pPr>
      <w:r>
        <w:t xml:space="preserve">Essai de durabilité suivant [NBN EN 14509] : </w:t>
      </w:r>
      <w:r>
        <w:rPr>
          <w:rStyle w:val="optioncarChar"/>
        </w:rPr>
        <w:t>DUR 1 / DUR 2</w:t>
      </w:r>
    </w:p>
    <w:p w14:paraId="707F589A" w14:textId="77777777" w:rsidR="00772179" w:rsidRDefault="00000000">
      <w:pPr>
        <w:jc w:val="both"/>
      </w:pPr>
      <w:r>
        <w:t>Revêtement intérieur et extérieur en acier</w:t>
      </w:r>
    </w:p>
    <w:p w14:paraId="60770B79" w14:textId="77777777" w:rsidR="00772179" w:rsidRDefault="00000000">
      <w:pPr>
        <w:pStyle w:val="Author-eListParagraph"/>
        <w:numPr>
          <w:ilvl w:val="0"/>
          <w:numId w:val="884"/>
        </w:numPr>
      </w:pPr>
      <w:r>
        <w:t xml:space="preserve">Épaisseur : </w:t>
      </w:r>
      <w:r>
        <w:rPr>
          <w:rStyle w:val="optioncarChar"/>
        </w:rPr>
        <w:t xml:space="preserve">0,63 </w:t>
      </w:r>
      <w:r>
        <w:t>(par défaut)</w:t>
      </w:r>
      <w:r>
        <w:rPr>
          <w:rStyle w:val="optioncarChar"/>
        </w:rPr>
        <w:t xml:space="preserve"> / 0,4 / 0,5 / 0,75 / ***</w:t>
      </w:r>
      <w:r>
        <w:t xml:space="preserve"> mm</w:t>
      </w:r>
    </w:p>
    <w:p w14:paraId="520000CA" w14:textId="77777777" w:rsidR="00772179" w:rsidRDefault="00000000">
      <w:pPr>
        <w:pStyle w:val="Author-eListParagraph"/>
        <w:numPr>
          <w:ilvl w:val="0"/>
          <w:numId w:val="884"/>
        </w:numPr>
      </w:pPr>
      <w:r>
        <w:t xml:space="preserve">Profil : </w:t>
      </w:r>
      <w:r>
        <w:rPr>
          <w:rStyle w:val="optioncarChar"/>
        </w:rPr>
        <w:t xml:space="preserve">lisse </w:t>
      </w:r>
      <w:r>
        <w:t>(par défaut)</w:t>
      </w:r>
      <w:r>
        <w:rPr>
          <w:rStyle w:val="optioncarChar"/>
        </w:rPr>
        <w:t xml:space="preserve"> / ***</w:t>
      </w:r>
    </w:p>
    <w:p w14:paraId="652B2B6F" w14:textId="77777777" w:rsidR="00772179" w:rsidRDefault="00000000">
      <w:pPr>
        <w:pStyle w:val="Author-eListParagraph"/>
        <w:numPr>
          <w:ilvl w:val="0"/>
          <w:numId w:val="884"/>
        </w:numPr>
      </w:pPr>
      <w:r>
        <w:t xml:space="preserve">Panneau intérieur à perforations : </w:t>
      </w:r>
      <w:r>
        <w:rPr>
          <w:rStyle w:val="optioncarChar"/>
        </w:rPr>
        <w:t xml:space="preserve">non </w:t>
      </w:r>
      <w:r>
        <w:t>(par défaut)</w:t>
      </w:r>
      <w:r>
        <w:rPr>
          <w:rStyle w:val="optioncarChar"/>
        </w:rPr>
        <w:t xml:space="preserve"> / oui</w:t>
      </w:r>
    </w:p>
    <w:p w14:paraId="442E2A4C" w14:textId="77777777" w:rsidR="00772179" w:rsidRDefault="00000000">
      <w:pPr>
        <w:ind w:left="567"/>
        <w:jc w:val="both"/>
      </w:pPr>
      <w:r>
        <w:rPr>
          <w:b/>
        </w:rPr>
        <w:t>(soit par défaut)</w:t>
      </w:r>
    </w:p>
    <w:p w14:paraId="3A1991CE" w14:textId="77777777" w:rsidR="00772179" w:rsidRDefault="00000000">
      <w:pPr>
        <w:ind w:left="567"/>
        <w:jc w:val="both"/>
      </w:pPr>
      <w:r>
        <w:rPr>
          <w:rStyle w:val="soitChar"/>
          <w:u w:val="single"/>
        </w:rPr>
        <w:t>Non</w:t>
      </w:r>
    </w:p>
    <w:p w14:paraId="01FB70C5" w14:textId="77777777" w:rsidR="00772179" w:rsidRDefault="00000000">
      <w:pPr>
        <w:ind w:left="567"/>
        <w:jc w:val="both"/>
      </w:pPr>
      <w:r>
        <w:rPr>
          <w:b/>
        </w:rPr>
        <w:t>(soit)</w:t>
      </w:r>
    </w:p>
    <w:p w14:paraId="2621DC62" w14:textId="77777777" w:rsidR="00772179" w:rsidRDefault="00000000">
      <w:pPr>
        <w:ind w:left="567"/>
        <w:jc w:val="both"/>
      </w:pPr>
      <w:r>
        <w:rPr>
          <w:rStyle w:val="soitChar"/>
          <w:u w:val="single"/>
        </w:rPr>
        <w:t>Oui :</w:t>
      </w:r>
      <w:r>
        <w:rPr>
          <w:rStyle w:val="soitChar"/>
        </w:rPr>
        <w:t xml:space="preserve"> taux de perforation : </w:t>
      </w:r>
      <w:r>
        <w:rPr>
          <w:rStyle w:val="optioncarChar"/>
        </w:rPr>
        <w:t xml:space="preserve">23 </w:t>
      </w:r>
      <w:r>
        <w:t xml:space="preserve">(par défaut) </w:t>
      </w:r>
      <w:r>
        <w:rPr>
          <w:rStyle w:val="optioncarChar"/>
        </w:rPr>
        <w:t>/ ***</w:t>
      </w:r>
      <w:r>
        <w:rPr>
          <w:rStyle w:val="soitChar"/>
        </w:rPr>
        <w:t xml:space="preserve"> %</w:t>
      </w:r>
    </w:p>
    <w:p w14:paraId="7C105286" w14:textId="77777777" w:rsidR="00772179" w:rsidRDefault="00772179">
      <w:pPr>
        <w:ind w:left="567"/>
        <w:jc w:val="both"/>
      </w:pPr>
    </w:p>
    <w:p w14:paraId="193AD4FF" w14:textId="77777777" w:rsidR="00772179" w:rsidRDefault="00772179">
      <w:pPr>
        <w:ind w:left="567"/>
        <w:jc w:val="both"/>
      </w:pPr>
    </w:p>
    <w:p w14:paraId="0109E6EC" w14:textId="77777777" w:rsidR="00772179" w:rsidRDefault="00000000">
      <w:pPr>
        <w:jc w:val="both"/>
      </w:pPr>
      <w:r>
        <w:t xml:space="preserve">Âme isolante en </w:t>
      </w:r>
      <w:r>
        <w:rPr>
          <w:rStyle w:val="optioncarChar"/>
        </w:rPr>
        <w:t>polyisocyanurate / laine minérale / phénolique / isolation à cellules fermées</w:t>
      </w:r>
    </w:p>
    <w:p w14:paraId="73ECAC9F" w14:textId="77777777" w:rsidR="00772179" w:rsidRDefault="00000000">
      <w:pPr>
        <w:jc w:val="both"/>
      </w:pPr>
      <w:r>
        <w:rPr>
          <w:b/>
        </w:rPr>
        <w:t>(soit)</w:t>
      </w:r>
    </w:p>
    <w:p w14:paraId="59A73524" w14:textId="77777777" w:rsidR="00772179" w:rsidRDefault="00000000">
      <w:pPr>
        <w:jc w:val="both"/>
      </w:pPr>
      <w:r>
        <w:rPr>
          <w:rStyle w:val="soitChar"/>
          <w:u w:val="single"/>
        </w:rPr>
        <w:t>Polyisocyanurate :</w:t>
      </w:r>
    </w:p>
    <w:p w14:paraId="7EAE8250" w14:textId="77777777" w:rsidR="00772179" w:rsidRDefault="00000000">
      <w:pPr>
        <w:pStyle w:val="Author-eListParagraph"/>
        <w:numPr>
          <w:ilvl w:val="0"/>
          <w:numId w:val="885"/>
        </w:numPr>
      </w:pPr>
      <w:r>
        <w:rPr>
          <w:rStyle w:val="soitChar"/>
        </w:rPr>
        <w:t xml:space="preserve">Conductivité thermique (λ) : </w:t>
      </w:r>
      <w:r>
        <w:rPr>
          <w:rStyle w:val="optioncarChar"/>
        </w:rPr>
        <w:t xml:space="preserve">0,023 </w:t>
      </w:r>
      <w:r>
        <w:t xml:space="preserve">(par défaut) </w:t>
      </w:r>
      <w:r>
        <w:rPr>
          <w:rStyle w:val="optioncarChar"/>
        </w:rPr>
        <w:t>/ ***</w:t>
      </w:r>
      <w:r>
        <w:rPr>
          <w:rStyle w:val="soitChar"/>
        </w:rPr>
        <w:t xml:space="preserve"> W/mK</w:t>
      </w:r>
    </w:p>
    <w:p w14:paraId="07CA27E9" w14:textId="77777777" w:rsidR="00772179" w:rsidRDefault="00000000">
      <w:pPr>
        <w:pStyle w:val="Author-eListParagraph"/>
        <w:numPr>
          <w:ilvl w:val="0"/>
          <w:numId w:val="885"/>
        </w:numPr>
      </w:pPr>
      <w:r>
        <w:rPr>
          <w:rStyle w:val="soitChar"/>
        </w:rPr>
        <w:t xml:space="preserve">Densité (ρ) : </w:t>
      </w:r>
      <w:r>
        <w:rPr>
          <w:rStyle w:val="optioncarChar"/>
        </w:rPr>
        <w:t xml:space="preserve">30 </w:t>
      </w:r>
      <w:r>
        <w:t xml:space="preserve">(par défaut) </w:t>
      </w:r>
      <w:r>
        <w:rPr>
          <w:rStyle w:val="optioncarChar"/>
        </w:rPr>
        <w:t>/ 40 / ***</w:t>
      </w:r>
      <w:r>
        <w:rPr>
          <w:rStyle w:val="soitChar"/>
        </w:rPr>
        <w:t xml:space="preserve"> kg/m³</w:t>
      </w:r>
    </w:p>
    <w:p w14:paraId="7169B809" w14:textId="77777777" w:rsidR="00772179" w:rsidRDefault="00000000">
      <w:pPr>
        <w:pStyle w:val="Author-eListParagraph"/>
        <w:numPr>
          <w:ilvl w:val="0"/>
          <w:numId w:val="885"/>
        </w:numPr>
      </w:pPr>
      <w:r>
        <w:rPr>
          <w:rStyle w:val="soitChar"/>
        </w:rPr>
        <w:t xml:space="preserve">Épaisseur : </w:t>
      </w:r>
      <w:r>
        <w:rPr>
          <w:rStyle w:val="optioncarChar"/>
        </w:rPr>
        <w:t>***</w:t>
      </w:r>
      <w:r>
        <w:rPr>
          <w:rStyle w:val="soitChar"/>
        </w:rPr>
        <w:t xml:space="preserve"> mm</w:t>
      </w:r>
    </w:p>
    <w:p w14:paraId="7FC6196B" w14:textId="77777777" w:rsidR="00772179" w:rsidRDefault="00000000">
      <w:pPr>
        <w:jc w:val="both"/>
      </w:pPr>
      <w:r>
        <w:rPr>
          <w:b/>
        </w:rPr>
        <w:t>(soit)</w:t>
      </w:r>
    </w:p>
    <w:p w14:paraId="6DCA0A4A" w14:textId="77777777" w:rsidR="00772179" w:rsidRDefault="00000000">
      <w:pPr>
        <w:jc w:val="both"/>
      </w:pPr>
      <w:r>
        <w:rPr>
          <w:rStyle w:val="soitChar"/>
          <w:u w:val="single"/>
        </w:rPr>
        <w:t>Laine minérale :</w:t>
      </w:r>
      <w:r>
        <w:rPr>
          <w:rStyle w:val="soitChar"/>
        </w:rPr>
        <w:t xml:space="preserve">  </w:t>
      </w:r>
    </w:p>
    <w:p w14:paraId="7AF9B2CA" w14:textId="77777777" w:rsidR="00772179" w:rsidRDefault="00000000">
      <w:pPr>
        <w:pStyle w:val="Author-eListParagraph"/>
        <w:numPr>
          <w:ilvl w:val="0"/>
          <w:numId w:val="886"/>
        </w:numPr>
      </w:pPr>
      <w:r>
        <w:rPr>
          <w:rStyle w:val="soitChar"/>
        </w:rPr>
        <w:t>Conductivité thermique (λ) :</w:t>
      </w:r>
      <w:r>
        <w:rPr>
          <w:rStyle w:val="optioncarChar"/>
        </w:rPr>
        <w:t xml:space="preserve"> 0,035</w:t>
      </w:r>
      <w:r>
        <w:t xml:space="preserve"> (par défaut)</w:t>
      </w:r>
      <w:r>
        <w:rPr>
          <w:rStyle w:val="optioncarChar"/>
        </w:rPr>
        <w:t xml:space="preserve"> / ***</w:t>
      </w:r>
      <w:r>
        <w:rPr>
          <w:rStyle w:val="soitChar"/>
        </w:rPr>
        <w:t xml:space="preserve"> W/mK</w:t>
      </w:r>
    </w:p>
    <w:p w14:paraId="584CDD9A" w14:textId="77777777" w:rsidR="00772179" w:rsidRDefault="00000000">
      <w:pPr>
        <w:pStyle w:val="Author-eListParagraph"/>
        <w:numPr>
          <w:ilvl w:val="0"/>
          <w:numId w:val="886"/>
        </w:numPr>
      </w:pPr>
      <w:r>
        <w:rPr>
          <w:rStyle w:val="soitChar"/>
        </w:rPr>
        <w:t xml:space="preserve">Densité (ρ) : </w:t>
      </w:r>
      <w:r>
        <w:rPr>
          <w:rStyle w:val="optioncarChar"/>
        </w:rPr>
        <w:t xml:space="preserve">30 </w:t>
      </w:r>
      <w:r>
        <w:t>(par défaut)</w:t>
      </w:r>
      <w:r>
        <w:rPr>
          <w:rStyle w:val="optioncarChar"/>
        </w:rPr>
        <w:t xml:space="preserve"> / 100 / ***</w:t>
      </w:r>
      <w:r>
        <w:rPr>
          <w:rStyle w:val="soitChar"/>
        </w:rPr>
        <w:t xml:space="preserve"> kg/m³</w:t>
      </w:r>
    </w:p>
    <w:p w14:paraId="17DE3E48" w14:textId="77777777" w:rsidR="00772179" w:rsidRDefault="00000000">
      <w:pPr>
        <w:pStyle w:val="Author-eListParagraph"/>
        <w:numPr>
          <w:ilvl w:val="0"/>
          <w:numId w:val="886"/>
        </w:numPr>
      </w:pPr>
      <w:r>
        <w:rPr>
          <w:rStyle w:val="soitChar"/>
        </w:rPr>
        <w:t xml:space="preserve">Épaisseur : </w:t>
      </w:r>
      <w:r>
        <w:rPr>
          <w:rStyle w:val="optioncarChar"/>
        </w:rPr>
        <w:t>***</w:t>
      </w:r>
      <w:r>
        <w:rPr>
          <w:rStyle w:val="soitChar"/>
        </w:rPr>
        <w:t xml:space="preserve"> mm</w:t>
      </w:r>
    </w:p>
    <w:p w14:paraId="440801C2" w14:textId="77777777" w:rsidR="00772179" w:rsidRDefault="00000000">
      <w:pPr>
        <w:jc w:val="both"/>
      </w:pPr>
      <w:r>
        <w:rPr>
          <w:b/>
        </w:rPr>
        <w:t>(soit)</w:t>
      </w:r>
    </w:p>
    <w:p w14:paraId="023852C3" w14:textId="77777777" w:rsidR="00772179" w:rsidRDefault="00000000">
      <w:pPr>
        <w:jc w:val="both"/>
      </w:pPr>
      <w:r>
        <w:rPr>
          <w:rStyle w:val="soitChar"/>
          <w:u w:val="single"/>
        </w:rPr>
        <w:t>Phénolique :</w:t>
      </w:r>
    </w:p>
    <w:p w14:paraId="45CBA9CD" w14:textId="77777777" w:rsidR="00772179" w:rsidRDefault="00000000">
      <w:pPr>
        <w:pStyle w:val="Author-eListParagraph"/>
        <w:numPr>
          <w:ilvl w:val="0"/>
          <w:numId w:val="887"/>
        </w:numPr>
      </w:pPr>
      <w:r>
        <w:rPr>
          <w:rStyle w:val="soitChar"/>
        </w:rPr>
        <w:lastRenderedPageBreak/>
        <w:t xml:space="preserve">Conductivité thermique (λ) : </w:t>
      </w:r>
      <w:r>
        <w:rPr>
          <w:rStyle w:val="optioncarChar"/>
        </w:rPr>
        <w:t>0,035</w:t>
      </w:r>
      <w:r>
        <w:t xml:space="preserve"> (par défaut)</w:t>
      </w:r>
      <w:r>
        <w:rPr>
          <w:rStyle w:val="optioncarChar"/>
        </w:rPr>
        <w:t xml:space="preserve"> / *** </w:t>
      </w:r>
      <w:r>
        <w:rPr>
          <w:rStyle w:val="soitChar"/>
        </w:rPr>
        <w:t>W/mK</w:t>
      </w:r>
    </w:p>
    <w:p w14:paraId="313E08B3" w14:textId="77777777" w:rsidR="00772179" w:rsidRDefault="00000000">
      <w:pPr>
        <w:pStyle w:val="Author-eListParagraph"/>
        <w:numPr>
          <w:ilvl w:val="0"/>
          <w:numId w:val="887"/>
        </w:numPr>
      </w:pPr>
      <w:r>
        <w:rPr>
          <w:rStyle w:val="soitChar"/>
        </w:rPr>
        <w:t xml:space="preserve">Densité (ρ) : </w:t>
      </w:r>
      <w:r>
        <w:rPr>
          <w:rStyle w:val="optioncarChar"/>
        </w:rPr>
        <w:t xml:space="preserve">30 </w:t>
      </w:r>
      <w:r>
        <w:t>(par défaut)</w:t>
      </w:r>
      <w:r>
        <w:rPr>
          <w:rStyle w:val="optioncarChar"/>
        </w:rPr>
        <w:t xml:space="preserve"> / ***</w:t>
      </w:r>
      <w:r>
        <w:rPr>
          <w:rStyle w:val="soitChar"/>
        </w:rPr>
        <w:t xml:space="preserve"> kg/m³</w:t>
      </w:r>
    </w:p>
    <w:p w14:paraId="33E082BC" w14:textId="77777777" w:rsidR="00772179" w:rsidRDefault="00000000">
      <w:pPr>
        <w:pStyle w:val="Author-eListParagraph"/>
        <w:numPr>
          <w:ilvl w:val="0"/>
          <w:numId w:val="887"/>
        </w:numPr>
      </w:pPr>
      <w:r>
        <w:rPr>
          <w:rStyle w:val="soitChar"/>
        </w:rPr>
        <w:t xml:space="preserve">Épaisseur : </w:t>
      </w:r>
      <w:r>
        <w:rPr>
          <w:rStyle w:val="optioncarChar"/>
        </w:rPr>
        <w:t>***</w:t>
      </w:r>
      <w:r>
        <w:rPr>
          <w:rStyle w:val="soitChar"/>
        </w:rPr>
        <w:t xml:space="preserve"> mm</w:t>
      </w:r>
    </w:p>
    <w:p w14:paraId="4704399E" w14:textId="77777777" w:rsidR="00772179" w:rsidRDefault="00000000">
      <w:pPr>
        <w:jc w:val="both"/>
      </w:pPr>
      <w:r>
        <w:rPr>
          <w:b/>
        </w:rPr>
        <w:t>(soit)</w:t>
      </w:r>
    </w:p>
    <w:p w14:paraId="08233BA4" w14:textId="77777777" w:rsidR="00772179" w:rsidRDefault="00000000">
      <w:pPr>
        <w:jc w:val="both"/>
      </w:pPr>
      <w:r>
        <w:rPr>
          <w:rStyle w:val="soitChar"/>
          <w:u w:val="single"/>
        </w:rPr>
        <w:t>Isolation à cellules fermées :</w:t>
      </w:r>
    </w:p>
    <w:p w14:paraId="4AB3C2DE" w14:textId="77777777" w:rsidR="00772179" w:rsidRDefault="00000000">
      <w:pPr>
        <w:pStyle w:val="Author-eListParagraph"/>
        <w:numPr>
          <w:ilvl w:val="0"/>
          <w:numId w:val="888"/>
        </w:numPr>
      </w:pPr>
      <w:r>
        <w:rPr>
          <w:rStyle w:val="soitChar"/>
        </w:rPr>
        <w:t xml:space="preserve">Conductivité thermique (λ) : </w:t>
      </w:r>
      <w:r>
        <w:rPr>
          <w:rStyle w:val="optioncarChar"/>
        </w:rPr>
        <w:t xml:space="preserve">0,018 </w:t>
      </w:r>
      <w:r>
        <w:t>(par défaut)</w:t>
      </w:r>
      <w:r>
        <w:rPr>
          <w:rStyle w:val="optioncarChar"/>
        </w:rPr>
        <w:t xml:space="preserve"> / ***</w:t>
      </w:r>
      <w:r>
        <w:rPr>
          <w:rStyle w:val="soitChar"/>
        </w:rPr>
        <w:t xml:space="preserve"> W/mK</w:t>
      </w:r>
    </w:p>
    <w:p w14:paraId="6D4792A4" w14:textId="77777777" w:rsidR="00772179" w:rsidRDefault="00000000">
      <w:pPr>
        <w:pStyle w:val="Author-eListParagraph"/>
        <w:numPr>
          <w:ilvl w:val="0"/>
          <w:numId w:val="888"/>
        </w:numPr>
      </w:pPr>
      <w:r>
        <w:rPr>
          <w:rStyle w:val="soitChar"/>
        </w:rPr>
        <w:t xml:space="preserve">Épaisseur : </w:t>
      </w:r>
      <w:r>
        <w:rPr>
          <w:rStyle w:val="optioncarChar"/>
        </w:rPr>
        <w:t>***</w:t>
      </w:r>
      <w:r>
        <w:rPr>
          <w:rStyle w:val="soitChar"/>
        </w:rPr>
        <w:t xml:space="preserve"> mm</w:t>
      </w:r>
    </w:p>
    <w:p w14:paraId="6DD18F2B" w14:textId="77777777" w:rsidR="00772179" w:rsidRDefault="00000000">
      <w:pPr>
        <w:pStyle w:val="pheading"/>
      </w:pPr>
      <w:r>
        <w:t>- Finitions</w:t>
      </w:r>
    </w:p>
    <w:p w14:paraId="1B6E4C8D" w14:textId="77777777" w:rsidR="00772179" w:rsidRDefault="00000000">
      <w:pPr>
        <w:pStyle w:val="Author-eListParagraph"/>
        <w:numPr>
          <w:ilvl w:val="0"/>
          <w:numId w:val="889"/>
        </w:numPr>
        <w:jc w:val="both"/>
      </w:pPr>
      <w:r>
        <w:t xml:space="preserve">Finition du revêtement extérieur par laquage : </w:t>
      </w:r>
      <w:r>
        <w:rPr>
          <w:rStyle w:val="optioncarChar"/>
        </w:rPr>
        <w:t xml:space="preserve">25 </w:t>
      </w:r>
      <w:r>
        <w:t xml:space="preserve">(par défaut) </w:t>
      </w:r>
      <w:r>
        <w:rPr>
          <w:rStyle w:val="optioncarChar"/>
        </w:rPr>
        <w:t>/ ***</w:t>
      </w:r>
      <w:r>
        <w:t xml:space="preserve"> µm</w:t>
      </w:r>
    </w:p>
    <w:p w14:paraId="717B6E4C" w14:textId="77777777" w:rsidR="00772179" w:rsidRDefault="00000000">
      <w:pPr>
        <w:pStyle w:val="Author-eListParagraph"/>
        <w:numPr>
          <w:ilvl w:val="0"/>
          <w:numId w:val="889"/>
        </w:numPr>
        <w:jc w:val="both"/>
      </w:pPr>
      <w:r>
        <w:t xml:space="preserve">Finition du revêtement intérieur par laquage : </w:t>
      </w:r>
      <w:r>
        <w:rPr>
          <w:rStyle w:val="optioncarChar"/>
        </w:rPr>
        <w:t>15</w:t>
      </w:r>
      <w:r>
        <w:t xml:space="preserve"> (par défaut) </w:t>
      </w:r>
      <w:r>
        <w:rPr>
          <w:rStyle w:val="optioncarChar"/>
        </w:rPr>
        <w:t>/ 25 / ***</w:t>
      </w:r>
      <w:r>
        <w:t xml:space="preserve"> µm</w:t>
      </w:r>
    </w:p>
    <w:p w14:paraId="274358D7" w14:textId="77777777" w:rsidR="00772179" w:rsidRDefault="00000000">
      <w:pPr>
        <w:pStyle w:val="Author-eListParagraph"/>
        <w:numPr>
          <w:ilvl w:val="0"/>
          <w:numId w:val="889"/>
        </w:numPr>
        <w:jc w:val="both"/>
      </w:pPr>
      <w:r>
        <w:t>Couleur des panneaux : à choisir par la direction de chantier</w:t>
      </w:r>
    </w:p>
    <w:p w14:paraId="5DB3F410" w14:textId="77777777" w:rsidR="00772179" w:rsidRDefault="00000000">
      <w:pPr>
        <w:pStyle w:val="pheading"/>
      </w:pPr>
      <w:r>
        <w:t>EXÉCUTION / MISE EN ŒUVRE</w:t>
      </w:r>
    </w:p>
    <w:p w14:paraId="5BA70059" w14:textId="77777777" w:rsidR="00772179" w:rsidRDefault="00000000">
      <w:pPr>
        <w:pStyle w:val="pheading"/>
      </w:pPr>
      <w:r>
        <w:t>- Prescriptions générales</w:t>
      </w:r>
    </w:p>
    <w:p w14:paraId="30C53DCF" w14:textId="77777777" w:rsidR="00772179" w:rsidRDefault="00000000">
      <w:pPr>
        <w:jc w:val="both"/>
      </w:pPr>
      <w:r>
        <w:t xml:space="preserve">Calcul statique de la façade à charge : </w:t>
      </w:r>
      <w:r>
        <w:rPr>
          <w:rStyle w:val="optioncarChar"/>
        </w:rPr>
        <w:t xml:space="preserve">de l’entrepreneur </w:t>
      </w:r>
      <w:r>
        <w:t>(par défaut)</w:t>
      </w:r>
      <w:r>
        <w:rPr>
          <w:rStyle w:val="optioncarChar"/>
        </w:rPr>
        <w:t xml:space="preserve"> / du bureau d’étude</w:t>
      </w:r>
    </w:p>
    <w:p w14:paraId="19E1021F" w14:textId="77777777" w:rsidR="00772179" w:rsidRDefault="00000000">
      <w:pPr>
        <w:jc w:val="both"/>
      </w:pPr>
      <w:r>
        <w:t>Tout couple électrolytique est à protéger par un insert adapté aux matériaux en présence </w:t>
      </w:r>
    </w:p>
    <w:p w14:paraId="681B2385" w14:textId="77777777" w:rsidR="00772179" w:rsidRDefault="00000000">
      <w:pPr>
        <w:jc w:val="both"/>
      </w:pPr>
      <w:r>
        <w:t xml:space="preserve">Pose : </w:t>
      </w:r>
      <w:r>
        <w:rPr>
          <w:rStyle w:val="optioncarChar"/>
        </w:rPr>
        <w:t>verticale / horizontale</w:t>
      </w:r>
      <w:r>
        <w:t> </w:t>
      </w:r>
    </w:p>
    <w:p w14:paraId="742E915C" w14:textId="77777777" w:rsidR="00772179" w:rsidRDefault="00000000">
      <w:pPr>
        <w:jc w:val="both"/>
      </w:pPr>
      <w:r>
        <w:t xml:space="preserve">Pose d’un joint d’étanchéité sur l’appui : </w:t>
      </w:r>
      <w:r>
        <w:rPr>
          <w:rStyle w:val="optioncarChar"/>
        </w:rPr>
        <w:t>aux extrémités des panneaux</w:t>
      </w:r>
      <w:r>
        <w:t xml:space="preserve"> (par défaut)</w:t>
      </w:r>
      <w:r>
        <w:rPr>
          <w:rStyle w:val="optioncarChar"/>
        </w:rPr>
        <w:t xml:space="preserve"> / sur chaque appui </w:t>
      </w:r>
    </w:p>
    <w:p w14:paraId="398B73C7" w14:textId="77777777" w:rsidR="00772179" w:rsidRDefault="00000000">
      <w:pPr>
        <w:jc w:val="both"/>
      </w:pPr>
      <w:r>
        <w:t xml:space="preserve">Pose de joints de silicone sur les appuis aux extrémités des panneaux et dans l’emboitement : </w:t>
      </w:r>
      <w:r>
        <w:rPr>
          <w:rStyle w:val="optioncarChar"/>
        </w:rPr>
        <w:t>oui / non </w:t>
      </w:r>
    </w:p>
    <w:p w14:paraId="35E56EC9" w14:textId="77777777" w:rsidR="00772179" w:rsidRDefault="00000000">
      <w:pPr>
        <w:jc w:val="both"/>
      </w:pPr>
      <w:r>
        <w:t>Fixation :</w:t>
      </w:r>
    </w:p>
    <w:p w14:paraId="3DD7F886" w14:textId="77777777" w:rsidR="00772179" w:rsidRDefault="00000000">
      <w:pPr>
        <w:pStyle w:val="Author-eListParagraph"/>
        <w:numPr>
          <w:ilvl w:val="0"/>
          <w:numId w:val="890"/>
        </w:numPr>
      </w:pPr>
      <w:r>
        <w:t xml:space="preserve">sur profilés supports dimensionnés par l’entrepreneur :  </w:t>
      </w:r>
      <w:r>
        <w:rPr>
          <w:rStyle w:val="optioncarChar"/>
        </w:rPr>
        <w:t>en acier / en bois</w:t>
      </w:r>
    </w:p>
    <w:p w14:paraId="21660EEA" w14:textId="77777777" w:rsidR="00772179" w:rsidRDefault="00000000">
      <w:pPr>
        <w:pStyle w:val="Author-eListParagraph"/>
        <w:numPr>
          <w:ilvl w:val="0"/>
          <w:numId w:val="890"/>
        </w:numPr>
      </w:pPr>
      <w:r>
        <w:t xml:space="preserve">au moyen de : </w:t>
      </w:r>
      <w:r>
        <w:rPr>
          <w:rStyle w:val="optioncarChar"/>
        </w:rPr>
        <w:t>fixations traversantes</w:t>
      </w:r>
      <w:r>
        <w:t xml:space="preserve"> (par défaut)</w:t>
      </w:r>
      <w:r>
        <w:rPr>
          <w:rStyle w:val="optioncarChar"/>
        </w:rPr>
        <w:t xml:space="preserve"> / plaquettes en acier inoxydable / plaquettes en acier galvanisé / mécanisme de verrouillage interne</w:t>
      </w:r>
    </w:p>
    <w:p w14:paraId="6356DF80" w14:textId="77777777" w:rsidR="00772179" w:rsidRDefault="00000000">
      <w:pPr>
        <w:jc w:val="both"/>
      </w:pPr>
      <w:r>
        <w:t xml:space="preserve">En cas de panneaux de résistance au feu </w:t>
      </w:r>
      <w:r>
        <w:rPr>
          <w:rStyle w:val="optioncarChar"/>
        </w:rPr>
        <w:t>EI 30 / EI 60 / EI 120</w:t>
      </w:r>
      <w:r>
        <w:t>, l’entrepreneur présente :</w:t>
      </w:r>
    </w:p>
    <w:p w14:paraId="16C9300F" w14:textId="77777777" w:rsidR="00772179" w:rsidRDefault="00000000">
      <w:pPr>
        <w:pStyle w:val="Author-eListParagraph"/>
        <w:numPr>
          <w:ilvl w:val="0"/>
          <w:numId w:val="891"/>
        </w:numPr>
      </w:pPr>
      <w:r>
        <w:t xml:space="preserve">une fixation disposant d’une attestation de stabilité au feu </w:t>
      </w:r>
      <w:r>
        <w:rPr>
          <w:rStyle w:val="optioncarChar"/>
        </w:rPr>
        <w:t>R30 / R60 / R120</w:t>
      </w:r>
      <w:r>
        <w:t> </w:t>
      </w:r>
    </w:p>
    <w:p w14:paraId="3F455AE8" w14:textId="77777777" w:rsidR="00772179" w:rsidRDefault="00000000">
      <w:pPr>
        <w:pStyle w:val="Author-eListParagraph"/>
        <w:numPr>
          <w:ilvl w:val="0"/>
          <w:numId w:val="891"/>
        </w:numPr>
      </w:pPr>
      <w:r>
        <w:t>une proposition pour la fermeture du raccord entre le panneau et le gros œuvre présentant une résistance au feu identique au panneau ;</w:t>
      </w:r>
    </w:p>
    <w:p w14:paraId="62BD5D9B" w14:textId="77777777" w:rsidR="00772179" w:rsidRDefault="00000000">
      <w:pPr>
        <w:jc w:val="both"/>
      </w:pPr>
      <w:r>
        <w:t>Raccord longitudinal : joint d’étanchéité </w:t>
      </w:r>
      <w:r>
        <w:rPr>
          <w:rStyle w:val="optioncarChar"/>
        </w:rPr>
        <w:t>intégré en usine / inséré sur chantier</w:t>
      </w:r>
    </w:p>
    <w:p w14:paraId="15BCEFA8" w14:textId="77777777" w:rsidR="00772179" w:rsidRDefault="00000000">
      <w:pPr>
        <w:jc w:val="both"/>
      </w:pPr>
      <w:r>
        <w:t xml:space="preserve">Raccord transversal : </w:t>
      </w:r>
      <w:r>
        <w:rPr>
          <w:rStyle w:val="optioncarChar"/>
        </w:rPr>
        <w:t xml:space="preserve">pose verticale </w:t>
      </w:r>
      <w:r>
        <w:t xml:space="preserve">(par défaut) </w:t>
      </w:r>
      <w:r>
        <w:rPr>
          <w:rStyle w:val="optioncarChar"/>
        </w:rPr>
        <w:t>/ pose horizontale</w:t>
      </w:r>
    </w:p>
    <w:p w14:paraId="0C42CC89" w14:textId="77777777" w:rsidR="00772179" w:rsidRDefault="00000000">
      <w:pPr>
        <w:jc w:val="both"/>
      </w:pPr>
      <w:r>
        <w:rPr>
          <w:b/>
        </w:rPr>
        <w:t>(soit par défaut)</w:t>
      </w:r>
    </w:p>
    <w:p w14:paraId="79AD68B3" w14:textId="77777777" w:rsidR="00772179" w:rsidRDefault="00000000">
      <w:pPr>
        <w:jc w:val="both"/>
      </w:pPr>
      <w:r>
        <w:rPr>
          <w:rStyle w:val="soitChar"/>
          <w:u w:val="single"/>
        </w:rPr>
        <w:t>Pose verticale :</w:t>
      </w:r>
      <w:r>
        <w:rPr>
          <w:rStyle w:val="soitChar"/>
        </w:rPr>
        <w:t xml:space="preserve"> bavette d’étanchéité avec joint d’étanchéité fixé sur le profil support </w:t>
      </w:r>
    </w:p>
    <w:p w14:paraId="0C969F6E" w14:textId="77777777" w:rsidR="00772179" w:rsidRDefault="00000000">
      <w:pPr>
        <w:jc w:val="both"/>
      </w:pPr>
      <w:r>
        <w:rPr>
          <w:b/>
        </w:rPr>
        <w:t>(soit)</w:t>
      </w:r>
    </w:p>
    <w:p w14:paraId="096EF0F1" w14:textId="77777777" w:rsidR="00772179" w:rsidRDefault="00000000">
      <w:pPr>
        <w:jc w:val="both"/>
      </w:pPr>
      <w:r>
        <w:rPr>
          <w:rStyle w:val="soitChar"/>
          <w:u w:val="single"/>
        </w:rPr>
        <w:t>Pose horizontale :</w:t>
      </w:r>
      <w:r>
        <w:rPr>
          <w:rStyle w:val="soitChar"/>
        </w:rPr>
        <w:t xml:space="preserve"> isolation posée entre panneaux avec couvre-joint, joint d’étanchéité complémentaire et éclisse intérieure </w:t>
      </w:r>
    </w:p>
    <w:p w14:paraId="001E06F3" w14:textId="77777777" w:rsidR="00772179" w:rsidRDefault="00000000">
      <w:pPr>
        <w:jc w:val="both"/>
      </w:pPr>
      <w:r>
        <w:t xml:space="preserve">Finition d’angles sortants et rentrants en face intérieure :  au moyen de tôle pliée de même finition que les panneaux de façade : acier d’épaisseur = </w:t>
      </w:r>
      <w:r>
        <w:rPr>
          <w:rStyle w:val="optioncarChar"/>
        </w:rPr>
        <w:t xml:space="preserve">0,5 </w:t>
      </w:r>
      <w:r>
        <w:t>(par défaut)</w:t>
      </w:r>
      <w:r>
        <w:rPr>
          <w:rStyle w:val="optioncarChar"/>
        </w:rPr>
        <w:t xml:space="preserve"> / 0,63 / 0,75 / ***</w:t>
      </w:r>
      <w:r>
        <w:t xml:space="preserve"> mm</w:t>
      </w:r>
    </w:p>
    <w:p w14:paraId="1AFD5100" w14:textId="77777777" w:rsidR="00772179" w:rsidRDefault="00772179">
      <w:pPr>
        <w:jc w:val="both"/>
      </w:pPr>
    </w:p>
    <w:p w14:paraId="031933BD" w14:textId="77777777" w:rsidR="00772179" w:rsidRDefault="00000000">
      <w:pPr>
        <w:jc w:val="both"/>
      </w:pPr>
      <w:r>
        <w:t xml:space="preserve">Finition au droit des baies en face intérieure : au moyen de tôle pliée de même finition que les panneaux : acier d’épaisseur = </w:t>
      </w:r>
      <w:r>
        <w:rPr>
          <w:rStyle w:val="optioncarChar"/>
        </w:rPr>
        <w:t xml:space="preserve">0,5 </w:t>
      </w:r>
      <w:r>
        <w:t xml:space="preserve">(par défaut) </w:t>
      </w:r>
      <w:r>
        <w:rPr>
          <w:rStyle w:val="optioncarChar"/>
        </w:rPr>
        <w:t>/ 0,63 / 0,75 / ***</w:t>
      </w:r>
      <w:r>
        <w:t xml:space="preserve"> mm</w:t>
      </w:r>
    </w:p>
    <w:p w14:paraId="78E28723" w14:textId="77777777" w:rsidR="00772179" w:rsidRDefault="00000000">
      <w:pPr>
        <w:jc w:val="both"/>
      </w:pPr>
      <w:r>
        <w:t xml:space="preserve">Fixation des tôles de finition : tous les </w:t>
      </w:r>
      <w:r>
        <w:rPr>
          <w:rStyle w:val="optioncarChar"/>
        </w:rPr>
        <w:t>40</w:t>
      </w:r>
      <w:r>
        <w:t xml:space="preserve"> (par défaut) </w:t>
      </w:r>
      <w:r>
        <w:rPr>
          <w:rStyle w:val="optioncarChar"/>
        </w:rPr>
        <w:t>/ ***</w:t>
      </w:r>
      <w:r>
        <w:t xml:space="preserve"> cm</w:t>
      </w:r>
    </w:p>
    <w:p w14:paraId="256753BD" w14:textId="77777777" w:rsidR="00772179" w:rsidRDefault="00000000">
      <w:pPr>
        <w:pStyle w:val="pheading"/>
      </w:pPr>
      <w:r>
        <w:t>MESURAGE</w:t>
      </w:r>
    </w:p>
    <w:p w14:paraId="0804342F" w14:textId="77777777" w:rsidR="00772179" w:rsidRDefault="00000000">
      <w:pPr>
        <w:pStyle w:val="pheading"/>
      </w:pPr>
      <w:r>
        <w:t>- unité de mesure:</w:t>
      </w:r>
    </w:p>
    <w:p w14:paraId="24529D3B" w14:textId="77777777" w:rsidR="00772179" w:rsidRDefault="00000000">
      <w:r>
        <w:lastRenderedPageBreak/>
        <w:t>m²</w:t>
      </w:r>
    </w:p>
    <w:p w14:paraId="1066B614" w14:textId="77777777" w:rsidR="00772179" w:rsidRDefault="00000000">
      <w:pPr>
        <w:pStyle w:val="pheading"/>
      </w:pPr>
      <w:r>
        <w:t>- code de mesurage:</w:t>
      </w:r>
    </w:p>
    <w:p w14:paraId="4F63E858" w14:textId="77777777" w:rsidR="00772179" w:rsidRDefault="00000000">
      <w:r>
        <w:t>Surface nette des façades. Les réservations ˃ 0,5 m² sont déduites.</w:t>
      </w:r>
    </w:p>
    <w:p w14:paraId="46D551F5" w14:textId="77777777" w:rsidR="00772179" w:rsidRDefault="00000000">
      <w:pPr>
        <w:pStyle w:val="pheading"/>
      </w:pPr>
      <w:r>
        <w:t>- nature du marché:</w:t>
      </w:r>
    </w:p>
    <w:p w14:paraId="00B6039E" w14:textId="77777777" w:rsidR="00772179" w:rsidRDefault="00000000">
      <w:r>
        <w:t>QF</w:t>
      </w:r>
    </w:p>
    <w:p w14:paraId="61B56F2E" w14:textId="77777777" w:rsidR="00772179" w:rsidRDefault="00000000">
      <w:pPr>
        <w:pStyle w:val="Author-eSectionHeading4Numberless"/>
      </w:pPr>
      <w:bookmarkStart w:id="717" w:name="_Toc220490407"/>
      <w:r>
        <w:t>43.14 Panneaux sandwiches (autoportant et isolant) revêtus d'un parement extérieur CCTB 01.02</w:t>
      </w:r>
      <w:bookmarkEnd w:id="717"/>
    </w:p>
    <w:p w14:paraId="08772D0E" w14:textId="77777777" w:rsidR="00772179" w:rsidRDefault="00000000">
      <w:pPr>
        <w:pStyle w:val="Author-eSectionHeading5Numberless"/>
      </w:pPr>
      <w:bookmarkStart w:id="718" w:name="_Toc220490408"/>
      <w:r>
        <w:t>43.14.1 Panneaux sandwiches (autoportant et isolant) revêtus d'un parement extérieur CCTB 01.11</w:t>
      </w:r>
      <w:bookmarkEnd w:id="718"/>
    </w:p>
    <w:p w14:paraId="5F081BE5" w14:textId="77777777" w:rsidR="00772179" w:rsidRDefault="00000000">
      <w:pPr>
        <w:pStyle w:val="pheading"/>
      </w:pPr>
      <w:r>
        <w:t>DESCRIPTION</w:t>
      </w:r>
    </w:p>
    <w:p w14:paraId="552307AB" w14:textId="77777777" w:rsidR="00772179" w:rsidRDefault="00000000">
      <w:pPr>
        <w:pStyle w:val="pheading"/>
      </w:pPr>
      <w:r>
        <w:t>- Définition / Comprend</w:t>
      </w:r>
    </w:p>
    <w:p w14:paraId="3BE9FF0B" w14:textId="77777777" w:rsidR="00772179" w:rsidRDefault="00000000">
      <w:pPr>
        <w:jc w:val="both"/>
      </w:pPr>
      <w:r>
        <w:t>Le travail comprend notamment :</w:t>
      </w:r>
    </w:p>
    <w:p w14:paraId="1AEA0D42" w14:textId="77777777" w:rsidR="00772179" w:rsidRDefault="00000000">
      <w:pPr>
        <w:pStyle w:val="Author-eListParagraph"/>
        <w:numPr>
          <w:ilvl w:val="0"/>
          <w:numId w:val="892"/>
        </w:numPr>
        <w:jc w:val="both"/>
      </w:pPr>
      <w:r>
        <w:t>Toutes précautions en matière de sécurité conformément au 01.4 Plans de sécurité et de santé ;</w:t>
      </w:r>
    </w:p>
    <w:p w14:paraId="200B62AA" w14:textId="77777777" w:rsidR="00772179" w:rsidRDefault="00000000">
      <w:pPr>
        <w:pStyle w:val="Author-eListParagraph"/>
        <w:numPr>
          <w:ilvl w:val="0"/>
          <w:numId w:val="892"/>
        </w:numPr>
        <w:jc w:val="both"/>
      </w:pPr>
      <w:r>
        <w:t>La vérification de l’état de la structure et de la compatibilité de l’exécution avec les tolérances de pose des panneaux ;</w:t>
      </w:r>
    </w:p>
    <w:p w14:paraId="6FD4C462" w14:textId="77777777" w:rsidR="00772179" w:rsidRDefault="00000000">
      <w:pPr>
        <w:pStyle w:val="Author-eListParagraph"/>
        <w:numPr>
          <w:ilvl w:val="0"/>
          <w:numId w:val="892"/>
        </w:numPr>
        <w:jc w:val="both"/>
      </w:pPr>
      <w:r>
        <w:t>La mise au point du calepinage et l’établissement des plans d’exécution, y compris localisation des équipements techniques traversant la façade ;</w:t>
      </w:r>
    </w:p>
    <w:p w14:paraId="507EDF62" w14:textId="77777777" w:rsidR="00772179" w:rsidRDefault="00000000">
      <w:pPr>
        <w:pStyle w:val="Author-eListParagraph"/>
        <w:numPr>
          <w:ilvl w:val="0"/>
          <w:numId w:val="892"/>
        </w:numPr>
        <w:jc w:val="both"/>
      </w:pPr>
      <w:r>
        <w:t>La réalisation en atelier des réservations pour traversées techniques en coordination avec les études techniques ;</w:t>
      </w:r>
    </w:p>
    <w:p w14:paraId="2E4C8F24" w14:textId="77777777" w:rsidR="00772179" w:rsidRDefault="00000000">
      <w:pPr>
        <w:pStyle w:val="Author-eListParagraph"/>
        <w:numPr>
          <w:ilvl w:val="0"/>
          <w:numId w:val="892"/>
        </w:numPr>
        <w:jc w:val="both"/>
      </w:pPr>
      <w:r>
        <w:t>La finition des bords coupés conformément à la documentation technique accompagnant les produits ;</w:t>
      </w:r>
    </w:p>
    <w:p w14:paraId="4A1C1811" w14:textId="77777777" w:rsidR="00772179" w:rsidRDefault="00000000">
      <w:pPr>
        <w:pStyle w:val="Author-eListParagraph"/>
        <w:numPr>
          <w:ilvl w:val="0"/>
          <w:numId w:val="892"/>
        </w:numPr>
        <w:jc w:val="both"/>
      </w:pPr>
      <w:r>
        <w:t>Le dimensionnement et l’espacement des rails de fixation (en fonction des sollicitations, de la portée autorisée pour les panneaux) est à charge de l’entrepreneur / du bureau d’étude ;</w:t>
      </w:r>
    </w:p>
    <w:p w14:paraId="32D422A9" w14:textId="77777777" w:rsidR="00772179" w:rsidRDefault="00000000">
      <w:pPr>
        <w:pStyle w:val="Author-eListParagraph"/>
        <w:numPr>
          <w:ilvl w:val="0"/>
          <w:numId w:val="892"/>
        </w:numPr>
        <w:jc w:val="both"/>
      </w:pPr>
      <w:r>
        <w:t>La fourniture et pose des rails de fixation et tous profils de départ, de rive, de couverture ;</w:t>
      </w:r>
    </w:p>
    <w:p w14:paraId="0F42891C" w14:textId="77777777" w:rsidR="00772179" w:rsidRDefault="00000000">
      <w:pPr>
        <w:pStyle w:val="Author-eListParagraph"/>
        <w:numPr>
          <w:ilvl w:val="0"/>
          <w:numId w:val="892"/>
        </w:numPr>
        <w:jc w:val="both"/>
      </w:pPr>
      <w:r>
        <w:t>Tous moyens pour assurer la continuité de l’isolant pour l’étanchéité à l’air et thermique (PEB) ;</w:t>
      </w:r>
    </w:p>
    <w:p w14:paraId="0692B73D" w14:textId="77777777" w:rsidR="00772179" w:rsidRDefault="00000000">
      <w:pPr>
        <w:pStyle w:val="Author-eListParagraph"/>
        <w:numPr>
          <w:ilvl w:val="0"/>
          <w:numId w:val="892"/>
        </w:numPr>
        <w:jc w:val="both"/>
      </w:pPr>
      <w:r>
        <w:t>L'évacuation et la gestion des déchets générés par les travaux  conformément à la section 07 Déchets, matériaux et éléments réemployables fait partie du prix unitaire des articles suivants.</w:t>
      </w:r>
    </w:p>
    <w:p w14:paraId="458C5E40" w14:textId="77777777" w:rsidR="00772179" w:rsidRDefault="00000000">
      <w:pPr>
        <w:pStyle w:val="pheading"/>
      </w:pPr>
      <w:r>
        <w:t>EXÉCUTION / MISE EN ŒUVRE</w:t>
      </w:r>
    </w:p>
    <w:p w14:paraId="350894D8" w14:textId="77777777" w:rsidR="00772179" w:rsidRDefault="00000000">
      <w:pPr>
        <w:jc w:val="both"/>
      </w:pPr>
      <w:r>
        <w:t>La mise en œuvre est exécutée conformément à la documentation technique accompagnant les produits.</w:t>
      </w:r>
    </w:p>
    <w:p w14:paraId="2542E2E9" w14:textId="77777777" w:rsidR="00772179" w:rsidRDefault="00000000">
      <w:pPr>
        <w:jc w:val="both"/>
      </w:pPr>
      <w:r>
        <w:t>Toutes les découpes pour raccords aux parements adjacents et réalisation des baies et ouvertures de tous types sont réalisées au moyen des outils préconisés dans la documentation technique accompagnant les produits.</w:t>
      </w:r>
    </w:p>
    <w:p w14:paraId="1207C037" w14:textId="77777777" w:rsidR="00772179" w:rsidRDefault="00000000">
      <w:pPr>
        <w:jc w:val="both"/>
      </w:pPr>
      <w:r>
        <w:t>En cas de dimensionnement et détermination des écartements des éléments structurels par l’entrepreneur, la note de calculs et les plans d’exécution sont présentés pour approbation à la direction de chantier</w:t>
      </w:r>
    </w:p>
    <w:p w14:paraId="4E65C0F7" w14:textId="77777777" w:rsidR="00772179" w:rsidRDefault="00000000">
      <w:pPr>
        <w:jc w:val="both"/>
      </w:pPr>
      <w:r>
        <w:t>En cas de pose de profilés supports, l’entrepreneur remet une description détaillée de la pose de la structure (type, entraxe, diamètre de fixation et nombre...) pour accord à la direction de chantier.</w:t>
      </w:r>
    </w:p>
    <w:p w14:paraId="30A8AC68" w14:textId="77777777" w:rsidR="00772179" w:rsidRDefault="00000000">
      <w:pPr>
        <w:pStyle w:val="Author-eSectionHeading6Numberless"/>
      </w:pPr>
      <w:bookmarkStart w:id="719" w:name="_Toc220490409"/>
      <w:r>
        <w:t>43.14.1a Panneaux sandwiches (autoportant et isolant) revêtus d'un parement extérieur CCTB 01.11</w:t>
      </w:r>
      <w:bookmarkEnd w:id="719"/>
    </w:p>
    <w:p w14:paraId="51EAE21B" w14:textId="77777777" w:rsidR="00772179" w:rsidRDefault="00000000">
      <w:pPr>
        <w:pStyle w:val="pheading"/>
      </w:pPr>
      <w:r>
        <w:t>DESCRIPTION</w:t>
      </w:r>
    </w:p>
    <w:p w14:paraId="3AF0F4DC" w14:textId="77777777" w:rsidR="00772179" w:rsidRDefault="00000000">
      <w:pPr>
        <w:pStyle w:val="pheading"/>
      </w:pPr>
      <w:r>
        <w:lastRenderedPageBreak/>
        <w:t>- Définition / Comprend</w:t>
      </w:r>
    </w:p>
    <w:p w14:paraId="48EE6799" w14:textId="77777777" w:rsidR="00772179" w:rsidRDefault="00000000">
      <w:pPr>
        <w:jc w:val="both"/>
      </w:pPr>
      <w:r>
        <w:t>Il s’agit de la fourniture et la pose de panneaux sandwiches autoportants et isolants revêtus d’un parement extérieur, y compris tous travaux en vue de la réalisation d’un ouvrage soigné et propre.</w:t>
      </w:r>
    </w:p>
    <w:p w14:paraId="7D0943F3" w14:textId="77777777" w:rsidR="00772179" w:rsidRDefault="00000000">
      <w:pPr>
        <w:pStyle w:val="pheading"/>
      </w:pPr>
      <w:r>
        <w:t>MATÉRIAUX</w:t>
      </w:r>
    </w:p>
    <w:p w14:paraId="6780CCA4" w14:textId="77777777" w:rsidR="00772179" w:rsidRDefault="00000000">
      <w:pPr>
        <w:pStyle w:val="pheading"/>
      </w:pPr>
      <w:r>
        <w:t>- Caractéristiques générales</w:t>
      </w:r>
    </w:p>
    <w:p w14:paraId="5337AA16" w14:textId="77777777" w:rsidR="00772179" w:rsidRDefault="00000000">
      <w:pPr>
        <w:pStyle w:val="Author-eListParagraph"/>
        <w:numPr>
          <w:ilvl w:val="0"/>
          <w:numId w:val="893"/>
        </w:numPr>
        <w:jc w:val="both"/>
      </w:pPr>
      <w:r>
        <w:t xml:space="preserve">Perméabilité à l’eau [NBN EN 14509] :  classe </w:t>
      </w:r>
      <w:r>
        <w:rPr>
          <w:rStyle w:val="optioncarChar"/>
        </w:rPr>
        <w:t>A / B / C</w:t>
      </w:r>
    </w:p>
    <w:p w14:paraId="1984E729" w14:textId="77777777" w:rsidR="00772179" w:rsidRDefault="00000000">
      <w:pPr>
        <w:pStyle w:val="Author-eListParagraph"/>
        <w:numPr>
          <w:ilvl w:val="0"/>
          <w:numId w:val="893"/>
        </w:numPr>
        <w:jc w:val="both"/>
      </w:pPr>
      <w:r>
        <w:t xml:space="preserve">Résistance au feu [NBN EN 1364-1] : </w:t>
      </w:r>
      <w:r>
        <w:rPr>
          <w:rStyle w:val="optioncarChar"/>
        </w:rPr>
        <w:t>EI 0 / EI 30 / EI 60 / EI120</w:t>
      </w:r>
    </w:p>
    <w:p w14:paraId="1AA4C938" w14:textId="77777777" w:rsidR="00772179" w:rsidRDefault="00000000">
      <w:pPr>
        <w:pStyle w:val="Author-eListParagraph"/>
        <w:numPr>
          <w:ilvl w:val="0"/>
          <w:numId w:val="893"/>
        </w:numPr>
        <w:jc w:val="both"/>
      </w:pPr>
      <w:r>
        <w:t xml:space="preserve">Réaction au feu : </w:t>
      </w:r>
      <w:r>
        <w:rPr>
          <w:rStyle w:val="optioncarChar"/>
        </w:rPr>
        <w:t>A2-s3,d0 / B-s3,d0 / C-s3,d1 (suivant hauteur du bâtiment)</w:t>
      </w:r>
    </w:p>
    <w:p w14:paraId="3EC81B19" w14:textId="77777777" w:rsidR="00772179" w:rsidRDefault="00000000">
      <w:pPr>
        <w:pStyle w:val="Author-eListParagraph"/>
        <w:numPr>
          <w:ilvl w:val="0"/>
          <w:numId w:val="893"/>
        </w:numPr>
        <w:jc w:val="both"/>
      </w:pPr>
      <w:r>
        <w:t>Isolation acoustique : valeur R</w:t>
      </w:r>
      <w:r>
        <w:rPr>
          <w:vertAlign w:val="subscript"/>
        </w:rPr>
        <w:t>w</w:t>
      </w:r>
      <w:r>
        <w:t xml:space="preserve"> (C ;C</w:t>
      </w:r>
      <w:r>
        <w:rPr>
          <w:vertAlign w:val="subscript"/>
        </w:rPr>
        <w:t>tr</w:t>
      </w:r>
      <w:r>
        <w:t xml:space="preserve">) à atteindre : </w:t>
      </w:r>
      <w:r>
        <w:rPr>
          <w:rStyle w:val="optioncarChar"/>
        </w:rPr>
        <w:t>***</w:t>
      </w:r>
      <w:r>
        <w:t xml:space="preserve"> dB</w:t>
      </w:r>
    </w:p>
    <w:p w14:paraId="1DC458F0" w14:textId="77777777" w:rsidR="00772179" w:rsidRDefault="00000000">
      <w:pPr>
        <w:pStyle w:val="Author-eListParagraph"/>
        <w:numPr>
          <w:ilvl w:val="0"/>
          <w:numId w:val="893"/>
        </w:numPr>
        <w:jc w:val="both"/>
      </w:pPr>
      <w:r>
        <w:t>Absorption acoustique en face intérieure : valeur α</w:t>
      </w:r>
      <w:r>
        <w:rPr>
          <w:vertAlign w:val="subscript"/>
        </w:rPr>
        <w:t>w</w:t>
      </w:r>
      <w:r>
        <w:t xml:space="preserve"> à atteindre ( 0 (0 %) à 1 (100 %)) : </w:t>
      </w:r>
      <w:r>
        <w:rPr>
          <w:rStyle w:val="optioncarChar"/>
        </w:rPr>
        <w:t>***</w:t>
      </w:r>
    </w:p>
    <w:p w14:paraId="1094B446" w14:textId="77777777" w:rsidR="00772179" w:rsidRDefault="00000000">
      <w:pPr>
        <w:pStyle w:val="Author-eListParagraph"/>
        <w:numPr>
          <w:ilvl w:val="0"/>
          <w:numId w:val="893"/>
        </w:numPr>
        <w:jc w:val="both"/>
      </w:pPr>
      <w:r>
        <w:t>Valeur U</w:t>
      </w:r>
      <w:r>
        <w:rPr>
          <w:vertAlign w:val="subscript"/>
        </w:rPr>
        <w:t>paroi</w:t>
      </w:r>
      <w:r>
        <w:t xml:space="preserve">  à atteindre : </w:t>
      </w:r>
      <w:r>
        <w:rPr>
          <w:rStyle w:val="optioncarChar"/>
        </w:rPr>
        <w:t>***</w:t>
      </w:r>
      <w:r>
        <w:t xml:space="preserve"> w/m²K.</w:t>
      </w:r>
    </w:p>
    <w:p w14:paraId="33D4A70A" w14:textId="77777777" w:rsidR="00772179" w:rsidRDefault="00000000">
      <w:pPr>
        <w:pStyle w:val="Author-eListParagraph"/>
        <w:numPr>
          <w:ilvl w:val="0"/>
          <w:numId w:val="893"/>
        </w:numPr>
        <w:jc w:val="both"/>
      </w:pPr>
      <w:r>
        <w:t>Tolérance dimensionnelle suivant [NBN EN 14509], tableau 4</w:t>
      </w:r>
    </w:p>
    <w:p w14:paraId="0018FAA9" w14:textId="77777777" w:rsidR="00772179" w:rsidRDefault="00000000">
      <w:pPr>
        <w:jc w:val="both"/>
      </w:pPr>
      <w:r>
        <w:rPr>
          <w:b/>
        </w:rPr>
        <w:t>Panneaux sandwiches</w:t>
      </w:r>
    </w:p>
    <w:p w14:paraId="5954D892" w14:textId="77777777" w:rsidR="00772179" w:rsidRDefault="00000000">
      <w:pPr>
        <w:pStyle w:val="Author-eListParagraph"/>
        <w:numPr>
          <w:ilvl w:val="0"/>
          <w:numId w:val="894"/>
        </w:numPr>
      </w:pPr>
      <w:r>
        <w:t xml:space="preserve">Emboîtement conformément à la figure A.20 de la [NBN EN 14509]: type </w:t>
      </w:r>
      <w:r>
        <w:rPr>
          <w:rStyle w:val="optioncarChar"/>
        </w:rPr>
        <w:t>I / II / III / IV / V / VI / VII / VIII</w:t>
      </w:r>
    </w:p>
    <w:p w14:paraId="27053534" w14:textId="77777777" w:rsidR="00772179" w:rsidRDefault="00000000">
      <w:pPr>
        <w:pStyle w:val="Author-eListParagraph"/>
        <w:numPr>
          <w:ilvl w:val="0"/>
          <w:numId w:val="894"/>
        </w:numPr>
      </w:pPr>
      <w:r>
        <w:t>Panneaux composés d’un revêtement intérieur et extérieur en acier avec une âme en matériau isolant </w:t>
      </w:r>
    </w:p>
    <w:p w14:paraId="0DD6DD0B" w14:textId="77777777" w:rsidR="00772179" w:rsidRDefault="00000000">
      <w:pPr>
        <w:pStyle w:val="Author-eListParagraph"/>
        <w:numPr>
          <w:ilvl w:val="0"/>
          <w:numId w:val="894"/>
        </w:numPr>
      </w:pPr>
      <w:r>
        <w:t xml:space="preserve">Longueur : </w:t>
      </w:r>
      <w:r>
        <w:rPr>
          <w:rStyle w:val="optioncarChar"/>
        </w:rPr>
        <w:t>***</w:t>
      </w:r>
      <w:r>
        <w:t xml:space="preserve"> mm</w:t>
      </w:r>
    </w:p>
    <w:p w14:paraId="06EA979C" w14:textId="77777777" w:rsidR="00772179" w:rsidRDefault="00000000">
      <w:pPr>
        <w:pStyle w:val="Author-eListParagraph"/>
        <w:numPr>
          <w:ilvl w:val="0"/>
          <w:numId w:val="894"/>
        </w:numPr>
      </w:pPr>
      <w:r>
        <w:t xml:space="preserve">Largeur utile : </w:t>
      </w:r>
      <w:r>
        <w:rPr>
          <w:rStyle w:val="optioncarChar"/>
        </w:rPr>
        <w:t>***</w:t>
      </w:r>
      <w:r>
        <w:t xml:space="preserve"> mm</w:t>
      </w:r>
    </w:p>
    <w:p w14:paraId="70C70061" w14:textId="77777777" w:rsidR="00772179" w:rsidRDefault="00000000">
      <w:pPr>
        <w:pStyle w:val="Author-eListParagraph"/>
        <w:numPr>
          <w:ilvl w:val="0"/>
          <w:numId w:val="894"/>
        </w:numPr>
      </w:pPr>
      <w:r>
        <w:t xml:space="preserve">Epaisseur : </w:t>
      </w:r>
      <w:r>
        <w:rPr>
          <w:rStyle w:val="optioncarChar"/>
        </w:rPr>
        <w:t>***</w:t>
      </w:r>
      <w:r>
        <w:t xml:space="preserve"> mm</w:t>
      </w:r>
    </w:p>
    <w:p w14:paraId="1D6678BC" w14:textId="77777777" w:rsidR="00772179" w:rsidRDefault="00000000">
      <w:pPr>
        <w:pStyle w:val="Author-eListParagraph"/>
        <w:numPr>
          <w:ilvl w:val="0"/>
          <w:numId w:val="894"/>
        </w:numPr>
      </w:pPr>
      <w:r>
        <w:t xml:space="preserve">Uds déclaré suivant [NBN EN 14509] : </w:t>
      </w:r>
      <w:r>
        <w:rPr>
          <w:rStyle w:val="optioncarChar"/>
        </w:rPr>
        <w:t>***</w:t>
      </w:r>
      <w:r>
        <w:t xml:space="preserve"> W/mK</w:t>
      </w:r>
    </w:p>
    <w:p w14:paraId="7F32828F" w14:textId="77777777" w:rsidR="00772179" w:rsidRDefault="00000000">
      <w:pPr>
        <w:pStyle w:val="Author-eListParagraph"/>
        <w:numPr>
          <w:ilvl w:val="0"/>
          <w:numId w:val="894"/>
        </w:numPr>
      </w:pPr>
      <w:r>
        <w:t xml:space="preserve">Essai de durabilité suivant [NBN EN 14509] : </w:t>
      </w:r>
      <w:r>
        <w:rPr>
          <w:rStyle w:val="optioncarChar"/>
        </w:rPr>
        <w:t>DUR1 / DUR 2</w:t>
      </w:r>
    </w:p>
    <w:p w14:paraId="4FC7A5FA" w14:textId="77777777" w:rsidR="00772179" w:rsidRDefault="00000000">
      <w:pPr>
        <w:jc w:val="both"/>
      </w:pPr>
      <w:r>
        <w:rPr>
          <w:u w:val="single"/>
        </w:rPr>
        <w:t>Revêtement intérieur en acier</w:t>
      </w:r>
    </w:p>
    <w:p w14:paraId="393755BE" w14:textId="77777777" w:rsidR="00772179" w:rsidRDefault="00000000">
      <w:pPr>
        <w:pStyle w:val="Author-eListParagraph"/>
        <w:numPr>
          <w:ilvl w:val="0"/>
          <w:numId w:val="895"/>
        </w:numPr>
      </w:pPr>
      <w:r>
        <w:t xml:space="preserve">Epaisseur : </w:t>
      </w:r>
      <w:r>
        <w:rPr>
          <w:rStyle w:val="optioncarChar"/>
        </w:rPr>
        <w:t>0,63</w:t>
      </w:r>
      <w:r>
        <w:t xml:space="preserve"> (par défaut)</w:t>
      </w:r>
      <w:r>
        <w:rPr>
          <w:rStyle w:val="optioncarChar"/>
        </w:rPr>
        <w:t xml:space="preserve"> / 0,4 / 0,5 / 0,75 / ***</w:t>
      </w:r>
      <w:r>
        <w:t xml:space="preserve"> mm</w:t>
      </w:r>
    </w:p>
    <w:p w14:paraId="1AE11F69" w14:textId="77777777" w:rsidR="00772179" w:rsidRDefault="00000000">
      <w:pPr>
        <w:jc w:val="both"/>
      </w:pPr>
      <w:r>
        <w:rPr>
          <w:u w:val="single"/>
        </w:rPr>
        <w:t>Revêtement extérieur en acier</w:t>
      </w:r>
    </w:p>
    <w:p w14:paraId="497EBA43" w14:textId="77777777" w:rsidR="00772179" w:rsidRDefault="00000000">
      <w:pPr>
        <w:pStyle w:val="Author-eListParagraph"/>
        <w:numPr>
          <w:ilvl w:val="0"/>
          <w:numId w:val="896"/>
        </w:numPr>
      </w:pPr>
      <w:r>
        <w:t xml:space="preserve">Epaisseur : </w:t>
      </w:r>
      <w:r>
        <w:rPr>
          <w:rStyle w:val="optioncarChar"/>
        </w:rPr>
        <w:t xml:space="preserve">0,63 </w:t>
      </w:r>
      <w:r>
        <w:t>(par défaut)</w:t>
      </w:r>
      <w:r>
        <w:rPr>
          <w:rStyle w:val="optioncarChar"/>
        </w:rPr>
        <w:t xml:space="preserve"> / 0,4 / 0,5 / 0,75 / ***</w:t>
      </w:r>
      <w:r>
        <w:t xml:space="preserve"> mm</w:t>
      </w:r>
    </w:p>
    <w:p w14:paraId="1DBC823F" w14:textId="77777777" w:rsidR="00772179" w:rsidRDefault="00000000">
      <w:pPr>
        <w:pStyle w:val="Author-eListParagraph"/>
        <w:numPr>
          <w:ilvl w:val="0"/>
          <w:numId w:val="896"/>
        </w:numPr>
      </w:pPr>
      <w:r>
        <w:t xml:space="preserve">Profil : </w:t>
      </w:r>
      <w:r>
        <w:rPr>
          <w:rStyle w:val="optioncarChar"/>
        </w:rPr>
        <w:t xml:space="preserve">lisse </w:t>
      </w:r>
      <w:r>
        <w:t>(par défaut)</w:t>
      </w:r>
      <w:r>
        <w:rPr>
          <w:rStyle w:val="optioncarChar"/>
        </w:rPr>
        <w:t xml:space="preserve"> / micronervures / ondes fines / nervures en creux trapézoïdal / nervures en V / sinusoïdale / ***</w:t>
      </w:r>
    </w:p>
    <w:p w14:paraId="63DD5F8F" w14:textId="77777777" w:rsidR="00772179" w:rsidRDefault="00000000">
      <w:pPr>
        <w:jc w:val="both"/>
      </w:pPr>
      <w:r>
        <w:rPr>
          <w:u w:val="single"/>
        </w:rPr>
        <w:t>Ame isolante</w:t>
      </w:r>
      <w:r>
        <w:t xml:space="preserve"> en </w:t>
      </w:r>
      <w:r>
        <w:rPr>
          <w:rStyle w:val="optioncarChar"/>
        </w:rPr>
        <w:t>polyisocyanurate / laine minérale / phénolique / isolation à cellules fermées</w:t>
      </w:r>
    </w:p>
    <w:p w14:paraId="3EA7E563" w14:textId="77777777" w:rsidR="00772179" w:rsidRDefault="00000000">
      <w:pPr>
        <w:jc w:val="both"/>
      </w:pPr>
      <w:r>
        <w:rPr>
          <w:b/>
        </w:rPr>
        <w:t>(soit)</w:t>
      </w:r>
    </w:p>
    <w:p w14:paraId="4A17EB25" w14:textId="77777777" w:rsidR="00772179" w:rsidRDefault="00000000">
      <w:pPr>
        <w:jc w:val="both"/>
      </w:pPr>
      <w:r>
        <w:rPr>
          <w:rStyle w:val="soitChar"/>
          <w:u w:val="single"/>
        </w:rPr>
        <w:t>Polyisocyanurate :</w:t>
      </w:r>
    </w:p>
    <w:p w14:paraId="12A4BEAA" w14:textId="77777777" w:rsidR="00772179" w:rsidRDefault="00000000">
      <w:pPr>
        <w:pStyle w:val="Author-eListParagraph"/>
        <w:numPr>
          <w:ilvl w:val="0"/>
          <w:numId w:val="897"/>
        </w:numPr>
      </w:pPr>
      <w:r>
        <w:rPr>
          <w:rStyle w:val="soitChar"/>
        </w:rPr>
        <w:t xml:space="preserve">Conductivité thermique (λ) : </w:t>
      </w:r>
      <w:r>
        <w:rPr>
          <w:rStyle w:val="optioncarChar"/>
        </w:rPr>
        <w:t xml:space="preserve">0,023 </w:t>
      </w:r>
      <w:r>
        <w:t>(par défaut)</w:t>
      </w:r>
      <w:r>
        <w:rPr>
          <w:rStyle w:val="optioncarChar"/>
        </w:rPr>
        <w:t xml:space="preserve"> / ***</w:t>
      </w:r>
      <w:r>
        <w:rPr>
          <w:rStyle w:val="soitChar"/>
        </w:rPr>
        <w:t xml:space="preserve"> W/mK</w:t>
      </w:r>
    </w:p>
    <w:p w14:paraId="55333987" w14:textId="77777777" w:rsidR="00772179" w:rsidRDefault="00000000">
      <w:pPr>
        <w:pStyle w:val="Author-eListParagraph"/>
        <w:numPr>
          <w:ilvl w:val="0"/>
          <w:numId w:val="897"/>
        </w:numPr>
      </w:pPr>
      <w:r>
        <w:rPr>
          <w:rStyle w:val="soitChar"/>
        </w:rPr>
        <w:t xml:space="preserve">Densité (ρ ) : </w:t>
      </w:r>
      <w:r>
        <w:rPr>
          <w:rStyle w:val="optioncarChar"/>
        </w:rPr>
        <w:t xml:space="preserve">30 </w:t>
      </w:r>
      <w:r>
        <w:t xml:space="preserve">(par défaut) </w:t>
      </w:r>
      <w:r>
        <w:rPr>
          <w:rStyle w:val="optioncarChar"/>
        </w:rPr>
        <w:t>/ ***</w:t>
      </w:r>
      <w:r>
        <w:rPr>
          <w:rStyle w:val="soitChar"/>
        </w:rPr>
        <w:t xml:space="preserve"> kg/m3</w:t>
      </w:r>
    </w:p>
    <w:p w14:paraId="2932CB9B" w14:textId="77777777" w:rsidR="00772179" w:rsidRDefault="00000000">
      <w:pPr>
        <w:pStyle w:val="Author-eListParagraph"/>
        <w:numPr>
          <w:ilvl w:val="0"/>
          <w:numId w:val="897"/>
        </w:numPr>
      </w:pPr>
      <w:r>
        <w:rPr>
          <w:rStyle w:val="soitChar"/>
        </w:rPr>
        <w:t xml:space="preserve">Epaisseur : </w:t>
      </w:r>
      <w:r>
        <w:rPr>
          <w:rStyle w:val="optioncarChar"/>
        </w:rPr>
        <w:t>***</w:t>
      </w:r>
      <w:r>
        <w:rPr>
          <w:rStyle w:val="soitChar"/>
        </w:rPr>
        <w:t xml:space="preserve"> mm</w:t>
      </w:r>
    </w:p>
    <w:p w14:paraId="1CB9D1CD" w14:textId="77777777" w:rsidR="00772179" w:rsidRDefault="00000000">
      <w:pPr>
        <w:jc w:val="both"/>
      </w:pPr>
      <w:r>
        <w:rPr>
          <w:b/>
        </w:rPr>
        <w:t>(soit)</w:t>
      </w:r>
    </w:p>
    <w:p w14:paraId="1FB26CCF" w14:textId="77777777" w:rsidR="00772179" w:rsidRDefault="00000000">
      <w:pPr>
        <w:jc w:val="both"/>
      </w:pPr>
      <w:r>
        <w:rPr>
          <w:rStyle w:val="soitChar"/>
          <w:u w:val="single"/>
        </w:rPr>
        <w:t>Laine minérale :  </w:t>
      </w:r>
    </w:p>
    <w:p w14:paraId="1B04F1AE" w14:textId="77777777" w:rsidR="00772179" w:rsidRDefault="00000000">
      <w:pPr>
        <w:pStyle w:val="Author-eListParagraph"/>
        <w:numPr>
          <w:ilvl w:val="0"/>
          <w:numId w:val="898"/>
        </w:numPr>
      </w:pPr>
      <w:r>
        <w:rPr>
          <w:rStyle w:val="soitChar"/>
        </w:rPr>
        <w:t>Conductivité thermique (λ) : </w:t>
      </w:r>
      <w:r>
        <w:rPr>
          <w:rStyle w:val="optioncarChar"/>
        </w:rPr>
        <w:t xml:space="preserve">0,035 </w:t>
      </w:r>
      <w:r>
        <w:t>(par défaut)</w:t>
      </w:r>
      <w:r>
        <w:rPr>
          <w:rStyle w:val="optioncarChar"/>
        </w:rPr>
        <w:t xml:space="preserve"> / ***</w:t>
      </w:r>
      <w:r>
        <w:rPr>
          <w:rStyle w:val="soitChar"/>
        </w:rPr>
        <w:t> W/mK</w:t>
      </w:r>
    </w:p>
    <w:p w14:paraId="27B867B2" w14:textId="77777777" w:rsidR="00772179" w:rsidRDefault="00000000">
      <w:pPr>
        <w:pStyle w:val="Author-eListParagraph"/>
        <w:numPr>
          <w:ilvl w:val="0"/>
          <w:numId w:val="898"/>
        </w:numPr>
      </w:pPr>
      <w:r>
        <w:rPr>
          <w:rStyle w:val="soitChar"/>
        </w:rPr>
        <w:t>Densité (ρ ) : </w:t>
      </w:r>
      <w:r>
        <w:rPr>
          <w:rStyle w:val="optioncarChar"/>
        </w:rPr>
        <w:t>30 </w:t>
      </w:r>
      <w:r>
        <w:t>(par défaut) </w:t>
      </w:r>
      <w:r>
        <w:rPr>
          <w:rStyle w:val="optioncarChar"/>
        </w:rPr>
        <w:t>/ ***</w:t>
      </w:r>
      <w:r>
        <w:rPr>
          <w:rStyle w:val="soitChar"/>
        </w:rPr>
        <w:t> kg/m3</w:t>
      </w:r>
    </w:p>
    <w:p w14:paraId="686ED614" w14:textId="77777777" w:rsidR="00772179" w:rsidRDefault="00000000">
      <w:pPr>
        <w:pStyle w:val="Author-eListParagraph"/>
        <w:numPr>
          <w:ilvl w:val="0"/>
          <w:numId w:val="898"/>
        </w:numPr>
      </w:pPr>
      <w:r>
        <w:rPr>
          <w:rStyle w:val="soitChar"/>
        </w:rPr>
        <w:t>Epaisseur : </w:t>
      </w:r>
      <w:r>
        <w:rPr>
          <w:rStyle w:val="optioncarChar"/>
        </w:rPr>
        <w:t>***</w:t>
      </w:r>
      <w:r>
        <w:rPr>
          <w:rStyle w:val="soitChar"/>
        </w:rPr>
        <w:t> mm</w:t>
      </w:r>
    </w:p>
    <w:p w14:paraId="7F17A2DD" w14:textId="77777777" w:rsidR="00772179" w:rsidRDefault="00000000">
      <w:pPr>
        <w:jc w:val="both"/>
      </w:pPr>
      <w:r>
        <w:rPr>
          <w:b/>
        </w:rPr>
        <w:t>(soit)</w:t>
      </w:r>
    </w:p>
    <w:p w14:paraId="48D0042D" w14:textId="77777777" w:rsidR="00772179" w:rsidRDefault="00000000">
      <w:pPr>
        <w:jc w:val="both"/>
      </w:pPr>
      <w:r>
        <w:rPr>
          <w:rStyle w:val="soitChar"/>
          <w:u w:val="single"/>
        </w:rPr>
        <w:t>Phénolique :</w:t>
      </w:r>
    </w:p>
    <w:p w14:paraId="6F3D10FB" w14:textId="77777777" w:rsidR="00772179" w:rsidRDefault="00772179">
      <w:pPr>
        <w:pStyle w:val="Author-eListParagraph"/>
        <w:numPr>
          <w:ilvl w:val="0"/>
          <w:numId w:val="899"/>
        </w:numPr>
      </w:pPr>
    </w:p>
    <w:p w14:paraId="14C156D6" w14:textId="77777777" w:rsidR="00772179" w:rsidRDefault="00000000">
      <w:pPr>
        <w:pStyle w:val="Author-eListParagraph"/>
        <w:numPr>
          <w:ilvl w:val="1"/>
          <w:numId w:val="900"/>
        </w:numPr>
      </w:pPr>
      <w:r>
        <w:rPr>
          <w:rStyle w:val="soitChar"/>
        </w:rPr>
        <w:t>Conductivité thermique (λ) : </w:t>
      </w:r>
      <w:r>
        <w:rPr>
          <w:rStyle w:val="optioncarChar"/>
        </w:rPr>
        <w:t xml:space="preserve">0,035 </w:t>
      </w:r>
      <w:r>
        <w:t>(par défaut)</w:t>
      </w:r>
      <w:r>
        <w:rPr>
          <w:rStyle w:val="optioncarChar"/>
        </w:rPr>
        <w:t xml:space="preserve"> / ***</w:t>
      </w:r>
      <w:r>
        <w:rPr>
          <w:rStyle w:val="soitChar"/>
        </w:rPr>
        <w:t> W/mK</w:t>
      </w:r>
    </w:p>
    <w:p w14:paraId="582D07B6" w14:textId="77777777" w:rsidR="00772179" w:rsidRDefault="00000000">
      <w:pPr>
        <w:pStyle w:val="Author-eListParagraph"/>
        <w:numPr>
          <w:ilvl w:val="1"/>
          <w:numId w:val="900"/>
        </w:numPr>
      </w:pPr>
      <w:r>
        <w:rPr>
          <w:rStyle w:val="soitChar"/>
        </w:rPr>
        <w:t>Densité (ρ ) : </w:t>
      </w:r>
      <w:r>
        <w:rPr>
          <w:rStyle w:val="optioncarChar"/>
        </w:rPr>
        <w:t>30 </w:t>
      </w:r>
      <w:r>
        <w:t>(par défaut) </w:t>
      </w:r>
      <w:r>
        <w:rPr>
          <w:rStyle w:val="optioncarChar"/>
        </w:rPr>
        <w:t>/ ***</w:t>
      </w:r>
      <w:r>
        <w:rPr>
          <w:rStyle w:val="soitChar"/>
        </w:rPr>
        <w:t> kg/m3</w:t>
      </w:r>
    </w:p>
    <w:p w14:paraId="528DC541" w14:textId="77777777" w:rsidR="00772179" w:rsidRDefault="00000000">
      <w:pPr>
        <w:pStyle w:val="Author-eListParagraph"/>
        <w:numPr>
          <w:ilvl w:val="1"/>
          <w:numId w:val="900"/>
        </w:numPr>
      </w:pPr>
      <w:r>
        <w:rPr>
          <w:rStyle w:val="soitChar"/>
        </w:rPr>
        <w:t>Epaisseur : </w:t>
      </w:r>
      <w:r>
        <w:rPr>
          <w:rStyle w:val="optioncarChar"/>
        </w:rPr>
        <w:t>***</w:t>
      </w:r>
      <w:r>
        <w:rPr>
          <w:rStyle w:val="soitChar"/>
        </w:rPr>
        <w:t> mm</w:t>
      </w:r>
      <w:r>
        <w:t>   </w:t>
      </w:r>
    </w:p>
    <w:p w14:paraId="23D53D49" w14:textId="77777777" w:rsidR="00772179" w:rsidRDefault="00000000">
      <w:pPr>
        <w:jc w:val="both"/>
      </w:pPr>
      <w:r>
        <w:rPr>
          <w:b/>
        </w:rPr>
        <w:lastRenderedPageBreak/>
        <w:t> (soit)</w:t>
      </w:r>
    </w:p>
    <w:p w14:paraId="469CD7DC" w14:textId="77777777" w:rsidR="00772179" w:rsidRDefault="00000000">
      <w:pPr>
        <w:jc w:val="both"/>
      </w:pPr>
      <w:r>
        <w:rPr>
          <w:rStyle w:val="soitChar"/>
          <w:u w:val="single"/>
        </w:rPr>
        <w:t> Isolation à cellule fermées :</w:t>
      </w:r>
    </w:p>
    <w:p w14:paraId="0A11F18F" w14:textId="77777777" w:rsidR="00772179" w:rsidRDefault="00000000">
      <w:pPr>
        <w:pStyle w:val="Author-eListParagraph"/>
        <w:numPr>
          <w:ilvl w:val="0"/>
          <w:numId w:val="901"/>
        </w:numPr>
      </w:pPr>
      <w:r>
        <w:rPr>
          <w:rStyle w:val="soitChar"/>
        </w:rPr>
        <w:t>Conductivité thermique (λ) : </w:t>
      </w:r>
      <w:r>
        <w:rPr>
          <w:rStyle w:val="optioncarChar"/>
        </w:rPr>
        <w:t xml:space="preserve">0,018 </w:t>
      </w:r>
      <w:r>
        <w:t>(par défaut)</w:t>
      </w:r>
      <w:r>
        <w:rPr>
          <w:rStyle w:val="optioncarChar"/>
        </w:rPr>
        <w:t xml:space="preserve"> / ***</w:t>
      </w:r>
      <w:r>
        <w:rPr>
          <w:rStyle w:val="soitChar"/>
        </w:rPr>
        <w:t> W/mK</w:t>
      </w:r>
    </w:p>
    <w:p w14:paraId="6D6CBE3B" w14:textId="77777777" w:rsidR="00772179" w:rsidRDefault="00000000">
      <w:pPr>
        <w:pStyle w:val="Author-eListParagraph"/>
        <w:numPr>
          <w:ilvl w:val="0"/>
          <w:numId w:val="901"/>
        </w:numPr>
      </w:pPr>
      <w:r>
        <w:rPr>
          <w:rStyle w:val="soitChar"/>
        </w:rPr>
        <w:t>Epaisseur : </w:t>
      </w:r>
      <w:r>
        <w:rPr>
          <w:rStyle w:val="optioncarChar"/>
        </w:rPr>
        <w:t>***</w:t>
      </w:r>
      <w:r>
        <w:rPr>
          <w:rStyle w:val="soitChar"/>
        </w:rPr>
        <w:t> mm</w:t>
      </w:r>
    </w:p>
    <w:p w14:paraId="7FCAE1FA" w14:textId="77777777" w:rsidR="00772179" w:rsidRDefault="00000000">
      <w:pPr>
        <w:pStyle w:val="pheading"/>
      </w:pPr>
      <w:r>
        <w:t>- Finitions</w:t>
      </w:r>
    </w:p>
    <w:p w14:paraId="254C4076" w14:textId="77777777" w:rsidR="00772179" w:rsidRDefault="00000000">
      <w:pPr>
        <w:pStyle w:val="Author-eListParagraph"/>
        <w:numPr>
          <w:ilvl w:val="0"/>
          <w:numId w:val="902"/>
        </w:numPr>
        <w:jc w:val="both"/>
      </w:pPr>
      <w:r>
        <w:t xml:space="preserve">Finition du revêtement extérieur : </w:t>
      </w:r>
      <w:r>
        <w:rPr>
          <w:rStyle w:val="optioncarChar"/>
        </w:rPr>
        <w:t>PU 55</w:t>
      </w:r>
      <w:r>
        <w:t xml:space="preserve"> (par défaut)</w:t>
      </w:r>
      <w:r>
        <w:rPr>
          <w:rStyle w:val="optioncarChar"/>
        </w:rPr>
        <w:t xml:space="preserve"> / PVDF25 / PVDF35 / PE 35 / PVC 150 / Plastisol 200 / ***</w:t>
      </w:r>
      <w:r>
        <w:t xml:space="preserve"> µm</w:t>
      </w:r>
    </w:p>
    <w:p w14:paraId="7951C675" w14:textId="77777777" w:rsidR="00772179" w:rsidRDefault="00000000">
      <w:pPr>
        <w:pStyle w:val="Author-eListParagraph"/>
        <w:numPr>
          <w:ilvl w:val="0"/>
          <w:numId w:val="902"/>
        </w:numPr>
        <w:jc w:val="both"/>
      </w:pPr>
      <w:r>
        <w:t xml:space="preserve">Finition du revêtement intérieur : </w:t>
      </w:r>
      <w:r>
        <w:rPr>
          <w:rStyle w:val="optioncarChar"/>
        </w:rPr>
        <w:t xml:space="preserve">PE 15 </w:t>
      </w:r>
      <w:r>
        <w:t>(par défaut)</w:t>
      </w:r>
      <w:r>
        <w:rPr>
          <w:rStyle w:val="optioncarChar"/>
        </w:rPr>
        <w:t xml:space="preserve"> / PE 25 / PVC 120 / PU 55 / Plastisol 200 / ***</w:t>
      </w:r>
      <w:r>
        <w:t xml:space="preserve"> µm</w:t>
      </w:r>
    </w:p>
    <w:p w14:paraId="51375D4E" w14:textId="77777777" w:rsidR="00772179" w:rsidRDefault="00000000">
      <w:pPr>
        <w:pStyle w:val="Author-eListParagraph"/>
        <w:numPr>
          <w:ilvl w:val="0"/>
          <w:numId w:val="902"/>
        </w:numPr>
        <w:jc w:val="both"/>
      </w:pPr>
      <w:r>
        <w:t>Couleur des panneaux : à choisir par la direction de chantier</w:t>
      </w:r>
    </w:p>
    <w:p w14:paraId="54035B44" w14:textId="77777777" w:rsidR="00772179" w:rsidRDefault="00000000">
      <w:pPr>
        <w:pStyle w:val="pheading"/>
      </w:pPr>
      <w:r>
        <w:t>EXÉCUTION / MISE EN ŒUVRE</w:t>
      </w:r>
    </w:p>
    <w:p w14:paraId="1FD1290E" w14:textId="77777777" w:rsidR="00772179" w:rsidRDefault="00000000">
      <w:pPr>
        <w:pStyle w:val="pheading"/>
      </w:pPr>
      <w:r>
        <w:t>- Prescriptions générales</w:t>
      </w:r>
    </w:p>
    <w:p w14:paraId="3620C066" w14:textId="77777777" w:rsidR="00772179" w:rsidRDefault="00000000">
      <w:pPr>
        <w:pStyle w:val="Author-eListParagraph"/>
        <w:numPr>
          <w:ilvl w:val="0"/>
          <w:numId w:val="903"/>
        </w:numPr>
        <w:jc w:val="both"/>
      </w:pPr>
      <w:r>
        <w:t>Calcul statique de la façade :  </w:t>
      </w:r>
      <w:r>
        <w:rPr>
          <w:rStyle w:val="optioncarChar"/>
        </w:rPr>
        <w:t>à charge de l’entrepreneur</w:t>
      </w:r>
      <w:r>
        <w:t xml:space="preserve"> (par défaut)</w:t>
      </w:r>
      <w:r>
        <w:rPr>
          <w:rStyle w:val="optioncarChar"/>
        </w:rPr>
        <w:t xml:space="preserve"> / du bureau d’étude </w:t>
      </w:r>
    </w:p>
    <w:p w14:paraId="2181D961" w14:textId="77777777" w:rsidR="00772179" w:rsidRDefault="00000000">
      <w:pPr>
        <w:pStyle w:val="Author-eListParagraph"/>
        <w:numPr>
          <w:ilvl w:val="0"/>
          <w:numId w:val="903"/>
        </w:numPr>
        <w:jc w:val="both"/>
      </w:pPr>
      <w:r>
        <w:t>Tout couple électrolytique est à protéger par un insert adapté aux matériaux en présence </w:t>
      </w:r>
    </w:p>
    <w:p w14:paraId="0D7D2D4B" w14:textId="77777777" w:rsidR="00772179" w:rsidRDefault="00000000">
      <w:pPr>
        <w:pStyle w:val="Author-eListParagraph"/>
        <w:numPr>
          <w:ilvl w:val="0"/>
          <w:numId w:val="903"/>
        </w:numPr>
        <w:jc w:val="both"/>
      </w:pPr>
      <w:r>
        <w:t xml:space="preserve">Pose : </w:t>
      </w:r>
      <w:r>
        <w:rPr>
          <w:rStyle w:val="optioncarChar"/>
        </w:rPr>
        <w:t>verticale / horizontale </w:t>
      </w:r>
    </w:p>
    <w:p w14:paraId="163F3B90" w14:textId="77777777" w:rsidR="00772179" w:rsidRDefault="00000000">
      <w:pPr>
        <w:pStyle w:val="Author-eListParagraph"/>
        <w:numPr>
          <w:ilvl w:val="0"/>
          <w:numId w:val="903"/>
        </w:numPr>
        <w:jc w:val="both"/>
      </w:pPr>
      <w:r>
        <w:t>Pose d’un joint d’étanchéité sur l’appui :</w:t>
      </w:r>
      <w:r>
        <w:rPr>
          <w:rStyle w:val="optioncarChar"/>
        </w:rPr>
        <w:t xml:space="preserve"> aux extrémités des panneaux </w:t>
      </w:r>
      <w:r>
        <w:t>(par défaut)</w:t>
      </w:r>
      <w:r>
        <w:rPr>
          <w:rStyle w:val="optioncarChar"/>
        </w:rPr>
        <w:t xml:space="preserve"> / sur chaque appui.</w:t>
      </w:r>
    </w:p>
    <w:p w14:paraId="12DCC853" w14:textId="77777777" w:rsidR="00772179" w:rsidRDefault="00000000">
      <w:pPr>
        <w:pStyle w:val="Author-eListParagraph"/>
        <w:numPr>
          <w:ilvl w:val="0"/>
          <w:numId w:val="903"/>
        </w:numPr>
        <w:jc w:val="both"/>
      </w:pPr>
      <w:r>
        <w:t>Pose de joints de silicone sur les appuis aux extrémités des panneaux et dans l’emboitement :</w:t>
      </w:r>
      <w:r>
        <w:rPr>
          <w:rStyle w:val="optioncarChar"/>
        </w:rPr>
        <w:t xml:space="preserve"> oui / non.</w:t>
      </w:r>
    </w:p>
    <w:p w14:paraId="3AFDD6CB" w14:textId="77777777" w:rsidR="00772179" w:rsidRDefault="00000000">
      <w:pPr>
        <w:jc w:val="both"/>
      </w:pPr>
      <w:r>
        <w:t>Fixation :</w:t>
      </w:r>
    </w:p>
    <w:p w14:paraId="3725FDE4" w14:textId="77777777" w:rsidR="00772179" w:rsidRDefault="00000000">
      <w:pPr>
        <w:pStyle w:val="Author-eListParagraph"/>
        <w:numPr>
          <w:ilvl w:val="0"/>
          <w:numId w:val="904"/>
        </w:numPr>
      </w:pPr>
      <w:r>
        <w:t xml:space="preserve">sur profilés supports dimensionnés par l’entrepreneur :  </w:t>
      </w:r>
      <w:r>
        <w:rPr>
          <w:rStyle w:val="optioncarChar"/>
        </w:rPr>
        <w:t>en acier / en bois</w:t>
      </w:r>
    </w:p>
    <w:p w14:paraId="4789ECFE" w14:textId="77777777" w:rsidR="00772179" w:rsidRDefault="00000000">
      <w:pPr>
        <w:pStyle w:val="Author-eListParagraph"/>
        <w:numPr>
          <w:ilvl w:val="0"/>
          <w:numId w:val="904"/>
        </w:numPr>
      </w:pPr>
      <w:r>
        <w:t xml:space="preserve">au moyen de : </w:t>
      </w:r>
      <w:r>
        <w:rPr>
          <w:rStyle w:val="optioncarChar"/>
        </w:rPr>
        <w:t xml:space="preserve">plaquettes en acier inoxydable </w:t>
      </w:r>
      <w:r>
        <w:t xml:space="preserve">(par défaut) </w:t>
      </w:r>
      <w:r>
        <w:rPr>
          <w:rStyle w:val="optioncarChar"/>
        </w:rPr>
        <w:t>/ plaquettes en acier galvanisé / mécanisme de verrouillage interne</w:t>
      </w:r>
    </w:p>
    <w:p w14:paraId="1155ABF6" w14:textId="77777777" w:rsidR="00772179" w:rsidRDefault="00000000">
      <w:pPr>
        <w:jc w:val="both"/>
      </w:pPr>
      <w:r>
        <w:t xml:space="preserve">En cas de panneaux de résistance au feu </w:t>
      </w:r>
      <w:r>
        <w:rPr>
          <w:rStyle w:val="optioncarChar"/>
        </w:rPr>
        <w:t>EI30 / EI60 / EI120</w:t>
      </w:r>
      <w:r>
        <w:t>, l’entrepreneur présente :</w:t>
      </w:r>
    </w:p>
    <w:p w14:paraId="1EB2AE1F" w14:textId="77777777" w:rsidR="00772179" w:rsidRDefault="00000000">
      <w:pPr>
        <w:pStyle w:val="Author-eListParagraph"/>
        <w:numPr>
          <w:ilvl w:val="0"/>
          <w:numId w:val="905"/>
        </w:numPr>
      </w:pPr>
      <w:r>
        <w:t xml:space="preserve">une fixation disposant d’une attestation de stabilité au feu </w:t>
      </w:r>
      <w:r>
        <w:rPr>
          <w:rStyle w:val="optioncarChar"/>
        </w:rPr>
        <w:t>R30 / R60 / R120</w:t>
      </w:r>
      <w:r>
        <w:t> </w:t>
      </w:r>
    </w:p>
    <w:p w14:paraId="47CEA61D" w14:textId="77777777" w:rsidR="00772179" w:rsidRDefault="00000000">
      <w:pPr>
        <w:pStyle w:val="Author-eListParagraph"/>
        <w:numPr>
          <w:ilvl w:val="0"/>
          <w:numId w:val="905"/>
        </w:numPr>
      </w:pPr>
      <w:r>
        <w:t>une proposition pour la fermeture du raccord entre le panneau et le gros œuvre présentant une résistance au feu identique au panneau </w:t>
      </w:r>
    </w:p>
    <w:p w14:paraId="5DC791FB" w14:textId="77777777" w:rsidR="00772179" w:rsidRDefault="00000000">
      <w:pPr>
        <w:jc w:val="both"/>
      </w:pPr>
      <w:r>
        <w:rPr>
          <w:u w:val="single"/>
        </w:rPr>
        <w:t>Raccord longitudinal :</w:t>
      </w:r>
      <w:r>
        <w:t xml:space="preserve"> joint d’étanchéité </w:t>
      </w:r>
      <w:r>
        <w:rPr>
          <w:rStyle w:val="optioncarChar"/>
        </w:rPr>
        <w:t>intégré en usine / inséré sur chantier</w:t>
      </w:r>
    </w:p>
    <w:p w14:paraId="4C383628" w14:textId="77777777" w:rsidR="00772179" w:rsidRDefault="00000000">
      <w:pPr>
        <w:jc w:val="both"/>
      </w:pPr>
      <w:r>
        <w:rPr>
          <w:u w:val="single"/>
        </w:rPr>
        <w:t>Raccord transversal :</w:t>
      </w:r>
      <w:r>
        <w:rPr>
          <w:rStyle w:val="optioncarChar"/>
        </w:rPr>
        <w:t>pose verticale</w:t>
      </w:r>
      <w:r>
        <w:t xml:space="preserve"> (par défaut) </w:t>
      </w:r>
      <w:r>
        <w:rPr>
          <w:rStyle w:val="optioncarChar"/>
        </w:rPr>
        <w:t>/ pose horizontale</w:t>
      </w:r>
    </w:p>
    <w:p w14:paraId="23826C8F" w14:textId="77777777" w:rsidR="00772179" w:rsidRDefault="00000000">
      <w:pPr>
        <w:jc w:val="both"/>
      </w:pPr>
      <w:r>
        <w:rPr>
          <w:b/>
        </w:rPr>
        <w:t>(soit par défaut)</w:t>
      </w:r>
    </w:p>
    <w:p w14:paraId="5D8B5D20" w14:textId="77777777" w:rsidR="00772179" w:rsidRDefault="00000000">
      <w:pPr>
        <w:jc w:val="both"/>
      </w:pPr>
      <w:r>
        <w:rPr>
          <w:rStyle w:val="soitChar"/>
          <w:u w:val="single"/>
        </w:rPr>
        <w:t>Pose verticale :</w:t>
      </w:r>
      <w:r>
        <w:rPr>
          <w:rStyle w:val="soitChar"/>
        </w:rPr>
        <w:t xml:space="preserve"> bavette d’étanchéité avec joint d’étanchéité fixé sur le profil support</w:t>
      </w:r>
    </w:p>
    <w:p w14:paraId="468070C9" w14:textId="77777777" w:rsidR="00772179" w:rsidRDefault="00000000">
      <w:pPr>
        <w:jc w:val="both"/>
      </w:pPr>
      <w:r>
        <w:rPr>
          <w:b/>
        </w:rPr>
        <w:t>(soit)</w:t>
      </w:r>
    </w:p>
    <w:p w14:paraId="4873B8E5" w14:textId="77777777" w:rsidR="00772179" w:rsidRDefault="00000000">
      <w:pPr>
        <w:jc w:val="both"/>
      </w:pPr>
      <w:r>
        <w:rPr>
          <w:rStyle w:val="soitChar"/>
          <w:u w:val="single"/>
        </w:rPr>
        <w:t>Pose horizontale :</w:t>
      </w:r>
      <w:r>
        <w:rPr>
          <w:rStyle w:val="soitChar"/>
        </w:rPr>
        <w:t xml:space="preserve"> isolation posée entre panneaux avec couvre-joint, joint d’étanchéité complémentaire et éclisse intérieure</w:t>
      </w:r>
    </w:p>
    <w:p w14:paraId="1A88F5EC" w14:textId="77777777" w:rsidR="00772179" w:rsidRDefault="00772179">
      <w:pPr>
        <w:jc w:val="both"/>
      </w:pPr>
    </w:p>
    <w:p w14:paraId="134F1237" w14:textId="77777777" w:rsidR="00772179" w:rsidRDefault="00000000">
      <w:pPr>
        <w:jc w:val="both"/>
      </w:pPr>
      <w:r>
        <w:rPr>
          <w:u w:val="single"/>
        </w:rPr>
        <w:t>Finition d’angles sortants</w:t>
      </w:r>
      <w:r>
        <w:t xml:space="preserve"> au moyen : </w:t>
      </w:r>
      <w:r>
        <w:rPr>
          <w:rStyle w:val="optioncarChar"/>
        </w:rPr>
        <w:t>d’un panneau d’angle identique aux panneaux de façades / d’une tôle pliée de même finition que les panneaux </w:t>
      </w:r>
    </w:p>
    <w:p w14:paraId="5B7A734A" w14:textId="77777777" w:rsidR="00772179" w:rsidRDefault="00000000">
      <w:pPr>
        <w:jc w:val="both"/>
      </w:pPr>
      <w:r>
        <w:t>En cas de tôle : acier</w:t>
      </w:r>
      <w:r>
        <w:rPr>
          <w:rStyle w:val="optioncarChar"/>
        </w:rPr>
        <w:t xml:space="preserve"> 0,5 </w:t>
      </w:r>
      <w:r>
        <w:t>(par défaut)</w:t>
      </w:r>
      <w:r>
        <w:rPr>
          <w:rStyle w:val="optioncarChar"/>
        </w:rPr>
        <w:t xml:space="preserve"> / 0,63 / 0,75 / ***</w:t>
      </w:r>
      <w:r>
        <w:t xml:space="preserve"> mm</w:t>
      </w:r>
    </w:p>
    <w:p w14:paraId="03A5B747" w14:textId="77777777" w:rsidR="00772179" w:rsidRDefault="00000000">
      <w:pPr>
        <w:jc w:val="both"/>
      </w:pPr>
      <w:r>
        <w:t xml:space="preserve">Fixation tous les </w:t>
      </w:r>
      <w:r>
        <w:rPr>
          <w:rStyle w:val="optioncarChar"/>
        </w:rPr>
        <w:t>40</w:t>
      </w:r>
      <w:r>
        <w:t xml:space="preserve"> (par défaut)</w:t>
      </w:r>
      <w:r>
        <w:rPr>
          <w:rStyle w:val="optioncarChar"/>
        </w:rPr>
        <w:t xml:space="preserve"> / ***</w:t>
      </w:r>
      <w:r>
        <w:t xml:space="preserve"> cm</w:t>
      </w:r>
    </w:p>
    <w:p w14:paraId="0774C6A9" w14:textId="77777777" w:rsidR="00772179" w:rsidRDefault="00000000">
      <w:pPr>
        <w:jc w:val="both"/>
      </w:pPr>
      <w:r>
        <w:rPr>
          <w:u w:val="single"/>
        </w:rPr>
        <w:t>Finition d’angles rentrants</w:t>
      </w:r>
      <w:r>
        <w:t xml:space="preserve"> au moyen de tôle pliée de même finition que les panneaux de façade : acier </w:t>
      </w:r>
      <w:r>
        <w:rPr>
          <w:rStyle w:val="optioncarChar"/>
        </w:rPr>
        <w:t xml:space="preserve">0,5 </w:t>
      </w:r>
      <w:r>
        <w:t xml:space="preserve">(par défaut) </w:t>
      </w:r>
      <w:r>
        <w:rPr>
          <w:rStyle w:val="optioncarChar"/>
        </w:rPr>
        <w:t>/ 0,63 / 0,75 / ***</w:t>
      </w:r>
      <w:r>
        <w:t xml:space="preserve"> mm</w:t>
      </w:r>
    </w:p>
    <w:p w14:paraId="25F5E6C9" w14:textId="77777777" w:rsidR="00772179" w:rsidRDefault="00000000">
      <w:pPr>
        <w:jc w:val="both"/>
      </w:pPr>
      <w:r>
        <w:rPr>
          <w:u w:val="single"/>
        </w:rPr>
        <w:t>Coiffe d’acrotère</w:t>
      </w:r>
      <w:r>
        <w:t xml:space="preserve"> au moyen de tôle pliée de même finition que les panneaux :</w:t>
      </w:r>
      <w:r>
        <w:rPr>
          <w:rStyle w:val="optioncarChar"/>
        </w:rPr>
        <w:t xml:space="preserve"> oui / non</w:t>
      </w:r>
    </w:p>
    <w:p w14:paraId="65A378FF" w14:textId="77777777" w:rsidR="00772179" w:rsidRDefault="00000000">
      <w:pPr>
        <w:jc w:val="both"/>
      </w:pPr>
      <w:r>
        <w:rPr>
          <w:u w:val="single"/>
        </w:rPr>
        <w:t>Profilé de pied</w:t>
      </w:r>
      <w:r>
        <w:t xml:space="preserve"> au moyen d’un profil en acier de même finition que les panneaux avec rejet d’eau : </w:t>
      </w:r>
      <w:r>
        <w:rPr>
          <w:rStyle w:val="optioncarChar"/>
        </w:rPr>
        <w:t>oui / non</w:t>
      </w:r>
    </w:p>
    <w:p w14:paraId="4B65AF85" w14:textId="77777777" w:rsidR="00772179" w:rsidRDefault="00000000">
      <w:pPr>
        <w:jc w:val="both"/>
      </w:pPr>
      <w:r>
        <w:rPr>
          <w:u w:val="single"/>
        </w:rPr>
        <w:lastRenderedPageBreak/>
        <w:t>Finition au droit des baies :</w:t>
      </w:r>
      <w:r>
        <w:t xml:space="preserve"> au moyen de tôle pliée de même finition que les panneaux : acier </w:t>
      </w:r>
      <w:r>
        <w:rPr>
          <w:rStyle w:val="optioncarChar"/>
        </w:rPr>
        <w:t>0,5</w:t>
      </w:r>
      <w:r>
        <w:t xml:space="preserve"> (par défaut)</w:t>
      </w:r>
      <w:r>
        <w:rPr>
          <w:rStyle w:val="optioncarChar"/>
        </w:rPr>
        <w:t xml:space="preserve"> / 0,63 / 0,75 / ***</w:t>
      </w:r>
      <w:r>
        <w:t xml:space="preserve"> mm</w:t>
      </w:r>
    </w:p>
    <w:p w14:paraId="170B55D7" w14:textId="77777777" w:rsidR="00772179" w:rsidRDefault="00000000">
      <w:pPr>
        <w:pStyle w:val="pheading"/>
      </w:pPr>
      <w:r>
        <w:t>DOCUMENTS DE RÉFÉRENCE COMPLÉMENTAIRES</w:t>
      </w:r>
    </w:p>
    <w:p w14:paraId="28E8C863" w14:textId="77777777" w:rsidR="00772179" w:rsidRDefault="00000000">
      <w:pPr>
        <w:pStyle w:val="pheading"/>
      </w:pPr>
      <w:r>
        <w:t>- Matériau</w:t>
      </w:r>
    </w:p>
    <w:p w14:paraId="055C490C" w14:textId="77777777" w:rsidR="00772179" w:rsidRDefault="00000000">
      <w:r>
        <w:t>[NIT 256, Conception et mise en oeuvre de bâtiments industriels conformes aux exigences de sécurité contre l'incendie.]</w:t>
      </w:r>
    </w:p>
    <w:p w14:paraId="406B04FC" w14:textId="77777777" w:rsidR="00772179" w:rsidRDefault="00000000">
      <w:r>
        <w:t>[AR 1994-07-07, Arrêté royal fixant les normes de base en matière de prévention contre l'incendie et l'explosion, auxquelles les bâtiments nouveaux doivent satisfaire]</w:t>
      </w:r>
    </w:p>
    <w:p w14:paraId="64AB1727" w14:textId="77777777" w:rsidR="00772179" w:rsidRDefault="00000000">
      <w:r>
        <w:t>[NBN EN 13501-1, Classement au feu des produits et éléments de construction - Partie 1: Classement à partir des données d'essais de réaction au feu]</w:t>
      </w:r>
    </w:p>
    <w:p w14:paraId="12A42AAF" w14:textId="77777777" w:rsidR="00772179" w:rsidRDefault="00000000">
      <w:r>
        <w:t>[NBN EN 13501-2, Classement au feu des produits et éléments de construction - Partie 2 : Classement à partir des données d’essais de résistance au feu et/ou de contrôle des fumées à l’exclusion des produits utilisés dans les systèmes de ventilation ]</w:t>
      </w:r>
    </w:p>
    <w:p w14:paraId="3F062430" w14:textId="77777777" w:rsidR="00772179" w:rsidRDefault="00000000">
      <w:r>
        <w:t>[NBN EN 14509, Panneaux sandwiches autoportants, isolants, double peau à parements métalliques - Produits manufacturés - Spécifications]</w:t>
      </w:r>
    </w:p>
    <w:p w14:paraId="69A70A25" w14:textId="77777777" w:rsidR="00772179" w:rsidRDefault="00000000">
      <w:r>
        <w:t>[NBN EN 1364-1, Essais de résistance au feu des éléments non porteurs - Partie 1: Murs]</w:t>
      </w:r>
    </w:p>
    <w:p w14:paraId="483D1CEF" w14:textId="77777777" w:rsidR="00772179" w:rsidRDefault="00000000">
      <w:r>
        <w:t>[NBN EN 12114, Performance thermique de bâtiments - Perméabilité à l'air des composants et parois de bâtiments - Méthode d'essai en laboratoire]</w:t>
      </w:r>
    </w:p>
    <w:p w14:paraId="6B8BE173" w14:textId="77777777" w:rsidR="00772179" w:rsidRDefault="00000000">
      <w:pPr>
        <w:pStyle w:val="pheading"/>
      </w:pPr>
      <w:r>
        <w:t>MESURAGE</w:t>
      </w:r>
    </w:p>
    <w:p w14:paraId="7054F6CE" w14:textId="77777777" w:rsidR="00772179" w:rsidRDefault="00000000">
      <w:pPr>
        <w:pStyle w:val="pheading"/>
      </w:pPr>
      <w:r>
        <w:t>- unité de mesure:</w:t>
      </w:r>
    </w:p>
    <w:p w14:paraId="068D2AC2" w14:textId="77777777" w:rsidR="00772179" w:rsidRDefault="00000000">
      <w:r>
        <w:t>m²</w:t>
      </w:r>
    </w:p>
    <w:p w14:paraId="70AE19EF" w14:textId="77777777" w:rsidR="00772179" w:rsidRDefault="00000000">
      <w:pPr>
        <w:pStyle w:val="pheading"/>
      </w:pPr>
      <w:r>
        <w:t>- code de mesurage:</w:t>
      </w:r>
    </w:p>
    <w:p w14:paraId="6225CE46" w14:textId="77777777" w:rsidR="00772179" w:rsidRDefault="00000000">
      <w:r>
        <w:t>Surface nette des façades. Les réservations supérieures à 0,5m</w:t>
      </w:r>
      <w:r>
        <w:rPr>
          <w:vertAlign w:val="superscript"/>
        </w:rPr>
        <w:t>2</w:t>
      </w:r>
      <w:r>
        <w:t xml:space="preserve"> sont déduites.</w:t>
      </w:r>
    </w:p>
    <w:p w14:paraId="5F67355C" w14:textId="77777777" w:rsidR="00772179" w:rsidRDefault="00000000">
      <w:pPr>
        <w:pStyle w:val="pheading"/>
      </w:pPr>
      <w:r>
        <w:t>- nature du marché:</w:t>
      </w:r>
    </w:p>
    <w:p w14:paraId="1576F3C6" w14:textId="77777777" w:rsidR="00772179" w:rsidRDefault="00000000">
      <w:r>
        <w:t>QF</w:t>
      </w:r>
    </w:p>
    <w:p w14:paraId="0F72B53F" w14:textId="77777777" w:rsidR="00772179" w:rsidRDefault="00000000">
      <w:pPr>
        <w:pStyle w:val="Author-eSectionHeading3Numberless"/>
      </w:pPr>
      <w:bookmarkStart w:id="720" w:name="_Toc220490410"/>
      <w:r>
        <w:t>43.2 Revêtements de façade rigides fixés mécaniquement CCTB 01.12</w:t>
      </w:r>
      <w:bookmarkEnd w:id="720"/>
    </w:p>
    <w:p w14:paraId="3E9FDBD9" w14:textId="77777777" w:rsidR="00772179" w:rsidRDefault="00000000">
      <w:pPr>
        <w:pStyle w:val="pheading"/>
      </w:pPr>
      <w:bookmarkStart w:id="721" w:name="984"/>
      <w:bookmarkEnd w:id="721"/>
      <w:r>
        <w:t>DESCRIPTION</w:t>
      </w:r>
    </w:p>
    <w:p w14:paraId="15C1E2E2" w14:textId="77777777" w:rsidR="00772179" w:rsidRDefault="00000000">
      <w:pPr>
        <w:pStyle w:val="pheading"/>
      </w:pPr>
      <w:r>
        <w:t>- Définition / Comprend</w:t>
      </w:r>
    </w:p>
    <w:p w14:paraId="4A29C3C7" w14:textId="77777777" w:rsidR="00772179" w:rsidRDefault="00000000">
      <w:pPr>
        <w:jc w:val="both"/>
      </w:pPr>
      <w:r>
        <w:t>Il s'agit de toutes les fournitures et tous les travaux en vue de la réalisation des revêtements de façade rigides fixés mécaniquement sur une structure secondaire en profilés appliqués en façade pour obtenir un ouvrage soigneusement achevé.</w:t>
      </w:r>
    </w:p>
    <w:p w14:paraId="3F4894AA" w14:textId="77777777" w:rsidR="00772179" w:rsidRDefault="00000000">
      <w:pPr>
        <w:jc w:val="both"/>
      </w:pPr>
      <w:r>
        <w:t>Le travail comprend notamment :</w:t>
      </w:r>
    </w:p>
    <w:p w14:paraId="5E7C22C2" w14:textId="77777777" w:rsidR="00772179" w:rsidRDefault="00000000">
      <w:pPr>
        <w:pStyle w:val="Author-eListParagraph"/>
        <w:numPr>
          <w:ilvl w:val="0"/>
          <w:numId w:val="906"/>
        </w:numPr>
        <w:jc w:val="both"/>
      </w:pPr>
      <w:r>
        <w:t>La vérification de l’état du support et de la compatibilité de l’exécution avec les tolérances de pose du revêtement ;</w:t>
      </w:r>
    </w:p>
    <w:p w14:paraId="5B4E66FC" w14:textId="77777777" w:rsidR="00772179" w:rsidRDefault="00000000">
      <w:pPr>
        <w:pStyle w:val="Author-eListParagraph"/>
        <w:numPr>
          <w:ilvl w:val="0"/>
          <w:numId w:val="906"/>
        </w:numPr>
        <w:jc w:val="both"/>
      </w:pPr>
      <w:r>
        <w:t>La mise au point du calepinage et l’établissement des plans d’exécution, y compris localisation des équipements techniques traversant ou suspendus dans la zone du revêtement de façade ;</w:t>
      </w:r>
    </w:p>
    <w:p w14:paraId="69D1AAB6" w14:textId="77777777" w:rsidR="00772179" w:rsidRDefault="00000000">
      <w:pPr>
        <w:pStyle w:val="Author-eListParagraph"/>
        <w:numPr>
          <w:ilvl w:val="0"/>
          <w:numId w:val="906"/>
        </w:numPr>
        <w:jc w:val="both"/>
      </w:pPr>
      <w:r>
        <w:t>La fourniture du plan d’implantation des structures secondaires en profilés de support en fonction du calepinage des revêtements de façade rigides concernés ;</w:t>
      </w:r>
    </w:p>
    <w:p w14:paraId="2B8EE7CD" w14:textId="77777777" w:rsidR="00772179" w:rsidRDefault="00000000">
      <w:pPr>
        <w:pStyle w:val="Author-eListParagraph"/>
        <w:numPr>
          <w:ilvl w:val="0"/>
          <w:numId w:val="906"/>
        </w:numPr>
        <w:jc w:val="both"/>
      </w:pPr>
      <w:r>
        <w:t xml:space="preserve">La fourniture et le montage des structures secondaires prescrites en bois tel que décrit dans l’élément </w:t>
      </w:r>
      <w:hyperlink w:anchor="985" w:history="1">
        <w:r>
          <w:rPr>
            <w:color w:val="0000EE"/>
          </w:rPr>
          <w:t>43.11.1 Profilés de support continu en bois du revêtement de façade</w:t>
        </w:r>
      </w:hyperlink>
      <w:r>
        <w:t xml:space="preserve"> et suivants ou en métal tel que décrit dans l’élément </w:t>
      </w:r>
      <w:hyperlink w:anchor="993" w:history="1">
        <w:r>
          <w:rPr>
            <w:color w:val="0000EE"/>
          </w:rPr>
          <w:t xml:space="preserve">43.11.2 Profilés de support continu métallique du </w:t>
        </w:r>
        <w:r>
          <w:rPr>
            <w:color w:val="0000EE"/>
          </w:rPr>
          <w:lastRenderedPageBreak/>
          <w:t>revêtement de façade</w:t>
        </w:r>
      </w:hyperlink>
      <w:r>
        <w:t xml:space="preserve"> et suivants, y compris tous les éléments d'assemblage et/ou d'ancrage ;</w:t>
      </w:r>
    </w:p>
    <w:p w14:paraId="245F7B97" w14:textId="77777777" w:rsidR="00772179" w:rsidRDefault="00000000">
      <w:pPr>
        <w:pStyle w:val="Author-eListParagraph"/>
        <w:numPr>
          <w:ilvl w:val="0"/>
          <w:numId w:val="906"/>
        </w:numPr>
        <w:jc w:val="both"/>
      </w:pPr>
      <w:r>
        <w:t>La fourniture et la pose des renforts pour les fixations ou la suspension d’éléments techniques sur la façade ;</w:t>
      </w:r>
    </w:p>
    <w:p w14:paraId="7E151AB5" w14:textId="77777777" w:rsidR="00772179" w:rsidRDefault="00000000">
      <w:pPr>
        <w:pStyle w:val="Author-eListParagraph"/>
        <w:numPr>
          <w:ilvl w:val="0"/>
          <w:numId w:val="906"/>
        </w:numPr>
        <w:jc w:val="both"/>
      </w:pPr>
      <w:r>
        <w:t>La fourniture et la pose de l’isolation sont compris dans l’élément 26.4 Isolation et suivants ;</w:t>
      </w:r>
    </w:p>
    <w:p w14:paraId="0AAE7D34" w14:textId="77777777" w:rsidR="00772179" w:rsidRDefault="00000000">
      <w:pPr>
        <w:pStyle w:val="Author-eListParagraph"/>
        <w:numPr>
          <w:ilvl w:val="0"/>
          <w:numId w:val="906"/>
        </w:numPr>
        <w:jc w:val="both"/>
      </w:pPr>
      <w:r>
        <w:t xml:space="preserve">La fourniture et la pose du pare-pluie sont compris dans l’élément </w:t>
      </w:r>
      <w:hyperlink w:anchor="994" w:history="1">
        <w:r>
          <w:rPr>
            <w:color w:val="0000EE"/>
          </w:rPr>
          <w:t>44.13 Pare-pluie souples</w:t>
        </w:r>
      </w:hyperlink>
      <w:r>
        <w:t xml:space="preserve"> et </w:t>
      </w:r>
      <w:hyperlink w:anchor="995" w:history="1">
        <w:r>
          <w:rPr>
            <w:color w:val="0000EE"/>
          </w:rPr>
          <w:t>44.14 Pare-pluie rigides</w:t>
        </w:r>
      </w:hyperlink>
      <w:r>
        <w:t xml:space="preserve"> et suivants ;</w:t>
      </w:r>
    </w:p>
    <w:p w14:paraId="6305F9A6" w14:textId="77777777" w:rsidR="00772179" w:rsidRDefault="00000000">
      <w:pPr>
        <w:pStyle w:val="Author-eListParagraph"/>
        <w:numPr>
          <w:ilvl w:val="0"/>
          <w:numId w:val="906"/>
        </w:numPr>
        <w:jc w:val="both"/>
      </w:pPr>
      <w:r>
        <w:t>La fourniture et la pose des revêtements de façade rigides, y compris les moyens de fixation et pièces de raccord, pièces d’angles, de pied, de finition latérale et en linteau au droit des baies, joints, joints de dilatation, etc…;</w:t>
      </w:r>
    </w:p>
    <w:p w14:paraId="77473343" w14:textId="77777777" w:rsidR="00772179" w:rsidRDefault="00000000">
      <w:pPr>
        <w:pStyle w:val="Author-eListParagraph"/>
        <w:numPr>
          <w:ilvl w:val="0"/>
          <w:numId w:val="906"/>
        </w:numPr>
        <w:jc w:val="both"/>
      </w:pPr>
      <w:r>
        <w:t>La réalisation des éventuelles réservations pour l’intégration des conduites, des appareils encastrés ainsi que la finition des bords pour les éléments techniques intégrés dans le revêtement de façade ;</w:t>
      </w:r>
    </w:p>
    <w:p w14:paraId="01868901" w14:textId="77777777" w:rsidR="00772179" w:rsidRDefault="00000000">
      <w:pPr>
        <w:pStyle w:val="Author-eListParagraph"/>
        <w:numPr>
          <w:ilvl w:val="0"/>
          <w:numId w:val="906"/>
        </w:numPr>
        <w:jc w:val="both"/>
      </w:pPr>
      <w:r>
        <w:t>Toutes les découpes pour raccords aux parements adjacents et réalisation des baies et ouvertures de tous types au moyen des outils préconisés dans la documentation technique accompagnant les produits ;</w:t>
      </w:r>
    </w:p>
    <w:p w14:paraId="2142A1FD" w14:textId="77777777" w:rsidR="00772179" w:rsidRDefault="00000000">
      <w:pPr>
        <w:pStyle w:val="Author-eListParagraph"/>
        <w:numPr>
          <w:ilvl w:val="0"/>
          <w:numId w:val="906"/>
        </w:numPr>
        <w:jc w:val="both"/>
      </w:pPr>
      <w:r>
        <w:t>La protection des bords coupés conformément à la documentation technique accompagnant les produits ;</w:t>
      </w:r>
    </w:p>
    <w:p w14:paraId="144D2A5A" w14:textId="77777777" w:rsidR="00772179" w:rsidRDefault="00000000">
      <w:pPr>
        <w:pStyle w:val="Author-eListParagraph"/>
        <w:numPr>
          <w:ilvl w:val="0"/>
          <w:numId w:val="906"/>
        </w:numPr>
        <w:jc w:val="both"/>
      </w:pPr>
      <w:r>
        <w:t>Toutes finitions au droit des raccords aux parements adjacents et des faces latérales et linteaux des baies ;</w:t>
      </w:r>
    </w:p>
    <w:p w14:paraId="6F5E6997" w14:textId="77777777" w:rsidR="00772179" w:rsidRDefault="00000000">
      <w:pPr>
        <w:pStyle w:val="Author-eListParagraph"/>
        <w:numPr>
          <w:ilvl w:val="0"/>
          <w:numId w:val="906"/>
        </w:numPr>
        <w:jc w:val="both"/>
      </w:pPr>
      <w:r>
        <w:t>Les seuils sous menuiseries extérieures sont compris dans les éléments </w:t>
      </w:r>
      <w:hyperlink w:anchor="410" w:history="1">
        <w:r>
          <w:rPr>
            <w:color w:val="0000EE"/>
          </w:rPr>
          <w:t>41.71 Seuils</w:t>
        </w:r>
      </w:hyperlink>
      <w:r>
        <w:t xml:space="preserve"> et suivants en fonction du revêtement de façade ;</w:t>
      </w:r>
    </w:p>
    <w:p w14:paraId="1405B278" w14:textId="77777777" w:rsidR="00772179" w:rsidRDefault="00000000">
      <w:pPr>
        <w:pStyle w:val="Author-eListParagraph"/>
        <w:numPr>
          <w:ilvl w:val="0"/>
          <w:numId w:val="906"/>
        </w:numPr>
        <w:jc w:val="both"/>
      </w:pPr>
      <w:r>
        <w:t xml:space="preserve">Les joints souples éventuels entre le revêtement de façade et les menuiseries extérieures sont compris dans les éléments </w:t>
      </w:r>
      <w:hyperlink w:anchor="64" w:history="1">
        <w:r>
          <w:rPr>
            <w:color w:val="0000EE"/>
          </w:rPr>
          <w:t>41.1 Fenêtres et portes-fenêtres</w:t>
        </w:r>
      </w:hyperlink>
      <w:r>
        <w:t xml:space="preserve">, </w:t>
      </w:r>
      <w:hyperlink w:anchor="904" w:history="1">
        <w:r>
          <w:rPr>
            <w:color w:val="0000EE"/>
          </w:rPr>
          <w:t>41.2 Portes d'entrée</w:t>
        </w:r>
      </w:hyperlink>
      <w:r>
        <w:t xml:space="preserve">, </w:t>
      </w:r>
      <w:hyperlink w:anchor="1005" w:history="1">
        <w:r>
          <w:rPr>
            <w:color w:val="0000EE"/>
          </w:rPr>
          <w:t>41.3 Portes de garage</w:t>
        </w:r>
      </w:hyperlink>
      <w:r>
        <w:t xml:space="preserve">, </w:t>
      </w:r>
      <w:hyperlink w:anchor="916" w:history="1">
        <w:r>
          <w:rPr>
            <w:color w:val="0000EE"/>
          </w:rPr>
          <w:t>41.4 Systèmes de façades</w:t>
        </w:r>
      </w:hyperlink>
      <w:r>
        <w:t xml:space="preserve"> ;</w:t>
      </w:r>
    </w:p>
    <w:p w14:paraId="399C50FA" w14:textId="77777777" w:rsidR="00772179" w:rsidRDefault="00000000">
      <w:pPr>
        <w:pStyle w:val="Author-eListParagraph"/>
        <w:numPr>
          <w:ilvl w:val="0"/>
          <w:numId w:val="906"/>
        </w:numPr>
        <w:jc w:val="both"/>
      </w:pPr>
      <w:r>
        <w:t>Tous les nettoyages en vue de la réception provisoire des travaux ;</w:t>
      </w:r>
    </w:p>
    <w:p w14:paraId="3CDB672E" w14:textId="77777777" w:rsidR="00772179" w:rsidRDefault="00000000">
      <w:pPr>
        <w:pStyle w:val="Author-eListParagraph"/>
        <w:numPr>
          <w:ilvl w:val="0"/>
          <w:numId w:val="906"/>
        </w:numPr>
        <w:jc w:val="both"/>
      </w:pPr>
      <w:r>
        <w:t>L'évacuation et la gestion des déchets générés par les travaux de pose des revêtements font l'objet d'un ou plusieurs articles spécifiques, détaillés en section 07 Déchets, matériaux et éléments réemployables.</w:t>
      </w:r>
    </w:p>
    <w:p w14:paraId="481219D1" w14:textId="77777777" w:rsidR="00772179" w:rsidRDefault="00000000">
      <w:pPr>
        <w:pStyle w:val="pheading"/>
      </w:pPr>
      <w:r>
        <w:t>MATÉRIAUX</w:t>
      </w:r>
    </w:p>
    <w:p w14:paraId="7975330D" w14:textId="77777777" w:rsidR="00772179" w:rsidRDefault="00000000">
      <w:pPr>
        <w:jc w:val="both"/>
      </w:pPr>
      <w:r>
        <w:t>Réaction au feu : conforme à l'[AR 1994-07-07] et son annexe 5/1.</w:t>
      </w:r>
    </w:p>
    <w:p w14:paraId="2034688B" w14:textId="77777777" w:rsidR="00772179" w:rsidRDefault="00000000">
      <w:pPr>
        <w:jc w:val="both"/>
      </w:pPr>
      <w:r>
        <w:t>Pour les façades en revêtement en bois : voir exigences complémentaires du [Règlement délégué(UE) 2024/1399].</w:t>
      </w:r>
    </w:p>
    <w:p w14:paraId="159B68DA" w14:textId="77777777" w:rsidR="00772179" w:rsidRDefault="00000000">
      <w:pPr>
        <w:jc w:val="both"/>
      </w:pPr>
      <w:r>
        <w:t>Les documents joints à la fiche technique des matériaux mis en œuvre comprennent l’ensemble des informations précisant les caractéristiques environnementales des produits proposés tels que :</w:t>
      </w:r>
    </w:p>
    <w:p w14:paraId="06122A32" w14:textId="77777777" w:rsidR="00772179" w:rsidRDefault="00000000">
      <w:pPr>
        <w:pStyle w:val="Author-eListParagraph"/>
        <w:numPr>
          <w:ilvl w:val="0"/>
          <w:numId w:val="907"/>
        </w:numPr>
        <w:jc w:val="both"/>
      </w:pPr>
      <w:r>
        <w:t>EPD Déclaration environnementale de produit ;</w:t>
      </w:r>
    </w:p>
    <w:p w14:paraId="01E98015" w14:textId="77777777" w:rsidR="00772179" w:rsidRDefault="00000000">
      <w:pPr>
        <w:pStyle w:val="Author-eListParagraph"/>
        <w:numPr>
          <w:ilvl w:val="0"/>
          <w:numId w:val="907"/>
        </w:numPr>
        <w:jc w:val="both"/>
      </w:pPr>
      <w:r>
        <w:t>La filière de recyclage des déchets produits lors de la fabrication et lors de la mise en œuvre ;</w:t>
      </w:r>
    </w:p>
    <w:p w14:paraId="75E356C7" w14:textId="77777777" w:rsidR="00772179" w:rsidRDefault="00000000">
      <w:pPr>
        <w:pStyle w:val="Author-eListParagraph"/>
        <w:numPr>
          <w:ilvl w:val="0"/>
          <w:numId w:val="907"/>
        </w:numPr>
        <w:jc w:val="both"/>
      </w:pPr>
      <w:r>
        <w:t>Le pourcentage entrant dans la fabrication du produit en matériaux biosourcés et/ou en matériaux recyclés ;</w:t>
      </w:r>
    </w:p>
    <w:p w14:paraId="2D85167E" w14:textId="77777777" w:rsidR="00772179" w:rsidRDefault="00000000">
      <w:pPr>
        <w:pStyle w:val="Author-eListParagraph"/>
        <w:numPr>
          <w:ilvl w:val="0"/>
          <w:numId w:val="907"/>
        </w:numPr>
        <w:jc w:val="both"/>
      </w:pPr>
      <w:r>
        <w:t>La démontabilité et les possibilités de remplacement d’éléments abîmés en cours d’utilisation du bâtiment ;</w:t>
      </w:r>
    </w:p>
    <w:p w14:paraId="65BCB677" w14:textId="77777777" w:rsidR="00772179" w:rsidRDefault="00000000">
      <w:pPr>
        <w:pStyle w:val="Author-eListParagraph"/>
        <w:numPr>
          <w:ilvl w:val="0"/>
          <w:numId w:val="907"/>
        </w:numPr>
        <w:jc w:val="both"/>
      </w:pPr>
      <w:r>
        <w:t>Le caractère recyclable du matériau après démontage et l’existence d’une filière de récupération du produit en fin de vie ;</w:t>
      </w:r>
    </w:p>
    <w:p w14:paraId="13B0D324" w14:textId="77777777" w:rsidR="00772179" w:rsidRDefault="00000000">
      <w:pPr>
        <w:pStyle w:val="Author-eListParagraph"/>
        <w:numPr>
          <w:ilvl w:val="0"/>
          <w:numId w:val="907"/>
        </w:numPr>
        <w:jc w:val="both"/>
      </w:pPr>
      <w:r>
        <w:t>La provenance des matériaux composant le produit.</w:t>
      </w:r>
    </w:p>
    <w:p w14:paraId="01A0D2BD" w14:textId="77777777" w:rsidR="00772179" w:rsidRDefault="00000000">
      <w:pPr>
        <w:pStyle w:val="pheading"/>
      </w:pPr>
      <w:r>
        <w:t>EXÉCUTION / MISE EN ŒUVRE</w:t>
      </w:r>
    </w:p>
    <w:p w14:paraId="11C15B27" w14:textId="77777777" w:rsidR="00772179" w:rsidRDefault="00000000">
      <w:r>
        <w:t>Réaction au feu : conforme à l'[AR 1994-07-07] et son annexe 5/1.</w:t>
      </w:r>
      <w:r>
        <w:br/>
        <w:t>Pour les façades en revêtement en bois : voir exigences complémentaires du [Règlement délégué(UE) 2024/1399].</w:t>
      </w:r>
      <w:r>
        <w:br/>
        <w:t>La mise en œuvre par fixation mécanique permet le démontage non destructif des revêtements.</w:t>
      </w:r>
    </w:p>
    <w:p w14:paraId="41D2AD61" w14:textId="77777777" w:rsidR="00772179" w:rsidRDefault="00000000">
      <w:pPr>
        <w:jc w:val="both"/>
      </w:pPr>
      <w:r>
        <w:t>Les travaux suivants sont réalisés conformément à la documentation technique du produit :</w:t>
      </w:r>
    </w:p>
    <w:p w14:paraId="4A5228C8" w14:textId="77777777" w:rsidR="00772179" w:rsidRDefault="00000000">
      <w:pPr>
        <w:pStyle w:val="Author-eListParagraph"/>
        <w:numPr>
          <w:ilvl w:val="0"/>
          <w:numId w:val="908"/>
        </w:numPr>
      </w:pPr>
      <w:r>
        <w:t>Découpe des matériaux ;</w:t>
      </w:r>
    </w:p>
    <w:p w14:paraId="4CF36E33" w14:textId="77777777" w:rsidR="00772179" w:rsidRDefault="00000000">
      <w:pPr>
        <w:pStyle w:val="Author-eListParagraph"/>
        <w:numPr>
          <w:ilvl w:val="0"/>
          <w:numId w:val="908"/>
        </w:numPr>
      </w:pPr>
      <w:r>
        <w:lastRenderedPageBreak/>
        <w:t>Traitement des bords coupés ;</w:t>
      </w:r>
    </w:p>
    <w:p w14:paraId="31D789CC" w14:textId="77777777" w:rsidR="00772179" w:rsidRDefault="00000000">
      <w:pPr>
        <w:pStyle w:val="Author-eListParagraph"/>
        <w:numPr>
          <w:ilvl w:val="0"/>
          <w:numId w:val="908"/>
        </w:numPr>
      </w:pPr>
      <w:r>
        <w:t xml:space="preserve">Description du traitement des retouches éventuelles soumise pour approbation au maître de l’ouvrage : </w:t>
      </w:r>
      <w:r>
        <w:rPr>
          <w:rStyle w:val="optioncarChar"/>
        </w:rPr>
        <w:t>***</w:t>
      </w:r>
      <w:r>
        <w:t>. </w:t>
      </w:r>
    </w:p>
    <w:p w14:paraId="34CE26D6" w14:textId="77777777" w:rsidR="00772179" w:rsidRDefault="00000000">
      <w:pPr>
        <w:jc w:val="both"/>
      </w:pPr>
      <w:r>
        <w:t>Protection des revêtements de façades :</w:t>
      </w:r>
    </w:p>
    <w:p w14:paraId="63B49D68" w14:textId="77777777" w:rsidR="00772179" w:rsidRDefault="00000000">
      <w:pPr>
        <w:pStyle w:val="Author-eListParagraph"/>
        <w:numPr>
          <w:ilvl w:val="0"/>
          <w:numId w:val="909"/>
        </w:numPr>
      </w:pPr>
      <w:r>
        <w:t>Les matériaux sont livrés protégés de tout risque de dégâts et stockés à l’abri ;</w:t>
      </w:r>
    </w:p>
    <w:p w14:paraId="23078B6E" w14:textId="77777777" w:rsidR="00772179" w:rsidRDefault="00000000">
      <w:pPr>
        <w:pStyle w:val="Author-eListParagraph"/>
        <w:numPr>
          <w:ilvl w:val="0"/>
          <w:numId w:val="909"/>
        </w:numPr>
      </w:pPr>
      <w:r>
        <w:t>Après pose, les revêtements sont protégés dans les zones de circulation de chantier.</w:t>
      </w:r>
    </w:p>
    <w:p w14:paraId="737CBCF8" w14:textId="77777777" w:rsidR="00772179" w:rsidRDefault="00000000">
      <w:pPr>
        <w:jc w:val="both"/>
      </w:pPr>
      <w:r>
        <w:t>Equipements techniques intégrés dans la façade :</w:t>
      </w:r>
    </w:p>
    <w:p w14:paraId="136A7746" w14:textId="77777777" w:rsidR="00772179" w:rsidRDefault="00000000">
      <w:pPr>
        <w:pStyle w:val="Author-eListParagraph"/>
        <w:numPr>
          <w:ilvl w:val="0"/>
          <w:numId w:val="910"/>
        </w:numPr>
        <w:jc w:val="both"/>
      </w:pPr>
      <w:r>
        <w:t>Fixation sur le gros œuvre avec interposition d’un matériau de coupure thermique, adaptée au poids et aux dimensions de l’équipement technique concerné ;</w:t>
      </w:r>
    </w:p>
    <w:p w14:paraId="766E7199" w14:textId="77777777" w:rsidR="00772179" w:rsidRDefault="00000000">
      <w:pPr>
        <w:pStyle w:val="Author-eListParagraph"/>
        <w:numPr>
          <w:ilvl w:val="0"/>
          <w:numId w:val="910"/>
        </w:numPr>
        <w:jc w:val="both"/>
      </w:pPr>
      <w:r>
        <w:t>La finition périphérique au droit du percement (étanchéité, cadre, …).</w:t>
      </w:r>
    </w:p>
    <w:p w14:paraId="0608EB21" w14:textId="77777777" w:rsidR="00772179" w:rsidRDefault="00000000">
      <w:pPr>
        <w:pStyle w:val="pheading"/>
      </w:pPr>
      <w:r>
        <w:t>DOCUMENTS DE RÉFÉRENCE</w:t>
      </w:r>
    </w:p>
    <w:p w14:paraId="1F30FDDF" w14:textId="77777777" w:rsidR="00772179" w:rsidRDefault="00000000">
      <w:pPr>
        <w:pStyle w:val="pheading"/>
      </w:pPr>
      <w:r>
        <w:t>- Matériau</w:t>
      </w:r>
    </w:p>
    <w:p w14:paraId="35882649" w14:textId="77777777" w:rsidR="00772179" w:rsidRDefault="00000000">
      <w:r>
        <w:t>Pour les revêtements de façades en bois :</w:t>
      </w:r>
    </w:p>
    <w:p w14:paraId="433182EE" w14:textId="77777777" w:rsidR="00772179" w:rsidRDefault="00000000">
      <w:r>
        <w:t>[Règlement délégué(UE) 2024/1399, Règlement de la Commission relatif aux conditions pour la classification, sans essais, des lambris et revêtements muraux extérieurs en bois massif en ce qui concerne leur réaction au feu et modifiant la décision 2006/213/CE ]</w:t>
      </w:r>
    </w:p>
    <w:p w14:paraId="5D78B814" w14:textId="77777777" w:rsidR="00772179" w:rsidRDefault="00000000">
      <w:pPr>
        <w:pStyle w:val="pheading"/>
      </w:pPr>
      <w:r>
        <w:t>- Exécution</w:t>
      </w:r>
    </w:p>
    <w:p w14:paraId="7B3ACC60" w14:textId="77777777" w:rsidR="00772179" w:rsidRDefault="00000000">
      <w:r>
        <w:t>[AR 1994-07-07, Arrêté royal fixant les normes de base en matière de prévention contre l'incendie et l'explosion, auxquelles les bâtiments nouveaux doivent satisfaire]</w:t>
      </w:r>
    </w:p>
    <w:p w14:paraId="19BF7B69" w14:textId="77777777" w:rsidR="00772179" w:rsidRDefault="00000000">
      <w:pPr>
        <w:pStyle w:val="Author-eSectionHeading4Numberless"/>
      </w:pPr>
      <w:bookmarkStart w:id="722" w:name="_Toc220490411"/>
      <w:r>
        <w:t>43.21 Revêtements de façade rigides fixés mécaniquement - tuiles CCTB 01.11</w:t>
      </w:r>
      <w:bookmarkEnd w:id="722"/>
    </w:p>
    <w:p w14:paraId="61EE1A6C" w14:textId="77777777" w:rsidR="00772179" w:rsidRDefault="00000000">
      <w:pPr>
        <w:pStyle w:val="pheading"/>
      </w:pPr>
      <w:r>
        <w:t>DESCRIPTION</w:t>
      </w:r>
    </w:p>
    <w:p w14:paraId="067892AE" w14:textId="77777777" w:rsidR="00772179" w:rsidRDefault="00000000">
      <w:pPr>
        <w:pStyle w:val="pheading"/>
      </w:pPr>
      <w:r>
        <w:t>- Définition / Comprend</w:t>
      </w:r>
    </w:p>
    <w:p w14:paraId="5A9FD0D6" w14:textId="77777777" w:rsidR="00772179" w:rsidRDefault="00000000">
      <w:r>
        <w:t xml:space="preserve">Il s'agit de toutes les fournitures et de tous les travaux en vue de la réalisation des revêtements de façade en tuiles, afin d'obtenir un ouvrage bien soigné et propre. Y compris le lattage en bois (tel qu'il est décrit sous la rubrique </w:t>
      </w:r>
      <w:hyperlink w:anchor="991" w:history="1">
        <w:r>
          <w:rPr>
            <w:color w:val="0000EE"/>
          </w:rPr>
          <w:t>43.11 Profilés de support continu du revêtement de façade</w:t>
        </w:r>
      </w:hyperlink>
      <w:r>
        <w:t xml:space="preserve"> profilé de support continu), les tuiles et les accessoires spéciaux, les éléments de fixations, les noues, brisis, etc. en vue d'une jonction soignée aux autres matériaux de façade.</w:t>
      </w:r>
    </w:p>
    <w:p w14:paraId="401B815A" w14:textId="77777777" w:rsidR="00772179" w:rsidRDefault="00000000">
      <w:pPr>
        <w:pStyle w:val="pheading"/>
      </w:pPr>
      <w:r>
        <w:t>MATÉRIAUX</w:t>
      </w:r>
    </w:p>
    <w:p w14:paraId="7A3E2AD7" w14:textId="77777777" w:rsidR="00772179" w:rsidRDefault="00000000">
      <w:pPr>
        <w:pStyle w:val="Author-eListParagraph"/>
        <w:numPr>
          <w:ilvl w:val="0"/>
          <w:numId w:val="911"/>
        </w:numPr>
      </w:pPr>
      <w:r>
        <w:t xml:space="preserve"> Les tuiles doivent répondre aux exigences des [STS 34 série] et aux prescriptions du chapitre 32 Etanchéisation et isolation. Les matériaux décrits dans le cahier spécial des charges sont de qualité, de couleur, d'aspect et de provenance identiques à ceux des matériaux de la toiture attenante. </w:t>
      </w:r>
    </w:p>
    <w:p w14:paraId="3DFE6F72" w14:textId="77777777" w:rsidR="00772179" w:rsidRDefault="00000000">
      <w:pPr>
        <w:pStyle w:val="Author-eListParagraph"/>
        <w:numPr>
          <w:ilvl w:val="0"/>
          <w:numId w:val="911"/>
        </w:numPr>
      </w:pPr>
      <w:r>
        <w:t xml:space="preserve">Avant la pose, l'entrepreneur remet les échantillons nécessaires à l'auteur de projet. </w:t>
      </w:r>
    </w:p>
    <w:p w14:paraId="65062D45" w14:textId="77777777" w:rsidR="00772179" w:rsidRDefault="00000000">
      <w:pPr>
        <w:pStyle w:val="pheading"/>
      </w:pPr>
      <w:r>
        <w:t>EXÉCUTION / MISE EN ŒUVRE</w:t>
      </w:r>
    </w:p>
    <w:p w14:paraId="3903AD7F" w14:textId="77777777" w:rsidR="00772179" w:rsidRDefault="00000000">
      <w:pPr>
        <w:pStyle w:val="Author-eListParagraph"/>
        <w:numPr>
          <w:ilvl w:val="0"/>
          <w:numId w:val="912"/>
        </w:numPr>
      </w:pPr>
      <w:r>
        <w:t>Les travaux sont exécutés conformément aux prescriptions de la norme [NBN B 44-001].</w:t>
      </w:r>
    </w:p>
    <w:p w14:paraId="5D23BD86" w14:textId="77777777" w:rsidR="00772179" w:rsidRDefault="00000000">
      <w:pPr>
        <w:pStyle w:val="Author-eListParagraph"/>
        <w:numPr>
          <w:ilvl w:val="0"/>
          <w:numId w:val="912"/>
        </w:numPr>
      </w:pPr>
      <w:r>
        <w:t>Le revêtement de façade est mis en œuvre conformément au mode de pose des tuiles, entre autres en ce qui concerne le choix des moyens de fixation, conformément aux prescriptions du fabricant.</w:t>
      </w:r>
    </w:p>
    <w:p w14:paraId="3F2A9618" w14:textId="77777777" w:rsidR="00772179" w:rsidRDefault="00000000">
      <w:pPr>
        <w:pStyle w:val="Author-eListParagraph"/>
        <w:numPr>
          <w:ilvl w:val="0"/>
          <w:numId w:val="912"/>
        </w:numPr>
      </w:pPr>
      <w:r>
        <w:t>Avant d'appliquer le revêtement de façade, l'entrepreneur vérifie si la construction porteuse concorde avec les plans et les prescriptions et s'il est possible d'assurer ainsi une exécution parfaite des travaux. Dans la négative, il en informe en temps utile l'auteur de projet, afin que ce dernier puisse prendre les mesures qui s'imposent.</w:t>
      </w:r>
    </w:p>
    <w:p w14:paraId="5FCCFD72" w14:textId="77777777" w:rsidR="00772179" w:rsidRDefault="00000000">
      <w:pPr>
        <w:pStyle w:val="Author-eListParagraph"/>
        <w:numPr>
          <w:ilvl w:val="0"/>
          <w:numId w:val="912"/>
        </w:numPr>
      </w:pPr>
      <w:r>
        <w:lastRenderedPageBreak/>
        <w:t>En raison des risques d'infiltration d'eau, un raccord étanche (par ex. une bavette en plomb) doit toujours être prévu au droit des percements de façade (portes, fenêtres, grilles, …). Toutes les dispositions sont prises pour évacuer l'eau d'infiltration vers l'extérieur.</w:t>
      </w:r>
    </w:p>
    <w:p w14:paraId="5623D960" w14:textId="77777777" w:rsidR="00772179" w:rsidRDefault="00000000">
      <w:pPr>
        <w:pStyle w:val="Author-eListParagraph"/>
        <w:numPr>
          <w:ilvl w:val="0"/>
          <w:numId w:val="912"/>
        </w:numPr>
      </w:pPr>
      <w:r>
        <w:t>L'exécution de ce poste est coordonnée avec l'exécution des autres ouvrages de façade.</w:t>
      </w:r>
    </w:p>
    <w:p w14:paraId="38572559" w14:textId="77777777" w:rsidR="00772179" w:rsidRDefault="00000000">
      <w:pPr>
        <w:pStyle w:val="pheading"/>
      </w:pPr>
      <w:r>
        <w:t>DOCUMENTS DE RÉFÉRENCE</w:t>
      </w:r>
    </w:p>
    <w:p w14:paraId="02408946" w14:textId="77777777" w:rsidR="00772179" w:rsidRDefault="00000000">
      <w:pPr>
        <w:pStyle w:val="pheading"/>
      </w:pPr>
      <w:r>
        <w:t>- Matériau</w:t>
      </w:r>
    </w:p>
    <w:p w14:paraId="00DEEFEA" w14:textId="77777777" w:rsidR="00772179" w:rsidRDefault="00000000">
      <w:r>
        <w:t> [STS 34 série, Couverture des bâtiments] - Partie 1 (+ add. 1982 &amp; 1984)</w:t>
      </w:r>
      <w:r>
        <w:br/>
        <w:t> [NBN B 44-001, Couvertures en ardoises en ciment renforcé par des fibres minérales naturelles]</w:t>
      </w:r>
    </w:p>
    <w:p w14:paraId="03A6A14E" w14:textId="77777777" w:rsidR="00772179" w:rsidRDefault="00000000">
      <w:pPr>
        <w:pStyle w:val="Author-eSectionHeading5Numberless"/>
      </w:pPr>
      <w:bookmarkStart w:id="723" w:name="_Toc220490412"/>
      <w:r>
        <w:t>43.21.1 Revêtements de façade rigides fixés mécaniquement - tuiles en terre cuite CCTB 01.02</w:t>
      </w:r>
      <w:bookmarkEnd w:id="723"/>
    </w:p>
    <w:p w14:paraId="2A86E7C7" w14:textId="77777777" w:rsidR="00772179" w:rsidRDefault="00000000">
      <w:pPr>
        <w:pStyle w:val="Author-eSectionHeading6Numberless"/>
      </w:pPr>
      <w:bookmarkStart w:id="724" w:name="_Toc220490413"/>
      <w:r>
        <w:t>43.21.1a Revêtements de façade rigides fixés mécaniquement - tuiles en terre cuite CCTB 01.11</w:t>
      </w:r>
      <w:bookmarkEnd w:id="724"/>
    </w:p>
    <w:p w14:paraId="147677B9" w14:textId="77777777" w:rsidR="00772179" w:rsidRDefault="00000000">
      <w:pPr>
        <w:pStyle w:val="pheading"/>
      </w:pPr>
      <w:r>
        <w:t>DESCRIPTION</w:t>
      </w:r>
    </w:p>
    <w:p w14:paraId="1FDBA344" w14:textId="77777777" w:rsidR="00772179" w:rsidRDefault="00000000">
      <w:pPr>
        <w:pStyle w:val="pheading"/>
      </w:pPr>
      <w:r>
        <w:t>- Définition / Comprend</w:t>
      </w:r>
    </w:p>
    <w:p w14:paraId="48131DE0" w14:textId="77777777" w:rsidR="00772179" w:rsidRDefault="00000000">
      <w:r>
        <w:t>Conformément aux art. 34.11 Couvertures en tuiles et 34.11.1d Tuiles plates en terre cuite.</w:t>
      </w:r>
    </w:p>
    <w:p w14:paraId="206E00BB" w14:textId="77777777" w:rsidR="00772179" w:rsidRDefault="00000000">
      <w:pPr>
        <w:pStyle w:val="pheading"/>
      </w:pPr>
      <w:r>
        <w:t>MESURAGE</w:t>
      </w:r>
    </w:p>
    <w:p w14:paraId="371EBE0E" w14:textId="77777777" w:rsidR="00772179" w:rsidRDefault="00000000">
      <w:pPr>
        <w:pStyle w:val="pheading"/>
      </w:pPr>
      <w:r>
        <w:t>- unité de mesure:</w:t>
      </w:r>
    </w:p>
    <w:p w14:paraId="316DFACD" w14:textId="77777777" w:rsidR="00772179" w:rsidRDefault="00000000">
      <w:r>
        <w:rPr>
          <w:rStyle w:val="optioncarChar"/>
        </w:rPr>
        <w:t xml:space="preserve">m² </w:t>
      </w:r>
      <w:r>
        <w:t>(par défaut)</w:t>
      </w:r>
      <w:r>
        <w:rPr>
          <w:rStyle w:val="optioncarChar"/>
        </w:rPr>
        <w:t xml:space="preserve"> / m / pc</w:t>
      </w:r>
    </w:p>
    <w:p w14:paraId="633B4A89" w14:textId="77777777" w:rsidR="00772179" w:rsidRDefault="00000000">
      <w:r>
        <w:t>(</w:t>
      </w:r>
      <w:r>
        <w:rPr>
          <w:b/>
        </w:rPr>
        <w:t>soit par défaut)</w:t>
      </w:r>
    </w:p>
    <w:p w14:paraId="74A74F38" w14:textId="77777777" w:rsidR="00772179" w:rsidRDefault="00000000">
      <w:r>
        <w:rPr>
          <w:rStyle w:val="soitChar"/>
        </w:rPr>
        <w:t>1. m²</w:t>
      </w:r>
    </w:p>
    <w:p w14:paraId="5197154C" w14:textId="77777777" w:rsidR="00772179" w:rsidRDefault="00000000">
      <w:r>
        <w:rPr>
          <w:b/>
        </w:rPr>
        <w:t>(soit)</w:t>
      </w:r>
    </w:p>
    <w:p w14:paraId="2C18EB7D" w14:textId="77777777" w:rsidR="00772179" w:rsidRDefault="00000000">
      <w:r>
        <w:rPr>
          <w:rStyle w:val="soitChar"/>
        </w:rPr>
        <w:t>2. m</w:t>
      </w:r>
    </w:p>
    <w:p w14:paraId="530EDCF2" w14:textId="77777777" w:rsidR="00772179" w:rsidRDefault="00000000">
      <w:r>
        <w:rPr>
          <w:b/>
        </w:rPr>
        <w:t>(soit)</w:t>
      </w:r>
    </w:p>
    <w:p w14:paraId="7C3F1524" w14:textId="77777777" w:rsidR="00772179" w:rsidRDefault="00000000">
      <w:r>
        <w:rPr>
          <w:rStyle w:val="soitChar"/>
        </w:rPr>
        <w:t>3. pc</w:t>
      </w:r>
    </w:p>
    <w:p w14:paraId="1B1AEF21" w14:textId="77777777" w:rsidR="00772179" w:rsidRDefault="00000000">
      <w:pPr>
        <w:pStyle w:val="pheading"/>
      </w:pPr>
      <w:r>
        <w:t>- code de mesurage:</w:t>
      </w:r>
    </w:p>
    <w:p w14:paraId="735491F0" w14:textId="77777777" w:rsidR="00772179" w:rsidRDefault="00000000">
      <w:r>
        <w:rPr>
          <w:rStyle w:val="optioncarChar"/>
        </w:rPr>
        <w:t xml:space="preserve">nette surface </w:t>
      </w:r>
      <w:r>
        <w:t xml:space="preserve">(par défaut) </w:t>
      </w:r>
      <w:r>
        <w:rPr>
          <w:rStyle w:val="optioncarChar"/>
        </w:rPr>
        <w:t>/ nette longueur / quantité nette</w:t>
      </w:r>
    </w:p>
    <w:p w14:paraId="0E6F92EF" w14:textId="77777777" w:rsidR="00772179" w:rsidRDefault="00000000">
      <w:r>
        <w:rPr>
          <w:b/>
        </w:rPr>
        <w:t>(soit par défaut)</w:t>
      </w:r>
      <w:r>
        <w:t xml:space="preserve"> : </w:t>
      </w:r>
      <w:r>
        <w:rPr>
          <w:rStyle w:val="soitChar"/>
          <w:u w:val="single"/>
        </w:rPr>
        <w:t>surface nette</w:t>
      </w:r>
      <w:r>
        <w:rPr>
          <w:rStyle w:val="soitChar"/>
        </w:rPr>
        <w:t>, mesurée dans le plan de la face inférieure du revêtement. S'il y a une sous-toiture ou un autre support fermé, celui-ci est considéré comme la face inférieure du revêtement.</w:t>
      </w:r>
      <w:r>
        <w:br/>
      </w:r>
      <w:r>
        <w:rPr>
          <w:b/>
        </w:rPr>
        <w:t>(soit) </w:t>
      </w:r>
      <w:r>
        <w:t xml:space="preserve">: </w:t>
      </w:r>
      <w:r>
        <w:rPr>
          <w:rStyle w:val="soitChar"/>
          <w:u w:val="single"/>
        </w:rPr>
        <w:t>longueur nette</w:t>
      </w:r>
      <w:r>
        <w:rPr>
          <w:rStyle w:val="soitChar"/>
        </w:rPr>
        <w:t xml:space="preserve"> des finitions, rencontres, jonctions telles que : angles, noues, brisis, jonctions avec d'autres éléments de façade, rives, …</w:t>
      </w:r>
      <w:r>
        <w:br/>
      </w:r>
      <w:r>
        <w:rPr>
          <w:b/>
        </w:rPr>
        <w:t>(soit) </w:t>
      </w:r>
      <w:r>
        <w:t xml:space="preserve">: </w:t>
      </w:r>
      <w:r>
        <w:rPr>
          <w:rStyle w:val="soitChar"/>
          <w:u w:val="single"/>
        </w:rPr>
        <w:t>quantité nette</w:t>
      </w:r>
    </w:p>
    <w:p w14:paraId="6964A048" w14:textId="77777777" w:rsidR="00772179" w:rsidRDefault="00000000">
      <w:pPr>
        <w:pStyle w:val="pheading"/>
      </w:pPr>
      <w:r>
        <w:t>- nature du marché:</w:t>
      </w:r>
    </w:p>
    <w:p w14:paraId="5465D29B" w14:textId="77777777" w:rsidR="00772179" w:rsidRDefault="00000000">
      <w:r>
        <w:t>QF</w:t>
      </w:r>
    </w:p>
    <w:p w14:paraId="614D6617" w14:textId="77777777" w:rsidR="00772179" w:rsidRDefault="00000000">
      <w:pPr>
        <w:pStyle w:val="Author-eSectionHeading5Numberless"/>
      </w:pPr>
      <w:bookmarkStart w:id="725" w:name="_Toc220490414"/>
      <w:r>
        <w:t>43.21.2 Revêtements de façade rigides fixés mécaniquement - tuiles en béton CCTB 01.02</w:t>
      </w:r>
      <w:bookmarkEnd w:id="725"/>
    </w:p>
    <w:p w14:paraId="71525BC4" w14:textId="77777777" w:rsidR="00772179" w:rsidRDefault="00000000">
      <w:pPr>
        <w:pStyle w:val="Author-eSectionHeading6Numberless"/>
      </w:pPr>
      <w:bookmarkStart w:id="726" w:name="_Toc220490415"/>
      <w:r>
        <w:t>43.21.2a Revêtements de façade rigides fixés mécaniquement - tuiles en béton</w:t>
      </w:r>
      <w:bookmarkEnd w:id="726"/>
    </w:p>
    <w:p w14:paraId="7F975F1E" w14:textId="77777777" w:rsidR="00772179" w:rsidRDefault="00000000">
      <w:pPr>
        <w:pStyle w:val="Author-eSectionHeading4Numberless"/>
      </w:pPr>
      <w:bookmarkStart w:id="727" w:name="_Toc220490416"/>
      <w:r>
        <w:t>43.22 Revêtements de façade rigides fixés mécaniquement - ardoises CCTB 01.02</w:t>
      </w:r>
      <w:bookmarkEnd w:id="727"/>
    </w:p>
    <w:p w14:paraId="6D28F7E8" w14:textId="77777777" w:rsidR="00772179" w:rsidRDefault="00000000">
      <w:pPr>
        <w:pStyle w:val="Author-eSectionHeading5Numberless"/>
      </w:pPr>
      <w:bookmarkStart w:id="728" w:name="_Toc220490417"/>
      <w:r>
        <w:lastRenderedPageBreak/>
        <w:t>43.22.1 Revêtements de façade rigides fixés mécaniquement - ardoises en pierre naturelle CCTB 01.02</w:t>
      </w:r>
      <w:bookmarkEnd w:id="728"/>
    </w:p>
    <w:p w14:paraId="57BB82C7" w14:textId="77777777" w:rsidR="00772179" w:rsidRDefault="00000000">
      <w:pPr>
        <w:pStyle w:val="Author-eSectionHeading6Numberless"/>
      </w:pPr>
      <w:bookmarkStart w:id="729" w:name="_Toc220490418"/>
      <w:r>
        <w:t>43.22.1a Revêtements de façade rigides fixés mécaniquement - ardoises en pierre naturelle CCTB 01.11</w:t>
      </w:r>
      <w:bookmarkEnd w:id="729"/>
    </w:p>
    <w:p w14:paraId="4F95041A" w14:textId="77777777" w:rsidR="00772179" w:rsidRDefault="00000000">
      <w:pPr>
        <w:pStyle w:val="pheading"/>
      </w:pPr>
      <w:r>
        <w:t>DESCRIPTION</w:t>
      </w:r>
    </w:p>
    <w:p w14:paraId="22CB444C" w14:textId="77777777" w:rsidR="00772179" w:rsidRDefault="00000000">
      <w:pPr>
        <w:pStyle w:val="pheading"/>
      </w:pPr>
      <w:r>
        <w:t>- Définition / Comprend</w:t>
      </w:r>
    </w:p>
    <w:p w14:paraId="6B07CBD5" w14:textId="77777777" w:rsidR="00772179" w:rsidRDefault="00000000">
      <w:pPr>
        <w:jc w:val="both"/>
      </w:pPr>
      <w:r>
        <w:t>Il s’agit de la fourniture et la pose d’ardoises en pierre naturelle fixées mécaniquement à une structure secondaire en profilés appliqués en façade en vue de la réalisation d’un ouvrage soigné et propre.</w:t>
      </w:r>
    </w:p>
    <w:p w14:paraId="25239B5F" w14:textId="77777777" w:rsidR="00772179" w:rsidRDefault="00000000">
      <w:pPr>
        <w:jc w:val="both"/>
      </w:pPr>
      <w:r>
        <w:t>La portée des travaux est décrite au </w:t>
      </w:r>
      <w:hyperlink w:anchor="984" w:history="1">
        <w:r>
          <w:rPr>
            <w:color w:val="0000EE"/>
          </w:rPr>
          <w:t>43.2 Revêtements de façade rigides fixés mécaniquement</w:t>
        </w:r>
      </w:hyperlink>
      <w:r>
        <w:t>.</w:t>
      </w:r>
    </w:p>
    <w:p w14:paraId="620C620D" w14:textId="77777777" w:rsidR="00772179" w:rsidRDefault="00000000">
      <w:pPr>
        <w:pStyle w:val="pheading"/>
      </w:pPr>
      <w:r>
        <w:t>MATÉRIAUX</w:t>
      </w:r>
    </w:p>
    <w:p w14:paraId="101A8510" w14:textId="77777777" w:rsidR="00772179" w:rsidRDefault="00000000">
      <w:pPr>
        <w:pStyle w:val="pheading"/>
      </w:pPr>
      <w:r>
        <w:t>- Caractéristiques générales</w:t>
      </w:r>
    </w:p>
    <w:p w14:paraId="646F5F59" w14:textId="77777777" w:rsidR="00772179" w:rsidRDefault="00000000">
      <w:pPr>
        <w:jc w:val="both"/>
      </w:pPr>
      <w:r>
        <w:rPr>
          <w:b/>
        </w:rPr>
        <w:t>Profilés</w:t>
      </w:r>
      <w:r>
        <w:t xml:space="preserve"> : </w:t>
      </w:r>
      <w:r>
        <w:rPr>
          <w:rStyle w:val="optioncarChar"/>
        </w:rPr>
        <w:t>en bois</w:t>
      </w:r>
      <w:r>
        <w:t xml:space="preserve"> (par défaut)</w:t>
      </w:r>
      <w:r>
        <w:rPr>
          <w:rStyle w:val="optioncarChar"/>
        </w:rPr>
        <w:t xml:space="preserve"> / métalliques</w:t>
      </w:r>
    </w:p>
    <w:p w14:paraId="1FA9BD70" w14:textId="77777777" w:rsidR="00772179" w:rsidRDefault="00000000">
      <w:pPr>
        <w:jc w:val="both"/>
      </w:pPr>
      <w:r>
        <w:rPr>
          <w:b/>
        </w:rPr>
        <w:t>(soit par défaut)</w:t>
      </w:r>
    </w:p>
    <w:p w14:paraId="4DD53EF0" w14:textId="77777777" w:rsidR="00772179" w:rsidRDefault="00000000">
      <w:pPr>
        <w:jc w:val="both"/>
      </w:pPr>
      <w:r>
        <w:rPr>
          <w:rStyle w:val="soitChar"/>
          <w:u w:val="single"/>
        </w:rPr>
        <w:t>Profilés en bois</w:t>
      </w:r>
      <w:r>
        <w:rPr>
          <w:rStyle w:val="soitChar"/>
        </w:rPr>
        <w:t> tels que décrits au </w:t>
      </w:r>
      <w:hyperlink w:anchor="985" w:history="1">
        <w:r>
          <w:rPr>
            <w:rStyle w:val="soitChar"/>
            <w:color w:val="0000EE"/>
          </w:rPr>
          <w:t>43.11.1 Profilés de support continu en bois du revêtement de façade</w:t>
        </w:r>
      </w:hyperlink>
      <w:r>
        <w:rPr>
          <w:rStyle w:val="soitChar"/>
        </w:rPr>
        <w:t>.</w:t>
      </w:r>
    </w:p>
    <w:p w14:paraId="08DC6172" w14:textId="77777777" w:rsidR="00772179" w:rsidRDefault="00000000">
      <w:pPr>
        <w:jc w:val="both"/>
      </w:pPr>
      <w:r>
        <w:rPr>
          <w:b/>
        </w:rPr>
        <w:t>(soit)</w:t>
      </w:r>
    </w:p>
    <w:p w14:paraId="0993073E" w14:textId="77777777" w:rsidR="00772179" w:rsidRDefault="00000000">
      <w:pPr>
        <w:jc w:val="both"/>
      </w:pPr>
      <w:r>
        <w:rPr>
          <w:rStyle w:val="soitChar"/>
          <w:u w:val="single"/>
        </w:rPr>
        <w:t>Profilés métallique</w:t>
      </w:r>
      <w:r>
        <w:rPr>
          <w:rStyle w:val="soitChar"/>
        </w:rPr>
        <w:t>s tels que décrits au </w:t>
      </w:r>
      <w:hyperlink w:anchor="993" w:history="1">
        <w:r>
          <w:rPr>
            <w:rStyle w:val="soitChar"/>
            <w:color w:val="0000EE"/>
          </w:rPr>
          <w:t>43.11.2 Profilés de support continu métallique du revêtement de façade</w:t>
        </w:r>
      </w:hyperlink>
      <w:r>
        <w:rPr>
          <w:rStyle w:val="soitChar"/>
        </w:rPr>
        <w:t>.</w:t>
      </w:r>
    </w:p>
    <w:p w14:paraId="68898B2C" w14:textId="77777777" w:rsidR="00772179" w:rsidRDefault="00000000">
      <w:pPr>
        <w:jc w:val="both"/>
      </w:pPr>
      <w:r>
        <w:rPr>
          <w:b/>
        </w:rPr>
        <w:t>Isolation</w:t>
      </w:r>
      <w:r>
        <w:t xml:space="preserve"> : </w:t>
      </w:r>
      <w:r>
        <w:rPr>
          <w:rStyle w:val="optioncarChar"/>
        </w:rPr>
        <w:t>oui</w:t>
      </w:r>
      <w:r>
        <w:t xml:space="preserve"> (par défaut)</w:t>
      </w:r>
      <w:r>
        <w:rPr>
          <w:rStyle w:val="optioncarChar"/>
        </w:rPr>
        <w:t xml:space="preserve"> / non</w:t>
      </w:r>
    </w:p>
    <w:p w14:paraId="7FACF2EB" w14:textId="77777777" w:rsidR="00772179" w:rsidRDefault="00000000">
      <w:pPr>
        <w:jc w:val="both"/>
      </w:pPr>
      <w:r>
        <w:rPr>
          <w:b/>
        </w:rPr>
        <w:t>(soit par défaut)</w:t>
      </w:r>
    </w:p>
    <w:p w14:paraId="28F01CB4" w14:textId="77777777" w:rsidR="00772179" w:rsidRDefault="00000000">
      <w:pPr>
        <w:jc w:val="both"/>
      </w:pPr>
      <w:r>
        <w:rPr>
          <w:rStyle w:val="soitChar"/>
          <w:u w:val="single"/>
        </w:rPr>
        <w:t>Isolation</w:t>
      </w:r>
      <w:r>
        <w:rPr>
          <w:rStyle w:val="soitChar"/>
        </w:rPr>
        <w:t xml:space="preserve"> suivant descriptif dans l’élément 26.4 Isolation,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 </w:t>
      </w:r>
      <w:r>
        <w:rPr>
          <w:rStyle w:val="optioncarChar"/>
        </w:rPr>
        <w:t>***</w:t>
      </w:r>
      <w:r>
        <w:rPr>
          <w:rStyle w:val="soitChar"/>
        </w:rPr>
        <w:t>.</w:t>
      </w:r>
    </w:p>
    <w:p w14:paraId="1E89FEA2" w14:textId="77777777" w:rsidR="00772179" w:rsidRDefault="00000000">
      <w:pPr>
        <w:jc w:val="both"/>
      </w:pPr>
      <w:r>
        <w:rPr>
          <w:b/>
        </w:rPr>
        <w:t>(soit)</w:t>
      </w:r>
    </w:p>
    <w:p w14:paraId="2EFA4D24" w14:textId="77777777" w:rsidR="00772179" w:rsidRDefault="00000000">
      <w:pPr>
        <w:jc w:val="both"/>
      </w:pPr>
      <w:r>
        <w:rPr>
          <w:rStyle w:val="soitChar"/>
          <w:u w:val="single"/>
        </w:rPr>
        <w:t>Pas d’isolation </w:t>
      </w:r>
    </w:p>
    <w:p w14:paraId="536E3212" w14:textId="77777777" w:rsidR="00772179" w:rsidRDefault="00000000">
      <w:pPr>
        <w:jc w:val="both"/>
      </w:pPr>
      <w:r>
        <w:rPr>
          <w:b/>
        </w:rPr>
        <w:t>Pare-pluie</w:t>
      </w:r>
      <w:r>
        <w:t xml:space="preserve"> : </w:t>
      </w:r>
      <w:r>
        <w:rPr>
          <w:rStyle w:val="optioncarChar"/>
        </w:rPr>
        <w:t xml:space="preserve">oui </w:t>
      </w:r>
      <w:r>
        <w:t>(par défaut)</w:t>
      </w:r>
      <w:r>
        <w:rPr>
          <w:rStyle w:val="optioncarChar"/>
        </w:rPr>
        <w:t xml:space="preserve"> / non</w:t>
      </w:r>
    </w:p>
    <w:p w14:paraId="4583CE21" w14:textId="77777777" w:rsidR="00772179" w:rsidRDefault="00000000">
      <w:pPr>
        <w:jc w:val="both"/>
      </w:pPr>
      <w:r>
        <w:rPr>
          <w:b/>
        </w:rPr>
        <w:t>(soit par défaut)</w:t>
      </w:r>
    </w:p>
    <w:p w14:paraId="6C87AFE9" w14:textId="77777777" w:rsidR="00772179" w:rsidRDefault="00000000">
      <w:pPr>
        <w:jc w:val="both"/>
      </w:pPr>
      <w:r>
        <w:rPr>
          <w:rStyle w:val="soitChar"/>
          <w:u w:val="single"/>
        </w:rPr>
        <w:t>Pare-pluie</w:t>
      </w:r>
      <w:r>
        <w:rPr>
          <w:rStyle w:val="soitChar"/>
        </w:rPr>
        <w:t xml:space="preserve"> posé sur l’ensemble de la surface de façade avec raccord aux baies tel que décrit dans l’élément </w:t>
      </w:r>
      <w:hyperlink w:anchor="994" w:history="1">
        <w:r>
          <w:rPr>
            <w:rStyle w:val="soitChar"/>
            <w:color w:val="0000EE"/>
          </w:rPr>
          <w:t>44.13 Pare-pluie souples</w:t>
        </w:r>
      </w:hyperlink>
      <w:r>
        <w:rPr>
          <w:rStyle w:val="soitChar"/>
        </w:rPr>
        <w:t xml:space="preserve"> / </w:t>
      </w:r>
      <w:hyperlink w:anchor="995" w:history="1">
        <w:r>
          <w:rPr>
            <w:rStyle w:val="soitChar"/>
            <w:color w:val="0000EE"/>
          </w:rPr>
          <w:t>44.14 Pare-pluie rigides</w:t>
        </w:r>
      </w:hyperlink>
      <w:r>
        <w:rPr>
          <w:rStyle w:val="soitChar"/>
        </w:rPr>
        <w:t>.</w:t>
      </w:r>
    </w:p>
    <w:p w14:paraId="2C747B60" w14:textId="77777777" w:rsidR="00772179" w:rsidRDefault="00000000">
      <w:pPr>
        <w:jc w:val="both"/>
      </w:pPr>
      <w:r>
        <w:rPr>
          <w:b/>
        </w:rPr>
        <w:t>(soit)</w:t>
      </w:r>
    </w:p>
    <w:p w14:paraId="0BADE3ED" w14:textId="77777777" w:rsidR="00772179" w:rsidRDefault="00000000">
      <w:pPr>
        <w:jc w:val="both"/>
      </w:pPr>
      <w:r>
        <w:rPr>
          <w:rStyle w:val="soitChar"/>
          <w:u w:val="single"/>
        </w:rPr>
        <w:t>Pas de pare-pluie</w:t>
      </w:r>
      <w:r>
        <w:rPr>
          <w:rStyle w:val="soitChar"/>
        </w:rPr>
        <w:t> </w:t>
      </w:r>
    </w:p>
    <w:p w14:paraId="290DAA9B" w14:textId="77777777" w:rsidR="00772179" w:rsidRDefault="00000000">
      <w:pPr>
        <w:jc w:val="both"/>
      </w:pPr>
      <w:r>
        <w:rPr>
          <w:b/>
        </w:rPr>
        <w:t>Ardoises naturelles</w:t>
      </w:r>
    </w:p>
    <w:p w14:paraId="0C56B5EF" w14:textId="77777777" w:rsidR="00772179" w:rsidRDefault="00000000">
      <w:pPr>
        <w:jc w:val="both"/>
      </w:pPr>
      <w:r>
        <w:t>Les ardoises naturelles sont en schiste ardoisier. </w:t>
      </w:r>
    </w:p>
    <w:p w14:paraId="758E3915" w14:textId="77777777" w:rsidR="00772179" w:rsidRDefault="00000000">
      <w:pPr>
        <w:jc w:val="both"/>
      </w:pPr>
      <w:r>
        <w:t>Il s’agit d’ardoises ou d’ardoises carbonatées (teneur en carbonates de calcium ≤ 20 %).</w:t>
      </w:r>
    </w:p>
    <w:p w14:paraId="6C30E1B9" w14:textId="77777777" w:rsidR="00772179" w:rsidRDefault="00000000">
      <w:pPr>
        <w:jc w:val="both"/>
      </w:pPr>
      <w:r>
        <w:t>Les ardoises naturelles sont conformes aux spécifications de la [NBN EN 12326-1].</w:t>
      </w:r>
    </w:p>
    <w:p w14:paraId="2A50633B" w14:textId="77777777" w:rsidR="00772179" w:rsidRDefault="00000000">
      <w:pPr>
        <w:jc w:val="both"/>
      </w:pPr>
      <w:r>
        <w:t>Les palettes de produits portent un code de traçabilité donnant accès aux informations suivantes : carrière d’origine de la matière première, atelier de fabrication.</w:t>
      </w:r>
    </w:p>
    <w:p w14:paraId="68FB8CFF" w14:textId="77777777" w:rsidR="00772179" w:rsidRDefault="00000000">
      <w:pPr>
        <w:jc w:val="both"/>
      </w:pPr>
      <w:r>
        <w:t xml:space="preserve">Elles sont couvertes par une déclaration d’aptitude à l’utilisation décrite au chapitre 02.42.1 Critères d'acceptabilité : </w:t>
      </w:r>
      <w:r>
        <w:rPr>
          <w:rStyle w:val="optioncarChar"/>
        </w:rPr>
        <w:t xml:space="preserve">oui </w:t>
      </w:r>
      <w:r>
        <w:t>(par défaut)</w:t>
      </w:r>
      <w:r>
        <w:rPr>
          <w:rStyle w:val="optioncarChar"/>
        </w:rPr>
        <w:t xml:space="preserve"> / non</w:t>
      </w:r>
      <w:r>
        <w:t xml:space="preserve">. Le cas échéant, elles répondent aux spécifications des [STS 34.03.6]. </w:t>
      </w:r>
    </w:p>
    <w:p w14:paraId="155D062E" w14:textId="77777777" w:rsidR="00772179" w:rsidRDefault="00000000">
      <w:pPr>
        <w:jc w:val="both"/>
      </w:pPr>
      <w:r>
        <w:t xml:space="preserve"> Exigences supplémentaires à celles exigées par la norme produit [NBN EN 12326-1] :</w:t>
      </w:r>
    </w:p>
    <w:p w14:paraId="2CC2C9A3" w14:textId="77777777" w:rsidR="00772179" w:rsidRDefault="00000000">
      <w:pPr>
        <w:pStyle w:val="Author-eListParagraph"/>
        <w:numPr>
          <w:ilvl w:val="0"/>
          <w:numId w:val="913"/>
        </w:numPr>
        <w:jc w:val="both"/>
      </w:pPr>
      <w:r>
        <w:t>Densité : 2700 à 2900 kg/m³</w:t>
      </w:r>
    </w:p>
    <w:p w14:paraId="47BE2B29" w14:textId="77777777" w:rsidR="00772179" w:rsidRDefault="00000000">
      <w:pPr>
        <w:pStyle w:val="Author-eListParagraph"/>
        <w:numPr>
          <w:ilvl w:val="0"/>
          <w:numId w:val="913"/>
        </w:numPr>
        <w:jc w:val="both"/>
      </w:pPr>
      <w:r>
        <w:lastRenderedPageBreak/>
        <w:t>Teneur en carbonates : ≤ 5 %</w:t>
      </w:r>
    </w:p>
    <w:p w14:paraId="658A9F88" w14:textId="77777777" w:rsidR="00772179" w:rsidRDefault="00000000">
      <w:pPr>
        <w:pStyle w:val="Author-eListParagraph"/>
        <w:numPr>
          <w:ilvl w:val="0"/>
          <w:numId w:val="913"/>
        </w:numPr>
        <w:jc w:val="both"/>
      </w:pPr>
      <w:r>
        <w:t>Ardoises de classification T1, S1 selon la [NBN EN 12326-1]</w:t>
      </w:r>
    </w:p>
    <w:p w14:paraId="121703DE" w14:textId="77777777" w:rsidR="00772179" w:rsidRDefault="00000000">
      <w:pPr>
        <w:pStyle w:val="Author-eListParagraph"/>
        <w:numPr>
          <w:ilvl w:val="0"/>
          <w:numId w:val="913"/>
        </w:numPr>
        <w:jc w:val="both"/>
      </w:pPr>
      <w:r>
        <w:t>Absorption d’eau : &lt; 0,6 % (code W1), à moins qu’elles ne satisfassent à l’essai de gélivité (code W2)</w:t>
      </w:r>
    </w:p>
    <w:p w14:paraId="17FC1EDD" w14:textId="77777777" w:rsidR="00772179" w:rsidRDefault="00000000">
      <w:pPr>
        <w:pStyle w:val="Author-eListParagraph"/>
        <w:numPr>
          <w:ilvl w:val="0"/>
          <w:numId w:val="913"/>
        </w:numPr>
        <w:jc w:val="both"/>
      </w:pPr>
      <w:r>
        <w:t>Résistance à la flexion : à calculer sur base de l’épaisseur nominale (facteur 1,35)</w:t>
      </w:r>
    </w:p>
    <w:p w14:paraId="3E38B524" w14:textId="77777777" w:rsidR="00772179" w:rsidRDefault="00000000">
      <w:pPr>
        <w:jc w:val="both"/>
      </w:pPr>
      <w:r>
        <w:t xml:space="preserve">Provenance : </w:t>
      </w:r>
      <w:r>
        <w:rPr>
          <w:rStyle w:val="optioncarChar"/>
        </w:rPr>
        <w:t xml:space="preserve">Europe </w:t>
      </w:r>
      <w:r>
        <w:t>(par défaut)</w:t>
      </w:r>
      <w:r>
        <w:rPr>
          <w:rStyle w:val="optioncarChar"/>
        </w:rPr>
        <w:t xml:space="preserve"> / Canada / ***</w:t>
      </w:r>
    </w:p>
    <w:p w14:paraId="2089EA0A" w14:textId="77777777" w:rsidR="00772179" w:rsidRDefault="00000000">
      <w:pPr>
        <w:jc w:val="both"/>
      </w:pPr>
      <w:r>
        <w:t xml:space="preserve"> Forme et modèle : </w:t>
      </w:r>
      <w:r>
        <w:rPr>
          <w:rStyle w:val="optioncarChar"/>
        </w:rPr>
        <w:t xml:space="preserve">rectangulaire </w:t>
      </w:r>
      <w:r>
        <w:t xml:space="preserve">(par défaut) </w:t>
      </w:r>
      <w:r>
        <w:rPr>
          <w:rStyle w:val="optioncarChar"/>
        </w:rPr>
        <w:t>/ avec épaulement / carrées / ***</w:t>
      </w:r>
    </w:p>
    <w:p w14:paraId="65E451CE" w14:textId="77777777" w:rsidR="00772179" w:rsidRDefault="00000000">
      <w:pPr>
        <w:jc w:val="both"/>
      </w:pPr>
      <w:r>
        <w:t xml:space="preserve"> Finition : </w:t>
      </w:r>
      <w:r>
        <w:rPr>
          <w:rStyle w:val="optioncarChar"/>
        </w:rPr>
        <w:t xml:space="preserve">sans trous pré-forés </w:t>
      </w:r>
      <w:r>
        <w:t>(par défaut)</w:t>
      </w:r>
      <w:r>
        <w:rPr>
          <w:rStyle w:val="optioncarChar"/>
        </w:rPr>
        <w:t xml:space="preserve"> / avec trous pré-forés en usine / ***</w:t>
      </w:r>
    </w:p>
    <w:p w14:paraId="03233351" w14:textId="77777777" w:rsidR="00772179" w:rsidRDefault="00000000">
      <w:pPr>
        <w:jc w:val="both"/>
      </w:pPr>
      <w:r>
        <w:t xml:space="preserve"> Format : </w:t>
      </w:r>
      <w:r>
        <w:rPr>
          <w:rStyle w:val="optioncarChar"/>
        </w:rPr>
        <w:t xml:space="preserve">30 x 20 </w:t>
      </w:r>
      <w:r>
        <w:t>(par défaut)</w:t>
      </w:r>
      <w:r>
        <w:rPr>
          <w:rStyle w:val="optioncarChar"/>
        </w:rPr>
        <w:t xml:space="preserve"> / 27 x 18 / 32 x 22 / 35 x 25 / 40 x 20 / 40 x 22 / 40 x 25 / Hauteur variable 50x25, 50x20, 50x15 / ***</w:t>
      </w:r>
      <w:r>
        <w:t> cm. Tolérances : ± 5 mm</w:t>
      </w:r>
    </w:p>
    <w:p w14:paraId="787457FB" w14:textId="77777777" w:rsidR="00772179" w:rsidRDefault="00000000">
      <w:pPr>
        <w:jc w:val="both"/>
      </w:pPr>
      <w:r>
        <w:t>Ecart de rectitude des bords ≤ 5 mm</w:t>
      </w:r>
    </w:p>
    <w:p w14:paraId="226022D0" w14:textId="77777777" w:rsidR="00772179" w:rsidRDefault="00000000">
      <w:pPr>
        <w:jc w:val="both"/>
      </w:pPr>
      <w:r>
        <w:t>Ecart d’équerrage ≤ 1 %.</w:t>
      </w:r>
    </w:p>
    <w:p w14:paraId="5D243BE2" w14:textId="77777777" w:rsidR="00772179" w:rsidRDefault="00000000">
      <w:pPr>
        <w:jc w:val="both"/>
      </w:pPr>
      <w:r>
        <w:t>Épaisseur individuelle : ≥ 4 mm et épaisseur minimale requise conformément à la [NBN EN 12326-1].</w:t>
      </w:r>
    </w:p>
    <w:p w14:paraId="521A4164" w14:textId="77777777" w:rsidR="00772179" w:rsidRDefault="00000000">
      <w:pPr>
        <w:jc w:val="both"/>
      </w:pPr>
      <w:r>
        <w:t>Variation d’épaisseur dans un lot : ∆ ép ≤ 35 % autour de l’épaisseur nominale déclarée</w:t>
      </w:r>
    </w:p>
    <w:p w14:paraId="544B6F92" w14:textId="77777777" w:rsidR="00772179" w:rsidRDefault="00000000">
      <w:pPr>
        <w:pStyle w:val="pheading"/>
      </w:pPr>
      <w:r>
        <w:t>- Finitions</w:t>
      </w:r>
    </w:p>
    <w:p w14:paraId="6D041080" w14:textId="77777777" w:rsidR="00772179" w:rsidRDefault="00000000">
      <w:pPr>
        <w:pStyle w:val="Author-eListParagraph"/>
        <w:numPr>
          <w:ilvl w:val="0"/>
          <w:numId w:val="914"/>
        </w:numPr>
        <w:jc w:val="both"/>
      </w:pPr>
      <w:r>
        <w:t xml:space="preserve">Teinte : </w:t>
      </w:r>
      <w:r>
        <w:rPr>
          <w:rStyle w:val="optioncarChar"/>
        </w:rPr>
        <w:t>gris foncé à nuance bleutée</w:t>
      </w:r>
      <w:r>
        <w:t xml:space="preserve"> (par défaut)</w:t>
      </w:r>
      <w:r>
        <w:rPr>
          <w:rStyle w:val="optioncarChar"/>
        </w:rPr>
        <w:t xml:space="preserve"> / ***</w:t>
      </w:r>
    </w:p>
    <w:p w14:paraId="4FF9DDE2" w14:textId="77777777" w:rsidR="00772179" w:rsidRDefault="00000000">
      <w:pPr>
        <w:pStyle w:val="Author-eListParagraph"/>
        <w:numPr>
          <w:ilvl w:val="0"/>
          <w:numId w:val="914"/>
        </w:numPr>
        <w:jc w:val="both"/>
      </w:pPr>
      <w:r>
        <w:t xml:space="preserve">Aspect de surface : </w:t>
      </w:r>
      <w:r>
        <w:rPr>
          <w:rStyle w:val="optioncarChar"/>
        </w:rPr>
        <w:t>surface lisse, fil : visible / non visible  /  micas : visibles / non visibles</w:t>
      </w:r>
    </w:p>
    <w:p w14:paraId="3FC209C8" w14:textId="77777777" w:rsidR="00772179" w:rsidRDefault="00000000">
      <w:pPr>
        <w:pStyle w:val="Author-eListParagraph"/>
        <w:numPr>
          <w:ilvl w:val="0"/>
          <w:numId w:val="914"/>
        </w:numPr>
        <w:jc w:val="both"/>
      </w:pPr>
      <w:r>
        <w:t xml:space="preserve">Planéité : </w:t>
      </w:r>
      <w:r>
        <w:rPr>
          <w:rStyle w:val="optioncarChar"/>
        </w:rPr>
        <w:t xml:space="preserve">plat à légèrement coffine (≤ 1,5% de la hauteur et/ou largeur de l’ardoise) </w:t>
      </w:r>
      <w:r>
        <w:t>(par défaut)</w:t>
      </w:r>
      <w:r>
        <w:rPr>
          <w:rStyle w:val="optioncarChar"/>
        </w:rPr>
        <w:t xml:space="preserve"> / *** </w:t>
      </w:r>
    </w:p>
    <w:p w14:paraId="11FE1FF7" w14:textId="77777777" w:rsidR="00772179" w:rsidRDefault="00000000">
      <w:pPr>
        <w:pStyle w:val="Author-eListParagraph"/>
        <w:numPr>
          <w:ilvl w:val="0"/>
          <w:numId w:val="914"/>
        </w:numPr>
        <w:jc w:val="both"/>
      </w:pPr>
      <w:r>
        <w:t>Epaufrure : 2 % de la hauteur</w:t>
      </w:r>
    </w:p>
    <w:p w14:paraId="5D1D0631" w14:textId="77777777" w:rsidR="00772179" w:rsidRDefault="00000000">
      <w:pPr>
        <w:pStyle w:val="Author-eListParagraph"/>
        <w:numPr>
          <w:ilvl w:val="0"/>
          <w:numId w:val="914"/>
        </w:numPr>
        <w:jc w:val="both"/>
      </w:pPr>
      <w:r>
        <w:t>Défauts entraînant le rebut : minéraux métalliques traversant, veines cassantes, fissures, tâches, veines riches en minéraux métalliques, tâches de carbonate sur le pureau.</w:t>
      </w:r>
    </w:p>
    <w:p w14:paraId="3D83803C" w14:textId="77777777" w:rsidR="00772179" w:rsidRDefault="00000000">
      <w:pPr>
        <w:pStyle w:val="pheading"/>
      </w:pPr>
      <w:r>
        <w:t>EXÉCUTION / MISE EN ŒUVRE</w:t>
      </w:r>
    </w:p>
    <w:p w14:paraId="78DB4FFD" w14:textId="77777777" w:rsidR="00772179" w:rsidRDefault="00000000">
      <w:pPr>
        <w:pStyle w:val="pheading"/>
      </w:pPr>
      <w:r>
        <w:t>- Prescriptions générales</w:t>
      </w:r>
    </w:p>
    <w:p w14:paraId="1098A715" w14:textId="77777777" w:rsidR="00772179" w:rsidRDefault="00000000">
      <w:pPr>
        <w:jc w:val="both"/>
      </w:pPr>
      <w:r>
        <w:t>Calcul statique de la façade : </w:t>
      </w:r>
      <w:r>
        <w:rPr>
          <w:rStyle w:val="optioncarChar"/>
        </w:rPr>
        <w:t>à charge de l’entrepreneur</w:t>
      </w:r>
      <w:r>
        <w:t xml:space="preserve"> (par défaut)</w:t>
      </w:r>
      <w:r>
        <w:rPr>
          <w:rStyle w:val="optioncarChar"/>
        </w:rPr>
        <w:t xml:space="preserve"> / du maître de l’ouvrage</w:t>
      </w:r>
      <w:r>
        <w:t>.</w:t>
      </w:r>
    </w:p>
    <w:p w14:paraId="4B4E8202" w14:textId="77777777" w:rsidR="00772179" w:rsidRDefault="00000000">
      <w:pPr>
        <w:jc w:val="both"/>
      </w:pPr>
      <w:r>
        <w:t>En cas d’isolation, l’entrepreneur soumet le procédé d’exécution respectant la prescription du niveau d’isolation pour accord à la direction de chantier (voir plus haut).</w:t>
      </w:r>
    </w:p>
    <w:p w14:paraId="1DDE551B" w14:textId="77777777" w:rsidR="00772179" w:rsidRDefault="00000000">
      <w:pPr>
        <w:jc w:val="both"/>
      </w:pPr>
      <w:r>
        <w:t>L’entrepreneur remet une description détaillée de la pose de la structure (entraxe, diamètre de fixation et nombre...) pour accord à la direction de chantier.</w:t>
      </w:r>
    </w:p>
    <w:p w14:paraId="7573A022" w14:textId="77777777" w:rsidR="00772179" w:rsidRDefault="00000000">
      <w:pPr>
        <w:pStyle w:val="Author-eListParagraph"/>
        <w:numPr>
          <w:ilvl w:val="0"/>
          <w:numId w:val="915"/>
        </w:numPr>
      </w:pPr>
      <w:r>
        <w:t>Lors de la pose, les ardoises sont triées en les « soupesant » et en les « sonnant ».</w:t>
      </w:r>
    </w:p>
    <w:p w14:paraId="6FD32273" w14:textId="77777777" w:rsidR="00772179" w:rsidRDefault="00000000">
      <w:pPr>
        <w:pStyle w:val="Author-eListParagraph"/>
        <w:numPr>
          <w:ilvl w:val="0"/>
          <w:numId w:val="915"/>
        </w:numPr>
      </w:pPr>
      <w:r>
        <w:t xml:space="preserve">Mode de pose : </w:t>
      </w:r>
      <w:r>
        <w:rPr>
          <w:rStyle w:val="optioncarChar"/>
        </w:rPr>
        <w:t>joints verticaux alternés</w:t>
      </w:r>
      <w:r>
        <w:t xml:space="preserve"> (par défaut)</w:t>
      </w:r>
      <w:r>
        <w:rPr>
          <w:rStyle w:val="optioncarChar"/>
        </w:rPr>
        <w:t xml:space="preserve"> / joints verticaux alignées / hauteur de pureau variable et joints verticaux alternés / pose en claire-voie / pose en losange / pose à recouvrement simple / ***.</w:t>
      </w:r>
    </w:p>
    <w:p w14:paraId="11DD7769" w14:textId="77777777" w:rsidR="00772179" w:rsidRDefault="00000000">
      <w:pPr>
        <w:pStyle w:val="Author-eListParagraph"/>
        <w:numPr>
          <w:ilvl w:val="0"/>
          <w:numId w:val="915"/>
        </w:numPr>
      </w:pPr>
      <w:r>
        <w:t xml:space="preserve">En cas de support bois : lattage : </w:t>
      </w:r>
      <w:r>
        <w:rPr>
          <w:rStyle w:val="optioncarChar"/>
        </w:rPr>
        <w:t xml:space="preserve">32x27 </w:t>
      </w:r>
      <w:r>
        <w:t>(par défaut)</w:t>
      </w:r>
      <w:r>
        <w:rPr>
          <w:rStyle w:val="optioncarChar"/>
        </w:rPr>
        <w:t xml:space="preserve"> / ***</w:t>
      </w:r>
      <w:r>
        <w:t xml:space="preserve"> mm, écartement du lattage adapté aux dimensions des ardoises.</w:t>
      </w:r>
    </w:p>
    <w:p w14:paraId="783AC4B1" w14:textId="77777777" w:rsidR="00772179" w:rsidRDefault="00000000">
      <w:pPr>
        <w:pStyle w:val="Author-eListParagraph"/>
        <w:numPr>
          <w:ilvl w:val="0"/>
          <w:numId w:val="915"/>
        </w:numPr>
      </w:pPr>
      <w:r>
        <w:t>En cas de support métallique : dimensionnement à confirmer par note de calcul par l’entrepreneur, écartement du lattage adapté aux dimensions des ardoises.</w:t>
      </w:r>
    </w:p>
    <w:p w14:paraId="0198BA6F" w14:textId="77777777" w:rsidR="00772179" w:rsidRDefault="00000000">
      <w:pPr>
        <w:pStyle w:val="Author-eListParagraph"/>
        <w:numPr>
          <w:ilvl w:val="0"/>
          <w:numId w:val="915"/>
        </w:numPr>
      </w:pPr>
      <w:r>
        <w:t xml:space="preserve">Fixation : </w:t>
      </w:r>
      <w:r>
        <w:rPr>
          <w:rStyle w:val="optioncarChar"/>
        </w:rPr>
        <w:t xml:space="preserve">clous en acier inoxydable 316 </w:t>
      </w:r>
      <w:r>
        <w:t>(par défaut)</w:t>
      </w:r>
      <w:r>
        <w:rPr>
          <w:rStyle w:val="optioncarChar"/>
        </w:rPr>
        <w:t xml:space="preserve"> / crochets droits en acier inoxydable 316 / crochets en cuivre électrolytique</w:t>
      </w:r>
    </w:p>
    <w:p w14:paraId="5B34D8D0" w14:textId="77777777" w:rsidR="00772179" w:rsidRDefault="00000000">
      <w:pPr>
        <w:pStyle w:val="Author-eListParagraph"/>
        <w:numPr>
          <w:ilvl w:val="0"/>
          <w:numId w:val="915"/>
        </w:numPr>
      </w:pPr>
      <w:r>
        <w:t xml:space="preserve">Recouvrement : </w:t>
      </w:r>
      <w:r>
        <w:rPr>
          <w:rStyle w:val="optioncarChar"/>
        </w:rPr>
        <w:t>60</w:t>
      </w:r>
      <w:r>
        <w:t xml:space="preserve"> (par défaut) </w:t>
      </w:r>
      <w:r>
        <w:rPr>
          <w:rStyle w:val="optioncarChar"/>
        </w:rPr>
        <w:t>/ 65 / 70 / 75 / ***</w:t>
      </w:r>
      <w:r>
        <w:t xml:space="preserve"> mm</w:t>
      </w:r>
    </w:p>
    <w:p w14:paraId="156E8F04" w14:textId="77777777" w:rsidR="00772179" w:rsidRDefault="00000000">
      <w:pPr>
        <w:pStyle w:val="Author-eListParagraph"/>
        <w:numPr>
          <w:ilvl w:val="0"/>
          <w:numId w:val="915"/>
        </w:numPr>
      </w:pPr>
      <w:r>
        <w:t>La position des fixations et les recouvrements sont conformes aux prescriptions de la norme [NBN B 44-001].</w:t>
      </w:r>
    </w:p>
    <w:p w14:paraId="4D713729" w14:textId="77777777" w:rsidR="00772179" w:rsidRDefault="00000000">
      <w:pPr>
        <w:pStyle w:val="Author-eListParagraph"/>
        <w:numPr>
          <w:ilvl w:val="0"/>
          <w:numId w:val="915"/>
        </w:numPr>
      </w:pPr>
      <w:r>
        <w:t xml:space="preserve">Finition au droit des joues de baies : </w:t>
      </w:r>
      <w:r>
        <w:rPr>
          <w:rStyle w:val="optioncarChar"/>
        </w:rPr>
        <w:t xml:space="preserve">ardoises </w:t>
      </w:r>
      <w:r>
        <w:t xml:space="preserve">(par défaut) </w:t>
      </w:r>
      <w:r>
        <w:rPr>
          <w:rStyle w:val="optioncarChar"/>
        </w:rPr>
        <w:t>/ cadre en aluminium thermolaqué / cadre en acier thermolaqué / ***</w:t>
      </w:r>
    </w:p>
    <w:p w14:paraId="0B5E0E44" w14:textId="77777777" w:rsidR="00772179" w:rsidRDefault="00000000">
      <w:pPr>
        <w:pStyle w:val="pheading"/>
      </w:pPr>
      <w:r>
        <w:t>DOCUMENTS DE RÉFÉRENCE COMPLÉMENTAIRES</w:t>
      </w:r>
    </w:p>
    <w:p w14:paraId="32560F89" w14:textId="77777777" w:rsidR="00772179" w:rsidRDefault="00000000">
      <w:pPr>
        <w:pStyle w:val="pheading"/>
      </w:pPr>
      <w:r>
        <w:t>- Matériau</w:t>
      </w:r>
    </w:p>
    <w:p w14:paraId="2A9EC387" w14:textId="77777777" w:rsidR="00772179" w:rsidRDefault="00000000">
      <w:r>
        <w:lastRenderedPageBreak/>
        <w:t>[NBN EN 12326-1, Ardoises et pierres pour toiture et bardage extérieur pour pose en discontinu - Partie 1: Spécifications pour ardoises et ardoises carbonatées]</w:t>
      </w:r>
    </w:p>
    <w:p w14:paraId="27BFD3D5" w14:textId="77777777" w:rsidR="00772179" w:rsidRDefault="00000000">
      <w:r>
        <w:t>[NBN EN 12326-2, Ardoises et pierres pour toiture et bardage extérieur pour pose en discontinu - Partie 2 : Méthodes d’essai pour ardoises et ardoises carbonatées]</w:t>
      </w:r>
    </w:p>
    <w:p w14:paraId="052E584A" w14:textId="77777777" w:rsidR="00772179" w:rsidRDefault="00000000">
      <w:r>
        <w:t>[STS 34.03.6, Couverture des bâtiments : ardoise naturelle]</w:t>
      </w:r>
    </w:p>
    <w:p w14:paraId="5DFDD46A" w14:textId="77777777" w:rsidR="00772179" w:rsidRDefault="00000000">
      <w:r>
        <w:t>[AWAP FARCC / 01.03, Ardoises naturelles – règles de pose plan carré]</w:t>
      </w:r>
    </w:p>
    <w:p w14:paraId="6DCAD5EC" w14:textId="77777777" w:rsidR="00772179" w:rsidRDefault="00000000">
      <w:r>
        <w:t>[AWAP FARCC / 01.01, Ardoises naturelles – crochets de pose inox]</w:t>
      </w:r>
    </w:p>
    <w:p w14:paraId="197DC2C3" w14:textId="77777777" w:rsidR="00772179" w:rsidRDefault="00000000">
      <w:pPr>
        <w:pStyle w:val="pheading"/>
      </w:pPr>
      <w:r>
        <w:t>- Exécution</w:t>
      </w:r>
    </w:p>
    <w:p w14:paraId="08A5686B" w14:textId="77777777" w:rsidR="00772179" w:rsidRDefault="00000000">
      <w:r>
        <w:t>[NBN B 44-001, Couvertures en ardoises en ciment renforcé par des fibres minérales naturelles]</w:t>
      </w:r>
    </w:p>
    <w:p w14:paraId="4CA37F7A" w14:textId="77777777" w:rsidR="00772179" w:rsidRDefault="00000000">
      <w:pPr>
        <w:pStyle w:val="pheading"/>
      </w:pPr>
      <w:r>
        <w:t>MESURAGE</w:t>
      </w:r>
    </w:p>
    <w:p w14:paraId="375E4469" w14:textId="77777777" w:rsidR="00772179" w:rsidRDefault="00000000">
      <w:pPr>
        <w:pStyle w:val="pheading"/>
      </w:pPr>
      <w:r>
        <w:t>- unité de mesure:</w:t>
      </w:r>
    </w:p>
    <w:p w14:paraId="367348DC" w14:textId="77777777" w:rsidR="00772179" w:rsidRDefault="00000000">
      <w:r>
        <w:t>m²</w:t>
      </w:r>
    </w:p>
    <w:p w14:paraId="7FBEFC28" w14:textId="77777777" w:rsidR="00772179" w:rsidRDefault="00000000">
      <w:pPr>
        <w:pStyle w:val="pheading"/>
      </w:pPr>
      <w:r>
        <w:t>- code de mesurage:</w:t>
      </w:r>
    </w:p>
    <w:p w14:paraId="5CDC7B5F" w14:textId="77777777" w:rsidR="00772179" w:rsidRDefault="00000000">
      <w:pPr>
        <w:jc w:val="both"/>
      </w:pPr>
      <w:r>
        <w:t>Surface nette des façades, joues et linteaux des ouvertures et des fenêtres. Les réservations supérieures à 0,5m2 sont déduites.</w:t>
      </w:r>
    </w:p>
    <w:p w14:paraId="1175DAA2" w14:textId="77777777" w:rsidR="00772179" w:rsidRDefault="00000000">
      <w:pPr>
        <w:pStyle w:val="pheading"/>
      </w:pPr>
      <w:r>
        <w:t>- nature du marché:</w:t>
      </w:r>
    </w:p>
    <w:p w14:paraId="71513AA3" w14:textId="77777777" w:rsidR="00772179" w:rsidRDefault="00000000">
      <w:r>
        <w:t>QF</w:t>
      </w:r>
    </w:p>
    <w:p w14:paraId="54436B7C" w14:textId="77777777" w:rsidR="00772179" w:rsidRDefault="00000000">
      <w:pPr>
        <w:pStyle w:val="Author-eSectionHeading5Numberless"/>
      </w:pPr>
      <w:bookmarkStart w:id="730" w:name="_Toc220490419"/>
      <w:r>
        <w:t>43.22.2 Revêtements de façade rigides fixés mécaniquement - ardoises en fibres ciment CCTB 01.02</w:t>
      </w:r>
      <w:bookmarkEnd w:id="730"/>
    </w:p>
    <w:p w14:paraId="397F6005" w14:textId="77777777" w:rsidR="00772179" w:rsidRDefault="00000000">
      <w:pPr>
        <w:pStyle w:val="Author-eSectionHeading6Numberless"/>
      </w:pPr>
      <w:bookmarkStart w:id="731" w:name="_Toc220490420"/>
      <w:r>
        <w:t>43.22.2a Revêtements de façade rigides fixés mécaniquement - ardoises en fibres ciment CCTB 01.11</w:t>
      </w:r>
      <w:bookmarkEnd w:id="731"/>
    </w:p>
    <w:p w14:paraId="66936FD6" w14:textId="77777777" w:rsidR="00772179" w:rsidRDefault="00000000">
      <w:pPr>
        <w:pStyle w:val="pheading"/>
      </w:pPr>
      <w:r>
        <w:t>MATÉRIAUX</w:t>
      </w:r>
    </w:p>
    <w:p w14:paraId="413664A5" w14:textId="77777777" w:rsidR="00772179" w:rsidRDefault="00000000">
      <w:pPr>
        <w:pStyle w:val="pheading"/>
      </w:pPr>
      <w:r>
        <w:t>- Caractéristiques générales</w:t>
      </w:r>
    </w:p>
    <w:p w14:paraId="5EBFEA1A" w14:textId="77777777" w:rsidR="00772179" w:rsidRDefault="00000000">
      <w:r>
        <w:t>Les ardoises et leurs accessoires sont fabriqués en fibres minérales de qualité et de ciment. Elles satisfont aux prescriptions des [NBN EN 492:2012+A2]. Les accessoires pour la finition des pieds de façade, des angles, des faces latérales, des jonctions avec d'autres matériaux de revêtement de façade sont fabriqués dans le même matériau que les ardoises artificielles, dans la même épaisseur et présentent des caractéristiques mécaniques identiques.</w:t>
      </w:r>
    </w:p>
    <w:p w14:paraId="0384D153" w14:textId="77777777" w:rsidR="00772179" w:rsidRDefault="00000000">
      <w:pPr>
        <w:pStyle w:val="pheading"/>
      </w:pPr>
      <w:r>
        <w:t>- Finitions</w:t>
      </w:r>
    </w:p>
    <w:p w14:paraId="195F0385" w14:textId="77777777" w:rsidR="00772179" w:rsidRDefault="00000000">
      <w:pPr>
        <w:pStyle w:val="Author-eListParagraph"/>
        <w:numPr>
          <w:ilvl w:val="0"/>
          <w:numId w:val="916"/>
        </w:numPr>
      </w:pPr>
      <w:r>
        <w:t>Type : sans amiante</w:t>
      </w:r>
    </w:p>
    <w:p w14:paraId="6D16B8CA" w14:textId="77777777" w:rsidR="00772179" w:rsidRDefault="00000000">
      <w:pPr>
        <w:pStyle w:val="Author-eListParagraph"/>
        <w:numPr>
          <w:ilvl w:val="0"/>
          <w:numId w:val="916"/>
        </w:numPr>
      </w:pPr>
      <w:r>
        <w:t>Classe de résistance : B.</w:t>
      </w:r>
    </w:p>
    <w:p w14:paraId="1BBC156C" w14:textId="77777777" w:rsidR="00772179" w:rsidRDefault="00000000">
      <w:pPr>
        <w:pStyle w:val="Author-eListParagraph"/>
        <w:numPr>
          <w:ilvl w:val="0"/>
          <w:numId w:val="916"/>
        </w:numPr>
      </w:pPr>
      <w:r>
        <w:t xml:space="preserve">Dimensions : </w:t>
      </w:r>
      <w:r>
        <w:br/>
        <w:t xml:space="preserve">⇒ Hauteur : </w:t>
      </w:r>
      <w:r>
        <w:rPr>
          <w:rStyle w:val="optioncarChar"/>
        </w:rPr>
        <w:t xml:space="preserve">*** </w:t>
      </w:r>
      <w:r>
        <w:t xml:space="preserve">cm </w:t>
      </w:r>
      <w:r>
        <w:br/>
        <w:t xml:space="preserve">⇒ Longueur : </w:t>
      </w:r>
      <w:r>
        <w:rPr>
          <w:rStyle w:val="optioncarChar"/>
        </w:rPr>
        <w:t xml:space="preserve">*** </w:t>
      </w:r>
      <w:r>
        <w:t>cm</w:t>
      </w:r>
    </w:p>
    <w:p w14:paraId="198E836A" w14:textId="77777777" w:rsidR="00772179" w:rsidRDefault="00000000">
      <w:pPr>
        <w:pStyle w:val="Author-eListParagraph"/>
        <w:numPr>
          <w:ilvl w:val="0"/>
          <w:numId w:val="916"/>
        </w:numPr>
      </w:pPr>
      <w:r>
        <w:t xml:space="preserve">Epaisseur : minimum </w:t>
      </w:r>
      <w:r>
        <w:rPr>
          <w:rStyle w:val="optioncarChar"/>
        </w:rPr>
        <w:t>4 </w:t>
      </w:r>
      <w:r>
        <w:t xml:space="preserve">mm (conformément au tableau des </w:t>
      </w:r>
      <w:r>
        <w:rPr>
          <w:shd w:val="clear" w:color="auto" w:fill="FFFFFF"/>
        </w:rPr>
        <w:t>[STS 34 série] .03.61.1]</w:t>
      </w:r>
      <w:r>
        <w:t xml:space="preserve"> )</w:t>
      </w:r>
    </w:p>
    <w:p w14:paraId="0B542F4F" w14:textId="77777777" w:rsidR="00772179" w:rsidRDefault="00000000">
      <w:pPr>
        <w:pStyle w:val="Author-eListParagraph"/>
        <w:numPr>
          <w:ilvl w:val="0"/>
          <w:numId w:val="916"/>
        </w:numPr>
      </w:pPr>
      <w:r>
        <w:t xml:space="preserve">Forme : </w:t>
      </w:r>
      <w:r>
        <w:rPr>
          <w:rStyle w:val="optioncarChar"/>
        </w:rPr>
        <w:t>rectangulaire / à angles cassés / carrée / losange</w:t>
      </w:r>
    </w:p>
    <w:p w14:paraId="37A7AD36" w14:textId="77777777" w:rsidR="00772179" w:rsidRDefault="00000000">
      <w:pPr>
        <w:pStyle w:val="Author-eListParagraph"/>
        <w:numPr>
          <w:ilvl w:val="0"/>
          <w:numId w:val="916"/>
        </w:numPr>
      </w:pPr>
      <w:r>
        <w:t xml:space="preserve">Couleur de la surface : </w:t>
      </w:r>
      <w:r>
        <w:rPr>
          <w:rStyle w:val="optioncarChar"/>
        </w:rPr>
        <w:t>gris clair / gris foncé / noir / violet / brun</w:t>
      </w:r>
    </w:p>
    <w:p w14:paraId="36ACBD58" w14:textId="77777777" w:rsidR="00772179" w:rsidRDefault="00000000">
      <w:pPr>
        <w:pStyle w:val="Author-eListParagraph"/>
        <w:numPr>
          <w:ilvl w:val="0"/>
          <w:numId w:val="916"/>
        </w:numPr>
      </w:pPr>
      <w:r>
        <w:t xml:space="preserve">Mode de coloration : </w:t>
      </w:r>
      <w:r>
        <w:rPr>
          <w:rStyle w:val="optioncarChar"/>
        </w:rPr>
        <w:t>dans la masse / par recouvrement </w:t>
      </w:r>
    </w:p>
    <w:p w14:paraId="1BE8B2CF" w14:textId="77777777" w:rsidR="00772179" w:rsidRDefault="00000000">
      <w:pPr>
        <w:pStyle w:val="Author-eListParagraph"/>
        <w:numPr>
          <w:ilvl w:val="0"/>
          <w:numId w:val="916"/>
        </w:numPr>
      </w:pPr>
      <w:r>
        <w:t xml:space="preserve">Structure de la surface : </w:t>
      </w:r>
      <w:r>
        <w:rPr>
          <w:rStyle w:val="optioncarChar"/>
        </w:rPr>
        <w:t>lisse et égale / relief des ardoises naturelles </w:t>
      </w:r>
    </w:p>
    <w:p w14:paraId="492080DF" w14:textId="77777777" w:rsidR="00772179" w:rsidRDefault="00000000">
      <w:pPr>
        <w:pStyle w:val="Author-eListParagraph"/>
        <w:numPr>
          <w:ilvl w:val="0"/>
          <w:numId w:val="916"/>
        </w:numPr>
      </w:pPr>
      <w:r>
        <w:t xml:space="preserve">Fixation : sur des lattes ayant subi un traitement insecticide et fongicide, procédé A1 selon les </w:t>
      </w:r>
      <w:r>
        <w:rPr>
          <w:shd w:val="clear" w:color="auto" w:fill="FFFFFF"/>
        </w:rPr>
        <w:t>[STS 34 série] .03.61.1].</w:t>
      </w:r>
      <w:r>
        <w:t xml:space="preserve"> La section des contre-lattes est adaptée en fonction de la forme et de l'épaisseur des ardoises, à la distance entre les lattes. Section minimale : </w:t>
      </w:r>
      <w:r>
        <w:rPr>
          <w:rStyle w:val="optioncarChar"/>
        </w:rPr>
        <w:t xml:space="preserve">20 X 40 / 20 x 26 / 26 x 32 </w:t>
      </w:r>
      <w:r>
        <w:t xml:space="preserve">/ </w:t>
      </w:r>
      <w:r>
        <w:rPr>
          <w:rStyle w:val="optioncarChar"/>
        </w:rPr>
        <w:t xml:space="preserve">*** </w:t>
      </w:r>
      <w:r>
        <w:t xml:space="preserve">x </w:t>
      </w:r>
      <w:r>
        <w:rPr>
          <w:rStyle w:val="optioncarChar"/>
        </w:rPr>
        <w:t xml:space="preserve">*** </w:t>
      </w:r>
      <w:r>
        <w:t>cm.</w:t>
      </w:r>
    </w:p>
    <w:p w14:paraId="7EFCC466" w14:textId="77777777" w:rsidR="00772179" w:rsidRDefault="00000000">
      <w:pPr>
        <w:pStyle w:val="Author-eListParagraph"/>
        <w:numPr>
          <w:ilvl w:val="0"/>
          <w:numId w:val="916"/>
        </w:numPr>
      </w:pPr>
      <w:r>
        <w:lastRenderedPageBreak/>
        <w:t>Matériau de fixation :</w:t>
      </w:r>
      <w:r>
        <w:rPr>
          <w:rStyle w:val="optioncarChar"/>
        </w:rPr>
        <w:t xml:space="preserve"> avec des clous en cuivre rouge, 2 par ardoise, d'une longueur de 25 mm / avec des crochets en cuivre d'un diamètre de 3 mm et d'une longueur qui dépend du recouvrement / avec des crochets en acier inoxydable d'un Ø = 2,5 mm et d'une longueur qui dépend du recouvrement. </w:t>
      </w:r>
    </w:p>
    <w:p w14:paraId="420771A5" w14:textId="77777777" w:rsidR="00772179" w:rsidRDefault="00000000">
      <w:pPr>
        <w:pStyle w:val="Author-eListParagraph"/>
        <w:numPr>
          <w:ilvl w:val="0"/>
          <w:numId w:val="916"/>
        </w:numPr>
      </w:pPr>
      <w:r>
        <w:t xml:space="preserve">Réaction au feu : classe </w:t>
      </w:r>
      <w:r>
        <w:rPr>
          <w:rStyle w:val="optioncarChar"/>
        </w:rPr>
        <w:t>A2-s3, d0</w:t>
      </w:r>
      <w:r>
        <w:t xml:space="preserve"> / </w:t>
      </w:r>
      <w:r>
        <w:rPr>
          <w:rStyle w:val="optioncarChar"/>
        </w:rPr>
        <w:t>B-s3, d1 / D-s3, d1 / D-s3, d1</w:t>
      </w:r>
      <w:r>
        <w:t xml:space="preserve"> (en fonction de la hauteur, du bâtiment et du type d'occupants)</w:t>
      </w:r>
    </w:p>
    <w:p w14:paraId="329F92B2" w14:textId="77777777" w:rsidR="00772179" w:rsidRDefault="00000000">
      <w:pPr>
        <w:pStyle w:val="pheading"/>
      </w:pPr>
      <w:r>
        <w:t>EXÉCUTION / MISE EN ŒUVRE</w:t>
      </w:r>
    </w:p>
    <w:p w14:paraId="2ECB82A5" w14:textId="77777777" w:rsidR="00772179" w:rsidRDefault="00000000">
      <w:pPr>
        <w:pStyle w:val="pheading"/>
      </w:pPr>
      <w:r>
        <w:t>- Prescriptions générales</w:t>
      </w:r>
    </w:p>
    <w:p w14:paraId="505FAE76" w14:textId="77777777" w:rsidR="00772179" w:rsidRDefault="00000000">
      <w:r>
        <w:t xml:space="preserve">Conformément à l'article </w:t>
      </w:r>
      <w:r>
        <w:rPr>
          <w:shd w:val="clear" w:color="auto" w:fill="FFFFFF"/>
        </w:rPr>
        <w:t>34.12.1b Ardoises en fibres-ciment</w:t>
      </w:r>
    </w:p>
    <w:p w14:paraId="01B4B964" w14:textId="77777777" w:rsidR="00772179" w:rsidRDefault="00000000">
      <w:pPr>
        <w:pStyle w:val="Author-eListParagraph"/>
        <w:numPr>
          <w:ilvl w:val="0"/>
          <w:numId w:val="917"/>
        </w:numPr>
      </w:pPr>
      <w:r>
        <w:t xml:space="preserve">Les ardoises sont fixées avec </w:t>
      </w:r>
      <w:r>
        <w:rPr>
          <w:rStyle w:val="optioncarChar"/>
        </w:rPr>
        <w:t>double recouvrement / recouvrement diagonal / recouvrement à joint ouvert </w:t>
      </w:r>
    </w:p>
    <w:p w14:paraId="0D38E09C" w14:textId="77777777" w:rsidR="00772179" w:rsidRDefault="00000000">
      <w:pPr>
        <w:pStyle w:val="Author-eListParagraph"/>
        <w:numPr>
          <w:ilvl w:val="0"/>
          <w:numId w:val="917"/>
        </w:numPr>
      </w:pPr>
      <w:r>
        <w:t xml:space="preserve">Les crochets sont </w:t>
      </w:r>
      <w:r>
        <w:rPr>
          <w:rStyle w:val="optioncarChar"/>
        </w:rPr>
        <w:t>cloués dans les lattes / accrochés derrière les lattes</w:t>
      </w:r>
      <w:r>
        <w:t>.</w:t>
      </w:r>
    </w:p>
    <w:p w14:paraId="5A0D8BC0" w14:textId="77777777" w:rsidR="00772179" w:rsidRDefault="00000000">
      <w:pPr>
        <w:pStyle w:val="Author-eListParagraph"/>
        <w:numPr>
          <w:ilvl w:val="0"/>
          <w:numId w:val="917"/>
        </w:numPr>
      </w:pPr>
      <w:r>
        <w:t>Les ardoises inférieures à une demi-ardoise ne sont pas mises en œuvre. A cet effet, les ardoises dans la même rangée sont rétrécies. </w:t>
      </w:r>
    </w:p>
    <w:p w14:paraId="54B735BB" w14:textId="77777777" w:rsidR="00772179" w:rsidRDefault="00000000">
      <w:pPr>
        <w:pStyle w:val="pheading"/>
      </w:pPr>
      <w:r>
        <w:t>DOCUMENTS DE RÉFÉRENCE COMPLÉMENTAIRES</w:t>
      </w:r>
    </w:p>
    <w:p w14:paraId="1395348F" w14:textId="77777777" w:rsidR="00772179" w:rsidRDefault="00000000">
      <w:pPr>
        <w:pStyle w:val="pheading"/>
      </w:pPr>
      <w:r>
        <w:t>- Matériau</w:t>
      </w:r>
    </w:p>
    <w:p w14:paraId="5E0DFB75" w14:textId="77777777" w:rsidR="00772179" w:rsidRDefault="00000000">
      <w:r>
        <w:t>[NBN EN 492:2012+A2]</w:t>
      </w:r>
    </w:p>
    <w:p w14:paraId="5974A978" w14:textId="77777777" w:rsidR="00772179" w:rsidRDefault="00000000">
      <w:pPr>
        <w:pStyle w:val="pheading"/>
      </w:pPr>
      <w:r>
        <w:t>MESURAGE</w:t>
      </w:r>
    </w:p>
    <w:p w14:paraId="6B9644FF" w14:textId="77777777" w:rsidR="00772179" w:rsidRDefault="00000000">
      <w:pPr>
        <w:pStyle w:val="pheading"/>
      </w:pPr>
      <w:r>
        <w:t>- unité de mesure:</w:t>
      </w:r>
    </w:p>
    <w:p w14:paraId="7EE1D3C2" w14:textId="77777777" w:rsidR="00772179" w:rsidRDefault="00000000">
      <w:r>
        <w:t>m²</w:t>
      </w:r>
    </w:p>
    <w:p w14:paraId="3885B3AF" w14:textId="77777777" w:rsidR="00772179" w:rsidRDefault="00000000">
      <w:pPr>
        <w:pStyle w:val="pheading"/>
      </w:pPr>
      <w:r>
        <w:t>- nature du marché:</w:t>
      </w:r>
    </w:p>
    <w:p w14:paraId="7C4B244D" w14:textId="77777777" w:rsidR="00772179" w:rsidRDefault="00000000">
      <w:r>
        <w:t>QF</w:t>
      </w:r>
    </w:p>
    <w:p w14:paraId="69BC951B" w14:textId="77777777" w:rsidR="00772179" w:rsidRDefault="00000000">
      <w:pPr>
        <w:pStyle w:val="pheading"/>
      </w:pPr>
      <w:r>
        <w:t>AIDE</w:t>
      </w:r>
    </w:p>
    <w:p w14:paraId="02B125D2" w14:textId="77777777" w:rsidR="00772179" w:rsidRDefault="00000000">
      <w:r>
        <w:rPr>
          <w:i/>
          <w:u w:val="single"/>
        </w:rPr>
        <w:t>Note à l’attention de l’auteur de projet</w:t>
      </w:r>
    </w:p>
    <w:p w14:paraId="6104AA2D" w14:textId="77777777" w:rsidR="00772179" w:rsidRDefault="00000000">
      <w:r>
        <w:t>Quelques dimensions standards : 60 x 30 /  60 x 40 / 45 x 32 / 40 x 40 /  40 x 27 / 40 x 24 / 40 x 20 cm d'une épaisseur respective d'environ 4,0 à 4,5 mm .</w:t>
      </w:r>
    </w:p>
    <w:p w14:paraId="0B0165BB" w14:textId="77777777" w:rsidR="00772179" w:rsidRDefault="00000000">
      <w:pPr>
        <w:pStyle w:val="Author-eSectionHeading4Numberless"/>
      </w:pPr>
      <w:bookmarkStart w:id="732" w:name="_Toc220490421"/>
      <w:r>
        <w:t>43.23 Revêtements de façade rigides fixés mécaniquement - bardeaux CCTB 01.02</w:t>
      </w:r>
      <w:bookmarkEnd w:id="732"/>
    </w:p>
    <w:p w14:paraId="4FA87832" w14:textId="77777777" w:rsidR="00772179" w:rsidRDefault="00000000">
      <w:pPr>
        <w:pStyle w:val="Author-eSectionHeading5Numberless"/>
      </w:pPr>
      <w:bookmarkStart w:id="733" w:name="_Toc220490422"/>
      <w:r>
        <w:t>43.23.1 Revêtements de façade rigides fixés mécaniquement - bardeaux en fibres ciment CCTB 01.02</w:t>
      </w:r>
      <w:bookmarkEnd w:id="733"/>
    </w:p>
    <w:p w14:paraId="0D17F806" w14:textId="77777777" w:rsidR="00772179" w:rsidRDefault="00000000">
      <w:pPr>
        <w:pStyle w:val="Author-eSectionHeading6Numberless"/>
      </w:pPr>
      <w:bookmarkStart w:id="734" w:name="_Toc220490423"/>
      <w:r>
        <w:t>43.23.1a Revêtements de façade rigides fixés mécaniquement - bardeaux en fibres ciment CCTB 01.11</w:t>
      </w:r>
      <w:bookmarkEnd w:id="734"/>
    </w:p>
    <w:p w14:paraId="6B92BA32" w14:textId="77777777" w:rsidR="00772179" w:rsidRDefault="00000000">
      <w:pPr>
        <w:pStyle w:val="pheading"/>
      </w:pPr>
      <w:r>
        <w:t>DESCRIPTION</w:t>
      </w:r>
    </w:p>
    <w:p w14:paraId="76FDFCF5" w14:textId="77777777" w:rsidR="00772179" w:rsidRDefault="00000000">
      <w:pPr>
        <w:pStyle w:val="pheading"/>
      </w:pPr>
      <w:r>
        <w:t>- Définition / Comprend</w:t>
      </w:r>
    </w:p>
    <w:p w14:paraId="08DE3952" w14:textId="77777777" w:rsidR="00772179" w:rsidRDefault="00000000">
      <w:pPr>
        <w:jc w:val="both"/>
      </w:pPr>
      <w:r>
        <w:t>Il s’agit de la fourniture et la pose de bardeaux en fibres ciment fixés mécaniquement à une structure secondaire en profilés appliqués en façade en vue de la réalisation d’un ouvrage soigné et propre.</w:t>
      </w:r>
    </w:p>
    <w:p w14:paraId="5049AB12" w14:textId="77777777" w:rsidR="00772179" w:rsidRDefault="00000000">
      <w:pPr>
        <w:jc w:val="both"/>
      </w:pPr>
      <w:r>
        <w:t>La portée des travaux est décrite au </w:t>
      </w:r>
      <w:hyperlink w:anchor="984" w:history="1">
        <w:r>
          <w:rPr>
            <w:color w:val="0000EE"/>
          </w:rPr>
          <w:t>43.2 Revêtements de façade rigides fixés mécaniquement</w:t>
        </w:r>
      </w:hyperlink>
      <w:r>
        <w:t>.</w:t>
      </w:r>
    </w:p>
    <w:p w14:paraId="3534B8CB" w14:textId="77777777" w:rsidR="00772179" w:rsidRDefault="00000000">
      <w:pPr>
        <w:pStyle w:val="pheading"/>
      </w:pPr>
      <w:r>
        <w:t>MATÉRIAUX</w:t>
      </w:r>
    </w:p>
    <w:p w14:paraId="42A202C3" w14:textId="77777777" w:rsidR="00772179" w:rsidRDefault="00000000">
      <w:pPr>
        <w:pStyle w:val="pheading"/>
      </w:pPr>
      <w:r>
        <w:t>- Caractéristiques générales</w:t>
      </w:r>
    </w:p>
    <w:p w14:paraId="5C50C376" w14:textId="77777777" w:rsidR="00772179" w:rsidRDefault="00000000">
      <w:pPr>
        <w:jc w:val="both"/>
      </w:pPr>
      <w:r>
        <w:rPr>
          <w:b/>
        </w:rPr>
        <w:t>Profilés</w:t>
      </w:r>
      <w:r>
        <w:t xml:space="preserve"> : </w:t>
      </w:r>
      <w:r>
        <w:rPr>
          <w:rStyle w:val="optioncarChar"/>
        </w:rPr>
        <w:t>en bois</w:t>
      </w:r>
      <w:r>
        <w:t xml:space="preserve"> (par défaut)</w:t>
      </w:r>
      <w:r>
        <w:rPr>
          <w:rStyle w:val="optioncarChar"/>
        </w:rPr>
        <w:t xml:space="preserve"> / métalliques</w:t>
      </w:r>
    </w:p>
    <w:p w14:paraId="216770CB" w14:textId="77777777" w:rsidR="00772179" w:rsidRDefault="00000000">
      <w:pPr>
        <w:jc w:val="both"/>
      </w:pPr>
      <w:r>
        <w:rPr>
          <w:b/>
        </w:rPr>
        <w:lastRenderedPageBreak/>
        <w:t>(soit par défaut)</w:t>
      </w:r>
    </w:p>
    <w:p w14:paraId="185ED6F1" w14:textId="77777777" w:rsidR="00772179" w:rsidRDefault="00000000">
      <w:pPr>
        <w:jc w:val="both"/>
      </w:pPr>
      <w:r>
        <w:rPr>
          <w:rStyle w:val="soitChar"/>
          <w:u w:val="single"/>
        </w:rPr>
        <w:t>Profilés en bois</w:t>
      </w:r>
      <w:r>
        <w:rPr>
          <w:rStyle w:val="soitChar"/>
        </w:rPr>
        <w:t xml:space="preserve"> tels que décrits au </w:t>
      </w:r>
      <w:hyperlink w:anchor="985" w:history="1">
        <w:r>
          <w:rPr>
            <w:rStyle w:val="soitChar"/>
            <w:color w:val="0000EE"/>
          </w:rPr>
          <w:t>43.11.1 Profilés de support continu en bois du revêtement de façade</w:t>
        </w:r>
      </w:hyperlink>
      <w:r>
        <w:rPr>
          <w:rStyle w:val="soitChar"/>
        </w:rPr>
        <w:t>.</w:t>
      </w:r>
    </w:p>
    <w:p w14:paraId="0968A210" w14:textId="77777777" w:rsidR="00772179" w:rsidRDefault="00000000">
      <w:pPr>
        <w:jc w:val="both"/>
      </w:pPr>
      <w:r>
        <w:rPr>
          <w:b/>
        </w:rPr>
        <w:t>(soit)</w:t>
      </w:r>
    </w:p>
    <w:p w14:paraId="0E1DF05F" w14:textId="77777777" w:rsidR="00772179" w:rsidRDefault="00000000">
      <w:pPr>
        <w:jc w:val="both"/>
      </w:pPr>
      <w:r>
        <w:rPr>
          <w:rStyle w:val="soitChar"/>
          <w:u w:val="single"/>
        </w:rPr>
        <w:t>Profilés métalliques</w:t>
      </w:r>
      <w:r>
        <w:rPr>
          <w:rStyle w:val="soitChar"/>
        </w:rPr>
        <w:t xml:space="preserve"> tels que décrits au </w:t>
      </w:r>
      <w:hyperlink w:anchor="993" w:history="1">
        <w:r>
          <w:rPr>
            <w:rStyle w:val="soitChar"/>
            <w:color w:val="0000EE"/>
          </w:rPr>
          <w:t>43.11.2 Profilés de support continu métallique du revêtement de façade</w:t>
        </w:r>
      </w:hyperlink>
      <w:r>
        <w:rPr>
          <w:rStyle w:val="soitChar"/>
        </w:rPr>
        <w:t>.</w:t>
      </w:r>
    </w:p>
    <w:p w14:paraId="2D9B149A" w14:textId="77777777" w:rsidR="00772179" w:rsidRDefault="00000000">
      <w:pPr>
        <w:jc w:val="both"/>
      </w:pPr>
      <w:r>
        <w:rPr>
          <w:b/>
        </w:rPr>
        <w:t>Isolation</w:t>
      </w:r>
      <w:r>
        <w:t xml:space="preserve"> : </w:t>
      </w:r>
      <w:r>
        <w:rPr>
          <w:rStyle w:val="optioncarChar"/>
        </w:rPr>
        <w:t> oui</w:t>
      </w:r>
      <w:r>
        <w:t xml:space="preserve"> (par défaut)</w:t>
      </w:r>
      <w:r>
        <w:rPr>
          <w:rStyle w:val="optioncarChar"/>
        </w:rPr>
        <w:t xml:space="preserve"> / non</w:t>
      </w:r>
    </w:p>
    <w:p w14:paraId="3172123E" w14:textId="77777777" w:rsidR="00772179" w:rsidRDefault="00000000">
      <w:pPr>
        <w:jc w:val="both"/>
      </w:pPr>
      <w:r>
        <w:rPr>
          <w:b/>
        </w:rPr>
        <w:t>(soit par défaut)</w:t>
      </w:r>
    </w:p>
    <w:p w14:paraId="00329424" w14:textId="77777777" w:rsidR="00772179" w:rsidRDefault="00000000">
      <w:pPr>
        <w:jc w:val="both"/>
      </w:pPr>
      <w:r>
        <w:rPr>
          <w:rStyle w:val="soitChar"/>
          <w:u w:val="single"/>
        </w:rPr>
        <w:t>Isolation</w:t>
      </w:r>
      <w:r>
        <w:rPr>
          <w:rStyle w:val="soitChar"/>
        </w:rPr>
        <w:t xml:space="preserve"> suivant descriptif dans l’élément 26.4 Isolation,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w:t>
      </w:r>
      <w:r>
        <w:rPr>
          <w:rStyle w:val="optioncarChar"/>
        </w:rPr>
        <w:t xml:space="preserve"> ***</w:t>
      </w:r>
      <w:r>
        <w:t>.</w:t>
      </w:r>
    </w:p>
    <w:p w14:paraId="2F69E4B9" w14:textId="77777777" w:rsidR="00772179" w:rsidRDefault="00000000">
      <w:pPr>
        <w:jc w:val="both"/>
      </w:pPr>
      <w:r>
        <w:rPr>
          <w:b/>
        </w:rPr>
        <w:t>(soit)</w:t>
      </w:r>
    </w:p>
    <w:p w14:paraId="0C78572B" w14:textId="77777777" w:rsidR="00772179" w:rsidRDefault="00000000">
      <w:pPr>
        <w:jc w:val="both"/>
      </w:pPr>
      <w:r>
        <w:rPr>
          <w:rStyle w:val="soitChar"/>
          <w:u w:val="single"/>
        </w:rPr>
        <w:t>Pas d’isolation</w:t>
      </w:r>
    </w:p>
    <w:p w14:paraId="7FB4B2D5" w14:textId="77777777" w:rsidR="00772179" w:rsidRDefault="00000000">
      <w:pPr>
        <w:jc w:val="both"/>
      </w:pPr>
      <w:r>
        <w:rPr>
          <w:b/>
        </w:rPr>
        <w:t>Pare-pluie</w:t>
      </w:r>
      <w:r>
        <w:t xml:space="preserve"> : </w:t>
      </w:r>
      <w:r>
        <w:rPr>
          <w:rStyle w:val="optioncarChar"/>
        </w:rPr>
        <w:t xml:space="preserve">oui </w:t>
      </w:r>
      <w:r>
        <w:t>(par défaut)</w:t>
      </w:r>
      <w:r>
        <w:rPr>
          <w:rStyle w:val="optioncarChar"/>
        </w:rPr>
        <w:t xml:space="preserve"> / non</w:t>
      </w:r>
    </w:p>
    <w:p w14:paraId="523D87A5" w14:textId="77777777" w:rsidR="00772179" w:rsidRDefault="00000000">
      <w:pPr>
        <w:jc w:val="both"/>
      </w:pPr>
      <w:r>
        <w:rPr>
          <w:b/>
        </w:rPr>
        <w:t>(soit par défaut)</w:t>
      </w:r>
    </w:p>
    <w:p w14:paraId="1D899EEF" w14:textId="77777777" w:rsidR="00772179" w:rsidRDefault="00000000">
      <w:pPr>
        <w:jc w:val="both"/>
      </w:pPr>
      <w:r>
        <w:rPr>
          <w:rStyle w:val="soitChar"/>
          <w:u w:val="single"/>
        </w:rPr>
        <w:t>Pare-pluie</w:t>
      </w:r>
      <w:r>
        <w:rPr>
          <w:rStyle w:val="soitChar"/>
        </w:rPr>
        <w:t xml:space="preserve"> posé sur l’ensemble de la surface de façade avec raccord aux baies tel que décrit sous </w:t>
      </w:r>
      <w:hyperlink w:anchor="994" w:history="1">
        <w:r>
          <w:rPr>
            <w:rStyle w:val="soitChar"/>
            <w:color w:val="0000EE"/>
          </w:rPr>
          <w:t>44.13 Pare-pluie souples</w:t>
        </w:r>
      </w:hyperlink>
      <w:r>
        <w:rPr>
          <w:rStyle w:val="soitChar"/>
        </w:rPr>
        <w:t xml:space="preserve"> / </w:t>
      </w:r>
      <w:hyperlink w:anchor="995" w:history="1">
        <w:r>
          <w:rPr>
            <w:rStyle w:val="soitChar"/>
            <w:color w:val="0000EE"/>
          </w:rPr>
          <w:t>44.14 Pare-pluie rigides</w:t>
        </w:r>
      </w:hyperlink>
    </w:p>
    <w:p w14:paraId="43A2F012" w14:textId="77777777" w:rsidR="00772179" w:rsidRDefault="00000000">
      <w:pPr>
        <w:jc w:val="both"/>
      </w:pPr>
      <w:r>
        <w:rPr>
          <w:b/>
        </w:rPr>
        <w:t>(soit)</w:t>
      </w:r>
    </w:p>
    <w:p w14:paraId="5CE0B3AF" w14:textId="77777777" w:rsidR="00772179" w:rsidRDefault="00000000">
      <w:pPr>
        <w:jc w:val="both"/>
      </w:pPr>
      <w:r>
        <w:rPr>
          <w:rStyle w:val="soitChar"/>
          <w:u w:val="single"/>
        </w:rPr>
        <w:t>Pas de pare-pluie</w:t>
      </w:r>
    </w:p>
    <w:p w14:paraId="335A35EA" w14:textId="77777777" w:rsidR="00772179" w:rsidRDefault="00000000">
      <w:pPr>
        <w:jc w:val="both"/>
      </w:pPr>
      <w:r>
        <w:rPr>
          <w:b/>
        </w:rPr>
        <w:t>Bardeaux en fibres ciment</w:t>
      </w:r>
    </w:p>
    <w:p w14:paraId="26D316B8" w14:textId="77777777" w:rsidR="00772179" w:rsidRDefault="00000000">
      <w:pPr>
        <w:jc w:val="both"/>
      </w:pPr>
      <w:r>
        <w:t>Les bardeaux sont composés de fibres minérales et de ciment et sont exempts d’amiante. Ils sont conformes aux spécifications de la [NBN EN 12467:2012+A2].</w:t>
      </w:r>
    </w:p>
    <w:p w14:paraId="0B1B59FA" w14:textId="77777777" w:rsidR="00772179" w:rsidRDefault="00000000">
      <w:pPr>
        <w:jc w:val="both"/>
      </w:pPr>
      <w:r>
        <w:t>Les accessoires pour la finition des pieds de façade, des angles, des faces latérales, des jonctions avec d'autres matériaux de revêtement de façade sont fabriqués dans le même matériau que les bardeaux en fibres ciment, dans la même épaisseur et présentent des caractéristiques mécaniques identiques.</w:t>
      </w:r>
    </w:p>
    <w:p w14:paraId="33578A16" w14:textId="77777777" w:rsidR="00772179" w:rsidRDefault="00000000">
      <w:pPr>
        <w:pStyle w:val="Author-eListParagraph"/>
        <w:numPr>
          <w:ilvl w:val="0"/>
          <w:numId w:val="918"/>
        </w:numPr>
      </w:pPr>
      <w:r>
        <w:t xml:space="preserve">Densité : </w:t>
      </w:r>
      <w:r>
        <w:rPr>
          <w:rStyle w:val="optioncarChar"/>
        </w:rPr>
        <w:t>1300</w:t>
      </w:r>
      <w:r>
        <w:t xml:space="preserve"> (par défaut)</w:t>
      </w:r>
      <w:r>
        <w:rPr>
          <w:rStyle w:val="optioncarChar"/>
        </w:rPr>
        <w:t xml:space="preserve"> / ***</w:t>
      </w:r>
      <w:r>
        <w:t xml:space="preserve"> kg/m</w:t>
      </w:r>
      <w:r>
        <w:rPr>
          <w:vertAlign w:val="superscript"/>
        </w:rPr>
        <w:t>3</w:t>
      </w:r>
    </w:p>
    <w:p w14:paraId="405945A9" w14:textId="77777777" w:rsidR="00772179" w:rsidRDefault="00000000">
      <w:pPr>
        <w:pStyle w:val="Author-eListParagraph"/>
        <w:numPr>
          <w:ilvl w:val="0"/>
          <w:numId w:val="918"/>
        </w:numPr>
      </w:pPr>
      <w:r>
        <w:t>Suivant norme [NBN EN 12467:2012+A2] : Durabilité classe A  – Résistance classe 2</w:t>
      </w:r>
    </w:p>
    <w:p w14:paraId="3BD22BCD" w14:textId="77777777" w:rsidR="00772179" w:rsidRDefault="00000000">
      <w:pPr>
        <w:pStyle w:val="Author-eListParagraph"/>
        <w:numPr>
          <w:ilvl w:val="0"/>
          <w:numId w:val="918"/>
        </w:numPr>
      </w:pPr>
      <w:r>
        <w:t>Résistant au gel suivant [NBN EN 12467:2012+A2] ; catégorie A</w:t>
      </w:r>
    </w:p>
    <w:p w14:paraId="08E73549" w14:textId="77777777" w:rsidR="00772179" w:rsidRDefault="00000000">
      <w:pPr>
        <w:pStyle w:val="Author-eListParagraph"/>
        <w:numPr>
          <w:ilvl w:val="0"/>
          <w:numId w:val="918"/>
        </w:numPr>
      </w:pPr>
      <w:r>
        <w:t>Réaction au feu : A2-s1d0 suivant [NBN EN 13501-1]</w:t>
      </w:r>
    </w:p>
    <w:p w14:paraId="28F3F4E2" w14:textId="77777777" w:rsidR="00772179" w:rsidRDefault="00000000">
      <w:pPr>
        <w:jc w:val="both"/>
      </w:pPr>
      <w:r>
        <w:rPr>
          <w:rStyle w:val="optioncarChar"/>
        </w:rPr>
        <w:t xml:space="preserve">Panneaux de bardeaux </w:t>
      </w:r>
      <w:r>
        <w:t>(par défaut)</w:t>
      </w:r>
      <w:r>
        <w:rPr>
          <w:rStyle w:val="optioncarChar"/>
        </w:rPr>
        <w:t xml:space="preserve"> / Bardeaux individuels.</w:t>
      </w:r>
    </w:p>
    <w:p w14:paraId="320640E5" w14:textId="77777777" w:rsidR="00772179" w:rsidRDefault="00000000">
      <w:pPr>
        <w:jc w:val="both"/>
      </w:pPr>
      <w:r>
        <w:rPr>
          <w:b/>
        </w:rPr>
        <w:t>(soit par défaut)</w:t>
      </w:r>
    </w:p>
    <w:p w14:paraId="34F44CE9" w14:textId="77777777" w:rsidR="00772179" w:rsidRDefault="00000000">
      <w:pPr>
        <w:jc w:val="both"/>
      </w:pPr>
      <w:r>
        <w:rPr>
          <w:rStyle w:val="soitChar"/>
          <w:u w:val="single"/>
        </w:rPr>
        <w:t>Panneaux de bardeaux :</w:t>
      </w:r>
    </w:p>
    <w:p w14:paraId="1B375792" w14:textId="77777777" w:rsidR="00772179" w:rsidRDefault="00000000">
      <w:pPr>
        <w:pStyle w:val="Author-eListParagraph"/>
        <w:numPr>
          <w:ilvl w:val="0"/>
          <w:numId w:val="919"/>
        </w:numPr>
      </w:pPr>
      <w:r>
        <w:rPr>
          <w:rStyle w:val="soitChar"/>
        </w:rPr>
        <w:t>Dimensions :</w:t>
      </w:r>
    </w:p>
    <w:p w14:paraId="3527361C" w14:textId="77777777" w:rsidR="00772179" w:rsidRDefault="00000000">
      <w:pPr>
        <w:pStyle w:val="Author-eListParagraph"/>
        <w:numPr>
          <w:ilvl w:val="1"/>
          <w:numId w:val="920"/>
        </w:numPr>
      </w:pPr>
      <w:r>
        <w:rPr>
          <w:rStyle w:val="soitChar"/>
        </w:rPr>
        <w:t>Hauteur :</w:t>
      </w:r>
      <w:r>
        <w:t>  </w:t>
      </w:r>
      <w:r>
        <w:rPr>
          <w:rStyle w:val="optioncarChar"/>
        </w:rPr>
        <w:t xml:space="preserve">40 </w:t>
      </w:r>
      <w:r>
        <w:t>(par défaut)</w:t>
      </w:r>
      <w:r>
        <w:rPr>
          <w:rStyle w:val="optioncarChar"/>
        </w:rPr>
        <w:t xml:space="preserve"> / ***</w:t>
      </w:r>
      <w:r>
        <w:t>  </w:t>
      </w:r>
      <w:r>
        <w:rPr>
          <w:rStyle w:val="soitChar"/>
        </w:rPr>
        <w:t>cm</w:t>
      </w:r>
    </w:p>
    <w:p w14:paraId="3C53A13F" w14:textId="77777777" w:rsidR="00772179" w:rsidRDefault="00000000">
      <w:pPr>
        <w:pStyle w:val="Author-eListParagraph"/>
        <w:numPr>
          <w:ilvl w:val="1"/>
          <w:numId w:val="920"/>
        </w:numPr>
      </w:pPr>
      <w:r>
        <w:rPr>
          <w:rStyle w:val="soitChar"/>
        </w:rPr>
        <w:t>Longueur :</w:t>
      </w:r>
      <w:r>
        <w:t>  </w:t>
      </w:r>
      <w:r>
        <w:rPr>
          <w:rStyle w:val="optioncarChar"/>
        </w:rPr>
        <w:t>121</w:t>
      </w:r>
      <w:r>
        <w:t xml:space="preserve"> (par défaut)</w:t>
      </w:r>
      <w:r>
        <w:rPr>
          <w:rStyle w:val="optioncarChar"/>
        </w:rPr>
        <w:t xml:space="preserve"> / ***</w:t>
      </w:r>
      <w:r>
        <w:t> </w:t>
      </w:r>
      <w:r>
        <w:rPr>
          <w:rStyle w:val="soitChar"/>
        </w:rPr>
        <w:t>cm</w:t>
      </w:r>
    </w:p>
    <w:p w14:paraId="6F5DB5E4" w14:textId="77777777" w:rsidR="00772179" w:rsidRDefault="00000000">
      <w:pPr>
        <w:pStyle w:val="Author-eListParagraph"/>
        <w:numPr>
          <w:ilvl w:val="0"/>
          <w:numId w:val="919"/>
        </w:numPr>
      </w:pPr>
      <w:r>
        <w:rPr>
          <w:rStyle w:val="soitChar"/>
        </w:rPr>
        <w:t>Epaisseur :</w:t>
      </w:r>
      <w:r>
        <w:t xml:space="preserve">  </w:t>
      </w:r>
      <w:r>
        <w:rPr>
          <w:rStyle w:val="optioncarChar"/>
        </w:rPr>
        <w:t xml:space="preserve">± 7 </w:t>
      </w:r>
      <w:r>
        <w:t>(par défaut)</w:t>
      </w:r>
      <w:r>
        <w:rPr>
          <w:rStyle w:val="optioncarChar"/>
        </w:rPr>
        <w:t xml:space="preserve"> / ***</w:t>
      </w:r>
      <w:r>
        <w:t> </w:t>
      </w:r>
      <w:r>
        <w:rPr>
          <w:rStyle w:val="soitChar"/>
        </w:rPr>
        <w:t>mm</w:t>
      </w:r>
    </w:p>
    <w:p w14:paraId="7917DB05" w14:textId="77777777" w:rsidR="00772179" w:rsidRDefault="00000000">
      <w:pPr>
        <w:pStyle w:val="Author-eListParagraph"/>
        <w:numPr>
          <w:ilvl w:val="0"/>
          <w:numId w:val="919"/>
        </w:numPr>
      </w:pPr>
      <w:r>
        <w:rPr>
          <w:rStyle w:val="soitChar"/>
        </w:rPr>
        <w:t>Forme :</w:t>
      </w:r>
      <w:r>
        <w:rPr>
          <w:rStyle w:val="optioncarChar"/>
        </w:rPr>
        <w:t xml:space="preserve"> Panneaux à rives décalées</w:t>
      </w:r>
      <w:r>
        <w:t xml:space="preserve"> (par défaut)</w:t>
      </w:r>
      <w:r>
        <w:rPr>
          <w:rStyle w:val="optioncarChar"/>
        </w:rPr>
        <w:t xml:space="preserve"> / panneaux à rives droites / demi-rond / ***</w:t>
      </w:r>
    </w:p>
    <w:p w14:paraId="233A3DF0" w14:textId="77777777" w:rsidR="00772179" w:rsidRDefault="00000000">
      <w:pPr>
        <w:jc w:val="both"/>
      </w:pPr>
      <w:r>
        <w:rPr>
          <w:b/>
        </w:rPr>
        <w:t>(soit)</w:t>
      </w:r>
    </w:p>
    <w:p w14:paraId="0C66E20E" w14:textId="77777777" w:rsidR="00772179" w:rsidRDefault="00000000">
      <w:pPr>
        <w:jc w:val="both"/>
      </w:pPr>
      <w:r>
        <w:rPr>
          <w:rStyle w:val="soitChar"/>
          <w:u w:val="single"/>
        </w:rPr>
        <w:t>Bardeaux individuels :</w:t>
      </w:r>
    </w:p>
    <w:p w14:paraId="61FAD999" w14:textId="77777777" w:rsidR="00772179" w:rsidRDefault="00000000">
      <w:pPr>
        <w:pStyle w:val="Author-eListParagraph"/>
        <w:numPr>
          <w:ilvl w:val="0"/>
          <w:numId w:val="921"/>
        </w:numPr>
      </w:pPr>
      <w:r>
        <w:rPr>
          <w:rStyle w:val="soitChar"/>
        </w:rPr>
        <w:t>Dimensions :</w:t>
      </w:r>
    </w:p>
    <w:p w14:paraId="6F7AAA5B" w14:textId="77777777" w:rsidR="00772179" w:rsidRDefault="00000000">
      <w:pPr>
        <w:pStyle w:val="Author-eListParagraph"/>
        <w:numPr>
          <w:ilvl w:val="1"/>
          <w:numId w:val="922"/>
        </w:numPr>
      </w:pPr>
      <w:r>
        <w:rPr>
          <w:rStyle w:val="soitChar"/>
        </w:rPr>
        <w:t>Hauteur :</w:t>
      </w:r>
      <w:r>
        <w:t xml:space="preserve">  </w:t>
      </w:r>
      <w:r>
        <w:rPr>
          <w:rStyle w:val="optioncarChar"/>
        </w:rPr>
        <w:t xml:space="preserve">40 </w:t>
      </w:r>
      <w:r>
        <w:t>(par défaut)</w:t>
      </w:r>
      <w:r>
        <w:rPr>
          <w:rStyle w:val="optioncarChar"/>
        </w:rPr>
        <w:t xml:space="preserve"> / ***</w:t>
      </w:r>
      <w:r>
        <w:t xml:space="preserve">  </w:t>
      </w:r>
      <w:r>
        <w:rPr>
          <w:rStyle w:val="soitChar"/>
        </w:rPr>
        <w:t>cm</w:t>
      </w:r>
    </w:p>
    <w:p w14:paraId="4FE654DA" w14:textId="77777777" w:rsidR="00772179" w:rsidRDefault="00000000">
      <w:pPr>
        <w:pStyle w:val="Author-eListParagraph"/>
        <w:numPr>
          <w:ilvl w:val="1"/>
          <w:numId w:val="922"/>
        </w:numPr>
      </w:pPr>
      <w:r>
        <w:rPr>
          <w:rStyle w:val="soitChar"/>
        </w:rPr>
        <w:t>Largueur :</w:t>
      </w:r>
      <w:r>
        <w:t>  </w:t>
      </w:r>
      <w:r>
        <w:rPr>
          <w:rStyle w:val="optioncarChar"/>
        </w:rPr>
        <w:t>± 10</w:t>
      </w:r>
      <w:r>
        <w:t xml:space="preserve"> (par défaut) </w:t>
      </w:r>
      <w:r>
        <w:rPr>
          <w:rStyle w:val="optioncarChar"/>
        </w:rPr>
        <w:t>/ ± 14 / ± 17 / ± 18 / ± 25 / ***</w:t>
      </w:r>
      <w:r>
        <w:t> </w:t>
      </w:r>
      <w:r>
        <w:rPr>
          <w:rStyle w:val="soitChar"/>
        </w:rPr>
        <w:t>cm</w:t>
      </w:r>
    </w:p>
    <w:p w14:paraId="52520955" w14:textId="77777777" w:rsidR="00772179" w:rsidRDefault="00000000">
      <w:pPr>
        <w:pStyle w:val="Author-eListParagraph"/>
        <w:numPr>
          <w:ilvl w:val="0"/>
          <w:numId w:val="921"/>
        </w:numPr>
      </w:pPr>
      <w:r>
        <w:rPr>
          <w:rStyle w:val="soitChar"/>
        </w:rPr>
        <w:t>Epaisseur :</w:t>
      </w:r>
      <w:r>
        <w:t xml:space="preserve">  </w:t>
      </w:r>
      <w:r>
        <w:rPr>
          <w:rStyle w:val="optioncarChar"/>
        </w:rPr>
        <w:t xml:space="preserve">± 7 </w:t>
      </w:r>
      <w:r>
        <w:t>(par défaut)</w:t>
      </w:r>
      <w:r>
        <w:rPr>
          <w:rStyle w:val="optioncarChar"/>
        </w:rPr>
        <w:t xml:space="preserve"> / ***</w:t>
      </w:r>
      <w:r>
        <w:t> </w:t>
      </w:r>
      <w:r>
        <w:rPr>
          <w:rStyle w:val="soitChar"/>
        </w:rPr>
        <w:t>mm</w:t>
      </w:r>
    </w:p>
    <w:p w14:paraId="303CEF6D" w14:textId="77777777" w:rsidR="00772179" w:rsidRDefault="00000000">
      <w:pPr>
        <w:pStyle w:val="Author-eListParagraph"/>
        <w:numPr>
          <w:ilvl w:val="0"/>
          <w:numId w:val="921"/>
        </w:numPr>
      </w:pPr>
      <w:r>
        <w:rPr>
          <w:rStyle w:val="soitChar"/>
        </w:rPr>
        <w:lastRenderedPageBreak/>
        <w:t>Forme :</w:t>
      </w:r>
      <w:r>
        <w:t>  </w:t>
      </w:r>
      <w:r>
        <w:rPr>
          <w:rStyle w:val="optioncarChar"/>
        </w:rPr>
        <w:t xml:space="preserve">rectangulaire </w:t>
      </w:r>
      <w:r>
        <w:t>(par défaut)</w:t>
      </w:r>
      <w:r>
        <w:rPr>
          <w:rStyle w:val="optioncarChar"/>
        </w:rPr>
        <w:t xml:space="preserve"> / ***</w:t>
      </w:r>
      <w:r>
        <w:br/>
      </w:r>
    </w:p>
    <w:p w14:paraId="2CB9F181" w14:textId="77777777" w:rsidR="00772179" w:rsidRDefault="00000000">
      <w:pPr>
        <w:jc w:val="both"/>
      </w:pPr>
      <w:r>
        <w:rPr>
          <w:b/>
        </w:rPr>
        <w:t>Aspects environnementaux :</w:t>
      </w:r>
    </w:p>
    <w:p w14:paraId="7472B196" w14:textId="77777777" w:rsidR="00772179" w:rsidRDefault="00000000">
      <w:pPr>
        <w:jc w:val="both"/>
      </w:pPr>
      <w:r>
        <w:t>La mise en œuvre par fixation mécanique permet le démontage non destructif des panneaux et bardeaux.</w:t>
      </w:r>
    </w:p>
    <w:p w14:paraId="6F13AB85" w14:textId="77777777" w:rsidR="00772179" w:rsidRDefault="00000000">
      <w:pPr>
        <w:jc w:val="both"/>
      </w:pPr>
      <w:r>
        <w:t xml:space="preserve">Le matériau dispose d’un EPD : </w:t>
      </w:r>
      <w:r>
        <w:rPr>
          <w:rStyle w:val="optioncarChar"/>
        </w:rPr>
        <w:t xml:space="preserve">oui </w:t>
      </w:r>
      <w:r>
        <w:t>(par défaut)</w:t>
      </w:r>
      <w:r>
        <w:rPr>
          <w:rStyle w:val="optioncarChar"/>
        </w:rPr>
        <w:t xml:space="preserve"> / non</w:t>
      </w:r>
      <w:r>
        <w:t>.</w:t>
      </w:r>
    </w:p>
    <w:p w14:paraId="60A7FA09" w14:textId="77777777" w:rsidR="00772179" w:rsidRDefault="00000000">
      <w:pPr>
        <w:jc w:val="both"/>
      </w:pPr>
      <w:r>
        <w:t xml:space="preserve">Taux de matériaux locaux : ≥ </w:t>
      </w:r>
      <w:r>
        <w:rPr>
          <w:rStyle w:val="optioncarChar"/>
        </w:rPr>
        <w:t>75</w:t>
      </w:r>
      <w:r>
        <w:t xml:space="preserve"> (par défaut) </w:t>
      </w:r>
      <w:r>
        <w:rPr>
          <w:rStyle w:val="optioncarChar"/>
        </w:rPr>
        <w:t>/ 50 / ***</w:t>
      </w:r>
      <w:r>
        <w:t xml:space="preserve"> %</w:t>
      </w:r>
    </w:p>
    <w:p w14:paraId="27301AB1" w14:textId="77777777" w:rsidR="00772179" w:rsidRDefault="00000000">
      <w:pPr>
        <w:jc w:val="both"/>
      </w:pPr>
      <w:r>
        <w:t xml:space="preserve">Les déchets produits lors de la mise en œuvre du matériau sont récupérés et recyclés par le fabricant : </w:t>
      </w:r>
      <w:r>
        <w:rPr>
          <w:rStyle w:val="optioncarChar"/>
        </w:rPr>
        <w:t>oui</w:t>
      </w:r>
      <w:r>
        <w:t xml:space="preserve"> (par défaut) </w:t>
      </w:r>
      <w:r>
        <w:rPr>
          <w:rStyle w:val="optioncarChar"/>
        </w:rPr>
        <w:t>/ non</w:t>
      </w:r>
      <w:r>
        <w:t>.</w:t>
      </w:r>
    </w:p>
    <w:p w14:paraId="7B7CAF98" w14:textId="77777777" w:rsidR="00772179" w:rsidRDefault="00000000">
      <w:pPr>
        <w:pStyle w:val="pheading"/>
      </w:pPr>
      <w:r>
        <w:t>- Finitions</w:t>
      </w:r>
    </w:p>
    <w:p w14:paraId="79695C5E" w14:textId="77777777" w:rsidR="00772179" w:rsidRDefault="00000000">
      <w:pPr>
        <w:pStyle w:val="Author-eListParagraph"/>
        <w:numPr>
          <w:ilvl w:val="0"/>
          <w:numId w:val="923"/>
        </w:numPr>
        <w:jc w:val="both"/>
      </w:pPr>
      <w:r>
        <w:t xml:space="preserve">Mode de coloration : </w:t>
      </w:r>
      <w:r>
        <w:rPr>
          <w:rStyle w:val="optioncarChar"/>
        </w:rPr>
        <w:t xml:space="preserve">peinture durcie par cuisson </w:t>
      </w:r>
      <w:r>
        <w:t>(par défaut) </w:t>
      </w:r>
      <w:r>
        <w:rPr>
          <w:rStyle w:val="optioncarChar"/>
        </w:rPr>
        <w:t>/ dans la masse</w:t>
      </w:r>
    </w:p>
    <w:p w14:paraId="5A096F9E" w14:textId="77777777" w:rsidR="00772179" w:rsidRDefault="00000000">
      <w:pPr>
        <w:pStyle w:val="Author-eListParagraph"/>
        <w:numPr>
          <w:ilvl w:val="0"/>
          <w:numId w:val="923"/>
        </w:numPr>
        <w:jc w:val="both"/>
      </w:pPr>
      <w:r>
        <w:t xml:space="preserve">Couleur des plaques : </w:t>
      </w:r>
      <w:r>
        <w:rPr>
          <w:rStyle w:val="optioncarChar"/>
        </w:rPr>
        <w:t>à choisir par la direction de chantier (maître d’ouvrage)</w:t>
      </w:r>
      <w:r>
        <w:t xml:space="preserve"> (par défaut)</w:t>
      </w:r>
      <w:r>
        <w:rPr>
          <w:rStyle w:val="optioncarChar"/>
        </w:rPr>
        <w:t xml:space="preserve"> / ***</w:t>
      </w:r>
    </w:p>
    <w:p w14:paraId="370BE8C6" w14:textId="77777777" w:rsidR="00772179" w:rsidRDefault="00000000">
      <w:pPr>
        <w:pStyle w:val="Author-eListParagraph"/>
        <w:numPr>
          <w:ilvl w:val="0"/>
          <w:numId w:val="923"/>
        </w:numPr>
        <w:jc w:val="both"/>
      </w:pPr>
      <w:r>
        <w:t>Structure de la surface :</w:t>
      </w:r>
      <w:r>
        <w:rPr>
          <w:rStyle w:val="optioncarChar"/>
        </w:rPr>
        <w:t xml:space="preserve"> lisse et égale </w:t>
      </w:r>
      <w:r>
        <w:t>(par défaut)</w:t>
      </w:r>
      <w:r>
        <w:rPr>
          <w:rStyle w:val="optioncarChar"/>
        </w:rPr>
        <w:t xml:space="preserve"> / relief</w:t>
      </w:r>
    </w:p>
    <w:p w14:paraId="5EEDCEBE" w14:textId="77777777" w:rsidR="00772179" w:rsidRDefault="00000000">
      <w:pPr>
        <w:pStyle w:val="pheading"/>
      </w:pPr>
      <w:r>
        <w:t>EXÉCUTION / MISE EN ŒUVRE</w:t>
      </w:r>
    </w:p>
    <w:p w14:paraId="64212E8E" w14:textId="77777777" w:rsidR="00772179" w:rsidRDefault="00000000">
      <w:pPr>
        <w:pStyle w:val="pheading"/>
      </w:pPr>
      <w:r>
        <w:t>- Prescriptions générales</w:t>
      </w:r>
    </w:p>
    <w:p w14:paraId="6803EE20" w14:textId="77777777" w:rsidR="00772179" w:rsidRDefault="00000000">
      <w:pPr>
        <w:jc w:val="both"/>
      </w:pPr>
      <w:r>
        <w:t>La mise en œuvre est exécutée conformément à la documentation technique accompagnant les produits.</w:t>
      </w:r>
    </w:p>
    <w:p w14:paraId="79D33B15" w14:textId="77777777" w:rsidR="00772179" w:rsidRDefault="00000000">
      <w:pPr>
        <w:jc w:val="both"/>
      </w:pPr>
      <w:r>
        <w:t>Calcul statique de la façade :  </w:t>
      </w:r>
      <w:r>
        <w:rPr>
          <w:rStyle w:val="optioncarChar"/>
        </w:rPr>
        <w:t>à charge de l’entrepreneur</w:t>
      </w:r>
      <w:r>
        <w:t xml:space="preserve"> (par défaut) </w:t>
      </w:r>
      <w:r>
        <w:rPr>
          <w:rStyle w:val="optioncarChar"/>
        </w:rPr>
        <w:t>/ du maître de l’ouvrage</w:t>
      </w:r>
    </w:p>
    <w:p w14:paraId="378E7F54" w14:textId="77777777" w:rsidR="00772179" w:rsidRDefault="00000000">
      <w:pPr>
        <w:jc w:val="both"/>
      </w:pPr>
      <w:r>
        <w:t>Pose du pare-pluie sur l’ensemble de la façade avec raccords aux baies.</w:t>
      </w:r>
    </w:p>
    <w:p w14:paraId="70B7862A" w14:textId="77777777" w:rsidR="00772179" w:rsidRDefault="00000000">
      <w:pPr>
        <w:jc w:val="both"/>
      </w:pPr>
      <w:r>
        <w:t>En cas d’isolation, l’entrepreneur soumet le procédé d’exécution respectant la prescription du niveau d’isolation pour accord à la direction de chantier (voir plus haut).</w:t>
      </w:r>
    </w:p>
    <w:p w14:paraId="4BA2F27E" w14:textId="77777777" w:rsidR="00772179" w:rsidRDefault="00000000">
      <w:pPr>
        <w:jc w:val="both"/>
      </w:pPr>
      <w:r>
        <w:t>L’entrepreneur remet une description détaillée de la pose de la structure (entraxe, diamètre de fixation et nombre...) pour accord à la direction de chantier.</w:t>
      </w:r>
    </w:p>
    <w:p w14:paraId="453DA1B7" w14:textId="77777777" w:rsidR="00772179" w:rsidRDefault="00000000">
      <w:pPr>
        <w:pStyle w:val="Author-eListParagraph"/>
        <w:numPr>
          <w:ilvl w:val="0"/>
          <w:numId w:val="924"/>
        </w:numPr>
      </w:pPr>
      <w:r>
        <w:t>Réalisation d’un espace de ventilation ≥ 20 mm avec une grille anti-rongeurs à chaque ouverture.</w:t>
      </w:r>
    </w:p>
    <w:p w14:paraId="6871D06E" w14:textId="77777777" w:rsidR="00772179" w:rsidRDefault="00000000">
      <w:pPr>
        <w:pStyle w:val="Author-eListParagraph"/>
        <w:numPr>
          <w:ilvl w:val="0"/>
          <w:numId w:val="924"/>
        </w:numPr>
      </w:pPr>
      <w:r>
        <w:t xml:space="preserve">En cas de support bois : lattage : </w:t>
      </w:r>
      <w:r>
        <w:rPr>
          <w:rStyle w:val="optioncarChar"/>
        </w:rPr>
        <w:t xml:space="preserve">32x27 </w:t>
      </w:r>
      <w:r>
        <w:t xml:space="preserve">(par défaut) </w:t>
      </w:r>
      <w:r>
        <w:rPr>
          <w:rStyle w:val="optioncarChar"/>
        </w:rPr>
        <w:t>/ ***</w:t>
      </w:r>
      <w:r>
        <w:t xml:space="preserve"> mm, écartement du lattage adapté aux dimensions des bardeaux.</w:t>
      </w:r>
    </w:p>
    <w:p w14:paraId="7155FBD4" w14:textId="77777777" w:rsidR="00772179" w:rsidRDefault="00000000">
      <w:pPr>
        <w:pStyle w:val="Author-eListParagraph"/>
        <w:numPr>
          <w:ilvl w:val="0"/>
          <w:numId w:val="924"/>
        </w:numPr>
      </w:pPr>
      <w:r>
        <w:t>En cas de support métallique : dimensionnement à confirmer par note de calcul par l’entrepreneur, écartement du lattage adapté aux dimensions des bardeaux</w:t>
      </w:r>
    </w:p>
    <w:p w14:paraId="0AAAD520" w14:textId="77777777" w:rsidR="00772179" w:rsidRDefault="00000000">
      <w:pPr>
        <w:pStyle w:val="Author-eListParagraph"/>
        <w:numPr>
          <w:ilvl w:val="0"/>
          <w:numId w:val="924"/>
        </w:numPr>
      </w:pPr>
      <w:r>
        <w:t xml:space="preserve">Ecartement du lattage adapté à la hauteur </w:t>
      </w:r>
      <w:r>
        <w:rPr>
          <w:rStyle w:val="optioncarChar"/>
        </w:rPr>
        <w:t>des panneaux de bardeaux / bardeaux individuels</w:t>
      </w:r>
      <w:r>
        <w:t>.</w:t>
      </w:r>
    </w:p>
    <w:p w14:paraId="56BEEFAF" w14:textId="77777777" w:rsidR="00772179" w:rsidRDefault="00000000">
      <w:pPr>
        <w:pStyle w:val="Author-eListParagraph"/>
        <w:numPr>
          <w:ilvl w:val="0"/>
          <w:numId w:val="924"/>
        </w:numPr>
      </w:pPr>
      <w:r>
        <w:t xml:space="preserve">Fixation : </w:t>
      </w:r>
      <w:r>
        <w:rPr>
          <w:rStyle w:val="optioncarChar"/>
        </w:rPr>
        <w:t xml:space="preserve">clous inox 316 </w:t>
      </w:r>
      <w:r>
        <w:t>(par défaut) /</w:t>
      </w:r>
      <w:r>
        <w:rPr>
          <w:rStyle w:val="optioncarChar"/>
        </w:rPr>
        <w:t xml:space="preserve"> clous galvanisés / vis inox 316 / vis acier galvanisé / ***</w:t>
      </w:r>
    </w:p>
    <w:p w14:paraId="75FDFC37" w14:textId="77777777" w:rsidR="00772179" w:rsidRDefault="00000000">
      <w:pPr>
        <w:pStyle w:val="Author-eListParagraph"/>
        <w:numPr>
          <w:ilvl w:val="0"/>
          <w:numId w:val="924"/>
        </w:numPr>
      </w:pPr>
      <w:r>
        <w:t>Pose de panneaux de bardeaux : fixation avec entraxe : ≤ </w:t>
      </w:r>
      <w:r>
        <w:rPr>
          <w:rStyle w:val="optioncarChar"/>
        </w:rPr>
        <w:t>35 / ***</w:t>
      </w:r>
      <w:r>
        <w:t xml:space="preserve"> cm</w:t>
      </w:r>
    </w:p>
    <w:p w14:paraId="2BC1BC8C" w14:textId="77777777" w:rsidR="00772179" w:rsidRDefault="00000000">
      <w:pPr>
        <w:pStyle w:val="Author-eListParagraph"/>
        <w:numPr>
          <w:ilvl w:val="0"/>
          <w:numId w:val="924"/>
        </w:numPr>
      </w:pPr>
      <w:r>
        <w:t>Écartement entre les panneaux de bardeaux : ≤ </w:t>
      </w:r>
      <w:r>
        <w:rPr>
          <w:rStyle w:val="optioncarChar"/>
        </w:rPr>
        <w:t>- 6 / ***</w:t>
      </w:r>
      <w:r>
        <w:t xml:space="preserve"> mm</w:t>
      </w:r>
    </w:p>
    <w:p w14:paraId="426B165C" w14:textId="77777777" w:rsidR="00772179" w:rsidRDefault="00000000">
      <w:pPr>
        <w:pStyle w:val="Author-eListParagraph"/>
        <w:numPr>
          <w:ilvl w:val="0"/>
          <w:numId w:val="924"/>
        </w:numPr>
      </w:pPr>
      <w:r>
        <w:t>Pose de bardeaux individuels :</w:t>
      </w:r>
      <w:r>
        <w:rPr>
          <w:rStyle w:val="optioncarChar"/>
        </w:rPr>
        <w:t xml:space="preserve"> de largeur constante </w:t>
      </w:r>
      <w:r>
        <w:t>(par défaut)</w:t>
      </w:r>
      <w:r>
        <w:rPr>
          <w:rStyle w:val="optioncarChar"/>
        </w:rPr>
        <w:t xml:space="preserve"> / largeurs différentes placées en calepinage sauvage</w:t>
      </w:r>
      <w:r>
        <w:t>.</w:t>
      </w:r>
    </w:p>
    <w:p w14:paraId="2145968C" w14:textId="77777777" w:rsidR="00772179" w:rsidRDefault="00000000">
      <w:pPr>
        <w:pStyle w:val="Author-eListParagraph"/>
        <w:numPr>
          <w:ilvl w:val="0"/>
          <w:numId w:val="924"/>
        </w:numPr>
      </w:pPr>
      <w:r>
        <w:t xml:space="preserve">Bardeaux individuels, recouvrement latéral : ≥ </w:t>
      </w:r>
      <w:r>
        <w:rPr>
          <w:rStyle w:val="optioncarChar"/>
        </w:rPr>
        <w:t>40 / ***</w:t>
      </w:r>
      <w:r>
        <w:t xml:space="preserve"> mm</w:t>
      </w:r>
    </w:p>
    <w:p w14:paraId="05AD4B82" w14:textId="77777777" w:rsidR="00772179" w:rsidRDefault="00000000">
      <w:pPr>
        <w:pStyle w:val="Author-eListParagraph"/>
        <w:numPr>
          <w:ilvl w:val="0"/>
          <w:numId w:val="924"/>
        </w:numPr>
      </w:pPr>
      <w:r>
        <w:t>Écartement entre les bardeaux individuels : ≤ </w:t>
      </w:r>
      <w:r>
        <w:rPr>
          <w:rStyle w:val="optioncarChar"/>
        </w:rPr>
        <w:t>6 / ***</w:t>
      </w:r>
      <w:r>
        <w:t xml:space="preserve"> mm</w:t>
      </w:r>
    </w:p>
    <w:p w14:paraId="64367B1D" w14:textId="77777777" w:rsidR="00772179" w:rsidRDefault="00000000">
      <w:pPr>
        <w:pStyle w:val="Author-eListParagraph"/>
        <w:numPr>
          <w:ilvl w:val="0"/>
          <w:numId w:val="924"/>
        </w:numPr>
      </w:pPr>
      <w:r>
        <w:t>Ecartement par rapport aux matériaux adjacents : ≥ </w:t>
      </w:r>
      <w:r>
        <w:rPr>
          <w:rStyle w:val="optioncarChar"/>
        </w:rPr>
        <w:t>3 / ***</w:t>
      </w:r>
      <w:r>
        <w:t xml:space="preserve"> mm</w:t>
      </w:r>
    </w:p>
    <w:p w14:paraId="191DECEA" w14:textId="77777777" w:rsidR="00772179" w:rsidRDefault="00000000">
      <w:pPr>
        <w:pStyle w:val="Author-eListParagraph"/>
        <w:numPr>
          <w:ilvl w:val="0"/>
          <w:numId w:val="924"/>
        </w:numPr>
      </w:pPr>
      <w:r>
        <w:t xml:space="preserve">Fixations : </w:t>
      </w:r>
      <w:r>
        <w:rPr>
          <w:rStyle w:val="optioncarChar"/>
        </w:rPr>
        <w:t xml:space="preserve">2 par bardeaux </w:t>
      </w:r>
      <w:r>
        <w:t xml:space="preserve">(par défaut) </w:t>
      </w:r>
      <w:r>
        <w:rPr>
          <w:rStyle w:val="optioncarChar"/>
        </w:rPr>
        <w:t>/ 3 par bardeaux &gt; 20 cm</w:t>
      </w:r>
    </w:p>
    <w:p w14:paraId="2C169DA2" w14:textId="77777777" w:rsidR="00772179" w:rsidRDefault="00000000">
      <w:pPr>
        <w:pStyle w:val="Author-eListParagraph"/>
        <w:numPr>
          <w:ilvl w:val="0"/>
          <w:numId w:val="924"/>
        </w:numPr>
      </w:pPr>
      <w:r>
        <w:t>Finition des angles sortants et rentrants au moyen de : </w:t>
      </w:r>
      <w:r>
        <w:rPr>
          <w:rStyle w:val="optioncarChar"/>
        </w:rPr>
        <w:t xml:space="preserve">bardeaux triangulés </w:t>
      </w:r>
      <w:r>
        <w:t>(par défaut)</w:t>
      </w:r>
      <w:r>
        <w:rPr>
          <w:rStyle w:val="optioncarChar"/>
        </w:rPr>
        <w:t xml:space="preserve"> / planches de fibrociment de même nature que les bardeaux / ***</w:t>
      </w:r>
      <w:r>
        <w:t>.</w:t>
      </w:r>
    </w:p>
    <w:p w14:paraId="7AAA1468" w14:textId="77777777" w:rsidR="00772179" w:rsidRDefault="00000000">
      <w:pPr>
        <w:pStyle w:val="Author-eListParagraph"/>
        <w:numPr>
          <w:ilvl w:val="0"/>
          <w:numId w:val="924"/>
        </w:numPr>
      </w:pPr>
      <w:r>
        <w:t xml:space="preserve">Finition au droit des joues de baies au moyen de : </w:t>
      </w:r>
      <w:r>
        <w:rPr>
          <w:rStyle w:val="optioncarChar"/>
        </w:rPr>
        <w:t>bardeaux triangulés</w:t>
      </w:r>
      <w:r>
        <w:t xml:space="preserve"> (par défaut)</w:t>
      </w:r>
      <w:r>
        <w:rPr>
          <w:rStyle w:val="optioncarChar"/>
        </w:rPr>
        <w:t xml:space="preserve"> / planches de fibrociment de même nature que les bardeaux / tôle d’aluminium thermolaqué / tôle d’acier thermolaqué / ***</w:t>
      </w:r>
      <w:r>
        <w:t>.</w:t>
      </w:r>
    </w:p>
    <w:p w14:paraId="69DDE1B3" w14:textId="77777777" w:rsidR="00772179" w:rsidRDefault="00000000">
      <w:pPr>
        <w:pStyle w:val="pheading"/>
      </w:pPr>
      <w:r>
        <w:t>DOCUMENTS DE RÉFÉRENCE COMPLÉMENTAIRES</w:t>
      </w:r>
    </w:p>
    <w:p w14:paraId="00287D0D" w14:textId="77777777" w:rsidR="00772179" w:rsidRDefault="00000000">
      <w:pPr>
        <w:pStyle w:val="pheading"/>
      </w:pPr>
      <w:r>
        <w:t>- Matériau</w:t>
      </w:r>
    </w:p>
    <w:p w14:paraId="2C521A37" w14:textId="77777777" w:rsidR="00772179" w:rsidRDefault="00000000">
      <w:r>
        <w:lastRenderedPageBreak/>
        <w:t>[NBN EN 12467:2012+A2, Plaques planes en fibres-ciment - Spécifications du produit et méthodes d'essai]</w:t>
      </w:r>
    </w:p>
    <w:p w14:paraId="64C47630" w14:textId="77777777" w:rsidR="00772179" w:rsidRDefault="00000000">
      <w:pPr>
        <w:pStyle w:val="pheading"/>
      </w:pPr>
      <w:r>
        <w:t>MESURAGE</w:t>
      </w:r>
    </w:p>
    <w:p w14:paraId="5FF6FF3B" w14:textId="77777777" w:rsidR="00772179" w:rsidRDefault="00000000">
      <w:pPr>
        <w:pStyle w:val="pheading"/>
      </w:pPr>
      <w:r>
        <w:t>- unité de mesure:</w:t>
      </w:r>
    </w:p>
    <w:p w14:paraId="21AA5493" w14:textId="77777777" w:rsidR="00772179" w:rsidRDefault="00000000">
      <w:r>
        <w:t>m²</w:t>
      </w:r>
    </w:p>
    <w:p w14:paraId="1E7B5296" w14:textId="77777777" w:rsidR="00772179" w:rsidRDefault="00000000">
      <w:pPr>
        <w:pStyle w:val="pheading"/>
      </w:pPr>
      <w:r>
        <w:t>- code de mesurage:</w:t>
      </w:r>
    </w:p>
    <w:p w14:paraId="7C1C0D65" w14:textId="77777777" w:rsidR="00772179" w:rsidRDefault="00000000">
      <w:pPr>
        <w:jc w:val="both"/>
      </w:pPr>
      <w:r>
        <w:rPr>
          <w:color w:val="000000"/>
        </w:rPr>
        <w:t xml:space="preserve"> Surface nette des façades et joues des ouvertures et des fenêtres. Les réservations supérieures à 0,5m</w:t>
      </w:r>
      <w:r>
        <w:rPr>
          <w:color w:val="000000"/>
          <w:vertAlign w:val="superscript"/>
        </w:rPr>
        <w:t>2</w:t>
      </w:r>
      <w:r>
        <w:rPr>
          <w:color w:val="000000"/>
        </w:rPr>
        <w:t xml:space="preserve"> sont déduites.</w:t>
      </w:r>
    </w:p>
    <w:p w14:paraId="5B3AD1C7" w14:textId="77777777" w:rsidR="00772179" w:rsidRDefault="00000000">
      <w:pPr>
        <w:pStyle w:val="pheading"/>
      </w:pPr>
      <w:r>
        <w:t>- nature du marché:</w:t>
      </w:r>
    </w:p>
    <w:p w14:paraId="7A8EA352" w14:textId="77777777" w:rsidR="00772179" w:rsidRDefault="00000000">
      <w:r>
        <w:t>QF</w:t>
      </w:r>
    </w:p>
    <w:p w14:paraId="4D1C6D6F" w14:textId="77777777" w:rsidR="00772179" w:rsidRDefault="00000000">
      <w:pPr>
        <w:pStyle w:val="Author-eSectionHeading5Numberless"/>
      </w:pPr>
      <w:bookmarkStart w:id="735" w:name="_Toc220490424"/>
      <w:r>
        <w:t>43.23.2 Revêtements de façade rigides fixés mécaniquement - bardeaux en bois CCTB 01.02</w:t>
      </w:r>
      <w:bookmarkEnd w:id="735"/>
    </w:p>
    <w:p w14:paraId="569F23D9" w14:textId="77777777" w:rsidR="00772179" w:rsidRDefault="00000000">
      <w:pPr>
        <w:pStyle w:val="Author-eSectionHeading6Numberless"/>
      </w:pPr>
      <w:bookmarkStart w:id="736" w:name="_Toc220490425"/>
      <w:r>
        <w:t>43.23.2a Revêtements de façade rigides fixés mécaniquement - bardeaux en bois CCTB 01.12</w:t>
      </w:r>
      <w:bookmarkEnd w:id="736"/>
    </w:p>
    <w:p w14:paraId="322F2495" w14:textId="77777777" w:rsidR="00772179" w:rsidRDefault="00000000">
      <w:pPr>
        <w:pStyle w:val="pheading"/>
      </w:pPr>
      <w:r>
        <w:t>DESCRIPTION</w:t>
      </w:r>
    </w:p>
    <w:p w14:paraId="559B3F6B" w14:textId="77777777" w:rsidR="00772179" w:rsidRDefault="00000000">
      <w:pPr>
        <w:pStyle w:val="pheading"/>
      </w:pPr>
      <w:r>
        <w:t>- Définition / Comprend</w:t>
      </w:r>
    </w:p>
    <w:p w14:paraId="3FDCDD2A" w14:textId="77777777" w:rsidR="00772179" w:rsidRDefault="00000000">
      <w:pPr>
        <w:jc w:val="both"/>
      </w:pPr>
      <w:r>
        <w:t>Il s’agit de la fourniture et la pose de bardeaux en bois fixés mécaniquement à une structure secondaire en profilés de support en façade en vue de la réalisation d’un ouvrage soigné et propre.</w:t>
      </w:r>
    </w:p>
    <w:p w14:paraId="171D6050" w14:textId="77777777" w:rsidR="00772179" w:rsidRDefault="00000000">
      <w:pPr>
        <w:jc w:val="both"/>
      </w:pPr>
      <w:r>
        <w:t>La portée des travaux est décrite au </w:t>
      </w:r>
      <w:hyperlink w:anchor="984" w:history="1">
        <w:r>
          <w:rPr>
            <w:color w:val="0000EE"/>
          </w:rPr>
          <w:t>43.2 Revêtements de façade rigides fixés mécaniquement</w:t>
        </w:r>
      </w:hyperlink>
      <w:r>
        <w:t>.</w:t>
      </w:r>
    </w:p>
    <w:p w14:paraId="5D049E8C" w14:textId="77777777" w:rsidR="00772179" w:rsidRDefault="00000000">
      <w:pPr>
        <w:pStyle w:val="pheading"/>
      </w:pPr>
      <w:r>
        <w:t>MATÉRIAUX</w:t>
      </w:r>
    </w:p>
    <w:p w14:paraId="154357A0" w14:textId="77777777" w:rsidR="00772179" w:rsidRDefault="00000000">
      <w:pPr>
        <w:pStyle w:val="pheading"/>
      </w:pPr>
      <w:r>
        <w:t>- Caractéristiques générales</w:t>
      </w:r>
    </w:p>
    <w:p w14:paraId="538544C7" w14:textId="77777777" w:rsidR="00772179" w:rsidRDefault="00000000">
      <w:pPr>
        <w:jc w:val="both"/>
      </w:pPr>
      <w:r>
        <w:rPr>
          <w:b/>
        </w:rPr>
        <w:t>Profilés</w:t>
      </w:r>
      <w:r>
        <w:t xml:space="preserve"> : </w:t>
      </w:r>
      <w:r>
        <w:rPr>
          <w:rStyle w:val="optioncarChar"/>
        </w:rPr>
        <w:t>en bois</w:t>
      </w:r>
      <w:r>
        <w:t xml:space="preserve"> (par défaut)</w:t>
      </w:r>
      <w:r>
        <w:rPr>
          <w:rStyle w:val="optioncarChar"/>
        </w:rPr>
        <w:t xml:space="preserve"> / métalliques</w:t>
      </w:r>
    </w:p>
    <w:p w14:paraId="3AAC7437" w14:textId="77777777" w:rsidR="00772179" w:rsidRDefault="00000000">
      <w:pPr>
        <w:jc w:val="both"/>
      </w:pPr>
      <w:r>
        <w:rPr>
          <w:b/>
        </w:rPr>
        <w:t>(soit par défaut)</w:t>
      </w:r>
    </w:p>
    <w:p w14:paraId="04F3275E" w14:textId="77777777" w:rsidR="00772179" w:rsidRDefault="00000000">
      <w:pPr>
        <w:jc w:val="both"/>
      </w:pPr>
      <w:r>
        <w:rPr>
          <w:rStyle w:val="soitChar"/>
          <w:u w:val="single"/>
        </w:rPr>
        <w:t>Profilés en bois</w:t>
      </w:r>
      <w:r>
        <w:rPr>
          <w:rStyle w:val="soitChar"/>
        </w:rPr>
        <w:t xml:space="preserve"> tels que décrits au </w:t>
      </w:r>
      <w:hyperlink w:anchor="985" w:history="1">
        <w:r>
          <w:rPr>
            <w:rStyle w:val="soitChar"/>
            <w:color w:val="0000EE"/>
          </w:rPr>
          <w:t>43.11.1 Profilés de support continu en bois du revêtement de façade</w:t>
        </w:r>
      </w:hyperlink>
      <w:r>
        <w:rPr>
          <w:rStyle w:val="soitChar"/>
        </w:rPr>
        <w:t>.</w:t>
      </w:r>
    </w:p>
    <w:p w14:paraId="7F39FC43" w14:textId="77777777" w:rsidR="00772179" w:rsidRDefault="00000000">
      <w:pPr>
        <w:jc w:val="both"/>
      </w:pPr>
      <w:r>
        <w:rPr>
          <w:b/>
        </w:rPr>
        <w:t>(soit)</w:t>
      </w:r>
    </w:p>
    <w:p w14:paraId="6E8FA29A" w14:textId="77777777" w:rsidR="00772179" w:rsidRDefault="00000000">
      <w:pPr>
        <w:jc w:val="both"/>
      </w:pPr>
      <w:r>
        <w:rPr>
          <w:rStyle w:val="soitChar"/>
          <w:u w:val="single"/>
        </w:rPr>
        <w:t>Profilés métalliques</w:t>
      </w:r>
      <w:r>
        <w:rPr>
          <w:rStyle w:val="soitChar"/>
        </w:rPr>
        <w:t xml:space="preserve"> tels que décrits au </w:t>
      </w:r>
      <w:hyperlink w:anchor="993" w:history="1">
        <w:r>
          <w:rPr>
            <w:rStyle w:val="soitChar"/>
            <w:color w:val="0000EE"/>
          </w:rPr>
          <w:t>43.11.2 Profilés de support continu métallique du revêtement de façade</w:t>
        </w:r>
      </w:hyperlink>
      <w:r>
        <w:rPr>
          <w:rStyle w:val="soitChar"/>
        </w:rPr>
        <w:t>.</w:t>
      </w:r>
    </w:p>
    <w:p w14:paraId="175DEF59" w14:textId="77777777" w:rsidR="00772179" w:rsidRDefault="00000000">
      <w:pPr>
        <w:jc w:val="both"/>
      </w:pPr>
      <w:r>
        <w:rPr>
          <w:b/>
        </w:rPr>
        <w:t>Isolation</w:t>
      </w:r>
      <w:r>
        <w:t xml:space="preserve"> :  </w:t>
      </w:r>
      <w:r>
        <w:rPr>
          <w:rStyle w:val="optioncarChar"/>
        </w:rPr>
        <w:t>oui</w:t>
      </w:r>
      <w:r>
        <w:t xml:space="preserve"> (par défaut)</w:t>
      </w:r>
      <w:r>
        <w:rPr>
          <w:rStyle w:val="optioncarChar"/>
        </w:rPr>
        <w:t xml:space="preserve"> / non</w:t>
      </w:r>
    </w:p>
    <w:p w14:paraId="09B3F77C" w14:textId="77777777" w:rsidR="00772179" w:rsidRDefault="00000000">
      <w:pPr>
        <w:jc w:val="both"/>
      </w:pPr>
      <w:r>
        <w:rPr>
          <w:b/>
        </w:rPr>
        <w:t>(soit par défaut)</w:t>
      </w:r>
    </w:p>
    <w:p w14:paraId="582A14D4" w14:textId="77777777" w:rsidR="00772179" w:rsidRDefault="00000000">
      <w:pPr>
        <w:jc w:val="both"/>
      </w:pPr>
      <w:r>
        <w:rPr>
          <w:rStyle w:val="soitChar"/>
          <w:u w:val="single"/>
        </w:rPr>
        <w:t>Isolation</w:t>
      </w:r>
      <w:r>
        <w:rPr>
          <w:rStyle w:val="soitChar"/>
        </w:rPr>
        <w:t xml:space="preserve"> suivant descriptif au 26.4 Isolation,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w:t>
      </w:r>
      <w:r>
        <w:t xml:space="preserve">  </w:t>
      </w:r>
      <w:r>
        <w:rPr>
          <w:rStyle w:val="optioncarChar"/>
        </w:rPr>
        <w:t>***</w:t>
      </w:r>
      <w:r>
        <w:t>.</w:t>
      </w:r>
    </w:p>
    <w:p w14:paraId="616DFF7A" w14:textId="77777777" w:rsidR="00772179" w:rsidRDefault="00000000">
      <w:pPr>
        <w:jc w:val="both"/>
      </w:pPr>
      <w:r>
        <w:rPr>
          <w:b/>
        </w:rPr>
        <w:t>(soit)</w:t>
      </w:r>
    </w:p>
    <w:p w14:paraId="53EECBD4" w14:textId="77777777" w:rsidR="00772179" w:rsidRDefault="00000000">
      <w:pPr>
        <w:jc w:val="both"/>
      </w:pPr>
      <w:r>
        <w:rPr>
          <w:rStyle w:val="soitChar"/>
          <w:u w:val="single"/>
        </w:rPr>
        <w:t>Pas d’isolation</w:t>
      </w:r>
    </w:p>
    <w:p w14:paraId="0B0E5C0F" w14:textId="77777777" w:rsidR="00772179" w:rsidRDefault="00000000">
      <w:pPr>
        <w:jc w:val="both"/>
      </w:pPr>
      <w:r>
        <w:rPr>
          <w:b/>
        </w:rPr>
        <w:t>Pare-pluie</w:t>
      </w:r>
      <w:r>
        <w:t xml:space="preserve"> : </w:t>
      </w:r>
      <w:r>
        <w:rPr>
          <w:rStyle w:val="optioncarChar"/>
        </w:rPr>
        <w:t xml:space="preserve">oui </w:t>
      </w:r>
      <w:r>
        <w:t>(par défaut)</w:t>
      </w:r>
      <w:r>
        <w:rPr>
          <w:rStyle w:val="optioncarChar"/>
        </w:rPr>
        <w:t xml:space="preserve"> / non</w:t>
      </w:r>
    </w:p>
    <w:p w14:paraId="40EE6F56" w14:textId="77777777" w:rsidR="00772179" w:rsidRDefault="00000000">
      <w:pPr>
        <w:jc w:val="both"/>
      </w:pPr>
      <w:r>
        <w:rPr>
          <w:b/>
        </w:rPr>
        <w:t>(soit par défaut)</w:t>
      </w:r>
    </w:p>
    <w:p w14:paraId="1631FF73" w14:textId="77777777" w:rsidR="00772179" w:rsidRDefault="00000000">
      <w:pPr>
        <w:jc w:val="both"/>
      </w:pPr>
      <w:r>
        <w:rPr>
          <w:rStyle w:val="soitChar"/>
          <w:u w:val="single"/>
        </w:rPr>
        <w:t xml:space="preserve">Pare-pluie </w:t>
      </w:r>
      <w:r>
        <w:rPr>
          <w:rStyle w:val="soitChar"/>
        </w:rPr>
        <w:t xml:space="preserve">: posé sur l’ensemble de la surface de façade avec raccord aux baies tel que décrit sous </w:t>
      </w:r>
      <w:hyperlink w:anchor="994" w:history="1">
        <w:r>
          <w:rPr>
            <w:rStyle w:val="soitChar"/>
            <w:color w:val="0000EE"/>
          </w:rPr>
          <w:t>44.13 Pare-pluie souples</w:t>
        </w:r>
      </w:hyperlink>
      <w:r>
        <w:rPr>
          <w:rStyle w:val="soitChar"/>
        </w:rPr>
        <w:t xml:space="preserve"> / </w:t>
      </w:r>
      <w:hyperlink w:anchor="995" w:history="1">
        <w:r>
          <w:rPr>
            <w:rStyle w:val="soitChar"/>
            <w:color w:val="0000EE"/>
          </w:rPr>
          <w:t>44.14 Pare-pluie rigides</w:t>
        </w:r>
      </w:hyperlink>
      <w:r>
        <w:rPr>
          <w:rStyle w:val="soitChar"/>
        </w:rPr>
        <w:t>.</w:t>
      </w:r>
    </w:p>
    <w:p w14:paraId="1721A404" w14:textId="77777777" w:rsidR="00772179" w:rsidRDefault="00000000">
      <w:pPr>
        <w:jc w:val="both"/>
      </w:pPr>
      <w:r>
        <w:rPr>
          <w:b/>
        </w:rPr>
        <w:t>(soit)</w:t>
      </w:r>
    </w:p>
    <w:p w14:paraId="009DDAA4" w14:textId="77777777" w:rsidR="00772179" w:rsidRDefault="00000000">
      <w:pPr>
        <w:jc w:val="both"/>
      </w:pPr>
      <w:r>
        <w:rPr>
          <w:rStyle w:val="soitChar"/>
          <w:u w:val="single"/>
        </w:rPr>
        <w:t>Pas de pare-pluie </w:t>
      </w:r>
    </w:p>
    <w:p w14:paraId="42D966FF" w14:textId="77777777" w:rsidR="00772179" w:rsidRDefault="00000000">
      <w:pPr>
        <w:jc w:val="both"/>
      </w:pPr>
      <w:r>
        <w:rPr>
          <w:b/>
        </w:rPr>
        <w:lastRenderedPageBreak/>
        <w:t>Bardeaux en bois :</w:t>
      </w:r>
    </w:p>
    <w:p w14:paraId="29511EEE" w14:textId="77777777" w:rsidR="00772179" w:rsidRDefault="00772179">
      <w:pPr>
        <w:jc w:val="both"/>
      </w:pPr>
    </w:p>
    <w:p w14:paraId="281C4AAF" w14:textId="77777777" w:rsidR="00772179" w:rsidRDefault="00000000">
      <w:pPr>
        <w:pStyle w:val="Author-eListParagraph"/>
        <w:numPr>
          <w:ilvl w:val="0"/>
          <w:numId w:val="925"/>
        </w:numPr>
      </w:pPr>
      <w:r>
        <w:t xml:space="preserve">Essence : </w:t>
      </w:r>
      <w:r>
        <w:rPr>
          <w:rStyle w:val="optioncarChar"/>
        </w:rPr>
        <w:t>châtaigner / mélèze / robinier / épicéa avec traitement thermique / cèdre rouge / cèdre blanc</w:t>
      </w:r>
    </w:p>
    <w:p w14:paraId="6069D438" w14:textId="77777777" w:rsidR="00772179" w:rsidRDefault="00000000">
      <w:pPr>
        <w:pStyle w:val="Author-eListParagraph"/>
        <w:numPr>
          <w:ilvl w:val="0"/>
          <w:numId w:val="925"/>
        </w:numPr>
      </w:pPr>
      <w:r>
        <w:t xml:space="preserve">Classe d’utilisation suivant [NBN EN 335] : </w:t>
      </w:r>
      <w:r>
        <w:rPr>
          <w:rStyle w:val="optioncarChar"/>
        </w:rPr>
        <w:t xml:space="preserve">4 </w:t>
      </w:r>
      <w:r>
        <w:t>(par défaut)</w:t>
      </w:r>
      <w:r>
        <w:rPr>
          <w:rStyle w:val="optioncarChar"/>
        </w:rPr>
        <w:t> / 3</w:t>
      </w:r>
    </w:p>
    <w:p w14:paraId="56FF4E78" w14:textId="77777777" w:rsidR="00772179" w:rsidRDefault="00000000">
      <w:pPr>
        <w:pStyle w:val="Author-eListParagraph"/>
        <w:numPr>
          <w:ilvl w:val="0"/>
          <w:numId w:val="925"/>
        </w:numPr>
      </w:pPr>
      <w:r>
        <w:t xml:space="preserve">Durabilité suivant [NBN EN 350] : </w:t>
      </w:r>
      <w:r>
        <w:rPr>
          <w:rStyle w:val="optioncarChar"/>
        </w:rPr>
        <w:t xml:space="preserve">classe 1 </w:t>
      </w:r>
      <w:r>
        <w:t>(par défaut)</w:t>
      </w:r>
      <w:r>
        <w:rPr>
          <w:rStyle w:val="optioncarChar"/>
        </w:rPr>
        <w:t xml:space="preserve"> / 2</w:t>
      </w:r>
    </w:p>
    <w:p w14:paraId="1B72418A" w14:textId="77777777" w:rsidR="00772179" w:rsidRDefault="00000000">
      <w:pPr>
        <w:pStyle w:val="Author-eListParagraph"/>
        <w:numPr>
          <w:ilvl w:val="0"/>
          <w:numId w:val="925"/>
        </w:numPr>
      </w:pPr>
      <w:r>
        <w:t xml:space="preserve">Forme : </w:t>
      </w:r>
      <w:r>
        <w:rPr>
          <w:rStyle w:val="optioncarChar"/>
        </w:rPr>
        <w:t xml:space="preserve">bardeau bord droit </w:t>
      </w:r>
      <w:r>
        <w:t>(par défaut) /</w:t>
      </w:r>
      <w:r>
        <w:rPr>
          <w:rStyle w:val="optioncarChar"/>
        </w:rPr>
        <w:t xml:space="preserve"> bardeau chanfreiné / bardeau écaille</w:t>
      </w:r>
    </w:p>
    <w:p w14:paraId="09490CD9" w14:textId="77777777" w:rsidR="00772179" w:rsidRDefault="00000000">
      <w:pPr>
        <w:pStyle w:val="Author-eListParagraph"/>
        <w:numPr>
          <w:ilvl w:val="0"/>
          <w:numId w:val="925"/>
        </w:numPr>
      </w:pPr>
      <w:r>
        <w:t xml:space="preserve">Masse volumique minimale : </w:t>
      </w:r>
      <w:r>
        <w:rPr>
          <w:rStyle w:val="optioncarChar"/>
        </w:rPr>
        <w:t>390</w:t>
      </w:r>
      <w:r>
        <w:t xml:space="preserve"> (par défaut) </w:t>
      </w:r>
      <w:r>
        <w:rPr>
          <w:rStyle w:val="optioncarChar"/>
        </w:rPr>
        <w:t>/ ***</w:t>
      </w:r>
      <w:r>
        <w:t xml:space="preserve"> kg/m³</w:t>
      </w:r>
    </w:p>
    <w:p w14:paraId="527E9FC5" w14:textId="77777777" w:rsidR="00772179" w:rsidRDefault="00000000">
      <w:pPr>
        <w:jc w:val="both"/>
      </w:pPr>
      <w:r>
        <w:t>Dimensions :</w:t>
      </w:r>
    </w:p>
    <w:p w14:paraId="5EC43895" w14:textId="77777777" w:rsidR="00772179" w:rsidRDefault="00000000">
      <w:pPr>
        <w:pStyle w:val="Author-eListParagraph"/>
        <w:numPr>
          <w:ilvl w:val="0"/>
          <w:numId w:val="926"/>
        </w:numPr>
      </w:pPr>
      <w:r>
        <w:t>Epaisseur : en biseau ≥ </w:t>
      </w:r>
      <w:r>
        <w:rPr>
          <w:rStyle w:val="optioncarChar"/>
        </w:rPr>
        <w:t>10</w:t>
      </w:r>
      <w:r>
        <w:t xml:space="preserve"> (par défaut)</w:t>
      </w:r>
      <w:r>
        <w:rPr>
          <w:rStyle w:val="optioncarChar"/>
        </w:rPr>
        <w:t xml:space="preserve"> / 12,5 / 14 / ***</w:t>
      </w:r>
      <w:r>
        <w:t xml:space="preserve"> mm</w:t>
      </w:r>
    </w:p>
    <w:p w14:paraId="28BB9B2D" w14:textId="77777777" w:rsidR="00772179" w:rsidRDefault="00000000">
      <w:pPr>
        <w:pStyle w:val="Author-eListParagraph"/>
        <w:numPr>
          <w:ilvl w:val="0"/>
          <w:numId w:val="926"/>
        </w:numPr>
      </w:pPr>
      <w:r>
        <w:t xml:space="preserve">Largeur : </w:t>
      </w:r>
      <w:r>
        <w:rPr>
          <w:rStyle w:val="optioncarChar"/>
        </w:rPr>
        <w:t>mélangées 7,5 à 30</w:t>
      </w:r>
      <w:r>
        <w:t xml:space="preserve"> (par défaut) </w:t>
      </w:r>
      <w:r>
        <w:rPr>
          <w:rStyle w:val="optioncarChar"/>
        </w:rPr>
        <w:t>/ mélangées 9 à 21 / 15 / 13 / 9 / ***</w:t>
      </w:r>
      <w:r>
        <w:t xml:space="preserve"> cm</w:t>
      </w:r>
    </w:p>
    <w:p w14:paraId="403CC82B" w14:textId="77777777" w:rsidR="00772179" w:rsidRDefault="00000000">
      <w:pPr>
        <w:pStyle w:val="Author-eListParagraph"/>
        <w:numPr>
          <w:ilvl w:val="0"/>
          <w:numId w:val="926"/>
        </w:numPr>
      </w:pPr>
      <w:r>
        <w:t xml:space="preserve">Hauteur : </w:t>
      </w:r>
      <w:r>
        <w:rPr>
          <w:rStyle w:val="optioncarChar"/>
        </w:rPr>
        <w:t>40 / 45 / 60 / ***</w:t>
      </w:r>
      <w:r>
        <w:t xml:space="preserve"> cm</w:t>
      </w:r>
    </w:p>
    <w:p w14:paraId="76D7E3A6" w14:textId="77777777" w:rsidR="00772179" w:rsidRDefault="00000000">
      <w:r>
        <w:t xml:space="preserve">Provenance : </w:t>
      </w:r>
      <w:r>
        <w:rPr>
          <w:rStyle w:val="optioncarChar"/>
        </w:rPr>
        <w:t xml:space="preserve">Europe </w:t>
      </w:r>
      <w:r>
        <w:t xml:space="preserve">(par défaut) </w:t>
      </w:r>
      <w:r>
        <w:rPr>
          <w:rStyle w:val="optioncarChar"/>
        </w:rPr>
        <w:t>/ ***</w:t>
      </w:r>
      <w:r>
        <w:br/>
        <w:t>Réaction au feu : conforme à la législation : </w:t>
      </w:r>
      <w:r>
        <w:rPr>
          <w:rStyle w:val="optioncarChar"/>
        </w:rPr>
        <w:t xml:space="preserve">D-s2,d0 / D-s2,d2 </w:t>
      </w:r>
      <w:r>
        <w:t>suivant [ Règlement délégué 2024/1399/UE].</w:t>
      </w:r>
    </w:p>
    <w:p w14:paraId="534542D3" w14:textId="77777777" w:rsidR="00772179" w:rsidRDefault="00000000">
      <w:pPr>
        <w:jc w:val="both"/>
      </w:pPr>
      <w:r>
        <w:rPr>
          <w:b/>
        </w:rPr>
        <w:t>Aspects environnementaux :</w:t>
      </w:r>
    </w:p>
    <w:p w14:paraId="23218BAB" w14:textId="77777777" w:rsidR="00772179" w:rsidRDefault="00000000">
      <w:pPr>
        <w:jc w:val="both"/>
      </w:pPr>
      <w:r>
        <w:t>Bois issu de forêts gérées durablement suivant prescriptions du 02.42.4 Bois provenant de forêts gérées durablement.</w:t>
      </w:r>
    </w:p>
    <w:p w14:paraId="58F7F1FE" w14:textId="77777777" w:rsidR="00772179" w:rsidRDefault="00000000">
      <w:pPr>
        <w:jc w:val="both"/>
      </w:pPr>
      <w:r>
        <w:t>La mise en œuvre par fixation mécanique permet le démontage non destructif des bardeaux.</w:t>
      </w:r>
    </w:p>
    <w:p w14:paraId="3B0B7311" w14:textId="77777777" w:rsidR="00772179" w:rsidRDefault="00000000">
      <w:pPr>
        <w:pStyle w:val="pheading"/>
      </w:pPr>
      <w:r>
        <w:t>- Finitions</w:t>
      </w:r>
    </w:p>
    <w:p w14:paraId="414A2C31" w14:textId="77777777" w:rsidR="00772179" w:rsidRDefault="00000000">
      <w:pPr>
        <w:pStyle w:val="Author-eListParagraph"/>
        <w:numPr>
          <w:ilvl w:val="0"/>
          <w:numId w:val="927"/>
        </w:numPr>
        <w:jc w:val="both"/>
      </w:pPr>
      <w:r>
        <w:t>Fil fin et régulier, sans aubier, scié sur quartier dans 100 % duramen.</w:t>
      </w:r>
    </w:p>
    <w:p w14:paraId="558E258C" w14:textId="77777777" w:rsidR="00772179" w:rsidRDefault="00000000">
      <w:pPr>
        <w:pStyle w:val="Author-eListParagraph"/>
        <w:numPr>
          <w:ilvl w:val="0"/>
          <w:numId w:val="927"/>
        </w:numPr>
        <w:jc w:val="both"/>
      </w:pPr>
      <w:r>
        <w:t xml:space="preserve">Face visible :  </w:t>
      </w:r>
      <w:r>
        <w:rPr>
          <w:rStyle w:val="optioncarChar"/>
        </w:rPr>
        <w:t xml:space="preserve">lisse </w:t>
      </w:r>
      <w:r>
        <w:t>(par défaut)</w:t>
      </w:r>
      <w:r>
        <w:rPr>
          <w:rStyle w:val="optioncarChar"/>
        </w:rPr>
        <w:t xml:space="preserve"> / éclatée</w:t>
      </w:r>
    </w:p>
    <w:p w14:paraId="49434C38" w14:textId="77777777" w:rsidR="00772179" w:rsidRDefault="00000000">
      <w:pPr>
        <w:pStyle w:val="Author-eListParagraph"/>
        <w:numPr>
          <w:ilvl w:val="0"/>
          <w:numId w:val="927"/>
        </w:numPr>
        <w:jc w:val="both"/>
      </w:pPr>
      <w:r>
        <w:t>Traitement :  </w:t>
      </w:r>
      <w:r>
        <w:rPr>
          <w:rStyle w:val="optioncarChar"/>
        </w:rPr>
        <w:t>sans traitement</w:t>
      </w:r>
      <w:r>
        <w:t xml:space="preserve"> (par défaut)  </w:t>
      </w:r>
      <w:r>
        <w:rPr>
          <w:rStyle w:val="optioncarChar"/>
        </w:rPr>
        <w:t>/  traitement thermique à 190 / 200 / 212 °C</w:t>
      </w:r>
    </w:p>
    <w:p w14:paraId="35CFCA73" w14:textId="77777777" w:rsidR="00772179" w:rsidRDefault="00000000">
      <w:pPr>
        <w:pStyle w:val="pheading"/>
      </w:pPr>
      <w:r>
        <w:t>EXÉCUTION / MISE EN ŒUVRE</w:t>
      </w:r>
    </w:p>
    <w:p w14:paraId="7F9669E7" w14:textId="77777777" w:rsidR="00772179" w:rsidRDefault="00000000">
      <w:pPr>
        <w:pStyle w:val="pheading"/>
      </w:pPr>
      <w:r>
        <w:t>- Prescriptions générales</w:t>
      </w:r>
    </w:p>
    <w:p w14:paraId="4869B1BD" w14:textId="77777777" w:rsidR="00772179" w:rsidRDefault="00000000">
      <w:pPr>
        <w:jc w:val="both"/>
      </w:pPr>
      <w:r>
        <w:t>La mise en œuvre est exécutée conformément à la documentation technique accompagnant les produits et à la [NIT 243].</w:t>
      </w:r>
    </w:p>
    <w:p w14:paraId="19D46C04" w14:textId="77777777" w:rsidR="00772179" w:rsidRDefault="00000000">
      <w:pPr>
        <w:jc w:val="both"/>
      </w:pPr>
      <w:r>
        <w:t>Calcul statique de la façade :  </w:t>
      </w:r>
      <w:r>
        <w:rPr>
          <w:rStyle w:val="optioncarChar"/>
        </w:rPr>
        <w:t>à charge de l’entrepreneur</w:t>
      </w:r>
      <w:r>
        <w:t xml:space="preserve"> (par défaut) </w:t>
      </w:r>
      <w:r>
        <w:rPr>
          <w:rStyle w:val="optioncarChar"/>
        </w:rPr>
        <w:t>/ du maître de l’ouvrage</w:t>
      </w:r>
    </w:p>
    <w:p w14:paraId="05408C74" w14:textId="77777777" w:rsidR="00772179" w:rsidRDefault="00000000">
      <w:pPr>
        <w:jc w:val="both"/>
      </w:pPr>
      <w:r>
        <w:t>En cas d’isolation, l’entrepreneur soumet le procédé d’exécution respectant la prescription du niveau d’isolation pour accord à la direction de chantier (voir plus haut).</w:t>
      </w:r>
    </w:p>
    <w:p w14:paraId="1858FE0F" w14:textId="77777777" w:rsidR="00772179" w:rsidRDefault="00000000">
      <w:pPr>
        <w:jc w:val="both"/>
      </w:pPr>
      <w:r>
        <w:t>L’entrepreneur remet une description détaillée de la pose de la structure (entraxe, diamètre de fixation et nombre...) pour accord à la direction de chantier.</w:t>
      </w:r>
    </w:p>
    <w:p w14:paraId="2917369B" w14:textId="77777777" w:rsidR="00772179" w:rsidRDefault="00000000">
      <w:pPr>
        <w:pStyle w:val="Author-eListParagraph"/>
        <w:numPr>
          <w:ilvl w:val="0"/>
          <w:numId w:val="928"/>
        </w:numPr>
        <w:jc w:val="both"/>
      </w:pPr>
      <w:r>
        <w:t xml:space="preserve">Réalisation d’un espace de ventilation ≥ </w:t>
      </w:r>
      <w:r>
        <w:rPr>
          <w:rStyle w:val="optioncarChar"/>
        </w:rPr>
        <w:t xml:space="preserve">20 </w:t>
      </w:r>
      <w:r>
        <w:t>(par défaut)</w:t>
      </w:r>
      <w:r>
        <w:rPr>
          <w:rStyle w:val="optioncarChar"/>
        </w:rPr>
        <w:t xml:space="preserve"> / 40</w:t>
      </w:r>
      <w:r>
        <w:t xml:space="preserve"> mm avec une grille anti-rongeurs à chaque ouverture.</w:t>
      </w:r>
    </w:p>
    <w:p w14:paraId="7A9691C6" w14:textId="77777777" w:rsidR="00772179" w:rsidRDefault="00000000">
      <w:pPr>
        <w:pStyle w:val="Author-eListParagraph"/>
        <w:numPr>
          <w:ilvl w:val="0"/>
          <w:numId w:val="928"/>
        </w:numPr>
        <w:jc w:val="both"/>
      </w:pPr>
      <w:r>
        <w:t xml:space="preserve">Pose à double recouvrement, pureau de </w:t>
      </w:r>
      <w:r>
        <w:rPr>
          <w:rStyle w:val="optioncarChar"/>
        </w:rPr>
        <w:t xml:space="preserve">14 </w:t>
      </w:r>
      <w:r>
        <w:t xml:space="preserve">(par défaut) </w:t>
      </w:r>
      <w:r>
        <w:rPr>
          <w:rStyle w:val="optioncarChar"/>
        </w:rPr>
        <w:t>/ ***</w:t>
      </w:r>
      <w:r>
        <w:t xml:space="preserve"> cm</w:t>
      </w:r>
    </w:p>
    <w:p w14:paraId="7D636558" w14:textId="77777777" w:rsidR="00772179" w:rsidRDefault="00000000">
      <w:pPr>
        <w:pStyle w:val="Author-eListParagraph"/>
        <w:numPr>
          <w:ilvl w:val="0"/>
          <w:numId w:val="928"/>
        </w:numPr>
        <w:jc w:val="both"/>
      </w:pPr>
      <w:r>
        <w:t xml:space="preserve">Joints verticaux décalés de ≥ 40 mm sur 3 rangs, largeur </w:t>
      </w:r>
      <w:r>
        <w:rPr>
          <w:rStyle w:val="optioncarChar"/>
        </w:rPr>
        <w:t>5</w:t>
      </w:r>
      <w:r>
        <w:t xml:space="preserve"> (par défaut)</w:t>
      </w:r>
      <w:r>
        <w:rPr>
          <w:rStyle w:val="optioncarChar"/>
        </w:rPr>
        <w:t xml:space="preserve"> / ***</w:t>
      </w:r>
      <w:r>
        <w:t xml:space="preserve"> mm</w:t>
      </w:r>
    </w:p>
    <w:p w14:paraId="6933CA17" w14:textId="77777777" w:rsidR="00772179" w:rsidRDefault="00000000">
      <w:pPr>
        <w:pStyle w:val="Author-eListParagraph"/>
        <w:numPr>
          <w:ilvl w:val="0"/>
          <w:numId w:val="928"/>
        </w:numPr>
        <w:jc w:val="both"/>
      </w:pPr>
      <w:r>
        <w:t xml:space="preserve">Fixation : </w:t>
      </w:r>
      <w:r>
        <w:rPr>
          <w:rStyle w:val="optioncarChar"/>
        </w:rPr>
        <w:t>clous à tête plate acier inoxydable 316</w:t>
      </w:r>
      <w:r>
        <w:t xml:space="preserve"> (par défaut)</w:t>
      </w:r>
      <w:r>
        <w:rPr>
          <w:rStyle w:val="optioncarChar"/>
        </w:rPr>
        <w:t xml:space="preserve"> / ***</w:t>
      </w:r>
    </w:p>
    <w:p w14:paraId="02DCCE91" w14:textId="77777777" w:rsidR="00772179" w:rsidRDefault="00000000">
      <w:pPr>
        <w:pStyle w:val="Author-eListParagraph"/>
        <w:numPr>
          <w:ilvl w:val="0"/>
          <w:numId w:val="928"/>
        </w:numPr>
        <w:jc w:val="both"/>
      </w:pPr>
      <w:r>
        <w:t xml:space="preserve">Fixation : </w:t>
      </w:r>
      <w:r>
        <w:rPr>
          <w:rStyle w:val="optioncarChar"/>
        </w:rPr>
        <w:t xml:space="preserve">2 clous par bardeau de largeur &lt; 20 cm </w:t>
      </w:r>
      <w:r>
        <w:t>(par défaut)</w:t>
      </w:r>
      <w:r>
        <w:rPr>
          <w:rStyle w:val="optioncarChar"/>
        </w:rPr>
        <w:t xml:space="preserve"> / 3 clous par bardeau de &gt; 20 cm / ***</w:t>
      </w:r>
    </w:p>
    <w:p w14:paraId="6BED4DF7" w14:textId="77777777" w:rsidR="00772179" w:rsidRDefault="00000000">
      <w:pPr>
        <w:pStyle w:val="Author-eListParagraph"/>
        <w:numPr>
          <w:ilvl w:val="0"/>
          <w:numId w:val="928"/>
        </w:numPr>
        <w:jc w:val="both"/>
      </w:pPr>
      <w:r>
        <w:t>Raccords aux angles : </w:t>
      </w:r>
      <w:r>
        <w:rPr>
          <w:rStyle w:val="optioncarChar"/>
        </w:rPr>
        <w:t xml:space="preserve">pose d’un solin métallique sur 10 cm de part et d’autre de l’arête et alterner le chevauchement des bardeaux de coin </w:t>
      </w:r>
      <w:r>
        <w:t>(par défaut)</w:t>
      </w:r>
      <w:r>
        <w:rPr>
          <w:rStyle w:val="optioncarChar"/>
        </w:rPr>
        <w:t xml:space="preserve"> / pose d’une pièce de bois d’angle / ***.</w:t>
      </w:r>
    </w:p>
    <w:p w14:paraId="09D4ECE7" w14:textId="77777777" w:rsidR="00772179" w:rsidRDefault="00000000">
      <w:pPr>
        <w:pStyle w:val="pheading"/>
      </w:pPr>
      <w:r>
        <w:t>DOCUMENTS DE RÉFÉRENCE COMPLÉMENTAIRES</w:t>
      </w:r>
    </w:p>
    <w:p w14:paraId="4891212D" w14:textId="77777777" w:rsidR="00772179" w:rsidRDefault="00000000">
      <w:pPr>
        <w:pStyle w:val="pheading"/>
      </w:pPr>
      <w:r>
        <w:t>- Matériau</w:t>
      </w:r>
    </w:p>
    <w:p w14:paraId="02B28B3A" w14:textId="77777777" w:rsidR="00772179" w:rsidRDefault="00000000">
      <w:r>
        <w:t>[NIT 243, Les revêtements de façade en bois et en panneaux à base de bois.]</w:t>
      </w:r>
    </w:p>
    <w:p w14:paraId="1693D550" w14:textId="77777777" w:rsidR="00772179" w:rsidRDefault="00000000">
      <w:r>
        <w:lastRenderedPageBreak/>
        <w:t>[NBN EN 335, Durabilité du bois et des matériaux à base de bois - Classes d'emploi: définitions, application au bois massif et aux matériaux à base de bois]</w:t>
      </w:r>
    </w:p>
    <w:p w14:paraId="406B1C1B" w14:textId="77777777" w:rsidR="00772179" w:rsidRDefault="00000000">
      <w:r>
        <w:t>[NBN EN 350, Durabilité du bois et des matériaux dérivés du bois - Méthodes d'essai et de classification de la durabilité vis-à-vis des agents biologiques du bois et des matériaux dérivés du bois]</w:t>
      </w:r>
    </w:p>
    <w:p w14:paraId="68221192" w14:textId="77777777" w:rsidR="00772179" w:rsidRDefault="00000000">
      <w:r>
        <w:t>[NBN EN 13647, Planchers en bois, lambris et bardages en bois - Détermination des caractéristiques géométriques]</w:t>
      </w:r>
    </w:p>
    <w:p w14:paraId="7E08FF1A" w14:textId="77777777" w:rsidR="00772179" w:rsidRDefault="00000000">
      <w:r>
        <w:t>[NBN EN 14915:2013+A2, Lambris et bardages en bois - Caractéristiques, exigences et marquage]</w:t>
      </w:r>
    </w:p>
    <w:p w14:paraId="3A2F8C52" w14:textId="77777777" w:rsidR="00772179" w:rsidRDefault="00000000">
      <w:pPr>
        <w:pStyle w:val="pheading"/>
      </w:pPr>
      <w:r>
        <w:t>- Exécution</w:t>
      </w:r>
    </w:p>
    <w:p w14:paraId="4D26F3A4" w14:textId="77777777" w:rsidR="00772179" w:rsidRDefault="00000000">
      <w:r>
        <w:t>[Buildwise Magazine Contact n°81 (2022/3), CSTC Contact n°81 (2022/3) - Édition finitions]</w:t>
      </w:r>
    </w:p>
    <w:p w14:paraId="6A5DA9DA" w14:textId="77777777" w:rsidR="00772179" w:rsidRDefault="00000000">
      <w:r>
        <w:t>[NIT 243, Les revêtements de façade en bois et en panneaux à base de bois.]</w:t>
      </w:r>
    </w:p>
    <w:p w14:paraId="2649F0C8" w14:textId="77777777" w:rsidR="00772179" w:rsidRDefault="00000000">
      <w:pPr>
        <w:pStyle w:val="pheading"/>
      </w:pPr>
      <w:r>
        <w:t>MESURAGE</w:t>
      </w:r>
    </w:p>
    <w:p w14:paraId="7DA6E14C" w14:textId="77777777" w:rsidR="00772179" w:rsidRDefault="00000000">
      <w:pPr>
        <w:pStyle w:val="pheading"/>
      </w:pPr>
      <w:r>
        <w:t>- unité de mesure:</w:t>
      </w:r>
    </w:p>
    <w:p w14:paraId="061E2D1B" w14:textId="77777777" w:rsidR="00772179" w:rsidRDefault="00000000">
      <w:r>
        <w:t>m²</w:t>
      </w:r>
    </w:p>
    <w:p w14:paraId="4EB50819" w14:textId="77777777" w:rsidR="00772179" w:rsidRDefault="00000000">
      <w:pPr>
        <w:pStyle w:val="pheading"/>
      </w:pPr>
      <w:r>
        <w:t>- code de mesurage:</w:t>
      </w:r>
    </w:p>
    <w:p w14:paraId="12049621" w14:textId="77777777" w:rsidR="00772179" w:rsidRDefault="00000000">
      <w:pPr>
        <w:jc w:val="both"/>
      </w:pPr>
      <w:r>
        <w:t>Surface nette des façades et joues des ouvertures et des fenêtres. Les réservations supérieures à 0,5m2 sont déduites.</w:t>
      </w:r>
    </w:p>
    <w:p w14:paraId="55002ACE" w14:textId="77777777" w:rsidR="00772179" w:rsidRDefault="00000000">
      <w:pPr>
        <w:pStyle w:val="pheading"/>
      </w:pPr>
      <w:r>
        <w:t>- nature du marché:</w:t>
      </w:r>
    </w:p>
    <w:p w14:paraId="0277113C" w14:textId="77777777" w:rsidR="00772179" w:rsidRDefault="00000000">
      <w:r>
        <w:t>QF</w:t>
      </w:r>
    </w:p>
    <w:p w14:paraId="2CDCC998" w14:textId="77777777" w:rsidR="00772179" w:rsidRDefault="00000000">
      <w:pPr>
        <w:pStyle w:val="Author-eSectionHeading5Numberless"/>
      </w:pPr>
      <w:bookmarkStart w:id="737" w:name="_Toc220490426"/>
      <w:r>
        <w:t>43.23.3 Revêtements de façade rigides fixés mécaniquement - bardeaux métalliques CCTB 01.02</w:t>
      </w:r>
      <w:bookmarkEnd w:id="737"/>
    </w:p>
    <w:p w14:paraId="2D2E98CD" w14:textId="77777777" w:rsidR="00772179" w:rsidRDefault="00000000">
      <w:pPr>
        <w:pStyle w:val="Author-eSectionHeading6Numberless"/>
      </w:pPr>
      <w:bookmarkStart w:id="738" w:name="_Toc220490427"/>
      <w:r>
        <w:t>43.23.3a Revêtements de façade rigides fixés mécaniquement - bardeaux métalliques</w:t>
      </w:r>
      <w:bookmarkEnd w:id="738"/>
    </w:p>
    <w:p w14:paraId="6FA8AD03" w14:textId="77777777" w:rsidR="00772179" w:rsidRDefault="00000000">
      <w:pPr>
        <w:pStyle w:val="Author-eSectionHeading5Numberless"/>
      </w:pPr>
      <w:bookmarkStart w:id="739" w:name="_Toc220490428"/>
      <w:r>
        <w:t>43.23.4 Revêtements de façade rigides fixés mécaniquement - bardeaux en matière synthétique CCTB 01.02</w:t>
      </w:r>
      <w:bookmarkEnd w:id="739"/>
    </w:p>
    <w:p w14:paraId="3502434D" w14:textId="77777777" w:rsidR="00772179" w:rsidRDefault="00000000">
      <w:pPr>
        <w:pStyle w:val="Author-eSectionHeading6Numberless"/>
      </w:pPr>
      <w:bookmarkStart w:id="740" w:name="_Toc220490429"/>
      <w:r>
        <w:t>43.23.4a Revêtements de façade rigides fixés mécaniquement - bardeaux en matière synthétique CCTB 01.12</w:t>
      </w:r>
      <w:bookmarkEnd w:id="740"/>
    </w:p>
    <w:p w14:paraId="32DCBA83" w14:textId="77777777" w:rsidR="00772179" w:rsidRDefault="00000000">
      <w:pPr>
        <w:pStyle w:val="pheading"/>
      </w:pPr>
      <w:r>
        <w:t>DESCRIPTION</w:t>
      </w:r>
    </w:p>
    <w:p w14:paraId="58EC0FC0" w14:textId="77777777" w:rsidR="00772179" w:rsidRDefault="00000000">
      <w:pPr>
        <w:pStyle w:val="pheading"/>
      </w:pPr>
      <w:r>
        <w:t>- Définition / Comprend</w:t>
      </w:r>
    </w:p>
    <w:p w14:paraId="7325229F" w14:textId="77777777" w:rsidR="00772179" w:rsidRDefault="00000000">
      <w:pPr>
        <w:jc w:val="both"/>
      </w:pPr>
      <w:r>
        <w:t>Il s’agit de la fourniture et la pose de bardeaux en matière synthétique fixés mécaniquement à une structure secondaire en profilés appliqués en façade.</w:t>
      </w:r>
    </w:p>
    <w:p w14:paraId="72AE20D9" w14:textId="77777777" w:rsidR="00772179" w:rsidRDefault="00000000">
      <w:pPr>
        <w:jc w:val="both"/>
      </w:pPr>
      <w:r>
        <w:t>La portée des travaux est décrite au </w:t>
      </w:r>
      <w:hyperlink w:anchor="984" w:history="1">
        <w:r>
          <w:rPr>
            <w:color w:val="0000EE"/>
          </w:rPr>
          <w:t>43.2 Revêtements de façade rigides fixés mécaniquement</w:t>
        </w:r>
      </w:hyperlink>
      <w:r>
        <w:t>.</w:t>
      </w:r>
    </w:p>
    <w:p w14:paraId="1D2F2509" w14:textId="77777777" w:rsidR="00772179" w:rsidRDefault="00000000">
      <w:pPr>
        <w:pStyle w:val="pheading"/>
      </w:pPr>
      <w:r>
        <w:t>MATÉRIAUX</w:t>
      </w:r>
    </w:p>
    <w:p w14:paraId="34AC9C04" w14:textId="77777777" w:rsidR="00772179" w:rsidRDefault="00000000">
      <w:pPr>
        <w:pStyle w:val="pheading"/>
      </w:pPr>
      <w:r>
        <w:t>- Caractéristiques générales</w:t>
      </w:r>
    </w:p>
    <w:p w14:paraId="5CEA25CF" w14:textId="77777777" w:rsidR="00772179" w:rsidRDefault="00000000">
      <w:pPr>
        <w:jc w:val="both"/>
      </w:pPr>
      <w:r>
        <w:rPr>
          <w:b/>
        </w:rPr>
        <w:t>Profilés :</w:t>
      </w:r>
      <w:r>
        <w:t>  </w:t>
      </w:r>
      <w:r>
        <w:rPr>
          <w:rStyle w:val="optioncarChar"/>
        </w:rPr>
        <w:t>en bois</w:t>
      </w:r>
      <w:r>
        <w:t xml:space="preserve"> (par défaut) </w:t>
      </w:r>
      <w:r>
        <w:rPr>
          <w:rStyle w:val="optioncarChar"/>
        </w:rPr>
        <w:t>/ métalliques</w:t>
      </w:r>
    </w:p>
    <w:p w14:paraId="1DB966AB" w14:textId="77777777" w:rsidR="00772179" w:rsidRDefault="00000000">
      <w:pPr>
        <w:jc w:val="both"/>
      </w:pPr>
      <w:r>
        <w:rPr>
          <w:b/>
        </w:rPr>
        <w:t>(soit par défaut)</w:t>
      </w:r>
    </w:p>
    <w:p w14:paraId="6CA47A3F" w14:textId="77777777" w:rsidR="00772179" w:rsidRDefault="00000000">
      <w:pPr>
        <w:jc w:val="both"/>
      </w:pPr>
      <w:r>
        <w:rPr>
          <w:rStyle w:val="soitChar"/>
          <w:u w:val="single"/>
        </w:rPr>
        <w:t>En bois</w:t>
      </w:r>
      <w:r>
        <w:rPr>
          <w:rStyle w:val="soitChar"/>
        </w:rPr>
        <w:t xml:space="preserve"> tels que décrits au </w:t>
      </w:r>
      <w:hyperlink w:anchor="985" w:history="1">
        <w:r>
          <w:rPr>
            <w:rStyle w:val="soitChar"/>
            <w:color w:val="0000EE"/>
          </w:rPr>
          <w:t>43.11.1 Profilés de support continu en bois du revêtement de façade</w:t>
        </w:r>
      </w:hyperlink>
      <w:r>
        <w:rPr>
          <w:rStyle w:val="soitChar"/>
        </w:rPr>
        <w:t>.</w:t>
      </w:r>
    </w:p>
    <w:p w14:paraId="7CF2B1B4" w14:textId="77777777" w:rsidR="00772179" w:rsidRDefault="00000000">
      <w:pPr>
        <w:jc w:val="both"/>
      </w:pPr>
      <w:r>
        <w:rPr>
          <w:b/>
        </w:rPr>
        <w:t>(soit)</w:t>
      </w:r>
    </w:p>
    <w:p w14:paraId="0598391C" w14:textId="77777777" w:rsidR="00772179" w:rsidRDefault="00000000">
      <w:pPr>
        <w:jc w:val="both"/>
      </w:pPr>
      <w:r>
        <w:rPr>
          <w:rStyle w:val="soitChar"/>
          <w:u w:val="single"/>
        </w:rPr>
        <w:t>Métalliques</w:t>
      </w:r>
      <w:r>
        <w:rPr>
          <w:rStyle w:val="soitChar"/>
        </w:rPr>
        <w:t xml:space="preserve"> tels que décrits au </w:t>
      </w:r>
      <w:hyperlink w:anchor="993" w:history="1">
        <w:r>
          <w:rPr>
            <w:rStyle w:val="soitChar"/>
            <w:color w:val="0000EE"/>
          </w:rPr>
          <w:t>43.11.2 Profilés de support continu métallique du revêtement de façade</w:t>
        </w:r>
      </w:hyperlink>
      <w:r>
        <w:rPr>
          <w:rStyle w:val="soitChar"/>
        </w:rPr>
        <w:t>.</w:t>
      </w:r>
    </w:p>
    <w:p w14:paraId="3BD39E3F" w14:textId="77777777" w:rsidR="00772179" w:rsidRDefault="00000000">
      <w:pPr>
        <w:jc w:val="both"/>
      </w:pPr>
      <w:r>
        <w:rPr>
          <w:b/>
        </w:rPr>
        <w:lastRenderedPageBreak/>
        <w:t>Isolation :</w:t>
      </w:r>
      <w:r>
        <w:t> </w:t>
      </w:r>
      <w:r>
        <w:rPr>
          <w:rStyle w:val="optioncarChar"/>
        </w:rPr>
        <w:t xml:space="preserve"> oui </w:t>
      </w:r>
      <w:r>
        <w:t xml:space="preserve">(par défaut) </w:t>
      </w:r>
      <w:r>
        <w:rPr>
          <w:rStyle w:val="optioncarChar"/>
        </w:rPr>
        <w:t>/ non</w:t>
      </w:r>
    </w:p>
    <w:p w14:paraId="406A9DC5" w14:textId="77777777" w:rsidR="00772179" w:rsidRDefault="00000000">
      <w:pPr>
        <w:jc w:val="both"/>
      </w:pPr>
      <w:r>
        <w:rPr>
          <w:b/>
        </w:rPr>
        <w:t>(soit par défaut)</w:t>
      </w:r>
    </w:p>
    <w:p w14:paraId="553361F6" w14:textId="77777777" w:rsidR="00772179" w:rsidRDefault="00000000">
      <w:pPr>
        <w:jc w:val="both"/>
      </w:pPr>
      <w:r>
        <w:rPr>
          <w:rStyle w:val="soitChar"/>
          <w:u w:val="single"/>
        </w:rPr>
        <w:t>Oui :</w:t>
      </w:r>
      <w:r>
        <w:rPr>
          <w:rStyle w:val="soitChar"/>
        </w:rPr>
        <w:t xml:space="preserve"> isolation suivant plans et descriptif au 26.4 Isolation,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 </w:t>
      </w:r>
      <w:r>
        <w:rPr>
          <w:rStyle w:val="optioncarChar"/>
        </w:rPr>
        <w:t>***</w:t>
      </w:r>
      <w:r>
        <w:rPr>
          <w:rStyle w:val="soitChar"/>
        </w:rPr>
        <w:t>.</w:t>
      </w:r>
    </w:p>
    <w:p w14:paraId="2F41FA94" w14:textId="77777777" w:rsidR="00772179" w:rsidRDefault="00000000">
      <w:pPr>
        <w:jc w:val="both"/>
      </w:pPr>
      <w:r>
        <w:rPr>
          <w:b/>
        </w:rPr>
        <w:t>(soit)</w:t>
      </w:r>
    </w:p>
    <w:p w14:paraId="1136BBF0" w14:textId="77777777" w:rsidR="00772179" w:rsidRDefault="00000000">
      <w:pPr>
        <w:jc w:val="both"/>
      </w:pPr>
      <w:r>
        <w:rPr>
          <w:rStyle w:val="soitChar"/>
          <w:u w:val="single"/>
        </w:rPr>
        <w:t>Non :</w:t>
      </w:r>
      <w:r>
        <w:rPr>
          <w:rStyle w:val="soitChar"/>
        </w:rPr>
        <w:t xml:space="preserve"> pas d’isolation </w:t>
      </w:r>
    </w:p>
    <w:p w14:paraId="7BD49431" w14:textId="77777777" w:rsidR="00772179" w:rsidRDefault="00000000">
      <w:pPr>
        <w:jc w:val="both"/>
      </w:pPr>
      <w:r>
        <w:rPr>
          <w:b/>
        </w:rPr>
        <w:t>Pare-pluie :</w:t>
      </w:r>
      <w:r>
        <w:t xml:space="preserve">  </w:t>
      </w:r>
      <w:r>
        <w:rPr>
          <w:rStyle w:val="optioncarChar"/>
        </w:rPr>
        <w:t xml:space="preserve">oui </w:t>
      </w:r>
      <w:r>
        <w:t>(par défaut)</w:t>
      </w:r>
      <w:r>
        <w:rPr>
          <w:rStyle w:val="optioncarChar"/>
        </w:rPr>
        <w:t xml:space="preserve"> / non</w:t>
      </w:r>
    </w:p>
    <w:p w14:paraId="254609DF" w14:textId="77777777" w:rsidR="00772179" w:rsidRDefault="00000000">
      <w:pPr>
        <w:jc w:val="both"/>
      </w:pPr>
      <w:r>
        <w:rPr>
          <w:b/>
        </w:rPr>
        <w:t>(soit par défaut)</w:t>
      </w:r>
    </w:p>
    <w:p w14:paraId="0AF58369" w14:textId="77777777" w:rsidR="00772179" w:rsidRDefault="00000000">
      <w:pPr>
        <w:jc w:val="both"/>
      </w:pPr>
      <w:r>
        <w:rPr>
          <w:rStyle w:val="soitChar"/>
          <w:u w:val="single"/>
        </w:rPr>
        <w:t>Oui :</w:t>
      </w:r>
      <w:r>
        <w:rPr>
          <w:rStyle w:val="soitChar"/>
        </w:rPr>
        <w:t xml:space="preserve"> pare-pluie posé sur l’ensemble de la surface de façade avec raccord aux baies tel que décrit aux </w:t>
      </w:r>
      <w:hyperlink w:anchor="994" w:history="1">
        <w:r>
          <w:rPr>
            <w:rStyle w:val="soitChar"/>
            <w:color w:val="0000EE"/>
          </w:rPr>
          <w:t>44.13 Pare-pluie souples</w:t>
        </w:r>
      </w:hyperlink>
      <w:r>
        <w:rPr>
          <w:rStyle w:val="soitChar"/>
        </w:rPr>
        <w:t xml:space="preserve"> / </w:t>
      </w:r>
      <w:hyperlink w:anchor="995" w:history="1">
        <w:r>
          <w:rPr>
            <w:rStyle w:val="soitChar"/>
            <w:color w:val="0000EE"/>
          </w:rPr>
          <w:t>44.14 Pare-pluie rigides</w:t>
        </w:r>
      </w:hyperlink>
    </w:p>
    <w:p w14:paraId="07BF0CFE" w14:textId="77777777" w:rsidR="00772179" w:rsidRDefault="00000000">
      <w:pPr>
        <w:jc w:val="both"/>
      </w:pPr>
      <w:r>
        <w:rPr>
          <w:b/>
        </w:rPr>
        <w:t>(soit)</w:t>
      </w:r>
    </w:p>
    <w:p w14:paraId="47622871" w14:textId="77777777" w:rsidR="00772179" w:rsidRDefault="00000000">
      <w:pPr>
        <w:jc w:val="both"/>
      </w:pPr>
      <w:r>
        <w:rPr>
          <w:rStyle w:val="soitChar"/>
          <w:u w:val="single"/>
        </w:rPr>
        <w:t>Non :</w:t>
      </w:r>
      <w:r>
        <w:rPr>
          <w:rStyle w:val="soitChar"/>
        </w:rPr>
        <w:t xml:space="preserve"> pas de pare-pluie </w:t>
      </w:r>
    </w:p>
    <w:p w14:paraId="1BB64B6C" w14:textId="77777777" w:rsidR="00772179" w:rsidRDefault="00000000">
      <w:pPr>
        <w:jc w:val="both"/>
      </w:pPr>
      <w:r>
        <w:rPr>
          <w:b/>
        </w:rPr>
        <w:t>Bardeaux en matière synthétique</w:t>
      </w:r>
    </w:p>
    <w:p w14:paraId="3B7835F1" w14:textId="77777777" w:rsidR="00772179" w:rsidRDefault="00000000">
      <w:pPr>
        <w:jc w:val="both"/>
      </w:pPr>
      <w:r>
        <w:t xml:space="preserve">Les bardeaux sont composés de : </w:t>
      </w:r>
      <w:r>
        <w:rPr>
          <w:rStyle w:val="optioncarChar"/>
        </w:rPr>
        <w:t xml:space="preserve">polypropylène </w:t>
      </w:r>
      <w:r>
        <w:t>(par défaut)</w:t>
      </w:r>
      <w:r>
        <w:rPr>
          <w:rStyle w:val="optioncarChar"/>
        </w:rPr>
        <w:t xml:space="preserve"> / vinyle / ***</w:t>
      </w:r>
    </w:p>
    <w:p w14:paraId="0DBA31E0" w14:textId="77777777" w:rsidR="00772179" w:rsidRDefault="00000000">
      <w:pPr>
        <w:jc w:val="both"/>
      </w:pPr>
      <w:r>
        <w:t>Les bardeaux sont teintés dans la masse.</w:t>
      </w:r>
    </w:p>
    <w:p w14:paraId="3B181140" w14:textId="77777777" w:rsidR="00772179" w:rsidRDefault="00000000">
      <w:pPr>
        <w:jc w:val="both"/>
      </w:pPr>
      <w:r>
        <w:t>Les accessoires pour la finition des pieds de façade, des angles, des faces latérales, des jonctions avec d'autres matériaux de revêtement de façade sont fabriqués dans le même matériau que les bardeaux en matière synthétique, dans la même épaisseur et présentent des caractéristiques mécaniques identiques.</w:t>
      </w:r>
    </w:p>
    <w:p w14:paraId="255AAAE7" w14:textId="77777777" w:rsidR="00772179" w:rsidRDefault="00000000">
      <w:pPr>
        <w:jc w:val="both"/>
      </w:pPr>
      <w:r>
        <w:t xml:space="preserve">Réaction au feu : </w:t>
      </w:r>
      <w:r>
        <w:rPr>
          <w:rStyle w:val="optioncarChar"/>
        </w:rPr>
        <w:t>F</w:t>
      </w:r>
      <w:r>
        <w:t xml:space="preserve"> (par défaut)</w:t>
      </w:r>
      <w:r>
        <w:rPr>
          <w:rStyle w:val="optioncarChar"/>
        </w:rPr>
        <w:t xml:space="preserve"> / ***</w:t>
      </w:r>
    </w:p>
    <w:p w14:paraId="225B33EA" w14:textId="77777777" w:rsidR="00772179" w:rsidRDefault="00000000">
      <w:pPr>
        <w:jc w:val="both"/>
      </w:pPr>
      <w:r>
        <w:t>Panneaux de bardeaux :</w:t>
      </w:r>
    </w:p>
    <w:p w14:paraId="1FE3633D" w14:textId="77777777" w:rsidR="00772179" w:rsidRDefault="00000000">
      <w:pPr>
        <w:pStyle w:val="Author-eListParagraph"/>
        <w:numPr>
          <w:ilvl w:val="0"/>
          <w:numId w:val="929"/>
        </w:numPr>
      </w:pPr>
      <w:r>
        <w:t xml:space="preserve">Type : </w:t>
      </w:r>
      <w:r>
        <w:rPr>
          <w:rStyle w:val="optioncarChar"/>
        </w:rPr>
        <w:t xml:space="preserve">à rives décalées </w:t>
      </w:r>
      <w:r>
        <w:t xml:space="preserve">(par défaut) </w:t>
      </w:r>
      <w:r>
        <w:rPr>
          <w:rStyle w:val="optioncarChar"/>
        </w:rPr>
        <w:t>/ à rives droites / demi-rondes / ***</w:t>
      </w:r>
    </w:p>
    <w:p w14:paraId="7162DCB8" w14:textId="77777777" w:rsidR="00772179" w:rsidRDefault="00000000">
      <w:pPr>
        <w:pStyle w:val="Author-eListParagraph"/>
        <w:numPr>
          <w:ilvl w:val="0"/>
          <w:numId w:val="929"/>
        </w:numPr>
      </w:pPr>
      <w:r>
        <w:t xml:space="preserve">Hauteur : ± </w:t>
      </w:r>
      <w:r>
        <w:rPr>
          <w:rStyle w:val="optioncarChar"/>
        </w:rPr>
        <w:t>25</w:t>
      </w:r>
      <w:r>
        <w:t xml:space="preserve"> (par défaut) </w:t>
      </w:r>
      <w:r>
        <w:rPr>
          <w:rStyle w:val="optioncarChar"/>
        </w:rPr>
        <w:t>/ 35 / 45 / ***</w:t>
      </w:r>
      <w:r>
        <w:t xml:space="preserve"> cm</w:t>
      </w:r>
    </w:p>
    <w:p w14:paraId="78BA7C92" w14:textId="77777777" w:rsidR="00772179" w:rsidRDefault="00000000">
      <w:pPr>
        <w:pStyle w:val="Author-eListParagraph"/>
        <w:numPr>
          <w:ilvl w:val="0"/>
          <w:numId w:val="929"/>
        </w:numPr>
      </w:pPr>
      <w:r>
        <w:t xml:space="preserve">Longueur : ± </w:t>
      </w:r>
      <w:r>
        <w:rPr>
          <w:rStyle w:val="optioncarChar"/>
        </w:rPr>
        <w:t>120</w:t>
      </w:r>
      <w:r>
        <w:t xml:space="preserve"> (par défaut)</w:t>
      </w:r>
      <w:r>
        <w:rPr>
          <w:rStyle w:val="optioncarChar"/>
        </w:rPr>
        <w:t xml:space="preserve"> / 200 / ***</w:t>
      </w:r>
      <w:r>
        <w:t xml:space="preserve"> cm</w:t>
      </w:r>
    </w:p>
    <w:p w14:paraId="2549E573" w14:textId="77777777" w:rsidR="00772179" w:rsidRDefault="00000000">
      <w:pPr>
        <w:pStyle w:val="Author-eListParagraph"/>
        <w:numPr>
          <w:ilvl w:val="0"/>
          <w:numId w:val="929"/>
        </w:numPr>
      </w:pPr>
      <w:r>
        <w:t xml:space="preserve">Épaisseur : ± </w:t>
      </w:r>
      <w:r>
        <w:rPr>
          <w:rStyle w:val="optioncarChar"/>
        </w:rPr>
        <w:t xml:space="preserve">25 </w:t>
      </w:r>
      <w:r>
        <w:t>(par défaut)</w:t>
      </w:r>
      <w:r>
        <w:rPr>
          <w:rStyle w:val="optioncarChar"/>
        </w:rPr>
        <w:t xml:space="preserve"> / ***</w:t>
      </w:r>
      <w:r>
        <w:t xml:space="preserve"> mm</w:t>
      </w:r>
    </w:p>
    <w:p w14:paraId="1EF442B9" w14:textId="77777777" w:rsidR="00772179" w:rsidRDefault="00000000">
      <w:pPr>
        <w:jc w:val="both"/>
      </w:pPr>
      <w:r>
        <w:rPr>
          <w:b/>
        </w:rPr>
        <w:t>Aspects environnementaux</w:t>
      </w:r>
    </w:p>
    <w:p w14:paraId="1BB073CC" w14:textId="77777777" w:rsidR="00772179" w:rsidRDefault="00000000">
      <w:pPr>
        <w:pStyle w:val="Author-eListParagraph"/>
        <w:numPr>
          <w:ilvl w:val="0"/>
          <w:numId w:val="930"/>
        </w:numPr>
        <w:jc w:val="both"/>
      </w:pPr>
      <w:r>
        <w:t xml:space="preserve">Le produit dispose d’un EPD garantissant la réutilisation des déchets de découpe en cours de fabrication : </w:t>
      </w:r>
      <w:r>
        <w:rPr>
          <w:rStyle w:val="optioncarChar"/>
        </w:rPr>
        <w:t xml:space="preserve">oui </w:t>
      </w:r>
      <w:r>
        <w:t>(par défaut)</w:t>
      </w:r>
      <w:r>
        <w:rPr>
          <w:rStyle w:val="optioncarChar"/>
        </w:rPr>
        <w:t xml:space="preserve"> / non</w:t>
      </w:r>
    </w:p>
    <w:p w14:paraId="5B57229D" w14:textId="77777777" w:rsidR="00772179" w:rsidRDefault="00000000">
      <w:pPr>
        <w:pStyle w:val="Author-eListParagraph"/>
        <w:numPr>
          <w:ilvl w:val="0"/>
          <w:numId w:val="930"/>
        </w:numPr>
        <w:jc w:val="both"/>
      </w:pPr>
      <w:r>
        <w:t xml:space="preserve">Le produit comporte une part de matériaux recyclés : </w:t>
      </w:r>
      <w:r>
        <w:rPr>
          <w:rStyle w:val="optioncarChar"/>
        </w:rPr>
        <w:t xml:space="preserve">30 </w:t>
      </w:r>
      <w:r>
        <w:t xml:space="preserve">(par défaut) </w:t>
      </w:r>
      <w:r>
        <w:rPr>
          <w:rStyle w:val="optioncarChar"/>
        </w:rPr>
        <w:t>/ 50 / ***</w:t>
      </w:r>
      <w:r>
        <w:t xml:space="preserve"> %</w:t>
      </w:r>
    </w:p>
    <w:p w14:paraId="38D7C225" w14:textId="77777777" w:rsidR="00772179" w:rsidRDefault="00000000">
      <w:pPr>
        <w:pStyle w:val="pheading"/>
      </w:pPr>
      <w:r>
        <w:t>- Finitions</w:t>
      </w:r>
    </w:p>
    <w:p w14:paraId="483FC881" w14:textId="77777777" w:rsidR="00772179" w:rsidRDefault="00000000">
      <w:r>
        <w:t xml:space="preserve">Aspect : </w:t>
      </w:r>
      <w:r>
        <w:rPr>
          <w:rStyle w:val="optioncarChar"/>
        </w:rPr>
        <w:t>lisse mat / structuré aspect bois / ***</w:t>
      </w:r>
    </w:p>
    <w:p w14:paraId="51FBC624" w14:textId="77777777" w:rsidR="00772179" w:rsidRDefault="00000000">
      <w:r>
        <w:t>Teinte : au choix de l’auteur de projet dans la gamme du fabricant</w:t>
      </w:r>
    </w:p>
    <w:p w14:paraId="42ED45A5" w14:textId="77777777" w:rsidR="00772179" w:rsidRDefault="00000000">
      <w:pPr>
        <w:pStyle w:val="pheading"/>
      </w:pPr>
      <w:r>
        <w:t>EXÉCUTION / MISE EN ŒUVRE</w:t>
      </w:r>
    </w:p>
    <w:p w14:paraId="23959A5E" w14:textId="77777777" w:rsidR="00772179" w:rsidRDefault="00000000">
      <w:pPr>
        <w:pStyle w:val="pheading"/>
      </w:pPr>
      <w:r>
        <w:t>- Prescriptions générales</w:t>
      </w:r>
    </w:p>
    <w:p w14:paraId="3D4FD04E" w14:textId="77777777" w:rsidR="00772179" w:rsidRDefault="00000000">
      <w:pPr>
        <w:jc w:val="both"/>
      </w:pPr>
      <w:r>
        <w:t>La mise en œuvre est exécutée conformément à la documentation technique accompagnant les produits.</w:t>
      </w:r>
    </w:p>
    <w:p w14:paraId="39F7171B" w14:textId="77777777" w:rsidR="00772179" w:rsidRDefault="00000000">
      <w:pPr>
        <w:jc w:val="both"/>
      </w:pPr>
      <w:r>
        <w:t>Calcul statique de la façade :  </w:t>
      </w:r>
      <w:r>
        <w:rPr>
          <w:rStyle w:val="optioncarChar"/>
        </w:rPr>
        <w:t xml:space="preserve">à charge de l’entrepreneur </w:t>
      </w:r>
      <w:r>
        <w:t>(par défaut)</w:t>
      </w:r>
      <w:r>
        <w:rPr>
          <w:rStyle w:val="optioncarChar"/>
        </w:rPr>
        <w:t xml:space="preserve"> / du maître de l’ouvrage</w:t>
      </w:r>
    </w:p>
    <w:p w14:paraId="573E2752" w14:textId="77777777" w:rsidR="00772179" w:rsidRDefault="00772179">
      <w:pPr>
        <w:jc w:val="both"/>
      </w:pPr>
    </w:p>
    <w:p w14:paraId="06775DB1" w14:textId="77777777" w:rsidR="00772179" w:rsidRDefault="00000000">
      <w:pPr>
        <w:jc w:val="both"/>
      </w:pPr>
      <w:r>
        <w:t>Pose du pare-pluie sur l’ensemble de la façade avec raccords aux baies.</w:t>
      </w:r>
    </w:p>
    <w:p w14:paraId="2C520E2B" w14:textId="77777777" w:rsidR="00772179" w:rsidRDefault="00000000">
      <w:pPr>
        <w:jc w:val="both"/>
      </w:pPr>
      <w:r>
        <w:t>En cas d’isolation, l’entrepreneur soumet le procédé d’exécution respectant la prescription du niveau d’isolation pour accord à la direction de chantier (voir plus haut).</w:t>
      </w:r>
    </w:p>
    <w:p w14:paraId="62F64A4E" w14:textId="77777777" w:rsidR="00772179" w:rsidRDefault="00000000">
      <w:pPr>
        <w:jc w:val="both"/>
      </w:pPr>
      <w:r>
        <w:lastRenderedPageBreak/>
        <w:t>L’entrepreneur remet une description détaillée de la pose de la structure (entraxe, diamètre de fixation et nombre...) pour accord à la direction de chantier.</w:t>
      </w:r>
    </w:p>
    <w:p w14:paraId="1D8D8581" w14:textId="77777777" w:rsidR="00772179" w:rsidRDefault="00000000">
      <w:pPr>
        <w:jc w:val="both"/>
      </w:pPr>
      <w:r>
        <w:t>Réalisation d’un espace de ventilation ≥ 30mm avec une grille anti-rongeurs à chaque ouverture.</w:t>
      </w:r>
    </w:p>
    <w:p w14:paraId="5947604E" w14:textId="77777777" w:rsidR="00772179" w:rsidRDefault="00772179">
      <w:pPr>
        <w:jc w:val="both"/>
      </w:pPr>
    </w:p>
    <w:p w14:paraId="22468441" w14:textId="77777777" w:rsidR="00772179" w:rsidRDefault="00000000">
      <w:pPr>
        <w:jc w:val="both"/>
      </w:pPr>
      <w:r>
        <w:t>L’entrepreneur remet une description détaillée de la pose de la structure (entraxe, diamètre de fixation et nombre...) pour accord à la direction de chantier.</w:t>
      </w:r>
    </w:p>
    <w:p w14:paraId="064C6505" w14:textId="77777777" w:rsidR="00772179" w:rsidRDefault="00000000">
      <w:pPr>
        <w:jc w:val="both"/>
      </w:pPr>
      <w:r>
        <w:t xml:space="preserve">Structure de lattage : </w:t>
      </w:r>
      <w:r>
        <w:rPr>
          <w:rStyle w:val="optioncarChar"/>
        </w:rPr>
        <w:t xml:space="preserve">bois </w:t>
      </w:r>
      <w:r>
        <w:t xml:space="preserve">(par défaut) </w:t>
      </w:r>
      <w:r>
        <w:rPr>
          <w:rStyle w:val="optioncarChar"/>
        </w:rPr>
        <w:t>/ métallique</w:t>
      </w:r>
    </w:p>
    <w:p w14:paraId="3BCC1528" w14:textId="77777777" w:rsidR="00772179" w:rsidRDefault="00000000">
      <w:pPr>
        <w:jc w:val="both"/>
      </w:pPr>
      <w:r>
        <w:rPr>
          <w:b/>
        </w:rPr>
        <w:t>(soit par défaut)</w:t>
      </w:r>
    </w:p>
    <w:p w14:paraId="1F547D0B" w14:textId="77777777" w:rsidR="00772179" w:rsidRDefault="00000000">
      <w:pPr>
        <w:jc w:val="both"/>
      </w:pPr>
      <w:r>
        <w:rPr>
          <w:rStyle w:val="soitChar"/>
          <w:u w:val="single"/>
        </w:rPr>
        <w:t>Bois :</w:t>
      </w:r>
    </w:p>
    <w:p w14:paraId="074DDCDA" w14:textId="77777777" w:rsidR="00772179" w:rsidRDefault="00000000">
      <w:pPr>
        <w:pStyle w:val="Author-eListParagraph"/>
        <w:numPr>
          <w:ilvl w:val="0"/>
          <w:numId w:val="931"/>
        </w:numPr>
      </w:pPr>
      <w:r>
        <w:rPr>
          <w:rStyle w:val="soitChar"/>
        </w:rPr>
        <w:t xml:space="preserve">Lattage : </w:t>
      </w:r>
      <w:r>
        <w:rPr>
          <w:rStyle w:val="optioncarChar"/>
        </w:rPr>
        <w:t>32x27</w:t>
      </w:r>
      <w:r>
        <w:t xml:space="preserve"> (par défaut)</w:t>
      </w:r>
      <w:r>
        <w:rPr>
          <w:rStyle w:val="optioncarChar"/>
        </w:rPr>
        <w:t xml:space="preserve"> / ***</w:t>
      </w:r>
      <w:r>
        <w:rPr>
          <w:rStyle w:val="soitChar"/>
        </w:rPr>
        <w:t xml:space="preserve"> mm</w:t>
      </w:r>
    </w:p>
    <w:p w14:paraId="511E401B" w14:textId="77777777" w:rsidR="00772179" w:rsidRDefault="00000000">
      <w:pPr>
        <w:pStyle w:val="Author-eListParagraph"/>
        <w:numPr>
          <w:ilvl w:val="0"/>
          <w:numId w:val="931"/>
        </w:numPr>
      </w:pPr>
      <w:r>
        <w:rPr>
          <w:rStyle w:val="soitChar"/>
        </w:rPr>
        <w:t>Écartement du lattage adapté aux dimensions des bardeaux.</w:t>
      </w:r>
    </w:p>
    <w:p w14:paraId="108E2C65" w14:textId="77777777" w:rsidR="00772179" w:rsidRDefault="00000000">
      <w:pPr>
        <w:jc w:val="both"/>
      </w:pPr>
      <w:r>
        <w:rPr>
          <w:b/>
        </w:rPr>
        <w:t>(soit)</w:t>
      </w:r>
    </w:p>
    <w:p w14:paraId="3949D757" w14:textId="77777777" w:rsidR="00772179" w:rsidRDefault="00000000">
      <w:pPr>
        <w:jc w:val="both"/>
      </w:pPr>
      <w:r>
        <w:rPr>
          <w:rStyle w:val="soitChar"/>
          <w:u w:val="single"/>
        </w:rPr>
        <w:t>Métallique :</w:t>
      </w:r>
    </w:p>
    <w:p w14:paraId="60D6E45E" w14:textId="77777777" w:rsidR="00772179" w:rsidRDefault="00000000">
      <w:pPr>
        <w:pStyle w:val="Author-eListParagraph"/>
        <w:numPr>
          <w:ilvl w:val="0"/>
          <w:numId w:val="932"/>
        </w:numPr>
      </w:pPr>
      <w:r>
        <w:rPr>
          <w:rStyle w:val="soitChar"/>
        </w:rPr>
        <w:t>Dimensionnement à confirmer par note de calcul par l’entrepreneur</w:t>
      </w:r>
    </w:p>
    <w:p w14:paraId="2F03DA18" w14:textId="77777777" w:rsidR="00772179" w:rsidRDefault="00000000">
      <w:pPr>
        <w:pStyle w:val="Author-eListParagraph"/>
        <w:numPr>
          <w:ilvl w:val="0"/>
          <w:numId w:val="932"/>
        </w:numPr>
      </w:pPr>
      <w:r>
        <w:rPr>
          <w:rStyle w:val="soitChar"/>
        </w:rPr>
        <w:t>Ecartement du lattage adapté aux dimensions des bardeaux</w:t>
      </w:r>
    </w:p>
    <w:p w14:paraId="41D28C6E" w14:textId="77777777" w:rsidR="00772179" w:rsidRDefault="00000000">
      <w:pPr>
        <w:jc w:val="both"/>
      </w:pPr>
      <w:r>
        <w:t xml:space="preserve">Fixation : </w:t>
      </w:r>
      <w:r>
        <w:rPr>
          <w:rStyle w:val="optioncarChar"/>
        </w:rPr>
        <w:t xml:space="preserve">clous en aluminium </w:t>
      </w:r>
      <w:r>
        <w:t xml:space="preserve">(par défaut) </w:t>
      </w:r>
      <w:r>
        <w:rPr>
          <w:rStyle w:val="optioncarChar"/>
        </w:rPr>
        <w:t>/ clous en inox / vis inox 316 / vis acier galvanisé / ***</w:t>
      </w:r>
    </w:p>
    <w:p w14:paraId="45623D44" w14:textId="77777777" w:rsidR="00772179" w:rsidRDefault="00000000">
      <w:pPr>
        <w:jc w:val="both"/>
      </w:pPr>
      <w:r>
        <w:t>Un jeu de ± 0,8 mm permettant la libre dilatation des panneaux est ménagé entre le bardeau et la fixation.</w:t>
      </w:r>
    </w:p>
    <w:p w14:paraId="64D5235B" w14:textId="77777777" w:rsidR="00772179" w:rsidRDefault="00000000">
      <w:pPr>
        <w:jc w:val="both"/>
      </w:pPr>
      <w:r>
        <w:t xml:space="preserve">Écartement entre les panneaux de bardeaux ≥ : </w:t>
      </w:r>
      <w:r>
        <w:rPr>
          <w:rStyle w:val="optioncarChar"/>
        </w:rPr>
        <w:t>6 / ***</w:t>
      </w:r>
      <w:r>
        <w:t xml:space="preserve"> mm</w:t>
      </w:r>
    </w:p>
    <w:p w14:paraId="5FBA491A" w14:textId="77777777" w:rsidR="00772179" w:rsidRDefault="00000000">
      <w:pPr>
        <w:jc w:val="both"/>
      </w:pPr>
      <w:r>
        <w:t xml:space="preserve">Finition des angles sortants et rentrants au moyen de </w:t>
      </w:r>
      <w:r>
        <w:rPr>
          <w:rStyle w:val="optioncarChar"/>
        </w:rPr>
        <w:t>profilés de même nature et teinte que les bardeaux</w:t>
      </w:r>
      <w:r>
        <w:t xml:space="preserve"> (par défaut) </w:t>
      </w:r>
      <w:r>
        <w:rPr>
          <w:rStyle w:val="optioncarChar"/>
        </w:rPr>
        <w:t>/ ***.</w:t>
      </w:r>
    </w:p>
    <w:p w14:paraId="08934BA2" w14:textId="77777777" w:rsidR="00772179" w:rsidRDefault="00000000">
      <w:pPr>
        <w:jc w:val="both"/>
      </w:pPr>
      <w:r>
        <w:t xml:space="preserve">Finition au droit des joues de baies au moyen de : </w:t>
      </w:r>
      <w:r>
        <w:rPr>
          <w:rStyle w:val="optioncarChar"/>
        </w:rPr>
        <w:t xml:space="preserve">profilés de même nature et teinte que les bardeaux </w:t>
      </w:r>
      <w:r>
        <w:t xml:space="preserve">(par défaut) </w:t>
      </w:r>
      <w:r>
        <w:rPr>
          <w:rStyle w:val="optioncarChar"/>
        </w:rPr>
        <w:t>/ tôle d’aluminium thermolaqué / tôle d’acier thermolaqué / ***.</w:t>
      </w:r>
    </w:p>
    <w:p w14:paraId="15C92985" w14:textId="77777777" w:rsidR="00772179" w:rsidRDefault="00000000">
      <w:pPr>
        <w:pStyle w:val="pheading"/>
      </w:pPr>
      <w:r>
        <w:t>MESURAGE</w:t>
      </w:r>
    </w:p>
    <w:p w14:paraId="614A9879" w14:textId="77777777" w:rsidR="00772179" w:rsidRDefault="00000000">
      <w:pPr>
        <w:pStyle w:val="pheading"/>
      </w:pPr>
      <w:r>
        <w:t>- unité de mesure:</w:t>
      </w:r>
    </w:p>
    <w:p w14:paraId="05C84CE7" w14:textId="77777777" w:rsidR="00772179" w:rsidRDefault="00000000">
      <w:r>
        <w:t>m²</w:t>
      </w:r>
    </w:p>
    <w:p w14:paraId="703ADF74" w14:textId="77777777" w:rsidR="00772179" w:rsidRDefault="00000000">
      <w:pPr>
        <w:pStyle w:val="pheading"/>
      </w:pPr>
      <w:r>
        <w:t>- code de mesurage:</w:t>
      </w:r>
    </w:p>
    <w:p w14:paraId="1D9B656C" w14:textId="77777777" w:rsidR="00772179" w:rsidRDefault="00000000">
      <w:pPr>
        <w:jc w:val="both"/>
      </w:pPr>
      <w:r>
        <w:t>Surface nette des façades et joues des ouvertures et des fenêtres. Les réservations ˃ 0,5 m² sont déduites.</w:t>
      </w:r>
    </w:p>
    <w:p w14:paraId="6D8E9282" w14:textId="77777777" w:rsidR="00772179" w:rsidRDefault="00000000">
      <w:pPr>
        <w:pStyle w:val="pheading"/>
      </w:pPr>
      <w:r>
        <w:t>- nature du marché:</w:t>
      </w:r>
    </w:p>
    <w:p w14:paraId="119780DD" w14:textId="77777777" w:rsidR="00772179" w:rsidRDefault="00000000">
      <w:r>
        <w:t>QF</w:t>
      </w:r>
    </w:p>
    <w:p w14:paraId="7C3746AB" w14:textId="77777777" w:rsidR="00772179" w:rsidRDefault="00000000">
      <w:pPr>
        <w:pStyle w:val="pheading"/>
      </w:pPr>
      <w:r>
        <w:t>AIDE</w:t>
      </w:r>
    </w:p>
    <w:p w14:paraId="6F9F0AA6" w14:textId="77777777" w:rsidR="00772179" w:rsidRDefault="00000000">
      <w:pPr>
        <w:jc w:val="both"/>
      </w:pPr>
      <w:r>
        <w:t>Les revêtements de façades de classe F ne sont autorisés que sur les bâtiments bas non concernés par [AR 1994-07-07].</w:t>
      </w:r>
    </w:p>
    <w:p w14:paraId="43687E50" w14:textId="77777777" w:rsidR="00772179" w:rsidRDefault="00000000">
      <w:pPr>
        <w:pStyle w:val="Author-eSectionHeading4Numberless"/>
      </w:pPr>
      <w:bookmarkStart w:id="741" w:name="_Toc220490430"/>
      <w:r>
        <w:t>43.24 Revêtements de façade rigides fixés mécaniquement - planches / panneaux CCTB 01.11</w:t>
      </w:r>
      <w:bookmarkEnd w:id="741"/>
    </w:p>
    <w:p w14:paraId="1AC28E38" w14:textId="77777777" w:rsidR="00772179" w:rsidRDefault="00000000">
      <w:pPr>
        <w:pStyle w:val="pheading"/>
      </w:pPr>
      <w:r>
        <w:t>DESCRIPTION</w:t>
      </w:r>
    </w:p>
    <w:p w14:paraId="34D6B4F0" w14:textId="77777777" w:rsidR="00772179" w:rsidRDefault="00000000">
      <w:pPr>
        <w:pStyle w:val="pheading"/>
      </w:pPr>
      <w:r>
        <w:t>- Définition / Comprend</w:t>
      </w:r>
    </w:p>
    <w:p w14:paraId="2BE836AD" w14:textId="77777777" w:rsidR="00772179" w:rsidRDefault="00000000">
      <w:pPr>
        <w:jc w:val="both"/>
      </w:pPr>
      <w:r>
        <w:t>Il s'agit de toutes les fournitures et tous les travaux en vue de la réalisation des revêtements de façade en planchettes, en panneaux ou en éléments de façade, pour obtenir un ouvrage soigneusement achevé. Y compris la structure en lattage (telle que décrite dans le sous-titre </w:t>
      </w:r>
      <w:hyperlink w:anchor="991" w:history="1">
        <w:r>
          <w:rPr>
            <w:color w:val="0000EE"/>
          </w:rPr>
          <w:t>43.11 Profilés de support continu du revêtement de façade</w:t>
        </w:r>
      </w:hyperlink>
      <w:r>
        <w:t xml:space="preserve"> Profilé de support continu), les planchettes ou </w:t>
      </w:r>
      <w:r>
        <w:lastRenderedPageBreak/>
        <w:t>les éléments de façade, les moyens de fixation, les profils de rive, en vue d'un raccord parfait et soigné aux autres éléments de façade.</w:t>
      </w:r>
    </w:p>
    <w:p w14:paraId="06865C60" w14:textId="77777777" w:rsidR="00772179" w:rsidRDefault="00000000">
      <w:pPr>
        <w:jc w:val="both"/>
      </w:pPr>
      <w:r>
        <w:t>Conformément aux dispositions générales et/ou spécifiques du cahier spécial des charges, les prix unitaires compris dans ces postes comprennent toujours notamment (soit selon la ventilation dans le métré récapitulatif, soit dans leur totalité) :</w:t>
      </w:r>
    </w:p>
    <w:p w14:paraId="6B9273F6" w14:textId="77777777" w:rsidR="00772179" w:rsidRDefault="00000000">
      <w:pPr>
        <w:pStyle w:val="Author-eListParagraph"/>
        <w:numPr>
          <w:ilvl w:val="0"/>
          <w:numId w:val="933"/>
        </w:numPr>
        <w:jc w:val="both"/>
      </w:pPr>
      <w:r>
        <w:t>La pose et l'enlèvement des échafaudages et des bâches nécessaires à l'exécution;</w:t>
      </w:r>
    </w:p>
    <w:p w14:paraId="6C77A132" w14:textId="77777777" w:rsidR="00772179" w:rsidRDefault="00000000">
      <w:pPr>
        <w:pStyle w:val="Author-eListParagraph"/>
        <w:numPr>
          <w:ilvl w:val="0"/>
          <w:numId w:val="933"/>
        </w:numPr>
        <w:jc w:val="both"/>
      </w:pPr>
      <w:r>
        <w:t>Le cas échéant, l'enlèvement et la remise en place des descentes d'eau de pluie ;</w:t>
      </w:r>
    </w:p>
    <w:p w14:paraId="446FECAE" w14:textId="77777777" w:rsidR="00772179" w:rsidRDefault="00000000">
      <w:pPr>
        <w:pStyle w:val="Author-eListParagraph"/>
        <w:numPr>
          <w:ilvl w:val="0"/>
          <w:numId w:val="933"/>
        </w:numPr>
        <w:jc w:val="both"/>
      </w:pPr>
      <w:r>
        <w:t>Le remplissage, l'enlèvement et/ou la protection provisoire des parties de façade qui ne sont pas destinées à recevoir du crépi ;</w:t>
      </w:r>
    </w:p>
    <w:p w14:paraId="14D7B03F" w14:textId="77777777" w:rsidR="00772179" w:rsidRDefault="00000000">
      <w:pPr>
        <w:pStyle w:val="Author-eListParagraph"/>
        <w:numPr>
          <w:ilvl w:val="0"/>
          <w:numId w:val="933"/>
        </w:numPr>
        <w:jc w:val="both"/>
      </w:pPr>
      <w:r>
        <w:t>Le traçage et/ou la mise d'aplomb des structures de murs, plafonds, caissons, …</w:t>
      </w:r>
    </w:p>
    <w:p w14:paraId="31911CFB" w14:textId="77777777" w:rsidR="00772179" w:rsidRDefault="00000000">
      <w:pPr>
        <w:pStyle w:val="Author-eListParagraph"/>
        <w:numPr>
          <w:ilvl w:val="0"/>
          <w:numId w:val="933"/>
        </w:numPr>
        <w:jc w:val="both"/>
      </w:pPr>
      <w:r>
        <w:t>La préparation et le nettoyage du support ;</w:t>
      </w:r>
    </w:p>
    <w:p w14:paraId="27119696" w14:textId="77777777" w:rsidR="00772179" w:rsidRDefault="00000000">
      <w:pPr>
        <w:pStyle w:val="Author-eListParagraph"/>
        <w:numPr>
          <w:ilvl w:val="0"/>
          <w:numId w:val="933"/>
        </w:numPr>
        <w:jc w:val="both"/>
      </w:pPr>
      <w:r>
        <w:t>La fourniture et le montage des structures portantes prescrites en bois ou en métal, y compris tous les éléments d'assemblage et/ou d'ancrage ;</w:t>
      </w:r>
    </w:p>
    <w:p w14:paraId="68CAC451" w14:textId="77777777" w:rsidR="00772179" w:rsidRDefault="00000000">
      <w:pPr>
        <w:pStyle w:val="Author-eListParagraph"/>
        <w:numPr>
          <w:ilvl w:val="0"/>
          <w:numId w:val="933"/>
        </w:numPr>
        <w:jc w:val="both"/>
      </w:pPr>
      <w:r>
        <w:t>La fourniture et la pose des renforts pour les fixations ou la suspension ;</w:t>
      </w:r>
    </w:p>
    <w:p w14:paraId="45DA50BC" w14:textId="77777777" w:rsidR="00772179" w:rsidRDefault="00000000">
      <w:pPr>
        <w:pStyle w:val="Author-eListParagraph"/>
        <w:numPr>
          <w:ilvl w:val="0"/>
          <w:numId w:val="933"/>
        </w:numPr>
        <w:jc w:val="both"/>
      </w:pPr>
      <w:r>
        <w:t>La réalisation des éventuelles réservations pour l’intégration des conduites, des appareils encastrés ou les trappes d'accès ainsi que la finition des bords pour les éléments d'encastrement ;</w:t>
      </w:r>
    </w:p>
    <w:p w14:paraId="6358190E" w14:textId="77777777" w:rsidR="00772179" w:rsidRDefault="00000000">
      <w:pPr>
        <w:pStyle w:val="Author-eListParagraph"/>
        <w:numPr>
          <w:ilvl w:val="0"/>
          <w:numId w:val="933"/>
        </w:numPr>
        <w:jc w:val="both"/>
      </w:pPr>
      <w:r>
        <w:t>La fourniture et la pose des panneaux de revêtement, y compris les moyens de fixation;</w:t>
      </w:r>
    </w:p>
    <w:p w14:paraId="45C62958" w14:textId="77777777" w:rsidR="00772179" w:rsidRDefault="00000000">
      <w:pPr>
        <w:pStyle w:val="Author-eListParagraph"/>
        <w:numPr>
          <w:ilvl w:val="0"/>
          <w:numId w:val="933"/>
        </w:numPr>
        <w:jc w:val="both"/>
      </w:pPr>
      <w:r>
        <w:t>L'évacuation et la gestion des déchets issus de travaux de démolition, de rénovation ou de construction font l'objet d'un ou plusieurs postes spécifiques, détaillés en section 07 - Déchets : Préventions, tris sélectifs sur chantier, stockages, transports et traitements des déchets.</w:t>
      </w:r>
    </w:p>
    <w:p w14:paraId="5E2CE717" w14:textId="77777777" w:rsidR="00772179" w:rsidRDefault="00000000">
      <w:pPr>
        <w:pStyle w:val="Author-eListParagraph"/>
        <w:numPr>
          <w:ilvl w:val="0"/>
          <w:numId w:val="933"/>
        </w:numPr>
        <w:jc w:val="both"/>
      </w:pPr>
      <w:r>
        <w:t>Le cas échéant, les études et les essais (en ce qui concerne l’esthétique de la finition ainsi que les performances exigées en matière d'acoustique et/ou de résistance au feu et/ou de résistance mécanique);</w:t>
      </w:r>
    </w:p>
    <w:p w14:paraId="7BAA3A30" w14:textId="77777777" w:rsidR="00772179" w:rsidRDefault="00000000">
      <w:pPr>
        <w:pStyle w:val="Author-eListParagraph"/>
        <w:numPr>
          <w:ilvl w:val="0"/>
          <w:numId w:val="933"/>
        </w:numPr>
        <w:jc w:val="both"/>
      </w:pPr>
      <w:r>
        <w:t xml:space="preserve">L’enduit n’est pas compris dans cet élément. Le travail est comptabilisé dans un article sous l’élément </w:t>
      </w:r>
      <w:hyperlink w:anchor="998" w:history="1">
        <w:r>
          <w:rPr>
            <w:color w:val="0000EE"/>
          </w:rPr>
          <w:t>43.5 Enduits de façade</w:t>
        </w:r>
      </w:hyperlink>
      <w:r>
        <w:t>.</w:t>
      </w:r>
    </w:p>
    <w:p w14:paraId="4C8745AA" w14:textId="77777777" w:rsidR="00772179" w:rsidRDefault="00772179"/>
    <w:p w14:paraId="7C8858E8" w14:textId="77777777" w:rsidR="00772179" w:rsidRDefault="00000000">
      <w:pPr>
        <w:pStyle w:val="pheading"/>
      </w:pPr>
      <w:r>
        <w:t>MATÉRIAUX</w:t>
      </w:r>
    </w:p>
    <w:p w14:paraId="15C7A76E" w14:textId="77777777" w:rsidR="00772179" w:rsidRDefault="00000000">
      <w:pPr>
        <w:pStyle w:val="Author-eListParagraph"/>
        <w:numPr>
          <w:ilvl w:val="0"/>
          <w:numId w:val="934"/>
        </w:numPr>
      </w:pPr>
      <w:r>
        <w:t>Les panneaux et/ou les planchettes sont spécialement conçus pour être utilisés en milieu extérieur.</w:t>
      </w:r>
    </w:p>
    <w:p w14:paraId="276EF736" w14:textId="77777777" w:rsidR="00772179" w:rsidRDefault="00000000">
      <w:pPr>
        <w:pStyle w:val="Author-eListParagraph"/>
        <w:numPr>
          <w:ilvl w:val="0"/>
          <w:numId w:val="934"/>
        </w:numPr>
      </w:pPr>
      <w:r>
        <w:t>Au rez-de-chaussée, pour une hauteur ≤ 2 m, le revêtement résiste au vandalisme et aux graffitis.</w:t>
      </w:r>
    </w:p>
    <w:p w14:paraId="670E9AB2" w14:textId="77777777" w:rsidR="00772179" w:rsidRDefault="00000000">
      <w:pPr>
        <w:pStyle w:val="Author-eListParagraph"/>
        <w:numPr>
          <w:ilvl w:val="0"/>
          <w:numId w:val="934"/>
        </w:numPr>
      </w:pPr>
      <w:r>
        <w:t>Le constructeur livre au maître de l'ouvrage une réserve de 2 % de la surface habillée afin de pouvoir exécuter les éventuelles réparations qui s'imposent par la suite.</w:t>
      </w:r>
    </w:p>
    <w:p w14:paraId="365194D4" w14:textId="77777777" w:rsidR="00772179" w:rsidRDefault="00000000">
      <w:pPr>
        <w:pStyle w:val="Author-eListParagraph"/>
        <w:numPr>
          <w:ilvl w:val="0"/>
          <w:numId w:val="934"/>
        </w:numPr>
      </w:pPr>
      <w:r>
        <w:t>La forme et le profilage et/ou le mode de recouvrement sont conçus de manière à éviter toute stagnation d'eau sur les faces, les bords ou les arêtes. L'eau est facilement évacuée grâce aux biseautages et arrondis : c'est pourquoi toutes les arêtes sont arrondies, avec un rayon de +/- 3 mm.</w:t>
      </w:r>
    </w:p>
    <w:p w14:paraId="72C74DA6" w14:textId="77777777" w:rsidR="00772179" w:rsidRDefault="00000000">
      <w:pPr>
        <w:pStyle w:val="pheading"/>
      </w:pPr>
      <w:r>
        <w:t>EXÉCUTION / MISE EN ŒUVRE</w:t>
      </w:r>
    </w:p>
    <w:p w14:paraId="62FAC1D4" w14:textId="77777777" w:rsidR="00772179" w:rsidRDefault="00000000">
      <w:r>
        <w:t>Les ouvertures de façade sont achevées selon les détails établis par le fabricant.</w:t>
      </w:r>
    </w:p>
    <w:p w14:paraId="48EACAD7" w14:textId="77777777" w:rsidR="00772179" w:rsidRDefault="00000000">
      <w:pPr>
        <w:pStyle w:val="Author-eSectionHeading5Numberless"/>
      </w:pPr>
      <w:bookmarkStart w:id="742" w:name="_Toc220490431"/>
      <w:r>
        <w:t>43.24.1 Revêtements de façade rigides fixés mécaniquement - planches en fibres ciment CCTB 01.02</w:t>
      </w:r>
      <w:bookmarkEnd w:id="742"/>
    </w:p>
    <w:p w14:paraId="7274785D" w14:textId="77777777" w:rsidR="00772179" w:rsidRDefault="00000000">
      <w:pPr>
        <w:pStyle w:val="Author-eSectionHeading6Numberless"/>
      </w:pPr>
      <w:bookmarkStart w:id="743" w:name="843"/>
      <w:bookmarkStart w:id="744" w:name="_Toc220490432"/>
      <w:bookmarkEnd w:id="743"/>
      <w:r>
        <w:t>43.24.1a Revêtements de façade rigides fixés mécaniquement - planches en fibres ciment CCTB 01.11</w:t>
      </w:r>
      <w:bookmarkEnd w:id="744"/>
    </w:p>
    <w:p w14:paraId="793A74F4" w14:textId="77777777" w:rsidR="00772179" w:rsidRDefault="00000000">
      <w:pPr>
        <w:pStyle w:val="pheading"/>
      </w:pPr>
      <w:r>
        <w:t>DESCRIPTION</w:t>
      </w:r>
    </w:p>
    <w:p w14:paraId="52A5A781" w14:textId="77777777" w:rsidR="00772179" w:rsidRDefault="00000000">
      <w:pPr>
        <w:pStyle w:val="pheading"/>
      </w:pPr>
      <w:r>
        <w:t>- Définition / Comprend</w:t>
      </w:r>
    </w:p>
    <w:p w14:paraId="3817EB3D" w14:textId="77777777" w:rsidR="00772179" w:rsidRDefault="00000000">
      <w:pPr>
        <w:jc w:val="both"/>
      </w:pPr>
      <w:r>
        <w:t>Il s’agit de la fourniture et la pose de planches en fibres ciment fixées mécaniquement à une structure secondaire en profilés appliqués en façade en vue de la réalisation d’un ouvrage soigné et propre.</w:t>
      </w:r>
    </w:p>
    <w:p w14:paraId="08A841CE" w14:textId="77777777" w:rsidR="00772179" w:rsidRDefault="00000000">
      <w:pPr>
        <w:jc w:val="both"/>
      </w:pPr>
      <w:r>
        <w:lastRenderedPageBreak/>
        <w:t>La portée des travaux est décrite au </w:t>
      </w:r>
      <w:hyperlink w:anchor="984" w:history="1">
        <w:r>
          <w:rPr>
            <w:color w:val="0000EE"/>
          </w:rPr>
          <w:t>43.2 Revêtements de façade rigides fixés mécaniquement</w:t>
        </w:r>
      </w:hyperlink>
      <w:r>
        <w:t>.</w:t>
      </w:r>
    </w:p>
    <w:p w14:paraId="39F1299E" w14:textId="77777777" w:rsidR="00772179" w:rsidRDefault="00000000">
      <w:pPr>
        <w:pStyle w:val="pheading"/>
      </w:pPr>
      <w:r>
        <w:t>MATÉRIAUX</w:t>
      </w:r>
    </w:p>
    <w:p w14:paraId="73D66B8F" w14:textId="77777777" w:rsidR="00772179" w:rsidRDefault="00000000">
      <w:pPr>
        <w:pStyle w:val="pheading"/>
      </w:pPr>
      <w:r>
        <w:t>- Caractéristiques générales</w:t>
      </w:r>
    </w:p>
    <w:p w14:paraId="03E95300" w14:textId="77777777" w:rsidR="00772179" w:rsidRDefault="00000000">
      <w:pPr>
        <w:jc w:val="both"/>
      </w:pPr>
      <w:r>
        <w:rPr>
          <w:b/>
        </w:rPr>
        <w:t>Profilés</w:t>
      </w:r>
      <w:r>
        <w:t xml:space="preserve"> :</w:t>
      </w:r>
      <w:r>
        <w:rPr>
          <w:rStyle w:val="optioncarChar"/>
        </w:rPr>
        <w:t xml:space="preserve"> en bois</w:t>
      </w:r>
      <w:r>
        <w:t xml:space="preserve"> (par défaut)</w:t>
      </w:r>
      <w:r>
        <w:rPr>
          <w:rStyle w:val="optioncarChar"/>
        </w:rPr>
        <w:t xml:space="preserve"> / métalliques</w:t>
      </w:r>
    </w:p>
    <w:p w14:paraId="2921D8D4" w14:textId="77777777" w:rsidR="00772179" w:rsidRDefault="00000000">
      <w:pPr>
        <w:jc w:val="both"/>
      </w:pPr>
      <w:r>
        <w:rPr>
          <w:b/>
        </w:rPr>
        <w:t>(soit par défaut)</w:t>
      </w:r>
    </w:p>
    <w:p w14:paraId="12880ED7" w14:textId="77777777" w:rsidR="00772179" w:rsidRDefault="00000000">
      <w:pPr>
        <w:jc w:val="both"/>
      </w:pPr>
      <w:r>
        <w:rPr>
          <w:rStyle w:val="soitChar"/>
          <w:u w:val="single"/>
        </w:rPr>
        <w:t>Profilés en bois</w:t>
      </w:r>
      <w:r>
        <w:rPr>
          <w:rStyle w:val="soitChar"/>
        </w:rPr>
        <w:t xml:space="preserve"> tels que décrits au </w:t>
      </w:r>
      <w:hyperlink w:anchor="985" w:history="1">
        <w:r>
          <w:rPr>
            <w:rStyle w:val="soitChar"/>
            <w:color w:val="0000EE"/>
          </w:rPr>
          <w:t>43.11.1 Profilés de support continu en bois du revêtement de façade</w:t>
        </w:r>
      </w:hyperlink>
      <w:r>
        <w:rPr>
          <w:rStyle w:val="soitChar"/>
        </w:rPr>
        <w:t>.</w:t>
      </w:r>
    </w:p>
    <w:p w14:paraId="08AE0F12" w14:textId="77777777" w:rsidR="00772179" w:rsidRDefault="00000000">
      <w:pPr>
        <w:jc w:val="both"/>
      </w:pPr>
      <w:r>
        <w:rPr>
          <w:b/>
        </w:rPr>
        <w:t>(soit)</w:t>
      </w:r>
    </w:p>
    <w:p w14:paraId="1884EB86" w14:textId="77777777" w:rsidR="00772179" w:rsidRDefault="00000000">
      <w:pPr>
        <w:jc w:val="both"/>
      </w:pPr>
      <w:r>
        <w:rPr>
          <w:rStyle w:val="soitChar"/>
          <w:u w:val="single"/>
        </w:rPr>
        <w:t>Profilés métalliques</w:t>
      </w:r>
      <w:r>
        <w:rPr>
          <w:rStyle w:val="soitChar"/>
        </w:rPr>
        <w:t xml:space="preserve"> tels que décrits au </w:t>
      </w:r>
      <w:hyperlink w:anchor="993" w:history="1">
        <w:r>
          <w:rPr>
            <w:rStyle w:val="soitChar"/>
            <w:color w:val="0000EE"/>
          </w:rPr>
          <w:t>43.11.2 Profilés de support continu métallique du revêtement de façade</w:t>
        </w:r>
      </w:hyperlink>
      <w:r>
        <w:rPr>
          <w:rStyle w:val="soitChar"/>
        </w:rPr>
        <w:t>.</w:t>
      </w:r>
    </w:p>
    <w:p w14:paraId="3E4C402F" w14:textId="77777777" w:rsidR="00772179" w:rsidRDefault="00000000">
      <w:pPr>
        <w:jc w:val="both"/>
      </w:pPr>
      <w:r>
        <w:rPr>
          <w:b/>
        </w:rPr>
        <w:t>Isolation</w:t>
      </w:r>
      <w:r>
        <w:t xml:space="preserve"> :  </w:t>
      </w:r>
      <w:r>
        <w:rPr>
          <w:rStyle w:val="optioncarChar"/>
        </w:rPr>
        <w:t xml:space="preserve">oui </w:t>
      </w:r>
      <w:r>
        <w:t xml:space="preserve">(par défaut) </w:t>
      </w:r>
      <w:r>
        <w:rPr>
          <w:rStyle w:val="optioncarChar"/>
        </w:rPr>
        <w:t>/ non</w:t>
      </w:r>
    </w:p>
    <w:p w14:paraId="0E471003" w14:textId="77777777" w:rsidR="00772179" w:rsidRDefault="00000000">
      <w:pPr>
        <w:jc w:val="both"/>
      </w:pPr>
      <w:r>
        <w:rPr>
          <w:b/>
        </w:rPr>
        <w:t>(soit par défaut)</w:t>
      </w:r>
    </w:p>
    <w:p w14:paraId="573DFAC3" w14:textId="77777777" w:rsidR="00772179" w:rsidRDefault="00000000">
      <w:pPr>
        <w:jc w:val="both"/>
      </w:pPr>
      <w:r>
        <w:rPr>
          <w:rStyle w:val="soitChar"/>
          <w:u w:val="single"/>
        </w:rPr>
        <w:t>Isolation</w:t>
      </w:r>
      <w:r>
        <w:rPr>
          <w:rStyle w:val="soitChar"/>
        </w:rPr>
        <w:t xml:space="preserve"> suivant descriptif au 26.4 Isolation,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w:t>
      </w:r>
      <w:r>
        <w:t>  </w:t>
      </w:r>
      <w:r>
        <w:rPr>
          <w:rStyle w:val="optioncarChar"/>
        </w:rPr>
        <w:t xml:space="preserve">*** </w:t>
      </w:r>
      <w:r>
        <w:t>w/m²K.</w:t>
      </w:r>
    </w:p>
    <w:p w14:paraId="7FC9E31A" w14:textId="77777777" w:rsidR="00772179" w:rsidRDefault="00000000">
      <w:pPr>
        <w:jc w:val="both"/>
      </w:pPr>
      <w:r>
        <w:rPr>
          <w:b/>
        </w:rPr>
        <w:t>(soit)</w:t>
      </w:r>
    </w:p>
    <w:p w14:paraId="7F1A5B98" w14:textId="77777777" w:rsidR="00772179" w:rsidRDefault="00000000">
      <w:pPr>
        <w:jc w:val="both"/>
      </w:pPr>
      <w:r>
        <w:rPr>
          <w:rStyle w:val="soitChar"/>
          <w:u w:val="single"/>
        </w:rPr>
        <w:t>Pas d’isolation </w:t>
      </w:r>
    </w:p>
    <w:p w14:paraId="3138DFDD" w14:textId="77777777" w:rsidR="00772179" w:rsidRDefault="00000000">
      <w:pPr>
        <w:jc w:val="both"/>
      </w:pPr>
      <w:r>
        <w:rPr>
          <w:b/>
        </w:rPr>
        <w:t xml:space="preserve">Pare-pluie : </w:t>
      </w:r>
      <w:r>
        <w:rPr>
          <w:rStyle w:val="optioncarChar"/>
        </w:rPr>
        <w:t xml:space="preserve">oui </w:t>
      </w:r>
      <w:r>
        <w:t xml:space="preserve">(par défaut) </w:t>
      </w:r>
      <w:r>
        <w:rPr>
          <w:rStyle w:val="optioncarChar"/>
        </w:rPr>
        <w:t>/ non</w:t>
      </w:r>
    </w:p>
    <w:p w14:paraId="6DF0EEAF" w14:textId="77777777" w:rsidR="00772179" w:rsidRDefault="00000000">
      <w:pPr>
        <w:jc w:val="both"/>
      </w:pPr>
      <w:r>
        <w:rPr>
          <w:b/>
        </w:rPr>
        <w:t>(soit par défaut)</w:t>
      </w:r>
    </w:p>
    <w:p w14:paraId="4F01A1C4" w14:textId="77777777" w:rsidR="00772179" w:rsidRDefault="00000000">
      <w:pPr>
        <w:jc w:val="both"/>
      </w:pPr>
      <w:r>
        <w:rPr>
          <w:rStyle w:val="soitChar"/>
          <w:u w:val="single"/>
        </w:rPr>
        <w:t>Pare-pluie</w:t>
      </w:r>
      <w:r>
        <w:rPr>
          <w:rStyle w:val="soitChar"/>
        </w:rPr>
        <w:t xml:space="preserve"> posé sur l’ensemble de la surface de façade avec raccord aux baies tel que décrit sous </w:t>
      </w:r>
      <w:hyperlink w:anchor="994" w:history="1">
        <w:r>
          <w:rPr>
            <w:rStyle w:val="soitChar"/>
            <w:color w:val="0000EE"/>
          </w:rPr>
          <w:t>44.13 Pare-pluie souples</w:t>
        </w:r>
      </w:hyperlink>
      <w:r>
        <w:rPr>
          <w:rStyle w:val="soitChar"/>
        </w:rPr>
        <w:t xml:space="preserve"> / </w:t>
      </w:r>
      <w:hyperlink w:anchor="995" w:history="1">
        <w:r>
          <w:rPr>
            <w:rStyle w:val="soitChar"/>
            <w:color w:val="0000EE"/>
          </w:rPr>
          <w:t>44.14 Pare-pluie rigides</w:t>
        </w:r>
      </w:hyperlink>
      <w:r>
        <w:rPr>
          <w:rStyle w:val="soitChar"/>
        </w:rPr>
        <w:t>.</w:t>
      </w:r>
    </w:p>
    <w:p w14:paraId="0CA7AF27" w14:textId="77777777" w:rsidR="00772179" w:rsidRDefault="00000000">
      <w:pPr>
        <w:jc w:val="both"/>
      </w:pPr>
      <w:r>
        <w:rPr>
          <w:b/>
        </w:rPr>
        <w:t>(soit)</w:t>
      </w:r>
    </w:p>
    <w:p w14:paraId="17F72192" w14:textId="77777777" w:rsidR="00772179" w:rsidRDefault="00000000">
      <w:pPr>
        <w:jc w:val="both"/>
      </w:pPr>
      <w:r>
        <w:rPr>
          <w:rStyle w:val="soitChar"/>
          <w:u w:val="single"/>
        </w:rPr>
        <w:t xml:space="preserve"> Pas de pare-pluie </w:t>
      </w:r>
    </w:p>
    <w:p w14:paraId="7ECF8C91" w14:textId="77777777" w:rsidR="00772179" w:rsidRDefault="00000000">
      <w:pPr>
        <w:jc w:val="both"/>
      </w:pPr>
      <w:r>
        <w:rPr>
          <w:b/>
        </w:rPr>
        <w:t>Planches de fibres-ciment</w:t>
      </w:r>
    </w:p>
    <w:p w14:paraId="7B508F28" w14:textId="77777777" w:rsidR="00772179" w:rsidRDefault="00000000">
      <w:pPr>
        <w:jc w:val="both"/>
      </w:pPr>
      <w:r>
        <w:t>Les revêtements de façade se composent de planches de fibres-ciment autoclavées exemptes d'amiante. Le matériau de base est une plaque de fibres-ciment comprimée et durcie en autoclave qui se compose de ciment Portland, de fibres organiques naturelles et de matières de charge minérales sélectionnées. La face vue est revêtue d'une dispersion d'acrylique, la face arrière est revêtue d’une couche de fond. Les plaques conviennent pour être utilisées en milieu extérieur conformément à la [NBN EN 12467:2012+A2].</w:t>
      </w:r>
    </w:p>
    <w:p w14:paraId="5C90F4BB" w14:textId="77777777" w:rsidR="00772179" w:rsidRDefault="00000000">
      <w:pPr>
        <w:pStyle w:val="Author-eListParagraph"/>
        <w:numPr>
          <w:ilvl w:val="0"/>
          <w:numId w:val="935"/>
        </w:numPr>
      </w:pPr>
      <w:r>
        <w:t xml:space="preserve">Densité : </w:t>
      </w:r>
      <w:r>
        <w:rPr>
          <w:rStyle w:val="optioncarChar"/>
        </w:rPr>
        <w:t>1300</w:t>
      </w:r>
      <w:r>
        <w:t xml:space="preserve"> (par défaut) </w:t>
      </w:r>
      <w:r>
        <w:rPr>
          <w:rStyle w:val="optioncarChar"/>
        </w:rPr>
        <w:t>/ 1200</w:t>
      </w:r>
      <w:r>
        <w:t xml:space="preserve"> kg/m³</w:t>
      </w:r>
    </w:p>
    <w:p w14:paraId="400985DF" w14:textId="77777777" w:rsidR="00772179" w:rsidRDefault="00000000">
      <w:pPr>
        <w:pStyle w:val="Author-eListParagraph"/>
        <w:numPr>
          <w:ilvl w:val="0"/>
          <w:numId w:val="935"/>
        </w:numPr>
      </w:pPr>
      <w:r>
        <w:t>Suivant [NBN EN 12467:2012+A2] : Durabilité classe A – Résistance classe 2</w:t>
      </w:r>
    </w:p>
    <w:p w14:paraId="486190FB" w14:textId="77777777" w:rsidR="00772179" w:rsidRDefault="00000000">
      <w:pPr>
        <w:pStyle w:val="Author-eListParagraph"/>
        <w:numPr>
          <w:ilvl w:val="0"/>
          <w:numId w:val="935"/>
        </w:numPr>
      </w:pPr>
      <w:r>
        <w:t>Résistant au gel suivant [NBN EN 12467:2012+A2], classe A</w:t>
      </w:r>
    </w:p>
    <w:p w14:paraId="6203C646" w14:textId="77777777" w:rsidR="00772179" w:rsidRDefault="00000000">
      <w:pPr>
        <w:pStyle w:val="Author-eListParagraph"/>
        <w:numPr>
          <w:ilvl w:val="0"/>
          <w:numId w:val="935"/>
        </w:numPr>
      </w:pPr>
      <w:r>
        <w:t>Réaction au feu : A2-s3, d0 suivant [NBN EN 13501-1]</w:t>
      </w:r>
    </w:p>
    <w:p w14:paraId="45DA4425" w14:textId="77777777" w:rsidR="00772179" w:rsidRDefault="00000000">
      <w:pPr>
        <w:jc w:val="both"/>
      </w:pPr>
      <w:r>
        <w:rPr>
          <w:rStyle w:val="optioncarChar"/>
        </w:rPr>
        <w:t xml:space="preserve">Planches à recouvrement </w:t>
      </w:r>
      <w:r>
        <w:t xml:space="preserve">(par défaut) </w:t>
      </w:r>
      <w:r>
        <w:rPr>
          <w:rStyle w:val="optioncarChar"/>
        </w:rPr>
        <w:t>/ Planches à rainures et languette</w:t>
      </w:r>
    </w:p>
    <w:p w14:paraId="61751BAD" w14:textId="77777777" w:rsidR="00772179" w:rsidRDefault="00000000">
      <w:pPr>
        <w:jc w:val="both"/>
      </w:pPr>
      <w:r>
        <w:rPr>
          <w:b/>
        </w:rPr>
        <w:t>(soit par défaut)</w:t>
      </w:r>
    </w:p>
    <w:p w14:paraId="64B3ACB0" w14:textId="77777777" w:rsidR="00772179" w:rsidRDefault="00000000">
      <w:pPr>
        <w:jc w:val="both"/>
      </w:pPr>
      <w:r>
        <w:rPr>
          <w:rStyle w:val="soitChar"/>
          <w:u w:val="single"/>
        </w:rPr>
        <w:t xml:space="preserve">Planches à recouvrement : </w:t>
      </w:r>
    </w:p>
    <w:p w14:paraId="5BF4CAE8" w14:textId="77777777" w:rsidR="00772179" w:rsidRDefault="00000000">
      <w:pPr>
        <w:jc w:val="both"/>
      </w:pPr>
      <w:r>
        <w:rPr>
          <w:rStyle w:val="soitChar"/>
        </w:rPr>
        <w:t>Dimensions :</w:t>
      </w:r>
    </w:p>
    <w:p w14:paraId="5919007E" w14:textId="77777777" w:rsidR="00772179" w:rsidRDefault="00000000">
      <w:pPr>
        <w:pStyle w:val="Author-eListParagraph"/>
        <w:numPr>
          <w:ilvl w:val="0"/>
          <w:numId w:val="936"/>
        </w:numPr>
      </w:pPr>
      <w:r>
        <w:rPr>
          <w:rStyle w:val="soitChar"/>
        </w:rPr>
        <w:t>Epaisseur :</w:t>
      </w:r>
      <w:r>
        <w:rPr>
          <w:rStyle w:val="optioncarChar"/>
        </w:rPr>
        <w:t xml:space="preserve">10 </w:t>
      </w:r>
      <w:r>
        <w:t>(par défaut)</w:t>
      </w:r>
      <w:r>
        <w:rPr>
          <w:rStyle w:val="optioncarChar"/>
        </w:rPr>
        <w:t xml:space="preserve"> / 8</w:t>
      </w:r>
      <w:r>
        <w:t>  </w:t>
      </w:r>
      <w:r>
        <w:rPr>
          <w:rStyle w:val="soitChar"/>
        </w:rPr>
        <w:t>mm</w:t>
      </w:r>
    </w:p>
    <w:p w14:paraId="2F34D64A" w14:textId="77777777" w:rsidR="00772179" w:rsidRDefault="00000000">
      <w:pPr>
        <w:pStyle w:val="Author-eListParagraph"/>
        <w:numPr>
          <w:ilvl w:val="0"/>
          <w:numId w:val="936"/>
        </w:numPr>
      </w:pPr>
      <w:r>
        <w:rPr>
          <w:rStyle w:val="soitChar"/>
        </w:rPr>
        <w:t>Longueur : </w:t>
      </w:r>
      <w:r>
        <w:rPr>
          <w:rStyle w:val="optioncarChar"/>
        </w:rPr>
        <w:t xml:space="preserve">3600 </w:t>
      </w:r>
      <w:r>
        <w:t>(par défaut)</w:t>
      </w:r>
      <w:r>
        <w:rPr>
          <w:rStyle w:val="optioncarChar"/>
        </w:rPr>
        <w:t xml:space="preserve"> / ***</w:t>
      </w:r>
      <w:r>
        <w:rPr>
          <w:rStyle w:val="soitChar"/>
        </w:rPr>
        <w:t xml:space="preserve"> mm, tolérance ≤ 6mm</w:t>
      </w:r>
    </w:p>
    <w:p w14:paraId="190D99AB" w14:textId="77777777" w:rsidR="00772179" w:rsidRDefault="00000000">
      <w:pPr>
        <w:pStyle w:val="Author-eListParagraph"/>
        <w:numPr>
          <w:ilvl w:val="0"/>
          <w:numId w:val="936"/>
        </w:numPr>
      </w:pPr>
      <w:r>
        <w:rPr>
          <w:rStyle w:val="soitChar"/>
        </w:rPr>
        <w:t>Hauteur :</w:t>
      </w:r>
      <w:r>
        <w:t xml:space="preserve">  </w:t>
      </w:r>
      <w:r>
        <w:rPr>
          <w:rStyle w:val="optioncarChar"/>
        </w:rPr>
        <w:t xml:space="preserve">190 </w:t>
      </w:r>
      <w:r>
        <w:t xml:space="preserve">(par défaut) </w:t>
      </w:r>
      <w:r>
        <w:rPr>
          <w:rStyle w:val="optioncarChar"/>
        </w:rPr>
        <w:t>/ 180 / ***</w:t>
      </w:r>
      <w:r>
        <w:t>  </w:t>
      </w:r>
      <w:r>
        <w:rPr>
          <w:rStyle w:val="soitChar"/>
        </w:rPr>
        <w:t>mm, tolérance ≤ 3mm</w:t>
      </w:r>
    </w:p>
    <w:p w14:paraId="39CD0538" w14:textId="77777777" w:rsidR="00772179" w:rsidRDefault="00000000">
      <w:pPr>
        <w:jc w:val="both"/>
      </w:pPr>
      <w:r>
        <w:rPr>
          <w:b/>
        </w:rPr>
        <w:t>(soit)</w:t>
      </w:r>
    </w:p>
    <w:p w14:paraId="094E15DB" w14:textId="77777777" w:rsidR="00772179" w:rsidRDefault="00000000">
      <w:pPr>
        <w:jc w:val="both"/>
      </w:pPr>
      <w:r>
        <w:rPr>
          <w:rStyle w:val="soitChar"/>
          <w:u w:val="single"/>
        </w:rPr>
        <w:t xml:space="preserve">Planches à rainure et languette : </w:t>
      </w:r>
    </w:p>
    <w:p w14:paraId="13A9243D" w14:textId="77777777" w:rsidR="00772179" w:rsidRDefault="00000000">
      <w:pPr>
        <w:jc w:val="both"/>
      </w:pPr>
      <w:r>
        <w:rPr>
          <w:rStyle w:val="soitChar"/>
        </w:rPr>
        <w:t>Dimensions :</w:t>
      </w:r>
    </w:p>
    <w:p w14:paraId="5ADFFC0B" w14:textId="77777777" w:rsidR="00772179" w:rsidRDefault="00000000">
      <w:pPr>
        <w:pStyle w:val="Author-eListParagraph"/>
        <w:numPr>
          <w:ilvl w:val="0"/>
          <w:numId w:val="937"/>
        </w:numPr>
      </w:pPr>
      <w:r>
        <w:rPr>
          <w:rStyle w:val="soitChar"/>
        </w:rPr>
        <w:lastRenderedPageBreak/>
        <w:t>Epaisseur :</w:t>
      </w:r>
      <w:r>
        <w:rPr>
          <w:rStyle w:val="optioncarChar"/>
        </w:rPr>
        <w:t xml:space="preserve">12 </w:t>
      </w:r>
      <w:r>
        <w:t xml:space="preserve">(par défaut) </w:t>
      </w:r>
      <w:r>
        <w:rPr>
          <w:rStyle w:val="optioncarChar"/>
        </w:rPr>
        <w:t>/ ***</w:t>
      </w:r>
      <w:r>
        <w:t>  </w:t>
      </w:r>
      <w:r>
        <w:rPr>
          <w:rStyle w:val="soitChar"/>
        </w:rPr>
        <w:t>mm</w:t>
      </w:r>
    </w:p>
    <w:p w14:paraId="5DD52190" w14:textId="77777777" w:rsidR="00772179" w:rsidRDefault="00000000">
      <w:pPr>
        <w:pStyle w:val="Author-eListParagraph"/>
        <w:numPr>
          <w:ilvl w:val="0"/>
          <w:numId w:val="937"/>
        </w:numPr>
      </w:pPr>
      <w:r>
        <w:rPr>
          <w:rStyle w:val="soitChar"/>
        </w:rPr>
        <w:t>Longueur :</w:t>
      </w:r>
      <w:r>
        <w:t> </w:t>
      </w:r>
      <w:r>
        <w:rPr>
          <w:rStyle w:val="optioncarChar"/>
        </w:rPr>
        <w:t>3600</w:t>
      </w:r>
      <w:r>
        <w:t xml:space="preserve"> (par défaut) </w:t>
      </w:r>
      <w:r>
        <w:rPr>
          <w:rStyle w:val="optioncarChar"/>
        </w:rPr>
        <w:t>/ ***</w:t>
      </w:r>
      <w:r>
        <w:t>  </w:t>
      </w:r>
      <w:r>
        <w:rPr>
          <w:rStyle w:val="soitChar"/>
        </w:rPr>
        <w:t>mm, tolérance ≤ 6mm</w:t>
      </w:r>
    </w:p>
    <w:p w14:paraId="54757CE9" w14:textId="77777777" w:rsidR="00772179" w:rsidRDefault="00000000">
      <w:pPr>
        <w:pStyle w:val="Author-eListParagraph"/>
        <w:numPr>
          <w:ilvl w:val="0"/>
          <w:numId w:val="937"/>
        </w:numPr>
      </w:pPr>
      <w:r>
        <w:rPr>
          <w:rStyle w:val="soitChar"/>
        </w:rPr>
        <w:t>Hauteur :</w:t>
      </w:r>
      <w:r>
        <w:rPr>
          <w:rStyle w:val="optioncarChar"/>
        </w:rPr>
        <w:t xml:space="preserve">186 </w:t>
      </w:r>
      <w:r>
        <w:t>(par défaut)</w:t>
      </w:r>
      <w:r>
        <w:rPr>
          <w:rStyle w:val="optioncarChar"/>
        </w:rPr>
        <w:t xml:space="preserve"> / ***</w:t>
      </w:r>
      <w:r>
        <w:t>  </w:t>
      </w:r>
      <w:r>
        <w:rPr>
          <w:rStyle w:val="soitChar"/>
        </w:rPr>
        <w:t>mm, tolérance ≤ 3mm</w:t>
      </w:r>
    </w:p>
    <w:p w14:paraId="3A45CA31" w14:textId="77777777" w:rsidR="00772179" w:rsidRDefault="00000000">
      <w:pPr>
        <w:jc w:val="both"/>
      </w:pPr>
      <w:r>
        <w:rPr>
          <w:b/>
        </w:rPr>
        <w:t>Aspects environnementaux :</w:t>
      </w:r>
    </w:p>
    <w:p w14:paraId="226A8196" w14:textId="77777777" w:rsidR="00772179" w:rsidRDefault="00000000">
      <w:pPr>
        <w:jc w:val="both"/>
      </w:pPr>
      <w:r>
        <w:t xml:space="preserve">Le matériau dispose d’un EPD : </w:t>
      </w:r>
      <w:r>
        <w:rPr>
          <w:rStyle w:val="optioncarChar"/>
        </w:rPr>
        <w:t xml:space="preserve">oui </w:t>
      </w:r>
      <w:r>
        <w:t>(par défaut)</w:t>
      </w:r>
      <w:r>
        <w:rPr>
          <w:rStyle w:val="optioncarChar"/>
        </w:rPr>
        <w:t xml:space="preserve"> / non</w:t>
      </w:r>
      <w:r>
        <w:t>.</w:t>
      </w:r>
    </w:p>
    <w:p w14:paraId="6AFA0B6A" w14:textId="77777777" w:rsidR="00772179" w:rsidRDefault="00000000">
      <w:pPr>
        <w:jc w:val="both"/>
      </w:pPr>
      <w:r>
        <w:t>L' EPD garantit :  </w:t>
      </w:r>
    </w:p>
    <w:p w14:paraId="1594DCFE" w14:textId="77777777" w:rsidR="00772179" w:rsidRDefault="00000000">
      <w:pPr>
        <w:pStyle w:val="Author-eListParagraph"/>
        <w:numPr>
          <w:ilvl w:val="0"/>
          <w:numId w:val="938"/>
        </w:numPr>
      </w:pPr>
      <w:r>
        <w:t xml:space="preserve">la réutilisation des déchets de découpe en cours de fabrication : </w:t>
      </w:r>
      <w:r>
        <w:rPr>
          <w:rStyle w:val="optioncarChar"/>
        </w:rPr>
        <w:t xml:space="preserve">oui </w:t>
      </w:r>
      <w:r>
        <w:t xml:space="preserve">(par défaut) </w:t>
      </w:r>
      <w:r>
        <w:rPr>
          <w:rStyle w:val="optioncarChar"/>
        </w:rPr>
        <w:t>/ non</w:t>
      </w:r>
      <w:r>
        <w:t xml:space="preserve"> ;</w:t>
      </w:r>
    </w:p>
    <w:p w14:paraId="0AEEBCF1" w14:textId="77777777" w:rsidR="00772179" w:rsidRDefault="00000000">
      <w:pPr>
        <w:pStyle w:val="Author-eListParagraph"/>
        <w:numPr>
          <w:ilvl w:val="0"/>
          <w:numId w:val="938"/>
        </w:numPr>
      </w:pPr>
      <w:r>
        <w:t xml:space="preserve">la récupération des panneaux dégradés par une société externe comme base de production de ciment : </w:t>
      </w:r>
      <w:r>
        <w:rPr>
          <w:rStyle w:val="optioncarChar"/>
        </w:rPr>
        <w:t>oui</w:t>
      </w:r>
      <w:r>
        <w:t xml:space="preserve"> (par défaut)</w:t>
      </w:r>
      <w:r>
        <w:rPr>
          <w:rStyle w:val="optioncarChar"/>
        </w:rPr>
        <w:t xml:space="preserve"> / non</w:t>
      </w:r>
      <w:r>
        <w:t xml:space="preserve"> ;</w:t>
      </w:r>
    </w:p>
    <w:p w14:paraId="03D313AA" w14:textId="77777777" w:rsidR="00772179" w:rsidRDefault="00000000">
      <w:pPr>
        <w:pStyle w:val="Author-eListParagraph"/>
        <w:numPr>
          <w:ilvl w:val="0"/>
          <w:numId w:val="938"/>
        </w:numPr>
      </w:pPr>
      <w:r>
        <w:t xml:space="preserve">le filtrage de l’air en vue de réduire les émissions en cours de production : </w:t>
      </w:r>
      <w:r>
        <w:rPr>
          <w:rStyle w:val="optioncarChar"/>
        </w:rPr>
        <w:t xml:space="preserve">oui </w:t>
      </w:r>
      <w:r>
        <w:t>(par défaut)</w:t>
      </w:r>
      <w:r>
        <w:rPr>
          <w:rStyle w:val="optioncarChar"/>
        </w:rPr>
        <w:t xml:space="preserve"> / non</w:t>
      </w:r>
      <w:r>
        <w:t xml:space="preserve"> ;</w:t>
      </w:r>
    </w:p>
    <w:p w14:paraId="53A61761" w14:textId="77777777" w:rsidR="00772179" w:rsidRDefault="00000000">
      <w:pPr>
        <w:jc w:val="both"/>
      </w:pPr>
      <w:r>
        <w:t xml:space="preserve">Taux de matériaux recyclés : ≥ </w:t>
      </w:r>
      <w:r>
        <w:rPr>
          <w:rStyle w:val="optioncarChar"/>
        </w:rPr>
        <w:t>50</w:t>
      </w:r>
      <w:r>
        <w:t xml:space="preserve"> (par défaut)</w:t>
      </w:r>
      <w:r>
        <w:rPr>
          <w:rStyle w:val="optioncarChar"/>
        </w:rPr>
        <w:t xml:space="preserve"> / 75 / ***</w:t>
      </w:r>
      <w:r>
        <w:t xml:space="preserve"> %</w:t>
      </w:r>
    </w:p>
    <w:p w14:paraId="25DBCE0A" w14:textId="77777777" w:rsidR="00772179" w:rsidRDefault="00000000">
      <w:pPr>
        <w:jc w:val="both"/>
      </w:pPr>
      <w:r>
        <w:t xml:space="preserve">Taux de matériaux locaux : ≥ </w:t>
      </w:r>
      <w:r>
        <w:rPr>
          <w:rStyle w:val="optioncarChar"/>
        </w:rPr>
        <w:t>50</w:t>
      </w:r>
      <w:r>
        <w:t xml:space="preserve"> (par défaut) </w:t>
      </w:r>
      <w:r>
        <w:rPr>
          <w:rStyle w:val="optioncarChar"/>
        </w:rPr>
        <w:t>/ 75 / ***</w:t>
      </w:r>
      <w:r>
        <w:t xml:space="preserve"> %</w:t>
      </w:r>
    </w:p>
    <w:p w14:paraId="7C7C1B63" w14:textId="77777777" w:rsidR="00772179" w:rsidRDefault="00000000">
      <w:pPr>
        <w:jc w:val="both"/>
      </w:pPr>
      <w:r>
        <w:t xml:space="preserve">Les déchets produits lors de la mise en œuvre du matériau sont récupérés et recyclés par le fabricant : </w:t>
      </w:r>
      <w:r>
        <w:rPr>
          <w:rStyle w:val="optioncarChar"/>
        </w:rPr>
        <w:t xml:space="preserve">oui </w:t>
      </w:r>
      <w:r>
        <w:t>(par défaut)</w:t>
      </w:r>
      <w:r>
        <w:rPr>
          <w:rStyle w:val="optioncarChar"/>
        </w:rPr>
        <w:t xml:space="preserve"> / non</w:t>
      </w:r>
      <w:r>
        <w:t>.</w:t>
      </w:r>
    </w:p>
    <w:p w14:paraId="4033A94A" w14:textId="77777777" w:rsidR="00772179" w:rsidRDefault="00000000">
      <w:pPr>
        <w:jc w:val="both"/>
      </w:pPr>
      <w:r>
        <w:t>La mise en œuvre par fixation mécanique permet le démontage non destructif des planches.</w:t>
      </w:r>
    </w:p>
    <w:p w14:paraId="18F24D55" w14:textId="77777777" w:rsidR="00772179" w:rsidRDefault="00000000">
      <w:pPr>
        <w:pStyle w:val="pheading"/>
      </w:pPr>
      <w:r>
        <w:t>- Finitions</w:t>
      </w:r>
    </w:p>
    <w:p w14:paraId="228D7A5E" w14:textId="77777777" w:rsidR="00772179" w:rsidRDefault="00000000">
      <w:pPr>
        <w:pStyle w:val="Author-eListParagraph"/>
        <w:numPr>
          <w:ilvl w:val="0"/>
          <w:numId w:val="939"/>
        </w:numPr>
      </w:pPr>
      <w:r>
        <w:t xml:space="preserve">Mode de coloration : </w:t>
      </w:r>
      <w:r>
        <w:rPr>
          <w:rStyle w:val="optioncarChar"/>
        </w:rPr>
        <w:t>peinture durcie par cuisson</w:t>
      </w:r>
      <w:r>
        <w:t xml:space="preserve"> (par défaut)</w:t>
      </w:r>
      <w:r>
        <w:rPr>
          <w:rStyle w:val="optioncarChar"/>
        </w:rPr>
        <w:t> / dans la masse</w:t>
      </w:r>
    </w:p>
    <w:p w14:paraId="289C1C60" w14:textId="77777777" w:rsidR="00772179" w:rsidRDefault="00000000">
      <w:pPr>
        <w:pStyle w:val="Author-eListParagraph"/>
        <w:numPr>
          <w:ilvl w:val="0"/>
          <w:numId w:val="939"/>
        </w:numPr>
        <w:jc w:val="both"/>
      </w:pPr>
      <w:r>
        <w:t xml:space="preserve">Couleur des plaques : </w:t>
      </w:r>
      <w:r>
        <w:rPr>
          <w:rStyle w:val="optioncarChar"/>
        </w:rPr>
        <w:t>à choisir par la direction de chantier (maître d’ouvrage)</w:t>
      </w:r>
      <w:r>
        <w:t xml:space="preserve"> (par défaut) </w:t>
      </w:r>
      <w:r>
        <w:rPr>
          <w:rStyle w:val="optioncarChar"/>
        </w:rPr>
        <w:t>/ ***</w:t>
      </w:r>
    </w:p>
    <w:p w14:paraId="07F95982" w14:textId="77777777" w:rsidR="00772179" w:rsidRDefault="00000000">
      <w:pPr>
        <w:pStyle w:val="Author-eListParagraph"/>
        <w:numPr>
          <w:ilvl w:val="0"/>
          <w:numId w:val="939"/>
        </w:numPr>
        <w:jc w:val="both"/>
      </w:pPr>
      <w:r>
        <w:t xml:space="preserve">Finition de la surface : </w:t>
      </w:r>
      <w:r>
        <w:rPr>
          <w:rStyle w:val="optioncarChar"/>
        </w:rPr>
        <w:t>lisse</w:t>
      </w:r>
      <w:r>
        <w:t xml:space="preserve"> (par défaut)</w:t>
      </w:r>
      <w:r>
        <w:rPr>
          <w:rStyle w:val="optioncarChar"/>
        </w:rPr>
        <w:t xml:space="preserve"> / aspect bois</w:t>
      </w:r>
    </w:p>
    <w:p w14:paraId="03EB8069" w14:textId="77777777" w:rsidR="00772179" w:rsidRDefault="00000000">
      <w:pPr>
        <w:pStyle w:val="pheading"/>
      </w:pPr>
      <w:r>
        <w:t>EXÉCUTION / MISE EN ŒUVRE</w:t>
      </w:r>
    </w:p>
    <w:p w14:paraId="7CA9E7C0" w14:textId="77777777" w:rsidR="00772179" w:rsidRDefault="00000000">
      <w:pPr>
        <w:pStyle w:val="pheading"/>
      </w:pPr>
      <w:r>
        <w:t>- Prescriptions générales</w:t>
      </w:r>
    </w:p>
    <w:p w14:paraId="1D2CA604" w14:textId="77777777" w:rsidR="00772179" w:rsidRDefault="00000000">
      <w:pPr>
        <w:jc w:val="both"/>
      </w:pPr>
      <w:r>
        <w:t>La mise en œuvre est exécutée conformément à la documentation technique accompagnant les produits.</w:t>
      </w:r>
    </w:p>
    <w:p w14:paraId="54E9A545" w14:textId="77777777" w:rsidR="00772179" w:rsidRDefault="00000000">
      <w:pPr>
        <w:jc w:val="both"/>
      </w:pPr>
      <w:r>
        <w:t>Calcul statique de la façade :  </w:t>
      </w:r>
      <w:r>
        <w:rPr>
          <w:rStyle w:val="optioncarChar"/>
        </w:rPr>
        <w:t>à charge de l’entrepreneur</w:t>
      </w:r>
      <w:r>
        <w:t xml:space="preserve"> (par défaut) </w:t>
      </w:r>
      <w:r>
        <w:rPr>
          <w:rStyle w:val="optioncarChar"/>
        </w:rPr>
        <w:t>/ du maître de l’ouvrage</w:t>
      </w:r>
      <w:r>
        <w:t>.</w:t>
      </w:r>
    </w:p>
    <w:p w14:paraId="22761C4A" w14:textId="77777777" w:rsidR="00772179" w:rsidRDefault="00000000">
      <w:pPr>
        <w:jc w:val="both"/>
      </w:pPr>
      <w:r>
        <w:t>En cas d’isolation, l’entrepreneur soumet le procédé d’exécution respectant la prescription du niveau d’isolation pour accord à la direction de chantier (voir plus haut).</w:t>
      </w:r>
    </w:p>
    <w:p w14:paraId="2827FCA8" w14:textId="77777777" w:rsidR="00772179" w:rsidRDefault="00000000">
      <w:pPr>
        <w:jc w:val="both"/>
      </w:pPr>
      <w:r>
        <w:t>L’entrepreneur remet une description détaillée de la pose de la structure (entraxe, diamètre de fixation et nombre...) pour accord à la direction de chantier.</w:t>
      </w:r>
    </w:p>
    <w:p w14:paraId="21146E3C" w14:textId="77777777" w:rsidR="00772179" w:rsidRDefault="00000000">
      <w:pPr>
        <w:pStyle w:val="Author-eListParagraph"/>
        <w:numPr>
          <w:ilvl w:val="0"/>
          <w:numId w:val="940"/>
        </w:numPr>
      </w:pPr>
      <w:r>
        <w:t>Réalisation d’un espace de ventilation ≥ 20 mm avec une grille anti-rongeurs à chaque ouverture.</w:t>
      </w:r>
    </w:p>
    <w:p w14:paraId="27D5A5ED" w14:textId="77777777" w:rsidR="00772179" w:rsidRDefault="00000000">
      <w:pPr>
        <w:pStyle w:val="Author-eListParagraph"/>
        <w:numPr>
          <w:ilvl w:val="0"/>
          <w:numId w:val="940"/>
        </w:numPr>
      </w:pPr>
      <w:r>
        <w:t>Les bords coupés sont traités au moyen du produit préconisé dans la documentation technique accompagnant les produits.</w:t>
      </w:r>
    </w:p>
    <w:p w14:paraId="4A4B3C6E" w14:textId="77777777" w:rsidR="00772179" w:rsidRDefault="00000000">
      <w:pPr>
        <w:pStyle w:val="Author-eListParagraph"/>
        <w:numPr>
          <w:ilvl w:val="0"/>
          <w:numId w:val="940"/>
        </w:numPr>
      </w:pPr>
      <w:r>
        <w:t xml:space="preserve">Pose </w:t>
      </w:r>
      <w:r>
        <w:rPr>
          <w:rStyle w:val="optioncarChar"/>
        </w:rPr>
        <w:t xml:space="preserve">horizontale </w:t>
      </w:r>
      <w:r>
        <w:t>(par défaut)</w:t>
      </w:r>
      <w:r>
        <w:rPr>
          <w:rStyle w:val="optioncarChar"/>
        </w:rPr>
        <w:t xml:space="preserve"> / verticale</w:t>
      </w:r>
    </w:p>
    <w:p w14:paraId="435A1ECE" w14:textId="77777777" w:rsidR="00772179" w:rsidRDefault="00000000">
      <w:pPr>
        <w:pStyle w:val="Author-eListParagraph"/>
        <w:numPr>
          <w:ilvl w:val="0"/>
          <w:numId w:val="940"/>
        </w:numPr>
      </w:pPr>
      <w:r>
        <w:t xml:space="preserve">Ecartement du lattage : </w:t>
      </w:r>
      <w:r>
        <w:rPr>
          <w:rStyle w:val="optioncarChar"/>
        </w:rPr>
        <w:t>60</w:t>
      </w:r>
      <w:r>
        <w:t xml:space="preserve"> (par défaut)</w:t>
      </w:r>
      <w:r>
        <w:rPr>
          <w:rStyle w:val="optioncarChar"/>
        </w:rPr>
        <w:t xml:space="preserve"> / 40 / ***</w:t>
      </w:r>
      <w:r>
        <w:t xml:space="preserve"> cm.</w:t>
      </w:r>
    </w:p>
    <w:p w14:paraId="735C8C51" w14:textId="77777777" w:rsidR="00772179" w:rsidRDefault="00000000">
      <w:pPr>
        <w:pStyle w:val="Author-eListParagraph"/>
        <w:numPr>
          <w:ilvl w:val="0"/>
          <w:numId w:val="940"/>
        </w:numPr>
      </w:pPr>
      <w:r>
        <w:t xml:space="preserve">En cas de support bois : </w:t>
      </w:r>
      <w:r>
        <w:rPr>
          <w:rStyle w:val="optioncarChar"/>
        </w:rPr>
        <w:t xml:space="preserve">vertical 32 x 65 </w:t>
      </w:r>
      <w:r>
        <w:t>(par défaut)</w:t>
      </w:r>
      <w:r>
        <w:rPr>
          <w:rStyle w:val="optioncarChar"/>
        </w:rPr>
        <w:t xml:space="preserve"> / horizontal 40 x 40 (pose verticale écartement 60 cm) / horizontal 40 x 27 (pose verticale écartement 40 cm) / ***</w:t>
      </w:r>
      <w:r>
        <w:t xml:space="preserve"> mm</w:t>
      </w:r>
    </w:p>
    <w:p w14:paraId="407FE434" w14:textId="77777777" w:rsidR="00772179" w:rsidRDefault="00000000">
      <w:pPr>
        <w:pStyle w:val="Author-eListParagraph"/>
        <w:numPr>
          <w:ilvl w:val="0"/>
          <w:numId w:val="940"/>
        </w:numPr>
      </w:pPr>
      <w:r>
        <w:t xml:space="preserve">Lattage bois revêtu d’une bande d’étanchéité en </w:t>
      </w:r>
      <w:r>
        <w:rPr>
          <w:rStyle w:val="optioncarChar"/>
        </w:rPr>
        <w:t xml:space="preserve">PVC </w:t>
      </w:r>
      <w:r>
        <w:t>(par défaut)</w:t>
      </w:r>
      <w:r>
        <w:rPr>
          <w:rStyle w:val="optioncarChar"/>
        </w:rPr>
        <w:t xml:space="preserve"> / EPDM</w:t>
      </w:r>
      <w:r>
        <w:t>.</w:t>
      </w:r>
    </w:p>
    <w:p w14:paraId="05628492" w14:textId="77777777" w:rsidR="00772179" w:rsidRDefault="00000000">
      <w:pPr>
        <w:pStyle w:val="Author-eListParagraph"/>
        <w:numPr>
          <w:ilvl w:val="0"/>
          <w:numId w:val="940"/>
        </w:numPr>
      </w:pPr>
      <w:r>
        <w:t>En cas de support métallique : dimensionnement à confirmer par note de calcul par l’entrepreneur, écartement du lattage adapté aux dimensions des planches</w:t>
      </w:r>
    </w:p>
    <w:p w14:paraId="2F849B2C" w14:textId="77777777" w:rsidR="00772179" w:rsidRDefault="00000000">
      <w:pPr>
        <w:pStyle w:val="Author-eListParagraph"/>
        <w:numPr>
          <w:ilvl w:val="0"/>
          <w:numId w:val="940"/>
        </w:numPr>
      </w:pPr>
      <w:r>
        <w:t>Joints entre éléments :</w:t>
      </w:r>
      <w:r>
        <w:br/>
        <w:t>En cas de pose horizontale : 3 mm</w:t>
      </w:r>
      <w:r>
        <w:br/>
        <w:t xml:space="preserve">En cas de pose verticale : joints de fractionnement de 10 mm tous les 3,6 m max. avec profil de rejet d’eau en </w:t>
      </w:r>
      <w:r>
        <w:rPr>
          <w:rStyle w:val="optioncarChar"/>
        </w:rPr>
        <w:t xml:space="preserve">aluminium </w:t>
      </w:r>
      <w:r>
        <w:t>(par défaut)</w:t>
      </w:r>
      <w:r>
        <w:rPr>
          <w:rStyle w:val="optioncarChar"/>
        </w:rPr>
        <w:t xml:space="preserve"> / PVC</w:t>
      </w:r>
    </w:p>
    <w:p w14:paraId="0D41C16D" w14:textId="77777777" w:rsidR="00772179" w:rsidRDefault="00000000">
      <w:pPr>
        <w:pStyle w:val="Author-eListParagraph"/>
        <w:numPr>
          <w:ilvl w:val="0"/>
          <w:numId w:val="940"/>
        </w:numPr>
      </w:pPr>
      <w:r>
        <w:t>Les planches posées à chevauchement sont</w:t>
      </w:r>
      <w:r>
        <w:rPr>
          <w:rStyle w:val="optioncarChar"/>
        </w:rPr>
        <w:t xml:space="preserve"> vissées </w:t>
      </w:r>
      <w:r>
        <w:t>(par défaut)</w:t>
      </w:r>
      <w:r>
        <w:rPr>
          <w:rStyle w:val="optioncarChar"/>
        </w:rPr>
        <w:t xml:space="preserve"> / clouées au marteau pneumatique</w:t>
      </w:r>
      <w:r>
        <w:t xml:space="preserve">.  Le recouvrement est de </w:t>
      </w:r>
      <w:r>
        <w:rPr>
          <w:rStyle w:val="optioncarChar"/>
        </w:rPr>
        <w:t xml:space="preserve">30 </w:t>
      </w:r>
      <w:r>
        <w:t xml:space="preserve">(par défaut) </w:t>
      </w:r>
      <w:r>
        <w:rPr>
          <w:rStyle w:val="optioncarChar"/>
        </w:rPr>
        <w:t>/ *** </w:t>
      </w:r>
      <w:r>
        <w:t>mm</w:t>
      </w:r>
    </w:p>
    <w:p w14:paraId="2EA62F4A" w14:textId="77777777" w:rsidR="00772179" w:rsidRDefault="00000000">
      <w:pPr>
        <w:pStyle w:val="Author-eListParagraph"/>
        <w:numPr>
          <w:ilvl w:val="0"/>
          <w:numId w:val="940"/>
        </w:numPr>
      </w:pPr>
      <w:r>
        <w:lastRenderedPageBreak/>
        <w:t>Les planches à rainure et languette sont fixées au moyen de clips adaptés en acier inoxydable vissés dans les liteaux</w:t>
      </w:r>
    </w:p>
    <w:p w14:paraId="387108AB" w14:textId="77777777" w:rsidR="00772179" w:rsidRDefault="00000000">
      <w:pPr>
        <w:pStyle w:val="Author-eListParagraph"/>
        <w:numPr>
          <w:ilvl w:val="0"/>
          <w:numId w:val="940"/>
        </w:numPr>
      </w:pPr>
      <w:r>
        <w:t xml:space="preserve">Profils d'arrêt profilés à la jonction avec les matériaux de parement adjacents : en </w:t>
      </w:r>
      <w:r>
        <w:rPr>
          <w:rStyle w:val="optioncarChar"/>
        </w:rPr>
        <w:t>aluminium thermolaqué</w:t>
      </w:r>
      <w:r>
        <w:t xml:space="preserve"> (par défaut)</w:t>
      </w:r>
      <w:r>
        <w:rPr>
          <w:rStyle w:val="optioncarChar"/>
        </w:rPr>
        <w:t xml:space="preserve"> / aluminium anodisé / PVC / ***</w:t>
      </w:r>
    </w:p>
    <w:p w14:paraId="63665957" w14:textId="77777777" w:rsidR="00772179" w:rsidRDefault="00000000">
      <w:pPr>
        <w:pStyle w:val="Author-eListParagraph"/>
        <w:numPr>
          <w:ilvl w:val="0"/>
          <w:numId w:val="940"/>
        </w:numPr>
      </w:pPr>
      <w:r>
        <w:t xml:space="preserve">Finition des angles sortants et rentrants : </w:t>
      </w:r>
      <w:r>
        <w:rPr>
          <w:rStyle w:val="optioncarChar"/>
        </w:rPr>
        <w:t xml:space="preserve">profils en aluminium thermolaqué de teinte proche des planches </w:t>
      </w:r>
      <w:r>
        <w:t xml:space="preserve">(par défaut) </w:t>
      </w:r>
      <w:r>
        <w:rPr>
          <w:rStyle w:val="optioncarChar"/>
        </w:rPr>
        <w:t>/ aluminium anodisé / PVC / planches coupées à onglet / ***</w:t>
      </w:r>
      <w:r>
        <w:t>.</w:t>
      </w:r>
    </w:p>
    <w:p w14:paraId="687E5AE9" w14:textId="77777777" w:rsidR="00772179" w:rsidRDefault="00000000">
      <w:pPr>
        <w:pStyle w:val="Author-eListParagraph"/>
        <w:numPr>
          <w:ilvl w:val="0"/>
          <w:numId w:val="940"/>
        </w:numPr>
      </w:pPr>
      <w:r>
        <w:t xml:space="preserve">Finition au droit des joues de baies : </w:t>
      </w:r>
      <w:r>
        <w:rPr>
          <w:rStyle w:val="optioncarChar"/>
        </w:rPr>
        <w:t xml:space="preserve">planches en fibres-ciment posées avec profil pour angle sortant </w:t>
      </w:r>
      <w:r>
        <w:t xml:space="preserve">(par défaut) </w:t>
      </w:r>
      <w:r>
        <w:rPr>
          <w:rStyle w:val="optioncarChar"/>
        </w:rPr>
        <w:t>/ panneau de fibres ciment coupé sur mesure posé avec profil pour angle sortant / profil aluminium / planches coupées à onglet / ***</w:t>
      </w:r>
      <w:r>
        <w:t>.</w:t>
      </w:r>
    </w:p>
    <w:p w14:paraId="52728398" w14:textId="77777777" w:rsidR="00772179" w:rsidRDefault="00000000">
      <w:pPr>
        <w:jc w:val="both"/>
      </w:pPr>
      <w:r>
        <w:t xml:space="preserve">En cas de pose sur construction à ossature bois et CLT : pose d’un pare-pluie et interruption tous les 6 m pour évacuation des eaux de ruissellement tel que décrit sous </w:t>
      </w:r>
      <w:hyperlink w:anchor="994" w:history="1">
        <w:r>
          <w:rPr>
            <w:color w:val="0000EE"/>
          </w:rPr>
          <w:t>44.13 Pare-pluie souples</w:t>
        </w:r>
      </w:hyperlink>
      <w:r>
        <w:t xml:space="preserve"> / </w:t>
      </w:r>
      <w:hyperlink w:anchor="995" w:history="1">
        <w:r>
          <w:rPr>
            <w:color w:val="0000EE"/>
          </w:rPr>
          <w:t>44.14 Pare-pluie rigides</w:t>
        </w:r>
      </w:hyperlink>
    </w:p>
    <w:p w14:paraId="0E2F4E17" w14:textId="77777777" w:rsidR="00772179" w:rsidRDefault="00000000">
      <w:pPr>
        <w:pStyle w:val="pheading"/>
      </w:pPr>
      <w:r>
        <w:t>DOCUMENTS DE RÉFÉRENCE COMPLÉMENTAIRES</w:t>
      </w:r>
    </w:p>
    <w:p w14:paraId="47D38319" w14:textId="77777777" w:rsidR="00772179" w:rsidRDefault="00000000">
      <w:pPr>
        <w:pStyle w:val="pheading"/>
      </w:pPr>
      <w:r>
        <w:t>- Matériau</w:t>
      </w:r>
    </w:p>
    <w:p w14:paraId="18593F82" w14:textId="77777777" w:rsidR="00772179" w:rsidRDefault="00000000">
      <w:r>
        <w:t>[NBN EN 12467:2012+A2, Plaques planes en fibres-ciment - Spécifications du produit et méthodes d'essai]</w:t>
      </w:r>
    </w:p>
    <w:p w14:paraId="32E62782" w14:textId="77777777" w:rsidR="00772179" w:rsidRDefault="00000000">
      <w:pPr>
        <w:pStyle w:val="pheading"/>
      </w:pPr>
      <w:r>
        <w:t>MESURAGE</w:t>
      </w:r>
    </w:p>
    <w:p w14:paraId="4286726E" w14:textId="77777777" w:rsidR="00772179" w:rsidRDefault="00000000">
      <w:pPr>
        <w:pStyle w:val="pheading"/>
      </w:pPr>
      <w:r>
        <w:t>- unité de mesure:</w:t>
      </w:r>
    </w:p>
    <w:p w14:paraId="3AE0B563" w14:textId="77777777" w:rsidR="00772179" w:rsidRDefault="00000000">
      <w:r>
        <w:t>m²</w:t>
      </w:r>
    </w:p>
    <w:p w14:paraId="599B5F1F" w14:textId="77777777" w:rsidR="00772179" w:rsidRDefault="00000000">
      <w:pPr>
        <w:pStyle w:val="pheading"/>
      </w:pPr>
      <w:r>
        <w:t>- code de mesurage:</w:t>
      </w:r>
    </w:p>
    <w:p w14:paraId="389CFF08" w14:textId="77777777" w:rsidR="00772179" w:rsidRDefault="00000000">
      <w:pPr>
        <w:jc w:val="both"/>
      </w:pPr>
      <w:r>
        <w:t>Surface nette des façades, joues et linteaux des ouvertures et des fenêtres. Les réservations supérieures à 0,5 m² sont déduites.</w:t>
      </w:r>
    </w:p>
    <w:p w14:paraId="79F0966B" w14:textId="77777777" w:rsidR="00772179" w:rsidRDefault="00000000">
      <w:pPr>
        <w:pStyle w:val="pheading"/>
      </w:pPr>
      <w:r>
        <w:t>- nature du marché:</w:t>
      </w:r>
    </w:p>
    <w:p w14:paraId="1DC76FC6" w14:textId="77777777" w:rsidR="00772179" w:rsidRDefault="00000000">
      <w:r>
        <w:t>QF</w:t>
      </w:r>
    </w:p>
    <w:p w14:paraId="0717BDCC" w14:textId="77777777" w:rsidR="00772179" w:rsidRDefault="00000000">
      <w:pPr>
        <w:pStyle w:val="Author-eSectionHeading5Numberless"/>
      </w:pPr>
      <w:bookmarkStart w:id="745" w:name="_Toc220490433"/>
      <w:r>
        <w:t>43.24.2 Revêtements de façade rigides fixés mécaniquement - planches et panneaux en bois et bois composite CCTB 01.12</w:t>
      </w:r>
      <w:bookmarkEnd w:id="745"/>
    </w:p>
    <w:p w14:paraId="34D8FDCC" w14:textId="77777777" w:rsidR="00772179" w:rsidRDefault="00000000">
      <w:pPr>
        <w:pStyle w:val="pheading"/>
      </w:pPr>
      <w:r>
        <w:t>MATÉRIAUX</w:t>
      </w:r>
    </w:p>
    <w:p w14:paraId="038D47EA" w14:textId="77777777" w:rsidR="00772179" w:rsidRDefault="00000000">
      <w:r>
        <w:t>La qualité des bois répond à la [STS 04 série] .</w:t>
      </w:r>
    </w:p>
    <w:p w14:paraId="5E0C9673" w14:textId="77777777" w:rsidR="00772179" w:rsidRDefault="00000000">
      <w:pPr>
        <w:pStyle w:val="pheading"/>
      </w:pPr>
      <w:r>
        <w:t>DOCUMENTS DE RÉFÉRENCE</w:t>
      </w:r>
    </w:p>
    <w:p w14:paraId="23F4ADB2" w14:textId="77777777" w:rsidR="00772179" w:rsidRDefault="00000000">
      <w:pPr>
        <w:pStyle w:val="pheading"/>
      </w:pPr>
      <w:r>
        <w:t>- Matériau</w:t>
      </w:r>
    </w:p>
    <w:p w14:paraId="7CB83910" w14:textId="77777777" w:rsidR="00772179" w:rsidRDefault="00000000">
      <w:r>
        <w:t>[NIT 243, Les revêtements de façade en bois et en panneaux à base de bois.]</w:t>
      </w:r>
    </w:p>
    <w:p w14:paraId="42720BE1" w14:textId="77777777" w:rsidR="00772179" w:rsidRDefault="00000000">
      <w:pPr>
        <w:ind w:left="750"/>
      </w:pPr>
      <w:r>
        <w:t> </w:t>
      </w:r>
    </w:p>
    <w:p w14:paraId="2C3E9453" w14:textId="77777777" w:rsidR="00772179" w:rsidRDefault="00000000">
      <w:pPr>
        <w:pStyle w:val="pheading"/>
      </w:pPr>
      <w:r>
        <w:t>- Exécution</w:t>
      </w:r>
    </w:p>
    <w:p w14:paraId="77CD08F8" w14:textId="77777777" w:rsidR="00772179" w:rsidRDefault="00000000">
      <w:r>
        <w:t>[NIT 243, Les revêtements de façade en bois et en panneaux à base de bois.]</w:t>
      </w:r>
    </w:p>
    <w:p w14:paraId="0FDE039D" w14:textId="77777777" w:rsidR="00772179" w:rsidRDefault="00000000">
      <w:r>
        <w:t>[Buildwise Article Dossier (2022/03.02), Bardages en bois : comment les fixer correctement ?]</w:t>
      </w:r>
    </w:p>
    <w:p w14:paraId="533D58B4" w14:textId="77777777" w:rsidR="00772179" w:rsidRDefault="00000000">
      <w:pPr>
        <w:ind w:left="750"/>
      </w:pPr>
      <w:r>
        <w:t> </w:t>
      </w:r>
    </w:p>
    <w:p w14:paraId="7380D3D8" w14:textId="77777777" w:rsidR="00772179" w:rsidRDefault="00000000">
      <w:pPr>
        <w:pStyle w:val="Author-eSectionHeading6Numberless"/>
      </w:pPr>
      <w:bookmarkStart w:id="746" w:name="_Toc220490434"/>
      <w:r>
        <w:t>43.24.2a Revêtements de façade rigides fixés mécaniquement - planches en bois massif CCTB 01.12</w:t>
      </w:r>
      <w:bookmarkEnd w:id="746"/>
    </w:p>
    <w:p w14:paraId="304BF93C" w14:textId="77777777" w:rsidR="00772179" w:rsidRDefault="00000000">
      <w:pPr>
        <w:pStyle w:val="pheading"/>
      </w:pPr>
      <w:r>
        <w:t>MATÉRIAUX</w:t>
      </w:r>
    </w:p>
    <w:p w14:paraId="6DA53EB2" w14:textId="77777777" w:rsidR="00772179" w:rsidRDefault="00000000">
      <w:pPr>
        <w:pStyle w:val="pheading"/>
      </w:pPr>
      <w:r>
        <w:t>- Caractéristiques générales</w:t>
      </w:r>
    </w:p>
    <w:p w14:paraId="776332F0" w14:textId="77777777" w:rsidR="00772179" w:rsidRDefault="00000000">
      <w:r>
        <w:t>La qualité des bois répond à la [STS 04 série] .      </w:t>
      </w:r>
    </w:p>
    <w:p w14:paraId="33A62031" w14:textId="77777777" w:rsidR="00772179" w:rsidRDefault="00000000">
      <w:r>
        <w:lastRenderedPageBreak/>
        <w:t>Liste sélective des essences de bois convenant pour un habillage extérieur en bois (non limitative) :</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772179" w14:paraId="44E30E74" w14:textId="77777777">
        <w:tc>
          <w:tcPr>
            <w:tcW w:w="2250" w:type="dxa"/>
            <w:noWrap/>
          </w:tcPr>
          <w:p w14:paraId="072DCD26" w14:textId="77777777" w:rsidR="00772179" w:rsidRDefault="00000000">
            <w:r>
              <w:t>Essences de bois</w:t>
            </w:r>
          </w:p>
        </w:tc>
        <w:tc>
          <w:tcPr>
            <w:tcW w:w="2250" w:type="dxa"/>
            <w:noWrap/>
          </w:tcPr>
          <w:p w14:paraId="0323DA03" w14:textId="77777777" w:rsidR="00772179" w:rsidRDefault="00000000">
            <w:r>
              <w:t>masse volumique</w:t>
            </w:r>
          </w:p>
        </w:tc>
        <w:tc>
          <w:tcPr>
            <w:tcW w:w="2250" w:type="dxa"/>
            <w:noWrap/>
          </w:tcPr>
          <w:p w14:paraId="116F6934" w14:textId="77777777" w:rsidR="00772179" w:rsidRDefault="00000000">
            <w:r>
              <w:t>Durée de vie (climat extérieur)</w:t>
            </w:r>
          </w:p>
        </w:tc>
        <w:tc>
          <w:tcPr>
            <w:tcW w:w="2250" w:type="dxa"/>
            <w:noWrap/>
          </w:tcPr>
          <w:p w14:paraId="7A23A7A3" w14:textId="77777777" w:rsidR="00772179" w:rsidRDefault="00000000">
            <w:r>
              <w:t>Classe de durabilité</w:t>
            </w:r>
          </w:p>
        </w:tc>
      </w:tr>
      <w:tr w:rsidR="00772179" w14:paraId="1D63103F" w14:textId="77777777">
        <w:tc>
          <w:tcPr>
            <w:tcW w:w="2250" w:type="dxa"/>
            <w:noWrap/>
          </w:tcPr>
          <w:p w14:paraId="55AE43E4" w14:textId="77777777" w:rsidR="00772179" w:rsidRDefault="00000000">
            <w:r>
              <w:t>Oregon Pine</w:t>
            </w:r>
          </w:p>
        </w:tc>
        <w:tc>
          <w:tcPr>
            <w:tcW w:w="2250" w:type="dxa"/>
            <w:noWrap/>
          </w:tcPr>
          <w:p w14:paraId="196F742C" w14:textId="77777777" w:rsidR="00772179" w:rsidRDefault="00000000">
            <w:r>
              <w:t>550 kg/m³</w:t>
            </w:r>
          </w:p>
        </w:tc>
        <w:tc>
          <w:tcPr>
            <w:tcW w:w="2250" w:type="dxa"/>
            <w:noWrap/>
          </w:tcPr>
          <w:p w14:paraId="63C87680" w14:textId="77777777" w:rsidR="00772179" w:rsidRDefault="00000000">
            <w:r>
              <w:t>20 à 30 ans</w:t>
            </w:r>
          </w:p>
        </w:tc>
        <w:tc>
          <w:tcPr>
            <w:tcW w:w="2250" w:type="dxa"/>
            <w:noWrap/>
          </w:tcPr>
          <w:p w14:paraId="1C770763" w14:textId="77777777" w:rsidR="00772179" w:rsidRDefault="00000000">
            <w:r>
              <w:t>III</w:t>
            </w:r>
          </w:p>
        </w:tc>
      </w:tr>
      <w:tr w:rsidR="00772179" w14:paraId="02CEA4C1" w14:textId="77777777">
        <w:tc>
          <w:tcPr>
            <w:tcW w:w="2250" w:type="dxa"/>
            <w:noWrap/>
          </w:tcPr>
          <w:p w14:paraId="7C730BF6" w14:textId="77777777" w:rsidR="00772179" w:rsidRDefault="00000000">
            <w:r>
              <w:t>Western Red Cedar</w:t>
            </w:r>
          </w:p>
        </w:tc>
        <w:tc>
          <w:tcPr>
            <w:tcW w:w="2250" w:type="dxa"/>
            <w:noWrap/>
          </w:tcPr>
          <w:p w14:paraId="649EDCB8" w14:textId="77777777" w:rsidR="00772179" w:rsidRDefault="00000000">
            <w:r>
              <w:t>350 kg/m³ </w:t>
            </w:r>
          </w:p>
        </w:tc>
        <w:tc>
          <w:tcPr>
            <w:tcW w:w="2250" w:type="dxa"/>
            <w:noWrap/>
          </w:tcPr>
          <w:p w14:paraId="3D865E87" w14:textId="77777777" w:rsidR="00772179" w:rsidRDefault="00000000">
            <w:r>
              <w:t>30 à 50 ans</w:t>
            </w:r>
          </w:p>
        </w:tc>
        <w:tc>
          <w:tcPr>
            <w:tcW w:w="2250" w:type="dxa"/>
            <w:noWrap/>
          </w:tcPr>
          <w:p w14:paraId="66E53928" w14:textId="77777777" w:rsidR="00772179" w:rsidRDefault="00000000">
            <w:r>
              <w:t>II</w:t>
            </w:r>
          </w:p>
        </w:tc>
      </w:tr>
      <w:tr w:rsidR="00772179" w14:paraId="570B2132" w14:textId="77777777">
        <w:tc>
          <w:tcPr>
            <w:tcW w:w="2250" w:type="dxa"/>
            <w:noWrap/>
          </w:tcPr>
          <w:p w14:paraId="4C931ED5" w14:textId="77777777" w:rsidR="00772179" w:rsidRDefault="00000000">
            <w:r>
              <w:t>Bangkirai ('Balau, yellow)</w:t>
            </w:r>
          </w:p>
        </w:tc>
        <w:tc>
          <w:tcPr>
            <w:tcW w:w="2250" w:type="dxa"/>
            <w:noWrap/>
          </w:tcPr>
          <w:p w14:paraId="4312BD5A" w14:textId="77777777" w:rsidR="00772179" w:rsidRDefault="00000000">
            <w:r>
              <w:t>950 kg/m³</w:t>
            </w:r>
          </w:p>
        </w:tc>
        <w:tc>
          <w:tcPr>
            <w:tcW w:w="2250" w:type="dxa"/>
            <w:noWrap/>
          </w:tcPr>
          <w:p w14:paraId="40F70CB9" w14:textId="77777777" w:rsidR="00772179" w:rsidRDefault="00000000">
            <w:r>
              <w:t>25 et plus</w:t>
            </w:r>
          </w:p>
        </w:tc>
        <w:tc>
          <w:tcPr>
            <w:tcW w:w="2250" w:type="dxa"/>
            <w:noWrap/>
          </w:tcPr>
          <w:p w14:paraId="60AFE5AE" w14:textId="77777777" w:rsidR="00772179" w:rsidRDefault="00000000">
            <w:r>
              <w:t>II / III</w:t>
            </w:r>
          </w:p>
        </w:tc>
      </w:tr>
      <w:tr w:rsidR="00772179" w14:paraId="37554D1C" w14:textId="77777777">
        <w:tc>
          <w:tcPr>
            <w:tcW w:w="2250" w:type="dxa"/>
            <w:noWrap/>
          </w:tcPr>
          <w:p w14:paraId="610564F6" w14:textId="77777777" w:rsidR="00772179" w:rsidRDefault="00000000">
            <w:r>
              <w:t>Azobé</w:t>
            </w:r>
          </w:p>
        </w:tc>
        <w:tc>
          <w:tcPr>
            <w:tcW w:w="2250" w:type="dxa"/>
            <w:noWrap/>
          </w:tcPr>
          <w:p w14:paraId="26FF1D7E" w14:textId="77777777" w:rsidR="00772179" w:rsidRDefault="00000000">
            <w:r>
              <w:t>1050 kg/m³</w:t>
            </w:r>
          </w:p>
        </w:tc>
        <w:tc>
          <w:tcPr>
            <w:tcW w:w="2250" w:type="dxa"/>
            <w:noWrap/>
          </w:tcPr>
          <w:p w14:paraId="241B225F" w14:textId="77777777" w:rsidR="00772179" w:rsidRDefault="00000000">
            <w:r>
              <w:t>25 et plus</w:t>
            </w:r>
          </w:p>
        </w:tc>
        <w:tc>
          <w:tcPr>
            <w:tcW w:w="2250" w:type="dxa"/>
            <w:noWrap/>
          </w:tcPr>
          <w:p w14:paraId="400267CF" w14:textId="77777777" w:rsidR="00772179" w:rsidRDefault="00000000">
            <w:r>
              <w:t>I / II</w:t>
            </w:r>
          </w:p>
        </w:tc>
      </w:tr>
      <w:tr w:rsidR="00772179" w14:paraId="2EDD8F6E" w14:textId="77777777">
        <w:tc>
          <w:tcPr>
            <w:tcW w:w="2250" w:type="dxa"/>
            <w:noWrap/>
          </w:tcPr>
          <w:p w14:paraId="5E7C0E00" w14:textId="77777777" w:rsidR="00772179" w:rsidRDefault="00000000">
            <w:r>
              <w:t>Iroko</w:t>
            </w:r>
          </w:p>
        </w:tc>
        <w:tc>
          <w:tcPr>
            <w:tcW w:w="2250" w:type="dxa"/>
            <w:noWrap/>
          </w:tcPr>
          <w:p w14:paraId="5832063E" w14:textId="77777777" w:rsidR="00772179" w:rsidRDefault="00000000">
            <w:r>
              <w:t>650 kg/m³</w:t>
            </w:r>
          </w:p>
        </w:tc>
        <w:tc>
          <w:tcPr>
            <w:tcW w:w="2250" w:type="dxa"/>
            <w:noWrap/>
          </w:tcPr>
          <w:p w14:paraId="1226561D" w14:textId="77777777" w:rsidR="00772179" w:rsidRDefault="00000000">
            <w:r>
              <w:t>25 et plus</w:t>
            </w:r>
          </w:p>
        </w:tc>
        <w:tc>
          <w:tcPr>
            <w:tcW w:w="2250" w:type="dxa"/>
            <w:noWrap/>
          </w:tcPr>
          <w:p w14:paraId="63C244FD" w14:textId="77777777" w:rsidR="00772179" w:rsidRDefault="00000000">
            <w:r>
              <w:t>I / II</w:t>
            </w:r>
          </w:p>
        </w:tc>
      </w:tr>
      <w:tr w:rsidR="00772179" w14:paraId="670F6830" w14:textId="77777777">
        <w:tc>
          <w:tcPr>
            <w:tcW w:w="2250" w:type="dxa"/>
            <w:noWrap/>
          </w:tcPr>
          <w:p w14:paraId="04D4298F" w14:textId="77777777" w:rsidR="00772179" w:rsidRDefault="00000000">
            <w:r>
              <w:t>Merbau</w:t>
            </w:r>
          </w:p>
        </w:tc>
        <w:tc>
          <w:tcPr>
            <w:tcW w:w="2250" w:type="dxa"/>
            <w:noWrap/>
          </w:tcPr>
          <w:p w14:paraId="5A4B0812" w14:textId="77777777" w:rsidR="00772179" w:rsidRDefault="00000000">
            <w:r>
              <w:t>850 kg/m³</w:t>
            </w:r>
          </w:p>
        </w:tc>
        <w:tc>
          <w:tcPr>
            <w:tcW w:w="2250" w:type="dxa"/>
            <w:noWrap/>
          </w:tcPr>
          <w:p w14:paraId="0B81926E" w14:textId="77777777" w:rsidR="00772179" w:rsidRDefault="00000000">
            <w:r>
              <w:t>25 et plus</w:t>
            </w:r>
          </w:p>
        </w:tc>
        <w:tc>
          <w:tcPr>
            <w:tcW w:w="2250" w:type="dxa"/>
            <w:noWrap/>
          </w:tcPr>
          <w:p w14:paraId="04DB2B0E" w14:textId="77777777" w:rsidR="00772179" w:rsidRDefault="00000000">
            <w:r>
              <w:t>III</w:t>
            </w:r>
          </w:p>
        </w:tc>
      </w:tr>
    </w:tbl>
    <w:p w14:paraId="551CEACE" w14:textId="77777777" w:rsidR="00772179" w:rsidRDefault="00000000">
      <w:r>
        <w:t>Les planches sont conformes à la [NIT 243].</w:t>
      </w:r>
    </w:p>
    <w:p w14:paraId="5168B3DB" w14:textId="77777777" w:rsidR="00772179" w:rsidRDefault="00000000">
      <w:pPr>
        <w:pStyle w:val="pheading"/>
      </w:pPr>
      <w:r>
        <w:t>- Finitions</w:t>
      </w:r>
    </w:p>
    <w:p w14:paraId="38C8BC4A" w14:textId="77777777" w:rsidR="00772179" w:rsidRDefault="00000000">
      <w:pPr>
        <w:pStyle w:val="Author-eListParagraph"/>
        <w:numPr>
          <w:ilvl w:val="0"/>
          <w:numId w:val="941"/>
        </w:numPr>
      </w:pPr>
      <w:r>
        <w:t>Essence du bois (classe III) :</w:t>
      </w:r>
      <w:r>
        <w:rPr>
          <w:rStyle w:val="optioncarChar"/>
        </w:rPr>
        <w:t> Western Red Cedar / Oregon Pine / ***</w:t>
      </w:r>
    </w:p>
    <w:p w14:paraId="07EC33A9" w14:textId="77777777" w:rsidR="00772179" w:rsidRDefault="00000000">
      <w:pPr>
        <w:pStyle w:val="Author-eListParagraph"/>
        <w:numPr>
          <w:ilvl w:val="0"/>
          <w:numId w:val="941"/>
        </w:numPr>
      </w:pPr>
      <w:r>
        <w:t xml:space="preserve">Masse volumique minimale : </w:t>
      </w:r>
      <w:r>
        <w:rPr>
          <w:rStyle w:val="optioncarChar"/>
        </w:rPr>
        <w:t>390</w:t>
      </w:r>
      <w:r>
        <w:t xml:space="preserve"> (par défaut) </w:t>
      </w:r>
      <w:r>
        <w:rPr>
          <w:rStyle w:val="optioncarChar"/>
        </w:rPr>
        <w:t>/ ***</w:t>
      </w:r>
      <w:r>
        <w:t xml:space="preserve"> kg / m³</w:t>
      </w:r>
    </w:p>
    <w:p w14:paraId="0B868688" w14:textId="77777777" w:rsidR="00772179" w:rsidRDefault="00000000">
      <w:pPr>
        <w:pStyle w:val="Author-eListParagraph"/>
        <w:numPr>
          <w:ilvl w:val="0"/>
          <w:numId w:val="941"/>
        </w:numPr>
      </w:pPr>
      <w:r>
        <w:t xml:space="preserve">Dimensions des planchettes : </w:t>
      </w:r>
      <w:r>
        <w:br/>
        <w:t>⇒ Epaisseur : ≥  </w:t>
      </w:r>
      <w:r>
        <w:rPr>
          <w:rStyle w:val="optioncarChar"/>
        </w:rPr>
        <w:t>9,5 / 12,5 / 15 / 19 / ***</w:t>
      </w:r>
      <w:r>
        <w:t xml:space="preserve"> mm </w:t>
      </w:r>
      <w:r>
        <w:br/>
        <w:t xml:space="preserve">⇒ Largeur : ≥ </w:t>
      </w:r>
      <w:r>
        <w:rPr>
          <w:rStyle w:val="optioncarChar"/>
        </w:rPr>
        <w:t>80 / 100 / 120 / 140 / ***</w:t>
      </w:r>
      <w:r>
        <w:t xml:space="preserve"> mm</w:t>
      </w:r>
    </w:p>
    <w:p w14:paraId="42E3C25C" w14:textId="77777777" w:rsidR="00772179" w:rsidRDefault="00000000">
      <w:pPr>
        <w:pStyle w:val="Author-eListParagraph"/>
        <w:numPr>
          <w:ilvl w:val="0"/>
          <w:numId w:val="941"/>
        </w:numPr>
      </w:pPr>
      <w:r>
        <w:t>Profil :</w:t>
      </w:r>
      <w:r>
        <w:rPr>
          <w:rStyle w:val="optioncarChar"/>
        </w:rPr>
        <w:t> plat / à rainure et languette / enture / en trapèze / ***</w:t>
      </w:r>
    </w:p>
    <w:p w14:paraId="36A40AAE" w14:textId="77777777" w:rsidR="00772179" w:rsidRDefault="00000000">
      <w:pPr>
        <w:pStyle w:val="Author-eListParagraph"/>
        <w:numPr>
          <w:ilvl w:val="0"/>
          <w:numId w:val="941"/>
        </w:numPr>
      </w:pPr>
      <w:r>
        <w:t xml:space="preserve">Procédé d'imprégnation : une première couche est appliquée selon le procédé </w:t>
      </w:r>
      <w:r>
        <w:rPr>
          <w:rStyle w:val="optioncarChar"/>
        </w:rPr>
        <w:t>C2 / ***</w:t>
      </w:r>
    </w:p>
    <w:p w14:paraId="4E3A8515" w14:textId="77777777" w:rsidR="00772179" w:rsidRDefault="00000000">
      <w:pPr>
        <w:pStyle w:val="Author-eListParagraph"/>
        <w:numPr>
          <w:ilvl w:val="0"/>
          <w:numId w:val="941"/>
        </w:numPr>
      </w:pPr>
      <w:r>
        <w:t xml:space="preserve">Finition de la surface : </w:t>
      </w:r>
      <w:r>
        <w:rPr>
          <w:rStyle w:val="optioncarChar"/>
        </w:rPr>
        <w:t>non traitée / deux couches d'imprégnation</w:t>
      </w:r>
      <w:r>
        <w:t>, couleur à déterminer par l'auteur de projet sur présentation des échantillons de couleur sur l'essence de bois utilisée.</w:t>
      </w:r>
    </w:p>
    <w:p w14:paraId="36106899" w14:textId="77777777" w:rsidR="00772179" w:rsidRDefault="00000000">
      <w:pPr>
        <w:pStyle w:val="Author-eListParagraph"/>
        <w:numPr>
          <w:ilvl w:val="0"/>
          <w:numId w:val="941"/>
        </w:numPr>
      </w:pPr>
      <w:r>
        <w:t>Moyens de fixation : pointes en</w:t>
      </w:r>
      <w:r>
        <w:rPr>
          <w:rStyle w:val="optioncarChar"/>
        </w:rPr>
        <w:t xml:space="preserve"> acier inoxydable / acier galvanisé </w:t>
      </w:r>
      <w:r>
        <w:t>(longueur ≥ 2,5 x l'épaisseur de la planche) </w:t>
      </w:r>
    </w:p>
    <w:p w14:paraId="2E8973A0" w14:textId="77777777" w:rsidR="00772179" w:rsidRDefault="00000000">
      <w:pPr>
        <w:pStyle w:val="Author-eListParagraph"/>
        <w:numPr>
          <w:ilvl w:val="0"/>
          <w:numId w:val="941"/>
        </w:numPr>
      </w:pPr>
      <w:r>
        <w:t>Réaction au feu : Selon la Décision de la Commission [Décision 2003/43/CE] et les conditions qui y sont reprises, les panneaux de fibres appartiennent à la classe D : </w:t>
      </w:r>
      <w:r>
        <w:rPr>
          <w:rStyle w:val="optioncarChar"/>
        </w:rPr>
        <w:t>D-s2,d0 / D-s2,d2 </w:t>
      </w:r>
      <w:r>
        <w:t>suivant [Règlement délégué 2024/1399/UE].</w:t>
      </w:r>
    </w:p>
    <w:p w14:paraId="6A2583E2" w14:textId="77777777" w:rsidR="00772179" w:rsidRDefault="00000000">
      <w:pPr>
        <w:pStyle w:val="pheading"/>
      </w:pPr>
      <w:r>
        <w:t>EXÉCUTION / MISE EN ŒUVRE</w:t>
      </w:r>
    </w:p>
    <w:p w14:paraId="3C416F3C" w14:textId="77777777" w:rsidR="00772179" w:rsidRDefault="00000000">
      <w:pPr>
        <w:pStyle w:val="pheading"/>
      </w:pPr>
      <w:r>
        <w:t>- Prescriptions générales</w:t>
      </w:r>
    </w:p>
    <w:p w14:paraId="35552D7C" w14:textId="77777777" w:rsidR="00772179" w:rsidRDefault="00000000">
      <w:pPr>
        <w:pStyle w:val="Author-eListParagraph"/>
        <w:numPr>
          <w:ilvl w:val="0"/>
          <w:numId w:val="942"/>
        </w:numPr>
      </w:pPr>
      <w:r>
        <w:t>La mise en œuvre est conforme à la [NIT 243]</w:t>
      </w:r>
    </w:p>
    <w:p w14:paraId="1FBEBBF9" w14:textId="77777777" w:rsidR="00772179" w:rsidRDefault="00000000">
      <w:pPr>
        <w:pStyle w:val="Author-eListParagraph"/>
        <w:numPr>
          <w:ilvl w:val="0"/>
          <w:numId w:val="942"/>
        </w:numPr>
      </w:pPr>
      <w:r>
        <w:t>Conformément aux indications sur les plans et les dessins de détail.</w:t>
      </w:r>
    </w:p>
    <w:p w14:paraId="733E15B2" w14:textId="77777777" w:rsidR="00772179" w:rsidRDefault="00000000">
      <w:pPr>
        <w:pStyle w:val="Author-eListParagraph"/>
        <w:numPr>
          <w:ilvl w:val="0"/>
          <w:numId w:val="942"/>
        </w:numPr>
      </w:pPr>
      <w:r>
        <w:t xml:space="preserve">Montage </w:t>
      </w:r>
      <w:r>
        <w:rPr>
          <w:rStyle w:val="optioncarChar"/>
        </w:rPr>
        <w:t xml:space="preserve">horizontal / vertical </w:t>
      </w:r>
      <w:r>
        <w:t>prévu au moyen de :</w:t>
      </w:r>
    </w:p>
    <w:p w14:paraId="2FD3507D" w14:textId="77777777" w:rsidR="00772179" w:rsidRDefault="00000000">
      <w:pPr>
        <w:ind w:left="450"/>
      </w:pPr>
      <w:r>
        <w:rPr>
          <w:rStyle w:val="optioncarChar"/>
        </w:rPr>
        <w:t xml:space="preserve">assemblages par rainure et languette </w:t>
      </w:r>
      <w:r>
        <w:t xml:space="preserve">(par défaut) </w:t>
      </w:r>
      <w:r>
        <w:rPr>
          <w:rStyle w:val="optioncarChar"/>
        </w:rPr>
        <w:t>/ recouvrement en forme d'écailles</w:t>
      </w:r>
    </w:p>
    <w:p w14:paraId="58C3AAF1" w14:textId="77777777" w:rsidR="00772179" w:rsidRDefault="00000000">
      <w:pPr>
        <w:ind w:left="450"/>
      </w:pPr>
      <w:r>
        <w:rPr>
          <w:b/>
        </w:rPr>
        <w:t>(soit par défaut)</w:t>
      </w:r>
      <w:r>
        <w:t xml:space="preserve"> : </w:t>
      </w:r>
      <w:r>
        <w:rPr>
          <w:rStyle w:val="soitChar"/>
          <w:u w:val="single"/>
        </w:rPr>
        <w:t>assemblages par rainure et languette</w:t>
      </w:r>
      <w:r>
        <w:br/>
      </w:r>
      <w:r>
        <w:rPr>
          <w:b/>
        </w:rPr>
        <w:t>(soit) </w:t>
      </w:r>
      <w:r>
        <w:t xml:space="preserve">: </w:t>
      </w:r>
      <w:r>
        <w:rPr>
          <w:rStyle w:val="soitChar"/>
          <w:u w:val="single"/>
        </w:rPr>
        <w:t>recouvrement en forme d'écailles</w:t>
      </w:r>
      <w:r>
        <w:t xml:space="preserve"> de </w:t>
      </w:r>
      <w:r>
        <w:rPr>
          <w:rStyle w:val="optioncarChar"/>
        </w:rPr>
        <w:t xml:space="preserve">15 / 20 / 25 / *** </w:t>
      </w:r>
      <w:r>
        <w:t>mm</w:t>
      </w:r>
    </w:p>
    <w:p w14:paraId="6581D017" w14:textId="77777777" w:rsidR="00772179" w:rsidRDefault="00000000">
      <w:pPr>
        <w:pStyle w:val="Author-eListParagraph"/>
        <w:numPr>
          <w:ilvl w:val="0"/>
          <w:numId w:val="943"/>
        </w:numPr>
      </w:pPr>
      <w:r>
        <w:t>Lattage pour la fixation :</w:t>
      </w:r>
      <w:r>
        <w:rPr>
          <w:rStyle w:val="optioncarChar"/>
        </w:rPr>
        <w:t xml:space="preserve"> double lattage / simple lattage (chevrons) </w:t>
      </w:r>
    </w:p>
    <w:p w14:paraId="4018FBD1" w14:textId="77777777" w:rsidR="00772179" w:rsidRDefault="00000000">
      <w:pPr>
        <w:pStyle w:val="pheading"/>
      </w:pPr>
      <w:r>
        <w:t>- Notes d’exécution complémentaires</w:t>
      </w:r>
    </w:p>
    <w:p w14:paraId="19814543" w14:textId="77777777" w:rsidR="00772179" w:rsidRDefault="00000000">
      <w:pPr>
        <w:pStyle w:val="Author-eListParagraph"/>
        <w:numPr>
          <w:ilvl w:val="0"/>
          <w:numId w:val="944"/>
        </w:numPr>
      </w:pPr>
      <w:r>
        <w:t xml:space="preserve">Assemblage des angles intérieurs : chevron d'angle section : </w:t>
      </w:r>
      <w:r>
        <w:rPr>
          <w:rStyle w:val="optioncarChar"/>
        </w:rPr>
        <w:t xml:space="preserve">*** </w:t>
      </w:r>
    </w:p>
    <w:p w14:paraId="0F4AE7FF" w14:textId="77777777" w:rsidR="00772179" w:rsidRDefault="00000000">
      <w:pPr>
        <w:pStyle w:val="Author-eListParagraph"/>
        <w:numPr>
          <w:ilvl w:val="0"/>
          <w:numId w:val="944"/>
        </w:numPr>
      </w:pPr>
      <w:r>
        <w:t xml:space="preserve">Assemblage des angles extérieurs : planchéiage </w:t>
      </w:r>
      <w:r>
        <w:rPr>
          <w:rStyle w:val="optioncarChar"/>
        </w:rPr>
        <w:t xml:space="preserve">*** </w:t>
      </w:r>
    </w:p>
    <w:p w14:paraId="47B2CE25" w14:textId="77777777" w:rsidR="00772179" w:rsidRDefault="00000000">
      <w:pPr>
        <w:pStyle w:val="Author-eListParagraph"/>
        <w:numPr>
          <w:ilvl w:val="0"/>
          <w:numId w:val="944"/>
        </w:numPr>
      </w:pPr>
      <w:r>
        <w:t xml:space="preserve">Jonction de rive de toiture : finition à profil, selon l'article </w:t>
      </w:r>
      <w:r>
        <w:rPr>
          <w:rStyle w:val="optioncarChar"/>
        </w:rPr>
        <w:t xml:space="preserve">*** </w:t>
      </w:r>
    </w:p>
    <w:p w14:paraId="319B373C" w14:textId="77777777" w:rsidR="00772179" w:rsidRDefault="00000000">
      <w:pPr>
        <w:pStyle w:val="Author-eListParagraph"/>
        <w:numPr>
          <w:ilvl w:val="0"/>
          <w:numId w:val="944"/>
        </w:numPr>
      </w:pPr>
      <w:r>
        <w:t xml:space="preserve">Finition inférieure des bords : </w:t>
      </w:r>
      <w:r>
        <w:rPr>
          <w:rStyle w:val="optioncarChar"/>
        </w:rPr>
        <w:t xml:space="preserve">*** </w:t>
      </w:r>
    </w:p>
    <w:p w14:paraId="2AA2D1D0" w14:textId="77777777" w:rsidR="00772179" w:rsidRDefault="00000000">
      <w:pPr>
        <w:pStyle w:val="Author-eListParagraph"/>
        <w:numPr>
          <w:ilvl w:val="0"/>
          <w:numId w:val="944"/>
        </w:numPr>
      </w:pPr>
      <w:r>
        <w:t xml:space="preserve">Bavettes d'interruption : </w:t>
      </w:r>
      <w:r>
        <w:rPr>
          <w:rStyle w:val="optioncarChar"/>
        </w:rPr>
        <w:t xml:space="preserve">*** </w:t>
      </w:r>
    </w:p>
    <w:p w14:paraId="4357EA4F" w14:textId="77777777" w:rsidR="00772179" w:rsidRDefault="00000000">
      <w:pPr>
        <w:pStyle w:val="pheading"/>
      </w:pPr>
      <w:r>
        <w:t>MESURAGE</w:t>
      </w:r>
    </w:p>
    <w:p w14:paraId="1EC4B90F" w14:textId="77777777" w:rsidR="00772179" w:rsidRDefault="00000000">
      <w:pPr>
        <w:pStyle w:val="pheading"/>
      </w:pPr>
      <w:r>
        <w:t>- unité de mesure:</w:t>
      </w:r>
    </w:p>
    <w:p w14:paraId="7BFC3E8D" w14:textId="77777777" w:rsidR="00772179" w:rsidRDefault="00000000">
      <w:r>
        <w:t>m²</w:t>
      </w:r>
    </w:p>
    <w:p w14:paraId="16F899B7" w14:textId="77777777" w:rsidR="00772179" w:rsidRDefault="00000000">
      <w:pPr>
        <w:pStyle w:val="pheading"/>
      </w:pPr>
      <w:r>
        <w:t>- code de mesurage:</w:t>
      </w:r>
    </w:p>
    <w:p w14:paraId="5A2DC9EF" w14:textId="77777777" w:rsidR="00772179" w:rsidRDefault="00000000">
      <w:r>
        <w:lastRenderedPageBreak/>
        <w:t>Surface nette, toutes les ouvertures ≥ 0,5 m² sont déduites. Les jours des ouvertures et de fenêtres ainsi que le bas des linteaux sont uniquement comptés (surface nette) lorsque leur largeur est supérieure à l'épaisseur du revêtement de façade.</w:t>
      </w:r>
    </w:p>
    <w:p w14:paraId="29A8C877" w14:textId="77777777" w:rsidR="00772179" w:rsidRDefault="00000000">
      <w:pPr>
        <w:pStyle w:val="pheading"/>
      </w:pPr>
      <w:r>
        <w:t>- nature du marché:</w:t>
      </w:r>
    </w:p>
    <w:p w14:paraId="4B1F539F" w14:textId="77777777" w:rsidR="00772179" w:rsidRDefault="00000000">
      <w:r>
        <w:t>QF</w:t>
      </w:r>
    </w:p>
    <w:p w14:paraId="0BD7E52A" w14:textId="77777777" w:rsidR="00772179" w:rsidRDefault="00000000">
      <w:pPr>
        <w:pStyle w:val="pheading"/>
      </w:pPr>
      <w:r>
        <w:t>AIDE</w:t>
      </w:r>
    </w:p>
    <w:p w14:paraId="747F2D09" w14:textId="77777777" w:rsidR="00772179" w:rsidRDefault="00000000">
      <w:r>
        <w:rPr>
          <w:i/>
          <w:u w:val="single"/>
        </w:rPr>
        <w:t>Note à l’attention de l’auteur de projet</w:t>
      </w:r>
    </w:p>
    <w:p w14:paraId="4DEF95A0" w14:textId="77777777" w:rsidR="00772179" w:rsidRDefault="00000000">
      <w:r>
        <w:t>Pour le revêtements en milieu extérieur, les essences de bois de la classe de durabilité III sont les plus appropriées.</w:t>
      </w:r>
    </w:p>
    <w:p w14:paraId="7B4BEF91" w14:textId="77777777" w:rsidR="00772179" w:rsidRDefault="00000000">
      <w:r>
        <w:t>Les bois avec une densité ≤ 390 kg/m³ ne sont pas adaptés pour répondre à certaines impositions de réaction au feu.</w:t>
      </w:r>
    </w:p>
    <w:p w14:paraId="2B3282B7" w14:textId="77777777" w:rsidR="00772179" w:rsidRDefault="00000000">
      <w:pPr>
        <w:pStyle w:val="Author-eSectionHeading6Numberless"/>
      </w:pPr>
      <w:bookmarkStart w:id="747" w:name="_Toc220490435"/>
      <w:r>
        <w:t>43.24.2b Revêtements de façade rigides fixés mécaniquement - planches en contreplaqué CCTB 01.11</w:t>
      </w:r>
      <w:bookmarkEnd w:id="747"/>
    </w:p>
    <w:p w14:paraId="4BCD75D4" w14:textId="77777777" w:rsidR="00772179" w:rsidRDefault="00000000">
      <w:pPr>
        <w:pStyle w:val="pheading"/>
      </w:pPr>
      <w:r>
        <w:t>MATÉRIAUX</w:t>
      </w:r>
    </w:p>
    <w:p w14:paraId="242E2D92" w14:textId="77777777" w:rsidR="00772179" w:rsidRDefault="00000000">
      <w:pPr>
        <w:pStyle w:val="pheading"/>
      </w:pPr>
      <w:r>
        <w:t>- Caractéristiques générales</w:t>
      </w:r>
    </w:p>
    <w:p w14:paraId="1A96EE91" w14:textId="77777777" w:rsidR="00772179" w:rsidRDefault="00000000">
      <w:r>
        <w:t>Les revêtements de façade sont exécutés à l'aide de panneaux multiplex WBP, constitués d'une âme en multiplex marin sur une base en bois tropical dur. Les plaques conviennent pour un usage en milieu extérieur selon la [NBN EN 636+A1, Contreplaqué - Exigences].</w:t>
      </w:r>
    </w:p>
    <w:p w14:paraId="2B4AF0D1" w14:textId="77777777" w:rsidR="00772179" w:rsidRDefault="00000000">
      <w:pPr>
        <w:pStyle w:val="pheading"/>
      </w:pPr>
      <w:r>
        <w:t>- Finitions</w:t>
      </w:r>
    </w:p>
    <w:p w14:paraId="750547FB" w14:textId="77777777" w:rsidR="00772179" w:rsidRDefault="00000000">
      <w:pPr>
        <w:pStyle w:val="Author-eListParagraph"/>
        <w:numPr>
          <w:ilvl w:val="0"/>
          <w:numId w:val="945"/>
        </w:numPr>
      </w:pPr>
      <w:r>
        <w:t>Classe d'encollage : classe 3 (selon la [NBN EN 314-2])</w:t>
      </w:r>
    </w:p>
    <w:p w14:paraId="66A76204" w14:textId="77777777" w:rsidR="00772179" w:rsidRDefault="00000000">
      <w:pPr>
        <w:pStyle w:val="Author-eListParagraph"/>
        <w:numPr>
          <w:ilvl w:val="0"/>
          <w:numId w:val="945"/>
        </w:numPr>
      </w:pPr>
      <w:r>
        <w:t xml:space="preserve">Epaisseur des plaques : ≥ </w:t>
      </w:r>
      <w:r>
        <w:rPr>
          <w:rStyle w:val="optioncarChar"/>
        </w:rPr>
        <w:t xml:space="preserve">12 / 15 / 18 / 22 </w:t>
      </w:r>
      <w:r>
        <w:t>mm</w:t>
      </w:r>
    </w:p>
    <w:p w14:paraId="3E681AC8" w14:textId="77777777" w:rsidR="00772179" w:rsidRDefault="00000000">
      <w:pPr>
        <w:pStyle w:val="Author-eListParagraph"/>
        <w:numPr>
          <w:ilvl w:val="0"/>
          <w:numId w:val="945"/>
        </w:numPr>
      </w:pPr>
      <w:r>
        <w:t xml:space="preserve">Nombre de couches de placage : ≥ </w:t>
      </w:r>
      <w:r>
        <w:rPr>
          <w:rStyle w:val="optioncarChar"/>
        </w:rPr>
        <w:t xml:space="preserve">5 / 7 / *** </w:t>
      </w:r>
    </w:p>
    <w:p w14:paraId="3AD830A4" w14:textId="77777777" w:rsidR="00772179" w:rsidRDefault="00000000">
      <w:pPr>
        <w:pStyle w:val="Author-eListParagraph"/>
        <w:numPr>
          <w:ilvl w:val="0"/>
          <w:numId w:val="945"/>
        </w:numPr>
      </w:pPr>
      <w:r>
        <w:t xml:space="preserve">Essence du bois des couches de placage : </w:t>
      </w:r>
      <w:r>
        <w:rPr>
          <w:rStyle w:val="optioncarChar"/>
        </w:rPr>
        <w:t>bois tropical dur : *** / ***</w:t>
      </w:r>
      <w:r>
        <w:t> </w:t>
      </w:r>
    </w:p>
    <w:p w14:paraId="12CED015" w14:textId="77777777" w:rsidR="00772179" w:rsidRDefault="00000000">
      <w:pPr>
        <w:pStyle w:val="Author-eListParagraph"/>
        <w:numPr>
          <w:ilvl w:val="0"/>
          <w:numId w:val="945"/>
        </w:numPr>
      </w:pPr>
      <w:r>
        <w:t xml:space="preserve">Placage de finition : </w:t>
      </w:r>
      <w:r>
        <w:rPr>
          <w:rStyle w:val="optioncarChar"/>
        </w:rPr>
        <w:t xml:space="preserve">placage de qualité A, Essence du bois : *** / finition par compression sur les deux faces d'une couche de résine synthétique, qui sert de base pour une couche de peinture couvrante / à choisir dans la gamme complète du fabricant / *** </w:t>
      </w:r>
    </w:p>
    <w:p w14:paraId="23117A91" w14:textId="77777777" w:rsidR="00772179" w:rsidRDefault="00000000">
      <w:pPr>
        <w:pStyle w:val="Author-eListParagraph"/>
        <w:numPr>
          <w:ilvl w:val="0"/>
          <w:numId w:val="945"/>
        </w:numPr>
      </w:pPr>
      <w:r>
        <w:t xml:space="preserve">Traitement de la surface : </w:t>
      </w:r>
      <w:r>
        <w:rPr>
          <w:rStyle w:val="optioncarChar"/>
        </w:rPr>
        <w:t xml:space="preserve">non laquée / laque polyacrylique UV / teintée / revêtue sur une seule face d'une couche de finition à peindre / *** </w:t>
      </w:r>
    </w:p>
    <w:p w14:paraId="7097C458" w14:textId="77777777" w:rsidR="00772179" w:rsidRDefault="00000000">
      <w:pPr>
        <w:pStyle w:val="Author-eListParagraph"/>
        <w:numPr>
          <w:ilvl w:val="0"/>
          <w:numId w:val="945"/>
        </w:numPr>
      </w:pPr>
      <w:r>
        <w:t xml:space="preserve">Couleur : </w:t>
      </w:r>
      <w:r>
        <w:rPr>
          <w:rStyle w:val="optioncarChar"/>
        </w:rPr>
        <w:t xml:space="preserve">à choisir dans la gamme complète du fabricant </w:t>
      </w:r>
      <w:r>
        <w:t xml:space="preserve">. Couleur RAL n° . </w:t>
      </w:r>
      <w:r>
        <w:rPr>
          <w:rStyle w:val="optioncarChar"/>
        </w:rPr>
        <w:t xml:space="preserve">*** </w:t>
      </w:r>
    </w:p>
    <w:p w14:paraId="0954629A" w14:textId="77777777" w:rsidR="00772179" w:rsidRDefault="00000000">
      <w:pPr>
        <w:pStyle w:val="Author-eListParagraph"/>
        <w:numPr>
          <w:ilvl w:val="0"/>
          <w:numId w:val="945"/>
        </w:numPr>
      </w:pPr>
      <w:r>
        <w:t>Réaction au feu : Selon la Décision de la Commission [Décision 2003/43/CE] et les conditions qui y sont reprises, les panneaux de fibres appartiennent à la classe D.</w:t>
      </w:r>
    </w:p>
    <w:p w14:paraId="05576087" w14:textId="77777777" w:rsidR="00772179" w:rsidRDefault="00000000">
      <w:pPr>
        <w:pStyle w:val="pheading"/>
      </w:pPr>
      <w:r>
        <w:t>EXÉCUTION / MISE EN ŒUVRE</w:t>
      </w:r>
    </w:p>
    <w:p w14:paraId="041EBF76" w14:textId="77777777" w:rsidR="00772179" w:rsidRDefault="00000000">
      <w:pPr>
        <w:pStyle w:val="pheading"/>
      </w:pPr>
      <w:r>
        <w:t>- Prescriptions générales</w:t>
      </w:r>
    </w:p>
    <w:p w14:paraId="2AA3CFFC" w14:textId="77777777" w:rsidR="00772179" w:rsidRDefault="00000000">
      <w:pPr>
        <w:pStyle w:val="Author-eListParagraph"/>
        <w:numPr>
          <w:ilvl w:val="0"/>
          <w:numId w:val="946"/>
        </w:numPr>
      </w:pPr>
      <w:r>
        <w:t>La mise en œuvre se fait conforme à [NIT 243] </w:t>
      </w:r>
    </w:p>
    <w:p w14:paraId="696EC046" w14:textId="77777777" w:rsidR="00772179" w:rsidRDefault="00000000">
      <w:pPr>
        <w:pStyle w:val="Author-eListParagraph"/>
        <w:numPr>
          <w:ilvl w:val="0"/>
          <w:numId w:val="946"/>
        </w:numPr>
      </w:pPr>
      <w:r>
        <w:t>Conformément aux prescriptions des fabricants des matériaux livrés et aux dessins de principe.</w:t>
      </w:r>
    </w:p>
    <w:p w14:paraId="58D33371" w14:textId="77777777" w:rsidR="00772179" w:rsidRDefault="00000000">
      <w:pPr>
        <w:pStyle w:val="Author-eListParagraph"/>
        <w:numPr>
          <w:ilvl w:val="0"/>
          <w:numId w:val="946"/>
        </w:numPr>
      </w:pPr>
      <w:r>
        <w:t>Par fixation aveugle sur un lattage en</w:t>
      </w:r>
      <w:r>
        <w:rPr>
          <w:rStyle w:val="optioncarChar"/>
        </w:rPr>
        <w:t xml:space="preserve"> bois </w:t>
      </w:r>
      <w:r>
        <w:t xml:space="preserve">(par défaut) </w:t>
      </w:r>
      <w:r>
        <w:rPr>
          <w:rStyle w:val="optioncarChar"/>
        </w:rPr>
        <w:t>/ *** </w:t>
      </w:r>
      <w:r>
        <w:t xml:space="preserve">(conformément à la rubrique </w:t>
      </w:r>
      <w:hyperlink w:anchor="991" w:history="1">
        <w:r>
          <w:rPr>
            <w:color w:val="0000EE"/>
          </w:rPr>
          <w:t>43.11 Profilés de support continu du revêtement de façade</w:t>
        </w:r>
      </w:hyperlink>
      <w:r>
        <w:t>).</w:t>
      </w:r>
    </w:p>
    <w:p w14:paraId="3969531D" w14:textId="77777777" w:rsidR="00772179" w:rsidRDefault="00000000">
      <w:pPr>
        <w:pStyle w:val="Author-eListParagraph"/>
        <w:numPr>
          <w:ilvl w:val="0"/>
          <w:numId w:val="946"/>
        </w:numPr>
      </w:pPr>
      <w:r>
        <w:t>Les plaques sont</w:t>
      </w:r>
      <w:r>
        <w:rPr>
          <w:rStyle w:val="optioncarChar"/>
        </w:rPr>
        <w:t xml:space="preserve"> clouées au marteau pneumatique / vissées. </w:t>
      </w:r>
    </w:p>
    <w:p w14:paraId="18A649F1" w14:textId="77777777" w:rsidR="00772179" w:rsidRDefault="00000000">
      <w:pPr>
        <w:pStyle w:val="Author-eListParagraph"/>
        <w:numPr>
          <w:ilvl w:val="0"/>
          <w:numId w:val="946"/>
        </w:numPr>
      </w:pPr>
      <w:r>
        <w:t>Les plaques sont posées en</w:t>
      </w:r>
      <w:r>
        <w:rPr>
          <w:rStyle w:val="optioncarChar"/>
        </w:rPr>
        <w:t xml:space="preserve"> damier / décalage </w:t>
      </w:r>
      <w:r>
        <w:t xml:space="preserve">et le recouvrement vertical est de </w:t>
      </w:r>
      <w:r>
        <w:rPr>
          <w:rStyle w:val="optioncarChar"/>
        </w:rPr>
        <w:t>35 / ***</w:t>
      </w:r>
      <w:r>
        <w:t xml:space="preserve"> mm</w:t>
      </w:r>
    </w:p>
    <w:p w14:paraId="3E6F6430" w14:textId="77777777" w:rsidR="00772179" w:rsidRDefault="00000000">
      <w:pPr>
        <w:pStyle w:val="pheading"/>
      </w:pPr>
      <w:r>
        <w:t>- Notes d’exécution complémentaires</w:t>
      </w:r>
    </w:p>
    <w:p w14:paraId="526363C5" w14:textId="77777777" w:rsidR="00772179" w:rsidRDefault="00000000">
      <w:pPr>
        <w:pStyle w:val="Author-eListParagraph"/>
        <w:numPr>
          <w:ilvl w:val="0"/>
          <w:numId w:val="947"/>
        </w:numPr>
      </w:pPr>
      <w:r>
        <w:t xml:space="preserve">Profils d'arrêt : pour la jonction avec la maçonnerie de façade,  des profils appropriés en </w:t>
      </w:r>
      <w:r>
        <w:rPr>
          <w:rStyle w:val="optioncarChar"/>
        </w:rPr>
        <w:t>PVC / aluminium de couleur naturelle / *** </w:t>
      </w:r>
      <w:r>
        <w:t>sont utilisés.</w:t>
      </w:r>
    </w:p>
    <w:p w14:paraId="49F770B4" w14:textId="77777777" w:rsidR="00772179" w:rsidRDefault="00000000">
      <w:pPr>
        <w:pStyle w:val="Author-eListParagraph"/>
        <w:numPr>
          <w:ilvl w:val="0"/>
          <w:numId w:val="947"/>
        </w:numPr>
      </w:pPr>
      <w:r>
        <w:t>Finition des angles : pour la jonction et l'alignement des plaques, elles sont soigneusement sciées en onglet.</w:t>
      </w:r>
    </w:p>
    <w:p w14:paraId="34AB9810" w14:textId="77777777" w:rsidR="00772179" w:rsidRDefault="00000000">
      <w:pPr>
        <w:pStyle w:val="Author-eListParagraph"/>
        <w:numPr>
          <w:ilvl w:val="0"/>
          <w:numId w:val="947"/>
        </w:numPr>
      </w:pPr>
      <w:r>
        <w:lastRenderedPageBreak/>
        <w:t xml:space="preserve">Finition des angles extérieurs : pour la jonction des angles extérieurs, des profils appropriés en </w:t>
      </w:r>
      <w:r>
        <w:rPr>
          <w:rStyle w:val="optioncarChar"/>
        </w:rPr>
        <w:t>PVC / aluminium de couleur naturelle / ***</w:t>
      </w:r>
      <w:r>
        <w:t> sont utilisés.  Le profil de finition pour les angles extérieurs est coincé entre les plaquettes de rive et le montant d'angle.</w:t>
      </w:r>
    </w:p>
    <w:p w14:paraId="35F55C27" w14:textId="77777777" w:rsidR="00772179" w:rsidRDefault="00000000">
      <w:pPr>
        <w:pStyle w:val="Author-eListParagraph"/>
        <w:numPr>
          <w:ilvl w:val="0"/>
          <w:numId w:val="947"/>
        </w:numPr>
      </w:pPr>
      <w:r>
        <w:t>Finition des angles rentrants : l'angle vertical des angles rentrants est terminé au moyen d’une bande d'étanchéité en matière synthétique de 60 mm de largeur clouée sur les montants. Dans les bords verticaux des plaquettes de façade, on coupe un morceau sur place.</w:t>
      </w:r>
    </w:p>
    <w:p w14:paraId="20DD22CE" w14:textId="77777777" w:rsidR="00772179" w:rsidRDefault="00000000">
      <w:pPr>
        <w:pStyle w:val="pheading"/>
      </w:pPr>
      <w:r>
        <w:t>MESURAGE</w:t>
      </w:r>
    </w:p>
    <w:p w14:paraId="5E8CFC1F" w14:textId="77777777" w:rsidR="00772179" w:rsidRDefault="00000000">
      <w:pPr>
        <w:pStyle w:val="pheading"/>
      </w:pPr>
      <w:r>
        <w:t>- unité de mesure:</w:t>
      </w:r>
    </w:p>
    <w:p w14:paraId="61B10F72" w14:textId="77777777" w:rsidR="00772179" w:rsidRDefault="00000000">
      <w:r>
        <w:t>m²</w:t>
      </w:r>
    </w:p>
    <w:p w14:paraId="60AA6E9D" w14:textId="77777777" w:rsidR="00772179" w:rsidRDefault="00000000">
      <w:pPr>
        <w:pStyle w:val="pheading"/>
      </w:pPr>
      <w:r>
        <w:t>- code de mesurage:</w:t>
      </w:r>
    </w:p>
    <w:p w14:paraId="056273F3" w14:textId="77777777" w:rsidR="00772179" w:rsidRDefault="00000000">
      <w:r>
        <w:t>Surface nette, toutes les ouvertures &gt; 0,5 m² sont déduites. Les jours des ouvertures et de fenêtres ainsi que le bas des linteaux sont uniquement comptés (surface nette) lorsque leur largeur est supérieure à l'épaisseur du revêtement de façade.</w:t>
      </w:r>
    </w:p>
    <w:p w14:paraId="2D06EEDF" w14:textId="77777777" w:rsidR="00772179" w:rsidRDefault="00000000">
      <w:pPr>
        <w:pStyle w:val="pheading"/>
      </w:pPr>
      <w:r>
        <w:t>- nature du marché:</w:t>
      </w:r>
    </w:p>
    <w:p w14:paraId="7E06A053" w14:textId="77777777" w:rsidR="00772179" w:rsidRDefault="00000000">
      <w:r>
        <w:t>QF</w:t>
      </w:r>
    </w:p>
    <w:p w14:paraId="5F417CA6" w14:textId="77777777" w:rsidR="00772179" w:rsidRDefault="00000000">
      <w:pPr>
        <w:pStyle w:val="Author-eSectionHeading6Numberless"/>
      </w:pPr>
      <w:bookmarkStart w:id="748" w:name="_Toc220490436"/>
      <w:r>
        <w:t>43.24.2c Revêtements de façade rigides fixés mécaniquement - panneaux en stratifié décoratif haute pression (HPL) CCTB 01.11</w:t>
      </w:r>
      <w:bookmarkEnd w:id="748"/>
    </w:p>
    <w:p w14:paraId="6E57C6BE" w14:textId="77777777" w:rsidR="00772179" w:rsidRDefault="00000000">
      <w:pPr>
        <w:pStyle w:val="pheading"/>
      </w:pPr>
      <w:bookmarkStart w:id="749" w:name="842"/>
      <w:bookmarkEnd w:id="749"/>
      <w:r>
        <w:t>MATÉRIAUX</w:t>
      </w:r>
    </w:p>
    <w:p w14:paraId="38704A14" w14:textId="77777777" w:rsidR="00772179" w:rsidRDefault="00000000">
      <w:pPr>
        <w:pStyle w:val="pheading"/>
      </w:pPr>
      <w:r>
        <w:t>- Caractéristiques générales</w:t>
      </w:r>
    </w:p>
    <w:p w14:paraId="46D6C033" w14:textId="77777777" w:rsidR="00772179" w:rsidRDefault="00000000">
      <w:r>
        <w:t>Il s'agit de panneaux d'habillage à base de résines synthétiques thermodurcissantes, renforcées de manière homogène par des fibres de cellulose. Les plaques homogènes sont fabriquées par pressage sous haute pression ± 100 kg/m²) et température élevée (150°C). Elles sont pourvues, sur les deux faces, d'un surfaçage décoratif intégré à base de résines composites pigmentées. La surface n'est pas revêtue d'une feuille d'acrylique sensible aux produits abrasifs et solvants. La composition et la constitution des plaques conviennent à une application en milieu extérieur, c'est-à-dire qu'elles ne nécessitent pas d'entretien et qu'elles sont résistantes à l'usure, aux rayures, coups et chocs. Elles ne nécessitent en aucun cas d'encadrement ou de finition particulière.</w:t>
      </w:r>
    </w:p>
    <w:p w14:paraId="379843B0" w14:textId="77777777" w:rsidR="00772179" w:rsidRDefault="00000000">
      <w:pPr>
        <w:pStyle w:val="pheading"/>
      </w:pPr>
      <w:r>
        <w:t>- Finitions</w:t>
      </w:r>
    </w:p>
    <w:p w14:paraId="676984A3" w14:textId="77777777" w:rsidR="00772179" w:rsidRDefault="00000000">
      <w:pPr>
        <w:pStyle w:val="Author-eListParagraph"/>
        <w:numPr>
          <w:ilvl w:val="0"/>
          <w:numId w:val="948"/>
        </w:numPr>
      </w:pPr>
      <w:r>
        <w:t xml:space="preserve">Epaisseur des plaques : ≥ </w:t>
      </w:r>
      <w:r>
        <w:rPr>
          <w:rStyle w:val="optioncarChar"/>
        </w:rPr>
        <w:t xml:space="preserve">8 / 10 / 12 </w:t>
      </w:r>
      <w:r>
        <w:t>mm (≥ 8 mm pour les fixations apparentes; 10 mm pour les fixations cachées)</w:t>
      </w:r>
    </w:p>
    <w:p w14:paraId="561248EA" w14:textId="77777777" w:rsidR="00772179" w:rsidRDefault="00000000">
      <w:pPr>
        <w:pStyle w:val="Author-eListParagraph"/>
        <w:numPr>
          <w:ilvl w:val="0"/>
          <w:numId w:val="948"/>
        </w:numPr>
      </w:pPr>
      <w:r>
        <w:t>Densité : &gt;</w:t>
      </w:r>
      <w:r>
        <w:rPr>
          <w:rStyle w:val="optioncarChar"/>
        </w:rPr>
        <w:t xml:space="preserve"> 1400 </w:t>
      </w:r>
      <w:r>
        <w:t>(par défaut)</w:t>
      </w:r>
      <w:r>
        <w:rPr>
          <w:rStyle w:val="optioncarChar"/>
        </w:rPr>
        <w:t xml:space="preserve"> / *** </w:t>
      </w:r>
      <w:r>
        <w:t>kg/m³</w:t>
      </w:r>
    </w:p>
    <w:p w14:paraId="168421D6" w14:textId="77777777" w:rsidR="00772179" w:rsidRDefault="00000000">
      <w:pPr>
        <w:pStyle w:val="Author-eListParagraph"/>
        <w:numPr>
          <w:ilvl w:val="0"/>
          <w:numId w:val="948"/>
        </w:numPr>
      </w:pPr>
      <w:r>
        <w:t xml:space="preserve">Structure de la surface : </w:t>
      </w:r>
      <w:r>
        <w:rPr>
          <w:rStyle w:val="optioncarChar"/>
        </w:rPr>
        <w:t>une face mate rugueuse </w:t>
      </w:r>
    </w:p>
    <w:p w14:paraId="6612C6A3" w14:textId="77777777" w:rsidR="00772179" w:rsidRDefault="00000000">
      <w:pPr>
        <w:pStyle w:val="Author-eListParagraph"/>
        <w:numPr>
          <w:ilvl w:val="0"/>
          <w:numId w:val="948"/>
        </w:numPr>
      </w:pPr>
      <w:r>
        <w:t xml:space="preserve">Couleur : couleur RAL n° </w:t>
      </w:r>
      <w:r>
        <w:rPr>
          <w:rStyle w:val="optioncarChar"/>
        </w:rPr>
        <w:t>selon le tableau des couleurs</w:t>
      </w:r>
      <w:r>
        <w:t xml:space="preserve"> (échantillons à soumettre au maître d’ouvrage)</w:t>
      </w:r>
    </w:p>
    <w:p w14:paraId="795B4862" w14:textId="77777777" w:rsidR="00772179" w:rsidRDefault="00000000">
      <w:pPr>
        <w:pStyle w:val="Author-eListParagraph"/>
        <w:numPr>
          <w:ilvl w:val="0"/>
          <w:numId w:val="948"/>
        </w:numPr>
      </w:pPr>
      <w:r>
        <w:t>Le matériau dispose d'une garantie sur le produit de 10 ans. </w:t>
      </w:r>
    </w:p>
    <w:p w14:paraId="3DF4CA64" w14:textId="77777777" w:rsidR="00772179" w:rsidRDefault="00000000">
      <w:pPr>
        <w:pStyle w:val="pheading"/>
      </w:pPr>
      <w:r>
        <w:t>EXÉCUTION / MISE EN ŒUVRE</w:t>
      </w:r>
    </w:p>
    <w:p w14:paraId="730542A8" w14:textId="77777777" w:rsidR="00772179" w:rsidRDefault="00000000">
      <w:pPr>
        <w:pStyle w:val="pheading"/>
      </w:pPr>
      <w:r>
        <w:t>- Prescriptions générales</w:t>
      </w:r>
    </w:p>
    <w:p w14:paraId="2BDB0930" w14:textId="77777777" w:rsidR="00772179" w:rsidRDefault="00000000">
      <w:r>
        <w:t>La mise en œuvre s'effectue selon les prescriptions du fabricant. </w:t>
      </w:r>
      <w:r>
        <w:br/>
        <w:t>Les bords sciés sont soigneusement achevés.</w:t>
      </w:r>
      <w:r>
        <w:br/>
        <w:t>Lors de la fixation des plaques, on veille à ce qu'elles puissent se dilater librement et uniformément. La largeur des joints entre les plaques est &gt; 2,5 mm / m. La disposition des joints est convenue à l'avance avec l'auteur de projet.</w:t>
      </w:r>
      <w:r>
        <w:br/>
        <w:t>La distance entre les vis de montage est déterminée selon les directives du fabricant des plaques. Des vis de montage spéciales en acier inoxydable sont utilisées, qui sont recouvertes de capuchons ronds colorés en matière synthétique, de la même couleur que les panneaux.</w:t>
      </w:r>
    </w:p>
    <w:p w14:paraId="0CFC4E7B" w14:textId="77777777" w:rsidR="00772179" w:rsidRDefault="00000000">
      <w:r>
        <w:lastRenderedPageBreak/>
        <w:t>Mode de fixation :</w:t>
      </w:r>
    </w:p>
    <w:p w14:paraId="465B8892" w14:textId="77777777" w:rsidR="00772179" w:rsidRDefault="00000000">
      <w:r>
        <w:rPr>
          <w:rStyle w:val="optioncarChar"/>
        </w:rPr>
        <w:t xml:space="preserve">fixation apparente </w:t>
      </w:r>
      <w:r>
        <w:t xml:space="preserve">(par défaut) </w:t>
      </w:r>
      <w:r>
        <w:rPr>
          <w:rStyle w:val="optioncarChar"/>
        </w:rPr>
        <w:t>/ fixation aveugle</w:t>
      </w:r>
    </w:p>
    <w:p w14:paraId="4093123F" w14:textId="77777777" w:rsidR="00772179" w:rsidRDefault="00000000">
      <w:r>
        <w:rPr>
          <w:b/>
        </w:rPr>
        <w:t>(soit par défaut) </w:t>
      </w:r>
      <w:r>
        <w:t xml:space="preserve">: </w:t>
      </w:r>
      <w:r>
        <w:rPr>
          <w:rStyle w:val="soitChar"/>
          <w:u w:val="single"/>
        </w:rPr>
        <w:t>Fixation apparente</w:t>
      </w:r>
      <w:r>
        <w:rPr>
          <w:rStyle w:val="soitChar"/>
        </w:rPr>
        <w:t xml:space="preserve"> (vissée sur les chevrons en bois) </w:t>
      </w:r>
      <w:r>
        <w:br/>
      </w:r>
      <w:r>
        <w:rPr>
          <w:rStyle w:val="soitChar"/>
        </w:rPr>
        <w:t xml:space="preserve">- Les plaques sont vissées sur le chevronnée attenante, selon un espacement régulier, avec des vis en acier inoxydable : Ø de la tige 4 mm, Ø du fil 5,3 mm et longueur 37 mm. Les trous des vis sont préforés sur une profondeur de 7 mm. </w:t>
      </w:r>
      <w:r>
        <w:br/>
      </w:r>
      <w:r>
        <w:rPr>
          <w:rStyle w:val="soitChar"/>
        </w:rPr>
        <w:t xml:space="preserve">- L'étanchéité des joints horizontaux est réalisée par un assemblage à lèvres soudées appliqué dans les plaques lorsqu'elles ont une épaisseur ≥ 8 mm, par un profil de rejet d'eau à lèvre transparente inclinée placée derrière le joint, contre une latte en bois ou à l'aide d'un profil en forme de chaise en matière synthétique dure. L'étanchéité des joints verticaux est réalisée en plaçant derrière les joints un profil d'étanchéité en caoutchouc EPDM. </w:t>
      </w:r>
      <w:r>
        <w:br/>
      </w:r>
      <w:r>
        <w:rPr>
          <w:rStyle w:val="soitChar"/>
        </w:rPr>
        <w:t xml:space="preserve">- Par mètre courant de plaque, il est prévu tant dans le haut que dans le bas, ≥ 20 cm² d'ouvertures de ventilation tandis qu'entre l'arrière des plaques et l'isolation, un espace ventilé ≥ 2 cm est réservé. </w:t>
      </w:r>
      <w:r>
        <w:br/>
      </w:r>
      <w:r>
        <w:rPr>
          <w:rStyle w:val="soitChar"/>
        </w:rPr>
        <w:t>- Aux angles, la jonction entre les plaques est sciée en onglet et renforcée de manière invisible à l'aide d'un profil. La finition entre l'habillage et les faces de murs auxquelles il se rattache, est réalisée au moyen d'un joint plastique.</w:t>
      </w:r>
    </w:p>
    <w:p w14:paraId="652FC01E" w14:textId="77777777" w:rsidR="00772179" w:rsidRDefault="00000000">
      <w:r>
        <w:rPr>
          <w:b/>
        </w:rPr>
        <w:t xml:space="preserve">(soit) : </w:t>
      </w:r>
      <w:r>
        <w:rPr>
          <w:rStyle w:val="soitChar"/>
          <w:u w:val="single"/>
        </w:rPr>
        <w:t>Fixation aveugle</w:t>
      </w:r>
      <w:r>
        <w:rPr>
          <w:rStyle w:val="soitChar"/>
        </w:rPr>
        <w:t xml:space="preserve"> des plaques à l'aide de crochets en aluminium </w:t>
      </w:r>
      <w:r>
        <w:br/>
      </w:r>
      <w:r>
        <w:rPr>
          <w:rStyle w:val="soitChar"/>
        </w:rPr>
        <w:t xml:space="preserve">- Les crochets sont fixés à l'arrière des plaques à l'aide de 2 vis en acier inoxydable et de chevilles expansibles ou de vis autotaraudeuses inoxydables, de manière à laisser ≥ 3 mm de l'épaisseur de la plaque. </w:t>
      </w:r>
      <w:r>
        <w:br/>
      </w:r>
      <w:r>
        <w:rPr>
          <w:rStyle w:val="soitChar"/>
        </w:rPr>
        <w:t xml:space="preserve">- Munies de ces crochets, les plaques sont ensuite accrochées aux profils d'aluminium horizontaux fixés à la structure primaire en bois ou en aluminium. Les panneaux sont ensuite fixés à l'aide de vis de réglage dans les angles supérieurs gauche et droit des panneaux. </w:t>
      </w:r>
      <w:r>
        <w:br/>
      </w:r>
      <w:r>
        <w:rPr>
          <w:rStyle w:val="soitChar"/>
        </w:rPr>
        <w:t xml:space="preserve">- L'étanchéité des joints horizontaux est réalisée par un assemblage à lèvres soudées appliqué dans les plaques. L'étanchéité des joints verticaux est réalisée au moyen d'un assemblage à rainure et ressort. A cet effet, on fraise une rainure dans les côtés des plaques, dans laquelle un ressort de 3 mm en plaque de résine synthétique est inséré. </w:t>
      </w:r>
      <w:r>
        <w:br/>
      </w:r>
      <w:r>
        <w:rPr>
          <w:rStyle w:val="soitChar"/>
        </w:rPr>
        <w:t xml:space="preserve">- Par mètre courant de plaque, tant dans le haut que dans le bas, une ouverture de ventilation ≥ 20 cm2 d'ouvertures est prévue tandis qu'entre l'arrière des plaques et l'isolation, un espace ventilé ≥ 2 cm est réservé. Une moustiquaire solide et inoxydable empêche que les insectes et les oiseaux n'aient accès à l'espace ventilé. Le matériau d'isolation ne rencontre pas l'arrière des lattes en aluminium : un espace ≥ 5 mm est nécessaire afin d'assurer la ventilation continue. </w:t>
      </w:r>
      <w:r>
        <w:br/>
      </w:r>
      <w:r>
        <w:rPr>
          <w:rStyle w:val="soitChar"/>
        </w:rPr>
        <w:t>- Aux angles, la jonction entre les plaques est sciée en onglet et renforcée de manière invisible à l'aide d'un profil. La finition entre l'habillage et les faces de murs auxquelles il se rattache est réalisée au moyen d'un joint plastique.</w:t>
      </w:r>
    </w:p>
    <w:p w14:paraId="73EA38CE" w14:textId="77777777" w:rsidR="00772179" w:rsidRDefault="00000000">
      <w:pPr>
        <w:pStyle w:val="pheading"/>
      </w:pPr>
      <w:r>
        <w:t>MESURAGE</w:t>
      </w:r>
    </w:p>
    <w:p w14:paraId="7B9224FA" w14:textId="77777777" w:rsidR="00772179" w:rsidRDefault="00000000">
      <w:pPr>
        <w:pStyle w:val="pheading"/>
      </w:pPr>
      <w:r>
        <w:t>- unité de mesure:</w:t>
      </w:r>
    </w:p>
    <w:p w14:paraId="30A18BA0" w14:textId="77777777" w:rsidR="00772179" w:rsidRDefault="00000000">
      <w:r>
        <w:t>m²</w:t>
      </w:r>
    </w:p>
    <w:p w14:paraId="407635E4" w14:textId="77777777" w:rsidR="00772179" w:rsidRDefault="00000000">
      <w:pPr>
        <w:pStyle w:val="pheading"/>
      </w:pPr>
      <w:r>
        <w:t>- code de mesurage:</w:t>
      </w:r>
    </w:p>
    <w:p w14:paraId="11FE5195" w14:textId="77777777" w:rsidR="00772179" w:rsidRDefault="00000000">
      <w:r>
        <w:t>Surface nette, toutes les ouvertures ≥ 0,5 m² sont déduites. Les jours des ouvertures et de fenêtres ainsi que le bas des linteaux sont uniquement comptés (surface nette) lorsque leur largeur est &gt; l'épaisseur du revêtement de façade.</w:t>
      </w:r>
    </w:p>
    <w:p w14:paraId="648C8E3A" w14:textId="77777777" w:rsidR="00772179" w:rsidRDefault="00000000">
      <w:pPr>
        <w:pStyle w:val="pheading"/>
      </w:pPr>
      <w:r>
        <w:t>- nature du marché:</w:t>
      </w:r>
    </w:p>
    <w:p w14:paraId="7F3943BF" w14:textId="77777777" w:rsidR="00772179" w:rsidRDefault="00000000">
      <w:r>
        <w:t>QF</w:t>
      </w:r>
    </w:p>
    <w:p w14:paraId="52E9002E" w14:textId="77777777" w:rsidR="00772179" w:rsidRDefault="00000000">
      <w:pPr>
        <w:pStyle w:val="Author-eSectionHeading6Numberless"/>
      </w:pPr>
      <w:bookmarkStart w:id="750" w:name="_Toc220490437"/>
      <w:r>
        <w:t>43.24.2d Revêtements de façade rigides fixés mécaniquement - planches et panneaux composites en bois-plastique CCTB 01.11</w:t>
      </w:r>
      <w:bookmarkEnd w:id="750"/>
    </w:p>
    <w:p w14:paraId="4FB8C00C" w14:textId="77777777" w:rsidR="00772179" w:rsidRDefault="00000000">
      <w:pPr>
        <w:pStyle w:val="pheading"/>
      </w:pPr>
      <w:r>
        <w:t>DESCRIPTION</w:t>
      </w:r>
    </w:p>
    <w:p w14:paraId="7DAC764E" w14:textId="77777777" w:rsidR="00772179" w:rsidRDefault="00000000">
      <w:pPr>
        <w:pStyle w:val="pheading"/>
      </w:pPr>
      <w:r>
        <w:t>- Définition / Comprend</w:t>
      </w:r>
    </w:p>
    <w:p w14:paraId="5C438865" w14:textId="77777777" w:rsidR="00772179" w:rsidRDefault="00000000">
      <w:pPr>
        <w:jc w:val="both"/>
      </w:pPr>
      <w:r>
        <w:lastRenderedPageBreak/>
        <w:t>Il s’agit de la fourniture et la pose de planches ou panneaux composite bois-plastique fixés mécaniquement à une structure secondaire en profilés appliqués en façade en vue de la réalisation d’un ouvrage soigné et propre.</w:t>
      </w:r>
    </w:p>
    <w:p w14:paraId="25D4607C" w14:textId="77777777" w:rsidR="00772179" w:rsidRDefault="00000000">
      <w:pPr>
        <w:jc w:val="both"/>
      </w:pPr>
      <w:r>
        <w:t>La portée des travaux est décrite dans l’élément </w:t>
      </w:r>
      <w:hyperlink w:anchor="984" w:history="1">
        <w:r>
          <w:rPr>
            <w:color w:val="0000EE"/>
          </w:rPr>
          <w:t>43.2 Revêtements de façade rigides fixés mécaniquement</w:t>
        </w:r>
      </w:hyperlink>
      <w:r>
        <w:t>.</w:t>
      </w:r>
    </w:p>
    <w:p w14:paraId="5F864E0F" w14:textId="77777777" w:rsidR="00772179" w:rsidRDefault="00000000">
      <w:pPr>
        <w:pStyle w:val="pheading"/>
      </w:pPr>
      <w:r>
        <w:t>MATÉRIAUX</w:t>
      </w:r>
    </w:p>
    <w:p w14:paraId="3E6D8D8F" w14:textId="77777777" w:rsidR="00772179" w:rsidRDefault="00000000">
      <w:pPr>
        <w:pStyle w:val="pheading"/>
      </w:pPr>
      <w:r>
        <w:t>- Caractéristiques générales</w:t>
      </w:r>
    </w:p>
    <w:p w14:paraId="0BDC874F" w14:textId="77777777" w:rsidR="00772179" w:rsidRDefault="00000000">
      <w:pPr>
        <w:jc w:val="both"/>
      </w:pPr>
      <w:r>
        <w:rPr>
          <w:b/>
        </w:rPr>
        <w:t>Profilés</w:t>
      </w:r>
      <w:r>
        <w:t xml:space="preserve"> : </w:t>
      </w:r>
      <w:r>
        <w:rPr>
          <w:rStyle w:val="optioncarChar"/>
        </w:rPr>
        <w:t xml:space="preserve">en bois </w:t>
      </w:r>
      <w:r>
        <w:t>(par défaut)</w:t>
      </w:r>
      <w:r>
        <w:rPr>
          <w:rStyle w:val="optioncarChar"/>
        </w:rPr>
        <w:t xml:space="preserve"> / métalliques</w:t>
      </w:r>
    </w:p>
    <w:p w14:paraId="263FABCE" w14:textId="77777777" w:rsidR="00772179" w:rsidRDefault="00000000">
      <w:pPr>
        <w:jc w:val="both"/>
      </w:pPr>
      <w:r>
        <w:rPr>
          <w:b/>
        </w:rPr>
        <w:t>(soit par défaut)</w:t>
      </w:r>
    </w:p>
    <w:p w14:paraId="73AEC9F6" w14:textId="77777777" w:rsidR="00772179" w:rsidRDefault="00000000">
      <w:pPr>
        <w:jc w:val="both"/>
      </w:pPr>
      <w:r>
        <w:rPr>
          <w:rStyle w:val="soitChar"/>
          <w:u w:val="single"/>
        </w:rPr>
        <w:t>Profilés en bois</w:t>
      </w:r>
      <w:r>
        <w:rPr>
          <w:rStyle w:val="soitChar"/>
        </w:rPr>
        <w:t xml:space="preserve"> tels que décrits au </w:t>
      </w:r>
      <w:hyperlink w:anchor="985" w:history="1">
        <w:r>
          <w:rPr>
            <w:rStyle w:val="soitChar"/>
            <w:color w:val="0000EE"/>
          </w:rPr>
          <w:t>43.11.1 Profilés de support continu en bois du revêtement de façade</w:t>
        </w:r>
      </w:hyperlink>
      <w:r>
        <w:rPr>
          <w:rStyle w:val="soitChar"/>
        </w:rPr>
        <w:t>.</w:t>
      </w:r>
    </w:p>
    <w:p w14:paraId="1386D130" w14:textId="77777777" w:rsidR="00772179" w:rsidRDefault="00000000">
      <w:pPr>
        <w:jc w:val="both"/>
      </w:pPr>
      <w:r>
        <w:rPr>
          <w:b/>
        </w:rPr>
        <w:t>(soit)</w:t>
      </w:r>
    </w:p>
    <w:p w14:paraId="3613EACA" w14:textId="77777777" w:rsidR="00772179" w:rsidRDefault="00000000">
      <w:pPr>
        <w:jc w:val="both"/>
      </w:pPr>
      <w:r>
        <w:rPr>
          <w:rStyle w:val="soitChar"/>
          <w:u w:val="single"/>
        </w:rPr>
        <w:t>Profilés métalliques</w:t>
      </w:r>
      <w:r>
        <w:rPr>
          <w:rStyle w:val="soitChar"/>
        </w:rPr>
        <w:t xml:space="preserve"> tels que décrits au </w:t>
      </w:r>
      <w:hyperlink w:anchor="993" w:history="1">
        <w:r>
          <w:rPr>
            <w:rStyle w:val="soitChar"/>
            <w:color w:val="0000EE"/>
          </w:rPr>
          <w:t>43.11.2 Profilés de support continu métallique du revêtement de façade</w:t>
        </w:r>
      </w:hyperlink>
      <w:r>
        <w:rPr>
          <w:rStyle w:val="soitChar"/>
        </w:rPr>
        <w:t>.</w:t>
      </w:r>
    </w:p>
    <w:p w14:paraId="352324BF" w14:textId="77777777" w:rsidR="00772179" w:rsidRDefault="00000000">
      <w:pPr>
        <w:jc w:val="both"/>
      </w:pPr>
      <w:r>
        <w:rPr>
          <w:b/>
        </w:rPr>
        <w:t>Isolation</w:t>
      </w:r>
      <w:r>
        <w:t xml:space="preserve"> :  </w:t>
      </w:r>
      <w:r>
        <w:rPr>
          <w:rStyle w:val="optioncarChar"/>
        </w:rPr>
        <w:t xml:space="preserve">oui </w:t>
      </w:r>
      <w:r>
        <w:t>(par défaut)</w:t>
      </w:r>
      <w:r>
        <w:rPr>
          <w:rStyle w:val="optioncarChar"/>
        </w:rPr>
        <w:t xml:space="preserve"> / non</w:t>
      </w:r>
    </w:p>
    <w:p w14:paraId="2045734E" w14:textId="77777777" w:rsidR="00772179" w:rsidRDefault="00000000">
      <w:pPr>
        <w:jc w:val="both"/>
      </w:pPr>
      <w:r>
        <w:rPr>
          <w:b/>
        </w:rPr>
        <w:t>(soit par défaut)</w:t>
      </w:r>
    </w:p>
    <w:p w14:paraId="2365287E" w14:textId="77777777" w:rsidR="00772179" w:rsidRDefault="00000000">
      <w:pPr>
        <w:jc w:val="both"/>
      </w:pPr>
      <w:r>
        <w:rPr>
          <w:rStyle w:val="soitChar"/>
          <w:u w:val="single"/>
        </w:rPr>
        <w:t>Isolation</w:t>
      </w:r>
      <w:r>
        <w:rPr>
          <w:rStyle w:val="soitChar"/>
        </w:rPr>
        <w:t xml:space="preserve"> suivant descriptif au 26.4 Isolation,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w:t>
      </w:r>
      <w:r>
        <w:rPr>
          <w:rStyle w:val="optioncarChar"/>
        </w:rPr>
        <w:t>***</w:t>
      </w:r>
      <w:r>
        <w:t>.</w:t>
      </w:r>
    </w:p>
    <w:p w14:paraId="7ACF233D" w14:textId="77777777" w:rsidR="00772179" w:rsidRDefault="00000000">
      <w:pPr>
        <w:jc w:val="both"/>
      </w:pPr>
      <w:r>
        <w:rPr>
          <w:b/>
        </w:rPr>
        <w:t>(soit)</w:t>
      </w:r>
    </w:p>
    <w:p w14:paraId="7787E793" w14:textId="77777777" w:rsidR="00772179" w:rsidRDefault="00000000">
      <w:pPr>
        <w:jc w:val="both"/>
      </w:pPr>
      <w:r>
        <w:rPr>
          <w:rStyle w:val="soitChar"/>
          <w:u w:val="single"/>
        </w:rPr>
        <w:t>Pas d’isolation</w:t>
      </w:r>
    </w:p>
    <w:p w14:paraId="33CBDB87" w14:textId="77777777" w:rsidR="00772179" w:rsidRDefault="00000000">
      <w:pPr>
        <w:jc w:val="both"/>
      </w:pPr>
      <w:r>
        <w:rPr>
          <w:b/>
        </w:rPr>
        <w:t>Pare-pluie</w:t>
      </w:r>
      <w:r>
        <w:t xml:space="preserve"> : </w:t>
      </w:r>
      <w:r>
        <w:rPr>
          <w:rStyle w:val="optioncarChar"/>
        </w:rPr>
        <w:t xml:space="preserve">oui </w:t>
      </w:r>
      <w:r>
        <w:t>(par défaut)</w:t>
      </w:r>
      <w:r>
        <w:rPr>
          <w:rStyle w:val="optioncarChar"/>
        </w:rPr>
        <w:t xml:space="preserve"> / non</w:t>
      </w:r>
    </w:p>
    <w:p w14:paraId="2EB19DE4" w14:textId="77777777" w:rsidR="00772179" w:rsidRDefault="00000000">
      <w:pPr>
        <w:jc w:val="both"/>
      </w:pPr>
      <w:r>
        <w:rPr>
          <w:b/>
        </w:rPr>
        <w:t>(soit par défaut)</w:t>
      </w:r>
    </w:p>
    <w:p w14:paraId="6F02F11E" w14:textId="77777777" w:rsidR="00772179" w:rsidRDefault="00000000">
      <w:pPr>
        <w:jc w:val="both"/>
      </w:pPr>
      <w:r>
        <w:rPr>
          <w:rStyle w:val="soitChar"/>
          <w:u w:val="single"/>
        </w:rPr>
        <w:t>Pare-pluie</w:t>
      </w:r>
      <w:r>
        <w:rPr>
          <w:rStyle w:val="soitChar"/>
        </w:rPr>
        <w:t xml:space="preserve"> posé sur l’ensemble de la surface de façade avec raccord aux baies tel que décrit sous </w:t>
      </w:r>
      <w:hyperlink w:anchor="994" w:history="1">
        <w:r>
          <w:rPr>
            <w:rStyle w:val="soitChar"/>
            <w:color w:val="0000EE"/>
          </w:rPr>
          <w:t>44.13 Pare-pluie souples</w:t>
        </w:r>
      </w:hyperlink>
      <w:r>
        <w:rPr>
          <w:rStyle w:val="soitChar"/>
        </w:rPr>
        <w:t xml:space="preserve"> / </w:t>
      </w:r>
      <w:hyperlink w:anchor="995" w:history="1">
        <w:r>
          <w:rPr>
            <w:rStyle w:val="soitChar"/>
            <w:color w:val="0000EE"/>
          </w:rPr>
          <w:t>44.14 Pare-pluie rigides</w:t>
        </w:r>
      </w:hyperlink>
    </w:p>
    <w:p w14:paraId="5EE8FC11" w14:textId="77777777" w:rsidR="00772179" w:rsidRDefault="00000000">
      <w:pPr>
        <w:jc w:val="both"/>
      </w:pPr>
      <w:r>
        <w:rPr>
          <w:b/>
        </w:rPr>
        <w:t>(soit)</w:t>
      </w:r>
    </w:p>
    <w:p w14:paraId="2B1AEEDF" w14:textId="77777777" w:rsidR="00772179" w:rsidRDefault="00000000">
      <w:pPr>
        <w:jc w:val="both"/>
      </w:pPr>
      <w:r>
        <w:rPr>
          <w:rStyle w:val="soitChar"/>
          <w:u w:val="single"/>
        </w:rPr>
        <w:t>Pas de pare-pluie</w:t>
      </w:r>
    </w:p>
    <w:p w14:paraId="434A9A8F" w14:textId="77777777" w:rsidR="00772179" w:rsidRDefault="00000000">
      <w:pPr>
        <w:jc w:val="both"/>
      </w:pPr>
      <w:r>
        <w:rPr>
          <w:rStyle w:val="soitChar"/>
        </w:rPr>
        <w:t>Planches et panneaux de bois composite : extrudés à base de particules de bois, de PVC et de pigments minéraux.</w:t>
      </w:r>
    </w:p>
    <w:p w14:paraId="2018269C" w14:textId="77777777" w:rsidR="00772179" w:rsidRDefault="00000000">
      <w:pPr>
        <w:pStyle w:val="Author-eListParagraph"/>
        <w:numPr>
          <w:ilvl w:val="0"/>
          <w:numId w:val="949"/>
        </w:numPr>
      </w:pPr>
      <w:r>
        <w:rPr>
          <w:rStyle w:val="soitChar"/>
        </w:rPr>
        <w:t>Densité :</w:t>
      </w:r>
      <w:r>
        <w:t xml:space="preserve">   </w:t>
      </w:r>
      <w:r>
        <w:rPr>
          <w:rStyle w:val="optioncarChar"/>
        </w:rPr>
        <w:t>± 1400</w:t>
      </w:r>
      <w:r>
        <w:t xml:space="preserve"> (par défaut) </w:t>
      </w:r>
      <w:r>
        <w:rPr>
          <w:rStyle w:val="optioncarChar"/>
        </w:rPr>
        <w:t>/ ***</w:t>
      </w:r>
      <w:r>
        <w:t>  </w:t>
      </w:r>
      <w:r>
        <w:rPr>
          <w:rStyle w:val="soitChar"/>
        </w:rPr>
        <w:t>kg/m</w:t>
      </w:r>
      <w:r>
        <w:rPr>
          <w:rStyle w:val="soitChar"/>
          <w:vertAlign w:val="superscript"/>
        </w:rPr>
        <w:t>3</w:t>
      </w:r>
    </w:p>
    <w:p w14:paraId="598DED29" w14:textId="77777777" w:rsidR="00772179" w:rsidRDefault="00000000">
      <w:pPr>
        <w:pStyle w:val="Author-eListParagraph"/>
        <w:numPr>
          <w:ilvl w:val="0"/>
          <w:numId w:val="949"/>
        </w:numPr>
      </w:pPr>
      <w:r>
        <w:rPr>
          <w:rStyle w:val="soitChar"/>
        </w:rPr>
        <w:t>Classe d’utilisation suivant [NBN EN 335] :</w:t>
      </w:r>
      <w:r>
        <w:t xml:space="preserve">   </w:t>
      </w:r>
      <w:r>
        <w:rPr>
          <w:rStyle w:val="optioncarChar"/>
        </w:rPr>
        <w:t>4</w:t>
      </w:r>
      <w:r>
        <w:t xml:space="preserve"> (par défaut) </w:t>
      </w:r>
      <w:r>
        <w:rPr>
          <w:rStyle w:val="optioncarChar"/>
        </w:rPr>
        <w:t>/ 3</w:t>
      </w:r>
    </w:p>
    <w:p w14:paraId="34D02A77" w14:textId="77777777" w:rsidR="00772179" w:rsidRDefault="00000000">
      <w:pPr>
        <w:pStyle w:val="Author-eListParagraph"/>
        <w:numPr>
          <w:ilvl w:val="0"/>
          <w:numId w:val="949"/>
        </w:numPr>
      </w:pPr>
      <w:r>
        <w:rPr>
          <w:rStyle w:val="soitChar"/>
        </w:rPr>
        <w:t>Durabilité suivant [NBN EN 350] : classe 1.</w:t>
      </w:r>
    </w:p>
    <w:p w14:paraId="30F9F8A3" w14:textId="77777777" w:rsidR="00772179" w:rsidRDefault="00000000">
      <w:pPr>
        <w:pStyle w:val="Author-eListParagraph"/>
        <w:numPr>
          <w:ilvl w:val="0"/>
          <w:numId w:val="949"/>
        </w:numPr>
      </w:pPr>
      <w:r>
        <w:rPr>
          <w:rStyle w:val="soitChar"/>
        </w:rPr>
        <w:t>Réaction au feu :  E</w:t>
      </w:r>
    </w:p>
    <w:p w14:paraId="00C46427" w14:textId="77777777" w:rsidR="00772179" w:rsidRDefault="00000000">
      <w:pPr>
        <w:jc w:val="both"/>
      </w:pPr>
      <w:r>
        <w:rPr>
          <w:rStyle w:val="optioncarChar"/>
        </w:rPr>
        <w:t>Planches tubulaires à rainure et languette lisses </w:t>
      </w:r>
      <w:r>
        <w:t xml:space="preserve">(par défaut) </w:t>
      </w:r>
      <w:r>
        <w:rPr>
          <w:rStyle w:val="optioncarChar"/>
        </w:rPr>
        <w:t>/ Planches à emboitement avec aspect claire-voie / Planches pour bardage ajouré</w:t>
      </w:r>
    </w:p>
    <w:p w14:paraId="0942E4F8" w14:textId="77777777" w:rsidR="00772179" w:rsidRDefault="00000000">
      <w:pPr>
        <w:jc w:val="both"/>
      </w:pPr>
      <w:r>
        <w:rPr>
          <w:b/>
        </w:rPr>
        <w:t>(soit par défaut)</w:t>
      </w:r>
    </w:p>
    <w:p w14:paraId="6656A56E" w14:textId="77777777" w:rsidR="00772179" w:rsidRDefault="00000000">
      <w:pPr>
        <w:jc w:val="both"/>
      </w:pPr>
      <w:r>
        <w:rPr>
          <w:rStyle w:val="soitChar"/>
          <w:u w:val="single"/>
        </w:rPr>
        <w:t xml:space="preserve">Planches tubulaires à rainure et languette lisses : </w:t>
      </w:r>
    </w:p>
    <w:p w14:paraId="2515602A" w14:textId="77777777" w:rsidR="00772179" w:rsidRDefault="00000000">
      <w:pPr>
        <w:jc w:val="both"/>
      </w:pPr>
      <w:r>
        <w:rPr>
          <w:rStyle w:val="soitChar"/>
        </w:rPr>
        <w:t>Dimensions :</w:t>
      </w:r>
    </w:p>
    <w:p w14:paraId="4016FC55" w14:textId="77777777" w:rsidR="00772179" w:rsidRDefault="00000000">
      <w:pPr>
        <w:pStyle w:val="Author-eListParagraph"/>
        <w:numPr>
          <w:ilvl w:val="0"/>
          <w:numId w:val="950"/>
        </w:numPr>
      </w:pPr>
      <w:r>
        <w:rPr>
          <w:rStyle w:val="soitChar"/>
        </w:rPr>
        <w:t>Epaisseur de la planche :</w:t>
      </w:r>
      <w:r>
        <w:t xml:space="preserve">   </w:t>
      </w:r>
      <w:r>
        <w:rPr>
          <w:rStyle w:val="optioncarChar"/>
        </w:rPr>
        <w:t xml:space="preserve">14 </w:t>
      </w:r>
      <w:r>
        <w:t>(par défaut)</w:t>
      </w:r>
      <w:r>
        <w:rPr>
          <w:rStyle w:val="optioncarChar"/>
        </w:rPr>
        <w:t xml:space="preserve"> / 13 / ***</w:t>
      </w:r>
      <w:r>
        <w:t>  </w:t>
      </w:r>
      <w:r>
        <w:rPr>
          <w:rStyle w:val="soitChar"/>
        </w:rPr>
        <w:t>mm</w:t>
      </w:r>
    </w:p>
    <w:p w14:paraId="4CDB10E2" w14:textId="77777777" w:rsidR="00772179" w:rsidRDefault="00000000">
      <w:pPr>
        <w:pStyle w:val="Author-eListParagraph"/>
        <w:numPr>
          <w:ilvl w:val="0"/>
          <w:numId w:val="950"/>
        </w:numPr>
      </w:pPr>
      <w:r>
        <w:rPr>
          <w:rStyle w:val="soitChar"/>
        </w:rPr>
        <w:t>Longueur :</w:t>
      </w:r>
      <w:r>
        <w:t>   </w:t>
      </w:r>
      <w:r>
        <w:rPr>
          <w:rStyle w:val="optioncarChar"/>
        </w:rPr>
        <w:t xml:space="preserve">3000 </w:t>
      </w:r>
      <w:r>
        <w:t>(par défaut)</w:t>
      </w:r>
      <w:r>
        <w:rPr>
          <w:rStyle w:val="optioncarChar"/>
        </w:rPr>
        <w:t xml:space="preserve"> / 3600 / 6000 / ***</w:t>
      </w:r>
      <w:r>
        <w:t>  </w:t>
      </w:r>
      <w:r>
        <w:rPr>
          <w:rStyle w:val="soitChar"/>
        </w:rPr>
        <w:t>mm</w:t>
      </w:r>
    </w:p>
    <w:p w14:paraId="0B239D4C" w14:textId="77777777" w:rsidR="00772179" w:rsidRDefault="00000000">
      <w:pPr>
        <w:pStyle w:val="Author-eListParagraph"/>
        <w:numPr>
          <w:ilvl w:val="0"/>
          <w:numId w:val="950"/>
        </w:numPr>
      </w:pPr>
      <w:r>
        <w:rPr>
          <w:rStyle w:val="soitChar"/>
        </w:rPr>
        <w:t>Hauteur :</w:t>
      </w:r>
      <w:r>
        <w:t xml:space="preserve">   </w:t>
      </w:r>
      <w:r>
        <w:rPr>
          <w:rStyle w:val="optioncarChar"/>
        </w:rPr>
        <w:t xml:space="preserve">170 </w:t>
      </w:r>
      <w:r>
        <w:t>(par défaut)</w:t>
      </w:r>
      <w:r>
        <w:rPr>
          <w:rStyle w:val="optioncarChar"/>
        </w:rPr>
        <w:t xml:space="preserve"> / ***</w:t>
      </w:r>
      <w:r>
        <w:t>  </w:t>
      </w:r>
      <w:r>
        <w:rPr>
          <w:rStyle w:val="soitChar"/>
        </w:rPr>
        <w:t>mm</w:t>
      </w:r>
    </w:p>
    <w:p w14:paraId="7056355D" w14:textId="77777777" w:rsidR="00772179" w:rsidRDefault="00000000">
      <w:pPr>
        <w:jc w:val="both"/>
      </w:pPr>
      <w:r>
        <w:rPr>
          <w:b/>
        </w:rPr>
        <w:t>(soit)</w:t>
      </w:r>
    </w:p>
    <w:p w14:paraId="364A18F0" w14:textId="77777777" w:rsidR="00772179" w:rsidRDefault="00000000">
      <w:pPr>
        <w:jc w:val="both"/>
      </w:pPr>
      <w:r>
        <w:rPr>
          <w:rStyle w:val="soitChar"/>
          <w:u w:val="single"/>
        </w:rPr>
        <w:t xml:space="preserve">Planches à emboitement avec aspect claire-voie : </w:t>
      </w:r>
    </w:p>
    <w:p w14:paraId="53AB753F" w14:textId="77777777" w:rsidR="00772179" w:rsidRDefault="00000000">
      <w:pPr>
        <w:jc w:val="both"/>
      </w:pPr>
      <w:r>
        <w:rPr>
          <w:rStyle w:val="soitChar"/>
        </w:rPr>
        <w:t>Dimensions :</w:t>
      </w:r>
    </w:p>
    <w:p w14:paraId="73BDC55B" w14:textId="77777777" w:rsidR="00772179" w:rsidRDefault="00000000">
      <w:pPr>
        <w:pStyle w:val="Author-eListParagraph"/>
        <w:numPr>
          <w:ilvl w:val="0"/>
          <w:numId w:val="951"/>
        </w:numPr>
      </w:pPr>
      <w:r>
        <w:rPr>
          <w:rStyle w:val="soitChar"/>
        </w:rPr>
        <w:lastRenderedPageBreak/>
        <w:t>Epaisseur de la matière :</w:t>
      </w:r>
      <w:r>
        <w:t xml:space="preserve">   </w:t>
      </w:r>
      <w:r>
        <w:rPr>
          <w:rStyle w:val="optioncarChar"/>
        </w:rPr>
        <w:t xml:space="preserve">4,5 </w:t>
      </w:r>
      <w:r>
        <w:t xml:space="preserve">(par défaut) </w:t>
      </w:r>
      <w:r>
        <w:rPr>
          <w:rStyle w:val="optioncarChar"/>
        </w:rPr>
        <w:t>/ ***</w:t>
      </w:r>
      <w:r>
        <w:t>  </w:t>
      </w:r>
      <w:r>
        <w:rPr>
          <w:rStyle w:val="soitChar"/>
        </w:rPr>
        <w:t>mm</w:t>
      </w:r>
    </w:p>
    <w:p w14:paraId="52491B3C" w14:textId="77777777" w:rsidR="00772179" w:rsidRDefault="00000000">
      <w:pPr>
        <w:pStyle w:val="Author-eListParagraph"/>
        <w:numPr>
          <w:ilvl w:val="0"/>
          <w:numId w:val="951"/>
        </w:numPr>
      </w:pPr>
      <w:r>
        <w:rPr>
          <w:rStyle w:val="soitChar"/>
        </w:rPr>
        <w:t>Epaisseur totale onde comprise :</w:t>
      </w:r>
      <w:r>
        <w:t xml:space="preserve">   </w:t>
      </w:r>
      <w:r>
        <w:rPr>
          <w:rStyle w:val="optioncarChar"/>
        </w:rPr>
        <w:t xml:space="preserve">± 33 </w:t>
      </w:r>
      <w:r>
        <w:t xml:space="preserve">(par défaut) </w:t>
      </w:r>
      <w:r>
        <w:rPr>
          <w:rStyle w:val="optioncarChar"/>
        </w:rPr>
        <w:t>/ ± 28,5 / ***</w:t>
      </w:r>
      <w:r>
        <w:t>  </w:t>
      </w:r>
      <w:r>
        <w:rPr>
          <w:rStyle w:val="soitChar"/>
        </w:rPr>
        <w:t>mm</w:t>
      </w:r>
    </w:p>
    <w:p w14:paraId="59A6AB48" w14:textId="77777777" w:rsidR="00772179" w:rsidRDefault="00000000">
      <w:pPr>
        <w:pStyle w:val="Author-eListParagraph"/>
        <w:numPr>
          <w:ilvl w:val="0"/>
          <w:numId w:val="951"/>
        </w:numPr>
      </w:pPr>
      <w:r>
        <w:rPr>
          <w:rStyle w:val="soitChar"/>
        </w:rPr>
        <w:t>Profil à creux de 10x20 mm :</w:t>
      </w:r>
      <w:r>
        <w:t>  </w:t>
      </w:r>
      <w:r>
        <w:rPr>
          <w:rStyle w:val="optioncarChar"/>
        </w:rPr>
        <w:t xml:space="preserve">2 ondes </w:t>
      </w:r>
      <w:r>
        <w:t>(par défaut)</w:t>
      </w:r>
      <w:r>
        <w:rPr>
          <w:rStyle w:val="optioncarChar"/>
        </w:rPr>
        <w:t xml:space="preserve"> / 3 ondes / ***</w:t>
      </w:r>
    </w:p>
    <w:p w14:paraId="6A05C4DE" w14:textId="77777777" w:rsidR="00772179" w:rsidRDefault="00000000">
      <w:pPr>
        <w:pStyle w:val="Author-eListParagraph"/>
        <w:numPr>
          <w:ilvl w:val="0"/>
          <w:numId w:val="951"/>
        </w:numPr>
      </w:pPr>
      <w:r>
        <w:rPr>
          <w:rStyle w:val="soitChar"/>
        </w:rPr>
        <w:t>Longueur :</w:t>
      </w:r>
      <w:r>
        <w:t xml:space="preserve">   </w:t>
      </w:r>
      <w:r>
        <w:rPr>
          <w:rStyle w:val="optioncarChar"/>
        </w:rPr>
        <w:t>3600</w:t>
      </w:r>
      <w:r>
        <w:t xml:space="preserve"> (par défaut) </w:t>
      </w:r>
      <w:r>
        <w:rPr>
          <w:rStyle w:val="optioncarChar"/>
        </w:rPr>
        <w:t>/ 3250 / ***</w:t>
      </w:r>
      <w:r>
        <w:t>  </w:t>
      </w:r>
      <w:r>
        <w:rPr>
          <w:rStyle w:val="soitChar"/>
        </w:rPr>
        <w:t>mm</w:t>
      </w:r>
    </w:p>
    <w:p w14:paraId="7A5E5F12" w14:textId="77777777" w:rsidR="00772179" w:rsidRDefault="00000000">
      <w:pPr>
        <w:pStyle w:val="Author-eListParagraph"/>
        <w:numPr>
          <w:ilvl w:val="0"/>
          <w:numId w:val="951"/>
        </w:numPr>
      </w:pPr>
      <w:r>
        <w:rPr>
          <w:rStyle w:val="soitChar"/>
        </w:rPr>
        <w:t>Hauteur :</w:t>
      </w:r>
      <w:r>
        <w:t xml:space="preserve">   </w:t>
      </w:r>
      <w:r>
        <w:rPr>
          <w:rStyle w:val="optioncarChar"/>
        </w:rPr>
        <w:t xml:space="preserve">170 </w:t>
      </w:r>
      <w:r>
        <w:t xml:space="preserve">(par défaut) </w:t>
      </w:r>
      <w:r>
        <w:rPr>
          <w:rStyle w:val="optioncarChar"/>
        </w:rPr>
        <w:t>/ ***</w:t>
      </w:r>
      <w:r>
        <w:t>  </w:t>
      </w:r>
      <w:r>
        <w:rPr>
          <w:rStyle w:val="soitChar"/>
        </w:rPr>
        <w:t>mm</w:t>
      </w:r>
    </w:p>
    <w:p w14:paraId="1172415C" w14:textId="77777777" w:rsidR="00772179" w:rsidRDefault="00000000">
      <w:pPr>
        <w:jc w:val="both"/>
      </w:pPr>
      <w:r>
        <w:rPr>
          <w:b/>
        </w:rPr>
        <w:t>(soit)</w:t>
      </w:r>
    </w:p>
    <w:p w14:paraId="674217CC" w14:textId="77777777" w:rsidR="00772179" w:rsidRDefault="00000000">
      <w:pPr>
        <w:jc w:val="both"/>
      </w:pPr>
      <w:r>
        <w:rPr>
          <w:rStyle w:val="soitChar"/>
          <w:u w:val="single"/>
        </w:rPr>
        <w:t xml:space="preserve">Planches pour bardage ajouré : </w:t>
      </w:r>
    </w:p>
    <w:p w14:paraId="6D97E1D8" w14:textId="77777777" w:rsidR="00772179" w:rsidRDefault="00000000">
      <w:pPr>
        <w:jc w:val="both"/>
      </w:pPr>
      <w:r>
        <w:rPr>
          <w:rStyle w:val="soitChar"/>
        </w:rPr>
        <w:t>Dimensions :</w:t>
      </w:r>
    </w:p>
    <w:p w14:paraId="76C01B85" w14:textId="77777777" w:rsidR="00772179" w:rsidRDefault="00000000">
      <w:pPr>
        <w:pStyle w:val="Author-eListParagraph"/>
        <w:numPr>
          <w:ilvl w:val="0"/>
          <w:numId w:val="952"/>
        </w:numPr>
      </w:pPr>
      <w:r>
        <w:rPr>
          <w:rStyle w:val="soitChar"/>
        </w:rPr>
        <w:t>Epaisseur :</w:t>
      </w:r>
      <w:r>
        <w:t xml:space="preserve">   </w:t>
      </w:r>
      <w:r>
        <w:rPr>
          <w:rStyle w:val="optioncarChar"/>
        </w:rPr>
        <w:t xml:space="preserve">10 </w:t>
      </w:r>
      <w:r>
        <w:t>(par défaut)</w:t>
      </w:r>
      <w:r>
        <w:rPr>
          <w:rStyle w:val="optioncarChar"/>
        </w:rPr>
        <w:t xml:space="preserve"> / ***</w:t>
      </w:r>
      <w:r>
        <w:t>  </w:t>
      </w:r>
      <w:r>
        <w:rPr>
          <w:rStyle w:val="soitChar"/>
        </w:rPr>
        <w:t>mm</w:t>
      </w:r>
    </w:p>
    <w:p w14:paraId="42ECA77D" w14:textId="77777777" w:rsidR="00772179" w:rsidRDefault="00000000">
      <w:pPr>
        <w:pStyle w:val="Author-eListParagraph"/>
        <w:numPr>
          <w:ilvl w:val="0"/>
          <w:numId w:val="952"/>
        </w:numPr>
      </w:pPr>
      <w:r>
        <w:rPr>
          <w:rStyle w:val="soitChar"/>
        </w:rPr>
        <w:t>Longueur :</w:t>
      </w:r>
      <w:r>
        <w:t>   </w:t>
      </w:r>
      <w:r>
        <w:rPr>
          <w:rStyle w:val="optioncarChar"/>
        </w:rPr>
        <w:t xml:space="preserve">3000 </w:t>
      </w:r>
      <w:r>
        <w:t>(par défaut)</w:t>
      </w:r>
      <w:r>
        <w:rPr>
          <w:rStyle w:val="optioncarChar"/>
        </w:rPr>
        <w:t xml:space="preserve"> / ***</w:t>
      </w:r>
      <w:r>
        <w:t>  </w:t>
      </w:r>
      <w:r>
        <w:rPr>
          <w:rStyle w:val="soitChar"/>
        </w:rPr>
        <w:t>mm</w:t>
      </w:r>
    </w:p>
    <w:p w14:paraId="0BE24F17" w14:textId="77777777" w:rsidR="00772179" w:rsidRDefault="00000000">
      <w:pPr>
        <w:pStyle w:val="Author-eListParagraph"/>
        <w:numPr>
          <w:ilvl w:val="0"/>
          <w:numId w:val="952"/>
        </w:numPr>
      </w:pPr>
      <w:r>
        <w:rPr>
          <w:rStyle w:val="soitChar"/>
        </w:rPr>
        <w:t>Hauteur :</w:t>
      </w:r>
      <w:r>
        <w:t xml:space="preserve">   </w:t>
      </w:r>
      <w:r>
        <w:rPr>
          <w:rStyle w:val="optioncarChar"/>
        </w:rPr>
        <w:t xml:space="preserve">80 </w:t>
      </w:r>
      <w:r>
        <w:t>(par défaut)</w:t>
      </w:r>
      <w:r>
        <w:rPr>
          <w:rStyle w:val="optioncarChar"/>
        </w:rPr>
        <w:t xml:space="preserve"> / ***</w:t>
      </w:r>
      <w:r>
        <w:t>  </w:t>
      </w:r>
      <w:r>
        <w:rPr>
          <w:rStyle w:val="soitChar"/>
        </w:rPr>
        <w:t>mm</w:t>
      </w:r>
    </w:p>
    <w:p w14:paraId="0400CF52" w14:textId="77777777" w:rsidR="00772179" w:rsidRDefault="00772179"/>
    <w:p w14:paraId="2E1E257A" w14:textId="77777777" w:rsidR="00772179" w:rsidRDefault="00000000">
      <w:pPr>
        <w:jc w:val="both"/>
      </w:pPr>
      <w:r>
        <w:rPr>
          <w:b/>
        </w:rPr>
        <w:t>Aspects environnementaux : </w:t>
      </w:r>
    </w:p>
    <w:p w14:paraId="559084FF" w14:textId="77777777" w:rsidR="00772179" w:rsidRDefault="00000000">
      <w:pPr>
        <w:jc w:val="both"/>
      </w:pPr>
      <w:r>
        <w:t>Le produit dispose d’un EPD garantissant la réutilisation des déchets de découpe en cours de fabrication.</w:t>
      </w:r>
    </w:p>
    <w:p w14:paraId="244B1603" w14:textId="77777777" w:rsidR="00772179" w:rsidRDefault="00000000">
      <w:pPr>
        <w:jc w:val="both"/>
      </w:pPr>
      <w:r>
        <w:t xml:space="preserve">Le bois composite comporte ≥ </w:t>
      </w:r>
      <w:r>
        <w:rPr>
          <w:rStyle w:val="optioncarChar"/>
        </w:rPr>
        <w:t xml:space="preserve">50 </w:t>
      </w:r>
      <w:r>
        <w:t>(par défaut)</w:t>
      </w:r>
      <w:r>
        <w:rPr>
          <w:rStyle w:val="optioncarChar"/>
        </w:rPr>
        <w:t xml:space="preserve"> / 75 / ***</w:t>
      </w:r>
      <w:r>
        <w:t xml:space="preserve"> % de fibres de bois.</w:t>
      </w:r>
    </w:p>
    <w:p w14:paraId="6F982FBA" w14:textId="77777777" w:rsidR="00772179" w:rsidRDefault="00000000">
      <w:pPr>
        <w:jc w:val="both"/>
      </w:pPr>
      <w:r>
        <w:t xml:space="preserve">Le bois composite comporte ≥ </w:t>
      </w:r>
      <w:r>
        <w:rPr>
          <w:rStyle w:val="optioncarChar"/>
        </w:rPr>
        <w:t xml:space="preserve">35 </w:t>
      </w:r>
      <w:r>
        <w:t xml:space="preserve">(par défaut) </w:t>
      </w:r>
      <w:r>
        <w:rPr>
          <w:rStyle w:val="optioncarChar"/>
        </w:rPr>
        <w:t>/ ***</w:t>
      </w:r>
      <w:r>
        <w:t xml:space="preserve"> % de polyéthylène recyclé.</w:t>
      </w:r>
    </w:p>
    <w:p w14:paraId="3C6BED14" w14:textId="77777777" w:rsidR="00772179" w:rsidRDefault="00000000">
      <w:pPr>
        <w:jc w:val="both"/>
      </w:pPr>
      <w:r>
        <w:t xml:space="preserve">Les fibres de bois sont issues de forêts </w:t>
      </w:r>
      <w:r>
        <w:rPr>
          <w:rStyle w:val="optioncarChar"/>
        </w:rPr>
        <w:t>européennes</w:t>
      </w:r>
      <w:r>
        <w:t xml:space="preserve"> (par défaut)</w:t>
      </w:r>
      <w:r>
        <w:rPr>
          <w:rStyle w:val="optioncarChar"/>
        </w:rPr>
        <w:t xml:space="preserve"> / ***</w:t>
      </w:r>
      <w:r>
        <w:t>.</w:t>
      </w:r>
    </w:p>
    <w:p w14:paraId="1372F182" w14:textId="77777777" w:rsidR="00772179" w:rsidRDefault="00000000">
      <w:pPr>
        <w:jc w:val="both"/>
      </w:pPr>
      <w:r>
        <w:t>Le bois est issu de forêts gérées durablement suivant prescriptions de l’élément 02.42.4 Bois provenant de forêts gérées durablement.</w:t>
      </w:r>
    </w:p>
    <w:p w14:paraId="3BA7C884" w14:textId="77777777" w:rsidR="00772179" w:rsidRDefault="00000000">
      <w:pPr>
        <w:jc w:val="both"/>
      </w:pPr>
      <w:r>
        <w:t>Les matériaux sont recyclables.</w:t>
      </w:r>
    </w:p>
    <w:p w14:paraId="2EC443F3" w14:textId="77777777" w:rsidR="00772179" w:rsidRDefault="00000000">
      <w:pPr>
        <w:jc w:val="both"/>
      </w:pPr>
      <w:r>
        <w:t>La mise en œuvre par fixation mécanique permet le démontage non destructif des planches.</w:t>
      </w:r>
    </w:p>
    <w:p w14:paraId="3A6F8C82" w14:textId="77777777" w:rsidR="00772179" w:rsidRDefault="00000000">
      <w:pPr>
        <w:pStyle w:val="pheading"/>
      </w:pPr>
      <w:r>
        <w:t>- Finitions</w:t>
      </w:r>
    </w:p>
    <w:p w14:paraId="646E18C9" w14:textId="77777777" w:rsidR="00772179" w:rsidRDefault="00000000">
      <w:pPr>
        <w:pStyle w:val="Author-eListParagraph"/>
        <w:numPr>
          <w:ilvl w:val="0"/>
          <w:numId w:val="953"/>
        </w:numPr>
      </w:pPr>
      <w:r>
        <w:t xml:space="preserve">Finition de la surface : </w:t>
      </w:r>
      <w:r>
        <w:rPr>
          <w:rStyle w:val="optioncarChar"/>
        </w:rPr>
        <w:t xml:space="preserve">aspect bois </w:t>
      </w:r>
      <w:r>
        <w:t>(par défaut)</w:t>
      </w:r>
      <w:r>
        <w:rPr>
          <w:rStyle w:val="optioncarChar"/>
        </w:rPr>
        <w:t xml:space="preserve"> / lisse / ***</w:t>
      </w:r>
    </w:p>
    <w:p w14:paraId="6EB9D4BF" w14:textId="77777777" w:rsidR="00772179" w:rsidRDefault="00000000">
      <w:pPr>
        <w:pStyle w:val="Author-eListParagraph"/>
        <w:numPr>
          <w:ilvl w:val="0"/>
          <w:numId w:val="953"/>
        </w:numPr>
      </w:pPr>
      <w:r>
        <w:t>Mode de coloration :  </w:t>
      </w:r>
      <w:r>
        <w:rPr>
          <w:rStyle w:val="optioncarChar"/>
        </w:rPr>
        <w:t xml:space="preserve">dans la masse </w:t>
      </w:r>
      <w:r>
        <w:t>(par défaut)</w:t>
      </w:r>
      <w:r>
        <w:rPr>
          <w:rStyle w:val="optioncarChar"/>
        </w:rPr>
        <w:t xml:space="preserve"> / film PE appliqué par co-extrusion / ***</w:t>
      </w:r>
    </w:p>
    <w:p w14:paraId="6A239BA5" w14:textId="77777777" w:rsidR="00772179" w:rsidRDefault="00000000">
      <w:pPr>
        <w:pStyle w:val="Author-eListParagraph"/>
        <w:numPr>
          <w:ilvl w:val="0"/>
          <w:numId w:val="953"/>
        </w:numPr>
      </w:pPr>
      <w:r>
        <w:t xml:space="preserve">Couleur des plaques : </w:t>
      </w:r>
      <w:r>
        <w:rPr>
          <w:rStyle w:val="optioncarChar"/>
        </w:rPr>
        <w:t>à choisir par la direction de chantier (maître d’ouvrage)</w:t>
      </w:r>
      <w:r>
        <w:t xml:space="preserve"> (par défaut) </w:t>
      </w:r>
      <w:r>
        <w:rPr>
          <w:rStyle w:val="optioncarChar"/>
        </w:rPr>
        <w:t>/ ***</w:t>
      </w:r>
    </w:p>
    <w:p w14:paraId="7316F74F" w14:textId="77777777" w:rsidR="00772179" w:rsidRDefault="00000000">
      <w:pPr>
        <w:pStyle w:val="pheading"/>
      </w:pPr>
      <w:r>
        <w:t>EXÉCUTION / MISE EN ŒUVRE</w:t>
      </w:r>
    </w:p>
    <w:p w14:paraId="531A80E4" w14:textId="77777777" w:rsidR="00772179" w:rsidRDefault="00000000">
      <w:pPr>
        <w:pStyle w:val="pheading"/>
      </w:pPr>
      <w:r>
        <w:t>- Prescriptions générales</w:t>
      </w:r>
    </w:p>
    <w:p w14:paraId="3ACF99F3" w14:textId="77777777" w:rsidR="00772179" w:rsidRDefault="00000000">
      <w:pPr>
        <w:jc w:val="both"/>
      </w:pPr>
      <w:r>
        <w:t>La mise en œuvre est exécutée conformément à la documentation technique accompagnant les produits et la [NIT 243].</w:t>
      </w:r>
    </w:p>
    <w:p w14:paraId="4951C110" w14:textId="77777777" w:rsidR="00772179" w:rsidRDefault="00000000">
      <w:pPr>
        <w:jc w:val="both"/>
      </w:pPr>
      <w:r>
        <w:t>Calcul statique de la façade :  </w:t>
      </w:r>
      <w:r>
        <w:rPr>
          <w:rStyle w:val="optioncarChar"/>
        </w:rPr>
        <w:t>à charge de l’entrepreneur</w:t>
      </w:r>
      <w:r>
        <w:t xml:space="preserve"> (par défaut)</w:t>
      </w:r>
      <w:r>
        <w:rPr>
          <w:rStyle w:val="optioncarChar"/>
        </w:rPr>
        <w:t xml:space="preserve"> / du maître de l’ouvrage</w:t>
      </w:r>
      <w:r>
        <w:t>.</w:t>
      </w:r>
    </w:p>
    <w:p w14:paraId="60686F15" w14:textId="77777777" w:rsidR="00772179" w:rsidRDefault="00000000">
      <w:pPr>
        <w:jc w:val="both"/>
      </w:pPr>
      <w:r>
        <w:t>En cas d’isolation, l’entrepreneur soumet le procédé d’exécution respectant la prescription du niveau d’isolation pour accord à la direction de chantier (voir plus haut).</w:t>
      </w:r>
    </w:p>
    <w:p w14:paraId="217A6487" w14:textId="77777777" w:rsidR="00772179" w:rsidRDefault="00000000">
      <w:pPr>
        <w:jc w:val="both"/>
      </w:pPr>
      <w:r>
        <w:t>L’entrepreneur remet une description détaillée de la pose de la structure (entraxe, diamètre de fixation et nombre...) pour accord à la direction de chantier.</w:t>
      </w:r>
    </w:p>
    <w:p w14:paraId="6F6F5818" w14:textId="77777777" w:rsidR="00772179" w:rsidRDefault="00000000">
      <w:pPr>
        <w:pStyle w:val="Author-eListParagraph"/>
        <w:numPr>
          <w:ilvl w:val="0"/>
          <w:numId w:val="954"/>
        </w:numPr>
      </w:pPr>
      <w:r>
        <w:t xml:space="preserve">Réalisation d’un espace de ventilation ≥ </w:t>
      </w:r>
      <w:r>
        <w:rPr>
          <w:rStyle w:val="optioncarChar"/>
        </w:rPr>
        <w:t>30</w:t>
      </w:r>
      <w:r>
        <w:t xml:space="preserve"> (par défaut) </w:t>
      </w:r>
      <w:r>
        <w:rPr>
          <w:rStyle w:val="optioncarChar"/>
        </w:rPr>
        <w:t>/ 20</w:t>
      </w:r>
      <w:r>
        <w:t xml:space="preserve"> mm avec une grille anti-rongeurs à chaque ouverture.</w:t>
      </w:r>
    </w:p>
    <w:p w14:paraId="1D9394BF" w14:textId="77777777" w:rsidR="00772179" w:rsidRDefault="00000000">
      <w:pPr>
        <w:pStyle w:val="Author-eListParagraph"/>
        <w:numPr>
          <w:ilvl w:val="0"/>
          <w:numId w:val="954"/>
        </w:numPr>
      </w:pPr>
      <w:r>
        <w:t xml:space="preserve">Pose </w:t>
      </w:r>
      <w:r>
        <w:rPr>
          <w:rStyle w:val="optioncarChar"/>
        </w:rPr>
        <w:t xml:space="preserve">horizontale </w:t>
      </w:r>
      <w:r>
        <w:t xml:space="preserve">(par défaut) </w:t>
      </w:r>
      <w:r>
        <w:rPr>
          <w:rStyle w:val="optioncarChar"/>
        </w:rPr>
        <w:t>/ verticale</w:t>
      </w:r>
    </w:p>
    <w:p w14:paraId="41BE18F6" w14:textId="77777777" w:rsidR="00772179" w:rsidRDefault="00000000">
      <w:pPr>
        <w:pStyle w:val="Author-eListParagraph"/>
        <w:numPr>
          <w:ilvl w:val="0"/>
          <w:numId w:val="954"/>
        </w:numPr>
      </w:pPr>
      <w:r>
        <w:t xml:space="preserve">Ecartement du lattage : </w:t>
      </w:r>
      <w:r>
        <w:rPr>
          <w:rStyle w:val="optioncarChar"/>
        </w:rPr>
        <w:t xml:space="preserve">50 </w:t>
      </w:r>
      <w:r>
        <w:t>(par défaut)</w:t>
      </w:r>
      <w:r>
        <w:rPr>
          <w:rStyle w:val="optioncarChar"/>
        </w:rPr>
        <w:t xml:space="preserve"> / 40 / 30 ***</w:t>
      </w:r>
      <w:r>
        <w:t xml:space="preserve"> cm</w:t>
      </w:r>
    </w:p>
    <w:p w14:paraId="34D06A56" w14:textId="77777777" w:rsidR="00772179" w:rsidRDefault="00000000">
      <w:pPr>
        <w:pStyle w:val="Author-eListParagraph"/>
        <w:numPr>
          <w:ilvl w:val="0"/>
          <w:numId w:val="954"/>
        </w:numPr>
      </w:pPr>
      <w:r>
        <w:t xml:space="preserve">En cas de support bois : lattage : </w:t>
      </w:r>
      <w:r>
        <w:rPr>
          <w:rStyle w:val="optioncarChar"/>
        </w:rPr>
        <w:t xml:space="preserve">32x27 </w:t>
      </w:r>
      <w:r>
        <w:t>(par défaut)</w:t>
      </w:r>
      <w:r>
        <w:rPr>
          <w:rStyle w:val="optioncarChar"/>
        </w:rPr>
        <w:t xml:space="preserve"> / ***</w:t>
      </w:r>
      <w:r>
        <w:t xml:space="preserve"> mm, écartement du lattage adapté aux dimensions des planches et panneaux</w:t>
      </w:r>
    </w:p>
    <w:p w14:paraId="3A8C3E55" w14:textId="77777777" w:rsidR="00772179" w:rsidRDefault="00000000">
      <w:pPr>
        <w:pStyle w:val="Author-eListParagraph"/>
        <w:numPr>
          <w:ilvl w:val="0"/>
          <w:numId w:val="954"/>
        </w:numPr>
      </w:pPr>
      <w:r>
        <w:t xml:space="preserve">Lattage revêtu d’une bande d’étanchéité en </w:t>
      </w:r>
      <w:r>
        <w:rPr>
          <w:rStyle w:val="optioncarChar"/>
        </w:rPr>
        <w:t xml:space="preserve">PVC </w:t>
      </w:r>
      <w:r>
        <w:t>(par défaut)</w:t>
      </w:r>
      <w:r>
        <w:rPr>
          <w:rStyle w:val="optioncarChar"/>
        </w:rPr>
        <w:t xml:space="preserve"> / EPDM</w:t>
      </w:r>
      <w:r>
        <w:t>.</w:t>
      </w:r>
    </w:p>
    <w:p w14:paraId="31401B98" w14:textId="77777777" w:rsidR="00772179" w:rsidRDefault="00000000">
      <w:pPr>
        <w:pStyle w:val="Author-eListParagraph"/>
        <w:numPr>
          <w:ilvl w:val="0"/>
          <w:numId w:val="954"/>
        </w:numPr>
      </w:pPr>
      <w:r>
        <w:t>En cas de support métallique : dimensionnement à confirmer par note de calcul par l’entrepreneur, écartement du lattage adapté aux dimensions des planches et panneaux</w:t>
      </w:r>
    </w:p>
    <w:p w14:paraId="036F7276" w14:textId="77777777" w:rsidR="00772179" w:rsidRDefault="00000000">
      <w:pPr>
        <w:pStyle w:val="Author-eListParagraph"/>
        <w:numPr>
          <w:ilvl w:val="0"/>
          <w:numId w:val="954"/>
        </w:numPr>
      </w:pPr>
      <w:r>
        <w:lastRenderedPageBreak/>
        <w:t>Joints entre éléments :  </w:t>
      </w:r>
      <w:r>
        <w:rPr>
          <w:rStyle w:val="optioncarChar"/>
        </w:rPr>
        <w:t>10 / 5 / ***</w:t>
      </w:r>
      <w:r>
        <w:t xml:space="preserve"> mm</w:t>
      </w:r>
    </w:p>
    <w:p w14:paraId="6586BCFB" w14:textId="77777777" w:rsidR="00772179" w:rsidRDefault="00000000">
      <w:pPr>
        <w:pStyle w:val="Author-eListParagraph"/>
        <w:numPr>
          <w:ilvl w:val="0"/>
          <w:numId w:val="954"/>
        </w:numPr>
      </w:pPr>
      <w:r>
        <w:t xml:space="preserve">Les planches sont fixées </w:t>
      </w:r>
      <w:r>
        <w:rPr>
          <w:rStyle w:val="optioncarChar"/>
        </w:rPr>
        <w:t xml:space="preserve">au moyen de clips adaptés en acier inoxydable vissés dans les liteaux </w:t>
      </w:r>
      <w:r>
        <w:t>(par défaut)</w:t>
      </w:r>
      <w:r>
        <w:rPr>
          <w:rStyle w:val="optioncarChar"/>
        </w:rPr>
        <w:t xml:space="preserve"> / au moyen de vis apparentes pour les bardages ajourés / au moyen de profilés de fixation en aluminium anodisé / ***.</w:t>
      </w:r>
    </w:p>
    <w:p w14:paraId="7D0CD826" w14:textId="77777777" w:rsidR="00772179" w:rsidRDefault="00000000">
      <w:pPr>
        <w:pStyle w:val="Author-eListParagraph"/>
        <w:numPr>
          <w:ilvl w:val="0"/>
          <w:numId w:val="954"/>
        </w:numPr>
      </w:pPr>
      <w:r>
        <w:t xml:space="preserve">Profils de pied de façade : </w:t>
      </w:r>
      <w:r>
        <w:rPr>
          <w:rStyle w:val="optioncarChar"/>
        </w:rPr>
        <w:t>en aluminium anodisé profilé, perforé / ***</w:t>
      </w:r>
    </w:p>
    <w:p w14:paraId="70CD2A61" w14:textId="77777777" w:rsidR="00772179" w:rsidRDefault="00000000">
      <w:pPr>
        <w:pStyle w:val="Author-eListParagraph"/>
        <w:numPr>
          <w:ilvl w:val="0"/>
          <w:numId w:val="954"/>
        </w:numPr>
      </w:pPr>
      <w:r>
        <w:t xml:space="preserve">Profils d'about au droit des matériaux de façade adjacents : </w:t>
      </w:r>
      <w:r>
        <w:rPr>
          <w:rStyle w:val="optioncarChar"/>
        </w:rPr>
        <w:t>profilés à clipser en aluminium anodisé de teinte similaire aux panneaux</w:t>
      </w:r>
      <w:r>
        <w:t xml:space="preserve"> (par défaut)</w:t>
      </w:r>
      <w:r>
        <w:rPr>
          <w:rStyle w:val="optioncarChar"/>
        </w:rPr>
        <w:t xml:space="preserve"> / en profilés extrudés identiques aux planches / ***.</w:t>
      </w:r>
    </w:p>
    <w:p w14:paraId="09DFBFC1" w14:textId="77777777" w:rsidR="00772179" w:rsidRDefault="00000000">
      <w:pPr>
        <w:pStyle w:val="Author-eListParagraph"/>
        <w:numPr>
          <w:ilvl w:val="0"/>
          <w:numId w:val="954"/>
        </w:numPr>
      </w:pPr>
      <w:r>
        <w:t xml:space="preserve">Finition des angles sortants : </w:t>
      </w:r>
    </w:p>
    <w:p w14:paraId="67CC13F8" w14:textId="77777777" w:rsidR="00772179" w:rsidRDefault="00000000">
      <w:pPr>
        <w:pStyle w:val="Author-eListParagraph"/>
        <w:numPr>
          <w:ilvl w:val="2"/>
          <w:numId w:val="956"/>
        </w:numPr>
      </w:pPr>
      <w:r>
        <w:t xml:space="preserve">Pose horizontale : </w:t>
      </w:r>
      <w:r>
        <w:rPr>
          <w:rStyle w:val="optioncarChar"/>
        </w:rPr>
        <w:t>couvre-joint aluminium anodisé de teinte similaire aux panneaux</w:t>
      </w:r>
      <w:r>
        <w:t xml:space="preserve"> (par défaut)</w:t>
      </w:r>
      <w:r>
        <w:rPr>
          <w:rStyle w:val="optioncarChar"/>
        </w:rPr>
        <w:t xml:space="preserve"> / profil en X / ***</w:t>
      </w:r>
      <w:r>
        <w:t>.</w:t>
      </w:r>
    </w:p>
    <w:p w14:paraId="1B270E87" w14:textId="77777777" w:rsidR="00772179" w:rsidRDefault="00000000">
      <w:pPr>
        <w:pStyle w:val="Author-eListParagraph"/>
        <w:numPr>
          <w:ilvl w:val="2"/>
          <w:numId w:val="956"/>
        </w:numPr>
      </w:pPr>
      <w:r>
        <w:t>Pose verticale :</w:t>
      </w:r>
      <w:r>
        <w:rPr>
          <w:rStyle w:val="optioncarChar"/>
        </w:rPr>
        <w:t xml:space="preserve">sans couvre-joint </w:t>
      </w:r>
      <w:r>
        <w:t>(par défaut)</w:t>
      </w:r>
      <w:r>
        <w:rPr>
          <w:rStyle w:val="optioncarChar"/>
        </w:rPr>
        <w:t xml:space="preserve"> / couvre-joint aluminium anodisé de teinte similaire aux panneaux / profil en X / ***</w:t>
      </w:r>
      <w:r>
        <w:t>.</w:t>
      </w:r>
    </w:p>
    <w:p w14:paraId="44650711" w14:textId="77777777" w:rsidR="00772179" w:rsidRDefault="00000000">
      <w:pPr>
        <w:pStyle w:val="Author-eListParagraph"/>
        <w:numPr>
          <w:ilvl w:val="0"/>
          <w:numId w:val="954"/>
        </w:numPr>
      </w:pPr>
      <w:r>
        <w:t xml:space="preserve">Finition des angles rentrants : </w:t>
      </w:r>
    </w:p>
    <w:p w14:paraId="72CCEF97" w14:textId="77777777" w:rsidR="00772179" w:rsidRDefault="00000000">
      <w:pPr>
        <w:pStyle w:val="Author-eListParagraph"/>
        <w:numPr>
          <w:ilvl w:val="2"/>
          <w:numId w:val="958"/>
        </w:numPr>
      </w:pPr>
      <w:r>
        <w:t xml:space="preserve">Pose horizontale : </w:t>
      </w:r>
      <w:r>
        <w:rPr>
          <w:rStyle w:val="optioncarChar"/>
        </w:rPr>
        <w:t xml:space="preserve">un panneau recouvrant l’autre </w:t>
      </w:r>
      <w:r>
        <w:t>(par défaut)</w:t>
      </w:r>
      <w:r>
        <w:rPr>
          <w:rStyle w:val="optioncarChar"/>
        </w:rPr>
        <w:t xml:space="preserve"> / couvre-joint aluminium anodisé de teinte similaire aux panneaux / ***</w:t>
      </w:r>
      <w:r>
        <w:t>.</w:t>
      </w:r>
    </w:p>
    <w:p w14:paraId="3B105A95" w14:textId="77777777" w:rsidR="00772179" w:rsidRDefault="00000000">
      <w:pPr>
        <w:pStyle w:val="Author-eListParagraph"/>
        <w:numPr>
          <w:ilvl w:val="2"/>
          <w:numId w:val="958"/>
        </w:numPr>
      </w:pPr>
      <w:r>
        <w:t xml:space="preserve">Pose verticale : </w:t>
      </w:r>
      <w:r>
        <w:rPr>
          <w:rStyle w:val="optioncarChar"/>
        </w:rPr>
        <w:t xml:space="preserve">sans couvre-joints </w:t>
      </w:r>
      <w:r>
        <w:t>(par défaut)</w:t>
      </w:r>
      <w:r>
        <w:rPr>
          <w:rStyle w:val="optioncarChar"/>
        </w:rPr>
        <w:t xml:space="preserve"> / couvre-joint aluminium anodisé de teinte similaire aux panneaux / profil en X / ***</w:t>
      </w:r>
      <w:r>
        <w:t>.</w:t>
      </w:r>
    </w:p>
    <w:p w14:paraId="7D6FE12A" w14:textId="77777777" w:rsidR="00772179" w:rsidRDefault="00000000">
      <w:pPr>
        <w:pStyle w:val="Author-eListParagraph"/>
        <w:numPr>
          <w:ilvl w:val="0"/>
          <w:numId w:val="954"/>
        </w:numPr>
      </w:pPr>
      <w:r>
        <w:t xml:space="preserve">Finition au droit des joues latérales de baies : </w:t>
      </w:r>
      <w:r>
        <w:rPr>
          <w:rStyle w:val="optioncarChar"/>
        </w:rPr>
        <w:t>profil en aluminium anodisé</w:t>
      </w:r>
      <w:r>
        <w:t xml:space="preserve"> (par défaut)</w:t>
      </w:r>
      <w:r>
        <w:rPr>
          <w:rStyle w:val="optioncarChar"/>
        </w:rPr>
        <w:t xml:space="preserve"> / planches en composite découpées à mesure de la largeur de la joue de baie avec profil pour angle sortant.</w:t>
      </w:r>
    </w:p>
    <w:p w14:paraId="481DFCB2" w14:textId="77777777" w:rsidR="00772179" w:rsidRDefault="00000000">
      <w:pPr>
        <w:pStyle w:val="Author-eListParagraph"/>
        <w:numPr>
          <w:ilvl w:val="0"/>
          <w:numId w:val="954"/>
        </w:numPr>
      </w:pPr>
      <w:r>
        <w:t xml:space="preserve">Finition linteau de baies : </w:t>
      </w:r>
      <w:r>
        <w:rPr>
          <w:rStyle w:val="optioncarChar"/>
        </w:rPr>
        <w:t xml:space="preserve">profil en aluminium thermolaqué perforé </w:t>
      </w:r>
      <w:r>
        <w:t>(par défaut)</w:t>
      </w:r>
      <w:r>
        <w:rPr>
          <w:rStyle w:val="optioncarChar"/>
        </w:rPr>
        <w:t xml:space="preserve"> / ***</w:t>
      </w:r>
    </w:p>
    <w:p w14:paraId="41741CFE" w14:textId="77777777" w:rsidR="00772179" w:rsidRDefault="00000000">
      <w:pPr>
        <w:pStyle w:val="pheading"/>
      </w:pPr>
      <w:r>
        <w:t>DOCUMENTS DE RÉFÉRENCE COMPLÉMENTAIRES</w:t>
      </w:r>
    </w:p>
    <w:p w14:paraId="1E891E6F" w14:textId="77777777" w:rsidR="00772179" w:rsidRDefault="00000000">
      <w:pPr>
        <w:pStyle w:val="pheading"/>
      </w:pPr>
      <w:r>
        <w:t>- Matériau</w:t>
      </w:r>
    </w:p>
    <w:p w14:paraId="0D6139DB" w14:textId="77777777" w:rsidR="00772179" w:rsidRDefault="00000000">
      <w:r>
        <w:t>[NBN EN 335, Durabilité du bois et des matériaux à base de bois - Classes d'emploi: définitions, application au bois massif et aux matériaux à base de bois]  </w:t>
      </w:r>
    </w:p>
    <w:p w14:paraId="65F53C81" w14:textId="77777777" w:rsidR="00772179" w:rsidRDefault="00000000">
      <w:r>
        <w:t>[NBN EN 350, Durabilité du bois et des matériaux dérivés du bois - Méthodes d'essai et de classification de la durabilité vis-à-vis des agents biologiques du bois et des matériaux dérivés du bois]</w:t>
      </w:r>
    </w:p>
    <w:p w14:paraId="0C1F18AD" w14:textId="77777777" w:rsidR="00772179" w:rsidRDefault="00000000">
      <w:r>
        <w:t>[NBN EN 15534-1:2014+A1, Composites à base de matières cellulosiques et de thermoplastiques (communément appelés composites bois-polymères (WPC) ou composites fibres d'origine naturelle (NFC)) - Partie 1: Méthodes d'essai pour la caractérisation des compositions et des produits.]]</w:t>
      </w:r>
    </w:p>
    <w:p w14:paraId="20026956" w14:textId="77777777" w:rsidR="00772179" w:rsidRDefault="00000000">
      <w:r>
        <w:t>[NBN EN 15534-4, Composites à base de matières cellulosiques et de thermoplastiques (communément appelés composites bois-polymères (WPC) ou composites fibres d'origine naturelle (NFC)) - Partie 4: Spécifications relatives aux lames et dalles pour platelage]</w:t>
      </w:r>
    </w:p>
    <w:p w14:paraId="178FBC78" w14:textId="77777777" w:rsidR="00772179" w:rsidRDefault="00000000">
      <w:r>
        <w:t>[CEN/TS 15534-2, Composites bois-plastiques (WPC) - Partie 2 : Caractérisation des matériaux WPC]</w:t>
      </w:r>
    </w:p>
    <w:p w14:paraId="003E123A" w14:textId="77777777" w:rsidR="00772179" w:rsidRDefault="00000000">
      <w:r>
        <w:t>[NBN EN 15534-4, Composites à base de matières cellulosiques et de thermoplastiques (communément appelés composites bois-polymères (WPC) ou composites fibres d'origine naturelle (NFC)) - Partie 4: Spécifications relatives aux lames et dalles pour platelage]</w:t>
      </w:r>
    </w:p>
    <w:p w14:paraId="684DEB3F" w14:textId="77777777" w:rsidR="00772179" w:rsidRDefault="00000000">
      <w:r>
        <w:t>[NBN EN 15534-5, Composites à base de matières cellulosiques et de thermoplastiques (communément appelés composites bois-polymères (WPC) ou composites fibres d'origine naturelle (NFC)) - Partie 5: Spécifications relatives aux lames et plaques pour bardage et lambris]</w:t>
      </w:r>
    </w:p>
    <w:p w14:paraId="1046C83A" w14:textId="77777777" w:rsidR="00772179" w:rsidRDefault="00000000">
      <w:pPr>
        <w:ind w:left="750"/>
      </w:pPr>
      <w:r>
        <w:t> </w:t>
      </w:r>
    </w:p>
    <w:p w14:paraId="067C0FFF" w14:textId="77777777" w:rsidR="00772179" w:rsidRDefault="00000000">
      <w:pPr>
        <w:pStyle w:val="pheading"/>
      </w:pPr>
      <w:r>
        <w:t>- Exécution</w:t>
      </w:r>
    </w:p>
    <w:p w14:paraId="607E6295" w14:textId="77777777" w:rsidR="00772179" w:rsidRDefault="00000000">
      <w:r>
        <w:t>[Buildwise Magazine Contact n°81 (2022/3), CSTC Contact n°81 (2022/3) - Édition finitions]</w:t>
      </w:r>
    </w:p>
    <w:p w14:paraId="6B98C9C4" w14:textId="77777777" w:rsidR="00772179" w:rsidRDefault="00000000">
      <w:r>
        <w:t>[NIT 243, Les revêtements de façade en bois et en panneaux à base de bois.]</w:t>
      </w:r>
    </w:p>
    <w:p w14:paraId="5F8143A9" w14:textId="77777777" w:rsidR="00772179" w:rsidRDefault="00000000">
      <w:pPr>
        <w:pStyle w:val="pheading"/>
      </w:pPr>
      <w:r>
        <w:t>MESURAGE</w:t>
      </w:r>
    </w:p>
    <w:p w14:paraId="7D0D941D" w14:textId="77777777" w:rsidR="00772179" w:rsidRDefault="00000000">
      <w:pPr>
        <w:pStyle w:val="pheading"/>
      </w:pPr>
      <w:r>
        <w:lastRenderedPageBreak/>
        <w:t>- unité de mesure:</w:t>
      </w:r>
    </w:p>
    <w:p w14:paraId="0CF8280E" w14:textId="77777777" w:rsidR="00772179" w:rsidRDefault="00000000">
      <w:r>
        <w:t>m²</w:t>
      </w:r>
    </w:p>
    <w:p w14:paraId="27255CF5" w14:textId="77777777" w:rsidR="00772179" w:rsidRDefault="00000000">
      <w:pPr>
        <w:pStyle w:val="pheading"/>
      </w:pPr>
      <w:r>
        <w:t>- code de mesurage:</w:t>
      </w:r>
    </w:p>
    <w:p w14:paraId="5F6BDB80" w14:textId="77777777" w:rsidR="00772179" w:rsidRDefault="00000000">
      <w:pPr>
        <w:jc w:val="both"/>
      </w:pPr>
      <w:r>
        <w:t>Surface nette des façades, linteaux et joues des ouvertures et des fenêtres. Les réservations supérieures à 0,5m</w:t>
      </w:r>
      <w:r>
        <w:rPr>
          <w:vertAlign w:val="superscript"/>
        </w:rPr>
        <w:t>2</w:t>
      </w:r>
      <w:r>
        <w:t xml:space="preserve"> sont déduites.</w:t>
      </w:r>
    </w:p>
    <w:p w14:paraId="47D095B1" w14:textId="77777777" w:rsidR="00772179" w:rsidRDefault="00000000">
      <w:pPr>
        <w:pStyle w:val="pheading"/>
      </w:pPr>
      <w:r>
        <w:t>- nature du marché:</w:t>
      </w:r>
    </w:p>
    <w:p w14:paraId="280B7920" w14:textId="77777777" w:rsidR="00772179" w:rsidRDefault="00000000">
      <w:r>
        <w:t>QF</w:t>
      </w:r>
    </w:p>
    <w:p w14:paraId="5B328196" w14:textId="77777777" w:rsidR="00772179" w:rsidRDefault="00000000">
      <w:pPr>
        <w:pStyle w:val="Author-eSectionHeading5Numberless"/>
      </w:pPr>
      <w:bookmarkStart w:id="751" w:name="_Toc220490438"/>
      <w:r>
        <w:t>43.24.3 Revêtements de façade rigides fixés mécaniquement - planches en matière synthétique CCTB 01.02</w:t>
      </w:r>
      <w:bookmarkEnd w:id="751"/>
    </w:p>
    <w:p w14:paraId="3BA243D7" w14:textId="77777777" w:rsidR="00772179" w:rsidRDefault="00000000">
      <w:pPr>
        <w:pStyle w:val="Author-eSectionHeading6Numberless"/>
      </w:pPr>
      <w:bookmarkStart w:id="752" w:name="_Toc220490439"/>
      <w:r>
        <w:t>43.24.3a Revêtements de façade rigides fixés mécaniquement - planches en PVC CCTB 01.11</w:t>
      </w:r>
      <w:bookmarkEnd w:id="752"/>
    </w:p>
    <w:p w14:paraId="5B115B9B" w14:textId="77777777" w:rsidR="00772179" w:rsidRDefault="00000000">
      <w:pPr>
        <w:pStyle w:val="pheading"/>
      </w:pPr>
      <w:r>
        <w:t>MATÉRIAUX</w:t>
      </w:r>
    </w:p>
    <w:p w14:paraId="43F4349B" w14:textId="77777777" w:rsidR="00772179" w:rsidRDefault="00000000">
      <w:pPr>
        <w:pStyle w:val="pheading"/>
      </w:pPr>
      <w:r>
        <w:t>- Caractéristiques générales</w:t>
      </w:r>
    </w:p>
    <w:p w14:paraId="0A92FC59" w14:textId="77777777" w:rsidR="00772179" w:rsidRDefault="00000000">
      <w:r>
        <w:t>Les planchettes d'habillage en matière synthétique se composent de profilés en PVC à double paroi, résistant aux chocs, à rainure et languette.</w:t>
      </w:r>
    </w:p>
    <w:p w14:paraId="43E7943C" w14:textId="77777777" w:rsidR="00772179" w:rsidRDefault="00000000">
      <w:pPr>
        <w:pStyle w:val="pheading"/>
      </w:pPr>
      <w:r>
        <w:t>- Finitions</w:t>
      </w:r>
    </w:p>
    <w:p w14:paraId="262E9A97" w14:textId="77777777" w:rsidR="00772179" w:rsidRDefault="00000000">
      <w:pPr>
        <w:pStyle w:val="Author-eListParagraph"/>
        <w:numPr>
          <w:ilvl w:val="0"/>
          <w:numId w:val="959"/>
        </w:numPr>
      </w:pPr>
      <w:r>
        <w:t xml:space="preserve">Dimensions des planchettes : </w:t>
      </w:r>
      <w:r>
        <w:br/>
        <w:t>⇒ Largeur : ≥ </w:t>
      </w:r>
      <w:r>
        <w:rPr>
          <w:rStyle w:val="optioncarChar"/>
        </w:rPr>
        <w:t xml:space="preserve">100 / 115 </w:t>
      </w:r>
      <w:r>
        <w:t xml:space="preserve">mm </w:t>
      </w:r>
      <w:r>
        <w:br/>
        <w:t xml:space="preserve">⇒ Epaisseur : ≥ </w:t>
      </w:r>
      <w:r>
        <w:rPr>
          <w:rStyle w:val="optioncarChar"/>
        </w:rPr>
        <w:t xml:space="preserve">15 / 20 </w:t>
      </w:r>
      <w:r>
        <w:t>mm</w:t>
      </w:r>
    </w:p>
    <w:p w14:paraId="64ED4FB2" w14:textId="77777777" w:rsidR="00772179" w:rsidRDefault="00000000">
      <w:pPr>
        <w:pStyle w:val="Author-eListParagraph"/>
        <w:numPr>
          <w:ilvl w:val="0"/>
          <w:numId w:val="959"/>
        </w:numPr>
      </w:pPr>
      <w:r>
        <w:t>Couleur :</w:t>
      </w:r>
      <w:r>
        <w:rPr>
          <w:rStyle w:val="optioncarChar"/>
        </w:rPr>
        <w:t> blanc / anthracite / brun foncé </w:t>
      </w:r>
    </w:p>
    <w:p w14:paraId="7F174C62" w14:textId="77777777" w:rsidR="00772179" w:rsidRDefault="00000000">
      <w:pPr>
        <w:pStyle w:val="Author-eListParagraph"/>
        <w:numPr>
          <w:ilvl w:val="0"/>
          <w:numId w:val="959"/>
        </w:numPr>
      </w:pPr>
      <w:r>
        <w:t>Réaction au feu : classe </w:t>
      </w:r>
      <w:r>
        <w:rPr>
          <w:rStyle w:val="optioncarChar"/>
        </w:rPr>
        <w:t>A2-s3, d0</w:t>
      </w:r>
      <w:r>
        <w:t> / </w:t>
      </w:r>
      <w:r>
        <w:rPr>
          <w:rStyle w:val="optioncarChar"/>
        </w:rPr>
        <w:t>B-s3, d1 / D-s3, d1 / D-s3, d1</w:t>
      </w:r>
      <w:r>
        <w:t> (en fonction de la hauteur, du bâtiment et du type d'occupants)</w:t>
      </w:r>
    </w:p>
    <w:p w14:paraId="3BDA3AF2" w14:textId="77777777" w:rsidR="00772179" w:rsidRDefault="00000000">
      <w:r>
        <w:t> </w:t>
      </w:r>
    </w:p>
    <w:p w14:paraId="3E142CC2" w14:textId="77777777" w:rsidR="00772179" w:rsidRDefault="00000000">
      <w:pPr>
        <w:pStyle w:val="pheading"/>
      </w:pPr>
      <w:r>
        <w:t>EXÉCUTION / MISE EN ŒUVRE</w:t>
      </w:r>
    </w:p>
    <w:p w14:paraId="2705D5F6" w14:textId="77777777" w:rsidR="00772179" w:rsidRDefault="00000000">
      <w:pPr>
        <w:pStyle w:val="pheading"/>
      </w:pPr>
      <w:r>
        <w:t>- Prescriptions générales</w:t>
      </w:r>
    </w:p>
    <w:p w14:paraId="25EDFCC9" w14:textId="77777777" w:rsidR="00772179" w:rsidRDefault="00000000">
      <w:pPr>
        <w:pStyle w:val="Author-eListParagraph"/>
        <w:numPr>
          <w:ilvl w:val="0"/>
          <w:numId w:val="960"/>
        </w:numPr>
      </w:pPr>
      <w:r>
        <w:t xml:space="preserve">Mode de recouvrement : </w:t>
      </w:r>
      <w:r>
        <w:rPr>
          <w:rStyle w:val="optioncarChar"/>
        </w:rPr>
        <w:t xml:space="preserve">horizontal / vertical </w:t>
      </w:r>
    </w:p>
    <w:p w14:paraId="36076A43" w14:textId="77777777" w:rsidR="00772179" w:rsidRDefault="00000000">
      <w:pPr>
        <w:pStyle w:val="Author-eListParagraph"/>
        <w:numPr>
          <w:ilvl w:val="0"/>
          <w:numId w:val="960"/>
        </w:numPr>
      </w:pPr>
      <w:r>
        <w:t>Lattage pour la fixation :</w:t>
      </w:r>
      <w:r>
        <w:rPr>
          <w:rStyle w:val="optioncarChar"/>
        </w:rPr>
        <w:t xml:space="preserve"> double lattage / simple lattage (chevrons) </w:t>
      </w:r>
    </w:p>
    <w:p w14:paraId="55844B81" w14:textId="77777777" w:rsidR="00772179" w:rsidRDefault="00000000">
      <w:pPr>
        <w:pStyle w:val="Author-eListParagraph"/>
        <w:numPr>
          <w:ilvl w:val="0"/>
          <w:numId w:val="960"/>
        </w:numPr>
      </w:pPr>
      <w:r>
        <w:t>Les planchettes sont solidement vissées de manière à résister au vent, conformément aux prescriptions du fabricant. Les têtes de vis sont cachées par des capuchons de la même couleur que les planchettes.</w:t>
      </w:r>
    </w:p>
    <w:p w14:paraId="4F51726C" w14:textId="77777777" w:rsidR="00772179" w:rsidRDefault="00000000">
      <w:pPr>
        <w:pStyle w:val="Author-eListParagraph"/>
        <w:numPr>
          <w:ilvl w:val="0"/>
          <w:numId w:val="960"/>
        </w:numPr>
      </w:pPr>
      <w:r>
        <w:t>Les bords sont finis à l'aide de profils en L appropriés. Les profils sont placés soigneusement et bien jointivement. Les profils de rive ne présentent aucun joint ouvert.</w:t>
      </w:r>
    </w:p>
    <w:p w14:paraId="029F7BEB" w14:textId="77777777" w:rsidR="00772179" w:rsidRDefault="00000000">
      <w:pPr>
        <w:pStyle w:val="pheading"/>
      </w:pPr>
      <w:r>
        <w:t>MESURAGE</w:t>
      </w:r>
    </w:p>
    <w:p w14:paraId="3B61A250" w14:textId="77777777" w:rsidR="00772179" w:rsidRDefault="00000000">
      <w:pPr>
        <w:pStyle w:val="pheading"/>
      </w:pPr>
      <w:r>
        <w:t>- unité de mesure:</w:t>
      </w:r>
    </w:p>
    <w:p w14:paraId="2B9CBCE5" w14:textId="77777777" w:rsidR="00772179" w:rsidRDefault="00000000">
      <w:r>
        <w:t>m²</w:t>
      </w:r>
    </w:p>
    <w:p w14:paraId="370761E7" w14:textId="77777777" w:rsidR="00772179" w:rsidRDefault="00000000">
      <w:pPr>
        <w:pStyle w:val="pheading"/>
      </w:pPr>
      <w:r>
        <w:t>- code de mesurage:</w:t>
      </w:r>
    </w:p>
    <w:p w14:paraId="3143A40D" w14:textId="77777777" w:rsidR="00772179" w:rsidRDefault="00000000">
      <w:r>
        <w:t>Surface nette, toutes les ouvertures ≥ 0,5 m² sont déduites. Les jours des ouvertures et de fenêtres ainsi que le bas des linteaux sont uniquement comptés (surface nette) lorsque leur largeur est supérieure à l'épaisseur du revêtement de façade.</w:t>
      </w:r>
    </w:p>
    <w:p w14:paraId="0AF944FE" w14:textId="77777777" w:rsidR="00772179" w:rsidRDefault="00000000">
      <w:pPr>
        <w:pStyle w:val="pheading"/>
      </w:pPr>
      <w:r>
        <w:t>- nature du marché:</w:t>
      </w:r>
    </w:p>
    <w:p w14:paraId="17D87594" w14:textId="77777777" w:rsidR="00772179" w:rsidRDefault="00000000">
      <w:r>
        <w:t>QF</w:t>
      </w:r>
    </w:p>
    <w:p w14:paraId="6623762C" w14:textId="77777777" w:rsidR="00772179" w:rsidRDefault="00000000">
      <w:pPr>
        <w:pStyle w:val="Author-eSectionHeading5Numberless"/>
      </w:pPr>
      <w:bookmarkStart w:id="753" w:name="_Toc220490440"/>
      <w:r>
        <w:lastRenderedPageBreak/>
        <w:t>43.24.4 Revêtements de façade rigides fixés mécaniquement - panneaux en verre CCTB 01.02</w:t>
      </w:r>
      <w:bookmarkEnd w:id="753"/>
    </w:p>
    <w:p w14:paraId="797953CB" w14:textId="77777777" w:rsidR="00772179" w:rsidRDefault="00000000">
      <w:pPr>
        <w:pStyle w:val="pheading"/>
      </w:pPr>
      <w:r>
        <w:t>DESCRIPTION</w:t>
      </w:r>
    </w:p>
    <w:p w14:paraId="3E907C78" w14:textId="77777777" w:rsidR="00772179" w:rsidRDefault="00000000">
      <w:pPr>
        <w:pStyle w:val="pheading"/>
      </w:pPr>
      <w:r>
        <w:t>- Définition / Comprend</w:t>
      </w:r>
    </w:p>
    <w:p w14:paraId="4803ECD2" w14:textId="77777777" w:rsidR="00772179" w:rsidRDefault="00000000">
      <w:r>
        <w:t>Les panneaux en verre sont conformes au cas 8 du tableau de la norme [NBN S 23-002]</w:t>
      </w:r>
    </w:p>
    <w:p w14:paraId="59A11D56" w14:textId="77777777" w:rsidR="00772179" w:rsidRDefault="00000000">
      <w:pPr>
        <w:pStyle w:val="Author-eSectionHeading6Numberless"/>
      </w:pPr>
      <w:bookmarkStart w:id="754" w:name="_Toc220490441"/>
      <w:r>
        <w:t>43.24.4a Revêtements de façade rigides fixés mécaniquement - panneaux en verre</w:t>
      </w:r>
      <w:bookmarkEnd w:id="754"/>
    </w:p>
    <w:p w14:paraId="14EF5F69" w14:textId="77777777" w:rsidR="00772179" w:rsidRDefault="00000000">
      <w:pPr>
        <w:pStyle w:val="Author-eSectionHeading6Numberless"/>
      </w:pPr>
      <w:bookmarkStart w:id="755" w:name="_Toc220490442"/>
      <w:r>
        <w:t>43.24.4b Revêtements de façade rigides fixés mécaniquement - panneaux en verre supports d'enduit CCTB 01.13</w:t>
      </w:r>
      <w:bookmarkEnd w:id="755"/>
    </w:p>
    <w:p w14:paraId="3E2BF997" w14:textId="77777777" w:rsidR="00772179" w:rsidRDefault="00000000">
      <w:pPr>
        <w:pStyle w:val="pheading"/>
      </w:pPr>
      <w:r>
        <w:t>DESCRIPTION</w:t>
      </w:r>
    </w:p>
    <w:p w14:paraId="3812E368" w14:textId="77777777" w:rsidR="00772179" w:rsidRDefault="00000000">
      <w:pPr>
        <w:pStyle w:val="pheading"/>
      </w:pPr>
      <w:r>
        <w:t>- Définition / Comprend</w:t>
      </w:r>
    </w:p>
    <w:p w14:paraId="47AAE68C" w14:textId="77777777" w:rsidR="00772179" w:rsidRDefault="00000000">
      <w:pPr>
        <w:jc w:val="both"/>
      </w:pPr>
      <w:r>
        <w:t>Il s’agit de la fourniture et la pose de plaques de parement constituées de panneaux support d’enduit à base de verre expansé renforcé avec de la fibre de verre sur les 2 faces.</w:t>
      </w:r>
    </w:p>
    <w:p w14:paraId="025B5391" w14:textId="77777777" w:rsidR="00772179" w:rsidRDefault="00000000">
      <w:pPr>
        <w:jc w:val="both"/>
      </w:pPr>
      <w:r>
        <w:t>Ce poste comprend toutes les fournitures et travaux en vue de la réalisation des revêtements extérieurs à l'aide de matériaux en panneaux à base de verre expansé renforcé avec de la fibre de verre sur les 2 faces sur les murs extérieurs et les sous faces de plafonds extérieurs à enduire afin de constituer un ouvrage parfaitement enduit.</w:t>
      </w:r>
    </w:p>
    <w:p w14:paraId="04A198D4" w14:textId="77777777" w:rsidR="00772179" w:rsidRDefault="00000000">
      <w:pPr>
        <w:pStyle w:val="pheading"/>
      </w:pPr>
      <w:r>
        <w:t>- Localisation</w:t>
      </w:r>
    </w:p>
    <w:p w14:paraId="4670A481" w14:textId="77777777" w:rsidR="00772179" w:rsidRDefault="00000000">
      <w:r>
        <w:t>Localisation des travaux :</w:t>
      </w:r>
      <w:r>
        <w:rPr>
          <w:rStyle w:val="optioncarChar"/>
        </w:rPr>
        <w:t xml:space="preserve"> ***</w:t>
      </w:r>
      <w:r>
        <w:t>.</w:t>
      </w:r>
    </w:p>
    <w:p w14:paraId="6A63CF21" w14:textId="77777777" w:rsidR="00772179" w:rsidRDefault="00000000">
      <w:r>
        <w:t xml:space="preserve">Voir : </w:t>
      </w:r>
      <w:r>
        <w:rPr>
          <w:rStyle w:val="optioncarChar"/>
        </w:rPr>
        <w:t>plans et métrés détaillés / ***</w:t>
      </w:r>
      <w:r>
        <w:t>.</w:t>
      </w:r>
    </w:p>
    <w:p w14:paraId="120E1396" w14:textId="77777777" w:rsidR="00772179" w:rsidRDefault="00000000">
      <w:pPr>
        <w:pStyle w:val="pheading"/>
      </w:pPr>
      <w:r>
        <w:t>MATÉRIAUX</w:t>
      </w:r>
    </w:p>
    <w:p w14:paraId="411218DD" w14:textId="77777777" w:rsidR="00772179" w:rsidRDefault="00000000">
      <w:pPr>
        <w:pStyle w:val="pheading"/>
      </w:pPr>
      <w:r>
        <w:t>- Caractéristiques générales</w:t>
      </w:r>
    </w:p>
    <w:p w14:paraId="6E50B90A" w14:textId="77777777" w:rsidR="00772179" w:rsidRDefault="00000000">
      <w:pPr>
        <w:jc w:val="both"/>
      </w:pPr>
      <w:r>
        <w:rPr>
          <w:b/>
        </w:rPr>
        <w:t>Support</w:t>
      </w:r>
    </w:p>
    <w:p w14:paraId="29D79DE9" w14:textId="77777777" w:rsidR="00772179" w:rsidRDefault="00000000">
      <w:pPr>
        <w:jc w:val="both"/>
      </w:pPr>
      <w:r>
        <w:t xml:space="preserve">Le support des plaques est réalisé </w:t>
      </w:r>
      <w:r>
        <w:rPr>
          <w:rStyle w:val="optioncarChar"/>
        </w:rPr>
        <w:t xml:space="preserve">en bois </w:t>
      </w:r>
      <w:r>
        <w:t>(par défaut)</w:t>
      </w:r>
      <w:r>
        <w:rPr>
          <w:rStyle w:val="optioncarChar"/>
        </w:rPr>
        <w:t xml:space="preserve"> / en métal</w:t>
      </w:r>
      <w:r>
        <w:t>.</w:t>
      </w:r>
    </w:p>
    <w:p w14:paraId="4FD1AF10" w14:textId="77777777" w:rsidR="00772179" w:rsidRDefault="00000000">
      <w:r>
        <w:rPr>
          <w:b/>
          <w:i/>
        </w:rPr>
        <w:t>(soit par défaut)</w:t>
      </w:r>
    </w:p>
    <w:p w14:paraId="3A35D43A" w14:textId="77777777" w:rsidR="00772179" w:rsidRDefault="00000000">
      <w:r>
        <w:rPr>
          <w:b/>
        </w:rPr>
        <w:t>Support en bois : </w:t>
      </w:r>
      <w:r>
        <w:br/>
      </w:r>
      <w:r>
        <w:rPr>
          <w:rStyle w:val="soitChar"/>
        </w:rPr>
        <w:t>La structure en bois est traitée suivant selon la [STS 04.3] soit un procédé de traitement A2 pour une classe d’emplois 2 suivant [NBN EN 335].</w:t>
      </w:r>
      <w:r>
        <w:t> </w:t>
      </w:r>
    </w:p>
    <w:p w14:paraId="3E1B7FA0" w14:textId="77777777" w:rsidR="00772179" w:rsidRDefault="00000000">
      <w:r>
        <w:rPr>
          <w:b/>
          <w:i/>
        </w:rPr>
        <w:t>(soit)</w:t>
      </w:r>
    </w:p>
    <w:p w14:paraId="3FFBECB3" w14:textId="77777777" w:rsidR="00772179" w:rsidRDefault="00000000">
      <w:r>
        <w:rPr>
          <w:b/>
        </w:rPr>
        <w:t>Support métallique : </w:t>
      </w:r>
      <w:r>
        <w:br/>
      </w:r>
      <w:r>
        <w:rPr>
          <w:color w:val="33CCCC"/>
        </w:rPr>
        <w:t xml:space="preserve">Le système de profilés en aluminium respecte la </w:t>
      </w:r>
      <w:r>
        <w:t>[NBN EN 1706:2020+A1]</w:t>
      </w:r>
      <w:r>
        <w:rPr>
          <w:color w:val="33CCCC"/>
        </w:rPr>
        <w:t>.</w:t>
      </w:r>
      <w:r>
        <w:br/>
      </w:r>
      <w:r>
        <w:rPr>
          <w:rStyle w:val="soitChar"/>
        </w:rPr>
        <w:t>L’ossature fait l'objet d'un calcul statique à effectuer par le constructeur du système et à soumettre à l'auteur du projet/au mettre de l'ouvrage suivant [NBN EN 1999 série].</w:t>
      </w:r>
      <w:r>
        <w:t> </w:t>
      </w:r>
    </w:p>
    <w:p w14:paraId="3EB4651F" w14:textId="77777777" w:rsidR="00772179" w:rsidRDefault="00000000">
      <w:pPr>
        <w:jc w:val="both"/>
      </w:pPr>
      <w:r>
        <w:t>Le constructeur doit indiquer : la qualité, le dimensionnement et l’emplacement des éléments constructifs et des fixations. L’ossature constructive, servant de support aux plaques, permet une ventilation verticale sans obstacle. Les dimensions des orifices de ventilation sont de préférence adaptées à la hauteur du bardage. A la hauteur des rives du bâtiment et des ouvertures des façades, l’ossature fera si nécessaire l’objet d’une adaptation. Au niveau des ouvertures et des percements de façade, l’ossature est placée sur tout le pourtour et de manière jointive.</w:t>
      </w:r>
    </w:p>
    <w:p w14:paraId="299824CA" w14:textId="77777777" w:rsidR="00772179" w:rsidRDefault="00000000">
      <w:pPr>
        <w:jc w:val="both"/>
      </w:pPr>
      <w:r>
        <w:rPr>
          <w:b/>
        </w:rPr>
        <w:t>Isolation</w:t>
      </w:r>
    </w:p>
    <w:p w14:paraId="4CC81AA5" w14:textId="77777777" w:rsidR="00772179" w:rsidRDefault="00000000">
      <w:pPr>
        <w:jc w:val="both"/>
      </w:pPr>
      <w:r>
        <w:t xml:space="preserve">Voir le cas échéant au sous-titre </w:t>
      </w:r>
      <w:hyperlink w:anchor="997" w:history="1">
        <w:r>
          <w:rPr>
            <w:color w:val="0000EE"/>
          </w:rPr>
          <w:t>44.41 Isolation en panneaux</w:t>
        </w:r>
      </w:hyperlink>
      <w:r>
        <w:t>.</w:t>
      </w:r>
    </w:p>
    <w:p w14:paraId="33B30DCD" w14:textId="77777777" w:rsidR="00772179" w:rsidRDefault="00000000">
      <w:pPr>
        <w:jc w:val="both"/>
      </w:pPr>
      <w:r>
        <w:rPr>
          <w:b/>
        </w:rPr>
        <w:t>Plaques de verre expansé</w:t>
      </w:r>
    </w:p>
    <w:p w14:paraId="77252D7D" w14:textId="77777777" w:rsidR="00772179" w:rsidRDefault="00000000">
      <w:pPr>
        <w:jc w:val="both"/>
      </w:pPr>
      <w:r>
        <w:t>Ce sont des plaques à bord droit mises bord à bord sans collage.</w:t>
      </w:r>
    </w:p>
    <w:p w14:paraId="684F0134" w14:textId="77777777" w:rsidR="00772179" w:rsidRDefault="00000000">
      <w:pPr>
        <w:jc w:val="both"/>
      </w:pPr>
      <w:r>
        <w:rPr>
          <w:u w:val="single"/>
        </w:rPr>
        <w:lastRenderedPageBreak/>
        <w:t>Dimensions des plaques :</w:t>
      </w:r>
    </w:p>
    <w:p w14:paraId="39EE1E34" w14:textId="77777777" w:rsidR="00772179" w:rsidRDefault="00000000">
      <w:pPr>
        <w:jc w:val="both"/>
      </w:pPr>
      <w:r>
        <w:t xml:space="preserve">Epaisseur des plaques : </w:t>
      </w:r>
      <w:r>
        <w:rPr>
          <w:rStyle w:val="optioncarChar"/>
        </w:rPr>
        <w:t xml:space="preserve">10 / 12 </w:t>
      </w:r>
      <w:r>
        <w:t>(par défaut)</w:t>
      </w:r>
      <w:r>
        <w:rPr>
          <w:rStyle w:val="optioncarChar"/>
        </w:rPr>
        <w:t xml:space="preserve"> / 20 / *** </w:t>
      </w:r>
      <w:r>
        <w:t>mm</w:t>
      </w:r>
    </w:p>
    <w:p w14:paraId="7F098375" w14:textId="77777777" w:rsidR="00772179" w:rsidRDefault="00000000">
      <w:pPr>
        <w:jc w:val="both"/>
      </w:pPr>
      <w:r>
        <w:t>Largeur :</w:t>
      </w:r>
      <w:r>
        <w:rPr>
          <w:rStyle w:val="optioncarChar"/>
        </w:rPr>
        <w:t xml:space="preserve"> 600 / 1200 mm / libre au choix de l'entrepreneur</w:t>
      </w:r>
    </w:p>
    <w:p w14:paraId="2B052627" w14:textId="77777777" w:rsidR="00772179" w:rsidRDefault="00000000">
      <w:pPr>
        <w:jc w:val="both"/>
      </w:pPr>
      <w:r>
        <w:t xml:space="preserve">Longueur : </w:t>
      </w:r>
      <w:r>
        <w:rPr>
          <w:rStyle w:val="optioncarChar"/>
        </w:rPr>
        <w:t>800 / 2400 mm / 2600 mm / libre au choix de l'entrepreneur</w:t>
      </w:r>
    </w:p>
    <w:p w14:paraId="7F956960" w14:textId="77777777" w:rsidR="00772179" w:rsidRDefault="00000000">
      <w:pPr>
        <w:jc w:val="both"/>
      </w:pPr>
      <w:r>
        <w:rPr>
          <w:u w:val="single"/>
        </w:rPr>
        <w:t>Réaction au feu suivant [NBN EN 13501-1] :</w:t>
      </w:r>
    </w:p>
    <w:p w14:paraId="21F88575" w14:textId="77777777" w:rsidR="00772179" w:rsidRDefault="00000000">
      <w:r>
        <w:t>Réaction au feu : classe </w:t>
      </w:r>
      <w:r>
        <w:rPr>
          <w:rStyle w:val="optioncarChar"/>
        </w:rPr>
        <w:t>A2-s3, d0</w:t>
      </w:r>
      <w:r>
        <w:t> / </w:t>
      </w:r>
      <w:r>
        <w:rPr>
          <w:rStyle w:val="optioncarChar"/>
        </w:rPr>
        <w:t>B-s3, d1 / D-s3, d1 / D-s3, d1</w:t>
      </w:r>
      <w:r>
        <w:t> (en fonction de la hauteur, du bâtiment et du type d'occupants)</w:t>
      </w:r>
    </w:p>
    <w:p w14:paraId="56249D76" w14:textId="77777777" w:rsidR="00772179" w:rsidRDefault="00000000">
      <w:pPr>
        <w:pStyle w:val="pheading"/>
      </w:pPr>
      <w:r>
        <w:t>- Finitions</w:t>
      </w:r>
    </w:p>
    <w:p w14:paraId="55B9AE67" w14:textId="77777777" w:rsidR="00772179" w:rsidRDefault="00000000">
      <w:r>
        <w:t xml:space="preserve">Non compris dans cet article, voir titre </w:t>
      </w:r>
      <w:hyperlink w:anchor="998" w:history="1">
        <w:r>
          <w:rPr>
            <w:color w:val="0000EE"/>
          </w:rPr>
          <w:t>43.5 Enduits de façade</w:t>
        </w:r>
      </w:hyperlink>
    </w:p>
    <w:p w14:paraId="4F648CE5" w14:textId="77777777" w:rsidR="00772179" w:rsidRDefault="00000000">
      <w:pPr>
        <w:pStyle w:val="pheading"/>
      </w:pPr>
      <w:r>
        <w:t>- Prescriptions complémentaires</w:t>
      </w:r>
    </w:p>
    <w:p w14:paraId="5F7E011C" w14:textId="77777777" w:rsidR="00772179" w:rsidRDefault="00000000">
      <w:pPr>
        <w:jc w:val="both"/>
      </w:pPr>
      <w:r>
        <w:t>Calcul statique de la façade :  </w:t>
      </w:r>
      <w:r>
        <w:rPr>
          <w:rStyle w:val="optioncarChar"/>
        </w:rPr>
        <w:t>à charge de l’entrepreneur / du maître de l’ouvrage</w:t>
      </w:r>
      <w:r>
        <w:t>.</w:t>
      </w:r>
    </w:p>
    <w:p w14:paraId="7FFD79CB" w14:textId="77777777" w:rsidR="00772179" w:rsidRDefault="00000000">
      <w:pPr>
        <w:pStyle w:val="pheading"/>
      </w:pPr>
      <w:r>
        <w:t>EXÉCUTION / MISE EN ŒUVRE</w:t>
      </w:r>
    </w:p>
    <w:p w14:paraId="3A364CCB" w14:textId="77777777" w:rsidR="00772179" w:rsidRDefault="00000000">
      <w:pPr>
        <w:pStyle w:val="pheading"/>
      </w:pPr>
      <w:r>
        <w:t>- Prescriptions générales</w:t>
      </w:r>
    </w:p>
    <w:p w14:paraId="502CDEE3" w14:textId="77777777" w:rsidR="00772179" w:rsidRDefault="00000000">
      <w:pPr>
        <w:jc w:val="both"/>
      </w:pPr>
      <w:r>
        <w:rPr>
          <w:b/>
        </w:rPr>
        <w:t>Support</w:t>
      </w:r>
    </w:p>
    <w:p w14:paraId="646F8DD1" w14:textId="77777777" w:rsidR="00772179" w:rsidRDefault="00000000">
      <w:r>
        <w:t>Chaque bord de plaque vertical est repris par un support. L’ensemble des supports est donc calepiné en fonction des joints verticaux.</w:t>
      </w:r>
      <w:r>
        <w:br/>
        <w:t>Selon les directives d’un calcul statique, le constructeur suit les indications sur la qualité, le dimensionnement et l’emplacement des éléments constructifs et des fixations.</w:t>
      </w:r>
      <w:r>
        <w:br/>
        <w:t>L’ossature constructive, servant de support aux plaques, permet une ventilation verticale sans obstacle. En l'absence d'autres prescriptions spécifiques dans la documentation technique, l'auteur de projet se reporte aux prescriptions de la [[NIT 243], chapitre 5].</w:t>
      </w:r>
      <w:r>
        <w:br/>
        <w:t>A la hauteur des rives du bâtiment et des ouvertures des façades, l’ossature fait si nécessaire l’objet d’une adaptation.</w:t>
      </w:r>
      <w:r>
        <w:br/>
        <w:t>Au niveau des ouvertures et des percements de façade, l’ossature est placée sur tout le pourtour et de manière jointive.</w:t>
      </w:r>
    </w:p>
    <w:p w14:paraId="26A08596" w14:textId="77777777" w:rsidR="00772179" w:rsidRDefault="00000000">
      <w:pPr>
        <w:jc w:val="both"/>
      </w:pPr>
      <w:r>
        <w:rPr>
          <w:b/>
        </w:rPr>
        <w:t>Plaques de verre expansé</w:t>
      </w:r>
    </w:p>
    <w:p w14:paraId="77318C3A" w14:textId="77777777" w:rsidR="00772179" w:rsidRDefault="00000000">
      <w:r>
        <w:t xml:space="preserve">Les plaques support d’enduit sont directement placées en appareillage demi-brique sur les supports verticaux. Un décalage de ≥ </w:t>
      </w:r>
      <w:r>
        <w:rPr>
          <w:rStyle w:val="optioncarChar"/>
        </w:rPr>
        <w:t>40</w:t>
      </w:r>
      <w:r>
        <w:t xml:space="preserve"> (par défaut)</w:t>
      </w:r>
      <w:r>
        <w:rPr>
          <w:rStyle w:val="optioncarChar"/>
        </w:rPr>
        <w:t xml:space="preserve"> / 50 / 60 / ***</w:t>
      </w:r>
      <w:r>
        <w:t xml:space="preserve"> cm entre joints verticaux est d’application.</w:t>
      </w:r>
      <w:r>
        <w:br/>
        <w:t>Les panneaux en jonction avec des ouvertures ne présentent pas de joints de panneaux aux angles pour éviter les fissures.</w:t>
      </w:r>
      <w:r>
        <w:br/>
        <w:t>Le nombre exact des vis par plaque support d’enduit ou par m² et la distance entraxe des supports sont déterminés en fonction du poids propre et des charges admissibles du vent dans la zone où se situe le projet.  </w:t>
      </w:r>
      <w:r>
        <w:br/>
        <w:t xml:space="preserve">Les plaques sont placées à joints bien serrés, la face avant du support d'enduit devant former une surface parfaitement plane. Les joints verticaux correspondent toujours avec un profil. Prévoir une ventilation linéaire –ouverture (50 cm²/m) au niveau du socle, en-dessous de la pièce de </w:t>
      </w:r>
      <w:r>
        <w:rPr>
          <w:rStyle w:val="optioncarChar"/>
        </w:rPr>
        <w:t>rive / couvre-mur</w:t>
      </w:r>
      <w:r>
        <w:t xml:space="preserve"> et seuil de fenêtre, au niveau du retour des baies au-dessus des fenêtres et au niveau du passage du mur au plafond.  </w:t>
      </w:r>
      <w:r>
        <w:br/>
        <w:t xml:space="preserve">Il convient de respecter les joints de dilatation de </w:t>
      </w:r>
      <w:r>
        <w:rPr>
          <w:rStyle w:val="optioncarChar"/>
        </w:rPr>
        <w:t>8</w:t>
      </w:r>
      <w:r>
        <w:t xml:space="preserve"> (par défaut)</w:t>
      </w:r>
      <w:r>
        <w:rPr>
          <w:rStyle w:val="optioncarChar"/>
        </w:rPr>
        <w:t xml:space="preserve"> / 10 / 12 / ***</w:t>
      </w:r>
      <w:r>
        <w:t xml:space="preserve"> m maximum et de prévoir un profil de dilatation en surface.</w:t>
      </w:r>
      <w:r>
        <w:br/>
        <w:t>Les têtes des vis doivent être placées dans le même plan que la surface de la plaque. Elles ne sont en aucun cas noyées ou désaffleurer par rapport à la surface. Ces vis pénètrent d'une profondeur ≥ </w:t>
      </w:r>
      <w:r>
        <w:rPr>
          <w:rStyle w:val="optioncarChar"/>
        </w:rPr>
        <w:t>25 / 35</w:t>
      </w:r>
      <w:r>
        <w:t xml:space="preserve"> (par défaut)</w:t>
      </w:r>
      <w:r>
        <w:rPr>
          <w:rStyle w:val="optioncarChar"/>
        </w:rPr>
        <w:t xml:space="preserve"> / 45 / ***</w:t>
      </w:r>
      <w:r>
        <w:t xml:space="preserve"> mm dans le support bois, Pour les supports métalliques, les vis autoperceuses sont de 5.5 x 24 mm minimum.</w:t>
      </w:r>
    </w:p>
    <w:p w14:paraId="42DD8AE0" w14:textId="77777777" w:rsidR="00772179" w:rsidRDefault="00000000">
      <w:pPr>
        <w:pStyle w:val="pheading"/>
      </w:pPr>
      <w:r>
        <w:t>CONTRÔLES PARTICULIERS</w:t>
      </w:r>
    </w:p>
    <w:p w14:paraId="48258C51" w14:textId="77777777" w:rsidR="00772179" w:rsidRDefault="00000000">
      <w:pPr>
        <w:jc w:val="both"/>
      </w:pPr>
      <w:r>
        <w:t>Avant le placement de l’enduit, le support est vérifié par l’architecte ou la direction de chantier. Cette visite doit faire l’objet d’un procès-verbal.</w:t>
      </w:r>
    </w:p>
    <w:p w14:paraId="6384CA34" w14:textId="77777777" w:rsidR="00772179" w:rsidRDefault="00000000">
      <w:pPr>
        <w:jc w:val="both"/>
      </w:pPr>
      <w:r>
        <w:lastRenderedPageBreak/>
        <w:t>Les tolérances des plaques de support respectent les [NIT 257], [NIT 289].</w:t>
      </w:r>
    </w:p>
    <w:p w14:paraId="784E115E" w14:textId="77777777" w:rsidR="00772179" w:rsidRDefault="00000000">
      <w:pPr>
        <w:pStyle w:val="pheading"/>
      </w:pPr>
      <w:r>
        <w:t>DOCUMENTS DE RÉFÉRENCE COMPLÉMENTAIRES</w:t>
      </w:r>
    </w:p>
    <w:p w14:paraId="65FD333D" w14:textId="77777777" w:rsidR="00772179" w:rsidRDefault="00000000">
      <w:pPr>
        <w:pStyle w:val="pheading"/>
      </w:pPr>
      <w:r>
        <w:t>- Matériau</w:t>
      </w:r>
    </w:p>
    <w:p w14:paraId="3DA3A12C" w14:textId="77777777" w:rsidR="00772179" w:rsidRDefault="00000000">
      <w:r>
        <w:t>[NBN EN 1706:2020+A1, Aluminium et alliages d'aluminium - Pièces moulées - Composition chimique et caractéristiques mécaniques]</w:t>
      </w:r>
    </w:p>
    <w:p w14:paraId="496AF20C" w14:textId="77777777" w:rsidR="00772179" w:rsidRDefault="00000000">
      <w:r>
        <w:t>[STS 04.3, Bois et panneaux à base de bois : traitements du bois] </w:t>
      </w:r>
    </w:p>
    <w:p w14:paraId="26D480C4" w14:textId="77777777" w:rsidR="00772179" w:rsidRDefault="00000000">
      <w:r>
        <w:t>[NBN EN 335, Durabilité du bois et des matériaux à base de bois - Classes d'emploi: définitions, application au bois massif et aux matériaux à base de bois]</w:t>
      </w:r>
    </w:p>
    <w:p w14:paraId="415CA0D7" w14:textId="77777777" w:rsidR="00772179" w:rsidRDefault="00000000">
      <w:pPr>
        <w:pStyle w:val="pheading"/>
      </w:pPr>
      <w:r>
        <w:t>- Exécution</w:t>
      </w:r>
    </w:p>
    <w:p w14:paraId="19933671" w14:textId="77777777" w:rsidR="00772179" w:rsidRDefault="00000000">
      <w:r>
        <w:t>[NIT 257, Enduits sur isolation extérieure (ETICS) (remplace partiellement la NIT 209)]</w:t>
      </w:r>
    </w:p>
    <w:p w14:paraId="3F9C5AD4" w14:textId="77777777" w:rsidR="00772179" w:rsidRDefault="00000000">
      <w:r>
        <w:t>[NIT 289, Les enduits extérieurs sur maçonnerie et béton]</w:t>
      </w:r>
    </w:p>
    <w:p w14:paraId="6C553F52" w14:textId="77777777" w:rsidR="00772179" w:rsidRDefault="00000000">
      <w:r>
        <w:t>[NIT 243, Les revêtements de façade en bois et en panneaux à base de bois.]</w:t>
      </w:r>
    </w:p>
    <w:p w14:paraId="1D6B117F" w14:textId="77777777" w:rsidR="00772179" w:rsidRDefault="00000000">
      <w:r>
        <w:t>[NBN EN 1999-1-1 ANB, Eurocode 9 : Calcul des structures en aluminium - Partie 1-1 : Règles générales - Annexe nationale]</w:t>
      </w:r>
    </w:p>
    <w:p w14:paraId="2F8AED69" w14:textId="77777777" w:rsidR="00772179" w:rsidRDefault="00000000">
      <w:r>
        <w:t>[NBN ISO 7976-1, Tolérances pour le bâtiment - Méthodes de mesure des bâtiments et des produits pour le bâtiment - Partie 1 : Méthodes et instruments] </w:t>
      </w:r>
    </w:p>
    <w:p w14:paraId="7FC2986D" w14:textId="77777777" w:rsidR="00772179" w:rsidRDefault="00000000">
      <w:pPr>
        <w:pStyle w:val="pheading"/>
      </w:pPr>
      <w:r>
        <w:t>MESURAGE</w:t>
      </w:r>
    </w:p>
    <w:p w14:paraId="675E9225" w14:textId="77777777" w:rsidR="00772179" w:rsidRDefault="00000000">
      <w:pPr>
        <w:pStyle w:val="pheading"/>
      </w:pPr>
      <w:r>
        <w:t>- unité de mesure:</w:t>
      </w:r>
    </w:p>
    <w:p w14:paraId="32197BB8" w14:textId="77777777" w:rsidR="00772179" w:rsidRDefault="00000000">
      <w:r>
        <w:t>m²</w:t>
      </w:r>
    </w:p>
    <w:p w14:paraId="16AC195D" w14:textId="77777777" w:rsidR="00772179" w:rsidRDefault="00000000">
      <w:pPr>
        <w:pStyle w:val="pheading"/>
      </w:pPr>
      <w:r>
        <w:t>- code de mesurage:</w:t>
      </w:r>
    </w:p>
    <w:p w14:paraId="6355BE41" w14:textId="77777777" w:rsidR="00772179" w:rsidRDefault="00000000">
      <w:pPr>
        <w:jc w:val="both"/>
      </w:pPr>
      <w:r>
        <w:rPr>
          <w:b/>
        </w:rPr>
        <w:t>Surface nette</w:t>
      </w:r>
      <w:r>
        <w:t>, y compris structure et panneaux de support d’enduit. Toutes les ouvertures ≥ 0,5 m² sont déduites. Les jours des ouvertures et de fenêtres ainsi que le bas des linteaux sont uniquement comptés (surface nette) lorsque leur largeur est &gt; l'épaisseur du revêtement de façade.</w:t>
      </w:r>
    </w:p>
    <w:p w14:paraId="6B70A9AA" w14:textId="77777777" w:rsidR="00772179" w:rsidRDefault="00000000">
      <w:pPr>
        <w:pStyle w:val="pheading"/>
      </w:pPr>
      <w:r>
        <w:t>- nature du marché:</w:t>
      </w:r>
    </w:p>
    <w:p w14:paraId="5C29C7BB" w14:textId="77777777" w:rsidR="00772179" w:rsidRDefault="00000000">
      <w:r>
        <w:t>QF</w:t>
      </w:r>
    </w:p>
    <w:p w14:paraId="49E03D34" w14:textId="77777777" w:rsidR="00772179" w:rsidRDefault="00000000">
      <w:pPr>
        <w:pStyle w:val="Author-eSectionHeading5Numberless"/>
      </w:pPr>
      <w:bookmarkStart w:id="756" w:name="_Toc220490443"/>
      <w:r>
        <w:t>43.24.5 Revêtements de façade rigides fixés mécaniquement - panneaux en céramique CCTB 01.02</w:t>
      </w:r>
      <w:bookmarkEnd w:id="756"/>
    </w:p>
    <w:p w14:paraId="3A98DFCA" w14:textId="77777777" w:rsidR="00772179" w:rsidRDefault="00000000">
      <w:pPr>
        <w:pStyle w:val="Author-eSectionHeading6Numberless"/>
      </w:pPr>
      <w:bookmarkStart w:id="757" w:name="_Toc220490444"/>
      <w:r>
        <w:t>43.24.5a Revêtements de façade rigides fixés mécaniquement - panneaux en céramique</w:t>
      </w:r>
      <w:bookmarkEnd w:id="757"/>
    </w:p>
    <w:p w14:paraId="15CE1171" w14:textId="77777777" w:rsidR="00772179" w:rsidRDefault="00000000">
      <w:pPr>
        <w:pStyle w:val="Author-eSectionHeading5Numberless"/>
      </w:pPr>
      <w:bookmarkStart w:id="758" w:name="_Toc220490445"/>
      <w:r>
        <w:t>43.24.6 Revêtements de façade rigides fixés mécaniquement - panneaux divers CCTB 01.02</w:t>
      </w:r>
      <w:bookmarkEnd w:id="758"/>
    </w:p>
    <w:p w14:paraId="1D7FD35A" w14:textId="77777777" w:rsidR="00772179" w:rsidRDefault="00000000">
      <w:pPr>
        <w:pStyle w:val="Author-eSectionHeading6Numberless"/>
      </w:pPr>
      <w:bookmarkStart w:id="759" w:name="_Toc220490446"/>
      <w:r>
        <w:t>43.24.6a Revêtements de façade rigides fixés mécaniquement - panneaux divers CCTB 01.02</w:t>
      </w:r>
      <w:bookmarkEnd w:id="759"/>
    </w:p>
    <w:p w14:paraId="4BDBD91E" w14:textId="77777777" w:rsidR="00772179" w:rsidRDefault="00000000">
      <w:pPr>
        <w:pStyle w:val="Author-eSectionHeading4Numberless"/>
      </w:pPr>
      <w:bookmarkStart w:id="760" w:name="_Toc220490447"/>
      <w:r>
        <w:t>43.25 Revêtements de façade rigides fixés mécaniquement - plaques, tôles et cassettes CCTB 01.12</w:t>
      </w:r>
      <w:bookmarkEnd w:id="760"/>
    </w:p>
    <w:p w14:paraId="4C25414B" w14:textId="77777777" w:rsidR="00772179" w:rsidRDefault="00000000">
      <w:pPr>
        <w:pStyle w:val="pheading"/>
      </w:pPr>
      <w:r>
        <w:t>DESCRIPTION</w:t>
      </w:r>
    </w:p>
    <w:p w14:paraId="4C46BB94" w14:textId="77777777" w:rsidR="00772179" w:rsidRDefault="00000000">
      <w:pPr>
        <w:pStyle w:val="pheading"/>
      </w:pPr>
      <w:r>
        <w:t>- Définition / Comprend</w:t>
      </w:r>
    </w:p>
    <w:p w14:paraId="5096F4BB" w14:textId="77777777" w:rsidR="00772179" w:rsidRDefault="00000000">
      <w:pPr>
        <w:jc w:val="both"/>
      </w:pPr>
      <w:r>
        <w:t>Il s'agit de toutes les fournitures et tous les travaux en vue de la réalisation des revêtements de façade en plaques, tôles et cassettes, pour obtenir un ouvrage soigneusement achevé. Y compris la structure de support (telle que décrite au </w:t>
      </w:r>
      <w:hyperlink w:anchor="991" w:history="1">
        <w:r>
          <w:rPr>
            <w:color w:val="0000EE"/>
          </w:rPr>
          <w:t>43.11 Profilés de support continu du revêtement de façade</w:t>
        </w:r>
      </w:hyperlink>
      <w:r>
        <w:t xml:space="preserve">), </w:t>
      </w:r>
      <w:r>
        <w:lastRenderedPageBreak/>
        <w:t>les éléments de façade, les moyens de fixation, les profils de finition, en vue d'un raccord parfait et soigné aux autres éléments de façade.</w:t>
      </w:r>
    </w:p>
    <w:p w14:paraId="4A378D37" w14:textId="77777777" w:rsidR="00772179" w:rsidRDefault="00000000">
      <w:pPr>
        <w:jc w:val="both"/>
      </w:pPr>
      <w:r>
        <w:t>Les travaux comprennent notamment :</w:t>
      </w:r>
    </w:p>
    <w:p w14:paraId="5031444E" w14:textId="77777777" w:rsidR="00772179" w:rsidRDefault="00000000">
      <w:pPr>
        <w:pStyle w:val="Author-eListParagraph"/>
        <w:numPr>
          <w:ilvl w:val="0"/>
          <w:numId w:val="961"/>
        </w:numPr>
        <w:jc w:val="both"/>
      </w:pPr>
      <w:r>
        <w:t>La pose et l'enlèvement des échafaudages ;</w:t>
      </w:r>
    </w:p>
    <w:p w14:paraId="0D164F90" w14:textId="77777777" w:rsidR="00772179" w:rsidRDefault="00000000">
      <w:pPr>
        <w:pStyle w:val="Author-eListParagraph"/>
        <w:numPr>
          <w:ilvl w:val="0"/>
          <w:numId w:val="961"/>
        </w:numPr>
        <w:jc w:val="both"/>
      </w:pPr>
      <w:r>
        <w:t>Le cas échéant, la pose et l'enlèvement des bâches nécessaires à l'exécution ;</w:t>
      </w:r>
    </w:p>
    <w:p w14:paraId="2BF6F804" w14:textId="77777777" w:rsidR="00772179" w:rsidRDefault="00000000">
      <w:pPr>
        <w:pStyle w:val="Author-eListParagraph"/>
        <w:numPr>
          <w:ilvl w:val="0"/>
          <w:numId w:val="961"/>
        </w:numPr>
        <w:jc w:val="both"/>
      </w:pPr>
      <w:r>
        <w:t>Le cas échéant, l'enlèvement et la remise en place des descentes d'eau de pluie ;</w:t>
      </w:r>
    </w:p>
    <w:p w14:paraId="3C958DD7" w14:textId="77777777" w:rsidR="00772179" w:rsidRDefault="00000000">
      <w:pPr>
        <w:pStyle w:val="Author-eListParagraph"/>
        <w:numPr>
          <w:ilvl w:val="0"/>
          <w:numId w:val="961"/>
        </w:numPr>
        <w:jc w:val="both"/>
      </w:pPr>
      <w:r>
        <w:t>Le remplissage, l'enlèvement et/ou la protection provisoire des parties de façade qui ne sont pas destinées à recevoir le revêtement de façade ;</w:t>
      </w:r>
    </w:p>
    <w:p w14:paraId="506F4985" w14:textId="77777777" w:rsidR="00772179" w:rsidRDefault="00000000">
      <w:pPr>
        <w:pStyle w:val="Author-eListParagraph"/>
        <w:numPr>
          <w:ilvl w:val="0"/>
          <w:numId w:val="961"/>
        </w:numPr>
        <w:jc w:val="both"/>
      </w:pPr>
      <w:r>
        <w:t>Le traçage et/ou la mise d'aplomb des structures de murs, plafonds, caissons, …</w:t>
      </w:r>
    </w:p>
    <w:p w14:paraId="58645A0B" w14:textId="77777777" w:rsidR="00772179" w:rsidRDefault="00000000">
      <w:pPr>
        <w:pStyle w:val="Author-eListParagraph"/>
        <w:numPr>
          <w:ilvl w:val="0"/>
          <w:numId w:val="961"/>
        </w:numPr>
        <w:jc w:val="both"/>
      </w:pPr>
      <w:r>
        <w:t>La préparation et le nettoyage du support ;</w:t>
      </w:r>
    </w:p>
    <w:p w14:paraId="1CDF32F6" w14:textId="77777777" w:rsidR="00772179" w:rsidRDefault="00000000">
      <w:pPr>
        <w:pStyle w:val="Author-eListParagraph"/>
        <w:numPr>
          <w:ilvl w:val="0"/>
          <w:numId w:val="961"/>
        </w:numPr>
        <w:jc w:val="both"/>
      </w:pPr>
      <w:r>
        <w:t>La fourniture et le montage des structures portantes prescrites en bois ou en métal, y compris tous les éléments d'assemblage et/ou d'ancrage ;</w:t>
      </w:r>
    </w:p>
    <w:p w14:paraId="39B2CE7A" w14:textId="77777777" w:rsidR="00772179" w:rsidRDefault="00000000">
      <w:pPr>
        <w:pStyle w:val="Author-eListParagraph"/>
        <w:numPr>
          <w:ilvl w:val="0"/>
          <w:numId w:val="961"/>
        </w:numPr>
        <w:jc w:val="both"/>
      </w:pPr>
      <w:r>
        <w:t>La fourniture et la pose des renforts pour les fixations ou la suspension ;</w:t>
      </w:r>
    </w:p>
    <w:p w14:paraId="1BA7E042" w14:textId="77777777" w:rsidR="00772179" w:rsidRDefault="00000000">
      <w:pPr>
        <w:pStyle w:val="Author-eListParagraph"/>
        <w:numPr>
          <w:ilvl w:val="0"/>
          <w:numId w:val="961"/>
        </w:numPr>
        <w:jc w:val="both"/>
      </w:pPr>
      <w:r>
        <w:t>La réalisation des éventuelles réservations pour l’intégration des conduites, des appareils encastrés ou les trappes d'accès ainsi que la finition des bords pour les éléments d'encastrement ;</w:t>
      </w:r>
    </w:p>
    <w:p w14:paraId="125317D3" w14:textId="77777777" w:rsidR="00772179" w:rsidRDefault="00000000">
      <w:pPr>
        <w:pStyle w:val="Author-eListParagraph"/>
        <w:numPr>
          <w:ilvl w:val="0"/>
          <w:numId w:val="961"/>
        </w:numPr>
        <w:jc w:val="both"/>
      </w:pPr>
      <w:r>
        <w:t>La fourniture et la pose des panneaux de revêtement, y compris les moyens de fixation ;</w:t>
      </w:r>
    </w:p>
    <w:p w14:paraId="18C5B6F2" w14:textId="77777777" w:rsidR="00772179" w:rsidRDefault="00000000">
      <w:pPr>
        <w:pStyle w:val="Author-eListParagraph"/>
        <w:numPr>
          <w:ilvl w:val="0"/>
          <w:numId w:val="961"/>
        </w:numPr>
        <w:jc w:val="both"/>
      </w:pPr>
      <w:r>
        <w:t>L'évacuation et la gestion des déchets issus de travaux de démolition, de rénovation ou de construction font l'objet d'un ou plusieurs postes spécifiques, détaillés au 07 Déchets, matériaux et éléments réemployables.</w:t>
      </w:r>
    </w:p>
    <w:p w14:paraId="74082BB7" w14:textId="77777777" w:rsidR="00772179" w:rsidRDefault="00000000">
      <w:pPr>
        <w:pStyle w:val="Author-eListParagraph"/>
        <w:numPr>
          <w:ilvl w:val="0"/>
          <w:numId w:val="961"/>
        </w:numPr>
        <w:jc w:val="both"/>
      </w:pPr>
      <w:r>
        <w:t>Le cas échéant, les études et les essais (en ce qui concerne l’esthétique de la finition ainsi que les performances exigées en matière d'acoustique et/ou de résistance au feu et/ou de résistance mécanique) ;</w:t>
      </w:r>
    </w:p>
    <w:p w14:paraId="78820875" w14:textId="77777777" w:rsidR="00772179" w:rsidRDefault="00000000">
      <w:pPr>
        <w:pStyle w:val="Author-eListParagraph"/>
        <w:numPr>
          <w:ilvl w:val="0"/>
          <w:numId w:val="961"/>
        </w:numPr>
        <w:jc w:val="both"/>
      </w:pPr>
      <w:r>
        <w:t>Le cas échéant, la dépose et repose d’impétrants, câbles, œuvres, etc… placés en façades. Pour les impétrants, contacter au préalable le gestionnaire.</w:t>
      </w:r>
    </w:p>
    <w:p w14:paraId="2F8B6FCF" w14:textId="77777777" w:rsidR="00772179" w:rsidRDefault="00000000">
      <w:pPr>
        <w:pStyle w:val="pheading"/>
      </w:pPr>
      <w:r>
        <w:t>MATÉRIAUX</w:t>
      </w:r>
    </w:p>
    <w:p w14:paraId="134D230E" w14:textId="77777777" w:rsidR="00772179" w:rsidRDefault="00000000">
      <w:pPr>
        <w:jc w:val="both"/>
      </w:pPr>
      <w:r>
        <w:t>Les plaques, tôles et cassettes sont spécialement conçues pour être utilisés en milieu extérieur.</w:t>
      </w:r>
    </w:p>
    <w:p w14:paraId="1146952C" w14:textId="77777777" w:rsidR="00772179" w:rsidRDefault="00000000">
      <w:pPr>
        <w:jc w:val="both"/>
      </w:pPr>
      <w:r>
        <w:t>La forme et le profilage et/ou le mode de recouvrement sont conçus de manière à éviter toute stagnation d'eau sur les faces, les bords ou les arêtes.</w:t>
      </w:r>
    </w:p>
    <w:p w14:paraId="5BD57E97" w14:textId="77777777" w:rsidR="00772179" w:rsidRDefault="00000000">
      <w:pPr>
        <w:pStyle w:val="pheading"/>
      </w:pPr>
      <w:r>
        <w:t>EXÉCUTION / MISE EN ŒUVRE</w:t>
      </w:r>
    </w:p>
    <w:p w14:paraId="28665D3E" w14:textId="77777777" w:rsidR="00772179" w:rsidRDefault="00000000">
      <w:r>
        <w:t>La mise en œuvre et la réalisation des raccords aux ouvrages existants suivent les recommandations de la documentation technique accompagnant le système.</w:t>
      </w:r>
    </w:p>
    <w:p w14:paraId="7A13ED0F" w14:textId="77777777" w:rsidR="00772179" w:rsidRDefault="00000000">
      <w:pPr>
        <w:jc w:val="both"/>
      </w:pPr>
      <w:r>
        <w:t>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697A5AF9" w14:textId="77777777" w:rsidR="00772179" w:rsidRDefault="00000000">
      <w:pPr>
        <w:pStyle w:val="Author-eSectionHeading5Numberless"/>
      </w:pPr>
      <w:bookmarkStart w:id="761" w:name="_Toc220490448"/>
      <w:r>
        <w:t>43.25.1 Revêtements de façade rigides fixés mécaniquement - plaques en fibres-ciment CCTB 01.02</w:t>
      </w:r>
      <w:bookmarkEnd w:id="761"/>
    </w:p>
    <w:p w14:paraId="1600EC7C" w14:textId="77777777" w:rsidR="00772179" w:rsidRDefault="00000000">
      <w:pPr>
        <w:pStyle w:val="Author-eSectionHeading6Numberless"/>
      </w:pPr>
      <w:bookmarkStart w:id="762" w:name="_Toc220490449"/>
      <w:r>
        <w:t>43.25.1a Revêtements de façade rigides fixés mécaniquement - plaques en fibres-ciment CCTB 01.12</w:t>
      </w:r>
      <w:bookmarkEnd w:id="762"/>
    </w:p>
    <w:p w14:paraId="3C7D0559" w14:textId="77777777" w:rsidR="00772179" w:rsidRDefault="00000000">
      <w:pPr>
        <w:pStyle w:val="pheading"/>
      </w:pPr>
      <w:r>
        <w:t>DESCRIPTION</w:t>
      </w:r>
    </w:p>
    <w:p w14:paraId="2342F8EE" w14:textId="77777777" w:rsidR="00772179" w:rsidRDefault="00000000">
      <w:pPr>
        <w:pStyle w:val="pheading"/>
      </w:pPr>
      <w:r>
        <w:t>- Définition / Comprend</w:t>
      </w:r>
    </w:p>
    <w:p w14:paraId="5B5494E1" w14:textId="77777777" w:rsidR="00772179" w:rsidRDefault="00000000">
      <w:pPr>
        <w:jc w:val="both"/>
      </w:pPr>
      <w:r>
        <w:t>Il s’agit de la fourniture et de la pose de plaques en fibres ciment fixées mécaniquement à une structure secondaire en profilés appliqués en façade en vue de la réalisation d’un ouvrage soigné et propre.</w:t>
      </w:r>
    </w:p>
    <w:p w14:paraId="56E07472" w14:textId="77777777" w:rsidR="00772179" w:rsidRDefault="00000000">
      <w:pPr>
        <w:jc w:val="both"/>
      </w:pPr>
      <w:r>
        <w:t>La portée des travaux est décrite au </w:t>
      </w:r>
      <w:hyperlink w:anchor="984" w:history="1">
        <w:r>
          <w:rPr>
            <w:color w:val="0000EE"/>
          </w:rPr>
          <w:t>43.2 Revêtements de façade rigides fixés mécaniquement</w:t>
        </w:r>
      </w:hyperlink>
      <w:r>
        <w:t>.</w:t>
      </w:r>
    </w:p>
    <w:p w14:paraId="7BE02B27" w14:textId="77777777" w:rsidR="00772179" w:rsidRDefault="00000000">
      <w:pPr>
        <w:jc w:val="both"/>
      </w:pPr>
      <w:r>
        <w:lastRenderedPageBreak/>
        <w:t>Cet article comprend également :</w:t>
      </w:r>
    </w:p>
    <w:p w14:paraId="61E46D07" w14:textId="77777777" w:rsidR="00772179" w:rsidRDefault="00000000">
      <w:pPr>
        <w:pStyle w:val="Author-eListParagraph"/>
        <w:numPr>
          <w:ilvl w:val="0"/>
          <w:numId w:val="962"/>
        </w:numPr>
      </w:pPr>
      <w:r>
        <w:t>l’étude par le fabricant des plans de détail, de calepinage et des prescriptions de pose (entraxe, diamètre de fixation et nombre, etc...) à établir sur base des plans de façade et en fonction de la nature de la structure de support ;</w:t>
      </w:r>
    </w:p>
    <w:p w14:paraId="13379B1C" w14:textId="77777777" w:rsidR="00772179" w:rsidRDefault="00000000">
      <w:pPr>
        <w:pStyle w:val="Author-eListParagraph"/>
        <w:numPr>
          <w:ilvl w:val="0"/>
          <w:numId w:val="962"/>
        </w:numPr>
      </w:pPr>
      <w:r>
        <w:t>le calcul statique du système de façade.</w:t>
      </w:r>
    </w:p>
    <w:p w14:paraId="5746346C" w14:textId="77777777" w:rsidR="00772179" w:rsidRDefault="00000000">
      <w:pPr>
        <w:jc w:val="both"/>
      </w:pPr>
      <w:r>
        <w:t>L’ensemble est à soumettre à l’approbation de la direction du chantier.</w:t>
      </w:r>
    </w:p>
    <w:p w14:paraId="3B55F65D" w14:textId="77777777" w:rsidR="00772179" w:rsidRDefault="00000000">
      <w:pPr>
        <w:pStyle w:val="pheading"/>
      </w:pPr>
      <w:r>
        <w:t>MATÉRIAUX</w:t>
      </w:r>
    </w:p>
    <w:p w14:paraId="6BD93389" w14:textId="77777777" w:rsidR="00772179" w:rsidRDefault="00000000">
      <w:pPr>
        <w:pStyle w:val="pheading"/>
      </w:pPr>
      <w:r>
        <w:t>- Caractéristiques générales</w:t>
      </w:r>
    </w:p>
    <w:p w14:paraId="069B023D" w14:textId="77777777" w:rsidR="00772179" w:rsidRDefault="00000000">
      <w:pPr>
        <w:jc w:val="both"/>
      </w:pPr>
      <w:r>
        <w:rPr>
          <w:b/>
        </w:rPr>
        <w:t>Structure de support en profilés :</w:t>
      </w:r>
      <w:r>
        <w:t xml:space="preserve">  </w:t>
      </w:r>
      <w:r>
        <w:rPr>
          <w:rStyle w:val="optioncarChar"/>
        </w:rPr>
        <w:t>bois</w:t>
      </w:r>
      <w:r>
        <w:t xml:space="preserve"> (par défaut)</w:t>
      </w:r>
      <w:r>
        <w:rPr>
          <w:rStyle w:val="optioncarChar"/>
        </w:rPr>
        <w:t xml:space="preserve"> / métalliques / ***.</w:t>
      </w:r>
    </w:p>
    <w:p w14:paraId="03B18E31" w14:textId="77777777" w:rsidR="00772179" w:rsidRDefault="00000000">
      <w:pPr>
        <w:jc w:val="both"/>
      </w:pPr>
      <w:r>
        <w:rPr>
          <w:b/>
        </w:rPr>
        <w:t>(soit par défaut)</w:t>
      </w:r>
    </w:p>
    <w:p w14:paraId="4DA8B1D6" w14:textId="77777777" w:rsidR="00772179" w:rsidRDefault="00000000">
      <w:pPr>
        <w:jc w:val="both"/>
      </w:pPr>
      <w:r>
        <w:rPr>
          <w:rStyle w:val="soitChar"/>
          <w:u w:val="single"/>
        </w:rPr>
        <w:t>Bois :</w:t>
      </w:r>
      <w:r>
        <w:rPr>
          <w:rStyle w:val="soitChar"/>
        </w:rPr>
        <w:t xml:space="preserve"> la fourniture et la pose est décrite au </w:t>
      </w:r>
      <w:hyperlink w:anchor="985" w:history="1">
        <w:r>
          <w:rPr>
            <w:rStyle w:val="soitChar"/>
            <w:color w:val="0000EE"/>
          </w:rPr>
          <w:t>43.11.1 Profilés de support continu en bois du revêtement de façade</w:t>
        </w:r>
      </w:hyperlink>
      <w:r>
        <w:rPr>
          <w:rStyle w:val="soitChar"/>
        </w:rPr>
        <w:t> et son coût est inclus dans le présent article.</w:t>
      </w:r>
    </w:p>
    <w:p w14:paraId="5BBB35E2" w14:textId="77777777" w:rsidR="00772179" w:rsidRDefault="00000000">
      <w:pPr>
        <w:jc w:val="both"/>
      </w:pPr>
      <w:r>
        <w:rPr>
          <w:b/>
        </w:rPr>
        <w:t>(soit)</w:t>
      </w:r>
    </w:p>
    <w:p w14:paraId="380F0275" w14:textId="77777777" w:rsidR="00772179" w:rsidRDefault="00000000">
      <w:pPr>
        <w:jc w:val="both"/>
      </w:pPr>
      <w:r>
        <w:rPr>
          <w:rStyle w:val="soitChar"/>
          <w:u w:val="single"/>
        </w:rPr>
        <w:t>Métalliques :</w:t>
      </w:r>
      <w:r>
        <w:rPr>
          <w:rStyle w:val="soitChar"/>
        </w:rPr>
        <w:t xml:space="preserve"> la fourniture et la pose est décrite au </w:t>
      </w:r>
      <w:hyperlink w:anchor="993" w:history="1">
        <w:r>
          <w:rPr>
            <w:rStyle w:val="soitChar"/>
            <w:color w:val="0000EE"/>
          </w:rPr>
          <w:t>43.11.2 Profilés de support continu métallique du revêtement de façade</w:t>
        </w:r>
      </w:hyperlink>
      <w:r>
        <w:rPr>
          <w:rStyle w:val="soitChar"/>
        </w:rPr>
        <w:t> et son coût est inclus dans le présent article.</w:t>
      </w:r>
    </w:p>
    <w:p w14:paraId="32DE16CD" w14:textId="77777777" w:rsidR="00772179" w:rsidRDefault="00000000">
      <w:pPr>
        <w:jc w:val="both"/>
      </w:pPr>
      <w:r>
        <w:rPr>
          <w:b/>
        </w:rPr>
        <w:t>(soit)</w:t>
      </w:r>
    </w:p>
    <w:p w14:paraId="0D1D7737" w14:textId="77777777" w:rsidR="00772179" w:rsidRDefault="00000000">
      <w:pPr>
        <w:jc w:val="both"/>
      </w:pPr>
      <w:r>
        <w:rPr>
          <w:rStyle w:val="optioncarChar"/>
        </w:rPr>
        <w:t>***</w:t>
      </w:r>
    </w:p>
    <w:p w14:paraId="3E732A0F" w14:textId="77777777" w:rsidR="00772179" w:rsidRDefault="00000000">
      <w:pPr>
        <w:jc w:val="both"/>
      </w:pPr>
      <w:r>
        <w:rPr>
          <w:b/>
        </w:rPr>
        <w:t>Isolation :</w:t>
      </w:r>
      <w:r>
        <w:t> </w:t>
      </w:r>
      <w:r>
        <w:rPr>
          <w:rStyle w:val="optioncarChar"/>
        </w:rPr>
        <w:t>oui</w:t>
      </w:r>
      <w:r>
        <w:t xml:space="preserve"> (par défaut)</w:t>
      </w:r>
      <w:r>
        <w:rPr>
          <w:rStyle w:val="optioncarChar"/>
        </w:rPr>
        <w:t xml:space="preserve"> / non</w:t>
      </w:r>
    </w:p>
    <w:p w14:paraId="63215A50" w14:textId="77777777" w:rsidR="00772179" w:rsidRDefault="00000000">
      <w:pPr>
        <w:jc w:val="both"/>
      </w:pPr>
      <w:r>
        <w:rPr>
          <w:b/>
        </w:rPr>
        <w:t>(soit par défaut)</w:t>
      </w:r>
    </w:p>
    <w:p w14:paraId="1192993D" w14:textId="77777777" w:rsidR="00772179" w:rsidRDefault="00000000">
      <w:pPr>
        <w:jc w:val="both"/>
      </w:pPr>
      <w:r>
        <w:rPr>
          <w:rStyle w:val="soitChar"/>
          <w:u w:val="single"/>
        </w:rPr>
        <w:t>Oui :</w:t>
      </w:r>
      <w:r>
        <w:rPr>
          <w:rStyle w:val="soitChar"/>
        </w:rPr>
        <w:t xml:space="preserve"> la fourniture et la pose des panneaux d’isolation entre montants de la structure ou en continu en fonction de la technologie constructive est décrite et comptabilisée au </w:t>
      </w:r>
      <w:hyperlink w:anchor="997" w:history="1">
        <w:r>
          <w:rPr>
            <w:rStyle w:val="soitChar"/>
            <w:color w:val="0000EE"/>
          </w:rPr>
          <w:t>44.41 Isolation en panneaux</w:t>
        </w:r>
      </w:hyperlink>
      <w:r>
        <w:rPr>
          <w:rStyle w:val="soitChar"/>
        </w:rPr>
        <w:t>.</w:t>
      </w:r>
    </w:p>
    <w:p w14:paraId="400D7B66" w14:textId="77777777" w:rsidR="00772179" w:rsidRDefault="00000000">
      <w:pPr>
        <w:jc w:val="both"/>
      </w:pPr>
      <w:r>
        <w:rPr>
          <w:b/>
        </w:rPr>
        <w:t>(soit)</w:t>
      </w:r>
    </w:p>
    <w:p w14:paraId="6043C168" w14:textId="77777777" w:rsidR="00772179" w:rsidRDefault="00000000">
      <w:pPr>
        <w:jc w:val="both"/>
      </w:pPr>
      <w:r>
        <w:rPr>
          <w:rStyle w:val="soitChar"/>
          <w:u w:val="single"/>
        </w:rPr>
        <w:t>Non :</w:t>
      </w:r>
      <w:r>
        <w:rPr>
          <w:rStyle w:val="soitChar"/>
        </w:rPr>
        <w:t xml:space="preserve"> pas d’isolation </w:t>
      </w:r>
    </w:p>
    <w:p w14:paraId="225FAC51" w14:textId="77777777" w:rsidR="00772179" w:rsidRDefault="00772179"/>
    <w:p w14:paraId="4B626ABA" w14:textId="77777777" w:rsidR="00772179" w:rsidRDefault="00000000">
      <w:pPr>
        <w:jc w:val="both"/>
      </w:pPr>
      <w:r>
        <w:rPr>
          <w:b/>
        </w:rPr>
        <w:t>Pare-pluie :</w:t>
      </w:r>
      <w:r>
        <w:t>  </w:t>
      </w:r>
      <w:r>
        <w:rPr>
          <w:rStyle w:val="optioncarChar"/>
        </w:rPr>
        <w:t xml:space="preserve">oui </w:t>
      </w:r>
      <w:r>
        <w:t>(par défaut)</w:t>
      </w:r>
      <w:r>
        <w:rPr>
          <w:rStyle w:val="optioncarChar"/>
        </w:rPr>
        <w:t xml:space="preserve"> / non</w:t>
      </w:r>
    </w:p>
    <w:p w14:paraId="19A55078" w14:textId="77777777" w:rsidR="00772179" w:rsidRDefault="00772179">
      <w:pPr>
        <w:jc w:val="both"/>
      </w:pPr>
    </w:p>
    <w:p w14:paraId="760CB879" w14:textId="77777777" w:rsidR="00772179" w:rsidRDefault="00000000">
      <w:pPr>
        <w:jc w:val="both"/>
      </w:pPr>
      <w:r>
        <w:rPr>
          <w:b/>
        </w:rPr>
        <w:t>(soit par défaut)</w:t>
      </w:r>
    </w:p>
    <w:p w14:paraId="610DF297" w14:textId="77777777" w:rsidR="00772179" w:rsidRDefault="00000000">
      <w:pPr>
        <w:jc w:val="both"/>
      </w:pPr>
      <w:r>
        <w:rPr>
          <w:rStyle w:val="soitChar"/>
          <w:u w:val="single"/>
        </w:rPr>
        <w:t>Oui :</w:t>
      </w:r>
      <w:r>
        <w:rPr>
          <w:rStyle w:val="soitChar"/>
        </w:rPr>
        <w:t xml:space="preserve">  la fourniture et la pose des pare-pluies posés sur l’ensemble de la surface de façade avec raccord aux baies est décrite et comptabilisée au </w:t>
      </w:r>
      <w:hyperlink w:anchor="994" w:history="1">
        <w:r>
          <w:rPr>
            <w:rStyle w:val="soitChar"/>
            <w:color w:val="0000EE"/>
          </w:rPr>
          <w:t>44.13 Pare-pluie souples</w:t>
        </w:r>
      </w:hyperlink>
      <w:r>
        <w:rPr>
          <w:rStyle w:val="soitChar"/>
        </w:rPr>
        <w:t xml:space="preserve"> / </w:t>
      </w:r>
      <w:hyperlink w:anchor="995" w:history="1">
        <w:r>
          <w:rPr>
            <w:rStyle w:val="soitChar"/>
            <w:color w:val="0000EE"/>
          </w:rPr>
          <w:t>44.14 Pare-pluie rigides</w:t>
        </w:r>
      </w:hyperlink>
      <w:r>
        <w:rPr>
          <w:rStyle w:val="soitChar"/>
        </w:rPr>
        <w:t>.</w:t>
      </w:r>
    </w:p>
    <w:p w14:paraId="6F2075C7" w14:textId="77777777" w:rsidR="00772179" w:rsidRDefault="00000000">
      <w:pPr>
        <w:jc w:val="both"/>
      </w:pPr>
      <w:r>
        <w:rPr>
          <w:b/>
        </w:rPr>
        <w:t>(soit)</w:t>
      </w:r>
    </w:p>
    <w:p w14:paraId="4B5334D9" w14:textId="77777777" w:rsidR="00772179" w:rsidRDefault="00000000">
      <w:pPr>
        <w:jc w:val="both"/>
      </w:pPr>
      <w:r>
        <w:rPr>
          <w:rStyle w:val="soitChar"/>
          <w:u w:val="single"/>
        </w:rPr>
        <w:t>Non :</w:t>
      </w:r>
      <w:r>
        <w:rPr>
          <w:rStyle w:val="soitChar"/>
        </w:rPr>
        <w:t xml:space="preserve"> pas de pare-pluie </w:t>
      </w:r>
    </w:p>
    <w:p w14:paraId="521F55DA" w14:textId="77777777" w:rsidR="00772179" w:rsidRDefault="00000000">
      <w:pPr>
        <w:jc w:val="both"/>
      </w:pPr>
      <w:r>
        <w:rPr>
          <w:b/>
        </w:rPr>
        <w:t>Plaques en fibres-ciment :</w:t>
      </w:r>
    </w:p>
    <w:p w14:paraId="172D710D" w14:textId="77777777" w:rsidR="00772179" w:rsidRDefault="00000000">
      <w:pPr>
        <w:jc w:val="both"/>
      </w:pPr>
      <w:r>
        <w:t>Les revêtements de façade se composent de plaques de fibres-ciment autoclavées exemptes d'amiante. Le matériau de base est une plaque de fibres-ciment comprimée et durcie qui se compose de ciment Portland, de fibres organiques naturelles et de matières de charge minérales sélectionnées. Les plaques conviennent pour être utilisées en milieu extérieur conformément à la [NBN EN 12467:2012+A2].</w:t>
      </w:r>
    </w:p>
    <w:p w14:paraId="4556C5EE" w14:textId="77777777" w:rsidR="00772179" w:rsidRDefault="00000000">
      <w:pPr>
        <w:pStyle w:val="Author-eListParagraph"/>
        <w:numPr>
          <w:ilvl w:val="0"/>
          <w:numId w:val="963"/>
        </w:numPr>
      </w:pPr>
      <w:r>
        <w:t xml:space="preserve">Densité : ≥ </w:t>
      </w:r>
      <w:r>
        <w:rPr>
          <w:rStyle w:val="optioncarChar"/>
        </w:rPr>
        <w:t xml:space="preserve">1600 </w:t>
      </w:r>
      <w:r>
        <w:t xml:space="preserve">(par défaut) </w:t>
      </w:r>
      <w:r>
        <w:rPr>
          <w:rStyle w:val="optioncarChar"/>
        </w:rPr>
        <w:t>/ 1750 / ***</w:t>
      </w:r>
      <w:r>
        <w:t xml:space="preserve"> kg/m³</w:t>
      </w:r>
    </w:p>
    <w:p w14:paraId="2CF41CDF" w14:textId="77777777" w:rsidR="00772179" w:rsidRDefault="00000000">
      <w:pPr>
        <w:pStyle w:val="Author-eListParagraph"/>
        <w:numPr>
          <w:ilvl w:val="0"/>
          <w:numId w:val="963"/>
        </w:numPr>
      </w:pPr>
      <w:r>
        <w:t xml:space="preserve">Durabilité selon [NBN EN 12467:2012+A2] : </w:t>
      </w:r>
      <w:r>
        <w:rPr>
          <w:rStyle w:val="optioncarChar"/>
        </w:rPr>
        <w:t xml:space="preserve">catégorie A </w:t>
      </w:r>
      <w:r>
        <w:t>(par défaut)</w:t>
      </w:r>
      <w:r>
        <w:rPr>
          <w:rStyle w:val="optioncarChar"/>
        </w:rPr>
        <w:t xml:space="preserve"> / ***</w:t>
      </w:r>
    </w:p>
    <w:p w14:paraId="2C044F96" w14:textId="77777777" w:rsidR="00772179" w:rsidRDefault="00000000">
      <w:pPr>
        <w:pStyle w:val="Author-eListParagraph"/>
        <w:numPr>
          <w:ilvl w:val="0"/>
          <w:numId w:val="963"/>
        </w:numPr>
      </w:pPr>
      <w:r>
        <w:t xml:space="preserve">Résistance selon [NBN EN 12467:2012+A2] : </w:t>
      </w:r>
      <w:r>
        <w:rPr>
          <w:rStyle w:val="optioncarChar"/>
        </w:rPr>
        <w:t>classe 2</w:t>
      </w:r>
      <w:r>
        <w:t xml:space="preserve"> (par défaut)</w:t>
      </w:r>
      <w:r>
        <w:rPr>
          <w:rStyle w:val="optioncarChar"/>
        </w:rPr>
        <w:t xml:space="preserve"> / ***</w:t>
      </w:r>
    </w:p>
    <w:p w14:paraId="3C6DE64A" w14:textId="77777777" w:rsidR="00772179" w:rsidRDefault="00000000">
      <w:pPr>
        <w:pStyle w:val="Author-eListParagraph"/>
        <w:numPr>
          <w:ilvl w:val="0"/>
          <w:numId w:val="963"/>
        </w:numPr>
      </w:pPr>
      <w:r>
        <w:t xml:space="preserve">Résistant au gel selon [NBN EN 12467:2012+A2] : </w:t>
      </w:r>
      <w:r>
        <w:rPr>
          <w:rStyle w:val="optioncarChar"/>
        </w:rPr>
        <w:t xml:space="preserve">classe A </w:t>
      </w:r>
      <w:r>
        <w:t>(par défaut)</w:t>
      </w:r>
      <w:r>
        <w:rPr>
          <w:rStyle w:val="optioncarChar"/>
        </w:rPr>
        <w:t xml:space="preserve"> / ***</w:t>
      </w:r>
    </w:p>
    <w:p w14:paraId="5F287295" w14:textId="77777777" w:rsidR="00772179" w:rsidRDefault="00000000">
      <w:pPr>
        <w:pStyle w:val="Author-eListParagraph"/>
        <w:numPr>
          <w:ilvl w:val="0"/>
          <w:numId w:val="963"/>
        </w:numPr>
      </w:pPr>
      <w:r>
        <w:t xml:space="preserve">Réaction au feu selon [NBN EN 13501-1] : </w:t>
      </w:r>
      <w:r>
        <w:rPr>
          <w:rStyle w:val="optioncarChar"/>
        </w:rPr>
        <w:t xml:space="preserve">A2-s1,d0 </w:t>
      </w:r>
      <w:r>
        <w:t>(par défaut)</w:t>
      </w:r>
      <w:r>
        <w:rPr>
          <w:rStyle w:val="optioncarChar"/>
        </w:rPr>
        <w:t xml:space="preserve"> / ***</w:t>
      </w:r>
      <w:r>
        <w:t xml:space="preserve"> (suivant [AR 1994-07-07] et ses annexes)</w:t>
      </w:r>
    </w:p>
    <w:p w14:paraId="2DC0A5D5" w14:textId="77777777" w:rsidR="00772179" w:rsidRDefault="00000000">
      <w:pPr>
        <w:jc w:val="both"/>
      </w:pPr>
      <w:r>
        <w:rPr>
          <w:b/>
        </w:rPr>
        <w:t>Type de plaque :</w:t>
      </w:r>
    </w:p>
    <w:p w14:paraId="52A69ED7" w14:textId="77777777" w:rsidR="00772179" w:rsidRDefault="00000000">
      <w:pPr>
        <w:jc w:val="both"/>
      </w:pPr>
      <w:r>
        <w:rPr>
          <w:rStyle w:val="optioncarChar"/>
        </w:rPr>
        <w:lastRenderedPageBreak/>
        <w:t>Colorée dans la masse</w:t>
      </w:r>
      <w:r>
        <w:t xml:space="preserve"> (par défaut) </w:t>
      </w:r>
      <w:r>
        <w:rPr>
          <w:rStyle w:val="optioncarChar"/>
        </w:rPr>
        <w:t>/ belle face finie à l’aide d’un agent semi-transparent / belle face finie d’une double couche acrylique / ***</w:t>
      </w:r>
    </w:p>
    <w:p w14:paraId="5D287C5D" w14:textId="77777777" w:rsidR="00772179" w:rsidRDefault="00000000">
      <w:pPr>
        <w:jc w:val="both"/>
      </w:pPr>
      <w:r>
        <w:rPr>
          <w:b/>
        </w:rPr>
        <w:t>(soit par défaut)</w:t>
      </w:r>
    </w:p>
    <w:p w14:paraId="7537E8F4" w14:textId="77777777" w:rsidR="00772179" w:rsidRDefault="00000000">
      <w:pPr>
        <w:jc w:val="both"/>
      </w:pPr>
      <w:r>
        <w:rPr>
          <w:rStyle w:val="soitChar"/>
          <w:u w:val="single"/>
        </w:rPr>
        <w:t>Colorée dans la masse :</w:t>
      </w:r>
    </w:p>
    <w:p w14:paraId="7CF0CB6D" w14:textId="77777777" w:rsidR="00772179" w:rsidRDefault="00000000">
      <w:pPr>
        <w:pStyle w:val="Author-eListParagraph"/>
        <w:numPr>
          <w:ilvl w:val="0"/>
          <w:numId w:val="964"/>
        </w:numPr>
      </w:pPr>
      <w:r>
        <w:rPr>
          <w:rStyle w:val="soitChar"/>
        </w:rPr>
        <w:t>Type : doublement comprimé, autoclavé</w:t>
      </w:r>
    </w:p>
    <w:p w14:paraId="3CB91F4A" w14:textId="77777777" w:rsidR="00772179" w:rsidRDefault="00000000">
      <w:pPr>
        <w:pStyle w:val="Author-eListParagraph"/>
        <w:numPr>
          <w:ilvl w:val="0"/>
          <w:numId w:val="964"/>
        </w:numPr>
      </w:pPr>
      <w:r>
        <w:rPr>
          <w:rStyle w:val="soitChar"/>
        </w:rPr>
        <w:t xml:space="preserve">Epaisseur : </w:t>
      </w:r>
      <w:r>
        <w:rPr>
          <w:rStyle w:val="optioncarChar"/>
        </w:rPr>
        <w:t>10</w:t>
      </w:r>
      <w:r>
        <w:t xml:space="preserve"> (par défaut)</w:t>
      </w:r>
      <w:r>
        <w:rPr>
          <w:rStyle w:val="optioncarChar"/>
        </w:rPr>
        <w:t xml:space="preserve"> / ***</w:t>
      </w:r>
      <w:r>
        <w:rPr>
          <w:rStyle w:val="soitChar"/>
        </w:rPr>
        <w:t xml:space="preserve"> mm.</w:t>
      </w:r>
    </w:p>
    <w:p w14:paraId="24F23C1E" w14:textId="77777777" w:rsidR="00772179" w:rsidRDefault="00000000">
      <w:pPr>
        <w:pStyle w:val="Author-eListParagraph"/>
        <w:numPr>
          <w:ilvl w:val="0"/>
          <w:numId w:val="964"/>
        </w:numPr>
      </w:pPr>
      <w:r>
        <w:rPr>
          <w:rStyle w:val="soitChar"/>
        </w:rPr>
        <w:t xml:space="preserve">Dimensions panneaux : </w:t>
      </w:r>
      <w:r>
        <w:rPr>
          <w:rStyle w:val="optioncarChar"/>
        </w:rPr>
        <w:t xml:space="preserve">au choix de l'entrepreneur mais proposition à soumettre à l’approbation de la direction du chantier </w:t>
      </w:r>
      <w:r>
        <w:t>(par défaut)</w:t>
      </w:r>
      <w:r>
        <w:rPr>
          <w:rStyle w:val="optioncarChar"/>
        </w:rPr>
        <w:t xml:space="preserve"> / 1220 x 2500 / 1220 x 3050 / *** mm</w:t>
      </w:r>
      <w:r>
        <w:rPr>
          <w:rStyle w:val="soitChar"/>
        </w:rPr>
        <w:t>.</w:t>
      </w:r>
    </w:p>
    <w:p w14:paraId="7BF90364" w14:textId="77777777" w:rsidR="00772179" w:rsidRDefault="00000000">
      <w:pPr>
        <w:pStyle w:val="Author-eListParagraph"/>
        <w:numPr>
          <w:ilvl w:val="0"/>
          <w:numId w:val="964"/>
        </w:numPr>
      </w:pPr>
      <w:r>
        <w:rPr>
          <w:rStyle w:val="soitChar"/>
        </w:rPr>
        <w:t>La belle face et la face arrière des panneaux sont rendues hydrofuge.</w:t>
      </w:r>
    </w:p>
    <w:p w14:paraId="1B0411E2" w14:textId="77777777" w:rsidR="00772179" w:rsidRDefault="00000000">
      <w:pPr>
        <w:jc w:val="both"/>
      </w:pPr>
      <w:r>
        <w:rPr>
          <w:b/>
        </w:rPr>
        <w:t>(soit)</w:t>
      </w:r>
    </w:p>
    <w:p w14:paraId="062EDD01" w14:textId="77777777" w:rsidR="00772179" w:rsidRDefault="00000000">
      <w:pPr>
        <w:jc w:val="both"/>
      </w:pPr>
      <w:r>
        <w:rPr>
          <w:rStyle w:val="soitChar"/>
          <w:u w:val="single"/>
        </w:rPr>
        <w:t>Belle face finie à l’aide d’un agent semi-transparent :</w:t>
      </w:r>
    </w:p>
    <w:p w14:paraId="4EE110EE" w14:textId="77777777" w:rsidR="00772179" w:rsidRDefault="00000000">
      <w:pPr>
        <w:pStyle w:val="Author-eListParagraph"/>
        <w:numPr>
          <w:ilvl w:val="0"/>
          <w:numId w:val="965"/>
        </w:numPr>
      </w:pPr>
      <w:r>
        <w:rPr>
          <w:rStyle w:val="soitChar"/>
        </w:rPr>
        <w:t>Type : doublement comprimé, séché par air</w:t>
      </w:r>
    </w:p>
    <w:p w14:paraId="2B5362B0" w14:textId="77777777" w:rsidR="00772179" w:rsidRDefault="00000000">
      <w:pPr>
        <w:pStyle w:val="Author-eListParagraph"/>
        <w:numPr>
          <w:ilvl w:val="0"/>
          <w:numId w:val="965"/>
        </w:numPr>
      </w:pPr>
      <w:r>
        <w:rPr>
          <w:rStyle w:val="soitChar"/>
        </w:rPr>
        <w:t xml:space="preserve">Epaisseur : </w:t>
      </w:r>
      <w:r>
        <w:rPr>
          <w:rStyle w:val="optioncarChar"/>
        </w:rPr>
        <w:t>8</w:t>
      </w:r>
      <w:r>
        <w:t xml:space="preserve"> (par défaut) </w:t>
      </w:r>
      <w:r>
        <w:rPr>
          <w:rStyle w:val="optioncarChar"/>
        </w:rPr>
        <w:t>/ 12 / ***</w:t>
      </w:r>
      <w:r>
        <w:rPr>
          <w:rStyle w:val="soitChar"/>
        </w:rPr>
        <w:t xml:space="preserve"> mm.</w:t>
      </w:r>
    </w:p>
    <w:p w14:paraId="38FDC6D1" w14:textId="77777777" w:rsidR="00772179" w:rsidRDefault="00000000">
      <w:pPr>
        <w:pStyle w:val="Author-eListParagraph"/>
        <w:numPr>
          <w:ilvl w:val="0"/>
          <w:numId w:val="965"/>
        </w:numPr>
      </w:pPr>
      <w:r>
        <w:rPr>
          <w:rStyle w:val="soitChar"/>
        </w:rPr>
        <w:t xml:space="preserve">Dimensions panneaux : </w:t>
      </w:r>
      <w:r>
        <w:rPr>
          <w:rStyle w:val="optioncarChar"/>
        </w:rPr>
        <w:t xml:space="preserve">au choix de l'entrepreneur mais proposition à soumettre à l’approbation de la direction du chantier </w:t>
      </w:r>
      <w:r>
        <w:t>(par défaut)</w:t>
      </w:r>
      <w:r>
        <w:rPr>
          <w:rStyle w:val="optioncarChar"/>
        </w:rPr>
        <w:t xml:space="preserve"> / *** mm</w:t>
      </w:r>
      <w:r>
        <w:rPr>
          <w:rStyle w:val="soitChar"/>
        </w:rPr>
        <w:t>.</w:t>
      </w:r>
    </w:p>
    <w:p w14:paraId="7AC10156" w14:textId="77777777" w:rsidR="00772179" w:rsidRDefault="00000000">
      <w:pPr>
        <w:pStyle w:val="Author-eListParagraph"/>
        <w:numPr>
          <w:ilvl w:val="0"/>
          <w:numId w:val="965"/>
        </w:numPr>
      </w:pPr>
      <w:r>
        <w:rPr>
          <w:rStyle w:val="soitChar"/>
        </w:rPr>
        <w:t>La belle face des panneaux est finie au moyen d’un agent acrylique en dispersion semi-transparent colorée.</w:t>
      </w:r>
    </w:p>
    <w:p w14:paraId="595D3009" w14:textId="77777777" w:rsidR="00772179" w:rsidRDefault="00000000">
      <w:pPr>
        <w:pStyle w:val="Author-eListParagraph"/>
        <w:numPr>
          <w:ilvl w:val="0"/>
          <w:numId w:val="965"/>
        </w:numPr>
      </w:pPr>
      <w:r>
        <w:rPr>
          <w:rStyle w:val="soitChar"/>
        </w:rPr>
        <w:t>La face arrière des panneaux a un revêtement transparent.</w:t>
      </w:r>
    </w:p>
    <w:p w14:paraId="6708A368" w14:textId="77777777" w:rsidR="00772179" w:rsidRDefault="00000000">
      <w:pPr>
        <w:jc w:val="both"/>
      </w:pPr>
      <w:r>
        <w:rPr>
          <w:b/>
        </w:rPr>
        <w:t>(soit)</w:t>
      </w:r>
    </w:p>
    <w:p w14:paraId="5171BA53" w14:textId="77777777" w:rsidR="00772179" w:rsidRDefault="00000000">
      <w:pPr>
        <w:jc w:val="both"/>
      </w:pPr>
      <w:r>
        <w:rPr>
          <w:rStyle w:val="soitChar"/>
          <w:u w:val="single"/>
        </w:rPr>
        <w:t>Belle face finie d’une double couche acrylique :</w:t>
      </w:r>
    </w:p>
    <w:p w14:paraId="1305F16D" w14:textId="77777777" w:rsidR="00772179" w:rsidRDefault="00000000">
      <w:pPr>
        <w:pStyle w:val="Author-eListParagraph"/>
        <w:numPr>
          <w:ilvl w:val="0"/>
          <w:numId w:val="966"/>
        </w:numPr>
      </w:pPr>
      <w:r>
        <w:rPr>
          <w:rStyle w:val="soitChar"/>
        </w:rPr>
        <w:t>Type : doublement comprimé, séché par air</w:t>
      </w:r>
    </w:p>
    <w:p w14:paraId="660B8BF5" w14:textId="77777777" w:rsidR="00772179" w:rsidRDefault="00000000">
      <w:pPr>
        <w:pStyle w:val="Author-eListParagraph"/>
        <w:numPr>
          <w:ilvl w:val="0"/>
          <w:numId w:val="966"/>
        </w:numPr>
      </w:pPr>
      <w:r>
        <w:rPr>
          <w:rStyle w:val="soitChar"/>
        </w:rPr>
        <w:t xml:space="preserve">Epaisseur : </w:t>
      </w:r>
      <w:r>
        <w:rPr>
          <w:rStyle w:val="optioncarChar"/>
        </w:rPr>
        <w:t>8</w:t>
      </w:r>
      <w:r>
        <w:t xml:space="preserve"> (par défaut) </w:t>
      </w:r>
      <w:r>
        <w:rPr>
          <w:rStyle w:val="optioncarChar"/>
        </w:rPr>
        <w:t>/ 12 / ***</w:t>
      </w:r>
      <w:r>
        <w:rPr>
          <w:rStyle w:val="soitChar"/>
        </w:rPr>
        <w:t xml:space="preserve"> mm.</w:t>
      </w:r>
    </w:p>
    <w:p w14:paraId="64051A08" w14:textId="77777777" w:rsidR="00772179" w:rsidRDefault="00000000">
      <w:pPr>
        <w:pStyle w:val="Author-eListParagraph"/>
        <w:numPr>
          <w:ilvl w:val="0"/>
          <w:numId w:val="966"/>
        </w:numPr>
      </w:pPr>
      <w:r>
        <w:rPr>
          <w:rStyle w:val="soitChar"/>
        </w:rPr>
        <w:t xml:space="preserve">Dimensions panneaux : </w:t>
      </w:r>
      <w:r>
        <w:rPr>
          <w:rStyle w:val="optioncarChar"/>
        </w:rPr>
        <w:t xml:space="preserve">au choix de l'entrepreneur mais proposition à soumettre à l’approbation de la direction du chantier </w:t>
      </w:r>
      <w:r>
        <w:t xml:space="preserve">(par défaut) </w:t>
      </w:r>
      <w:r>
        <w:rPr>
          <w:rStyle w:val="optioncarChar"/>
        </w:rPr>
        <w:t>/ *** mm.</w:t>
      </w:r>
    </w:p>
    <w:p w14:paraId="32C4918E" w14:textId="77777777" w:rsidR="00772179" w:rsidRDefault="00000000">
      <w:pPr>
        <w:pStyle w:val="Author-eListParagraph"/>
        <w:numPr>
          <w:ilvl w:val="0"/>
          <w:numId w:val="966"/>
        </w:numPr>
      </w:pPr>
      <w:r>
        <w:rPr>
          <w:rStyle w:val="soitChar"/>
        </w:rPr>
        <w:t>La belle face des panneaux est dotée d’une finition au moyen d’une double couche de dispersion acrylique avec une structure granuleuse et un revêtement étanche pour obtenir une surface antisalissures.</w:t>
      </w:r>
    </w:p>
    <w:p w14:paraId="3A10B699" w14:textId="77777777" w:rsidR="00772179" w:rsidRDefault="00000000">
      <w:pPr>
        <w:pStyle w:val="Author-eListParagraph"/>
        <w:numPr>
          <w:ilvl w:val="0"/>
          <w:numId w:val="966"/>
        </w:numPr>
      </w:pPr>
      <w:r>
        <w:rPr>
          <w:rStyle w:val="soitChar"/>
        </w:rPr>
        <w:t>La face arrière des panneaux a un revêtement transparent.</w:t>
      </w:r>
    </w:p>
    <w:p w14:paraId="2E39E666" w14:textId="77777777" w:rsidR="00772179" w:rsidRDefault="00000000">
      <w:pPr>
        <w:jc w:val="both"/>
      </w:pPr>
      <w:r>
        <w:rPr>
          <w:b/>
        </w:rPr>
        <w:t>(soit)</w:t>
      </w:r>
    </w:p>
    <w:p w14:paraId="7E489039" w14:textId="77777777" w:rsidR="00772179" w:rsidRDefault="00000000">
      <w:pPr>
        <w:jc w:val="both"/>
      </w:pPr>
      <w:r>
        <w:rPr>
          <w:rStyle w:val="optioncarChar"/>
        </w:rPr>
        <w:t>***</w:t>
      </w:r>
    </w:p>
    <w:p w14:paraId="40D1CB40" w14:textId="77777777" w:rsidR="00772179" w:rsidRDefault="00000000">
      <w:pPr>
        <w:jc w:val="both"/>
      </w:pPr>
      <w:r>
        <w:rPr>
          <w:b/>
        </w:rPr>
        <w:t>Fixations :</w:t>
      </w:r>
    </w:p>
    <w:p w14:paraId="4B6F297F" w14:textId="77777777" w:rsidR="00772179" w:rsidRDefault="00000000">
      <w:pPr>
        <w:jc w:val="both"/>
      </w:pPr>
      <w:r>
        <w:rPr>
          <w:rStyle w:val="optioncarChar"/>
        </w:rPr>
        <w:t>Sur support bois</w:t>
      </w:r>
      <w:r>
        <w:t xml:space="preserve"> (par défaut)</w:t>
      </w:r>
      <w:r>
        <w:rPr>
          <w:rStyle w:val="optioncarChar"/>
        </w:rPr>
        <w:t xml:space="preserve"> / aluminium / acier galvanisé / rail aluminium / ***</w:t>
      </w:r>
    </w:p>
    <w:p w14:paraId="0297BF69" w14:textId="77777777" w:rsidR="00772179" w:rsidRDefault="00000000">
      <w:pPr>
        <w:jc w:val="both"/>
      </w:pPr>
      <w:r>
        <w:rPr>
          <w:b/>
        </w:rPr>
        <w:t>(soit par défaut)</w:t>
      </w:r>
    </w:p>
    <w:p w14:paraId="1296E38F" w14:textId="77777777" w:rsidR="00772179" w:rsidRDefault="00000000">
      <w:pPr>
        <w:jc w:val="both"/>
      </w:pPr>
      <w:r>
        <w:rPr>
          <w:rStyle w:val="soitChar"/>
          <w:u w:val="single"/>
        </w:rPr>
        <w:t>Bois :</w:t>
      </w:r>
    </w:p>
    <w:p w14:paraId="41A49235" w14:textId="77777777" w:rsidR="00772179" w:rsidRDefault="00000000">
      <w:pPr>
        <w:pStyle w:val="Author-eListParagraph"/>
        <w:numPr>
          <w:ilvl w:val="0"/>
          <w:numId w:val="967"/>
        </w:numPr>
      </w:pPr>
      <w:r>
        <w:rPr>
          <w:rStyle w:val="soitChar"/>
        </w:rPr>
        <w:t>Type : vis autoforantes à tête bombée en acier inoxydable A2.</w:t>
      </w:r>
    </w:p>
    <w:p w14:paraId="6189E101" w14:textId="77777777" w:rsidR="00772179" w:rsidRDefault="00000000">
      <w:pPr>
        <w:pStyle w:val="Author-eListParagraph"/>
        <w:numPr>
          <w:ilvl w:val="0"/>
          <w:numId w:val="967"/>
        </w:numPr>
      </w:pPr>
      <w:r>
        <w:rPr>
          <w:rStyle w:val="soitChar"/>
        </w:rPr>
        <w:t>Couleur de la tête : similaire à celle des panneaux.</w:t>
      </w:r>
    </w:p>
    <w:p w14:paraId="0189D6D5" w14:textId="77777777" w:rsidR="00772179" w:rsidRDefault="00000000">
      <w:pPr>
        <w:pStyle w:val="Author-eListParagraph"/>
        <w:numPr>
          <w:ilvl w:val="0"/>
          <w:numId w:val="967"/>
        </w:numPr>
      </w:pPr>
      <w:r>
        <w:rPr>
          <w:rStyle w:val="soitChar"/>
        </w:rPr>
        <w:t xml:space="preserve">Longueur : </w:t>
      </w:r>
      <w:r>
        <w:rPr>
          <w:rStyle w:val="optioncarChar"/>
        </w:rPr>
        <w:t>15</w:t>
      </w:r>
      <w:r>
        <w:t xml:space="preserve"> (par défaut)</w:t>
      </w:r>
      <w:r>
        <w:rPr>
          <w:rStyle w:val="optioncarChar"/>
        </w:rPr>
        <w:t xml:space="preserve"> / ***</w:t>
      </w:r>
      <w:r>
        <w:rPr>
          <w:rStyle w:val="soitChar"/>
        </w:rPr>
        <w:t xml:space="preserve"> mm.</w:t>
      </w:r>
    </w:p>
    <w:p w14:paraId="20035956" w14:textId="77777777" w:rsidR="00772179" w:rsidRDefault="00000000">
      <w:pPr>
        <w:pStyle w:val="Author-eListParagraph"/>
        <w:numPr>
          <w:ilvl w:val="0"/>
          <w:numId w:val="967"/>
        </w:numPr>
      </w:pPr>
      <w:r>
        <w:rPr>
          <w:rStyle w:val="soitChar"/>
        </w:rPr>
        <w:t xml:space="preserve">Diamètre partie filetée : </w:t>
      </w:r>
      <w:r>
        <w:rPr>
          <w:rStyle w:val="optioncarChar"/>
        </w:rPr>
        <w:t xml:space="preserve">6 </w:t>
      </w:r>
      <w:r>
        <w:t>(par défaut)</w:t>
      </w:r>
      <w:r>
        <w:rPr>
          <w:rStyle w:val="optioncarChar"/>
        </w:rPr>
        <w:t xml:space="preserve"> / ***</w:t>
      </w:r>
      <w:r>
        <w:rPr>
          <w:rStyle w:val="soitChar"/>
        </w:rPr>
        <w:t xml:space="preserve"> mm.</w:t>
      </w:r>
    </w:p>
    <w:p w14:paraId="3B86F54F" w14:textId="77777777" w:rsidR="00772179" w:rsidRDefault="00000000">
      <w:pPr>
        <w:pStyle w:val="Author-eListParagraph"/>
        <w:numPr>
          <w:ilvl w:val="0"/>
          <w:numId w:val="967"/>
        </w:numPr>
      </w:pPr>
      <w:r>
        <w:rPr>
          <w:rStyle w:val="soitChar"/>
        </w:rPr>
        <w:t xml:space="preserve">Diamètre tête bombée : </w:t>
      </w:r>
      <w:r>
        <w:rPr>
          <w:rStyle w:val="optioncarChar"/>
        </w:rPr>
        <w:t xml:space="preserve">15 </w:t>
      </w:r>
      <w:r>
        <w:t xml:space="preserve">(par défaut) </w:t>
      </w:r>
      <w:r>
        <w:rPr>
          <w:rStyle w:val="optioncarChar"/>
        </w:rPr>
        <w:t>/ ***</w:t>
      </w:r>
      <w:r>
        <w:rPr>
          <w:rStyle w:val="soitChar"/>
        </w:rPr>
        <w:t xml:space="preserve"> mm.</w:t>
      </w:r>
    </w:p>
    <w:p w14:paraId="437DBE77" w14:textId="77777777" w:rsidR="00772179" w:rsidRDefault="00000000">
      <w:pPr>
        <w:jc w:val="both"/>
      </w:pPr>
      <w:r>
        <w:rPr>
          <w:b/>
        </w:rPr>
        <w:t>(soit)</w:t>
      </w:r>
    </w:p>
    <w:p w14:paraId="4A00A675" w14:textId="77777777" w:rsidR="00772179" w:rsidRDefault="00000000">
      <w:pPr>
        <w:jc w:val="both"/>
      </w:pPr>
      <w:r>
        <w:rPr>
          <w:rStyle w:val="soitChar"/>
          <w:u w:val="single"/>
        </w:rPr>
        <w:t>Aluminium :</w:t>
      </w:r>
    </w:p>
    <w:p w14:paraId="15FEBE6F" w14:textId="77777777" w:rsidR="00772179" w:rsidRDefault="00000000">
      <w:pPr>
        <w:pStyle w:val="Author-eListParagraph"/>
        <w:numPr>
          <w:ilvl w:val="0"/>
          <w:numId w:val="968"/>
        </w:numPr>
      </w:pPr>
      <w:r>
        <w:rPr>
          <w:rStyle w:val="soitChar"/>
        </w:rPr>
        <w:t>Type : rivets en aluminium.</w:t>
      </w:r>
    </w:p>
    <w:p w14:paraId="68DC5953" w14:textId="77777777" w:rsidR="00772179" w:rsidRDefault="00000000">
      <w:pPr>
        <w:pStyle w:val="Author-eListParagraph"/>
        <w:numPr>
          <w:ilvl w:val="0"/>
          <w:numId w:val="968"/>
        </w:numPr>
      </w:pPr>
      <w:r>
        <w:rPr>
          <w:rStyle w:val="soitChar"/>
        </w:rPr>
        <w:t>Couleur de la tête : similaire à celle des panneaux.</w:t>
      </w:r>
    </w:p>
    <w:p w14:paraId="685BBD69" w14:textId="77777777" w:rsidR="00772179" w:rsidRDefault="00000000">
      <w:pPr>
        <w:pStyle w:val="Author-eListParagraph"/>
        <w:numPr>
          <w:ilvl w:val="0"/>
          <w:numId w:val="968"/>
        </w:numPr>
      </w:pPr>
      <w:r>
        <w:rPr>
          <w:rStyle w:val="soitChar"/>
        </w:rPr>
        <w:t xml:space="preserve">Longueur : </w:t>
      </w:r>
      <w:r>
        <w:rPr>
          <w:rStyle w:val="optioncarChar"/>
        </w:rPr>
        <w:t>15</w:t>
      </w:r>
      <w:r>
        <w:t xml:space="preserve"> (par défaut) </w:t>
      </w:r>
      <w:r>
        <w:rPr>
          <w:rStyle w:val="optioncarChar"/>
        </w:rPr>
        <w:t>/ ***</w:t>
      </w:r>
      <w:r>
        <w:rPr>
          <w:rStyle w:val="soitChar"/>
        </w:rPr>
        <w:t xml:space="preserve"> mm.</w:t>
      </w:r>
    </w:p>
    <w:p w14:paraId="227E5371" w14:textId="77777777" w:rsidR="00772179" w:rsidRDefault="00000000">
      <w:pPr>
        <w:pStyle w:val="Author-eListParagraph"/>
        <w:numPr>
          <w:ilvl w:val="0"/>
          <w:numId w:val="968"/>
        </w:numPr>
      </w:pPr>
      <w:r>
        <w:rPr>
          <w:rStyle w:val="soitChar"/>
        </w:rPr>
        <w:t xml:space="preserve">Diamètre : </w:t>
      </w:r>
      <w:r>
        <w:rPr>
          <w:rStyle w:val="optioncarChar"/>
        </w:rPr>
        <w:t>4</w:t>
      </w:r>
      <w:r>
        <w:t xml:space="preserve"> (par défaut)</w:t>
      </w:r>
      <w:r>
        <w:rPr>
          <w:rStyle w:val="optioncarChar"/>
        </w:rPr>
        <w:t xml:space="preserve"> / ***</w:t>
      </w:r>
      <w:r>
        <w:rPr>
          <w:rStyle w:val="soitChar"/>
        </w:rPr>
        <w:t xml:space="preserve"> mm.</w:t>
      </w:r>
    </w:p>
    <w:p w14:paraId="6353D7E9" w14:textId="77777777" w:rsidR="00772179" w:rsidRDefault="00000000">
      <w:pPr>
        <w:pStyle w:val="Author-eListParagraph"/>
        <w:numPr>
          <w:ilvl w:val="0"/>
          <w:numId w:val="968"/>
        </w:numPr>
      </w:pPr>
      <w:r>
        <w:rPr>
          <w:rStyle w:val="soitChar"/>
        </w:rPr>
        <w:t xml:space="preserve">Diamètre tête bombée : </w:t>
      </w:r>
      <w:r>
        <w:rPr>
          <w:rStyle w:val="optioncarChar"/>
        </w:rPr>
        <w:t xml:space="preserve">15 </w:t>
      </w:r>
      <w:r>
        <w:t>(par défaut)</w:t>
      </w:r>
      <w:r>
        <w:rPr>
          <w:rStyle w:val="optioncarChar"/>
        </w:rPr>
        <w:t xml:space="preserve"> / ***</w:t>
      </w:r>
      <w:r>
        <w:rPr>
          <w:rStyle w:val="soitChar"/>
        </w:rPr>
        <w:t xml:space="preserve"> mm.</w:t>
      </w:r>
    </w:p>
    <w:p w14:paraId="228EF8E3" w14:textId="77777777" w:rsidR="00772179" w:rsidRDefault="00000000">
      <w:pPr>
        <w:jc w:val="both"/>
      </w:pPr>
      <w:r>
        <w:rPr>
          <w:b/>
        </w:rPr>
        <w:lastRenderedPageBreak/>
        <w:t>(soit)</w:t>
      </w:r>
    </w:p>
    <w:p w14:paraId="61EEDDE0" w14:textId="77777777" w:rsidR="00772179" w:rsidRDefault="00000000">
      <w:pPr>
        <w:jc w:val="both"/>
      </w:pPr>
      <w:r>
        <w:rPr>
          <w:rStyle w:val="soitChar"/>
          <w:u w:val="single"/>
        </w:rPr>
        <w:t>Acier galvanisé :</w:t>
      </w:r>
    </w:p>
    <w:p w14:paraId="23C2CA2C" w14:textId="77777777" w:rsidR="00772179" w:rsidRDefault="00000000">
      <w:pPr>
        <w:pStyle w:val="Author-eListParagraph"/>
        <w:numPr>
          <w:ilvl w:val="0"/>
          <w:numId w:val="969"/>
        </w:numPr>
      </w:pPr>
      <w:r>
        <w:rPr>
          <w:rStyle w:val="soitChar"/>
        </w:rPr>
        <w:t>Type : rivets à tête bombée en acier inoxydable A2.</w:t>
      </w:r>
    </w:p>
    <w:p w14:paraId="02D2ADC4" w14:textId="77777777" w:rsidR="00772179" w:rsidRDefault="00000000">
      <w:pPr>
        <w:pStyle w:val="Author-eListParagraph"/>
        <w:numPr>
          <w:ilvl w:val="0"/>
          <w:numId w:val="969"/>
        </w:numPr>
      </w:pPr>
      <w:r>
        <w:rPr>
          <w:rStyle w:val="soitChar"/>
        </w:rPr>
        <w:t>Couleur de la tête : similaire à celle des panneaux.</w:t>
      </w:r>
    </w:p>
    <w:p w14:paraId="6760D905" w14:textId="77777777" w:rsidR="00772179" w:rsidRDefault="00000000">
      <w:pPr>
        <w:pStyle w:val="Author-eListParagraph"/>
        <w:numPr>
          <w:ilvl w:val="0"/>
          <w:numId w:val="969"/>
        </w:numPr>
      </w:pPr>
      <w:r>
        <w:rPr>
          <w:rStyle w:val="soitChar"/>
        </w:rPr>
        <w:t xml:space="preserve">Longueur : </w:t>
      </w:r>
      <w:r>
        <w:rPr>
          <w:rStyle w:val="optioncarChar"/>
        </w:rPr>
        <w:t xml:space="preserve">15 </w:t>
      </w:r>
      <w:r>
        <w:t>(par défaut)</w:t>
      </w:r>
      <w:r>
        <w:rPr>
          <w:rStyle w:val="optioncarChar"/>
        </w:rPr>
        <w:t xml:space="preserve"> / ***</w:t>
      </w:r>
      <w:r>
        <w:rPr>
          <w:rStyle w:val="soitChar"/>
        </w:rPr>
        <w:t xml:space="preserve"> mm.</w:t>
      </w:r>
    </w:p>
    <w:p w14:paraId="09728417" w14:textId="77777777" w:rsidR="00772179" w:rsidRDefault="00000000">
      <w:pPr>
        <w:pStyle w:val="Author-eListParagraph"/>
        <w:numPr>
          <w:ilvl w:val="0"/>
          <w:numId w:val="969"/>
        </w:numPr>
      </w:pPr>
      <w:r>
        <w:rPr>
          <w:rStyle w:val="soitChar"/>
        </w:rPr>
        <w:t>Diamètre :</w:t>
      </w:r>
      <w:r>
        <w:rPr>
          <w:rStyle w:val="optioncarChar"/>
        </w:rPr>
        <w:t xml:space="preserve"> 4 </w:t>
      </w:r>
      <w:r>
        <w:t xml:space="preserve">(par défaut) </w:t>
      </w:r>
      <w:r>
        <w:rPr>
          <w:rStyle w:val="optioncarChar"/>
        </w:rPr>
        <w:t>/ ***</w:t>
      </w:r>
      <w:r>
        <w:rPr>
          <w:rStyle w:val="soitChar"/>
        </w:rPr>
        <w:t xml:space="preserve"> mm.</w:t>
      </w:r>
    </w:p>
    <w:p w14:paraId="094226B9" w14:textId="77777777" w:rsidR="00772179" w:rsidRDefault="00000000">
      <w:pPr>
        <w:pStyle w:val="Author-eListParagraph"/>
        <w:numPr>
          <w:ilvl w:val="0"/>
          <w:numId w:val="969"/>
        </w:numPr>
      </w:pPr>
      <w:r>
        <w:rPr>
          <w:rStyle w:val="soitChar"/>
        </w:rPr>
        <w:t xml:space="preserve">Diamètre tête bombée : </w:t>
      </w:r>
      <w:r>
        <w:rPr>
          <w:rStyle w:val="optioncarChar"/>
        </w:rPr>
        <w:t xml:space="preserve">15 </w:t>
      </w:r>
      <w:r>
        <w:t>(par défaut)</w:t>
      </w:r>
      <w:r>
        <w:rPr>
          <w:rStyle w:val="optioncarChar"/>
        </w:rPr>
        <w:t xml:space="preserve"> / ***</w:t>
      </w:r>
      <w:r>
        <w:rPr>
          <w:rStyle w:val="soitChar"/>
        </w:rPr>
        <w:t xml:space="preserve"> mm.</w:t>
      </w:r>
    </w:p>
    <w:p w14:paraId="49D43BCE" w14:textId="77777777" w:rsidR="00772179" w:rsidRDefault="00000000">
      <w:pPr>
        <w:jc w:val="both"/>
      </w:pPr>
      <w:r>
        <w:rPr>
          <w:b/>
        </w:rPr>
        <w:t>(soit)</w:t>
      </w:r>
    </w:p>
    <w:p w14:paraId="6E073B4E" w14:textId="77777777" w:rsidR="00772179" w:rsidRDefault="00000000">
      <w:pPr>
        <w:jc w:val="both"/>
      </w:pPr>
      <w:r>
        <w:rPr>
          <w:rStyle w:val="soitChar"/>
          <w:u w:val="single"/>
        </w:rPr>
        <w:t>Rail aluminium (fixations invisibles) :</w:t>
      </w:r>
    </w:p>
    <w:p w14:paraId="267B07A3" w14:textId="77777777" w:rsidR="00772179" w:rsidRDefault="00000000">
      <w:pPr>
        <w:pStyle w:val="Author-eListParagraph"/>
        <w:numPr>
          <w:ilvl w:val="0"/>
          <w:numId w:val="970"/>
        </w:numPr>
      </w:pPr>
      <w:r>
        <w:rPr>
          <w:rStyle w:val="soitChar"/>
        </w:rPr>
        <w:t>Type : agrafes en aluminium accrochées à l’arrière du panneau avec des rivets spécifiques en acier inoxydable A4 et fixées sur des rails aluminium de support horizontaux.</w:t>
      </w:r>
    </w:p>
    <w:p w14:paraId="58E0CC0F" w14:textId="77777777" w:rsidR="00772179" w:rsidRDefault="00000000">
      <w:pPr>
        <w:jc w:val="both"/>
      </w:pPr>
      <w:r>
        <w:rPr>
          <w:b/>
        </w:rPr>
        <w:t>(soit)</w:t>
      </w:r>
    </w:p>
    <w:p w14:paraId="43013F1B" w14:textId="77777777" w:rsidR="00772179" w:rsidRDefault="00000000">
      <w:pPr>
        <w:jc w:val="both"/>
      </w:pPr>
      <w:r>
        <w:rPr>
          <w:rStyle w:val="optioncarChar"/>
        </w:rPr>
        <w:t>***</w:t>
      </w:r>
    </w:p>
    <w:p w14:paraId="21DEB89D" w14:textId="77777777" w:rsidR="00772179" w:rsidRDefault="00000000">
      <w:pPr>
        <w:jc w:val="both"/>
      </w:pPr>
      <w:r>
        <w:rPr>
          <w:b/>
        </w:rPr>
        <w:t>Aspects environnementaux :</w:t>
      </w:r>
    </w:p>
    <w:p w14:paraId="785D35A6" w14:textId="77777777" w:rsidR="00772179" w:rsidRDefault="00000000">
      <w:pPr>
        <w:pStyle w:val="Author-eListParagraph"/>
        <w:numPr>
          <w:ilvl w:val="0"/>
          <w:numId w:val="971"/>
        </w:numPr>
      </w:pPr>
      <w:r>
        <w:t xml:space="preserve">Taux de matériaux recyclés : ≥ </w:t>
      </w:r>
      <w:r>
        <w:rPr>
          <w:rStyle w:val="optioncarChar"/>
        </w:rPr>
        <w:t xml:space="preserve">50 </w:t>
      </w:r>
      <w:r>
        <w:t>(par défaut)</w:t>
      </w:r>
      <w:r>
        <w:rPr>
          <w:rStyle w:val="optioncarChar"/>
        </w:rPr>
        <w:t xml:space="preserve"> / 75 / ***</w:t>
      </w:r>
      <w:r>
        <w:t xml:space="preserve"> %</w:t>
      </w:r>
    </w:p>
    <w:p w14:paraId="2AE0209C" w14:textId="77777777" w:rsidR="00772179" w:rsidRDefault="00000000">
      <w:pPr>
        <w:pStyle w:val="Author-eListParagraph"/>
        <w:numPr>
          <w:ilvl w:val="0"/>
          <w:numId w:val="971"/>
        </w:numPr>
      </w:pPr>
      <w:r>
        <w:t xml:space="preserve">Taux de matériaux locaux : ≥ </w:t>
      </w:r>
      <w:r>
        <w:rPr>
          <w:rStyle w:val="optioncarChar"/>
        </w:rPr>
        <w:t>50</w:t>
      </w:r>
      <w:r>
        <w:t xml:space="preserve"> (par défaut)</w:t>
      </w:r>
      <w:r>
        <w:rPr>
          <w:rStyle w:val="optioncarChar"/>
        </w:rPr>
        <w:t xml:space="preserve"> / 75 / ***</w:t>
      </w:r>
      <w:r>
        <w:t xml:space="preserve"> %</w:t>
      </w:r>
    </w:p>
    <w:p w14:paraId="734FCB86" w14:textId="77777777" w:rsidR="00772179" w:rsidRDefault="00000000">
      <w:pPr>
        <w:pStyle w:val="Author-eListParagraph"/>
        <w:numPr>
          <w:ilvl w:val="0"/>
          <w:numId w:val="971"/>
        </w:numPr>
      </w:pPr>
      <w:r>
        <w:t xml:space="preserve">Les déchets produits lors de la mise en œuvre du matériau sont récupérés et recyclés par le fabricant : </w:t>
      </w:r>
      <w:r>
        <w:rPr>
          <w:rStyle w:val="optioncarChar"/>
        </w:rPr>
        <w:t xml:space="preserve">oui </w:t>
      </w:r>
      <w:r>
        <w:t>(par défaut)</w:t>
      </w:r>
      <w:r>
        <w:rPr>
          <w:rStyle w:val="optioncarChar"/>
        </w:rPr>
        <w:t xml:space="preserve"> / non.</w:t>
      </w:r>
    </w:p>
    <w:p w14:paraId="573FBF20" w14:textId="77777777" w:rsidR="00772179" w:rsidRDefault="00000000">
      <w:pPr>
        <w:pStyle w:val="Author-eListParagraph"/>
        <w:numPr>
          <w:ilvl w:val="0"/>
          <w:numId w:val="971"/>
        </w:numPr>
      </w:pPr>
      <w:r>
        <w:t>La mise en œuvre par fixation mécanique permet le démontage non destructif des panneaux.</w:t>
      </w:r>
    </w:p>
    <w:p w14:paraId="43941ABF" w14:textId="77777777" w:rsidR="00772179" w:rsidRDefault="00000000">
      <w:pPr>
        <w:pStyle w:val="Author-eListParagraph"/>
        <w:numPr>
          <w:ilvl w:val="0"/>
          <w:numId w:val="971"/>
        </w:numPr>
      </w:pPr>
      <w:r>
        <w:t xml:space="preserve">Le matériau dispose d’un EPD : </w:t>
      </w:r>
      <w:r>
        <w:rPr>
          <w:rStyle w:val="optioncarChar"/>
        </w:rPr>
        <w:t xml:space="preserve">oui </w:t>
      </w:r>
      <w:r>
        <w:t>(par défaut)</w:t>
      </w:r>
      <w:r>
        <w:rPr>
          <w:rStyle w:val="optioncarChar"/>
        </w:rPr>
        <w:t xml:space="preserve"> / non.</w:t>
      </w:r>
    </w:p>
    <w:p w14:paraId="23D2EF59" w14:textId="77777777" w:rsidR="00772179" w:rsidRDefault="00000000">
      <w:pPr>
        <w:ind w:left="567"/>
        <w:jc w:val="both"/>
      </w:pPr>
      <w:r>
        <w:rPr>
          <w:b/>
        </w:rPr>
        <w:t>(soit par défaut)</w:t>
      </w:r>
    </w:p>
    <w:p w14:paraId="6E34FAA0" w14:textId="77777777" w:rsidR="00772179" w:rsidRDefault="00000000">
      <w:pPr>
        <w:ind w:left="567"/>
        <w:jc w:val="both"/>
      </w:pPr>
      <w:r>
        <w:rPr>
          <w:rStyle w:val="soitChar"/>
          <w:u w:val="single"/>
        </w:rPr>
        <w:t>Oui :</w:t>
      </w:r>
      <w:r>
        <w:rPr>
          <w:rStyle w:val="soitChar"/>
        </w:rPr>
        <w:t xml:space="preserve"> l'EPD garantit : </w:t>
      </w:r>
    </w:p>
    <w:p w14:paraId="017FCF67" w14:textId="77777777" w:rsidR="00772179" w:rsidRDefault="00000000">
      <w:pPr>
        <w:pStyle w:val="Author-eListParagraph"/>
        <w:numPr>
          <w:ilvl w:val="1"/>
          <w:numId w:val="973"/>
        </w:numPr>
        <w:jc w:val="both"/>
      </w:pPr>
      <w:r>
        <w:rPr>
          <w:rStyle w:val="soitChar"/>
        </w:rPr>
        <w:t xml:space="preserve">la réutilisation des déchets de découpe en cours de fabrication : </w:t>
      </w:r>
      <w:r>
        <w:rPr>
          <w:rStyle w:val="optioncarChar"/>
        </w:rPr>
        <w:t>oui</w:t>
      </w:r>
      <w:r>
        <w:t xml:space="preserve"> (par défaut)</w:t>
      </w:r>
      <w:r>
        <w:rPr>
          <w:rStyle w:val="optioncarChar"/>
        </w:rPr>
        <w:t xml:space="preserve"> / non</w:t>
      </w:r>
    </w:p>
    <w:p w14:paraId="1F445EE3" w14:textId="77777777" w:rsidR="00772179" w:rsidRDefault="00000000">
      <w:pPr>
        <w:pStyle w:val="Author-eListParagraph"/>
        <w:numPr>
          <w:ilvl w:val="1"/>
          <w:numId w:val="973"/>
        </w:numPr>
        <w:jc w:val="both"/>
      </w:pPr>
      <w:r>
        <w:rPr>
          <w:rStyle w:val="soitChar"/>
        </w:rPr>
        <w:t xml:space="preserve">la récupération des panneaux dégradés par une société externe comme base de production de ciment : </w:t>
      </w:r>
      <w:r>
        <w:rPr>
          <w:rStyle w:val="optioncarChar"/>
        </w:rPr>
        <w:t xml:space="preserve">oui </w:t>
      </w:r>
      <w:r>
        <w:t xml:space="preserve">(par défaut) </w:t>
      </w:r>
      <w:r>
        <w:rPr>
          <w:rStyle w:val="optioncarChar"/>
        </w:rPr>
        <w:t>/ non</w:t>
      </w:r>
    </w:p>
    <w:p w14:paraId="1CF8F459" w14:textId="77777777" w:rsidR="00772179" w:rsidRDefault="00000000">
      <w:pPr>
        <w:pStyle w:val="Author-eListParagraph"/>
        <w:numPr>
          <w:ilvl w:val="1"/>
          <w:numId w:val="973"/>
        </w:numPr>
        <w:jc w:val="both"/>
      </w:pPr>
      <w:r>
        <w:rPr>
          <w:rStyle w:val="soitChar"/>
        </w:rPr>
        <w:t>le filtrage de l’air en vue de réduire les émissions en cours de production :</w:t>
      </w:r>
      <w:r>
        <w:rPr>
          <w:rStyle w:val="optioncarChar"/>
        </w:rPr>
        <w:t xml:space="preserve"> oui</w:t>
      </w:r>
      <w:r>
        <w:t xml:space="preserve"> (par défaut) </w:t>
      </w:r>
      <w:r>
        <w:rPr>
          <w:rStyle w:val="optioncarChar"/>
        </w:rPr>
        <w:t>/ non</w:t>
      </w:r>
    </w:p>
    <w:p w14:paraId="15C2BD0F" w14:textId="77777777" w:rsidR="00772179" w:rsidRDefault="00000000">
      <w:pPr>
        <w:ind w:left="567"/>
        <w:jc w:val="both"/>
      </w:pPr>
      <w:r>
        <w:rPr>
          <w:b/>
        </w:rPr>
        <w:t>(soit)</w:t>
      </w:r>
    </w:p>
    <w:p w14:paraId="6ADBA58D" w14:textId="77777777" w:rsidR="00772179" w:rsidRDefault="00000000">
      <w:pPr>
        <w:ind w:left="567"/>
        <w:jc w:val="both"/>
      </w:pPr>
      <w:r>
        <w:rPr>
          <w:rStyle w:val="soitChar"/>
          <w:u w:val="single"/>
        </w:rPr>
        <w:t>Non</w:t>
      </w:r>
    </w:p>
    <w:p w14:paraId="076B0428" w14:textId="77777777" w:rsidR="00772179" w:rsidRDefault="00000000">
      <w:pPr>
        <w:pStyle w:val="pheading"/>
      </w:pPr>
      <w:r>
        <w:t>- Finitions</w:t>
      </w:r>
    </w:p>
    <w:p w14:paraId="2F8B1A05" w14:textId="77777777" w:rsidR="00772179" w:rsidRDefault="00000000">
      <w:pPr>
        <w:jc w:val="both"/>
      </w:pPr>
      <w:r>
        <w:rPr>
          <w:b/>
        </w:rPr>
        <w:t>Type de plaque :</w:t>
      </w:r>
    </w:p>
    <w:p w14:paraId="06720118" w14:textId="77777777" w:rsidR="00772179" w:rsidRDefault="00000000">
      <w:pPr>
        <w:jc w:val="both"/>
      </w:pPr>
      <w:r>
        <w:rPr>
          <w:rStyle w:val="optioncarChar"/>
        </w:rPr>
        <w:t xml:space="preserve">Colorée dans la masse </w:t>
      </w:r>
      <w:r>
        <w:t xml:space="preserve">(par défaut) </w:t>
      </w:r>
      <w:r>
        <w:rPr>
          <w:rStyle w:val="optioncarChar"/>
        </w:rPr>
        <w:t>/ belle face finie à l’aide d’un agent semi-transparent / belle face finie d’une double couche acrylique / ***</w:t>
      </w:r>
    </w:p>
    <w:p w14:paraId="5EA0AFF0" w14:textId="77777777" w:rsidR="00772179" w:rsidRDefault="00000000">
      <w:pPr>
        <w:jc w:val="both"/>
      </w:pPr>
      <w:r>
        <w:rPr>
          <w:b/>
        </w:rPr>
        <w:t>(soit par défaut)</w:t>
      </w:r>
    </w:p>
    <w:p w14:paraId="558A6932" w14:textId="77777777" w:rsidR="00772179" w:rsidRDefault="00000000">
      <w:pPr>
        <w:jc w:val="both"/>
      </w:pPr>
      <w:r>
        <w:rPr>
          <w:rStyle w:val="soitChar"/>
          <w:u w:val="single"/>
        </w:rPr>
        <w:t>Colorée dans la masse :</w:t>
      </w:r>
    </w:p>
    <w:p w14:paraId="39F2894B" w14:textId="77777777" w:rsidR="00772179" w:rsidRDefault="00000000">
      <w:pPr>
        <w:pStyle w:val="Author-eListParagraph"/>
        <w:numPr>
          <w:ilvl w:val="0"/>
          <w:numId w:val="974"/>
        </w:numPr>
      </w:pPr>
      <w:r>
        <w:rPr>
          <w:rStyle w:val="soitChar"/>
        </w:rPr>
        <w:t xml:space="preserve">Couleur des panneaux : </w:t>
      </w:r>
      <w:r>
        <w:rPr>
          <w:rStyle w:val="optioncarChar"/>
        </w:rPr>
        <w:t>gris</w:t>
      </w:r>
      <w:r>
        <w:t xml:space="preserve"> (par défaut)</w:t>
      </w:r>
      <w:r>
        <w:rPr>
          <w:rStyle w:val="optioncarChar"/>
        </w:rPr>
        <w:t xml:space="preserve"> / brun clair / ***</w:t>
      </w:r>
      <w:r>
        <w:rPr>
          <w:rStyle w:val="soitChar"/>
        </w:rPr>
        <w:t xml:space="preserve"> coloré dans la masse.</w:t>
      </w:r>
    </w:p>
    <w:p w14:paraId="2889CBD4" w14:textId="77777777" w:rsidR="00772179" w:rsidRDefault="00000000">
      <w:pPr>
        <w:pStyle w:val="Author-eListParagraph"/>
        <w:numPr>
          <w:ilvl w:val="0"/>
          <w:numId w:val="974"/>
        </w:numPr>
      </w:pPr>
      <w:r>
        <w:rPr>
          <w:rStyle w:val="soitChar"/>
        </w:rPr>
        <w:t>Finition : surface</w:t>
      </w:r>
      <w:r>
        <w:rPr>
          <w:rStyle w:val="optioncarChar"/>
        </w:rPr>
        <w:t xml:space="preserve"> structurée </w:t>
      </w:r>
      <w:r>
        <w:t xml:space="preserve">(par défaut) </w:t>
      </w:r>
      <w:r>
        <w:rPr>
          <w:rStyle w:val="optioncarChar"/>
        </w:rPr>
        <w:t>/ rainurée / ***.</w:t>
      </w:r>
    </w:p>
    <w:p w14:paraId="495D45BA" w14:textId="77777777" w:rsidR="00772179" w:rsidRDefault="00000000">
      <w:pPr>
        <w:jc w:val="both"/>
      </w:pPr>
      <w:r>
        <w:rPr>
          <w:b/>
        </w:rPr>
        <w:t>(soit)</w:t>
      </w:r>
    </w:p>
    <w:p w14:paraId="1A48D5E0" w14:textId="77777777" w:rsidR="00772179" w:rsidRDefault="00000000">
      <w:pPr>
        <w:jc w:val="both"/>
      </w:pPr>
      <w:r>
        <w:rPr>
          <w:rStyle w:val="soitChar"/>
          <w:u w:val="single"/>
        </w:rPr>
        <w:t>Belle face finie à l’aide d’un agent semi-transparent :</w:t>
      </w:r>
    </w:p>
    <w:p w14:paraId="7741BC07" w14:textId="77777777" w:rsidR="00772179" w:rsidRDefault="00000000">
      <w:pPr>
        <w:pStyle w:val="Author-eListParagraph"/>
        <w:numPr>
          <w:ilvl w:val="0"/>
          <w:numId w:val="975"/>
        </w:numPr>
      </w:pPr>
      <w:r>
        <w:rPr>
          <w:rStyle w:val="soitChar"/>
        </w:rPr>
        <w:t xml:space="preserve">Couleur des panneaux : </w:t>
      </w:r>
      <w:r>
        <w:rPr>
          <w:rStyle w:val="optioncarChar"/>
        </w:rPr>
        <w:t xml:space="preserve">noir </w:t>
      </w:r>
      <w:r>
        <w:t xml:space="preserve">(par défaut) </w:t>
      </w:r>
      <w:r>
        <w:rPr>
          <w:rStyle w:val="optioncarChar"/>
        </w:rPr>
        <w:t>/ blanc crème / blanc / blanc pur / gris / anthracite / rouge / bleu / vert / jaune / beige / brun / ***.</w:t>
      </w:r>
    </w:p>
    <w:p w14:paraId="2FD74797" w14:textId="77777777" w:rsidR="00772179" w:rsidRDefault="00000000">
      <w:pPr>
        <w:pStyle w:val="Author-eListParagraph"/>
        <w:numPr>
          <w:ilvl w:val="0"/>
          <w:numId w:val="975"/>
        </w:numPr>
      </w:pPr>
      <w:r>
        <w:rPr>
          <w:rStyle w:val="soitChar"/>
        </w:rPr>
        <w:t>Finition : surface</w:t>
      </w:r>
      <w:r>
        <w:rPr>
          <w:rStyle w:val="optioncarChar"/>
        </w:rPr>
        <w:t xml:space="preserve"> lisse </w:t>
      </w:r>
      <w:r>
        <w:t xml:space="preserve">(par défaut) </w:t>
      </w:r>
      <w:r>
        <w:rPr>
          <w:rStyle w:val="optioncarChar"/>
        </w:rPr>
        <w:t>/ ***</w:t>
      </w:r>
      <w:r>
        <w:rPr>
          <w:rStyle w:val="soitChar"/>
        </w:rPr>
        <w:t>.</w:t>
      </w:r>
    </w:p>
    <w:p w14:paraId="70E226D2" w14:textId="77777777" w:rsidR="00772179" w:rsidRDefault="00000000">
      <w:pPr>
        <w:jc w:val="both"/>
      </w:pPr>
      <w:r>
        <w:rPr>
          <w:b/>
        </w:rPr>
        <w:t>(soit)</w:t>
      </w:r>
    </w:p>
    <w:p w14:paraId="2EF8449F" w14:textId="77777777" w:rsidR="00772179" w:rsidRDefault="00000000">
      <w:pPr>
        <w:jc w:val="both"/>
      </w:pPr>
      <w:r>
        <w:rPr>
          <w:rStyle w:val="soitChar"/>
          <w:u w:val="single"/>
        </w:rPr>
        <w:t>Belle face finie d’une double couche acrylique :</w:t>
      </w:r>
    </w:p>
    <w:p w14:paraId="056D44D5" w14:textId="77777777" w:rsidR="00772179" w:rsidRDefault="00000000">
      <w:pPr>
        <w:pStyle w:val="Author-eListParagraph"/>
        <w:numPr>
          <w:ilvl w:val="0"/>
          <w:numId w:val="976"/>
        </w:numPr>
      </w:pPr>
      <w:r>
        <w:rPr>
          <w:rStyle w:val="soitChar"/>
        </w:rPr>
        <w:lastRenderedPageBreak/>
        <w:t xml:space="preserve">Couleur des panneaux : </w:t>
      </w:r>
      <w:r>
        <w:rPr>
          <w:rStyle w:val="optioncarChar"/>
        </w:rPr>
        <w:t xml:space="preserve">noir </w:t>
      </w:r>
      <w:r>
        <w:t xml:space="preserve">(par défaut) </w:t>
      </w:r>
      <w:r>
        <w:rPr>
          <w:rStyle w:val="optioncarChar"/>
        </w:rPr>
        <w:t>/ blanc / gris / anthracite / rouge / bleu / vert / jaune / orange / violet / ***.</w:t>
      </w:r>
    </w:p>
    <w:p w14:paraId="4BF65447" w14:textId="77777777" w:rsidR="00772179" w:rsidRDefault="00000000">
      <w:pPr>
        <w:pStyle w:val="Author-eListParagraph"/>
        <w:numPr>
          <w:ilvl w:val="0"/>
          <w:numId w:val="976"/>
        </w:numPr>
      </w:pPr>
      <w:r>
        <w:rPr>
          <w:rStyle w:val="soitChar"/>
        </w:rPr>
        <w:t>Finition : surface</w:t>
      </w:r>
      <w:r>
        <w:rPr>
          <w:rStyle w:val="optioncarChar"/>
        </w:rPr>
        <w:t xml:space="preserve"> légèrement structurée </w:t>
      </w:r>
      <w:r>
        <w:t>(par défaut)</w:t>
      </w:r>
      <w:r>
        <w:rPr>
          <w:rStyle w:val="optioncarChar"/>
        </w:rPr>
        <w:t xml:space="preserve"> / ***.</w:t>
      </w:r>
    </w:p>
    <w:p w14:paraId="440C0AC6" w14:textId="77777777" w:rsidR="00772179" w:rsidRDefault="00000000">
      <w:pPr>
        <w:jc w:val="both"/>
      </w:pPr>
      <w:r>
        <w:rPr>
          <w:b/>
        </w:rPr>
        <w:t>(soit)</w:t>
      </w:r>
    </w:p>
    <w:p w14:paraId="1D0625C0" w14:textId="77777777" w:rsidR="00772179" w:rsidRDefault="00000000">
      <w:pPr>
        <w:jc w:val="both"/>
      </w:pPr>
      <w:r>
        <w:rPr>
          <w:rStyle w:val="optioncarChar"/>
        </w:rPr>
        <w:t>***</w:t>
      </w:r>
    </w:p>
    <w:p w14:paraId="0FE2E5BC" w14:textId="77777777" w:rsidR="00772179" w:rsidRDefault="00000000">
      <w:pPr>
        <w:pStyle w:val="pheading"/>
      </w:pPr>
      <w:r>
        <w:t>EXÉCUTION / MISE EN ŒUVRE</w:t>
      </w:r>
    </w:p>
    <w:p w14:paraId="0E940C81" w14:textId="77777777" w:rsidR="00772179" w:rsidRDefault="00000000">
      <w:pPr>
        <w:pStyle w:val="pheading"/>
      </w:pPr>
      <w:r>
        <w:t>- Prescriptions générales</w:t>
      </w:r>
    </w:p>
    <w:p w14:paraId="60B074F9" w14:textId="77777777" w:rsidR="00772179" w:rsidRDefault="00000000">
      <w:pPr>
        <w:jc w:val="both"/>
      </w:pPr>
      <w:r>
        <w:t>L’entrepreneur soumet le descriptif du système et sa configuration (fixations, calepinage des panneaux, etc…) à la direction du chantier pour approbation. Ce descriptif est établi sur base de l’étude du fabricant prescrite ci-avant.</w:t>
      </w:r>
    </w:p>
    <w:p w14:paraId="6C845291" w14:textId="77777777" w:rsidR="00772179" w:rsidRDefault="00000000">
      <w:pPr>
        <w:jc w:val="both"/>
      </w:pPr>
      <w:r>
        <w:rPr>
          <w:b/>
        </w:rPr>
        <w:t>Structure de support</w:t>
      </w:r>
    </w:p>
    <w:p w14:paraId="2B6063E9" w14:textId="77777777" w:rsidR="00772179" w:rsidRDefault="00000000">
      <w:pPr>
        <w:pStyle w:val="Author-eListParagraph"/>
        <w:numPr>
          <w:ilvl w:val="0"/>
          <w:numId w:val="977"/>
        </w:numPr>
      </w:pPr>
      <w:r>
        <w:t xml:space="preserve">Ecartement : </w:t>
      </w:r>
      <w:r>
        <w:rPr>
          <w:rStyle w:val="optioncarChar"/>
        </w:rPr>
        <w:t xml:space="preserve">conforme aux recommandations de l’étude approuvée </w:t>
      </w:r>
      <w:r>
        <w:t>(par défaut)</w:t>
      </w:r>
      <w:r>
        <w:rPr>
          <w:rStyle w:val="optioncarChar"/>
        </w:rPr>
        <w:t xml:space="preserve"> / 40 / 50 / 60 / *** cm.</w:t>
      </w:r>
    </w:p>
    <w:p w14:paraId="2BE5B664" w14:textId="77777777" w:rsidR="00772179" w:rsidRDefault="00000000">
      <w:pPr>
        <w:pStyle w:val="Author-eListParagraph"/>
        <w:numPr>
          <w:ilvl w:val="0"/>
          <w:numId w:val="977"/>
        </w:numPr>
      </w:pPr>
      <w:r>
        <w:t xml:space="preserve">Sens de pose : </w:t>
      </w:r>
      <w:r>
        <w:rPr>
          <w:rStyle w:val="optioncarChar"/>
        </w:rPr>
        <w:t>vertical</w:t>
      </w:r>
      <w:r>
        <w:t xml:space="preserve"> (par défaut)</w:t>
      </w:r>
      <w:r>
        <w:rPr>
          <w:rStyle w:val="optioncarChar"/>
        </w:rPr>
        <w:t xml:space="preserve"> / horizontal / ***.</w:t>
      </w:r>
    </w:p>
    <w:p w14:paraId="2692DE84" w14:textId="77777777" w:rsidR="00772179" w:rsidRDefault="00000000">
      <w:pPr>
        <w:pStyle w:val="Author-eListParagraph"/>
        <w:numPr>
          <w:ilvl w:val="0"/>
          <w:numId w:val="977"/>
        </w:numPr>
      </w:pPr>
      <w:r>
        <w:t xml:space="preserve">La conception de la structure de support permet la création d’un espace de ventilation continu d’une épaisseur ≥ </w:t>
      </w:r>
      <w:r>
        <w:rPr>
          <w:rStyle w:val="optioncarChar"/>
        </w:rPr>
        <w:t>20</w:t>
      </w:r>
      <w:r>
        <w:t xml:space="preserve"> (par défaut) </w:t>
      </w:r>
      <w:r>
        <w:rPr>
          <w:rStyle w:val="optioncarChar"/>
        </w:rPr>
        <w:t>/ 25 / 30 / ***</w:t>
      </w:r>
      <w:r>
        <w:t xml:space="preserve"> mm à l’arrière des panneaux.</w:t>
      </w:r>
    </w:p>
    <w:p w14:paraId="6B6F2CAA" w14:textId="77777777" w:rsidR="00772179" w:rsidRDefault="00000000">
      <w:pPr>
        <w:pStyle w:val="Author-eListParagraph"/>
        <w:numPr>
          <w:ilvl w:val="0"/>
          <w:numId w:val="977"/>
        </w:numPr>
      </w:pPr>
      <w:r>
        <w:t xml:space="preserve">Ouvertures de ventilation en haut et en bas des façades ainsi qu’autour des baies de fenêtres et de portes : ≥ </w:t>
      </w:r>
      <w:r>
        <w:rPr>
          <w:rStyle w:val="optioncarChar"/>
        </w:rPr>
        <w:t xml:space="preserve">100 </w:t>
      </w:r>
      <w:r>
        <w:t>(par défaut)</w:t>
      </w:r>
      <w:r>
        <w:rPr>
          <w:rStyle w:val="optioncarChar"/>
        </w:rPr>
        <w:t xml:space="preserve"> / ***</w:t>
      </w:r>
      <w:r>
        <w:t xml:space="preserve"> cm²/mct avec grille anti-rongeurs à chaque ouverture.</w:t>
      </w:r>
    </w:p>
    <w:p w14:paraId="2311773C" w14:textId="77777777" w:rsidR="00772179" w:rsidRDefault="00000000">
      <w:pPr>
        <w:pStyle w:val="Author-eListParagraph"/>
        <w:numPr>
          <w:ilvl w:val="0"/>
          <w:numId w:val="977"/>
        </w:numPr>
      </w:pPr>
      <w:r>
        <w:t xml:space="preserve">Joint de dilatation structuraux : à prolonger dans le revêtement de façade en prévoyant une latte de support de chaque côté du joint de dilatation. (Voir </w:t>
      </w:r>
      <w:hyperlink w:anchor="999" w:history="1">
        <w:r>
          <w:rPr>
            <w:color w:val="0000EE"/>
          </w:rPr>
          <w:t>43.64.2 Revêtements de façade - joints de dilatation</w:t>
        </w:r>
      </w:hyperlink>
      <w:r>
        <w:t>)</w:t>
      </w:r>
    </w:p>
    <w:p w14:paraId="70180DD6" w14:textId="77777777" w:rsidR="00772179" w:rsidRDefault="00000000">
      <w:pPr>
        <w:pStyle w:val="Author-eListParagraph"/>
        <w:numPr>
          <w:ilvl w:val="0"/>
          <w:numId w:val="977"/>
        </w:numPr>
      </w:pPr>
      <w:r>
        <w:t>Joint de liaison entre les panneaux et la structure de support :</w:t>
      </w:r>
      <w:r>
        <w:rPr>
          <w:rStyle w:val="optioncarChar"/>
        </w:rPr>
        <w:t xml:space="preserve"> en bois</w:t>
      </w:r>
      <w:r>
        <w:t xml:space="preserve"> (par défaut)</w:t>
      </w:r>
      <w:r>
        <w:rPr>
          <w:rStyle w:val="optioncarChar"/>
        </w:rPr>
        <w:t xml:space="preserve"> / métalliques / ***.</w:t>
      </w:r>
    </w:p>
    <w:p w14:paraId="65D7D129" w14:textId="77777777" w:rsidR="00772179" w:rsidRDefault="00000000">
      <w:pPr>
        <w:ind w:left="567"/>
        <w:jc w:val="both"/>
      </w:pPr>
      <w:r>
        <w:rPr>
          <w:b/>
        </w:rPr>
        <w:t>(soit par défaut)</w:t>
      </w:r>
    </w:p>
    <w:p w14:paraId="23800D01" w14:textId="77777777" w:rsidR="00772179" w:rsidRDefault="00000000">
      <w:pPr>
        <w:ind w:left="567"/>
        <w:jc w:val="both"/>
      </w:pPr>
      <w:r>
        <w:rPr>
          <w:rStyle w:val="soitChar"/>
          <w:u w:val="single"/>
        </w:rPr>
        <w:t xml:space="preserve">En bois : </w:t>
      </w:r>
    </w:p>
    <w:p w14:paraId="027FA38D" w14:textId="77777777" w:rsidR="00772179" w:rsidRDefault="00000000">
      <w:pPr>
        <w:ind w:left="567"/>
        <w:jc w:val="both"/>
      </w:pPr>
      <w:r>
        <w:rPr>
          <w:rStyle w:val="soitChar"/>
        </w:rPr>
        <w:t>Les profilés en bois sont revêtus d’une bande d’étanchéité résistante aux UV en</w:t>
      </w:r>
      <w:r>
        <w:rPr>
          <w:rStyle w:val="optioncarChar"/>
        </w:rPr>
        <w:t xml:space="preserve"> EPDM cannelé </w:t>
      </w:r>
      <w:r>
        <w:t>(par défaut)</w:t>
      </w:r>
      <w:r>
        <w:rPr>
          <w:rStyle w:val="optioncarChar"/>
        </w:rPr>
        <w:t xml:space="preserve"> / PVC / ***.</w:t>
      </w:r>
    </w:p>
    <w:p w14:paraId="75B216EF" w14:textId="77777777" w:rsidR="00772179" w:rsidRDefault="00000000">
      <w:pPr>
        <w:ind w:left="567"/>
        <w:jc w:val="both"/>
      </w:pPr>
      <w:r>
        <w:rPr>
          <w:b/>
        </w:rPr>
        <w:t>(soit)</w:t>
      </w:r>
    </w:p>
    <w:p w14:paraId="4C26D04D" w14:textId="77777777" w:rsidR="00772179" w:rsidRDefault="00000000">
      <w:pPr>
        <w:ind w:left="567"/>
        <w:jc w:val="both"/>
      </w:pPr>
      <w:r>
        <w:rPr>
          <w:rStyle w:val="soitChar"/>
          <w:u w:val="single"/>
        </w:rPr>
        <w:t>Métalliques :</w:t>
      </w:r>
    </w:p>
    <w:p w14:paraId="08120619" w14:textId="77777777" w:rsidR="00772179" w:rsidRDefault="00000000">
      <w:pPr>
        <w:ind w:left="567"/>
        <w:jc w:val="both"/>
      </w:pPr>
      <w:r>
        <w:rPr>
          <w:rStyle w:val="soitChar"/>
        </w:rPr>
        <w:t>Les profilés métalliques sont revêtus d’une bande de mousse adhésive d’un seul côté. La bande de mousse est conçue pour créer une barrière étanche à l'eau, pour minimiser les vibrations du panneau de façade et empêcher le contact entre le fibres-ciment et la structure portante en aluminium. Elle absorbe le mouvement normal des joints à la suite de la dilatation et de la contraction thermiques et hydriques ou d'autres forces environnantes.</w:t>
      </w:r>
    </w:p>
    <w:p w14:paraId="3680A4AE" w14:textId="77777777" w:rsidR="00772179" w:rsidRDefault="00000000">
      <w:pPr>
        <w:ind w:left="567"/>
        <w:jc w:val="both"/>
      </w:pPr>
      <w:r>
        <w:rPr>
          <w:b/>
        </w:rPr>
        <w:t>(soit)</w:t>
      </w:r>
    </w:p>
    <w:p w14:paraId="003A7883" w14:textId="77777777" w:rsidR="00772179" w:rsidRDefault="00000000">
      <w:pPr>
        <w:ind w:left="567"/>
        <w:jc w:val="both"/>
      </w:pPr>
      <w:r>
        <w:rPr>
          <w:rStyle w:val="optioncarChar"/>
        </w:rPr>
        <w:t>***</w:t>
      </w:r>
    </w:p>
    <w:p w14:paraId="5E2DF023" w14:textId="77777777" w:rsidR="00772179" w:rsidRDefault="00000000">
      <w:pPr>
        <w:jc w:val="both"/>
      </w:pPr>
      <w:r>
        <w:rPr>
          <w:b/>
        </w:rPr>
        <w:t>Pose des panneaux</w:t>
      </w:r>
    </w:p>
    <w:p w14:paraId="2362518C" w14:textId="77777777" w:rsidR="00772179" w:rsidRDefault="00000000">
      <w:pPr>
        <w:pStyle w:val="Author-eListParagraph"/>
        <w:numPr>
          <w:ilvl w:val="0"/>
          <w:numId w:val="978"/>
        </w:numPr>
        <w:jc w:val="both"/>
      </w:pPr>
      <w:r>
        <w:t xml:space="preserve">Sens de pose : </w:t>
      </w:r>
      <w:r>
        <w:rPr>
          <w:rStyle w:val="optioncarChar"/>
        </w:rPr>
        <w:t>horizontal</w:t>
      </w:r>
      <w:r>
        <w:t xml:space="preserve"> (par défaut)</w:t>
      </w:r>
      <w:r>
        <w:rPr>
          <w:rStyle w:val="optioncarChar"/>
        </w:rPr>
        <w:t xml:space="preserve"> / vertical / ***.</w:t>
      </w:r>
    </w:p>
    <w:p w14:paraId="0DDF4021" w14:textId="77777777" w:rsidR="00772179" w:rsidRDefault="00000000">
      <w:pPr>
        <w:pStyle w:val="Author-eListParagraph"/>
        <w:numPr>
          <w:ilvl w:val="0"/>
          <w:numId w:val="978"/>
        </w:numPr>
        <w:jc w:val="both"/>
      </w:pPr>
      <w:r>
        <w:t xml:space="preserve">Joints entre panneaux (verticaux et horizontaux) : ≥ </w:t>
      </w:r>
      <w:r>
        <w:rPr>
          <w:rStyle w:val="optioncarChar"/>
        </w:rPr>
        <w:t>10</w:t>
      </w:r>
      <w:r>
        <w:t xml:space="preserve"> (par défaut)</w:t>
      </w:r>
      <w:r>
        <w:rPr>
          <w:rStyle w:val="optioncarChar"/>
        </w:rPr>
        <w:t xml:space="preserve"> / ***</w:t>
      </w:r>
      <w:r>
        <w:t xml:space="preserve"> mm.</w:t>
      </w:r>
    </w:p>
    <w:p w14:paraId="48ABE46A" w14:textId="77777777" w:rsidR="00772179" w:rsidRDefault="00000000">
      <w:pPr>
        <w:pStyle w:val="Author-eListParagraph"/>
        <w:numPr>
          <w:ilvl w:val="0"/>
          <w:numId w:val="978"/>
        </w:numPr>
        <w:jc w:val="both"/>
      </w:pPr>
      <w:r>
        <w:t xml:space="preserve">Type de joints horizontaux : </w:t>
      </w:r>
      <w:r>
        <w:rPr>
          <w:rStyle w:val="optioncarChar"/>
        </w:rPr>
        <w:t xml:space="preserve">ouverts </w:t>
      </w:r>
      <w:r>
        <w:t xml:space="preserve">(par défaut) </w:t>
      </w:r>
      <w:r>
        <w:rPr>
          <w:rStyle w:val="optioncarChar"/>
        </w:rPr>
        <w:t>/ fermés par un profilé de joint horizontal noir en aluminium d’une épaisseur ≤ à 0,8 mm.</w:t>
      </w:r>
    </w:p>
    <w:p w14:paraId="056699B7" w14:textId="77777777" w:rsidR="00772179" w:rsidRDefault="00000000">
      <w:pPr>
        <w:pStyle w:val="Author-eListParagraph"/>
        <w:numPr>
          <w:ilvl w:val="0"/>
          <w:numId w:val="978"/>
        </w:numPr>
        <w:jc w:val="both"/>
      </w:pPr>
      <w:r>
        <w:t xml:space="preserve">Profils d'arrêt à la jonction avec les matériaux de parement adjacents en : </w:t>
      </w:r>
      <w:r>
        <w:rPr>
          <w:rStyle w:val="optioncarChar"/>
        </w:rPr>
        <w:t xml:space="preserve">aluminium thermolaqué de teinte similaire à celle des panneaux </w:t>
      </w:r>
      <w:r>
        <w:t>(par défaut)</w:t>
      </w:r>
      <w:r>
        <w:rPr>
          <w:rStyle w:val="optioncarChar"/>
        </w:rPr>
        <w:t xml:space="preserve"> / aluminium anodisé / PVC / ***</w:t>
      </w:r>
    </w:p>
    <w:p w14:paraId="4C23C7D6" w14:textId="77777777" w:rsidR="00772179" w:rsidRDefault="00000000">
      <w:pPr>
        <w:pStyle w:val="Author-eListParagraph"/>
        <w:numPr>
          <w:ilvl w:val="0"/>
          <w:numId w:val="978"/>
        </w:numPr>
        <w:jc w:val="both"/>
      </w:pPr>
      <w:r>
        <w:t>Finition des angles sortants et rentrants :</w:t>
      </w:r>
      <w:r>
        <w:rPr>
          <w:rStyle w:val="optioncarChar"/>
        </w:rPr>
        <w:t xml:space="preserve"> profils en aluminium thermolaqué de teinte similaire à celle des panneaux </w:t>
      </w:r>
      <w:r>
        <w:t>(par défaut)</w:t>
      </w:r>
      <w:r>
        <w:rPr>
          <w:rStyle w:val="optioncarChar"/>
        </w:rPr>
        <w:t xml:space="preserve"> / aluminium anodisé / PVC / panneaux coupés à onglet / ***</w:t>
      </w:r>
      <w:r>
        <w:t>.</w:t>
      </w:r>
    </w:p>
    <w:p w14:paraId="13B64C17" w14:textId="77777777" w:rsidR="00772179" w:rsidRDefault="00000000">
      <w:pPr>
        <w:pStyle w:val="Author-eListParagraph"/>
        <w:numPr>
          <w:ilvl w:val="0"/>
          <w:numId w:val="978"/>
        </w:numPr>
        <w:jc w:val="both"/>
      </w:pPr>
      <w:r>
        <w:lastRenderedPageBreak/>
        <w:t xml:space="preserve">Finition au droit des joues de baies : </w:t>
      </w:r>
      <w:r>
        <w:rPr>
          <w:rStyle w:val="optioncarChar"/>
        </w:rPr>
        <w:t xml:space="preserve">panneau de fibres ciment coupé sur mesure posé avec profil en aluminium thermolaqué de teinte similaire à celle des panneaux </w:t>
      </w:r>
      <w:r>
        <w:t>(par défaut)</w:t>
      </w:r>
      <w:r>
        <w:rPr>
          <w:rStyle w:val="optioncarChar"/>
        </w:rPr>
        <w:t xml:space="preserve"> / panneau de fibres ciment coupé sur mesure posé avec profil en aluminium anodisé / panneau de fibres ciment coupé sur mesure posé avec profil en PVC / panneaux coupés à onglet / ***</w:t>
      </w:r>
      <w:r>
        <w:t>.</w:t>
      </w:r>
    </w:p>
    <w:p w14:paraId="5391BEAF" w14:textId="77777777" w:rsidR="00772179" w:rsidRDefault="00000000">
      <w:pPr>
        <w:pStyle w:val="Author-eListParagraph"/>
        <w:numPr>
          <w:ilvl w:val="0"/>
          <w:numId w:val="978"/>
        </w:numPr>
        <w:jc w:val="both"/>
      </w:pPr>
      <w:r>
        <w:t>Finition des bords sciés in-situ. Après ponçage des parties découpées, la poussière est éliminée et les chants des découpes des panneaux sont traités avec un liquide d'imprégnation transparent pour éviter les différences localisées de couleur dues à l'absorption de l'humidité ambiante.</w:t>
      </w:r>
    </w:p>
    <w:p w14:paraId="194D1F7C" w14:textId="77777777" w:rsidR="00772179" w:rsidRDefault="00000000">
      <w:pPr>
        <w:pStyle w:val="pheading"/>
      </w:pPr>
      <w:r>
        <w:t>- Échantillons</w:t>
      </w:r>
    </w:p>
    <w:p w14:paraId="3EBD9EB4" w14:textId="77777777" w:rsidR="00772179" w:rsidRDefault="00000000">
      <w:pPr>
        <w:pStyle w:val="Author-eListParagraph"/>
        <w:numPr>
          <w:ilvl w:val="0"/>
          <w:numId w:val="979"/>
        </w:numPr>
        <w:jc w:val="both"/>
      </w:pPr>
      <w:r>
        <w:t xml:space="preserve">Afin de déterminer le choix définitif des panneaux, un ou plusieurs échantillons de +/- 1 m² (avec un maximum de </w:t>
      </w:r>
      <w:r>
        <w:rPr>
          <w:rStyle w:val="optioncarChar"/>
        </w:rPr>
        <w:t>2</w:t>
      </w:r>
      <w:r>
        <w:t xml:space="preserve"> (par défaut)</w:t>
      </w:r>
      <w:r>
        <w:rPr>
          <w:rStyle w:val="optioncarChar"/>
        </w:rPr>
        <w:t xml:space="preserve"> / 3 / 5 / ***</w:t>
      </w:r>
      <w:r>
        <w:t xml:space="preserve"> échantillons à réaliser au total) sont confectionnés à la demande de la direction du chantier. Les frais inhérents à la confection et à la démolition de ces échantillons sont à charge de l'entreprise.</w:t>
      </w:r>
    </w:p>
    <w:p w14:paraId="0B7E443F" w14:textId="77777777" w:rsidR="00772179" w:rsidRDefault="00000000">
      <w:pPr>
        <w:pStyle w:val="Author-eListParagraph"/>
        <w:numPr>
          <w:ilvl w:val="0"/>
          <w:numId w:val="979"/>
        </w:numPr>
        <w:jc w:val="both"/>
      </w:pPr>
      <w:r>
        <w:t>La couleur des profils de finitions et des accessoires est soumise à l’approbation de la direction du chantier en réalisant un essai sur un mètre de longueur.</w:t>
      </w:r>
    </w:p>
    <w:p w14:paraId="060CEB19" w14:textId="77777777" w:rsidR="00772179" w:rsidRDefault="00000000">
      <w:pPr>
        <w:pStyle w:val="pheading"/>
      </w:pPr>
      <w:r>
        <w:t>DOCUMENTS DE RÉFÉRENCE COMPLÉMENTAIRES</w:t>
      </w:r>
    </w:p>
    <w:p w14:paraId="38A3D920" w14:textId="77777777" w:rsidR="00772179" w:rsidRDefault="00000000">
      <w:pPr>
        <w:pStyle w:val="pheading"/>
      </w:pPr>
      <w:r>
        <w:t>- Matériau</w:t>
      </w:r>
    </w:p>
    <w:p w14:paraId="00CD7F90" w14:textId="77777777" w:rsidR="00772179" w:rsidRDefault="00000000">
      <w:r>
        <w:t>[NBN EN 12467:2012+A2, Plaques planes en fibres-ciment - Spécifications du produit et méthodes d'essai]</w:t>
      </w:r>
    </w:p>
    <w:p w14:paraId="66A3701B" w14:textId="77777777" w:rsidR="00772179" w:rsidRDefault="00000000">
      <w:pPr>
        <w:pStyle w:val="pheading"/>
      </w:pPr>
      <w:r>
        <w:t>MESURAGE</w:t>
      </w:r>
    </w:p>
    <w:p w14:paraId="2710AFE0" w14:textId="77777777" w:rsidR="00772179" w:rsidRDefault="00000000">
      <w:pPr>
        <w:pStyle w:val="pheading"/>
      </w:pPr>
      <w:r>
        <w:t>- unité de mesure:</w:t>
      </w:r>
    </w:p>
    <w:p w14:paraId="4637F12D" w14:textId="77777777" w:rsidR="00772179" w:rsidRDefault="00000000">
      <w:r>
        <w:t>m²</w:t>
      </w:r>
    </w:p>
    <w:p w14:paraId="6B2C2C27" w14:textId="77777777" w:rsidR="00772179" w:rsidRDefault="00000000">
      <w:pPr>
        <w:pStyle w:val="pheading"/>
      </w:pPr>
      <w:r>
        <w:t>- code de mesurage:</w:t>
      </w:r>
    </w:p>
    <w:p w14:paraId="18A6C816" w14:textId="77777777" w:rsidR="00772179" w:rsidRDefault="00000000">
      <w:pPr>
        <w:jc w:val="both"/>
      </w:pPr>
      <w:r>
        <w:rPr>
          <w:b/>
        </w:rPr>
        <w:t>Surface nette</w:t>
      </w:r>
      <w:r>
        <w:t xml:space="preserve"> du système à poser (mesurée dans le plan extérieur des panneaux). Les ouvertures et les interruptions ≥ 0,50 m² sont déduites. Les structures de support, les divers profils décrits et les études prescrites sont compris dans le prix unitaire. Les retours latéraux et supérieurs des baies et ouvertures ne sont comptés en supplément (surface nette) que si leur profondeur est supérieure à celle du système de revêtement de façade. Distinction faite suivant le type d’élément.</w:t>
      </w:r>
    </w:p>
    <w:p w14:paraId="5156A778" w14:textId="77777777" w:rsidR="00772179" w:rsidRDefault="00000000">
      <w:pPr>
        <w:pStyle w:val="pheading"/>
      </w:pPr>
      <w:r>
        <w:t>- nature du marché:</w:t>
      </w:r>
    </w:p>
    <w:p w14:paraId="04637845" w14:textId="77777777" w:rsidR="00772179" w:rsidRDefault="00000000">
      <w:r>
        <w:t>QF </w:t>
      </w:r>
    </w:p>
    <w:p w14:paraId="7709A217" w14:textId="77777777" w:rsidR="00772179" w:rsidRDefault="00000000">
      <w:pPr>
        <w:pStyle w:val="Author-eSectionHeading5Numberless"/>
      </w:pPr>
      <w:bookmarkStart w:id="763" w:name="_Toc220490450"/>
      <w:r>
        <w:t>43.25.2 Revêtements de façade rigides fixés mécaniquement - tôles métalliques CCTB 01.02</w:t>
      </w:r>
      <w:bookmarkEnd w:id="763"/>
    </w:p>
    <w:p w14:paraId="479C40F2" w14:textId="77777777" w:rsidR="00772179" w:rsidRDefault="00000000">
      <w:pPr>
        <w:pStyle w:val="Author-eSectionHeading6Numberless"/>
      </w:pPr>
      <w:bookmarkStart w:id="764" w:name="_Toc220490451"/>
      <w:r>
        <w:t>43.25.2a Revêtements de façade rigides fixés mécaniquement - tôles métalliques CCTB 01.11</w:t>
      </w:r>
      <w:bookmarkEnd w:id="764"/>
    </w:p>
    <w:p w14:paraId="50744FAA" w14:textId="77777777" w:rsidR="00772179" w:rsidRDefault="00000000">
      <w:pPr>
        <w:pStyle w:val="pheading"/>
      </w:pPr>
      <w:r>
        <w:t>DESCRIPTION</w:t>
      </w:r>
    </w:p>
    <w:p w14:paraId="19211F1A" w14:textId="77777777" w:rsidR="00772179" w:rsidRDefault="00000000">
      <w:pPr>
        <w:pStyle w:val="pheading"/>
      </w:pPr>
      <w:r>
        <w:t>- Définition / Comprend</w:t>
      </w:r>
    </w:p>
    <w:p w14:paraId="26B2E2F7" w14:textId="77777777" w:rsidR="00772179" w:rsidRDefault="00000000">
      <w:pPr>
        <w:jc w:val="both"/>
      </w:pPr>
      <w:r>
        <w:t>Il s’agit de la fourniture et la pose de tôles métalliques fixées mécaniquement à une structure secondaire en profilés appliqués en façade en vue de la réalisation d’un ouvrage soigné et propre.</w:t>
      </w:r>
    </w:p>
    <w:p w14:paraId="37B9F240" w14:textId="77777777" w:rsidR="00772179" w:rsidRDefault="00000000">
      <w:pPr>
        <w:jc w:val="both"/>
      </w:pPr>
      <w:r>
        <w:t>La portée des travaux est décrite au </w:t>
      </w:r>
      <w:hyperlink w:anchor="984" w:history="1">
        <w:r>
          <w:rPr>
            <w:color w:val="0000EE"/>
          </w:rPr>
          <w:t>43.2 Revêtements de façade rigides fixés mécaniquement</w:t>
        </w:r>
      </w:hyperlink>
      <w:r>
        <w:t>.</w:t>
      </w:r>
    </w:p>
    <w:p w14:paraId="738F56E4" w14:textId="77777777" w:rsidR="00772179" w:rsidRDefault="00000000">
      <w:pPr>
        <w:pStyle w:val="pheading"/>
      </w:pPr>
      <w:r>
        <w:t>MATÉRIAUX</w:t>
      </w:r>
    </w:p>
    <w:p w14:paraId="5D055A45" w14:textId="77777777" w:rsidR="00772179" w:rsidRDefault="00000000">
      <w:pPr>
        <w:pStyle w:val="pheading"/>
      </w:pPr>
      <w:r>
        <w:t>- Caractéristiques générales</w:t>
      </w:r>
    </w:p>
    <w:p w14:paraId="3164E335" w14:textId="77777777" w:rsidR="00772179" w:rsidRDefault="00000000">
      <w:pPr>
        <w:jc w:val="both"/>
      </w:pPr>
      <w:r>
        <w:rPr>
          <w:b/>
        </w:rPr>
        <w:t>Profilés</w:t>
      </w:r>
      <w:r>
        <w:t xml:space="preserve"> : </w:t>
      </w:r>
      <w:r>
        <w:rPr>
          <w:rStyle w:val="optioncarChar"/>
        </w:rPr>
        <w:t xml:space="preserve">en bois </w:t>
      </w:r>
      <w:r>
        <w:t>(par défaut)</w:t>
      </w:r>
      <w:r>
        <w:rPr>
          <w:rStyle w:val="optioncarChar"/>
        </w:rPr>
        <w:t xml:space="preserve"> / métalliques</w:t>
      </w:r>
    </w:p>
    <w:p w14:paraId="066D2F71" w14:textId="77777777" w:rsidR="00772179" w:rsidRDefault="00000000">
      <w:pPr>
        <w:jc w:val="both"/>
      </w:pPr>
      <w:r>
        <w:rPr>
          <w:b/>
        </w:rPr>
        <w:t>(soit par défaut)</w:t>
      </w:r>
    </w:p>
    <w:p w14:paraId="25C1A498" w14:textId="77777777" w:rsidR="00772179" w:rsidRDefault="00000000">
      <w:pPr>
        <w:jc w:val="both"/>
      </w:pPr>
      <w:r>
        <w:rPr>
          <w:rStyle w:val="soitChar"/>
          <w:u w:val="single"/>
        </w:rPr>
        <w:lastRenderedPageBreak/>
        <w:t>Profilés en bois</w:t>
      </w:r>
      <w:r>
        <w:rPr>
          <w:rStyle w:val="soitChar"/>
        </w:rPr>
        <w:t xml:space="preserve"> tels que décrits au </w:t>
      </w:r>
      <w:hyperlink w:anchor="985" w:history="1">
        <w:r>
          <w:rPr>
            <w:rStyle w:val="soitChar"/>
            <w:color w:val="0000EE"/>
          </w:rPr>
          <w:t>43.11.1 Profilés de support continu en bois du revêtement de façade</w:t>
        </w:r>
      </w:hyperlink>
      <w:r>
        <w:rPr>
          <w:rStyle w:val="soitChar"/>
        </w:rPr>
        <w:t>.</w:t>
      </w:r>
    </w:p>
    <w:p w14:paraId="10D42AF2" w14:textId="77777777" w:rsidR="00772179" w:rsidRDefault="00000000">
      <w:pPr>
        <w:jc w:val="both"/>
      </w:pPr>
      <w:r>
        <w:rPr>
          <w:b/>
        </w:rPr>
        <w:t>(soit)</w:t>
      </w:r>
    </w:p>
    <w:p w14:paraId="36804395" w14:textId="77777777" w:rsidR="00772179" w:rsidRDefault="00000000">
      <w:pPr>
        <w:jc w:val="both"/>
      </w:pPr>
      <w:r>
        <w:rPr>
          <w:rStyle w:val="soitChar"/>
          <w:u w:val="single"/>
        </w:rPr>
        <w:t>Profilés métalliques</w:t>
      </w:r>
      <w:r>
        <w:rPr>
          <w:rStyle w:val="soitChar"/>
        </w:rPr>
        <w:t xml:space="preserve"> tels que décrits au </w:t>
      </w:r>
      <w:hyperlink w:anchor="993" w:history="1">
        <w:r>
          <w:rPr>
            <w:rStyle w:val="soitChar"/>
            <w:color w:val="0000EE"/>
          </w:rPr>
          <w:t>43.11.2 Profilés de support continu métallique du revêtement de façade</w:t>
        </w:r>
      </w:hyperlink>
      <w:r>
        <w:rPr>
          <w:rStyle w:val="soitChar"/>
        </w:rPr>
        <w:t>.</w:t>
      </w:r>
    </w:p>
    <w:p w14:paraId="71AD7169" w14:textId="77777777" w:rsidR="00772179" w:rsidRDefault="00000000">
      <w:pPr>
        <w:jc w:val="both"/>
      </w:pPr>
      <w:r>
        <w:rPr>
          <w:b/>
        </w:rPr>
        <w:t>Isolation :</w:t>
      </w:r>
      <w:r>
        <w:t xml:space="preserve">  </w:t>
      </w:r>
      <w:r>
        <w:rPr>
          <w:rStyle w:val="optioncarChar"/>
        </w:rPr>
        <w:t xml:space="preserve">oui </w:t>
      </w:r>
      <w:r>
        <w:t>(par défaut)</w:t>
      </w:r>
      <w:r>
        <w:rPr>
          <w:rStyle w:val="optioncarChar"/>
        </w:rPr>
        <w:t xml:space="preserve"> / non</w:t>
      </w:r>
    </w:p>
    <w:p w14:paraId="25E4B186" w14:textId="77777777" w:rsidR="00772179" w:rsidRDefault="00000000">
      <w:pPr>
        <w:jc w:val="both"/>
      </w:pPr>
      <w:r>
        <w:rPr>
          <w:b/>
        </w:rPr>
        <w:t>(soit par défaut)</w:t>
      </w:r>
    </w:p>
    <w:p w14:paraId="517B1634" w14:textId="77777777" w:rsidR="00772179" w:rsidRDefault="00000000">
      <w:pPr>
        <w:jc w:val="both"/>
      </w:pPr>
      <w:r>
        <w:rPr>
          <w:rStyle w:val="soitChar"/>
          <w:u w:val="single"/>
        </w:rPr>
        <w:t>Isolation</w:t>
      </w:r>
      <w:r>
        <w:rPr>
          <w:rStyle w:val="soitChar"/>
        </w:rPr>
        <w:t xml:space="preserve"> suivant descriptif au 26.4 Isolation,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w:t>
      </w:r>
      <w:r>
        <w:rPr>
          <w:rStyle w:val="optioncarChar"/>
        </w:rPr>
        <w:t>***</w:t>
      </w:r>
      <w:r>
        <w:t>.</w:t>
      </w:r>
    </w:p>
    <w:p w14:paraId="7A0FAF64" w14:textId="77777777" w:rsidR="00772179" w:rsidRDefault="00000000">
      <w:pPr>
        <w:jc w:val="both"/>
      </w:pPr>
      <w:r>
        <w:rPr>
          <w:b/>
        </w:rPr>
        <w:t>(soit)</w:t>
      </w:r>
    </w:p>
    <w:p w14:paraId="46C87BC0" w14:textId="77777777" w:rsidR="00772179" w:rsidRDefault="00000000">
      <w:pPr>
        <w:jc w:val="both"/>
      </w:pPr>
      <w:r>
        <w:rPr>
          <w:rStyle w:val="soitChar"/>
          <w:u w:val="single"/>
        </w:rPr>
        <w:t>Pas d’isolation</w:t>
      </w:r>
    </w:p>
    <w:p w14:paraId="1440484C" w14:textId="77777777" w:rsidR="00772179" w:rsidRDefault="00000000">
      <w:pPr>
        <w:jc w:val="both"/>
      </w:pPr>
      <w:r>
        <w:rPr>
          <w:b/>
        </w:rPr>
        <w:t>Tôles métalliques :</w:t>
      </w:r>
    </w:p>
    <w:p w14:paraId="01225365" w14:textId="77777777" w:rsidR="00772179" w:rsidRDefault="00000000">
      <w:pPr>
        <w:jc w:val="both"/>
      </w:pPr>
      <w:r>
        <w:t>Le revêtement de façade se compose de tôles métalliques de type :</w:t>
      </w:r>
    </w:p>
    <w:p w14:paraId="1CE5FD9F" w14:textId="77777777" w:rsidR="00772179" w:rsidRDefault="00000000">
      <w:pPr>
        <w:jc w:val="both"/>
      </w:pPr>
      <w:r>
        <w:rPr>
          <w:rStyle w:val="optioncarChar"/>
        </w:rPr>
        <w:t>Tôles profilées</w:t>
      </w:r>
      <w:r>
        <w:t xml:space="preserve"> (par défaut)</w:t>
      </w:r>
      <w:r>
        <w:rPr>
          <w:rStyle w:val="optioncarChar"/>
        </w:rPr>
        <w:t xml:space="preserve"> / cassettes</w:t>
      </w:r>
    </w:p>
    <w:p w14:paraId="3E3F6B85" w14:textId="77777777" w:rsidR="00772179" w:rsidRDefault="00000000">
      <w:pPr>
        <w:jc w:val="both"/>
      </w:pPr>
      <w:r>
        <w:rPr>
          <w:b/>
        </w:rPr>
        <w:t>(soit par défaut)</w:t>
      </w:r>
    </w:p>
    <w:p w14:paraId="220C997C" w14:textId="77777777" w:rsidR="00772179" w:rsidRDefault="00000000">
      <w:pPr>
        <w:jc w:val="both"/>
      </w:pPr>
      <w:r>
        <w:rPr>
          <w:rStyle w:val="soitChar"/>
          <w:u w:val="single"/>
        </w:rPr>
        <w:t>Tôles profilées :</w:t>
      </w:r>
    </w:p>
    <w:p w14:paraId="5868E2D7" w14:textId="77777777" w:rsidR="00772179" w:rsidRDefault="00000000">
      <w:pPr>
        <w:jc w:val="both"/>
      </w:pPr>
      <w:r>
        <w:rPr>
          <w:rStyle w:val="soitChar"/>
        </w:rPr>
        <w:t>Matériau :</w:t>
      </w:r>
      <w:r>
        <w:rPr>
          <w:rStyle w:val="optioncarChar"/>
        </w:rPr>
        <w:t>acier</w:t>
      </w:r>
      <w:r>
        <w:t xml:space="preserve"> (par défaut) </w:t>
      </w:r>
      <w:r>
        <w:rPr>
          <w:rStyle w:val="optioncarChar"/>
        </w:rPr>
        <w:t>/ aluminium / ***</w:t>
      </w:r>
    </w:p>
    <w:p w14:paraId="4AD3462B" w14:textId="77777777" w:rsidR="00772179" w:rsidRDefault="00000000">
      <w:pPr>
        <w:jc w:val="both"/>
      </w:pPr>
      <w:r>
        <w:rPr>
          <w:rStyle w:val="soitChar"/>
        </w:rPr>
        <w:t>Dimensions :</w:t>
      </w:r>
    </w:p>
    <w:p w14:paraId="2637C753" w14:textId="77777777" w:rsidR="00772179" w:rsidRDefault="00000000">
      <w:pPr>
        <w:pStyle w:val="Author-eListParagraph"/>
        <w:numPr>
          <w:ilvl w:val="0"/>
          <w:numId w:val="980"/>
        </w:numPr>
      </w:pPr>
      <w:r>
        <w:rPr>
          <w:rStyle w:val="soitChar"/>
        </w:rPr>
        <w:t>Epaisseur :</w:t>
      </w:r>
      <w:r>
        <w:rPr>
          <w:rStyle w:val="optioncarChar"/>
        </w:rPr>
        <w:t xml:space="preserve">0,75 </w:t>
      </w:r>
      <w:r>
        <w:t>(par défaut)</w:t>
      </w:r>
      <w:r>
        <w:rPr>
          <w:rStyle w:val="optioncarChar"/>
        </w:rPr>
        <w:t xml:space="preserve"> / 0,63 / 0,88 / 1 / 1,2 / 1,5 / ***</w:t>
      </w:r>
      <w:r>
        <w:t> </w:t>
      </w:r>
      <w:r>
        <w:rPr>
          <w:rStyle w:val="soitChar"/>
        </w:rPr>
        <w:t>mm</w:t>
      </w:r>
    </w:p>
    <w:p w14:paraId="44E67D9D" w14:textId="77777777" w:rsidR="00772179" w:rsidRDefault="00000000">
      <w:pPr>
        <w:pStyle w:val="Author-eListParagraph"/>
        <w:numPr>
          <w:ilvl w:val="0"/>
          <w:numId w:val="980"/>
        </w:numPr>
      </w:pPr>
      <w:r>
        <w:rPr>
          <w:rStyle w:val="soitChar"/>
        </w:rPr>
        <w:t>Longueur :</w:t>
      </w:r>
      <w:r>
        <w:rPr>
          <w:rStyle w:val="optioncarChar"/>
        </w:rPr>
        <w:t xml:space="preserve">7500 </w:t>
      </w:r>
      <w:r>
        <w:t>(par défaut)</w:t>
      </w:r>
      <w:r>
        <w:rPr>
          <w:rStyle w:val="optioncarChar"/>
        </w:rPr>
        <w:t xml:space="preserve"> / 9000 / 6000 / ***</w:t>
      </w:r>
      <w:r>
        <w:t> </w:t>
      </w:r>
      <w:r>
        <w:rPr>
          <w:rStyle w:val="soitChar"/>
        </w:rPr>
        <w:t>mm</w:t>
      </w:r>
    </w:p>
    <w:p w14:paraId="596DCE4B" w14:textId="77777777" w:rsidR="00772179" w:rsidRDefault="00000000">
      <w:pPr>
        <w:pStyle w:val="Author-eListParagraph"/>
        <w:numPr>
          <w:ilvl w:val="0"/>
          <w:numId w:val="980"/>
        </w:numPr>
      </w:pPr>
      <w:r>
        <w:rPr>
          <w:rStyle w:val="soitChar"/>
        </w:rPr>
        <w:t>Largeur utile :</w:t>
      </w:r>
      <w:r>
        <w:t xml:space="preserve">  </w:t>
      </w:r>
      <w:r>
        <w:rPr>
          <w:rStyle w:val="optioncarChar"/>
        </w:rPr>
        <w:t xml:space="preserve">700 </w:t>
      </w:r>
      <w:r>
        <w:t xml:space="preserve">(par défaut) </w:t>
      </w:r>
      <w:r>
        <w:rPr>
          <w:rStyle w:val="optioncarChar"/>
        </w:rPr>
        <w:t>/ 780 / 900 / 1000 / ***</w:t>
      </w:r>
      <w:r>
        <w:rPr>
          <w:rStyle w:val="soitChar"/>
        </w:rPr>
        <w:t>mm</w:t>
      </w:r>
    </w:p>
    <w:p w14:paraId="6490006A" w14:textId="77777777" w:rsidR="00772179" w:rsidRDefault="00000000">
      <w:pPr>
        <w:jc w:val="both"/>
      </w:pPr>
      <w:r>
        <w:rPr>
          <w:rStyle w:val="soitChar"/>
        </w:rPr>
        <w:t>Forme onde :</w:t>
      </w:r>
      <w:r>
        <w:rPr>
          <w:rStyle w:val="optioncarChar"/>
        </w:rPr>
        <w:t xml:space="preserve">droite de largeur constante </w:t>
      </w:r>
      <w:r>
        <w:t>(par défaut)</w:t>
      </w:r>
      <w:r>
        <w:rPr>
          <w:rStyle w:val="optioncarChar"/>
        </w:rPr>
        <w:t xml:space="preserve"> / droite de largeurs variables / trapèze / sinusoïdale / asymétrique / effet clin / ***</w:t>
      </w:r>
    </w:p>
    <w:p w14:paraId="036CD54D" w14:textId="77777777" w:rsidR="00772179" w:rsidRDefault="00000000">
      <w:pPr>
        <w:jc w:val="both"/>
      </w:pPr>
      <w:r>
        <w:rPr>
          <w:rStyle w:val="soitChar"/>
        </w:rPr>
        <w:t>Profondeur onde :</w:t>
      </w:r>
      <w:r>
        <w:t> </w:t>
      </w:r>
      <w:r>
        <w:rPr>
          <w:rStyle w:val="optioncarChar"/>
        </w:rPr>
        <w:t>50</w:t>
      </w:r>
      <w:r>
        <w:t xml:space="preserve"> (par défaut) </w:t>
      </w:r>
      <w:r>
        <w:rPr>
          <w:rStyle w:val="optioncarChar"/>
        </w:rPr>
        <w:t>/ 25 / 30 / 47 / 65 / *** </w:t>
      </w:r>
      <w:r>
        <w:rPr>
          <w:rStyle w:val="soitChar"/>
        </w:rPr>
        <w:t>mm</w:t>
      </w:r>
    </w:p>
    <w:p w14:paraId="013FA8F1" w14:textId="77777777" w:rsidR="00772179" w:rsidRDefault="00000000">
      <w:pPr>
        <w:jc w:val="both"/>
      </w:pPr>
      <w:r>
        <w:rPr>
          <w:b/>
        </w:rPr>
        <w:t xml:space="preserve">(soit) </w:t>
      </w:r>
    </w:p>
    <w:p w14:paraId="0240E159" w14:textId="77777777" w:rsidR="00772179" w:rsidRDefault="00000000">
      <w:pPr>
        <w:jc w:val="both"/>
      </w:pPr>
      <w:r>
        <w:rPr>
          <w:rStyle w:val="soitChar"/>
          <w:u w:val="single"/>
        </w:rPr>
        <w:t>Cassettes :</w:t>
      </w:r>
    </w:p>
    <w:p w14:paraId="0E11C4DD" w14:textId="77777777" w:rsidR="00772179" w:rsidRDefault="00000000">
      <w:pPr>
        <w:jc w:val="both"/>
      </w:pPr>
      <w:r>
        <w:rPr>
          <w:rStyle w:val="soitChar"/>
        </w:rPr>
        <w:t>Matériau :</w:t>
      </w:r>
      <w:r>
        <w:t xml:space="preserve">  </w:t>
      </w:r>
      <w:r>
        <w:rPr>
          <w:rStyle w:val="optioncarChar"/>
        </w:rPr>
        <w:t xml:space="preserve">acier </w:t>
      </w:r>
      <w:r>
        <w:t>(par défaut)</w:t>
      </w:r>
      <w:r>
        <w:rPr>
          <w:rStyle w:val="optioncarChar"/>
        </w:rPr>
        <w:t xml:space="preserve"> / aluminium / inox AISI 304 / inox AISI 316 / ***</w:t>
      </w:r>
    </w:p>
    <w:p w14:paraId="5ABA13BB" w14:textId="77777777" w:rsidR="00772179" w:rsidRDefault="00000000">
      <w:pPr>
        <w:jc w:val="both"/>
      </w:pPr>
      <w:r>
        <w:rPr>
          <w:rStyle w:val="soitChar"/>
        </w:rPr>
        <w:t>Dimensions :</w:t>
      </w:r>
    </w:p>
    <w:p w14:paraId="2F93DC64" w14:textId="77777777" w:rsidR="00772179" w:rsidRDefault="00000000">
      <w:pPr>
        <w:pStyle w:val="Author-eListParagraph"/>
        <w:numPr>
          <w:ilvl w:val="0"/>
          <w:numId w:val="981"/>
        </w:numPr>
      </w:pPr>
      <w:r>
        <w:rPr>
          <w:rStyle w:val="soitChar"/>
        </w:rPr>
        <w:t>Epaisseur :</w:t>
      </w:r>
      <w:r>
        <w:rPr>
          <w:rStyle w:val="optioncarChar"/>
        </w:rPr>
        <w:t xml:space="preserve">1,5 </w:t>
      </w:r>
      <w:r>
        <w:t>(par défaut)</w:t>
      </w:r>
      <w:r>
        <w:rPr>
          <w:rStyle w:val="optioncarChar"/>
        </w:rPr>
        <w:t xml:space="preserve"> / 2 / 3 / ***</w:t>
      </w:r>
      <w:r>
        <w:t> </w:t>
      </w:r>
      <w:r>
        <w:rPr>
          <w:rStyle w:val="soitChar"/>
        </w:rPr>
        <w:t>mm</w:t>
      </w:r>
    </w:p>
    <w:p w14:paraId="567AB641" w14:textId="77777777" w:rsidR="00772179" w:rsidRDefault="00000000">
      <w:pPr>
        <w:pStyle w:val="Author-eListParagraph"/>
        <w:numPr>
          <w:ilvl w:val="0"/>
          <w:numId w:val="981"/>
        </w:numPr>
      </w:pPr>
      <w:r>
        <w:rPr>
          <w:rStyle w:val="soitChar"/>
        </w:rPr>
        <w:t>Longueur :</w:t>
      </w:r>
      <w:r>
        <w:rPr>
          <w:rStyle w:val="optioncarChar"/>
        </w:rPr>
        <w:t xml:space="preserve">1000 </w:t>
      </w:r>
      <w:r>
        <w:t xml:space="preserve">(par défaut) </w:t>
      </w:r>
      <w:r>
        <w:rPr>
          <w:rStyle w:val="optioncarChar"/>
        </w:rPr>
        <w:t>/ ***</w:t>
      </w:r>
      <w:r>
        <w:t> </w:t>
      </w:r>
      <w:r>
        <w:rPr>
          <w:rStyle w:val="soitChar"/>
        </w:rPr>
        <w:t>mm</w:t>
      </w:r>
    </w:p>
    <w:p w14:paraId="3CAEB1DB" w14:textId="77777777" w:rsidR="00772179" w:rsidRDefault="00000000">
      <w:pPr>
        <w:pStyle w:val="Author-eListParagraph"/>
        <w:numPr>
          <w:ilvl w:val="0"/>
          <w:numId w:val="981"/>
        </w:numPr>
      </w:pPr>
      <w:r>
        <w:rPr>
          <w:rStyle w:val="soitChar"/>
        </w:rPr>
        <w:t>Hauteur :</w:t>
      </w:r>
      <w:r>
        <w:t xml:space="preserve">  </w:t>
      </w:r>
      <w:r>
        <w:rPr>
          <w:rStyle w:val="optioncarChar"/>
        </w:rPr>
        <w:t xml:space="preserve">600 </w:t>
      </w:r>
      <w:r>
        <w:t xml:space="preserve">(par défaut) </w:t>
      </w:r>
      <w:r>
        <w:rPr>
          <w:rStyle w:val="optioncarChar"/>
        </w:rPr>
        <w:t>/ ***</w:t>
      </w:r>
      <w:r>
        <w:t> </w:t>
      </w:r>
      <w:r>
        <w:rPr>
          <w:rStyle w:val="soitChar"/>
        </w:rPr>
        <w:t>mm</w:t>
      </w:r>
    </w:p>
    <w:p w14:paraId="14E9FB06" w14:textId="77777777" w:rsidR="00772179" w:rsidRDefault="00000000">
      <w:pPr>
        <w:pStyle w:val="Author-eListParagraph"/>
        <w:numPr>
          <w:ilvl w:val="0"/>
          <w:numId w:val="981"/>
        </w:numPr>
      </w:pPr>
      <w:r>
        <w:rPr>
          <w:rStyle w:val="soitChar"/>
        </w:rPr>
        <w:t>Profondeur du la cassette :</w:t>
      </w:r>
      <w:r>
        <w:rPr>
          <w:rStyle w:val="optioncarChar"/>
        </w:rPr>
        <w:t xml:space="preserve">32 </w:t>
      </w:r>
      <w:r>
        <w:t xml:space="preserve">(par défaut) </w:t>
      </w:r>
      <w:r>
        <w:rPr>
          <w:rStyle w:val="optioncarChar"/>
        </w:rPr>
        <w:t>/ ***</w:t>
      </w:r>
      <w:r>
        <w:t> </w:t>
      </w:r>
      <w:r>
        <w:rPr>
          <w:rStyle w:val="soitChar"/>
        </w:rPr>
        <w:t>mm</w:t>
      </w:r>
    </w:p>
    <w:p w14:paraId="6F4FCE33" w14:textId="77777777" w:rsidR="00772179" w:rsidRDefault="00000000">
      <w:pPr>
        <w:jc w:val="both"/>
      </w:pPr>
      <w:r>
        <w:rPr>
          <w:b/>
        </w:rPr>
        <w:t>Réaction au feu</w:t>
      </w:r>
      <w:r>
        <w:t xml:space="preserve"> : </w:t>
      </w:r>
      <w:r>
        <w:rPr>
          <w:rStyle w:val="optioncarChar"/>
        </w:rPr>
        <w:t>A2-s3,d0</w:t>
      </w:r>
      <w:r>
        <w:t xml:space="preserve"> (par défaut) </w:t>
      </w:r>
      <w:r>
        <w:rPr>
          <w:rStyle w:val="optioncarChar"/>
        </w:rPr>
        <w:t>/ A1</w:t>
      </w:r>
    </w:p>
    <w:p w14:paraId="63A65D22" w14:textId="77777777" w:rsidR="00772179" w:rsidRDefault="00000000">
      <w:pPr>
        <w:jc w:val="both"/>
      </w:pPr>
      <w:r>
        <w:rPr>
          <w:b/>
        </w:rPr>
        <w:t>Aspects environnementaux :</w:t>
      </w:r>
    </w:p>
    <w:p w14:paraId="004FBCB2" w14:textId="77777777" w:rsidR="00772179" w:rsidRDefault="00000000">
      <w:pPr>
        <w:jc w:val="both"/>
      </w:pPr>
      <w:r>
        <w:t>La mise en œuvre par fixation mécanique permet le démontage non destructif des tôles métalliques.</w:t>
      </w:r>
    </w:p>
    <w:p w14:paraId="0E0695E4" w14:textId="77777777" w:rsidR="00772179" w:rsidRDefault="00000000">
      <w:pPr>
        <w:jc w:val="both"/>
      </w:pPr>
      <w:r>
        <w:t xml:space="preserve">Taux de matériaux recyclés : ≥ </w:t>
      </w:r>
      <w:r>
        <w:rPr>
          <w:rStyle w:val="optioncarChar"/>
        </w:rPr>
        <w:t xml:space="preserve">30 </w:t>
      </w:r>
      <w:r>
        <w:t>(par défaut)</w:t>
      </w:r>
      <w:r>
        <w:rPr>
          <w:rStyle w:val="optioncarChar"/>
        </w:rPr>
        <w:t xml:space="preserve"> / 50 / ***</w:t>
      </w:r>
      <w:r>
        <w:t xml:space="preserve"> %</w:t>
      </w:r>
    </w:p>
    <w:p w14:paraId="2DB0F92A" w14:textId="77777777" w:rsidR="00772179" w:rsidRDefault="00000000">
      <w:pPr>
        <w:jc w:val="both"/>
      </w:pPr>
      <w:r>
        <w:t xml:space="preserve">Le matériau dispose d’un EPD : </w:t>
      </w:r>
      <w:r>
        <w:rPr>
          <w:rStyle w:val="optioncarChar"/>
        </w:rPr>
        <w:t>oui</w:t>
      </w:r>
      <w:r>
        <w:t xml:space="preserve"> (par défaut)</w:t>
      </w:r>
      <w:r>
        <w:rPr>
          <w:rStyle w:val="optioncarChar"/>
        </w:rPr>
        <w:t xml:space="preserve"> / non</w:t>
      </w:r>
      <w:r>
        <w:t>.</w:t>
      </w:r>
    </w:p>
    <w:p w14:paraId="79537DFA" w14:textId="77777777" w:rsidR="00772179" w:rsidRDefault="00000000">
      <w:pPr>
        <w:pStyle w:val="pheading"/>
      </w:pPr>
      <w:r>
        <w:t>- Finitions</w:t>
      </w:r>
    </w:p>
    <w:p w14:paraId="1314DB4E" w14:textId="77777777" w:rsidR="00772179" w:rsidRDefault="00000000">
      <w:pPr>
        <w:pStyle w:val="Author-eListParagraph"/>
        <w:numPr>
          <w:ilvl w:val="0"/>
          <w:numId w:val="982"/>
        </w:numPr>
        <w:jc w:val="both"/>
      </w:pPr>
      <w:r>
        <w:t xml:space="preserve">Finition de la surface extérieure : </w:t>
      </w:r>
      <w:r>
        <w:rPr>
          <w:rStyle w:val="optioncarChar"/>
        </w:rPr>
        <w:t xml:space="preserve">polyester thermodurcissable </w:t>
      </w:r>
      <w:r>
        <w:t>(par défaut)</w:t>
      </w:r>
      <w:r>
        <w:rPr>
          <w:rStyle w:val="optioncarChar"/>
        </w:rPr>
        <w:t xml:space="preserve"> / polyuréthane / PVFD / thermolaqué / anodisé / ***</w:t>
      </w:r>
    </w:p>
    <w:p w14:paraId="222E0000" w14:textId="77777777" w:rsidR="00772179" w:rsidRDefault="00000000">
      <w:pPr>
        <w:pStyle w:val="Author-eListParagraph"/>
        <w:numPr>
          <w:ilvl w:val="0"/>
          <w:numId w:val="982"/>
        </w:numPr>
        <w:jc w:val="both"/>
      </w:pPr>
      <w:r>
        <w:t xml:space="preserve">Epaisseur de finition de la surface extérieure : </w:t>
      </w:r>
      <w:r>
        <w:rPr>
          <w:rStyle w:val="optioncarChar"/>
        </w:rPr>
        <w:t xml:space="preserve">35 </w:t>
      </w:r>
      <w:r>
        <w:t>(par défaut)</w:t>
      </w:r>
      <w:r>
        <w:rPr>
          <w:rStyle w:val="optioncarChar"/>
        </w:rPr>
        <w:t xml:space="preserve"> / 25 / 55 / 60 / 15 / 20 / *** </w:t>
      </w:r>
      <w:r>
        <w:t>μm</w:t>
      </w:r>
    </w:p>
    <w:p w14:paraId="59C2D079" w14:textId="77777777" w:rsidR="00772179" w:rsidRDefault="00000000">
      <w:pPr>
        <w:pStyle w:val="Author-eListParagraph"/>
        <w:numPr>
          <w:ilvl w:val="0"/>
          <w:numId w:val="982"/>
        </w:numPr>
        <w:jc w:val="both"/>
      </w:pPr>
      <w:r>
        <w:lastRenderedPageBreak/>
        <w:t xml:space="preserve">Finition de la surface arrière : </w:t>
      </w:r>
      <w:r>
        <w:rPr>
          <w:rStyle w:val="optioncarChar"/>
        </w:rPr>
        <w:t>polyester thermodurcissable</w:t>
      </w:r>
      <w:r>
        <w:t xml:space="preserve"> (par défaut) </w:t>
      </w:r>
      <w:r>
        <w:rPr>
          <w:rStyle w:val="optioncarChar"/>
        </w:rPr>
        <w:t>/ PVFD / thermolaqué / anodisé / ***</w:t>
      </w:r>
    </w:p>
    <w:p w14:paraId="21C48EF2" w14:textId="77777777" w:rsidR="00772179" w:rsidRDefault="00000000">
      <w:pPr>
        <w:pStyle w:val="Author-eListParagraph"/>
        <w:numPr>
          <w:ilvl w:val="0"/>
          <w:numId w:val="982"/>
        </w:numPr>
        <w:jc w:val="both"/>
      </w:pPr>
      <w:r>
        <w:t xml:space="preserve">Epaisseur de finition de la surface arrière : </w:t>
      </w:r>
      <w:r>
        <w:rPr>
          <w:rStyle w:val="optioncarChar"/>
        </w:rPr>
        <w:t xml:space="preserve">15 </w:t>
      </w:r>
      <w:r>
        <w:t>(par défaut)</w:t>
      </w:r>
      <w:r>
        <w:rPr>
          <w:rStyle w:val="optioncarChar"/>
        </w:rPr>
        <w:t xml:space="preserve"> / 10 / 15 / 20 / 55 / 60 / *** </w:t>
      </w:r>
      <w:r>
        <w:t>μm</w:t>
      </w:r>
    </w:p>
    <w:p w14:paraId="0CAC9D5A" w14:textId="77777777" w:rsidR="00772179" w:rsidRDefault="00000000">
      <w:pPr>
        <w:pStyle w:val="Author-eListParagraph"/>
        <w:numPr>
          <w:ilvl w:val="0"/>
          <w:numId w:val="982"/>
        </w:numPr>
        <w:jc w:val="both"/>
      </w:pPr>
      <w:r>
        <w:t>Aspect :  </w:t>
      </w:r>
      <w:r>
        <w:rPr>
          <w:rStyle w:val="optioncarChar"/>
        </w:rPr>
        <w:t xml:space="preserve">grainé </w:t>
      </w:r>
      <w:r>
        <w:t>(par défaut)</w:t>
      </w:r>
      <w:r>
        <w:rPr>
          <w:rStyle w:val="optioncarChar"/>
        </w:rPr>
        <w:t xml:space="preserve"> / satiné / mat / brillant / bois / ***</w:t>
      </w:r>
    </w:p>
    <w:p w14:paraId="551D4B74" w14:textId="77777777" w:rsidR="00772179" w:rsidRDefault="00000000">
      <w:pPr>
        <w:pStyle w:val="Author-eListParagraph"/>
        <w:numPr>
          <w:ilvl w:val="0"/>
          <w:numId w:val="982"/>
        </w:numPr>
        <w:jc w:val="both"/>
      </w:pPr>
      <w:r>
        <w:t xml:space="preserve">Couleur des panneaux : </w:t>
      </w:r>
      <w:r>
        <w:rPr>
          <w:rStyle w:val="optioncarChar"/>
        </w:rPr>
        <w:t>à choisir par la direction de chantier (maître d’ouvrage)</w:t>
      </w:r>
      <w:r>
        <w:t xml:space="preserve"> (par défaut) </w:t>
      </w:r>
      <w:r>
        <w:rPr>
          <w:rStyle w:val="optioncarChar"/>
        </w:rPr>
        <w:t>/ ***</w:t>
      </w:r>
    </w:p>
    <w:p w14:paraId="5FE47F19" w14:textId="77777777" w:rsidR="00772179" w:rsidRDefault="00000000">
      <w:pPr>
        <w:pStyle w:val="pheading"/>
      </w:pPr>
      <w:r>
        <w:t>EXÉCUTION / MISE EN ŒUVRE</w:t>
      </w:r>
    </w:p>
    <w:p w14:paraId="5BECD9BE" w14:textId="77777777" w:rsidR="00772179" w:rsidRDefault="00000000">
      <w:pPr>
        <w:pStyle w:val="pheading"/>
      </w:pPr>
      <w:r>
        <w:t>- Prescriptions générales</w:t>
      </w:r>
    </w:p>
    <w:p w14:paraId="286A2AF0" w14:textId="77777777" w:rsidR="00772179" w:rsidRDefault="00000000">
      <w:pPr>
        <w:jc w:val="both"/>
      </w:pPr>
      <w:r>
        <w:t>La mise en œuvre est exécutée conformément à la documentation technique accompagnant les produits.</w:t>
      </w:r>
    </w:p>
    <w:p w14:paraId="0BFDF5A8" w14:textId="77777777" w:rsidR="00772179" w:rsidRDefault="00000000">
      <w:pPr>
        <w:jc w:val="both"/>
      </w:pPr>
      <w:r>
        <w:t>Calcul statique de la façade :  </w:t>
      </w:r>
      <w:r>
        <w:rPr>
          <w:rStyle w:val="optioncarChar"/>
        </w:rPr>
        <w:t xml:space="preserve">à charge de l’entrepreneur </w:t>
      </w:r>
      <w:r>
        <w:t>(par défaut)</w:t>
      </w:r>
      <w:r>
        <w:rPr>
          <w:rStyle w:val="optioncarChar"/>
        </w:rPr>
        <w:t xml:space="preserve"> / du maître de l’ouvrage</w:t>
      </w:r>
      <w:r>
        <w:t>.</w:t>
      </w:r>
    </w:p>
    <w:p w14:paraId="28C5F7EA" w14:textId="77777777" w:rsidR="00772179" w:rsidRDefault="00000000">
      <w:pPr>
        <w:jc w:val="both"/>
      </w:pPr>
      <w:r>
        <w:t>En cas d’isolation, l’entrepreneur soumet le procédé d’exécution respectant la prescription du niveau d’isolation pour accord à la direction de chantier (voir plus haut).</w:t>
      </w:r>
    </w:p>
    <w:p w14:paraId="4DC4833B" w14:textId="77777777" w:rsidR="00772179" w:rsidRDefault="00000000">
      <w:pPr>
        <w:jc w:val="both"/>
      </w:pPr>
      <w:r>
        <w:t>L’entrepreneur remet une description détaillée de la pose de la structure (entraxe, diamètre de fixation et nombre...) pour accord à la direction de chantier.</w:t>
      </w:r>
    </w:p>
    <w:p w14:paraId="06EB4342" w14:textId="77777777" w:rsidR="00772179" w:rsidRDefault="00000000">
      <w:pPr>
        <w:jc w:val="both"/>
      </w:pPr>
      <w:r>
        <w:t>L’entrepreneur réalise un espace de ventilation ≥ 20mm avec une grille anti-rongeurs à chaque ouverture (en pied et en tête).</w:t>
      </w:r>
    </w:p>
    <w:p w14:paraId="0A7FDFC5" w14:textId="77777777" w:rsidR="00772179" w:rsidRDefault="00000000">
      <w:pPr>
        <w:jc w:val="both"/>
      </w:pPr>
      <w:r>
        <w:t>Tout couple électrolytique est à protéger par un insert adapté aux matériaux en présence.</w:t>
      </w:r>
    </w:p>
    <w:p w14:paraId="66B84329" w14:textId="77777777" w:rsidR="00772179" w:rsidRDefault="00772179">
      <w:pPr>
        <w:jc w:val="both"/>
      </w:pPr>
    </w:p>
    <w:p w14:paraId="45F55762" w14:textId="77777777" w:rsidR="00772179" w:rsidRDefault="00000000">
      <w:pPr>
        <w:jc w:val="both"/>
      </w:pPr>
      <w:r>
        <w:rPr>
          <w:u w:val="single"/>
        </w:rPr>
        <w:t>Prescriptions relatives à la pose de tôles profilées :</w:t>
      </w:r>
    </w:p>
    <w:p w14:paraId="70261C1F" w14:textId="77777777" w:rsidR="00772179" w:rsidRDefault="00000000">
      <w:pPr>
        <w:pStyle w:val="Author-eListParagraph"/>
        <w:numPr>
          <w:ilvl w:val="0"/>
          <w:numId w:val="983"/>
        </w:numPr>
      </w:pPr>
      <w:r>
        <w:rPr>
          <w:rStyle w:val="optioncarChar"/>
        </w:rPr>
        <w:t>Pose verticale</w:t>
      </w:r>
      <w:r>
        <w:t xml:space="preserve"> (par défaut)</w:t>
      </w:r>
      <w:r>
        <w:rPr>
          <w:rStyle w:val="optioncarChar"/>
        </w:rPr>
        <w:t xml:space="preserve"> / horizontale</w:t>
      </w:r>
    </w:p>
    <w:p w14:paraId="0111C315" w14:textId="77777777" w:rsidR="00772179" w:rsidRDefault="00000000">
      <w:pPr>
        <w:pStyle w:val="Author-eListParagraph"/>
        <w:numPr>
          <w:ilvl w:val="0"/>
          <w:numId w:val="983"/>
        </w:numPr>
      </w:pPr>
      <w:r>
        <w:t xml:space="preserve">Ecartement des lisses adapté au type de tôle profilée : </w:t>
      </w:r>
      <w:r>
        <w:rPr>
          <w:rStyle w:val="optioncarChar"/>
        </w:rPr>
        <w:t xml:space="preserve">2500 </w:t>
      </w:r>
      <w:r>
        <w:t>(par défaut)</w:t>
      </w:r>
      <w:r>
        <w:rPr>
          <w:rStyle w:val="optioncarChar"/>
        </w:rPr>
        <w:t xml:space="preserve"> / 2000 / 3000 / ***</w:t>
      </w:r>
      <w:r>
        <w:t xml:space="preserve"> mm</w:t>
      </w:r>
    </w:p>
    <w:p w14:paraId="2175ACCF" w14:textId="77777777" w:rsidR="00772179" w:rsidRDefault="00000000">
      <w:pPr>
        <w:pStyle w:val="Author-eListParagraph"/>
        <w:numPr>
          <w:ilvl w:val="0"/>
          <w:numId w:val="983"/>
        </w:numPr>
      </w:pPr>
      <w:r>
        <w:t xml:space="preserve">Fixation : </w:t>
      </w:r>
      <w:r>
        <w:rPr>
          <w:rStyle w:val="optioncarChar"/>
        </w:rPr>
        <w:t xml:space="preserve">vis apparentes en inox avec rondelle d’étanchéité </w:t>
      </w:r>
      <w:r>
        <w:t>(par défaut)</w:t>
      </w:r>
      <w:r>
        <w:rPr>
          <w:rStyle w:val="optioncarChar"/>
        </w:rPr>
        <w:t xml:space="preserve"> / ***</w:t>
      </w:r>
    </w:p>
    <w:p w14:paraId="3A73532C" w14:textId="77777777" w:rsidR="00772179" w:rsidRDefault="00000000">
      <w:pPr>
        <w:pStyle w:val="Author-eListParagraph"/>
        <w:numPr>
          <w:ilvl w:val="0"/>
          <w:numId w:val="983"/>
        </w:numPr>
      </w:pPr>
      <w:r>
        <w:t xml:space="preserve">Nombre de fixations : </w:t>
      </w:r>
      <w:r>
        <w:rPr>
          <w:rStyle w:val="optioncarChar"/>
        </w:rPr>
        <w:t>5 par ml dans le creux des ondes / ***</w:t>
      </w:r>
    </w:p>
    <w:p w14:paraId="754A9962" w14:textId="77777777" w:rsidR="00772179" w:rsidRDefault="00000000">
      <w:pPr>
        <w:pStyle w:val="Author-eListParagraph"/>
        <w:numPr>
          <w:ilvl w:val="0"/>
          <w:numId w:val="983"/>
        </w:numPr>
      </w:pPr>
      <w:r>
        <w:t xml:space="preserve">Raccord entre panneaux dans le sens longitudinal : </w:t>
      </w:r>
      <w:r>
        <w:rPr>
          <w:rStyle w:val="optioncarChar"/>
        </w:rPr>
        <w:t xml:space="preserve">nervures emboitées </w:t>
      </w:r>
      <w:r>
        <w:t>(par défaut)</w:t>
      </w:r>
      <w:r>
        <w:rPr>
          <w:rStyle w:val="optioncarChar"/>
        </w:rPr>
        <w:t xml:space="preserve"> / avec éclisse extraite d’une tôle / avec joint creux / avec profilé aiguille / ***</w:t>
      </w:r>
    </w:p>
    <w:p w14:paraId="49EB3764" w14:textId="77777777" w:rsidR="00772179" w:rsidRDefault="00000000">
      <w:pPr>
        <w:pStyle w:val="Author-eListParagraph"/>
        <w:numPr>
          <w:ilvl w:val="0"/>
          <w:numId w:val="983"/>
        </w:numPr>
      </w:pPr>
      <w:r>
        <w:t xml:space="preserve">Raccord entre panneaux dans le sens transversal : </w:t>
      </w:r>
      <w:r>
        <w:rPr>
          <w:rStyle w:val="optioncarChar"/>
        </w:rPr>
        <w:t xml:space="preserve">emboitement ≥ 70 </w:t>
      </w:r>
      <w:r>
        <w:t>(par défaut)</w:t>
      </w:r>
      <w:r>
        <w:rPr>
          <w:rStyle w:val="optioncarChar"/>
        </w:rPr>
        <w:t xml:space="preserve"> / 100 / ***</w:t>
      </w:r>
      <w:r>
        <w:t xml:space="preserve"> mm</w:t>
      </w:r>
    </w:p>
    <w:p w14:paraId="5FB8DBA8" w14:textId="77777777" w:rsidR="00772179" w:rsidRDefault="00000000">
      <w:pPr>
        <w:pStyle w:val="Author-eListParagraph"/>
        <w:numPr>
          <w:ilvl w:val="0"/>
          <w:numId w:val="983"/>
        </w:numPr>
      </w:pPr>
      <w:r>
        <w:t xml:space="preserve">Profils de finition de même nature que les panneaux : </w:t>
      </w:r>
      <w:r>
        <w:rPr>
          <w:rStyle w:val="optioncarChar"/>
        </w:rPr>
        <w:t>en pied de façade / latéralement au raccord avec les parements adjacents.</w:t>
      </w:r>
    </w:p>
    <w:p w14:paraId="51CF9E30" w14:textId="77777777" w:rsidR="00772179" w:rsidRDefault="00000000">
      <w:pPr>
        <w:pStyle w:val="Author-eListParagraph"/>
        <w:numPr>
          <w:ilvl w:val="0"/>
          <w:numId w:val="983"/>
        </w:numPr>
      </w:pPr>
      <w:r>
        <w:t xml:space="preserve">Finition des angles sortants et rentrants : </w:t>
      </w:r>
      <w:r>
        <w:rPr>
          <w:rStyle w:val="optioncarChar"/>
        </w:rPr>
        <w:t xml:space="preserve">au moyen de pièces pliées de même nature que les panneaux </w:t>
      </w:r>
      <w:r>
        <w:t>(par défaut)</w:t>
      </w:r>
      <w:r>
        <w:rPr>
          <w:rStyle w:val="optioncarChar"/>
        </w:rPr>
        <w:t xml:space="preserve"> / par coupe d’onglet avec profil en épingle / au moyen de raccords d’angles nervurés identiques aux panneaux / ***</w:t>
      </w:r>
      <w:r>
        <w:t>.</w:t>
      </w:r>
    </w:p>
    <w:p w14:paraId="24F46F55" w14:textId="77777777" w:rsidR="00772179" w:rsidRDefault="00000000">
      <w:pPr>
        <w:pStyle w:val="Author-eListParagraph"/>
        <w:numPr>
          <w:ilvl w:val="0"/>
          <w:numId w:val="983"/>
        </w:numPr>
      </w:pPr>
      <w:r>
        <w:t xml:space="preserve">Finition au droit des joues et linteau de baies : </w:t>
      </w:r>
      <w:r>
        <w:rPr>
          <w:rStyle w:val="optioncarChar"/>
        </w:rPr>
        <w:t xml:space="preserve">profilés de même nature et couleur que la tôle </w:t>
      </w:r>
      <w:r>
        <w:t>(par défaut)</w:t>
      </w:r>
      <w:r>
        <w:rPr>
          <w:rStyle w:val="optioncarChar"/>
        </w:rPr>
        <w:t xml:space="preserve"> / ***</w:t>
      </w:r>
    </w:p>
    <w:p w14:paraId="505FC5D4" w14:textId="77777777" w:rsidR="00772179" w:rsidRDefault="00000000">
      <w:pPr>
        <w:jc w:val="both"/>
      </w:pPr>
      <w:r>
        <w:rPr>
          <w:u w:val="single"/>
        </w:rPr>
        <w:t>Prescriptions relatives à la pose de cassettes :</w:t>
      </w:r>
    </w:p>
    <w:p w14:paraId="05352777" w14:textId="77777777" w:rsidR="00772179" w:rsidRDefault="00000000">
      <w:pPr>
        <w:pStyle w:val="Author-eListParagraph"/>
        <w:numPr>
          <w:ilvl w:val="0"/>
          <w:numId w:val="984"/>
        </w:numPr>
        <w:jc w:val="both"/>
      </w:pPr>
      <w:r>
        <w:t xml:space="preserve">Par emboitement : </w:t>
      </w:r>
      <w:r>
        <w:rPr>
          <w:rStyle w:val="optioncarChar"/>
        </w:rPr>
        <w:t>fixations cachées au moyen de vis en inox / ***</w:t>
      </w:r>
    </w:p>
    <w:p w14:paraId="6337C4B7" w14:textId="77777777" w:rsidR="00772179" w:rsidRDefault="00000000">
      <w:pPr>
        <w:pStyle w:val="Author-eListParagraph"/>
        <w:numPr>
          <w:ilvl w:val="0"/>
          <w:numId w:val="984"/>
        </w:numPr>
        <w:jc w:val="both"/>
      </w:pPr>
      <w:r>
        <w:t xml:space="preserve">Ecartement des lisses adapté aux dimensions des cassettes : </w:t>
      </w:r>
      <w:r>
        <w:rPr>
          <w:rStyle w:val="optioncarChar"/>
        </w:rPr>
        <w:t>600</w:t>
      </w:r>
      <w:r>
        <w:t xml:space="preserve"> (par défaut) </w:t>
      </w:r>
      <w:r>
        <w:rPr>
          <w:rStyle w:val="optioncarChar"/>
        </w:rPr>
        <w:t>/ ***</w:t>
      </w:r>
      <w:r>
        <w:t xml:space="preserve"> mm.</w:t>
      </w:r>
    </w:p>
    <w:p w14:paraId="6D827B11" w14:textId="77777777" w:rsidR="00772179" w:rsidRDefault="00000000">
      <w:pPr>
        <w:pStyle w:val="Author-eListParagraph"/>
        <w:numPr>
          <w:ilvl w:val="0"/>
          <w:numId w:val="984"/>
        </w:numPr>
        <w:jc w:val="both"/>
      </w:pPr>
      <w:r>
        <w:t xml:space="preserve">Fixation : </w:t>
      </w:r>
      <w:r>
        <w:rPr>
          <w:rStyle w:val="optioncarChar"/>
        </w:rPr>
        <w:t xml:space="preserve">emboîtement et vis en inox non visibles </w:t>
      </w:r>
      <w:r>
        <w:t>(par défaut)</w:t>
      </w:r>
      <w:r>
        <w:rPr>
          <w:rStyle w:val="optioncarChar"/>
        </w:rPr>
        <w:t xml:space="preserve"> / ***</w:t>
      </w:r>
    </w:p>
    <w:p w14:paraId="41B82C2B" w14:textId="77777777" w:rsidR="00772179" w:rsidRDefault="00000000">
      <w:pPr>
        <w:pStyle w:val="Author-eListParagraph"/>
        <w:numPr>
          <w:ilvl w:val="0"/>
          <w:numId w:val="984"/>
        </w:numPr>
        <w:jc w:val="both"/>
      </w:pPr>
      <w:r>
        <w:t xml:space="preserve">Finition au droit des joues et linteau de baies : </w:t>
      </w:r>
      <w:r>
        <w:rPr>
          <w:rStyle w:val="optioncarChar"/>
        </w:rPr>
        <w:t xml:space="preserve">au moyen de cassettes formant l’angle </w:t>
      </w:r>
      <w:r>
        <w:t xml:space="preserve">(par défaut) </w:t>
      </w:r>
      <w:r>
        <w:rPr>
          <w:rStyle w:val="optioncarChar"/>
        </w:rPr>
        <w:t>/ profilés de même nature et couleur que les cassettes / ***</w:t>
      </w:r>
    </w:p>
    <w:p w14:paraId="5183442A" w14:textId="77777777" w:rsidR="00772179" w:rsidRDefault="00000000">
      <w:pPr>
        <w:pStyle w:val="Author-eListParagraph"/>
        <w:numPr>
          <w:ilvl w:val="0"/>
          <w:numId w:val="984"/>
        </w:numPr>
        <w:jc w:val="both"/>
      </w:pPr>
      <w:r>
        <w:t xml:space="preserve">Finition des angles sortants et rentrants : </w:t>
      </w:r>
      <w:r>
        <w:rPr>
          <w:rStyle w:val="optioncarChar"/>
        </w:rPr>
        <w:t xml:space="preserve">au moyen de cassettes formant l’angle </w:t>
      </w:r>
      <w:r>
        <w:t xml:space="preserve">(par défaut) </w:t>
      </w:r>
      <w:r>
        <w:rPr>
          <w:rStyle w:val="optioncarChar"/>
        </w:rPr>
        <w:t>/ ***</w:t>
      </w:r>
    </w:p>
    <w:p w14:paraId="33DAD13B" w14:textId="77777777" w:rsidR="00772179" w:rsidRDefault="00000000">
      <w:pPr>
        <w:pStyle w:val="pheading"/>
      </w:pPr>
      <w:r>
        <w:t>DOCUMENTS DE RÉFÉRENCE COMPLÉMENTAIRES</w:t>
      </w:r>
    </w:p>
    <w:p w14:paraId="6C999355" w14:textId="77777777" w:rsidR="00772179" w:rsidRDefault="00000000">
      <w:pPr>
        <w:pStyle w:val="pheading"/>
      </w:pPr>
      <w:r>
        <w:t>- Matériau</w:t>
      </w:r>
    </w:p>
    <w:p w14:paraId="5AB607FB" w14:textId="77777777" w:rsidR="00772179" w:rsidRDefault="00000000">
      <w:r>
        <w:lastRenderedPageBreak/>
        <w:t>[NBN EN 14782, Plaques métalliques autoportantes pour couverture, bardages extérieur et intérieur et cloisons - Spécification de produit et exigences]</w:t>
      </w:r>
    </w:p>
    <w:p w14:paraId="145D1BCD" w14:textId="77777777" w:rsidR="00772179" w:rsidRDefault="00000000">
      <w:r>
        <w:t>[NBN EN 10169, Produits plats en acier revêtus en continu de matières organiques (prélaqués) - Conditions techniques de livraison]</w:t>
      </w:r>
    </w:p>
    <w:p w14:paraId="5300455D" w14:textId="77777777" w:rsidR="00772179" w:rsidRDefault="00000000">
      <w:r>
        <w:t>[NBN EN 10346, Produits plats en acier revêtus en continu par immersion à chaud pour formage à froid - Conditions techniques de livraison]</w:t>
      </w:r>
    </w:p>
    <w:p w14:paraId="4C71DBF9" w14:textId="77777777" w:rsidR="00772179" w:rsidRDefault="00000000">
      <w:r>
        <w:t>[NBN EN 508-2, Produits de couverture et bardage en tôle métallique - Spécification pour les plaques de couverture en tôle d'acier, d'aluminium ou d'acier inoxydable - Partie 2 : Aluminium]</w:t>
      </w:r>
    </w:p>
    <w:p w14:paraId="4710BB78" w14:textId="77777777" w:rsidR="00772179" w:rsidRDefault="00000000">
      <w:pPr>
        <w:pStyle w:val="pheading"/>
      </w:pPr>
      <w:r>
        <w:t>MESURAGE</w:t>
      </w:r>
    </w:p>
    <w:p w14:paraId="67F4C687" w14:textId="77777777" w:rsidR="00772179" w:rsidRDefault="00000000">
      <w:pPr>
        <w:pStyle w:val="pheading"/>
      </w:pPr>
      <w:r>
        <w:t>- unité de mesure:</w:t>
      </w:r>
    </w:p>
    <w:p w14:paraId="34712460" w14:textId="77777777" w:rsidR="00772179" w:rsidRDefault="00000000">
      <w:r>
        <w:t>m²</w:t>
      </w:r>
    </w:p>
    <w:p w14:paraId="738D4FF6" w14:textId="77777777" w:rsidR="00772179" w:rsidRDefault="00000000">
      <w:pPr>
        <w:pStyle w:val="pheading"/>
      </w:pPr>
      <w:r>
        <w:t>- code de mesurage:</w:t>
      </w:r>
    </w:p>
    <w:p w14:paraId="0F418F73" w14:textId="77777777" w:rsidR="00772179" w:rsidRDefault="00000000">
      <w:pPr>
        <w:jc w:val="both"/>
      </w:pPr>
      <w:r>
        <w:t>Surface nette des façades et joues des ouvertures et des fenêtres, ventilée selon tôle profilée et cassette. Les réservations supérieures à 0,5m2 sont déduites.</w:t>
      </w:r>
    </w:p>
    <w:p w14:paraId="6128E4A6" w14:textId="77777777" w:rsidR="00772179" w:rsidRDefault="00000000">
      <w:pPr>
        <w:pStyle w:val="pheading"/>
      </w:pPr>
      <w:r>
        <w:t>- nature du marché:</w:t>
      </w:r>
    </w:p>
    <w:p w14:paraId="78D8A525" w14:textId="77777777" w:rsidR="00772179" w:rsidRDefault="00000000">
      <w:r>
        <w:t>QF </w:t>
      </w:r>
    </w:p>
    <w:p w14:paraId="2A446B69" w14:textId="77777777" w:rsidR="00772179" w:rsidRDefault="00000000">
      <w:pPr>
        <w:pStyle w:val="Author-eSectionHeading5Numberless"/>
      </w:pPr>
      <w:bookmarkStart w:id="765" w:name="_Toc220490452"/>
      <w:r>
        <w:t>43.25.3 Revêtements de façade rigides fixés mécaniquement - plaques en matière synthétique CCTB 01.02</w:t>
      </w:r>
      <w:bookmarkEnd w:id="765"/>
    </w:p>
    <w:p w14:paraId="1DD9756F" w14:textId="77777777" w:rsidR="00772179" w:rsidRDefault="00000000">
      <w:pPr>
        <w:pStyle w:val="Author-eSectionHeading6Numberless"/>
      </w:pPr>
      <w:bookmarkStart w:id="766" w:name="_Toc220490453"/>
      <w:r>
        <w:t>43.25.3a Revêtements de façade rigides fixés mécaniquement - plaques en matière synthétique CCTB 01.12</w:t>
      </w:r>
      <w:bookmarkEnd w:id="766"/>
    </w:p>
    <w:p w14:paraId="3A7AF872" w14:textId="77777777" w:rsidR="00772179" w:rsidRDefault="00000000">
      <w:pPr>
        <w:pStyle w:val="pheading"/>
      </w:pPr>
      <w:r>
        <w:t>DESCRIPTION</w:t>
      </w:r>
    </w:p>
    <w:p w14:paraId="1A99EE14" w14:textId="77777777" w:rsidR="00772179" w:rsidRDefault="00000000">
      <w:pPr>
        <w:pStyle w:val="pheading"/>
      </w:pPr>
      <w:r>
        <w:t>- Définition / Comprend</w:t>
      </w:r>
    </w:p>
    <w:p w14:paraId="1E4F45BE" w14:textId="77777777" w:rsidR="00772179" w:rsidRDefault="00000000">
      <w:pPr>
        <w:jc w:val="both"/>
      </w:pPr>
      <w:r>
        <w:t>Il s’agit de la fourniture et de la pose de plaques en matière synthétique fixées mécaniquement à une structure secondaire en profilés appliqués en façade en vue de la réalisation d’un ouvrage soigné et propre.</w:t>
      </w:r>
    </w:p>
    <w:p w14:paraId="623340A5" w14:textId="77777777" w:rsidR="00772179" w:rsidRDefault="00000000">
      <w:pPr>
        <w:jc w:val="both"/>
      </w:pPr>
      <w:r>
        <w:t>La portée des travaux est décrite au </w:t>
      </w:r>
      <w:hyperlink w:anchor="984" w:history="1">
        <w:r>
          <w:rPr>
            <w:color w:val="0000EE"/>
          </w:rPr>
          <w:t>43.2 Revêtements de façade rigides fixés mécaniquement</w:t>
        </w:r>
      </w:hyperlink>
      <w:r>
        <w:t>.</w:t>
      </w:r>
    </w:p>
    <w:p w14:paraId="6343E3BD" w14:textId="77777777" w:rsidR="00772179" w:rsidRDefault="00000000">
      <w:pPr>
        <w:jc w:val="both"/>
      </w:pPr>
      <w:r>
        <w:t>Cet article comprend également :</w:t>
      </w:r>
    </w:p>
    <w:p w14:paraId="3E84B5C8" w14:textId="77777777" w:rsidR="00772179" w:rsidRDefault="00000000">
      <w:pPr>
        <w:pStyle w:val="Author-eListParagraph"/>
        <w:numPr>
          <w:ilvl w:val="0"/>
          <w:numId w:val="985"/>
        </w:numPr>
      </w:pPr>
      <w:r>
        <w:t>l’étude par le fabricant des plans de détail, de calepinage et des prescriptions de pose (entraxe, diamètre de fixation et nombre, etc ...) à établir sur base des plans de façade et en fonction de la nature de la structure de support ;</w:t>
      </w:r>
    </w:p>
    <w:p w14:paraId="043E979F" w14:textId="77777777" w:rsidR="00772179" w:rsidRDefault="00000000">
      <w:pPr>
        <w:pStyle w:val="Author-eListParagraph"/>
        <w:numPr>
          <w:ilvl w:val="0"/>
          <w:numId w:val="985"/>
        </w:numPr>
      </w:pPr>
      <w:r>
        <w:t>le calcul statique du système de façade.</w:t>
      </w:r>
    </w:p>
    <w:p w14:paraId="704B59B1" w14:textId="77777777" w:rsidR="00772179" w:rsidRDefault="00000000">
      <w:pPr>
        <w:jc w:val="both"/>
      </w:pPr>
      <w:r>
        <w:t>L’ensemble est à soumettre à l’approbation de la direction du chantier.</w:t>
      </w:r>
    </w:p>
    <w:p w14:paraId="15BCDE94" w14:textId="77777777" w:rsidR="00772179" w:rsidRDefault="00000000">
      <w:pPr>
        <w:pStyle w:val="pheading"/>
      </w:pPr>
      <w:r>
        <w:t>MATÉRIAUX</w:t>
      </w:r>
    </w:p>
    <w:p w14:paraId="09B3903D" w14:textId="77777777" w:rsidR="00772179" w:rsidRDefault="00000000">
      <w:pPr>
        <w:pStyle w:val="pheading"/>
      </w:pPr>
      <w:r>
        <w:t>- Caractéristiques générales</w:t>
      </w:r>
    </w:p>
    <w:p w14:paraId="48B117AD" w14:textId="77777777" w:rsidR="00772179" w:rsidRDefault="00000000">
      <w:pPr>
        <w:jc w:val="both"/>
      </w:pPr>
      <w:r>
        <w:rPr>
          <w:b/>
        </w:rPr>
        <w:t>Structure de support en profilés :</w:t>
      </w:r>
      <w:r>
        <w:t>  </w:t>
      </w:r>
      <w:r>
        <w:rPr>
          <w:rStyle w:val="optioncarChar"/>
        </w:rPr>
        <w:t>bois</w:t>
      </w:r>
      <w:r>
        <w:t> (par défaut)</w:t>
      </w:r>
      <w:r>
        <w:rPr>
          <w:rStyle w:val="optioncarChar"/>
        </w:rPr>
        <w:t> / métalliques / ***.</w:t>
      </w:r>
    </w:p>
    <w:p w14:paraId="4CE6256F" w14:textId="77777777" w:rsidR="00772179" w:rsidRDefault="00000000">
      <w:pPr>
        <w:jc w:val="both"/>
      </w:pPr>
      <w:r>
        <w:rPr>
          <w:b/>
        </w:rPr>
        <w:t>(soit par défaut)</w:t>
      </w:r>
    </w:p>
    <w:p w14:paraId="3436E825" w14:textId="77777777" w:rsidR="00772179" w:rsidRDefault="00000000">
      <w:pPr>
        <w:jc w:val="both"/>
      </w:pPr>
      <w:r>
        <w:rPr>
          <w:rStyle w:val="soitChar"/>
          <w:u w:val="single"/>
        </w:rPr>
        <w:t>Bois :</w:t>
      </w:r>
      <w:r>
        <w:rPr>
          <w:rStyle w:val="soitChar"/>
        </w:rPr>
        <w:t> la fourniture et la pose est décrite au </w:t>
      </w:r>
      <w:hyperlink w:anchor="985" w:history="1">
        <w:r>
          <w:rPr>
            <w:rStyle w:val="soitChar"/>
            <w:color w:val="0000EE"/>
          </w:rPr>
          <w:t>43.11.1 Profilés de support continu en bois du revêtement de façade</w:t>
        </w:r>
      </w:hyperlink>
      <w:r>
        <w:rPr>
          <w:rStyle w:val="soitChar"/>
        </w:rPr>
        <w:t> et son coût est inclus dans le présent article.</w:t>
      </w:r>
    </w:p>
    <w:p w14:paraId="39749E98" w14:textId="77777777" w:rsidR="00772179" w:rsidRDefault="00000000">
      <w:pPr>
        <w:jc w:val="both"/>
      </w:pPr>
      <w:r>
        <w:rPr>
          <w:b/>
        </w:rPr>
        <w:t>(soit)</w:t>
      </w:r>
    </w:p>
    <w:p w14:paraId="49F50E2D" w14:textId="77777777" w:rsidR="00772179" w:rsidRDefault="00000000">
      <w:pPr>
        <w:jc w:val="both"/>
      </w:pPr>
      <w:r>
        <w:rPr>
          <w:rStyle w:val="soitChar"/>
          <w:u w:val="single"/>
        </w:rPr>
        <w:t>Métalliques :</w:t>
      </w:r>
      <w:r>
        <w:rPr>
          <w:rStyle w:val="soitChar"/>
        </w:rPr>
        <w:t> la fourniture et la pose est décrite au </w:t>
      </w:r>
      <w:hyperlink w:anchor="993" w:history="1">
        <w:r>
          <w:rPr>
            <w:rStyle w:val="soitChar"/>
            <w:color w:val="0000EE"/>
          </w:rPr>
          <w:t>43.11.2 Profilés de support continu métallique du revêtement de façade</w:t>
        </w:r>
      </w:hyperlink>
      <w:r>
        <w:rPr>
          <w:rStyle w:val="soitChar"/>
        </w:rPr>
        <w:t> et son coût est inclus dans le présent article.</w:t>
      </w:r>
    </w:p>
    <w:p w14:paraId="592DAFD5" w14:textId="77777777" w:rsidR="00772179" w:rsidRDefault="00000000">
      <w:pPr>
        <w:jc w:val="both"/>
      </w:pPr>
      <w:r>
        <w:rPr>
          <w:b/>
        </w:rPr>
        <w:t>(soit)</w:t>
      </w:r>
    </w:p>
    <w:p w14:paraId="48BF7644" w14:textId="77777777" w:rsidR="00772179" w:rsidRDefault="00000000">
      <w:pPr>
        <w:jc w:val="both"/>
      </w:pPr>
      <w:r>
        <w:rPr>
          <w:rStyle w:val="optioncarChar"/>
        </w:rPr>
        <w:lastRenderedPageBreak/>
        <w:t>***</w:t>
      </w:r>
    </w:p>
    <w:p w14:paraId="7428DA27" w14:textId="77777777" w:rsidR="00772179" w:rsidRDefault="00000000">
      <w:pPr>
        <w:jc w:val="both"/>
      </w:pPr>
      <w:r>
        <w:rPr>
          <w:b/>
        </w:rPr>
        <w:t>Isolation :</w:t>
      </w:r>
      <w:r>
        <w:t> </w:t>
      </w:r>
      <w:r>
        <w:rPr>
          <w:rStyle w:val="optioncarChar"/>
        </w:rPr>
        <w:t>oui</w:t>
      </w:r>
      <w:r>
        <w:t> (par défaut)</w:t>
      </w:r>
      <w:r>
        <w:rPr>
          <w:rStyle w:val="optioncarChar"/>
        </w:rPr>
        <w:t> / non</w:t>
      </w:r>
    </w:p>
    <w:p w14:paraId="5E4606FF" w14:textId="77777777" w:rsidR="00772179" w:rsidRDefault="00000000">
      <w:pPr>
        <w:jc w:val="both"/>
      </w:pPr>
      <w:r>
        <w:rPr>
          <w:b/>
        </w:rPr>
        <w:t>(soit par défaut)</w:t>
      </w:r>
    </w:p>
    <w:p w14:paraId="3F875627" w14:textId="77777777" w:rsidR="00772179" w:rsidRDefault="00000000">
      <w:pPr>
        <w:jc w:val="both"/>
      </w:pPr>
      <w:r>
        <w:rPr>
          <w:rStyle w:val="soitChar"/>
          <w:u w:val="single"/>
        </w:rPr>
        <w:t>Oui :</w:t>
      </w:r>
      <w:r>
        <w:rPr>
          <w:rStyle w:val="soitChar"/>
        </w:rPr>
        <w:t> la fourniture et la pose des panneaux d’isolation entre montants de la structure ou en continu en fonction de la technologie constructive est décrite et comptabilisée au </w:t>
      </w:r>
      <w:hyperlink w:anchor="997" w:history="1">
        <w:r>
          <w:rPr>
            <w:rStyle w:val="soitChar"/>
            <w:color w:val="0000EE"/>
          </w:rPr>
          <w:t>44.41 Isolation en panneaux</w:t>
        </w:r>
      </w:hyperlink>
      <w:r>
        <w:rPr>
          <w:rStyle w:val="soitChar"/>
        </w:rPr>
        <w:t>.</w:t>
      </w:r>
    </w:p>
    <w:p w14:paraId="4600F720" w14:textId="77777777" w:rsidR="00772179" w:rsidRDefault="00000000">
      <w:pPr>
        <w:jc w:val="both"/>
      </w:pPr>
      <w:r>
        <w:rPr>
          <w:b/>
        </w:rPr>
        <w:t>(soit)</w:t>
      </w:r>
    </w:p>
    <w:p w14:paraId="2E15621D" w14:textId="77777777" w:rsidR="00772179" w:rsidRDefault="00000000">
      <w:pPr>
        <w:jc w:val="both"/>
      </w:pPr>
      <w:r>
        <w:rPr>
          <w:rStyle w:val="soitChar"/>
          <w:u w:val="single"/>
        </w:rPr>
        <w:t>Non :</w:t>
      </w:r>
      <w:r>
        <w:rPr>
          <w:rStyle w:val="soitChar"/>
        </w:rPr>
        <w:t> pas d’isolation </w:t>
      </w:r>
    </w:p>
    <w:p w14:paraId="0561C410" w14:textId="77777777" w:rsidR="00772179" w:rsidRDefault="00772179"/>
    <w:p w14:paraId="12AB3EE8" w14:textId="77777777" w:rsidR="00772179" w:rsidRDefault="00000000">
      <w:pPr>
        <w:jc w:val="both"/>
      </w:pPr>
      <w:r>
        <w:rPr>
          <w:b/>
        </w:rPr>
        <w:t>Pare-pluie :</w:t>
      </w:r>
      <w:r>
        <w:t>  </w:t>
      </w:r>
      <w:r>
        <w:rPr>
          <w:rStyle w:val="optioncarChar"/>
        </w:rPr>
        <w:t>oui </w:t>
      </w:r>
      <w:r>
        <w:t>(par défaut)</w:t>
      </w:r>
      <w:r>
        <w:rPr>
          <w:rStyle w:val="optioncarChar"/>
        </w:rPr>
        <w:t> / non</w:t>
      </w:r>
    </w:p>
    <w:p w14:paraId="4E98FA62" w14:textId="77777777" w:rsidR="00772179" w:rsidRDefault="00772179">
      <w:pPr>
        <w:jc w:val="both"/>
      </w:pPr>
    </w:p>
    <w:p w14:paraId="5DCA72F7" w14:textId="77777777" w:rsidR="00772179" w:rsidRDefault="00000000">
      <w:pPr>
        <w:jc w:val="both"/>
      </w:pPr>
      <w:r>
        <w:rPr>
          <w:b/>
        </w:rPr>
        <w:t>(soit par défaut)</w:t>
      </w:r>
    </w:p>
    <w:p w14:paraId="3AA9671D" w14:textId="77777777" w:rsidR="00772179" w:rsidRDefault="00000000">
      <w:pPr>
        <w:jc w:val="both"/>
      </w:pPr>
      <w:r>
        <w:rPr>
          <w:rStyle w:val="soitChar"/>
          <w:u w:val="single"/>
        </w:rPr>
        <w:t>Oui :</w:t>
      </w:r>
      <w:r>
        <w:rPr>
          <w:rStyle w:val="soitChar"/>
        </w:rPr>
        <w:t>  la fourniture et la pose des pare-pluies posés sur l’ensemble de la surface de façade avec raccord aux baies est décrite et comptabilisée au </w:t>
      </w:r>
      <w:hyperlink w:anchor="994" w:history="1">
        <w:r>
          <w:rPr>
            <w:rStyle w:val="soitChar"/>
            <w:color w:val="0000EE"/>
          </w:rPr>
          <w:t>44.13 Pare-pluie souples</w:t>
        </w:r>
      </w:hyperlink>
      <w:r>
        <w:rPr>
          <w:rStyle w:val="soitChar"/>
        </w:rPr>
        <w:t> / </w:t>
      </w:r>
      <w:hyperlink w:anchor="995" w:history="1">
        <w:r>
          <w:rPr>
            <w:rStyle w:val="soitChar"/>
            <w:color w:val="0000EE"/>
          </w:rPr>
          <w:t>44.14 Pare-pluie rigides</w:t>
        </w:r>
      </w:hyperlink>
      <w:r>
        <w:rPr>
          <w:rStyle w:val="soitChar"/>
        </w:rPr>
        <w:t>.</w:t>
      </w:r>
    </w:p>
    <w:p w14:paraId="0FE5A745" w14:textId="77777777" w:rsidR="00772179" w:rsidRDefault="00000000">
      <w:pPr>
        <w:jc w:val="both"/>
      </w:pPr>
      <w:r>
        <w:rPr>
          <w:b/>
        </w:rPr>
        <w:t>(soit)</w:t>
      </w:r>
    </w:p>
    <w:p w14:paraId="784EAC79" w14:textId="77777777" w:rsidR="00772179" w:rsidRDefault="00000000">
      <w:pPr>
        <w:jc w:val="both"/>
      </w:pPr>
      <w:r>
        <w:rPr>
          <w:rStyle w:val="soitChar"/>
          <w:u w:val="single"/>
        </w:rPr>
        <w:t>Non :</w:t>
      </w:r>
      <w:r>
        <w:rPr>
          <w:rStyle w:val="soitChar"/>
        </w:rPr>
        <w:t> pas de pare-pluie </w:t>
      </w:r>
    </w:p>
    <w:p w14:paraId="7D3B96D0" w14:textId="77777777" w:rsidR="00772179" w:rsidRDefault="00000000">
      <w:pPr>
        <w:jc w:val="both"/>
      </w:pPr>
      <w:r>
        <w:rPr>
          <w:b/>
        </w:rPr>
        <w:t>Plaques en matière synthétique :</w:t>
      </w:r>
    </w:p>
    <w:p w14:paraId="7215A950" w14:textId="77777777" w:rsidR="00772179" w:rsidRDefault="00000000">
      <w:pPr>
        <w:jc w:val="both"/>
      </w:pPr>
      <w:r>
        <w:t>Le revêtement de façade se compose de plaques de SPC (Stone Polymer Composite). Le matériau de base est une plaque extrudée composée de calcaire (carbonate de calcium) et de PVC (chlorure de polyvinyle) revêtue d’une couche de finition colorée. Lors de l’extrusion, cette couche fusionne avec la plaque de SPC sous l’effet de la chaleur et sans colle. La couche EBC (Electron Beam Cured) confère une excellente résistance aux UV,</w:t>
      </w:r>
    </w:p>
    <w:p w14:paraId="440D56BA" w14:textId="77777777" w:rsidR="00772179" w:rsidRDefault="00000000">
      <w:pPr>
        <w:pStyle w:val="Author-eListParagraph"/>
        <w:numPr>
          <w:ilvl w:val="0"/>
          <w:numId w:val="986"/>
        </w:numPr>
      </w:pPr>
      <w:r>
        <w:t xml:space="preserve">Dimension des panneaux : </w:t>
      </w:r>
      <w:r>
        <w:rPr>
          <w:rStyle w:val="optioncarChar"/>
        </w:rPr>
        <w:t xml:space="preserve">1220 x 320 </w:t>
      </w:r>
      <w:r>
        <w:t>(par défaut)</w:t>
      </w:r>
      <w:r>
        <w:rPr>
          <w:rStyle w:val="optioncarChar"/>
        </w:rPr>
        <w:t xml:space="preserve"> / 2605 x 320 / 2605 x 970 / ***</w:t>
      </w:r>
      <w:r>
        <w:t xml:space="preserve"> mm.</w:t>
      </w:r>
    </w:p>
    <w:p w14:paraId="4EC4F05E" w14:textId="77777777" w:rsidR="00772179" w:rsidRDefault="00000000">
      <w:pPr>
        <w:pStyle w:val="Author-eListParagraph"/>
        <w:numPr>
          <w:ilvl w:val="0"/>
          <w:numId w:val="986"/>
        </w:numPr>
      </w:pPr>
      <w:r>
        <w:t xml:space="preserve">Epaisseur des panneaux : </w:t>
      </w:r>
      <w:r>
        <w:rPr>
          <w:rStyle w:val="optioncarChar"/>
        </w:rPr>
        <w:t xml:space="preserve">6 </w:t>
      </w:r>
      <w:r>
        <w:t>(par défaut)</w:t>
      </w:r>
      <w:r>
        <w:rPr>
          <w:rStyle w:val="optioncarChar"/>
        </w:rPr>
        <w:t xml:space="preserve"> / ***</w:t>
      </w:r>
      <w:r>
        <w:t xml:space="preserve"> mm.</w:t>
      </w:r>
    </w:p>
    <w:p w14:paraId="744614F8" w14:textId="77777777" w:rsidR="00772179" w:rsidRDefault="00000000">
      <w:pPr>
        <w:pStyle w:val="Author-eListParagraph"/>
        <w:numPr>
          <w:ilvl w:val="0"/>
          <w:numId w:val="986"/>
        </w:numPr>
      </w:pPr>
      <w:r>
        <w:t xml:space="preserve">Bords longs : </w:t>
      </w:r>
      <w:r>
        <w:rPr>
          <w:rStyle w:val="optioncarChar"/>
        </w:rPr>
        <w:t xml:space="preserve">à rainure et languette </w:t>
      </w:r>
      <w:r>
        <w:t>(fixation invisible) (par défaut)</w:t>
      </w:r>
      <w:r>
        <w:rPr>
          <w:rStyle w:val="optioncarChar"/>
        </w:rPr>
        <w:t xml:space="preserve"> / droits / ***.</w:t>
      </w:r>
    </w:p>
    <w:p w14:paraId="3F9F7198" w14:textId="77777777" w:rsidR="00772179" w:rsidRDefault="00000000">
      <w:pPr>
        <w:pStyle w:val="Author-eListParagraph"/>
        <w:numPr>
          <w:ilvl w:val="0"/>
          <w:numId w:val="986"/>
        </w:numPr>
      </w:pPr>
      <w:r>
        <w:t>Bords courts : droits.</w:t>
      </w:r>
    </w:p>
    <w:p w14:paraId="62D5A5AA" w14:textId="77777777" w:rsidR="00772179" w:rsidRDefault="00000000">
      <w:pPr>
        <w:pStyle w:val="Author-eListParagraph"/>
        <w:numPr>
          <w:ilvl w:val="0"/>
          <w:numId w:val="986"/>
        </w:numPr>
      </w:pPr>
      <w:r>
        <w:t xml:space="preserve">Réaction au feu selon [NBN EN 13501-1] : </w:t>
      </w:r>
      <w:r>
        <w:rPr>
          <w:rStyle w:val="optioncarChar"/>
        </w:rPr>
        <w:t>non spécifié</w:t>
      </w:r>
      <w:r>
        <w:t xml:space="preserve"> (par défaut)</w:t>
      </w:r>
      <w:r>
        <w:rPr>
          <w:rStyle w:val="optioncarChar"/>
        </w:rPr>
        <w:t xml:space="preserve"> / ***</w:t>
      </w:r>
    </w:p>
    <w:p w14:paraId="3941559B" w14:textId="77777777" w:rsidR="00772179" w:rsidRDefault="00000000">
      <w:pPr>
        <w:jc w:val="both"/>
      </w:pPr>
      <w:r>
        <w:rPr>
          <w:b/>
        </w:rPr>
        <w:t>Fixations :</w:t>
      </w:r>
    </w:p>
    <w:p w14:paraId="1A7DF5E6" w14:textId="77777777" w:rsidR="00772179" w:rsidRDefault="00000000">
      <w:pPr>
        <w:pStyle w:val="Author-eListParagraph"/>
        <w:numPr>
          <w:ilvl w:val="0"/>
          <w:numId w:val="987"/>
        </w:numPr>
        <w:jc w:val="both"/>
      </w:pPr>
      <w:r>
        <w:t>Type : vis autoforantes à tête plate en acier inoxydable A2 ou A4.</w:t>
      </w:r>
    </w:p>
    <w:p w14:paraId="6D4F432E" w14:textId="77777777" w:rsidR="00772179" w:rsidRDefault="00000000">
      <w:pPr>
        <w:pStyle w:val="Author-eListParagraph"/>
        <w:numPr>
          <w:ilvl w:val="0"/>
          <w:numId w:val="987"/>
        </w:numPr>
        <w:jc w:val="both"/>
      </w:pPr>
      <w:r>
        <w:t xml:space="preserve">Longueur : </w:t>
      </w:r>
      <w:r>
        <w:rPr>
          <w:rStyle w:val="optioncarChar"/>
        </w:rPr>
        <w:t>25</w:t>
      </w:r>
      <w:r>
        <w:t xml:space="preserve"> (par défaut)</w:t>
      </w:r>
      <w:r>
        <w:rPr>
          <w:rStyle w:val="optioncarChar"/>
        </w:rPr>
        <w:t xml:space="preserve"> / ***</w:t>
      </w:r>
      <w:r>
        <w:t xml:space="preserve"> mm.</w:t>
      </w:r>
    </w:p>
    <w:p w14:paraId="14D1389F" w14:textId="77777777" w:rsidR="00772179" w:rsidRDefault="00000000">
      <w:pPr>
        <w:pStyle w:val="Author-eListParagraph"/>
        <w:numPr>
          <w:ilvl w:val="0"/>
          <w:numId w:val="987"/>
        </w:numPr>
        <w:jc w:val="both"/>
      </w:pPr>
      <w:r>
        <w:t xml:space="preserve">Diamètre partie filetée : </w:t>
      </w:r>
      <w:r>
        <w:rPr>
          <w:rStyle w:val="optioncarChar"/>
        </w:rPr>
        <w:t xml:space="preserve">3 </w:t>
      </w:r>
      <w:r>
        <w:t>(par défaut)</w:t>
      </w:r>
      <w:r>
        <w:rPr>
          <w:rStyle w:val="optioncarChar"/>
        </w:rPr>
        <w:t xml:space="preserve"> / ***</w:t>
      </w:r>
      <w:r>
        <w:t xml:space="preserve"> mm.</w:t>
      </w:r>
    </w:p>
    <w:p w14:paraId="3975D772" w14:textId="77777777" w:rsidR="00772179" w:rsidRDefault="00000000">
      <w:pPr>
        <w:pStyle w:val="Author-eListParagraph"/>
        <w:numPr>
          <w:ilvl w:val="0"/>
          <w:numId w:val="987"/>
        </w:numPr>
        <w:jc w:val="both"/>
      </w:pPr>
      <w:r>
        <w:t xml:space="preserve">Diamètre tête bombée : </w:t>
      </w:r>
      <w:r>
        <w:rPr>
          <w:rStyle w:val="optioncarChar"/>
        </w:rPr>
        <w:t>5</w:t>
      </w:r>
      <w:r>
        <w:t xml:space="preserve"> (par défaut) </w:t>
      </w:r>
      <w:r>
        <w:rPr>
          <w:rStyle w:val="optioncarChar"/>
        </w:rPr>
        <w:t>/ ***</w:t>
      </w:r>
      <w:r>
        <w:t xml:space="preserve"> mm.</w:t>
      </w:r>
    </w:p>
    <w:p w14:paraId="78D70647" w14:textId="77777777" w:rsidR="00772179" w:rsidRDefault="00000000">
      <w:pPr>
        <w:jc w:val="both"/>
      </w:pPr>
      <w:r>
        <w:rPr>
          <w:b/>
        </w:rPr>
        <w:t>Aspects environnementaux :</w:t>
      </w:r>
    </w:p>
    <w:p w14:paraId="6C18D823" w14:textId="77777777" w:rsidR="00772179" w:rsidRDefault="00000000">
      <w:pPr>
        <w:pStyle w:val="Author-eListParagraph"/>
        <w:numPr>
          <w:ilvl w:val="0"/>
          <w:numId w:val="988"/>
        </w:numPr>
      </w:pPr>
      <w:r>
        <w:t>Taux de matériaux recyclés : ≥ </w:t>
      </w:r>
      <w:r>
        <w:rPr>
          <w:rStyle w:val="optioncarChar"/>
        </w:rPr>
        <w:t>50 </w:t>
      </w:r>
      <w:r>
        <w:t>(par défaut)</w:t>
      </w:r>
      <w:r>
        <w:rPr>
          <w:rStyle w:val="optioncarChar"/>
        </w:rPr>
        <w:t> / 75 / ***</w:t>
      </w:r>
      <w:r>
        <w:t> %</w:t>
      </w:r>
    </w:p>
    <w:p w14:paraId="1028AAC8" w14:textId="77777777" w:rsidR="00772179" w:rsidRDefault="00000000">
      <w:pPr>
        <w:pStyle w:val="Author-eListParagraph"/>
        <w:numPr>
          <w:ilvl w:val="0"/>
          <w:numId w:val="988"/>
        </w:numPr>
      </w:pPr>
      <w:r>
        <w:t>Taux de matériaux locaux : ≥ </w:t>
      </w:r>
      <w:r>
        <w:rPr>
          <w:rStyle w:val="optioncarChar"/>
        </w:rPr>
        <w:t>50</w:t>
      </w:r>
      <w:r>
        <w:t> (par défaut)</w:t>
      </w:r>
      <w:r>
        <w:rPr>
          <w:rStyle w:val="optioncarChar"/>
        </w:rPr>
        <w:t> / 75 / ***</w:t>
      </w:r>
      <w:r>
        <w:t> %</w:t>
      </w:r>
    </w:p>
    <w:p w14:paraId="032C7C13" w14:textId="77777777" w:rsidR="00772179" w:rsidRDefault="00000000">
      <w:pPr>
        <w:pStyle w:val="Author-eListParagraph"/>
        <w:numPr>
          <w:ilvl w:val="0"/>
          <w:numId w:val="988"/>
        </w:numPr>
      </w:pPr>
      <w:r>
        <w:t>Les déchets produits lors de la mise en œuvre du matériau sont récupérés et recyclés par le fabricant : </w:t>
      </w:r>
      <w:r>
        <w:rPr>
          <w:rStyle w:val="optioncarChar"/>
        </w:rPr>
        <w:t>oui </w:t>
      </w:r>
      <w:r>
        <w:t>(par défaut)</w:t>
      </w:r>
      <w:r>
        <w:rPr>
          <w:rStyle w:val="optioncarChar"/>
        </w:rPr>
        <w:t> / non.</w:t>
      </w:r>
    </w:p>
    <w:p w14:paraId="5CA087F8" w14:textId="77777777" w:rsidR="00772179" w:rsidRDefault="00000000">
      <w:pPr>
        <w:pStyle w:val="Author-eListParagraph"/>
        <w:numPr>
          <w:ilvl w:val="0"/>
          <w:numId w:val="988"/>
        </w:numPr>
      </w:pPr>
      <w:r>
        <w:t>La mise en œuvre par fixation mécanique permet le démontage non destructif des panneaux.</w:t>
      </w:r>
    </w:p>
    <w:p w14:paraId="158D0F3D" w14:textId="77777777" w:rsidR="00772179" w:rsidRDefault="00000000">
      <w:pPr>
        <w:pStyle w:val="Author-eListParagraph"/>
        <w:numPr>
          <w:ilvl w:val="0"/>
          <w:numId w:val="988"/>
        </w:numPr>
      </w:pPr>
      <w:r>
        <w:t>Le matériau dispose d’un EPD : </w:t>
      </w:r>
      <w:r>
        <w:rPr>
          <w:rStyle w:val="optioncarChar"/>
        </w:rPr>
        <w:t>oui </w:t>
      </w:r>
      <w:r>
        <w:t>(par défaut)</w:t>
      </w:r>
      <w:r>
        <w:rPr>
          <w:rStyle w:val="optioncarChar"/>
        </w:rPr>
        <w:t> / non.</w:t>
      </w:r>
    </w:p>
    <w:p w14:paraId="5F8E4EFB" w14:textId="77777777" w:rsidR="00772179" w:rsidRDefault="00000000">
      <w:pPr>
        <w:ind w:left="567"/>
        <w:jc w:val="both"/>
      </w:pPr>
      <w:r>
        <w:rPr>
          <w:b/>
        </w:rPr>
        <w:t>(soit par défaut)</w:t>
      </w:r>
    </w:p>
    <w:p w14:paraId="7178D962" w14:textId="77777777" w:rsidR="00772179" w:rsidRDefault="00000000">
      <w:pPr>
        <w:ind w:left="567"/>
        <w:jc w:val="both"/>
      </w:pPr>
      <w:r>
        <w:rPr>
          <w:rStyle w:val="soitChar"/>
          <w:u w:val="single"/>
        </w:rPr>
        <w:t>Oui :</w:t>
      </w:r>
      <w:r>
        <w:rPr>
          <w:rStyle w:val="soitChar"/>
        </w:rPr>
        <w:t> l'EPD garantit : </w:t>
      </w:r>
    </w:p>
    <w:p w14:paraId="44387B83" w14:textId="77777777" w:rsidR="00772179" w:rsidRDefault="00000000">
      <w:pPr>
        <w:pStyle w:val="Author-eListParagraph"/>
        <w:numPr>
          <w:ilvl w:val="1"/>
          <w:numId w:val="990"/>
        </w:numPr>
      </w:pPr>
      <w:r>
        <w:rPr>
          <w:rStyle w:val="soitChar"/>
        </w:rPr>
        <w:t>la réutilisation des déchets de découpe en cours de fabrication : </w:t>
      </w:r>
      <w:r>
        <w:rPr>
          <w:rStyle w:val="optioncarChar"/>
        </w:rPr>
        <w:t>oui</w:t>
      </w:r>
      <w:r>
        <w:t> (par défaut)</w:t>
      </w:r>
      <w:r>
        <w:rPr>
          <w:rStyle w:val="optioncarChar"/>
        </w:rPr>
        <w:t> / non</w:t>
      </w:r>
    </w:p>
    <w:p w14:paraId="45E7349E" w14:textId="77777777" w:rsidR="00772179" w:rsidRDefault="00000000">
      <w:pPr>
        <w:pStyle w:val="Author-eListParagraph"/>
        <w:numPr>
          <w:ilvl w:val="1"/>
          <w:numId w:val="990"/>
        </w:numPr>
      </w:pPr>
      <w:r>
        <w:rPr>
          <w:rStyle w:val="soitChar"/>
        </w:rPr>
        <w:t>la récupération des panneaux dégradés par une société externe comme base de production de ciment : </w:t>
      </w:r>
      <w:r>
        <w:rPr>
          <w:rStyle w:val="optioncarChar"/>
        </w:rPr>
        <w:t>oui </w:t>
      </w:r>
      <w:r>
        <w:t>(par défaut) </w:t>
      </w:r>
      <w:r>
        <w:rPr>
          <w:rStyle w:val="optioncarChar"/>
        </w:rPr>
        <w:t>/ non</w:t>
      </w:r>
    </w:p>
    <w:p w14:paraId="51DA7E0B" w14:textId="77777777" w:rsidR="00772179" w:rsidRDefault="00000000">
      <w:pPr>
        <w:pStyle w:val="Author-eListParagraph"/>
        <w:numPr>
          <w:ilvl w:val="1"/>
          <w:numId w:val="990"/>
        </w:numPr>
      </w:pPr>
      <w:r>
        <w:rPr>
          <w:rStyle w:val="soitChar"/>
        </w:rPr>
        <w:t>le filtrage de l’air en vue de réduire les émissions en cours de production :</w:t>
      </w:r>
      <w:r>
        <w:t> </w:t>
      </w:r>
      <w:r>
        <w:rPr>
          <w:rStyle w:val="optioncarChar"/>
        </w:rPr>
        <w:t>oui</w:t>
      </w:r>
      <w:r>
        <w:t> (par défaut) </w:t>
      </w:r>
      <w:r>
        <w:rPr>
          <w:rStyle w:val="optioncarChar"/>
        </w:rPr>
        <w:t>/ non</w:t>
      </w:r>
    </w:p>
    <w:p w14:paraId="4622545F" w14:textId="77777777" w:rsidR="00772179" w:rsidRDefault="00000000">
      <w:pPr>
        <w:ind w:left="567"/>
        <w:jc w:val="both"/>
      </w:pPr>
      <w:r>
        <w:rPr>
          <w:b/>
        </w:rPr>
        <w:lastRenderedPageBreak/>
        <w:t>(soit)</w:t>
      </w:r>
    </w:p>
    <w:p w14:paraId="2E0B9B54" w14:textId="77777777" w:rsidR="00772179" w:rsidRDefault="00000000">
      <w:pPr>
        <w:ind w:left="567"/>
        <w:jc w:val="both"/>
      </w:pPr>
      <w:r>
        <w:rPr>
          <w:rStyle w:val="soitChar"/>
          <w:u w:val="single"/>
        </w:rPr>
        <w:t>Non</w:t>
      </w:r>
    </w:p>
    <w:p w14:paraId="0E529EB0" w14:textId="77777777" w:rsidR="00772179" w:rsidRDefault="00000000">
      <w:pPr>
        <w:pStyle w:val="pheading"/>
      </w:pPr>
      <w:r>
        <w:t>- Finitions</w:t>
      </w:r>
    </w:p>
    <w:p w14:paraId="129E901F" w14:textId="77777777" w:rsidR="00772179" w:rsidRDefault="00000000">
      <w:pPr>
        <w:jc w:val="both"/>
      </w:pPr>
      <w:r>
        <w:t xml:space="preserve">Finition : </w:t>
      </w:r>
      <w:r>
        <w:rPr>
          <w:rStyle w:val="optioncarChar"/>
        </w:rPr>
        <w:t xml:space="preserve">surface lisse </w:t>
      </w:r>
      <w:r>
        <w:t xml:space="preserve">(par défaut) </w:t>
      </w:r>
      <w:r>
        <w:rPr>
          <w:rStyle w:val="optioncarChar"/>
        </w:rPr>
        <w:t>/ ***.</w:t>
      </w:r>
    </w:p>
    <w:p w14:paraId="680BA1FE" w14:textId="77777777" w:rsidR="00772179" w:rsidRDefault="00000000">
      <w:pPr>
        <w:jc w:val="both"/>
      </w:pPr>
      <w:r>
        <w:t xml:space="preserve">Couleur : </w:t>
      </w:r>
      <w:r>
        <w:rPr>
          <w:rStyle w:val="optioncarChar"/>
        </w:rPr>
        <w:t xml:space="preserve">unie </w:t>
      </w:r>
      <w:r>
        <w:t>(par défaut)</w:t>
      </w:r>
      <w:r>
        <w:rPr>
          <w:rStyle w:val="optioncarChar"/>
        </w:rPr>
        <w:t xml:space="preserve"> / aspect bois / ***.</w:t>
      </w:r>
    </w:p>
    <w:p w14:paraId="215277F9" w14:textId="77777777" w:rsidR="00772179" w:rsidRDefault="00000000">
      <w:pPr>
        <w:jc w:val="both"/>
      </w:pPr>
      <w:r>
        <w:rPr>
          <w:b/>
        </w:rPr>
        <w:t>(soit par défaut)</w:t>
      </w:r>
    </w:p>
    <w:p w14:paraId="73D1581B" w14:textId="77777777" w:rsidR="00772179" w:rsidRDefault="00000000">
      <w:pPr>
        <w:jc w:val="both"/>
      </w:pPr>
      <w:r>
        <w:rPr>
          <w:rStyle w:val="soitChar"/>
          <w:u w:val="single"/>
        </w:rPr>
        <w:t>Unie :</w:t>
      </w:r>
    </w:p>
    <w:p w14:paraId="412DFD0B" w14:textId="77777777" w:rsidR="00772179" w:rsidRDefault="00000000">
      <w:pPr>
        <w:jc w:val="both"/>
      </w:pPr>
      <w:r>
        <w:rPr>
          <w:rStyle w:val="soitChar"/>
        </w:rPr>
        <w:t xml:space="preserve">Couleur (face extérieure) : </w:t>
      </w:r>
      <w:r>
        <w:rPr>
          <w:rStyle w:val="optioncarChar"/>
        </w:rPr>
        <w:t xml:space="preserve">blanc </w:t>
      </w:r>
      <w:r>
        <w:t xml:space="preserve">(par défaut) </w:t>
      </w:r>
      <w:r>
        <w:rPr>
          <w:rStyle w:val="optioncarChar"/>
        </w:rPr>
        <w:t>/ gris / anthracite / beige / bleu / brun / ***.</w:t>
      </w:r>
    </w:p>
    <w:p w14:paraId="1C5164F1" w14:textId="77777777" w:rsidR="00772179" w:rsidRDefault="00000000">
      <w:pPr>
        <w:jc w:val="both"/>
      </w:pPr>
      <w:r>
        <w:rPr>
          <w:b/>
        </w:rPr>
        <w:t>(soit)</w:t>
      </w:r>
    </w:p>
    <w:p w14:paraId="799A3223" w14:textId="77777777" w:rsidR="00772179" w:rsidRDefault="00000000">
      <w:pPr>
        <w:jc w:val="both"/>
      </w:pPr>
      <w:r>
        <w:rPr>
          <w:rStyle w:val="soitChar"/>
          <w:u w:val="single"/>
        </w:rPr>
        <w:t>Aspect bois :</w:t>
      </w:r>
    </w:p>
    <w:p w14:paraId="2B825896" w14:textId="77777777" w:rsidR="00772179" w:rsidRDefault="00000000">
      <w:pPr>
        <w:jc w:val="both"/>
      </w:pPr>
      <w:r>
        <w:rPr>
          <w:rStyle w:val="soitChar"/>
        </w:rPr>
        <w:t xml:space="preserve">Couleur (face extérieure) : </w:t>
      </w:r>
      <w:r>
        <w:rPr>
          <w:rStyle w:val="optioncarChar"/>
        </w:rPr>
        <w:t>gris clair</w:t>
      </w:r>
      <w:r>
        <w:t xml:space="preserve"> (par défaut)</w:t>
      </w:r>
      <w:r>
        <w:rPr>
          <w:rStyle w:val="optioncarChar"/>
        </w:rPr>
        <w:t xml:space="preserve"> / gris foncé / chêne clair / miel / brun foncé / ***.</w:t>
      </w:r>
    </w:p>
    <w:p w14:paraId="428D2D50" w14:textId="77777777" w:rsidR="00772179" w:rsidRDefault="00000000">
      <w:pPr>
        <w:jc w:val="both"/>
      </w:pPr>
      <w:r>
        <w:rPr>
          <w:b/>
        </w:rPr>
        <w:t>(soit)</w:t>
      </w:r>
    </w:p>
    <w:p w14:paraId="3D102018" w14:textId="77777777" w:rsidR="00772179" w:rsidRDefault="00000000">
      <w:pPr>
        <w:jc w:val="both"/>
      </w:pPr>
      <w:r>
        <w:rPr>
          <w:rStyle w:val="optioncarChar"/>
        </w:rPr>
        <w:t>***</w:t>
      </w:r>
    </w:p>
    <w:p w14:paraId="2EABFDE1" w14:textId="77777777" w:rsidR="00772179" w:rsidRDefault="00000000">
      <w:pPr>
        <w:pStyle w:val="pheading"/>
      </w:pPr>
      <w:r>
        <w:t>EXÉCUTION / MISE EN ŒUVRE</w:t>
      </w:r>
    </w:p>
    <w:p w14:paraId="17376D51" w14:textId="77777777" w:rsidR="00772179" w:rsidRDefault="00000000">
      <w:pPr>
        <w:pStyle w:val="pheading"/>
      </w:pPr>
      <w:r>
        <w:t>- Prescriptions générales</w:t>
      </w:r>
    </w:p>
    <w:p w14:paraId="44698854" w14:textId="77777777" w:rsidR="00772179" w:rsidRDefault="00000000">
      <w:pPr>
        <w:jc w:val="both"/>
      </w:pPr>
      <w:r>
        <w:t>L’entrepreneur soumet le descriptif du système et sa configuration (fixations, calepinage des panneaux, etc…) à la direction du chantier pour approbation. Ce descriptif est établi sur base de l’étude du fabricant prescrite ci-avant.</w:t>
      </w:r>
    </w:p>
    <w:p w14:paraId="1F9FD86F" w14:textId="77777777" w:rsidR="00772179" w:rsidRDefault="00000000">
      <w:pPr>
        <w:jc w:val="both"/>
      </w:pPr>
      <w:r>
        <w:rPr>
          <w:b/>
        </w:rPr>
        <w:t>Structure de support</w:t>
      </w:r>
    </w:p>
    <w:p w14:paraId="523ECC9A" w14:textId="77777777" w:rsidR="00772179" w:rsidRDefault="00000000">
      <w:pPr>
        <w:pStyle w:val="Author-eListParagraph"/>
        <w:numPr>
          <w:ilvl w:val="0"/>
          <w:numId w:val="991"/>
        </w:numPr>
      </w:pPr>
      <w:r>
        <w:t>Ecartement : </w:t>
      </w:r>
      <w:r>
        <w:rPr>
          <w:rStyle w:val="optioncarChar"/>
        </w:rPr>
        <w:t>conforme aux recommandations de l’étude approuvée </w:t>
      </w:r>
      <w:r>
        <w:t>(par défaut)</w:t>
      </w:r>
      <w:r>
        <w:rPr>
          <w:rStyle w:val="optioncarChar"/>
        </w:rPr>
        <w:t> / 30 / *** cm.</w:t>
      </w:r>
    </w:p>
    <w:p w14:paraId="4E3C0537" w14:textId="77777777" w:rsidR="00772179" w:rsidRDefault="00000000">
      <w:pPr>
        <w:pStyle w:val="Author-eListParagraph"/>
        <w:numPr>
          <w:ilvl w:val="0"/>
          <w:numId w:val="991"/>
        </w:numPr>
      </w:pPr>
      <w:r>
        <w:t>Sens de pose : </w:t>
      </w:r>
      <w:r>
        <w:rPr>
          <w:rStyle w:val="optioncarChar"/>
        </w:rPr>
        <w:t>horizontal</w:t>
      </w:r>
      <w:r>
        <w:t> (par défaut)</w:t>
      </w:r>
      <w:r>
        <w:rPr>
          <w:rStyle w:val="optioncarChar"/>
        </w:rPr>
        <w:t> / vertical / ***.</w:t>
      </w:r>
    </w:p>
    <w:p w14:paraId="6FA0DD94" w14:textId="77777777" w:rsidR="00772179" w:rsidRDefault="00000000">
      <w:pPr>
        <w:pStyle w:val="Author-eListParagraph"/>
        <w:numPr>
          <w:ilvl w:val="0"/>
          <w:numId w:val="991"/>
        </w:numPr>
      </w:pPr>
      <w:r>
        <w:t>La conception de la structure de support permet la création d’un espace de ventilation continu d’une épaisseur ≥ </w:t>
      </w:r>
      <w:r>
        <w:rPr>
          <w:rStyle w:val="optioncarChar"/>
        </w:rPr>
        <w:t>20</w:t>
      </w:r>
      <w:r>
        <w:t> (par défaut) </w:t>
      </w:r>
      <w:r>
        <w:rPr>
          <w:rStyle w:val="optioncarChar"/>
        </w:rPr>
        <w:t>/ 30 / 50 / ***</w:t>
      </w:r>
      <w:r>
        <w:t> mm à l’arrière des panneaux.</w:t>
      </w:r>
    </w:p>
    <w:p w14:paraId="0961655D" w14:textId="77777777" w:rsidR="00772179" w:rsidRDefault="00000000">
      <w:pPr>
        <w:pStyle w:val="Author-eListParagraph"/>
        <w:numPr>
          <w:ilvl w:val="0"/>
          <w:numId w:val="991"/>
        </w:numPr>
      </w:pPr>
      <w:r>
        <w:t>Ouvertures de ventilation en haut et en bas des façades ainsi qu’autour des baies de fenêtres et de portes : ≥ </w:t>
      </w:r>
      <w:r>
        <w:rPr>
          <w:rStyle w:val="optioncarChar"/>
        </w:rPr>
        <w:t>100 </w:t>
      </w:r>
      <w:r>
        <w:t>(par défaut)</w:t>
      </w:r>
      <w:r>
        <w:rPr>
          <w:rStyle w:val="optioncarChar"/>
        </w:rPr>
        <w:t> / ***</w:t>
      </w:r>
      <w:r>
        <w:t> cm²/mct avec grille anti-rongeurs à chaque ouverture.</w:t>
      </w:r>
    </w:p>
    <w:p w14:paraId="787A5827" w14:textId="77777777" w:rsidR="00772179" w:rsidRDefault="00000000">
      <w:pPr>
        <w:pStyle w:val="Author-eListParagraph"/>
        <w:numPr>
          <w:ilvl w:val="0"/>
          <w:numId w:val="991"/>
        </w:numPr>
      </w:pPr>
      <w:r>
        <w:t>Joint de dilatation structuraux : à prolonger dans le revêtement de façade en prévoyant une latte de support de chaque côté du joint de dilatation. (Voir </w:t>
      </w:r>
      <w:hyperlink w:anchor="999" w:history="1">
        <w:r>
          <w:rPr>
            <w:color w:val="0000EE"/>
          </w:rPr>
          <w:t>43.64.2 Revêtements de façade - joints de dilatation</w:t>
        </w:r>
      </w:hyperlink>
      <w:r>
        <w:t>)</w:t>
      </w:r>
    </w:p>
    <w:p w14:paraId="0894D94A" w14:textId="77777777" w:rsidR="00772179" w:rsidRDefault="00000000">
      <w:pPr>
        <w:jc w:val="both"/>
      </w:pPr>
      <w:r>
        <w:rPr>
          <w:b/>
        </w:rPr>
        <w:t>Pose des panneaux</w:t>
      </w:r>
    </w:p>
    <w:p w14:paraId="5160AEF1" w14:textId="77777777" w:rsidR="00772179" w:rsidRDefault="00000000">
      <w:pPr>
        <w:pStyle w:val="Author-eListParagraph"/>
        <w:numPr>
          <w:ilvl w:val="0"/>
          <w:numId w:val="992"/>
        </w:numPr>
        <w:jc w:val="both"/>
      </w:pPr>
      <w:r>
        <w:t>Sens de pose : </w:t>
      </w:r>
      <w:r>
        <w:rPr>
          <w:rStyle w:val="optioncarChar"/>
        </w:rPr>
        <w:t>vertical</w:t>
      </w:r>
      <w:r>
        <w:t> (par défaut)</w:t>
      </w:r>
      <w:r>
        <w:rPr>
          <w:rStyle w:val="optioncarChar"/>
        </w:rPr>
        <w:t> / horizontal / ***.</w:t>
      </w:r>
    </w:p>
    <w:p w14:paraId="05244333" w14:textId="77777777" w:rsidR="00772179" w:rsidRDefault="00000000">
      <w:pPr>
        <w:pStyle w:val="Author-eListParagraph"/>
        <w:numPr>
          <w:ilvl w:val="0"/>
          <w:numId w:val="992"/>
        </w:numPr>
        <w:jc w:val="both"/>
      </w:pPr>
      <w:r>
        <w:t>Joints entre panneaux à bords droits : ≥ </w:t>
      </w:r>
      <w:r>
        <w:rPr>
          <w:rStyle w:val="optioncarChar"/>
        </w:rPr>
        <w:t>10</w:t>
      </w:r>
      <w:r>
        <w:t> (par défaut)</w:t>
      </w:r>
      <w:r>
        <w:rPr>
          <w:rStyle w:val="optioncarChar"/>
        </w:rPr>
        <w:t> / ***</w:t>
      </w:r>
      <w:r>
        <w:t> mm.</w:t>
      </w:r>
    </w:p>
    <w:p w14:paraId="5B32A15D" w14:textId="77777777" w:rsidR="00772179" w:rsidRDefault="00000000">
      <w:pPr>
        <w:pStyle w:val="Author-eListParagraph"/>
        <w:numPr>
          <w:ilvl w:val="0"/>
          <w:numId w:val="992"/>
        </w:numPr>
        <w:jc w:val="both"/>
      </w:pPr>
      <w:r>
        <w:t>Type de joints  : </w:t>
      </w:r>
      <w:r>
        <w:rPr>
          <w:rStyle w:val="optioncarChar"/>
        </w:rPr>
        <w:t>fermés </w:t>
      </w:r>
      <w:r>
        <w:t>(par défaut) </w:t>
      </w:r>
      <w:r>
        <w:rPr>
          <w:rStyle w:val="optioncarChar"/>
        </w:rPr>
        <w:t>/ ouverts.</w:t>
      </w:r>
    </w:p>
    <w:p w14:paraId="40656293" w14:textId="77777777" w:rsidR="00772179" w:rsidRDefault="00000000">
      <w:pPr>
        <w:pStyle w:val="Author-eListParagraph"/>
        <w:numPr>
          <w:ilvl w:val="0"/>
          <w:numId w:val="992"/>
        </w:numPr>
        <w:jc w:val="both"/>
      </w:pPr>
      <w:r>
        <w:t xml:space="preserve">Profils U de départ et d'arrêt à la jonction avec les matériaux de parement adjacents en : </w:t>
      </w:r>
      <w:r>
        <w:rPr>
          <w:rStyle w:val="optioncarChar"/>
        </w:rPr>
        <w:t xml:space="preserve">aluminium thermolaqué de teinte similaire à celle des panneaux </w:t>
      </w:r>
      <w:r>
        <w:t xml:space="preserve">(par défaut) </w:t>
      </w:r>
      <w:r>
        <w:rPr>
          <w:rStyle w:val="optioncarChar"/>
        </w:rPr>
        <w:t>/ aluminium anodisé / PVC / ***</w:t>
      </w:r>
    </w:p>
    <w:p w14:paraId="0C836990" w14:textId="77777777" w:rsidR="00772179" w:rsidRDefault="00000000">
      <w:pPr>
        <w:pStyle w:val="Author-eListParagraph"/>
        <w:numPr>
          <w:ilvl w:val="0"/>
          <w:numId w:val="992"/>
        </w:numPr>
        <w:jc w:val="both"/>
      </w:pPr>
      <w:r>
        <w:t xml:space="preserve">Finition des angles sortants et rentrants : </w:t>
      </w:r>
      <w:r>
        <w:rPr>
          <w:rStyle w:val="optioncarChar"/>
        </w:rPr>
        <w:t>profils en aluminium thermolaqué de teinte similaire à celle des panneaux</w:t>
      </w:r>
      <w:r>
        <w:t xml:space="preserve"> (par défaut)</w:t>
      </w:r>
      <w:r>
        <w:rPr>
          <w:rStyle w:val="optioncarChar"/>
        </w:rPr>
        <w:t xml:space="preserve"> / aluminium anodisé / PVC / ***</w:t>
      </w:r>
      <w:r>
        <w:t>.</w:t>
      </w:r>
    </w:p>
    <w:p w14:paraId="287569B8" w14:textId="77777777" w:rsidR="00772179" w:rsidRDefault="00000000">
      <w:pPr>
        <w:pStyle w:val="Author-eListParagraph"/>
        <w:numPr>
          <w:ilvl w:val="0"/>
          <w:numId w:val="992"/>
        </w:numPr>
        <w:jc w:val="both"/>
      </w:pPr>
      <w:r>
        <w:t>Finition au droit des joues de baies :</w:t>
      </w:r>
      <w:r>
        <w:rPr>
          <w:rStyle w:val="optioncarChar"/>
        </w:rPr>
        <w:t xml:space="preserve"> panneau coupé sur mesure posé avec profil en aluminium thermolaqué de teinte similaire à celle des panneaux</w:t>
      </w:r>
      <w:r>
        <w:t xml:space="preserve"> (par défaut)</w:t>
      </w:r>
      <w:r>
        <w:rPr>
          <w:rStyle w:val="optioncarChar"/>
        </w:rPr>
        <w:t xml:space="preserve"> / panneau coupé sur mesure posé avec profil en aluminium anodisé / panneau coupé sur mesure posé avec profil en PVC / ***.</w:t>
      </w:r>
    </w:p>
    <w:p w14:paraId="3B65785C" w14:textId="77777777" w:rsidR="00772179" w:rsidRDefault="00000000">
      <w:pPr>
        <w:pStyle w:val="pheading"/>
      </w:pPr>
      <w:r>
        <w:t>- Échantillons</w:t>
      </w:r>
    </w:p>
    <w:p w14:paraId="3EC723F5" w14:textId="77777777" w:rsidR="00772179" w:rsidRDefault="00000000">
      <w:pPr>
        <w:pStyle w:val="Author-eListParagraph"/>
        <w:numPr>
          <w:ilvl w:val="0"/>
          <w:numId w:val="993"/>
        </w:numPr>
        <w:jc w:val="both"/>
      </w:pPr>
      <w:r>
        <w:t xml:space="preserve">Afin de déterminer le choix définitif des panneaux, un ou plusieurs échantillons de +/- 1 m² (avec un maximum de </w:t>
      </w:r>
      <w:r>
        <w:rPr>
          <w:rStyle w:val="optioncarChar"/>
        </w:rPr>
        <w:t xml:space="preserve">2 </w:t>
      </w:r>
      <w:r>
        <w:t>(par défaut)</w:t>
      </w:r>
      <w:r>
        <w:rPr>
          <w:rStyle w:val="optioncarChar"/>
        </w:rPr>
        <w:t xml:space="preserve"> / 3 / 5 / ***</w:t>
      </w:r>
      <w:r>
        <w:t xml:space="preserve"> échantillons à réaliser au total) sont confectionnés à la demande de la direction du chantier. Les frais inhérents à la confection et à la démolition de ces échantillons sont à charge de l'entreprise.</w:t>
      </w:r>
    </w:p>
    <w:p w14:paraId="78BB533B" w14:textId="77777777" w:rsidR="00772179" w:rsidRDefault="00000000">
      <w:pPr>
        <w:pStyle w:val="Author-eListParagraph"/>
        <w:numPr>
          <w:ilvl w:val="0"/>
          <w:numId w:val="993"/>
        </w:numPr>
        <w:jc w:val="both"/>
      </w:pPr>
      <w:r>
        <w:lastRenderedPageBreak/>
        <w:t>La couleur des profils de finitions et des accessoires est soumise à l’approbation de la direction du chantier en réalisant un essai sur un mètre de longueur.</w:t>
      </w:r>
    </w:p>
    <w:p w14:paraId="4574E77C" w14:textId="77777777" w:rsidR="00772179" w:rsidRDefault="00000000">
      <w:pPr>
        <w:pStyle w:val="pheading"/>
      </w:pPr>
      <w:r>
        <w:t>MESURAGE</w:t>
      </w:r>
    </w:p>
    <w:p w14:paraId="30E14D00" w14:textId="77777777" w:rsidR="00772179" w:rsidRDefault="00000000">
      <w:pPr>
        <w:pStyle w:val="pheading"/>
      </w:pPr>
      <w:r>
        <w:t>- unité de mesure:</w:t>
      </w:r>
    </w:p>
    <w:p w14:paraId="4E53C161" w14:textId="77777777" w:rsidR="00772179" w:rsidRDefault="00000000">
      <w:r>
        <w:t>m²</w:t>
      </w:r>
    </w:p>
    <w:p w14:paraId="7E2E91E8" w14:textId="77777777" w:rsidR="00772179" w:rsidRDefault="00000000">
      <w:pPr>
        <w:pStyle w:val="pheading"/>
      </w:pPr>
      <w:r>
        <w:t>- code de mesurage:</w:t>
      </w:r>
    </w:p>
    <w:p w14:paraId="5BA07228" w14:textId="77777777" w:rsidR="00772179" w:rsidRDefault="00000000">
      <w:pPr>
        <w:jc w:val="both"/>
      </w:pPr>
      <w:r>
        <w:t xml:space="preserve">1. </w:t>
      </w:r>
      <w:r>
        <w:rPr>
          <w:b/>
        </w:rPr>
        <w:t>Surface nette</w:t>
      </w:r>
      <w:r>
        <w:t xml:space="preserve"> du système à poser (mesurée dans le plan extérieur des panneaux). Les ouvertures et les interruptions ≥ 0,50 m² sont déduites. Les structures de support, les divers profils décrits et les études prescrites sont compris dans le prix unitaire. Les retours latéraux et supérieurs des baies et ouvertures ne sont comptés en supplément (surface nette) que si leur profondeur est supérieure à celle du système de revêtement de façade. Distinction faite suivant le type d’élément.</w:t>
      </w:r>
    </w:p>
    <w:p w14:paraId="3548528E" w14:textId="77777777" w:rsidR="00772179" w:rsidRDefault="00000000">
      <w:pPr>
        <w:pStyle w:val="pheading"/>
      </w:pPr>
      <w:r>
        <w:t>- nature du marché:</w:t>
      </w:r>
    </w:p>
    <w:p w14:paraId="3293EC40" w14:textId="77777777" w:rsidR="00772179" w:rsidRDefault="00000000">
      <w:r>
        <w:t>QF </w:t>
      </w:r>
    </w:p>
    <w:p w14:paraId="6FDB24D8" w14:textId="77777777" w:rsidR="00772179" w:rsidRDefault="00000000">
      <w:pPr>
        <w:pStyle w:val="Author-eSectionHeading4Numberless"/>
      </w:pPr>
      <w:bookmarkStart w:id="767" w:name="_Toc220490454"/>
      <w:r>
        <w:t>43.26 Revêtements de façade rigides fixés mécaniquement - pierres naturelles et céramiques CCTB 01.02</w:t>
      </w:r>
      <w:bookmarkEnd w:id="767"/>
    </w:p>
    <w:p w14:paraId="45216B41" w14:textId="77777777" w:rsidR="00772179" w:rsidRDefault="00000000">
      <w:pPr>
        <w:pStyle w:val="Author-eSectionHeading5Numberless"/>
      </w:pPr>
      <w:bookmarkStart w:id="768" w:name="_Toc220490455"/>
      <w:r>
        <w:t>43.26.1 Revêtements de façade rigides fixés mécaniquement - plaques en pierres naturelles  CCTB 01.12</w:t>
      </w:r>
      <w:bookmarkEnd w:id="768"/>
    </w:p>
    <w:p w14:paraId="2E1C6EF6" w14:textId="77777777" w:rsidR="00772179" w:rsidRDefault="00000000">
      <w:pPr>
        <w:pStyle w:val="pheading"/>
      </w:pPr>
      <w:r>
        <w:t>DESCRIPTION</w:t>
      </w:r>
    </w:p>
    <w:p w14:paraId="13D99EC0" w14:textId="77777777" w:rsidR="00772179" w:rsidRDefault="00000000">
      <w:pPr>
        <w:pStyle w:val="pheading"/>
      </w:pPr>
      <w:r>
        <w:t>- Définition / Comprend</w:t>
      </w:r>
    </w:p>
    <w:p w14:paraId="1EABD4E3" w14:textId="77777777" w:rsidR="00772179" w:rsidRDefault="00000000">
      <w:pPr>
        <w:jc w:val="both"/>
      </w:pPr>
      <w:r>
        <w:t>Il s’agit de la fourniture et la pose de revêtements de façade rigides en plaques de pierres naturelles fixées mécaniquement.</w:t>
      </w:r>
    </w:p>
    <w:p w14:paraId="4112D797" w14:textId="77777777" w:rsidR="00772179" w:rsidRDefault="00000000">
      <w:pPr>
        <w:jc w:val="both"/>
      </w:pPr>
      <w:r>
        <w:t>La portée des travaux est décrite au </w:t>
      </w:r>
      <w:hyperlink w:anchor="984" w:history="1">
        <w:r>
          <w:rPr>
            <w:color w:val="0000EE"/>
          </w:rPr>
          <w:t>43.2 Revêtements de façade rigides fixés mécaniquement</w:t>
        </w:r>
      </w:hyperlink>
      <w:r>
        <w:t>.</w:t>
      </w:r>
    </w:p>
    <w:p w14:paraId="0AE58E81" w14:textId="77777777" w:rsidR="00772179" w:rsidRDefault="00000000">
      <w:pPr>
        <w:pStyle w:val="pheading"/>
      </w:pPr>
      <w:r>
        <w:t>DOCUMENTS DE RÉFÉRENCE</w:t>
      </w:r>
    </w:p>
    <w:p w14:paraId="2398ABC1" w14:textId="77777777" w:rsidR="00772179" w:rsidRDefault="00000000">
      <w:pPr>
        <w:pStyle w:val="pheading"/>
      </w:pPr>
      <w:r>
        <w:t>- Matériau</w:t>
      </w:r>
    </w:p>
    <w:p w14:paraId="3301CA21" w14:textId="77777777" w:rsidR="00772179" w:rsidRDefault="00000000">
      <w:r>
        <w:t>[NIT 146, Les revêtements extérieurs verticaux en matériaux pierreux naturels de mince épaisseur (partiellement remplacée par la NIT n°228 en ce qui concerne les méthodes d'essais et les critères de résistance au gel).]</w:t>
      </w:r>
    </w:p>
    <w:p w14:paraId="66B4249C" w14:textId="77777777" w:rsidR="00772179" w:rsidRDefault="00000000">
      <w:r>
        <w:t>[NIT 220, La pierre bleue de Belgique dite petit granit d'âge géologique tournaisien (remplace la NIT 156).]</w:t>
      </w:r>
    </w:p>
    <w:p w14:paraId="27ED5F99" w14:textId="77777777" w:rsidR="00772179" w:rsidRDefault="00000000">
      <w:r>
        <w:t>[NIT 228, Pierres naturelles (NIT interactive et évolutive en remplacement de la NIT 205).]</w:t>
      </w:r>
    </w:p>
    <w:p w14:paraId="58792BC6" w14:textId="77777777" w:rsidR="00772179" w:rsidRDefault="00000000">
      <w:r>
        <w:t>[STS 56.1, Mastics d’étanchéité des façades]</w:t>
      </w:r>
    </w:p>
    <w:p w14:paraId="3B9137CD" w14:textId="77777777" w:rsidR="00772179" w:rsidRDefault="00000000">
      <w:r>
        <w:t>[NBN EN 1469, Produits en pierre naturelle - Dalles de revêtement mural - Exigences]</w:t>
      </w:r>
    </w:p>
    <w:p w14:paraId="4D168A64" w14:textId="77777777" w:rsidR="00772179" w:rsidRDefault="00000000">
      <w:r>
        <w:rPr>
          <w:color w:val="000000"/>
        </w:rPr>
        <w:t>[NBN EN 12440, Pierres naturelles - Critères de dénomination]</w:t>
      </w:r>
    </w:p>
    <w:p w14:paraId="74C7ECC6" w14:textId="77777777" w:rsidR="00772179" w:rsidRDefault="00000000">
      <w:r>
        <w:t>[NBN EN 12371, Méthodes d’essai pour pierres naturelles - Détermination de la résistance au gel]</w:t>
      </w:r>
    </w:p>
    <w:p w14:paraId="34D36EF4" w14:textId="77777777" w:rsidR="00772179" w:rsidRDefault="00000000">
      <w:r>
        <w:t>[CEN/TS 12390-9, Essais sur béton durci - Partie 9: Résistance au gel dégel-dégel en présence de sels de déverglaçage (écaillage) ]</w:t>
      </w:r>
    </w:p>
    <w:p w14:paraId="2E544668" w14:textId="77777777" w:rsidR="00772179" w:rsidRDefault="00000000">
      <w:r>
        <w:t>[NBN EN 13364, Méthodes d'essai pour pierre naturelle - Détermination de l'effort de rupture au niveau du goujon de l'agrafe ]</w:t>
      </w:r>
    </w:p>
    <w:p w14:paraId="721DCD5C" w14:textId="77777777" w:rsidR="00772179" w:rsidRDefault="00000000">
      <w:r>
        <w:t>[NBN EN 14066, Méthodes d'essai pour les pierres naturelles - Détermination de la résistance au vieillissement accéléré par choc thermique]</w:t>
      </w:r>
    </w:p>
    <w:p w14:paraId="7C5C2A7E" w14:textId="77777777" w:rsidR="00772179" w:rsidRDefault="00000000">
      <w:r>
        <w:t>[NBN EN 16306, Méthodes d'essai pour pierres naturelles - Détermination de la résistance du marbre aux cycles thermiques et d'humidité]</w:t>
      </w:r>
    </w:p>
    <w:p w14:paraId="76D72F83" w14:textId="77777777" w:rsidR="00772179" w:rsidRDefault="00000000">
      <w:r>
        <w:lastRenderedPageBreak/>
        <w:t>[NBN EN 16140, Méthodes d'essai pour pierres naturelles - Détermination de la sensibilité aux changements d'aspect induits par des cycles thermiques]</w:t>
      </w:r>
    </w:p>
    <w:p w14:paraId="3846ABA7" w14:textId="77777777" w:rsidR="00772179" w:rsidRDefault="00000000">
      <w:pPr>
        <w:jc w:val="both"/>
      </w:pPr>
      <w:r>
        <w:t>[NBN EN ISO 11600, Construction immobilière - Produits pour joints - Classification et exigences pour les mastics (ISO 11600:2002)]</w:t>
      </w:r>
    </w:p>
    <w:p w14:paraId="0A33F146" w14:textId="77777777" w:rsidR="00772179" w:rsidRDefault="00000000">
      <w:r>
        <w:t>[PTV 819-4, Prescriptions techniques pour classification des roches]</w:t>
      </w:r>
    </w:p>
    <w:p w14:paraId="05BBC879" w14:textId="77777777" w:rsidR="00772179" w:rsidRDefault="00000000">
      <w:r>
        <w:t>[EOTA TR001, Technical Report - Determination of impact resistance of panels and panels assemblies]</w:t>
      </w:r>
    </w:p>
    <w:p w14:paraId="10068CB9" w14:textId="77777777" w:rsidR="00772179" w:rsidRDefault="00000000">
      <w:r>
        <w:t>[CCT Qualiroutes, Cahier des charges type Qualiroutes] chapitre C28 Pierres naturelles</w:t>
      </w:r>
    </w:p>
    <w:p w14:paraId="6651429D" w14:textId="77777777" w:rsidR="00772179" w:rsidRDefault="00000000">
      <w:pPr>
        <w:pStyle w:val="pheading"/>
      </w:pPr>
      <w:r>
        <w:t>- Exécution</w:t>
      </w:r>
    </w:p>
    <w:p w14:paraId="56755DB8" w14:textId="77777777" w:rsidR="00772179" w:rsidRDefault="00000000">
      <w:r>
        <w:t>[Buildwise Article Dossier (2022/03.05), Vers de nouveaux systèmes d'ancrage des pierres naturelles en façade]</w:t>
      </w:r>
    </w:p>
    <w:p w14:paraId="6F995021" w14:textId="77777777" w:rsidR="00772179" w:rsidRDefault="00000000">
      <w:pPr>
        <w:pStyle w:val="pheading"/>
      </w:pPr>
      <w:r>
        <w:t>AIDE</w:t>
      </w:r>
    </w:p>
    <w:p w14:paraId="67A3FE98" w14:textId="77777777" w:rsidR="00772179" w:rsidRDefault="00000000">
      <w:pPr>
        <w:jc w:val="both"/>
      </w:pPr>
      <w:r>
        <w:t>Les effets du cintrage sont réduits en minimisant l’élancement des éléments : rapport longueur/largeur ≤ 3 .</w:t>
      </w:r>
    </w:p>
    <w:p w14:paraId="196AE9C2" w14:textId="77777777" w:rsidR="00772179" w:rsidRDefault="00000000">
      <w:pPr>
        <w:pStyle w:val="Author-eSectionHeading6Numberless"/>
      </w:pPr>
      <w:bookmarkStart w:id="769" w:name="_Toc220490456"/>
      <w:r>
        <w:t>43.26.1a Revêtements de façade rigides fixés mécaniquement - plaques en pierres naturelles CCTB 01.12</w:t>
      </w:r>
      <w:bookmarkEnd w:id="769"/>
    </w:p>
    <w:p w14:paraId="35967777" w14:textId="77777777" w:rsidR="00772179" w:rsidRDefault="00000000">
      <w:pPr>
        <w:pStyle w:val="pheading"/>
      </w:pPr>
      <w:r>
        <w:t>DESCRIPTION</w:t>
      </w:r>
    </w:p>
    <w:p w14:paraId="6871EEB7" w14:textId="77777777" w:rsidR="00772179" w:rsidRDefault="00000000">
      <w:pPr>
        <w:pStyle w:val="pheading"/>
      </w:pPr>
      <w:r>
        <w:t>- Définition / Comprend</w:t>
      </w:r>
    </w:p>
    <w:p w14:paraId="75DFBE31" w14:textId="77777777" w:rsidR="00772179" w:rsidRDefault="00000000">
      <w:pPr>
        <w:jc w:val="both"/>
      </w:pPr>
      <w:r>
        <w:t>Il s’agit de la fourniture et la pose de revêtements de façade rigides en plaques de pierres naturelles fixées mécaniquement.</w:t>
      </w:r>
    </w:p>
    <w:p w14:paraId="2390443B" w14:textId="77777777" w:rsidR="00772179" w:rsidRDefault="00000000">
      <w:pPr>
        <w:jc w:val="both"/>
      </w:pPr>
      <w:r>
        <w:t>La portée des travaux est décrite au </w:t>
      </w:r>
      <w:hyperlink w:anchor="984" w:history="1">
        <w:r>
          <w:rPr>
            <w:color w:val="0000EE"/>
          </w:rPr>
          <w:t>43.2 Revêtements de façade rigides fixés mécaniquement</w:t>
        </w:r>
      </w:hyperlink>
      <w:r>
        <w:t>.</w:t>
      </w:r>
    </w:p>
    <w:p w14:paraId="70964A98" w14:textId="77777777" w:rsidR="00772179" w:rsidRDefault="00000000">
      <w:pPr>
        <w:pStyle w:val="pheading"/>
      </w:pPr>
      <w:r>
        <w:t>MATÉRIAUX</w:t>
      </w:r>
    </w:p>
    <w:p w14:paraId="50B8AE24" w14:textId="77777777" w:rsidR="00772179" w:rsidRDefault="00000000">
      <w:pPr>
        <w:pStyle w:val="pheading"/>
      </w:pPr>
      <w:r>
        <w:t>- Caractéristiques générales</w:t>
      </w:r>
    </w:p>
    <w:p w14:paraId="57FD7DE8" w14:textId="77777777" w:rsidR="00772179" w:rsidRDefault="00000000">
      <w:pPr>
        <w:jc w:val="both"/>
      </w:pPr>
      <w:r>
        <w:rPr>
          <w:b/>
        </w:rPr>
        <w:t>Caractéristiques de la pierre</w:t>
      </w:r>
    </w:p>
    <w:p w14:paraId="32D41D86" w14:textId="77777777" w:rsidR="00772179" w:rsidRDefault="00772179">
      <w:pPr>
        <w:jc w:val="both"/>
      </w:pPr>
    </w:p>
    <w:p w14:paraId="0E7D7B45" w14:textId="77777777" w:rsidR="00772179" w:rsidRDefault="00000000">
      <w:pPr>
        <w:pStyle w:val="Author-eListParagraph"/>
        <w:numPr>
          <w:ilvl w:val="0"/>
          <w:numId w:val="994"/>
        </w:numPr>
      </w:pPr>
      <w:r>
        <w:t xml:space="preserve">Type de pierre – dénomination suivant [NBN EN 12440] : </w:t>
      </w:r>
      <w:r>
        <w:rPr>
          <w:rStyle w:val="optioncarChar"/>
        </w:rPr>
        <w:t>non spécifié (à proposer par l’entrepreneur et soumis à l’approbation de l’auteur de projet) / ***</w:t>
      </w:r>
    </w:p>
    <w:p w14:paraId="7EEEB485" w14:textId="77777777" w:rsidR="00772179" w:rsidRDefault="00000000">
      <w:pPr>
        <w:pStyle w:val="Author-eListParagraph"/>
        <w:numPr>
          <w:ilvl w:val="0"/>
          <w:numId w:val="994"/>
        </w:numPr>
      </w:pPr>
      <w:r>
        <w:t xml:space="preserve">Résistance au choc thermique : </w:t>
      </w:r>
      <w:r>
        <w:rPr>
          <w:rStyle w:val="optioncarChar"/>
        </w:rPr>
        <w:t xml:space="preserve">pierre </w:t>
      </w:r>
      <w:r>
        <w:t>(par défaut)</w:t>
      </w:r>
      <w:r>
        <w:rPr>
          <w:rStyle w:val="optioncarChar"/>
        </w:rPr>
        <w:t xml:space="preserve"> / marbre</w:t>
      </w:r>
    </w:p>
    <w:p w14:paraId="269043D6" w14:textId="77777777" w:rsidR="00772179" w:rsidRDefault="00000000">
      <w:pPr>
        <w:ind w:left="567"/>
        <w:jc w:val="both"/>
      </w:pPr>
      <w:r>
        <w:rPr>
          <w:b/>
        </w:rPr>
        <w:t>(soit par défaut)</w:t>
      </w:r>
    </w:p>
    <w:p w14:paraId="0787236A" w14:textId="77777777" w:rsidR="00772179" w:rsidRDefault="00000000">
      <w:pPr>
        <w:ind w:left="567"/>
        <w:jc w:val="both"/>
      </w:pPr>
      <w:r>
        <w:rPr>
          <w:rStyle w:val="soitChar"/>
          <w:u w:val="single"/>
        </w:rPr>
        <w:t>Pierre :</w:t>
      </w:r>
      <w:r>
        <w:rPr>
          <w:rStyle w:val="soitChar"/>
        </w:rPr>
        <w:t xml:space="preserve"> essai réalisé suivant [NBN EN 14066] : perte de module d’élasticité dynamique ≤ 20 % et perte de masse &lt; 1 %.</w:t>
      </w:r>
    </w:p>
    <w:p w14:paraId="66665599" w14:textId="77777777" w:rsidR="00772179" w:rsidRDefault="00000000">
      <w:pPr>
        <w:ind w:left="567"/>
        <w:jc w:val="both"/>
      </w:pPr>
      <w:r>
        <w:rPr>
          <w:b/>
        </w:rPr>
        <w:t>(soit)</w:t>
      </w:r>
    </w:p>
    <w:p w14:paraId="7EEEC258" w14:textId="77777777" w:rsidR="00772179" w:rsidRDefault="00000000">
      <w:pPr>
        <w:ind w:left="567"/>
        <w:jc w:val="both"/>
      </w:pPr>
      <w:r>
        <w:rPr>
          <w:rStyle w:val="soitChar"/>
          <w:u w:val="single"/>
        </w:rPr>
        <w:t>Marbre :</w:t>
      </w:r>
      <w:r>
        <w:rPr>
          <w:rStyle w:val="soitChar"/>
        </w:rPr>
        <w:t xml:space="preserve"> essai réalisé suivant [NBN EN 16306] : perte de module d’élasticité dynamique ≤ 20 % et perte de masse &lt; 1 %.</w:t>
      </w:r>
    </w:p>
    <w:p w14:paraId="28A29C29" w14:textId="77777777" w:rsidR="00772179" w:rsidRDefault="00000000">
      <w:pPr>
        <w:pStyle w:val="Author-eListParagraph"/>
        <w:numPr>
          <w:ilvl w:val="0"/>
          <w:numId w:val="995"/>
        </w:numPr>
      </w:pPr>
      <w:r>
        <w:t>Résistance aux ancrages [NBN EN 13364] : le rapport d’essai est joint à la note de calcul établie par l’entrepreneur pour déterminer le nombre d’ancrages.</w:t>
      </w:r>
    </w:p>
    <w:p w14:paraId="014DA3D8" w14:textId="77777777" w:rsidR="00772179" w:rsidRDefault="00000000">
      <w:pPr>
        <w:pStyle w:val="Author-eListParagraph"/>
        <w:numPr>
          <w:ilvl w:val="0"/>
          <w:numId w:val="995"/>
        </w:numPr>
      </w:pPr>
      <w:r>
        <w:t>Résistance à la rupture [EOTA TR001] : le rapport d’essai est joint à la note de calcul établie par l’entrepreneur.</w:t>
      </w:r>
    </w:p>
    <w:p w14:paraId="1A934BDF" w14:textId="77777777" w:rsidR="00772179" w:rsidRDefault="00000000">
      <w:pPr>
        <w:pStyle w:val="Author-eListParagraph"/>
        <w:numPr>
          <w:ilvl w:val="0"/>
          <w:numId w:val="995"/>
        </w:numPr>
      </w:pPr>
      <w:r>
        <w:t xml:space="preserve">Réaction au feu suivant </w:t>
      </w:r>
      <w:hyperlink w:anchor="382" w:history="1">
        <w:r>
          <w:rPr>
            <w:color w:val="0000EE"/>
          </w:rPr>
          <w:t>43 Revêtements de façade</w:t>
        </w:r>
      </w:hyperlink>
      <w:r>
        <w:t xml:space="preserve"> et [AR 1994-07-07] : </w:t>
      </w:r>
      <w:r>
        <w:rPr>
          <w:rStyle w:val="optioncarChar"/>
        </w:rPr>
        <w:t>A1 </w:t>
      </w:r>
      <w:r>
        <w:t>(par défaut)</w:t>
      </w:r>
      <w:r>
        <w:rPr>
          <w:rStyle w:val="optioncarChar"/>
        </w:rPr>
        <w:t> / ***</w:t>
      </w:r>
    </w:p>
    <w:p w14:paraId="1FD2588C" w14:textId="77777777" w:rsidR="00772179" w:rsidRDefault="00000000">
      <w:pPr>
        <w:pStyle w:val="Author-eListParagraph"/>
        <w:numPr>
          <w:ilvl w:val="0"/>
          <w:numId w:val="995"/>
        </w:numPr>
      </w:pPr>
      <w:r>
        <w:t xml:space="preserve">Résistance au feu : voir </w:t>
      </w:r>
      <w:hyperlink w:anchor="382" w:history="1">
        <w:r>
          <w:rPr>
            <w:color w:val="0000EE"/>
          </w:rPr>
          <w:t>43 Revêtements de façade</w:t>
        </w:r>
      </w:hyperlink>
      <w:r>
        <w:t xml:space="preserve"> et [AR 1994-07-07].</w:t>
      </w:r>
    </w:p>
    <w:p w14:paraId="639BAA1E" w14:textId="77777777" w:rsidR="00772179" w:rsidRDefault="00000000">
      <w:pPr>
        <w:pStyle w:val="Author-eListParagraph"/>
        <w:numPr>
          <w:ilvl w:val="0"/>
          <w:numId w:val="995"/>
        </w:numPr>
      </w:pPr>
      <w:r>
        <w:t xml:space="preserve">Résistance au gel suivant application : </w:t>
      </w:r>
      <w:r>
        <w:rPr>
          <w:rStyle w:val="optioncarChar"/>
        </w:rPr>
        <w:t xml:space="preserve">en façade courante </w:t>
      </w:r>
      <w:r>
        <w:t>(par défaut)</w:t>
      </w:r>
      <w:r>
        <w:rPr>
          <w:rStyle w:val="optioncarChar"/>
        </w:rPr>
        <w:t xml:space="preserve"> / en zone de plinthe</w:t>
      </w:r>
    </w:p>
    <w:p w14:paraId="65DA2C62" w14:textId="77777777" w:rsidR="00772179" w:rsidRDefault="00000000">
      <w:pPr>
        <w:ind w:left="567"/>
        <w:jc w:val="both"/>
      </w:pPr>
      <w:r>
        <w:rPr>
          <w:b/>
        </w:rPr>
        <w:t>(soit par défaut)</w:t>
      </w:r>
    </w:p>
    <w:p w14:paraId="7DE587E9" w14:textId="77777777" w:rsidR="00772179" w:rsidRDefault="00000000">
      <w:pPr>
        <w:ind w:left="567"/>
        <w:jc w:val="both"/>
      </w:pPr>
      <w:r>
        <w:rPr>
          <w:rStyle w:val="soitChar"/>
          <w:u w:val="single"/>
        </w:rPr>
        <w:t>En façade courante :</w:t>
      </w:r>
    </w:p>
    <w:p w14:paraId="699BED74" w14:textId="77777777" w:rsidR="00772179" w:rsidRDefault="00000000">
      <w:pPr>
        <w:pStyle w:val="Author-eListParagraph"/>
        <w:numPr>
          <w:ilvl w:val="0"/>
          <w:numId w:val="996"/>
        </w:numPr>
      </w:pPr>
      <w:r>
        <w:rPr>
          <w:rStyle w:val="soitChar"/>
        </w:rPr>
        <w:lastRenderedPageBreak/>
        <w:t>Résistance au gel suivant [NBN EN 12371] : NC ≥ 14</w:t>
      </w:r>
    </w:p>
    <w:p w14:paraId="1DF16611" w14:textId="77777777" w:rsidR="00772179" w:rsidRDefault="00000000">
      <w:pPr>
        <w:ind w:left="567"/>
        <w:jc w:val="both"/>
      </w:pPr>
      <w:r>
        <w:rPr>
          <w:b/>
        </w:rPr>
        <w:t>(soit)</w:t>
      </w:r>
    </w:p>
    <w:p w14:paraId="50E5555E" w14:textId="77777777" w:rsidR="00772179" w:rsidRDefault="00000000">
      <w:pPr>
        <w:ind w:left="567"/>
        <w:jc w:val="both"/>
      </w:pPr>
      <w:r>
        <w:rPr>
          <w:rStyle w:val="soitChar"/>
          <w:u w:val="single"/>
        </w:rPr>
        <w:t>En zone de plinthe :</w:t>
      </w:r>
    </w:p>
    <w:p w14:paraId="0908E406" w14:textId="77777777" w:rsidR="00772179" w:rsidRDefault="00000000">
      <w:pPr>
        <w:pStyle w:val="Author-eListParagraph"/>
        <w:numPr>
          <w:ilvl w:val="0"/>
          <w:numId w:val="997"/>
        </w:numPr>
      </w:pPr>
      <w:r>
        <w:rPr>
          <w:rStyle w:val="soitChar"/>
        </w:rPr>
        <w:t>Située à moins de 30 cm au-dessus du niveau du sol</w:t>
      </w:r>
    </w:p>
    <w:p w14:paraId="35206ABC" w14:textId="77777777" w:rsidR="00772179" w:rsidRDefault="00000000">
      <w:pPr>
        <w:pStyle w:val="Author-eListParagraph"/>
        <w:numPr>
          <w:ilvl w:val="0"/>
          <w:numId w:val="997"/>
        </w:numPr>
      </w:pPr>
      <w:r>
        <w:rPr>
          <w:rStyle w:val="soitChar"/>
        </w:rPr>
        <w:t>Résistance au gel suivant [NBN EN 12371] : NC ≥ 140</w:t>
      </w:r>
    </w:p>
    <w:p w14:paraId="37AB7CBF" w14:textId="77777777" w:rsidR="00772179" w:rsidRDefault="00000000">
      <w:pPr>
        <w:pStyle w:val="Author-eListParagraph"/>
        <w:numPr>
          <w:ilvl w:val="0"/>
          <w:numId w:val="997"/>
        </w:numPr>
      </w:pPr>
      <w:r>
        <w:rPr>
          <w:rStyle w:val="soitChar"/>
        </w:rPr>
        <w:t>Résistance à l’action combinée du gel et des sels de déverglaçage [CEN/TS 12390-9] </w:t>
      </w:r>
    </w:p>
    <w:p w14:paraId="48DD8C0B" w14:textId="77777777" w:rsidR="00772179" w:rsidRDefault="00000000">
      <w:pPr>
        <w:pStyle w:val="Author-eListParagraph"/>
        <w:numPr>
          <w:ilvl w:val="0"/>
          <w:numId w:val="998"/>
        </w:numPr>
      </w:pPr>
      <w:r>
        <w:t xml:space="preserve">Sensibilité au tâchage interne de type I suivant [NBN EN 16140] : </w:t>
      </w:r>
      <w:r>
        <w:rPr>
          <w:rStyle w:val="optioncarChar"/>
        </w:rPr>
        <w:t>T1</w:t>
      </w:r>
      <w:r>
        <w:t xml:space="preserve"> (par défaut)</w:t>
      </w:r>
      <w:r>
        <w:rPr>
          <w:rStyle w:val="optioncarChar"/>
        </w:rPr>
        <w:t xml:space="preserve"> / T2 / T3</w:t>
      </w:r>
    </w:p>
    <w:p w14:paraId="765267F8" w14:textId="77777777" w:rsidR="00772179" w:rsidRDefault="00000000">
      <w:pPr>
        <w:jc w:val="both"/>
      </w:pPr>
      <w:r>
        <w:rPr>
          <w:b/>
        </w:rPr>
        <w:t>Plaques</w:t>
      </w:r>
    </w:p>
    <w:p w14:paraId="526B9D76" w14:textId="77777777" w:rsidR="00772179" w:rsidRDefault="00000000">
      <w:pPr>
        <w:pStyle w:val="Author-eListParagraph"/>
        <w:numPr>
          <w:ilvl w:val="0"/>
          <w:numId w:val="999"/>
        </w:numPr>
      </w:pPr>
      <w:r>
        <w:t xml:space="preserve">Le calepinage est déterminé par : </w:t>
      </w:r>
      <w:r>
        <w:rPr>
          <w:rStyle w:val="optioncarChar"/>
        </w:rPr>
        <w:t xml:space="preserve">l’auteur de projet </w:t>
      </w:r>
      <w:r>
        <w:t>(par défaut)</w:t>
      </w:r>
      <w:r>
        <w:rPr>
          <w:rStyle w:val="optioncarChar"/>
        </w:rPr>
        <w:t xml:space="preserve"> / l’entreprise</w:t>
      </w:r>
    </w:p>
    <w:p w14:paraId="0584A830" w14:textId="77777777" w:rsidR="00772179" w:rsidRDefault="00000000">
      <w:pPr>
        <w:pStyle w:val="Author-eListParagraph"/>
        <w:numPr>
          <w:ilvl w:val="0"/>
          <w:numId w:val="999"/>
        </w:numPr>
      </w:pPr>
      <w:r>
        <w:t xml:space="preserve">Epaisseur :  </w:t>
      </w:r>
      <w:r>
        <w:rPr>
          <w:rStyle w:val="optioncarChar"/>
        </w:rPr>
        <w:t xml:space="preserve">20 / 30 </w:t>
      </w:r>
      <w:r>
        <w:t>(par défaut)</w:t>
      </w:r>
      <w:r>
        <w:rPr>
          <w:rStyle w:val="optioncarChar"/>
        </w:rPr>
        <w:t xml:space="preserve"> / 40 / ***</w:t>
      </w:r>
      <w:r>
        <w:t xml:space="preserve"> mm</w:t>
      </w:r>
    </w:p>
    <w:p w14:paraId="4D34F7A1" w14:textId="77777777" w:rsidR="00772179" w:rsidRDefault="00000000">
      <w:pPr>
        <w:pStyle w:val="Author-eListParagraph"/>
        <w:numPr>
          <w:ilvl w:val="0"/>
          <w:numId w:val="999"/>
        </w:numPr>
      </w:pPr>
      <w:r>
        <w:t>Dimensions (longueur l x largeur b) : </w:t>
      </w:r>
      <w:r>
        <w:rPr>
          <w:rStyle w:val="optioncarChar"/>
        </w:rPr>
        <w:t>suivant plan de calepinage</w:t>
      </w:r>
      <w:r>
        <w:t xml:space="preserve"> (par défaut) </w:t>
      </w:r>
      <w:r>
        <w:rPr>
          <w:rStyle w:val="optioncarChar"/>
        </w:rPr>
        <w:t>/ ***</w:t>
      </w:r>
    </w:p>
    <w:p w14:paraId="040CAC31" w14:textId="77777777" w:rsidR="00772179" w:rsidRDefault="00000000">
      <w:pPr>
        <w:pStyle w:val="Author-eListParagraph"/>
        <w:numPr>
          <w:ilvl w:val="0"/>
          <w:numId w:val="999"/>
        </w:numPr>
      </w:pPr>
      <w:r>
        <w:t xml:space="preserve">Calepinage suivant : </w:t>
      </w:r>
      <w:r>
        <w:rPr>
          <w:rStyle w:val="optioncarChar"/>
        </w:rPr>
        <w:t xml:space="preserve">plans réalisés par l’architecte </w:t>
      </w:r>
      <w:r>
        <w:t>(par défaut) </w:t>
      </w:r>
      <w:r>
        <w:rPr>
          <w:rStyle w:val="optioncarChar"/>
        </w:rPr>
        <w:t>/ plans à établir par l’entrepreneur / ***</w:t>
      </w:r>
    </w:p>
    <w:p w14:paraId="753678F6" w14:textId="77777777" w:rsidR="00772179" w:rsidRDefault="00000000">
      <w:pPr>
        <w:pStyle w:val="Author-eListParagraph"/>
        <w:numPr>
          <w:ilvl w:val="0"/>
          <w:numId w:val="999"/>
        </w:numPr>
      </w:pPr>
      <w:r>
        <w:t>Tolérances : conformes à la [NBN EN 1469]</w:t>
      </w:r>
    </w:p>
    <w:p w14:paraId="45CB792B" w14:textId="77777777" w:rsidR="00772179" w:rsidRDefault="00000000">
      <w:pPr>
        <w:jc w:val="both"/>
      </w:pPr>
      <w:r>
        <w:rPr>
          <w:b/>
        </w:rPr>
        <w:t>Pare-pluie :</w:t>
      </w:r>
      <w:r>
        <w:t xml:space="preserve">  </w:t>
      </w:r>
      <w:r>
        <w:rPr>
          <w:rStyle w:val="optioncarChar"/>
        </w:rPr>
        <w:t xml:space="preserve">non </w:t>
      </w:r>
      <w:r>
        <w:t>(par défaut)</w:t>
      </w:r>
      <w:r>
        <w:rPr>
          <w:rStyle w:val="optioncarChar"/>
        </w:rPr>
        <w:t xml:space="preserve"> / oui</w:t>
      </w:r>
    </w:p>
    <w:p w14:paraId="29F42D94" w14:textId="77777777" w:rsidR="00772179" w:rsidRDefault="00000000">
      <w:pPr>
        <w:jc w:val="both"/>
      </w:pPr>
      <w:r>
        <w:rPr>
          <w:b/>
        </w:rPr>
        <w:t>(soit par défaut)</w:t>
      </w:r>
    </w:p>
    <w:p w14:paraId="17856122" w14:textId="77777777" w:rsidR="00772179" w:rsidRDefault="00000000">
      <w:pPr>
        <w:jc w:val="both"/>
      </w:pPr>
      <w:r>
        <w:rPr>
          <w:rStyle w:val="soitChar"/>
          <w:u w:val="single"/>
        </w:rPr>
        <w:t>Non :</w:t>
      </w:r>
      <w:r>
        <w:rPr>
          <w:rStyle w:val="soitChar"/>
        </w:rPr>
        <w:t xml:space="preserve"> pas de pare-pluie</w:t>
      </w:r>
    </w:p>
    <w:p w14:paraId="72EC0B13" w14:textId="77777777" w:rsidR="00772179" w:rsidRDefault="00000000">
      <w:pPr>
        <w:jc w:val="both"/>
      </w:pPr>
      <w:r>
        <w:rPr>
          <w:b/>
        </w:rPr>
        <w:t>(soit)</w:t>
      </w:r>
    </w:p>
    <w:p w14:paraId="6471BACE" w14:textId="77777777" w:rsidR="00772179" w:rsidRDefault="00000000">
      <w:pPr>
        <w:jc w:val="both"/>
      </w:pPr>
      <w:r>
        <w:rPr>
          <w:rStyle w:val="soitChar"/>
          <w:u w:val="single"/>
        </w:rPr>
        <w:t>Oui :</w:t>
      </w:r>
      <w:r>
        <w:rPr>
          <w:rStyle w:val="soitChar"/>
        </w:rPr>
        <w:t xml:space="preserve"> pare-pluie posé sur l’ensemble de la surface de façade avec raccord aux baies tel que décrit sous suivant descriptif sous </w:t>
      </w:r>
      <w:hyperlink w:anchor="994" w:history="1">
        <w:r>
          <w:rPr>
            <w:rStyle w:val="soitChar"/>
            <w:color w:val="0000EE"/>
          </w:rPr>
          <w:t>44.13 Pare-pluie souples</w:t>
        </w:r>
      </w:hyperlink>
      <w:r>
        <w:rPr>
          <w:rStyle w:val="soitChar"/>
        </w:rPr>
        <w:t xml:space="preserve"> / </w:t>
      </w:r>
      <w:hyperlink w:anchor="995" w:history="1">
        <w:r>
          <w:rPr>
            <w:rStyle w:val="soitChar"/>
            <w:color w:val="0000EE"/>
          </w:rPr>
          <w:t>44.14 Pare-pluie rigides</w:t>
        </w:r>
      </w:hyperlink>
    </w:p>
    <w:p w14:paraId="7A18680B" w14:textId="77777777" w:rsidR="00772179" w:rsidRDefault="00000000">
      <w:pPr>
        <w:jc w:val="both"/>
      </w:pPr>
      <w:r>
        <w:rPr>
          <w:b/>
        </w:rPr>
        <w:t>Joints :</w:t>
      </w:r>
      <w:r>
        <w:t>  </w:t>
      </w:r>
      <w:r>
        <w:rPr>
          <w:rStyle w:val="optioncarChar"/>
        </w:rPr>
        <w:t xml:space="preserve">fermés </w:t>
      </w:r>
      <w:r>
        <w:t xml:space="preserve">(par défaut) </w:t>
      </w:r>
      <w:r>
        <w:rPr>
          <w:rStyle w:val="optioncarChar"/>
        </w:rPr>
        <w:t>/ ouverts</w:t>
      </w:r>
    </w:p>
    <w:p w14:paraId="155C6DD4" w14:textId="77777777" w:rsidR="00772179" w:rsidRDefault="00000000">
      <w:pPr>
        <w:jc w:val="both"/>
      </w:pPr>
      <w:r>
        <w:rPr>
          <w:b/>
        </w:rPr>
        <w:t>(soit par défaut)</w:t>
      </w:r>
    </w:p>
    <w:p w14:paraId="15EE0D00" w14:textId="77777777" w:rsidR="00772179" w:rsidRDefault="00000000">
      <w:pPr>
        <w:jc w:val="both"/>
      </w:pPr>
      <w:r>
        <w:rPr>
          <w:rStyle w:val="soitChar"/>
          <w:u w:val="single"/>
        </w:rPr>
        <w:t>Fermés :</w:t>
      </w:r>
    </w:p>
    <w:p w14:paraId="68756834" w14:textId="77777777" w:rsidR="00772179" w:rsidRDefault="00000000">
      <w:pPr>
        <w:pStyle w:val="Author-eListParagraph"/>
        <w:numPr>
          <w:ilvl w:val="0"/>
          <w:numId w:val="1000"/>
        </w:numPr>
      </w:pPr>
      <w:r>
        <w:rPr>
          <w:rStyle w:val="soitChar"/>
        </w:rPr>
        <w:t xml:space="preserve">Produit de jointoiement : suivant </w:t>
      </w:r>
      <w:hyperlink w:anchor="1000" w:history="1">
        <w:r>
          <w:rPr>
            <w:rStyle w:val="soitChar"/>
            <w:color w:val="0000EE"/>
          </w:rPr>
          <w:t>43.64.4 Joints d'étanchéité - systèmes étanches</w:t>
        </w:r>
      </w:hyperlink>
    </w:p>
    <w:p w14:paraId="7B2B7D5C" w14:textId="77777777" w:rsidR="00772179" w:rsidRDefault="00000000">
      <w:pPr>
        <w:pStyle w:val="Author-eListParagraph"/>
        <w:numPr>
          <w:ilvl w:val="0"/>
          <w:numId w:val="1000"/>
        </w:numPr>
      </w:pPr>
      <w:r>
        <w:rPr>
          <w:rStyle w:val="soitChar"/>
        </w:rPr>
        <w:t>Le produit de jointoiement répond aux spécifications de la [NBN EN ISO 11600] et des [STS 56.1].</w:t>
      </w:r>
    </w:p>
    <w:p w14:paraId="4E7536E5" w14:textId="77777777" w:rsidR="00772179" w:rsidRDefault="00000000">
      <w:pPr>
        <w:pStyle w:val="Author-eListParagraph"/>
        <w:numPr>
          <w:ilvl w:val="0"/>
          <w:numId w:val="1000"/>
        </w:numPr>
      </w:pPr>
      <w:r>
        <w:rPr>
          <w:rStyle w:val="soitChar"/>
        </w:rPr>
        <w:t>L’entreprise présente un rapport démontrant l’absence de tâchage des pierres.</w:t>
      </w:r>
    </w:p>
    <w:p w14:paraId="01C7CE6E" w14:textId="77777777" w:rsidR="00772179" w:rsidRDefault="00000000">
      <w:pPr>
        <w:jc w:val="both"/>
      </w:pPr>
      <w:r>
        <w:rPr>
          <w:b/>
        </w:rPr>
        <w:t>(soit)</w:t>
      </w:r>
    </w:p>
    <w:p w14:paraId="69470044" w14:textId="77777777" w:rsidR="00772179" w:rsidRDefault="00000000">
      <w:pPr>
        <w:jc w:val="both"/>
      </w:pPr>
      <w:r>
        <w:rPr>
          <w:rStyle w:val="soitChar"/>
          <w:u w:val="single"/>
        </w:rPr>
        <w:t>Ouverts :</w:t>
      </w:r>
      <w:r>
        <w:rPr>
          <w:rStyle w:val="soitChar"/>
        </w:rPr>
        <w:t xml:space="preserve"> pas de joint</w:t>
      </w:r>
    </w:p>
    <w:p w14:paraId="63E21449" w14:textId="77777777" w:rsidR="00772179" w:rsidRDefault="00000000">
      <w:pPr>
        <w:pStyle w:val="pheading"/>
      </w:pPr>
      <w:r>
        <w:t>- Finitions</w:t>
      </w:r>
    </w:p>
    <w:p w14:paraId="73310E5B" w14:textId="77777777" w:rsidR="00772179" w:rsidRDefault="00000000">
      <w:pPr>
        <w:pStyle w:val="Author-eListParagraph"/>
        <w:numPr>
          <w:ilvl w:val="0"/>
          <w:numId w:val="1001"/>
        </w:numPr>
        <w:jc w:val="both"/>
      </w:pPr>
      <w:r>
        <w:t xml:space="preserve">Faces vues : </w:t>
      </w:r>
      <w:r>
        <w:rPr>
          <w:rStyle w:val="optioncarChar"/>
        </w:rPr>
        <w:t>adoucie</w:t>
      </w:r>
      <w:r>
        <w:t xml:space="preserve"> (par défaut)</w:t>
      </w:r>
      <w:r>
        <w:rPr>
          <w:rStyle w:val="optioncarChar"/>
        </w:rPr>
        <w:t xml:space="preserve"> / polie / ciselée / clivée / ***</w:t>
      </w:r>
    </w:p>
    <w:p w14:paraId="3C00B118" w14:textId="77777777" w:rsidR="00772179" w:rsidRDefault="00000000">
      <w:pPr>
        <w:pStyle w:val="Author-eListParagraph"/>
        <w:numPr>
          <w:ilvl w:val="0"/>
          <w:numId w:val="1001"/>
        </w:numPr>
        <w:jc w:val="both"/>
      </w:pPr>
      <w:r>
        <w:t xml:space="preserve">Raccords entre pierres aux angles :  </w:t>
      </w:r>
      <w:r>
        <w:rPr>
          <w:rStyle w:val="optioncarChar"/>
        </w:rPr>
        <w:t>coupe à onglet avec un chanfrein</w:t>
      </w:r>
      <w:r>
        <w:t xml:space="preserve"> (par défaut)</w:t>
      </w:r>
      <w:r>
        <w:rPr>
          <w:rStyle w:val="optioncarChar"/>
        </w:rPr>
        <w:t xml:space="preserve"> / ***</w:t>
      </w:r>
    </w:p>
    <w:p w14:paraId="0196BF43" w14:textId="77777777" w:rsidR="00772179" w:rsidRDefault="00000000">
      <w:pPr>
        <w:pStyle w:val="Author-eListParagraph"/>
        <w:numPr>
          <w:ilvl w:val="0"/>
          <w:numId w:val="1001"/>
        </w:numPr>
        <w:jc w:val="both"/>
      </w:pPr>
      <w:r>
        <w:t>Teinte des joints au choix de l’auteur de projet dans toute la gamme du fabricant sur base d’échantillons réalisés in situ</w:t>
      </w:r>
    </w:p>
    <w:p w14:paraId="0F342324" w14:textId="77777777" w:rsidR="00772179" w:rsidRDefault="00000000">
      <w:pPr>
        <w:pStyle w:val="pheading"/>
      </w:pPr>
      <w:r>
        <w:t>EXÉCUTION / MISE EN ŒUVRE</w:t>
      </w:r>
    </w:p>
    <w:p w14:paraId="5E34DF97" w14:textId="77777777" w:rsidR="00772179" w:rsidRDefault="00000000">
      <w:pPr>
        <w:pStyle w:val="pheading"/>
      </w:pPr>
      <w:r>
        <w:t>- Prescriptions générales</w:t>
      </w:r>
    </w:p>
    <w:p w14:paraId="2D727C16" w14:textId="77777777" w:rsidR="00772179" w:rsidRDefault="00000000">
      <w:pPr>
        <w:jc w:val="both"/>
      </w:pPr>
      <w:r>
        <w:t xml:space="preserve">Calcul statique de la façade à charge de </w:t>
      </w:r>
      <w:r>
        <w:rPr>
          <w:rStyle w:val="optioncarChar"/>
        </w:rPr>
        <w:t xml:space="preserve">l’entrepreneur </w:t>
      </w:r>
      <w:r>
        <w:t>(par défaut)</w:t>
      </w:r>
      <w:r>
        <w:rPr>
          <w:rStyle w:val="optioncarChar"/>
        </w:rPr>
        <w:t xml:space="preserve"> / l'auteur de projet.</w:t>
      </w:r>
    </w:p>
    <w:p w14:paraId="1C0F1A15" w14:textId="77777777" w:rsidR="00772179" w:rsidRDefault="00000000">
      <w:pPr>
        <w:jc w:val="both"/>
      </w:pPr>
      <w:r>
        <w:t>En cas d’isolation, l’entrepreneur soumet le procédé d’exécution respectant la prescription du niveau d’isolation pour accord à la direction de chantier.</w:t>
      </w:r>
    </w:p>
    <w:p w14:paraId="0A68530D" w14:textId="77777777" w:rsidR="00772179" w:rsidRDefault="00000000">
      <w:pPr>
        <w:jc w:val="both"/>
      </w:pPr>
      <w:r>
        <w:t>L’entrepreneur établit la note de calcul déterminant la structure éventuelle ainsi que le type et le nombre d’ancrages. Le rapport d’essai de résistance aux ancrages [NBN EN 13364] est joint à la note de calcul.</w:t>
      </w:r>
    </w:p>
    <w:p w14:paraId="5F46CEC5" w14:textId="77777777" w:rsidR="00772179" w:rsidRDefault="00000000">
      <w:pPr>
        <w:jc w:val="both"/>
      </w:pPr>
      <w:r>
        <w:t xml:space="preserve">Le plan de calepinage est établi par </w:t>
      </w:r>
      <w:r>
        <w:rPr>
          <w:rStyle w:val="optioncarChar"/>
        </w:rPr>
        <w:t xml:space="preserve">l’auteur de projet </w:t>
      </w:r>
      <w:r>
        <w:t>(par défaut)</w:t>
      </w:r>
      <w:r>
        <w:rPr>
          <w:rStyle w:val="optioncarChar"/>
        </w:rPr>
        <w:t xml:space="preserve"> / l'entrepreneur</w:t>
      </w:r>
    </w:p>
    <w:p w14:paraId="3A774C7C" w14:textId="77777777" w:rsidR="00772179" w:rsidRDefault="00000000">
      <w:pPr>
        <w:jc w:val="both"/>
      </w:pPr>
      <w:r>
        <w:t>Le plan de calepinage comporte la position des joints de mouvement et de dilatation.</w:t>
      </w:r>
    </w:p>
    <w:p w14:paraId="0DBE00A0" w14:textId="77777777" w:rsidR="00772179" w:rsidRDefault="00000000">
      <w:pPr>
        <w:jc w:val="both"/>
      </w:pPr>
      <w:r>
        <w:lastRenderedPageBreak/>
        <w:t xml:space="preserve">La fixation sur la paroi portante est : </w:t>
      </w:r>
      <w:r>
        <w:rPr>
          <w:rStyle w:val="optioncarChar"/>
        </w:rPr>
        <w:t>directe</w:t>
      </w:r>
      <w:r>
        <w:t xml:space="preserve"> (par défaut)</w:t>
      </w:r>
      <w:r>
        <w:rPr>
          <w:rStyle w:val="optioncarChar"/>
        </w:rPr>
        <w:t xml:space="preserve"> / avec structure secondaire </w:t>
      </w:r>
    </w:p>
    <w:p w14:paraId="4D2AA9DB" w14:textId="77777777" w:rsidR="00772179" w:rsidRDefault="00000000">
      <w:pPr>
        <w:jc w:val="both"/>
      </w:pPr>
      <w:r>
        <w:rPr>
          <w:b/>
        </w:rPr>
        <w:t>(soit par défaut)</w:t>
      </w:r>
    </w:p>
    <w:p w14:paraId="78C30515" w14:textId="77777777" w:rsidR="00772179" w:rsidRDefault="00000000">
      <w:pPr>
        <w:jc w:val="both"/>
      </w:pPr>
      <w:r>
        <w:rPr>
          <w:rStyle w:val="soitChar"/>
          <w:u w:val="single"/>
        </w:rPr>
        <w:t>Directe :</w:t>
      </w:r>
    </w:p>
    <w:p w14:paraId="6CA6DE41" w14:textId="77777777" w:rsidR="00772179" w:rsidRDefault="00000000">
      <w:pPr>
        <w:pStyle w:val="Author-eListParagraph"/>
        <w:numPr>
          <w:ilvl w:val="0"/>
          <w:numId w:val="1002"/>
        </w:numPr>
      </w:pPr>
      <w:r>
        <w:rPr>
          <w:rStyle w:val="soitChar"/>
        </w:rPr>
        <w:t>Isolation suivant 26.4 Isolation.</w:t>
      </w:r>
    </w:p>
    <w:p w14:paraId="58A9458B" w14:textId="77777777" w:rsidR="00772179" w:rsidRDefault="00000000">
      <w:pPr>
        <w:pStyle w:val="Author-eListParagraph"/>
        <w:numPr>
          <w:ilvl w:val="0"/>
          <w:numId w:val="1002"/>
        </w:numPr>
      </w:pPr>
      <w:r>
        <w:rPr>
          <w:rStyle w:val="soitChar"/>
        </w:rPr>
        <w:t xml:space="preserve">Description et/ou valeur Uparoi à atteindre : </w:t>
      </w:r>
      <w:r>
        <w:rPr>
          <w:rStyle w:val="optioncarChar"/>
        </w:rPr>
        <w:t>***.</w:t>
      </w:r>
    </w:p>
    <w:p w14:paraId="70DDCEEB" w14:textId="77777777" w:rsidR="00772179" w:rsidRDefault="00000000">
      <w:pPr>
        <w:jc w:val="both"/>
      </w:pPr>
      <w:r>
        <w:rPr>
          <w:b/>
        </w:rPr>
        <w:t>(soit)</w:t>
      </w:r>
    </w:p>
    <w:p w14:paraId="0857FD05" w14:textId="77777777" w:rsidR="00772179" w:rsidRDefault="00000000">
      <w:pPr>
        <w:jc w:val="both"/>
      </w:pPr>
      <w:r>
        <w:rPr>
          <w:rStyle w:val="soitChar"/>
          <w:u w:val="single"/>
        </w:rPr>
        <w:t>Avec structure secondaire :</w:t>
      </w:r>
    </w:p>
    <w:p w14:paraId="32924ECE" w14:textId="77777777" w:rsidR="00772179" w:rsidRDefault="00000000">
      <w:pPr>
        <w:pStyle w:val="Author-eListParagraph"/>
        <w:numPr>
          <w:ilvl w:val="0"/>
          <w:numId w:val="1003"/>
        </w:numPr>
      </w:pPr>
      <w:r>
        <w:rPr>
          <w:rStyle w:val="soitChar"/>
        </w:rPr>
        <w:t xml:space="preserve">La fourniture et le montage des structures secondaires prescrites en métal tel que décrit au </w:t>
      </w:r>
      <w:hyperlink w:anchor="993" w:history="1">
        <w:r>
          <w:rPr>
            <w:rStyle w:val="soitChar"/>
            <w:color w:val="0000EE"/>
          </w:rPr>
          <w:t>43.11.2 Profilés de support continu métallique du revêtement de façade</w:t>
        </w:r>
      </w:hyperlink>
      <w:r>
        <w:rPr>
          <w:rStyle w:val="soitChar"/>
        </w:rPr>
        <w:t xml:space="preserve"> et suivants, y compris tous les éléments d'assemblage et/ou d'ancrage ;</w:t>
      </w:r>
    </w:p>
    <w:p w14:paraId="31E61233" w14:textId="77777777" w:rsidR="00772179" w:rsidRDefault="00000000">
      <w:pPr>
        <w:pStyle w:val="Author-eListParagraph"/>
        <w:numPr>
          <w:ilvl w:val="0"/>
          <w:numId w:val="1003"/>
        </w:numPr>
      </w:pPr>
      <w:r>
        <w:rPr>
          <w:rStyle w:val="soitChar"/>
        </w:rPr>
        <w:t xml:space="preserve">Isolation suivant descriptif au 26.4 Isolation, </w:t>
      </w:r>
      <w:r>
        <w:rPr>
          <w:rStyle w:val="optioncarChar"/>
        </w:rPr>
        <w:t xml:space="preserve">en continu </w:t>
      </w:r>
      <w:r>
        <w:t xml:space="preserve">(par défaut) </w:t>
      </w:r>
      <w:r>
        <w:rPr>
          <w:rStyle w:val="optioncarChar"/>
        </w:rPr>
        <w:t>/ entre montants de la structure</w:t>
      </w:r>
    </w:p>
    <w:p w14:paraId="6254EE70" w14:textId="77777777" w:rsidR="00772179" w:rsidRDefault="00000000">
      <w:pPr>
        <w:pStyle w:val="Author-eListParagraph"/>
        <w:numPr>
          <w:ilvl w:val="0"/>
          <w:numId w:val="1003"/>
        </w:numPr>
      </w:pPr>
      <w:r>
        <w:rPr>
          <w:rStyle w:val="soitChar"/>
        </w:rPr>
        <w:t>Description et/ou valeur U</w:t>
      </w:r>
      <w:r>
        <w:rPr>
          <w:rStyle w:val="soitChar"/>
          <w:vertAlign w:val="subscript"/>
        </w:rPr>
        <w:t>paroi</w:t>
      </w:r>
      <w:r>
        <w:rPr>
          <w:rStyle w:val="soitChar"/>
        </w:rPr>
        <w:t xml:space="preserve">  à atteindre : </w:t>
      </w:r>
      <w:r>
        <w:rPr>
          <w:rStyle w:val="optioncarChar"/>
        </w:rPr>
        <w:t>***</w:t>
      </w:r>
      <w:r>
        <w:rPr>
          <w:rStyle w:val="soitChar"/>
        </w:rPr>
        <w:t>.</w:t>
      </w:r>
      <w:r>
        <w:t> </w:t>
      </w:r>
    </w:p>
    <w:p w14:paraId="6F4C3C91" w14:textId="77777777" w:rsidR="00772179" w:rsidRDefault="00000000">
      <w:pPr>
        <w:jc w:val="both"/>
      </w:pPr>
      <w:r>
        <w:t xml:space="preserve">La fixation est réalisée : </w:t>
      </w:r>
      <w:r>
        <w:rPr>
          <w:rStyle w:val="optioncarChar"/>
        </w:rPr>
        <w:t xml:space="preserve">au moyen d’attaches individuelles </w:t>
      </w:r>
      <w:r>
        <w:t xml:space="preserve">(par défaut) </w:t>
      </w:r>
      <w:r>
        <w:rPr>
          <w:rStyle w:val="optioncarChar"/>
        </w:rPr>
        <w:t>/ au moyen d’attaches fixées sur rails en forme de U / sur chants rainurés des pierres fixées sur rails</w:t>
      </w:r>
    </w:p>
    <w:p w14:paraId="5ABC6682" w14:textId="77777777" w:rsidR="00772179" w:rsidRDefault="00000000">
      <w:pPr>
        <w:jc w:val="both"/>
      </w:pPr>
      <w:r>
        <w:rPr>
          <w:b/>
        </w:rPr>
        <w:t>(soit par défaut)</w:t>
      </w:r>
    </w:p>
    <w:p w14:paraId="08B56F5C" w14:textId="77777777" w:rsidR="00772179" w:rsidRDefault="00000000">
      <w:pPr>
        <w:jc w:val="both"/>
      </w:pPr>
      <w:r>
        <w:rPr>
          <w:rStyle w:val="soitChar"/>
          <w:u w:val="single"/>
        </w:rPr>
        <w:t>Au moyen d’attaches individuels :</w:t>
      </w:r>
    </w:p>
    <w:p w14:paraId="337DBFA4" w14:textId="77777777" w:rsidR="00772179" w:rsidRDefault="00000000">
      <w:pPr>
        <w:pStyle w:val="Author-eListParagraph"/>
        <w:numPr>
          <w:ilvl w:val="0"/>
          <w:numId w:val="1004"/>
        </w:numPr>
      </w:pPr>
      <w:r>
        <w:rPr>
          <w:rStyle w:val="soitChar"/>
        </w:rPr>
        <w:t xml:space="preserve">Matériau : </w:t>
      </w:r>
      <w:r>
        <w:rPr>
          <w:rStyle w:val="optioncarChar"/>
        </w:rPr>
        <w:t xml:space="preserve">acier inoxydable </w:t>
      </w:r>
      <w:r>
        <w:t>(par défaut)</w:t>
      </w:r>
      <w:r>
        <w:rPr>
          <w:rStyle w:val="optioncarChar"/>
        </w:rPr>
        <w:t xml:space="preserve"> / ***</w:t>
      </w:r>
    </w:p>
    <w:p w14:paraId="7A2DB849" w14:textId="77777777" w:rsidR="00772179" w:rsidRDefault="00000000">
      <w:pPr>
        <w:pStyle w:val="Author-eListParagraph"/>
        <w:numPr>
          <w:ilvl w:val="0"/>
          <w:numId w:val="1004"/>
        </w:numPr>
      </w:pPr>
      <w:r>
        <w:rPr>
          <w:rStyle w:val="soitChar"/>
        </w:rPr>
        <w:t>Ancrages réglables dans les 3 directions, adaptées à la distance par rapport à la paroi portante.</w:t>
      </w:r>
    </w:p>
    <w:p w14:paraId="4703D430" w14:textId="77777777" w:rsidR="00772179" w:rsidRDefault="00000000">
      <w:pPr>
        <w:pStyle w:val="Author-eListParagraph"/>
        <w:numPr>
          <w:ilvl w:val="0"/>
          <w:numId w:val="1004"/>
        </w:numPr>
      </w:pPr>
      <w:r>
        <w:rPr>
          <w:rStyle w:val="soitChar"/>
        </w:rPr>
        <w:t xml:space="preserve">Fixation dans le joint </w:t>
      </w:r>
      <w:r>
        <w:rPr>
          <w:rStyle w:val="optioncarChar"/>
        </w:rPr>
        <w:t>horizontal</w:t>
      </w:r>
      <w:r>
        <w:t xml:space="preserve"> (par défaut)</w:t>
      </w:r>
      <w:r>
        <w:rPr>
          <w:rStyle w:val="optioncarChar"/>
        </w:rPr>
        <w:t xml:space="preserve"> / vertical</w:t>
      </w:r>
    </w:p>
    <w:p w14:paraId="78EFFF17" w14:textId="77777777" w:rsidR="00772179" w:rsidRDefault="00000000">
      <w:pPr>
        <w:pStyle w:val="Author-eListParagraph"/>
        <w:numPr>
          <w:ilvl w:val="0"/>
          <w:numId w:val="1004"/>
        </w:numPr>
      </w:pPr>
      <w:r>
        <w:rPr>
          <w:rStyle w:val="soitChar"/>
        </w:rPr>
        <w:t xml:space="preserve">Des ancrages porteurs sont placés à chaque élément : </w:t>
      </w:r>
      <w:r>
        <w:rPr>
          <w:rStyle w:val="optioncarChar"/>
        </w:rPr>
        <w:t xml:space="preserve">oui </w:t>
      </w:r>
      <w:r>
        <w:t>(par défaut)</w:t>
      </w:r>
      <w:r>
        <w:rPr>
          <w:rStyle w:val="optioncarChar"/>
        </w:rPr>
        <w:t xml:space="preserve"> / non</w:t>
      </w:r>
    </w:p>
    <w:p w14:paraId="2A1A0467" w14:textId="77777777" w:rsidR="00772179" w:rsidRDefault="00000000">
      <w:pPr>
        <w:jc w:val="both"/>
      </w:pPr>
      <w:r>
        <w:rPr>
          <w:b/>
        </w:rPr>
        <w:t>(soit)</w:t>
      </w:r>
    </w:p>
    <w:p w14:paraId="43279E63" w14:textId="77777777" w:rsidR="00772179" w:rsidRDefault="00000000">
      <w:pPr>
        <w:jc w:val="both"/>
      </w:pPr>
      <w:r>
        <w:rPr>
          <w:rStyle w:val="soitChar"/>
          <w:u w:val="single"/>
        </w:rPr>
        <w:t>Au moyen d'attaches fixées sur rails en forme de U :</w:t>
      </w:r>
    </w:p>
    <w:p w14:paraId="61F413EE" w14:textId="77777777" w:rsidR="00772179" w:rsidRDefault="00000000">
      <w:pPr>
        <w:pStyle w:val="Author-eListParagraph"/>
        <w:numPr>
          <w:ilvl w:val="0"/>
          <w:numId w:val="1005"/>
        </w:numPr>
      </w:pPr>
      <w:r>
        <w:rPr>
          <w:rStyle w:val="soitChar"/>
        </w:rPr>
        <w:t xml:space="preserve">Matériau : </w:t>
      </w:r>
      <w:r>
        <w:rPr>
          <w:rStyle w:val="optioncarChar"/>
        </w:rPr>
        <w:t xml:space="preserve">aluminium </w:t>
      </w:r>
      <w:r>
        <w:t>(par défaut)</w:t>
      </w:r>
      <w:r>
        <w:rPr>
          <w:rStyle w:val="optioncarChar"/>
        </w:rPr>
        <w:t xml:space="preserve"> / acier inoxydable / ***</w:t>
      </w:r>
    </w:p>
    <w:p w14:paraId="6BAD74BD" w14:textId="77777777" w:rsidR="00772179" w:rsidRDefault="00000000">
      <w:pPr>
        <w:pStyle w:val="Author-eListParagraph"/>
        <w:numPr>
          <w:ilvl w:val="0"/>
          <w:numId w:val="1005"/>
        </w:numPr>
      </w:pPr>
      <w:r>
        <w:rPr>
          <w:rStyle w:val="soitChar"/>
        </w:rPr>
        <w:t>Le rail est fixé au moyen de consoles réglables en acier inoxydable avec interposition d’un matériau de rupture thermique au contact avec la paroi portante.</w:t>
      </w:r>
    </w:p>
    <w:p w14:paraId="78646A59" w14:textId="77777777" w:rsidR="00772179" w:rsidRDefault="00000000">
      <w:pPr>
        <w:pStyle w:val="Author-eListParagraph"/>
        <w:numPr>
          <w:ilvl w:val="0"/>
          <w:numId w:val="1005"/>
        </w:numPr>
      </w:pPr>
      <w:r>
        <w:rPr>
          <w:rStyle w:val="soitChar"/>
        </w:rPr>
        <w:t>Les ancrages sont fixés dans le rail</w:t>
      </w:r>
    </w:p>
    <w:p w14:paraId="3F50C38E" w14:textId="77777777" w:rsidR="00772179" w:rsidRDefault="00000000">
      <w:pPr>
        <w:pStyle w:val="Author-eListParagraph"/>
        <w:numPr>
          <w:ilvl w:val="0"/>
          <w:numId w:val="1005"/>
        </w:numPr>
      </w:pPr>
      <w:r>
        <w:rPr>
          <w:rStyle w:val="soitChar"/>
        </w:rPr>
        <w:t xml:space="preserve">Fixation dans le joint </w:t>
      </w:r>
      <w:r>
        <w:rPr>
          <w:rStyle w:val="optioncarChar"/>
        </w:rPr>
        <w:t xml:space="preserve">horizontal </w:t>
      </w:r>
      <w:r>
        <w:t>(par défaut)</w:t>
      </w:r>
      <w:r>
        <w:rPr>
          <w:rStyle w:val="optioncarChar"/>
        </w:rPr>
        <w:t xml:space="preserve"> / vertical</w:t>
      </w:r>
    </w:p>
    <w:p w14:paraId="186AF5BB" w14:textId="77777777" w:rsidR="00772179" w:rsidRDefault="00000000">
      <w:pPr>
        <w:jc w:val="both"/>
      </w:pPr>
      <w:r>
        <w:rPr>
          <w:b/>
        </w:rPr>
        <w:t>(soit)</w:t>
      </w:r>
    </w:p>
    <w:p w14:paraId="5A61C3ED" w14:textId="77777777" w:rsidR="00772179" w:rsidRDefault="00000000">
      <w:pPr>
        <w:jc w:val="both"/>
      </w:pPr>
      <w:r>
        <w:rPr>
          <w:rStyle w:val="soitChar"/>
          <w:u w:val="single"/>
        </w:rPr>
        <w:t>Sur chants rainurés des pierres fixées sur rails :</w:t>
      </w:r>
    </w:p>
    <w:p w14:paraId="73A62F64" w14:textId="77777777" w:rsidR="00772179" w:rsidRDefault="00000000">
      <w:pPr>
        <w:pStyle w:val="Author-eListParagraph"/>
        <w:numPr>
          <w:ilvl w:val="0"/>
          <w:numId w:val="1006"/>
        </w:numPr>
      </w:pPr>
      <w:r>
        <w:rPr>
          <w:rStyle w:val="soitChar"/>
        </w:rPr>
        <w:t xml:space="preserve">Matériau : </w:t>
      </w:r>
      <w:r>
        <w:rPr>
          <w:rStyle w:val="optioncarChar"/>
        </w:rPr>
        <w:t>acier inoxydable / aluminium</w:t>
      </w:r>
    </w:p>
    <w:p w14:paraId="4974F66E" w14:textId="77777777" w:rsidR="00772179" w:rsidRDefault="00000000">
      <w:pPr>
        <w:pStyle w:val="Author-eListParagraph"/>
        <w:numPr>
          <w:ilvl w:val="0"/>
          <w:numId w:val="1006"/>
        </w:numPr>
      </w:pPr>
      <w:r>
        <w:rPr>
          <w:rStyle w:val="soitChar"/>
        </w:rPr>
        <w:t xml:space="preserve">Le rail est fixé : </w:t>
      </w:r>
      <w:r>
        <w:rPr>
          <w:rStyle w:val="optioncarChar"/>
        </w:rPr>
        <w:t xml:space="preserve">au moyen de consoles réglables en acier inoxydable avec interposition d’un matériau de rupture thermique au contact avec la paroi portante </w:t>
      </w:r>
      <w:r>
        <w:t>(par défaut)</w:t>
      </w:r>
      <w:r>
        <w:rPr>
          <w:rStyle w:val="optioncarChar"/>
        </w:rPr>
        <w:t xml:space="preserve"> / sur ossature intermédiaire.</w:t>
      </w:r>
    </w:p>
    <w:p w14:paraId="271EB167" w14:textId="77777777" w:rsidR="00772179" w:rsidRDefault="00000000">
      <w:pPr>
        <w:pStyle w:val="Author-eListParagraph"/>
        <w:numPr>
          <w:ilvl w:val="0"/>
          <w:numId w:val="1006"/>
        </w:numPr>
      </w:pPr>
      <w:r>
        <w:rPr>
          <w:rStyle w:val="soitChar"/>
        </w:rPr>
        <w:t>Les clips d’ancrage sont fixés au rail et s’insèrent dans la rainure du chant des pierres, la note de calcul établie par l’entreprise précise le nombre et le type en fonction des dimensions des pierres.</w:t>
      </w:r>
      <w:r>
        <w:br/>
      </w:r>
    </w:p>
    <w:p w14:paraId="5F889548" w14:textId="77777777" w:rsidR="00772179" w:rsidRDefault="00000000">
      <w:pPr>
        <w:jc w:val="both"/>
      </w:pPr>
      <w:r>
        <w:t xml:space="preserve">Largeur des joints horizontaux ≤ : </w:t>
      </w:r>
      <w:r>
        <w:rPr>
          <w:rStyle w:val="optioncarChar"/>
        </w:rPr>
        <w:t xml:space="preserve">8 </w:t>
      </w:r>
      <w:r>
        <w:t xml:space="preserve">(par défaut) </w:t>
      </w:r>
      <w:r>
        <w:rPr>
          <w:rStyle w:val="optioncarChar"/>
        </w:rPr>
        <w:t>/ 5 / ***</w:t>
      </w:r>
      <w:r>
        <w:t xml:space="preserve"> mm</w:t>
      </w:r>
    </w:p>
    <w:p w14:paraId="15D3D555" w14:textId="77777777" w:rsidR="00772179" w:rsidRDefault="00000000">
      <w:pPr>
        <w:jc w:val="both"/>
      </w:pPr>
      <w:r>
        <w:t xml:space="preserve">Largeur des joints verticaux ≤ : </w:t>
      </w:r>
      <w:r>
        <w:rPr>
          <w:rStyle w:val="optioncarChar"/>
        </w:rPr>
        <w:t xml:space="preserve">8 </w:t>
      </w:r>
      <w:r>
        <w:t xml:space="preserve">(par défaut) </w:t>
      </w:r>
      <w:r>
        <w:rPr>
          <w:rStyle w:val="optioncarChar"/>
        </w:rPr>
        <w:t>/ 2 / 5 / ***</w:t>
      </w:r>
      <w:r>
        <w:t xml:space="preserve"> mm </w:t>
      </w:r>
    </w:p>
    <w:p w14:paraId="7AABE01D" w14:textId="77777777" w:rsidR="00772179" w:rsidRDefault="00000000">
      <w:pPr>
        <w:jc w:val="both"/>
      </w:pPr>
      <w:r>
        <w:t xml:space="preserve">Joints courants : </w:t>
      </w:r>
      <w:r>
        <w:rPr>
          <w:rStyle w:val="optioncarChar"/>
        </w:rPr>
        <w:t>fermés</w:t>
      </w:r>
      <w:r>
        <w:t xml:space="preserve"> (par défaut)</w:t>
      </w:r>
      <w:r>
        <w:rPr>
          <w:rStyle w:val="optioncarChar"/>
        </w:rPr>
        <w:t xml:space="preserve"> / ouverts</w:t>
      </w:r>
    </w:p>
    <w:p w14:paraId="2EC1A841" w14:textId="77777777" w:rsidR="00772179" w:rsidRDefault="00000000">
      <w:pPr>
        <w:jc w:val="both"/>
      </w:pPr>
      <w:r>
        <w:rPr>
          <w:b/>
        </w:rPr>
        <w:t>(soit par défaut)</w:t>
      </w:r>
    </w:p>
    <w:p w14:paraId="566098DC" w14:textId="77777777" w:rsidR="00772179" w:rsidRDefault="00000000">
      <w:pPr>
        <w:jc w:val="both"/>
      </w:pPr>
      <w:r>
        <w:rPr>
          <w:rStyle w:val="soitChar"/>
          <w:u w:val="single"/>
        </w:rPr>
        <w:t>Fermés :</w:t>
      </w:r>
    </w:p>
    <w:p w14:paraId="52D50231" w14:textId="77777777" w:rsidR="00772179" w:rsidRDefault="00000000">
      <w:pPr>
        <w:pStyle w:val="Author-eListParagraph"/>
        <w:numPr>
          <w:ilvl w:val="0"/>
          <w:numId w:val="1007"/>
        </w:numPr>
      </w:pPr>
      <w:r>
        <w:rPr>
          <w:rStyle w:val="soitChar"/>
        </w:rPr>
        <w:t xml:space="preserve">au moyen d’un joint souple suivant </w:t>
      </w:r>
      <w:hyperlink w:anchor="1000" w:history="1">
        <w:r>
          <w:rPr>
            <w:rStyle w:val="soitChar"/>
            <w:color w:val="0000EE"/>
          </w:rPr>
          <w:t>43.64.4 Joints d'étanchéité - systèmes étanches</w:t>
        </w:r>
      </w:hyperlink>
    </w:p>
    <w:p w14:paraId="50C1FC93" w14:textId="77777777" w:rsidR="00772179" w:rsidRDefault="00000000">
      <w:pPr>
        <w:jc w:val="both"/>
      </w:pPr>
      <w:r>
        <w:rPr>
          <w:b/>
        </w:rPr>
        <w:lastRenderedPageBreak/>
        <w:t>(soit)</w:t>
      </w:r>
    </w:p>
    <w:p w14:paraId="3D036706" w14:textId="77777777" w:rsidR="00772179" w:rsidRDefault="00000000">
      <w:pPr>
        <w:jc w:val="both"/>
      </w:pPr>
      <w:r>
        <w:rPr>
          <w:rStyle w:val="soitChar"/>
          <w:u w:val="single"/>
        </w:rPr>
        <w:t>Ouverts :</w:t>
      </w:r>
      <w:r>
        <w:rPr>
          <w:rStyle w:val="soitChar"/>
        </w:rPr>
        <w:t xml:space="preserve"> pas de joint</w:t>
      </w:r>
    </w:p>
    <w:p w14:paraId="46941FEE" w14:textId="77777777" w:rsidR="00772179" w:rsidRDefault="00772179">
      <w:pPr>
        <w:jc w:val="both"/>
      </w:pPr>
    </w:p>
    <w:p w14:paraId="3B99C3A1" w14:textId="77777777" w:rsidR="00772179" w:rsidRDefault="00772179">
      <w:pPr>
        <w:jc w:val="both"/>
      </w:pPr>
    </w:p>
    <w:p w14:paraId="14F2CCFC" w14:textId="77777777" w:rsidR="00772179" w:rsidRDefault="00000000">
      <w:pPr>
        <w:jc w:val="both"/>
      </w:pPr>
      <w:r>
        <w:t xml:space="preserve">Les joints de dilatation sont réalisés suivant </w:t>
      </w:r>
      <w:hyperlink w:anchor="999" w:history="1">
        <w:r>
          <w:rPr>
            <w:color w:val="0000EE"/>
          </w:rPr>
          <w:t>43.64.2 Revêtements de façade - joints de dilatation</w:t>
        </w:r>
      </w:hyperlink>
    </w:p>
    <w:p w14:paraId="41AE9CB0" w14:textId="77777777" w:rsidR="00772179" w:rsidRDefault="00000000">
      <w:pPr>
        <w:pStyle w:val="pheading"/>
      </w:pPr>
      <w:r>
        <w:t>- Échantillons</w:t>
      </w:r>
    </w:p>
    <w:p w14:paraId="62BDEE2B" w14:textId="77777777" w:rsidR="00772179" w:rsidRDefault="00000000">
      <w:pPr>
        <w:jc w:val="both"/>
      </w:pPr>
      <w:r>
        <w:t xml:space="preserve">Afin de confirmer l'aspect, les coloris et la structure de la pierre, l’entrepreneur présente </w:t>
      </w:r>
      <w:r>
        <w:rPr>
          <w:rStyle w:val="optioncarChar"/>
        </w:rPr>
        <w:t xml:space="preserve">3 </w:t>
      </w:r>
      <w:r>
        <w:t>(par défaut)</w:t>
      </w:r>
      <w:r>
        <w:rPr>
          <w:rStyle w:val="optioncarChar"/>
        </w:rPr>
        <w:t xml:space="preserve"> / ***</w:t>
      </w:r>
      <w:r>
        <w:t xml:space="preserve"> échantillons présentant respectivement l'aspect moyen et les deux aspects extrêmes de la fourniture. Ces échantillons contiennent en outre toutes les particularités (veines, trous, fils, …) qui ne sont pas considérées comme défauts et dont la présence n’entraîne pas le rebut.</w:t>
      </w:r>
    </w:p>
    <w:p w14:paraId="2B66C67B" w14:textId="77777777" w:rsidR="00772179" w:rsidRDefault="00000000">
      <w:pPr>
        <w:jc w:val="both"/>
      </w:pPr>
      <w:r>
        <w:t>Afin de déterminer le choix définitif des joints, un ou plusieurs échantillons de +/- 0,25 m² (avec un maximum de </w:t>
      </w:r>
      <w:r>
        <w:rPr>
          <w:rStyle w:val="optioncarChar"/>
        </w:rPr>
        <w:t>3 </w:t>
      </w:r>
      <w:r>
        <w:t>(par défaut)</w:t>
      </w:r>
      <w:r>
        <w:rPr>
          <w:rStyle w:val="optioncarChar"/>
        </w:rPr>
        <w:t> / 5 / ***</w:t>
      </w:r>
      <w:r>
        <w:t xml:space="preserve"> échantillons à réaliser au total) sont présentés pour approbation à l'auteur de projet. </w:t>
      </w:r>
    </w:p>
    <w:p w14:paraId="20D934E0" w14:textId="77777777" w:rsidR="00772179" w:rsidRDefault="00000000">
      <w:pPr>
        <w:jc w:val="both"/>
      </w:pPr>
      <w:r>
        <w:t xml:space="preserve"> La teinte du produit de joints de mouvement est soumise à l’approbation de l’auteur de projet en réalisant </w:t>
      </w:r>
      <w:r>
        <w:rPr>
          <w:rStyle w:val="optioncarChar"/>
        </w:rPr>
        <w:t>3 </w:t>
      </w:r>
      <w:r>
        <w:t>(par défaut)</w:t>
      </w:r>
      <w:r>
        <w:rPr>
          <w:rStyle w:val="optioncarChar"/>
        </w:rPr>
        <w:t> / 5 / ***</w:t>
      </w:r>
      <w:r>
        <w:t> échantillons sur un mètre de longueur.</w:t>
      </w:r>
    </w:p>
    <w:p w14:paraId="47CE4732" w14:textId="77777777" w:rsidR="00772179" w:rsidRDefault="00000000">
      <w:pPr>
        <w:pStyle w:val="pheading"/>
      </w:pPr>
      <w:r>
        <w:t>MESURAGE</w:t>
      </w:r>
    </w:p>
    <w:p w14:paraId="4F8E307D" w14:textId="77777777" w:rsidR="00772179" w:rsidRDefault="00000000">
      <w:pPr>
        <w:pStyle w:val="pheading"/>
      </w:pPr>
      <w:r>
        <w:t>- unité de mesure:</w:t>
      </w:r>
    </w:p>
    <w:p w14:paraId="1CE717C2" w14:textId="77777777" w:rsidR="00772179" w:rsidRDefault="00000000">
      <w:r>
        <w:t>1. m²</w:t>
      </w:r>
    </w:p>
    <w:p w14:paraId="688739FA" w14:textId="77777777" w:rsidR="00772179" w:rsidRDefault="00000000">
      <w:r>
        <w:t>2. m</w:t>
      </w:r>
    </w:p>
    <w:p w14:paraId="26C8171F" w14:textId="77777777" w:rsidR="00772179" w:rsidRDefault="00000000">
      <w:pPr>
        <w:pStyle w:val="pheading"/>
      </w:pPr>
      <w:r>
        <w:t>- code de mesurage:</w:t>
      </w:r>
    </w:p>
    <w:p w14:paraId="652BB7EE" w14:textId="77777777" w:rsidR="00772179" w:rsidRDefault="00000000">
      <w:pPr>
        <w:pStyle w:val="Author-eListParagraph"/>
        <w:numPr>
          <w:ilvl w:val="0"/>
          <w:numId w:val="1008"/>
        </w:numPr>
      </w:pPr>
      <w:r>
        <w:rPr>
          <w:b/>
        </w:rPr>
        <w:t>Surface nette</w:t>
      </w:r>
      <w:r>
        <w:t xml:space="preserve"> mesurée dans le plan extérieur des pierres distinction faite de l’épaisseur des plaques. Les ouvertures et les interruptions ≥ 0,50 m² sont déduites. Les retours sont comptés.</w:t>
      </w:r>
    </w:p>
    <w:p w14:paraId="593C2417" w14:textId="77777777" w:rsidR="00772179" w:rsidRDefault="00000000">
      <w:pPr>
        <w:pStyle w:val="Author-eListParagraph"/>
        <w:numPr>
          <w:ilvl w:val="0"/>
          <w:numId w:val="1008"/>
        </w:numPr>
      </w:pPr>
      <w:r>
        <w:rPr>
          <w:b/>
        </w:rPr>
        <w:t>Longueur nette</w:t>
      </w:r>
      <w:r>
        <w:t> des joints de dilatation.</w:t>
      </w:r>
    </w:p>
    <w:p w14:paraId="73415F25" w14:textId="77777777" w:rsidR="00772179" w:rsidRDefault="00000000">
      <w:pPr>
        <w:pStyle w:val="pheading"/>
      </w:pPr>
      <w:r>
        <w:t>- nature du marché:</w:t>
      </w:r>
    </w:p>
    <w:p w14:paraId="2DEBF1A6" w14:textId="77777777" w:rsidR="00772179" w:rsidRDefault="00000000">
      <w:r>
        <w:t>1. 2. QF</w:t>
      </w:r>
    </w:p>
    <w:p w14:paraId="4FA233A9" w14:textId="77777777" w:rsidR="00772179" w:rsidRDefault="00000000">
      <w:pPr>
        <w:pStyle w:val="pheading"/>
      </w:pPr>
      <w:r>
        <w:t>AIDE</w:t>
      </w:r>
    </w:p>
    <w:p w14:paraId="1CA4C9BE" w14:textId="77777777" w:rsidR="00772179" w:rsidRDefault="00000000">
      <w:pPr>
        <w:jc w:val="both"/>
      </w:pPr>
      <w:r>
        <w:t>Les effets du cintrage sont réduits en minimisant l’élancement des éléments : rapport longueur/largeur ≤ 3 .</w:t>
      </w:r>
    </w:p>
    <w:p w14:paraId="78DC2E59" w14:textId="77777777" w:rsidR="00772179" w:rsidRDefault="00000000">
      <w:pPr>
        <w:pStyle w:val="Author-eSectionHeading5Numberless"/>
      </w:pPr>
      <w:bookmarkStart w:id="770" w:name="_Toc220490457"/>
      <w:r>
        <w:t>43.26.2 Revêtements de façade rigides fixés mécaniquement - céramiques fixées mécaniquement</w:t>
      </w:r>
      <w:bookmarkEnd w:id="770"/>
    </w:p>
    <w:p w14:paraId="31EB129B" w14:textId="77777777" w:rsidR="00772179" w:rsidRDefault="00000000">
      <w:pPr>
        <w:pStyle w:val="Author-eSectionHeading6Numberless"/>
      </w:pPr>
      <w:bookmarkStart w:id="771" w:name="_Toc220490458"/>
      <w:r>
        <w:t>43.26.2a Revêtements de façade rigides fixés mécaniquement - céramiques fixées mécaniquement</w:t>
      </w:r>
      <w:bookmarkEnd w:id="771"/>
    </w:p>
    <w:p w14:paraId="22358AF8" w14:textId="77777777" w:rsidR="00772179" w:rsidRDefault="00000000">
      <w:pPr>
        <w:pStyle w:val="Author-eSectionHeading4Numberless"/>
      </w:pPr>
      <w:bookmarkStart w:id="772" w:name="_Toc220490459"/>
      <w:r>
        <w:t>43.27 Revêtements de façade rigides fixés mécaniquement - feuilles / bandes métalliques CCTB 01.02</w:t>
      </w:r>
      <w:bookmarkEnd w:id="772"/>
    </w:p>
    <w:p w14:paraId="7B210A95" w14:textId="77777777" w:rsidR="00772179" w:rsidRDefault="00000000">
      <w:pPr>
        <w:pStyle w:val="Author-eSectionHeading5Numberless"/>
      </w:pPr>
      <w:bookmarkStart w:id="773" w:name="785"/>
      <w:bookmarkStart w:id="774" w:name="_Toc220490460"/>
      <w:bookmarkEnd w:id="773"/>
      <w:r>
        <w:t>43.27.1 Revêtements de façade rigides fixés mécaniquement - feuilles métalliques CCTB 01.04</w:t>
      </w:r>
      <w:bookmarkEnd w:id="774"/>
    </w:p>
    <w:p w14:paraId="3D9FE2B3" w14:textId="77777777" w:rsidR="00772179" w:rsidRDefault="00000000">
      <w:pPr>
        <w:pStyle w:val="pheading"/>
      </w:pPr>
      <w:r>
        <w:t>DESCRIPTION</w:t>
      </w:r>
    </w:p>
    <w:p w14:paraId="39C8CE82" w14:textId="77777777" w:rsidR="00772179" w:rsidRDefault="00000000">
      <w:pPr>
        <w:pStyle w:val="pheading"/>
      </w:pPr>
      <w:r>
        <w:t>- Définition / Comprend</w:t>
      </w:r>
    </w:p>
    <w:p w14:paraId="67A73720" w14:textId="77777777" w:rsidR="00772179" w:rsidRDefault="00000000">
      <w:r>
        <w:t>Conformément à l'art. 34.14.1 Couvertures métalliques à joints debout</w:t>
      </w:r>
    </w:p>
    <w:p w14:paraId="14FAC807" w14:textId="77777777" w:rsidR="00772179" w:rsidRDefault="00000000">
      <w:pPr>
        <w:pStyle w:val="Author-eSectionHeading6Numberless"/>
      </w:pPr>
      <w:bookmarkStart w:id="775" w:name="_Toc220490461"/>
      <w:r>
        <w:lastRenderedPageBreak/>
        <w:t>43.27.1a Revêtements de façade rigides fixés mécaniquement - feuilles en aluminium CCTB 01.04</w:t>
      </w:r>
      <w:bookmarkEnd w:id="775"/>
    </w:p>
    <w:p w14:paraId="73D8829E" w14:textId="77777777" w:rsidR="00772179" w:rsidRDefault="00000000">
      <w:pPr>
        <w:pStyle w:val="pheading"/>
      </w:pPr>
      <w:r>
        <w:t>DESCRIPTION</w:t>
      </w:r>
    </w:p>
    <w:p w14:paraId="5417CB94" w14:textId="77777777" w:rsidR="00772179" w:rsidRDefault="00000000">
      <w:pPr>
        <w:pStyle w:val="pheading"/>
      </w:pPr>
      <w:r>
        <w:t>- Définition / Comprend</w:t>
      </w:r>
    </w:p>
    <w:p w14:paraId="2FE9C110" w14:textId="77777777" w:rsidR="00772179" w:rsidRDefault="00000000">
      <w:r>
        <w:t>Conformément à l'art. 34.14.1d Couvertures en aluminium à joints debout</w:t>
      </w:r>
    </w:p>
    <w:p w14:paraId="35A0438D" w14:textId="77777777" w:rsidR="00772179" w:rsidRDefault="00000000">
      <w:pPr>
        <w:pStyle w:val="pheading"/>
      </w:pPr>
      <w:r>
        <w:t>MESURAGE</w:t>
      </w:r>
    </w:p>
    <w:p w14:paraId="604C4FAA" w14:textId="77777777" w:rsidR="00772179" w:rsidRDefault="00000000">
      <w:pPr>
        <w:pStyle w:val="pheading"/>
      </w:pPr>
      <w:r>
        <w:t>- unité de mesure:</w:t>
      </w:r>
    </w:p>
    <w:p w14:paraId="6A99059F" w14:textId="77777777" w:rsidR="00772179" w:rsidRDefault="00000000">
      <w:r>
        <w:t>m²</w:t>
      </w:r>
    </w:p>
    <w:p w14:paraId="0B798EF0" w14:textId="77777777" w:rsidR="00772179" w:rsidRDefault="00000000">
      <w:pPr>
        <w:pStyle w:val="pheading"/>
      </w:pPr>
      <w:r>
        <w:t>- nature du marché:</w:t>
      </w:r>
    </w:p>
    <w:p w14:paraId="516D4F6C" w14:textId="77777777" w:rsidR="00772179" w:rsidRDefault="00000000">
      <w:r>
        <w:t>QF</w:t>
      </w:r>
    </w:p>
    <w:p w14:paraId="698CD1F3" w14:textId="77777777" w:rsidR="00772179" w:rsidRDefault="00000000">
      <w:pPr>
        <w:pStyle w:val="Author-eSectionHeading6Numberless"/>
      </w:pPr>
      <w:bookmarkStart w:id="776" w:name="_Toc220490462"/>
      <w:r>
        <w:t>43.27.1b Revêtements de façade rigides fixés mécaniquement - feuilles en zinc CCTB 01.04</w:t>
      </w:r>
      <w:bookmarkEnd w:id="776"/>
    </w:p>
    <w:p w14:paraId="5A5F50CF" w14:textId="77777777" w:rsidR="00772179" w:rsidRDefault="00000000">
      <w:pPr>
        <w:pStyle w:val="pheading"/>
      </w:pPr>
      <w:r>
        <w:t>DESCRIPTION</w:t>
      </w:r>
    </w:p>
    <w:p w14:paraId="15AC06DE" w14:textId="77777777" w:rsidR="00772179" w:rsidRDefault="00000000">
      <w:pPr>
        <w:pStyle w:val="pheading"/>
      </w:pPr>
      <w:r>
        <w:t>- Définition / Comprend</w:t>
      </w:r>
    </w:p>
    <w:p w14:paraId="03903B2F" w14:textId="77777777" w:rsidR="00772179" w:rsidRDefault="00000000">
      <w:r>
        <w:t>Conformément à l'art. 34.14.1a Couvertures en zinc à joints debout</w:t>
      </w:r>
    </w:p>
    <w:p w14:paraId="4F3B26F5" w14:textId="77777777" w:rsidR="00772179" w:rsidRDefault="00000000">
      <w:pPr>
        <w:pStyle w:val="pheading"/>
      </w:pPr>
      <w:r>
        <w:t>MESURAGE</w:t>
      </w:r>
    </w:p>
    <w:p w14:paraId="2B525747" w14:textId="77777777" w:rsidR="00772179" w:rsidRDefault="00000000">
      <w:pPr>
        <w:pStyle w:val="pheading"/>
      </w:pPr>
      <w:r>
        <w:t>- unité de mesure:</w:t>
      </w:r>
    </w:p>
    <w:p w14:paraId="10EB0335" w14:textId="77777777" w:rsidR="00772179" w:rsidRDefault="00000000">
      <w:r>
        <w:t>m²</w:t>
      </w:r>
    </w:p>
    <w:p w14:paraId="22E6B583" w14:textId="77777777" w:rsidR="00772179" w:rsidRDefault="00000000">
      <w:pPr>
        <w:pStyle w:val="pheading"/>
      </w:pPr>
      <w:r>
        <w:t>- nature du marché:</w:t>
      </w:r>
    </w:p>
    <w:p w14:paraId="07CE3158" w14:textId="77777777" w:rsidR="00772179" w:rsidRDefault="00000000">
      <w:r>
        <w:t>QF</w:t>
      </w:r>
    </w:p>
    <w:p w14:paraId="0C47ACC7" w14:textId="77777777" w:rsidR="00772179" w:rsidRDefault="00000000">
      <w:pPr>
        <w:pStyle w:val="Author-eSectionHeading6Numberless"/>
      </w:pPr>
      <w:bookmarkStart w:id="777" w:name="_Toc220490463"/>
      <w:r>
        <w:t>43.27.1c Revêtements de façade rigides fixés mécaniquement - feuilles en cuivre CCTB 01.04</w:t>
      </w:r>
      <w:bookmarkEnd w:id="777"/>
    </w:p>
    <w:p w14:paraId="34BBFD6D" w14:textId="77777777" w:rsidR="00772179" w:rsidRDefault="00000000">
      <w:pPr>
        <w:pStyle w:val="pheading"/>
      </w:pPr>
      <w:r>
        <w:t>DESCRIPTION</w:t>
      </w:r>
    </w:p>
    <w:p w14:paraId="2AF5FBBE" w14:textId="77777777" w:rsidR="00772179" w:rsidRDefault="00000000">
      <w:pPr>
        <w:pStyle w:val="pheading"/>
      </w:pPr>
      <w:r>
        <w:t>- Définition / Comprend</w:t>
      </w:r>
    </w:p>
    <w:p w14:paraId="39C763E4" w14:textId="77777777" w:rsidR="00772179" w:rsidRDefault="00000000">
      <w:r>
        <w:t>Conformément à l'art. 34.14.1c Couvertures en cuivre à joints debout</w:t>
      </w:r>
    </w:p>
    <w:p w14:paraId="315000B0" w14:textId="77777777" w:rsidR="00772179" w:rsidRDefault="00000000">
      <w:pPr>
        <w:pStyle w:val="pheading"/>
      </w:pPr>
      <w:r>
        <w:t>MESURAGE</w:t>
      </w:r>
    </w:p>
    <w:p w14:paraId="65373820" w14:textId="77777777" w:rsidR="00772179" w:rsidRDefault="00000000">
      <w:pPr>
        <w:pStyle w:val="pheading"/>
      </w:pPr>
      <w:r>
        <w:t>- unité de mesure:</w:t>
      </w:r>
    </w:p>
    <w:p w14:paraId="12711BD0" w14:textId="77777777" w:rsidR="00772179" w:rsidRDefault="00000000">
      <w:r>
        <w:t>m²</w:t>
      </w:r>
    </w:p>
    <w:p w14:paraId="1844BB87" w14:textId="77777777" w:rsidR="00772179" w:rsidRDefault="00000000">
      <w:pPr>
        <w:pStyle w:val="pheading"/>
      </w:pPr>
      <w:r>
        <w:t>- nature du marché:</w:t>
      </w:r>
    </w:p>
    <w:p w14:paraId="1FDAF007" w14:textId="77777777" w:rsidR="00772179" w:rsidRDefault="00000000">
      <w:r>
        <w:t>QF</w:t>
      </w:r>
    </w:p>
    <w:p w14:paraId="2D37090C" w14:textId="77777777" w:rsidR="00772179" w:rsidRDefault="00000000">
      <w:pPr>
        <w:pStyle w:val="Author-eSectionHeading6Numberless"/>
      </w:pPr>
      <w:bookmarkStart w:id="778" w:name="_Toc220490464"/>
      <w:r>
        <w:t>43.27.1d Revêtements de façade rigides fixés mécaniquement - feuilles en plomb</w:t>
      </w:r>
      <w:bookmarkEnd w:id="778"/>
    </w:p>
    <w:p w14:paraId="3362D64B" w14:textId="77777777" w:rsidR="00772179" w:rsidRDefault="00000000">
      <w:pPr>
        <w:pStyle w:val="Author-eSectionHeading4Numberless"/>
      </w:pPr>
      <w:bookmarkStart w:id="779" w:name="_Toc220490465"/>
      <w:r>
        <w:t>43.28 Revêtements de façade rigides fixés mécaniquement - mailles métalliques CCTB 01.02</w:t>
      </w:r>
      <w:bookmarkEnd w:id="779"/>
    </w:p>
    <w:p w14:paraId="71C3D947" w14:textId="77777777" w:rsidR="00772179" w:rsidRDefault="00000000">
      <w:pPr>
        <w:pStyle w:val="Author-eSectionHeading5Numberless"/>
      </w:pPr>
      <w:bookmarkStart w:id="780" w:name="_Toc220490466"/>
      <w:r>
        <w:t>43.28.1 Revêtements de façade rigides fixés mécaniquement - mailles métalliques</w:t>
      </w:r>
      <w:bookmarkEnd w:id="780"/>
    </w:p>
    <w:p w14:paraId="0173776D" w14:textId="77777777" w:rsidR="00772179" w:rsidRDefault="00000000">
      <w:pPr>
        <w:pStyle w:val="Author-eSectionHeading6Numberless"/>
      </w:pPr>
      <w:bookmarkStart w:id="781" w:name="_Toc220490467"/>
      <w:r>
        <w:t>43.28.1a Revêtements de façade rigides fixés mécaniquement - mailles métalliques</w:t>
      </w:r>
      <w:bookmarkEnd w:id="781"/>
    </w:p>
    <w:p w14:paraId="45B9432D" w14:textId="77777777" w:rsidR="00772179" w:rsidRDefault="00000000">
      <w:pPr>
        <w:pStyle w:val="Author-eSectionHeading3Numberless"/>
      </w:pPr>
      <w:bookmarkStart w:id="782" w:name="_Toc220490468"/>
      <w:r>
        <w:lastRenderedPageBreak/>
        <w:t>43.3 Revêtements de façade rigides collés CCTB 01.02</w:t>
      </w:r>
      <w:bookmarkEnd w:id="782"/>
    </w:p>
    <w:p w14:paraId="6F52E020" w14:textId="77777777" w:rsidR="00772179" w:rsidRDefault="00000000">
      <w:pPr>
        <w:pStyle w:val="Author-eSectionHeading4Numberless"/>
      </w:pPr>
      <w:bookmarkStart w:id="783" w:name="_Toc220490469"/>
      <w:r>
        <w:t>43.31 Revêtements de façade rigides collés - préparation du support</w:t>
      </w:r>
      <w:bookmarkEnd w:id="783"/>
    </w:p>
    <w:p w14:paraId="596D1B91" w14:textId="77777777" w:rsidR="00772179" w:rsidRDefault="00000000">
      <w:pPr>
        <w:pStyle w:val="Author-eSectionHeading4Numberless"/>
      </w:pPr>
      <w:bookmarkStart w:id="784" w:name="1009"/>
      <w:bookmarkStart w:id="785" w:name="_Toc220490470"/>
      <w:bookmarkEnd w:id="784"/>
      <w:r>
        <w:t>43.32 Revêtements de façade rigides collés - céramiques  CCTB 01.12</w:t>
      </w:r>
      <w:bookmarkEnd w:id="785"/>
    </w:p>
    <w:p w14:paraId="49C771E7" w14:textId="77777777" w:rsidR="00772179" w:rsidRDefault="00000000">
      <w:pPr>
        <w:pStyle w:val="pheading"/>
      </w:pPr>
      <w:r>
        <w:t>DESCRIPTION</w:t>
      </w:r>
    </w:p>
    <w:p w14:paraId="036977CC" w14:textId="77777777" w:rsidR="00772179" w:rsidRDefault="00000000">
      <w:pPr>
        <w:pStyle w:val="pheading"/>
      </w:pPr>
      <w:r>
        <w:t>- Définition / Comprend</w:t>
      </w:r>
    </w:p>
    <w:p w14:paraId="00258E87" w14:textId="77777777" w:rsidR="00772179" w:rsidRDefault="00000000">
      <w:pPr>
        <w:jc w:val="both"/>
      </w:pPr>
      <w:r>
        <w:t>Il s’agit de la fourniture et la pose de revêtements de façade rigides collées en céramique.</w:t>
      </w:r>
    </w:p>
    <w:p w14:paraId="3BD9741C" w14:textId="77777777" w:rsidR="00772179" w:rsidRDefault="00000000">
      <w:pPr>
        <w:jc w:val="both"/>
      </w:pPr>
      <w:r>
        <w:t>Le travail comprend notamment :</w:t>
      </w:r>
    </w:p>
    <w:p w14:paraId="20483050" w14:textId="77777777" w:rsidR="00772179" w:rsidRDefault="00000000">
      <w:pPr>
        <w:pStyle w:val="Author-eListParagraph"/>
        <w:numPr>
          <w:ilvl w:val="0"/>
          <w:numId w:val="1009"/>
        </w:numPr>
      </w:pPr>
      <w:r>
        <w:t>L’établissement des plans d’exécution, la mise au point de calepinage, etc… ;</w:t>
      </w:r>
    </w:p>
    <w:p w14:paraId="0C7242A2" w14:textId="77777777" w:rsidR="00772179" w:rsidRDefault="00000000">
      <w:pPr>
        <w:pStyle w:val="Author-eListParagraph"/>
        <w:numPr>
          <w:ilvl w:val="0"/>
          <w:numId w:val="1009"/>
        </w:numPr>
      </w:pPr>
      <w:r>
        <w:t>La pose et l'enlèvement des échafaudages et des bâches nécessaires à l'exécution ;</w:t>
      </w:r>
    </w:p>
    <w:p w14:paraId="167304F7" w14:textId="77777777" w:rsidR="00772179" w:rsidRDefault="00000000">
      <w:pPr>
        <w:pStyle w:val="Author-eListParagraph"/>
        <w:numPr>
          <w:ilvl w:val="0"/>
          <w:numId w:val="1009"/>
        </w:numPr>
      </w:pPr>
      <w:r>
        <w:t>La protection provisoire des parties de façade qui ne sont pas destinées à recevoir le revêtement (menuiserie et vitrage par exemple) ;</w:t>
      </w:r>
    </w:p>
    <w:p w14:paraId="55922F7A" w14:textId="77777777" w:rsidR="00772179" w:rsidRDefault="00000000">
      <w:pPr>
        <w:pStyle w:val="Author-eListParagraph"/>
        <w:numPr>
          <w:ilvl w:val="0"/>
          <w:numId w:val="1009"/>
        </w:numPr>
      </w:pPr>
      <w:r>
        <w:t>Le contrôle de l’état du support (planéité, verticalité, ...) afin de s’assurer de la pertinence de la technique de pose prévue ;</w:t>
      </w:r>
    </w:p>
    <w:p w14:paraId="64343A8D" w14:textId="77777777" w:rsidR="00772179" w:rsidRDefault="00000000">
      <w:pPr>
        <w:pStyle w:val="Author-eListParagraph"/>
        <w:numPr>
          <w:ilvl w:val="0"/>
          <w:numId w:val="1009"/>
        </w:numPr>
      </w:pPr>
      <w:r>
        <w:t>Toutes les découpes : raccords aux matériaux adjacents, percements pour traversées d’éléments de tous types ;</w:t>
      </w:r>
    </w:p>
    <w:p w14:paraId="42B72E41" w14:textId="77777777" w:rsidR="00772179" w:rsidRDefault="00000000">
      <w:pPr>
        <w:pStyle w:val="Author-eListParagraph"/>
        <w:numPr>
          <w:ilvl w:val="0"/>
          <w:numId w:val="1009"/>
        </w:numPr>
      </w:pPr>
      <w:r>
        <w:t>La fourniture et application d’un primaire pour autant que l’assemblage l’exige ;</w:t>
      </w:r>
    </w:p>
    <w:p w14:paraId="08765732" w14:textId="77777777" w:rsidR="00772179" w:rsidRDefault="00000000">
      <w:pPr>
        <w:pStyle w:val="Author-eListParagraph"/>
        <w:numPr>
          <w:ilvl w:val="0"/>
          <w:numId w:val="1009"/>
        </w:numPr>
      </w:pPr>
      <w:r>
        <w:t>La fourniture et pose des céramiques ;</w:t>
      </w:r>
    </w:p>
    <w:p w14:paraId="3EFBDC00" w14:textId="77777777" w:rsidR="00772179" w:rsidRDefault="00000000">
      <w:pPr>
        <w:pStyle w:val="Author-eListParagraph"/>
        <w:numPr>
          <w:ilvl w:val="0"/>
          <w:numId w:val="1009"/>
        </w:numPr>
      </w:pPr>
      <w:r>
        <w:t>L’encollage des céramiques, toutes fournitures comprises ;</w:t>
      </w:r>
    </w:p>
    <w:p w14:paraId="5F33C6BD" w14:textId="77777777" w:rsidR="00772179" w:rsidRDefault="00000000">
      <w:pPr>
        <w:pStyle w:val="Author-eListParagraph"/>
        <w:numPr>
          <w:ilvl w:val="0"/>
          <w:numId w:val="1009"/>
        </w:numPr>
      </w:pPr>
      <w:r>
        <w:t>La fourniture et pose de profilés de raccord et de protection des bords (protections d’angle, profilés d’arrêt, de dilatation et de raccord) ;</w:t>
      </w:r>
    </w:p>
    <w:p w14:paraId="605C1939" w14:textId="77777777" w:rsidR="00772179" w:rsidRDefault="00000000">
      <w:pPr>
        <w:pStyle w:val="Author-eListParagraph"/>
        <w:numPr>
          <w:ilvl w:val="0"/>
          <w:numId w:val="1009"/>
        </w:numPr>
      </w:pPr>
      <w:r>
        <w:t>Le mortier de jointoiement ;</w:t>
      </w:r>
    </w:p>
    <w:p w14:paraId="4840945F" w14:textId="77777777" w:rsidR="00772179" w:rsidRDefault="00000000">
      <w:pPr>
        <w:pStyle w:val="Author-eListParagraph"/>
        <w:numPr>
          <w:ilvl w:val="0"/>
          <w:numId w:val="1009"/>
        </w:numPr>
      </w:pPr>
      <w:r>
        <w:t>Les joints souples ;</w:t>
      </w:r>
    </w:p>
    <w:p w14:paraId="7088D33B" w14:textId="77777777" w:rsidR="00772179" w:rsidRDefault="00000000">
      <w:pPr>
        <w:pStyle w:val="Author-eListParagraph"/>
        <w:numPr>
          <w:ilvl w:val="0"/>
          <w:numId w:val="1009"/>
        </w:numPr>
      </w:pPr>
      <w:r>
        <w:t>Le nettoyage de la façade et l’enlèvement des déchets après exécution, afin de remettre le chantier dans son état de propreté initial ;</w:t>
      </w:r>
    </w:p>
    <w:p w14:paraId="4C1C6CA7" w14:textId="77777777" w:rsidR="00772179" w:rsidRDefault="00000000">
      <w:pPr>
        <w:pStyle w:val="Author-eListParagraph"/>
        <w:numPr>
          <w:ilvl w:val="0"/>
          <w:numId w:val="1009"/>
        </w:numPr>
      </w:pPr>
      <w:r>
        <w:t>L’enlèvement de toutes les protections, la remise en place de tous les éléments démontés et le rangement du chantier ;</w:t>
      </w:r>
    </w:p>
    <w:p w14:paraId="798123FF" w14:textId="77777777" w:rsidR="00772179" w:rsidRDefault="00000000">
      <w:pPr>
        <w:pStyle w:val="Author-eListParagraph"/>
        <w:numPr>
          <w:ilvl w:val="0"/>
          <w:numId w:val="1009"/>
        </w:numPr>
      </w:pPr>
      <w:r>
        <w:t>L’évacuation des déchets tel que décrit au 07 Déchets, matériaux et éléments réemployables fait partie du prix unitaire.</w:t>
      </w:r>
    </w:p>
    <w:p w14:paraId="6A4EEBF7" w14:textId="77777777" w:rsidR="00772179" w:rsidRDefault="00000000">
      <w:pPr>
        <w:jc w:val="both"/>
      </w:pPr>
      <w:r>
        <w:t>Sauf disposition contraire dans le cahier spécial des charges, les opérations suivantes ne font pas parties du présent travail et sont décrites dans des articles relatifs à la préparation du support sous le </w:t>
      </w:r>
      <w:hyperlink w:anchor="1009" w:history="1">
        <w:r>
          <w:rPr>
            <w:color w:val="0000EE"/>
          </w:rPr>
          <w:t>43.31 Revêtements de façade rigides collés - préparation du support</w:t>
        </w:r>
      </w:hyperlink>
      <w:r>
        <w:t>:</w:t>
      </w:r>
    </w:p>
    <w:p w14:paraId="70BF4628" w14:textId="77777777" w:rsidR="00772179" w:rsidRDefault="00000000">
      <w:pPr>
        <w:pStyle w:val="Author-eListParagraph"/>
        <w:numPr>
          <w:ilvl w:val="0"/>
          <w:numId w:val="1010"/>
        </w:numPr>
        <w:jc w:val="both"/>
      </w:pPr>
      <w:r>
        <w:t>L’augmentation de la rugosité du support ;</w:t>
      </w:r>
    </w:p>
    <w:p w14:paraId="74F36E28" w14:textId="77777777" w:rsidR="00772179" w:rsidRDefault="00000000">
      <w:pPr>
        <w:pStyle w:val="Author-eListParagraph"/>
        <w:numPr>
          <w:ilvl w:val="0"/>
          <w:numId w:val="1010"/>
        </w:numPr>
        <w:jc w:val="both"/>
      </w:pPr>
      <w:r>
        <w:t>L’élimination des inégalités importantes du support en procédant, par exemple, à l’application d’une couche d’égalisation visant à corriger les surfaces hors tolérances ;</w:t>
      </w:r>
    </w:p>
    <w:p w14:paraId="39D5D7A9" w14:textId="77777777" w:rsidR="00772179" w:rsidRDefault="00000000">
      <w:pPr>
        <w:pStyle w:val="Author-eListParagraph"/>
        <w:numPr>
          <w:ilvl w:val="0"/>
          <w:numId w:val="1010"/>
        </w:numPr>
        <w:jc w:val="both"/>
      </w:pPr>
      <w:r>
        <w:t>L’enlèvement ou la neutralisation des produits de décoffrage ;</w:t>
      </w:r>
    </w:p>
    <w:p w14:paraId="5BBF5439" w14:textId="77777777" w:rsidR="00772179" w:rsidRDefault="00000000">
      <w:pPr>
        <w:pStyle w:val="Author-eListParagraph"/>
        <w:numPr>
          <w:ilvl w:val="0"/>
          <w:numId w:val="1010"/>
        </w:numPr>
        <w:jc w:val="both"/>
      </w:pPr>
      <w:r>
        <w:t>L’élimination des efflorescences éventuelles ;</w:t>
      </w:r>
    </w:p>
    <w:p w14:paraId="560EE2C7" w14:textId="77777777" w:rsidR="00772179" w:rsidRDefault="00000000">
      <w:pPr>
        <w:pStyle w:val="Author-eListParagraph"/>
        <w:numPr>
          <w:ilvl w:val="0"/>
          <w:numId w:val="1010"/>
        </w:numPr>
        <w:jc w:val="both"/>
      </w:pPr>
      <w:r>
        <w:t>Toute protection autre que celles généralement prévues (voir ci-dessus).</w:t>
      </w:r>
    </w:p>
    <w:p w14:paraId="141EBE7E" w14:textId="77777777" w:rsidR="00772179" w:rsidRDefault="00000000">
      <w:pPr>
        <w:pStyle w:val="pheading"/>
      </w:pPr>
      <w:r>
        <w:t>EXÉCUTION / MISE EN ŒUVRE</w:t>
      </w:r>
    </w:p>
    <w:p w14:paraId="7A7EA536" w14:textId="77777777" w:rsidR="00772179" w:rsidRDefault="00000000">
      <w:pPr>
        <w:jc w:val="both"/>
      </w:pPr>
      <w:r>
        <w:t>Avant le début de la mise en œuvre, l’entrepreneur chargé de la pose des carrelages réceptionne le support : absence d’humidité, absence de fissures, absence de substances pouvant limiter l’adhérence de la colle, tolérances.</w:t>
      </w:r>
    </w:p>
    <w:p w14:paraId="679506B8" w14:textId="77777777" w:rsidR="00772179" w:rsidRDefault="00000000">
      <w:pPr>
        <w:jc w:val="both"/>
      </w:pPr>
      <w:r>
        <w:t xml:space="preserve">En cas de hors tolérances du support, les travaux d’égalisation font partie du </w:t>
      </w:r>
      <w:hyperlink w:anchor="1009" w:history="1">
        <w:r>
          <w:rPr>
            <w:color w:val="0000EE"/>
          </w:rPr>
          <w:t>43.31 Revêtements de façade rigides collés - préparation du support</w:t>
        </w:r>
      </w:hyperlink>
      <w:r>
        <w:t>.</w:t>
      </w:r>
    </w:p>
    <w:p w14:paraId="5B2FB5A8" w14:textId="77777777" w:rsidR="00772179" w:rsidRDefault="00000000">
      <w:pPr>
        <w:jc w:val="both"/>
      </w:pPr>
      <w:r>
        <w:lastRenderedPageBreak/>
        <w:t xml:space="preserve">La préparation du support est comprise au </w:t>
      </w:r>
      <w:hyperlink w:anchor="1009" w:history="1">
        <w:r>
          <w:rPr>
            <w:color w:val="0000EE"/>
          </w:rPr>
          <w:t>43.31 Revêtements de façade rigides collés - préparation du support</w:t>
        </w:r>
      </w:hyperlink>
      <w:r>
        <w:t>.</w:t>
      </w:r>
    </w:p>
    <w:p w14:paraId="5058CEB0" w14:textId="77777777" w:rsidR="00772179" w:rsidRDefault="00000000">
      <w:pPr>
        <w:jc w:val="both"/>
      </w:pPr>
      <w:r>
        <w:t>Les découpes sont réalisées mécaniquement sans dégradation des bords.</w:t>
      </w:r>
    </w:p>
    <w:p w14:paraId="79FE1BE9" w14:textId="77777777" w:rsidR="00772179" w:rsidRDefault="00000000">
      <w:pPr>
        <w:jc w:val="both"/>
      </w:pPr>
      <w:r>
        <w:t>La pose des carrelages est réalisée conformément aux prescriptions jointes au produit de collage.</w:t>
      </w:r>
    </w:p>
    <w:p w14:paraId="2481C204" w14:textId="77777777" w:rsidR="00772179" w:rsidRDefault="00000000">
      <w:pPr>
        <w:jc w:val="both"/>
      </w:pPr>
      <w:r>
        <w:t>Réalisation du rejointoiement après durcissement du mortier colle, et après nettoyage de la surface et enlèvement de toute graisse et poussière.</w:t>
      </w:r>
    </w:p>
    <w:p w14:paraId="20FCDD69" w14:textId="77777777" w:rsidR="00772179" w:rsidRDefault="00000000">
      <w:pPr>
        <w:pStyle w:val="pheading"/>
      </w:pPr>
      <w:r>
        <w:t>DOCUMENTS DE RÉFÉRENCE</w:t>
      </w:r>
    </w:p>
    <w:p w14:paraId="1FC6C356" w14:textId="77777777" w:rsidR="00772179" w:rsidRDefault="00000000">
      <w:pPr>
        <w:pStyle w:val="pheading"/>
      </w:pPr>
      <w:r>
        <w:t>- Matériau</w:t>
      </w:r>
    </w:p>
    <w:p w14:paraId="27408AF1" w14:textId="77777777" w:rsidR="00772179" w:rsidRDefault="00000000">
      <w:r>
        <w:t>[NIT 227, Carrelages muraux.]</w:t>
      </w:r>
    </w:p>
    <w:p w14:paraId="721F0B13" w14:textId="77777777" w:rsidR="00772179" w:rsidRDefault="00000000">
      <w:r>
        <w:t>[STS 56.1, Mastics d’étanchéité des façades]</w:t>
      </w:r>
    </w:p>
    <w:p w14:paraId="2BF8DBB4" w14:textId="77777777" w:rsidR="00772179" w:rsidRDefault="00000000">
      <w:r>
        <w:t>[NBN EN 12004-1, Colles à carrelage - Partie 1: Exigences, évaluation et vérification de la constance de performance, classification et marquage]</w:t>
      </w:r>
    </w:p>
    <w:p w14:paraId="05114F5A" w14:textId="77777777" w:rsidR="00772179" w:rsidRDefault="00000000">
      <w:r>
        <w:t>[NBN EN 13888, Mortiers de jointoiement pour carreaux et dalles céramiques - Exigences, évaluation de conformité, classification et désignation] </w:t>
      </w:r>
    </w:p>
    <w:p w14:paraId="041DE3B3" w14:textId="77777777" w:rsidR="00772179" w:rsidRDefault="00000000">
      <w:r>
        <w:t>[NBN EN 14411, Carreaux céramiques - Définitions, classification, caractéristiques, évaluation et vérification de la constance de performance et marquage]</w:t>
      </w:r>
    </w:p>
    <w:p w14:paraId="09B4FFC1" w14:textId="77777777" w:rsidR="00772179" w:rsidRDefault="00000000">
      <w:r>
        <w:t>[NBN B 27-005, Produits céramiques pour parements de murs et de sols - Détermination de la résistance aux chocs]</w:t>
      </w:r>
    </w:p>
    <w:p w14:paraId="7FC44BA7" w14:textId="77777777" w:rsidR="00772179" w:rsidRDefault="00000000">
      <w:r>
        <w:t>[NBN B 27-011, Produits céramiques pour parements de murs et de sols - Critères de performances]</w:t>
      </w:r>
    </w:p>
    <w:p w14:paraId="28973CE1" w14:textId="77777777" w:rsidR="00772179" w:rsidRDefault="00000000">
      <w:r>
        <w:t>[NBN EN ISO 11600, Construction immobilière - Produits pour joints - Classification et exigences pour les mastics (ISO 11600:2002)]</w:t>
      </w:r>
    </w:p>
    <w:p w14:paraId="4D075D47" w14:textId="77777777" w:rsidR="00772179" w:rsidRDefault="00000000">
      <w:pPr>
        <w:pStyle w:val="Author-eSectionHeading5Numberless"/>
      </w:pPr>
      <w:bookmarkStart w:id="786" w:name="_Toc220490471"/>
      <w:r>
        <w:t>43.32.1 Revêtements de façade rigides collés - céramiques</w:t>
      </w:r>
      <w:bookmarkEnd w:id="786"/>
    </w:p>
    <w:p w14:paraId="2E9248F5" w14:textId="77777777" w:rsidR="00772179" w:rsidRDefault="00000000">
      <w:pPr>
        <w:pStyle w:val="Author-eSectionHeading6Numberless"/>
      </w:pPr>
      <w:bookmarkStart w:id="787" w:name="_Toc220490472"/>
      <w:r>
        <w:t>43.32.1a Revêtements de façade rigides collés - céramiques  CCTB 01.12</w:t>
      </w:r>
      <w:bookmarkEnd w:id="787"/>
    </w:p>
    <w:p w14:paraId="3D05A284" w14:textId="77777777" w:rsidR="00772179" w:rsidRDefault="00000000">
      <w:pPr>
        <w:pStyle w:val="pheading"/>
      </w:pPr>
      <w:r>
        <w:t>DESCRIPTION</w:t>
      </w:r>
    </w:p>
    <w:p w14:paraId="1C386EAF" w14:textId="77777777" w:rsidR="00772179" w:rsidRDefault="00000000">
      <w:pPr>
        <w:pStyle w:val="pheading"/>
      </w:pPr>
      <w:r>
        <w:t>- Définition / Comprend</w:t>
      </w:r>
    </w:p>
    <w:p w14:paraId="3BFAE30D" w14:textId="77777777" w:rsidR="00772179" w:rsidRDefault="00000000">
      <w:pPr>
        <w:jc w:val="both"/>
      </w:pPr>
      <w:r>
        <w:t>Il s’agit de la fourniture et la pose de revêtements de façade rigides collées en céramique.</w:t>
      </w:r>
    </w:p>
    <w:p w14:paraId="22E53B66" w14:textId="77777777" w:rsidR="00772179" w:rsidRDefault="00000000">
      <w:pPr>
        <w:pStyle w:val="pheading"/>
      </w:pPr>
      <w:r>
        <w:t>MATÉRIAUX</w:t>
      </w:r>
    </w:p>
    <w:p w14:paraId="4F246B15" w14:textId="77777777" w:rsidR="00772179" w:rsidRDefault="00000000">
      <w:pPr>
        <w:pStyle w:val="pheading"/>
      </w:pPr>
      <w:r>
        <w:t>- Caractéristiques générales</w:t>
      </w:r>
    </w:p>
    <w:p w14:paraId="432CD2DB" w14:textId="77777777" w:rsidR="00772179" w:rsidRDefault="00000000">
      <w:pPr>
        <w:jc w:val="both"/>
      </w:pPr>
      <w:r>
        <w:rPr>
          <w:b/>
        </w:rPr>
        <w:t>Carreaux céramiques :</w:t>
      </w:r>
    </w:p>
    <w:p w14:paraId="29A1E750" w14:textId="77777777" w:rsidR="00772179" w:rsidRDefault="00000000">
      <w:pPr>
        <w:pStyle w:val="Author-eListParagraph"/>
        <w:numPr>
          <w:ilvl w:val="0"/>
          <w:numId w:val="1011"/>
        </w:numPr>
      </w:pPr>
      <w:r>
        <w:t xml:space="preserve">Type de carreaux suivant [NBN EN 14411] : </w:t>
      </w:r>
      <w:r>
        <w:rPr>
          <w:rStyle w:val="optioncarChar"/>
        </w:rPr>
        <w:t>extrudé / pressé à sec</w:t>
      </w:r>
    </w:p>
    <w:p w14:paraId="4333B40A" w14:textId="77777777" w:rsidR="00772179" w:rsidRDefault="00000000">
      <w:pPr>
        <w:pStyle w:val="Author-eListParagraph"/>
        <w:numPr>
          <w:ilvl w:val="0"/>
          <w:numId w:val="1011"/>
        </w:numPr>
      </w:pPr>
      <w:r>
        <w:t xml:space="preserve">Groupe : </w:t>
      </w:r>
      <w:r>
        <w:rPr>
          <w:rStyle w:val="optioncarChar"/>
        </w:rPr>
        <w:t>I / IIa / IIb</w:t>
      </w:r>
    </w:p>
    <w:p w14:paraId="318EC484" w14:textId="77777777" w:rsidR="00772179" w:rsidRDefault="00000000">
      <w:pPr>
        <w:pStyle w:val="Author-eListParagraph"/>
        <w:numPr>
          <w:ilvl w:val="0"/>
          <w:numId w:val="1011"/>
        </w:numPr>
      </w:pPr>
      <w:r>
        <w:t xml:space="preserve">Dimensions longueur x largeur : </w:t>
      </w:r>
      <w:r>
        <w:rPr>
          <w:rStyle w:val="optioncarChar"/>
        </w:rPr>
        <w:t>***</w:t>
      </w:r>
      <w:r>
        <w:t xml:space="preserve"> mm</w:t>
      </w:r>
    </w:p>
    <w:p w14:paraId="4D15D079" w14:textId="77777777" w:rsidR="00772179" w:rsidRDefault="00000000">
      <w:pPr>
        <w:pStyle w:val="Author-eListParagraph"/>
        <w:numPr>
          <w:ilvl w:val="0"/>
          <w:numId w:val="1011"/>
        </w:numPr>
      </w:pPr>
      <w:r>
        <w:t xml:space="preserve">Épaisseur : </w:t>
      </w:r>
      <w:r>
        <w:rPr>
          <w:rStyle w:val="optioncarChar"/>
        </w:rPr>
        <w:t xml:space="preserve">10 </w:t>
      </w:r>
      <w:r>
        <w:t>(par défaut)</w:t>
      </w:r>
      <w:r>
        <w:rPr>
          <w:rStyle w:val="optioncarChar"/>
        </w:rPr>
        <w:t xml:space="preserve"> / ***</w:t>
      </w:r>
      <w:r>
        <w:t xml:space="preserve"> mm</w:t>
      </w:r>
    </w:p>
    <w:p w14:paraId="58EB8799" w14:textId="77777777" w:rsidR="00772179" w:rsidRDefault="00000000">
      <w:pPr>
        <w:pStyle w:val="Author-eListParagraph"/>
        <w:numPr>
          <w:ilvl w:val="0"/>
          <w:numId w:val="1011"/>
        </w:numPr>
      </w:pPr>
      <w:r>
        <w:t xml:space="preserve">Classe d’exposition aux chocs [NBN B 27-005] : </w:t>
      </w:r>
      <w:r>
        <w:rPr>
          <w:rStyle w:val="optioncarChar"/>
        </w:rPr>
        <w:t xml:space="preserve">II / III </w:t>
      </w:r>
      <w:r>
        <w:t>(par défaut)</w:t>
      </w:r>
      <w:r>
        <w:rPr>
          <w:rStyle w:val="optioncarChar"/>
        </w:rPr>
        <w:t xml:space="preserve"> / IV</w:t>
      </w:r>
    </w:p>
    <w:p w14:paraId="5EBDEA06" w14:textId="77777777" w:rsidR="00772179" w:rsidRDefault="00000000">
      <w:pPr>
        <w:pStyle w:val="Author-eListParagraph"/>
        <w:numPr>
          <w:ilvl w:val="0"/>
          <w:numId w:val="1011"/>
        </w:numPr>
      </w:pPr>
      <w:r>
        <w:t>Classe d’exposition à l’eau : E</w:t>
      </w:r>
      <w:r>
        <w:rPr>
          <w:vertAlign w:val="subscript"/>
        </w:rPr>
        <w:t>D</w:t>
      </w:r>
    </w:p>
    <w:p w14:paraId="36C7C22B" w14:textId="77777777" w:rsidR="00772179" w:rsidRDefault="00000000">
      <w:pPr>
        <w:pStyle w:val="Author-eListParagraph"/>
        <w:numPr>
          <w:ilvl w:val="0"/>
          <w:numId w:val="1011"/>
        </w:numPr>
      </w:pPr>
      <w:r>
        <w:t xml:space="preserve">Classe de résistance au gel [NBN B 27-011] : </w:t>
      </w:r>
      <w:r>
        <w:rPr>
          <w:rStyle w:val="optioncarChar"/>
        </w:rPr>
        <w:t xml:space="preserve">5 </w:t>
      </w:r>
      <w:r>
        <w:t>(par défaut)</w:t>
      </w:r>
      <w:r>
        <w:rPr>
          <w:rStyle w:val="optioncarChar"/>
        </w:rPr>
        <w:t xml:space="preserve"> / 4</w:t>
      </w:r>
    </w:p>
    <w:p w14:paraId="2870CB3B" w14:textId="77777777" w:rsidR="00772179" w:rsidRDefault="00000000">
      <w:pPr>
        <w:pStyle w:val="Author-eListParagraph"/>
        <w:numPr>
          <w:ilvl w:val="0"/>
          <w:numId w:val="1011"/>
        </w:numPr>
      </w:pPr>
      <w:r>
        <w:t xml:space="preserve">Tolérances dimensionnelles - carreaux : </w:t>
      </w:r>
      <w:r>
        <w:rPr>
          <w:rStyle w:val="optioncarChar"/>
        </w:rPr>
        <w:t>calibrés</w:t>
      </w:r>
      <w:r>
        <w:t xml:space="preserve"> (par défaut)</w:t>
      </w:r>
      <w:r>
        <w:rPr>
          <w:rStyle w:val="optioncarChar"/>
        </w:rPr>
        <w:t xml:space="preserve"> / non calibrés</w:t>
      </w:r>
    </w:p>
    <w:p w14:paraId="0A316796" w14:textId="77777777" w:rsidR="00772179" w:rsidRDefault="00000000">
      <w:pPr>
        <w:jc w:val="both"/>
      </w:pPr>
      <w:r>
        <w:rPr>
          <w:b/>
        </w:rPr>
        <w:t>Les produits de collage</w:t>
      </w:r>
      <w:r>
        <w:t xml:space="preserve"> répondent aux spécifications de la [NBN EN 12004-1].</w:t>
      </w:r>
    </w:p>
    <w:p w14:paraId="245F8E1B" w14:textId="77777777" w:rsidR="00772179" w:rsidRDefault="00000000">
      <w:pPr>
        <w:jc w:val="both"/>
      </w:pPr>
      <w:r>
        <w:t xml:space="preserve">Type : </w:t>
      </w:r>
      <w:r>
        <w:rPr>
          <w:rStyle w:val="optioncarChar"/>
        </w:rPr>
        <w:t>C2 (mortier-colle) / R (colle réactive)</w:t>
      </w:r>
    </w:p>
    <w:p w14:paraId="00DB6686" w14:textId="77777777" w:rsidR="00772179" w:rsidRDefault="00000000">
      <w:pPr>
        <w:jc w:val="both"/>
      </w:pPr>
      <w:r>
        <w:t xml:space="preserve">Classe : </w:t>
      </w:r>
      <w:r>
        <w:rPr>
          <w:rStyle w:val="optioncarChar"/>
        </w:rPr>
        <w:t xml:space="preserve">normale </w:t>
      </w:r>
      <w:r>
        <w:t>(par défaut)</w:t>
      </w:r>
      <w:r>
        <w:rPr>
          <w:rStyle w:val="optioncarChar"/>
        </w:rPr>
        <w:t xml:space="preserve"> / améliorée</w:t>
      </w:r>
    </w:p>
    <w:p w14:paraId="7BF8C571" w14:textId="77777777" w:rsidR="00772179" w:rsidRDefault="00000000">
      <w:pPr>
        <w:jc w:val="both"/>
      </w:pPr>
      <w:r>
        <w:rPr>
          <w:b/>
        </w:rPr>
        <w:t>(soit par défaut)</w:t>
      </w:r>
    </w:p>
    <w:p w14:paraId="11BB8B0C" w14:textId="77777777" w:rsidR="00772179" w:rsidRDefault="00000000">
      <w:pPr>
        <w:jc w:val="both"/>
      </w:pPr>
      <w:r>
        <w:rPr>
          <w:rStyle w:val="soitChar"/>
          <w:u w:val="single"/>
        </w:rPr>
        <w:t>Normale</w:t>
      </w:r>
    </w:p>
    <w:p w14:paraId="62D20846" w14:textId="77777777" w:rsidR="00772179" w:rsidRDefault="00000000">
      <w:pPr>
        <w:jc w:val="both"/>
      </w:pPr>
      <w:r>
        <w:rPr>
          <w:b/>
        </w:rPr>
        <w:lastRenderedPageBreak/>
        <w:t>(soit)</w:t>
      </w:r>
    </w:p>
    <w:p w14:paraId="2E94591F" w14:textId="77777777" w:rsidR="00772179" w:rsidRDefault="00000000">
      <w:pPr>
        <w:jc w:val="both"/>
      </w:pPr>
      <w:r>
        <w:rPr>
          <w:rStyle w:val="soitChar"/>
          <w:u w:val="single"/>
        </w:rPr>
        <w:t>Améliorée :</w:t>
      </w:r>
      <w:r>
        <w:rPr>
          <w:rStyle w:val="soitChar"/>
        </w:rPr>
        <w:t xml:space="preserve"> l’entrepreneur détermine les caractéristiques complémentaires de la colle en fonction des carrelages et du support : temps ouvert allongé E, prise rapide F, glissement limité T, déformabilité S1 ou S2.</w:t>
      </w:r>
    </w:p>
    <w:p w14:paraId="0C2BBF20" w14:textId="77777777" w:rsidR="00772179" w:rsidRDefault="00000000">
      <w:pPr>
        <w:jc w:val="both"/>
      </w:pPr>
      <w:r>
        <w:t>Réaction au feu de la colle : </w:t>
      </w:r>
      <w:r>
        <w:rPr>
          <w:rStyle w:val="optioncarChar"/>
        </w:rPr>
        <w:t>E </w:t>
      </w:r>
      <w:r>
        <w:t>(par défaut)</w:t>
      </w:r>
      <w:r>
        <w:rPr>
          <w:rStyle w:val="optioncarChar"/>
        </w:rPr>
        <w:t> / ***</w:t>
      </w:r>
    </w:p>
    <w:p w14:paraId="054FDF55" w14:textId="77777777" w:rsidR="00772179" w:rsidRDefault="00000000">
      <w:pPr>
        <w:jc w:val="both"/>
      </w:pPr>
      <w:r>
        <w:rPr>
          <w:b/>
        </w:rPr>
        <w:t>Rejointoiement au mortier prédosé</w:t>
      </w:r>
      <w:r>
        <w:t xml:space="preserve"> suivant [NBN EN 13888] : </w:t>
      </w:r>
      <w:r>
        <w:rPr>
          <w:rStyle w:val="optioncarChar"/>
        </w:rPr>
        <w:t xml:space="preserve">CG1 / CG2 </w:t>
      </w:r>
      <w:r>
        <w:t xml:space="preserve">(par défaut) </w:t>
      </w:r>
      <w:r>
        <w:rPr>
          <w:rStyle w:val="optioncarChar"/>
        </w:rPr>
        <w:t>/ CG2W / CG2WA</w:t>
      </w:r>
    </w:p>
    <w:p w14:paraId="643775E6" w14:textId="77777777" w:rsidR="00772179" w:rsidRDefault="00000000">
      <w:pPr>
        <w:jc w:val="both"/>
      </w:pPr>
      <w:r>
        <w:rPr>
          <w:b/>
        </w:rPr>
        <w:t>Joints de mouvement :</w:t>
      </w:r>
      <w:r>
        <w:t xml:space="preserve"> Le produit de jointoiement répond aux spécifications de la [NBN EN ISO 11600] et des [STS 56.1].</w:t>
      </w:r>
    </w:p>
    <w:p w14:paraId="3EB2F755" w14:textId="77777777" w:rsidR="00772179" w:rsidRDefault="00000000">
      <w:pPr>
        <w:jc w:val="both"/>
      </w:pPr>
      <w:r>
        <w:rPr>
          <w:b/>
        </w:rPr>
        <w:t>Profils d’arrêts, d’angles :</w:t>
      </w:r>
      <w:r>
        <w:rPr>
          <w:rStyle w:val="optioncarChar"/>
        </w:rPr>
        <w:t xml:space="preserve">acier galvanisé avec revêtement époxy, teinte au choix de l’auteur de projet </w:t>
      </w:r>
      <w:r>
        <w:t>(par défaut)</w:t>
      </w:r>
      <w:r>
        <w:rPr>
          <w:rStyle w:val="optioncarChar"/>
        </w:rPr>
        <w:t xml:space="preserve"> / acier inoxydable / ***</w:t>
      </w:r>
      <w:r>
        <w:t>.</w:t>
      </w:r>
    </w:p>
    <w:p w14:paraId="72C75E9A" w14:textId="77777777" w:rsidR="00772179" w:rsidRDefault="00000000">
      <w:pPr>
        <w:pStyle w:val="pheading"/>
      </w:pPr>
      <w:r>
        <w:t>- Finitions</w:t>
      </w:r>
    </w:p>
    <w:p w14:paraId="65853B45" w14:textId="77777777" w:rsidR="00772179" w:rsidRDefault="00000000">
      <w:pPr>
        <w:jc w:val="both"/>
      </w:pPr>
      <w:r>
        <w:t xml:space="preserve">Carrelages : </w:t>
      </w:r>
      <w:r>
        <w:rPr>
          <w:rStyle w:val="optioncarChar"/>
        </w:rPr>
        <w:t xml:space="preserve">teinte et aspect au choix de l’auteur de projet </w:t>
      </w:r>
      <w:r>
        <w:t xml:space="preserve">(par défaut) </w:t>
      </w:r>
      <w:r>
        <w:rPr>
          <w:rStyle w:val="optioncarChar"/>
        </w:rPr>
        <w:t>/ ***.</w:t>
      </w:r>
    </w:p>
    <w:p w14:paraId="433FB3B0" w14:textId="77777777" w:rsidR="00772179" w:rsidRDefault="00000000">
      <w:pPr>
        <w:jc w:val="both"/>
      </w:pPr>
      <w:r>
        <w:t xml:space="preserve">Teinte des joints au choix de l’auteur de projet dans toute la gamme du fabricant : </w:t>
      </w:r>
      <w:r>
        <w:rPr>
          <w:rStyle w:val="optioncarChar"/>
        </w:rPr>
        <w:t xml:space="preserve">sur base d’échantillons réalisés in situ </w:t>
      </w:r>
      <w:r>
        <w:t xml:space="preserve">(par défaut) </w:t>
      </w:r>
      <w:r>
        <w:rPr>
          <w:rStyle w:val="optioncarChar"/>
        </w:rPr>
        <w:t>/ ***.</w:t>
      </w:r>
    </w:p>
    <w:p w14:paraId="7DDD36CF" w14:textId="77777777" w:rsidR="00772179" w:rsidRDefault="00000000">
      <w:pPr>
        <w:pStyle w:val="pheading"/>
      </w:pPr>
      <w:r>
        <w:t>EXÉCUTION / MISE EN ŒUVRE</w:t>
      </w:r>
    </w:p>
    <w:p w14:paraId="2A8C952B" w14:textId="77777777" w:rsidR="00772179" w:rsidRDefault="00000000">
      <w:pPr>
        <w:pStyle w:val="pheading"/>
      </w:pPr>
      <w:r>
        <w:t>- Prescriptions générales</w:t>
      </w:r>
    </w:p>
    <w:p w14:paraId="6E4350BC" w14:textId="77777777" w:rsidR="00772179" w:rsidRDefault="00000000">
      <w:pPr>
        <w:jc w:val="both"/>
      </w:pPr>
      <w:r>
        <w:t xml:space="preserve">Les supports en béton ou maçonnerie sont considérés comme étant de classe de tolérance : </w:t>
      </w:r>
      <w:r>
        <w:rPr>
          <w:rStyle w:val="optioncarChar"/>
        </w:rPr>
        <w:t>S2 / S3</w:t>
      </w:r>
      <w:r>
        <w:t xml:space="preserve"> (par défaut).</w:t>
      </w:r>
    </w:p>
    <w:p w14:paraId="277D2C64" w14:textId="77777777" w:rsidR="00772179" w:rsidRDefault="00000000">
      <w:pPr>
        <w:jc w:val="both"/>
      </w:pPr>
      <w:r>
        <w:t xml:space="preserve">Le plan d’appareillage est établi par </w:t>
      </w:r>
      <w:r>
        <w:rPr>
          <w:rStyle w:val="optioncarChar"/>
        </w:rPr>
        <w:t xml:space="preserve">l’auteur de projet </w:t>
      </w:r>
      <w:r>
        <w:t>(par défaut)</w:t>
      </w:r>
      <w:r>
        <w:rPr>
          <w:rStyle w:val="optioncarChar"/>
        </w:rPr>
        <w:t xml:space="preserve"> / l'entrepreneur</w:t>
      </w:r>
    </w:p>
    <w:p w14:paraId="081CC7FB" w14:textId="77777777" w:rsidR="00772179" w:rsidRDefault="00000000">
      <w:pPr>
        <w:jc w:val="both"/>
      </w:pPr>
      <w:r>
        <w:t>Le plan d’appareillage indique la position des joints de mouvement.</w:t>
      </w:r>
    </w:p>
    <w:p w14:paraId="53309EE1" w14:textId="77777777" w:rsidR="00772179" w:rsidRDefault="00000000">
      <w:pPr>
        <w:jc w:val="both"/>
      </w:pPr>
      <w:r>
        <w:t xml:space="preserve">La tolérance sur le carrelage posé est de classe : </w:t>
      </w:r>
      <w:r>
        <w:rPr>
          <w:rStyle w:val="optioncarChar"/>
        </w:rPr>
        <w:t xml:space="preserve">R1.2 </w:t>
      </w:r>
      <w:r>
        <w:t xml:space="preserve">(par défaut) </w:t>
      </w:r>
      <w:r>
        <w:rPr>
          <w:rStyle w:val="optioncarChar"/>
        </w:rPr>
        <w:t>/ ***</w:t>
      </w:r>
    </w:p>
    <w:p w14:paraId="0B4C0E82" w14:textId="77777777" w:rsidR="00772179" w:rsidRDefault="00000000">
      <w:pPr>
        <w:jc w:val="both"/>
      </w:pPr>
      <w:r>
        <w:t xml:space="preserve">Largeur du joint : </w:t>
      </w:r>
      <w:r>
        <w:rPr>
          <w:rStyle w:val="optioncarChar"/>
        </w:rPr>
        <w:t xml:space="preserve">3 / 6 </w:t>
      </w:r>
      <w:r>
        <w:t>(par défaut)</w:t>
      </w:r>
      <w:r>
        <w:rPr>
          <w:rStyle w:val="optioncarChar"/>
        </w:rPr>
        <w:t xml:space="preserve"> / ***</w:t>
      </w:r>
      <w:r>
        <w:t xml:space="preserve"> mm</w:t>
      </w:r>
    </w:p>
    <w:p w14:paraId="7FD552DC" w14:textId="77777777" w:rsidR="00772179" w:rsidRDefault="00000000">
      <w:pPr>
        <w:pStyle w:val="pheading"/>
      </w:pPr>
      <w:r>
        <w:t>- Échantillons</w:t>
      </w:r>
    </w:p>
    <w:p w14:paraId="35D8C69F" w14:textId="77777777" w:rsidR="00772179" w:rsidRDefault="00000000">
      <w:pPr>
        <w:jc w:val="both"/>
      </w:pPr>
      <w:r>
        <w:t>Un échantillon des carrelages accompagné d’une fiche technique est présenté pour approbation à l’auteur de projet.</w:t>
      </w:r>
    </w:p>
    <w:p w14:paraId="58488F9C" w14:textId="77777777" w:rsidR="00772179" w:rsidRDefault="00000000">
      <w:pPr>
        <w:jc w:val="both"/>
      </w:pPr>
      <w:r>
        <w:t>Afin de déterminer le choix définitif des joints, un ou plusieurs échantillons de +/- 0,25 m² (avec un maximum de </w:t>
      </w:r>
      <w:r>
        <w:rPr>
          <w:rStyle w:val="optioncarChar"/>
        </w:rPr>
        <w:t>3</w:t>
      </w:r>
      <w:r>
        <w:t> (par défaut)</w:t>
      </w:r>
      <w:r>
        <w:rPr>
          <w:rStyle w:val="optioncarChar"/>
        </w:rPr>
        <w:t> / 5 / ***</w:t>
      </w:r>
      <w:r>
        <w:t xml:space="preserve"> échantillons à réaliser au total) sont présentés pour approbation à l'auteur de projet. </w:t>
      </w:r>
    </w:p>
    <w:p w14:paraId="72BA494E" w14:textId="77777777" w:rsidR="00772179" w:rsidRDefault="00000000">
      <w:pPr>
        <w:jc w:val="both"/>
      </w:pPr>
      <w:r>
        <w:t xml:space="preserve"> La teinte du produit des joints de mouvement est soumise à l’approbation de l’auteur de projet en réalisant </w:t>
      </w:r>
      <w:r>
        <w:rPr>
          <w:rStyle w:val="optioncarChar"/>
        </w:rPr>
        <w:t>3</w:t>
      </w:r>
      <w:r>
        <w:t> (par défaut)</w:t>
      </w:r>
      <w:r>
        <w:rPr>
          <w:rStyle w:val="optioncarChar"/>
        </w:rPr>
        <w:t> / 5 / ***</w:t>
      </w:r>
      <w:r>
        <w:t> échantillons sur un mètre de longueur.</w:t>
      </w:r>
    </w:p>
    <w:p w14:paraId="6F9B3C47" w14:textId="77777777" w:rsidR="00772179" w:rsidRDefault="00000000">
      <w:pPr>
        <w:pStyle w:val="pheading"/>
      </w:pPr>
      <w:r>
        <w:t>MESURAGE</w:t>
      </w:r>
    </w:p>
    <w:p w14:paraId="3164753E" w14:textId="77777777" w:rsidR="00772179" w:rsidRDefault="00000000">
      <w:pPr>
        <w:pStyle w:val="pheading"/>
      </w:pPr>
      <w:r>
        <w:t>- unité de mesure:</w:t>
      </w:r>
    </w:p>
    <w:p w14:paraId="75F29254" w14:textId="77777777" w:rsidR="00772179" w:rsidRDefault="00000000">
      <w:r>
        <w:t>1. m²</w:t>
      </w:r>
    </w:p>
    <w:p w14:paraId="75E4934E" w14:textId="77777777" w:rsidR="00772179" w:rsidRDefault="00000000">
      <w:r>
        <w:t>2. m</w:t>
      </w:r>
    </w:p>
    <w:p w14:paraId="5CF3FBAA" w14:textId="77777777" w:rsidR="00772179" w:rsidRDefault="00000000">
      <w:pPr>
        <w:pStyle w:val="pheading"/>
      </w:pPr>
      <w:r>
        <w:t>- code de mesurage:</w:t>
      </w:r>
    </w:p>
    <w:p w14:paraId="170A8AFE" w14:textId="77777777" w:rsidR="00772179" w:rsidRDefault="00000000">
      <w:pPr>
        <w:pStyle w:val="Author-eListParagraph"/>
        <w:numPr>
          <w:ilvl w:val="0"/>
          <w:numId w:val="1012"/>
        </w:numPr>
      </w:pPr>
      <w:r>
        <w:rPr>
          <w:b/>
        </w:rPr>
        <w:t>Surface nette</w:t>
      </w:r>
      <w:r>
        <w:t xml:space="preserve"> mesurée dans le plan extérieur des carrelages. Les ouvertures et les interruptions ≥ 0,50 m² sont déduites. Les retours sont comptés.</w:t>
      </w:r>
    </w:p>
    <w:p w14:paraId="0A82EAC6" w14:textId="77777777" w:rsidR="00772179" w:rsidRDefault="00000000">
      <w:pPr>
        <w:pStyle w:val="Author-eListParagraph"/>
        <w:numPr>
          <w:ilvl w:val="0"/>
          <w:numId w:val="1012"/>
        </w:numPr>
      </w:pPr>
      <w:r>
        <w:rPr>
          <w:b/>
        </w:rPr>
        <w:t>Longueur nette</w:t>
      </w:r>
      <w:r>
        <w:t> des joints de dilatation.</w:t>
      </w:r>
    </w:p>
    <w:p w14:paraId="5B755FC1" w14:textId="77777777" w:rsidR="00772179" w:rsidRDefault="00000000">
      <w:pPr>
        <w:pStyle w:val="pheading"/>
      </w:pPr>
      <w:r>
        <w:t>- nature du marché:</w:t>
      </w:r>
    </w:p>
    <w:p w14:paraId="40E7674C" w14:textId="77777777" w:rsidR="00772179" w:rsidRDefault="00000000">
      <w:r>
        <w:t>QF</w:t>
      </w:r>
    </w:p>
    <w:p w14:paraId="0872B5F0" w14:textId="77777777" w:rsidR="00772179" w:rsidRDefault="00000000">
      <w:pPr>
        <w:pStyle w:val="Author-eSectionHeading5Numberless"/>
      </w:pPr>
      <w:bookmarkStart w:id="788" w:name="_Toc220490473"/>
      <w:r>
        <w:lastRenderedPageBreak/>
        <w:t>43.32.2 Revêtements de façades rigides collés – système « isolant + carreaux céramiques » CCTB 01.11</w:t>
      </w:r>
      <w:bookmarkEnd w:id="788"/>
    </w:p>
    <w:p w14:paraId="33BA7E2C" w14:textId="77777777" w:rsidR="00772179" w:rsidRDefault="00000000">
      <w:pPr>
        <w:pStyle w:val="pheading"/>
      </w:pPr>
      <w:bookmarkStart w:id="789" w:name="1006"/>
      <w:bookmarkEnd w:id="789"/>
      <w:r>
        <w:t>DESCRIPTION</w:t>
      </w:r>
    </w:p>
    <w:p w14:paraId="14872A7D" w14:textId="77777777" w:rsidR="00772179" w:rsidRDefault="00000000">
      <w:pPr>
        <w:pStyle w:val="pheading"/>
      </w:pPr>
      <w:r>
        <w:t>- Définition / Comprend</w:t>
      </w:r>
    </w:p>
    <w:p w14:paraId="2075C259" w14:textId="77777777" w:rsidR="00772179" w:rsidRDefault="00000000">
      <w:pPr>
        <w:jc w:val="both"/>
      </w:pPr>
      <w:r>
        <w:t>Il s'agit de toutes les fournitures et travaux nécessaires en vue de la réalisation d’un système de carreaux céramiques encollés sur des panneaux d’isolation extérieure soit :</w:t>
      </w:r>
    </w:p>
    <w:p w14:paraId="60AD8801" w14:textId="77777777" w:rsidR="00772179" w:rsidRDefault="00000000">
      <w:pPr>
        <w:pStyle w:val="Author-eListParagraph"/>
        <w:numPr>
          <w:ilvl w:val="0"/>
          <w:numId w:val="1013"/>
        </w:numPr>
      </w:pPr>
      <w:r>
        <w:t>en usine (systèmes préfabriqués ‘vêtures’ voir </w:t>
      </w:r>
      <w:hyperlink w:anchor="1007" w:history="1">
        <w:r>
          <w:rPr>
            <w:color w:val="0000EE"/>
          </w:rPr>
          <w:t>43.32.2a Revêtements de façades rigides collés – système « isolant + carreaux céramiques » - préfabriqué</w:t>
        </w:r>
      </w:hyperlink>
      <w:r>
        <w:t>) </w:t>
      </w:r>
    </w:p>
    <w:p w14:paraId="7C4766A0" w14:textId="77777777" w:rsidR="00772179" w:rsidRDefault="00000000">
      <w:pPr>
        <w:pStyle w:val="Author-eListParagraph"/>
        <w:numPr>
          <w:ilvl w:val="0"/>
          <w:numId w:val="1013"/>
        </w:numPr>
      </w:pPr>
      <w:r>
        <w:t>assemblé sur chantier avec ou sans enduit de base renforcé (voir </w:t>
      </w:r>
      <w:hyperlink w:anchor="1008" w:history="1">
        <w:r>
          <w:rPr>
            <w:color w:val="0000EE"/>
          </w:rPr>
          <w:t>43.32.2b Revêtements de façades rigides collés – système « isolant + carreaux céramiques » - assemblé sur place</w:t>
        </w:r>
      </w:hyperlink>
      <w:r>
        <w:t>).</w:t>
      </w:r>
    </w:p>
    <w:p w14:paraId="5A390747" w14:textId="77777777" w:rsidR="00772179" w:rsidRDefault="00000000">
      <w:pPr>
        <w:jc w:val="both"/>
      </w:pPr>
      <w:r>
        <w:t>Les carreaux sont jointoyés afin de constituer un ouvrage parfaitement fini.</w:t>
      </w:r>
    </w:p>
    <w:p w14:paraId="58D91212" w14:textId="77777777" w:rsidR="00772179" w:rsidRDefault="00000000">
      <w:pPr>
        <w:jc w:val="both"/>
      </w:pPr>
      <w:r>
        <w:t>Les zones de façades courantes se distinguent de la zone de plinthe située entre 50 cm sous le niveau de sol extérieur et minimum 30 cm au-dessus. Les spécifications relatives au système et ses composants sont plus strictes dans ce dernier cas.</w:t>
      </w:r>
    </w:p>
    <w:p w14:paraId="1A97303B" w14:textId="77777777" w:rsidR="00772179" w:rsidRDefault="00000000">
      <w:pPr>
        <w:jc w:val="both"/>
      </w:pPr>
      <w:r>
        <w:t>Conformément aux dispositions générales et/ou spécifiques du cahier spécial des charges, les prix unitaires compris dans ces postes comprennent toujours, soit selon la ventilation dans le métré récapitulatif, soit dans leur totalité, notamment :</w:t>
      </w:r>
    </w:p>
    <w:p w14:paraId="35220C4B" w14:textId="77777777" w:rsidR="00772179" w:rsidRDefault="00000000">
      <w:pPr>
        <w:pStyle w:val="Author-eListParagraph"/>
        <w:numPr>
          <w:ilvl w:val="0"/>
          <w:numId w:val="1014"/>
        </w:numPr>
      </w:pPr>
      <w:r>
        <w:t>la pose et l'enlèvement des échafaudages et des bâches nécessaires à l'exécution ;</w:t>
      </w:r>
    </w:p>
    <w:p w14:paraId="763E704F" w14:textId="77777777" w:rsidR="00772179" w:rsidRDefault="00000000">
      <w:pPr>
        <w:pStyle w:val="Author-eListParagraph"/>
        <w:numPr>
          <w:ilvl w:val="0"/>
          <w:numId w:val="1014"/>
        </w:numPr>
      </w:pPr>
      <w:r>
        <w:t>le cas échéant, l'enlèvement et la remise en place des descentes d'eau de pluie ;</w:t>
      </w:r>
    </w:p>
    <w:p w14:paraId="54678973" w14:textId="77777777" w:rsidR="00772179" w:rsidRDefault="00000000">
      <w:pPr>
        <w:pStyle w:val="Author-eListParagraph"/>
        <w:numPr>
          <w:ilvl w:val="0"/>
          <w:numId w:val="1014"/>
        </w:numPr>
      </w:pPr>
      <w:r>
        <w:t>la protection provisoire des parties de façade qui ne sont pas destinées à recevoir le système (menuiserie et vitrage par exemple) ;</w:t>
      </w:r>
    </w:p>
    <w:p w14:paraId="2310D945" w14:textId="77777777" w:rsidR="00772179" w:rsidRDefault="00000000">
      <w:pPr>
        <w:pStyle w:val="Author-eListParagraph"/>
        <w:numPr>
          <w:ilvl w:val="0"/>
          <w:numId w:val="1014"/>
        </w:numPr>
      </w:pPr>
      <w:r>
        <w:t>l’installation d’un dispositif de protection contre toute évolution défavorable des conditions climatiques durant l’exécution des travaux ;</w:t>
      </w:r>
    </w:p>
    <w:p w14:paraId="586BF366" w14:textId="77777777" w:rsidR="00772179" w:rsidRDefault="00000000">
      <w:pPr>
        <w:pStyle w:val="Author-eListParagraph"/>
        <w:numPr>
          <w:ilvl w:val="0"/>
          <w:numId w:val="1014"/>
        </w:numPr>
      </w:pPr>
      <w:r>
        <w:t>le contrôle de l’état du support (planéité, verticalité, ...) afin de s’assurer de la pertinence de la technique de pose prévue ;</w:t>
      </w:r>
    </w:p>
    <w:p w14:paraId="406566E6" w14:textId="77777777" w:rsidR="00772179" w:rsidRDefault="00000000">
      <w:pPr>
        <w:pStyle w:val="Author-eListParagraph"/>
        <w:numPr>
          <w:ilvl w:val="0"/>
          <w:numId w:val="1014"/>
        </w:numPr>
      </w:pPr>
      <w:r>
        <w:t>la préparation et le nettoyage du support ;</w:t>
      </w:r>
    </w:p>
    <w:p w14:paraId="0D294D0A" w14:textId="77777777" w:rsidR="00772179" w:rsidRDefault="00000000">
      <w:pPr>
        <w:pStyle w:val="Author-eListParagraph"/>
        <w:numPr>
          <w:ilvl w:val="0"/>
          <w:numId w:val="1014"/>
        </w:numPr>
      </w:pPr>
      <w:r>
        <w:t>l’application d’un produit de prétraitement, pour autant que l’assemblage support/système d’isolation l’exige ;</w:t>
      </w:r>
    </w:p>
    <w:p w14:paraId="047D370D" w14:textId="77777777" w:rsidR="00772179" w:rsidRDefault="00000000">
      <w:pPr>
        <w:pStyle w:val="Author-eListParagraph"/>
        <w:numPr>
          <w:ilvl w:val="0"/>
          <w:numId w:val="1014"/>
        </w:numPr>
      </w:pPr>
      <w:r>
        <w:t>la fourniture et la pose de la couche d'isolation ;</w:t>
      </w:r>
    </w:p>
    <w:p w14:paraId="52B5ACF6" w14:textId="77777777" w:rsidR="00772179" w:rsidRDefault="00000000">
      <w:pPr>
        <w:pStyle w:val="Author-eListParagraph"/>
        <w:numPr>
          <w:ilvl w:val="0"/>
          <w:numId w:val="1014"/>
        </w:numPr>
      </w:pPr>
      <w:r>
        <w:t>l’application de l’enduit de base renforcé si le système le prévoit ainsi que tous les renforts et profilés nécessaires (entoilage dans les zones de concentrations de contraintes, profilés d’angle ou de dilatation, etc. ) ;</w:t>
      </w:r>
    </w:p>
    <w:p w14:paraId="1EB93EE6" w14:textId="77777777" w:rsidR="00772179" w:rsidRDefault="00000000">
      <w:pPr>
        <w:pStyle w:val="Author-eListParagraph"/>
        <w:numPr>
          <w:ilvl w:val="0"/>
          <w:numId w:val="1014"/>
        </w:numPr>
      </w:pPr>
      <w:r>
        <w:t>l’encollage des carreaux par double encollage pour les systèmes assemblés sur place, toutes fournitures comprises (notamment les carreaux, les produits de pose et de jointoiement, – y compris les joints souples) ;</w:t>
      </w:r>
    </w:p>
    <w:p w14:paraId="43AEB5C0" w14:textId="77777777" w:rsidR="00772179" w:rsidRDefault="00000000">
      <w:pPr>
        <w:pStyle w:val="Author-eListParagraph"/>
        <w:numPr>
          <w:ilvl w:val="0"/>
          <w:numId w:val="1014"/>
        </w:numPr>
      </w:pPr>
      <w:r>
        <w:t>l'enlèvement de toutes les protections, la remise en place de tous les éléments démontés et le rangement du chantier ;</w:t>
      </w:r>
    </w:p>
    <w:p w14:paraId="207F696F" w14:textId="77777777" w:rsidR="00772179" w:rsidRDefault="00000000">
      <w:pPr>
        <w:pStyle w:val="Author-eListParagraph"/>
        <w:numPr>
          <w:ilvl w:val="0"/>
          <w:numId w:val="1014"/>
        </w:numPr>
      </w:pPr>
      <w:r>
        <w:t>l'évacuation et la gestion des déchets issus de travaux de démolition, de rénovation ou de construction font l'objet d'un ou plusieurs postes spécifiques, détaillés en section 07 Déchets, matériaux et éléments réemployables.</w:t>
      </w:r>
    </w:p>
    <w:p w14:paraId="52FC8344" w14:textId="77777777" w:rsidR="00772179" w:rsidRDefault="00000000">
      <w:pPr>
        <w:jc w:val="both"/>
      </w:pPr>
      <w:r>
        <w:t>Sauf disposition contraire dans le cahier spécial des charges, les opérations suivantes ne font pas parties du présent travail et sont décrites dans des articles relatifs à la préparation du support sous le </w:t>
      </w:r>
      <w:hyperlink w:anchor="1009" w:history="1">
        <w:r>
          <w:rPr>
            <w:color w:val="0000EE"/>
          </w:rPr>
          <w:t>43.31 Revêtements de façade rigides collés - préparation du support</w:t>
        </w:r>
      </w:hyperlink>
      <w:r>
        <w:t> ou autre tel que précisé :</w:t>
      </w:r>
    </w:p>
    <w:p w14:paraId="3C44AD88" w14:textId="77777777" w:rsidR="00772179" w:rsidRDefault="00000000">
      <w:pPr>
        <w:pStyle w:val="Author-eListParagraph"/>
        <w:numPr>
          <w:ilvl w:val="0"/>
          <w:numId w:val="1015"/>
        </w:numPr>
        <w:jc w:val="both"/>
      </w:pPr>
      <w:r>
        <w:t>l’augmentation de la rugosité du support ;</w:t>
      </w:r>
    </w:p>
    <w:p w14:paraId="31C20E7A" w14:textId="77777777" w:rsidR="00772179" w:rsidRDefault="00000000">
      <w:pPr>
        <w:pStyle w:val="Author-eListParagraph"/>
        <w:numPr>
          <w:ilvl w:val="0"/>
          <w:numId w:val="1015"/>
        </w:numPr>
        <w:jc w:val="both"/>
      </w:pPr>
      <w:r>
        <w:t>l’élimination des inégalités importantes du support en procédant, par exemple, à l’application d’une couche d’égalisation visant à corriger les surfaces hors tolérances ;</w:t>
      </w:r>
    </w:p>
    <w:p w14:paraId="7CB23083" w14:textId="77777777" w:rsidR="00772179" w:rsidRDefault="00000000">
      <w:pPr>
        <w:pStyle w:val="Author-eListParagraph"/>
        <w:numPr>
          <w:ilvl w:val="0"/>
          <w:numId w:val="1015"/>
        </w:numPr>
        <w:jc w:val="both"/>
      </w:pPr>
      <w:r>
        <w:t>l’enlèvement ou la neutralisation des produits de décoffrage ;</w:t>
      </w:r>
    </w:p>
    <w:p w14:paraId="5AFC1BC2" w14:textId="77777777" w:rsidR="00772179" w:rsidRDefault="00000000">
      <w:pPr>
        <w:pStyle w:val="Author-eListParagraph"/>
        <w:numPr>
          <w:ilvl w:val="0"/>
          <w:numId w:val="1015"/>
        </w:numPr>
        <w:jc w:val="both"/>
      </w:pPr>
      <w:r>
        <w:t>la protection contre la corrosion des parties métalliques (tuyauteries, par exemple) ;</w:t>
      </w:r>
    </w:p>
    <w:p w14:paraId="14C1B938" w14:textId="77777777" w:rsidR="00772179" w:rsidRDefault="00000000">
      <w:pPr>
        <w:pStyle w:val="Author-eListParagraph"/>
        <w:numPr>
          <w:ilvl w:val="0"/>
          <w:numId w:val="1015"/>
        </w:numPr>
        <w:jc w:val="both"/>
      </w:pPr>
      <w:r>
        <w:t>l’élimination des efflorescences éventuelles ;</w:t>
      </w:r>
    </w:p>
    <w:p w14:paraId="66EB67B7" w14:textId="77777777" w:rsidR="00772179" w:rsidRDefault="00000000">
      <w:pPr>
        <w:pStyle w:val="Author-eListParagraph"/>
        <w:numPr>
          <w:ilvl w:val="0"/>
          <w:numId w:val="1015"/>
        </w:numPr>
        <w:jc w:val="both"/>
      </w:pPr>
      <w:r>
        <w:lastRenderedPageBreak/>
        <w:t>toute protection autre que celles généralement prévues (voir ci-dessus) ;</w:t>
      </w:r>
    </w:p>
    <w:p w14:paraId="6FF6D788" w14:textId="77777777" w:rsidR="00772179" w:rsidRDefault="00000000">
      <w:pPr>
        <w:pStyle w:val="Author-eListParagraph"/>
        <w:numPr>
          <w:ilvl w:val="0"/>
          <w:numId w:val="1015"/>
        </w:numPr>
        <w:jc w:val="both"/>
      </w:pPr>
      <w:r>
        <w:t>la fourniture et l’application d’un traitement tel qu’un antigraffiti (voir 8 T8 Travaux de peinture / Traitements de surface).</w:t>
      </w:r>
    </w:p>
    <w:p w14:paraId="6BB76681" w14:textId="77777777" w:rsidR="00772179" w:rsidRDefault="00000000">
      <w:pPr>
        <w:pStyle w:val="pheading"/>
      </w:pPr>
      <w:r>
        <w:t>MATÉRIAUX</w:t>
      </w:r>
    </w:p>
    <w:p w14:paraId="75E4447E" w14:textId="77777777" w:rsidR="00772179" w:rsidRDefault="00000000">
      <w:pPr>
        <w:jc w:val="both"/>
      </w:pPr>
      <w:r>
        <w:t>Le système - caractérisé par ses composants identifiés - dispose d'une déclaration d'aptitude à l'utilisation suivant les prescriptions au 02.42.1 Critères d'acceptabilité.</w:t>
      </w:r>
    </w:p>
    <w:p w14:paraId="512489B0" w14:textId="77777777" w:rsidR="00772179" w:rsidRDefault="00000000">
      <w:pPr>
        <w:jc w:val="both"/>
      </w:pPr>
      <w:r>
        <w:t xml:space="preserve"> Il répond au moins aux spécifications de l’[EAD 040287-00-0404] (système avec enduit de base renforcé) et de l’[ETAG 017] pour les vêtures (système composite revêtement + isolant assemblé en usine). Les spécifications pour un système sans enduit de base renforcé se basent sur le premier document cité (sous réserve de certains critères plus strictes et de la réussite d’un essai de résistance aux pluies battantes, voir [NIT 279]).</w:t>
      </w:r>
    </w:p>
    <w:p w14:paraId="01C2FEC8" w14:textId="77777777" w:rsidR="00772179" w:rsidRDefault="00000000">
      <w:pPr>
        <w:jc w:val="both"/>
      </w:pPr>
      <w:r>
        <w:rPr>
          <w:b/>
        </w:rPr>
        <w:t>Isolant</w:t>
      </w:r>
    </w:p>
    <w:p w14:paraId="30B4E9F7" w14:textId="77777777" w:rsidR="00772179" w:rsidRDefault="00000000">
      <w:pPr>
        <w:jc w:val="both"/>
      </w:pPr>
      <w:r>
        <w:t>L’isolant répond aux spécifications de la norme ‘produit’ qui le vise.</w:t>
      </w:r>
    </w:p>
    <w:p w14:paraId="27808220" w14:textId="77777777" w:rsidR="00772179" w:rsidRDefault="00000000">
      <w:pPr>
        <w:jc w:val="both"/>
      </w:pPr>
      <w:r>
        <w:t xml:space="preserve"> Par exemple :</w:t>
      </w:r>
    </w:p>
    <w:p w14:paraId="080CC47E" w14:textId="77777777" w:rsidR="00772179" w:rsidRDefault="00000000">
      <w:pPr>
        <w:pStyle w:val="Author-eListParagraph"/>
        <w:numPr>
          <w:ilvl w:val="0"/>
          <w:numId w:val="1016"/>
        </w:numPr>
        <w:jc w:val="both"/>
      </w:pPr>
      <w:r>
        <w:t>le polystyrène expansé (EPS) : [NBN EN 13163:2012+A2] pour les systèmes avec enduit de base ;</w:t>
      </w:r>
    </w:p>
    <w:p w14:paraId="6CDAD875" w14:textId="77777777" w:rsidR="00772179" w:rsidRDefault="00000000">
      <w:pPr>
        <w:pStyle w:val="Author-eListParagraph"/>
        <w:numPr>
          <w:ilvl w:val="0"/>
          <w:numId w:val="1016"/>
        </w:numPr>
        <w:jc w:val="both"/>
      </w:pPr>
      <w:r>
        <w:t>le polystyrène extrudé (XPS) : [NBN EN 13164+A1] ou le polystyrène expansé de haute densité (EPS)  : [NBN EN 13163:2012+A2], pour les systèmes sans enduit de base ;</w:t>
      </w:r>
    </w:p>
    <w:p w14:paraId="22AEF3AC" w14:textId="77777777" w:rsidR="00772179" w:rsidRDefault="00000000">
      <w:pPr>
        <w:pStyle w:val="Author-eListParagraph"/>
        <w:numPr>
          <w:ilvl w:val="0"/>
          <w:numId w:val="1016"/>
        </w:numPr>
        <w:jc w:val="both"/>
      </w:pPr>
      <w:r>
        <w:t>le polyuréthane (PU) : [NBN EN 13165:2012+A2] pour les systèmes préfabriqués.</w:t>
      </w:r>
    </w:p>
    <w:p w14:paraId="2CC6C801" w14:textId="77777777" w:rsidR="00772179" w:rsidRDefault="00000000">
      <w:pPr>
        <w:jc w:val="both"/>
      </w:pPr>
      <w:r>
        <w:t>En outre, il répond à des critères plus stricts pour cet usage particulier (voir [NIT 279]).</w:t>
      </w:r>
    </w:p>
    <w:p w14:paraId="60F3A2E1" w14:textId="77777777" w:rsidR="00772179" w:rsidRDefault="00000000">
      <w:pPr>
        <w:jc w:val="both"/>
      </w:pPr>
      <w:r>
        <w:t xml:space="preserve"> Dans le cas des systèmes sans enduit de base renforcé et des vêtures, tant les panneaux d’isolation que leurs jonctions assurent l’étanchéité à l’eau. Le produit de calfeutrement décrit dans la documentation technique est utilisé à cet égard. La pression d’étanchéité à l’eau admise est déterminée sur la base de la [NBN EN 12865].</w:t>
      </w:r>
    </w:p>
    <w:p w14:paraId="7DBC8DBE" w14:textId="77777777" w:rsidR="00772179" w:rsidRDefault="00000000">
      <w:pPr>
        <w:jc w:val="both"/>
      </w:pPr>
      <w:r>
        <w:rPr>
          <w:b/>
        </w:rPr>
        <w:t>Carreaux céramiques</w:t>
      </w:r>
    </w:p>
    <w:p w14:paraId="4596A377" w14:textId="77777777" w:rsidR="00772179" w:rsidRDefault="00000000">
      <w:pPr>
        <w:jc w:val="both"/>
      </w:pPr>
      <w:r>
        <w:t>Les carreaux céramiques répondent aux spécifications de la [NBN EN 14411].</w:t>
      </w:r>
    </w:p>
    <w:p w14:paraId="3F09E65F" w14:textId="77777777" w:rsidR="00772179" w:rsidRDefault="00000000">
      <w:pPr>
        <w:jc w:val="both"/>
      </w:pPr>
      <w:r>
        <w:rPr>
          <w:b/>
        </w:rPr>
        <w:t>Moyens de fixation mécaniques</w:t>
      </w:r>
    </w:p>
    <w:p w14:paraId="79D791B1" w14:textId="77777777" w:rsidR="00772179" w:rsidRDefault="00000000">
      <w:pPr>
        <w:jc w:val="both"/>
      </w:pPr>
      <w:r>
        <w:t>Les moyens de fixation mécaniques répondent aux spécifications de l’[EAD 330196-01-0604] (conversion de l’[ETAG 014]).</w:t>
      </w:r>
    </w:p>
    <w:p w14:paraId="5DFD2291" w14:textId="77777777" w:rsidR="00772179" w:rsidRDefault="00000000">
      <w:pPr>
        <w:jc w:val="both"/>
      </w:pPr>
      <w:r>
        <w:rPr>
          <w:b/>
        </w:rPr>
        <w:t>Colle à carrelage</w:t>
      </w:r>
    </w:p>
    <w:p w14:paraId="53240AD6" w14:textId="77777777" w:rsidR="00772179" w:rsidRDefault="00000000">
      <w:pPr>
        <w:jc w:val="both"/>
      </w:pPr>
      <w:r>
        <w:t>La colle à carrelage répond de préférence aux spécifications de la [NBN EN 12004-1]. Son aptitude au sein du système est démontrée par la réussite d’essais selon la [NBN B 62-400] ou méthode équivalente.</w:t>
      </w:r>
    </w:p>
    <w:p w14:paraId="28C09EBE" w14:textId="77777777" w:rsidR="00772179" w:rsidRDefault="00000000">
      <w:pPr>
        <w:jc w:val="both"/>
      </w:pPr>
      <w:r>
        <w:t xml:space="preserve"> Les types - à savoir C (mortier-colle), D (colle en dispersion) ou R (colle réactive) - les classes (colle normale ou améliorée) et les propriétés additionnelles éventuelles (temps ouvert allongé E, durcissement rapide F, glissement limité T, déformabilité S1 ou S2) sont compatibles avec la plaquette, choisis en fonction de l’usage et de la nature du support (isolant ou enduit de base renforcé).</w:t>
      </w:r>
    </w:p>
    <w:p w14:paraId="0096A130" w14:textId="77777777" w:rsidR="00772179" w:rsidRDefault="00000000">
      <w:pPr>
        <w:jc w:val="both"/>
      </w:pPr>
      <w:r>
        <w:t xml:space="preserve"> Des alternatives à ces colles à carrelage issues de procédés de préfabrication spécifiques (vêtures) sont autorisées sous réserve de la réussite d’essais selon la [NBN B 62-400] ou méthode équivalente.</w:t>
      </w:r>
    </w:p>
    <w:p w14:paraId="2DB270D3" w14:textId="77777777" w:rsidR="00772179" w:rsidRDefault="00000000">
      <w:pPr>
        <w:jc w:val="both"/>
      </w:pPr>
      <w:r>
        <w:rPr>
          <w:b/>
        </w:rPr>
        <w:t>Enduit de base renforcé</w:t>
      </w:r>
    </w:p>
    <w:p w14:paraId="319F25F2" w14:textId="77777777" w:rsidR="00772179" w:rsidRDefault="00000000">
      <w:pPr>
        <w:jc w:val="both"/>
      </w:pPr>
      <w:r>
        <w:t>L’éventuel enduit de base renforcé satisfait les essais selon la [NBN B 62-400] ou méthode équivalente. Le cas échéant, le treillis d’armature en fibres de verre est de préférence de classe AR (alkali résistant).</w:t>
      </w:r>
    </w:p>
    <w:p w14:paraId="417F8B58" w14:textId="77777777" w:rsidR="00772179" w:rsidRDefault="00000000">
      <w:pPr>
        <w:jc w:val="both"/>
      </w:pPr>
      <w:r>
        <w:rPr>
          <w:b/>
        </w:rPr>
        <w:t>Mortier de jointoiement</w:t>
      </w:r>
    </w:p>
    <w:p w14:paraId="551189AB" w14:textId="77777777" w:rsidR="00772179" w:rsidRDefault="00000000">
      <w:pPr>
        <w:jc w:val="both"/>
      </w:pPr>
      <w:r>
        <w:lastRenderedPageBreak/>
        <w:t>Le mortier de jointoiement répond aux spécifications de la [NBN EN 13888] ou bien est dosé in situ (voir [NIT 279]).</w:t>
      </w:r>
    </w:p>
    <w:p w14:paraId="1CDB4D6C" w14:textId="77777777" w:rsidR="00772179" w:rsidRDefault="00000000">
      <w:pPr>
        <w:jc w:val="both"/>
      </w:pPr>
      <w:r>
        <w:rPr>
          <w:b/>
        </w:rPr>
        <w:t>Profilés</w:t>
      </w:r>
    </w:p>
    <w:p w14:paraId="2435FC15" w14:textId="77777777" w:rsidR="00772179" w:rsidRDefault="00000000">
      <w:pPr>
        <w:jc w:val="both"/>
      </w:pPr>
      <w:r>
        <w:t>Les profilés sont compatibles avec les matériaux mis en œuvre et sont aptes à l’usage en extérieur.</w:t>
      </w:r>
    </w:p>
    <w:p w14:paraId="46146EEC" w14:textId="77777777" w:rsidR="00772179" w:rsidRDefault="00000000">
      <w:pPr>
        <w:jc w:val="both"/>
      </w:pPr>
      <w:r>
        <w:rPr>
          <w:b/>
        </w:rPr>
        <w:t>Bande d’étanchéité pré-comprimée</w:t>
      </w:r>
    </w:p>
    <w:p w14:paraId="18F01D8B" w14:textId="77777777" w:rsidR="00772179" w:rsidRDefault="00000000">
      <w:pPr>
        <w:jc w:val="both"/>
      </w:pPr>
      <w:r>
        <w:t xml:space="preserve">La bande d’étanchéité pré-comprimée est étanche à l’eau jusqu’à une pression d’étanchéité déterminée : </w:t>
      </w:r>
      <w:r>
        <w:rPr>
          <w:rStyle w:val="optioncarChar"/>
        </w:rPr>
        <w:t xml:space="preserve">600 Pa </w:t>
      </w:r>
      <w:r>
        <w:t>(par défaut)</w:t>
      </w:r>
      <w:r>
        <w:rPr>
          <w:rStyle w:val="optioncarChar"/>
        </w:rPr>
        <w:t xml:space="preserve"> / ***</w:t>
      </w:r>
      <w:r>
        <w:t xml:space="preserve"> en fonction de la sollicitation aux pluies battantes. Elle est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4EAA0DC0" w14:textId="77777777" w:rsidR="00772179" w:rsidRDefault="00000000">
      <w:pPr>
        <w:jc w:val="both"/>
      </w:pPr>
      <w:r>
        <w:rPr>
          <w:b/>
        </w:rPr>
        <w:t>Mastic d’étanchéité</w:t>
      </w:r>
    </w:p>
    <w:p w14:paraId="6CDE57B0" w14:textId="77777777" w:rsidR="00772179" w:rsidRDefault="00000000">
      <w:pPr>
        <w:jc w:val="both"/>
      </w:pPr>
      <w:r>
        <w:t>Les mastics d’étanchéité des façades sont, quant à eux, chimiquement compatibles avec tous les matériaux avec lesquels ils sont en contact. Ils appartiennent en outre à la classe [STS 56.1]-F – 25 LM.</w:t>
      </w:r>
    </w:p>
    <w:p w14:paraId="28D6EC15" w14:textId="77777777" w:rsidR="00772179" w:rsidRDefault="00000000">
      <w:pPr>
        <w:jc w:val="both"/>
      </w:pPr>
      <w:r>
        <w:rPr>
          <w:b/>
        </w:rPr>
        <w:t>Produit pour joints de mouvement</w:t>
      </w:r>
    </w:p>
    <w:p w14:paraId="582B9FE5" w14:textId="77777777" w:rsidR="00772179" w:rsidRDefault="00000000">
      <w:pPr>
        <w:jc w:val="both"/>
      </w:pPr>
      <w:r>
        <w:t>Les produits pour joints de mouvement répondent aux spécifications de la [NBN EN ISO 11600] et des [STS 56.1]. </w:t>
      </w:r>
    </w:p>
    <w:p w14:paraId="1CA1EBDC" w14:textId="77777777" w:rsidR="00772179" w:rsidRDefault="00000000">
      <w:pPr>
        <w:jc w:val="both"/>
      </w:pPr>
      <w:r>
        <w:t>Pour le choix d’un système et de ses composants ainsi que pour la mise en œuvre, il importe de se conformer aux instructions et informations techniques accompagnant le système et ses composants.</w:t>
      </w:r>
    </w:p>
    <w:p w14:paraId="0AE21E55" w14:textId="77777777" w:rsidR="00772179" w:rsidRDefault="00000000">
      <w:pPr>
        <w:pStyle w:val="pheading"/>
      </w:pPr>
      <w:r>
        <w:t>EXÉCUTION / MISE EN ŒUVRE</w:t>
      </w:r>
    </w:p>
    <w:p w14:paraId="1FB25A54" w14:textId="77777777" w:rsidR="00772179" w:rsidRDefault="00000000">
      <w:pPr>
        <w:jc w:val="both"/>
      </w:pPr>
      <w:r>
        <w:t>L’entrepreneur soumet le descriptif du système et sa configuration (nombre de fixations par exemple) à l’auteur de projet pour approbation. La mise en œuvre et la réalisation des raccords aux ouvrages existants suivent les recommandations de la [NIT 279] et la documentation technique accompagnant le système.</w:t>
      </w:r>
    </w:p>
    <w:p w14:paraId="18400BE1" w14:textId="77777777" w:rsidR="00772179" w:rsidRDefault="00000000">
      <w:pPr>
        <w:jc w:val="both"/>
      </w:pPr>
      <w:r>
        <w:t xml:space="preserve"> Quelle que soit la technique de pose, les joints de structure ou de gros œuvre sont obligatoirement répercutés, sans décalage, dans l’ouvrage de parachèvement. Des joints de fractionnement sont projetés et réalisés conformément à la documentation technique accompagnant le système.</w:t>
      </w:r>
    </w:p>
    <w:p w14:paraId="6C147587" w14:textId="77777777" w:rsidR="00772179" w:rsidRDefault="00000000">
      <w:pPr>
        <w:jc w:val="both"/>
      </w:pPr>
      <w:r>
        <w:t xml:space="preserve"> Pendant la période de séchage, les ouvrages sont protégés contre le rayonnement solaire direct, l'humidité anormale, les températures élevées et le gel.</w:t>
      </w:r>
    </w:p>
    <w:p w14:paraId="67ED9E1F" w14:textId="77777777" w:rsidR="00772179" w:rsidRDefault="00000000">
      <w:pPr>
        <w:jc w:val="both"/>
      </w:pPr>
      <w:r>
        <w:t>L’exécution est réalisée conformément à la [NIT 279] et à la documentation technique spécifique accompagnant le produit.</w:t>
      </w:r>
    </w:p>
    <w:p w14:paraId="21D802A0" w14:textId="77777777" w:rsidR="00772179" w:rsidRDefault="00000000">
      <w:pPr>
        <w:jc w:val="both"/>
      </w:pPr>
      <w:r>
        <w:t>Le choix des produits de pose et de la technique de pose sont déterminés notamment par les caractéristiques du support.</w:t>
      </w:r>
    </w:p>
    <w:p w14:paraId="76E97529" w14:textId="77777777" w:rsidR="00772179" w:rsidRDefault="00000000">
      <w:pPr>
        <w:jc w:val="both"/>
      </w:pPr>
      <w:r>
        <w:t>L’entrepreneur contrôle dans quelle mesure le support répond aux exigences spécifiées en termes de stabilité et déformabilité, sensibilité à l’humidité, cohésion de surface et rugosité, niveau, planéité et horizontalité du support.</w:t>
      </w:r>
    </w:p>
    <w:p w14:paraId="75409935" w14:textId="77777777" w:rsidR="00772179" w:rsidRDefault="00000000">
      <w:pPr>
        <w:jc w:val="both"/>
      </w:pPr>
      <w:r>
        <w:t>Si un support ancien ne présente pas l’exigence requise décrite, l’entrepreneur propose les travaux d’adaptation dans son offre de prix (décrits et comptabilisés séparément).</w:t>
      </w:r>
    </w:p>
    <w:p w14:paraId="4A427513" w14:textId="77777777" w:rsidR="00772179" w:rsidRDefault="00000000">
      <w:pPr>
        <w:jc w:val="both"/>
      </w:pPr>
      <w:r>
        <w:t>Si un support neuf ne présente pas l’exigence requise décrite, l’entrepreneur en avertit le donneur d’ordre. L’exécution des travaux de mise en conformité des supports et/ou la mise en œuvre d’un ouvrage intermédiaire préparatoire sont alors nécessaires. Ces travaux sont décrits et comptabilisés séparément (à charge de l’entreprise en charge de l’exécution du support).</w:t>
      </w:r>
    </w:p>
    <w:p w14:paraId="72922640" w14:textId="77777777" w:rsidR="00772179" w:rsidRDefault="00000000">
      <w:pPr>
        <w:pStyle w:val="pheading"/>
      </w:pPr>
      <w:r>
        <w:t>CONTRÔLES</w:t>
      </w:r>
    </w:p>
    <w:p w14:paraId="6BD268F9" w14:textId="77777777" w:rsidR="00772179" w:rsidRDefault="00000000">
      <w:pPr>
        <w:jc w:val="both"/>
      </w:pPr>
      <w:r>
        <w:rPr>
          <w:b/>
        </w:rPr>
        <w:t>Contrôle du support (couche de fixation) avant mise en œuvre</w:t>
      </w:r>
    </w:p>
    <w:p w14:paraId="0211FEE3" w14:textId="77777777" w:rsidR="00772179" w:rsidRDefault="00000000">
      <w:pPr>
        <w:jc w:val="both"/>
      </w:pPr>
      <w:r>
        <w:t>Contrôle de la présence d’une humidification anormale.</w:t>
      </w:r>
    </w:p>
    <w:p w14:paraId="076C09A2" w14:textId="77777777" w:rsidR="00772179" w:rsidRDefault="00000000">
      <w:pPr>
        <w:jc w:val="both"/>
      </w:pPr>
      <w:r>
        <w:t xml:space="preserve"> Contrôle visuel de l’état de la paroi (fissures, etc. ).</w:t>
      </w:r>
    </w:p>
    <w:p w14:paraId="56BA440D" w14:textId="77777777" w:rsidR="00772179" w:rsidRDefault="00000000">
      <w:pPr>
        <w:jc w:val="both"/>
      </w:pPr>
      <w:r>
        <w:lastRenderedPageBreak/>
        <w:t xml:space="preserve"> Vérification des tolérances du support : critères voir [NIT 279]</w:t>
      </w:r>
    </w:p>
    <w:p w14:paraId="42D17A09" w14:textId="77777777" w:rsidR="00772179" w:rsidRDefault="00000000">
      <w:pPr>
        <w:jc w:val="both"/>
      </w:pPr>
      <w:r>
        <w:rPr>
          <w:b/>
        </w:rPr>
        <w:t>Vérification éventuelle de la résistance mécanique des moyens de fixation in situ</w:t>
      </w:r>
    </w:p>
    <w:p w14:paraId="79437538" w14:textId="77777777" w:rsidR="00772179" w:rsidRDefault="00000000">
      <w:pPr>
        <w:jc w:val="both"/>
      </w:pPr>
      <w:r>
        <w:t>Lorsque l’adhérence de la colle est contrôlée in situ (essai destructif), elle est basée sur les principes des EAD précités.</w:t>
      </w:r>
    </w:p>
    <w:p w14:paraId="2BF4F043" w14:textId="77777777" w:rsidR="00772179" w:rsidRDefault="00000000">
      <w:pPr>
        <w:jc w:val="both"/>
      </w:pPr>
      <w:r>
        <w:t xml:space="preserve"> Lorsque la résistance à l’arrachement de la fixation mécanique hors du support est vérifiée, la base de référence est [EOTA TR051].</w:t>
      </w:r>
    </w:p>
    <w:p w14:paraId="6EB20B2F" w14:textId="77777777" w:rsidR="00772179" w:rsidRDefault="00000000">
      <w:pPr>
        <w:jc w:val="both"/>
      </w:pPr>
      <w:r>
        <w:rPr>
          <w:b/>
        </w:rPr>
        <w:t>Eventuel contrôle des tolérances en cas d’imperfections constatés après mise en œuvre</w:t>
      </w:r>
    </w:p>
    <w:p w14:paraId="3F6409E7" w14:textId="77777777" w:rsidR="00772179" w:rsidRDefault="00000000">
      <w:pPr>
        <w:jc w:val="both"/>
      </w:pPr>
      <w:r>
        <w:t>Vérification des tolérances du système : critères voir [NIT 279]</w:t>
      </w:r>
    </w:p>
    <w:p w14:paraId="7BDCB842" w14:textId="77777777" w:rsidR="00772179" w:rsidRDefault="00000000">
      <w:pPr>
        <w:pStyle w:val="pheading"/>
      </w:pPr>
      <w:r>
        <w:t>DOCUMENTS DE RÉFÉRENCE</w:t>
      </w:r>
    </w:p>
    <w:p w14:paraId="5D95B7E8" w14:textId="77777777" w:rsidR="00772179" w:rsidRDefault="00000000">
      <w:pPr>
        <w:pStyle w:val="pheading"/>
      </w:pPr>
      <w:r>
        <w:t>- Matériau</w:t>
      </w:r>
    </w:p>
    <w:p w14:paraId="53BD29E7" w14:textId="77777777" w:rsidR="00772179" w:rsidRDefault="00000000">
      <w:r>
        <w:t>[NBN EN 14411, Carreaux céramiques - Définitions, classification, caractéristiques, évaluation et vérification de la constance de performance et marquage]</w:t>
      </w:r>
    </w:p>
    <w:p w14:paraId="1AFD6EF8" w14:textId="77777777" w:rsidR="00772179" w:rsidRDefault="00000000">
      <w:r>
        <w:t>[NBN EN 13888, Mortiers de jointoiement pour carreaux et dalles céramiques - Exigences, évaluation de conformité, classification et désignation]</w:t>
      </w:r>
    </w:p>
    <w:p w14:paraId="0796D0BA" w14:textId="77777777" w:rsidR="00772179" w:rsidRDefault="00000000">
      <w:r>
        <w:t>[NIT 279, Revêtements durs sur isolation extérieure (ETICS avec revêtements durs).]</w:t>
      </w:r>
    </w:p>
    <w:p w14:paraId="3FD21EA0" w14:textId="77777777" w:rsidR="00772179" w:rsidRDefault="00000000">
      <w:r>
        <w:t>[EAD 040287-00-0404, Kits for external thermal insulation composite system (ETICS) with panels as thermal insulation and discontinuous claddings as exterior skin]</w:t>
      </w:r>
    </w:p>
    <w:p w14:paraId="7AEDBCA8" w14:textId="77777777" w:rsidR="00772179" w:rsidRDefault="00000000">
      <w:r>
        <w:t>[ETAG 017, Veture Kits]</w:t>
      </w:r>
    </w:p>
    <w:p w14:paraId="0D6B85C0" w14:textId="77777777" w:rsidR="00772179" w:rsidRDefault="00000000">
      <w:r>
        <w:t>[EAD 330196-01-0604, Plastic anchors made of virgin or non-virgin material for fixing of external thermal insulation composite systems with rendering]</w:t>
      </w:r>
    </w:p>
    <w:p w14:paraId="70F6CF05" w14:textId="77777777" w:rsidR="00772179" w:rsidRDefault="00000000">
      <w:r>
        <w:t>[NBN EN 12004-1, Colles à carrelage - Partie 1: Exigences, évaluation et vérification de la constance de performance, classification et marquage]</w:t>
      </w:r>
    </w:p>
    <w:p w14:paraId="4770DC77" w14:textId="77777777" w:rsidR="00772179" w:rsidRDefault="00000000">
      <w:r>
        <w:t>[NBN B 27-009, Produits céramiques pour parements de murs et de sols - Gélivité - Cycles de gel-dégel]</w:t>
      </w:r>
    </w:p>
    <w:p w14:paraId="4FC69F91" w14:textId="77777777" w:rsidR="00772179" w:rsidRDefault="00000000">
      <w:r>
        <w:t>[NBN EN 13888, Mortiers de jointoiement pour carreaux et dalles céramiques - Exigences, évaluation de conformité, classification et désignation]</w:t>
      </w:r>
    </w:p>
    <w:p w14:paraId="11E44B74" w14:textId="77777777" w:rsidR="00772179" w:rsidRDefault="00000000">
      <w:r>
        <w:t>[NBN EN ISO 11600, Construction immobilière - Produits pour joints - Classification et exigences pour les mastics (ISO 11600:2002)]</w:t>
      </w:r>
    </w:p>
    <w:p w14:paraId="7E2F6971" w14:textId="77777777" w:rsidR="00772179" w:rsidRDefault="00000000">
      <w:r>
        <w:t>[STS 56.1, Mastics d’étanchéité des façades]</w:t>
      </w:r>
    </w:p>
    <w:p w14:paraId="7BED1F1D" w14:textId="77777777" w:rsidR="00772179" w:rsidRDefault="00000000">
      <w:r>
        <w:t>[EOTA TR051, Recommendations for job site tests of plastic anchors and screws]</w:t>
      </w:r>
    </w:p>
    <w:p w14:paraId="52CFA088" w14:textId="77777777" w:rsidR="00772179" w:rsidRDefault="00000000">
      <w:r>
        <w:t>[Buildwise Pathologie Infofiche 11, Classes de climat intérieur]</w:t>
      </w:r>
    </w:p>
    <w:p w14:paraId="024E6B22" w14:textId="77777777" w:rsidR="00772179" w:rsidRDefault="00000000">
      <w:r>
        <w:t>[NIT 255, L'étanchéité à l'air des bâtiments]</w:t>
      </w:r>
    </w:p>
    <w:p w14:paraId="1570B625" w14:textId="77777777" w:rsidR="00772179" w:rsidRDefault="00000000">
      <w:pPr>
        <w:pStyle w:val="pheading"/>
      </w:pPr>
      <w:r>
        <w:t>- Exécution</w:t>
      </w:r>
    </w:p>
    <w:p w14:paraId="2008652A" w14:textId="77777777" w:rsidR="00772179" w:rsidRDefault="00000000">
      <w:r>
        <w:t>[NIT 279, Revêtements durs sur isolation extérieure (ETICS avec revêtements durs).]</w:t>
      </w:r>
    </w:p>
    <w:p w14:paraId="7D1DBDD1" w14:textId="77777777" w:rsidR="00772179" w:rsidRDefault="00000000">
      <w:r>
        <w:t>Voir annexe B2 de l'[AGW 2014-05-15 PEB, Arrêté du Gouvernement wallon portant exécution du décret du 28 novembre 2013 relatif à la performance énergétique des bâtiments]</w:t>
      </w:r>
      <w:r>
        <w:br/>
      </w:r>
    </w:p>
    <w:p w14:paraId="7907F8A7" w14:textId="77777777" w:rsidR="00772179" w:rsidRDefault="00000000">
      <w:pPr>
        <w:ind w:left="750"/>
      </w:pPr>
      <w:r>
        <w:t> </w:t>
      </w:r>
    </w:p>
    <w:p w14:paraId="41DB1714" w14:textId="77777777" w:rsidR="00772179" w:rsidRDefault="00000000">
      <w:pPr>
        <w:pStyle w:val="pheading"/>
      </w:pPr>
      <w:r>
        <w:t>AIDE</w:t>
      </w:r>
    </w:p>
    <w:p w14:paraId="0D113036" w14:textId="77777777" w:rsidR="00772179" w:rsidRDefault="00000000">
      <w:pPr>
        <w:jc w:val="both"/>
      </w:pPr>
      <w:r>
        <w:t>La zone de plinthe s’étend entre 50 cm sous le niveau du sol extérieur et minimum 30 cm au-dessus. Les ETICS démarre habituellement au-dessus de la zone de plinthe. Lorsque le panneau d’isolation et l’éventuel enduit de base sont utilisés en plinthe, ils satisfont à des exigences plus strictes (absorption d’eau réduite, résistance à l’humidité, etc.). Voir [NIT 279].</w:t>
      </w:r>
    </w:p>
    <w:p w14:paraId="67734834" w14:textId="77777777" w:rsidR="00772179" w:rsidRDefault="00000000">
      <w:pPr>
        <w:jc w:val="both"/>
      </w:pPr>
      <w:r>
        <w:lastRenderedPageBreak/>
        <w:t xml:space="preserve">Les revêtements de teinte foncée, caractérisés par un facteur d’absorption de l’énergie solaire αe élevé (voir [NBN EN 410]), sont susceptibles d’atteindre des températures &gt; 70 °C lorsqu’ils sont exposés à l’ensoleillement direct (façades orientées de l’est à l’ouest). Or, les performances du système et de ses composants ne sont évaluées que T° ≤ 70 °C. Pour une telle exposition, en cas d’usage d’un revêtement mince (épaisseur &lt; 20 mm), un facteur d’absorption énergétique &gt; 0,7 (70 %) est dès lors déconseillé, à moins de réaliser une étude spécifique à la situation. Le fabricant peut en effet justifier des teintes plus foncées (αe &gt; 0,7) lorsque le revêtement présente une épaisseur suffisante et/ou une conductivité thermique assez faible.     </w:t>
      </w:r>
    </w:p>
    <w:p w14:paraId="4CA5E2C2" w14:textId="77777777" w:rsidR="00772179" w:rsidRDefault="00000000">
      <w:pPr>
        <w:jc w:val="both"/>
      </w:pPr>
      <w:r>
        <w:t xml:space="preserve"> Selon la pratique, les limitations sont également basées sur l’indice de clarté qui doit être &gt; 25.</w:t>
      </w:r>
    </w:p>
    <w:p w14:paraId="12F90D96" w14:textId="77777777" w:rsidR="00772179" w:rsidRDefault="00000000">
      <w:pPr>
        <w:pStyle w:val="Author-eSectionHeading6Numberless"/>
      </w:pPr>
      <w:bookmarkStart w:id="790" w:name="_Toc220490474"/>
      <w:r>
        <w:t>43.32.2a Revêtements de façades rigides collés – système « isolant + carreaux céramiques » - préfabriqué</w:t>
      </w:r>
      <w:bookmarkEnd w:id="790"/>
    </w:p>
    <w:p w14:paraId="778AF68D" w14:textId="77777777" w:rsidR="00772179" w:rsidRDefault="00000000">
      <w:pPr>
        <w:pStyle w:val="Author-eSectionHeading6Numberless"/>
      </w:pPr>
      <w:bookmarkStart w:id="791" w:name="1007"/>
      <w:bookmarkStart w:id="792" w:name="_Toc220490475"/>
      <w:bookmarkEnd w:id="791"/>
      <w:r>
        <w:t>43.32.2b Revêtements de façades rigides collés – système « isolant + carreaux céramiques » - assemblé sur place CCTB 01.11</w:t>
      </w:r>
      <w:bookmarkEnd w:id="792"/>
    </w:p>
    <w:p w14:paraId="29216EDE" w14:textId="77777777" w:rsidR="00772179" w:rsidRDefault="00000000">
      <w:pPr>
        <w:pStyle w:val="pheading"/>
      </w:pPr>
      <w:bookmarkStart w:id="793" w:name="1008"/>
      <w:bookmarkEnd w:id="793"/>
      <w:r>
        <w:t>DESCRIPTION</w:t>
      </w:r>
    </w:p>
    <w:p w14:paraId="02A70701" w14:textId="77777777" w:rsidR="00772179" w:rsidRDefault="00000000">
      <w:pPr>
        <w:pStyle w:val="pheading"/>
      </w:pPr>
      <w:r>
        <w:t>- Définition / Comprend</w:t>
      </w:r>
    </w:p>
    <w:p w14:paraId="5CC4685C" w14:textId="77777777" w:rsidR="00772179" w:rsidRDefault="00000000">
      <w:pPr>
        <w:jc w:val="both"/>
      </w:pPr>
      <w:r>
        <w:t>Il s’agit de la fourniture et de la pose d’un système de carreaux céramiques collés sur isolation extérieure, assemblés sur place, pour une application en façade (ETICS avec revêtement dur en carreau céramique). Les panneaux d’isolation sont recouverts d’un enduit de base renforcé (assurant l’étanchéité à l’eau) ou non (la couche d’isolation assure l’étanchéité à l’eau).</w:t>
      </w:r>
    </w:p>
    <w:p w14:paraId="75E477B3" w14:textId="77777777" w:rsidR="00772179" w:rsidRDefault="00000000">
      <w:pPr>
        <w:jc w:val="both"/>
      </w:pPr>
      <w:r>
        <w:t>La portée des travaux est décrite au </w:t>
      </w:r>
      <w:hyperlink w:anchor="1006" w:history="1">
        <w:r>
          <w:rPr>
            <w:color w:val="0000EE"/>
          </w:rPr>
          <w:t>43.32.2 Revêtements de façades rigides collés – système « isolant + carreaux céramiques »</w:t>
        </w:r>
      </w:hyperlink>
      <w:r>
        <w:t>.</w:t>
      </w:r>
    </w:p>
    <w:p w14:paraId="58D0FC8C" w14:textId="77777777" w:rsidR="00772179" w:rsidRDefault="00000000">
      <w:pPr>
        <w:pStyle w:val="pheading"/>
      </w:pPr>
      <w:r>
        <w:t>MATÉRIAUX</w:t>
      </w:r>
    </w:p>
    <w:p w14:paraId="64755DB3" w14:textId="77777777" w:rsidR="00772179" w:rsidRDefault="00000000">
      <w:pPr>
        <w:pStyle w:val="pheading"/>
      </w:pPr>
      <w:r>
        <w:t>- Caractéristiques générales</w:t>
      </w:r>
    </w:p>
    <w:p w14:paraId="059889E0" w14:textId="77777777" w:rsidR="00772179" w:rsidRDefault="00000000">
      <w:pPr>
        <w:pStyle w:val="Author-eListParagraph"/>
        <w:numPr>
          <w:ilvl w:val="0"/>
          <w:numId w:val="1017"/>
        </w:numPr>
        <w:jc w:val="both"/>
      </w:pPr>
      <w:r>
        <w:t>Classe de climat intérieur (cfr [Buildwise Pathologie Infofiche 11]) : classe </w:t>
      </w:r>
      <w:r>
        <w:rPr>
          <w:rStyle w:val="optioncarChar"/>
        </w:rPr>
        <w:t>I / II / III / IV</w:t>
      </w:r>
      <w:r>
        <w:t>.</w:t>
      </w:r>
    </w:p>
    <w:p w14:paraId="47EE14CA" w14:textId="77777777" w:rsidR="00772179" w:rsidRDefault="00000000">
      <w:pPr>
        <w:pStyle w:val="Author-eListParagraph"/>
        <w:numPr>
          <w:ilvl w:val="0"/>
          <w:numId w:val="1017"/>
        </w:numPr>
        <w:jc w:val="both"/>
      </w:pPr>
      <w:r>
        <w:t>Etanchéité à l’air de la paroi support (cfr [NIT 255]) : Classe </w:t>
      </w:r>
      <w:r>
        <w:rPr>
          <w:rStyle w:val="optioncarChar"/>
        </w:rPr>
        <w:t>L0 / L1 / L2</w:t>
      </w:r>
      <w:r>
        <w:t>.</w:t>
      </w:r>
    </w:p>
    <w:p w14:paraId="13A06EFD" w14:textId="77777777" w:rsidR="00772179" w:rsidRDefault="00000000">
      <w:pPr>
        <w:pStyle w:val="Author-eListParagraph"/>
        <w:numPr>
          <w:ilvl w:val="0"/>
          <w:numId w:val="1017"/>
        </w:numPr>
        <w:jc w:val="both"/>
      </w:pPr>
      <w:r>
        <w:t xml:space="preserve">Les travaux concernent : </w:t>
      </w:r>
      <w:r>
        <w:rPr>
          <w:rStyle w:val="optioncarChar"/>
        </w:rPr>
        <w:t>la façade courante (hors zone de plinthe)</w:t>
      </w:r>
      <w:r>
        <w:t xml:space="preserve"> (par défaut)</w:t>
      </w:r>
      <w:r>
        <w:rPr>
          <w:rStyle w:val="optioncarChar"/>
        </w:rPr>
        <w:t xml:space="preserve"> / la zone de plinthe / la zone de plinthe et la façade courante</w:t>
      </w:r>
      <w:r>
        <w:t>. </w:t>
      </w:r>
    </w:p>
    <w:p w14:paraId="0CCE9F14" w14:textId="77777777" w:rsidR="00772179" w:rsidRDefault="00000000">
      <w:pPr>
        <w:pStyle w:val="Author-eListParagraph"/>
        <w:numPr>
          <w:ilvl w:val="0"/>
          <w:numId w:val="1017"/>
        </w:numPr>
        <w:jc w:val="both"/>
      </w:pPr>
      <w:r>
        <w:t>Niveaux inférieur et supérieur à traiter : voir plans et métrés détaillés.</w:t>
      </w:r>
    </w:p>
    <w:p w14:paraId="6DB97A76" w14:textId="77777777" w:rsidR="00772179" w:rsidRDefault="00000000">
      <w:pPr>
        <w:jc w:val="both"/>
      </w:pPr>
      <w:r>
        <w:t>Le système et ses composants répondent aux spécifications décrites dans la [NIT 279].</w:t>
      </w:r>
    </w:p>
    <w:p w14:paraId="7F9BE38B" w14:textId="77777777" w:rsidR="00772179" w:rsidRDefault="00000000">
      <w:pPr>
        <w:jc w:val="both"/>
      </w:pPr>
      <w:r>
        <w:rPr>
          <w:b/>
        </w:rPr>
        <w:t>Système</w:t>
      </w:r>
    </w:p>
    <w:p w14:paraId="1A75543E" w14:textId="77777777" w:rsidR="00772179" w:rsidRDefault="00000000">
      <w:pPr>
        <w:jc w:val="both"/>
      </w:pPr>
      <w:r>
        <w:t xml:space="preserve">Type de système : </w:t>
      </w:r>
      <w:r>
        <w:rPr>
          <w:rStyle w:val="optioncarChar"/>
        </w:rPr>
        <w:t>au choix de l’entrepreneur soumis à l’approbation de l’auteur de projet </w:t>
      </w:r>
      <w:r>
        <w:t>(par défaut)</w:t>
      </w:r>
      <w:r>
        <w:rPr>
          <w:rStyle w:val="optioncarChar"/>
        </w:rPr>
        <w:t xml:space="preserve"> / système collé (≥ 60 % de la surface) avec fixations mécaniques / système fixé mécaniquement avec encollage (≥ 60 % de la surface)</w:t>
      </w:r>
      <w:r>
        <w:t>.</w:t>
      </w:r>
    </w:p>
    <w:p w14:paraId="222D9508" w14:textId="77777777" w:rsidR="00772179" w:rsidRDefault="00000000">
      <w:pPr>
        <w:jc w:val="both"/>
      </w:pPr>
      <w:r>
        <w:t xml:space="preserve"> Présence d’un enduit de base renforcé : </w:t>
      </w:r>
      <w:r>
        <w:rPr>
          <w:rStyle w:val="optioncarChar"/>
        </w:rPr>
        <w:t>au choix de l’entrepreneur soumis à approbation de l’auteur de projet </w:t>
      </w:r>
      <w:r>
        <w:t>(par défaut)</w:t>
      </w:r>
      <w:r>
        <w:rPr>
          <w:rStyle w:val="optioncarChar"/>
        </w:rPr>
        <w:t xml:space="preserve"> / avec enduit de base renforcé / sans enduit de base renforcé</w:t>
      </w:r>
      <w:r>
        <w:t>.</w:t>
      </w:r>
    </w:p>
    <w:p w14:paraId="49BB2AD3" w14:textId="77777777" w:rsidR="00772179" w:rsidRDefault="00000000">
      <w:pPr>
        <w:jc w:val="both"/>
      </w:pPr>
      <w:r>
        <w:t xml:space="preserve"> Epaisseur totale maximale du système rapporté : ≤ </w:t>
      </w:r>
      <w:r>
        <w:rPr>
          <w:rStyle w:val="optioncarChar"/>
        </w:rPr>
        <w:t>***</w:t>
      </w:r>
      <w:r>
        <w:t> cm</w:t>
      </w:r>
    </w:p>
    <w:p w14:paraId="2C66AF1B" w14:textId="77777777" w:rsidR="00772179" w:rsidRDefault="00000000">
      <w:pPr>
        <w:jc w:val="both"/>
      </w:pPr>
      <w:r>
        <w:t xml:space="preserve"> Masse surfacique maximale du système rapporté : ≤ </w:t>
      </w:r>
      <w:r>
        <w:rPr>
          <w:rStyle w:val="optioncarChar"/>
        </w:rPr>
        <w:t>***</w:t>
      </w:r>
      <w:r>
        <w:t> kg/m²</w:t>
      </w:r>
    </w:p>
    <w:p w14:paraId="7A585919" w14:textId="77777777" w:rsidR="00772179" w:rsidRDefault="00000000">
      <w:pPr>
        <w:jc w:val="both"/>
      </w:pPr>
      <w:r>
        <w:t xml:space="preserve"> Pression d’étanchéité à la pluie requise suivant [NIT 279] : ≥ </w:t>
      </w:r>
      <w:r>
        <w:rPr>
          <w:rStyle w:val="optioncarChar"/>
        </w:rPr>
        <w:t>600 / 900 / ***</w:t>
      </w:r>
      <w:r>
        <w:t> Pa</w:t>
      </w:r>
    </w:p>
    <w:p w14:paraId="2A5F206D" w14:textId="77777777" w:rsidR="00772179" w:rsidRDefault="00000000">
      <w:pPr>
        <w:jc w:val="both"/>
      </w:pPr>
      <w:r>
        <w:t xml:space="preserve"> Résistance aux chocs requise suivant [NIT 279] : catégorie d’utilisation </w:t>
      </w:r>
      <w:r>
        <w:rPr>
          <w:rStyle w:val="optioncarChar"/>
        </w:rPr>
        <w:t>I / II / III / IV</w:t>
      </w:r>
      <w:r>
        <w:t>.</w:t>
      </w:r>
    </w:p>
    <w:p w14:paraId="1E6BB151" w14:textId="77777777" w:rsidR="00772179" w:rsidRDefault="00000000">
      <w:pPr>
        <w:jc w:val="both"/>
      </w:pPr>
      <w:r>
        <w:t xml:space="preserve"> Indice d’affaiblissement acoustique pondéré R</w:t>
      </w:r>
      <w:r>
        <w:rPr>
          <w:vertAlign w:val="subscript"/>
        </w:rPr>
        <w:t>Atr</w:t>
      </w:r>
      <w:r>
        <w:t> : </w:t>
      </w:r>
      <w:r>
        <w:rPr>
          <w:rStyle w:val="optioncarChar"/>
        </w:rPr>
        <w:t>≥ *** db / non spécifié</w:t>
      </w:r>
      <w:r>
        <w:t xml:space="preserve">  </w:t>
      </w:r>
    </w:p>
    <w:p w14:paraId="247E415A" w14:textId="77777777" w:rsidR="00772179" w:rsidRDefault="00000000">
      <w:pPr>
        <w:jc w:val="both"/>
      </w:pPr>
      <w:r>
        <w:t xml:space="preserve"> Réaction au feu du système : </w:t>
      </w:r>
      <w:r>
        <w:rPr>
          <w:rStyle w:val="optioncarChar"/>
        </w:rPr>
        <w:t>A1 / A2 / B / C / D / E / F</w:t>
      </w:r>
    </w:p>
    <w:p w14:paraId="1A9DD3C4" w14:textId="77777777" w:rsidR="00772179" w:rsidRDefault="00000000">
      <w:pPr>
        <w:jc w:val="both"/>
      </w:pPr>
      <w:r>
        <w:t xml:space="preserve">Etude action du vent : à charge de </w:t>
      </w:r>
      <w:r>
        <w:rPr>
          <w:rStyle w:val="optioncarChar"/>
        </w:rPr>
        <w:t xml:space="preserve">l’auteur de projet </w:t>
      </w:r>
      <w:r>
        <w:t>(par défaut)</w:t>
      </w:r>
      <w:r>
        <w:rPr>
          <w:rStyle w:val="optioncarChar"/>
        </w:rPr>
        <w:t xml:space="preserve"> / l’entrepreneur</w:t>
      </w:r>
    </w:p>
    <w:p w14:paraId="33D1D747" w14:textId="77777777" w:rsidR="00772179" w:rsidRDefault="00000000">
      <w:pPr>
        <w:jc w:val="both"/>
      </w:pPr>
      <w:r>
        <w:t xml:space="preserve">Longueur de chacune des zones de bord (cfr action du vent) : </w:t>
      </w:r>
      <w:r>
        <w:rPr>
          <w:rStyle w:val="optioncarChar"/>
        </w:rPr>
        <w:t>*** m / non spécifié</w:t>
      </w:r>
    </w:p>
    <w:p w14:paraId="143C86CD" w14:textId="77777777" w:rsidR="00772179" w:rsidRDefault="00000000">
      <w:pPr>
        <w:jc w:val="both"/>
      </w:pPr>
      <w:r>
        <w:t xml:space="preserve">Longueur de l’éventuelle zone centrale (cfr action du vent) : </w:t>
      </w:r>
      <w:r>
        <w:rPr>
          <w:rStyle w:val="optioncarChar"/>
        </w:rPr>
        <w:t>*** m / non spécifié</w:t>
      </w:r>
    </w:p>
    <w:p w14:paraId="710C2F4D" w14:textId="77777777" w:rsidR="00772179" w:rsidRDefault="00000000">
      <w:pPr>
        <w:jc w:val="both"/>
      </w:pPr>
      <w:r>
        <w:lastRenderedPageBreak/>
        <w:t>Valeur de calcul de l’action du vent en zone centrale (cfr [NBN EN 1991-1-4 ANB]) : </w:t>
      </w:r>
      <w:r>
        <w:rPr>
          <w:rStyle w:val="optioncarChar"/>
        </w:rPr>
        <w:t>*** Pa / non spécifié.</w:t>
      </w:r>
      <w:r>
        <w:t> </w:t>
      </w:r>
    </w:p>
    <w:p w14:paraId="7B7F8C17" w14:textId="77777777" w:rsidR="00772179" w:rsidRDefault="00000000">
      <w:pPr>
        <w:jc w:val="both"/>
      </w:pPr>
      <w:r>
        <w:t>Valeur de calcul de l’action du vent en zone de bord (cfr [NBN EN 1991-1-4 ANB]) : </w:t>
      </w:r>
      <w:r>
        <w:rPr>
          <w:rStyle w:val="optioncarChar"/>
        </w:rPr>
        <w:t>*** Pa / non spécifié. </w:t>
      </w:r>
    </w:p>
    <w:p w14:paraId="672E3694" w14:textId="77777777" w:rsidR="00772179" w:rsidRDefault="00000000">
      <w:pPr>
        <w:jc w:val="both"/>
      </w:pPr>
      <w:r>
        <w:t xml:space="preserve"> Etude thermique : à charge de </w:t>
      </w:r>
      <w:r>
        <w:rPr>
          <w:rStyle w:val="optioncarChar"/>
        </w:rPr>
        <w:t>l’auteur de projet</w:t>
      </w:r>
      <w:r>
        <w:t xml:space="preserve"> (par défaut) </w:t>
      </w:r>
      <w:r>
        <w:rPr>
          <w:rStyle w:val="optioncarChar"/>
        </w:rPr>
        <w:t>/ l’entrepreneur</w:t>
      </w:r>
    </w:p>
    <w:p w14:paraId="72F0BF14" w14:textId="77777777" w:rsidR="00772179" w:rsidRDefault="00000000">
      <w:pPr>
        <w:jc w:val="both"/>
      </w:pPr>
      <w:r>
        <w:t>L’utilisation de chevilles à rosace pour la fixation influence la résistance thermique est à considérer dans les calculs PEB.</w:t>
      </w:r>
    </w:p>
    <w:p w14:paraId="18DF5103" w14:textId="77777777" w:rsidR="00772179" w:rsidRDefault="00000000">
      <w:pPr>
        <w:jc w:val="both"/>
      </w:pPr>
      <w:r>
        <w:t xml:space="preserve"> Valeur du coefficient de déperdition thermique U à ne pas dépasser pour la paroi complète suivant réglementation régionale : </w:t>
      </w:r>
      <w:r>
        <w:rPr>
          <w:rStyle w:val="optioncarChar"/>
        </w:rPr>
        <w:t>≤</w:t>
      </w:r>
      <w:r>
        <w:t> </w:t>
      </w:r>
      <w:r>
        <w:rPr>
          <w:rStyle w:val="optioncarChar"/>
        </w:rPr>
        <w:t>*** W/m²K / non spécifié </w:t>
      </w:r>
    </w:p>
    <w:p w14:paraId="4A33A58C" w14:textId="77777777" w:rsidR="00772179" w:rsidRDefault="00000000">
      <w:pPr>
        <w:jc w:val="both"/>
      </w:pPr>
      <w:r>
        <w:t xml:space="preserve"> Valeur de la résistance thermique RETICS à atteindre par le système : </w:t>
      </w:r>
      <w:r>
        <w:rPr>
          <w:rStyle w:val="optioncarChar"/>
        </w:rPr>
        <w:t>≥ *** m²K/W / non spécifié </w:t>
      </w:r>
    </w:p>
    <w:p w14:paraId="3A62D44F" w14:textId="77777777" w:rsidR="00772179" w:rsidRDefault="00000000">
      <w:pPr>
        <w:jc w:val="both"/>
      </w:pPr>
      <w:r>
        <w:t xml:space="preserve"> Nœuds constructifs : voir détails d’exécution dans les plans détaillés ou dans la [NIT 279]. Les nœuds constructifs sont conçus et réalisés de telle manière qu’ils ne provoquent pas de condensation superficielle. Les nœuds PEB-conformes sont réputés satisfaire à cette exigence (voir annexe B2 de l'[AGW 2014-05-15 PEB]).</w:t>
      </w:r>
    </w:p>
    <w:p w14:paraId="7C77BC7A" w14:textId="77777777" w:rsidR="00772179" w:rsidRDefault="00000000">
      <w:pPr>
        <w:jc w:val="both"/>
      </w:pPr>
      <w:r>
        <w:t xml:space="preserve">Etude hygrothermique : à charge de </w:t>
      </w:r>
      <w:r>
        <w:rPr>
          <w:rStyle w:val="optioncarChar"/>
        </w:rPr>
        <w:t xml:space="preserve">l’auteur de projet </w:t>
      </w:r>
      <w:r>
        <w:t>(par défaut)</w:t>
      </w:r>
      <w:r>
        <w:rPr>
          <w:rStyle w:val="optioncarChar"/>
        </w:rPr>
        <w:t xml:space="preserve"> / l’entrepreneur</w:t>
      </w:r>
    </w:p>
    <w:p w14:paraId="18869619" w14:textId="77777777" w:rsidR="00772179" w:rsidRDefault="00000000">
      <w:pPr>
        <w:jc w:val="both"/>
      </w:pPr>
      <w:r>
        <w:t>Valeur s</w:t>
      </w:r>
      <w:r>
        <w:rPr>
          <w:vertAlign w:val="subscript"/>
        </w:rPr>
        <w:t>d</w:t>
      </w:r>
      <w:r>
        <w:t xml:space="preserve"> du parachèvement suivant [NIT 279]  :</w:t>
      </w:r>
      <w:r>
        <w:rPr>
          <w:rStyle w:val="optioncarChar"/>
        </w:rPr>
        <w:t xml:space="preserve"> ≤ *** m / non spécifié </w:t>
      </w:r>
    </w:p>
    <w:p w14:paraId="7E3907A2" w14:textId="77777777" w:rsidR="00772179" w:rsidRDefault="00000000">
      <w:pPr>
        <w:jc w:val="both"/>
      </w:pPr>
      <w:r>
        <w:t xml:space="preserve"> Valeur s</w:t>
      </w:r>
      <w:r>
        <w:rPr>
          <w:vertAlign w:val="subscript"/>
        </w:rPr>
        <w:t>d</w:t>
      </w:r>
      <w:r>
        <w:t xml:space="preserve"> de l’isolant suivant [NIT 279]  : </w:t>
      </w:r>
      <w:r>
        <w:rPr>
          <w:rStyle w:val="optioncarChar"/>
        </w:rPr>
        <w:t>≤ *** m / non spécifié</w:t>
      </w:r>
    </w:p>
    <w:p w14:paraId="6CE6C7C9" w14:textId="77777777" w:rsidR="00772179" w:rsidRDefault="00000000">
      <w:pPr>
        <w:jc w:val="both"/>
      </w:pPr>
      <w:r>
        <w:t>La documentation technique accompagnant le système indique la configuration et les mesures pour atteindre les performances visées.</w:t>
      </w:r>
    </w:p>
    <w:p w14:paraId="6C8B669F" w14:textId="77777777" w:rsidR="00772179" w:rsidRDefault="00000000">
      <w:pPr>
        <w:jc w:val="both"/>
      </w:pPr>
      <w:r>
        <w:rPr>
          <w:b/>
        </w:rPr>
        <w:t>Panneaux d’isolation</w:t>
      </w:r>
    </w:p>
    <w:p w14:paraId="3AECE4A9" w14:textId="77777777" w:rsidR="00772179" w:rsidRDefault="00000000">
      <w:pPr>
        <w:jc w:val="both"/>
      </w:pPr>
      <w:r>
        <w:t>Systèmes sans enduit de base renforcé – Nature de l’isolant :</w:t>
      </w:r>
      <w:r>
        <w:rPr>
          <w:rStyle w:val="optioncarChar"/>
        </w:rPr>
        <w:t> EPS Haute Densité / XPS / *** </w:t>
      </w:r>
    </w:p>
    <w:p w14:paraId="2D0D0DD3" w14:textId="77777777" w:rsidR="00772179" w:rsidRDefault="00000000">
      <w:pPr>
        <w:jc w:val="both"/>
      </w:pPr>
      <w:r>
        <w:t xml:space="preserve"> Systèmes avec enduit de base renforcé – Nature de l’isolant : </w:t>
      </w:r>
      <w:r>
        <w:rPr>
          <w:rStyle w:val="optioncarChar"/>
        </w:rPr>
        <w:t>EPS / *** </w:t>
      </w:r>
    </w:p>
    <w:p w14:paraId="68D816BD" w14:textId="77777777" w:rsidR="00772179" w:rsidRDefault="00000000">
      <w:pPr>
        <w:jc w:val="both"/>
      </w:pPr>
      <w:r>
        <w:t xml:space="preserve"> Epaisseur : </w:t>
      </w:r>
      <w:r>
        <w:rPr>
          <w:rStyle w:val="optioncarChar"/>
        </w:rPr>
        <w:t>10 / 12 / 14 / 16 / 18 / selon calcul thermique (PEB) / non spécifié / ***</w:t>
      </w:r>
      <w:r>
        <w:t> cm.</w:t>
      </w:r>
    </w:p>
    <w:p w14:paraId="44ED4E9D" w14:textId="77777777" w:rsidR="00772179" w:rsidRDefault="00000000">
      <w:pPr>
        <w:jc w:val="both"/>
      </w:pPr>
      <w:r>
        <w:t xml:space="preserve"> Conductivité thermique déclarée : ≤ </w:t>
      </w:r>
      <w:r>
        <w:rPr>
          <w:rStyle w:val="optioncarChar"/>
        </w:rPr>
        <w:t>0,04 / 0,035 / 0,032 / ***</w:t>
      </w:r>
      <w:r>
        <w:t> W/mK</w:t>
      </w:r>
    </w:p>
    <w:p w14:paraId="5EEDC3D6" w14:textId="77777777" w:rsidR="00772179" w:rsidRDefault="00000000">
      <w:pPr>
        <w:jc w:val="both"/>
      </w:pPr>
      <w:r>
        <w:t>L’utilisation de chevilles à rosace pour la fixation influence la résistance thermique est à considérer dans les calculs PEB.</w:t>
      </w:r>
    </w:p>
    <w:p w14:paraId="627ECAAC" w14:textId="77777777" w:rsidR="00772179" w:rsidRDefault="00000000">
      <w:pPr>
        <w:jc w:val="both"/>
      </w:pPr>
      <w:r>
        <w:rPr>
          <w:b/>
        </w:rPr>
        <w:t>Carreaux céramiques (cfr [NBN EN 14411])</w:t>
      </w:r>
    </w:p>
    <w:p w14:paraId="353211D6" w14:textId="77777777" w:rsidR="00772179" w:rsidRDefault="00000000">
      <w:pPr>
        <w:jc w:val="both"/>
      </w:pPr>
      <w:r>
        <w:t xml:space="preserve"> Type et groupe selon [NBN EN 14411], basés sur le mode de production et l’absorption d’eau : </w:t>
      </w:r>
      <w:r>
        <w:rPr>
          <w:rStyle w:val="optioncarChar"/>
        </w:rPr>
        <w:t>AI</w:t>
      </w:r>
      <w:r>
        <w:rPr>
          <w:rStyle w:val="optioncarChar"/>
          <w:vertAlign w:val="subscript"/>
        </w:rPr>
        <w:t>a</w:t>
      </w:r>
      <w:r>
        <w:rPr>
          <w:rStyle w:val="optioncarChar"/>
        </w:rPr>
        <w:t xml:space="preserve"> / AI</w:t>
      </w:r>
      <w:r>
        <w:rPr>
          <w:rStyle w:val="optioncarChar"/>
          <w:vertAlign w:val="subscript"/>
        </w:rPr>
        <w:t>b</w:t>
      </w:r>
      <w:r>
        <w:rPr>
          <w:rStyle w:val="optioncarChar"/>
        </w:rPr>
        <w:t xml:space="preserve"> / AII</w:t>
      </w:r>
      <w:r>
        <w:rPr>
          <w:rStyle w:val="optioncarChar"/>
          <w:vertAlign w:val="subscript"/>
        </w:rPr>
        <w:t>a-1</w:t>
      </w:r>
      <w:r>
        <w:rPr>
          <w:rStyle w:val="optioncarChar"/>
        </w:rPr>
        <w:t xml:space="preserve"> / AII</w:t>
      </w:r>
      <w:r>
        <w:rPr>
          <w:rStyle w:val="optioncarChar"/>
          <w:vertAlign w:val="subscript"/>
        </w:rPr>
        <w:t>a-2</w:t>
      </w:r>
      <w:r>
        <w:rPr>
          <w:rStyle w:val="optioncarChar"/>
        </w:rPr>
        <w:t xml:space="preserve"> / AII</w:t>
      </w:r>
      <w:r>
        <w:rPr>
          <w:rStyle w:val="optioncarChar"/>
          <w:vertAlign w:val="subscript"/>
        </w:rPr>
        <w:t>b-1</w:t>
      </w:r>
      <w:r>
        <w:rPr>
          <w:rStyle w:val="optioncarChar"/>
        </w:rPr>
        <w:t xml:space="preserve"> / AII</w:t>
      </w:r>
      <w:r>
        <w:rPr>
          <w:rStyle w:val="optioncarChar"/>
          <w:vertAlign w:val="subscript"/>
        </w:rPr>
        <w:t>b-2</w:t>
      </w:r>
      <w:r>
        <w:rPr>
          <w:rStyle w:val="optioncarChar"/>
        </w:rPr>
        <w:t xml:space="preserve"> / AIII / BI</w:t>
      </w:r>
      <w:r>
        <w:rPr>
          <w:rStyle w:val="optioncarChar"/>
          <w:vertAlign w:val="subscript"/>
        </w:rPr>
        <w:t>a</w:t>
      </w:r>
      <w:r>
        <w:rPr>
          <w:rStyle w:val="optioncarChar"/>
        </w:rPr>
        <w:t xml:space="preserve"> / BI</w:t>
      </w:r>
      <w:r>
        <w:rPr>
          <w:rStyle w:val="optioncarChar"/>
          <w:vertAlign w:val="subscript"/>
        </w:rPr>
        <w:t>b</w:t>
      </w:r>
      <w:r>
        <w:rPr>
          <w:rStyle w:val="optioncarChar"/>
        </w:rPr>
        <w:t xml:space="preserve"> / BII</w:t>
      </w:r>
      <w:r>
        <w:rPr>
          <w:rStyle w:val="optioncarChar"/>
          <w:vertAlign w:val="subscript"/>
        </w:rPr>
        <w:t>a</w:t>
      </w:r>
      <w:r>
        <w:rPr>
          <w:rStyle w:val="optioncarChar"/>
        </w:rPr>
        <w:t xml:space="preserve"> / BII</w:t>
      </w:r>
      <w:r>
        <w:rPr>
          <w:rStyle w:val="optioncarChar"/>
          <w:vertAlign w:val="subscript"/>
        </w:rPr>
        <w:t>b</w:t>
      </w:r>
      <w:r>
        <w:rPr>
          <w:rStyle w:val="optioncarChar"/>
        </w:rPr>
        <w:t xml:space="preserve"> / BIII / à proposer par l’entrepreneur et soumis à l’approbation de l’auteur de projet.</w:t>
      </w:r>
    </w:p>
    <w:p w14:paraId="5CE3010D" w14:textId="77777777" w:rsidR="00772179" w:rsidRDefault="00000000">
      <w:pPr>
        <w:jc w:val="both"/>
      </w:pPr>
      <w:r>
        <w:t>Dimensions (longueur l x largeur b x épaisseur d) : </w:t>
      </w:r>
      <w:r>
        <w:rPr>
          <w:rStyle w:val="optioncarChar"/>
        </w:rPr>
        <w:t>150 mm x 150 mm x 8 mm </w:t>
      </w:r>
      <w:r>
        <w:t>(par défaut)</w:t>
      </w:r>
      <w:r>
        <w:rPr>
          <w:rStyle w:val="optioncarChar"/>
        </w:rPr>
        <w:t> / ***</w:t>
      </w:r>
    </w:p>
    <w:p w14:paraId="0BAC466A" w14:textId="77777777" w:rsidR="00772179" w:rsidRDefault="00000000">
      <w:pPr>
        <w:jc w:val="both"/>
      </w:pPr>
      <w:r>
        <w:t xml:space="preserve"> Résistance au gel selon [NBN B 27-009]</w:t>
      </w:r>
    </w:p>
    <w:p w14:paraId="6B15F931" w14:textId="77777777" w:rsidR="00772179" w:rsidRDefault="00000000">
      <w:pPr>
        <w:pStyle w:val="Author-eListParagraph"/>
        <w:numPr>
          <w:ilvl w:val="0"/>
          <w:numId w:val="1018"/>
        </w:numPr>
      </w:pPr>
      <w:r>
        <w:t>pour usage en façade courante (hors zone de plinthe) : ≥ 380 mm Hg</w:t>
      </w:r>
    </w:p>
    <w:p w14:paraId="4505BED7" w14:textId="77777777" w:rsidR="00772179" w:rsidRDefault="00000000">
      <w:pPr>
        <w:pStyle w:val="Author-eListParagraph"/>
        <w:numPr>
          <w:ilvl w:val="0"/>
          <w:numId w:val="1018"/>
        </w:numPr>
      </w:pPr>
      <w:r>
        <w:t>pour usage en zone de plinthe : ≥ 740 mm Hg.</w:t>
      </w:r>
    </w:p>
    <w:p w14:paraId="087729A2" w14:textId="77777777" w:rsidR="00772179" w:rsidRDefault="00000000">
      <w:pPr>
        <w:jc w:val="both"/>
      </w:pPr>
      <w:r>
        <w:t>Réaction au feu : </w:t>
      </w:r>
      <w:r>
        <w:rPr>
          <w:rStyle w:val="optioncarChar"/>
        </w:rPr>
        <w:t>A1 </w:t>
      </w:r>
      <w:r>
        <w:t>(par défaut)</w:t>
      </w:r>
      <w:r>
        <w:rPr>
          <w:rStyle w:val="optioncarChar"/>
        </w:rPr>
        <w:t> / ***</w:t>
      </w:r>
      <w:r>
        <w:t>.</w:t>
      </w:r>
    </w:p>
    <w:p w14:paraId="5E84D210" w14:textId="77777777" w:rsidR="00772179" w:rsidRDefault="00000000">
      <w:pPr>
        <w:jc w:val="both"/>
      </w:pPr>
      <w:r>
        <w:t xml:space="preserve"> Facteur d’absorption de l’énergie solaire [NBN EN 410] : </w:t>
      </w:r>
      <w:r>
        <w:rPr>
          <w:rStyle w:val="optioncarChar"/>
        </w:rPr>
        <w:t>≤ 0,7</w:t>
      </w:r>
      <w:r>
        <w:t> (par défaut)</w:t>
      </w:r>
      <w:r>
        <w:rPr>
          <w:rStyle w:val="optioncarChar"/>
        </w:rPr>
        <w:t> / non spécifié / ***</w:t>
      </w:r>
      <w:r>
        <w:t>.</w:t>
      </w:r>
    </w:p>
    <w:p w14:paraId="287BA214" w14:textId="77777777" w:rsidR="00772179" w:rsidRDefault="00000000">
      <w:pPr>
        <w:jc w:val="both"/>
      </w:pPr>
      <w:r>
        <w:t xml:space="preserve"> Indice de clarté : </w:t>
      </w:r>
      <w:r>
        <w:rPr>
          <w:rStyle w:val="optioncarChar"/>
        </w:rPr>
        <w:t>≥ 25</w:t>
      </w:r>
      <w:r>
        <w:t> (par défaut) </w:t>
      </w:r>
      <w:r>
        <w:rPr>
          <w:rStyle w:val="optioncarChar"/>
        </w:rPr>
        <w:t>/ non spécifié / ***</w:t>
      </w:r>
    </w:p>
    <w:p w14:paraId="2A05B32E" w14:textId="77777777" w:rsidR="00772179" w:rsidRDefault="00000000">
      <w:pPr>
        <w:jc w:val="both"/>
      </w:pPr>
      <w:r>
        <w:rPr>
          <w:b/>
        </w:rPr>
        <w:t>Colle à carrelage</w:t>
      </w:r>
    </w:p>
    <w:p w14:paraId="37B7C45A" w14:textId="77777777" w:rsidR="00772179" w:rsidRDefault="00000000">
      <w:pPr>
        <w:jc w:val="both"/>
      </w:pPr>
      <w:r>
        <w:t>Conforme à la [NIT 279] et à la documentation technique accompagnant le produit et le système</w:t>
      </w:r>
    </w:p>
    <w:p w14:paraId="1FF485F7" w14:textId="77777777" w:rsidR="00772179" w:rsidRDefault="00000000">
      <w:pPr>
        <w:jc w:val="both"/>
      </w:pPr>
      <w:r>
        <w:t>Teinte : </w:t>
      </w:r>
      <w:r>
        <w:rPr>
          <w:rStyle w:val="optioncarChar"/>
        </w:rPr>
        <w:t xml:space="preserve">gris </w:t>
      </w:r>
      <w:r>
        <w:t xml:space="preserve">(par défaut) </w:t>
      </w:r>
      <w:r>
        <w:rPr>
          <w:rStyle w:val="optioncarChar"/>
        </w:rPr>
        <w:t>/ blanc / ***</w:t>
      </w:r>
      <w:r>
        <w:t>.</w:t>
      </w:r>
    </w:p>
    <w:p w14:paraId="02C42356" w14:textId="77777777" w:rsidR="00772179" w:rsidRDefault="00000000">
      <w:pPr>
        <w:jc w:val="both"/>
      </w:pPr>
      <w:r>
        <w:rPr>
          <w:b/>
        </w:rPr>
        <w:t>Produit de jointoiement</w:t>
      </w:r>
    </w:p>
    <w:p w14:paraId="398C3C1C" w14:textId="77777777" w:rsidR="00772179" w:rsidRDefault="00000000">
      <w:pPr>
        <w:jc w:val="both"/>
      </w:pPr>
      <w:r>
        <w:t>Le produit de jointoiement répond aux spécifications de la [NBN EN 13888] ou est dosé in situ.</w:t>
      </w:r>
    </w:p>
    <w:p w14:paraId="53EADBE9" w14:textId="77777777" w:rsidR="00772179" w:rsidRDefault="00000000">
      <w:pPr>
        <w:jc w:val="both"/>
      </w:pPr>
      <w:r>
        <w:t>Type de joint : </w:t>
      </w:r>
      <w:r>
        <w:rPr>
          <w:rStyle w:val="optioncarChar"/>
        </w:rPr>
        <w:t>CG1 </w:t>
      </w:r>
      <w:r>
        <w:t>(par défaut) </w:t>
      </w:r>
      <w:r>
        <w:rPr>
          <w:rStyle w:val="optioncarChar"/>
        </w:rPr>
        <w:t>/ CG2 / CG2W, CG2Ar / RG / dosé in situ</w:t>
      </w:r>
    </w:p>
    <w:p w14:paraId="74034D09" w14:textId="77777777" w:rsidR="00772179" w:rsidRDefault="00000000">
      <w:pPr>
        <w:jc w:val="both"/>
      </w:pPr>
      <w:r>
        <w:rPr>
          <w:b/>
        </w:rPr>
        <w:lastRenderedPageBreak/>
        <w:t>Mastic d’étanchéité</w:t>
      </w:r>
    </w:p>
    <w:p w14:paraId="3DAF58D7" w14:textId="77777777" w:rsidR="00772179" w:rsidRDefault="00000000">
      <w:pPr>
        <w:jc w:val="both"/>
      </w:pPr>
      <w:r>
        <w:t>Couleur : </w:t>
      </w:r>
      <w:r>
        <w:rPr>
          <w:rStyle w:val="optioncarChar"/>
        </w:rPr>
        <w:t>se rapprochant du mortier de jointoiement </w:t>
      </w:r>
      <w:r>
        <w:t>(par défaut)</w:t>
      </w:r>
      <w:r>
        <w:rPr>
          <w:rStyle w:val="optioncarChar"/>
        </w:rPr>
        <w:t> / ***</w:t>
      </w:r>
      <w:r>
        <w:t>. </w:t>
      </w:r>
    </w:p>
    <w:p w14:paraId="0AF012A4" w14:textId="77777777" w:rsidR="00772179" w:rsidRDefault="00000000">
      <w:pPr>
        <w:jc w:val="both"/>
      </w:pPr>
      <w:r>
        <w:rPr>
          <w:b/>
        </w:rPr>
        <w:t>Produit pour joints de mouvement</w:t>
      </w:r>
    </w:p>
    <w:p w14:paraId="3707CB96" w14:textId="77777777" w:rsidR="00772179" w:rsidRDefault="00000000">
      <w:pPr>
        <w:jc w:val="both"/>
      </w:pPr>
      <w:r>
        <w:t>Couleur : </w:t>
      </w:r>
      <w:r>
        <w:rPr>
          <w:rStyle w:val="optioncarChar"/>
        </w:rPr>
        <w:t>se rapprochant du mortier de jointoiement </w:t>
      </w:r>
      <w:r>
        <w:t>(par défaut) </w:t>
      </w:r>
      <w:r>
        <w:rPr>
          <w:rStyle w:val="optioncarChar"/>
        </w:rPr>
        <w:t>/ ***</w:t>
      </w:r>
      <w:r>
        <w:t>. </w:t>
      </w:r>
    </w:p>
    <w:p w14:paraId="411A0133" w14:textId="77777777" w:rsidR="00772179" w:rsidRDefault="00000000">
      <w:pPr>
        <w:jc w:val="both"/>
      </w:pPr>
      <w:r>
        <w:rPr>
          <w:b/>
        </w:rPr>
        <w:t>Profilés</w:t>
      </w:r>
    </w:p>
    <w:p w14:paraId="1DACD4DA" w14:textId="77777777" w:rsidR="00772179" w:rsidRDefault="00000000">
      <w:pPr>
        <w:jc w:val="both"/>
      </w:pPr>
      <w:r>
        <w:t>Position : voir</w:t>
      </w:r>
      <w:r>
        <w:rPr>
          <w:rStyle w:val="optioncarChar"/>
        </w:rPr>
        <w:t> plans / ***</w:t>
      </w:r>
      <w:r>
        <w:t>.</w:t>
      </w:r>
    </w:p>
    <w:p w14:paraId="0A6E6213" w14:textId="77777777" w:rsidR="00772179" w:rsidRDefault="00000000">
      <w:pPr>
        <w:jc w:val="both"/>
      </w:pPr>
      <w:r>
        <w:t>Description : </w:t>
      </w:r>
      <w:r>
        <w:rPr>
          <w:rStyle w:val="optioncarChar"/>
        </w:rPr>
        <w:t>***</w:t>
      </w:r>
      <w:r>
        <w:t>.</w:t>
      </w:r>
    </w:p>
    <w:p w14:paraId="47B53331" w14:textId="77777777" w:rsidR="00772179" w:rsidRDefault="00000000">
      <w:pPr>
        <w:ind w:left="750"/>
      </w:pPr>
      <w:r>
        <w:t> </w:t>
      </w:r>
    </w:p>
    <w:p w14:paraId="0D79B2CC" w14:textId="77777777" w:rsidR="00772179" w:rsidRDefault="00000000">
      <w:pPr>
        <w:pStyle w:val="pheading"/>
      </w:pPr>
      <w:r>
        <w:t>- Finitions</w:t>
      </w:r>
    </w:p>
    <w:p w14:paraId="10CD0757" w14:textId="77777777" w:rsidR="00772179" w:rsidRDefault="00000000">
      <w:pPr>
        <w:jc w:val="both"/>
      </w:pPr>
      <w:r>
        <w:t>Texture de surface du carreau : </w:t>
      </w:r>
      <w:r>
        <w:rPr>
          <w:rStyle w:val="optioncarChar"/>
        </w:rPr>
        <w:t xml:space="preserve">lisse </w:t>
      </w:r>
      <w:r>
        <w:t>(par défaut)</w:t>
      </w:r>
      <w:r>
        <w:rPr>
          <w:rStyle w:val="optioncarChar"/>
        </w:rPr>
        <w:t xml:space="preserve"> / ***</w:t>
      </w:r>
    </w:p>
    <w:p w14:paraId="249F562B" w14:textId="77777777" w:rsidR="00772179" w:rsidRDefault="00000000">
      <w:pPr>
        <w:jc w:val="both"/>
      </w:pPr>
      <w:r>
        <w:t>Teinte du carreau : </w:t>
      </w:r>
      <w:r>
        <w:rPr>
          <w:rStyle w:val="optioncarChar"/>
        </w:rPr>
        <w:t>blanc</w:t>
      </w:r>
      <w:r>
        <w:t xml:space="preserve"> (par défaut) </w:t>
      </w:r>
      <w:r>
        <w:rPr>
          <w:rStyle w:val="optioncarChar"/>
        </w:rPr>
        <w:t>/ nuancé / *** </w:t>
      </w:r>
      <w:r>
        <w:t>(description approximative).</w:t>
      </w:r>
    </w:p>
    <w:p w14:paraId="0FB986FE" w14:textId="77777777" w:rsidR="00772179" w:rsidRDefault="00000000">
      <w:pPr>
        <w:jc w:val="both"/>
      </w:pPr>
      <w:r>
        <w:t>Teinte de la surface projetée (homogénéité de teinte entre les plaquettes) : </w:t>
      </w:r>
      <w:r>
        <w:rPr>
          <w:rStyle w:val="optioncarChar"/>
        </w:rPr>
        <w:t>couleur homogène </w:t>
      </w:r>
      <w:r>
        <w:t xml:space="preserve">(par défaut) </w:t>
      </w:r>
      <w:r>
        <w:rPr>
          <w:rStyle w:val="optioncarChar"/>
        </w:rPr>
        <w:t>/ panaché de couleurs</w:t>
      </w:r>
    </w:p>
    <w:p w14:paraId="5B7C69CE" w14:textId="77777777" w:rsidR="00772179" w:rsidRDefault="00000000">
      <w:pPr>
        <w:jc w:val="both"/>
      </w:pPr>
      <w:r>
        <w:t>Teinte du produit de jointoiement : </w:t>
      </w:r>
      <w:r>
        <w:rPr>
          <w:rStyle w:val="optioncarChar"/>
        </w:rPr>
        <w:t>gris se rapprochant de la couleur des carreaux </w:t>
      </w:r>
      <w:r>
        <w:t>(par défaut)</w:t>
      </w:r>
      <w:r>
        <w:rPr>
          <w:rStyle w:val="optioncarChar"/>
        </w:rPr>
        <w:t> / gris clair / gris sombre / couleur se rapprochant de celle des carreaux / ***</w:t>
      </w:r>
      <w:r>
        <w:t>.</w:t>
      </w:r>
    </w:p>
    <w:p w14:paraId="4EF3F221" w14:textId="77777777" w:rsidR="00772179" w:rsidRDefault="00000000">
      <w:pPr>
        <w:pStyle w:val="pheading"/>
      </w:pPr>
      <w:r>
        <w:t>EXÉCUTION / MISE EN ŒUVRE</w:t>
      </w:r>
    </w:p>
    <w:p w14:paraId="7F9CC436" w14:textId="77777777" w:rsidR="00772179" w:rsidRDefault="00000000">
      <w:pPr>
        <w:pStyle w:val="pheading"/>
      </w:pPr>
      <w:r>
        <w:t>- Prescriptions générales</w:t>
      </w:r>
    </w:p>
    <w:p w14:paraId="3C203EDC" w14:textId="77777777" w:rsidR="00772179" w:rsidRDefault="00000000">
      <w:pPr>
        <w:jc w:val="both"/>
      </w:pPr>
      <w:r>
        <w:rPr>
          <w:b/>
        </w:rPr>
        <w:t>Support (couche de fixation)</w:t>
      </w:r>
    </w:p>
    <w:p w14:paraId="3C183F7C" w14:textId="77777777" w:rsidR="00772179" w:rsidRDefault="00000000">
      <w:pPr>
        <w:jc w:val="both"/>
      </w:pPr>
      <w:r>
        <w:t xml:space="preserve">Support (couche de fixation) à revêtir : </w:t>
      </w:r>
      <w:r>
        <w:rPr>
          <w:rStyle w:val="optioncarChar"/>
        </w:rPr>
        <w:t>voile en béton / maçonnerie d’éléments / ***</w:t>
      </w:r>
      <w:r>
        <w:t>.</w:t>
      </w:r>
    </w:p>
    <w:p w14:paraId="09484F6B" w14:textId="77777777" w:rsidR="00772179" w:rsidRDefault="00000000">
      <w:pPr>
        <w:jc w:val="both"/>
      </w:pPr>
      <w:r>
        <w:t xml:space="preserve"> Type de support : catégorie </w:t>
      </w:r>
      <w:r>
        <w:rPr>
          <w:rStyle w:val="optioncarChar"/>
        </w:rPr>
        <w:t>A / B / C / D / E</w:t>
      </w:r>
      <w:r>
        <w:t> (cfr [EAD 330196-01-0604]).</w:t>
      </w:r>
    </w:p>
    <w:p w14:paraId="361B6768" w14:textId="77777777" w:rsidR="00772179" w:rsidRDefault="00000000">
      <w:pPr>
        <w:jc w:val="both"/>
      </w:pPr>
      <w:r>
        <w:t xml:space="preserve"> En cas de voile en béton : </w:t>
      </w:r>
      <w:r>
        <w:rPr>
          <w:rStyle w:val="optioncarChar"/>
        </w:rPr>
        <w:t>préfabriqué / coulé sur place</w:t>
      </w:r>
      <w:r>
        <w:t>. Classe de résistance : </w:t>
      </w:r>
      <w:r>
        <w:rPr>
          <w:rStyle w:val="optioncarChar"/>
        </w:rPr>
        <w:t>inconnue </w:t>
      </w:r>
      <w:r>
        <w:t>(par défaut)</w:t>
      </w:r>
      <w:r>
        <w:rPr>
          <w:rStyle w:val="optioncarChar"/>
        </w:rPr>
        <w:t> / ***</w:t>
      </w:r>
      <w:r>
        <w:t>.</w:t>
      </w:r>
    </w:p>
    <w:p w14:paraId="545AC8B6" w14:textId="77777777" w:rsidR="00772179" w:rsidRDefault="00000000">
      <w:pPr>
        <w:jc w:val="both"/>
      </w:pPr>
      <w:r>
        <w:t xml:space="preserve"> En cas de maçonnerie comme support ; nature des éléments de maçonnerie : </w:t>
      </w:r>
      <w:r>
        <w:rPr>
          <w:rStyle w:val="optioncarChar"/>
        </w:rPr>
        <w:t>briques / blocs de béton / blocs de terre cuite / blocs de béton cellulaire</w:t>
      </w:r>
      <w:r>
        <w:t>. Groupe des éléments de maçonnerie (cfr [NBN EN 1996-1-1+A1]) : </w:t>
      </w:r>
      <w:r>
        <w:rPr>
          <w:rStyle w:val="optioncarChar"/>
        </w:rPr>
        <w:t>1 / 1s / 2 / 3 / 4</w:t>
      </w:r>
      <w:r>
        <w:t>.</w:t>
      </w:r>
    </w:p>
    <w:p w14:paraId="39D2D658" w14:textId="77777777" w:rsidR="00772179" w:rsidRDefault="00000000">
      <w:pPr>
        <w:jc w:val="both"/>
      </w:pPr>
      <w:r>
        <w:t xml:space="preserve"> Conformité des éléments de maçonnerie à une norme et un PTV : </w:t>
      </w:r>
      <w:r>
        <w:rPr>
          <w:rStyle w:val="optioncarChar"/>
        </w:rPr>
        <w:t>oui / non / inconnu</w:t>
      </w:r>
      <w:r>
        <w:t>.</w:t>
      </w:r>
    </w:p>
    <w:p w14:paraId="6875BAD8" w14:textId="77777777" w:rsidR="00772179" w:rsidRDefault="00000000">
      <w:pPr>
        <w:jc w:val="both"/>
      </w:pPr>
      <w:r>
        <w:t xml:space="preserve"> En cas de construction en bois (ossature bois par exemple), nature des panneaux support : </w:t>
      </w:r>
      <w:r>
        <w:rPr>
          <w:rStyle w:val="optioncarChar"/>
        </w:rPr>
        <w:t>panneaux de fibres-ciment / panneaux d’OSB de classe ≥ 3</w:t>
      </w:r>
      <w:r>
        <w:t>.  </w:t>
      </w:r>
    </w:p>
    <w:p w14:paraId="078DD840" w14:textId="77777777" w:rsidR="00772179" w:rsidRDefault="00000000">
      <w:pPr>
        <w:jc w:val="both"/>
      </w:pPr>
      <w:r>
        <w:t xml:space="preserve"> 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67ADB250" w14:textId="77777777" w:rsidR="00772179" w:rsidRDefault="00000000">
      <w:pPr>
        <w:jc w:val="both"/>
      </w:pPr>
      <w:r>
        <w:rPr>
          <w:b/>
        </w:rPr>
        <w:t>Couche d’isolation</w:t>
      </w:r>
    </w:p>
    <w:p w14:paraId="0D9EA791" w14:textId="77777777" w:rsidR="00772179" w:rsidRDefault="00000000">
      <w:pPr>
        <w:jc w:val="both"/>
      </w:pPr>
      <w:r>
        <w:t>Afin d’obtenir une couche d’isolation continue, les panneaux sont posés jointifs à joints alternés et un harpage est réalisé dans les angles. Les joints entre panneaux ne coïncident pas avec une zone de concentration de contraintes (angle de baie par exemple).</w:t>
      </w:r>
    </w:p>
    <w:p w14:paraId="1A8F2CDC" w14:textId="77777777" w:rsidR="00772179" w:rsidRDefault="00000000">
      <w:pPr>
        <w:jc w:val="both"/>
      </w:pPr>
      <w:r>
        <w:t xml:space="preserve"> Pour les systèmes fixés mécaniquement, le nombre et la position des fixations mécaniques (cfr résistance au vent) suivent un calepinage soumis à l’auteur de projet pour approbation.</w:t>
      </w:r>
    </w:p>
    <w:p w14:paraId="01B8BCD5" w14:textId="77777777" w:rsidR="00772179" w:rsidRDefault="00000000">
      <w:pPr>
        <w:jc w:val="both"/>
      </w:pPr>
      <w:r>
        <w:rPr>
          <w:b/>
        </w:rPr>
        <w:t>Eventuel enduit de base renforcé, renforts et profilés</w:t>
      </w:r>
    </w:p>
    <w:p w14:paraId="2730E0BE" w14:textId="77777777" w:rsidR="00772179" w:rsidRDefault="00000000">
      <w:pPr>
        <w:jc w:val="both"/>
      </w:pPr>
      <w:r>
        <w:t xml:space="preserve">Pour les systèmes avec enduit de base renforcé, des renforts sous la forme de bande de treillis d’environ 30 x 30 cm sont placés au droit des zones de concentration de contraintes. Les profilés sont placés là où nécessaire. Le treillis d’armature est placé dans la moitié extérieure de l’épaisseur de </w:t>
      </w:r>
      <w:r>
        <w:lastRenderedPageBreak/>
        <w:t>l’enduit de base. L’épaisseur de l’enduit de base respecte les mentions indiquées dans la documentation technique accompagnant le système.</w:t>
      </w:r>
    </w:p>
    <w:p w14:paraId="192A96B2" w14:textId="77777777" w:rsidR="00772179" w:rsidRDefault="00000000">
      <w:pPr>
        <w:jc w:val="both"/>
      </w:pPr>
      <w:r>
        <w:rPr>
          <w:b/>
        </w:rPr>
        <w:t>Mise en œuvre des carreaux</w:t>
      </w:r>
    </w:p>
    <w:p w14:paraId="11E3E197" w14:textId="77777777" w:rsidR="00772179" w:rsidRDefault="00000000">
      <w:pPr>
        <w:jc w:val="both"/>
      </w:pPr>
      <w:r>
        <w:t>La surface de carreaux est exécutée en appareil : </w:t>
      </w:r>
      <w:r>
        <w:rPr>
          <w:rStyle w:val="optioncarChar"/>
        </w:rPr>
        <w:t>à joints continus</w:t>
      </w:r>
      <w:r>
        <w:t xml:space="preserve"> (par défaut)</w:t>
      </w:r>
      <w:r>
        <w:rPr>
          <w:rStyle w:val="optioncarChar"/>
        </w:rPr>
        <w:t xml:space="preserve"> / à joints croisés / ***</w:t>
      </w:r>
      <w:r>
        <w:t>.</w:t>
      </w:r>
    </w:p>
    <w:p w14:paraId="6E5216CC" w14:textId="77777777" w:rsidR="00772179" w:rsidRDefault="00000000">
      <w:pPr>
        <w:jc w:val="both"/>
      </w:pPr>
      <w:r>
        <w:t xml:space="preserve"> Epaisseur nominale des joints : </w:t>
      </w:r>
      <w:r>
        <w:rPr>
          <w:rStyle w:val="optioncarChar"/>
        </w:rPr>
        <w:t xml:space="preserve">6 </w:t>
      </w:r>
      <w:r>
        <w:t>(par défaut)</w:t>
      </w:r>
      <w:r>
        <w:rPr>
          <w:rStyle w:val="optioncarChar"/>
        </w:rPr>
        <w:t xml:space="preserve"> / ***</w:t>
      </w:r>
      <w:r>
        <w:t> mm.</w:t>
      </w:r>
    </w:p>
    <w:p w14:paraId="5E41921C" w14:textId="77777777" w:rsidR="00772179" w:rsidRDefault="00000000">
      <w:pPr>
        <w:jc w:val="both"/>
      </w:pPr>
      <w:r>
        <w:t xml:space="preserve"> Les carreaux sont posés par double encollage.</w:t>
      </w:r>
    </w:p>
    <w:p w14:paraId="148F1BB5" w14:textId="77777777" w:rsidR="00772179" w:rsidRDefault="00000000">
      <w:pPr>
        <w:jc w:val="both"/>
      </w:pPr>
      <w:r>
        <w:t xml:space="preserve"> Joints de dilatation : </w:t>
      </w:r>
      <w:r>
        <w:rPr>
          <w:rStyle w:val="optioncarChar"/>
        </w:rPr>
        <w:t>***</w:t>
      </w:r>
      <w:r>
        <w:t> (voir recommandations spécifiques dans la documentation technique accompagnant le système).</w:t>
      </w:r>
    </w:p>
    <w:p w14:paraId="5126B8EF" w14:textId="77777777" w:rsidR="00772179" w:rsidRDefault="00000000">
      <w:pPr>
        <w:jc w:val="both"/>
      </w:pPr>
      <w:r>
        <w:t xml:space="preserve"> Les carreaux ne sont mis en œuvre que lorsque les conditions climatiques requises en fonction du type de produit de pose sont respectées (conditions généralement 5-10 ≤ T°  ≤25°C et 30 ≤ HR ≤ 85 % (voir fiches techniques des produits utilisés)).</w:t>
      </w:r>
    </w:p>
    <w:p w14:paraId="55917BEB" w14:textId="77777777" w:rsidR="00772179" w:rsidRDefault="00000000">
      <w:pPr>
        <w:pStyle w:val="pheading"/>
      </w:pPr>
      <w:r>
        <w:t>- Échantillons</w:t>
      </w:r>
    </w:p>
    <w:p w14:paraId="494BD112" w14:textId="77777777" w:rsidR="00772179" w:rsidRDefault="00000000">
      <w:pPr>
        <w:jc w:val="both"/>
      </w:pPr>
      <w:r>
        <w:t>Afin de déterminer le choix définitif des carreaux, un ou plusieurs </w:t>
      </w:r>
      <w:r>
        <w:rPr>
          <w:u w:val="single"/>
        </w:rPr>
        <w:t>échantillons de +/- 1 m²</w:t>
      </w:r>
      <w:r>
        <w:t> (avec un maximum de </w:t>
      </w:r>
      <w:r>
        <w:rPr>
          <w:rStyle w:val="optioncarChar"/>
        </w:rPr>
        <w:t>2 </w:t>
      </w:r>
      <w:r>
        <w:t>(par défaut) </w:t>
      </w:r>
      <w:r>
        <w:rPr>
          <w:rStyle w:val="optioncarChar"/>
        </w:rPr>
        <w:t>/ 3 / 5 / ***</w:t>
      </w:r>
      <w:r>
        <w:t> échantillons à réaliser au total) sont confectionnés à la demande de l'auteur de projet. Les frais inhérents à la confection et à la démolition de ces échantillons sont à charge de l'entreprise.</w:t>
      </w:r>
    </w:p>
    <w:p w14:paraId="7CA06C30" w14:textId="77777777" w:rsidR="00772179" w:rsidRDefault="00000000">
      <w:pPr>
        <w:jc w:val="both"/>
      </w:pPr>
      <w:r>
        <w:t xml:space="preserve"> La couleur du mastic d’étanchéité est soumise à l’approbation de l’auteur de projet (qui l’approuve) en réalisant un essai d’application sur un mètre de longueur.</w:t>
      </w:r>
    </w:p>
    <w:p w14:paraId="316366AC" w14:textId="77777777" w:rsidR="00772179" w:rsidRDefault="00000000">
      <w:pPr>
        <w:jc w:val="both"/>
      </w:pPr>
      <w:r>
        <w:t xml:space="preserve"> La couleur du produit de joints de mouvement est soumise à l’approbation de l’auteur de projet (qui doit l’approuver) en réalisant un essai d’application sur un mètre de longueur.</w:t>
      </w:r>
    </w:p>
    <w:p w14:paraId="4D66AA6D" w14:textId="77777777" w:rsidR="00772179" w:rsidRDefault="00000000">
      <w:pPr>
        <w:jc w:val="both"/>
      </w:pPr>
      <w:r>
        <w:t xml:space="preserve"> Le modèle de profilé est proposé à l’auteur de projet pour approbation avant mise en œuvre.</w:t>
      </w:r>
    </w:p>
    <w:p w14:paraId="76A4FE8C" w14:textId="77777777" w:rsidR="00772179" w:rsidRDefault="00000000">
      <w:pPr>
        <w:pStyle w:val="pheading"/>
      </w:pPr>
      <w:r>
        <w:t>CONTRÔLES PARTICULIERS</w:t>
      </w:r>
    </w:p>
    <w:p w14:paraId="32C630BA" w14:textId="77777777" w:rsidR="00772179" w:rsidRDefault="00000000">
      <w:pPr>
        <w:jc w:val="both"/>
      </w:pPr>
      <w:r>
        <w:rPr>
          <w:b/>
        </w:rPr>
        <w:t>Contrôle du support (couche de fixation) avant mise en œuvre</w:t>
      </w:r>
    </w:p>
    <w:p w14:paraId="784830C0" w14:textId="77777777" w:rsidR="00772179" w:rsidRDefault="00000000">
      <w:pPr>
        <w:jc w:val="both"/>
      </w:pPr>
      <w:r>
        <w:t>Contrôle de la présence d’une finition sur le support : </w:t>
      </w:r>
      <w:r>
        <w:rPr>
          <w:rStyle w:val="optioncarChar"/>
        </w:rPr>
        <w:t>rien / peinture / traitement de surface répulsif à l’eau / enduit / produit de décoffrage / ***</w:t>
      </w:r>
      <w:r>
        <w:t>.</w:t>
      </w:r>
    </w:p>
    <w:p w14:paraId="04832625" w14:textId="77777777" w:rsidR="00772179" w:rsidRDefault="00000000">
      <w:pPr>
        <w:jc w:val="both"/>
      </w:pPr>
      <w:r>
        <w:t xml:space="preserve"> Eventuelle réalisation (à charge </w:t>
      </w:r>
      <w:r>
        <w:rPr>
          <w:rStyle w:val="optioncarChar"/>
        </w:rPr>
        <w:t>du maître d’ouvrage / de l’entrepreneur</w:t>
      </w:r>
      <w:r>
        <w:t xml:space="preserve">) d’une évaluation mécanique de contrôle de l’adhérence d’une couche d’enduit existante : </w:t>
      </w:r>
      <w:r>
        <w:rPr>
          <w:rStyle w:val="optioncarChar"/>
        </w:rPr>
        <w:t xml:space="preserve">non </w:t>
      </w:r>
      <w:r>
        <w:t>(par défaut)</w:t>
      </w:r>
      <w:r>
        <w:rPr>
          <w:rStyle w:val="optioncarChar"/>
        </w:rPr>
        <w:t xml:space="preserve"> / oui</w:t>
      </w:r>
      <w:r>
        <w:t>.</w:t>
      </w:r>
    </w:p>
    <w:p w14:paraId="365B1E9A" w14:textId="77777777" w:rsidR="00772179" w:rsidRDefault="00000000">
      <w:pPr>
        <w:pStyle w:val="pheading"/>
      </w:pPr>
      <w:r>
        <w:t>MESURAGE</w:t>
      </w:r>
    </w:p>
    <w:p w14:paraId="60B1C685" w14:textId="77777777" w:rsidR="00772179" w:rsidRDefault="00000000">
      <w:pPr>
        <w:pStyle w:val="pheading"/>
      </w:pPr>
      <w:r>
        <w:t>- unité de mesure:</w:t>
      </w:r>
    </w:p>
    <w:p w14:paraId="1F19CE96" w14:textId="77777777" w:rsidR="00772179" w:rsidRDefault="00000000">
      <w:r>
        <w:t>m² ; m</w:t>
      </w:r>
    </w:p>
    <w:p w14:paraId="3C17040B" w14:textId="77777777" w:rsidR="00772179" w:rsidRDefault="00000000">
      <w:pPr>
        <w:pStyle w:val="pheading"/>
      </w:pPr>
      <w:r>
        <w:t>- code de mesurage:</w:t>
      </w:r>
    </w:p>
    <w:p w14:paraId="5A02F2A3" w14:textId="77777777" w:rsidR="00772179" w:rsidRDefault="00000000">
      <w:pPr>
        <w:jc w:val="both"/>
      </w:pPr>
      <w:r>
        <w:rPr>
          <w:b/>
        </w:rPr>
        <w:t>Surface nette</w:t>
      </w:r>
      <w:r>
        <w:t> du système à poser (mesurée dans le plan extérieur des carreaux). Les ouvertures et les interruptions ≥ 0,50 m² sont déduites. Les retours sont comptés.</w:t>
      </w:r>
    </w:p>
    <w:p w14:paraId="3E232C7C" w14:textId="77777777" w:rsidR="00772179" w:rsidRDefault="00000000">
      <w:pPr>
        <w:jc w:val="both"/>
      </w:pPr>
      <w:r>
        <w:t xml:space="preserve"> Distinction faite suivant le type de système.</w:t>
      </w:r>
    </w:p>
    <w:p w14:paraId="666E5FA5" w14:textId="77777777" w:rsidR="00772179" w:rsidRDefault="00000000">
      <w:pPr>
        <w:jc w:val="both"/>
      </w:pPr>
      <w:r>
        <w:rPr>
          <w:b/>
        </w:rPr>
        <w:t>Longueur nette</w:t>
      </w:r>
      <w:r>
        <w:t> des profilés à poser. Distinction faite selon le modèle de profilé.</w:t>
      </w:r>
    </w:p>
    <w:p w14:paraId="33582B89" w14:textId="77777777" w:rsidR="00772179" w:rsidRDefault="00000000">
      <w:pPr>
        <w:pStyle w:val="pheading"/>
      </w:pPr>
      <w:r>
        <w:t>- nature du marché:</w:t>
      </w:r>
    </w:p>
    <w:p w14:paraId="588B0481" w14:textId="77777777" w:rsidR="00772179" w:rsidRDefault="00000000">
      <w:r>
        <w:t>QF</w:t>
      </w:r>
    </w:p>
    <w:p w14:paraId="6838AB9E" w14:textId="77777777" w:rsidR="00772179" w:rsidRDefault="00000000">
      <w:pPr>
        <w:pStyle w:val="pheading"/>
      </w:pPr>
      <w:r>
        <w:t>AIDE</w:t>
      </w:r>
    </w:p>
    <w:p w14:paraId="611CB5AC" w14:textId="77777777" w:rsidR="00772179" w:rsidRDefault="00000000">
      <w:pPr>
        <w:jc w:val="both"/>
      </w:pPr>
      <w:r>
        <w:t>On distingue les deux modes de fixation suivants :</w:t>
      </w:r>
    </w:p>
    <w:p w14:paraId="25726931" w14:textId="77777777" w:rsidR="00772179" w:rsidRDefault="00000000">
      <w:pPr>
        <w:pStyle w:val="Author-eListParagraph"/>
        <w:numPr>
          <w:ilvl w:val="0"/>
          <w:numId w:val="1019"/>
        </w:numPr>
      </w:pPr>
      <w:r>
        <w:t xml:space="preserve">le collage au support, avec des fixations mécaniques complémentaires. Les systèmes sont collés en plein (sur toute la surface) ou partiellement (≥ 60 % de la surface) par boudins et/ou par plots accompagnés d’une bande de colle sur les bords de la surface de pose des panneaux isolants. Les charges sont entièrement reprises par la colle. Les éventuelles </w:t>
      </w:r>
      <w:r>
        <w:lastRenderedPageBreak/>
        <w:t>fixations mécaniques complémentaires servent avant tout à assurer la stabilité jusqu’à la prise de la colle et tiennent lieu de liaison provisoire pour éviter les risques de décollement mais aussi à assurer une certaine sécurité ;</w:t>
      </w:r>
    </w:p>
    <w:p w14:paraId="313A513F" w14:textId="77777777" w:rsidR="00772179" w:rsidRDefault="00000000">
      <w:pPr>
        <w:pStyle w:val="Author-eListParagraph"/>
        <w:numPr>
          <w:ilvl w:val="0"/>
          <w:numId w:val="1019"/>
        </w:numPr>
      </w:pPr>
      <w:r>
        <w:t>la fixation mécanique au support au moyen de chevilles munies d’une rosace, combinée à un encollage (≥ 60 % de la surface). La charge de vent est entièrement reprise par les fixations mécaniques. La colle sert à assurer la planéité du système mis en œuvre (= système ‘chevillé/calé’), à limiter les mouvements du système (déplacement du système dans le plan et tuilage, par exemple) et à éviter les mouvements d’air au dos des panneaux isolants.</w:t>
      </w:r>
    </w:p>
    <w:p w14:paraId="254BAC90" w14:textId="77777777" w:rsidR="00772179" w:rsidRDefault="00000000">
      <w:pPr>
        <w:jc w:val="both"/>
      </w:pPr>
      <w:r>
        <w:t>Bien que différents modes de fixation sont souvent com­binés, la distinction du mode principal est nécessaire afin de dimensionner correctement le système pour qu’il résiste à l’action du vent. </w:t>
      </w:r>
    </w:p>
    <w:p w14:paraId="6327DF83" w14:textId="77777777" w:rsidR="00772179" w:rsidRDefault="00000000">
      <w:pPr>
        <w:pStyle w:val="Author-eSectionHeading4Numberless"/>
      </w:pPr>
      <w:bookmarkStart w:id="794" w:name="_Toc220490476"/>
      <w:r>
        <w:t>43.33 Revêtements de façade rigides collés - plaquettes en terre cuite CCTB 01.11</w:t>
      </w:r>
      <w:bookmarkEnd w:id="794"/>
    </w:p>
    <w:p w14:paraId="0BB67E35" w14:textId="77777777" w:rsidR="00772179" w:rsidRDefault="00000000">
      <w:pPr>
        <w:pStyle w:val="pheading"/>
      </w:pPr>
      <w:bookmarkStart w:id="795" w:name="406"/>
      <w:bookmarkEnd w:id="795"/>
      <w:r>
        <w:t>DESCRIPTION</w:t>
      </w:r>
    </w:p>
    <w:p w14:paraId="73147405" w14:textId="77777777" w:rsidR="00772179" w:rsidRDefault="00000000">
      <w:pPr>
        <w:pStyle w:val="pheading"/>
      </w:pPr>
      <w:r>
        <w:t>- Définition / Comprend</w:t>
      </w:r>
    </w:p>
    <w:p w14:paraId="72B3C991" w14:textId="77777777" w:rsidR="00772179" w:rsidRDefault="00000000">
      <w:pPr>
        <w:jc w:val="both"/>
      </w:pPr>
      <w:r>
        <w:t>Il s'agit de toutes les fournitures et travaux nécessaires en vue de la réalisation de plaquettes en terre cuite encollées sur murs et éventuellement jointoyées afin de constituer un ouvrage parfaitement fini. Conformément aux dispositions générales et/ou spécifiques du cahier spécial des charges, les prix unitaires compris dans ces postes comprennent toujours, soit selon la ventilation dans le métré récapitulatif, soit dans leur totalité, notamment :</w:t>
      </w:r>
    </w:p>
    <w:p w14:paraId="7648B34A" w14:textId="77777777" w:rsidR="00772179" w:rsidRDefault="00000000">
      <w:pPr>
        <w:pStyle w:val="Author-eListParagraph"/>
        <w:numPr>
          <w:ilvl w:val="0"/>
          <w:numId w:val="1020"/>
        </w:numPr>
        <w:jc w:val="both"/>
      </w:pPr>
      <w:r>
        <w:t>Le contrôle de l’état du support (planéité, verticalité, ...) afin de s’assurer de la pertinence de la technique de pose prévue</w:t>
      </w:r>
    </w:p>
    <w:p w14:paraId="5E130236" w14:textId="77777777" w:rsidR="00772179" w:rsidRDefault="00000000">
      <w:pPr>
        <w:pStyle w:val="Author-eListParagraph"/>
        <w:numPr>
          <w:ilvl w:val="0"/>
          <w:numId w:val="1020"/>
        </w:numPr>
        <w:jc w:val="both"/>
      </w:pPr>
      <w:r>
        <w:t>Le dépoussiérage du support</w:t>
      </w:r>
    </w:p>
    <w:p w14:paraId="1A48B3DA" w14:textId="77777777" w:rsidR="00772179" w:rsidRDefault="00000000">
      <w:pPr>
        <w:pStyle w:val="Author-eListParagraph"/>
        <w:numPr>
          <w:ilvl w:val="0"/>
          <w:numId w:val="1020"/>
        </w:numPr>
        <w:jc w:val="both"/>
      </w:pPr>
      <w:r>
        <w:t>Si nécessaire la vérification de la présence d’une membrane anticapillaire en pied de mur et le contrôle de son positionnement</w:t>
      </w:r>
    </w:p>
    <w:p w14:paraId="72286AB0" w14:textId="77777777" w:rsidR="00772179" w:rsidRDefault="00000000">
      <w:pPr>
        <w:pStyle w:val="Author-eListParagraph"/>
        <w:numPr>
          <w:ilvl w:val="0"/>
          <w:numId w:val="1020"/>
        </w:numPr>
        <w:jc w:val="both"/>
      </w:pPr>
      <w:r>
        <w:t>L’application d’un primaire (produit de prétraitement), pour autant que l’assemblage support/plaquettes l’exige (également en fonction du produit de pose utilisé)</w:t>
      </w:r>
    </w:p>
    <w:p w14:paraId="1391E07F" w14:textId="77777777" w:rsidR="00772179" w:rsidRDefault="00000000">
      <w:pPr>
        <w:pStyle w:val="Author-eListParagraph"/>
        <w:numPr>
          <w:ilvl w:val="0"/>
          <w:numId w:val="1020"/>
        </w:numPr>
        <w:jc w:val="both"/>
      </w:pPr>
      <w:r>
        <w:t>La protection éventuelle de la menuiserie existante et du vitrage pendant l’exécution du travail</w:t>
      </w:r>
    </w:p>
    <w:p w14:paraId="5E5E13AB" w14:textId="77777777" w:rsidR="00772179" w:rsidRDefault="00000000">
      <w:pPr>
        <w:pStyle w:val="Author-eListParagraph"/>
        <w:numPr>
          <w:ilvl w:val="0"/>
          <w:numId w:val="1020"/>
        </w:numPr>
        <w:jc w:val="both"/>
      </w:pPr>
      <w:r>
        <w:t>L’encollage des plaquettes, toutes fournitures comprises (notamment les plaquettes, les produits de pose et de jointoiement, – y compris les joints souples –, les primaires éventuels, ...)</w:t>
      </w:r>
    </w:p>
    <w:p w14:paraId="5A25756A" w14:textId="77777777" w:rsidR="00772179" w:rsidRDefault="00000000">
      <w:pPr>
        <w:pStyle w:val="Author-eListParagraph"/>
        <w:numPr>
          <w:ilvl w:val="0"/>
          <w:numId w:val="1020"/>
        </w:numPr>
        <w:jc w:val="both"/>
      </w:pPr>
      <w:r>
        <w:t>La livraison ainsi que la pose de profilés de raccord et de protection des bords (protections d’angle, profilés d’arrêt, de dilatation et de raccord)</w:t>
      </w:r>
    </w:p>
    <w:p w14:paraId="6A164BBB" w14:textId="77777777" w:rsidR="00772179" w:rsidRDefault="00000000">
      <w:pPr>
        <w:pStyle w:val="Author-eListParagraph"/>
        <w:numPr>
          <w:ilvl w:val="0"/>
          <w:numId w:val="1020"/>
        </w:numPr>
        <w:jc w:val="both"/>
      </w:pPr>
      <w:r>
        <w:t>L’installation d’un dispositif de protection contre toute évolution défavorable des conditions climatiques durant l’exécution des travaux</w:t>
      </w:r>
    </w:p>
    <w:p w14:paraId="7464382C" w14:textId="77777777" w:rsidR="00772179" w:rsidRDefault="00000000">
      <w:pPr>
        <w:pStyle w:val="Author-eListParagraph"/>
        <w:numPr>
          <w:ilvl w:val="0"/>
          <w:numId w:val="1020"/>
        </w:numPr>
        <w:jc w:val="both"/>
      </w:pPr>
      <w:r>
        <w:t>Le nettoyage de la façade et l’enlèvement des déchets après exécution, afin de remettre le chantier dans son état de propreté initial.</w:t>
      </w:r>
    </w:p>
    <w:p w14:paraId="43CBD7C3" w14:textId="77777777" w:rsidR="00772179" w:rsidRDefault="00000000">
      <w:pPr>
        <w:jc w:val="both"/>
      </w:pPr>
      <w:r>
        <w:t xml:space="preserve">Sauf disposition contraire dans le cahier spécial des charges, les opérations suivantes ne font pas parties du poste et sont décrites dans des postes relatifs à la préparation du support (voir élément </w:t>
      </w:r>
      <w:hyperlink w:anchor="1009" w:history="1">
        <w:r>
          <w:rPr>
            <w:color w:val="0000EE"/>
          </w:rPr>
          <w:t>43.31 Revêtements de façade rigides collés - préparation du support</w:t>
        </w:r>
      </w:hyperlink>
      <w:r>
        <w:t>) :</w:t>
      </w:r>
    </w:p>
    <w:p w14:paraId="7E211D57" w14:textId="77777777" w:rsidR="00772179" w:rsidRDefault="00000000">
      <w:pPr>
        <w:pStyle w:val="Author-eListParagraph"/>
        <w:numPr>
          <w:ilvl w:val="0"/>
          <w:numId w:val="1021"/>
        </w:numPr>
        <w:jc w:val="both"/>
      </w:pPr>
      <w:r>
        <w:t>L’augmentation de la rugosité du support</w:t>
      </w:r>
    </w:p>
    <w:p w14:paraId="576F9A13" w14:textId="77777777" w:rsidR="00772179" w:rsidRDefault="00000000">
      <w:pPr>
        <w:pStyle w:val="Author-eListParagraph"/>
        <w:numPr>
          <w:ilvl w:val="0"/>
          <w:numId w:val="1021"/>
        </w:numPr>
        <w:jc w:val="both"/>
      </w:pPr>
      <w:r>
        <w:t>L’élimination des inégalités importantes du support en procédant, par exemple, à l’application d’une couche d’égalisation visant à corriger les surfaces hors tolérances</w:t>
      </w:r>
    </w:p>
    <w:p w14:paraId="6F76B453" w14:textId="77777777" w:rsidR="00772179" w:rsidRDefault="00000000">
      <w:pPr>
        <w:pStyle w:val="Author-eListParagraph"/>
        <w:numPr>
          <w:ilvl w:val="0"/>
          <w:numId w:val="1021"/>
        </w:numPr>
        <w:jc w:val="both"/>
      </w:pPr>
      <w:r>
        <w:t>L’enlèvement ou la neutralisation des produits de décoffrage</w:t>
      </w:r>
    </w:p>
    <w:p w14:paraId="37F0C3CC" w14:textId="77777777" w:rsidR="00772179" w:rsidRDefault="00000000">
      <w:pPr>
        <w:pStyle w:val="Author-eListParagraph"/>
        <w:numPr>
          <w:ilvl w:val="0"/>
          <w:numId w:val="1021"/>
        </w:numPr>
        <w:jc w:val="both"/>
      </w:pPr>
      <w:r>
        <w:t>La protection contre la corrosion des parties métalliques (tuyauteries, par exemple)</w:t>
      </w:r>
    </w:p>
    <w:p w14:paraId="2A943577" w14:textId="77777777" w:rsidR="00772179" w:rsidRDefault="00000000">
      <w:pPr>
        <w:pStyle w:val="Author-eListParagraph"/>
        <w:numPr>
          <w:ilvl w:val="0"/>
          <w:numId w:val="1021"/>
        </w:numPr>
        <w:jc w:val="both"/>
      </w:pPr>
      <w:r>
        <w:t>L’élimination des efflorescences éventuelles</w:t>
      </w:r>
    </w:p>
    <w:p w14:paraId="12D3CD3B" w14:textId="77777777" w:rsidR="00772179" w:rsidRDefault="00000000">
      <w:pPr>
        <w:pStyle w:val="Author-eListParagraph"/>
        <w:numPr>
          <w:ilvl w:val="0"/>
          <w:numId w:val="1021"/>
        </w:numPr>
        <w:jc w:val="both"/>
      </w:pPr>
      <w:r>
        <w:t>Toute protection autre que celles généralement prévues (voir ci-dessus).</w:t>
      </w:r>
    </w:p>
    <w:p w14:paraId="62751058" w14:textId="77777777" w:rsidR="00772179" w:rsidRDefault="00000000">
      <w:pPr>
        <w:pStyle w:val="pheading"/>
      </w:pPr>
      <w:r>
        <w:t>MATÉRIAUX</w:t>
      </w:r>
    </w:p>
    <w:p w14:paraId="4000FDD9" w14:textId="77777777" w:rsidR="00772179" w:rsidRDefault="00000000">
      <w:pPr>
        <w:jc w:val="both"/>
      </w:pPr>
      <w:r>
        <w:t xml:space="preserve">Les plaquettes en terre cuite répondent aux spécifications de la [NBN B 23-004]. Les plaquettes en terre cuite sont des plaquettes constituées d'argile ou d'autres matières argileuses, avec ou sans </w:t>
      </w:r>
      <w:r>
        <w:lastRenderedPageBreak/>
        <w:t>sable, combustibles ou autres adjuvants, cuite à une température suffisamment élevée pour obtenir une liaison céramique.</w:t>
      </w:r>
    </w:p>
    <w:p w14:paraId="01174DAB" w14:textId="77777777" w:rsidR="00772179" w:rsidRDefault="00000000">
      <w:pPr>
        <w:jc w:val="both"/>
      </w:pPr>
      <w:r>
        <w:t>Le mortier de jointoiement répond aux spécifications de la [NBN EN 998-2] et du [PTV 651] ou bien est dosé in situ (voir [NIT 208]).</w:t>
      </w:r>
    </w:p>
    <w:p w14:paraId="760B58CF" w14:textId="77777777" w:rsidR="00772179" w:rsidRDefault="00000000">
      <w:pPr>
        <w:jc w:val="both"/>
      </w:pPr>
      <w:r>
        <w:t>Les profilés sont compatibles avec les matériaux mis en œuvre et sont aptes à l’usage en extérieur.</w:t>
      </w:r>
    </w:p>
    <w:p w14:paraId="2C5AE62D" w14:textId="77777777" w:rsidR="00772179" w:rsidRDefault="00000000">
      <w:pPr>
        <w:pStyle w:val="pheading"/>
      </w:pPr>
      <w:r>
        <w:t>EXÉCUTION / MISE EN ŒUVRE</w:t>
      </w:r>
    </w:p>
    <w:p w14:paraId="363D1DCC" w14:textId="77777777" w:rsidR="00772179" w:rsidRDefault="00000000">
      <w:pPr>
        <w:jc w:val="both"/>
      </w:pPr>
      <w:r>
        <w:t>Le commencement des travaux signifie la réception de la surface de pose. A cet effet, l'entrepreneur est tenu, avant de commencer ses travaux d'inspecter l'état de la surface de pose (caractéristiques générales telles que le taux d'humidité, la planéité, l'horizontalité, etc.) et de faire part de ces constatations à l'auteur de projet.</w:t>
      </w:r>
    </w:p>
    <w:p w14:paraId="61ACDF98" w14:textId="77777777" w:rsidR="00772179" w:rsidRDefault="00000000">
      <w:pPr>
        <w:jc w:val="both"/>
      </w:pPr>
      <w:r>
        <w:t>Le choix des produits de pose et de la technique de pose sont déterminés notamment par les caractéristiques du support.</w:t>
      </w:r>
    </w:p>
    <w:p w14:paraId="400AA4CF" w14:textId="77777777" w:rsidR="00772179" w:rsidRDefault="00000000">
      <w:pPr>
        <w:jc w:val="both"/>
      </w:pPr>
      <w:r>
        <w:t xml:space="preserve">L’entrepreneur contrôle dans quelle mesure le support répond aux exigences spécifiées en termes de stabilité et déformabilité, sensibilité à l’humidité, cohésion de surface et rugosité, niveau, planéité et horizontalité du support. Si le support ne présente pas l’exigence requise décrite, il en avertit le donneur d’ordre. L’exécution des travaux de mise en conformité des supports, la mise en œuvre d’un ouvrage intermédiaire préparatoire est alors nécessaire, ces travaux sont décrits et comptabilisés séparément sous l’élément </w:t>
      </w:r>
      <w:hyperlink w:anchor="1009" w:history="1">
        <w:r>
          <w:rPr>
            <w:color w:val="0000EE"/>
          </w:rPr>
          <w:t>43.31 Revêtements de façade rigides collés - préparation du support</w:t>
        </w:r>
      </w:hyperlink>
      <w:r>
        <w:t>.</w:t>
      </w:r>
    </w:p>
    <w:p w14:paraId="736163D3" w14:textId="77777777" w:rsidR="00772179" w:rsidRDefault="00000000">
      <w:pPr>
        <w:jc w:val="both"/>
      </w:pPr>
      <w:r>
        <w:t>La mise en œuvre est réalisée conformément à la [NIT 227]. Le jointoiement, le cas échéant, est réalisé conformément à la [NIT 208].</w:t>
      </w:r>
    </w:p>
    <w:p w14:paraId="7A3F928E" w14:textId="77777777" w:rsidR="00772179" w:rsidRDefault="00000000">
      <w:pPr>
        <w:pStyle w:val="pheading"/>
      </w:pPr>
      <w:r>
        <w:t>CONTRÔLES</w:t>
      </w:r>
    </w:p>
    <w:p w14:paraId="73E649FE" w14:textId="77777777" w:rsidR="00772179" w:rsidRDefault="00000000">
      <w:pPr>
        <w:jc w:val="both"/>
      </w:pPr>
      <w:r>
        <w:t>En cas d’imperfection constatée, le contrôle des tolérances est réalisé sur la base des références en matière de travaux de maçonnerie (cfr [NBN EN 1996-2 ANB]).</w:t>
      </w:r>
    </w:p>
    <w:p w14:paraId="64B19194" w14:textId="77777777" w:rsidR="00772179" w:rsidRDefault="00000000">
      <w:pPr>
        <w:jc w:val="both"/>
      </w:pPr>
      <w:r>
        <w:t>Lorsque l’adhérence doit être contrôlée in situ (essai destructif), on se base sur les principes de la [NBN EN 12004-2].</w:t>
      </w:r>
    </w:p>
    <w:p w14:paraId="0B2AC1CC" w14:textId="77777777" w:rsidR="00772179" w:rsidRDefault="00000000">
      <w:pPr>
        <w:pStyle w:val="pheading"/>
      </w:pPr>
      <w:r>
        <w:t>DOCUMENTS DE RÉFÉRENCE</w:t>
      </w:r>
    </w:p>
    <w:p w14:paraId="02595939" w14:textId="77777777" w:rsidR="00772179" w:rsidRDefault="00000000">
      <w:pPr>
        <w:pStyle w:val="pheading"/>
      </w:pPr>
      <w:r>
        <w:t>- Matériau</w:t>
      </w:r>
    </w:p>
    <w:p w14:paraId="38C09655" w14:textId="77777777" w:rsidR="00772179" w:rsidRDefault="00000000">
      <w:r>
        <w:t>[NBN B 23-004, Plaquettes en terre cuite - Caractéristiques et exigences de performance]</w:t>
      </w:r>
    </w:p>
    <w:p w14:paraId="4F53FE51" w14:textId="77777777" w:rsidR="00772179" w:rsidRDefault="00000000">
      <w:r>
        <w:t>[NBN EN 998-2, Définitions et spécifications des mortiers pour maçonnerie - Partie 2: Mortiers de montage des éléments de maçonnerie]</w:t>
      </w:r>
    </w:p>
    <w:p w14:paraId="6450462F" w14:textId="77777777" w:rsidR="00772179" w:rsidRDefault="00000000">
      <w:r>
        <w:t>[PTV 651, Mortier de maçonnerie et mortier de jointoyage]</w:t>
      </w:r>
    </w:p>
    <w:p w14:paraId="76A17454" w14:textId="77777777" w:rsidR="00772179" w:rsidRDefault="00000000">
      <w:pPr>
        <w:pStyle w:val="pheading"/>
      </w:pPr>
      <w:r>
        <w:t>- Exécution</w:t>
      </w:r>
    </w:p>
    <w:p w14:paraId="2AF8B300" w14:textId="77777777" w:rsidR="00772179" w:rsidRDefault="00000000">
      <w:r>
        <w:t>[NIT 227, Carrelages muraux.]</w:t>
      </w:r>
    </w:p>
    <w:p w14:paraId="21F7E3D7" w14:textId="77777777" w:rsidR="00772179" w:rsidRDefault="00000000">
      <w:r>
        <w:t>[NIT 208, Jointoiement des maçonneries.]</w:t>
      </w:r>
    </w:p>
    <w:p w14:paraId="3DEC649B" w14:textId="77777777" w:rsidR="00772179" w:rsidRDefault="00000000">
      <w:r>
        <w:t>[NBN EN 1996-2 ANB, Eurocode 6 - Calcul des ouvrages en maçonnerie - Partie 2 : Conception, choix des matériaux et mise en oeuvre des maçonneries - Annexe nationale]</w:t>
      </w:r>
    </w:p>
    <w:p w14:paraId="30DC5C4F" w14:textId="77777777" w:rsidR="00772179" w:rsidRDefault="00000000">
      <w:pPr>
        <w:pStyle w:val="pheading"/>
      </w:pPr>
      <w:r>
        <w:t>AIDE</w:t>
      </w:r>
    </w:p>
    <w:p w14:paraId="10CE1FEA" w14:textId="77777777" w:rsidR="00772179" w:rsidRDefault="00000000">
      <w:pPr>
        <w:jc w:val="both"/>
      </w:pPr>
      <w:r>
        <w:t>Le type de profilé est défini dans le cahier spécial des charges et la livraison et la pose des profilés doivent, de préférence, faire l’objet d’un poste séparé dans l’offre de prix.</w:t>
      </w:r>
    </w:p>
    <w:p w14:paraId="4EAB05FC" w14:textId="77777777" w:rsidR="00772179" w:rsidRDefault="00000000">
      <w:pPr>
        <w:jc w:val="both"/>
      </w:pPr>
      <w:r>
        <w:t>Dans l’offre de prix, l’installation d’un dispositif de protection contre les conditions climatiques durant l’exécution des travaux devrait, de préférence, faire l’objet d’un poste séparé.</w:t>
      </w:r>
    </w:p>
    <w:p w14:paraId="1211744F" w14:textId="77777777" w:rsidR="00772179" w:rsidRDefault="00000000">
      <w:pPr>
        <w:pStyle w:val="Author-eSectionHeading5Numberless"/>
      </w:pPr>
      <w:bookmarkStart w:id="796" w:name="_Toc220490477"/>
      <w:r>
        <w:t>43.33.1 Revêtements de façade rigides collés - plaquettes en terre cuite CCTB 01.11</w:t>
      </w:r>
      <w:bookmarkEnd w:id="796"/>
    </w:p>
    <w:p w14:paraId="42A7B36C" w14:textId="77777777" w:rsidR="00772179" w:rsidRDefault="00000000">
      <w:pPr>
        <w:pStyle w:val="Author-eSectionHeading6Numberless"/>
      </w:pPr>
      <w:bookmarkStart w:id="797" w:name="_Toc220490478"/>
      <w:r>
        <w:lastRenderedPageBreak/>
        <w:t>43.33.1a Revêtements de façade rigides collés - plaquettes en terre cuite CCTB 01.11</w:t>
      </w:r>
      <w:bookmarkEnd w:id="797"/>
    </w:p>
    <w:p w14:paraId="369AFCF8" w14:textId="77777777" w:rsidR="00772179" w:rsidRDefault="00000000">
      <w:pPr>
        <w:pStyle w:val="pheading"/>
      </w:pPr>
      <w:r>
        <w:t>DESCRIPTION</w:t>
      </w:r>
    </w:p>
    <w:p w14:paraId="72E77B8D" w14:textId="77777777" w:rsidR="00772179" w:rsidRDefault="00000000">
      <w:pPr>
        <w:pStyle w:val="pheading"/>
      </w:pPr>
      <w:r>
        <w:t>- Définition / Comprend</w:t>
      </w:r>
    </w:p>
    <w:p w14:paraId="357BB8AC" w14:textId="77777777" w:rsidR="00772179" w:rsidRDefault="00000000">
      <w:pPr>
        <w:jc w:val="both"/>
      </w:pPr>
      <w:r>
        <w:t>Il s’agit de la fourniture et de la pose de revêtements rigides collés de plaquettes en terre cuite pour une application en façade.</w:t>
      </w:r>
    </w:p>
    <w:p w14:paraId="6668806A" w14:textId="77777777" w:rsidR="00772179" w:rsidRDefault="00000000">
      <w:pPr>
        <w:pStyle w:val="pheading"/>
      </w:pPr>
      <w:r>
        <w:t>- Localisation</w:t>
      </w:r>
    </w:p>
    <w:p w14:paraId="52134BDB" w14:textId="77777777" w:rsidR="00772179" w:rsidRDefault="00000000">
      <w:r>
        <w:t xml:space="preserve">Localisation des travaux : </w:t>
      </w:r>
      <w:r>
        <w:rPr>
          <w:rStyle w:val="optioncarChar"/>
        </w:rPr>
        <w:t>***</w:t>
      </w:r>
      <w:r>
        <w:t>.</w:t>
      </w:r>
    </w:p>
    <w:p w14:paraId="4951F93C" w14:textId="77777777" w:rsidR="00772179" w:rsidRDefault="00000000">
      <w:r>
        <w:t>Voir :</w:t>
      </w:r>
      <w:r>
        <w:rPr>
          <w:rStyle w:val="optioncarChar"/>
        </w:rPr>
        <w:t xml:space="preserve"> plans et métrés détaillés / ***</w:t>
      </w:r>
      <w:r>
        <w:t>.</w:t>
      </w:r>
    </w:p>
    <w:p w14:paraId="68D3431E" w14:textId="77777777" w:rsidR="00772179" w:rsidRDefault="00000000">
      <w:pPr>
        <w:pStyle w:val="pheading"/>
      </w:pPr>
      <w:r>
        <w:t>MATÉRIAUX</w:t>
      </w:r>
    </w:p>
    <w:p w14:paraId="0BC2CB51" w14:textId="77777777" w:rsidR="00772179" w:rsidRDefault="00000000">
      <w:pPr>
        <w:pStyle w:val="pheading"/>
      </w:pPr>
      <w:r>
        <w:t>- Caractéristiques générales</w:t>
      </w:r>
    </w:p>
    <w:p w14:paraId="4AFE87BD" w14:textId="77777777" w:rsidR="00772179" w:rsidRDefault="00000000">
      <w:pPr>
        <w:jc w:val="both"/>
      </w:pPr>
      <w:r>
        <w:rPr>
          <w:b/>
        </w:rPr>
        <w:t>Plaquettes en terre cuite (cfr [NBN B 23-004])</w:t>
      </w:r>
    </w:p>
    <w:p w14:paraId="21AA4909" w14:textId="77777777" w:rsidR="00772179" w:rsidRDefault="00000000">
      <w:r>
        <w:t>Endommagements : lors d’un sondage de 100 plaquettes de terre cuite, 90 plaquettes au moins ne peuvent être endommagées.</w:t>
      </w:r>
      <w:r>
        <w:br/>
        <w:t>Défauts : le pourcentage de plaquettes présentant des défauts est ≤ à 5 %.</w:t>
      </w:r>
      <w:r>
        <w:br/>
        <w:t xml:space="preserve">Facteur d’absorption de l’énergie solaire [NBN EN 410] : </w:t>
      </w:r>
      <w:r>
        <w:rPr>
          <w:rStyle w:val="optioncarChar"/>
        </w:rPr>
        <w:t>≤ 0,7</w:t>
      </w:r>
      <w:r>
        <w:t xml:space="preserve"> (par défaut)</w:t>
      </w:r>
      <w:r>
        <w:rPr>
          <w:rStyle w:val="optioncarChar"/>
        </w:rPr>
        <w:t xml:space="preserve"> / non spécifié / ***</w:t>
      </w:r>
      <w:r>
        <w:t>.</w:t>
      </w:r>
      <w:r>
        <w:br/>
        <w:t xml:space="preserve">Indice de clarté : </w:t>
      </w:r>
      <w:r>
        <w:rPr>
          <w:rStyle w:val="optioncarChar"/>
        </w:rPr>
        <w:t xml:space="preserve">≥ 10 / ≥ 40 </w:t>
      </w:r>
      <w:r>
        <w:t>(par défaut)</w:t>
      </w:r>
      <w:r>
        <w:rPr>
          <w:rStyle w:val="optioncarChar"/>
        </w:rPr>
        <w:t xml:space="preserve"> / non spécifié / ***</w:t>
      </w:r>
      <w:r>
        <w:br/>
        <w:t xml:space="preserve">Dimensions (longueur l x largeur b x épaisseur d) : </w:t>
      </w:r>
      <w:r>
        <w:rPr>
          <w:rStyle w:val="optioncarChar"/>
        </w:rPr>
        <w:t xml:space="preserve">188 mm x 48 mm x 25 mm </w:t>
      </w:r>
      <w:r>
        <w:t xml:space="preserve">(par défaut) </w:t>
      </w:r>
      <w:r>
        <w:rPr>
          <w:rStyle w:val="optioncarChar"/>
        </w:rPr>
        <w:t>/ ***</w:t>
      </w:r>
      <w:r>
        <w:br/>
        <w:t xml:space="preserve">Classe de tolérance des dimensions : </w:t>
      </w:r>
      <w:r>
        <w:rPr>
          <w:rStyle w:val="optioncarChar"/>
        </w:rPr>
        <w:t>1 / 2 / non spécifié</w:t>
      </w:r>
      <w:r>
        <w:t xml:space="preserve"> (par défaut).</w:t>
      </w:r>
      <w:r>
        <w:br/>
        <w:t xml:space="preserve">Classe de dispersion des dimensions : </w:t>
      </w:r>
      <w:r>
        <w:rPr>
          <w:rStyle w:val="optioncarChar"/>
        </w:rPr>
        <w:t>1 / 2 / non spécifié</w:t>
      </w:r>
      <w:r>
        <w:t xml:space="preserve"> (par défaut).</w:t>
      </w:r>
      <w:r>
        <w:br/>
        <w:t xml:space="preserve">Planéité de la face de pose : </w:t>
      </w:r>
      <w:r>
        <w:rPr>
          <w:rStyle w:val="optioncarChar"/>
        </w:rPr>
        <w:t>≤ 2 mm / non spécifié</w:t>
      </w:r>
      <w:r>
        <w:t xml:space="preserve"> (par défaut).</w:t>
      </w:r>
      <w:r>
        <w:br/>
        <w:t xml:space="preserve">Parallélisme des faces (face de pose et opposée) : </w:t>
      </w:r>
      <w:r>
        <w:rPr>
          <w:rStyle w:val="optioncarChar"/>
        </w:rPr>
        <w:t>1 / 2 / non spécifié</w:t>
      </w:r>
      <w:r>
        <w:t xml:space="preserve"> (par défaut) (selon la classe de dispersion des dimensions)</w:t>
      </w:r>
      <w:r>
        <w:br/>
        <w:t xml:space="preserve">Masses volumiques sèches brute et nette : </w:t>
      </w:r>
      <w:r>
        <w:rPr>
          <w:rStyle w:val="optioncarChar"/>
        </w:rPr>
        <w:t>non spécifié</w:t>
      </w:r>
      <w:r>
        <w:t xml:space="preserve"> (par défaut).</w:t>
      </w:r>
      <w:r>
        <w:br/>
        <w:t xml:space="preserve">Masse surfacique : </w:t>
      </w:r>
      <w:r>
        <w:rPr>
          <w:rStyle w:val="optioncarChar"/>
        </w:rPr>
        <w:t>non spécifié</w:t>
      </w:r>
      <w:r>
        <w:t xml:space="preserve"> (par défaut).</w:t>
      </w:r>
      <w:r>
        <w:br/>
        <w:t xml:space="preserve">Module d’élasticité : </w:t>
      </w:r>
      <w:r>
        <w:rPr>
          <w:rStyle w:val="optioncarChar"/>
        </w:rPr>
        <w:t>non spécifié</w:t>
      </w:r>
      <w:r>
        <w:t xml:space="preserve"> (par défaut).</w:t>
      </w:r>
      <w:r>
        <w:br/>
        <w:t xml:space="preserve">Résistance en flexion R : </w:t>
      </w:r>
      <w:r>
        <w:rPr>
          <w:rStyle w:val="optioncarChar"/>
        </w:rPr>
        <w:t>non spécifié</w:t>
      </w:r>
      <w:r>
        <w:t xml:space="preserve"> (par défaut).</w:t>
      </w:r>
      <w:r>
        <w:br/>
        <w:t>Conductivité thermique λ</w:t>
      </w:r>
      <w:r>
        <w:rPr>
          <w:vertAlign w:val="subscript"/>
        </w:rPr>
        <w:t>10,sec,plaquette</w:t>
      </w:r>
      <w:r>
        <w:t xml:space="preserve"> : </w:t>
      </w:r>
      <w:r>
        <w:rPr>
          <w:rStyle w:val="optioncarChar"/>
        </w:rPr>
        <w:t>non spécifié</w:t>
      </w:r>
      <w:r>
        <w:t xml:space="preserve"> (par défaut).</w:t>
      </w:r>
      <w:r>
        <w:br/>
        <w:t xml:space="preserve">Absorption d’eau initiale : </w:t>
      </w:r>
      <w:r>
        <w:rPr>
          <w:rStyle w:val="optioncarChar"/>
        </w:rPr>
        <w:t>IW1 / IW2 / IW3 / IW4 / non spécifié</w:t>
      </w:r>
      <w:r>
        <w:t xml:space="preserve"> (par défaut).</w:t>
      </w:r>
      <w:r>
        <w:br/>
        <w:t>Teneur en sels solubles actifs : S2</w:t>
      </w:r>
      <w:r>
        <w:br/>
        <w:t xml:space="preserve">Facteur de résistance à la diffusion de vapeur d’eau (valeur µ) : </w:t>
      </w:r>
      <w:r>
        <w:rPr>
          <w:rStyle w:val="optioncarChar"/>
        </w:rPr>
        <w:t>***</w:t>
      </w:r>
      <w:r>
        <w:t>.</w:t>
      </w:r>
      <w:r>
        <w:br/>
        <w:t>Résistance au gel :</w:t>
      </w:r>
      <w:r>
        <w:rPr>
          <w:rStyle w:val="optioncarChar"/>
        </w:rPr>
        <w:t xml:space="preserve"> très résistante au gel</w:t>
      </w:r>
      <w:r>
        <w:t xml:space="preserve"> (par défaut) </w:t>
      </w:r>
      <w:r>
        <w:rPr>
          <w:rStyle w:val="optioncarChar"/>
        </w:rPr>
        <w:t>/ résistance normale au gel</w:t>
      </w:r>
      <w:r>
        <w:t>.</w:t>
      </w:r>
      <w:r>
        <w:br/>
        <w:t xml:space="preserve">Réaction au feu : </w:t>
      </w:r>
      <w:r>
        <w:rPr>
          <w:rStyle w:val="optioncarChar"/>
        </w:rPr>
        <w:t xml:space="preserve">A1 </w:t>
      </w:r>
      <w:r>
        <w:t>(par défaut)</w:t>
      </w:r>
      <w:r>
        <w:rPr>
          <w:rStyle w:val="optioncarChar"/>
        </w:rPr>
        <w:t xml:space="preserve"> / ***</w:t>
      </w:r>
      <w:r>
        <w:t>. </w:t>
      </w:r>
    </w:p>
    <w:p w14:paraId="1CC09CE9" w14:textId="77777777" w:rsidR="00772179" w:rsidRDefault="00000000">
      <w:pPr>
        <w:jc w:val="both"/>
      </w:pPr>
      <w:r>
        <w:rPr>
          <w:b/>
        </w:rPr>
        <w:t>Produit de collage</w:t>
      </w:r>
    </w:p>
    <w:p w14:paraId="24506ACB" w14:textId="77777777" w:rsidR="00772179" w:rsidRDefault="00000000">
      <w:pPr>
        <w:jc w:val="both"/>
      </w:pPr>
      <w:r>
        <w:t>Les colles répondent aux spécifications de la [NBN EN 12004-1].</w:t>
      </w:r>
    </w:p>
    <w:p w14:paraId="3C1DA08C" w14:textId="77777777" w:rsidR="00772179" w:rsidRDefault="00000000">
      <w:pPr>
        <w:jc w:val="both"/>
      </w:pPr>
      <w:r>
        <w:t>Les types, à savoir C (mortier-colle), D (colle en dispersion) ou R (colle réactive), les classes (colle normale ou améliorée) et les propriétés additionnelles éventuelles (temps ouvert allongé E, durcissement rapide F, glissement limité T, déformabilité S1 ou S2) sont compatibles avec la plaquette, choisis en fonction de l’usage et de la nature du support.</w:t>
      </w:r>
    </w:p>
    <w:p w14:paraId="57A4FA8B" w14:textId="77777777" w:rsidR="00772179" w:rsidRDefault="00000000">
      <w:pPr>
        <w:jc w:val="both"/>
      </w:pPr>
      <w:r>
        <w:t xml:space="preserve">Prescription de la colle : </w:t>
      </w:r>
      <w:r>
        <w:rPr>
          <w:rStyle w:val="optioncarChar"/>
        </w:rPr>
        <w:t>***</w:t>
      </w:r>
      <w:r>
        <w:t>.</w:t>
      </w:r>
    </w:p>
    <w:p w14:paraId="6F2C7E9C" w14:textId="77777777" w:rsidR="00772179" w:rsidRDefault="00000000">
      <w:pPr>
        <w:jc w:val="both"/>
      </w:pPr>
      <w:r>
        <w:rPr>
          <w:b/>
        </w:rPr>
        <w:t>Mortier de jointoiement</w:t>
      </w:r>
    </w:p>
    <w:p w14:paraId="190217E4" w14:textId="77777777" w:rsidR="00772179" w:rsidRDefault="00000000">
      <w:pPr>
        <w:jc w:val="both"/>
      </w:pPr>
      <w:r>
        <w:t xml:space="preserve">Type de joint : </w:t>
      </w:r>
      <w:r>
        <w:rPr>
          <w:rStyle w:val="optioncarChar"/>
        </w:rPr>
        <w:t xml:space="preserve">M5 </w:t>
      </w:r>
      <w:r>
        <w:t>(par défaut)</w:t>
      </w:r>
      <w:r>
        <w:rPr>
          <w:rStyle w:val="optioncarChar"/>
        </w:rPr>
        <w:t xml:space="preserve"> / M *** / Mortier dosé in situ / Pas de jointoiement</w:t>
      </w:r>
      <w:r>
        <w:t> </w:t>
      </w:r>
    </w:p>
    <w:p w14:paraId="005B4AFE" w14:textId="77777777" w:rsidR="00772179" w:rsidRDefault="00000000">
      <w:pPr>
        <w:ind w:left="567"/>
        <w:jc w:val="both"/>
      </w:pPr>
      <w:r>
        <w:rPr>
          <w:b/>
          <w:i/>
        </w:rPr>
        <w:t>(soit par défaut)</w:t>
      </w:r>
    </w:p>
    <w:p w14:paraId="4958987D" w14:textId="77777777" w:rsidR="00772179" w:rsidRDefault="00000000">
      <w:pPr>
        <w:ind w:left="567"/>
        <w:jc w:val="both"/>
      </w:pPr>
      <w:r>
        <w:rPr>
          <w:rStyle w:val="soitChar"/>
          <w:u w:val="single"/>
        </w:rPr>
        <w:t xml:space="preserve"> M5</w:t>
      </w:r>
      <w:r>
        <w:rPr>
          <w:rStyle w:val="soitChar"/>
        </w:rPr>
        <w:t xml:space="preserve"> suivant la [NBN EN 998-2]</w:t>
      </w:r>
    </w:p>
    <w:p w14:paraId="66DEBF50" w14:textId="77777777" w:rsidR="00772179" w:rsidRDefault="00000000">
      <w:pPr>
        <w:ind w:left="567"/>
        <w:jc w:val="both"/>
      </w:pPr>
      <w:r>
        <w:rPr>
          <w:b/>
          <w:i/>
        </w:rPr>
        <w:t>(soit)</w:t>
      </w:r>
    </w:p>
    <w:p w14:paraId="0A5E485E" w14:textId="77777777" w:rsidR="00772179" w:rsidRDefault="00000000">
      <w:pPr>
        <w:ind w:left="567"/>
        <w:jc w:val="both"/>
      </w:pPr>
      <w:r>
        <w:rPr>
          <w:rStyle w:val="soitChar"/>
          <w:u w:val="single"/>
        </w:rPr>
        <w:t xml:space="preserve"> M </w:t>
      </w:r>
      <w:r>
        <w:rPr>
          <w:rStyle w:val="optioncarChar"/>
          <w:u w:val="single"/>
        </w:rPr>
        <w:t>***</w:t>
      </w:r>
      <w:r>
        <w:rPr>
          <w:rStyle w:val="soitChar"/>
        </w:rPr>
        <w:t xml:space="preserve"> suivant la [NBN EN 998-2]</w:t>
      </w:r>
    </w:p>
    <w:p w14:paraId="5E0AEBA1" w14:textId="77777777" w:rsidR="00772179" w:rsidRDefault="00000000">
      <w:pPr>
        <w:ind w:left="567"/>
        <w:jc w:val="both"/>
      </w:pPr>
      <w:r>
        <w:rPr>
          <w:b/>
          <w:i/>
        </w:rPr>
        <w:lastRenderedPageBreak/>
        <w:t>(soit)</w:t>
      </w:r>
    </w:p>
    <w:p w14:paraId="63FE6324" w14:textId="77777777" w:rsidR="00772179" w:rsidRDefault="00000000">
      <w:pPr>
        <w:ind w:left="567"/>
        <w:jc w:val="both"/>
      </w:pPr>
      <w:r>
        <w:rPr>
          <w:rStyle w:val="soitChar"/>
          <w:u w:val="single"/>
        </w:rPr>
        <w:t xml:space="preserve"> Mortier dosé in situ </w:t>
      </w:r>
      <w:r>
        <w:rPr>
          <w:rStyle w:val="soitChar"/>
        </w:rPr>
        <w:t xml:space="preserve">, à composition prescrite (parts de ciment-chaux-sable) : </w:t>
      </w:r>
      <w:r>
        <w:rPr>
          <w:rStyle w:val="optioncarChar"/>
        </w:rPr>
        <w:t xml:space="preserve">1-1-6 </w:t>
      </w:r>
      <w:r>
        <w:t>(par défaut)</w:t>
      </w:r>
      <w:r>
        <w:rPr>
          <w:rStyle w:val="optioncarChar"/>
        </w:rPr>
        <w:t xml:space="preserve"> / ***</w:t>
      </w:r>
    </w:p>
    <w:p w14:paraId="312E4C3F" w14:textId="77777777" w:rsidR="00772179" w:rsidRDefault="00000000">
      <w:pPr>
        <w:ind w:left="567"/>
        <w:jc w:val="both"/>
      </w:pPr>
      <w:r>
        <w:rPr>
          <w:b/>
          <w:i/>
        </w:rPr>
        <w:t>(soit)</w:t>
      </w:r>
    </w:p>
    <w:p w14:paraId="582FE381" w14:textId="77777777" w:rsidR="00772179" w:rsidRDefault="00000000">
      <w:pPr>
        <w:ind w:left="567"/>
        <w:jc w:val="both"/>
      </w:pPr>
      <w:r>
        <w:rPr>
          <w:rStyle w:val="soitChar"/>
          <w:u w:val="single"/>
        </w:rPr>
        <w:t xml:space="preserve"> Pas de jointoiement</w:t>
      </w:r>
      <w:r>
        <w:t xml:space="preserve">  </w:t>
      </w:r>
    </w:p>
    <w:p w14:paraId="4037A4CE" w14:textId="77777777" w:rsidR="00772179" w:rsidRDefault="00000000">
      <w:pPr>
        <w:jc w:val="both"/>
      </w:pPr>
      <w:r>
        <w:rPr>
          <w:b/>
        </w:rPr>
        <w:t>Produit pour joints de mouvement</w:t>
      </w:r>
    </w:p>
    <w:p w14:paraId="31BA3D9E" w14:textId="77777777" w:rsidR="00772179" w:rsidRDefault="00000000">
      <w:pPr>
        <w:jc w:val="both"/>
      </w:pPr>
      <w:r>
        <w:t>Les produits pour joints de mouvement répondent aux spécifications de la [NBN EN ISO 11600] et des [STS 56.1].</w:t>
      </w:r>
    </w:p>
    <w:p w14:paraId="50DA9483" w14:textId="77777777" w:rsidR="00772179" w:rsidRDefault="00000000">
      <w:pPr>
        <w:jc w:val="both"/>
      </w:pPr>
      <w:r>
        <w:rPr>
          <w:b/>
        </w:rPr>
        <w:t>Profilés</w:t>
      </w:r>
    </w:p>
    <w:p w14:paraId="6C8055AE" w14:textId="77777777" w:rsidR="00772179" w:rsidRDefault="00000000">
      <w:pPr>
        <w:jc w:val="both"/>
      </w:pPr>
      <w:r>
        <w:t>Position : voir plans.</w:t>
      </w:r>
    </w:p>
    <w:p w14:paraId="1263EA3A" w14:textId="77777777" w:rsidR="00772179" w:rsidRDefault="00000000">
      <w:pPr>
        <w:jc w:val="both"/>
      </w:pPr>
      <w:r>
        <w:t xml:space="preserve">Description : </w:t>
      </w:r>
      <w:r>
        <w:rPr>
          <w:rStyle w:val="optioncarChar"/>
        </w:rPr>
        <w:t>***</w:t>
      </w:r>
      <w:r>
        <w:t>.</w:t>
      </w:r>
    </w:p>
    <w:p w14:paraId="1E1D69D8" w14:textId="77777777" w:rsidR="00772179" w:rsidRDefault="00000000">
      <w:pPr>
        <w:pStyle w:val="pheading"/>
      </w:pPr>
      <w:r>
        <w:t>- Finitions</w:t>
      </w:r>
    </w:p>
    <w:p w14:paraId="697254D7" w14:textId="77777777" w:rsidR="00772179" w:rsidRDefault="00000000">
      <w:r>
        <w:t xml:space="preserve">Les façades suivantes sont exécutées comme maçonneries apparentes et sont rejointoyées selon l'article 21.61.1b Joints de maçonnerie apparente : </w:t>
      </w:r>
      <w:r>
        <w:rPr>
          <w:rStyle w:val="optioncarChar"/>
        </w:rPr>
        <w:t>***</w:t>
      </w:r>
      <w:r>
        <w:t>.</w:t>
      </w:r>
      <w:r>
        <w:br/>
        <w:t xml:space="preserve">Texture de surface de la plaquette : </w:t>
      </w:r>
      <w:r>
        <w:rPr>
          <w:rStyle w:val="optioncarChar"/>
        </w:rPr>
        <w:t>lisse / écorce / arrachée / sablée / non sablée / rugueuse </w:t>
      </w:r>
      <w:r>
        <w:br/>
        <w:t xml:space="preserve">Aspect de la plaquette : </w:t>
      </w:r>
      <w:r>
        <w:rPr>
          <w:rStyle w:val="optioncarChar"/>
        </w:rPr>
        <w:t>lisse / nuancé</w:t>
      </w:r>
      <w:r>
        <w:br/>
        <w:t xml:space="preserve">Teinte de la plaquette : </w:t>
      </w:r>
      <w:r>
        <w:rPr>
          <w:rStyle w:val="optioncarChar"/>
        </w:rPr>
        <w:t>rose / rouge clair / rouge brun / rouge foncé / jaune / noire </w:t>
      </w:r>
      <w:r>
        <w:t>(description approximative). La couleur est homogène dans la masse.</w:t>
      </w:r>
      <w:r>
        <w:br/>
        <w:t xml:space="preserve">Teinte de la surface projetée (homogénéité de teinte entre les plaquettes) : </w:t>
      </w:r>
      <w:r>
        <w:rPr>
          <w:rStyle w:val="optioncarChar"/>
        </w:rPr>
        <w:t>panaché de couleurs / couleur homogène</w:t>
      </w:r>
      <w:r>
        <w:t xml:space="preserve"> (par défaut).</w:t>
      </w:r>
      <w:r>
        <w:br/>
        <w:t xml:space="preserve">Teinte du mortier de jointoiement : </w:t>
      </w:r>
      <w:r>
        <w:rPr>
          <w:rStyle w:val="optioncarChar"/>
        </w:rPr>
        <w:t>gris clair / gris sombre / gris se rapprochant de la luminance de celle des plaquettes</w:t>
      </w:r>
      <w:r>
        <w:t xml:space="preserve"> (par défaut)</w:t>
      </w:r>
      <w:r>
        <w:rPr>
          <w:rStyle w:val="optioncarChar"/>
        </w:rPr>
        <w:t xml:space="preserve"> / couleur se rapprochant de celle des plaquettes / ***.</w:t>
      </w:r>
    </w:p>
    <w:p w14:paraId="622D9FFC" w14:textId="77777777" w:rsidR="00772179" w:rsidRDefault="00000000">
      <w:pPr>
        <w:pStyle w:val="pheading"/>
      </w:pPr>
      <w:r>
        <w:t>EXÉCUTION / MISE EN ŒUVRE</w:t>
      </w:r>
    </w:p>
    <w:p w14:paraId="0B5F6543" w14:textId="77777777" w:rsidR="00772179" w:rsidRDefault="00000000">
      <w:pPr>
        <w:pStyle w:val="pheading"/>
      </w:pPr>
      <w:r>
        <w:t>- Prescriptions générales</w:t>
      </w:r>
    </w:p>
    <w:p w14:paraId="65BC5F3B" w14:textId="77777777" w:rsidR="00772179" w:rsidRDefault="00000000">
      <w:r>
        <w:t xml:space="preserve">La surface de plaquettes est exécutée en appareil : </w:t>
      </w:r>
      <w:r>
        <w:rPr>
          <w:rStyle w:val="optioncarChar"/>
        </w:rPr>
        <w:t>sauvage / d'une demi-brique</w:t>
      </w:r>
      <w:r>
        <w:t xml:space="preserve"> (par défaut)</w:t>
      </w:r>
      <w:r>
        <w:rPr>
          <w:rStyle w:val="optioncarChar"/>
        </w:rPr>
        <w:t xml:space="preserve"> / ***</w:t>
      </w:r>
      <w:r>
        <w:t>.</w:t>
      </w:r>
      <w:r>
        <w:br/>
        <w:t>Epaisseur nominale des joints :</w:t>
      </w:r>
      <w:r>
        <w:rPr>
          <w:rStyle w:val="optioncarChar"/>
        </w:rPr>
        <w:t xml:space="preserve"> 3 / 6 / 12 </w:t>
      </w:r>
      <w:r>
        <w:t>(par défaut)</w:t>
      </w:r>
      <w:r>
        <w:rPr>
          <w:rStyle w:val="optioncarChar"/>
        </w:rPr>
        <w:t xml:space="preserve"> / *** </w:t>
      </w:r>
      <w:r>
        <w:t>mm .</w:t>
      </w:r>
      <w:r>
        <w:br/>
        <w:t>Les plaquettes sont posées par double encollage.</w:t>
      </w:r>
      <w:r>
        <w:br/>
        <w:t xml:space="preserve">Joints verticaux : </w:t>
      </w:r>
      <w:r>
        <w:rPr>
          <w:rStyle w:val="optioncarChar"/>
        </w:rPr>
        <w:t>ouverts / fermés</w:t>
      </w:r>
      <w:r>
        <w:t>.</w:t>
      </w:r>
      <w:r>
        <w:br/>
        <w:t xml:space="preserve">Joints de dilatation : </w:t>
      </w:r>
      <w:r>
        <w:rPr>
          <w:rStyle w:val="optioncarChar"/>
        </w:rPr>
        <w:t>***</w:t>
      </w:r>
      <w:r>
        <w:br/>
        <w:t>Les plaquettes ne sont mises en œuvre que lorsque les conditions climatiques requises en fonction du type de produit de pose sont respectées (conditions généralement entre 5-10 et 25 °C et entre 30 et 85 % HR (voir fiches techniques des produits utilisés)).</w:t>
      </w:r>
      <w:r>
        <w:br/>
        <w:t xml:space="preserve">Support à revêtir : </w:t>
      </w:r>
      <w:r>
        <w:rPr>
          <w:rStyle w:val="optioncarChar"/>
        </w:rPr>
        <w:t>support à base de ciment (voile en béton) / maçonnerie de *** / panneaux de fibre-ciment</w:t>
      </w:r>
      <w:r>
        <w:t>.</w:t>
      </w:r>
      <w:r>
        <w:br/>
        <w:t>Spécifications du support à préciser :</w:t>
      </w:r>
      <w:r>
        <w:rPr>
          <w:rStyle w:val="optioncarChar"/>
        </w:rPr>
        <w:t xml:space="preserve"> ***</w:t>
      </w:r>
      <w:r>
        <w:t>.</w:t>
      </w:r>
      <w:r>
        <w:br/>
        <w:t>La technique de pose est consignée au cahier spécial des charges.</w:t>
      </w:r>
      <w:r>
        <w:br/>
        <w:t>Quelle que soit la technique de pose, les joints de structure ou de gros œuvre sont obligatoirement être répercutés, sans décalage, dans l’ouvrage de parachèvement. Des joints de fractionnement sont projetés et réalisés.</w:t>
      </w:r>
      <w:r>
        <w:br/>
        <w:t>Pendant la période de séchage, les ouvrages sont protégés contre le rayonnement direct, l'humidité anormale, les températures élevées et le gel.</w:t>
      </w:r>
    </w:p>
    <w:p w14:paraId="069E3480" w14:textId="77777777" w:rsidR="00772179" w:rsidRDefault="00000000">
      <w:pPr>
        <w:pStyle w:val="pheading"/>
      </w:pPr>
      <w:r>
        <w:t>- Échantillons</w:t>
      </w:r>
    </w:p>
    <w:p w14:paraId="7E50D2B6" w14:textId="77777777" w:rsidR="00772179" w:rsidRDefault="00000000">
      <w:r>
        <w:t xml:space="preserve">Afin de déterminer le choix définitif des plaquettes de parement, un ou plusieurs échantillons de +/- 1 m² (avec un maximum de </w:t>
      </w:r>
      <w:r>
        <w:rPr>
          <w:rStyle w:val="optioncarChar"/>
        </w:rPr>
        <w:t>2</w:t>
      </w:r>
      <w:r>
        <w:t>  (par défaut)  </w:t>
      </w:r>
      <w:r>
        <w:rPr>
          <w:rStyle w:val="optioncarChar"/>
        </w:rPr>
        <w:t>/ 3 / 5 / ***</w:t>
      </w:r>
      <w:r>
        <w:t xml:space="preserve"> échantillons à réaliser au total) sont confectionnés à la demande de l'auteur de projet. Les frais inhérents à la confection et à la démolition de ces échantillons sont une charge de l'entreprise.</w:t>
      </w:r>
      <w:r>
        <w:br/>
        <w:t>Le modèle de profilé est proposé à l’auteur de projet qui l’approuve.</w:t>
      </w:r>
    </w:p>
    <w:p w14:paraId="7DB08381" w14:textId="77777777" w:rsidR="00772179" w:rsidRDefault="00000000">
      <w:pPr>
        <w:pStyle w:val="pheading"/>
      </w:pPr>
      <w:r>
        <w:t>DOCUMENTS DE RÉFÉRENCE COMPLÉMENTAIRES</w:t>
      </w:r>
    </w:p>
    <w:p w14:paraId="77B1E193" w14:textId="77777777" w:rsidR="00772179" w:rsidRDefault="00000000">
      <w:pPr>
        <w:pStyle w:val="pheading"/>
      </w:pPr>
      <w:r>
        <w:lastRenderedPageBreak/>
        <w:t>- Matériau</w:t>
      </w:r>
    </w:p>
    <w:p w14:paraId="7E27AC06" w14:textId="77777777" w:rsidR="00772179" w:rsidRDefault="00000000">
      <w:r>
        <w:t>[NBN B 23-004, Plaquettes en terre cuite - Caractéristiques et exigences de performance]</w:t>
      </w:r>
    </w:p>
    <w:p w14:paraId="52FF6A79" w14:textId="77777777" w:rsidR="00772179" w:rsidRDefault="00000000">
      <w:r>
        <w:t>[NBN EN 12004-1, Colles à carrelage - Partie 1: Exigences, évaluation et vérification de la constance de performance, classification et marquage]</w:t>
      </w:r>
    </w:p>
    <w:p w14:paraId="2BA48D62" w14:textId="77777777" w:rsidR="00772179" w:rsidRDefault="00000000">
      <w:r>
        <w:t>[NBN EN 998-2, Définitions et spécifications des mortiers pour maçonnerie - Partie 2: Mortiers de montage des éléments de maçonnerie]</w:t>
      </w:r>
    </w:p>
    <w:p w14:paraId="62D0B1E1" w14:textId="77777777" w:rsidR="00772179" w:rsidRDefault="00000000">
      <w:r>
        <w:t>[PTV 651, Mortier de maçonnerie et mortier de jointoyage]</w:t>
      </w:r>
    </w:p>
    <w:p w14:paraId="7B44F74D" w14:textId="77777777" w:rsidR="00772179" w:rsidRDefault="00000000">
      <w:r>
        <w:t>[NBN EN ISO 11600, Construction immobilière - Produits pour joints - Classification et exigences pour les mastics (ISO 11600:2002)]</w:t>
      </w:r>
    </w:p>
    <w:p w14:paraId="1FD03AC3" w14:textId="77777777" w:rsidR="00772179" w:rsidRDefault="00000000">
      <w:r>
        <w:t>[STS 56.1, Mastics d’étanchéité des façades]</w:t>
      </w:r>
    </w:p>
    <w:p w14:paraId="126B1300" w14:textId="77777777" w:rsidR="00772179" w:rsidRDefault="00000000">
      <w:pPr>
        <w:pStyle w:val="pheading"/>
      </w:pPr>
      <w:r>
        <w:t>- Exécution</w:t>
      </w:r>
    </w:p>
    <w:p w14:paraId="30C49768" w14:textId="77777777" w:rsidR="00772179" w:rsidRDefault="00000000">
      <w:r>
        <w:t>[NIT 227, Carrelages muraux.]</w:t>
      </w:r>
    </w:p>
    <w:p w14:paraId="00F1314C" w14:textId="77777777" w:rsidR="00772179" w:rsidRDefault="00000000">
      <w:r>
        <w:t>[NIT 208, Jointoiement des maçonneries.]</w:t>
      </w:r>
    </w:p>
    <w:p w14:paraId="3FFCF325" w14:textId="77777777" w:rsidR="00772179" w:rsidRDefault="00000000">
      <w:pPr>
        <w:pStyle w:val="pheading"/>
      </w:pPr>
      <w:r>
        <w:t>MESURAGE</w:t>
      </w:r>
    </w:p>
    <w:p w14:paraId="6608B7AB" w14:textId="77777777" w:rsidR="00772179" w:rsidRDefault="00000000">
      <w:pPr>
        <w:pStyle w:val="pheading"/>
      </w:pPr>
      <w:r>
        <w:t>- unité de mesure:</w:t>
      </w:r>
    </w:p>
    <w:p w14:paraId="777B0FA2" w14:textId="77777777" w:rsidR="00772179" w:rsidRDefault="00000000">
      <w:r>
        <w:t>m² et m</w:t>
      </w:r>
    </w:p>
    <w:p w14:paraId="4713A500" w14:textId="77777777" w:rsidR="00772179" w:rsidRDefault="00000000">
      <w:pPr>
        <w:pStyle w:val="pheading"/>
      </w:pPr>
      <w:r>
        <w:t>- code de mesurage:</w:t>
      </w:r>
    </w:p>
    <w:p w14:paraId="57ADC13F" w14:textId="77777777" w:rsidR="00772179" w:rsidRDefault="00000000">
      <w:r>
        <w:rPr>
          <w:b/>
        </w:rPr>
        <w:t>Surface nette</w:t>
      </w:r>
      <w:r>
        <w:t xml:space="preserve"> des plaquettes à poser. Les ouvertures et les interruptions &gt; 0,50 m² sont déduites. Distinction faite suivant le type de plaquette.</w:t>
      </w:r>
    </w:p>
    <w:p w14:paraId="3FDB7C55" w14:textId="77777777" w:rsidR="00772179" w:rsidRDefault="00000000">
      <w:r>
        <w:rPr>
          <w:b/>
        </w:rPr>
        <w:t>Longueur nette</w:t>
      </w:r>
      <w:r>
        <w:t xml:space="preserve"> des profilés à poser. Distinction faite selon le modèle de profilé.</w:t>
      </w:r>
    </w:p>
    <w:p w14:paraId="623D98AD" w14:textId="77777777" w:rsidR="00772179" w:rsidRDefault="00000000">
      <w:pPr>
        <w:pStyle w:val="pheading"/>
      </w:pPr>
      <w:r>
        <w:t>- nature du marché:</w:t>
      </w:r>
    </w:p>
    <w:p w14:paraId="70170FD8" w14:textId="77777777" w:rsidR="00772179" w:rsidRDefault="00000000">
      <w:r>
        <w:t>QF</w:t>
      </w:r>
    </w:p>
    <w:p w14:paraId="3FC7B9FE" w14:textId="77777777" w:rsidR="00772179" w:rsidRDefault="00000000">
      <w:pPr>
        <w:pStyle w:val="Author-eSectionHeading5Numberless"/>
      </w:pPr>
      <w:bookmarkStart w:id="798" w:name="_Toc220490479"/>
      <w:r>
        <w:t>43.33.2 Revêtements de façade rigides collés - système " isolant+plaquettes en terre cuite collées" CCTB 01.12</w:t>
      </w:r>
      <w:bookmarkEnd w:id="798"/>
    </w:p>
    <w:p w14:paraId="6C372E19" w14:textId="77777777" w:rsidR="00772179" w:rsidRDefault="00000000">
      <w:pPr>
        <w:pStyle w:val="pheading"/>
      </w:pPr>
      <w:bookmarkStart w:id="799" w:name="1012"/>
      <w:bookmarkEnd w:id="799"/>
      <w:r>
        <w:t>DESCRIPTION</w:t>
      </w:r>
    </w:p>
    <w:p w14:paraId="1BF05358" w14:textId="77777777" w:rsidR="00772179" w:rsidRDefault="00000000">
      <w:pPr>
        <w:pStyle w:val="pheading"/>
      </w:pPr>
      <w:r>
        <w:t>- Définition / Comprend</w:t>
      </w:r>
    </w:p>
    <w:p w14:paraId="6DBA1DEC" w14:textId="77777777" w:rsidR="00772179" w:rsidRDefault="00000000">
      <w:pPr>
        <w:jc w:val="both"/>
      </w:pPr>
      <w:r>
        <w:t>Il s'agit de toutes les fournitures et travaux nécessaires en vue de la réalisation d’un système de plaquettes en terre cuite encollées sur des panneaux d’isolation extérieure soit :</w:t>
      </w:r>
    </w:p>
    <w:p w14:paraId="181AE777" w14:textId="77777777" w:rsidR="00772179" w:rsidRDefault="00000000">
      <w:pPr>
        <w:pStyle w:val="Author-eListParagraph"/>
        <w:numPr>
          <w:ilvl w:val="0"/>
          <w:numId w:val="1022"/>
        </w:numPr>
      </w:pPr>
      <w:r>
        <w:t>en usine (systèmes préfabriqués ‘vêtures’ voir </w:t>
      </w:r>
      <w:hyperlink w:anchor="1013" w:history="1">
        <w:r>
          <w:rPr>
            <w:color w:val="0000EE"/>
          </w:rPr>
          <w:t>43.33.2a Revêtements de façade rigides collés - système " isolant+plaquettes en terre cuite collées" préfabriqué</w:t>
        </w:r>
      </w:hyperlink>
      <w:r>
        <w:t>)</w:t>
      </w:r>
    </w:p>
    <w:p w14:paraId="5B2E761A" w14:textId="77777777" w:rsidR="00772179" w:rsidRDefault="00000000">
      <w:pPr>
        <w:pStyle w:val="Author-eListParagraph"/>
        <w:numPr>
          <w:ilvl w:val="0"/>
          <w:numId w:val="1022"/>
        </w:numPr>
      </w:pPr>
      <w:r>
        <w:t>assemblé sur chantier avec ou sans enduit de base renforcé (voir </w:t>
      </w:r>
      <w:hyperlink w:anchor="1014" w:history="1">
        <w:r>
          <w:rPr>
            <w:color w:val="0000EE"/>
          </w:rPr>
          <w:t>43.33.2b Revêtements de façade rigides collés - système "isolant+plaquettes en terre cuite collées" assemblé sur place</w:t>
        </w:r>
      </w:hyperlink>
      <w:r>
        <w:t>).</w:t>
      </w:r>
    </w:p>
    <w:p w14:paraId="2075B44A" w14:textId="77777777" w:rsidR="00772179" w:rsidRDefault="00000000">
      <w:pPr>
        <w:jc w:val="both"/>
      </w:pPr>
      <w:r>
        <w:t>Les plaquettes sont éventuellement jointoyées afin de constituer un ouvrage parfaitement fini.</w:t>
      </w:r>
    </w:p>
    <w:p w14:paraId="5E92437D" w14:textId="77777777" w:rsidR="00772179" w:rsidRDefault="00000000">
      <w:pPr>
        <w:jc w:val="both"/>
      </w:pPr>
      <w:r>
        <w:t>Les zones de façade sont distinguées de la zone de plinthe située entre 50 cm sous le niveau de sol extérieur et 30 cm au-dessus. Les spécifications sont plus strictes dans ce dernier cas.</w:t>
      </w:r>
    </w:p>
    <w:p w14:paraId="2C33ECA0" w14:textId="77777777" w:rsidR="00772179" w:rsidRDefault="00000000">
      <w:pPr>
        <w:jc w:val="both"/>
      </w:pPr>
      <w:r>
        <w:t>Conformément aux dispositions générales et/ou spécifiques du cahier spécial des charges, les prix unitaires compris dans ces postes comprennent toujours, soit selon la ventilation dans le métré récapitulatif, soit dans leur totalité, notamment :</w:t>
      </w:r>
    </w:p>
    <w:p w14:paraId="5F098446" w14:textId="77777777" w:rsidR="00772179" w:rsidRDefault="00000000">
      <w:pPr>
        <w:pStyle w:val="Author-eListParagraph"/>
        <w:numPr>
          <w:ilvl w:val="0"/>
          <w:numId w:val="1023"/>
        </w:numPr>
      </w:pPr>
      <w:r>
        <w:t>la pose et l'enlèvement des échafaudages et des bâches nécessaires à l'exécution ;</w:t>
      </w:r>
    </w:p>
    <w:p w14:paraId="0B245C95" w14:textId="77777777" w:rsidR="00772179" w:rsidRDefault="00000000">
      <w:pPr>
        <w:pStyle w:val="Author-eListParagraph"/>
        <w:numPr>
          <w:ilvl w:val="0"/>
          <w:numId w:val="1023"/>
        </w:numPr>
      </w:pPr>
      <w:r>
        <w:t>le cas échéant, l'enlèvement et la remise en place des descentes d'eau de pluie ;</w:t>
      </w:r>
    </w:p>
    <w:p w14:paraId="0D0069DE" w14:textId="77777777" w:rsidR="00772179" w:rsidRDefault="00000000">
      <w:pPr>
        <w:pStyle w:val="Author-eListParagraph"/>
        <w:numPr>
          <w:ilvl w:val="0"/>
          <w:numId w:val="1023"/>
        </w:numPr>
      </w:pPr>
      <w:r>
        <w:lastRenderedPageBreak/>
        <w:t>le remplissage, l'enlèvement et/ou la protection provisoire des parties de façade qui ne sont pas destinées à recevoir le système (menuiserie et vitrage par exemple) ;</w:t>
      </w:r>
    </w:p>
    <w:p w14:paraId="63EA23CA" w14:textId="77777777" w:rsidR="00772179" w:rsidRDefault="00000000">
      <w:pPr>
        <w:pStyle w:val="Author-eListParagraph"/>
        <w:numPr>
          <w:ilvl w:val="0"/>
          <w:numId w:val="1023"/>
        </w:numPr>
      </w:pPr>
      <w:r>
        <w:t>l’installation d’un dispositif de protection contre toute évolution défavorable des conditions climatiques durant l’exécution des travaux ;</w:t>
      </w:r>
    </w:p>
    <w:p w14:paraId="286BFACA" w14:textId="77777777" w:rsidR="00772179" w:rsidRDefault="00000000">
      <w:pPr>
        <w:pStyle w:val="Author-eListParagraph"/>
        <w:numPr>
          <w:ilvl w:val="0"/>
          <w:numId w:val="1023"/>
        </w:numPr>
      </w:pPr>
      <w:r>
        <w:t>le contrôle de l’état du support (planéité, verticalité, ...) afin de s’assurer de la pertinence de la technique de pose prévue ;</w:t>
      </w:r>
    </w:p>
    <w:p w14:paraId="5180DB44" w14:textId="77777777" w:rsidR="00772179" w:rsidRDefault="00000000">
      <w:pPr>
        <w:pStyle w:val="Author-eListParagraph"/>
        <w:numPr>
          <w:ilvl w:val="0"/>
          <w:numId w:val="1023"/>
        </w:numPr>
      </w:pPr>
      <w:r>
        <w:t>la préparation et le nettoyage du support;</w:t>
      </w:r>
    </w:p>
    <w:p w14:paraId="5768AF45" w14:textId="77777777" w:rsidR="00772179" w:rsidRDefault="00000000">
      <w:pPr>
        <w:pStyle w:val="Author-eListParagraph"/>
        <w:numPr>
          <w:ilvl w:val="0"/>
          <w:numId w:val="1023"/>
        </w:numPr>
      </w:pPr>
      <w:r>
        <w:t>l’application d’un primaire (produit de prétraitement), pour autant que l’assemblage support/système d’isolation l’exige ;</w:t>
      </w:r>
    </w:p>
    <w:p w14:paraId="6618D5A9" w14:textId="77777777" w:rsidR="00772179" w:rsidRDefault="00000000">
      <w:pPr>
        <w:pStyle w:val="Author-eListParagraph"/>
        <w:numPr>
          <w:ilvl w:val="0"/>
          <w:numId w:val="1023"/>
        </w:numPr>
      </w:pPr>
      <w:r>
        <w:t>la fourniture et la pose de la couche d'isolation ;</w:t>
      </w:r>
    </w:p>
    <w:p w14:paraId="61C9AE4D" w14:textId="77777777" w:rsidR="00772179" w:rsidRDefault="00000000">
      <w:pPr>
        <w:pStyle w:val="Author-eListParagraph"/>
        <w:numPr>
          <w:ilvl w:val="0"/>
          <w:numId w:val="1023"/>
        </w:numPr>
      </w:pPr>
      <w:r>
        <w:t>l’application de l’enduit de base renforcé si le système le prévoit ainsi que tous les renforts et profilés nécessaires (entoilage dans les zones de concentrations de contraintes, profilés d’angle ou de dilatation, etc.) ;</w:t>
      </w:r>
    </w:p>
    <w:p w14:paraId="1130AE1F" w14:textId="77777777" w:rsidR="00772179" w:rsidRDefault="00000000">
      <w:pPr>
        <w:pStyle w:val="Author-eListParagraph"/>
        <w:numPr>
          <w:ilvl w:val="0"/>
          <w:numId w:val="1023"/>
        </w:numPr>
      </w:pPr>
      <w:r>
        <w:t>l’encollage des plaquettes par double encollage pour les systèmes assemblés sur place, toutes fournitures comprises (notamment les plaquettes, les produits de pose et de jointoiement, – y compris les joints souples) ;</w:t>
      </w:r>
    </w:p>
    <w:p w14:paraId="13948F31" w14:textId="77777777" w:rsidR="00772179" w:rsidRDefault="00000000">
      <w:pPr>
        <w:pStyle w:val="Author-eListParagraph"/>
        <w:numPr>
          <w:ilvl w:val="0"/>
          <w:numId w:val="1023"/>
        </w:numPr>
      </w:pPr>
      <w:r>
        <w:t>l'enlèvement de toutes les protections, la remise en place de tous les éléments démontés et le rangement du chantier ;</w:t>
      </w:r>
    </w:p>
    <w:p w14:paraId="4545F98E" w14:textId="77777777" w:rsidR="00772179" w:rsidRDefault="00000000">
      <w:pPr>
        <w:pStyle w:val="Author-eListParagraph"/>
        <w:numPr>
          <w:ilvl w:val="0"/>
          <w:numId w:val="1023"/>
        </w:numPr>
      </w:pPr>
      <w:r>
        <w:t>l'évacuation et la gestion des déchets issus des travaux. </w:t>
      </w:r>
    </w:p>
    <w:p w14:paraId="2883A39D" w14:textId="77777777" w:rsidR="00772179" w:rsidRDefault="00000000">
      <w:pPr>
        <w:jc w:val="both"/>
      </w:pPr>
      <w:r>
        <w:t>Sauf disposition contraire dans le cahier spécial des charges, les opérations suivantes ne font pas parties du présent travail et sont décrites dans des articles relatifs à la préparation du support sous le </w:t>
      </w:r>
      <w:hyperlink w:anchor="1009" w:history="1">
        <w:r>
          <w:rPr>
            <w:color w:val="0000EE"/>
          </w:rPr>
          <w:t>43.31 Revêtements de façade rigides collés - préparation du support</w:t>
        </w:r>
      </w:hyperlink>
      <w:r>
        <w:t>:</w:t>
      </w:r>
    </w:p>
    <w:p w14:paraId="5D288E82" w14:textId="77777777" w:rsidR="00772179" w:rsidRDefault="00000000">
      <w:pPr>
        <w:pStyle w:val="Author-eListParagraph"/>
        <w:numPr>
          <w:ilvl w:val="0"/>
          <w:numId w:val="1024"/>
        </w:numPr>
      </w:pPr>
      <w:r>
        <w:t>l’augmentation de la rugosité du support ;</w:t>
      </w:r>
    </w:p>
    <w:p w14:paraId="77EFEE36" w14:textId="77777777" w:rsidR="00772179" w:rsidRDefault="00000000">
      <w:pPr>
        <w:pStyle w:val="Author-eListParagraph"/>
        <w:numPr>
          <w:ilvl w:val="0"/>
          <w:numId w:val="1024"/>
        </w:numPr>
      </w:pPr>
      <w:r>
        <w:t>l’élimination des inégalités importantes du support en procédant, par exemple, à l’application d’une couche d’égalisation visant à corriger les surfaces hors tolérances ;</w:t>
      </w:r>
    </w:p>
    <w:p w14:paraId="4A92776A" w14:textId="77777777" w:rsidR="00772179" w:rsidRDefault="00000000">
      <w:pPr>
        <w:pStyle w:val="Author-eListParagraph"/>
        <w:numPr>
          <w:ilvl w:val="0"/>
          <w:numId w:val="1024"/>
        </w:numPr>
      </w:pPr>
      <w:r>
        <w:t>l’enlèvement ou la neutralisation des produits de décoffrage ;</w:t>
      </w:r>
    </w:p>
    <w:p w14:paraId="6FFC09A0" w14:textId="77777777" w:rsidR="00772179" w:rsidRDefault="00000000">
      <w:pPr>
        <w:pStyle w:val="Author-eListParagraph"/>
        <w:numPr>
          <w:ilvl w:val="0"/>
          <w:numId w:val="1024"/>
        </w:numPr>
      </w:pPr>
      <w:r>
        <w:t>la protection contre la corrosion des parties métalliques (tuyauteries, par exemple) ;</w:t>
      </w:r>
    </w:p>
    <w:p w14:paraId="330A4373" w14:textId="77777777" w:rsidR="00772179" w:rsidRDefault="00000000">
      <w:pPr>
        <w:pStyle w:val="Author-eListParagraph"/>
        <w:numPr>
          <w:ilvl w:val="0"/>
          <w:numId w:val="1024"/>
        </w:numPr>
      </w:pPr>
      <w:r>
        <w:t>l’élimination des efflorescences éventuelles ;</w:t>
      </w:r>
    </w:p>
    <w:p w14:paraId="2BCA643A" w14:textId="77777777" w:rsidR="00772179" w:rsidRDefault="00000000">
      <w:pPr>
        <w:pStyle w:val="Author-eListParagraph"/>
        <w:numPr>
          <w:ilvl w:val="0"/>
          <w:numId w:val="1024"/>
        </w:numPr>
      </w:pPr>
      <w:r>
        <w:t>toute protection autre que celles généralement prévues (voir ci-dessus).</w:t>
      </w:r>
    </w:p>
    <w:p w14:paraId="0E73C98F" w14:textId="77777777" w:rsidR="00772179" w:rsidRDefault="00000000">
      <w:pPr>
        <w:pStyle w:val="pheading"/>
      </w:pPr>
      <w:r>
        <w:t>MATÉRIAUX</w:t>
      </w:r>
    </w:p>
    <w:p w14:paraId="0B08272E" w14:textId="77777777" w:rsidR="00772179" w:rsidRDefault="00000000">
      <w:r>
        <w:t>Le système - caractérisés par ses composants identifiés - dispose d'une déclaration d'aptitude à l'utilisation suivant les prescriptions de l'élément 02.42.1 Critères d'acceptabilité .</w:t>
      </w:r>
      <w:r>
        <w:br/>
        <w:t>Il répond au moins aux spécifications de l’ [EAD 040287-00-0404]  (système avec enduit de base renforcé) et de l’ [ETAG 017]  pour les vêtures (système composite revêtement + isolant assemblé en usine). Les spécifications pour un système sans enduit de base renforcé se basent sur le premier document cité (sous réserve de certains critères plus strictes et de la réussite d’un essai de résistance aux pluies battantes, voir [Buildwise Article Dossier (2015/4.09)] ).</w:t>
      </w:r>
    </w:p>
    <w:p w14:paraId="52D3B3FA" w14:textId="77777777" w:rsidR="00772179" w:rsidRDefault="00000000">
      <w:pPr>
        <w:jc w:val="both"/>
      </w:pPr>
      <w:r>
        <w:rPr>
          <w:u w:val="single"/>
        </w:rPr>
        <w:t>Isolant</w:t>
      </w:r>
    </w:p>
    <w:p w14:paraId="1EAC545D" w14:textId="77777777" w:rsidR="00772179" w:rsidRDefault="00000000">
      <w:r>
        <w:t>L’isolant répond aux spécifications de la norme ‘produit’ qui le vise.</w:t>
      </w:r>
      <w:r>
        <w:br/>
        <w:t>Par exemple :</w:t>
      </w:r>
    </w:p>
    <w:p w14:paraId="542D45C1" w14:textId="77777777" w:rsidR="00772179" w:rsidRDefault="00000000">
      <w:pPr>
        <w:pStyle w:val="Author-eListParagraph"/>
        <w:numPr>
          <w:ilvl w:val="0"/>
          <w:numId w:val="1025"/>
        </w:numPr>
      </w:pPr>
      <w:r>
        <w:t>le polystyrène expansé (EPS) : [NBN EN 13163:2012+A2] pour les systèmes avec enduit de base ;</w:t>
      </w:r>
    </w:p>
    <w:p w14:paraId="67D9F260" w14:textId="77777777" w:rsidR="00772179" w:rsidRDefault="00000000">
      <w:pPr>
        <w:pStyle w:val="Author-eListParagraph"/>
        <w:numPr>
          <w:ilvl w:val="0"/>
          <w:numId w:val="1025"/>
        </w:numPr>
      </w:pPr>
      <w:r>
        <w:t>le polystyrène extrudé (XPS) : [NBN EN 13164+A1] ou le polystyrène expansé de haute densité (EPS)  : [NBN EN 13163:2012+A2], pour les systèmes sans enduit de base ;</w:t>
      </w:r>
    </w:p>
    <w:p w14:paraId="2F3430FB" w14:textId="77777777" w:rsidR="00772179" w:rsidRDefault="00000000">
      <w:pPr>
        <w:pStyle w:val="Author-eListParagraph"/>
        <w:numPr>
          <w:ilvl w:val="0"/>
          <w:numId w:val="1025"/>
        </w:numPr>
      </w:pPr>
      <w:r>
        <w:t>le polyuréthane (PU) : [NBN EN 13165:2012+A2] pour les systèmes préfabriqués.</w:t>
      </w:r>
    </w:p>
    <w:p w14:paraId="0047DA70" w14:textId="77777777" w:rsidR="00772179" w:rsidRDefault="00000000">
      <w:r>
        <w:t>En outre, il répond à des critères plus stricts pour cet usage particulier (voir [Buildwise Article Dossier (2015/4.09)] ).</w:t>
      </w:r>
      <w:r>
        <w:br/>
        <w:t>Dans le cas des systèmes sans enduit de base renforcé et des vêtures, tant les panneaux d’isolation que leur jonction doivent assurer l’étanchéité à l’eau. Le produit de calfeutrement décrit dans la documentation technique est utilisé à cet égard. La pression d’étanchéité à l’eau admise est déterminée sur la base de la [NBN EN 12865] .</w:t>
      </w:r>
    </w:p>
    <w:p w14:paraId="5F93B894" w14:textId="77777777" w:rsidR="00772179" w:rsidRDefault="00000000">
      <w:pPr>
        <w:jc w:val="both"/>
      </w:pPr>
      <w:r>
        <w:rPr>
          <w:u w:val="single"/>
        </w:rPr>
        <w:lastRenderedPageBreak/>
        <w:t>Plaquettes en terre cuite</w:t>
      </w:r>
    </w:p>
    <w:p w14:paraId="411CE0F5" w14:textId="77777777" w:rsidR="00772179" w:rsidRDefault="00000000">
      <w:r>
        <w:t>Les plaquettes en terre cuite répondent aux spécifications de la [NBN B 23-004]. Les plaquettes en terre cuite sont des plaquettes constituées d'argile ou d'autres matières argileuses, avec ou sans sable, combustibles ou autres adjuvants, cuite à une température suffisamment élevée pour obtenir une liaison céramique.</w:t>
      </w:r>
    </w:p>
    <w:p w14:paraId="0BEEDB0B" w14:textId="77777777" w:rsidR="00772179" w:rsidRDefault="00000000">
      <w:pPr>
        <w:jc w:val="both"/>
      </w:pPr>
      <w:r>
        <w:rPr>
          <w:u w:val="single"/>
        </w:rPr>
        <w:t>Moyens de fixation mécaniques</w:t>
      </w:r>
    </w:p>
    <w:p w14:paraId="6555E5C6" w14:textId="77777777" w:rsidR="00772179" w:rsidRDefault="00000000">
      <w:pPr>
        <w:jc w:val="both"/>
      </w:pPr>
      <w:r>
        <w:t>Les moyens de fixation mécaniques répondent aux spécifications de l’[EAD 330196-01-0604] (conversion de l’[ETAG 014]).</w:t>
      </w:r>
    </w:p>
    <w:p w14:paraId="2B5CC049" w14:textId="77777777" w:rsidR="00772179" w:rsidRDefault="00000000">
      <w:pPr>
        <w:jc w:val="both"/>
      </w:pPr>
      <w:r>
        <w:rPr>
          <w:u w:val="single"/>
        </w:rPr>
        <w:t>Colle pour revêtements durs</w:t>
      </w:r>
    </w:p>
    <w:p w14:paraId="204984D1" w14:textId="77777777" w:rsidR="00772179" w:rsidRDefault="00000000">
      <w:r>
        <w:t>La colle à carrelage répond de préférence aux spécifications de la [NBN EN 12004-1] . Son aptitude au sein du système doit être démontrée par la réussite d’essais selon la [NBN B 62-400]  ou méthode équivalente.</w:t>
      </w:r>
      <w:r>
        <w:br/>
        <w:t>Les types - à savoir C (mortier-colle), D (colle en dispersion) ou R (colle réactive) - les classes (colle normale ou améliorée) et les propriétés additionnelles éventuelles (temps ouvert allongé E, durcissement rapide F, glissement limité T, déformabilité S1 ou S2) sont compatibles avec la plaquette, choisis en fonction de l’usage et de la nature du support (isolant ou enduit de base renforcé).</w:t>
      </w:r>
      <w:r>
        <w:br/>
        <w:t>Des alternatives à ces colles à carrelage issues de procédés de préfabrication spécifiques (vêtures) sont autorisées sous réserve de la réussite d’essais selon la [NBN B 62-400] ou méthode équivalente.</w:t>
      </w:r>
    </w:p>
    <w:p w14:paraId="3F7906AA" w14:textId="77777777" w:rsidR="00772179" w:rsidRDefault="00000000">
      <w:pPr>
        <w:jc w:val="both"/>
      </w:pPr>
      <w:r>
        <w:rPr>
          <w:u w:val="single"/>
        </w:rPr>
        <w:t>Enduit de base renforcé</w:t>
      </w:r>
    </w:p>
    <w:p w14:paraId="21017F34" w14:textId="77777777" w:rsidR="00772179" w:rsidRDefault="00000000">
      <w:pPr>
        <w:jc w:val="both"/>
      </w:pPr>
      <w:r>
        <w:t>L’éventuel enduit de base renforcé satisfait les essais selon la [NBN B 62-400] ou méthode équivalente. Le cas échéant, le treillis d’armature est de préférence de classe AR (alkali résistant).</w:t>
      </w:r>
    </w:p>
    <w:p w14:paraId="5179A064" w14:textId="77777777" w:rsidR="00772179" w:rsidRDefault="00000000">
      <w:pPr>
        <w:jc w:val="both"/>
      </w:pPr>
      <w:r>
        <w:rPr>
          <w:u w:val="single"/>
        </w:rPr>
        <w:t>Mortier de jointoiement</w:t>
      </w:r>
    </w:p>
    <w:p w14:paraId="420B0680" w14:textId="77777777" w:rsidR="00772179" w:rsidRDefault="00000000">
      <w:pPr>
        <w:jc w:val="both"/>
      </w:pPr>
      <w:r>
        <w:t>Le mortier de jointoiement répond aux spécifications de la [NBN EN 998-2] et du [PTV 651] ou [NBN EN 13888] bien est dosé in situ (voir [NIT 208]).</w:t>
      </w:r>
    </w:p>
    <w:p w14:paraId="3C05451A" w14:textId="77777777" w:rsidR="00772179" w:rsidRDefault="00000000">
      <w:pPr>
        <w:jc w:val="both"/>
      </w:pPr>
      <w:r>
        <w:rPr>
          <w:u w:val="single"/>
        </w:rPr>
        <w:t>Profilés</w:t>
      </w:r>
    </w:p>
    <w:p w14:paraId="3138BFCD" w14:textId="77777777" w:rsidR="00772179" w:rsidRDefault="00000000">
      <w:pPr>
        <w:jc w:val="both"/>
      </w:pPr>
      <w:r>
        <w:t>Les profilés sont compatibles avec les matériaux mis en œuvre et sont aptes à l’usage en extérieur.</w:t>
      </w:r>
    </w:p>
    <w:p w14:paraId="6922EEA4" w14:textId="77777777" w:rsidR="00772179" w:rsidRDefault="00000000">
      <w:pPr>
        <w:jc w:val="both"/>
      </w:pPr>
      <w:r>
        <w:rPr>
          <w:u w:val="single"/>
        </w:rPr>
        <w:t>Bande d’étanchéité précomprimée</w:t>
      </w:r>
    </w:p>
    <w:p w14:paraId="7C29FB3E" w14:textId="77777777" w:rsidR="00772179" w:rsidRDefault="00000000">
      <w:pPr>
        <w:jc w:val="both"/>
      </w:pPr>
      <w:r>
        <w:t>La bande d’étanchéité précomprimée est étanche à l’eau, perméable à la vapeur d’eau (sd ≤ 0,5 m), résistant aux températures (-30°C à + 90°C). Elle présente des caractéristiques mécaniques suffisantes et est peu conductrice thermiquement (λ ~ 0,05 W/m.K). Elle n'entre en aucun cas en contact avec des solvants ou produits chimiques.</w:t>
      </w:r>
    </w:p>
    <w:p w14:paraId="7198686A" w14:textId="77777777" w:rsidR="00772179" w:rsidRDefault="00000000">
      <w:pPr>
        <w:jc w:val="both"/>
      </w:pPr>
      <w:r>
        <w:rPr>
          <w:u w:val="single"/>
        </w:rPr>
        <w:t>Mastic d’étanchéité</w:t>
      </w:r>
    </w:p>
    <w:p w14:paraId="7EEAA41D" w14:textId="77777777" w:rsidR="00772179" w:rsidRDefault="00000000">
      <w:pPr>
        <w:jc w:val="both"/>
      </w:pPr>
      <w:r>
        <w:t>Les mastics d’étanchéité des façades sont, quant à eux, être chimiquement compatibles avec tous les matériaux avec lesquels ils sont en contact. Ils appartiennent en outre à la classe [STS 56.1]-F – 25 LM.</w:t>
      </w:r>
    </w:p>
    <w:p w14:paraId="0AA6E540" w14:textId="77777777" w:rsidR="00772179" w:rsidRDefault="00000000">
      <w:pPr>
        <w:jc w:val="both"/>
      </w:pPr>
      <w:r>
        <w:rPr>
          <w:u w:val="single"/>
        </w:rPr>
        <w:t>Produit pour joints de mouvement</w:t>
      </w:r>
    </w:p>
    <w:p w14:paraId="3FB56D57" w14:textId="77777777" w:rsidR="00772179" w:rsidRDefault="00000000">
      <w:pPr>
        <w:jc w:val="both"/>
      </w:pPr>
      <w:r>
        <w:t>Les produits pour joints de mouvement répondent aux spécifications de la [NBN EN ISO 11600] et des [STS 56.1]. </w:t>
      </w:r>
    </w:p>
    <w:p w14:paraId="2E307913" w14:textId="77777777" w:rsidR="00772179" w:rsidRDefault="00000000">
      <w:pPr>
        <w:jc w:val="both"/>
      </w:pPr>
      <w:r>
        <w:t>Pour le choix d’un système et de ses composants ainsi que pour la mise en œuvre, il importe de se conformer aux instructions et informations techniques accompagnant le système et ses composants.</w:t>
      </w:r>
    </w:p>
    <w:p w14:paraId="14A198E9" w14:textId="77777777" w:rsidR="00772179" w:rsidRDefault="00000000">
      <w:pPr>
        <w:pStyle w:val="pheading"/>
      </w:pPr>
      <w:r>
        <w:t>EXÉCUTION / MISE EN ŒUVRE</w:t>
      </w:r>
    </w:p>
    <w:p w14:paraId="1673CF4E" w14:textId="77777777" w:rsidR="00772179" w:rsidRDefault="00000000">
      <w:pPr>
        <w:jc w:val="both"/>
      </w:pPr>
      <w:r>
        <w:t>Le choix des produits de pose et de la technique de pose sont déterminés notamment par les caractéristiques du support.</w:t>
      </w:r>
    </w:p>
    <w:p w14:paraId="73E4A0B3" w14:textId="77777777" w:rsidR="00772179" w:rsidRDefault="00000000">
      <w:pPr>
        <w:jc w:val="both"/>
      </w:pPr>
      <w:r>
        <w:lastRenderedPageBreak/>
        <w:t>L’entrepreneur contrôle dans quelle mesure le support répond aux exigences spécifiées en termes de stabilité et déformabilité, sensibilité à l’humidité, cohésion de surface et rugosité, niveau, planéité et horizontalité du support. Pour les tolérances, on se réfère à la :</w:t>
      </w:r>
    </w:p>
    <w:p w14:paraId="24F5EA2A" w14:textId="77777777" w:rsidR="00772179" w:rsidRDefault="00000000">
      <w:pPr>
        <w:pStyle w:val="Author-eListParagraph"/>
        <w:numPr>
          <w:ilvl w:val="0"/>
          <w:numId w:val="1026"/>
        </w:numPr>
      </w:pPr>
      <w:r>
        <w:t>à la [NBN EN 1996-2 ANB] pour les travaux de maçonnerie ;</w:t>
      </w:r>
    </w:p>
    <w:p w14:paraId="09251FE8" w14:textId="77777777" w:rsidR="00772179" w:rsidRDefault="00000000">
      <w:pPr>
        <w:pStyle w:val="Author-eListParagraph"/>
        <w:numPr>
          <w:ilvl w:val="0"/>
          <w:numId w:val="1026"/>
        </w:numPr>
      </w:pPr>
      <w:r>
        <w:t>aux [STS 23-1] pour les travaux de construction en ossature bois :</w:t>
      </w:r>
    </w:p>
    <w:p w14:paraId="7045C82B" w14:textId="77777777" w:rsidR="00772179" w:rsidRDefault="00000000">
      <w:pPr>
        <w:pStyle w:val="Author-eListParagraph"/>
        <w:numPr>
          <w:ilvl w:val="0"/>
          <w:numId w:val="1026"/>
        </w:numPr>
      </w:pPr>
      <w:r>
        <w:t>aux [NBN EN 13670] et [NBN B 15-400] pour les travaux d’exécution du béton (classe de tolérance 2 (sévère)).</w:t>
      </w:r>
    </w:p>
    <w:p w14:paraId="401CFF00" w14:textId="77777777" w:rsidR="00772179" w:rsidRDefault="00000000">
      <w:pPr>
        <w:jc w:val="both"/>
      </w:pPr>
      <w:r>
        <w:t>Si un support ancien ne présente pas l’exigence requise décrite, l’entrepreneur propose les travaux d’adaptation dans son offre de prix (décrits et comptabilisés séparément).</w:t>
      </w:r>
    </w:p>
    <w:p w14:paraId="336F73B3" w14:textId="77777777" w:rsidR="00772179" w:rsidRDefault="00000000">
      <w:pPr>
        <w:jc w:val="both"/>
      </w:pPr>
      <w:r>
        <w:t>Si un support neuf ne présente pas l’exigence requise décrite, l’entrepreneur en avertit le donneur d’ordre. L’exécution des travaux de mise en conformité des supports et/ou la mise en œuvre d’un ouvrage intermédiaire préparatoire sont alors nécessaires. Ces travaux sont décrits et comptabilisés séparément (à charge de l’entreprise en charge de l’exécution du support).</w:t>
      </w:r>
    </w:p>
    <w:p w14:paraId="55B6658E" w14:textId="77777777" w:rsidR="00772179" w:rsidRDefault="00000000">
      <w:pPr>
        <w:jc w:val="both"/>
      </w:pPr>
      <w:r>
        <w:t>La mise en œuvre est réalisée conformément au [Buildwise Article Dossier (2015/4.15)]. Le jointoiement, le cas échéant, est réalisé conformément à la [NIT 208] et [NIT 279].</w:t>
      </w:r>
    </w:p>
    <w:p w14:paraId="5162D605" w14:textId="77777777" w:rsidR="00772179" w:rsidRDefault="00000000">
      <w:pPr>
        <w:pStyle w:val="pheading"/>
      </w:pPr>
      <w:r>
        <w:t>DOCUMENTS DE RÉFÉRENCE</w:t>
      </w:r>
    </w:p>
    <w:p w14:paraId="57B96B10" w14:textId="77777777" w:rsidR="00772179" w:rsidRDefault="00000000">
      <w:pPr>
        <w:pStyle w:val="pheading"/>
      </w:pPr>
      <w:r>
        <w:t>- Matériau</w:t>
      </w:r>
    </w:p>
    <w:p w14:paraId="7F4D1834" w14:textId="77777777" w:rsidR="00772179" w:rsidRDefault="00000000">
      <w:r>
        <w:t>[NBN B 23-004, Plaquettes en terre cuite - Caractéristiques et exigences de performance]</w:t>
      </w:r>
    </w:p>
    <w:p w14:paraId="4BA68976" w14:textId="77777777" w:rsidR="00772179" w:rsidRDefault="00000000">
      <w:r>
        <w:t>[NBN EN 998-2, Définitions et spécifications des mortiers pour maçonnerie - Partie 2: Mortiers de montage des éléments de maçonnerie]</w:t>
      </w:r>
    </w:p>
    <w:p w14:paraId="4EF45666" w14:textId="77777777" w:rsidR="00772179" w:rsidRDefault="00000000">
      <w:r>
        <w:t>[PTV 651, Mortier de maçonnerie et mortier de jointoyage]</w:t>
      </w:r>
    </w:p>
    <w:p w14:paraId="0EA35B6D" w14:textId="77777777" w:rsidR="00772179" w:rsidRDefault="00000000">
      <w:r>
        <w:t>[Buildwise Article Dossier (2015/4.09), ETICS avec revêtements durs. Partie 1 : performances des systèmes et sélection des matériaux]</w:t>
      </w:r>
    </w:p>
    <w:p w14:paraId="2BF72C4E" w14:textId="77777777" w:rsidR="00772179" w:rsidRDefault="00000000">
      <w:r>
        <w:t>[EAD 040287-00-0404, Kits for external thermal insulation composite system (ETICS) with panels as thermal insulation and discontinuous claddings as exterior skin]</w:t>
      </w:r>
    </w:p>
    <w:p w14:paraId="446B7FA8" w14:textId="77777777" w:rsidR="00772179" w:rsidRDefault="00000000">
      <w:r>
        <w:t>[ETAG 017, Veture Kits]</w:t>
      </w:r>
    </w:p>
    <w:p w14:paraId="6B0D2945" w14:textId="77777777" w:rsidR="00772179" w:rsidRDefault="00000000">
      <w:r>
        <w:t>[EAD 330196-01-0604, Plastic anchors made of virgin or non-virgin material for fixing of external thermal insulation composite systems with rendering]</w:t>
      </w:r>
    </w:p>
    <w:p w14:paraId="72F522B7" w14:textId="77777777" w:rsidR="00772179" w:rsidRDefault="00000000">
      <w:r>
        <w:t>[NIT 279, Revêtements durs sur isolation extérieure (ETICS avec revêtements durs).]</w:t>
      </w:r>
    </w:p>
    <w:p w14:paraId="4141C0FD" w14:textId="77777777" w:rsidR="00772179" w:rsidRDefault="00000000">
      <w:r>
        <w:t>[NBN EN ISO 11600, Construction immobilière - Produits pour joints - Classification et exigences pour les mastics (ISO 11600:2002)]</w:t>
      </w:r>
    </w:p>
    <w:p w14:paraId="12958327" w14:textId="77777777" w:rsidR="00772179" w:rsidRDefault="00000000">
      <w:r>
        <w:t>[STS 56.1, Mastics d’étanchéité des façades]</w:t>
      </w:r>
    </w:p>
    <w:p w14:paraId="0CD52F76" w14:textId="77777777" w:rsidR="00772179" w:rsidRDefault="00000000">
      <w:r>
        <w:t>[EOTA TR051, Recommendations for job site tests of plastic anchors and screws]</w:t>
      </w:r>
    </w:p>
    <w:p w14:paraId="698A6F7F" w14:textId="77777777" w:rsidR="00772179" w:rsidRDefault="00000000">
      <w:pPr>
        <w:pStyle w:val="pheading"/>
      </w:pPr>
      <w:r>
        <w:t>- Exécution</w:t>
      </w:r>
    </w:p>
    <w:p w14:paraId="7EE44CB9" w14:textId="77777777" w:rsidR="00772179" w:rsidRDefault="00000000">
      <w:r>
        <w:t>[NIT 279, Revêtements durs sur isolation extérieure (ETICS avec revêtements durs).]</w:t>
      </w:r>
    </w:p>
    <w:p w14:paraId="17606380" w14:textId="77777777" w:rsidR="00772179" w:rsidRDefault="00000000">
      <w:r>
        <w:t>[NIT 208, Jointoiement des maçonneries.]</w:t>
      </w:r>
    </w:p>
    <w:p w14:paraId="67D5D693" w14:textId="77777777" w:rsidR="00772179" w:rsidRDefault="00000000">
      <w:r>
        <w:t>[NIT 279, Revêtements durs sur isolation extérieure (ETICS avec revêtements durs).]</w:t>
      </w:r>
    </w:p>
    <w:p w14:paraId="1195C4A2" w14:textId="77777777" w:rsidR="00772179" w:rsidRDefault="00000000">
      <w:r>
        <w:t>[NBN EN 1996-2 ANB, Eurocode 6 - Calcul des ouvrages en maçonnerie - Partie 2 : Conception, choix des matériaux et mise en oeuvre des maçonneries - Annexe nationale]</w:t>
      </w:r>
    </w:p>
    <w:p w14:paraId="39A53EAA" w14:textId="77777777" w:rsidR="00772179" w:rsidRDefault="00000000">
      <w:r>
        <w:t>[NBN EN 13670, Exécution des structures en béton]</w:t>
      </w:r>
    </w:p>
    <w:p w14:paraId="1361C1FF" w14:textId="77777777" w:rsidR="00772179" w:rsidRDefault="00000000">
      <w:r>
        <w:t>[NBN B 15-400, Exécution des structures en béton - Supplément national à la NBN EN 13670:2010]</w:t>
      </w:r>
    </w:p>
    <w:p w14:paraId="285C1CFE" w14:textId="77777777" w:rsidR="00772179" w:rsidRDefault="00000000">
      <w:r>
        <w:t>[STS 23-1, Constructions en ossature bois]</w:t>
      </w:r>
    </w:p>
    <w:p w14:paraId="70D10F71" w14:textId="77777777" w:rsidR="00772179" w:rsidRDefault="00000000">
      <w:r>
        <w:t>[NC Document explicatif, Nœuds constructifs - Document explicatif suivant le “Projet de modification de l’ANNEXE IV/V de l’arrêté PEB”]</w:t>
      </w:r>
    </w:p>
    <w:p w14:paraId="1F4A53B8" w14:textId="77777777" w:rsidR="00772179" w:rsidRDefault="00000000">
      <w:pPr>
        <w:pStyle w:val="pheading"/>
      </w:pPr>
      <w:r>
        <w:lastRenderedPageBreak/>
        <w:t>AIDE</w:t>
      </w:r>
    </w:p>
    <w:p w14:paraId="017A8274" w14:textId="77777777" w:rsidR="00772179" w:rsidRDefault="00000000">
      <w:r>
        <w:t>Le type de profilé est défini dans le cahier spécial des charges et la livraison et la pose des profilés font, de préférence, l’objet d’un poste séparé dans l’offre de prix.</w:t>
      </w:r>
    </w:p>
    <w:p w14:paraId="53EB4FFD" w14:textId="77777777" w:rsidR="00772179" w:rsidRDefault="00000000">
      <w:pPr>
        <w:pStyle w:val="Author-eSectionHeading6Numberless"/>
      </w:pPr>
      <w:bookmarkStart w:id="800" w:name="_Toc220490480"/>
      <w:r>
        <w:t>43.33.2a Revêtements de façade rigides collés - système " isolant+plaquettes en terre cuite collées" préfabriqué CCTB 01.12</w:t>
      </w:r>
      <w:bookmarkEnd w:id="800"/>
    </w:p>
    <w:p w14:paraId="0568916E" w14:textId="77777777" w:rsidR="00772179" w:rsidRDefault="00000000">
      <w:pPr>
        <w:pStyle w:val="pheading"/>
      </w:pPr>
      <w:bookmarkStart w:id="801" w:name="1013"/>
      <w:bookmarkEnd w:id="801"/>
      <w:r>
        <w:t>DESCRIPTION</w:t>
      </w:r>
    </w:p>
    <w:p w14:paraId="179FD2D9" w14:textId="77777777" w:rsidR="00772179" w:rsidRDefault="00000000">
      <w:pPr>
        <w:pStyle w:val="pheading"/>
      </w:pPr>
      <w:r>
        <w:t>- Définition / Comprend</w:t>
      </w:r>
    </w:p>
    <w:p w14:paraId="696896E9" w14:textId="77777777" w:rsidR="00772179" w:rsidRDefault="00000000">
      <w:pPr>
        <w:jc w:val="both"/>
      </w:pPr>
      <w:r>
        <w:t>Il s’agit de la fourniture et de la pose d’un système de plaquettes en terre cuite solidarisées en usine au panneau d’isolation extérieure, pour une application en façade (vêture isolante). La couche d’isolation (avec traitement des joints) assure l’étanchéité à l’eau.</w:t>
      </w:r>
    </w:p>
    <w:p w14:paraId="6C725ECE" w14:textId="77777777" w:rsidR="00772179" w:rsidRDefault="00000000">
      <w:pPr>
        <w:jc w:val="both"/>
      </w:pPr>
      <w:r>
        <w:t xml:space="preserve">La portée des travaux est décrite au </w:t>
      </w:r>
      <w:hyperlink w:anchor="1012" w:history="1">
        <w:r>
          <w:rPr>
            <w:color w:val="0000EE"/>
          </w:rPr>
          <w:t>43.33.2 Revêtements de façade rigides collés - système " isolant+plaquettes en terre cuite collées"</w:t>
        </w:r>
      </w:hyperlink>
      <w:r>
        <w:t>.</w:t>
      </w:r>
    </w:p>
    <w:p w14:paraId="7AABEFD5" w14:textId="77777777" w:rsidR="00772179" w:rsidRDefault="00000000">
      <w:pPr>
        <w:jc w:val="both"/>
      </w:pPr>
      <w:r>
        <w:t>Cet article comprend également :</w:t>
      </w:r>
    </w:p>
    <w:p w14:paraId="311CA6E8" w14:textId="77777777" w:rsidR="00772179" w:rsidRDefault="00000000">
      <w:pPr>
        <w:pStyle w:val="Author-eListParagraph"/>
        <w:numPr>
          <w:ilvl w:val="0"/>
          <w:numId w:val="1027"/>
        </w:numPr>
        <w:jc w:val="both"/>
      </w:pPr>
      <w:r>
        <w:t>l’étude par le fabricant des plans de détail et des prescriptions de pose à établir sur base des plans de façade, de la nature du support et de l’action du vent. L’ensemble est à soumettre à l’approbation de la direction du chantier ;</w:t>
      </w:r>
    </w:p>
    <w:p w14:paraId="333BD4BE" w14:textId="77777777" w:rsidR="00772179" w:rsidRDefault="00000000">
      <w:pPr>
        <w:pStyle w:val="Author-eListParagraph"/>
        <w:numPr>
          <w:ilvl w:val="0"/>
          <w:numId w:val="1027"/>
        </w:numPr>
        <w:jc w:val="both"/>
      </w:pPr>
      <w:r>
        <w:t xml:space="preserve">un essai à l’arrachement du/des structures de support de la vêture isolante : </w:t>
      </w:r>
      <w:r>
        <w:rPr>
          <w:rStyle w:val="optioncarChar"/>
        </w:rPr>
        <w:t>oui</w:t>
      </w:r>
      <w:r>
        <w:t xml:space="preserve"> (par défaut)</w:t>
      </w:r>
      <w:r>
        <w:rPr>
          <w:rStyle w:val="optioncarChar"/>
        </w:rPr>
        <w:t xml:space="preserve"> / non.</w:t>
      </w:r>
    </w:p>
    <w:p w14:paraId="195D5B49" w14:textId="77777777" w:rsidR="00772179" w:rsidRDefault="00000000">
      <w:pPr>
        <w:pStyle w:val="pheading"/>
      </w:pPr>
      <w:r>
        <w:t>MATÉRIAUX</w:t>
      </w:r>
    </w:p>
    <w:p w14:paraId="2D83C654" w14:textId="77777777" w:rsidR="00772179" w:rsidRDefault="00000000">
      <w:pPr>
        <w:pStyle w:val="pheading"/>
      </w:pPr>
      <w:r>
        <w:t>- Caractéristiques générales</w:t>
      </w:r>
    </w:p>
    <w:p w14:paraId="335C50F2" w14:textId="77777777" w:rsidR="00772179" w:rsidRDefault="00000000">
      <w:pPr>
        <w:jc w:val="both"/>
      </w:pPr>
      <w:r>
        <w:rPr>
          <w:b/>
        </w:rPr>
        <w:t>Caractéristiques du support et des surfaces à isoler :</w:t>
      </w:r>
    </w:p>
    <w:p w14:paraId="779A11E0" w14:textId="77777777" w:rsidR="00772179" w:rsidRDefault="00000000">
      <w:pPr>
        <w:pStyle w:val="Author-eListParagraph"/>
        <w:numPr>
          <w:ilvl w:val="0"/>
          <w:numId w:val="1028"/>
        </w:numPr>
      </w:pPr>
      <w:r>
        <w:t xml:space="preserve">Paroi de support : </w:t>
      </w:r>
      <w:r>
        <w:rPr>
          <w:rStyle w:val="optioncarChar"/>
        </w:rPr>
        <w:t>maçonnerie en blocs de béton lourd (creux/pleins) / maçonnerie en blocs de béton léger / maçonnerie en blocs de terre cuite / maçonnerie en briques de terre cuite / parois en béton / paroi en béton préfabriqué / ***.</w:t>
      </w:r>
    </w:p>
    <w:p w14:paraId="6CACC6E4" w14:textId="77777777" w:rsidR="00772179" w:rsidRDefault="00000000">
      <w:pPr>
        <w:pStyle w:val="Author-eListParagraph"/>
        <w:numPr>
          <w:ilvl w:val="0"/>
          <w:numId w:val="1028"/>
        </w:numPr>
      </w:pPr>
      <w:r>
        <w:t xml:space="preserve">Paroi : </w:t>
      </w:r>
      <w:r>
        <w:rPr>
          <w:rStyle w:val="optioncarChar"/>
        </w:rPr>
        <w:t>verticale</w:t>
      </w:r>
      <w:r>
        <w:t xml:space="preserve"> (par défaut)</w:t>
      </w:r>
      <w:r>
        <w:rPr>
          <w:rStyle w:val="optioncarChar"/>
        </w:rPr>
        <w:t xml:space="preserve"> / horizontale / ***.</w:t>
      </w:r>
    </w:p>
    <w:p w14:paraId="3B57173C" w14:textId="77777777" w:rsidR="00772179" w:rsidRDefault="00000000">
      <w:pPr>
        <w:pStyle w:val="Author-eListParagraph"/>
        <w:numPr>
          <w:ilvl w:val="0"/>
          <w:numId w:val="1028"/>
        </w:numPr>
      </w:pPr>
      <w:r>
        <w:t>Les travaux concernent : </w:t>
      </w:r>
      <w:r>
        <w:rPr>
          <w:rStyle w:val="optioncarChar"/>
        </w:rPr>
        <w:t>la façade courante (hors zone de plinthe) </w:t>
      </w:r>
      <w:r>
        <w:t>(par défaut) </w:t>
      </w:r>
      <w:r>
        <w:rPr>
          <w:rStyle w:val="optioncarChar"/>
        </w:rPr>
        <w:t>/ la zone de plinthe / la zone de plinthe et la façade courante / ***.</w:t>
      </w:r>
    </w:p>
    <w:p w14:paraId="17231CC2" w14:textId="77777777" w:rsidR="00772179" w:rsidRDefault="00000000">
      <w:pPr>
        <w:pStyle w:val="Author-eListParagraph"/>
        <w:numPr>
          <w:ilvl w:val="0"/>
          <w:numId w:val="1028"/>
        </w:numPr>
      </w:pPr>
      <w:r>
        <w:t>Classe de climat intérieur voir [Buildwise Pathologie Infofiche 11] : classe </w:t>
      </w:r>
      <w:r>
        <w:rPr>
          <w:rStyle w:val="optioncarChar"/>
        </w:rPr>
        <w:t>I / II / III / IV (Bâtiment à production d’humidité élevée). Dans ce cas, l’entrepreneur se réfère aux prescriptions du titulaire de l’agrément concernant les dispositions à respecter lors de la mise en œuvre.</w:t>
      </w:r>
    </w:p>
    <w:p w14:paraId="39130EA7" w14:textId="77777777" w:rsidR="00772179" w:rsidRDefault="00000000">
      <w:pPr>
        <w:pStyle w:val="Author-eListParagraph"/>
        <w:numPr>
          <w:ilvl w:val="0"/>
          <w:numId w:val="1028"/>
        </w:numPr>
      </w:pPr>
      <w:r>
        <w:t>Etanchéité à l’air de la paroi support selon [NIT 255] : Classe </w:t>
      </w:r>
      <w:r>
        <w:rPr>
          <w:rStyle w:val="optioncarChar"/>
        </w:rPr>
        <w:t>L1 / L2</w:t>
      </w:r>
      <w:r>
        <w:t>.</w:t>
      </w:r>
    </w:p>
    <w:p w14:paraId="2B25DDC8" w14:textId="77777777" w:rsidR="00772179" w:rsidRDefault="00000000">
      <w:pPr>
        <w:jc w:val="both"/>
      </w:pPr>
      <w:r>
        <w:rPr>
          <w:b/>
        </w:rPr>
        <w:t>Système :</w:t>
      </w:r>
    </w:p>
    <w:p w14:paraId="66BA1593" w14:textId="77777777" w:rsidR="00772179" w:rsidRDefault="00000000">
      <w:pPr>
        <w:jc w:val="both"/>
      </w:pPr>
      <w:r>
        <w:t>Le système dispose d'une déclaration d'aptitude à l'utilisation suivant les prescriptions de l'élément 02.42.1 Critères d'acceptabilité et se compose :</w:t>
      </w:r>
    </w:p>
    <w:p w14:paraId="0BDA9307" w14:textId="77777777" w:rsidR="00772179" w:rsidRDefault="00000000">
      <w:pPr>
        <w:pStyle w:val="Author-eListParagraph"/>
        <w:numPr>
          <w:ilvl w:val="0"/>
          <w:numId w:val="1029"/>
        </w:numPr>
      </w:pPr>
      <w:r>
        <w:t>D’éléments préfabriqués constitués d’une couche de parement en plaquettes de terre cuite serties dans un panneau rigide en mousse de polyuréthane sans CFC ni HCFC.</w:t>
      </w:r>
    </w:p>
    <w:p w14:paraId="5B47393A" w14:textId="77777777" w:rsidR="00772179" w:rsidRDefault="00000000">
      <w:pPr>
        <w:pStyle w:val="Author-eListParagraph"/>
        <w:numPr>
          <w:ilvl w:val="0"/>
          <w:numId w:val="1029"/>
        </w:numPr>
      </w:pPr>
      <w:r>
        <w:t>De fixations mécaniques traversantes disposées dans les joints du parement rendues invisibles par les joints de finition.</w:t>
      </w:r>
    </w:p>
    <w:p w14:paraId="566B3D10" w14:textId="77777777" w:rsidR="00772179" w:rsidRDefault="00000000">
      <w:pPr>
        <w:jc w:val="both"/>
      </w:pPr>
      <w:r>
        <w:t>Caractéristiques :</w:t>
      </w:r>
    </w:p>
    <w:p w14:paraId="6B12643A" w14:textId="77777777" w:rsidR="00772179" w:rsidRDefault="00000000">
      <w:pPr>
        <w:pStyle w:val="Author-eListParagraph"/>
        <w:numPr>
          <w:ilvl w:val="0"/>
          <w:numId w:val="1030"/>
        </w:numPr>
      </w:pPr>
      <w:r>
        <w:t xml:space="preserve">Type de pose : </w:t>
      </w:r>
      <w:r>
        <w:rPr>
          <w:rStyle w:val="optioncarChar"/>
        </w:rPr>
        <w:t xml:space="preserve">conforme aux recommandations de l’étude approuvée </w:t>
      </w:r>
      <w:r>
        <w:t xml:space="preserve">(par défaut) </w:t>
      </w:r>
      <w:r>
        <w:rPr>
          <w:rStyle w:val="optioncarChar"/>
        </w:rPr>
        <w:t>/ système collé (≥ 60 % de la surface) avec fixations mécaniques / système fixé mécaniquement avec encollage (≥ 60 % de la surface) / ***.</w:t>
      </w:r>
    </w:p>
    <w:p w14:paraId="3B9C07F8" w14:textId="77777777" w:rsidR="00772179" w:rsidRDefault="00000000">
      <w:pPr>
        <w:pStyle w:val="Author-eListParagraph"/>
        <w:numPr>
          <w:ilvl w:val="0"/>
          <w:numId w:val="1030"/>
        </w:numPr>
      </w:pPr>
      <w:r>
        <w:t>Valeur de la résistance thermique RETICS à atteindre par le système : ≥</w:t>
      </w:r>
      <w:r>
        <w:rPr>
          <w:rStyle w:val="optioncarChar"/>
        </w:rPr>
        <w:t xml:space="preserve"> ***</w:t>
      </w:r>
      <w:r>
        <w:t xml:space="preserve"> m²K/W.</w:t>
      </w:r>
    </w:p>
    <w:p w14:paraId="6BEA9B85" w14:textId="77777777" w:rsidR="00772179" w:rsidRDefault="00000000">
      <w:pPr>
        <w:pStyle w:val="Author-eListParagraph"/>
        <w:numPr>
          <w:ilvl w:val="0"/>
          <w:numId w:val="1030"/>
        </w:numPr>
      </w:pPr>
      <w:r>
        <w:t>Valeur du coefficient de déperdition thermique U à ne pas dépasser pour la paroi complète suivant :  </w:t>
      </w:r>
      <w:r>
        <w:rPr>
          <w:rStyle w:val="optioncarChar"/>
        </w:rPr>
        <w:t xml:space="preserve">étude PEB ≤ *** </w:t>
      </w:r>
      <w:r>
        <w:t>(par défaut)</w:t>
      </w:r>
      <w:r>
        <w:rPr>
          <w:rStyle w:val="optioncarChar"/>
        </w:rPr>
        <w:t xml:space="preserve"> / réglementation régionale : ≤ *** </w:t>
      </w:r>
      <w:r>
        <w:t>W/m²K</w:t>
      </w:r>
      <w:r>
        <w:rPr>
          <w:rStyle w:val="optioncarChar"/>
        </w:rPr>
        <w:t>.</w:t>
      </w:r>
    </w:p>
    <w:p w14:paraId="225D22C5" w14:textId="77777777" w:rsidR="00772179" w:rsidRDefault="00000000">
      <w:pPr>
        <w:pStyle w:val="Author-eListParagraph"/>
        <w:numPr>
          <w:ilvl w:val="0"/>
          <w:numId w:val="1030"/>
        </w:numPr>
      </w:pPr>
      <w:r>
        <w:t xml:space="preserve">Epaisseur totale maximale du système rapporté : ≤ </w:t>
      </w:r>
      <w:r>
        <w:rPr>
          <w:rStyle w:val="optioncarChar"/>
        </w:rPr>
        <w:t>***</w:t>
      </w:r>
      <w:r>
        <w:t xml:space="preserve"> cm</w:t>
      </w:r>
    </w:p>
    <w:p w14:paraId="6A0BB74E" w14:textId="77777777" w:rsidR="00772179" w:rsidRDefault="00000000">
      <w:pPr>
        <w:pStyle w:val="Author-eListParagraph"/>
        <w:numPr>
          <w:ilvl w:val="0"/>
          <w:numId w:val="1030"/>
        </w:numPr>
      </w:pPr>
      <w:r>
        <w:lastRenderedPageBreak/>
        <w:t xml:space="preserve">Pression d’étanchéité à la pluie requise : ≥ </w:t>
      </w:r>
      <w:r>
        <w:rPr>
          <w:rStyle w:val="optioncarChar"/>
        </w:rPr>
        <w:t>450</w:t>
      </w:r>
      <w:r>
        <w:t xml:space="preserve"> (par défaut)</w:t>
      </w:r>
      <w:r>
        <w:rPr>
          <w:rStyle w:val="optioncarChar"/>
        </w:rPr>
        <w:t xml:space="preserve"> / 900 / ***</w:t>
      </w:r>
      <w:r>
        <w:t xml:space="preserve"> Pa</w:t>
      </w:r>
    </w:p>
    <w:p w14:paraId="5E842013" w14:textId="77777777" w:rsidR="00772179" w:rsidRDefault="00000000">
      <w:pPr>
        <w:pStyle w:val="Author-eListParagraph"/>
        <w:numPr>
          <w:ilvl w:val="0"/>
          <w:numId w:val="1030"/>
        </w:numPr>
      </w:pPr>
      <w:r>
        <w:t xml:space="preserve">Résistance aux chocs requise suivant : catégorie d’utilisation </w:t>
      </w:r>
      <w:r>
        <w:rPr>
          <w:rStyle w:val="optioncarChar"/>
        </w:rPr>
        <w:t xml:space="preserve">I </w:t>
      </w:r>
      <w:r>
        <w:t>(par défaut)</w:t>
      </w:r>
      <w:r>
        <w:rPr>
          <w:rStyle w:val="optioncarChar"/>
        </w:rPr>
        <w:t xml:space="preserve"> / II / III / IV.</w:t>
      </w:r>
    </w:p>
    <w:p w14:paraId="0DCF5298" w14:textId="77777777" w:rsidR="00772179" w:rsidRDefault="00000000">
      <w:pPr>
        <w:pStyle w:val="Author-eListParagraph"/>
        <w:numPr>
          <w:ilvl w:val="0"/>
          <w:numId w:val="1030"/>
        </w:numPr>
      </w:pPr>
      <w:r>
        <w:t xml:space="preserve">Valeur de calcul de l’action du vent (cfr [NBN EN 1991-1-4 ANB]) : ≥ </w:t>
      </w:r>
      <w:r>
        <w:rPr>
          <w:rStyle w:val="optioncarChar"/>
        </w:rPr>
        <w:t>1100</w:t>
      </w:r>
      <w:r>
        <w:t xml:space="preserve"> (par défaut)</w:t>
      </w:r>
      <w:r>
        <w:rPr>
          <w:rStyle w:val="optioncarChar"/>
        </w:rPr>
        <w:t xml:space="preserve"> / 1600 / ***</w:t>
      </w:r>
      <w:r>
        <w:t xml:space="preserve"> Pa.</w:t>
      </w:r>
    </w:p>
    <w:p w14:paraId="65A054F4" w14:textId="77777777" w:rsidR="00772179" w:rsidRDefault="00000000">
      <w:pPr>
        <w:pStyle w:val="Author-eListParagraph"/>
        <w:numPr>
          <w:ilvl w:val="0"/>
          <w:numId w:val="1030"/>
        </w:numPr>
      </w:pPr>
      <w:r>
        <w:t xml:space="preserve">Performances acoustiques D Atr : </w:t>
      </w:r>
      <w:r>
        <w:rPr>
          <w:rStyle w:val="optioncarChar"/>
        </w:rPr>
        <w:t>non spécifié</w:t>
      </w:r>
      <w:r>
        <w:t xml:space="preserve"> (par défaut)</w:t>
      </w:r>
      <w:r>
        <w:rPr>
          <w:rStyle w:val="optioncarChar"/>
        </w:rPr>
        <w:t xml:space="preserve"> / *** </w:t>
      </w:r>
      <w:r>
        <w:t>dB suivant [NBN S 01-400-1] (bâtiments) &amp; [NBN S 01-400-2] (écoles)]</w:t>
      </w:r>
    </w:p>
    <w:p w14:paraId="52E7F645" w14:textId="77777777" w:rsidR="00772179" w:rsidRDefault="00000000">
      <w:pPr>
        <w:pStyle w:val="Author-eListParagraph"/>
        <w:numPr>
          <w:ilvl w:val="0"/>
          <w:numId w:val="1030"/>
        </w:numPr>
      </w:pPr>
      <w:r>
        <w:t xml:space="preserve">Comportement au feu : </w:t>
      </w:r>
      <w:r>
        <w:rPr>
          <w:rStyle w:val="optioncarChar"/>
        </w:rPr>
        <w:t>non spécifié</w:t>
      </w:r>
      <w:r>
        <w:t xml:space="preserve"> (par défaut)</w:t>
      </w:r>
      <w:r>
        <w:rPr>
          <w:rStyle w:val="optioncarChar"/>
        </w:rPr>
        <w:t> / B-s1,d0 / ***</w:t>
      </w:r>
      <w:r>
        <w:t xml:space="preserve"> selon la [NBN EN 13501-1].</w:t>
      </w:r>
    </w:p>
    <w:p w14:paraId="27DFA8E8" w14:textId="77777777" w:rsidR="00772179" w:rsidRDefault="00000000">
      <w:pPr>
        <w:jc w:val="both"/>
      </w:pPr>
      <w:r>
        <w:rPr>
          <w:b/>
        </w:rPr>
        <w:t>Panneaux d’isolation :</w:t>
      </w:r>
    </w:p>
    <w:p w14:paraId="4A5F9F14" w14:textId="77777777" w:rsidR="00772179" w:rsidRDefault="00000000">
      <w:pPr>
        <w:jc w:val="both"/>
      </w:pPr>
      <w:r>
        <w:t>Les panneaux d’isolation sont constitués de mousse polyuréthane expansée projetée dans un moule dont le fond est tapissé de plaquettes en terre cuite qui, après le temps de prise, sont serties dans la mousse rigide.</w:t>
      </w:r>
    </w:p>
    <w:p w14:paraId="51669117" w14:textId="77777777" w:rsidR="00772179" w:rsidRDefault="00000000">
      <w:pPr>
        <w:pStyle w:val="Author-eListParagraph"/>
        <w:numPr>
          <w:ilvl w:val="0"/>
          <w:numId w:val="1031"/>
        </w:numPr>
      </w:pPr>
      <w:r>
        <w:t xml:space="preserve">Epaisseur : </w:t>
      </w:r>
      <w:r>
        <w:rPr>
          <w:rStyle w:val="optioncarChar"/>
        </w:rPr>
        <w:t>28 / 48 / 60 / 68 / ***</w:t>
      </w:r>
      <w:r>
        <w:t xml:space="preserve"> mm.</w:t>
      </w:r>
    </w:p>
    <w:p w14:paraId="66D8FC7D" w14:textId="77777777" w:rsidR="00772179" w:rsidRDefault="00000000">
      <w:pPr>
        <w:pStyle w:val="Author-eListParagraph"/>
        <w:numPr>
          <w:ilvl w:val="0"/>
          <w:numId w:val="1031"/>
        </w:numPr>
      </w:pPr>
      <w:r>
        <w:t xml:space="preserve">Dimensions des panneaux : </w:t>
      </w:r>
      <w:r>
        <w:rPr>
          <w:rStyle w:val="optioncarChar"/>
        </w:rPr>
        <w:t>au choix de l'entrepreneur mais proposition à soumettre à l’approbation de la direction du chantier</w:t>
      </w:r>
      <w:r>
        <w:t xml:space="preserve"> (par défaut)</w:t>
      </w:r>
      <w:r>
        <w:rPr>
          <w:rStyle w:val="optioncarChar"/>
        </w:rPr>
        <w:t xml:space="preserve"> / 1350 x 675 / *** mm</w:t>
      </w:r>
      <w:r>
        <w:t>.</w:t>
      </w:r>
    </w:p>
    <w:p w14:paraId="2D5B3F26" w14:textId="77777777" w:rsidR="00772179" w:rsidRDefault="00000000">
      <w:pPr>
        <w:pStyle w:val="Author-eListParagraph"/>
        <w:numPr>
          <w:ilvl w:val="0"/>
          <w:numId w:val="1031"/>
        </w:numPr>
      </w:pPr>
      <w:r>
        <w:t xml:space="preserve">Conductivité thermique déclarée : ≤ </w:t>
      </w:r>
      <w:r>
        <w:rPr>
          <w:rStyle w:val="optioncarChar"/>
        </w:rPr>
        <w:t>0,027 / 0,029 / ***</w:t>
      </w:r>
      <w:r>
        <w:t xml:space="preserve"> W/mK selon la [NBN EN 12667] &amp; [NBN EN 13165:2012+A2].</w:t>
      </w:r>
    </w:p>
    <w:p w14:paraId="20925253" w14:textId="77777777" w:rsidR="00772179" w:rsidRDefault="00000000">
      <w:pPr>
        <w:pStyle w:val="Author-eListParagraph"/>
        <w:numPr>
          <w:ilvl w:val="0"/>
          <w:numId w:val="1031"/>
        </w:numPr>
      </w:pPr>
      <w:r>
        <w:t xml:space="preserve">Masse volumique apparente : ≥ </w:t>
      </w:r>
      <w:r>
        <w:rPr>
          <w:rStyle w:val="optioncarChar"/>
        </w:rPr>
        <w:t>35 / ***</w:t>
      </w:r>
      <w:r>
        <w:t xml:space="preserve"> kg/m³ selon la [NBN EN ISO 29470].</w:t>
      </w:r>
    </w:p>
    <w:p w14:paraId="286CF280" w14:textId="77777777" w:rsidR="00772179" w:rsidRDefault="00000000">
      <w:pPr>
        <w:pStyle w:val="Author-eListParagraph"/>
        <w:numPr>
          <w:ilvl w:val="0"/>
          <w:numId w:val="1031"/>
        </w:numPr>
      </w:pPr>
      <w:r>
        <w:t xml:space="preserve">Absorption d’eau : ≤ </w:t>
      </w:r>
      <w:r>
        <w:rPr>
          <w:rStyle w:val="optioncarChar"/>
        </w:rPr>
        <w:t>2 / ***</w:t>
      </w:r>
      <w:r>
        <w:t xml:space="preserve"> % selon la [NBN EN ISO 16535]</w:t>
      </w:r>
    </w:p>
    <w:p w14:paraId="769FE2C0" w14:textId="77777777" w:rsidR="00772179" w:rsidRDefault="00000000">
      <w:pPr>
        <w:jc w:val="both"/>
      </w:pPr>
      <w:r>
        <w:t xml:space="preserve">Afin d’atteindre une résistance thermique plus importante de la paroi, un isolant supplémentaire à placer avant la pose des panneaux avec briquettes est prévu : </w:t>
      </w:r>
      <w:r>
        <w:rPr>
          <w:rStyle w:val="optioncarChar"/>
        </w:rPr>
        <w:t>non</w:t>
      </w:r>
      <w:r>
        <w:t xml:space="preserve"> (par défaut) </w:t>
      </w:r>
      <w:r>
        <w:rPr>
          <w:rStyle w:val="optioncarChar"/>
        </w:rPr>
        <w:t>/ oui. La fourniture et la pose de ces panneaux est décrite et comptabilisée au 44.41 Isolation en panneau</w:t>
      </w:r>
      <w:r>
        <w:t>.</w:t>
      </w:r>
    </w:p>
    <w:p w14:paraId="6ECAE02D" w14:textId="77777777" w:rsidR="00772179" w:rsidRDefault="00000000">
      <w:pPr>
        <w:jc w:val="both"/>
      </w:pPr>
      <w:r>
        <w:rPr>
          <w:b/>
        </w:rPr>
        <w:t>Plaquettes en terre cuite :</w:t>
      </w:r>
    </w:p>
    <w:p w14:paraId="78070512" w14:textId="77777777" w:rsidR="00772179" w:rsidRDefault="00000000">
      <w:pPr>
        <w:jc w:val="both"/>
      </w:pPr>
      <w:r>
        <w:t>Le parement est constitué de plaquettes en terre cuites conformes à la [NBN B 23-004].</w:t>
      </w:r>
    </w:p>
    <w:p w14:paraId="405A84F1" w14:textId="77777777" w:rsidR="00772179" w:rsidRDefault="00000000">
      <w:pPr>
        <w:pStyle w:val="Author-eListParagraph"/>
        <w:numPr>
          <w:ilvl w:val="0"/>
          <w:numId w:val="1032"/>
        </w:numPr>
      </w:pPr>
      <w:r>
        <w:t xml:space="preserve">Dimensions (longueur l x largeur b x épaisseur d) : </w:t>
      </w:r>
      <w:r>
        <w:rPr>
          <w:rStyle w:val="optioncarChar"/>
        </w:rPr>
        <w:t>215x50x20 </w:t>
      </w:r>
      <w:r>
        <w:t xml:space="preserve">(par défaut) </w:t>
      </w:r>
      <w:r>
        <w:rPr>
          <w:rStyle w:val="optioncarChar"/>
        </w:rPr>
        <w:t>/ 215x65x20 / 240x50x20 / 240x60x20 / 240x90x20 / 240x130 / ***</w:t>
      </w:r>
      <w:r>
        <w:t xml:space="preserve"> mm.</w:t>
      </w:r>
    </w:p>
    <w:p w14:paraId="6BAADFB3" w14:textId="77777777" w:rsidR="00772179" w:rsidRDefault="00000000">
      <w:pPr>
        <w:pStyle w:val="Author-eListParagraph"/>
        <w:numPr>
          <w:ilvl w:val="0"/>
          <w:numId w:val="1032"/>
        </w:numPr>
      </w:pPr>
      <w:r>
        <w:t xml:space="preserve">Résistance au gel selon [NBN B 23-004] : </w:t>
      </w:r>
      <w:r>
        <w:rPr>
          <w:rStyle w:val="optioncarChar"/>
        </w:rPr>
        <w:t>résistante élevée</w:t>
      </w:r>
      <w:r>
        <w:t xml:space="preserve"> (par défaut)</w:t>
      </w:r>
      <w:r>
        <w:rPr>
          <w:rStyle w:val="optioncarChar"/>
        </w:rPr>
        <w:t xml:space="preserve"> / ***</w:t>
      </w:r>
      <w:r>
        <w:t>.</w:t>
      </w:r>
    </w:p>
    <w:p w14:paraId="1554C12E" w14:textId="77777777" w:rsidR="00772179" w:rsidRDefault="00000000">
      <w:pPr>
        <w:pStyle w:val="Author-eListParagraph"/>
        <w:numPr>
          <w:ilvl w:val="0"/>
          <w:numId w:val="1032"/>
        </w:numPr>
      </w:pPr>
      <w:r>
        <w:t xml:space="preserve">Facteur d’absorption d’eau selon [NBN EN ISO 10545-3] : ≤ </w:t>
      </w:r>
      <w:r>
        <w:rPr>
          <w:rStyle w:val="optioncarChar"/>
        </w:rPr>
        <w:t xml:space="preserve">5,50 </w:t>
      </w:r>
      <w:r>
        <w:t xml:space="preserve">(par défaut) </w:t>
      </w:r>
      <w:r>
        <w:rPr>
          <w:rStyle w:val="optioncarChar"/>
        </w:rPr>
        <w:t>/ ***</w:t>
      </w:r>
      <w:r>
        <w:t xml:space="preserve"> %.</w:t>
      </w:r>
    </w:p>
    <w:p w14:paraId="6F83AB98" w14:textId="77777777" w:rsidR="00772179" w:rsidRDefault="00000000">
      <w:pPr>
        <w:jc w:val="both"/>
      </w:pPr>
      <w:r>
        <w:rPr>
          <w:b/>
        </w:rPr>
        <w:t>Fixations :</w:t>
      </w:r>
    </w:p>
    <w:p w14:paraId="295AD4AA" w14:textId="77777777" w:rsidR="00772179" w:rsidRDefault="00000000">
      <w:pPr>
        <w:jc w:val="both"/>
      </w:pPr>
      <w:r>
        <w:t>Les panneaux sont fixés mécaniquement au support à l’aide de vis et de chevilles.</w:t>
      </w:r>
    </w:p>
    <w:p w14:paraId="1C9D4DB5" w14:textId="77777777" w:rsidR="00772179" w:rsidRDefault="00000000">
      <w:pPr>
        <w:pStyle w:val="Author-eListParagraph"/>
        <w:numPr>
          <w:ilvl w:val="0"/>
          <w:numId w:val="1033"/>
        </w:numPr>
      </w:pPr>
      <w:r>
        <w:t xml:space="preserve">Vis à tête fraisée en acier : </w:t>
      </w:r>
      <w:r>
        <w:rPr>
          <w:rStyle w:val="optioncarChar"/>
        </w:rPr>
        <w:t xml:space="preserve">galvanisé </w:t>
      </w:r>
      <w:r>
        <w:t>(par défaut)</w:t>
      </w:r>
      <w:r>
        <w:rPr>
          <w:rStyle w:val="optioncarChar"/>
        </w:rPr>
        <w:t xml:space="preserve"> / inoxydable / ***</w:t>
      </w:r>
      <w:r>
        <w:t>.</w:t>
      </w:r>
    </w:p>
    <w:p w14:paraId="59BAEB53" w14:textId="77777777" w:rsidR="00772179" w:rsidRDefault="00000000">
      <w:pPr>
        <w:pStyle w:val="Author-eListParagraph"/>
        <w:numPr>
          <w:ilvl w:val="0"/>
          <w:numId w:val="1033"/>
        </w:numPr>
      </w:pPr>
      <w:r>
        <w:t xml:space="preserve">Cheville : </w:t>
      </w:r>
      <w:r>
        <w:rPr>
          <w:rStyle w:val="optioncarChar"/>
        </w:rPr>
        <w:t xml:space="preserve">en nylon </w:t>
      </w:r>
      <w:r>
        <w:t xml:space="preserve">(par défaut) </w:t>
      </w:r>
      <w:r>
        <w:rPr>
          <w:rStyle w:val="optioncarChar"/>
        </w:rPr>
        <w:t>/ ***.</w:t>
      </w:r>
    </w:p>
    <w:p w14:paraId="72E2AF6F" w14:textId="77777777" w:rsidR="00772179" w:rsidRDefault="00000000">
      <w:pPr>
        <w:pStyle w:val="Author-eListParagraph"/>
        <w:numPr>
          <w:ilvl w:val="0"/>
          <w:numId w:val="1033"/>
        </w:numPr>
      </w:pPr>
      <w:r>
        <w:t xml:space="preserve">Bouchons en polystyrène à poser sur les têtes de vis : </w:t>
      </w:r>
      <w:r>
        <w:rPr>
          <w:rStyle w:val="optioncarChar"/>
        </w:rPr>
        <w:t xml:space="preserve">oui </w:t>
      </w:r>
      <w:r>
        <w:t>(par défaut)</w:t>
      </w:r>
      <w:r>
        <w:rPr>
          <w:rStyle w:val="optioncarChar"/>
        </w:rPr>
        <w:t xml:space="preserve"> / non</w:t>
      </w:r>
    </w:p>
    <w:p w14:paraId="7D711ED2" w14:textId="77777777" w:rsidR="00772179" w:rsidRDefault="00000000">
      <w:pPr>
        <w:pStyle w:val="Author-eListParagraph"/>
        <w:numPr>
          <w:ilvl w:val="0"/>
          <w:numId w:val="1033"/>
        </w:numPr>
      </w:pPr>
      <w:r>
        <w:t xml:space="preserve">Profondeur d’ancrage : </w:t>
      </w:r>
      <w:r>
        <w:rPr>
          <w:rStyle w:val="optioncarChar"/>
        </w:rPr>
        <w:t>conforme aux recommandations de l’étude approuvée</w:t>
      </w:r>
      <w:r>
        <w:t xml:space="preserve"> (par défaut) </w:t>
      </w:r>
      <w:r>
        <w:rPr>
          <w:rStyle w:val="optioncarChar"/>
        </w:rPr>
        <w:t>/ 70 / 110 / *** mm.</w:t>
      </w:r>
    </w:p>
    <w:p w14:paraId="77B854E6" w14:textId="77777777" w:rsidR="00772179" w:rsidRDefault="00000000">
      <w:pPr>
        <w:pStyle w:val="Author-eListParagraph"/>
        <w:numPr>
          <w:ilvl w:val="0"/>
          <w:numId w:val="1033"/>
        </w:numPr>
      </w:pPr>
      <w:r>
        <w:t xml:space="preserve">Nombre par panneau : </w:t>
      </w:r>
      <w:r>
        <w:rPr>
          <w:rStyle w:val="optioncarChar"/>
        </w:rPr>
        <w:t>conforme aux recommandations de l’étude approuvée</w:t>
      </w:r>
      <w:r>
        <w:t xml:space="preserve"> (par défaut)</w:t>
      </w:r>
      <w:r>
        <w:rPr>
          <w:rStyle w:val="optioncarChar"/>
        </w:rPr>
        <w:t xml:space="preserve"> / 9 / 16 / *** par panneau</w:t>
      </w:r>
      <w:r>
        <w:t>.</w:t>
      </w:r>
    </w:p>
    <w:p w14:paraId="759DEA12" w14:textId="77777777" w:rsidR="00772179" w:rsidRDefault="00000000">
      <w:pPr>
        <w:pStyle w:val="Author-eListParagraph"/>
        <w:numPr>
          <w:ilvl w:val="0"/>
          <w:numId w:val="1033"/>
        </w:numPr>
      </w:pPr>
      <w:r>
        <w:t xml:space="preserve">Nombre par élément d’angle : </w:t>
      </w:r>
      <w:r>
        <w:rPr>
          <w:rStyle w:val="optioncarChar"/>
        </w:rPr>
        <w:t xml:space="preserve">conforme aux recommandations de l’étude approuvée </w:t>
      </w:r>
      <w:r>
        <w:t>(par défaut)</w:t>
      </w:r>
      <w:r>
        <w:rPr>
          <w:rStyle w:val="optioncarChar"/>
        </w:rPr>
        <w:t xml:space="preserve"> / 6 / 8 / *** par panneau.</w:t>
      </w:r>
    </w:p>
    <w:p w14:paraId="4629B1BF" w14:textId="77777777" w:rsidR="00772179" w:rsidRDefault="00000000">
      <w:pPr>
        <w:jc w:val="both"/>
      </w:pPr>
      <w:r>
        <w:rPr>
          <w:b/>
        </w:rPr>
        <w:t>Joint de finition du parement :</w:t>
      </w:r>
    </w:p>
    <w:p w14:paraId="4894B3F1" w14:textId="77777777" w:rsidR="00772179" w:rsidRDefault="00000000">
      <w:pPr>
        <w:jc w:val="both"/>
      </w:pPr>
      <w:r>
        <w:t>Le produit de jointoiement répond aux spécifications de la [NBN EN 998-2] et du [PTV 651] ou est dosé in situ.</w:t>
      </w:r>
    </w:p>
    <w:p w14:paraId="0BC8104D" w14:textId="77777777" w:rsidR="00772179" w:rsidRDefault="00000000">
      <w:pPr>
        <w:pStyle w:val="Author-eListParagraph"/>
        <w:numPr>
          <w:ilvl w:val="0"/>
          <w:numId w:val="1034"/>
        </w:numPr>
      </w:pPr>
      <w:r>
        <w:t>Type de joint de maçonnerie, le cas échéant :</w:t>
      </w:r>
      <w:r>
        <w:rPr>
          <w:rStyle w:val="optioncarChar"/>
        </w:rPr>
        <w:t> M5</w:t>
      </w:r>
      <w:r>
        <w:t> (par défaut)</w:t>
      </w:r>
      <w:r>
        <w:rPr>
          <w:rStyle w:val="optioncarChar"/>
        </w:rPr>
        <w:t> / M*** / Mortier dosé in situ</w:t>
      </w:r>
    </w:p>
    <w:p w14:paraId="15261518" w14:textId="77777777" w:rsidR="00772179" w:rsidRDefault="00000000">
      <w:pPr>
        <w:ind w:left="567"/>
        <w:jc w:val="both"/>
      </w:pPr>
      <w:r>
        <w:rPr>
          <w:b/>
        </w:rPr>
        <w:t>(soit par défaut)</w:t>
      </w:r>
    </w:p>
    <w:p w14:paraId="7103F941" w14:textId="77777777" w:rsidR="00772179" w:rsidRDefault="00000000">
      <w:pPr>
        <w:ind w:left="567"/>
        <w:jc w:val="both"/>
      </w:pPr>
      <w:r>
        <w:rPr>
          <w:rStyle w:val="soitChar"/>
          <w:u w:val="single"/>
        </w:rPr>
        <w:t>M5</w:t>
      </w:r>
      <w:r>
        <w:rPr>
          <w:rStyle w:val="soitChar"/>
        </w:rPr>
        <w:t> suivant la [NBN EN 998-2]</w:t>
      </w:r>
    </w:p>
    <w:p w14:paraId="407E3404" w14:textId="77777777" w:rsidR="00772179" w:rsidRDefault="00000000">
      <w:pPr>
        <w:ind w:left="567"/>
        <w:jc w:val="both"/>
      </w:pPr>
      <w:r>
        <w:rPr>
          <w:b/>
        </w:rPr>
        <w:t>(soit)</w:t>
      </w:r>
    </w:p>
    <w:p w14:paraId="449E4B9A" w14:textId="77777777" w:rsidR="00772179" w:rsidRDefault="00000000">
      <w:pPr>
        <w:ind w:left="567"/>
        <w:jc w:val="both"/>
      </w:pPr>
      <w:r>
        <w:rPr>
          <w:rStyle w:val="soitChar"/>
          <w:u w:val="single"/>
        </w:rPr>
        <w:t>M</w:t>
      </w:r>
      <w:r>
        <w:rPr>
          <w:rStyle w:val="optioncarChar"/>
          <w:u w:val="single"/>
        </w:rPr>
        <w:t>***</w:t>
      </w:r>
      <w:r>
        <w:rPr>
          <w:rStyle w:val="soitChar"/>
        </w:rPr>
        <w:t> suivant la [NBN EN 998-2]</w:t>
      </w:r>
    </w:p>
    <w:p w14:paraId="07C73E19" w14:textId="77777777" w:rsidR="00772179" w:rsidRDefault="00000000">
      <w:pPr>
        <w:ind w:left="567"/>
        <w:jc w:val="both"/>
      </w:pPr>
      <w:r>
        <w:rPr>
          <w:b/>
        </w:rPr>
        <w:t>(soit)</w:t>
      </w:r>
    </w:p>
    <w:p w14:paraId="01A5EED2" w14:textId="77777777" w:rsidR="00772179" w:rsidRDefault="00000000">
      <w:pPr>
        <w:ind w:left="567"/>
        <w:jc w:val="both"/>
      </w:pPr>
      <w:r>
        <w:rPr>
          <w:rStyle w:val="soitChar"/>
          <w:u w:val="single"/>
        </w:rPr>
        <w:lastRenderedPageBreak/>
        <w:t>Mortier dosé in situ</w:t>
      </w:r>
      <w:r>
        <w:rPr>
          <w:rStyle w:val="soitChar"/>
        </w:rPr>
        <w:t>, à composition prescrite (parts de ciment-chaux-sable) : </w:t>
      </w:r>
      <w:r>
        <w:rPr>
          <w:rStyle w:val="optioncarChar"/>
        </w:rPr>
        <w:t>1-1-6 </w:t>
      </w:r>
      <w:r>
        <w:t>(par défaut)</w:t>
      </w:r>
      <w:r>
        <w:rPr>
          <w:rStyle w:val="optioncarChar"/>
        </w:rPr>
        <w:t> / ***</w:t>
      </w:r>
    </w:p>
    <w:p w14:paraId="55C7A86F" w14:textId="77777777" w:rsidR="00772179" w:rsidRDefault="00000000">
      <w:pPr>
        <w:pStyle w:val="pheading"/>
      </w:pPr>
      <w:r>
        <w:t>- Finitions</w:t>
      </w:r>
    </w:p>
    <w:p w14:paraId="6795825D" w14:textId="77777777" w:rsidR="00772179" w:rsidRDefault="00000000">
      <w:pPr>
        <w:jc w:val="both"/>
      </w:pPr>
      <w:r>
        <w:rPr>
          <w:b/>
        </w:rPr>
        <w:t>Plaquettes en terre cuite :</w:t>
      </w:r>
    </w:p>
    <w:p w14:paraId="6DB71F7F" w14:textId="77777777" w:rsidR="00772179" w:rsidRDefault="00000000">
      <w:pPr>
        <w:pStyle w:val="Author-eListParagraph"/>
        <w:numPr>
          <w:ilvl w:val="0"/>
          <w:numId w:val="1035"/>
        </w:numPr>
      </w:pPr>
      <w:r>
        <w:t xml:space="preserve">Texture de surface : </w:t>
      </w:r>
      <w:r>
        <w:rPr>
          <w:rStyle w:val="optioncarChar"/>
        </w:rPr>
        <w:t>lisse / écorce / arrachée / sablée / non sablée / rugueuse / ***</w:t>
      </w:r>
      <w:r>
        <w:t>.</w:t>
      </w:r>
    </w:p>
    <w:p w14:paraId="254032B1" w14:textId="77777777" w:rsidR="00772179" w:rsidRDefault="00000000">
      <w:pPr>
        <w:pStyle w:val="Author-eListParagraph"/>
        <w:numPr>
          <w:ilvl w:val="0"/>
          <w:numId w:val="1035"/>
        </w:numPr>
      </w:pPr>
      <w:r>
        <w:t>Teinte :</w:t>
      </w:r>
      <w:r>
        <w:rPr>
          <w:rStyle w:val="optioncarChar"/>
        </w:rPr>
        <w:t xml:space="preserve"> rose / rouge clair / rouge brun / rouge foncé / jaune / noire / nuancé / ***</w:t>
      </w:r>
      <w:r>
        <w:t> (description approximative). La couleur est homogène dans la masse.</w:t>
      </w:r>
    </w:p>
    <w:p w14:paraId="2AE564FA" w14:textId="77777777" w:rsidR="00772179" w:rsidRDefault="00000000">
      <w:pPr>
        <w:pStyle w:val="Author-eListParagraph"/>
        <w:numPr>
          <w:ilvl w:val="0"/>
          <w:numId w:val="1035"/>
        </w:numPr>
      </w:pPr>
      <w:r>
        <w:t xml:space="preserve">Teinte de la surface projetée (homogénéité de teinte entre les plaquettes) : </w:t>
      </w:r>
      <w:r>
        <w:rPr>
          <w:rStyle w:val="optioncarChar"/>
        </w:rPr>
        <w:t xml:space="preserve">couleur homogène </w:t>
      </w:r>
      <w:r>
        <w:t xml:space="preserve">(par défaut) </w:t>
      </w:r>
      <w:r>
        <w:rPr>
          <w:rStyle w:val="optioncarChar"/>
        </w:rPr>
        <w:t>/ panaché de couleurs / ***.</w:t>
      </w:r>
    </w:p>
    <w:p w14:paraId="3D5F98E5" w14:textId="77777777" w:rsidR="00772179" w:rsidRDefault="00000000">
      <w:pPr>
        <w:pStyle w:val="Author-eListParagraph"/>
        <w:numPr>
          <w:ilvl w:val="0"/>
          <w:numId w:val="1035"/>
        </w:numPr>
      </w:pPr>
      <w:r>
        <w:t xml:space="preserve">Appareillage de la maçonnerie : </w:t>
      </w:r>
      <w:r>
        <w:rPr>
          <w:rStyle w:val="optioncarChar"/>
        </w:rPr>
        <w:t>demi-brique</w:t>
      </w:r>
      <w:r>
        <w:t xml:space="preserve"> (par défaut)</w:t>
      </w:r>
      <w:r>
        <w:rPr>
          <w:rStyle w:val="optioncarChar"/>
        </w:rPr>
        <w:t xml:space="preserve"> / sauvage soft / aligné / ***</w:t>
      </w:r>
      <w:r>
        <w:t>.</w:t>
      </w:r>
    </w:p>
    <w:p w14:paraId="17796D60" w14:textId="77777777" w:rsidR="00772179" w:rsidRDefault="00000000">
      <w:pPr>
        <w:jc w:val="both"/>
      </w:pPr>
      <w:r>
        <w:rPr>
          <w:b/>
        </w:rPr>
        <w:t>Joints :</w:t>
      </w:r>
    </w:p>
    <w:p w14:paraId="2865A9BC" w14:textId="77777777" w:rsidR="00772179" w:rsidRDefault="00000000">
      <w:pPr>
        <w:pStyle w:val="Author-eListParagraph"/>
        <w:numPr>
          <w:ilvl w:val="0"/>
          <w:numId w:val="1036"/>
        </w:numPr>
        <w:jc w:val="both"/>
      </w:pPr>
      <w:r>
        <w:t xml:space="preserve">Teinte du mortier de jointoiement : </w:t>
      </w:r>
      <w:r>
        <w:rPr>
          <w:rStyle w:val="optioncarChar"/>
        </w:rPr>
        <w:t xml:space="preserve">teinte se rapprochant de celle des plaquettes </w:t>
      </w:r>
      <w:r>
        <w:t>(par défaut)</w:t>
      </w:r>
      <w:r>
        <w:rPr>
          <w:rStyle w:val="optioncarChar"/>
        </w:rPr>
        <w:t xml:space="preserve"> / gris clair / gris sombre / ***.</w:t>
      </w:r>
    </w:p>
    <w:p w14:paraId="5F2D4B11" w14:textId="77777777" w:rsidR="00772179" w:rsidRDefault="00000000">
      <w:pPr>
        <w:pStyle w:val="pheading"/>
      </w:pPr>
      <w:r>
        <w:t>EXÉCUTION / MISE EN ŒUVRE</w:t>
      </w:r>
    </w:p>
    <w:p w14:paraId="67A5A6BC" w14:textId="77777777" w:rsidR="00772179" w:rsidRDefault="00000000">
      <w:pPr>
        <w:pStyle w:val="pheading"/>
      </w:pPr>
      <w:r>
        <w:t>- Prescriptions générales</w:t>
      </w:r>
    </w:p>
    <w:p w14:paraId="58FA7926" w14:textId="77777777" w:rsidR="00772179" w:rsidRDefault="00000000">
      <w:pPr>
        <w:jc w:val="both"/>
      </w:pPr>
      <w:r>
        <w:t>L’entrepreneur soumet le descriptif du système et sa configuration (nombre de fixations, calepinage, etc…) à la direction du chantier pour approbation. Ce descriptif est établi sur base de l’étude du fabricant prescrite ci-avant. La mise en œuvre et la réalisation des raccords aux ouvrages existants suivent les recommandations de la [NIT 279] et la documentation technique accompagnant le système.</w:t>
      </w:r>
    </w:p>
    <w:p w14:paraId="1C069481" w14:textId="77777777" w:rsidR="00772179" w:rsidRDefault="00000000">
      <w:pPr>
        <w:jc w:val="both"/>
      </w:pPr>
      <w:r>
        <w:t>Quelle que soit la technique de pose, les joints de structure ou de gros œuvre sont obligatoirement répercutés, sans décalage, dans l’ouvrage de parachèvement. Des joints de fractionnement sont projetés et réalisés conformément à la documentation technique accompagnant le système.</w:t>
      </w:r>
    </w:p>
    <w:p w14:paraId="437BC958" w14:textId="77777777" w:rsidR="00772179" w:rsidRDefault="00000000">
      <w:pPr>
        <w:jc w:val="both"/>
      </w:pPr>
      <w:r>
        <w:t xml:space="preserve"> Pendant la période de séchage, les ouvrages sont protégés contre le rayonnement solaire direct, l'humidité anormale, les températures élevées et le gel.</w:t>
      </w:r>
    </w:p>
    <w:p w14:paraId="7EE7FC72" w14:textId="77777777" w:rsidR="00772179" w:rsidRDefault="00000000">
      <w:pPr>
        <w:jc w:val="both"/>
      </w:pPr>
      <w:r>
        <w:t>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 des délais plus longs sont requis.</w:t>
      </w:r>
    </w:p>
    <w:p w14:paraId="24CCAC8F" w14:textId="77777777" w:rsidR="00772179" w:rsidRDefault="00000000">
      <w:pPr>
        <w:jc w:val="both"/>
      </w:pPr>
      <w:r>
        <w:rPr>
          <w:b/>
        </w:rPr>
        <w:t>Profilé de départ en aluminium :</w:t>
      </w:r>
    </w:p>
    <w:p w14:paraId="5B04A943" w14:textId="77777777" w:rsidR="00772179" w:rsidRDefault="00000000">
      <w:pPr>
        <w:jc w:val="both"/>
      </w:pPr>
      <w:r>
        <w:t xml:space="preserve">La pose débute par la mise en œuvre de profilés de départ en aluminium servant de casse-goutte et à aligner les panneaux du système de vêture isolante. Ils sont fixés au support, au-dessus du niveau du sol (min. 5 cm), à l'aide de vis et de chevilles espacées d’une distance ≤ </w:t>
      </w:r>
      <w:r>
        <w:rPr>
          <w:rStyle w:val="optioncarChar"/>
        </w:rPr>
        <w:t>60</w:t>
      </w:r>
      <w:r>
        <w:t xml:space="preserve"> (par défaut)</w:t>
      </w:r>
      <w:r>
        <w:rPr>
          <w:rStyle w:val="optioncarChar"/>
        </w:rPr>
        <w:t xml:space="preserve"> / ***</w:t>
      </w:r>
      <w:r>
        <w:t xml:space="preserve"> cm</w:t>
      </w:r>
    </w:p>
    <w:p w14:paraId="5CDE5BD6" w14:textId="77777777" w:rsidR="00772179" w:rsidRDefault="00000000">
      <w:pPr>
        <w:jc w:val="both"/>
      </w:pPr>
      <w:r>
        <w:t>Avant la pose des panneaux, deux cordons de mastic d’étanchéité ou de mousses PUR sont placés sur les profilés de départ.</w:t>
      </w:r>
    </w:p>
    <w:p w14:paraId="5975FB2E" w14:textId="77777777" w:rsidR="00772179" w:rsidRDefault="00000000">
      <w:pPr>
        <w:jc w:val="both"/>
      </w:pPr>
      <w:r>
        <w:rPr>
          <w:b/>
        </w:rPr>
        <w:t>Pose des panneaux :</w:t>
      </w:r>
    </w:p>
    <w:p w14:paraId="1E31F6C5" w14:textId="77777777" w:rsidR="00772179" w:rsidRDefault="00000000">
      <w:pPr>
        <w:jc w:val="both"/>
      </w:pPr>
      <w:r>
        <w:t>Afin d’obtenir une couche d’isolation continue, les panneaux sont posés jointifs à joints alternés et un harpage est réalisé dans les angles. Les joints entre panneaux ne coïncident pas avec une zone de concentration de contraintes (angle de baie par exemple).</w:t>
      </w:r>
    </w:p>
    <w:p w14:paraId="7DD49BFC" w14:textId="77777777" w:rsidR="00772179" w:rsidRDefault="00000000">
      <w:pPr>
        <w:jc w:val="both"/>
      </w:pPr>
      <w:r>
        <w:t xml:space="preserve">Les angles et les retours de baies sont réalisés à l’aide </w:t>
      </w:r>
      <w:r>
        <w:rPr>
          <w:rStyle w:val="optioncarChar"/>
        </w:rPr>
        <w:t>d’élément d’angle préfabriqués isolés</w:t>
      </w:r>
      <w:r>
        <w:t xml:space="preserve"> (par défaut) </w:t>
      </w:r>
      <w:r>
        <w:rPr>
          <w:rStyle w:val="optioncarChar"/>
        </w:rPr>
        <w:t>/ de panneaux isolants et de briquettes spéciales d’angle collées in-situ / ***</w:t>
      </w:r>
      <w:r>
        <w:t xml:space="preserve"> issus du même fabricant.</w:t>
      </w:r>
    </w:p>
    <w:p w14:paraId="60710A21" w14:textId="77777777" w:rsidR="00772179" w:rsidRDefault="00000000">
      <w:pPr>
        <w:jc w:val="both"/>
      </w:pPr>
      <w:r>
        <w:t xml:space="preserve">Les linteaux de baies sont exécutés en briques </w:t>
      </w:r>
      <w:r>
        <w:rPr>
          <w:rStyle w:val="optioncarChar"/>
        </w:rPr>
        <w:t xml:space="preserve">sur chant </w:t>
      </w:r>
      <w:r>
        <w:t xml:space="preserve">(par défaut) </w:t>
      </w:r>
      <w:r>
        <w:rPr>
          <w:rStyle w:val="optioncarChar"/>
        </w:rPr>
        <w:t>/ posées horizontalement</w:t>
      </w:r>
      <w:r>
        <w:t xml:space="preserve"> et sont réalisés à l’aide </w:t>
      </w:r>
      <w:r>
        <w:rPr>
          <w:rStyle w:val="optioncarChar"/>
        </w:rPr>
        <w:t xml:space="preserve">d’élément de linteau préfabriqués isolés </w:t>
      </w:r>
      <w:r>
        <w:t>(par défaut)</w:t>
      </w:r>
      <w:r>
        <w:rPr>
          <w:rStyle w:val="optioncarChar"/>
        </w:rPr>
        <w:t xml:space="preserve"> / de panneaux isolants et de briquettes spéciales d’angle collées in-situ / ***</w:t>
      </w:r>
      <w:r>
        <w:t xml:space="preserve"> issus du même fabricant.</w:t>
      </w:r>
    </w:p>
    <w:p w14:paraId="6B9E904B" w14:textId="77777777" w:rsidR="00772179" w:rsidRDefault="00000000">
      <w:pPr>
        <w:jc w:val="both"/>
      </w:pPr>
      <w:r>
        <w:rPr>
          <w:b/>
        </w:rPr>
        <w:t>Fixations :</w:t>
      </w:r>
    </w:p>
    <w:p w14:paraId="3D127433" w14:textId="77777777" w:rsidR="00772179" w:rsidRDefault="00000000">
      <w:pPr>
        <w:jc w:val="both"/>
      </w:pPr>
      <w:r>
        <w:lastRenderedPageBreak/>
        <w:t>Les panneaux sont fixés mécaniquement au support et le percement du panneau et du support est réalisé en une seule opération.</w:t>
      </w:r>
    </w:p>
    <w:p w14:paraId="08009230" w14:textId="77777777" w:rsidR="00772179" w:rsidRDefault="00000000">
      <w:pPr>
        <w:jc w:val="both"/>
      </w:pPr>
      <w:r>
        <w:t>Les fixations sont placées dans les joints du parement des panneaux et le nombre de fixations requises est précisé dans l’étude du fabricant prescrite ci-avant.</w:t>
      </w:r>
    </w:p>
    <w:p w14:paraId="18F4DDC2" w14:textId="77777777" w:rsidR="00772179" w:rsidRDefault="00000000">
      <w:pPr>
        <w:jc w:val="both"/>
      </w:pPr>
      <w:r>
        <w:rPr>
          <w:b/>
        </w:rPr>
        <w:t>Raccord entre panneaux :</w:t>
      </w:r>
    </w:p>
    <w:p w14:paraId="04EC164D" w14:textId="77777777" w:rsidR="00772179" w:rsidRDefault="00000000">
      <w:pPr>
        <w:jc w:val="both"/>
      </w:pPr>
      <w:r>
        <w:t>Afin de garantir la continuité de l’isolation thermique et l'étanchéité du système, il est nécessaire de combler soigneusement les interstices (chambre d'injection) entre les panneaux adjacents par remplissage avec d’une mousse PUR issue du même fabricant. (T° min. d'application et du support : + 5 °C).</w:t>
      </w:r>
    </w:p>
    <w:p w14:paraId="70202BA3" w14:textId="77777777" w:rsidR="00772179" w:rsidRDefault="00000000">
      <w:pPr>
        <w:jc w:val="both"/>
      </w:pPr>
      <w:r>
        <w:t>Les réservations prévues dans les panneaux sont ensuite comblées à l’aide d'un des mortiers-colles ou de mousse PUR, préparés selon les prescriptions du fabricant, et de plaquettes en terre cuite du même type que celles formant le parement de la vêture afin de recréer l‘appareillage. Dans le cas d'éléments recoupés, la chambre d'injection est recréée à l'aide d'un couteau spécial ou d’un cutter.</w:t>
      </w:r>
    </w:p>
    <w:p w14:paraId="1D36F7BD" w14:textId="77777777" w:rsidR="00772179" w:rsidRDefault="00000000">
      <w:pPr>
        <w:jc w:val="both"/>
      </w:pPr>
      <w:r>
        <w:rPr>
          <w:b/>
        </w:rPr>
        <w:t>Etanchéité :</w:t>
      </w:r>
    </w:p>
    <w:p w14:paraId="60CADA4F" w14:textId="77777777" w:rsidR="00772179" w:rsidRDefault="00000000">
      <w:pPr>
        <w:jc w:val="both"/>
      </w:pPr>
      <w:r>
        <w:t>La jonction entre les panneaux et les menuiseries, appuis de fenêtres et autres saillies, est rendue soigneusement étanche. Pour ce faire, un cordon pré-comprimé en mousse de polyuréthane imprégnée d’un produit à base de paraffine chlorée et de néoprène est placé en fond de joint et est recouvert d’un mastic élastomère d'étanchéité.</w:t>
      </w:r>
    </w:p>
    <w:p w14:paraId="612601EE" w14:textId="77777777" w:rsidR="00772179" w:rsidRDefault="00000000">
      <w:pPr>
        <w:jc w:val="both"/>
      </w:pPr>
      <w:r>
        <w:rPr>
          <w:b/>
        </w:rPr>
        <w:t>Jointoiement :</w:t>
      </w:r>
    </w:p>
    <w:p w14:paraId="0A25039F" w14:textId="77777777" w:rsidR="00772179" w:rsidRDefault="00000000">
      <w:pPr>
        <w:jc w:val="both"/>
      </w:pPr>
      <w:r>
        <w:t xml:space="preserve">Le rejointoiement débute au plus tôt </w:t>
      </w:r>
      <w:r>
        <w:rPr>
          <w:rStyle w:val="optioncarChar"/>
        </w:rPr>
        <w:t>3</w:t>
      </w:r>
      <w:r>
        <w:t xml:space="preserve"> (par défaut)</w:t>
      </w:r>
      <w:r>
        <w:rPr>
          <w:rStyle w:val="optioncarChar"/>
        </w:rPr>
        <w:t xml:space="preserve"> / ***</w:t>
      </w:r>
      <w:r>
        <w:t xml:space="preserve"> jours après la pose des panneaux,</w:t>
      </w:r>
    </w:p>
    <w:p w14:paraId="49089D6A" w14:textId="77777777" w:rsidR="00772179" w:rsidRDefault="00000000">
      <w:pPr>
        <w:jc w:val="both"/>
      </w:pPr>
      <w:r>
        <w:rPr>
          <w:b/>
        </w:rPr>
        <w:t>Joint de désolidarisation :</w:t>
      </w:r>
    </w:p>
    <w:p w14:paraId="6A8BBD41" w14:textId="77777777" w:rsidR="00772179" w:rsidRDefault="00000000">
      <w:pPr>
        <w:jc w:val="both"/>
      </w:pPr>
      <w:r>
        <w:t>La jonction entre le système de vêture isolante et les points durs est réalisée à l'aide d'un joint souple étanche. Pour ce faire, un cordon pré-comprimé en mousse de polyuréthane imprégnée d’un produit à base de paraffine chlorée et de néoprène est placé en fond de joint et est recouvert d’un mastic élastomère d'étanchéité.</w:t>
      </w:r>
    </w:p>
    <w:p w14:paraId="0DE846F9" w14:textId="77777777" w:rsidR="00772179" w:rsidRDefault="00000000">
      <w:pPr>
        <w:jc w:val="both"/>
      </w:pPr>
      <w:r>
        <w:rPr>
          <w:b/>
        </w:rPr>
        <w:t>Joint de fractionnement :</w:t>
      </w:r>
    </w:p>
    <w:p w14:paraId="22F78890" w14:textId="77777777" w:rsidR="00772179" w:rsidRDefault="00000000">
      <w:pPr>
        <w:jc w:val="both"/>
      </w:pPr>
      <w:r>
        <w:t>Des joints de fractionnement sont prévus afin de limiter les surfaces trop importantes, à raison :</w:t>
      </w:r>
    </w:p>
    <w:p w14:paraId="0D3EC871" w14:textId="77777777" w:rsidR="00772179" w:rsidRDefault="00000000">
      <w:pPr>
        <w:pStyle w:val="Author-eListParagraph"/>
        <w:numPr>
          <w:ilvl w:val="0"/>
          <w:numId w:val="1037"/>
        </w:numPr>
        <w:jc w:val="both"/>
      </w:pPr>
      <w:r>
        <w:t xml:space="preserve">D’un joint vertical tous les </w:t>
      </w:r>
      <w:r>
        <w:rPr>
          <w:rStyle w:val="optioncarChar"/>
        </w:rPr>
        <w:t xml:space="preserve">15 </w:t>
      </w:r>
      <w:r>
        <w:t>(par défaut)</w:t>
      </w:r>
      <w:r>
        <w:rPr>
          <w:rStyle w:val="optioncarChar"/>
        </w:rPr>
        <w:t xml:space="preserve"> / ***</w:t>
      </w:r>
      <w:r>
        <w:t xml:space="preserve"> m.</w:t>
      </w:r>
    </w:p>
    <w:p w14:paraId="3C9C5F82" w14:textId="77777777" w:rsidR="00772179" w:rsidRDefault="00000000">
      <w:pPr>
        <w:pStyle w:val="Author-eListParagraph"/>
        <w:numPr>
          <w:ilvl w:val="0"/>
          <w:numId w:val="1037"/>
        </w:numPr>
        <w:jc w:val="both"/>
      </w:pPr>
      <w:r>
        <w:t xml:space="preserve">D’un joint horizontal tous les </w:t>
      </w:r>
      <w:r>
        <w:rPr>
          <w:rStyle w:val="optioncarChar"/>
        </w:rPr>
        <w:t xml:space="preserve">8 </w:t>
      </w:r>
      <w:r>
        <w:t>(par défaut)</w:t>
      </w:r>
      <w:r>
        <w:rPr>
          <w:rStyle w:val="optioncarChar"/>
        </w:rPr>
        <w:t xml:space="preserve"> / ***</w:t>
      </w:r>
      <w:r>
        <w:t xml:space="preserve"> m.</w:t>
      </w:r>
    </w:p>
    <w:p w14:paraId="5608CA81" w14:textId="77777777" w:rsidR="00772179" w:rsidRDefault="00000000">
      <w:pPr>
        <w:pStyle w:val="pheading"/>
      </w:pPr>
      <w:r>
        <w:t>- Échantillons</w:t>
      </w:r>
    </w:p>
    <w:p w14:paraId="2A4D8D42" w14:textId="77777777" w:rsidR="00772179" w:rsidRDefault="00000000">
      <w:pPr>
        <w:pStyle w:val="Author-eListParagraph"/>
        <w:numPr>
          <w:ilvl w:val="0"/>
          <w:numId w:val="1038"/>
        </w:numPr>
        <w:jc w:val="both"/>
      </w:pPr>
      <w:r>
        <w:t xml:space="preserve">Afin de déterminer le choix définitif des plaquettes de parement, un ou plusieurs échantillons de +/- 1 m² (avec un maximum de </w:t>
      </w:r>
      <w:r>
        <w:rPr>
          <w:rStyle w:val="optioncarChar"/>
        </w:rPr>
        <w:t xml:space="preserve">2 </w:t>
      </w:r>
      <w:r>
        <w:t>(par défaut)</w:t>
      </w:r>
      <w:r>
        <w:rPr>
          <w:rStyle w:val="optioncarChar"/>
        </w:rPr>
        <w:t xml:space="preserve"> / 3 / 5 / ***</w:t>
      </w:r>
      <w:r>
        <w:t xml:space="preserve"> échantillons à réaliser au total) sont confectionnés à la demande de la direction du chantier. Les frais inhérents à la confection et à la démolition de ces échantillons sont à charge de l'entreprise.</w:t>
      </w:r>
    </w:p>
    <w:p w14:paraId="7C30E102" w14:textId="77777777" w:rsidR="00772179" w:rsidRDefault="00000000">
      <w:pPr>
        <w:pStyle w:val="Author-eListParagraph"/>
        <w:numPr>
          <w:ilvl w:val="0"/>
          <w:numId w:val="1038"/>
        </w:numPr>
        <w:jc w:val="both"/>
      </w:pPr>
      <w:r>
        <w:t>La couleur du mastic d’étanchéité et de désolidarisation est soumise à l’approbation de la direction du chantier en réalisant un essai d’application sur un mètre de longueur.</w:t>
      </w:r>
    </w:p>
    <w:p w14:paraId="7A35073A" w14:textId="77777777" w:rsidR="00772179" w:rsidRDefault="00000000">
      <w:pPr>
        <w:pStyle w:val="pheading"/>
      </w:pPr>
      <w:r>
        <w:t>CONTRÔLES PARTICULIERS</w:t>
      </w:r>
    </w:p>
    <w:p w14:paraId="5F6345DD" w14:textId="77777777" w:rsidR="00772179" w:rsidRDefault="00000000">
      <w:pPr>
        <w:jc w:val="both"/>
      </w:pPr>
      <w:r>
        <w:rPr>
          <w:b/>
        </w:rPr>
        <w:t>Contrôle du support (couche de fixation) avant mise en œuvre :</w:t>
      </w:r>
    </w:p>
    <w:p w14:paraId="7E7C0A9F" w14:textId="77777777" w:rsidR="00772179" w:rsidRDefault="00000000">
      <w:pPr>
        <w:pStyle w:val="Author-eListParagraph"/>
        <w:numPr>
          <w:ilvl w:val="0"/>
          <w:numId w:val="1039"/>
        </w:numPr>
      </w:pPr>
      <w:r>
        <w:t>Contrôle de la présence d’une humidification anormale.</w:t>
      </w:r>
    </w:p>
    <w:p w14:paraId="77B05FB5" w14:textId="77777777" w:rsidR="00772179" w:rsidRDefault="00000000">
      <w:pPr>
        <w:pStyle w:val="Author-eListParagraph"/>
        <w:numPr>
          <w:ilvl w:val="0"/>
          <w:numId w:val="1039"/>
        </w:numPr>
      </w:pPr>
      <w:r>
        <w:t>Contrôle visuel de l’état de la paroi (fissures, etc.).</w:t>
      </w:r>
    </w:p>
    <w:p w14:paraId="44549CF6" w14:textId="77777777" w:rsidR="00772179" w:rsidRDefault="00000000">
      <w:pPr>
        <w:pStyle w:val="Author-eListParagraph"/>
        <w:numPr>
          <w:ilvl w:val="0"/>
          <w:numId w:val="1039"/>
        </w:numPr>
      </w:pPr>
      <w:r>
        <w:t>Vérification des tolérances du support : critères voir [Buildwise Article Dossier (2015/4.15)]</w:t>
      </w:r>
    </w:p>
    <w:p w14:paraId="7D166D18" w14:textId="77777777" w:rsidR="00772179" w:rsidRDefault="00000000">
      <w:pPr>
        <w:pStyle w:val="Author-eListParagraph"/>
        <w:numPr>
          <w:ilvl w:val="0"/>
          <w:numId w:val="1039"/>
        </w:numPr>
      </w:pPr>
      <w:r>
        <w:t xml:space="preserve">Contrôle de la présence d’une finition sur le support : </w:t>
      </w:r>
      <w:r>
        <w:rPr>
          <w:rStyle w:val="optioncarChar"/>
        </w:rPr>
        <w:t>rien / peinture / traitement de surface répulsif à l’eau / enduit / produit de décoffrage / ***.</w:t>
      </w:r>
    </w:p>
    <w:p w14:paraId="606428DA" w14:textId="77777777" w:rsidR="00772179" w:rsidRDefault="00000000">
      <w:pPr>
        <w:pStyle w:val="Author-eListParagraph"/>
        <w:numPr>
          <w:ilvl w:val="0"/>
          <w:numId w:val="1039"/>
        </w:numPr>
      </w:pPr>
      <w:r>
        <w:t xml:space="preserve">Eventuelle réalisation (à charge </w:t>
      </w:r>
      <w:r>
        <w:rPr>
          <w:rStyle w:val="optioncarChar"/>
        </w:rPr>
        <w:t>du maître d’ouvrage / de l’entrepreneur</w:t>
      </w:r>
      <w:r>
        <w:t xml:space="preserve">) d’une évaluation mécanique de contrôle de l’adhérence d’une couche d’enduit existante : </w:t>
      </w:r>
      <w:r>
        <w:rPr>
          <w:rStyle w:val="optioncarChar"/>
        </w:rPr>
        <w:t>non</w:t>
      </w:r>
      <w:r>
        <w:t xml:space="preserve"> (par défaut)</w:t>
      </w:r>
      <w:r>
        <w:rPr>
          <w:rStyle w:val="optioncarChar"/>
        </w:rPr>
        <w:t xml:space="preserve"> / oui</w:t>
      </w:r>
      <w:r>
        <w:t>.</w:t>
      </w:r>
    </w:p>
    <w:p w14:paraId="7D802C33" w14:textId="77777777" w:rsidR="00772179" w:rsidRDefault="00000000">
      <w:pPr>
        <w:jc w:val="both"/>
      </w:pPr>
      <w:r>
        <w:rPr>
          <w:b/>
        </w:rPr>
        <w:t>Vérification éventuelle de la résistance mécanique des moyens de fixation in situ :</w:t>
      </w:r>
    </w:p>
    <w:p w14:paraId="392CAE24" w14:textId="77777777" w:rsidR="00772179" w:rsidRDefault="00000000">
      <w:pPr>
        <w:pStyle w:val="Author-eListParagraph"/>
        <w:numPr>
          <w:ilvl w:val="0"/>
          <w:numId w:val="1040"/>
        </w:numPr>
      </w:pPr>
      <w:r>
        <w:lastRenderedPageBreak/>
        <w:t>Lorsque l’adhérence de la colle est contrôlée in situ (essai destructif), elle est basée sur les principes des EAD précités.</w:t>
      </w:r>
    </w:p>
    <w:p w14:paraId="0221809C" w14:textId="77777777" w:rsidR="00772179" w:rsidRDefault="00000000">
      <w:pPr>
        <w:pStyle w:val="Author-eListParagraph"/>
        <w:numPr>
          <w:ilvl w:val="0"/>
          <w:numId w:val="1040"/>
        </w:numPr>
      </w:pPr>
      <w:r>
        <w:t>Lorsque la résistance à l’arrachement de la fixation mécanique hors du support est vérifiée, la base de référence est [EOTA TR051].</w:t>
      </w:r>
    </w:p>
    <w:p w14:paraId="5A4F98DE" w14:textId="77777777" w:rsidR="00772179" w:rsidRDefault="00000000">
      <w:pPr>
        <w:jc w:val="both"/>
      </w:pPr>
      <w:r>
        <w:rPr>
          <w:b/>
        </w:rPr>
        <w:t>Eventuel contrôle des tolérances en cas d’imperfections constatés après mise en œuvre :</w:t>
      </w:r>
    </w:p>
    <w:p w14:paraId="3AA85F55" w14:textId="77777777" w:rsidR="00772179" w:rsidRDefault="00000000">
      <w:pPr>
        <w:pStyle w:val="Author-eListParagraph"/>
        <w:numPr>
          <w:ilvl w:val="0"/>
          <w:numId w:val="1041"/>
        </w:numPr>
        <w:jc w:val="both"/>
      </w:pPr>
      <w:r>
        <w:t>Vérification des tolérances du système : critères voir [Buildwise Article Dossier (2015/4.15)]</w:t>
      </w:r>
    </w:p>
    <w:p w14:paraId="685E12D3" w14:textId="77777777" w:rsidR="00772179" w:rsidRDefault="00000000">
      <w:pPr>
        <w:pStyle w:val="pheading"/>
      </w:pPr>
      <w:r>
        <w:t>MESURAGE</w:t>
      </w:r>
    </w:p>
    <w:p w14:paraId="7C050569" w14:textId="77777777" w:rsidR="00772179" w:rsidRDefault="00000000">
      <w:pPr>
        <w:pStyle w:val="pheading"/>
      </w:pPr>
      <w:r>
        <w:t>- unité de mesure:</w:t>
      </w:r>
    </w:p>
    <w:p w14:paraId="67AD8866" w14:textId="77777777" w:rsidR="00772179" w:rsidRDefault="00000000">
      <w:r>
        <w:rPr>
          <w:rStyle w:val="optioncarChar"/>
        </w:rPr>
        <w:t xml:space="preserve">m² </w:t>
      </w:r>
      <w:r>
        <w:t>(par défaut)</w:t>
      </w:r>
      <w:r>
        <w:rPr>
          <w:rStyle w:val="optioncarChar"/>
        </w:rPr>
        <w:t xml:space="preserve"> / m</w:t>
      </w:r>
    </w:p>
    <w:p w14:paraId="0756A99E" w14:textId="77777777" w:rsidR="00772179" w:rsidRDefault="00000000">
      <w:r>
        <w:rPr>
          <w:b/>
        </w:rPr>
        <w:t>(soit par défaut)</w:t>
      </w:r>
      <w:r>
        <w:br/>
      </w:r>
      <w:r>
        <w:rPr>
          <w:rStyle w:val="soitChar"/>
        </w:rPr>
        <w:t>1. m²</w:t>
      </w:r>
      <w:r>
        <w:br/>
      </w:r>
      <w:r>
        <w:rPr>
          <w:b/>
        </w:rPr>
        <w:t>(soit)</w:t>
      </w:r>
      <w:r>
        <w:br/>
      </w:r>
      <w:r>
        <w:rPr>
          <w:rStyle w:val="soitChar"/>
        </w:rPr>
        <w:t>2. m</w:t>
      </w:r>
    </w:p>
    <w:p w14:paraId="22B5CFD7" w14:textId="77777777" w:rsidR="00772179" w:rsidRDefault="00000000">
      <w:pPr>
        <w:pStyle w:val="pheading"/>
      </w:pPr>
      <w:r>
        <w:t>- code de mesurage:</w:t>
      </w:r>
    </w:p>
    <w:p w14:paraId="33F342D9" w14:textId="77777777" w:rsidR="00772179" w:rsidRDefault="00000000">
      <w:pPr>
        <w:jc w:val="both"/>
      </w:pPr>
      <w:r>
        <w:rPr>
          <w:rStyle w:val="optioncarChar"/>
        </w:rPr>
        <w:t>Surface nette</w:t>
      </w:r>
      <w:r>
        <w:t xml:space="preserve"> (par défaut) </w:t>
      </w:r>
      <w:r>
        <w:rPr>
          <w:rStyle w:val="optioncarChar"/>
        </w:rPr>
        <w:t>/ Longueur nette</w:t>
      </w:r>
    </w:p>
    <w:p w14:paraId="16584D36" w14:textId="77777777" w:rsidR="00772179" w:rsidRDefault="00000000">
      <w:pPr>
        <w:jc w:val="both"/>
      </w:pPr>
      <w:r>
        <w:rPr>
          <w:b/>
        </w:rPr>
        <w:t>(soit par défaut)</w:t>
      </w:r>
    </w:p>
    <w:p w14:paraId="5496C3F1" w14:textId="77777777" w:rsidR="00772179" w:rsidRDefault="00000000">
      <w:pPr>
        <w:jc w:val="both"/>
      </w:pPr>
      <w:r>
        <w:rPr>
          <w:rStyle w:val="soitChar"/>
        </w:rPr>
        <w:t xml:space="preserve">1. </w:t>
      </w:r>
      <w:r>
        <w:rPr>
          <w:rStyle w:val="soitChar"/>
          <w:u w:val="single"/>
        </w:rPr>
        <w:t>Surface nette</w:t>
      </w:r>
      <w:r>
        <w:rPr>
          <w:rStyle w:val="soitChar"/>
        </w:rPr>
        <w:t xml:space="preserve"> du système à poser (mesurée dans le plan extérieur des plaquettes). Les ouvertures et les interruptions ≥ 0,50 m² sont déduites. Les profils de départ, les divers joints décrits et les études prescrites sont compris dans le prix unitaire.</w:t>
      </w:r>
    </w:p>
    <w:p w14:paraId="36E7DEA6" w14:textId="77777777" w:rsidR="00772179" w:rsidRDefault="00000000">
      <w:pPr>
        <w:jc w:val="both"/>
      </w:pPr>
      <w:r>
        <w:rPr>
          <w:b/>
        </w:rPr>
        <w:t>(soit)</w:t>
      </w:r>
    </w:p>
    <w:p w14:paraId="785567EF" w14:textId="77777777" w:rsidR="00772179" w:rsidRDefault="00000000">
      <w:pPr>
        <w:jc w:val="both"/>
      </w:pPr>
      <w:r>
        <w:rPr>
          <w:rStyle w:val="soitChar"/>
        </w:rPr>
        <w:t xml:space="preserve">2. </w:t>
      </w:r>
      <w:r>
        <w:rPr>
          <w:rStyle w:val="soitChar"/>
          <w:u w:val="single"/>
        </w:rPr>
        <w:t>Longueur nette</w:t>
      </w:r>
      <w:r>
        <w:rPr>
          <w:rStyle w:val="soitChar"/>
        </w:rPr>
        <w:t xml:space="preserve"> comptée en supplément pour la réalisation des éléments d’angle, de retours de baies et de linteaux à exécuter (mesurée dans le plan extérieur des plaquettes). Distinction faite suivant le type d’élément.</w:t>
      </w:r>
    </w:p>
    <w:p w14:paraId="7F812FA9" w14:textId="77777777" w:rsidR="00772179" w:rsidRDefault="00000000">
      <w:pPr>
        <w:pStyle w:val="pheading"/>
      </w:pPr>
      <w:r>
        <w:t>- nature du marché:</w:t>
      </w:r>
    </w:p>
    <w:p w14:paraId="1A0E5FB5" w14:textId="77777777" w:rsidR="00772179" w:rsidRDefault="00000000">
      <w:r>
        <w:t>1.2. QF</w:t>
      </w:r>
    </w:p>
    <w:p w14:paraId="347A593A" w14:textId="77777777" w:rsidR="00772179" w:rsidRDefault="00000000">
      <w:pPr>
        <w:pStyle w:val="pheading"/>
      </w:pPr>
      <w:r>
        <w:t>AIDE</w:t>
      </w:r>
    </w:p>
    <w:p w14:paraId="54BDE1EE" w14:textId="77777777" w:rsidR="00772179" w:rsidRDefault="00000000">
      <w:pPr>
        <w:jc w:val="both"/>
      </w:pPr>
      <w:r>
        <w:t xml:space="preserve">Dans l’hypothèse de la mise en œuvre d’une couche supplémentaire d’isolation sous le système de panneaux préfabriqués, l’attention de l’auteur de projet est attirée sur le fait que, généralement, la mise en œuvre de ces plaques supplémentaires </w:t>
      </w:r>
      <w:r>
        <w:rPr>
          <w:u w:val="single"/>
        </w:rPr>
        <w:t>n’est pas prise en compte dans l’agrément technique</w:t>
      </w:r>
      <w:r>
        <w:t>. (à vérifier en fonction du produit soumis). De plus,</w:t>
      </w:r>
    </w:p>
    <w:p w14:paraId="13915BD4" w14:textId="77777777" w:rsidR="00772179" w:rsidRDefault="00000000">
      <w:pPr>
        <w:pStyle w:val="Author-eListParagraph"/>
        <w:numPr>
          <w:ilvl w:val="0"/>
          <w:numId w:val="1042"/>
        </w:numPr>
        <w:jc w:val="both"/>
      </w:pPr>
      <w:r>
        <w:t>l’épaisseur d’isolation complémentaire doit tenir compte de la longueur des fixations disponibles dans le système de vêture isolante.</w:t>
      </w:r>
    </w:p>
    <w:p w14:paraId="4A7C8ADD" w14:textId="77777777" w:rsidR="00772179" w:rsidRDefault="00000000">
      <w:pPr>
        <w:pStyle w:val="Author-eListParagraph"/>
        <w:numPr>
          <w:ilvl w:val="0"/>
          <w:numId w:val="1042"/>
        </w:numPr>
        <w:jc w:val="both"/>
      </w:pPr>
      <w:r>
        <w:t>aucun creux n’est autorisé entre ces panneaux et les panneaux de la vêture isolante.</w:t>
      </w:r>
    </w:p>
    <w:p w14:paraId="26E818A1" w14:textId="77777777" w:rsidR="00772179" w:rsidRDefault="00000000">
      <w:pPr>
        <w:pStyle w:val="Author-eListParagraph"/>
        <w:numPr>
          <w:ilvl w:val="0"/>
          <w:numId w:val="1042"/>
        </w:numPr>
        <w:jc w:val="both"/>
      </w:pPr>
      <w:r>
        <w:t>le système de fixation des panneaux isolants est indépendant du système de fixation de la vêture isolante.</w:t>
      </w:r>
    </w:p>
    <w:p w14:paraId="310591E2" w14:textId="77777777" w:rsidR="00772179" w:rsidRDefault="00000000">
      <w:pPr>
        <w:pStyle w:val="Author-eSectionHeading6Numberless"/>
      </w:pPr>
      <w:bookmarkStart w:id="802" w:name="_Toc220490481"/>
      <w:r>
        <w:t>43.33.2b Revêtements de façade rigides collés - système "isolant+plaquettes en terre cuite collées" assemblé sur place CCTB 01.11</w:t>
      </w:r>
      <w:bookmarkEnd w:id="802"/>
    </w:p>
    <w:p w14:paraId="3DBA6A30" w14:textId="77777777" w:rsidR="00772179" w:rsidRDefault="00000000">
      <w:pPr>
        <w:pStyle w:val="pheading"/>
      </w:pPr>
      <w:bookmarkStart w:id="803" w:name="1014"/>
      <w:bookmarkEnd w:id="803"/>
      <w:r>
        <w:t>DESCRIPTION</w:t>
      </w:r>
    </w:p>
    <w:p w14:paraId="33887A2C" w14:textId="77777777" w:rsidR="00772179" w:rsidRDefault="00000000">
      <w:pPr>
        <w:pStyle w:val="pheading"/>
      </w:pPr>
      <w:r>
        <w:t>- Définition / Comprend</w:t>
      </w:r>
    </w:p>
    <w:p w14:paraId="15C3AF72" w14:textId="77777777" w:rsidR="00772179" w:rsidRDefault="00000000">
      <w:r>
        <w:t>Il s’agit de la fourniture et de la pose d’un système de plaquettes en terre cuite collées sur isolation extérieure, assemblé sur place, pour une application en façade. Les panneaux d’isolation sont recouverts d’un enduit de base renforcé (assurant l’étanchéité à l’eau) ou non (la couche d’isolation assure l’étanchéité à l’eau).</w:t>
      </w:r>
    </w:p>
    <w:p w14:paraId="0F2E6A81" w14:textId="77777777" w:rsidR="00772179" w:rsidRDefault="00000000">
      <w:pPr>
        <w:pStyle w:val="Author-eListParagraph"/>
        <w:numPr>
          <w:ilvl w:val="0"/>
          <w:numId w:val="1043"/>
        </w:numPr>
      </w:pPr>
      <w:r>
        <w:t xml:space="preserve">Classe de climat intérieur (suivant l’annexe 1 des [STS 71-2]) : classe </w:t>
      </w:r>
      <w:r>
        <w:rPr>
          <w:rStyle w:val="optioncarChar"/>
        </w:rPr>
        <w:t>I / II / III / IV</w:t>
      </w:r>
      <w:r>
        <w:t>.</w:t>
      </w:r>
    </w:p>
    <w:p w14:paraId="02B89249" w14:textId="77777777" w:rsidR="00772179" w:rsidRDefault="00000000">
      <w:pPr>
        <w:pStyle w:val="Author-eListParagraph"/>
        <w:numPr>
          <w:ilvl w:val="0"/>
          <w:numId w:val="1043"/>
        </w:numPr>
      </w:pPr>
      <w:r>
        <w:t>Etanchéité à l’air de la paroi support (suivant l’annexe 1 des [STS 71-2]) : Classe </w:t>
      </w:r>
      <w:r>
        <w:rPr>
          <w:rStyle w:val="optioncarChar"/>
        </w:rPr>
        <w:t>L0 / L1 / L2</w:t>
      </w:r>
      <w:r>
        <w:t>.</w:t>
      </w:r>
    </w:p>
    <w:p w14:paraId="7DD0AF91" w14:textId="77777777" w:rsidR="00772179" w:rsidRDefault="00000000">
      <w:pPr>
        <w:pStyle w:val="pheading"/>
      </w:pPr>
      <w:r>
        <w:lastRenderedPageBreak/>
        <w:t>- Localisation</w:t>
      </w:r>
    </w:p>
    <w:p w14:paraId="49EC3E98" w14:textId="77777777" w:rsidR="00772179" w:rsidRDefault="00000000">
      <w:r>
        <w:t>Localisation des travaux :</w:t>
      </w:r>
      <w:r>
        <w:rPr>
          <w:rStyle w:val="optioncarChar"/>
        </w:rPr>
        <w:t xml:space="preserve"> ***</w:t>
      </w:r>
      <w:r>
        <w:t>.</w:t>
      </w:r>
    </w:p>
    <w:p w14:paraId="072A33CD" w14:textId="77777777" w:rsidR="00772179" w:rsidRDefault="00000000">
      <w:r>
        <w:t xml:space="preserve">Les travaux </w:t>
      </w:r>
      <w:r>
        <w:rPr>
          <w:rStyle w:val="optioncarChar"/>
        </w:rPr>
        <w:t>ne couvrent pas</w:t>
      </w:r>
      <w:r>
        <w:t xml:space="preserve"> (par défaut)</w:t>
      </w:r>
      <w:r>
        <w:rPr>
          <w:rStyle w:val="optioncarChar"/>
        </w:rPr>
        <w:t xml:space="preserve"> / couvrent</w:t>
      </w:r>
      <w:r>
        <w:t xml:space="preserve"> la zone de plinthe.</w:t>
      </w:r>
    </w:p>
    <w:p w14:paraId="7911E622" w14:textId="77777777" w:rsidR="00772179" w:rsidRDefault="00000000">
      <w:r>
        <w:t xml:space="preserve">Pose à partir de </w:t>
      </w:r>
      <w:r>
        <w:rPr>
          <w:rStyle w:val="optioncarChar"/>
        </w:rPr>
        <w:t>30</w:t>
      </w:r>
      <w:r>
        <w:t xml:space="preserve"> (par défaut)</w:t>
      </w:r>
      <w:r>
        <w:rPr>
          <w:rStyle w:val="optioncarChar"/>
        </w:rPr>
        <w:t xml:space="preserve"> / 50 / *** </w:t>
      </w:r>
      <w:r>
        <w:t>cm</w:t>
      </w:r>
      <w:r>
        <w:rPr>
          <w:rStyle w:val="optioncarChar"/>
        </w:rPr>
        <w:t xml:space="preserve"> au-dessus du </w:t>
      </w:r>
      <w:r>
        <w:t>(par défaut)</w:t>
      </w:r>
      <w:r>
        <w:rPr>
          <w:rStyle w:val="optioncarChar"/>
        </w:rPr>
        <w:t xml:space="preserve"> / sous le</w:t>
      </w:r>
      <w:r>
        <w:t xml:space="preserve"> sol fini extérieur</w:t>
      </w:r>
    </w:p>
    <w:p w14:paraId="3EB69C10" w14:textId="77777777" w:rsidR="00772179" w:rsidRDefault="00000000">
      <w:r>
        <w:t xml:space="preserve">Voir : </w:t>
      </w:r>
      <w:r>
        <w:rPr>
          <w:rStyle w:val="optioncarChar"/>
        </w:rPr>
        <w:t>plans et métrés détaillés / ***</w:t>
      </w:r>
      <w:r>
        <w:t>.</w:t>
      </w:r>
    </w:p>
    <w:p w14:paraId="7E8DF96F" w14:textId="77777777" w:rsidR="00772179" w:rsidRDefault="00000000">
      <w:pPr>
        <w:pStyle w:val="pheading"/>
      </w:pPr>
      <w:r>
        <w:t>MATÉRIAUX</w:t>
      </w:r>
    </w:p>
    <w:p w14:paraId="27A71F8C" w14:textId="77777777" w:rsidR="00772179" w:rsidRDefault="00000000">
      <w:pPr>
        <w:pStyle w:val="pheading"/>
      </w:pPr>
      <w:r>
        <w:t>- Caractéristiques générales</w:t>
      </w:r>
    </w:p>
    <w:p w14:paraId="5171FA07" w14:textId="77777777" w:rsidR="00772179" w:rsidRDefault="00000000">
      <w:pPr>
        <w:jc w:val="both"/>
      </w:pPr>
      <w:r>
        <w:rPr>
          <w:b/>
        </w:rPr>
        <w:t>Système</w:t>
      </w:r>
    </w:p>
    <w:p w14:paraId="1C91B2EA" w14:textId="77777777" w:rsidR="00772179" w:rsidRDefault="00000000">
      <w:r>
        <w:t xml:space="preserve">Type de système : </w:t>
      </w:r>
      <w:r>
        <w:rPr>
          <w:rStyle w:val="optioncarChar"/>
        </w:rPr>
        <w:t>Système collé (≥ 60% de la surface) avec fixations mécaniques / Système fixé mécaniquement avec encollage (≥ 60% de la surface) / Au choix de l’entrepreneur soumis à l’approbation de l’auteur de projet</w:t>
      </w:r>
      <w:r>
        <w:t xml:space="preserve"> (par défaut).</w:t>
      </w:r>
      <w:r>
        <w:br/>
        <w:t xml:space="preserve">Présence d’un enduit de base renforcé : </w:t>
      </w:r>
      <w:r>
        <w:rPr>
          <w:rStyle w:val="optioncarChar"/>
        </w:rPr>
        <w:t>Avec enduit de base renforcé / Sans enduit de base renforcé / Au choix de l’entrepreneur soumis à approbation de l’auteur de projet</w:t>
      </w:r>
      <w:r>
        <w:t xml:space="preserve"> (par défaut).</w:t>
      </w:r>
      <w:r>
        <w:br/>
        <w:t>Pente :</w:t>
      </w:r>
      <w:r>
        <w:rPr>
          <w:rStyle w:val="optioncarChar"/>
        </w:rPr>
        <w:t xml:space="preserve"> verticale / ***</w:t>
      </w:r>
      <w:r>
        <w:t>.</w:t>
      </w:r>
      <w:r>
        <w:br/>
        <w:t xml:space="preserve">Epaisseur totale maximale du système rapporté : ≤ </w:t>
      </w:r>
      <w:r>
        <w:rPr>
          <w:rStyle w:val="optioncarChar"/>
        </w:rPr>
        <w:t>***</w:t>
      </w:r>
      <w:r>
        <w:t xml:space="preserve"> cm</w:t>
      </w:r>
      <w:r>
        <w:br/>
        <w:t>Masse surfacique maximale du système rapporté : ≤</w:t>
      </w:r>
      <w:r>
        <w:rPr>
          <w:rStyle w:val="optioncarChar"/>
        </w:rPr>
        <w:t xml:space="preserve"> ***</w:t>
      </w:r>
      <w:r>
        <w:t xml:space="preserve"> kg/m²</w:t>
      </w:r>
      <w:r>
        <w:br/>
        <w:t xml:space="preserve">Pression d’étanchéité à la pluie requise suivant [STS 71-2] : ≥ </w:t>
      </w:r>
      <w:r>
        <w:rPr>
          <w:rStyle w:val="optioncarChar"/>
        </w:rPr>
        <w:t>450 / 900 / ***</w:t>
      </w:r>
      <w:r>
        <w:t xml:space="preserve"> Pa</w:t>
      </w:r>
      <w:r>
        <w:br/>
        <w:t xml:space="preserve">Résistance aux chocs requise suivant [STS 71-2] : catégorie d’utilisation </w:t>
      </w:r>
      <w:r>
        <w:rPr>
          <w:rStyle w:val="optioncarChar"/>
        </w:rPr>
        <w:t>I / II / III / IV</w:t>
      </w:r>
      <w:r>
        <w:t>.</w:t>
      </w:r>
      <w:r>
        <w:br/>
        <w:t xml:space="preserve">Valeur de calcul de l’action du vent (cfr [NBN EN 1991-1-4 ANB]) : </w:t>
      </w:r>
      <w:r>
        <w:rPr>
          <w:rStyle w:val="optioncarChar"/>
        </w:rPr>
        <w:t>***</w:t>
      </w:r>
      <w:r>
        <w:t xml:space="preserve"> Pa</w:t>
      </w:r>
      <w:r>
        <w:br/>
        <w:t>Indice d’affaiblissement acoustique pondéré R</w:t>
      </w:r>
      <w:r>
        <w:rPr>
          <w:vertAlign w:val="subscript"/>
        </w:rPr>
        <w:t>Atr</w:t>
      </w:r>
      <w:r>
        <w:t xml:space="preserve"> suivant [STS 71-2] : </w:t>
      </w:r>
      <w:r>
        <w:rPr>
          <w:rStyle w:val="optioncarChar"/>
        </w:rPr>
        <w:t>≥ *** / non spécifié</w:t>
      </w:r>
      <w:r>
        <w:t xml:space="preserve"> db</w:t>
      </w:r>
      <w:r>
        <w:br/>
        <w:t xml:space="preserve">Réaction au feu du système suivant [STS 71-2] : </w:t>
      </w:r>
      <w:r>
        <w:rPr>
          <w:rStyle w:val="optioncarChar"/>
        </w:rPr>
        <w:t>A1 / A2 / B / C / D / E / F</w:t>
      </w:r>
      <w:r>
        <w:br/>
        <w:t xml:space="preserve">Valeur du coefficient de déperdition thermique U à ne pas dépasser pour la paroi complète suivant réglementation régionale : ≤ </w:t>
      </w:r>
      <w:r>
        <w:rPr>
          <w:rStyle w:val="optioncarChar"/>
        </w:rPr>
        <w:t>***</w:t>
      </w:r>
      <w:r>
        <w:t xml:space="preserve"> W/m²K.</w:t>
      </w:r>
      <w:r>
        <w:br/>
        <w:t xml:space="preserve">Valeur de la résistance thermique RETICS à atteindre par le système suivant [STS 71-2] : ≥ </w:t>
      </w:r>
      <w:r>
        <w:rPr>
          <w:rStyle w:val="optioncarChar"/>
        </w:rPr>
        <w:t>***</w:t>
      </w:r>
      <w:r>
        <w:t xml:space="preserve"> m²K/W</w:t>
      </w:r>
      <w:r>
        <w:br/>
        <w:t xml:space="preserve">Valeur sd du parachèvement suivant [STS 71-2]  : ≤ </w:t>
      </w:r>
      <w:r>
        <w:rPr>
          <w:rStyle w:val="optioncarChar"/>
        </w:rPr>
        <w:t>***</w:t>
      </w:r>
      <w:r>
        <w:t xml:space="preserve"> m.</w:t>
      </w:r>
      <w:r>
        <w:br/>
        <w:t xml:space="preserve">Valeur sd de l’isolant suivant [STS 71-2]  : ≤ </w:t>
      </w:r>
      <w:r>
        <w:rPr>
          <w:rStyle w:val="optioncarChar"/>
        </w:rPr>
        <w:t>***</w:t>
      </w:r>
      <w:r>
        <w:t xml:space="preserve"> m.</w:t>
      </w:r>
      <w:r>
        <w:br/>
        <w:t>La documentation technique accompagnant le système indique la configuration et les mesures pour atteindre les performances visées.</w:t>
      </w:r>
      <w:r>
        <w:br/>
        <w:t>Nœuds constructifs : voir détails d’exécution dans les plans détaillés ou dans [Buildwise Article Dossier (2015/4.15)]. Les nœuds constructifs sont conçus et réalisés de telle manière qu’ils ne provoquent pas de condensation superficielle. Les nœuds PEB-conformes (cfr [document explicatif PEB]) sont réputés satisfaire à cette exigence.</w:t>
      </w:r>
    </w:p>
    <w:p w14:paraId="1C8982B7" w14:textId="77777777" w:rsidR="00772179" w:rsidRDefault="00000000">
      <w:pPr>
        <w:jc w:val="both"/>
      </w:pPr>
      <w:r>
        <w:rPr>
          <w:b/>
        </w:rPr>
        <w:t>Panneaux d’isolation</w:t>
      </w:r>
    </w:p>
    <w:p w14:paraId="626879CD" w14:textId="77777777" w:rsidR="00772179" w:rsidRDefault="00000000">
      <w:r>
        <w:t xml:space="preserve">Systèmes sans enduit de base renforcé – Nature de l’isolant : </w:t>
      </w:r>
      <w:r>
        <w:rPr>
          <w:rStyle w:val="optioncarChar"/>
        </w:rPr>
        <w:t>EPS Haute Densité / XPS / *** </w:t>
      </w:r>
      <w:r>
        <w:br/>
        <w:t xml:space="preserve">Systèmes avec enduit de base renforcé – Nature de l’isolant : </w:t>
      </w:r>
      <w:r>
        <w:rPr>
          <w:rStyle w:val="optioncarChar"/>
        </w:rPr>
        <w:t>EPS / *** </w:t>
      </w:r>
      <w:r>
        <w:br/>
        <w:t xml:space="preserve">Epaisseur : </w:t>
      </w:r>
      <w:r>
        <w:rPr>
          <w:rStyle w:val="optioncarChar"/>
        </w:rPr>
        <w:t>10 / 12 / 14 / 16 / 18 / selon calcul thermique (PEB) / non spécifié / ***</w:t>
      </w:r>
      <w:r>
        <w:t xml:space="preserve"> cm.</w:t>
      </w:r>
      <w:r>
        <w:br/>
        <w:t xml:space="preserve">Conductivité thermique déclarée : ≤ </w:t>
      </w:r>
      <w:r>
        <w:rPr>
          <w:rStyle w:val="optioncarChar"/>
        </w:rPr>
        <w:t>0,04 / 0,035 / 0,032 / ***</w:t>
      </w:r>
      <w:r>
        <w:t xml:space="preserve"> W/mK</w:t>
      </w:r>
      <w:r>
        <w:br/>
        <w:t>Plaquettes en terre cuite (cfr [NBN B 23-004])</w:t>
      </w:r>
      <w:r>
        <w:br/>
        <w:t>Endommagements et défauts admis : voir [NBN B 23-004].</w:t>
      </w:r>
      <w:r>
        <w:br/>
        <w:t xml:space="preserve">Dimensions (longueur l x largeur b x épaisseur d) : </w:t>
      </w:r>
      <w:r>
        <w:rPr>
          <w:rStyle w:val="optioncarChar"/>
        </w:rPr>
        <w:t>188 mm x 48 mm x 25 mm</w:t>
      </w:r>
      <w:r>
        <w:t xml:space="preserve"> (par défaut)</w:t>
      </w:r>
      <w:r>
        <w:rPr>
          <w:rStyle w:val="optioncarChar"/>
        </w:rPr>
        <w:t xml:space="preserve"> / ***</w:t>
      </w:r>
      <w:r>
        <w:br/>
        <w:t>Teneur en sels solubles actifs : S2</w:t>
      </w:r>
      <w:r>
        <w:br/>
        <w:t xml:space="preserve">Résistance au gel : </w:t>
      </w:r>
      <w:r>
        <w:rPr>
          <w:rStyle w:val="optioncarChar"/>
        </w:rPr>
        <w:t xml:space="preserve">très résistante au gel </w:t>
      </w:r>
      <w:r>
        <w:t>(par défaut)</w:t>
      </w:r>
      <w:r>
        <w:rPr>
          <w:rStyle w:val="optioncarChar"/>
        </w:rPr>
        <w:t xml:space="preserve"> / résistance normale au gel</w:t>
      </w:r>
      <w:r>
        <w:t>.</w:t>
      </w:r>
      <w:r>
        <w:br/>
        <w:t xml:space="preserve">Réaction au feu : </w:t>
      </w:r>
      <w:r>
        <w:rPr>
          <w:rStyle w:val="optioncarChar"/>
        </w:rPr>
        <w:t xml:space="preserve">A1 </w:t>
      </w:r>
      <w:r>
        <w:t>(par défaut)</w:t>
      </w:r>
      <w:r>
        <w:rPr>
          <w:rStyle w:val="optioncarChar"/>
        </w:rPr>
        <w:t xml:space="preserve"> / ***</w:t>
      </w:r>
      <w:r>
        <w:t>.</w:t>
      </w:r>
      <w:r>
        <w:br/>
        <w:t xml:space="preserve">Facteur d’absorption de l’énergie solaire [NBN EN 410] : </w:t>
      </w:r>
      <w:r>
        <w:rPr>
          <w:rStyle w:val="optioncarChar"/>
        </w:rPr>
        <w:t xml:space="preserve">≤ 0,7 </w:t>
      </w:r>
      <w:r>
        <w:t>(par défaut)</w:t>
      </w:r>
      <w:r>
        <w:rPr>
          <w:rStyle w:val="optioncarChar"/>
        </w:rPr>
        <w:t xml:space="preserve"> / non spécifié / ***</w:t>
      </w:r>
      <w:r>
        <w:t>.</w:t>
      </w:r>
      <w:r>
        <w:br/>
        <w:t xml:space="preserve">Indice de clarté : </w:t>
      </w:r>
      <w:r>
        <w:rPr>
          <w:rStyle w:val="optioncarChar"/>
        </w:rPr>
        <w:t>≥ 10 / ≥ 30</w:t>
      </w:r>
      <w:r>
        <w:t xml:space="preserve"> (par défaut)</w:t>
      </w:r>
      <w:r>
        <w:rPr>
          <w:rStyle w:val="optioncarChar"/>
        </w:rPr>
        <w:t xml:space="preserve"> / non spécifié / ***</w:t>
      </w:r>
    </w:p>
    <w:p w14:paraId="5D1586B6" w14:textId="77777777" w:rsidR="00772179" w:rsidRDefault="00000000">
      <w:pPr>
        <w:jc w:val="both"/>
      </w:pPr>
      <w:r>
        <w:rPr>
          <w:b/>
        </w:rPr>
        <w:t>Colle à carrelage</w:t>
      </w:r>
    </w:p>
    <w:p w14:paraId="1DDDDAC5" w14:textId="77777777" w:rsidR="00772179" w:rsidRDefault="00000000">
      <w:pPr>
        <w:jc w:val="both"/>
      </w:pPr>
      <w:r>
        <w:t xml:space="preserve">Conforme à la documentation technique accompagnant le produit et le système (voir </w:t>
      </w:r>
      <w:hyperlink w:anchor="1012" w:history="1">
        <w:r>
          <w:rPr>
            <w:color w:val="0000EE"/>
          </w:rPr>
          <w:t>43.33.2 Revêtements de façade rigides collés - système " isolant+plaquettes en terre cuite collées"</w:t>
        </w:r>
      </w:hyperlink>
      <w:r>
        <w:t>).</w:t>
      </w:r>
    </w:p>
    <w:p w14:paraId="631E8B8F" w14:textId="77777777" w:rsidR="00772179" w:rsidRDefault="00000000">
      <w:pPr>
        <w:jc w:val="both"/>
      </w:pPr>
      <w:r>
        <w:t xml:space="preserve">Teinte : </w:t>
      </w:r>
      <w:r>
        <w:rPr>
          <w:rStyle w:val="optioncarChar"/>
        </w:rPr>
        <w:t>gris / blanc / ***</w:t>
      </w:r>
      <w:r>
        <w:t>.</w:t>
      </w:r>
    </w:p>
    <w:p w14:paraId="25DCDE8B" w14:textId="77777777" w:rsidR="00772179" w:rsidRDefault="00000000">
      <w:pPr>
        <w:jc w:val="both"/>
      </w:pPr>
      <w:r>
        <w:rPr>
          <w:b/>
        </w:rPr>
        <w:lastRenderedPageBreak/>
        <w:t>Mortier de jointoiement</w:t>
      </w:r>
    </w:p>
    <w:p w14:paraId="25523C0F" w14:textId="77777777" w:rsidR="00772179" w:rsidRDefault="00000000">
      <w:pPr>
        <w:jc w:val="both"/>
      </w:pPr>
      <w:r>
        <w:t xml:space="preserve">Type de joint : </w:t>
      </w:r>
      <w:r>
        <w:rPr>
          <w:rStyle w:val="optioncarChar"/>
        </w:rPr>
        <w:t>M5</w:t>
      </w:r>
      <w:r>
        <w:t xml:space="preserve"> (par défaut)</w:t>
      </w:r>
      <w:r>
        <w:rPr>
          <w:rStyle w:val="optioncarChar"/>
        </w:rPr>
        <w:t xml:space="preserve"> / M*** / Dosé in situ / Pas de jointoiement</w:t>
      </w:r>
    </w:p>
    <w:p w14:paraId="5ED6E2D0" w14:textId="77777777" w:rsidR="00772179" w:rsidRDefault="00000000">
      <w:pPr>
        <w:ind w:left="567"/>
        <w:jc w:val="both"/>
      </w:pPr>
      <w:r>
        <w:rPr>
          <w:b/>
          <w:i/>
        </w:rPr>
        <w:t>(soit par défaut)</w:t>
      </w:r>
    </w:p>
    <w:p w14:paraId="74C83DD2" w14:textId="77777777" w:rsidR="00772179" w:rsidRDefault="00000000">
      <w:pPr>
        <w:ind w:left="567"/>
        <w:jc w:val="both"/>
      </w:pPr>
      <w:r>
        <w:rPr>
          <w:rStyle w:val="soitChar"/>
          <w:u w:val="single"/>
        </w:rPr>
        <w:t>M5</w:t>
      </w:r>
      <w:r>
        <w:rPr>
          <w:rStyle w:val="soitChar"/>
        </w:rPr>
        <w:t xml:space="preserve"> suivant la [NBN EN 998-2]</w:t>
      </w:r>
    </w:p>
    <w:p w14:paraId="40F88F95" w14:textId="77777777" w:rsidR="00772179" w:rsidRDefault="00000000">
      <w:pPr>
        <w:ind w:left="567"/>
        <w:jc w:val="both"/>
      </w:pPr>
      <w:r>
        <w:rPr>
          <w:b/>
          <w:i/>
        </w:rPr>
        <w:t>(soit)</w:t>
      </w:r>
    </w:p>
    <w:p w14:paraId="1AA92F5B" w14:textId="77777777" w:rsidR="00772179" w:rsidRDefault="00000000">
      <w:pPr>
        <w:ind w:left="567"/>
        <w:jc w:val="both"/>
      </w:pPr>
      <w:r>
        <w:rPr>
          <w:rStyle w:val="soitChar"/>
          <w:u w:val="single"/>
        </w:rPr>
        <w:t>M</w:t>
      </w:r>
      <w:r>
        <w:rPr>
          <w:rStyle w:val="optioncarChar"/>
          <w:u w:val="single"/>
        </w:rPr>
        <w:t>***</w:t>
      </w:r>
      <w:r>
        <w:rPr>
          <w:rStyle w:val="soitChar"/>
        </w:rPr>
        <w:t xml:space="preserve"> suivant la [NBN EN 998-2]</w:t>
      </w:r>
    </w:p>
    <w:p w14:paraId="678A82EF" w14:textId="77777777" w:rsidR="00772179" w:rsidRDefault="00000000">
      <w:pPr>
        <w:ind w:left="567"/>
        <w:jc w:val="both"/>
      </w:pPr>
      <w:r>
        <w:rPr>
          <w:b/>
          <w:i/>
        </w:rPr>
        <w:t>(soit)</w:t>
      </w:r>
    </w:p>
    <w:p w14:paraId="47CDF29A" w14:textId="77777777" w:rsidR="00772179" w:rsidRDefault="00000000">
      <w:pPr>
        <w:ind w:left="567"/>
        <w:jc w:val="both"/>
      </w:pPr>
      <w:r>
        <w:rPr>
          <w:rStyle w:val="soitChar"/>
          <w:u w:val="single"/>
        </w:rPr>
        <w:t>Mortier dosé in situ</w:t>
      </w:r>
      <w:r>
        <w:rPr>
          <w:rStyle w:val="soitChar"/>
        </w:rPr>
        <w:t xml:space="preserve">, à composition prescrite (parts de ciment-chaux-sable) : </w:t>
      </w:r>
      <w:r>
        <w:rPr>
          <w:rStyle w:val="optioncarChar"/>
        </w:rPr>
        <w:t xml:space="preserve">1-1-6 </w:t>
      </w:r>
      <w:r>
        <w:t xml:space="preserve">(par défaut) </w:t>
      </w:r>
      <w:r>
        <w:rPr>
          <w:rStyle w:val="optioncarChar"/>
        </w:rPr>
        <w:t>/ ***</w:t>
      </w:r>
    </w:p>
    <w:p w14:paraId="42E0C760" w14:textId="77777777" w:rsidR="00772179" w:rsidRDefault="00000000">
      <w:pPr>
        <w:ind w:left="567"/>
        <w:jc w:val="both"/>
      </w:pPr>
      <w:r>
        <w:rPr>
          <w:b/>
          <w:i/>
        </w:rPr>
        <w:t>(soit)</w:t>
      </w:r>
    </w:p>
    <w:p w14:paraId="444D8804" w14:textId="77777777" w:rsidR="00772179" w:rsidRDefault="00000000">
      <w:pPr>
        <w:ind w:left="567"/>
        <w:jc w:val="both"/>
      </w:pPr>
      <w:r>
        <w:rPr>
          <w:rStyle w:val="soitChar"/>
          <w:u w:val="single"/>
        </w:rPr>
        <w:t>Pas de jointoiement</w:t>
      </w:r>
    </w:p>
    <w:p w14:paraId="6D67C8A2" w14:textId="77777777" w:rsidR="00772179" w:rsidRDefault="00000000">
      <w:pPr>
        <w:jc w:val="both"/>
      </w:pPr>
      <w:r>
        <w:rPr>
          <w:b/>
        </w:rPr>
        <w:t>Mastic d’étanchéité</w:t>
      </w:r>
    </w:p>
    <w:p w14:paraId="4188DE1F" w14:textId="77777777" w:rsidR="00772179" w:rsidRDefault="00000000">
      <w:pPr>
        <w:jc w:val="both"/>
      </w:pPr>
      <w:r>
        <w:t xml:space="preserve">Couleur : </w:t>
      </w:r>
      <w:r>
        <w:rPr>
          <w:rStyle w:val="optioncarChar"/>
        </w:rPr>
        <w:t xml:space="preserve">se rapprochant du mortier de jointoiement </w:t>
      </w:r>
      <w:r>
        <w:t>(par défaut)</w:t>
      </w:r>
      <w:r>
        <w:rPr>
          <w:rStyle w:val="optioncarChar"/>
        </w:rPr>
        <w:t xml:space="preserve"> / ***</w:t>
      </w:r>
      <w:r>
        <w:t>.</w:t>
      </w:r>
    </w:p>
    <w:p w14:paraId="3ABE1B10" w14:textId="77777777" w:rsidR="00772179" w:rsidRDefault="00000000">
      <w:pPr>
        <w:jc w:val="both"/>
      </w:pPr>
      <w:r>
        <w:rPr>
          <w:b/>
        </w:rPr>
        <w:t>Produit pour joints de mouvement</w:t>
      </w:r>
    </w:p>
    <w:p w14:paraId="2A20F973" w14:textId="77777777" w:rsidR="00772179" w:rsidRDefault="00000000">
      <w:pPr>
        <w:jc w:val="both"/>
      </w:pPr>
      <w:r>
        <w:t xml:space="preserve">Couleur : </w:t>
      </w:r>
      <w:r>
        <w:rPr>
          <w:rStyle w:val="optioncarChar"/>
        </w:rPr>
        <w:t xml:space="preserve">se rapprochant du mortier de jointoiement </w:t>
      </w:r>
      <w:r>
        <w:t>(par défaut)</w:t>
      </w:r>
      <w:r>
        <w:rPr>
          <w:rStyle w:val="optioncarChar"/>
        </w:rPr>
        <w:t xml:space="preserve"> / ***</w:t>
      </w:r>
      <w:r>
        <w:t>.</w:t>
      </w:r>
    </w:p>
    <w:p w14:paraId="4E0E72F0" w14:textId="77777777" w:rsidR="00772179" w:rsidRDefault="00000000">
      <w:pPr>
        <w:jc w:val="both"/>
      </w:pPr>
      <w:r>
        <w:rPr>
          <w:b/>
        </w:rPr>
        <w:t>Profilés</w:t>
      </w:r>
    </w:p>
    <w:p w14:paraId="1B5C49F1" w14:textId="77777777" w:rsidR="00772179" w:rsidRDefault="00000000">
      <w:pPr>
        <w:jc w:val="both"/>
      </w:pPr>
      <w:r>
        <w:t xml:space="preserve">Position : voir </w:t>
      </w:r>
      <w:r>
        <w:rPr>
          <w:rStyle w:val="optioncarChar"/>
        </w:rPr>
        <w:t>plans / ***</w:t>
      </w:r>
      <w:r>
        <w:t>.</w:t>
      </w:r>
    </w:p>
    <w:p w14:paraId="3E8D537B" w14:textId="77777777" w:rsidR="00772179" w:rsidRDefault="00000000">
      <w:pPr>
        <w:jc w:val="both"/>
      </w:pPr>
      <w:r>
        <w:t xml:space="preserve">Description : </w:t>
      </w:r>
      <w:r>
        <w:rPr>
          <w:rStyle w:val="optioncarChar"/>
        </w:rPr>
        <w:t>***</w:t>
      </w:r>
      <w:r>
        <w:t>.</w:t>
      </w:r>
    </w:p>
    <w:p w14:paraId="4EC8609C" w14:textId="77777777" w:rsidR="00772179" w:rsidRDefault="00000000">
      <w:pPr>
        <w:pStyle w:val="pheading"/>
      </w:pPr>
      <w:r>
        <w:t>- Finitions</w:t>
      </w:r>
    </w:p>
    <w:p w14:paraId="782F3316" w14:textId="77777777" w:rsidR="00772179" w:rsidRDefault="00000000">
      <w:pPr>
        <w:jc w:val="both"/>
      </w:pPr>
      <w:r>
        <w:t>Les façades suivantes sont exécutées comme maçonneries apparentes et sont rejointoyées selon l'article 21.61.1b Joints de maçonnerie apparente :</w:t>
      </w:r>
      <w:r>
        <w:rPr>
          <w:rStyle w:val="optioncarChar"/>
        </w:rPr>
        <w:t xml:space="preserve"> ***</w:t>
      </w:r>
      <w:r>
        <w:t>.</w:t>
      </w:r>
    </w:p>
    <w:p w14:paraId="45C7BAD8" w14:textId="77777777" w:rsidR="00772179" w:rsidRDefault="00000000">
      <w:pPr>
        <w:jc w:val="both"/>
      </w:pPr>
      <w:r>
        <w:t xml:space="preserve">Texture de surface de la plaquette : </w:t>
      </w:r>
      <w:r>
        <w:rPr>
          <w:rStyle w:val="optioncarChar"/>
        </w:rPr>
        <w:t>lisse / écorce / arrachée / sablée / non sablée / rugueuse</w:t>
      </w:r>
    </w:p>
    <w:p w14:paraId="1A57C105" w14:textId="77777777" w:rsidR="00772179" w:rsidRDefault="00000000">
      <w:pPr>
        <w:jc w:val="both"/>
      </w:pPr>
      <w:r>
        <w:t xml:space="preserve">Teinte de la plaquette : </w:t>
      </w:r>
      <w:r>
        <w:rPr>
          <w:rStyle w:val="optioncarChar"/>
        </w:rPr>
        <w:t xml:space="preserve">rose / rouge clair / rouge brun / rouge foncé / jaune / noire / nuancé </w:t>
      </w:r>
      <w:r>
        <w:t> (description approximative). La couleur est homogène dans la masse.</w:t>
      </w:r>
    </w:p>
    <w:p w14:paraId="33949A69" w14:textId="77777777" w:rsidR="00772179" w:rsidRDefault="00000000">
      <w:pPr>
        <w:jc w:val="both"/>
      </w:pPr>
      <w:r>
        <w:t xml:space="preserve">Teinte de la surface projetée (homogénéité de teinte entre les plaquettes) : </w:t>
      </w:r>
      <w:r>
        <w:rPr>
          <w:rStyle w:val="optioncarChar"/>
        </w:rPr>
        <w:t>panaché de couleurs / couleur homogène</w:t>
      </w:r>
      <w:r>
        <w:t xml:space="preserve"> (par défaut).</w:t>
      </w:r>
    </w:p>
    <w:p w14:paraId="66F46D75" w14:textId="77777777" w:rsidR="00772179" w:rsidRDefault="00000000">
      <w:pPr>
        <w:jc w:val="both"/>
      </w:pPr>
      <w:r>
        <w:t xml:space="preserve">Teinte du mortier de jointoiement : </w:t>
      </w:r>
      <w:r>
        <w:rPr>
          <w:rStyle w:val="optioncarChar"/>
        </w:rPr>
        <w:t>gris clair / gris sombre / gris se rapprochant de la luminance de celle des plaquettes</w:t>
      </w:r>
      <w:r>
        <w:t xml:space="preserve"> (par défaut)</w:t>
      </w:r>
      <w:r>
        <w:rPr>
          <w:rStyle w:val="optioncarChar"/>
        </w:rPr>
        <w:t xml:space="preserve"> / couleur se rapprochant de celle des plaquettes / ***</w:t>
      </w:r>
      <w:r>
        <w:t>.</w:t>
      </w:r>
    </w:p>
    <w:p w14:paraId="4A180E00" w14:textId="77777777" w:rsidR="00772179" w:rsidRDefault="00000000">
      <w:pPr>
        <w:pStyle w:val="pheading"/>
      </w:pPr>
      <w:r>
        <w:t>- Prescriptions complémentaires</w:t>
      </w:r>
    </w:p>
    <w:p w14:paraId="17DDF071" w14:textId="77777777" w:rsidR="00772179" w:rsidRDefault="00000000">
      <w:pPr>
        <w:jc w:val="both"/>
      </w:pPr>
      <w:r>
        <w:t>Plaquettes en terre cuite (cfr [NBN B 23-004]) :</w:t>
      </w:r>
    </w:p>
    <w:p w14:paraId="385DDBBE" w14:textId="77777777" w:rsidR="00772179" w:rsidRDefault="00000000">
      <w:r>
        <w:t xml:space="preserve">Classe de tolérance des dimensions : </w:t>
      </w:r>
      <w:r>
        <w:rPr>
          <w:rStyle w:val="optioncarChar"/>
        </w:rPr>
        <w:t xml:space="preserve">1 / 2 / non spécifié </w:t>
      </w:r>
      <w:r>
        <w:t>(par défaut)</w:t>
      </w:r>
      <w:r>
        <w:rPr>
          <w:rStyle w:val="facultChar"/>
        </w:rPr>
        <w:t>.</w:t>
      </w:r>
      <w:r>
        <w:br/>
        <w:t xml:space="preserve">Classe de dispersion des dimensions : </w:t>
      </w:r>
      <w:r>
        <w:rPr>
          <w:rStyle w:val="optioncarChar"/>
        </w:rPr>
        <w:t xml:space="preserve">1 / 2 / non spécifié </w:t>
      </w:r>
      <w:r>
        <w:t>(par défaut)</w:t>
      </w:r>
      <w:r>
        <w:rPr>
          <w:rStyle w:val="facultChar"/>
        </w:rPr>
        <w:t>.</w:t>
      </w:r>
      <w:r>
        <w:br/>
        <w:t xml:space="preserve">Planéité de la face de pose : </w:t>
      </w:r>
      <w:r>
        <w:rPr>
          <w:rStyle w:val="optioncarChar"/>
        </w:rPr>
        <w:t xml:space="preserve">≤ 2 mm / non spécifié </w:t>
      </w:r>
      <w:r>
        <w:t>(par défaut)</w:t>
      </w:r>
      <w:r>
        <w:rPr>
          <w:rStyle w:val="facultChar"/>
        </w:rPr>
        <w:t>.</w:t>
      </w:r>
      <w:r>
        <w:br/>
        <w:t xml:space="preserve">Parallélisme des faces (face de pose et opposée) : </w:t>
      </w:r>
      <w:r>
        <w:rPr>
          <w:rStyle w:val="optioncarChar"/>
        </w:rPr>
        <w:t xml:space="preserve">1 / 2 / non spécifié </w:t>
      </w:r>
      <w:r>
        <w:t>(par défaut) (selon la classe de dispersion des dimensions)</w:t>
      </w:r>
      <w:r>
        <w:br/>
        <w:t xml:space="preserve">Masses volumiques sèches brute et nette : </w:t>
      </w:r>
      <w:r>
        <w:rPr>
          <w:rStyle w:val="optioncarChar"/>
        </w:rPr>
        <w:t xml:space="preserve">non spécifié </w:t>
      </w:r>
      <w:r>
        <w:t xml:space="preserve">(par défaut) </w:t>
      </w:r>
      <w:r>
        <w:rPr>
          <w:rStyle w:val="optioncarChar"/>
        </w:rPr>
        <w:t>/ ***</w:t>
      </w:r>
      <w:r>
        <w:rPr>
          <w:rStyle w:val="facultChar"/>
        </w:rPr>
        <w:t>.</w:t>
      </w:r>
      <w:r>
        <w:br/>
        <w:t xml:space="preserve">Masse surfacique : </w:t>
      </w:r>
      <w:r>
        <w:rPr>
          <w:rStyle w:val="optioncarChar"/>
        </w:rPr>
        <w:t xml:space="preserve">non spécifié </w:t>
      </w:r>
      <w:r>
        <w:t>(par défaut)</w:t>
      </w:r>
      <w:r>
        <w:rPr>
          <w:rStyle w:val="optioncarChar"/>
        </w:rPr>
        <w:t>/ ***</w:t>
      </w:r>
      <w:r>
        <w:rPr>
          <w:rStyle w:val="facultChar"/>
        </w:rPr>
        <w:t>.</w:t>
      </w:r>
      <w:r>
        <w:br/>
        <w:t xml:space="preserve">Module d’élasticité : </w:t>
      </w:r>
      <w:r>
        <w:rPr>
          <w:rStyle w:val="optioncarChar"/>
        </w:rPr>
        <w:t xml:space="preserve">non spécifié </w:t>
      </w:r>
      <w:r>
        <w:t xml:space="preserve">(par défaut) </w:t>
      </w:r>
      <w:r>
        <w:rPr>
          <w:rStyle w:val="optioncarChar"/>
        </w:rPr>
        <w:t>/ ***</w:t>
      </w:r>
      <w:r>
        <w:rPr>
          <w:rStyle w:val="facultChar"/>
        </w:rPr>
        <w:t>.</w:t>
      </w:r>
      <w:r>
        <w:br/>
        <w:t xml:space="preserve">Résistance en flexion R : </w:t>
      </w:r>
      <w:r>
        <w:rPr>
          <w:rStyle w:val="optioncarChar"/>
        </w:rPr>
        <w:t xml:space="preserve">non spécifié </w:t>
      </w:r>
      <w:r>
        <w:t>(par défaut) </w:t>
      </w:r>
      <w:r>
        <w:rPr>
          <w:rStyle w:val="optioncarChar"/>
        </w:rPr>
        <w:t>/ ***</w:t>
      </w:r>
      <w:r>
        <w:rPr>
          <w:rStyle w:val="facultChar"/>
        </w:rPr>
        <w:t>.</w:t>
      </w:r>
      <w:r>
        <w:br/>
        <w:t xml:space="preserve">Conductivité thermique λ10,sec,plaquette : </w:t>
      </w:r>
      <w:r>
        <w:rPr>
          <w:rStyle w:val="optioncarChar"/>
        </w:rPr>
        <w:t xml:space="preserve">non spécifié </w:t>
      </w:r>
      <w:r>
        <w:t>(par défaut) </w:t>
      </w:r>
      <w:r>
        <w:rPr>
          <w:rStyle w:val="optioncarChar"/>
        </w:rPr>
        <w:t>/ ***</w:t>
      </w:r>
      <w:r>
        <w:rPr>
          <w:rStyle w:val="facultChar"/>
        </w:rPr>
        <w:t>.</w:t>
      </w:r>
      <w:r>
        <w:br/>
        <w:t xml:space="preserve">Absorption d’eau initiale : </w:t>
      </w:r>
      <w:r>
        <w:rPr>
          <w:rStyle w:val="optioncarChar"/>
        </w:rPr>
        <w:t>IW1 / IW2 / IW3 / IW4 / non spécifié</w:t>
      </w:r>
      <w:r>
        <w:t xml:space="preserve"> (par défaut)</w:t>
      </w:r>
      <w:r>
        <w:rPr>
          <w:rStyle w:val="facultChar"/>
        </w:rPr>
        <w:t>.</w:t>
      </w:r>
      <w:r>
        <w:br/>
        <w:t xml:space="preserve">Facteur de résistance à la diffusion de vapeur d’eau (valeur µ) : </w:t>
      </w:r>
      <w:r>
        <w:rPr>
          <w:rStyle w:val="optioncarChar"/>
        </w:rPr>
        <w:t>***</w:t>
      </w:r>
      <w:r>
        <w:rPr>
          <w:rStyle w:val="facultChar"/>
        </w:rPr>
        <w:t>.</w:t>
      </w:r>
    </w:p>
    <w:p w14:paraId="03C3E6D0" w14:textId="77777777" w:rsidR="00772179" w:rsidRDefault="00000000">
      <w:pPr>
        <w:pStyle w:val="pheading"/>
      </w:pPr>
      <w:r>
        <w:t>EXÉCUTION / MISE EN ŒUVRE</w:t>
      </w:r>
    </w:p>
    <w:p w14:paraId="0D7A646D" w14:textId="77777777" w:rsidR="00772179" w:rsidRDefault="00000000">
      <w:pPr>
        <w:pStyle w:val="pheading"/>
      </w:pPr>
      <w:r>
        <w:t>- Prescriptions générales</w:t>
      </w:r>
    </w:p>
    <w:p w14:paraId="2B6B592E" w14:textId="77777777" w:rsidR="00772179" w:rsidRDefault="00000000">
      <w:r>
        <w:lastRenderedPageBreak/>
        <w:t>L’entrepreneur soumet le descriptif du système et sa configuration (nombre de fixations par exemple) à l’auteur de projet pour approbation. La mise en œuvre et la réalisation des raccords aux ouvrages existants suivent les recommandations de [Buildwise Article Dossier (2015/4.15)] et la documentation technique accompagnant le système.</w:t>
      </w:r>
      <w:r>
        <w:br/>
        <w:t xml:space="preserve">La technique de pose est consignée au cahier spécial des charges : </w:t>
      </w:r>
      <w:r>
        <w:rPr>
          <w:rStyle w:val="optioncarChar"/>
        </w:rPr>
        <w:t>pose par encollage ≥ 60 % de la surface de pose (avec fixations mécaniques) / pose par fixation mécanique (avec encollage ≥ 60% de la surface).</w:t>
      </w:r>
      <w:r>
        <w:br/>
        <w:t>Quelle que soit la technique de pose, les joints de structure ou de gros œuvre sont obligatoirement être répercutés, sans décalage, dans l’ouvrage de parachèvement. Des joints de fractionnement sont projetés et réalisés conformément à la documentation technique accompagnant le système.</w:t>
      </w:r>
      <w:r>
        <w:br/>
        <w:t>Pendant la période de séchage, les ouvrages sont protégés contre le rayonnement solaire direct, l'humidité anormale, les températures élevées et le gel.</w:t>
      </w:r>
    </w:p>
    <w:p w14:paraId="5048FA4C" w14:textId="77777777" w:rsidR="00772179" w:rsidRDefault="00000000">
      <w:pPr>
        <w:jc w:val="both"/>
      </w:pPr>
      <w:r>
        <w:rPr>
          <w:b/>
        </w:rPr>
        <w:t>Support (couche de fixation)</w:t>
      </w:r>
    </w:p>
    <w:p w14:paraId="1AB7257B" w14:textId="77777777" w:rsidR="00772179" w:rsidRDefault="00000000">
      <w:r>
        <w:t xml:space="preserve">Support (couche de fixation) à revêtir : </w:t>
      </w:r>
      <w:r>
        <w:rPr>
          <w:rStyle w:val="optioncarChar"/>
        </w:rPr>
        <w:t>Voile en béton / maçonnerie d’éléments ***</w:t>
      </w:r>
      <w:r>
        <w:t>.</w:t>
      </w:r>
      <w:r>
        <w:br/>
        <w:t xml:space="preserve">Type de support : catégorie </w:t>
      </w:r>
      <w:r>
        <w:rPr>
          <w:rStyle w:val="optioncarChar"/>
        </w:rPr>
        <w:t>A / B / C / D / E</w:t>
      </w:r>
      <w:r>
        <w:t xml:space="preserve"> (cfr [EAD 330196-01-0604]).</w:t>
      </w:r>
      <w:r>
        <w:br/>
        <w:t xml:space="preserve">En cas de voile en béton : préfabriqué / coulé sur place. Classe de résistance : </w:t>
      </w:r>
      <w:r>
        <w:rPr>
          <w:rStyle w:val="optioncarChar"/>
        </w:rPr>
        <w:t>inconnue</w:t>
      </w:r>
      <w:r>
        <w:t xml:space="preserve"> (par défaut) </w:t>
      </w:r>
      <w:r>
        <w:rPr>
          <w:rStyle w:val="optioncarChar"/>
        </w:rPr>
        <w:t>/ ***.</w:t>
      </w:r>
      <w:r>
        <w:br/>
        <w:t xml:space="preserve">En cas de maçonnerie comme support ; nature des éléments de maçonnerie : </w:t>
      </w:r>
      <w:r>
        <w:rPr>
          <w:rStyle w:val="optioncarChar"/>
        </w:rPr>
        <w:t>briques / blocs de béton / blocs de terre cuite / blocs de béton cellulaire</w:t>
      </w:r>
      <w:r>
        <w:t xml:space="preserve">. Groupe des éléments de maçonnerie (cfr [NBN EN 1996-1-1+A1]) : </w:t>
      </w:r>
      <w:r>
        <w:rPr>
          <w:rStyle w:val="optioncarChar"/>
        </w:rPr>
        <w:t>1 / 1s / 2 / 3 / 4</w:t>
      </w:r>
      <w:r>
        <w:t>.</w:t>
      </w:r>
      <w:r>
        <w:br/>
        <w:t xml:space="preserve">Conformité des éléments de maçonnerie à une norme et un PTV : </w:t>
      </w:r>
      <w:r>
        <w:rPr>
          <w:rStyle w:val="optioncarChar"/>
        </w:rPr>
        <w:t>oui / non / inconnu</w:t>
      </w:r>
      <w:r>
        <w:t>.</w:t>
      </w:r>
      <w:r>
        <w:br/>
        <w:t xml:space="preserve">En cas de construction en bois (ossature bois par exemple), nature des panneaux support : </w:t>
      </w:r>
      <w:r>
        <w:rPr>
          <w:rStyle w:val="optioncarChar"/>
        </w:rPr>
        <w:t>panneaux de fibres-ciment / panneaux d’OSB</w:t>
      </w:r>
      <w:r>
        <w:t>.  </w:t>
      </w:r>
      <w:r>
        <w:br/>
        <w:t>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7F259A6D" w14:textId="77777777" w:rsidR="00772179" w:rsidRDefault="00000000">
      <w:pPr>
        <w:jc w:val="both"/>
      </w:pPr>
      <w:r>
        <w:rPr>
          <w:b/>
        </w:rPr>
        <w:t>Couche d’isolation</w:t>
      </w:r>
    </w:p>
    <w:p w14:paraId="60A23105" w14:textId="77777777" w:rsidR="00772179" w:rsidRDefault="00000000">
      <w:r>
        <w:t>Afin d’obtenir une couche d’isolation continue, les panneaux sont posés jointifs à joints alternés et un harpage est réalisé dans les angles. Les joints entre panneaux ne coïncident pas avec une zone de concentration de contraintes (angle de baie par exemple).</w:t>
      </w:r>
      <w:r>
        <w:br/>
        <w:t>Pour les systèmes fixés mécaniquement, le nombre et la position des fixations mécaniques (cfr résistance au vent) suivent un calepinage soumis à l’auteur de projet pour approbation.</w:t>
      </w:r>
    </w:p>
    <w:p w14:paraId="493F7C89" w14:textId="77777777" w:rsidR="00772179" w:rsidRDefault="00000000">
      <w:pPr>
        <w:jc w:val="both"/>
      </w:pPr>
      <w:r>
        <w:rPr>
          <w:b/>
        </w:rPr>
        <w:t>Eventuel enduit de base renforcé, renforts et profilés</w:t>
      </w:r>
    </w:p>
    <w:p w14:paraId="239966F1" w14:textId="77777777" w:rsidR="00772179" w:rsidRDefault="00000000">
      <w:pPr>
        <w:jc w:val="both"/>
      </w:pPr>
      <w:r>
        <w:t>Pour les systèmes avec enduits de base renforcés, des renforts sous la forme de bande de treillis d’environ 30 x 30 cm sont placés au droit des zones de concentration de contraintes. Les profilés sont placés là où nécessaire. Le treillis d’armature est placé dans la moitié extérieure de l’épaisseur de l’enduit de base. L’épaisseur de l’enduit de base respecte les mentions indiquées dans la documentation technique accompagnant le système.</w:t>
      </w:r>
    </w:p>
    <w:p w14:paraId="4F0EF6DA" w14:textId="77777777" w:rsidR="00772179" w:rsidRDefault="00000000">
      <w:pPr>
        <w:jc w:val="both"/>
      </w:pPr>
      <w:r>
        <w:rPr>
          <w:b/>
        </w:rPr>
        <w:t>Mise en œuvre des plaquettes</w:t>
      </w:r>
    </w:p>
    <w:p w14:paraId="0C20F818" w14:textId="77777777" w:rsidR="00772179" w:rsidRDefault="00000000">
      <w:r>
        <w:t xml:space="preserve">La surface de plaquettes est exécutée en appareil : </w:t>
      </w:r>
      <w:r>
        <w:rPr>
          <w:rStyle w:val="optioncarChar"/>
        </w:rPr>
        <w:t>sauvage / d'une demi-brique</w:t>
      </w:r>
      <w:r>
        <w:t xml:space="preserve"> (par défaut)</w:t>
      </w:r>
      <w:r>
        <w:rPr>
          <w:rStyle w:val="optioncarChar"/>
        </w:rPr>
        <w:t xml:space="preserve"> / ***</w:t>
      </w:r>
      <w:r>
        <w:t>.</w:t>
      </w:r>
      <w:r>
        <w:br/>
        <w:t>Epaisseur nominale des joints : </w:t>
      </w:r>
      <w:r>
        <w:rPr>
          <w:rStyle w:val="optioncarChar"/>
        </w:rPr>
        <w:t xml:space="preserve">3 / 6 / 12 </w:t>
      </w:r>
      <w:r>
        <w:t xml:space="preserve">(par défaut) </w:t>
      </w:r>
      <w:r>
        <w:rPr>
          <w:rStyle w:val="optioncarChar"/>
        </w:rPr>
        <w:t>/ ***</w:t>
      </w:r>
      <w:r>
        <w:t xml:space="preserve"> mm.</w:t>
      </w:r>
      <w:r>
        <w:br/>
        <w:t>Les plaquettes sont posées par double encollage.</w:t>
      </w:r>
      <w:r>
        <w:br/>
        <w:t xml:space="preserve">Joints entre plaquettes : </w:t>
      </w:r>
      <w:r>
        <w:rPr>
          <w:rStyle w:val="optioncarChar"/>
        </w:rPr>
        <w:t>ouverts / fermés</w:t>
      </w:r>
      <w:r>
        <w:t xml:space="preserve"> (par défaut).</w:t>
      </w:r>
      <w:r>
        <w:br/>
        <w:t xml:space="preserve">Joints de dilatation : </w:t>
      </w:r>
      <w:r>
        <w:rPr>
          <w:rStyle w:val="optioncarChar"/>
        </w:rPr>
        <w:t>***</w:t>
      </w:r>
      <w:r>
        <w:t xml:space="preserve"> (voir recommandations spécifiques dans la documentation technique accompagnant le système).</w:t>
      </w:r>
      <w:r>
        <w:br/>
        <w:t>Les plaquettes ne peuvent être mises en œuvre que lorsque les conditions climatiques requises en fonction du type de produit de pose sont respectées (conditions généralement entre 5-10 et 25°C et entre 30 et 85 % HR (voir fiches techniques des produits utilisés)).</w:t>
      </w:r>
    </w:p>
    <w:p w14:paraId="67DA5D99" w14:textId="77777777" w:rsidR="00772179" w:rsidRDefault="00000000">
      <w:pPr>
        <w:pStyle w:val="pheading"/>
      </w:pPr>
      <w:r>
        <w:t>- Échantillons</w:t>
      </w:r>
    </w:p>
    <w:p w14:paraId="3F45AF38" w14:textId="77777777" w:rsidR="00772179" w:rsidRDefault="00000000">
      <w:r>
        <w:lastRenderedPageBreak/>
        <w:t xml:space="preserve">Afin de déterminer le choix définitif des plaquettes de parement, un ou plusieurs </w:t>
      </w:r>
      <w:r>
        <w:rPr>
          <w:u w:val="single"/>
        </w:rPr>
        <w:t>échantillons de +/- 1 m²</w:t>
      </w:r>
      <w:r>
        <w:t xml:space="preserve"> (avec un maximum de </w:t>
      </w:r>
      <w:r>
        <w:rPr>
          <w:rStyle w:val="optioncarChar"/>
        </w:rPr>
        <w:t xml:space="preserve">2 </w:t>
      </w:r>
      <w:r>
        <w:t>(par défaut)</w:t>
      </w:r>
      <w:r>
        <w:rPr>
          <w:rStyle w:val="optioncarChar"/>
        </w:rPr>
        <w:t xml:space="preserve"> / 3 / 5 / ***</w:t>
      </w:r>
      <w:r>
        <w:t xml:space="preserve"> échantillons à réaliser au total) sont confectionnés à la demande de l'auteur de projet. Les frais inhérents à la confection et à la démolition de ces échantillons sont à charge de l'entreprise.</w:t>
      </w:r>
      <w:r>
        <w:br/>
        <w:t>La couleur du mastic d’étanchéité est soumise à l’approbation de l’auteur de projet (qui l’approuve) en réalisant un essai d’application sur un mètre de longueur.</w:t>
      </w:r>
      <w:r>
        <w:br/>
        <w:t>La couleur du produit de joints de mouvement est soumise à l’approbation de l’auteur de projet (qui doit l’approuver) en réalisant un essai d’application sur un mètre de longueur.</w:t>
      </w:r>
      <w:r>
        <w:br/>
        <w:t>Le modèle de profilé est proposé à l’auteur de projet qui doit l’approuver.</w:t>
      </w:r>
    </w:p>
    <w:p w14:paraId="6F5FBBC0" w14:textId="77777777" w:rsidR="00772179" w:rsidRDefault="00000000">
      <w:pPr>
        <w:pStyle w:val="pheading"/>
      </w:pPr>
      <w:r>
        <w:t>CONTRÔLES PARTICULIERS</w:t>
      </w:r>
    </w:p>
    <w:p w14:paraId="46B2AEBC" w14:textId="77777777" w:rsidR="00772179" w:rsidRDefault="00000000">
      <w:pPr>
        <w:jc w:val="both"/>
      </w:pPr>
      <w:r>
        <w:rPr>
          <w:b/>
        </w:rPr>
        <w:t>Contrôle du support (couche de fixation) avant mise en œuvre</w:t>
      </w:r>
    </w:p>
    <w:p w14:paraId="4FE6310C" w14:textId="77777777" w:rsidR="00772179" w:rsidRDefault="00000000">
      <w:r>
        <w:t>Contrôle de la présence d’une humidification anormale.</w:t>
      </w:r>
      <w:r>
        <w:br/>
        <w:t>Contrôle visuel de l’état de la paroi (fissures, etc.).</w:t>
      </w:r>
      <w:r>
        <w:br/>
        <w:t>Vérification des tolérances du support : critères voir [Buildwise Article Dossier (2015/4.15)]</w:t>
      </w:r>
      <w:r>
        <w:br/>
        <w:t>Contrôle de la présence d’une finition sur le support :</w:t>
      </w:r>
      <w:r>
        <w:rPr>
          <w:rStyle w:val="optioncarChar"/>
        </w:rPr>
        <w:t xml:space="preserve"> rien / peinture / traitement de surface répulsif à l’eau / enduit / produit de décoffrage / ***.</w:t>
      </w:r>
      <w:r>
        <w:br/>
        <w:t xml:space="preserve">Eventuelle réalisation (à charge </w:t>
      </w:r>
      <w:r>
        <w:rPr>
          <w:rStyle w:val="optioncarChar"/>
        </w:rPr>
        <w:t>du maître d’ouvrage / de l’entrepreneur</w:t>
      </w:r>
      <w:r>
        <w:t xml:space="preserve">) d’une évaluation mécanique de contrôle de l’adhérence d’une couche d’enduit existante : </w:t>
      </w:r>
      <w:r>
        <w:rPr>
          <w:rStyle w:val="optioncarChar"/>
        </w:rPr>
        <w:t>oui / non</w:t>
      </w:r>
      <w:r>
        <w:t xml:space="preserve"> (par défaut).</w:t>
      </w:r>
    </w:p>
    <w:p w14:paraId="4CF46F87" w14:textId="77777777" w:rsidR="00772179" w:rsidRDefault="00000000">
      <w:pPr>
        <w:jc w:val="both"/>
      </w:pPr>
      <w:r>
        <w:rPr>
          <w:b/>
        </w:rPr>
        <w:t>Vérification éventuelle de la résistance mécanique des moyens de fixation in situ</w:t>
      </w:r>
    </w:p>
    <w:p w14:paraId="58676389" w14:textId="77777777" w:rsidR="00772179" w:rsidRDefault="00000000">
      <w:r>
        <w:t>Lorsque l’adhérence de la colle est contrôlée in situ (essai destructif), elle est basée sur les principes des EAD précités.</w:t>
      </w:r>
      <w:r>
        <w:br/>
        <w:t>Lorsque la résistance à l’arrachement de la fixation mécanique hors du support est vérifiée, la base de référence est [EOTA TR051].</w:t>
      </w:r>
    </w:p>
    <w:p w14:paraId="11626247" w14:textId="77777777" w:rsidR="00772179" w:rsidRDefault="00000000">
      <w:pPr>
        <w:jc w:val="both"/>
      </w:pPr>
      <w:r>
        <w:rPr>
          <w:b/>
        </w:rPr>
        <w:t>Eventuel contrôle des tolérances en cas d’imperfections constatés après mise en œuvre</w:t>
      </w:r>
    </w:p>
    <w:p w14:paraId="0660F9AA" w14:textId="77777777" w:rsidR="00772179" w:rsidRDefault="00000000">
      <w:pPr>
        <w:jc w:val="both"/>
      </w:pPr>
      <w:r>
        <w:t>Vérification des tolérances du système : critères voir [Buildwise Article Dossier (2015/4.15)]</w:t>
      </w:r>
    </w:p>
    <w:p w14:paraId="5156A741" w14:textId="77777777" w:rsidR="00772179" w:rsidRDefault="00000000">
      <w:pPr>
        <w:pStyle w:val="pheading"/>
      </w:pPr>
      <w:r>
        <w:t>DOCUMENTS DE RÉFÉRENCE COMPLÉMENTAIRES</w:t>
      </w:r>
    </w:p>
    <w:p w14:paraId="045B40CF" w14:textId="77777777" w:rsidR="00772179" w:rsidRDefault="00000000">
      <w:pPr>
        <w:pStyle w:val="pheading"/>
      </w:pPr>
      <w:r>
        <w:t>- Matériau</w:t>
      </w:r>
    </w:p>
    <w:p w14:paraId="3BD1F0A9" w14:textId="77777777" w:rsidR="00772179" w:rsidRDefault="00000000">
      <w:r>
        <w:t>[NBN B 23-004, Plaquettes en terre cuite - Caractéristiques et exigences de performance]</w:t>
      </w:r>
    </w:p>
    <w:p w14:paraId="000A445D" w14:textId="77777777" w:rsidR="00772179" w:rsidRDefault="00000000">
      <w:r>
        <w:t>[NBN EN 12004-1, Colles à carrelage - Partie 1: Exigences, évaluation et vérification de la constance de performance, classification et marquage]</w:t>
      </w:r>
    </w:p>
    <w:p w14:paraId="24ED4368" w14:textId="77777777" w:rsidR="00772179" w:rsidRDefault="00000000">
      <w:r>
        <w:t>[NBN EN 998-2, Définitions et spécifications des mortiers pour maçonnerie - Partie 2: Mortiers de montage des éléments de maçonnerie]</w:t>
      </w:r>
    </w:p>
    <w:p w14:paraId="3D3FB949" w14:textId="77777777" w:rsidR="00772179" w:rsidRDefault="00000000">
      <w:r>
        <w:t>[PTV 651, Mortier de maçonnerie et mortier de jointoyage]</w:t>
      </w:r>
    </w:p>
    <w:p w14:paraId="50B3F817" w14:textId="77777777" w:rsidR="00772179" w:rsidRDefault="00000000">
      <w:r>
        <w:t>[NBN EN ISO 11600, Construction immobilière - Produits pour joints - Classification et exigences pour les mastics (ISO 11600:2002)]</w:t>
      </w:r>
    </w:p>
    <w:p w14:paraId="23416AA4" w14:textId="77777777" w:rsidR="00772179" w:rsidRDefault="00000000">
      <w:r>
        <w:t>[STS 56.1, Mastics d’étanchéité des façades]</w:t>
      </w:r>
    </w:p>
    <w:p w14:paraId="1FA4D8B7" w14:textId="77777777" w:rsidR="00772179" w:rsidRDefault="00000000">
      <w:r>
        <w:t>[EOTA TR051, Recommendations for job site tests of plastic anchors and screws]</w:t>
      </w:r>
    </w:p>
    <w:p w14:paraId="121AB4BB" w14:textId="77777777" w:rsidR="00772179" w:rsidRDefault="00000000">
      <w:pPr>
        <w:pStyle w:val="pheading"/>
      </w:pPr>
      <w:r>
        <w:t>- Exécution</w:t>
      </w:r>
    </w:p>
    <w:p w14:paraId="25943204" w14:textId="77777777" w:rsidR="00772179" w:rsidRDefault="00000000">
      <w:r>
        <w:t>[Buildwise Article Dossier (2015/4.15), ETICS avec revêtements durs. Partie 2 : mise en oeuvre.]</w:t>
      </w:r>
    </w:p>
    <w:p w14:paraId="414F9341" w14:textId="77777777" w:rsidR="00772179" w:rsidRDefault="00000000">
      <w:r>
        <w:t>[NIT 208, Jointoiement des maçonneries.]</w:t>
      </w:r>
    </w:p>
    <w:p w14:paraId="24D0E940" w14:textId="77777777" w:rsidR="00772179" w:rsidRDefault="00000000">
      <w:r>
        <w:t>[NC Document explicatif, Nœuds constructifs - Document explicatif suivant le “Projet de modification de l’ANNEXE IV/V de l’arrêté PEB”]</w:t>
      </w:r>
    </w:p>
    <w:p w14:paraId="7D90FE69" w14:textId="77777777" w:rsidR="00772179" w:rsidRDefault="00000000">
      <w:pPr>
        <w:pStyle w:val="pheading"/>
      </w:pPr>
      <w:r>
        <w:t>MESURAGE</w:t>
      </w:r>
    </w:p>
    <w:p w14:paraId="3E7CEAE5" w14:textId="77777777" w:rsidR="00772179" w:rsidRDefault="00000000">
      <w:pPr>
        <w:pStyle w:val="pheading"/>
      </w:pPr>
      <w:r>
        <w:t>- unité de mesure:</w:t>
      </w:r>
    </w:p>
    <w:p w14:paraId="594C2AA2" w14:textId="77777777" w:rsidR="00772179" w:rsidRDefault="00000000">
      <w:r>
        <w:t>m² et m</w:t>
      </w:r>
    </w:p>
    <w:p w14:paraId="5A0C61B7" w14:textId="77777777" w:rsidR="00772179" w:rsidRDefault="00000000">
      <w:pPr>
        <w:pStyle w:val="pheading"/>
      </w:pPr>
      <w:r>
        <w:lastRenderedPageBreak/>
        <w:t>- code de mesurage:</w:t>
      </w:r>
    </w:p>
    <w:p w14:paraId="280D93A8" w14:textId="77777777" w:rsidR="00772179" w:rsidRDefault="00000000">
      <w:pPr>
        <w:jc w:val="both"/>
      </w:pPr>
      <w:r>
        <w:rPr>
          <w:b/>
        </w:rPr>
        <w:t>Surface nette</w:t>
      </w:r>
      <w:r>
        <w:t xml:space="preserve"> du système à poser (mesurée dans le plan extérieur des plaquettes). Les ouvertures et les interruptions ≥ 0,50 m² sont déduites. Les retours sont comptés.</w:t>
      </w:r>
    </w:p>
    <w:p w14:paraId="2BE65645" w14:textId="77777777" w:rsidR="00772179" w:rsidRDefault="00000000">
      <w:pPr>
        <w:jc w:val="both"/>
      </w:pPr>
      <w:r>
        <w:t>Distinction faite suivant le type de système.</w:t>
      </w:r>
    </w:p>
    <w:p w14:paraId="3E885E6C" w14:textId="77777777" w:rsidR="00772179" w:rsidRDefault="00000000">
      <w:pPr>
        <w:jc w:val="both"/>
      </w:pPr>
      <w:r>
        <w:rPr>
          <w:b/>
        </w:rPr>
        <w:t>Longueur nette</w:t>
      </w:r>
      <w:r>
        <w:t xml:space="preserve"> des profilés à poser. Distinction faite selon le modèle de profilé.</w:t>
      </w:r>
    </w:p>
    <w:p w14:paraId="109B2868" w14:textId="77777777" w:rsidR="00772179" w:rsidRDefault="00000000">
      <w:pPr>
        <w:pStyle w:val="pheading"/>
      </w:pPr>
      <w:r>
        <w:t>- nature du marché:</w:t>
      </w:r>
    </w:p>
    <w:p w14:paraId="2B69E916" w14:textId="77777777" w:rsidR="00772179" w:rsidRDefault="00000000">
      <w:r>
        <w:t>QF</w:t>
      </w:r>
    </w:p>
    <w:p w14:paraId="191FB987" w14:textId="77777777" w:rsidR="00772179" w:rsidRDefault="00000000">
      <w:pPr>
        <w:pStyle w:val="pheading"/>
      </w:pPr>
      <w:r>
        <w:t>AIDE</w:t>
      </w:r>
    </w:p>
    <w:p w14:paraId="711D1CEC" w14:textId="77777777" w:rsidR="00772179" w:rsidRDefault="00000000">
      <w:pPr>
        <w:jc w:val="both"/>
      </w:pPr>
      <w:r>
        <w:t>La zone de plinthe s’étend entre 50 cm sous le niveau du sol extérieur et 30 cm au-dessus. Les ETICS démarre habituellement au-dessus de la zone de plinthe. Lorsque le panneau d’isolation est utilisé comme isolation de plinthe, il satisfait à des exigences plus strictes (résistance à l’humidité, etc.). Voir [STS 71-2].</w:t>
      </w:r>
    </w:p>
    <w:p w14:paraId="04EB825F" w14:textId="77777777" w:rsidR="00772179" w:rsidRDefault="00000000">
      <w:pPr>
        <w:jc w:val="both"/>
      </w:pPr>
      <w:r>
        <w:t>Les deux modes de fixation suivants sont distingués :</w:t>
      </w:r>
    </w:p>
    <w:p w14:paraId="59F53B12" w14:textId="77777777" w:rsidR="00772179" w:rsidRDefault="00000000">
      <w:pPr>
        <w:pStyle w:val="Author-eListParagraph"/>
        <w:numPr>
          <w:ilvl w:val="0"/>
          <w:numId w:val="1044"/>
        </w:numPr>
        <w:jc w:val="both"/>
      </w:pPr>
      <w:r>
        <w:t xml:space="preserve">le </w:t>
      </w:r>
      <w:r>
        <w:rPr>
          <w:b/>
        </w:rPr>
        <w:t>collage au support</w:t>
      </w:r>
      <w:r>
        <w:t>, avec des fixations mécaniques complémentaires. Les systèmes peuvent être collés en plein (sur toute la surface) ou partiellement (≥ 60 % de la surface) par boudins et/ou par plots accompagnés d’une bande de colle sur les bords de la surface de pose des panneaux isolants. Les charges sont entièrement reprises par la colle. Les éventuelles fixations mécaniques complémentaires servent avant tout à assu­rer la stabilité jusqu’à la prise de la colle et tiennent lieu de liaison provisoire pour éviter les risques de décollement mais aussi à assurer une certaine sécurité ;</w:t>
      </w:r>
    </w:p>
    <w:p w14:paraId="2FE80319" w14:textId="77777777" w:rsidR="00772179" w:rsidRDefault="00000000">
      <w:pPr>
        <w:pStyle w:val="Author-eListParagraph"/>
        <w:numPr>
          <w:ilvl w:val="0"/>
          <w:numId w:val="1044"/>
        </w:numPr>
        <w:jc w:val="both"/>
      </w:pPr>
      <w:r>
        <w:t xml:space="preserve">la </w:t>
      </w:r>
      <w:r>
        <w:rPr>
          <w:b/>
        </w:rPr>
        <w:t>fixation mécanique au support au moyen de chevilles munies d’une rosace</w:t>
      </w:r>
      <w:r>
        <w:t>, combinée à un encollage (≥ 60 % de la surface). La charge de vent est entièrement reprise par les fixations mécaniques. La colle sert à assu­rer la planéité du système mis en œuvre (= système ‘chevillé/calé’), à limiter les mouvements du système (déplacement du système dans le plan et tuilage, par exemple) et à éviter les mouvements d’air au dos des panneaux isolants.</w:t>
      </w:r>
    </w:p>
    <w:p w14:paraId="72CB9C96" w14:textId="77777777" w:rsidR="00772179" w:rsidRDefault="00000000">
      <w:pPr>
        <w:jc w:val="both"/>
      </w:pPr>
      <w:r>
        <w:t>Bien que différents modes de fixation soient souvent com­binés, la distinction du mode principal est nécessaire afin de dimensionner correctement le système pour qu’il résiste à l’action du vent. </w:t>
      </w:r>
    </w:p>
    <w:p w14:paraId="084323C7" w14:textId="77777777" w:rsidR="00772179" w:rsidRDefault="00000000">
      <w:pPr>
        <w:jc w:val="both"/>
      </w:pPr>
      <w:r>
        <w:t>Les revêtements de teinte foncée, caractéri­sés par un facteur d’absorption de l’énergie solaire αe élevé (voir [NBN EN 410]), sont susceptibles d’atteindre des températures &gt; 70 °C lorsqu’ils sont exposés à l’ensoleillement direct (façades orientées de l’est à l’ouest). Or, les performances du système et de ses composants ne sont évaluées que T° ≤ 70 °C. Pour une telle expo­sition, l’usage d’un revêtement mince (épaisseur &lt; 25 mm) de facteur d’absorption énergétique &gt; 0,7 (70 %) est dès lors déconseillé, à moins de réaliser une étude spécifique à la situation. Le fabricant peut en effet justifier des teintes plus foncées (αe &gt; 0,7) lorsque le revêtement présente une épaisseur suffisante et/ou une conductivité thermique assez faible.</w:t>
      </w:r>
    </w:p>
    <w:p w14:paraId="12C03162" w14:textId="77777777" w:rsidR="00772179" w:rsidRDefault="00000000">
      <w:pPr>
        <w:jc w:val="both"/>
      </w:pPr>
      <w:r>
        <w:t>Selon la pratique, les limitations sont également basées sur l’indice de clarté qui est ≥ 30. Le fabricant peut aussi garantir des valeurs plus petites (par ex ≥ 10).</w:t>
      </w:r>
    </w:p>
    <w:p w14:paraId="723336E5" w14:textId="77777777" w:rsidR="00772179" w:rsidRDefault="00000000">
      <w:pPr>
        <w:pStyle w:val="Author-eSectionHeading4Numberless"/>
      </w:pPr>
      <w:bookmarkStart w:id="804" w:name="_Toc220490482"/>
      <w:r>
        <w:t>43.34 Revêtements de façade rigides collés - pierre agglomérée (béton) CCTB 01.11</w:t>
      </w:r>
      <w:bookmarkEnd w:id="804"/>
    </w:p>
    <w:p w14:paraId="31CDD52C" w14:textId="77777777" w:rsidR="00772179" w:rsidRDefault="00000000">
      <w:pPr>
        <w:pStyle w:val="Author-eSectionHeading5Numberless"/>
      </w:pPr>
      <w:bookmarkStart w:id="805" w:name="_Toc220490483"/>
      <w:r>
        <w:t>43.34.1 Revêtements de façade rigides collés - pierre agglomérée (béton) CCTB 01.11</w:t>
      </w:r>
      <w:bookmarkEnd w:id="805"/>
    </w:p>
    <w:p w14:paraId="4077B4B4" w14:textId="77777777" w:rsidR="00772179" w:rsidRDefault="00000000">
      <w:pPr>
        <w:pStyle w:val="Author-eSectionHeading5Numberless"/>
      </w:pPr>
      <w:bookmarkStart w:id="806" w:name="_Toc220490484"/>
      <w:r>
        <w:t>43.34.2 Revêtements de façades rigides collés – système « isolant + pierre agglomérée (béton, …) » CCTB 01.11</w:t>
      </w:r>
      <w:bookmarkEnd w:id="806"/>
    </w:p>
    <w:p w14:paraId="4B5C2E50" w14:textId="77777777" w:rsidR="00772179" w:rsidRDefault="00000000">
      <w:pPr>
        <w:pStyle w:val="pheading"/>
      </w:pPr>
      <w:bookmarkStart w:id="807" w:name="1015"/>
      <w:bookmarkEnd w:id="807"/>
      <w:r>
        <w:t>DESCRIPTION</w:t>
      </w:r>
    </w:p>
    <w:p w14:paraId="2A69937F" w14:textId="77777777" w:rsidR="00772179" w:rsidRDefault="00000000">
      <w:pPr>
        <w:pStyle w:val="pheading"/>
      </w:pPr>
      <w:r>
        <w:lastRenderedPageBreak/>
        <w:t>- Définition / Comprend</w:t>
      </w:r>
    </w:p>
    <w:p w14:paraId="2F4C4036" w14:textId="77777777" w:rsidR="00772179" w:rsidRDefault="00000000">
      <w:pPr>
        <w:jc w:val="both"/>
      </w:pPr>
      <w:r>
        <w:t>Il s'agit de toutes les fournitures et travaux nécessaires en vue de la réalisation d’un système de carreaux ou dalles en pierre agglomérée encollés sur des panneaux d’isolation extérieure soit :</w:t>
      </w:r>
    </w:p>
    <w:p w14:paraId="1B481FA0" w14:textId="77777777" w:rsidR="00772179" w:rsidRDefault="00000000">
      <w:pPr>
        <w:pStyle w:val="Author-eListParagraph"/>
        <w:numPr>
          <w:ilvl w:val="0"/>
          <w:numId w:val="1045"/>
        </w:numPr>
      </w:pPr>
      <w:r>
        <w:t>en usine (systèmes préfabriqués ‘vêtures’ voir </w:t>
      </w:r>
      <w:hyperlink w:anchor="1016" w:history="1">
        <w:r>
          <w:rPr>
            <w:color w:val="0000EE"/>
          </w:rPr>
          <w:t>43.34.2a Revêtements de façades rigides collés – système « isolant + pierre agglomérée (béton, …) » - préfabriqué</w:t>
        </w:r>
      </w:hyperlink>
      <w:r>
        <w:t>) </w:t>
      </w:r>
    </w:p>
    <w:p w14:paraId="38F205F5" w14:textId="77777777" w:rsidR="00772179" w:rsidRDefault="00000000">
      <w:pPr>
        <w:pStyle w:val="Author-eListParagraph"/>
        <w:numPr>
          <w:ilvl w:val="0"/>
          <w:numId w:val="1045"/>
        </w:numPr>
      </w:pPr>
      <w:r>
        <w:t>assemblé sur chantier avec ou sans enduit de base renforcé (voir </w:t>
      </w:r>
      <w:hyperlink w:anchor="1017" w:history="1">
        <w:r>
          <w:rPr>
            <w:color w:val="0000EE"/>
          </w:rPr>
          <w:t>43.34.2b Revêtements de façades rigides collés – système « isolant + pierre agglomérée (béton, …) » - assemblé sur place</w:t>
        </w:r>
      </w:hyperlink>
      <w:r>
        <w:t>).</w:t>
      </w:r>
    </w:p>
    <w:p w14:paraId="37DB50C3" w14:textId="77777777" w:rsidR="00772179" w:rsidRDefault="00000000">
      <w:pPr>
        <w:jc w:val="both"/>
      </w:pPr>
      <w:r>
        <w:t>Les carreaux ou dalles sont jointoyées ou non afin de constituer un ouvrage parfaitement fini.</w:t>
      </w:r>
    </w:p>
    <w:p w14:paraId="73B60AA0" w14:textId="77777777" w:rsidR="00772179" w:rsidRDefault="00000000">
      <w:pPr>
        <w:jc w:val="both"/>
      </w:pPr>
      <w:r>
        <w:t>Les zones de façades courantes se distinguent de la zone de plinthe située entre 50 cm sous le niveau de sol extérieur et minimum 30 cm au-dessus. Les spécifications relatives au système et ses composants sont plus strictes dans ce dernier cas.</w:t>
      </w:r>
    </w:p>
    <w:p w14:paraId="29C28866" w14:textId="77777777" w:rsidR="00772179" w:rsidRDefault="00000000">
      <w:pPr>
        <w:jc w:val="both"/>
      </w:pPr>
      <w:r>
        <w:t>Conformément aux dispositions générales et/ou spécifiques du cahier spécial des charges, les prix unitaires compris dans ces postes comprennent toujours, soit selon la ventilation dans le métré récapitulatif, soit dans leur totalité, notamment :</w:t>
      </w:r>
    </w:p>
    <w:p w14:paraId="26F776AA" w14:textId="77777777" w:rsidR="00772179" w:rsidRDefault="00000000">
      <w:pPr>
        <w:pStyle w:val="Author-eListParagraph"/>
        <w:numPr>
          <w:ilvl w:val="0"/>
          <w:numId w:val="1046"/>
        </w:numPr>
      </w:pPr>
      <w:r>
        <w:t>la pose et l'enlèvement des échafaudages et des bâches nécessaires à l'exécution ;</w:t>
      </w:r>
    </w:p>
    <w:p w14:paraId="7E9027C7" w14:textId="77777777" w:rsidR="00772179" w:rsidRDefault="00000000">
      <w:pPr>
        <w:pStyle w:val="Author-eListParagraph"/>
        <w:numPr>
          <w:ilvl w:val="0"/>
          <w:numId w:val="1046"/>
        </w:numPr>
      </w:pPr>
      <w:r>
        <w:t>le cas échéant, l'enlèvement et la remise en place des descentes d'eau de pluie ;</w:t>
      </w:r>
    </w:p>
    <w:p w14:paraId="7B52FD31" w14:textId="77777777" w:rsidR="00772179" w:rsidRDefault="00000000">
      <w:pPr>
        <w:pStyle w:val="Author-eListParagraph"/>
        <w:numPr>
          <w:ilvl w:val="0"/>
          <w:numId w:val="1046"/>
        </w:numPr>
      </w:pPr>
      <w:r>
        <w:t>la protection provisoire des parties de façade qui ne sont pas destinées à recevoir le système (menuiserie et vitrage par exemple) ;</w:t>
      </w:r>
    </w:p>
    <w:p w14:paraId="39C84367" w14:textId="77777777" w:rsidR="00772179" w:rsidRDefault="00000000">
      <w:pPr>
        <w:pStyle w:val="Author-eListParagraph"/>
        <w:numPr>
          <w:ilvl w:val="0"/>
          <w:numId w:val="1046"/>
        </w:numPr>
      </w:pPr>
      <w:r>
        <w:t>l’installation d’un dispositif de protection contre toute évolution défavorable des conditions climatiques durant l’exécution des travaux ;</w:t>
      </w:r>
    </w:p>
    <w:p w14:paraId="52CE90F9" w14:textId="77777777" w:rsidR="00772179" w:rsidRDefault="00000000">
      <w:pPr>
        <w:pStyle w:val="Author-eListParagraph"/>
        <w:numPr>
          <w:ilvl w:val="0"/>
          <w:numId w:val="1046"/>
        </w:numPr>
      </w:pPr>
      <w:r>
        <w:t>le contrôle de l’état du support (planéité, verticalité, ...) afin de s’assurer de la pertinence de la technique de pose prévue ;</w:t>
      </w:r>
    </w:p>
    <w:p w14:paraId="599C7008" w14:textId="77777777" w:rsidR="00772179" w:rsidRDefault="00000000">
      <w:pPr>
        <w:pStyle w:val="Author-eListParagraph"/>
        <w:numPr>
          <w:ilvl w:val="0"/>
          <w:numId w:val="1046"/>
        </w:numPr>
      </w:pPr>
      <w:r>
        <w:t>la préparation et le nettoyage du support ;</w:t>
      </w:r>
    </w:p>
    <w:p w14:paraId="6182B8FF" w14:textId="77777777" w:rsidR="00772179" w:rsidRDefault="00000000">
      <w:pPr>
        <w:pStyle w:val="Author-eListParagraph"/>
        <w:numPr>
          <w:ilvl w:val="0"/>
          <w:numId w:val="1046"/>
        </w:numPr>
      </w:pPr>
      <w:r>
        <w:t>l’application d’un produit de prétraitement, pour autant que l’assemblage support/système d’isolation l’exige ;</w:t>
      </w:r>
    </w:p>
    <w:p w14:paraId="6F000386" w14:textId="77777777" w:rsidR="00772179" w:rsidRDefault="00000000">
      <w:pPr>
        <w:pStyle w:val="Author-eListParagraph"/>
        <w:numPr>
          <w:ilvl w:val="0"/>
          <w:numId w:val="1046"/>
        </w:numPr>
      </w:pPr>
      <w:r>
        <w:t>la fourniture et la pose de la couche d'isolation ;</w:t>
      </w:r>
    </w:p>
    <w:p w14:paraId="6E94134E" w14:textId="77777777" w:rsidR="00772179" w:rsidRDefault="00000000">
      <w:pPr>
        <w:pStyle w:val="Author-eListParagraph"/>
        <w:numPr>
          <w:ilvl w:val="0"/>
          <w:numId w:val="1046"/>
        </w:numPr>
      </w:pPr>
      <w:r>
        <w:t>l’application de l’enduit de base renforcé si le système le prévoit ainsi que tous les renforts et profilés nécessaires (entoilage dans les zones de concentrations de contraintes, profilés d’angle ou de dilatation, etc.) ;</w:t>
      </w:r>
    </w:p>
    <w:p w14:paraId="41B57944" w14:textId="77777777" w:rsidR="00772179" w:rsidRDefault="00000000">
      <w:pPr>
        <w:pStyle w:val="Author-eListParagraph"/>
        <w:numPr>
          <w:ilvl w:val="0"/>
          <w:numId w:val="1046"/>
        </w:numPr>
      </w:pPr>
      <w:r>
        <w:t>l’encollage des carreaux par double encollage pour les systèmes assemblés sur place, toutes fournitures comprises (notamment les carreaux, les produits de pose et de jointoiement, – y compris les joints souples) ;</w:t>
      </w:r>
    </w:p>
    <w:p w14:paraId="69FA0F20" w14:textId="77777777" w:rsidR="00772179" w:rsidRDefault="00000000">
      <w:pPr>
        <w:pStyle w:val="Author-eListParagraph"/>
        <w:numPr>
          <w:ilvl w:val="0"/>
          <w:numId w:val="1046"/>
        </w:numPr>
      </w:pPr>
      <w:r>
        <w:t>l'enlèvement de toutes les protections, la remise en place de tous les éléments démontés et le rangement du chantier ;</w:t>
      </w:r>
    </w:p>
    <w:p w14:paraId="39232E45" w14:textId="77777777" w:rsidR="00772179" w:rsidRDefault="00000000">
      <w:pPr>
        <w:pStyle w:val="Author-eListParagraph"/>
        <w:numPr>
          <w:ilvl w:val="0"/>
          <w:numId w:val="1046"/>
        </w:numPr>
      </w:pPr>
      <w:r>
        <w:t>l'évacuation et la gestion des déchets issus de travaux de démolition, de rénovation ou de construction font l'objet d'un ou plusieurs postes spécifiques, détaillés en section 07 Déchets, matériaux et éléments réemployables.</w:t>
      </w:r>
    </w:p>
    <w:p w14:paraId="15B2D945" w14:textId="77777777" w:rsidR="00772179" w:rsidRDefault="00000000">
      <w:pPr>
        <w:jc w:val="both"/>
      </w:pPr>
      <w:r>
        <w:t>Sauf disposition contraire dans le cahier spécial des charges, les opérations suivantes ne font pas parties du présent travail et sont décrites dans des articles relatifs à la préparation du support sous le </w:t>
      </w:r>
      <w:hyperlink w:anchor="1009" w:history="1">
        <w:r>
          <w:rPr>
            <w:color w:val="0000EE"/>
          </w:rPr>
          <w:t>43.31 Revêtements de façade rigides collés - préparation du support</w:t>
        </w:r>
      </w:hyperlink>
      <w:r>
        <w:t> ou autre tel que précisé :</w:t>
      </w:r>
    </w:p>
    <w:p w14:paraId="0945FB7E" w14:textId="77777777" w:rsidR="00772179" w:rsidRDefault="00000000">
      <w:pPr>
        <w:pStyle w:val="Author-eListParagraph"/>
        <w:numPr>
          <w:ilvl w:val="0"/>
          <w:numId w:val="1047"/>
        </w:numPr>
        <w:jc w:val="both"/>
      </w:pPr>
      <w:r>
        <w:t>l’augmentation de la rugosité du support ;</w:t>
      </w:r>
    </w:p>
    <w:p w14:paraId="5CCDD8EE" w14:textId="77777777" w:rsidR="00772179" w:rsidRDefault="00000000">
      <w:pPr>
        <w:pStyle w:val="Author-eListParagraph"/>
        <w:numPr>
          <w:ilvl w:val="0"/>
          <w:numId w:val="1047"/>
        </w:numPr>
        <w:jc w:val="both"/>
      </w:pPr>
      <w:r>
        <w:t>l’élimination des inégalités importantes du support en procédant, par exemple, à l’application d’une couche d’égalisation visant à corriger les surfaces hors tolérances ;</w:t>
      </w:r>
    </w:p>
    <w:p w14:paraId="6007F93A" w14:textId="77777777" w:rsidR="00772179" w:rsidRDefault="00000000">
      <w:pPr>
        <w:pStyle w:val="Author-eListParagraph"/>
        <w:numPr>
          <w:ilvl w:val="0"/>
          <w:numId w:val="1047"/>
        </w:numPr>
        <w:jc w:val="both"/>
      </w:pPr>
      <w:r>
        <w:t>l’enlèvement ou la neutralisation des produits de décoffrage ;</w:t>
      </w:r>
    </w:p>
    <w:p w14:paraId="2CF10CF3" w14:textId="77777777" w:rsidR="00772179" w:rsidRDefault="00000000">
      <w:pPr>
        <w:pStyle w:val="Author-eListParagraph"/>
        <w:numPr>
          <w:ilvl w:val="0"/>
          <w:numId w:val="1047"/>
        </w:numPr>
        <w:jc w:val="both"/>
      </w:pPr>
      <w:r>
        <w:t>la protection contre la corrosion des parties métalliques (tuyauteries, par exemple) ;</w:t>
      </w:r>
    </w:p>
    <w:p w14:paraId="368A88D1" w14:textId="77777777" w:rsidR="00772179" w:rsidRDefault="00000000">
      <w:pPr>
        <w:pStyle w:val="Author-eListParagraph"/>
        <w:numPr>
          <w:ilvl w:val="0"/>
          <w:numId w:val="1047"/>
        </w:numPr>
        <w:jc w:val="both"/>
      </w:pPr>
      <w:r>
        <w:t>l’élimination des efflorescences éventuelles ;</w:t>
      </w:r>
    </w:p>
    <w:p w14:paraId="7BAF78CA" w14:textId="77777777" w:rsidR="00772179" w:rsidRDefault="00000000">
      <w:pPr>
        <w:pStyle w:val="Author-eListParagraph"/>
        <w:numPr>
          <w:ilvl w:val="0"/>
          <w:numId w:val="1047"/>
        </w:numPr>
        <w:jc w:val="both"/>
      </w:pPr>
      <w:r>
        <w:t>toute protection autre que celles généralement prévues (voir ci-dessus) ;</w:t>
      </w:r>
    </w:p>
    <w:p w14:paraId="15B9C66F" w14:textId="77777777" w:rsidR="00772179" w:rsidRDefault="00000000">
      <w:pPr>
        <w:pStyle w:val="Author-eListParagraph"/>
        <w:numPr>
          <w:ilvl w:val="0"/>
          <w:numId w:val="1047"/>
        </w:numPr>
        <w:jc w:val="both"/>
      </w:pPr>
      <w:r>
        <w:t>la fourniture et l’application d’un traitement tel qu’un antigraffiti (voir 8 T8 Travaux de peinture / Traitements de surface).</w:t>
      </w:r>
    </w:p>
    <w:p w14:paraId="12FE5D47" w14:textId="77777777" w:rsidR="00772179" w:rsidRDefault="00000000">
      <w:pPr>
        <w:pStyle w:val="pheading"/>
      </w:pPr>
      <w:r>
        <w:lastRenderedPageBreak/>
        <w:t>MATÉRIAUX</w:t>
      </w:r>
    </w:p>
    <w:p w14:paraId="434D352C" w14:textId="77777777" w:rsidR="00772179" w:rsidRDefault="00000000">
      <w:pPr>
        <w:jc w:val="both"/>
      </w:pPr>
      <w:r>
        <w:t>Le système - caractérisé par ses composants identifiés - dispose d'une déclaration d'aptitude à l'utilisation suivant les prescriptions au 02.42.1 Critères d'acceptabilité.</w:t>
      </w:r>
    </w:p>
    <w:p w14:paraId="03FDC4A9" w14:textId="77777777" w:rsidR="00772179" w:rsidRDefault="00000000">
      <w:pPr>
        <w:jc w:val="both"/>
      </w:pPr>
      <w:r>
        <w:t>Il répond au moins aux spécifications de l’[EAD 040287-00-0404] (système avec enduit de base renforcé) et de l’[ETAG 017] pour les vêtures (système composite revêtement + isolant assemblé en usine). Les spécifications pour un système sans enduit de base renforcé se basent sur le premier document cité (sous réserve de certains critères plus strictes et de la réussite d’un essai de résistance aux pluies battantes, voir [NIT 279]).</w:t>
      </w:r>
    </w:p>
    <w:p w14:paraId="396E3B8C" w14:textId="77777777" w:rsidR="00772179" w:rsidRDefault="00000000">
      <w:pPr>
        <w:jc w:val="both"/>
      </w:pPr>
      <w:r>
        <w:rPr>
          <w:b/>
        </w:rPr>
        <w:t>Isolant</w:t>
      </w:r>
    </w:p>
    <w:p w14:paraId="54EF2D85" w14:textId="77777777" w:rsidR="00772179" w:rsidRDefault="00000000">
      <w:pPr>
        <w:jc w:val="both"/>
      </w:pPr>
      <w:r>
        <w:t>L’isolant répond aux spécifications de la norme ‘produit’ qui le vise.</w:t>
      </w:r>
    </w:p>
    <w:p w14:paraId="76B221FA" w14:textId="77777777" w:rsidR="00772179" w:rsidRDefault="00000000">
      <w:pPr>
        <w:jc w:val="both"/>
      </w:pPr>
      <w:r>
        <w:t>Par exemple :</w:t>
      </w:r>
    </w:p>
    <w:p w14:paraId="2ACE6BC8" w14:textId="77777777" w:rsidR="00772179" w:rsidRDefault="00000000">
      <w:pPr>
        <w:pStyle w:val="Author-eListParagraph"/>
        <w:numPr>
          <w:ilvl w:val="0"/>
          <w:numId w:val="1048"/>
        </w:numPr>
      </w:pPr>
      <w:r>
        <w:t>le polystyrène expansé (EPS) : [NBN EN 13163:2012+A2] pour les systèmes avec enduit de base ;</w:t>
      </w:r>
    </w:p>
    <w:p w14:paraId="4C09AA27" w14:textId="77777777" w:rsidR="00772179" w:rsidRDefault="00000000">
      <w:pPr>
        <w:pStyle w:val="Author-eListParagraph"/>
        <w:numPr>
          <w:ilvl w:val="0"/>
          <w:numId w:val="1048"/>
        </w:numPr>
      </w:pPr>
      <w:r>
        <w:t>le polystyrène extrudé (XPS) : [NBN EN 13164+A1] ou le polystyrène expansé de haute densité (EPS)  : [NBN EN 13163:2012+A2], pour les systèmes sans enduit de base ;</w:t>
      </w:r>
    </w:p>
    <w:p w14:paraId="29D1737C" w14:textId="77777777" w:rsidR="00772179" w:rsidRDefault="00000000">
      <w:pPr>
        <w:pStyle w:val="Author-eListParagraph"/>
        <w:numPr>
          <w:ilvl w:val="0"/>
          <w:numId w:val="1048"/>
        </w:numPr>
      </w:pPr>
      <w:r>
        <w:t>le polyuréthane (PU) : [NBN EN 13165:2012+A2] pour les systèmes préfabriqués.</w:t>
      </w:r>
    </w:p>
    <w:p w14:paraId="6348234D" w14:textId="77777777" w:rsidR="00772179" w:rsidRDefault="00000000">
      <w:pPr>
        <w:jc w:val="both"/>
      </w:pPr>
      <w:r>
        <w:t>En outre, il répond à des critères plus stricts pour cet usage particulier (voir [NIT 279]).</w:t>
      </w:r>
    </w:p>
    <w:p w14:paraId="617F3735" w14:textId="77777777" w:rsidR="00772179" w:rsidRDefault="00000000">
      <w:pPr>
        <w:jc w:val="both"/>
      </w:pPr>
      <w:r>
        <w:t>Dans le cas des systèmes sans enduit de base renforcé et des vêtures, tant les panneaux d’isolation que leurs jonctions assurent l’étanchéité à l’eau. Le produit de calfeutrement décrit dans la documentation technique est utilisé à cet égard. La pression d’étanchéité à l’eau admise est déterminée sur la base de la [NBN EN 12865].</w:t>
      </w:r>
    </w:p>
    <w:p w14:paraId="6875DE38" w14:textId="77777777" w:rsidR="00772179" w:rsidRDefault="00000000">
      <w:pPr>
        <w:jc w:val="both"/>
      </w:pPr>
      <w:r>
        <w:rPr>
          <w:b/>
        </w:rPr>
        <w:t>Pierre agglomérée</w:t>
      </w:r>
    </w:p>
    <w:p w14:paraId="0CDAEEC0" w14:textId="77777777" w:rsidR="00772179" w:rsidRDefault="00000000">
      <w:pPr>
        <w:jc w:val="both"/>
      </w:pPr>
      <w:r>
        <w:t>Les carreaux ou dalles en pierre agglomérée répondent aux spécifications de la [NBN EN 15286]. Seuls les éléments de classe A sont à considérer. Le liant des éléments est soit le ciment (élément en béton) soit un liant organique.</w:t>
      </w:r>
    </w:p>
    <w:p w14:paraId="4605FE83" w14:textId="77777777" w:rsidR="00772179" w:rsidRDefault="00000000">
      <w:pPr>
        <w:jc w:val="both"/>
      </w:pPr>
      <w:r>
        <w:rPr>
          <w:b/>
        </w:rPr>
        <w:t>Moyens de fixation mécaniques</w:t>
      </w:r>
    </w:p>
    <w:p w14:paraId="6F01BB5B" w14:textId="77777777" w:rsidR="00772179" w:rsidRDefault="00000000">
      <w:pPr>
        <w:jc w:val="both"/>
      </w:pPr>
      <w:r>
        <w:t>Les moyens de fixation mécaniques répondent aux spécifications de l’[EAD 330196-01-0604] (conversion de l’[ETAG 014]).</w:t>
      </w:r>
    </w:p>
    <w:p w14:paraId="307D951C" w14:textId="77777777" w:rsidR="00772179" w:rsidRDefault="00000000">
      <w:pPr>
        <w:jc w:val="both"/>
      </w:pPr>
      <w:r>
        <w:rPr>
          <w:b/>
        </w:rPr>
        <w:t>Colle à carrelage</w:t>
      </w:r>
    </w:p>
    <w:p w14:paraId="5CCE212C" w14:textId="77777777" w:rsidR="00772179" w:rsidRDefault="00000000">
      <w:pPr>
        <w:jc w:val="both"/>
      </w:pPr>
      <w:r>
        <w:t>La colle à carrelage répond de préférence aux spécifications de la [NBN EN 12004-1]. Son aptitude au sein du système est démontrée par la réussite d’essais selon la [NBN B 62-400] ou méthode équivalente.</w:t>
      </w:r>
    </w:p>
    <w:p w14:paraId="6ADB7231" w14:textId="77777777" w:rsidR="00772179" w:rsidRDefault="00000000">
      <w:pPr>
        <w:jc w:val="both"/>
      </w:pPr>
      <w:r>
        <w:t>Les types - à savoir C (mortier-colle), D (colle en dispersion) ou R (colle réactive) - les classes (colle normale ou améliorée) et les propriétés additionnelles éventuelles (temps ouvert allongé E, durcissement rapide F, glissement limité T, déformabilité S1 ou S2) sont compatibles avec la plaquette, choisis en fonction de l’usage et de la nature du support (isolant ou enduit de base renforcé).</w:t>
      </w:r>
    </w:p>
    <w:p w14:paraId="7FB8C080" w14:textId="77777777" w:rsidR="00772179" w:rsidRDefault="00000000">
      <w:pPr>
        <w:jc w:val="both"/>
      </w:pPr>
      <w:r>
        <w:t>Des alternatives à ces colles à carrelage issues de procédés de préfabrication spécifiques (vêtures) sont autorisées sous réserve de la réussite d’essais selon la [NBN B 62-400] ou méthode équivalente.</w:t>
      </w:r>
    </w:p>
    <w:p w14:paraId="6DBDF4B2" w14:textId="77777777" w:rsidR="00772179" w:rsidRDefault="00000000">
      <w:pPr>
        <w:jc w:val="both"/>
      </w:pPr>
      <w:r>
        <w:rPr>
          <w:b/>
        </w:rPr>
        <w:t>Enduit de base renforcé</w:t>
      </w:r>
    </w:p>
    <w:p w14:paraId="2B6136CB" w14:textId="77777777" w:rsidR="00772179" w:rsidRDefault="00000000">
      <w:pPr>
        <w:jc w:val="both"/>
      </w:pPr>
      <w:r>
        <w:t>L’éventuel enduit de base renforcé satisfait les essais selon la [NBN B 62-400] ou méthode équivalente. Le cas échéant, le treillis d’armature en fibres de verre est de préférence de classe AR (alkali résistant).</w:t>
      </w:r>
    </w:p>
    <w:p w14:paraId="4B7FD366" w14:textId="77777777" w:rsidR="00772179" w:rsidRDefault="00000000">
      <w:pPr>
        <w:jc w:val="both"/>
      </w:pPr>
      <w:r>
        <w:rPr>
          <w:b/>
        </w:rPr>
        <w:t>Mortier de jointoiement</w:t>
      </w:r>
    </w:p>
    <w:p w14:paraId="01DDDF1A" w14:textId="77777777" w:rsidR="00772179" w:rsidRDefault="00000000">
      <w:pPr>
        <w:jc w:val="both"/>
      </w:pPr>
      <w:r>
        <w:lastRenderedPageBreak/>
        <w:t>Le mortier de jointoiement éventuel répond aux spécifications de la [NBN EN 998-2] et du [PTV 651] (jointoiement de maçonnerie) de la [NBN EN 13888] (jointoiement de carrelage) ou bien est dosé in situ (voir [NIT 279]).</w:t>
      </w:r>
    </w:p>
    <w:p w14:paraId="37C4A344" w14:textId="77777777" w:rsidR="00772179" w:rsidRDefault="00000000">
      <w:pPr>
        <w:jc w:val="both"/>
      </w:pPr>
      <w:r>
        <w:rPr>
          <w:b/>
        </w:rPr>
        <w:t>Profilés</w:t>
      </w:r>
    </w:p>
    <w:p w14:paraId="0DB831BD" w14:textId="77777777" w:rsidR="00772179" w:rsidRDefault="00000000">
      <w:pPr>
        <w:jc w:val="both"/>
      </w:pPr>
      <w:r>
        <w:t>Les profilés sont compatibles avec les matériaux mis en œuvre et sont aptes à l’usage en extérieur.</w:t>
      </w:r>
    </w:p>
    <w:p w14:paraId="6E58D575" w14:textId="77777777" w:rsidR="00772179" w:rsidRDefault="00000000">
      <w:pPr>
        <w:jc w:val="both"/>
      </w:pPr>
      <w:r>
        <w:rPr>
          <w:b/>
        </w:rPr>
        <w:t>Bande d’étanchéité pré-comprimée</w:t>
      </w:r>
    </w:p>
    <w:p w14:paraId="6101D360" w14:textId="77777777" w:rsidR="00772179" w:rsidRDefault="00000000">
      <w:pPr>
        <w:jc w:val="both"/>
      </w:pPr>
      <w:r>
        <w:t>La bande d’étanchéité pré-comprimée est étanche à l’eau jusqu’à une pression d’étanchéité déterminée : </w:t>
      </w:r>
      <w:r>
        <w:rPr>
          <w:rStyle w:val="optioncarChar"/>
        </w:rPr>
        <w:t>600 Pa </w:t>
      </w:r>
      <w:r>
        <w:t>(par défaut)</w:t>
      </w:r>
      <w:r>
        <w:rPr>
          <w:rStyle w:val="optioncarChar"/>
        </w:rPr>
        <w:t> / ***</w:t>
      </w:r>
      <w:r>
        <w:t> en fonction de la sollicitation aux pluies battantes. Elle est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1E16FD0B" w14:textId="77777777" w:rsidR="00772179" w:rsidRDefault="00000000">
      <w:pPr>
        <w:jc w:val="both"/>
      </w:pPr>
      <w:r>
        <w:rPr>
          <w:b/>
        </w:rPr>
        <w:t>Mastic d’étanchéité</w:t>
      </w:r>
    </w:p>
    <w:p w14:paraId="72F64970" w14:textId="77777777" w:rsidR="00772179" w:rsidRDefault="00000000">
      <w:pPr>
        <w:jc w:val="both"/>
      </w:pPr>
      <w:r>
        <w:t>Les mastics d’étanchéité des façades sont, quant à eux, chimiquement compatibles avec tous les matériaux avec lesquels ils sont en contact. Ils appartiennent en outre à la classe [STS 56.1]-F – 25 LM.</w:t>
      </w:r>
    </w:p>
    <w:p w14:paraId="6D6C4199" w14:textId="77777777" w:rsidR="00772179" w:rsidRDefault="00000000">
      <w:pPr>
        <w:jc w:val="both"/>
      </w:pPr>
      <w:r>
        <w:rPr>
          <w:b/>
        </w:rPr>
        <w:t>Produit pour joints de mouvement</w:t>
      </w:r>
    </w:p>
    <w:p w14:paraId="6D1D8AC8" w14:textId="77777777" w:rsidR="00772179" w:rsidRDefault="00000000">
      <w:pPr>
        <w:jc w:val="both"/>
      </w:pPr>
      <w:r>
        <w:t>Les produits pour joints de mouvement répondent aux spécifications de la [NBN EN ISO 11600] et des [STS 56.1]. </w:t>
      </w:r>
    </w:p>
    <w:p w14:paraId="216212C5" w14:textId="77777777" w:rsidR="00772179" w:rsidRDefault="00000000">
      <w:pPr>
        <w:jc w:val="both"/>
      </w:pPr>
      <w:r>
        <w:t>Pour le choix d’un système et de ses composants ainsi que pour la mise en œuvre, il importe de se conformer aux instructions et informations techniques accompagnant le système et ses composants.</w:t>
      </w:r>
    </w:p>
    <w:p w14:paraId="4A76C9A3" w14:textId="77777777" w:rsidR="00772179" w:rsidRDefault="00000000">
      <w:pPr>
        <w:pStyle w:val="pheading"/>
      </w:pPr>
      <w:r>
        <w:t>EXÉCUTION / MISE EN ŒUVRE</w:t>
      </w:r>
    </w:p>
    <w:p w14:paraId="4A224349" w14:textId="77777777" w:rsidR="00772179" w:rsidRDefault="00000000">
      <w:pPr>
        <w:jc w:val="both"/>
      </w:pPr>
      <w:r>
        <w:t>L’entrepreneur soumet le descriptif du système et sa configuration (nombre de fixations par exemple) à l’auteur de projet pour approbation. La mise en œuvre et la réalisation des raccords aux ouvrages existants suivent les recommandations de la  [NIT 279]  et la documentation technique accompagnant le système.</w:t>
      </w:r>
    </w:p>
    <w:p w14:paraId="1F7C35E4" w14:textId="77777777" w:rsidR="00772179" w:rsidRDefault="00000000">
      <w:pPr>
        <w:jc w:val="both"/>
      </w:pPr>
      <w:r>
        <w:t>Quelle que soit la technique de pose, les joints de structure ou de gros œuvre sont obligatoirement répercutés, sans décalage, dans l’ouvrage de parachèvement. Des joints de fractionnement sont projetés et réalisés conformément à la documentation technique accompagnant le système.</w:t>
      </w:r>
    </w:p>
    <w:p w14:paraId="7B2C34A8" w14:textId="77777777" w:rsidR="00772179" w:rsidRDefault="00000000">
      <w:pPr>
        <w:jc w:val="both"/>
      </w:pPr>
      <w:r>
        <w:t>Pendant la période de séchage, les ouvrages sont protégés contre le rayonnement solaire direct, l'humidité anormale, les températures élevées et le gel.</w:t>
      </w:r>
    </w:p>
    <w:p w14:paraId="69ED0026" w14:textId="77777777" w:rsidR="00772179" w:rsidRDefault="00000000">
      <w:pPr>
        <w:jc w:val="both"/>
      </w:pPr>
      <w:r>
        <w:t>L’exécution est réalisée conformément à la  [NIT 279]  et à la documentation technique spécifique accompagnant le produit.</w:t>
      </w:r>
    </w:p>
    <w:p w14:paraId="442B9A08" w14:textId="77777777" w:rsidR="00772179" w:rsidRDefault="00000000">
      <w:pPr>
        <w:jc w:val="both"/>
      </w:pPr>
      <w:r>
        <w:t>Le choix des produits de pose et de la technique de pose sont déterminés notamment par les caractéristiques du support.</w:t>
      </w:r>
    </w:p>
    <w:p w14:paraId="57C0F1C8" w14:textId="77777777" w:rsidR="00772179" w:rsidRDefault="00000000">
      <w:pPr>
        <w:jc w:val="both"/>
      </w:pPr>
      <w:r>
        <w:t>L’entrepreneur contrôle dans quelle mesure le support répond aux exigences spécifiées en termes de stabilité et déformabilité, sensibilité à l’humidité, cohésion de surface et rugosité, niveau, planéité et horizontalité du support.</w:t>
      </w:r>
    </w:p>
    <w:p w14:paraId="20086D6F" w14:textId="77777777" w:rsidR="00772179" w:rsidRDefault="00000000">
      <w:pPr>
        <w:jc w:val="both"/>
      </w:pPr>
      <w:r>
        <w:t>Si un support ancien ne présente pas l’exigence requise décrite, l’entrepreneur propose les travaux d’adaptation dans son offre de prix (décrits et comptabilisés séparément).</w:t>
      </w:r>
    </w:p>
    <w:p w14:paraId="7E5B04C0" w14:textId="77777777" w:rsidR="00772179" w:rsidRDefault="00000000">
      <w:pPr>
        <w:jc w:val="both"/>
      </w:pPr>
      <w:r>
        <w:t>Si un support neuf ne présente pas l’exigence requise décrite, l’entrepreneur en avertit le donneur d’ordre. L’exécution des travaux de mise en conformité des supports et/ou la mise en œuvre d’un ouvrage intermédiaire préparatoire sont alors nécessaires. Ces travaux sont décrits et comptabilisés séparément (à charge de l’entreprise en charge de l’exécution du support).</w:t>
      </w:r>
    </w:p>
    <w:p w14:paraId="04D23A42" w14:textId="77777777" w:rsidR="00772179" w:rsidRDefault="00000000">
      <w:pPr>
        <w:pStyle w:val="pheading"/>
      </w:pPr>
      <w:r>
        <w:t>CONTRÔLES</w:t>
      </w:r>
    </w:p>
    <w:p w14:paraId="101196E0" w14:textId="77777777" w:rsidR="00772179" w:rsidRDefault="00000000">
      <w:pPr>
        <w:jc w:val="both"/>
      </w:pPr>
      <w:r>
        <w:rPr>
          <w:b/>
        </w:rPr>
        <w:t>Contrôle du support (couche de fixation) avant mise en œuvre</w:t>
      </w:r>
    </w:p>
    <w:p w14:paraId="0DD5B8E3" w14:textId="77777777" w:rsidR="00772179" w:rsidRDefault="00000000">
      <w:pPr>
        <w:jc w:val="both"/>
      </w:pPr>
      <w:r>
        <w:t>Contrôle de la présence d’une humidification anormale.</w:t>
      </w:r>
    </w:p>
    <w:p w14:paraId="5B22A811" w14:textId="77777777" w:rsidR="00772179" w:rsidRDefault="00000000">
      <w:pPr>
        <w:jc w:val="both"/>
      </w:pPr>
      <w:r>
        <w:lastRenderedPageBreak/>
        <w:t>Contrôle visuel de l’état de la paroi (fissures, etc.).</w:t>
      </w:r>
    </w:p>
    <w:p w14:paraId="5B967894" w14:textId="77777777" w:rsidR="00772179" w:rsidRDefault="00000000">
      <w:pPr>
        <w:jc w:val="both"/>
      </w:pPr>
      <w:r>
        <w:t>Vérification des tolérances du support : critères voir [NIT 279]</w:t>
      </w:r>
    </w:p>
    <w:p w14:paraId="369CAEE4" w14:textId="77777777" w:rsidR="00772179" w:rsidRDefault="00000000">
      <w:pPr>
        <w:jc w:val="both"/>
      </w:pPr>
      <w:r>
        <w:rPr>
          <w:b/>
        </w:rPr>
        <w:t>Vérification éventuelle de la résistance mécanique des moyens de fixation in situ</w:t>
      </w:r>
    </w:p>
    <w:p w14:paraId="33EE3499" w14:textId="77777777" w:rsidR="00772179" w:rsidRDefault="00000000">
      <w:pPr>
        <w:jc w:val="both"/>
      </w:pPr>
      <w:r>
        <w:t>Lorsque l’adhérence de la colle est contrôlée in situ (essai destructif), elle est basée sur les principes des EAD précités.</w:t>
      </w:r>
    </w:p>
    <w:p w14:paraId="5464AE44" w14:textId="77777777" w:rsidR="00772179" w:rsidRDefault="00000000">
      <w:pPr>
        <w:jc w:val="both"/>
      </w:pPr>
      <w:r>
        <w:t>Lorsque la résistance à l’arrachement de la fixation mécanique hors du support est vérifiée, la base de référence est [EOTA TR051].</w:t>
      </w:r>
    </w:p>
    <w:p w14:paraId="357E5AFE" w14:textId="77777777" w:rsidR="00772179" w:rsidRDefault="00000000">
      <w:pPr>
        <w:jc w:val="both"/>
      </w:pPr>
      <w:r>
        <w:rPr>
          <w:b/>
        </w:rPr>
        <w:t>Eventuel contrôle des tolérances en cas d’imperfections constatés après mise en œuvre</w:t>
      </w:r>
    </w:p>
    <w:p w14:paraId="4B759884" w14:textId="77777777" w:rsidR="00772179" w:rsidRDefault="00000000">
      <w:pPr>
        <w:jc w:val="both"/>
      </w:pPr>
      <w:r>
        <w:t>Vérification des tolérances du système : critères voir [NIT 279]</w:t>
      </w:r>
    </w:p>
    <w:p w14:paraId="7968DC69" w14:textId="77777777" w:rsidR="00772179" w:rsidRDefault="00000000">
      <w:pPr>
        <w:pStyle w:val="pheading"/>
      </w:pPr>
      <w:r>
        <w:t>DOCUMENTS DE RÉFÉRENCE</w:t>
      </w:r>
    </w:p>
    <w:p w14:paraId="46DCADE4" w14:textId="77777777" w:rsidR="00772179" w:rsidRDefault="00000000">
      <w:pPr>
        <w:pStyle w:val="pheading"/>
      </w:pPr>
      <w:r>
        <w:t>- Matériau</w:t>
      </w:r>
    </w:p>
    <w:p w14:paraId="1B07E683" w14:textId="77777777" w:rsidR="00772179" w:rsidRDefault="00000000">
      <w:r>
        <w:t>[NIT 279, Revêtements durs sur isolation extérieure (ETICS avec revêtements durs).]</w:t>
      </w:r>
    </w:p>
    <w:p w14:paraId="1922EB89" w14:textId="77777777" w:rsidR="00772179" w:rsidRDefault="00000000">
      <w:r>
        <w:t>[NBN EN 15286, Pierres agglomérées - Carreaux et plaques pour finitions murales (intérieures et extérieures)]</w:t>
      </w:r>
    </w:p>
    <w:p w14:paraId="6BB2A63B" w14:textId="77777777" w:rsidR="00772179" w:rsidRDefault="00000000">
      <w:r>
        <w:t>[NBN EN 998-2, Définitions et spécifications des mortiers pour maçonnerie - Partie 2: Mortiers de montage des éléments de maçonnerie]</w:t>
      </w:r>
    </w:p>
    <w:p w14:paraId="3FA01FDE" w14:textId="77777777" w:rsidR="00772179" w:rsidRDefault="00000000">
      <w:r>
        <w:t>[PTV 651, Mortier de maçonnerie et mortier de jointoyage]</w:t>
      </w:r>
    </w:p>
    <w:p w14:paraId="7CF359FE" w14:textId="77777777" w:rsidR="00772179" w:rsidRDefault="00000000">
      <w:r>
        <w:t>[NBN EN 13888, Mortiers de jointoiement pour carreaux et dalles céramiques - Exigences, évaluation de conformité, classification et désignation]</w:t>
      </w:r>
    </w:p>
    <w:p w14:paraId="1ED05704" w14:textId="77777777" w:rsidR="00772179" w:rsidRDefault="00000000">
      <w:r>
        <w:t>[NBN EN ISO 11600, Construction immobilière - Produits pour joints - Classification et exigences pour les mastics (ISO 11600:2002)]</w:t>
      </w:r>
    </w:p>
    <w:p w14:paraId="39A7041A" w14:textId="77777777" w:rsidR="00772179" w:rsidRDefault="00000000">
      <w:r>
        <w:t>[STS 56.1, Mastics d’étanchéité des façades]</w:t>
      </w:r>
    </w:p>
    <w:p w14:paraId="57553681" w14:textId="77777777" w:rsidR="00772179" w:rsidRDefault="00000000">
      <w:r>
        <w:t>[EAD 040287-00-0404, Kits for external thermal insulation composite system (ETICS) with panels as thermal insulation and discontinuous claddings as exterior skin]</w:t>
      </w:r>
    </w:p>
    <w:p w14:paraId="7B18E3A1" w14:textId="77777777" w:rsidR="00772179" w:rsidRDefault="00000000">
      <w:r>
        <w:t>[ETAG 017, Veture Kits]</w:t>
      </w:r>
    </w:p>
    <w:p w14:paraId="04E17F7E" w14:textId="77777777" w:rsidR="00772179" w:rsidRDefault="00000000">
      <w:r>
        <w:t>[EAD 330196-01-0604, Plastic anchors made of virgin or non-virgin material for fixing of external thermal insulation composite systems with rendering]</w:t>
      </w:r>
    </w:p>
    <w:p w14:paraId="59E4BCBE" w14:textId="77777777" w:rsidR="00772179" w:rsidRDefault="00000000">
      <w:r>
        <w:t>[EOTA TR051, Recommendations for job site tests of plastic anchors and screws]</w:t>
      </w:r>
    </w:p>
    <w:p w14:paraId="3729B92A" w14:textId="77777777" w:rsidR="00772179" w:rsidRDefault="00000000">
      <w:r>
        <w:t>[Buildwise Pathologie Infofiche 11, Classes de climat intérieur]</w:t>
      </w:r>
    </w:p>
    <w:p w14:paraId="56B14890" w14:textId="77777777" w:rsidR="00772179" w:rsidRDefault="00000000">
      <w:r>
        <w:t>[NIT 255, L'étanchéité à l'air des bâtiments]</w:t>
      </w:r>
    </w:p>
    <w:p w14:paraId="6A39A104" w14:textId="77777777" w:rsidR="00772179" w:rsidRDefault="00000000">
      <w:pPr>
        <w:pStyle w:val="pheading"/>
      </w:pPr>
      <w:r>
        <w:t>- Exécution</w:t>
      </w:r>
    </w:p>
    <w:p w14:paraId="3FE2F516" w14:textId="77777777" w:rsidR="00772179" w:rsidRDefault="00000000">
      <w:r>
        <w:t>[NIT 279, Revêtements durs sur isolation extérieure (ETICS avec revêtements durs).]</w:t>
      </w:r>
    </w:p>
    <w:p w14:paraId="00E136A5" w14:textId="77777777" w:rsidR="00772179" w:rsidRDefault="00000000">
      <w:r>
        <w:t>[NIT 208, Jointoiement des maçonneries.]</w:t>
      </w:r>
    </w:p>
    <w:p w14:paraId="5AFA0FC3" w14:textId="77777777" w:rsidR="00772179" w:rsidRDefault="00000000">
      <w:r>
        <w:t>Voir annexe B2 de l'[AGW 2014-05-15 PEB, Arrêté du Gouvernement wallon portant exécution du décret du 28 novembre 2013 relatif à la performance énergétique des bâtiments]</w:t>
      </w:r>
    </w:p>
    <w:p w14:paraId="463B920B" w14:textId="77777777" w:rsidR="00772179" w:rsidRDefault="00000000">
      <w:pPr>
        <w:ind w:left="750"/>
      </w:pPr>
      <w:r>
        <w:t> </w:t>
      </w:r>
    </w:p>
    <w:p w14:paraId="765E8C01" w14:textId="77777777" w:rsidR="00772179" w:rsidRDefault="00000000">
      <w:pPr>
        <w:pStyle w:val="Author-eSectionHeading6Numberless"/>
      </w:pPr>
      <w:bookmarkStart w:id="808" w:name="_Toc220490485"/>
      <w:r>
        <w:t>43.34.2a Revêtements de façades rigides collés – système « isolant + pierre agglomérée (béton, …) » - préfabriqué CCTB 01.11</w:t>
      </w:r>
      <w:bookmarkEnd w:id="808"/>
    </w:p>
    <w:p w14:paraId="242E04AA" w14:textId="77777777" w:rsidR="00772179" w:rsidRDefault="00000000">
      <w:pPr>
        <w:pStyle w:val="Author-eSectionHeading6Numberless"/>
      </w:pPr>
      <w:bookmarkStart w:id="809" w:name="1016"/>
      <w:bookmarkStart w:id="810" w:name="_Toc220490486"/>
      <w:bookmarkEnd w:id="809"/>
      <w:r>
        <w:t>43.34.2b Revêtements de façades rigides collés – système « isolant + pierre agglomérée (béton, …) » - assemblé sur place CCTB 01.11</w:t>
      </w:r>
      <w:bookmarkEnd w:id="810"/>
    </w:p>
    <w:p w14:paraId="1475C2CE" w14:textId="77777777" w:rsidR="00772179" w:rsidRDefault="00000000">
      <w:pPr>
        <w:pStyle w:val="pheading"/>
      </w:pPr>
      <w:bookmarkStart w:id="811" w:name="1017"/>
      <w:bookmarkEnd w:id="811"/>
      <w:r>
        <w:t>DESCRIPTION</w:t>
      </w:r>
    </w:p>
    <w:p w14:paraId="04BF1289" w14:textId="77777777" w:rsidR="00772179" w:rsidRDefault="00000000">
      <w:pPr>
        <w:pStyle w:val="pheading"/>
      </w:pPr>
      <w:r>
        <w:t>- Définition / Comprend</w:t>
      </w:r>
    </w:p>
    <w:p w14:paraId="3136C000" w14:textId="77777777" w:rsidR="00772179" w:rsidRDefault="00000000">
      <w:pPr>
        <w:jc w:val="both"/>
      </w:pPr>
      <w:r>
        <w:lastRenderedPageBreak/>
        <w:t>Il s’agit de la fourniture et de la pose d’un système de pierre agglomérée (liée au ciment ou avec un liant organique) collés sur isolation extérieure, assemblé sur place, pour une application en façade (ETICS avec revêtement dur en pierre agglomérée). Les panneaux d’isolation sont recouverts d’un enduit de base renforcé (assurant l’étanchéité à l’eau) ou non (la couche d’isolation assure l’étanchéité à l’eau).</w:t>
      </w:r>
    </w:p>
    <w:p w14:paraId="1C709C9D" w14:textId="77777777" w:rsidR="00772179" w:rsidRDefault="00000000">
      <w:pPr>
        <w:jc w:val="both"/>
      </w:pPr>
      <w:r>
        <w:t>La portée des travaux est décrite au </w:t>
      </w:r>
      <w:hyperlink w:anchor="1015" w:history="1">
        <w:r>
          <w:rPr>
            <w:color w:val="0000EE"/>
          </w:rPr>
          <w:t>43.34.2 Revêtements de façades rigides collés – système « isolant + pierre agglomérée (béton, …) »</w:t>
        </w:r>
      </w:hyperlink>
      <w:r>
        <w:t>.</w:t>
      </w:r>
    </w:p>
    <w:p w14:paraId="2734F9FE" w14:textId="77777777" w:rsidR="00772179" w:rsidRDefault="00000000">
      <w:pPr>
        <w:pStyle w:val="pheading"/>
      </w:pPr>
      <w:r>
        <w:t>MATÉRIAUX</w:t>
      </w:r>
    </w:p>
    <w:p w14:paraId="36675FA3" w14:textId="77777777" w:rsidR="00772179" w:rsidRDefault="00000000">
      <w:pPr>
        <w:pStyle w:val="pheading"/>
      </w:pPr>
      <w:r>
        <w:t>- Caractéristiques générales</w:t>
      </w:r>
    </w:p>
    <w:p w14:paraId="36CCCC4D" w14:textId="77777777" w:rsidR="00772179" w:rsidRDefault="00000000">
      <w:pPr>
        <w:pStyle w:val="Author-eListParagraph"/>
        <w:numPr>
          <w:ilvl w:val="0"/>
          <w:numId w:val="1049"/>
        </w:numPr>
      </w:pPr>
      <w:r>
        <w:t>Classe de climat intérieur (cfr [Pathologie 11] de Buildwise) : classe </w:t>
      </w:r>
      <w:r>
        <w:rPr>
          <w:rStyle w:val="optioncarChar"/>
        </w:rPr>
        <w:t>I / II / III / IV</w:t>
      </w:r>
      <w:r>
        <w:t>.</w:t>
      </w:r>
    </w:p>
    <w:p w14:paraId="69C688E0" w14:textId="77777777" w:rsidR="00772179" w:rsidRDefault="00000000">
      <w:pPr>
        <w:pStyle w:val="Author-eListParagraph"/>
        <w:numPr>
          <w:ilvl w:val="0"/>
          <w:numId w:val="1049"/>
        </w:numPr>
      </w:pPr>
      <w:r>
        <w:t>Etanchéité à l’air de la paroi support (cfr [NIT 255]) : Classe </w:t>
      </w:r>
      <w:r>
        <w:rPr>
          <w:rStyle w:val="optioncarChar"/>
        </w:rPr>
        <w:t>L0 / L1 / L2</w:t>
      </w:r>
      <w:r>
        <w:t>.</w:t>
      </w:r>
    </w:p>
    <w:p w14:paraId="007DF097" w14:textId="77777777" w:rsidR="00772179" w:rsidRDefault="00000000">
      <w:pPr>
        <w:pStyle w:val="Author-eListParagraph"/>
        <w:numPr>
          <w:ilvl w:val="0"/>
          <w:numId w:val="1049"/>
        </w:numPr>
      </w:pPr>
      <w:r>
        <w:t>Les travaux concernent : </w:t>
      </w:r>
      <w:r>
        <w:rPr>
          <w:rStyle w:val="optioncarChar"/>
        </w:rPr>
        <w:t>la façade courante (hors zone de plinthe)</w:t>
      </w:r>
      <w:r>
        <w:t> (par défaut)</w:t>
      </w:r>
      <w:r>
        <w:rPr>
          <w:rStyle w:val="optioncarChar"/>
        </w:rPr>
        <w:t> / la zone de plinthe / la zone de plinthe et la façade courante</w:t>
      </w:r>
      <w:r>
        <w:t>. </w:t>
      </w:r>
    </w:p>
    <w:p w14:paraId="7A8383F4" w14:textId="77777777" w:rsidR="00772179" w:rsidRDefault="00000000">
      <w:pPr>
        <w:pStyle w:val="Author-eListParagraph"/>
        <w:numPr>
          <w:ilvl w:val="0"/>
          <w:numId w:val="1049"/>
        </w:numPr>
      </w:pPr>
      <w:r>
        <w:t>Niveaux inférieur et supérieur à traiter : voir plans et métrés détaillés.</w:t>
      </w:r>
    </w:p>
    <w:p w14:paraId="226A2333" w14:textId="77777777" w:rsidR="00772179" w:rsidRDefault="00000000">
      <w:pPr>
        <w:pStyle w:val="Author-eListParagraph"/>
        <w:numPr>
          <w:ilvl w:val="0"/>
          <w:numId w:val="1049"/>
        </w:numPr>
      </w:pPr>
      <w:r>
        <w:t> Aspect : </w:t>
      </w:r>
      <w:r>
        <w:rPr>
          <w:rStyle w:val="optioncarChar"/>
        </w:rPr>
        <w:t>maçonnerie </w:t>
      </w:r>
      <w:r>
        <w:t>(par défaut) </w:t>
      </w:r>
      <w:r>
        <w:rPr>
          <w:rStyle w:val="optioncarChar"/>
        </w:rPr>
        <w:t>/ carrelage</w:t>
      </w:r>
    </w:p>
    <w:p w14:paraId="5CD52EC5" w14:textId="77777777" w:rsidR="00772179" w:rsidRDefault="00000000">
      <w:pPr>
        <w:jc w:val="both"/>
      </w:pPr>
      <w:r>
        <w:t>Le système et ses composants répondent aux spécifications décrites dans la [NIT 279].</w:t>
      </w:r>
    </w:p>
    <w:p w14:paraId="79703433" w14:textId="77777777" w:rsidR="00772179" w:rsidRDefault="00000000">
      <w:pPr>
        <w:jc w:val="both"/>
      </w:pPr>
      <w:r>
        <w:rPr>
          <w:b/>
        </w:rPr>
        <w:t>Système</w:t>
      </w:r>
    </w:p>
    <w:p w14:paraId="608F734C" w14:textId="77777777" w:rsidR="00772179" w:rsidRDefault="00000000">
      <w:pPr>
        <w:jc w:val="both"/>
      </w:pPr>
      <w:r>
        <w:t>Type de système, à transmettre au maître d’ouvrage : </w:t>
      </w:r>
      <w:r>
        <w:rPr>
          <w:rStyle w:val="optioncarChar"/>
        </w:rPr>
        <w:t>au choix de l’entrepreneur soumis à l’approbation de l’auteur de projet </w:t>
      </w:r>
      <w:r>
        <w:t>(par défaut)</w:t>
      </w:r>
      <w:r>
        <w:rPr>
          <w:rStyle w:val="optioncarChar"/>
        </w:rPr>
        <w:t> / système collé (≥ 60 % de la surface) avec fixations mécaniques / système fixé mécaniquement avec encollage (≥ 60 % de la surface)</w:t>
      </w:r>
      <w:r>
        <w:t>.</w:t>
      </w:r>
    </w:p>
    <w:p w14:paraId="7A4724AA" w14:textId="77777777" w:rsidR="00772179" w:rsidRDefault="00000000">
      <w:pPr>
        <w:jc w:val="both"/>
      </w:pPr>
      <w:r>
        <w:t>Présence d’un enduit de base renforcé : </w:t>
      </w:r>
      <w:r>
        <w:rPr>
          <w:rStyle w:val="optioncarChar"/>
        </w:rPr>
        <w:t>au choix de l’entrepreneur soumis à approbation de l’auteur de projet </w:t>
      </w:r>
      <w:r>
        <w:t>(par défaut)</w:t>
      </w:r>
      <w:r>
        <w:rPr>
          <w:rStyle w:val="optioncarChar"/>
        </w:rPr>
        <w:t> / avec enduit de base renforcé / sans enduit de base renforcé</w:t>
      </w:r>
      <w:r>
        <w:t>.</w:t>
      </w:r>
    </w:p>
    <w:p w14:paraId="165689D8" w14:textId="77777777" w:rsidR="00772179" w:rsidRDefault="00000000">
      <w:pPr>
        <w:jc w:val="both"/>
      </w:pPr>
      <w:r>
        <w:t>Epaisseur totale maximale du système rapporté : ≤ </w:t>
      </w:r>
      <w:r>
        <w:rPr>
          <w:rStyle w:val="optioncarChar"/>
        </w:rPr>
        <w:t>***</w:t>
      </w:r>
      <w:r>
        <w:t> cm</w:t>
      </w:r>
    </w:p>
    <w:p w14:paraId="10F2CF28" w14:textId="77777777" w:rsidR="00772179" w:rsidRDefault="00000000">
      <w:pPr>
        <w:jc w:val="both"/>
      </w:pPr>
      <w:r>
        <w:t>Masse surfacique maximale du système rapporté : ≤ </w:t>
      </w:r>
      <w:r>
        <w:rPr>
          <w:rStyle w:val="optioncarChar"/>
        </w:rPr>
        <w:t>***</w:t>
      </w:r>
      <w:r>
        <w:t> kg/m²</w:t>
      </w:r>
    </w:p>
    <w:p w14:paraId="4E01E109" w14:textId="77777777" w:rsidR="00772179" w:rsidRDefault="00000000">
      <w:pPr>
        <w:jc w:val="both"/>
      </w:pPr>
      <w:r>
        <w:t>Pression d’étanchéité à la pluie requise suivant [NIT 279] : ≥ </w:t>
      </w:r>
      <w:r>
        <w:rPr>
          <w:rStyle w:val="optioncarChar"/>
        </w:rPr>
        <w:t>600 / 900 / ***</w:t>
      </w:r>
      <w:r>
        <w:t> Pa</w:t>
      </w:r>
    </w:p>
    <w:p w14:paraId="3922F641" w14:textId="77777777" w:rsidR="00772179" w:rsidRDefault="00000000">
      <w:pPr>
        <w:jc w:val="both"/>
      </w:pPr>
      <w:r>
        <w:t>Résistance aux chocs requise suivant [NIT 279] : catégorie d’utilisation </w:t>
      </w:r>
      <w:r>
        <w:rPr>
          <w:rStyle w:val="optioncarChar"/>
        </w:rPr>
        <w:t>I / II / III / IV</w:t>
      </w:r>
      <w:r>
        <w:t>.</w:t>
      </w:r>
    </w:p>
    <w:p w14:paraId="0D4DE93E" w14:textId="77777777" w:rsidR="00772179" w:rsidRDefault="00000000">
      <w:pPr>
        <w:jc w:val="both"/>
      </w:pPr>
      <w:r>
        <w:t>Indice d’affaiblissement acoustique pondéré R</w:t>
      </w:r>
      <w:r>
        <w:rPr>
          <w:vertAlign w:val="subscript"/>
        </w:rPr>
        <w:t>Atr</w:t>
      </w:r>
      <w:r>
        <w:t> : </w:t>
      </w:r>
      <w:r>
        <w:rPr>
          <w:rStyle w:val="optioncarChar"/>
        </w:rPr>
        <w:t>≥ *** db / non spécifié</w:t>
      </w:r>
      <w:r>
        <w:t> </w:t>
      </w:r>
    </w:p>
    <w:p w14:paraId="00F9A9E6" w14:textId="77777777" w:rsidR="00772179" w:rsidRDefault="00000000">
      <w:pPr>
        <w:jc w:val="both"/>
      </w:pPr>
      <w:r>
        <w:t>Réaction au feu du système : </w:t>
      </w:r>
      <w:r>
        <w:rPr>
          <w:rStyle w:val="optioncarChar"/>
        </w:rPr>
        <w:t>A1 / A2 / B / C / D / E / F</w:t>
      </w:r>
    </w:p>
    <w:p w14:paraId="04F77CC7" w14:textId="77777777" w:rsidR="00772179" w:rsidRDefault="00000000">
      <w:pPr>
        <w:jc w:val="both"/>
      </w:pPr>
      <w:r>
        <w:t>Etude action du vent : à charge de </w:t>
      </w:r>
      <w:r>
        <w:rPr>
          <w:rStyle w:val="optioncarChar"/>
        </w:rPr>
        <w:t>l’auteur de projet </w:t>
      </w:r>
      <w:r>
        <w:t>(par défaut)</w:t>
      </w:r>
      <w:r>
        <w:rPr>
          <w:rStyle w:val="optioncarChar"/>
        </w:rPr>
        <w:t> / l’entrepreneur</w:t>
      </w:r>
    </w:p>
    <w:p w14:paraId="257A95D1" w14:textId="77777777" w:rsidR="00772179" w:rsidRDefault="00000000">
      <w:pPr>
        <w:jc w:val="both"/>
      </w:pPr>
      <w:r>
        <w:t>Longueur de chacune des zones de bord (cfr action du vent) : </w:t>
      </w:r>
      <w:r>
        <w:rPr>
          <w:rStyle w:val="optioncarChar"/>
        </w:rPr>
        <w:t>*** m / non spécifié</w:t>
      </w:r>
    </w:p>
    <w:p w14:paraId="6AD248C0" w14:textId="77777777" w:rsidR="00772179" w:rsidRDefault="00000000">
      <w:pPr>
        <w:jc w:val="both"/>
      </w:pPr>
      <w:r>
        <w:t>Longueur de l’éventuelle zone centrale (cfr action du vent) : </w:t>
      </w:r>
      <w:r>
        <w:rPr>
          <w:rStyle w:val="optioncarChar"/>
        </w:rPr>
        <w:t>*** m / non spécifié</w:t>
      </w:r>
    </w:p>
    <w:p w14:paraId="203DD5CA" w14:textId="77777777" w:rsidR="00772179" w:rsidRDefault="00000000">
      <w:pPr>
        <w:jc w:val="both"/>
      </w:pPr>
      <w:r>
        <w:t>Valeur de calcul de l’action du vent en zone centrale (cfr [NBN EN 1991-1-4 ANB]) : </w:t>
      </w:r>
      <w:r>
        <w:rPr>
          <w:rStyle w:val="optioncarChar"/>
        </w:rPr>
        <w:t>*** Pa / non spécifié.</w:t>
      </w:r>
      <w:r>
        <w:t> </w:t>
      </w:r>
    </w:p>
    <w:p w14:paraId="7F3F7521" w14:textId="77777777" w:rsidR="00772179" w:rsidRDefault="00000000">
      <w:pPr>
        <w:jc w:val="both"/>
      </w:pPr>
      <w:r>
        <w:t>Valeur de calcul de l’action du vent en zone de bord (cfr [NBN EN 1991-1-4 ANB]) : </w:t>
      </w:r>
      <w:r>
        <w:rPr>
          <w:rStyle w:val="optioncarChar"/>
        </w:rPr>
        <w:t>*** Pa / non spécifié. </w:t>
      </w:r>
    </w:p>
    <w:p w14:paraId="407D6F85" w14:textId="77777777" w:rsidR="00772179" w:rsidRDefault="00000000">
      <w:pPr>
        <w:jc w:val="both"/>
      </w:pPr>
      <w:r>
        <w:t>Etude thermique : à charge de </w:t>
      </w:r>
      <w:r>
        <w:rPr>
          <w:rStyle w:val="optioncarChar"/>
        </w:rPr>
        <w:t>l’auteur de projet</w:t>
      </w:r>
      <w:r>
        <w:t> (par défaut) </w:t>
      </w:r>
      <w:r>
        <w:rPr>
          <w:rStyle w:val="optioncarChar"/>
        </w:rPr>
        <w:t>/ l’entrepreneur</w:t>
      </w:r>
    </w:p>
    <w:p w14:paraId="272C16F6" w14:textId="77777777" w:rsidR="00772179" w:rsidRDefault="00000000">
      <w:pPr>
        <w:jc w:val="both"/>
      </w:pPr>
      <w:r>
        <w:t>L’utilisation de chevilles à rosace pour la fixation influence la résistance thermique est à considérer dans les calculs PEB.</w:t>
      </w:r>
    </w:p>
    <w:p w14:paraId="6179A672" w14:textId="77777777" w:rsidR="00772179" w:rsidRDefault="00000000">
      <w:pPr>
        <w:jc w:val="both"/>
      </w:pPr>
      <w:r>
        <w:t>Valeur du coefficient de déperdition thermique U à ne pas dépasser pour la paroi complète suivant réglementation régionale : </w:t>
      </w:r>
      <w:r>
        <w:rPr>
          <w:rStyle w:val="optioncarChar"/>
        </w:rPr>
        <w:t>≤</w:t>
      </w:r>
      <w:r>
        <w:t> </w:t>
      </w:r>
      <w:r>
        <w:rPr>
          <w:rStyle w:val="optioncarChar"/>
        </w:rPr>
        <w:t>*** W/m²K / non spécifié </w:t>
      </w:r>
    </w:p>
    <w:p w14:paraId="12F33D68" w14:textId="77777777" w:rsidR="00772179" w:rsidRDefault="00000000">
      <w:pPr>
        <w:jc w:val="both"/>
      </w:pPr>
      <w:r>
        <w:t>Valeur de la résistance thermique RETICS à atteindre par le système : </w:t>
      </w:r>
      <w:r>
        <w:rPr>
          <w:rStyle w:val="optioncarChar"/>
        </w:rPr>
        <w:t>≥ *** m²K/W / non spécifié </w:t>
      </w:r>
    </w:p>
    <w:p w14:paraId="18877807" w14:textId="77777777" w:rsidR="00772179" w:rsidRDefault="00000000">
      <w:pPr>
        <w:jc w:val="both"/>
      </w:pPr>
      <w:r>
        <w:rPr>
          <w:color w:val="000000"/>
        </w:rPr>
        <w:t>L’utilisation de chevilles à rosace pour la fixation influence la résistance thermique et est à considérer dans les calculs PEB.</w:t>
      </w:r>
    </w:p>
    <w:p w14:paraId="201475B1" w14:textId="77777777" w:rsidR="00772179" w:rsidRDefault="00000000">
      <w:pPr>
        <w:jc w:val="both"/>
      </w:pPr>
      <w:r>
        <w:t xml:space="preserve">Nœuds constructifs : voir détails d’exécution dans les plans détaillés ou dans la [NIT 279]. Les nœuds constructifs sont conçus et réalisés de telle manière qu’ils ne provoquent pas de condensation </w:t>
      </w:r>
      <w:r>
        <w:lastRenderedPageBreak/>
        <w:t>superficielle. Les nœuds PEB-conformes  sont réputés satisfaire à cette exigence (voir annexe B2 de l'[AGW 2014-05-15 PEB]).</w:t>
      </w:r>
    </w:p>
    <w:p w14:paraId="4BF3D646" w14:textId="77777777" w:rsidR="00772179" w:rsidRDefault="00000000">
      <w:pPr>
        <w:jc w:val="both"/>
      </w:pPr>
      <w:r>
        <w:t>Etude hygrothermique : à charge de </w:t>
      </w:r>
      <w:r>
        <w:rPr>
          <w:rStyle w:val="optioncarChar"/>
        </w:rPr>
        <w:t>l’auteur de projet </w:t>
      </w:r>
      <w:r>
        <w:t>(par défaut)</w:t>
      </w:r>
      <w:r>
        <w:rPr>
          <w:rStyle w:val="optioncarChar"/>
        </w:rPr>
        <w:t> / l’entrepreneur</w:t>
      </w:r>
    </w:p>
    <w:p w14:paraId="64702680" w14:textId="77777777" w:rsidR="00772179" w:rsidRDefault="00000000">
      <w:pPr>
        <w:jc w:val="both"/>
      </w:pPr>
      <w:r>
        <w:t>Valeur s</w:t>
      </w:r>
      <w:r>
        <w:rPr>
          <w:vertAlign w:val="subscript"/>
        </w:rPr>
        <w:t>d</w:t>
      </w:r>
      <w:r>
        <w:t> du parachèvement suivant [NIT 279]  :</w:t>
      </w:r>
      <w:r>
        <w:rPr>
          <w:rStyle w:val="optioncarChar"/>
        </w:rPr>
        <w:t> ≤ *** m / non spécifié </w:t>
      </w:r>
    </w:p>
    <w:p w14:paraId="3D81EBFE" w14:textId="77777777" w:rsidR="00772179" w:rsidRDefault="00000000">
      <w:pPr>
        <w:jc w:val="both"/>
      </w:pPr>
      <w:r>
        <w:t>Valeur s</w:t>
      </w:r>
      <w:r>
        <w:rPr>
          <w:vertAlign w:val="subscript"/>
        </w:rPr>
        <w:t>d</w:t>
      </w:r>
      <w:r>
        <w:t> de l’isolant suivant [NIT 279]  : </w:t>
      </w:r>
      <w:r>
        <w:rPr>
          <w:rStyle w:val="optioncarChar"/>
        </w:rPr>
        <w:t>≤ *** m / non spécifié</w:t>
      </w:r>
    </w:p>
    <w:p w14:paraId="3C4753E7" w14:textId="77777777" w:rsidR="00772179" w:rsidRDefault="00000000">
      <w:pPr>
        <w:jc w:val="both"/>
      </w:pPr>
      <w:r>
        <w:t>La documentation technique accompagnant le système indique la configuration et les mesures pour atteindre les performances visées.</w:t>
      </w:r>
    </w:p>
    <w:p w14:paraId="176A9C96" w14:textId="77777777" w:rsidR="00772179" w:rsidRDefault="00000000">
      <w:pPr>
        <w:jc w:val="both"/>
      </w:pPr>
      <w:r>
        <w:rPr>
          <w:b/>
        </w:rPr>
        <w:t>Panneaux d’isolation</w:t>
      </w:r>
    </w:p>
    <w:p w14:paraId="7005EDE5" w14:textId="77777777" w:rsidR="00772179" w:rsidRDefault="00000000">
      <w:pPr>
        <w:jc w:val="both"/>
      </w:pPr>
      <w:r>
        <w:t>Systèmes sans enduit de base renforcé – Nature de l’isolant :</w:t>
      </w:r>
      <w:r>
        <w:rPr>
          <w:rStyle w:val="optioncarChar"/>
        </w:rPr>
        <w:t> EPS Haute Densité / XPS / *** </w:t>
      </w:r>
    </w:p>
    <w:p w14:paraId="2E846E5E" w14:textId="77777777" w:rsidR="00772179" w:rsidRDefault="00000000">
      <w:pPr>
        <w:jc w:val="both"/>
      </w:pPr>
      <w:r>
        <w:t>Systèmes avec enduit de base renforcé – Nature de l’isolant : </w:t>
      </w:r>
      <w:r>
        <w:rPr>
          <w:rStyle w:val="optioncarChar"/>
        </w:rPr>
        <w:t>EPS / *** </w:t>
      </w:r>
    </w:p>
    <w:p w14:paraId="298ACF83" w14:textId="77777777" w:rsidR="00772179" w:rsidRDefault="00000000">
      <w:pPr>
        <w:jc w:val="both"/>
      </w:pPr>
      <w:r>
        <w:t>Epaisseur : </w:t>
      </w:r>
      <w:r>
        <w:rPr>
          <w:rStyle w:val="optioncarChar"/>
        </w:rPr>
        <w:t>10 / 12 / 14 / 16 / 18 / selon calcul thermique (PEB) / non spécifié / ***</w:t>
      </w:r>
      <w:r>
        <w:t> cm.</w:t>
      </w:r>
    </w:p>
    <w:p w14:paraId="4D479361" w14:textId="77777777" w:rsidR="00772179" w:rsidRDefault="00000000">
      <w:pPr>
        <w:jc w:val="both"/>
      </w:pPr>
      <w:r>
        <w:t>Conductivité thermique déclarée : ≤ </w:t>
      </w:r>
      <w:r>
        <w:rPr>
          <w:rStyle w:val="optioncarChar"/>
        </w:rPr>
        <w:t>0,04 / 0,035 / 0,032 / ***</w:t>
      </w:r>
      <w:r>
        <w:t> W/mK</w:t>
      </w:r>
    </w:p>
    <w:p w14:paraId="4DEDD252" w14:textId="77777777" w:rsidR="00772179" w:rsidRDefault="00000000">
      <w:pPr>
        <w:jc w:val="both"/>
      </w:pPr>
      <w:r>
        <w:rPr>
          <w:b/>
        </w:rPr>
        <w:t>Pierre agglomérée (cfr </w:t>
      </w:r>
    </w:p>
    <w:p w14:paraId="37AA64B6" w14:textId="77777777" w:rsidR="00772179" w:rsidRDefault="00000000">
      <w:pPr>
        <w:jc w:val="both"/>
      </w:pPr>
      <w:r>
        <w:t>Classe : A</w:t>
      </w:r>
    </w:p>
    <w:p w14:paraId="1EE67A8D" w14:textId="77777777" w:rsidR="00772179" w:rsidRDefault="00000000">
      <w:pPr>
        <w:jc w:val="both"/>
      </w:pPr>
      <w:r>
        <w:t xml:space="preserve">Liant : </w:t>
      </w:r>
      <w:r>
        <w:rPr>
          <w:rStyle w:val="optioncarChar"/>
        </w:rPr>
        <w:t xml:space="preserve">ciment </w:t>
      </w:r>
      <w:r>
        <w:t xml:space="preserve">(par défaut) </w:t>
      </w:r>
      <w:r>
        <w:rPr>
          <w:rStyle w:val="optioncarChar"/>
        </w:rPr>
        <w:t>/ organique / non spécifié</w:t>
      </w:r>
    </w:p>
    <w:p w14:paraId="0AF8444C" w14:textId="77777777" w:rsidR="00772179" w:rsidRDefault="00000000">
      <w:pPr>
        <w:jc w:val="both"/>
      </w:pPr>
      <w:r>
        <w:t>Description : </w:t>
      </w:r>
      <w:r>
        <w:rPr>
          <w:rStyle w:val="optioncarChar"/>
        </w:rPr>
        <w:t>non spécifié (à proposer par l’entrepreneur et soumis à l’approbation de l’auteur de projet) / ***</w:t>
      </w:r>
    </w:p>
    <w:p w14:paraId="7160DF9D" w14:textId="77777777" w:rsidR="00772179" w:rsidRDefault="00000000">
      <w:pPr>
        <w:jc w:val="both"/>
      </w:pPr>
      <w:r>
        <w:t>Dimensions (longueur l x largeur b x épaisseur d) : </w:t>
      </w:r>
      <w:r>
        <w:rPr>
          <w:rStyle w:val="optioncarChar"/>
        </w:rPr>
        <w:t>150 mm x 150 mm x 15 mm </w:t>
      </w:r>
      <w:r>
        <w:t>(par défaut)</w:t>
      </w:r>
      <w:r>
        <w:rPr>
          <w:rStyle w:val="optioncarChar"/>
        </w:rPr>
        <w:t> / ***</w:t>
      </w:r>
    </w:p>
    <w:p w14:paraId="2C6F793B" w14:textId="77777777" w:rsidR="00772179" w:rsidRDefault="00000000">
      <w:pPr>
        <w:jc w:val="both"/>
      </w:pPr>
      <w:r>
        <w:t>Elément résistant au gel et aux chocs thermiques selon nbn en 15286</w:t>
      </w:r>
    </w:p>
    <w:p w14:paraId="4B8A9530" w14:textId="77777777" w:rsidR="00772179" w:rsidRDefault="00000000">
      <w:pPr>
        <w:jc w:val="both"/>
      </w:pPr>
      <w:r>
        <w:t>Réaction au feu : </w:t>
      </w:r>
      <w:r>
        <w:rPr>
          <w:rStyle w:val="optioncarChar"/>
        </w:rPr>
        <w:t>A1 </w:t>
      </w:r>
      <w:r>
        <w:t>(par défaut)</w:t>
      </w:r>
      <w:r>
        <w:rPr>
          <w:rStyle w:val="optioncarChar"/>
        </w:rPr>
        <w:t> / ***</w:t>
      </w:r>
      <w:r>
        <w:t>.</w:t>
      </w:r>
    </w:p>
    <w:p w14:paraId="1E8A3A97" w14:textId="77777777" w:rsidR="00772179" w:rsidRDefault="00000000">
      <w:pPr>
        <w:jc w:val="both"/>
      </w:pPr>
      <w:r>
        <w:t>Facteur d’absorption de l’énergie solaire [NBN EN 410] : </w:t>
      </w:r>
      <w:r>
        <w:rPr>
          <w:rStyle w:val="optioncarChar"/>
        </w:rPr>
        <w:t>≤ 0,7</w:t>
      </w:r>
      <w:r>
        <w:t> (par défaut)</w:t>
      </w:r>
      <w:r>
        <w:rPr>
          <w:rStyle w:val="optioncarChar"/>
        </w:rPr>
        <w:t> / ≤ 0,85 / non spécifié / ***</w:t>
      </w:r>
      <w:r>
        <w:t>.</w:t>
      </w:r>
    </w:p>
    <w:p w14:paraId="37F678C4" w14:textId="77777777" w:rsidR="00772179" w:rsidRDefault="00000000">
      <w:pPr>
        <w:jc w:val="both"/>
      </w:pPr>
      <w:r>
        <w:t>Indice de clarté : </w:t>
      </w:r>
      <w:r>
        <w:rPr>
          <w:rStyle w:val="optioncarChar"/>
        </w:rPr>
        <w:t>≥ 25 </w:t>
      </w:r>
      <w:r>
        <w:t>(par défaut)</w:t>
      </w:r>
      <w:r>
        <w:rPr>
          <w:rStyle w:val="optioncarChar"/>
        </w:rPr>
        <w:t> / ≥ 10 / non spécifié / ***</w:t>
      </w:r>
      <w:r>
        <w:t> </w:t>
      </w:r>
    </w:p>
    <w:p w14:paraId="0583BCBE" w14:textId="77777777" w:rsidR="00772179" w:rsidRDefault="00000000">
      <w:pPr>
        <w:jc w:val="both"/>
      </w:pPr>
      <w:r>
        <w:rPr>
          <w:b/>
        </w:rPr>
        <w:t>Colle à carrelage</w:t>
      </w:r>
    </w:p>
    <w:p w14:paraId="29EC67B8" w14:textId="77777777" w:rsidR="00772179" w:rsidRDefault="00000000">
      <w:pPr>
        <w:jc w:val="both"/>
      </w:pPr>
      <w:r>
        <w:t>Conforme à la [NIT 279] et à la documentation technique accompagnant le produit et le système</w:t>
      </w:r>
    </w:p>
    <w:p w14:paraId="6D53B523" w14:textId="77777777" w:rsidR="00772179" w:rsidRDefault="00000000">
      <w:pPr>
        <w:jc w:val="both"/>
      </w:pPr>
      <w:r>
        <w:t>Teinte : </w:t>
      </w:r>
      <w:r>
        <w:rPr>
          <w:rStyle w:val="optioncarChar"/>
        </w:rPr>
        <w:t>gris</w:t>
      </w:r>
      <w:r>
        <w:t> (par défaut) </w:t>
      </w:r>
      <w:r>
        <w:rPr>
          <w:rStyle w:val="optioncarChar"/>
        </w:rPr>
        <w:t>/ blanc / ***</w:t>
      </w:r>
      <w:r>
        <w:t>.</w:t>
      </w:r>
    </w:p>
    <w:p w14:paraId="3F5901DE" w14:textId="77777777" w:rsidR="00772179" w:rsidRDefault="00000000">
      <w:pPr>
        <w:jc w:val="both"/>
      </w:pPr>
      <w:r>
        <w:rPr>
          <w:b/>
        </w:rPr>
        <w:t>Produit de jointoiement</w:t>
      </w:r>
    </w:p>
    <w:p w14:paraId="54A968C1" w14:textId="77777777" w:rsidR="00772179" w:rsidRDefault="00000000">
      <w:pPr>
        <w:jc w:val="both"/>
      </w:pPr>
      <w:r>
        <w:t>Produit de jointoiement : </w:t>
      </w:r>
      <w:r>
        <w:rPr>
          <w:rStyle w:val="optioncarChar"/>
        </w:rPr>
        <w:t>oui</w:t>
      </w:r>
      <w:r>
        <w:t> (par défaut)</w:t>
      </w:r>
      <w:r>
        <w:rPr>
          <w:rStyle w:val="optioncarChar"/>
        </w:rPr>
        <w:t> / non</w:t>
      </w:r>
    </w:p>
    <w:p w14:paraId="02249C6B" w14:textId="77777777" w:rsidR="00772179" w:rsidRDefault="00000000">
      <w:pPr>
        <w:jc w:val="both"/>
      </w:pPr>
      <w:r>
        <w:t>Le cas échéant et en cas de pose aspect ‘carrelage’, le produit de jointoiement répond aux spécifications de la [NBN EN 13888] ou est dosé in situ.</w:t>
      </w:r>
    </w:p>
    <w:p w14:paraId="5191625A" w14:textId="77777777" w:rsidR="00772179" w:rsidRDefault="00000000">
      <w:pPr>
        <w:jc w:val="both"/>
      </w:pPr>
      <w:r>
        <w:t>Type de joint : </w:t>
      </w:r>
      <w:r>
        <w:rPr>
          <w:rStyle w:val="optioncarChar"/>
        </w:rPr>
        <w:t>CG1 </w:t>
      </w:r>
      <w:r>
        <w:t>(par défaut)</w:t>
      </w:r>
      <w:r>
        <w:rPr>
          <w:rStyle w:val="optioncarChar"/>
        </w:rPr>
        <w:t> / CG2 / CG2W, CG2Ar / RG / dosé in situ</w:t>
      </w:r>
    </w:p>
    <w:p w14:paraId="5176FA5A" w14:textId="77777777" w:rsidR="00772179" w:rsidRDefault="00000000">
      <w:pPr>
        <w:jc w:val="both"/>
      </w:pPr>
      <w:r>
        <w:t>Le cas échéant et en cas de pose aspect ‘maçonnerie’, la produit de jointoiement répond aux spécifications de la [NBN EN 998-2] et du [PTV 651] ou est dosé in situ.</w:t>
      </w:r>
    </w:p>
    <w:p w14:paraId="5C6F2F80" w14:textId="77777777" w:rsidR="00772179" w:rsidRDefault="00772179">
      <w:pPr>
        <w:jc w:val="both"/>
      </w:pPr>
    </w:p>
    <w:p w14:paraId="307E356A" w14:textId="77777777" w:rsidR="00772179" w:rsidRDefault="00000000">
      <w:pPr>
        <w:jc w:val="both"/>
      </w:pPr>
      <w:r>
        <w:t>Le cas échéant et en cas de pose aspect ‘maçonnerie’, la produit de jointoiement répond aux spécifications de la [NBN EN 998-2] et du [PTV 651] ou est dosé in situ.</w:t>
      </w:r>
    </w:p>
    <w:p w14:paraId="74D3FD45" w14:textId="77777777" w:rsidR="00772179" w:rsidRDefault="00000000">
      <w:pPr>
        <w:jc w:val="both"/>
      </w:pPr>
      <w:r>
        <w:t>Type de joint de maçonnerie, le cas échéant : </w:t>
      </w:r>
      <w:r>
        <w:rPr>
          <w:rStyle w:val="optioncarChar"/>
        </w:rPr>
        <w:t>M5 </w:t>
      </w:r>
      <w:r>
        <w:t>(par défaut)</w:t>
      </w:r>
      <w:r>
        <w:rPr>
          <w:rStyle w:val="optioncarChar"/>
        </w:rPr>
        <w:t> / M*** / Mortier dosé in situ</w:t>
      </w:r>
    </w:p>
    <w:p w14:paraId="03A83123" w14:textId="77777777" w:rsidR="00772179" w:rsidRDefault="00000000">
      <w:pPr>
        <w:jc w:val="both"/>
      </w:pPr>
      <w:r>
        <w:rPr>
          <w:b/>
        </w:rPr>
        <w:t>(soit par défaut)</w:t>
      </w:r>
    </w:p>
    <w:p w14:paraId="6671C2EF" w14:textId="77777777" w:rsidR="00772179" w:rsidRDefault="00000000">
      <w:pPr>
        <w:jc w:val="both"/>
      </w:pPr>
      <w:r>
        <w:rPr>
          <w:rStyle w:val="soitChar"/>
          <w:u w:val="single"/>
        </w:rPr>
        <w:t>M5</w:t>
      </w:r>
      <w:r>
        <w:rPr>
          <w:rStyle w:val="soitChar"/>
        </w:rPr>
        <w:t> suivant la [NBN EN 998-2]</w:t>
      </w:r>
    </w:p>
    <w:p w14:paraId="35504602" w14:textId="77777777" w:rsidR="00772179" w:rsidRDefault="00000000">
      <w:pPr>
        <w:jc w:val="both"/>
      </w:pPr>
      <w:r>
        <w:rPr>
          <w:b/>
        </w:rPr>
        <w:t>(soit)</w:t>
      </w:r>
    </w:p>
    <w:p w14:paraId="639A85E1" w14:textId="77777777" w:rsidR="00772179" w:rsidRDefault="00000000">
      <w:pPr>
        <w:jc w:val="both"/>
      </w:pPr>
      <w:r>
        <w:rPr>
          <w:rStyle w:val="soitChar"/>
          <w:u w:val="single"/>
        </w:rPr>
        <w:t>M</w:t>
      </w:r>
      <w:r>
        <w:rPr>
          <w:rStyle w:val="optioncarChar"/>
          <w:u w:val="single"/>
        </w:rPr>
        <w:t>***</w:t>
      </w:r>
      <w:r>
        <w:rPr>
          <w:rStyle w:val="soitChar"/>
        </w:rPr>
        <w:t> suivant la [NBN EN 998-2]</w:t>
      </w:r>
    </w:p>
    <w:p w14:paraId="3A0EE9B2" w14:textId="77777777" w:rsidR="00772179" w:rsidRDefault="00000000">
      <w:pPr>
        <w:jc w:val="both"/>
      </w:pPr>
      <w:r>
        <w:rPr>
          <w:b/>
        </w:rPr>
        <w:t>(soit)</w:t>
      </w:r>
    </w:p>
    <w:p w14:paraId="69282D26" w14:textId="77777777" w:rsidR="00772179" w:rsidRDefault="00000000">
      <w:pPr>
        <w:jc w:val="both"/>
      </w:pPr>
      <w:r>
        <w:rPr>
          <w:rStyle w:val="soitChar"/>
          <w:u w:val="single"/>
        </w:rPr>
        <w:t>Mortier dosé in situ</w:t>
      </w:r>
      <w:r>
        <w:rPr>
          <w:rStyle w:val="soitChar"/>
        </w:rPr>
        <w:t>, à composition prescrite (parts de ciment-chaux-sable) :</w:t>
      </w:r>
      <w:r>
        <w:t> </w:t>
      </w:r>
      <w:r>
        <w:rPr>
          <w:rStyle w:val="optioncarChar"/>
        </w:rPr>
        <w:t>1-1-6</w:t>
      </w:r>
      <w:r>
        <w:t> (par défaut) </w:t>
      </w:r>
      <w:r>
        <w:rPr>
          <w:rStyle w:val="optioncarChar"/>
        </w:rPr>
        <w:t>/ ***</w:t>
      </w:r>
    </w:p>
    <w:p w14:paraId="455902B1" w14:textId="77777777" w:rsidR="00772179" w:rsidRDefault="00000000">
      <w:pPr>
        <w:jc w:val="both"/>
      </w:pPr>
      <w:r>
        <w:rPr>
          <w:b/>
        </w:rPr>
        <w:lastRenderedPageBreak/>
        <w:t>Mastic d’étanchéité</w:t>
      </w:r>
    </w:p>
    <w:p w14:paraId="02C90BC2" w14:textId="77777777" w:rsidR="00772179" w:rsidRDefault="00000000">
      <w:pPr>
        <w:jc w:val="both"/>
      </w:pPr>
      <w:r>
        <w:t>Couleur : </w:t>
      </w:r>
      <w:r>
        <w:rPr>
          <w:rStyle w:val="optioncarChar"/>
        </w:rPr>
        <w:t>se rapprochant du produit de jointoiement </w:t>
      </w:r>
      <w:r>
        <w:t>(par défaut)</w:t>
      </w:r>
      <w:r>
        <w:rPr>
          <w:rStyle w:val="optioncarChar"/>
        </w:rPr>
        <w:t> / ***</w:t>
      </w:r>
      <w:r>
        <w:t>.</w:t>
      </w:r>
    </w:p>
    <w:p w14:paraId="75D4C194" w14:textId="77777777" w:rsidR="00772179" w:rsidRDefault="00000000">
      <w:r>
        <w:rPr>
          <w:b/>
        </w:rPr>
        <w:t>Produit pour joints de mouvement</w:t>
      </w:r>
      <w:r>
        <w:br/>
        <w:t>Couleur : </w:t>
      </w:r>
      <w:r>
        <w:rPr>
          <w:rStyle w:val="optioncarChar"/>
        </w:rPr>
        <w:t>se rapprochant du produit de jointoiement </w:t>
      </w:r>
      <w:r>
        <w:t>(par défaut)</w:t>
      </w:r>
      <w:r>
        <w:rPr>
          <w:rStyle w:val="optioncarChar"/>
        </w:rPr>
        <w:t> / ***</w:t>
      </w:r>
      <w:r>
        <w:t>.</w:t>
      </w:r>
    </w:p>
    <w:p w14:paraId="7E133C22" w14:textId="77777777" w:rsidR="00772179" w:rsidRDefault="00000000">
      <w:r>
        <w:rPr>
          <w:b/>
        </w:rPr>
        <w:t>Profilés</w:t>
      </w:r>
      <w:r>
        <w:br/>
        <w:t>Position : voir </w:t>
      </w:r>
      <w:r>
        <w:rPr>
          <w:rStyle w:val="optioncarChar"/>
        </w:rPr>
        <w:t>plans / ***</w:t>
      </w:r>
      <w:r>
        <w:t>.</w:t>
      </w:r>
      <w:r>
        <w:br/>
        <w:t>Description : </w:t>
      </w:r>
      <w:r>
        <w:rPr>
          <w:rStyle w:val="optioncarChar"/>
        </w:rPr>
        <w:t>***</w:t>
      </w:r>
      <w:r>
        <w:t>.</w:t>
      </w:r>
    </w:p>
    <w:p w14:paraId="42F6CE60" w14:textId="77777777" w:rsidR="00772179" w:rsidRDefault="00000000">
      <w:pPr>
        <w:ind w:left="750"/>
      </w:pPr>
      <w:r>
        <w:t> </w:t>
      </w:r>
    </w:p>
    <w:p w14:paraId="1158139E" w14:textId="77777777" w:rsidR="00772179" w:rsidRDefault="00000000">
      <w:pPr>
        <w:pStyle w:val="pheading"/>
      </w:pPr>
      <w:r>
        <w:t>- Finitions</w:t>
      </w:r>
    </w:p>
    <w:p w14:paraId="7AF54699" w14:textId="77777777" w:rsidR="00772179" w:rsidRDefault="00000000">
      <w:pPr>
        <w:jc w:val="both"/>
      </w:pPr>
      <w:r>
        <w:t>Les façades suivantes sont exécutées avec un aspect maçonnerie et sont rejointoyées selon l'article 21.61.1b Joints de maçonnerie apparente : </w:t>
      </w:r>
      <w:r>
        <w:rPr>
          <w:rStyle w:val="optioncarChar"/>
        </w:rPr>
        <w:t>***</w:t>
      </w:r>
      <w:r>
        <w:t>.</w:t>
      </w:r>
    </w:p>
    <w:p w14:paraId="2EA2503F" w14:textId="77777777" w:rsidR="00772179" w:rsidRDefault="00000000">
      <w:pPr>
        <w:jc w:val="both"/>
      </w:pPr>
      <w:r>
        <w:t xml:space="preserve">Aspect et teinte de la pierre agglomérée : </w:t>
      </w:r>
      <w:r>
        <w:rPr>
          <w:rStyle w:val="optioncarChar"/>
        </w:rPr>
        <w:t>***</w:t>
      </w:r>
    </w:p>
    <w:p w14:paraId="23ED53AF" w14:textId="77777777" w:rsidR="00772179" w:rsidRDefault="00000000">
      <w:pPr>
        <w:pStyle w:val="pheading"/>
      </w:pPr>
      <w:r>
        <w:t>EXÉCUTION / MISE EN ŒUVRE</w:t>
      </w:r>
    </w:p>
    <w:p w14:paraId="62B02F66" w14:textId="77777777" w:rsidR="00772179" w:rsidRDefault="00000000">
      <w:pPr>
        <w:pStyle w:val="pheading"/>
      </w:pPr>
      <w:r>
        <w:t>- Prescriptions générales</w:t>
      </w:r>
    </w:p>
    <w:p w14:paraId="1C173931" w14:textId="77777777" w:rsidR="00772179" w:rsidRDefault="00000000">
      <w:pPr>
        <w:jc w:val="both"/>
      </w:pPr>
      <w:r>
        <w:rPr>
          <w:b/>
        </w:rPr>
        <w:t>Support (couche de fixation)</w:t>
      </w:r>
    </w:p>
    <w:p w14:paraId="41F9DE2C" w14:textId="77777777" w:rsidR="00772179" w:rsidRDefault="00000000">
      <w:pPr>
        <w:jc w:val="both"/>
      </w:pPr>
      <w:r>
        <w:t xml:space="preserve">Support (couche de fixation) à revêtir : </w:t>
      </w:r>
      <w:r>
        <w:rPr>
          <w:rStyle w:val="optioncarChar"/>
        </w:rPr>
        <w:t>voile en béton / maçonnerie d’éléments / ***.</w:t>
      </w:r>
    </w:p>
    <w:p w14:paraId="29CD21DE" w14:textId="77777777" w:rsidR="00772179" w:rsidRDefault="00000000">
      <w:pPr>
        <w:jc w:val="both"/>
      </w:pPr>
      <w:r>
        <w:t xml:space="preserve"> Type de support : catégorie </w:t>
      </w:r>
      <w:r>
        <w:rPr>
          <w:rStyle w:val="optioncarChar"/>
        </w:rPr>
        <w:t>A / B / C / D / E</w:t>
      </w:r>
      <w:r>
        <w:t> (cfr [EAD 330196-01-0604]).</w:t>
      </w:r>
    </w:p>
    <w:p w14:paraId="3D98F9FF" w14:textId="77777777" w:rsidR="00772179" w:rsidRDefault="00000000">
      <w:pPr>
        <w:jc w:val="both"/>
      </w:pPr>
      <w:r>
        <w:t xml:space="preserve"> En cas de voile en béton : </w:t>
      </w:r>
      <w:r>
        <w:rPr>
          <w:rStyle w:val="optioncarChar"/>
        </w:rPr>
        <w:t>préfabriqué / coulé sur place</w:t>
      </w:r>
      <w:r>
        <w:t>. Classe de résistance : </w:t>
      </w:r>
      <w:r>
        <w:rPr>
          <w:rStyle w:val="optioncarChar"/>
        </w:rPr>
        <w:t>inconnue </w:t>
      </w:r>
      <w:r>
        <w:t>(par défaut)</w:t>
      </w:r>
      <w:r>
        <w:rPr>
          <w:rStyle w:val="optioncarChar"/>
        </w:rPr>
        <w:t> / ***</w:t>
      </w:r>
      <w:r>
        <w:t>.</w:t>
      </w:r>
    </w:p>
    <w:p w14:paraId="30BB75E4" w14:textId="77777777" w:rsidR="00772179" w:rsidRDefault="00000000">
      <w:pPr>
        <w:jc w:val="both"/>
      </w:pPr>
      <w:r>
        <w:t xml:space="preserve"> En cas de maçonnerie comme support ; nature des éléments de maçonnerie : </w:t>
      </w:r>
      <w:r>
        <w:rPr>
          <w:rStyle w:val="optioncarChar"/>
        </w:rPr>
        <w:t>briques / blocs de béton / blocs de terre cuite / blocs de béton cellulaire</w:t>
      </w:r>
      <w:r>
        <w:t>. Groupe des éléments de maçonnerie (cfr [NBN EN 1996-1-1+A1]) : </w:t>
      </w:r>
      <w:r>
        <w:rPr>
          <w:rStyle w:val="optioncarChar"/>
        </w:rPr>
        <w:t>1 / 1s / 2 / 3 / 4</w:t>
      </w:r>
      <w:r>
        <w:t>.</w:t>
      </w:r>
    </w:p>
    <w:p w14:paraId="22A685E5" w14:textId="77777777" w:rsidR="00772179" w:rsidRDefault="00000000">
      <w:pPr>
        <w:jc w:val="both"/>
      </w:pPr>
      <w:r>
        <w:t xml:space="preserve"> Conformité des éléments de maçonnerie à une norme et un PTV : </w:t>
      </w:r>
      <w:r>
        <w:rPr>
          <w:rStyle w:val="optioncarChar"/>
        </w:rPr>
        <w:t>oui / non / inconnu</w:t>
      </w:r>
      <w:r>
        <w:t>.</w:t>
      </w:r>
    </w:p>
    <w:p w14:paraId="696B6267" w14:textId="77777777" w:rsidR="00772179" w:rsidRDefault="00000000">
      <w:pPr>
        <w:jc w:val="both"/>
      </w:pPr>
      <w:r>
        <w:t xml:space="preserve"> En cas de construction en bois (ossature bois par exemple), nature des panneaux support : </w:t>
      </w:r>
      <w:r>
        <w:rPr>
          <w:rStyle w:val="optioncarChar"/>
        </w:rPr>
        <w:t>panneaux de fibres-ciment / panneaux d’OSB de classe ≥ 3</w:t>
      </w:r>
      <w:r>
        <w:t>.  </w:t>
      </w:r>
    </w:p>
    <w:p w14:paraId="57AAFCCE" w14:textId="77777777" w:rsidR="00772179" w:rsidRDefault="00000000">
      <w:pPr>
        <w:jc w:val="both"/>
      </w:pPr>
      <w:r>
        <w:t xml:space="preserve"> 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55B1608C" w14:textId="77777777" w:rsidR="00772179" w:rsidRDefault="00000000">
      <w:pPr>
        <w:jc w:val="both"/>
      </w:pPr>
      <w:r>
        <w:rPr>
          <w:b/>
        </w:rPr>
        <w:t>Couche d’isolation</w:t>
      </w:r>
    </w:p>
    <w:p w14:paraId="10D1C26A" w14:textId="77777777" w:rsidR="00772179" w:rsidRDefault="00000000">
      <w:pPr>
        <w:jc w:val="both"/>
      </w:pPr>
      <w:r>
        <w:t>Afin d’obtenir une couche d’isolation continue, les panneaux sont posés jointifs à joints alternés et un harpage est réalisé dans les angles. Les joints entre panneaux ne coïncident pas avec une zone de concentration de contraintes (angle de baie par exemple).</w:t>
      </w:r>
    </w:p>
    <w:p w14:paraId="5A1C1108" w14:textId="77777777" w:rsidR="00772179" w:rsidRDefault="00000000">
      <w:pPr>
        <w:jc w:val="both"/>
      </w:pPr>
      <w:r>
        <w:t xml:space="preserve"> Pour les systèmes fixés mécaniquement, le nombre et la position des fixations mécaniques (cfr résistance au vent) suivent un calepinage soumis à l’auteur de projet pour approbation.</w:t>
      </w:r>
    </w:p>
    <w:p w14:paraId="01C6466A" w14:textId="77777777" w:rsidR="00772179" w:rsidRDefault="00000000">
      <w:pPr>
        <w:jc w:val="both"/>
      </w:pPr>
      <w:r>
        <w:rPr>
          <w:b/>
        </w:rPr>
        <w:t>Eventuel enduit de base renforcé, renforts et profilés</w:t>
      </w:r>
    </w:p>
    <w:p w14:paraId="2E87F034" w14:textId="77777777" w:rsidR="00772179" w:rsidRDefault="00000000">
      <w:pPr>
        <w:jc w:val="both"/>
      </w:pPr>
      <w:r>
        <w:t>Pour les systèmes avec enduit de base renforcé, des renforts sous la forme de bande de treillis d’environ 30 x 30 cm sont placés au droit des zones de concentration de contraintes. Les profilés sont placés là où nécessaire. Le treillis d’armature est placé dans la moitié extérieure de l’épaisseur de l’enduit de base. L’épaisseur de l’enduit de base respecte les mentions indiquées dans la documentation technique accompagnant le système.</w:t>
      </w:r>
    </w:p>
    <w:p w14:paraId="3016CE5D" w14:textId="77777777" w:rsidR="00772179" w:rsidRDefault="00000000">
      <w:pPr>
        <w:jc w:val="both"/>
      </w:pPr>
      <w:r>
        <w:rPr>
          <w:b/>
        </w:rPr>
        <w:t>Mise en œuvre des pierres agglomérées</w:t>
      </w:r>
    </w:p>
    <w:p w14:paraId="75F79D99" w14:textId="77777777" w:rsidR="00772179" w:rsidRDefault="00000000">
      <w:pPr>
        <w:jc w:val="both"/>
      </w:pPr>
      <w:r>
        <w:t>La surface est exécutée en appareil : </w:t>
      </w:r>
      <w:r>
        <w:rPr>
          <w:rStyle w:val="optioncarChar"/>
        </w:rPr>
        <w:t xml:space="preserve">à joints continus </w:t>
      </w:r>
      <w:r>
        <w:t>(par défaut)</w:t>
      </w:r>
      <w:r>
        <w:rPr>
          <w:rStyle w:val="optioncarChar"/>
        </w:rPr>
        <w:t xml:space="preserve"> / à joints croisés / à demi-brique / ***</w:t>
      </w:r>
      <w:r>
        <w:t>.</w:t>
      </w:r>
    </w:p>
    <w:p w14:paraId="3765F24A" w14:textId="77777777" w:rsidR="00772179" w:rsidRDefault="00000000">
      <w:pPr>
        <w:jc w:val="both"/>
      </w:pPr>
      <w:r>
        <w:lastRenderedPageBreak/>
        <w:t xml:space="preserve"> Epaisseur nominale des joints : </w:t>
      </w:r>
      <w:r>
        <w:rPr>
          <w:rStyle w:val="optioncarChar"/>
        </w:rPr>
        <w:t xml:space="preserve">12 </w:t>
      </w:r>
      <w:r>
        <w:t>(par défaut)</w:t>
      </w:r>
      <w:r>
        <w:rPr>
          <w:rStyle w:val="optioncarChar"/>
        </w:rPr>
        <w:t xml:space="preserve"> / ***</w:t>
      </w:r>
      <w:r>
        <w:t> mm.</w:t>
      </w:r>
    </w:p>
    <w:p w14:paraId="5D0CD686" w14:textId="77777777" w:rsidR="00772179" w:rsidRDefault="00000000">
      <w:pPr>
        <w:jc w:val="both"/>
      </w:pPr>
      <w:r>
        <w:t xml:space="preserve"> Les pierres sont posées par double encollage.</w:t>
      </w:r>
    </w:p>
    <w:p w14:paraId="508EC41F" w14:textId="77777777" w:rsidR="00772179" w:rsidRDefault="00000000">
      <w:pPr>
        <w:jc w:val="both"/>
      </w:pPr>
      <w:r>
        <w:t xml:space="preserve"> Joints de dilatation : </w:t>
      </w:r>
      <w:r>
        <w:rPr>
          <w:rStyle w:val="optioncarChar"/>
        </w:rPr>
        <w:t>***</w:t>
      </w:r>
      <w:r>
        <w:t> (voir recommandations spécifiques dans la documentation technique accompagnant le système).</w:t>
      </w:r>
    </w:p>
    <w:p w14:paraId="1006B341" w14:textId="77777777" w:rsidR="00772179" w:rsidRDefault="00000000">
      <w:pPr>
        <w:jc w:val="both"/>
      </w:pPr>
      <w:r>
        <w:t xml:space="preserve"> Les pierres ne sont mises en œuvre que lorsque les conditions climatiques requises en fonction du type de produit de pose sont respectées (conditions généralement 5-10 ≤T° ≤  25°C et entre 30 et 85 % HR (voir fiches techniques des produits utilisés)).</w:t>
      </w:r>
    </w:p>
    <w:p w14:paraId="6C177DDB" w14:textId="77777777" w:rsidR="00772179" w:rsidRDefault="00000000">
      <w:pPr>
        <w:pStyle w:val="pheading"/>
      </w:pPr>
      <w:r>
        <w:t>- Échantillons</w:t>
      </w:r>
    </w:p>
    <w:p w14:paraId="5C443211" w14:textId="77777777" w:rsidR="00772179" w:rsidRDefault="00000000">
      <w:pPr>
        <w:jc w:val="both"/>
      </w:pPr>
      <w:r>
        <w:t>Afin de déterminer le choix définitif des pierres, un ou plusieurs </w:t>
      </w:r>
      <w:r>
        <w:rPr>
          <w:u w:val="single"/>
        </w:rPr>
        <w:t>échantillons de +/- 1 m²</w:t>
      </w:r>
      <w:r>
        <w:t> (avec un maximum de </w:t>
      </w:r>
      <w:r>
        <w:rPr>
          <w:rStyle w:val="optioncarChar"/>
        </w:rPr>
        <w:t>2</w:t>
      </w:r>
      <w:r>
        <w:t> (par défaut)</w:t>
      </w:r>
      <w:r>
        <w:rPr>
          <w:rStyle w:val="optioncarChar"/>
        </w:rPr>
        <w:t> / 3 / 5 / ***</w:t>
      </w:r>
      <w:r>
        <w:t> échantillons à réaliser au total) sont confectionnés et présentés pour approbation à l'auteur de projet. Les frais inhérents à la confection et à la démolition de ces échantillons sont à charge de l'entreprise.</w:t>
      </w:r>
    </w:p>
    <w:p w14:paraId="3F41AB97" w14:textId="77777777" w:rsidR="00772179" w:rsidRDefault="00000000">
      <w:pPr>
        <w:jc w:val="both"/>
      </w:pPr>
      <w:r>
        <w:t xml:space="preserve"> La couleur du mastic d’étanchéité est soumise à l’approbation de l’auteur de projet en réalisant un essai d’application sur un mètre de longueur.</w:t>
      </w:r>
    </w:p>
    <w:p w14:paraId="55608B88" w14:textId="77777777" w:rsidR="00772179" w:rsidRDefault="00000000">
      <w:pPr>
        <w:jc w:val="both"/>
      </w:pPr>
      <w:r>
        <w:t xml:space="preserve"> La couleur du produit de joints de mouvement est soumise à l’approbation de l’auteur de projet en réalisant un essai d’application sur un mètre de longueur.</w:t>
      </w:r>
    </w:p>
    <w:p w14:paraId="73D5CBC7" w14:textId="77777777" w:rsidR="00772179" w:rsidRDefault="00000000">
      <w:pPr>
        <w:jc w:val="both"/>
      </w:pPr>
      <w:r>
        <w:t xml:space="preserve"> Le modèle de profilé est proposé pour approbation à l’auteur de projet.</w:t>
      </w:r>
    </w:p>
    <w:p w14:paraId="6BF7764B" w14:textId="77777777" w:rsidR="00772179" w:rsidRDefault="00000000">
      <w:pPr>
        <w:pStyle w:val="pheading"/>
      </w:pPr>
      <w:r>
        <w:t>CONTRÔLES PARTICULIERS</w:t>
      </w:r>
    </w:p>
    <w:p w14:paraId="0F8215C2" w14:textId="77777777" w:rsidR="00772179" w:rsidRDefault="00000000">
      <w:pPr>
        <w:jc w:val="both"/>
      </w:pPr>
      <w:r>
        <w:rPr>
          <w:b/>
        </w:rPr>
        <w:t>Contrôle du support (couche de fixation) avant mise en œuvre</w:t>
      </w:r>
    </w:p>
    <w:p w14:paraId="0C89665B" w14:textId="77777777" w:rsidR="00772179" w:rsidRDefault="00000000">
      <w:pPr>
        <w:jc w:val="both"/>
      </w:pPr>
      <w:r>
        <w:t>Contrôle de la présence d’une finition sur le support : </w:t>
      </w:r>
      <w:r>
        <w:rPr>
          <w:rStyle w:val="optioncarChar"/>
        </w:rPr>
        <w:t>rien / peinture / traitement de surface répulsif à l’eau / enduit / produit de décoffrage / ***</w:t>
      </w:r>
      <w:r>
        <w:t>.</w:t>
      </w:r>
    </w:p>
    <w:p w14:paraId="0E28715A" w14:textId="77777777" w:rsidR="00772179" w:rsidRDefault="00000000">
      <w:pPr>
        <w:jc w:val="both"/>
      </w:pPr>
      <w:r>
        <w:t xml:space="preserve"> Eventuelle réalisation (à charge </w:t>
      </w:r>
      <w:r>
        <w:rPr>
          <w:rStyle w:val="optioncarChar"/>
        </w:rPr>
        <w:t>du maître d’ouvrage / de l’entrepreneur</w:t>
      </w:r>
      <w:r>
        <w:t>) d’une évaluation mécanique de contrôle de l’adhérence d’une couche d’enduit existante : </w:t>
      </w:r>
      <w:r>
        <w:rPr>
          <w:rStyle w:val="optioncarChar"/>
        </w:rPr>
        <w:t xml:space="preserve"> non </w:t>
      </w:r>
      <w:r>
        <w:t>(par défaut)</w:t>
      </w:r>
      <w:r>
        <w:rPr>
          <w:rStyle w:val="optioncarChar"/>
        </w:rPr>
        <w:t xml:space="preserve"> / oui</w:t>
      </w:r>
    </w:p>
    <w:p w14:paraId="40913754" w14:textId="77777777" w:rsidR="00772179" w:rsidRDefault="00000000">
      <w:pPr>
        <w:pStyle w:val="pheading"/>
      </w:pPr>
      <w:r>
        <w:t>MESURAGE</w:t>
      </w:r>
    </w:p>
    <w:p w14:paraId="1E045CBF" w14:textId="77777777" w:rsidR="00772179" w:rsidRDefault="00000000">
      <w:pPr>
        <w:pStyle w:val="pheading"/>
      </w:pPr>
      <w:r>
        <w:t>- unité de mesure:</w:t>
      </w:r>
    </w:p>
    <w:p w14:paraId="2866CCF3" w14:textId="77777777" w:rsidR="00772179" w:rsidRDefault="00000000">
      <w:r>
        <w:t>m² ; m</w:t>
      </w:r>
    </w:p>
    <w:p w14:paraId="0AD15DA6" w14:textId="77777777" w:rsidR="00772179" w:rsidRDefault="00000000">
      <w:pPr>
        <w:pStyle w:val="pheading"/>
      </w:pPr>
      <w:r>
        <w:t>- code de mesurage:</w:t>
      </w:r>
    </w:p>
    <w:p w14:paraId="1D0254D7" w14:textId="77777777" w:rsidR="00772179" w:rsidRDefault="00000000">
      <w:pPr>
        <w:jc w:val="both"/>
      </w:pPr>
      <w:r>
        <w:rPr>
          <w:b/>
        </w:rPr>
        <w:t>Surface nette</w:t>
      </w:r>
      <w:r>
        <w:t> du système à poser (mesurée dans le plan extérieur des pierres). Les ouvertures et les interruptions ≥ 0,50 m² sont déduites. Les retours sont comptés.</w:t>
      </w:r>
    </w:p>
    <w:p w14:paraId="7D7D8409" w14:textId="77777777" w:rsidR="00772179" w:rsidRDefault="00000000">
      <w:pPr>
        <w:jc w:val="both"/>
      </w:pPr>
      <w:r>
        <w:t xml:space="preserve"> Distinction faite suivant le type de système.</w:t>
      </w:r>
    </w:p>
    <w:p w14:paraId="533F357E" w14:textId="77777777" w:rsidR="00772179" w:rsidRDefault="00000000">
      <w:pPr>
        <w:jc w:val="both"/>
      </w:pPr>
      <w:r>
        <w:rPr>
          <w:b/>
        </w:rPr>
        <w:t>Longueur nette</w:t>
      </w:r>
      <w:r>
        <w:t> des profilés à poser. Distinction faite selon le modèle de profilé.</w:t>
      </w:r>
    </w:p>
    <w:p w14:paraId="3AF41617" w14:textId="77777777" w:rsidR="00772179" w:rsidRDefault="00000000">
      <w:pPr>
        <w:pStyle w:val="pheading"/>
      </w:pPr>
      <w:r>
        <w:t>- nature du marché:</w:t>
      </w:r>
    </w:p>
    <w:p w14:paraId="410038BD" w14:textId="77777777" w:rsidR="00772179" w:rsidRDefault="00000000">
      <w:r>
        <w:t>QF</w:t>
      </w:r>
    </w:p>
    <w:p w14:paraId="408D6FF8" w14:textId="77777777" w:rsidR="00772179" w:rsidRDefault="00000000">
      <w:pPr>
        <w:pStyle w:val="pheading"/>
      </w:pPr>
      <w:r>
        <w:t>AIDE</w:t>
      </w:r>
    </w:p>
    <w:p w14:paraId="0D0D579C" w14:textId="77777777" w:rsidR="00772179" w:rsidRDefault="00000000">
      <w:pPr>
        <w:jc w:val="both"/>
      </w:pPr>
      <w:r>
        <w:t>La zone de plinthe s’étend entre 50 cm sous le niveau du sol extérieur et 30 cm au-dessus. Les ETICS démarrent habituellement au-dessus de la zone de plinthe. Lorsque le panneau d’isolation et l’éventuel enduit de base sont utilisés en plinthe, ils satisfont à des exigences plus strictes (absorption d’eau réduite, résistance à l’humidité, etc.). Voir [NIT 279].</w:t>
      </w:r>
    </w:p>
    <w:p w14:paraId="53E6BF55" w14:textId="77777777" w:rsidR="00772179" w:rsidRDefault="00000000">
      <w:pPr>
        <w:jc w:val="both"/>
      </w:pPr>
      <w:r>
        <w:t>On distingue les deux modes de fixation suivants :</w:t>
      </w:r>
    </w:p>
    <w:p w14:paraId="5646FA8B" w14:textId="77777777" w:rsidR="00772179" w:rsidRDefault="00000000">
      <w:pPr>
        <w:pStyle w:val="Author-eListParagraph"/>
        <w:numPr>
          <w:ilvl w:val="0"/>
          <w:numId w:val="1050"/>
        </w:numPr>
      </w:pPr>
      <w:r>
        <w:t xml:space="preserve">le collage au support, avec des fixations mécaniques complémentaires. Les systèmes peuvent être collés en plein (sur toute la surface) ou partiellement (≥ 60 % de la surface) par boudins et/ou par plots accompagnés d’une bande de colle sur les bords de la surface de pose des panneaux isolants. Les charges sont entièrement reprises par la colle. Les éventuelles fixations mécaniques complémentaires servent avant tout à assu­rer la stabilité </w:t>
      </w:r>
      <w:r>
        <w:lastRenderedPageBreak/>
        <w:t>jusqu’à la prise de la colle et tiennent lieu de liaison provisoire pour éviter les risques de décollement mais aussi à assurer une certaine sécurité ;</w:t>
      </w:r>
    </w:p>
    <w:p w14:paraId="7C067817" w14:textId="77777777" w:rsidR="00772179" w:rsidRDefault="00000000">
      <w:pPr>
        <w:pStyle w:val="Author-eListParagraph"/>
        <w:numPr>
          <w:ilvl w:val="0"/>
          <w:numId w:val="1050"/>
        </w:numPr>
      </w:pPr>
      <w:r>
        <w:t>la fixation mécanique au support au moyen de chevilles munies d’une rosace, combinée à un encollage (≥ 60 % de la surface). La charge de vent est entièrement reprise par les fixations mécaniques. La colle sert à assurer la planéité du système mis en œuvre (on parle de système ‘chevillé/calé’), à limiter les mouvements du système (déplacement du système dans le plan et tuilage, par exemple) et à éviter les mouvements d’air au dos des panneaux isolants.</w:t>
      </w:r>
    </w:p>
    <w:p w14:paraId="1F3A0324" w14:textId="77777777" w:rsidR="00772179" w:rsidRDefault="00000000">
      <w:pPr>
        <w:jc w:val="both"/>
      </w:pPr>
      <w:r>
        <w:t>Bien que différents modes de fixation soient souvent com­binés, la distinction du mode principal est nécessaire afin de dimensionner correctement le système pour qu’il résiste à l’action du vent. </w:t>
      </w:r>
    </w:p>
    <w:p w14:paraId="0F974E6D" w14:textId="77777777" w:rsidR="00772179" w:rsidRDefault="00000000">
      <w:pPr>
        <w:jc w:val="both"/>
      </w:pPr>
      <w:r>
        <w:t xml:space="preserve">Les revêtements de teinte foncée, caractéri­sés par un facteur d’absorption de l’énergie solaire αe élevé (voir [NBN EN 410]), sont susceptibles d’atteindre des températures &gt; 70 °C lorsqu’ils sont exposés à l’ensoleillement direct (façades orientées de l’est à l’ouest). Or, les performances du système et de ses composants ne sont évaluées que T° ≤ 70 °C. Pour une telle expo­sition, en cas d’usage d’un revêtement mince (épaisseur &lt; 20 mm), un facteur d’absorption énergétique &gt; 0,7 (70 %) est dès lors déconseillé, à moins de réaliser une étude spécifique à la situation. Le fabricant peut en effet justifier des teintes plus foncées (αe &gt; 0,7) lorsque le revêtement présente une épaisseur suffisante et/ou une conductivité thermique assez faible.     </w:t>
      </w:r>
    </w:p>
    <w:p w14:paraId="3AA876FA" w14:textId="77777777" w:rsidR="00772179" w:rsidRDefault="00000000">
      <w:pPr>
        <w:jc w:val="both"/>
      </w:pPr>
      <w:r>
        <w:t xml:space="preserve"> Selon la pratique, les limitations sont également basées sur l’indice de clarté qui doit être &gt; 25.</w:t>
      </w:r>
    </w:p>
    <w:p w14:paraId="6BE92451" w14:textId="77777777" w:rsidR="00772179" w:rsidRDefault="00000000">
      <w:pPr>
        <w:pStyle w:val="Author-eSectionHeading4Numberless"/>
      </w:pPr>
      <w:bookmarkStart w:id="812" w:name="_Toc220490487"/>
      <w:r>
        <w:t>43.35 Revêtements de façade rigides collés - pierres naturelles  CCTB 01.12</w:t>
      </w:r>
      <w:bookmarkEnd w:id="812"/>
    </w:p>
    <w:p w14:paraId="6A232CE9" w14:textId="77777777" w:rsidR="00772179" w:rsidRDefault="00000000">
      <w:pPr>
        <w:pStyle w:val="pheading"/>
      </w:pPr>
      <w:r>
        <w:t>DESCRIPTION</w:t>
      </w:r>
    </w:p>
    <w:p w14:paraId="627EDFA7" w14:textId="77777777" w:rsidR="00772179" w:rsidRDefault="00000000">
      <w:pPr>
        <w:pStyle w:val="pheading"/>
      </w:pPr>
      <w:r>
        <w:t>- Définition / Comprend</w:t>
      </w:r>
    </w:p>
    <w:p w14:paraId="3856F0EC" w14:textId="77777777" w:rsidR="00772179" w:rsidRDefault="00000000">
      <w:pPr>
        <w:jc w:val="both"/>
      </w:pPr>
      <w:r>
        <w:t>Il s’agit de la fourniture et la pose de revêtements de façade rigides collés en pierres naturelles.</w:t>
      </w:r>
    </w:p>
    <w:p w14:paraId="7A654CBF" w14:textId="77777777" w:rsidR="00772179" w:rsidRDefault="00000000">
      <w:pPr>
        <w:jc w:val="both"/>
      </w:pPr>
      <w:r>
        <w:t>Le travail comprend notamment :</w:t>
      </w:r>
    </w:p>
    <w:p w14:paraId="1B3E3260" w14:textId="77777777" w:rsidR="00772179" w:rsidRDefault="00000000">
      <w:pPr>
        <w:pStyle w:val="Author-eListParagraph"/>
        <w:numPr>
          <w:ilvl w:val="0"/>
          <w:numId w:val="1051"/>
        </w:numPr>
      </w:pPr>
      <w:r>
        <w:t>l’établissement des plans d’exécution, la mise au point de calepinage, etc… ;</w:t>
      </w:r>
    </w:p>
    <w:p w14:paraId="3C1F516F" w14:textId="77777777" w:rsidR="00772179" w:rsidRDefault="00000000">
      <w:pPr>
        <w:pStyle w:val="Author-eListParagraph"/>
        <w:numPr>
          <w:ilvl w:val="0"/>
          <w:numId w:val="1051"/>
        </w:numPr>
      </w:pPr>
      <w:r>
        <w:t>la pose et l'enlèvement des échafaudages et des bâches nécessaires à l'exécution ;</w:t>
      </w:r>
    </w:p>
    <w:p w14:paraId="1883F0E2" w14:textId="77777777" w:rsidR="00772179" w:rsidRDefault="00000000">
      <w:pPr>
        <w:pStyle w:val="Author-eListParagraph"/>
        <w:numPr>
          <w:ilvl w:val="0"/>
          <w:numId w:val="1051"/>
        </w:numPr>
      </w:pPr>
      <w:r>
        <w:t>la protection provisoire des parties de façade qui ne sont pas destinées à recevoir le revêtement (menuiserie et vitrage par exemple) ;</w:t>
      </w:r>
    </w:p>
    <w:p w14:paraId="18BCD49D" w14:textId="77777777" w:rsidR="00772179" w:rsidRDefault="00000000">
      <w:pPr>
        <w:pStyle w:val="Author-eListParagraph"/>
        <w:numPr>
          <w:ilvl w:val="0"/>
          <w:numId w:val="1051"/>
        </w:numPr>
      </w:pPr>
      <w:r>
        <w:t>Le contrôle de l’état du support (planéité, verticalité, ...) afin de s’assurer de la pertinence de la technique de pose prévue ;</w:t>
      </w:r>
    </w:p>
    <w:p w14:paraId="1F353B97" w14:textId="77777777" w:rsidR="00772179" w:rsidRDefault="00000000">
      <w:pPr>
        <w:pStyle w:val="Author-eListParagraph"/>
        <w:numPr>
          <w:ilvl w:val="0"/>
          <w:numId w:val="1051"/>
        </w:numPr>
      </w:pPr>
      <w:r>
        <w:t>Toutes les découpes : raccords d’angles, raccords aux matériaux adjacents, percements pour traversées d’éléments de tous types.</w:t>
      </w:r>
    </w:p>
    <w:p w14:paraId="583BDE4E" w14:textId="77777777" w:rsidR="00772179" w:rsidRDefault="00000000">
      <w:pPr>
        <w:pStyle w:val="Author-eListParagraph"/>
        <w:numPr>
          <w:ilvl w:val="0"/>
          <w:numId w:val="1051"/>
        </w:numPr>
      </w:pPr>
      <w:r>
        <w:t>La fourniture et application d’un primaire pour autant que l’assemblage support/pierre l’exige;</w:t>
      </w:r>
    </w:p>
    <w:p w14:paraId="0BCC36FF" w14:textId="77777777" w:rsidR="00772179" w:rsidRDefault="00000000">
      <w:pPr>
        <w:pStyle w:val="Author-eListParagraph"/>
        <w:numPr>
          <w:ilvl w:val="0"/>
          <w:numId w:val="1051"/>
        </w:numPr>
      </w:pPr>
      <w:r>
        <w:t>La fourniture et pose des pierres, y compris la préparation, notamment badigeonnage et/ou nettoyage de la face de pose en vue d’améliorer l’adhérence.</w:t>
      </w:r>
    </w:p>
    <w:p w14:paraId="34669440" w14:textId="77777777" w:rsidR="00772179" w:rsidRDefault="00000000">
      <w:pPr>
        <w:pStyle w:val="Author-eListParagraph"/>
        <w:numPr>
          <w:ilvl w:val="0"/>
          <w:numId w:val="1051"/>
        </w:numPr>
      </w:pPr>
      <w:r>
        <w:t>L’encollage des pierres, toutes fournitures comprises ;</w:t>
      </w:r>
    </w:p>
    <w:p w14:paraId="5E523D41" w14:textId="77777777" w:rsidR="00772179" w:rsidRDefault="00000000">
      <w:pPr>
        <w:pStyle w:val="Author-eListParagraph"/>
        <w:numPr>
          <w:ilvl w:val="0"/>
          <w:numId w:val="1051"/>
        </w:numPr>
      </w:pPr>
      <w:r>
        <w:t>Le mortier de jointoiement ;</w:t>
      </w:r>
    </w:p>
    <w:p w14:paraId="1404D6EF" w14:textId="77777777" w:rsidR="00772179" w:rsidRDefault="00000000">
      <w:pPr>
        <w:pStyle w:val="Author-eListParagraph"/>
        <w:numPr>
          <w:ilvl w:val="0"/>
          <w:numId w:val="1051"/>
        </w:numPr>
      </w:pPr>
      <w:r>
        <w:t>les joints souples ;</w:t>
      </w:r>
    </w:p>
    <w:p w14:paraId="18B64D04" w14:textId="77777777" w:rsidR="00772179" w:rsidRDefault="00000000">
      <w:pPr>
        <w:pStyle w:val="Author-eListParagraph"/>
        <w:numPr>
          <w:ilvl w:val="0"/>
          <w:numId w:val="1051"/>
        </w:numPr>
      </w:pPr>
      <w:r>
        <w:t>Le nettoyage de la façade et l’enlèvement des déchets après exécution, afin de remettre le chantier dans son état de propreté initial.</w:t>
      </w:r>
    </w:p>
    <w:p w14:paraId="24B56327" w14:textId="77777777" w:rsidR="00772179" w:rsidRDefault="00000000">
      <w:pPr>
        <w:pStyle w:val="Author-eListParagraph"/>
        <w:numPr>
          <w:ilvl w:val="0"/>
          <w:numId w:val="1051"/>
        </w:numPr>
      </w:pPr>
      <w:r>
        <w:t>l'enlèvement de toutes les protections, la remise en place de tous les éléments démontés et le rangement du chantier ;</w:t>
      </w:r>
    </w:p>
    <w:p w14:paraId="5DA99AB2" w14:textId="77777777" w:rsidR="00772179" w:rsidRDefault="00000000">
      <w:pPr>
        <w:pStyle w:val="Author-eListParagraph"/>
        <w:numPr>
          <w:ilvl w:val="0"/>
          <w:numId w:val="1051"/>
        </w:numPr>
      </w:pPr>
      <w:r>
        <w:t>L’évacuation des déchets tel que décrit en section 07 Déchets, matériaux et éléments réemployables fait partie du prix unitaire ;</w:t>
      </w:r>
    </w:p>
    <w:p w14:paraId="4EA07C19" w14:textId="77777777" w:rsidR="00772179" w:rsidRDefault="00000000">
      <w:pPr>
        <w:jc w:val="both"/>
      </w:pPr>
      <w:r>
        <w:t>Sauf disposition contraire dans le cahier spécial des charges, les opérations suivantes ne font pas parties du présent travail et sont décrites dans des articles relatifs à la préparation du support sous le </w:t>
      </w:r>
      <w:hyperlink w:anchor="1009" w:history="1">
        <w:r>
          <w:rPr>
            <w:color w:val="0000EE"/>
          </w:rPr>
          <w:t>43.31 Revêtements de façade rigides collés - préparation du support</w:t>
        </w:r>
      </w:hyperlink>
      <w:r>
        <w:t xml:space="preserve"> :</w:t>
      </w:r>
    </w:p>
    <w:p w14:paraId="7DC5B853" w14:textId="77777777" w:rsidR="00772179" w:rsidRDefault="00000000">
      <w:pPr>
        <w:pStyle w:val="Author-eListParagraph"/>
        <w:numPr>
          <w:ilvl w:val="0"/>
          <w:numId w:val="1052"/>
        </w:numPr>
        <w:jc w:val="both"/>
      </w:pPr>
      <w:r>
        <w:t>l’augmentation de la rugosité du support ;</w:t>
      </w:r>
    </w:p>
    <w:p w14:paraId="253D41EA" w14:textId="77777777" w:rsidR="00772179" w:rsidRDefault="00000000">
      <w:pPr>
        <w:pStyle w:val="Author-eListParagraph"/>
        <w:numPr>
          <w:ilvl w:val="0"/>
          <w:numId w:val="1052"/>
        </w:numPr>
        <w:jc w:val="both"/>
      </w:pPr>
      <w:r>
        <w:lastRenderedPageBreak/>
        <w:t>l’élimination des inégalités importantes du support en procédant, par exemple, à l’application d’une couche d’égalisation visant à corriger les surfaces hors tolérances ;</w:t>
      </w:r>
    </w:p>
    <w:p w14:paraId="3A1667EE" w14:textId="77777777" w:rsidR="00772179" w:rsidRDefault="00000000">
      <w:pPr>
        <w:pStyle w:val="Author-eListParagraph"/>
        <w:numPr>
          <w:ilvl w:val="0"/>
          <w:numId w:val="1052"/>
        </w:numPr>
        <w:jc w:val="both"/>
      </w:pPr>
      <w:r>
        <w:t>l’enlèvement ou la neutralisation des produits de décoffrage ;</w:t>
      </w:r>
    </w:p>
    <w:p w14:paraId="089DD89A" w14:textId="77777777" w:rsidR="00772179" w:rsidRDefault="00000000">
      <w:pPr>
        <w:pStyle w:val="Author-eListParagraph"/>
        <w:numPr>
          <w:ilvl w:val="0"/>
          <w:numId w:val="1052"/>
        </w:numPr>
        <w:jc w:val="both"/>
      </w:pPr>
      <w:r>
        <w:t>l’élimination des efflorescences éventuelles ;</w:t>
      </w:r>
    </w:p>
    <w:p w14:paraId="2A8B35D5" w14:textId="77777777" w:rsidR="00772179" w:rsidRDefault="00000000">
      <w:pPr>
        <w:pStyle w:val="Author-eListParagraph"/>
        <w:numPr>
          <w:ilvl w:val="0"/>
          <w:numId w:val="1052"/>
        </w:numPr>
        <w:jc w:val="both"/>
      </w:pPr>
      <w:r>
        <w:t>toute protection autre que celles généralement prévues (voir ci-dessus).</w:t>
      </w:r>
    </w:p>
    <w:p w14:paraId="399CF476" w14:textId="77777777" w:rsidR="00772179" w:rsidRDefault="00000000">
      <w:pPr>
        <w:pStyle w:val="pheading"/>
      </w:pPr>
      <w:r>
        <w:t>EXÉCUTION / MISE EN ŒUVRE</w:t>
      </w:r>
    </w:p>
    <w:p w14:paraId="555B22AA" w14:textId="77777777" w:rsidR="00772179" w:rsidRDefault="00000000">
      <w:pPr>
        <w:jc w:val="both"/>
      </w:pPr>
      <w:r>
        <w:t>Avant le début de la mise en œuvre, l’entrepreneur chargé de la pose des pierres réceptionne le support : absence d’humidité, absence de fissures, absence de substances pouvant limiter l’adhérence de la colle, tolérances.</w:t>
      </w:r>
    </w:p>
    <w:p w14:paraId="244DBEC2" w14:textId="77777777" w:rsidR="00772179" w:rsidRDefault="00000000">
      <w:pPr>
        <w:jc w:val="both"/>
      </w:pPr>
      <w:r>
        <w:t xml:space="preserve">En cas de hors tolérances du support, les travaux d’égalisation font partie du </w:t>
      </w:r>
      <w:hyperlink w:anchor="1009" w:history="1">
        <w:r>
          <w:rPr>
            <w:color w:val="0000EE"/>
          </w:rPr>
          <w:t>43.31 Revêtements de façade rigides collés - préparation du support</w:t>
        </w:r>
      </w:hyperlink>
      <w:r>
        <w:t>. </w:t>
      </w:r>
    </w:p>
    <w:p w14:paraId="559BDAA3" w14:textId="77777777" w:rsidR="00772179" w:rsidRDefault="00000000">
      <w:pPr>
        <w:jc w:val="both"/>
      </w:pPr>
      <w:r>
        <w:t xml:space="preserve">La préparation du support est comprise au </w:t>
      </w:r>
      <w:hyperlink w:anchor="1009" w:history="1">
        <w:r>
          <w:rPr>
            <w:color w:val="0000EE"/>
          </w:rPr>
          <w:t>43.31 Revêtements de façade rigides collés - préparation du support</w:t>
        </w:r>
      </w:hyperlink>
      <w:r>
        <w:t>.</w:t>
      </w:r>
    </w:p>
    <w:p w14:paraId="571F87F7" w14:textId="77777777" w:rsidR="00772179" w:rsidRDefault="00000000">
      <w:pPr>
        <w:jc w:val="both"/>
      </w:pPr>
      <w:r>
        <w:t>Conditions de mise en œuvre : entre 5 et 30 °C</w:t>
      </w:r>
    </w:p>
    <w:p w14:paraId="6FAFE605" w14:textId="77777777" w:rsidR="00772179" w:rsidRDefault="00000000">
      <w:pPr>
        <w:jc w:val="both"/>
      </w:pPr>
      <w:r>
        <w:t>La pose des pierres est réalisée par double encollage.</w:t>
      </w:r>
    </w:p>
    <w:p w14:paraId="4A183F1C" w14:textId="77777777" w:rsidR="00772179" w:rsidRDefault="00000000">
      <w:pPr>
        <w:jc w:val="both"/>
      </w:pPr>
      <w:r>
        <w:t>Lors de la mise en œuvre, des essais sont réalisés permettant de vérifier le bon transfert du mortier sur le revêtement sont réalisés : min 5 essais, 1/100 m², après avoir décollé l’élément du support, la répartition de la colle doit être homogène sur ≥ 70 % de la surface du carreau.</w:t>
      </w:r>
    </w:p>
    <w:p w14:paraId="1F39E13A" w14:textId="77777777" w:rsidR="00772179" w:rsidRDefault="00000000">
      <w:pPr>
        <w:jc w:val="both"/>
      </w:pPr>
      <w:r>
        <w:t>Réalisation du rejointoiement après durcissement du mortier colle, nettoyage de la surface, enlèvement de toute graisse et poussière. </w:t>
      </w:r>
    </w:p>
    <w:p w14:paraId="0A822F90" w14:textId="77777777" w:rsidR="00772179" w:rsidRDefault="00000000">
      <w:pPr>
        <w:pStyle w:val="pheading"/>
      </w:pPr>
      <w:r>
        <w:t>DOCUMENTS DE RÉFÉRENCE</w:t>
      </w:r>
    </w:p>
    <w:p w14:paraId="3F675159" w14:textId="77777777" w:rsidR="00772179" w:rsidRDefault="00000000">
      <w:pPr>
        <w:pStyle w:val="pheading"/>
      </w:pPr>
      <w:r>
        <w:t>- Matériau</w:t>
      </w:r>
    </w:p>
    <w:p w14:paraId="79A89959" w14:textId="77777777" w:rsidR="00772179" w:rsidRDefault="00000000">
      <w:r>
        <w:t>[NIT 148, Collage des pierres et des marbres.]</w:t>
      </w:r>
    </w:p>
    <w:p w14:paraId="540FD940" w14:textId="77777777" w:rsidR="00772179" w:rsidRDefault="00000000">
      <w:r>
        <w:t>[NIT 182, Tâchage des pierres blanches et des marbres calcaires. Choix d'un mortier approprié pour la pose d'un revêtement de sol intérieur.]</w:t>
      </w:r>
    </w:p>
    <w:p w14:paraId="7F0E5811" w14:textId="77777777" w:rsidR="00772179" w:rsidRDefault="00000000">
      <w:r>
        <w:t>[NIT 220, La pierre bleue de Belgique dite petit granit d'âge géologique tournaisien (remplace la NIT 156).]</w:t>
      </w:r>
    </w:p>
    <w:p w14:paraId="645592FD" w14:textId="77777777" w:rsidR="00772179" w:rsidRDefault="00000000">
      <w:r>
        <w:t>[NIT 228, Pierres naturelles (NIT interactive et évolutive en remplacement de la NIT 205).]</w:t>
      </w:r>
    </w:p>
    <w:p w14:paraId="41F4D5D7" w14:textId="77777777" w:rsidR="00772179" w:rsidRDefault="00000000">
      <w:r>
        <w:t>[STS 56.1, Mastics d’étanchéité des façades]</w:t>
      </w:r>
    </w:p>
    <w:p w14:paraId="68BC8274" w14:textId="77777777" w:rsidR="00772179" w:rsidRDefault="00000000">
      <w:r>
        <w:t>[NBN EN 1469, Produits en pierre naturelle - Dalles de revêtement mural - Exigences]</w:t>
      </w:r>
    </w:p>
    <w:p w14:paraId="22E584D1" w14:textId="77777777" w:rsidR="00772179" w:rsidRDefault="00000000">
      <w:r>
        <w:t>[NBN EN 12004-1, Colles à carrelage - Partie 1: Exigences, évaluation et vérification de la constance de performance, classification et marquage]</w:t>
      </w:r>
    </w:p>
    <w:p w14:paraId="5A25163F" w14:textId="77777777" w:rsidR="00772179" w:rsidRDefault="00000000">
      <w:r>
        <w:t>[NBN EN 12057, Produits en pierre naturelle - Plaquettes modulaires - Exigences]</w:t>
      </w:r>
    </w:p>
    <w:p w14:paraId="5BD3644C" w14:textId="77777777" w:rsidR="00772179" w:rsidRDefault="00000000">
      <w:r>
        <w:t>[NBN EN 12371, Méthodes d’essai pour pierres naturelles - Détermination de la résistance au gel]</w:t>
      </w:r>
    </w:p>
    <w:p w14:paraId="57BBA9A6" w14:textId="77777777" w:rsidR="00772179" w:rsidRDefault="00000000">
      <w:r>
        <w:t>[CEN/TS 12390-9, Essais sur béton durci - Partie 9: Résistance au gel dégel-dégel en présence de sels de déverglaçage (écaillage) ]</w:t>
      </w:r>
    </w:p>
    <w:p w14:paraId="556830AD" w14:textId="77777777" w:rsidR="00772179" w:rsidRDefault="00000000">
      <w:r>
        <w:t>[NBN EN 12440, Pierres naturelles - Critères de dénomination]</w:t>
      </w:r>
    </w:p>
    <w:p w14:paraId="192041DB" w14:textId="77777777" w:rsidR="00772179" w:rsidRDefault="00000000">
      <w:r>
        <w:t>[NBN EN 13888, Mortiers de jointoiement pour carreaux et dalles céramiques - Exigences, évaluation de conformité, classification et désignation]</w:t>
      </w:r>
    </w:p>
    <w:p w14:paraId="058B1C58" w14:textId="77777777" w:rsidR="00772179" w:rsidRDefault="00000000">
      <w:r>
        <w:t>[NBN EN 14066, Méthodes d'essai pour les pierres naturelles - Détermination de la résistance au vieillissement accéléré par choc thermique]</w:t>
      </w:r>
    </w:p>
    <w:p w14:paraId="44CB0EC5" w14:textId="77777777" w:rsidR="00772179" w:rsidRDefault="00000000">
      <w:r>
        <w:t>[NBN EN 16306, Méthodes d'essai pour pierres naturelles - Détermination de la résistance du marbre aux cycles thermiques et d'humidité]</w:t>
      </w:r>
    </w:p>
    <w:p w14:paraId="3D027B40" w14:textId="77777777" w:rsidR="00772179" w:rsidRDefault="00000000">
      <w:r>
        <w:t>[NBN EN 16140, Méthodes d'essai pour pierres naturelles - Détermination de la sensibilité aux changements d'aspect induits par des cycles thermiques]</w:t>
      </w:r>
    </w:p>
    <w:p w14:paraId="233F1E5E" w14:textId="77777777" w:rsidR="00772179" w:rsidRDefault="00000000">
      <w:r>
        <w:lastRenderedPageBreak/>
        <w:t>[NBN EN ISO 11600, Construction immobilière - Produits pour joints - Classification et exigences pour les mastics (ISO 11600:2002)]</w:t>
      </w:r>
    </w:p>
    <w:p w14:paraId="477CC700" w14:textId="77777777" w:rsidR="00772179" w:rsidRDefault="00000000">
      <w:r>
        <w:t>[PTV 819-4, Prescriptions techniques pour classification des roches]</w:t>
      </w:r>
    </w:p>
    <w:p w14:paraId="18EB3673" w14:textId="77777777" w:rsidR="00772179" w:rsidRDefault="00000000">
      <w:pPr>
        <w:pStyle w:val="Author-eSectionHeading5Numberless"/>
      </w:pPr>
      <w:bookmarkStart w:id="813" w:name="_Toc220490488"/>
      <w:r>
        <w:t>43.35.1 Revêtements de façade rigides collés - pierres naturelles CCTB 01.11</w:t>
      </w:r>
      <w:bookmarkEnd w:id="813"/>
    </w:p>
    <w:p w14:paraId="12949F64" w14:textId="77777777" w:rsidR="00772179" w:rsidRDefault="00000000">
      <w:pPr>
        <w:pStyle w:val="Author-eSectionHeading6Numberless"/>
      </w:pPr>
      <w:bookmarkStart w:id="814" w:name="_Toc220490489"/>
      <w:r>
        <w:t>43.35.1a Revêtements de façade rigides collés - pierres naturelles  CCTB 01.12</w:t>
      </w:r>
      <w:bookmarkEnd w:id="814"/>
    </w:p>
    <w:p w14:paraId="6AB368FC" w14:textId="77777777" w:rsidR="00772179" w:rsidRDefault="00000000">
      <w:pPr>
        <w:pStyle w:val="pheading"/>
      </w:pPr>
      <w:r>
        <w:t>DESCRIPTION</w:t>
      </w:r>
    </w:p>
    <w:p w14:paraId="7FCF8B72" w14:textId="77777777" w:rsidR="00772179" w:rsidRDefault="00000000">
      <w:pPr>
        <w:pStyle w:val="pheading"/>
      </w:pPr>
      <w:r>
        <w:t>- Définition / Comprend</w:t>
      </w:r>
    </w:p>
    <w:p w14:paraId="582596F0" w14:textId="77777777" w:rsidR="00772179" w:rsidRDefault="00000000">
      <w:pPr>
        <w:jc w:val="both"/>
      </w:pPr>
      <w:r>
        <w:t>Il s’agit de la fourniture et la pose de revêtements de façade rigides collés en pierres naturelles.</w:t>
      </w:r>
    </w:p>
    <w:p w14:paraId="351C5F36" w14:textId="77777777" w:rsidR="00772179" w:rsidRDefault="00000000">
      <w:pPr>
        <w:pStyle w:val="pheading"/>
      </w:pPr>
      <w:r>
        <w:t>MATÉRIAUX</w:t>
      </w:r>
    </w:p>
    <w:p w14:paraId="1C7D7548" w14:textId="77777777" w:rsidR="00772179" w:rsidRDefault="00000000">
      <w:pPr>
        <w:pStyle w:val="pheading"/>
      </w:pPr>
      <w:r>
        <w:t>- Caractéristiques générales</w:t>
      </w:r>
    </w:p>
    <w:p w14:paraId="14091CC2" w14:textId="77777777" w:rsidR="00772179" w:rsidRDefault="00000000">
      <w:pPr>
        <w:jc w:val="both"/>
      </w:pPr>
      <w:r>
        <w:t xml:space="preserve">Type de pierre – dénomination suivant [NBN EN 12440] : </w:t>
      </w:r>
      <w:r>
        <w:rPr>
          <w:rStyle w:val="optioncarChar"/>
        </w:rPr>
        <w:t>non spécifié (à proposer par l’entrepreneur et soumis à l’approbation de l’auteur de projet) / ***</w:t>
      </w:r>
    </w:p>
    <w:p w14:paraId="3CA0EA89" w14:textId="77777777" w:rsidR="00772179" w:rsidRDefault="00000000">
      <w:pPr>
        <w:jc w:val="both"/>
      </w:pPr>
      <w:r>
        <w:t xml:space="preserve">Résistance au choc thermique : </w:t>
      </w:r>
      <w:r>
        <w:rPr>
          <w:rStyle w:val="optioncarChar"/>
        </w:rPr>
        <w:t>pierre</w:t>
      </w:r>
      <w:r>
        <w:t xml:space="preserve"> (par défaut)</w:t>
      </w:r>
      <w:r>
        <w:rPr>
          <w:rStyle w:val="optioncarChar"/>
        </w:rPr>
        <w:t xml:space="preserve"> / marbre</w:t>
      </w:r>
    </w:p>
    <w:p w14:paraId="04525C1F" w14:textId="77777777" w:rsidR="00772179" w:rsidRDefault="00000000">
      <w:pPr>
        <w:jc w:val="both"/>
      </w:pPr>
      <w:r>
        <w:rPr>
          <w:b/>
        </w:rPr>
        <w:t>(soit par défaut)</w:t>
      </w:r>
    </w:p>
    <w:p w14:paraId="66A4B646" w14:textId="77777777" w:rsidR="00772179" w:rsidRDefault="00000000">
      <w:pPr>
        <w:jc w:val="both"/>
      </w:pPr>
      <w:r>
        <w:rPr>
          <w:rStyle w:val="soitChar"/>
          <w:u w:val="single"/>
        </w:rPr>
        <w:t>Pierre :</w:t>
      </w:r>
      <w:r>
        <w:rPr>
          <w:rStyle w:val="soitChar"/>
        </w:rPr>
        <w:t xml:space="preserve"> essai réalisé suivant [NBN EN 14066] : perte de module d’élasticité dynamique ≤ 20 % et perte de masse &lt; 1 %.</w:t>
      </w:r>
    </w:p>
    <w:p w14:paraId="57F1914A" w14:textId="77777777" w:rsidR="00772179" w:rsidRDefault="00000000">
      <w:pPr>
        <w:jc w:val="both"/>
      </w:pPr>
      <w:r>
        <w:rPr>
          <w:b/>
        </w:rPr>
        <w:t>(soit)</w:t>
      </w:r>
    </w:p>
    <w:p w14:paraId="695FB95E" w14:textId="77777777" w:rsidR="00772179" w:rsidRDefault="00000000">
      <w:pPr>
        <w:jc w:val="both"/>
      </w:pPr>
      <w:r>
        <w:rPr>
          <w:rStyle w:val="soitChar"/>
          <w:u w:val="single"/>
        </w:rPr>
        <w:t>Marbre :</w:t>
      </w:r>
      <w:r>
        <w:rPr>
          <w:rStyle w:val="soitChar"/>
        </w:rPr>
        <w:t xml:space="preserve"> essai réalisé suivant [NBN EN 16306] : perte de module d’élasticité dynamique ≤ 20 % et perte de masse &lt; 1 %. </w:t>
      </w:r>
    </w:p>
    <w:p w14:paraId="18574429" w14:textId="77777777" w:rsidR="00772179" w:rsidRDefault="00000000">
      <w:pPr>
        <w:jc w:val="both"/>
      </w:pPr>
      <w:r>
        <w:t>Réaction au feu : </w:t>
      </w:r>
      <w:r>
        <w:rPr>
          <w:rStyle w:val="optioncarChar"/>
        </w:rPr>
        <w:t>A1 </w:t>
      </w:r>
      <w:r>
        <w:t>(par défaut)</w:t>
      </w:r>
      <w:r>
        <w:rPr>
          <w:rStyle w:val="optioncarChar"/>
        </w:rPr>
        <w:t> / ***.</w:t>
      </w:r>
    </w:p>
    <w:p w14:paraId="66DE99C8" w14:textId="77777777" w:rsidR="00772179" w:rsidRDefault="00000000">
      <w:pPr>
        <w:jc w:val="both"/>
      </w:pPr>
      <w:r>
        <w:t xml:space="preserve">Essais au gel suivant application en : </w:t>
      </w:r>
      <w:r>
        <w:rPr>
          <w:rStyle w:val="optioncarChar"/>
        </w:rPr>
        <w:t>façade courante</w:t>
      </w:r>
      <w:r>
        <w:t xml:space="preserve"> (par défaut)</w:t>
      </w:r>
      <w:r>
        <w:rPr>
          <w:rStyle w:val="optioncarChar"/>
        </w:rPr>
        <w:t xml:space="preserve"> / zone de plinthe</w:t>
      </w:r>
    </w:p>
    <w:p w14:paraId="04BE730A" w14:textId="77777777" w:rsidR="00772179" w:rsidRDefault="00000000">
      <w:pPr>
        <w:jc w:val="both"/>
      </w:pPr>
      <w:r>
        <w:rPr>
          <w:b/>
        </w:rPr>
        <w:t>(soit par défaut)</w:t>
      </w:r>
    </w:p>
    <w:p w14:paraId="194FF0E5" w14:textId="77777777" w:rsidR="00772179" w:rsidRDefault="00000000">
      <w:pPr>
        <w:jc w:val="both"/>
      </w:pPr>
      <w:r>
        <w:rPr>
          <w:rStyle w:val="soitChar"/>
          <w:u w:val="single"/>
        </w:rPr>
        <w:t>Façade courante :</w:t>
      </w:r>
    </w:p>
    <w:p w14:paraId="2AD945C1" w14:textId="77777777" w:rsidR="00772179" w:rsidRDefault="00000000">
      <w:pPr>
        <w:pStyle w:val="Author-eListParagraph"/>
        <w:numPr>
          <w:ilvl w:val="0"/>
          <w:numId w:val="1053"/>
        </w:numPr>
      </w:pPr>
      <w:r>
        <w:rPr>
          <w:rStyle w:val="soitChar"/>
        </w:rPr>
        <w:t>Résistance au gel suivant [NBN EN 12371] : Nc ≥ 14</w:t>
      </w:r>
    </w:p>
    <w:p w14:paraId="6C55B84E" w14:textId="77777777" w:rsidR="00772179" w:rsidRDefault="00000000">
      <w:pPr>
        <w:jc w:val="both"/>
      </w:pPr>
      <w:r>
        <w:rPr>
          <w:b/>
        </w:rPr>
        <w:t>(soit)</w:t>
      </w:r>
    </w:p>
    <w:p w14:paraId="2F8C7535" w14:textId="77777777" w:rsidR="00772179" w:rsidRDefault="00000000">
      <w:pPr>
        <w:jc w:val="both"/>
      </w:pPr>
      <w:r>
        <w:rPr>
          <w:rStyle w:val="soitChar"/>
          <w:u w:val="single"/>
        </w:rPr>
        <w:t>Zone de plinthe :</w:t>
      </w:r>
    </w:p>
    <w:p w14:paraId="3A79493F" w14:textId="77777777" w:rsidR="00772179" w:rsidRDefault="00000000">
      <w:pPr>
        <w:pStyle w:val="Author-eListParagraph"/>
        <w:numPr>
          <w:ilvl w:val="0"/>
          <w:numId w:val="1054"/>
        </w:numPr>
      </w:pPr>
      <w:r>
        <w:rPr>
          <w:rStyle w:val="soitChar"/>
        </w:rPr>
        <w:t>Située à moins de 30 cm au-dessus du niveau du sol</w:t>
      </w:r>
    </w:p>
    <w:p w14:paraId="59FBCB4E" w14:textId="77777777" w:rsidR="00772179" w:rsidRDefault="00000000">
      <w:pPr>
        <w:pStyle w:val="Author-eListParagraph"/>
        <w:numPr>
          <w:ilvl w:val="0"/>
          <w:numId w:val="1054"/>
        </w:numPr>
      </w:pPr>
      <w:r>
        <w:rPr>
          <w:rStyle w:val="soitChar"/>
        </w:rPr>
        <w:t>Résistance au gel suivant [NBN EN 12371] : NC ≥ 140</w:t>
      </w:r>
    </w:p>
    <w:p w14:paraId="2BB34BE0" w14:textId="77777777" w:rsidR="00772179" w:rsidRDefault="00000000">
      <w:pPr>
        <w:pStyle w:val="Author-eListParagraph"/>
        <w:numPr>
          <w:ilvl w:val="0"/>
          <w:numId w:val="1054"/>
        </w:numPr>
      </w:pPr>
      <w:r>
        <w:rPr>
          <w:rStyle w:val="soitChar"/>
        </w:rPr>
        <w:t>Résistance à l’action combinée du gel et des sels de déverglaçage [CEN/TS 12390-9]</w:t>
      </w:r>
      <w:r>
        <w:br/>
      </w:r>
    </w:p>
    <w:p w14:paraId="1872905E" w14:textId="77777777" w:rsidR="00772179" w:rsidRDefault="00000000">
      <w:pPr>
        <w:jc w:val="both"/>
      </w:pPr>
      <w:r>
        <w:t xml:space="preserve">Sensibilité au tâchage interne de type I suivant [NBN EN 16140] : </w:t>
      </w:r>
      <w:r>
        <w:rPr>
          <w:rStyle w:val="optioncarChar"/>
        </w:rPr>
        <w:t>T1</w:t>
      </w:r>
      <w:r>
        <w:t xml:space="preserve"> (par défaut) </w:t>
      </w:r>
      <w:r>
        <w:rPr>
          <w:rStyle w:val="optioncarChar"/>
        </w:rPr>
        <w:t>/ T2 / T3</w:t>
      </w:r>
    </w:p>
    <w:p w14:paraId="7E191E44" w14:textId="77777777" w:rsidR="00772179" w:rsidRDefault="00000000">
      <w:pPr>
        <w:jc w:val="both"/>
      </w:pPr>
      <w:r>
        <w:t>Sensibilité au tâchage interne de type II : l’entrepreneur fournit les rapports d’essai (méthode Vénuat) garantissant la compatibilité entre le mortier-colle et la pierre et l’absence de tâches.</w:t>
      </w:r>
    </w:p>
    <w:p w14:paraId="24AB18C8" w14:textId="77777777" w:rsidR="00772179" w:rsidRDefault="00000000">
      <w:pPr>
        <w:jc w:val="both"/>
      </w:pPr>
      <w:r>
        <w:t xml:space="preserve">Facteur d’absorption de l’énergie solaire αe : ≤ : </w:t>
      </w:r>
      <w:r>
        <w:rPr>
          <w:rStyle w:val="optioncarChar"/>
        </w:rPr>
        <w:t xml:space="preserve">0,7 </w:t>
      </w:r>
      <w:r>
        <w:t xml:space="preserve">(par défaut) </w:t>
      </w:r>
      <w:r>
        <w:rPr>
          <w:rStyle w:val="optioncarChar"/>
        </w:rPr>
        <w:t>/ 0,85 / ***</w:t>
      </w:r>
    </w:p>
    <w:p w14:paraId="52E270B8" w14:textId="77777777" w:rsidR="00772179" w:rsidRDefault="00000000">
      <w:pPr>
        <w:jc w:val="both"/>
      </w:pPr>
      <w:r>
        <w:t xml:space="preserve">Indice de clarté (IC) : ≤ : </w:t>
      </w:r>
      <w:r>
        <w:rPr>
          <w:rStyle w:val="optioncarChar"/>
        </w:rPr>
        <w:t xml:space="preserve">10 </w:t>
      </w:r>
      <w:r>
        <w:t>(par défaut)</w:t>
      </w:r>
      <w:r>
        <w:rPr>
          <w:rStyle w:val="optioncarChar"/>
        </w:rPr>
        <w:t xml:space="preserve"> / 25 / ***</w:t>
      </w:r>
    </w:p>
    <w:p w14:paraId="540B284C" w14:textId="77777777" w:rsidR="00772179" w:rsidRDefault="00000000">
      <w:pPr>
        <w:jc w:val="both"/>
      </w:pPr>
      <w:r>
        <w:t xml:space="preserve">Plaques : </w:t>
      </w:r>
      <w:r>
        <w:rPr>
          <w:rStyle w:val="optioncarChar"/>
        </w:rPr>
        <w:t xml:space="preserve">calepinées </w:t>
      </w:r>
      <w:r>
        <w:t xml:space="preserve">(par défaut) </w:t>
      </w:r>
      <w:r>
        <w:rPr>
          <w:rStyle w:val="optioncarChar"/>
        </w:rPr>
        <w:t>/ modulaires</w:t>
      </w:r>
    </w:p>
    <w:p w14:paraId="4B15C333" w14:textId="77777777" w:rsidR="00772179" w:rsidRDefault="00000000">
      <w:pPr>
        <w:jc w:val="both"/>
      </w:pPr>
      <w:r>
        <w:rPr>
          <w:b/>
        </w:rPr>
        <w:t>(soit par défaut)</w:t>
      </w:r>
    </w:p>
    <w:p w14:paraId="1CEE6255" w14:textId="77777777" w:rsidR="00772179" w:rsidRDefault="00000000">
      <w:pPr>
        <w:jc w:val="both"/>
      </w:pPr>
      <w:r>
        <w:rPr>
          <w:rStyle w:val="soitChar"/>
          <w:u w:val="single"/>
        </w:rPr>
        <w:t>Calepinées</w:t>
      </w:r>
      <w:r>
        <w:rPr>
          <w:rStyle w:val="soitChar"/>
        </w:rPr>
        <w:t xml:space="preserve"> :</w:t>
      </w:r>
    </w:p>
    <w:p w14:paraId="003F1273" w14:textId="77777777" w:rsidR="00772179" w:rsidRDefault="00000000">
      <w:pPr>
        <w:pStyle w:val="Author-eListParagraph"/>
        <w:numPr>
          <w:ilvl w:val="0"/>
          <w:numId w:val="1055"/>
        </w:numPr>
      </w:pPr>
      <w:r>
        <w:rPr>
          <w:rStyle w:val="soitChar"/>
        </w:rPr>
        <w:t xml:space="preserve">Le calepinage est déterminé par </w:t>
      </w:r>
      <w:r>
        <w:rPr>
          <w:rStyle w:val="optioncarChar"/>
        </w:rPr>
        <w:t xml:space="preserve">l’auteur de projet </w:t>
      </w:r>
      <w:r>
        <w:t>(par défaut)</w:t>
      </w:r>
      <w:r>
        <w:rPr>
          <w:rStyle w:val="optioncarChar"/>
        </w:rPr>
        <w:t xml:space="preserve"> / l'entreprise</w:t>
      </w:r>
    </w:p>
    <w:p w14:paraId="0EB388C4" w14:textId="77777777" w:rsidR="00772179" w:rsidRDefault="00000000">
      <w:pPr>
        <w:pStyle w:val="Author-eListParagraph"/>
        <w:numPr>
          <w:ilvl w:val="0"/>
          <w:numId w:val="1055"/>
        </w:numPr>
      </w:pPr>
      <w:r>
        <w:rPr>
          <w:rStyle w:val="soitChar"/>
        </w:rPr>
        <w:t xml:space="preserve">Épaisseur : </w:t>
      </w:r>
      <w:r>
        <w:rPr>
          <w:rStyle w:val="optioncarChar"/>
        </w:rPr>
        <w:t xml:space="preserve">20 </w:t>
      </w:r>
      <w:r>
        <w:t xml:space="preserve">(par défaut) </w:t>
      </w:r>
      <w:r>
        <w:rPr>
          <w:rStyle w:val="optioncarChar"/>
        </w:rPr>
        <w:t>/ ***</w:t>
      </w:r>
      <w:r>
        <w:rPr>
          <w:rStyle w:val="soitChar"/>
        </w:rPr>
        <w:t xml:space="preserve"> mm</w:t>
      </w:r>
    </w:p>
    <w:p w14:paraId="18928985" w14:textId="77777777" w:rsidR="00772179" w:rsidRDefault="00000000">
      <w:pPr>
        <w:pStyle w:val="Author-eListParagraph"/>
        <w:numPr>
          <w:ilvl w:val="0"/>
          <w:numId w:val="1055"/>
        </w:numPr>
      </w:pPr>
      <w:r>
        <w:rPr>
          <w:rStyle w:val="soitChar"/>
        </w:rPr>
        <w:lastRenderedPageBreak/>
        <w:t>Dimensions (longueur l x largeur b) :</w:t>
      </w:r>
      <w:r>
        <w:rPr>
          <w:rStyle w:val="optioncarChar"/>
        </w:rPr>
        <w:t> ***</w:t>
      </w:r>
      <w:r>
        <w:rPr>
          <w:rStyle w:val="soitChar"/>
        </w:rPr>
        <w:t xml:space="preserve"> mm</w:t>
      </w:r>
    </w:p>
    <w:p w14:paraId="48B26BA5" w14:textId="77777777" w:rsidR="00772179" w:rsidRDefault="00000000">
      <w:pPr>
        <w:jc w:val="both"/>
      </w:pPr>
      <w:r>
        <w:rPr>
          <w:b/>
        </w:rPr>
        <w:t>(soit)</w:t>
      </w:r>
    </w:p>
    <w:p w14:paraId="7FD86B0A" w14:textId="77777777" w:rsidR="00772179" w:rsidRDefault="00000000">
      <w:pPr>
        <w:jc w:val="both"/>
      </w:pPr>
      <w:r>
        <w:rPr>
          <w:rStyle w:val="soitChar"/>
          <w:u w:val="single"/>
        </w:rPr>
        <w:t>Modulaires</w:t>
      </w:r>
      <w:r>
        <w:rPr>
          <w:rStyle w:val="soitChar"/>
        </w:rPr>
        <w:t xml:space="preserve"> suivant [NBN EN 12057] : </w:t>
      </w:r>
      <w:r>
        <w:rPr>
          <w:rStyle w:val="optioncarChar"/>
        </w:rPr>
        <w:t>calibrées / non calibrées</w:t>
      </w:r>
    </w:p>
    <w:p w14:paraId="2C8F69B4" w14:textId="77777777" w:rsidR="00772179" w:rsidRDefault="00000000">
      <w:pPr>
        <w:pStyle w:val="Author-eListParagraph"/>
        <w:numPr>
          <w:ilvl w:val="0"/>
          <w:numId w:val="1056"/>
        </w:numPr>
      </w:pPr>
      <w:r>
        <w:rPr>
          <w:rStyle w:val="soitChar"/>
        </w:rPr>
        <w:t xml:space="preserve">Épaisseur : </w:t>
      </w:r>
      <w:r>
        <w:rPr>
          <w:rStyle w:val="optioncarChar"/>
        </w:rPr>
        <w:t xml:space="preserve">12 </w:t>
      </w:r>
      <w:r>
        <w:t>(par défaut)</w:t>
      </w:r>
      <w:r>
        <w:rPr>
          <w:rStyle w:val="optioncarChar"/>
        </w:rPr>
        <w:t xml:space="preserve"> / ***</w:t>
      </w:r>
      <w:r>
        <w:rPr>
          <w:rStyle w:val="soitChar"/>
        </w:rPr>
        <w:t xml:space="preserve"> mm</w:t>
      </w:r>
    </w:p>
    <w:p w14:paraId="14D6D6AA" w14:textId="77777777" w:rsidR="00772179" w:rsidRDefault="00000000">
      <w:pPr>
        <w:pStyle w:val="Author-eListParagraph"/>
        <w:numPr>
          <w:ilvl w:val="0"/>
          <w:numId w:val="1056"/>
        </w:numPr>
      </w:pPr>
      <w:r>
        <w:rPr>
          <w:rStyle w:val="soitChar"/>
        </w:rPr>
        <w:t>Dimensions (longueur l x largeur b) :</w:t>
      </w:r>
      <w:r>
        <w:rPr>
          <w:rStyle w:val="optioncarChar"/>
        </w:rPr>
        <w:t> ***</w:t>
      </w:r>
      <w:r>
        <w:rPr>
          <w:rStyle w:val="soitChar"/>
        </w:rPr>
        <w:t xml:space="preserve"> mm</w:t>
      </w:r>
    </w:p>
    <w:p w14:paraId="10F5FB0C" w14:textId="77777777" w:rsidR="00772179" w:rsidRDefault="00000000">
      <w:pPr>
        <w:jc w:val="both"/>
      </w:pPr>
      <w:r>
        <w:t>Tolérances : conformes à la [NBN EN 1469]</w:t>
      </w:r>
    </w:p>
    <w:p w14:paraId="47ACB32E" w14:textId="77777777" w:rsidR="00772179" w:rsidRDefault="00000000">
      <w:pPr>
        <w:jc w:val="both"/>
      </w:pPr>
      <w:r>
        <w:rPr>
          <w:b/>
        </w:rPr>
        <w:t>Les produits de collage</w:t>
      </w:r>
      <w:r>
        <w:t xml:space="preserve"> répondent aux spécifications de la [NBN EN 12004-1].</w:t>
      </w:r>
    </w:p>
    <w:p w14:paraId="4762D1EA" w14:textId="77777777" w:rsidR="00772179" w:rsidRDefault="00000000">
      <w:pPr>
        <w:jc w:val="both"/>
      </w:pPr>
      <w:r>
        <w:t xml:space="preserve">Type : </w:t>
      </w:r>
      <w:r>
        <w:rPr>
          <w:rStyle w:val="optioncarChar"/>
        </w:rPr>
        <w:t>C2 (mortier-colle) / R (colle réactive)</w:t>
      </w:r>
    </w:p>
    <w:p w14:paraId="351BCE8F" w14:textId="77777777" w:rsidR="00772179" w:rsidRDefault="00000000">
      <w:pPr>
        <w:jc w:val="both"/>
      </w:pPr>
      <w:r>
        <w:t xml:space="preserve">Classe : </w:t>
      </w:r>
      <w:r>
        <w:rPr>
          <w:rStyle w:val="optioncarChar"/>
        </w:rPr>
        <w:t xml:space="preserve">normale </w:t>
      </w:r>
      <w:r>
        <w:t>(par défaut)</w:t>
      </w:r>
      <w:r>
        <w:rPr>
          <w:rStyle w:val="optioncarChar"/>
        </w:rPr>
        <w:t xml:space="preserve"> / améliorée</w:t>
      </w:r>
    </w:p>
    <w:p w14:paraId="06D0018B" w14:textId="77777777" w:rsidR="00772179" w:rsidRDefault="00000000">
      <w:pPr>
        <w:jc w:val="both"/>
      </w:pPr>
      <w:r>
        <w:rPr>
          <w:b/>
        </w:rPr>
        <w:t>(soit par défaut)</w:t>
      </w:r>
    </w:p>
    <w:p w14:paraId="74D7F0CF" w14:textId="77777777" w:rsidR="00772179" w:rsidRDefault="00000000">
      <w:pPr>
        <w:jc w:val="both"/>
      </w:pPr>
      <w:r>
        <w:rPr>
          <w:rStyle w:val="soitChar"/>
          <w:u w:val="single"/>
        </w:rPr>
        <w:t>Normale :</w:t>
      </w:r>
    </w:p>
    <w:p w14:paraId="1B3E21B3" w14:textId="77777777" w:rsidR="00772179" w:rsidRDefault="00000000">
      <w:pPr>
        <w:jc w:val="both"/>
      </w:pPr>
      <w:r>
        <w:rPr>
          <w:b/>
        </w:rPr>
        <w:t>(soit)</w:t>
      </w:r>
    </w:p>
    <w:p w14:paraId="399F841A" w14:textId="77777777" w:rsidR="00772179" w:rsidRDefault="00000000">
      <w:pPr>
        <w:jc w:val="both"/>
      </w:pPr>
      <w:r>
        <w:rPr>
          <w:rStyle w:val="soitChar"/>
          <w:u w:val="single"/>
        </w:rPr>
        <w:t>Améliorée :</w:t>
      </w:r>
      <w:r>
        <w:rPr>
          <w:rStyle w:val="soitChar"/>
        </w:rPr>
        <w:t xml:space="preserve"> L’entrepreneur détermine les caractéristiques complémentaires de la colle en fonction de la pierre et du support : temps ouvert allongé E, prise rapide F, glissement limité T, déformabilité S1 ou S2.</w:t>
      </w:r>
    </w:p>
    <w:p w14:paraId="379BBC80" w14:textId="77777777" w:rsidR="00772179" w:rsidRDefault="00000000">
      <w:pPr>
        <w:jc w:val="both"/>
      </w:pPr>
      <w:r>
        <w:t>Réaction au feu de la colle : </w:t>
      </w:r>
      <w:r>
        <w:rPr>
          <w:rStyle w:val="optioncarChar"/>
        </w:rPr>
        <w:t>E </w:t>
      </w:r>
      <w:r>
        <w:t>(par défaut) </w:t>
      </w:r>
      <w:r>
        <w:rPr>
          <w:rStyle w:val="optioncarChar"/>
        </w:rPr>
        <w:t>/ ***</w:t>
      </w:r>
    </w:p>
    <w:p w14:paraId="6C9B5948" w14:textId="77777777" w:rsidR="00772179" w:rsidRDefault="00000000">
      <w:pPr>
        <w:jc w:val="both"/>
      </w:pPr>
      <w:r>
        <w:rPr>
          <w:b/>
        </w:rPr>
        <w:t>Rejointoiement des joints courants :</w:t>
      </w:r>
      <w:r>
        <w:rPr>
          <w:rStyle w:val="optioncarChar"/>
        </w:rPr>
        <w:t>au mortier</w:t>
      </w:r>
      <w:r>
        <w:t xml:space="preserve"> (par défaut)</w:t>
      </w:r>
      <w:r>
        <w:rPr>
          <w:rStyle w:val="optioncarChar"/>
        </w:rPr>
        <w:t xml:space="preserve"> / au moyen d’un joint souple</w:t>
      </w:r>
    </w:p>
    <w:p w14:paraId="1EBD16BF" w14:textId="77777777" w:rsidR="00772179" w:rsidRDefault="00000000">
      <w:pPr>
        <w:jc w:val="both"/>
      </w:pPr>
      <w:r>
        <w:rPr>
          <w:b/>
        </w:rPr>
        <w:t>(soit par défaut)</w:t>
      </w:r>
    </w:p>
    <w:p w14:paraId="571E4CF7" w14:textId="77777777" w:rsidR="00772179" w:rsidRDefault="00000000">
      <w:pPr>
        <w:jc w:val="both"/>
      </w:pPr>
      <w:r>
        <w:rPr>
          <w:rStyle w:val="soitChar"/>
          <w:u w:val="single"/>
        </w:rPr>
        <w:t>Au mortier :</w:t>
      </w:r>
    </w:p>
    <w:p w14:paraId="407B86AF" w14:textId="77777777" w:rsidR="00772179" w:rsidRDefault="00000000">
      <w:pPr>
        <w:pStyle w:val="Author-eListParagraph"/>
        <w:numPr>
          <w:ilvl w:val="0"/>
          <w:numId w:val="1057"/>
        </w:numPr>
      </w:pPr>
      <w:r>
        <w:rPr>
          <w:rStyle w:val="soitChar"/>
        </w:rPr>
        <w:t xml:space="preserve">Suivant [NBN EN 13888] : </w:t>
      </w:r>
      <w:r>
        <w:rPr>
          <w:rStyle w:val="optioncarChar"/>
        </w:rPr>
        <w:t>CG1</w:t>
      </w:r>
      <w:r>
        <w:t xml:space="preserve"> (par défaut)</w:t>
      </w:r>
      <w:r>
        <w:rPr>
          <w:rStyle w:val="optioncarChar"/>
        </w:rPr>
        <w:t xml:space="preserve"> / CG2 / CG2W / CG2WA</w:t>
      </w:r>
    </w:p>
    <w:p w14:paraId="5DEAB114" w14:textId="77777777" w:rsidR="00772179" w:rsidRDefault="00000000">
      <w:pPr>
        <w:jc w:val="both"/>
      </w:pPr>
      <w:r>
        <w:rPr>
          <w:b/>
        </w:rPr>
        <w:t> (soit)</w:t>
      </w:r>
    </w:p>
    <w:p w14:paraId="0F982D60" w14:textId="77777777" w:rsidR="00772179" w:rsidRDefault="00000000">
      <w:pPr>
        <w:jc w:val="both"/>
      </w:pPr>
      <w:r>
        <w:rPr>
          <w:rStyle w:val="soitChar"/>
          <w:u w:val="single"/>
        </w:rPr>
        <w:t>Au moyen d’un joint souple :</w:t>
      </w:r>
    </w:p>
    <w:p w14:paraId="5C117EEF" w14:textId="77777777" w:rsidR="00772179" w:rsidRDefault="00000000">
      <w:pPr>
        <w:pStyle w:val="Author-eListParagraph"/>
        <w:numPr>
          <w:ilvl w:val="0"/>
          <w:numId w:val="1058"/>
        </w:numPr>
      </w:pPr>
      <w:r>
        <w:rPr>
          <w:rStyle w:val="soitChar"/>
        </w:rPr>
        <w:t xml:space="preserve">Suivant </w:t>
      </w:r>
      <w:hyperlink w:anchor="1000" w:history="1">
        <w:r>
          <w:rPr>
            <w:rStyle w:val="soitChar"/>
            <w:color w:val="0000EE"/>
          </w:rPr>
          <w:t>43.64.4 Joints d'étanchéité - systèmes étanches</w:t>
        </w:r>
      </w:hyperlink>
    </w:p>
    <w:p w14:paraId="263F8678" w14:textId="77777777" w:rsidR="00772179" w:rsidRDefault="00000000">
      <w:pPr>
        <w:pStyle w:val="Author-eListParagraph"/>
        <w:numPr>
          <w:ilvl w:val="0"/>
          <w:numId w:val="1058"/>
        </w:numPr>
      </w:pPr>
      <w:r>
        <w:rPr>
          <w:rStyle w:val="soitChar"/>
        </w:rPr>
        <w:t>L’entreprise présente un rapport démontrant l’absence de tâchage des pierres</w:t>
      </w:r>
    </w:p>
    <w:p w14:paraId="6E1675CB" w14:textId="77777777" w:rsidR="00772179" w:rsidRDefault="00000000">
      <w:pPr>
        <w:jc w:val="both"/>
      </w:pPr>
      <w:r>
        <w:rPr>
          <w:b/>
        </w:rPr>
        <w:t>Joints de mouvement :</w:t>
      </w:r>
      <w:r>
        <w:t xml:space="preserve"> Le produit de jointoiement répond aux spécifications de la [NBN EN ISO 11600] et des [STS 56.1].</w:t>
      </w:r>
    </w:p>
    <w:p w14:paraId="6EB1E288" w14:textId="77777777" w:rsidR="00772179" w:rsidRDefault="00000000">
      <w:pPr>
        <w:pStyle w:val="pheading"/>
      </w:pPr>
      <w:r>
        <w:t>- Finitions</w:t>
      </w:r>
    </w:p>
    <w:p w14:paraId="394C69ED" w14:textId="77777777" w:rsidR="00772179" w:rsidRDefault="00000000">
      <w:pPr>
        <w:pStyle w:val="Author-eListParagraph"/>
        <w:numPr>
          <w:ilvl w:val="0"/>
          <w:numId w:val="1059"/>
        </w:numPr>
        <w:jc w:val="both"/>
      </w:pPr>
      <w:r>
        <w:t xml:space="preserve">Pierres faces vues : </w:t>
      </w:r>
      <w:r>
        <w:rPr>
          <w:rStyle w:val="optioncarChar"/>
        </w:rPr>
        <w:t xml:space="preserve">adoucie </w:t>
      </w:r>
      <w:r>
        <w:t xml:space="preserve">(par défaut) </w:t>
      </w:r>
      <w:r>
        <w:rPr>
          <w:rStyle w:val="optioncarChar"/>
        </w:rPr>
        <w:t>/ polie / ciselée / clivée / ***</w:t>
      </w:r>
    </w:p>
    <w:p w14:paraId="43887FF1" w14:textId="77777777" w:rsidR="00772179" w:rsidRDefault="00000000">
      <w:pPr>
        <w:pStyle w:val="Author-eListParagraph"/>
        <w:numPr>
          <w:ilvl w:val="0"/>
          <w:numId w:val="1059"/>
        </w:numPr>
        <w:jc w:val="both"/>
      </w:pPr>
      <w:r>
        <w:t xml:space="preserve">Raccords entre pierres aux angles : </w:t>
      </w:r>
      <w:r>
        <w:rPr>
          <w:rStyle w:val="optioncarChar"/>
        </w:rPr>
        <w:t>coupe à onglet avec un chanfrein</w:t>
      </w:r>
      <w:r>
        <w:t xml:space="preserve"> (par défaut)</w:t>
      </w:r>
      <w:r>
        <w:rPr>
          <w:rStyle w:val="optioncarChar"/>
        </w:rPr>
        <w:t xml:space="preserve"> / ***</w:t>
      </w:r>
    </w:p>
    <w:p w14:paraId="66A10808" w14:textId="77777777" w:rsidR="00772179" w:rsidRDefault="00000000">
      <w:pPr>
        <w:pStyle w:val="Author-eListParagraph"/>
        <w:numPr>
          <w:ilvl w:val="0"/>
          <w:numId w:val="1059"/>
        </w:numPr>
        <w:jc w:val="both"/>
      </w:pPr>
      <w:r>
        <w:t>Teinte des joints au choix de l’auteur de projet dans toute la gamme du fabricant sur base d’échantillons réalisés in situ</w:t>
      </w:r>
    </w:p>
    <w:p w14:paraId="4ABDFFAF" w14:textId="77777777" w:rsidR="00772179" w:rsidRDefault="00000000">
      <w:pPr>
        <w:pStyle w:val="pheading"/>
      </w:pPr>
      <w:r>
        <w:t>EXÉCUTION / MISE EN ŒUVRE</w:t>
      </w:r>
    </w:p>
    <w:p w14:paraId="7606C22D" w14:textId="77777777" w:rsidR="00772179" w:rsidRDefault="00000000">
      <w:pPr>
        <w:pStyle w:val="pheading"/>
      </w:pPr>
      <w:r>
        <w:t>- Prescriptions générales</w:t>
      </w:r>
    </w:p>
    <w:p w14:paraId="7C541DDF" w14:textId="77777777" w:rsidR="00772179" w:rsidRDefault="00000000">
      <w:pPr>
        <w:jc w:val="both"/>
      </w:pPr>
      <w:r>
        <w:t xml:space="preserve">Les supports en béton ou maçonnerie sont considérés comme étant de classe de tolérance : </w:t>
      </w:r>
      <w:r>
        <w:rPr>
          <w:rStyle w:val="optioncarChar"/>
        </w:rPr>
        <w:t xml:space="preserve">S2 / S3 </w:t>
      </w:r>
      <w:r>
        <w:t>(par défaut)</w:t>
      </w:r>
    </w:p>
    <w:p w14:paraId="420AF902" w14:textId="77777777" w:rsidR="00772179" w:rsidRDefault="00000000">
      <w:pPr>
        <w:jc w:val="both"/>
      </w:pPr>
      <w:r>
        <w:t xml:space="preserve">Le plan de calepinage est établi par </w:t>
      </w:r>
      <w:r>
        <w:rPr>
          <w:rStyle w:val="optioncarChar"/>
        </w:rPr>
        <w:t>l’auteur de projet</w:t>
      </w:r>
      <w:r>
        <w:t xml:space="preserve"> (par défaut) </w:t>
      </w:r>
      <w:r>
        <w:rPr>
          <w:rStyle w:val="optioncarChar"/>
        </w:rPr>
        <w:t>/ l'entrepreneur</w:t>
      </w:r>
    </w:p>
    <w:p w14:paraId="39FFAB73" w14:textId="77777777" w:rsidR="00772179" w:rsidRDefault="00000000">
      <w:pPr>
        <w:jc w:val="both"/>
      </w:pPr>
      <w:r>
        <w:t>Le plan de calepinage indique la position des joints de mouvement.</w:t>
      </w:r>
    </w:p>
    <w:p w14:paraId="20613FEF" w14:textId="77777777" w:rsidR="00772179" w:rsidRDefault="00000000">
      <w:pPr>
        <w:jc w:val="both"/>
      </w:pPr>
      <w:r>
        <w:t xml:space="preserve">Largeur du joint : </w:t>
      </w:r>
      <w:r>
        <w:rPr>
          <w:rStyle w:val="optioncarChar"/>
        </w:rPr>
        <w:t xml:space="preserve">2 / 3 </w:t>
      </w:r>
      <w:r>
        <w:t>(par défaut)</w:t>
      </w:r>
      <w:r>
        <w:rPr>
          <w:rStyle w:val="optioncarChar"/>
        </w:rPr>
        <w:t xml:space="preserve"> / 5 / ***</w:t>
      </w:r>
      <w:r>
        <w:t xml:space="preserve"> mm</w:t>
      </w:r>
    </w:p>
    <w:p w14:paraId="4DDE6F8B" w14:textId="77777777" w:rsidR="00772179" w:rsidRDefault="00000000">
      <w:pPr>
        <w:pStyle w:val="pheading"/>
      </w:pPr>
      <w:r>
        <w:t>- Échantillons</w:t>
      </w:r>
    </w:p>
    <w:p w14:paraId="6969F86B" w14:textId="77777777" w:rsidR="00772179" w:rsidRDefault="00000000">
      <w:pPr>
        <w:jc w:val="both"/>
      </w:pPr>
      <w:r>
        <w:t xml:space="preserve">Afin de confirmer l'aspect, les coloris et la structure de la pierre, l’entrepreneur présente </w:t>
      </w:r>
      <w:r>
        <w:rPr>
          <w:rStyle w:val="optioncarChar"/>
        </w:rPr>
        <w:t xml:space="preserve">3 </w:t>
      </w:r>
      <w:r>
        <w:t>(par défaut)</w:t>
      </w:r>
      <w:r>
        <w:rPr>
          <w:rStyle w:val="optioncarChar"/>
        </w:rPr>
        <w:t xml:space="preserve"> / ***</w:t>
      </w:r>
      <w:r>
        <w:t xml:space="preserve"> échantillons présentant respectivement l'aspect moyen et les deux aspects extrêmes de la </w:t>
      </w:r>
      <w:r>
        <w:lastRenderedPageBreak/>
        <w:t>fourniture. Ces échantillons contiennent en outre toutes les particularités (veines, trous, fils, …) qui ne sont pas considérées comme défauts et dont la présence ne peut entraîner le rebut.</w:t>
      </w:r>
    </w:p>
    <w:p w14:paraId="216C014E" w14:textId="77777777" w:rsidR="00772179" w:rsidRDefault="00000000">
      <w:pPr>
        <w:jc w:val="both"/>
      </w:pPr>
      <w:r>
        <w:t>Afin de déterminer le choix définitif des joints, un ou plusieurs échantillons de +/- 0,25 m² (avec un maximum de </w:t>
      </w:r>
      <w:r>
        <w:rPr>
          <w:rStyle w:val="optioncarChar"/>
        </w:rPr>
        <w:t>3</w:t>
      </w:r>
      <w:r>
        <w:t> (par défaut)</w:t>
      </w:r>
      <w:r>
        <w:rPr>
          <w:rStyle w:val="optioncarChar"/>
        </w:rPr>
        <w:t> / 5 / ***</w:t>
      </w:r>
      <w:r>
        <w:t xml:space="preserve"> échantillons à réaliser au total) sont présentés pour approbation à l'auteur de projet. </w:t>
      </w:r>
    </w:p>
    <w:p w14:paraId="477ADE69" w14:textId="77777777" w:rsidR="00772179" w:rsidRDefault="00000000">
      <w:pPr>
        <w:jc w:val="both"/>
      </w:pPr>
      <w:r>
        <w:t xml:space="preserve"> La teinte du produit des joints de mouvement est soumise à l’approbation de l’auteur de projet en réalisant </w:t>
      </w:r>
      <w:r>
        <w:rPr>
          <w:rStyle w:val="optioncarChar"/>
        </w:rPr>
        <w:t>3 </w:t>
      </w:r>
      <w:r>
        <w:t>(par défaut)</w:t>
      </w:r>
      <w:r>
        <w:rPr>
          <w:rStyle w:val="optioncarChar"/>
        </w:rPr>
        <w:t> / 5 / ***</w:t>
      </w:r>
      <w:r>
        <w:t> échantillons sur un mètre de longueur.</w:t>
      </w:r>
    </w:p>
    <w:p w14:paraId="4FB32A26" w14:textId="77777777" w:rsidR="00772179" w:rsidRDefault="00000000">
      <w:pPr>
        <w:pStyle w:val="pheading"/>
      </w:pPr>
      <w:r>
        <w:t>MESURAGE</w:t>
      </w:r>
    </w:p>
    <w:p w14:paraId="2764E300" w14:textId="77777777" w:rsidR="00772179" w:rsidRDefault="00000000">
      <w:pPr>
        <w:pStyle w:val="pheading"/>
      </w:pPr>
      <w:r>
        <w:t>- unité de mesure:</w:t>
      </w:r>
    </w:p>
    <w:p w14:paraId="64653FC1" w14:textId="77777777" w:rsidR="00772179" w:rsidRDefault="00000000">
      <w:r>
        <w:t>1. m²</w:t>
      </w:r>
    </w:p>
    <w:p w14:paraId="1B4BB744" w14:textId="77777777" w:rsidR="00772179" w:rsidRDefault="00000000">
      <w:r>
        <w:t>2. m</w:t>
      </w:r>
    </w:p>
    <w:p w14:paraId="42C2719D" w14:textId="77777777" w:rsidR="00772179" w:rsidRDefault="00000000">
      <w:pPr>
        <w:pStyle w:val="pheading"/>
      </w:pPr>
      <w:r>
        <w:t>- code de mesurage:</w:t>
      </w:r>
    </w:p>
    <w:p w14:paraId="388D5992" w14:textId="77777777" w:rsidR="00772179" w:rsidRDefault="00000000">
      <w:pPr>
        <w:pStyle w:val="Author-eListParagraph"/>
        <w:numPr>
          <w:ilvl w:val="0"/>
          <w:numId w:val="1060"/>
        </w:numPr>
      </w:pPr>
      <w:r>
        <w:rPr>
          <w:b/>
        </w:rPr>
        <w:t>Surface nette</w:t>
      </w:r>
      <w:r>
        <w:t xml:space="preserve"> mesurée dans le plan extérieur des pierres, distinction faite de l’épaisseur. Les ouvertures et les interruptions ≥ 0,50 m² sont déduites. Les retours sont comptés.</w:t>
      </w:r>
    </w:p>
    <w:p w14:paraId="21B1FF19" w14:textId="77777777" w:rsidR="00772179" w:rsidRDefault="00000000">
      <w:pPr>
        <w:pStyle w:val="Author-eListParagraph"/>
        <w:numPr>
          <w:ilvl w:val="0"/>
          <w:numId w:val="1060"/>
        </w:numPr>
      </w:pPr>
      <w:r>
        <w:rPr>
          <w:b/>
        </w:rPr>
        <w:t>Longueur nette</w:t>
      </w:r>
      <w:r>
        <w:t> des joints de dilatation.</w:t>
      </w:r>
    </w:p>
    <w:p w14:paraId="44941961" w14:textId="77777777" w:rsidR="00772179" w:rsidRDefault="00000000">
      <w:pPr>
        <w:pStyle w:val="pheading"/>
      </w:pPr>
      <w:r>
        <w:t>- nature du marché:</w:t>
      </w:r>
    </w:p>
    <w:p w14:paraId="009E7A08" w14:textId="77777777" w:rsidR="00772179" w:rsidRDefault="00000000">
      <w:r>
        <w:t>QF</w:t>
      </w:r>
    </w:p>
    <w:p w14:paraId="5ABC2593" w14:textId="77777777" w:rsidR="00772179" w:rsidRDefault="00000000">
      <w:pPr>
        <w:pStyle w:val="pheading"/>
      </w:pPr>
      <w:r>
        <w:t>AIDE</w:t>
      </w:r>
    </w:p>
    <w:p w14:paraId="7EFA59BB" w14:textId="77777777" w:rsidR="00772179" w:rsidRDefault="00000000">
      <w:pPr>
        <w:jc w:val="both"/>
      </w:pPr>
      <w:r>
        <w:t>Il est déconseillé d’utiliser des revêtements foncés dont le coefficient d’absorption solaire est &gt; 0,7 (épaisseur de pierre &lt; 22 mm) afin d’éviter le décollement par cisaillement du mortier colle.</w:t>
      </w:r>
    </w:p>
    <w:p w14:paraId="655164BA" w14:textId="77777777" w:rsidR="00772179" w:rsidRDefault="00000000">
      <w:pPr>
        <w:jc w:val="both"/>
      </w:pPr>
      <w:r>
        <w:t>Pour des épaisseurs supérieures et inférieures à̀ 22 mm, l’indice de clarté́ IC est respectivement supérieur à̀ 10 et à 25.</w:t>
      </w:r>
    </w:p>
    <w:p w14:paraId="7E920EE8" w14:textId="77777777" w:rsidR="00772179" w:rsidRDefault="00000000">
      <w:pPr>
        <w:pStyle w:val="Author-eSectionHeading5Numberless"/>
      </w:pPr>
      <w:bookmarkStart w:id="815" w:name="_Toc220490490"/>
      <w:r>
        <w:t>43.35.2 Revêtements de façades rigides collés – système « isolant + pierre naturelle » CCTB 01.11</w:t>
      </w:r>
      <w:bookmarkEnd w:id="815"/>
    </w:p>
    <w:p w14:paraId="4452C43B" w14:textId="77777777" w:rsidR="00772179" w:rsidRDefault="00000000">
      <w:pPr>
        <w:pStyle w:val="pheading"/>
      </w:pPr>
      <w:bookmarkStart w:id="816" w:name="1018"/>
      <w:bookmarkEnd w:id="816"/>
      <w:r>
        <w:t>DESCRIPTION</w:t>
      </w:r>
    </w:p>
    <w:p w14:paraId="363EDF47" w14:textId="77777777" w:rsidR="00772179" w:rsidRDefault="00000000">
      <w:pPr>
        <w:pStyle w:val="pheading"/>
      </w:pPr>
      <w:r>
        <w:t>- Définition / Comprend</w:t>
      </w:r>
    </w:p>
    <w:p w14:paraId="25088A73" w14:textId="77777777" w:rsidR="00772179" w:rsidRDefault="00000000">
      <w:pPr>
        <w:jc w:val="both"/>
      </w:pPr>
      <w:r>
        <w:t>Il s'agit de toutes les fournitures et travaux nécessaires en vue de la réalisation d’un système de plaquettes ou dalles en pierre naturelle encollées sur des panneaux d’isolation extérieure soit :</w:t>
      </w:r>
    </w:p>
    <w:p w14:paraId="53B42795" w14:textId="77777777" w:rsidR="00772179" w:rsidRDefault="00000000">
      <w:pPr>
        <w:pStyle w:val="Author-eListParagraph"/>
        <w:numPr>
          <w:ilvl w:val="0"/>
          <w:numId w:val="1061"/>
        </w:numPr>
        <w:jc w:val="both"/>
      </w:pPr>
      <w:r>
        <w:t xml:space="preserve">en usine (systèmes préfabriqués ‘vêtures’ voir </w:t>
      </w:r>
      <w:hyperlink w:anchor="1019" w:history="1">
        <w:r>
          <w:rPr>
            <w:color w:val="0000EE"/>
          </w:rPr>
          <w:t>43.35.2a Revêtements de façades rigides collés – système « isolant + pierre naturelle » - préfabriqué</w:t>
        </w:r>
      </w:hyperlink>
      <w:r>
        <w:t>) </w:t>
      </w:r>
    </w:p>
    <w:p w14:paraId="415F55BF" w14:textId="77777777" w:rsidR="00772179" w:rsidRDefault="00000000">
      <w:pPr>
        <w:pStyle w:val="Author-eListParagraph"/>
        <w:numPr>
          <w:ilvl w:val="0"/>
          <w:numId w:val="1061"/>
        </w:numPr>
        <w:jc w:val="both"/>
      </w:pPr>
      <w:r>
        <w:t>assemblé sur chantier avec ou sans enduit de base renforcé (voir </w:t>
      </w:r>
      <w:hyperlink w:anchor="1020" w:history="1">
        <w:r>
          <w:rPr>
            <w:color w:val="0000EE"/>
          </w:rPr>
          <w:t>43.35.2b Revêtements de façades rigides collés – système « isolant + pierre naturelle » - assemblé sur place</w:t>
        </w:r>
      </w:hyperlink>
      <w:r>
        <w:t>).</w:t>
      </w:r>
    </w:p>
    <w:p w14:paraId="01695955" w14:textId="77777777" w:rsidR="00772179" w:rsidRDefault="00000000">
      <w:pPr>
        <w:jc w:val="both"/>
      </w:pPr>
      <w:r>
        <w:t>Les plaquettes ou dalles sont jointoyées ou non afin de constituer un ouvrage parfaitement fini.</w:t>
      </w:r>
    </w:p>
    <w:p w14:paraId="4194B64B" w14:textId="77777777" w:rsidR="00772179" w:rsidRDefault="00000000">
      <w:pPr>
        <w:jc w:val="both"/>
      </w:pPr>
      <w:r>
        <w:t>Les zones de façades courantes se distinguent de la zone de plinthe située entre 50 cm sous le niveau de sol extérieur et minimum 30 cm au-dessus. Les spécifications relatives au système et ses composants sont plus strictes dans ce dernier cas.</w:t>
      </w:r>
    </w:p>
    <w:p w14:paraId="01223FBB" w14:textId="77777777" w:rsidR="00772179" w:rsidRDefault="00000000">
      <w:pPr>
        <w:jc w:val="both"/>
      </w:pPr>
      <w:r>
        <w:t>Conformément aux dispositions générales et/ou spécifiques du cahier spécial des charges, les prix unitaires compris dans ces postes comprennent toujours, soit selon la ventilation dans le métré récapitulatif, soit dans leur totalité, notamment :</w:t>
      </w:r>
    </w:p>
    <w:p w14:paraId="19F397C4" w14:textId="77777777" w:rsidR="00772179" w:rsidRDefault="00000000">
      <w:pPr>
        <w:pStyle w:val="Author-eListParagraph"/>
        <w:numPr>
          <w:ilvl w:val="0"/>
          <w:numId w:val="1062"/>
        </w:numPr>
      </w:pPr>
      <w:r>
        <w:t>la pose et l'enlèvement des échafaudages et des bâches nécessaires à l'exécution ;</w:t>
      </w:r>
    </w:p>
    <w:p w14:paraId="311201D6" w14:textId="77777777" w:rsidR="00772179" w:rsidRDefault="00000000">
      <w:pPr>
        <w:pStyle w:val="Author-eListParagraph"/>
        <w:numPr>
          <w:ilvl w:val="0"/>
          <w:numId w:val="1062"/>
        </w:numPr>
      </w:pPr>
      <w:r>
        <w:t>le cas échéant, l'enlèvement et la remise en place des descentes d'eau de pluie ;</w:t>
      </w:r>
    </w:p>
    <w:p w14:paraId="1ADD4699" w14:textId="77777777" w:rsidR="00772179" w:rsidRDefault="00000000">
      <w:pPr>
        <w:pStyle w:val="Author-eListParagraph"/>
        <w:numPr>
          <w:ilvl w:val="0"/>
          <w:numId w:val="1062"/>
        </w:numPr>
      </w:pPr>
      <w:r>
        <w:t>la protection provisoire des parties de façade qui ne sont pas destinées à recevoir le système (menuiserie et vitrage par exemple) ;</w:t>
      </w:r>
    </w:p>
    <w:p w14:paraId="35EA213B" w14:textId="77777777" w:rsidR="00772179" w:rsidRDefault="00000000">
      <w:pPr>
        <w:pStyle w:val="Author-eListParagraph"/>
        <w:numPr>
          <w:ilvl w:val="0"/>
          <w:numId w:val="1062"/>
        </w:numPr>
      </w:pPr>
      <w:r>
        <w:lastRenderedPageBreak/>
        <w:t>l’installation d’un dispositif de protection contre toute évolution défavorable des conditions climatiques durant l’exécution des travaux ;</w:t>
      </w:r>
    </w:p>
    <w:p w14:paraId="720994C2" w14:textId="77777777" w:rsidR="00772179" w:rsidRDefault="00000000">
      <w:pPr>
        <w:pStyle w:val="Author-eListParagraph"/>
        <w:numPr>
          <w:ilvl w:val="0"/>
          <w:numId w:val="1062"/>
        </w:numPr>
      </w:pPr>
      <w:r>
        <w:t>le contrôle de l’état du support (planéité, verticalité, ...) afin de s’assurer de la pertinence de la technique de pose prévue ;</w:t>
      </w:r>
    </w:p>
    <w:p w14:paraId="749CC12C" w14:textId="77777777" w:rsidR="00772179" w:rsidRDefault="00000000">
      <w:pPr>
        <w:pStyle w:val="Author-eListParagraph"/>
        <w:numPr>
          <w:ilvl w:val="0"/>
          <w:numId w:val="1062"/>
        </w:numPr>
      </w:pPr>
      <w:r>
        <w:t>la préparation et le nettoyage du support ;</w:t>
      </w:r>
    </w:p>
    <w:p w14:paraId="3CABA800" w14:textId="77777777" w:rsidR="00772179" w:rsidRDefault="00000000">
      <w:pPr>
        <w:pStyle w:val="Author-eListParagraph"/>
        <w:numPr>
          <w:ilvl w:val="0"/>
          <w:numId w:val="1062"/>
        </w:numPr>
      </w:pPr>
      <w:r>
        <w:t>l’application d’un produit de prétraitement, pour autant que l’assemblage support/système d’isolation l’exige ;</w:t>
      </w:r>
    </w:p>
    <w:p w14:paraId="2058DAF3" w14:textId="77777777" w:rsidR="00772179" w:rsidRDefault="00000000">
      <w:pPr>
        <w:pStyle w:val="Author-eListParagraph"/>
        <w:numPr>
          <w:ilvl w:val="0"/>
          <w:numId w:val="1062"/>
        </w:numPr>
      </w:pPr>
      <w:r>
        <w:t>la fourniture et la pose de la couche d'isolation ;</w:t>
      </w:r>
    </w:p>
    <w:p w14:paraId="0BD452AE" w14:textId="77777777" w:rsidR="00772179" w:rsidRDefault="00000000">
      <w:pPr>
        <w:pStyle w:val="Author-eListParagraph"/>
        <w:numPr>
          <w:ilvl w:val="0"/>
          <w:numId w:val="1062"/>
        </w:numPr>
      </w:pPr>
      <w:r>
        <w:t>l’application de l’enduit de base renforcé si le système le prévoit ainsi que tous les renforts et profilés nécessaires (entoilage dans les zones de concentrations de contraintes, profilés d’angle ou de dilatation, etc.) ;</w:t>
      </w:r>
    </w:p>
    <w:p w14:paraId="6B748BBD" w14:textId="77777777" w:rsidR="00772179" w:rsidRDefault="00000000">
      <w:pPr>
        <w:pStyle w:val="Author-eListParagraph"/>
        <w:numPr>
          <w:ilvl w:val="0"/>
          <w:numId w:val="1062"/>
        </w:numPr>
      </w:pPr>
      <w:r>
        <w:t>l’encollage des carreaux par double encollage pour les systèmes assemblés sur place, toutes fournitures comprises (notamment les carreaux, les produits de pose et de jointoiement, – y compris les joints souples) ;</w:t>
      </w:r>
    </w:p>
    <w:p w14:paraId="7121CA24" w14:textId="77777777" w:rsidR="00772179" w:rsidRDefault="00000000">
      <w:pPr>
        <w:pStyle w:val="Author-eListParagraph"/>
        <w:numPr>
          <w:ilvl w:val="0"/>
          <w:numId w:val="1062"/>
        </w:numPr>
      </w:pPr>
      <w:r>
        <w:t>l'enlèvement de toutes les protections, la remise en place de tous les éléments démontés et le rangement du chantier ;</w:t>
      </w:r>
    </w:p>
    <w:p w14:paraId="3854CA47" w14:textId="77777777" w:rsidR="00772179" w:rsidRDefault="00000000">
      <w:pPr>
        <w:pStyle w:val="Author-eListParagraph"/>
        <w:numPr>
          <w:ilvl w:val="0"/>
          <w:numId w:val="1062"/>
        </w:numPr>
      </w:pPr>
      <w:r>
        <w:t>l'évacuation et la gestion des déchets issus de travaux de démolition, de rénovation ou de construction font l'objet d'un ou plusieurs postes spécifiques, détaillés en section 07 Déchets, matériaux et éléments réemployables.</w:t>
      </w:r>
    </w:p>
    <w:p w14:paraId="27E0E1BB" w14:textId="77777777" w:rsidR="00772179" w:rsidRDefault="00000000">
      <w:pPr>
        <w:jc w:val="both"/>
      </w:pPr>
      <w:r>
        <w:t>Sauf disposition contraire dans le cahier spécial des charges, les opérations suivantes ne font pas parties du présent travail et sont décrites dans des articles relatifs à la préparation du support sous le </w:t>
      </w:r>
      <w:hyperlink w:anchor="1009" w:history="1">
        <w:r>
          <w:rPr>
            <w:color w:val="0000EE"/>
          </w:rPr>
          <w:t>43.31 Revêtements de façade rigides collés - préparation du support</w:t>
        </w:r>
      </w:hyperlink>
      <w:r>
        <w:t> ou autre tel que précisé :</w:t>
      </w:r>
    </w:p>
    <w:p w14:paraId="794097E6" w14:textId="77777777" w:rsidR="00772179" w:rsidRDefault="00000000">
      <w:pPr>
        <w:pStyle w:val="Author-eListParagraph"/>
        <w:numPr>
          <w:ilvl w:val="0"/>
          <w:numId w:val="1063"/>
        </w:numPr>
        <w:jc w:val="both"/>
      </w:pPr>
      <w:r>
        <w:t>l’augmentation de la rugosité du support ;</w:t>
      </w:r>
    </w:p>
    <w:p w14:paraId="3E105202" w14:textId="77777777" w:rsidR="00772179" w:rsidRDefault="00000000">
      <w:pPr>
        <w:pStyle w:val="Author-eListParagraph"/>
        <w:numPr>
          <w:ilvl w:val="0"/>
          <w:numId w:val="1063"/>
        </w:numPr>
        <w:jc w:val="both"/>
      </w:pPr>
      <w:r>
        <w:t>l’élimination des inégalités importantes du support en procédant, par exemple, à l’application d’une couche d’égalisation visant à corriger les surfaces hors tolérances ;</w:t>
      </w:r>
    </w:p>
    <w:p w14:paraId="1326EF85" w14:textId="77777777" w:rsidR="00772179" w:rsidRDefault="00000000">
      <w:pPr>
        <w:pStyle w:val="Author-eListParagraph"/>
        <w:numPr>
          <w:ilvl w:val="0"/>
          <w:numId w:val="1063"/>
        </w:numPr>
        <w:jc w:val="both"/>
      </w:pPr>
      <w:r>
        <w:t>l’enlèvement ou la neutralisation des produits de décoffrage ;</w:t>
      </w:r>
    </w:p>
    <w:p w14:paraId="57BF7E28" w14:textId="77777777" w:rsidR="00772179" w:rsidRDefault="00000000">
      <w:pPr>
        <w:pStyle w:val="Author-eListParagraph"/>
        <w:numPr>
          <w:ilvl w:val="0"/>
          <w:numId w:val="1063"/>
        </w:numPr>
        <w:jc w:val="both"/>
      </w:pPr>
      <w:r>
        <w:t>la protection contre la corrosion des parties métalliques (tuyauteries, par exemple) ;</w:t>
      </w:r>
    </w:p>
    <w:p w14:paraId="6857B140" w14:textId="77777777" w:rsidR="00772179" w:rsidRDefault="00000000">
      <w:pPr>
        <w:pStyle w:val="Author-eListParagraph"/>
        <w:numPr>
          <w:ilvl w:val="0"/>
          <w:numId w:val="1063"/>
        </w:numPr>
        <w:jc w:val="both"/>
      </w:pPr>
      <w:r>
        <w:t>l’élimination des efflorescences éventuelles ;</w:t>
      </w:r>
    </w:p>
    <w:p w14:paraId="0737D399" w14:textId="77777777" w:rsidR="00772179" w:rsidRDefault="00000000">
      <w:pPr>
        <w:pStyle w:val="Author-eListParagraph"/>
        <w:numPr>
          <w:ilvl w:val="0"/>
          <w:numId w:val="1063"/>
        </w:numPr>
        <w:jc w:val="both"/>
      </w:pPr>
      <w:r>
        <w:t>toute protection autre que celles généralement prévues (voir ci-dessus) ;</w:t>
      </w:r>
    </w:p>
    <w:p w14:paraId="03BD44EA" w14:textId="77777777" w:rsidR="00772179" w:rsidRDefault="00000000">
      <w:pPr>
        <w:pStyle w:val="Author-eListParagraph"/>
        <w:numPr>
          <w:ilvl w:val="0"/>
          <w:numId w:val="1063"/>
        </w:numPr>
        <w:jc w:val="both"/>
      </w:pPr>
      <w:r>
        <w:t>la fourniture et l’application d’un traitement tel qu’un antigraffiti (voir 8 T8 Travaux de peinture / Traitements de surface).</w:t>
      </w:r>
    </w:p>
    <w:p w14:paraId="0F097E8E" w14:textId="77777777" w:rsidR="00772179" w:rsidRDefault="00000000">
      <w:pPr>
        <w:pStyle w:val="pheading"/>
      </w:pPr>
      <w:r>
        <w:t>MATÉRIAUX</w:t>
      </w:r>
    </w:p>
    <w:p w14:paraId="7A48D43D" w14:textId="77777777" w:rsidR="00772179" w:rsidRDefault="00000000">
      <w:pPr>
        <w:jc w:val="both"/>
      </w:pPr>
      <w:r>
        <w:t>Le système - caractérisé par ses composants identifiés - dispose d'une déclaration d'aptitude à l'utilisation suivant les prescriptions au 02.42.1 Critères d'acceptabilité.</w:t>
      </w:r>
    </w:p>
    <w:p w14:paraId="57033360" w14:textId="77777777" w:rsidR="00772179" w:rsidRDefault="00000000">
      <w:pPr>
        <w:jc w:val="both"/>
      </w:pPr>
      <w:r>
        <w:t>Il répond au moins aux spécifications de l’[EAD 040287-00-0404] (système avec enduit de base renforcé) et de l’[ETAG 017] pour les vêtures (système composite revêtement + isolant assemblé en usine). Les spécifications pour un système sans enduit de base renforcé se basent sur le premier document cité (sous réserve de certains critères plus strictes et de la réussite d’un essai de résistance aux pluies battantes, voir [NIT 279]).</w:t>
      </w:r>
    </w:p>
    <w:p w14:paraId="30D6D699" w14:textId="77777777" w:rsidR="00772179" w:rsidRDefault="00000000">
      <w:pPr>
        <w:jc w:val="both"/>
      </w:pPr>
      <w:r>
        <w:rPr>
          <w:b/>
        </w:rPr>
        <w:t>Isolant</w:t>
      </w:r>
    </w:p>
    <w:p w14:paraId="3CF37490" w14:textId="77777777" w:rsidR="00772179" w:rsidRDefault="00000000">
      <w:pPr>
        <w:jc w:val="both"/>
      </w:pPr>
      <w:r>
        <w:t>L’isolant répond aux spécifications de la norme ‘produit’ qui le vise.</w:t>
      </w:r>
    </w:p>
    <w:p w14:paraId="62CB8F01" w14:textId="77777777" w:rsidR="00772179" w:rsidRDefault="00000000">
      <w:pPr>
        <w:jc w:val="both"/>
      </w:pPr>
      <w:r>
        <w:t>Par exemple :</w:t>
      </w:r>
    </w:p>
    <w:p w14:paraId="3639F946" w14:textId="77777777" w:rsidR="00772179" w:rsidRDefault="00000000">
      <w:pPr>
        <w:pStyle w:val="Author-eListParagraph"/>
        <w:numPr>
          <w:ilvl w:val="0"/>
          <w:numId w:val="1064"/>
        </w:numPr>
      </w:pPr>
      <w:r>
        <w:t>le polystyrène expansé (EPS) : [NBN EN 13163:2012+A2] pour les systèmes avec enduit de base ;</w:t>
      </w:r>
    </w:p>
    <w:p w14:paraId="691CB916" w14:textId="77777777" w:rsidR="00772179" w:rsidRDefault="00000000">
      <w:pPr>
        <w:pStyle w:val="Author-eListParagraph"/>
        <w:numPr>
          <w:ilvl w:val="0"/>
          <w:numId w:val="1064"/>
        </w:numPr>
      </w:pPr>
      <w:r>
        <w:t>le polystyrène extrudé (XPS) : [NBN EN 13164+A1] ou le polystyrène expansé de haute densité (EPS)  : [NBN EN 13163:2012+A2], pour les systèmes sans enduit de base ;</w:t>
      </w:r>
    </w:p>
    <w:p w14:paraId="0DF565D9" w14:textId="77777777" w:rsidR="00772179" w:rsidRDefault="00000000">
      <w:pPr>
        <w:pStyle w:val="Author-eListParagraph"/>
        <w:numPr>
          <w:ilvl w:val="0"/>
          <w:numId w:val="1064"/>
        </w:numPr>
      </w:pPr>
      <w:r>
        <w:t>le polyuréthane (PU) : [NBN EN 13165:2012+A2] pour les systèmes préfabriqués.</w:t>
      </w:r>
    </w:p>
    <w:p w14:paraId="1A50FC0B" w14:textId="77777777" w:rsidR="00772179" w:rsidRDefault="00000000">
      <w:pPr>
        <w:jc w:val="both"/>
      </w:pPr>
      <w:r>
        <w:t>En outre, il répond à des critères plus stricts pour cet usage particulier (voir [NIT 279]).</w:t>
      </w:r>
    </w:p>
    <w:p w14:paraId="2FE1ED0A" w14:textId="77777777" w:rsidR="00772179" w:rsidRDefault="00000000">
      <w:pPr>
        <w:jc w:val="both"/>
      </w:pPr>
      <w:r>
        <w:t xml:space="preserve">Dans le cas des systèmes sans enduit de base renforcé et des vêtures, tant les panneaux d’isolation que leurs jonctions assurent l’étanchéité à l’eau. Le produit de calfeutrement décrit dans la </w:t>
      </w:r>
      <w:r>
        <w:lastRenderedPageBreak/>
        <w:t>documentation technique est utilisé à cet égard. La pression d’étanchéité à l’eau admise est déterminée sur la base de la [NBN EN 12865].</w:t>
      </w:r>
    </w:p>
    <w:p w14:paraId="094F7792" w14:textId="77777777" w:rsidR="00772179" w:rsidRDefault="00000000">
      <w:pPr>
        <w:jc w:val="both"/>
      </w:pPr>
      <w:r>
        <w:rPr>
          <w:b/>
        </w:rPr>
        <w:t>Pierre naturelle</w:t>
      </w:r>
    </w:p>
    <w:p w14:paraId="48AAD4D6" w14:textId="77777777" w:rsidR="00772179" w:rsidRDefault="00000000">
      <w:pPr>
        <w:jc w:val="both"/>
      </w:pPr>
      <w:r>
        <w:t>Les plaquettes ou dalles en pierre naturelle répondent aux spécifications de la [NBN EN 12057] ou de la [NBN EN 1469] en fonction de leur épaisseur (la première pour une épaisseur ≤ à 12 mm, la seconde dans le cas contraire).</w:t>
      </w:r>
    </w:p>
    <w:p w14:paraId="5CB3E371" w14:textId="77777777" w:rsidR="00772179" w:rsidRDefault="00000000">
      <w:pPr>
        <w:jc w:val="both"/>
      </w:pPr>
      <w:r>
        <w:rPr>
          <w:b/>
        </w:rPr>
        <w:t>Moyens de fixation mécaniques</w:t>
      </w:r>
    </w:p>
    <w:p w14:paraId="7C294DC0" w14:textId="77777777" w:rsidR="00772179" w:rsidRDefault="00000000">
      <w:pPr>
        <w:jc w:val="both"/>
      </w:pPr>
      <w:r>
        <w:t>Les moyens de fixation mécaniques répondent aux spécifications de l’[EAD 330196-01-0604] (conversion de l’[ETAG 014]).</w:t>
      </w:r>
    </w:p>
    <w:p w14:paraId="5798A793" w14:textId="77777777" w:rsidR="00772179" w:rsidRDefault="00000000">
      <w:pPr>
        <w:jc w:val="both"/>
      </w:pPr>
      <w:r>
        <w:rPr>
          <w:b/>
        </w:rPr>
        <w:t>Colle à carrelage</w:t>
      </w:r>
    </w:p>
    <w:p w14:paraId="166190BD" w14:textId="77777777" w:rsidR="00772179" w:rsidRDefault="00000000">
      <w:pPr>
        <w:jc w:val="both"/>
      </w:pPr>
      <w:r>
        <w:t>La colle à carrelage répond de préférence aux spécifications de la [NBN EN 12004-1]. Son aptitude au sein du système est démontrée par la réussite d’essais selon la [NBN B 62-400] ou méthode équivalente.</w:t>
      </w:r>
    </w:p>
    <w:p w14:paraId="37FA7070" w14:textId="77777777" w:rsidR="00772179" w:rsidRDefault="00000000">
      <w:pPr>
        <w:jc w:val="both"/>
      </w:pPr>
      <w:r>
        <w:t>Les types - à savoir C (mortier-colle), D (colle en dispersion) ou R (colle réactive) - les classes (colle normale ou améliorée) et les propriétés additionnelles éventuelles (temps ouvert allongé E, durcissement rapide F, glissement limité T, déformabilité S1 ou S2) sont compatibles avec la plaquette, choisis en fonction de l’usage et de la nature du support (isolant ou enduit de base renforcé).</w:t>
      </w:r>
    </w:p>
    <w:p w14:paraId="1DB840FF" w14:textId="77777777" w:rsidR="00772179" w:rsidRDefault="00000000">
      <w:pPr>
        <w:jc w:val="both"/>
      </w:pPr>
      <w:r>
        <w:t>Des alternatives à ces colles à carrelage issues de procédés de préfabrication spécifiques (vêtures) sont autorisées sous réserve de la réussite d’essais selon la [NBN B 62-400] ou méthode équivalente.</w:t>
      </w:r>
    </w:p>
    <w:p w14:paraId="40A234FA" w14:textId="77777777" w:rsidR="00772179" w:rsidRDefault="00000000">
      <w:pPr>
        <w:jc w:val="both"/>
      </w:pPr>
      <w:r>
        <w:rPr>
          <w:b/>
        </w:rPr>
        <w:t>Enduit de base renforcé</w:t>
      </w:r>
    </w:p>
    <w:p w14:paraId="29D73975" w14:textId="77777777" w:rsidR="00772179" w:rsidRDefault="00000000">
      <w:pPr>
        <w:jc w:val="both"/>
      </w:pPr>
      <w:r>
        <w:t>L’éventuel enduit de base renforcé satisfait les essais selon la [NBN B 62-400] ou méthode équivalente. Le cas échéant, le treillis d’armature en fibres de verre est de préférence de classe AR (alkali résistant).</w:t>
      </w:r>
    </w:p>
    <w:p w14:paraId="40C400CA" w14:textId="77777777" w:rsidR="00772179" w:rsidRDefault="00000000">
      <w:pPr>
        <w:jc w:val="both"/>
      </w:pPr>
      <w:r>
        <w:rPr>
          <w:b/>
        </w:rPr>
        <w:t>Mortier de jointoiement</w:t>
      </w:r>
    </w:p>
    <w:p w14:paraId="3A5F2391" w14:textId="77777777" w:rsidR="00772179" w:rsidRDefault="00000000">
      <w:pPr>
        <w:jc w:val="both"/>
      </w:pPr>
      <w:r>
        <w:t>Le mortier de jointoiement éventuel répond aux spécifications de la [NBN EN 998-2] et du [PTV 651] (jointoiement de maçonnerie) de la [NBN EN 13888] (jointoiement de carrelage) ou bien est dosé in situ (voir [NIT 279]).</w:t>
      </w:r>
    </w:p>
    <w:p w14:paraId="6EE457E0" w14:textId="77777777" w:rsidR="00772179" w:rsidRDefault="00000000">
      <w:pPr>
        <w:jc w:val="both"/>
      </w:pPr>
      <w:r>
        <w:rPr>
          <w:b/>
        </w:rPr>
        <w:t>Profilés</w:t>
      </w:r>
    </w:p>
    <w:p w14:paraId="490C2349" w14:textId="77777777" w:rsidR="00772179" w:rsidRDefault="00000000">
      <w:pPr>
        <w:jc w:val="both"/>
      </w:pPr>
      <w:r>
        <w:t>Les profilés sont compatibles avec les matériaux mis en œuvre et sont aptes à l’usage en extérieur.</w:t>
      </w:r>
    </w:p>
    <w:p w14:paraId="71B28B8C" w14:textId="77777777" w:rsidR="00772179" w:rsidRDefault="00000000">
      <w:pPr>
        <w:jc w:val="both"/>
      </w:pPr>
      <w:r>
        <w:rPr>
          <w:b/>
        </w:rPr>
        <w:t>Bande d’étanchéité pré-comprimée</w:t>
      </w:r>
    </w:p>
    <w:p w14:paraId="69A06681" w14:textId="77777777" w:rsidR="00772179" w:rsidRDefault="00000000">
      <w:pPr>
        <w:jc w:val="both"/>
      </w:pPr>
      <w:r>
        <w:t>La bande d’étanchéité pré-comprimée est étanche à l’eau jusqu’à une pression d’étanchéité déterminée : </w:t>
      </w:r>
      <w:r>
        <w:rPr>
          <w:rStyle w:val="optioncarChar"/>
        </w:rPr>
        <w:t>600 Pa </w:t>
      </w:r>
      <w:r>
        <w:t>(par défaut)</w:t>
      </w:r>
      <w:r>
        <w:rPr>
          <w:rStyle w:val="optioncarChar"/>
        </w:rPr>
        <w:t> / ***</w:t>
      </w:r>
      <w:r>
        <w:t> en fonction de la sollicitation aux pluies battantes. Elle est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49894B63" w14:textId="77777777" w:rsidR="00772179" w:rsidRDefault="00000000">
      <w:pPr>
        <w:jc w:val="both"/>
      </w:pPr>
      <w:r>
        <w:rPr>
          <w:b/>
        </w:rPr>
        <w:t>Mastic d’étanchéité</w:t>
      </w:r>
    </w:p>
    <w:p w14:paraId="331DFDB7" w14:textId="77777777" w:rsidR="00772179" w:rsidRDefault="00000000">
      <w:pPr>
        <w:jc w:val="both"/>
      </w:pPr>
      <w:r>
        <w:t>Les mastics d’étanchéité des façades sont, quant à eux, chimiquement compatibles avec tous les matériaux avec lesquels ils sont en contact. Ils appartiennent en outre à la classe [STS 56.1]-F – 25 LM.</w:t>
      </w:r>
    </w:p>
    <w:p w14:paraId="209B2CC6" w14:textId="77777777" w:rsidR="00772179" w:rsidRDefault="00000000">
      <w:pPr>
        <w:jc w:val="both"/>
      </w:pPr>
      <w:r>
        <w:rPr>
          <w:b/>
        </w:rPr>
        <w:t>Produit pour joints de mouvement</w:t>
      </w:r>
    </w:p>
    <w:p w14:paraId="7C1172DB" w14:textId="77777777" w:rsidR="00772179" w:rsidRDefault="00000000">
      <w:pPr>
        <w:jc w:val="both"/>
      </w:pPr>
      <w:r>
        <w:t>Les produits pour joints de mouvement répondent aux spécifications de la [NBN EN ISO 11600] et des [STS 56.1]. </w:t>
      </w:r>
    </w:p>
    <w:p w14:paraId="44702DF9" w14:textId="77777777" w:rsidR="00772179" w:rsidRDefault="00000000">
      <w:pPr>
        <w:jc w:val="both"/>
      </w:pPr>
      <w:r>
        <w:t>Pour le choix d’un système et de ses composants ainsi que pour la mise en œuvre, il importe de se conformer aux instructions et informations techniques accompagnant le système et ses composants.</w:t>
      </w:r>
    </w:p>
    <w:p w14:paraId="1EA09163" w14:textId="77777777" w:rsidR="00772179" w:rsidRDefault="00000000">
      <w:pPr>
        <w:pStyle w:val="pheading"/>
      </w:pPr>
      <w:r>
        <w:t>EXÉCUTION / MISE EN ŒUVRE</w:t>
      </w:r>
    </w:p>
    <w:p w14:paraId="10F633F9" w14:textId="77777777" w:rsidR="00772179" w:rsidRDefault="00000000">
      <w:pPr>
        <w:jc w:val="both"/>
      </w:pPr>
      <w:r>
        <w:lastRenderedPageBreak/>
        <w:t>L’entrepreneur soumet le descriptif du système et sa configuration (nombre de fixations par exemple) à l’auteur de projet pour approbation. La mise en œuvre et la réalisation des raccords aux ouvrages existants suivent les recommandations de la [NIT 279] et la documentation technique accompagnant le système.</w:t>
      </w:r>
    </w:p>
    <w:p w14:paraId="503482FD" w14:textId="77777777" w:rsidR="00772179" w:rsidRDefault="00000000">
      <w:pPr>
        <w:jc w:val="both"/>
      </w:pPr>
      <w:r>
        <w:t>Quelle que soit la technique de pose, les joints de structure ou de gros œuvre sont obligatoirement répercutés, sans décalage, dans l’ouvrage de parachèvement. Des joints de fractionnement sont projetés et réalisés conformément à la documentation technique accompagnant le système.</w:t>
      </w:r>
    </w:p>
    <w:p w14:paraId="09921235" w14:textId="77777777" w:rsidR="00772179" w:rsidRDefault="00000000">
      <w:pPr>
        <w:jc w:val="both"/>
      </w:pPr>
      <w:r>
        <w:t>Pendant la période de séchage, les ouvrages sont protégés contre le rayonnement solaire direct, l'humidité anormale, les températures élevées et le gel.</w:t>
      </w:r>
    </w:p>
    <w:p w14:paraId="43D13D1E" w14:textId="77777777" w:rsidR="00772179" w:rsidRDefault="00000000">
      <w:pPr>
        <w:jc w:val="both"/>
      </w:pPr>
      <w:r>
        <w:t>L’exécution est réalisée conformément à la [NIT 279] et à la documentation technique spécifique accompagnant le produit.</w:t>
      </w:r>
    </w:p>
    <w:p w14:paraId="4D2274C6" w14:textId="77777777" w:rsidR="00772179" w:rsidRDefault="00000000">
      <w:pPr>
        <w:jc w:val="both"/>
      </w:pPr>
      <w:r>
        <w:t>Le choix des produits de pose et de la technique de pose sont déterminés notamment par les caractéristiques du support.</w:t>
      </w:r>
    </w:p>
    <w:p w14:paraId="3DE6B7B5" w14:textId="77777777" w:rsidR="00772179" w:rsidRDefault="00000000">
      <w:pPr>
        <w:jc w:val="both"/>
      </w:pPr>
      <w:r>
        <w:t>L’entrepreneur contrôle dans quelle mesure le support répond aux exigences spécifiées en termes de stabilité et déformabilité, sensibilité à l’humidité, cohésion de surface et rugosité, niveau, planéité et horizontalité du support.</w:t>
      </w:r>
    </w:p>
    <w:p w14:paraId="5722642F" w14:textId="77777777" w:rsidR="00772179" w:rsidRDefault="00000000">
      <w:pPr>
        <w:jc w:val="both"/>
      </w:pPr>
      <w:r>
        <w:t>Si un support ancien ne présente pas l’exigence requise décrite, l’entrepreneur propose les travaux d’adaptation dans son offre de prix (décrits et comptabilisés séparément).</w:t>
      </w:r>
    </w:p>
    <w:p w14:paraId="5D6A3936" w14:textId="77777777" w:rsidR="00772179" w:rsidRDefault="00000000">
      <w:pPr>
        <w:jc w:val="both"/>
      </w:pPr>
      <w:r>
        <w:t>Si un support neuf ne présente pas l’exigence requise décrite, l’entrepreneur en avertit le donneur d’ordre. L’exécution des travaux de mise en conformité des supports et/ou la mise en œuvre d’un ouvrage intermédiaire préparatoire sont alors nécessaires. Ces travaux sont décrits et comptabilisés séparément (à charge de l’entreprise en charge de l’exécution du support).</w:t>
      </w:r>
    </w:p>
    <w:p w14:paraId="4F21BA29" w14:textId="77777777" w:rsidR="00772179" w:rsidRDefault="00000000">
      <w:pPr>
        <w:pStyle w:val="pheading"/>
      </w:pPr>
      <w:r>
        <w:t>CONTRÔLES</w:t>
      </w:r>
    </w:p>
    <w:p w14:paraId="5BEFA629" w14:textId="77777777" w:rsidR="00772179" w:rsidRDefault="00000000">
      <w:pPr>
        <w:jc w:val="both"/>
      </w:pPr>
      <w:r>
        <w:rPr>
          <w:b/>
        </w:rPr>
        <w:t>Contrôle du support (couche de fixation) avant mise en œuvre</w:t>
      </w:r>
    </w:p>
    <w:p w14:paraId="13C668FC" w14:textId="77777777" w:rsidR="00772179" w:rsidRDefault="00000000">
      <w:pPr>
        <w:jc w:val="both"/>
      </w:pPr>
      <w:r>
        <w:t>Contrôle de la présence d’une humidification anormale.</w:t>
      </w:r>
    </w:p>
    <w:p w14:paraId="3DB64937" w14:textId="77777777" w:rsidR="00772179" w:rsidRDefault="00000000">
      <w:pPr>
        <w:jc w:val="both"/>
      </w:pPr>
      <w:r>
        <w:t>Contrôle visuel de l’état de la paroi (fissures, etc.).</w:t>
      </w:r>
    </w:p>
    <w:p w14:paraId="15238944" w14:textId="77777777" w:rsidR="00772179" w:rsidRDefault="00000000">
      <w:pPr>
        <w:jc w:val="both"/>
      </w:pPr>
      <w:r>
        <w:t>Vérification des tolérances du support : critères voir [NIT 279]</w:t>
      </w:r>
    </w:p>
    <w:p w14:paraId="0F55B7B8" w14:textId="77777777" w:rsidR="00772179" w:rsidRDefault="00000000">
      <w:pPr>
        <w:jc w:val="both"/>
      </w:pPr>
      <w:r>
        <w:rPr>
          <w:b/>
        </w:rPr>
        <w:t>Vérification éventuelle de la résistance mécanique des moyens de fixation in situ</w:t>
      </w:r>
    </w:p>
    <w:p w14:paraId="6675C24B" w14:textId="77777777" w:rsidR="00772179" w:rsidRDefault="00000000">
      <w:pPr>
        <w:jc w:val="both"/>
      </w:pPr>
      <w:r>
        <w:t>Lorsque l’adhérence de la colle est contrôlée in situ (essai destructif), elle est basée sur les principes des EAD précités.</w:t>
      </w:r>
    </w:p>
    <w:p w14:paraId="4EAB96C7" w14:textId="77777777" w:rsidR="00772179" w:rsidRDefault="00000000">
      <w:pPr>
        <w:jc w:val="both"/>
      </w:pPr>
      <w:r>
        <w:t>Lorsque la résistance à l’arrachement de la fixation mécanique hors du support est vérifiée, la base de référence est [EOTA TR051].</w:t>
      </w:r>
    </w:p>
    <w:p w14:paraId="27C440D6" w14:textId="77777777" w:rsidR="00772179" w:rsidRDefault="00000000">
      <w:pPr>
        <w:jc w:val="both"/>
      </w:pPr>
      <w:r>
        <w:rPr>
          <w:b/>
        </w:rPr>
        <w:t>Eventuel contrôle des tolérances en cas d’imperfections constatés après mise en œuvre</w:t>
      </w:r>
    </w:p>
    <w:p w14:paraId="2EF824D7" w14:textId="77777777" w:rsidR="00772179" w:rsidRDefault="00000000">
      <w:pPr>
        <w:jc w:val="both"/>
      </w:pPr>
      <w:r>
        <w:t>Vérification des tolérances du système : critères voir [NIT 279]</w:t>
      </w:r>
    </w:p>
    <w:p w14:paraId="00AA1072" w14:textId="77777777" w:rsidR="00772179" w:rsidRDefault="00000000">
      <w:pPr>
        <w:pStyle w:val="pheading"/>
      </w:pPr>
      <w:r>
        <w:t>DOCUMENTS DE RÉFÉRENCE</w:t>
      </w:r>
    </w:p>
    <w:p w14:paraId="17458BB5" w14:textId="77777777" w:rsidR="00772179" w:rsidRDefault="00000000">
      <w:pPr>
        <w:pStyle w:val="pheading"/>
      </w:pPr>
      <w:r>
        <w:t>- Matériau</w:t>
      </w:r>
    </w:p>
    <w:p w14:paraId="620D4B43" w14:textId="77777777" w:rsidR="00772179" w:rsidRDefault="00000000">
      <w:r>
        <w:t>[NIT 228, Pierres naturelles (NIT interactive et évolutive en remplacement de la NIT 205).]</w:t>
      </w:r>
    </w:p>
    <w:p w14:paraId="330D2AA3" w14:textId="77777777" w:rsidR="00772179" w:rsidRDefault="00000000">
      <w:r>
        <w:t>[NBN EN 12057, Produits en pierre naturelle - Plaquettes modulaires - Exigences]</w:t>
      </w:r>
    </w:p>
    <w:p w14:paraId="1B29708E" w14:textId="77777777" w:rsidR="00772179" w:rsidRDefault="00000000">
      <w:r>
        <w:t>[NBN EN 1469, Produits en pierre naturelle - Dalles de revêtement mural - Exigences]</w:t>
      </w:r>
    </w:p>
    <w:p w14:paraId="1FCFBA0D" w14:textId="77777777" w:rsidR="00772179" w:rsidRDefault="00000000">
      <w:r>
        <w:t>[NBN EN 998-2, Définitions et spécifications des mortiers pour maçonnerie - Partie 2: Mortiers de montage des éléments de maçonnerie]</w:t>
      </w:r>
    </w:p>
    <w:p w14:paraId="7F213C9E" w14:textId="77777777" w:rsidR="00772179" w:rsidRDefault="00000000">
      <w:r>
        <w:t>[PTV 651, Mortier de maçonnerie et mortier de jointoyage]</w:t>
      </w:r>
    </w:p>
    <w:p w14:paraId="391F6692" w14:textId="77777777" w:rsidR="00772179" w:rsidRDefault="00000000">
      <w:r>
        <w:t>[NBN EN 13888, Mortiers de jointoiement pour carreaux et dalles céramiques - Exigences, évaluation de conformité, classification et désignation]</w:t>
      </w:r>
    </w:p>
    <w:p w14:paraId="04AEBB8B" w14:textId="77777777" w:rsidR="00772179" w:rsidRDefault="00000000">
      <w:r>
        <w:t>[NIT 279, Revêtements durs sur isolation extérieure (ETICS avec revêtements durs).]</w:t>
      </w:r>
    </w:p>
    <w:p w14:paraId="3E5D886E" w14:textId="77777777" w:rsidR="00772179" w:rsidRDefault="00000000">
      <w:r>
        <w:lastRenderedPageBreak/>
        <w:t>[EAD 040287-00-0404, Kits for external thermal insulation composite system (ETICS) with panels as thermal insulation and discontinuous claddings as exterior skin]</w:t>
      </w:r>
    </w:p>
    <w:p w14:paraId="2547C1FF" w14:textId="77777777" w:rsidR="00772179" w:rsidRDefault="00000000">
      <w:r>
        <w:t>[EOTA TR051, Recommendations for job site tests of plastic anchors and screws]</w:t>
      </w:r>
    </w:p>
    <w:p w14:paraId="4CEA2BE7" w14:textId="77777777" w:rsidR="00772179" w:rsidRDefault="00000000">
      <w:r>
        <w:t>[ETAG 017, Veture Kits]</w:t>
      </w:r>
    </w:p>
    <w:p w14:paraId="4EA315B5" w14:textId="77777777" w:rsidR="00772179" w:rsidRDefault="00000000">
      <w:r>
        <w:t>[EAD 040914-00-0404, Veture kits – prefabricated units for external wall insulation and their fixing devices]</w:t>
      </w:r>
    </w:p>
    <w:p w14:paraId="6184A3F5" w14:textId="77777777" w:rsidR="00772179" w:rsidRDefault="00000000">
      <w:r>
        <w:t>[EAD 330196-01-0604, Plastic anchors made of virgin or non-virgin material for fixing of external thermal insulation composite systems with rendering]</w:t>
      </w:r>
    </w:p>
    <w:p w14:paraId="3892DABA" w14:textId="77777777" w:rsidR="00772179" w:rsidRDefault="00000000">
      <w:r>
        <w:t>[NBN EN 12371, Méthodes d’essai pour pierres naturelles - Détermination de la résistance au gel]</w:t>
      </w:r>
    </w:p>
    <w:p w14:paraId="74DDDA8C" w14:textId="77777777" w:rsidR="00772179" w:rsidRDefault="00000000">
      <w:r>
        <w:t>[NBN B 27-009, Produits céramiques pour parements de murs et de sols - Gélivité - Cycles de gel-dégel]</w:t>
      </w:r>
    </w:p>
    <w:p w14:paraId="7E1629E9" w14:textId="77777777" w:rsidR="00772179" w:rsidRDefault="00000000">
      <w:r>
        <w:t>[NBN EN ISO 11600, Construction immobilière - Produits pour joints - Classification et exigences pour les mastics (ISO 11600:2002)]</w:t>
      </w:r>
    </w:p>
    <w:p w14:paraId="3352D5FE" w14:textId="77777777" w:rsidR="00772179" w:rsidRDefault="00000000">
      <w:r>
        <w:t>[STS 56.1, Mastics d’étanchéité des façades]</w:t>
      </w:r>
    </w:p>
    <w:p w14:paraId="0BE83EFA" w14:textId="77777777" w:rsidR="00772179" w:rsidRDefault="00000000">
      <w:r>
        <w:t>[Buildwise Pathologie Infofiche 11, Classes de climat intérieur]</w:t>
      </w:r>
    </w:p>
    <w:p w14:paraId="67C4BE28" w14:textId="77777777" w:rsidR="00772179" w:rsidRDefault="00000000">
      <w:r>
        <w:t>[NIT 255, L'étanchéité à l'air des bâtiments]</w:t>
      </w:r>
    </w:p>
    <w:p w14:paraId="01BFED5C" w14:textId="77777777" w:rsidR="00772179" w:rsidRDefault="00000000">
      <w:pPr>
        <w:pStyle w:val="pheading"/>
      </w:pPr>
      <w:r>
        <w:t>- Exécution</w:t>
      </w:r>
    </w:p>
    <w:p w14:paraId="3B019A52" w14:textId="77777777" w:rsidR="00772179" w:rsidRDefault="00000000">
      <w:r>
        <w:t>[NIT 279, Revêtements durs sur isolation extérieure (ETICS avec revêtements durs).]</w:t>
      </w:r>
    </w:p>
    <w:p w14:paraId="478A0299" w14:textId="77777777" w:rsidR="00772179" w:rsidRDefault="00000000">
      <w:r>
        <w:t>Voir annexe B2 de l'[AGW 2014-05-15 PEB, Arrêté du Gouvernement wallon portant exécution du décret du 28 novembre 2013 relatif à la performance énergétique des bâtiments]</w:t>
      </w:r>
      <w:r>
        <w:br/>
      </w:r>
    </w:p>
    <w:p w14:paraId="14928B04" w14:textId="77777777" w:rsidR="00772179" w:rsidRDefault="00000000">
      <w:pPr>
        <w:ind w:left="750"/>
      </w:pPr>
      <w:r>
        <w:t> </w:t>
      </w:r>
    </w:p>
    <w:p w14:paraId="54EBCD5A" w14:textId="77777777" w:rsidR="00772179" w:rsidRDefault="00000000">
      <w:pPr>
        <w:pStyle w:val="pheading"/>
      </w:pPr>
      <w:r>
        <w:t>AIDE</w:t>
      </w:r>
    </w:p>
    <w:p w14:paraId="7531D8AC" w14:textId="77777777" w:rsidR="00772179" w:rsidRDefault="00000000">
      <w:pPr>
        <w:jc w:val="both"/>
      </w:pPr>
      <w:r>
        <w:t>La zone de plinthe s’étend entre 50 cm sous le niveau du sol extérieur et minimum 30 cm au-dessus. Lorsque le système est utilisé en plinthe, il satisfait à des exigences plus strictes (absorption d'eau réduite, résistance à l'humidité, etc.).</w:t>
      </w:r>
    </w:p>
    <w:p w14:paraId="14523CAB" w14:textId="77777777" w:rsidR="00772179" w:rsidRDefault="00000000">
      <w:pPr>
        <w:jc w:val="both"/>
      </w:pPr>
      <w:r>
        <w:t>Les revêtements de teinte foncée, caractérisés par un facteur d’absorption de l’énergie solaire αe élevé (voir [NBN EN 410]), sont susceptibles d’atteindre des températures &gt; 70 °C lorsqu’ils sont exposés à l’ensoleillement direct (façades orientées de l’est à l’ouest). Or, les performances du système et de ses composants ne sont évaluées que T° ≤ 70 °C. Pour une telle exposition, en cas d’usage d’un revêtement mince (épaisseur &lt; 20 mm), un facteur d’absorption énergétique &gt; 0,7 (70 %) est dès lors déconseillé, à moins de réaliser une étude spécifique à la situation. Le fabricant peut en effet justifier des teintes plus foncées (αe &gt; 0,7) lorsque le revêtement présente une épaisseur suffisante et/ou une conductivité thermique assez faible.    </w:t>
      </w:r>
    </w:p>
    <w:p w14:paraId="31EE1B1A" w14:textId="77777777" w:rsidR="00772179" w:rsidRDefault="00000000">
      <w:pPr>
        <w:jc w:val="both"/>
      </w:pPr>
      <w:r>
        <w:t>Selon la pratique, les limitations sont également basées sur l’indice de clarté qui doit être &gt; 25.</w:t>
      </w:r>
    </w:p>
    <w:p w14:paraId="16928A04" w14:textId="77777777" w:rsidR="00772179" w:rsidRDefault="00000000">
      <w:pPr>
        <w:pStyle w:val="Author-eSectionHeading6Numberless"/>
      </w:pPr>
      <w:bookmarkStart w:id="817" w:name="_Toc220490491"/>
      <w:r>
        <w:t>43.35.2a Revêtements de façades rigides collés – système « isolant + pierre naturelle » - préfabriqué CCTB 01.11</w:t>
      </w:r>
      <w:bookmarkEnd w:id="817"/>
    </w:p>
    <w:p w14:paraId="0EC57F91" w14:textId="77777777" w:rsidR="00772179" w:rsidRDefault="00000000">
      <w:pPr>
        <w:pStyle w:val="pheading"/>
      </w:pPr>
      <w:bookmarkStart w:id="818" w:name="1019"/>
      <w:bookmarkEnd w:id="818"/>
      <w:r>
        <w:t>DESCRIPTION</w:t>
      </w:r>
    </w:p>
    <w:p w14:paraId="49BB956C" w14:textId="77777777" w:rsidR="00772179" w:rsidRDefault="00000000">
      <w:pPr>
        <w:pStyle w:val="pheading"/>
      </w:pPr>
      <w:r>
        <w:t>- Définition / Comprend</w:t>
      </w:r>
    </w:p>
    <w:p w14:paraId="3C602F78" w14:textId="77777777" w:rsidR="00772179" w:rsidRDefault="00000000">
      <w:pPr>
        <w:jc w:val="both"/>
      </w:pPr>
      <w:r>
        <w:t>Il s’agit de la fourniture et de la pose d’un système de plaquettes ou dalles en pierre naturelle solidarisée en usine au panneau d’isolation extérieure, pour une application en façade (vêture). La couche d’isolation (avec traitement des joints) assure l’étanchéité à l’eau.</w:t>
      </w:r>
    </w:p>
    <w:p w14:paraId="5109E343" w14:textId="77777777" w:rsidR="00772179" w:rsidRDefault="00000000">
      <w:pPr>
        <w:jc w:val="both"/>
      </w:pPr>
      <w:r>
        <w:t>La portée des travaux est décrite au </w:t>
      </w:r>
      <w:hyperlink w:anchor="1018" w:history="1">
        <w:r>
          <w:rPr>
            <w:color w:val="0000EE"/>
          </w:rPr>
          <w:t>43.35.2 Revêtements de façades rigides collés – système « isolant + pierre naturelle »</w:t>
        </w:r>
      </w:hyperlink>
      <w:r>
        <w:t>.</w:t>
      </w:r>
    </w:p>
    <w:p w14:paraId="036064EC" w14:textId="77777777" w:rsidR="00772179" w:rsidRDefault="00000000">
      <w:pPr>
        <w:pStyle w:val="pheading"/>
      </w:pPr>
      <w:r>
        <w:t>MATÉRIAUX</w:t>
      </w:r>
    </w:p>
    <w:p w14:paraId="240C7493" w14:textId="77777777" w:rsidR="00772179" w:rsidRDefault="00000000">
      <w:pPr>
        <w:pStyle w:val="pheading"/>
      </w:pPr>
      <w:r>
        <w:lastRenderedPageBreak/>
        <w:t>- Caractéristiques générales</w:t>
      </w:r>
    </w:p>
    <w:p w14:paraId="0CE0DFC8" w14:textId="77777777" w:rsidR="00772179" w:rsidRDefault="00000000">
      <w:pPr>
        <w:pStyle w:val="Author-eListParagraph"/>
        <w:numPr>
          <w:ilvl w:val="0"/>
          <w:numId w:val="1065"/>
        </w:numPr>
        <w:jc w:val="both"/>
      </w:pPr>
      <w:r>
        <w:t>Classe de climat intérieur (cfr [Buildwise Pathologie Infofiche 11]) : classe </w:t>
      </w:r>
      <w:r>
        <w:rPr>
          <w:rStyle w:val="optioncarChar"/>
        </w:rPr>
        <w:t>I / II / III / IV</w:t>
      </w:r>
      <w:r>
        <w:t>.</w:t>
      </w:r>
    </w:p>
    <w:p w14:paraId="29F5ADDC" w14:textId="77777777" w:rsidR="00772179" w:rsidRDefault="00000000">
      <w:pPr>
        <w:pStyle w:val="Author-eListParagraph"/>
        <w:numPr>
          <w:ilvl w:val="0"/>
          <w:numId w:val="1065"/>
        </w:numPr>
        <w:jc w:val="both"/>
      </w:pPr>
      <w:r>
        <w:t>Etanchéité à l’air de la paroi support (cfr [NIT 255]) : Classe </w:t>
      </w:r>
      <w:r>
        <w:rPr>
          <w:rStyle w:val="optioncarChar"/>
        </w:rPr>
        <w:t>L0 / L1 / L2</w:t>
      </w:r>
      <w:r>
        <w:t>.</w:t>
      </w:r>
    </w:p>
    <w:p w14:paraId="511B9F39" w14:textId="77777777" w:rsidR="00772179" w:rsidRDefault="00000000">
      <w:pPr>
        <w:pStyle w:val="Author-eListParagraph"/>
        <w:numPr>
          <w:ilvl w:val="0"/>
          <w:numId w:val="1065"/>
        </w:numPr>
        <w:jc w:val="both"/>
      </w:pPr>
      <w:r>
        <w:t>Les travaux concernent : </w:t>
      </w:r>
      <w:r>
        <w:rPr>
          <w:rStyle w:val="optioncarChar"/>
        </w:rPr>
        <w:t>la façade courante (hors zone de plinthe)</w:t>
      </w:r>
      <w:r>
        <w:t> (par défaut)</w:t>
      </w:r>
      <w:r>
        <w:rPr>
          <w:rStyle w:val="optioncarChar"/>
        </w:rPr>
        <w:t> / la zone de plinthe / la zone de plinthe et la façade courante</w:t>
      </w:r>
      <w:r>
        <w:t>. </w:t>
      </w:r>
    </w:p>
    <w:p w14:paraId="2BB8206E" w14:textId="77777777" w:rsidR="00772179" w:rsidRDefault="00000000">
      <w:pPr>
        <w:pStyle w:val="Author-eListParagraph"/>
        <w:numPr>
          <w:ilvl w:val="0"/>
          <w:numId w:val="1065"/>
        </w:numPr>
        <w:jc w:val="both"/>
      </w:pPr>
      <w:r>
        <w:t>Niveaux inférieur et supérieur à traiter : voir plans et métrés détaillés.</w:t>
      </w:r>
    </w:p>
    <w:p w14:paraId="51C0E3D1" w14:textId="77777777" w:rsidR="00772179" w:rsidRDefault="00000000">
      <w:pPr>
        <w:pStyle w:val="Author-eListParagraph"/>
        <w:numPr>
          <w:ilvl w:val="0"/>
          <w:numId w:val="1065"/>
        </w:numPr>
        <w:jc w:val="both"/>
      </w:pPr>
      <w:r>
        <w:t> Aspect : </w:t>
      </w:r>
      <w:r>
        <w:rPr>
          <w:rStyle w:val="optioncarChar"/>
        </w:rPr>
        <w:t>maçonnerie </w:t>
      </w:r>
      <w:r>
        <w:t>(par défaut) </w:t>
      </w:r>
      <w:r>
        <w:rPr>
          <w:rStyle w:val="optioncarChar"/>
        </w:rPr>
        <w:t>/ carrelage</w:t>
      </w:r>
    </w:p>
    <w:p w14:paraId="6FF0AA2E" w14:textId="77777777" w:rsidR="00772179" w:rsidRDefault="00000000">
      <w:pPr>
        <w:jc w:val="both"/>
      </w:pPr>
      <w:r>
        <w:t>Le système et ses composants répondent aux spécifications décrites dans la [NIT 279].</w:t>
      </w:r>
    </w:p>
    <w:p w14:paraId="7EBD9E11" w14:textId="77777777" w:rsidR="00772179" w:rsidRDefault="00000000">
      <w:pPr>
        <w:jc w:val="both"/>
      </w:pPr>
      <w:r>
        <w:rPr>
          <w:b/>
        </w:rPr>
        <w:t>Système</w:t>
      </w:r>
    </w:p>
    <w:p w14:paraId="4B660004" w14:textId="77777777" w:rsidR="00772179" w:rsidRDefault="00000000">
      <w:pPr>
        <w:jc w:val="both"/>
      </w:pPr>
      <w:r>
        <w:t>Type de système, à transmettre au maître d’ouvrage : </w:t>
      </w:r>
      <w:r>
        <w:rPr>
          <w:rStyle w:val="optioncarChar"/>
        </w:rPr>
        <w:t>au choix de l’entrepreneur soumis à l’approbation de l’auteur de projet </w:t>
      </w:r>
      <w:r>
        <w:t>(par défaut)</w:t>
      </w:r>
      <w:r>
        <w:rPr>
          <w:rStyle w:val="optioncarChar"/>
        </w:rPr>
        <w:t> / système collé (≥ 60 % de la surface) avec fixations mécaniques / système fixé mécaniquement avec encollage (≥ 60 % de la surface)</w:t>
      </w:r>
      <w:r>
        <w:t>.</w:t>
      </w:r>
    </w:p>
    <w:p w14:paraId="231B6D73" w14:textId="77777777" w:rsidR="00772179" w:rsidRDefault="00000000">
      <w:pPr>
        <w:jc w:val="both"/>
      </w:pPr>
      <w:r>
        <w:t>Présence d’un enduit de base renforcé : </w:t>
      </w:r>
      <w:r>
        <w:rPr>
          <w:rStyle w:val="optioncarChar"/>
        </w:rPr>
        <w:t>au choix de l’entrepreneur soumis à approbation de l’auteur de projet </w:t>
      </w:r>
      <w:r>
        <w:t>(par défaut)</w:t>
      </w:r>
      <w:r>
        <w:rPr>
          <w:rStyle w:val="optioncarChar"/>
        </w:rPr>
        <w:t> / avec enduit de base renforcé / sans enduit de base renforcé</w:t>
      </w:r>
      <w:r>
        <w:t>.</w:t>
      </w:r>
    </w:p>
    <w:p w14:paraId="6E42A001" w14:textId="77777777" w:rsidR="00772179" w:rsidRDefault="00000000">
      <w:pPr>
        <w:jc w:val="both"/>
      </w:pPr>
      <w:r>
        <w:t>Epaisseur totale maximale du système rapporté : ≤ </w:t>
      </w:r>
      <w:r>
        <w:rPr>
          <w:rStyle w:val="optioncarChar"/>
        </w:rPr>
        <w:t>***</w:t>
      </w:r>
      <w:r>
        <w:t> cm</w:t>
      </w:r>
    </w:p>
    <w:p w14:paraId="0D012E4B" w14:textId="77777777" w:rsidR="00772179" w:rsidRDefault="00000000">
      <w:pPr>
        <w:jc w:val="both"/>
      </w:pPr>
      <w:r>
        <w:t>Masse surfacique maximale du système rapporté : ≤ </w:t>
      </w:r>
      <w:r>
        <w:rPr>
          <w:rStyle w:val="optioncarChar"/>
        </w:rPr>
        <w:t>***</w:t>
      </w:r>
      <w:r>
        <w:t> kg/m²</w:t>
      </w:r>
    </w:p>
    <w:p w14:paraId="0159A454" w14:textId="77777777" w:rsidR="00772179" w:rsidRDefault="00000000">
      <w:pPr>
        <w:jc w:val="both"/>
      </w:pPr>
      <w:r>
        <w:t>Pression d’étanchéité à la pluie requise suivant [NIT 279] : ≥ </w:t>
      </w:r>
      <w:r>
        <w:rPr>
          <w:rStyle w:val="optioncarChar"/>
        </w:rPr>
        <w:t>600 / 900 / ***</w:t>
      </w:r>
      <w:r>
        <w:t> Pa</w:t>
      </w:r>
    </w:p>
    <w:p w14:paraId="6701DD04" w14:textId="77777777" w:rsidR="00772179" w:rsidRDefault="00000000">
      <w:pPr>
        <w:jc w:val="both"/>
      </w:pPr>
      <w:r>
        <w:t>Résistance aux chocs requise suivant [NIT 279] : catégorie d’utilisation </w:t>
      </w:r>
      <w:r>
        <w:rPr>
          <w:rStyle w:val="optioncarChar"/>
        </w:rPr>
        <w:t>I / II / III / IV</w:t>
      </w:r>
      <w:r>
        <w:t>.</w:t>
      </w:r>
    </w:p>
    <w:p w14:paraId="4D88CCA1" w14:textId="77777777" w:rsidR="00772179" w:rsidRDefault="00000000">
      <w:pPr>
        <w:jc w:val="both"/>
      </w:pPr>
      <w:r>
        <w:t>Indice d’affaiblissement acoustique pondéré R</w:t>
      </w:r>
      <w:r>
        <w:rPr>
          <w:vertAlign w:val="subscript"/>
        </w:rPr>
        <w:t>Atr</w:t>
      </w:r>
      <w:r>
        <w:t> : ≥</w:t>
      </w:r>
      <w:r>
        <w:rPr>
          <w:rStyle w:val="optioncarChar"/>
        </w:rPr>
        <w:t xml:space="preserve"> *** db / non spécifié</w:t>
      </w:r>
      <w:r>
        <w:t> </w:t>
      </w:r>
    </w:p>
    <w:p w14:paraId="141F0A31" w14:textId="77777777" w:rsidR="00772179" w:rsidRDefault="00000000">
      <w:pPr>
        <w:jc w:val="both"/>
      </w:pPr>
      <w:r>
        <w:t>Réaction au feu du système : </w:t>
      </w:r>
      <w:r>
        <w:rPr>
          <w:rStyle w:val="optioncarChar"/>
        </w:rPr>
        <w:t>A1 / A2 / B / C / D / E / F</w:t>
      </w:r>
    </w:p>
    <w:p w14:paraId="05D6BB24" w14:textId="77777777" w:rsidR="00772179" w:rsidRDefault="00000000">
      <w:pPr>
        <w:jc w:val="both"/>
      </w:pPr>
      <w:r>
        <w:t>Etude action du vent : à charge de </w:t>
      </w:r>
      <w:r>
        <w:rPr>
          <w:rStyle w:val="optioncarChar"/>
        </w:rPr>
        <w:t>l’auteur de projet </w:t>
      </w:r>
      <w:r>
        <w:t>(par défaut)</w:t>
      </w:r>
      <w:r>
        <w:rPr>
          <w:rStyle w:val="optioncarChar"/>
        </w:rPr>
        <w:t> / l’entrepreneur</w:t>
      </w:r>
    </w:p>
    <w:p w14:paraId="19D6168B" w14:textId="77777777" w:rsidR="00772179" w:rsidRDefault="00000000">
      <w:pPr>
        <w:jc w:val="both"/>
      </w:pPr>
      <w:r>
        <w:t>Longueur de chacune des zones de bord (cfr action du vent) : </w:t>
      </w:r>
      <w:r>
        <w:rPr>
          <w:rStyle w:val="optioncarChar"/>
        </w:rPr>
        <w:t>*** m / non spécifié</w:t>
      </w:r>
    </w:p>
    <w:p w14:paraId="452B8A65" w14:textId="77777777" w:rsidR="00772179" w:rsidRDefault="00000000">
      <w:pPr>
        <w:jc w:val="both"/>
      </w:pPr>
      <w:r>
        <w:t>Longueur de l’éventuelle zone centrale (cfr action du vent) : </w:t>
      </w:r>
      <w:r>
        <w:rPr>
          <w:rStyle w:val="optioncarChar"/>
        </w:rPr>
        <w:t>*** m / non spécifié</w:t>
      </w:r>
    </w:p>
    <w:p w14:paraId="32690B80" w14:textId="77777777" w:rsidR="00772179" w:rsidRDefault="00000000">
      <w:pPr>
        <w:jc w:val="both"/>
      </w:pPr>
      <w:r>
        <w:t>Valeur de calcul de l’action du vent en zone centrale (cfr [NBN EN 1991-1-4 ANB]) : </w:t>
      </w:r>
      <w:r>
        <w:rPr>
          <w:rStyle w:val="optioncarChar"/>
        </w:rPr>
        <w:t>*** Pa / non spécifié.</w:t>
      </w:r>
      <w:r>
        <w:t> </w:t>
      </w:r>
    </w:p>
    <w:p w14:paraId="02EAF9EE" w14:textId="77777777" w:rsidR="00772179" w:rsidRDefault="00000000">
      <w:pPr>
        <w:jc w:val="both"/>
      </w:pPr>
      <w:r>
        <w:t>Valeur de calcul de l’action du vent en zone de bord (cfr [NBN EN 1991-1-4 ANB]) : </w:t>
      </w:r>
      <w:r>
        <w:rPr>
          <w:rStyle w:val="optioncarChar"/>
        </w:rPr>
        <w:t>*** Pa / non spécifié. </w:t>
      </w:r>
    </w:p>
    <w:p w14:paraId="0B82DD6E" w14:textId="77777777" w:rsidR="00772179" w:rsidRDefault="00000000">
      <w:pPr>
        <w:jc w:val="both"/>
      </w:pPr>
      <w:r>
        <w:t>Etude thermique : à charge de </w:t>
      </w:r>
      <w:r>
        <w:rPr>
          <w:rStyle w:val="optioncarChar"/>
        </w:rPr>
        <w:t>l’auteur de projet</w:t>
      </w:r>
      <w:r>
        <w:t> (par défaut) </w:t>
      </w:r>
      <w:r>
        <w:rPr>
          <w:rStyle w:val="optioncarChar"/>
        </w:rPr>
        <w:t>/ l’entrepreneur</w:t>
      </w:r>
    </w:p>
    <w:p w14:paraId="367580C2" w14:textId="77777777" w:rsidR="00772179" w:rsidRDefault="00000000">
      <w:pPr>
        <w:jc w:val="both"/>
      </w:pPr>
      <w:r>
        <w:t>L’utilisation de chevilles à rosace pour la fixation influence la résistance thermique est à considérer dans les calculs PEB.</w:t>
      </w:r>
    </w:p>
    <w:p w14:paraId="54D95AFF" w14:textId="77777777" w:rsidR="00772179" w:rsidRDefault="00000000">
      <w:pPr>
        <w:jc w:val="both"/>
      </w:pPr>
      <w:r>
        <w:t>Valeur du coefficient de déperdition thermique U à ne pas dépasser pour la paroi complète suivant réglementation régionale : ≤ </w:t>
      </w:r>
      <w:r>
        <w:rPr>
          <w:rStyle w:val="optioncarChar"/>
        </w:rPr>
        <w:t>*** W/m²K / non spécifié </w:t>
      </w:r>
    </w:p>
    <w:p w14:paraId="3184D2F6" w14:textId="77777777" w:rsidR="00772179" w:rsidRDefault="00000000">
      <w:pPr>
        <w:jc w:val="both"/>
      </w:pPr>
      <w:r>
        <w:t>Valeur de la résistance thermique RETICS à atteindre par le système : ≥</w:t>
      </w:r>
      <w:r>
        <w:rPr>
          <w:rStyle w:val="optioncarChar"/>
        </w:rPr>
        <w:t> *** m²K/W / non spécifié </w:t>
      </w:r>
    </w:p>
    <w:p w14:paraId="4F9DF78A" w14:textId="77777777" w:rsidR="00772179" w:rsidRDefault="00000000">
      <w:pPr>
        <w:jc w:val="both"/>
      </w:pPr>
      <w:r>
        <w:rPr>
          <w:color w:val="000000"/>
        </w:rPr>
        <w:t>L’utilisation de chevilles à rosace pour la fixation influence la résistance thermique ; à considérer dans les calculs PEB.</w:t>
      </w:r>
    </w:p>
    <w:p w14:paraId="7A2E509B" w14:textId="77777777" w:rsidR="00772179" w:rsidRDefault="00000000">
      <w:pPr>
        <w:jc w:val="both"/>
      </w:pPr>
      <w:r>
        <w:t>Nœuds constructifs : voir détails d’exécution dans les plans détaillés ou dans la [NIT 279]. Les nœuds constructifs sont conçus et réalisés de telle manière qu’ils ne provoquent pas de condensation superficielle. Les nœuds PEB-conformes  sont réputés satisfaire à cette exigence (voir annexe B2 de l'[AGW 2014-05-15 PEB]).</w:t>
      </w:r>
    </w:p>
    <w:p w14:paraId="5DD74497" w14:textId="77777777" w:rsidR="00772179" w:rsidRDefault="00000000">
      <w:pPr>
        <w:jc w:val="both"/>
      </w:pPr>
      <w:r>
        <w:t>Etude hygrothermique : à charge de </w:t>
      </w:r>
      <w:r>
        <w:rPr>
          <w:rStyle w:val="optioncarChar"/>
        </w:rPr>
        <w:t>l’auteur de projet </w:t>
      </w:r>
      <w:r>
        <w:t>(par défaut)</w:t>
      </w:r>
      <w:r>
        <w:rPr>
          <w:rStyle w:val="optioncarChar"/>
        </w:rPr>
        <w:t> / l’entrepreneur</w:t>
      </w:r>
    </w:p>
    <w:p w14:paraId="266F3F7B" w14:textId="77777777" w:rsidR="00772179" w:rsidRDefault="00000000">
      <w:pPr>
        <w:jc w:val="both"/>
      </w:pPr>
      <w:r>
        <w:t>Valeur s</w:t>
      </w:r>
      <w:r>
        <w:rPr>
          <w:vertAlign w:val="subscript"/>
        </w:rPr>
        <w:t>d</w:t>
      </w:r>
      <w:r>
        <w:t> du parachèvement suivant [NIT 279]  :</w:t>
      </w:r>
      <w:r>
        <w:rPr>
          <w:rStyle w:val="optioncarChar"/>
        </w:rPr>
        <w:t> ≤ *** m / non spécifié </w:t>
      </w:r>
    </w:p>
    <w:p w14:paraId="14E3175F" w14:textId="77777777" w:rsidR="00772179" w:rsidRDefault="00000000">
      <w:pPr>
        <w:jc w:val="both"/>
      </w:pPr>
      <w:r>
        <w:t>Valeur s</w:t>
      </w:r>
      <w:r>
        <w:rPr>
          <w:vertAlign w:val="subscript"/>
        </w:rPr>
        <w:t>d</w:t>
      </w:r>
      <w:r>
        <w:t> de l’isolant suivant [NIT 279]  : </w:t>
      </w:r>
      <w:r>
        <w:rPr>
          <w:rStyle w:val="optioncarChar"/>
        </w:rPr>
        <w:t>≤ *** m / non spécifié</w:t>
      </w:r>
    </w:p>
    <w:p w14:paraId="67044823" w14:textId="77777777" w:rsidR="00772179" w:rsidRDefault="00000000">
      <w:pPr>
        <w:jc w:val="both"/>
      </w:pPr>
      <w:r>
        <w:t>La documentation technique accompagnant le système indique la configuration et les mesures pour atteindre les performances visées.</w:t>
      </w:r>
    </w:p>
    <w:p w14:paraId="2A50627F" w14:textId="77777777" w:rsidR="00772179" w:rsidRDefault="00000000">
      <w:pPr>
        <w:jc w:val="both"/>
      </w:pPr>
      <w:r>
        <w:rPr>
          <w:b/>
        </w:rPr>
        <w:lastRenderedPageBreak/>
        <w:t>Panneaux d’isolation</w:t>
      </w:r>
    </w:p>
    <w:p w14:paraId="68DF7EAC" w14:textId="77777777" w:rsidR="00772179" w:rsidRDefault="00000000">
      <w:pPr>
        <w:jc w:val="both"/>
      </w:pPr>
      <w:r>
        <w:t>Systèmes sans enduit de base renforcé – Nature de l’isolant :</w:t>
      </w:r>
      <w:r>
        <w:rPr>
          <w:rStyle w:val="optioncarChar"/>
        </w:rPr>
        <w:t> EPS Haute Densité / XPS / *** </w:t>
      </w:r>
    </w:p>
    <w:p w14:paraId="610B72D6" w14:textId="77777777" w:rsidR="00772179" w:rsidRDefault="00000000">
      <w:pPr>
        <w:jc w:val="both"/>
      </w:pPr>
      <w:r>
        <w:t>Systèmes avec enduit de base renforcé – Nature de l’isolant : </w:t>
      </w:r>
      <w:r>
        <w:rPr>
          <w:rStyle w:val="optioncarChar"/>
        </w:rPr>
        <w:t>EPS / *** </w:t>
      </w:r>
    </w:p>
    <w:p w14:paraId="0F415A3B" w14:textId="77777777" w:rsidR="00772179" w:rsidRDefault="00000000">
      <w:pPr>
        <w:jc w:val="both"/>
      </w:pPr>
      <w:r>
        <w:t>Epaisseur : </w:t>
      </w:r>
      <w:r>
        <w:rPr>
          <w:rStyle w:val="optioncarChar"/>
        </w:rPr>
        <w:t>10 / 12 / 14 / 16 / 18 / selon calcul thermique (PEB) / non spécifié / ***</w:t>
      </w:r>
      <w:r>
        <w:t> cm.</w:t>
      </w:r>
    </w:p>
    <w:p w14:paraId="592F3EC8" w14:textId="77777777" w:rsidR="00772179" w:rsidRDefault="00000000">
      <w:pPr>
        <w:jc w:val="both"/>
      </w:pPr>
      <w:r>
        <w:t>Conductivité thermique déclarée : ≤ </w:t>
      </w:r>
      <w:r>
        <w:rPr>
          <w:rStyle w:val="optioncarChar"/>
        </w:rPr>
        <w:t>0,04 / 0,035 / 0,032 / ***</w:t>
      </w:r>
      <w:r>
        <w:t> W/mK</w:t>
      </w:r>
    </w:p>
    <w:p w14:paraId="04886516" w14:textId="77777777" w:rsidR="00772179" w:rsidRDefault="00000000">
      <w:pPr>
        <w:jc w:val="both"/>
      </w:pPr>
      <w:r>
        <w:rPr>
          <w:b/>
        </w:rPr>
        <w:t>Pierre naturelle (cfr [NBN EN 12057] ou [NBN EN 1469] et [NIT 228])</w:t>
      </w:r>
    </w:p>
    <w:p w14:paraId="7F9ABC14" w14:textId="77777777" w:rsidR="00772179" w:rsidRDefault="00000000">
      <w:pPr>
        <w:jc w:val="both"/>
      </w:pPr>
      <w:r>
        <w:t>Description : </w:t>
      </w:r>
      <w:r>
        <w:rPr>
          <w:rStyle w:val="optioncarChar"/>
        </w:rPr>
        <w:t>non spécifié (à proposer par l’entrepreneur et soumis à l’approbation de l’auteur de projet) / ***</w:t>
      </w:r>
    </w:p>
    <w:p w14:paraId="6E2E4938" w14:textId="77777777" w:rsidR="00772179" w:rsidRDefault="00000000">
      <w:pPr>
        <w:jc w:val="both"/>
      </w:pPr>
      <w:r>
        <w:t>Dimensions (longueur l x largeur b x épaisseur d) : </w:t>
      </w:r>
      <w:r>
        <w:rPr>
          <w:rStyle w:val="optioncarChar"/>
        </w:rPr>
        <w:t>150 mm x 150 mm x 15 mm </w:t>
      </w:r>
      <w:r>
        <w:t>(par défaut)</w:t>
      </w:r>
      <w:r>
        <w:rPr>
          <w:rStyle w:val="optioncarChar"/>
        </w:rPr>
        <w:t> / ***</w:t>
      </w:r>
    </w:p>
    <w:p w14:paraId="00BBD039" w14:textId="77777777" w:rsidR="00772179" w:rsidRDefault="00000000">
      <w:pPr>
        <w:jc w:val="both"/>
      </w:pPr>
      <w:r>
        <w:t>Résistance au gel pour application en façade courante : Nc ≥ 70 selon [NBN EN 12371] ou ≥ 500 mm Hg selon [NBN B 27-009]</w:t>
      </w:r>
    </w:p>
    <w:p w14:paraId="402FDD52" w14:textId="77777777" w:rsidR="00772179" w:rsidRDefault="00000000">
      <w:pPr>
        <w:jc w:val="both"/>
      </w:pPr>
      <w:r>
        <w:t>Résistance au gel pour application en zone de plinthe : Nc ≥ 140 selon [NBN EN 12371] ou ≥ p650 mm Hg selon [NBN B 27-009]</w:t>
      </w:r>
    </w:p>
    <w:p w14:paraId="074A58A1" w14:textId="77777777" w:rsidR="00772179" w:rsidRDefault="00000000">
      <w:pPr>
        <w:jc w:val="both"/>
      </w:pPr>
      <w:r>
        <w:t>Elément résistant aux chocs thermiques</w:t>
      </w:r>
    </w:p>
    <w:p w14:paraId="4A36BC27" w14:textId="77777777" w:rsidR="00772179" w:rsidRDefault="00000000">
      <w:pPr>
        <w:jc w:val="both"/>
      </w:pPr>
      <w:r>
        <w:t>Réaction au feu : </w:t>
      </w:r>
      <w:r>
        <w:rPr>
          <w:rStyle w:val="optioncarChar"/>
        </w:rPr>
        <w:t>A1 </w:t>
      </w:r>
      <w:r>
        <w:t>(par défaut)</w:t>
      </w:r>
      <w:r>
        <w:rPr>
          <w:rStyle w:val="optioncarChar"/>
        </w:rPr>
        <w:t> / ***</w:t>
      </w:r>
      <w:r>
        <w:t>.</w:t>
      </w:r>
    </w:p>
    <w:p w14:paraId="30DD0FB1" w14:textId="77777777" w:rsidR="00772179" w:rsidRDefault="00000000">
      <w:pPr>
        <w:jc w:val="both"/>
      </w:pPr>
      <w:r>
        <w:t>Facteur d’absorption de l’énergie solaire [NBN EN 410] : </w:t>
      </w:r>
      <w:r>
        <w:rPr>
          <w:rStyle w:val="optioncarChar"/>
        </w:rPr>
        <w:t>≤ 0,7</w:t>
      </w:r>
      <w:r>
        <w:t> (par défaut)</w:t>
      </w:r>
      <w:r>
        <w:rPr>
          <w:rStyle w:val="optioncarChar"/>
        </w:rPr>
        <w:t> / ≤ 0,85 / non spécifié / ***</w:t>
      </w:r>
      <w:r>
        <w:t>.</w:t>
      </w:r>
    </w:p>
    <w:p w14:paraId="2BAFC5E1" w14:textId="77777777" w:rsidR="00772179" w:rsidRDefault="00000000">
      <w:pPr>
        <w:jc w:val="both"/>
      </w:pPr>
      <w:r>
        <w:t>Indice de clarté : ≥</w:t>
      </w:r>
      <w:r>
        <w:rPr>
          <w:rStyle w:val="optioncarChar"/>
        </w:rPr>
        <w:t xml:space="preserve"> 25 </w:t>
      </w:r>
      <w:r>
        <w:t>(par défaut)</w:t>
      </w:r>
      <w:r>
        <w:rPr>
          <w:rStyle w:val="optioncarChar"/>
        </w:rPr>
        <w:t> / ≥ 10 / non spécifié / ***</w:t>
      </w:r>
      <w:r>
        <w:t> </w:t>
      </w:r>
    </w:p>
    <w:p w14:paraId="114714A5" w14:textId="77777777" w:rsidR="00772179" w:rsidRDefault="00000000">
      <w:pPr>
        <w:jc w:val="both"/>
      </w:pPr>
      <w:r>
        <w:rPr>
          <w:b/>
        </w:rPr>
        <w:t>Colle à carrelage</w:t>
      </w:r>
    </w:p>
    <w:p w14:paraId="6EEFB17D" w14:textId="77777777" w:rsidR="00772179" w:rsidRDefault="00000000">
      <w:pPr>
        <w:jc w:val="both"/>
      </w:pPr>
      <w:r>
        <w:t>Conforme à la [NIT 279] et à la documentation technique accompagnant le produit et le système</w:t>
      </w:r>
    </w:p>
    <w:p w14:paraId="7C790769" w14:textId="77777777" w:rsidR="00772179" w:rsidRDefault="00000000">
      <w:pPr>
        <w:jc w:val="both"/>
      </w:pPr>
      <w:r>
        <w:t>Teinte : </w:t>
      </w:r>
      <w:r>
        <w:rPr>
          <w:rStyle w:val="optioncarChar"/>
        </w:rPr>
        <w:t>gris</w:t>
      </w:r>
      <w:r>
        <w:t> (par défaut) </w:t>
      </w:r>
      <w:r>
        <w:rPr>
          <w:rStyle w:val="optioncarChar"/>
        </w:rPr>
        <w:t>/ blanc / ***</w:t>
      </w:r>
      <w:r>
        <w:t>.</w:t>
      </w:r>
    </w:p>
    <w:p w14:paraId="4A1E42DA" w14:textId="77777777" w:rsidR="00772179" w:rsidRDefault="00000000">
      <w:pPr>
        <w:jc w:val="both"/>
      </w:pPr>
      <w:r>
        <w:rPr>
          <w:b/>
        </w:rPr>
        <w:t>Produit de jointoiement</w:t>
      </w:r>
    </w:p>
    <w:p w14:paraId="05F77AD8" w14:textId="77777777" w:rsidR="00772179" w:rsidRDefault="00000000">
      <w:pPr>
        <w:jc w:val="both"/>
      </w:pPr>
      <w:r>
        <w:t>Produit de jointoiement : </w:t>
      </w:r>
      <w:r>
        <w:rPr>
          <w:rStyle w:val="optioncarChar"/>
        </w:rPr>
        <w:t>oui</w:t>
      </w:r>
      <w:r>
        <w:t> (par défaut)</w:t>
      </w:r>
      <w:r>
        <w:rPr>
          <w:rStyle w:val="optioncarChar"/>
        </w:rPr>
        <w:t> / non</w:t>
      </w:r>
    </w:p>
    <w:p w14:paraId="02305530" w14:textId="77777777" w:rsidR="00772179" w:rsidRDefault="00000000">
      <w:pPr>
        <w:jc w:val="both"/>
      </w:pPr>
      <w:r>
        <w:t>Le cas échéant et en cas de pose aspect ‘carrelage’, le produit de jointoiement répond aux spécifications de la [NBN EN 13888] ou est dosé in situ.</w:t>
      </w:r>
    </w:p>
    <w:p w14:paraId="1340C611" w14:textId="77777777" w:rsidR="00772179" w:rsidRDefault="00000000">
      <w:pPr>
        <w:jc w:val="both"/>
      </w:pPr>
      <w:r>
        <w:t>Type de joint : </w:t>
      </w:r>
      <w:r>
        <w:rPr>
          <w:rStyle w:val="optioncarChar"/>
        </w:rPr>
        <w:t>CG1 </w:t>
      </w:r>
      <w:r>
        <w:t>(par défaut)</w:t>
      </w:r>
      <w:r>
        <w:rPr>
          <w:rStyle w:val="optioncarChar"/>
        </w:rPr>
        <w:t> / CG2 / CG2W, CG2Ar / RG / dosé in situ</w:t>
      </w:r>
    </w:p>
    <w:p w14:paraId="36FB336D" w14:textId="77777777" w:rsidR="00772179" w:rsidRDefault="00000000">
      <w:pPr>
        <w:jc w:val="both"/>
      </w:pPr>
      <w:r>
        <w:t>Le cas échéant et en cas de pose aspect ‘maçonnerie’, la produit de jointoiement répond aux spécifications de la [NBN EN 998-2] et du [PTV 651] ou est dosé in situ.</w:t>
      </w:r>
    </w:p>
    <w:p w14:paraId="5DF09E62" w14:textId="77777777" w:rsidR="00772179" w:rsidRDefault="00000000">
      <w:pPr>
        <w:jc w:val="both"/>
      </w:pPr>
      <w:r>
        <w:t>Type de joint de maçonnerie, le cas échéant : </w:t>
      </w:r>
      <w:r>
        <w:rPr>
          <w:rStyle w:val="optioncarChar"/>
        </w:rPr>
        <w:t>M5 </w:t>
      </w:r>
      <w:r>
        <w:t>(par défaut)</w:t>
      </w:r>
      <w:r>
        <w:rPr>
          <w:rStyle w:val="optioncarChar"/>
        </w:rPr>
        <w:t> / M*** / Mortier dosé in situ</w:t>
      </w:r>
    </w:p>
    <w:p w14:paraId="72F901DF" w14:textId="77777777" w:rsidR="00772179" w:rsidRDefault="00000000">
      <w:pPr>
        <w:jc w:val="both"/>
      </w:pPr>
      <w:r>
        <w:rPr>
          <w:b/>
        </w:rPr>
        <w:t>(soit par défaut)</w:t>
      </w:r>
    </w:p>
    <w:p w14:paraId="55C9B3E8" w14:textId="77777777" w:rsidR="00772179" w:rsidRDefault="00000000">
      <w:pPr>
        <w:jc w:val="both"/>
      </w:pPr>
      <w:r>
        <w:rPr>
          <w:rStyle w:val="soitChar"/>
          <w:u w:val="single"/>
        </w:rPr>
        <w:t>M5</w:t>
      </w:r>
      <w:r>
        <w:rPr>
          <w:rStyle w:val="soitChar"/>
        </w:rPr>
        <w:t> suivant la [NBN EN 998-2]</w:t>
      </w:r>
    </w:p>
    <w:p w14:paraId="3607BAB3" w14:textId="77777777" w:rsidR="00772179" w:rsidRDefault="00000000">
      <w:pPr>
        <w:jc w:val="both"/>
      </w:pPr>
      <w:r>
        <w:rPr>
          <w:b/>
        </w:rPr>
        <w:t>(soit)</w:t>
      </w:r>
    </w:p>
    <w:p w14:paraId="619242B0" w14:textId="77777777" w:rsidR="00772179" w:rsidRDefault="00000000">
      <w:pPr>
        <w:jc w:val="both"/>
      </w:pPr>
      <w:r>
        <w:rPr>
          <w:rStyle w:val="soitChar"/>
          <w:u w:val="single"/>
        </w:rPr>
        <w:t>M</w:t>
      </w:r>
      <w:r>
        <w:rPr>
          <w:rStyle w:val="optioncarChar"/>
          <w:u w:val="single"/>
        </w:rPr>
        <w:t>***</w:t>
      </w:r>
      <w:r>
        <w:rPr>
          <w:rStyle w:val="soitChar"/>
        </w:rPr>
        <w:t> suivant la [NBN EN 998-2]</w:t>
      </w:r>
    </w:p>
    <w:p w14:paraId="431535BA" w14:textId="77777777" w:rsidR="00772179" w:rsidRDefault="00000000">
      <w:pPr>
        <w:jc w:val="both"/>
      </w:pPr>
      <w:r>
        <w:rPr>
          <w:b/>
        </w:rPr>
        <w:t>(soit)</w:t>
      </w:r>
    </w:p>
    <w:p w14:paraId="1FBAE79B" w14:textId="77777777" w:rsidR="00772179" w:rsidRDefault="00000000">
      <w:pPr>
        <w:jc w:val="both"/>
      </w:pPr>
      <w:r>
        <w:rPr>
          <w:rStyle w:val="soitChar"/>
          <w:u w:val="single"/>
        </w:rPr>
        <w:t>Mortier dosé in situ</w:t>
      </w:r>
      <w:r>
        <w:rPr>
          <w:rStyle w:val="soitChar"/>
        </w:rPr>
        <w:t>, à composition prescrite (parts de ciment-chaux-sable) :</w:t>
      </w:r>
      <w:r>
        <w:t> </w:t>
      </w:r>
      <w:r>
        <w:rPr>
          <w:rStyle w:val="optioncarChar"/>
        </w:rPr>
        <w:t>1-1-6</w:t>
      </w:r>
      <w:r>
        <w:t> (par défaut) </w:t>
      </w:r>
      <w:r>
        <w:rPr>
          <w:rStyle w:val="optioncarChar"/>
        </w:rPr>
        <w:t>/ ***</w:t>
      </w:r>
    </w:p>
    <w:p w14:paraId="6053E047" w14:textId="77777777" w:rsidR="00772179" w:rsidRDefault="00000000">
      <w:pPr>
        <w:jc w:val="both"/>
      </w:pPr>
      <w:r>
        <w:rPr>
          <w:b/>
        </w:rPr>
        <w:t>Mastic d’étanchéité</w:t>
      </w:r>
    </w:p>
    <w:p w14:paraId="0CCFDBC3" w14:textId="77777777" w:rsidR="00772179" w:rsidRDefault="00000000">
      <w:pPr>
        <w:jc w:val="both"/>
      </w:pPr>
      <w:r>
        <w:t>Couleur : </w:t>
      </w:r>
      <w:r>
        <w:rPr>
          <w:rStyle w:val="optioncarChar"/>
        </w:rPr>
        <w:t>se rapprochant du produit de jointoiement </w:t>
      </w:r>
      <w:r>
        <w:t>(par défaut)</w:t>
      </w:r>
      <w:r>
        <w:rPr>
          <w:rStyle w:val="optioncarChar"/>
        </w:rPr>
        <w:t> / ***</w:t>
      </w:r>
      <w:r>
        <w:t>.</w:t>
      </w:r>
    </w:p>
    <w:p w14:paraId="1D2E84C2" w14:textId="77777777" w:rsidR="00772179" w:rsidRDefault="00000000">
      <w:pPr>
        <w:jc w:val="both"/>
      </w:pPr>
      <w:r>
        <w:rPr>
          <w:b/>
        </w:rPr>
        <w:t>Produit pour joints de mouvement</w:t>
      </w:r>
    </w:p>
    <w:p w14:paraId="1CA7D3CE" w14:textId="77777777" w:rsidR="00772179" w:rsidRDefault="00000000">
      <w:pPr>
        <w:jc w:val="both"/>
      </w:pPr>
      <w:r>
        <w:t>Couleur : </w:t>
      </w:r>
      <w:r>
        <w:rPr>
          <w:rStyle w:val="optioncarChar"/>
        </w:rPr>
        <w:t>se rapprochant du produit de jointoiement </w:t>
      </w:r>
      <w:r>
        <w:t>(par défaut)</w:t>
      </w:r>
      <w:r>
        <w:rPr>
          <w:rStyle w:val="optioncarChar"/>
        </w:rPr>
        <w:t> / ***</w:t>
      </w:r>
      <w:r>
        <w:t>.</w:t>
      </w:r>
    </w:p>
    <w:p w14:paraId="6D754AB1" w14:textId="77777777" w:rsidR="00772179" w:rsidRDefault="00000000">
      <w:pPr>
        <w:jc w:val="both"/>
      </w:pPr>
      <w:r>
        <w:rPr>
          <w:b/>
        </w:rPr>
        <w:t>Profilés</w:t>
      </w:r>
    </w:p>
    <w:p w14:paraId="47BF65BB" w14:textId="77777777" w:rsidR="00772179" w:rsidRDefault="00000000">
      <w:pPr>
        <w:jc w:val="both"/>
      </w:pPr>
      <w:r>
        <w:t>Position : voir </w:t>
      </w:r>
      <w:r>
        <w:rPr>
          <w:rStyle w:val="optioncarChar"/>
        </w:rPr>
        <w:t>plans / ***</w:t>
      </w:r>
      <w:r>
        <w:t>.</w:t>
      </w:r>
    </w:p>
    <w:p w14:paraId="14AE9379" w14:textId="77777777" w:rsidR="00772179" w:rsidRDefault="00000000">
      <w:pPr>
        <w:jc w:val="both"/>
      </w:pPr>
      <w:r>
        <w:t>Description : </w:t>
      </w:r>
      <w:r>
        <w:rPr>
          <w:rStyle w:val="optioncarChar"/>
        </w:rPr>
        <w:t>***</w:t>
      </w:r>
      <w:r>
        <w:t>.</w:t>
      </w:r>
    </w:p>
    <w:p w14:paraId="085C48F3" w14:textId="77777777" w:rsidR="00772179" w:rsidRDefault="00000000">
      <w:pPr>
        <w:ind w:left="750"/>
      </w:pPr>
      <w:r>
        <w:lastRenderedPageBreak/>
        <w:t> </w:t>
      </w:r>
    </w:p>
    <w:p w14:paraId="57674A66" w14:textId="77777777" w:rsidR="00772179" w:rsidRDefault="00000000">
      <w:pPr>
        <w:pStyle w:val="pheading"/>
      </w:pPr>
      <w:r>
        <w:t>- Finitions</w:t>
      </w:r>
    </w:p>
    <w:p w14:paraId="309E06C5" w14:textId="77777777" w:rsidR="00772179" w:rsidRDefault="00000000">
      <w:pPr>
        <w:jc w:val="both"/>
      </w:pPr>
      <w:r>
        <w:t>Les façades suivantes sont exécutées avec un aspect maçonnerie et sont rejointoyées selon l'article 21.61.1b Joints de maçonnerie apparente : </w:t>
      </w:r>
      <w:r>
        <w:rPr>
          <w:rStyle w:val="optioncarChar"/>
        </w:rPr>
        <w:t>***</w:t>
      </w:r>
      <w:r>
        <w:t>.</w:t>
      </w:r>
    </w:p>
    <w:p w14:paraId="397673A1" w14:textId="77777777" w:rsidR="00772179" w:rsidRDefault="00000000">
      <w:pPr>
        <w:jc w:val="both"/>
      </w:pPr>
      <w:r>
        <w:t xml:space="preserve">Aspect et teinte de la pierre : </w:t>
      </w:r>
      <w:r>
        <w:rPr>
          <w:rStyle w:val="optioncarChar"/>
        </w:rPr>
        <w:t>***</w:t>
      </w:r>
    </w:p>
    <w:p w14:paraId="103ECCF2" w14:textId="77777777" w:rsidR="00772179" w:rsidRDefault="00000000">
      <w:pPr>
        <w:pStyle w:val="pheading"/>
      </w:pPr>
      <w:r>
        <w:t>EXÉCUTION / MISE EN ŒUVRE</w:t>
      </w:r>
    </w:p>
    <w:p w14:paraId="54491124" w14:textId="77777777" w:rsidR="00772179" w:rsidRDefault="00000000">
      <w:pPr>
        <w:pStyle w:val="pheading"/>
      </w:pPr>
      <w:r>
        <w:t>- Prescriptions générales</w:t>
      </w:r>
    </w:p>
    <w:p w14:paraId="122378E2" w14:textId="77777777" w:rsidR="00772179" w:rsidRDefault="00000000">
      <w:pPr>
        <w:jc w:val="both"/>
      </w:pPr>
      <w:r>
        <w:rPr>
          <w:b/>
        </w:rPr>
        <w:t>Support (couche de fixation)</w:t>
      </w:r>
    </w:p>
    <w:p w14:paraId="75E131AB" w14:textId="77777777" w:rsidR="00772179" w:rsidRDefault="00000000">
      <w:pPr>
        <w:jc w:val="both"/>
      </w:pPr>
      <w:r>
        <w:t>Support (couche de fixation) à revêtir : </w:t>
      </w:r>
      <w:r>
        <w:rPr>
          <w:rStyle w:val="optioncarChar"/>
        </w:rPr>
        <w:t>voile en béton / maçonnerie d’éléments / ***.</w:t>
      </w:r>
    </w:p>
    <w:p w14:paraId="5B3B5678" w14:textId="77777777" w:rsidR="00772179" w:rsidRDefault="00000000">
      <w:pPr>
        <w:jc w:val="both"/>
      </w:pPr>
      <w:r>
        <w:t xml:space="preserve"> Type de support : catégorie </w:t>
      </w:r>
      <w:r>
        <w:rPr>
          <w:rStyle w:val="optioncarChar"/>
        </w:rPr>
        <w:t>A / B / C / D / E </w:t>
      </w:r>
      <w:r>
        <w:t>(cfr [EAD 330196-01-0604]).</w:t>
      </w:r>
    </w:p>
    <w:p w14:paraId="0E71226C" w14:textId="77777777" w:rsidR="00772179" w:rsidRDefault="00000000">
      <w:pPr>
        <w:jc w:val="both"/>
      </w:pPr>
      <w:r>
        <w:t xml:space="preserve"> En cas de voile en béton : </w:t>
      </w:r>
      <w:r>
        <w:rPr>
          <w:rStyle w:val="optioncarChar"/>
        </w:rPr>
        <w:t>préfabriqué / coulé sur place</w:t>
      </w:r>
      <w:r>
        <w:t>. Classe de résistance : </w:t>
      </w:r>
      <w:r>
        <w:rPr>
          <w:rStyle w:val="optioncarChar"/>
        </w:rPr>
        <w:t>inconnue </w:t>
      </w:r>
      <w:r>
        <w:t>(par défaut)</w:t>
      </w:r>
      <w:r>
        <w:rPr>
          <w:rStyle w:val="optioncarChar"/>
        </w:rPr>
        <w:t> / ***</w:t>
      </w:r>
      <w:r>
        <w:t>.</w:t>
      </w:r>
    </w:p>
    <w:p w14:paraId="25424122" w14:textId="77777777" w:rsidR="00772179" w:rsidRDefault="00000000">
      <w:pPr>
        <w:jc w:val="both"/>
      </w:pPr>
      <w:r>
        <w:t xml:space="preserve"> En cas de maçonnerie comme support ; nature des éléments de maçonnerie : </w:t>
      </w:r>
      <w:r>
        <w:rPr>
          <w:rStyle w:val="optioncarChar"/>
        </w:rPr>
        <w:t>briques / blocs de béton / blocs de terre cuite / blocs de béton cellulaire</w:t>
      </w:r>
      <w:r>
        <w:t>. Groupe des éléments de maçonnerie (cfr [NBN EN 1996-1-1+A1]) : </w:t>
      </w:r>
      <w:r>
        <w:rPr>
          <w:rStyle w:val="optioncarChar"/>
        </w:rPr>
        <w:t>1 / 1s / 2 / 3 / 4</w:t>
      </w:r>
      <w:r>
        <w:t>.</w:t>
      </w:r>
    </w:p>
    <w:p w14:paraId="79C97C28" w14:textId="77777777" w:rsidR="00772179" w:rsidRDefault="00000000">
      <w:pPr>
        <w:jc w:val="both"/>
      </w:pPr>
      <w:r>
        <w:t xml:space="preserve"> Conformité des éléments de maçonnerie à une norme et un PTV : </w:t>
      </w:r>
      <w:r>
        <w:rPr>
          <w:rStyle w:val="optioncarChar"/>
        </w:rPr>
        <w:t>oui / non / inconnu</w:t>
      </w:r>
      <w:r>
        <w:t>.</w:t>
      </w:r>
    </w:p>
    <w:p w14:paraId="41ACFD52" w14:textId="77777777" w:rsidR="00772179" w:rsidRDefault="00000000">
      <w:pPr>
        <w:jc w:val="both"/>
      </w:pPr>
      <w:r>
        <w:t xml:space="preserve"> En cas de construction en bois (ossature bois par exemple), nature des panneaux support : </w:t>
      </w:r>
      <w:r>
        <w:rPr>
          <w:rStyle w:val="optioncarChar"/>
        </w:rPr>
        <w:t>panneaux de fibres-ciment / panneaux d’OSB de classe ≥ 3</w:t>
      </w:r>
      <w:r>
        <w:t>.  </w:t>
      </w:r>
    </w:p>
    <w:p w14:paraId="247F171F" w14:textId="77777777" w:rsidR="00772179" w:rsidRDefault="00000000">
      <w:pPr>
        <w:jc w:val="both"/>
      </w:pPr>
      <w:r>
        <w:t xml:space="preserve"> 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3AA6BC0E" w14:textId="77777777" w:rsidR="00772179" w:rsidRDefault="00000000">
      <w:pPr>
        <w:jc w:val="both"/>
      </w:pPr>
      <w:r>
        <w:rPr>
          <w:b/>
        </w:rPr>
        <w:t>Panneaux préfabriqués isolant + revêtement en pierre naturelle</w:t>
      </w:r>
    </w:p>
    <w:p w14:paraId="29893CFB" w14:textId="77777777" w:rsidR="00772179" w:rsidRDefault="00000000">
      <w:pPr>
        <w:jc w:val="both"/>
      </w:pPr>
      <w:r>
        <w:t>Afin d’obtenir une couche d’isolation continue, les panneaux sont posés jointifs à joints alternés et un harpage est réalisé dans les angles. Les joints entre panneaux ne coïncident pas avec une zone de concentration de contraintes (angle de baie par exemple).</w:t>
      </w:r>
    </w:p>
    <w:p w14:paraId="10F51F23" w14:textId="77777777" w:rsidR="00772179" w:rsidRDefault="00000000">
      <w:pPr>
        <w:jc w:val="both"/>
      </w:pPr>
      <w:r>
        <w:t xml:space="preserve"> Le nombre et la position des fixations mécaniques (cfr résistance au vent) suivent un calepinage soumis à l’auteur de projet pour approbation.</w:t>
      </w:r>
    </w:p>
    <w:p w14:paraId="26B82CCD" w14:textId="77777777" w:rsidR="00772179" w:rsidRDefault="00000000">
      <w:pPr>
        <w:jc w:val="both"/>
      </w:pPr>
      <w:r>
        <w:t xml:space="preserve"> Joints de dilatation : </w:t>
      </w:r>
      <w:r>
        <w:rPr>
          <w:rStyle w:val="optioncarChar"/>
        </w:rPr>
        <w:t>***</w:t>
      </w:r>
      <w:r>
        <w:t> (voir recommandations spécifiques dans la documentation technique accompagnant le système).</w:t>
      </w:r>
    </w:p>
    <w:p w14:paraId="029B78F6" w14:textId="77777777" w:rsidR="00772179" w:rsidRDefault="00000000">
      <w:pPr>
        <w:pStyle w:val="pheading"/>
      </w:pPr>
      <w:r>
        <w:t>- Échantillons</w:t>
      </w:r>
    </w:p>
    <w:p w14:paraId="217C2998" w14:textId="77777777" w:rsidR="00772179" w:rsidRDefault="00000000">
      <w:pPr>
        <w:jc w:val="both"/>
      </w:pPr>
      <w:r>
        <w:t>Afin de déterminer le choix définitif des pierres, un ou plusieurs </w:t>
      </w:r>
      <w:r>
        <w:rPr>
          <w:u w:val="single"/>
        </w:rPr>
        <w:t>échantillons de +/- 1 m²</w:t>
      </w:r>
      <w:r>
        <w:t> (avec un maximum de </w:t>
      </w:r>
      <w:r>
        <w:rPr>
          <w:rStyle w:val="optioncarChar"/>
        </w:rPr>
        <w:t>2 </w:t>
      </w:r>
      <w:r>
        <w:t>(par défaut) </w:t>
      </w:r>
      <w:r>
        <w:rPr>
          <w:rStyle w:val="optioncarChar"/>
        </w:rPr>
        <w:t>/ 3 / 5 / ***</w:t>
      </w:r>
      <w:r>
        <w:t xml:space="preserve"> échantillons à réaliser au total) sont présentés pour approbation à l'auteur de projet. </w:t>
      </w:r>
    </w:p>
    <w:p w14:paraId="335476DA" w14:textId="77777777" w:rsidR="00772179" w:rsidRDefault="00000000">
      <w:pPr>
        <w:jc w:val="both"/>
      </w:pPr>
      <w:r>
        <w:t xml:space="preserve"> La couleur du mastic d’étanchéité est soumise à l’approbation de l’auteur de projet en réalisant un essai d’application sur un mètre de longueur.</w:t>
      </w:r>
    </w:p>
    <w:p w14:paraId="4A605060" w14:textId="77777777" w:rsidR="00772179" w:rsidRDefault="00000000">
      <w:pPr>
        <w:jc w:val="both"/>
      </w:pPr>
      <w:r>
        <w:t xml:space="preserve"> La couleur du produit de joints de mouvement est soumise à l’approbation de l’auteur de projet en réalisant un essai d’application sur un mètre de longueur.</w:t>
      </w:r>
    </w:p>
    <w:p w14:paraId="6BF86224" w14:textId="77777777" w:rsidR="00772179" w:rsidRDefault="00000000">
      <w:pPr>
        <w:jc w:val="both"/>
      </w:pPr>
      <w:r>
        <w:t xml:space="preserve"> Le modèle de profilé est proposé pour approbation à l’auteur de projet.</w:t>
      </w:r>
    </w:p>
    <w:p w14:paraId="32D9F52B" w14:textId="77777777" w:rsidR="00772179" w:rsidRDefault="00000000">
      <w:pPr>
        <w:pStyle w:val="pheading"/>
      </w:pPr>
      <w:r>
        <w:t>CONTRÔLES PARTICULIERS</w:t>
      </w:r>
    </w:p>
    <w:p w14:paraId="6E9F3049" w14:textId="77777777" w:rsidR="00772179" w:rsidRDefault="00000000">
      <w:pPr>
        <w:jc w:val="both"/>
      </w:pPr>
      <w:r>
        <w:rPr>
          <w:b/>
        </w:rPr>
        <w:t>Contrôle du support (couche de fixation) avant mise en œuvre</w:t>
      </w:r>
    </w:p>
    <w:p w14:paraId="6C0C4D2A" w14:textId="77777777" w:rsidR="00772179" w:rsidRDefault="00000000">
      <w:pPr>
        <w:jc w:val="both"/>
      </w:pPr>
      <w:r>
        <w:t>Contrôle de la présence d’une finition sur le support : </w:t>
      </w:r>
      <w:r>
        <w:rPr>
          <w:rStyle w:val="optioncarChar"/>
        </w:rPr>
        <w:t>rien / peinture / traitement de surface répulsif à l’eau / enduit / produit de décoffrage / ***</w:t>
      </w:r>
      <w:r>
        <w:t>.</w:t>
      </w:r>
    </w:p>
    <w:p w14:paraId="2EF92CC9" w14:textId="77777777" w:rsidR="00772179" w:rsidRDefault="00000000">
      <w:pPr>
        <w:jc w:val="both"/>
      </w:pPr>
      <w:r>
        <w:lastRenderedPageBreak/>
        <w:t xml:space="preserve"> Eventuelle réalisation (à charge </w:t>
      </w:r>
      <w:r>
        <w:rPr>
          <w:rStyle w:val="optioncarChar"/>
        </w:rPr>
        <w:t>du maître d’ouvrage / de l’entrepreneur</w:t>
      </w:r>
      <w:r>
        <w:t xml:space="preserve">) d’une évaluation mécanique de contrôle de l’adhérence d’une couche d’enduit existante :  </w:t>
      </w:r>
      <w:r>
        <w:rPr>
          <w:rStyle w:val="optioncarChar"/>
        </w:rPr>
        <w:t>non</w:t>
      </w:r>
      <w:r>
        <w:t> (par défaut)</w:t>
      </w:r>
      <w:r>
        <w:rPr>
          <w:rStyle w:val="optioncarChar"/>
        </w:rPr>
        <w:t xml:space="preserve"> / oui</w:t>
      </w:r>
    </w:p>
    <w:p w14:paraId="2837DD7C" w14:textId="77777777" w:rsidR="00772179" w:rsidRDefault="00000000">
      <w:pPr>
        <w:pStyle w:val="pheading"/>
      </w:pPr>
      <w:r>
        <w:t>MESURAGE</w:t>
      </w:r>
    </w:p>
    <w:p w14:paraId="023895F3" w14:textId="77777777" w:rsidR="00772179" w:rsidRDefault="00000000">
      <w:pPr>
        <w:pStyle w:val="pheading"/>
      </w:pPr>
      <w:r>
        <w:t>- unité de mesure:</w:t>
      </w:r>
    </w:p>
    <w:p w14:paraId="4FDD2BB8" w14:textId="77777777" w:rsidR="00772179" w:rsidRDefault="00000000">
      <w:r>
        <w:t>m² ; m</w:t>
      </w:r>
    </w:p>
    <w:p w14:paraId="72E324A2" w14:textId="77777777" w:rsidR="00772179" w:rsidRDefault="00000000">
      <w:pPr>
        <w:pStyle w:val="pheading"/>
      </w:pPr>
      <w:r>
        <w:t>- code de mesurage:</w:t>
      </w:r>
    </w:p>
    <w:p w14:paraId="0F015630" w14:textId="77777777" w:rsidR="00772179" w:rsidRDefault="00000000">
      <w:pPr>
        <w:jc w:val="both"/>
      </w:pPr>
      <w:r>
        <w:rPr>
          <w:b/>
        </w:rPr>
        <w:t>Surface nette</w:t>
      </w:r>
      <w:r>
        <w:t> du système à poser (mesurée dans le plan extérieur des pierres). Les ouvertures et les interruptions ≥ 0,50 m² sont déduites. Les retours sont comptés.</w:t>
      </w:r>
    </w:p>
    <w:p w14:paraId="41542250" w14:textId="77777777" w:rsidR="00772179" w:rsidRDefault="00000000">
      <w:pPr>
        <w:jc w:val="both"/>
      </w:pPr>
      <w:r>
        <w:t xml:space="preserve"> Distinction faite suivant le type de système.</w:t>
      </w:r>
    </w:p>
    <w:p w14:paraId="53B53DB7" w14:textId="77777777" w:rsidR="00772179" w:rsidRDefault="00000000">
      <w:pPr>
        <w:jc w:val="both"/>
      </w:pPr>
      <w:r>
        <w:rPr>
          <w:b/>
        </w:rPr>
        <w:t>Longueur nette</w:t>
      </w:r>
      <w:r>
        <w:t> des profilés à poser. Distinction faite selon le modèle de profilé.</w:t>
      </w:r>
    </w:p>
    <w:p w14:paraId="6B0D6979" w14:textId="77777777" w:rsidR="00772179" w:rsidRDefault="00000000">
      <w:pPr>
        <w:pStyle w:val="pheading"/>
      </w:pPr>
      <w:r>
        <w:t>- nature du marché:</w:t>
      </w:r>
    </w:p>
    <w:p w14:paraId="7C94388C" w14:textId="77777777" w:rsidR="00772179" w:rsidRDefault="00000000">
      <w:r>
        <w:t>QF</w:t>
      </w:r>
    </w:p>
    <w:p w14:paraId="5D4A3AC9" w14:textId="77777777" w:rsidR="00772179" w:rsidRDefault="00000000">
      <w:pPr>
        <w:pStyle w:val="Author-eSectionHeading6Numberless"/>
      </w:pPr>
      <w:bookmarkStart w:id="819" w:name="_Toc220490492"/>
      <w:r>
        <w:t>43.35.2b Revêtements de façades rigides collés – système « isolant + pierre naturelle » - assemblé sur place CCTB 01.11</w:t>
      </w:r>
      <w:bookmarkEnd w:id="819"/>
    </w:p>
    <w:p w14:paraId="03BE0877" w14:textId="77777777" w:rsidR="00772179" w:rsidRDefault="00000000">
      <w:pPr>
        <w:pStyle w:val="pheading"/>
      </w:pPr>
      <w:bookmarkStart w:id="820" w:name="1020"/>
      <w:bookmarkEnd w:id="820"/>
      <w:r>
        <w:t>DESCRIPTION</w:t>
      </w:r>
    </w:p>
    <w:p w14:paraId="2C576FBC" w14:textId="77777777" w:rsidR="00772179" w:rsidRDefault="00000000">
      <w:pPr>
        <w:pStyle w:val="pheading"/>
      </w:pPr>
      <w:r>
        <w:t>- Définition / Comprend</w:t>
      </w:r>
    </w:p>
    <w:p w14:paraId="3166431C" w14:textId="77777777" w:rsidR="00772179" w:rsidRDefault="00000000">
      <w:pPr>
        <w:jc w:val="both"/>
      </w:pPr>
      <w:r>
        <w:t>Il s’agit de la fourniture et de la pose d’un système de plaquettes ou dalles en pierre naturelle collées sur isolation extérieure, assemblées sur place, pour une application en façade (ETICS avec revêtement dur en pierre naturelle). Les panneaux d’isolation sont recouverts d’un enduit de base renforcé (assurant l’étanchéité à l’eau) ou non (la couche d’isolation assure l’étanchéité à l’eau).</w:t>
      </w:r>
    </w:p>
    <w:p w14:paraId="3B294B69" w14:textId="77777777" w:rsidR="00772179" w:rsidRDefault="00000000">
      <w:pPr>
        <w:jc w:val="both"/>
      </w:pPr>
      <w:r>
        <w:t xml:space="preserve">La portée des travaux est décrite au </w:t>
      </w:r>
      <w:hyperlink w:anchor="1018" w:history="1">
        <w:r>
          <w:rPr>
            <w:color w:val="0000EE"/>
          </w:rPr>
          <w:t>43.35.2 Revêtements de façades rigides collés – système « isolant + pierre naturelle »</w:t>
        </w:r>
      </w:hyperlink>
      <w:r>
        <w:t>.</w:t>
      </w:r>
    </w:p>
    <w:p w14:paraId="3A3EC480" w14:textId="77777777" w:rsidR="00772179" w:rsidRDefault="00000000">
      <w:pPr>
        <w:pStyle w:val="pheading"/>
      </w:pPr>
      <w:r>
        <w:t>MATÉRIAUX</w:t>
      </w:r>
    </w:p>
    <w:p w14:paraId="150535AC" w14:textId="77777777" w:rsidR="00772179" w:rsidRDefault="00000000">
      <w:pPr>
        <w:pStyle w:val="pheading"/>
      </w:pPr>
      <w:r>
        <w:t>- Caractéristiques générales</w:t>
      </w:r>
    </w:p>
    <w:p w14:paraId="03E8D2CB" w14:textId="77777777" w:rsidR="00772179" w:rsidRDefault="00000000">
      <w:pPr>
        <w:pStyle w:val="Author-eListParagraph"/>
        <w:numPr>
          <w:ilvl w:val="0"/>
          <w:numId w:val="1066"/>
        </w:numPr>
      </w:pPr>
      <w:r>
        <w:t>Classe de climat intérieur (cfr [Buildwise Pathologie Infofiche 11]) : classe </w:t>
      </w:r>
      <w:r>
        <w:rPr>
          <w:rStyle w:val="optioncarChar"/>
        </w:rPr>
        <w:t>I / II / III / IV</w:t>
      </w:r>
      <w:r>
        <w:t>.</w:t>
      </w:r>
    </w:p>
    <w:p w14:paraId="15EB57EB" w14:textId="77777777" w:rsidR="00772179" w:rsidRDefault="00000000">
      <w:pPr>
        <w:pStyle w:val="Author-eListParagraph"/>
        <w:numPr>
          <w:ilvl w:val="0"/>
          <w:numId w:val="1066"/>
        </w:numPr>
      </w:pPr>
      <w:r>
        <w:t>Etanchéité à l’air de la paroi support (cfr [NIT 255]) : Classe </w:t>
      </w:r>
      <w:r>
        <w:rPr>
          <w:rStyle w:val="optioncarChar"/>
        </w:rPr>
        <w:t>L0 / L1 / L2</w:t>
      </w:r>
      <w:r>
        <w:t>.</w:t>
      </w:r>
    </w:p>
    <w:p w14:paraId="00987F42" w14:textId="77777777" w:rsidR="00772179" w:rsidRDefault="00000000">
      <w:pPr>
        <w:pStyle w:val="Author-eListParagraph"/>
        <w:numPr>
          <w:ilvl w:val="0"/>
          <w:numId w:val="1066"/>
        </w:numPr>
      </w:pPr>
      <w:r>
        <w:t>Les travaux concernent : </w:t>
      </w:r>
      <w:r>
        <w:rPr>
          <w:rStyle w:val="optioncarChar"/>
        </w:rPr>
        <w:t>la façade courante (hors zone de plinthe)</w:t>
      </w:r>
      <w:r>
        <w:t> (par défaut)</w:t>
      </w:r>
      <w:r>
        <w:rPr>
          <w:rStyle w:val="optioncarChar"/>
        </w:rPr>
        <w:t> / la zone de plinthe / la zone de plinthe et la façade courante</w:t>
      </w:r>
      <w:r>
        <w:t>. </w:t>
      </w:r>
    </w:p>
    <w:p w14:paraId="7556B2E2" w14:textId="77777777" w:rsidR="00772179" w:rsidRDefault="00000000">
      <w:pPr>
        <w:pStyle w:val="Author-eListParagraph"/>
        <w:numPr>
          <w:ilvl w:val="0"/>
          <w:numId w:val="1066"/>
        </w:numPr>
      </w:pPr>
      <w:r>
        <w:t>Niveaux inférieur et supérieur à traiter : voir plans et métrés détaillés.</w:t>
      </w:r>
    </w:p>
    <w:p w14:paraId="1A1972E1" w14:textId="77777777" w:rsidR="00772179" w:rsidRDefault="00000000">
      <w:pPr>
        <w:pStyle w:val="Author-eListParagraph"/>
        <w:numPr>
          <w:ilvl w:val="0"/>
          <w:numId w:val="1066"/>
        </w:numPr>
      </w:pPr>
      <w:r>
        <w:t xml:space="preserve"> Aspect : </w:t>
      </w:r>
      <w:r>
        <w:rPr>
          <w:rStyle w:val="optioncarChar"/>
        </w:rPr>
        <w:t xml:space="preserve">maçonnerie </w:t>
      </w:r>
      <w:r>
        <w:t xml:space="preserve">(par défaut) </w:t>
      </w:r>
      <w:r>
        <w:rPr>
          <w:rStyle w:val="optioncarChar"/>
        </w:rPr>
        <w:t>/ carrelage</w:t>
      </w:r>
    </w:p>
    <w:p w14:paraId="5D58DA9B" w14:textId="77777777" w:rsidR="00772179" w:rsidRDefault="00000000">
      <w:pPr>
        <w:jc w:val="both"/>
      </w:pPr>
      <w:r>
        <w:t>Le système et ses composants répondent aux spécifications décrites dans la [NIT 279].</w:t>
      </w:r>
    </w:p>
    <w:p w14:paraId="34C76758" w14:textId="77777777" w:rsidR="00772179" w:rsidRDefault="00000000">
      <w:pPr>
        <w:jc w:val="both"/>
      </w:pPr>
      <w:r>
        <w:rPr>
          <w:b/>
        </w:rPr>
        <w:t>Système</w:t>
      </w:r>
    </w:p>
    <w:p w14:paraId="60D4582F" w14:textId="77777777" w:rsidR="00772179" w:rsidRDefault="00000000">
      <w:pPr>
        <w:jc w:val="both"/>
      </w:pPr>
      <w:r>
        <w:t>Type de système, à transmettre au maître d’ouvrage  : </w:t>
      </w:r>
      <w:r>
        <w:rPr>
          <w:rStyle w:val="optioncarChar"/>
        </w:rPr>
        <w:t>au choix de l’entrepreneur soumis à l’approbation de l’auteur de projet </w:t>
      </w:r>
      <w:r>
        <w:t>(par défaut)</w:t>
      </w:r>
      <w:r>
        <w:rPr>
          <w:rStyle w:val="optioncarChar"/>
        </w:rPr>
        <w:t> / système collé (≥ 60 % de la surface) avec fixations mécaniques / système fixé mécaniquement avec encollage (≥ 60 % de la surface)</w:t>
      </w:r>
      <w:r>
        <w:t>.</w:t>
      </w:r>
    </w:p>
    <w:p w14:paraId="4D47EC46" w14:textId="77777777" w:rsidR="00772179" w:rsidRDefault="00000000">
      <w:pPr>
        <w:jc w:val="both"/>
      </w:pPr>
      <w:r>
        <w:t>Présence d’un enduit de base renforcé : </w:t>
      </w:r>
      <w:r>
        <w:rPr>
          <w:rStyle w:val="optioncarChar"/>
        </w:rPr>
        <w:t>au choix de l’entrepreneur soumis à approbation de l’auteur de projet </w:t>
      </w:r>
      <w:r>
        <w:t>(par défaut)</w:t>
      </w:r>
      <w:r>
        <w:rPr>
          <w:rStyle w:val="optioncarChar"/>
        </w:rPr>
        <w:t> / avec enduit de base renforcé / sans enduit de base renforcé</w:t>
      </w:r>
      <w:r>
        <w:t>.</w:t>
      </w:r>
    </w:p>
    <w:p w14:paraId="5B40142B" w14:textId="77777777" w:rsidR="00772179" w:rsidRDefault="00000000">
      <w:pPr>
        <w:jc w:val="both"/>
      </w:pPr>
      <w:r>
        <w:t>Epaisseur totale maximale du système rapporté : ≤ </w:t>
      </w:r>
      <w:r>
        <w:rPr>
          <w:rStyle w:val="optioncarChar"/>
        </w:rPr>
        <w:t>***</w:t>
      </w:r>
      <w:r>
        <w:t> cm</w:t>
      </w:r>
    </w:p>
    <w:p w14:paraId="44528E30" w14:textId="77777777" w:rsidR="00772179" w:rsidRDefault="00000000">
      <w:pPr>
        <w:jc w:val="both"/>
      </w:pPr>
      <w:r>
        <w:t>Masse surfacique maximale du système rapporté : ≤ </w:t>
      </w:r>
      <w:r>
        <w:rPr>
          <w:rStyle w:val="optioncarChar"/>
        </w:rPr>
        <w:t>***</w:t>
      </w:r>
      <w:r>
        <w:t> kg/m²</w:t>
      </w:r>
    </w:p>
    <w:p w14:paraId="2E2595BD" w14:textId="77777777" w:rsidR="00772179" w:rsidRDefault="00000000">
      <w:pPr>
        <w:jc w:val="both"/>
      </w:pPr>
      <w:r>
        <w:t>Pression d’étanchéité à la pluie requise suivant [NIT 279] : ≥ </w:t>
      </w:r>
      <w:r>
        <w:rPr>
          <w:rStyle w:val="optioncarChar"/>
        </w:rPr>
        <w:t>600 / 900 / ***</w:t>
      </w:r>
      <w:r>
        <w:t> Pa</w:t>
      </w:r>
    </w:p>
    <w:p w14:paraId="72EE4661" w14:textId="77777777" w:rsidR="00772179" w:rsidRDefault="00000000">
      <w:pPr>
        <w:jc w:val="both"/>
      </w:pPr>
      <w:r>
        <w:t>Résistance aux chocs requise suivant [NIT 279] : catégorie d’utilisation </w:t>
      </w:r>
      <w:r>
        <w:rPr>
          <w:rStyle w:val="optioncarChar"/>
        </w:rPr>
        <w:t>I / II / III / IV</w:t>
      </w:r>
      <w:r>
        <w:t>.</w:t>
      </w:r>
    </w:p>
    <w:p w14:paraId="3A0EE575" w14:textId="77777777" w:rsidR="00772179" w:rsidRDefault="00000000">
      <w:pPr>
        <w:jc w:val="both"/>
      </w:pPr>
      <w:r>
        <w:t>Indice d’affaiblissement acoustique pondéré R</w:t>
      </w:r>
      <w:r>
        <w:rPr>
          <w:vertAlign w:val="subscript"/>
        </w:rPr>
        <w:t>Atr</w:t>
      </w:r>
      <w:r>
        <w:t> : </w:t>
      </w:r>
      <w:r>
        <w:rPr>
          <w:rStyle w:val="optioncarChar"/>
        </w:rPr>
        <w:t>≥ *** db / non spécifié</w:t>
      </w:r>
      <w:r>
        <w:t> </w:t>
      </w:r>
    </w:p>
    <w:p w14:paraId="68859AD5" w14:textId="77777777" w:rsidR="00772179" w:rsidRDefault="00000000">
      <w:pPr>
        <w:jc w:val="both"/>
      </w:pPr>
      <w:r>
        <w:lastRenderedPageBreak/>
        <w:t>Réaction au feu du système : </w:t>
      </w:r>
      <w:r>
        <w:rPr>
          <w:rStyle w:val="optioncarChar"/>
        </w:rPr>
        <w:t>A1 / A2 / B / C / D / E / F</w:t>
      </w:r>
    </w:p>
    <w:p w14:paraId="6891DBB5" w14:textId="77777777" w:rsidR="00772179" w:rsidRDefault="00000000">
      <w:pPr>
        <w:jc w:val="both"/>
      </w:pPr>
      <w:r>
        <w:t>Etude action du vent : à charge de </w:t>
      </w:r>
      <w:r>
        <w:rPr>
          <w:rStyle w:val="optioncarChar"/>
        </w:rPr>
        <w:t>l’auteur de projet </w:t>
      </w:r>
      <w:r>
        <w:t>(par défaut)</w:t>
      </w:r>
      <w:r>
        <w:rPr>
          <w:rStyle w:val="optioncarChar"/>
        </w:rPr>
        <w:t> / l’entrepreneur</w:t>
      </w:r>
    </w:p>
    <w:p w14:paraId="3EA69209" w14:textId="77777777" w:rsidR="00772179" w:rsidRDefault="00000000">
      <w:pPr>
        <w:jc w:val="both"/>
      </w:pPr>
      <w:r>
        <w:t>Longueur de chacune des zones de bord (cfr action du vent) : </w:t>
      </w:r>
      <w:r>
        <w:rPr>
          <w:rStyle w:val="optioncarChar"/>
        </w:rPr>
        <w:t>*** m / non spécifié</w:t>
      </w:r>
    </w:p>
    <w:p w14:paraId="173D3099" w14:textId="77777777" w:rsidR="00772179" w:rsidRDefault="00000000">
      <w:pPr>
        <w:jc w:val="both"/>
      </w:pPr>
      <w:r>
        <w:t>Longueur de l’éventuelle zone centrale (cfr action du vent) : </w:t>
      </w:r>
      <w:r>
        <w:rPr>
          <w:rStyle w:val="optioncarChar"/>
        </w:rPr>
        <w:t>*** m / non spécifié</w:t>
      </w:r>
    </w:p>
    <w:p w14:paraId="217E2271" w14:textId="77777777" w:rsidR="00772179" w:rsidRDefault="00000000">
      <w:pPr>
        <w:jc w:val="both"/>
      </w:pPr>
      <w:r>
        <w:t>Valeur de calcul de l’action du vent en zone centrale (cfr [NBN EN 1991-1-4 ANB]) : </w:t>
      </w:r>
      <w:r>
        <w:rPr>
          <w:rStyle w:val="optioncarChar"/>
        </w:rPr>
        <w:t>*** Pa / non spécifié.</w:t>
      </w:r>
      <w:r>
        <w:t> </w:t>
      </w:r>
    </w:p>
    <w:p w14:paraId="7EFC201D" w14:textId="77777777" w:rsidR="00772179" w:rsidRDefault="00000000">
      <w:pPr>
        <w:jc w:val="both"/>
      </w:pPr>
      <w:r>
        <w:t>Valeur de calcul de l’action du vent en zone de bord (cfr [NBN EN 1991-1-4 ANB]) : </w:t>
      </w:r>
      <w:r>
        <w:rPr>
          <w:rStyle w:val="optioncarChar"/>
        </w:rPr>
        <w:t>*** Pa / non spécifié. </w:t>
      </w:r>
    </w:p>
    <w:p w14:paraId="2968FB49" w14:textId="77777777" w:rsidR="00772179" w:rsidRDefault="00000000">
      <w:pPr>
        <w:jc w:val="both"/>
      </w:pPr>
      <w:r>
        <w:t>Etude thermique : à charge de </w:t>
      </w:r>
      <w:r>
        <w:rPr>
          <w:rStyle w:val="optioncarChar"/>
        </w:rPr>
        <w:t>l’auteur de projet</w:t>
      </w:r>
      <w:r>
        <w:t> (par défaut) </w:t>
      </w:r>
      <w:r>
        <w:rPr>
          <w:rStyle w:val="optioncarChar"/>
        </w:rPr>
        <w:t>/ l’entrepreneur</w:t>
      </w:r>
    </w:p>
    <w:p w14:paraId="3B7CF803" w14:textId="77777777" w:rsidR="00772179" w:rsidRDefault="00000000">
      <w:pPr>
        <w:jc w:val="both"/>
      </w:pPr>
      <w:r>
        <w:t>L’utilisation de chevilles à rosace pour la fixation influence la résistance thermique est à considérer dans les calculs PEB.</w:t>
      </w:r>
    </w:p>
    <w:p w14:paraId="4443526C" w14:textId="77777777" w:rsidR="00772179" w:rsidRDefault="00000000">
      <w:pPr>
        <w:jc w:val="both"/>
      </w:pPr>
      <w:r>
        <w:t>Valeur du coefficient de déperdition thermique U à ne pas dépasser pour la paroi complète suivant réglementation régionale : </w:t>
      </w:r>
      <w:r>
        <w:rPr>
          <w:rStyle w:val="optioncarChar"/>
        </w:rPr>
        <w:t>≤</w:t>
      </w:r>
      <w:r>
        <w:t> </w:t>
      </w:r>
      <w:r>
        <w:rPr>
          <w:rStyle w:val="optioncarChar"/>
        </w:rPr>
        <w:t>*** W/m²K / non spécifié </w:t>
      </w:r>
    </w:p>
    <w:p w14:paraId="65BDD013" w14:textId="77777777" w:rsidR="00772179" w:rsidRDefault="00000000">
      <w:pPr>
        <w:jc w:val="both"/>
      </w:pPr>
      <w:r>
        <w:t>Valeur de la résistance thermique RETICS à atteindre par le système : </w:t>
      </w:r>
      <w:r>
        <w:rPr>
          <w:rStyle w:val="optioncarChar"/>
        </w:rPr>
        <w:t>≥ *** m²K/W / non spécifié </w:t>
      </w:r>
    </w:p>
    <w:p w14:paraId="3DE456BF" w14:textId="77777777" w:rsidR="00772179" w:rsidRDefault="00000000">
      <w:pPr>
        <w:jc w:val="both"/>
      </w:pPr>
      <w:r>
        <w:rPr>
          <w:color w:val="000000"/>
        </w:rPr>
        <w:t>L’utilisation de chevilles à rosace pour la fixation influence la résistance thermique ; à considérer dans les calculs PEB.</w:t>
      </w:r>
    </w:p>
    <w:p w14:paraId="7BE0C229" w14:textId="77777777" w:rsidR="00772179" w:rsidRDefault="00000000">
      <w:pPr>
        <w:jc w:val="both"/>
      </w:pPr>
      <w:r>
        <w:t>Nœuds constructifs : voir détails d’exécution dans les plans détaillés ou dans la [NIT 279]. Les nœuds constructifs sont conçus et réalisés de telle manière qu’ils ne provoquent pas de condensation superficielle. Les nœuds PEB-conformes sont réputés satisfaire à cette exigence (voir annexe B2 de l'[AGW 2014-05-15 PEB]).</w:t>
      </w:r>
    </w:p>
    <w:p w14:paraId="7885AADC" w14:textId="77777777" w:rsidR="00772179" w:rsidRDefault="00000000">
      <w:pPr>
        <w:jc w:val="both"/>
      </w:pPr>
      <w:r>
        <w:t>Etude hygrothermique : à charge de </w:t>
      </w:r>
      <w:r>
        <w:rPr>
          <w:rStyle w:val="optioncarChar"/>
        </w:rPr>
        <w:t>l’auteur de projet </w:t>
      </w:r>
      <w:r>
        <w:t>(par défaut)</w:t>
      </w:r>
      <w:r>
        <w:rPr>
          <w:rStyle w:val="optioncarChar"/>
        </w:rPr>
        <w:t> / l’entrepreneur</w:t>
      </w:r>
    </w:p>
    <w:p w14:paraId="3AF89F73" w14:textId="77777777" w:rsidR="00772179" w:rsidRDefault="00000000">
      <w:pPr>
        <w:jc w:val="both"/>
      </w:pPr>
      <w:r>
        <w:t>Valeur s</w:t>
      </w:r>
      <w:r>
        <w:rPr>
          <w:vertAlign w:val="subscript"/>
        </w:rPr>
        <w:t>d</w:t>
      </w:r>
      <w:r>
        <w:t> du parachèvement suivant [NIT 279]  :</w:t>
      </w:r>
      <w:r>
        <w:rPr>
          <w:rStyle w:val="optioncarChar"/>
        </w:rPr>
        <w:t> ≤ *** m / non spécifié </w:t>
      </w:r>
    </w:p>
    <w:p w14:paraId="6F09DD69" w14:textId="77777777" w:rsidR="00772179" w:rsidRDefault="00000000">
      <w:pPr>
        <w:jc w:val="both"/>
      </w:pPr>
      <w:r>
        <w:t>Valeur s</w:t>
      </w:r>
      <w:r>
        <w:rPr>
          <w:vertAlign w:val="subscript"/>
        </w:rPr>
        <w:t>d</w:t>
      </w:r>
      <w:r>
        <w:t> de l’isolant suivant [NIT 279]  : </w:t>
      </w:r>
      <w:r>
        <w:rPr>
          <w:rStyle w:val="optioncarChar"/>
        </w:rPr>
        <w:t>≤ *** m / non spécifié</w:t>
      </w:r>
    </w:p>
    <w:p w14:paraId="687FEECB" w14:textId="77777777" w:rsidR="00772179" w:rsidRDefault="00000000">
      <w:pPr>
        <w:jc w:val="both"/>
      </w:pPr>
      <w:r>
        <w:t>La documentation technique accompagnant le système indique la configuration et les mesures pour atteindre les performances visées.</w:t>
      </w:r>
    </w:p>
    <w:p w14:paraId="0EF8C016" w14:textId="77777777" w:rsidR="00772179" w:rsidRDefault="00000000">
      <w:pPr>
        <w:jc w:val="both"/>
      </w:pPr>
      <w:r>
        <w:rPr>
          <w:b/>
        </w:rPr>
        <w:t>Panneaux d’isolation</w:t>
      </w:r>
    </w:p>
    <w:p w14:paraId="77EDB367" w14:textId="77777777" w:rsidR="00772179" w:rsidRDefault="00000000">
      <w:pPr>
        <w:jc w:val="both"/>
      </w:pPr>
      <w:r>
        <w:t>Systèmes sans enduit de base renforcé – Nature de l’isolant :</w:t>
      </w:r>
      <w:r>
        <w:rPr>
          <w:rStyle w:val="optioncarChar"/>
        </w:rPr>
        <w:t> EPS Haute Densité / XPS / *** </w:t>
      </w:r>
    </w:p>
    <w:p w14:paraId="75086516" w14:textId="77777777" w:rsidR="00772179" w:rsidRDefault="00000000">
      <w:pPr>
        <w:jc w:val="both"/>
      </w:pPr>
      <w:r>
        <w:t>Systèmes avec enduit de base renforcé – Nature de l’isolant : </w:t>
      </w:r>
      <w:r>
        <w:rPr>
          <w:rStyle w:val="optioncarChar"/>
        </w:rPr>
        <w:t>EPS / *** </w:t>
      </w:r>
    </w:p>
    <w:p w14:paraId="5E1AE1C5" w14:textId="77777777" w:rsidR="00772179" w:rsidRDefault="00000000">
      <w:pPr>
        <w:jc w:val="both"/>
      </w:pPr>
      <w:r>
        <w:t>Epaisseur : </w:t>
      </w:r>
      <w:r>
        <w:rPr>
          <w:rStyle w:val="optioncarChar"/>
        </w:rPr>
        <w:t>10 / 12 / 14 / 16 / 18 / selon calcul thermique (PEB) / non spécifié / ***</w:t>
      </w:r>
      <w:r>
        <w:t> cm.</w:t>
      </w:r>
    </w:p>
    <w:p w14:paraId="4854283E" w14:textId="77777777" w:rsidR="00772179" w:rsidRDefault="00000000">
      <w:pPr>
        <w:jc w:val="both"/>
      </w:pPr>
      <w:r>
        <w:t>Conductivité thermique déclarée : ≤ </w:t>
      </w:r>
      <w:r>
        <w:rPr>
          <w:rStyle w:val="optioncarChar"/>
        </w:rPr>
        <w:t>0,04 / 0,035 / 0,032 / ***</w:t>
      </w:r>
      <w:r>
        <w:t> W/mK</w:t>
      </w:r>
    </w:p>
    <w:p w14:paraId="5F98BF05" w14:textId="77777777" w:rsidR="00772179" w:rsidRDefault="00000000">
      <w:pPr>
        <w:jc w:val="both"/>
      </w:pPr>
      <w:r>
        <w:rPr>
          <w:b/>
        </w:rPr>
        <w:t>Pierre naturelle (cfr [NBN EN 12057] ou [NBN EN 1469] et [NIT 228])</w:t>
      </w:r>
    </w:p>
    <w:p w14:paraId="01E4FD42" w14:textId="77777777" w:rsidR="00772179" w:rsidRDefault="00000000">
      <w:pPr>
        <w:jc w:val="both"/>
      </w:pPr>
      <w:r>
        <w:t xml:space="preserve">Description : </w:t>
      </w:r>
      <w:r>
        <w:rPr>
          <w:rStyle w:val="optioncarChar"/>
        </w:rPr>
        <w:t>non spécifié (à proposer par l’entrepreneur et soumis à l’approbation de l’auteur de projet) / ***</w:t>
      </w:r>
    </w:p>
    <w:p w14:paraId="48D489AB" w14:textId="77777777" w:rsidR="00772179" w:rsidRDefault="00000000">
      <w:pPr>
        <w:jc w:val="both"/>
      </w:pPr>
      <w:r>
        <w:t>Dimensions (longueur l x largeur b x épaisseur d) : </w:t>
      </w:r>
      <w:r>
        <w:rPr>
          <w:rStyle w:val="optioncarChar"/>
        </w:rPr>
        <w:t>150 mm x 150 mm x 15 mm </w:t>
      </w:r>
      <w:r>
        <w:t>(par défaut)</w:t>
      </w:r>
      <w:r>
        <w:rPr>
          <w:rStyle w:val="optioncarChar"/>
        </w:rPr>
        <w:t> / ***</w:t>
      </w:r>
    </w:p>
    <w:p w14:paraId="1CB243E9" w14:textId="77777777" w:rsidR="00772179" w:rsidRDefault="00000000">
      <w:pPr>
        <w:jc w:val="both"/>
      </w:pPr>
      <w:r>
        <w:t>Résistance au gel pour application en façade courante : Nc ≥ 70 selon [NBN EN 12371] ou ≥ 500 mm Hg selon [NBN B 27-009]</w:t>
      </w:r>
    </w:p>
    <w:p w14:paraId="7DE40381" w14:textId="77777777" w:rsidR="00772179" w:rsidRDefault="00000000">
      <w:pPr>
        <w:jc w:val="both"/>
      </w:pPr>
      <w:r>
        <w:t>Résistance au gel pour application en zone de plinthe : Nc ≥ 140 selon [NBN EN 12371] ou ≥ p650 mm Hg selon [NBN B 27-009]</w:t>
      </w:r>
    </w:p>
    <w:p w14:paraId="2F675F1B" w14:textId="77777777" w:rsidR="00772179" w:rsidRDefault="00000000">
      <w:pPr>
        <w:jc w:val="both"/>
      </w:pPr>
      <w:r>
        <w:t>Elément résistant aux chocs thermiques</w:t>
      </w:r>
    </w:p>
    <w:p w14:paraId="2BB8505F" w14:textId="77777777" w:rsidR="00772179" w:rsidRDefault="00000000">
      <w:pPr>
        <w:jc w:val="both"/>
      </w:pPr>
      <w:r>
        <w:t>Réaction au feu : </w:t>
      </w:r>
      <w:r>
        <w:rPr>
          <w:rStyle w:val="optioncarChar"/>
        </w:rPr>
        <w:t>A1 </w:t>
      </w:r>
      <w:r>
        <w:t>(par défaut)</w:t>
      </w:r>
      <w:r>
        <w:rPr>
          <w:rStyle w:val="optioncarChar"/>
        </w:rPr>
        <w:t> / ***</w:t>
      </w:r>
      <w:r>
        <w:t>.</w:t>
      </w:r>
    </w:p>
    <w:p w14:paraId="58F023E0" w14:textId="77777777" w:rsidR="00772179" w:rsidRDefault="00000000">
      <w:pPr>
        <w:jc w:val="both"/>
      </w:pPr>
      <w:r>
        <w:t>Facteur d’absorption de l’énergie solaire [NBN EN 410] : </w:t>
      </w:r>
      <w:r>
        <w:rPr>
          <w:rStyle w:val="optioncarChar"/>
        </w:rPr>
        <w:t>≤ 0,7</w:t>
      </w:r>
      <w:r>
        <w:t> (par défaut)</w:t>
      </w:r>
      <w:r>
        <w:rPr>
          <w:rStyle w:val="optioncarChar"/>
        </w:rPr>
        <w:t> / ≤ 0,85 / non spécifié / ***</w:t>
      </w:r>
      <w:r>
        <w:t>.</w:t>
      </w:r>
    </w:p>
    <w:p w14:paraId="0F9D40A3" w14:textId="77777777" w:rsidR="00772179" w:rsidRDefault="00000000">
      <w:pPr>
        <w:jc w:val="both"/>
      </w:pPr>
      <w:r>
        <w:t>Indice de clarté : </w:t>
      </w:r>
      <w:r>
        <w:rPr>
          <w:rStyle w:val="optioncarChar"/>
        </w:rPr>
        <w:t>≥ 25 </w:t>
      </w:r>
      <w:r>
        <w:t>(par défaut)</w:t>
      </w:r>
      <w:r>
        <w:rPr>
          <w:rStyle w:val="optioncarChar"/>
        </w:rPr>
        <w:t> / ≥ 10 / non spécifié / ***</w:t>
      </w:r>
      <w:r>
        <w:t> </w:t>
      </w:r>
    </w:p>
    <w:p w14:paraId="1EC57526" w14:textId="77777777" w:rsidR="00772179" w:rsidRDefault="00000000">
      <w:pPr>
        <w:jc w:val="both"/>
      </w:pPr>
      <w:r>
        <w:rPr>
          <w:b/>
        </w:rPr>
        <w:t>Colle à carrelage</w:t>
      </w:r>
    </w:p>
    <w:p w14:paraId="182BF4AB" w14:textId="77777777" w:rsidR="00772179" w:rsidRDefault="00000000">
      <w:pPr>
        <w:jc w:val="both"/>
      </w:pPr>
      <w:r>
        <w:lastRenderedPageBreak/>
        <w:t>Conforme à la [NIT 279] et à la documentation technique accompagnant le produit et le système</w:t>
      </w:r>
    </w:p>
    <w:p w14:paraId="695610FF" w14:textId="77777777" w:rsidR="00772179" w:rsidRDefault="00000000">
      <w:pPr>
        <w:jc w:val="both"/>
      </w:pPr>
      <w:r>
        <w:t>Teinte : </w:t>
      </w:r>
      <w:r>
        <w:rPr>
          <w:rStyle w:val="optioncarChar"/>
        </w:rPr>
        <w:t>gris</w:t>
      </w:r>
      <w:r>
        <w:t xml:space="preserve"> (par défaut) </w:t>
      </w:r>
      <w:r>
        <w:rPr>
          <w:rStyle w:val="optioncarChar"/>
        </w:rPr>
        <w:t>/ blanc / ***</w:t>
      </w:r>
      <w:r>
        <w:t>.</w:t>
      </w:r>
    </w:p>
    <w:p w14:paraId="25D6EE6A" w14:textId="77777777" w:rsidR="00772179" w:rsidRDefault="00000000">
      <w:pPr>
        <w:jc w:val="both"/>
      </w:pPr>
      <w:r>
        <w:rPr>
          <w:b/>
        </w:rPr>
        <w:t>Produit de jointoiement</w:t>
      </w:r>
    </w:p>
    <w:p w14:paraId="418521F0" w14:textId="77777777" w:rsidR="00772179" w:rsidRDefault="00000000">
      <w:pPr>
        <w:jc w:val="both"/>
      </w:pPr>
      <w:r>
        <w:t xml:space="preserve">Produit de jointoiement : </w:t>
      </w:r>
      <w:r>
        <w:rPr>
          <w:rStyle w:val="optioncarChar"/>
        </w:rPr>
        <w:t>oui</w:t>
      </w:r>
      <w:r>
        <w:t xml:space="preserve"> (par défaut)</w:t>
      </w:r>
      <w:r>
        <w:rPr>
          <w:rStyle w:val="optioncarChar"/>
        </w:rPr>
        <w:t xml:space="preserve"> / non</w:t>
      </w:r>
    </w:p>
    <w:p w14:paraId="2B73CE54" w14:textId="77777777" w:rsidR="00772179" w:rsidRDefault="00000000">
      <w:pPr>
        <w:jc w:val="both"/>
      </w:pPr>
      <w:r>
        <w:t>Le cas échéant et en cas de pose aspect ‘carrelage’, le produit de jointoiement répond aux spécifications de la [NBN EN 13888] ou est dosé in situ.</w:t>
      </w:r>
    </w:p>
    <w:p w14:paraId="14BF33B3" w14:textId="77777777" w:rsidR="00772179" w:rsidRDefault="00000000">
      <w:pPr>
        <w:jc w:val="both"/>
      </w:pPr>
      <w:r>
        <w:t>Type de joint : </w:t>
      </w:r>
      <w:r>
        <w:rPr>
          <w:rStyle w:val="optioncarChar"/>
        </w:rPr>
        <w:t>CG1 </w:t>
      </w:r>
      <w:r>
        <w:t>(par défaut)</w:t>
      </w:r>
      <w:r>
        <w:rPr>
          <w:rStyle w:val="optioncarChar"/>
        </w:rPr>
        <w:t> / CG2 / CG2W, CG2Ar / RG / dosé in situ</w:t>
      </w:r>
    </w:p>
    <w:p w14:paraId="062F22F0" w14:textId="77777777" w:rsidR="00772179" w:rsidRDefault="00000000">
      <w:pPr>
        <w:jc w:val="both"/>
      </w:pPr>
      <w:r>
        <w:t>Le cas échéant et en cas de pose aspect ‘maçonnerie’, la produit de jointoiement répond aux spécifications de la [NBN EN 998-2] et du [PTV 651] ou est dosé in situ.</w:t>
      </w:r>
    </w:p>
    <w:p w14:paraId="595BFA8C" w14:textId="77777777" w:rsidR="00772179" w:rsidRDefault="00000000">
      <w:pPr>
        <w:jc w:val="both"/>
      </w:pPr>
      <w:r>
        <w:t>Type de joint de maçonnerie, le cas échéant : </w:t>
      </w:r>
      <w:r>
        <w:rPr>
          <w:rStyle w:val="optioncarChar"/>
        </w:rPr>
        <w:t xml:space="preserve">M5 </w:t>
      </w:r>
      <w:r>
        <w:t>(par défaut)</w:t>
      </w:r>
      <w:r>
        <w:rPr>
          <w:rStyle w:val="optioncarChar"/>
        </w:rPr>
        <w:t xml:space="preserve"> / M*** / Mortier dosé in situ</w:t>
      </w:r>
    </w:p>
    <w:p w14:paraId="38A7B0E4" w14:textId="77777777" w:rsidR="00772179" w:rsidRDefault="00000000">
      <w:pPr>
        <w:jc w:val="both"/>
      </w:pPr>
      <w:r>
        <w:rPr>
          <w:b/>
        </w:rPr>
        <w:t>(soit par défaut)</w:t>
      </w:r>
    </w:p>
    <w:p w14:paraId="1439E11D" w14:textId="77777777" w:rsidR="00772179" w:rsidRDefault="00000000">
      <w:pPr>
        <w:jc w:val="both"/>
      </w:pPr>
      <w:r>
        <w:rPr>
          <w:rStyle w:val="soitChar"/>
          <w:u w:val="single"/>
        </w:rPr>
        <w:t>M5</w:t>
      </w:r>
      <w:r>
        <w:rPr>
          <w:rStyle w:val="soitChar"/>
        </w:rPr>
        <w:t xml:space="preserve"> suivant la [NBN EN 998-2]</w:t>
      </w:r>
    </w:p>
    <w:p w14:paraId="0B7DD78D" w14:textId="77777777" w:rsidR="00772179" w:rsidRDefault="00000000">
      <w:pPr>
        <w:jc w:val="both"/>
      </w:pPr>
      <w:r>
        <w:rPr>
          <w:b/>
        </w:rPr>
        <w:t>(soit)</w:t>
      </w:r>
    </w:p>
    <w:p w14:paraId="75C2F0AB" w14:textId="77777777" w:rsidR="00772179" w:rsidRDefault="00000000">
      <w:pPr>
        <w:jc w:val="both"/>
      </w:pPr>
      <w:r>
        <w:rPr>
          <w:rStyle w:val="soitChar"/>
          <w:u w:val="single"/>
        </w:rPr>
        <w:t>M</w:t>
      </w:r>
      <w:r>
        <w:rPr>
          <w:rStyle w:val="optioncarChar"/>
          <w:u w:val="single"/>
        </w:rPr>
        <w:t>***</w:t>
      </w:r>
      <w:r>
        <w:rPr>
          <w:rStyle w:val="soitChar"/>
        </w:rPr>
        <w:t> suivant la [NBN EN 998-2]</w:t>
      </w:r>
    </w:p>
    <w:p w14:paraId="5297D604" w14:textId="77777777" w:rsidR="00772179" w:rsidRDefault="00000000">
      <w:pPr>
        <w:jc w:val="both"/>
      </w:pPr>
      <w:r>
        <w:rPr>
          <w:b/>
        </w:rPr>
        <w:t>(soit)</w:t>
      </w:r>
    </w:p>
    <w:p w14:paraId="25FA4812" w14:textId="77777777" w:rsidR="00772179" w:rsidRDefault="00000000">
      <w:pPr>
        <w:jc w:val="both"/>
      </w:pPr>
      <w:r>
        <w:rPr>
          <w:rStyle w:val="soitChar"/>
          <w:u w:val="single"/>
        </w:rPr>
        <w:t>Mortier dosé in situ</w:t>
      </w:r>
      <w:r>
        <w:rPr>
          <w:rStyle w:val="soitChar"/>
        </w:rPr>
        <w:t>, à composition prescrite (parts de ciment-chaux-sable) :</w:t>
      </w:r>
      <w:r>
        <w:t> </w:t>
      </w:r>
      <w:r>
        <w:rPr>
          <w:rStyle w:val="optioncarChar"/>
        </w:rPr>
        <w:t>1-1-6</w:t>
      </w:r>
      <w:r>
        <w:t> (par défaut) </w:t>
      </w:r>
      <w:r>
        <w:rPr>
          <w:rStyle w:val="optioncarChar"/>
        </w:rPr>
        <w:t>/ ***</w:t>
      </w:r>
    </w:p>
    <w:p w14:paraId="0DABB49B" w14:textId="77777777" w:rsidR="00772179" w:rsidRDefault="00000000">
      <w:pPr>
        <w:jc w:val="both"/>
      </w:pPr>
      <w:r>
        <w:rPr>
          <w:b/>
        </w:rPr>
        <w:t>Mastic d’étanchéité</w:t>
      </w:r>
    </w:p>
    <w:p w14:paraId="0F3C5E87" w14:textId="77777777" w:rsidR="00772179" w:rsidRDefault="00000000">
      <w:pPr>
        <w:jc w:val="both"/>
      </w:pPr>
      <w:r>
        <w:t>Couleur : </w:t>
      </w:r>
      <w:r>
        <w:rPr>
          <w:rStyle w:val="optioncarChar"/>
        </w:rPr>
        <w:t>se rapprochant du produit de jointoiement </w:t>
      </w:r>
      <w:r>
        <w:t>(par défaut)</w:t>
      </w:r>
      <w:r>
        <w:rPr>
          <w:rStyle w:val="optioncarChar"/>
        </w:rPr>
        <w:t> / ***</w:t>
      </w:r>
      <w:r>
        <w:t>.</w:t>
      </w:r>
    </w:p>
    <w:p w14:paraId="1A0307B5" w14:textId="77777777" w:rsidR="00772179" w:rsidRDefault="00000000">
      <w:r>
        <w:rPr>
          <w:b/>
        </w:rPr>
        <w:t>Produit pour joints de mouvement</w:t>
      </w:r>
      <w:r>
        <w:br/>
        <w:t>Couleur : </w:t>
      </w:r>
      <w:r>
        <w:rPr>
          <w:rStyle w:val="optioncarChar"/>
        </w:rPr>
        <w:t>se rapprochant du produit de jointoiement </w:t>
      </w:r>
      <w:r>
        <w:t>(par défaut)</w:t>
      </w:r>
      <w:r>
        <w:rPr>
          <w:rStyle w:val="optioncarChar"/>
        </w:rPr>
        <w:t> / ***</w:t>
      </w:r>
      <w:r>
        <w:t>.</w:t>
      </w:r>
    </w:p>
    <w:p w14:paraId="014B7A1B" w14:textId="77777777" w:rsidR="00772179" w:rsidRDefault="00000000">
      <w:r>
        <w:rPr>
          <w:b/>
        </w:rPr>
        <w:t>Profilés</w:t>
      </w:r>
      <w:r>
        <w:br/>
        <w:t>Position : voir </w:t>
      </w:r>
      <w:r>
        <w:rPr>
          <w:rStyle w:val="optioncarChar"/>
        </w:rPr>
        <w:t>plans / ***</w:t>
      </w:r>
      <w:r>
        <w:t>.</w:t>
      </w:r>
      <w:r>
        <w:br/>
        <w:t>Description : </w:t>
      </w:r>
      <w:r>
        <w:rPr>
          <w:rStyle w:val="optioncarChar"/>
        </w:rPr>
        <w:t>***</w:t>
      </w:r>
      <w:r>
        <w:t>.</w:t>
      </w:r>
    </w:p>
    <w:p w14:paraId="47981EFF" w14:textId="77777777" w:rsidR="00772179" w:rsidRDefault="00000000">
      <w:pPr>
        <w:ind w:left="750"/>
      </w:pPr>
      <w:r>
        <w:t> </w:t>
      </w:r>
    </w:p>
    <w:p w14:paraId="31E9F787" w14:textId="77777777" w:rsidR="00772179" w:rsidRDefault="00000000">
      <w:pPr>
        <w:pStyle w:val="pheading"/>
      </w:pPr>
      <w:r>
        <w:t>- Finitions</w:t>
      </w:r>
    </w:p>
    <w:p w14:paraId="77C9C1A4" w14:textId="77777777" w:rsidR="00772179" w:rsidRDefault="00000000">
      <w:pPr>
        <w:jc w:val="both"/>
      </w:pPr>
      <w:r>
        <w:t>Les façades suivantes sont exécutées avec un aspect maçonnerie et sont rejointoyées selon l'article 21.61.1b Joints de maçonnerie apparente : </w:t>
      </w:r>
      <w:r>
        <w:rPr>
          <w:rStyle w:val="optioncarChar"/>
        </w:rPr>
        <w:t>***</w:t>
      </w:r>
      <w:r>
        <w:t>.</w:t>
      </w:r>
    </w:p>
    <w:p w14:paraId="1216BB59" w14:textId="77777777" w:rsidR="00772179" w:rsidRDefault="00000000">
      <w:pPr>
        <w:jc w:val="both"/>
      </w:pPr>
      <w:r>
        <w:t xml:space="preserve">Aspect et teinte de la pierre : </w:t>
      </w:r>
      <w:r>
        <w:rPr>
          <w:rStyle w:val="optioncarChar"/>
        </w:rPr>
        <w:t>***</w:t>
      </w:r>
    </w:p>
    <w:p w14:paraId="0D1E0819" w14:textId="77777777" w:rsidR="00772179" w:rsidRDefault="00000000">
      <w:pPr>
        <w:pStyle w:val="pheading"/>
      </w:pPr>
      <w:r>
        <w:t>EXÉCUTION / MISE EN ŒUVRE</w:t>
      </w:r>
    </w:p>
    <w:p w14:paraId="5429547D" w14:textId="77777777" w:rsidR="00772179" w:rsidRDefault="00000000">
      <w:pPr>
        <w:pStyle w:val="pheading"/>
      </w:pPr>
      <w:r>
        <w:t>- Prescriptions générales</w:t>
      </w:r>
    </w:p>
    <w:p w14:paraId="509B1C19" w14:textId="77777777" w:rsidR="00772179" w:rsidRDefault="00000000">
      <w:pPr>
        <w:jc w:val="both"/>
      </w:pPr>
      <w:r>
        <w:rPr>
          <w:b/>
        </w:rPr>
        <w:t>Support (couche de fixation)</w:t>
      </w:r>
    </w:p>
    <w:p w14:paraId="6991B901" w14:textId="77777777" w:rsidR="00772179" w:rsidRDefault="00000000">
      <w:pPr>
        <w:jc w:val="both"/>
      </w:pPr>
      <w:r>
        <w:t>Support (couche de fixation) à revêtir : </w:t>
      </w:r>
      <w:r>
        <w:rPr>
          <w:rStyle w:val="optioncarChar"/>
        </w:rPr>
        <w:t>voile en béton / maçonnerie d’éléments / ***</w:t>
      </w:r>
      <w:r>
        <w:t>.</w:t>
      </w:r>
    </w:p>
    <w:p w14:paraId="167357F9" w14:textId="77777777" w:rsidR="00772179" w:rsidRDefault="00000000">
      <w:pPr>
        <w:jc w:val="both"/>
      </w:pPr>
      <w:r>
        <w:t>Type de support : catégorie </w:t>
      </w:r>
      <w:r>
        <w:rPr>
          <w:rStyle w:val="optioncarChar"/>
        </w:rPr>
        <w:t>A / B / C / D / E</w:t>
      </w:r>
      <w:r>
        <w:t> (cfr [EAD 330196-01-0604]).</w:t>
      </w:r>
    </w:p>
    <w:p w14:paraId="6202A18E" w14:textId="77777777" w:rsidR="00772179" w:rsidRDefault="00000000">
      <w:pPr>
        <w:jc w:val="both"/>
      </w:pPr>
      <w:r>
        <w:t>En cas de voile en béton : </w:t>
      </w:r>
      <w:r>
        <w:rPr>
          <w:rStyle w:val="optioncarChar"/>
        </w:rPr>
        <w:t>préfabriqué / coulé sur place</w:t>
      </w:r>
      <w:r>
        <w:t>. Classe de résistance : </w:t>
      </w:r>
      <w:r>
        <w:rPr>
          <w:rStyle w:val="optioncarChar"/>
        </w:rPr>
        <w:t>inconnue </w:t>
      </w:r>
      <w:r>
        <w:t>(par défaut)</w:t>
      </w:r>
      <w:r>
        <w:rPr>
          <w:rStyle w:val="optioncarChar"/>
        </w:rPr>
        <w:t> / ***</w:t>
      </w:r>
      <w:r>
        <w:t>.</w:t>
      </w:r>
    </w:p>
    <w:p w14:paraId="19FCA3F9" w14:textId="77777777" w:rsidR="00772179" w:rsidRDefault="00000000">
      <w:pPr>
        <w:jc w:val="both"/>
      </w:pPr>
      <w:r>
        <w:t>En cas de maçonnerie comme support, la nature des éléments de maçonnerie est : </w:t>
      </w:r>
      <w:r>
        <w:rPr>
          <w:rStyle w:val="optioncarChar"/>
        </w:rPr>
        <w:t>briques / blocs de béton / blocs de terre cuite / blocs de béton cellulaire</w:t>
      </w:r>
      <w:r>
        <w:t>. Groupe des éléments de maçonnerie (cfr [NBN EN 1996-1-1+A1]) : </w:t>
      </w:r>
      <w:r>
        <w:rPr>
          <w:rStyle w:val="optioncarChar"/>
        </w:rPr>
        <w:t>1 / 1s / 2 / 3 / 4</w:t>
      </w:r>
      <w:r>
        <w:t>.</w:t>
      </w:r>
    </w:p>
    <w:p w14:paraId="0C2B43B4" w14:textId="77777777" w:rsidR="00772179" w:rsidRDefault="00000000">
      <w:pPr>
        <w:jc w:val="both"/>
      </w:pPr>
      <w:r>
        <w:t>Conformité des éléments de maçonnerie à une norme et un PTV : </w:t>
      </w:r>
      <w:r>
        <w:rPr>
          <w:rStyle w:val="optioncarChar"/>
        </w:rPr>
        <w:t>oui / non / inconnu</w:t>
      </w:r>
      <w:r>
        <w:t>.</w:t>
      </w:r>
    </w:p>
    <w:p w14:paraId="72D1055D" w14:textId="77777777" w:rsidR="00772179" w:rsidRDefault="00000000">
      <w:pPr>
        <w:jc w:val="both"/>
      </w:pPr>
      <w:r>
        <w:t>En cas de construction en bois (ossature bois par exemple), nature des panneaux support : </w:t>
      </w:r>
      <w:r>
        <w:rPr>
          <w:rStyle w:val="optioncarChar"/>
        </w:rPr>
        <w:t>panneaux de fibres-ciment / panneaux d’OSB de classe ≥ 3</w:t>
      </w:r>
      <w:r>
        <w:t>.  </w:t>
      </w:r>
    </w:p>
    <w:p w14:paraId="57C7AABC" w14:textId="77777777" w:rsidR="00772179" w:rsidRDefault="00000000">
      <w:pPr>
        <w:jc w:val="both"/>
      </w:pPr>
      <w:r>
        <w:t xml:space="preserve">Les supports en maçonnerie et en béton atteignent un âge suffisant, soit trois mois, avant de débuter la mise en œuvre. Ce délai correspond généralement à un séchage normal du support. Il est réduit </w:t>
      </w:r>
      <w:r>
        <w:lastRenderedPageBreak/>
        <w:t>pour les supports qui sont soumis dans une moindre mesure au retrait et au fluage. En cas de conditions inhabituelles (bâtiment très fortement chargé et/ou très élevé, conditions climatiques défavorables au séchage, etc.), des délais plus longs sont requis.</w:t>
      </w:r>
    </w:p>
    <w:p w14:paraId="21EDC225" w14:textId="77777777" w:rsidR="00772179" w:rsidRDefault="00000000">
      <w:pPr>
        <w:jc w:val="both"/>
      </w:pPr>
      <w:r>
        <w:rPr>
          <w:b/>
        </w:rPr>
        <w:t>Couche d’isolation</w:t>
      </w:r>
    </w:p>
    <w:p w14:paraId="393DC2BC" w14:textId="77777777" w:rsidR="00772179" w:rsidRDefault="00000000">
      <w:pPr>
        <w:jc w:val="both"/>
      </w:pPr>
      <w:r>
        <w:t>Afin d’obtenir une couche d’isolation continue, les panneaux sont posés jointifs à joints alternés et un harpage est réalisé dans les angles. Les joints entre panneaux ne coïncident pas avec une zone de concentration de contraintes (angle de baie par exemple).</w:t>
      </w:r>
    </w:p>
    <w:p w14:paraId="1164701B" w14:textId="77777777" w:rsidR="00772179" w:rsidRDefault="00000000">
      <w:pPr>
        <w:jc w:val="both"/>
      </w:pPr>
      <w:r>
        <w:t>Pour les systèmes fixés mécaniquement, le nombre et la position des fixations mécaniques (cfr résistance au vent) suivent un calepinage soumis à l’auteur de projet pour approbation.</w:t>
      </w:r>
    </w:p>
    <w:p w14:paraId="552D6C10" w14:textId="77777777" w:rsidR="00772179" w:rsidRDefault="00000000">
      <w:pPr>
        <w:jc w:val="both"/>
      </w:pPr>
      <w:r>
        <w:rPr>
          <w:b/>
        </w:rPr>
        <w:t>Eventuel enduit de base renforcé, renforts et profilés</w:t>
      </w:r>
    </w:p>
    <w:p w14:paraId="4A977AC1" w14:textId="77777777" w:rsidR="00772179" w:rsidRDefault="00000000">
      <w:pPr>
        <w:jc w:val="both"/>
      </w:pPr>
      <w:r>
        <w:t>Pour les systèmes avec enduit de base renforcé, des renforts sous la forme de bande de treillis d’environ 30 x 30 cm sont placés au droit des zones de concentration de contraintes. Les profilés sont placés là où nécessaire. Le treillis d’armature est placé dans la moitié extérieure de l’épaisseur de l’enduit de base. L’épaisseur de l’enduit de base respecte les mentions indiquées dans la documentation technique accompagnant le système..</w:t>
      </w:r>
    </w:p>
    <w:p w14:paraId="304D08E5" w14:textId="77777777" w:rsidR="00772179" w:rsidRDefault="00000000">
      <w:pPr>
        <w:jc w:val="both"/>
      </w:pPr>
      <w:r>
        <w:rPr>
          <w:b/>
        </w:rPr>
        <w:t>Mise en œuvre des pierres naturelles</w:t>
      </w:r>
    </w:p>
    <w:p w14:paraId="165AF74F" w14:textId="77777777" w:rsidR="00772179" w:rsidRDefault="00000000">
      <w:pPr>
        <w:jc w:val="both"/>
      </w:pPr>
      <w:r>
        <w:t>La surface est exécutée en appareil : </w:t>
      </w:r>
      <w:r>
        <w:rPr>
          <w:rStyle w:val="optioncarChar"/>
        </w:rPr>
        <w:t xml:space="preserve">à joints continus </w:t>
      </w:r>
      <w:r>
        <w:t>(par défaut)</w:t>
      </w:r>
      <w:r>
        <w:rPr>
          <w:rStyle w:val="optioncarChar"/>
        </w:rPr>
        <w:t xml:space="preserve"> / à joints croisés / à demi-brique / ***</w:t>
      </w:r>
      <w:r>
        <w:t>.</w:t>
      </w:r>
    </w:p>
    <w:p w14:paraId="3ACE5B6E" w14:textId="77777777" w:rsidR="00772179" w:rsidRDefault="00000000">
      <w:pPr>
        <w:jc w:val="both"/>
      </w:pPr>
      <w:r>
        <w:t xml:space="preserve"> Epaisseur nominale des joints : </w:t>
      </w:r>
      <w:r>
        <w:rPr>
          <w:rStyle w:val="optioncarChar"/>
        </w:rPr>
        <w:t xml:space="preserve">12 </w:t>
      </w:r>
      <w:r>
        <w:t>(par défaut)</w:t>
      </w:r>
      <w:r>
        <w:rPr>
          <w:rStyle w:val="optioncarChar"/>
        </w:rPr>
        <w:t xml:space="preserve"> / ***</w:t>
      </w:r>
      <w:r>
        <w:t> mm.</w:t>
      </w:r>
    </w:p>
    <w:p w14:paraId="19965A9D" w14:textId="77777777" w:rsidR="00772179" w:rsidRDefault="00000000">
      <w:pPr>
        <w:jc w:val="both"/>
      </w:pPr>
      <w:r>
        <w:t xml:space="preserve"> Les pierres sont posées par double encollage.</w:t>
      </w:r>
    </w:p>
    <w:p w14:paraId="381EEFBC" w14:textId="77777777" w:rsidR="00772179" w:rsidRDefault="00000000">
      <w:pPr>
        <w:jc w:val="both"/>
      </w:pPr>
      <w:r>
        <w:t xml:space="preserve"> Joints de dilatation : </w:t>
      </w:r>
      <w:r>
        <w:rPr>
          <w:rStyle w:val="optioncarChar"/>
        </w:rPr>
        <w:t>***</w:t>
      </w:r>
      <w:r>
        <w:t> (voir recommandations spécifiques dans la documentation technique accompagnant le système).</w:t>
      </w:r>
    </w:p>
    <w:p w14:paraId="15DFC9B4" w14:textId="77777777" w:rsidR="00772179" w:rsidRDefault="00000000">
      <w:pPr>
        <w:jc w:val="both"/>
      </w:pPr>
      <w:r>
        <w:t xml:space="preserve"> Les pierres ne sont mises en œuvre que lorsque les conditions climatiques requises en fonction du type de produit de pose sont respectées (conditions généralement 5-10 ≤T° ≤  25°C et 30 ≤HR ≤ 85 % (voir fiches techniques des produits utilisés)).</w:t>
      </w:r>
    </w:p>
    <w:p w14:paraId="4549C007" w14:textId="77777777" w:rsidR="00772179" w:rsidRDefault="00000000">
      <w:pPr>
        <w:pStyle w:val="pheading"/>
      </w:pPr>
      <w:r>
        <w:t>- Échantillons</w:t>
      </w:r>
    </w:p>
    <w:p w14:paraId="3958AAE1" w14:textId="77777777" w:rsidR="00772179" w:rsidRDefault="00000000">
      <w:pPr>
        <w:jc w:val="both"/>
      </w:pPr>
      <w:r>
        <w:t>Afin de déterminer le choix définitif des pierres, un ou plusieurs </w:t>
      </w:r>
      <w:r>
        <w:rPr>
          <w:u w:val="single"/>
        </w:rPr>
        <w:t>échantillons de +/- 1 m²</w:t>
      </w:r>
      <w:r>
        <w:t> (avec un maximum de </w:t>
      </w:r>
      <w:r>
        <w:rPr>
          <w:rStyle w:val="optioncarChar"/>
        </w:rPr>
        <w:t>2 </w:t>
      </w:r>
      <w:r>
        <w:t>(par défaut)</w:t>
      </w:r>
      <w:r>
        <w:rPr>
          <w:rStyle w:val="optioncarChar"/>
        </w:rPr>
        <w:t> / 3 / 5 / ***</w:t>
      </w:r>
      <w:r>
        <w:t> échantillons à réaliser au total) sont confectionnés et présentés pour approbation à l'auteur de projet. Les frais inhérents à la confection et à la démolition de ces échantillons sont à charge de l'entreprise.</w:t>
      </w:r>
    </w:p>
    <w:p w14:paraId="19A04784" w14:textId="77777777" w:rsidR="00772179" w:rsidRDefault="00000000">
      <w:pPr>
        <w:jc w:val="both"/>
      </w:pPr>
      <w:r>
        <w:t xml:space="preserve"> La couleur du mastic d’étanchéité est soumise à l’approbation de l’auteur de projet en réalisant un essai d’application sur un mètre de longueur.</w:t>
      </w:r>
    </w:p>
    <w:p w14:paraId="34E45B43" w14:textId="77777777" w:rsidR="00772179" w:rsidRDefault="00000000">
      <w:pPr>
        <w:jc w:val="both"/>
      </w:pPr>
      <w:r>
        <w:t xml:space="preserve"> La couleur du produit de joints de mouvement est soumise à l’approbation de l’auteur de projet en réalisant un essai d’application sur un mètre de longueur.</w:t>
      </w:r>
    </w:p>
    <w:p w14:paraId="378DD7AE" w14:textId="77777777" w:rsidR="00772179" w:rsidRDefault="00000000">
      <w:pPr>
        <w:jc w:val="both"/>
      </w:pPr>
      <w:r>
        <w:t xml:space="preserve"> Le modèle de profilé est proposé pour approbation à l’auteur de projet.</w:t>
      </w:r>
    </w:p>
    <w:p w14:paraId="57980CD8" w14:textId="77777777" w:rsidR="00772179" w:rsidRDefault="00000000">
      <w:pPr>
        <w:pStyle w:val="pheading"/>
      </w:pPr>
      <w:r>
        <w:t>CONTRÔLES PARTICULIERS</w:t>
      </w:r>
    </w:p>
    <w:p w14:paraId="7F31A41D" w14:textId="77777777" w:rsidR="00772179" w:rsidRDefault="00000000">
      <w:pPr>
        <w:jc w:val="both"/>
      </w:pPr>
      <w:r>
        <w:rPr>
          <w:b/>
        </w:rPr>
        <w:t>Contrôle du support (couche de fixation) avant mise en œuvre</w:t>
      </w:r>
    </w:p>
    <w:p w14:paraId="2E71F116" w14:textId="77777777" w:rsidR="00772179" w:rsidRDefault="00000000">
      <w:pPr>
        <w:jc w:val="both"/>
      </w:pPr>
      <w:r>
        <w:t>Contrôle de la présence d’une finition sur le support : </w:t>
      </w:r>
      <w:r>
        <w:rPr>
          <w:rStyle w:val="optioncarChar"/>
        </w:rPr>
        <w:t>rien / peinture / traitement de surface répulsif à l’eau / enduit / produit de décoffrage / ***</w:t>
      </w:r>
      <w:r>
        <w:t>.</w:t>
      </w:r>
    </w:p>
    <w:p w14:paraId="643A98E7" w14:textId="77777777" w:rsidR="00772179" w:rsidRDefault="00000000">
      <w:pPr>
        <w:jc w:val="both"/>
      </w:pPr>
      <w:r>
        <w:t xml:space="preserve"> Eventuelle réalisation (à charge </w:t>
      </w:r>
      <w:r>
        <w:rPr>
          <w:rStyle w:val="optioncarChar"/>
        </w:rPr>
        <w:t>du maître d’ouvrage / de l’entrepreneur</w:t>
      </w:r>
      <w:r>
        <w:t xml:space="preserve">) d’une évaluation mécanique de contrôle de l’adhérence d’une couche d’enduit existante :  </w:t>
      </w:r>
      <w:r>
        <w:rPr>
          <w:rStyle w:val="optioncarChar"/>
        </w:rPr>
        <w:t>non </w:t>
      </w:r>
      <w:r>
        <w:t xml:space="preserve">(par défaut) </w:t>
      </w:r>
      <w:r>
        <w:rPr>
          <w:rStyle w:val="optioncarChar"/>
        </w:rPr>
        <w:t>/ oui</w:t>
      </w:r>
      <w:r>
        <w:t>.</w:t>
      </w:r>
    </w:p>
    <w:p w14:paraId="3708D3CC" w14:textId="77777777" w:rsidR="00772179" w:rsidRDefault="00000000">
      <w:pPr>
        <w:pStyle w:val="pheading"/>
      </w:pPr>
      <w:r>
        <w:t>MESURAGE</w:t>
      </w:r>
    </w:p>
    <w:p w14:paraId="68B218F1" w14:textId="77777777" w:rsidR="00772179" w:rsidRDefault="00000000">
      <w:pPr>
        <w:pStyle w:val="pheading"/>
      </w:pPr>
      <w:r>
        <w:t>- unité de mesure:</w:t>
      </w:r>
    </w:p>
    <w:p w14:paraId="1373BB9B" w14:textId="77777777" w:rsidR="00772179" w:rsidRDefault="00000000">
      <w:r>
        <w:t>m² ; m</w:t>
      </w:r>
    </w:p>
    <w:p w14:paraId="59F0EBEB" w14:textId="77777777" w:rsidR="00772179" w:rsidRDefault="00000000">
      <w:pPr>
        <w:pStyle w:val="pheading"/>
      </w:pPr>
      <w:r>
        <w:t>- code de mesurage:</w:t>
      </w:r>
    </w:p>
    <w:p w14:paraId="0A978292" w14:textId="77777777" w:rsidR="00772179" w:rsidRDefault="00000000">
      <w:pPr>
        <w:jc w:val="both"/>
      </w:pPr>
      <w:r>
        <w:rPr>
          <w:b/>
        </w:rPr>
        <w:lastRenderedPageBreak/>
        <w:t>Surface nette</w:t>
      </w:r>
      <w:r>
        <w:t> du système à poser (mesurée dans le plan extérieur des pierres). Les ouvertures et les interruptions ≥ 0,50 m² sont déduites. Les retours sont comptés.</w:t>
      </w:r>
    </w:p>
    <w:p w14:paraId="7178D99A" w14:textId="77777777" w:rsidR="00772179" w:rsidRDefault="00000000">
      <w:pPr>
        <w:jc w:val="both"/>
      </w:pPr>
      <w:r>
        <w:t xml:space="preserve"> Distinction faite suivant le type de système.</w:t>
      </w:r>
    </w:p>
    <w:p w14:paraId="4440DC7C" w14:textId="77777777" w:rsidR="00772179" w:rsidRDefault="00000000">
      <w:pPr>
        <w:jc w:val="both"/>
      </w:pPr>
      <w:r>
        <w:rPr>
          <w:b/>
        </w:rPr>
        <w:t>Longueur nette</w:t>
      </w:r>
      <w:r>
        <w:t> des profilés à poser. Distinction faite selon le modèle de profilé.</w:t>
      </w:r>
    </w:p>
    <w:p w14:paraId="07575E7C" w14:textId="77777777" w:rsidR="00772179" w:rsidRDefault="00000000">
      <w:pPr>
        <w:pStyle w:val="pheading"/>
      </w:pPr>
      <w:r>
        <w:t>- nature du marché:</w:t>
      </w:r>
    </w:p>
    <w:p w14:paraId="3DD081EE" w14:textId="77777777" w:rsidR="00772179" w:rsidRDefault="00000000">
      <w:r>
        <w:t>QF</w:t>
      </w:r>
    </w:p>
    <w:p w14:paraId="03155ADC" w14:textId="77777777" w:rsidR="00772179" w:rsidRDefault="00000000">
      <w:pPr>
        <w:pStyle w:val="pheading"/>
      </w:pPr>
      <w:r>
        <w:t>AIDE</w:t>
      </w:r>
    </w:p>
    <w:p w14:paraId="654B63C4" w14:textId="77777777" w:rsidR="00772179" w:rsidRDefault="00000000">
      <w:pPr>
        <w:jc w:val="both"/>
      </w:pPr>
      <w:r>
        <w:t>On distingue les deux modes de fixation suivants :</w:t>
      </w:r>
    </w:p>
    <w:p w14:paraId="183F38BD" w14:textId="77777777" w:rsidR="00772179" w:rsidRDefault="00000000">
      <w:pPr>
        <w:pStyle w:val="Author-eListParagraph"/>
        <w:numPr>
          <w:ilvl w:val="0"/>
          <w:numId w:val="1067"/>
        </w:numPr>
      </w:pPr>
      <w:r>
        <w:t>le collage au support, avec des fixations mécaniques complémentaires. Les systèmes peuvent être collés en plein (sur toute la surface) ou partiellement (≥ 60 % de la surface) par boudins et/ou par plots accompagnés d’une bande de colle sur les bords de la surface de pose des panneaux isolants. Les charges sont entièrement reprises par la colle. Les éventuelles fixations mécaniques complémentaires servent avant tout à assu­rer la stabilité jusqu’à la prise de la colle et tiennent lieu de liaison provisoire pour éviter les risques de décollement mais aussi à assurer une certaine sécurité ;</w:t>
      </w:r>
    </w:p>
    <w:p w14:paraId="4C706FAB" w14:textId="77777777" w:rsidR="00772179" w:rsidRDefault="00000000">
      <w:pPr>
        <w:pStyle w:val="Author-eListParagraph"/>
        <w:numPr>
          <w:ilvl w:val="0"/>
          <w:numId w:val="1067"/>
        </w:numPr>
      </w:pPr>
      <w:r>
        <w:t>la fixation mécanique au support au moyen de chevilles munies d’une rosace, combinée à un encollage (≥ 60 % de la surface). La charge de vent est entièrement reprise par les fixations mécaniques. La colle sert à assurer la planéité du système mis en œuvre (on parle de système ‘chevillé/calé’), à limiter les mouvements du système (déplacement du système dans le plan et tuilage, par exemple) et à éviter les mouvements d’air au dos des panneaux isolants.</w:t>
      </w:r>
    </w:p>
    <w:p w14:paraId="1078D821" w14:textId="77777777" w:rsidR="00772179" w:rsidRDefault="00000000">
      <w:pPr>
        <w:jc w:val="both"/>
      </w:pPr>
      <w:r>
        <w:t>Bien que différents modes de fixation sont souvent combinés, la distinction du mode principal est nécessaire afin de dimensionner correctement le système pour qu’il résiste à l’action du vent. </w:t>
      </w:r>
    </w:p>
    <w:p w14:paraId="070817C6" w14:textId="77777777" w:rsidR="00772179" w:rsidRDefault="00000000">
      <w:pPr>
        <w:pStyle w:val="Author-eSectionHeading4Numberless"/>
      </w:pPr>
      <w:bookmarkStart w:id="821" w:name="_Toc220490493"/>
      <w:r>
        <w:t>43.36 Revêtements de façade rigides collés - tôles  CCTB 01.11</w:t>
      </w:r>
      <w:bookmarkEnd w:id="821"/>
    </w:p>
    <w:p w14:paraId="5C84B9BB" w14:textId="77777777" w:rsidR="00772179" w:rsidRDefault="00000000">
      <w:pPr>
        <w:pStyle w:val="Author-eSectionHeading5Numberless"/>
      </w:pPr>
      <w:bookmarkStart w:id="822" w:name="_Toc220490494"/>
      <w:r>
        <w:t>43.36.1 Revêtements de façade rigides collés - tôles  CCTB 01.11</w:t>
      </w:r>
      <w:bookmarkEnd w:id="822"/>
    </w:p>
    <w:p w14:paraId="6AD61A9D" w14:textId="77777777" w:rsidR="00772179" w:rsidRDefault="00000000">
      <w:pPr>
        <w:pStyle w:val="Author-eSectionHeading6Numberless"/>
      </w:pPr>
      <w:bookmarkStart w:id="823" w:name="_Toc220490495"/>
      <w:r>
        <w:t>43.36.1a Revêtements de façade rigides collés - tôles  CCTB 01.11</w:t>
      </w:r>
      <w:bookmarkEnd w:id="823"/>
    </w:p>
    <w:p w14:paraId="32C7F784" w14:textId="77777777" w:rsidR="00772179" w:rsidRDefault="00000000">
      <w:pPr>
        <w:pStyle w:val="Author-eSectionHeading3Numberless"/>
      </w:pPr>
      <w:bookmarkStart w:id="824" w:name="_Toc220490496"/>
      <w:r>
        <w:t>43.4 Revêtements de façade maçonnés (parement)  CCTB 01.04</w:t>
      </w:r>
      <w:bookmarkEnd w:id="824"/>
    </w:p>
    <w:p w14:paraId="3C6F4DCF" w14:textId="77777777" w:rsidR="00772179" w:rsidRDefault="00000000">
      <w:pPr>
        <w:pStyle w:val="pheading"/>
      </w:pPr>
      <w:r>
        <w:t>DESCRIPTION</w:t>
      </w:r>
    </w:p>
    <w:p w14:paraId="1508C349" w14:textId="77777777" w:rsidR="00772179" w:rsidRDefault="00000000">
      <w:pPr>
        <w:pStyle w:val="pheading"/>
      </w:pPr>
      <w:r>
        <w:t>- Définition / Comprend</w:t>
      </w:r>
    </w:p>
    <w:p w14:paraId="0C388D22" w14:textId="77777777" w:rsidR="00772179" w:rsidRDefault="00000000">
      <w:r>
        <w:t>Renvoi au § 21.3 Maçonneries de parement</w:t>
      </w:r>
    </w:p>
    <w:p w14:paraId="708AFB02" w14:textId="77777777" w:rsidR="00772179" w:rsidRDefault="00000000">
      <w:pPr>
        <w:pStyle w:val="Author-eSectionHeading3Numberless"/>
      </w:pPr>
      <w:bookmarkStart w:id="825" w:name="_Toc220490497"/>
      <w:r>
        <w:t>43.5 Enduits de façade CCTB 01.13</w:t>
      </w:r>
      <w:bookmarkEnd w:id="825"/>
    </w:p>
    <w:p w14:paraId="1ECC7BA2" w14:textId="77777777" w:rsidR="00772179" w:rsidRDefault="00000000">
      <w:pPr>
        <w:pStyle w:val="pheading"/>
      </w:pPr>
      <w:bookmarkStart w:id="826" w:name="998"/>
      <w:bookmarkEnd w:id="826"/>
      <w:r>
        <w:t>DESCRIPTION</w:t>
      </w:r>
    </w:p>
    <w:p w14:paraId="25AFABBA" w14:textId="77777777" w:rsidR="00772179" w:rsidRDefault="00000000">
      <w:pPr>
        <w:pStyle w:val="pheading"/>
      </w:pPr>
      <w:r>
        <w:t>- Définition / Comprend</w:t>
      </w:r>
    </w:p>
    <w:p w14:paraId="5F5BC90C" w14:textId="77777777" w:rsidR="00772179" w:rsidRDefault="00000000">
      <w:r>
        <w:t>Deux types d’enduits :</w:t>
      </w:r>
    </w:p>
    <w:p w14:paraId="5F3CC054" w14:textId="77777777" w:rsidR="00772179" w:rsidRDefault="00000000">
      <w:pPr>
        <w:pStyle w:val="Author-eListParagraph"/>
        <w:numPr>
          <w:ilvl w:val="0"/>
          <w:numId w:val="1068"/>
        </w:numPr>
      </w:pPr>
      <w:r>
        <w:t>Enduits de base ou intermédiaire pour le traitement des supports difficiles à l’extérieur.</w:t>
      </w:r>
    </w:p>
    <w:p w14:paraId="38AB30BB" w14:textId="77777777" w:rsidR="00772179" w:rsidRDefault="00000000">
      <w:pPr>
        <w:pStyle w:val="Author-eListParagraph"/>
        <w:numPr>
          <w:ilvl w:val="0"/>
          <w:numId w:val="1068"/>
        </w:numPr>
      </w:pPr>
      <w:r>
        <w:t>Enduits décoratifs ou crépis pour toutes les applications extérieures de finitions : ils sont soit minéraux, soit à base de résines de silicone. </w:t>
      </w:r>
    </w:p>
    <w:p w14:paraId="1A794416" w14:textId="77777777" w:rsidR="00772179" w:rsidRDefault="00000000">
      <w:r>
        <w:t>Conformément aux dispositions générales et/ou spécifiques du cahier spécial des charges, les prix unitaires compris dans ce poste sont toujours à comprendre, soit selon la ventilation dans le métré récapitulatif, soit dans leur totalité :</w:t>
      </w:r>
    </w:p>
    <w:p w14:paraId="3935C4C7" w14:textId="77777777" w:rsidR="00772179" w:rsidRDefault="00000000">
      <w:pPr>
        <w:pStyle w:val="Author-eListParagraph"/>
        <w:numPr>
          <w:ilvl w:val="0"/>
          <w:numId w:val="1069"/>
        </w:numPr>
      </w:pPr>
      <w:r>
        <w:t>la pose et l'enlèvement des échafaudages et des bâches nécessaires à l'exécution ;</w:t>
      </w:r>
    </w:p>
    <w:p w14:paraId="5ECAD664" w14:textId="77777777" w:rsidR="00772179" w:rsidRDefault="00000000">
      <w:pPr>
        <w:pStyle w:val="Author-eListParagraph"/>
        <w:numPr>
          <w:ilvl w:val="0"/>
          <w:numId w:val="1069"/>
        </w:numPr>
      </w:pPr>
      <w:r>
        <w:lastRenderedPageBreak/>
        <w:t>le cas échéant, l'enlèvement et la remise en place des descentes d'eau de pluie ;</w:t>
      </w:r>
    </w:p>
    <w:p w14:paraId="268F9AD6" w14:textId="77777777" w:rsidR="00772179" w:rsidRDefault="00000000">
      <w:pPr>
        <w:pStyle w:val="Author-eListParagraph"/>
        <w:numPr>
          <w:ilvl w:val="0"/>
          <w:numId w:val="1069"/>
        </w:numPr>
      </w:pPr>
      <w:r>
        <w:t>la protection provisoire des parties de façade non recouvertes ;</w:t>
      </w:r>
    </w:p>
    <w:p w14:paraId="6E33DBC8" w14:textId="77777777" w:rsidR="00772179" w:rsidRDefault="00000000">
      <w:pPr>
        <w:pStyle w:val="Author-eListParagraph"/>
        <w:numPr>
          <w:ilvl w:val="0"/>
          <w:numId w:val="1069"/>
        </w:numPr>
      </w:pPr>
      <w:r>
        <w:t>tous les éléments, y compris tous les accessoires et éléments de fixation, les travaux et fournitures pour la réalisation des enduits de façade ;</w:t>
      </w:r>
    </w:p>
    <w:p w14:paraId="568371E7" w14:textId="77777777" w:rsidR="00772179" w:rsidRDefault="00000000">
      <w:pPr>
        <w:pStyle w:val="Author-eListParagraph"/>
        <w:numPr>
          <w:ilvl w:val="0"/>
          <w:numId w:val="1069"/>
        </w:numPr>
      </w:pPr>
      <w:r>
        <w:t xml:space="preserve">l'évacuation et la gestion des déchets issus de travaux de démolition, de rénovation ou de construction font l'objet d'un ou plusieurs postes spécifiques, détaillés en section </w:t>
      </w:r>
      <w:r>
        <w:rPr>
          <w:color w:val="0000FF"/>
        </w:rPr>
        <w:t>07 Déchets, matériaux et éléments réemployables.</w:t>
      </w:r>
    </w:p>
    <w:p w14:paraId="0BB59AA4" w14:textId="77777777" w:rsidR="00772179" w:rsidRDefault="00000000">
      <w:pPr>
        <w:pStyle w:val="pheading"/>
      </w:pPr>
      <w:r>
        <w:t>MATÉRIAUX</w:t>
      </w:r>
    </w:p>
    <w:p w14:paraId="50FA3262" w14:textId="77777777" w:rsidR="00772179" w:rsidRDefault="00000000">
      <w:r>
        <w:t>Toutes les composantes du système formeront un seul ensemble. Elles sont livrées par le même fournisseur, qui assume, solidairement avec l'exécutant, la responsabilité pour un résultat final satisfaisant.</w:t>
      </w:r>
      <w:r>
        <w:br/>
      </w:r>
      <w:r>
        <w:rPr>
          <w:u w:val="single"/>
        </w:rPr>
        <w:t>Réaction au feu :</w:t>
      </w:r>
      <w:r>
        <w:t xml:space="preserve"> Les enduits de façades en combinaison avec les matériaux sous-jacents (« end use condition ») doivent satisfaire aux exigences requises en fonction du type de bâtiment.</w:t>
      </w:r>
      <w:r>
        <w:br/>
      </w:r>
      <w:r>
        <w:rPr>
          <w:u w:val="single"/>
        </w:rPr>
        <w:t>Support aux prescripteurs : </w:t>
      </w:r>
      <w:r>
        <w:t>[SWL GSI/T1/B] de la prévention passive référencé dans le cahier des références de ce cahier des charges.</w:t>
      </w:r>
    </w:p>
    <w:p w14:paraId="296BCB45" w14:textId="77777777" w:rsidR="00772179" w:rsidRDefault="00000000">
      <w:pPr>
        <w:pStyle w:val="pheading"/>
      </w:pPr>
      <w:r>
        <w:t>EXÉCUTION / MISE EN ŒUVRE</w:t>
      </w:r>
    </w:p>
    <w:p w14:paraId="2761DE99" w14:textId="77777777" w:rsidR="00772179" w:rsidRDefault="00000000">
      <w:r>
        <w:t>Les enduits de façade sont effectués avec le plus grand soin. A cet effet, l'entrepreneur charge exclusivement des ouvriers compétents et spécialisés de l'exécution de l'ouvrage. Lorsque l'entrepreneur confie le travail à un sous-traitant. A cet effet, il soumet une liste de 10 travaux qui ont été exécutés au cours des deux dernières années par le sous-traitant qu'il propose et qui se situent de préférence dans les environs du chantier actuel. Lorsque l'entrepreneur exécute les travaux avec son propre personnel, il donne également ces mêmes références pour chacun des contremaîtres. Le maître de l'ouvrage se réserve le droit de refuser tout ouvrier qui lui semble incompétent ou qui n'exécute pas les travaux avec les soins nécessaires.</w:t>
      </w:r>
      <w:r>
        <w:br/>
        <w:t>Les enduits ne sont pas appliqués lorsque les températures sont &lt; 5 °C, par temps de pluie ou de chaleur torride.</w:t>
      </w:r>
      <w:r>
        <w:br/>
        <w:t>Des protections contre l'ensoleillement et/ou les pluies sont utilisées.</w:t>
      </w:r>
      <w:r>
        <w:br/>
        <w:t>Conformément à la rubrique 01.44 PSS travaux de façade, établie par le coordinateur-projet et annexée au cahier spécial des charges. Toutes les directives en la matière et les indications concrètes données par le coordinateur-réalisation sont scrupuleusement respectées.</w:t>
      </w:r>
    </w:p>
    <w:p w14:paraId="70A566D3" w14:textId="77777777" w:rsidR="00772179" w:rsidRDefault="00000000">
      <w:pPr>
        <w:pStyle w:val="pheading"/>
      </w:pPr>
      <w:r>
        <w:t>DOCUMENTS DE RÉFÉRENCE</w:t>
      </w:r>
    </w:p>
    <w:p w14:paraId="1466A54A" w14:textId="77777777" w:rsidR="00772179" w:rsidRDefault="00000000">
      <w:pPr>
        <w:pStyle w:val="pheading"/>
      </w:pPr>
      <w:r>
        <w:t>- Matériau</w:t>
      </w:r>
    </w:p>
    <w:p w14:paraId="40DFCC71" w14:textId="77777777" w:rsidR="00772179" w:rsidRDefault="00000000">
      <w:r>
        <w:t>[NIT 257, Enduits sur isolation extérieure (ETICS) (remplace partiellement la NIT 209)]</w:t>
      </w:r>
    </w:p>
    <w:p w14:paraId="64B2EC9B" w14:textId="77777777" w:rsidR="00772179" w:rsidRDefault="00000000">
      <w:r>
        <w:t>[NIT 289, Les enduits extérieurs sur maçonnerie et béton]</w:t>
      </w:r>
    </w:p>
    <w:p w14:paraId="3F2BE32E" w14:textId="77777777" w:rsidR="00772179" w:rsidRDefault="00000000">
      <w:r>
        <w:t>[NIT 290, Détails de référence pour les enduits extérieurs sur maçonnerie et béton]</w:t>
      </w:r>
    </w:p>
    <w:p w14:paraId="11B732A2" w14:textId="77777777" w:rsidR="00772179" w:rsidRDefault="00000000">
      <w:r>
        <w:rPr>
          <w:shd w:val="clear" w:color="auto" w:fill="FFFFFF"/>
        </w:rPr>
        <w:t>[Buildwise Article Revue (1999/1), Restauration des murs extérieurs : façades enduites et mises en peinture. (Recherches &amp; Etudes).]</w:t>
      </w:r>
    </w:p>
    <w:p w14:paraId="3C1E18F0" w14:textId="77777777" w:rsidR="00772179" w:rsidRDefault="00000000">
      <w:pPr>
        <w:pStyle w:val="Author-eSectionHeading4Numberless"/>
      </w:pPr>
      <w:bookmarkStart w:id="827" w:name="_Toc220490498"/>
      <w:r>
        <w:t>43.51 Préparation du support CCTB 01.04</w:t>
      </w:r>
      <w:bookmarkEnd w:id="827"/>
    </w:p>
    <w:p w14:paraId="69AF8FD8" w14:textId="77777777" w:rsidR="00772179" w:rsidRDefault="00000000">
      <w:pPr>
        <w:pStyle w:val="Author-eSectionHeading5Numberless"/>
      </w:pPr>
      <w:bookmarkStart w:id="828" w:name="1026"/>
      <w:bookmarkStart w:id="829" w:name="_Toc220490499"/>
      <w:bookmarkEnd w:id="828"/>
      <w:r>
        <w:t>43.51.1 Traitements de surfaces préalables</w:t>
      </w:r>
      <w:bookmarkEnd w:id="829"/>
    </w:p>
    <w:p w14:paraId="0F2E3773" w14:textId="77777777" w:rsidR="00772179" w:rsidRDefault="00000000">
      <w:pPr>
        <w:pStyle w:val="Author-eSectionHeading6Numberless"/>
      </w:pPr>
      <w:bookmarkStart w:id="830" w:name="_Toc220490500"/>
      <w:r>
        <w:t>43.51.1a Couche d'accrochage et d'imprégnation pour support particulier pour enduits de façade CCTB 01.04</w:t>
      </w:r>
      <w:bookmarkEnd w:id="830"/>
    </w:p>
    <w:p w14:paraId="7B11F26B" w14:textId="77777777" w:rsidR="00772179" w:rsidRDefault="00000000">
      <w:pPr>
        <w:pStyle w:val="Author-eSectionHeading6Numberless"/>
      </w:pPr>
      <w:bookmarkStart w:id="831" w:name="_Toc220490501"/>
      <w:r>
        <w:t>43.51.1b Enduit d'égalisation ou de fond pour enduits de façade CCTB 01.04</w:t>
      </w:r>
      <w:bookmarkEnd w:id="831"/>
    </w:p>
    <w:p w14:paraId="7A8DE32F" w14:textId="77777777" w:rsidR="00772179" w:rsidRDefault="00000000">
      <w:pPr>
        <w:pStyle w:val="Author-eSectionHeading5Numberless"/>
      </w:pPr>
      <w:bookmarkStart w:id="832" w:name="_Toc220490502"/>
      <w:r>
        <w:t>43.51.2 Accessoires rigides de support</w:t>
      </w:r>
      <w:bookmarkEnd w:id="832"/>
    </w:p>
    <w:p w14:paraId="30518D11" w14:textId="77777777" w:rsidR="00772179" w:rsidRDefault="00000000">
      <w:pPr>
        <w:pStyle w:val="Author-eSectionHeading6Numberless"/>
      </w:pPr>
      <w:bookmarkStart w:id="833" w:name="_Toc220490503"/>
      <w:r>
        <w:t>43.51.2a Cassettes pour enduits de façades</w:t>
      </w:r>
      <w:bookmarkEnd w:id="833"/>
    </w:p>
    <w:p w14:paraId="439D9CEB" w14:textId="77777777" w:rsidR="00772179" w:rsidRDefault="00000000">
      <w:pPr>
        <w:pStyle w:val="Author-eSectionHeading6Numberless"/>
      </w:pPr>
      <w:bookmarkStart w:id="834" w:name="_Toc220490504"/>
      <w:r>
        <w:t>43.51.2b Gaines pour enduits de façades</w:t>
      </w:r>
      <w:bookmarkEnd w:id="834"/>
    </w:p>
    <w:p w14:paraId="1099B1C0" w14:textId="77777777" w:rsidR="00772179" w:rsidRDefault="00000000">
      <w:pPr>
        <w:pStyle w:val="Author-eSectionHeading4Numberless"/>
      </w:pPr>
      <w:bookmarkStart w:id="835" w:name="_Toc220490505"/>
      <w:r>
        <w:lastRenderedPageBreak/>
        <w:t>43.52 Systèmes d'enduits sur supports non isolants neufs ou anciens CCTB 01.13</w:t>
      </w:r>
      <w:bookmarkEnd w:id="835"/>
    </w:p>
    <w:p w14:paraId="7344C613" w14:textId="77777777" w:rsidR="00772179" w:rsidRDefault="00000000">
      <w:pPr>
        <w:pStyle w:val="pheading"/>
      </w:pPr>
      <w:r>
        <w:t>DESCRIPTION</w:t>
      </w:r>
    </w:p>
    <w:p w14:paraId="306FB101" w14:textId="77777777" w:rsidR="00772179" w:rsidRDefault="00000000">
      <w:pPr>
        <w:pStyle w:val="pheading"/>
      </w:pPr>
      <w:r>
        <w:t>- Définition / Comprend</w:t>
      </w:r>
    </w:p>
    <w:p w14:paraId="47E62EA2" w14:textId="77777777" w:rsidR="00772179" w:rsidRDefault="00000000">
      <w:r>
        <w:t>Il s'agit de toutes les fournitures et de tous les travaux en vue de la réalisation d'une finition de façade et d'un enduit décoratif sur les façades extérieures. Conformément aux dispositions générales et/ou spécifiques du cahier spécial des charges, les prix unitaires compris dans ce poste sont toujours à comprendre, soit selon la ventilation dans le métré récapitulatif, soit dans leur totalité :</w:t>
      </w:r>
    </w:p>
    <w:p w14:paraId="6497CA53" w14:textId="77777777" w:rsidR="00772179" w:rsidRDefault="00000000">
      <w:pPr>
        <w:pStyle w:val="Author-eListParagraph"/>
        <w:numPr>
          <w:ilvl w:val="0"/>
          <w:numId w:val="1070"/>
        </w:numPr>
      </w:pPr>
      <w:r>
        <w:t>la pose et l'enlèvement des échafaudages et des bâches nécessaires pour l'exécution ;</w:t>
      </w:r>
    </w:p>
    <w:p w14:paraId="2E39CB50" w14:textId="77777777" w:rsidR="00772179" w:rsidRDefault="00000000">
      <w:pPr>
        <w:pStyle w:val="Author-eListParagraph"/>
        <w:numPr>
          <w:ilvl w:val="0"/>
          <w:numId w:val="1070"/>
        </w:numPr>
      </w:pPr>
      <w:r>
        <w:t>le cas échéant, l'enlèvement et la remise en place des descentes d'eau de pluie ;</w:t>
      </w:r>
    </w:p>
    <w:p w14:paraId="7A398AE2" w14:textId="77777777" w:rsidR="00772179" w:rsidRDefault="00000000">
      <w:pPr>
        <w:pStyle w:val="Author-eListParagraph"/>
        <w:numPr>
          <w:ilvl w:val="0"/>
          <w:numId w:val="1070"/>
        </w:numPr>
      </w:pPr>
      <w:r>
        <w:t>le remplissage, l'enlèvement et/ou la protection provisoire des parties de façade qui ne sont pas destinées à recevoir du crépi ;</w:t>
      </w:r>
    </w:p>
    <w:p w14:paraId="0C92039B" w14:textId="77777777" w:rsidR="00772179" w:rsidRDefault="00000000">
      <w:pPr>
        <w:pStyle w:val="Author-eListParagraph"/>
        <w:numPr>
          <w:ilvl w:val="0"/>
          <w:numId w:val="1070"/>
        </w:numPr>
      </w:pPr>
      <w:r>
        <w:t>la préparation et le nettoyage du support ;</w:t>
      </w:r>
    </w:p>
    <w:p w14:paraId="58A0FC64" w14:textId="77777777" w:rsidR="00772179" w:rsidRDefault="00000000">
      <w:pPr>
        <w:pStyle w:val="Author-eListParagraph"/>
        <w:numPr>
          <w:ilvl w:val="0"/>
          <w:numId w:val="1070"/>
        </w:numPr>
      </w:pPr>
      <w:r>
        <w:t>la fourniture et la pose des cornières de renforcement d'angle, des profils d'arrêt et des autres accessoires de renfort s'ils sont nécessaires ;</w:t>
      </w:r>
    </w:p>
    <w:p w14:paraId="32FF732D" w14:textId="77777777" w:rsidR="00772179" w:rsidRDefault="00000000">
      <w:pPr>
        <w:pStyle w:val="Author-eListParagraph"/>
        <w:numPr>
          <w:ilvl w:val="0"/>
          <w:numId w:val="1070"/>
        </w:numPr>
      </w:pPr>
      <w:r>
        <w:t>la fourniture, la préparation des enduits décoratifs et l'exécution proprement dite ;</w:t>
      </w:r>
    </w:p>
    <w:p w14:paraId="0CF25FF0" w14:textId="77777777" w:rsidR="00772179" w:rsidRDefault="00000000">
      <w:pPr>
        <w:pStyle w:val="Author-eListParagraph"/>
        <w:numPr>
          <w:ilvl w:val="0"/>
          <w:numId w:val="1070"/>
        </w:numPr>
      </w:pPr>
      <w:r>
        <w:t>l'enlèvement de toutes les protections, la remise en place de tous les éléments démontés et le rangement du chantier ;</w:t>
      </w:r>
    </w:p>
    <w:p w14:paraId="495744D1" w14:textId="77777777" w:rsidR="00772179" w:rsidRDefault="00000000">
      <w:pPr>
        <w:pStyle w:val="Author-eListParagraph"/>
        <w:numPr>
          <w:ilvl w:val="0"/>
          <w:numId w:val="1070"/>
        </w:numPr>
      </w:pPr>
      <w:r>
        <w:t>le nettoyage des éventuelles éclaboussures de crépi ; </w:t>
      </w:r>
    </w:p>
    <w:p w14:paraId="33F7DC78" w14:textId="77777777" w:rsidR="00772179" w:rsidRDefault="00000000">
      <w:pPr>
        <w:pStyle w:val="Author-eListParagraph"/>
        <w:numPr>
          <w:ilvl w:val="0"/>
          <w:numId w:val="1070"/>
        </w:numPr>
      </w:pPr>
      <w:r>
        <w:t xml:space="preserve">l'évacuation et la gestion des déchets issus de travaux de démolition, de rénovation ou de construction font l'objet d'un ou plusieurs postes spécifiques, détaillés en section </w:t>
      </w:r>
      <w:r>
        <w:rPr>
          <w:color w:val="0000FF"/>
        </w:rPr>
        <w:t>07 Déchets, matériaux et éléments réemployables</w:t>
      </w:r>
      <w:r>
        <w:t>.</w:t>
      </w:r>
    </w:p>
    <w:p w14:paraId="46D1B991" w14:textId="77777777" w:rsidR="00772179" w:rsidRDefault="00000000">
      <w:pPr>
        <w:pStyle w:val="pheading"/>
      </w:pPr>
      <w:r>
        <w:t>MATÉRIAUX</w:t>
      </w:r>
    </w:p>
    <w:p w14:paraId="76C8BE92" w14:textId="77777777" w:rsidR="00772179" w:rsidRDefault="00000000">
      <w:r>
        <w:t>Les enduits manufacturés répondent aux normes [NBN EN 998-1] et [NBN EN 15824],  et les accessoires métalliques à la [NBN EN 13658-2].</w:t>
      </w:r>
      <w:r>
        <w:br/>
        <w:t>Les compositions de mortier dosés in situ répondent aux exigences des [NIT 257], [NIT 289]. L'entrepreneur livre la preuve que le mortier choisi présente une résistance adaptée à celle de la couche de fond. La couche supérieure n'a pas une résistance &gt; à la couche sous-jacente. </w:t>
      </w:r>
    </w:p>
    <w:p w14:paraId="0E43F183" w14:textId="77777777" w:rsidR="00772179" w:rsidRDefault="00000000">
      <w:r>
        <w:rPr>
          <w:color w:val="969696"/>
        </w:rPr>
        <w:t xml:space="preserve">PROFILS </w:t>
      </w:r>
    </w:p>
    <w:p w14:paraId="5F94D57A" w14:textId="77777777" w:rsidR="00772179" w:rsidRDefault="00000000">
      <w:r>
        <w:t xml:space="preserve">La fourniture et la pose des cornières d'angles et des profils d'arrêt pour l'application des enduits extérieurs : matériau de base en </w:t>
      </w:r>
      <w:r>
        <w:rPr>
          <w:rStyle w:val="optioncarChar"/>
        </w:rPr>
        <w:t>acier inoxydable / aluminium /PVC</w:t>
      </w:r>
      <w:r>
        <w:t>. Les profils posés en milieu agressifs sont fabriqués en acier inoxydable en fonction de l'agressivité de l'atmosphère (par ex. acier Cr-NI-Mo résistant aux chlorures en milieu marin).</w:t>
      </w:r>
    </w:p>
    <w:p w14:paraId="6BCE8D92" w14:textId="77777777" w:rsidR="00772179" w:rsidRDefault="00000000">
      <w:pPr>
        <w:ind w:left="750"/>
      </w:pPr>
      <w:r>
        <w:t> </w:t>
      </w:r>
    </w:p>
    <w:p w14:paraId="6E1A1B96" w14:textId="77777777" w:rsidR="00772179" w:rsidRDefault="00000000">
      <w:pPr>
        <w:pStyle w:val="pheading"/>
      </w:pPr>
      <w:r>
        <w:t>EXÉCUTION / MISE EN ŒUVRE</w:t>
      </w:r>
    </w:p>
    <w:p w14:paraId="7AA14BF0" w14:textId="77777777" w:rsidR="00772179" w:rsidRDefault="00000000">
      <w:r>
        <w:t>L'exécution est régie par les prescriptions des [NIT 257], [NIT 289].</w:t>
      </w:r>
    </w:p>
    <w:p w14:paraId="18EB3F89" w14:textId="77777777" w:rsidR="00772179" w:rsidRDefault="00000000">
      <w:r>
        <w:rPr>
          <w:color w:val="969696"/>
          <w:u w:val="single"/>
        </w:rPr>
        <w:t>TIMING - Influences Atmosphériques</w:t>
      </w:r>
    </w:p>
    <w:p w14:paraId="13F11C4D" w14:textId="77777777" w:rsidR="00772179" w:rsidRDefault="00000000">
      <w:r>
        <w:t>Les enduits extérieurs ne seront appliqués qu'après la finition extérieure complète du bâtiment, y compris la pose de la menuiserie, des corniches, des gouttières, de l'électricité, etc. ;</w:t>
      </w:r>
      <w:r>
        <w:br/>
        <w:t xml:space="preserve">Les maçonneries en blocs de béton ont </w:t>
      </w:r>
      <w:r>
        <w:rPr>
          <w:shd w:val="clear" w:color="auto" w:fill="FFFFFF"/>
        </w:rPr>
        <w:t>au moins trois mois d'âge;</w:t>
      </w:r>
      <w:r>
        <w:br/>
        <w:t>Les travaux d'enduisage sont interrompus pendant les périodes de grande chaleur; par vent violent, lorsque la température demeure constamment &lt; 5° C et lorsque le gel est à craindre;</w:t>
      </w:r>
      <w:r>
        <w:br/>
        <w:t>Le mur support est entièrement dégelé ;</w:t>
      </w:r>
      <w:r>
        <w:br/>
        <w:t>Le meilleur temps est un temps calme avec un ciel couvert ;</w:t>
      </w:r>
      <w:r>
        <w:br/>
        <w:t>Les ouvrages en cours d'exécution et ceux qui viennent de se terminer sont protégés du soleil et du vent. Ils sont constamment humidifiés. A cet effet, l'entrepreneur veille à disposer des raccordements nécessaires à la distribution d'eau et du matériel d'aspersion nécessaire. </w:t>
      </w:r>
    </w:p>
    <w:p w14:paraId="23D76BEC" w14:textId="77777777" w:rsidR="00772179" w:rsidRDefault="00000000">
      <w:r>
        <w:rPr>
          <w:color w:val="969696"/>
          <w:u w:val="single"/>
        </w:rPr>
        <w:t>Préparation Du Support</w:t>
      </w:r>
    </w:p>
    <w:p w14:paraId="1A540E2F" w14:textId="77777777" w:rsidR="00772179" w:rsidRDefault="00000000">
      <w:r>
        <w:lastRenderedPageBreak/>
        <w:t>L'entrepreneur nettoie les surfaces de manière à ne laisser aucune trace d'organismes végétaux, de saletés, de graisse, d'huile, de sable et de restes de mortier.</w:t>
      </w:r>
    </w:p>
    <w:p w14:paraId="25B0E590" w14:textId="77777777" w:rsidR="00772179" w:rsidRDefault="00000000">
      <w:r>
        <w:rPr>
          <w:i/>
          <w:u w:val="single"/>
        </w:rPr>
        <w:t xml:space="preserve">Méthode de nettoyage des anciens supports : </w:t>
      </w:r>
    </w:p>
    <w:p w14:paraId="0E63798A" w14:textId="77777777" w:rsidR="00772179" w:rsidRDefault="00000000">
      <w:pPr>
        <w:pStyle w:val="Author-eListParagraph"/>
        <w:numPr>
          <w:ilvl w:val="0"/>
          <w:numId w:val="1071"/>
        </w:numPr>
      </w:pPr>
      <w:r>
        <w:t>le nettoyage soigné du mur ;</w:t>
      </w:r>
    </w:p>
    <w:p w14:paraId="193A6DC4" w14:textId="77777777" w:rsidR="00772179" w:rsidRDefault="00000000">
      <w:pPr>
        <w:pStyle w:val="Author-eListParagraph"/>
        <w:numPr>
          <w:ilvl w:val="0"/>
          <w:numId w:val="1071"/>
        </w:numPr>
      </w:pPr>
      <w:r>
        <w:t>sablage éventuel du mur ;</w:t>
      </w:r>
    </w:p>
    <w:p w14:paraId="7191A861" w14:textId="77777777" w:rsidR="00772179" w:rsidRDefault="00000000">
      <w:pPr>
        <w:pStyle w:val="Author-eListParagraph"/>
        <w:numPr>
          <w:ilvl w:val="0"/>
          <w:numId w:val="1071"/>
        </w:numPr>
      </w:pPr>
      <w:r>
        <w:t>avant d'appliquer la couche d'enduit, le support est entièrement nettoyé au jet d'eau.</w:t>
      </w:r>
    </w:p>
    <w:p w14:paraId="7BF58992" w14:textId="77777777" w:rsidR="00772179" w:rsidRDefault="00000000">
      <w:r>
        <w:rPr>
          <w:i/>
          <w:u w:val="single"/>
        </w:rPr>
        <w:t xml:space="preserve">Méthode de nettoyage des nouveaux supports </w:t>
      </w:r>
    </w:p>
    <w:p w14:paraId="15AB9B74" w14:textId="77777777" w:rsidR="00772179" w:rsidRDefault="00000000">
      <w:pPr>
        <w:pStyle w:val="Author-eListParagraph"/>
        <w:numPr>
          <w:ilvl w:val="0"/>
          <w:numId w:val="1072"/>
        </w:numPr>
      </w:pPr>
      <w:r>
        <w:t>l'entrepreneur du crépi a le droit de refuser les briques mal cuites et les briques sujettes à efflorescences. Ces briques sont enlevées et remplacées aux frais de l'entrepreneur du gros-œuvre.</w:t>
      </w:r>
    </w:p>
    <w:p w14:paraId="73777CE4" w14:textId="77777777" w:rsidR="00772179" w:rsidRDefault="00000000">
      <w:pPr>
        <w:pStyle w:val="Author-eListParagraph"/>
        <w:numPr>
          <w:ilvl w:val="0"/>
          <w:numId w:val="1072"/>
        </w:numPr>
      </w:pPr>
      <w:r>
        <w:t>avant l'application de la couche d'enduit, le support est entièrement nettoyé au jet d'eau.</w:t>
      </w:r>
    </w:p>
    <w:p w14:paraId="49FF292B" w14:textId="77777777" w:rsidR="00772179" w:rsidRDefault="00000000">
      <w:r>
        <w:t>La surface satisfait en outre satisfaire aux précautions à prendre selon les recommandations du fabricant :</w:t>
      </w:r>
    </w:p>
    <w:p w14:paraId="5CDB37A7" w14:textId="77777777" w:rsidR="00772179" w:rsidRDefault="00000000">
      <w:pPr>
        <w:pStyle w:val="Author-eListParagraph"/>
        <w:numPr>
          <w:ilvl w:val="0"/>
          <w:numId w:val="1073"/>
        </w:numPr>
      </w:pPr>
      <w:r>
        <w:t>application d'une première couche de mortier spécial</w:t>
      </w:r>
    </w:p>
    <w:p w14:paraId="60F2E41F" w14:textId="77777777" w:rsidR="00772179" w:rsidRDefault="00000000">
      <w:pPr>
        <w:pStyle w:val="Author-eListParagraph"/>
        <w:numPr>
          <w:ilvl w:val="0"/>
          <w:numId w:val="1073"/>
        </w:numPr>
      </w:pPr>
      <w:r>
        <w:t>application d'un primer d'adhérence</w:t>
      </w:r>
    </w:p>
    <w:p w14:paraId="61266D06" w14:textId="77777777" w:rsidR="00772179" w:rsidRDefault="00000000">
      <w:r>
        <w:rPr>
          <w:color w:val="969696"/>
          <w:u w:val="single"/>
        </w:rPr>
        <w:t xml:space="preserve">ENDUISAGE </w:t>
      </w:r>
    </w:p>
    <w:p w14:paraId="1A31715F" w14:textId="77777777" w:rsidR="00772179" w:rsidRDefault="00000000">
      <w:r>
        <w:t>Les mortiers dont la prise a déjà commencé ne sont plus utilisés ni retravaillés en ajoutant de l'eau. Après chaque usage, et au moins chaque soir, les cuves sont grattées et rincées.</w:t>
      </w:r>
    </w:p>
    <w:p w14:paraId="75D71C74" w14:textId="77777777" w:rsidR="00772179" w:rsidRDefault="00000000">
      <w:pPr>
        <w:ind w:left="750"/>
      </w:pPr>
      <w:r>
        <w:t> </w:t>
      </w:r>
    </w:p>
    <w:p w14:paraId="586B9144" w14:textId="77777777" w:rsidR="00772179" w:rsidRDefault="00000000">
      <w:pPr>
        <w:pStyle w:val="pheading"/>
      </w:pPr>
      <w:r>
        <w:t>DOCUMENTS DE RÉFÉRENCE</w:t>
      </w:r>
    </w:p>
    <w:p w14:paraId="31B0B2BF" w14:textId="77777777" w:rsidR="00772179" w:rsidRDefault="00000000">
      <w:pPr>
        <w:pStyle w:val="pheading"/>
      </w:pPr>
      <w:r>
        <w:t>- Matériau</w:t>
      </w:r>
    </w:p>
    <w:p w14:paraId="62C62971" w14:textId="77777777" w:rsidR="00772179" w:rsidRDefault="00000000">
      <w:r>
        <w:t>[NBN EN 998-1, Définitions et spécifications des mortiers pour maçonnerie - Partie 1: Mortiers d'enduits minéraux extérieurs et intérieurs]</w:t>
      </w:r>
    </w:p>
    <w:p w14:paraId="6730CF02" w14:textId="77777777" w:rsidR="00772179" w:rsidRDefault="00000000">
      <w:r>
        <w:t>[Buildwise Article Dossier (2010/2.09), Spécifications pour les mortiers d'enduit.]</w:t>
      </w:r>
    </w:p>
    <w:p w14:paraId="56825C56" w14:textId="77777777" w:rsidR="00772179" w:rsidRDefault="00000000">
      <w:r>
        <w:t>[NBN EN 15824, Spécifications pour enduits de maçonnerie organiques extérieurs et intérieurs]</w:t>
      </w:r>
    </w:p>
    <w:p w14:paraId="621D3C90" w14:textId="77777777" w:rsidR="00772179" w:rsidRDefault="00000000">
      <w:r>
        <w:rPr>
          <w:shd w:val="clear" w:color="auto" w:fill="FFFFFF"/>
        </w:rPr>
        <w:t>[NBN EN 13658-2, Lattis et cornières métalliques - Définitions, exigences et méthodes d'essai - Partie 2 : Enduits extérieurs]</w:t>
      </w:r>
    </w:p>
    <w:p w14:paraId="16A93AAE" w14:textId="77777777" w:rsidR="00772179" w:rsidRDefault="00000000">
      <w:r>
        <w:rPr>
          <w:shd w:val="clear" w:color="auto" w:fill="FFFFFF"/>
        </w:rPr>
        <w:t>[Buildwise Article Dossier (2012/2.09), Profilés pour enduit.]</w:t>
      </w:r>
    </w:p>
    <w:p w14:paraId="753CDAEE" w14:textId="77777777" w:rsidR="00772179" w:rsidRDefault="00000000">
      <w:pPr>
        <w:pStyle w:val="pheading"/>
      </w:pPr>
      <w:r>
        <w:t>- Exécution</w:t>
      </w:r>
    </w:p>
    <w:p w14:paraId="3AA7E5BB" w14:textId="77777777" w:rsidR="00772179" w:rsidRDefault="00000000">
      <w:r>
        <w:rPr>
          <w:shd w:val="clear" w:color="auto" w:fill="FFFFFF"/>
        </w:rPr>
        <w:t>[NBN EN 13914-1, Conception, préparation et application des enduits extérieurs et intérieurs - Partie 1: Enduits extérieurs]</w:t>
      </w:r>
    </w:p>
    <w:p w14:paraId="562507C8" w14:textId="77777777" w:rsidR="00772179" w:rsidRDefault="00000000">
      <w:r>
        <w:t>[NIT 257, Enduits sur isolation extérieure (ETICS) (remplace partiellement la NIT 209)]</w:t>
      </w:r>
    </w:p>
    <w:p w14:paraId="65A85D1E" w14:textId="77777777" w:rsidR="00772179" w:rsidRDefault="00000000">
      <w:r>
        <w:t>[NIT 289, Les enduits extérieurs sur maçonnerie et béton]</w:t>
      </w:r>
    </w:p>
    <w:p w14:paraId="07094376" w14:textId="77777777" w:rsidR="00772179" w:rsidRDefault="00000000">
      <w:pPr>
        <w:pStyle w:val="Author-eSectionHeading5Numberless"/>
      </w:pPr>
      <w:bookmarkStart w:id="836" w:name="_Toc220490506"/>
      <w:r>
        <w:t>43.52.1 Systèmes d'enduits à base de mortier à liant minéral sur supports non isolants CCTB 01.13</w:t>
      </w:r>
      <w:bookmarkEnd w:id="836"/>
    </w:p>
    <w:p w14:paraId="096DA724" w14:textId="77777777" w:rsidR="00772179" w:rsidRDefault="00000000">
      <w:pPr>
        <w:pStyle w:val="pheading"/>
      </w:pPr>
      <w:r>
        <w:t>DESCRIPTION</w:t>
      </w:r>
    </w:p>
    <w:p w14:paraId="4EB1B611" w14:textId="77777777" w:rsidR="00772179" w:rsidRDefault="00000000">
      <w:pPr>
        <w:pStyle w:val="pheading"/>
      </w:pPr>
      <w:r>
        <w:t>- Définition / Comprend</w:t>
      </w:r>
    </w:p>
    <w:p w14:paraId="12A2878A" w14:textId="77777777" w:rsidR="00772179" w:rsidRDefault="00000000">
      <w:r>
        <w:t>La norme [NBN EN 998-1] est d’application pour les mortiers d’enduit minéraux industriels pour murs, plafonds, colonnes et parois intérieurs et extérieurs. Les mortiers d’enduit sont définis comme des mélanges d’eau, d’un ou de plusieurs liants minéraux, de granulats et, éventuellement, d’adjuvants et/ou d’agrégats. Cette norme ne traite pas des enduits au plâtre ou des enduits sur isolation extérieure (ETICS). Les caractéristiques d’un enduit spécifique dépendent principalement des liants utilisés et de leurs dosages respectifs. Par ailleurs, il convient de tenir compte des conditions de mise en œuvre lors de l’application de ces enduits sur le chantier.</w:t>
      </w:r>
    </w:p>
    <w:p w14:paraId="0036790D" w14:textId="77777777" w:rsidR="00772179" w:rsidRDefault="00000000">
      <w:r>
        <w:lastRenderedPageBreak/>
        <w:t>Les mortiers d'enduit sont également dosés in situ. Ils ne sont alors pas couverts par cette norme.</w:t>
      </w:r>
    </w:p>
    <w:p w14:paraId="44CE98E0" w14:textId="77777777" w:rsidR="00772179" w:rsidRDefault="00000000">
      <w:pPr>
        <w:pStyle w:val="pheading"/>
      </w:pPr>
      <w:r>
        <w:t>MATÉRIAUX</w:t>
      </w:r>
    </w:p>
    <w:p w14:paraId="44CBA936" w14:textId="77777777" w:rsidR="00772179" w:rsidRDefault="00000000">
      <w:r>
        <w:t xml:space="preserve">La composition du mortier dosé in situ répond aux exigences des [NIT 257], [NIT 289]. La couche de finition se compose d'un enduit décoratif coloré dans la masse, composé de mortier sec à </w:t>
      </w:r>
      <w:r>
        <w:rPr>
          <w:rStyle w:val="optioncarChar"/>
        </w:rPr>
        <w:t>base minérale</w:t>
      </w:r>
      <w:r>
        <w:t xml:space="preserve"> mélangé à l'avance avec du ciment Portland, des sables de chaux blanche hydratée, et des adjuvants. Aucun produit ne s'ajoute lors de la fabrication. Le gâchage s'effectue aussi bien manuellement qu'à la machine. Ces mortiers présentent une résistance particulière aux sollicitations mécaniques et aux influences de forte teneur en humidité. Le mortier de la couche de finition des enduits colorés est préparé à l'avance et livré en sacs.</w:t>
      </w:r>
    </w:p>
    <w:p w14:paraId="54274AB1" w14:textId="77777777" w:rsidR="00772179" w:rsidRDefault="00000000">
      <w:pPr>
        <w:pStyle w:val="pheading"/>
      </w:pPr>
      <w:r>
        <w:t>EXÉCUTION / MISE EN ŒUVRE</w:t>
      </w:r>
    </w:p>
    <w:p w14:paraId="02694C7C" w14:textId="77777777" w:rsidR="00772179" w:rsidRDefault="00000000">
      <w:r>
        <w:t>Au besoin, traiter préalablement la maçonnerie à l'aide d'une couche de fond pour supports fortement absorbants. </w:t>
      </w:r>
    </w:p>
    <w:p w14:paraId="1CA7DEE8" w14:textId="77777777" w:rsidR="00772179" w:rsidRDefault="00000000">
      <w:r>
        <w:rPr>
          <w:color w:val="969696"/>
        </w:rPr>
        <w:t>Méthode</w:t>
      </w:r>
    </w:p>
    <w:p w14:paraId="6F1F240D" w14:textId="77777777" w:rsidR="00772179" w:rsidRDefault="00000000">
      <w:r>
        <w:t>      ⇒ Appliquer en 1 couche de 15 à 20 mm en continu.</w:t>
      </w:r>
      <w:r>
        <w:br/>
        <w:t xml:space="preserve">      ⇒ maroufler un filet de </w:t>
      </w:r>
      <w:r>
        <w:rPr>
          <w:rStyle w:val="optioncarChar"/>
        </w:rPr>
        <w:t>Nylon / fibre de verre</w:t>
      </w:r>
      <w:r>
        <w:t xml:space="preserve"> dans la surface de l'enduit mouillé</w:t>
      </w:r>
      <w:r>
        <w:br/>
        <w:t>      ⇒ niveler et égaliser l'enduit frais à la règle</w:t>
      </w:r>
      <w:r>
        <w:br/>
        <w:t>      ⇒ rendre la surface rugueuse après le durcissement</w:t>
      </w:r>
      <w:r>
        <w:br/>
        <w:t>      ⇒ la couche de finition ne peut être appliquée qu'après 10 à 14 jours de séchage.</w:t>
      </w:r>
    </w:p>
    <w:p w14:paraId="18B6F94A" w14:textId="77777777" w:rsidR="00772179" w:rsidRDefault="00000000">
      <w:r>
        <w:t>Les prescriptions du fabricant sont strictement respectées. La surface est soigneusement lissée et égalisée. Après le séchage de cet enduit, le support est préparé en vue de l'application de l'enduit décoratif, selon les prescriptions du fabricant. Les joints de mouvement du support sont prolongés dans l'enduit.</w:t>
      </w:r>
    </w:p>
    <w:p w14:paraId="3E865B62" w14:textId="77777777" w:rsidR="00772179" w:rsidRDefault="00000000">
      <w:pPr>
        <w:pStyle w:val="Author-eSectionHeading6Numberless"/>
      </w:pPr>
      <w:bookmarkStart w:id="837" w:name="_Toc220490507"/>
      <w:r>
        <w:t>43.52.1a Systèmes d'enduits de façades décoratifs à base de mortier à liant minéral sur supports non isolants</w:t>
      </w:r>
      <w:bookmarkEnd w:id="837"/>
    </w:p>
    <w:p w14:paraId="436C8DBA" w14:textId="77777777" w:rsidR="00772179" w:rsidRDefault="00000000">
      <w:pPr>
        <w:pStyle w:val="Author-eSectionHeading6Numberless"/>
      </w:pPr>
      <w:bookmarkStart w:id="838" w:name="_Toc220490508"/>
      <w:r>
        <w:t>43.52.1b Systèmes d'enduits d'isolation thermique (T) de façades à base de mortier à liant minéral sur supports non isolants CCTB 01.11</w:t>
      </w:r>
      <w:bookmarkEnd w:id="838"/>
    </w:p>
    <w:p w14:paraId="3685EB38" w14:textId="77777777" w:rsidR="00772179" w:rsidRDefault="00000000">
      <w:pPr>
        <w:pStyle w:val="pheading"/>
      </w:pPr>
      <w:r>
        <w:t>MATÉRIAUX</w:t>
      </w:r>
    </w:p>
    <w:p w14:paraId="4A9D843B" w14:textId="77777777" w:rsidR="00772179" w:rsidRDefault="00000000">
      <w:pPr>
        <w:pStyle w:val="pheading"/>
      </w:pPr>
      <w:r>
        <w:t>- Finitions</w:t>
      </w:r>
    </w:p>
    <w:p w14:paraId="17E6B0D0" w14:textId="77777777" w:rsidR="00772179" w:rsidRDefault="00000000">
      <w:r>
        <w:t xml:space="preserve">Type : </w:t>
      </w:r>
      <w:r>
        <w:rPr>
          <w:rStyle w:val="optioncarChar"/>
        </w:rPr>
        <w:t>***</w:t>
      </w:r>
      <w:r>
        <w:br/>
        <w:t xml:space="preserve">Composition : </w:t>
      </w:r>
      <w:r>
        <w:rPr>
          <w:rStyle w:val="optioncarChar"/>
        </w:rPr>
        <w:t>***</w:t>
      </w:r>
      <w:r>
        <w:br/>
        <w:t xml:space="preserve">Epaisseur : ≥ </w:t>
      </w:r>
      <w:r>
        <w:rPr>
          <w:rStyle w:val="optioncarChar"/>
        </w:rPr>
        <w:t xml:space="preserve">15 </w:t>
      </w:r>
      <w:r>
        <w:t>(par défaut)</w:t>
      </w:r>
      <w:r>
        <w:rPr>
          <w:rStyle w:val="optioncarChar"/>
        </w:rPr>
        <w:t xml:space="preserve"> / 20 / ***</w:t>
      </w:r>
      <w:r>
        <w:t> mm</w:t>
      </w:r>
      <w:r>
        <w:br/>
        <w:t xml:space="preserve">Aspect et structure : </w:t>
      </w:r>
      <w:r>
        <w:rPr>
          <w:rStyle w:val="optioncarChar"/>
        </w:rPr>
        <w:t>***</w:t>
      </w:r>
      <w:r>
        <w:br/>
        <w:t xml:space="preserve">Couleur : </w:t>
      </w:r>
      <w:r>
        <w:rPr>
          <w:rStyle w:val="optioncarChar"/>
        </w:rPr>
        <w:t>***</w:t>
      </w:r>
      <w:r>
        <w:br/>
        <w:t xml:space="preserve">Profils d'angle : </w:t>
      </w:r>
      <w:r>
        <w:rPr>
          <w:rStyle w:val="optioncarChar"/>
        </w:rPr>
        <w:t>acier inoxydable / aluminium / PVC (couleurs à soumettre au maître d’ouvrage)</w:t>
      </w:r>
      <w:r>
        <w:br/>
        <w:t xml:space="preserve">Profils d'arrêt : </w:t>
      </w:r>
      <w:r>
        <w:rPr>
          <w:rStyle w:val="optioncarChar"/>
        </w:rPr>
        <w:t>acier inoxydable / aluminium / PVC (couleurs à soumettre au maître d’ouvrage).</w:t>
      </w:r>
    </w:p>
    <w:p w14:paraId="0819EC30" w14:textId="77777777" w:rsidR="00772179" w:rsidRDefault="00000000">
      <w:pPr>
        <w:pStyle w:val="pheading"/>
      </w:pPr>
      <w:r>
        <w:t>- Prescriptions complémentaires</w:t>
      </w:r>
    </w:p>
    <w:p w14:paraId="6586B1FF" w14:textId="77777777" w:rsidR="00772179" w:rsidRDefault="00000000">
      <w:r>
        <w:t xml:space="preserve">Treillis d'armature : </w:t>
      </w:r>
      <w:r>
        <w:rPr>
          <w:rStyle w:val="optioncarChar"/>
        </w:rPr>
        <w:t>filet de Nylon / fibres de verre / ***</w:t>
      </w:r>
    </w:p>
    <w:p w14:paraId="7B676531" w14:textId="77777777" w:rsidR="00772179" w:rsidRDefault="00000000">
      <w:pPr>
        <w:pStyle w:val="pheading"/>
      </w:pPr>
      <w:r>
        <w:t>MESURAGE</w:t>
      </w:r>
    </w:p>
    <w:p w14:paraId="48A1F5AC" w14:textId="77777777" w:rsidR="00772179" w:rsidRDefault="00000000">
      <w:pPr>
        <w:pStyle w:val="pheading"/>
      </w:pPr>
      <w:r>
        <w:t>- unité de mesure:</w:t>
      </w:r>
    </w:p>
    <w:p w14:paraId="085A9E7B" w14:textId="77777777" w:rsidR="00772179" w:rsidRDefault="00000000">
      <w:r>
        <w:t>m²</w:t>
      </w:r>
    </w:p>
    <w:p w14:paraId="177E83BE" w14:textId="77777777" w:rsidR="00772179" w:rsidRDefault="00000000">
      <w:pPr>
        <w:pStyle w:val="pheading"/>
      </w:pPr>
      <w:r>
        <w:t>- code de mesurage:</w:t>
      </w:r>
    </w:p>
    <w:p w14:paraId="6B90C632" w14:textId="77777777" w:rsidR="00772179" w:rsidRDefault="00000000">
      <w:r>
        <w:t>Surface nette, toutes les ouvertures ≥ 0,5 m sont déduites. Les jours des ouvertures et de fenêtres ainsi que le bas des linteaux sont uniquement comptés (surface nette) lorsque leur largeur est &gt; l'épaisseur du revêtement de façade.</w:t>
      </w:r>
    </w:p>
    <w:p w14:paraId="2C105285" w14:textId="77777777" w:rsidR="00772179" w:rsidRDefault="00000000">
      <w:pPr>
        <w:pStyle w:val="pheading"/>
      </w:pPr>
      <w:r>
        <w:t>- nature du marché:</w:t>
      </w:r>
    </w:p>
    <w:p w14:paraId="093A7097" w14:textId="77777777" w:rsidR="00772179" w:rsidRDefault="00000000">
      <w:r>
        <w:lastRenderedPageBreak/>
        <w:t>QF</w:t>
      </w:r>
    </w:p>
    <w:p w14:paraId="21FE1425" w14:textId="77777777" w:rsidR="00772179" w:rsidRDefault="00000000">
      <w:pPr>
        <w:pStyle w:val="Author-eSectionHeading6Numberless"/>
      </w:pPr>
      <w:bookmarkStart w:id="839" w:name="_Toc220490509"/>
      <w:r>
        <w:t>43.52.1c Systèmes d'enduits d'imperméabilisation de façades à base de mortier à liant minéral sur supports non isolants CCTB 01.02</w:t>
      </w:r>
      <w:bookmarkEnd w:id="839"/>
    </w:p>
    <w:p w14:paraId="2B578744" w14:textId="77777777" w:rsidR="00772179" w:rsidRDefault="00000000">
      <w:pPr>
        <w:pStyle w:val="pheading"/>
      </w:pPr>
      <w:r>
        <w:t>MESURAGE</w:t>
      </w:r>
    </w:p>
    <w:p w14:paraId="57ECFB8A" w14:textId="77777777" w:rsidR="00772179" w:rsidRDefault="00000000">
      <w:pPr>
        <w:pStyle w:val="pheading"/>
      </w:pPr>
      <w:r>
        <w:t>- unité de mesure:</w:t>
      </w:r>
    </w:p>
    <w:p w14:paraId="397AD40B" w14:textId="77777777" w:rsidR="00772179" w:rsidRDefault="00000000">
      <w:r>
        <w:t>m²</w:t>
      </w:r>
    </w:p>
    <w:p w14:paraId="38258DF4" w14:textId="77777777" w:rsidR="00772179" w:rsidRDefault="00000000">
      <w:pPr>
        <w:pStyle w:val="pheading"/>
      </w:pPr>
      <w:r>
        <w:t>- nature du marché:</w:t>
      </w:r>
    </w:p>
    <w:p w14:paraId="13C388F5" w14:textId="77777777" w:rsidR="00772179" w:rsidRDefault="00000000">
      <w:r>
        <w:t>QF</w:t>
      </w:r>
    </w:p>
    <w:p w14:paraId="4F69E523" w14:textId="77777777" w:rsidR="00772179" w:rsidRDefault="00000000">
      <w:pPr>
        <w:pStyle w:val="Author-eSectionHeading5Numberless"/>
      </w:pPr>
      <w:bookmarkStart w:id="840" w:name="_Toc220490510"/>
      <w:r>
        <w:t>43.52.2 Systèmes d'enduits à base de mortier à liant organique (synthétique) sur supports non isolants CCTB 01.13</w:t>
      </w:r>
      <w:bookmarkEnd w:id="840"/>
    </w:p>
    <w:p w14:paraId="2C884A28" w14:textId="77777777" w:rsidR="00772179" w:rsidRDefault="00000000">
      <w:pPr>
        <w:pStyle w:val="pheading"/>
      </w:pPr>
      <w:r>
        <w:t>DESCRIPTION</w:t>
      </w:r>
    </w:p>
    <w:p w14:paraId="03919D3A" w14:textId="77777777" w:rsidR="00772179" w:rsidRDefault="00000000">
      <w:pPr>
        <w:pStyle w:val="pheading"/>
      </w:pPr>
      <w:r>
        <w:t>- Définition / Comprend</w:t>
      </w:r>
    </w:p>
    <w:p w14:paraId="0449727F" w14:textId="77777777" w:rsidR="00772179" w:rsidRDefault="00000000">
      <w:r>
        <w:t>La norme [NBN EN 15824] est d’application pour les enduits organiques industriels pour murs, plafonds, colonnes et parois intérieurs et extérieurs. Elle est applicable également aux enduits inorganiques dont les liants sont des silicates, des silanes, des siloxanes et des silicones. Elle n'est pas applicable aux peintures (voir [NBN EN 1062-1] et [NBN EN 13300] ).</w:t>
      </w:r>
    </w:p>
    <w:p w14:paraId="10BA1D00" w14:textId="77777777" w:rsidR="00772179" w:rsidRDefault="00000000">
      <w:pPr>
        <w:pStyle w:val="pheading"/>
      </w:pPr>
      <w:r>
        <w:t>MATÉRIAUX</w:t>
      </w:r>
    </w:p>
    <w:p w14:paraId="4EF73894" w14:textId="77777777" w:rsidR="00772179" w:rsidRDefault="00000000">
      <w:r>
        <w:t>Ils répondent aux spécifications des normes européennes en vigueur.</w:t>
      </w:r>
    </w:p>
    <w:p w14:paraId="7D426CB7" w14:textId="77777777" w:rsidR="00772179" w:rsidRDefault="00000000">
      <w:pPr>
        <w:pStyle w:val="pheading"/>
      </w:pPr>
      <w:r>
        <w:t>DOCUMENTS DE RÉFÉRENCE</w:t>
      </w:r>
    </w:p>
    <w:p w14:paraId="78519858" w14:textId="77777777" w:rsidR="00772179" w:rsidRDefault="00000000">
      <w:pPr>
        <w:pStyle w:val="pheading"/>
      </w:pPr>
      <w:r>
        <w:t>- Exécution</w:t>
      </w:r>
    </w:p>
    <w:p w14:paraId="6D4E6F83" w14:textId="77777777" w:rsidR="00772179" w:rsidRDefault="00000000">
      <w:r>
        <w:t>[NBN EN 13914-2, Conception, préparation et mise en oeuvre des enduits extérieurs et intérieurs - Partie 2: Enduits intérieurs]</w:t>
      </w:r>
    </w:p>
    <w:p w14:paraId="7518E50E" w14:textId="77777777" w:rsidR="00772179" w:rsidRDefault="00000000">
      <w:r>
        <w:t>[NIT 257, Enduits sur isolation extérieure (ETICS) (remplace partiellement la NIT 209)]</w:t>
      </w:r>
    </w:p>
    <w:p w14:paraId="57183CA6" w14:textId="77777777" w:rsidR="00772179" w:rsidRDefault="00000000">
      <w:r>
        <w:t>[NIT 289, Les enduits extérieurs sur maçonnerie et béton]</w:t>
      </w:r>
    </w:p>
    <w:p w14:paraId="57DBA22A" w14:textId="77777777" w:rsidR="00772179" w:rsidRDefault="00000000">
      <w:pPr>
        <w:pStyle w:val="Author-eSectionHeading6Numberless"/>
      </w:pPr>
      <w:bookmarkStart w:id="841" w:name="_Toc220490511"/>
      <w:r>
        <w:t>43.52.2a Systèmes d'enduits de façades décoratifs à base de mortier à liant organique sur supports non isolants</w:t>
      </w:r>
      <w:bookmarkEnd w:id="841"/>
    </w:p>
    <w:p w14:paraId="1FE91ABF" w14:textId="77777777" w:rsidR="00772179" w:rsidRDefault="00000000">
      <w:pPr>
        <w:pStyle w:val="Author-eSectionHeading6Numberless"/>
      </w:pPr>
      <w:bookmarkStart w:id="842" w:name="_Toc220490512"/>
      <w:r>
        <w:t>43.52.2b Systèmes d'enduits d'isolation thermique (T) de façades à base de mortier à liant organique sur supports non isolants CCTB 01.11</w:t>
      </w:r>
      <w:bookmarkEnd w:id="842"/>
    </w:p>
    <w:p w14:paraId="4CB3E408" w14:textId="77777777" w:rsidR="00772179" w:rsidRDefault="00000000">
      <w:pPr>
        <w:pStyle w:val="pheading"/>
      </w:pPr>
      <w:r>
        <w:t>MATÉRIAUX</w:t>
      </w:r>
    </w:p>
    <w:p w14:paraId="2C3FEE29" w14:textId="77777777" w:rsidR="00772179" w:rsidRDefault="00000000">
      <w:pPr>
        <w:pStyle w:val="pheading"/>
      </w:pPr>
      <w:r>
        <w:t>- Finitions</w:t>
      </w:r>
    </w:p>
    <w:p w14:paraId="2BA059E9" w14:textId="77777777" w:rsidR="00772179" w:rsidRDefault="00000000">
      <w:r>
        <w:t xml:space="preserve">Type : </w:t>
      </w:r>
      <w:r>
        <w:rPr>
          <w:rStyle w:val="optioncarChar"/>
        </w:rPr>
        <w:t>***</w:t>
      </w:r>
      <w:r>
        <w:br/>
        <w:t xml:space="preserve">Composition : </w:t>
      </w:r>
      <w:r>
        <w:rPr>
          <w:rStyle w:val="optioncarChar"/>
        </w:rPr>
        <w:t>***</w:t>
      </w:r>
      <w:r>
        <w:br/>
        <w:t xml:space="preserve">Epaisseur : ≥ </w:t>
      </w:r>
      <w:r>
        <w:rPr>
          <w:rStyle w:val="optioncarChar"/>
        </w:rPr>
        <w:t xml:space="preserve">15 </w:t>
      </w:r>
      <w:r>
        <w:t>(par défaut)</w:t>
      </w:r>
      <w:r>
        <w:rPr>
          <w:rStyle w:val="optioncarChar"/>
        </w:rPr>
        <w:t xml:space="preserve"> / 20 / *** </w:t>
      </w:r>
      <w:r>
        <w:t>mm</w:t>
      </w:r>
      <w:r>
        <w:br/>
        <w:t xml:space="preserve">Aspect et structure : </w:t>
      </w:r>
      <w:r>
        <w:rPr>
          <w:rStyle w:val="optioncarChar"/>
        </w:rPr>
        <w:t>***</w:t>
      </w:r>
      <w:r>
        <w:br/>
        <w:t xml:space="preserve">Couleur : </w:t>
      </w:r>
      <w:r>
        <w:rPr>
          <w:rStyle w:val="optioncarChar"/>
        </w:rPr>
        <w:t>***</w:t>
      </w:r>
      <w:r>
        <w:br/>
        <w:t xml:space="preserve">Profils d'angle : </w:t>
      </w:r>
      <w:r>
        <w:rPr>
          <w:rStyle w:val="optioncarChar"/>
        </w:rPr>
        <w:t>acier inoxydable / aluminium / PVC (couleurs à soumettre au maître d’ouvrage)</w:t>
      </w:r>
      <w:r>
        <w:br/>
        <w:t xml:space="preserve">Profils d'arrêt : </w:t>
      </w:r>
      <w:r>
        <w:rPr>
          <w:rStyle w:val="optioncarChar"/>
        </w:rPr>
        <w:t>acier inoxydable / aluminium / PVC (couleurs à soumettre au maître d’ouvrage).</w:t>
      </w:r>
    </w:p>
    <w:p w14:paraId="41A61045" w14:textId="77777777" w:rsidR="00772179" w:rsidRDefault="00000000">
      <w:pPr>
        <w:pStyle w:val="pheading"/>
      </w:pPr>
      <w:r>
        <w:t>- Prescriptions complémentaires</w:t>
      </w:r>
    </w:p>
    <w:p w14:paraId="1ACAEBA1" w14:textId="77777777" w:rsidR="00772179" w:rsidRDefault="00000000">
      <w:r>
        <w:t xml:space="preserve">Treillis d'armature : </w:t>
      </w:r>
      <w:r>
        <w:rPr>
          <w:rStyle w:val="optioncarChar"/>
        </w:rPr>
        <w:t>filet de Nylon / fibres de verre </w:t>
      </w:r>
    </w:p>
    <w:p w14:paraId="75BE3AAE" w14:textId="77777777" w:rsidR="00772179" w:rsidRDefault="00000000">
      <w:pPr>
        <w:pStyle w:val="pheading"/>
      </w:pPr>
      <w:r>
        <w:t>MESURAGE</w:t>
      </w:r>
    </w:p>
    <w:p w14:paraId="1DDE1216" w14:textId="77777777" w:rsidR="00772179" w:rsidRDefault="00000000">
      <w:pPr>
        <w:pStyle w:val="pheading"/>
      </w:pPr>
      <w:r>
        <w:t>- unité de mesure:</w:t>
      </w:r>
    </w:p>
    <w:p w14:paraId="6B68869E" w14:textId="77777777" w:rsidR="00772179" w:rsidRDefault="00000000">
      <w:r>
        <w:lastRenderedPageBreak/>
        <w:t>m²</w:t>
      </w:r>
    </w:p>
    <w:p w14:paraId="2401572F" w14:textId="77777777" w:rsidR="00772179" w:rsidRDefault="00000000">
      <w:pPr>
        <w:pStyle w:val="pheading"/>
      </w:pPr>
      <w:r>
        <w:t>- code de mesurage:</w:t>
      </w:r>
    </w:p>
    <w:p w14:paraId="627A5C3F" w14:textId="77777777" w:rsidR="00772179" w:rsidRDefault="00000000">
      <w:r>
        <w:t>Surface nette, toutes les ouvertures ≥ 0,5 m sont déduites. Les jours des ouvertures et de fenêtres ainsi que le bas des linteaux sont uniquement comptés (surface nette) lorsque leur largeur est &gt; l'épaisseur du revêtement de façade.</w:t>
      </w:r>
    </w:p>
    <w:p w14:paraId="0B31C33E" w14:textId="77777777" w:rsidR="00772179" w:rsidRDefault="00000000">
      <w:pPr>
        <w:pStyle w:val="pheading"/>
      </w:pPr>
      <w:r>
        <w:t>- nature du marché:</w:t>
      </w:r>
    </w:p>
    <w:p w14:paraId="0F1BD9A6" w14:textId="77777777" w:rsidR="00772179" w:rsidRDefault="00000000">
      <w:r>
        <w:t>QF</w:t>
      </w:r>
    </w:p>
    <w:p w14:paraId="3A796AA8" w14:textId="77777777" w:rsidR="00772179" w:rsidRDefault="00000000">
      <w:pPr>
        <w:pStyle w:val="Author-eSectionHeading6Numberless"/>
      </w:pPr>
      <w:bookmarkStart w:id="843" w:name="_Toc220490513"/>
      <w:r>
        <w:t>43.52.2c Systèmes d'enduits d'imperméabilisation de façades à base de mortier à liant organique sur supports non isolants CCTB 01.02</w:t>
      </w:r>
      <w:bookmarkEnd w:id="843"/>
    </w:p>
    <w:p w14:paraId="5EFD6F18" w14:textId="77777777" w:rsidR="00772179" w:rsidRDefault="00000000">
      <w:pPr>
        <w:pStyle w:val="Author-eSectionHeading4Numberless"/>
      </w:pPr>
      <w:bookmarkStart w:id="844" w:name="_Toc220490514"/>
      <w:r>
        <w:t>43.53 Systèmes d'enduits sur panneaux isolants CCTB 01.13</w:t>
      </w:r>
      <w:bookmarkEnd w:id="844"/>
    </w:p>
    <w:p w14:paraId="3B9BD12C" w14:textId="77777777" w:rsidR="00772179" w:rsidRDefault="00000000">
      <w:pPr>
        <w:pStyle w:val="pheading"/>
      </w:pPr>
      <w:bookmarkStart w:id="845" w:name="1022"/>
      <w:bookmarkEnd w:id="845"/>
      <w:r>
        <w:t>DESCRIPTION</w:t>
      </w:r>
    </w:p>
    <w:p w14:paraId="63B45C93" w14:textId="77777777" w:rsidR="00772179" w:rsidRDefault="00000000">
      <w:pPr>
        <w:pStyle w:val="pheading"/>
      </w:pPr>
      <w:r>
        <w:t>- Définition / Comprend</w:t>
      </w:r>
    </w:p>
    <w:p w14:paraId="19505A35" w14:textId="77777777" w:rsidR="00772179" w:rsidRDefault="00000000">
      <w:pPr>
        <w:jc w:val="both"/>
      </w:pPr>
      <w:r>
        <w:t>Il s'agit de toutes les fournitures et de tous les travaux en vue de la réalisation d'une finition de façade en crépi sur panneaux d'isolation. </w:t>
      </w:r>
    </w:p>
    <w:p w14:paraId="3AA15ED3" w14:textId="77777777" w:rsidR="00772179" w:rsidRDefault="00000000">
      <w:pPr>
        <w:jc w:val="both"/>
      </w:pPr>
      <w:r>
        <w:t>Pour les travaux d'isolation des murs de façade par l'extérieur, avant pose de bardages, la  référence est </w:t>
      </w:r>
      <w:hyperlink w:anchor="72" w:history="1">
        <w:r>
          <w:rPr>
            <w:color w:val="0000EE"/>
          </w:rPr>
          <w:t>44.4 Isolation</w:t>
        </w:r>
      </w:hyperlink>
      <w:r>
        <w:t>.</w:t>
      </w:r>
    </w:p>
    <w:p w14:paraId="5BBF87A3" w14:textId="77777777" w:rsidR="00772179" w:rsidRDefault="00000000">
      <w:pPr>
        <w:jc w:val="both"/>
      </w:pPr>
      <w:r>
        <w:t>Conformément aux dispositions générales et/ou spécifiques du cahier spécial des charges, les prix unitaires compris dans ce poste comprennent toujours, soit selon la ventilation dans le métré récapitulatif, soit dans leur totalité :</w:t>
      </w:r>
    </w:p>
    <w:p w14:paraId="5DC360E3" w14:textId="77777777" w:rsidR="00772179" w:rsidRDefault="00000000">
      <w:pPr>
        <w:pStyle w:val="Author-eListParagraph"/>
        <w:numPr>
          <w:ilvl w:val="0"/>
          <w:numId w:val="1074"/>
        </w:numPr>
      </w:pPr>
      <w:r>
        <w:t>la pose et l'enlèvement des échafaudages et des bâches nécessaires à l'exécution ;</w:t>
      </w:r>
    </w:p>
    <w:p w14:paraId="2B68DB27" w14:textId="77777777" w:rsidR="00772179" w:rsidRDefault="00000000">
      <w:pPr>
        <w:pStyle w:val="Author-eListParagraph"/>
        <w:numPr>
          <w:ilvl w:val="0"/>
          <w:numId w:val="1074"/>
        </w:numPr>
      </w:pPr>
      <w:r>
        <w:t>le cas échéant, l'enlèvement et la remise en place des descentes d'eau de pluie ;</w:t>
      </w:r>
    </w:p>
    <w:p w14:paraId="70AC3637" w14:textId="77777777" w:rsidR="00772179" w:rsidRDefault="00000000">
      <w:pPr>
        <w:pStyle w:val="Author-eListParagraph"/>
        <w:numPr>
          <w:ilvl w:val="0"/>
          <w:numId w:val="1074"/>
        </w:numPr>
      </w:pPr>
      <w:r>
        <w:t>le remplissage, l'enlèvement et/ou la protection provisoire des parties de façade qui ne sont pas destinées à recevoir du crépi ;</w:t>
      </w:r>
    </w:p>
    <w:p w14:paraId="19A8CE06" w14:textId="77777777" w:rsidR="00772179" w:rsidRDefault="00000000">
      <w:pPr>
        <w:pStyle w:val="Author-eListParagraph"/>
        <w:numPr>
          <w:ilvl w:val="0"/>
          <w:numId w:val="1074"/>
        </w:numPr>
      </w:pPr>
      <w:r>
        <w:t>la préparation et le nettoyage du support ;</w:t>
      </w:r>
    </w:p>
    <w:p w14:paraId="7BF48156" w14:textId="77777777" w:rsidR="00772179" w:rsidRDefault="00000000">
      <w:pPr>
        <w:pStyle w:val="Author-eListParagraph"/>
        <w:numPr>
          <w:ilvl w:val="0"/>
          <w:numId w:val="1074"/>
        </w:numPr>
      </w:pPr>
      <w:r>
        <w:t>la fourniture et la pose de la couche d'isolation ;</w:t>
      </w:r>
    </w:p>
    <w:p w14:paraId="6E12B32E" w14:textId="77777777" w:rsidR="00772179" w:rsidRDefault="00000000">
      <w:pPr>
        <w:pStyle w:val="Author-eListParagraph"/>
        <w:numPr>
          <w:ilvl w:val="0"/>
          <w:numId w:val="1074"/>
        </w:numPr>
      </w:pPr>
      <w:r>
        <w:t>la fourniture et la pose des cornières de renfort aux angles, des profils d'arrêt et des autres accessoires de renfort s'ils sont nécessaires ;</w:t>
      </w:r>
    </w:p>
    <w:p w14:paraId="5E70DE20" w14:textId="77777777" w:rsidR="00772179" w:rsidRDefault="00000000">
      <w:pPr>
        <w:pStyle w:val="Author-eListParagraph"/>
        <w:numPr>
          <w:ilvl w:val="0"/>
          <w:numId w:val="1074"/>
        </w:numPr>
      </w:pPr>
      <w:r>
        <w:t>la fourniture, la préparation des enduits décoratifs et l'exécution proprement dite ;</w:t>
      </w:r>
    </w:p>
    <w:p w14:paraId="2B06598D" w14:textId="77777777" w:rsidR="00772179" w:rsidRDefault="00000000">
      <w:pPr>
        <w:pStyle w:val="Author-eListParagraph"/>
        <w:numPr>
          <w:ilvl w:val="0"/>
          <w:numId w:val="1074"/>
        </w:numPr>
      </w:pPr>
      <w:r>
        <w:t>l'enlèvement de toutes les protections, la remise en place de tous les éléments démontés et le rangement du chantier ;</w:t>
      </w:r>
    </w:p>
    <w:p w14:paraId="2DA64D97" w14:textId="77777777" w:rsidR="00772179" w:rsidRDefault="00000000">
      <w:pPr>
        <w:pStyle w:val="Author-eListParagraph"/>
        <w:numPr>
          <w:ilvl w:val="0"/>
          <w:numId w:val="1074"/>
        </w:numPr>
      </w:pPr>
      <w:r>
        <w:t>le nettoyage des éventuelles éclaboussures d’enduit ;</w:t>
      </w:r>
    </w:p>
    <w:p w14:paraId="5FFB6BC0" w14:textId="77777777" w:rsidR="00772179" w:rsidRDefault="00000000">
      <w:pPr>
        <w:pStyle w:val="Author-eListParagraph"/>
        <w:numPr>
          <w:ilvl w:val="0"/>
          <w:numId w:val="1074"/>
        </w:numPr>
      </w:pPr>
      <w:r>
        <w:t>l'évacuation et la gestion des déchets issus de travaux de démolition, de rénovation ou de construction font l'objet d'un ou plusieurs postes spécifiques, détaillés en section 07 Déchets, matériaux et éléments réemployables. </w:t>
      </w:r>
    </w:p>
    <w:p w14:paraId="4B61930B" w14:textId="77777777" w:rsidR="00772179" w:rsidRDefault="00000000">
      <w:pPr>
        <w:jc w:val="both"/>
      </w:pPr>
      <w:r>
        <w:t>Sauf disposition contraire dans le cahier spécial des charges, les opérations suivantes ne font pas parties du présent travail et sont décrites dans des articles relatifs à la préparation du support sous le </w:t>
      </w:r>
      <w:hyperlink w:anchor="1026" w:history="1">
        <w:r>
          <w:rPr>
            <w:color w:val="0000EE"/>
          </w:rPr>
          <w:t>43.51 Préparation du support</w:t>
        </w:r>
      </w:hyperlink>
      <w:r>
        <w:t xml:space="preserve"> ou autre tel que précisé :</w:t>
      </w:r>
    </w:p>
    <w:p w14:paraId="7952F538" w14:textId="77777777" w:rsidR="00772179" w:rsidRDefault="00000000">
      <w:pPr>
        <w:pStyle w:val="Author-eListParagraph"/>
        <w:numPr>
          <w:ilvl w:val="0"/>
          <w:numId w:val="1075"/>
        </w:numPr>
      </w:pPr>
      <w:r>
        <w:t>l’augmentation de la rugosité du support ;</w:t>
      </w:r>
    </w:p>
    <w:p w14:paraId="7E965894" w14:textId="77777777" w:rsidR="00772179" w:rsidRDefault="00000000">
      <w:pPr>
        <w:pStyle w:val="Author-eListParagraph"/>
        <w:numPr>
          <w:ilvl w:val="0"/>
          <w:numId w:val="1075"/>
        </w:numPr>
      </w:pPr>
      <w:r>
        <w:t>l’élimination des inégalités importantes du support en procédant, par exemple, à l’application d’une couche d’égalisation visant à corriger les surfaces hors tolérances ;</w:t>
      </w:r>
    </w:p>
    <w:p w14:paraId="68D1340D" w14:textId="77777777" w:rsidR="00772179" w:rsidRDefault="00000000">
      <w:pPr>
        <w:pStyle w:val="Author-eListParagraph"/>
        <w:numPr>
          <w:ilvl w:val="0"/>
          <w:numId w:val="1075"/>
        </w:numPr>
      </w:pPr>
      <w:r>
        <w:t>l’enlèvement ou la neutralisation des produits de décoffrage ;</w:t>
      </w:r>
    </w:p>
    <w:p w14:paraId="3CC6D487" w14:textId="77777777" w:rsidR="00772179" w:rsidRDefault="00000000">
      <w:pPr>
        <w:pStyle w:val="Author-eListParagraph"/>
        <w:numPr>
          <w:ilvl w:val="0"/>
          <w:numId w:val="1075"/>
        </w:numPr>
      </w:pPr>
      <w:r>
        <w:t>la protection contre la corrosion des parties métalliques (tuyauteries, par exemple) ;</w:t>
      </w:r>
    </w:p>
    <w:p w14:paraId="32D417E9" w14:textId="77777777" w:rsidR="00772179" w:rsidRDefault="00000000">
      <w:pPr>
        <w:pStyle w:val="Author-eListParagraph"/>
        <w:numPr>
          <w:ilvl w:val="0"/>
          <w:numId w:val="1075"/>
        </w:numPr>
      </w:pPr>
      <w:r>
        <w:t>l’élimination des efflorescences éventuelles ;</w:t>
      </w:r>
    </w:p>
    <w:p w14:paraId="0DA60975" w14:textId="77777777" w:rsidR="00772179" w:rsidRDefault="00000000">
      <w:pPr>
        <w:pStyle w:val="Author-eListParagraph"/>
        <w:numPr>
          <w:ilvl w:val="0"/>
          <w:numId w:val="1075"/>
        </w:numPr>
      </w:pPr>
      <w:r>
        <w:t>toute protection autre que celles généralement prévues.</w:t>
      </w:r>
    </w:p>
    <w:p w14:paraId="35C58FBE" w14:textId="77777777" w:rsidR="00772179" w:rsidRDefault="00000000">
      <w:pPr>
        <w:pStyle w:val="Author-eListParagraph"/>
        <w:numPr>
          <w:ilvl w:val="0"/>
          <w:numId w:val="1075"/>
        </w:numPr>
      </w:pPr>
      <w:r>
        <w:t>La fourniture et l’application d’un traitement tel qu’un antigraffiti (voir 8 T8 Travaux de peinture / Traitements de surface.)</w:t>
      </w:r>
    </w:p>
    <w:p w14:paraId="77283560" w14:textId="77777777" w:rsidR="00772179" w:rsidRDefault="00000000">
      <w:pPr>
        <w:jc w:val="both"/>
      </w:pPr>
      <w:r>
        <w:lastRenderedPageBreak/>
        <w:t>Les zones de façades courantes se distinguent de la zone de plinthe située entre 50 cm sous le niveau de sol extérieur et minimum 30 cm au-dessus. Les spécifications relatives au système et ses composants sont plus strictes dans ce dernier cas.</w:t>
      </w:r>
    </w:p>
    <w:p w14:paraId="5C949D68" w14:textId="77777777" w:rsidR="00772179" w:rsidRDefault="00000000">
      <w:pPr>
        <w:jc w:val="both"/>
      </w:pPr>
      <w:r>
        <w:rPr>
          <w:u w:val="single"/>
        </w:rPr>
        <w:t>Types d'enduits</w:t>
      </w:r>
      <w:r>
        <w:t> :</w:t>
      </w:r>
    </w:p>
    <w:p w14:paraId="4C679099" w14:textId="77777777" w:rsidR="00772179" w:rsidRDefault="00000000">
      <w:pPr>
        <w:jc w:val="both"/>
      </w:pPr>
      <w:r>
        <w:t>L'enduit est constitué d'une couche (enduit) de base armée (liant minéral ou organique) et d'une couche (enduit) de finition.</w:t>
      </w:r>
    </w:p>
    <w:p w14:paraId="3C23140D" w14:textId="77777777" w:rsidR="00772179" w:rsidRDefault="00000000">
      <w:pPr>
        <w:jc w:val="both"/>
      </w:pPr>
      <w:r>
        <w:t>Il existe plusieurs familles d'enduits de finition : les enduits minéraux, les enduits organiques, les enduits organiques siliconés et les enduits aux silicates.</w:t>
      </w:r>
    </w:p>
    <w:p w14:paraId="28C501BA" w14:textId="77777777" w:rsidR="00772179" w:rsidRDefault="00000000">
      <w:pPr>
        <w:jc w:val="both"/>
      </w:pPr>
      <w:r>
        <w:t>L'enduit faisant partie d'un système isolant-enduit est de préférence prédosé en usine. Il est composé de charges, d'eau, d'un ou plusieurs liants, et éventuellement d'adjuvants et de pigments. </w:t>
      </w:r>
    </w:p>
    <w:p w14:paraId="28E00F98" w14:textId="77777777" w:rsidR="00772179" w:rsidRDefault="00000000">
      <w:pPr>
        <w:pStyle w:val="Author-eListParagraph"/>
        <w:numPr>
          <w:ilvl w:val="0"/>
          <w:numId w:val="1076"/>
        </w:numPr>
      </w:pPr>
      <w:r>
        <w:t>Le liant d'un enduit minéral est le ciment ou la chaux, ou encore un mélange des deux.</w:t>
      </w:r>
    </w:p>
    <w:p w14:paraId="36C2F796" w14:textId="77777777" w:rsidR="00772179" w:rsidRDefault="00000000">
      <w:pPr>
        <w:pStyle w:val="Author-eListParagraph"/>
        <w:numPr>
          <w:ilvl w:val="0"/>
          <w:numId w:val="1076"/>
        </w:numPr>
      </w:pPr>
      <w:r>
        <w:t>Le liant d'un enduit organique est constitué d'un ou de plusieurs types de résines.</w:t>
      </w:r>
    </w:p>
    <w:p w14:paraId="70A10643" w14:textId="77777777" w:rsidR="00772179" w:rsidRDefault="00000000">
      <w:pPr>
        <w:pStyle w:val="Author-eListParagraph"/>
        <w:numPr>
          <w:ilvl w:val="0"/>
          <w:numId w:val="1076"/>
        </w:numPr>
      </w:pPr>
      <w:r>
        <w:t>Le liant d'un enduit aux silicates et aux silicones est un liant siliceux. </w:t>
      </w:r>
    </w:p>
    <w:p w14:paraId="6C7A3132" w14:textId="77777777" w:rsidR="00772179" w:rsidRDefault="00000000">
      <w:pPr>
        <w:jc w:val="both"/>
      </w:pPr>
      <w:r>
        <w:t>Les enduits minéraux sont plus épais que les enduits synthétiques, les enduits à base de silicates et les enduits à base de silicones. </w:t>
      </w:r>
    </w:p>
    <w:p w14:paraId="26BE4AEB" w14:textId="77777777" w:rsidR="00772179" w:rsidRDefault="00000000">
      <w:pPr>
        <w:jc w:val="both"/>
      </w:pPr>
      <w:r>
        <w:t>Les enduits de finition utilisés sur les panneaux isolants sont généralement "décoratifs" et diffèrent par leur aspect et leur couleur. Ils sont du type lisse, crépi, roulé, peigné, gratté, lavé, projeté, etc. </w:t>
      </w:r>
    </w:p>
    <w:p w14:paraId="6D4CE7AB" w14:textId="77777777" w:rsidR="00772179" w:rsidRDefault="00000000">
      <w:pPr>
        <w:jc w:val="both"/>
      </w:pPr>
      <w:r>
        <w:t>Les enduits appliqués sur isolant sont munis d'un treillis de renforcement, synthétique ou métallique, résistant aux alcalis et à la corrosion.</w:t>
      </w:r>
    </w:p>
    <w:p w14:paraId="3A608435" w14:textId="77777777" w:rsidR="00772179" w:rsidRDefault="00000000">
      <w:pPr>
        <w:pStyle w:val="pheading"/>
      </w:pPr>
      <w:r>
        <w:t>MATÉRIAUX</w:t>
      </w:r>
    </w:p>
    <w:p w14:paraId="23BCAD1D" w14:textId="77777777" w:rsidR="00772179" w:rsidRDefault="00000000">
      <w:pPr>
        <w:jc w:val="both"/>
      </w:pPr>
      <w:r>
        <w:t>Le système répond au moins aux spécifications de l’[EAD 040083-00-0404]. Pour le choix d’un système et de ses composants ainsi que pour la mise en œuvre, il importe de se conformer aux instructions et informations techniques accompagnant le système et ses composants.</w:t>
      </w:r>
    </w:p>
    <w:p w14:paraId="1849EC6E" w14:textId="77777777" w:rsidR="00772179" w:rsidRDefault="00000000">
      <w:pPr>
        <w:jc w:val="both"/>
      </w:pPr>
      <w:r>
        <w:t>Le système dispose d'une déclaration d'aptitude à l'utilisation selon l'article 02.42.1 Critères d'acceptabilité</w:t>
      </w:r>
    </w:p>
    <w:p w14:paraId="670008F5" w14:textId="77777777" w:rsidR="00772179" w:rsidRDefault="00000000">
      <w:pPr>
        <w:jc w:val="both"/>
      </w:pPr>
      <w:r>
        <w:t>Les composantes du système constituent un tout après la mise en œuvre et proviennent obligatoirement du même fournisseur.</w:t>
      </w:r>
    </w:p>
    <w:p w14:paraId="07648669" w14:textId="77777777" w:rsidR="00772179" w:rsidRDefault="00000000">
      <w:pPr>
        <w:jc w:val="both"/>
      </w:pPr>
      <w:r>
        <w:t xml:space="preserve">Lorsqu'un enduit de couleur est appliqué, l'entrepreneur prend les précautions nécessaires à la commande, de façon telle que toute la quantité soit livrée en un seul lot afin de ne pas être tributaire de différences de couleur. </w:t>
      </w:r>
    </w:p>
    <w:p w14:paraId="368510BC" w14:textId="77777777" w:rsidR="00772179" w:rsidRDefault="00000000">
      <w:pPr>
        <w:jc w:val="both"/>
      </w:pPr>
      <w:r>
        <w:t xml:space="preserve">Avant l'exécution, l'entrepreneur soumet ≥ </w:t>
      </w:r>
      <w:r>
        <w:rPr>
          <w:rStyle w:val="optioncarChar"/>
        </w:rPr>
        <w:t xml:space="preserve">5 </w:t>
      </w:r>
      <w:r>
        <w:t>(par défaut)</w:t>
      </w:r>
      <w:r>
        <w:rPr>
          <w:rStyle w:val="optioncarChar"/>
        </w:rPr>
        <w:t xml:space="preserve"> / ***</w:t>
      </w:r>
      <w:r>
        <w:t xml:space="preserve"> échantillons de couleur et de structure à l'approbation de l'auteur de projet, qui sont exécutés à un endroit à convenir. Seules les couleurs pastel et stables dans le temps sont acceptées.</w:t>
      </w:r>
    </w:p>
    <w:p w14:paraId="29DFC4AE" w14:textId="77777777" w:rsidR="00772179" w:rsidRDefault="00000000">
      <w:pPr>
        <w:jc w:val="both"/>
      </w:pPr>
      <w:r>
        <w:rPr>
          <w:b/>
        </w:rPr>
        <w:t>Système</w:t>
      </w:r>
    </w:p>
    <w:p w14:paraId="08890C86" w14:textId="77777777" w:rsidR="00772179" w:rsidRDefault="00000000">
      <w:pPr>
        <w:jc w:val="both"/>
      </w:pPr>
      <w:r>
        <w:t>Nœuds constructifs : voir détails d’exécution dans les plans détaillés ou dans les [NIT 257] et [NIT 274]. Les nœuds constructifs sont conçus et réalisés de telle manière qu’ils ne provoquent pas de condensation superficielle. Les nœuds PEB-conformes (cfr [NC Document explicatif]) sont réputés satisfaire à cette exigence.</w:t>
      </w:r>
    </w:p>
    <w:p w14:paraId="0CB224D5" w14:textId="77777777" w:rsidR="00772179" w:rsidRDefault="00000000">
      <w:pPr>
        <w:jc w:val="both"/>
      </w:pPr>
      <w:r>
        <w:t>La documentation technique accompagnant le système indique la configuration et les mesures pour atteindre les performances visées.</w:t>
      </w:r>
    </w:p>
    <w:p w14:paraId="293BC30A" w14:textId="77777777" w:rsidR="00772179" w:rsidRDefault="00000000">
      <w:pPr>
        <w:jc w:val="both"/>
      </w:pPr>
      <w:r>
        <w:rPr>
          <w:b/>
        </w:rPr>
        <w:t>Moyens de fixation mécaniques</w:t>
      </w:r>
    </w:p>
    <w:p w14:paraId="74B6314B" w14:textId="77777777" w:rsidR="00772179" w:rsidRDefault="00000000">
      <w:pPr>
        <w:jc w:val="both"/>
      </w:pPr>
      <w:r>
        <w:t>Les moyens de fixation mécaniques répondent aux spécifications de l’[EAD 330196-01-0604] (conversion de l’[ETAG 014]).</w:t>
      </w:r>
    </w:p>
    <w:p w14:paraId="0C8E0236" w14:textId="77777777" w:rsidR="00772179" w:rsidRDefault="00000000">
      <w:pPr>
        <w:jc w:val="both"/>
      </w:pPr>
      <w:r>
        <w:rPr>
          <w:b/>
        </w:rPr>
        <w:t>Enduit de base minéral renforcé</w:t>
      </w:r>
    </w:p>
    <w:p w14:paraId="3EF77DC0" w14:textId="77777777" w:rsidR="00772179" w:rsidRDefault="00000000">
      <w:pPr>
        <w:jc w:val="both"/>
      </w:pPr>
      <w:r>
        <w:t>L’enduit de base renforcé satisfait les essais selon la [NBN B 62-400] ou méthode équivalente. Le treillis d’armature en fibres de verre est résistant aux alcalis. </w:t>
      </w:r>
    </w:p>
    <w:p w14:paraId="37A00811" w14:textId="77777777" w:rsidR="00772179" w:rsidRDefault="00000000">
      <w:pPr>
        <w:jc w:val="both"/>
      </w:pPr>
      <w:r>
        <w:rPr>
          <w:b/>
        </w:rPr>
        <w:lastRenderedPageBreak/>
        <w:t>Mastic d’étanchéité</w:t>
      </w:r>
    </w:p>
    <w:p w14:paraId="11623B70" w14:textId="77777777" w:rsidR="00772179" w:rsidRDefault="00000000">
      <w:pPr>
        <w:jc w:val="both"/>
      </w:pPr>
      <w:r>
        <w:t>Les mastics d’étanchéité des façades sont chimiquement compatibles avec tous les matériaux avec lesquels ils sont en contact. Ils appartiennent en outre à la classe [STS 56.1]-F – 25 LM. </w:t>
      </w:r>
    </w:p>
    <w:p w14:paraId="008EE134" w14:textId="77777777" w:rsidR="00772179" w:rsidRDefault="00000000">
      <w:pPr>
        <w:jc w:val="both"/>
      </w:pPr>
      <w:r>
        <w:rPr>
          <w:b/>
        </w:rPr>
        <w:t>Produit pour joints de mouvement</w:t>
      </w:r>
    </w:p>
    <w:p w14:paraId="04622D22" w14:textId="77777777" w:rsidR="00772179" w:rsidRDefault="00000000">
      <w:pPr>
        <w:jc w:val="both"/>
      </w:pPr>
      <w:r>
        <w:t>Les produits pour joints de mouvement répondent aux spécifications de la [NBN EN ISO 11600] et des [STS 56.1].</w:t>
      </w:r>
    </w:p>
    <w:p w14:paraId="456A2F65" w14:textId="77777777" w:rsidR="00772179" w:rsidRDefault="00000000">
      <w:pPr>
        <w:jc w:val="both"/>
      </w:pPr>
      <w:r>
        <w:rPr>
          <w:b/>
        </w:rPr>
        <w:t>Profilés</w:t>
      </w:r>
    </w:p>
    <w:p w14:paraId="15A903F4" w14:textId="77777777" w:rsidR="00772179" w:rsidRDefault="00000000">
      <w:pPr>
        <w:jc w:val="both"/>
      </w:pPr>
      <w:r>
        <w:t>Les profilés sont compatibles avec les matériaux mis en œuvre et sont aptes à l’usage en extérieur. </w:t>
      </w:r>
    </w:p>
    <w:p w14:paraId="10095C18" w14:textId="77777777" w:rsidR="00772179" w:rsidRDefault="00000000">
      <w:pPr>
        <w:pStyle w:val="pheading"/>
      </w:pPr>
      <w:r>
        <w:t>EXÉCUTION / MISE EN ŒUVRE</w:t>
      </w:r>
    </w:p>
    <w:p w14:paraId="521EBDE3" w14:textId="77777777" w:rsidR="00772179" w:rsidRDefault="00000000">
      <w:pPr>
        <w:jc w:val="both"/>
      </w:pPr>
      <w:r>
        <w:t>L'exécution répond aux dispositions des [NIT 257], [NIT 289].  </w:t>
      </w:r>
    </w:p>
    <w:p w14:paraId="00679E03" w14:textId="77777777" w:rsidR="00772179" w:rsidRDefault="00000000">
      <w:pPr>
        <w:jc w:val="both"/>
      </w:pPr>
      <w:r>
        <w:t>  </w:t>
      </w:r>
    </w:p>
    <w:p w14:paraId="222585D3" w14:textId="77777777" w:rsidR="00772179" w:rsidRDefault="00000000">
      <w:pPr>
        <w:jc w:val="both"/>
      </w:pPr>
      <w:r>
        <w:t>Avant l'exécution, l'entrepreneur s'assure des circonstances d'exécution, du type de support et de la constitution hygrométrique de la façade. Lorsque certains aspects risquent d'exercer une influence néfaste sur la qualité de l'exécution, il en avertit immédiatement l'auteur de projet.</w:t>
      </w:r>
    </w:p>
    <w:p w14:paraId="148BB3FE" w14:textId="77777777" w:rsidR="00772179" w:rsidRDefault="00000000">
      <w:pPr>
        <w:jc w:val="both"/>
      </w:pPr>
      <w:r>
        <w:t>Les circonstances climatologiques doivent être respectées.</w:t>
      </w:r>
    </w:p>
    <w:p w14:paraId="4E84CBF3" w14:textId="77777777" w:rsidR="00772179" w:rsidRDefault="00000000">
      <w:pPr>
        <w:jc w:val="both"/>
      </w:pPr>
      <w:r>
        <w:t>L'exécution ne s'effectue pas :</w:t>
      </w:r>
    </w:p>
    <w:p w14:paraId="5790F75A" w14:textId="77777777" w:rsidR="00772179" w:rsidRDefault="00000000">
      <w:pPr>
        <w:jc w:val="both"/>
      </w:pPr>
      <w:r>
        <w:t>⇒ par temps pluvieux.</w:t>
      </w:r>
    </w:p>
    <w:p w14:paraId="6F6E1BDF" w14:textId="77777777" w:rsidR="00772179" w:rsidRDefault="00000000">
      <w:pPr>
        <w:jc w:val="both"/>
      </w:pPr>
      <w:r>
        <w:t>⇒ lorsque la température est &lt; 5°C</w:t>
      </w:r>
    </w:p>
    <w:p w14:paraId="6E303498" w14:textId="77777777" w:rsidR="00772179" w:rsidRDefault="00000000">
      <w:pPr>
        <w:jc w:val="both"/>
      </w:pPr>
      <w:r>
        <w:t>⇒ par vent fort et sec.</w:t>
      </w:r>
    </w:p>
    <w:p w14:paraId="4A5E8B5A" w14:textId="77777777" w:rsidR="00772179" w:rsidRDefault="00000000">
      <w:pPr>
        <w:jc w:val="both"/>
      </w:pPr>
      <w:r>
        <w:t>⇒ en plein soleil ou par une température &gt; 35 °C</w:t>
      </w:r>
    </w:p>
    <w:p w14:paraId="2814D756" w14:textId="77777777" w:rsidR="00772179" w:rsidRDefault="00000000">
      <w:pPr>
        <w:jc w:val="both"/>
      </w:pPr>
      <w:r>
        <w:t>Lorsque les travaux sont tout de même exécutés, avec l'accord de l'auteur de projet, le travail est exécuté en prenant un maximum de mesures de précaution, par exemple des bâches de protection.</w:t>
      </w:r>
    </w:p>
    <w:p w14:paraId="4295B756" w14:textId="77777777" w:rsidR="00772179" w:rsidRDefault="00000000">
      <w:pPr>
        <w:jc w:val="both"/>
      </w:pPr>
      <w:r>
        <w:t>Lorsqu'un échafaudage est nécessaire pour l'exécution des travaux, celui-ci doit rester en place jusqu'à la fin des travaux. Eventuellement, une bâche est posée afin de protéger l'enduit frais, soit du soleil ardent, soit contre le vent fort qui pourrait nuire aux caractéristiques physiques et mécaniques de l'enduit appliqué. A la fin des travaux, il ne subsiste aucune trace de fixation des échafaudages.</w:t>
      </w:r>
    </w:p>
    <w:p w14:paraId="04A747D2" w14:textId="77777777" w:rsidR="00772179" w:rsidRDefault="00000000">
      <w:pPr>
        <w:jc w:val="both"/>
      </w:pPr>
      <w:r>
        <w:t>Pendant l'entreposage, le transport et sur le chantier, toutes les précautions sont prises pour éviter la dégradation des produits et de l'exécution.  </w:t>
      </w:r>
    </w:p>
    <w:p w14:paraId="207AF425" w14:textId="77777777" w:rsidR="00772179" w:rsidRDefault="00000000">
      <w:pPr>
        <w:jc w:val="both"/>
      </w:pPr>
      <w:r>
        <w:t>Lors de la conception et de l'exécution, il y a lieu de respecter les éléments suivants :</w:t>
      </w:r>
    </w:p>
    <w:p w14:paraId="27F4F367" w14:textId="77777777" w:rsidR="00772179" w:rsidRDefault="00000000">
      <w:pPr>
        <w:pStyle w:val="Author-eListParagraph"/>
        <w:numPr>
          <w:ilvl w:val="0"/>
          <w:numId w:val="1077"/>
        </w:numPr>
      </w:pPr>
      <w:r>
        <w:t>les joints de dilatation du support sont prolongés dans l'isolation et l'enduit ;</w:t>
      </w:r>
    </w:p>
    <w:p w14:paraId="7B2A8697" w14:textId="77777777" w:rsidR="00772179" w:rsidRDefault="00000000">
      <w:pPr>
        <w:pStyle w:val="Author-eListParagraph"/>
        <w:numPr>
          <w:ilvl w:val="0"/>
          <w:numId w:val="1077"/>
        </w:numPr>
      </w:pPr>
      <w:r>
        <w:t>une membrane hydrofuge doit être appliquée contre l'humidité ascensionnelle ;</w:t>
      </w:r>
    </w:p>
    <w:p w14:paraId="297A3655" w14:textId="77777777" w:rsidR="00772179" w:rsidRDefault="00000000">
      <w:pPr>
        <w:pStyle w:val="Author-eListParagraph"/>
        <w:numPr>
          <w:ilvl w:val="0"/>
          <w:numId w:val="1077"/>
        </w:numPr>
      </w:pPr>
      <w:r>
        <w:t>des armatures supplémentaires doivent être posées à hauteur des parties de façade exposées aux piétons ou à la circulation ou dans les parties du rez-de-chaussée des bâtiments communs ou des trottoirs.</w:t>
      </w:r>
    </w:p>
    <w:p w14:paraId="50832EDF" w14:textId="77777777" w:rsidR="00772179" w:rsidRDefault="00000000">
      <w:pPr>
        <w:jc w:val="both"/>
      </w:pPr>
      <w:r>
        <w:t>Une jonction parfaite est réalisée au droit des évacuations ou des autres percements de façades ;</w:t>
      </w:r>
    </w:p>
    <w:p w14:paraId="53AA129A" w14:textId="77777777" w:rsidR="00772179" w:rsidRDefault="00000000">
      <w:pPr>
        <w:jc w:val="both"/>
      </w:pPr>
      <w:r>
        <w:t>le temps de séchage entre les différentes couches et la couche de finition est respecté.</w:t>
      </w:r>
    </w:p>
    <w:p w14:paraId="3E9885DF" w14:textId="77777777" w:rsidR="00772179" w:rsidRDefault="00000000">
      <w:pPr>
        <w:jc w:val="both"/>
      </w:pPr>
      <w:r>
        <w:t>Avant l'exécution, la couche d'isolation est contrôlée et réparée si nécessaire. Les parties non adhérentes ou peu solides sont enlevées.</w:t>
      </w:r>
    </w:p>
    <w:p w14:paraId="7C549360" w14:textId="77777777" w:rsidR="00772179" w:rsidRDefault="00000000">
      <w:pPr>
        <w:jc w:val="both"/>
      </w:pPr>
      <w:r>
        <w:t>Conformément aux prescriptions du cahier spécial des charges, l'enduit est appliqué en plusieurs couches. Avant l'application de la couche de fond, les zones exposées aux chocs (rez-de-chaussée) reçoivent une première couche appropriée.</w:t>
      </w:r>
    </w:p>
    <w:p w14:paraId="53A6C222" w14:textId="77777777" w:rsidR="00772179" w:rsidRDefault="00000000">
      <w:pPr>
        <w:jc w:val="both"/>
      </w:pPr>
      <w:r>
        <w:t>L'égalisation de la couche d'adhérence ou de la sous-couche se fait obligatoirement après la pose d'un filet d'armature approprié, sur toute la surface. Ce filet est fixé au moyen d'une technique adaptée à l'enduit, à la couche d'isolation et à son support. Avant d'appliquer la couche de finition, un primer est posé, certainement lorsque l'armature risque d'être exposée pendant plus d'une semaine.</w:t>
      </w:r>
    </w:p>
    <w:p w14:paraId="3F7280B9" w14:textId="77777777" w:rsidR="00772179" w:rsidRDefault="00000000">
      <w:pPr>
        <w:jc w:val="both"/>
      </w:pPr>
      <w:r>
        <w:lastRenderedPageBreak/>
        <w:t>Les temps de séchage des couches préalables sont respectés avant d'appliquer la couche de finition à l'aide d'un enduit sec. L'ensemble est terminé de manière telle que chaque face vue soit traitée en une seule opération afin d'obtenir une couleur homogène.</w:t>
      </w:r>
    </w:p>
    <w:p w14:paraId="26C1020A" w14:textId="77777777" w:rsidR="00772179" w:rsidRDefault="00000000">
      <w:pPr>
        <w:jc w:val="both"/>
      </w:pPr>
      <w:r>
        <w:t>Les jonctions entre différents matériaux sont franchies par une armature, constituée d'un treillis fixé sur le support. Ce treillis d'armature présente une largeur ≥ 20 cm. Les trous profonds sont d'abord égalisés à l'aide d'un produit approprié.</w:t>
      </w:r>
    </w:p>
    <w:p w14:paraId="55780263" w14:textId="77777777" w:rsidR="00772179" w:rsidRDefault="00000000">
      <w:pPr>
        <w:jc w:val="both"/>
      </w:pPr>
      <w:r>
        <w:t>Tous les bords et extrémités sont achevés à l'aide de cornières en RVS placées dans l'enduit.</w:t>
      </w:r>
    </w:p>
    <w:p w14:paraId="7800781D" w14:textId="77777777" w:rsidR="00772179" w:rsidRDefault="00000000">
      <w:pPr>
        <w:jc w:val="both"/>
      </w:pPr>
      <w:r>
        <w:t>Les dessins d'exécution satisfont aux prescriptions des [NIT 257], [NIT 289] - l'article 6.3.</w:t>
      </w:r>
    </w:p>
    <w:p w14:paraId="450CDCCE" w14:textId="77777777" w:rsidR="00772179" w:rsidRDefault="00000000">
      <w:pPr>
        <w:jc w:val="both"/>
      </w:pPr>
      <w:r>
        <w:rPr>
          <w:b/>
        </w:rPr>
        <w:t>Support (couche de fixation)</w:t>
      </w:r>
    </w:p>
    <w:p w14:paraId="197FB6CF" w14:textId="77777777" w:rsidR="00772179" w:rsidRDefault="00000000">
      <w:pPr>
        <w:jc w:val="both"/>
      </w:pPr>
      <w:r>
        <w:t>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5394F339" w14:textId="77777777" w:rsidR="00772179" w:rsidRDefault="00000000">
      <w:pPr>
        <w:jc w:val="both"/>
      </w:pPr>
      <w:r>
        <w:rPr>
          <w:b/>
        </w:rPr>
        <w:t>Couche d’isolation</w:t>
      </w:r>
    </w:p>
    <w:p w14:paraId="1443AB40" w14:textId="77777777" w:rsidR="00772179" w:rsidRDefault="00000000">
      <w:pPr>
        <w:jc w:val="both"/>
      </w:pPr>
      <w:r>
        <w:t>Afin d’obtenir une couche d’isolation continue, les panneaux sont posés jointifs à joints alternés et un harpage est réalisé dans les angles. Les joints entre panneaux ne coïncident pas avec une zone de concentration de contraintes (angle de baie par exemple).</w:t>
      </w:r>
    </w:p>
    <w:p w14:paraId="030D6C0D" w14:textId="77777777" w:rsidR="00772179" w:rsidRDefault="00000000">
      <w:pPr>
        <w:jc w:val="both"/>
      </w:pPr>
      <w:r>
        <w:t xml:space="preserve"> Pour les systèmes fixés mécaniquement, le nombre et la position des fixations mécaniques (cfr résistance au vent) suivent un calepinage soumis à l’auteur de projet pour approbation.</w:t>
      </w:r>
    </w:p>
    <w:p w14:paraId="34F6F23C" w14:textId="77777777" w:rsidR="00772179" w:rsidRDefault="00000000">
      <w:pPr>
        <w:jc w:val="both"/>
      </w:pPr>
      <w:r>
        <w:rPr>
          <w:b/>
        </w:rPr>
        <w:t>Enduit de base renforcé, renforts et profilés</w:t>
      </w:r>
    </w:p>
    <w:p w14:paraId="00B7B488" w14:textId="77777777" w:rsidR="00772179" w:rsidRDefault="00000000">
      <w:pPr>
        <w:jc w:val="both"/>
      </w:pPr>
      <w:r>
        <w:t>Des renforts sous la forme de bande de treillis d’environ 30 x 30 cm sont placés au droit des zones de concentration de contraintes. Les profilés sont placés là où nécessaire. Le treillis d’armature est placé dans la moitié extérieure de l’épaisseur de l’enduit de base. L’épaisseur de l’enduit de base respecte les mentions indiquées dans la documentation technique accompagnant le système.</w:t>
      </w:r>
    </w:p>
    <w:p w14:paraId="22956986" w14:textId="77777777" w:rsidR="00772179" w:rsidRDefault="00000000">
      <w:pPr>
        <w:ind w:left="750"/>
      </w:pPr>
      <w:r>
        <w:t> </w:t>
      </w:r>
    </w:p>
    <w:p w14:paraId="58FE0249" w14:textId="77777777" w:rsidR="00772179" w:rsidRDefault="00000000">
      <w:pPr>
        <w:pStyle w:val="pheading"/>
      </w:pPr>
      <w:r>
        <w:t>CONTRÔLES</w:t>
      </w:r>
    </w:p>
    <w:p w14:paraId="23AA903D" w14:textId="77777777" w:rsidR="00772179" w:rsidRDefault="00000000">
      <w:pPr>
        <w:jc w:val="both"/>
      </w:pPr>
      <w:r>
        <w:t>L'entrepreneur procure les directives d'entretien au maître de l'ouvrage.</w:t>
      </w:r>
    </w:p>
    <w:p w14:paraId="616C2A8E" w14:textId="77777777" w:rsidR="00772179" w:rsidRDefault="00000000">
      <w:pPr>
        <w:jc w:val="both"/>
      </w:pPr>
      <w:r>
        <w:rPr>
          <w:b/>
        </w:rPr>
        <w:t>Contrôle du support (couche de fixation) avant mise en œuvre</w:t>
      </w:r>
    </w:p>
    <w:p w14:paraId="0DA984D9" w14:textId="77777777" w:rsidR="00772179" w:rsidRDefault="00000000">
      <w:pPr>
        <w:jc w:val="both"/>
      </w:pPr>
      <w:r>
        <w:t>Contrôle de la présence d’une humidification anormale.</w:t>
      </w:r>
    </w:p>
    <w:p w14:paraId="3B5A2497" w14:textId="77777777" w:rsidR="00772179" w:rsidRDefault="00000000">
      <w:pPr>
        <w:jc w:val="both"/>
      </w:pPr>
      <w:r>
        <w:t xml:space="preserve"> Contrôle visuel de l’état de la paroi (fissures, etc.).</w:t>
      </w:r>
    </w:p>
    <w:p w14:paraId="0C3A91B2" w14:textId="77777777" w:rsidR="00772179" w:rsidRDefault="00000000">
      <w:pPr>
        <w:jc w:val="both"/>
      </w:pPr>
      <w:r>
        <w:t xml:space="preserve"> Vérification des tolérances du support : critères voir [NIT 257]</w:t>
      </w:r>
    </w:p>
    <w:p w14:paraId="3DF40F2A" w14:textId="77777777" w:rsidR="00772179" w:rsidRDefault="00000000">
      <w:pPr>
        <w:jc w:val="both"/>
      </w:pPr>
      <w:r>
        <w:rPr>
          <w:b/>
        </w:rPr>
        <w:t>Vérification éventuelle de la résistance mécanique des moyens de fixation in situ</w:t>
      </w:r>
    </w:p>
    <w:p w14:paraId="56F68C42" w14:textId="77777777" w:rsidR="00772179" w:rsidRDefault="00000000">
      <w:pPr>
        <w:jc w:val="both"/>
      </w:pPr>
      <w:r>
        <w:t>Lorsque l’adhérence de la colle est contrôlée in situ (essai destructif), elle est basée sur les principes des EAD précités.</w:t>
      </w:r>
    </w:p>
    <w:p w14:paraId="4B6F9D30" w14:textId="77777777" w:rsidR="00772179" w:rsidRDefault="00000000">
      <w:pPr>
        <w:jc w:val="both"/>
      </w:pPr>
      <w:r>
        <w:t xml:space="preserve"> Lorsque la résistance à l’arrachement de la fixation mécanique hors du support est vérifiée, la base de référence est [EOTA TR051].</w:t>
      </w:r>
    </w:p>
    <w:p w14:paraId="13EE12C8" w14:textId="77777777" w:rsidR="00772179" w:rsidRDefault="00000000">
      <w:pPr>
        <w:jc w:val="both"/>
      </w:pPr>
      <w:r>
        <w:rPr>
          <w:b/>
        </w:rPr>
        <w:t>Eventuel contrôle des tolérances en cas d’imperfections constatés après mise en œuvre</w:t>
      </w:r>
    </w:p>
    <w:p w14:paraId="2F533C0D" w14:textId="77777777" w:rsidR="00772179" w:rsidRDefault="00000000">
      <w:pPr>
        <w:jc w:val="both"/>
      </w:pPr>
      <w:r>
        <w:t>Vérification des tolérances du système : critères voir [NIT 257]</w:t>
      </w:r>
    </w:p>
    <w:p w14:paraId="27339DCF" w14:textId="77777777" w:rsidR="00772179" w:rsidRDefault="00000000">
      <w:pPr>
        <w:pStyle w:val="pheading"/>
      </w:pPr>
      <w:r>
        <w:t>DOCUMENTS DE RÉFÉRENCE</w:t>
      </w:r>
    </w:p>
    <w:p w14:paraId="0239D4F0" w14:textId="77777777" w:rsidR="00772179" w:rsidRDefault="00000000">
      <w:pPr>
        <w:pStyle w:val="pheading"/>
      </w:pPr>
      <w:r>
        <w:t>- Matériau</w:t>
      </w:r>
    </w:p>
    <w:p w14:paraId="7FAA9A47" w14:textId="77777777" w:rsidR="00772179" w:rsidRDefault="00000000">
      <w:r>
        <w:t>[EAD 040083-00-0404, External thermal insulation composite systems (ETICS) with renderings]</w:t>
      </w:r>
    </w:p>
    <w:p w14:paraId="4EEDA49C" w14:textId="77777777" w:rsidR="00772179" w:rsidRDefault="00000000">
      <w:r>
        <w:t>[Buildwise Article Dossier (2009/4.11), ETICS : l'enduit.]</w:t>
      </w:r>
    </w:p>
    <w:p w14:paraId="0DD0C72C" w14:textId="77777777" w:rsidR="00772179" w:rsidRDefault="00000000">
      <w:r>
        <w:rPr>
          <w:shd w:val="clear" w:color="auto" w:fill="FFFFFF"/>
        </w:rPr>
        <w:t>[Buildwise Article Dossier (2011/2.10), ETICS : l'isolant et sa pose.]</w:t>
      </w:r>
    </w:p>
    <w:p w14:paraId="1D7595F0" w14:textId="77777777" w:rsidR="00772179" w:rsidRDefault="00000000">
      <w:r>
        <w:lastRenderedPageBreak/>
        <w:t>[EAD 330196-01-0604, Plastic anchors made of virgin or non-virgin material for fixing of external thermal insulation composite systems with rendering]</w:t>
      </w:r>
    </w:p>
    <w:p w14:paraId="4305DF72" w14:textId="77777777" w:rsidR="00772179" w:rsidRDefault="00000000">
      <w:r>
        <w:t>[NBN EN ISO 11600, Construction immobilière - Produits pour joints - Classification et exigences pour les mastics (ISO 11600:2002)]</w:t>
      </w:r>
    </w:p>
    <w:p w14:paraId="5359E849" w14:textId="77777777" w:rsidR="00772179" w:rsidRDefault="00000000">
      <w:r>
        <w:t>[STS 56.1, Mastics d’étanchéité des façades]</w:t>
      </w:r>
    </w:p>
    <w:p w14:paraId="3B312A7C" w14:textId="77777777" w:rsidR="00772179" w:rsidRDefault="00000000">
      <w:r>
        <w:t>[EOTA TR051, Recommendations for job site tests of plastic anchors and screws]</w:t>
      </w:r>
    </w:p>
    <w:p w14:paraId="6837BB73" w14:textId="77777777" w:rsidR="00772179" w:rsidRDefault="00000000">
      <w:r>
        <w:t>[Buildwise Pathologie Infofiche 11, Classes de climat intérieur]</w:t>
      </w:r>
    </w:p>
    <w:p w14:paraId="3D1F13E7" w14:textId="77777777" w:rsidR="00772179" w:rsidRDefault="00000000">
      <w:r>
        <w:t>[NIT 255, L'étanchéité à l'air des bâtiments]</w:t>
      </w:r>
    </w:p>
    <w:p w14:paraId="6C4B58AF" w14:textId="77777777" w:rsidR="00772179" w:rsidRDefault="00000000">
      <w:pPr>
        <w:pStyle w:val="pheading"/>
      </w:pPr>
      <w:r>
        <w:t>- Exécution</w:t>
      </w:r>
    </w:p>
    <w:p w14:paraId="219634A0" w14:textId="77777777" w:rsidR="00772179" w:rsidRDefault="00000000">
      <w:r>
        <w:t>[NIT 289, Les enduits extérieurs sur maçonnerie et béton]</w:t>
      </w:r>
    </w:p>
    <w:p w14:paraId="1A6DAC21" w14:textId="77777777" w:rsidR="00772179" w:rsidRDefault="00000000">
      <w:r>
        <w:t>[Buildwise Article Dossier (2011/2.10), ETICS : l'isolant et sa pose.]</w:t>
      </w:r>
    </w:p>
    <w:p w14:paraId="7C7124D5" w14:textId="77777777" w:rsidR="00772179" w:rsidRDefault="00000000">
      <w:r>
        <w:t>[NC Document explicatif, Nœuds constructifs - Document explicatif suivant le “Projet de modification de l’ANNEXE IV/V de l’arrêté PEB”]</w:t>
      </w:r>
    </w:p>
    <w:p w14:paraId="1B9EFE16" w14:textId="77777777" w:rsidR="00772179" w:rsidRDefault="00000000">
      <w:r>
        <w:t>[NIT 257, Enduits sur isolation extérieure (ETICS) (remplace partiellement la NIT 209)]</w:t>
      </w:r>
    </w:p>
    <w:p w14:paraId="3D864B76" w14:textId="77777777" w:rsidR="00772179" w:rsidRDefault="00000000">
      <w:r>
        <w:t>[NIT 274, Détails de référence pour ETICS]</w:t>
      </w:r>
    </w:p>
    <w:p w14:paraId="6409D3EB" w14:textId="77777777" w:rsidR="00772179" w:rsidRDefault="00000000">
      <w:pPr>
        <w:pStyle w:val="pheading"/>
      </w:pPr>
      <w:r>
        <w:t>AIDE</w:t>
      </w:r>
    </w:p>
    <w:p w14:paraId="6813C758" w14:textId="77777777" w:rsidR="00772179" w:rsidRDefault="00000000">
      <w:pPr>
        <w:jc w:val="both"/>
      </w:pPr>
      <w:r>
        <w:t>La zone de plinthe s’étend entre 50 cm sous le niveau du sol extérieur et minimum 30 cm au-dessus. Les ETICS démarrent habituellement au-dessus de la zone de plinthe. Lorsque le panneau d’isolation et l’enduit de base sont utilisés en plinthe, ils satisfont à des exigences plus strictes (absorption d’eau réduite, résistance à l’humidité, etc.) et des mesures spécifiques sont prises (voir [NIT 257] et [NIT 274]).</w:t>
      </w:r>
    </w:p>
    <w:p w14:paraId="59D3672A" w14:textId="77777777" w:rsidR="00772179" w:rsidRDefault="00000000">
      <w:pPr>
        <w:jc w:val="both"/>
      </w:pPr>
      <w:r>
        <w:t>Les finitions de teinte foncée, caractérisées par un facteur d’absorption de l’énergie solaire αe élevé (voir [NBN EN 410]) et/ou un faible indice de clarté, sont susceptibles d’atteindre des températures &gt; 70 °C lorsqu’elles sont exposés à l’ensoleillement direct (façades orientées de l’est à l’ouest). Or, les performances du système et de ses composants ne sont évaluées que T° ≤ 70 °C. Pour une telle exposition, un facteur d’absorption énergétique &gt; 0,7 (70 %) est dès lors déconseillé, à moins de réaliser une étude spécifique à la situation. Le fabricant peut en effet justifier des teintes plus foncées (αe &gt; 0,7) dans certains cas. Selon la pratique, les limitations sont également basées sur l’indice de clarté qui doit être &gt; 20 (enduit de base organique) ou 30 (enduit de base minéral) en fonction de la nature de l’enduit de base.</w:t>
      </w:r>
    </w:p>
    <w:p w14:paraId="1E299B30" w14:textId="77777777" w:rsidR="00772179" w:rsidRDefault="00000000">
      <w:pPr>
        <w:jc w:val="both"/>
      </w:pPr>
      <w:r>
        <w:t>On distingue les deux modes de fixation suivants :</w:t>
      </w:r>
    </w:p>
    <w:p w14:paraId="3D334D9D" w14:textId="77777777" w:rsidR="00772179" w:rsidRDefault="00000000">
      <w:pPr>
        <w:pStyle w:val="Author-eListParagraph"/>
        <w:numPr>
          <w:ilvl w:val="0"/>
          <w:numId w:val="1078"/>
        </w:numPr>
        <w:jc w:val="both"/>
      </w:pPr>
      <w:r>
        <w:t>le collage au support, éventuellement avec des fixations mécaniques complémentaires. Les systèmes sont collés en plein (sur toute la surface) ou collés partiellement (≥ 40 % de la surface) par boudins et/ou par plots accompagnés d’une bande de colle sur les bords de la surface de pose des panneaux isolants. Les charges sont entièrement reprises par la colle. Les éventuelles fixations mécaniques complémentaires servent avant tout à assu­rer la stabilité jusqu’à la prise de la colle et tiennent lieu de liaison provisoire pour éviter les risques de décollement ;</w:t>
      </w:r>
    </w:p>
    <w:p w14:paraId="74355D51" w14:textId="77777777" w:rsidR="00772179" w:rsidRDefault="00000000">
      <w:pPr>
        <w:pStyle w:val="Author-eListParagraph"/>
        <w:numPr>
          <w:ilvl w:val="0"/>
          <w:numId w:val="1078"/>
        </w:numPr>
        <w:jc w:val="both"/>
      </w:pPr>
      <w:r>
        <w:t>la fixation mécanique au support au moyen de chevilles munies d’une rosace, combinée à un encollage (≥ 40 % de la surface). La charge de vent est entièrement reprise par les fixations mécaniques. La colle sert à assurer la planéité du système mis en œuvre (= système ‘chevillé/calé’), à limiter les mouvements du système (déplacement du système dans le plan et tuilage, par exemple) et à éviter les mouvements d’air au dos des panneaux isolants.</w:t>
      </w:r>
    </w:p>
    <w:p w14:paraId="3E49F219" w14:textId="77777777" w:rsidR="00772179" w:rsidRDefault="00000000">
      <w:r>
        <w:t>Bien que différents modes de fixation soient souvent com­binés, la distinction du mode principal est nécessaire afin de dimensionner correctement le système pour qu’il résiste à l’action du vent. </w:t>
      </w:r>
    </w:p>
    <w:p w14:paraId="35D984B8" w14:textId="77777777" w:rsidR="00772179" w:rsidRDefault="00000000">
      <w:pPr>
        <w:pStyle w:val="Author-eSectionHeading5Numberless"/>
      </w:pPr>
      <w:bookmarkStart w:id="846" w:name="_Toc220490515"/>
      <w:r>
        <w:t>43.53.1 Systèmes d'enduits à base de mortier à liant minéral sur panneaux isolants CCTB 01.04</w:t>
      </w:r>
      <w:bookmarkEnd w:id="846"/>
    </w:p>
    <w:p w14:paraId="74C5664D" w14:textId="77777777" w:rsidR="00772179" w:rsidRDefault="00000000">
      <w:pPr>
        <w:pStyle w:val="Author-eSectionHeading6Numberless"/>
      </w:pPr>
      <w:bookmarkStart w:id="847" w:name="_Toc220490516"/>
      <w:r>
        <w:lastRenderedPageBreak/>
        <w:t>43.53.1a Systèmes d'enduits de façades à base de mortier à liant minéral sur panneaux en polystyrène expansé (EPS) / extrudé (XPS) CCTB 01.11</w:t>
      </w:r>
      <w:bookmarkEnd w:id="847"/>
    </w:p>
    <w:p w14:paraId="53F2818C" w14:textId="77777777" w:rsidR="00772179" w:rsidRDefault="00000000">
      <w:pPr>
        <w:pStyle w:val="pheading"/>
      </w:pPr>
      <w:r>
        <w:t>DESCRIPTION</w:t>
      </w:r>
    </w:p>
    <w:p w14:paraId="1960AF27" w14:textId="77777777" w:rsidR="00772179" w:rsidRDefault="00000000">
      <w:pPr>
        <w:pStyle w:val="pheading"/>
      </w:pPr>
      <w:r>
        <w:t>- Définition / Comprend</w:t>
      </w:r>
    </w:p>
    <w:p w14:paraId="2D2C3619" w14:textId="77777777" w:rsidR="00772179" w:rsidRDefault="00000000">
      <w:pPr>
        <w:jc w:val="both"/>
      </w:pPr>
      <w:r>
        <w:t>Il s’agit de la fourniture et de la pose d’un système d’enduits de façades avec un enduit de base minéral renforcé appliqué sur panneaux d’isolation extérieure en polystyrène expansé (EPS) ou extrudé (XPS) pour une application en façade (ETICS avec enduit).</w:t>
      </w:r>
    </w:p>
    <w:p w14:paraId="14242923" w14:textId="77777777" w:rsidR="00772179" w:rsidRDefault="00000000">
      <w:pPr>
        <w:jc w:val="both"/>
      </w:pPr>
      <w:r>
        <w:t>La portée des travaux est décrite au </w:t>
      </w:r>
      <w:hyperlink w:anchor="1022" w:history="1">
        <w:r>
          <w:rPr>
            <w:color w:val="0000EE"/>
          </w:rPr>
          <w:t>43.53 Systèmes d'enduits sur panneaux isolants</w:t>
        </w:r>
      </w:hyperlink>
      <w:r>
        <w:t>.</w:t>
      </w:r>
    </w:p>
    <w:p w14:paraId="4A4AE534" w14:textId="77777777" w:rsidR="00772179" w:rsidRDefault="00772179">
      <w:pPr>
        <w:jc w:val="both"/>
      </w:pPr>
    </w:p>
    <w:p w14:paraId="3647CC4A" w14:textId="77777777" w:rsidR="00772179" w:rsidRDefault="00000000">
      <w:pPr>
        <w:jc w:val="both"/>
      </w:pPr>
      <w:r>
        <w:t xml:space="preserve">Les travaux couverts par le présent article comprennent la fourniture et l’application des mastics d’étanchéité de façade tels que décrit au </w:t>
      </w:r>
      <w:hyperlink w:anchor="470" w:history="1">
        <w:r>
          <w:rPr>
            <w:color w:val="0000EE"/>
          </w:rPr>
          <w:t>43.65 Etanchéisation de joints</w:t>
        </w:r>
      </w:hyperlink>
      <w:r>
        <w:t xml:space="preserve"> : </w:t>
      </w:r>
      <w:r>
        <w:rPr>
          <w:rStyle w:val="optioncarChar"/>
        </w:rPr>
        <w:t xml:space="preserve">non </w:t>
      </w:r>
      <w:r>
        <w:t>(par défaut)</w:t>
      </w:r>
      <w:r>
        <w:rPr>
          <w:rStyle w:val="optioncarChar"/>
        </w:rPr>
        <w:t xml:space="preserve"> / oui</w:t>
      </w:r>
      <w:r>
        <w:t>.</w:t>
      </w:r>
    </w:p>
    <w:p w14:paraId="7B7508E6" w14:textId="77777777" w:rsidR="00772179" w:rsidRDefault="00000000">
      <w:pPr>
        <w:pStyle w:val="pheading"/>
      </w:pPr>
      <w:r>
        <w:t>MATÉRIAUX</w:t>
      </w:r>
    </w:p>
    <w:p w14:paraId="53E34D79" w14:textId="77777777" w:rsidR="00772179" w:rsidRDefault="00000000">
      <w:pPr>
        <w:pStyle w:val="pheading"/>
      </w:pPr>
      <w:r>
        <w:t>- Caractéristiques générales</w:t>
      </w:r>
    </w:p>
    <w:p w14:paraId="522006C7" w14:textId="77777777" w:rsidR="00772179" w:rsidRDefault="00000000">
      <w:pPr>
        <w:pStyle w:val="Author-eListParagraph"/>
        <w:numPr>
          <w:ilvl w:val="0"/>
          <w:numId w:val="1079"/>
        </w:numPr>
      </w:pPr>
      <w:r>
        <w:t>Classe de climat intérieur (cfr [Buildwise Pathologie Infofiche 11]) : classe </w:t>
      </w:r>
      <w:r>
        <w:rPr>
          <w:rStyle w:val="optioncarChar"/>
        </w:rPr>
        <w:t>I / II / III / IV</w:t>
      </w:r>
      <w:r>
        <w:t>.</w:t>
      </w:r>
    </w:p>
    <w:p w14:paraId="31B0E8BF" w14:textId="77777777" w:rsidR="00772179" w:rsidRDefault="00000000">
      <w:pPr>
        <w:pStyle w:val="Author-eListParagraph"/>
        <w:numPr>
          <w:ilvl w:val="0"/>
          <w:numId w:val="1079"/>
        </w:numPr>
      </w:pPr>
      <w:r>
        <w:t>Etanchéité à l’air de la paroi support (cfr [NIT 255]) : Classe </w:t>
      </w:r>
      <w:r>
        <w:rPr>
          <w:rStyle w:val="optioncarChar"/>
        </w:rPr>
        <w:t>L0 / L1 / L2</w:t>
      </w:r>
      <w:r>
        <w:t>.</w:t>
      </w:r>
    </w:p>
    <w:p w14:paraId="6ADDA2CD" w14:textId="77777777" w:rsidR="00772179" w:rsidRDefault="00000000">
      <w:pPr>
        <w:pStyle w:val="Author-eListParagraph"/>
        <w:numPr>
          <w:ilvl w:val="0"/>
          <w:numId w:val="1079"/>
        </w:numPr>
      </w:pPr>
      <w:r>
        <w:t xml:space="preserve">Les travaux concernent : </w:t>
      </w:r>
      <w:r>
        <w:rPr>
          <w:rStyle w:val="optioncarChar"/>
        </w:rPr>
        <w:t>la façade courante (hors zone de plinthe)</w:t>
      </w:r>
      <w:r>
        <w:t xml:space="preserve"> (par défaut)</w:t>
      </w:r>
      <w:r>
        <w:rPr>
          <w:rStyle w:val="optioncarChar"/>
        </w:rPr>
        <w:t xml:space="preserve"> / la zone de plinthe / la zone de plinthe et la façade courante</w:t>
      </w:r>
      <w:r>
        <w:t>.</w:t>
      </w:r>
    </w:p>
    <w:p w14:paraId="53BB943F" w14:textId="77777777" w:rsidR="00772179" w:rsidRDefault="00000000">
      <w:pPr>
        <w:pStyle w:val="Author-eListParagraph"/>
        <w:numPr>
          <w:ilvl w:val="0"/>
          <w:numId w:val="1079"/>
        </w:numPr>
      </w:pPr>
      <w:r>
        <w:t>Niveaux inférieur et supérieur à traiter : voir plans et métrés détaillés.</w:t>
      </w:r>
    </w:p>
    <w:p w14:paraId="5E3325CD" w14:textId="77777777" w:rsidR="00772179" w:rsidRDefault="00000000">
      <w:pPr>
        <w:jc w:val="both"/>
      </w:pPr>
      <w:r>
        <w:rPr>
          <w:b/>
        </w:rPr>
        <w:t>Système</w:t>
      </w:r>
    </w:p>
    <w:p w14:paraId="6B3E1F68" w14:textId="77777777" w:rsidR="00772179" w:rsidRDefault="00000000">
      <w:pPr>
        <w:jc w:val="both"/>
      </w:pPr>
      <w:r>
        <w:t>Type de système : </w:t>
      </w:r>
      <w:r>
        <w:rPr>
          <w:rStyle w:val="optioncarChar"/>
        </w:rPr>
        <w:t>au choix de l’entrepreneur soumis à l’approbation de l’auteur de projet</w:t>
      </w:r>
      <w:r>
        <w:t> (par défaut)</w:t>
      </w:r>
      <w:r>
        <w:rPr>
          <w:rStyle w:val="optioncarChar"/>
        </w:rPr>
        <w:t> / système collé (≥ 40 % de la surface) / système fixé mécaniquement avec encollage (≥ 40 % de la surface).</w:t>
      </w:r>
    </w:p>
    <w:p w14:paraId="4947D53D" w14:textId="77777777" w:rsidR="00772179" w:rsidRDefault="00000000">
      <w:pPr>
        <w:jc w:val="both"/>
      </w:pPr>
      <w:r>
        <w:t>Pression d’étanchéité à la pluie requise suivant [NIT 257] : ≥ </w:t>
      </w:r>
      <w:r>
        <w:rPr>
          <w:rStyle w:val="optioncarChar"/>
        </w:rPr>
        <w:t>600 / 900 / ***</w:t>
      </w:r>
      <w:r>
        <w:t> Pa</w:t>
      </w:r>
    </w:p>
    <w:p w14:paraId="63CC53C2" w14:textId="77777777" w:rsidR="00772179" w:rsidRDefault="00000000">
      <w:pPr>
        <w:jc w:val="both"/>
      </w:pPr>
      <w:r>
        <w:t>Résistance aux chocs requise suivant [NIT 257] : catégorie d’utilisation </w:t>
      </w:r>
      <w:r>
        <w:rPr>
          <w:rStyle w:val="optioncarChar"/>
        </w:rPr>
        <w:t>I / II / III</w:t>
      </w:r>
      <w:r>
        <w:t>.</w:t>
      </w:r>
    </w:p>
    <w:p w14:paraId="30B62812" w14:textId="77777777" w:rsidR="00772179" w:rsidRDefault="00000000">
      <w:pPr>
        <w:jc w:val="both"/>
      </w:pPr>
      <w:r>
        <w:t>Indice d’affaiblissement acoustique pondéré R</w:t>
      </w:r>
      <w:r>
        <w:rPr>
          <w:vertAlign w:val="subscript"/>
        </w:rPr>
        <w:t>Atr</w:t>
      </w:r>
      <w:r>
        <w:t> : </w:t>
      </w:r>
      <w:r>
        <w:rPr>
          <w:rStyle w:val="optioncarChar"/>
        </w:rPr>
        <w:t xml:space="preserve">≥ *** </w:t>
      </w:r>
      <w:r>
        <w:t>dB</w:t>
      </w:r>
      <w:r>
        <w:rPr>
          <w:rStyle w:val="optioncarChar"/>
        </w:rPr>
        <w:t xml:space="preserve"> / non spécifié</w:t>
      </w:r>
      <w:r>
        <w:t> </w:t>
      </w:r>
    </w:p>
    <w:p w14:paraId="572C1846" w14:textId="77777777" w:rsidR="00772179" w:rsidRDefault="00000000">
      <w:pPr>
        <w:jc w:val="both"/>
      </w:pPr>
      <w:r>
        <w:t>Réaction au feu du système : </w:t>
      </w:r>
      <w:r>
        <w:rPr>
          <w:rStyle w:val="optioncarChar"/>
        </w:rPr>
        <w:t>A1 / A2 / B / C / D / E / F</w:t>
      </w:r>
    </w:p>
    <w:p w14:paraId="51AC182F" w14:textId="77777777" w:rsidR="00772179" w:rsidRDefault="00000000">
      <w:pPr>
        <w:jc w:val="both"/>
      </w:pPr>
      <w:r>
        <w:t>Etude thermique : à charge de </w:t>
      </w:r>
      <w:r>
        <w:rPr>
          <w:rStyle w:val="optioncarChar"/>
        </w:rPr>
        <w:t>l’auteur de projet </w:t>
      </w:r>
      <w:r>
        <w:t>(par défaut)</w:t>
      </w:r>
      <w:r>
        <w:rPr>
          <w:rStyle w:val="optioncarChar"/>
        </w:rPr>
        <w:t> / l’entrepreneur</w:t>
      </w:r>
    </w:p>
    <w:p w14:paraId="5228AC59" w14:textId="77777777" w:rsidR="00772179" w:rsidRDefault="00000000">
      <w:pPr>
        <w:jc w:val="both"/>
      </w:pPr>
      <w:r>
        <w:t>L’utilisation de chevilles à rosace pour la fixation influence la résistance thermique et est à considérer dans les calculs PEB.</w:t>
      </w:r>
    </w:p>
    <w:p w14:paraId="7D68B409" w14:textId="77777777" w:rsidR="00772179" w:rsidRDefault="00000000">
      <w:pPr>
        <w:jc w:val="both"/>
      </w:pPr>
      <w:r>
        <w:t>Valeur du coefficient de déperdition thermique U à ne pas dépasser pour la paroi complète suivant réglementation régionale : </w:t>
      </w:r>
      <w:r>
        <w:rPr>
          <w:rStyle w:val="optioncarChar"/>
        </w:rPr>
        <w:t xml:space="preserve">≤ *** </w:t>
      </w:r>
      <w:r>
        <w:t>W/m²K</w:t>
      </w:r>
      <w:r>
        <w:rPr>
          <w:rStyle w:val="optioncarChar"/>
        </w:rPr>
        <w:t xml:space="preserve"> / non spécifié </w:t>
      </w:r>
    </w:p>
    <w:p w14:paraId="34CFB814" w14:textId="77777777" w:rsidR="00772179" w:rsidRDefault="00000000">
      <w:pPr>
        <w:jc w:val="both"/>
      </w:pPr>
      <w:r>
        <w:t>Valeur de la résistance thermique R</w:t>
      </w:r>
      <w:r>
        <w:rPr>
          <w:vertAlign w:val="subscript"/>
        </w:rPr>
        <w:t>ETICS</w:t>
      </w:r>
      <w:r>
        <w:t> à atteindre par le système : </w:t>
      </w:r>
      <w:r>
        <w:rPr>
          <w:rStyle w:val="optioncarChar"/>
        </w:rPr>
        <w:t xml:space="preserve">≥ *** </w:t>
      </w:r>
      <w:r>
        <w:t>m².K/W</w:t>
      </w:r>
      <w:r>
        <w:rPr>
          <w:rStyle w:val="optioncarChar"/>
        </w:rPr>
        <w:t xml:space="preserve"> / non spécifié </w:t>
      </w:r>
    </w:p>
    <w:p w14:paraId="1FD5A604" w14:textId="77777777" w:rsidR="00772179" w:rsidRDefault="00000000">
      <w:pPr>
        <w:jc w:val="both"/>
      </w:pPr>
      <w:r>
        <w:t>Etude hygrothermique (classe IV de climat intérieur, paroi en bois, par ex.) : à charge de </w:t>
      </w:r>
      <w:r>
        <w:rPr>
          <w:rStyle w:val="optioncarChar"/>
        </w:rPr>
        <w:t>l’auteur de projet</w:t>
      </w:r>
      <w:r>
        <w:t> (par défaut)</w:t>
      </w:r>
      <w:r>
        <w:rPr>
          <w:rStyle w:val="optioncarChar"/>
        </w:rPr>
        <w:t> / l’entrepreneur</w:t>
      </w:r>
    </w:p>
    <w:p w14:paraId="624EBD9E" w14:textId="77777777" w:rsidR="00772179" w:rsidRDefault="00000000">
      <w:pPr>
        <w:jc w:val="both"/>
      </w:pPr>
      <w:r>
        <w:rPr>
          <w:b/>
        </w:rPr>
        <w:t>Panneaux d’isolation</w:t>
      </w:r>
    </w:p>
    <w:p w14:paraId="01CD5242" w14:textId="77777777" w:rsidR="00772179" w:rsidRDefault="00000000">
      <w:pPr>
        <w:jc w:val="both"/>
      </w:pPr>
      <w:r>
        <w:t>L’isolant répond aux spécifications suivantes :</w:t>
      </w:r>
    </w:p>
    <w:p w14:paraId="3CD96B1E" w14:textId="77777777" w:rsidR="00772179" w:rsidRDefault="00000000">
      <w:pPr>
        <w:pStyle w:val="Author-eListParagraph"/>
        <w:numPr>
          <w:ilvl w:val="0"/>
          <w:numId w:val="1080"/>
        </w:numPr>
      </w:pPr>
      <w:r>
        <w:t>le polystyrène expansé (EPS) : [NBN EN 13163:2012+A2]</w:t>
      </w:r>
    </w:p>
    <w:p w14:paraId="7BEF4021" w14:textId="77777777" w:rsidR="00772179" w:rsidRDefault="00000000">
      <w:pPr>
        <w:pStyle w:val="Author-eListParagraph"/>
        <w:numPr>
          <w:ilvl w:val="0"/>
          <w:numId w:val="1080"/>
        </w:numPr>
      </w:pPr>
      <w:r>
        <w:t>le polystyrène extrudé (XPS) : [NBN EN 13164+A1] </w:t>
      </w:r>
    </w:p>
    <w:p w14:paraId="247C27DA" w14:textId="77777777" w:rsidR="00772179" w:rsidRDefault="00000000">
      <w:pPr>
        <w:jc w:val="both"/>
      </w:pPr>
      <w:r>
        <w:t>En outre, il répond à des critères plus stricts pour cet usage particulier (cfr déclaration d’aptitude).</w:t>
      </w:r>
    </w:p>
    <w:p w14:paraId="4A11A565" w14:textId="77777777" w:rsidR="00772179" w:rsidRDefault="00000000">
      <w:pPr>
        <w:jc w:val="both"/>
      </w:pPr>
      <w:r>
        <w:t xml:space="preserve">Nature de l’isolant : </w:t>
      </w:r>
      <w:r>
        <w:rPr>
          <w:color w:val="FF0000"/>
        </w:rPr>
        <w:t xml:space="preserve">EPS / EPS haute densité / XPS </w:t>
      </w:r>
      <w:r>
        <w:rPr>
          <w:rStyle w:val="optioncarChar"/>
        </w:rPr>
        <w:t> </w:t>
      </w:r>
    </w:p>
    <w:p w14:paraId="2202ED4F" w14:textId="77777777" w:rsidR="00772179" w:rsidRDefault="00000000">
      <w:pPr>
        <w:jc w:val="both"/>
      </w:pPr>
      <w:r>
        <w:t>Epaisseur : </w:t>
      </w:r>
      <w:r>
        <w:rPr>
          <w:rStyle w:val="optioncarChar"/>
        </w:rPr>
        <w:t>10 cm / 12 cm / 14 cm / 16 cm / 18 cm / selon calcul thermique (PEB) / non spécifié / ***</w:t>
      </w:r>
      <w:r>
        <w:t> .</w:t>
      </w:r>
    </w:p>
    <w:p w14:paraId="6556AC77" w14:textId="77777777" w:rsidR="00772179" w:rsidRDefault="00000000">
      <w:pPr>
        <w:jc w:val="both"/>
      </w:pPr>
      <w:r>
        <w:t>Conductivité thermique déclarée : ≤ </w:t>
      </w:r>
      <w:r>
        <w:rPr>
          <w:rStyle w:val="optioncarChar"/>
        </w:rPr>
        <w:t>0,04 / 0,035 / 0,032 / ***</w:t>
      </w:r>
      <w:r>
        <w:t> W/mK</w:t>
      </w:r>
    </w:p>
    <w:p w14:paraId="492336FC" w14:textId="77777777" w:rsidR="00772179" w:rsidRDefault="00000000">
      <w:pPr>
        <w:jc w:val="both"/>
      </w:pPr>
      <w:r>
        <w:rPr>
          <w:b/>
        </w:rPr>
        <w:t>Bande d’étanchéité pré-comprimée</w:t>
      </w:r>
    </w:p>
    <w:p w14:paraId="67012EA5" w14:textId="77777777" w:rsidR="00772179" w:rsidRDefault="00000000">
      <w:pPr>
        <w:jc w:val="both"/>
      </w:pPr>
      <w:r>
        <w:lastRenderedPageBreak/>
        <w:t>La bande d’étanchéité pré-comprimée est étanche à l’eau jusqu’à une pression d’étanchéité déterminée (</w:t>
      </w:r>
      <w:r>
        <w:rPr>
          <w:rStyle w:val="optioncarChar"/>
        </w:rPr>
        <w:t>600</w:t>
      </w:r>
      <w:r>
        <w:t> (par défaut)</w:t>
      </w:r>
      <w:r>
        <w:rPr>
          <w:rStyle w:val="optioncarChar"/>
        </w:rPr>
        <w:t> / 900 / ***</w:t>
      </w:r>
      <w:r>
        <w:t> Pa),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33676CA0" w14:textId="77777777" w:rsidR="00772179" w:rsidRDefault="00000000">
      <w:pPr>
        <w:jc w:val="both"/>
      </w:pPr>
      <w:r>
        <w:rPr>
          <w:b/>
        </w:rPr>
        <w:t>Enduit de finition</w:t>
      </w:r>
    </w:p>
    <w:p w14:paraId="21BEF332" w14:textId="77777777" w:rsidR="00772179" w:rsidRDefault="00000000">
      <w:pPr>
        <w:jc w:val="both"/>
      </w:pPr>
      <w:r>
        <w:t>Liant : </w:t>
      </w:r>
      <w:r>
        <w:rPr>
          <w:rStyle w:val="optioncarChar"/>
        </w:rPr>
        <w:t>résine organique / résine silicone / silicate / minéral.</w:t>
      </w:r>
    </w:p>
    <w:p w14:paraId="35847A10" w14:textId="77777777" w:rsidR="00772179" w:rsidRDefault="00000000">
      <w:pPr>
        <w:jc w:val="both"/>
      </w:pPr>
      <w:r>
        <w:t>Epaisseur : </w:t>
      </w:r>
      <w:r>
        <w:rPr>
          <w:rStyle w:val="optioncarChar"/>
        </w:rPr>
        <w:t>***</w:t>
      </w:r>
      <w:r>
        <w:t> mm</w:t>
      </w:r>
    </w:p>
    <w:p w14:paraId="364B9ACB" w14:textId="77777777" w:rsidR="00772179" w:rsidRDefault="00000000">
      <w:pPr>
        <w:jc w:val="both"/>
      </w:pPr>
      <w:r>
        <w:t>Facteur d’absorption de l’énergie solaire [NBN EN 410] : </w:t>
      </w:r>
      <w:r>
        <w:rPr>
          <w:rStyle w:val="optioncarChar"/>
        </w:rPr>
        <w:t>≤ 0,7</w:t>
      </w:r>
      <w:r>
        <w:t> (par défaut) </w:t>
      </w:r>
      <w:r>
        <w:rPr>
          <w:rStyle w:val="optioncarChar"/>
        </w:rPr>
        <w:t>/ non spécifié / ***.</w:t>
      </w:r>
    </w:p>
    <w:p w14:paraId="0D7E3591" w14:textId="77777777" w:rsidR="00772179" w:rsidRDefault="00000000">
      <w:pPr>
        <w:jc w:val="both"/>
      </w:pPr>
      <w:r>
        <w:t>Indice de clarté : </w:t>
      </w:r>
      <w:r>
        <w:rPr>
          <w:rStyle w:val="optioncarChar"/>
        </w:rPr>
        <w:t>≥ 30</w:t>
      </w:r>
      <w:r>
        <w:t> (par défaut)</w:t>
      </w:r>
      <w:r>
        <w:rPr>
          <w:rStyle w:val="optioncarChar"/>
        </w:rPr>
        <w:t> / non spécifié / ***</w:t>
      </w:r>
    </w:p>
    <w:p w14:paraId="3DD9AAA8" w14:textId="77777777" w:rsidR="00772179" w:rsidRDefault="00000000">
      <w:pPr>
        <w:jc w:val="both"/>
      </w:pPr>
      <w:r>
        <w:rPr>
          <w:b/>
        </w:rPr>
        <w:t>Mastic d’étanchéité</w:t>
      </w:r>
    </w:p>
    <w:p w14:paraId="6274C499" w14:textId="77777777" w:rsidR="00772179" w:rsidRDefault="00000000">
      <w:pPr>
        <w:jc w:val="both"/>
      </w:pPr>
      <w:r>
        <w:t>Couleur : </w:t>
      </w:r>
      <w:r>
        <w:rPr>
          <w:rStyle w:val="optioncarChar"/>
        </w:rPr>
        <w:t>se rapprochant du mortier de jointoiement</w:t>
      </w:r>
      <w:r>
        <w:t> (par défaut)</w:t>
      </w:r>
      <w:r>
        <w:rPr>
          <w:rStyle w:val="optioncarChar"/>
        </w:rPr>
        <w:t> / ***</w:t>
      </w:r>
      <w:r>
        <w:t>.</w:t>
      </w:r>
    </w:p>
    <w:p w14:paraId="34A70C0E" w14:textId="77777777" w:rsidR="00772179" w:rsidRDefault="00000000">
      <w:pPr>
        <w:jc w:val="both"/>
      </w:pPr>
      <w:r>
        <w:rPr>
          <w:b/>
        </w:rPr>
        <w:t>Produit pour joints de mouvement</w:t>
      </w:r>
    </w:p>
    <w:p w14:paraId="07865333" w14:textId="77777777" w:rsidR="00772179" w:rsidRDefault="00000000">
      <w:pPr>
        <w:jc w:val="both"/>
      </w:pPr>
      <w:r>
        <w:t>Couleur : </w:t>
      </w:r>
      <w:r>
        <w:rPr>
          <w:rStyle w:val="optioncarChar"/>
        </w:rPr>
        <w:t>se rapprochant du mortier de jointoiement</w:t>
      </w:r>
      <w:r>
        <w:t> (par défaut)</w:t>
      </w:r>
      <w:r>
        <w:rPr>
          <w:rStyle w:val="optioncarChar"/>
        </w:rPr>
        <w:t> / ***</w:t>
      </w:r>
      <w:r>
        <w:t>.</w:t>
      </w:r>
    </w:p>
    <w:p w14:paraId="47328466" w14:textId="77777777" w:rsidR="00772179" w:rsidRDefault="00000000">
      <w:pPr>
        <w:jc w:val="both"/>
      </w:pPr>
      <w:r>
        <w:rPr>
          <w:b/>
        </w:rPr>
        <w:t>Profilés</w:t>
      </w:r>
    </w:p>
    <w:p w14:paraId="780E11B8" w14:textId="77777777" w:rsidR="00772179" w:rsidRDefault="00000000">
      <w:pPr>
        <w:jc w:val="both"/>
      </w:pPr>
      <w:r>
        <w:t>Position : voir </w:t>
      </w:r>
      <w:r>
        <w:rPr>
          <w:rStyle w:val="optioncarChar"/>
        </w:rPr>
        <w:t>plans / ***</w:t>
      </w:r>
      <w:r>
        <w:t>.</w:t>
      </w:r>
    </w:p>
    <w:p w14:paraId="4ECAC9C9" w14:textId="77777777" w:rsidR="00772179" w:rsidRDefault="00000000">
      <w:pPr>
        <w:jc w:val="both"/>
      </w:pPr>
      <w:r>
        <w:t>Description : </w:t>
      </w:r>
      <w:r>
        <w:rPr>
          <w:rStyle w:val="optioncarChar"/>
        </w:rPr>
        <w:t>***</w:t>
      </w:r>
      <w:r>
        <w:t>.</w:t>
      </w:r>
    </w:p>
    <w:p w14:paraId="54AC0D4B" w14:textId="77777777" w:rsidR="00772179" w:rsidRDefault="00772179"/>
    <w:p w14:paraId="6786D7F3" w14:textId="77777777" w:rsidR="00772179" w:rsidRDefault="00000000">
      <w:pPr>
        <w:jc w:val="both"/>
      </w:pPr>
      <w:r>
        <w:t>Etude action du vent : </w:t>
      </w:r>
      <w:r>
        <w:rPr>
          <w:rStyle w:val="optioncarChar"/>
        </w:rPr>
        <w:t xml:space="preserve">à charge de l’auteur de projet </w:t>
      </w:r>
      <w:r>
        <w:t xml:space="preserve">(par défaut) </w:t>
      </w:r>
      <w:r>
        <w:rPr>
          <w:rStyle w:val="optioncarChar"/>
        </w:rPr>
        <w:t>/ l’entrepreneur</w:t>
      </w:r>
    </w:p>
    <w:p w14:paraId="3B178016" w14:textId="77777777" w:rsidR="00772179" w:rsidRDefault="00000000">
      <w:pPr>
        <w:jc w:val="both"/>
      </w:pPr>
      <w:r>
        <w:t>Longueur de chacune des zones de bord (cfr action du vent) : </w:t>
      </w:r>
      <w:r>
        <w:rPr>
          <w:rStyle w:val="optioncarChar"/>
        </w:rPr>
        <w:t>*** m / non spécifié</w:t>
      </w:r>
    </w:p>
    <w:p w14:paraId="0F999AAC" w14:textId="77777777" w:rsidR="00772179" w:rsidRDefault="00000000">
      <w:pPr>
        <w:jc w:val="both"/>
      </w:pPr>
      <w:r>
        <w:t>Longueur de l’éventuelle zone centrale (cfr action du vent) : </w:t>
      </w:r>
      <w:r>
        <w:rPr>
          <w:rStyle w:val="optioncarChar"/>
        </w:rPr>
        <w:t>*** m / non spécifié</w:t>
      </w:r>
    </w:p>
    <w:p w14:paraId="12CF6153" w14:textId="77777777" w:rsidR="00772179" w:rsidRDefault="00000000">
      <w:pPr>
        <w:jc w:val="both"/>
      </w:pPr>
      <w:r>
        <w:t>Valeur de calcul de l’action du vent en zone centrale (cfr [NBN EN 1991-1-4 ANB]) : </w:t>
      </w:r>
      <w:r>
        <w:rPr>
          <w:rStyle w:val="optioncarChar"/>
        </w:rPr>
        <w:t>*** Pa / non spécifié</w:t>
      </w:r>
    </w:p>
    <w:p w14:paraId="38D56067" w14:textId="77777777" w:rsidR="00772179" w:rsidRDefault="00000000">
      <w:pPr>
        <w:jc w:val="both"/>
      </w:pPr>
      <w:r>
        <w:t>Valeur de calcul de l’action du vent en zone de bord (cfr [NBN EN 1991-1-4 ANB]) :</w:t>
      </w:r>
      <w:r>
        <w:rPr>
          <w:rStyle w:val="optioncarChar"/>
        </w:rPr>
        <w:t> *** Pa / non spécifié </w:t>
      </w:r>
    </w:p>
    <w:p w14:paraId="6CE0328C" w14:textId="77777777" w:rsidR="00772179" w:rsidRDefault="00000000">
      <w:pPr>
        <w:pStyle w:val="pheading"/>
      </w:pPr>
      <w:r>
        <w:t>- Finitions</w:t>
      </w:r>
    </w:p>
    <w:p w14:paraId="70000A9C" w14:textId="77777777" w:rsidR="00772179" w:rsidRDefault="00000000">
      <w:pPr>
        <w:pStyle w:val="Author-eListParagraph"/>
        <w:numPr>
          <w:ilvl w:val="0"/>
          <w:numId w:val="1081"/>
        </w:numPr>
        <w:jc w:val="both"/>
      </w:pPr>
      <w:r>
        <w:t xml:space="preserve">Texture de l’enduit de finition : </w:t>
      </w:r>
      <w:r>
        <w:rPr>
          <w:rStyle w:val="optioncarChar"/>
        </w:rPr>
        <w:t xml:space="preserve">grésé </w:t>
      </w:r>
      <w:r>
        <w:t>(par défaut)</w:t>
      </w:r>
      <w:r>
        <w:rPr>
          <w:rStyle w:val="optioncarChar"/>
        </w:rPr>
        <w:t xml:space="preserve"> / ribbé / gratté / ***</w:t>
      </w:r>
    </w:p>
    <w:p w14:paraId="4CA3F649" w14:textId="77777777" w:rsidR="00772179" w:rsidRDefault="00000000">
      <w:pPr>
        <w:pStyle w:val="Author-eListParagraph"/>
        <w:numPr>
          <w:ilvl w:val="0"/>
          <w:numId w:val="1081"/>
        </w:numPr>
        <w:jc w:val="both"/>
      </w:pPr>
      <w:r>
        <w:t>Teinte de l’enduit de finition :</w:t>
      </w:r>
      <w:r>
        <w:rPr>
          <w:rStyle w:val="optioncarChar"/>
        </w:rPr>
        <w:t> blanc</w:t>
      </w:r>
      <w:r>
        <w:t xml:space="preserve"> (par défaut)</w:t>
      </w:r>
      <w:r>
        <w:rPr>
          <w:rStyle w:val="optioncarChar"/>
        </w:rPr>
        <w:t xml:space="preserve"> / ***</w:t>
      </w:r>
    </w:p>
    <w:p w14:paraId="492C32D9" w14:textId="77777777" w:rsidR="00772179" w:rsidRDefault="00000000">
      <w:pPr>
        <w:pStyle w:val="Author-eListParagraph"/>
        <w:numPr>
          <w:ilvl w:val="0"/>
          <w:numId w:val="1081"/>
        </w:numPr>
        <w:jc w:val="both"/>
      </w:pPr>
      <w:r>
        <w:t xml:space="preserve">Granulométrie de l’enduit de finition : </w:t>
      </w:r>
      <w:r>
        <w:rPr>
          <w:rStyle w:val="optioncarChar"/>
        </w:rPr>
        <w:t xml:space="preserve">1,5 </w:t>
      </w:r>
      <w:r>
        <w:t>(par défaut)</w:t>
      </w:r>
      <w:r>
        <w:rPr>
          <w:rStyle w:val="optioncarChar"/>
        </w:rPr>
        <w:t xml:space="preserve"> / ***</w:t>
      </w:r>
      <w:r>
        <w:t xml:space="preserve"> mm</w:t>
      </w:r>
    </w:p>
    <w:p w14:paraId="3FA790FD" w14:textId="77777777" w:rsidR="00772179" w:rsidRDefault="00000000">
      <w:pPr>
        <w:pStyle w:val="pheading"/>
      </w:pPr>
      <w:r>
        <w:t>EXÉCUTION / MISE EN ŒUVRE</w:t>
      </w:r>
    </w:p>
    <w:p w14:paraId="1A7211CE" w14:textId="77777777" w:rsidR="00772179" w:rsidRDefault="00000000">
      <w:pPr>
        <w:pStyle w:val="pheading"/>
      </w:pPr>
      <w:r>
        <w:t>- Prescriptions générales</w:t>
      </w:r>
    </w:p>
    <w:p w14:paraId="2521C1C9" w14:textId="77777777" w:rsidR="00772179" w:rsidRDefault="00000000">
      <w:pPr>
        <w:jc w:val="both"/>
      </w:pPr>
      <w:r>
        <w:t>L’entrepreneur soumet le descriptif du système et sa configuration (nombre de fixations par exemple) à l’auteur de projet pour approbation.</w:t>
      </w:r>
    </w:p>
    <w:p w14:paraId="1B140D78" w14:textId="77777777" w:rsidR="00772179" w:rsidRDefault="00000000">
      <w:pPr>
        <w:jc w:val="both"/>
      </w:pPr>
      <w:r>
        <w:t>La mise en œuvre et la réalisation des raccords aux ouvrages existants suivent les recommandations de la [NIT 257], de la [NIT 274] et la documentation technique accompagnant le système.</w:t>
      </w:r>
    </w:p>
    <w:p w14:paraId="6B557913" w14:textId="77777777" w:rsidR="00772179" w:rsidRDefault="00000000">
      <w:pPr>
        <w:jc w:val="both"/>
      </w:pPr>
      <w:r>
        <w:t>Quelle que soit la technique de pose, les joints de structure ou de gros œuvre sont obligatoirement répercutés, sans décalage, dans l’ouvrage de parachèvement. Des joints de fractionnement sont projetés et réalisés conformément à la documentation technique accompagnant le système.</w:t>
      </w:r>
    </w:p>
    <w:p w14:paraId="4912CEDB" w14:textId="77777777" w:rsidR="00772179" w:rsidRDefault="00000000">
      <w:pPr>
        <w:jc w:val="both"/>
      </w:pPr>
      <w:r>
        <w:t>Pendant la période de séchage, les ouvrages sont protégés contre le rayonnement solaire direct, l'humidité anormale, les températures élevées et le gel.</w:t>
      </w:r>
    </w:p>
    <w:p w14:paraId="71967242" w14:textId="77777777" w:rsidR="00772179" w:rsidRDefault="00000000">
      <w:pPr>
        <w:jc w:val="both"/>
      </w:pPr>
      <w:r>
        <w:t>Le choix des produits de pose et de la technique de pose sont déterminés notamment par les caractéristiques du support.</w:t>
      </w:r>
    </w:p>
    <w:p w14:paraId="33AA51DA" w14:textId="77777777" w:rsidR="00772179" w:rsidRDefault="00000000">
      <w:pPr>
        <w:jc w:val="both"/>
      </w:pPr>
      <w:r>
        <w:lastRenderedPageBreak/>
        <w:t>L’entrepreneur contrôle dans quelle mesure le support répond aux exigences spécifiées en termes de stabilité et déformabilité, sensibilité à l’humidité, cohésion de surface et rugosité, niveau, planéité et horizontalité du support.</w:t>
      </w:r>
    </w:p>
    <w:p w14:paraId="2812E60C" w14:textId="77777777" w:rsidR="00772179" w:rsidRDefault="00000000">
      <w:pPr>
        <w:jc w:val="both"/>
      </w:pPr>
      <w:r>
        <w:rPr>
          <w:b/>
        </w:rPr>
        <w:t>Support (couche de fixation)</w:t>
      </w:r>
    </w:p>
    <w:p w14:paraId="781029A1" w14:textId="77777777" w:rsidR="00772179" w:rsidRDefault="00000000">
      <w:pPr>
        <w:jc w:val="both"/>
      </w:pPr>
      <w:r>
        <w:t>Support (couche de fixation) à revêtir : </w:t>
      </w:r>
      <w:r>
        <w:rPr>
          <w:rStyle w:val="optioncarChar"/>
        </w:rPr>
        <w:t>voile en béton / maçonnerie d’éléments / ***</w:t>
      </w:r>
      <w:r>
        <w:t>.</w:t>
      </w:r>
    </w:p>
    <w:p w14:paraId="1F1A0C70" w14:textId="77777777" w:rsidR="00772179" w:rsidRDefault="00000000">
      <w:pPr>
        <w:jc w:val="both"/>
      </w:pPr>
      <w:r>
        <w:t xml:space="preserve"> Type de support : catégorie </w:t>
      </w:r>
      <w:r>
        <w:rPr>
          <w:rStyle w:val="optioncarChar"/>
        </w:rPr>
        <w:t>A / B / C / D / E </w:t>
      </w:r>
      <w:r>
        <w:t>(cfr [EAD 330196-01-0604]).</w:t>
      </w:r>
    </w:p>
    <w:p w14:paraId="455BDD69" w14:textId="77777777" w:rsidR="00772179" w:rsidRDefault="00000000">
      <w:pPr>
        <w:jc w:val="both"/>
      </w:pPr>
      <w:r>
        <w:t xml:space="preserve"> En cas de voile en béton : </w:t>
      </w:r>
      <w:r>
        <w:rPr>
          <w:rStyle w:val="optioncarChar"/>
        </w:rPr>
        <w:t>préfabriqué / coulé sur place</w:t>
      </w:r>
      <w:r>
        <w:t>. Classe de résistance : </w:t>
      </w:r>
      <w:r>
        <w:rPr>
          <w:rStyle w:val="optioncarChar"/>
        </w:rPr>
        <w:t>inconnue </w:t>
      </w:r>
      <w:r>
        <w:t>(par défaut)</w:t>
      </w:r>
      <w:r>
        <w:rPr>
          <w:rStyle w:val="optioncarChar"/>
        </w:rPr>
        <w:t> / ***</w:t>
      </w:r>
      <w:r>
        <w:t>.</w:t>
      </w:r>
    </w:p>
    <w:p w14:paraId="7049CBE0" w14:textId="77777777" w:rsidR="00772179" w:rsidRDefault="00000000">
      <w:pPr>
        <w:jc w:val="both"/>
      </w:pPr>
      <w:r>
        <w:t xml:space="preserve"> En cas de maçonnerie comme support ; nature des éléments de maçonnerie : </w:t>
      </w:r>
      <w:r>
        <w:rPr>
          <w:rStyle w:val="optioncarChar"/>
        </w:rPr>
        <w:t>briques / blocs de béton / blocs de terre cuite / blocs de béton cellulaire</w:t>
      </w:r>
      <w:r>
        <w:t>. Groupe des éléments de maçonnerie (cfr [NBN EN 1996-1-1+A1]) : </w:t>
      </w:r>
      <w:r>
        <w:rPr>
          <w:rStyle w:val="optioncarChar"/>
        </w:rPr>
        <w:t>1 / 1s / 2 / 3 / 4.</w:t>
      </w:r>
    </w:p>
    <w:p w14:paraId="5A1F3C32" w14:textId="77777777" w:rsidR="00772179" w:rsidRDefault="00000000">
      <w:pPr>
        <w:jc w:val="both"/>
      </w:pPr>
      <w:r>
        <w:t xml:space="preserve"> Conformité des éléments de maçonnerie à une norme et un PTV : </w:t>
      </w:r>
      <w:r>
        <w:rPr>
          <w:rStyle w:val="optioncarChar"/>
        </w:rPr>
        <w:t>oui / non / inconnu.</w:t>
      </w:r>
    </w:p>
    <w:p w14:paraId="7B5532B0" w14:textId="77777777" w:rsidR="00772179" w:rsidRDefault="00000000">
      <w:pPr>
        <w:jc w:val="both"/>
      </w:pPr>
      <w:r>
        <w:t xml:space="preserve"> En cas de construction en bois (ossature bois par exemple), nature des panneaux support : </w:t>
      </w:r>
      <w:r>
        <w:rPr>
          <w:rStyle w:val="optioncarChar"/>
        </w:rPr>
        <w:t>panneaux de fibres-ciment / panneaux d’OSB de classe ≥ 3. </w:t>
      </w:r>
    </w:p>
    <w:p w14:paraId="0E8672B1" w14:textId="77777777" w:rsidR="00772179" w:rsidRDefault="00000000">
      <w:pPr>
        <w:pStyle w:val="pheading"/>
      </w:pPr>
      <w:r>
        <w:t>- Échantillons</w:t>
      </w:r>
    </w:p>
    <w:p w14:paraId="56EAA161" w14:textId="77777777" w:rsidR="00772179" w:rsidRDefault="00000000">
      <w:pPr>
        <w:jc w:val="both"/>
      </w:pPr>
      <w:r>
        <w:t xml:space="preserve">Des échantillons de l’enduit de finition au nombre ≥ </w:t>
      </w:r>
      <w:r>
        <w:rPr>
          <w:rStyle w:val="optioncarChar"/>
        </w:rPr>
        <w:t>3 (par défaut) / ***</w:t>
      </w:r>
      <w:r>
        <w:t xml:space="preserve"> sont présentés à l'auteur de projet pour approbation.</w:t>
      </w:r>
    </w:p>
    <w:p w14:paraId="023DDF1B" w14:textId="77777777" w:rsidR="00772179" w:rsidRDefault="00772179">
      <w:pPr>
        <w:jc w:val="both"/>
      </w:pPr>
    </w:p>
    <w:p w14:paraId="1AA4D29F" w14:textId="77777777" w:rsidR="00772179" w:rsidRDefault="00000000">
      <w:pPr>
        <w:jc w:val="both"/>
      </w:pPr>
      <w:r>
        <w:t>La couleur du mastic d’étanchéité est soumise à l’approbation de l’auteur de projet en réalisant un essai d’application sur un mètre de longueur.</w:t>
      </w:r>
    </w:p>
    <w:p w14:paraId="4030E000" w14:textId="77777777" w:rsidR="00772179" w:rsidRDefault="00000000">
      <w:pPr>
        <w:jc w:val="both"/>
      </w:pPr>
      <w:r>
        <w:t xml:space="preserve"> La couleur du produit de joints de mouvement est soumise à l’approbation de l’auteur de projet en réalisant un essai d’application sur un mètre de longueur.</w:t>
      </w:r>
    </w:p>
    <w:p w14:paraId="2E0E405C" w14:textId="77777777" w:rsidR="00772179" w:rsidRDefault="00000000">
      <w:pPr>
        <w:jc w:val="both"/>
      </w:pPr>
      <w:r>
        <w:t xml:space="preserve"> Le modèle de profilé est proposé à l’auteur de projet pour approbation avant mise en œuvre.</w:t>
      </w:r>
    </w:p>
    <w:p w14:paraId="73C7D386" w14:textId="77777777" w:rsidR="00772179" w:rsidRDefault="00000000">
      <w:pPr>
        <w:pStyle w:val="pheading"/>
      </w:pPr>
      <w:r>
        <w:t>CONTRÔLES PARTICULIERS</w:t>
      </w:r>
    </w:p>
    <w:p w14:paraId="540AAE2B" w14:textId="77777777" w:rsidR="00772179" w:rsidRDefault="00000000">
      <w:pPr>
        <w:jc w:val="both"/>
      </w:pPr>
      <w:r>
        <w:rPr>
          <w:b/>
        </w:rPr>
        <w:t>Contrôle du support (couche de fixation) avant mise en œuvre</w:t>
      </w:r>
    </w:p>
    <w:p w14:paraId="38C89671" w14:textId="77777777" w:rsidR="00772179" w:rsidRDefault="00000000">
      <w:pPr>
        <w:jc w:val="both"/>
      </w:pPr>
      <w:r>
        <w:t>Contrôle de la présence d’une finition sur le support : </w:t>
      </w:r>
      <w:r>
        <w:rPr>
          <w:rStyle w:val="optioncarChar"/>
        </w:rPr>
        <w:t>néant / peinture / traitement de surface répulsif à l’eau / enduit / produit de décoffrage / ***</w:t>
      </w:r>
      <w:r>
        <w:t>.</w:t>
      </w:r>
    </w:p>
    <w:p w14:paraId="02403955" w14:textId="77777777" w:rsidR="00772179" w:rsidRDefault="00000000">
      <w:pPr>
        <w:jc w:val="both"/>
      </w:pPr>
      <w:r>
        <w:t xml:space="preserve"> Eventuelle réalisation (à charge </w:t>
      </w:r>
      <w:r>
        <w:rPr>
          <w:rStyle w:val="optioncarChar"/>
        </w:rPr>
        <w:t>du maître d’ouvrage / de l’entrepreneur</w:t>
      </w:r>
      <w:r>
        <w:t>) d’une évaluation mécanique de contrôle de l’adhérence d’une couche d’enduit existante : </w:t>
      </w:r>
      <w:r>
        <w:rPr>
          <w:rStyle w:val="optioncarChar"/>
        </w:rPr>
        <w:t>non </w:t>
      </w:r>
      <w:r>
        <w:t>(par défaut)</w:t>
      </w:r>
      <w:r>
        <w:rPr>
          <w:rStyle w:val="optioncarChar"/>
        </w:rPr>
        <w:t xml:space="preserve"> / oui</w:t>
      </w:r>
    </w:p>
    <w:p w14:paraId="74E421E8" w14:textId="77777777" w:rsidR="00772179" w:rsidRDefault="00000000">
      <w:pPr>
        <w:pStyle w:val="pheading"/>
      </w:pPr>
      <w:r>
        <w:t>MESURAGE</w:t>
      </w:r>
    </w:p>
    <w:p w14:paraId="6EF5ABAE" w14:textId="77777777" w:rsidR="00772179" w:rsidRDefault="00000000">
      <w:pPr>
        <w:pStyle w:val="pheading"/>
      </w:pPr>
      <w:r>
        <w:t>- unité de mesure:</w:t>
      </w:r>
    </w:p>
    <w:p w14:paraId="61C8206E" w14:textId="77777777" w:rsidR="00772179" w:rsidRDefault="00000000">
      <w:r>
        <w:t>m² ; m</w:t>
      </w:r>
    </w:p>
    <w:p w14:paraId="5590FD4B" w14:textId="77777777" w:rsidR="00772179" w:rsidRDefault="00000000">
      <w:pPr>
        <w:pStyle w:val="pheading"/>
      </w:pPr>
      <w:r>
        <w:t>- code de mesurage:</w:t>
      </w:r>
    </w:p>
    <w:p w14:paraId="3651FE36" w14:textId="77777777" w:rsidR="00772179" w:rsidRDefault="00000000">
      <w:pPr>
        <w:jc w:val="both"/>
      </w:pPr>
      <w:r>
        <w:rPr>
          <w:b/>
        </w:rPr>
        <w:t>Surface nette</w:t>
      </w:r>
      <w:r>
        <w:t> du système à poser (mesurée dans le plan extérieur des carreaux). Les ouvertures et les interruptions ≥ 0,50 m² sont déduites. Les retours (jours) des ouvertures ainsi que le bas des linteaux sont comptés (surface nette) à moins que leur largeur est &lt; 10 cm.</w:t>
      </w:r>
    </w:p>
    <w:p w14:paraId="029240E7" w14:textId="77777777" w:rsidR="00772179" w:rsidRDefault="00000000">
      <w:pPr>
        <w:jc w:val="both"/>
      </w:pPr>
      <w:r>
        <w:t xml:space="preserve"> Distinction faite suivant le type de système.</w:t>
      </w:r>
    </w:p>
    <w:p w14:paraId="3FD084E2" w14:textId="77777777" w:rsidR="00772179" w:rsidRDefault="00000000">
      <w:pPr>
        <w:jc w:val="both"/>
      </w:pPr>
      <w:r>
        <w:rPr>
          <w:b/>
        </w:rPr>
        <w:t>Longueur nette</w:t>
      </w:r>
      <w:r>
        <w:t> des profilés à poser. Distinction faite selon le modèle de profilé.</w:t>
      </w:r>
    </w:p>
    <w:p w14:paraId="3D8696F7" w14:textId="77777777" w:rsidR="00772179" w:rsidRDefault="00000000">
      <w:pPr>
        <w:pStyle w:val="pheading"/>
      </w:pPr>
      <w:r>
        <w:t>- nature du marché:</w:t>
      </w:r>
    </w:p>
    <w:p w14:paraId="6F5A496F" w14:textId="77777777" w:rsidR="00772179" w:rsidRDefault="00000000">
      <w:r>
        <w:t>QF</w:t>
      </w:r>
    </w:p>
    <w:p w14:paraId="75C02101" w14:textId="77777777" w:rsidR="00772179" w:rsidRDefault="00000000">
      <w:pPr>
        <w:pStyle w:val="Author-eSectionHeading6Numberless"/>
      </w:pPr>
      <w:bookmarkStart w:id="848" w:name="_Toc220490517"/>
      <w:r>
        <w:t>43.53.1b Systèmes d'enduits de façades à base de mortier à liant minéral sur panneaux en polyuréthane (PUR) CCTB 01.10</w:t>
      </w:r>
      <w:bookmarkEnd w:id="848"/>
    </w:p>
    <w:p w14:paraId="66BF22F7" w14:textId="77777777" w:rsidR="00772179" w:rsidRDefault="00000000">
      <w:pPr>
        <w:pStyle w:val="pheading"/>
      </w:pPr>
      <w:r>
        <w:t>MATÉRIAUX</w:t>
      </w:r>
    </w:p>
    <w:p w14:paraId="4DAD4475" w14:textId="77777777" w:rsidR="00772179" w:rsidRDefault="00000000">
      <w:pPr>
        <w:pStyle w:val="pheading"/>
      </w:pPr>
      <w:r>
        <w:lastRenderedPageBreak/>
        <w:t>- Caractéristiques générales</w:t>
      </w:r>
    </w:p>
    <w:p w14:paraId="0B281778" w14:textId="77777777" w:rsidR="00772179" w:rsidRDefault="00000000">
      <w:r>
        <w:t>PUR: voir caractéristiques générales décrites au § 32.41.1d Isolation en panneaux - polyuréthane (PUR)</w:t>
      </w:r>
    </w:p>
    <w:p w14:paraId="1C191DB4" w14:textId="77777777" w:rsidR="00772179" w:rsidRDefault="00000000">
      <w:pPr>
        <w:pStyle w:val="pheading"/>
      </w:pPr>
      <w:r>
        <w:t>MESURAGE</w:t>
      </w:r>
    </w:p>
    <w:p w14:paraId="0A954455" w14:textId="77777777" w:rsidR="00772179" w:rsidRDefault="00000000">
      <w:pPr>
        <w:pStyle w:val="pheading"/>
      </w:pPr>
      <w:r>
        <w:t>- unité de mesure:</w:t>
      </w:r>
    </w:p>
    <w:p w14:paraId="1B6B1E5D" w14:textId="77777777" w:rsidR="00772179" w:rsidRDefault="00000000">
      <w:r>
        <w:t xml:space="preserve">m² </w:t>
      </w:r>
    </w:p>
    <w:p w14:paraId="77789313" w14:textId="77777777" w:rsidR="00772179" w:rsidRDefault="00000000">
      <w:pPr>
        <w:pStyle w:val="pheading"/>
      </w:pPr>
      <w:r>
        <w:t>- code de mesurage:</w:t>
      </w:r>
    </w:p>
    <w:p w14:paraId="67AF3011" w14:textId="77777777" w:rsidR="00772179" w:rsidRDefault="00000000">
      <w:r>
        <w:t>Surface nette, y compris panneaux d’isolation et couches de préparation et de finition. Toutes les ouvertures &gt; 0,5 m² sont déduites. Les jours des ouvertures et de fenêtres ainsi que le bas des linteaux sont uniquement comptés (surface nette) lorsque leur largeur est &gt; l'épaisseur du revêtement de façade.</w:t>
      </w:r>
    </w:p>
    <w:p w14:paraId="46D3F93B" w14:textId="77777777" w:rsidR="00772179" w:rsidRDefault="00000000">
      <w:pPr>
        <w:pStyle w:val="pheading"/>
      </w:pPr>
      <w:r>
        <w:t>- nature du marché:</w:t>
      </w:r>
    </w:p>
    <w:p w14:paraId="4D0D2C57" w14:textId="77777777" w:rsidR="00772179" w:rsidRDefault="00000000">
      <w:r>
        <w:t>QF</w:t>
      </w:r>
    </w:p>
    <w:p w14:paraId="0D6AF2A1" w14:textId="77777777" w:rsidR="00772179" w:rsidRDefault="00000000">
      <w:pPr>
        <w:pStyle w:val="Author-eSectionHeading6Numberless"/>
      </w:pPr>
      <w:bookmarkStart w:id="849" w:name="_Toc220490518"/>
      <w:r>
        <w:t>43.53.1c Systèmes d'enduits de façades à base de mortier à liant minéral sur panneaux en résine phénolique</w:t>
      </w:r>
      <w:bookmarkEnd w:id="849"/>
    </w:p>
    <w:p w14:paraId="5AEAC8FA" w14:textId="77777777" w:rsidR="00772179" w:rsidRDefault="00000000">
      <w:pPr>
        <w:pStyle w:val="Author-eSectionHeading6Numberless"/>
      </w:pPr>
      <w:bookmarkStart w:id="850" w:name="_Toc220490519"/>
      <w:r>
        <w:t>43.53.1d Systèmes d'enduits de façades à base de mortier à liant minéral sur panneaux en laine minérale (MW) CCTB 01.11</w:t>
      </w:r>
      <w:bookmarkEnd w:id="850"/>
    </w:p>
    <w:p w14:paraId="7C2D0B63" w14:textId="77777777" w:rsidR="00772179" w:rsidRDefault="00000000">
      <w:pPr>
        <w:pStyle w:val="pheading"/>
      </w:pPr>
      <w:r>
        <w:t>DESCRIPTION</w:t>
      </w:r>
    </w:p>
    <w:p w14:paraId="671ADCBC" w14:textId="77777777" w:rsidR="00772179" w:rsidRDefault="00000000">
      <w:pPr>
        <w:pStyle w:val="pheading"/>
      </w:pPr>
      <w:r>
        <w:t>- Définition / Comprend</w:t>
      </w:r>
    </w:p>
    <w:p w14:paraId="0C92F73C" w14:textId="77777777" w:rsidR="00772179" w:rsidRDefault="00000000">
      <w:pPr>
        <w:jc w:val="both"/>
      </w:pPr>
      <w:r>
        <w:t>Il s’agit de la fourniture et de la pose d’un système d’enduits de façades avec un enduit de base minéral renforcé appliqué sur panneaux d’isolation extérieure en laine minérale (MW) pour une application en façade (ETICS avec enduit).</w:t>
      </w:r>
    </w:p>
    <w:p w14:paraId="7D237197" w14:textId="77777777" w:rsidR="00772179" w:rsidRDefault="00000000">
      <w:pPr>
        <w:jc w:val="both"/>
      </w:pPr>
      <w:r>
        <w:t>La portée des travaux est décrite au </w:t>
      </w:r>
      <w:hyperlink w:anchor="1022" w:history="1">
        <w:r>
          <w:rPr>
            <w:color w:val="0000EE"/>
          </w:rPr>
          <w:t>43.53 Systèmes d'enduits sur panneaux isolants</w:t>
        </w:r>
      </w:hyperlink>
      <w:r>
        <w:t>.</w:t>
      </w:r>
    </w:p>
    <w:p w14:paraId="53C9A1EB" w14:textId="77777777" w:rsidR="00772179" w:rsidRDefault="00772179">
      <w:pPr>
        <w:jc w:val="both"/>
      </w:pPr>
    </w:p>
    <w:p w14:paraId="79559C25" w14:textId="77777777" w:rsidR="00772179" w:rsidRDefault="00000000">
      <w:pPr>
        <w:jc w:val="both"/>
      </w:pPr>
      <w:r>
        <w:t xml:space="preserve">Les travaux couverts par le présent article comprennent la fourniture et l’application des mastics d’étanchéité de façade tels que décrit au </w:t>
      </w:r>
      <w:hyperlink w:anchor="470" w:history="1">
        <w:r>
          <w:rPr>
            <w:color w:val="0000EE"/>
          </w:rPr>
          <w:t>43.65 Etanchéisation de joints</w:t>
        </w:r>
      </w:hyperlink>
      <w:r>
        <w:t xml:space="preserve"> : </w:t>
      </w:r>
      <w:r>
        <w:rPr>
          <w:rStyle w:val="optioncarChar"/>
        </w:rPr>
        <w:t xml:space="preserve">non </w:t>
      </w:r>
      <w:r>
        <w:t>(par défaut)</w:t>
      </w:r>
      <w:r>
        <w:rPr>
          <w:rStyle w:val="optioncarChar"/>
        </w:rPr>
        <w:t xml:space="preserve"> / oui</w:t>
      </w:r>
      <w:r>
        <w:t>.</w:t>
      </w:r>
    </w:p>
    <w:p w14:paraId="6454273C" w14:textId="77777777" w:rsidR="00772179" w:rsidRDefault="00000000">
      <w:pPr>
        <w:pStyle w:val="pheading"/>
      </w:pPr>
      <w:r>
        <w:t>MATÉRIAUX</w:t>
      </w:r>
    </w:p>
    <w:p w14:paraId="0B7202F0" w14:textId="77777777" w:rsidR="00772179" w:rsidRDefault="00000000">
      <w:pPr>
        <w:pStyle w:val="pheading"/>
      </w:pPr>
      <w:r>
        <w:t>- Caractéristiques générales</w:t>
      </w:r>
    </w:p>
    <w:p w14:paraId="2FE7785F" w14:textId="77777777" w:rsidR="00772179" w:rsidRDefault="00000000">
      <w:pPr>
        <w:pStyle w:val="Author-eListParagraph"/>
        <w:numPr>
          <w:ilvl w:val="0"/>
          <w:numId w:val="1082"/>
        </w:numPr>
      </w:pPr>
      <w:r>
        <w:t>Classe de climat intérieur (cfr [Buildwise Pathologie Infofiche 11]) : classe </w:t>
      </w:r>
      <w:r>
        <w:rPr>
          <w:rStyle w:val="optioncarChar"/>
        </w:rPr>
        <w:t>I / II / III / IV</w:t>
      </w:r>
      <w:r>
        <w:t>.</w:t>
      </w:r>
    </w:p>
    <w:p w14:paraId="5E019D6A" w14:textId="77777777" w:rsidR="00772179" w:rsidRDefault="00000000">
      <w:pPr>
        <w:pStyle w:val="Author-eListParagraph"/>
        <w:numPr>
          <w:ilvl w:val="0"/>
          <w:numId w:val="1082"/>
        </w:numPr>
      </w:pPr>
      <w:r>
        <w:t>Etanchéité à l’air de la paroi support (cfr [NIT 255]) : Classe </w:t>
      </w:r>
      <w:r>
        <w:rPr>
          <w:rStyle w:val="optioncarChar"/>
        </w:rPr>
        <w:t>L0 / L1 / L2</w:t>
      </w:r>
      <w:r>
        <w:t>.</w:t>
      </w:r>
    </w:p>
    <w:p w14:paraId="7F00E197" w14:textId="77777777" w:rsidR="00772179" w:rsidRDefault="00000000">
      <w:pPr>
        <w:pStyle w:val="Author-eListParagraph"/>
        <w:numPr>
          <w:ilvl w:val="0"/>
          <w:numId w:val="1082"/>
        </w:numPr>
      </w:pPr>
      <w:r>
        <w:t>Les travaux concernent : la façade courante (hors zone de plinthe) </w:t>
      </w:r>
    </w:p>
    <w:p w14:paraId="5FDB683F" w14:textId="77777777" w:rsidR="00772179" w:rsidRDefault="00000000">
      <w:pPr>
        <w:pStyle w:val="Author-eListParagraph"/>
        <w:numPr>
          <w:ilvl w:val="0"/>
          <w:numId w:val="1082"/>
        </w:numPr>
      </w:pPr>
      <w:r>
        <w:t>Niveaux inférieur et supérieur à traiter : voir plans et métrés détaillés.</w:t>
      </w:r>
    </w:p>
    <w:p w14:paraId="7F3B259B" w14:textId="77777777" w:rsidR="00772179" w:rsidRDefault="00000000">
      <w:pPr>
        <w:jc w:val="both"/>
      </w:pPr>
      <w:r>
        <w:rPr>
          <w:b/>
        </w:rPr>
        <w:t>Système</w:t>
      </w:r>
    </w:p>
    <w:p w14:paraId="1B1E9AA8" w14:textId="77777777" w:rsidR="00772179" w:rsidRDefault="00000000">
      <w:pPr>
        <w:jc w:val="both"/>
      </w:pPr>
      <w:r>
        <w:t>Type de système : </w:t>
      </w:r>
      <w:r>
        <w:rPr>
          <w:rStyle w:val="optioncarChar"/>
        </w:rPr>
        <w:t>au choix de l’entrepreneur soumis à l’approbation de l’auteur de projet</w:t>
      </w:r>
      <w:r>
        <w:t> (par défaut)</w:t>
      </w:r>
      <w:r>
        <w:rPr>
          <w:rStyle w:val="optioncarChar"/>
        </w:rPr>
        <w:t xml:space="preserve"> / système collé (≥ 40 % de la surface) / système fixé mécaniquement avec encollage (≥ 40 % de la surface).</w:t>
      </w:r>
    </w:p>
    <w:p w14:paraId="001FCF84" w14:textId="77777777" w:rsidR="00772179" w:rsidRDefault="00000000">
      <w:pPr>
        <w:jc w:val="both"/>
      </w:pPr>
      <w:r>
        <w:t xml:space="preserve"> Pression d’étanchéité à la pluie requise suivant [NIT 257] : ≥ </w:t>
      </w:r>
      <w:r>
        <w:rPr>
          <w:rStyle w:val="optioncarChar"/>
        </w:rPr>
        <w:t>600 / 900 / ***</w:t>
      </w:r>
      <w:r>
        <w:t> Pa</w:t>
      </w:r>
    </w:p>
    <w:p w14:paraId="5F689C12" w14:textId="77777777" w:rsidR="00772179" w:rsidRDefault="00000000">
      <w:pPr>
        <w:jc w:val="both"/>
      </w:pPr>
      <w:r>
        <w:t xml:space="preserve"> Résistance aux chocs requise suivant [NIT 257] : catégorie d’utilisation </w:t>
      </w:r>
      <w:r>
        <w:rPr>
          <w:rStyle w:val="optioncarChar"/>
        </w:rPr>
        <w:t>I / II / III</w:t>
      </w:r>
      <w:r>
        <w:t>.</w:t>
      </w:r>
    </w:p>
    <w:p w14:paraId="4B384352" w14:textId="77777777" w:rsidR="00772179" w:rsidRDefault="00000000">
      <w:pPr>
        <w:jc w:val="both"/>
      </w:pPr>
      <w:r>
        <w:t xml:space="preserve"> Indice d’affaiblissement acoustique pondéré R</w:t>
      </w:r>
      <w:r>
        <w:rPr>
          <w:vertAlign w:val="subscript"/>
        </w:rPr>
        <w:t>Atr</w:t>
      </w:r>
      <w:r>
        <w:t> : </w:t>
      </w:r>
      <w:r>
        <w:rPr>
          <w:rStyle w:val="optioncarChar"/>
        </w:rPr>
        <w:t xml:space="preserve">≥ *** </w:t>
      </w:r>
      <w:r>
        <w:t>dB</w:t>
      </w:r>
      <w:r>
        <w:rPr>
          <w:rStyle w:val="optioncarChar"/>
        </w:rPr>
        <w:t xml:space="preserve"> / non spécifié</w:t>
      </w:r>
      <w:r>
        <w:t xml:space="preserve">  </w:t>
      </w:r>
    </w:p>
    <w:p w14:paraId="487B6E6A" w14:textId="77777777" w:rsidR="00772179" w:rsidRDefault="00000000">
      <w:pPr>
        <w:jc w:val="both"/>
      </w:pPr>
      <w:r>
        <w:t xml:space="preserve"> Réaction au feu du système : </w:t>
      </w:r>
      <w:r>
        <w:rPr>
          <w:rStyle w:val="optioncarChar"/>
        </w:rPr>
        <w:t>A1 / A2 / B / C / D / E / F</w:t>
      </w:r>
    </w:p>
    <w:p w14:paraId="4247B93E" w14:textId="77777777" w:rsidR="00772179" w:rsidRDefault="00000000">
      <w:pPr>
        <w:jc w:val="both"/>
      </w:pPr>
      <w:r>
        <w:t xml:space="preserve">Etude thermique : à charge de </w:t>
      </w:r>
      <w:r>
        <w:rPr>
          <w:rStyle w:val="optioncarChar"/>
        </w:rPr>
        <w:t xml:space="preserve">l’auteur de projet </w:t>
      </w:r>
      <w:r>
        <w:t>(par défaut)</w:t>
      </w:r>
      <w:r>
        <w:rPr>
          <w:rStyle w:val="optioncarChar"/>
        </w:rPr>
        <w:t xml:space="preserve"> / l’entrepreneur</w:t>
      </w:r>
    </w:p>
    <w:p w14:paraId="549A461B" w14:textId="77777777" w:rsidR="00772179" w:rsidRDefault="00000000">
      <w:pPr>
        <w:jc w:val="both"/>
      </w:pPr>
      <w:r>
        <w:lastRenderedPageBreak/>
        <w:t>L’utilisation de chevilles à rosace pour la fixation influence la résistance thermique et est à considérer dans les calculs PEB.</w:t>
      </w:r>
    </w:p>
    <w:p w14:paraId="3D8057B2" w14:textId="77777777" w:rsidR="00772179" w:rsidRDefault="00000000">
      <w:pPr>
        <w:jc w:val="both"/>
      </w:pPr>
      <w:r>
        <w:t xml:space="preserve"> Valeur du coefficient de déperdition thermique U à ne pas dépasser pour la paroi complète suivant réglementation régionale : </w:t>
      </w:r>
      <w:r>
        <w:rPr>
          <w:rStyle w:val="optioncarChar"/>
        </w:rPr>
        <w:t xml:space="preserve">≤ *** </w:t>
      </w:r>
      <w:r>
        <w:t>W/m²K</w:t>
      </w:r>
      <w:r>
        <w:rPr>
          <w:rStyle w:val="optioncarChar"/>
        </w:rPr>
        <w:t xml:space="preserve"> / non spécifié </w:t>
      </w:r>
    </w:p>
    <w:p w14:paraId="7FB111FD" w14:textId="77777777" w:rsidR="00772179" w:rsidRDefault="00000000">
      <w:pPr>
        <w:jc w:val="both"/>
      </w:pPr>
      <w:r>
        <w:t xml:space="preserve"> Valeur de la résistance thermique R</w:t>
      </w:r>
      <w:r>
        <w:rPr>
          <w:vertAlign w:val="subscript"/>
        </w:rPr>
        <w:t>ETICS</w:t>
      </w:r>
      <w:r>
        <w:t xml:space="preserve"> à atteindre par le système : </w:t>
      </w:r>
      <w:r>
        <w:rPr>
          <w:rStyle w:val="optioncarChar"/>
        </w:rPr>
        <w:t xml:space="preserve">≥ *** </w:t>
      </w:r>
      <w:r>
        <w:t>m².K/W</w:t>
      </w:r>
      <w:r>
        <w:rPr>
          <w:rStyle w:val="optioncarChar"/>
        </w:rPr>
        <w:t xml:space="preserve"> / non spécifié </w:t>
      </w:r>
    </w:p>
    <w:p w14:paraId="470C1E4E" w14:textId="77777777" w:rsidR="00772179" w:rsidRDefault="00000000">
      <w:pPr>
        <w:jc w:val="both"/>
      </w:pPr>
      <w:r>
        <w:t xml:space="preserve">Etude hygrothermique (classe IV de climat intérieur, paroi en bois, par ex.) : à charge de </w:t>
      </w:r>
      <w:r>
        <w:rPr>
          <w:rStyle w:val="optioncarChar"/>
        </w:rPr>
        <w:t>l’auteur de projet</w:t>
      </w:r>
      <w:r>
        <w:t xml:space="preserve"> (par défaut)</w:t>
      </w:r>
      <w:r>
        <w:rPr>
          <w:rStyle w:val="optioncarChar"/>
        </w:rPr>
        <w:t xml:space="preserve"> / l’entrepreneur</w:t>
      </w:r>
    </w:p>
    <w:p w14:paraId="36F378DE" w14:textId="77777777" w:rsidR="00772179" w:rsidRDefault="00000000">
      <w:pPr>
        <w:jc w:val="both"/>
      </w:pPr>
      <w:r>
        <w:rPr>
          <w:b/>
        </w:rPr>
        <w:t>Panneaux d’isolation</w:t>
      </w:r>
    </w:p>
    <w:p w14:paraId="3570B105" w14:textId="77777777" w:rsidR="00772179" w:rsidRDefault="00000000">
      <w:pPr>
        <w:jc w:val="both"/>
      </w:pPr>
      <w:r>
        <w:t>L’isolant répond aux spécifications de la norme ‘produit’ [NBN EN 13162+A1]</w:t>
      </w:r>
    </w:p>
    <w:p w14:paraId="3F43D486" w14:textId="77777777" w:rsidR="00772179" w:rsidRDefault="00000000">
      <w:pPr>
        <w:jc w:val="both"/>
      </w:pPr>
      <w:r>
        <w:t>En outre, il répond à des critères plus stricts pour cet usage particulier (cfr déclaration d’aptitude).</w:t>
      </w:r>
    </w:p>
    <w:p w14:paraId="283CEC00" w14:textId="77777777" w:rsidR="00772179" w:rsidRDefault="00000000">
      <w:pPr>
        <w:jc w:val="both"/>
      </w:pPr>
      <w:r>
        <w:t xml:space="preserve"> Nature de l’isolant : </w:t>
      </w:r>
      <w:r>
        <w:rPr>
          <w:rStyle w:val="optioncarChar"/>
        </w:rPr>
        <w:t>MW en panneaux / MW en lamelles </w:t>
      </w:r>
    </w:p>
    <w:p w14:paraId="4436953D" w14:textId="77777777" w:rsidR="00772179" w:rsidRDefault="00000000">
      <w:pPr>
        <w:jc w:val="both"/>
      </w:pPr>
      <w:r>
        <w:t xml:space="preserve"> Epaisseur : </w:t>
      </w:r>
      <w:r>
        <w:rPr>
          <w:rStyle w:val="optioncarChar"/>
        </w:rPr>
        <w:t>10 cm / 12 cm / 14 cm / 16 cm / 18 cm / selon calcul thermique (PEB) / non spécifié / ***</w:t>
      </w:r>
      <w:r>
        <w:t xml:space="preserve"> .</w:t>
      </w:r>
    </w:p>
    <w:p w14:paraId="7D082BCF" w14:textId="77777777" w:rsidR="00772179" w:rsidRDefault="00000000">
      <w:pPr>
        <w:jc w:val="both"/>
      </w:pPr>
      <w:r>
        <w:t xml:space="preserve"> Conductivité thermique déclarée : ≤ </w:t>
      </w:r>
      <w:r>
        <w:rPr>
          <w:rStyle w:val="optioncarChar"/>
        </w:rPr>
        <w:t>0,04 / 0,035 / 0,032 / ***</w:t>
      </w:r>
      <w:r>
        <w:t> W/mK</w:t>
      </w:r>
    </w:p>
    <w:p w14:paraId="3D859E8F" w14:textId="77777777" w:rsidR="00772179" w:rsidRDefault="00000000">
      <w:pPr>
        <w:jc w:val="both"/>
      </w:pPr>
      <w:r>
        <w:rPr>
          <w:b/>
        </w:rPr>
        <w:t>Bande d’étanchéité pré-comprimée</w:t>
      </w:r>
    </w:p>
    <w:p w14:paraId="4A209F40" w14:textId="77777777" w:rsidR="00772179" w:rsidRDefault="00000000">
      <w:pPr>
        <w:jc w:val="both"/>
      </w:pPr>
      <w:r>
        <w:t>La bande d’étanchéité pré-comprimée est étanche à l’eau jusqu’à une pression d’étanchéité déterminée (</w:t>
      </w:r>
      <w:r>
        <w:rPr>
          <w:rStyle w:val="optioncarChar"/>
        </w:rPr>
        <w:t>600</w:t>
      </w:r>
      <w:r>
        <w:t xml:space="preserve"> (par défaut)</w:t>
      </w:r>
      <w:r>
        <w:rPr>
          <w:rStyle w:val="optioncarChar"/>
        </w:rPr>
        <w:t xml:space="preserve"> / 900 / ***</w:t>
      </w:r>
      <w:r>
        <w:t xml:space="preserve"> Pa),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608A4924" w14:textId="77777777" w:rsidR="00772179" w:rsidRDefault="00000000">
      <w:pPr>
        <w:jc w:val="both"/>
      </w:pPr>
      <w:r>
        <w:rPr>
          <w:b/>
        </w:rPr>
        <w:t>Enduit de finition</w:t>
      </w:r>
    </w:p>
    <w:p w14:paraId="3424E3B0" w14:textId="77777777" w:rsidR="00772179" w:rsidRDefault="00000000">
      <w:pPr>
        <w:jc w:val="both"/>
      </w:pPr>
      <w:r>
        <w:t xml:space="preserve">Liant : </w:t>
      </w:r>
      <w:r>
        <w:rPr>
          <w:rStyle w:val="optioncarChar"/>
        </w:rPr>
        <w:t>résine organique / résine silicone / silicate / minéral.</w:t>
      </w:r>
    </w:p>
    <w:p w14:paraId="063FA936" w14:textId="77777777" w:rsidR="00772179" w:rsidRDefault="00000000">
      <w:pPr>
        <w:jc w:val="both"/>
      </w:pPr>
      <w:r>
        <w:t xml:space="preserve"> Epaisseur : </w:t>
      </w:r>
      <w:r>
        <w:rPr>
          <w:rStyle w:val="optioncarChar"/>
        </w:rPr>
        <w:t>***</w:t>
      </w:r>
      <w:r>
        <w:t xml:space="preserve"> mm</w:t>
      </w:r>
    </w:p>
    <w:p w14:paraId="534B4107" w14:textId="77777777" w:rsidR="00772179" w:rsidRDefault="00000000">
      <w:pPr>
        <w:jc w:val="both"/>
      </w:pPr>
      <w:r>
        <w:t>Facteur d’absorption de l’énergie solaire [NBN EN 410] : </w:t>
      </w:r>
      <w:r>
        <w:rPr>
          <w:rStyle w:val="optioncarChar"/>
        </w:rPr>
        <w:t>≤ 0,7</w:t>
      </w:r>
      <w:r>
        <w:t> (par défaut) </w:t>
      </w:r>
      <w:r>
        <w:rPr>
          <w:rStyle w:val="optioncarChar"/>
        </w:rPr>
        <w:t>/ non spécifié / ***.</w:t>
      </w:r>
    </w:p>
    <w:p w14:paraId="090A7D2B" w14:textId="77777777" w:rsidR="00772179" w:rsidRDefault="00000000">
      <w:pPr>
        <w:jc w:val="both"/>
      </w:pPr>
      <w:r>
        <w:t xml:space="preserve"> Indice de clarté : </w:t>
      </w:r>
      <w:r>
        <w:rPr>
          <w:rStyle w:val="optioncarChar"/>
        </w:rPr>
        <w:t>≥ 30</w:t>
      </w:r>
      <w:r>
        <w:t> (par défaut)</w:t>
      </w:r>
      <w:r>
        <w:rPr>
          <w:rStyle w:val="optioncarChar"/>
        </w:rPr>
        <w:t> / non spécifié / ***</w:t>
      </w:r>
    </w:p>
    <w:p w14:paraId="72708301" w14:textId="77777777" w:rsidR="00772179" w:rsidRDefault="00000000">
      <w:pPr>
        <w:jc w:val="both"/>
      </w:pPr>
      <w:r>
        <w:rPr>
          <w:b/>
        </w:rPr>
        <w:t>Mastic d’étanchéité</w:t>
      </w:r>
    </w:p>
    <w:p w14:paraId="615EB9E4" w14:textId="77777777" w:rsidR="00772179" w:rsidRDefault="00000000">
      <w:pPr>
        <w:jc w:val="both"/>
      </w:pPr>
      <w:r>
        <w:t>Couleur : </w:t>
      </w:r>
      <w:r>
        <w:rPr>
          <w:rStyle w:val="optioncarChar"/>
        </w:rPr>
        <w:t>se rapprochant du mortier de jointoiement</w:t>
      </w:r>
      <w:r>
        <w:t> (par défaut)</w:t>
      </w:r>
      <w:r>
        <w:rPr>
          <w:rStyle w:val="optioncarChar"/>
        </w:rPr>
        <w:t> / ***</w:t>
      </w:r>
      <w:r>
        <w:t>.</w:t>
      </w:r>
    </w:p>
    <w:p w14:paraId="0A0E5BD7" w14:textId="77777777" w:rsidR="00772179" w:rsidRDefault="00000000">
      <w:pPr>
        <w:jc w:val="both"/>
      </w:pPr>
      <w:r>
        <w:rPr>
          <w:b/>
        </w:rPr>
        <w:t>Produit pour joints de mouvement</w:t>
      </w:r>
    </w:p>
    <w:p w14:paraId="63E5EBD2" w14:textId="77777777" w:rsidR="00772179" w:rsidRDefault="00000000">
      <w:pPr>
        <w:jc w:val="both"/>
      </w:pPr>
      <w:r>
        <w:t>Couleur : </w:t>
      </w:r>
      <w:r>
        <w:rPr>
          <w:rStyle w:val="optioncarChar"/>
        </w:rPr>
        <w:t>se rapprochant du mortier de jointoiement</w:t>
      </w:r>
      <w:r>
        <w:t> (par défaut)</w:t>
      </w:r>
      <w:r>
        <w:rPr>
          <w:rStyle w:val="optioncarChar"/>
        </w:rPr>
        <w:t> / ***</w:t>
      </w:r>
      <w:r>
        <w:t>.</w:t>
      </w:r>
    </w:p>
    <w:p w14:paraId="0694B148" w14:textId="77777777" w:rsidR="00772179" w:rsidRDefault="00000000">
      <w:pPr>
        <w:jc w:val="both"/>
      </w:pPr>
      <w:r>
        <w:rPr>
          <w:b/>
        </w:rPr>
        <w:t>Profilés</w:t>
      </w:r>
    </w:p>
    <w:p w14:paraId="1161D068" w14:textId="77777777" w:rsidR="00772179" w:rsidRDefault="00000000">
      <w:pPr>
        <w:jc w:val="both"/>
      </w:pPr>
      <w:r>
        <w:t>Position : voir </w:t>
      </w:r>
      <w:r>
        <w:rPr>
          <w:rStyle w:val="optioncarChar"/>
        </w:rPr>
        <w:t>plans / ***</w:t>
      </w:r>
      <w:r>
        <w:t>.</w:t>
      </w:r>
    </w:p>
    <w:p w14:paraId="7084D090" w14:textId="77777777" w:rsidR="00772179" w:rsidRDefault="00000000">
      <w:pPr>
        <w:jc w:val="both"/>
      </w:pPr>
      <w:r>
        <w:t>Description : </w:t>
      </w:r>
      <w:r>
        <w:rPr>
          <w:rStyle w:val="optioncarChar"/>
        </w:rPr>
        <w:t>***</w:t>
      </w:r>
      <w:r>
        <w:t>.</w:t>
      </w:r>
    </w:p>
    <w:p w14:paraId="324219A7" w14:textId="77777777" w:rsidR="00772179" w:rsidRDefault="00772179"/>
    <w:p w14:paraId="2CDEE087" w14:textId="77777777" w:rsidR="00772179" w:rsidRDefault="00000000">
      <w:pPr>
        <w:jc w:val="both"/>
      </w:pPr>
      <w:r>
        <w:t xml:space="preserve">Etude action du vent : </w:t>
      </w:r>
      <w:r>
        <w:rPr>
          <w:rStyle w:val="optioncarChar"/>
        </w:rPr>
        <w:t>à charge de l’auteur de projet</w:t>
      </w:r>
      <w:r>
        <w:t xml:space="preserve"> (par défaut) </w:t>
      </w:r>
      <w:r>
        <w:rPr>
          <w:rStyle w:val="optioncarChar"/>
        </w:rPr>
        <w:t>/ l’entrepreneur</w:t>
      </w:r>
    </w:p>
    <w:p w14:paraId="7D58721B" w14:textId="77777777" w:rsidR="00772179" w:rsidRDefault="00000000">
      <w:pPr>
        <w:jc w:val="both"/>
      </w:pPr>
      <w:r>
        <w:t xml:space="preserve">Longueur de chacune des zones de bord (cfr action du vent) : </w:t>
      </w:r>
      <w:r>
        <w:rPr>
          <w:rStyle w:val="optioncarChar"/>
        </w:rPr>
        <w:t xml:space="preserve">*** </w:t>
      </w:r>
      <w:r>
        <w:t>m</w:t>
      </w:r>
      <w:r>
        <w:rPr>
          <w:rStyle w:val="optioncarChar"/>
        </w:rPr>
        <w:t xml:space="preserve"> / non spécifié</w:t>
      </w:r>
    </w:p>
    <w:p w14:paraId="451E788F" w14:textId="77777777" w:rsidR="00772179" w:rsidRDefault="00000000">
      <w:pPr>
        <w:jc w:val="both"/>
      </w:pPr>
      <w:r>
        <w:t xml:space="preserve">Longueur de l’éventuelle zone centrale (cfr action du vent) : </w:t>
      </w:r>
      <w:r>
        <w:rPr>
          <w:rStyle w:val="optioncarChar"/>
        </w:rPr>
        <w:t xml:space="preserve">*** </w:t>
      </w:r>
      <w:r>
        <w:t>m</w:t>
      </w:r>
      <w:r>
        <w:rPr>
          <w:rStyle w:val="optioncarChar"/>
        </w:rPr>
        <w:t xml:space="preserve"> / non spécifié</w:t>
      </w:r>
    </w:p>
    <w:p w14:paraId="3D03DE71" w14:textId="77777777" w:rsidR="00772179" w:rsidRDefault="00000000">
      <w:pPr>
        <w:jc w:val="both"/>
      </w:pPr>
      <w:r>
        <w:t>Valeur de calcul de l’action du vent en zone centrale (cfr [NBN EN 1991-1-4 ANB]) : </w:t>
      </w:r>
      <w:r>
        <w:rPr>
          <w:rStyle w:val="optioncarChar"/>
        </w:rPr>
        <w:t xml:space="preserve">*** </w:t>
      </w:r>
      <w:r>
        <w:t>Pa</w:t>
      </w:r>
      <w:r>
        <w:rPr>
          <w:rStyle w:val="optioncarChar"/>
        </w:rPr>
        <w:t xml:space="preserve"> / non spécifié</w:t>
      </w:r>
    </w:p>
    <w:p w14:paraId="58795C62" w14:textId="77777777" w:rsidR="00772179" w:rsidRDefault="00000000">
      <w:pPr>
        <w:jc w:val="both"/>
      </w:pPr>
      <w:r>
        <w:t xml:space="preserve"> Valeur de calcul de l’action du vent en zone de bord (cfr [NBN EN 1991-1-4 ANB]) :</w:t>
      </w:r>
      <w:r>
        <w:rPr>
          <w:rStyle w:val="optioncarChar"/>
        </w:rPr>
        <w:t xml:space="preserve"> *** </w:t>
      </w:r>
      <w:r>
        <w:t>Pa</w:t>
      </w:r>
      <w:r>
        <w:rPr>
          <w:rStyle w:val="optioncarChar"/>
        </w:rPr>
        <w:t xml:space="preserve"> / non spécifié </w:t>
      </w:r>
    </w:p>
    <w:p w14:paraId="42D9F272" w14:textId="77777777" w:rsidR="00772179" w:rsidRDefault="00000000">
      <w:pPr>
        <w:pStyle w:val="pheading"/>
      </w:pPr>
      <w:r>
        <w:t>- Finitions</w:t>
      </w:r>
    </w:p>
    <w:p w14:paraId="3E36C6E5" w14:textId="77777777" w:rsidR="00772179" w:rsidRDefault="00000000">
      <w:pPr>
        <w:pStyle w:val="Author-eListParagraph"/>
        <w:numPr>
          <w:ilvl w:val="0"/>
          <w:numId w:val="1083"/>
        </w:numPr>
        <w:jc w:val="both"/>
      </w:pPr>
      <w:r>
        <w:t xml:space="preserve">Texture de l’enduit de finition : </w:t>
      </w:r>
      <w:r>
        <w:rPr>
          <w:rStyle w:val="optioncarChar"/>
        </w:rPr>
        <w:t>grésé</w:t>
      </w:r>
      <w:r>
        <w:t xml:space="preserve"> (par défaut) </w:t>
      </w:r>
      <w:r>
        <w:rPr>
          <w:rStyle w:val="optioncarChar"/>
        </w:rPr>
        <w:t>/ ribbé / gratté / ***</w:t>
      </w:r>
    </w:p>
    <w:p w14:paraId="567923F8" w14:textId="77777777" w:rsidR="00772179" w:rsidRDefault="00000000">
      <w:pPr>
        <w:pStyle w:val="Author-eListParagraph"/>
        <w:numPr>
          <w:ilvl w:val="0"/>
          <w:numId w:val="1083"/>
        </w:numPr>
        <w:jc w:val="both"/>
      </w:pPr>
      <w:r>
        <w:t>Teinte de l’enduit de finition : </w:t>
      </w:r>
      <w:r>
        <w:rPr>
          <w:rStyle w:val="optioncarChar"/>
        </w:rPr>
        <w:t xml:space="preserve">blanc </w:t>
      </w:r>
      <w:r>
        <w:t>(par défaut)</w:t>
      </w:r>
      <w:r>
        <w:rPr>
          <w:rStyle w:val="optioncarChar"/>
        </w:rPr>
        <w:t xml:space="preserve"> / ***</w:t>
      </w:r>
    </w:p>
    <w:p w14:paraId="0065C6B3" w14:textId="77777777" w:rsidR="00772179" w:rsidRDefault="00000000">
      <w:pPr>
        <w:pStyle w:val="Author-eListParagraph"/>
        <w:numPr>
          <w:ilvl w:val="0"/>
          <w:numId w:val="1083"/>
        </w:numPr>
        <w:jc w:val="both"/>
      </w:pPr>
      <w:r>
        <w:t xml:space="preserve">Granulométrie de l’enduit de finition : </w:t>
      </w:r>
      <w:r>
        <w:rPr>
          <w:rStyle w:val="optioncarChar"/>
        </w:rPr>
        <w:t xml:space="preserve">1,5 </w:t>
      </w:r>
      <w:r>
        <w:t>(par défaut)</w:t>
      </w:r>
      <w:r>
        <w:rPr>
          <w:rStyle w:val="optioncarChar"/>
        </w:rPr>
        <w:t xml:space="preserve"> / ***</w:t>
      </w:r>
      <w:r>
        <w:t xml:space="preserve"> mm</w:t>
      </w:r>
    </w:p>
    <w:p w14:paraId="5B848031" w14:textId="77777777" w:rsidR="00772179" w:rsidRDefault="00000000">
      <w:pPr>
        <w:pStyle w:val="pheading"/>
      </w:pPr>
      <w:r>
        <w:lastRenderedPageBreak/>
        <w:t>EXÉCUTION / MISE EN ŒUVRE</w:t>
      </w:r>
    </w:p>
    <w:p w14:paraId="0536B65E" w14:textId="77777777" w:rsidR="00772179" w:rsidRDefault="00000000">
      <w:pPr>
        <w:pStyle w:val="pheading"/>
      </w:pPr>
      <w:r>
        <w:t>- Prescriptions générales</w:t>
      </w:r>
    </w:p>
    <w:p w14:paraId="1EFED87E" w14:textId="77777777" w:rsidR="00772179" w:rsidRDefault="00000000">
      <w:pPr>
        <w:jc w:val="both"/>
      </w:pPr>
      <w:r>
        <w:rPr>
          <w:b/>
        </w:rPr>
        <w:t>Support (couche de fixation)</w:t>
      </w:r>
    </w:p>
    <w:p w14:paraId="31C410EC" w14:textId="77777777" w:rsidR="00772179" w:rsidRDefault="00000000">
      <w:pPr>
        <w:jc w:val="both"/>
      </w:pPr>
      <w:r>
        <w:t>Support (couche de fixation) à revêtir : </w:t>
      </w:r>
      <w:r>
        <w:rPr>
          <w:rStyle w:val="optioncarChar"/>
        </w:rPr>
        <w:t>voile en béton / maçonnerie d’éléments / ***</w:t>
      </w:r>
      <w:r>
        <w:t>.</w:t>
      </w:r>
    </w:p>
    <w:p w14:paraId="49C9FB96" w14:textId="77777777" w:rsidR="00772179" w:rsidRDefault="00000000">
      <w:pPr>
        <w:jc w:val="both"/>
      </w:pPr>
      <w:r>
        <w:t xml:space="preserve"> Type de support : catégorie </w:t>
      </w:r>
      <w:r>
        <w:rPr>
          <w:rStyle w:val="optioncarChar"/>
        </w:rPr>
        <w:t>A / B / C / D / E</w:t>
      </w:r>
      <w:r>
        <w:t> (cfr [EAD 330196-01-0604]).</w:t>
      </w:r>
    </w:p>
    <w:p w14:paraId="64C578C4" w14:textId="77777777" w:rsidR="00772179" w:rsidRDefault="00000000">
      <w:pPr>
        <w:jc w:val="both"/>
      </w:pPr>
      <w:r>
        <w:t xml:space="preserve"> En cas de voile en béton : </w:t>
      </w:r>
      <w:r>
        <w:rPr>
          <w:rStyle w:val="optioncarChar"/>
        </w:rPr>
        <w:t>préfabriqué / coulé sur place</w:t>
      </w:r>
      <w:r>
        <w:t>. Classe de résistance : </w:t>
      </w:r>
      <w:r>
        <w:rPr>
          <w:rStyle w:val="optioncarChar"/>
        </w:rPr>
        <w:t>inconnue </w:t>
      </w:r>
      <w:r>
        <w:t>(par défaut) </w:t>
      </w:r>
      <w:r>
        <w:rPr>
          <w:rStyle w:val="optioncarChar"/>
        </w:rPr>
        <w:t>/ ***</w:t>
      </w:r>
      <w:r>
        <w:t>.</w:t>
      </w:r>
    </w:p>
    <w:p w14:paraId="06B6D7CA" w14:textId="77777777" w:rsidR="00772179" w:rsidRDefault="00000000">
      <w:pPr>
        <w:jc w:val="both"/>
      </w:pPr>
      <w:r>
        <w:t xml:space="preserve"> En cas de maçonnerie comme support, la nature des éléments de maçonnerie est : </w:t>
      </w:r>
      <w:r>
        <w:rPr>
          <w:rStyle w:val="optioncarChar"/>
        </w:rPr>
        <w:t>briques / blocs de béton / blocs de terre cuite / blocs de béton cellulaire</w:t>
      </w:r>
      <w:r>
        <w:t>. Groupe des éléments de maçonnerie (cfr [NBN EN 1996-1-1+A1]) : </w:t>
      </w:r>
      <w:r>
        <w:rPr>
          <w:rStyle w:val="optioncarChar"/>
        </w:rPr>
        <w:t>1 / 1s / 2 / 3 / 4.</w:t>
      </w:r>
    </w:p>
    <w:p w14:paraId="2F811908" w14:textId="77777777" w:rsidR="00772179" w:rsidRDefault="00000000">
      <w:pPr>
        <w:jc w:val="both"/>
      </w:pPr>
      <w:r>
        <w:t xml:space="preserve"> Conformité des éléments de maçonnerie à une norme et un PTV : </w:t>
      </w:r>
      <w:r>
        <w:rPr>
          <w:rStyle w:val="optioncarChar"/>
        </w:rPr>
        <w:t>oui / non / inconnu</w:t>
      </w:r>
      <w:r>
        <w:t>.</w:t>
      </w:r>
    </w:p>
    <w:p w14:paraId="06AA07AD" w14:textId="77777777" w:rsidR="00772179" w:rsidRDefault="00000000">
      <w:pPr>
        <w:jc w:val="both"/>
      </w:pPr>
      <w:r>
        <w:t xml:space="preserve"> En cas de construction en bois (ossature bois par exemple), nature des panneaux support : </w:t>
      </w:r>
      <w:r>
        <w:rPr>
          <w:rStyle w:val="optioncarChar"/>
        </w:rPr>
        <w:t>panneaux de fibres-ciment / panneaux d’OSB de classe ≥ 3.  </w:t>
      </w:r>
    </w:p>
    <w:p w14:paraId="43F51B10" w14:textId="77777777" w:rsidR="00772179" w:rsidRDefault="00000000">
      <w:pPr>
        <w:pStyle w:val="pheading"/>
      </w:pPr>
      <w:r>
        <w:t>- Échantillons</w:t>
      </w:r>
    </w:p>
    <w:p w14:paraId="2D1C1CE4" w14:textId="77777777" w:rsidR="00772179" w:rsidRDefault="00000000">
      <w:pPr>
        <w:jc w:val="both"/>
      </w:pPr>
      <w:r>
        <w:t xml:space="preserve">Des échantillons de l’enduit de finition au nombre ≥ </w:t>
      </w:r>
      <w:r>
        <w:rPr>
          <w:rStyle w:val="optioncarChar"/>
        </w:rPr>
        <w:t>3</w:t>
      </w:r>
      <w:r>
        <w:t xml:space="preserve"> (par défaut)</w:t>
      </w:r>
      <w:r>
        <w:rPr>
          <w:rStyle w:val="optioncarChar"/>
        </w:rPr>
        <w:t xml:space="preserve"> / ***</w:t>
      </w:r>
      <w:r>
        <w:t xml:space="preserve"> sont présentés à l'auteur de projet pour approbation.</w:t>
      </w:r>
    </w:p>
    <w:p w14:paraId="2A8D15C5" w14:textId="77777777" w:rsidR="00772179" w:rsidRDefault="00000000">
      <w:pPr>
        <w:jc w:val="both"/>
      </w:pPr>
      <w:r>
        <w:t>La couleur du mastic d’étanchéité est soumise à l’approbation de l’auteur de projet en réalisant un essai d’application sur un mètre de longueur.</w:t>
      </w:r>
    </w:p>
    <w:p w14:paraId="0188F03A" w14:textId="77777777" w:rsidR="00772179" w:rsidRDefault="00000000">
      <w:pPr>
        <w:jc w:val="both"/>
      </w:pPr>
      <w:r>
        <w:t xml:space="preserve"> La couleur du produit de joints de mouvement est soumise à l’approbation de l’auteur de projet en réalisant un essai d’application sur un mètre de longueur.</w:t>
      </w:r>
    </w:p>
    <w:p w14:paraId="7D748362" w14:textId="77777777" w:rsidR="00772179" w:rsidRDefault="00000000">
      <w:pPr>
        <w:jc w:val="both"/>
      </w:pPr>
      <w:r>
        <w:t xml:space="preserve"> Le modèle de profilé est proposé à l’auteur de projet pour approbation avant mise en œuvre.</w:t>
      </w:r>
    </w:p>
    <w:p w14:paraId="79E14E25" w14:textId="77777777" w:rsidR="00772179" w:rsidRDefault="00000000">
      <w:pPr>
        <w:pStyle w:val="pheading"/>
      </w:pPr>
      <w:r>
        <w:t>CONTRÔLES PARTICULIERS</w:t>
      </w:r>
    </w:p>
    <w:p w14:paraId="537FDD72" w14:textId="77777777" w:rsidR="00772179" w:rsidRDefault="00000000">
      <w:pPr>
        <w:jc w:val="both"/>
      </w:pPr>
      <w:r>
        <w:rPr>
          <w:b/>
        </w:rPr>
        <w:t>Contrôle du support (couche de fixation) avant mise en œuvre</w:t>
      </w:r>
    </w:p>
    <w:p w14:paraId="6B5F4FEE" w14:textId="77777777" w:rsidR="00772179" w:rsidRDefault="00000000">
      <w:pPr>
        <w:jc w:val="both"/>
      </w:pPr>
      <w:r>
        <w:t>Contrôle de la présence d’une finition sur le support : </w:t>
      </w:r>
      <w:r>
        <w:rPr>
          <w:rStyle w:val="optioncarChar"/>
        </w:rPr>
        <w:t>néant / peinture / traitement de surface répulsif à l’eau / enduit / produit de décoffrage / ***</w:t>
      </w:r>
      <w:r>
        <w:t>.</w:t>
      </w:r>
    </w:p>
    <w:p w14:paraId="428A3E6B" w14:textId="77777777" w:rsidR="00772179" w:rsidRDefault="00000000">
      <w:pPr>
        <w:jc w:val="both"/>
      </w:pPr>
      <w:r>
        <w:t xml:space="preserve"> Eventuelle réalisation (à charge </w:t>
      </w:r>
      <w:r>
        <w:rPr>
          <w:rStyle w:val="optioncarChar"/>
        </w:rPr>
        <w:t>du maître d’ouvrage / de l’entrepreneur</w:t>
      </w:r>
      <w:r>
        <w:t>) d’une évaluation mécanique de contrôle de l’adhérence d’une couche d’enduit existante : </w:t>
      </w:r>
      <w:r>
        <w:rPr>
          <w:rStyle w:val="optioncarChar"/>
        </w:rPr>
        <w:t>non</w:t>
      </w:r>
      <w:r>
        <w:t> (par défaut)</w:t>
      </w:r>
      <w:r>
        <w:rPr>
          <w:rStyle w:val="optioncarChar"/>
        </w:rPr>
        <w:t xml:space="preserve"> / oui</w:t>
      </w:r>
      <w:r>
        <w:t>.</w:t>
      </w:r>
    </w:p>
    <w:p w14:paraId="4C896A82" w14:textId="77777777" w:rsidR="00772179" w:rsidRDefault="00000000">
      <w:pPr>
        <w:pStyle w:val="pheading"/>
      </w:pPr>
      <w:r>
        <w:t>MESURAGE</w:t>
      </w:r>
    </w:p>
    <w:p w14:paraId="4EC7DCAF" w14:textId="77777777" w:rsidR="00772179" w:rsidRDefault="00000000">
      <w:pPr>
        <w:pStyle w:val="pheading"/>
      </w:pPr>
      <w:r>
        <w:t>- unité de mesure:</w:t>
      </w:r>
    </w:p>
    <w:p w14:paraId="646A0F25" w14:textId="77777777" w:rsidR="00772179" w:rsidRDefault="00000000">
      <w:r>
        <w:t>m² ; m</w:t>
      </w:r>
    </w:p>
    <w:p w14:paraId="53D3FC05" w14:textId="77777777" w:rsidR="00772179" w:rsidRDefault="00000000">
      <w:pPr>
        <w:pStyle w:val="pheading"/>
      </w:pPr>
      <w:r>
        <w:t>- code de mesurage:</w:t>
      </w:r>
    </w:p>
    <w:p w14:paraId="06783625" w14:textId="77777777" w:rsidR="00772179" w:rsidRDefault="00000000">
      <w:pPr>
        <w:jc w:val="both"/>
      </w:pPr>
      <w:r>
        <w:rPr>
          <w:b/>
        </w:rPr>
        <w:t>Surface nette</w:t>
      </w:r>
      <w:r>
        <w:t> du système à poser (mesurée dans le plan extérieur des carreaux). Les ouvertures et les interruptions ≥ 0,50 m² sont déduites. Les retours (jours) des ouvertures ainsi que le bas des linteaux sont comptés (surface nette) à moins que leur largeur est &lt; 10 cm.</w:t>
      </w:r>
    </w:p>
    <w:p w14:paraId="4CC1D340" w14:textId="77777777" w:rsidR="00772179" w:rsidRDefault="00000000">
      <w:pPr>
        <w:jc w:val="both"/>
      </w:pPr>
      <w:r>
        <w:t xml:space="preserve"> Distinction faite suivant le type de système.</w:t>
      </w:r>
    </w:p>
    <w:p w14:paraId="42D225BA" w14:textId="77777777" w:rsidR="00772179" w:rsidRDefault="00000000">
      <w:pPr>
        <w:jc w:val="both"/>
      </w:pPr>
      <w:r>
        <w:rPr>
          <w:b/>
        </w:rPr>
        <w:t>Longueur nette</w:t>
      </w:r>
      <w:r>
        <w:t> des profilés à poser. Distinction faite selon le modèle de profilé.</w:t>
      </w:r>
    </w:p>
    <w:p w14:paraId="12FE247E" w14:textId="77777777" w:rsidR="00772179" w:rsidRDefault="00000000">
      <w:pPr>
        <w:pStyle w:val="pheading"/>
      </w:pPr>
      <w:r>
        <w:t>- nature du marché:</w:t>
      </w:r>
    </w:p>
    <w:p w14:paraId="3ACABA09" w14:textId="77777777" w:rsidR="00772179" w:rsidRDefault="00000000">
      <w:r>
        <w:t>QF</w:t>
      </w:r>
    </w:p>
    <w:p w14:paraId="0E4FB0F5" w14:textId="77777777" w:rsidR="00772179" w:rsidRDefault="00000000">
      <w:pPr>
        <w:pStyle w:val="Author-eSectionHeading6Numberless"/>
      </w:pPr>
      <w:bookmarkStart w:id="851" w:name="_Toc220490520"/>
      <w:r>
        <w:t>43.53.1e Systèmes d'enduits de façades à base de mortier à liant minéral sur panneaux en verre cellulaire (CG) CCTB 01.02</w:t>
      </w:r>
      <w:bookmarkEnd w:id="851"/>
    </w:p>
    <w:p w14:paraId="224457A2" w14:textId="77777777" w:rsidR="00772179" w:rsidRDefault="00000000">
      <w:pPr>
        <w:pStyle w:val="Author-eSectionHeading6Numberless"/>
      </w:pPr>
      <w:bookmarkStart w:id="852" w:name="_Toc220490521"/>
      <w:r>
        <w:t>43.53.1f Systèmes d'enduits de façades à base de mortier à liant minéral sur panneaux en fibres de bois (WF) CCTB 01.11</w:t>
      </w:r>
      <w:bookmarkEnd w:id="852"/>
    </w:p>
    <w:p w14:paraId="32E2B745" w14:textId="77777777" w:rsidR="00772179" w:rsidRDefault="00000000">
      <w:pPr>
        <w:pStyle w:val="pheading"/>
      </w:pPr>
      <w:r>
        <w:lastRenderedPageBreak/>
        <w:t>DESCRIPTION</w:t>
      </w:r>
    </w:p>
    <w:p w14:paraId="3E9DAE9A" w14:textId="77777777" w:rsidR="00772179" w:rsidRDefault="00000000">
      <w:pPr>
        <w:pStyle w:val="pheading"/>
      </w:pPr>
      <w:r>
        <w:t>- Définition / Comprend</w:t>
      </w:r>
    </w:p>
    <w:p w14:paraId="4240304C" w14:textId="77777777" w:rsidR="00772179" w:rsidRDefault="00000000">
      <w:pPr>
        <w:jc w:val="both"/>
      </w:pPr>
      <w:r>
        <w:t>Il s’agit de la fourniture et de la pose d’un système d’enduits de façades avec un enduit de base minéral renforcé appliqué sur panneaux d’isolation extérieure en fibres de bois (WF) pour une application en façade (ETICS avec enduit).</w:t>
      </w:r>
    </w:p>
    <w:p w14:paraId="3389B218" w14:textId="77777777" w:rsidR="00772179" w:rsidRDefault="00000000">
      <w:pPr>
        <w:jc w:val="both"/>
      </w:pPr>
      <w:r>
        <w:t>La portée des travaux est décrite au </w:t>
      </w:r>
      <w:hyperlink w:anchor="1022" w:history="1">
        <w:r>
          <w:rPr>
            <w:color w:val="0000EE"/>
          </w:rPr>
          <w:t>43.53 Systèmes d'enduits sur panneaux isolants</w:t>
        </w:r>
      </w:hyperlink>
      <w:r>
        <w:t>.</w:t>
      </w:r>
    </w:p>
    <w:p w14:paraId="44821E6E" w14:textId="77777777" w:rsidR="00772179" w:rsidRDefault="00772179">
      <w:pPr>
        <w:jc w:val="both"/>
      </w:pPr>
    </w:p>
    <w:p w14:paraId="4ED64863" w14:textId="77777777" w:rsidR="00772179" w:rsidRDefault="00000000">
      <w:pPr>
        <w:jc w:val="both"/>
      </w:pPr>
      <w:r>
        <w:t xml:space="preserve">Les travaux couverts par le présent article comprennent la fourniture et l’application des mastics d’étanchéité de façade tels que décrit au </w:t>
      </w:r>
      <w:hyperlink w:anchor="470" w:history="1">
        <w:r>
          <w:rPr>
            <w:color w:val="0000EE"/>
          </w:rPr>
          <w:t>43.65 Etanchéisation de joints</w:t>
        </w:r>
      </w:hyperlink>
      <w:r>
        <w:t xml:space="preserve">  : </w:t>
      </w:r>
      <w:r>
        <w:rPr>
          <w:rStyle w:val="optioncarChar"/>
        </w:rPr>
        <w:t xml:space="preserve">non </w:t>
      </w:r>
      <w:r>
        <w:t>(par défaut)</w:t>
      </w:r>
      <w:r>
        <w:rPr>
          <w:rStyle w:val="optioncarChar"/>
        </w:rPr>
        <w:t xml:space="preserve"> / oui</w:t>
      </w:r>
      <w:r>
        <w:t>.</w:t>
      </w:r>
    </w:p>
    <w:p w14:paraId="0DA3E36C" w14:textId="77777777" w:rsidR="00772179" w:rsidRDefault="00000000">
      <w:pPr>
        <w:pStyle w:val="pheading"/>
      </w:pPr>
      <w:r>
        <w:t>MATÉRIAUX</w:t>
      </w:r>
    </w:p>
    <w:p w14:paraId="63585776" w14:textId="77777777" w:rsidR="00772179" w:rsidRDefault="00000000">
      <w:pPr>
        <w:pStyle w:val="pheading"/>
      </w:pPr>
      <w:r>
        <w:t>- Caractéristiques générales</w:t>
      </w:r>
    </w:p>
    <w:p w14:paraId="4F2030AB" w14:textId="77777777" w:rsidR="00772179" w:rsidRDefault="00000000">
      <w:pPr>
        <w:pStyle w:val="Author-eListParagraph"/>
        <w:numPr>
          <w:ilvl w:val="0"/>
          <w:numId w:val="1084"/>
        </w:numPr>
      </w:pPr>
      <w:r>
        <w:t>Classe de climat intérieur (cfr [Buildwise Pathologie Infofiche 11]) : classe </w:t>
      </w:r>
      <w:r>
        <w:rPr>
          <w:rStyle w:val="optioncarChar"/>
        </w:rPr>
        <w:t>I / II / III / IV</w:t>
      </w:r>
      <w:r>
        <w:t>.</w:t>
      </w:r>
    </w:p>
    <w:p w14:paraId="20F7F20E" w14:textId="77777777" w:rsidR="00772179" w:rsidRDefault="00000000">
      <w:pPr>
        <w:pStyle w:val="Author-eListParagraph"/>
        <w:numPr>
          <w:ilvl w:val="0"/>
          <w:numId w:val="1084"/>
        </w:numPr>
      </w:pPr>
      <w:r>
        <w:t>Etanchéité à l’air de la paroi support (cfr [NIT 255]) : Classe </w:t>
      </w:r>
      <w:r>
        <w:rPr>
          <w:rStyle w:val="optioncarChar"/>
        </w:rPr>
        <w:t>L0 / L1 / L2</w:t>
      </w:r>
      <w:r>
        <w:t>.</w:t>
      </w:r>
    </w:p>
    <w:p w14:paraId="630DC612" w14:textId="77777777" w:rsidR="00772179" w:rsidRDefault="00000000">
      <w:pPr>
        <w:pStyle w:val="Author-eListParagraph"/>
        <w:numPr>
          <w:ilvl w:val="0"/>
          <w:numId w:val="1084"/>
        </w:numPr>
      </w:pPr>
      <w:r>
        <w:t>Les travaux concernent : la façade courante (hors zone de plinthe) </w:t>
      </w:r>
    </w:p>
    <w:p w14:paraId="22748937" w14:textId="77777777" w:rsidR="00772179" w:rsidRDefault="00000000">
      <w:pPr>
        <w:pStyle w:val="Author-eListParagraph"/>
        <w:numPr>
          <w:ilvl w:val="0"/>
          <w:numId w:val="1084"/>
        </w:numPr>
      </w:pPr>
      <w:r>
        <w:t>Niveaux inférieur et supérieur à traiter : voir plans et métrés détaillés.</w:t>
      </w:r>
    </w:p>
    <w:p w14:paraId="6BC0D34D" w14:textId="77777777" w:rsidR="00772179" w:rsidRDefault="00000000">
      <w:pPr>
        <w:jc w:val="both"/>
      </w:pPr>
      <w:r>
        <w:rPr>
          <w:b/>
        </w:rPr>
        <w:t>Système</w:t>
      </w:r>
    </w:p>
    <w:p w14:paraId="5F772662" w14:textId="77777777" w:rsidR="00772179" w:rsidRDefault="00000000">
      <w:pPr>
        <w:jc w:val="both"/>
      </w:pPr>
      <w:r>
        <w:t>Type de système : </w:t>
      </w:r>
      <w:r>
        <w:rPr>
          <w:rStyle w:val="optioncarChar"/>
        </w:rPr>
        <w:t>au choix de l’entrepreneur soumis à l’approbation de l’auteur de projet</w:t>
      </w:r>
      <w:r>
        <w:t> (par défaut)</w:t>
      </w:r>
      <w:r>
        <w:rPr>
          <w:rStyle w:val="optioncarChar"/>
        </w:rPr>
        <w:t> / système collé (≥ 40 % de la surface) / système fixé mécaniquement avec encollage (≥ 40 % de la surface).</w:t>
      </w:r>
    </w:p>
    <w:p w14:paraId="79086FB7" w14:textId="77777777" w:rsidR="00772179" w:rsidRDefault="00000000">
      <w:pPr>
        <w:jc w:val="both"/>
      </w:pPr>
      <w:r>
        <w:t>Pression d’étanchéité à la pluie requise suivant [NIT 257] : ≥ </w:t>
      </w:r>
      <w:r>
        <w:rPr>
          <w:rStyle w:val="optioncarChar"/>
        </w:rPr>
        <w:t>600 / 900 / ***</w:t>
      </w:r>
      <w:r>
        <w:t> Pa</w:t>
      </w:r>
    </w:p>
    <w:p w14:paraId="53B2B1D2" w14:textId="77777777" w:rsidR="00772179" w:rsidRDefault="00000000">
      <w:pPr>
        <w:jc w:val="both"/>
      </w:pPr>
      <w:r>
        <w:t>Résistance aux chocs requise suivant [NIT 257] : catégorie d’utilisation </w:t>
      </w:r>
      <w:r>
        <w:rPr>
          <w:rStyle w:val="optioncarChar"/>
        </w:rPr>
        <w:t>I / II / III</w:t>
      </w:r>
      <w:r>
        <w:t>.</w:t>
      </w:r>
    </w:p>
    <w:p w14:paraId="095CA653" w14:textId="77777777" w:rsidR="00772179" w:rsidRDefault="00000000">
      <w:pPr>
        <w:jc w:val="both"/>
      </w:pPr>
      <w:r>
        <w:t>Indice d’affaiblissement acoustique pondéré R</w:t>
      </w:r>
      <w:r>
        <w:rPr>
          <w:vertAlign w:val="subscript"/>
        </w:rPr>
        <w:t>Atr</w:t>
      </w:r>
      <w:r>
        <w:t> : </w:t>
      </w:r>
      <w:r>
        <w:rPr>
          <w:rStyle w:val="optioncarChar"/>
        </w:rPr>
        <w:t>≥ *** db / non spécifié</w:t>
      </w:r>
      <w:r>
        <w:t> </w:t>
      </w:r>
    </w:p>
    <w:p w14:paraId="42657A3F" w14:textId="77777777" w:rsidR="00772179" w:rsidRDefault="00000000">
      <w:pPr>
        <w:jc w:val="both"/>
      </w:pPr>
      <w:r>
        <w:t>Réaction au feu du système : </w:t>
      </w:r>
      <w:r>
        <w:rPr>
          <w:rStyle w:val="optioncarChar"/>
        </w:rPr>
        <w:t>A1 / A2 / B / C / D / E / F</w:t>
      </w:r>
    </w:p>
    <w:p w14:paraId="4A0F904A" w14:textId="77777777" w:rsidR="00772179" w:rsidRDefault="00000000">
      <w:pPr>
        <w:jc w:val="both"/>
      </w:pPr>
      <w:r>
        <w:t>Etude thermique : à charge de </w:t>
      </w:r>
      <w:r>
        <w:rPr>
          <w:rStyle w:val="optioncarChar"/>
        </w:rPr>
        <w:t>l’auteur de projet </w:t>
      </w:r>
      <w:r>
        <w:t>(par défaut)</w:t>
      </w:r>
      <w:r>
        <w:rPr>
          <w:rStyle w:val="optioncarChar"/>
        </w:rPr>
        <w:t> / l’entrepreneur</w:t>
      </w:r>
    </w:p>
    <w:p w14:paraId="521F32B6" w14:textId="77777777" w:rsidR="00772179" w:rsidRDefault="00000000">
      <w:pPr>
        <w:jc w:val="both"/>
      </w:pPr>
      <w:r>
        <w:t>L’utilisation de chevilles à rosace pour la fixation influence la résistance thermique et est à considérer dans les calculs PEB.</w:t>
      </w:r>
    </w:p>
    <w:p w14:paraId="11E94311" w14:textId="77777777" w:rsidR="00772179" w:rsidRDefault="00000000">
      <w:pPr>
        <w:jc w:val="both"/>
      </w:pPr>
      <w:r>
        <w:t>Valeur du coefficient de déperdition thermique U à ne pas dépasser pour la paroi complète suivant réglementation régionale : </w:t>
      </w:r>
      <w:r>
        <w:rPr>
          <w:rStyle w:val="optioncarChar"/>
        </w:rPr>
        <w:t>≤ *** W/m²K / non spécifié </w:t>
      </w:r>
    </w:p>
    <w:p w14:paraId="3CBE9993" w14:textId="77777777" w:rsidR="00772179" w:rsidRDefault="00000000">
      <w:pPr>
        <w:jc w:val="both"/>
      </w:pPr>
      <w:r>
        <w:t>Valeur de la résistance thermique R</w:t>
      </w:r>
      <w:r>
        <w:rPr>
          <w:vertAlign w:val="subscript"/>
        </w:rPr>
        <w:t>ETICS</w:t>
      </w:r>
      <w:r>
        <w:t> à atteindre par le système : </w:t>
      </w:r>
      <w:r>
        <w:rPr>
          <w:rStyle w:val="optioncarChar"/>
        </w:rPr>
        <w:t>≥ *** m².K/W / non spécifié </w:t>
      </w:r>
    </w:p>
    <w:p w14:paraId="7716714B" w14:textId="77777777" w:rsidR="00772179" w:rsidRDefault="00000000">
      <w:pPr>
        <w:jc w:val="both"/>
      </w:pPr>
      <w:r>
        <w:t>Etude hygrothermique (classe IV de climat intérieur, paroi en bois, par ex.) : à charge de </w:t>
      </w:r>
      <w:r>
        <w:rPr>
          <w:rStyle w:val="optioncarChar"/>
        </w:rPr>
        <w:t>l’auteur de projet</w:t>
      </w:r>
      <w:r>
        <w:t> (par défaut)</w:t>
      </w:r>
      <w:r>
        <w:rPr>
          <w:rStyle w:val="optioncarChar"/>
        </w:rPr>
        <w:t> / l’entrepreneur</w:t>
      </w:r>
    </w:p>
    <w:p w14:paraId="330542BB" w14:textId="77777777" w:rsidR="00772179" w:rsidRDefault="00000000">
      <w:pPr>
        <w:jc w:val="both"/>
      </w:pPr>
      <w:r>
        <w:rPr>
          <w:b/>
        </w:rPr>
        <w:t>Panneaux d’isolation</w:t>
      </w:r>
    </w:p>
    <w:p w14:paraId="6BDDDCC4" w14:textId="77777777" w:rsidR="00772179" w:rsidRDefault="00000000">
      <w:pPr>
        <w:jc w:val="both"/>
      </w:pPr>
      <w:r>
        <w:t>L’isolant répond aux spécifications de la norme ‘produit’ [NBN EN 13171+A1]</w:t>
      </w:r>
    </w:p>
    <w:p w14:paraId="396B4D6E" w14:textId="77777777" w:rsidR="00772179" w:rsidRDefault="00000000">
      <w:pPr>
        <w:jc w:val="both"/>
      </w:pPr>
      <w:r>
        <w:t>En outre, il répond à des critères plus stricts pour cet usage particulier (cfr déclaration d’aptitude).</w:t>
      </w:r>
    </w:p>
    <w:p w14:paraId="6486431C" w14:textId="77777777" w:rsidR="00772179" w:rsidRDefault="00000000">
      <w:pPr>
        <w:jc w:val="both"/>
      </w:pPr>
      <w:r>
        <w:t>Nature de l’isolant : WF</w:t>
      </w:r>
    </w:p>
    <w:p w14:paraId="0DC97453" w14:textId="77777777" w:rsidR="00772179" w:rsidRDefault="00000000">
      <w:pPr>
        <w:jc w:val="both"/>
      </w:pPr>
      <w:r>
        <w:t>Epaisseur : </w:t>
      </w:r>
      <w:r>
        <w:rPr>
          <w:rStyle w:val="optioncarChar"/>
        </w:rPr>
        <w:t>10 cm / 12 cm / 14 cm / 16 cm / 18 cm / selon calcul thermique (PEB) / non spécifié / ***</w:t>
      </w:r>
      <w:r>
        <w:t> .</w:t>
      </w:r>
    </w:p>
    <w:p w14:paraId="04803DE4" w14:textId="77777777" w:rsidR="00772179" w:rsidRDefault="00000000">
      <w:pPr>
        <w:jc w:val="both"/>
      </w:pPr>
      <w:r>
        <w:t>Conductivité thermique déclarée : ≤ </w:t>
      </w:r>
      <w:r>
        <w:rPr>
          <w:rStyle w:val="optioncarChar"/>
        </w:rPr>
        <w:t>0,04 / ***</w:t>
      </w:r>
      <w:r>
        <w:t> W/mK</w:t>
      </w:r>
    </w:p>
    <w:p w14:paraId="46D30DF9" w14:textId="77777777" w:rsidR="00772179" w:rsidRDefault="00000000">
      <w:pPr>
        <w:jc w:val="both"/>
      </w:pPr>
      <w:r>
        <w:rPr>
          <w:b/>
        </w:rPr>
        <w:t>Bande d’étanchéité pré-comprimée</w:t>
      </w:r>
    </w:p>
    <w:p w14:paraId="29CBE180" w14:textId="77777777" w:rsidR="00772179" w:rsidRDefault="00000000">
      <w:pPr>
        <w:jc w:val="both"/>
      </w:pPr>
      <w:r>
        <w:t>La bande d’étanchéité pré-comprimée est étanche à l’eau jusqu’à une pression d’étanchéité déterminée (</w:t>
      </w:r>
      <w:r>
        <w:rPr>
          <w:rStyle w:val="optioncarChar"/>
        </w:rPr>
        <w:t>600</w:t>
      </w:r>
      <w:r>
        <w:t> (par défaut)</w:t>
      </w:r>
      <w:r>
        <w:rPr>
          <w:rStyle w:val="optioncarChar"/>
        </w:rPr>
        <w:t> / 900 / ***</w:t>
      </w:r>
      <w:r>
        <w:t> Pa),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0D96AF63" w14:textId="77777777" w:rsidR="00772179" w:rsidRDefault="00000000">
      <w:pPr>
        <w:jc w:val="both"/>
      </w:pPr>
      <w:r>
        <w:rPr>
          <w:b/>
        </w:rPr>
        <w:lastRenderedPageBreak/>
        <w:t>Enduit de finition</w:t>
      </w:r>
    </w:p>
    <w:p w14:paraId="68D3322B" w14:textId="77777777" w:rsidR="00772179" w:rsidRDefault="00000000">
      <w:pPr>
        <w:jc w:val="both"/>
      </w:pPr>
      <w:r>
        <w:t>Liant : </w:t>
      </w:r>
      <w:r>
        <w:rPr>
          <w:rStyle w:val="optioncarChar"/>
        </w:rPr>
        <w:t>résine organique / résine silicone / silicate / minéral.</w:t>
      </w:r>
    </w:p>
    <w:p w14:paraId="09388739" w14:textId="77777777" w:rsidR="00772179" w:rsidRDefault="00000000">
      <w:pPr>
        <w:jc w:val="both"/>
      </w:pPr>
      <w:r>
        <w:t>Epaisseur : </w:t>
      </w:r>
      <w:r>
        <w:rPr>
          <w:rStyle w:val="optioncarChar"/>
        </w:rPr>
        <w:t>***</w:t>
      </w:r>
      <w:r>
        <w:t> mm</w:t>
      </w:r>
    </w:p>
    <w:p w14:paraId="58A842E3" w14:textId="77777777" w:rsidR="00772179" w:rsidRDefault="00000000">
      <w:pPr>
        <w:jc w:val="both"/>
      </w:pPr>
      <w:r>
        <w:t>Facteur d’absorption de l’énergie solaire [NBN EN 410] : </w:t>
      </w:r>
      <w:r>
        <w:rPr>
          <w:rStyle w:val="optioncarChar"/>
        </w:rPr>
        <w:t>≤ 0,7</w:t>
      </w:r>
      <w:r>
        <w:t> (par défaut) </w:t>
      </w:r>
      <w:r>
        <w:rPr>
          <w:rStyle w:val="optioncarChar"/>
        </w:rPr>
        <w:t>/ non spécifié / ***.</w:t>
      </w:r>
    </w:p>
    <w:p w14:paraId="4A1AEC9C" w14:textId="77777777" w:rsidR="00772179" w:rsidRDefault="00000000">
      <w:pPr>
        <w:jc w:val="both"/>
      </w:pPr>
      <w:r>
        <w:t>Indice de clarté : </w:t>
      </w:r>
      <w:r>
        <w:rPr>
          <w:rStyle w:val="optioncarChar"/>
        </w:rPr>
        <w:t>≥ 30</w:t>
      </w:r>
      <w:r>
        <w:t> (par défaut)</w:t>
      </w:r>
      <w:r>
        <w:rPr>
          <w:rStyle w:val="optioncarChar"/>
        </w:rPr>
        <w:t> / non spécifié / ***</w:t>
      </w:r>
    </w:p>
    <w:p w14:paraId="05F3F6F7" w14:textId="77777777" w:rsidR="00772179" w:rsidRDefault="00000000">
      <w:pPr>
        <w:jc w:val="both"/>
      </w:pPr>
      <w:r>
        <w:rPr>
          <w:b/>
        </w:rPr>
        <w:t>Mastic d’étanchéité</w:t>
      </w:r>
    </w:p>
    <w:p w14:paraId="7B56107C" w14:textId="77777777" w:rsidR="00772179" w:rsidRDefault="00000000">
      <w:pPr>
        <w:jc w:val="both"/>
      </w:pPr>
      <w:r>
        <w:t>Couleur : </w:t>
      </w:r>
      <w:r>
        <w:rPr>
          <w:rStyle w:val="optioncarChar"/>
        </w:rPr>
        <w:t>se rapprochant du mortier de jointoiement</w:t>
      </w:r>
      <w:r>
        <w:t> (par défaut)</w:t>
      </w:r>
      <w:r>
        <w:rPr>
          <w:rStyle w:val="optioncarChar"/>
        </w:rPr>
        <w:t> / ***</w:t>
      </w:r>
      <w:r>
        <w:t>.</w:t>
      </w:r>
    </w:p>
    <w:p w14:paraId="2FC34C13" w14:textId="77777777" w:rsidR="00772179" w:rsidRDefault="00000000">
      <w:pPr>
        <w:jc w:val="both"/>
      </w:pPr>
      <w:r>
        <w:rPr>
          <w:b/>
        </w:rPr>
        <w:t>Produit pour joints de mouvement</w:t>
      </w:r>
    </w:p>
    <w:p w14:paraId="724A4573" w14:textId="77777777" w:rsidR="00772179" w:rsidRDefault="00000000">
      <w:pPr>
        <w:jc w:val="both"/>
      </w:pPr>
      <w:r>
        <w:t>Couleur : </w:t>
      </w:r>
      <w:r>
        <w:rPr>
          <w:rStyle w:val="optioncarChar"/>
        </w:rPr>
        <w:t>se rapprochant du mortier de jointoiement</w:t>
      </w:r>
      <w:r>
        <w:t> (par défaut)</w:t>
      </w:r>
      <w:r>
        <w:rPr>
          <w:rStyle w:val="optioncarChar"/>
        </w:rPr>
        <w:t> / ***</w:t>
      </w:r>
      <w:r>
        <w:t>.</w:t>
      </w:r>
    </w:p>
    <w:p w14:paraId="265730BC" w14:textId="77777777" w:rsidR="00772179" w:rsidRDefault="00000000">
      <w:pPr>
        <w:jc w:val="both"/>
      </w:pPr>
      <w:r>
        <w:rPr>
          <w:b/>
        </w:rPr>
        <w:t>Profilés</w:t>
      </w:r>
    </w:p>
    <w:p w14:paraId="79F55BC2" w14:textId="77777777" w:rsidR="00772179" w:rsidRDefault="00000000">
      <w:pPr>
        <w:jc w:val="both"/>
      </w:pPr>
      <w:r>
        <w:t>Position : voir </w:t>
      </w:r>
      <w:r>
        <w:rPr>
          <w:rStyle w:val="optioncarChar"/>
        </w:rPr>
        <w:t>plans / ***</w:t>
      </w:r>
      <w:r>
        <w:t>.</w:t>
      </w:r>
    </w:p>
    <w:p w14:paraId="54CE1BE9" w14:textId="77777777" w:rsidR="00772179" w:rsidRDefault="00000000">
      <w:pPr>
        <w:jc w:val="both"/>
      </w:pPr>
      <w:r>
        <w:t>Description : </w:t>
      </w:r>
      <w:r>
        <w:rPr>
          <w:rStyle w:val="optioncarChar"/>
        </w:rPr>
        <w:t>***</w:t>
      </w:r>
      <w:r>
        <w:t>.</w:t>
      </w:r>
    </w:p>
    <w:p w14:paraId="02118BFF" w14:textId="77777777" w:rsidR="00772179" w:rsidRDefault="00772179"/>
    <w:p w14:paraId="76345AA6" w14:textId="77777777" w:rsidR="00772179" w:rsidRDefault="00000000">
      <w:pPr>
        <w:jc w:val="both"/>
      </w:pPr>
      <w:r>
        <w:t>Etude action du vent : </w:t>
      </w:r>
      <w:r>
        <w:rPr>
          <w:rStyle w:val="optioncarChar"/>
        </w:rPr>
        <w:t xml:space="preserve">à charge de l’auteur de projet </w:t>
      </w:r>
      <w:r>
        <w:t>(par défaut)</w:t>
      </w:r>
      <w:r>
        <w:rPr>
          <w:rStyle w:val="optioncarChar"/>
        </w:rPr>
        <w:t xml:space="preserve"> / l’entrepreneur</w:t>
      </w:r>
    </w:p>
    <w:p w14:paraId="5186882B" w14:textId="77777777" w:rsidR="00772179" w:rsidRDefault="00000000">
      <w:pPr>
        <w:jc w:val="both"/>
      </w:pPr>
      <w:r>
        <w:t>Longueur de chacune des zones de bord (cfr action du vent) : </w:t>
      </w:r>
      <w:r>
        <w:rPr>
          <w:rStyle w:val="optioncarChar"/>
        </w:rPr>
        <w:t>*** m / non spécifié</w:t>
      </w:r>
    </w:p>
    <w:p w14:paraId="3122BFC0" w14:textId="77777777" w:rsidR="00772179" w:rsidRDefault="00000000">
      <w:pPr>
        <w:jc w:val="both"/>
      </w:pPr>
      <w:r>
        <w:t>Longueur de l’éventuelle zone centrale (cfr action du vent) : </w:t>
      </w:r>
      <w:r>
        <w:rPr>
          <w:rStyle w:val="optioncarChar"/>
        </w:rPr>
        <w:t>*** m / non spécifié</w:t>
      </w:r>
    </w:p>
    <w:p w14:paraId="1D22F255" w14:textId="77777777" w:rsidR="00772179" w:rsidRDefault="00000000">
      <w:pPr>
        <w:jc w:val="both"/>
      </w:pPr>
      <w:r>
        <w:t>Valeur de calcul de l’action du vent en zone centrale (cfr [NBN EN 1991-1-4 ANB]) : </w:t>
      </w:r>
      <w:r>
        <w:rPr>
          <w:rStyle w:val="optioncarChar"/>
        </w:rPr>
        <w:t>*** Pa / non spécifié</w:t>
      </w:r>
    </w:p>
    <w:p w14:paraId="60B76897" w14:textId="77777777" w:rsidR="00772179" w:rsidRDefault="00000000">
      <w:pPr>
        <w:jc w:val="both"/>
      </w:pPr>
      <w:r>
        <w:t>Valeur de calcul de l’action du vent en zone de bord (cfr [NBN EN 1991-1-4 ANB]) :</w:t>
      </w:r>
      <w:r>
        <w:rPr>
          <w:rStyle w:val="optioncarChar"/>
        </w:rPr>
        <w:t> *** Pa / non spécifié </w:t>
      </w:r>
    </w:p>
    <w:p w14:paraId="77344E28" w14:textId="77777777" w:rsidR="00772179" w:rsidRDefault="00000000">
      <w:pPr>
        <w:pStyle w:val="pheading"/>
      </w:pPr>
      <w:r>
        <w:t>- Finitions</w:t>
      </w:r>
    </w:p>
    <w:p w14:paraId="2CA7448D" w14:textId="77777777" w:rsidR="00772179" w:rsidRDefault="00000000">
      <w:pPr>
        <w:pStyle w:val="Author-eListParagraph"/>
        <w:numPr>
          <w:ilvl w:val="0"/>
          <w:numId w:val="1085"/>
        </w:numPr>
      </w:pPr>
      <w:r>
        <w:t xml:space="preserve">Texture de l’enduit de finition : </w:t>
      </w:r>
      <w:r>
        <w:rPr>
          <w:rStyle w:val="optioncarChar"/>
        </w:rPr>
        <w:t xml:space="preserve">grésé </w:t>
      </w:r>
      <w:r>
        <w:t>(par défaut)</w:t>
      </w:r>
      <w:r>
        <w:rPr>
          <w:rStyle w:val="optioncarChar"/>
        </w:rPr>
        <w:t xml:space="preserve"> / ribbé / gratté / ***</w:t>
      </w:r>
    </w:p>
    <w:p w14:paraId="27FD9DFB" w14:textId="77777777" w:rsidR="00772179" w:rsidRDefault="00000000">
      <w:pPr>
        <w:pStyle w:val="Author-eListParagraph"/>
        <w:numPr>
          <w:ilvl w:val="0"/>
          <w:numId w:val="1085"/>
        </w:numPr>
      </w:pPr>
      <w:r>
        <w:t>Teinte de l’enduit de finition : </w:t>
      </w:r>
      <w:r>
        <w:rPr>
          <w:rStyle w:val="optioncarChar"/>
        </w:rPr>
        <w:t xml:space="preserve">blanc </w:t>
      </w:r>
      <w:r>
        <w:t xml:space="preserve">(par défaut) </w:t>
      </w:r>
      <w:r>
        <w:rPr>
          <w:rStyle w:val="optioncarChar"/>
        </w:rPr>
        <w:t>/ ***</w:t>
      </w:r>
    </w:p>
    <w:p w14:paraId="47A267F8" w14:textId="77777777" w:rsidR="00772179" w:rsidRDefault="00000000">
      <w:pPr>
        <w:pStyle w:val="Author-eListParagraph"/>
        <w:numPr>
          <w:ilvl w:val="0"/>
          <w:numId w:val="1085"/>
        </w:numPr>
      </w:pPr>
      <w:r>
        <w:t xml:space="preserve">Granulométrie de l’enduit de finition : </w:t>
      </w:r>
      <w:r>
        <w:rPr>
          <w:rStyle w:val="optioncarChar"/>
        </w:rPr>
        <w:t xml:space="preserve">1,5 </w:t>
      </w:r>
      <w:r>
        <w:t>(par défaut)</w:t>
      </w:r>
      <w:r>
        <w:rPr>
          <w:rStyle w:val="optioncarChar"/>
        </w:rPr>
        <w:t xml:space="preserve"> / ***</w:t>
      </w:r>
      <w:r>
        <w:t xml:space="preserve"> mm</w:t>
      </w:r>
    </w:p>
    <w:p w14:paraId="3C7B815E" w14:textId="77777777" w:rsidR="00772179" w:rsidRDefault="00000000">
      <w:pPr>
        <w:pStyle w:val="pheading"/>
      </w:pPr>
      <w:r>
        <w:t>EXÉCUTION / MISE EN ŒUVRE</w:t>
      </w:r>
    </w:p>
    <w:p w14:paraId="691EB8AE" w14:textId="77777777" w:rsidR="00772179" w:rsidRDefault="00000000">
      <w:pPr>
        <w:pStyle w:val="pheading"/>
      </w:pPr>
      <w:r>
        <w:t>- Prescriptions générales</w:t>
      </w:r>
    </w:p>
    <w:p w14:paraId="5A9FDAA1" w14:textId="77777777" w:rsidR="00772179" w:rsidRDefault="00000000">
      <w:pPr>
        <w:jc w:val="both"/>
      </w:pPr>
      <w:r>
        <w:rPr>
          <w:b/>
        </w:rPr>
        <w:t>Support (couche de fixation)</w:t>
      </w:r>
    </w:p>
    <w:p w14:paraId="41933026" w14:textId="77777777" w:rsidR="00772179" w:rsidRDefault="00000000">
      <w:pPr>
        <w:jc w:val="both"/>
      </w:pPr>
      <w:r>
        <w:t>Support (couche de fixation) à revêtir : </w:t>
      </w:r>
      <w:r>
        <w:rPr>
          <w:rStyle w:val="optioncarChar"/>
        </w:rPr>
        <w:t>voile en béton / maçonnerie d’éléments / ***</w:t>
      </w:r>
      <w:r>
        <w:t>.</w:t>
      </w:r>
    </w:p>
    <w:p w14:paraId="46AAFD97" w14:textId="77777777" w:rsidR="00772179" w:rsidRDefault="00000000">
      <w:pPr>
        <w:jc w:val="both"/>
      </w:pPr>
      <w:r>
        <w:t>Type de support : catégorie </w:t>
      </w:r>
      <w:r>
        <w:rPr>
          <w:rStyle w:val="optioncarChar"/>
        </w:rPr>
        <w:t>A / B / C / D / E</w:t>
      </w:r>
      <w:r>
        <w:t> (cfr [EAD 330196-01-0604]).</w:t>
      </w:r>
    </w:p>
    <w:p w14:paraId="28CF7741" w14:textId="77777777" w:rsidR="00772179" w:rsidRDefault="00000000">
      <w:pPr>
        <w:jc w:val="both"/>
      </w:pPr>
      <w:r>
        <w:t>En cas de voile en béton : </w:t>
      </w:r>
      <w:r>
        <w:rPr>
          <w:rStyle w:val="optioncarChar"/>
        </w:rPr>
        <w:t>préfabriqué / coulé sur place</w:t>
      </w:r>
      <w:r>
        <w:t>. Classe de résistance : </w:t>
      </w:r>
      <w:r>
        <w:rPr>
          <w:rStyle w:val="optioncarChar"/>
        </w:rPr>
        <w:t>inconnue </w:t>
      </w:r>
      <w:r>
        <w:t>(par défaut) </w:t>
      </w:r>
      <w:r>
        <w:rPr>
          <w:rStyle w:val="optioncarChar"/>
        </w:rPr>
        <w:t>/ ***</w:t>
      </w:r>
      <w:r>
        <w:t>.</w:t>
      </w:r>
    </w:p>
    <w:p w14:paraId="3A1EB395" w14:textId="77777777" w:rsidR="00772179" w:rsidRDefault="00000000">
      <w:pPr>
        <w:jc w:val="both"/>
      </w:pPr>
      <w:r>
        <w:t>En cas de maçonnerie comme support ; nature des éléments de maçonnerie : </w:t>
      </w:r>
      <w:r>
        <w:rPr>
          <w:rStyle w:val="optioncarChar"/>
        </w:rPr>
        <w:t>briques / blocs de béton / blocs de terre cuite / blocs de béton cellulaire</w:t>
      </w:r>
      <w:r>
        <w:t>. Groupe des éléments de maçonnerie (cfr [NBN EN 1996-1-1+A1]) : </w:t>
      </w:r>
      <w:r>
        <w:rPr>
          <w:rStyle w:val="optioncarChar"/>
        </w:rPr>
        <w:t>1 / 1s / 2 / 3 / 4.</w:t>
      </w:r>
    </w:p>
    <w:p w14:paraId="46DC3318" w14:textId="77777777" w:rsidR="00772179" w:rsidRDefault="00000000">
      <w:pPr>
        <w:jc w:val="both"/>
      </w:pPr>
      <w:r>
        <w:t>Conformité des éléments de maçonnerie à une norme et un PTV : </w:t>
      </w:r>
      <w:r>
        <w:rPr>
          <w:rStyle w:val="optioncarChar"/>
        </w:rPr>
        <w:t>oui / non / inconnu</w:t>
      </w:r>
      <w:r>
        <w:t>.</w:t>
      </w:r>
    </w:p>
    <w:p w14:paraId="08A10301" w14:textId="77777777" w:rsidR="00772179" w:rsidRDefault="00000000">
      <w:pPr>
        <w:jc w:val="both"/>
      </w:pPr>
      <w:r>
        <w:t>En cas de construction en bois (ossature bois par exemple), nature des panneaux support : </w:t>
      </w:r>
      <w:r>
        <w:rPr>
          <w:rStyle w:val="optioncarChar"/>
        </w:rPr>
        <w:t>panneaux de fibres-ciment / panneaux d’OSB de classe ≥ 3.  </w:t>
      </w:r>
    </w:p>
    <w:p w14:paraId="23FCE454" w14:textId="77777777" w:rsidR="00772179" w:rsidRDefault="00000000">
      <w:pPr>
        <w:jc w:val="both"/>
      </w:pPr>
      <w:r>
        <w:t xml:space="preserve">Hygrométrie de l’isolant en fibre de bois : ≤ </w:t>
      </w:r>
      <w:r>
        <w:rPr>
          <w:rStyle w:val="optioncarChar"/>
        </w:rPr>
        <w:t>18 </w:t>
      </w:r>
      <w:r>
        <w:t>(par défaut)</w:t>
      </w:r>
      <w:r>
        <w:rPr>
          <w:rStyle w:val="optioncarChar"/>
        </w:rPr>
        <w:t xml:space="preserve"> / *** </w:t>
      </w:r>
      <w:r>
        <w:t>%</w:t>
      </w:r>
    </w:p>
    <w:p w14:paraId="37D02F60" w14:textId="77777777" w:rsidR="00772179" w:rsidRDefault="00000000">
      <w:pPr>
        <w:pStyle w:val="pheading"/>
      </w:pPr>
      <w:r>
        <w:t>- Échantillons</w:t>
      </w:r>
    </w:p>
    <w:p w14:paraId="48B64CF1" w14:textId="77777777" w:rsidR="00772179" w:rsidRDefault="00000000">
      <w:pPr>
        <w:jc w:val="both"/>
      </w:pPr>
      <w:r>
        <w:t xml:space="preserve">Des échantillons de l’enduit de finition au nombre ≥ </w:t>
      </w:r>
      <w:r>
        <w:rPr>
          <w:rStyle w:val="optioncarChar"/>
        </w:rPr>
        <w:t xml:space="preserve">3 </w:t>
      </w:r>
      <w:r>
        <w:t>(par défaut)</w:t>
      </w:r>
      <w:r>
        <w:rPr>
          <w:rStyle w:val="optioncarChar"/>
        </w:rPr>
        <w:t xml:space="preserve"> / ***</w:t>
      </w:r>
      <w:r>
        <w:t xml:space="preserve"> sont présentés à l'auteur de projet pour approbation.</w:t>
      </w:r>
    </w:p>
    <w:p w14:paraId="14B295F1" w14:textId="77777777" w:rsidR="00772179" w:rsidRDefault="00000000">
      <w:pPr>
        <w:jc w:val="both"/>
      </w:pPr>
      <w:r>
        <w:lastRenderedPageBreak/>
        <w:t>La couleur du mastic d’étanchéité est soumise à l’approbation de l’auteur de projet en réalisant un essai d’application sur un mètre de longueur.</w:t>
      </w:r>
    </w:p>
    <w:p w14:paraId="222EF09B" w14:textId="77777777" w:rsidR="00772179" w:rsidRDefault="00000000">
      <w:pPr>
        <w:jc w:val="both"/>
      </w:pPr>
      <w:r>
        <w:t xml:space="preserve"> La couleur du produit de joints de mouvement est soumise à l’approbation de l’auteur de projet en réalisant un essai d’application sur un mètre de longueur.</w:t>
      </w:r>
    </w:p>
    <w:p w14:paraId="7DD12AAB" w14:textId="77777777" w:rsidR="00772179" w:rsidRDefault="00000000">
      <w:pPr>
        <w:jc w:val="both"/>
      </w:pPr>
      <w:r>
        <w:t xml:space="preserve"> Le modèle de profilé est proposé à l’auteur de projet pour approbation avant mise en œuvre.</w:t>
      </w:r>
    </w:p>
    <w:p w14:paraId="5C5EE372" w14:textId="77777777" w:rsidR="00772179" w:rsidRDefault="00000000">
      <w:pPr>
        <w:pStyle w:val="pheading"/>
      </w:pPr>
      <w:r>
        <w:t>CONTRÔLES PARTICULIERS</w:t>
      </w:r>
    </w:p>
    <w:p w14:paraId="3F487A09" w14:textId="77777777" w:rsidR="00772179" w:rsidRDefault="00000000">
      <w:pPr>
        <w:jc w:val="both"/>
      </w:pPr>
      <w:r>
        <w:rPr>
          <w:b/>
        </w:rPr>
        <w:t>Contrôle du support (couche de fixation) avant mise en œuvre</w:t>
      </w:r>
    </w:p>
    <w:p w14:paraId="5A7E7B24" w14:textId="77777777" w:rsidR="00772179" w:rsidRDefault="00000000">
      <w:pPr>
        <w:jc w:val="both"/>
      </w:pPr>
      <w:r>
        <w:t>Contrôle de la présence d’une finition sur le support : </w:t>
      </w:r>
      <w:r>
        <w:rPr>
          <w:rStyle w:val="optioncarChar"/>
        </w:rPr>
        <w:t>néant / peinture / traitement de surface répulsif à l’eau / enduit / produit de décoffrage / ***.</w:t>
      </w:r>
    </w:p>
    <w:p w14:paraId="4147060B" w14:textId="77777777" w:rsidR="00772179" w:rsidRDefault="00000000">
      <w:pPr>
        <w:jc w:val="both"/>
      </w:pPr>
      <w:r>
        <w:t xml:space="preserve"> Eventuelle réalisation (à charge </w:t>
      </w:r>
      <w:r>
        <w:rPr>
          <w:rStyle w:val="optioncarChar"/>
        </w:rPr>
        <w:t>du maître d’ouvrage / de l’entrepreneur</w:t>
      </w:r>
      <w:r>
        <w:t>) d’une évaluation mécanique de contrôle de l’adhérence d’une couche d’enduit existante : </w:t>
      </w:r>
      <w:r>
        <w:rPr>
          <w:rStyle w:val="optioncarChar"/>
        </w:rPr>
        <w:t>non</w:t>
      </w:r>
      <w:r>
        <w:t> (par défaut)</w:t>
      </w:r>
      <w:r>
        <w:rPr>
          <w:rStyle w:val="optioncarChar"/>
        </w:rPr>
        <w:t xml:space="preserve"> / oui</w:t>
      </w:r>
      <w:r>
        <w:t>.</w:t>
      </w:r>
    </w:p>
    <w:p w14:paraId="5CBFB866" w14:textId="77777777" w:rsidR="00772179" w:rsidRDefault="00000000">
      <w:pPr>
        <w:pStyle w:val="pheading"/>
      </w:pPr>
      <w:r>
        <w:t>MESURAGE</w:t>
      </w:r>
    </w:p>
    <w:p w14:paraId="42120A2E" w14:textId="77777777" w:rsidR="00772179" w:rsidRDefault="00000000">
      <w:pPr>
        <w:pStyle w:val="pheading"/>
      </w:pPr>
      <w:r>
        <w:t>- unité de mesure:</w:t>
      </w:r>
    </w:p>
    <w:p w14:paraId="491D5A7B" w14:textId="77777777" w:rsidR="00772179" w:rsidRDefault="00000000">
      <w:r>
        <w:t>m² ; m</w:t>
      </w:r>
    </w:p>
    <w:p w14:paraId="0624FD60" w14:textId="77777777" w:rsidR="00772179" w:rsidRDefault="00000000">
      <w:pPr>
        <w:pStyle w:val="pheading"/>
      </w:pPr>
      <w:r>
        <w:t>- code de mesurage:</w:t>
      </w:r>
    </w:p>
    <w:p w14:paraId="5418F370" w14:textId="77777777" w:rsidR="00772179" w:rsidRDefault="00000000">
      <w:pPr>
        <w:jc w:val="both"/>
      </w:pPr>
      <w:r>
        <w:rPr>
          <w:b/>
        </w:rPr>
        <w:t>Surface nette</w:t>
      </w:r>
      <w:r>
        <w:t> du système à poser (mesurée dans le plan extérieur des carreaux). Les ouvertures et les interruptions ≥ 0,50 m² sont déduites. Les retours (jours) des ouvertures ainsi que le bas des linteaux sont comptés (surface nette) à moins que leur largeur est &lt; 10 cm.</w:t>
      </w:r>
    </w:p>
    <w:p w14:paraId="5C3FE5EE" w14:textId="77777777" w:rsidR="00772179" w:rsidRDefault="00000000">
      <w:pPr>
        <w:jc w:val="both"/>
      </w:pPr>
      <w:r>
        <w:t xml:space="preserve"> Distinction faite suivant le type de système.</w:t>
      </w:r>
    </w:p>
    <w:p w14:paraId="1A64B7ED" w14:textId="77777777" w:rsidR="00772179" w:rsidRDefault="00000000">
      <w:pPr>
        <w:jc w:val="both"/>
      </w:pPr>
      <w:r>
        <w:rPr>
          <w:b/>
        </w:rPr>
        <w:t>Longueur nette</w:t>
      </w:r>
      <w:r>
        <w:t> des profilés à poser. Distinction faite selon le modèle de profilé.</w:t>
      </w:r>
    </w:p>
    <w:p w14:paraId="24F0B81F" w14:textId="77777777" w:rsidR="00772179" w:rsidRDefault="00000000">
      <w:pPr>
        <w:pStyle w:val="pheading"/>
      </w:pPr>
      <w:r>
        <w:t>- nature du marché:</w:t>
      </w:r>
    </w:p>
    <w:p w14:paraId="41D43981" w14:textId="77777777" w:rsidR="00772179" w:rsidRDefault="00000000">
      <w:r>
        <w:t>QF</w:t>
      </w:r>
    </w:p>
    <w:p w14:paraId="05AEE534" w14:textId="77777777" w:rsidR="00772179" w:rsidRDefault="00000000">
      <w:pPr>
        <w:pStyle w:val="Author-eSectionHeading6Numberless"/>
      </w:pPr>
      <w:bookmarkStart w:id="853" w:name="_Toc220490522"/>
      <w:r>
        <w:t>43.53.1g Systèmes d'enduits de façades à base de mortier à liant minéral sur panneaux en liège</w:t>
      </w:r>
      <w:bookmarkEnd w:id="853"/>
    </w:p>
    <w:p w14:paraId="219BBF7A" w14:textId="77777777" w:rsidR="00772179" w:rsidRDefault="00000000">
      <w:pPr>
        <w:pStyle w:val="Author-eSectionHeading5Numberless"/>
      </w:pPr>
      <w:bookmarkStart w:id="854" w:name="_Toc220490523"/>
      <w:r>
        <w:t>43.53.2 Systèmes d'enduits à base de mortier à liant organique (synthétique) sur panneaux isolants CCTB 01.04</w:t>
      </w:r>
      <w:bookmarkEnd w:id="854"/>
    </w:p>
    <w:p w14:paraId="6F0D7F03" w14:textId="77777777" w:rsidR="00772179" w:rsidRDefault="00000000">
      <w:pPr>
        <w:pStyle w:val="Author-eSectionHeading6Numberless"/>
      </w:pPr>
      <w:bookmarkStart w:id="855" w:name="_Toc220490524"/>
      <w:r>
        <w:t>43.53.2a Systèmes d'enduits de façades à base de mortier à liant organique sur panneaux en polystyrène expansé (EPS) / extrudé (XPS) CCTB 01.02</w:t>
      </w:r>
      <w:bookmarkEnd w:id="855"/>
    </w:p>
    <w:p w14:paraId="73CE922B" w14:textId="77777777" w:rsidR="00772179" w:rsidRDefault="00000000">
      <w:pPr>
        <w:pStyle w:val="Author-eSectionHeading6Numberless"/>
      </w:pPr>
      <w:bookmarkStart w:id="856" w:name="_Toc220490525"/>
      <w:r>
        <w:t>43.53.2b Systèmes d'enduits de façades à base de mortier à liant organique sur panneaux en polyuréthane (PUR)</w:t>
      </w:r>
      <w:bookmarkEnd w:id="856"/>
    </w:p>
    <w:p w14:paraId="56CA7408" w14:textId="77777777" w:rsidR="00772179" w:rsidRDefault="00000000">
      <w:pPr>
        <w:pStyle w:val="Author-eSectionHeading6Numberless"/>
      </w:pPr>
      <w:bookmarkStart w:id="857" w:name="_Toc220490526"/>
      <w:r>
        <w:t>43.53.2c Systèmes d'enduits de façades à base de mortier à liant organique sur panneaux en résine phénolique</w:t>
      </w:r>
      <w:bookmarkEnd w:id="857"/>
    </w:p>
    <w:p w14:paraId="2FD22CDA" w14:textId="77777777" w:rsidR="00772179" w:rsidRDefault="00000000">
      <w:pPr>
        <w:pStyle w:val="Author-eSectionHeading6Numberless"/>
      </w:pPr>
      <w:bookmarkStart w:id="858" w:name="_Toc220490527"/>
      <w:r>
        <w:t>43.53.2d Systèmes d'enduits de façades à base de mortier à liant organique sur panneaux en laine minérale (MW) CCTB 01.02</w:t>
      </w:r>
      <w:bookmarkEnd w:id="858"/>
    </w:p>
    <w:p w14:paraId="2D0F67C9" w14:textId="77777777" w:rsidR="00772179" w:rsidRDefault="00000000">
      <w:pPr>
        <w:pStyle w:val="Author-eSectionHeading6Numberless"/>
      </w:pPr>
      <w:bookmarkStart w:id="859" w:name="_Toc220490528"/>
      <w:r>
        <w:t>43.53.2e Systèmes d'enduits de façades à base de mortier à liant organique sur panneaux en verre cellulaire (CG) CCTB 01.02</w:t>
      </w:r>
      <w:bookmarkEnd w:id="859"/>
    </w:p>
    <w:p w14:paraId="430D5386" w14:textId="77777777" w:rsidR="00772179" w:rsidRDefault="00000000">
      <w:pPr>
        <w:pStyle w:val="Author-eSectionHeading6Numberless"/>
      </w:pPr>
      <w:bookmarkStart w:id="860" w:name="_Toc220490529"/>
      <w:r>
        <w:t>43.53.2f Systèmes d'enduits de façades à base de mortier à liant organique sur panneaux en fibres de bois (WF) CCTB 01.02</w:t>
      </w:r>
      <w:bookmarkEnd w:id="860"/>
    </w:p>
    <w:p w14:paraId="714A1CC9" w14:textId="77777777" w:rsidR="00772179" w:rsidRDefault="00000000">
      <w:pPr>
        <w:pStyle w:val="Author-eSectionHeading6Numberless"/>
      </w:pPr>
      <w:bookmarkStart w:id="861" w:name="_Toc220490530"/>
      <w:r>
        <w:t>43.53.2g Systèmes d'enduits de façades à base de mortier à liant organique sur panneaux en liège</w:t>
      </w:r>
      <w:bookmarkEnd w:id="861"/>
    </w:p>
    <w:p w14:paraId="433F3472" w14:textId="77777777" w:rsidR="00772179" w:rsidRDefault="00000000">
      <w:pPr>
        <w:pStyle w:val="Author-eSectionHeading4Numberless"/>
      </w:pPr>
      <w:bookmarkStart w:id="862" w:name="_Toc220490531"/>
      <w:r>
        <w:lastRenderedPageBreak/>
        <w:t>43.54 Ouvrages de raccords et finition pour enduits extérieurs CCTB 01.02</w:t>
      </w:r>
      <w:bookmarkEnd w:id="862"/>
    </w:p>
    <w:p w14:paraId="6ACBC2C4" w14:textId="77777777" w:rsidR="00772179" w:rsidRDefault="00000000">
      <w:pPr>
        <w:pStyle w:val="Author-eSectionHeading5Numberless"/>
      </w:pPr>
      <w:bookmarkStart w:id="863" w:name="_Toc220490532"/>
      <w:r>
        <w:t>43.54.1 Accessoires pour enduits de façade extérieurs CCTB 01.11</w:t>
      </w:r>
      <w:bookmarkEnd w:id="863"/>
    </w:p>
    <w:p w14:paraId="25FBD2BD" w14:textId="77777777" w:rsidR="00772179" w:rsidRDefault="00000000">
      <w:pPr>
        <w:pStyle w:val="pheading"/>
      </w:pPr>
      <w:r>
        <w:t>EXÉCUTION / MISE EN ŒUVRE</w:t>
      </w:r>
    </w:p>
    <w:p w14:paraId="48D0681D" w14:textId="77777777" w:rsidR="00772179" w:rsidRDefault="00000000">
      <w:pPr>
        <w:jc w:val="both"/>
      </w:pPr>
      <w:r>
        <w:t>La mise en œuvre et les assemblages sont exécutés conformément à la documentation technique accompagnant le produit.</w:t>
      </w:r>
    </w:p>
    <w:p w14:paraId="7E36F700" w14:textId="77777777" w:rsidR="00772179" w:rsidRDefault="00000000">
      <w:pPr>
        <w:pStyle w:val="Author-eSectionHeading6Numberless"/>
      </w:pPr>
      <w:bookmarkStart w:id="864" w:name="_Toc220490533"/>
      <w:r>
        <w:t>43.54.1a Plots de montage pour fixation de charges légères pour enduits de façade extérieurs CCTB 01.11</w:t>
      </w:r>
      <w:bookmarkEnd w:id="864"/>
    </w:p>
    <w:p w14:paraId="1DAEAC5E" w14:textId="77777777" w:rsidR="00772179" w:rsidRDefault="00000000">
      <w:pPr>
        <w:pStyle w:val="pheading"/>
      </w:pPr>
      <w:r>
        <w:t>DESCRIPTION</w:t>
      </w:r>
    </w:p>
    <w:p w14:paraId="5117653E" w14:textId="77777777" w:rsidR="00772179" w:rsidRDefault="00000000">
      <w:pPr>
        <w:pStyle w:val="pheading"/>
      </w:pPr>
      <w:r>
        <w:t>- Définition / Comprend</w:t>
      </w:r>
    </w:p>
    <w:p w14:paraId="0993E63A" w14:textId="77777777" w:rsidR="00772179" w:rsidRDefault="00000000">
      <w:pPr>
        <w:jc w:val="both"/>
      </w:pPr>
      <w:r>
        <w:t>Il s’agit de la fourniture et de la pose de blochets s’intégrant dans des systèmes de façades isolantes à base de panneaux d’EPS ou de laine de roche (MW) pour la fixation de faibles charges telles que boîtes aux lettres, petits luminaires, ancrages des gouttières, etc…  </w:t>
      </w:r>
    </w:p>
    <w:p w14:paraId="09F3E55D" w14:textId="77777777" w:rsidR="00772179" w:rsidRDefault="00000000">
      <w:pPr>
        <w:pStyle w:val="pheading"/>
      </w:pPr>
      <w:r>
        <w:t>MATÉRIAUX</w:t>
      </w:r>
    </w:p>
    <w:p w14:paraId="6CB2CD4A" w14:textId="77777777" w:rsidR="00772179" w:rsidRDefault="00000000">
      <w:pPr>
        <w:pStyle w:val="pheading"/>
      </w:pPr>
      <w:r>
        <w:t>- Caractéristiques générales</w:t>
      </w:r>
    </w:p>
    <w:p w14:paraId="227A8C0B" w14:textId="77777777" w:rsidR="00772179" w:rsidRDefault="00000000">
      <w:pPr>
        <w:jc w:val="both"/>
      </w:pPr>
      <w:r>
        <w:t xml:space="preserve">Il s’agit de blochets cylindriques de renfort et de fixation en </w:t>
      </w:r>
      <w:r>
        <w:rPr>
          <w:rStyle w:val="optioncarChar"/>
        </w:rPr>
        <w:t xml:space="preserve">polystyrène expansé à très haute densité </w:t>
      </w:r>
      <w:r>
        <w:t>(par défaut)</w:t>
      </w:r>
      <w:r>
        <w:rPr>
          <w:rStyle w:val="optioncarChar"/>
        </w:rPr>
        <w:t xml:space="preserve"> / mousse de polyuréthane rigide imputrescible et sans CFC</w:t>
      </w:r>
      <w:r>
        <w:t xml:space="preserve"> intégrables dans des panneaux dont l’épaisseur est ≥ à 8 cm et qui sont constitués d’EPS d’une densité ≥ à 15 kg/m³ ou de MW d’une densité ≥ à 48 kg/m³.</w:t>
      </w:r>
    </w:p>
    <w:p w14:paraId="525B34B9" w14:textId="77777777" w:rsidR="00772179" w:rsidRDefault="00000000">
      <w:pPr>
        <w:pStyle w:val="Author-eListParagraph"/>
        <w:numPr>
          <w:ilvl w:val="0"/>
          <w:numId w:val="1086"/>
        </w:numPr>
        <w:jc w:val="both"/>
      </w:pPr>
      <w:r>
        <w:t xml:space="preserve">Diamètre : ≥ à </w:t>
      </w:r>
      <w:r>
        <w:rPr>
          <w:rStyle w:val="optioncarChar"/>
        </w:rPr>
        <w:t xml:space="preserve">70 </w:t>
      </w:r>
      <w:r>
        <w:t>(par défaut)</w:t>
      </w:r>
      <w:r>
        <w:rPr>
          <w:rStyle w:val="optioncarChar"/>
        </w:rPr>
        <w:t xml:space="preserve"> / ***</w:t>
      </w:r>
      <w:r>
        <w:t xml:space="preserve"> mm.</w:t>
      </w:r>
    </w:p>
    <w:p w14:paraId="100275ED" w14:textId="77777777" w:rsidR="00772179" w:rsidRDefault="00000000">
      <w:pPr>
        <w:pStyle w:val="Author-eListParagraph"/>
        <w:numPr>
          <w:ilvl w:val="0"/>
          <w:numId w:val="1086"/>
        </w:numPr>
        <w:jc w:val="both"/>
      </w:pPr>
      <w:r>
        <w:t xml:space="preserve">Profondeur : ≥ à </w:t>
      </w:r>
      <w:r>
        <w:rPr>
          <w:rStyle w:val="optioncarChar"/>
        </w:rPr>
        <w:t xml:space="preserve">70 </w:t>
      </w:r>
      <w:r>
        <w:t>(par défaut)</w:t>
      </w:r>
      <w:r>
        <w:rPr>
          <w:rStyle w:val="optioncarChar"/>
        </w:rPr>
        <w:t xml:space="preserve"> / ***</w:t>
      </w:r>
      <w:r>
        <w:t xml:space="preserve"> mm.</w:t>
      </w:r>
    </w:p>
    <w:p w14:paraId="4972BAF9" w14:textId="77777777" w:rsidR="00772179" w:rsidRDefault="00000000">
      <w:pPr>
        <w:pStyle w:val="Author-eListParagraph"/>
        <w:numPr>
          <w:ilvl w:val="0"/>
          <w:numId w:val="1086"/>
        </w:numPr>
        <w:jc w:val="both"/>
      </w:pPr>
      <w:r>
        <w:t xml:space="preserve">Densité de la mousse : ≥ à </w:t>
      </w:r>
      <w:r>
        <w:rPr>
          <w:rStyle w:val="optioncarChar"/>
        </w:rPr>
        <w:t xml:space="preserve">170 </w:t>
      </w:r>
      <w:r>
        <w:t>(par défaut)</w:t>
      </w:r>
      <w:r>
        <w:rPr>
          <w:rStyle w:val="optioncarChar"/>
        </w:rPr>
        <w:t xml:space="preserve"> / ***</w:t>
      </w:r>
      <w:r>
        <w:t xml:space="preserve"> kg/m3</w:t>
      </w:r>
    </w:p>
    <w:p w14:paraId="517BACEF" w14:textId="77777777" w:rsidR="00772179" w:rsidRDefault="00000000">
      <w:pPr>
        <w:pStyle w:val="Author-eListParagraph"/>
        <w:numPr>
          <w:ilvl w:val="0"/>
          <w:numId w:val="1086"/>
        </w:numPr>
        <w:jc w:val="both"/>
      </w:pPr>
      <w:r>
        <w:t xml:space="preserve">Conductivité thermique (λ) : ≤  </w:t>
      </w:r>
      <w:r>
        <w:rPr>
          <w:rStyle w:val="optioncarChar"/>
        </w:rPr>
        <w:t xml:space="preserve">0,035 </w:t>
      </w:r>
      <w:r>
        <w:t>(par défaut)</w:t>
      </w:r>
      <w:r>
        <w:rPr>
          <w:rStyle w:val="optioncarChar"/>
        </w:rPr>
        <w:t xml:space="preserve"> / ***</w:t>
      </w:r>
      <w:r>
        <w:t xml:space="preserve"> W/m.K</w:t>
      </w:r>
    </w:p>
    <w:p w14:paraId="10A63BCC" w14:textId="77777777" w:rsidR="00772179" w:rsidRDefault="00000000">
      <w:pPr>
        <w:pStyle w:val="Author-eListParagraph"/>
        <w:numPr>
          <w:ilvl w:val="0"/>
          <w:numId w:val="1086"/>
        </w:numPr>
        <w:jc w:val="both"/>
      </w:pPr>
      <w:r>
        <w:t>Charge verticale supportée par blochet : ≤ à 30 kg pour montage dans EPS et ≤ à 16 kg pour montage dans MW.</w:t>
      </w:r>
    </w:p>
    <w:p w14:paraId="5450B4F5" w14:textId="77777777" w:rsidR="00772179" w:rsidRDefault="00000000">
      <w:pPr>
        <w:pStyle w:val="pheading"/>
      </w:pPr>
      <w:r>
        <w:t>- Finitions</w:t>
      </w:r>
    </w:p>
    <w:p w14:paraId="373B0F85" w14:textId="77777777" w:rsidR="00772179" w:rsidRDefault="00000000">
      <w:pPr>
        <w:jc w:val="both"/>
      </w:pPr>
      <w:r>
        <w:t xml:space="preserve">Pourtour : </w:t>
      </w:r>
      <w:r>
        <w:rPr>
          <w:rStyle w:val="optioncarChar"/>
        </w:rPr>
        <w:t>dentelé pour une meilleure adhérence au support</w:t>
      </w:r>
      <w:r>
        <w:t xml:space="preserve"> (par défaut)</w:t>
      </w:r>
      <w:r>
        <w:rPr>
          <w:rStyle w:val="optioncarChar"/>
        </w:rPr>
        <w:t xml:space="preserve"> / lisse.</w:t>
      </w:r>
    </w:p>
    <w:p w14:paraId="6FCF2619" w14:textId="77777777" w:rsidR="00772179" w:rsidRDefault="00000000">
      <w:pPr>
        <w:pStyle w:val="pheading"/>
      </w:pPr>
      <w:r>
        <w:t>EXÉCUTION / MISE EN ŒUVRE</w:t>
      </w:r>
    </w:p>
    <w:p w14:paraId="78F5838A" w14:textId="77777777" w:rsidR="00772179" w:rsidRDefault="00000000">
      <w:pPr>
        <w:pStyle w:val="pheading"/>
      </w:pPr>
      <w:r>
        <w:t>- Prescriptions générales</w:t>
      </w:r>
    </w:p>
    <w:p w14:paraId="7DC44C13" w14:textId="77777777" w:rsidR="00772179" w:rsidRDefault="00000000">
      <w:pPr>
        <w:jc w:val="both"/>
      </w:pPr>
      <w:r>
        <w:t>Les blochets de fixation sont encastrés dans l'isolant avant la pose du mortier d'armature. Les découpes d’encastrement sont exécutées à l’aide d’outils appropriés au type d'isolant (scie cloche pour EPS et couteau pour MW) afin d’éviter tout espace entre les renforts et l'isolant.</w:t>
      </w:r>
    </w:p>
    <w:p w14:paraId="6EA77A59" w14:textId="77777777" w:rsidR="00772179" w:rsidRDefault="00000000">
      <w:pPr>
        <w:jc w:val="both"/>
      </w:pPr>
      <w:r>
        <w:t>Les éléments sont fixés à l’aide d’une colle PU appliquée sur tout le périmètre des blochets et à l'intérieur de l'encastrement.</w:t>
      </w:r>
    </w:p>
    <w:p w14:paraId="2A0D9581" w14:textId="77777777" w:rsidR="00772179" w:rsidRDefault="00000000">
      <w:pPr>
        <w:jc w:val="both"/>
      </w:pPr>
      <w:r>
        <w:t>Les cylindres sont enfoncés de manière que la face extérieure soit positionnée dans le prolongement des panneaux d’isolant.</w:t>
      </w:r>
    </w:p>
    <w:p w14:paraId="662D425D" w14:textId="77777777" w:rsidR="00772179" w:rsidRDefault="00000000">
      <w:pPr>
        <w:jc w:val="both"/>
      </w:pPr>
      <w:r>
        <w:t>La position des cylindres est marquée pour qu’ils puissent être retrouvés aisément après les travaux d’enduisage.</w:t>
      </w:r>
    </w:p>
    <w:p w14:paraId="7157D514" w14:textId="77777777" w:rsidR="00772179" w:rsidRDefault="00000000">
      <w:pPr>
        <w:jc w:val="both"/>
      </w:pPr>
      <w:r>
        <w:t>Le revêtement de façade est parfaitement sec avant la fixation des charges sur les éléments de support.</w:t>
      </w:r>
    </w:p>
    <w:p w14:paraId="519664AA" w14:textId="77777777" w:rsidR="00772179" w:rsidRDefault="00000000">
      <w:pPr>
        <w:pStyle w:val="pheading"/>
      </w:pPr>
      <w:r>
        <w:t>- Échantillons</w:t>
      </w:r>
    </w:p>
    <w:p w14:paraId="11A0A61A" w14:textId="77777777" w:rsidR="00772179" w:rsidRDefault="00000000">
      <w:pPr>
        <w:jc w:val="both"/>
      </w:pPr>
      <w:r>
        <w:t>L’entrepreneur soumet un échantillon des renforts qu’il propose à l’approbation de la direction du chantier.</w:t>
      </w:r>
    </w:p>
    <w:p w14:paraId="5B10ECD7" w14:textId="77777777" w:rsidR="00772179" w:rsidRDefault="00000000">
      <w:pPr>
        <w:pStyle w:val="pheading"/>
      </w:pPr>
      <w:r>
        <w:lastRenderedPageBreak/>
        <w:t>MESURAGE</w:t>
      </w:r>
    </w:p>
    <w:p w14:paraId="335AD331" w14:textId="77777777" w:rsidR="00772179" w:rsidRDefault="00000000">
      <w:pPr>
        <w:pStyle w:val="pheading"/>
      </w:pPr>
      <w:r>
        <w:t>- unité de mesure:</w:t>
      </w:r>
    </w:p>
    <w:p w14:paraId="3E64C589" w14:textId="77777777" w:rsidR="00772179" w:rsidRDefault="00000000">
      <w:r>
        <w:t>1.2 pc</w:t>
      </w:r>
    </w:p>
    <w:p w14:paraId="3AFADE3B" w14:textId="77777777" w:rsidR="00772179" w:rsidRDefault="00000000">
      <w:pPr>
        <w:pStyle w:val="pheading"/>
      </w:pPr>
      <w:r>
        <w:t>- code de mesurage:</w:t>
      </w:r>
    </w:p>
    <w:p w14:paraId="452C3F85" w14:textId="77777777" w:rsidR="00772179" w:rsidRDefault="00000000">
      <w:r>
        <w:t>1.2 Quantité nette à mettre en œuvre.</w:t>
      </w:r>
    </w:p>
    <w:p w14:paraId="4D8DB319" w14:textId="77777777" w:rsidR="00772179" w:rsidRDefault="00000000">
      <w:pPr>
        <w:pStyle w:val="pheading"/>
      </w:pPr>
      <w:r>
        <w:t>- nature du marché:</w:t>
      </w:r>
    </w:p>
    <w:p w14:paraId="501CA17E" w14:textId="77777777" w:rsidR="00772179" w:rsidRDefault="00000000">
      <w:r>
        <w:rPr>
          <w:rStyle w:val="optioncarChar"/>
        </w:rPr>
        <w:t xml:space="preserve">QF </w:t>
      </w:r>
      <w:r>
        <w:t xml:space="preserve">(par défaut) </w:t>
      </w:r>
      <w:r>
        <w:rPr>
          <w:rStyle w:val="optioncarChar"/>
        </w:rPr>
        <w:t>/ QP   </w:t>
      </w:r>
      <w:r>
        <w:t xml:space="preserve">                                                </w:t>
      </w:r>
    </w:p>
    <w:p w14:paraId="756C4FB0" w14:textId="77777777" w:rsidR="00772179" w:rsidRDefault="00000000">
      <w:r>
        <w:rPr>
          <w:b/>
        </w:rPr>
        <w:t>(soit par défaut)</w:t>
      </w:r>
      <w:r>
        <w:br/>
      </w:r>
      <w:r>
        <w:rPr>
          <w:rStyle w:val="soitChar"/>
        </w:rPr>
        <w:t>1.  QF</w:t>
      </w:r>
      <w:r>
        <w:br/>
      </w:r>
      <w:r>
        <w:rPr>
          <w:b/>
        </w:rPr>
        <w:t>(soit)</w:t>
      </w:r>
      <w:r>
        <w:br/>
      </w:r>
      <w:r>
        <w:rPr>
          <w:rStyle w:val="soitChar"/>
        </w:rPr>
        <w:t>2.  QP</w:t>
      </w:r>
    </w:p>
    <w:p w14:paraId="573A08E0" w14:textId="77777777" w:rsidR="00772179" w:rsidRDefault="00000000">
      <w:pPr>
        <w:pStyle w:val="Author-eSectionHeading6Numberless"/>
      </w:pPr>
      <w:bookmarkStart w:id="865" w:name="_Toc220490534"/>
      <w:r>
        <w:t>43.54.1b Plaques de montage pour fixation de charges lourdes pour enduits de façade extérieurs CCTB 01.11</w:t>
      </w:r>
      <w:bookmarkEnd w:id="865"/>
    </w:p>
    <w:p w14:paraId="68734F9E" w14:textId="77777777" w:rsidR="00772179" w:rsidRDefault="00000000">
      <w:pPr>
        <w:pStyle w:val="pheading"/>
      </w:pPr>
      <w:r>
        <w:t>DESCRIPTION</w:t>
      </w:r>
    </w:p>
    <w:p w14:paraId="2AC23CDD" w14:textId="77777777" w:rsidR="00772179" w:rsidRDefault="00000000">
      <w:pPr>
        <w:pStyle w:val="pheading"/>
      </w:pPr>
      <w:r>
        <w:t>- Définition / Comprend</w:t>
      </w:r>
    </w:p>
    <w:p w14:paraId="78A5A34D" w14:textId="77777777" w:rsidR="00772179" w:rsidRDefault="00000000">
      <w:pPr>
        <w:jc w:val="both"/>
      </w:pPr>
      <w:r>
        <w:t>Il s’agit de la fourniture et de la pose de plaques de montage à coupure thermique s’intégrant dans des systèmes de façades isolantes pour la fixation de charges lourdes telles que balustrades, rails, luminaires en console, etc...</w:t>
      </w:r>
    </w:p>
    <w:p w14:paraId="0576C9F2" w14:textId="77777777" w:rsidR="00772179" w:rsidRDefault="00000000">
      <w:pPr>
        <w:jc w:val="both"/>
      </w:pPr>
      <w:r>
        <w:t>En fonction du type d'élément à supporter et de son poids, l'entrepreneur propose le modèle de blochet le mieux adapté parmi ceux proposés par le fabricant pour approbation par la direction de chantier.</w:t>
      </w:r>
    </w:p>
    <w:p w14:paraId="392DFDE4" w14:textId="77777777" w:rsidR="00772179" w:rsidRDefault="00000000">
      <w:pPr>
        <w:pStyle w:val="pheading"/>
      </w:pPr>
      <w:r>
        <w:t>MATÉRIAUX</w:t>
      </w:r>
    </w:p>
    <w:p w14:paraId="3471D76A" w14:textId="77777777" w:rsidR="00772179" w:rsidRDefault="00000000">
      <w:pPr>
        <w:pStyle w:val="pheading"/>
      </w:pPr>
      <w:r>
        <w:t>- Caractéristiques générales</w:t>
      </w:r>
    </w:p>
    <w:p w14:paraId="0E61D135" w14:textId="77777777" w:rsidR="00772179" w:rsidRDefault="00000000">
      <w:pPr>
        <w:jc w:val="both"/>
      </w:pPr>
      <w:r>
        <w:t>Il s’agit de plaques de montage rectangulaires composées de polyuréthane et de résine phénolique renforcées de 4 plaques en acier. Une plaque en aluminium permet le vissage des charges de construction à fixer et une plaque en stratifié haute pression (HPL) garantit une répartition optimale de la pression en surface.</w:t>
      </w:r>
    </w:p>
    <w:p w14:paraId="59A38D9B" w14:textId="77777777" w:rsidR="00772179" w:rsidRDefault="00000000">
      <w:pPr>
        <w:pStyle w:val="Author-eListParagraph"/>
        <w:numPr>
          <w:ilvl w:val="0"/>
          <w:numId w:val="1087"/>
        </w:numPr>
        <w:jc w:val="both"/>
      </w:pPr>
      <w:r>
        <w:t xml:space="preserve">Dimensions : </w:t>
      </w:r>
      <w:r>
        <w:rPr>
          <w:rStyle w:val="optioncarChar"/>
        </w:rPr>
        <w:t>240 x 140</w:t>
      </w:r>
      <w:r>
        <w:t xml:space="preserve"> (par défaut) </w:t>
      </w:r>
      <w:r>
        <w:rPr>
          <w:rStyle w:val="optioncarChar"/>
        </w:rPr>
        <w:t>/ ***</w:t>
      </w:r>
      <w:r>
        <w:t xml:space="preserve"> mm.</w:t>
      </w:r>
    </w:p>
    <w:p w14:paraId="727C6BB7" w14:textId="77777777" w:rsidR="00772179" w:rsidRDefault="00000000">
      <w:pPr>
        <w:pStyle w:val="Author-eListParagraph"/>
        <w:numPr>
          <w:ilvl w:val="0"/>
          <w:numId w:val="1087"/>
        </w:numPr>
        <w:jc w:val="both"/>
      </w:pPr>
      <w:r>
        <w:t>Epaisseur :</w:t>
      </w:r>
      <w:r>
        <w:rPr>
          <w:rStyle w:val="optioncarChar"/>
        </w:rPr>
        <w:t xml:space="preserve"> identique à celle de l’isolant de façade</w:t>
      </w:r>
      <w:r>
        <w:t xml:space="preserve"> (par défaut)</w:t>
      </w:r>
      <w:r>
        <w:rPr>
          <w:rStyle w:val="optioncarChar"/>
        </w:rPr>
        <w:t xml:space="preserve"> / 80 / 100 / 120 / 140 / 160 / 180 / 200 / 220 / 240 / 260 / 280 / 300 / *** mm</w:t>
      </w:r>
      <w:r>
        <w:t>. Pour des épaisseurs supérieures aux éléments existants, l'entrepreneur utilise deux éléments fixés ensemble de manière à atteindre l’épaisseur voulue.</w:t>
      </w:r>
    </w:p>
    <w:p w14:paraId="2A3D47B7" w14:textId="77777777" w:rsidR="00772179" w:rsidRDefault="00000000">
      <w:pPr>
        <w:pStyle w:val="Author-eListParagraph"/>
        <w:numPr>
          <w:ilvl w:val="0"/>
          <w:numId w:val="1087"/>
        </w:numPr>
        <w:jc w:val="both"/>
      </w:pPr>
      <w:r>
        <w:t xml:space="preserve">Densité de la mousse : ≥ à </w:t>
      </w:r>
      <w:r>
        <w:rPr>
          <w:rStyle w:val="optioncarChar"/>
        </w:rPr>
        <w:t>200</w:t>
      </w:r>
      <w:r>
        <w:t xml:space="preserve"> (par défaut)</w:t>
      </w:r>
      <w:r>
        <w:rPr>
          <w:rStyle w:val="optioncarChar"/>
        </w:rPr>
        <w:t xml:space="preserve"> / ***</w:t>
      </w:r>
      <w:r>
        <w:t xml:space="preserve"> kg/m3</w:t>
      </w:r>
    </w:p>
    <w:p w14:paraId="0BF4F141" w14:textId="77777777" w:rsidR="00772179" w:rsidRDefault="00000000">
      <w:pPr>
        <w:pStyle w:val="Author-eListParagraph"/>
        <w:numPr>
          <w:ilvl w:val="0"/>
          <w:numId w:val="1087"/>
        </w:numPr>
        <w:jc w:val="both"/>
      </w:pPr>
      <w:r>
        <w:t xml:space="preserve">Conductivité thermique PUR (λ) : ≤ </w:t>
      </w:r>
      <w:r>
        <w:rPr>
          <w:rStyle w:val="optioncarChar"/>
        </w:rPr>
        <w:t xml:space="preserve">0,040 </w:t>
      </w:r>
      <w:r>
        <w:t>(par défaut)</w:t>
      </w:r>
      <w:r>
        <w:rPr>
          <w:rStyle w:val="optioncarChar"/>
        </w:rPr>
        <w:t xml:space="preserve"> / ***</w:t>
      </w:r>
      <w:r>
        <w:t xml:space="preserve"> W/m.K</w:t>
      </w:r>
    </w:p>
    <w:p w14:paraId="4ED7FFD0" w14:textId="77777777" w:rsidR="00772179" w:rsidRDefault="00000000">
      <w:pPr>
        <w:pStyle w:val="Author-eListParagraph"/>
        <w:numPr>
          <w:ilvl w:val="0"/>
          <w:numId w:val="1087"/>
        </w:numPr>
        <w:jc w:val="both"/>
      </w:pPr>
      <w:r>
        <w:t xml:space="preserve">Conductivité thermique résine phénolique (λ) : ≤ </w:t>
      </w:r>
      <w:r>
        <w:rPr>
          <w:rStyle w:val="optioncarChar"/>
        </w:rPr>
        <w:t xml:space="preserve">0,030 </w:t>
      </w:r>
      <w:r>
        <w:t>(par défaut)</w:t>
      </w:r>
      <w:r>
        <w:rPr>
          <w:rStyle w:val="optioncarChar"/>
        </w:rPr>
        <w:t xml:space="preserve"> / ***</w:t>
      </w:r>
      <w:r>
        <w:t xml:space="preserve"> W/m.K</w:t>
      </w:r>
    </w:p>
    <w:p w14:paraId="4F7DA70D" w14:textId="77777777" w:rsidR="00772179" w:rsidRDefault="00000000">
      <w:pPr>
        <w:pStyle w:val="Author-eListParagraph"/>
        <w:numPr>
          <w:ilvl w:val="0"/>
          <w:numId w:val="1087"/>
        </w:numPr>
        <w:jc w:val="both"/>
      </w:pPr>
      <w:r>
        <w:t>Réaction au feu selon [NBN EN 13501-1] : D-s1d0</w:t>
      </w:r>
    </w:p>
    <w:p w14:paraId="227E8B6B" w14:textId="77777777" w:rsidR="00772179" w:rsidRDefault="00000000">
      <w:pPr>
        <w:pStyle w:val="pheading"/>
      </w:pPr>
      <w:r>
        <w:t>EXÉCUTION / MISE EN ŒUVRE</w:t>
      </w:r>
    </w:p>
    <w:p w14:paraId="6BB75EB6" w14:textId="77777777" w:rsidR="00772179" w:rsidRDefault="00000000">
      <w:pPr>
        <w:pStyle w:val="pheading"/>
      </w:pPr>
      <w:r>
        <w:t>- Prescriptions générales</w:t>
      </w:r>
    </w:p>
    <w:p w14:paraId="74B959F6" w14:textId="77777777" w:rsidR="00772179" w:rsidRDefault="00000000">
      <w:pPr>
        <w:jc w:val="both"/>
      </w:pPr>
      <w:r>
        <w:t xml:space="preserve">Le dimensionnement, la fiche technique et la mise en œuvre des plaques de montage est soumis au contrôle du bureau d’études en stabilité désigné par </w:t>
      </w:r>
      <w:r>
        <w:rPr>
          <w:rStyle w:val="optioncarChar"/>
        </w:rPr>
        <w:t>le maître de l’ouvrage / l’adjudicataire</w:t>
      </w:r>
      <w:r>
        <w:t xml:space="preserve"> en fonction du type de charge à reprendre et du support existant. Si la nature et les caractéristiques du support sont inconnues, il est indispensable de procéder à des tests de traction préliminaires des éléments de fixation prévus pour les blocs de montage.</w:t>
      </w:r>
    </w:p>
    <w:p w14:paraId="05BD174D" w14:textId="77777777" w:rsidR="00772179" w:rsidRDefault="00000000">
      <w:pPr>
        <w:jc w:val="both"/>
      </w:pPr>
      <w:r>
        <w:t>Les plaques de montage sont installées avant la pose de l’isolant. Le support est stable, sec, plan, libre de poussières ou de tout autre élément pouvant nuire à l’adhérence.</w:t>
      </w:r>
    </w:p>
    <w:p w14:paraId="42338BDC" w14:textId="77777777" w:rsidR="00772179" w:rsidRDefault="00772179">
      <w:pPr>
        <w:jc w:val="both"/>
      </w:pPr>
    </w:p>
    <w:p w14:paraId="4E895B2D" w14:textId="77777777" w:rsidR="00772179" w:rsidRDefault="00000000">
      <w:pPr>
        <w:jc w:val="both"/>
      </w:pPr>
      <w:r>
        <w:t xml:space="preserve">Les inégalités du support ≥ </w:t>
      </w:r>
      <w:r>
        <w:rPr>
          <w:rStyle w:val="optioncarChar"/>
        </w:rPr>
        <w:t>10</w:t>
      </w:r>
      <w:r>
        <w:t xml:space="preserve"> (par défaut)</w:t>
      </w:r>
      <w:r>
        <w:rPr>
          <w:rStyle w:val="optioncarChar"/>
        </w:rPr>
        <w:t xml:space="preserve"> / ***</w:t>
      </w:r>
      <w:r>
        <w:t xml:space="preserve"> mm sont préalablement égalisées.</w:t>
      </w:r>
    </w:p>
    <w:p w14:paraId="067BA88A" w14:textId="77777777" w:rsidR="00772179" w:rsidRDefault="00772179">
      <w:pPr>
        <w:jc w:val="both"/>
      </w:pPr>
    </w:p>
    <w:p w14:paraId="50FD6BC8" w14:textId="77777777" w:rsidR="00772179" w:rsidRDefault="00000000">
      <w:pPr>
        <w:jc w:val="both"/>
      </w:pPr>
      <w:r>
        <w:t>La pose débute par l’ancrage dans le support de 4 tiges filetées fournies avec le système.</w:t>
      </w:r>
    </w:p>
    <w:p w14:paraId="251CB398" w14:textId="77777777" w:rsidR="00772179" w:rsidRDefault="00000000">
      <w:pPr>
        <w:jc w:val="both"/>
      </w:pPr>
      <w:r>
        <w:t xml:space="preserve">Les blocs de montage sont insérés dans les ancrages et collés sur toute leur surface au moyen de mortier-colle dont l’adhérence est ≥ à </w:t>
      </w:r>
      <w:r>
        <w:rPr>
          <w:rStyle w:val="optioncarChar"/>
        </w:rPr>
        <w:t xml:space="preserve">0,08 </w:t>
      </w:r>
      <w:r>
        <w:t>(par défaut)</w:t>
      </w:r>
      <w:r>
        <w:rPr>
          <w:rStyle w:val="optioncarChar"/>
        </w:rPr>
        <w:t xml:space="preserve"> / ***</w:t>
      </w:r>
      <w:r>
        <w:t xml:space="preserve"> N/mm². Ils sont ensuite fixés définitivement à l’aide d’écrous de serrage placés sur les tiges filetées.</w:t>
      </w:r>
    </w:p>
    <w:p w14:paraId="5922A330" w14:textId="77777777" w:rsidR="00772179" w:rsidRDefault="00000000">
      <w:pPr>
        <w:jc w:val="both"/>
      </w:pPr>
      <w:r>
        <w:t>Les panneaux d’isolation du système de façade sont placés en évitant tout espace entre les blocs de montage et l'isolant.</w:t>
      </w:r>
    </w:p>
    <w:p w14:paraId="20DB4188" w14:textId="77777777" w:rsidR="00772179" w:rsidRDefault="00000000">
      <w:pPr>
        <w:jc w:val="both"/>
      </w:pPr>
      <w:r>
        <w:t>La position des plaques est marquée pour localisation aisée après les travaux d’enduisage.</w:t>
      </w:r>
    </w:p>
    <w:p w14:paraId="166DB0C3" w14:textId="77777777" w:rsidR="00772179" w:rsidRDefault="00000000">
      <w:pPr>
        <w:jc w:val="both"/>
      </w:pPr>
      <w:r>
        <w:t>Le revêtement de façade est parfaitement sec avant la fixation des charges sur les plaques de renfort.</w:t>
      </w:r>
    </w:p>
    <w:p w14:paraId="0922DEB8" w14:textId="77777777" w:rsidR="00772179" w:rsidRDefault="00000000">
      <w:pPr>
        <w:pStyle w:val="pheading"/>
      </w:pPr>
      <w:r>
        <w:t>- Échantillons</w:t>
      </w:r>
    </w:p>
    <w:p w14:paraId="19C6DCF6" w14:textId="77777777" w:rsidR="00772179" w:rsidRDefault="00000000">
      <w:pPr>
        <w:jc w:val="both"/>
      </w:pPr>
      <w:r>
        <w:t>L’entrepreneur soumet un échantillon des plaques de renfort qu’il propose à l’approbation de la direction du chantier.</w:t>
      </w:r>
    </w:p>
    <w:p w14:paraId="7D1791F8" w14:textId="77777777" w:rsidR="00772179" w:rsidRDefault="00000000">
      <w:pPr>
        <w:pStyle w:val="pheading"/>
      </w:pPr>
      <w:r>
        <w:t>MESURAGE</w:t>
      </w:r>
    </w:p>
    <w:p w14:paraId="0C47D7AD" w14:textId="77777777" w:rsidR="00772179" w:rsidRDefault="00000000">
      <w:pPr>
        <w:pStyle w:val="pheading"/>
      </w:pPr>
      <w:r>
        <w:t>- unité de mesure:</w:t>
      </w:r>
    </w:p>
    <w:p w14:paraId="3B29AFA3" w14:textId="77777777" w:rsidR="00772179" w:rsidRDefault="00000000">
      <w:r>
        <w:t>1.2. pc</w:t>
      </w:r>
    </w:p>
    <w:p w14:paraId="4943C500" w14:textId="77777777" w:rsidR="00772179" w:rsidRDefault="00000000">
      <w:pPr>
        <w:pStyle w:val="pheading"/>
      </w:pPr>
      <w:r>
        <w:t>- code de mesurage:</w:t>
      </w:r>
    </w:p>
    <w:p w14:paraId="47E96119" w14:textId="77777777" w:rsidR="00772179" w:rsidRDefault="00000000">
      <w:pPr>
        <w:jc w:val="both"/>
      </w:pPr>
      <w:r>
        <w:t>1.2. Quantité nette à mettre en œuvre, éventuellement ventilée en fonction du type de charges à reprendre.</w:t>
      </w:r>
    </w:p>
    <w:p w14:paraId="5F3EDC97" w14:textId="77777777" w:rsidR="00772179" w:rsidRDefault="00000000">
      <w:pPr>
        <w:pStyle w:val="pheading"/>
      </w:pPr>
      <w:r>
        <w:t>- nature du marché:</w:t>
      </w:r>
    </w:p>
    <w:p w14:paraId="09A164E6" w14:textId="77777777" w:rsidR="00772179" w:rsidRDefault="00000000">
      <w:r>
        <w:rPr>
          <w:rStyle w:val="optioncarChar"/>
        </w:rPr>
        <w:t>QF</w:t>
      </w:r>
      <w:r>
        <w:t xml:space="preserve"> (par défaut)</w:t>
      </w:r>
      <w:r>
        <w:rPr>
          <w:rStyle w:val="optioncarChar"/>
        </w:rPr>
        <w:t xml:space="preserve"> / QP</w:t>
      </w:r>
    </w:p>
    <w:p w14:paraId="0FA88F71" w14:textId="77777777" w:rsidR="00772179" w:rsidRDefault="00000000">
      <w:r>
        <w:rPr>
          <w:b/>
        </w:rPr>
        <w:t>(soit par défaut)</w:t>
      </w:r>
      <w:r>
        <w:br/>
      </w:r>
      <w:r>
        <w:rPr>
          <w:rStyle w:val="soitChar"/>
        </w:rPr>
        <w:t>1.  QF</w:t>
      </w:r>
      <w:r>
        <w:br/>
      </w:r>
      <w:r>
        <w:rPr>
          <w:b/>
        </w:rPr>
        <w:t>(soit)</w:t>
      </w:r>
      <w:r>
        <w:br/>
      </w:r>
      <w:r>
        <w:rPr>
          <w:rStyle w:val="soitChar"/>
        </w:rPr>
        <w:t>2.  QP</w:t>
      </w:r>
    </w:p>
    <w:p w14:paraId="5093AB41" w14:textId="77777777" w:rsidR="00772179" w:rsidRDefault="00000000">
      <w:pPr>
        <w:pStyle w:val="Author-eSectionHeading6Numberless"/>
      </w:pPr>
      <w:bookmarkStart w:id="866" w:name="_Toc220490535"/>
      <w:r>
        <w:t>43.54.1c Profilés de montage pour enduits de façade extérieurs</w:t>
      </w:r>
      <w:bookmarkEnd w:id="866"/>
    </w:p>
    <w:p w14:paraId="4C1DC836" w14:textId="77777777" w:rsidR="00772179" w:rsidRDefault="00000000">
      <w:pPr>
        <w:pStyle w:val="Author-eSectionHeading5Numberless"/>
      </w:pPr>
      <w:bookmarkStart w:id="867" w:name="_Toc220490536"/>
      <w:r>
        <w:t>43.54.2 Produits de finition pour enduits de façade extérieurs</w:t>
      </w:r>
      <w:bookmarkEnd w:id="867"/>
    </w:p>
    <w:p w14:paraId="2D96932A" w14:textId="77777777" w:rsidR="00772179" w:rsidRDefault="00000000">
      <w:pPr>
        <w:pStyle w:val="Author-eSectionHeading6Numberless"/>
      </w:pPr>
      <w:bookmarkStart w:id="868" w:name="_Toc220490537"/>
      <w:r>
        <w:t>43.54.2a Traitements hydrofuges pour enduits de façade extérieurs</w:t>
      </w:r>
      <w:bookmarkEnd w:id="868"/>
    </w:p>
    <w:p w14:paraId="04987A0B" w14:textId="77777777" w:rsidR="00772179" w:rsidRDefault="00000000">
      <w:pPr>
        <w:pStyle w:val="Author-eSectionHeading5Numberless"/>
      </w:pPr>
      <w:bookmarkStart w:id="869" w:name="_Toc220490538"/>
      <w:r>
        <w:t>43.54.3 Réalisation de joints pour enduits de façade extérieurs CCTB 01.02</w:t>
      </w:r>
      <w:bookmarkEnd w:id="869"/>
    </w:p>
    <w:p w14:paraId="688EABEB" w14:textId="77777777" w:rsidR="00772179" w:rsidRDefault="00000000">
      <w:pPr>
        <w:pStyle w:val="Author-eSectionHeading6Numberless"/>
      </w:pPr>
      <w:bookmarkStart w:id="870" w:name="_Toc220490539"/>
      <w:r>
        <w:t>43.54.3a Réalisation de joints pour enduits de façade extérieurs</w:t>
      </w:r>
      <w:bookmarkEnd w:id="870"/>
    </w:p>
    <w:p w14:paraId="446651DA" w14:textId="77777777" w:rsidR="00772179" w:rsidRDefault="00000000">
      <w:pPr>
        <w:pStyle w:val="Author-eSectionHeading5Numberless"/>
      </w:pPr>
      <w:bookmarkStart w:id="871" w:name="_Toc220490540"/>
      <w:r>
        <w:t>43.54.4 Etanchéisation de joints pour enduits de façade extérieurs CCTB 01.04</w:t>
      </w:r>
      <w:bookmarkEnd w:id="871"/>
    </w:p>
    <w:p w14:paraId="245EFF39" w14:textId="77777777" w:rsidR="00772179" w:rsidRDefault="00000000">
      <w:pPr>
        <w:pStyle w:val="pheading"/>
      </w:pPr>
      <w:r>
        <w:t>DESCRIPTION</w:t>
      </w:r>
    </w:p>
    <w:p w14:paraId="6B71FE2D" w14:textId="77777777" w:rsidR="00772179" w:rsidRDefault="00000000">
      <w:pPr>
        <w:pStyle w:val="pheading"/>
      </w:pPr>
      <w:r>
        <w:t>- Définition / Comprend</w:t>
      </w:r>
    </w:p>
    <w:p w14:paraId="0F3107B3" w14:textId="77777777" w:rsidR="00772179" w:rsidRDefault="00000000">
      <w:r>
        <w:t xml:space="preserve">Renvoi au </w:t>
      </w:r>
      <w:hyperlink w:anchor="968" w:history="1">
        <w:r>
          <w:rPr>
            <w:color w:val="0000EE"/>
          </w:rPr>
          <w:t>46.52 Etanchéisation de joints</w:t>
        </w:r>
      </w:hyperlink>
    </w:p>
    <w:p w14:paraId="67012189" w14:textId="77777777" w:rsidR="00772179" w:rsidRDefault="00000000">
      <w:pPr>
        <w:pStyle w:val="Author-eSectionHeading5Numberless"/>
      </w:pPr>
      <w:bookmarkStart w:id="872" w:name="_Toc220490541"/>
      <w:r>
        <w:t>43.54.5 Finitions particulières de joints pour enduits de façade extérieurs CCTB 01.02</w:t>
      </w:r>
      <w:bookmarkEnd w:id="872"/>
    </w:p>
    <w:p w14:paraId="317077DC" w14:textId="77777777" w:rsidR="00772179" w:rsidRDefault="00000000">
      <w:pPr>
        <w:pStyle w:val="Author-eSectionHeading6Numberless"/>
      </w:pPr>
      <w:bookmarkStart w:id="873" w:name="_Toc220490542"/>
      <w:r>
        <w:lastRenderedPageBreak/>
        <w:t>43.54.5a Finitions particulières de joints pour enduits de façade extérieurs</w:t>
      </w:r>
      <w:bookmarkEnd w:id="873"/>
    </w:p>
    <w:p w14:paraId="42B30CC3" w14:textId="77777777" w:rsidR="00772179" w:rsidRDefault="00000000">
      <w:pPr>
        <w:pStyle w:val="Author-eSectionHeading3Numberless"/>
      </w:pPr>
      <w:bookmarkStart w:id="874" w:name="_Toc220490543"/>
      <w:r>
        <w:t>43.6 Ouvrages de raccords et de finition CCTB 01.04</w:t>
      </w:r>
      <w:bookmarkEnd w:id="874"/>
    </w:p>
    <w:p w14:paraId="69FD6682" w14:textId="77777777" w:rsidR="00772179" w:rsidRDefault="00000000">
      <w:pPr>
        <w:pStyle w:val="Author-eSectionHeading4Numberless"/>
      </w:pPr>
      <w:bookmarkStart w:id="875" w:name="_Toc220490544"/>
      <w:r>
        <w:t>43.61 Raccords de rive CCTB 01.02</w:t>
      </w:r>
      <w:bookmarkEnd w:id="875"/>
    </w:p>
    <w:p w14:paraId="395288FB" w14:textId="77777777" w:rsidR="00772179" w:rsidRDefault="00000000">
      <w:pPr>
        <w:pStyle w:val="pheading"/>
      </w:pPr>
      <w:r>
        <w:t>DESCRIPTION</w:t>
      </w:r>
    </w:p>
    <w:p w14:paraId="2E5DD369" w14:textId="77777777" w:rsidR="00772179" w:rsidRDefault="00000000">
      <w:pPr>
        <w:pStyle w:val="pheading"/>
      </w:pPr>
      <w:r>
        <w:t>- Définition / Comprend</w:t>
      </w:r>
    </w:p>
    <w:p w14:paraId="60842EE5" w14:textId="77777777" w:rsidR="00772179" w:rsidRDefault="00000000">
      <w:r>
        <w:t>cfr 35.14 Raccords de rive</w:t>
      </w:r>
    </w:p>
    <w:p w14:paraId="4A07F988" w14:textId="77777777" w:rsidR="00772179" w:rsidRDefault="00000000">
      <w:pPr>
        <w:pStyle w:val="Author-eSectionHeading5Numberless"/>
      </w:pPr>
      <w:bookmarkStart w:id="876" w:name="_Toc220490545"/>
      <w:r>
        <w:t>43.61.1 Planches et éléments de rives CCTB 01.04</w:t>
      </w:r>
      <w:bookmarkEnd w:id="876"/>
    </w:p>
    <w:p w14:paraId="2EFCB74A" w14:textId="77777777" w:rsidR="00772179" w:rsidRDefault="00000000">
      <w:pPr>
        <w:pStyle w:val="pheading"/>
      </w:pPr>
      <w:r>
        <w:t>DESCRIPTION</w:t>
      </w:r>
    </w:p>
    <w:p w14:paraId="30106667" w14:textId="77777777" w:rsidR="00772179" w:rsidRDefault="00000000">
      <w:pPr>
        <w:pStyle w:val="pheading"/>
      </w:pPr>
      <w:r>
        <w:t>- Définition / Comprend</w:t>
      </w:r>
    </w:p>
    <w:p w14:paraId="00355311" w14:textId="77777777" w:rsidR="00772179" w:rsidRDefault="00000000">
      <w:r>
        <w:t>Cfr 35.14.1 Planches de rives et d'habillage</w:t>
      </w:r>
    </w:p>
    <w:p w14:paraId="18C057E5" w14:textId="77777777" w:rsidR="00772179" w:rsidRDefault="00000000">
      <w:pPr>
        <w:pStyle w:val="Author-eSectionHeading6Numberless"/>
      </w:pPr>
      <w:bookmarkStart w:id="877" w:name="_Toc220490546"/>
      <w:r>
        <w:t>43.61.1a Planches de rive en bois CCTB 01.02</w:t>
      </w:r>
      <w:bookmarkEnd w:id="877"/>
    </w:p>
    <w:p w14:paraId="25F89FD2" w14:textId="77777777" w:rsidR="00772179" w:rsidRDefault="00000000">
      <w:pPr>
        <w:pStyle w:val="Author-eSectionHeading6Numberless"/>
      </w:pPr>
      <w:bookmarkStart w:id="878" w:name="_Toc220490547"/>
      <w:r>
        <w:t>43.61.1b Planches de rive en panneaux de bois CCTB 01.02</w:t>
      </w:r>
      <w:bookmarkEnd w:id="878"/>
    </w:p>
    <w:p w14:paraId="4E1802E7" w14:textId="77777777" w:rsidR="00772179" w:rsidRDefault="00000000">
      <w:pPr>
        <w:pStyle w:val="Author-eSectionHeading6Numberless"/>
      </w:pPr>
      <w:bookmarkStart w:id="879" w:name="_Toc220490548"/>
      <w:r>
        <w:t>43.61.1c Planches de rive en PVC CCTB 01.02</w:t>
      </w:r>
      <w:bookmarkEnd w:id="879"/>
    </w:p>
    <w:p w14:paraId="0A342C24" w14:textId="77777777" w:rsidR="00772179" w:rsidRDefault="00000000">
      <w:pPr>
        <w:pStyle w:val="Author-eSectionHeading6Numberless"/>
      </w:pPr>
      <w:bookmarkStart w:id="880" w:name="_Toc220490549"/>
      <w:r>
        <w:t>43.61.1d Planches de rive en panneaux de résines synthétiques  CCTB 01.02</w:t>
      </w:r>
      <w:bookmarkEnd w:id="880"/>
    </w:p>
    <w:p w14:paraId="0E8E1ADA" w14:textId="77777777" w:rsidR="00772179" w:rsidRDefault="00000000">
      <w:pPr>
        <w:pStyle w:val="Author-eSectionHeading6Numberless"/>
      </w:pPr>
      <w:bookmarkStart w:id="881" w:name="_Toc220490550"/>
      <w:r>
        <w:t>43.61.1e Planches de rive en fibres-ciment CCTB 01.02</w:t>
      </w:r>
      <w:bookmarkEnd w:id="881"/>
    </w:p>
    <w:p w14:paraId="7CA8D264" w14:textId="77777777" w:rsidR="00772179" w:rsidRDefault="00000000">
      <w:pPr>
        <w:pStyle w:val="Author-eSectionHeading6Numberless"/>
      </w:pPr>
      <w:bookmarkStart w:id="882" w:name="_Toc220490551"/>
      <w:r>
        <w:t>43.61.1f Eléments de rive en ardoises naturelles</w:t>
      </w:r>
      <w:bookmarkEnd w:id="882"/>
    </w:p>
    <w:p w14:paraId="739C452E" w14:textId="77777777" w:rsidR="00772179" w:rsidRDefault="00000000">
      <w:pPr>
        <w:pStyle w:val="Author-eSectionHeading6Numberless"/>
      </w:pPr>
      <w:bookmarkStart w:id="883" w:name="_Toc220490552"/>
      <w:r>
        <w:t>43.61.1g Eléments de rive en ardoises artificielles</w:t>
      </w:r>
      <w:bookmarkEnd w:id="883"/>
    </w:p>
    <w:p w14:paraId="4D16E37B" w14:textId="77777777" w:rsidR="00772179" w:rsidRDefault="00000000">
      <w:pPr>
        <w:pStyle w:val="Author-eSectionHeading6Numberless"/>
      </w:pPr>
      <w:bookmarkStart w:id="884" w:name="_Toc220490553"/>
      <w:r>
        <w:t>43.61.1h Eléments de rive en tuiles en terre cuite</w:t>
      </w:r>
      <w:bookmarkEnd w:id="884"/>
    </w:p>
    <w:p w14:paraId="0221C393" w14:textId="77777777" w:rsidR="00772179" w:rsidRDefault="00000000">
      <w:pPr>
        <w:pStyle w:val="Author-eSectionHeading6Numberless"/>
      </w:pPr>
      <w:bookmarkStart w:id="885" w:name="_Toc220490554"/>
      <w:r>
        <w:t>43.61.1i Eléments de rive en tuiles en béton</w:t>
      </w:r>
      <w:bookmarkEnd w:id="885"/>
    </w:p>
    <w:p w14:paraId="6458825E" w14:textId="77777777" w:rsidR="00772179" w:rsidRDefault="00000000">
      <w:pPr>
        <w:pStyle w:val="Author-eSectionHeading6Numberless"/>
      </w:pPr>
      <w:bookmarkStart w:id="886" w:name="_Toc220490555"/>
      <w:r>
        <w:t>43.61.1j Eléments de rive en zinc</w:t>
      </w:r>
      <w:bookmarkEnd w:id="886"/>
    </w:p>
    <w:p w14:paraId="328E312F" w14:textId="77777777" w:rsidR="00772179" w:rsidRDefault="00000000">
      <w:pPr>
        <w:pStyle w:val="Author-eSectionHeading5Numberless"/>
      </w:pPr>
      <w:bookmarkStart w:id="887" w:name="_Toc220490556"/>
      <w:r>
        <w:t>43.61.2 Raccords de rive par éléments rigides CCTB 01.02</w:t>
      </w:r>
      <w:bookmarkEnd w:id="887"/>
    </w:p>
    <w:p w14:paraId="1401AB2C" w14:textId="77777777" w:rsidR="00772179" w:rsidRDefault="00000000">
      <w:pPr>
        <w:pStyle w:val="pheading"/>
      </w:pPr>
      <w:r>
        <w:t>DESCRIPTION</w:t>
      </w:r>
    </w:p>
    <w:p w14:paraId="1F107B52" w14:textId="77777777" w:rsidR="00772179" w:rsidRDefault="00000000">
      <w:pPr>
        <w:pStyle w:val="pheading"/>
      </w:pPr>
      <w:r>
        <w:t>- Définition / Comprend</w:t>
      </w:r>
    </w:p>
    <w:p w14:paraId="5657C571" w14:textId="77777777" w:rsidR="00772179" w:rsidRDefault="00000000">
      <w:r>
        <w:t>Cfr 35.14.2 Raccords de rive par éléments rigides</w:t>
      </w:r>
    </w:p>
    <w:p w14:paraId="003E52ED" w14:textId="77777777" w:rsidR="00772179" w:rsidRDefault="00000000">
      <w:pPr>
        <w:pStyle w:val="Author-eSectionHeading6Numberless"/>
      </w:pPr>
      <w:bookmarkStart w:id="888" w:name="_Toc220490557"/>
      <w:r>
        <w:t>43.61.2a Profils de rive de toiture en aluminium CCTB 01.02</w:t>
      </w:r>
      <w:bookmarkEnd w:id="888"/>
    </w:p>
    <w:p w14:paraId="71FFFD86" w14:textId="77777777" w:rsidR="00772179" w:rsidRDefault="00000000">
      <w:pPr>
        <w:pStyle w:val="Author-eSectionHeading6Numberless"/>
      </w:pPr>
      <w:bookmarkStart w:id="889" w:name="_Toc220490558"/>
      <w:r>
        <w:t>43.61.2b Profils de rive de toiture en zinc CCTB 01.02</w:t>
      </w:r>
      <w:bookmarkEnd w:id="889"/>
    </w:p>
    <w:p w14:paraId="04ADFD10" w14:textId="77777777" w:rsidR="00772179" w:rsidRDefault="00000000">
      <w:pPr>
        <w:pStyle w:val="Author-eSectionHeading6Numberless"/>
      </w:pPr>
      <w:bookmarkStart w:id="890" w:name="_Toc220490559"/>
      <w:r>
        <w:t>43.61.2c Profils de rive de toiture en acier laqué CCTB 01.02</w:t>
      </w:r>
      <w:bookmarkEnd w:id="890"/>
    </w:p>
    <w:p w14:paraId="21D20896" w14:textId="77777777" w:rsidR="00772179" w:rsidRDefault="00000000">
      <w:pPr>
        <w:pStyle w:val="Author-eSectionHeading6Numberless"/>
      </w:pPr>
      <w:bookmarkStart w:id="891" w:name="_Toc220490560"/>
      <w:r>
        <w:t>43.61.2d Profils de rive de toiture en acier inoxydable CCTB 01.02</w:t>
      </w:r>
      <w:bookmarkEnd w:id="891"/>
    </w:p>
    <w:p w14:paraId="11A017B2" w14:textId="77777777" w:rsidR="00772179" w:rsidRDefault="00000000">
      <w:pPr>
        <w:pStyle w:val="Author-eSectionHeading6Numberless"/>
      </w:pPr>
      <w:bookmarkStart w:id="892" w:name="_Toc220490561"/>
      <w:r>
        <w:t>43.61.2e Profils de rive de toiture en matière synthétique CCTB 01.02</w:t>
      </w:r>
      <w:bookmarkEnd w:id="892"/>
    </w:p>
    <w:p w14:paraId="45B9B9CB" w14:textId="77777777" w:rsidR="00772179" w:rsidRDefault="00000000">
      <w:pPr>
        <w:pStyle w:val="Author-eSectionHeading5Numberless"/>
      </w:pPr>
      <w:bookmarkStart w:id="893" w:name="_Toc220490562"/>
      <w:r>
        <w:t>43.61.3 Raccords de rive par éléments souples CCTB 01.02</w:t>
      </w:r>
      <w:bookmarkEnd w:id="893"/>
    </w:p>
    <w:p w14:paraId="01196815" w14:textId="77777777" w:rsidR="00772179" w:rsidRDefault="00000000">
      <w:pPr>
        <w:pStyle w:val="pheading"/>
      </w:pPr>
      <w:r>
        <w:t>DESCRIPTION</w:t>
      </w:r>
    </w:p>
    <w:p w14:paraId="46BA9E1C" w14:textId="77777777" w:rsidR="00772179" w:rsidRDefault="00000000">
      <w:pPr>
        <w:pStyle w:val="pheading"/>
      </w:pPr>
      <w:r>
        <w:t>- Définition / Comprend</w:t>
      </w:r>
    </w:p>
    <w:p w14:paraId="00505FA9" w14:textId="77777777" w:rsidR="00772179" w:rsidRDefault="00000000">
      <w:r>
        <w:t>Cfr 35.14.3 Raccords de rive par éléments souples</w:t>
      </w:r>
    </w:p>
    <w:p w14:paraId="267279EA" w14:textId="77777777" w:rsidR="00772179" w:rsidRDefault="00000000">
      <w:pPr>
        <w:pStyle w:val="Author-eSectionHeading4Numberless"/>
      </w:pPr>
      <w:bookmarkStart w:id="894" w:name="_Toc220490563"/>
      <w:r>
        <w:t>43.62 Solins / contre-solins / bandes de raccords CCTB 01.02</w:t>
      </w:r>
      <w:bookmarkEnd w:id="894"/>
    </w:p>
    <w:p w14:paraId="10BBBD3C" w14:textId="77777777" w:rsidR="00772179" w:rsidRDefault="00000000">
      <w:pPr>
        <w:pStyle w:val="pheading"/>
      </w:pPr>
      <w:r>
        <w:lastRenderedPageBreak/>
        <w:t>DESCRIPTION</w:t>
      </w:r>
    </w:p>
    <w:p w14:paraId="0D5763A4" w14:textId="77777777" w:rsidR="00772179" w:rsidRDefault="00000000">
      <w:pPr>
        <w:pStyle w:val="pheading"/>
      </w:pPr>
      <w:r>
        <w:t>- Définition / Comprend</w:t>
      </w:r>
    </w:p>
    <w:p w14:paraId="6C9650EF" w14:textId="77777777" w:rsidR="00772179" w:rsidRDefault="00000000">
      <w:r>
        <w:t>Cfr 35.15 Solins et bandes de raccords</w:t>
      </w:r>
    </w:p>
    <w:p w14:paraId="5DABD02B" w14:textId="77777777" w:rsidR="00772179" w:rsidRDefault="00000000">
      <w:pPr>
        <w:pStyle w:val="Author-eSectionHeading5Numberless"/>
      </w:pPr>
      <w:bookmarkStart w:id="895" w:name="_Toc220490564"/>
      <w:r>
        <w:t>43.62.1 Solins CCTB 01.02</w:t>
      </w:r>
      <w:bookmarkEnd w:id="895"/>
    </w:p>
    <w:p w14:paraId="235DD877" w14:textId="77777777" w:rsidR="00772179" w:rsidRDefault="00000000">
      <w:pPr>
        <w:pStyle w:val="pheading"/>
      </w:pPr>
      <w:r>
        <w:t>DESCRIPTION</w:t>
      </w:r>
    </w:p>
    <w:p w14:paraId="624614B6" w14:textId="77777777" w:rsidR="00772179" w:rsidRDefault="00000000">
      <w:pPr>
        <w:pStyle w:val="pheading"/>
      </w:pPr>
      <w:r>
        <w:t>- Définition / Comprend</w:t>
      </w:r>
    </w:p>
    <w:p w14:paraId="35956EE6" w14:textId="77777777" w:rsidR="00772179" w:rsidRDefault="00000000">
      <w:r>
        <w:t>Cfr35.15.1 Solins</w:t>
      </w:r>
    </w:p>
    <w:p w14:paraId="40CC2CCB" w14:textId="77777777" w:rsidR="00772179" w:rsidRDefault="00000000">
      <w:pPr>
        <w:pStyle w:val="Author-eSectionHeading5Numberless"/>
      </w:pPr>
      <w:bookmarkStart w:id="896" w:name="_Toc220490565"/>
      <w:r>
        <w:t>43.62.2 Contre-solins CCTB 01.02</w:t>
      </w:r>
      <w:bookmarkEnd w:id="896"/>
    </w:p>
    <w:p w14:paraId="73DF4D45" w14:textId="77777777" w:rsidR="00772179" w:rsidRDefault="00000000">
      <w:pPr>
        <w:pStyle w:val="pheading"/>
      </w:pPr>
      <w:r>
        <w:t>DESCRIPTION</w:t>
      </w:r>
    </w:p>
    <w:p w14:paraId="58A454FD" w14:textId="77777777" w:rsidR="00772179" w:rsidRDefault="00000000">
      <w:pPr>
        <w:pStyle w:val="pheading"/>
      </w:pPr>
      <w:r>
        <w:t>- Définition / Comprend</w:t>
      </w:r>
    </w:p>
    <w:p w14:paraId="335D50BE" w14:textId="77777777" w:rsidR="00772179" w:rsidRDefault="00000000">
      <w:r>
        <w:t>Cfr 35.15.1 Solins</w:t>
      </w:r>
    </w:p>
    <w:p w14:paraId="1DEF52E8" w14:textId="77777777" w:rsidR="00772179" w:rsidRDefault="00000000">
      <w:pPr>
        <w:pStyle w:val="Author-eSectionHeading5Numberless"/>
      </w:pPr>
      <w:bookmarkStart w:id="897" w:name="_Toc220490566"/>
      <w:r>
        <w:t>43.62.3 Bandes de raccord CCTB 01.02</w:t>
      </w:r>
      <w:bookmarkEnd w:id="897"/>
    </w:p>
    <w:p w14:paraId="014C4582" w14:textId="77777777" w:rsidR="00772179" w:rsidRDefault="00000000">
      <w:pPr>
        <w:pStyle w:val="pheading"/>
      </w:pPr>
      <w:r>
        <w:t>DESCRIPTION</w:t>
      </w:r>
    </w:p>
    <w:p w14:paraId="66133AAE" w14:textId="77777777" w:rsidR="00772179" w:rsidRDefault="00000000">
      <w:pPr>
        <w:pStyle w:val="pheading"/>
      </w:pPr>
      <w:r>
        <w:t>- Définition / Comprend</w:t>
      </w:r>
    </w:p>
    <w:p w14:paraId="0ABF16BB" w14:textId="77777777" w:rsidR="00772179" w:rsidRDefault="00000000">
      <w:r>
        <w:t>Cfr 35.15.3 Bandes de raccord</w:t>
      </w:r>
    </w:p>
    <w:p w14:paraId="5FD7C9FD" w14:textId="77777777" w:rsidR="00772179" w:rsidRDefault="00000000">
      <w:pPr>
        <w:pStyle w:val="Author-eSectionHeading4Numberless"/>
      </w:pPr>
      <w:bookmarkStart w:id="898" w:name="_Toc220490567"/>
      <w:r>
        <w:t>43.63 Acrotère / couvre-murs  CCTB 01.02</w:t>
      </w:r>
      <w:bookmarkEnd w:id="898"/>
    </w:p>
    <w:p w14:paraId="746CE8BE" w14:textId="77777777" w:rsidR="00772179" w:rsidRDefault="00000000">
      <w:pPr>
        <w:pStyle w:val="pheading"/>
      </w:pPr>
      <w:r>
        <w:t>DESCRIPTION</w:t>
      </w:r>
    </w:p>
    <w:p w14:paraId="1129A834" w14:textId="77777777" w:rsidR="00772179" w:rsidRDefault="00000000">
      <w:pPr>
        <w:pStyle w:val="pheading"/>
      </w:pPr>
      <w:r>
        <w:t>- Définition / Comprend</w:t>
      </w:r>
    </w:p>
    <w:p w14:paraId="06268B04" w14:textId="77777777" w:rsidR="00772179" w:rsidRDefault="00000000">
      <w:r>
        <w:t>Cfr 21.36.5 Couvre-murs</w:t>
      </w:r>
    </w:p>
    <w:p w14:paraId="0FAFCDCE" w14:textId="77777777" w:rsidR="00772179" w:rsidRDefault="00000000">
      <w:pPr>
        <w:pStyle w:val="Author-eSectionHeading5Numberless"/>
      </w:pPr>
      <w:bookmarkStart w:id="899" w:name="_Toc220490568"/>
      <w:r>
        <w:t>43.63.1 Couvre-murs en pierre CCTB 01.02</w:t>
      </w:r>
      <w:bookmarkEnd w:id="899"/>
    </w:p>
    <w:p w14:paraId="667717E6" w14:textId="77777777" w:rsidR="00772179" w:rsidRDefault="00000000">
      <w:pPr>
        <w:pStyle w:val="Author-eSectionHeading5Numberless"/>
      </w:pPr>
      <w:bookmarkStart w:id="900" w:name="_Toc220490569"/>
      <w:r>
        <w:t>43.63.2 Couvre-murs en béton CCTB 01.02</w:t>
      </w:r>
      <w:bookmarkEnd w:id="900"/>
    </w:p>
    <w:p w14:paraId="01DCB803" w14:textId="77777777" w:rsidR="00772179" w:rsidRDefault="00000000">
      <w:pPr>
        <w:pStyle w:val="Author-eSectionHeading5Numberless"/>
      </w:pPr>
      <w:bookmarkStart w:id="901" w:name="_Toc220490570"/>
      <w:r>
        <w:t>43.63.3 Couvre-murs en terre cuite CCTB 01.02</w:t>
      </w:r>
      <w:bookmarkEnd w:id="901"/>
    </w:p>
    <w:p w14:paraId="0B8BFC52" w14:textId="77777777" w:rsidR="00772179" w:rsidRDefault="00000000">
      <w:pPr>
        <w:pStyle w:val="Author-eSectionHeading5Numberless"/>
      </w:pPr>
      <w:bookmarkStart w:id="902" w:name="_Toc220490571"/>
      <w:r>
        <w:t>43.63.4 Couvre-murs en fibro-ciment CCTB 01.02</w:t>
      </w:r>
      <w:bookmarkEnd w:id="902"/>
    </w:p>
    <w:p w14:paraId="145B963C" w14:textId="77777777" w:rsidR="00772179" w:rsidRDefault="00000000">
      <w:pPr>
        <w:pStyle w:val="Author-eSectionHeading5Numberless"/>
      </w:pPr>
      <w:bookmarkStart w:id="903" w:name="_Toc220490572"/>
      <w:r>
        <w:t>43.63.5 Couvre-murs métalliques CCTB 01.02</w:t>
      </w:r>
      <w:bookmarkEnd w:id="903"/>
    </w:p>
    <w:p w14:paraId="189F27FF" w14:textId="77777777" w:rsidR="00772179" w:rsidRDefault="00000000">
      <w:pPr>
        <w:pStyle w:val="Author-eSectionHeading6Numberless"/>
      </w:pPr>
      <w:bookmarkStart w:id="904" w:name="_Toc220490573"/>
      <w:r>
        <w:t>43.63.5a Couvre-murs en aluminium CCTB 01.02</w:t>
      </w:r>
      <w:bookmarkEnd w:id="904"/>
    </w:p>
    <w:p w14:paraId="2CCE32AC" w14:textId="77777777" w:rsidR="00772179" w:rsidRDefault="00000000">
      <w:pPr>
        <w:pStyle w:val="Author-eSectionHeading6Numberless"/>
      </w:pPr>
      <w:bookmarkStart w:id="905" w:name="_Toc220490574"/>
      <w:r>
        <w:t>43.63.5b Couvre-murs en zinc CCTB 01.02</w:t>
      </w:r>
      <w:bookmarkEnd w:id="905"/>
    </w:p>
    <w:p w14:paraId="7D7AC82F" w14:textId="77777777" w:rsidR="00772179" w:rsidRDefault="00000000">
      <w:pPr>
        <w:pStyle w:val="Author-eSectionHeading6Numberless"/>
      </w:pPr>
      <w:bookmarkStart w:id="906" w:name="_Toc220490575"/>
      <w:r>
        <w:t>43.63.5c Couvre-murs en acier laqué CCTB 01.02</w:t>
      </w:r>
      <w:bookmarkEnd w:id="906"/>
    </w:p>
    <w:p w14:paraId="6A5EB782" w14:textId="77777777" w:rsidR="00772179" w:rsidRDefault="00000000">
      <w:pPr>
        <w:pStyle w:val="Author-eSectionHeading6Numberless"/>
      </w:pPr>
      <w:bookmarkStart w:id="907" w:name="_Toc220490576"/>
      <w:r>
        <w:t>43.63.5d Couvre-murs en acier inoxydable CCTB 01.02</w:t>
      </w:r>
      <w:bookmarkEnd w:id="907"/>
    </w:p>
    <w:p w14:paraId="4EB2E532" w14:textId="77777777" w:rsidR="00772179" w:rsidRDefault="00000000">
      <w:pPr>
        <w:pStyle w:val="Author-eSectionHeading6Numberless"/>
      </w:pPr>
      <w:bookmarkStart w:id="908" w:name="_Toc220490577"/>
      <w:r>
        <w:t>43.63.5e Couvre-murs en plomb</w:t>
      </w:r>
      <w:bookmarkEnd w:id="908"/>
    </w:p>
    <w:p w14:paraId="400F8961" w14:textId="77777777" w:rsidR="00772179" w:rsidRDefault="00000000">
      <w:pPr>
        <w:pStyle w:val="Author-eSectionHeading5Numberless"/>
      </w:pPr>
      <w:bookmarkStart w:id="909" w:name="_Toc220490578"/>
      <w:r>
        <w:t>43.63.6 Couvre-murs en matières synthétiques CCTB 01.02</w:t>
      </w:r>
      <w:bookmarkEnd w:id="909"/>
    </w:p>
    <w:p w14:paraId="2F161C64" w14:textId="77777777" w:rsidR="00772179" w:rsidRDefault="00000000">
      <w:pPr>
        <w:pStyle w:val="Author-eSectionHeading6Numberless"/>
      </w:pPr>
      <w:bookmarkStart w:id="910" w:name="_Toc220490579"/>
      <w:r>
        <w:t>43.63.6a Couvre-murs en matière synthétique CCTB 01.02</w:t>
      </w:r>
      <w:bookmarkEnd w:id="910"/>
    </w:p>
    <w:p w14:paraId="7E4BED1C" w14:textId="77777777" w:rsidR="00772179" w:rsidRDefault="00000000">
      <w:pPr>
        <w:pStyle w:val="Author-eSectionHeading5Numberless"/>
      </w:pPr>
      <w:bookmarkStart w:id="911" w:name="_Toc220490580"/>
      <w:r>
        <w:t>43.63.7 Couvre-murs à base de chaux</w:t>
      </w:r>
      <w:bookmarkEnd w:id="911"/>
    </w:p>
    <w:p w14:paraId="41D441A2" w14:textId="77777777" w:rsidR="00772179" w:rsidRDefault="00000000">
      <w:pPr>
        <w:pStyle w:val="Author-eSectionHeading6Numberless"/>
      </w:pPr>
      <w:bookmarkStart w:id="912" w:name="_Toc220490581"/>
      <w:r>
        <w:t>43.63.7a Couvre-murs à base de chaux</w:t>
      </w:r>
      <w:bookmarkEnd w:id="912"/>
    </w:p>
    <w:p w14:paraId="06E6C470" w14:textId="77777777" w:rsidR="00772179" w:rsidRDefault="00000000">
      <w:pPr>
        <w:pStyle w:val="Author-eSectionHeading5Numberless"/>
      </w:pPr>
      <w:bookmarkStart w:id="913" w:name="_Toc220490582"/>
      <w:r>
        <w:t>43.63.8 Couvre-murs végétaux</w:t>
      </w:r>
      <w:bookmarkEnd w:id="913"/>
    </w:p>
    <w:p w14:paraId="5E0AB555" w14:textId="77777777" w:rsidR="00772179" w:rsidRDefault="00000000">
      <w:pPr>
        <w:pStyle w:val="Author-eSectionHeading6Numberless"/>
      </w:pPr>
      <w:bookmarkStart w:id="914" w:name="_Toc220490583"/>
      <w:r>
        <w:lastRenderedPageBreak/>
        <w:t>43.63.8a Couvre-murs végétaux</w:t>
      </w:r>
      <w:bookmarkEnd w:id="914"/>
    </w:p>
    <w:p w14:paraId="5BDB6401" w14:textId="77777777" w:rsidR="00772179" w:rsidRDefault="00000000">
      <w:pPr>
        <w:pStyle w:val="Author-eSectionHeading4Numberless"/>
      </w:pPr>
      <w:bookmarkStart w:id="915" w:name="_Toc220490584"/>
      <w:r>
        <w:t>43.64 Réalisation de joints CCTB 01.13</w:t>
      </w:r>
      <w:bookmarkEnd w:id="915"/>
    </w:p>
    <w:p w14:paraId="0A986A4F" w14:textId="77777777" w:rsidR="00772179" w:rsidRDefault="00000000">
      <w:pPr>
        <w:pStyle w:val="pheading"/>
      </w:pPr>
      <w:r>
        <w:t>DESCRIPTION</w:t>
      </w:r>
    </w:p>
    <w:p w14:paraId="14331A6A" w14:textId="77777777" w:rsidR="00772179" w:rsidRDefault="00000000">
      <w:pPr>
        <w:pStyle w:val="pheading"/>
      </w:pPr>
      <w:r>
        <w:t>- Définition / Comprend</w:t>
      </w:r>
    </w:p>
    <w:p w14:paraId="07891374" w14:textId="77777777" w:rsidR="00772179" w:rsidRDefault="00000000">
      <w:pPr>
        <w:jc w:val="both"/>
      </w:pPr>
      <w:r>
        <w:t>Ce travail comprend notamment :</w:t>
      </w:r>
    </w:p>
    <w:p w14:paraId="30BBEC6F" w14:textId="77777777" w:rsidR="00772179" w:rsidRDefault="00000000">
      <w:pPr>
        <w:pStyle w:val="Author-eListParagraph"/>
        <w:numPr>
          <w:ilvl w:val="0"/>
          <w:numId w:val="1088"/>
        </w:numPr>
        <w:jc w:val="both"/>
      </w:pPr>
      <w:r>
        <w:t>la vérification préalable des joints à combler ;</w:t>
      </w:r>
    </w:p>
    <w:p w14:paraId="346A2701" w14:textId="77777777" w:rsidR="00772179" w:rsidRDefault="00000000">
      <w:pPr>
        <w:pStyle w:val="Author-eListParagraph"/>
        <w:numPr>
          <w:ilvl w:val="0"/>
          <w:numId w:val="1088"/>
        </w:numPr>
        <w:jc w:val="both"/>
      </w:pPr>
      <w:r>
        <w:t>le nettoyage des joints et des matériaux attenants ;</w:t>
      </w:r>
    </w:p>
    <w:p w14:paraId="6767328B" w14:textId="77777777" w:rsidR="00772179" w:rsidRDefault="00000000">
      <w:pPr>
        <w:pStyle w:val="Author-eListParagraph"/>
        <w:numPr>
          <w:ilvl w:val="0"/>
          <w:numId w:val="1088"/>
        </w:numPr>
        <w:jc w:val="both"/>
      </w:pPr>
      <w:r>
        <w:t>la fourniture et la pose préalable d’un fond de joint ;</w:t>
      </w:r>
    </w:p>
    <w:p w14:paraId="7D0AEEE3" w14:textId="77777777" w:rsidR="00772179" w:rsidRDefault="00000000">
      <w:pPr>
        <w:pStyle w:val="Author-eListParagraph"/>
        <w:numPr>
          <w:ilvl w:val="0"/>
          <w:numId w:val="1088"/>
        </w:numPr>
        <w:jc w:val="both"/>
      </w:pPr>
      <w:r>
        <w:t>l'application du joint de remplissage et l'enlèvement des matériaux excédentaires, le cas échéant ;</w:t>
      </w:r>
    </w:p>
    <w:p w14:paraId="277B65FD" w14:textId="77777777" w:rsidR="00772179" w:rsidRDefault="00000000">
      <w:pPr>
        <w:pStyle w:val="Author-eListParagraph"/>
        <w:numPr>
          <w:ilvl w:val="0"/>
          <w:numId w:val="1088"/>
        </w:numPr>
        <w:jc w:val="both"/>
      </w:pPr>
      <w:r>
        <w:t>la fourniture et la pose d’un profil de désolidarisation, le cas échéant.</w:t>
      </w:r>
    </w:p>
    <w:p w14:paraId="44046790" w14:textId="77777777" w:rsidR="00772179" w:rsidRDefault="00000000">
      <w:pPr>
        <w:pStyle w:val="Author-eSectionHeading5Numberless"/>
      </w:pPr>
      <w:bookmarkStart w:id="916" w:name="_Toc220490585"/>
      <w:r>
        <w:t>43.64.1 Revêtements de façade - joints de tassement CCTB 01.13</w:t>
      </w:r>
      <w:bookmarkEnd w:id="916"/>
    </w:p>
    <w:p w14:paraId="7805D22E" w14:textId="77777777" w:rsidR="00772179" w:rsidRDefault="00000000">
      <w:pPr>
        <w:pStyle w:val="pheading"/>
      </w:pPr>
      <w:r>
        <w:t>DESCRIPTION</w:t>
      </w:r>
    </w:p>
    <w:p w14:paraId="125D2ADF" w14:textId="77777777" w:rsidR="00772179" w:rsidRDefault="00000000">
      <w:pPr>
        <w:pStyle w:val="pheading"/>
      </w:pPr>
      <w:r>
        <w:t>- Définition / Comprend</w:t>
      </w:r>
    </w:p>
    <w:p w14:paraId="1B425FBE" w14:textId="77777777" w:rsidR="00772179" w:rsidRDefault="00000000">
      <w:r>
        <w:t>Le poste " joints de tassement " comprend tous les matériaux, fournitures et travaux, en vue de la réalisation des joints de raccord et/ou de mouvement décrits dans le cahier spécial des charges. Conformément aux dispositions générales et/ou spécifiques du cahier spécial des charges, les prix unitaires compris dans ce poste comprennent toujours, soit selon la ventilation dans le métré récapitulatif, soit dans leur totalité :</w:t>
      </w:r>
    </w:p>
    <w:p w14:paraId="5C5FAE60" w14:textId="77777777" w:rsidR="00772179" w:rsidRDefault="00000000">
      <w:pPr>
        <w:pStyle w:val="Author-eListParagraph"/>
        <w:numPr>
          <w:ilvl w:val="0"/>
          <w:numId w:val="1089"/>
        </w:numPr>
      </w:pPr>
      <w:r>
        <w:t>La vérification préalable des joints sur place;</w:t>
      </w:r>
    </w:p>
    <w:p w14:paraId="5DB1751C" w14:textId="77777777" w:rsidR="00772179" w:rsidRDefault="00000000">
      <w:pPr>
        <w:pStyle w:val="Author-eListParagraph"/>
        <w:numPr>
          <w:ilvl w:val="0"/>
          <w:numId w:val="1089"/>
        </w:numPr>
      </w:pPr>
      <w:r>
        <w:t>Le nettoyage des joints ou des matériaux attenants qui constituent le joint;</w:t>
      </w:r>
    </w:p>
    <w:p w14:paraId="7BE6A403" w14:textId="77777777" w:rsidR="00772179" w:rsidRDefault="00000000">
      <w:pPr>
        <w:pStyle w:val="Author-eListParagraph"/>
        <w:numPr>
          <w:ilvl w:val="0"/>
          <w:numId w:val="1089"/>
        </w:numPr>
      </w:pPr>
      <w:r>
        <w:t>Eventuellement, la pose de matériaux de remplissage des joints qui serviront de fond ou de support pour le mortier de jointoiement;</w:t>
      </w:r>
    </w:p>
    <w:p w14:paraId="5A2EF60F" w14:textId="77777777" w:rsidR="00772179" w:rsidRDefault="00000000">
      <w:pPr>
        <w:pStyle w:val="Author-eListParagraph"/>
        <w:numPr>
          <w:ilvl w:val="0"/>
          <w:numId w:val="1089"/>
        </w:numPr>
      </w:pPr>
      <w:r>
        <w:t>L'application du mortier de jointoiement et l'enlèvement du matériau excédentaire;</w:t>
      </w:r>
    </w:p>
    <w:p w14:paraId="56A277BD" w14:textId="77777777" w:rsidR="00772179" w:rsidRDefault="00000000">
      <w:pPr>
        <w:pStyle w:val="Author-eListParagraph"/>
        <w:numPr>
          <w:ilvl w:val="0"/>
          <w:numId w:val="1089"/>
        </w:numPr>
      </w:pPr>
      <w:r>
        <w:t xml:space="preserve">L'évacuation et la gestion des déchets issus de travaux de démolition, de rénovation ou de construction font l'objet d'un ou plusieurs postes spécifiques, détaillés en section </w:t>
      </w:r>
      <w:r>
        <w:rPr>
          <w:color w:val="0000FF"/>
        </w:rPr>
        <w:t>07 Déchets, matériaux et éléments réemployables</w:t>
      </w:r>
      <w:r>
        <w:t>.</w:t>
      </w:r>
    </w:p>
    <w:p w14:paraId="31D862C8" w14:textId="77777777" w:rsidR="00772179" w:rsidRDefault="00000000">
      <w:r>
        <w:t>Attention</w:t>
      </w:r>
    </w:p>
    <w:p w14:paraId="55525352" w14:textId="77777777" w:rsidR="00772179" w:rsidRDefault="00000000">
      <w:pPr>
        <w:pStyle w:val="Author-eListParagraph"/>
        <w:numPr>
          <w:ilvl w:val="0"/>
          <w:numId w:val="1090"/>
        </w:numPr>
      </w:pPr>
      <w:r>
        <w:t>Les joints en maçonnerie du parement de façade sont compris dans le chapitre 21.3 Maçonneries de parement.</w:t>
      </w:r>
    </w:p>
    <w:p w14:paraId="52534143" w14:textId="77777777" w:rsidR="00772179" w:rsidRDefault="00000000">
      <w:pPr>
        <w:pStyle w:val="pheading"/>
      </w:pPr>
      <w:r>
        <w:t>DOCUMENTS DE RÉFÉRENCE</w:t>
      </w:r>
    </w:p>
    <w:p w14:paraId="5EFB8453" w14:textId="77777777" w:rsidR="00772179" w:rsidRDefault="00000000">
      <w:pPr>
        <w:pStyle w:val="pheading"/>
      </w:pPr>
      <w:r>
        <w:t>- Matériau</w:t>
      </w:r>
    </w:p>
    <w:p w14:paraId="72104DF3" w14:textId="77777777" w:rsidR="00772179" w:rsidRDefault="00000000">
      <w:r>
        <w:t>[NIT 208, Jointoiement des maçonneries.] </w:t>
      </w:r>
    </w:p>
    <w:p w14:paraId="768B4F65" w14:textId="77777777" w:rsidR="00772179" w:rsidRDefault="00000000">
      <w:r>
        <w:t>[NIT 257, Enduits sur isolation extérieure (ETICS) (remplace partiellement la NIT 209)]</w:t>
      </w:r>
    </w:p>
    <w:p w14:paraId="5971DA17" w14:textId="77777777" w:rsidR="00772179" w:rsidRDefault="00000000">
      <w:r>
        <w:t>[NIT 289, Les enduits extérieurs sur maçonnerie et béton]</w:t>
      </w:r>
    </w:p>
    <w:p w14:paraId="7FC87CB1" w14:textId="77777777" w:rsidR="00772179" w:rsidRDefault="00000000">
      <w:r>
        <w:t>[NIT 224, Hydrofugation de surface (remplace la NIT 140).]</w:t>
      </w:r>
    </w:p>
    <w:p w14:paraId="4964986C" w14:textId="77777777" w:rsidR="00772179" w:rsidRDefault="00000000">
      <w:r>
        <w:t>[NIT 252, L'humidité dans les constructions. Particularités de l'humidité ascensionnelle (remplace la NIT 210).]</w:t>
      </w:r>
    </w:p>
    <w:p w14:paraId="33384678" w14:textId="77777777" w:rsidR="00772179" w:rsidRDefault="00000000">
      <w:r>
        <w:t>[NBN ISO 2444, Joints dans le bâtiment - Vocabulaire]</w:t>
      </w:r>
    </w:p>
    <w:p w14:paraId="10F43E44" w14:textId="77777777" w:rsidR="00772179" w:rsidRDefault="00000000">
      <w:r>
        <w:t>[NBN ISO 6589, Joints dans le bâtiment - Méthode d'essai en laboratoire de perméabilité à l'air des joints]</w:t>
      </w:r>
    </w:p>
    <w:p w14:paraId="050573EC" w14:textId="77777777" w:rsidR="00772179" w:rsidRDefault="00000000">
      <w:r>
        <w:t>[NBN EN ISO 6927, Mastics pour le bâtiment et le génie civil - Vocabulaire (ISO 6927:2021)]</w:t>
      </w:r>
    </w:p>
    <w:p w14:paraId="3D3CE792" w14:textId="77777777" w:rsidR="00772179" w:rsidRDefault="00000000">
      <w:r>
        <w:lastRenderedPageBreak/>
        <w:t>[NBN ISO 7361, Normes de performance dans le bâtiment - Présentation des performances des façades construites avec des composants de même origine]</w:t>
      </w:r>
    </w:p>
    <w:p w14:paraId="648CA6C6" w14:textId="77777777" w:rsidR="00772179" w:rsidRDefault="00000000">
      <w:r>
        <w:t>[NBN ISO 7727, Joints dans le bâtiment - Principes de jonction des composants de bâtiment - Aptitude des joints à s'accommoder des écarts dimensionnels en cours de construction]</w:t>
      </w:r>
    </w:p>
    <w:p w14:paraId="02E6F8DD" w14:textId="77777777" w:rsidR="00772179" w:rsidRDefault="00000000">
      <w:r>
        <w:t>[NBN ISO 7728, Assemblages horizontaux courants entre une façade en composants préfabriqués en béton ordinaire et un plancher en béton - Propriétés, caractéristiques et éléments de la classification]</w:t>
      </w:r>
    </w:p>
    <w:p w14:paraId="71E5DE38" w14:textId="77777777" w:rsidR="00772179" w:rsidRDefault="00000000">
      <w:r>
        <w:t>[NBN EN ISO 8339, Construction immobilière - Mastics - Détermination des propriétés de traction (Allongement jusqu'à rupture) (ISO 8339:2005)]</w:t>
      </w:r>
    </w:p>
    <w:p w14:paraId="1A8B036F" w14:textId="77777777" w:rsidR="00772179" w:rsidRDefault="00000000">
      <w:r>
        <w:t>[NBN EN ISO 8394 série, Construction immobilière - Produits pour joints - Détermination de l’extrudabilité des mastics à un composant]</w:t>
      </w:r>
    </w:p>
    <w:p w14:paraId="620F71E5" w14:textId="77777777" w:rsidR="00772179" w:rsidRDefault="00000000">
      <w:r>
        <w:t>[NBN EN ISO 8394-2, Bâtiments et ouvrages de génie civil - Détermination de l'extrudabilité des mastics - Partie 2: À l'aide d'un appareil normalisé (ISO 8394-2:2017)]</w:t>
      </w:r>
    </w:p>
    <w:p w14:paraId="05913D5B" w14:textId="77777777" w:rsidR="00772179" w:rsidRDefault="00000000">
      <w:r>
        <w:t>[NBN EN ISO 9046, Mastics pour le bâtiment et le génie civil - Détermination des propriétés d'adhésivité/cohésion à température constante (ISO 9046:2021)]</w:t>
      </w:r>
    </w:p>
    <w:p w14:paraId="2FEB7366" w14:textId="77777777" w:rsidR="00772179" w:rsidRDefault="00000000">
      <w:r>
        <w:t>[NBN EN ISO 9047, Construction immobilière - Produits pour joints - Détermination des propriétés d'adhésivité/cohésion des mastics à température variable (ISO 9047:2001)]</w:t>
      </w:r>
    </w:p>
    <w:p w14:paraId="76B6D164" w14:textId="77777777" w:rsidR="00772179" w:rsidRDefault="00000000">
      <w:r>
        <w:t>[NBN EN ISO 7390, Construction immobilière - Produits pour joints - Détermination de la résistance au coulage des mastics (ISO 7390:2003)]</w:t>
      </w:r>
    </w:p>
    <w:p w14:paraId="5E8BD227" w14:textId="77777777" w:rsidR="00772179" w:rsidRDefault="00000000">
      <w:r>
        <w:t>[NBN ISO 7729, Assemblages verticaux courants entre deux composants de façade en béton ordinaire - Propriétés, caractéristiques et éléments de la classification]</w:t>
      </w:r>
    </w:p>
    <w:p w14:paraId="350A0081" w14:textId="77777777" w:rsidR="00772179" w:rsidRDefault="00000000">
      <w:r>
        <w:t>[NBN EN ISO 10563, Mastics pour bâtiments et ouvrages de génie civil - Détermination des variations de masse et de volume (ISO 10563:2023)]</w:t>
      </w:r>
    </w:p>
    <w:p w14:paraId="5BC222A3" w14:textId="77777777" w:rsidR="00772179" w:rsidRDefault="00000000">
      <w:r>
        <w:t>[NBN EN ISO 10590, Construction immobilière - Mastics - Détermination des propriétés de déformation des mastics sous traction maintenue après immersion dans l'eau (ISO 10590:2005)]  </w:t>
      </w:r>
    </w:p>
    <w:p w14:paraId="41B7B5E2" w14:textId="77777777" w:rsidR="00772179" w:rsidRDefault="00000000">
      <w:r>
        <w:t>[NBN EN ISO 10591, Mastics pour bâtiments et ouvrages de génie civil - Détermination des propriétés d'adhésivité/cohésion des mastics après immersion dans l'eau(ISO 10591:2021)]</w:t>
      </w:r>
    </w:p>
    <w:p w14:paraId="3FC983CE" w14:textId="77777777" w:rsidR="00772179" w:rsidRDefault="00000000">
      <w:r>
        <w:t>[NBN EN ISO 11432, Mastics pour bâtiments et ouvrages de génie civil - Détermination de la résistance à la compression (ISO 11432:2021)]</w:t>
      </w:r>
    </w:p>
    <w:p w14:paraId="30D25479" w14:textId="77777777" w:rsidR="00772179" w:rsidRDefault="00000000">
      <w:pPr>
        <w:ind w:left="750"/>
      </w:pPr>
      <w:r>
        <w:t> </w:t>
      </w:r>
    </w:p>
    <w:p w14:paraId="0FFF693F" w14:textId="77777777" w:rsidR="00772179" w:rsidRDefault="00000000">
      <w:pPr>
        <w:pStyle w:val="pheading"/>
      </w:pPr>
      <w:r>
        <w:t>- Exécution</w:t>
      </w:r>
    </w:p>
    <w:p w14:paraId="54754DB5" w14:textId="77777777" w:rsidR="00772179" w:rsidRDefault="00000000">
      <w:r>
        <w:t> [NIT 124]</w:t>
      </w:r>
    </w:p>
    <w:p w14:paraId="3332FEF5" w14:textId="77777777" w:rsidR="00772179" w:rsidRDefault="00000000">
      <w:r>
        <w:t>[NBN ISO 2445]  </w:t>
      </w:r>
    </w:p>
    <w:p w14:paraId="466BCD8D" w14:textId="77777777" w:rsidR="00772179" w:rsidRDefault="00000000">
      <w:r>
        <w:t>[NIT 271]</w:t>
      </w:r>
    </w:p>
    <w:p w14:paraId="30B97E2E" w14:textId="77777777" w:rsidR="00772179" w:rsidRDefault="00000000">
      <w:pPr>
        <w:pStyle w:val="Author-eSectionHeading6Numberless"/>
      </w:pPr>
      <w:bookmarkStart w:id="917" w:name="_Toc220490586"/>
      <w:r>
        <w:t>43.64.1a Revêtements de façade - joints de tassement - réalisé in-situ CCTB 01.02</w:t>
      </w:r>
      <w:bookmarkEnd w:id="917"/>
    </w:p>
    <w:p w14:paraId="572A6A06" w14:textId="77777777" w:rsidR="00772179" w:rsidRDefault="00000000">
      <w:pPr>
        <w:pStyle w:val="Author-eSectionHeading6Numberless"/>
      </w:pPr>
      <w:bookmarkStart w:id="918" w:name="_Toc220490587"/>
      <w:r>
        <w:t>43.64.1b Revêtements de façade - joints de tassement - systèmes préfabriqués CCTB 01.02</w:t>
      </w:r>
      <w:bookmarkEnd w:id="918"/>
    </w:p>
    <w:p w14:paraId="113254AE" w14:textId="77777777" w:rsidR="00772179" w:rsidRDefault="00000000">
      <w:pPr>
        <w:pStyle w:val="Author-eSectionHeading5Numberless"/>
      </w:pPr>
      <w:bookmarkStart w:id="919" w:name="_Toc220490588"/>
      <w:r>
        <w:t>43.64.2 Revêtements de façade - joints de dilatation CCTB 01.12</w:t>
      </w:r>
      <w:bookmarkEnd w:id="919"/>
    </w:p>
    <w:p w14:paraId="52E74B49" w14:textId="77777777" w:rsidR="00772179" w:rsidRDefault="00000000">
      <w:pPr>
        <w:pStyle w:val="pheading"/>
      </w:pPr>
      <w:bookmarkStart w:id="920" w:name="999"/>
      <w:bookmarkEnd w:id="920"/>
      <w:r>
        <w:t>DOCUMENTS DE RÉFÉRENCE</w:t>
      </w:r>
    </w:p>
    <w:p w14:paraId="0E401294" w14:textId="77777777" w:rsidR="00772179" w:rsidRDefault="00000000">
      <w:pPr>
        <w:pStyle w:val="pheading"/>
      </w:pPr>
      <w:r>
        <w:t>- Matériau</w:t>
      </w:r>
    </w:p>
    <w:p w14:paraId="4B157030" w14:textId="77777777" w:rsidR="00772179" w:rsidRDefault="00000000">
      <w:r>
        <w:t>[NIT 257, Enduits sur isolation extérieure (ETICS) (remplace partiellement la NIT 209)]</w:t>
      </w:r>
    </w:p>
    <w:p w14:paraId="107DB2AA" w14:textId="77777777" w:rsidR="00772179" w:rsidRDefault="00000000">
      <w:r>
        <w:t>[NIT 279, Revêtements durs sur isolation extérieure (ETICS avec revêtements durs).]</w:t>
      </w:r>
    </w:p>
    <w:p w14:paraId="413BD356" w14:textId="77777777" w:rsidR="00772179" w:rsidRDefault="00000000">
      <w:r>
        <w:t>[NBN ISO 6589, Joints dans le bâtiment - Méthode d'essai en laboratoire de perméabilité à l'air des joints]</w:t>
      </w:r>
    </w:p>
    <w:p w14:paraId="2F277132" w14:textId="77777777" w:rsidR="00772179" w:rsidRDefault="00000000">
      <w:r>
        <w:lastRenderedPageBreak/>
        <w:t>[NBN EN ISO 6927, Mastics pour le bâtiment et le génie civil - Vocabulaire (ISO 6927:2021)]</w:t>
      </w:r>
    </w:p>
    <w:p w14:paraId="172E54AC" w14:textId="77777777" w:rsidR="00772179" w:rsidRDefault="00000000">
      <w:r>
        <w:t>[NBN ISO 7727, Joints dans le bâtiment - Principes de jonction des composants de bâtiment - Aptitude des joints à s'accommoder des écarts dimensionnels en cours de construction]</w:t>
      </w:r>
    </w:p>
    <w:p w14:paraId="6773053A" w14:textId="77777777" w:rsidR="00772179" w:rsidRDefault="00000000">
      <w:r>
        <w:t>[NBN EN ISO 8339, Construction immobilière - Mastics - Détermination des propriétés de traction (Allongement jusqu'à rupture) (ISO 8339:2005)]</w:t>
      </w:r>
    </w:p>
    <w:p w14:paraId="429C6B7F" w14:textId="77777777" w:rsidR="00772179" w:rsidRDefault="00000000">
      <w:r>
        <w:t>[NBN EN ISO 8394 série, Construction immobilière - Produits pour joints - Détermination de l’extrudabilité des mastics à un composant]</w:t>
      </w:r>
    </w:p>
    <w:p w14:paraId="05D4B06C" w14:textId="77777777" w:rsidR="00772179" w:rsidRDefault="00000000">
      <w:r>
        <w:t>[NBN EN ISO 9046, Mastics pour le bâtiment et le génie civil - Détermination des propriétés d'adhésivité/cohésion à température constante (ISO 9046:2021)]</w:t>
      </w:r>
    </w:p>
    <w:p w14:paraId="4B80C513" w14:textId="77777777" w:rsidR="00772179" w:rsidRDefault="00000000">
      <w:r>
        <w:t>[NBN EN ISO 9047, Construction immobilière - Produits pour joints - Détermination des propriétés d'adhésivité/cohésion des mastics à température variable (ISO 9047:2001)]</w:t>
      </w:r>
    </w:p>
    <w:p w14:paraId="26153954" w14:textId="77777777" w:rsidR="00772179" w:rsidRDefault="00000000">
      <w:r>
        <w:t>[NBN EN ISO 7390, Construction immobilière - Produits pour joints - Détermination de la résistance au coulage des mastics (ISO 7390:2003)]</w:t>
      </w:r>
    </w:p>
    <w:p w14:paraId="174513AD" w14:textId="77777777" w:rsidR="00772179" w:rsidRDefault="00000000">
      <w:r>
        <w:t>[NBN EN ISO 10563, Mastics pour bâtiments et ouvrages de génie civil - Détermination des variations de masse et de volume (ISO 10563:2023)]</w:t>
      </w:r>
    </w:p>
    <w:p w14:paraId="50108440" w14:textId="77777777" w:rsidR="00772179" w:rsidRDefault="00000000">
      <w:r>
        <w:t>[NBN EN ISO 10590, Construction immobilière - Mastics - Détermination des propriétés de déformation des mastics sous traction maintenue après immersion dans l'eau (ISO 10590:2005)] </w:t>
      </w:r>
    </w:p>
    <w:p w14:paraId="24AE7221" w14:textId="77777777" w:rsidR="00772179" w:rsidRDefault="00000000">
      <w:r>
        <w:t>[NBN EN ISO 10591, Mastics pour bâtiments et ouvrages de génie civil - Détermination des propriétés d'adhésivité/cohésion des mastics après immersion dans l'eau(ISO 10591:2021)]</w:t>
      </w:r>
    </w:p>
    <w:p w14:paraId="535D1E86" w14:textId="77777777" w:rsidR="00772179" w:rsidRDefault="00000000">
      <w:r>
        <w:t>[NBN EN ISO 11432, Mastics pour bâtiments et ouvrages de génie civil - Détermination de la résistance à la compression (ISO 11432:2021)]</w:t>
      </w:r>
    </w:p>
    <w:p w14:paraId="3668DFE9" w14:textId="77777777" w:rsidR="00772179" w:rsidRDefault="00000000">
      <w:r>
        <w:t>[NBN EN ISO 11600, Construction immobilière - Produits pour joints - Classification et exigences pour les mastics (ISO 11600:2002)]</w:t>
      </w:r>
    </w:p>
    <w:p w14:paraId="7062B054" w14:textId="77777777" w:rsidR="00772179" w:rsidRDefault="00000000">
      <w:pPr>
        <w:pStyle w:val="pheading"/>
      </w:pPr>
      <w:r>
        <w:t>- Exécution</w:t>
      </w:r>
    </w:p>
    <w:p w14:paraId="151379AF" w14:textId="77777777" w:rsidR="00772179" w:rsidRDefault="00000000">
      <w:r>
        <w:t>[NIT 124, Joints d'étanchéité en mastic entre éléments de façade. Conception et exécution. (remplace la NIT 107).]</w:t>
      </w:r>
    </w:p>
    <w:p w14:paraId="272FE918" w14:textId="77777777" w:rsidR="00772179" w:rsidRDefault="00000000">
      <w:pPr>
        <w:pStyle w:val="Author-eSectionHeading6Numberless"/>
      </w:pPr>
      <w:bookmarkStart w:id="921" w:name="_Toc220490589"/>
      <w:r>
        <w:t>43.64.2a Revêtements de façade - joints de dilatation - réalisés in-situ CCTB 01.12</w:t>
      </w:r>
      <w:bookmarkEnd w:id="921"/>
    </w:p>
    <w:p w14:paraId="740E123C" w14:textId="77777777" w:rsidR="00772179" w:rsidRDefault="00000000">
      <w:pPr>
        <w:pStyle w:val="pheading"/>
      </w:pPr>
      <w:r>
        <w:t>DESCRIPTION</w:t>
      </w:r>
    </w:p>
    <w:p w14:paraId="5ADE83CD" w14:textId="77777777" w:rsidR="00772179" w:rsidRDefault="00000000">
      <w:pPr>
        <w:pStyle w:val="pheading"/>
      </w:pPr>
      <w:r>
        <w:t>- Définition / Comprend</w:t>
      </w:r>
    </w:p>
    <w:p w14:paraId="257340FE" w14:textId="77777777" w:rsidR="00772179" w:rsidRDefault="00000000">
      <w:pPr>
        <w:jc w:val="both"/>
      </w:pPr>
      <w:r>
        <w:t>Il s’agit du prolongement des joints de dilatation présents dans la structure portante dans les revêtements de façade de type Etics, plaquettes et pierres sur isolant, etc…</w:t>
      </w:r>
    </w:p>
    <w:p w14:paraId="51910ADE" w14:textId="77777777" w:rsidR="00772179" w:rsidRDefault="00000000">
      <w:pPr>
        <w:pStyle w:val="pheading"/>
      </w:pPr>
      <w:r>
        <w:t>MATÉRIAUX</w:t>
      </w:r>
    </w:p>
    <w:p w14:paraId="445AC223" w14:textId="77777777" w:rsidR="00772179" w:rsidRDefault="00000000">
      <w:pPr>
        <w:pStyle w:val="pheading"/>
      </w:pPr>
      <w:r>
        <w:t>- Caractéristiques générales</w:t>
      </w:r>
    </w:p>
    <w:p w14:paraId="68D68A3C" w14:textId="77777777" w:rsidR="00772179" w:rsidRDefault="00000000">
      <w:pPr>
        <w:jc w:val="both"/>
      </w:pPr>
      <w:r>
        <w:t>Le cordon d'étanchéité et le joint de remplissage sont adaptés au type de joint à combler (forme, dimensions, déformation), au degré de sollicitation et compatibles avec les matériaux attenants. Ils sont également résistants aux influences atmosphériques et chimiques.</w:t>
      </w:r>
    </w:p>
    <w:p w14:paraId="0982119E" w14:textId="77777777" w:rsidR="00772179" w:rsidRDefault="00000000">
      <w:pPr>
        <w:jc w:val="both"/>
      </w:pPr>
      <w:r>
        <w:rPr>
          <w:b/>
        </w:rPr>
        <w:t>Fond de joint</w:t>
      </w:r>
    </w:p>
    <w:p w14:paraId="5DEA8A80" w14:textId="77777777" w:rsidR="00772179" w:rsidRDefault="00000000">
      <w:pPr>
        <w:pStyle w:val="Author-eListParagraph"/>
        <w:numPr>
          <w:ilvl w:val="0"/>
          <w:numId w:val="1091"/>
        </w:numPr>
      </w:pPr>
      <w:r>
        <w:rPr>
          <w:rStyle w:val="optioncarChar"/>
        </w:rPr>
        <w:t xml:space="preserve">Cordon pré-comprimé en mousse de polyuréthane imprégnée d’un produit à base de paraffine chlorée et de néoprène </w:t>
      </w:r>
      <w:r>
        <w:t xml:space="preserve">(par défaut) </w:t>
      </w:r>
      <w:r>
        <w:rPr>
          <w:rStyle w:val="optioncarChar"/>
        </w:rPr>
        <w:t>/ ***</w:t>
      </w:r>
      <w:r>
        <w:t>.</w:t>
      </w:r>
    </w:p>
    <w:p w14:paraId="09D041DF" w14:textId="77777777" w:rsidR="00772179" w:rsidRDefault="00000000">
      <w:pPr>
        <w:pStyle w:val="Author-eListParagraph"/>
        <w:numPr>
          <w:ilvl w:val="0"/>
          <w:numId w:val="1091"/>
        </w:numPr>
      </w:pPr>
      <w:r>
        <w:t>Dimensions : l’épaisseur du cordon est d'au moins deux fois celle du joint à combler.</w:t>
      </w:r>
    </w:p>
    <w:p w14:paraId="157BB4AC" w14:textId="77777777" w:rsidR="00772179" w:rsidRDefault="00000000">
      <w:pPr>
        <w:jc w:val="both"/>
      </w:pPr>
      <w:r>
        <w:rPr>
          <w:b/>
        </w:rPr>
        <w:t>Joint de remplissage</w:t>
      </w:r>
    </w:p>
    <w:p w14:paraId="45CEE7DA" w14:textId="77777777" w:rsidR="00772179" w:rsidRDefault="00000000">
      <w:pPr>
        <w:jc w:val="both"/>
      </w:pPr>
      <w:r>
        <w:rPr>
          <w:rStyle w:val="optioncarChar"/>
        </w:rPr>
        <w:t xml:space="preserve">Mastic élastique élastomère </w:t>
      </w:r>
      <w:r>
        <w:t>(par défaut)</w:t>
      </w:r>
      <w:r>
        <w:rPr>
          <w:rStyle w:val="optioncarChar"/>
        </w:rPr>
        <w:t xml:space="preserve"> / Type F / ***</w:t>
      </w:r>
    </w:p>
    <w:p w14:paraId="2DA166F8" w14:textId="77777777" w:rsidR="00772179" w:rsidRDefault="00000000">
      <w:pPr>
        <w:jc w:val="both"/>
      </w:pPr>
      <w:r>
        <w:rPr>
          <w:b/>
        </w:rPr>
        <w:t>(soit par défaut)</w:t>
      </w:r>
    </w:p>
    <w:p w14:paraId="23F80A98" w14:textId="77777777" w:rsidR="00772179" w:rsidRDefault="00000000">
      <w:pPr>
        <w:jc w:val="both"/>
      </w:pPr>
      <w:r>
        <w:rPr>
          <w:rStyle w:val="soitChar"/>
          <w:u w:val="single"/>
        </w:rPr>
        <w:lastRenderedPageBreak/>
        <w:t>Mastic élastique élastomère</w:t>
      </w:r>
      <w:r>
        <w:rPr>
          <w:rStyle w:val="soitChar"/>
        </w:rPr>
        <w:t xml:space="preserve"> à une seule composante à base de silicones </w:t>
      </w:r>
      <w:r>
        <w:rPr>
          <w:rStyle w:val="optioncarChar"/>
        </w:rPr>
        <w:t>neutres de type à peindre / acides qui ne peuvent pas être peints.</w:t>
      </w:r>
    </w:p>
    <w:p w14:paraId="7DBB1C2B" w14:textId="77777777" w:rsidR="00772179" w:rsidRDefault="00000000">
      <w:pPr>
        <w:jc w:val="both"/>
      </w:pPr>
      <w:r>
        <w:rPr>
          <w:b/>
        </w:rPr>
        <w:t>(soit)</w:t>
      </w:r>
    </w:p>
    <w:p w14:paraId="0E348B3F" w14:textId="77777777" w:rsidR="00772179" w:rsidRDefault="00000000">
      <w:pPr>
        <w:jc w:val="both"/>
      </w:pPr>
      <w:r>
        <w:rPr>
          <w:rStyle w:val="soitChar"/>
          <w:u w:val="single"/>
        </w:rPr>
        <w:t>Type F</w:t>
      </w:r>
      <w:r>
        <w:rPr>
          <w:rStyle w:val="soitChar"/>
        </w:rPr>
        <w:t> appartenant selon la [NBN EN ISO 11600], au type F et répondant aux performances suivantes :</w:t>
      </w:r>
    </w:p>
    <w:p w14:paraId="10CE997A" w14:textId="77777777" w:rsidR="00772179" w:rsidRDefault="00000000">
      <w:pPr>
        <w:pStyle w:val="Author-eListParagraph"/>
        <w:numPr>
          <w:ilvl w:val="0"/>
          <w:numId w:val="1092"/>
        </w:numPr>
      </w:pPr>
      <w:r>
        <w:rPr>
          <w:rStyle w:val="soitChar"/>
        </w:rPr>
        <w:t xml:space="preserve">Classe : </w:t>
      </w:r>
      <w:r>
        <w:rPr>
          <w:rStyle w:val="optioncarChar"/>
        </w:rPr>
        <w:t xml:space="preserve">25 </w:t>
      </w:r>
      <w:r>
        <w:t>(par défaut)</w:t>
      </w:r>
      <w:r>
        <w:rPr>
          <w:rStyle w:val="optioncarChar"/>
        </w:rPr>
        <w:t xml:space="preserve"> / 20 / 12,5 / 7,5</w:t>
      </w:r>
    </w:p>
    <w:p w14:paraId="60E28987" w14:textId="77777777" w:rsidR="00772179" w:rsidRDefault="00000000">
      <w:pPr>
        <w:pStyle w:val="Author-eListParagraph"/>
        <w:numPr>
          <w:ilvl w:val="0"/>
          <w:numId w:val="1092"/>
        </w:numPr>
      </w:pPr>
      <w:r>
        <w:rPr>
          <w:rStyle w:val="soitChar"/>
        </w:rPr>
        <w:t xml:space="preserve">Sous-classe :  </w:t>
      </w:r>
      <w:r>
        <w:rPr>
          <w:rStyle w:val="optioncarChar"/>
        </w:rPr>
        <w:t xml:space="preserve">LM </w:t>
      </w:r>
      <w:r>
        <w:t>(par défaut)</w:t>
      </w:r>
      <w:r>
        <w:rPr>
          <w:rStyle w:val="optioncarChar"/>
        </w:rPr>
        <w:t xml:space="preserve"> / HM</w:t>
      </w:r>
    </w:p>
    <w:p w14:paraId="6DC2E053" w14:textId="77777777" w:rsidR="00772179" w:rsidRDefault="00000000">
      <w:pPr>
        <w:pStyle w:val="Author-eListParagraph"/>
        <w:numPr>
          <w:ilvl w:val="0"/>
          <w:numId w:val="1092"/>
        </w:numPr>
      </w:pPr>
      <w:r>
        <w:rPr>
          <w:rStyle w:val="soitChar"/>
        </w:rPr>
        <w:t xml:space="preserve">Largeur : </w:t>
      </w:r>
      <w:r>
        <w:rPr>
          <w:rStyle w:val="optioncarChar"/>
        </w:rPr>
        <w:t xml:space="preserve">10 </w:t>
      </w:r>
      <w:r>
        <w:t>(par défaut)</w:t>
      </w:r>
      <w:r>
        <w:rPr>
          <w:rStyle w:val="optioncarChar"/>
        </w:rPr>
        <w:t xml:space="preserve"> / 20 / 30 / ***</w:t>
      </w:r>
      <w:r>
        <w:rPr>
          <w:rStyle w:val="soitChar"/>
        </w:rPr>
        <w:t xml:space="preserve"> mm</w:t>
      </w:r>
    </w:p>
    <w:p w14:paraId="6824B9A6" w14:textId="77777777" w:rsidR="00772179" w:rsidRDefault="00000000">
      <w:pPr>
        <w:jc w:val="both"/>
      </w:pPr>
      <w:r>
        <w:rPr>
          <w:b/>
        </w:rPr>
        <w:t>(soit)</w:t>
      </w:r>
    </w:p>
    <w:p w14:paraId="63F30BEA" w14:textId="77777777" w:rsidR="00772179" w:rsidRDefault="00000000">
      <w:pPr>
        <w:jc w:val="both"/>
      </w:pPr>
      <w:r>
        <w:rPr>
          <w:rStyle w:val="optioncarChar"/>
        </w:rPr>
        <w:t>***</w:t>
      </w:r>
    </w:p>
    <w:p w14:paraId="7E1CFE73" w14:textId="77777777" w:rsidR="00772179" w:rsidRDefault="00000000">
      <w:pPr>
        <w:pStyle w:val="pheading"/>
      </w:pPr>
      <w:r>
        <w:t>- Finitions</w:t>
      </w:r>
    </w:p>
    <w:p w14:paraId="395A77F1" w14:textId="77777777" w:rsidR="00772179" w:rsidRDefault="00000000">
      <w:pPr>
        <w:pStyle w:val="Author-eListParagraph"/>
        <w:numPr>
          <w:ilvl w:val="0"/>
          <w:numId w:val="1093"/>
        </w:numPr>
        <w:jc w:val="both"/>
      </w:pPr>
      <w:r>
        <w:t xml:space="preserve">Couleur du fond de joint : </w:t>
      </w:r>
      <w:r>
        <w:rPr>
          <w:rStyle w:val="optioncarChar"/>
        </w:rPr>
        <w:t>gris</w:t>
      </w:r>
      <w:r>
        <w:t xml:space="preserve"> (par défaut) </w:t>
      </w:r>
      <w:r>
        <w:rPr>
          <w:rStyle w:val="optioncarChar"/>
        </w:rPr>
        <w:t>/ gris anthracite / ***.</w:t>
      </w:r>
    </w:p>
    <w:p w14:paraId="5EB81D42" w14:textId="77777777" w:rsidR="00772179" w:rsidRDefault="00000000">
      <w:pPr>
        <w:pStyle w:val="Author-eListParagraph"/>
        <w:numPr>
          <w:ilvl w:val="0"/>
          <w:numId w:val="1093"/>
        </w:numPr>
        <w:jc w:val="both"/>
      </w:pPr>
      <w:r>
        <w:t xml:space="preserve">Couleur du joint de remplissage : </w:t>
      </w:r>
      <w:r>
        <w:rPr>
          <w:rStyle w:val="optioncarChar"/>
        </w:rPr>
        <w:t>à déterminer en cours d'exécution</w:t>
      </w:r>
      <w:r>
        <w:t xml:space="preserve"> (par défaut)</w:t>
      </w:r>
      <w:r>
        <w:rPr>
          <w:rStyle w:val="optioncarChar"/>
        </w:rPr>
        <w:t xml:space="preserve"> / gris / noir / brun clair / brun foncé / beige / ***</w:t>
      </w:r>
    </w:p>
    <w:p w14:paraId="58475C78" w14:textId="77777777" w:rsidR="00772179" w:rsidRDefault="00000000">
      <w:pPr>
        <w:pStyle w:val="pheading"/>
      </w:pPr>
      <w:r>
        <w:t>EXÉCUTION / MISE EN ŒUVRE</w:t>
      </w:r>
    </w:p>
    <w:p w14:paraId="44B34C39" w14:textId="77777777" w:rsidR="00772179" w:rsidRDefault="00000000">
      <w:pPr>
        <w:pStyle w:val="pheading"/>
      </w:pPr>
      <w:r>
        <w:t>- Prescriptions générales</w:t>
      </w:r>
    </w:p>
    <w:p w14:paraId="2D7FFE60" w14:textId="77777777" w:rsidR="00772179" w:rsidRDefault="00000000">
      <w:pPr>
        <w:jc w:val="both"/>
      </w:pPr>
      <w:r>
        <w:t>Les joints de dilatation présents au niveau de la structure portante sont obligatoirement prolongés au niveau des revêtements de façade et ce, sur toute leur épaisseur et leur largeur.</w:t>
      </w:r>
    </w:p>
    <w:p w14:paraId="224E7049" w14:textId="77777777" w:rsidR="00772179" w:rsidRDefault="00000000">
      <w:pPr>
        <w:jc w:val="both"/>
      </w:pPr>
      <w:r>
        <w:rPr>
          <w:b/>
        </w:rPr>
        <w:t>Fond de joint</w:t>
      </w:r>
    </w:p>
    <w:p w14:paraId="363657F8" w14:textId="77777777" w:rsidR="00772179" w:rsidRDefault="00000000">
      <w:pPr>
        <w:jc w:val="both"/>
      </w:pPr>
      <w:r>
        <w:t>Après avoir nettoyé le joint et les matériaux attenants, combler le vide derrière le fond de joint avec de la laine de roche (classe A2-s1, d0) conformément à la norme [NBN EN 13501-1]. Le cordon est ensuite exécuté en longueurs maximales, posé en alignement droit et placé suivant les directives du fabricant. La face vue est réalisée en profondeur.</w:t>
      </w:r>
    </w:p>
    <w:p w14:paraId="5DD98874" w14:textId="77777777" w:rsidR="00772179" w:rsidRDefault="00000000">
      <w:pPr>
        <w:jc w:val="both"/>
      </w:pPr>
      <w:r>
        <w:t>Avant la mise en œuvre, le ruban est comprimé jusqu’à 20 % de son épaisseur nominale. Après la pose, il gonfle lentement jusqu’à l’obtention d’une étanchéité parfaite à l’air et à l’eau.</w:t>
      </w:r>
    </w:p>
    <w:p w14:paraId="7D54AF4A" w14:textId="77777777" w:rsidR="00772179" w:rsidRDefault="00000000">
      <w:pPr>
        <w:jc w:val="both"/>
      </w:pPr>
      <w:r>
        <w:rPr>
          <w:b/>
        </w:rPr>
        <w:t>Joint de remplissage</w:t>
      </w:r>
    </w:p>
    <w:p w14:paraId="34D5B254" w14:textId="77777777" w:rsidR="00772179" w:rsidRDefault="00000000">
      <w:pPr>
        <w:jc w:val="both"/>
      </w:pPr>
      <w:r>
        <w:t>Le remplissage des joints est effectué conformément à la [NIT 124] et conformément aux prescriptions du fabricant.</w:t>
      </w:r>
    </w:p>
    <w:p w14:paraId="05271184" w14:textId="77777777" w:rsidR="00772179" w:rsidRDefault="00000000">
      <w:pPr>
        <w:jc w:val="both"/>
      </w:pPr>
      <w:r>
        <w:t>Les travaux sont exécutés lorsque le support est sec et que la température superficielle est T° ˃ 5 °C. Il est interdit d'appliquer le joint par temps de pluie ou de brouillard.</w:t>
      </w:r>
    </w:p>
    <w:p w14:paraId="46D7B5FE" w14:textId="77777777" w:rsidR="00772179" w:rsidRDefault="00000000">
      <w:pPr>
        <w:jc w:val="both"/>
      </w:pPr>
      <w:r>
        <w:t>Avant d'appliquer le joint, le support est débarrassé de toute poussière et de toute graisse. Le cas échéant, un primer est appliqué afin d'assurer une meilleure adhérence.</w:t>
      </w:r>
    </w:p>
    <w:p w14:paraId="5C6D9E39" w14:textId="77777777" w:rsidR="00772179" w:rsidRDefault="00000000">
      <w:pPr>
        <w:jc w:val="both"/>
      </w:pPr>
      <w:r>
        <w:t>Lorsqu'il y a risque d'allongement inégal du remplissage des joints, une couche antiadhérente est appliquée sur le fond de joint.</w:t>
      </w:r>
    </w:p>
    <w:p w14:paraId="745BDF73" w14:textId="77777777" w:rsidR="00772179" w:rsidRDefault="00000000">
      <w:pPr>
        <w:jc w:val="both"/>
      </w:pPr>
      <w:r>
        <w:t>La profondeur des joints est au moins égale à la moitié de la largeur du joint et ≥ 6 mm.</w:t>
      </w:r>
    </w:p>
    <w:p w14:paraId="03982A74" w14:textId="77777777" w:rsidR="00772179" w:rsidRDefault="00000000">
      <w:pPr>
        <w:jc w:val="both"/>
      </w:pPr>
      <w:r>
        <w:t xml:space="preserve">La face vue est exécutée avec un léger creux et </w:t>
      </w:r>
      <w:r>
        <w:rPr>
          <w:rStyle w:val="optioncarChar"/>
        </w:rPr>
        <w:t>est / n’est pas</w:t>
      </w:r>
      <w:r>
        <w:t xml:space="preserve"> en retrait.</w:t>
      </w:r>
    </w:p>
    <w:p w14:paraId="7FA1585D" w14:textId="77777777" w:rsidR="00772179" w:rsidRDefault="00000000">
      <w:pPr>
        <w:jc w:val="both"/>
      </w:pPr>
      <w:r>
        <w:t>Au préalable, les lèvres des joints sont protégées à l'aide de bandes adhésives qui sont enlevées immédiatement après le lissage du joint. Les joints sont achevés proprement, en ligne droite et lissés à l'aide d'une solution savonneuse avant la formation de la pellicule.</w:t>
      </w:r>
    </w:p>
    <w:p w14:paraId="6BC7D8C6" w14:textId="77777777" w:rsidR="00772179" w:rsidRDefault="00000000">
      <w:pPr>
        <w:jc w:val="both"/>
      </w:pPr>
      <w:r>
        <w:t>Les matériaux excédentaires et les taches sont soigneusement enlevés.</w:t>
      </w:r>
    </w:p>
    <w:p w14:paraId="6CD420D5" w14:textId="77777777" w:rsidR="00772179" w:rsidRDefault="00000000">
      <w:pPr>
        <w:pStyle w:val="pheading"/>
      </w:pPr>
      <w:r>
        <w:t>- Échantillons</w:t>
      </w:r>
    </w:p>
    <w:p w14:paraId="20FC83CA" w14:textId="77777777" w:rsidR="00772179" w:rsidRDefault="00000000">
      <w:pPr>
        <w:jc w:val="both"/>
      </w:pPr>
      <w:r>
        <w:t>L’entrepreneur soumet un échantillon des joints de remplissage qu’il propose à l’approbation de la direction du chantier.</w:t>
      </w:r>
    </w:p>
    <w:p w14:paraId="1258B254" w14:textId="77777777" w:rsidR="00772179" w:rsidRDefault="00000000">
      <w:pPr>
        <w:pStyle w:val="pheading"/>
      </w:pPr>
      <w:r>
        <w:t>MESURAGE</w:t>
      </w:r>
    </w:p>
    <w:p w14:paraId="6FBE011A" w14:textId="77777777" w:rsidR="00772179" w:rsidRDefault="00000000">
      <w:pPr>
        <w:pStyle w:val="pheading"/>
      </w:pPr>
      <w:r>
        <w:lastRenderedPageBreak/>
        <w:t>- unité de mesure:</w:t>
      </w:r>
    </w:p>
    <w:p w14:paraId="673D3250" w14:textId="77777777" w:rsidR="00772179" w:rsidRDefault="00000000">
      <w:r>
        <w:t>1.2. m</w:t>
      </w:r>
    </w:p>
    <w:p w14:paraId="31C0083F" w14:textId="77777777" w:rsidR="00772179" w:rsidRDefault="00000000">
      <w:pPr>
        <w:pStyle w:val="pheading"/>
      </w:pPr>
      <w:r>
        <w:t>- code de mesurage:</w:t>
      </w:r>
    </w:p>
    <w:p w14:paraId="2F0922EB" w14:textId="77777777" w:rsidR="00772179" w:rsidRDefault="00000000">
      <w:r>
        <w:t xml:space="preserve">1.2. </w:t>
      </w:r>
      <w:r>
        <w:rPr>
          <w:b/>
        </w:rPr>
        <w:t>Longueur nette</w:t>
      </w:r>
      <w:r>
        <w:t xml:space="preserve"> à exécuter ventilée en fonction de la largeur des joints.</w:t>
      </w:r>
    </w:p>
    <w:p w14:paraId="0C8D5689" w14:textId="77777777" w:rsidR="00772179" w:rsidRDefault="00000000">
      <w:pPr>
        <w:pStyle w:val="pheading"/>
      </w:pPr>
      <w:r>
        <w:t>- nature du marché:</w:t>
      </w:r>
    </w:p>
    <w:p w14:paraId="253D6BFC" w14:textId="77777777" w:rsidR="00772179" w:rsidRDefault="00000000">
      <w:r>
        <w:rPr>
          <w:rStyle w:val="optioncarChar"/>
        </w:rPr>
        <w:t xml:space="preserve">QF </w:t>
      </w:r>
      <w:r>
        <w:t xml:space="preserve">(par défaut) </w:t>
      </w:r>
      <w:r>
        <w:rPr>
          <w:rStyle w:val="optioncarChar"/>
        </w:rPr>
        <w:t>/ QP</w:t>
      </w:r>
    </w:p>
    <w:p w14:paraId="40646E73" w14:textId="77777777" w:rsidR="00772179" w:rsidRDefault="00000000">
      <w:r>
        <w:rPr>
          <w:b/>
        </w:rPr>
        <w:t>(soit par défaut)</w:t>
      </w:r>
      <w:r>
        <w:br/>
      </w:r>
      <w:r>
        <w:rPr>
          <w:rStyle w:val="soitChar"/>
        </w:rPr>
        <w:t>1. QF</w:t>
      </w:r>
      <w:r>
        <w:br/>
      </w:r>
      <w:r>
        <w:rPr>
          <w:b/>
        </w:rPr>
        <w:t>(soit)</w:t>
      </w:r>
      <w:r>
        <w:br/>
      </w:r>
      <w:r>
        <w:rPr>
          <w:rStyle w:val="soitChar"/>
        </w:rPr>
        <w:t>2. QP</w:t>
      </w:r>
    </w:p>
    <w:p w14:paraId="67EE0BB0" w14:textId="77777777" w:rsidR="00772179" w:rsidRDefault="00000000">
      <w:pPr>
        <w:pStyle w:val="pheading"/>
      </w:pPr>
      <w:r>
        <w:t>AIDE</w:t>
      </w:r>
    </w:p>
    <w:p w14:paraId="32435DF1" w14:textId="77777777" w:rsidR="00772179" w:rsidRDefault="00000000">
      <w:pPr>
        <w:jc w:val="both"/>
      </w:pPr>
      <w:r>
        <w:t>Largeur de joint en fonction de la classe :</w:t>
      </w:r>
    </w:p>
    <w:p w14:paraId="5D77BBD1" w14:textId="77777777" w:rsidR="00772179" w:rsidRDefault="00000000">
      <w:pPr>
        <w:pStyle w:val="Author-eListParagraph"/>
        <w:numPr>
          <w:ilvl w:val="0"/>
          <w:numId w:val="1094"/>
        </w:numPr>
        <w:jc w:val="both"/>
      </w:pPr>
      <w:r>
        <w:t>Classe 7,5 : 10 à 20 mm</w:t>
      </w:r>
    </w:p>
    <w:p w14:paraId="556D35E3" w14:textId="77777777" w:rsidR="00772179" w:rsidRDefault="00000000">
      <w:pPr>
        <w:pStyle w:val="Author-eListParagraph"/>
        <w:numPr>
          <w:ilvl w:val="0"/>
          <w:numId w:val="1094"/>
        </w:numPr>
        <w:jc w:val="both"/>
      </w:pPr>
      <w:r>
        <w:t>Classe 12,5 : 6 à 20 mm</w:t>
      </w:r>
    </w:p>
    <w:p w14:paraId="59B9340F" w14:textId="77777777" w:rsidR="00772179" w:rsidRDefault="00000000">
      <w:pPr>
        <w:pStyle w:val="Author-eListParagraph"/>
        <w:numPr>
          <w:ilvl w:val="0"/>
          <w:numId w:val="1094"/>
        </w:numPr>
        <w:jc w:val="both"/>
      </w:pPr>
      <w:r>
        <w:t>Classe 20 : 6 à 30 mm</w:t>
      </w:r>
    </w:p>
    <w:p w14:paraId="310F0130" w14:textId="77777777" w:rsidR="00772179" w:rsidRDefault="00000000">
      <w:pPr>
        <w:pStyle w:val="Author-eListParagraph"/>
        <w:numPr>
          <w:ilvl w:val="0"/>
          <w:numId w:val="1094"/>
        </w:numPr>
        <w:jc w:val="both"/>
      </w:pPr>
      <w:r>
        <w:t>Classe 25 : 6 à 30 mm</w:t>
      </w:r>
    </w:p>
    <w:p w14:paraId="27AD4AD5" w14:textId="77777777" w:rsidR="00772179" w:rsidRDefault="00000000">
      <w:pPr>
        <w:pStyle w:val="Author-eSectionHeading6Numberless"/>
      </w:pPr>
      <w:bookmarkStart w:id="922" w:name="_Toc220490590"/>
      <w:r>
        <w:t>43.64.2b Revêtements de façade - joints de dilatation - systèmes préfabriqués CCTB 01.02</w:t>
      </w:r>
      <w:bookmarkEnd w:id="922"/>
    </w:p>
    <w:p w14:paraId="3E1C904A" w14:textId="77777777" w:rsidR="00772179" w:rsidRDefault="00000000">
      <w:pPr>
        <w:pStyle w:val="Author-eSectionHeading5Numberless"/>
      </w:pPr>
      <w:bookmarkStart w:id="923" w:name="_Toc220490591"/>
      <w:r>
        <w:t>43.64.3 Revêtements de façade - joints de désolidarisation CCTB 01.13</w:t>
      </w:r>
      <w:bookmarkEnd w:id="923"/>
    </w:p>
    <w:p w14:paraId="68D84896" w14:textId="77777777" w:rsidR="00772179" w:rsidRDefault="00000000">
      <w:pPr>
        <w:pStyle w:val="pheading"/>
      </w:pPr>
      <w:r>
        <w:t>DOCUMENTS DE RÉFÉRENCE</w:t>
      </w:r>
    </w:p>
    <w:p w14:paraId="4C659D4D" w14:textId="77777777" w:rsidR="00772179" w:rsidRDefault="00000000">
      <w:pPr>
        <w:pStyle w:val="pheading"/>
      </w:pPr>
      <w:r>
        <w:t>- Matériau</w:t>
      </w:r>
    </w:p>
    <w:p w14:paraId="715061A5" w14:textId="77777777" w:rsidR="00772179" w:rsidRDefault="00000000">
      <w:r>
        <w:t>[NIT 257, Enduits sur isolation extérieure (ETICS) (remplace partiellement la NIT 209)]</w:t>
      </w:r>
    </w:p>
    <w:p w14:paraId="33BEEC81" w14:textId="77777777" w:rsidR="00772179" w:rsidRDefault="00000000">
      <w:r>
        <w:t>[NIT 279, Revêtements durs sur isolation extérieure (ETICS avec revêtements durs).]</w:t>
      </w:r>
    </w:p>
    <w:p w14:paraId="3E83EA8E" w14:textId="77777777" w:rsidR="00772179" w:rsidRDefault="00000000">
      <w:r>
        <w:t>[NBN ISO 6589, Joints dans le bâtiment - Méthode d'essai en laboratoire de perméabilité à l'air des joints]</w:t>
      </w:r>
    </w:p>
    <w:p w14:paraId="65CA0D52" w14:textId="77777777" w:rsidR="00772179" w:rsidRDefault="00000000">
      <w:r>
        <w:t>[NBN ISO 7727, Joints dans le bâtiment - Principes de jonction des composants de bâtiment - Aptitude des joints à s'accommoder des écarts dimensionnels en cours de construction]</w:t>
      </w:r>
    </w:p>
    <w:p w14:paraId="136DE46C" w14:textId="77777777" w:rsidR="00772179" w:rsidRDefault="00000000">
      <w:pPr>
        <w:pStyle w:val="Author-eSectionHeading6Numberless"/>
      </w:pPr>
      <w:bookmarkStart w:id="924" w:name="_Toc220490592"/>
      <w:r>
        <w:t>43.64.3a Revêtements de façade - joints de désolidarisation - réalisé in-situ CCTB 01.02</w:t>
      </w:r>
      <w:bookmarkEnd w:id="924"/>
    </w:p>
    <w:p w14:paraId="79E0D0B5" w14:textId="77777777" w:rsidR="00772179" w:rsidRDefault="00000000">
      <w:pPr>
        <w:pStyle w:val="Author-eSectionHeading6Numberless"/>
      </w:pPr>
      <w:bookmarkStart w:id="925" w:name="_Toc220490593"/>
      <w:r>
        <w:t>43.64.3b Revêtements de façade - joints de désolidarisation - systèmes préfabriqués CCTB 01.13</w:t>
      </w:r>
      <w:bookmarkEnd w:id="925"/>
    </w:p>
    <w:p w14:paraId="40B3A8EA" w14:textId="77777777" w:rsidR="00772179" w:rsidRDefault="00000000">
      <w:pPr>
        <w:pStyle w:val="pheading"/>
      </w:pPr>
      <w:r>
        <w:t>DESCRIPTION</w:t>
      </w:r>
    </w:p>
    <w:p w14:paraId="4763E7E8" w14:textId="77777777" w:rsidR="00772179" w:rsidRDefault="00000000">
      <w:pPr>
        <w:pStyle w:val="pheading"/>
      </w:pPr>
      <w:r>
        <w:t>- Définition / Comprend</w:t>
      </w:r>
    </w:p>
    <w:p w14:paraId="5EC49362" w14:textId="77777777" w:rsidR="00772179" w:rsidRDefault="00000000">
      <w:pPr>
        <w:jc w:val="both"/>
      </w:pPr>
      <w:r>
        <w:t>Il s’agit de la fourniture et de la pose de profils préfabriqués permettant de réaliser des joints de désolidarisation entre les revêtements de type Etics et d’autres éléments de façade (châssis, zingueries, points d’ancrage, etc…).</w:t>
      </w:r>
    </w:p>
    <w:p w14:paraId="36570A38" w14:textId="77777777" w:rsidR="00772179" w:rsidRDefault="00000000">
      <w:pPr>
        <w:pStyle w:val="pheading"/>
      </w:pPr>
      <w:r>
        <w:t>MATÉRIAUX</w:t>
      </w:r>
    </w:p>
    <w:p w14:paraId="442FC43C" w14:textId="77777777" w:rsidR="00772179" w:rsidRDefault="00000000">
      <w:pPr>
        <w:pStyle w:val="pheading"/>
      </w:pPr>
      <w:r>
        <w:t>- Caractéristiques générales</w:t>
      </w:r>
    </w:p>
    <w:p w14:paraId="77880CFB" w14:textId="77777777" w:rsidR="00772179" w:rsidRDefault="00000000">
      <w:pPr>
        <w:jc w:val="both"/>
      </w:pPr>
      <w:r>
        <w:t>Le cordon d'étanchéité et le profil de désolidarisation sont adaptés au type de joint à combler (forme, dimensions, déformation), au degré de sollicitation et compatibles avec les matériaux attenants. Ils sont également résistants aux influences atmosphériques et chimiques.</w:t>
      </w:r>
    </w:p>
    <w:p w14:paraId="3966FB8F" w14:textId="77777777" w:rsidR="00772179" w:rsidRDefault="00000000">
      <w:pPr>
        <w:jc w:val="both"/>
      </w:pPr>
      <w:r>
        <w:rPr>
          <w:b/>
        </w:rPr>
        <w:lastRenderedPageBreak/>
        <w:t>Fond de joint</w:t>
      </w:r>
    </w:p>
    <w:p w14:paraId="3ECD78E3" w14:textId="77777777" w:rsidR="00772179" w:rsidRDefault="00000000">
      <w:pPr>
        <w:pStyle w:val="Author-eListParagraph"/>
        <w:numPr>
          <w:ilvl w:val="0"/>
          <w:numId w:val="1095"/>
        </w:numPr>
      </w:pPr>
      <w:r>
        <w:rPr>
          <w:rStyle w:val="optioncarChar"/>
        </w:rPr>
        <w:t>Cordon pré-comprimé en mousse de polyuréthane imprégnée d’un produit à base de paraffine chlorée et de néoprène</w:t>
      </w:r>
      <w:r>
        <w:t xml:space="preserve"> (par défaut)</w:t>
      </w:r>
      <w:r>
        <w:rPr>
          <w:rStyle w:val="optioncarChar"/>
        </w:rPr>
        <w:t xml:space="preserve"> / ***</w:t>
      </w:r>
      <w:r>
        <w:t>.</w:t>
      </w:r>
    </w:p>
    <w:p w14:paraId="6BA3716E" w14:textId="77777777" w:rsidR="00772179" w:rsidRDefault="00000000">
      <w:pPr>
        <w:pStyle w:val="Author-eListParagraph"/>
        <w:numPr>
          <w:ilvl w:val="0"/>
          <w:numId w:val="1095"/>
        </w:numPr>
      </w:pPr>
      <w:r>
        <w:t>Dimensions : l’épaisseur du cordon est d'au moins deux fois celle du joint à combler.</w:t>
      </w:r>
    </w:p>
    <w:p w14:paraId="78438869" w14:textId="77777777" w:rsidR="00772179" w:rsidRDefault="00000000">
      <w:pPr>
        <w:jc w:val="both"/>
      </w:pPr>
      <w:r>
        <w:rPr>
          <w:b/>
        </w:rPr>
        <w:t>Profil de désolidarisation</w:t>
      </w:r>
    </w:p>
    <w:p w14:paraId="51D5234C" w14:textId="77777777" w:rsidR="00772179" w:rsidRDefault="00000000">
      <w:pPr>
        <w:jc w:val="both"/>
      </w:pPr>
      <w:r>
        <w:rPr>
          <w:rStyle w:val="optioncarChar"/>
        </w:rPr>
        <w:t xml:space="preserve">Profil d’arrêt autoadhésif en PVC avec bande de jonction en fibre de verre </w:t>
      </w:r>
      <w:r>
        <w:t xml:space="preserve">(par défaut) </w:t>
      </w:r>
      <w:r>
        <w:rPr>
          <w:rStyle w:val="optioncarChar"/>
        </w:rPr>
        <w:t>/ ***</w:t>
      </w:r>
      <w:r>
        <w:t>.</w:t>
      </w:r>
    </w:p>
    <w:p w14:paraId="78B7FDE3" w14:textId="77777777" w:rsidR="00772179" w:rsidRDefault="00000000">
      <w:pPr>
        <w:jc w:val="both"/>
      </w:pPr>
      <w:r>
        <w:rPr>
          <w:b/>
        </w:rPr>
        <w:t>(soit par défaut)</w:t>
      </w:r>
    </w:p>
    <w:p w14:paraId="4593E127" w14:textId="77777777" w:rsidR="00772179" w:rsidRDefault="00000000">
      <w:pPr>
        <w:jc w:val="both"/>
      </w:pPr>
      <w:r>
        <w:rPr>
          <w:rStyle w:val="soitChar"/>
          <w:u w:val="single"/>
        </w:rPr>
        <w:t>Profil d’arrêt autoadhésif en PVC avec bande de jonction en fibre de verre :</w:t>
      </w:r>
    </w:p>
    <w:p w14:paraId="55318064" w14:textId="77777777" w:rsidR="00772179" w:rsidRDefault="00000000">
      <w:pPr>
        <w:pStyle w:val="Author-eListParagraph"/>
        <w:numPr>
          <w:ilvl w:val="0"/>
          <w:numId w:val="1096"/>
        </w:numPr>
      </w:pPr>
      <w:r>
        <w:rPr>
          <w:rStyle w:val="soitChar"/>
        </w:rPr>
        <w:t xml:space="preserve">Longueur : </w:t>
      </w:r>
      <w:r>
        <w:rPr>
          <w:rStyle w:val="optioncarChar"/>
        </w:rPr>
        <w:t xml:space="preserve">250 </w:t>
      </w:r>
      <w:r>
        <w:t xml:space="preserve">(par défaut) </w:t>
      </w:r>
      <w:r>
        <w:rPr>
          <w:rStyle w:val="optioncarChar"/>
        </w:rPr>
        <w:t>/ ***</w:t>
      </w:r>
      <w:r>
        <w:rPr>
          <w:rStyle w:val="soitChar"/>
        </w:rPr>
        <w:t xml:space="preserve"> cm</w:t>
      </w:r>
    </w:p>
    <w:p w14:paraId="67175365" w14:textId="77777777" w:rsidR="00772179" w:rsidRDefault="00000000">
      <w:pPr>
        <w:pStyle w:val="Author-eListParagraph"/>
        <w:numPr>
          <w:ilvl w:val="0"/>
          <w:numId w:val="1096"/>
        </w:numPr>
      </w:pPr>
      <w:r>
        <w:rPr>
          <w:rStyle w:val="soitChar"/>
        </w:rPr>
        <w:t xml:space="preserve">Largeur profil : </w:t>
      </w:r>
      <w:r>
        <w:rPr>
          <w:rStyle w:val="optioncarChar"/>
        </w:rPr>
        <w:t>0,6</w:t>
      </w:r>
      <w:r>
        <w:t xml:space="preserve"> (par défaut)</w:t>
      </w:r>
      <w:r>
        <w:rPr>
          <w:rStyle w:val="optioncarChar"/>
        </w:rPr>
        <w:t xml:space="preserve"> / ***</w:t>
      </w:r>
      <w:r>
        <w:rPr>
          <w:rStyle w:val="soitChar"/>
        </w:rPr>
        <w:t xml:space="preserve"> cm</w:t>
      </w:r>
    </w:p>
    <w:p w14:paraId="04E72615" w14:textId="77777777" w:rsidR="00772179" w:rsidRDefault="00000000">
      <w:pPr>
        <w:pStyle w:val="Author-eListParagraph"/>
        <w:numPr>
          <w:ilvl w:val="0"/>
          <w:numId w:val="1096"/>
        </w:numPr>
      </w:pPr>
      <w:r>
        <w:rPr>
          <w:rStyle w:val="soitChar"/>
        </w:rPr>
        <w:t>Largeur bande de raccord :</w:t>
      </w:r>
      <w:r>
        <w:rPr>
          <w:rStyle w:val="optioncarChar"/>
        </w:rPr>
        <w:t xml:space="preserve"> 10</w:t>
      </w:r>
      <w:r>
        <w:t xml:space="preserve"> (par défaut)</w:t>
      </w:r>
      <w:r>
        <w:rPr>
          <w:rStyle w:val="optioncarChar"/>
        </w:rPr>
        <w:t xml:space="preserve"> / ***</w:t>
      </w:r>
      <w:r>
        <w:rPr>
          <w:rStyle w:val="soitChar"/>
        </w:rPr>
        <w:t>cm</w:t>
      </w:r>
    </w:p>
    <w:p w14:paraId="32ACA5AF" w14:textId="77777777" w:rsidR="00772179" w:rsidRDefault="00000000">
      <w:pPr>
        <w:jc w:val="both"/>
      </w:pPr>
      <w:r>
        <w:rPr>
          <w:b/>
        </w:rPr>
        <w:t>(soit)</w:t>
      </w:r>
    </w:p>
    <w:p w14:paraId="245CEAF1" w14:textId="77777777" w:rsidR="00772179" w:rsidRDefault="00000000">
      <w:pPr>
        <w:jc w:val="both"/>
      </w:pPr>
      <w:r>
        <w:rPr>
          <w:rStyle w:val="optioncarChar"/>
        </w:rPr>
        <w:t>***</w:t>
      </w:r>
    </w:p>
    <w:p w14:paraId="1BADD427" w14:textId="77777777" w:rsidR="00772179" w:rsidRDefault="00000000">
      <w:pPr>
        <w:pStyle w:val="pheading"/>
      </w:pPr>
      <w:r>
        <w:t>- Finitions</w:t>
      </w:r>
    </w:p>
    <w:p w14:paraId="76B0A346" w14:textId="77777777" w:rsidR="00772179" w:rsidRDefault="00000000">
      <w:pPr>
        <w:pStyle w:val="Author-eListParagraph"/>
        <w:numPr>
          <w:ilvl w:val="0"/>
          <w:numId w:val="1097"/>
        </w:numPr>
        <w:jc w:val="both"/>
      </w:pPr>
      <w:r>
        <w:t xml:space="preserve">Couleur du fond de joint : </w:t>
      </w:r>
      <w:r>
        <w:rPr>
          <w:rStyle w:val="optioncarChar"/>
        </w:rPr>
        <w:t>gris</w:t>
      </w:r>
      <w:r>
        <w:t xml:space="preserve"> (par défaut) </w:t>
      </w:r>
      <w:r>
        <w:rPr>
          <w:rStyle w:val="optioncarChar"/>
        </w:rPr>
        <w:t>/ gris anthracite / ***.</w:t>
      </w:r>
    </w:p>
    <w:p w14:paraId="71749CBA" w14:textId="77777777" w:rsidR="00772179" w:rsidRDefault="00000000">
      <w:pPr>
        <w:pStyle w:val="Author-eListParagraph"/>
        <w:numPr>
          <w:ilvl w:val="0"/>
          <w:numId w:val="1097"/>
        </w:numPr>
        <w:jc w:val="both"/>
      </w:pPr>
      <w:r>
        <w:t xml:space="preserve">Couleur du profil de désolidarisation : </w:t>
      </w:r>
      <w:r>
        <w:rPr>
          <w:rStyle w:val="optioncarChar"/>
        </w:rPr>
        <w:t>blanc</w:t>
      </w:r>
      <w:r>
        <w:t xml:space="preserve"> (par défaut)</w:t>
      </w:r>
      <w:r>
        <w:rPr>
          <w:rStyle w:val="optioncarChar"/>
        </w:rPr>
        <w:t xml:space="preserve"> / blanc / ***</w:t>
      </w:r>
    </w:p>
    <w:p w14:paraId="21AD85C8" w14:textId="77777777" w:rsidR="00772179" w:rsidRDefault="00000000">
      <w:pPr>
        <w:pStyle w:val="pheading"/>
      </w:pPr>
      <w:r>
        <w:t>EXÉCUTION / MISE EN ŒUVRE</w:t>
      </w:r>
    </w:p>
    <w:p w14:paraId="18F20706" w14:textId="77777777" w:rsidR="00772179" w:rsidRDefault="00000000">
      <w:pPr>
        <w:pStyle w:val="pheading"/>
      </w:pPr>
      <w:r>
        <w:t>- Prescriptions générales</w:t>
      </w:r>
    </w:p>
    <w:p w14:paraId="180441F5" w14:textId="77777777" w:rsidR="00772179" w:rsidRDefault="00000000">
      <w:pPr>
        <w:jc w:val="both"/>
      </w:pPr>
      <w:r>
        <w:rPr>
          <w:b/>
        </w:rPr>
        <w:t>Fond de joint</w:t>
      </w:r>
    </w:p>
    <w:p w14:paraId="76630022" w14:textId="77777777" w:rsidR="00772179" w:rsidRDefault="00000000">
      <w:pPr>
        <w:jc w:val="both"/>
      </w:pPr>
      <w:r>
        <w:t>Le cordon est exécuté en longueurs maximales, posé en alignement droit et placé suivant les directives du fabricant. La face vue est réalisée en profondeur.</w:t>
      </w:r>
    </w:p>
    <w:p w14:paraId="4F091807" w14:textId="77777777" w:rsidR="00772179" w:rsidRDefault="00000000">
      <w:pPr>
        <w:jc w:val="both"/>
      </w:pPr>
      <w:r>
        <w:t>Avant la mise en œuvre, le ruban est comprimé jusqu’à 20 % de son épaisseur nominale. Après la pose, il gonfle lentement jusqu’à l’obtention d’une étanchéité parfaite à l’air et à l’eau.</w:t>
      </w:r>
    </w:p>
    <w:p w14:paraId="2AEBB22A" w14:textId="77777777" w:rsidR="00772179" w:rsidRDefault="00000000">
      <w:pPr>
        <w:jc w:val="both"/>
      </w:pPr>
      <w:r>
        <w:rPr>
          <w:b/>
        </w:rPr>
        <w:t>Profil de désolidarisation</w:t>
      </w:r>
    </w:p>
    <w:p w14:paraId="2F1EC522" w14:textId="77777777" w:rsidR="00772179" w:rsidRDefault="00000000">
      <w:pPr>
        <w:jc w:val="both"/>
      </w:pPr>
      <w:r>
        <w:t>La pose du profil est effectuée conformément aux prescriptions du fabricant.</w:t>
      </w:r>
    </w:p>
    <w:p w14:paraId="4A7D74F4" w14:textId="77777777" w:rsidR="00772179" w:rsidRDefault="00000000">
      <w:pPr>
        <w:jc w:val="both"/>
      </w:pPr>
      <w:r>
        <w:t>Les travaux sont exécutés lorsque le support est sec et que la température superficielle est 5 °C ≤ T° ≤40 °C. Il est interdit d'appliquer le profil par temps de pluie ou de brouillard.</w:t>
      </w:r>
    </w:p>
    <w:p w14:paraId="49FC990B" w14:textId="77777777" w:rsidR="00772179" w:rsidRDefault="00000000">
      <w:pPr>
        <w:jc w:val="both"/>
      </w:pPr>
      <w:r>
        <w:t>Avant d'appliquer le profil, le support est débarrassé de toute poussière et de toute graisse. Le cas échéant, un primer est appliqué afin d'assurer une meilleure adhérence.</w:t>
      </w:r>
    </w:p>
    <w:p w14:paraId="7A88241E" w14:textId="77777777" w:rsidR="00772179" w:rsidRDefault="00000000">
      <w:pPr>
        <w:jc w:val="both"/>
      </w:pPr>
      <w:r>
        <w:t>Découper et placer le profil à la longueur requise. Ensuite, débarrasser la bande d'étanchéité PE de son film de protection et fixer le profilé contre la bande comprimée.</w:t>
      </w:r>
    </w:p>
    <w:p w14:paraId="53DE8D08" w14:textId="77777777" w:rsidR="00772179" w:rsidRDefault="00000000">
      <w:pPr>
        <w:jc w:val="both"/>
      </w:pPr>
      <w:r>
        <w:t>Poser la bande d'armature intégrée et la fibre de verre de l'armature d'angle avec un chevauchement ≥ 10 cm et les noyer dans l'enduit de marouflage du système. La bande de treillis intégrée à obligatoirement un chevauchement de 10 cm sur le raccord.</w:t>
      </w:r>
    </w:p>
    <w:p w14:paraId="1BD548BF" w14:textId="77777777" w:rsidR="00772179" w:rsidRDefault="00000000">
      <w:pPr>
        <w:pStyle w:val="pheading"/>
      </w:pPr>
      <w:r>
        <w:t>- Échantillons</w:t>
      </w:r>
    </w:p>
    <w:p w14:paraId="60547CE2" w14:textId="77777777" w:rsidR="00772179" w:rsidRDefault="00000000">
      <w:pPr>
        <w:jc w:val="both"/>
      </w:pPr>
      <w:r>
        <w:t>L’entrepreneur soumet un échantillon du profil qu’il propose à l’approbation de la direction du chantier.</w:t>
      </w:r>
    </w:p>
    <w:p w14:paraId="2447DE78" w14:textId="77777777" w:rsidR="00772179" w:rsidRDefault="00000000">
      <w:pPr>
        <w:pStyle w:val="pheading"/>
      </w:pPr>
      <w:r>
        <w:t>MESURAGE</w:t>
      </w:r>
    </w:p>
    <w:p w14:paraId="742E5870" w14:textId="77777777" w:rsidR="00772179" w:rsidRDefault="00000000">
      <w:pPr>
        <w:pStyle w:val="pheading"/>
      </w:pPr>
      <w:r>
        <w:t>- unité de mesure:</w:t>
      </w:r>
    </w:p>
    <w:p w14:paraId="3103BF64" w14:textId="77777777" w:rsidR="00772179" w:rsidRDefault="00000000">
      <w:r>
        <w:t>1.2. m</w:t>
      </w:r>
    </w:p>
    <w:p w14:paraId="77D23F29" w14:textId="77777777" w:rsidR="00772179" w:rsidRDefault="00000000">
      <w:pPr>
        <w:pStyle w:val="pheading"/>
      </w:pPr>
      <w:r>
        <w:t>- code de mesurage:</w:t>
      </w:r>
    </w:p>
    <w:p w14:paraId="57CDEDF2" w14:textId="77777777" w:rsidR="00772179" w:rsidRDefault="00000000">
      <w:r>
        <w:t xml:space="preserve">1.2 </w:t>
      </w:r>
      <w:r>
        <w:rPr>
          <w:b/>
        </w:rPr>
        <w:t>Longueur nette</w:t>
      </w:r>
      <w:r>
        <w:t xml:space="preserve"> à exécuter ventilée en fonction de la largeur des joints.</w:t>
      </w:r>
    </w:p>
    <w:p w14:paraId="122E460B" w14:textId="77777777" w:rsidR="00772179" w:rsidRDefault="00000000">
      <w:pPr>
        <w:pStyle w:val="pheading"/>
      </w:pPr>
      <w:r>
        <w:lastRenderedPageBreak/>
        <w:t>- nature du marché:</w:t>
      </w:r>
    </w:p>
    <w:p w14:paraId="1441C168" w14:textId="77777777" w:rsidR="00772179" w:rsidRDefault="00000000">
      <w:r>
        <w:rPr>
          <w:rStyle w:val="optioncarChar"/>
        </w:rPr>
        <w:t xml:space="preserve">QF </w:t>
      </w:r>
      <w:r>
        <w:t xml:space="preserve">(par défaut) </w:t>
      </w:r>
      <w:r>
        <w:rPr>
          <w:rStyle w:val="optioncarChar"/>
        </w:rPr>
        <w:t>/ QP</w:t>
      </w:r>
    </w:p>
    <w:p w14:paraId="39A5691B" w14:textId="77777777" w:rsidR="00772179" w:rsidRDefault="00000000">
      <w:r>
        <w:rPr>
          <w:b/>
        </w:rPr>
        <w:t>(soit par défaut)</w:t>
      </w:r>
      <w:r>
        <w:br/>
      </w:r>
      <w:r>
        <w:rPr>
          <w:rStyle w:val="soitChar"/>
        </w:rPr>
        <w:t>1. QF</w:t>
      </w:r>
      <w:r>
        <w:br/>
      </w:r>
      <w:r>
        <w:rPr>
          <w:b/>
        </w:rPr>
        <w:t>(soit)</w:t>
      </w:r>
      <w:r>
        <w:br/>
      </w:r>
      <w:r>
        <w:rPr>
          <w:rStyle w:val="soitChar"/>
        </w:rPr>
        <w:t>2. QP</w:t>
      </w:r>
    </w:p>
    <w:p w14:paraId="19BDFEBD" w14:textId="77777777" w:rsidR="00772179" w:rsidRDefault="00000000">
      <w:pPr>
        <w:pStyle w:val="Author-eSectionHeading5Numberless"/>
      </w:pPr>
      <w:bookmarkStart w:id="926" w:name="_Toc220490594"/>
      <w:r>
        <w:t>43.64.4 Joints d'étanchéité - systèmes étanches</w:t>
      </w:r>
      <w:bookmarkEnd w:id="926"/>
    </w:p>
    <w:p w14:paraId="28E2488B" w14:textId="77777777" w:rsidR="00772179" w:rsidRDefault="00000000">
      <w:pPr>
        <w:pStyle w:val="Author-eSectionHeading6Numberless"/>
      </w:pPr>
      <w:bookmarkStart w:id="927" w:name="1000"/>
      <w:bookmarkStart w:id="928" w:name="_Toc220490595"/>
      <w:bookmarkEnd w:id="927"/>
      <w:r>
        <w:t>43.64.4a Joints d'étanchéité préformés</w:t>
      </w:r>
      <w:bookmarkEnd w:id="928"/>
    </w:p>
    <w:p w14:paraId="0C05B299" w14:textId="77777777" w:rsidR="00772179" w:rsidRDefault="00000000">
      <w:pPr>
        <w:pStyle w:val="Author-eSectionHeading6Numberless"/>
      </w:pPr>
      <w:bookmarkStart w:id="929" w:name="_Toc220490596"/>
      <w:r>
        <w:t>43.64.4b Joints d'étanchéité gonflants</w:t>
      </w:r>
      <w:bookmarkEnd w:id="929"/>
    </w:p>
    <w:p w14:paraId="51A1509A" w14:textId="77777777" w:rsidR="00772179" w:rsidRDefault="00000000">
      <w:pPr>
        <w:pStyle w:val="Author-eSectionHeading6Numberless"/>
      </w:pPr>
      <w:bookmarkStart w:id="930" w:name="_Toc220490597"/>
      <w:r>
        <w:t>43.64.4c Systèmes étanches pour traversées de murs CCTB 01.12</w:t>
      </w:r>
      <w:bookmarkEnd w:id="930"/>
    </w:p>
    <w:p w14:paraId="349E068D" w14:textId="77777777" w:rsidR="00772179" w:rsidRDefault="00000000">
      <w:pPr>
        <w:pStyle w:val="pheading"/>
      </w:pPr>
      <w:r>
        <w:t>DESCRIPTION</w:t>
      </w:r>
    </w:p>
    <w:p w14:paraId="2D6E2A90" w14:textId="77777777" w:rsidR="00772179" w:rsidRDefault="00000000">
      <w:pPr>
        <w:pStyle w:val="pheading"/>
      </w:pPr>
      <w:r>
        <w:t>- Définition / Comprend</w:t>
      </w:r>
    </w:p>
    <w:p w14:paraId="766399E5" w14:textId="77777777" w:rsidR="00772179" w:rsidRDefault="00000000">
      <w:pPr>
        <w:jc w:val="both"/>
      </w:pPr>
      <w:r>
        <w:t>Il s’agit de la fourniture et la pose de systèmes étanches pour traversées de murs.</w:t>
      </w:r>
    </w:p>
    <w:p w14:paraId="6613E03F" w14:textId="77777777" w:rsidR="00772179" w:rsidRDefault="00000000">
      <w:pPr>
        <w:jc w:val="both"/>
      </w:pPr>
      <w:r>
        <w:t>Le travail comprend notamment :</w:t>
      </w:r>
    </w:p>
    <w:p w14:paraId="238ECD0C" w14:textId="77777777" w:rsidR="00772179" w:rsidRDefault="00000000">
      <w:pPr>
        <w:pStyle w:val="Author-eListParagraph"/>
        <w:numPr>
          <w:ilvl w:val="0"/>
          <w:numId w:val="1098"/>
        </w:numPr>
        <w:jc w:val="both"/>
      </w:pPr>
      <w:r>
        <w:t>Toutes précautions en matière de sécurité conformément au 01.4 Plans de sécurité et de santé ;</w:t>
      </w:r>
    </w:p>
    <w:p w14:paraId="385CF803" w14:textId="77777777" w:rsidR="00772179" w:rsidRDefault="00000000">
      <w:pPr>
        <w:pStyle w:val="Author-eListParagraph"/>
        <w:numPr>
          <w:ilvl w:val="0"/>
          <w:numId w:val="1098"/>
        </w:numPr>
        <w:jc w:val="both"/>
      </w:pPr>
      <w:r>
        <w:t>En cas d’intégration lors de la réalisation du béton : la fourniture et pose du dispositif étanche lors de la mise en place des coffrages et ferraillages ;</w:t>
      </w:r>
    </w:p>
    <w:p w14:paraId="61A35CD6" w14:textId="77777777" w:rsidR="00772179" w:rsidRDefault="00000000">
      <w:pPr>
        <w:pStyle w:val="Author-eListParagraph"/>
        <w:numPr>
          <w:ilvl w:val="0"/>
          <w:numId w:val="1098"/>
        </w:numPr>
        <w:jc w:val="both"/>
      </w:pPr>
      <w:r>
        <w:t>Assurer la continuité de l’étanchéité à l’air (pare-vapeur) ;</w:t>
      </w:r>
    </w:p>
    <w:p w14:paraId="532D5E19" w14:textId="77777777" w:rsidR="00772179" w:rsidRDefault="00000000">
      <w:pPr>
        <w:pStyle w:val="Author-eListParagraph"/>
        <w:numPr>
          <w:ilvl w:val="0"/>
          <w:numId w:val="1098"/>
        </w:numPr>
        <w:jc w:val="both"/>
      </w:pPr>
      <w:r>
        <w:t>Ragréage comme l’existant dans intérieur qu’extérieur ;</w:t>
      </w:r>
    </w:p>
    <w:p w14:paraId="0E7FD58E" w14:textId="77777777" w:rsidR="00772179" w:rsidRDefault="00000000">
      <w:pPr>
        <w:pStyle w:val="Author-eListParagraph"/>
        <w:numPr>
          <w:ilvl w:val="0"/>
          <w:numId w:val="1098"/>
        </w:numPr>
        <w:jc w:val="both"/>
      </w:pPr>
      <w:r>
        <w:t>Assurer la continuité thermique en cas de traversée d’isolant ;</w:t>
      </w:r>
    </w:p>
    <w:p w14:paraId="59304E59" w14:textId="77777777" w:rsidR="00772179" w:rsidRDefault="00000000">
      <w:pPr>
        <w:pStyle w:val="Author-eListParagraph"/>
        <w:numPr>
          <w:ilvl w:val="0"/>
          <w:numId w:val="1098"/>
        </w:numPr>
        <w:jc w:val="both"/>
      </w:pPr>
      <w:r>
        <w:t>Assurer la continuité RF pour certains locaux spécifiques (chaufferies, …) suivant [NIT 245] ;</w:t>
      </w:r>
    </w:p>
    <w:p w14:paraId="2D3A9B27" w14:textId="77777777" w:rsidR="00772179" w:rsidRDefault="00000000">
      <w:pPr>
        <w:pStyle w:val="Author-eListParagraph"/>
        <w:numPr>
          <w:ilvl w:val="0"/>
          <w:numId w:val="1098"/>
        </w:numPr>
        <w:jc w:val="both"/>
      </w:pPr>
      <w:r>
        <w:t>En cas de pose après réalisation du carottage suivant 06.8 Percements / carottages : la fourniture et mise en place du dispositif autour des canalisations, tubes, câbles ;</w:t>
      </w:r>
    </w:p>
    <w:p w14:paraId="3C5EF372" w14:textId="77777777" w:rsidR="00772179" w:rsidRDefault="00000000">
      <w:pPr>
        <w:pStyle w:val="Author-eListParagraph"/>
        <w:numPr>
          <w:ilvl w:val="0"/>
          <w:numId w:val="1098"/>
        </w:numPr>
        <w:jc w:val="both"/>
      </w:pPr>
      <w:r>
        <w:t>L'évacuation et la gestion des déchets générés par les travaux tel que décrit en section 07 Déchets, matériaux et éléments réemployables</w:t>
      </w:r>
    </w:p>
    <w:p w14:paraId="21AE32CF" w14:textId="77777777" w:rsidR="00772179" w:rsidRDefault="00000000">
      <w:pPr>
        <w:pStyle w:val="pheading"/>
      </w:pPr>
      <w:r>
        <w:t>MATÉRIAUX</w:t>
      </w:r>
    </w:p>
    <w:p w14:paraId="32DFF33C" w14:textId="77777777" w:rsidR="00772179" w:rsidRDefault="00000000">
      <w:pPr>
        <w:pStyle w:val="pheading"/>
      </w:pPr>
      <w:r>
        <w:t>- Caractéristiques générales</w:t>
      </w:r>
    </w:p>
    <w:p w14:paraId="54831BF0" w14:textId="77777777" w:rsidR="00772179" w:rsidRDefault="00000000">
      <w:pPr>
        <w:jc w:val="both"/>
      </w:pPr>
      <w:r>
        <w:t xml:space="preserve">Traversée de type : </w:t>
      </w:r>
      <w:r>
        <w:rPr>
          <w:rStyle w:val="optioncarChar"/>
        </w:rPr>
        <w:t xml:space="preserve">application après réalisation du carottage </w:t>
      </w:r>
      <w:r>
        <w:t>(par défaut)</w:t>
      </w:r>
      <w:r>
        <w:rPr>
          <w:rStyle w:val="optioncarChar"/>
        </w:rPr>
        <w:t xml:space="preserve"> / à intégrer lors de la réalisation du béton</w:t>
      </w:r>
    </w:p>
    <w:p w14:paraId="44D3A98B" w14:textId="77777777" w:rsidR="00772179" w:rsidRDefault="00000000">
      <w:pPr>
        <w:jc w:val="both"/>
      </w:pPr>
      <w:r>
        <w:rPr>
          <w:b/>
        </w:rPr>
        <w:t>(soit par défaut)</w:t>
      </w:r>
    </w:p>
    <w:p w14:paraId="071C0DCB" w14:textId="77777777" w:rsidR="00772179" w:rsidRDefault="00000000">
      <w:pPr>
        <w:jc w:val="both"/>
      </w:pPr>
      <w:r>
        <w:rPr>
          <w:rStyle w:val="soitChar"/>
          <w:u w:val="single"/>
        </w:rPr>
        <w:t>Application après réalisation du carottage</w:t>
      </w:r>
      <w:r>
        <w:rPr>
          <w:rStyle w:val="soitChar"/>
        </w:rPr>
        <w:t xml:space="preserve"> : </w:t>
      </w:r>
      <w:r>
        <w:rPr>
          <w:rStyle w:val="optioncarChar"/>
        </w:rPr>
        <w:t xml:space="preserve">bride </w:t>
      </w:r>
      <w:r>
        <w:t>(par défaut)</w:t>
      </w:r>
      <w:r>
        <w:rPr>
          <w:rStyle w:val="optioncarChar"/>
        </w:rPr>
        <w:t xml:space="preserve"> / joint d’étanchéité annulaire</w:t>
      </w:r>
    </w:p>
    <w:p w14:paraId="5A49E57C" w14:textId="77777777" w:rsidR="00772179" w:rsidRDefault="00000000">
      <w:pPr>
        <w:ind w:left="567"/>
        <w:jc w:val="both"/>
      </w:pPr>
      <w:r>
        <w:rPr>
          <w:b/>
        </w:rPr>
        <w:t>(soit par défaut)</w:t>
      </w:r>
    </w:p>
    <w:p w14:paraId="5FF59D7D" w14:textId="77777777" w:rsidR="00772179" w:rsidRDefault="00000000">
      <w:pPr>
        <w:ind w:left="567"/>
        <w:jc w:val="both"/>
      </w:pPr>
      <w:r>
        <w:rPr>
          <w:rStyle w:val="soitChar"/>
          <w:u w:val="single"/>
        </w:rPr>
        <w:t>Bride :</w:t>
      </w:r>
    </w:p>
    <w:p w14:paraId="6CA79D46" w14:textId="77777777" w:rsidR="00772179" w:rsidRDefault="00000000">
      <w:pPr>
        <w:pStyle w:val="Author-eListParagraph"/>
        <w:numPr>
          <w:ilvl w:val="0"/>
          <w:numId w:val="1099"/>
        </w:numPr>
      </w:pPr>
      <w:r>
        <w:rPr>
          <w:rStyle w:val="soitChar"/>
        </w:rPr>
        <w:t>Matériau : polyamide renforcé fibres de verre + EPDM / acier inoxydable / acier galvanisé</w:t>
      </w:r>
    </w:p>
    <w:p w14:paraId="7549709A" w14:textId="77777777" w:rsidR="00772179" w:rsidRDefault="00000000">
      <w:pPr>
        <w:pStyle w:val="Author-eListParagraph"/>
        <w:numPr>
          <w:ilvl w:val="0"/>
          <w:numId w:val="1099"/>
        </w:numPr>
      </w:pPr>
      <w:r>
        <w:rPr>
          <w:rStyle w:val="soitChar"/>
        </w:rPr>
        <w:t xml:space="preserve">Diamètre : </w:t>
      </w:r>
      <w:r>
        <w:rPr>
          <w:rStyle w:val="optioncarChar"/>
        </w:rPr>
        <w:t xml:space="preserve">150 </w:t>
      </w:r>
      <w:r>
        <w:t xml:space="preserve">(par défaut) </w:t>
      </w:r>
      <w:r>
        <w:rPr>
          <w:rStyle w:val="optioncarChar"/>
        </w:rPr>
        <w:t>/ 100 / 250 / 300 / ***</w:t>
      </w:r>
      <w:r>
        <w:rPr>
          <w:rStyle w:val="soitChar"/>
        </w:rPr>
        <w:t xml:space="preserve"> mm</w:t>
      </w:r>
    </w:p>
    <w:p w14:paraId="1D71AC9F" w14:textId="77777777" w:rsidR="00772179" w:rsidRDefault="00000000">
      <w:pPr>
        <w:pStyle w:val="Author-eListParagraph"/>
        <w:numPr>
          <w:ilvl w:val="0"/>
          <w:numId w:val="1099"/>
        </w:numPr>
      </w:pPr>
      <w:r>
        <w:rPr>
          <w:rStyle w:val="soitChar"/>
        </w:rPr>
        <w:t xml:space="preserve">Etanche au radon : </w:t>
      </w:r>
      <w:r>
        <w:rPr>
          <w:rStyle w:val="optioncarChar"/>
        </w:rPr>
        <w:t>non</w:t>
      </w:r>
      <w:r>
        <w:t xml:space="preserve"> (par défaut) </w:t>
      </w:r>
      <w:r>
        <w:rPr>
          <w:rStyle w:val="optioncarChar"/>
        </w:rPr>
        <w:t>/ oui</w:t>
      </w:r>
    </w:p>
    <w:p w14:paraId="2CF82029" w14:textId="77777777" w:rsidR="00772179" w:rsidRDefault="00000000">
      <w:pPr>
        <w:ind w:left="567"/>
        <w:jc w:val="both"/>
      </w:pPr>
      <w:r>
        <w:rPr>
          <w:b/>
        </w:rPr>
        <w:t xml:space="preserve"> (soit)</w:t>
      </w:r>
    </w:p>
    <w:p w14:paraId="45F69AEA" w14:textId="77777777" w:rsidR="00772179" w:rsidRDefault="00000000">
      <w:pPr>
        <w:ind w:left="567"/>
        <w:jc w:val="both"/>
      </w:pPr>
      <w:r>
        <w:rPr>
          <w:rStyle w:val="soitChar"/>
          <w:u w:val="single"/>
        </w:rPr>
        <w:t>Joint d’étanchéité annulaire :</w:t>
      </w:r>
    </w:p>
    <w:p w14:paraId="20A1CA91" w14:textId="77777777" w:rsidR="00772179" w:rsidRDefault="00000000">
      <w:pPr>
        <w:pStyle w:val="Author-eListParagraph"/>
        <w:numPr>
          <w:ilvl w:val="0"/>
          <w:numId w:val="1100"/>
        </w:numPr>
      </w:pPr>
      <w:r>
        <w:rPr>
          <w:rStyle w:val="soitChar"/>
        </w:rPr>
        <w:t xml:space="preserve">Matériau : </w:t>
      </w:r>
      <w:r>
        <w:rPr>
          <w:rStyle w:val="optioncarChar"/>
        </w:rPr>
        <w:t>NBR / EPDM</w:t>
      </w:r>
    </w:p>
    <w:p w14:paraId="79E4E20E" w14:textId="77777777" w:rsidR="00772179" w:rsidRDefault="00000000">
      <w:pPr>
        <w:pStyle w:val="Author-eListParagraph"/>
        <w:numPr>
          <w:ilvl w:val="0"/>
          <w:numId w:val="1100"/>
        </w:numPr>
      </w:pPr>
      <w:r>
        <w:rPr>
          <w:rStyle w:val="soitChar"/>
        </w:rPr>
        <w:t xml:space="preserve">Diamètre : </w:t>
      </w:r>
      <w:r>
        <w:rPr>
          <w:rStyle w:val="optioncarChar"/>
        </w:rPr>
        <w:t>100 / 150 / 200 / 250 / 300</w:t>
      </w:r>
      <w:r>
        <w:rPr>
          <w:rStyle w:val="soitChar"/>
        </w:rPr>
        <w:t xml:space="preserve"> mm</w:t>
      </w:r>
    </w:p>
    <w:p w14:paraId="5CC13AEE" w14:textId="77777777" w:rsidR="00772179" w:rsidRDefault="00000000">
      <w:pPr>
        <w:pStyle w:val="Author-eListParagraph"/>
        <w:numPr>
          <w:ilvl w:val="0"/>
          <w:numId w:val="1100"/>
        </w:numPr>
      </w:pPr>
      <w:r>
        <w:rPr>
          <w:rStyle w:val="soitChar"/>
        </w:rPr>
        <w:t xml:space="preserve">Largeur d’étanchéité : </w:t>
      </w:r>
      <w:r>
        <w:rPr>
          <w:rStyle w:val="optioncarChar"/>
        </w:rPr>
        <w:t>40</w:t>
      </w:r>
      <w:r>
        <w:t xml:space="preserve"> (par défaut) </w:t>
      </w:r>
      <w:r>
        <w:rPr>
          <w:rStyle w:val="optioncarChar"/>
        </w:rPr>
        <w:t>/ ***</w:t>
      </w:r>
      <w:r>
        <w:rPr>
          <w:rStyle w:val="soitChar"/>
        </w:rPr>
        <w:t xml:space="preserve"> mm</w:t>
      </w:r>
    </w:p>
    <w:p w14:paraId="7BFEA26F" w14:textId="77777777" w:rsidR="00772179" w:rsidRDefault="00000000">
      <w:pPr>
        <w:pStyle w:val="Author-eListParagraph"/>
        <w:numPr>
          <w:ilvl w:val="0"/>
          <w:numId w:val="1100"/>
        </w:numPr>
      </w:pPr>
      <w:r>
        <w:rPr>
          <w:rStyle w:val="soitChar"/>
        </w:rPr>
        <w:t xml:space="preserve">Diamètre des câbles / tubes : </w:t>
      </w:r>
      <w:r>
        <w:rPr>
          <w:rStyle w:val="optioncarChar"/>
        </w:rPr>
        <w:t>18 à 65 / 79 à 80 / 99 à 104 / 110 à 162 / 149 à 153 / 159 à 211 / 199 à 203 / 200 à 252 / 249 à 253 / 299 à 303 / ***</w:t>
      </w:r>
      <w:r>
        <w:rPr>
          <w:rStyle w:val="soitChar"/>
        </w:rPr>
        <w:t xml:space="preserve"> mm</w:t>
      </w:r>
    </w:p>
    <w:p w14:paraId="72AA84B1" w14:textId="77777777" w:rsidR="00772179" w:rsidRDefault="00000000">
      <w:pPr>
        <w:jc w:val="both"/>
      </w:pPr>
      <w:r>
        <w:rPr>
          <w:b/>
        </w:rPr>
        <w:lastRenderedPageBreak/>
        <w:t>(soit)</w:t>
      </w:r>
    </w:p>
    <w:p w14:paraId="12B16A9F" w14:textId="77777777" w:rsidR="00772179" w:rsidRDefault="00000000">
      <w:pPr>
        <w:jc w:val="both"/>
      </w:pPr>
      <w:r>
        <w:rPr>
          <w:rStyle w:val="soitChar"/>
          <w:u w:val="single"/>
        </w:rPr>
        <w:t>A intégrer lors de la réalisation du béton :</w:t>
      </w:r>
      <w:r>
        <w:t xml:space="preserve">  </w:t>
      </w:r>
      <w:r>
        <w:rPr>
          <w:rStyle w:val="optioncarChar"/>
        </w:rPr>
        <w:t xml:space="preserve">gaine rigide avec bride </w:t>
      </w:r>
      <w:r>
        <w:t>(par défaut)</w:t>
      </w:r>
      <w:r>
        <w:rPr>
          <w:rStyle w:val="optioncarChar"/>
        </w:rPr>
        <w:t xml:space="preserve"> / gaine rigide avec flasque / ***</w:t>
      </w:r>
    </w:p>
    <w:p w14:paraId="3B541407" w14:textId="77777777" w:rsidR="00772179" w:rsidRDefault="00000000">
      <w:pPr>
        <w:ind w:left="567"/>
        <w:jc w:val="both"/>
      </w:pPr>
      <w:r>
        <w:rPr>
          <w:b/>
        </w:rPr>
        <w:t>(soit par défaut)</w:t>
      </w:r>
    </w:p>
    <w:p w14:paraId="23912836" w14:textId="77777777" w:rsidR="00772179" w:rsidRDefault="00000000">
      <w:pPr>
        <w:ind w:left="567"/>
        <w:jc w:val="both"/>
      </w:pPr>
      <w:r>
        <w:rPr>
          <w:rStyle w:val="soitChar"/>
          <w:u w:val="single"/>
        </w:rPr>
        <w:t>Gaine rigide avec bride :</w:t>
      </w:r>
    </w:p>
    <w:p w14:paraId="12C06707" w14:textId="77777777" w:rsidR="00772179" w:rsidRDefault="00000000">
      <w:pPr>
        <w:pStyle w:val="Author-eListParagraph"/>
        <w:numPr>
          <w:ilvl w:val="0"/>
          <w:numId w:val="1101"/>
        </w:numPr>
      </w:pPr>
      <w:r>
        <w:rPr>
          <w:rStyle w:val="soitChar"/>
        </w:rPr>
        <w:t xml:space="preserve">Matériau : </w:t>
      </w:r>
      <w:r>
        <w:rPr>
          <w:rStyle w:val="optioncarChar"/>
        </w:rPr>
        <w:t xml:space="preserve">ABS recyclé </w:t>
      </w:r>
      <w:r>
        <w:t>(par défaut)</w:t>
      </w:r>
      <w:r>
        <w:rPr>
          <w:rStyle w:val="optioncarChar"/>
        </w:rPr>
        <w:t xml:space="preserve"> / fibrociment avec bride en fibrociment / fibrociment avec bride en fonte / ***</w:t>
      </w:r>
    </w:p>
    <w:p w14:paraId="7A3D2EFD" w14:textId="77777777" w:rsidR="00772179" w:rsidRDefault="00000000">
      <w:pPr>
        <w:pStyle w:val="Author-eListParagraph"/>
        <w:numPr>
          <w:ilvl w:val="0"/>
          <w:numId w:val="1101"/>
        </w:numPr>
      </w:pPr>
      <w:r>
        <w:rPr>
          <w:rStyle w:val="soitChar"/>
        </w:rPr>
        <w:t xml:space="preserve">Fermeture : </w:t>
      </w:r>
      <w:r>
        <w:rPr>
          <w:rStyle w:val="optioncarChar"/>
        </w:rPr>
        <w:t>bouchon en PE</w:t>
      </w:r>
      <w:r>
        <w:t xml:space="preserve"> (par défaut)</w:t>
      </w:r>
      <w:r>
        <w:rPr>
          <w:rStyle w:val="optioncarChar"/>
        </w:rPr>
        <w:t xml:space="preserve"> / ***</w:t>
      </w:r>
    </w:p>
    <w:p w14:paraId="184089A3" w14:textId="77777777" w:rsidR="00772179" w:rsidRDefault="00000000">
      <w:pPr>
        <w:pStyle w:val="Author-eListParagraph"/>
        <w:numPr>
          <w:ilvl w:val="0"/>
          <w:numId w:val="1101"/>
        </w:numPr>
      </w:pPr>
      <w:r>
        <w:rPr>
          <w:rStyle w:val="soitChar"/>
        </w:rPr>
        <w:t xml:space="preserve">Diamètre : </w:t>
      </w:r>
      <w:r>
        <w:rPr>
          <w:rStyle w:val="optioncarChar"/>
        </w:rPr>
        <w:t xml:space="preserve">150 </w:t>
      </w:r>
      <w:r>
        <w:t xml:space="preserve">(par défaut) </w:t>
      </w:r>
      <w:r>
        <w:rPr>
          <w:rStyle w:val="optioncarChar"/>
        </w:rPr>
        <w:t>/ 100 / 250 / 300 / ***</w:t>
      </w:r>
      <w:r>
        <w:rPr>
          <w:rStyle w:val="soitChar"/>
        </w:rPr>
        <w:t xml:space="preserve"> mm</w:t>
      </w:r>
    </w:p>
    <w:p w14:paraId="7EECF113" w14:textId="77777777" w:rsidR="00772179" w:rsidRDefault="00000000">
      <w:pPr>
        <w:pStyle w:val="Author-eListParagraph"/>
        <w:numPr>
          <w:ilvl w:val="0"/>
          <w:numId w:val="1101"/>
        </w:numPr>
      </w:pPr>
      <w:r>
        <w:rPr>
          <w:rStyle w:val="soitChar"/>
        </w:rPr>
        <w:t xml:space="preserve">Etanche au radon : </w:t>
      </w:r>
      <w:r>
        <w:rPr>
          <w:rStyle w:val="optioncarChar"/>
        </w:rPr>
        <w:t xml:space="preserve">non </w:t>
      </w:r>
      <w:r>
        <w:t>(par défaut)</w:t>
      </w:r>
      <w:r>
        <w:rPr>
          <w:rStyle w:val="optioncarChar"/>
        </w:rPr>
        <w:t xml:space="preserve"> / oui</w:t>
      </w:r>
    </w:p>
    <w:p w14:paraId="62E97550" w14:textId="77777777" w:rsidR="00772179" w:rsidRDefault="00000000">
      <w:pPr>
        <w:ind w:left="567"/>
        <w:jc w:val="both"/>
      </w:pPr>
      <w:r>
        <w:rPr>
          <w:b/>
        </w:rPr>
        <w:t>(soit)</w:t>
      </w:r>
    </w:p>
    <w:p w14:paraId="31467161" w14:textId="77777777" w:rsidR="00772179" w:rsidRDefault="00000000">
      <w:pPr>
        <w:ind w:left="567"/>
        <w:jc w:val="both"/>
      </w:pPr>
      <w:r>
        <w:rPr>
          <w:rStyle w:val="soitChar"/>
          <w:u w:val="single"/>
        </w:rPr>
        <w:t>Gaine rigide avec flasque :</w:t>
      </w:r>
      <w:r>
        <w:rPr>
          <w:rStyle w:val="soitChar"/>
        </w:rPr>
        <w:t xml:space="preserve"> flasque : </w:t>
      </w:r>
      <w:r>
        <w:rPr>
          <w:rStyle w:val="optioncarChar"/>
        </w:rPr>
        <w:t>simple / double</w:t>
      </w:r>
    </w:p>
    <w:p w14:paraId="76785E9E" w14:textId="77777777" w:rsidR="00772179" w:rsidRDefault="00000000">
      <w:pPr>
        <w:pStyle w:val="Author-eListParagraph"/>
        <w:numPr>
          <w:ilvl w:val="0"/>
          <w:numId w:val="1102"/>
        </w:numPr>
        <w:jc w:val="both"/>
      </w:pPr>
      <w:r>
        <w:rPr>
          <w:rStyle w:val="soitChar"/>
        </w:rPr>
        <w:t xml:space="preserve">Diamètre : </w:t>
      </w:r>
      <w:r>
        <w:rPr>
          <w:rStyle w:val="optioncarChar"/>
        </w:rPr>
        <w:t>110 / 125 / 160</w:t>
      </w:r>
      <w:r>
        <w:rPr>
          <w:rStyle w:val="soitChar"/>
        </w:rPr>
        <w:t xml:space="preserve"> mm</w:t>
      </w:r>
    </w:p>
    <w:p w14:paraId="02D2BF13" w14:textId="77777777" w:rsidR="00772179" w:rsidRDefault="00000000">
      <w:pPr>
        <w:pStyle w:val="Author-eListParagraph"/>
        <w:numPr>
          <w:ilvl w:val="0"/>
          <w:numId w:val="1102"/>
        </w:numPr>
        <w:jc w:val="both"/>
      </w:pPr>
      <w:r>
        <w:rPr>
          <w:rStyle w:val="soitChar"/>
        </w:rPr>
        <w:t xml:space="preserve">Longueur réglable en fonction de l’épaisseur de la paroi : </w:t>
      </w:r>
      <w:r>
        <w:rPr>
          <w:rStyle w:val="optioncarChar"/>
        </w:rPr>
        <w:t>200 à 365 / 365 à 575</w:t>
      </w:r>
      <w:r>
        <w:rPr>
          <w:rStyle w:val="soitChar"/>
        </w:rPr>
        <w:t xml:space="preserve"> mm</w:t>
      </w:r>
    </w:p>
    <w:p w14:paraId="69F8F020" w14:textId="77777777" w:rsidR="00772179" w:rsidRDefault="00000000">
      <w:pPr>
        <w:pStyle w:val="Author-eListParagraph"/>
        <w:numPr>
          <w:ilvl w:val="0"/>
          <w:numId w:val="1102"/>
        </w:numPr>
        <w:jc w:val="both"/>
      </w:pPr>
      <w:r>
        <w:rPr>
          <w:rStyle w:val="soitChar"/>
        </w:rPr>
        <w:t>Côté extérieur des flasques pourvu d’un anneau EPDM à 3 rainures</w:t>
      </w:r>
    </w:p>
    <w:p w14:paraId="0E20EC9F" w14:textId="77777777" w:rsidR="00772179" w:rsidRDefault="00000000">
      <w:pPr>
        <w:pStyle w:val="Author-eListParagraph"/>
        <w:numPr>
          <w:ilvl w:val="0"/>
          <w:numId w:val="1102"/>
        </w:numPr>
        <w:jc w:val="both"/>
      </w:pPr>
      <w:r>
        <w:rPr>
          <w:rStyle w:val="soitChar"/>
        </w:rPr>
        <w:t>Flasque pourvue d’un système d’accroche permettant l’assemblage sur site.</w:t>
      </w:r>
    </w:p>
    <w:p w14:paraId="202256F2" w14:textId="77777777" w:rsidR="00772179" w:rsidRDefault="00000000">
      <w:pPr>
        <w:pStyle w:val="Author-eListParagraph"/>
        <w:numPr>
          <w:ilvl w:val="0"/>
          <w:numId w:val="1102"/>
        </w:numPr>
        <w:jc w:val="both"/>
      </w:pPr>
      <w:r>
        <w:rPr>
          <w:rStyle w:val="soitChar"/>
        </w:rPr>
        <w:t xml:space="preserve">Côté intérieur pourvu d’un dispositif à baïonnette permettant le raccordement étanche à de différents couvercles : </w:t>
      </w:r>
      <w:r>
        <w:rPr>
          <w:rStyle w:val="optioncarChar"/>
        </w:rPr>
        <w:t>à segments pour passage de tubes ou câbles / à une ou plusieurs tubulures pour passage de tubes ou câbles / à une tubulure pour le raccordement de gaines de protection de câbles / multi trous</w:t>
      </w:r>
    </w:p>
    <w:p w14:paraId="606E4AD1" w14:textId="77777777" w:rsidR="00772179" w:rsidRDefault="00000000">
      <w:pPr>
        <w:pStyle w:val="Author-eListParagraph"/>
        <w:numPr>
          <w:ilvl w:val="0"/>
          <w:numId w:val="1102"/>
        </w:numPr>
        <w:jc w:val="both"/>
      </w:pPr>
      <w:r>
        <w:rPr>
          <w:rStyle w:val="soitChar"/>
        </w:rPr>
        <w:t xml:space="preserve">Diamètre des trous de passage ± : </w:t>
      </w:r>
      <w:r>
        <w:rPr>
          <w:rStyle w:val="optioncarChar"/>
        </w:rPr>
        <w:t>5 / 10 / 20 / 50 / 75 / 90 / 110 /140</w:t>
      </w:r>
      <w:r>
        <w:rPr>
          <w:rStyle w:val="soitChar"/>
        </w:rPr>
        <w:t xml:space="preserve"> mm</w:t>
      </w:r>
    </w:p>
    <w:p w14:paraId="02392A04" w14:textId="77777777" w:rsidR="00772179" w:rsidRDefault="00000000">
      <w:pPr>
        <w:ind w:left="567"/>
      </w:pPr>
      <w:r>
        <w:rPr>
          <w:b/>
        </w:rPr>
        <w:t>(soit)</w:t>
      </w:r>
      <w:r>
        <w:br/>
      </w:r>
      <w:r>
        <w:rPr>
          <w:rStyle w:val="optioncarChar"/>
        </w:rPr>
        <w:t>***</w:t>
      </w:r>
    </w:p>
    <w:p w14:paraId="660D991E" w14:textId="77777777" w:rsidR="00772179" w:rsidRDefault="00000000">
      <w:pPr>
        <w:pStyle w:val="pheading"/>
      </w:pPr>
      <w:r>
        <w:t>EXÉCUTION / MISE EN ŒUVRE</w:t>
      </w:r>
    </w:p>
    <w:p w14:paraId="32B8008C" w14:textId="77777777" w:rsidR="00772179" w:rsidRDefault="00000000">
      <w:pPr>
        <w:pStyle w:val="pheading"/>
      </w:pPr>
      <w:r>
        <w:t>- Prescriptions générales</w:t>
      </w:r>
    </w:p>
    <w:p w14:paraId="57F9D3E0" w14:textId="77777777" w:rsidR="00772179" w:rsidRDefault="00000000">
      <w:pPr>
        <w:jc w:val="both"/>
      </w:pPr>
      <w:r>
        <w:t>La mise en œuvre est exécutée conformément à la documentation technique accompagnant les produits.</w:t>
      </w:r>
    </w:p>
    <w:p w14:paraId="26420A20" w14:textId="77777777" w:rsidR="00772179" w:rsidRDefault="00000000">
      <w:pPr>
        <w:jc w:val="both"/>
      </w:pPr>
      <w:r>
        <w:t>En cas d’application après réalisation du carottage :</w:t>
      </w:r>
    </w:p>
    <w:p w14:paraId="4E8B279E" w14:textId="77777777" w:rsidR="00772179" w:rsidRDefault="00000000">
      <w:pPr>
        <w:ind w:left="567"/>
        <w:jc w:val="both"/>
      </w:pPr>
      <w:r>
        <w:t>La mise en place de brides est effectuée comme suit :</w:t>
      </w:r>
    </w:p>
    <w:p w14:paraId="4B7BC8DE" w14:textId="77777777" w:rsidR="00772179" w:rsidRDefault="00000000">
      <w:pPr>
        <w:pStyle w:val="Author-eListParagraph"/>
        <w:numPr>
          <w:ilvl w:val="0"/>
          <w:numId w:val="1103"/>
        </w:numPr>
      </w:pPr>
      <w:r>
        <w:t>Égalisation du support au moyen d’une masse d’étanchéité élastique recommandée par le fabricant.</w:t>
      </w:r>
    </w:p>
    <w:p w14:paraId="66D5B8C6" w14:textId="77777777" w:rsidR="00772179" w:rsidRDefault="00000000">
      <w:pPr>
        <w:pStyle w:val="Author-eListParagraph"/>
        <w:numPr>
          <w:ilvl w:val="0"/>
          <w:numId w:val="1103"/>
        </w:numPr>
      </w:pPr>
      <w:r>
        <w:t>Application du matériau de scellement au dos de la bride dans les évidements préformés du joint.</w:t>
      </w:r>
    </w:p>
    <w:p w14:paraId="301E72C0" w14:textId="77777777" w:rsidR="00772179" w:rsidRDefault="00000000">
      <w:pPr>
        <w:pStyle w:val="Author-eListParagraph"/>
        <w:numPr>
          <w:ilvl w:val="0"/>
          <w:numId w:val="1103"/>
        </w:numPr>
      </w:pPr>
      <w:r>
        <w:t>Fixation au moyen de chevilles et vis avec rondelles en caoutchouc.</w:t>
      </w:r>
    </w:p>
    <w:p w14:paraId="1B24FC08" w14:textId="77777777" w:rsidR="00772179" w:rsidRDefault="00000000">
      <w:pPr>
        <w:pStyle w:val="Author-eListParagraph"/>
        <w:numPr>
          <w:ilvl w:val="0"/>
          <w:numId w:val="1103"/>
        </w:numPr>
      </w:pPr>
      <w:r>
        <w:t>Le cas échéant, une contre-bride est appliquée afin de pincer l’étanchéité de type membrane entre les 2 parties de la bride.</w:t>
      </w:r>
    </w:p>
    <w:p w14:paraId="74E56EEF" w14:textId="77777777" w:rsidR="00772179" w:rsidRDefault="00000000">
      <w:pPr>
        <w:ind w:left="567"/>
        <w:jc w:val="both"/>
      </w:pPr>
      <w:r>
        <w:t>La mise en place de joints d’étanchéité annulaires est effectuée comme suit :</w:t>
      </w:r>
    </w:p>
    <w:p w14:paraId="20DDB13A" w14:textId="77777777" w:rsidR="00772179" w:rsidRDefault="00000000">
      <w:pPr>
        <w:pStyle w:val="Author-eListParagraph"/>
        <w:numPr>
          <w:ilvl w:val="0"/>
          <w:numId w:val="1104"/>
        </w:numPr>
      </w:pPr>
      <w:r>
        <w:t>Montage du joint modulaire autour du tube nettoyé.</w:t>
      </w:r>
    </w:p>
    <w:p w14:paraId="73E4AED9" w14:textId="77777777" w:rsidR="00772179" w:rsidRDefault="00000000">
      <w:pPr>
        <w:pStyle w:val="Author-eListParagraph"/>
        <w:numPr>
          <w:ilvl w:val="0"/>
          <w:numId w:val="1104"/>
        </w:numPr>
      </w:pPr>
      <w:r>
        <w:t xml:space="preserve">Le joint est glissé dans le carottage jusqu’au ras du mur à </w:t>
      </w:r>
      <w:r>
        <w:rPr>
          <w:rStyle w:val="optioncarChar"/>
        </w:rPr>
        <w:t>l’intérieur / l'extérieur</w:t>
      </w:r>
      <w:r>
        <w:t>.</w:t>
      </w:r>
    </w:p>
    <w:p w14:paraId="27149E30" w14:textId="77777777" w:rsidR="00772179" w:rsidRDefault="00000000">
      <w:pPr>
        <w:jc w:val="both"/>
      </w:pPr>
      <w:r>
        <w:t>En cas d’intégration lors de la réalisation du béton, la gaine rigide est placée dans l’épaisseur entre les coffrages, le béton est coulé en veillant à ne pas compacter à moins de 30 cm au-dessus de la gaine.</w:t>
      </w:r>
    </w:p>
    <w:p w14:paraId="5D056BE1" w14:textId="77777777" w:rsidR="00772179" w:rsidRDefault="00772179">
      <w:pPr>
        <w:jc w:val="both"/>
      </w:pPr>
    </w:p>
    <w:p w14:paraId="34088BC7" w14:textId="77777777" w:rsidR="00772179" w:rsidRDefault="00000000">
      <w:pPr>
        <w:jc w:val="both"/>
      </w:pPr>
      <w:r>
        <w:t xml:space="preserve">Obligation de permis de percements : </w:t>
      </w:r>
      <w:r>
        <w:rPr>
          <w:rStyle w:val="optioncarChar"/>
        </w:rPr>
        <w:t xml:space="preserve">non </w:t>
      </w:r>
      <w:r>
        <w:t>(par défaut)</w:t>
      </w:r>
      <w:r>
        <w:rPr>
          <w:rStyle w:val="optioncarChar"/>
        </w:rPr>
        <w:t xml:space="preserve"> / oui</w:t>
      </w:r>
    </w:p>
    <w:p w14:paraId="46E7207E" w14:textId="77777777" w:rsidR="00772179" w:rsidRDefault="00000000">
      <w:pPr>
        <w:pStyle w:val="pheading"/>
      </w:pPr>
      <w:r>
        <w:t>MESURAGE</w:t>
      </w:r>
    </w:p>
    <w:p w14:paraId="2BD65B64" w14:textId="77777777" w:rsidR="00772179" w:rsidRDefault="00000000">
      <w:pPr>
        <w:pStyle w:val="pheading"/>
      </w:pPr>
      <w:r>
        <w:t>- unité de mesure:</w:t>
      </w:r>
    </w:p>
    <w:p w14:paraId="597CC818" w14:textId="77777777" w:rsidR="00772179" w:rsidRDefault="00000000">
      <w:r>
        <w:lastRenderedPageBreak/>
        <w:t>1.2. pc</w:t>
      </w:r>
    </w:p>
    <w:p w14:paraId="23152679" w14:textId="77777777" w:rsidR="00772179" w:rsidRDefault="00000000">
      <w:pPr>
        <w:pStyle w:val="pheading"/>
      </w:pPr>
      <w:r>
        <w:t>- code de mesurage:</w:t>
      </w:r>
    </w:p>
    <w:p w14:paraId="7D71BD0E" w14:textId="77777777" w:rsidR="00772179" w:rsidRDefault="00000000">
      <w:r>
        <w:t>1.2. Quantité nette, distinction faite du diamètre et de l’épaisseur de la paroi</w:t>
      </w:r>
    </w:p>
    <w:p w14:paraId="0F6EBEC5" w14:textId="77777777" w:rsidR="00772179" w:rsidRDefault="00000000">
      <w:pPr>
        <w:pStyle w:val="pheading"/>
      </w:pPr>
      <w:r>
        <w:t>- nature du marché:</w:t>
      </w:r>
    </w:p>
    <w:p w14:paraId="269948A3" w14:textId="77777777" w:rsidR="00772179" w:rsidRDefault="00000000">
      <w:r>
        <w:rPr>
          <w:rStyle w:val="optioncarChar"/>
        </w:rPr>
        <w:t>QF</w:t>
      </w:r>
      <w:r>
        <w:t xml:space="preserve"> (par défaut) </w:t>
      </w:r>
      <w:r>
        <w:rPr>
          <w:rStyle w:val="optioncarChar"/>
        </w:rPr>
        <w:t>/ QP</w:t>
      </w:r>
    </w:p>
    <w:p w14:paraId="61844A1D" w14:textId="77777777" w:rsidR="00772179" w:rsidRDefault="00000000">
      <w:r>
        <w:rPr>
          <w:b/>
        </w:rPr>
        <w:t>(soit par défaut)</w:t>
      </w:r>
      <w:r>
        <w:br/>
      </w:r>
      <w:r>
        <w:rPr>
          <w:rStyle w:val="soitChar"/>
        </w:rPr>
        <w:t>1.  QF</w:t>
      </w:r>
      <w:r>
        <w:br/>
      </w:r>
      <w:r>
        <w:rPr>
          <w:b/>
        </w:rPr>
        <w:t>(soit)</w:t>
      </w:r>
      <w:r>
        <w:br/>
      </w:r>
      <w:r>
        <w:rPr>
          <w:rStyle w:val="soitChar"/>
        </w:rPr>
        <w:t>2. QP</w:t>
      </w:r>
    </w:p>
    <w:p w14:paraId="2B1C1D84" w14:textId="77777777" w:rsidR="00772179" w:rsidRDefault="00000000">
      <w:pPr>
        <w:pStyle w:val="Author-eSectionHeading6Numberless"/>
      </w:pPr>
      <w:bookmarkStart w:id="931" w:name="_Toc220490598"/>
      <w:r>
        <w:t>43.64.4d Mastics d'étanchéité élastiques CCTB 01.11</w:t>
      </w:r>
      <w:bookmarkEnd w:id="931"/>
    </w:p>
    <w:p w14:paraId="70A528C4" w14:textId="77777777" w:rsidR="00772179" w:rsidRDefault="00000000">
      <w:pPr>
        <w:pStyle w:val="pheading"/>
      </w:pPr>
      <w:r>
        <w:t>MATÉRIAUX</w:t>
      </w:r>
    </w:p>
    <w:p w14:paraId="0B19E2EA" w14:textId="77777777" w:rsidR="00772179" w:rsidRDefault="00000000">
      <w:pPr>
        <w:pStyle w:val="pheading"/>
      </w:pPr>
      <w:r>
        <w:t>- Caractéristiques générales</w:t>
      </w:r>
    </w:p>
    <w:p w14:paraId="7B22DA49" w14:textId="77777777" w:rsidR="00772179" w:rsidRDefault="00000000">
      <w:r>
        <w:t>Le mastic élastique silicone est </w:t>
      </w:r>
      <w:r>
        <w:rPr>
          <w:rStyle w:val="optioncarChar"/>
        </w:rPr>
        <w:t xml:space="preserve">élastomère </w:t>
      </w:r>
      <w:r>
        <w:t>(par défaut)</w:t>
      </w:r>
      <w:r>
        <w:rPr>
          <w:rStyle w:val="optioncarChar"/>
        </w:rPr>
        <w:t xml:space="preserve"> / ***</w:t>
      </w:r>
    </w:p>
    <w:p w14:paraId="031D13F7" w14:textId="77777777" w:rsidR="00772179" w:rsidRDefault="00000000">
      <w:r>
        <w:rPr>
          <w:b/>
        </w:rPr>
        <w:t>(soit par défaut) :</w:t>
      </w:r>
      <w:r>
        <w:t>   </w:t>
      </w:r>
      <w:r>
        <w:rPr>
          <w:rStyle w:val="soitChar"/>
          <w:u w:val="single"/>
        </w:rPr>
        <w:t>un élastomère </w:t>
      </w:r>
      <w:r>
        <w:rPr>
          <w:rStyle w:val="soitChar"/>
        </w:rPr>
        <w:t>à une seule composante à base de silicones neutres qui sont</w:t>
      </w:r>
      <w:r>
        <w:rPr>
          <w:rStyle w:val="soitChar"/>
          <w:color w:val="000000"/>
        </w:rPr>
        <w:t> </w:t>
      </w:r>
      <w:r>
        <w:rPr>
          <w:rStyle w:val="optioncarChar"/>
        </w:rPr>
        <w:t>peints / acides qui ne peuvent pas être peints.</w:t>
      </w:r>
    </w:p>
    <w:p w14:paraId="0D939E82" w14:textId="77777777" w:rsidR="00772179" w:rsidRDefault="00000000">
      <w:r>
        <w:rPr>
          <w:b/>
        </w:rPr>
        <w:t>(soit) : </w:t>
      </w:r>
      <w:r>
        <w:rPr>
          <w:rStyle w:val="optioncarChar"/>
          <w:b/>
        </w:rPr>
        <w:t>***</w:t>
      </w:r>
    </w:p>
    <w:p w14:paraId="7334A868" w14:textId="77777777" w:rsidR="00772179" w:rsidRDefault="00772179"/>
    <w:p w14:paraId="462DA40D" w14:textId="77777777" w:rsidR="00772179" w:rsidRDefault="00000000">
      <w:pPr>
        <w:pStyle w:val="pheading"/>
      </w:pPr>
      <w:r>
        <w:t>- Finitions</w:t>
      </w:r>
    </w:p>
    <w:p w14:paraId="5FFB73BE" w14:textId="77777777" w:rsidR="00772179" w:rsidRDefault="00000000">
      <w:r>
        <w:t xml:space="preserve">Couleur : </w:t>
      </w:r>
      <w:r>
        <w:rPr>
          <w:rStyle w:val="optioncarChar"/>
        </w:rPr>
        <w:t>gris / noir / brun clair / brun foncé / beige / à déterminer en cours d'exécution</w:t>
      </w:r>
    </w:p>
    <w:p w14:paraId="4C9424E0" w14:textId="77777777" w:rsidR="00772179" w:rsidRDefault="00000000">
      <w:pPr>
        <w:pStyle w:val="pheading"/>
      </w:pPr>
      <w:r>
        <w:t>EXÉCUTION / MISE EN ŒUVRE</w:t>
      </w:r>
    </w:p>
    <w:p w14:paraId="6A5791F2" w14:textId="77777777" w:rsidR="00772179" w:rsidRDefault="00000000">
      <w:pPr>
        <w:pStyle w:val="pheading"/>
      </w:pPr>
      <w:r>
        <w:t>- Prescriptions générales</w:t>
      </w:r>
    </w:p>
    <w:p w14:paraId="3C86D252" w14:textId="77777777" w:rsidR="00772179" w:rsidRDefault="00000000">
      <w:r>
        <w:t>Les joints au mastic entre les éléments de façade sont exécutés selon la [NIT 124].</w:t>
      </w:r>
      <w:r>
        <w:br/>
        <w:t xml:space="preserve">Le cordon d'étanchéité est compté dans ce poste et décrit à l'élément </w:t>
      </w:r>
      <w:hyperlink w:anchor="470" w:history="1">
        <w:r>
          <w:rPr>
            <w:color w:val="0000EE"/>
          </w:rPr>
          <w:t>43.65 Etanchéisation de joints</w:t>
        </w:r>
      </w:hyperlink>
      <w:r>
        <w:t>.</w:t>
      </w:r>
      <w:r>
        <w:br/>
        <w:t>La profondeur des joints ≥ ½ de la largeur du joint et ≥ 6 mm.</w:t>
      </w:r>
      <w:r>
        <w:br/>
        <w:t>La face vue est exécutée avec un léger creux et est</w:t>
      </w:r>
      <w:r>
        <w:rPr>
          <w:rStyle w:val="optioncarChar"/>
        </w:rPr>
        <w:t xml:space="preserve"> en retrait / n'est pas en retrait.</w:t>
      </w:r>
      <w:r>
        <w:br/>
        <w:t>Au préalable, les lèvres des joints sont protégées à l'aide de bandes adhésives qui sont enlevées immédiatement après le lissage du joint. Les joints sont achevés proprement, en ligne droite et lissés à l'aide d'une solution savonneuse avant la formation de la pellicule.</w:t>
      </w:r>
    </w:p>
    <w:p w14:paraId="1B3F72BA" w14:textId="77777777" w:rsidR="00772179" w:rsidRDefault="00000000">
      <w:pPr>
        <w:pStyle w:val="pheading"/>
      </w:pPr>
      <w:r>
        <w:t>MESURAGE</w:t>
      </w:r>
    </w:p>
    <w:p w14:paraId="6C21025D" w14:textId="77777777" w:rsidR="00772179" w:rsidRDefault="00000000">
      <w:pPr>
        <w:pStyle w:val="pheading"/>
      </w:pPr>
      <w:r>
        <w:t>- unité de mesure:</w:t>
      </w:r>
    </w:p>
    <w:p w14:paraId="49649DD9" w14:textId="77777777" w:rsidR="00772179" w:rsidRDefault="00000000">
      <w:r>
        <w:rPr>
          <w:rStyle w:val="optioncarChar"/>
        </w:rPr>
        <w:t>-</w:t>
      </w:r>
      <w:r>
        <w:t xml:space="preserve"> (par défaut)</w:t>
      </w:r>
      <w:r>
        <w:rPr>
          <w:rStyle w:val="optioncarChar"/>
        </w:rPr>
        <w:t xml:space="preserve"> / m </w:t>
      </w:r>
    </w:p>
    <w:p w14:paraId="3408759C" w14:textId="77777777" w:rsidR="00772179" w:rsidRDefault="00000000">
      <w:r>
        <w:rPr>
          <w:b/>
        </w:rPr>
        <w:t>(soit par défaut)</w:t>
      </w:r>
    </w:p>
    <w:p w14:paraId="4394AB1A" w14:textId="77777777" w:rsidR="00772179" w:rsidRDefault="00000000">
      <w:r>
        <w:rPr>
          <w:rStyle w:val="soitChar"/>
        </w:rPr>
        <w:t>1. -</w:t>
      </w:r>
    </w:p>
    <w:p w14:paraId="3974DE96" w14:textId="77777777" w:rsidR="00772179" w:rsidRDefault="00000000">
      <w:r>
        <w:rPr>
          <w:b/>
        </w:rPr>
        <w:t>(soit)</w:t>
      </w:r>
    </w:p>
    <w:p w14:paraId="538BE7AC" w14:textId="77777777" w:rsidR="00772179" w:rsidRDefault="00000000">
      <w:r>
        <w:rPr>
          <w:rStyle w:val="soitChar"/>
        </w:rPr>
        <w:t>2. m</w:t>
      </w:r>
    </w:p>
    <w:p w14:paraId="3943A0C1" w14:textId="77777777" w:rsidR="00772179" w:rsidRDefault="00000000">
      <w:pPr>
        <w:pStyle w:val="pheading"/>
      </w:pPr>
      <w:r>
        <w:t>- code de mesurage:</w:t>
      </w:r>
    </w:p>
    <w:p w14:paraId="727ADBD6" w14:textId="77777777" w:rsidR="00772179" w:rsidRDefault="00000000">
      <w:r>
        <w:rPr>
          <w:rStyle w:val="optioncarChar"/>
        </w:rPr>
        <w:t xml:space="preserve">Compris </w:t>
      </w:r>
      <w:r>
        <w:t xml:space="preserve">(par défaut) </w:t>
      </w:r>
      <w:r>
        <w:rPr>
          <w:rStyle w:val="optioncarChar"/>
        </w:rPr>
        <w:t>/ longueur nette</w:t>
      </w:r>
    </w:p>
    <w:p w14:paraId="6E5084C5" w14:textId="77777777" w:rsidR="00772179" w:rsidRDefault="00000000">
      <w:r>
        <w:rPr>
          <w:b/>
        </w:rPr>
        <w:t>(soit par défaut) : </w:t>
      </w:r>
      <w:r>
        <w:rPr>
          <w:rStyle w:val="soitChar"/>
          <w:u w:val="single"/>
        </w:rPr>
        <w:t>Compris</w:t>
      </w:r>
      <w:r>
        <w:rPr>
          <w:rStyle w:val="soitChar"/>
        </w:rPr>
        <w:t> dans le prix de la maçonnerie de façade, du revêtement de façade ou de la menuiserie extérieure.</w:t>
      </w:r>
    </w:p>
    <w:p w14:paraId="2202664A" w14:textId="77777777" w:rsidR="00772179" w:rsidRDefault="00000000">
      <w:r>
        <w:rPr>
          <w:b/>
        </w:rPr>
        <w:t>(soit) :</w:t>
      </w:r>
      <w:r>
        <w:t>  </w:t>
      </w:r>
      <w:r>
        <w:rPr>
          <w:rStyle w:val="soitChar"/>
          <w:u w:val="single"/>
        </w:rPr>
        <w:t>Longueur nette</w:t>
      </w:r>
      <w:r>
        <w:rPr>
          <w:rStyle w:val="soitChar"/>
        </w:rPr>
        <w:t xml:space="preserve"> à exécuter indépendamment de la profondeur ou de la largeur des joints.</w:t>
      </w:r>
    </w:p>
    <w:p w14:paraId="511AEDF0" w14:textId="77777777" w:rsidR="00772179" w:rsidRDefault="00000000">
      <w:pPr>
        <w:pStyle w:val="pheading"/>
      </w:pPr>
      <w:r>
        <w:t>- nature du marché:</w:t>
      </w:r>
    </w:p>
    <w:p w14:paraId="1126EDDA" w14:textId="77777777" w:rsidR="00772179" w:rsidRDefault="00000000">
      <w:r>
        <w:rPr>
          <w:rStyle w:val="optioncarChar"/>
        </w:rPr>
        <w:lastRenderedPageBreak/>
        <w:t xml:space="preserve">PM </w:t>
      </w:r>
      <w:r>
        <w:t>(par défaut)</w:t>
      </w:r>
      <w:r>
        <w:rPr>
          <w:rStyle w:val="optioncarChar"/>
        </w:rPr>
        <w:t xml:space="preserve"> / QF</w:t>
      </w:r>
    </w:p>
    <w:p w14:paraId="1D7F799F" w14:textId="77777777" w:rsidR="00772179" w:rsidRDefault="00000000">
      <w:r>
        <w:rPr>
          <w:b/>
        </w:rPr>
        <w:t>(soit par défaut)</w:t>
      </w:r>
    </w:p>
    <w:p w14:paraId="3E698FCB" w14:textId="77777777" w:rsidR="00772179" w:rsidRDefault="00000000">
      <w:r>
        <w:rPr>
          <w:rStyle w:val="soitChar"/>
        </w:rPr>
        <w:t>1. PM</w:t>
      </w:r>
    </w:p>
    <w:p w14:paraId="72BE4013" w14:textId="77777777" w:rsidR="00772179" w:rsidRDefault="00000000">
      <w:r>
        <w:rPr>
          <w:b/>
        </w:rPr>
        <w:t>(soit)</w:t>
      </w:r>
    </w:p>
    <w:p w14:paraId="07AD173C" w14:textId="77777777" w:rsidR="00772179" w:rsidRDefault="00000000">
      <w:r>
        <w:rPr>
          <w:rStyle w:val="soitChar"/>
        </w:rPr>
        <w:t>2. QF</w:t>
      </w:r>
    </w:p>
    <w:p w14:paraId="166115DE" w14:textId="77777777" w:rsidR="00772179" w:rsidRDefault="00772179"/>
    <w:p w14:paraId="25909A8D" w14:textId="77777777" w:rsidR="00772179" w:rsidRDefault="00000000">
      <w:pPr>
        <w:pStyle w:val="Author-eSectionHeading6Numberless"/>
      </w:pPr>
      <w:bookmarkStart w:id="932" w:name="_Toc220490599"/>
      <w:r>
        <w:t>43.64.4e Mastics d'étanchéité plastiques CCTB 01.11</w:t>
      </w:r>
      <w:bookmarkEnd w:id="932"/>
    </w:p>
    <w:p w14:paraId="3785CFD7" w14:textId="77777777" w:rsidR="00772179" w:rsidRDefault="00000000">
      <w:pPr>
        <w:pStyle w:val="pheading"/>
      </w:pPr>
      <w:r>
        <w:t>MESURAGE</w:t>
      </w:r>
    </w:p>
    <w:p w14:paraId="238342EC" w14:textId="77777777" w:rsidR="00772179" w:rsidRDefault="00000000">
      <w:pPr>
        <w:pStyle w:val="pheading"/>
      </w:pPr>
      <w:r>
        <w:t>- unité de mesure:</w:t>
      </w:r>
    </w:p>
    <w:p w14:paraId="7DAB2D13" w14:textId="77777777" w:rsidR="00772179" w:rsidRDefault="00000000">
      <w:r>
        <w:t>Le mastic élastique silicone est :</w:t>
      </w:r>
    </w:p>
    <w:p w14:paraId="2AED2DD6" w14:textId="77777777" w:rsidR="00772179" w:rsidRDefault="00000000">
      <w:r>
        <w:rPr>
          <w:rStyle w:val="optioncarChar"/>
        </w:rPr>
        <w:t>élastomère </w:t>
      </w:r>
      <w:r>
        <w:t>(par défaut)</w:t>
      </w:r>
      <w:r>
        <w:rPr>
          <w:rStyle w:val="optioncarChar"/>
        </w:rPr>
        <w:t> / ***</w:t>
      </w:r>
    </w:p>
    <w:p w14:paraId="68042F00" w14:textId="77777777" w:rsidR="00772179" w:rsidRDefault="00000000">
      <w:r>
        <w:rPr>
          <w:b/>
        </w:rPr>
        <w:t>(soit par défaut) :</w:t>
      </w:r>
      <w:r>
        <w:t> </w:t>
      </w:r>
      <w:r>
        <w:rPr>
          <w:rStyle w:val="soitChar"/>
          <w:u w:val="single"/>
        </w:rPr>
        <w:t>un élastomère </w:t>
      </w:r>
      <w:r>
        <w:rPr>
          <w:rStyle w:val="soitChar"/>
        </w:rPr>
        <w:t>à une seule composante à base de silicones neutres qui sont </w:t>
      </w:r>
      <w:r>
        <w:rPr>
          <w:rStyle w:val="optioncarChar"/>
        </w:rPr>
        <w:t>peints / acides qui ne peuvent pas être peints.</w:t>
      </w:r>
    </w:p>
    <w:p w14:paraId="038BFF0D" w14:textId="77777777" w:rsidR="00772179" w:rsidRDefault="00000000">
      <w:r>
        <w:rPr>
          <w:b/>
        </w:rPr>
        <w:t>(soit) : </w:t>
      </w:r>
      <w:r>
        <w:rPr>
          <w:rStyle w:val="optioncarChar"/>
          <w:b/>
        </w:rPr>
        <w:t>***</w:t>
      </w:r>
    </w:p>
    <w:p w14:paraId="2CC4465A" w14:textId="77777777" w:rsidR="00772179" w:rsidRDefault="00000000">
      <w:pPr>
        <w:pStyle w:val="pheading"/>
      </w:pPr>
      <w:r>
        <w:t>- code de mesurage:</w:t>
      </w:r>
    </w:p>
    <w:p w14:paraId="00CBC01E" w14:textId="77777777" w:rsidR="00772179" w:rsidRDefault="00000000">
      <w:r>
        <w:rPr>
          <w:rStyle w:val="optioncarChar"/>
        </w:rPr>
        <w:t>Compris </w:t>
      </w:r>
      <w:r>
        <w:t>(par défaut) </w:t>
      </w:r>
      <w:r>
        <w:rPr>
          <w:rStyle w:val="optioncarChar"/>
        </w:rPr>
        <w:t>/ longueur nette</w:t>
      </w:r>
    </w:p>
    <w:p w14:paraId="2395F513" w14:textId="77777777" w:rsidR="00772179" w:rsidRDefault="00000000">
      <w:r>
        <w:rPr>
          <w:b/>
        </w:rPr>
        <w:t>(soit par défaut) : </w:t>
      </w:r>
      <w:r>
        <w:t> </w:t>
      </w:r>
      <w:r>
        <w:rPr>
          <w:rStyle w:val="soitChar"/>
          <w:u w:val="single"/>
        </w:rPr>
        <w:t>Compris</w:t>
      </w:r>
      <w:r>
        <w:rPr>
          <w:rStyle w:val="soitChar"/>
        </w:rPr>
        <w:t> dans le prix de la maçonnerie de façade, du revêtement de façade ou de la menuiserie extérieure.</w:t>
      </w:r>
    </w:p>
    <w:p w14:paraId="4AE799E4" w14:textId="77777777" w:rsidR="00772179" w:rsidRDefault="00000000">
      <w:r>
        <w:rPr>
          <w:b/>
        </w:rPr>
        <w:t>(soit) :</w:t>
      </w:r>
      <w:r>
        <w:t> </w:t>
      </w:r>
      <w:r>
        <w:rPr>
          <w:rStyle w:val="soitChar"/>
          <w:u w:val="single"/>
        </w:rPr>
        <w:t>Longueur nette</w:t>
      </w:r>
      <w:r>
        <w:rPr>
          <w:rStyle w:val="soitChar"/>
        </w:rPr>
        <w:t> à exécuter indépendamment de la profondeur ou de la largeur des joints.</w:t>
      </w:r>
    </w:p>
    <w:p w14:paraId="3207A9D1" w14:textId="77777777" w:rsidR="00772179" w:rsidRDefault="00000000">
      <w:pPr>
        <w:pStyle w:val="pheading"/>
      </w:pPr>
      <w:r>
        <w:t>- nature du marché:</w:t>
      </w:r>
    </w:p>
    <w:p w14:paraId="6B0A7AF5" w14:textId="77777777" w:rsidR="00772179" w:rsidRDefault="00000000">
      <w:r>
        <w:rPr>
          <w:rStyle w:val="optioncarChar"/>
        </w:rPr>
        <w:t>PM </w:t>
      </w:r>
      <w:r>
        <w:t>(par défaut)</w:t>
      </w:r>
      <w:r>
        <w:rPr>
          <w:rStyle w:val="optioncarChar"/>
        </w:rPr>
        <w:t> / QF</w:t>
      </w:r>
    </w:p>
    <w:p w14:paraId="0C1C0683" w14:textId="77777777" w:rsidR="00772179" w:rsidRDefault="00000000">
      <w:r>
        <w:rPr>
          <w:b/>
        </w:rPr>
        <w:t>(soit par défaut)</w:t>
      </w:r>
    </w:p>
    <w:p w14:paraId="2A328CA8" w14:textId="77777777" w:rsidR="00772179" w:rsidRDefault="00000000">
      <w:r>
        <w:rPr>
          <w:rStyle w:val="soitChar"/>
        </w:rPr>
        <w:t>1. PM</w:t>
      </w:r>
    </w:p>
    <w:p w14:paraId="704AE44B" w14:textId="77777777" w:rsidR="00772179" w:rsidRDefault="00000000">
      <w:r>
        <w:rPr>
          <w:b/>
        </w:rPr>
        <w:t>(soit)</w:t>
      </w:r>
    </w:p>
    <w:p w14:paraId="0424F43B" w14:textId="77777777" w:rsidR="00772179" w:rsidRDefault="00000000">
      <w:r>
        <w:rPr>
          <w:rStyle w:val="soitChar"/>
        </w:rPr>
        <w:t>2. QF</w:t>
      </w:r>
    </w:p>
    <w:p w14:paraId="18BA2CF7" w14:textId="77777777" w:rsidR="00772179" w:rsidRDefault="00000000">
      <w:pPr>
        <w:pStyle w:val="Author-eSectionHeading6Numberless"/>
      </w:pPr>
      <w:bookmarkStart w:id="933" w:name="_Toc220490600"/>
      <w:r>
        <w:t>43.64.4f Mastics d'étanchéité gonflants CCTB 01.02</w:t>
      </w:r>
      <w:bookmarkEnd w:id="933"/>
    </w:p>
    <w:p w14:paraId="395BB5AE" w14:textId="77777777" w:rsidR="00772179" w:rsidRDefault="00000000">
      <w:pPr>
        <w:pStyle w:val="Author-eSectionHeading6Numberless"/>
      </w:pPr>
      <w:bookmarkStart w:id="934" w:name="_Toc220490601"/>
      <w:r>
        <w:t>43.64.4g Mastics résistants au feu CCTB 01.02</w:t>
      </w:r>
      <w:bookmarkEnd w:id="934"/>
    </w:p>
    <w:p w14:paraId="0E55A5A9" w14:textId="77777777" w:rsidR="00772179" w:rsidRDefault="00000000">
      <w:pPr>
        <w:pStyle w:val="Author-eSectionHeading4Numberless"/>
      </w:pPr>
      <w:bookmarkStart w:id="935" w:name="_Toc220490602"/>
      <w:r>
        <w:t>43.65 Etanchéisation de joints CCTB 01.02</w:t>
      </w:r>
      <w:bookmarkEnd w:id="935"/>
    </w:p>
    <w:p w14:paraId="06C108E2" w14:textId="77777777" w:rsidR="00772179" w:rsidRDefault="00000000">
      <w:pPr>
        <w:pStyle w:val="Author-eSectionHeading4Numberless"/>
      </w:pPr>
      <w:bookmarkStart w:id="936" w:name="470"/>
      <w:bookmarkStart w:id="937" w:name="_Toc220490603"/>
      <w:bookmarkEnd w:id="936"/>
      <w:r>
        <w:t>43.66 Finitions particulières de joints CCTB 01.02</w:t>
      </w:r>
      <w:bookmarkEnd w:id="937"/>
    </w:p>
    <w:p w14:paraId="367E7A54" w14:textId="77777777" w:rsidR="00772179" w:rsidRDefault="00000000">
      <w:pPr>
        <w:pStyle w:val="Author-eSectionHeading5Numberless"/>
      </w:pPr>
      <w:bookmarkStart w:id="938" w:name="_Toc220490604"/>
      <w:r>
        <w:t>43.66.1 Couvre-joints  CCTB 01.02</w:t>
      </w:r>
      <w:bookmarkEnd w:id="938"/>
    </w:p>
    <w:p w14:paraId="2D27B325" w14:textId="77777777" w:rsidR="00772179" w:rsidRDefault="00000000">
      <w:pPr>
        <w:pStyle w:val="Author-eSectionHeading6Numberless"/>
      </w:pPr>
      <w:bookmarkStart w:id="939" w:name="_Toc220490605"/>
      <w:r>
        <w:t>43.66.1a Couvre-joints métallique CCTB 01.02</w:t>
      </w:r>
      <w:bookmarkEnd w:id="939"/>
    </w:p>
    <w:p w14:paraId="671068FB" w14:textId="77777777" w:rsidR="00772179" w:rsidRDefault="00000000">
      <w:pPr>
        <w:pStyle w:val="pheading"/>
      </w:pPr>
      <w:r>
        <w:t>MESURAGE</w:t>
      </w:r>
    </w:p>
    <w:p w14:paraId="7B985D84" w14:textId="77777777" w:rsidR="00772179" w:rsidRDefault="00000000">
      <w:pPr>
        <w:pStyle w:val="pheading"/>
      </w:pPr>
      <w:r>
        <w:t>- unité de mesure:</w:t>
      </w:r>
    </w:p>
    <w:p w14:paraId="1F488638" w14:textId="77777777" w:rsidR="00772179" w:rsidRDefault="00000000">
      <w:r>
        <w:t>m</w:t>
      </w:r>
    </w:p>
    <w:p w14:paraId="3C51D029" w14:textId="77777777" w:rsidR="00772179" w:rsidRDefault="00000000">
      <w:pPr>
        <w:pStyle w:val="pheading"/>
      </w:pPr>
      <w:r>
        <w:t>- nature du marché:</w:t>
      </w:r>
    </w:p>
    <w:p w14:paraId="29AB891E" w14:textId="77777777" w:rsidR="00772179" w:rsidRDefault="00000000">
      <w:r>
        <w:t>QF</w:t>
      </w:r>
    </w:p>
    <w:p w14:paraId="34B7FDAB" w14:textId="77777777" w:rsidR="00772179" w:rsidRDefault="00000000">
      <w:pPr>
        <w:pStyle w:val="Author-eSectionHeading6Numberless"/>
      </w:pPr>
      <w:bookmarkStart w:id="940" w:name="_Toc220490606"/>
      <w:r>
        <w:t>43.66.1b Couvre-joints synthétique CCTB 01.02</w:t>
      </w:r>
      <w:bookmarkEnd w:id="940"/>
    </w:p>
    <w:p w14:paraId="118B64B0" w14:textId="77777777" w:rsidR="00772179" w:rsidRDefault="00000000">
      <w:pPr>
        <w:pStyle w:val="pheading"/>
      </w:pPr>
      <w:r>
        <w:t>MESURAGE</w:t>
      </w:r>
    </w:p>
    <w:p w14:paraId="2BA26611" w14:textId="77777777" w:rsidR="00772179" w:rsidRDefault="00000000">
      <w:pPr>
        <w:pStyle w:val="pheading"/>
      </w:pPr>
      <w:r>
        <w:lastRenderedPageBreak/>
        <w:t>- unité de mesure:</w:t>
      </w:r>
    </w:p>
    <w:p w14:paraId="10326183" w14:textId="77777777" w:rsidR="00772179" w:rsidRDefault="00000000">
      <w:r>
        <w:t>m</w:t>
      </w:r>
    </w:p>
    <w:p w14:paraId="77D38F11" w14:textId="77777777" w:rsidR="00772179" w:rsidRDefault="00000000">
      <w:pPr>
        <w:pStyle w:val="pheading"/>
      </w:pPr>
      <w:r>
        <w:t>- nature du marché:</w:t>
      </w:r>
    </w:p>
    <w:p w14:paraId="0A246D06" w14:textId="77777777" w:rsidR="00772179" w:rsidRDefault="00000000">
      <w:r>
        <w:t>QF</w:t>
      </w:r>
    </w:p>
    <w:p w14:paraId="32773DBF" w14:textId="77777777" w:rsidR="00772179" w:rsidRDefault="00000000">
      <w:pPr>
        <w:pStyle w:val="Author-eSectionHeading3Numberless"/>
      </w:pPr>
      <w:bookmarkStart w:id="941" w:name="_Toc220490607"/>
      <w:r>
        <w:t>43.7 -</w:t>
      </w:r>
      <w:bookmarkEnd w:id="941"/>
    </w:p>
    <w:p w14:paraId="23889591" w14:textId="77777777" w:rsidR="00772179" w:rsidRDefault="00000000">
      <w:pPr>
        <w:pStyle w:val="Author-eSectionHeading4Numberless"/>
      </w:pPr>
      <w:bookmarkStart w:id="942" w:name="_Toc220490608"/>
      <w:r>
        <w:t>43.71 Revêtements de façade rigides fixés mécaniquement - façades et murs verts (végétalisés) CCTB 01.13</w:t>
      </w:r>
      <w:bookmarkEnd w:id="942"/>
    </w:p>
    <w:p w14:paraId="49DE9299" w14:textId="77777777" w:rsidR="00772179" w:rsidRDefault="00000000">
      <w:pPr>
        <w:pStyle w:val="pheading"/>
      </w:pPr>
      <w:bookmarkStart w:id="943" w:name="1037"/>
      <w:bookmarkEnd w:id="943"/>
      <w:r>
        <w:t>DESCRIPTION</w:t>
      </w:r>
    </w:p>
    <w:p w14:paraId="7AAAD6E3" w14:textId="77777777" w:rsidR="00772179" w:rsidRDefault="00000000">
      <w:pPr>
        <w:pStyle w:val="pheading"/>
      </w:pPr>
      <w:r>
        <w:t>- Définition / Comprend</w:t>
      </w:r>
    </w:p>
    <w:p w14:paraId="0702C478" w14:textId="77777777" w:rsidR="00772179" w:rsidRDefault="00000000">
      <w:pPr>
        <w:jc w:val="both"/>
      </w:pPr>
      <w:r>
        <w:t>Il s’agit de la fourniture et la pose de revêtement de façades vertes et murs verts (végétalisés).</w:t>
      </w:r>
    </w:p>
    <w:p w14:paraId="1037E8C4" w14:textId="77777777" w:rsidR="00772179" w:rsidRDefault="00000000">
      <w:pPr>
        <w:jc w:val="both"/>
      </w:pPr>
      <w:r>
        <w:t>Le travail comprend notamment :</w:t>
      </w:r>
    </w:p>
    <w:p w14:paraId="4BE97162" w14:textId="77777777" w:rsidR="00772179" w:rsidRDefault="00000000">
      <w:pPr>
        <w:pStyle w:val="Author-eListParagraph"/>
        <w:numPr>
          <w:ilvl w:val="0"/>
          <w:numId w:val="1105"/>
        </w:numPr>
        <w:jc w:val="both"/>
      </w:pPr>
      <w:r>
        <w:t>La vérification des exigences urbanistiques locales et l’obtention du permis d’urbanisme sont à charge du maître de l’ouvrage ;</w:t>
      </w:r>
    </w:p>
    <w:p w14:paraId="55AF8FB2" w14:textId="77777777" w:rsidR="00772179" w:rsidRDefault="00000000">
      <w:pPr>
        <w:pStyle w:val="Author-eListParagraph"/>
        <w:numPr>
          <w:ilvl w:val="0"/>
          <w:numId w:val="1105"/>
        </w:numPr>
        <w:jc w:val="both"/>
      </w:pPr>
      <w:r>
        <w:t>Sécurité incendie : la demande de dérogation auprès du SPF intérieur est à charge du maître de l’ouvrage ;</w:t>
      </w:r>
    </w:p>
    <w:p w14:paraId="4B288A5D" w14:textId="77777777" w:rsidR="00772179" w:rsidRDefault="00000000">
      <w:pPr>
        <w:pStyle w:val="Author-eListParagraph"/>
        <w:numPr>
          <w:ilvl w:val="0"/>
          <w:numId w:val="1105"/>
        </w:numPr>
        <w:jc w:val="both"/>
      </w:pPr>
      <w:r>
        <w:t>La vérification de l’état du mur de support est à charge de l’entrepreneur ;</w:t>
      </w:r>
    </w:p>
    <w:p w14:paraId="6D50DE6F" w14:textId="77777777" w:rsidR="00772179" w:rsidRDefault="00000000">
      <w:pPr>
        <w:pStyle w:val="Author-eListParagraph"/>
        <w:numPr>
          <w:ilvl w:val="0"/>
          <w:numId w:val="1105"/>
        </w:numPr>
        <w:jc w:val="both"/>
      </w:pPr>
      <w:r>
        <w:t>La fourniture et pose des supports d’accrochage ou du mur végétal comprenant le substrat, le cas échéant ;</w:t>
      </w:r>
    </w:p>
    <w:p w14:paraId="5272418F" w14:textId="77777777" w:rsidR="00772179" w:rsidRDefault="00000000">
      <w:pPr>
        <w:pStyle w:val="Author-eListParagraph"/>
        <w:numPr>
          <w:ilvl w:val="0"/>
          <w:numId w:val="1105"/>
        </w:numPr>
        <w:jc w:val="both"/>
      </w:pPr>
      <w:r>
        <w:t>La proposition de choix de plantes à présenter pour approbation à la direction des travaux ;</w:t>
      </w:r>
    </w:p>
    <w:p w14:paraId="0449E0E5" w14:textId="77777777" w:rsidR="00772179" w:rsidRDefault="00000000">
      <w:pPr>
        <w:pStyle w:val="Author-eListParagraph"/>
        <w:numPr>
          <w:ilvl w:val="0"/>
          <w:numId w:val="1105"/>
        </w:numPr>
        <w:jc w:val="both"/>
      </w:pPr>
      <w:r>
        <w:t>La fourniture et pose des plantations prenant racine dans le sol ou placées dans le mur végétal ;</w:t>
      </w:r>
    </w:p>
    <w:p w14:paraId="214571C8" w14:textId="77777777" w:rsidR="00772179" w:rsidRDefault="00000000">
      <w:pPr>
        <w:pStyle w:val="Author-eListParagraph"/>
        <w:numPr>
          <w:ilvl w:val="0"/>
          <w:numId w:val="1105"/>
        </w:numPr>
        <w:jc w:val="both"/>
      </w:pPr>
      <w:r>
        <w:t>La fourniture et pose du système d’irrigation, y compris additifs nutritifs et évacuation ou stockage et réutilisation des eaux de drainage, le cas échéant ;</w:t>
      </w:r>
    </w:p>
    <w:p w14:paraId="002ACF2A" w14:textId="77777777" w:rsidR="00772179" w:rsidRDefault="00000000">
      <w:pPr>
        <w:pStyle w:val="Author-eListParagraph"/>
        <w:numPr>
          <w:ilvl w:val="0"/>
          <w:numId w:val="1105"/>
        </w:numPr>
        <w:jc w:val="both"/>
      </w:pPr>
      <w:r>
        <w:t>L’entretien des plantations pendant la période de garantie.</w:t>
      </w:r>
    </w:p>
    <w:p w14:paraId="055A3901" w14:textId="77777777" w:rsidR="00772179" w:rsidRDefault="00000000">
      <w:pPr>
        <w:pStyle w:val="pheading"/>
      </w:pPr>
      <w:r>
        <w:t>MATÉRIAUX</w:t>
      </w:r>
    </w:p>
    <w:p w14:paraId="71499E6C" w14:textId="77777777" w:rsidR="00772179" w:rsidRDefault="00000000">
      <w:pPr>
        <w:jc w:val="both"/>
      </w:pPr>
      <w:r>
        <w:rPr>
          <w:b/>
        </w:rPr>
        <w:t>Systèmes :</w:t>
      </w:r>
      <w:r>
        <w:t xml:space="preserve">  </w:t>
      </w:r>
      <w:r>
        <w:rPr>
          <w:rStyle w:val="optioncarChar"/>
        </w:rPr>
        <w:t>façade végétale</w:t>
      </w:r>
      <w:r>
        <w:t xml:space="preserve"> (par défaut)</w:t>
      </w:r>
      <w:r>
        <w:rPr>
          <w:rStyle w:val="optioncarChar"/>
        </w:rPr>
        <w:t xml:space="preserve"> / murs végétaux</w:t>
      </w:r>
    </w:p>
    <w:p w14:paraId="304F9340" w14:textId="77777777" w:rsidR="00772179" w:rsidRDefault="00000000">
      <w:pPr>
        <w:jc w:val="both"/>
      </w:pPr>
      <w:r>
        <w:rPr>
          <w:b/>
        </w:rPr>
        <w:t>(soit par défaut)</w:t>
      </w:r>
    </w:p>
    <w:p w14:paraId="77D0D53D" w14:textId="77777777" w:rsidR="00772179" w:rsidRDefault="00000000">
      <w:pPr>
        <w:jc w:val="both"/>
      </w:pPr>
      <w:r>
        <w:rPr>
          <w:rStyle w:val="soitChar"/>
          <w:u w:val="single"/>
        </w:rPr>
        <w:t>Façade végétale :</w:t>
      </w:r>
      <w:r>
        <w:rPr>
          <w:rStyle w:val="soitChar"/>
        </w:rPr>
        <w:t xml:space="preserve"> les plantes prennent racine dans le sol et poussent directement (sans support d’accrochage) ou indirectement (avec support d’accrochage) devant le mur.</w:t>
      </w:r>
    </w:p>
    <w:p w14:paraId="219180F2" w14:textId="77777777" w:rsidR="00772179" w:rsidRDefault="00000000">
      <w:pPr>
        <w:jc w:val="both"/>
      </w:pPr>
      <w:r>
        <w:rPr>
          <w:b/>
        </w:rPr>
        <w:t>(soit)</w:t>
      </w:r>
    </w:p>
    <w:p w14:paraId="660C7A16" w14:textId="77777777" w:rsidR="00772179" w:rsidRDefault="00000000">
      <w:pPr>
        <w:jc w:val="both"/>
      </w:pPr>
      <w:r>
        <w:rPr>
          <w:rStyle w:val="soitChar"/>
          <w:u w:val="single"/>
        </w:rPr>
        <w:t>Murs végétaux :</w:t>
      </w:r>
    </w:p>
    <w:p w14:paraId="07B48459" w14:textId="77777777" w:rsidR="00772179" w:rsidRDefault="00000000">
      <w:pPr>
        <w:pStyle w:val="Author-eListParagraph"/>
        <w:numPr>
          <w:ilvl w:val="0"/>
          <w:numId w:val="1106"/>
        </w:numPr>
      </w:pPr>
      <w:r>
        <w:rPr>
          <w:rStyle w:val="soitChar"/>
        </w:rPr>
        <w:t>Les plantes sont enracinées dans un substrat (inerte ou organique) fixé devant le mur.</w:t>
      </w:r>
    </w:p>
    <w:p w14:paraId="33460274" w14:textId="77777777" w:rsidR="00772179" w:rsidRDefault="00000000">
      <w:pPr>
        <w:pStyle w:val="Author-eListParagraph"/>
        <w:numPr>
          <w:ilvl w:val="0"/>
          <w:numId w:val="1106"/>
        </w:numPr>
      </w:pPr>
      <w:r>
        <w:rPr>
          <w:rStyle w:val="soitChar"/>
        </w:rPr>
        <w:t>Ces systèmes nécessitent une irrigation des plantes avec dosage de fertilisants par un système gravitaire ou capillaire.</w:t>
      </w:r>
    </w:p>
    <w:p w14:paraId="1FD8F7DB" w14:textId="77777777" w:rsidR="00772179" w:rsidRDefault="00000000">
      <w:pPr>
        <w:pStyle w:val="Author-eListParagraph"/>
        <w:numPr>
          <w:ilvl w:val="0"/>
          <w:numId w:val="1106"/>
        </w:numPr>
      </w:pPr>
      <w:r>
        <w:rPr>
          <w:rStyle w:val="soitChar"/>
        </w:rPr>
        <w:t>L’eau de drainage est récupérée et stockée pour réutilisation ou évacuée vers un réseau d’égouts.</w:t>
      </w:r>
    </w:p>
    <w:p w14:paraId="61A94C9F" w14:textId="77777777" w:rsidR="00772179" w:rsidRDefault="00000000">
      <w:pPr>
        <w:jc w:val="both"/>
      </w:pPr>
      <w:r>
        <w:rPr>
          <w:b/>
        </w:rPr>
        <w:t>Orientation :</w:t>
      </w:r>
    </w:p>
    <w:p w14:paraId="36ED5537" w14:textId="77777777" w:rsidR="00772179" w:rsidRDefault="00000000">
      <w:pPr>
        <w:jc w:val="both"/>
      </w:pPr>
      <w:r>
        <w:t>Le type de plantation est directement lié à l’orientation de la façade.</w:t>
      </w:r>
    </w:p>
    <w:p w14:paraId="49EAF692" w14:textId="77777777" w:rsidR="00772179" w:rsidRDefault="00000000">
      <w:pPr>
        <w:jc w:val="both"/>
      </w:pPr>
      <w:r>
        <w:rPr>
          <w:b/>
        </w:rPr>
        <w:t>Sécurité incendie :</w:t>
      </w:r>
    </w:p>
    <w:p w14:paraId="560225D7" w14:textId="77777777" w:rsidR="00772179" w:rsidRDefault="00000000">
      <w:pPr>
        <w:jc w:val="both"/>
      </w:pPr>
      <w:r>
        <w:t>Les façades végétalisées ne font pas l’objet de prescriptions particulières, les recommandations suivantes peuvent être suivies moyennant vérification auprès du service d’incendie et obtention d’une dérogation auprès du SPF Intérieur :</w:t>
      </w:r>
    </w:p>
    <w:p w14:paraId="2B728B0A" w14:textId="77777777" w:rsidR="00772179" w:rsidRDefault="00000000">
      <w:pPr>
        <w:jc w:val="both"/>
      </w:pPr>
      <w:r>
        <w:rPr>
          <w:u w:val="single"/>
        </w:rPr>
        <w:t>Bâtiments bas et moyen :</w:t>
      </w:r>
    </w:p>
    <w:p w14:paraId="644CC19E" w14:textId="77777777" w:rsidR="00772179" w:rsidRDefault="00000000">
      <w:pPr>
        <w:pStyle w:val="Author-eListParagraph"/>
        <w:numPr>
          <w:ilvl w:val="0"/>
          <w:numId w:val="1107"/>
        </w:numPr>
      </w:pPr>
      <w:r>
        <w:lastRenderedPageBreak/>
        <w:t>Toutes plantes mortes ou desséchées sont impérativement éliminées.</w:t>
      </w:r>
    </w:p>
    <w:p w14:paraId="6FACB312" w14:textId="77777777" w:rsidR="00772179" w:rsidRDefault="00000000">
      <w:pPr>
        <w:pStyle w:val="Author-eListParagraph"/>
        <w:numPr>
          <w:ilvl w:val="0"/>
          <w:numId w:val="1107"/>
        </w:numPr>
      </w:pPr>
      <w:r>
        <w:t>Le choix des espèces non caduques et celles maintenant une certaine humidité dans le branchage est à privilégier.</w:t>
      </w:r>
    </w:p>
    <w:p w14:paraId="4F5EB03A" w14:textId="77777777" w:rsidR="00772179" w:rsidRDefault="00000000">
      <w:pPr>
        <w:pStyle w:val="Author-eListParagraph"/>
        <w:numPr>
          <w:ilvl w:val="0"/>
          <w:numId w:val="1107"/>
        </w:numPr>
      </w:pPr>
      <w:r>
        <w:t>En cas de murs végétaux, il y a lieu d’opter pour un système ayant été testé en laboratoire ou de substrats peu combustibles ou à faible teneur en matières organiques et/ou d’un système d’irrigation maintenant l’humidité dans le système.</w:t>
      </w:r>
    </w:p>
    <w:p w14:paraId="7E9B701E" w14:textId="77777777" w:rsidR="00772179" w:rsidRDefault="00000000">
      <w:pPr>
        <w:pStyle w:val="Author-eListParagraph"/>
        <w:numPr>
          <w:ilvl w:val="0"/>
          <w:numId w:val="1107"/>
        </w:numPr>
      </w:pPr>
      <w:r>
        <w:t>En cas de façades végétales : utilisation de supports et fixations incombustibles.</w:t>
      </w:r>
    </w:p>
    <w:p w14:paraId="2C2920F1" w14:textId="77777777" w:rsidR="00772179" w:rsidRDefault="00000000">
      <w:pPr>
        <w:jc w:val="both"/>
      </w:pPr>
      <w:r>
        <w:rPr>
          <w:u w:val="single"/>
        </w:rPr>
        <w:t>Bâtiments moyens</w:t>
      </w:r>
      <w:r>
        <w:t>, en complément aux dispositions ci-dessus :</w:t>
      </w:r>
    </w:p>
    <w:p w14:paraId="40E182B6" w14:textId="77777777" w:rsidR="00772179" w:rsidRDefault="00000000">
      <w:pPr>
        <w:pStyle w:val="Author-eListParagraph"/>
        <w:numPr>
          <w:ilvl w:val="0"/>
          <w:numId w:val="1108"/>
        </w:numPr>
      </w:pPr>
      <w:r>
        <w:t>Ajout d’une barrière coupe-feu un niveau sur 2 ou au droit de chaque ouverture de façade avec dépassement de 15 cm de ce dispositif au-delà de la zone végétale.</w:t>
      </w:r>
    </w:p>
    <w:p w14:paraId="26604CB2" w14:textId="77777777" w:rsidR="00772179" w:rsidRDefault="00000000">
      <w:pPr>
        <w:pStyle w:val="Author-eListParagraph"/>
        <w:numPr>
          <w:ilvl w:val="0"/>
          <w:numId w:val="1108"/>
        </w:numPr>
      </w:pPr>
      <w:r>
        <w:t>Maintien d’une distance ≥ 40 cm par rapport aux baies de façades</w:t>
      </w:r>
    </w:p>
    <w:p w14:paraId="576B1491" w14:textId="77777777" w:rsidR="00772179" w:rsidRDefault="00000000">
      <w:pPr>
        <w:pStyle w:val="Author-eListParagraph"/>
        <w:numPr>
          <w:ilvl w:val="0"/>
          <w:numId w:val="1108"/>
        </w:numPr>
      </w:pPr>
      <w:r>
        <w:t>Maintien d’une distance de 1 m sous la toiture et au-dessus des baies de façades</w:t>
      </w:r>
    </w:p>
    <w:p w14:paraId="4200D897" w14:textId="77777777" w:rsidR="00772179" w:rsidRDefault="00000000">
      <w:pPr>
        <w:pStyle w:val="Author-eListParagraph"/>
        <w:numPr>
          <w:ilvl w:val="0"/>
          <w:numId w:val="1108"/>
        </w:numPr>
      </w:pPr>
      <w:r>
        <w:t>Limitation de la végétation à H ≤ 10 m.</w:t>
      </w:r>
    </w:p>
    <w:p w14:paraId="3581F17F" w14:textId="77777777" w:rsidR="00772179" w:rsidRDefault="00000000">
      <w:pPr>
        <w:jc w:val="both"/>
      </w:pPr>
      <w:r>
        <w:rPr>
          <w:u w:val="single"/>
        </w:rPr>
        <w:t>Bâtiments élevés :</w:t>
      </w:r>
      <w:r>
        <w:t xml:space="preserve"> la mise en place de façades végétalisée n’est pas recommandée.</w:t>
      </w:r>
    </w:p>
    <w:p w14:paraId="551A6A67" w14:textId="77777777" w:rsidR="00772179" w:rsidRDefault="00000000">
      <w:pPr>
        <w:jc w:val="both"/>
      </w:pPr>
      <w:r>
        <w:rPr>
          <w:b/>
        </w:rPr>
        <w:t>Aspects environnementaux :</w:t>
      </w:r>
    </w:p>
    <w:p w14:paraId="7170E661" w14:textId="77777777" w:rsidR="00772179" w:rsidRDefault="00000000">
      <w:pPr>
        <w:jc w:val="both"/>
      </w:pPr>
      <w:r>
        <w:t>La mise en place d’une façade végétalisée :</w:t>
      </w:r>
    </w:p>
    <w:p w14:paraId="134305D6" w14:textId="77777777" w:rsidR="00772179" w:rsidRDefault="00000000">
      <w:pPr>
        <w:pStyle w:val="Author-eListParagraph"/>
        <w:numPr>
          <w:ilvl w:val="0"/>
          <w:numId w:val="1109"/>
        </w:numPr>
      </w:pPr>
      <w:r>
        <w:t>Peut améliorer le confort thermique d’été des occupants du bâtiment́ en interceptant le rayonnement solaire ;</w:t>
      </w:r>
    </w:p>
    <w:p w14:paraId="0D439A1E" w14:textId="77777777" w:rsidR="00772179" w:rsidRDefault="00000000">
      <w:pPr>
        <w:pStyle w:val="Author-eListParagraph"/>
        <w:numPr>
          <w:ilvl w:val="0"/>
          <w:numId w:val="1109"/>
        </w:numPr>
      </w:pPr>
      <w:r>
        <w:t>Améliore la qualité de l’air et limite les effets d’îlot thermique urbain ;</w:t>
      </w:r>
    </w:p>
    <w:p w14:paraId="757C2D4A" w14:textId="77777777" w:rsidR="00772179" w:rsidRDefault="00000000">
      <w:pPr>
        <w:pStyle w:val="Author-eListParagraph"/>
        <w:numPr>
          <w:ilvl w:val="0"/>
          <w:numId w:val="1109"/>
        </w:numPr>
      </w:pPr>
      <w:r>
        <w:t>Favorise la rétention d’eau sur la parcelle ;</w:t>
      </w:r>
    </w:p>
    <w:p w14:paraId="37E25928" w14:textId="77777777" w:rsidR="00772179" w:rsidRDefault="00000000">
      <w:pPr>
        <w:pStyle w:val="Author-eListParagraph"/>
        <w:numPr>
          <w:ilvl w:val="0"/>
          <w:numId w:val="1109"/>
        </w:numPr>
      </w:pPr>
      <w:r>
        <w:t>Favorise la biodiversité par le choix d’espèces indigènes ;</w:t>
      </w:r>
    </w:p>
    <w:p w14:paraId="01833551" w14:textId="77777777" w:rsidR="00772179" w:rsidRDefault="00000000">
      <w:pPr>
        <w:pStyle w:val="Author-eListParagraph"/>
        <w:numPr>
          <w:ilvl w:val="0"/>
          <w:numId w:val="1109"/>
        </w:numPr>
      </w:pPr>
      <w:r>
        <w:t>Les murs végétaux et les plantations en bacs ont un bilan de durabilité moins favorable en raison de la nécessité d’irrigation et des besoins en énergie pour le faire fonctionner.</w:t>
      </w:r>
    </w:p>
    <w:p w14:paraId="21A1197A" w14:textId="77777777" w:rsidR="00772179" w:rsidRDefault="00000000">
      <w:pPr>
        <w:jc w:val="both"/>
      </w:pPr>
      <w:r>
        <w:t>Il est préférable que la façade soit colonisée par des plantes grimpantes d’origine régionale, adaptées aux conditions climatiques et l’écosystème local.</w:t>
      </w:r>
    </w:p>
    <w:p w14:paraId="3C5B27E0" w14:textId="77777777" w:rsidR="00772179" w:rsidRDefault="00000000">
      <w:pPr>
        <w:pStyle w:val="pheading"/>
      </w:pPr>
      <w:r>
        <w:t>EXÉCUTION / MISE EN ŒUVRE</w:t>
      </w:r>
    </w:p>
    <w:p w14:paraId="10159774" w14:textId="77777777" w:rsidR="00772179" w:rsidRDefault="00000000">
      <w:pPr>
        <w:jc w:val="both"/>
      </w:pPr>
      <w:r>
        <w:t xml:space="preserve">La vérification de la stabilité de la façade sur laquelle la façade végétalisée est placée est à charge </w:t>
      </w:r>
      <w:r>
        <w:rPr>
          <w:rStyle w:val="optioncarChar"/>
        </w:rPr>
        <w:t xml:space="preserve">du bureau d’études </w:t>
      </w:r>
      <w:r>
        <w:t xml:space="preserve">(par défaut) </w:t>
      </w:r>
      <w:r>
        <w:rPr>
          <w:rStyle w:val="optioncarChar"/>
        </w:rPr>
        <w:t>/ de l’entrepreneur.</w:t>
      </w:r>
    </w:p>
    <w:p w14:paraId="275FFB7C" w14:textId="77777777" w:rsidR="00772179" w:rsidRDefault="00000000">
      <w:pPr>
        <w:jc w:val="both"/>
      </w:pPr>
      <w:r>
        <w:t>L’entrepreneur fournit les notes de calcul de la charge de poids propre à prendre en compte en fonction du système et de la hauteur de la façade végétalisée à mettre en place.</w:t>
      </w:r>
    </w:p>
    <w:p w14:paraId="283F7C52" w14:textId="77777777" w:rsidR="00772179" w:rsidRDefault="00000000">
      <w:pPr>
        <w:jc w:val="both"/>
      </w:pPr>
      <w:r>
        <w:t xml:space="preserve">Les fixations dans les façades sont pourvues d’un dispositif de rupture thermique : </w:t>
      </w:r>
      <w:r>
        <w:rPr>
          <w:rStyle w:val="optioncarChar"/>
        </w:rPr>
        <w:t xml:space="preserve">non </w:t>
      </w:r>
      <w:r>
        <w:t>(par défaut)</w:t>
      </w:r>
      <w:r>
        <w:rPr>
          <w:rStyle w:val="optioncarChar"/>
        </w:rPr>
        <w:t xml:space="preserve"> / oui</w:t>
      </w:r>
    </w:p>
    <w:p w14:paraId="26911914" w14:textId="77777777" w:rsidR="00772179" w:rsidRDefault="00000000">
      <w:pPr>
        <w:jc w:val="both"/>
      </w:pPr>
      <w:r>
        <w:t>Dispositif d’alimentation en eau à partir de la distribution d’eau et/ou d’une citerne eau de pluie : voir 65 Sanitaires</w:t>
      </w:r>
    </w:p>
    <w:p w14:paraId="277BCC17" w14:textId="77777777" w:rsidR="00772179" w:rsidRDefault="00000000">
      <w:pPr>
        <w:jc w:val="both"/>
      </w:pPr>
      <w:r>
        <w:t>Alimentation électrique conforme au [RGIE], modification installation électrique, réception par un [SECT], pour le système d’irrigation, gestion des arrosages, pompes, capteurs, … : voir 71 Basse tension ( BT)</w:t>
      </w:r>
    </w:p>
    <w:p w14:paraId="53514E32" w14:textId="77777777" w:rsidR="00772179" w:rsidRDefault="00000000">
      <w:pPr>
        <w:pStyle w:val="pheading"/>
      </w:pPr>
      <w:r>
        <w:t>DOCUMENTS DE RÉFÉRENCE</w:t>
      </w:r>
    </w:p>
    <w:p w14:paraId="7131A4B6" w14:textId="77777777" w:rsidR="00772179" w:rsidRDefault="00000000">
      <w:pPr>
        <w:pStyle w:val="pheading"/>
      </w:pPr>
      <w:r>
        <w:t>- Matériau</w:t>
      </w:r>
    </w:p>
    <w:p w14:paraId="1888BE13" w14:textId="77777777" w:rsidR="00772179" w:rsidRDefault="00000000">
      <w:r>
        <w:t>[Buildwise Innovation paper 38, Façades végétalisées]</w:t>
      </w:r>
    </w:p>
    <w:p w14:paraId="50F09E5E" w14:textId="77777777" w:rsidR="00772179" w:rsidRDefault="00000000">
      <w:r>
        <w:rPr>
          <w:color w:val="000000"/>
        </w:rPr>
        <w:t>Guide bâtiment durable Bruxelles : </w:t>
      </w:r>
      <w:hyperlink r:id="rId14" w:history="1">
        <w:r>
          <w:rPr>
            <w:color w:val="0000EE"/>
          </w:rPr>
          <w:t>https://guidebatimentdurable.brussels</w:t>
        </w:r>
      </w:hyperlink>
      <w:r>
        <w:br/>
      </w:r>
    </w:p>
    <w:p w14:paraId="39F85038" w14:textId="77777777" w:rsidR="00772179" w:rsidRDefault="00000000">
      <w:pPr>
        <w:pStyle w:val="Author-eSectionHeading5Numberless"/>
      </w:pPr>
      <w:bookmarkStart w:id="944" w:name="_Toc220490609"/>
      <w:r>
        <w:t>43.71.1 Revêtements de façade rigides fixés mécaniquement - façades vertes CCTB 01.13</w:t>
      </w:r>
      <w:bookmarkEnd w:id="944"/>
    </w:p>
    <w:p w14:paraId="062A468B" w14:textId="77777777" w:rsidR="00772179" w:rsidRDefault="00000000">
      <w:pPr>
        <w:pStyle w:val="pheading"/>
      </w:pPr>
      <w:bookmarkStart w:id="945" w:name="1036"/>
      <w:bookmarkEnd w:id="945"/>
      <w:r>
        <w:t>DESCRIPTION</w:t>
      </w:r>
    </w:p>
    <w:p w14:paraId="1EE0FFF1" w14:textId="77777777" w:rsidR="00772179" w:rsidRDefault="00000000">
      <w:pPr>
        <w:pStyle w:val="pheading"/>
      </w:pPr>
      <w:r>
        <w:lastRenderedPageBreak/>
        <w:t>- Définition / Comprend</w:t>
      </w:r>
    </w:p>
    <w:p w14:paraId="38C771EE" w14:textId="77777777" w:rsidR="00772179" w:rsidRDefault="00000000">
      <w:pPr>
        <w:jc w:val="both"/>
      </w:pPr>
      <w:r>
        <w:t>Il s’agit de la fourniture et la pose de revêtement de façades vertes fixées mécaniquement.</w:t>
      </w:r>
    </w:p>
    <w:p w14:paraId="566A85D6" w14:textId="77777777" w:rsidR="00772179" w:rsidRDefault="00000000">
      <w:pPr>
        <w:jc w:val="both"/>
      </w:pPr>
      <w:r>
        <w:t xml:space="preserve">L’étendue du travail est décrite sous </w:t>
      </w:r>
      <w:hyperlink w:anchor="1037" w:history="1">
        <w:r>
          <w:rPr>
            <w:color w:val="0000EE"/>
          </w:rPr>
          <w:t>43.71 Revêtements de façade rigides fixés mécaniquement - façades et murs verts (végétalisés)</w:t>
        </w:r>
      </w:hyperlink>
    </w:p>
    <w:p w14:paraId="4F9D3C6E" w14:textId="77777777" w:rsidR="00772179" w:rsidRDefault="00000000">
      <w:pPr>
        <w:jc w:val="both"/>
      </w:pPr>
      <w:r>
        <w:t>Le travail comprend notamment :</w:t>
      </w:r>
    </w:p>
    <w:p w14:paraId="5E24320F" w14:textId="77777777" w:rsidR="00772179" w:rsidRDefault="00000000">
      <w:pPr>
        <w:pStyle w:val="Author-eListParagraph"/>
        <w:numPr>
          <w:ilvl w:val="0"/>
          <w:numId w:val="1110"/>
        </w:numPr>
        <w:jc w:val="both"/>
      </w:pPr>
      <w:r>
        <w:t>La fourniture et pose des supports éventuels ;</w:t>
      </w:r>
    </w:p>
    <w:p w14:paraId="2DA14B15" w14:textId="77777777" w:rsidR="00772179" w:rsidRDefault="00000000">
      <w:pPr>
        <w:pStyle w:val="Author-eListParagraph"/>
        <w:numPr>
          <w:ilvl w:val="0"/>
          <w:numId w:val="1110"/>
        </w:numPr>
        <w:jc w:val="both"/>
      </w:pPr>
      <w:r>
        <w:t>La préparation du mur de support ;</w:t>
      </w:r>
    </w:p>
    <w:p w14:paraId="1FCA321B" w14:textId="77777777" w:rsidR="00772179" w:rsidRDefault="00000000">
      <w:pPr>
        <w:pStyle w:val="Author-eListParagraph"/>
        <w:numPr>
          <w:ilvl w:val="0"/>
          <w:numId w:val="1110"/>
        </w:numPr>
        <w:jc w:val="both"/>
      </w:pPr>
      <w:r>
        <w:t>La fourniture et pose d’une membrane anti-racine au pied du mur ;</w:t>
      </w:r>
    </w:p>
    <w:p w14:paraId="2AF1089B" w14:textId="77777777" w:rsidR="00772179" w:rsidRDefault="00000000">
      <w:pPr>
        <w:pStyle w:val="Author-eListParagraph"/>
        <w:numPr>
          <w:ilvl w:val="0"/>
          <w:numId w:val="1110"/>
        </w:numPr>
        <w:jc w:val="both"/>
      </w:pPr>
      <w:r>
        <w:t>Une proposition de contrat d’entretien annuel : </w:t>
      </w:r>
      <w:r>
        <w:rPr>
          <w:rStyle w:val="optioncarChar"/>
        </w:rPr>
        <w:t xml:space="preserve">oui </w:t>
      </w:r>
      <w:r>
        <w:t>(par défaut)</w:t>
      </w:r>
      <w:r>
        <w:rPr>
          <w:rStyle w:val="optioncarChar"/>
        </w:rPr>
        <w:t xml:space="preserve"> / non</w:t>
      </w:r>
    </w:p>
    <w:p w14:paraId="7BE3F121" w14:textId="77777777" w:rsidR="00772179" w:rsidRDefault="00000000">
      <w:pPr>
        <w:pStyle w:val="pheading"/>
      </w:pPr>
      <w:r>
        <w:t>MATÉRIAUX</w:t>
      </w:r>
    </w:p>
    <w:p w14:paraId="72A6827C" w14:textId="77777777" w:rsidR="00772179" w:rsidRDefault="00000000">
      <w:pPr>
        <w:jc w:val="both"/>
      </w:pPr>
      <w:r>
        <w:t>Les façades vertes sont composées de plantes placées en pleine terre au pied de la façade.</w:t>
      </w:r>
    </w:p>
    <w:p w14:paraId="78E8C6DB" w14:textId="77777777" w:rsidR="00772179" w:rsidRDefault="00000000">
      <w:pPr>
        <w:jc w:val="both"/>
      </w:pPr>
      <w:r>
        <w:t>Les plantes grimpantes sont choisies en fonction de l’orientation du mur, de la présence ou non de support, de l’état du mur.</w:t>
      </w:r>
    </w:p>
    <w:p w14:paraId="1521AA7C" w14:textId="77777777" w:rsidR="00772179" w:rsidRDefault="00000000">
      <w:pPr>
        <w:jc w:val="both"/>
      </w:pPr>
      <w:r>
        <w:t xml:space="preserve">Terre de plantation : </w:t>
      </w:r>
      <w:r>
        <w:rPr>
          <w:rStyle w:val="optioncarChar"/>
        </w:rPr>
        <w:t>mélange composé de 90 % de terre végétale et de 10 % matière organique</w:t>
      </w:r>
      <w:r>
        <w:t xml:space="preserve"> (par défaut)</w:t>
      </w:r>
      <w:r>
        <w:rPr>
          <w:rStyle w:val="optioncarChar"/>
        </w:rPr>
        <w:t xml:space="preserve"> / ***</w:t>
      </w:r>
    </w:p>
    <w:p w14:paraId="47961251" w14:textId="77777777" w:rsidR="00772179" w:rsidRDefault="00000000">
      <w:pPr>
        <w:jc w:val="both"/>
      </w:pPr>
      <w:r>
        <w:t xml:space="preserve">Membrane anti-racines : </w:t>
      </w:r>
      <w:r>
        <w:rPr>
          <w:rStyle w:val="optioncarChar"/>
        </w:rPr>
        <w:t>HDPE</w:t>
      </w:r>
      <w:r>
        <w:t xml:space="preserve"> (par défaut)</w:t>
      </w:r>
      <w:r>
        <w:rPr>
          <w:rStyle w:val="optioncarChar"/>
        </w:rPr>
        <w:t xml:space="preserve"> / LDPE / ***</w:t>
      </w:r>
    </w:p>
    <w:p w14:paraId="63497AE6" w14:textId="77777777" w:rsidR="00772179" w:rsidRDefault="00000000">
      <w:pPr>
        <w:pStyle w:val="pheading"/>
      </w:pPr>
      <w:r>
        <w:t>EXÉCUTION / MISE EN ŒUVRE</w:t>
      </w:r>
    </w:p>
    <w:p w14:paraId="14FCC2B7" w14:textId="77777777" w:rsidR="00772179" w:rsidRDefault="00000000">
      <w:pPr>
        <w:jc w:val="both"/>
      </w:pPr>
      <w:r>
        <w:t>Le terrassement au pied des murs est réalisé après recherche des fondations, les dimensions des fosses de plantations sont adaptées aux exigences des plantes mises en œuvre.</w:t>
      </w:r>
    </w:p>
    <w:p w14:paraId="3FC6B54E" w14:textId="77777777" w:rsidR="00772179" w:rsidRDefault="00000000">
      <w:pPr>
        <w:jc w:val="both"/>
      </w:pPr>
      <w:r>
        <w:t>La membrane anti-racines est placée sur la fondation et la partie enterrée du mur.</w:t>
      </w:r>
    </w:p>
    <w:p w14:paraId="45264E79" w14:textId="77777777" w:rsidR="00772179" w:rsidRDefault="00000000">
      <w:pPr>
        <w:jc w:val="both"/>
      </w:pPr>
      <w:r>
        <w:t xml:space="preserve">La fosse de plantation est placée à : </w:t>
      </w:r>
      <w:r>
        <w:rPr>
          <w:rStyle w:val="optioncarChar"/>
        </w:rPr>
        <w:t xml:space="preserve">15 </w:t>
      </w:r>
      <w:r>
        <w:t>(par défaut)</w:t>
      </w:r>
      <w:r>
        <w:rPr>
          <w:rStyle w:val="optioncarChar"/>
        </w:rPr>
        <w:t xml:space="preserve"> / 20 / ***</w:t>
      </w:r>
      <w:r>
        <w:t xml:space="preserve"> cm du mur.</w:t>
      </w:r>
    </w:p>
    <w:p w14:paraId="699D4954" w14:textId="77777777" w:rsidR="00772179" w:rsidRDefault="00000000">
      <w:pPr>
        <w:jc w:val="both"/>
      </w:pPr>
      <w:r>
        <w:t>Les plantations sont placées inclinées vers le mur ou vers les supports.</w:t>
      </w:r>
    </w:p>
    <w:p w14:paraId="5212FF65" w14:textId="77777777" w:rsidR="00772179" w:rsidRDefault="00000000">
      <w:pPr>
        <w:jc w:val="both"/>
      </w:pPr>
      <w:r>
        <w:t>L’entretien pendant l’année de garantie comprend :</w:t>
      </w:r>
    </w:p>
    <w:p w14:paraId="3DDCA467" w14:textId="77777777" w:rsidR="00772179" w:rsidRDefault="00000000">
      <w:pPr>
        <w:pStyle w:val="Author-eListParagraph"/>
        <w:numPr>
          <w:ilvl w:val="0"/>
          <w:numId w:val="1111"/>
        </w:numPr>
        <w:jc w:val="both"/>
      </w:pPr>
      <w:r>
        <w:t>L’élagage des plantations ;</w:t>
      </w:r>
    </w:p>
    <w:p w14:paraId="549BCDAC" w14:textId="77777777" w:rsidR="00772179" w:rsidRDefault="00000000">
      <w:pPr>
        <w:pStyle w:val="Author-eListParagraph"/>
        <w:numPr>
          <w:ilvl w:val="0"/>
          <w:numId w:val="1111"/>
        </w:numPr>
        <w:jc w:val="both"/>
      </w:pPr>
      <w:r>
        <w:t>Le remplacement des végétaux morts ;</w:t>
      </w:r>
    </w:p>
    <w:p w14:paraId="782E198C" w14:textId="77777777" w:rsidR="00772179" w:rsidRDefault="00000000">
      <w:pPr>
        <w:pStyle w:val="Author-eListParagraph"/>
        <w:numPr>
          <w:ilvl w:val="0"/>
          <w:numId w:val="1111"/>
        </w:numPr>
        <w:jc w:val="both"/>
      </w:pPr>
      <w:r>
        <w:t>Contrôle et mise en ordre éventuelle du PH et de la composition de la terre de plantation avec apport de nutriments, …..</w:t>
      </w:r>
    </w:p>
    <w:p w14:paraId="1B96F670" w14:textId="77777777" w:rsidR="00772179" w:rsidRDefault="00000000">
      <w:r>
        <w:t>L’entretien pendant la période de garantie comprend :</w:t>
      </w:r>
    </w:p>
    <w:p w14:paraId="0978F3CB" w14:textId="77777777" w:rsidR="00772179" w:rsidRDefault="00000000">
      <w:pPr>
        <w:pStyle w:val="Author-eListParagraph"/>
        <w:numPr>
          <w:ilvl w:val="0"/>
          <w:numId w:val="1112"/>
        </w:numPr>
      </w:pPr>
      <w:r>
        <w:t>L’élimination des parties mortes ;</w:t>
      </w:r>
    </w:p>
    <w:p w14:paraId="002D62B4" w14:textId="77777777" w:rsidR="00772179" w:rsidRDefault="00000000">
      <w:pPr>
        <w:pStyle w:val="Author-eListParagraph"/>
        <w:numPr>
          <w:ilvl w:val="0"/>
          <w:numId w:val="1112"/>
        </w:numPr>
      </w:pPr>
      <w:r>
        <w:t>Le remplacement des plantes mortes ;</w:t>
      </w:r>
    </w:p>
    <w:p w14:paraId="68305074" w14:textId="77777777" w:rsidR="00772179" w:rsidRDefault="00000000">
      <w:pPr>
        <w:pStyle w:val="Author-eListParagraph"/>
        <w:numPr>
          <w:ilvl w:val="0"/>
          <w:numId w:val="1112"/>
        </w:numPr>
      </w:pPr>
      <w:r>
        <w:t>Le guidage des pousses.</w:t>
      </w:r>
    </w:p>
    <w:p w14:paraId="208B73C5" w14:textId="77777777" w:rsidR="00772179" w:rsidRDefault="00000000">
      <w:pPr>
        <w:pStyle w:val="Author-eSectionHeading6Numberless"/>
      </w:pPr>
      <w:bookmarkStart w:id="946" w:name="_Toc220490610"/>
      <w:r>
        <w:t>43.71.1a Revêtements de façade rigides fixés mécaniquement - façades vertes sans support d'accrochage CCTB 01.13</w:t>
      </w:r>
      <w:bookmarkEnd w:id="946"/>
    </w:p>
    <w:p w14:paraId="20E51792" w14:textId="77777777" w:rsidR="00772179" w:rsidRDefault="00000000">
      <w:pPr>
        <w:pStyle w:val="pheading"/>
      </w:pPr>
      <w:r>
        <w:t>DESCRIPTION</w:t>
      </w:r>
    </w:p>
    <w:p w14:paraId="0FC60F10" w14:textId="77777777" w:rsidR="00772179" w:rsidRDefault="00000000">
      <w:pPr>
        <w:pStyle w:val="pheading"/>
      </w:pPr>
      <w:r>
        <w:t>- Définition / Comprend</w:t>
      </w:r>
    </w:p>
    <w:p w14:paraId="3C3C962E" w14:textId="77777777" w:rsidR="00772179" w:rsidRDefault="00000000">
      <w:pPr>
        <w:jc w:val="both"/>
      </w:pPr>
      <w:r>
        <w:t>Il s’agit de la fourniture et la pose de revêtement de façades vertes sans support d’accrochage.</w:t>
      </w:r>
    </w:p>
    <w:p w14:paraId="7B5A337B" w14:textId="77777777" w:rsidR="00772179" w:rsidRDefault="00000000">
      <w:pPr>
        <w:jc w:val="both"/>
      </w:pPr>
      <w:r>
        <w:t xml:space="preserve">L’étendue du travail est décrite sous </w:t>
      </w:r>
      <w:hyperlink w:anchor="1036" w:history="1">
        <w:r>
          <w:rPr>
            <w:color w:val="0000EE"/>
          </w:rPr>
          <w:t>43.71.1 Revêtements de façade rigides fixés mécaniquement - façades vertes</w:t>
        </w:r>
      </w:hyperlink>
    </w:p>
    <w:p w14:paraId="4E75EE8B" w14:textId="77777777" w:rsidR="00772179" w:rsidRDefault="00000000">
      <w:pPr>
        <w:jc w:val="both"/>
      </w:pPr>
      <w:r>
        <w:t>Le travail comprend notamment :</w:t>
      </w:r>
    </w:p>
    <w:p w14:paraId="1D4D23E3" w14:textId="77777777" w:rsidR="00772179" w:rsidRDefault="00000000">
      <w:pPr>
        <w:pStyle w:val="Author-eListParagraph"/>
        <w:numPr>
          <w:ilvl w:val="0"/>
          <w:numId w:val="1113"/>
        </w:numPr>
        <w:jc w:val="both"/>
      </w:pPr>
      <w:r>
        <w:t>La détermination des plantes à ventouses ou à racines-crampons ;</w:t>
      </w:r>
    </w:p>
    <w:p w14:paraId="336689B1" w14:textId="77777777" w:rsidR="00772179" w:rsidRDefault="00000000">
      <w:pPr>
        <w:pStyle w:val="Author-eListParagraph"/>
        <w:numPr>
          <w:ilvl w:val="0"/>
          <w:numId w:val="1113"/>
        </w:numPr>
        <w:jc w:val="both"/>
      </w:pPr>
      <w:r>
        <w:t xml:space="preserve">La mise en place de tuteurs pendant les </w:t>
      </w:r>
      <w:r>
        <w:rPr>
          <w:rStyle w:val="optioncarChar"/>
        </w:rPr>
        <w:t>2</w:t>
      </w:r>
      <w:r>
        <w:t xml:space="preserve"> (par défaut)</w:t>
      </w:r>
      <w:r>
        <w:rPr>
          <w:rStyle w:val="optioncarChar"/>
        </w:rPr>
        <w:t xml:space="preserve"> / 3</w:t>
      </w:r>
      <w:r>
        <w:t xml:space="preserve"> premières années.</w:t>
      </w:r>
    </w:p>
    <w:p w14:paraId="7FBD170D" w14:textId="77777777" w:rsidR="00772179" w:rsidRDefault="00000000">
      <w:pPr>
        <w:pStyle w:val="Author-eListParagraph"/>
        <w:numPr>
          <w:ilvl w:val="0"/>
          <w:numId w:val="1113"/>
        </w:numPr>
        <w:jc w:val="both"/>
      </w:pPr>
      <w:r>
        <w:t>L’enlèvement des tuteurs après ce délai est compris dans le prix :</w:t>
      </w:r>
      <w:r>
        <w:rPr>
          <w:rStyle w:val="optioncarChar"/>
        </w:rPr>
        <w:t xml:space="preserve"> oui</w:t>
      </w:r>
      <w:r>
        <w:t xml:space="preserve"> (par défaut)</w:t>
      </w:r>
      <w:r>
        <w:rPr>
          <w:rStyle w:val="optioncarChar"/>
        </w:rPr>
        <w:t xml:space="preserve"> / non</w:t>
      </w:r>
    </w:p>
    <w:p w14:paraId="142A4011" w14:textId="77777777" w:rsidR="00772179" w:rsidRDefault="00000000">
      <w:pPr>
        <w:pStyle w:val="pheading"/>
      </w:pPr>
      <w:r>
        <w:t>MATÉRIAUX</w:t>
      </w:r>
    </w:p>
    <w:p w14:paraId="33E886D8" w14:textId="77777777" w:rsidR="00772179" w:rsidRDefault="00000000">
      <w:pPr>
        <w:pStyle w:val="pheading"/>
      </w:pPr>
      <w:r>
        <w:lastRenderedPageBreak/>
        <w:t>- Caractéristiques générales</w:t>
      </w:r>
    </w:p>
    <w:p w14:paraId="7A89EEEC" w14:textId="77777777" w:rsidR="00772179" w:rsidRDefault="00000000">
      <w:pPr>
        <w:jc w:val="both"/>
      </w:pPr>
      <w:r>
        <w:t xml:space="preserve">Choix des plantations mélange de : </w:t>
      </w:r>
      <w:r>
        <w:rPr>
          <w:rStyle w:val="optioncarChar"/>
        </w:rPr>
        <w:t>Hedera helix / Hedera hibernica / Parthenocissus quinquefolia / Parthenocissu tricuspidata / Parthenocissus henryana / Schizopragma hydrangeoides / Hydrangea seemannii / Decumaria barbara / ***</w:t>
      </w:r>
      <w:r>
        <w:t>.</w:t>
      </w:r>
    </w:p>
    <w:p w14:paraId="189FC780" w14:textId="77777777" w:rsidR="00772179" w:rsidRDefault="00000000">
      <w:pPr>
        <w:pStyle w:val="pheading"/>
      </w:pPr>
      <w:r>
        <w:t>EXÉCUTION / MISE EN ŒUVRE</w:t>
      </w:r>
    </w:p>
    <w:p w14:paraId="44B54567" w14:textId="77777777" w:rsidR="00772179" w:rsidRDefault="00000000">
      <w:pPr>
        <w:pStyle w:val="pheading"/>
      </w:pPr>
      <w:r>
        <w:t>- Prescriptions générales</w:t>
      </w:r>
    </w:p>
    <w:p w14:paraId="79345A54" w14:textId="77777777" w:rsidR="00772179" w:rsidRDefault="00000000">
      <w:pPr>
        <w:jc w:val="both"/>
      </w:pPr>
      <w:r>
        <w:t xml:space="preserve">Mise en place suivant description sous </w:t>
      </w:r>
      <w:hyperlink w:anchor="1036" w:history="1">
        <w:r>
          <w:rPr>
            <w:color w:val="0000EE"/>
          </w:rPr>
          <w:t>43.71.1 Revêtements de façade rigides fixés mécaniquement - façades vertes</w:t>
        </w:r>
      </w:hyperlink>
    </w:p>
    <w:p w14:paraId="687A4784" w14:textId="77777777" w:rsidR="00772179" w:rsidRDefault="00000000">
      <w:pPr>
        <w:jc w:val="both"/>
      </w:pPr>
      <w:r>
        <w:t xml:space="preserve">Les </w:t>
      </w:r>
      <w:r>
        <w:rPr>
          <w:rStyle w:val="optioncarChar"/>
        </w:rPr>
        <w:t>2</w:t>
      </w:r>
      <w:r>
        <w:t xml:space="preserve"> (par défaut)</w:t>
      </w:r>
      <w:r>
        <w:rPr>
          <w:rStyle w:val="optioncarChar"/>
        </w:rPr>
        <w:t xml:space="preserve"> / 3</w:t>
      </w:r>
      <w:r>
        <w:t xml:space="preserve"> premières années, des tuteurs sont placés et les plantes sont guidées. </w:t>
      </w:r>
    </w:p>
    <w:p w14:paraId="36168EA9" w14:textId="77777777" w:rsidR="00772179" w:rsidRDefault="00000000">
      <w:pPr>
        <w:jc w:val="both"/>
      </w:pPr>
      <w:r>
        <w:t>L'entretien annuel comprend :</w:t>
      </w:r>
    </w:p>
    <w:p w14:paraId="1A6BBEF7" w14:textId="77777777" w:rsidR="00772179" w:rsidRDefault="00000000">
      <w:pPr>
        <w:pStyle w:val="Author-eListParagraph"/>
        <w:numPr>
          <w:ilvl w:val="0"/>
          <w:numId w:val="1114"/>
        </w:numPr>
      </w:pPr>
      <w:r>
        <w:t>La taille ;</w:t>
      </w:r>
    </w:p>
    <w:p w14:paraId="3289CDD7" w14:textId="77777777" w:rsidR="00772179" w:rsidRDefault="00000000">
      <w:pPr>
        <w:pStyle w:val="Author-eListParagraph"/>
        <w:numPr>
          <w:ilvl w:val="0"/>
          <w:numId w:val="1114"/>
        </w:numPr>
      </w:pPr>
      <w:r>
        <w:t>La vérification de l’accrochage des plantes à crampons pour éviter un décrochage et une chute de la plante par excès de poids.</w:t>
      </w:r>
    </w:p>
    <w:p w14:paraId="6BAA8F37" w14:textId="77777777" w:rsidR="00772179" w:rsidRDefault="00000000">
      <w:pPr>
        <w:pStyle w:val="pheading"/>
      </w:pPr>
      <w:r>
        <w:t>MESURAGE</w:t>
      </w:r>
    </w:p>
    <w:p w14:paraId="09451038" w14:textId="77777777" w:rsidR="00772179" w:rsidRDefault="00000000">
      <w:pPr>
        <w:pStyle w:val="pheading"/>
      </w:pPr>
      <w:r>
        <w:t>- unité de mesure:</w:t>
      </w:r>
    </w:p>
    <w:p w14:paraId="398BE2BA" w14:textId="77777777" w:rsidR="00772179" w:rsidRDefault="00000000">
      <w:pPr>
        <w:jc w:val="both"/>
      </w:pPr>
      <w:r>
        <w:rPr>
          <w:rStyle w:val="optioncarChar"/>
        </w:rPr>
        <w:t xml:space="preserve">pc </w:t>
      </w:r>
      <w:r>
        <w:t>(par défaut)</w:t>
      </w:r>
      <w:r>
        <w:rPr>
          <w:rStyle w:val="optioncarChar"/>
        </w:rPr>
        <w:t xml:space="preserve"> / pc ; fft</w:t>
      </w:r>
    </w:p>
    <w:p w14:paraId="4685BDC1" w14:textId="77777777" w:rsidR="00772179" w:rsidRDefault="00000000">
      <w:pPr>
        <w:jc w:val="both"/>
      </w:pPr>
      <w:r>
        <w:rPr>
          <w:b/>
        </w:rPr>
        <w:t>(soit par défaut)</w:t>
      </w:r>
    </w:p>
    <w:p w14:paraId="13CD7A32" w14:textId="77777777" w:rsidR="00772179" w:rsidRDefault="00000000">
      <w:pPr>
        <w:jc w:val="both"/>
      </w:pPr>
      <w:r>
        <w:rPr>
          <w:rStyle w:val="soitChar"/>
        </w:rPr>
        <w:t>1. pc</w:t>
      </w:r>
    </w:p>
    <w:p w14:paraId="4CD584EA" w14:textId="77777777" w:rsidR="00772179" w:rsidRDefault="00000000">
      <w:pPr>
        <w:jc w:val="both"/>
      </w:pPr>
      <w:r>
        <w:rPr>
          <w:b/>
        </w:rPr>
        <w:t>(soit)</w:t>
      </w:r>
    </w:p>
    <w:p w14:paraId="3658DA0D" w14:textId="77777777" w:rsidR="00772179" w:rsidRDefault="00000000">
      <w:pPr>
        <w:jc w:val="both"/>
      </w:pPr>
      <w:r>
        <w:rPr>
          <w:rStyle w:val="soitChar"/>
        </w:rPr>
        <w:t>2. pc ; fft</w:t>
      </w:r>
    </w:p>
    <w:p w14:paraId="09B204C9" w14:textId="77777777" w:rsidR="00772179" w:rsidRDefault="00000000">
      <w:pPr>
        <w:pStyle w:val="pheading"/>
      </w:pPr>
      <w:r>
        <w:t>- code de mesurage:</w:t>
      </w:r>
    </w:p>
    <w:p w14:paraId="0D6E4141" w14:textId="77777777" w:rsidR="00772179" w:rsidRDefault="00000000">
      <w:pPr>
        <w:jc w:val="both"/>
      </w:pPr>
      <w:r>
        <w:rPr>
          <w:rStyle w:val="optioncarChar"/>
        </w:rPr>
        <w:t>Quantité nette</w:t>
      </w:r>
      <w:r>
        <w:t xml:space="preserve"> (par défaut)</w:t>
      </w:r>
      <w:r>
        <w:rPr>
          <w:rStyle w:val="optioncarChar"/>
        </w:rPr>
        <w:t xml:space="preserve"> / Quantité nette ; pour l'ensemble</w:t>
      </w:r>
    </w:p>
    <w:p w14:paraId="59CA10DC" w14:textId="77777777" w:rsidR="00772179" w:rsidRDefault="00000000">
      <w:pPr>
        <w:jc w:val="both"/>
      </w:pPr>
      <w:r>
        <w:rPr>
          <w:b/>
        </w:rPr>
        <w:t>(soit par défaut)</w:t>
      </w:r>
    </w:p>
    <w:p w14:paraId="37F5B53E" w14:textId="77777777" w:rsidR="00772179" w:rsidRDefault="00000000">
      <w:pPr>
        <w:jc w:val="both"/>
      </w:pPr>
      <w:r>
        <w:rPr>
          <w:rStyle w:val="soitChar"/>
        </w:rPr>
        <w:t xml:space="preserve">1. </w:t>
      </w:r>
      <w:r>
        <w:rPr>
          <w:rStyle w:val="soitChar"/>
          <w:u w:val="single"/>
        </w:rPr>
        <w:t>Quantité nette :</w:t>
      </w:r>
      <w:r>
        <w:rPr>
          <w:rStyle w:val="soitChar"/>
        </w:rPr>
        <w:t xml:space="preserve"> plantations : pièce distinction faite de l’essence.</w:t>
      </w:r>
    </w:p>
    <w:p w14:paraId="6836E5E3" w14:textId="77777777" w:rsidR="00772179" w:rsidRDefault="00000000">
      <w:pPr>
        <w:jc w:val="both"/>
      </w:pPr>
      <w:r>
        <w:rPr>
          <w:b/>
        </w:rPr>
        <w:t>(soit)</w:t>
      </w:r>
    </w:p>
    <w:p w14:paraId="1D1E118E" w14:textId="77777777" w:rsidR="00772179" w:rsidRDefault="00000000">
      <w:pPr>
        <w:jc w:val="both"/>
      </w:pPr>
      <w:r>
        <w:rPr>
          <w:rStyle w:val="soitChar"/>
        </w:rPr>
        <w:t xml:space="preserve">2. </w:t>
      </w:r>
      <w:r>
        <w:rPr>
          <w:rStyle w:val="soitChar"/>
          <w:u w:val="single"/>
        </w:rPr>
        <w:t>Quantité nette :</w:t>
      </w:r>
      <w:r>
        <w:rPr>
          <w:rStyle w:val="soitChar"/>
        </w:rPr>
        <w:t xml:space="preserve"> Plantations : pièce distinction faite de l’essence ; </w:t>
      </w:r>
      <w:r>
        <w:rPr>
          <w:rStyle w:val="soitChar"/>
          <w:u w:val="single"/>
        </w:rPr>
        <w:t>Pour l'ensemble :</w:t>
      </w:r>
      <w:r>
        <w:rPr>
          <w:rStyle w:val="soitChar"/>
        </w:rPr>
        <w:t xml:space="preserve"> prix global / an : contrat d’entretien</w:t>
      </w:r>
    </w:p>
    <w:p w14:paraId="25943121" w14:textId="77777777" w:rsidR="00772179" w:rsidRDefault="00000000">
      <w:pPr>
        <w:pStyle w:val="pheading"/>
      </w:pPr>
      <w:r>
        <w:t>- nature du marché:</w:t>
      </w:r>
    </w:p>
    <w:p w14:paraId="412D8FD6" w14:textId="77777777" w:rsidR="00772179" w:rsidRDefault="00000000">
      <w:r>
        <w:rPr>
          <w:rStyle w:val="optioncarChar"/>
        </w:rPr>
        <w:t>QF</w:t>
      </w:r>
      <w:r>
        <w:t xml:space="preserve"> (par défaut)</w:t>
      </w:r>
      <w:r>
        <w:rPr>
          <w:rStyle w:val="optioncarChar"/>
        </w:rPr>
        <w:t xml:space="preserve"> / QF ; PG</w:t>
      </w:r>
    </w:p>
    <w:p w14:paraId="0BF3DE36" w14:textId="77777777" w:rsidR="00772179" w:rsidRDefault="00000000">
      <w:r>
        <w:rPr>
          <w:b/>
        </w:rPr>
        <w:t>(soit par défaut)</w:t>
      </w:r>
      <w:r>
        <w:br/>
      </w:r>
      <w:r>
        <w:rPr>
          <w:rStyle w:val="soitChar"/>
        </w:rPr>
        <w:t>1. QF</w:t>
      </w:r>
      <w:r>
        <w:br/>
      </w:r>
      <w:r>
        <w:rPr>
          <w:b/>
        </w:rPr>
        <w:t>(soit)</w:t>
      </w:r>
      <w:r>
        <w:br/>
      </w:r>
      <w:r>
        <w:rPr>
          <w:rStyle w:val="soitChar"/>
        </w:rPr>
        <w:t>2. QF ; PG</w:t>
      </w:r>
    </w:p>
    <w:p w14:paraId="25A06C73" w14:textId="77777777" w:rsidR="00772179" w:rsidRDefault="00000000">
      <w:pPr>
        <w:pStyle w:val="pheading"/>
      </w:pPr>
      <w:r>
        <w:t>AIDE</w:t>
      </w:r>
    </w:p>
    <w:p w14:paraId="166D3F69" w14:textId="77777777" w:rsidR="00772179" w:rsidRDefault="00000000">
      <w:pPr>
        <w:jc w:val="both"/>
      </w:pPr>
      <w:r>
        <w:t>La vigne vierge Parthenocissus et le lierre (Hedera helix) portent des baies toxiques pour la consommation humaine.</w:t>
      </w:r>
    </w:p>
    <w:p w14:paraId="78266B7E" w14:textId="77777777" w:rsidR="00772179" w:rsidRDefault="00000000">
      <w:pPr>
        <w:jc w:val="both"/>
      </w:pPr>
      <w:r>
        <w:t>La vigne vierge Parthenocissus est une grimpante invasive.</w:t>
      </w:r>
    </w:p>
    <w:p w14:paraId="74F6C47F" w14:textId="77777777" w:rsidR="00772179" w:rsidRDefault="00000000">
      <w:pPr>
        <w:pStyle w:val="Author-eSectionHeading6Numberless"/>
      </w:pPr>
      <w:bookmarkStart w:id="947" w:name="_Toc220490611"/>
      <w:r>
        <w:t>43.71.1b Revêtements de façade rigides fixés mécaniquement - façades vertes avec support d'accrochage CCTB 01.13</w:t>
      </w:r>
      <w:bookmarkEnd w:id="947"/>
    </w:p>
    <w:p w14:paraId="39DD2290" w14:textId="77777777" w:rsidR="00772179" w:rsidRDefault="00000000">
      <w:pPr>
        <w:pStyle w:val="pheading"/>
      </w:pPr>
      <w:r>
        <w:t>DESCRIPTION</w:t>
      </w:r>
    </w:p>
    <w:p w14:paraId="7383D3D6" w14:textId="77777777" w:rsidR="00772179" w:rsidRDefault="00000000">
      <w:pPr>
        <w:pStyle w:val="pheading"/>
      </w:pPr>
      <w:r>
        <w:t>- Définition / Comprend</w:t>
      </w:r>
    </w:p>
    <w:p w14:paraId="2362BDAB" w14:textId="77777777" w:rsidR="00772179" w:rsidRDefault="00000000">
      <w:pPr>
        <w:jc w:val="both"/>
      </w:pPr>
      <w:r>
        <w:lastRenderedPageBreak/>
        <w:t>Il s’agit de la fourniture et la pose de revêtement de façades vertes avec support d’accrochage.</w:t>
      </w:r>
    </w:p>
    <w:p w14:paraId="1E130597" w14:textId="77777777" w:rsidR="00772179" w:rsidRDefault="00000000">
      <w:pPr>
        <w:jc w:val="both"/>
      </w:pPr>
      <w:r>
        <w:t xml:space="preserve">L’étendue du travail est décrite sous </w:t>
      </w:r>
      <w:hyperlink w:anchor="1036" w:history="1">
        <w:r>
          <w:rPr>
            <w:color w:val="0000EE"/>
          </w:rPr>
          <w:t>43.71.1 Revêtements de façade rigides fixés mécaniquement - façades vertes</w:t>
        </w:r>
      </w:hyperlink>
    </w:p>
    <w:p w14:paraId="5ACA3BBC" w14:textId="77777777" w:rsidR="00772179" w:rsidRDefault="00000000">
      <w:pPr>
        <w:jc w:val="both"/>
      </w:pPr>
      <w:r>
        <w:t>Le travail comprend notamment :</w:t>
      </w:r>
    </w:p>
    <w:p w14:paraId="1B6278E3" w14:textId="77777777" w:rsidR="00772179" w:rsidRDefault="00000000">
      <w:pPr>
        <w:pStyle w:val="Author-eListParagraph"/>
        <w:numPr>
          <w:ilvl w:val="0"/>
          <w:numId w:val="1115"/>
        </w:numPr>
      </w:pPr>
      <w:r>
        <w:t>La mise en place des supports.</w:t>
      </w:r>
    </w:p>
    <w:p w14:paraId="2BC44AEC" w14:textId="77777777" w:rsidR="00772179" w:rsidRDefault="00000000">
      <w:pPr>
        <w:pStyle w:val="pheading"/>
      </w:pPr>
      <w:r>
        <w:t>MATÉRIAUX</w:t>
      </w:r>
    </w:p>
    <w:p w14:paraId="247B0AE4" w14:textId="77777777" w:rsidR="00772179" w:rsidRDefault="00000000">
      <w:pPr>
        <w:pStyle w:val="pheading"/>
      </w:pPr>
      <w:r>
        <w:t>- Caractéristiques générales</w:t>
      </w:r>
    </w:p>
    <w:p w14:paraId="1F5D876D" w14:textId="77777777" w:rsidR="00772179" w:rsidRDefault="00000000">
      <w:pPr>
        <w:jc w:val="both"/>
      </w:pPr>
      <w:r>
        <w:t xml:space="preserve">Hauteur du support d’ancrage : </w:t>
      </w:r>
      <w:r>
        <w:rPr>
          <w:rStyle w:val="optioncarChar"/>
        </w:rPr>
        <w:t>***</w:t>
      </w:r>
      <w:r>
        <w:t xml:space="preserve"> m</w:t>
      </w:r>
    </w:p>
    <w:p w14:paraId="622115B8" w14:textId="77777777" w:rsidR="00772179" w:rsidRDefault="00000000">
      <w:pPr>
        <w:jc w:val="both"/>
      </w:pPr>
      <w:r>
        <w:t xml:space="preserve">Support d’accrochage : </w:t>
      </w:r>
      <w:r>
        <w:rPr>
          <w:rStyle w:val="optioncarChar"/>
        </w:rPr>
        <w:t>câbles d’acier avec tendeurs</w:t>
      </w:r>
      <w:r>
        <w:t xml:space="preserve"> (par défaut)</w:t>
      </w:r>
      <w:r>
        <w:rPr>
          <w:rStyle w:val="optioncarChar"/>
        </w:rPr>
        <w:t xml:space="preserve"> / structure principale avec câbles ou filet / structure rigide avec treillage</w:t>
      </w:r>
    </w:p>
    <w:p w14:paraId="2A4B2BBB" w14:textId="77777777" w:rsidR="00772179" w:rsidRDefault="00000000">
      <w:pPr>
        <w:jc w:val="both"/>
      </w:pPr>
      <w:r>
        <w:rPr>
          <w:b/>
        </w:rPr>
        <w:t>(soit par défaut)</w:t>
      </w:r>
    </w:p>
    <w:p w14:paraId="20D97063" w14:textId="77777777" w:rsidR="00772179" w:rsidRDefault="00000000">
      <w:pPr>
        <w:jc w:val="both"/>
      </w:pPr>
      <w:r>
        <w:rPr>
          <w:rStyle w:val="soitChar"/>
          <w:u w:val="single"/>
        </w:rPr>
        <w:t>Câbles d’acier avec tendeurs :</w:t>
      </w:r>
    </w:p>
    <w:p w14:paraId="50B95C6E" w14:textId="77777777" w:rsidR="00772179" w:rsidRDefault="00000000">
      <w:pPr>
        <w:pStyle w:val="Author-eListParagraph"/>
        <w:numPr>
          <w:ilvl w:val="0"/>
          <w:numId w:val="1116"/>
        </w:numPr>
      </w:pPr>
      <w:r>
        <w:rPr>
          <w:rStyle w:val="soitChar"/>
        </w:rPr>
        <w:t>Diamètre : </w:t>
      </w:r>
      <w:r>
        <w:rPr>
          <w:rStyle w:val="optioncarChar"/>
        </w:rPr>
        <w:t xml:space="preserve"> 4 </w:t>
      </w:r>
      <w:r>
        <w:t xml:space="preserve">(par défaut) </w:t>
      </w:r>
      <w:r>
        <w:rPr>
          <w:rStyle w:val="optioncarChar"/>
        </w:rPr>
        <w:t>/ 6 / 8 / ***</w:t>
      </w:r>
      <w:r>
        <w:rPr>
          <w:rStyle w:val="soitChar"/>
        </w:rPr>
        <w:t xml:space="preserve"> m</w:t>
      </w:r>
    </w:p>
    <w:p w14:paraId="721BD953" w14:textId="77777777" w:rsidR="00772179" w:rsidRDefault="00000000">
      <w:pPr>
        <w:pStyle w:val="Author-eListParagraph"/>
        <w:numPr>
          <w:ilvl w:val="0"/>
          <w:numId w:val="1116"/>
        </w:numPr>
      </w:pPr>
      <w:r>
        <w:rPr>
          <w:rStyle w:val="soitChar"/>
        </w:rPr>
        <w:t>Matériau :</w:t>
      </w:r>
      <w:r>
        <w:rPr>
          <w:rStyle w:val="optioncarChar"/>
        </w:rPr>
        <w:t xml:space="preserve"> inox AISI 316</w:t>
      </w:r>
      <w:r>
        <w:t xml:space="preserve"> (par défaut)</w:t>
      </w:r>
      <w:r>
        <w:rPr>
          <w:rStyle w:val="optioncarChar"/>
        </w:rPr>
        <w:t xml:space="preserve"> / inox AISI 304 / ***</w:t>
      </w:r>
    </w:p>
    <w:p w14:paraId="316D3E8A" w14:textId="77777777" w:rsidR="00772179" w:rsidRDefault="00000000">
      <w:pPr>
        <w:pStyle w:val="Author-eListParagraph"/>
        <w:numPr>
          <w:ilvl w:val="0"/>
          <w:numId w:val="1116"/>
        </w:numPr>
      </w:pPr>
      <w:r>
        <w:rPr>
          <w:rStyle w:val="soitChar"/>
        </w:rPr>
        <w:t xml:space="preserve">Fixation dans le mur : </w:t>
      </w:r>
      <w:r>
        <w:rPr>
          <w:rStyle w:val="optioncarChar"/>
        </w:rPr>
        <w:t>vis à œillet avec rondelle d’appui et chevilles adaptées au support</w:t>
      </w:r>
      <w:r>
        <w:t xml:space="preserve"> (par défaut)</w:t>
      </w:r>
      <w:r>
        <w:rPr>
          <w:rStyle w:val="optioncarChar"/>
        </w:rPr>
        <w:t xml:space="preserve"> / ***</w:t>
      </w:r>
    </w:p>
    <w:p w14:paraId="4704F180" w14:textId="77777777" w:rsidR="00772179" w:rsidRDefault="00000000">
      <w:pPr>
        <w:pStyle w:val="Author-eListParagraph"/>
        <w:numPr>
          <w:ilvl w:val="0"/>
          <w:numId w:val="1116"/>
        </w:numPr>
      </w:pPr>
      <w:r>
        <w:rPr>
          <w:rStyle w:val="soitChar"/>
        </w:rPr>
        <w:t xml:space="preserve">Pose des câbles : </w:t>
      </w:r>
      <w:r>
        <w:rPr>
          <w:rStyle w:val="optioncarChar"/>
        </w:rPr>
        <w:t xml:space="preserve">verticalement avec écartement de *** mm </w:t>
      </w:r>
      <w:r>
        <w:t>(par défaut)</w:t>
      </w:r>
      <w:r>
        <w:rPr>
          <w:rStyle w:val="optioncarChar"/>
        </w:rPr>
        <w:t xml:space="preserve"> / horizontalement avec écartement de *** mm / quadrillage de *** mm / suivant indication des plans / ***</w:t>
      </w:r>
    </w:p>
    <w:p w14:paraId="23B18C46" w14:textId="77777777" w:rsidR="00772179" w:rsidRDefault="00000000">
      <w:pPr>
        <w:jc w:val="both"/>
      </w:pPr>
      <w:r>
        <w:rPr>
          <w:b/>
        </w:rPr>
        <w:t>(soit)</w:t>
      </w:r>
    </w:p>
    <w:p w14:paraId="6D5F2BEC" w14:textId="77777777" w:rsidR="00772179" w:rsidRDefault="00000000">
      <w:pPr>
        <w:jc w:val="both"/>
      </w:pPr>
      <w:r>
        <w:rPr>
          <w:rStyle w:val="soitChar"/>
          <w:u w:val="single"/>
        </w:rPr>
        <w:t>Structure principale avec câbles ou filet :</w:t>
      </w:r>
    </w:p>
    <w:p w14:paraId="7724FC69" w14:textId="77777777" w:rsidR="00772179" w:rsidRDefault="00000000">
      <w:pPr>
        <w:pStyle w:val="Author-eListParagraph"/>
        <w:numPr>
          <w:ilvl w:val="0"/>
          <w:numId w:val="1117"/>
        </w:numPr>
      </w:pPr>
      <w:r>
        <w:rPr>
          <w:rStyle w:val="soitChar"/>
        </w:rPr>
        <w:t xml:space="preserve">Matériau de la structure : </w:t>
      </w:r>
      <w:r>
        <w:rPr>
          <w:rStyle w:val="optioncarChar"/>
        </w:rPr>
        <w:t xml:space="preserve">inox AISI 316 </w:t>
      </w:r>
      <w:r>
        <w:t xml:space="preserve">(par défaut) </w:t>
      </w:r>
      <w:r>
        <w:rPr>
          <w:rStyle w:val="optioncarChar"/>
        </w:rPr>
        <w:t>/ acier galvanisé / bois / ***</w:t>
      </w:r>
    </w:p>
    <w:p w14:paraId="60F435C3" w14:textId="77777777" w:rsidR="00772179" w:rsidRDefault="00000000">
      <w:pPr>
        <w:pStyle w:val="Author-eListParagraph"/>
        <w:numPr>
          <w:ilvl w:val="0"/>
          <w:numId w:val="1117"/>
        </w:numPr>
      </w:pPr>
      <w:r>
        <w:rPr>
          <w:rStyle w:val="soitChar"/>
        </w:rPr>
        <w:t xml:space="preserve">Type de structure : </w:t>
      </w:r>
      <w:r>
        <w:rPr>
          <w:rStyle w:val="optioncarChar"/>
        </w:rPr>
        <w:t xml:space="preserve">profilé L </w:t>
      </w:r>
      <w:r>
        <w:t xml:space="preserve">(par défaut) </w:t>
      </w:r>
      <w:r>
        <w:rPr>
          <w:rStyle w:val="optioncarChar"/>
        </w:rPr>
        <w:t>/ profilé tubulaire / chevrons / ***</w:t>
      </w:r>
    </w:p>
    <w:p w14:paraId="13BF7028" w14:textId="77777777" w:rsidR="00772179" w:rsidRDefault="00000000">
      <w:pPr>
        <w:pStyle w:val="Author-eListParagraph"/>
        <w:numPr>
          <w:ilvl w:val="0"/>
          <w:numId w:val="1117"/>
        </w:numPr>
      </w:pPr>
      <w:r>
        <w:rPr>
          <w:rStyle w:val="soitChar"/>
        </w:rPr>
        <w:t>Implantation de la structure :</w:t>
      </w:r>
      <w:r>
        <w:rPr>
          <w:rStyle w:val="optioncarChar"/>
        </w:rPr>
        <w:t xml:space="preserve"> horizontalement écartement *** mm </w:t>
      </w:r>
      <w:r>
        <w:t>(par défaut)</w:t>
      </w:r>
      <w:r>
        <w:rPr>
          <w:rStyle w:val="optioncarChar"/>
        </w:rPr>
        <w:t xml:space="preserve"> / verticalement écartement *** mm / suivant indication des plans / ***</w:t>
      </w:r>
    </w:p>
    <w:p w14:paraId="323E5ABD" w14:textId="77777777" w:rsidR="00772179" w:rsidRDefault="00000000">
      <w:pPr>
        <w:pStyle w:val="Author-eListParagraph"/>
        <w:numPr>
          <w:ilvl w:val="0"/>
          <w:numId w:val="1117"/>
        </w:numPr>
      </w:pPr>
      <w:r>
        <w:rPr>
          <w:rStyle w:val="soitChar"/>
        </w:rPr>
        <w:t xml:space="preserve">En cas de câbles : </w:t>
      </w:r>
      <w:r>
        <w:rPr>
          <w:rStyle w:val="optioncarChar"/>
        </w:rPr>
        <w:t xml:space="preserve">inox AISI 316 </w:t>
      </w:r>
      <w:r>
        <w:t>(par défaut)</w:t>
      </w:r>
      <w:r>
        <w:rPr>
          <w:rStyle w:val="optioncarChar"/>
        </w:rPr>
        <w:t xml:space="preserve"> / fibre de verre / ***</w:t>
      </w:r>
    </w:p>
    <w:p w14:paraId="1D2BE4F2" w14:textId="77777777" w:rsidR="00772179" w:rsidRDefault="00000000">
      <w:pPr>
        <w:pStyle w:val="Author-eListParagraph"/>
        <w:numPr>
          <w:ilvl w:val="0"/>
          <w:numId w:val="1117"/>
        </w:numPr>
      </w:pPr>
      <w:r>
        <w:rPr>
          <w:rStyle w:val="soitChar"/>
        </w:rPr>
        <w:t xml:space="preserve">Pose des câbles : </w:t>
      </w:r>
      <w:r>
        <w:rPr>
          <w:rStyle w:val="optioncarChar"/>
        </w:rPr>
        <w:t xml:space="preserve">entraxe de *** mm </w:t>
      </w:r>
      <w:r>
        <w:t>(par défaut)</w:t>
      </w:r>
      <w:r>
        <w:rPr>
          <w:rStyle w:val="optioncarChar"/>
        </w:rPr>
        <w:t> / quadrillage de *** mm / suivant indication des plans / ***</w:t>
      </w:r>
    </w:p>
    <w:p w14:paraId="37FADB0D" w14:textId="77777777" w:rsidR="00772179" w:rsidRDefault="00000000">
      <w:pPr>
        <w:pStyle w:val="Author-eListParagraph"/>
        <w:numPr>
          <w:ilvl w:val="0"/>
          <w:numId w:val="1117"/>
        </w:numPr>
      </w:pPr>
      <w:r>
        <w:rPr>
          <w:rStyle w:val="soitChar"/>
        </w:rPr>
        <w:t>En cas de filet :</w:t>
      </w:r>
      <w:r>
        <w:rPr>
          <w:rStyle w:val="optioncarChar"/>
        </w:rPr>
        <w:t xml:space="preserve"> filet à douilles inox </w:t>
      </w:r>
      <w:r>
        <w:t xml:space="preserve">(par défaut) </w:t>
      </w:r>
      <w:r>
        <w:rPr>
          <w:rStyle w:val="optioncarChar"/>
        </w:rPr>
        <w:t>/ filet tressé inox / filet synthétique / ***</w:t>
      </w:r>
    </w:p>
    <w:p w14:paraId="2DB251F9" w14:textId="77777777" w:rsidR="00772179" w:rsidRDefault="00000000">
      <w:pPr>
        <w:pStyle w:val="Author-eListParagraph"/>
        <w:numPr>
          <w:ilvl w:val="0"/>
          <w:numId w:val="1117"/>
        </w:numPr>
      </w:pPr>
      <w:r>
        <w:rPr>
          <w:rStyle w:val="soitChar"/>
        </w:rPr>
        <w:t xml:space="preserve">Maille du filet : </w:t>
      </w:r>
      <w:r>
        <w:rPr>
          <w:rStyle w:val="optioncarChar"/>
        </w:rPr>
        <w:t>***</w:t>
      </w:r>
      <w:r>
        <w:rPr>
          <w:rStyle w:val="soitChar"/>
        </w:rPr>
        <w:t xml:space="preserve"> mm</w:t>
      </w:r>
    </w:p>
    <w:p w14:paraId="2CFF858A" w14:textId="77777777" w:rsidR="00772179" w:rsidRDefault="00000000">
      <w:pPr>
        <w:jc w:val="both"/>
      </w:pPr>
      <w:r>
        <w:rPr>
          <w:b/>
        </w:rPr>
        <w:t>(soit)</w:t>
      </w:r>
    </w:p>
    <w:p w14:paraId="61B2CEEE" w14:textId="77777777" w:rsidR="00772179" w:rsidRDefault="00000000">
      <w:pPr>
        <w:jc w:val="both"/>
      </w:pPr>
      <w:r>
        <w:rPr>
          <w:rStyle w:val="soitChar"/>
          <w:u w:val="single"/>
        </w:rPr>
        <w:t>Structure rigide avec treillage :</w:t>
      </w:r>
    </w:p>
    <w:p w14:paraId="23B96B76" w14:textId="77777777" w:rsidR="00772179" w:rsidRDefault="00000000">
      <w:pPr>
        <w:pStyle w:val="Author-eListParagraph"/>
        <w:numPr>
          <w:ilvl w:val="0"/>
          <w:numId w:val="1118"/>
        </w:numPr>
      </w:pPr>
      <w:r>
        <w:rPr>
          <w:rStyle w:val="soitChar"/>
        </w:rPr>
        <w:t xml:space="preserve">Matériau : </w:t>
      </w:r>
      <w:r>
        <w:rPr>
          <w:rStyle w:val="optioncarChar"/>
        </w:rPr>
        <w:t>mélèze</w:t>
      </w:r>
      <w:r>
        <w:t xml:space="preserve"> (par défaut) </w:t>
      </w:r>
      <w:r>
        <w:rPr>
          <w:rStyle w:val="optioncarChar"/>
        </w:rPr>
        <w:t>/ robinier / acier galvanisé / ***</w:t>
      </w:r>
    </w:p>
    <w:p w14:paraId="1B5C5008" w14:textId="77777777" w:rsidR="00772179" w:rsidRDefault="00000000">
      <w:pPr>
        <w:pStyle w:val="Author-eListParagraph"/>
        <w:numPr>
          <w:ilvl w:val="0"/>
          <w:numId w:val="1118"/>
        </w:numPr>
      </w:pPr>
      <w:r>
        <w:rPr>
          <w:rStyle w:val="soitChar"/>
        </w:rPr>
        <w:t xml:space="preserve">En cas de poteaux en bois : </w:t>
      </w:r>
      <w:r>
        <w:rPr>
          <w:rStyle w:val="optioncarChar"/>
        </w:rPr>
        <w:t>pose d’une tête de poteau en : zinc</w:t>
      </w:r>
      <w:r>
        <w:t xml:space="preserve"> (par défaut)</w:t>
      </w:r>
      <w:r>
        <w:rPr>
          <w:rStyle w:val="optioncarChar"/>
        </w:rPr>
        <w:t xml:space="preserve"> / ***</w:t>
      </w:r>
    </w:p>
    <w:p w14:paraId="3F77054B" w14:textId="77777777" w:rsidR="00772179" w:rsidRDefault="00000000">
      <w:pPr>
        <w:pStyle w:val="Author-eListParagraph"/>
        <w:numPr>
          <w:ilvl w:val="0"/>
          <w:numId w:val="1118"/>
        </w:numPr>
      </w:pPr>
      <w:r>
        <w:rPr>
          <w:rStyle w:val="soitChar"/>
        </w:rPr>
        <w:t xml:space="preserve">Hauteur des poteaux : </w:t>
      </w:r>
      <w:r>
        <w:rPr>
          <w:rStyle w:val="optioncarChar"/>
        </w:rPr>
        <w:t xml:space="preserve">suivant indication des plans </w:t>
      </w:r>
      <w:r>
        <w:t>(par défaut)</w:t>
      </w:r>
      <w:r>
        <w:rPr>
          <w:rStyle w:val="optioncarChar"/>
        </w:rPr>
        <w:t xml:space="preserve"> / *** mm</w:t>
      </w:r>
    </w:p>
    <w:p w14:paraId="5412E589" w14:textId="77777777" w:rsidR="00772179" w:rsidRDefault="00000000">
      <w:pPr>
        <w:pStyle w:val="Author-eListParagraph"/>
        <w:numPr>
          <w:ilvl w:val="0"/>
          <w:numId w:val="1118"/>
        </w:numPr>
      </w:pPr>
      <w:r>
        <w:rPr>
          <w:rStyle w:val="soitChar"/>
        </w:rPr>
        <w:t xml:space="preserve">Écartement des poteaux : </w:t>
      </w:r>
      <w:r>
        <w:rPr>
          <w:rStyle w:val="optioncarChar"/>
        </w:rPr>
        <w:t>suivant indication des plans</w:t>
      </w:r>
      <w:r>
        <w:t xml:space="preserve"> (par défaut) </w:t>
      </w:r>
      <w:r>
        <w:rPr>
          <w:rStyle w:val="optioncarChar"/>
        </w:rPr>
        <w:t>/ *** mm</w:t>
      </w:r>
    </w:p>
    <w:p w14:paraId="73FCAA0F" w14:textId="77777777" w:rsidR="00772179" w:rsidRDefault="00000000">
      <w:pPr>
        <w:pStyle w:val="Author-eListParagraph"/>
        <w:numPr>
          <w:ilvl w:val="0"/>
          <w:numId w:val="1118"/>
        </w:numPr>
      </w:pPr>
      <w:r>
        <w:rPr>
          <w:rStyle w:val="soitChar"/>
        </w:rPr>
        <w:t>Fixation :</w:t>
      </w:r>
      <w:r>
        <w:rPr>
          <w:rStyle w:val="optioncarChar"/>
        </w:rPr>
        <w:t xml:space="preserve"> ancrages répartis sur la hauteur entraxe *** mm</w:t>
      </w:r>
      <w:r>
        <w:t xml:space="preserve"> (par défaut)</w:t>
      </w:r>
      <w:r>
        <w:rPr>
          <w:rStyle w:val="optioncarChar"/>
        </w:rPr>
        <w:t xml:space="preserve"> / point principal en tête et ancrages secondaires limitant les mouvements latéraux entraxe *** mm / appui au sol avec ancrages secondaires entraxe *** mm / ***</w:t>
      </w:r>
    </w:p>
    <w:p w14:paraId="3F14F3DD" w14:textId="77777777" w:rsidR="00772179" w:rsidRDefault="00000000">
      <w:pPr>
        <w:pStyle w:val="Author-eListParagraph"/>
        <w:numPr>
          <w:ilvl w:val="0"/>
          <w:numId w:val="1118"/>
        </w:numPr>
      </w:pPr>
      <w:r>
        <w:rPr>
          <w:rStyle w:val="soitChar"/>
        </w:rPr>
        <w:t xml:space="preserve">Treillage : </w:t>
      </w:r>
      <w:r>
        <w:rPr>
          <w:rStyle w:val="optioncarChar"/>
        </w:rPr>
        <w:t xml:space="preserve">losange </w:t>
      </w:r>
      <w:r>
        <w:t>(par défaut)</w:t>
      </w:r>
      <w:r>
        <w:rPr>
          <w:rStyle w:val="optioncarChar"/>
        </w:rPr>
        <w:t xml:space="preserve"> / quadrillage vertical et horizontal / suivant indication des plans / ***</w:t>
      </w:r>
    </w:p>
    <w:p w14:paraId="21DC4D36" w14:textId="77777777" w:rsidR="00772179" w:rsidRDefault="00000000">
      <w:pPr>
        <w:pStyle w:val="Author-eListParagraph"/>
        <w:numPr>
          <w:ilvl w:val="0"/>
          <w:numId w:val="1118"/>
        </w:numPr>
      </w:pPr>
      <w:r>
        <w:rPr>
          <w:rStyle w:val="soitChar"/>
        </w:rPr>
        <w:t>Maille de treillage :</w:t>
      </w:r>
      <w:r>
        <w:rPr>
          <w:rStyle w:val="optioncarChar"/>
        </w:rPr>
        <w:t xml:space="preserve"> ***</w:t>
      </w:r>
      <w:r>
        <w:rPr>
          <w:rStyle w:val="soitChar"/>
        </w:rPr>
        <w:t>mm</w:t>
      </w:r>
    </w:p>
    <w:p w14:paraId="1B8AE7FC" w14:textId="77777777" w:rsidR="00772179" w:rsidRDefault="00000000">
      <w:pPr>
        <w:jc w:val="both"/>
      </w:pPr>
      <w:r>
        <w:t xml:space="preserve">Fil de liage : </w:t>
      </w:r>
      <w:r>
        <w:rPr>
          <w:rStyle w:val="optioncarChar"/>
        </w:rPr>
        <w:t>caoutchouc creux 4 mm</w:t>
      </w:r>
      <w:r>
        <w:t xml:space="preserve"> (par défaut) </w:t>
      </w:r>
      <w:r>
        <w:rPr>
          <w:rStyle w:val="optioncarChar"/>
        </w:rPr>
        <w:t>/ caoutchouc creux 8mm / liens en caoutchouc à œillet / bande caoutchouc 20x1,5 mm / ***</w:t>
      </w:r>
    </w:p>
    <w:p w14:paraId="3AF28072" w14:textId="77777777" w:rsidR="00772179" w:rsidRDefault="00000000">
      <w:pPr>
        <w:jc w:val="both"/>
      </w:pPr>
      <w:r>
        <w:t xml:space="preserve">Choix des plantations : </w:t>
      </w:r>
      <w:r>
        <w:rPr>
          <w:rStyle w:val="optioncarChar"/>
        </w:rPr>
        <w:t>à tiges volubiles</w:t>
      </w:r>
      <w:r>
        <w:t xml:space="preserve"> (par défaut) </w:t>
      </w:r>
      <w:r>
        <w:rPr>
          <w:rStyle w:val="optioncarChar"/>
        </w:rPr>
        <w:t>/ à vrilles / à palisser</w:t>
      </w:r>
    </w:p>
    <w:p w14:paraId="04365D59" w14:textId="77777777" w:rsidR="00772179" w:rsidRDefault="00000000">
      <w:pPr>
        <w:jc w:val="both"/>
      </w:pPr>
      <w:r>
        <w:rPr>
          <w:b/>
        </w:rPr>
        <w:t>(soit par défaut)</w:t>
      </w:r>
    </w:p>
    <w:p w14:paraId="34A7E132" w14:textId="77777777" w:rsidR="00772179" w:rsidRDefault="00000000">
      <w:pPr>
        <w:jc w:val="both"/>
      </w:pPr>
      <w:r>
        <w:rPr>
          <w:rStyle w:val="soitChar"/>
          <w:u w:val="single"/>
        </w:rPr>
        <w:lastRenderedPageBreak/>
        <w:t>A tiges volubiles :</w:t>
      </w:r>
      <w:r>
        <w:rPr>
          <w:rStyle w:val="optioncarChar"/>
        </w:rPr>
        <w:t>Clématite vitalba / Clematis armandii / Clematis alpina / Clematis montana / Clematis texensis / lonicera peryclymenum / lonicera Xylosteum / lonicera caprifolium / lonicera japonica / lonicera brownii / lonicera Similis / lonicera henryi / Wisteria floribunda / / Wisteria sinensis / Wisteria macrostachya / Humulus lupulus / Celastrus orbiculatus / Campsis radicans / Campsis x tagliabuana / Campsis grandiflora / Célastrus orbiculatus / ***</w:t>
      </w:r>
    </w:p>
    <w:p w14:paraId="2777080B" w14:textId="77777777" w:rsidR="00772179" w:rsidRDefault="00000000">
      <w:pPr>
        <w:jc w:val="both"/>
      </w:pPr>
      <w:r>
        <w:rPr>
          <w:b/>
        </w:rPr>
        <w:t>(soit)</w:t>
      </w:r>
    </w:p>
    <w:p w14:paraId="1C7C4F69" w14:textId="77777777" w:rsidR="00772179" w:rsidRDefault="00000000">
      <w:pPr>
        <w:jc w:val="both"/>
      </w:pPr>
      <w:r>
        <w:rPr>
          <w:rStyle w:val="soitChar"/>
          <w:u w:val="single"/>
        </w:rPr>
        <w:t>A vrilles :</w:t>
      </w:r>
      <w:r>
        <w:rPr>
          <w:rStyle w:val="optioncarChar"/>
        </w:rPr>
        <w:t>Passiflore bleue / parthenocissus henryana / Hydrangea petiolaris / Bryonia dioica / ***</w:t>
      </w:r>
    </w:p>
    <w:p w14:paraId="67FF3892" w14:textId="77777777" w:rsidR="00772179" w:rsidRDefault="00000000">
      <w:pPr>
        <w:jc w:val="both"/>
      </w:pPr>
      <w:r>
        <w:rPr>
          <w:b/>
        </w:rPr>
        <w:t>(soit)</w:t>
      </w:r>
    </w:p>
    <w:p w14:paraId="452A398B" w14:textId="77777777" w:rsidR="00772179" w:rsidRDefault="00000000">
      <w:pPr>
        <w:jc w:val="both"/>
      </w:pPr>
      <w:r>
        <w:rPr>
          <w:rStyle w:val="soitChar"/>
          <w:u w:val="single"/>
        </w:rPr>
        <w:t>A palisser :</w:t>
      </w:r>
      <w:r>
        <w:rPr>
          <w:rStyle w:val="optioncarChar"/>
        </w:rPr>
        <w:t>Jasminum nudiflorum / Jasminum officinalis / Jasminum nudoflorum / Trachelopsermum jasminoïde / Rosa Alister Stella Gray / Rosa Guirlande d’Amour / Rosa arvensis / ***</w:t>
      </w:r>
    </w:p>
    <w:p w14:paraId="7FEE50AD" w14:textId="77777777" w:rsidR="00772179" w:rsidRDefault="00000000">
      <w:pPr>
        <w:pStyle w:val="pheading"/>
      </w:pPr>
      <w:r>
        <w:t>EXÉCUTION / MISE EN ŒUVRE</w:t>
      </w:r>
    </w:p>
    <w:p w14:paraId="7499EC1D" w14:textId="77777777" w:rsidR="00772179" w:rsidRDefault="00000000">
      <w:pPr>
        <w:pStyle w:val="pheading"/>
      </w:pPr>
      <w:r>
        <w:t>- Prescriptions générales</w:t>
      </w:r>
    </w:p>
    <w:p w14:paraId="50040AB2" w14:textId="77777777" w:rsidR="00772179" w:rsidRDefault="00000000">
      <w:pPr>
        <w:jc w:val="both"/>
      </w:pPr>
      <w:r>
        <w:t xml:space="preserve">Mise en place suivant description sous </w:t>
      </w:r>
      <w:hyperlink w:anchor="1036" w:history="1">
        <w:r>
          <w:rPr>
            <w:color w:val="0000EE"/>
          </w:rPr>
          <w:t>43.71.1 Revêtements de façade rigides fixés mécaniquement - façades vertes</w:t>
        </w:r>
      </w:hyperlink>
    </w:p>
    <w:p w14:paraId="461B39BD" w14:textId="77777777" w:rsidR="00772179" w:rsidRDefault="00000000">
      <w:pPr>
        <w:jc w:val="both"/>
      </w:pPr>
      <w:r>
        <w:t xml:space="preserve">Support d’ancrage placé à : </w:t>
      </w:r>
      <w:r>
        <w:rPr>
          <w:rStyle w:val="optioncarChar"/>
        </w:rPr>
        <w:t>8</w:t>
      </w:r>
      <w:r>
        <w:t xml:space="preserve"> (par défaut) </w:t>
      </w:r>
      <w:r>
        <w:rPr>
          <w:rStyle w:val="optioncarChar"/>
        </w:rPr>
        <w:t>/ 15 / ***</w:t>
      </w:r>
      <w:r>
        <w:t xml:space="preserve"> cm de la façade.</w:t>
      </w:r>
    </w:p>
    <w:p w14:paraId="1D82D0CB" w14:textId="77777777" w:rsidR="00772179" w:rsidRDefault="00000000">
      <w:pPr>
        <w:jc w:val="both"/>
      </w:pPr>
      <w:r>
        <w:t>Les plantes sont guidées le long des supports.</w:t>
      </w:r>
    </w:p>
    <w:p w14:paraId="3E90BA03" w14:textId="77777777" w:rsidR="00772179" w:rsidRDefault="00000000">
      <w:pPr>
        <w:jc w:val="both"/>
      </w:pPr>
      <w:r>
        <w:t>En cas de plantes formant un tronc épais, les pousses sont guidées le long des supports.</w:t>
      </w:r>
    </w:p>
    <w:p w14:paraId="513CDCC1" w14:textId="77777777" w:rsidR="00772179" w:rsidRDefault="00000000">
      <w:pPr>
        <w:jc w:val="both"/>
      </w:pPr>
      <w:r>
        <w:t>Les plantes sont placées à l’avant des supports, la charpente est liée au moyen de matériel de liage n’abîmant pas les plantes.</w:t>
      </w:r>
    </w:p>
    <w:p w14:paraId="26EDC5E3" w14:textId="77777777" w:rsidR="00772179" w:rsidRDefault="00000000">
      <w:pPr>
        <w:jc w:val="both"/>
      </w:pPr>
      <w:r>
        <w:t>Les jeunes pousses sont palissées derrière le support.</w:t>
      </w:r>
    </w:p>
    <w:p w14:paraId="0ACD4CEA" w14:textId="77777777" w:rsidR="00772179" w:rsidRDefault="00000000">
      <w:pPr>
        <w:jc w:val="both"/>
      </w:pPr>
      <w:r>
        <w:t>L’entretien annuel comprend :</w:t>
      </w:r>
    </w:p>
    <w:p w14:paraId="010C705F" w14:textId="77777777" w:rsidR="00772179" w:rsidRDefault="00000000">
      <w:pPr>
        <w:pStyle w:val="Author-eListParagraph"/>
        <w:numPr>
          <w:ilvl w:val="0"/>
          <w:numId w:val="1119"/>
        </w:numPr>
        <w:jc w:val="both"/>
      </w:pPr>
      <w:r>
        <w:t>La taille ;</w:t>
      </w:r>
    </w:p>
    <w:p w14:paraId="553FAB4D" w14:textId="77777777" w:rsidR="00772179" w:rsidRDefault="00000000">
      <w:pPr>
        <w:pStyle w:val="Author-eListParagraph"/>
        <w:numPr>
          <w:ilvl w:val="0"/>
          <w:numId w:val="1119"/>
        </w:numPr>
        <w:jc w:val="both"/>
      </w:pPr>
      <w:r>
        <w:t>Le guidage des pousses.</w:t>
      </w:r>
    </w:p>
    <w:p w14:paraId="069B8B0F" w14:textId="77777777" w:rsidR="00772179" w:rsidRDefault="00000000">
      <w:pPr>
        <w:pStyle w:val="pheading"/>
      </w:pPr>
      <w:r>
        <w:t>MESURAGE</w:t>
      </w:r>
    </w:p>
    <w:p w14:paraId="1832747A" w14:textId="77777777" w:rsidR="00772179" w:rsidRDefault="00000000">
      <w:pPr>
        <w:pStyle w:val="pheading"/>
      </w:pPr>
      <w:r>
        <w:t>- unité de mesure:</w:t>
      </w:r>
    </w:p>
    <w:p w14:paraId="62AB1E5F" w14:textId="77777777" w:rsidR="00772179" w:rsidRDefault="00000000">
      <w:r>
        <w:rPr>
          <w:rStyle w:val="optioncarChar"/>
        </w:rPr>
        <w:t xml:space="preserve">m² ; pc </w:t>
      </w:r>
      <w:r>
        <w:t>(par défaut)</w:t>
      </w:r>
      <w:r>
        <w:rPr>
          <w:rStyle w:val="optioncarChar"/>
        </w:rPr>
        <w:t xml:space="preserve"> / m² ; pc ; fft</w:t>
      </w:r>
    </w:p>
    <w:p w14:paraId="59B9093D" w14:textId="77777777" w:rsidR="00772179" w:rsidRDefault="00000000">
      <w:r>
        <w:rPr>
          <w:b/>
        </w:rPr>
        <w:t>(soit par défaut)</w:t>
      </w:r>
      <w:r>
        <w:br/>
      </w:r>
      <w:r>
        <w:rPr>
          <w:rStyle w:val="soitChar"/>
        </w:rPr>
        <w:t>1 : m² ; pc</w:t>
      </w:r>
      <w:r>
        <w:br/>
      </w:r>
      <w:r>
        <w:rPr>
          <w:b/>
        </w:rPr>
        <w:t>(soit)</w:t>
      </w:r>
      <w:r>
        <w:br/>
      </w:r>
      <w:r>
        <w:rPr>
          <w:rStyle w:val="soitChar"/>
        </w:rPr>
        <w:t>2 : m² ; pc ; fft</w:t>
      </w:r>
    </w:p>
    <w:p w14:paraId="2AA44420" w14:textId="77777777" w:rsidR="00772179" w:rsidRDefault="00000000">
      <w:pPr>
        <w:pStyle w:val="pheading"/>
      </w:pPr>
      <w:r>
        <w:t>- code de mesurage:</w:t>
      </w:r>
    </w:p>
    <w:p w14:paraId="7AD646BB" w14:textId="77777777" w:rsidR="00772179" w:rsidRDefault="00000000">
      <w:pPr>
        <w:jc w:val="both"/>
      </w:pPr>
      <w:r>
        <w:rPr>
          <w:rStyle w:val="optioncarChar"/>
        </w:rPr>
        <w:t>Surface nette ; quantité nette</w:t>
      </w:r>
      <w:r>
        <w:t xml:space="preserve"> (par défaut) </w:t>
      </w:r>
      <w:r>
        <w:rPr>
          <w:rStyle w:val="optioncarChar"/>
        </w:rPr>
        <w:t>/ Surface nette ; quantité nette ; pour l'ensemble</w:t>
      </w:r>
    </w:p>
    <w:p w14:paraId="09645C3D" w14:textId="77777777" w:rsidR="00772179" w:rsidRDefault="00000000">
      <w:pPr>
        <w:jc w:val="both"/>
      </w:pPr>
      <w:r>
        <w:rPr>
          <w:b/>
        </w:rPr>
        <w:t>(soit par défaut)</w:t>
      </w:r>
    </w:p>
    <w:p w14:paraId="6A333DA4" w14:textId="77777777" w:rsidR="00772179" w:rsidRDefault="00000000">
      <w:pPr>
        <w:jc w:val="both"/>
      </w:pPr>
      <w:r>
        <w:rPr>
          <w:rStyle w:val="soitChar"/>
        </w:rPr>
        <w:t xml:space="preserve">1. </w:t>
      </w:r>
      <w:r>
        <w:rPr>
          <w:rStyle w:val="soitChar"/>
          <w:u w:val="single"/>
        </w:rPr>
        <w:t>Surface nette</w:t>
      </w:r>
      <w:r>
        <w:rPr>
          <w:rStyle w:val="soitChar"/>
        </w:rPr>
        <w:t xml:space="preserve"> couverte par le support d’ancrage pour le support d’accrochage ; </w:t>
      </w:r>
      <w:r>
        <w:rPr>
          <w:rStyle w:val="soitChar"/>
          <w:u w:val="single"/>
        </w:rPr>
        <w:t>Quantité nette :</w:t>
      </w:r>
      <w:r>
        <w:rPr>
          <w:rStyle w:val="soitChar"/>
        </w:rPr>
        <w:t> plantations : pièce distinction faite de l’essence.</w:t>
      </w:r>
    </w:p>
    <w:p w14:paraId="4AD0A03B" w14:textId="77777777" w:rsidR="00772179" w:rsidRDefault="00000000">
      <w:pPr>
        <w:jc w:val="both"/>
      </w:pPr>
      <w:r>
        <w:rPr>
          <w:b/>
        </w:rPr>
        <w:t>(soit)</w:t>
      </w:r>
    </w:p>
    <w:p w14:paraId="409FE79A" w14:textId="77777777" w:rsidR="00772179" w:rsidRDefault="00000000">
      <w:pPr>
        <w:jc w:val="both"/>
      </w:pPr>
      <w:r>
        <w:rPr>
          <w:rStyle w:val="soitChar"/>
        </w:rPr>
        <w:t xml:space="preserve">2. </w:t>
      </w:r>
      <w:r>
        <w:rPr>
          <w:rStyle w:val="soitChar"/>
          <w:u w:val="single"/>
        </w:rPr>
        <w:t>Surface nette</w:t>
      </w:r>
      <w:r>
        <w:rPr>
          <w:rStyle w:val="soitChar"/>
        </w:rPr>
        <w:t xml:space="preserve"> couverte par le support d’ancrage pour le support d’accrochage ; </w:t>
      </w:r>
      <w:r>
        <w:rPr>
          <w:rStyle w:val="soitChar"/>
          <w:u w:val="single"/>
        </w:rPr>
        <w:t>Quantité nette :</w:t>
      </w:r>
      <w:r>
        <w:rPr>
          <w:rStyle w:val="soitChar"/>
        </w:rPr>
        <w:t xml:space="preserve"> plantations : pièce distinction faite de l’essence. ; </w:t>
      </w:r>
      <w:r>
        <w:rPr>
          <w:rStyle w:val="soitChar"/>
          <w:u w:val="single"/>
        </w:rPr>
        <w:t>Pour l'ensemble :</w:t>
      </w:r>
      <w:r>
        <w:rPr>
          <w:rStyle w:val="soitChar"/>
        </w:rPr>
        <w:t xml:space="preserve"> prix global / an pour le contrat d’entretien.</w:t>
      </w:r>
    </w:p>
    <w:p w14:paraId="5184D590" w14:textId="77777777" w:rsidR="00772179" w:rsidRDefault="00000000">
      <w:pPr>
        <w:pStyle w:val="pheading"/>
      </w:pPr>
      <w:r>
        <w:t>- nature du marché:</w:t>
      </w:r>
    </w:p>
    <w:p w14:paraId="7001CE40" w14:textId="77777777" w:rsidR="00772179" w:rsidRDefault="00000000">
      <w:r>
        <w:rPr>
          <w:rStyle w:val="optioncarChar"/>
        </w:rPr>
        <w:t>QF </w:t>
      </w:r>
      <w:r>
        <w:t>(par défaut)</w:t>
      </w:r>
      <w:r>
        <w:rPr>
          <w:rStyle w:val="optioncarChar"/>
        </w:rPr>
        <w:t xml:space="preserve"> / QF ; QF ; QP</w:t>
      </w:r>
    </w:p>
    <w:p w14:paraId="10525E65" w14:textId="77777777" w:rsidR="00772179" w:rsidRDefault="00000000">
      <w:r>
        <w:rPr>
          <w:b/>
        </w:rPr>
        <w:t>(soit par défaut)</w:t>
      </w:r>
      <w:r>
        <w:br/>
      </w:r>
      <w:r>
        <w:rPr>
          <w:rStyle w:val="soitChar"/>
        </w:rPr>
        <w:t>1. QF </w:t>
      </w:r>
      <w:r>
        <w:br/>
      </w:r>
      <w:r>
        <w:rPr>
          <w:b/>
        </w:rPr>
        <w:lastRenderedPageBreak/>
        <w:t>(soit)</w:t>
      </w:r>
      <w:r>
        <w:br/>
      </w:r>
      <w:r>
        <w:rPr>
          <w:rStyle w:val="soitChar"/>
        </w:rPr>
        <w:t>2. QF ; QF ; PG</w:t>
      </w:r>
    </w:p>
    <w:p w14:paraId="42FC06F5" w14:textId="77777777" w:rsidR="00772179" w:rsidRDefault="00000000">
      <w:pPr>
        <w:pStyle w:val="pheading"/>
      </w:pPr>
      <w:r>
        <w:t>AIDE</w:t>
      </w:r>
    </w:p>
    <w:p w14:paraId="59A3BCAB" w14:textId="77777777" w:rsidR="00772179" w:rsidRDefault="00000000">
      <w:pPr>
        <w:jc w:val="both"/>
      </w:pPr>
      <w:r>
        <w:t>Le chèvre-feuille (lonicera), la glycine ( Wisteria) et la bryone dioïque (Bryonia dioica), Célastrus orbiculatus portent des baies toxiques pour la consommation humaine.</w:t>
      </w:r>
    </w:p>
    <w:p w14:paraId="7989D9E3" w14:textId="77777777" w:rsidR="00772179" w:rsidRDefault="00000000">
      <w:pPr>
        <w:jc w:val="both"/>
      </w:pPr>
      <w:r>
        <w:t>Les bignones (campsis radicans, campsis x tagliabuana, campsis grandiflora) bien que pourvues de racines crampons, nécessitent un support pour les sécuriser lors de grands vents.</w:t>
      </w:r>
    </w:p>
    <w:p w14:paraId="3878DDA4" w14:textId="77777777" w:rsidR="00772179" w:rsidRDefault="00000000">
      <w:pPr>
        <w:pStyle w:val="Author-eSectionHeading3Numberless"/>
      </w:pPr>
      <w:bookmarkStart w:id="948" w:name="_Toc220490612"/>
      <w:r>
        <w:t>43.8 Revêtements de façade - rénovation</w:t>
      </w:r>
      <w:bookmarkEnd w:id="948"/>
    </w:p>
    <w:p w14:paraId="0FDB9FF1" w14:textId="77777777" w:rsidR="00772179" w:rsidRDefault="00000000">
      <w:pPr>
        <w:pStyle w:val="Author-eSectionHeading2Numberless"/>
      </w:pPr>
      <w:bookmarkStart w:id="949" w:name="154"/>
      <w:bookmarkStart w:id="950" w:name="_Toc220490613"/>
      <w:bookmarkEnd w:id="949"/>
      <w:r>
        <w:t>44 Etanchéisation et isolation des parois extérieures CCTB 01.04</w:t>
      </w:r>
      <w:bookmarkEnd w:id="950"/>
    </w:p>
    <w:p w14:paraId="77939F56" w14:textId="77777777" w:rsidR="00772179" w:rsidRDefault="00000000">
      <w:pPr>
        <w:pStyle w:val="Author-eSectionHeading3Numberless"/>
      </w:pPr>
      <w:bookmarkStart w:id="951" w:name="_Toc220490614"/>
      <w:r>
        <w:t>44.1 Etanchéité aux matières liquides CCTB 01.04</w:t>
      </w:r>
      <w:bookmarkEnd w:id="951"/>
    </w:p>
    <w:p w14:paraId="7554AEAF" w14:textId="77777777" w:rsidR="00772179" w:rsidRDefault="00000000">
      <w:pPr>
        <w:pStyle w:val="Author-eSectionHeading4Numberless"/>
      </w:pPr>
      <w:bookmarkStart w:id="952" w:name="_Toc220490615"/>
      <w:r>
        <w:t>44.11 Etanchéité par membrane  CCTB 01.04</w:t>
      </w:r>
      <w:bookmarkEnd w:id="952"/>
    </w:p>
    <w:p w14:paraId="4CBE66EF" w14:textId="77777777" w:rsidR="00772179" w:rsidRDefault="00000000">
      <w:pPr>
        <w:pStyle w:val="pheading"/>
      </w:pPr>
      <w:r>
        <w:t>DESCRIPTION</w:t>
      </w:r>
    </w:p>
    <w:p w14:paraId="3F7FC64D" w14:textId="77777777" w:rsidR="00772179" w:rsidRDefault="00000000">
      <w:pPr>
        <w:pStyle w:val="pheading"/>
      </w:pPr>
      <w:r>
        <w:t>- Définition / Comprend</w:t>
      </w:r>
    </w:p>
    <w:p w14:paraId="23E74BE5" w14:textId="77777777" w:rsidR="00772179" w:rsidRDefault="00000000">
      <w:r>
        <w:t>Renvoi au § 34.21 Membranes bitumineuses</w:t>
      </w:r>
    </w:p>
    <w:p w14:paraId="7B575473" w14:textId="77777777" w:rsidR="00772179" w:rsidRDefault="00000000">
      <w:r>
        <w:t>Renvoi au § 34.22 Membranes synthétiques (hautement polymérisées)</w:t>
      </w:r>
    </w:p>
    <w:p w14:paraId="604FABD3" w14:textId="77777777" w:rsidR="00772179" w:rsidRDefault="00000000">
      <w:pPr>
        <w:pStyle w:val="Author-eSectionHeading5Numberless"/>
      </w:pPr>
      <w:bookmarkStart w:id="953" w:name="_Toc220490616"/>
      <w:r>
        <w:t>44.11.1 Membranes bitumineuses CCTB 01.10</w:t>
      </w:r>
      <w:bookmarkEnd w:id="953"/>
    </w:p>
    <w:p w14:paraId="6B7F94CB" w14:textId="77777777" w:rsidR="00772179" w:rsidRDefault="00000000">
      <w:pPr>
        <w:pStyle w:val="pheading"/>
      </w:pPr>
      <w:r>
        <w:t>DESCRIPTION</w:t>
      </w:r>
    </w:p>
    <w:p w14:paraId="187C131B" w14:textId="77777777" w:rsidR="00772179" w:rsidRDefault="00000000">
      <w:pPr>
        <w:pStyle w:val="pheading"/>
      </w:pPr>
      <w:r>
        <w:t>- Définition / Comprend</w:t>
      </w:r>
    </w:p>
    <w:p w14:paraId="6AF5A0E3" w14:textId="77777777" w:rsidR="00772179" w:rsidRDefault="00000000">
      <w:r>
        <w:t>Voir § 34.21 Membranes bitumineuses</w:t>
      </w:r>
    </w:p>
    <w:p w14:paraId="6C2A1980" w14:textId="77777777" w:rsidR="00772179" w:rsidRDefault="00000000">
      <w:pPr>
        <w:pStyle w:val="Author-eSectionHeading5Numberless"/>
      </w:pPr>
      <w:bookmarkStart w:id="954" w:name="_Toc220490617"/>
      <w:r>
        <w:t>44.11.2 Membranes synthétiques CCTB 01.10</w:t>
      </w:r>
      <w:bookmarkEnd w:id="954"/>
    </w:p>
    <w:p w14:paraId="26213937" w14:textId="77777777" w:rsidR="00772179" w:rsidRDefault="00000000">
      <w:pPr>
        <w:pStyle w:val="pheading"/>
      </w:pPr>
      <w:r>
        <w:t>DESCRIPTION</w:t>
      </w:r>
    </w:p>
    <w:p w14:paraId="639CB43E" w14:textId="77777777" w:rsidR="00772179" w:rsidRDefault="00000000">
      <w:pPr>
        <w:pStyle w:val="pheading"/>
      </w:pPr>
      <w:r>
        <w:t>- Définition / Comprend</w:t>
      </w:r>
    </w:p>
    <w:p w14:paraId="0DBB9062" w14:textId="77777777" w:rsidR="00772179" w:rsidRDefault="00000000">
      <w:r>
        <w:t>Voir § 34.22 Membranes synthétiques (hautement polymérisées)</w:t>
      </w:r>
    </w:p>
    <w:p w14:paraId="6F9EBB9E" w14:textId="77777777" w:rsidR="00772179" w:rsidRDefault="00000000">
      <w:pPr>
        <w:pStyle w:val="Author-eSectionHeading4Numberless"/>
      </w:pPr>
      <w:bookmarkStart w:id="955" w:name="_Toc220490618"/>
      <w:r>
        <w:t>44.12 Etanchéité liquide CCTB 01.04</w:t>
      </w:r>
      <w:bookmarkEnd w:id="955"/>
    </w:p>
    <w:p w14:paraId="37908932" w14:textId="77777777" w:rsidR="00772179" w:rsidRDefault="00000000">
      <w:pPr>
        <w:pStyle w:val="pheading"/>
      </w:pPr>
      <w:r>
        <w:t>DESCRIPTION</w:t>
      </w:r>
    </w:p>
    <w:p w14:paraId="3EEC131D" w14:textId="77777777" w:rsidR="00772179" w:rsidRDefault="00000000">
      <w:pPr>
        <w:pStyle w:val="pheading"/>
      </w:pPr>
      <w:r>
        <w:t>- Définition / Comprend</w:t>
      </w:r>
    </w:p>
    <w:p w14:paraId="01A6121C" w14:textId="77777777" w:rsidR="00772179" w:rsidRDefault="00000000">
      <w:r>
        <w:t>Renvoi au § 34.24 Etanchéités liquides</w:t>
      </w:r>
    </w:p>
    <w:p w14:paraId="5B117617" w14:textId="77777777" w:rsidR="00772179" w:rsidRDefault="00000000">
      <w:pPr>
        <w:pStyle w:val="Author-eSectionHeading4Numberless"/>
      </w:pPr>
      <w:bookmarkStart w:id="956" w:name="_Toc220490619"/>
      <w:r>
        <w:t>44.13 Pare-pluie souples CCTB 01.10</w:t>
      </w:r>
      <w:bookmarkEnd w:id="956"/>
    </w:p>
    <w:p w14:paraId="47EC39DB" w14:textId="77777777" w:rsidR="00772179" w:rsidRDefault="00000000">
      <w:pPr>
        <w:pStyle w:val="pheading"/>
      </w:pPr>
      <w:bookmarkStart w:id="957" w:name="994"/>
      <w:bookmarkEnd w:id="957"/>
      <w:r>
        <w:t>DESCRIPTION</w:t>
      </w:r>
    </w:p>
    <w:p w14:paraId="4C746245" w14:textId="77777777" w:rsidR="00772179" w:rsidRDefault="00000000">
      <w:pPr>
        <w:pStyle w:val="pheading"/>
      </w:pPr>
      <w:r>
        <w:t>- Définition / Comprend</w:t>
      </w:r>
    </w:p>
    <w:p w14:paraId="27EAD77F" w14:textId="77777777" w:rsidR="00772179" w:rsidRDefault="00000000">
      <w:r>
        <w:t>Ce chapitre concerne les panneaux et membranes de protection contre la pluie pour les parois verticales (murs de façade).</w:t>
      </w:r>
    </w:p>
    <w:p w14:paraId="7759E239" w14:textId="77777777" w:rsidR="00772179" w:rsidRDefault="00000000">
      <w:r>
        <w:t>Les sous-toitures souples sont reprises au chapitre 32.11 Sous-toitures souples</w:t>
      </w:r>
    </w:p>
    <w:p w14:paraId="4E48A2A9" w14:textId="77777777" w:rsidR="00772179" w:rsidRDefault="00000000">
      <w:pPr>
        <w:pStyle w:val="Author-eSectionHeading5Numberless"/>
      </w:pPr>
      <w:bookmarkStart w:id="958" w:name="_Toc220490620"/>
      <w:r>
        <w:t>44.13.1 Pare-pluie en membranes CCTB 01.02</w:t>
      </w:r>
      <w:bookmarkEnd w:id="958"/>
    </w:p>
    <w:p w14:paraId="53951445" w14:textId="77777777" w:rsidR="00772179" w:rsidRDefault="00000000">
      <w:pPr>
        <w:pStyle w:val="Author-eSectionHeading6Numberless"/>
      </w:pPr>
      <w:bookmarkStart w:id="959" w:name="_Toc220490621"/>
      <w:r>
        <w:t>44.13.1a Membranes en polypropylène CCTB 01.02</w:t>
      </w:r>
      <w:bookmarkEnd w:id="959"/>
    </w:p>
    <w:p w14:paraId="193783F8" w14:textId="77777777" w:rsidR="00772179" w:rsidRDefault="00000000">
      <w:pPr>
        <w:pStyle w:val="Author-eSectionHeading6Numberless"/>
      </w:pPr>
      <w:bookmarkStart w:id="960" w:name="_Toc220490622"/>
      <w:r>
        <w:lastRenderedPageBreak/>
        <w:t>44.13.1b Membranes en matière synthétique CCTB 01.10</w:t>
      </w:r>
      <w:bookmarkEnd w:id="960"/>
    </w:p>
    <w:p w14:paraId="01CE7FF6" w14:textId="77777777" w:rsidR="00772179" w:rsidRDefault="00000000">
      <w:pPr>
        <w:pStyle w:val="pheading"/>
      </w:pPr>
      <w:r>
        <w:t>DESCRIPTION</w:t>
      </w:r>
    </w:p>
    <w:p w14:paraId="6A0FC30D" w14:textId="77777777" w:rsidR="00772179" w:rsidRDefault="00000000">
      <w:pPr>
        <w:pStyle w:val="pheading"/>
      </w:pPr>
      <w:r>
        <w:t>- Définition / Comprend</w:t>
      </w:r>
    </w:p>
    <w:p w14:paraId="79BABCE3" w14:textId="77777777" w:rsidR="00772179" w:rsidRDefault="00000000">
      <w:pPr>
        <w:jc w:val="both"/>
      </w:pPr>
      <w:r>
        <w:t>Il s’agit de la fourniture et la pose de membranes de protection contre la pluie pour les parois verticales (murs de façade), ou pare-pluies, utilisées derrière les habillages des murs extérieurs pour en assurer l’étanchéité à l’eau et évacuer les eaux occasionnelles vers l’extérieur, et réduire la convection d’air au sein et autour de l’isolant.</w:t>
      </w:r>
    </w:p>
    <w:p w14:paraId="0BED4847" w14:textId="77777777" w:rsidR="00772179" w:rsidRDefault="00000000">
      <w:pPr>
        <w:jc w:val="both"/>
      </w:pPr>
      <w:r>
        <w:t>Le travail comprend notamment :</w:t>
      </w:r>
    </w:p>
    <w:p w14:paraId="28FA905B" w14:textId="77777777" w:rsidR="00772179" w:rsidRDefault="00000000">
      <w:pPr>
        <w:pStyle w:val="Author-eListParagraph"/>
        <w:numPr>
          <w:ilvl w:val="0"/>
          <w:numId w:val="1120"/>
        </w:numPr>
        <w:jc w:val="both"/>
      </w:pPr>
      <w:r>
        <w:t>la pose de la membrane</w:t>
      </w:r>
    </w:p>
    <w:p w14:paraId="2F80AE41" w14:textId="77777777" w:rsidR="00772179" w:rsidRDefault="00000000">
      <w:pPr>
        <w:pStyle w:val="Author-eListParagraph"/>
        <w:numPr>
          <w:ilvl w:val="0"/>
          <w:numId w:val="1120"/>
        </w:numPr>
        <w:jc w:val="both"/>
      </w:pPr>
      <w:r>
        <w:t>la réalisation des détails et ouvertures (menuiseries, pieds de murs, …)</w:t>
      </w:r>
    </w:p>
    <w:p w14:paraId="76A9BA1E" w14:textId="77777777" w:rsidR="00772179" w:rsidRDefault="00000000">
      <w:pPr>
        <w:pStyle w:val="pheading"/>
      </w:pPr>
      <w:r>
        <w:t>MATÉRIAUX</w:t>
      </w:r>
    </w:p>
    <w:p w14:paraId="68560E2D" w14:textId="77777777" w:rsidR="00772179" w:rsidRDefault="00000000">
      <w:pPr>
        <w:pStyle w:val="pheading"/>
      </w:pPr>
      <w:r>
        <w:t>- Caractéristiques générales</w:t>
      </w:r>
    </w:p>
    <w:p w14:paraId="486AC929" w14:textId="77777777" w:rsidR="00772179" w:rsidRDefault="00000000">
      <w:pPr>
        <w:jc w:val="both"/>
      </w:pPr>
      <w:r>
        <w:t xml:space="preserve">Il s’agit de membranes d’étanchéité qui répondent aux spécifications de la [NBN EN 13859-2]. Elles sont étanches à l’eau et au vent, et perméables à la vapeur (µd ou Sd &lt; 0,5 m). Il s’agit de feuilles de </w:t>
      </w:r>
      <w:r>
        <w:rPr>
          <w:rStyle w:val="optioncarChar"/>
        </w:rPr>
        <w:t xml:space="preserve">polypropylène </w:t>
      </w:r>
      <w:r>
        <w:t>(par défaut) </w:t>
      </w:r>
      <w:r>
        <w:rPr>
          <w:rStyle w:val="optioncarChar"/>
        </w:rPr>
        <w:t xml:space="preserve">/ polyéthylène / polyoléfine / composite / </w:t>
      </w:r>
      <w:r>
        <w:t>non-tissé de polyester enduit de</w:t>
      </w:r>
      <w:r>
        <w:rPr>
          <w:rStyle w:val="optioncarChar"/>
        </w:rPr>
        <w:t xml:space="preserve"> polyacrylique/polyuréthane/*** / ***</w:t>
      </w:r>
    </w:p>
    <w:p w14:paraId="43B40A8D" w14:textId="77777777" w:rsidR="00772179" w:rsidRDefault="00000000">
      <w:pPr>
        <w:jc w:val="both"/>
      </w:pPr>
      <w:r>
        <w:t xml:space="preserve">Résistance à la diffusion de vapeur d’eau [NBN EN 1931] : valeur Sd (≤0.5m) : </w:t>
      </w:r>
      <w:r>
        <w:rPr>
          <w:rStyle w:val="optioncarChar"/>
        </w:rPr>
        <w:t xml:space="preserve">Sd ≤0,05m / 0,05m &lt; Sd ≤ 0,5m </w:t>
      </w:r>
      <w:r>
        <w:t>(par défaut)</w:t>
      </w:r>
      <w:r>
        <w:rPr>
          <w:rStyle w:val="optioncarChar"/>
        </w:rPr>
        <w:t xml:space="preserve"> / ***</w:t>
      </w:r>
      <w:r>
        <w:t xml:space="preserve"> m</w:t>
      </w:r>
    </w:p>
    <w:p w14:paraId="6D05A933" w14:textId="77777777" w:rsidR="00772179" w:rsidRDefault="00000000">
      <w:pPr>
        <w:jc w:val="both"/>
      </w:pPr>
      <w:r>
        <w:t xml:space="preserve">Résistance à la traction longitudinale [NBN EN 12311-1] ou [NBN EN 12311-2]  : ≥ </w:t>
      </w:r>
      <w:r>
        <w:rPr>
          <w:rStyle w:val="optioncarChar"/>
        </w:rPr>
        <w:t xml:space="preserve">200 </w:t>
      </w:r>
      <w:r>
        <w:t>(par défaut)</w:t>
      </w:r>
      <w:r>
        <w:rPr>
          <w:rStyle w:val="optioncarChar"/>
        </w:rPr>
        <w:t xml:space="preserve"> / 250 / 300 / 350 / ***</w:t>
      </w:r>
      <w:r>
        <w:t xml:space="preserve"> N / 50 mm</w:t>
      </w:r>
    </w:p>
    <w:p w14:paraId="0D38EB89" w14:textId="77777777" w:rsidR="00772179" w:rsidRDefault="00000000">
      <w:pPr>
        <w:jc w:val="both"/>
      </w:pPr>
      <w:r>
        <w:t xml:space="preserve">Résistance à la traction transversale [NBN EN 12311-1] ou [NBN EN 12311-2] : ≥ </w:t>
      </w:r>
      <w:r>
        <w:rPr>
          <w:rStyle w:val="optioncarChar"/>
        </w:rPr>
        <w:t xml:space="preserve">200 </w:t>
      </w:r>
      <w:r>
        <w:t>(par défaut)</w:t>
      </w:r>
      <w:r>
        <w:rPr>
          <w:rStyle w:val="optioncarChar"/>
        </w:rPr>
        <w:t xml:space="preserve"> / 250 / 300 / 350 / ***</w:t>
      </w:r>
      <w:r>
        <w:t xml:space="preserve"> N / 50 mm</w:t>
      </w:r>
    </w:p>
    <w:p w14:paraId="5BB0B0B9" w14:textId="77777777" w:rsidR="00772179" w:rsidRDefault="00000000">
      <w:pPr>
        <w:jc w:val="both"/>
      </w:pPr>
      <w:r>
        <w:t xml:space="preserve">Allongement à la rupture longitudinal [NBN EN 12311-1] ou [NBN EN 12311-2]  : ≥ </w:t>
      </w:r>
      <w:r>
        <w:rPr>
          <w:rStyle w:val="optioncarChar"/>
        </w:rPr>
        <w:t xml:space="preserve">40 </w:t>
      </w:r>
      <w:r>
        <w:t>(par défaut)</w:t>
      </w:r>
      <w:r>
        <w:rPr>
          <w:rStyle w:val="optioncarChar"/>
        </w:rPr>
        <w:t xml:space="preserve"> / 50 / 60 / ***</w:t>
      </w:r>
      <w:r>
        <w:t xml:space="preserve"> %</w:t>
      </w:r>
    </w:p>
    <w:p w14:paraId="24788DC3" w14:textId="77777777" w:rsidR="00772179" w:rsidRDefault="00000000">
      <w:pPr>
        <w:jc w:val="both"/>
      </w:pPr>
      <w:r>
        <w:t xml:space="preserve">Allongement à la rupture transversal [NBN EN 12311-1] ou [NBN EN 12311-2] : ≥ </w:t>
      </w:r>
      <w:r>
        <w:rPr>
          <w:rStyle w:val="optioncarChar"/>
        </w:rPr>
        <w:t xml:space="preserve">40 </w:t>
      </w:r>
      <w:r>
        <w:t>(par défaut)</w:t>
      </w:r>
      <w:r>
        <w:rPr>
          <w:rStyle w:val="optioncarChar"/>
        </w:rPr>
        <w:t xml:space="preserve"> / 50 / 60 / ***</w:t>
      </w:r>
      <w:r>
        <w:t xml:space="preserve"> %</w:t>
      </w:r>
    </w:p>
    <w:p w14:paraId="3FE3428A" w14:textId="77777777" w:rsidR="00772179" w:rsidRDefault="00000000">
      <w:pPr>
        <w:jc w:val="both"/>
      </w:pPr>
      <w:r>
        <w:t xml:space="preserve">Résistance à la déchirure au clou longitudinale [NBN EN 12310-1] : ≥ </w:t>
      </w:r>
      <w:r>
        <w:rPr>
          <w:rStyle w:val="optioncarChar"/>
        </w:rPr>
        <w:t xml:space="preserve">100 </w:t>
      </w:r>
      <w:r>
        <w:t>(par défaut)</w:t>
      </w:r>
      <w:r>
        <w:rPr>
          <w:rStyle w:val="optioncarChar"/>
        </w:rPr>
        <w:t xml:space="preserve"> / 150 / ***</w:t>
      </w:r>
      <w:r>
        <w:t xml:space="preserve"> N</w:t>
      </w:r>
    </w:p>
    <w:p w14:paraId="0C7C73AA" w14:textId="77777777" w:rsidR="00772179" w:rsidRDefault="00000000">
      <w:pPr>
        <w:jc w:val="both"/>
      </w:pPr>
      <w:r>
        <w:t xml:space="preserve">Etanchéité à l’eau [NBN EN 1928] : classe </w:t>
      </w:r>
      <w:r>
        <w:rPr>
          <w:rStyle w:val="optioncarChar"/>
        </w:rPr>
        <w:t xml:space="preserve">W1 </w:t>
      </w:r>
      <w:r>
        <w:t>(par défaut)</w:t>
      </w:r>
      <w:r>
        <w:rPr>
          <w:rStyle w:val="optioncarChar"/>
        </w:rPr>
        <w:t xml:space="preserve"> / ***</w:t>
      </w:r>
    </w:p>
    <w:p w14:paraId="1D6DF7D5" w14:textId="77777777" w:rsidR="00772179" w:rsidRDefault="00000000">
      <w:pPr>
        <w:jc w:val="both"/>
      </w:pPr>
      <w:r>
        <w:t xml:space="preserve">Résistance aux températures de </w:t>
      </w:r>
      <w:r>
        <w:rPr>
          <w:rStyle w:val="optioncarChar"/>
        </w:rPr>
        <w:t xml:space="preserve">– 40 </w:t>
      </w:r>
      <w:r>
        <w:t>(par défaut)</w:t>
      </w:r>
      <w:r>
        <w:rPr>
          <w:rStyle w:val="optioncarChar"/>
        </w:rPr>
        <w:t xml:space="preserve"> / ***</w:t>
      </w:r>
      <w:r>
        <w:t xml:space="preserve"> °C à</w:t>
      </w:r>
      <w:r>
        <w:rPr>
          <w:rStyle w:val="optioncarChar"/>
        </w:rPr>
        <w:t xml:space="preserve"> 80</w:t>
      </w:r>
      <w:r>
        <w:t xml:space="preserve"> (par défaut) </w:t>
      </w:r>
      <w:r>
        <w:rPr>
          <w:rStyle w:val="optioncarChar"/>
        </w:rPr>
        <w:t xml:space="preserve">/ *** </w:t>
      </w:r>
      <w:r>
        <w:t>°C</w:t>
      </w:r>
    </w:p>
    <w:p w14:paraId="1EC96D43" w14:textId="77777777" w:rsidR="00772179" w:rsidRDefault="00000000">
      <w:pPr>
        <w:jc w:val="both"/>
      </w:pPr>
      <w:r>
        <w:t xml:space="preserve">Réaction au feu [NBN EN 13501-1] : classe </w:t>
      </w:r>
      <w:r>
        <w:rPr>
          <w:rStyle w:val="optioncarChar"/>
        </w:rPr>
        <w:t xml:space="preserve">E </w:t>
      </w:r>
      <w:r>
        <w:t>(par défaut)</w:t>
      </w:r>
      <w:r>
        <w:rPr>
          <w:rStyle w:val="optioncarChar"/>
        </w:rPr>
        <w:t xml:space="preserve"> / F / ***</w:t>
      </w:r>
    </w:p>
    <w:p w14:paraId="307176BC" w14:textId="77777777" w:rsidR="00772179" w:rsidRDefault="00000000">
      <w:pPr>
        <w:jc w:val="both"/>
      </w:pPr>
      <w:r>
        <w:t>Lorsque le parement extérieur comporte des ouvertures (bardage ajouré, par exemple), la membrane doit être suffisamment résistante aux UV.</w:t>
      </w:r>
    </w:p>
    <w:p w14:paraId="0BE4EA82" w14:textId="77777777" w:rsidR="00772179" w:rsidRDefault="00000000">
      <w:pPr>
        <w:pStyle w:val="pheading"/>
      </w:pPr>
      <w:r>
        <w:t>- Finitions</w:t>
      </w:r>
    </w:p>
    <w:p w14:paraId="68053964" w14:textId="77777777" w:rsidR="00772179" w:rsidRDefault="00000000">
      <w:pPr>
        <w:jc w:val="both"/>
      </w:pPr>
      <w:r>
        <w:t xml:space="preserve">Lorsque le parement extérieur comporte des ouvertures (bardage ajouré, par exemple), la membrane est dépourvue d’inscription technique et est </w:t>
      </w:r>
      <w:r>
        <w:rPr>
          <w:rStyle w:val="optioncarChar"/>
        </w:rPr>
        <w:t>de couleur unie noire</w:t>
      </w:r>
      <w:r>
        <w:t xml:space="preserve"> (par défaut)</w:t>
      </w:r>
      <w:r>
        <w:rPr>
          <w:rStyle w:val="optioncarChar"/>
        </w:rPr>
        <w:t xml:space="preserve"> / ***</w:t>
      </w:r>
      <w:r>
        <w:t>. Le recouvrement des lés ainsi que leur fixation est</w:t>
      </w:r>
      <w:r>
        <w:rPr>
          <w:rStyle w:val="optioncarChar"/>
        </w:rPr>
        <w:t xml:space="preserve"> invisible </w:t>
      </w:r>
      <w:r>
        <w:t>(par défaut)</w:t>
      </w:r>
      <w:r>
        <w:rPr>
          <w:rStyle w:val="optioncarChar"/>
        </w:rPr>
        <w:t xml:space="preserve"> / ***</w:t>
      </w:r>
      <w:r>
        <w:t>.</w:t>
      </w:r>
    </w:p>
    <w:p w14:paraId="2B77AC10" w14:textId="77777777" w:rsidR="00772179" w:rsidRDefault="00000000">
      <w:pPr>
        <w:pStyle w:val="pheading"/>
      </w:pPr>
      <w:r>
        <w:t>EXÉCUTION / MISE EN ŒUVRE</w:t>
      </w:r>
    </w:p>
    <w:p w14:paraId="2910A985" w14:textId="77777777" w:rsidR="00772179" w:rsidRDefault="00000000">
      <w:pPr>
        <w:pStyle w:val="pheading"/>
      </w:pPr>
      <w:r>
        <w:t>- Prescriptions générales</w:t>
      </w:r>
    </w:p>
    <w:p w14:paraId="7F4426A2" w14:textId="77777777" w:rsidR="00772179" w:rsidRDefault="00000000">
      <w:pPr>
        <w:jc w:val="both"/>
      </w:pPr>
      <w:r>
        <w:t xml:space="preserve">La membrane est appliquée de façon ininterrompue (avec recouvrement étanche) contre l’isolant du côté de la lame d’air. L’application est </w:t>
      </w:r>
      <w:r>
        <w:rPr>
          <w:rStyle w:val="optioncarChar"/>
        </w:rPr>
        <w:t xml:space="preserve">horizontale </w:t>
      </w:r>
      <w:r>
        <w:t xml:space="preserve">(par défaut) </w:t>
      </w:r>
      <w:r>
        <w:rPr>
          <w:rStyle w:val="optioncarChar"/>
        </w:rPr>
        <w:t>/ verticale</w:t>
      </w:r>
      <w:r>
        <w:t xml:space="preserve">. Durant la phase de montage, les lés sont </w:t>
      </w:r>
      <w:r>
        <w:rPr>
          <w:rStyle w:val="optioncarChar"/>
        </w:rPr>
        <w:t xml:space="preserve">agrafés </w:t>
      </w:r>
      <w:r>
        <w:t xml:space="preserve">(par défaut) </w:t>
      </w:r>
      <w:r>
        <w:rPr>
          <w:rStyle w:val="optioncarChar"/>
        </w:rPr>
        <w:t>/ cloués / ***</w:t>
      </w:r>
      <w:r>
        <w:t xml:space="preserve"> sur leur support à raison de</w:t>
      </w:r>
      <w:r>
        <w:rPr>
          <w:rStyle w:val="optioncarChar"/>
        </w:rPr>
        <w:t xml:space="preserve"> 10 </w:t>
      </w:r>
      <w:r>
        <w:t>(par défaut)</w:t>
      </w:r>
      <w:r>
        <w:rPr>
          <w:rStyle w:val="optioncarChar"/>
        </w:rPr>
        <w:t xml:space="preserve"> / ***</w:t>
      </w:r>
      <w:r>
        <w:t xml:space="preserve"> fixations par m². La fixation définitive est effectuée par lattage à raison de </w:t>
      </w:r>
      <w:r>
        <w:rPr>
          <w:rStyle w:val="optioncarChar"/>
        </w:rPr>
        <w:t xml:space="preserve">5 </w:t>
      </w:r>
      <w:r>
        <w:t>(par défaut)</w:t>
      </w:r>
      <w:r>
        <w:rPr>
          <w:rStyle w:val="optioncarChar"/>
        </w:rPr>
        <w:t xml:space="preserve"> / ***</w:t>
      </w:r>
      <w:r>
        <w:t xml:space="preserve"> fixations / m. Les lés sont assemblés avec un recouvrement ≥ </w:t>
      </w:r>
      <w:r>
        <w:rPr>
          <w:rStyle w:val="optioncarChar"/>
        </w:rPr>
        <w:t xml:space="preserve">10 cm </w:t>
      </w:r>
      <w:r>
        <w:t>(par défaut)</w:t>
      </w:r>
      <w:r>
        <w:rPr>
          <w:rStyle w:val="optioncarChar"/>
        </w:rPr>
        <w:t xml:space="preserve"> / 15 cm / ***</w:t>
      </w:r>
      <w:r>
        <w:t xml:space="preserve"> de largeur sans contre-joint par rapport au sens d’écoulement de l’eau. Le recouvrement est </w:t>
      </w:r>
      <w:r>
        <w:rPr>
          <w:rStyle w:val="optioncarChar"/>
        </w:rPr>
        <w:t xml:space="preserve">autoadhésif </w:t>
      </w:r>
      <w:r>
        <w:lastRenderedPageBreak/>
        <w:t xml:space="preserve">(par défaut) </w:t>
      </w:r>
      <w:r>
        <w:rPr>
          <w:rStyle w:val="optioncarChar"/>
        </w:rPr>
        <w:t>/ rendu étanche par l’ajout d’une bande adhésive double face / ***</w:t>
      </w:r>
      <w:r>
        <w:t xml:space="preserve">. Les recouvrements transversaux ont une largeur ≥ </w:t>
      </w:r>
      <w:r>
        <w:rPr>
          <w:rStyle w:val="optioncarChar"/>
        </w:rPr>
        <w:t xml:space="preserve">10 cm </w:t>
      </w:r>
      <w:r>
        <w:t>(par défaut)</w:t>
      </w:r>
      <w:r>
        <w:rPr>
          <w:rStyle w:val="optioncarChar"/>
        </w:rPr>
        <w:t xml:space="preserve"> / ***</w:t>
      </w:r>
      <w:r>
        <w:t>.</w:t>
      </w:r>
    </w:p>
    <w:p w14:paraId="748B1474" w14:textId="77777777" w:rsidR="00772179" w:rsidRDefault="00000000">
      <w:pPr>
        <w:pStyle w:val="pheading"/>
      </w:pPr>
      <w:r>
        <w:t>DOCUMENTS DE RÉFÉRENCE COMPLÉMENTAIRES</w:t>
      </w:r>
    </w:p>
    <w:p w14:paraId="169C8CDF" w14:textId="77777777" w:rsidR="00772179" w:rsidRDefault="00000000">
      <w:pPr>
        <w:pStyle w:val="pheading"/>
      </w:pPr>
      <w:r>
        <w:t>- Matériau</w:t>
      </w:r>
    </w:p>
    <w:p w14:paraId="0ED4FBB1" w14:textId="77777777" w:rsidR="00772179" w:rsidRDefault="00000000">
      <w:r>
        <w:t>[NBN EN 13859-2, Feuilles souples d'étanchéité - Définitions et caractéristiques des écrans souples - Partie 2: Écrans souples pour murs extérieurs]</w:t>
      </w:r>
    </w:p>
    <w:p w14:paraId="1BC85D04" w14:textId="77777777" w:rsidR="00772179" w:rsidRDefault="00000000">
      <w:r>
        <w:t>[NBN EN 1931, Feuilles souples d'étanchéité - Feuilles d'étanchéité de toiture bitumineuses, plastiques et élastomères - Détermination des propriétés de transmission de la vapeur d'eau]</w:t>
      </w:r>
    </w:p>
    <w:p w14:paraId="70A52044" w14:textId="77777777" w:rsidR="00772179" w:rsidRDefault="00000000">
      <w:r>
        <w:t>[NBN EN 12311-2, Feuilles souples d'étanchéité - Détermination des propriétés en traction - Partie 2 : Feuilles d'étanchéité de toiture plastiques et élastomères]</w:t>
      </w:r>
    </w:p>
    <w:p w14:paraId="09D3CB4A" w14:textId="77777777" w:rsidR="00772179" w:rsidRDefault="00000000">
      <w:r>
        <w:t>[NBN EN 12310-1, Feuilles souples d'étanchéité - Partie 1: Feuilles d'étanchéité de toiture bitumineuses - Détermination de la résistance à la déchirure (au clou)]</w:t>
      </w:r>
    </w:p>
    <w:p w14:paraId="1D2A8FA8" w14:textId="77777777" w:rsidR="00772179" w:rsidRDefault="00000000">
      <w:r>
        <w:t>[NBN EN 1928, Feuilles souples d'étanchéité - Feuilles d'étanchéité de toiture bitumineuses, plastiques et élastomères - Détermination de l'étanchéité à l'eau]</w:t>
      </w:r>
    </w:p>
    <w:p w14:paraId="04D5D53C" w14:textId="77777777" w:rsidR="00772179" w:rsidRDefault="00000000">
      <w:r>
        <w:t>[NBN EN 13501-1, Classement au feu des produits et éléments de construction - Partie 1: Classement à partir des données d'essais de réaction au feu] </w:t>
      </w:r>
    </w:p>
    <w:p w14:paraId="1A6210ED" w14:textId="77777777" w:rsidR="00772179" w:rsidRDefault="00000000">
      <w:pPr>
        <w:pStyle w:val="pheading"/>
      </w:pPr>
      <w:r>
        <w:t>- Exécution</w:t>
      </w:r>
    </w:p>
    <w:p w14:paraId="3F301B6E" w14:textId="77777777" w:rsidR="00772179" w:rsidRDefault="00000000">
      <w:r>
        <w:t>[NIT 243, Les revêtements de façade en bois et en panneaux à base de bois.]</w:t>
      </w:r>
    </w:p>
    <w:p w14:paraId="339921CE" w14:textId="77777777" w:rsidR="00772179" w:rsidRDefault="00000000">
      <w:r>
        <w:t>[Buildwise Article Dossier (2014/4.08), Pose de bardages réalisés dans des matériaux autres que le bois]</w:t>
      </w:r>
    </w:p>
    <w:p w14:paraId="14B2A352" w14:textId="77777777" w:rsidR="00772179" w:rsidRDefault="00000000">
      <w:r>
        <w:t>[Buildwise Article Dossier (2013/1.04), Maîtrise de l'humidité]</w:t>
      </w:r>
    </w:p>
    <w:p w14:paraId="24303F35" w14:textId="77777777" w:rsidR="00772179" w:rsidRDefault="00000000">
      <w:pPr>
        <w:pStyle w:val="pheading"/>
      </w:pPr>
      <w:r>
        <w:t>MESURAGE</w:t>
      </w:r>
    </w:p>
    <w:p w14:paraId="69F5937E" w14:textId="77777777" w:rsidR="00772179" w:rsidRDefault="00000000">
      <w:pPr>
        <w:pStyle w:val="pheading"/>
      </w:pPr>
      <w:r>
        <w:t>- unité de mesure:</w:t>
      </w:r>
    </w:p>
    <w:p w14:paraId="0D282E4E" w14:textId="77777777" w:rsidR="00772179" w:rsidRDefault="00000000">
      <w:r>
        <w:t>m²</w:t>
      </w:r>
    </w:p>
    <w:p w14:paraId="59851E88" w14:textId="77777777" w:rsidR="00772179" w:rsidRDefault="00000000">
      <w:pPr>
        <w:pStyle w:val="pheading"/>
      </w:pPr>
      <w:r>
        <w:t>- code de mesurage:</w:t>
      </w:r>
    </w:p>
    <w:p w14:paraId="62F12A16" w14:textId="77777777" w:rsidR="00772179" w:rsidRDefault="00000000">
      <w:pPr>
        <w:jc w:val="both"/>
      </w:pPr>
      <w:r>
        <w:t xml:space="preserve">Le mesurage est effectué en </w:t>
      </w:r>
      <w:r>
        <w:rPr>
          <w:b/>
        </w:rPr>
        <w:t>surface nette</w:t>
      </w:r>
      <w:r>
        <w:t xml:space="preserve"> en projection verticale, de telle façon que les recouvrements, raccords, pertes de découpage, etc. sont compris dans le prix unitaire. Les ouvertures &gt; 1 m² sont déduites.</w:t>
      </w:r>
    </w:p>
    <w:p w14:paraId="58E8704C" w14:textId="77777777" w:rsidR="00772179" w:rsidRDefault="00000000">
      <w:pPr>
        <w:pStyle w:val="pheading"/>
      </w:pPr>
      <w:r>
        <w:t>- nature du marché:</w:t>
      </w:r>
    </w:p>
    <w:p w14:paraId="6828F96F" w14:textId="77777777" w:rsidR="00772179" w:rsidRDefault="00000000">
      <w:r>
        <w:t>QF</w:t>
      </w:r>
    </w:p>
    <w:p w14:paraId="06F611C3" w14:textId="77777777" w:rsidR="00772179" w:rsidRDefault="00000000">
      <w:pPr>
        <w:pStyle w:val="Author-eSectionHeading4Numberless"/>
      </w:pPr>
      <w:bookmarkStart w:id="961" w:name="_Toc220490623"/>
      <w:r>
        <w:t>44.14 Pare-pluie rigides CCTB 01.11</w:t>
      </w:r>
      <w:bookmarkEnd w:id="961"/>
    </w:p>
    <w:p w14:paraId="291411AD" w14:textId="77777777" w:rsidR="00772179" w:rsidRDefault="00000000">
      <w:pPr>
        <w:pStyle w:val="pheading"/>
      </w:pPr>
      <w:bookmarkStart w:id="962" w:name="995"/>
      <w:bookmarkEnd w:id="962"/>
      <w:r>
        <w:t>DESCRIPTION</w:t>
      </w:r>
    </w:p>
    <w:p w14:paraId="01F6D74B" w14:textId="77777777" w:rsidR="00772179" w:rsidRDefault="00000000">
      <w:pPr>
        <w:pStyle w:val="pheading"/>
      </w:pPr>
      <w:r>
        <w:t>- Définition / Comprend</w:t>
      </w:r>
    </w:p>
    <w:p w14:paraId="75AE099F" w14:textId="77777777" w:rsidR="00772179" w:rsidRDefault="00000000">
      <w:pPr>
        <w:jc w:val="both"/>
      </w:pPr>
      <w:r>
        <w:t>Ce chapitre concerne les panneaux et membranes de protection contre la pluie pour les parois verticales (murs de façade).</w:t>
      </w:r>
    </w:p>
    <w:p w14:paraId="30B40D81" w14:textId="77777777" w:rsidR="00772179" w:rsidRDefault="00000000">
      <w:pPr>
        <w:jc w:val="both"/>
      </w:pPr>
      <w:r>
        <w:rPr>
          <w:u w:val="single"/>
        </w:rPr>
        <w:t>Remarque :</w:t>
      </w:r>
      <w:r>
        <w:t> Les sous-toitures rigides sont reprises au chapitre 32.12 Sous-toitures rigides</w:t>
      </w:r>
    </w:p>
    <w:p w14:paraId="0676D845" w14:textId="77777777" w:rsidR="00772179" w:rsidRDefault="00000000">
      <w:pPr>
        <w:jc w:val="both"/>
      </w:pPr>
      <w:r>
        <w:t>Le travail comprend notamment :</w:t>
      </w:r>
    </w:p>
    <w:p w14:paraId="185390B5" w14:textId="77777777" w:rsidR="00772179" w:rsidRDefault="00000000">
      <w:pPr>
        <w:pStyle w:val="Author-eListParagraph"/>
        <w:numPr>
          <w:ilvl w:val="0"/>
          <w:numId w:val="1121"/>
        </w:numPr>
        <w:jc w:val="both"/>
      </w:pPr>
      <w:r>
        <w:t>Toutes précautions en matière de sécurité conformément au 01.4 Plans de sécurité et de santé ;</w:t>
      </w:r>
    </w:p>
    <w:p w14:paraId="58E327B9" w14:textId="77777777" w:rsidR="00772179" w:rsidRDefault="00000000">
      <w:pPr>
        <w:pStyle w:val="Author-eListParagraph"/>
        <w:numPr>
          <w:ilvl w:val="0"/>
          <w:numId w:val="1121"/>
        </w:numPr>
        <w:jc w:val="both"/>
      </w:pPr>
      <w:r>
        <w:t>L’établissement des plans d’exécution ;</w:t>
      </w:r>
    </w:p>
    <w:p w14:paraId="1D77D859" w14:textId="77777777" w:rsidR="00772179" w:rsidRDefault="00000000">
      <w:pPr>
        <w:pStyle w:val="Author-eListParagraph"/>
        <w:numPr>
          <w:ilvl w:val="0"/>
          <w:numId w:val="1121"/>
        </w:numPr>
        <w:jc w:val="both"/>
      </w:pPr>
      <w:r>
        <w:t>La vérification de la tolérance d’exécution de matériaux adjacents ;</w:t>
      </w:r>
    </w:p>
    <w:p w14:paraId="19B396A4" w14:textId="77777777" w:rsidR="00772179" w:rsidRDefault="00000000">
      <w:pPr>
        <w:pStyle w:val="Author-eListParagraph"/>
        <w:numPr>
          <w:ilvl w:val="0"/>
          <w:numId w:val="1121"/>
        </w:numPr>
        <w:jc w:val="both"/>
      </w:pPr>
      <w:r>
        <w:t>Toutes découpes pour baies et intégration ou traversée d’éléments techniques ;</w:t>
      </w:r>
    </w:p>
    <w:p w14:paraId="19A6CFEC" w14:textId="77777777" w:rsidR="00772179" w:rsidRDefault="00000000">
      <w:pPr>
        <w:pStyle w:val="Author-eListParagraph"/>
        <w:numPr>
          <w:ilvl w:val="0"/>
          <w:numId w:val="1121"/>
        </w:numPr>
        <w:jc w:val="both"/>
      </w:pPr>
      <w:r>
        <w:t>Le traitement des bords coupés ;</w:t>
      </w:r>
    </w:p>
    <w:p w14:paraId="2F834902" w14:textId="77777777" w:rsidR="00772179" w:rsidRDefault="00000000">
      <w:pPr>
        <w:pStyle w:val="Author-eListParagraph"/>
        <w:numPr>
          <w:ilvl w:val="0"/>
          <w:numId w:val="1121"/>
        </w:numPr>
        <w:jc w:val="both"/>
      </w:pPr>
      <w:r>
        <w:lastRenderedPageBreak/>
        <w:t>Le choix des moyens de fixation ;</w:t>
      </w:r>
    </w:p>
    <w:p w14:paraId="5A949503" w14:textId="77777777" w:rsidR="00772179" w:rsidRDefault="00000000">
      <w:pPr>
        <w:pStyle w:val="Author-eListParagraph"/>
        <w:numPr>
          <w:ilvl w:val="0"/>
          <w:numId w:val="1121"/>
        </w:numPr>
        <w:jc w:val="both"/>
      </w:pPr>
      <w:r>
        <w:t>Les moyens de raccords aux éléments adjacents ;</w:t>
      </w:r>
    </w:p>
    <w:p w14:paraId="11257247" w14:textId="77777777" w:rsidR="00772179" w:rsidRDefault="00000000">
      <w:pPr>
        <w:pStyle w:val="Author-eListParagraph"/>
        <w:numPr>
          <w:ilvl w:val="0"/>
          <w:numId w:val="1121"/>
        </w:numPr>
        <w:jc w:val="both"/>
      </w:pPr>
      <w:r>
        <w:t>La réalisation de l’étanchéité à l’air et à l’eau au droit des raccords entre panneaux et au droit du raccord entre panneaux et éléments adjacents ;</w:t>
      </w:r>
    </w:p>
    <w:p w14:paraId="649DCDA1" w14:textId="77777777" w:rsidR="00772179" w:rsidRDefault="00000000">
      <w:pPr>
        <w:pStyle w:val="Author-eListParagraph"/>
        <w:numPr>
          <w:ilvl w:val="0"/>
          <w:numId w:val="1121"/>
        </w:numPr>
        <w:jc w:val="both"/>
      </w:pPr>
      <w:r>
        <w:t>Le parachèvement des joints entre panneaux ;</w:t>
      </w:r>
    </w:p>
    <w:p w14:paraId="14E69067" w14:textId="77777777" w:rsidR="00772179" w:rsidRDefault="00000000">
      <w:pPr>
        <w:pStyle w:val="Author-eListParagraph"/>
        <w:numPr>
          <w:ilvl w:val="0"/>
          <w:numId w:val="1121"/>
        </w:numPr>
        <w:jc w:val="both"/>
      </w:pPr>
      <w:r>
        <w:t>L'évacuation et la gestion des déchets générés par les travaux de pose des pare-pluie conformément à la section 07 Déchets, matériaux et éléments réemployablesfait partie du prix unitaire des articles suivants.</w:t>
      </w:r>
    </w:p>
    <w:p w14:paraId="6C3E7D02" w14:textId="77777777" w:rsidR="00772179" w:rsidRDefault="00000000">
      <w:pPr>
        <w:pStyle w:val="pheading"/>
      </w:pPr>
      <w:r>
        <w:t>AIDE</w:t>
      </w:r>
    </w:p>
    <w:p w14:paraId="344E9B68" w14:textId="77777777" w:rsidR="00772179" w:rsidRDefault="00000000">
      <w:pPr>
        <w:jc w:val="both"/>
      </w:pPr>
      <w:r>
        <w:t>Conformément à [AR 1994-07-07], les composants substantiels des façades de bâtiments moyens ou élevés sont au minimum de classe E moyennant application des solutions-types reprises sous 6.1.2 et 6.1.3 de l’annexe 5.</w:t>
      </w:r>
    </w:p>
    <w:p w14:paraId="46ACAAFD" w14:textId="77777777" w:rsidR="00772179" w:rsidRDefault="00000000">
      <w:pPr>
        <w:jc w:val="both"/>
      </w:pPr>
      <w:r>
        <w:t>Du point de vue hygrothermique, le choix de la résistance à la diffusion de vapeur d’eau du pare-pluie (valeur Sd) se fait en cohérence avec celui de l’écran à l’air et à la vapeur placé du côté chaud de l’isolant.</w:t>
      </w:r>
    </w:p>
    <w:p w14:paraId="69288D51" w14:textId="77777777" w:rsidR="00772179" w:rsidRDefault="00000000">
      <w:pPr>
        <w:jc w:val="both"/>
      </w:pPr>
      <w:r>
        <w:t xml:space="preserve"> A titre de règle générale : Sd, pare-air/pare-vapeur ≥ 6 * Sd, pare-pluie.</w:t>
      </w:r>
    </w:p>
    <w:p w14:paraId="53C23B5C" w14:textId="77777777" w:rsidR="00772179" w:rsidRDefault="00000000">
      <w:pPr>
        <w:jc w:val="both"/>
      </w:pPr>
      <w:r>
        <w:t>A défaut de calcul spécifique, la position du pare-vapeur respecte la règle de 2/3-1/3 en cas de présence d’isolation à l’arrière du panneau pare-pluie isolant.</w:t>
      </w:r>
    </w:p>
    <w:p w14:paraId="5D6C1794" w14:textId="77777777" w:rsidR="00772179" w:rsidRDefault="00000000">
      <w:pPr>
        <w:pStyle w:val="Author-eSectionHeading5Numberless"/>
      </w:pPr>
      <w:bookmarkStart w:id="963" w:name="_Toc220490624"/>
      <w:r>
        <w:t>44.14.1 Pare-pluie en plaques CCTB 01.02</w:t>
      </w:r>
      <w:bookmarkEnd w:id="963"/>
    </w:p>
    <w:p w14:paraId="16D17CD5" w14:textId="77777777" w:rsidR="00772179" w:rsidRDefault="00000000">
      <w:pPr>
        <w:pStyle w:val="Author-eSectionHeading6Numberless"/>
      </w:pPr>
      <w:bookmarkStart w:id="964" w:name="_Toc220490625"/>
      <w:r>
        <w:t>44.14.1a Plaques en fibres-ciment CCTB 01.02</w:t>
      </w:r>
      <w:bookmarkEnd w:id="964"/>
    </w:p>
    <w:p w14:paraId="7DAEB8B7" w14:textId="77777777" w:rsidR="00772179" w:rsidRDefault="00000000">
      <w:pPr>
        <w:pStyle w:val="pheading"/>
      </w:pPr>
      <w:r>
        <w:t>MATÉRIAUX</w:t>
      </w:r>
    </w:p>
    <w:p w14:paraId="32F12D4E" w14:textId="77777777" w:rsidR="00772179" w:rsidRDefault="00000000">
      <w:pPr>
        <w:pStyle w:val="pheading"/>
      </w:pPr>
      <w:r>
        <w:t>- Caractéristiques générales</w:t>
      </w:r>
    </w:p>
    <w:p w14:paraId="6963E7AB" w14:textId="77777777" w:rsidR="00772179" w:rsidRDefault="00000000">
      <w:r>
        <w:t>Voir caractéristiques décrites au §32.12.1a Plaques de sous-toitures en fibres-ciment</w:t>
      </w:r>
    </w:p>
    <w:p w14:paraId="38BB7F43" w14:textId="77777777" w:rsidR="00772179" w:rsidRDefault="00000000">
      <w:pPr>
        <w:pStyle w:val="Author-eSectionHeading5Numberless"/>
      </w:pPr>
      <w:bookmarkStart w:id="965" w:name="_Toc220490626"/>
      <w:r>
        <w:t>44.14.2 Pare-pluie en panneaux CCTB 01.11</w:t>
      </w:r>
      <w:bookmarkEnd w:id="965"/>
    </w:p>
    <w:p w14:paraId="0C0DF5A6" w14:textId="77777777" w:rsidR="00772179" w:rsidRDefault="00000000">
      <w:pPr>
        <w:pStyle w:val="pheading"/>
      </w:pPr>
      <w:r>
        <w:t>EXÉCUTION / MISE EN ŒUVRE</w:t>
      </w:r>
    </w:p>
    <w:p w14:paraId="0E959FA6" w14:textId="77777777" w:rsidR="00772179" w:rsidRDefault="00000000">
      <w:pPr>
        <w:jc w:val="both"/>
      </w:pPr>
      <w:r>
        <w:t>La mise en œuvre est conforme à la documentation technique accompagnant le matériau.</w:t>
      </w:r>
    </w:p>
    <w:p w14:paraId="1D1A5B94" w14:textId="77777777" w:rsidR="00772179" w:rsidRDefault="00000000">
      <w:pPr>
        <w:jc w:val="both"/>
      </w:pPr>
      <w:r>
        <w:t>Le parement / revêtement de façade est placé dans des délais compatibles avec la résistance aux intempéries des panneaux.</w:t>
      </w:r>
    </w:p>
    <w:p w14:paraId="1738000E" w14:textId="77777777" w:rsidR="00772179" w:rsidRDefault="00000000">
      <w:pPr>
        <w:pStyle w:val="pheading"/>
      </w:pPr>
      <w:r>
        <w:t>DOCUMENTS DE RÉFÉRENCE</w:t>
      </w:r>
    </w:p>
    <w:p w14:paraId="5A66D0E8" w14:textId="77777777" w:rsidR="00772179" w:rsidRDefault="00000000">
      <w:pPr>
        <w:pStyle w:val="pheading"/>
      </w:pPr>
      <w:r>
        <w:t>- Matériau</w:t>
      </w:r>
    </w:p>
    <w:p w14:paraId="35693A7C" w14:textId="77777777" w:rsidR="00772179" w:rsidRDefault="00000000">
      <w:r>
        <w:t>[STS 04.4, Bois et panneaux à base de bois : panneaux dérivés du bois]</w:t>
      </w:r>
    </w:p>
    <w:p w14:paraId="20F57799" w14:textId="77777777" w:rsidR="00772179" w:rsidRDefault="00000000">
      <w:r>
        <w:t>[NIT 255, L'étanchéité à l'air des bâtiments]</w:t>
      </w:r>
    </w:p>
    <w:p w14:paraId="03F9E62D" w14:textId="77777777" w:rsidR="00772179" w:rsidRDefault="00000000">
      <w:r>
        <w:t>[AR 1994-07-07, Arrêté royal fixant les normes de base en matière de prévention contre l'incendie et l'explosion, auxquelles les bâtiments nouveaux doivent satisfaire]</w:t>
      </w:r>
    </w:p>
    <w:p w14:paraId="25000BAA" w14:textId="77777777" w:rsidR="00772179" w:rsidRDefault="00000000">
      <w:r>
        <w:t>[NBN EN 335, Durabilité du bois et des matériaux à base de bois - Classes d'emploi: définitions, application au bois massif et aux matériaux à base de bois]</w:t>
      </w:r>
    </w:p>
    <w:p w14:paraId="0DCC3EE5" w14:textId="77777777" w:rsidR="00772179" w:rsidRDefault="00000000">
      <w:r>
        <w:t>[NBN EN ISO 12460-3, Panneaux à base de bois - Détermination du dégagement de formaldéhyde - Partie 3: Méthode d'analyse de gaz (ISO 12460-3:2023) ]</w:t>
      </w:r>
    </w:p>
    <w:p w14:paraId="6F958B44" w14:textId="77777777" w:rsidR="00772179" w:rsidRDefault="00000000">
      <w:r>
        <w:t>[NBN EN 13986+A1, Panneaux à base de bois destinés à la construction - Caractéristiques, évaluation de conformité et marquage]</w:t>
      </w:r>
    </w:p>
    <w:p w14:paraId="570C92C2" w14:textId="77777777" w:rsidR="00772179" w:rsidRDefault="00000000">
      <w:pPr>
        <w:pStyle w:val="Author-eSectionHeading6Numberless"/>
      </w:pPr>
      <w:bookmarkStart w:id="966" w:name="_Toc220490627"/>
      <w:r>
        <w:t>44.14.2a Panneaux pare-pluie à une face en polystyrène extrudé (XPS) CCTB 01.02</w:t>
      </w:r>
      <w:bookmarkEnd w:id="966"/>
    </w:p>
    <w:p w14:paraId="1866FB6A" w14:textId="77777777" w:rsidR="00772179" w:rsidRDefault="00000000">
      <w:pPr>
        <w:pStyle w:val="Author-eSectionHeading6Numberless"/>
      </w:pPr>
      <w:bookmarkStart w:id="967" w:name="_Toc220490628"/>
      <w:r>
        <w:t>44.14.2b Panneaux pare-pluie à une face en polyuréthane (PUR) CCTB 01.11</w:t>
      </w:r>
      <w:bookmarkEnd w:id="967"/>
    </w:p>
    <w:p w14:paraId="41C7CA4E" w14:textId="77777777" w:rsidR="00772179" w:rsidRDefault="00000000">
      <w:pPr>
        <w:pStyle w:val="pheading"/>
      </w:pPr>
      <w:r>
        <w:t>DESCRIPTION</w:t>
      </w:r>
    </w:p>
    <w:p w14:paraId="28A8E00A" w14:textId="77777777" w:rsidR="00772179" w:rsidRDefault="00000000">
      <w:pPr>
        <w:pStyle w:val="pheading"/>
      </w:pPr>
      <w:r>
        <w:lastRenderedPageBreak/>
        <w:t>- Définition / Comprend</w:t>
      </w:r>
    </w:p>
    <w:p w14:paraId="71A7A0F8" w14:textId="77777777" w:rsidR="00772179" w:rsidRDefault="00000000">
      <w:r>
        <w:t>Il s’agit de la fourniture et la pose de panneaux pare-pluie à une face en polyuréthane.</w:t>
      </w:r>
    </w:p>
    <w:p w14:paraId="46D732EB" w14:textId="77777777" w:rsidR="00772179" w:rsidRDefault="00000000">
      <w:pPr>
        <w:pStyle w:val="pheading"/>
      </w:pPr>
      <w:r>
        <w:t>MATÉRIAUX</w:t>
      </w:r>
    </w:p>
    <w:p w14:paraId="48C93FB5" w14:textId="77777777" w:rsidR="00772179" w:rsidRDefault="00000000">
      <w:pPr>
        <w:pStyle w:val="pheading"/>
      </w:pPr>
      <w:r>
        <w:t>- Caractéristiques générales</w:t>
      </w:r>
    </w:p>
    <w:p w14:paraId="6B9DD087" w14:textId="77777777" w:rsidR="00772179" w:rsidRDefault="00000000">
      <w:r>
        <w:t xml:space="preserve">Les matériaux sont couverts par une déclaration d’aptitude à l’utilisation décrite au chapitre 02.42.1 Critères d'acceptabilité : </w:t>
      </w:r>
      <w:r>
        <w:rPr>
          <w:rStyle w:val="optioncarChar"/>
        </w:rPr>
        <w:t>oui / non</w:t>
      </w:r>
    </w:p>
    <w:p w14:paraId="2055B9B7" w14:textId="77777777" w:rsidR="00772179" w:rsidRDefault="00000000">
      <w:r>
        <w:t>Panneau :</w:t>
      </w:r>
    </w:p>
    <w:p w14:paraId="13C25FE6" w14:textId="77777777" w:rsidR="00772179" w:rsidRDefault="00000000">
      <w:pPr>
        <w:pStyle w:val="Author-eListParagraph"/>
        <w:numPr>
          <w:ilvl w:val="0"/>
          <w:numId w:val="1122"/>
        </w:numPr>
      </w:pPr>
      <w:r>
        <w:t xml:space="preserve">Réaction au feu face intérieure : </w:t>
      </w:r>
      <w:r>
        <w:rPr>
          <w:rStyle w:val="optioncarChar"/>
        </w:rPr>
        <w:t xml:space="preserve">D-s2,d0 </w:t>
      </w:r>
      <w:r>
        <w:t xml:space="preserve">(par défaut) </w:t>
      </w:r>
      <w:r>
        <w:rPr>
          <w:rStyle w:val="optioncarChar"/>
        </w:rPr>
        <w:t>/ ***</w:t>
      </w:r>
    </w:p>
    <w:p w14:paraId="22E5B9CC" w14:textId="77777777" w:rsidR="00772179" w:rsidRDefault="00000000">
      <w:pPr>
        <w:pStyle w:val="Author-eListParagraph"/>
        <w:numPr>
          <w:ilvl w:val="0"/>
          <w:numId w:val="1122"/>
        </w:numPr>
      </w:pPr>
      <w:r>
        <w:t xml:space="preserve">Réaction au feu face extérieure : </w:t>
      </w:r>
      <w:r>
        <w:rPr>
          <w:rStyle w:val="optioncarChar"/>
        </w:rPr>
        <w:t>F</w:t>
      </w:r>
      <w:r>
        <w:t xml:space="preserve"> (par défaut)</w:t>
      </w:r>
      <w:r>
        <w:rPr>
          <w:rStyle w:val="optioncarChar"/>
        </w:rPr>
        <w:t xml:space="preserve"> / ***</w:t>
      </w:r>
    </w:p>
    <w:p w14:paraId="62158646" w14:textId="77777777" w:rsidR="00772179" w:rsidRDefault="00000000">
      <w:pPr>
        <w:pStyle w:val="Author-eListParagraph"/>
        <w:numPr>
          <w:ilvl w:val="0"/>
          <w:numId w:val="1122"/>
        </w:numPr>
      </w:pPr>
      <w:r>
        <w:t>Durabilité biologique : classe de risque (d’usage) [NBN EN 335] : 3</w:t>
      </w:r>
    </w:p>
    <w:p w14:paraId="6ECD09FD" w14:textId="77777777" w:rsidR="00772179" w:rsidRDefault="00000000">
      <w:pPr>
        <w:pStyle w:val="Author-eListParagraph"/>
        <w:numPr>
          <w:ilvl w:val="0"/>
          <w:numId w:val="1122"/>
        </w:numPr>
      </w:pPr>
      <w:r>
        <w:t xml:space="preserve">Largeur : </w:t>
      </w:r>
      <w:r>
        <w:rPr>
          <w:rStyle w:val="optioncarChar"/>
        </w:rPr>
        <w:t xml:space="preserve">800 </w:t>
      </w:r>
      <w:r>
        <w:t>(par défaut)</w:t>
      </w:r>
      <w:r>
        <w:rPr>
          <w:rStyle w:val="optioncarChar"/>
        </w:rPr>
        <w:t xml:space="preserve"> / ***</w:t>
      </w:r>
      <w:r>
        <w:t xml:space="preserve"> mm</w:t>
      </w:r>
    </w:p>
    <w:p w14:paraId="4B051197" w14:textId="77777777" w:rsidR="00772179" w:rsidRDefault="00000000">
      <w:pPr>
        <w:pStyle w:val="Author-eListParagraph"/>
        <w:numPr>
          <w:ilvl w:val="0"/>
          <w:numId w:val="1122"/>
        </w:numPr>
      </w:pPr>
      <w:r>
        <w:t>Longueur :</w:t>
      </w:r>
      <w:r>
        <w:rPr>
          <w:rStyle w:val="optioncarChar"/>
        </w:rPr>
        <w:t xml:space="preserve"> ***</w:t>
      </w:r>
      <w:r>
        <w:t xml:space="preserve"> mm</w:t>
      </w:r>
    </w:p>
    <w:p w14:paraId="1C80B03D" w14:textId="77777777" w:rsidR="00772179" w:rsidRDefault="00000000">
      <w:r>
        <w:t xml:space="preserve">Panneau de support (face intérieure) : </w:t>
      </w:r>
      <w:r>
        <w:rPr>
          <w:rStyle w:val="optioncarChar"/>
        </w:rPr>
        <w:t>panneau de particules</w:t>
      </w:r>
      <w:r>
        <w:t xml:space="preserve"> (par défaut)</w:t>
      </w:r>
      <w:r>
        <w:rPr>
          <w:rStyle w:val="optioncarChar"/>
        </w:rPr>
        <w:t xml:space="preserve"> / contreplaqué</w:t>
      </w:r>
    </w:p>
    <w:p w14:paraId="0FF5DA99" w14:textId="77777777" w:rsidR="00772179" w:rsidRDefault="00000000">
      <w:r>
        <w:rPr>
          <w:b/>
        </w:rPr>
        <w:t>(soit par défaut)</w:t>
      </w:r>
      <w:r>
        <w:br/>
      </w:r>
      <w:r>
        <w:rPr>
          <w:rStyle w:val="soitChar"/>
        </w:rPr>
        <w:t>Panneau de particules :</w:t>
      </w:r>
    </w:p>
    <w:p w14:paraId="65CFC92A" w14:textId="77777777" w:rsidR="00772179" w:rsidRDefault="00000000">
      <w:pPr>
        <w:pStyle w:val="Author-eListParagraph"/>
        <w:numPr>
          <w:ilvl w:val="0"/>
          <w:numId w:val="1123"/>
        </w:numPr>
      </w:pPr>
      <w:r>
        <w:rPr>
          <w:rStyle w:val="soitChar"/>
        </w:rPr>
        <w:t>Type : P5 [NBN EN 312]</w:t>
      </w:r>
    </w:p>
    <w:p w14:paraId="6F654931" w14:textId="77777777" w:rsidR="00772179" w:rsidRDefault="00000000">
      <w:pPr>
        <w:pStyle w:val="Author-eListParagraph"/>
        <w:numPr>
          <w:ilvl w:val="0"/>
          <w:numId w:val="1123"/>
        </w:numPr>
      </w:pPr>
      <w:r>
        <w:rPr>
          <w:rStyle w:val="soitChar"/>
        </w:rPr>
        <w:t>Dégagement de formaldéhyde : E1</w:t>
      </w:r>
    </w:p>
    <w:p w14:paraId="1BB5BD16" w14:textId="77777777" w:rsidR="00772179" w:rsidRDefault="00000000">
      <w:pPr>
        <w:pStyle w:val="Author-eListParagraph"/>
        <w:numPr>
          <w:ilvl w:val="0"/>
          <w:numId w:val="1123"/>
        </w:numPr>
      </w:pPr>
      <w:r>
        <w:rPr>
          <w:rStyle w:val="soitChar"/>
        </w:rPr>
        <w:t xml:space="preserve">Épaisseur : </w:t>
      </w:r>
      <w:r>
        <w:rPr>
          <w:rStyle w:val="optioncarChar"/>
        </w:rPr>
        <w:t>12 </w:t>
      </w:r>
      <w:r>
        <w:t>(par défaut)</w:t>
      </w:r>
      <w:r>
        <w:rPr>
          <w:rStyle w:val="optioncarChar"/>
        </w:rPr>
        <w:t xml:space="preserve"> / ***</w:t>
      </w:r>
      <w:r>
        <w:rPr>
          <w:rStyle w:val="soitChar"/>
        </w:rPr>
        <w:t xml:space="preserve"> mm</w:t>
      </w:r>
    </w:p>
    <w:p w14:paraId="2623B834" w14:textId="77777777" w:rsidR="00772179" w:rsidRDefault="00000000">
      <w:r>
        <w:rPr>
          <w:b/>
        </w:rPr>
        <w:t>(soit)</w:t>
      </w:r>
      <w:r>
        <w:br/>
      </w:r>
      <w:r>
        <w:rPr>
          <w:rStyle w:val="soitChar"/>
        </w:rPr>
        <w:t>Contreplaqué :</w:t>
      </w:r>
    </w:p>
    <w:p w14:paraId="435E7A1B" w14:textId="77777777" w:rsidR="00772179" w:rsidRDefault="00000000">
      <w:pPr>
        <w:pStyle w:val="Author-eListParagraph"/>
        <w:numPr>
          <w:ilvl w:val="0"/>
          <w:numId w:val="1124"/>
        </w:numPr>
      </w:pPr>
      <w:r>
        <w:rPr>
          <w:rStyle w:val="soitChar"/>
        </w:rPr>
        <w:t>Dégagement de formaldéhyde : E1</w:t>
      </w:r>
    </w:p>
    <w:p w14:paraId="1A7F4822" w14:textId="77777777" w:rsidR="00772179" w:rsidRDefault="00000000">
      <w:pPr>
        <w:pStyle w:val="Author-eListParagraph"/>
        <w:numPr>
          <w:ilvl w:val="0"/>
          <w:numId w:val="1124"/>
        </w:numPr>
      </w:pPr>
      <w:r>
        <w:rPr>
          <w:rStyle w:val="soitChar"/>
        </w:rPr>
        <w:t>Classe de collage : 3</w:t>
      </w:r>
    </w:p>
    <w:p w14:paraId="1FFF1087" w14:textId="77777777" w:rsidR="00772179" w:rsidRDefault="00000000">
      <w:pPr>
        <w:pStyle w:val="Author-eListParagraph"/>
        <w:numPr>
          <w:ilvl w:val="0"/>
          <w:numId w:val="1124"/>
        </w:numPr>
      </w:pPr>
      <w:r>
        <w:rPr>
          <w:rStyle w:val="soitChar"/>
        </w:rPr>
        <w:t xml:space="preserve">Épaisseur : </w:t>
      </w:r>
      <w:r>
        <w:rPr>
          <w:rStyle w:val="optioncarChar"/>
        </w:rPr>
        <w:t>9 </w:t>
      </w:r>
      <w:r>
        <w:t>(par défaut)</w:t>
      </w:r>
      <w:r>
        <w:rPr>
          <w:rStyle w:val="optioncarChar"/>
        </w:rPr>
        <w:t xml:space="preserve"> / ***</w:t>
      </w:r>
      <w:r>
        <w:rPr>
          <w:rStyle w:val="soitChar"/>
        </w:rPr>
        <w:t xml:space="preserve"> mm</w:t>
      </w:r>
      <w:r>
        <w:br/>
      </w:r>
    </w:p>
    <w:p w14:paraId="1729CC29" w14:textId="77777777" w:rsidR="00772179" w:rsidRDefault="00000000">
      <w:r>
        <w:t>Chevrons :</w:t>
      </w:r>
    </w:p>
    <w:p w14:paraId="3989EE74" w14:textId="77777777" w:rsidR="00772179" w:rsidRDefault="00000000">
      <w:pPr>
        <w:pStyle w:val="Author-eListParagraph"/>
        <w:numPr>
          <w:ilvl w:val="0"/>
          <w:numId w:val="1125"/>
        </w:numPr>
      </w:pPr>
      <w:r>
        <w:t>Qualité : résineux européen de qualité C18</w:t>
      </w:r>
    </w:p>
    <w:p w14:paraId="7B8D9C66" w14:textId="77777777" w:rsidR="00772179" w:rsidRDefault="00000000">
      <w:pPr>
        <w:pStyle w:val="Author-eListParagraph"/>
        <w:numPr>
          <w:ilvl w:val="0"/>
          <w:numId w:val="1125"/>
        </w:numPr>
      </w:pPr>
      <w:r>
        <w:t xml:space="preserve">Section : </w:t>
      </w:r>
      <w:r>
        <w:rPr>
          <w:rStyle w:val="optioncarChar"/>
        </w:rPr>
        <w:t xml:space="preserve">28 x 161 </w:t>
      </w:r>
      <w:r>
        <w:t>(par défaut)</w:t>
      </w:r>
      <w:r>
        <w:rPr>
          <w:rStyle w:val="optioncarChar"/>
        </w:rPr>
        <w:t> / 28 x 172 / 28 x 196 / 28 x 215 / ***</w:t>
      </w:r>
      <w:r>
        <w:t xml:space="preserve"> mm</w:t>
      </w:r>
    </w:p>
    <w:p w14:paraId="02B5E11B" w14:textId="77777777" w:rsidR="00772179" w:rsidRDefault="00000000">
      <w:pPr>
        <w:pStyle w:val="Author-eListParagraph"/>
        <w:numPr>
          <w:ilvl w:val="0"/>
          <w:numId w:val="1125"/>
        </w:numPr>
      </w:pPr>
      <w:r>
        <w:t>Finition : rabotés</w:t>
      </w:r>
    </w:p>
    <w:p w14:paraId="16897997" w14:textId="77777777" w:rsidR="00772179" w:rsidRDefault="00000000">
      <w:pPr>
        <w:pStyle w:val="Author-eListParagraph"/>
        <w:numPr>
          <w:ilvl w:val="0"/>
          <w:numId w:val="1125"/>
        </w:numPr>
      </w:pPr>
      <w:r>
        <w:t>Traitement : produit insecticide et fongicide, selon [STS 04.3]</w:t>
      </w:r>
    </w:p>
    <w:p w14:paraId="330A52DA" w14:textId="77777777" w:rsidR="00772179" w:rsidRDefault="00000000">
      <w:pPr>
        <w:pStyle w:val="Author-eListParagraph"/>
        <w:numPr>
          <w:ilvl w:val="0"/>
          <w:numId w:val="1125"/>
        </w:numPr>
      </w:pPr>
      <w:r>
        <w:t>Espaces pour réalisation de l’étanchéité dans les chevrons latéraux.</w:t>
      </w:r>
    </w:p>
    <w:p w14:paraId="2E193A21" w14:textId="77777777" w:rsidR="00772179" w:rsidRDefault="00000000">
      <w:pPr>
        <w:pStyle w:val="Author-eListParagraph"/>
        <w:numPr>
          <w:ilvl w:val="0"/>
          <w:numId w:val="1125"/>
        </w:numPr>
      </w:pPr>
      <w:r>
        <w:t xml:space="preserve">Nombre par panneau : </w:t>
      </w:r>
      <w:r>
        <w:rPr>
          <w:rStyle w:val="optioncarChar"/>
        </w:rPr>
        <w:t>2 / 3 / 4</w:t>
      </w:r>
    </w:p>
    <w:p w14:paraId="18D7E207" w14:textId="77777777" w:rsidR="00772179" w:rsidRDefault="00000000">
      <w:r>
        <w:t xml:space="preserve">Pare-vapeur : </w:t>
      </w:r>
      <w:r>
        <w:rPr>
          <w:rStyle w:val="optioncarChar"/>
        </w:rPr>
        <w:t>oui / non</w:t>
      </w:r>
    </w:p>
    <w:p w14:paraId="2D06D872" w14:textId="77777777" w:rsidR="00772179" w:rsidRDefault="00000000">
      <w:r>
        <w:t>Isolation : mousse de polyuréthane (PUR)</w:t>
      </w:r>
    </w:p>
    <w:p w14:paraId="7AAA6633" w14:textId="77777777" w:rsidR="00772179" w:rsidRDefault="00000000">
      <w:pPr>
        <w:pStyle w:val="Author-eListParagraph"/>
        <w:numPr>
          <w:ilvl w:val="0"/>
          <w:numId w:val="1126"/>
        </w:numPr>
      </w:pPr>
      <w:r>
        <w:t xml:space="preserve">Coefficient de conductibilité thermique déclaré : ≤ </w:t>
      </w:r>
      <w:r>
        <w:rPr>
          <w:rStyle w:val="optioncarChar"/>
        </w:rPr>
        <w:t>0,023 </w:t>
      </w:r>
      <w:r>
        <w:t xml:space="preserve">(par défaut) </w:t>
      </w:r>
      <w:r>
        <w:rPr>
          <w:rStyle w:val="optioncarChar"/>
        </w:rPr>
        <w:t>/ ***</w:t>
      </w:r>
      <w:r>
        <w:t xml:space="preserve"> W/mK</w:t>
      </w:r>
    </w:p>
    <w:p w14:paraId="761FBC18" w14:textId="77777777" w:rsidR="00772179" w:rsidRDefault="00000000">
      <w:pPr>
        <w:pStyle w:val="Author-eListParagraph"/>
        <w:numPr>
          <w:ilvl w:val="0"/>
          <w:numId w:val="1126"/>
        </w:numPr>
      </w:pPr>
      <w:r>
        <w:t xml:space="preserve">Épaisseur : </w:t>
      </w:r>
      <w:r>
        <w:rPr>
          <w:rStyle w:val="optioncarChar"/>
        </w:rPr>
        <w:t>133 </w:t>
      </w:r>
      <w:r>
        <w:t>(par défaut)</w:t>
      </w:r>
      <w:r>
        <w:rPr>
          <w:rStyle w:val="optioncarChar"/>
        </w:rPr>
        <w:t xml:space="preserve"> / 152 / 173 / 195 / ***</w:t>
      </w:r>
      <w:r>
        <w:t xml:space="preserve"> mm</w:t>
      </w:r>
    </w:p>
    <w:p w14:paraId="3A7FD171" w14:textId="77777777" w:rsidR="00772179" w:rsidRDefault="00000000">
      <w:pPr>
        <w:pStyle w:val="Author-eListParagraph"/>
        <w:numPr>
          <w:ilvl w:val="0"/>
          <w:numId w:val="1126"/>
        </w:numPr>
      </w:pPr>
      <w:r>
        <w:t xml:space="preserve">Densité : </w:t>
      </w:r>
      <w:r>
        <w:rPr>
          <w:rStyle w:val="optioncarChar"/>
        </w:rPr>
        <w:t xml:space="preserve">32 </w:t>
      </w:r>
      <w:r>
        <w:t>(par défaut)</w:t>
      </w:r>
      <w:r>
        <w:rPr>
          <w:rStyle w:val="optioncarChar"/>
        </w:rPr>
        <w:t xml:space="preserve"> / ***</w:t>
      </w:r>
      <w:r>
        <w:t xml:space="preserve"> kg/m³</w:t>
      </w:r>
    </w:p>
    <w:p w14:paraId="5492A51B" w14:textId="77777777" w:rsidR="00772179" w:rsidRDefault="00000000">
      <w:r>
        <w:t> Aspects environnementaux :</w:t>
      </w:r>
      <w:r>
        <w:br/>
        <w:t xml:space="preserve">Bois issu de forêts gérées durablement suivant prescriptions de l’élément 02.42.4 Bois provenant de forêts gérées durablement : </w:t>
      </w:r>
      <w:r>
        <w:rPr>
          <w:rStyle w:val="optioncarChar"/>
        </w:rPr>
        <w:t>oui / non</w:t>
      </w:r>
    </w:p>
    <w:p w14:paraId="18D4DA79" w14:textId="77777777" w:rsidR="00772179" w:rsidRDefault="00000000">
      <w:pPr>
        <w:pStyle w:val="pheading"/>
      </w:pPr>
      <w:r>
        <w:t>EXÉCUTION / MISE EN ŒUVRE</w:t>
      </w:r>
    </w:p>
    <w:p w14:paraId="38CE0962" w14:textId="77777777" w:rsidR="00772179" w:rsidRDefault="00000000">
      <w:pPr>
        <w:pStyle w:val="pheading"/>
      </w:pPr>
      <w:r>
        <w:t>- Prescriptions générales</w:t>
      </w:r>
    </w:p>
    <w:p w14:paraId="534ABBA2" w14:textId="77777777" w:rsidR="00772179" w:rsidRDefault="00000000">
      <w:pPr>
        <w:jc w:val="both"/>
      </w:pPr>
      <w:r>
        <w:t xml:space="preserve">Le dimensionnement des panneaux ainsi que la détermination de la nature et du nombre de fixations en fonction du support sont à charge de l’entrepreneur.  La note de calcul est présentée pour approbation </w:t>
      </w:r>
      <w:r>
        <w:rPr>
          <w:rStyle w:val="optioncarChar"/>
        </w:rPr>
        <w:t>à la direction des travaux / au bureau d’études.</w:t>
      </w:r>
    </w:p>
    <w:p w14:paraId="750D172E" w14:textId="77777777" w:rsidR="00772179" w:rsidRDefault="00000000">
      <w:pPr>
        <w:jc w:val="both"/>
      </w:pPr>
      <w:r>
        <w:lastRenderedPageBreak/>
        <w:t xml:space="preserve">L’entrepreneur réalise le plan de pose et le présente pour approbation </w:t>
      </w:r>
      <w:r>
        <w:rPr>
          <w:rStyle w:val="optioncarChar"/>
        </w:rPr>
        <w:t>à la direction des travaux / au bureau d’études</w:t>
      </w:r>
      <w:r>
        <w:t>.</w:t>
      </w:r>
    </w:p>
    <w:p w14:paraId="123F3E0B" w14:textId="77777777" w:rsidR="00772179" w:rsidRDefault="00000000">
      <w:pPr>
        <w:jc w:val="both"/>
      </w:pPr>
      <w:r>
        <w:t xml:space="preserve">Lorsque les ouvertures pour baies et percements techniques nécessitent l’interruption des chevrons porteurs, des chevêtres sont mis en place conformément à la note de calcul à présenter pour approbation </w:t>
      </w:r>
      <w:r>
        <w:rPr>
          <w:rStyle w:val="optioncarChar"/>
        </w:rPr>
        <w:t>à la direction des travaux / au bureau d’études</w:t>
      </w:r>
      <w:r>
        <w:t>.</w:t>
      </w:r>
    </w:p>
    <w:p w14:paraId="1F3BE911" w14:textId="77777777" w:rsidR="00772179" w:rsidRDefault="00000000">
      <w:pPr>
        <w:jc w:val="both"/>
      </w:pPr>
      <w:r>
        <w:t xml:space="preserve">Chaque panneau est fixé à au moins </w:t>
      </w:r>
      <w:r>
        <w:rPr>
          <w:rStyle w:val="optioncarChar"/>
        </w:rPr>
        <w:t xml:space="preserve">2 </w:t>
      </w:r>
      <w:r>
        <w:t xml:space="preserve">(par défaut) </w:t>
      </w:r>
      <w:r>
        <w:rPr>
          <w:rStyle w:val="optioncarChar"/>
        </w:rPr>
        <w:t>/ 3 / ***</w:t>
      </w:r>
      <w:r>
        <w:t xml:space="preserve"> éléments porteurs.</w:t>
      </w:r>
    </w:p>
    <w:p w14:paraId="5868E613" w14:textId="77777777" w:rsidR="00772179" w:rsidRDefault="00000000">
      <w:pPr>
        <w:jc w:val="both"/>
      </w:pPr>
      <w:r>
        <w:t>Les joints longitudinaux sont colmatés à l'aide de mousse PUR.</w:t>
      </w:r>
    </w:p>
    <w:p w14:paraId="4B4F49E2" w14:textId="77777777" w:rsidR="00772179" w:rsidRDefault="00000000">
      <w:pPr>
        <w:jc w:val="both"/>
      </w:pPr>
      <w:r>
        <w:t>Un joint de dilatation de 15mm est mis en œuvre tous les 10 m et rempli de mousse PUR restant flexible.</w:t>
      </w:r>
    </w:p>
    <w:p w14:paraId="3BD23AEB" w14:textId="77777777" w:rsidR="00772179" w:rsidRDefault="00000000">
      <w:pPr>
        <w:jc w:val="both"/>
      </w:pPr>
      <w:r>
        <w:t>Au droit des joints transversaux :</w:t>
      </w:r>
    </w:p>
    <w:p w14:paraId="0B2B1EB8" w14:textId="77777777" w:rsidR="00772179" w:rsidRDefault="00000000">
      <w:pPr>
        <w:pStyle w:val="Author-eListParagraph"/>
        <w:numPr>
          <w:ilvl w:val="0"/>
          <w:numId w:val="1127"/>
        </w:numPr>
      </w:pPr>
      <w:r>
        <w:t>Ceux-ci sont supportés par un élément structurel faisant partie du gros œuvre ;</w:t>
      </w:r>
    </w:p>
    <w:p w14:paraId="1046280D" w14:textId="77777777" w:rsidR="00772179" w:rsidRDefault="00000000">
      <w:pPr>
        <w:pStyle w:val="Author-eListParagraph"/>
        <w:numPr>
          <w:ilvl w:val="0"/>
          <w:numId w:val="1127"/>
        </w:numPr>
      </w:pPr>
      <w:r>
        <w:t>Le raccord est fermé au moyen de mousse PUR ;</w:t>
      </w:r>
    </w:p>
    <w:p w14:paraId="6E7B3ED4" w14:textId="77777777" w:rsidR="00772179" w:rsidRDefault="00000000">
      <w:pPr>
        <w:pStyle w:val="Author-eListParagraph"/>
        <w:numPr>
          <w:ilvl w:val="0"/>
          <w:numId w:val="1127"/>
        </w:numPr>
      </w:pPr>
      <w:r>
        <w:t>Une bande de pare-pluie souple ouverte à la diffusion de vapeur est collée sur le raccord.</w:t>
      </w:r>
    </w:p>
    <w:p w14:paraId="09264F7E" w14:textId="77777777" w:rsidR="00772179" w:rsidRDefault="00000000">
      <w:pPr>
        <w:jc w:val="both"/>
      </w:pPr>
      <w:r>
        <w:t xml:space="preserve">Raccord aux menuiseries au moyen de : </w:t>
      </w:r>
      <w:r>
        <w:rPr>
          <w:rStyle w:val="optioncarChar"/>
        </w:rPr>
        <w:t>bandes adhésives résistant à la pluie</w:t>
      </w:r>
      <w:r>
        <w:t xml:space="preserve"> (par défaut)</w:t>
      </w:r>
      <w:r>
        <w:rPr>
          <w:rStyle w:val="optioncarChar"/>
        </w:rPr>
        <w:t xml:space="preserve"> / ***</w:t>
      </w:r>
    </w:p>
    <w:p w14:paraId="1DC44DA5" w14:textId="77777777" w:rsidR="00772179" w:rsidRDefault="00000000">
      <w:pPr>
        <w:jc w:val="both"/>
      </w:pPr>
      <w:r>
        <w:t xml:space="preserve">Raccord aux matériaux adjacents au moyen d’un primaire suivi de : </w:t>
      </w:r>
      <w:r>
        <w:rPr>
          <w:rStyle w:val="optioncarChar"/>
        </w:rPr>
        <w:t xml:space="preserve">bandes appliquées au moyen d’une colle adaptée au support </w:t>
      </w:r>
      <w:r>
        <w:t xml:space="preserve">(par défaut) </w:t>
      </w:r>
      <w:r>
        <w:rPr>
          <w:rStyle w:val="optioncarChar"/>
        </w:rPr>
        <w:t>/ ***.</w:t>
      </w:r>
    </w:p>
    <w:p w14:paraId="0EE3879D" w14:textId="77777777" w:rsidR="00772179" w:rsidRDefault="00000000">
      <w:pPr>
        <w:pStyle w:val="pheading"/>
      </w:pPr>
      <w:r>
        <w:t>DOCUMENTS DE RÉFÉRENCE COMPLÉMENTAIRES</w:t>
      </w:r>
    </w:p>
    <w:p w14:paraId="49D64F40" w14:textId="77777777" w:rsidR="00772179" w:rsidRDefault="00000000">
      <w:pPr>
        <w:pStyle w:val="pheading"/>
      </w:pPr>
      <w:r>
        <w:t>- Matériau</w:t>
      </w:r>
    </w:p>
    <w:p w14:paraId="3DAB3373" w14:textId="77777777" w:rsidR="00772179" w:rsidRDefault="00000000">
      <w:r>
        <w:t>[STS 04.3, Bois et panneaux à base de bois : traitements du bois]</w:t>
      </w:r>
    </w:p>
    <w:p w14:paraId="6BE19D83" w14:textId="77777777" w:rsidR="00772179" w:rsidRDefault="00000000">
      <w:r>
        <w:t>[STS 23-1, Constructions en ossature bois]</w:t>
      </w:r>
    </w:p>
    <w:p w14:paraId="4964A985" w14:textId="77777777" w:rsidR="00772179" w:rsidRDefault="00000000">
      <w:r>
        <w:t>[NBN EN 312, Panneaux de particules - Exigences]</w:t>
      </w:r>
    </w:p>
    <w:p w14:paraId="35C821C4" w14:textId="77777777" w:rsidR="00772179" w:rsidRDefault="00000000">
      <w:r>
        <w:t>[NBN EN 314-1, Contreplaqué - Qualité du collage - Partie 1: Méthodes d'essai]</w:t>
      </w:r>
    </w:p>
    <w:p w14:paraId="59C43CDC" w14:textId="77777777" w:rsidR="00772179" w:rsidRDefault="00000000">
      <w:r>
        <w:t>[NBN EN 314-2, Contreplaqué - Qualité du collage - Partie 2: Exigences]</w:t>
      </w:r>
    </w:p>
    <w:p w14:paraId="585FA9E6" w14:textId="77777777" w:rsidR="00772179" w:rsidRDefault="00000000">
      <w:r>
        <w:t>[NBN EN 636+A1, Contreplaqué - Exigences]</w:t>
      </w:r>
    </w:p>
    <w:p w14:paraId="6905BE8F" w14:textId="77777777" w:rsidR="00772179" w:rsidRDefault="00000000">
      <w:r>
        <w:t>[NBN EN 13165:2012+A2, Produits isolants thermiques pour le bâtiment - Produits manufacturés en mousse rigide de polyuréthane (PU) - Spécification]</w:t>
      </w:r>
    </w:p>
    <w:p w14:paraId="1C6C6445" w14:textId="77777777" w:rsidR="00772179" w:rsidRDefault="00000000">
      <w:pPr>
        <w:pStyle w:val="pheading"/>
      </w:pPr>
      <w:r>
        <w:t>MESURAGE</w:t>
      </w:r>
    </w:p>
    <w:p w14:paraId="054F6943" w14:textId="77777777" w:rsidR="00772179" w:rsidRDefault="00000000">
      <w:pPr>
        <w:pStyle w:val="pheading"/>
      </w:pPr>
      <w:r>
        <w:t>- unité de mesure:</w:t>
      </w:r>
    </w:p>
    <w:p w14:paraId="5285D9AC" w14:textId="77777777" w:rsidR="00772179" w:rsidRDefault="00000000">
      <w:r>
        <w:t>m²</w:t>
      </w:r>
    </w:p>
    <w:p w14:paraId="73FC8D5F" w14:textId="77777777" w:rsidR="00772179" w:rsidRDefault="00000000">
      <w:pPr>
        <w:pStyle w:val="pheading"/>
      </w:pPr>
      <w:r>
        <w:t>- code de mesurage:</w:t>
      </w:r>
    </w:p>
    <w:p w14:paraId="3AC87950" w14:textId="77777777" w:rsidR="00772179" w:rsidRDefault="00000000">
      <w:pPr>
        <w:jc w:val="both"/>
      </w:pPr>
      <w:r>
        <w:t>Surface nette. Les ouvertures &lt; à 1 m² ne sont pas déduites.</w:t>
      </w:r>
    </w:p>
    <w:p w14:paraId="37E2B905" w14:textId="77777777" w:rsidR="00772179" w:rsidRDefault="00000000">
      <w:pPr>
        <w:pStyle w:val="pheading"/>
      </w:pPr>
      <w:r>
        <w:t>- nature du marché:</w:t>
      </w:r>
    </w:p>
    <w:p w14:paraId="0FE0CF2F" w14:textId="77777777" w:rsidR="00772179" w:rsidRDefault="00000000">
      <w:r>
        <w:t>QF</w:t>
      </w:r>
    </w:p>
    <w:p w14:paraId="3E78F3CC" w14:textId="77777777" w:rsidR="00772179" w:rsidRDefault="00000000">
      <w:pPr>
        <w:pStyle w:val="Author-eSectionHeading6Numberless"/>
      </w:pPr>
      <w:bookmarkStart w:id="968" w:name="_Toc220490629"/>
      <w:r>
        <w:t>44.14.2c Panneaux pare-pluie bifaces en polystyrène extrudé (XPS) CCTB 01.02</w:t>
      </w:r>
      <w:bookmarkEnd w:id="968"/>
    </w:p>
    <w:p w14:paraId="412DBC04" w14:textId="77777777" w:rsidR="00772179" w:rsidRDefault="00000000">
      <w:pPr>
        <w:pStyle w:val="Author-eSectionHeading6Numberless"/>
      </w:pPr>
      <w:bookmarkStart w:id="969" w:name="_Toc220490630"/>
      <w:r>
        <w:t>44.14.2d Panneaux pare-pluie bifaces en polyuréthane (PUR) CCTB 01.02</w:t>
      </w:r>
      <w:bookmarkEnd w:id="969"/>
    </w:p>
    <w:p w14:paraId="1292B64E" w14:textId="77777777" w:rsidR="00772179" w:rsidRDefault="00000000">
      <w:pPr>
        <w:pStyle w:val="Author-eSectionHeading6Numberless"/>
      </w:pPr>
      <w:bookmarkStart w:id="970" w:name="_Toc220490631"/>
      <w:r>
        <w:t>44.14.2e Panneau pare-pluie bifaces en laine minérale (LM) CCTB 01.11</w:t>
      </w:r>
      <w:bookmarkEnd w:id="970"/>
    </w:p>
    <w:p w14:paraId="21688170" w14:textId="77777777" w:rsidR="00772179" w:rsidRDefault="00000000">
      <w:pPr>
        <w:pStyle w:val="pheading"/>
      </w:pPr>
      <w:r>
        <w:t>DESCRIPTION</w:t>
      </w:r>
    </w:p>
    <w:p w14:paraId="413A7AE2" w14:textId="77777777" w:rsidR="00772179" w:rsidRDefault="00000000">
      <w:pPr>
        <w:pStyle w:val="pheading"/>
      </w:pPr>
      <w:r>
        <w:t>- Définition / Comprend</w:t>
      </w:r>
    </w:p>
    <w:p w14:paraId="7B88F7BB" w14:textId="77777777" w:rsidR="00772179" w:rsidRDefault="00000000">
      <w:pPr>
        <w:jc w:val="both"/>
      </w:pPr>
      <w:r>
        <w:t>Il s’agit de la fourniture et la pose de panneaux pare-pluie bifaces en laine minérale.</w:t>
      </w:r>
    </w:p>
    <w:p w14:paraId="5094B3A6" w14:textId="77777777" w:rsidR="00772179" w:rsidRDefault="00000000">
      <w:pPr>
        <w:pStyle w:val="pheading"/>
      </w:pPr>
      <w:r>
        <w:t>MATÉRIAUX</w:t>
      </w:r>
    </w:p>
    <w:p w14:paraId="73BCC4BD" w14:textId="77777777" w:rsidR="00772179" w:rsidRDefault="00000000">
      <w:pPr>
        <w:pStyle w:val="pheading"/>
      </w:pPr>
      <w:r>
        <w:lastRenderedPageBreak/>
        <w:t>- Caractéristiques générales</w:t>
      </w:r>
    </w:p>
    <w:p w14:paraId="2BD473E8" w14:textId="77777777" w:rsidR="00772179" w:rsidRDefault="00000000">
      <w:pPr>
        <w:jc w:val="both"/>
      </w:pPr>
      <w:r>
        <w:t xml:space="preserve">Les matériaux sont couverts par une déclaration d’aptitude à l’utilisation décrite au chapitre 02.42.1 Critères d'acceptabilité : </w:t>
      </w:r>
      <w:r>
        <w:rPr>
          <w:rStyle w:val="optioncarChar"/>
        </w:rPr>
        <w:t>oui / non</w:t>
      </w:r>
    </w:p>
    <w:p w14:paraId="106F5ED4" w14:textId="77777777" w:rsidR="00772179" w:rsidRDefault="00000000">
      <w:pPr>
        <w:jc w:val="both"/>
      </w:pPr>
      <w:r>
        <w:t>Panneau :</w:t>
      </w:r>
    </w:p>
    <w:p w14:paraId="1B95B2CD" w14:textId="77777777" w:rsidR="00772179" w:rsidRDefault="00000000">
      <w:pPr>
        <w:pStyle w:val="Author-eListParagraph"/>
        <w:numPr>
          <w:ilvl w:val="0"/>
          <w:numId w:val="1128"/>
        </w:numPr>
      </w:pPr>
      <w:r>
        <w:t xml:space="preserve">Réaction au feu face intérieure et extérieure : </w:t>
      </w:r>
      <w:r>
        <w:rPr>
          <w:rStyle w:val="optioncarChar"/>
        </w:rPr>
        <w:t xml:space="preserve">D-s2,d0 </w:t>
      </w:r>
      <w:r>
        <w:t>(par défaut)</w:t>
      </w:r>
      <w:r>
        <w:rPr>
          <w:rStyle w:val="optioncarChar"/>
        </w:rPr>
        <w:t xml:space="preserve"> / ***</w:t>
      </w:r>
    </w:p>
    <w:p w14:paraId="58F91666" w14:textId="77777777" w:rsidR="00772179" w:rsidRDefault="00000000">
      <w:pPr>
        <w:pStyle w:val="Author-eListParagraph"/>
        <w:numPr>
          <w:ilvl w:val="0"/>
          <w:numId w:val="1128"/>
        </w:numPr>
      </w:pPr>
      <w:r>
        <w:t>Durabilité biologique : classe de risque (d’usage) [NBN EN 335] :3</w:t>
      </w:r>
    </w:p>
    <w:p w14:paraId="66DD1C2C" w14:textId="77777777" w:rsidR="00772179" w:rsidRDefault="00000000">
      <w:pPr>
        <w:pStyle w:val="Author-eListParagraph"/>
        <w:numPr>
          <w:ilvl w:val="0"/>
          <w:numId w:val="1128"/>
        </w:numPr>
      </w:pPr>
      <w:r>
        <w:t xml:space="preserve">Largeur : </w:t>
      </w:r>
      <w:r>
        <w:rPr>
          <w:rStyle w:val="optioncarChar"/>
        </w:rPr>
        <w:t xml:space="preserve">1200 </w:t>
      </w:r>
      <w:r>
        <w:t>(par défaut)</w:t>
      </w:r>
      <w:r>
        <w:rPr>
          <w:rStyle w:val="optioncarChar"/>
        </w:rPr>
        <w:t xml:space="preserve"> / 800 / ***</w:t>
      </w:r>
      <w:r>
        <w:t xml:space="preserve"> mm</w:t>
      </w:r>
    </w:p>
    <w:p w14:paraId="4B8EAB03" w14:textId="77777777" w:rsidR="00772179" w:rsidRDefault="00000000">
      <w:pPr>
        <w:pStyle w:val="Author-eListParagraph"/>
        <w:numPr>
          <w:ilvl w:val="0"/>
          <w:numId w:val="1128"/>
        </w:numPr>
      </w:pPr>
      <w:r>
        <w:t xml:space="preserve">Longueur : </w:t>
      </w:r>
      <w:r>
        <w:rPr>
          <w:rStyle w:val="optioncarChar"/>
        </w:rPr>
        <w:t>***</w:t>
      </w:r>
      <w:r>
        <w:t xml:space="preserve"> mm</w:t>
      </w:r>
    </w:p>
    <w:p w14:paraId="3B436290" w14:textId="77777777" w:rsidR="00772179" w:rsidRDefault="00000000">
      <w:pPr>
        <w:jc w:val="both"/>
      </w:pPr>
      <w:r>
        <w:t xml:space="preserve">Panneau de support en face intérieure et extérieure : </w:t>
      </w:r>
      <w:r>
        <w:rPr>
          <w:rStyle w:val="optioncarChar"/>
        </w:rPr>
        <w:t xml:space="preserve">panneau de particules </w:t>
      </w:r>
      <w:r>
        <w:t>(par défaut)</w:t>
      </w:r>
      <w:r>
        <w:rPr>
          <w:rStyle w:val="optioncarChar"/>
        </w:rPr>
        <w:t xml:space="preserve"> / contreplaqué</w:t>
      </w:r>
    </w:p>
    <w:p w14:paraId="23290B4D" w14:textId="77777777" w:rsidR="00772179" w:rsidRDefault="00000000">
      <w:pPr>
        <w:jc w:val="both"/>
      </w:pPr>
      <w:r>
        <w:rPr>
          <w:b/>
        </w:rPr>
        <w:t>(soit par défaut)</w:t>
      </w:r>
    </w:p>
    <w:p w14:paraId="78A34C68" w14:textId="77777777" w:rsidR="00772179" w:rsidRDefault="00000000">
      <w:pPr>
        <w:jc w:val="both"/>
      </w:pPr>
      <w:r>
        <w:rPr>
          <w:rStyle w:val="soitChar"/>
          <w:u w:val="single"/>
        </w:rPr>
        <w:t>Panneau de particules :</w:t>
      </w:r>
    </w:p>
    <w:p w14:paraId="2BB71DE8" w14:textId="77777777" w:rsidR="00772179" w:rsidRDefault="00000000">
      <w:pPr>
        <w:pStyle w:val="Author-eListParagraph"/>
        <w:numPr>
          <w:ilvl w:val="0"/>
          <w:numId w:val="1129"/>
        </w:numPr>
      </w:pPr>
      <w:r>
        <w:rPr>
          <w:rStyle w:val="soitChar"/>
        </w:rPr>
        <w:t>Type : P5 [NBN EN 312]</w:t>
      </w:r>
    </w:p>
    <w:p w14:paraId="2B0304F4" w14:textId="77777777" w:rsidR="00772179" w:rsidRDefault="00000000">
      <w:pPr>
        <w:pStyle w:val="Author-eListParagraph"/>
        <w:numPr>
          <w:ilvl w:val="0"/>
          <w:numId w:val="1129"/>
        </w:numPr>
      </w:pPr>
      <w:r>
        <w:rPr>
          <w:rStyle w:val="soitChar"/>
        </w:rPr>
        <w:t>Dégagement de formaldéhyde : E1</w:t>
      </w:r>
    </w:p>
    <w:p w14:paraId="2DE1DCE8" w14:textId="77777777" w:rsidR="00772179" w:rsidRDefault="00000000">
      <w:pPr>
        <w:pStyle w:val="Author-eListParagraph"/>
        <w:numPr>
          <w:ilvl w:val="0"/>
          <w:numId w:val="1129"/>
        </w:numPr>
      </w:pPr>
      <w:r>
        <w:rPr>
          <w:rStyle w:val="soitChar"/>
        </w:rPr>
        <w:t xml:space="preserve">Épaisseur : </w:t>
      </w:r>
      <w:r>
        <w:rPr>
          <w:rStyle w:val="optioncarChar"/>
        </w:rPr>
        <w:t>12</w:t>
      </w:r>
      <w:r>
        <w:t xml:space="preserve"> (par défaut) </w:t>
      </w:r>
      <w:r>
        <w:rPr>
          <w:rStyle w:val="optioncarChar"/>
        </w:rPr>
        <w:t>/ ***</w:t>
      </w:r>
      <w:r>
        <w:rPr>
          <w:rStyle w:val="soitChar"/>
        </w:rPr>
        <w:t xml:space="preserve"> mm</w:t>
      </w:r>
    </w:p>
    <w:p w14:paraId="4CE48912" w14:textId="77777777" w:rsidR="00772179" w:rsidRDefault="00000000">
      <w:pPr>
        <w:jc w:val="both"/>
      </w:pPr>
      <w:r>
        <w:rPr>
          <w:b/>
        </w:rPr>
        <w:t>(soit)</w:t>
      </w:r>
    </w:p>
    <w:p w14:paraId="766B5ABE" w14:textId="77777777" w:rsidR="00772179" w:rsidRDefault="00000000">
      <w:pPr>
        <w:jc w:val="both"/>
      </w:pPr>
      <w:r>
        <w:rPr>
          <w:rStyle w:val="soitChar"/>
          <w:u w:val="single"/>
        </w:rPr>
        <w:t>Contreplaqué :</w:t>
      </w:r>
    </w:p>
    <w:p w14:paraId="0F8517BF" w14:textId="77777777" w:rsidR="00772179" w:rsidRDefault="00000000">
      <w:pPr>
        <w:pStyle w:val="Author-eListParagraph"/>
        <w:numPr>
          <w:ilvl w:val="0"/>
          <w:numId w:val="1130"/>
        </w:numPr>
      </w:pPr>
      <w:r>
        <w:rPr>
          <w:rStyle w:val="soitChar"/>
        </w:rPr>
        <w:t>Dégagement de formaldéhyde : E1</w:t>
      </w:r>
    </w:p>
    <w:p w14:paraId="7FECC370" w14:textId="77777777" w:rsidR="00772179" w:rsidRDefault="00000000">
      <w:pPr>
        <w:pStyle w:val="Author-eListParagraph"/>
        <w:numPr>
          <w:ilvl w:val="0"/>
          <w:numId w:val="1130"/>
        </w:numPr>
      </w:pPr>
      <w:r>
        <w:rPr>
          <w:rStyle w:val="soitChar"/>
        </w:rPr>
        <w:t>Classe de collage : 3</w:t>
      </w:r>
    </w:p>
    <w:p w14:paraId="3912A3B6" w14:textId="77777777" w:rsidR="00772179" w:rsidRDefault="00000000">
      <w:pPr>
        <w:pStyle w:val="Author-eListParagraph"/>
        <w:numPr>
          <w:ilvl w:val="0"/>
          <w:numId w:val="1130"/>
        </w:numPr>
      </w:pPr>
      <w:r>
        <w:rPr>
          <w:rStyle w:val="soitChar"/>
        </w:rPr>
        <w:t>Épaisseur : </w:t>
      </w:r>
      <w:r>
        <w:rPr>
          <w:rStyle w:val="optioncarChar"/>
        </w:rPr>
        <w:t xml:space="preserve">12 </w:t>
      </w:r>
      <w:r>
        <w:t>(par défaut)</w:t>
      </w:r>
      <w:r>
        <w:rPr>
          <w:rStyle w:val="optioncarChar"/>
        </w:rPr>
        <w:t xml:space="preserve"> / 9 / ***</w:t>
      </w:r>
      <w:r>
        <w:rPr>
          <w:rStyle w:val="soitChar"/>
        </w:rPr>
        <w:t xml:space="preserve"> mm</w:t>
      </w:r>
    </w:p>
    <w:p w14:paraId="1B1F590F" w14:textId="77777777" w:rsidR="00772179" w:rsidRDefault="00000000">
      <w:pPr>
        <w:jc w:val="both"/>
      </w:pPr>
      <w:r>
        <w:t>Chevrons :</w:t>
      </w:r>
    </w:p>
    <w:p w14:paraId="1CA8430F" w14:textId="77777777" w:rsidR="00772179" w:rsidRDefault="00000000">
      <w:pPr>
        <w:pStyle w:val="Author-eListParagraph"/>
        <w:numPr>
          <w:ilvl w:val="0"/>
          <w:numId w:val="1131"/>
        </w:numPr>
      </w:pPr>
      <w:r>
        <w:t>Qualité : résineux européen de qualité C18</w:t>
      </w:r>
    </w:p>
    <w:p w14:paraId="7E21492C" w14:textId="77777777" w:rsidR="00772179" w:rsidRDefault="00000000">
      <w:pPr>
        <w:pStyle w:val="Author-eListParagraph"/>
        <w:numPr>
          <w:ilvl w:val="0"/>
          <w:numId w:val="1131"/>
        </w:numPr>
      </w:pPr>
      <w:r>
        <w:t xml:space="preserve">Section : </w:t>
      </w:r>
      <w:r>
        <w:rPr>
          <w:rStyle w:val="optioncarChar"/>
        </w:rPr>
        <w:t>28 x 196</w:t>
      </w:r>
      <w:r>
        <w:t xml:space="preserve"> (par défaut)</w:t>
      </w:r>
      <w:r>
        <w:rPr>
          <w:rStyle w:val="optioncarChar"/>
        </w:rPr>
        <w:t> / 28 x 222 / ***</w:t>
      </w:r>
      <w:r>
        <w:t xml:space="preserve"> mm</w:t>
      </w:r>
    </w:p>
    <w:p w14:paraId="5E011C10" w14:textId="77777777" w:rsidR="00772179" w:rsidRDefault="00000000">
      <w:pPr>
        <w:pStyle w:val="Author-eListParagraph"/>
        <w:numPr>
          <w:ilvl w:val="0"/>
          <w:numId w:val="1131"/>
        </w:numPr>
      </w:pPr>
      <w:r>
        <w:t>Finition : rabotés</w:t>
      </w:r>
    </w:p>
    <w:p w14:paraId="6B9E6E0C" w14:textId="77777777" w:rsidR="00772179" w:rsidRDefault="00000000">
      <w:pPr>
        <w:pStyle w:val="Author-eListParagraph"/>
        <w:numPr>
          <w:ilvl w:val="0"/>
          <w:numId w:val="1131"/>
        </w:numPr>
      </w:pPr>
      <w:r>
        <w:t>Traitement : produit insecticide et fongicide, selon [STS 04.3]</w:t>
      </w:r>
    </w:p>
    <w:p w14:paraId="37F0B334" w14:textId="77777777" w:rsidR="00772179" w:rsidRDefault="00000000">
      <w:pPr>
        <w:pStyle w:val="Author-eListParagraph"/>
        <w:numPr>
          <w:ilvl w:val="0"/>
          <w:numId w:val="1131"/>
        </w:numPr>
      </w:pPr>
      <w:r>
        <w:t>Profil à tenon et mortaise et espaces pour réalisation de l’étanchéité dans les chevrons latéraux.</w:t>
      </w:r>
    </w:p>
    <w:p w14:paraId="28179AA6" w14:textId="77777777" w:rsidR="00772179" w:rsidRDefault="00000000">
      <w:pPr>
        <w:pStyle w:val="Author-eListParagraph"/>
        <w:numPr>
          <w:ilvl w:val="0"/>
          <w:numId w:val="1131"/>
        </w:numPr>
      </w:pPr>
      <w:r>
        <w:t>Nombre par panneau :</w:t>
      </w:r>
      <w:r>
        <w:rPr>
          <w:rStyle w:val="optioncarChar"/>
        </w:rPr>
        <w:t xml:space="preserve"> 2 / 3 / 4</w:t>
      </w:r>
    </w:p>
    <w:p w14:paraId="2C949418" w14:textId="77777777" w:rsidR="00772179" w:rsidRDefault="00000000">
      <w:pPr>
        <w:jc w:val="both"/>
      </w:pPr>
      <w:r>
        <w:t>Pare-vapeur sd ≥ 50 m</w:t>
      </w:r>
    </w:p>
    <w:p w14:paraId="5B0222A0" w14:textId="77777777" w:rsidR="00772179" w:rsidRDefault="00000000">
      <w:pPr>
        <w:jc w:val="both"/>
      </w:pPr>
      <w:r>
        <w:t>Isolation : laine minérale (LM)</w:t>
      </w:r>
    </w:p>
    <w:p w14:paraId="7BF74005" w14:textId="77777777" w:rsidR="00772179" w:rsidRDefault="00000000">
      <w:pPr>
        <w:pStyle w:val="Author-eListParagraph"/>
        <w:numPr>
          <w:ilvl w:val="0"/>
          <w:numId w:val="1132"/>
        </w:numPr>
      </w:pPr>
      <w:r>
        <w:t xml:space="preserve">Coefficient de conductibilité thermique déclaré : </w:t>
      </w:r>
      <w:r>
        <w:rPr>
          <w:rStyle w:val="optioncarChar"/>
        </w:rPr>
        <w:t>≥ 0,037</w:t>
      </w:r>
      <w:r>
        <w:t xml:space="preserve"> (par défaut) </w:t>
      </w:r>
      <w:r>
        <w:rPr>
          <w:rStyle w:val="optioncarChar"/>
        </w:rPr>
        <w:t>/ ***</w:t>
      </w:r>
      <w:r>
        <w:t xml:space="preserve"> W/mK</w:t>
      </w:r>
    </w:p>
    <w:p w14:paraId="575FEF3C" w14:textId="77777777" w:rsidR="00772179" w:rsidRDefault="00000000">
      <w:pPr>
        <w:pStyle w:val="Author-eListParagraph"/>
        <w:numPr>
          <w:ilvl w:val="0"/>
          <w:numId w:val="1132"/>
        </w:numPr>
      </w:pPr>
      <w:r>
        <w:t xml:space="preserve">Densité : </w:t>
      </w:r>
      <w:r>
        <w:rPr>
          <w:rStyle w:val="optioncarChar"/>
        </w:rPr>
        <w:t>35</w:t>
      </w:r>
      <w:r>
        <w:t xml:space="preserve"> (par défaut) </w:t>
      </w:r>
      <w:r>
        <w:rPr>
          <w:rStyle w:val="optioncarChar"/>
        </w:rPr>
        <w:t>/ ***</w:t>
      </w:r>
      <w:r>
        <w:t xml:space="preserve"> kg/m3</w:t>
      </w:r>
    </w:p>
    <w:p w14:paraId="1669AE89" w14:textId="77777777" w:rsidR="00772179" w:rsidRDefault="00000000">
      <w:pPr>
        <w:pStyle w:val="Author-eListParagraph"/>
        <w:numPr>
          <w:ilvl w:val="0"/>
          <w:numId w:val="1132"/>
        </w:numPr>
      </w:pPr>
      <w:r>
        <w:t xml:space="preserve">Épaisseur : </w:t>
      </w:r>
      <w:r>
        <w:rPr>
          <w:rStyle w:val="optioncarChar"/>
        </w:rPr>
        <w:t>196 </w:t>
      </w:r>
      <w:r>
        <w:t xml:space="preserve">(par défaut) </w:t>
      </w:r>
      <w:r>
        <w:rPr>
          <w:rStyle w:val="optioncarChar"/>
        </w:rPr>
        <w:t>/ 222 / ***</w:t>
      </w:r>
      <w:r>
        <w:t xml:space="preserve"> mm</w:t>
      </w:r>
    </w:p>
    <w:p w14:paraId="6F597A29" w14:textId="77777777" w:rsidR="00772179" w:rsidRDefault="00000000">
      <w:pPr>
        <w:jc w:val="both"/>
      </w:pPr>
      <w:r>
        <w:t>Aspects environnementaux :</w:t>
      </w:r>
    </w:p>
    <w:p w14:paraId="56B0602B" w14:textId="77777777" w:rsidR="00772179" w:rsidRDefault="00000000">
      <w:pPr>
        <w:jc w:val="both"/>
      </w:pPr>
      <w:r>
        <w:t xml:space="preserve">Bois issu de forêts gérées durablement suivant prescriptions de l’élément 02.42.4 Bois provenant de forêts gérées durablement : </w:t>
      </w:r>
      <w:r>
        <w:rPr>
          <w:rStyle w:val="optioncarChar"/>
        </w:rPr>
        <w:t xml:space="preserve">oui </w:t>
      </w:r>
      <w:r>
        <w:t xml:space="preserve">(par défaut) </w:t>
      </w:r>
      <w:r>
        <w:rPr>
          <w:rStyle w:val="optioncarChar"/>
        </w:rPr>
        <w:t>/ non</w:t>
      </w:r>
    </w:p>
    <w:p w14:paraId="47663367" w14:textId="77777777" w:rsidR="00772179" w:rsidRDefault="00000000">
      <w:pPr>
        <w:pStyle w:val="pheading"/>
      </w:pPr>
      <w:r>
        <w:t>EXÉCUTION / MISE EN ŒUVRE</w:t>
      </w:r>
    </w:p>
    <w:p w14:paraId="36CED1D5" w14:textId="77777777" w:rsidR="00772179" w:rsidRDefault="00000000">
      <w:pPr>
        <w:pStyle w:val="pheading"/>
      </w:pPr>
      <w:r>
        <w:t>- Prescriptions générales</w:t>
      </w:r>
    </w:p>
    <w:p w14:paraId="3754A2EF" w14:textId="77777777" w:rsidR="00772179" w:rsidRDefault="00000000">
      <w:pPr>
        <w:jc w:val="both"/>
      </w:pPr>
      <w:r>
        <w:t xml:space="preserve">Le dimensionnement des panneaux ainsi que la détermination de la nature et du nombre de fixations en fonction du support sont à charge de l’entrepreneur.  La note de calcul est présentée pour approbation </w:t>
      </w:r>
      <w:r>
        <w:rPr>
          <w:rStyle w:val="optioncarChar"/>
        </w:rPr>
        <w:t>à la direction des travaux / au bureau d’études</w:t>
      </w:r>
      <w:r>
        <w:t>.</w:t>
      </w:r>
    </w:p>
    <w:p w14:paraId="44FB7A66" w14:textId="77777777" w:rsidR="00772179" w:rsidRDefault="00000000">
      <w:pPr>
        <w:jc w:val="both"/>
      </w:pPr>
      <w:r>
        <w:t xml:space="preserve">L’entrepreneur réalise le plan de pose et le présente pour approbation </w:t>
      </w:r>
      <w:r>
        <w:rPr>
          <w:rStyle w:val="optioncarChar"/>
        </w:rPr>
        <w:t>à la direction des travaux / au bureau d’études</w:t>
      </w:r>
      <w:r>
        <w:t>.</w:t>
      </w:r>
    </w:p>
    <w:p w14:paraId="7E937125" w14:textId="77777777" w:rsidR="00772179" w:rsidRDefault="00000000">
      <w:pPr>
        <w:jc w:val="both"/>
      </w:pPr>
      <w:r>
        <w:lastRenderedPageBreak/>
        <w:t xml:space="preserve">Lorsque les ouvertures pour baies et percements techniques nécessitent l’interruption des chevrons porteurs, des chevêtres sont mis en place conformément à la note de calcul à présenter pour approbation </w:t>
      </w:r>
      <w:r>
        <w:rPr>
          <w:rStyle w:val="optioncarChar"/>
        </w:rPr>
        <w:t>à la direction des travaux / au bureau d’études</w:t>
      </w:r>
      <w:r>
        <w:t>.</w:t>
      </w:r>
    </w:p>
    <w:p w14:paraId="79688D54" w14:textId="77777777" w:rsidR="00772179" w:rsidRDefault="00000000">
      <w:pPr>
        <w:jc w:val="both"/>
      </w:pPr>
      <w:r>
        <w:t>La mise en œuvre est conforme à la documentation technique accompagnant le matériau.</w:t>
      </w:r>
    </w:p>
    <w:p w14:paraId="3B02B724" w14:textId="77777777" w:rsidR="00772179" w:rsidRDefault="00000000">
      <w:pPr>
        <w:jc w:val="both"/>
      </w:pPr>
      <w:r>
        <w:t xml:space="preserve">Chaque panneau est fixé à au moins </w:t>
      </w:r>
      <w:r>
        <w:rPr>
          <w:rStyle w:val="optioncarChar"/>
        </w:rPr>
        <w:t xml:space="preserve">2 </w:t>
      </w:r>
      <w:r>
        <w:t>(par défaut)</w:t>
      </w:r>
      <w:r>
        <w:rPr>
          <w:rStyle w:val="optioncarChar"/>
        </w:rPr>
        <w:t xml:space="preserve"> / 3 / ***</w:t>
      </w:r>
      <w:r>
        <w:t xml:space="preserve"> éléments porteurs.</w:t>
      </w:r>
    </w:p>
    <w:p w14:paraId="7238C202" w14:textId="77777777" w:rsidR="00772179" w:rsidRDefault="00000000">
      <w:pPr>
        <w:jc w:val="both"/>
      </w:pPr>
      <w:r>
        <w:t xml:space="preserve">Au droit des joints longitudinaux à raccord en tenon et mortaise est appliquée : </w:t>
      </w:r>
      <w:r>
        <w:rPr>
          <w:rStyle w:val="optioncarChar"/>
        </w:rPr>
        <w:t>une bande adhésive faisant partie du système</w:t>
      </w:r>
      <w:r>
        <w:t xml:space="preserve"> (par défaut)</w:t>
      </w:r>
      <w:r>
        <w:rPr>
          <w:rStyle w:val="optioncarChar"/>
        </w:rPr>
        <w:t xml:space="preserve"> / une injection de PUR RF / ***</w:t>
      </w:r>
    </w:p>
    <w:p w14:paraId="0677B014" w14:textId="77777777" w:rsidR="00772179" w:rsidRDefault="00000000">
      <w:pPr>
        <w:jc w:val="both"/>
      </w:pPr>
      <w:r>
        <w:t xml:space="preserve">Un joint de dilatation de 15mm est mis en œuvre tous les 10m et rempli de : </w:t>
      </w:r>
      <w:r>
        <w:rPr>
          <w:rStyle w:val="optioncarChar"/>
        </w:rPr>
        <w:t>mousse PUR restant flexible / mousse PUR RF </w:t>
      </w:r>
    </w:p>
    <w:p w14:paraId="38AAB1BA" w14:textId="77777777" w:rsidR="00772179" w:rsidRDefault="00000000">
      <w:pPr>
        <w:jc w:val="both"/>
      </w:pPr>
      <w:r>
        <w:t>Au droit des joints transversaux :</w:t>
      </w:r>
    </w:p>
    <w:p w14:paraId="07710AD5" w14:textId="77777777" w:rsidR="00772179" w:rsidRDefault="00000000">
      <w:pPr>
        <w:pStyle w:val="Author-eListParagraph"/>
        <w:numPr>
          <w:ilvl w:val="0"/>
          <w:numId w:val="1133"/>
        </w:numPr>
      </w:pPr>
      <w:r>
        <w:t>Ceux-ci sont supportés par un élément structurel faisant partie du gros œuvre.</w:t>
      </w:r>
    </w:p>
    <w:p w14:paraId="16B95430" w14:textId="77777777" w:rsidR="00772179" w:rsidRDefault="00000000">
      <w:pPr>
        <w:pStyle w:val="Author-eListParagraph"/>
        <w:numPr>
          <w:ilvl w:val="0"/>
          <w:numId w:val="1133"/>
        </w:numPr>
      </w:pPr>
      <w:r>
        <w:t xml:space="preserve">Le raccord est fermé au moyen de : </w:t>
      </w:r>
      <w:r>
        <w:rPr>
          <w:rStyle w:val="optioncarChar"/>
        </w:rPr>
        <w:t>mousse PUR restant flexible / mousse PUR RF</w:t>
      </w:r>
      <w:r>
        <w:t> </w:t>
      </w:r>
    </w:p>
    <w:p w14:paraId="5EDF81DD" w14:textId="77777777" w:rsidR="00772179" w:rsidRDefault="00000000">
      <w:pPr>
        <w:pStyle w:val="Author-eListParagraph"/>
        <w:numPr>
          <w:ilvl w:val="0"/>
          <w:numId w:val="1133"/>
        </w:numPr>
      </w:pPr>
      <w:r>
        <w:t>Une bande de pare-pluie souple ouverte à la diffusion de vapeur est collée sur le raccord </w:t>
      </w:r>
    </w:p>
    <w:p w14:paraId="3F85DF9D" w14:textId="77777777" w:rsidR="00772179" w:rsidRDefault="00000000">
      <w:pPr>
        <w:jc w:val="both"/>
      </w:pPr>
      <w:r>
        <w:t xml:space="preserve">Raccord aux menuiseries au moyen de : </w:t>
      </w:r>
      <w:r>
        <w:rPr>
          <w:rStyle w:val="optioncarChar"/>
        </w:rPr>
        <w:t>bandes adhésives résistant à la pluie</w:t>
      </w:r>
      <w:r>
        <w:t xml:space="preserve"> (par défaut)</w:t>
      </w:r>
      <w:r>
        <w:rPr>
          <w:rStyle w:val="optioncarChar"/>
        </w:rPr>
        <w:t xml:space="preserve"> / ***</w:t>
      </w:r>
    </w:p>
    <w:p w14:paraId="0DE06C32" w14:textId="77777777" w:rsidR="00772179" w:rsidRDefault="00000000">
      <w:pPr>
        <w:jc w:val="both"/>
      </w:pPr>
      <w:r>
        <w:t xml:space="preserve">Raccord aux matériaux adjacents au moyen d’un primaire suivi de : </w:t>
      </w:r>
      <w:r>
        <w:rPr>
          <w:rStyle w:val="optioncarChar"/>
        </w:rPr>
        <w:t>bandes appliquées au moyen d’une colle adaptée au support</w:t>
      </w:r>
      <w:r>
        <w:t xml:space="preserve"> (par défaut) </w:t>
      </w:r>
      <w:r>
        <w:rPr>
          <w:rStyle w:val="optioncarChar"/>
        </w:rPr>
        <w:t>/ ***</w:t>
      </w:r>
    </w:p>
    <w:p w14:paraId="75A36BB0" w14:textId="77777777" w:rsidR="00772179" w:rsidRDefault="00000000">
      <w:pPr>
        <w:jc w:val="both"/>
      </w:pPr>
      <w:r>
        <w:t>Le parement / revêtement de façade est placé dans des délais compatibles avec la résistance aux intempéries des panneaux.</w:t>
      </w:r>
    </w:p>
    <w:p w14:paraId="1967419D" w14:textId="77777777" w:rsidR="00772179" w:rsidRDefault="00000000">
      <w:pPr>
        <w:pStyle w:val="pheading"/>
      </w:pPr>
      <w:r>
        <w:t>DOCUMENTS DE RÉFÉRENCE COMPLÉMENTAIRES</w:t>
      </w:r>
    </w:p>
    <w:p w14:paraId="294CF57C" w14:textId="77777777" w:rsidR="00772179" w:rsidRDefault="00000000">
      <w:pPr>
        <w:pStyle w:val="pheading"/>
      </w:pPr>
      <w:r>
        <w:t>- Matériau</w:t>
      </w:r>
    </w:p>
    <w:p w14:paraId="08725A89" w14:textId="77777777" w:rsidR="00772179" w:rsidRDefault="00000000">
      <w:r>
        <w:t>[STS 04.3, Bois et panneaux à base de bois : traitements du bois]</w:t>
      </w:r>
    </w:p>
    <w:p w14:paraId="2607EDFF" w14:textId="77777777" w:rsidR="00772179" w:rsidRDefault="00000000">
      <w:r>
        <w:t>[STS 23-1, Constructions en ossature bois]</w:t>
      </w:r>
    </w:p>
    <w:p w14:paraId="19421A45" w14:textId="77777777" w:rsidR="00772179" w:rsidRDefault="00000000">
      <w:r>
        <w:t>[NBN EN 312, Panneaux de particules - Exigences]</w:t>
      </w:r>
    </w:p>
    <w:p w14:paraId="17F67940" w14:textId="77777777" w:rsidR="00772179" w:rsidRDefault="00000000">
      <w:r>
        <w:t>[NBN EN 314-1, Contreplaqué - Qualité du collage - Partie 1: Méthodes d'essai]</w:t>
      </w:r>
    </w:p>
    <w:p w14:paraId="659637DB" w14:textId="77777777" w:rsidR="00772179" w:rsidRDefault="00000000">
      <w:r>
        <w:t>[NBN EN 314-2, Contreplaqué - Qualité du collage - Partie 2: Exigences]</w:t>
      </w:r>
    </w:p>
    <w:p w14:paraId="4EE9C1D2" w14:textId="77777777" w:rsidR="00772179" w:rsidRDefault="00000000">
      <w:r>
        <w:t>[NBN EN 636+A1, Contreplaqué - Exigences]</w:t>
      </w:r>
    </w:p>
    <w:p w14:paraId="78BD7964" w14:textId="77777777" w:rsidR="00772179" w:rsidRDefault="00000000">
      <w:r>
        <w:t>[NBN EN 13162+A1, Produits isolants thermiques pour le bâtiment - Produits manufacturés en laine minérale (MW) - Spécification]</w:t>
      </w:r>
    </w:p>
    <w:p w14:paraId="17E6E4F2" w14:textId="77777777" w:rsidR="00772179" w:rsidRDefault="00000000">
      <w:pPr>
        <w:pStyle w:val="pheading"/>
      </w:pPr>
      <w:r>
        <w:t>MESURAGE</w:t>
      </w:r>
    </w:p>
    <w:p w14:paraId="0FE9D5E2" w14:textId="77777777" w:rsidR="00772179" w:rsidRDefault="00000000">
      <w:pPr>
        <w:pStyle w:val="pheading"/>
      </w:pPr>
      <w:r>
        <w:t>- unité de mesure:</w:t>
      </w:r>
    </w:p>
    <w:p w14:paraId="18BEFAE6" w14:textId="77777777" w:rsidR="00772179" w:rsidRDefault="00000000">
      <w:r>
        <w:t>m²</w:t>
      </w:r>
    </w:p>
    <w:p w14:paraId="71ABFB14" w14:textId="77777777" w:rsidR="00772179" w:rsidRDefault="00000000">
      <w:pPr>
        <w:pStyle w:val="pheading"/>
      </w:pPr>
      <w:r>
        <w:t>- code de mesurage:</w:t>
      </w:r>
    </w:p>
    <w:p w14:paraId="6DCC30F0" w14:textId="77777777" w:rsidR="00772179" w:rsidRDefault="00000000">
      <w:r>
        <w:t>Surface nette. Les ouvertures &lt; à 1 m² ne sont pas déduites.</w:t>
      </w:r>
    </w:p>
    <w:p w14:paraId="4D7E5EFF" w14:textId="77777777" w:rsidR="00772179" w:rsidRDefault="00000000">
      <w:pPr>
        <w:pStyle w:val="pheading"/>
      </w:pPr>
      <w:r>
        <w:t>- nature du marché:</w:t>
      </w:r>
    </w:p>
    <w:p w14:paraId="040F4790" w14:textId="77777777" w:rsidR="00772179" w:rsidRDefault="00000000">
      <w:r>
        <w:t>QF</w:t>
      </w:r>
    </w:p>
    <w:p w14:paraId="59391A81" w14:textId="77777777" w:rsidR="00772179" w:rsidRDefault="00000000">
      <w:pPr>
        <w:pStyle w:val="Author-eSectionHeading6Numberless"/>
      </w:pPr>
      <w:bookmarkStart w:id="971" w:name="_Toc220490632"/>
      <w:r>
        <w:t>44.14.2f Panneaux pare-pluie en fibres de bois CCTB 01.11</w:t>
      </w:r>
      <w:bookmarkEnd w:id="971"/>
    </w:p>
    <w:p w14:paraId="7EBAB3BB" w14:textId="77777777" w:rsidR="00772179" w:rsidRDefault="00000000">
      <w:pPr>
        <w:pStyle w:val="pheading"/>
      </w:pPr>
      <w:r>
        <w:t>DESCRIPTION</w:t>
      </w:r>
    </w:p>
    <w:p w14:paraId="5B8E0A36" w14:textId="77777777" w:rsidR="00772179" w:rsidRDefault="00000000">
      <w:pPr>
        <w:pStyle w:val="pheading"/>
      </w:pPr>
      <w:r>
        <w:t>- Définition / Comprend</w:t>
      </w:r>
    </w:p>
    <w:p w14:paraId="732AAE6D" w14:textId="77777777" w:rsidR="00772179" w:rsidRDefault="00000000">
      <w:pPr>
        <w:jc w:val="both"/>
      </w:pPr>
      <w:r>
        <w:t>Il s’agit de la fourniture et la pose de panneaux pare-pluie en fibres de bois.</w:t>
      </w:r>
    </w:p>
    <w:p w14:paraId="4772929E" w14:textId="77777777" w:rsidR="00772179" w:rsidRDefault="00000000">
      <w:pPr>
        <w:pStyle w:val="pheading"/>
      </w:pPr>
      <w:r>
        <w:t>MATÉRIAUX</w:t>
      </w:r>
    </w:p>
    <w:p w14:paraId="116F9D87" w14:textId="77777777" w:rsidR="00772179" w:rsidRDefault="00000000">
      <w:pPr>
        <w:pStyle w:val="pheading"/>
      </w:pPr>
      <w:r>
        <w:t>- Caractéristiques générales</w:t>
      </w:r>
    </w:p>
    <w:p w14:paraId="01FB0DA0" w14:textId="77777777" w:rsidR="00772179" w:rsidRDefault="00000000">
      <w:pPr>
        <w:jc w:val="both"/>
      </w:pPr>
      <w:r>
        <w:lastRenderedPageBreak/>
        <w:t xml:space="preserve">Les matériaux sont couverts par une déclaration d’aptitude à l’utilisation décrite au chapitre 02.42.1 Critères d'acceptabilité : </w:t>
      </w:r>
      <w:r>
        <w:rPr>
          <w:rStyle w:val="optioncarChar"/>
        </w:rPr>
        <w:t>oui / non</w:t>
      </w:r>
    </w:p>
    <w:p w14:paraId="174674D7" w14:textId="77777777" w:rsidR="00772179" w:rsidRDefault="00000000">
      <w:pPr>
        <w:jc w:val="both"/>
      </w:pPr>
      <w:r>
        <w:t>Panneau en fibres de bois :</w:t>
      </w:r>
    </w:p>
    <w:p w14:paraId="04FD1B0D" w14:textId="77777777" w:rsidR="00772179" w:rsidRDefault="00000000">
      <w:pPr>
        <w:pStyle w:val="Author-eListParagraph"/>
        <w:numPr>
          <w:ilvl w:val="0"/>
          <w:numId w:val="1134"/>
        </w:numPr>
      </w:pPr>
      <w:r>
        <w:t xml:space="preserve">Imprégnées d’une émulsion de bitume : </w:t>
      </w:r>
      <w:r>
        <w:rPr>
          <w:rStyle w:val="optioncarChar"/>
        </w:rPr>
        <w:t>oui / non</w:t>
      </w:r>
    </w:p>
    <w:p w14:paraId="7D037C03" w14:textId="77777777" w:rsidR="00772179" w:rsidRDefault="00000000">
      <w:pPr>
        <w:pStyle w:val="Author-eListParagraph"/>
        <w:numPr>
          <w:ilvl w:val="0"/>
          <w:numId w:val="1134"/>
        </w:numPr>
      </w:pPr>
      <w:r>
        <w:t xml:space="preserve">Comportant de la résine polyuréthane : </w:t>
      </w:r>
      <w:r>
        <w:rPr>
          <w:rStyle w:val="optioncarChar"/>
        </w:rPr>
        <w:t>oui / non</w:t>
      </w:r>
    </w:p>
    <w:p w14:paraId="09B98B6F" w14:textId="77777777" w:rsidR="00772179" w:rsidRDefault="00000000">
      <w:pPr>
        <w:pStyle w:val="Author-eListParagraph"/>
        <w:numPr>
          <w:ilvl w:val="0"/>
          <w:numId w:val="1134"/>
        </w:numPr>
      </w:pPr>
      <w:r>
        <w:t xml:space="preserve">Réaction au feu : </w:t>
      </w:r>
      <w:r>
        <w:rPr>
          <w:rStyle w:val="optioncarChar"/>
        </w:rPr>
        <w:t xml:space="preserve">E </w:t>
      </w:r>
      <w:r>
        <w:t>(par défaut)</w:t>
      </w:r>
      <w:r>
        <w:rPr>
          <w:rStyle w:val="optioncarChar"/>
        </w:rPr>
        <w:t xml:space="preserve"> / ***</w:t>
      </w:r>
    </w:p>
    <w:p w14:paraId="2E26DD0B" w14:textId="77777777" w:rsidR="00772179" w:rsidRDefault="00000000">
      <w:pPr>
        <w:pStyle w:val="Author-eListParagraph"/>
        <w:numPr>
          <w:ilvl w:val="0"/>
          <w:numId w:val="1134"/>
        </w:numPr>
      </w:pPr>
      <w:r>
        <w:t>Durabilité biologique : classe de risque (d’usage) [NBN EN 335] : 3</w:t>
      </w:r>
    </w:p>
    <w:p w14:paraId="23FABFEC" w14:textId="77777777" w:rsidR="00772179" w:rsidRDefault="00000000">
      <w:pPr>
        <w:pStyle w:val="Author-eListParagraph"/>
        <w:numPr>
          <w:ilvl w:val="0"/>
          <w:numId w:val="1134"/>
        </w:numPr>
      </w:pPr>
      <w:r>
        <w:t xml:space="preserve">Conductivité thermique : </w:t>
      </w:r>
      <w:r>
        <w:rPr>
          <w:rStyle w:val="optioncarChar"/>
        </w:rPr>
        <w:t>0,048</w:t>
      </w:r>
      <w:r>
        <w:t xml:space="preserve"> (par défaut)</w:t>
      </w:r>
      <w:r>
        <w:rPr>
          <w:rStyle w:val="optioncarChar"/>
        </w:rPr>
        <w:t> / 0,045 / 0,05</w:t>
      </w:r>
      <w:r>
        <w:t xml:space="preserve"> W/mK</w:t>
      </w:r>
    </w:p>
    <w:p w14:paraId="65A17ACD" w14:textId="77777777" w:rsidR="00772179" w:rsidRDefault="00000000">
      <w:pPr>
        <w:pStyle w:val="Author-eListParagraph"/>
        <w:numPr>
          <w:ilvl w:val="0"/>
          <w:numId w:val="1134"/>
        </w:numPr>
      </w:pPr>
      <w:r>
        <w:t>Résistance à la vapeur d’eau, μ</w:t>
      </w:r>
      <w:r>
        <w:rPr>
          <w:vertAlign w:val="subscript"/>
        </w:rPr>
        <w:t>d </w:t>
      </w:r>
      <w:r>
        <w:t xml:space="preserve">: </w:t>
      </w:r>
      <w:r>
        <w:rPr>
          <w:rStyle w:val="optioncarChar"/>
        </w:rPr>
        <w:t>5</w:t>
      </w:r>
      <w:r>
        <w:t xml:space="preserve"> (par défaut) </w:t>
      </w:r>
      <w:r>
        <w:rPr>
          <w:rStyle w:val="optioncarChar"/>
        </w:rPr>
        <w:t>/ 3 / ***</w:t>
      </w:r>
    </w:p>
    <w:p w14:paraId="7EF101E8" w14:textId="77777777" w:rsidR="00772179" w:rsidRDefault="00000000">
      <w:pPr>
        <w:pStyle w:val="Author-eListParagraph"/>
        <w:numPr>
          <w:ilvl w:val="0"/>
          <w:numId w:val="1134"/>
        </w:numPr>
      </w:pPr>
      <w:r>
        <w:t xml:space="preserve">Densité : </w:t>
      </w:r>
      <w:r>
        <w:rPr>
          <w:rStyle w:val="optioncarChar"/>
        </w:rPr>
        <w:t xml:space="preserve">≥ 250 </w:t>
      </w:r>
      <w:r>
        <w:t>(par défaut) </w:t>
      </w:r>
      <w:r>
        <w:rPr>
          <w:rStyle w:val="optioncarChar"/>
        </w:rPr>
        <w:t>/ ≥ 210 / ***</w:t>
      </w:r>
      <w:r>
        <w:t xml:space="preserve"> kg/m3</w:t>
      </w:r>
    </w:p>
    <w:p w14:paraId="7EE30FA6" w14:textId="77777777" w:rsidR="00772179" w:rsidRDefault="00000000">
      <w:pPr>
        <w:pStyle w:val="Author-eListParagraph"/>
        <w:numPr>
          <w:ilvl w:val="0"/>
          <w:numId w:val="1134"/>
        </w:numPr>
      </w:pPr>
      <w:r>
        <w:t>Dégagement de formaldéhyde :  E1</w:t>
      </w:r>
    </w:p>
    <w:p w14:paraId="67DC4292" w14:textId="77777777" w:rsidR="00772179" w:rsidRDefault="00000000">
      <w:pPr>
        <w:pStyle w:val="Author-eListParagraph"/>
        <w:numPr>
          <w:ilvl w:val="0"/>
          <w:numId w:val="1134"/>
        </w:numPr>
      </w:pPr>
      <w:r>
        <w:t xml:space="preserve">Épaisseur : </w:t>
      </w:r>
      <w:r>
        <w:rPr>
          <w:rStyle w:val="optioncarChar"/>
        </w:rPr>
        <w:t>18</w:t>
      </w:r>
      <w:r>
        <w:t xml:space="preserve"> (par défaut)</w:t>
      </w:r>
      <w:r>
        <w:rPr>
          <w:rStyle w:val="optioncarChar"/>
        </w:rPr>
        <w:t> / 22 / 35 / ***</w:t>
      </w:r>
      <w:r>
        <w:t xml:space="preserve"> mm</w:t>
      </w:r>
    </w:p>
    <w:p w14:paraId="07F2D134" w14:textId="77777777" w:rsidR="00772179" w:rsidRDefault="00000000">
      <w:pPr>
        <w:pStyle w:val="Author-eListParagraph"/>
        <w:numPr>
          <w:ilvl w:val="0"/>
          <w:numId w:val="1134"/>
        </w:numPr>
      </w:pPr>
      <w:r>
        <w:t xml:space="preserve">Largeur : </w:t>
      </w:r>
      <w:r>
        <w:rPr>
          <w:rStyle w:val="optioncarChar"/>
        </w:rPr>
        <w:t xml:space="preserve">600 </w:t>
      </w:r>
      <w:r>
        <w:t>(par défaut)</w:t>
      </w:r>
      <w:r>
        <w:rPr>
          <w:rStyle w:val="optioncarChar"/>
        </w:rPr>
        <w:t xml:space="preserve"> / ***</w:t>
      </w:r>
      <w:r>
        <w:t xml:space="preserve"> mm</w:t>
      </w:r>
    </w:p>
    <w:p w14:paraId="09507C87" w14:textId="77777777" w:rsidR="00772179" w:rsidRDefault="00000000">
      <w:pPr>
        <w:pStyle w:val="Author-eListParagraph"/>
        <w:numPr>
          <w:ilvl w:val="0"/>
          <w:numId w:val="1134"/>
        </w:numPr>
      </w:pPr>
      <w:r>
        <w:t xml:space="preserve">Longueur : </w:t>
      </w:r>
      <w:r>
        <w:rPr>
          <w:rStyle w:val="optioncarChar"/>
        </w:rPr>
        <w:t xml:space="preserve">2500 </w:t>
      </w:r>
      <w:r>
        <w:t xml:space="preserve">(par défaut) </w:t>
      </w:r>
      <w:r>
        <w:rPr>
          <w:rStyle w:val="optioncarChar"/>
        </w:rPr>
        <w:t>/ ***</w:t>
      </w:r>
      <w:r>
        <w:t xml:space="preserve"> mm</w:t>
      </w:r>
    </w:p>
    <w:p w14:paraId="6FC60934" w14:textId="77777777" w:rsidR="00772179" w:rsidRDefault="00000000">
      <w:pPr>
        <w:pStyle w:val="Author-eListParagraph"/>
        <w:numPr>
          <w:ilvl w:val="0"/>
          <w:numId w:val="1134"/>
        </w:numPr>
      </w:pPr>
      <w:r>
        <w:t xml:space="preserve">Pourvus d’un emboitement à rainure et languette sur les 4 côtés : </w:t>
      </w:r>
      <w:r>
        <w:rPr>
          <w:rStyle w:val="optioncarChar"/>
        </w:rPr>
        <w:t>oui / non</w:t>
      </w:r>
    </w:p>
    <w:p w14:paraId="1B5BF8A5" w14:textId="77777777" w:rsidR="00772179" w:rsidRDefault="00000000">
      <w:pPr>
        <w:jc w:val="both"/>
      </w:pPr>
      <w:r>
        <w:t>Les accessoires utilisés pour la réalisation de l’étanchéité à la pluie et au vent, tels que les feuilles d’attente, colles, bandes adhésives, bandes de raccord, couches de fond, manchettes d’étanchéité, joints liquides, etc., font partie du système et sont compatibles avec les matériaux sur lesquels s’effectue le raccordement.</w:t>
      </w:r>
    </w:p>
    <w:p w14:paraId="325E8305" w14:textId="77777777" w:rsidR="00772179" w:rsidRDefault="00000000">
      <w:pPr>
        <w:jc w:val="both"/>
      </w:pPr>
      <w:r>
        <w:t>Membrane pare-pluie supplémentaire à haute perméabilité à la vapeur d’eau faisant partie du système (s</w:t>
      </w:r>
      <w:r>
        <w:rPr>
          <w:vertAlign w:val="subscript"/>
        </w:rPr>
        <w:t>d</w:t>
      </w:r>
      <w:r>
        <w:t xml:space="preserve"> &lt; 0,06) :</w:t>
      </w:r>
      <w:r>
        <w:rPr>
          <w:rStyle w:val="optioncarChar"/>
        </w:rPr>
        <w:t xml:space="preserve"> oui / non</w:t>
      </w:r>
    </w:p>
    <w:p w14:paraId="6ED52FAE" w14:textId="77777777" w:rsidR="00772179" w:rsidRDefault="00000000">
      <w:pPr>
        <w:jc w:val="both"/>
      </w:pPr>
      <w:r>
        <w:t>Aspects environnementaux :</w:t>
      </w:r>
    </w:p>
    <w:p w14:paraId="03931063" w14:textId="77777777" w:rsidR="00772179" w:rsidRDefault="00000000">
      <w:pPr>
        <w:jc w:val="both"/>
      </w:pPr>
      <w:r>
        <w:t xml:space="preserve">Bois issu de forêts gérées durablement suivant prescriptions de l’élément 02.42.4 Bois provenant de forêts gérées durablement. : </w:t>
      </w:r>
      <w:r>
        <w:rPr>
          <w:rStyle w:val="optioncarChar"/>
        </w:rPr>
        <w:t>oui / non</w:t>
      </w:r>
    </w:p>
    <w:p w14:paraId="3BE86847" w14:textId="77777777" w:rsidR="00772179" w:rsidRDefault="00000000">
      <w:pPr>
        <w:pStyle w:val="pheading"/>
      </w:pPr>
      <w:r>
        <w:t>EXÉCUTION / MISE EN ŒUVRE</w:t>
      </w:r>
    </w:p>
    <w:p w14:paraId="5DF53C1D" w14:textId="77777777" w:rsidR="00772179" w:rsidRDefault="00000000">
      <w:pPr>
        <w:pStyle w:val="pheading"/>
      </w:pPr>
      <w:r>
        <w:t>- Prescriptions générales</w:t>
      </w:r>
    </w:p>
    <w:p w14:paraId="241019F3" w14:textId="77777777" w:rsidR="00772179" w:rsidRDefault="00000000">
      <w:pPr>
        <w:jc w:val="both"/>
      </w:pPr>
      <w:r>
        <w:t xml:space="preserve">Le dimensionnement des panneaux ainsi que la détermination de la nature et du nombre de fixations en fonction du support sont à charge de l’entrepreneur.  La note de calcul et les plans d’exécution sont présentés pour approbation </w:t>
      </w:r>
      <w:r>
        <w:rPr>
          <w:rStyle w:val="optioncarChar"/>
        </w:rPr>
        <w:t>à la direction des travaux / au bureau d’études.</w:t>
      </w:r>
    </w:p>
    <w:p w14:paraId="18C04AF5" w14:textId="77777777" w:rsidR="00772179" w:rsidRDefault="00000000">
      <w:pPr>
        <w:jc w:val="both"/>
      </w:pPr>
      <w:r>
        <w:t xml:space="preserve">L’entrepreneur réalise le plan de pose et le présente pour approbation </w:t>
      </w:r>
      <w:r>
        <w:rPr>
          <w:rStyle w:val="optioncarChar"/>
        </w:rPr>
        <w:t>à la direction des travaux / au bureau d’études.</w:t>
      </w:r>
    </w:p>
    <w:p w14:paraId="24085E04" w14:textId="77777777" w:rsidR="00772179" w:rsidRDefault="00000000">
      <w:pPr>
        <w:jc w:val="both"/>
      </w:pPr>
      <w:r>
        <w:t>La mise en œuvre est conforme à la documentation technique accompagnant le matériau.</w:t>
      </w:r>
    </w:p>
    <w:p w14:paraId="700B7E17" w14:textId="77777777" w:rsidR="00772179" w:rsidRDefault="00000000">
      <w:pPr>
        <w:jc w:val="both"/>
      </w:pPr>
      <w:r>
        <w:t>Pose en appareillage aléatoire en dimensions maximales.</w:t>
      </w:r>
    </w:p>
    <w:p w14:paraId="03F132DE" w14:textId="77777777" w:rsidR="00772179" w:rsidRDefault="00000000">
      <w:pPr>
        <w:jc w:val="both"/>
      </w:pPr>
      <w:r>
        <w:t xml:space="preserve">Chaque panneau est fixé à au moins </w:t>
      </w:r>
      <w:r>
        <w:rPr>
          <w:rStyle w:val="optioncarChar"/>
        </w:rPr>
        <w:t xml:space="preserve">2 </w:t>
      </w:r>
      <w:r>
        <w:t>(par défaut)</w:t>
      </w:r>
      <w:r>
        <w:rPr>
          <w:rStyle w:val="optioncarChar"/>
        </w:rPr>
        <w:t xml:space="preserve"> / 3 / ***</w:t>
      </w:r>
      <w:r>
        <w:t xml:space="preserve"> éléments porteurs.</w:t>
      </w:r>
    </w:p>
    <w:p w14:paraId="57392186" w14:textId="77777777" w:rsidR="00772179" w:rsidRDefault="00000000">
      <w:pPr>
        <w:jc w:val="both"/>
      </w:pPr>
      <w:r>
        <w:t>Continuité de l’étanchéité à l’air et à la pluie réalisée au moyen de membranes posées de façon à évacuer les eaux vers l’extérieur :</w:t>
      </w:r>
    </w:p>
    <w:p w14:paraId="45C7F855" w14:textId="77777777" w:rsidR="00772179" w:rsidRDefault="00000000">
      <w:pPr>
        <w:pStyle w:val="Author-eListParagraph"/>
        <w:numPr>
          <w:ilvl w:val="0"/>
          <w:numId w:val="1135"/>
        </w:numPr>
      </w:pPr>
      <w:r>
        <w:t xml:space="preserve">de bandes de membrane encastrées dans l’emboitement à rainure et languette : </w:t>
      </w:r>
      <w:r>
        <w:rPr>
          <w:rStyle w:val="optioncarChar"/>
        </w:rPr>
        <w:t>oui / non</w:t>
      </w:r>
      <w:r>
        <w:t> </w:t>
      </w:r>
    </w:p>
    <w:p w14:paraId="238EA8E0" w14:textId="77777777" w:rsidR="00772179" w:rsidRDefault="00000000">
      <w:pPr>
        <w:pStyle w:val="Author-eListParagraph"/>
        <w:numPr>
          <w:ilvl w:val="0"/>
          <w:numId w:val="1135"/>
        </w:numPr>
      </w:pPr>
      <w:r>
        <w:t xml:space="preserve">de manchettes de raccordement au droit des traversées techniques : </w:t>
      </w:r>
      <w:r>
        <w:rPr>
          <w:rStyle w:val="optioncarChar"/>
        </w:rPr>
        <w:t>oui / non</w:t>
      </w:r>
      <w:r>
        <w:t> </w:t>
      </w:r>
    </w:p>
    <w:p w14:paraId="32F1649B" w14:textId="77777777" w:rsidR="00772179" w:rsidRDefault="00000000">
      <w:pPr>
        <w:jc w:val="both"/>
      </w:pPr>
      <w:r>
        <w:t xml:space="preserve">Raccord aux menuiseries au moyen de : </w:t>
      </w:r>
      <w:r>
        <w:rPr>
          <w:rStyle w:val="optioncarChar"/>
        </w:rPr>
        <w:t>bandes adhésives résistant à la pluie / ruban butylique.</w:t>
      </w:r>
    </w:p>
    <w:p w14:paraId="71AD4FDE" w14:textId="77777777" w:rsidR="00772179" w:rsidRDefault="00000000">
      <w:pPr>
        <w:jc w:val="both"/>
      </w:pPr>
      <w:r>
        <w:t xml:space="preserve">Raccord aux matériaux adjacents au moyen d’un primaire suivi de : </w:t>
      </w:r>
      <w:r>
        <w:rPr>
          <w:rStyle w:val="optioncarChar"/>
        </w:rPr>
        <w:t xml:space="preserve">bandes appliquées au moyen d’une colle adaptée au support </w:t>
      </w:r>
      <w:r>
        <w:t>(par défaut)</w:t>
      </w:r>
      <w:r>
        <w:rPr>
          <w:rStyle w:val="optioncarChar"/>
        </w:rPr>
        <w:t xml:space="preserve"> / ***.</w:t>
      </w:r>
    </w:p>
    <w:p w14:paraId="20DDF561" w14:textId="77777777" w:rsidR="00772179" w:rsidRDefault="00000000">
      <w:pPr>
        <w:jc w:val="both"/>
      </w:pPr>
      <w:r>
        <w:t xml:space="preserve">Une membrane pare-pluie supplémentaire à haute perméabilité à la vapeur est appliquée après pose des panneaux : </w:t>
      </w:r>
      <w:r>
        <w:rPr>
          <w:rStyle w:val="optioncarChar"/>
        </w:rPr>
        <w:t>oui / non.</w:t>
      </w:r>
    </w:p>
    <w:p w14:paraId="7E1B5C48" w14:textId="77777777" w:rsidR="00772179" w:rsidRDefault="00000000">
      <w:pPr>
        <w:jc w:val="both"/>
      </w:pPr>
      <w:r>
        <w:t>Le parement / revêtement de façade est placé dans des délais compatibles avec la résistance aux intempéries des panneaux.</w:t>
      </w:r>
    </w:p>
    <w:p w14:paraId="7AB03262" w14:textId="77777777" w:rsidR="00772179" w:rsidRDefault="00000000">
      <w:pPr>
        <w:pStyle w:val="pheading"/>
      </w:pPr>
      <w:r>
        <w:t>DOCUMENTS DE RÉFÉRENCE COMPLÉMENTAIRES</w:t>
      </w:r>
    </w:p>
    <w:p w14:paraId="5489E019" w14:textId="77777777" w:rsidR="00772179" w:rsidRDefault="00000000">
      <w:pPr>
        <w:pStyle w:val="pheading"/>
      </w:pPr>
      <w:r>
        <w:lastRenderedPageBreak/>
        <w:t>- Matériau</w:t>
      </w:r>
    </w:p>
    <w:p w14:paraId="4866FAB8" w14:textId="77777777" w:rsidR="00772179" w:rsidRDefault="00000000">
      <w:r>
        <w:t>[NBN EN 622-4, Panneaux de fibres - Exigences - Partie 4 : Exigences pour panneaux isolants]</w:t>
      </w:r>
    </w:p>
    <w:p w14:paraId="31AD444E" w14:textId="77777777" w:rsidR="00772179" w:rsidRDefault="00000000">
      <w:r>
        <w:t>[NBN EN 13171+A1, Produits isolants thermiques pour le bâtiment - Produits manufacturés en fibres de bois (WF) - Spécification]</w:t>
      </w:r>
    </w:p>
    <w:p w14:paraId="5F22278C" w14:textId="77777777" w:rsidR="00772179" w:rsidRDefault="00000000">
      <w:pPr>
        <w:pStyle w:val="pheading"/>
      </w:pPr>
      <w:r>
        <w:t>MESURAGE</w:t>
      </w:r>
    </w:p>
    <w:p w14:paraId="3C53FD14" w14:textId="77777777" w:rsidR="00772179" w:rsidRDefault="00000000">
      <w:pPr>
        <w:pStyle w:val="pheading"/>
      </w:pPr>
      <w:r>
        <w:t>- unité de mesure:</w:t>
      </w:r>
    </w:p>
    <w:p w14:paraId="7D20AC39" w14:textId="77777777" w:rsidR="00772179" w:rsidRDefault="00000000">
      <w:r>
        <w:t>m²</w:t>
      </w:r>
    </w:p>
    <w:p w14:paraId="697BFD3E" w14:textId="77777777" w:rsidR="00772179" w:rsidRDefault="00000000">
      <w:pPr>
        <w:pStyle w:val="pheading"/>
      </w:pPr>
      <w:r>
        <w:t>- code de mesurage:</w:t>
      </w:r>
    </w:p>
    <w:p w14:paraId="54AF1B26" w14:textId="77777777" w:rsidR="00772179" w:rsidRDefault="00000000">
      <w:r>
        <w:t>Surface nette. Les ouvertures inférieures à 1m² ne sont pas déduites.</w:t>
      </w:r>
    </w:p>
    <w:p w14:paraId="5CB162A9" w14:textId="77777777" w:rsidR="00772179" w:rsidRDefault="00000000">
      <w:pPr>
        <w:pStyle w:val="pheading"/>
      </w:pPr>
      <w:r>
        <w:t>- nature du marché:</w:t>
      </w:r>
    </w:p>
    <w:p w14:paraId="1C22CFC7" w14:textId="77777777" w:rsidR="00772179" w:rsidRDefault="00000000">
      <w:r>
        <w:t>QF</w:t>
      </w:r>
    </w:p>
    <w:p w14:paraId="7E89CBB9" w14:textId="77777777" w:rsidR="00772179" w:rsidRDefault="00000000">
      <w:pPr>
        <w:pStyle w:val="Author-eSectionHeading3Numberless"/>
      </w:pPr>
      <w:bookmarkStart w:id="972" w:name="_Toc220490633"/>
      <w:r>
        <w:t>44.2 Etanchéisation aux matières gazeuses CCTB 01.11</w:t>
      </w:r>
      <w:bookmarkEnd w:id="972"/>
    </w:p>
    <w:p w14:paraId="07596E86" w14:textId="77777777" w:rsidR="00772179" w:rsidRDefault="00000000">
      <w:pPr>
        <w:pStyle w:val="pheading"/>
      </w:pPr>
      <w:bookmarkStart w:id="973" w:name="78"/>
      <w:bookmarkEnd w:id="973"/>
      <w:r>
        <w:t>DESCRIPTION</w:t>
      </w:r>
    </w:p>
    <w:p w14:paraId="0CF1B6F7" w14:textId="77777777" w:rsidR="00772179" w:rsidRDefault="00000000">
      <w:pPr>
        <w:pStyle w:val="pheading"/>
      </w:pPr>
      <w:r>
        <w:t>- Définition / Comprend</w:t>
      </w:r>
    </w:p>
    <w:p w14:paraId="3004E29F" w14:textId="77777777" w:rsidR="00772179" w:rsidRDefault="00000000">
      <w:r>
        <w:t>Définitions et principes : voir chap. 32.2 Etanchéisation aux matières gazeuses</w:t>
      </w:r>
    </w:p>
    <w:p w14:paraId="4676ACC7" w14:textId="77777777" w:rsidR="00772179" w:rsidRDefault="00000000">
      <w:pPr>
        <w:pStyle w:val="Author-eSectionHeading3Numberless"/>
      </w:pPr>
      <w:bookmarkStart w:id="974" w:name="_Toc220490634"/>
      <w:r>
        <w:t>44.3 (titre réservé)</w:t>
      </w:r>
      <w:bookmarkEnd w:id="974"/>
    </w:p>
    <w:p w14:paraId="51CF1EEA" w14:textId="77777777" w:rsidR="00772179" w:rsidRDefault="00000000">
      <w:pPr>
        <w:pStyle w:val="Author-eSectionHeading3Numberless"/>
      </w:pPr>
      <w:bookmarkStart w:id="975" w:name="_Toc220490635"/>
      <w:r>
        <w:t>44.4 Isolation CCTB 01.11</w:t>
      </w:r>
      <w:bookmarkEnd w:id="975"/>
    </w:p>
    <w:p w14:paraId="11E1E1EF" w14:textId="77777777" w:rsidR="00772179" w:rsidRDefault="00000000">
      <w:pPr>
        <w:pStyle w:val="pheading"/>
      </w:pPr>
      <w:bookmarkStart w:id="976" w:name="72"/>
      <w:bookmarkEnd w:id="976"/>
      <w:r>
        <w:t>DESCRIPTION</w:t>
      </w:r>
    </w:p>
    <w:p w14:paraId="21A54905" w14:textId="77777777" w:rsidR="00772179" w:rsidRDefault="00000000">
      <w:pPr>
        <w:pStyle w:val="pheading"/>
      </w:pPr>
      <w:r>
        <w:t>- Définition / Comprend</w:t>
      </w:r>
    </w:p>
    <w:p w14:paraId="5CEF0B53" w14:textId="77777777" w:rsidR="00772179" w:rsidRDefault="00000000">
      <w:r>
        <w:t xml:space="preserve">Cet élément et sa descendance concernent la fourniture et la pose d'isolations tant pour des raisons </w:t>
      </w:r>
      <w:r>
        <w:rPr>
          <w:b/>
        </w:rPr>
        <w:t>thermiques</w:t>
      </w:r>
      <w:r>
        <w:t xml:space="preserve"> qu'</w:t>
      </w:r>
      <w:r>
        <w:rPr>
          <w:b/>
        </w:rPr>
        <w:t>acoustiques</w:t>
      </w:r>
      <w:r>
        <w:t>. Ces isolations font faire partie d’un ensemble et avoir d’autres caractéristiques (comportement au feu, …) telles que le précise la sous-rubrique « remarques importantes », ci-dessous.</w:t>
      </w:r>
    </w:p>
    <w:p w14:paraId="59924611" w14:textId="77777777" w:rsidR="00772179" w:rsidRDefault="00000000">
      <w:r>
        <w:t>Les travaux d'isolation sont prescrits au sein de tomes spécifiques suivant leur application. Le présent titre concerne les isolants à l'extérieur par rapport à la structure portante et qui ne sont pas repris dans les tomes 1 à 3 (derrière bardage, en faux-plafond extérieur...)</w:t>
      </w:r>
    </w:p>
    <w:p w14:paraId="5B96EEFD" w14:textId="77777777" w:rsidR="00772179" w:rsidRDefault="00000000">
      <w:r>
        <w:t>Dès lors, pour les isolants rendus inaccessibles par les travaux prescrits dans un autre tome, il y a lieu de consulter le tome concerné, à savoir :</w:t>
      </w:r>
    </w:p>
    <w:p w14:paraId="485B4091" w14:textId="77777777" w:rsidR="00772179" w:rsidRDefault="00000000">
      <w:pPr>
        <w:pStyle w:val="Author-eListParagraph"/>
        <w:numPr>
          <w:ilvl w:val="0"/>
          <w:numId w:val="1136"/>
        </w:numPr>
      </w:pPr>
      <w:r>
        <w:rPr>
          <w:u w:val="single"/>
        </w:rPr>
        <w:t>1 T1 Terrassements / fondations (15.4 Isolation)</w:t>
      </w:r>
      <w:r>
        <w:t xml:space="preserve"> : les isolants sous dalles de sol ainsi que les isolants sous fondation ou latéralement entre fondation et terre.</w:t>
      </w:r>
    </w:p>
    <w:p w14:paraId="6FC8E0A7" w14:textId="77777777" w:rsidR="00772179" w:rsidRDefault="00000000">
      <w:pPr>
        <w:pStyle w:val="Author-eListParagraph"/>
        <w:numPr>
          <w:ilvl w:val="0"/>
          <w:numId w:val="1136"/>
        </w:numPr>
      </w:pPr>
      <w:r>
        <w:rPr>
          <w:u w:val="single"/>
        </w:rPr>
        <w:t>2 T2 Superstructures (26.4 Isolation)</w:t>
      </w:r>
      <w:r>
        <w:t xml:space="preserve"> : les isolants qui sont rendus inaccessibles par des travaux prescrits dans le 2 T2 Superstructures (entre 2 dalles, derrière un parement maçonné...) ainsi que les isolants entre les éléments de structure et la terre.</w:t>
      </w:r>
    </w:p>
    <w:p w14:paraId="085F48AE" w14:textId="77777777" w:rsidR="00772179" w:rsidRDefault="00000000">
      <w:pPr>
        <w:pStyle w:val="Author-eListParagraph"/>
        <w:numPr>
          <w:ilvl w:val="0"/>
          <w:numId w:val="1136"/>
        </w:numPr>
      </w:pPr>
      <w:r>
        <w:rPr>
          <w:u w:val="single"/>
        </w:rPr>
        <w:t>3 T3 Travaux de toiture (32.4 Isolation)</w:t>
      </w:r>
      <w:r>
        <w:t xml:space="preserve"> : les isolants qui sont rendus inaccessibles par des travaux prescrits dans le 3 T3 Travaux de toiture (entre structure et étanchéité de toiture...)</w:t>
      </w:r>
    </w:p>
    <w:p w14:paraId="4A73DECD" w14:textId="77777777" w:rsidR="00772179" w:rsidRDefault="00000000">
      <w:pPr>
        <w:pStyle w:val="Author-eListParagraph"/>
        <w:numPr>
          <w:ilvl w:val="0"/>
          <w:numId w:val="1136"/>
        </w:numPr>
      </w:pPr>
      <w:r>
        <w:rPr>
          <w:u w:val="single"/>
        </w:rPr>
        <w:t>5 T5 Fermetures / Finitions intérieures (52.4 Isolation)</w:t>
      </w:r>
      <w:r>
        <w:t xml:space="preserve"> : les isolants à l'intérieur par rapport à la structure portante et qui ne sont pas repris dans les tomes 1 à 3 (sous chape, isolation par l'intérieur, isolation dans l'épaisseur de la toiture, en cloisons, en faux-plafonds...)</w:t>
      </w:r>
    </w:p>
    <w:p w14:paraId="5A374306" w14:textId="77777777" w:rsidR="00772179" w:rsidRDefault="00000000">
      <w:r>
        <w:t>Les prescriptions des isolants sont structurées dans le CCTB comme suit :</w:t>
      </w:r>
    </w:p>
    <w:p w14:paraId="1513343E" w14:textId="77777777" w:rsidR="00772179" w:rsidRDefault="00000000">
      <w:pPr>
        <w:pStyle w:val="Author-eListParagraph"/>
        <w:numPr>
          <w:ilvl w:val="0"/>
          <w:numId w:val="1137"/>
        </w:numPr>
      </w:pPr>
      <w:r>
        <w:rPr>
          <w:u w:val="single"/>
        </w:rPr>
        <w:t>XX.41. Isolation en panneaux</w:t>
      </w:r>
      <w:r>
        <w:t> : matériau se présentant sous forme de panneaux</w:t>
      </w:r>
    </w:p>
    <w:p w14:paraId="1CC7FA0E" w14:textId="77777777" w:rsidR="00772179" w:rsidRDefault="00000000">
      <w:pPr>
        <w:pStyle w:val="Author-eListParagraph"/>
        <w:numPr>
          <w:ilvl w:val="0"/>
          <w:numId w:val="1137"/>
        </w:numPr>
      </w:pPr>
      <w:r>
        <w:rPr>
          <w:u w:val="single"/>
        </w:rPr>
        <w:t>XX.42 Isolation en rouleaux/matelas</w:t>
      </w:r>
      <w:r>
        <w:t> : matériau se présentant sous forme de rouleaux ou matelas présentant plus de souplesse que des panneaux rigides</w:t>
      </w:r>
    </w:p>
    <w:p w14:paraId="3ED0A229" w14:textId="77777777" w:rsidR="00772179" w:rsidRDefault="00000000">
      <w:pPr>
        <w:pStyle w:val="Author-eListParagraph"/>
        <w:numPr>
          <w:ilvl w:val="0"/>
          <w:numId w:val="1137"/>
        </w:numPr>
      </w:pPr>
      <w:r>
        <w:rPr>
          <w:u w:val="single"/>
        </w:rPr>
        <w:lastRenderedPageBreak/>
        <w:t>XX.43 Isolation à projeter</w:t>
      </w:r>
      <w:r>
        <w:t> : isolant projeté sous forme de liquide collant (ou particules amalgamées à l’aide d’un agent liquide/colle) sur des parois ou dans des caissons (verticaux également) ouverts</w:t>
      </w:r>
    </w:p>
    <w:p w14:paraId="64E9C5C6" w14:textId="77777777" w:rsidR="00772179" w:rsidRDefault="00000000">
      <w:pPr>
        <w:pStyle w:val="Author-eListParagraph"/>
        <w:numPr>
          <w:ilvl w:val="0"/>
          <w:numId w:val="1137"/>
        </w:numPr>
      </w:pPr>
      <w:r>
        <w:rPr>
          <w:u w:val="single"/>
        </w:rPr>
        <w:t>XX.44 Isolation à souffler</w:t>
      </w:r>
      <w:r>
        <w:t> : isolant sous forme de particules principalement, insufflé dans des caissons fermés (parois de caissons rigides ou souples pour certaines (cas des membranes freine-vapeur))</w:t>
      </w:r>
    </w:p>
    <w:p w14:paraId="775536AF" w14:textId="77777777" w:rsidR="00772179" w:rsidRDefault="00000000">
      <w:pPr>
        <w:pStyle w:val="Author-eListParagraph"/>
        <w:numPr>
          <w:ilvl w:val="0"/>
          <w:numId w:val="1137"/>
        </w:numPr>
      </w:pPr>
      <w:r>
        <w:rPr>
          <w:u w:val="single"/>
        </w:rPr>
        <w:t>XX.45 Isolation à injecter</w:t>
      </w:r>
      <w:r>
        <w:t>  : isolant injecté dans une lame d’air assez étroite (isolant injectés sous pression dans les lames d’air de murs creux)</w:t>
      </w:r>
    </w:p>
    <w:p w14:paraId="1B1FDE26" w14:textId="77777777" w:rsidR="00772179" w:rsidRDefault="00000000">
      <w:pPr>
        <w:pStyle w:val="Author-eListParagraph"/>
        <w:numPr>
          <w:ilvl w:val="0"/>
          <w:numId w:val="1137"/>
        </w:numPr>
      </w:pPr>
      <w:r>
        <w:rPr>
          <w:u w:val="single"/>
        </w:rPr>
        <w:t>XX.46 Isolation à verser en vrac</w:t>
      </w:r>
      <w:r>
        <w:t>  : isolants placés sans mise sous pression dans des caissons ouverts ou directement sur une surface plane, indistinctement qu’ils soient déversés sur place à partir de sacs de transport ou par soufflage.</w:t>
      </w:r>
    </w:p>
    <w:p w14:paraId="309A13F9" w14:textId="77777777" w:rsidR="00772179" w:rsidRDefault="00000000">
      <w:pPr>
        <w:pStyle w:val="Author-eListParagraph"/>
        <w:numPr>
          <w:ilvl w:val="0"/>
          <w:numId w:val="1137"/>
        </w:numPr>
      </w:pPr>
      <w:r>
        <w:rPr>
          <w:u w:val="single"/>
        </w:rPr>
        <w:t>XX.47 Isolation en blocs</w:t>
      </w:r>
      <w:r>
        <w:t> : cas particuliers des isolants en blocs non-porteurs assemblés à joints secs ou maçonnés.</w:t>
      </w:r>
    </w:p>
    <w:p w14:paraId="21FD0BD4" w14:textId="77777777" w:rsidR="00772179" w:rsidRDefault="00772179"/>
    <w:p w14:paraId="03BB8BBA" w14:textId="77777777" w:rsidR="00772179" w:rsidRDefault="00000000">
      <w:pPr>
        <w:pStyle w:val="pheading"/>
      </w:pPr>
      <w:r>
        <w:t>- Remarques importantes</w:t>
      </w:r>
    </w:p>
    <w:p w14:paraId="4CEC0B87" w14:textId="77777777" w:rsidR="00772179" w:rsidRDefault="00000000">
      <w:r>
        <w:rPr>
          <w:b/>
        </w:rPr>
        <w:t>Performance thermique</w:t>
      </w:r>
      <w:r>
        <w:t xml:space="preserve"> : Une fois les matériaux mis en œuvre, la résistance thermique globale des parois concernées satisfait aux exigences de la réglementation PEB – voir § 00.5 Terminologie</w:t>
      </w:r>
    </w:p>
    <w:p w14:paraId="16831349" w14:textId="77777777" w:rsidR="00772179" w:rsidRDefault="00000000">
      <w:pPr>
        <w:pStyle w:val="pheading"/>
      </w:pPr>
      <w:r>
        <w:t>MATÉRIAUX</w:t>
      </w:r>
    </w:p>
    <w:p w14:paraId="3D8797CF" w14:textId="77777777" w:rsidR="00772179" w:rsidRDefault="00000000">
      <w:r>
        <w:t>L'entrepreneur est libre de choisir les dimensions qui lui paraissent les plus favorables pour autant que des raccordements impeccables soient toujours garantis.</w:t>
      </w:r>
    </w:p>
    <w:p w14:paraId="15D7B432" w14:textId="77777777" w:rsidR="00772179" w:rsidRDefault="00000000">
      <w:r>
        <w:t>Avant leur mise en œuvre, les isolants sont stockés dans un endroit sec sur le chantier. Ils sont posés uniquement par temps sec et sur un support sec. Les isolants mouillés sont éliminés, s’ils sont sensibles à l’humidité. </w:t>
      </w:r>
    </w:p>
    <w:p w14:paraId="0F28AD65" w14:textId="77777777" w:rsidR="00772179" w:rsidRDefault="00000000">
      <w:pPr>
        <w:pStyle w:val="pheading"/>
      </w:pPr>
      <w:r>
        <w:t>DOCUMENTS DE RÉFÉRENCE</w:t>
      </w:r>
    </w:p>
    <w:p w14:paraId="2690BD41" w14:textId="77777777" w:rsidR="00772179" w:rsidRDefault="00000000">
      <w:pPr>
        <w:pStyle w:val="pheading"/>
      </w:pPr>
      <w:r>
        <w:t>- Matériau</w:t>
      </w:r>
    </w:p>
    <w:p w14:paraId="19B93DFB" w14:textId="77777777" w:rsidR="00772179" w:rsidRDefault="00000000">
      <w:r>
        <w:t>32.4 Isolation</w:t>
      </w:r>
    </w:p>
    <w:p w14:paraId="728B9814" w14:textId="77777777" w:rsidR="00772179" w:rsidRDefault="00000000">
      <w:pPr>
        <w:pStyle w:val="pheading"/>
      </w:pPr>
      <w:r>
        <w:t>- Exécution</w:t>
      </w:r>
    </w:p>
    <w:p w14:paraId="7056258F" w14:textId="77777777" w:rsidR="00772179" w:rsidRDefault="00000000">
      <w:r>
        <w:t>32.4 Isolation</w:t>
      </w:r>
    </w:p>
    <w:p w14:paraId="33EBC72D" w14:textId="77777777" w:rsidR="00772179" w:rsidRDefault="00000000">
      <w:pPr>
        <w:pStyle w:val="Author-eSectionHeading4Numberless"/>
      </w:pPr>
      <w:bookmarkStart w:id="977" w:name="_Toc220490636"/>
      <w:r>
        <w:t>44.41 Isolation en panneaux CCTB 01.02</w:t>
      </w:r>
      <w:bookmarkEnd w:id="977"/>
    </w:p>
    <w:p w14:paraId="7744D64C" w14:textId="77777777" w:rsidR="00772179" w:rsidRDefault="00000000">
      <w:pPr>
        <w:pStyle w:val="pheading"/>
      </w:pPr>
      <w:bookmarkStart w:id="978" w:name="997"/>
      <w:bookmarkEnd w:id="978"/>
      <w:r>
        <w:t>DESCRIPTION</w:t>
      </w:r>
    </w:p>
    <w:p w14:paraId="26DE105B" w14:textId="77777777" w:rsidR="00772179" w:rsidRDefault="00000000">
      <w:pPr>
        <w:pStyle w:val="pheading"/>
      </w:pPr>
      <w:r>
        <w:t>- Remarques importantes</w:t>
      </w:r>
    </w:p>
    <w:p w14:paraId="30263885" w14:textId="77777777" w:rsidR="00772179" w:rsidRDefault="00000000">
      <w:r>
        <w:t>Voir article 32.41 Isolation en panneaux</w:t>
      </w:r>
    </w:p>
    <w:p w14:paraId="45530867" w14:textId="77777777" w:rsidR="00772179" w:rsidRDefault="00000000">
      <w:pPr>
        <w:pStyle w:val="pheading"/>
      </w:pPr>
      <w:r>
        <w:t>MATÉRIAUX</w:t>
      </w:r>
    </w:p>
    <w:p w14:paraId="1D763934" w14:textId="77777777" w:rsidR="00772179" w:rsidRDefault="00000000">
      <w:r>
        <w:t>Voir article 32.41 Isolation en panneaux</w:t>
      </w:r>
    </w:p>
    <w:p w14:paraId="5B7D34F0" w14:textId="77777777" w:rsidR="00772179" w:rsidRDefault="00000000">
      <w:pPr>
        <w:pStyle w:val="pheading"/>
      </w:pPr>
      <w:r>
        <w:t>EXÉCUTION / MISE EN ŒUVRE</w:t>
      </w:r>
    </w:p>
    <w:p w14:paraId="6D64CC1A" w14:textId="77777777" w:rsidR="00772179" w:rsidRDefault="00000000">
      <w:r>
        <w:t>Voir article 32.41 Isolation en panneaux</w:t>
      </w:r>
    </w:p>
    <w:p w14:paraId="4EF6F762" w14:textId="77777777" w:rsidR="00772179" w:rsidRDefault="00000000">
      <w:pPr>
        <w:pStyle w:val="pheading"/>
      </w:pPr>
      <w:r>
        <w:t>DOCUMENTS DE RÉFÉRENCE</w:t>
      </w:r>
    </w:p>
    <w:p w14:paraId="737D40D7" w14:textId="77777777" w:rsidR="00772179" w:rsidRDefault="00000000">
      <w:pPr>
        <w:pStyle w:val="pheading"/>
      </w:pPr>
      <w:r>
        <w:t>- Matériau</w:t>
      </w:r>
    </w:p>
    <w:p w14:paraId="272D7AEF" w14:textId="77777777" w:rsidR="00772179" w:rsidRDefault="00000000">
      <w:r>
        <w:t>32.41 Isolation en panneaux</w:t>
      </w:r>
    </w:p>
    <w:p w14:paraId="16D1DBFF" w14:textId="77777777" w:rsidR="00772179" w:rsidRDefault="00000000">
      <w:pPr>
        <w:pStyle w:val="pheading"/>
      </w:pPr>
      <w:r>
        <w:t>- Exécution</w:t>
      </w:r>
    </w:p>
    <w:p w14:paraId="0BF18FD2" w14:textId="77777777" w:rsidR="00772179" w:rsidRDefault="00000000">
      <w:r>
        <w:t>32.41 Isolation en panneaux</w:t>
      </w:r>
    </w:p>
    <w:p w14:paraId="4D271805" w14:textId="77777777" w:rsidR="00772179" w:rsidRDefault="00000000">
      <w:pPr>
        <w:pStyle w:val="Author-eSectionHeading5Numberless"/>
      </w:pPr>
      <w:bookmarkStart w:id="979" w:name="_Toc220490637"/>
      <w:r>
        <w:t>44.41.1 Isolation en panneaux - matières synthétiques CCTB 01.02</w:t>
      </w:r>
      <w:bookmarkEnd w:id="979"/>
    </w:p>
    <w:p w14:paraId="6FD16283" w14:textId="77777777" w:rsidR="00772179" w:rsidRDefault="00000000">
      <w:pPr>
        <w:pStyle w:val="Author-eSectionHeading6Numberless"/>
      </w:pPr>
      <w:bookmarkStart w:id="980" w:name="_Toc220490638"/>
      <w:r>
        <w:lastRenderedPageBreak/>
        <w:t>44.41.1a Isolation en panneaux - polystyrène extrudé (XPS) CCTB 01.02</w:t>
      </w:r>
      <w:bookmarkEnd w:id="980"/>
    </w:p>
    <w:p w14:paraId="4EBD2E9B" w14:textId="77777777" w:rsidR="00772179" w:rsidRDefault="00000000">
      <w:pPr>
        <w:pStyle w:val="pheading"/>
      </w:pPr>
      <w:r>
        <w:t>MATÉRIAUX</w:t>
      </w:r>
    </w:p>
    <w:p w14:paraId="4AB1C341" w14:textId="77777777" w:rsidR="00772179" w:rsidRDefault="00000000">
      <w:pPr>
        <w:pStyle w:val="pheading"/>
      </w:pPr>
      <w:r>
        <w:t>- Caractéristiques générales</w:t>
      </w:r>
    </w:p>
    <w:p w14:paraId="209C7160" w14:textId="77777777" w:rsidR="00772179" w:rsidRDefault="00000000">
      <w:r>
        <w:t>Voir caractéristiques générales décrites au § 32.41.1a Isolation en panneaux - polystyrène extrudé (XPS)</w:t>
      </w:r>
    </w:p>
    <w:p w14:paraId="2CB644C5" w14:textId="77777777" w:rsidR="00772179" w:rsidRDefault="00000000">
      <w:pPr>
        <w:pStyle w:val="Author-eSectionHeading6Numberless"/>
      </w:pPr>
      <w:bookmarkStart w:id="981" w:name="_Toc220490639"/>
      <w:r>
        <w:t>44.41.1b Isolation en panneaux - polystyrène expansé (EPS / EPS HD) CCTB 01.10</w:t>
      </w:r>
      <w:bookmarkEnd w:id="981"/>
    </w:p>
    <w:p w14:paraId="67790BB0" w14:textId="77777777" w:rsidR="00772179" w:rsidRDefault="00000000">
      <w:pPr>
        <w:pStyle w:val="pheading"/>
      </w:pPr>
      <w:r>
        <w:t>MATÉRIAUX</w:t>
      </w:r>
    </w:p>
    <w:p w14:paraId="29C23BC6" w14:textId="77777777" w:rsidR="00772179" w:rsidRDefault="00000000">
      <w:pPr>
        <w:pStyle w:val="pheading"/>
      </w:pPr>
      <w:r>
        <w:t>- Caractéristiques générales</w:t>
      </w:r>
    </w:p>
    <w:p w14:paraId="1B7BF6CB" w14:textId="77777777" w:rsidR="00772179" w:rsidRDefault="00000000">
      <w:r>
        <w:t>Voir caractéristiques générales décrites au § 32.41.1b Isolation en panneaux - polystyrène expansé (EPS)</w:t>
      </w:r>
    </w:p>
    <w:p w14:paraId="7DB797BE" w14:textId="77777777" w:rsidR="00772179" w:rsidRDefault="00000000">
      <w:pPr>
        <w:pStyle w:val="Author-eSectionHeading6Numberless"/>
      </w:pPr>
      <w:bookmarkStart w:id="982" w:name="_Toc220490640"/>
      <w:r>
        <w:t>44.41.1c Isolation en panneaux - polystyrène expansé additionné de graphite/carbone CCTB 01.10</w:t>
      </w:r>
      <w:bookmarkEnd w:id="982"/>
    </w:p>
    <w:p w14:paraId="0745579A" w14:textId="77777777" w:rsidR="00772179" w:rsidRDefault="00000000">
      <w:pPr>
        <w:pStyle w:val="pheading"/>
      </w:pPr>
      <w:r>
        <w:t>MATÉRIAUX</w:t>
      </w:r>
    </w:p>
    <w:p w14:paraId="0A3E60ED" w14:textId="77777777" w:rsidR="00772179" w:rsidRDefault="00000000">
      <w:pPr>
        <w:pStyle w:val="pheading"/>
      </w:pPr>
      <w:r>
        <w:t>- Caractéristiques générales</w:t>
      </w:r>
    </w:p>
    <w:p w14:paraId="16191D7F" w14:textId="77777777" w:rsidR="00772179" w:rsidRDefault="00000000">
      <w:r>
        <w:t>Voir caractéristiques générales décrites au § 32.41.1c-polystyrène expansé additionné de graphite/carbone</w:t>
      </w:r>
    </w:p>
    <w:p w14:paraId="5C8D49DB" w14:textId="77777777" w:rsidR="00772179" w:rsidRDefault="00000000">
      <w:pPr>
        <w:pStyle w:val="Author-eSectionHeading6Numberless"/>
      </w:pPr>
      <w:bookmarkStart w:id="983" w:name="_Toc220490641"/>
      <w:r>
        <w:t>44.41.1d Isolation en panneaux - polyuréthane (PUR) CCTB 01.02</w:t>
      </w:r>
      <w:bookmarkEnd w:id="983"/>
    </w:p>
    <w:p w14:paraId="335743A8" w14:textId="77777777" w:rsidR="00772179" w:rsidRDefault="00000000">
      <w:pPr>
        <w:pStyle w:val="pheading"/>
      </w:pPr>
      <w:r>
        <w:t>MATÉRIAUX</w:t>
      </w:r>
    </w:p>
    <w:p w14:paraId="35CB497E" w14:textId="77777777" w:rsidR="00772179" w:rsidRDefault="00000000">
      <w:pPr>
        <w:pStyle w:val="pheading"/>
      </w:pPr>
      <w:r>
        <w:t>- Caractéristiques générales</w:t>
      </w:r>
    </w:p>
    <w:p w14:paraId="52CF28DC" w14:textId="77777777" w:rsidR="00772179" w:rsidRDefault="00000000">
      <w:r>
        <w:t>Voir caractéristiques générales décrites au § 32.41.1d Isolation en panneaux - polyuréthane (PUR)</w:t>
      </w:r>
    </w:p>
    <w:p w14:paraId="705F61B3" w14:textId="77777777" w:rsidR="00772179" w:rsidRDefault="00000000">
      <w:pPr>
        <w:pStyle w:val="Author-eSectionHeading6Numberless"/>
      </w:pPr>
      <w:bookmarkStart w:id="984" w:name="_Toc220490642"/>
      <w:r>
        <w:t>44.41.1e Isolation en panneaux - polyisocyanurate (PIR) CCTB 01.04</w:t>
      </w:r>
      <w:bookmarkEnd w:id="984"/>
    </w:p>
    <w:p w14:paraId="163411CE" w14:textId="77777777" w:rsidR="00772179" w:rsidRDefault="00000000">
      <w:pPr>
        <w:pStyle w:val="pheading"/>
      </w:pPr>
      <w:r>
        <w:t>MATÉRIAUX</w:t>
      </w:r>
    </w:p>
    <w:p w14:paraId="669BD663" w14:textId="77777777" w:rsidR="00772179" w:rsidRDefault="00000000">
      <w:pPr>
        <w:pStyle w:val="pheading"/>
      </w:pPr>
      <w:r>
        <w:t>- Caractéristiques générales</w:t>
      </w:r>
    </w:p>
    <w:p w14:paraId="037C89E8" w14:textId="77777777" w:rsidR="00772179" w:rsidRDefault="00000000">
      <w:r>
        <w:t>Voir caractéristiques générales décrites au § 32.41.1e Isolation en panneaux - polyisocyanurate (PIR)</w:t>
      </w:r>
    </w:p>
    <w:p w14:paraId="5BC33902" w14:textId="77777777" w:rsidR="00772179" w:rsidRDefault="00000000">
      <w:pPr>
        <w:pStyle w:val="Author-eSectionHeading6Numberless"/>
      </w:pPr>
      <w:bookmarkStart w:id="985" w:name="_Toc220490643"/>
      <w:r>
        <w:t>44.41.1f Isolation en panneaux - mousse phénolique (PF) CCTB 01.02</w:t>
      </w:r>
      <w:bookmarkEnd w:id="985"/>
    </w:p>
    <w:p w14:paraId="6B6EF69D" w14:textId="77777777" w:rsidR="00772179" w:rsidRDefault="00000000">
      <w:pPr>
        <w:pStyle w:val="pheading"/>
      </w:pPr>
      <w:r>
        <w:t>MATÉRIAUX</w:t>
      </w:r>
    </w:p>
    <w:p w14:paraId="1AF7CCAA" w14:textId="77777777" w:rsidR="00772179" w:rsidRDefault="00000000">
      <w:pPr>
        <w:pStyle w:val="pheading"/>
      </w:pPr>
      <w:r>
        <w:t>- Caractéristiques générales</w:t>
      </w:r>
    </w:p>
    <w:p w14:paraId="2F735154" w14:textId="77777777" w:rsidR="00772179" w:rsidRDefault="00000000">
      <w:r>
        <w:t>Voir caractéristiques générales décrites au § 32.41.1f Isolation en panneaux - mousse phénolique (PF)</w:t>
      </w:r>
    </w:p>
    <w:p w14:paraId="7603C680" w14:textId="77777777" w:rsidR="00772179" w:rsidRDefault="00000000">
      <w:pPr>
        <w:pStyle w:val="Author-eSectionHeading6Numberless"/>
      </w:pPr>
      <w:bookmarkStart w:id="986" w:name="_Toc220490644"/>
      <w:r>
        <w:t>44.41.1g (titre réservé) CCTB 01.02</w:t>
      </w:r>
      <w:bookmarkEnd w:id="986"/>
    </w:p>
    <w:p w14:paraId="09E3052E" w14:textId="77777777" w:rsidR="00772179" w:rsidRDefault="00000000">
      <w:pPr>
        <w:pStyle w:val="Author-eSectionHeading5Numberless"/>
      </w:pPr>
      <w:bookmarkStart w:id="987" w:name="_Toc220490645"/>
      <w:r>
        <w:t>44.41.2 Isolation en panneaux - matières minérales CCTB 01.02</w:t>
      </w:r>
      <w:bookmarkEnd w:id="987"/>
    </w:p>
    <w:p w14:paraId="654A5FBE" w14:textId="77777777" w:rsidR="00772179" w:rsidRDefault="00000000">
      <w:pPr>
        <w:pStyle w:val="Author-eSectionHeading6Numberless"/>
      </w:pPr>
      <w:bookmarkStart w:id="988" w:name="_Toc220490646"/>
      <w:r>
        <w:t>44.41.2a Isolation en panneaux - laine minérale (MW) CCTB 01.11</w:t>
      </w:r>
      <w:bookmarkEnd w:id="988"/>
    </w:p>
    <w:p w14:paraId="7147F867" w14:textId="77777777" w:rsidR="00772179" w:rsidRDefault="00000000">
      <w:pPr>
        <w:pStyle w:val="pheading"/>
      </w:pPr>
      <w:r>
        <w:t>DESCRIPTION</w:t>
      </w:r>
    </w:p>
    <w:p w14:paraId="71117556" w14:textId="77777777" w:rsidR="00772179" w:rsidRDefault="00000000">
      <w:pPr>
        <w:pStyle w:val="pheading"/>
      </w:pPr>
      <w:r>
        <w:t>- Définition / Comprend</w:t>
      </w:r>
    </w:p>
    <w:p w14:paraId="45CF5010" w14:textId="77777777" w:rsidR="00772179" w:rsidRDefault="00000000">
      <w:pPr>
        <w:jc w:val="both"/>
      </w:pPr>
      <w:r>
        <w:t>Il s’agit de la fourniture et de la pose d’une isolation thermique au moyen de panneaux de laine minérale en application horizontale ou verticale pour façade.</w:t>
      </w:r>
    </w:p>
    <w:p w14:paraId="3D3F5E57" w14:textId="77777777" w:rsidR="00772179" w:rsidRDefault="00000000">
      <w:pPr>
        <w:jc w:val="both"/>
      </w:pPr>
      <w:r>
        <w:t>La laine minérale est obtenue par fusion de verre ou de roche diabase (laine de verre / laine de roche) sous forme de panneaux durs, dont les fibres sont liées par imprégnation par des résines polymérisées ou tout autre liant végétal, synthétique ou minéral.</w:t>
      </w:r>
    </w:p>
    <w:p w14:paraId="4312F1FE" w14:textId="77777777" w:rsidR="00772179" w:rsidRDefault="00000000">
      <w:pPr>
        <w:pStyle w:val="pheading"/>
      </w:pPr>
      <w:r>
        <w:lastRenderedPageBreak/>
        <w:t>MATÉRIAUX</w:t>
      </w:r>
    </w:p>
    <w:p w14:paraId="48DA7491" w14:textId="77777777" w:rsidR="00772179" w:rsidRDefault="00000000">
      <w:pPr>
        <w:pStyle w:val="pheading"/>
      </w:pPr>
      <w:r>
        <w:t>- Caractéristiques générales</w:t>
      </w:r>
    </w:p>
    <w:p w14:paraId="7FB6A99A" w14:textId="77777777" w:rsidR="00772179" w:rsidRDefault="00000000">
      <w:r>
        <w:t>Voir 32.41.2a Isolation en panneaux - laine minérale (MW)</w:t>
      </w:r>
      <w:r>
        <w:br/>
        <w:t>L’isolation de type Laine minérale (MW) est conforme aux exigences de dimensions et de stabilité dimensionnelle décrites dans la norme [NBN EN 13162+A1].</w:t>
      </w:r>
      <w:r>
        <w:br/>
        <w:t xml:space="preserve">Dimension des panneaux : </w:t>
      </w:r>
      <w:r>
        <w:rPr>
          <w:rStyle w:val="optioncarChar"/>
        </w:rPr>
        <w:t xml:space="preserve">600 x 1200 </w:t>
      </w:r>
      <w:r>
        <w:t>(par défaut)</w:t>
      </w:r>
      <w:r>
        <w:rPr>
          <w:rStyle w:val="optioncarChar"/>
        </w:rPr>
        <w:t xml:space="preserve"> / 1200 x 1000 / 600 x 2000 / ***</w:t>
      </w:r>
      <w:r>
        <w:t> mm</w:t>
      </w:r>
      <w:r>
        <w:br/>
        <w:t>Epaisseur totale de l’isolation :</w:t>
      </w:r>
      <w:r>
        <w:rPr>
          <w:rStyle w:val="optioncarChar"/>
        </w:rPr>
        <w:t xml:space="preserve"> ***</w:t>
      </w:r>
      <w:r>
        <w:t> mm</w:t>
      </w:r>
      <w:r>
        <w:br/>
        <w:t xml:space="preserve">Les panneaux sont disposés en </w:t>
      </w:r>
      <w:r>
        <w:rPr>
          <w:rStyle w:val="optioncarChar"/>
        </w:rPr>
        <w:t xml:space="preserve">1 </w:t>
      </w:r>
      <w:r>
        <w:t>(par défaut)</w:t>
      </w:r>
      <w:r>
        <w:rPr>
          <w:rStyle w:val="optioncarChar"/>
        </w:rPr>
        <w:t xml:space="preserve"> / ***</w:t>
      </w:r>
      <w:r>
        <w:t> couches</w:t>
      </w:r>
      <w:r>
        <w:br/>
        <w:t xml:space="preserve">Conductivité thermique (selon [NBN EN 12667] ou selon [NBN EN 12939] pour les produits épais) : valeur  λ ≤ </w:t>
      </w:r>
      <w:r>
        <w:rPr>
          <w:rStyle w:val="optioncarChar"/>
        </w:rPr>
        <w:t>0.044 </w:t>
      </w:r>
      <w:r>
        <w:t>(par défaut)</w:t>
      </w:r>
      <w:r>
        <w:rPr>
          <w:rStyle w:val="optioncarChar"/>
        </w:rPr>
        <w:t xml:space="preserve"> / *** </w:t>
      </w:r>
      <w:r>
        <w:t>W/mK</w:t>
      </w:r>
      <w:r>
        <w:br/>
        <w:t xml:space="preserve">Masse volumique nominale (selon [NBN EN ISO 29470]) : ≥ </w:t>
      </w:r>
      <w:r>
        <w:rPr>
          <w:rStyle w:val="optioncarChar"/>
        </w:rPr>
        <w:t xml:space="preserve"> 40</w:t>
      </w:r>
      <w:r>
        <w:t xml:space="preserve"> (par défaut) </w:t>
      </w:r>
      <w:r>
        <w:rPr>
          <w:rStyle w:val="optioncarChar"/>
        </w:rPr>
        <w:t>/ ***</w:t>
      </w:r>
      <w:r>
        <w:t> kg/m³</w:t>
      </w:r>
      <w:r>
        <w:br/>
        <w:t>Le produit d’isolation en panneaux de laine de roche ainsi que sa mise en œuvre  respectent les prescriptions prévues par la déclaration d’aptitude à l’utilisation tels que définis au chapitre 02.42.1 Critères d'acceptabilité</w:t>
      </w:r>
    </w:p>
    <w:p w14:paraId="1D956B5D" w14:textId="77777777" w:rsidR="00772179" w:rsidRDefault="00000000">
      <w:pPr>
        <w:pStyle w:val="pheading"/>
      </w:pPr>
      <w:r>
        <w:t>- Finitions</w:t>
      </w:r>
    </w:p>
    <w:p w14:paraId="0844905A" w14:textId="77777777" w:rsidR="00772179" w:rsidRDefault="00000000">
      <w:pPr>
        <w:jc w:val="both"/>
      </w:pPr>
      <w:r>
        <w:t>Le surfaçage des panneaux est de type :</w:t>
      </w:r>
      <w:r>
        <w:rPr>
          <w:rStyle w:val="optioncarChar"/>
        </w:rPr>
        <w:t xml:space="preserve"> nu </w:t>
      </w:r>
      <w:r>
        <w:t>(par défaut)</w:t>
      </w:r>
      <w:r>
        <w:rPr>
          <w:rStyle w:val="optioncarChar"/>
        </w:rPr>
        <w:t xml:space="preserve"> / bitumineux / fibres de verre / armature synthétique / papier kraft / feuille d’aluminium / *** </w:t>
      </w:r>
      <w:r>
        <w:t xml:space="preserve">et est présent sur </w:t>
      </w:r>
      <w:r>
        <w:rPr>
          <w:rStyle w:val="optioncarChar"/>
        </w:rPr>
        <w:t xml:space="preserve">aucun côté </w:t>
      </w:r>
      <w:r>
        <w:t>(par défaut)</w:t>
      </w:r>
      <w:r>
        <w:rPr>
          <w:rStyle w:val="optioncarChar"/>
        </w:rPr>
        <w:t xml:space="preserve"> / un côté / les deux côtés </w:t>
      </w:r>
      <w:r>
        <w:t>du panneau</w:t>
      </w:r>
      <w:r>
        <w:rPr>
          <w:rStyle w:val="optioncarChar"/>
        </w:rPr>
        <w:t>.</w:t>
      </w:r>
    </w:p>
    <w:p w14:paraId="49627DB3" w14:textId="77777777" w:rsidR="00772179" w:rsidRDefault="00000000">
      <w:pPr>
        <w:pStyle w:val="pheading"/>
      </w:pPr>
      <w:r>
        <w:t>- Prescriptions complémentaires</w:t>
      </w:r>
    </w:p>
    <w:p w14:paraId="627D0DEC" w14:textId="77777777" w:rsidR="00772179" w:rsidRDefault="00000000">
      <w:r>
        <w:t>L’équerrage de la longueur et de la largeur selon [NBN EN 824]</w:t>
      </w:r>
      <w:r>
        <w:rPr>
          <w:color w:val="3366FF"/>
        </w:rPr>
        <w:t> </w:t>
      </w:r>
      <w:r>
        <w:t>est de ≤ 5 mm/m.</w:t>
      </w:r>
      <w:r>
        <w:br/>
        <w:t>L’écart de planéité des panneaux et plaques selon [NBN EN 825]</w:t>
      </w:r>
      <w:r>
        <w:rPr>
          <w:color w:val="3366FF"/>
        </w:rPr>
        <w:t> </w:t>
      </w:r>
      <w:r>
        <w:t>est de ≤ 6 mm.</w:t>
      </w:r>
      <w:r>
        <w:br/>
        <w:t>Réaction au feu selon</w:t>
      </w:r>
      <w:r>
        <w:rPr>
          <w:rStyle w:val="facultChar"/>
        </w:rPr>
        <w:t> [NBN EN 13501-1]   :</w:t>
      </w:r>
      <w:r>
        <w:rPr>
          <w:rStyle w:val="optioncarChar"/>
        </w:rPr>
        <w:t xml:space="preserve"> A1 </w:t>
      </w:r>
      <w:r>
        <w:t>(par défaut)</w:t>
      </w:r>
      <w:r>
        <w:rPr>
          <w:rStyle w:val="optioncarChar"/>
        </w:rPr>
        <w:t xml:space="preserve"> / A2 / B / C / D / E / F</w:t>
      </w:r>
      <w:r>
        <w:rPr>
          <w:rStyle w:val="facultChar"/>
        </w:rPr>
        <w:t> </w:t>
      </w:r>
      <w:r>
        <w:t>complétée, le cas échéant par les aspects s1 (par défaut)</w:t>
      </w:r>
      <w:r>
        <w:rPr>
          <w:rStyle w:val="optioncarChar"/>
        </w:rPr>
        <w:t xml:space="preserve"> / s2 / s3</w:t>
      </w:r>
      <w:r>
        <w:rPr>
          <w:rStyle w:val="facultChar"/>
        </w:rPr>
        <w:t> </w:t>
      </w:r>
      <w:r>
        <w:t>et</w:t>
      </w:r>
      <w:r>
        <w:rPr>
          <w:rStyle w:val="facultChar"/>
        </w:rPr>
        <w:t> </w:t>
      </w:r>
      <w:r>
        <w:rPr>
          <w:rStyle w:val="optioncarChar"/>
        </w:rPr>
        <w:t xml:space="preserve">d0 </w:t>
      </w:r>
      <w:r>
        <w:t>(par défaut)</w:t>
      </w:r>
      <w:r>
        <w:rPr>
          <w:rStyle w:val="optioncarChar"/>
        </w:rPr>
        <w:t xml:space="preserve"> / d1 / d2</w:t>
      </w:r>
      <w:r>
        <w:rPr>
          <w:rStyle w:val="facultChar"/>
        </w:rPr>
        <w:t>  </w:t>
      </w:r>
      <w:r>
        <w:br/>
        <w:t xml:space="preserve">La stabilité dimensionnelle suivant </w:t>
      </w:r>
      <w:r>
        <w:rPr>
          <w:rStyle w:val="facultChar"/>
        </w:rPr>
        <w:t>[NBN EN 1604] </w:t>
      </w:r>
      <w:r>
        <w:t xml:space="preserve">: Longueur-Largeur-Epaisseur : </w:t>
      </w:r>
      <w:r>
        <w:rPr>
          <w:rStyle w:val="optioncarChar"/>
        </w:rPr>
        <w:t xml:space="preserve">≤ 1 </w:t>
      </w:r>
      <w:r>
        <w:t>(par défaut)</w:t>
      </w:r>
      <w:r>
        <w:rPr>
          <w:rStyle w:val="optioncarChar"/>
        </w:rPr>
        <w:t xml:space="preserve"> / ***</w:t>
      </w:r>
      <w:r>
        <w:t xml:space="preserve"> %</w:t>
      </w:r>
      <w:r>
        <w:br/>
        <w:t>Compressibilité du matériau (selon</w:t>
      </w:r>
      <w:r>
        <w:rPr>
          <w:rStyle w:val="facultChar"/>
        </w:rPr>
        <w:t> [NBN EN 13162+A1]</w:t>
      </w:r>
      <w:r>
        <w:t>) :  niveau</w:t>
      </w:r>
      <w:r>
        <w:rPr>
          <w:rStyle w:val="facultChar"/>
        </w:rPr>
        <w:t> </w:t>
      </w:r>
      <w:r>
        <w:t>:</w:t>
      </w:r>
      <w:r>
        <w:rPr>
          <w:rStyle w:val="optioncarChar"/>
        </w:rPr>
        <w:t xml:space="preserve"> CP1 / CP2 / CP3 / CP4 / CP5 </w:t>
      </w:r>
      <w:r>
        <w:t>(par défaut)</w:t>
      </w:r>
      <w:r>
        <w:rPr>
          <w:rStyle w:val="optioncarChar"/>
        </w:rPr>
        <w:t xml:space="preserve"> / ***</w:t>
      </w:r>
      <w:r>
        <w:br/>
        <w:t>Résistance à la contrainte en compression à 10 % de déformation (selon</w:t>
      </w:r>
      <w:r>
        <w:rPr>
          <w:rStyle w:val="facultChar"/>
        </w:rPr>
        <w:t> [NBN EN 826]</w:t>
      </w:r>
      <w:r>
        <w:t xml:space="preserve">) : niveau CS(10\Y)  </w:t>
      </w:r>
      <w:r>
        <w:rPr>
          <w:rStyle w:val="optioncarChar"/>
        </w:rPr>
        <w:t xml:space="preserve"> 0,5 / 5 / 10 / 15 / 20 / 25 / 30 / 40</w:t>
      </w:r>
      <w:r>
        <w:t xml:space="preserve"> (par défaut)</w:t>
      </w:r>
      <w:r>
        <w:rPr>
          <w:rStyle w:val="optioncarChar"/>
        </w:rPr>
        <w:t xml:space="preserve"> / 50 / 60 / 70 / 80 / 90 / 110 / 120 / 130 / 140 / 150 / 175 / 200 / 225 / 250 / 300 / 350 / 400 / 450 / 500</w:t>
      </w:r>
      <w:r>
        <w:rPr>
          <w:rStyle w:val="facultChar"/>
        </w:rPr>
        <w:t xml:space="preserve">  </w:t>
      </w:r>
      <w:r>
        <w:t>kPa.</w:t>
      </w:r>
      <w:r>
        <w:br/>
        <w:t xml:space="preserve">Résistance à la traction perpendiculaire (selon </w:t>
      </w:r>
      <w:r>
        <w:rPr>
          <w:rStyle w:val="facultChar"/>
        </w:rPr>
        <w:t>[NBN EN 1607]</w:t>
      </w:r>
      <w:r>
        <w:t xml:space="preserve">) : niveau ≥ TR </w:t>
      </w:r>
      <w:r>
        <w:rPr>
          <w:rStyle w:val="optioncarChar"/>
        </w:rPr>
        <w:t xml:space="preserve"> 1 / 2,5 / 5 / 7,5 / 10 </w:t>
      </w:r>
      <w:r>
        <w:t>(par défaut)</w:t>
      </w:r>
      <w:r>
        <w:rPr>
          <w:rStyle w:val="optioncarChar"/>
        </w:rPr>
        <w:t xml:space="preserve"> / 15 / 20 / 25 / 30 / 40 / 50 / 60 / 70 / 80 / 90 / 100 / 125 / 150 / 175 / 200 / 250 / 300 / 400 / 500 / 600 / 700</w:t>
      </w:r>
      <w:r>
        <w:br/>
        <w:t>Résistance à la compression ponctuelle (selon</w:t>
      </w:r>
      <w:r>
        <w:rPr>
          <w:rStyle w:val="facultChar"/>
        </w:rPr>
        <w:t> [NBN EN 12430]</w:t>
      </w:r>
      <w:r>
        <w:t>) : &gt; </w:t>
      </w:r>
      <w:r>
        <w:rPr>
          <w:rStyle w:val="optioncarChar"/>
        </w:rPr>
        <w:t>***</w:t>
      </w:r>
      <w:r>
        <w:rPr>
          <w:rStyle w:val="facultChar"/>
        </w:rPr>
        <w:t> </w:t>
      </w:r>
      <w:r>
        <w:t>N (1000 pour une isolation sous chape)</w:t>
      </w:r>
      <w:r>
        <w:br/>
        <w:t>Résistance au fluage en compression (selon</w:t>
      </w:r>
      <w:r>
        <w:rPr>
          <w:rStyle w:val="facultChar"/>
        </w:rPr>
        <w:t> [NBN EN ISO 16534]</w:t>
      </w:r>
      <w:r>
        <w:t>) sous forme  CC (réduction de l’épaisseur en % /déformation relative après vieillissement / nombre d’années – contrainte en compression : </w:t>
      </w:r>
      <w:r>
        <w:rPr>
          <w:rStyle w:val="optioncarChar"/>
        </w:rPr>
        <w:t xml:space="preserve">CC (5% / 12% / 30) 10N/mm² </w:t>
      </w:r>
      <w:r>
        <w:t>(par défaut)</w:t>
      </w:r>
      <w:r>
        <w:rPr>
          <w:rStyle w:val="optioncarChar"/>
        </w:rPr>
        <w:t xml:space="preserve"> / *** </w:t>
      </w:r>
      <w:r>
        <w:rPr>
          <w:rStyle w:val="facultChar"/>
        </w:rPr>
        <w:t> </w:t>
      </w:r>
      <w:r>
        <w:br/>
        <w:t>Résistance à la traction parallèlement aux faces (selon </w:t>
      </w:r>
      <w:r>
        <w:rPr>
          <w:rStyle w:val="facultChar"/>
        </w:rPr>
        <w:t>[NBN EN 1608]</w:t>
      </w:r>
      <w:r>
        <w:t xml:space="preserve">) :  &gt; </w:t>
      </w:r>
      <w:r>
        <w:rPr>
          <w:rStyle w:val="optioncarChar"/>
        </w:rPr>
        <w:t>***</w:t>
      </w:r>
      <w:r>
        <w:t xml:space="preserve"> kPa</w:t>
      </w:r>
      <w:r>
        <w:br/>
        <w:t>Absorption d’eau à court terme (selon </w:t>
      </w:r>
      <w:r>
        <w:rPr>
          <w:rStyle w:val="facultChar"/>
        </w:rPr>
        <w:t>[NBN EN ISO 29767]</w:t>
      </w:r>
      <w:r>
        <w:t xml:space="preserve">) : &lt; </w:t>
      </w:r>
      <w:r>
        <w:rPr>
          <w:rStyle w:val="optioncarChar"/>
        </w:rPr>
        <w:t xml:space="preserve">1kg/m² </w:t>
      </w:r>
      <w:r>
        <w:t>(par défaut)</w:t>
      </w:r>
      <w:r>
        <w:rPr>
          <w:rStyle w:val="optioncarChar"/>
        </w:rPr>
        <w:t xml:space="preserve"> / ***  </w:t>
      </w:r>
      <w:r>
        <w:br/>
        <w:t>Absorption d’eau à long terme (selon</w:t>
      </w:r>
      <w:r>
        <w:rPr>
          <w:rStyle w:val="facultChar"/>
        </w:rPr>
        <w:t> [NBN EN ISO 16535]</w:t>
      </w:r>
      <w:r>
        <w:t xml:space="preserve">) : &lt; </w:t>
      </w:r>
      <w:r>
        <w:rPr>
          <w:rStyle w:val="optioncarChar"/>
        </w:rPr>
        <w:t xml:space="preserve">3kg/m² </w:t>
      </w:r>
      <w:r>
        <w:t>(par défaut)</w:t>
      </w:r>
      <w:r>
        <w:rPr>
          <w:rStyle w:val="optioncarChar"/>
        </w:rPr>
        <w:t xml:space="preserve"> / ***</w:t>
      </w:r>
      <w:r>
        <w:br/>
        <w:t>Coefficient de résistance à la diffusion de vapeur d’eau – valeur μ (selon</w:t>
      </w:r>
      <w:r>
        <w:rPr>
          <w:rStyle w:val="facultChar"/>
        </w:rPr>
        <w:t>[NBN EN 12086]</w:t>
      </w:r>
      <w:r>
        <w:t xml:space="preserve">): </w:t>
      </w:r>
      <w:r>
        <w:rPr>
          <w:rStyle w:val="optioncarChar"/>
        </w:rPr>
        <w:t xml:space="preserve"> ***</w:t>
      </w:r>
      <w:r>
        <w:br/>
        <w:t>Absorption acoustique (déterminée selon</w:t>
      </w:r>
      <w:r>
        <w:rPr>
          <w:rStyle w:val="facultChar"/>
        </w:rPr>
        <w:t> [NBN EN ISO 354] </w:t>
      </w:r>
      <w:r>
        <w:t>et</w:t>
      </w:r>
      <w:r>
        <w:rPr>
          <w:rStyle w:val="facultChar"/>
        </w:rPr>
        <w:t> [NBN EN ISO 11654]</w:t>
      </w:r>
      <w:r>
        <w:t xml:space="preserve">) :  </w:t>
      </w:r>
      <w:r>
        <w:rPr>
          <w:rStyle w:val="optioncarChar"/>
        </w:rPr>
        <w:t>*** </w:t>
      </w:r>
      <w:r>
        <w:br/>
      </w:r>
      <w:r>
        <w:rPr>
          <w:color w:val="3366FF"/>
        </w:rPr>
        <w:t> </w:t>
      </w:r>
      <w:r>
        <w:br/>
        <w:t>Les liants des panneaux et d’adhésion du revêtement de surface ne contiennent pas de formaldéhyde. Le dégagement mesuré selon la </w:t>
      </w:r>
      <w:r>
        <w:rPr>
          <w:rStyle w:val="facultChar"/>
        </w:rPr>
        <w:t>[NBN EN 717-1]</w:t>
      </w:r>
      <w:r>
        <w:t xml:space="preserve"> &lt; </w:t>
      </w:r>
      <w:r>
        <w:rPr>
          <w:rStyle w:val="optioncarChar"/>
        </w:rPr>
        <w:t xml:space="preserve">0.5 </w:t>
      </w:r>
      <w:r>
        <w:t>(par défaut)</w:t>
      </w:r>
      <w:r>
        <w:rPr>
          <w:rStyle w:val="optioncarChar"/>
        </w:rPr>
        <w:t xml:space="preserve"> / ***</w:t>
      </w:r>
      <w:r>
        <w:rPr>
          <w:rStyle w:val="facultChar"/>
        </w:rPr>
        <w:t> </w:t>
      </w:r>
      <w:r>
        <w:t>mg/m³</w:t>
      </w:r>
      <w:r>
        <w:rPr>
          <w:rStyle w:val="facultChar"/>
        </w:rPr>
        <w:t xml:space="preserve">  </w:t>
      </w:r>
      <w:r>
        <w:br/>
        <w:t>La concentration de pentachlorophénol mesurée selon la </w:t>
      </w:r>
      <w:r>
        <w:rPr>
          <w:rStyle w:val="facultChar"/>
        </w:rPr>
        <w:t>[CEN/TR 14823] </w:t>
      </w:r>
      <w:r>
        <w:t xml:space="preserve">&lt; </w:t>
      </w:r>
      <w:r>
        <w:rPr>
          <w:rStyle w:val="optioncarChar"/>
        </w:rPr>
        <w:t>20 </w:t>
      </w:r>
      <w:r>
        <w:t>(par défaut)</w:t>
      </w:r>
      <w:r>
        <w:rPr>
          <w:rStyle w:val="optioncarChar"/>
        </w:rPr>
        <w:t xml:space="preserve"> / *** </w:t>
      </w:r>
      <w:r>
        <w:t>PPM</w:t>
      </w:r>
      <w:r>
        <w:rPr>
          <w:rStyle w:val="optioncarChar"/>
        </w:rPr>
        <w:t> </w:t>
      </w:r>
      <w:r>
        <w:br/>
        <w:t xml:space="preserve">Les liants des panneaux sont issus de </w:t>
      </w:r>
      <w:r>
        <w:rPr>
          <w:rStyle w:val="optioncarChar"/>
        </w:rPr>
        <w:t xml:space="preserve">matières premières végétales </w:t>
      </w:r>
      <w:r>
        <w:t xml:space="preserve">(par défaut) </w:t>
      </w:r>
      <w:r>
        <w:rPr>
          <w:rStyle w:val="optioncarChar"/>
        </w:rPr>
        <w:t>/ dérivés pétrochimiques / ***.</w:t>
      </w:r>
      <w:r>
        <w:br/>
        <w:t xml:space="preserve">La laine minérale produite contient au moins </w:t>
      </w:r>
      <w:r>
        <w:rPr>
          <w:rStyle w:val="optioncarChar"/>
        </w:rPr>
        <w:t>***</w:t>
      </w:r>
      <w:r>
        <w:t xml:space="preserve"> % de matière recyclée.</w:t>
      </w:r>
    </w:p>
    <w:p w14:paraId="728C0507" w14:textId="77777777" w:rsidR="00772179" w:rsidRDefault="00000000">
      <w:pPr>
        <w:pStyle w:val="pheading"/>
      </w:pPr>
      <w:r>
        <w:t>EXÉCUTION / MISE EN ŒUVRE</w:t>
      </w:r>
    </w:p>
    <w:p w14:paraId="00A9C5C6" w14:textId="77777777" w:rsidR="00772179" w:rsidRDefault="00000000">
      <w:pPr>
        <w:pStyle w:val="pheading"/>
      </w:pPr>
      <w:r>
        <w:lastRenderedPageBreak/>
        <w:t>- Prescriptions générales</w:t>
      </w:r>
    </w:p>
    <w:p w14:paraId="0C14E385" w14:textId="77777777" w:rsidR="00772179" w:rsidRDefault="00000000">
      <w:pPr>
        <w:jc w:val="both"/>
      </w:pPr>
      <w:r>
        <w:t>Les panneaux sont contigus. Les espaces éventuels entre panneaux ou de liaison avec les parois sont comblés avec un isolant de même type. </w:t>
      </w:r>
    </w:p>
    <w:p w14:paraId="18692DB3" w14:textId="77777777" w:rsidR="00772179" w:rsidRDefault="00000000">
      <w:pPr>
        <w:jc w:val="both"/>
      </w:pPr>
      <w:r>
        <w:rPr>
          <w:b/>
        </w:rPr>
        <w:t>Pour une application en cavité - murs de séparation - murs mitoyens</w:t>
      </w:r>
    </w:p>
    <w:p w14:paraId="160AFCD7" w14:textId="77777777" w:rsidR="00772179" w:rsidRDefault="00000000">
      <w:pPr>
        <w:jc w:val="both"/>
      </w:pPr>
      <w:r>
        <w:t xml:space="preserve">Les panneaux sont fixés par </w:t>
      </w:r>
      <w:r>
        <w:rPr>
          <w:rStyle w:val="optioncarChar"/>
        </w:rPr>
        <w:t xml:space="preserve">serrage entre éléments </w:t>
      </w:r>
      <w:r>
        <w:t>(par défaut)</w:t>
      </w:r>
      <w:r>
        <w:rPr>
          <w:rStyle w:val="optioncarChar"/>
        </w:rPr>
        <w:t xml:space="preserve"> / collage / fixation mécanique </w:t>
      </w:r>
    </w:p>
    <w:p w14:paraId="3E9286E8" w14:textId="77777777" w:rsidR="00772179" w:rsidRDefault="00000000">
      <w:pPr>
        <w:ind w:left="567"/>
        <w:jc w:val="both"/>
      </w:pPr>
      <w:r>
        <w:rPr>
          <w:b/>
          <w:i/>
        </w:rPr>
        <w:t>(soit par défaut) </w:t>
      </w:r>
    </w:p>
    <w:p w14:paraId="164E365B" w14:textId="77777777" w:rsidR="00772179" w:rsidRDefault="00772179">
      <w:pPr>
        <w:ind w:left="567"/>
        <w:jc w:val="both"/>
      </w:pPr>
    </w:p>
    <w:p w14:paraId="5188088A" w14:textId="77777777" w:rsidR="00772179" w:rsidRDefault="00000000">
      <w:pPr>
        <w:ind w:left="567"/>
        <w:jc w:val="both"/>
      </w:pPr>
      <w:r>
        <w:rPr>
          <w:rStyle w:val="soitChar"/>
          <w:b/>
          <w:u w:val="single"/>
        </w:rPr>
        <w:t xml:space="preserve"> Par serrage entre éléments</w:t>
      </w:r>
    </w:p>
    <w:p w14:paraId="6ABC7AE9" w14:textId="77777777" w:rsidR="00772179"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5BC4223F" w14:textId="77777777" w:rsidR="00772179" w:rsidRDefault="00000000">
      <w:pPr>
        <w:ind w:left="567"/>
        <w:jc w:val="both"/>
      </w:pPr>
      <w:r>
        <w:rPr>
          <w:b/>
          <w:i/>
        </w:rPr>
        <w:t>(soit) </w:t>
      </w:r>
    </w:p>
    <w:p w14:paraId="0E62B06B" w14:textId="77777777" w:rsidR="00772179" w:rsidRDefault="00000000">
      <w:pPr>
        <w:ind w:left="567"/>
        <w:jc w:val="both"/>
      </w:pPr>
      <w:r>
        <w:rPr>
          <w:rStyle w:val="soitChar"/>
          <w:b/>
          <w:u w:val="single"/>
        </w:rPr>
        <w:t>Par collage</w:t>
      </w:r>
    </w:p>
    <w:p w14:paraId="7B16B110" w14:textId="77777777" w:rsidR="00772179" w:rsidRDefault="00000000">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 xml:space="preserve">(par défaut) </w:t>
      </w:r>
      <w:r>
        <w:rPr>
          <w:rStyle w:val="optioncarChar"/>
        </w:rPr>
        <w:t>/ total / ***</w:t>
      </w:r>
      <w:r>
        <w:rPr>
          <w:rStyle w:val="soitChar"/>
        </w:rPr>
        <w:t>. La colle répond aux mêmes exigences que le panneau en termes de formaldéhyde et  de pentachlorophénol.</w:t>
      </w:r>
    </w:p>
    <w:p w14:paraId="3093BBDC" w14:textId="77777777" w:rsidR="00772179" w:rsidRDefault="00772179">
      <w:pPr>
        <w:ind w:left="567"/>
        <w:jc w:val="both"/>
      </w:pPr>
    </w:p>
    <w:p w14:paraId="2E9AA2F1" w14:textId="77777777" w:rsidR="00772179" w:rsidRDefault="00772179">
      <w:pPr>
        <w:ind w:left="567"/>
        <w:jc w:val="both"/>
      </w:pPr>
    </w:p>
    <w:p w14:paraId="7D69BDFB" w14:textId="77777777" w:rsidR="00772179" w:rsidRDefault="00000000">
      <w:pPr>
        <w:ind w:left="567"/>
        <w:jc w:val="both"/>
      </w:pPr>
      <w:r>
        <w:rPr>
          <w:b/>
          <w:i/>
        </w:rPr>
        <w:t>(soit) </w:t>
      </w:r>
    </w:p>
    <w:p w14:paraId="5CAA3C7E" w14:textId="77777777" w:rsidR="00772179" w:rsidRDefault="00000000">
      <w:pPr>
        <w:ind w:left="567"/>
        <w:jc w:val="both"/>
      </w:pPr>
      <w:r>
        <w:rPr>
          <w:rStyle w:val="soitChar"/>
          <w:b/>
          <w:u w:val="single"/>
        </w:rPr>
        <w:t>Par fixation mécanique</w:t>
      </w:r>
    </w:p>
    <w:p w14:paraId="09DFA6C9" w14:textId="77777777" w:rsidR="00772179" w:rsidRDefault="00000000">
      <w:pPr>
        <w:ind w:left="567"/>
        <w:jc w:val="both"/>
      </w:pPr>
      <w:r>
        <w:rPr>
          <w:rStyle w:val="soitChar"/>
        </w:rPr>
        <w:t xml:space="preserve"> Les fixations sont au nombre de </w:t>
      </w:r>
      <w:r>
        <w:rPr>
          <w:rStyle w:val="optioncarChar"/>
        </w:rPr>
        <w:t xml:space="preserve">3 par panneau / 5 par m² </w:t>
      </w:r>
      <w:r>
        <w:t>(par défaut)</w:t>
      </w:r>
      <w:r>
        <w:rPr>
          <w:rStyle w:val="optioncarChar"/>
        </w:rPr>
        <w:t> / ***</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xml:space="preserve"> L’ancrage dans la paroi porteuse est</w:t>
      </w:r>
      <w:r>
        <w:t>  </w:t>
      </w:r>
      <w:r>
        <w:rPr>
          <w:rStyle w:val="optioncarChar"/>
        </w:rPr>
        <w:t>métallique / synthétique</w:t>
      </w:r>
      <w:r>
        <w:t xml:space="preserve"> (par défaut)</w:t>
      </w:r>
      <w:r>
        <w:rPr>
          <w:rStyle w:val="soitChar"/>
        </w:rPr>
        <w:t xml:space="preserve">.  Les ancrages sont à </w:t>
      </w:r>
      <w:r>
        <w:rPr>
          <w:rStyle w:val="optioncarChar"/>
        </w:rPr>
        <w:t xml:space="preserve">visser / frapper </w:t>
      </w:r>
      <w:r>
        <w:t xml:space="preserve">(par défaut) </w:t>
      </w:r>
      <w:r>
        <w:rPr>
          <w:rStyle w:val="soitChar"/>
        </w:rPr>
        <w:t>  et sont adaptés au support.</w:t>
      </w:r>
    </w:p>
    <w:p w14:paraId="640E2DE8" w14:textId="77777777" w:rsidR="00772179" w:rsidRDefault="00000000">
      <w:pPr>
        <w:ind w:left="567"/>
        <w:jc w:val="both"/>
      </w:pPr>
      <w:r>
        <w:t>Les détails d’isolation pour les murs creux sont conformes à la [NIT 264].</w:t>
      </w:r>
    </w:p>
    <w:p w14:paraId="0F0402AA" w14:textId="77777777" w:rsidR="00772179" w:rsidRDefault="00000000">
      <w:pPr>
        <w:ind w:left="567"/>
        <w:jc w:val="both"/>
      </w:pPr>
      <w:r>
        <w:t>Les bouchons d’isolation agissant comme séparation de niveau comblent l’entièreté de l’épaisseur de l’espace.</w:t>
      </w:r>
    </w:p>
    <w:p w14:paraId="27E6DE05" w14:textId="77777777" w:rsidR="00772179" w:rsidRDefault="00000000">
      <w:pPr>
        <w:ind w:left="567"/>
        <w:jc w:val="both"/>
      </w:pPr>
      <w:r>
        <w:t>Les fixations sont disposées afin de ne pas réduire les performances acoustiques.</w:t>
      </w:r>
    </w:p>
    <w:p w14:paraId="5EE02A60" w14:textId="77777777" w:rsidR="00772179" w:rsidRDefault="00000000">
      <w:pPr>
        <w:ind w:left="567"/>
        <w:jc w:val="both"/>
      </w:pPr>
      <w:r>
        <w:t>L’isolation en rouleaux-matelas en laine de roche est conforme aux prescriptions des [STS 71-2].</w:t>
      </w:r>
    </w:p>
    <w:p w14:paraId="58C6866E" w14:textId="77777777" w:rsidR="00772179" w:rsidRDefault="00000000">
      <w:pPr>
        <w:ind w:left="567"/>
        <w:jc w:val="both"/>
      </w:pPr>
      <w:r>
        <w:t>La mise en œuvre des panneaux de laine de roche pour l’application d’enduit sur isolant est conforme à la [NIT 257].</w:t>
      </w:r>
    </w:p>
    <w:p w14:paraId="532016D5" w14:textId="77777777" w:rsidR="00772179" w:rsidRDefault="00000000">
      <w:pPr>
        <w:ind w:left="567"/>
        <w:jc w:val="both"/>
      </w:pPr>
      <w:r>
        <w:t>L’isolation en application derrière des bardages métalliques est conforme à la [NIT 266].</w:t>
      </w:r>
    </w:p>
    <w:p w14:paraId="1118C04D" w14:textId="77777777" w:rsidR="00772179" w:rsidRDefault="00000000">
      <w:pPr>
        <w:ind w:left="567"/>
        <w:jc w:val="both"/>
      </w:pPr>
      <w:r>
        <w:t>L’isolation thermique de façade en panneaux de laine de roche est conforme à la [NIT 178].</w:t>
      </w:r>
    </w:p>
    <w:p w14:paraId="7D95F20E" w14:textId="77777777" w:rsidR="00772179" w:rsidRDefault="00000000">
      <w:pPr>
        <w:ind w:left="567"/>
        <w:jc w:val="both"/>
      </w:pPr>
      <w:r>
        <w:t>La mise en œuvre de l’isolation des murs creux en rouleaux-matelas en laine de roche est conforme à la [NIT 264].</w:t>
      </w:r>
    </w:p>
    <w:p w14:paraId="7C740A1A" w14:textId="77777777" w:rsidR="00772179" w:rsidRDefault="00000000">
      <w:pPr>
        <w:ind w:left="567"/>
        <w:jc w:val="both"/>
      </w:pPr>
      <w:r>
        <w:t>La mise en œuvre de l’isolation en rouleaux-matelas en laine de roche pour revêtement de façade en bois ou en panneaux est conforme à la [NIT 243].</w:t>
      </w:r>
    </w:p>
    <w:p w14:paraId="0AB493F0" w14:textId="77777777" w:rsidR="00772179" w:rsidRDefault="00000000">
      <w:pPr>
        <w:ind w:left="567"/>
        <w:jc w:val="both"/>
      </w:pPr>
      <w:r>
        <w:t xml:space="preserve">Les parements sont posés du côté </w:t>
      </w:r>
      <w:r>
        <w:rPr>
          <w:rStyle w:val="optioncarChar"/>
        </w:rPr>
        <w:t xml:space="preserve">extérieur </w:t>
      </w:r>
      <w:r>
        <w:t>(par défaut)</w:t>
      </w:r>
      <w:r>
        <w:rPr>
          <w:rStyle w:val="optioncarChar"/>
        </w:rPr>
        <w:t xml:space="preserve"> / intérieur / ***.</w:t>
      </w:r>
    </w:p>
    <w:p w14:paraId="4C9C27D7" w14:textId="77777777" w:rsidR="00772179" w:rsidRDefault="00000000">
      <w:pPr>
        <w:ind w:left="567"/>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1DB15227" w14:textId="77777777" w:rsidR="00772179" w:rsidRDefault="00000000">
      <w:pPr>
        <w:jc w:val="both"/>
      </w:pPr>
      <w:r>
        <w:t> </w:t>
      </w:r>
    </w:p>
    <w:p w14:paraId="36A95CFD" w14:textId="77777777" w:rsidR="00772179" w:rsidRDefault="00000000">
      <w:pPr>
        <w:pStyle w:val="pheading"/>
      </w:pPr>
      <w:r>
        <w:lastRenderedPageBreak/>
        <w:t>DOCUMENTS DE RÉFÉRENCE COMPLÉMENTAIRES</w:t>
      </w:r>
    </w:p>
    <w:p w14:paraId="1A611FF1" w14:textId="77777777" w:rsidR="00772179" w:rsidRDefault="00000000">
      <w:pPr>
        <w:pStyle w:val="pheading"/>
      </w:pPr>
      <w:r>
        <w:t>- Matériau</w:t>
      </w:r>
    </w:p>
    <w:p w14:paraId="1B1325B6"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89A83B2" w14:textId="77777777" w:rsidR="00772179"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6ABB0F90" w14:textId="77777777" w:rsidR="00772179" w:rsidRDefault="00000000">
      <w:r>
        <w:t>[NBN EN 824, Produits isolants thermiques destinés aux applications du bâtiment - Détermination de l'équerrage]</w:t>
      </w:r>
    </w:p>
    <w:p w14:paraId="25510797" w14:textId="77777777" w:rsidR="00772179" w:rsidRDefault="00000000">
      <w:r>
        <w:t>[NBN EN 825, Produits isolants thermiques destinés aux applications du bâtiment - Détermination de la planéité]</w:t>
      </w:r>
    </w:p>
    <w:p w14:paraId="309D047F" w14:textId="77777777" w:rsidR="00772179" w:rsidRDefault="00000000">
      <w:r>
        <w:t>[NBN EN 13501-1, Classement au feu des produits et éléments de construction - Partie 1: Classement à partir des données d'essais de réaction au feu]</w:t>
      </w:r>
    </w:p>
    <w:p w14:paraId="12C25168" w14:textId="77777777" w:rsidR="00772179" w:rsidRDefault="00000000">
      <w:r>
        <w:t>[NBN EN 1604, Produits isolants thermiques destinés aux applications du bâtiment - Détermination de la stabilité dimensionnelle dans des conditions de température et d'humidité spécifiées]</w:t>
      </w:r>
    </w:p>
    <w:p w14:paraId="43B9D162" w14:textId="77777777" w:rsidR="00772179" w:rsidRDefault="00000000">
      <w:r>
        <w:t>[NBN EN 13162+A1, Produits isolants thermiques pour le bâtiment - Produits manufacturés en laine minérale (MW) - Spécification]</w:t>
      </w:r>
    </w:p>
    <w:p w14:paraId="4AA264D5" w14:textId="77777777" w:rsidR="00772179" w:rsidRDefault="00000000">
      <w:r>
        <w:t>[NBN EN 826, Produits isolants thermiques destinés aux applications du bâtiment - Détermination du comportement en compression]</w:t>
      </w:r>
    </w:p>
    <w:p w14:paraId="53031D1D" w14:textId="77777777" w:rsidR="00772179" w:rsidRDefault="00000000">
      <w:r>
        <w:t>[NBN EN 1607, Produits isolants thermiques destinés aux applications du bâtiment - Détermination de la résistance à la traction perpendiculairement aux faces]</w:t>
      </w:r>
    </w:p>
    <w:p w14:paraId="3980C44B" w14:textId="77777777" w:rsidR="00772179" w:rsidRDefault="00000000">
      <w:r>
        <w:t>[NBN EN 12430, Produits isolants thermiques destinés aux applications du bâtiment - Détermination du comportement sous charge ponctuelle]</w:t>
      </w:r>
    </w:p>
    <w:p w14:paraId="1BF73429" w14:textId="77777777" w:rsidR="00772179" w:rsidRDefault="00000000">
      <w:r>
        <w:t>[NBN EN ISO 16534, Produits isolants thermiques destinés aux applications du bâtiment - Détermination du fluage en compression (ISO 16534:2020)]</w:t>
      </w:r>
    </w:p>
    <w:p w14:paraId="7598C43C" w14:textId="77777777" w:rsidR="00772179" w:rsidRDefault="00000000">
      <w:r>
        <w:t>[NBN EN ISO 29767, Produits isolants thermiques destinés aux applications du bâtiment - Détermination de l'absorption d'eau à court terme par immersion partielle (ISO 29767:2019)]</w:t>
      </w:r>
    </w:p>
    <w:p w14:paraId="00AD2C9C" w14:textId="77777777" w:rsidR="00772179" w:rsidRDefault="00000000">
      <w:r>
        <w:t>[NBN EN ISO 16535, Produits isolants thermiques destinés aux applications du bâtiment - Détermination de l'absorption d'eau à long terme par immersion (ISO 16535:2019)]</w:t>
      </w:r>
    </w:p>
    <w:p w14:paraId="0E950510" w14:textId="77777777" w:rsidR="00772179" w:rsidRDefault="00000000">
      <w:r>
        <w:t>[NBN EN 12086, Produits isolants thermiques destinés aux applications du bâtiment - Détermination des propriétés de transmission de la vapeur d'eau]</w:t>
      </w:r>
    </w:p>
    <w:p w14:paraId="05EFE69F" w14:textId="77777777" w:rsidR="00772179" w:rsidRDefault="00000000">
      <w:r>
        <w:t>[NBN EN ISO 354, Acoustique - Mesurage de l'absorption acoustique en salle réverbérante (ISO 354:2003)]</w:t>
      </w:r>
    </w:p>
    <w:p w14:paraId="5F6F1C64" w14:textId="77777777" w:rsidR="00772179" w:rsidRDefault="00000000">
      <w:r>
        <w:t>[NBN EN ISO 11654, Acoustique - Absorbants pour l'utilisation dans les bâtiments - Evaluation de l'absorption acoustique (ISO 11654:1997)]</w:t>
      </w:r>
    </w:p>
    <w:p w14:paraId="44A11A7B" w14:textId="77777777" w:rsidR="00772179" w:rsidRDefault="00000000">
      <w:pPr>
        <w:pStyle w:val="pheading"/>
      </w:pPr>
      <w:r>
        <w:t>- Exécution</w:t>
      </w:r>
    </w:p>
    <w:p w14:paraId="7381C349" w14:textId="77777777" w:rsidR="00772179" w:rsidRDefault="00000000">
      <w:r>
        <w:t>[NIT 264, Détails de référence pour les murs creux]</w:t>
      </w:r>
    </w:p>
    <w:p w14:paraId="542DC938" w14:textId="77777777" w:rsidR="00772179" w:rsidRDefault="00000000">
      <w:r>
        <w:t>[NIT 178, L'isolation thermique des façades]</w:t>
      </w:r>
    </w:p>
    <w:p w14:paraId="7B8D535D" w14:textId="77777777" w:rsidR="00772179" w:rsidRDefault="00000000">
      <w:r>
        <w:t>[NIT 257, Enduits sur isolation extérieure (ETICS) (remplace partiellement la NIT 209)]</w:t>
      </w:r>
    </w:p>
    <w:p w14:paraId="77C417CF" w14:textId="77777777" w:rsidR="00772179" w:rsidRDefault="00000000">
      <w:r>
        <w:t>[STS 71-2, Systèmes d'isolation extérieure des façades]</w:t>
      </w:r>
    </w:p>
    <w:p w14:paraId="38D2584F" w14:textId="77777777" w:rsidR="00772179" w:rsidRDefault="00000000">
      <w:r>
        <w:t>[NIT 266, Couvertures et bardages métalliques à joints debout et à tasseaux]</w:t>
      </w:r>
    </w:p>
    <w:p w14:paraId="7892AF21" w14:textId="77777777" w:rsidR="00772179" w:rsidRDefault="00000000">
      <w:r>
        <w:t>[NIT 243, Les revêtements de façade en bois et en panneaux à base de bois.]</w:t>
      </w:r>
    </w:p>
    <w:p w14:paraId="2E557C6D" w14:textId="77777777" w:rsidR="00772179" w:rsidRDefault="00000000">
      <w:pPr>
        <w:pStyle w:val="pheading"/>
      </w:pPr>
      <w:r>
        <w:t>MESURAGE</w:t>
      </w:r>
    </w:p>
    <w:p w14:paraId="209329C1" w14:textId="77777777" w:rsidR="00772179" w:rsidRDefault="00000000">
      <w:pPr>
        <w:pStyle w:val="pheading"/>
      </w:pPr>
      <w:r>
        <w:lastRenderedPageBreak/>
        <w:t>- unité de mesure:</w:t>
      </w:r>
    </w:p>
    <w:p w14:paraId="48B5A7E1" w14:textId="77777777" w:rsidR="00772179" w:rsidRDefault="00000000">
      <w:r>
        <w:t>m²</w:t>
      </w:r>
    </w:p>
    <w:p w14:paraId="7BF6499D" w14:textId="77777777" w:rsidR="00772179" w:rsidRDefault="00000000">
      <w:pPr>
        <w:pStyle w:val="pheading"/>
      </w:pPr>
      <w:r>
        <w:t>- code de mesurage:</w:t>
      </w:r>
    </w:p>
    <w:p w14:paraId="3272F4F0" w14:textId="77777777" w:rsidR="00772179" w:rsidRDefault="00000000">
      <w:pPr>
        <w:jc w:val="both"/>
      </w:pPr>
      <w:r>
        <w:rPr>
          <w:u w:val="single"/>
        </w:rPr>
        <w:t>Isolation des parois verticales :</w:t>
      </w:r>
      <w:r>
        <w:t xml:space="preserve"> Surface nette. Les ouvertures &gt; 0,50 m² sont déduites.</w:t>
      </w:r>
    </w:p>
    <w:p w14:paraId="7F2B5A0C" w14:textId="77777777" w:rsidR="00772179" w:rsidRDefault="00000000">
      <w:pPr>
        <w:jc w:val="both"/>
      </w:pPr>
      <w:r>
        <w:t>Distinction faite suivant l'épaisseur.</w:t>
      </w:r>
    </w:p>
    <w:p w14:paraId="3D2A8DC6" w14:textId="77777777" w:rsidR="00772179" w:rsidRDefault="00000000">
      <w:pPr>
        <w:pStyle w:val="pheading"/>
      </w:pPr>
      <w:r>
        <w:t>- nature du marché:</w:t>
      </w:r>
    </w:p>
    <w:p w14:paraId="248DB1E2" w14:textId="77777777" w:rsidR="00772179" w:rsidRDefault="00000000">
      <w:r>
        <w:t>QF</w:t>
      </w:r>
    </w:p>
    <w:p w14:paraId="6AEDF37B" w14:textId="77777777" w:rsidR="00772179" w:rsidRDefault="00000000">
      <w:pPr>
        <w:pStyle w:val="Author-eSectionHeading6Numberless"/>
      </w:pPr>
      <w:bookmarkStart w:id="989" w:name="_Toc220490647"/>
      <w:r>
        <w:t>44.41.2b Isolation en panneaux - verre cellulaire (CG) CCTB 01.02</w:t>
      </w:r>
      <w:bookmarkEnd w:id="989"/>
    </w:p>
    <w:p w14:paraId="45A2A15B" w14:textId="77777777" w:rsidR="00772179" w:rsidRDefault="00000000">
      <w:pPr>
        <w:pStyle w:val="pheading"/>
      </w:pPr>
      <w:r>
        <w:t>MATÉRIAUX</w:t>
      </w:r>
    </w:p>
    <w:p w14:paraId="0B14FAA7" w14:textId="77777777" w:rsidR="00772179" w:rsidRDefault="00000000">
      <w:pPr>
        <w:pStyle w:val="pheading"/>
      </w:pPr>
      <w:r>
        <w:t>- Caractéristiques générales</w:t>
      </w:r>
    </w:p>
    <w:p w14:paraId="3EE07CEF" w14:textId="77777777" w:rsidR="00772179" w:rsidRDefault="00000000">
      <w:r>
        <w:t>Voir caractéristiques générales décrites au § 32.41.2b Isolation en panneaux - verre cellulaire (CG)</w:t>
      </w:r>
    </w:p>
    <w:p w14:paraId="4525B35E" w14:textId="77777777" w:rsidR="00772179" w:rsidRDefault="00000000">
      <w:pPr>
        <w:pStyle w:val="Author-eSectionHeading6Numberless"/>
      </w:pPr>
      <w:bookmarkStart w:id="990" w:name="_Toc220490648"/>
      <w:r>
        <w:t>44.41.2c Isolation en panneaux - perlite expansée (EPB) CCTB 01.02</w:t>
      </w:r>
      <w:bookmarkEnd w:id="990"/>
    </w:p>
    <w:p w14:paraId="525EEF1F" w14:textId="77777777" w:rsidR="00772179" w:rsidRDefault="00000000">
      <w:pPr>
        <w:pStyle w:val="pheading"/>
      </w:pPr>
      <w:r>
        <w:t>MATÉRIAUX</w:t>
      </w:r>
    </w:p>
    <w:p w14:paraId="1F08472A" w14:textId="77777777" w:rsidR="00772179" w:rsidRDefault="00000000">
      <w:pPr>
        <w:pStyle w:val="pheading"/>
      </w:pPr>
      <w:r>
        <w:t>- Caractéristiques générales</w:t>
      </w:r>
    </w:p>
    <w:p w14:paraId="1B9ED400" w14:textId="77777777" w:rsidR="00772179" w:rsidRDefault="00000000">
      <w:r>
        <w:t>Voir caractéristiques générales décrites au § 32.41.2c Isolation en panneaux - perlite expansée (EPB)</w:t>
      </w:r>
    </w:p>
    <w:p w14:paraId="3737D140" w14:textId="77777777" w:rsidR="00772179" w:rsidRDefault="00000000">
      <w:pPr>
        <w:pStyle w:val="Author-eSectionHeading6Numberless"/>
      </w:pPr>
      <w:bookmarkStart w:id="991" w:name="_Toc220490649"/>
      <w:r>
        <w:t>44.41.2d (titre réservé) CCTB 01.02</w:t>
      </w:r>
      <w:bookmarkEnd w:id="991"/>
    </w:p>
    <w:p w14:paraId="73636880" w14:textId="77777777" w:rsidR="00772179" w:rsidRDefault="00000000">
      <w:pPr>
        <w:pStyle w:val="Author-eSectionHeading6Numberless"/>
      </w:pPr>
      <w:bookmarkStart w:id="992" w:name="_Toc220490650"/>
      <w:r>
        <w:t>44.41.2e (titre réservé) CCTB 01.02</w:t>
      </w:r>
      <w:bookmarkEnd w:id="992"/>
    </w:p>
    <w:p w14:paraId="47ACF80D" w14:textId="77777777" w:rsidR="00772179" w:rsidRDefault="00000000">
      <w:pPr>
        <w:pStyle w:val="Author-eSectionHeading6Numberless"/>
      </w:pPr>
      <w:bookmarkStart w:id="993" w:name="_Toc220490651"/>
      <w:r>
        <w:t>44.41.2f (titre réservé) CCTB 01.02</w:t>
      </w:r>
      <w:bookmarkEnd w:id="993"/>
    </w:p>
    <w:p w14:paraId="51B4E6CF" w14:textId="77777777" w:rsidR="00772179" w:rsidRDefault="00000000">
      <w:pPr>
        <w:pStyle w:val="Author-eSectionHeading6Numberless"/>
      </w:pPr>
      <w:bookmarkStart w:id="994" w:name="_Toc220490652"/>
      <w:r>
        <w:t>44.41.2g (titre réservé) CCTB 01.02</w:t>
      </w:r>
      <w:bookmarkEnd w:id="994"/>
    </w:p>
    <w:p w14:paraId="2407761B" w14:textId="77777777" w:rsidR="00772179" w:rsidRDefault="00000000">
      <w:pPr>
        <w:pStyle w:val="Author-eSectionHeading5Numberless"/>
      </w:pPr>
      <w:bookmarkStart w:id="995" w:name="_Toc220490653"/>
      <w:r>
        <w:t>44.41.3 Isolation en panneaux - matières végétales CCTB 01.04</w:t>
      </w:r>
      <w:bookmarkEnd w:id="995"/>
    </w:p>
    <w:p w14:paraId="4D4ABAA8" w14:textId="77777777" w:rsidR="00772179" w:rsidRDefault="00000000">
      <w:pPr>
        <w:pStyle w:val="pheading"/>
      </w:pPr>
      <w:r>
        <w:t>DESCRIPTION</w:t>
      </w:r>
    </w:p>
    <w:p w14:paraId="46E7987F" w14:textId="77777777" w:rsidR="00772179" w:rsidRDefault="00000000">
      <w:pPr>
        <w:pStyle w:val="pheading"/>
      </w:pPr>
      <w:r>
        <w:t>- Définition / Comprend</w:t>
      </w:r>
    </w:p>
    <w:p w14:paraId="3DD21555" w14:textId="77777777" w:rsidR="00772179" w:rsidRDefault="00000000">
      <w:r>
        <w:t xml:space="preserve">Ce poste concerne l’isolation thermique des parois et éléments de construction décrits au chap. </w:t>
      </w:r>
      <w:hyperlink w:anchor="72" w:history="1">
        <w:r>
          <w:rPr>
            <w:color w:val="0000EE"/>
          </w:rPr>
          <w:t>44.4 Isolation</w:t>
        </w:r>
      </w:hyperlink>
      <w:r>
        <w:t>, suivant les prescriptions de l'élément 32.41.3 Isolation en panneaux - matières végétales.</w:t>
      </w:r>
    </w:p>
    <w:p w14:paraId="3F892583" w14:textId="77777777" w:rsidR="00772179" w:rsidRDefault="00000000">
      <w:pPr>
        <w:pStyle w:val="pheading"/>
      </w:pPr>
      <w:r>
        <w:t>- Remarques importantes</w:t>
      </w:r>
    </w:p>
    <w:p w14:paraId="0B70DEF2" w14:textId="77777777" w:rsidR="00772179" w:rsidRDefault="00000000">
      <w:r>
        <w:t>Voir article 32.41 Isolation en panneaux</w:t>
      </w:r>
    </w:p>
    <w:p w14:paraId="0425A0EA" w14:textId="77777777" w:rsidR="00772179" w:rsidRDefault="00000000">
      <w:pPr>
        <w:pStyle w:val="pheading"/>
      </w:pPr>
      <w:r>
        <w:t>MATÉRIAUX</w:t>
      </w:r>
    </w:p>
    <w:p w14:paraId="329AF0EC" w14:textId="77777777" w:rsidR="00772179" w:rsidRDefault="00000000">
      <w:r>
        <w:t>Voir article 32.41 Isolation en panneaux</w:t>
      </w:r>
    </w:p>
    <w:p w14:paraId="7D19653F" w14:textId="77777777" w:rsidR="00772179" w:rsidRDefault="00000000">
      <w:pPr>
        <w:pStyle w:val="pheading"/>
      </w:pPr>
      <w:r>
        <w:t>EXÉCUTION / MISE EN ŒUVRE</w:t>
      </w:r>
    </w:p>
    <w:p w14:paraId="524E2815" w14:textId="77777777" w:rsidR="00772179" w:rsidRDefault="00000000">
      <w:r>
        <w:t>Voir article 32.41 Isolation en panneaux</w:t>
      </w:r>
    </w:p>
    <w:p w14:paraId="1B6493C2" w14:textId="77777777" w:rsidR="00772179" w:rsidRDefault="00000000">
      <w:pPr>
        <w:pStyle w:val="pheading"/>
      </w:pPr>
      <w:r>
        <w:t>DOCUMENTS DE RÉFÉRENCE</w:t>
      </w:r>
    </w:p>
    <w:p w14:paraId="7C85430E" w14:textId="77777777" w:rsidR="00772179" w:rsidRDefault="00000000">
      <w:pPr>
        <w:pStyle w:val="pheading"/>
      </w:pPr>
      <w:r>
        <w:t>- Matériau</w:t>
      </w:r>
    </w:p>
    <w:p w14:paraId="1F6A582A" w14:textId="77777777" w:rsidR="00772179" w:rsidRDefault="00000000">
      <w:r>
        <w:t>32.41.3 Isolation en panneaux - matières végétales</w:t>
      </w:r>
    </w:p>
    <w:p w14:paraId="4DC50246" w14:textId="77777777" w:rsidR="00772179" w:rsidRDefault="00000000">
      <w:pPr>
        <w:pStyle w:val="pheading"/>
      </w:pPr>
      <w:r>
        <w:t>- Exécution</w:t>
      </w:r>
    </w:p>
    <w:p w14:paraId="19F5080E" w14:textId="77777777" w:rsidR="00772179" w:rsidRDefault="00000000">
      <w:r>
        <w:t>32.41.3 Isolation en panneaux - matières végétales</w:t>
      </w:r>
    </w:p>
    <w:p w14:paraId="6842C5A5" w14:textId="77777777" w:rsidR="00772179" w:rsidRDefault="00000000">
      <w:pPr>
        <w:pStyle w:val="Author-eSectionHeading6Numberless"/>
      </w:pPr>
      <w:bookmarkStart w:id="996" w:name="_Toc220490654"/>
      <w:r>
        <w:t>44.41.3a Isolation en panneaux - liège expansé (ICB) CCTB 01.10</w:t>
      </w:r>
      <w:bookmarkEnd w:id="996"/>
    </w:p>
    <w:p w14:paraId="64A52C7F" w14:textId="77777777" w:rsidR="00772179" w:rsidRDefault="00000000">
      <w:pPr>
        <w:pStyle w:val="pheading"/>
      </w:pPr>
      <w:r>
        <w:t>DESCRIPTION</w:t>
      </w:r>
    </w:p>
    <w:p w14:paraId="2FA8F102" w14:textId="77777777" w:rsidR="00772179" w:rsidRDefault="00000000">
      <w:pPr>
        <w:pStyle w:val="pheading"/>
      </w:pPr>
      <w:r>
        <w:lastRenderedPageBreak/>
        <w:t>- Définition / Comprend</w:t>
      </w:r>
    </w:p>
    <w:p w14:paraId="7F32B0A4" w14:textId="77777777" w:rsidR="00772179" w:rsidRDefault="00000000">
      <w:r>
        <w:t>Il s'agit de la réalisation d'une isolation suivant les prescriptions de l'article ﻿ 32.41.3a Isolation en panneaux - liège expansé (ICB).</w:t>
      </w:r>
    </w:p>
    <w:p w14:paraId="56AF7864" w14:textId="77777777" w:rsidR="00772179" w:rsidRDefault="00000000">
      <w:pPr>
        <w:pStyle w:val="pheading"/>
      </w:pPr>
      <w:r>
        <w:t>MATÉRIAUX</w:t>
      </w:r>
    </w:p>
    <w:p w14:paraId="24AA7510" w14:textId="77777777" w:rsidR="00772179" w:rsidRDefault="00000000">
      <w:pPr>
        <w:pStyle w:val="pheading"/>
      </w:pPr>
      <w:r>
        <w:t>- Caractéristiques générales</w:t>
      </w:r>
    </w:p>
    <w:p w14:paraId="3A59AD65" w14:textId="77777777" w:rsidR="00772179" w:rsidRDefault="00000000">
      <w:r>
        <w:t>Voir article 32.41.3a Isolation en panneaux - liège expansé (ICB).</w:t>
      </w:r>
    </w:p>
    <w:p w14:paraId="1D5DD994" w14:textId="77777777" w:rsidR="00772179" w:rsidRDefault="00000000">
      <w:pPr>
        <w:pStyle w:val="pheading"/>
      </w:pPr>
      <w:r>
        <w:t>- Finitions</w:t>
      </w:r>
    </w:p>
    <w:p w14:paraId="3470CD18" w14:textId="77777777" w:rsidR="00772179" w:rsidRDefault="00000000">
      <w:r>
        <w:t>Voir article 32.41.3a Isolation en panneaux - liège expansé (ICB).</w:t>
      </w:r>
    </w:p>
    <w:p w14:paraId="6678F2C0" w14:textId="77777777" w:rsidR="00772179" w:rsidRDefault="00000000">
      <w:pPr>
        <w:pStyle w:val="pheading"/>
      </w:pPr>
      <w:r>
        <w:t>- Prescriptions complémentaires</w:t>
      </w:r>
    </w:p>
    <w:p w14:paraId="49059235" w14:textId="77777777" w:rsidR="00772179" w:rsidRDefault="00000000">
      <w:r>
        <w:t>Voir article 32.41.3a Isolation en panneaux - liège expansé (ICB).</w:t>
      </w:r>
    </w:p>
    <w:p w14:paraId="75C6C8A7" w14:textId="77777777" w:rsidR="00772179" w:rsidRDefault="00000000">
      <w:pPr>
        <w:pStyle w:val="pheading"/>
      </w:pPr>
      <w:r>
        <w:t>EXÉCUTION / MISE EN ŒUVRE</w:t>
      </w:r>
    </w:p>
    <w:p w14:paraId="660CA0DB" w14:textId="77777777" w:rsidR="00772179" w:rsidRDefault="00000000">
      <w:pPr>
        <w:pStyle w:val="pheading"/>
      </w:pPr>
      <w:r>
        <w:t>- Prescriptions générales</w:t>
      </w:r>
    </w:p>
    <w:p w14:paraId="0D83EADF" w14:textId="77777777" w:rsidR="00772179" w:rsidRDefault="00000000">
      <w:r>
        <w:t>Voir article 32.41.3a Isolation en panneaux - liège expansé (ICB).</w:t>
      </w:r>
    </w:p>
    <w:p w14:paraId="18D6236A" w14:textId="77777777" w:rsidR="00772179" w:rsidRDefault="00000000">
      <w:pPr>
        <w:pStyle w:val="pheading"/>
      </w:pPr>
      <w:r>
        <w:t>- Notes d’exécution complémentaires</w:t>
      </w:r>
    </w:p>
    <w:p w14:paraId="6A194809" w14:textId="77777777" w:rsidR="00772179" w:rsidRDefault="00000000">
      <w:r>
        <w:t>Voir article 32.41.3a Isolation en panneaux - liège expansé (ICB).</w:t>
      </w:r>
    </w:p>
    <w:p w14:paraId="66ED79C1" w14:textId="77777777" w:rsidR="00772179" w:rsidRDefault="00000000">
      <w:pPr>
        <w:pStyle w:val="pheading"/>
      </w:pPr>
      <w:r>
        <w:t>DOCUMENTS DE RÉFÉRENCE COMPLÉMENTAIRES</w:t>
      </w:r>
    </w:p>
    <w:p w14:paraId="3F64BDF3" w14:textId="77777777" w:rsidR="00772179" w:rsidRDefault="00000000">
      <w:pPr>
        <w:pStyle w:val="pheading"/>
      </w:pPr>
      <w:r>
        <w:t>- Matériau</w:t>
      </w:r>
    </w:p>
    <w:p w14:paraId="16D7EF24" w14:textId="77777777" w:rsidR="00772179" w:rsidRDefault="00000000">
      <w:r>
        <w:t>32.41.3a Isolation en panneaux - liège expansé (ICB)</w:t>
      </w:r>
    </w:p>
    <w:p w14:paraId="74FE0613" w14:textId="77777777" w:rsidR="00772179" w:rsidRDefault="00000000">
      <w:pPr>
        <w:pStyle w:val="pheading"/>
      </w:pPr>
      <w:r>
        <w:t>- Exécution</w:t>
      </w:r>
    </w:p>
    <w:p w14:paraId="503C0A7A" w14:textId="77777777" w:rsidR="00772179" w:rsidRDefault="00000000">
      <w:r>
        <w:t>32.41.3a Isolation en panneaux - liège expansé (ICB)</w:t>
      </w:r>
    </w:p>
    <w:p w14:paraId="2A6AC2AA" w14:textId="77777777" w:rsidR="00772179" w:rsidRDefault="00000000">
      <w:pPr>
        <w:pStyle w:val="pheading"/>
      </w:pPr>
      <w:r>
        <w:t>MESURAGE</w:t>
      </w:r>
    </w:p>
    <w:p w14:paraId="5CBAAD27" w14:textId="77777777" w:rsidR="00772179" w:rsidRDefault="00000000">
      <w:pPr>
        <w:pStyle w:val="pheading"/>
      </w:pPr>
      <w:r>
        <w:t>- unité de mesure:</w:t>
      </w:r>
    </w:p>
    <w:p w14:paraId="00919042" w14:textId="77777777" w:rsidR="00772179" w:rsidRDefault="00000000">
      <w:r>
        <w:t>m²</w:t>
      </w:r>
    </w:p>
    <w:p w14:paraId="6B57D458" w14:textId="77777777" w:rsidR="00772179" w:rsidRDefault="00000000">
      <w:pPr>
        <w:pStyle w:val="pheading"/>
      </w:pPr>
      <w:r>
        <w:t>- code de mesurage:</w:t>
      </w:r>
    </w:p>
    <w:p w14:paraId="237A1FCB" w14:textId="77777777" w:rsidR="00772179" w:rsidRDefault="00000000">
      <w:r>
        <w:t>Distinction faite suivant le type et l'épaisseur.</w:t>
      </w:r>
    </w:p>
    <w:p w14:paraId="1F227C73" w14:textId="77777777" w:rsidR="00772179" w:rsidRDefault="00000000">
      <w:pPr>
        <w:pStyle w:val="Author-eListParagraph"/>
        <w:numPr>
          <w:ilvl w:val="0"/>
          <w:numId w:val="1138"/>
        </w:numPr>
      </w:pPr>
      <w:r>
        <w:t xml:space="preserve">Isolation des </w:t>
      </w:r>
      <w:r>
        <w:rPr>
          <w:b/>
        </w:rPr>
        <w:t>parois verticales : Surface nette.</w:t>
      </w:r>
      <w:r>
        <w:t xml:space="preserve"> Les ouvertures &gt; 0,50 m² sont déduites.</w:t>
      </w:r>
    </w:p>
    <w:p w14:paraId="090D091E" w14:textId="77777777" w:rsidR="00772179" w:rsidRDefault="00000000">
      <w:pPr>
        <w:pStyle w:val="Author-eListParagraph"/>
        <w:numPr>
          <w:ilvl w:val="0"/>
          <w:numId w:val="1138"/>
        </w:numPr>
      </w:pPr>
      <w:r>
        <w:t xml:space="preserve">Isolation des </w:t>
      </w:r>
      <w:r>
        <w:rPr>
          <w:b/>
        </w:rPr>
        <w:t>parois horizontales : Surface nette du sol</w:t>
      </w:r>
      <w:r>
        <w:t>, mesurée entre le nu des murs. Les ouvertures &gt; 0,5 m² sont déduites. L'isolation périphérique n'est pas portée en compte séparément.</w:t>
      </w:r>
    </w:p>
    <w:p w14:paraId="5423865C" w14:textId="77777777" w:rsidR="00772179" w:rsidRDefault="00000000">
      <w:pPr>
        <w:pStyle w:val="pheading"/>
      </w:pPr>
      <w:r>
        <w:t>- nature du marché:</w:t>
      </w:r>
    </w:p>
    <w:p w14:paraId="71E655AE" w14:textId="77777777" w:rsidR="00772179" w:rsidRDefault="00000000">
      <w:r>
        <w:t>QF</w:t>
      </w:r>
    </w:p>
    <w:p w14:paraId="2C71E162" w14:textId="77777777" w:rsidR="00772179" w:rsidRDefault="00000000">
      <w:pPr>
        <w:pStyle w:val="Author-eSectionHeading6Numberless"/>
      </w:pPr>
      <w:bookmarkStart w:id="997" w:name="_Toc220490655"/>
      <w:r>
        <w:t>44.41.3b Isolation en panneaux - laine de bois (WW) CCTB 01.10</w:t>
      </w:r>
      <w:bookmarkEnd w:id="997"/>
    </w:p>
    <w:p w14:paraId="27E0391B" w14:textId="77777777" w:rsidR="00772179" w:rsidRDefault="00000000">
      <w:pPr>
        <w:pStyle w:val="pheading"/>
      </w:pPr>
      <w:r>
        <w:t>DESCRIPTION</w:t>
      </w:r>
    </w:p>
    <w:p w14:paraId="5FFB85BE" w14:textId="77777777" w:rsidR="00772179" w:rsidRDefault="00000000">
      <w:pPr>
        <w:pStyle w:val="pheading"/>
      </w:pPr>
      <w:r>
        <w:t>- Définition / Comprend</w:t>
      </w:r>
    </w:p>
    <w:p w14:paraId="4F46A80F" w14:textId="77777777" w:rsidR="00772179" w:rsidRDefault="00000000">
      <w:r>
        <w:t>Voir § 32.41.3b Isolation en panneaux - laine de bois (WW)</w:t>
      </w:r>
    </w:p>
    <w:p w14:paraId="64AA1FB6" w14:textId="77777777" w:rsidR="00772179" w:rsidRDefault="00000000">
      <w:r>
        <w:t>l s'agit de la réalisation d'une isolation suivant les prescriptions de l'article 32.41.3b Isolation en panneaux - laine de bois (WW)</w:t>
      </w:r>
    </w:p>
    <w:p w14:paraId="6D8F8845" w14:textId="77777777" w:rsidR="00772179" w:rsidRDefault="00000000">
      <w:pPr>
        <w:pStyle w:val="pheading"/>
      </w:pPr>
      <w:r>
        <w:t>MATÉRIAUX</w:t>
      </w:r>
    </w:p>
    <w:p w14:paraId="366BA246" w14:textId="77777777" w:rsidR="00772179" w:rsidRDefault="00000000">
      <w:pPr>
        <w:pStyle w:val="pheading"/>
      </w:pPr>
      <w:r>
        <w:lastRenderedPageBreak/>
        <w:t>- Caractéristiques générales</w:t>
      </w:r>
    </w:p>
    <w:p w14:paraId="5A3D1DC9" w14:textId="77777777" w:rsidR="00772179" w:rsidRDefault="00000000">
      <w:r>
        <w:t>Voir § 32.41.3b Isolation en panneaux - laine de bois (WW)</w:t>
      </w:r>
    </w:p>
    <w:p w14:paraId="75AC975C" w14:textId="77777777" w:rsidR="00772179" w:rsidRDefault="00000000">
      <w:pPr>
        <w:pStyle w:val="pheading"/>
      </w:pPr>
      <w:r>
        <w:t>- Finitions</w:t>
      </w:r>
    </w:p>
    <w:p w14:paraId="7937A179" w14:textId="77777777" w:rsidR="00772179" w:rsidRDefault="00000000">
      <w:r>
        <w:t>Voir § 32.41.3b Isolation en panneaux - laine de bois (WW)</w:t>
      </w:r>
    </w:p>
    <w:p w14:paraId="663AA54D" w14:textId="77777777" w:rsidR="00772179" w:rsidRDefault="00000000">
      <w:pPr>
        <w:pStyle w:val="pheading"/>
      </w:pPr>
      <w:r>
        <w:t>- Prescriptions complémentaires</w:t>
      </w:r>
    </w:p>
    <w:p w14:paraId="72E46F09" w14:textId="77777777" w:rsidR="00772179" w:rsidRDefault="00000000">
      <w:r>
        <w:t>Voir § 32.41.3b Isolation en panneaux - laine de bois (WW)</w:t>
      </w:r>
    </w:p>
    <w:p w14:paraId="408493F8" w14:textId="77777777" w:rsidR="00772179" w:rsidRDefault="00000000">
      <w:pPr>
        <w:pStyle w:val="pheading"/>
      </w:pPr>
      <w:r>
        <w:t>EXÉCUTION / MISE EN ŒUVRE</w:t>
      </w:r>
    </w:p>
    <w:p w14:paraId="392D79EB" w14:textId="77777777" w:rsidR="00772179" w:rsidRDefault="00000000">
      <w:pPr>
        <w:pStyle w:val="pheading"/>
      </w:pPr>
      <w:r>
        <w:t>- Prescriptions générales</w:t>
      </w:r>
    </w:p>
    <w:p w14:paraId="20AB0AA2" w14:textId="77777777" w:rsidR="00772179" w:rsidRDefault="00000000">
      <w:r>
        <w:t>Voir § 32.41.3b Isolation en panneaux - laine de bois (WW)</w:t>
      </w:r>
    </w:p>
    <w:p w14:paraId="5CC3AFA8" w14:textId="77777777" w:rsidR="00772179" w:rsidRDefault="00000000">
      <w:pPr>
        <w:pStyle w:val="pheading"/>
      </w:pPr>
      <w:r>
        <w:t>- Notes d’exécution complémentaires</w:t>
      </w:r>
    </w:p>
    <w:p w14:paraId="5A36B2D2" w14:textId="77777777" w:rsidR="00772179" w:rsidRDefault="00000000">
      <w:r>
        <w:t>Voir § 32.41.3b Isolation en panneaux - laine de bois (WW)</w:t>
      </w:r>
    </w:p>
    <w:p w14:paraId="7F77069D" w14:textId="77777777" w:rsidR="00772179" w:rsidRDefault="00000000">
      <w:pPr>
        <w:pStyle w:val="pheading"/>
      </w:pPr>
      <w:r>
        <w:t>MESURAGE</w:t>
      </w:r>
    </w:p>
    <w:p w14:paraId="1445BD8F" w14:textId="77777777" w:rsidR="00772179" w:rsidRDefault="00000000">
      <w:pPr>
        <w:pStyle w:val="pheading"/>
      </w:pPr>
      <w:r>
        <w:t>- unité de mesure:</w:t>
      </w:r>
    </w:p>
    <w:p w14:paraId="5285C8A0" w14:textId="77777777" w:rsidR="00772179" w:rsidRDefault="00000000">
      <w:r>
        <w:t>m²</w:t>
      </w:r>
    </w:p>
    <w:p w14:paraId="716E8C5F" w14:textId="77777777" w:rsidR="00772179" w:rsidRDefault="00000000">
      <w:pPr>
        <w:pStyle w:val="pheading"/>
      </w:pPr>
      <w:r>
        <w:t>- code de mesurage:</w:t>
      </w:r>
    </w:p>
    <w:p w14:paraId="390C0815" w14:textId="77777777" w:rsidR="00772179" w:rsidRDefault="00000000">
      <w:r>
        <w:t>Distinction faite suivant le type et l'épaisseur.</w:t>
      </w:r>
    </w:p>
    <w:p w14:paraId="1D9ED2F1" w14:textId="77777777" w:rsidR="00772179" w:rsidRDefault="00000000">
      <w:pPr>
        <w:pStyle w:val="Author-eListParagraph"/>
        <w:numPr>
          <w:ilvl w:val="0"/>
          <w:numId w:val="1139"/>
        </w:numPr>
      </w:pPr>
      <w:r>
        <w:t>Isolation des </w:t>
      </w:r>
      <w:r>
        <w:rPr>
          <w:b/>
        </w:rPr>
        <w:t>parois verticales : Surface nette.</w:t>
      </w:r>
      <w:r>
        <w:t> Les ouvertures &gt; 0,50 m² sont déduites.</w:t>
      </w:r>
    </w:p>
    <w:p w14:paraId="710F1BB3" w14:textId="77777777" w:rsidR="00772179" w:rsidRDefault="00000000">
      <w:pPr>
        <w:pStyle w:val="Author-eListParagraph"/>
        <w:numPr>
          <w:ilvl w:val="0"/>
          <w:numId w:val="1139"/>
        </w:numPr>
      </w:pPr>
      <w:r>
        <w:t>Isolation des </w:t>
      </w:r>
      <w:r>
        <w:rPr>
          <w:b/>
        </w:rPr>
        <w:t>parois horizontales : Surface nette du sol</w:t>
      </w:r>
      <w:r>
        <w:t>, mesurée entre le nu des murs. Les ouvertures &gt; 0,5 m² sont déduites. L'isolation périphérique n'est pas portée en compte séparément.</w:t>
      </w:r>
    </w:p>
    <w:p w14:paraId="6BA68C0C" w14:textId="77777777" w:rsidR="00772179" w:rsidRDefault="00000000">
      <w:pPr>
        <w:pStyle w:val="pheading"/>
      </w:pPr>
      <w:r>
        <w:t>- nature du marché:</w:t>
      </w:r>
    </w:p>
    <w:p w14:paraId="6F57A975" w14:textId="77777777" w:rsidR="00772179" w:rsidRDefault="00000000">
      <w:r>
        <w:t>QF</w:t>
      </w:r>
    </w:p>
    <w:p w14:paraId="110CEC83" w14:textId="77777777" w:rsidR="00772179" w:rsidRDefault="00000000">
      <w:pPr>
        <w:pStyle w:val="Author-eSectionHeading6Numberless"/>
      </w:pPr>
      <w:bookmarkStart w:id="998" w:name="_Toc220490656"/>
      <w:r>
        <w:t>44.41.3c Isolation en panneaux - fibres de bois (WF) CCTB 01.10</w:t>
      </w:r>
      <w:bookmarkEnd w:id="998"/>
    </w:p>
    <w:p w14:paraId="37DA0C92" w14:textId="77777777" w:rsidR="00772179" w:rsidRDefault="00000000">
      <w:pPr>
        <w:pStyle w:val="pheading"/>
      </w:pPr>
      <w:r>
        <w:t>DESCRIPTION</w:t>
      </w:r>
    </w:p>
    <w:p w14:paraId="4321129B" w14:textId="77777777" w:rsidR="00772179" w:rsidRDefault="00000000">
      <w:pPr>
        <w:pStyle w:val="pheading"/>
      </w:pPr>
      <w:r>
        <w:t>- Définition / Comprend</w:t>
      </w:r>
    </w:p>
    <w:p w14:paraId="66D3AEC8" w14:textId="77777777" w:rsidR="00772179" w:rsidRDefault="00000000">
      <w:r>
        <w:t>Il s'agit de la réalisation d'une isolation suivant les prescriptions de l'article 32.41.3c Isolation en panneaux - fibres de bois (WF).</w:t>
      </w:r>
    </w:p>
    <w:p w14:paraId="61E50CC4" w14:textId="77777777" w:rsidR="00772179" w:rsidRDefault="00000000">
      <w:pPr>
        <w:pStyle w:val="pheading"/>
      </w:pPr>
      <w:r>
        <w:t>MATÉRIAUX</w:t>
      </w:r>
    </w:p>
    <w:p w14:paraId="2B279A70" w14:textId="77777777" w:rsidR="00772179" w:rsidRDefault="00000000">
      <w:pPr>
        <w:pStyle w:val="pheading"/>
      </w:pPr>
      <w:r>
        <w:t>- Caractéristiques générales</w:t>
      </w:r>
    </w:p>
    <w:p w14:paraId="295C8F5C" w14:textId="77777777" w:rsidR="00772179" w:rsidRDefault="00000000">
      <w:r>
        <w:t>Voir article 32.41.3c Isolation en panneaux - fibres de bois (WF)</w:t>
      </w:r>
    </w:p>
    <w:p w14:paraId="5EF479A3" w14:textId="77777777" w:rsidR="00772179" w:rsidRDefault="00000000">
      <w:pPr>
        <w:pStyle w:val="pheading"/>
      </w:pPr>
      <w:r>
        <w:t>- Finitions</w:t>
      </w:r>
    </w:p>
    <w:p w14:paraId="63EB4B6A" w14:textId="77777777" w:rsidR="00772179" w:rsidRDefault="00000000">
      <w:r>
        <w:t>Voir article 32.41.3c Isolation en panneaux - fibres de bois (WF)</w:t>
      </w:r>
    </w:p>
    <w:p w14:paraId="54B8FC3F" w14:textId="77777777" w:rsidR="00772179" w:rsidRDefault="00000000">
      <w:pPr>
        <w:pStyle w:val="pheading"/>
      </w:pPr>
      <w:r>
        <w:t>- Prescriptions complémentaires</w:t>
      </w:r>
    </w:p>
    <w:p w14:paraId="57B1D573" w14:textId="77777777" w:rsidR="00772179" w:rsidRDefault="00000000">
      <w:r>
        <w:t>Voir article 32.41.3c Isolation en panneaux - fibres de bois (WF)</w:t>
      </w:r>
    </w:p>
    <w:p w14:paraId="5C569170" w14:textId="77777777" w:rsidR="00772179" w:rsidRDefault="00000000">
      <w:pPr>
        <w:pStyle w:val="pheading"/>
      </w:pPr>
      <w:r>
        <w:t>EXÉCUTION / MISE EN ŒUVRE</w:t>
      </w:r>
    </w:p>
    <w:p w14:paraId="00166EC7" w14:textId="77777777" w:rsidR="00772179" w:rsidRDefault="00000000">
      <w:pPr>
        <w:pStyle w:val="pheading"/>
      </w:pPr>
      <w:r>
        <w:t>- Prescriptions générales</w:t>
      </w:r>
    </w:p>
    <w:p w14:paraId="77A469C8" w14:textId="77777777" w:rsidR="00772179" w:rsidRDefault="00000000">
      <w:r>
        <w:t>Voir article 32.41.3c Isolation en panneaux - fibres de bois (WF)</w:t>
      </w:r>
    </w:p>
    <w:p w14:paraId="797B2546" w14:textId="77777777" w:rsidR="00772179" w:rsidRDefault="00000000">
      <w:pPr>
        <w:pStyle w:val="pheading"/>
      </w:pPr>
      <w:r>
        <w:t>DOCUMENTS DE RÉFÉRENCE COMPLÉMENTAIRES</w:t>
      </w:r>
    </w:p>
    <w:p w14:paraId="0451F395" w14:textId="77777777" w:rsidR="00772179" w:rsidRDefault="00000000">
      <w:pPr>
        <w:pStyle w:val="pheading"/>
      </w:pPr>
      <w:r>
        <w:lastRenderedPageBreak/>
        <w:t>- Matériau</w:t>
      </w:r>
    </w:p>
    <w:p w14:paraId="56FA4610" w14:textId="77777777" w:rsidR="00772179" w:rsidRDefault="00000000">
      <w:r>
        <w:t>32.41.3c Isolation en panneaux - fibres de bois (WF)</w:t>
      </w:r>
    </w:p>
    <w:p w14:paraId="5A5EB0B9" w14:textId="77777777" w:rsidR="00772179" w:rsidRDefault="00000000">
      <w:pPr>
        <w:pStyle w:val="pheading"/>
      </w:pPr>
      <w:r>
        <w:t>- Exécution</w:t>
      </w:r>
    </w:p>
    <w:p w14:paraId="7DAE8C09" w14:textId="77777777" w:rsidR="00772179" w:rsidRDefault="00000000">
      <w:r>
        <w:t>32.41.3c Isolation en panneaux - fibres de bois (WF)</w:t>
      </w:r>
    </w:p>
    <w:p w14:paraId="2C3F2583" w14:textId="77777777" w:rsidR="00772179" w:rsidRDefault="00000000">
      <w:pPr>
        <w:pStyle w:val="pheading"/>
      </w:pPr>
      <w:r>
        <w:t>MESURAGE</w:t>
      </w:r>
    </w:p>
    <w:p w14:paraId="0D8EF054" w14:textId="77777777" w:rsidR="00772179" w:rsidRDefault="00000000">
      <w:pPr>
        <w:pStyle w:val="pheading"/>
      </w:pPr>
      <w:r>
        <w:t>- unité de mesure:</w:t>
      </w:r>
    </w:p>
    <w:p w14:paraId="3FA682E8" w14:textId="77777777" w:rsidR="00772179" w:rsidRDefault="00000000">
      <w:r>
        <w:t>m²</w:t>
      </w:r>
    </w:p>
    <w:p w14:paraId="71F8E78E" w14:textId="77777777" w:rsidR="00772179" w:rsidRDefault="00000000">
      <w:pPr>
        <w:pStyle w:val="pheading"/>
      </w:pPr>
      <w:r>
        <w:t>- code de mesurage:</w:t>
      </w:r>
    </w:p>
    <w:p w14:paraId="74D8144A" w14:textId="77777777" w:rsidR="00772179" w:rsidRDefault="00772179"/>
    <w:p w14:paraId="208F55B1" w14:textId="77777777" w:rsidR="00772179" w:rsidRDefault="00000000">
      <w:r>
        <w:t>Distinction faite suivant le type et l'épaisseur.</w:t>
      </w:r>
    </w:p>
    <w:p w14:paraId="35D7360D" w14:textId="77777777" w:rsidR="00772179" w:rsidRDefault="00000000">
      <w:pPr>
        <w:pStyle w:val="Author-eListParagraph"/>
        <w:numPr>
          <w:ilvl w:val="0"/>
          <w:numId w:val="1140"/>
        </w:numPr>
      </w:pPr>
      <w:r>
        <w:t xml:space="preserve">Isolation des </w:t>
      </w:r>
      <w:r>
        <w:rPr>
          <w:b/>
        </w:rPr>
        <w:t>parois verticales : Surface nette</w:t>
      </w:r>
      <w:r>
        <w:t>. Les ouvertures &gt; 0,50 m² sont déduites</w:t>
      </w:r>
    </w:p>
    <w:p w14:paraId="1C4166E5" w14:textId="77777777" w:rsidR="00772179" w:rsidRDefault="00000000">
      <w:pPr>
        <w:pStyle w:val="Author-eListParagraph"/>
        <w:numPr>
          <w:ilvl w:val="0"/>
          <w:numId w:val="1140"/>
        </w:numPr>
      </w:pPr>
      <w:r>
        <w:t xml:space="preserve">Isolation des </w:t>
      </w:r>
      <w:r>
        <w:rPr>
          <w:b/>
        </w:rPr>
        <w:t>parois horizontales</w:t>
      </w:r>
      <w:r>
        <w:t xml:space="preserve"> : </w:t>
      </w:r>
      <w:r>
        <w:rPr>
          <w:b/>
        </w:rPr>
        <w:t>Surface nette du sol</w:t>
      </w:r>
      <w:r>
        <w:t>, mesurée entre le nu des murs. Les ouvertures &gt; 0,5 m² sont déduites. L'isolation périphérique n'est pas portée en compte séparément.</w:t>
      </w:r>
    </w:p>
    <w:p w14:paraId="14150E53" w14:textId="77777777" w:rsidR="00772179" w:rsidRDefault="00000000">
      <w:pPr>
        <w:pStyle w:val="pheading"/>
      </w:pPr>
      <w:r>
        <w:t>- nature du marché:</w:t>
      </w:r>
    </w:p>
    <w:p w14:paraId="06D3434C" w14:textId="77777777" w:rsidR="00772179" w:rsidRDefault="00000000">
      <w:r>
        <w:t>QF</w:t>
      </w:r>
    </w:p>
    <w:p w14:paraId="71C97679" w14:textId="77777777" w:rsidR="00772179" w:rsidRDefault="00000000">
      <w:pPr>
        <w:pStyle w:val="Author-eSectionHeading6Numberless"/>
      </w:pPr>
      <w:bookmarkStart w:id="999" w:name="_Toc220490657"/>
      <w:r>
        <w:t>44.41.3d Isolation en panneaux - cellulose CCTB 01.10</w:t>
      </w:r>
      <w:bookmarkEnd w:id="999"/>
    </w:p>
    <w:p w14:paraId="58D3052E" w14:textId="77777777" w:rsidR="00772179" w:rsidRDefault="00000000">
      <w:pPr>
        <w:pStyle w:val="pheading"/>
      </w:pPr>
      <w:r>
        <w:t>MATÉRIAUX</w:t>
      </w:r>
    </w:p>
    <w:p w14:paraId="327A8E0D" w14:textId="77777777" w:rsidR="00772179" w:rsidRDefault="00000000">
      <w:pPr>
        <w:pStyle w:val="pheading"/>
      </w:pPr>
      <w:r>
        <w:t>- Caractéristiques générales</w:t>
      </w:r>
    </w:p>
    <w:p w14:paraId="22A8687C" w14:textId="77777777" w:rsidR="00772179" w:rsidRDefault="00000000">
      <w:r>
        <w:t>Voir article 32.41.3d Isolation en panneaux - cellulose</w:t>
      </w:r>
    </w:p>
    <w:p w14:paraId="31BD15C5" w14:textId="77777777" w:rsidR="00772179" w:rsidRDefault="00000000">
      <w:pPr>
        <w:pStyle w:val="pheading"/>
      </w:pPr>
      <w:r>
        <w:t>- Prescriptions complémentaires</w:t>
      </w:r>
    </w:p>
    <w:p w14:paraId="3DF8ED4D" w14:textId="77777777" w:rsidR="00772179" w:rsidRDefault="00000000">
      <w:r>
        <w:t>Voir article 32.41.3d Isolation en panneaux - cellulose</w:t>
      </w:r>
    </w:p>
    <w:p w14:paraId="11B4686F" w14:textId="77777777" w:rsidR="00772179" w:rsidRDefault="00000000">
      <w:pPr>
        <w:pStyle w:val="pheading"/>
      </w:pPr>
      <w:r>
        <w:t>EXÉCUTION / MISE EN ŒUVRE</w:t>
      </w:r>
    </w:p>
    <w:p w14:paraId="51172C69" w14:textId="77777777" w:rsidR="00772179" w:rsidRDefault="00000000">
      <w:pPr>
        <w:pStyle w:val="pheading"/>
      </w:pPr>
      <w:r>
        <w:t>- Prescriptions générales</w:t>
      </w:r>
    </w:p>
    <w:p w14:paraId="010F99EE" w14:textId="77777777" w:rsidR="00772179" w:rsidRDefault="00000000">
      <w:r>
        <w:t>Voir article 32.41.3d Isolation en panneaux - cellulose</w:t>
      </w:r>
    </w:p>
    <w:p w14:paraId="4E90F482" w14:textId="77777777" w:rsidR="00772179" w:rsidRDefault="00000000">
      <w:pPr>
        <w:pStyle w:val="pheading"/>
      </w:pPr>
      <w:r>
        <w:t>DOCUMENTS DE RÉFÉRENCE COMPLÉMENTAIRES</w:t>
      </w:r>
    </w:p>
    <w:p w14:paraId="2A011025" w14:textId="77777777" w:rsidR="00772179" w:rsidRDefault="00000000">
      <w:pPr>
        <w:pStyle w:val="pheading"/>
      </w:pPr>
      <w:r>
        <w:t>- Matériau</w:t>
      </w:r>
    </w:p>
    <w:p w14:paraId="05D5367C" w14:textId="77777777" w:rsidR="00772179" w:rsidRDefault="00000000">
      <w:r>
        <w:t>32.41.3d Isolation en panneaux - cellulose</w:t>
      </w:r>
    </w:p>
    <w:p w14:paraId="5F97DAC2" w14:textId="77777777" w:rsidR="00772179" w:rsidRDefault="00000000">
      <w:pPr>
        <w:pStyle w:val="pheading"/>
      </w:pPr>
      <w:r>
        <w:t>- Exécution</w:t>
      </w:r>
    </w:p>
    <w:p w14:paraId="5FB028A7" w14:textId="77777777" w:rsidR="00772179" w:rsidRDefault="00000000">
      <w:r>
        <w:t>32.41.3d Isolation en panneaux - cellulose</w:t>
      </w:r>
    </w:p>
    <w:p w14:paraId="04148941" w14:textId="77777777" w:rsidR="00772179" w:rsidRDefault="00000000">
      <w:pPr>
        <w:pStyle w:val="pheading"/>
      </w:pPr>
      <w:r>
        <w:t>MESURAGE</w:t>
      </w:r>
    </w:p>
    <w:p w14:paraId="22E23C63" w14:textId="77777777" w:rsidR="00772179" w:rsidRDefault="00000000">
      <w:pPr>
        <w:pStyle w:val="pheading"/>
      </w:pPr>
      <w:r>
        <w:t>- unité de mesure:</w:t>
      </w:r>
    </w:p>
    <w:p w14:paraId="5C33572A" w14:textId="77777777" w:rsidR="00772179" w:rsidRDefault="00000000">
      <w:r>
        <w:rPr>
          <w:b/>
        </w:rPr>
        <w:t>m²</w:t>
      </w:r>
    </w:p>
    <w:p w14:paraId="38A3BEC0" w14:textId="77777777" w:rsidR="00772179" w:rsidRDefault="00000000">
      <w:pPr>
        <w:pStyle w:val="pheading"/>
      </w:pPr>
      <w:r>
        <w:t>- code de mesurage:</w:t>
      </w:r>
    </w:p>
    <w:p w14:paraId="7CD99314" w14:textId="77777777" w:rsidR="00772179" w:rsidRDefault="00000000">
      <w:r>
        <w:t>Distinction faite suivant l'épaisseur.</w:t>
      </w:r>
      <w:r>
        <w:br/>
      </w:r>
    </w:p>
    <w:p w14:paraId="41EC6379" w14:textId="77777777" w:rsidR="00772179" w:rsidRDefault="00000000">
      <w:pPr>
        <w:pStyle w:val="Author-eListParagraph"/>
        <w:numPr>
          <w:ilvl w:val="0"/>
          <w:numId w:val="1141"/>
        </w:numPr>
      </w:pPr>
      <w:r>
        <w:t xml:space="preserve">Isolation des </w:t>
      </w:r>
      <w:r>
        <w:rPr>
          <w:b/>
        </w:rPr>
        <w:t>parois verticales : Surface nette</w:t>
      </w:r>
      <w:r>
        <w:t>. Les ouvertures &gt; 0,50 m² sont déduites</w:t>
      </w:r>
    </w:p>
    <w:p w14:paraId="24B0E084" w14:textId="77777777" w:rsidR="00772179" w:rsidRDefault="00000000">
      <w:pPr>
        <w:pStyle w:val="Author-eListParagraph"/>
        <w:numPr>
          <w:ilvl w:val="0"/>
          <w:numId w:val="1141"/>
        </w:numPr>
      </w:pPr>
      <w:r>
        <w:lastRenderedPageBreak/>
        <w:t>Isolation des parois</w:t>
      </w:r>
      <w:r>
        <w:rPr>
          <w:b/>
        </w:rPr>
        <w:t xml:space="preserve"> horizontales :  Surface nette du sol</w:t>
      </w:r>
      <w:r>
        <w:t>, mesurée entre le nu des murs. Les ouvertures &gt; 0,5 m² sont déduites. L'isolation périphérique n'est pas portée en compte séparément</w:t>
      </w:r>
    </w:p>
    <w:p w14:paraId="30A1ED57" w14:textId="77777777" w:rsidR="00772179" w:rsidRDefault="00000000">
      <w:pPr>
        <w:pStyle w:val="pheading"/>
      </w:pPr>
      <w:r>
        <w:t>- nature du marché:</w:t>
      </w:r>
    </w:p>
    <w:p w14:paraId="4F1ADDB9" w14:textId="77777777" w:rsidR="00772179" w:rsidRDefault="00000000">
      <w:r>
        <w:rPr>
          <w:b/>
        </w:rPr>
        <w:t>QF</w:t>
      </w:r>
    </w:p>
    <w:p w14:paraId="54B8E81C" w14:textId="77777777" w:rsidR="00772179" w:rsidRDefault="00000000">
      <w:pPr>
        <w:pStyle w:val="Author-eSectionHeading6Numberless"/>
      </w:pPr>
      <w:bookmarkStart w:id="1000" w:name="_Toc220490658"/>
      <w:r>
        <w:t>44.41.3e Isolation en panneaux - laine de chanvre CCTB 01.10</w:t>
      </w:r>
      <w:bookmarkEnd w:id="1000"/>
    </w:p>
    <w:p w14:paraId="54AD5535" w14:textId="77777777" w:rsidR="00772179" w:rsidRDefault="00000000">
      <w:pPr>
        <w:pStyle w:val="pheading"/>
      </w:pPr>
      <w:r>
        <w:t>MATÉRIAUX</w:t>
      </w:r>
    </w:p>
    <w:p w14:paraId="18AAC6B2" w14:textId="77777777" w:rsidR="00772179" w:rsidRDefault="00000000">
      <w:pPr>
        <w:pStyle w:val="pheading"/>
      </w:pPr>
      <w:r>
        <w:t>- Caractéristiques générales</w:t>
      </w:r>
    </w:p>
    <w:p w14:paraId="6A95587A" w14:textId="77777777" w:rsidR="00772179" w:rsidRDefault="00000000">
      <w:r>
        <w:t>Voir article32.41.3e Isolation en panneaux - laine de chanvre</w:t>
      </w:r>
    </w:p>
    <w:p w14:paraId="7E703AE6" w14:textId="77777777" w:rsidR="00772179" w:rsidRDefault="00000000">
      <w:pPr>
        <w:pStyle w:val="pheading"/>
      </w:pPr>
      <w:r>
        <w:t>- Prescriptions complémentaires</w:t>
      </w:r>
    </w:p>
    <w:p w14:paraId="3290900D" w14:textId="77777777" w:rsidR="00772179" w:rsidRDefault="00000000">
      <w:r>
        <w:t>Voir article 32.41.3e Isolation en panneaux - laine de chanvre</w:t>
      </w:r>
    </w:p>
    <w:p w14:paraId="6EF31E5B" w14:textId="77777777" w:rsidR="00772179" w:rsidRDefault="00000000">
      <w:pPr>
        <w:pStyle w:val="pheading"/>
      </w:pPr>
      <w:r>
        <w:t>EXÉCUTION / MISE EN ŒUVRE</w:t>
      </w:r>
    </w:p>
    <w:p w14:paraId="7FE08EE1" w14:textId="77777777" w:rsidR="00772179" w:rsidRDefault="00000000">
      <w:pPr>
        <w:pStyle w:val="pheading"/>
      </w:pPr>
      <w:r>
        <w:t>- Prescriptions générales</w:t>
      </w:r>
    </w:p>
    <w:p w14:paraId="64D63776" w14:textId="77777777" w:rsidR="00772179" w:rsidRDefault="00000000">
      <w:r>
        <w:t>Voir article32.41.3e Isolation en panneaux - laine de chanvre</w:t>
      </w:r>
    </w:p>
    <w:p w14:paraId="091A8F19" w14:textId="77777777" w:rsidR="00772179" w:rsidRDefault="00000000">
      <w:pPr>
        <w:pStyle w:val="pheading"/>
      </w:pPr>
      <w:r>
        <w:t>DOCUMENTS DE RÉFÉRENCE COMPLÉMENTAIRES</w:t>
      </w:r>
    </w:p>
    <w:p w14:paraId="5AF074C4" w14:textId="77777777" w:rsidR="00772179" w:rsidRDefault="00000000">
      <w:pPr>
        <w:pStyle w:val="pheading"/>
      </w:pPr>
      <w:r>
        <w:t>- Matériau</w:t>
      </w:r>
    </w:p>
    <w:p w14:paraId="55BC765E" w14:textId="77777777" w:rsidR="00772179" w:rsidRDefault="00000000">
      <w:r>
        <w:t>32.41.3e Isolation en panneaux - laine de chanvre</w:t>
      </w:r>
    </w:p>
    <w:p w14:paraId="3A15D4F5" w14:textId="77777777" w:rsidR="00772179" w:rsidRDefault="00000000">
      <w:pPr>
        <w:pStyle w:val="pheading"/>
      </w:pPr>
      <w:r>
        <w:t>- Exécution</w:t>
      </w:r>
    </w:p>
    <w:p w14:paraId="7297888D" w14:textId="77777777" w:rsidR="00772179" w:rsidRDefault="00000000">
      <w:r>
        <w:t>32.41.3e Isolation en panneaux - laine de chanvre</w:t>
      </w:r>
    </w:p>
    <w:p w14:paraId="3A5E895A" w14:textId="77777777" w:rsidR="00772179" w:rsidRDefault="00000000">
      <w:pPr>
        <w:pStyle w:val="pheading"/>
      </w:pPr>
      <w:r>
        <w:t>MESURAGE</w:t>
      </w:r>
    </w:p>
    <w:p w14:paraId="57C80C8C" w14:textId="77777777" w:rsidR="00772179" w:rsidRDefault="00000000">
      <w:pPr>
        <w:pStyle w:val="pheading"/>
      </w:pPr>
      <w:r>
        <w:t>- unité de mesure:</w:t>
      </w:r>
    </w:p>
    <w:p w14:paraId="3096424F" w14:textId="77777777" w:rsidR="00772179" w:rsidRDefault="00000000">
      <w:r>
        <w:rPr>
          <w:b/>
        </w:rPr>
        <w:t>m²</w:t>
      </w:r>
    </w:p>
    <w:p w14:paraId="0F7A9650" w14:textId="77777777" w:rsidR="00772179" w:rsidRDefault="00000000">
      <w:pPr>
        <w:pStyle w:val="pheading"/>
      </w:pPr>
      <w:r>
        <w:t>- code de mesurage:</w:t>
      </w:r>
    </w:p>
    <w:p w14:paraId="6CE524B8" w14:textId="77777777" w:rsidR="00772179" w:rsidRDefault="00000000">
      <w:r>
        <w:t>Distinction faite suivant l'épaisseur.</w:t>
      </w:r>
      <w:r>
        <w:br/>
      </w:r>
    </w:p>
    <w:p w14:paraId="2DBEA6BF" w14:textId="77777777" w:rsidR="00772179" w:rsidRDefault="00000000">
      <w:pPr>
        <w:pStyle w:val="Author-eListParagraph"/>
        <w:numPr>
          <w:ilvl w:val="0"/>
          <w:numId w:val="1142"/>
        </w:numPr>
      </w:pPr>
      <w:r>
        <w:t xml:space="preserve">Isolation des </w:t>
      </w:r>
      <w:r>
        <w:rPr>
          <w:b/>
        </w:rPr>
        <w:t>parois verticales : Surface nette</w:t>
      </w:r>
      <w:r>
        <w:t>. Les ouvertures &gt; 0,50 m² sont déduites</w:t>
      </w:r>
    </w:p>
    <w:p w14:paraId="060FC9A1" w14:textId="77777777" w:rsidR="00772179" w:rsidRDefault="00000000">
      <w:pPr>
        <w:pStyle w:val="Author-eListParagraph"/>
        <w:numPr>
          <w:ilvl w:val="0"/>
          <w:numId w:val="1142"/>
        </w:numPr>
      </w:pPr>
      <w:r>
        <w:t>Isolation des parois</w:t>
      </w:r>
      <w:r>
        <w:rPr>
          <w:b/>
        </w:rPr>
        <w:t xml:space="preserve"> horizontales :  Surface nette du sol</w:t>
      </w:r>
      <w:r>
        <w:t>, mesurée entre le nu des murs. Les ouvertures &gt; 0,5 m² sont déduites. L'isolation périphérique n'est pas portée en compte séparément</w:t>
      </w:r>
    </w:p>
    <w:p w14:paraId="26B6C99B" w14:textId="77777777" w:rsidR="00772179" w:rsidRDefault="00000000">
      <w:pPr>
        <w:pStyle w:val="pheading"/>
      </w:pPr>
      <w:r>
        <w:t>- nature du marché:</w:t>
      </w:r>
    </w:p>
    <w:p w14:paraId="4D6107EA" w14:textId="77777777" w:rsidR="00772179" w:rsidRDefault="00000000">
      <w:r>
        <w:rPr>
          <w:b/>
        </w:rPr>
        <w:t>QF</w:t>
      </w:r>
    </w:p>
    <w:p w14:paraId="1E797639" w14:textId="77777777" w:rsidR="00772179" w:rsidRDefault="00000000">
      <w:pPr>
        <w:pStyle w:val="Author-eSectionHeading6Numberless"/>
      </w:pPr>
      <w:bookmarkStart w:id="1001" w:name="_Toc220490659"/>
      <w:r>
        <w:t>44.41.3f Isolation en panneaux - laine de lin CCTB 01.12</w:t>
      </w:r>
      <w:bookmarkEnd w:id="1001"/>
    </w:p>
    <w:p w14:paraId="34B936DC" w14:textId="77777777" w:rsidR="00772179" w:rsidRDefault="00000000">
      <w:pPr>
        <w:pStyle w:val="pheading"/>
      </w:pPr>
      <w:r>
        <w:t>DESCRIPTION</w:t>
      </w:r>
    </w:p>
    <w:p w14:paraId="407A5AB5" w14:textId="77777777" w:rsidR="00772179" w:rsidRDefault="00000000">
      <w:pPr>
        <w:pStyle w:val="pheading"/>
      </w:pPr>
      <w:r>
        <w:t>- Définition / Comprend</w:t>
      </w:r>
    </w:p>
    <w:p w14:paraId="30F6A1DA" w14:textId="77777777" w:rsidR="00772179" w:rsidRDefault="00000000">
      <w:pPr>
        <w:jc w:val="both"/>
      </w:pPr>
      <w:r>
        <w:t xml:space="preserve">Il s’agit de la fourniture et la pose d’une isolation thermique au moyen de panneaux de laine de lin en application de parois et éléments de construction décrits au titre </w:t>
      </w:r>
      <w:hyperlink w:anchor="72" w:history="1">
        <w:r>
          <w:rPr>
            <w:color w:val="0000EE"/>
          </w:rPr>
          <w:t>44.4 Isolation</w:t>
        </w:r>
      </w:hyperlink>
      <w:r>
        <w:t>.</w:t>
      </w:r>
    </w:p>
    <w:p w14:paraId="00AC08B5" w14:textId="77777777" w:rsidR="00772179" w:rsidRDefault="00000000">
      <w:pPr>
        <w:pStyle w:val="pheading"/>
      </w:pPr>
      <w:r>
        <w:t>MATÉRIAUX</w:t>
      </w:r>
    </w:p>
    <w:p w14:paraId="62D6B96E" w14:textId="77777777" w:rsidR="00772179" w:rsidRDefault="00000000">
      <w:pPr>
        <w:pStyle w:val="pheading"/>
      </w:pPr>
      <w:r>
        <w:t>- Caractéristiques générales</w:t>
      </w:r>
    </w:p>
    <w:p w14:paraId="62949B35" w14:textId="77777777" w:rsidR="00772179" w:rsidRDefault="00000000">
      <w:r>
        <w:lastRenderedPageBreak/>
        <w:t>Le produit est constitué de fibres naturelles liées entre elles par des fibres polyester thermo fusibles afin de former un matelas isolant. Le produit est ensuite conditionné sous forme de panneaux.</w:t>
      </w:r>
      <w:r>
        <w:br/>
        <w:t>Le produit reçoit, le cas échéant, un traitement antibactérien et anticryptogamique ainsi qu’un traitement ignifuge.</w:t>
      </w:r>
      <w:r>
        <w:br/>
        <w:t>Le surfaçage des panneaux est de type : </w:t>
      </w:r>
      <w:r>
        <w:rPr>
          <w:rStyle w:val="optioncarChar"/>
        </w:rPr>
        <w:t xml:space="preserve">nu </w:t>
      </w:r>
      <w:r>
        <w:t xml:space="preserve">(par défaut) </w:t>
      </w:r>
      <w:r>
        <w:rPr>
          <w:rStyle w:val="optioncarChar"/>
        </w:rPr>
        <w:t>/ ***</w:t>
      </w:r>
      <w:r>
        <w:t>.</w:t>
      </w:r>
      <w:r>
        <w:br/>
        <w:t xml:space="preserve">Épaisseur totale de l’isolation : </w:t>
      </w:r>
      <w:r>
        <w:rPr>
          <w:rStyle w:val="optioncarChar"/>
        </w:rPr>
        <w:t>***</w:t>
      </w:r>
      <w:r>
        <w:t> mm.</w:t>
      </w:r>
      <w:r>
        <w:br/>
        <w:t>Les panneaux sont disposés en</w:t>
      </w:r>
      <w:r>
        <w:rPr>
          <w:rStyle w:val="optioncarChar"/>
        </w:rPr>
        <w:t xml:space="preserve"> 1 </w:t>
      </w:r>
      <w:r>
        <w:t>(par défaut)</w:t>
      </w:r>
      <w:r>
        <w:rPr>
          <w:rStyle w:val="optioncarChar"/>
        </w:rPr>
        <w:t xml:space="preserve"> / *** </w:t>
      </w:r>
      <w:r>
        <w:t>couches.</w:t>
      </w:r>
      <w:r>
        <w:br/>
        <w:t xml:space="preserve">Épaisseur (selon [NBN EN 823]) : </w:t>
      </w:r>
      <w:r>
        <w:rPr>
          <w:rStyle w:val="optioncarChar"/>
        </w:rPr>
        <w:t>40 / 60 / 80 / 100 / 120 / 140 / 160 / 200 / 220 / 250</w:t>
      </w:r>
      <w:r>
        <w:t xml:space="preserve"> mm en panneau de dimensions </w:t>
      </w:r>
      <w:r>
        <w:rPr>
          <w:rStyle w:val="optioncarChar"/>
        </w:rPr>
        <w:t>1250 x 600</w:t>
      </w:r>
      <w:r>
        <w:t xml:space="preserve"> (par défaut) </w:t>
      </w:r>
      <w:r>
        <w:rPr>
          <w:rStyle w:val="optioncarChar"/>
        </w:rPr>
        <w:t>/ au choix de l’entrepreneur / ***</w:t>
      </w:r>
      <w:r>
        <w:t xml:space="preserve"> mm.</w:t>
      </w:r>
      <w:r>
        <w:br/>
        <w:t xml:space="preserve">Densité (selon [NBN EN ISO 29470]) : </w:t>
      </w:r>
      <w:r>
        <w:rPr>
          <w:rStyle w:val="optioncarChar"/>
        </w:rPr>
        <w:t xml:space="preserve">30 (variations de plus à moins 10 %) </w:t>
      </w:r>
      <w:r>
        <w:t xml:space="preserve">(par défaut) </w:t>
      </w:r>
      <w:r>
        <w:rPr>
          <w:rStyle w:val="optioncarChar"/>
        </w:rPr>
        <w:t>/ ***</w:t>
      </w:r>
      <w:r>
        <w:t xml:space="preserve"> kg/m³.</w:t>
      </w:r>
      <w:r>
        <w:br/>
        <w:t xml:space="preserve">Conductivité thermique (selon [NBN EN 12667]) : </w:t>
      </w:r>
      <w:r>
        <w:rPr>
          <w:rStyle w:val="optioncarChar"/>
        </w:rPr>
        <w:t>0,038</w:t>
      </w:r>
      <w:r>
        <w:t xml:space="preserve"> (par défaut)</w:t>
      </w:r>
      <w:r>
        <w:rPr>
          <w:rStyle w:val="optioncarChar"/>
        </w:rPr>
        <w:t xml:space="preserve"> / ***</w:t>
      </w:r>
      <w:r>
        <w:t xml:space="preserve"> W/mK.</w:t>
      </w:r>
      <w:r>
        <w:br/>
        <w:t xml:space="preserve">Les liants des panneaux et d’adhésion du revêtement de surface ne contiennent pas de formaldéhyde. Le dégagement mesuré selon la [NBN EN 717-1] est &lt; </w:t>
      </w:r>
      <w:r>
        <w:rPr>
          <w:rStyle w:val="optioncarChar"/>
        </w:rPr>
        <w:t>0.124</w:t>
      </w:r>
      <w:r>
        <w:t xml:space="preserve"> (par défaut)</w:t>
      </w:r>
      <w:r>
        <w:rPr>
          <w:rStyle w:val="optioncarChar"/>
        </w:rPr>
        <w:t>/ ***</w:t>
      </w:r>
      <w:r>
        <w:t xml:space="preserve"> mg/m³.</w:t>
      </w:r>
      <w:r>
        <w:br/>
        <w:t xml:space="preserve">La concentration de pentachlorophénol mesurée selon la [CEN/TR 14823] est &lt; </w:t>
      </w:r>
      <w:r>
        <w:rPr>
          <w:rStyle w:val="optioncarChar"/>
        </w:rPr>
        <w:t xml:space="preserve">5 </w:t>
      </w:r>
      <w:r>
        <w:t>(par défaut)</w:t>
      </w:r>
      <w:r>
        <w:rPr>
          <w:rStyle w:val="optioncarChar"/>
        </w:rPr>
        <w:t xml:space="preserve"> / ***</w:t>
      </w:r>
      <w:r>
        <w:t xml:space="preserve"> PPM.</w:t>
      </w:r>
      <w:r>
        <w:br/>
        <w:t xml:space="preserve">Les liants des panneaux sont issus de </w:t>
      </w:r>
      <w:r>
        <w:rPr>
          <w:rStyle w:val="optioncarChar"/>
        </w:rPr>
        <w:t xml:space="preserve">matières premières végétales </w:t>
      </w:r>
      <w:r>
        <w:t xml:space="preserve">(par défaut) </w:t>
      </w:r>
      <w:r>
        <w:rPr>
          <w:rStyle w:val="optioncarChar"/>
        </w:rPr>
        <w:t>/ dérivés pétrochimiques / ***</w:t>
      </w:r>
      <w:r>
        <w:t>.</w:t>
      </w:r>
      <w:r>
        <w:b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w:t>
      </w:r>
    </w:p>
    <w:p w14:paraId="7A133B48" w14:textId="77777777" w:rsidR="00772179" w:rsidRDefault="00000000">
      <w:r>
        <w:t xml:space="preserve">Les adjuvants respectent le [Règlement 1907/2006/CE]. La concentration maximum des adjuvants est de </w:t>
      </w:r>
      <w:r>
        <w:rPr>
          <w:rStyle w:val="optioncarChar"/>
        </w:rPr>
        <w:t>4 %</w:t>
      </w:r>
      <w:r>
        <w:t xml:space="preserve"> (par défaut)</w:t>
      </w:r>
      <w:r>
        <w:rPr>
          <w:rStyle w:val="optioncarChar"/>
        </w:rPr>
        <w:t xml:space="preserve"> / ***</w:t>
      </w:r>
      <w:r>
        <w:t>.</w:t>
      </w:r>
    </w:p>
    <w:p w14:paraId="4ED64319" w14:textId="77777777" w:rsidR="00772179" w:rsidRDefault="00000000">
      <w:pPr>
        <w:ind w:left="750"/>
      </w:pPr>
      <w:r>
        <w:t> </w:t>
      </w:r>
    </w:p>
    <w:p w14:paraId="0CD8FF5C" w14:textId="77777777" w:rsidR="00772179" w:rsidRDefault="00000000">
      <w:pPr>
        <w:pStyle w:val="pheading"/>
      </w:pPr>
      <w:r>
        <w:t>- Prescriptions complémentaires</w:t>
      </w:r>
    </w:p>
    <w:p w14:paraId="7BC927C3" w14:textId="77777777" w:rsidR="00772179" w:rsidRDefault="00000000">
      <w:r>
        <w:t>Coefficient de résistance à la diffusion de vapeur d’eau – valeur μ (selon</w:t>
      </w:r>
      <w:r>
        <w:rPr>
          <w:rStyle w:val="facultChar"/>
        </w:rPr>
        <w:t>[NBN EN 12086]</w:t>
      </w:r>
      <w:r>
        <w:t xml:space="preserve">): </w:t>
      </w:r>
      <w:r>
        <w:rPr>
          <w:rStyle w:val="optioncarChar"/>
        </w:rPr>
        <w:t xml:space="preserve">1 </w:t>
      </w:r>
      <w:r>
        <w:t xml:space="preserve">(par défaut) </w:t>
      </w:r>
      <w:r>
        <w:rPr>
          <w:rStyle w:val="optioncarChar"/>
        </w:rPr>
        <w:t>/ ***</w:t>
      </w:r>
      <w:r>
        <w:rPr>
          <w:rStyle w:val="facultChar"/>
        </w:rPr>
        <w:t>.</w:t>
      </w:r>
      <w:r>
        <w:br/>
        <w:t>Absorption d’eau à court terme par immersion partielle Wp (selon</w:t>
      </w:r>
      <w:r>
        <w:rPr>
          <w:rStyle w:val="facultChar"/>
        </w:rPr>
        <w:t>[NBN EN ISO 29767]</w:t>
      </w:r>
      <w:r>
        <w:t>) : &lt;</w:t>
      </w:r>
      <w:r>
        <w:rPr>
          <w:rStyle w:val="facultChar"/>
        </w:rPr>
        <w:t> </w:t>
      </w:r>
      <w:r>
        <w:rPr>
          <w:rStyle w:val="optioncarChar"/>
        </w:rPr>
        <w:t xml:space="preserve">5,00 </w:t>
      </w:r>
      <w:r>
        <w:t>(par défaut)</w:t>
      </w:r>
      <w:r>
        <w:rPr>
          <w:rStyle w:val="optioncarChar"/>
        </w:rPr>
        <w:t xml:space="preserve"> / ***</w:t>
      </w:r>
      <w:r>
        <w:t xml:space="preserve"> kg/m².</w:t>
      </w:r>
      <w:r>
        <w:br/>
        <w:t>La résistance au passage de l’air (selon</w:t>
      </w:r>
      <w:r>
        <w:rPr>
          <w:rStyle w:val="facultChar"/>
        </w:rPr>
        <w:t> [NBN EN ISO 9053-1]</w:t>
      </w:r>
      <w:r>
        <w:t xml:space="preserve">) : &gt; </w:t>
      </w:r>
      <w:r>
        <w:rPr>
          <w:rStyle w:val="optioncarChar"/>
        </w:rPr>
        <w:t xml:space="preserve">6,2 </w:t>
      </w:r>
      <w:r>
        <w:t>(par défaut)</w:t>
      </w:r>
      <w:r>
        <w:rPr>
          <w:rStyle w:val="optioncarChar"/>
        </w:rPr>
        <w:t xml:space="preserve"> / ***</w:t>
      </w:r>
      <w:r>
        <w:t xml:space="preserve"> kPa.s/m².</w:t>
      </w:r>
      <w:r>
        <w:br/>
        <w:t>Résistance fongique (selon</w:t>
      </w:r>
      <w:r>
        <w:rPr>
          <w:rStyle w:val="facultChar"/>
        </w:rPr>
        <w:t>[NBN EN ISO 846]</w:t>
      </w:r>
      <w:r>
        <w:t xml:space="preserve">) : </w:t>
      </w:r>
      <w:r>
        <w:rPr>
          <w:rStyle w:val="optioncarChar"/>
        </w:rPr>
        <w:t xml:space="preserve">classe 0 (inerte) </w:t>
      </w:r>
      <w:r>
        <w:t>(par défaut)</w:t>
      </w:r>
      <w:r>
        <w:rPr>
          <w:rStyle w:val="optioncarChar"/>
        </w:rPr>
        <w:t xml:space="preserve"> / ***</w:t>
      </w:r>
      <w:r>
        <w:rPr>
          <w:rStyle w:val="facultChar"/>
        </w:rPr>
        <w:t>.</w:t>
      </w:r>
      <w:r>
        <w:br/>
        <w:t xml:space="preserve">Capacité thermique : </w:t>
      </w:r>
      <w:r>
        <w:rPr>
          <w:rStyle w:val="optioncarChar"/>
        </w:rPr>
        <w:t xml:space="preserve">1,8 </w:t>
      </w:r>
      <w:r>
        <w:t xml:space="preserve">(par défaut) </w:t>
      </w:r>
      <w:r>
        <w:rPr>
          <w:rStyle w:val="optioncarChar"/>
        </w:rPr>
        <w:t>/ *** </w:t>
      </w:r>
      <w:r>
        <w:t>kJ/kg.K.</w:t>
      </w:r>
      <w:r>
        <w:br/>
        <w:t>Classement de la réaction au feu (selon</w:t>
      </w:r>
      <w:r>
        <w:rPr>
          <w:rStyle w:val="facultChar"/>
        </w:rPr>
        <w:t>[NBN EN 13501-1]</w:t>
      </w:r>
      <w:r>
        <w:t xml:space="preserve">) : </w:t>
      </w:r>
      <w:r>
        <w:rPr>
          <w:rStyle w:val="optioncarChar"/>
        </w:rPr>
        <w:t xml:space="preserve">E </w:t>
      </w:r>
      <w:r>
        <w:t xml:space="preserve">(par défaut) </w:t>
      </w:r>
      <w:r>
        <w:rPr>
          <w:rStyle w:val="optioncarChar"/>
        </w:rPr>
        <w:t>/ ***</w:t>
      </w:r>
      <w:r>
        <w:rPr>
          <w:rStyle w:val="facultChar"/>
        </w:rPr>
        <w:t>.</w:t>
      </w:r>
      <w:r>
        <w:br/>
        <w:t xml:space="preserve">Taux de liant synthétique (polyester) : </w:t>
      </w:r>
      <w:r>
        <w:rPr>
          <w:rStyle w:val="optioncarChar"/>
        </w:rPr>
        <w:t xml:space="preserve">10 % (+/- 2 %) </w:t>
      </w:r>
      <w:r>
        <w:t xml:space="preserve">(par défaut) </w:t>
      </w:r>
      <w:r>
        <w:rPr>
          <w:rStyle w:val="optioncarChar"/>
        </w:rPr>
        <w:t>/ ***.</w:t>
      </w:r>
    </w:p>
    <w:p w14:paraId="6F075EA5" w14:textId="77777777" w:rsidR="00772179" w:rsidRDefault="00000000">
      <w:pPr>
        <w:pStyle w:val="pheading"/>
      </w:pPr>
      <w:r>
        <w:t>EXÉCUTION / MISE EN ŒUVRE</w:t>
      </w:r>
    </w:p>
    <w:p w14:paraId="08C6D50F" w14:textId="77777777" w:rsidR="00772179" w:rsidRDefault="00000000">
      <w:pPr>
        <w:pStyle w:val="pheading"/>
      </w:pPr>
      <w:r>
        <w:t>- Prescriptions générales</w:t>
      </w:r>
    </w:p>
    <w:p w14:paraId="4EE85054" w14:textId="77777777" w:rsidR="00772179" w:rsidRDefault="00000000">
      <w:r>
        <w:t>L’isolant est découpé sur chantier avec un couteau à lame lisse ou ondulée, ou à l’aide d’un disque de fer lisse monté sur une disqueuse. Une règle de maçon et un support rigide (planche de bois ou plaque de plâtre) doivent également être utilisés.</w:t>
      </w:r>
      <w:r>
        <w:br/>
        <w:t>Les panneaux sont contigus. Les espaces éventuels entre panneaux ou de liaison avec les parois sont comblés avec un isolant de même type.</w:t>
      </w:r>
      <w:r>
        <w:br/>
        <w:t>Les fixations sont disposées afin de ne pas réduire les performances acoustiques.</w:t>
      </w:r>
      <w:r>
        <w:br/>
        <w:t>L’isolation en application derrière des bardages métalliques est conforme à la [NIT 266].</w:t>
      </w:r>
      <w:r>
        <w:br/>
        <w:t>L’isolation thermique de façade en panneaux de lin est conforme à la [NIT 178].</w:t>
      </w:r>
      <w:r>
        <w:br/>
        <w:t>Il n’est pas permis d’installer dans l’épaisseur de l’isolation à réaliser tout matériel électrique non protégé susceptible de créer une source de chaleur continue (spots, transformateurs).</w:t>
      </w:r>
    </w:p>
    <w:p w14:paraId="415E82FA" w14:textId="77777777" w:rsidR="00772179" w:rsidRDefault="00000000">
      <w:pPr>
        <w:jc w:val="both"/>
      </w:pPr>
      <w:r>
        <w:t xml:space="preserve">Les panneaux sont fixés par </w:t>
      </w:r>
      <w:r>
        <w:rPr>
          <w:rStyle w:val="optioncarChar"/>
        </w:rPr>
        <w:t>serrage entre éléments</w:t>
      </w:r>
      <w:r>
        <w:t xml:space="preserve"> (par défaut) </w:t>
      </w:r>
      <w:r>
        <w:rPr>
          <w:rStyle w:val="optioncarChar"/>
        </w:rPr>
        <w:t>/ fixation mécanique / ***.</w:t>
      </w:r>
    </w:p>
    <w:p w14:paraId="61D39034" w14:textId="77777777" w:rsidR="00772179" w:rsidRDefault="00000000">
      <w:pPr>
        <w:ind w:left="567"/>
        <w:jc w:val="both"/>
      </w:pPr>
      <w:r>
        <w:rPr>
          <w:b/>
          <w:i/>
        </w:rPr>
        <w:t>(soit par défaut) </w:t>
      </w:r>
    </w:p>
    <w:p w14:paraId="0C4FFD80" w14:textId="77777777" w:rsidR="00772179" w:rsidRDefault="00772179">
      <w:pPr>
        <w:ind w:left="567"/>
        <w:jc w:val="both"/>
      </w:pPr>
    </w:p>
    <w:p w14:paraId="73BCCC79" w14:textId="77777777" w:rsidR="00772179" w:rsidRDefault="00000000">
      <w:pPr>
        <w:ind w:left="567"/>
        <w:jc w:val="both"/>
      </w:pPr>
      <w:r>
        <w:rPr>
          <w:rStyle w:val="soitChar"/>
          <w:b/>
          <w:u w:val="single"/>
        </w:rPr>
        <w:t>Par serrage entre éléments</w:t>
      </w:r>
    </w:p>
    <w:p w14:paraId="2CFD27E8" w14:textId="77777777" w:rsidR="00772179" w:rsidRDefault="00000000">
      <w:pPr>
        <w:ind w:left="567"/>
        <w:jc w:val="both"/>
      </w:pPr>
      <w:r>
        <w:rPr>
          <w:rStyle w:val="soitChar"/>
        </w:rPr>
        <w:t>Les panneaux sont disposés entre les montants de l’ossature avec un léger pincement (max. 3% de la largeur du panneau) en butée au sol et au plafond.</w:t>
      </w:r>
    </w:p>
    <w:p w14:paraId="06F0C321" w14:textId="77777777" w:rsidR="00772179" w:rsidRDefault="00000000">
      <w:pPr>
        <w:ind w:left="567"/>
        <w:jc w:val="both"/>
      </w:pPr>
      <w:r>
        <w:rPr>
          <w:rStyle w:val="soitChar"/>
        </w:rPr>
        <w:lastRenderedPageBreak/>
        <w:t>La fixation par serrage fait l’objet d’un contrôle visuel après pose.</w:t>
      </w:r>
    </w:p>
    <w:p w14:paraId="5D7A8647" w14:textId="77777777" w:rsidR="00772179" w:rsidRDefault="00000000">
      <w:pPr>
        <w:ind w:left="567"/>
        <w:jc w:val="both"/>
      </w:pPr>
      <w:r>
        <w:rPr>
          <w:b/>
          <w:i/>
        </w:rPr>
        <w:t>(soit) </w:t>
      </w:r>
    </w:p>
    <w:p w14:paraId="407E41F6" w14:textId="77777777" w:rsidR="00772179" w:rsidRDefault="00000000">
      <w:pPr>
        <w:ind w:left="567"/>
        <w:jc w:val="both"/>
      </w:pPr>
      <w:r>
        <w:rPr>
          <w:rStyle w:val="soitChar"/>
          <w:b/>
          <w:u w:val="single"/>
        </w:rPr>
        <w:t>Par fixation mécanique</w:t>
      </w:r>
    </w:p>
    <w:p w14:paraId="46B550FC" w14:textId="77777777" w:rsidR="00772179" w:rsidRDefault="00000000">
      <w:pPr>
        <w:ind w:left="567"/>
        <w:jc w:val="both"/>
      </w:pPr>
      <w:r>
        <w:rPr>
          <w:rStyle w:val="soitChar"/>
        </w:rPr>
        <w:t>Les panneaux sont</w:t>
      </w:r>
      <w:r>
        <w:rPr>
          <w:rStyle w:val="optioncarChar"/>
        </w:rPr>
        <w:t xml:space="preserve"> cloués / vissés / agrafés par léger pincement de la face interne de l’isolant </w:t>
      </w:r>
      <w:r>
        <w:rPr>
          <w:rStyle w:val="soitChar"/>
        </w:rPr>
        <w:t xml:space="preserve">sur les montants tous les </w:t>
      </w:r>
      <w:r>
        <w:rPr>
          <w:rStyle w:val="optioncarChar"/>
        </w:rPr>
        <w:t xml:space="preserve">40 </w:t>
      </w:r>
      <w:r>
        <w:t xml:space="preserve">(par défaut) </w:t>
      </w:r>
      <w:r>
        <w:rPr>
          <w:rStyle w:val="optioncarChar"/>
        </w:rPr>
        <w:t>/ ***</w:t>
      </w:r>
      <w:r>
        <w:rPr>
          <w:rStyle w:val="soitChar"/>
        </w:rPr>
        <w:t xml:space="preserve"> cm et sur la lisse haute tous les </w:t>
      </w:r>
      <w:r>
        <w:rPr>
          <w:rStyle w:val="optioncarChar"/>
        </w:rPr>
        <w:t>15</w:t>
      </w:r>
      <w:r>
        <w:t xml:space="preserve"> (par défaut)</w:t>
      </w:r>
      <w:r>
        <w:rPr>
          <w:rStyle w:val="optioncarChar"/>
        </w:rPr>
        <w:t xml:space="preserve"> / *** </w:t>
      </w:r>
      <w:r>
        <w:rPr>
          <w:rStyle w:val="soitChar"/>
        </w:rPr>
        <w:t>cm.</w:t>
      </w:r>
    </w:p>
    <w:p w14:paraId="34F0AC7D" w14:textId="77777777" w:rsidR="00772179" w:rsidRDefault="00000000">
      <w:pPr>
        <w:ind w:left="567"/>
        <w:jc w:val="both"/>
      </w:pPr>
      <w:r>
        <w:rPr>
          <w:b/>
          <w:i/>
        </w:rPr>
        <w:t>(soit)</w:t>
      </w:r>
    </w:p>
    <w:p w14:paraId="10160231" w14:textId="77777777" w:rsidR="00772179" w:rsidRDefault="00000000">
      <w:pPr>
        <w:ind w:left="567"/>
        <w:jc w:val="both"/>
      </w:pPr>
      <w:r>
        <w:rPr>
          <w:rStyle w:val="optioncarChar"/>
        </w:rPr>
        <w:t>***</w:t>
      </w:r>
      <w:r>
        <w:t> </w:t>
      </w:r>
    </w:p>
    <w:p w14:paraId="375ECFEB" w14:textId="77777777" w:rsidR="00772179" w:rsidRDefault="00000000">
      <w:pPr>
        <w:jc w:val="both"/>
      </w:pPr>
      <w:r>
        <w:rPr>
          <w:b/>
        </w:rPr>
        <w:t>Pour une application verticale</w:t>
      </w:r>
    </w:p>
    <w:p w14:paraId="4B5B341A" w14:textId="77777777" w:rsidR="00772179" w:rsidRDefault="00000000">
      <w:r>
        <w:t>Les panneaux sont disposés entre montants, chevrons ou poutres. La largeur des panneaux est ≥ la largeur libre entre montants + 2 cm.</w:t>
      </w:r>
      <w:r>
        <w:br/>
        <w:t>Le parement est disposé en partie</w:t>
      </w:r>
      <w:r>
        <w:rPr>
          <w:rStyle w:val="optioncarChar"/>
        </w:rPr>
        <w:t xml:space="preserve"> extérieure </w:t>
      </w:r>
      <w:r>
        <w:t>(par défaut)</w:t>
      </w:r>
      <w:r>
        <w:rPr>
          <w:rStyle w:val="optioncarChar"/>
        </w:rPr>
        <w:t xml:space="preserve"> / intérieure / ***</w:t>
      </w:r>
      <w:r>
        <w:t>.</w:t>
      </w:r>
      <w:r>
        <w:br/>
        <w:t xml:space="preserve">Les panneaux sont fixés par </w:t>
      </w:r>
      <w:r>
        <w:rPr>
          <w:rStyle w:val="optioncarChar"/>
        </w:rPr>
        <w:t xml:space="preserve">fixation mécanique </w:t>
      </w:r>
      <w:r>
        <w:t xml:space="preserve">(par défaut) </w:t>
      </w:r>
      <w:r>
        <w:rPr>
          <w:rStyle w:val="optioncarChar"/>
        </w:rPr>
        <w:t>/ serrage entre éléments et agrafage / ***.</w:t>
      </w:r>
    </w:p>
    <w:p w14:paraId="04EA9919" w14:textId="77777777" w:rsidR="00772179" w:rsidRDefault="00000000">
      <w:r>
        <w:rPr>
          <w:b/>
          <w:i/>
        </w:rPr>
        <w:t>          (soit par défaut) </w:t>
      </w:r>
    </w:p>
    <w:p w14:paraId="37000AC8" w14:textId="77777777" w:rsidR="00772179" w:rsidRDefault="00000000">
      <w:pPr>
        <w:ind w:left="567"/>
        <w:jc w:val="both"/>
      </w:pPr>
      <w:r>
        <w:rPr>
          <w:rStyle w:val="soitChar"/>
          <w:b/>
          <w:u w:val="single"/>
        </w:rPr>
        <w:t>Par fixation mécanique</w:t>
      </w:r>
    </w:p>
    <w:p w14:paraId="17AA6510" w14:textId="77777777" w:rsidR="00772179" w:rsidRDefault="00000000">
      <w:pPr>
        <w:ind w:left="567"/>
        <w:jc w:val="both"/>
      </w:pPr>
      <w:r>
        <w:rPr>
          <w:rStyle w:val="soitChar"/>
        </w:rPr>
        <w:t xml:space="preserve"> Les fixations sont au nombre de </w:t>
      </w:r>
      <w:r>
        <w:rPr>
          <w:rStyle w:val="optioncarChar"/>
        </w:rPr>
        <w:t>5 par m²</w:t>
      </w:r>
      <w:r>
        <w:t xml:space="preserve"> (par défaut)</w:t>
      </w:r>
      <w:r>
        <w:rPr>
          <w:rStyle w:val="optioncarChar"/>
        </w:rPr>
        <w:t xml:space="preserve"> / 8 par m² / ***</w:t>
      </w:r>
      <w:r>
        <w:rPr>
          <w:rStyle w:val="soitChar"/>
        </w:rPr>
        <w:t xml:space="preserve">. Elles sont munies de </w:t>
      </w:r>
      <w:r>
        <w:rPr>
          <w:rStyle w:val="optioncarChar"/>
        </w:rPr>
        <w:t>rosace métallique /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w:t>
      </w:r>
    </w:p>
    <w:p w14:paraId="7EF3D872" w14:textId="77777777" w:rsidR="00772179" w:rsidRDefault="00000000">
      <w:pPr>
        <w:ind w:left="567"/>
        <w:jc w:val="both"/>
      </w:pPr>
      <w:r>
        <w:rPr>
          <w:b/>
          <w:i/>
        </w:rPr>
        <w:t>(soit) </w:t>
      </w:r>
    </w:p>
    <w:p w14:paraId="6BC3921C" w14:textId="77777777" w:rsidR="00772179" w:rsidRDefault="00000000">
      <w:pPr>
        <w:ind w:left="567"/>
        <w:jc w:val="both"/>
      </w:pPr>
      <w:r>
        <w:rPr>
          <w:rStyle w:val="soitChar"/>
          <w:b/>
          <w:u w:val="single"/>
        </w:rPr>
        <w:t>Par serrage et agrafage entre éléments</w:t>
      </w:r>
    </w:p>
    <w:p w14:paraId="48C93063" w14:textId="77777777" w:rsidR="00772179" w:rsidRDefault="00000000">
      <w:pPr>
        <w:ind w:left="567"/>
        <w:jc w:val="both"/>
      </w:pPr>
      <w:r>
        <w:rPr>
          <w:rStyle w:val="soitChar"/>
        </w:rPr>
        <w:t xml:space="preserve">Les panneaux sont serrés entièrement et découpés à mesure (+ 2 cm), le serrage est accompagné d’un </w:t>
      </w:r>
      <w:r>
        <w:rPr>
          <w:rStyle w:val="optioncarChar"/>
        </w:rPr>
        <w:t>agrafage à raison de 5 par m et par côté</w:t>
      </w:r>
      <w:r>
        <w:t xml:space="preserve"> (par défaut) </w:t>
      </w:r>
      <w:r>
        <w:rPr>
          <w:rStyle w:val="optioncarChar"/>
        </w:rPr>
        <w:t>/ ***</w:t>
      </w:r>
      <w:r>
        <w:rPr>
          <w:rStyle w:val="soitChar"/>
        </w:rPr>
        <w:t>.</w:t>
      </w:r>
    </w:p>
    <w:p w14:paraId="69521550" w14:textId="77777777" w:rsidR="00772179" w:rsidRDefault="00772179">
      <w:pPr>
        <w:ind w:left="567"/>
        <w:jc w:val="both"/>
      </w:pPr>
    </w:p>
    <w:p w14:paraId="0D08859E" w14:textId="77777777" w:rsidR="00772179" w:rsidRDefault="00772179">
      <w:pPr>
        <w:ind w:left="567"/>
        <w:jc w:val="both"/>
      </w:pPr>
    </w:p>
    <w:p w14:paraId="1AFAB2ED" w14:textId="77777777" w:rsidR="00772179" w:rsidRDefault="00000000">
      <w:pPr>
        <w:ind w:left="567"/>
        <w:jc w:val="both"/>
      </w:pPr>
      <w:r>
        <w:rPr>
          <w:b/>
          <w:i/>
        </w:rPr>
        <w:t>(soit) </w:t>
      </w:r>
    </w:p>
    <w:p w14:paraId="1EAEEE3D" w14:textId="77777777" w:rsidR="00772179" w:rsidRDefault="00000000">
      <w:pPr>
        <w:ind w:left="567"/>
        <w:jc w:val="both"/>
      </w:pPr>
      <w:r>
        <w:rPr>
          <w:rStyle w:val="optioncarChar"/>
        </w:rPr>
        <w:t>***</w:t>
      </w:r>
    </w:p>
    <w:p w14:paraId="37F66038" w14:textId="77777777" w:rsidR="00772179" w:rsidRDefault="00000000">
      <w:pPr>
        <w:jc w:val="both"/>
      </w:pPr>
      <w:r>
        <w:t>Ne s’applique pas aux enduits sur isolant.</w:t>
      </w:r>
    </w:p>
    <w:p w14:paraId="01D617D1" w14:textId="77777777" w:rsidR="00772179" w:rsidRDefault="00000000">
      <w:pPr>
        <w:jc w:val="both"/>
      </w:pPr>
      <w:r>
        <w:t>Pour l’isolation de la coulisse, il faut que la coulisse soit suffisamment aérée en parties basse et haute et pourvue d’un pare-pluie conformément à la [NIT 178].</w:t>
      </w:r>
    </w:p>
    <w:p w14:paraId="0D5C6DBE" w14:textId="77777777" w:rsidR="00772179" w:rsidRDefault="00000000">
      <w:pPr>
        <w:pStyle w:val="pheading"/>
      </w:pPr>
      <w:r>
        <w:t>DOCUMENTS DE RÉFÉRENCE COMPLÉMENTAIRES</w:t>
      </w:r>
    </w:p>
    <w:p w14:paraId="2DEACA13" w14:textId="77777777" w:rsidR="00772179" w:rsidRDefault="00000000">
      <w:pPr>
        <w:pStyle w:val="pheading"/>
      </w:pPr>
      <w:r>
        <w:t>- Matériau</w:t>
      </w:r>
    </w:p>
    <w:p w14:paraId="2357004A"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BB2D200" w14:textId="77777777" w:rsidR="00772179" w:rsidRDefault="00000000">
      <w:r>
        <w:t>[NBN EN 13501-1, Classement au feu des produits et éléments de construction - Partie 1: Classement à partir des données d'essais de réaction au feu]</w:t>
      </w:r>
    </w:p>
    <w:p w14:paraId="762F2FE6" w14:textId="77777777" w:rsidR="00772179" w:rsidRDefault="00000000">
      <w:r>
        <w:t>[NBN EN 823, Produits isolants thermiques destinés aux applications du bâtiment - Détermination de l'épaisseur] </w:t>
      </w:r>
    </w:p>
    <w:p w14:paraId="0B4D8BF6" w14:textId="77777777" w:rsidR="00772179" w:rsidRDefault="00000000">
      <w:r>
        <w:t>[NBN EN ISO 29470, Produits isolants thermiques destinés aux applications du bâtiment - Détermination de la masse volumique apparente (ISO 29470:2020)]</w:t>
      </w:r>
    </w:p>
    <w:p w14:paraId="38FF0428" w14:textId="77777777" w:rsidR="00772179" w:rsidRDefault="00000000">
      <w:r>
        <w:t>[NBN EN ISO 29767, Produits isolants thermiques destinés aux applications du bâtiment - Détermination de l'absorption d'eau à court terme par immersion partielle (ISO 29767:2019)]</w:t>
      </w:r>
    </w:p>
    <w:p w14:paraId="2A4F3751" w14:textId="77777777" w:rsidR="00772179" w:rsidRDefault="00000000">
      <w:r>
        <w:lastRenderedPageBreak/>
        <w:t>[NBN EN 12086, Produits isolants thermiques destinés aux applications du bâtiment - Détermination des propriétés de transmission de la vapeur d'eau]</w:t>
      </w:r>
    </w:p>
    <w:p w14:paraId="3C09EE86" w14:textId="77777777" w:rsidR="00772179" w:rsidRDefault="00000000">
      <w:r>
        <w:t>[NBN EN ISO 9053-1, Acoustique - Détermination de la résistance à l'écoulement de l'air - Partie 1: Méthode statique (ISO 9053-1:2018)]</w:t>
      </w:r>
    </w:p>
    <w:p w14:paraId="64106B2F" w14:textId="77777777" w:rsidR="00772179" w:rsidRDefault="00000000">
      <w:r>
        <w:t>[NBN EN ISO 846, Plastiques - Évaluation de l'action des micro-organismes (ISO 846:2019)]</w:t>
      </w:r>
    </w:p>
    <w:p w14:paraId="64ECE87A" w14:textId="77777777" w:rsidR="00772179" w:rsidRDefault="00000000">
      <w:r>
        <w:t>[NBN EN 717-1, Panneaux à base de bois - Détermination du dégagement de formaldéhyde - Partie 1 : Emission de formaldéhyde par la méthode à la chambre]</w:t>
      </w:r>
    </w:p>
    <w:p w14:paraId="6F9F7A91" w14:textId="77777777" w:rsidR="00772179" w:rsidRDefault="00000000">
      <w:r>
        <w:t>[CEN/TR 14823, Durabilité du bois et des matériaux dérivés du bois - Analyse quantitative du pentachlorophénol dans le bois - Méthode par chromatographie en phase gazeuse]</w:t>
      </w:r>
    </w:p>
    <w:p w14:paraId="542DFC3E" w14:textId="77777777" w:rsidR="00772179" w:rsidRDefault="00000000">
      <w:pPr>
        <w:pStyle w:val="pheading"/>
      </w:pPr>
      <w:r>
        <w:t>- Exécution</w:t>
      </w:r>
    </w:p>
    <w:p w14:paraId="0332C233" w14:textId="77777777" w:rsidR="00772179" w:rsidRDefault="00000000">
      <w:r>
        <w:t>[NIT 266, Couvertures et bardages métalliques à joints debout et à tasseaux]</w:t>
      </w:r>
    </w:p>
    <w:p w14:paraId="4D50D2AD" w14:textId="77777777" w:rsidR="00772179" w:rsidRDefault="00000000">
      <w:r>
        <w:t>[NIT 178, L'isolation thermique des façades]</w:t>
      </w:r>
    </w:p>
    <w:p w14:paraId="30AF20E0" w14:textId="77777777" w:rsidR="00772179" w:rsidRDefault="00000000">
      <w:r>
        <w:t>[NIT 243, Les revêtements de façade en bois et en panneaux à base de bois.]</w:t>
      </w:r>
    </w:p>
    <w:p w14:paraId="498CFCAD" w14:textId="77777777" w:rsidR="00772179" w:rsidRDefault="00000000">
      <w:r>
        <w:t>[NBN EN 13501-1, Classement au feu des produits et éléments de construction - Partie 1: Classement à partir des données d'essais de réaction au feu]</w:t>
      </w:r>
    </w:p>
    <w:p w14:paraId="40C667BE" w14:textId="77777777" w:rsidR="00772179" w:rsidRDefault="00000000">
      <w:pPr>
        <w:pStyle w:val="pheading"/>
      </w:pPr>
      <w:r>
        <w:t>MESURAGE</w:t>
      </w:r>
    </w:p>
    <w:p w14:paraId="1686B746" w14:textId="77777777" w:rsidR="00772179" w:rsidRDefault="00000000">
      <w:pPr>
        <w:pStyle w:val="pheading"/>
      </w:pPr>
      <w:r>
        <w:t>- unité de mesure:</w:t>
      </w:r>
    </w:p>
    <w:p w14:paraId="4931A456" w14:textId="77777777" w:rsidR="00772179" w:rsidRDefault="00000000">
      <w:r>
        <w:t>m²</w:t>
      </w:r>
    </w:p>
    <w:p w14:paraId="107A6205" w14:textId="77777777" w:rsidR="00772179" w:rsidRDefault="00000000">
      <w:pPr>
        <w:pStyle w:val="pheading"/>
      </w:pPr>
      <w:r>
        <w:t>- code de mesurage:</w:t>
      </w:r>
    </w:p>
    <w:p w14:paraId="420F0713" w14:textId="77777777" w:rsidR="00772179" w:rsidRDefault="00000000">
      <w:r>
        <w:rPr>
          <w:u w:val="single"/>
        </w:rPr>
        <w:t>Isolation des parois verticales :</w:t>
      </w:r>
      <w:r>
        <w:rPr>
          <w:b/>
        </w:rPr>
        <w:t>Surface nette</w:t>
      </w:r>
      <w:r>
        <w:t>. Les ouvertures &gt; 0,50 m² sont déduites.</w:t>
      </w:r>
    </w:p>
    <w:p w14:paraId="558F32A7" w14:textId="77777777" w:rsidR="00772179" w:rsidRDefault="00000000">
      <w:r>
        <w:t>Distinction faite suivant le type et l'épaisseur.</w:t>
      </w:r>
    </w:p>
    <w:p w14:paraId="719706D5" w14:textId="77777777" w:rsidR="00772179" w:rsidRDefault="00000000">
      <w:pPr>
        <w:pStyle w:val="pheading"/>
      </w:pPr>
      <w:r>
        <w:t>- nature du marché:</w:t>
      </w:r>
    </w:p>
    <w:p w14:paraId="49EE153C" w14:textId="77777777" w:rsidR="00772179" w:rsidRDefault="00000000">
      <w:r>
        <w:t>QF</w:t>
      </w:r>
    </w:p>
    <w:p w14:paraId="4DB18260" w14:textId="77777777" w:rsidR="00772179" w:rsidRDefault="00000000">
      <w:pPr>
        <w:pStyle w:val="pheading"/>
      </w:pPr>
      <w:r>
        <w:t>AIDE</w:t>
      </w:r>
    </w:p>
    <w:p w14:paraId="2DE38613" w14:textId="77777777" w:rsidR="00772179" w:rsidRDefault="00000000">
      <w:pPr>
        <w:jc w:val="both"/>
      </w:pPr>
      <w:r>
        <w:t>Les panneaux isolants en lin ne s’appliquent pas aux bâtiments à forte hygrométrie ni aux bâtiments industriels, agricoles, agroalimentaires.</w:t>
      </w:r>
    </w:p>
    <w:p w14:paraId="0C9B61A5" w14:textId="77777777" w:rsidR="00772179" w:rsidRDefault="00000000">
      <w:pPr>
        <w:pStyle w:val="Author-eSectionHeading6Numberless"/>
      </w:pPr>
      <w:bookmarkStart w:id="1002" w:name="_Toc220490660"/>
      <w:r>
        <w:t>44.41.3g Isolation en panneaux - coton CCTB 01.12</w:t>
      </w:r>
      <w:bookmarkEnd w:id="1002"/>
    </w:p>
    <w:p w14:paraId="3FFDA925" w14:textId="77777777" w:rsidR="00772179" w:rsidRDefault="00000000">
      <w:pPr>
        <w:pStyle w:val="pheading"/>
      </w:pPr>
      <w:r>
        <w:t>DESCRIPTION</w:t>
      </w:r>
    </w:p>
    <w:p w14:paraId="014EBEBF" w14:textId="77777777" w:rsidR="00772179" w:rsidRDefault="00000000">
      <w:pPr>
        <w:pStyle w:val="pheading"/>
      </w:pPr>
      <w:r>
        <w:t>- Définition / Comprend</w:t>
      </w:r>
    </w:p>
    <w:p w14:paraId="44F851BF" w14:textId="77777777" w:rsidR="00772179" w:rsidRDefault="00000000">
      <w:r>
        <w:t xml:space="preserve">Il s’agit de la fourniture et la pose d’une isolation thermique au moyen de panneaux de coton des parois et éléments de construction décrits au titre </w:t>
      </w:r>
      <w:hyperlink w:anchor="72" w:history="1">
        <w:r>
          <w:rPr>
            <w:color w:val="0000EE"/>
          </w:rPr>
          <w:t>44.4 Isolation</w:t>
        </w:r>
      </w:hyperlink>
      <w:r>
        <w:t>.</w:t>
      </w:r>
    </w:p>
    <w:p w14:paraId="0564D43F" w14:textId="77777777" w:rsidR="00772179" w:rsidRDefault="00000000">
      <w:pPr>
        <w:pStyle w:val="pheading"/>
      </w:pPr>
      <w:r>
        <w:t>MATÉRIAUX</w:t>
      </w:r>
    </w:p>
    <w:p w14:paraId="082F3B40" w14:textId="77777777" w:rsidR="00772179" w:rsidRDefault="00000000">
      <w:pPr>
        <w:pStyle w:val="pheading"/>
      </w:pPr>
      <w:r>
        <w:t>- Caractéristiques générales</w:t>
      </w:r>
    </w:p>
    <w:p w14:paraId="1700A8DF" w14:textId="77777777" w:rsidR="00772179" w:rsidRDefault="00000000">
      <w:r>
        <w:t>Le produit est constitué de fibres textiles recyclées et liées entre elles par des fibres polyester thermo fusibles afin de former un matelas isolant. Le produit est ensuite conditionné sous forme de panneaux.</w:t>
      </w:r>
      <w:r>
        <w:br/>
        <w:t>Le produit reçoit un traitement antibactérien et anticryptogamique ainsi qu’un traitement ignifuge.</w:t>
      </w:r>
      <w:r>
        <w:br/>
        <w:t>Le surfaçage des panneaux est de type : </w:t>
      </w:r>
      <w:r>
        <w:rPr>
          <w:rStyle w:val="optioncarChar"/>
        </w:rPr>
        <w:t xml:space="preserve">nu </w:t>
      </w:r>
      <w:r>
        <w:t xml:space="preserve">(par défaut) </w:t>
      </w:r>
      <w:r>
        <w:rPr>
          <w:rStyle w:val="optioncarChar"/>
        </w:rPr>
        <w:t>/ ***</w:t>
      </w:r>
      <w:r>
        <w:br/>
        <w:t xml:space="preserve">Épaisseur totale de l’isolation : </w:t>
      </w:r>
      <w:r>
        <w:rPr>
          <w:rStyle w:val="optioncarChar"/>
        </w:rPr>
        <w:t>***</w:t>
      </w:r>
      <w:r>
        <w:t> mm</w:t>
      </w:r>
      <w:r>
        <w:br/>
        <w:t xml:space="preserve">Les panneaux sont disposés en </w:t>
      </w:r>
      <w:r>
        <w:rPr>
          <w:rStyle w:val="optioncarChar"/>
        </w:rPr>
        <w:t xml:space="preserve">1 </w:t>
      </w:r>
      <w:r>
        <w:t>(par défaut)</w:t>
      </w:r>
      <w:r>
        <w:rPr>
          <w:rStyle w:val="optioncarChar"/>
        </w:rPr>
        <w:t xml:space="preserve"> / ***</w:t>
      </w:r>
      <w:r>
        <w:t> couche(s).</w:t>
      </w:r>
    </w:p>
    <w:p w14:paraId="0F5B2358" w14:textId="77777777" w:rsidR="00772179" w:rsidRDefault="00000000">
      <w:pPr>
        <w:pStyle w:val="pheading"/>
      </w:pPr>
      <w:r>
        <w:t>- Prescriptions complémentaires</w:t>
      </w:r>
    </w:p>
    <w:p w14:paraId="3667A084" w14:textId="77777777" w:rsidR="00772179" w:rsidRDefault="00000000">
      <w:r>
        <w:lastRenderedPageBreak/>
        <w:t>Épaisseur (selon</w:t>
      </w:r>
      <w:r>
        <w:rPr>
          <w:rStyle w:val="facultChar"/>
        </w:rPr>
        <w:t>[NBN EN 823]</w:t>
      </w:r>
      <w:r>
        <w:t xml:space="preserve">) : </w:t>
      </w:r>
      <w:r>
        <w:rPr>
          <w:rStyle w:val="optioncarChar"/>
        </w:rPr>
        <w:t xml:space="preserve"> 50 / 80 / 100 / 120 / 145 / 200 / ***</w:t>
      </w:r>
      <w:r>
        <w:t xml:space="preserve"> mm en panneau de dimensions </w:t>
      </w:r>
      <w:r>
        <w:rPr>
          <w:rStyle w:val="optioncarChar"/>
        </w:rPr>
        <w:t xml:space="preserve">1200 x 600 </w:t>
      </w:r>
      <w:r>
        <w:t>(par défaut)</w:t>
      </w:r>
      <w:r>
        <w:rPr>
          <w:rStyle w:val="optioncarChar"/>
        </w:rPr>
        <w:t xml:space="preserve"> / ***</w:t>
      </w:r>
      <w:r>
        <w:t xml:space="preserve"> mm</w:t>
      </w:r>
      <w:r>
        <w:br/>
        <w:t>Densité (selon</w:t>
      </w:r>
      <w:r>
        <w:rPr>
          <w:rStyle w:val="facultChar"/>
        </w:rPr>
        <w:t>[NBN EN ISO 29470]</w:t>
      </w:r>
      <w:r>
        <w:t xml:space="preserve">) : </w:t>
      </w:r>
      <w:r>
        <w:rPr>
          <w:rStyle w:val="optioncarChar"/>
        </w:rPr>
        <w:t xml:space="preserve">20 (+/- 10 %) </w:t>
      </w:r>
      <w:r>
        <w:t xml:space="preserve">(par défaut) </w:t>
      </w:r>
      <w:r>
        <w:rPr>
          <w:rStyle w:val="optioncarChar"/>
        </w:rPr>
        <w:t>/ ***</w:t>
      </w:r>
      <w:r>
        <w:t> kg/m³</w:t>
      </w:r>
      <w:r>
        <w:br/>
        <w:t>Conductivité thermique (selon </w:t>
      </w:r>
      <w:r>
        <w:rPr>
          <w:rStyle w:val="facultChar"/>
        </w:rPr>
        <w:t>[NBN EN 12667]</w:t>
      </w:r>
      <w:r>
        <w:t xml:space="preserve">) : </w:t>
      </w:r>
      <w:r>
        <w:rPr>
          <w:rStyle w:val="optioncarChar"/>
        </w:rPr>
        <w:t xml:space="preserve">0,039 </w:t>
      </w:r>
      <w:r>
        <w:t xml:space="preserve">(par défaut) </w:t>
      </w:r>
      <w:r>
        <w:rPr>
          <w:rStyle w:val="optioncarChar"/>
        </w:rPr>
        <w:t>/ ***</w:t>
      </w:r>
      <w:r>
        <w:t> W/mK</w:t>
      </w:r>
      <w:r>
        <w:br/>
        <w:t>Perméabilité à la vapeur d’eau Sd (m) (selon </w:t>
      </w:r>
      <w:r>
        <w:rPr>
          <w:rStyle w:val="facultChar"/>
        </w:rPr>
        <w:t>[NBN EN 12086]</w:t>
      </w:r>
      <w:r>
        <w:t>) : &gt; </w:t>
      </w:r>
      <w:r>
        <w:rPr>
          <w:rStyle w:val="optioncarChar"/>
        </w:rPr>
        <w:t xml:space="preserve">0,1 </w:t>
      </w:r>
      <w:r>
        <w:t xml:space="preserve">(par défaut) </w:t>
      </w:r>
      <w:r>
        <w:rPr>
          <w:rStyle w:val="optioncarChar"/>
        </w:rPr>
        <w:t>/ ***</w:t>
      </w:r>
      <w:r>
        <w:t xml:space="preserve"> m</w:t>
      </w:r>
      <w:r>
        <w:br/>
        <w:t>Absorption d’eau à court terme par immersion partielle Wp (selon</w:t>
      </w:r>
      <w:r>
        <w:rPr>
          <w:rStyle w:val="facultChar"/>
        </w:rPr>
        <w:t>[NBN EN ISO 29767]</w:t>
      </w:r>
      <w:r>
        <w:t>) : &gt; </w:t>
      </w:r>
      <w:r>
        <w:rPr>
          <w:rStyle w:val="optioncarChar"/>
        </w:rPr>
        <w:t xml:space="preserve">7,04 </w:t>
      </w:r>
      <w:r>
        <w:t xml:space="preserve">(par défaut) </w:t>
      </w:r>
      <w:r>
        <w:rPr>
          <w:rStyle w:val="optioncarChar"/>
        </w:rPr>
        <w:t>/ ***</w:t>
      </w:r>
      <w:r>
        <w:t xml:space="preserve"> kg/m²</w:t>
      </w:r>
      <w:r>
        <w:br/>
        <w:t>Résistance fongique (selon</w:t>
      </w:r>
      <w:r>
        <w:rPr>
          <w:rStyle w:val="facultChar"/>
        </w:rPr>
        <w:t>[NBN EN ISO 846]</w:t>
      </w:r>
      <w:r>
        <w:t xml:space="preserve">) : </w:t>
      </w:r>
      <w:r>
        <w:rPr>
          <w:rStyle w:val="optioncarChar"/>
        </w:rPr>
        <w:t xml:space="preserve">classe 0 (inerte) </w:t>
      </w:r>
      <w:r>
        <w:t xml:space="preserve">(par défaut) </w:t>
      </w:r>
      <w:r>
        <w:rPr>
          <w:rStyle w:val="optioncarChar"/>
        </w:rPr>
        <w:t>/ ***</w:t>
      </w:r>
      <w:r>
        <w:br/>
        <w:t xml:space="preserve">Capacité thermique : </w:t>
      </w:r>
      <w:r>
        <w:rPr>
          <w:rStyle w:val="optioncarChar"/>
        </w:rPr>
        <w:t>1,6</w:t>
      </w:r>
      <w:r>
        <w:t xml:space="preserve"> (par défaut)</w:t>
      </w:r>
      <w:r>
        <w:rPr>
          <w:rStyle w:val="optioncarChar"/>
        </w:rPr>
        <w:t xml:space="preserve"> / ***</w:t>
      </w:r>
      <w:r>
        <w:t xml:space="preserve"> kJ/kg.K</w:t>
      </w:r>
      <w:r>
        <w:br/>
        <w:t>Classement de la réaction au feu (selon </w:t>
      </w:r>
      <w:r>
        <w:rPr>
          <w:rStyle w:val="facultChar"/>
        </w:rPr>
        <w:t>[NBN EN 13501-1]</w:t>
      </w:r>
      <w:r>
        <w:t xml:space="preserve">) : </w:t>
      </w:r>
      <w:r>
        <w:rPr>
          <w:rStyle w:val="optioncarChar"/>
        </w:rPr>
        <w:t xml:space="preserve">E </w:t>
      </w:r>
      <w:r>
        <w:t>(par défaut)</w:t>
      </w:r>
      <w:r>
        <w:rPr>
          <w:rStyle w:val="optioncarChar"/>
        </w:rPr>
        <w:t xml:space="preserve"> / ***</w:t>
      </w:r>
      <w:r>
        <w:br/>
        <w:t xml:space="preserve">Taux de liant synthétique (polyester) : </w:t>
      </w:r>
      <w:r>
        <w:rPr>
          <w:rStyle w:val="optioncarChar"/>
        </w:rPr>
        <w:t>15 (+/- 2 %)</w:t>
      </w:r>
      <w:r>
        <w:t xml:space="preserve"> (par défaut)</w:t>
      </w:r>
      <w:r>
        <w:rPr>
          <w:rStyle w:val="optioncarChar"/>
        </w:rPr>
        <w:t xml:space="preserve"> / ***</w:t>
      </w:r>
      <w:r>
        <w:t xml:space="preserve"> %</w:t>
      </w:r>
      <w:r>
        <w:br/>
        <w:t>Les liants des panneaux et d’adhésion du revêtement de surface ne contiennent pas de formaldéhyde. Le dégagement mesuré selon la </w:t>
      </w:r>
      <w:r>
        <w:rPr>
          <w:rStyle w:val="facultChar"/>
        </w:rPr>
        <w:t>[NBN EN 717-1] </w:t>
      </w:r>
      <w:r>
        <w:t>est &lt;</w:t>
      </w:r>
      <w:r>
        <w:rPr>
          <w:rStyle w:val="facultChar"/>
        </w:rPr>
        <w:t> </w:t>
      </w:r>
      <w:r>
        <w:rPr>
          <w:rStyle w:val="optioncarChar"/>
        </w:rPr>
        <w:t xml:space="preserve">0.124 </w:t>
      </w:r>
      <w:r>
        <w:t>(par défaut)</w:t>
      </w:r>
      <w:r>
        <w:rPr>
          <w:rStyle w:val="optioncarChar"/>
        </w:rPr>
        <w:t xml:space="preserve"> / *** </w:t>
      </w:r>
      <w:r>
        <w:t>mg/m³.</w:t>
      </w:r>
      <w:r>
        <w:br/>
        <w:t>Concentration de pentachlorophénol mesurée selon la </w:t>
      </w:r>
      <w:r>
        <w:rPr>
          <w:rStyle w:val="facultChar"/>
        </w:rPr>
        <w:t>[CEN/TR 14823] : </w:t>
      </w:r>
      <w:r>
        <w:t xml:space="preserve">&lt; </w:t>
      </w:r>
      <w:r>
        <w:rPr>
          <w:rStyle w:val="optioncarChar"/>
        </w:rPr>
        <w:t xml:space="preserve">5 </w:t>
      </w:r>
      <w:r>
        <w:t xml:space="preserve">(par défaut) </w:t>
      </w:r>
      <w:r>
        <w:rPr>
          <w:rStyle w:val="optioncarChar"/>
        </w:rPr>
        <w:t>/ ***</w:t>
      </w:r>
      <w:r>
        <w:rPr>
          <w:rStyle w:val="facultChar"/>
        </w:rPr>
        <w:t> </w:t>
      </w:r>
      <w:r>
        <w:t>PPM.</w:t>
      </w:r>
      <w:r>
        <w:b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rPr>
          <w:rStyle w:val="facultChar"/>
        </w:rPr>
        <w:t>.</w:t>
      </w:r>
      <w:r>
        <w:br/>
        <w:t xml:space="preserve">Les adjuvants ignifuges et biocides sont de type : </w:t>
      </w:r>
      <w:r>
        <w:rPr>
          <w:rStyle w:val="optioncarChar"/>
        </w:rPr>
        <w:t>pas d’adjuvant</w:t>
      </w:r>
      <w:r>
        <w:t xml:space="preserve"> (par défaut</w:t>
      </w:r>
      <w:r>
        <w:rPr>
          <w:rStyle w:val="optioncarChar"/>
        </w:rPr>
        <w:t>) / sels de Bore / sels d’ammonium / ***</w:t>
      </w:r>
      <w:r>
        <w:rPr>
          <w:rStyle w:val="facultChar"/>
        </w:rPr>
        <w:t xml:space="preserve">. </w:t>
      </w:r>
      <w:r>
        <w:t>Les adjuvants respectent le</w:t>
      </w:r>
      <w:r>
        <w:rPr>
          <w:rStyle w:val="facultChar"/>
        </w:rPr>
        <w:t xml:space="preserve">[Règlement 1907/2006/CE]. </w:t>
      </w:r>
      <w:r>
        <w:t xml:space="preserve">La concentration maximum des adjuvants est de </w:t>
      </w:r>
      <w:r>
        <w:rPr>
          <w:rStyle w:val="optioncarChar"/>
        </w:rPr>
        <w:t xml:space="preserve">4 % </w:t>
      </w:r>
      <w:r>
        <w:t>(par défaut)</w:t>
      </w:r>
      <w:r>
        <w:rPr>
          <w:rStyle w:val="optioncarChar"/>
        </w:rPr>
        <w:t xml:space="preserve"> / ***.</w:t>
      </w:r>
      <w:r>
        <w:br/>
      </w:r>
      <w:r>
        <w:rPr>
          <w:color w:val="3366FF"/>
        </w:rPr>
        <w:t> </w:t>
      </w:r>
      <w:r>
        <w:br/>
        <w:t>Le matériau dispose d'un déclaration d'aptitude à l'utilisation suivant les prescriptions de l'élément 02.42.1 Critères d'acceptabilité</w:t>
      </w:r>
      <w:r>
        <w:rPr>
          <w:color w:val="3366FF"/>
        </w:rPr>
        <w:t>.</w:t>
      </w:r>
    </w:p>
    <w:p w14:paraId="4085AE9C" w14:textId="77777777" w:rsidR="00772179" w:rsidRDefault="00000000">
      <w:pPr>
        <w:ind w:left="750"/>
      </w:pPr>
      <w:r>
        <w:t> </w:t>
      </w:r>
    </w:p>
    <w:p w14:paraId="63887B86" w14:textId="77777777" w:rsidR="00772179" w:rsidRDefault="00000000">
      <w:pPr>
        <w:pStyle w:val="pheading"/>
      </w:pPr>
      <w:r>
        <w:t>EXÉCUTION / MISE EN ŒUVRE</w:t>
      </w:r>
    </w:p>
    <w:p w14:paraId="05F7B041" w14:textId="77777777" w:rsidR="00772179" w:rsidRDefault="00000000">
      <w:pPr>
        <w:pStyle w:val="pheading"/>
      </w:pPr>
      <w:r>
        <w:t>- Prescriptions générales</w:t>
      </w:r>
    </w:p>
    <w:p w14:paraId="0A3168A9" w14:textId="77777777" w:rsidR="00772179" w:rsidRDefault="00000000">
      <w:r>
        <w:t>L’isolant est découpé sur chantier avec un couteau à lame lisse ou ondulée, ou à l’aide d’un disque de fer lisse monté sur une disqueuse. Une règle de maçon et un support rigide (planche de bois ou plaque de plâtre) sont également utilisés.</w:t>
      </w:r>
      <w:r>
        <w:br/>
        <w:t>Les panneaux sont contigus. Les espaces éventuels entre panneaux ou de liaison avec les parois sont comblés avec un isolant de même type.</w:t>
      </w:r>
      <w:r>
        <w:br/>
        <w:t>Les fixations sont disposées afin de ne pas réduire les performances acoustiques.</w:t>
      </w:r>
      <w:r>
        <w:br/>
        <w:t>L’isolation en application derrière des bardages métalliques est conforme à la [NIT 266].</w:t>
      </w:r>
      <w:r>
        <w:br/>
        <w:t>L’isolation thermique de façade en panneaux de coton est conforme à la [NIT 178].</w:t>
      </w:r>
      <w:r>
        <w:br/>
      </w:r>
      <w:r>
        <w:br/>
        <w:t xml:space="preserve">Les panneaux sont fixés par </w:t>
      </w:r>
      <w:r>
        <w:rPr>
          <w:rStyle w:val="optioncarChar"/>
        </w:rPr>
        <w:t xml:space="preserve">serrage entre éléments </w:t>
      </w:r>
      <w:r>
        <w:t xml:space="preserve">(par défaut) </w:t>
      </w:r>
      <w:r>
        <w:rPr>
          <w:rStyle w:val="optioncarChar"/>
        </w:rPr>
        <w:t>/ fixation mécanique / ***</w:t>
      </w:r>
      <w:r>
        <w:t>.</w:t>
      </w:r>
    </w:p>
    <w:p w14:paraId="2488D3F8" w14:textId="77777777" w:rsidR="00772179" w:rsidRDefault="00000000">
      <w:pPr>
        <w:ind w:left="567"/>
        <w:jc w:val="both"/>
      </w:pPr>
      <w:r>
        <w:t> </w:t>
      </w:r>
      <w:r>
        <w:rPr>
          <w:b/>
          <w:i/>
        </w:rPr>
        <w:t>(soit par défaut) </w:t>
      </w:r>
    </w:p>
    <w:p w14:paraId="303889E4" w14:textId="77777777" w:rsidR="00772179" w:rsidRDefault="00772179">
      <w:pPr>
        <w:ind w:left="567"/>
        <w:jc w:val="both"/>
      </w:pPr>
    </w:p>
    <w:p w14:paraId="040EBD88" w14:textId="77777777" w:rsidR="00772179" w:rsidRDefault="00000000">
      <w:pPr>
        <w:ind w:left="567"/>
        <w:jc w:val="both"/>
      </w:pPr>
      <w:r>
        <w:rPr>
          <w:rStyle w:val="soitChar"/>
          <w:b/>
          <w:u w:val="single"/>
        </w:rPr>
        <w:t>Par serrage entre éléments</w:t>
      </w:r>
    </w:p>
    <w:p w14:paraId="4489CBBE" w14:textId="77777777" w:rsidR="00772179" w:rsidRDefault="00000000">
      <w:pPr>
        <w:ind w:left="567"/>
        <w:jc w:val="both"/>
      </w:pPr>
      <w:r>
        <w:rPr>
          <w:rStyle w:val="soitChar"/>
        </w:rPr>
        <w:t>Les panneaux sont disposés entre les montants de l’ossature avec un léger pincement (max. 3% de la largeur du panneau) en butée au sol et au plafond afin d’assurer le maintien de l’isolant et un bon contact entre les montants.</w:t>
      </w:r>
    </w:p>
    <w:p w14:paraId="755A20D8" w14:textId="77777777" w:rsidR="00772179" w:rsidRDefault="00000000">
      <w:pPr>
        <w:ind w:left="567"/>
        <w:jc w:val="both"/>
      </w:pPr>
      <w:r>
        <w:rPr>
          <w:rStyle w:val="soitChar"/>
        </w:rPr>
        <w:t>La fixation par serrage fait l’objet d’un contrôle visuel après pose.</w:t>
      </w:r>
    </w:p>
    <w:p w14:paraId="1DAB0318" w14:textId="77777777" w:rsidR="00772179" w:rsidRDefault="00000000">
      <w:pPr>
        <w:ind w:left="567"/>
        <w:jc w:val="both"/>
      </w:pPr>
      <w:r>
        <w:rPr>
          <w:b/>
          <w:i/>
        </w:rPr>
        <w:t>(soit) </w:t>
      </w:r>
    </w:p>
    <w:p w14:paraId="44A276AD" w14:textId="77777777" w:rsidR="00772179" w:rsidRDefault="00000000">
      <w:pPr>
        <w:ind w:left="567"/>
        <w:jc w:val="both"/>
      </w:pPr>
      <w:r>
        <w:rPr>
          <w:rStyle w:val="soitChar"/>
          <w:b/>
          <w:u w:val="single"/>
        </w:rPr>
        <w:t>Par fixation mécanique</w:t>
      </w:r>
    </w:p>
    <w:p w14:paraId="27AFA537" w14:textId="77777777" w:rsidR="00772179" w:rsidRDefault="00000000">
      <w:pPr>
        <w:ind w:left="567"/>
        <w:jc w:val="both"/>
      </w:pPr>
      <w:r>
        <w:rPr>
          <w:rStyle w:val="soitChar"/>
        </w:rPr>
        <w:t xml:space="preserve"> Les panneaux sont </w:t>
      </w:r>
      <w:r>
        <w:rPr>
          <w:rStyle w:val="optioncarChar"/>
        </w:rPr>
        <w:t>cloués / vissés / agrafés</w:t>
      </w:r>
      <w:r>
        <w:rPr>
          <w:rStyle w:val="soitChar"/>
        </w:rPr>
        <w:t xml:space="preserve"> par léger pincement de la face interne de l’isolant sur les montants tous les </w:t>
      </w:r>
      <w:r>
        <w:rPr>
          <w:rStyle w:val="optioncarChar"/>
        </w:rPr>
        <w:t xml:space="preserve">40 cm </w:t>
      </w:r>
      <w:r>
        <w:t>(par défaut)</w:t>
      </w:r>
      <w:r>
        <w:rPr>
          <w:rStyle w:val="optioncarChar"/>
        </w:rPr>
        <w:t xml:space="preserve"> / ***</w:t>
      </w:r>
      <w:r>
        <w:rPr>
          <w:rStyle w:val="soitChar"/>
        </w:rPr>
        <w:t xml:space="preserve"> et sur la lisse haute tous les </w:t>
      </w:r>
      <w:r>
        <w:rPr>
          <w:rStyle w:val="optioncarChar"/>
        </w:rPr>
        <w:t xml:space="preserve">15 cm </w:t>
      </w:r>
      <w:r>
        <w:t>(par défaut)</w:t>
      </w:r>
      <w:r>
        <w:rPr>
          <w:rStyle w:val="optioncarChar"/>
        </w:rPr>
        <w:t xml:space="preserve"> / ***.</w:t>
      </w:r>
    </w:p>
    <w:p w14:paraId="1861E4B5" w14:textId="77777777" w:rsidR="00772179" w:rsidRDefault="00000000">
      <w:pPr>
        <w:ind w:left="567"/>
        <w:jc w:val="both"/>
      </w:pPr>
      <w:r>
        <w:rPr>
          <w:b/>
          <w:i/>
        </w:rPr>
        <w:t>(soit)</w:t>
      </w:r>
    </w:p>
    <w:p w14:paraId="7E8FB04B" w14:textId="77777777" w:rsidR="00772179" w:rsidRDefault="00000000">
      <w:pPr>
        <w:ind w:left="567"/>
        <w:jc w:val="both"/>
      </w:pPr>
      <w:r>
        <w:rPr>
          <w:rStyle w:val="optioncarChar"/>
        </w:rPr>
        <w:t>***</w:t>
      </w:r>
      <w:r>
        <w:t> </w:t>
      </w:r>
    </w:p>
    <w:p w14:paraId="696B2474" w14:textId="77777777" w:rsidR="00772179" w:rsidRDefault="00000000">
      <w:pPr>
        <w:jc w:val="both"/>
      </w:pPr>
      <w:r>
        <w:rPr>
          <w:b/>
        </w:rPr>
        <w:lastRenderedPageBreak/>
        <w:t>Pour une application verticale</w:t>
      </w:r>
    </w:p>
    <w:p w14:paraId="4E62760B" w14:textId="77777777" w:rsidR="00772179" w:rsidRDefault="00000000">
      <w:r>
        <w:t>Les panneaux sont disposés entre montants, chevrons ou poutres. La largeur des panneaux est ≥ à la largeur libre entre montants + 2 cm.</w:t>
      </w:r>
      <w:r>
        <w:br/>
        <w:t>Le parement est disposé en partie</w:t>
      </w:r>
      <w:r>
        <w:rPr>
          <w:rStyle w:val="optioncarChar"/>
        </w:rPr>
        <w:t xml:space="preserve"> extérieure </w:t>
      </w:r>
      <w:r>
        <w:t>(par défaut)</w:t>
      </w:r>
      <w:r>
        <w:rPr>
          <w:rStyle w:val="optioncarChar"/>
        </w:rPr>
        <w:t xml:space="preserve"> / intérieure / ***</w:t>
      </w:r>
      <w:r>
        <w:t>.</w:t>
      </w:r>
      <w:r>
        <w:br/>
        <w:t xml:space="preserve">Les panneaux sont fixés par </w:t>
      </w:r>
      <w:r>
        <w:rPr>
          <w:rStyle w:val="optioncarChar"/>
        </w:rPr>
        <w:t>fixation mécanique</w:t>
      </w:r>
      <w:r>
        <w:t xml:space="preserve"> (par défaut) </w:t>
      </w:r>
      <w:r>
        <w:rPr>
          <w:rStyle w:val="optioncarChar"/>
        </w:rPr>
        <w:t>/ serrage entre éléments et agrafage / ***</w:t>
      </w:r>
      <w:r>
        <w:t>.</w:t>
      </w:r>
    </w:p>
    <w:p w14:paraId="32576029" w14:textId="77777777" w:rsidR="00772179" w:rsidRDefault="00000000">
      <w:pPr>
        <w:ind w:left="567"/>
        <w:jc w:val="both"/>
      </w:pPr>
      <w:r>
        <w:rPr>
          <w:b/>
          <w:i/>
        </w:rPr>
        <w:t>(soit par défaut) </w:t>
      </w:r>
    </w:p>
    <w:p w14:paraId="5D10C867" w14:textId="77777777" w:rsidR="00772179" w:rsidRDefault="00000000">
      <w:pPr>
        <w:ind w:left="567"/>
        <w:jc w:val="both"/>
      </w:pPr>
      <w:r>
        <w:rPr>
          <w:rStyle w:val="soitChar"/>
          <w:b/>
          <w:u w:val="single"/>
        </w:rPr>
        <w:t>Par fixation mécanique</w:t>
      </w:r>
    </w:p>
    <w:p w14:paraId="67E50A81" w14:textId="77777777" w:rsidR="00772179" w:rsidRDefault="00000000">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rosace métallique /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w:t>
      </w:r>
    </w:p>
    <w:p w14:paraId="58D0F710" w14:textId="77777777" w:rsidR="00772179" w:rsidRDefault="00000000">
      <w:pPr>
        <w:ind w:left="567"/>
        <w:jc w:val="both"/>
      </w:pPr>
      <w:r>
        <w:rPr>
          <w:b/>
          <w:i/>
        </w:rPr>
        <w:t>(soit) </w:t>
      </w:r>
    </w:p>
    <w:p w14:paraId="63A318D9" w14:textId="77777777" w:rsidR="00772179" w:rsidRDefault="00000000">
      <w:pPr>
        <w:ind w:left="567"/>
        <w:jc w:val="both"/>
      </w:pPr>
      <w:r>
        <w:rPr>
          <w:rStyle w:val="soitChar"/>
          <w:b/>
          <w:u w:val="single"/>
        </w:rPr>
        <w:t>Par serrage et agrafage entre éléments</w:t>
      </w:r>
    </w:p>
    <w:p w14:paraId="02FD163A" w14:textId="77777777" w:rsidR="00772179" w:rsidRDefault="00000000">
      <w:pPr>
        <w:ind w:left="567"/>
        <w:jc w:val="both"/>
      </w:pPr>
      <w:r>
        <w:rPr>
          <w:rStyle w:val="soitChar"/>
        </w:rPr>
        <w:t xml:space="preserve">Les panneaux sont serrés entièrement et découpés à mesure (+ 2 mm), le serrage est accompagné d’un </w:t>
      </w:r>
      <w:r>
        <w:rPr>
          <w:rStyle w:val="optioncarChar"/>
        </w:rPr>
        <w:t>agrafage à raison de5 par m et par côté</w:t>
      </w:r>
      <w:r>
        <w:t xml:space="preserve"> (par défaut)</w:t>
      </w:r>
      <w:r>
        <w:rPr>
          <w:rStyle w:val="optioncarChar"/>
        </w:rPr>
        <w:t xml:space="preserve"> / ***</w:t>
      </w:r>
      <w:r>
        <w:rPr>
          <w:rStyle w:val="soitChar"/>
        </w:rPr>
        <w:t>.</w:t>
      </w:r>
    </w:p>
    <w:p w14:paraId="424A56EF" w14:textId="77777777" w:rsidR="00772179" w:rsidRDefault="00000000">
      <w:pPr>
        <w:ind w:left="567"/>
        <w:jc w:val="both"/>
      </w:pPr>
      <w:r>
        <w:rPr>
          <w:b/>
          <w:i/>
        </w:rPr>
        <w:t>(soit) </w:t>
      </w:r>
    </w:p>
    <w:p w14:paraId="38F5DA94" w14:textId="77777777" w:rsidR="00772179" w:rsidRDefault="00000000">
      <w:pPr>
        <w:ind w:left="567"/>
        <w:jc w:val="both"/>
      </w:pPr>
      <w:r>
        <w:rPr>
          <w:rStyle w:val="optioncarChar"/>
        </w:rPr>
        <w:t>***</w:t>
      </w:r>
    </w:p>
    <w:p w14:paraId="4ACF42BF" w14:textId="77777777" w:rsidR="00772179" w:rsidRDefault="00000000">
      <w:pPr>
        <w:ind w:left="567"/>
        <w:jc w:val="both"/>
      </w:pPr>
      <w:r>
        <w:t>Il n’est pas permis d’installer dans l’épaisseur de l’isolation à réaliser tout matériel électrique non protégé susceptible de créer une source de chaleur continue (spots, transformateurs).</w:t>
      </w:r>
    </w:p>
    <w:p w14:paraId="0C407135" w14:textId="77777777" w:rsidR="00772179" w:rsidRDefault="00000000">
      <w:pPr>
        <w:ind w:left="567"/>
        <w:jc w:val="both"/>
      </w:pPr>
      <w:r>
        <w:t>L’absence de lame d’air entre l’isolant et la parois est validé par une étude des conditions hygrothermiques.</w:t>
      </w:r>
    </w:p>
    <w:p w14:paraId="1F43AD3C" w14:textId="77777777" w:rsidR="00772179" w:rsidRDefault="00000000">
      <w:pPr>
        <w:ind w:left="567"/>
        <w:jc w:val="both"/>
      </w:pPr>
      <w:r>
        <w:t>Il est conseillé d’aménager une lame d’air ≥ 2 cm entre l’isolant et la paroi extérieure, notamment à l’aide de tasseaux bois ou de fourrures métalliques fixés sur la paroi et sur lesquels viendra se poser l’ossature.</w:t>
      </w:r>
    </w:p>
    <w:p w14:paraId="0259AC5E" w14:textId="77777777" w:rsidR="00772179" w:rsidRDefault="00000000">
      <w:pPr>
        <w:ind w:left="567"/>
        <w:jc w:val="both"/>
      </w:pPr>
      <w:r>
        <w:t>Ne s’applique pas aux enduits sur isolant.</w:t>
      </w:r>
    </w:p>
    <w:p w14:paraId="45365642" w14:textId="77777777" w:rsidR="00772179" w:rsidRDefault="00000000">
      <w:pPr>
        <w:ind w:left="567"/>
        <w:jc w:val="both"/>
      </w:pPr>
      <w:r>
        <w:t>Pour l’isolation de la coulisse, il faut que la coulisse soit suffisamment aérée en parties basse et haute et pourvue d’un pare-pluie conformément à la [NIT 178].</w:t>
      </w:r>
    </w:p>
    <w:p w14:paraId="50980017" w14:textId="77777777" w:rsidR="00772179" w:rsidRDefault="00000000">
      <w:pPr>
        <w:ind w:left="567"/>
        <w:jc w:val="both"/>
      </w:pPr>
      <w:r>
        <w:t>L’emploi des panneaux isolants en coton ne s’applique pas aux bâtiments à forte hygrométrie ni aux bâtiments industriels, agricoles, agroalimentaires.</w:t>
      </w:r>
    </w:p>
    <w:p w14:paraId="7248423A" w14:textId="77777777" w:rsidR="00772179" w:rsidRDefault="00000000">
      <w:pPr>
        <w:pStyle w:val="pheading"/>
      </w:pPr>
      <w:r>
        <w:t>DOCUMENTS DE RÉFÉRENCE COMPLÉMENTAIRES</w:t>
      </w:r>
    </w:p>
    <w:p w14:paraId="59219D09" w14:textId="77777777" w:rsidR="00772179" w:rsidRDefault="00000000">
      <w:pPr>
        <w:pStyle w:val="pheading"/>
      </w:pPr>
      <w:r>
        <w:t>- Matériau</w:t>
      </w:r>
    </w:p>
    <w:p w14:paraId="799246BF"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BB0FD7A" w14:textId="77777777" w:rsidR="00772179" w:rsidRDefault="00000000">
      <w:r>
        <w:t>[NBN EN 13501-1, Classement au feu des produits et éléments de construction - Partie 1: Classement à partir des données d'essais de réaction au feu]</w:t>
      </w:r>
    </w:p>
    <w:p w14:paraId="4FF92755" w14:textId="77777777" w:rsidR="00772179" w:rsidRDefault="00000000">
      <w:r>
        <w:t>[NBN EN 823, Produits isolants thermiques destinés aux applications du bâtiment - Détermination de l'épaisseur]</w:t>
      </w:r>
    </w:p>
    <w:p w14:paraId="2466C504" w14:textId="77777777" w:rsidR="00772179" w:rsidRDefault="00000000">
      <w:r>
        <w:t>[NBN EN ISO 29470, Produits isolants thermiques destinés aux applications du bâtiment - Détermination de la masse volumique apparente (ISO 29470:2020)]</w:t>
      </w:r>
    </w:p>
    <w:p w14:paraId="15A0FBD4" w14:textId="77777777" w:rsidR="00772179" w:rsidRDefault="00000000">
      <w:r>
        <w:t>[NBN EN ISO 29767, Produits isolants thermiques destinés aux applications du bâtiment - Détermination de l'absorption d'eau à court terme par immersion partielle (ISO 29767:2019)]</w:t>
      </w:r>
    </w:p>
    <w:p w14:paraId="5BE9B188" w14:textId="77777777" w:rsidR="00772179" w:rsidRDefault="00000000">
      <w:r>
        <w:t>[NBN EN 12086, Produits isolants thermiques destinés aux applications du bâtiment - Détermination des propriétés de transmission de la vapeur d'eau]</w:t>
      </w:r>
    </w:p>
    <w:p w14:paraId="2F4C8D1E" w14:textId="77777777" w:rsidR="00772179" w:rsidRDefault="00000000">
      <w:r>
        <w:t>[NBN EN ISO 846, Plastiques - Évaluation de l'action des micro-organismes (ISO 846:2019)]</w:t>
      </w:r>
    </w:p>
    <w:p w14:paraId="26CE8227" w14:textId="77777777" w:rsidR="00772179" w:rsidRDefault="00000000">
      <w:r>
        <w:lastRenderedPageBreak/>
        <w:t>[NBN EN 717-1, Panneaux à base de bois - Détermination du dégagement de formaldéhyde - Partie 1 : Emission de formaldéhyde par la méthode à la chambre]</w:t>
      </w:r>
    </w:p>
    <w:p w14:paraId="5B63EC3B" w14:textId="77777777" w:rsidR="00772179" w:rsidRDefault="00000000">
      <w:r>
        <w:t>[CEN/TR 14823, Durabilité du bois et des matériaux dérivés du bois - Analyse quantitative du pentachlorophénol dans le bois - Méthode par chromatographie en phase gazeuse]</w:t>
      </w:r>
    </w:p>
    <w:p w14:paraId="236A7A03" w14:textId="77777777" w:rsidR="00772179" w:rsidRDefault="00000000">
      <w:pPr>
        <w:pStyle w:val="pheading"/>
      </w:pPr>
      <w:r>
        <w:t>- Exécution</w:t>
      </w:r>
    </w:p>
    <w:p w14:paraId="46D7921E" w14:textId="77777777" w:rsidR="00772179" w:rsidRDefault="00000000">
      <w:r>
        <w:t>[NIT 266, Couvertures et bardages métalliques à joints debout et à tasseaux]</w:t>
      </w:r>
    </w:p>
    <w:p w14:paraId="570D583F" w14:textId="77777777" w:rsidR="00772179" w:rsidRDefault="00000000">
      <w:r>
        <w:t>[NIT 178, L'isolation thermique des façades]</w:t>
      </w:r>
    </w:p>
    <w:p w14:paraId="35FF5070" w14:textId="77777777" w:rsidR="00772179" w:rsidRDefault="00000000">
      <w:r>
        <w:t>[NIT 243, Les revêtements de façade en bois et en panneaux à base de bois.]</w:t>
      </w:r>
    </w:p>
    <w:p w14:paraId="1EBDB394" w14:textId="77777777" w:rsidR="00772179" w:rsidRDefault="00000000">
      <w:r>
        <w:t>[NBN EN 13501-1, Classement au feu des produits et éléments de construction - Partie 1: Classement à partir des données d'essais de réaction au feu]</w:t>
      </w:r>
    </w:p>
    <w:p w14:paraId="6E9EF4E7" w14:textId="77777777" w:rsidR="00772179" w:rsidRDefault="00000000">
      <w:pPr>
        <w:pStyle w:val="pheading"/>
      </w:pPr>
      <w:r>
        <w:t>MESURAGE</w:t>
      </w:r>
    </w:p>
    <w:p w14:paraId="63262E56" w14:textId="77777777" w:rsidR="00772179" w:rsidRDefault="00000000">
      <w:pPr>
        <w:pStyle w:val="pheading"/>
      </w:pPr>
      <w:r>
        <w:t>- unité de mesure:</w:t>
      </w:r>
    </w:p>
    <w:p w14:paraId="4ACC9326" w14:textId="77777777" w:rsidR="00772179" w:rsidRDefault="00000000">
      <w:r>
        <w:t>m²</w:t>
      </w:r>
    </w:p>
    <w:p w14:paraId="253606F4" w14:textId="77777777" w:rsidR="00772179" w:rsidRDefault="00000000">
      <w:pPr>
        <w:pStyle w:val="pheading"/>
      </w:pPr>
      <w:r>
        <w:t>- code de mesurage:</w:t>
      </w:r>
    </w:p>
    <w:p w14:paraId="24B57291" w14:textId="77777777" w:rsidR="00772179" w:rsidRDefault="00000000">
      <w:r>
        <w:rPr>
          <w:u w:val="single"/>
        </w:rPr>
        <w:t>Isolation des parois verticales </w:t>
      </w:r>
      <w:r>
        <w:t xml:space="preserve">: </w:t>
      </w:r>
      <w:r>
        <w:rPr>
          <w:b/>
        </w:rPr>
        <w:t>Surface nette.</w:t>
      </w:r>
      <w:r>
        <w:t xml:space="preserve"> Les ouvertures &gt; 0,50 m² sont déduites.</w:t>
      </w:r>
    </w:p>
    <w:p w14:paraId="5FF8F9CB" w14:textId="77777777" w:rsidR="00772179" w:rsidRDefault="00000000">
      <w:r>
        <w:t>Distinction faite suivant le type et l'épaisseur.</w:t>
      </w:r>
    </w:p>
    <w:p w14:paraId="6D93C7C5" w14:textId="77777777" w:rsidR="00772179" w:rsidRDefault="00000000">
      <w:r>
        <w:t> </w:t>
      </w:r>
    </w:p>
    <w:p w14:paraId="5963C767" w14:textId="77777777" w:rsidR="00772179" w:rsidRDefault="00000000">
      <w:pPr>
        <w:pStyle w:val="pheading"/>
      </w:pPr>
      <w:r>
        <w:t>- nature du marché:</w:t>
      </w:r>
    </w:p>
    <w:p w14:paraId="63E5978D" w14:textId="77777777" w:rsidR="00772179" w:rsidRDefault="00000000">
      <w:r>
        <w:t>QF</w:t>
      </w:r>
    </w:p>
    <w:p w14:paraId="79F3F3F4" w14:textId="77777777" w:rsidR="00772179" w:rsidRDefault="00000000">
      <w:pPr>
        <w:pStyle w:val="Author-eSectionHeading6Numberless"/>
      </w:pPr>
      <w:bookmarkStart w:id="1003" w:name="_Toc220490661"/>
      <w:r>
        <w:t>44.41.3h Isolation en panneaux - herbe CCTB 01.10</w:t>
      </w:r>
      <w:bookmarkEnd w:id="1003"/>
    </w:p>
    <w:p w14:paraId="1EE2E1E3" w14:textId="77777777" w:rsidR="00772179" w:rsidRDefault="00000000">
      <w:pPr>
        <w:pStyle w:val="pheading"/>
      </w:pPr>
      <w:r>
        <w:t>DESCRIPTION</w:t>
      </w:r>
    </w:p>
    <w:p w14:paraId="010079E4" w14:textId="77777777" w:rsidR="00772179" w:rsidRDefault="00000000">
      <w:pPr>
        <w:pStyle w:val="pheading"/>
      </w:pPr>
      <w:r>
        <w:t>- Définition / Comprend</w:t>
      </w:r>
    </w:p>
    <w:p w14:paraId="0A50CAB1" w14:textId="77777777" w:rsidR="00772179" w:rsidRDefault="00000000">
      <w:r>
        <w:t>Voir 32.41.3h Isolation en panneaux - herbe</w:t>
      </w:r>
    </w:p>
    <w:p w14:paraId="587C97E1" w14:textId="77777777" w:rsidR="00772179" w:rsidRDefault="00000000">
      <w:pPr>
        <w:pStyle w:val="Author-eSectionHeading6Numberless"/>
      </w:pPr>
      <w:bookmarkStart w:id="1004" w:name="_Toc220490662"/>
      <w:r>
        <w:t>44.41.3i (titre réservé)</w:t>
      </w:r>
      <w:bookmarkEnd w:id="1004"/>
    </w:p>
    <w:p w14:paraId="3EDB8531" w14:textId="77777777" w:rsidR="00772179" w:rsidRDefault="00000000">
      <w:pPr>
        <w:pStyle w:val="Author-eSectionHeading6Numberless"/>
      </w:pPr>
      <w:bookmarkStart w:id="1005" w:name="_Toc220490663"/>
      <w:r>
        <w:t>44.41.3j Isolation en panneaux - paille CCTB 01.11</w:t>
      </w:r>
      <w:bookmarkEnd w:id="1005"/>
    </w:p>
    <w:p w14:paraId="069180EC" w14:textId="77777777" w:rsidR="00772179" w:rsidRDefault="00000000">
      <w:pPr>
        <w:pStyle w:val="pheading"/>
      </w:pPr>
      <w:r>
        <w:t>DESCRIPTION</w:t>
      </w:r>
    </w:p>
    <w:p w14:paraId="170B823A" w14:textId="77777777" w:rsidR="00772179" w:rsidRDefault="00000000">
      <w:pPr>
        <w:pStyle w:val="pheading"/>
      </w:pPr>
      <w:r>
        <w:t>- Définition / Comprend</w:t>
      </w:r>
    </w:p>
    <w:p w14:paraId="2F8FB028" w14:textId="77777777" w:rsidR="00772179" w:rsidRDefault="00000000">
      <w:pPr>
        <w:jc w:val="both"/>
      </w:pPr>
      <w:r>
        <w:t>Il s’agit de la fourniture et de la pose d’une isolation thermique au moyen de panneaux paille pour une application horizontale ou verticale en façade.</w:t>
      </w:r>
    </w:p>
    <w:p w14:paraId="3665B424" w14:textId="77777777" w:rsidR="00772179" w:rsidRDefault="00000000">
      <w:pPr>
        <w:pStyle w:val="pheading"/>
      </w:pPr>
      <w:r>
        <w:t>MATÉRIAUX</w:t>
      </w:r>
    </w:p>
    <w:p w14:paraId="76BC9919" w14:textId="77777777" w:rsidR="00772179" w:rsidRDefault="00000000">
      <w:pPr>
        <w:pStyle w:val="pheading"/>
      </w:pPr>
      <w:r>
        <w:t>- Caractéristiques générales</w:t>
      </w:r>
    </w:p>
    <w:p w14:paraId="3C4A53FC" w14:textId="77777777" w:rsidR="00772179" w:rsidRDefault="00000000">
      <w:r>
        <w:t>Le panneau paille est assemblé par</w:t>
      </w:r>
      <w:r>
        <w:rPr>
          <w:rStyle w:val="optioncarChar"/>
        </w:rPr>
        <w:t xml:space="preserve"> tissage </w:t>
      </w:r>
      <w:r>
        <w:t>(par défaut)</w:t>
      </w:r>
      <w:r>
        <w:rPr>
          <w:rStyle w:val="optioncarChar"/>
        </w:rPr>
        <w:t xml:space="preserve"> / liant / compression à chaud / ***</w:t>
      </w:r>
      <w:r>
        <w:t>.</w:t>
      </w:r>
      <w:r>
        <w:br/>
        <w:t>Le parement des panneaux est de type : </w:t>
      </w:r>
      <w:r>
        <w:rPr>
          <w:rStyle w:val="optioncarChar"/>
        </w:rPr>
        <w:t xml:space="preserve">nu </w:t>
      </w:r>
      <w:r>
        <w:t xml:space="preserve">(par défaut) </w:t>
      </w:r>
      <w:r>
        <w:rPr>
          <w:rStyle w:val="optioncarChar"/>
        </w:rPr>
        <w:t>/ feuille cartonnée / fibres de verre / armature synthétique / feuille d’aluminium / plaque de plâtre / ***</w:t>
      </w:r>
      <w:r>
        <w:t>.</w:t>
      </w:r>
      <w:r>
        <w:br/>
        <w:t xml:space="preserve">Le parement des panneaux est appliqué sur </w:t>
      </w:r>
      <w:r>
        <w:rPr>
          <w:rStyle w:val="optioncarChar"/>
        </w:rPr>
        <w:t>toutes les faces</w:t>
      </w:r>
      <w:r>
        <w:t xml:space="preserve"> (par défaut)</w:t>
      </w:r>
      <w:r>
        <w:rPr>
          <w:rStyle w:val="optioncarChar"/>
        </w:rPr>
        <w:t xml:space="preserve"> / l’une des faces / ***</w:t>
      </w:r>
      <w:r>
        <w:t>.</w:t>
      </w:r>
      <w:r>
        <w:br/>
        <w:t>Dimension des panneaux : </w:t>
      </w:r>
      <w:r>
        <w:rPr>
          <w:rStyle w:val="optioncarChar"/>
        </w:rPr>
        <w:t xml:space="preserve">1200 x 2500 </w:t>
      </w:r>
      <w:r>
        <w:t>(par défaut)</w:t>
      </w:r>
      <w:r>
        <w:rPr>
          <w:rStyle w:val="optioncarChar"/>
        </w:rPr>
        <w:t xml:space="preserve"> / 600 x 1200 / 1200 x 1000 / 600 x 2000 / ***</w:t>
      </w:r>
      <w:r>
        <w:t> mm</w:t>
      </w:r>
      <w:r>
        <w:br/>
        <w:t xml:space="preserve">Epaisseur totale de l’isolation : </w:t>
      </w:r>
      <w:r>
        <w:rPr>
          <w:rStyle w:val="optioncarChar"/>
        </w:rPr>
        <w:t>***</w:t>
      </w:r>
      <w:r>
        <w:t> mm</w:t>
      </w:r>
      <w:r>
        <w:br/>
        <w:t xml:space="preserve">Les panneaux sont disposés en </w:t>
      </w:r>
      <w:r>
        <w:rPr>
          <w:rStyle w:val="optioncarChar"/>
        </w:rPr>
        <w:t>1</w:t>
      </w:r>
      <w:r>
        <w:t xml:space="preserve"> (par défaut)</w:t>
      </w:r>
      <w:r>
        <w:rPr>
          <w:rStyle w:val="optioncarChar"/>
        </w:rPr>
        <w:t xml:space="preserve"> / ***</w:t>
      </w:r>
      <w:r>
        <w:t> couche(s)</w:t>
      </w:r>
      <w:r>
        <w:br/>
        <w:t>Conductivité thermique (selon [NBN EN 12667] ou selon [NBN EN 12939] pour les produits épais) : valeur λ</w:t>
      </w:r>
      <w:r>
        <w:rPr>
          <w:vertAlign w:val="subscript"/>
        </w:rPr>
        <w:t>D</w:t>
      </w:r>
      <w:r>
        <w:t xml:space="preserve"> ≤ </w:t>
      </w:r>
      <w:r>
        <w:rPr>
          <w:rStyle w:val="optioncarChar"/>
        </w:rPr>
        <w:t xml:space="preserve">0.10 </w:t>
      </w:r>
      <w:r>
        <w:t>(par défaut)</w:t>
      </w:r>
      <w:r>
        <w:rPr>
          <w:rStyle w:val="optioncarChar"/>
        </w:rPr>
        <w:t xml:space="preserve"> / *** </w:t>
      </w:r>
      <w:r>
        <w:t>W/mK.</w:t>
      </w:r>
      <w:r>
        <w:br/>
        <w:t xml:space="preserve">Masse volumique nominale (selon [NBN EN ISO 29470]) : ≤ </w:t>
      </w:r>
      <w:r>
        <w:rPr>
          <w:rStyle w:val="optioncarChar"/>
        </w:rPr>
        <w:t xml:space="preserve">400 </w:t>
      </w:r>
      <w:r>
        <w:t>(par défaut)</w:t>
      </w:r>
      <w:r>
        <w:rPr>
          <w:rStyle w:val="optioncarChar"/>
        </w:rPr>
        <w:t xml:space="preserve"> / *** </w:t>
      </w:r>
      <w:r>
        <w:t>kg/m³</w:t>
      </w:r>
    </w:p>
    <w:p w14:paraId="0A84C6CA" w14:textId="77777777" w:rsidR="00772179" w:rsidRDefault="00000000">
      <w:r>
        <w:lastRenderedPageBreak/>
        <w:t>Equerrage de la longueur et de la largeur selon [NBN EN 824] : ≤ 5 mm/m.</w:t>
      </w:r>
      <w:r>
        <w:br/>
        <w:t>Ecart de planéité des panneaux et plaques selon [NBN EN 825] : ≤ 6 mm.</w:t>
      </w:r>
      <w:r>
        <w:br/>
        <w:t>Réaction au feu selon</w:t>
      </w:r>
      <w:r>
        <w:rPr>
          <w:rStyle w:val="facultChar"/>
        </w:rPr>
        <w:t xml:space="preserve"> [NBN EN 13501-1] : </w:t>
      </w:r>
      <w:r>
        <w:rPr>
          <w:rStyle w:val="optioncarChar"/>
        </w:rPr>
        <w:t>E </w:t>
      </w:r>
      <w:r>
        <w:t>(par défaut)</w:t>
      </w:r>
      <w:r>
        <w:rPr>
          <w:rStyle w:val="optioncarChar"/>
        </w:rPr>
        <w:t xml:space="preserve"> / C / D / F</w:t>
      </w:r>
      <w:r>
        <w:rPr>
          <w:rStyle w:val="facultChar"/>
        </w:rPr>
        <w:t> </w:t>
      </w:r>
      <w:r>
        <w:t>complétée, le cas échéant par les aspects</w:t>
      </w:r>
      <w:r>
        <w:rPr>
          <w:rStyle w:val="facultChar"/>
        </w:rPr>
        <w:t> </w:t>
      </w:r>
      <w:r>
        <w:rPr>
          <w:rStyle w:val="optioncarChar"/>
        </w:rPr>
        <w:t xml:space="preserve">s1 </w:t>
      </w:r>
      <w:r>
        <w:t>(par défaut)</w:t>
      </w:r>
      <w:r>
        <w:rPr>
          <w:rStyle w:val="optioncarChar"/>
        </w:rPr>
        <w:t xml:space="preserve"> / s2 / s3</w:t>
      </w:r>
      <w:r>
        <w:rPr>
          <w:rStyle w:val="facultChar"/>
        </w:rPr>
        <w:t> </w:t>
      </w:r>
      <w:r>
        <w:t xml:space="preserve">et </w:t>
      </w:r>
      <w:r>
        <w:rPr>
          <w:rStyle w:val="optioncarChar"/>
        </w:rPr>
        <w:t xml:space="preserve">d0 </w:t>
      </w:r>
      <w:r>
        <w:t>(par défaut)</w:t>
      </w:r>
      <w:r>
        <w:rPr>
          <w:rStyle w:val="optioncarChar"/>
        </w:rPr>
        <w:t xml:space="preserve"> / d1 / d2</w:t>
      </w:r>
      <w:r>
        <w:rPr>
          <w:rStyle w:val="facultChar"/>
        </w:rPr>
        <w:t>  </w:t>
      </w:r>
      <w:r>
        <w:br/>
        <w:t>Résistance à la contrainte en compression à 10 % de déformation (selon </w:t>
      </w:r>
      <w:r>
        <w:rPr>
          <w:rStyle w:val="facultChar"/>
        </w:rPr>
        <w:t>[NBN EN 826]</w:t>
      </w:r>
      <w:r>
        <w:t xml:space="preserve">) : niveau CS(10\Y)  </w:t>
      </w:r>
      <w:r>
        <w:rPr>
          <w:rStyle w:val="optioncarChar"/>
        </w:rPr>
        <w:t xml:space="preserve">0,5 / 5 / 10 / 15 / 20 / 25 / 30 / 40 </w:t>
      </w:r>
      <w:r>
        <w:t>(par défaut)</w:t>
      </w:r>
      <w:r>
        <w:rPr>
          <w:rStyle w:val="optioncarChar"/>
        </w:rPr>
        <w:t xml:space="preserve"> / 50 / 60 / 70 / 80 / 90 / 110 / 120 / 130 / 140 / 150 / 175 / 200 / 225 / 250 / 300 / 350 / 400 / 450 / 500</w:t>
      </w:r>
      <w:r>
        <w:rPr>
          <w:rStyle w:val="facultChar"/>
        </w:rPr>
        <w:t> </w:t>
      </w:r>
      <w:r>
        <w:t>kPa.</w:t>
      </w:r>
      <w:r>
        <w:br/>
        <w:t>Absorption d’eau à court terme (selon</w:t>
      </w:r>
      <w:r>
        <w:rPr>
          <w:rStyle w:val="facultChar"/>
        </w:rPr>
        <w:t> [NBN EN ISO 29767]</w:t>
      </w:r>
      <w:r>
        <w:t xml:space="preserve">) : ≤ </w:t>
      </w:r>
      <w:r>
        <w:rPr>
          <w:rStyle w:val="optioncarChar"/>
        </w:rPr>
        <w:t xml:space="preserve">1 kg/m² </w:t>
      </w:r>
      <w:r>
        <w:t>(par défaut)</w:t>
      </w:r>
      <w:r>
        <w:rPr>
          <w:rStyle w:val="optioncarChar"/>
        </w:rPr>
        <w:t xml:space="preserve"> / ***  </w:t>
      </w:r>
      <w:r>
        <w:br/>
        <w:t>Absorption d’eau à long terme (selon</w:t>
      </w:r>
      <w:r>
        <w:rPr>
          <w:rStyle w:val="facultChar"/>
        </w:rPr>
        <w:t> [NBN EN ISO 16535]</w:t>
      </w:r>
      <w:r>
        <w:t xml:space="preserve">) : ≤ </w:t>
      </w:r>
      <w:r>
        <w:rPr>
          <w:rStyle w:val="optioncarChar"/>
        </w:rPr>
        <w:t xml:space="preserve">3 kg/m² </w:t>
      </w:r>
      <w:r>
        <w:t>(par défaut)</w:t>
      </w:r>
      <w:r>
        <w:rPr>
          <w:rStyle w:val="optioncarChar"/>
        </w:rPr>
        <w:t xml:space="preserve"> / ***</w:t>
      </w:r>
      <w:r>
        <w:br/>
        <w:t>Coefficient de résistance à la diffusion de vapeur d’eau – valeur sd du panneau + parement (selon</w:t>
      </w:r>
      <w:r>
        <w:rPr>
          <w:rStyle w:val="facultChar"/>
        </w:rPr>
        <w:t>[NBN EN 12086]</w:t>
      </w:r>
      <w:r>
        <w:t xml:space="preserve">) : </w:t>
      </w:r>
      <w:r>
        <w:rPr>
          <w:rStyle w:val="optioncarChar"/>
        </w:rPr>
        <w:t> ***</w:t>
      </w:r>
      <w:r>
        <w:br/>
        <w:t>Absorption acoustique (déterminée selon </w:t>
      </w:r>
      <w:r>
        <w:rPr>
          <w:rStyle w:val="facultChar"/>
        </w:rPr>
        <w:t>[NBN EN ISO 354] </w:t>
      </w:r>
      <w:r>
        <w:t>et</w:t>
      </w:r>
      <w:r>
        <w:rPr>
          <w:rStyle w:val="facultChar"/>
        </w:rPr>
        <w:t> [NBN EN ISO 11654]</w:t>
      </w:r>
      <w:r>
        <w:t>) :</w:t>
      </w:r>
      <w:r>
        <w:rPr>
          <w:rStyle w:val="facultChar"/>
        </w:rPr>
        <w:t> </w:t>
      </w:r>
      <w:r>
        <w:rPr>
          <w:rStyle w:val="optioncarChar"/>
        </w:rPr>
        <w:t>*** </w:t>
      </w:r>
      <w:r>
        <w:br/>
      </w:r>
      <w:r>
        <w:br/>
        <w:t>Les liants des panneaux et d’adhésion du revêtement de surface ne contiennent pas de formaldéhyde. Le dégagement mesuré selon la </w:t>
      </w:r>
      <w:r>
        <w:rPr>
          <w:rStyle w:val="facultChar"/>
        </w:rPr>
        <w:t>[NBN EN 717-1] </w:t>
      </w:r>
      <w:r>
        <w:t xml:space="preserve">est &lt; </w:t>
      </w:r>
      <w:r>
        <w:rPr>
          <w:rStyle w:val="optioncarChar"/>
        </w:rPr>
        <w:t>0.124</w:t>
      </w:r>
      <w:r>
        <w:t xml:space="preserve"> (par défaut)</w:t>
      </w:r>
      <w:r>
        <w:rPr>
          <w:rStyle w:val="optioncarChar"/>
        </w:rPr>
        <w:t xml:space="preserve"> / ***</w:t>
      </w:r>
      <w:r>
        <w:rPr>
          <w:rStyle w:val="facultChar"/>
        </w:rPr>
        <w:t> </w:t>
      </w:r>
      <w:r>
        <w:t>mg/m³</w:t>
      </w:r>
      <w:r>
        <w:br/>
        <w:t>Concentration de pentachlorophénol mesurée selon la </w:t>
      </w:r>
      <w:r>
        <w:rPr>
          <w:rStyle w:val="facultChar"/>
        </w:rPr>
        <w:t>[CEN/TR 14823] </w:t>
      </w:r>
      <w:r>
        <w:t xml:space="preserve">: &lt; </w:t>
      </w:r>
      <w:r>
        <w:rPr>
          <w:rStyle w:val="optioncarChar"/>
        </w:rPr>
        <w:t>5</w:t>
      </w:r>
      <w:r>
        <w:t xml:space="preserve"> (par défaut) </w:t>
      </w:r>
      <w:r>
        <w:rPr>
          <w:rStyle w:val="optioncarChar"/>
        </w:rPr>
        <w:t>/ ***</w:t>
      </w:r>
      <w:r>
        <w:rPr>
          <w:rStyle w:val="facultChar"/>
        </w:rPr>
        <w:t>  </w:t>
      </w:r>
      <w:r>
        <w:t>PPM</w:t>
      </w:r>
      <w:r>
        <w:br/>
        <w:t xml:space="preserve">Les liants des panneaux sont issus de </w:t>
      </w:r>
      <w:r>
        <w:rPr>
          <w:rStyle w:val="optioncarChar"/>
        </w:rPr>
        <w:t xml:space="preserve">matières premières végétales </w:t>
      </w:r>
      <w:r>
        <w:t>(par défaut)</w:t>
      </w:r>
      <w:r>
        <w:rPr>
          <w:rStyle w:val="optioncarChar"/>
        </w:rPr>
        <w:t xml:space="preserve"> / dérivés synthétiques / ***.</w:t>
      </w:r>
    </w:p>
    <w:p w14:paraId="22CAD780" w14:textId="77777777" w:rsidR="00772179" w:rsidRDefault="00000000">
      <w:pPr>
        <w:pStyle w:val="pheading"/>
      </w:pPr>
      <w:r>
        <w:t>EXÉCUTION / MISE EN ŒUVRE</w:t>
      </w:r>
    </w:p>
    <w:p w14:paraId="5ABA121B" w14:textId="77777777" w:rsidR="00772179" w:rsidRDefault="00000000">
      <w:pPr>
        <w:pStyle w:val="pheading"/>
      </w:pPr>
      <w:r>
        <w:t>- Prescriptions générales</w:t>
      </w:r>
    </w:p>
    <w:p w14:paraId="2F557006" w14:textId="77777777" w:rsidR="00772179" w:rsidRDefault="00000000">
      <w:pPr>
        <w:jc w:val="both"/>
      </w:pPr>
      <w:r>
        <w:t>Les panneaux sont contigus. Les espaces éventuels entre panneaux ou de liaison avec les parois sont comblés avec un isolant de même type. </w:t>
      </w:r>
    </w:p>
    <w:p w14:paraId="7BB76454" w14:textId="77777777" w:rsidR="00772179" w:rsidRDefault="00000000">
      <w:pPr>
        <w:jc w:val="both"/>
      </w:pPr>
      <w:r>
        <w:rPr>
          <w:b/>
        </w:rPr>
        <w:t>Pour une application en cavité - murs de séparation - murs mitoyens</w:t>
      </w:r>
    </w:p>
    <w:p w14:paraId="4590D5AA" w14:textId="77777777" w:rsidR="00772179" w:rsidRDefault="00000000">
      <w:pPr>
        <w:jc w:val="both"/>
      </w:pPr>
      <w:r>
        <w:t xml:space="preserve">Les panneaux sont fixés par </w:t>
      </w:r>
      <w:r>
        <w:rPr>
          <w:rStyle w:val="optioncarChar"/>
        </w:rPr>
        <w:t xml:space="preserve">serrage entre éléments </w:t>
      </w:r>
      <w:r>
        <w:t>(par défaut)</w:t>
      </w:r>
      <w:r>
        <w:rPr>
          <w:rStyle w:val="optioncarChar"/>
        </w:rPr>
        <w:t xml:space="preserve"> / collage / fixation mécanique / ***</w:t>
      </w:r>
    </w:p>
    <w:p w14:paraId="6061AB01" w14:textId="77777777" w:rsidR="00772179" w:rsidRDefault="00000000">
      <w:pPr>
        <w:ind w:left="567"/>
        <w:jc w:val="both"/>
      </w:pPr>
      <w:r>
        <w:rPr>
          <w:b/>
          <w:i/>
        </w:rPr>
        <w:t>(soit par défaut) </w:t>
      </w:r>
    </w:p>
    <w:p w14:paraId="1DEA33CF" w14:textId="77777777" w:rsidR="00772179" w:rsidRDefault="00772179">
      <w:pPr>
        <w:ind w:left="567"/>
        <w:jc w:val="both"/>
      </w:pPr>
    </w:p>
    <w:p w14:paraId="3CD25C00" w14:textId="77777777" w:rsidR="00772179" w:rsidRDefault="00000000">
      <w:pPr>
        <w:ind w:left="567"/>
        <w:jc w:val="both"/>
      </w:pPr>
      <w:r>
        <w:rPr>
          <w:rStyle w:val="soitChar"/>
          <w:b/>
          <w:u w:val="single"/>
        </w:rPr>
        <w:t>Par serrage entre éléments</w:t>
      </w:r>
    </w:p>
    <w:p w14:paraId="6D2030A2" w14:textId="77777777" w:rsidR="00772179" w:rsidRDefault="0000000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06F69F61" w14:textId="77777777" w:rsidR="00772179" w:rsidRDefault="00000000">
      <w:pPr>
        <w:ind w:left="567"/>
        <w:jc w:val="both"/>
      </w:pPr>
      <w:r>
        <w:rPr>
          <w:b/>
          <w:i/>
        </w:rPr>
        <w:t>(soit) </w:t>
      </w:r>
    </w:p>
    <w:p w14:paraId="3E4D0EB3" w14:textId="77777777" w:rsidR="00772179" w:rsidRDefault="00000000">
      <w:pPr>
        <w:ind w:left="567"/>
        <w:jc w:val="both"/>
      </w:pPr>
      <w:r>
        <w:rPr>
          <w:rStyle w:val="soitChar"/>
          <w:b/>
          <w:u w:val="single"/>
        </w:rPr>
        <w:t>Par collage</w:t>
      </w:r>
    </w:p>
    <w:p w14:paraId="2D39C74A" w14:textId="77777777" w:rsidR="00772179" w:rsidRDefault="00000000">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xml:space="preserve"> La concentration de pentachlorophénol de la colle mesurée selon la [CEN/TR 14823] est ≤ </w:t>
      </w:r>
      <w:r>
        <w:rPr>
          <w:rStyle w:val="optioncarChar"/>
        </w:rPr>
        <w:t>5 PPM</w:t>
      </w:r>
      <w:r>
        <w:t xml:space="preserve"> (par défaut)</w:t>
      </w:r>
      <w:r>
        <w:rPr>
          <w:rStyle w:val="optioncarChar"/>
        </w:rPr>
        <w:t xml:space="preserve"> / ***.</w:t>
      </w:r>
    </w:p>
    <w:p w14:paraId="1C9F28B1" w14:textId="77777777" w:rsidR="00772179" w:rsidRDefault="00000000">
      <w:pPr>
        <w:ind w:left="567"/>
        <w:jc w:val="both"/>
      </w:pPr>
      <w:r>
        <w:rPr>
          <w:b/>
          <w:i/>
        </w:rPr>
        <w:t>(soit) </w:t>
      </w:r>
    </w:p>
    <w:p w14:paraId="20E8DABB" w14:textId="77777777" w:rsidR="00772179" w:rsidRDefault="00000000">
      <w:pPr>
        <w:ind w:left="567"/>
        <w:jc w:val="both"/>
      </w:pPr>
      <w:r>
        <w:rPr>
          <w:rStyle w:val="soitChar"/>
          <w:b/>
          <w:u w:val="single"/>
        </w:rPr>
        <w:t>Par fixation mécanique</w:t>
      </w:r>
    </w:p>
    <w:p w14:paraId="201BF5E7" w14:textId="77777777" w:rsidR="00772179" w:rsidRDefault="00000000">
      <w:pPr>
        <w:ind w:left="567"/>
        <w:jc w:val="both"/>
      </w:pPr>
      <w:r>
        <w:rPr>
          <w:rStyle w:val="soitChar"/>
        </w:rPr>
        <w:t xml:space="preserve"> Les fixations sont au nombre de </w:t>
      </w:r>
      <w:r>
        <w:rPr>
          <w:rStyle w:val="optioncarChar"/>
        </w:rPr>
        <w:t>3 par panneau / 5 par m²</w:t>
      </w:r>
      <w:r>
        <w:t xml:space="preserve"> (par défaut)</w:t>
      </w:r>
      <w:r>
        <w:rPr>
          <w:rStyle w:val="optioncarChar"/>
        </w:rPr>
        <w:t xml:space="preserve">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 xml:space="preserve">métallique / synthétique </w:t>
      </w:r>
      <w:r>
        <w:t>(par défaut)</w:t>
      </w:r>
      <w:r>
        <w:rPr>
          <w:rStyle w:val="soitChar"/>
        </w:rPr>
        <w:t xml:space="preserve">.  Les ancrages sont à </w:t>
      </w:r>
      <w:r>
        <w:rPr>
          <w:rStyle w:val="optioncarChar"/>
        </w:rPr>
        <w:t xml:space="preserve">visser / frapper </w:t>
      </w:r>
      <w:r>
        <w:t xml:space="preserve">(par défaut) </w:t>
      </w:r>
      <w:r>
        <w:rPr>
          <w:rStyle w:val="soitChar"/>
        </w:rPr>
        <w:t> et sont adaptés au support.</w:t>
      </w:r>
    </w:p>
    <w:p w14:paraId="6BB55AB5" w14:textId="77777777" w:rsidR="00772179" w:rsidRDefault="00000000">
      <w:pPr>
        <w:ind w:left="567"/>
        <w:jc w:val="both"/>
      </w:pPr>
      <w:r>
        <w:rPr>
          <w:b/>
          <w:i/>
        </w:rPr>
        <w:t>(soit) </w:t>
      </w:r>
    </w:p>
    <w:p w14:paraId="2765D003" w14:textId="77777777" w:rsidR="00772179" w:rsidRDefault="00000000">
      <w:pPr>
        <w:ind w:left="567"/>
        <w:jc w:val="both"/>
      </w:pPr>
      <w:r>
        <w:rPr>
          <w:rStyle w:val="optioncarChar"/>
        </w:rPr>
        <w:t>***</w:t>
      </w:r>
    </w:p>
    <w:p w14:paraId="07E9B91E" w14:textId="77777777" w:rsidR="00772179" w:rsidRDefault="00000000">
      <w:r>
        <w:t>Les détails d’isolation pour les murs creux sont conformes à la [NIT 264].</w:t>
      </w:r>
      <w:r>
        <w:br/>
        <w:t>Les bouchons d’isolation agissant comme séparation de niveau comblent l’entièreté de l’épaisseur de l’espace.</w:t>
      </w:r>
      <w:r>
        <w:br/>
        <w:t>Les fixations sont disposées afin de ne pas réduire les performances acoustiques.</w:t>
      </w:r>
      <w:r>
        <w:br/>
        <w:t>L’isolation en application derrière des bardages métalliques est conforme à la [NIT 266].</w:t>
      </w:r>
      <w:r>
        <w:br/>
      </w:r>
      <w:r>
        <w:lastRenderedPageBreak/>
        <w:t>La mise en œuvre de l’isolation en panneaux de paille pour revêtement de façade en bois ou en panneaux est conforme à la [NIT 243].</w:t>
      </w:r>
      <w:r>
        <w:br/>
        <w:t xml:space="preserve">Les parements sont posés du côté </w:t>
      </w:r>
      <w:r>
        <w:rPr>
          <w:rStyle w:val="optioncarChar"/>
        </w:rPr>
        <w:t>extérieur</w:t>
      </w:r>
      <w:r>
        <w:t xml:space="preserve"> (par défaut)</w:t>
      </w:r>
      <w:r>
        <w:rPr>
          <w:rStyle w:val="optioncarChar"/>
        </w:rPr>
        <w:t xml:space="preserve"> / intérieur / ***</w:t>
      </w:r>
      <w:r>
        <w:t>.</w:t>
      </w:r>
    </w:p>
    <w:p w14:paraId="2C6F65F4" w14:textId="77777777" w:rsidR="00772179" w:rsidRDefault="00772179"/>
    <w:p w14:paraId="48A70201" w14:textId="77777777" w:rsidR="00772179" w:rsidRDefault="00000000">
      <w:pPr>
        <w:pStyle w:val="pheading"/>
      </w:pPr>
      <w:r>
        <w:t>DOCUMENTS DE RÉFÉRENCE COMPLÉMENTAIRES</w:t>
      </w:r>
    </w:p>
    <w:p w14:paraId="4A04BB53" w14:textId="77777777" w:rsidR="00772179" w:rsidRDefault="00000000">
      <w:pPr>
        <w:pStyle w:val="pheading"/>
      </w:pPr>
      <w:r>
        <w:t>- Matériau</w:t>
      </w:r>
    </w:p>
    <w:p w14:paraId="32934CA0"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7EF5810" w14:textId="77777777" w:rsidR="00772179"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 </w:t>
      </w:r>
    </w:p>
    <w:p w14:paraId="141231A9" w14:textId="77777777" w:rsidR="00772179" w:rsidRDefault="00000000">
      <w:r>
        <w:t>[NBN EN 824, Produits isolants thermiques destinés aux applications du bâtiment - Détermination de l'équerrage]</w:t>
      </w:r>
    </w:p>
    <w:p w14:paraId="1907DDB0" w14:textId="77777777" w:rsidR="00772179" w:rsidRDefault="00000000">
      <w:r>
        <w:t>[NBN EN 825, Produits isolants thermiques destinés aux applications du bâtiment - Détermination de la planéité]</w:t>
      </w:r>
    </w:p>
    <w:p w14:paraId="5DD072BE" w14:textId="77777777" w:rsidR="00772179" w:rsidRDefault="00000000">
      <w:r>
        <w:t>[NBN EN 13501-1, Classement au feu des produits et éléments de construction - Partie 1: Classement à partir des données d'essais de réaction au feu]</w:t>
      </w:r>
    </w:p>
    <w:p w14:paraId="20CEB9A5" w14:textId="77777777" w:rsidR="00772179" w:rsidRDefault="00000000">
      <w:r>
        <w:t>[NBN EN 1604, Produits isolants thermiques destinés aux applications du bâtiment - Détermination de la stabilité dimensionnelle dans des conditions de température et d'humidité spécifiées]</w:t>
      </w:r>
    </w:p>
    <w:p w14:paraId="35B4A185" w14:textId="77777777" w:rsidR="00772179" w:rsidRDefault="00000000">
      <w:r>
        <w:t>[NBN EN 826, Produits isolants thermiques destinés aux applications du bâtiment - Détermination du comportement en compression] </w:t>
      </w:r>
    </w:p>
    <w:p w14:paraId="6DA53618" w14:textId="77777777" w:rsidR="00772179" w:rsidRDefault="00000000">
      <w:r>
        <w:t>[NBN EN 1607, Produits isolants thermiques destinés aux applications du bâtiment - Détermination de la résistance à la traction perpendiculairement aux faces]</w:t>
      </w:r>
    </w:p>
    <w:p w14:paraId="76191B32" w14:textId="77777777" w:rsidR="00772179" w:rsidRDefault="00000000">
      <w:r>
        <w:t>[NBN EN 12430, Produits isolants thermiques destinés aux applications du bâtiment - Détermination du comportement sous charge ponctuelle]</w:t>
      </w:r>
    </w:p>
    <w:p w14:paraId="3C353D55" w14:textId="77777777" w:rsidR="00772179" w:rsidRDefault="00000000">
      <w:r>
        <w:t>[NBN EN ISO 16534, Produits isolants thermiques destinés aux applications du bâtiment - Détermination du fluage en compression (ISO 16534:2020)]</w:t>
      </w:r>
    </w:p>
    <w:p w14:paraId="617EBC92" w14:textId="77777777" w:rsidR="00772179" w:rsidRDefault="00000000">
      <w:r>
        <w:t>[NBN EN ISO 29767, Produits isolants thermiques destinés aux applications du bâtiment - Détermination de l'absorption d'eau à court terme par immersion partielle (ISO 29767:2019)] </w:t>
      </w:r>
    </w:p>
    <w:p w14:paraId="56150CF2" w14:textId="77777777" w:rsidR="00772179" w:rsidRDefault="00000000">
      <w:r>
        <w:t>[NBN EN ISO 16535, Produits isolants thermiques destinés aux applications du bâtiment - Détermination de l'absorption d'eau à long terme par immersion (ISO 16535:2019)]</w:t>
      </w:r>
    </w:p>
    <w:p w14:paraId="009E8CF0" w14:textId="77777777" w:rsidR="00772179" w:rsidRDefault="00000000">
      <w:r>
        <w:t>[NBN EN 12086, Produits isolants thermiques destinés aux applications du bâtiment - Détermination des propriétés de transmission de la vapeur d'eau]</w:t>
      </w:r>
    </w:p>
    <w:p w14:paraId="5D9191AD" w14:textId="77777777" w:rsidR="00772179" w:rsidRDefault="00000000">
      <w:r>
        <w:t>[NBN EN ISO 354, Acoustique - Mesurage de l'absorption acoustique en salle réverbérante (ISO 354:2003)]</w:t>
      </w:r>
    </w:p>
    <w:p w14:paraId="348E866C" w14:textId="77777777" w:rsidR="00772179" w:rsidRDefault="00000000">
      <w:r>
        <w:t>[NBN EN ISO 11654, Acoustique - Absorbants pour l'utilisation dans les bâtiments - Evaluation de l'absorption acoustique (ISO 11654:1997)]</w:t>
      </w:r>
    </w:p>
    <w:p w14:paraId="5AC7A3BE" w14:textId="77777777" w:rsidR="00772179" w:rsidRDefault="00000000">
      <w:pPr>
        <w:pStyle w:val="pheading"/>
      </w:pPr>
      <w:r>
        <w:t>MESURAGE</w:t>
      </w:r>
    </w:p>
    <w:p w14:paraId="37E186F1" w14:textId="77777777" w:rsidR="00772179" w:rsidRDefault="00000000">
      <w:pPr>
        <w:pStyle w:val="pheading"/>
      </w:pPr>
      <w:r>
        <w:t>- unité de mesure:</w:t>
      </w:r>
    </w:p>
    <w:p w14:paraId="62029A00" w14:textId="77777777" w:rsidR="00772179" w:rsidRDefault="00000000">
      <w:r>
        <w:t>m²</w:t>
      </w:r>
    </w:p>
    <w:p w14:paraId="18DAD2A9" w14:textId="77777777" w:rsidR="00772179" w:rsidRDefault="00000000">
      <w:pPr>
        <w:pStyle w:val="pheading"/>
      </w:pPr>
      <w:r>
        <w:t>- code de mesurage:</w:t>
      </w:r>
    </w:p>
    <w:p w14:paraId="1DD05D03" w14:textId="77777777" w:rsidR="00772179" w:rsidRDefault="00000000">
      <w:pPr>
        <w:jc w:val="both"/>
      </w:pPr>
      <w:r>
        <w:rPr>
          <w:b/>
        </w:rPr>
        <w:t>Surface nette</w:t>
      </w:r>
      <w:r>
        <w:t xml:space="preserve"> de la paroi à isoler, sans déduction des éléments de structure. Les réservations &lt; 1 m² ne sont pas déduites. Distinction faite suivant le type et l'épaisseur.</w:t>
      </w:r>
    </w:p>
    <w:p w14:paraId="5D8CF7BB" w14:textId="77777777" w:rsidR="00772179" w:rsidRDefault="00000000">
      <w:pPr>
        <w:pStyle w:val="pheading"/>
      </w:pPr>
      <w:r>
        <w:t>- nature du marché:</w:t>
      </w:r>
    </w:p>
    <w:p w14:paraId="0408B141" w14:textId="77777777" w:rsidR="00772179" w:rsidRDefault="00000000">
      <w:r>
        <w:lastRenderedPageBreak/>
        <w:t>QF</w:t>
      </w:r>
    </w:p>
    <w:p w14:paraId="5C84C8CD" w14:textId="77777777" w:rsidR="00772179" w:rsidRDefault="00772179"/>
    <w:p w14:paraId="6D185788" w14:textId="77777777" w:rsidR="00772179" w:rsidRDefault="00000000">
      <w:pPr>
        <w:pStyle w:val="Author-eSectionHeading6Numberless"/>
      </w:pPr>
      <w:bookmarkStart w:id="1006" w:name="_Toc220490664"/>
      <w:r>
        <w:t>44.41.3k (titre réservé)</w:t>
      </w:r>
      <w:bookmarkEnd w:id="1006"/>
    </w:p>
    <w:p w14:paraId="59E2EE4C" w14:textId="77777777" w:rsidR="00772179" w:rsidRDefault="00000000">
      <w:pPr>
        <w:pStyle w:val="Author-eSectionHeading6Numberless"/>
      </w:pPr>
      <w:bookmarkStart w:id="1007" w:name="_Toc220490665"/>
      <w:r>
        <w:t>44.41.3l Isolation en panneaux - biopolymères CCTB 01.12</w:t>
      </w:r>
      <w:bookmarkEnd w:id="1007"/>
    </w:p>
    <w:p w14:paraId="71DCB70B" w14:textId="77777777" w:rsidR="00772179" w:rsidRDefault="00000000">
      <w:pPr>
        <w:pStyle w:val="pheading"/>
      </w:pPr>
      <w:r>
        <w:t>DESCRIPTION</w:t>
      </w:r>
    </w:p>
    <w:p w14:paraId="3B670E3E" w14:textId="77777777" w:rsidR="00772179" w:rsidRDefault="00000000">
      <w:pPr>
        <w:pStyle w:val="pheading"/>
      </w:pPr>
      <w:r>
        <w:t>- Définition / Comprend</w:t>
      </w:r>
    </w:p>
    <w:p w14:paraId="7B9A3411" w14:textId="77777777" w:rsidR="00772179" w:rsidRDefault="00000000">
      <w:pPr>
        <w:jc w:val="both"/>
      </w:pPr>
      <w:r>
        <w:t>Il s’agit de la fourniture et la pose d’un doublage acoustique au moyen de panneaux de biopolymères pour une application en façade (murs mitoyens).</w:t>
      </w:r>
    </w:p>
    <w:p w14:paraId="65CC5E52" w14:textId="77777777" w:rsidR="00772179" w:rsidRDefault="00000000">
      <w:pPr>
        <w:pStyle w:val="pheading"/>
      </w:pPr>
      <w:r>
        <w:t>MATÉRIAUX</w:t>
      </w:r>
    </w:p>
    <w:p w14:paraId="6C4B4A3A" w14:textId="77777777" w:rsidR="00772179" w:rsidRDefault="00000000">
      <w:pPr>
        <w:pStyle w:val="pheading"/>
      </w:pPr>
      <w:r>
        <w:t>- Caractéristiques générales</w:t>
      </w:r>
    </w:p>
    <w:p w14:paraId="1F6B7621" w14:textId="77777777" w:rsidR="00772179" w:rsidRDefault="00000000">
      <w:r>
        <w:t>Le produit biosourcé est constitué d’une membrane en biopolymères viscoélastique, produite à base de matériaux organiques renouvelables et recyclables, résidus des filières agricoles et alimentaires.</w:t>
      </w:r>
      <w:r>
        <w:br/>
      </w:r>
      <w:r>
        <w:br/>
        <w:t xml:space="preserve">Épaisseur (selon [NBN EN 823]) : </w:t>
      </w:r>
      <w:r>
        <w:rPr>
          <w:rStyle w:val="optioncarChar"/>
        </w:rPr>
        <w:t xml:space="preserve">2 </w:t>
      </w:r>
      <w:r>
        <w:t xml:space="preserve">(par défaut) </w:t>
      </w:r>
      <w:r>
        <w:rPr>
          <w:rStyle w:val="optioncarChar"/>
        </w:rPr>
        <w:t>/ 3 / ***</w:t>
      </w:r>
      <w:r>
        <w:t xml:space="preserve"> mm</w:t>
      </w:r>
      <w:r>
        <w:br/>
        <w:t xml:space="preserve">Les panneaux sont disposés en </w:t>
      </w:r>
      <w:r>
        <w:rPr>
          <w:rStyle w:val="optioncarChar"/>
        </w:rPr>
        <w:t>1</w:t>
      </w:r>
      <w:r>
        <w:t xml:space="preserve"> (par défaut) </w:t>
      </w:r>
      <w:r>
        <w:rPr>
          <w:rStyle w:val="optioncarChar"/>
        </w:rPr>
        <w:t>/ *** </w:t>
      </w:r>
      <w:r>
        <w:t>couche(s).</w:t>
      </w:r>
      <w:r>
        <w:br/>
        <w:t>Densité (selon [NBN EN ISO 29470]) :</w:t>
      </w:r>
      <w:r>
        <w:rPr>
          <w:rStyle w:val="optioncarChar"/>
        </w:rPr>
        <w:t xml:space="preserve"> 2,5 </w:t>
      </w:r>
      <w:r>
        <w:t xml:space="preserve">(par défaut) </w:t>
      </w:r>
      <w:r>
        <w:rPr>
          <w:rStyle w:val="optioncarChar"/>
        </w:rPr>
        <w:t>/ 4 / ***</w:t>
      </w:r>
      <w:r>
        <w:t xml:space="preserve"> kg/m³.</w:t>
      </w:r>
      <w:r>
        <w:br/>
        <w:t xml:space="preserve">Indice d’affaiblissement acoustique Rw (selon [NBN EN ISO 717-1]) : </w:t>
      </w:r>
      <w:r>
        <w:rPr>
          <w:rStyle w:val="optioncarChar"/>
        </w:rPr>
        <w:t xml:space="preserve">71 </w:t>
      </w:r>
      <w:r>
        <w:t>(par défaut)</w:t>
      </w:r>
      <w:r>
        <w:rPr>
          <w:rStyle w:val="optioncarChar"/>
        </w:rPr>
        <w:t xml:space="preserve"> / ***</w:t>
      </w:r>
      <w:r>
        <w:t xml:space="preserve"> dB</w:t>
      </w:r>
      <w:r>
        <w:br/>
        <w:t xml:space="preserve">Les liants des panneaux et d’adhésion du revêtement de surface ne contiennent pas de formaldéhyde. Le dégagement mesuré selon la [NBN EN 717-1] &lt; </w:t>
      </w:r>
      <w:r>
        <w:rPr>
          <w:rStyle w:val="optioncarChar"/>
        </w:rPr>
        <w:t xml:space="preserve">0.124 </w:t>
      </w:r>
      <w:r>
        <w:t>(par défaut)</w:t>
      </w:r>
      <w:r>
        <w:rPr>
          <w:rStyle w:val="optioncarChar"/>
        </w:rPr>
        <w:t xml:space="preserve"> / ***</w:t>
      </w:r>
      <w:r>
        <w:t xml:space="preserve"> mg/m³.</w:t>
      </w:r>
      <w:r>
        <w:br/>
        <w:t xml:space="preserve">La concentration de pentachlorophénol mesurée selon la [CEN/TR 14823] &lt; </w:t>
      </w:r>
      <w:r>
        <w:rPr>
          <w:rStyle w:val="optioncarChar"/>
        </w:rPr>
        <w:t xml:space="preserve">5 </w:t>
      </w:r>
      <w:r>
        <w:t xml:space="preserve">(par défaut) </w:t>
      </w:r>
      <w:r>
        <w:rPr>
          <w:rStyle w:val="optioncarChar"/>
        </w:rPr>
        <w:t>/ ***</w:t>
      </w:r>
      <w:r>
        <w:t xml:space="preserve"> PPM.</w:t>
      </w:r>
      <w:r>
        <w:br/>
        <w:t xml:space="preserve">Les liants des panneaux sont issus de </w:t>
      </w:r>
      <w:r>
        <w:rPr>
          <w:rStyle w:val="optioncarChar"/>
        </w:rPr>
        <w:t>matières premières d’origine végétale</w:t>
      </w:r>
      <w:r>
        <w:t xml:space="preserve"> (par défaut)</w:t>
      </w:r>
      <w:r>
        <w:rPr>
          <w:rStyle w:val="optioncarChar"/>
        </w:rPr>
        <w:t xml:space="preserve"> / ***</w:t>
      </w:r>
      <w:r>
        <w:t>.</w:t>
      </w:r>
      <w:r>
        <w:b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le [Règlement 1907/2006/CE]. La concentration maximum des adjuvants est de </w:t>
      </w:r>
      <w:r>
        <w:rPr>
          <w:rStyle w:val="optioncarChar"/>
        </w:rPr>
        <w:t>4 %</w:t>
      </w:r>
      <w:r>
        <w:t xml:space="preserve"> (par défaut) </w:t>
      </w:r>
      <w:r>
        <w:rPr>
          <w:rStyle w:val="optioncarChar"/>
        </w:rPr>
        <w:t>/ ***</w:t>
      </w:r>
      <w:r>
        <w:t>.</w:t>
      </w:r>
    </w:p>
    <w:p w14:paraId="789F888E" w14:textId="77777777" w:rsidR="00772179" w:rsidRDefault="00000000">
      <w:r>
        <w:t>Classement de la réaction au feu (selon</w:t>
      </w:r>
      <w:r>
        <w:rPr>
          <w:rStyle w:val="facultChar"/>
        </w:rPr>
        <w:t>[NBN EN 13501-1]</w:t>
      </w:r>
      <w:r>
        <w:t xml:space="preserve">) : </w:t>
      </w:r>
      <w:r>
        <w:rPr>
          <w:rStyle w:val="optioncarChar"/>
        </w:rPr>
        <w:t>D</w:t>
      </w:r>
      <w:r>
        <w:t xml:space="preserve"> (par défaut)</w:t>
      </w:r>
      <w:r>
        <w:rPr>
          <w:rStyle w:val="optioncarChar"/>
        </w:rPr>
        <w:t xml:space="preserve"> / ***</w:t>
      </w:r>
      <w:r>
        <w:t>.</w:t>
      </w:r>
    </w:p>
    <w:p w14:paraId="1B46B51C" w14:textId="77777777" w:rsidR="00772179" w:rsidRDefault="00000000">
      <w:pPr>
        <w:ind w:left="750"/>
      </w:pPr>
      <w:r>
        <w:t> </w:t>
      </w:r>
    </w:p>
    <w:p w14:paraId="029EC107" w14:textId="77777777" w:rsidR="00772179" w:rsidRDefault="00000000">
      <w:pPr>
        <w:pStyle w:val="pheading"/>
      </w:pPr>
      <w:r>
        <w:t>EXÉCUTION / MISE EN ŒUVRE</w:t>
      </w:r>
    </w:p>
    <w:p w14:paraId="1F5FD275" w14:textId="77777777" w:rsidR="00772179" w:rsidRDefault="00000000">
      <w:pPr>
        <w:pStyle w:val="pheading"/>
      </w:pPr>
      <w:r>
        <w:t>- Prescriptions générales</w:t>
      </w:r>
    </w:p>
    <w:p w14:paraId="3A198CBA" w14:textId="77777777" w:rsidR="00772179" w:rsidRDefault="00000000">
      <w:r>
        <w:t>Le stockage des membranes isolants acoustiques ainsi que de leurs accessoires fait impérativement preuve de soin. Les isolants sont entreposés horizontalement et ne sont pas exposés aux intempéries ni à la lumière directe du soleil. Le stockage des isolant et de leurs accessoires est réalisé de façon à annuler le risque de trous ou de tout dégât.</w:t>
      </w:r>
      <w:r>
        <w:br/>
        <w:t>Les points de contact entre le système isolant prescrit et les éléments de structure du bâtiment sont découplés avec une bande résiliente de désolidarisation. Un joint viscoélastique résilient est appliqué en périphérie du système isolant.</w:t>
      </w:r>
      <w:r>
        <w:br/>
        <w:t>La structure d’isolation acoustique est composée d’une ossature légère autoportante composée de profilés métalliques et désolidarisée en périphérie par des bandes résilientes et distante de quelques millimètres du mur mitoyen.</w:t>
      </w:r>
      <w:r>
        <w:br/>
        <w:t xml:space="preserve">La cavité de l’ossature est remplie de </w:t>
      </w:r>
      <w:r>
        <w:rPr>
          <w:rStyle w:val="optioncarChar"/>
        </w:rPr>
        <w:t xml:space="preserve">panneaux de laine minérale absorbante </w:t>
      </w:r>
      <w:r>
        <w:t xml:space="preserve">(par défaut) </w:t>
      </w:r>
      <w:r>
        <w:rPr>
          <w:rStyle w:val="optioncarChar"/>
        </w:rPr>
        <w:t>/ ***</w:t>
      </w:r>
      <w:r>
        <w:t xml:space="preserve"> et est bordée sur une face d’une membrane, posée entre deux plaques de plâtre standard.</w:t>
      </w:r>
      <w:r>
        <w:br/>
        <w:t>L’isolation acoustique en application derrière des bardages métalliques est conforme à la [NIT 266].</w:t>
      </w:r>
    </w:p>
    <w:p w14:paraId="01388B39" w14:textId="77777777" w:rsidR="00772179" w:rsidRDefault="00772179"/>
    <w:p w14:paraId="7141C067" w14:textId="77777777" w:rsidR="00772179" w:rsidRDefault="00000000">
      <w:pPr>
        <w:pStyle w:val="pheading"/>
      </w:pPr>
      <w:r>
        <w:t>DOCUMENTS DE RÉFÉRENCE COMPLÉMENTAIRES</w:t>
      </w:r>
    </w:p>
    <w:p w14:paraId="027F2031" w14:textId="77777777" w:rsidR="00772179" w:rsidRDefault="00000000">
      <w:pPr>
        <w:pStyle w:val="pheading"/>
      </w:pPr>
      <w:r>
        <w:t>- Matériau</w:t>
      </w:r>
    </w:p>
    <w:p w14:paraId="62029EB0" w14:textId="77777777" w:rsidR="00772179" w:rsidRDefault="00000000">
      <w:r>
        <w:t>[NBN EN 823, Produits isolants thermiques destinés aux applications du bâtiment - Détermination de l'épaisseur] </w:t>
      </w:r>
    </w:p>
    <w:p w14:paraId="198EAA32" w14:textId="77777777" w:rsidR="00772179" w:rsidRDefault="00000000">
      <w:r>
        <w:lastRenderedPageBreak/>
        <w:t>[NBN EN ISO 29470, Produits isolants thermiques destinés aux applications du bâtiment - Détermination de la masse volumique apparente (ISO 29470:2020)]</w:t>
      </w:r>
    </w:p>
    <w:p w14:paraId="11240BFF" w14:textId="77777777" w:rsidR="00772179" w:rsidRDefault="00000000">
      <w:r>
        <w:t>[NBN EN ISO 717-1, Acoustique - Évaluation de l'isolement acoustique des immeubles et des éléments de construction - Partie 1: Isolement aux bruits aériens (ISO 717-1:2020)]</w:t>
      </w:r>
    </w:p>
    <w:p w14:paraId="2EECE238" w14:textId="77777777" w:rsidR="00772179" w:rsidRDefault="00000000">
      <w:r>
        <w:t>[NBN EN 717-1, Panneaux à base de bois - Détermination du dégagement de formaldéhyde - Partie 1 : Emission de formaldéhyde par la méthode à la chambre]</w:t>
      </w:r>
    </w:p>
    <w:p w14:paraId="50AF5B1B" w14:textId="77777777" w:rsidR="00772179" w:rsidRDefault="00000000">
      <w:r>
        <w:t>[CEN/TR 14823, Durabilité du bois et des matériaux dérivés du bois - Analyse quantitative du pentachlorophénol dans le bois - Méthode par chromatographie en phase gazeuse]</w:t>
      </w:r>
    </w:p>
    <w:p w14:paraId="7246EFB3" w14:textId="77777777" w:rsidR="00772179" w:rsidRDefault="00000000">
      <w:r>
        <w:t>[NBN EN 13501-1, Classement au feu des produits et éléments de construction - Partie 1: Classement à partir des données d'essais de réaction au feu]</w:t>
      </w:r>
    </w:p>
    <w:p w14:paraId="26669E84" w14:textId="77777777" w:rsidR="00772179" w:rsidRDefault="00000000">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49DBE46D" w14:textId="77777777" w:rsidR="00772179" w:rsidRDefault="00000000">
      <w:pPr>
        <w:pStyle w:val="pheading"/>
      </w:pPr>
      <w:r>
        <w:t>- Exécution</w:t>
      </w:r>
    </w:p>
    <w:p w14:paraId="13D70576" w14:textId="77777777" w:rsidR="00772179" w:rsidRDefault="00000000">
      <w:r>
        <w:t>[NIT 266, Couvertures et bardages métalliques à joints debout et à tasseaux]</w:t>
      </w:r>
    </w:p>
    <w:p w14:paraId="3AF94DDE" w14:textId="77777777" w:rsidR="00772179" w:rsidRDefault="00000000">
      <w:pPr>
        <w:pStyle w:val="pheading"/>
      </w:pPr>
      <w:r>
        <w:t>MESURAGE</w:t>
      </w:r>
    </w:p>
    <w:p w14:paraId="092D1ADD" w14:textId="77777777" w:rsidR="00772179" w:rsidRDefault="00000000">
      <w:pPr>
        <w:pStyle w:val="pheading"/>
      </w:pPr>
      <w:r>
        <w:t>- unité de mesure:</w:t>
      </w:r>
    </w:p>
    <w:p w14:paraId="226C4244" w14:textId="77777777" w:rsidR="00772179" w:rsidRDefault="00000000">
      <w:r>
        <w:t>m²</w:t>
      </w:r>
    </w:p>
    <w:p w14:paraId="2E36E41A" w14:textId="77777777" w:rsidR="00772179" w:rsidRDefault="00000000">
      <w:pPr>
        <w:pStyle w:val="pheading"/>
      </w:pPr>
      <w:r>
        <w:t>- code de mesurage:</w:t>
      </w:r>
    </w:p>
    <w:p w14:paraId="0AD9722B" w14:textId="77777777" w:rsidR="00772179" w:rsidRDefault="00000000">
      <w:pPr>
        <w:jc w:val="both"/>
      </w:pPr>
      <w:r>
        <w:rPr>
          <w:u w:val="single"/>
        </w:rPr>
        <w:t>Isolation des parois verticales :</w:t>
      </w:r>
      <w:r>
        <w:t>  </w:t>
      </w:r>
      <w:r>
        <w:rPr>
          <w:b/>
        </w:rPr>
        <w:t>Surface nette</w:t>
      </w:r>
      <w:r>
        <w:t>. Les ouvertures &gt; 0,50 m² sont déduites</w:t>
      </w:r>
    </w:p>
    <w:p w14:paraId="52FDA25A" w14:textId="77777777" w:rsidR="00772179" w:rsidRDefault="00000000">
      <w:pPr>
        <w:jc w:val="both"/>
      </w:pPr>
      <w:r>
        <w:t>Distinction faite suivant le type et l'épaisseur.</w:t>
      </w:r>
    </w:p>
    <w:p w14:paraId="674A4284" w14:textId="77777777" w:rsidR="00772179" w:rsidRDefault="00000000">
      <w:pPr>
        <w:pStyle w:val="pheading"/>
      </w:pPr>
      <w:r>
        <w:t>- nature du marché:</w:t>
      </w:r>
    </w:p>
    <w:p w14:paraId="26E6AA68" w14:textId="77777777" w:rsidR="00772179" w:rsidRDefault="00000000">
      <w:r>
        <w:t>QF</w:t>
      </w:r>
    </w:p>
    <w:p w14:paraId="7A241332" w14:textId="77777777" w:rsidR="00772179" w:rsidRDefault="00000000">
      <w:pPr>
        <w:pStyle w:val="Author-eSectionHeading5Numberless"/>
      </w:pPr>
      <w:bookmarkStart w:id="1008" w:name="_Toc220490666"/>
      <w:r>
        <w:t>44.41.4 Isolation en panneaux - matières animales CCTB 01.02</w:t>
      </w:r>
      <w:bookmarkEnd w:id="1008"/>
    </w:p>
    <w:p w14:paraId="550166F0" w14:textId="77777777" w:rsidR="00772179" w:rsidRDefault="00000000">
      <w:pPr>
        <w:pStyle w:val="Author-eSectionHeading6Numberless"/>
      </w:pPr>
      <w:bookmarkStart w:id="1009" w:name="_Toc220490667"/>
      <w:r>
        <w:t>44.41.4a Isolation en panneaux - laine de mouton CCTB 01.11</w:t>
      </w:r>
      <w:bookmarkEnd w:id="1009"/>
    </w:p>
    <w:p w14:paraId="31D6F61B" w14:textId="77777777" w:rsidR="00772179" w:rsidRDefault="00000000">
      <w:pPr>
        <w:pStyle w:val="pheading"/>
      </w:pPr>
      <w:r>
        <w:t>MATÉRIAUX</w:t>
      </w:r>
    </w:p>
    <w:p w14:paraId="1EAC3963" w14:textId="77777777" w:rsidR="00772179" w:rsidRDefault="00000000">
      <w:pPr>
        <w:pStyle w:val="pheading"/>
      </w:pPr>
      <w:r>
        <w:t>- Caractéristiques générales</w:t>
      </w:r>
    </w:p>
    <w:p w14:paraId="50223AB2" w14:textId="77777777" w:rsidR="00772179" w:rsidRDefault="00000000">
      <w:r>
        <w:t>Voir article 32.41.4a Isolation en panneaux - laine de mouton</w:t>
      </w:r>
    </w:p>
    <w:p w14:paraId="4C328D30" w14:textId="77777777" w:rsidR="00772179" w:rsidRDefault="00000000">
      <w:pPr>
        <w:pStyle w:val="pheading"/>
      </w:pPr>
      <w:r>
        <w:t>DOCUMENTS DE RÉFÉRENCE COMPLÉMENTAIRES</w:t>
      </w:r>
    </w:p>
    <w:p w14:paraId="4A5F5210" w14:textId="77777777" w:rsidR="00772179" w:rsidRDefault="00000000">
      <w:pPr>
        <w:pStyle w:val="pheading"/>
      </w:pPr>
      <w:r>
        <w:t>- Matériau</w:t>
      </w:r>
    </w:p>
    <w:p w14:paraId="45DC11AB" w14:textId="77777777" w:rsidR="00772179" w:rsidRDefault="00000000">
      <w:r>
        <w:t>32.41.4a Isolation en panneaux - laine de mouton</w:t>
      </w:r>
    </w:p>
    <w:p w14:paraId="269EAF81" w14:textId="77777777" w:rsidR="00772179" w:rsidRDefault="00000000">
      <w:pPr>
        <w:pStyle w:val="pheading"/>
      </w:pPr>
      <w:r>
        <w:t>- Exécution</w:t>
      </w:r>
    </w:p>
    <w:p w14:paraId="30BFAE4C" w14:textId="77777777" w:rsidR="00772179" w:rsidRDefault="00000000">
      <w:r>
        <w:t>32.41.4a Isolation en panneaux - laine de mouton</w:t>
      </w:r>
    </w:p>
    <w:p w14:paraId="448E698F" w14:textId="77777777" w:rsidR="00772179" w:rsidRDefault="00000000">
      <w:pPr>
        <w:pStyle w:val="pheading"/>
      </w:pPr>
      <w:r>
        <w:t>MESURAGE</w:t>
      </w:r>
    </w:p>
    <w:p w14:paraId="26746586" w14:textId="77777777" w:rsidR="00772179" w:rsidRDefault="00000000">
      <w:pPr>
        <w:pStyle w:val="pheading"/>
      </w:pPr>
      <w:r>
        <w:t>- unité de mesure:</w:t>
      </w:r>
    </w:p>
    <w:p w14:paraId="5A677F99" w14:textId="77777777" w:rsidR="00772179" w:rsidRDefault="00000000">
      <w:r>
        <w:rPr>
          <w:b/>
        </w:rPr>
        <w:t>m² </w:t>
      </w:r>
    </w:p>
    <w:p w14:paraId="4F96FA15" w14:textId="77777777" w:rsidR="00772179" w:rsidRDefault="00000000">
      <w:pPr>
        <w:pStyle w:val="pheading"/>
      </w:pPr>
      <w:r>
        <w:t>- code de mesurage:</w:t>
      </w:r>
    </w:p>
    <w:p w14:paraId="6E04C7E0" w14:textId="77777777" w:rsidR="00772179" w:rsidRDefault="00000000">
      <w:r>
        <w:lastRenderedPageBreak/>
        <w:t>Distinction faite suivant l'épaisseur.</w:t>
      </w:r>
      <w:r>
        <w:br/>
      </w:r>
    </w:p>
    <w:p w14:paraId="4874CAD2" w14:textId="77777777" w:rsidR="00772179" w:rsidRDefault="00000000">
      <w:pPr>
        <w:pStyle w:val="Author-eListParagraph"/>
        <w:numPr>
          <w:ilvl w:val="0"/>
          <w:numId w:val="1143"/>
        </w:numPr>
      </w:pPr>
      <w:r>
        <w:t xml:space="preserve">Isolation des </w:t>
      </w:r>
      <w:r>
        <w:rPr>
          <w:b/>
        </w:rPr>
        <w:t>parois verticales : Surface nette</w:t>
      </w:r>
      <w:r>
        <w:t>. Les ouvertures &gt; 0,50 m² sont déduites</w:t>
      </w:r>
    </w:p>
    <w:p w14:paraId="4395AA3D" w14:textId="77777777" w:rsidR="00772179" w:rsidRDefault="00000000">
      <w:pPr>
        <w:pStyle w:val="Author-eListParagraph"/>
        <w:numPr>
          <w:ilvl w:val="0"/>
          <w:numId w:val="1143"/>
        </w:numPr>
      </w:pPr>
      <w:r>
        <w:t xml:space="preserve">Isolation des </w:t>
      </w:r>
      <w:r>
        <w:rPr>
          <w:b/>
        </w:rPr>
        <w:t>parois horizontales :  Surface nette du sol</w:t>
      </w:r>
      <w:r>
        <w:t>, mesurée entre le nu des murs. Les ouvertures &gt; 0,5 m² sont déduites. L'isolation périphérique n'est pas portée en compte séparément.</w:t>
      </w:r>
    </w:p>
    <w:p w14:paraId="5FB0B8BB" w14:textId="77777777" w:rsidR="00772179" w:rsidRDefault="00000000">
      <w:pPr>
        <w:pStyle w:val="pheading"/>
      </w:pPr>
      <w:r>
        <w:t>- nature du marché:</w:t>
      </w:r>
    </w:p>
    <w:p w14:paraId="19ABBE38" w14:textId="77777777" w:rsidR="00772179" w:rsidRDefault="00000000">
      <w:r>
        <w:rPr>
          <w:b/>
        </w:rPr>
        <w:t>QF </w:t>
      </w:r>
    </w:p>
    <w:p w14:paraId="6CAD2D7A" w14:textId="77777777" w:rsidR="00772179" w:rsidRDefault="00000000">
      <w:pPr>
        <w:pStyle w:val="Author-eSectionHeading6Numberless"/>
      </w:pPr>
      <w:bookmarkStart w:id="1010" w:name="_Toc220490668"/>
      <w:r>
        <w:t>44.41.4b Isolation en panneaux - plumes de canard CCTB 01.02</w:t>
      </w:r>
      <w:bookmarkEnd w:id="1010"/>
    </w:p>
    <w:p w14:paraId="4AB697EE" w14:textId="77777777" w:rsidR="00772179" w:rsidRDefault="00000000">
      <w:pPr>
        <w:pStyle w:val="Author-eSectionHeading5Numberless"/>
      </w:pPr>
      <w:bookmarkStart w:id="1011" w:name="_Toc220490669"/>
      <w:r>
        <w:t>44.41.5 Isolation en panneaux - matières composites CCTB 01.02</w:t>
      </w:r>
      <w:bookmarkEnd w:id="1011"/>
    </w:p>
    <w:p w14:paraId="59EF73FB" w14:textId="77777777" w:rsidR="00772179" w:rsidRDefault="00000000">
      <w:pPr>
        <w:pStyle w:val="Author-eSectionHeading6Numberless"/>
      </w:pPr>
      <w:bookmarkStart w:id="1012" w:name="_Toc220490670"/>
      <w:r>
        <w:t>44.41.5a Isolation en panneaux - fibres de bois - ciment CCTB 01.02</w:t>
      </w:r>
      <w:bookmarkEnd w:id="1012"/>
    </w:p>
    <w:p w14:paraId="52413AF3" w14:textId="77777777" w:rsidR="00772179" w:rsidRDefault="00000000">
      <w:pPr>
        <w:pStyle w:val="Author-eSectionHeading6Numberless"/>
      </w:pPr>
      <w:bookmarkStart w:id="1013" w:name="_Toc220490671"/>
      <w:r>
        <w:t>44.41.5b Isolation en panneaux - fibres de cellulose - plâtre CCTB 01.02</w:t>
      </w:r>
      <w:bookmarkEnd w:id="1013"/>
    </w:p>
    <w:p w14:paraId="2B7F6328" w14:textId="77777777" w:rsidR="00772179" w:rsidRDefault="00000000">
      <w:pPr>
        <w:pStyle w:val="Author-eSectionHeading6Numberless"/>
      </w:pPr>
      <w:bookmarkStart w:id="1014" w:name="_Toc220490672"/>
      <w:r>
        <w:t>44.41.5c Isolation en panneaux - polystyrène expansé (EPS) - ciment CCTB 01.02</w:t>
      </w:r>
      <w:bookmarkEnd w:id="1014"/>
    </w:p>
    <w:p w14:paraId="510BB811" w14:textId="77777777" w:rsidR="00772179" w:rsidRDefault="00000000">
      <w:pPr>
        <w:pStyle w:val="Author-eSectionHeading6Numberless"/>
      </w:pPr>
      <w:bookmarkStart w:id="1015" w:name="_Toc220490673"/>
      <w:r>
        <w:t>44.41.5d (titre réservé) CCTB 01.02</w:t>
      </w:r>
      <w:bookmarkEnd w:id="1015"/>
    </w:p>
    <w:p w14:paraId="49A14967" w14:textId="77777777" w:rsidR="00772179" w:rsidRDefault="00000000">
      <w:pPr>
        <w:pStyle w:val="Author-eSectionHeading6Numberless"/>
      </w:pPr>
      <w:bookmarkStart w:id="1016" w:name="_Toc220490674"/>
      <w:r>
        <w:t>44.41.5e (titre réservé) CCTB 01.02</w:t>
      </w:r>
      <w:bookmarkEnd w:id="1016"/>
    </w:p>
    <w:p w14:paraId="4B89DD78" w14:textId="77777777" w:rsidR="00772179" w:rsidRDefault="00000000">
      <w:pPr>
        <w:pStyle w:val="Author-eSectionHeading5Numberless"/>
      </w:pPr>
      <w:bookmarkStart w:id="1017" w:name="_Toc220490675"/>
      <w:r>
        <w:t>44.41.6 Isolation en panneaux sandwich (autoportant et isolant) CCTB 01.02</w:t>
      </w:r>
      <w:bookmarkEnd w:id="1017"/>
    </w:p>
    <w:p w14:paraId="03021166" w14:textId="77777777" w:rsidR="00772179" w:rsidRDefault="00000000">
      <w:pPr>
        <w:pStyle w:val="Author-eSectionHeading6Numberless"/>
      </w:pPr>
      <w:bookmarkStart w:id="1018" w:name="_Toc220490676"/>
      <w:r>
        <w:t>44.41.6a (titre réservé) CCTB 01.02</w:t>
      </w:r>
      <w:bookmarkEnd w:id="1018"/>
    </w:p>
    <w:p w14:paraId="01623081" w14:textId="77777777" w:rsidR="00772179" w:rsidRDefault="00000000">
      <w:pPr>
        <w:pStyle w:val="Author-eSectionHeading6Numberless"/>
      </w:pPr>
      <w:bookmarkStart w:id="1019" w:name="_Toc220490677"/>
      <w:r>
        <w:t>44.41.6b (titre réservé) CCTB 01.02</w:t>
      </w:r>
      <w:bookmarkEnd w:id="1019"/>
    </w:p>
    <w:p w14:paraId="2EEB6C0E" w14:textId="77777777" w:rsidR="00772179" w:rsidRDefault="00000000">
      <w:pPr>
        <w:pStyle w:val="Author-eSectionHeading6Numberless"/>
      </w:pPr>
      <w:bookmarkStart w:id="1020" w:name="_Toc220490678"/>
      <w:r>
        <w:t>44.41.6c (titre réservé) CCTB 01.02</w:t>
      </w:r>
      <w:bookmarkEnd w:id="1020"/>
    </w:p>
    <w:p w14:paraId="189D1F7D" w14:textId="77777777" w:rsidR="00772179" w:rsidRDefault="00000000">
      <w:pPr>
        <w:pStyle w:val="Author-eSectionHeading6Numberless"/>
      </w:pPr>
      <w:bookmarkStart w:id="1021" w:name="_Toc220490679"/>
      <w:r>
        <w:t>44.41.6d (titre réservé) CCTB 01.02</w:t>
      </w:r>
      <w:bookmarkEnd w:id="1021"/>
    </w:p>
    <w:p w14:paraId="5ECDACE7" w14:textId="77777777" w:rsidR="00772179" w:rsidRDefault="00000000">
      <w:pPr>
        <w:pStyle w:val="Author-eSectionHeading6Numberless"/>
      </w:pPr>
      <w:bookmarkStart w:id="1022" w:name="_Toc220490680"/>
      <w:r>
        <w:t>44.41.6e Isolation en panneaux sandwich - polystyrène extrudé (XPS) + fibres de bois - ciment CCTB 01.02</w:t>
      </w:r>
      <w:bookmarkEnd w:id="1022"/>
    </w:p>
    <w:p w14:paraId="136EFBBD" w14:textId="77777777" w:rsidR="00772179" w:rsidRDefault="00000000">
      <w:pPr>
        <w:pStyle w:val="Author-eSectionHeading6Numberless"/>
      </w:pPr>
      <w:bookmarkStart w:id="1023" w:name="_Toc220490681"/>
      <w:r>
        <w:t>44.41.6f Isolation en panneaux sandwich - polystyrène expansé (EPS) + fibres de bois - ciment CCTB 01.02</w:t>
      </w:r>
      <w:bookmarkEnd w:id="1023"/>
    </w:p>
    <w:p w14:paraId="23BC4D57" w14:textId="77777777" w:rsidR="00772179" w:rsidRDefault="00000000">
      <w:pPr>
        <w:pStyle w:val="Author-eSectionHeading6Numberless"/>
      </w:pPr>
      <w:bookmarkStart w:id="1024" w:name="_Toc220490682"/>
      <w:r>
        <w:t>44.41.6g (titre réservé) CCTB 01.02</w:t>
      </w:r>
      <w:bookmarkEnd w:id="1024"/>
    </w:p>
    <w:p w14:paraId="09EFC79E" w14:textId="77777777" w:rsidR="00772179" w:rsidRDefault="00000000">
      <w:pPr>
        <w:pStyle w:val="Author-eSectionHeading4Numberless"/>
      </w:pPr>
      <w:bookmarkStart w:id="1025" w:name="_Toc220490683"/>
      <w:r>
        <w:t>44.42 Isolation en rouleaux/matelas CCTB 01.04</w:t>
      </w:r>
      <w:bookmarkEnd w:id="1025"/>
    </w:p>
    <w:p w14:paraId="4EC9B70A" w14:textId="77777777" w:rsidR="00772179" w:rsidRDefault="00000000">
      <w:pPr>
        <w:pStyle w:val="pheading"/>
      </w:pPr>
      <w:bookmarkStart w:id="1026" w:name="1071"/>
      <w:bookmarkEnd w:id="1026"/>
      <w:r>
        <w:t>EXÉCUTION / MISE EN ŒUVRE</w:t>
      </w:r>
    </w:p>
    <w:p w14:paraId="2B7FCEC7" w14:textId="77777777" w:rsidR="00772179" w:rsidRDefault="00000000">
      <w:r>
        <w:t xml:space="preserve">Voir article </w:t>
      </w:r>
      <w:r>
        <w:rPr>
          <w:color w:val="0000FF"/>
        </w:rPr>
        <w:t>32.42 Isolation en rouleaux/matelas</w:t>
      </w:r>
    </w:p>
    <w:p w14:paraId="612C8175" w14:textId="77777777" w:rsidR="00772179" w:rsidRDefault="00000000">
      <w:pPr>
        <w:pStyle w:val="pheading"/>
      </w:pPr>
      <w:r>
        <w:t>DOCUMENTS DE RÉFÉRENCE</w:t>
      </w:r>
    </w:p>
    <w:p w14:paraId="036F4531" w14:textId="77777777" w:rsidR="00772179" w:rsidRDefault="00000000">
      <w:pPr>
        <w:pStyle w:val="pheading"/>
      </w:pPr>
      <w:r>
        <w:t>- Matériau</w:t>
      </w:r>
    </w:p>
    <w:p w14:paraId="5EBE1A8D" w14:textId="77777777" w:rsidR="00772179" w:rsidRDefault="00000000">
      <w:r>
        <w:t>32.42 Isolation en rouleaux/matelas</w:t>
      </w:r>
    </w:p>
    <w:p w14:paraId="3E0D8471" w14:textId="77777777" w:rsidR="00772179" w:rsidRDefault="00000000">
      <w:pPr>
        <w:pStyle w:val="pheading"/>
      </w:pPr>
      <w:r>
        <w:t>- Exécution</w:t>
      </w:r>
    </w:p>
    <w:p w14:paraId="279EA823" w14:textId="77777777" w:rsidR="00772179" w:rsidRDefault="00000000">
      <w:r>
        <w:t>32.42 Isolation en rouleaux/matelas</w:t>
      </w:r>
    </w:p>
    <w:p w14:paraId="0CA50C54" w14:textId="77777777" w:rsidR="00772179" w:rsidRDefault="00000000">
      <w:pPr>
        <w:pStyle w:val="Author-eSectionHeading5Numberless"/>
      </w:pPr>
      <w:bookmarkStart w:id="1027" w:name="_Toc220490684"/>
      <w:r>
        <w:t>44.42.1 Isolation en rouleaux/matelas - matières synthétiques CCTB 01.04</w:t>
      </w:r>
      <w:bookmarkEnd w:id="1027"/>
    </w:p>
    <w:p w14:paraId="32D69C2D" w14:textId="77777777" w:rsidR="00772179" w:rsidRDefault="00000000">
      <w:pPr>
        <w:pStyle w:val="pheading"/>
      </w:pPr>
      <w:r>
        <w:t>DESCRIPTION</w:t>
      </w:r>
    </w:p>
    <w:p w14:paraId="6E3243E2" w14:textId="77777777" w:rsidR="00772179" w:rsidRDefault="00000000">
      <w:pPr>
        <w:pStyle w:val="pheading"/>
      </w:pPr>
      <w:r>
        <w:lastRenderedPageBreak/>
        <w:t>- Définition / Comprend</w:t>
      </w:r>
    </w:p>
    <w:p w14:paraId="196337A1" w14:textId="77777777" w:rsidR="00772179" w:rsidRDefault="00000000">
      <w:r>
        <w:t>Il s'agit de la réalisation d'une isolation en matière synthétique au moyen de rouleaux / matelas suivant prescriptions de l'élément 32.42.1 Isolation en rouleaux/matelas - matières synthétiques.</w:t>
      </w:r>
    </w:p>
    <w:p w14:paraId="0E59DF27" w14:textId="77777777" w:rsidR="00772179" w:rsidRDefault="00000000">
      <w:pPr>
        <w:pStyle w:val="pheading"/>
      </w:pPr>
      <w:r>
        <w:t>DOCUMENTS DE RÉFÉRENCE</w:t>
      </w:r>
    </w:p>
    <w:p w14:paraId="28D28F78" w14:textId="77777777" w:rsidR="00772179" w:rsidRDefault="00000000">
      <w:pPr>
        <w:pStyle w:val="pheading"/>
      </w:pPr>
      <w:r>
        <w:t>- Matériau</w:t>
      </w:r>
    </w:p>
    <w:p w14:paraId="30D6C031" w14:textId="77777777" w:rsidR="00772179" w:rsidRDefault="00000000">
      <w:r>
        <w:t>32.42.1 Isolation en rouleaux/matelas - matières synthétiques</w:t>
      </w:r>
    </w:p>
    <w:p w14:paraId="3997EA39" w14:textId="77777777" w:rsidR="00772179" w:rsidRDefault="00000000">
      <w:pPr>
        <w:pStyle w:val="pheading"/>
      </w:pPr>
      <w:r>
        <w:t>- Exécution</w:t>
      </w:r>
    </w:p>
    <w:p w14:paraId="14015F0E" w14:textId="77777777" w:rsidR="00772179" w:rsidRDefault="00000000">
      <w:r>
        <w:t>32.42.1 Isolation en rouleaux/matelas - matières synthétiques</w:t>
      </w:r>
    </w:p>
    <w:p w14:paraId="13A86778" w14:textId="77777777" w:rsidR="00772179" w:rsidRDefault="00000000">
      <w:pPr>
        <w:pStyle w:val="Author-eSectionHeading5Numberless"/>
      </w:pPr>
      <w:bookmarkStart w:id="1028" w:name="_Toc220490685"/>
      <w:r>
        <w:t>44.42.2 Isolation en rouleaux/matelas - matières minérales CCTB 01.02</w:t>
      </w:r>
      <w:bookmarkEnd w:id="1028"/>
    </w:p>
    <w:p w14:paraId="3E960FBB" w14:textId="77777777" w:rsidR="00772179" w:rsidRDefault="00000000">
      <w:pPr>
        <w:pStyle w:val="Author-eSectionHeading6Numberless"/>
      </w:pPr>
      <w:bookmarkStart w:id="1029" w:name="_Toc220490686"/>
      <w:r>
        <w:t>44.42.2a Isolation en rouleaux/matelas - laine minérale (MW) CCTB 01.11</w:t>
      </w:r>
      <w:bookmarkEnd w:id="1029"/>
    </w:p>
    <w:p w14:paraId="1DE6480F" w14:textId="77777777" w:rsidR="00772179" w:rsidRDefault="00000000">
      <w:pPr>
        <w:pStyle w:val="pheading"/>
      </w:pPr>
      <w:r>
        <w:t>DESCRIPTION</w:t>
      </w:r>
    </w:p>
    <w:p w14:paraId="26673A19" w14:textId="77777777" w:rsidR="00772179" w:rsidRDefault="00000000">
      <w:pPr>
        <w:pStyle w:val="pheading"/>
      </w:pPr>
      <w:r>
        <w:t>- Définition / Comprend</w:t>
      </w:r>
    </w:p>
    <w:p w14:paraId="612C91F8" w14:textId="77777777" w:rsidR="00772179" w:rsidRDefault="00000000">
      <w:pPr>
        <w:jc w:val="both"/>
      </w:pPr>
      <w:r>
        <w:t>Il s’agit de la fourniture et de la pose d’une isolation thermique au moyen de rouleaux ou matelas de laine minérale pour application horizontale ou verticale en façade.</w:t>
      </w:r>
    </w:p>
    <w:p w14:paraId="05E8BC7A" w14:textId="77777777" w:rsidR="00772179" w:rsidRDefault="00000000">
      <w:pPr>
        <w:pStyle w:val="pheading"/>
      </w:pPr>
      <w:r>
        <w:t>MATÉRIAUX</w:t>
      </w:r>
    </w:p>
    <w:p w14:paraId="4C933E94" w14:textId="77777777" w:rsidR="00772179" w:rsidRDefault="00000000">
      <w:pPr>
        <w:pStyle w:val="pheading"/>
      </w:pPr>
      <w:r>
        <w:t>- Caractéristiques générales</w:t>
      </w:r>
    </w:p>
    <w:p w14:paraId="47D49EB0" w14:textId="77777777" w:rsidR="00772179" w:rsidRDefault="00000000">
      <w:r>
        <w:t>Voir 32.42.2a Isolation en rouleaux/matelas - laine minérale (MW)</w:t>
      </w:r>
      <w:r>
        <w:br/>
        <w:t>Largeur des rouleaux : </w:t>
      </w:r>
      <w:r>
        <w:rPr>
          <w:rStyle w:val="optioncarChar"/>
        </w:rPr>
        <w:t xml:space="preserve">600 </w:t>
      </w:r>
      <w:r>
        <w:t>(par défaut)</w:t>
      </w:r>
      <w:r>
        <w:rPr>
          <w:rStyle w:val="optioncarChar"/>
        </w:rPr>
        <w:t xml:space="preserve"> / 400/ 1200 / ***</w:t>
      </w:r>
      <w:r>
        <w:t> mm</w:t>
      </w:r>
      <w:r>
        <w:br/>
        <w:t>Epaisseur totale de l’isolation :</w:t>
      </w:r>
      <w:r>
        <w:rPr>
          <w:rStyle w:val="optioncarChar"/>
        </w:rPr>
        <w:t xml:space="preserve"> ***</w:t>
      </w:r>
      <w:r>
        <w:t> mm</w:t>
      </w:r>
      <w:r>
        <w:br/>
        <w:t>Conductivité thermique (selon [NBN EN 12667] ou selon [NBN EN 12939] pour les produits épais) : valeur λ ≤ </w:t>
      </w:r>
      <w:r>
        <w:rPr>
          <w:rStyle w:val="optioncarChar"/>
        </w:rPr>
        <w:t xml:space="preserve">0.035 </w:t>
      </w:r>
      <w:r>
        <w:t>(par défaut)</w:t>
      </w:r>
      <w:r>
        <w:rPr>
          <w:rStyle w:val="optioncarChar"/>
        </w:rPr>
        <w:t xml:space="preserve"> / *** </w:t>
      </w:r>
      <w:r>
        <w:t>W/mK</w:t>
      </w:r>
      <w:r>
        <w:br/>
        <w:t>L’isolant de rouleau / matelas de laine de roche dispose d’une déclaration d’aptitude à l’utilisation tels que définis au chapitre 02.42.1 Critères d'acceptabilité</w:t>
      </w:r>
    </w:p>
    <w:p w14:paraId="42D8A77F" w14:textId="77777777" w:rsidR="00772179" w:rsidRDefault="00000000">
      <w:r>
        <w:t xml:space="preserve">Les rouleaux sont disposés en </w:t>
      </w:r>
      <w:r>
        <w:rPr>
          <w:rStyle w:val="optioncarChar"/>
        </w:rPr>
        <w:t xml:space="preserve">1 </w:t>
      </w:r>
      <w:r>
        <w:t xml:space="preserve">(par défaut) </w:t>
      </w:r>
      <w:r>
        <w:rPr>
          <w:rStyle w:val="optioncarChar"/>
        </w:rPr>
        <w:t>/ *** </w:t>
      </w:r>
      <w:r>
        <w:t>couches</w:t>
      </w:r>
      <w:r>
        <w:br/>
        <w:t>Réaction au feu selon</w:t>
      </w:r>
      <w:r>
        <w:rPr>
          <w:rStyle w:val="facultChar"/>
        </w:rPr>
        <w:t xml:space="preserve"> [NBN EN 13501-1] : </w:t>
      </w:r>
      <w:r>
        <w:rPr>
          <w:rStyle w:val="optioncarChar"/>
        </w:rPr>
        <w:t>A1 </w:t>
      </w:r>
      <w:r>
        <w:t>(par défaut)</w:t>
      </w:r>
      <w:r>
        <w:rPr>
          <w:rStyle w:val="optioncarChar"/>
        </w:rPr>
        <w:t xml:space="preserve"> / A2 / B / C / D / E / F</w:t>
      </w:r>
      <w:r>
        <w:rPr>
          <w:rStyle w:val="facultChar"/>
        </w:rPr>
        <w:t> </w:t>
      </w:r>
      <w:r>
        <w:t>complétée, le cas échéant par les aspects</w:t>
      </w:r>
      <w:r>
        <w:rPr>
          <w:rStyle w:val="facultChar"/>
        </w:rPr>
        <w:t> </w:t>
      </w:r>
      <w:r>
        <w:rPr>
          <w:rStyle w:val="optioncarChar"/>
        </w:rPr>
        <w:t>s1</w:t>
      </w:r>
      <w:r>
        <w:t xml:space="preserve"> (par défaut)</w:t>
      </w:r>
      <w:r>
        <w:rPr>
          <w:rStyle w:val="optioncarChar"/>
        </w:rPr>
        <w:t xml:space="preserve"> / s2 / s3</w:t>
      </w:r>
      <w:r>
        <w:rPr>
          <w:rStyle w:val="facultChar"/>
        </w:rPr>
        <w:t> </w:t>
      </w:r>
      <w:r>
        <w:t>et</w:t>
      </w:r>
      <w:r>
        <w:rPr>
          <w:rStyle w:val="facultChar"/>
        </w:rPr>
        <w:t> </w:t>
      </w:r>
      <w:r>
        <w:rPr>
          <w:rStyle w:val="optioncarChar"/>
        </w:rPr>
        <w:t xml:space="preserve">d0 </w:t>
      </w:r>
      <w:r>
        <w:t xml:space="preserve">(par défaut) </w:t>
      </w:r>
      <w:r>
        <w:rPr>
          <w:rStyle w:val="optioncarChar"/>
        </w:rPr>
        <w:t>/ d1 / d2  </w:t>
      </w:r>
      <w:r>
        <w:br/>
        <w:t>La résistance à la diffusion de la vapeur d’eau (m) suivant</w:t>
      </w:r>
      <w:r>
        <w:rPr>
          <w:rStyle w:val="facultChar"/>
        </w:rPr>
        <w:t xml:space="preserve">[NBN EN 12086] : </w:t>
      </w:r>
      <w:r>
        <w:rPr>
          <w:rStyle w:val="optioncarChar"/>
        </w:rPr>
        <w:t>1</w:t>
      </w:r>
      <w:r>
        <w:t xml:space="preserve"> (par défaut)</w:t>
      </w:r>
      <w:r>
        <w:rPr>
          <w:rStyle w:val="optioncarChar"/>
        </w:rPr>
        <w:t xml:space="preserve"> / ***</w:t>
      </w:r>
      <w:r>
        <w:br/>
        <w:t>La résistance au passage de l’air (selon</w:t>
      </w:r>
      <w:r>
        <w:rPr>
          <w:rStyle w:val="facultChar"/>
        </w:rPr>
        <w:t>[NBN EN ISO 9053-1]</w:t>
      </w:r>
      <w:r>
        <w:t xml:space="preserve">) :  &gt; </w:t>
      </w:r>
      <w:r>
        <w:rPr>
          <w:rStyle w:val="optioncarChar"/>
        </w:rPr>
        <w:t>55</w:t>
      </w:r>
      <w:r>
        <w:t xml:space="preserve"> (par défaut)</w:t>
      </w:r>
      <w:r>
        <w:rPr>
          <w:rStyle w:val="optioncarChar"/>
        </w:rPr>
        <w:t xml:space="preserve"> / ***</w:t>
      </w:r>
      <w:r>
        <w:t xml:space="preserve"> kPa.s/m²</w:t>
      </w:r>
      <w:r>
        <w:br/>
        <w:t>Absorption d’eau à court terme (selon</w:t>
      </w:r>
      <w:r>
        <w:rPr>
          <w:rStyle w:val="facultChar"/>
        </w:rPr>
        <w:t> [NBN EN ISO 29767]</w:t>
      </w:r>
      <w:r>
        <w:t xml:space="preserve">) : &lt; </w:t>
      </w:r>
      <w:r>
        <w:rPr>
          <w:rStyle w:val="optioncarChar"/>
        </w:rPr>
        <w:t xml:space="preserve">1 kg/m² </w:t>
      </w:r>
      <w:r>
        <w:t>(par défaut)</w:t>
      </w:r>
      <w:r>
        <w:rPr>
          <w:rStyle w:val="optioncarChar"/>
        </w:rPr>
        <w:t xml:space="preserve"> / ***  </w:t>
      </w:r>
      <w:r>
        <w:br/>
        <w:t>Absorption d’eau à long terme (selon</w:t>
      </w:r>
      <w:r>
        <w:rPr>
          <w:rStyle w:val="facultChar"/>
        </w:rPr>
        <w:t> [NBN EN ISO 16535]</w:t>
      </w:r>
      <w:r>
        <w:t xml:space="preserve">) : &lt; </w:t>
      </w:r>
      <w:r>
        <w:rPr>
          <w:rStyle w:val="optioncarChar"/>
        </w:rPr>
        <w:t xml:space="preserve">3 kg/m² </w:t>
      </w:r>
      <w:r>
        <w:t>(par défaut)</w:t>
      </w:r>
      <w:r>
        <w:rPr>
          <w:rStyle w:val="optioncarChar"/>
        </w:rPr>
        <w:t xml:space="preserve"> / ***</w:t>
      </w:r>
      <w:r>
        <w:rPr>
          <w:rStyle w:val="facultChar"/>
        </w:rPr>
        <w:t>  </w:t>
      </w:r>
      <w:r>
        <w:br/>
        <w:t xml:space="preserve">Coefficient de résistance à la diffusion de vapeur d’eau – valeur μ (selon </w:t>
      </w:r>
      <w:r>
        <w:rPr>
          <w:rStyle w:val="facultChar"/>
        </w:rPr>
        <w:t>[NBN EN 12086]</w:t>
      </w:r>
      <w:r>
        <w:t xml:space="preserve">): </w:t>
      </w:r>
      <w:r>
        <w:rPr>
          <w:rStyle w:val="optioncarChar"/>
        </w:rPr>
        <w:t>***</w:t>
      </w:r>
      <w:r>
        <w:br/>
        <w:t>Absorption acoustique (déterminée selon</w:t>
      </w:r>
      <w:r>
        <w:rPr>
          <w:rStyle w:val="facultChar"/>
        </w:rPr>
        <w:t> [NBN EN ISO 354] </w:t>
      </w:r>
      <w:r>
        <w:t>et</w:t>
      </w:r>
      <w:r>
        <w:rPr>
          <w:rStyle w:val="facultChar"/>
        </w:rPr>
        <w:t> [NBN EN ISO 11654]</w:t>
      </w:r>
      <w:r>
        <w:t>) :</w:t>
      </w:r>
      <w:r>
        <w:rPr>
          <w:rStyle w:val="facultChar"/>
        </w:rPr>
        <w:t> </w:t>
      </w:r>
      <w:r>
        <w:rPr>
          <w:rStyle w:val="optioncarChar"/>
        </w:rPr>
        <w:t>*** </w:t>
      </w:r>
      <w:r>
        <w:br/>
        <w:t> </w:t>
      </w:r>
      <w:r>
        <w:br/>
        <w:t>Les liants des rouleaux et d’adhésion du revêtement de surface ne contiennent pas de formaldéhyde. Le dégagement mesuré selon la </w:t>
      </w:r>
      <w:r>
        <w:rPr>
          <w:rStyle w:val="facultChar"/>
        </w:rPr>
        <w:t>[NBN EN 717-1] </w:t>
      </w:r>
      <w:r>
        <w:t>&lt; </w:t>
      </w:r>
      <w:r>
        <w:rPr>
          <w:rStyle w:val="optioncarChar"/>
        </w:rPr>
        <w:t xml:space="preserve">0.5 mg/m³ </w:t>
      </w:r>
      <w:r>
        <w:t>(par défaut)</w:t>
      </w:r>
      <w:r>
        <w:rPr>
          <w:rStyle w:val="optioncarChar"/>
        </w:rPr>
        <w:t xml:space="preserve"> / ***  </w:t>
      </w:r>
      <w:r>
        <w:br/>
        <w:t>La concentration de pentachlorophénol mesurée selon la </w:t>
      </w:r>
      <w:r>
        <w:rPr>
          <w:rStyle w:val="facultChar"/>
        </w:rPr>
        <w:t>[CEN/TR 14823] </w:t>
      </w:r>
      <w:r>
        <w:t xml:space="preserve">&lt; </w:t>
      </w:r>
      <w:r>
        <w:rPr>
          <w:rStyle w:val="optioncarChar"/>
        </w:rPr>
        <w:t xml:space="preserve">5 PPM </w:t>
      </w:r>
      <w:r>
        <w:t xml:space="preserve">(par défaut) </w:t>
      </w:r>
      <w:r>
        <w:rPr>
          <w:rStyle w:val="optioncarChar"/>
        </w:rPr>
        <w:t>/ ***  </w:t>
      </w:r>
      <w:r>
        <w:br/>
        <w:t xml:space="preserve">Les liants des rouleaux sont issus de </w:t>
      </w:r>
      <w:r>
        <w:rPr>
          <w:rStyle w:val="optioncarChar"/>
        </w:rPr>
        <w:t xml:space="preserve">matières premières végétales </w:t>
      </w:r>
      <w:r>
        <w:t>(par défaut)</w:t>
      </w:r>
      <w:r>
        <w:rPr>
          <w:rStyle w:val="optioncarChar"/>
        </w:rPr>
        <w:t xml:space="preserve"> / dérivés pétrochimiques / ***.</w:t>
      </w:r>
      <w:r>
        <w:br/>
        <w:t xml:space="preserve">La laine minérale produite contient au moins </w:t>
      </w:r>
      <w:r>
        <w:rPr>
          <w:rStyle w:val="optioncarChar"/>
        </w:rPr>
        <w:t xml:space="preserve"> ***</w:t>
      </w:r>
      <w:r>
        <w:t xml:space="preserve"> % de matière recyclée.</w:t>
      </w:r>
    </w:p>
    <w:p w14:paraId="0C9E79A6" w14:textId="77777777" w:rsidR="00772179" w:rsidRDefault="00772179"/>
    <w:p w14:paraId="36AD85DC" w14:textId="77777777" w:rsidR="00772179" w:rsidRDefault="00000000">
      <w:pPr>
        <w:pStyle w:val="pheading"/>
      </w:pPr>
      <w:r>
        <w:t>- Finitions</w:t>
      </w:r>
    </w:p>
    <w:p w14:paraId="39F5175F" w14:textId="77777777" w:rsidR="00772179" w:rsidRDefault="00000000">
      <w:pPr>
        <w:jc w:val="both"/>
      </w:pPr>
      <w:r>
        <w:t>Le surfaçage des rouleaux est de type : </w:t>
      </w:r>
      <w:r>
        <w:rPr>
          <w:rStyle w:val="optioncarChar"/>
        </w:rPr>
        <w:t xml:space="preserve">nu </w:t>
      </w:r>
      <w:r>
        <w:t>(par défaut)</w:t>
      </w:r>
      <w:r>
        <w:rPr>
          <w:rStyle w:val="optioncarChar"/>
        </w:rPr>
        <w:t xml:space="preserve"> / fibres de verre / armature synthétique / feuille d’aluminium / *** </w:t>
      </w:r>
      <w:r>
        <w:t>et est présent sur</w:t>
      </w:r>
      <w:r>
        <w:rPr>
          <w:rStyle w:val="optioncarChar"/>
        </w:rPr>
        <w:t xml:space="preserve"> un côté </w:t>
      </w:r>
      <w:r>
        <w:t>(par défaut)</w:t>
      </w:r>
      <w:r>
        <w:rPr>
          <w:rStyle w:val="optioncarChar"/>
        </w:rPr>
        <w:t xml:space="preserve"> / les deux côtés / aucun côté </w:t>
      </w:r>
      <w:r>
        <w:t>du rouleau</w:t>
      </w:r>
      <w:r>
        <w:rPr>
          <w:rStyle w:val="optioncarChar"/>
        </w:rPr>
        <w:t>.</w:t>
      </w:r>
    </w:p>
    <w:p w14:paraId="0A8E782C" w14:textId="77777777" w:rsidR="00772179" w:rsidRDefault="00000000">
      <w:pPr>
        <w:pStyle w:val="pheading"/>
      </w:pPr>
      <w:r>
        <w:t>EXÉCUTION / MISE EN ŒUVRE</w:t>
      </w:r>
    </w:p>
    <w:p w14:paraId="16A4EF9A" w14:textId="77777777" w:rsidR="00772179" w:rsidRDefault="00000000">
      <w:pPr>
        <w:pStyle w:val="pheading"/>
      </w:pPr>
      <w:r>
        <w:lastRenderedPageBreak/>
        <w:t>- Prescriptions générales</w:t>
      </w:r>
    </w:p>
    <w:p w14:paraId="5088A296" w14:textId="77777777" w:rsidR="00772179" w:rsidRDefault="00000000">
      <w:pPr>
        <w:jc w:val="both"/>
      </w:pPr>
      <w:r>
        <w:t>Les rouleaux sont contigus. Les espaces éventuels entre rouleaux ou de liaison avec les parois sont comblés avec un isolant de même type.</w:t>
      </w:r>
    </w:p>
    <w:p w14:paraId="24D244D0" w14:textId="77777777" w:rsidR="00772179" w:rsidRDefault="00000000">
      <w:pPr>
        <w:jc w:val="both"/>
      </w:pPr>
      <w:r>
        <w:rPr>
          <w:b/>
        </w:rPr>
        <w:t>Pour une application verticale</w:t>
      </w:r>
    </w:p>
    <w:p w14:paraId="31A69DC1" w14:textId="77777777" w:rsidR="00772179" w:rsidRDefault="00000000">
      <w:r>
        <w:t>Les rouleaux sont disposés entre montants, chevrons ou poutres. La largeur des rouleaux ≥ à la largeur libre entre montants + 2 cm.</w:t>
      </w:r>
      <w:r>
        <w:br/>
        <w:t>Le parement est disposé en partie</w:t>
      </w:r>
      <w:r>
        <w:rPr>
          <w:rStyle w:val="optioncarChar"/>
        </w:rPr>
        <w:t xml:space="preserve"> extérieure</w:t>
      </w:r>
      <w:r>
        <w:t xml:space="preserve"> (par défaut)</w:t>
      </w:r>
      <w:r>
        <w:rPr>
          <w:rStyle w:val="optioncarChar"/>
        </w:rPr>
        <w:t xml:space="preserve"> / intérieure / ***</w:t>
      </w:r>
      <w:r>
        <w:t>.</w:t>
      </w:r>
      <w:r>
        <w:br/>
        <w:t xml:space="preserve">Les rouleaux sont fixés par </w:t>
      </w:r>
      <w:r>
        <w:rPr>
          <w:rStyle w:val="optioncarChar"/>
        </w:rPr>
        <w:t xml:space="preserve">fixation mécanique </w:t>
      </w:r>
      <w:r>
        <w:t>(par défaut)</w:t>
      </w:r>
      <w:r>
        <w:rPr>
          <w:rStyle w:val="optioncarChar"/>
        </w:rPr>
        <w:t xml:space="preserve"> / serrage entre éléments et agrafage / collage / ***</w:t>
      </w:r>
    </w:p>
    <w:p w14:paraId="5FFEC5CF" w14:textId="77777777" w:rsidR="00772179" w:rsidRDefault="00000000">
      <w:pPr>
        <w:ind w:left="567"/>
        <w:jc w:val="both"/>
      </w:pPr>
      <w:r>
        <w:rPr>
          <w:b/>
          <w:i/>
        </w:rPr>
        <w:t>(soit par défaut) </w:t>
      </w:r>
    </w:p>
    <w:p w14:paraId="4BF78817" w14:textId="77777777" w:rsidR="00772179" w:rsidRDefault="00000000">
      <w:pPr>
        <w:ind w:left="567"/>
        <w:jc w:val="both"/>
      </w:pPr>
      <w:r>
        <w:rPr>
          <w:rStyle w:val="soitChar"/>
          <w:b/>
          <w:u w:val="single"/>
        </w:rPr>
        <w:t>Par fixation mécanique :</w:t>
      </w:r>
    </w:p>
    <w:p w14:paraId="722CB7CA" w14:textId="77777777" w:rsidR="00772179" w:rsidRDefault="00000000">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rosace (cheville) métallique / rosace (cheville) synthétique</w:t>
      </w:r>
      <w:r>
        <w:t xml:space="preserve"> (par défaut) </w:t>
      </w:r>
      <w:r>
        <w:rPr>
          <w:rStyle w:val="optioncarChar"/>
        </w:rPr>
        <w:t>/ ***</w:t>
      </w:r>
      <w:r>
        <w:rPr>
          <w:rStyle w:val="soitChar"/>
        </w:rPr>
        <w:t xml:space="preserve">. L’ancrage dans la paroi porteuse est </w:t>
      </w:r>
      <w:r>
        <w:rPr>
          <w:rStyle w:val="optioncarChar"/>
        </w:rPr>
        <w:t>métallique / synthétique</w:t>
      </w:r>
      <w:r>
        <w:t xml:space="preserve"> (par défaut)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14:paraId="3893ADA1" w14:textId="77777777" w:rsidR="00772179" w:rsidRDefault="00000000">
      <w:pPr>
        <w:ind w:left="567"/>
        <w:jc w:val="both"/>
      </w:pPr>
      <w:r>
        <w:rPr>
          <w:b/>
          <w:i/>
        </w:rPr>
        <w:t>(soit) </w:t>
      </w:r>
    </w:p>
    <w:p w14:paraId="1478CD09" w14:textId="77777777" w:rsidR="00772179" w:rsidRDefault="00000000">
      <w:pPr>
        <w:ind w:left="567"/>
        <w:jc w:val="both"/>
      </w:pPr>
      <w:r>
        <w:rPr>
          <w:rStyle w:val="soitChar"/>
          <w:b/>
          <w:u w:val="single"/>
        </w:rPr>
        <w:t>Par serrage et agrafage entre éléments :</w:t>
      </w:r>
    </w:p>
    <w:p w14:paraId="795E9A0C" w14:textId="77777777" w:rsidR="00772179" w:rsidRDefault="00000000">
      <w:pPr>
        <w:ind w:left="567"/>
        <w:jc w:val="both"/>
      </w:pPr>
      <w:r>
        <w:rPr>
          <w:rStyle w:val="soitChar"/>
        </w:rPr>
        <w:t xml:space="preserve">Les rouleaux sont serrés entièrement et découpés à mesure (+ 2 mm), le serrage est accompagné d’un </w:t>
      </w:r>
      <w:r>
        <w:rPr>
          <w:rStyle w:val="optioncarChar"/>
        </w:rPr>
        <w:t>agrafage à raison de 5 par m et par côté</w:t>
      </w:r>
      <w:r>
        <w:t xml:space="preserve"> (par défaut) </w:t>
      </w:r>
      <w:r>
        <w:rPr>
          <w:rStyle w:val="optioncarChar"/>
        </w:rPr>
        <w:t>/ ***</w:t>
      </w:r>
      <w:r>
        <w:rPr>
          <w:rStyle w:val="soitChar"/>
        </w:rPr>
        <w:t>.</w:t>
      </w:r>
    </w:p>
    <w:p w14:paraId="3D48BF03" w14:textId="77777777" w:rsidR="00772179" w:rsidRDefault="00000000">
      <w:pPr>
        <w:ind w:left="567"/>
        <w:jc w:val="both"/>
      </w:pPr>
      <w:r>
        <w:rPr>
          <w:b/>
          <w:i/>
        </w:rPr>
        <w:t>(soit) </w:t>
      </w:r>
    </w:p>
    <w:p w14:paraId="2AD4AB49" w14:textId="77777777" w:rsidR="00772179" w:rsidRDefault="00000000">
      <w:pPr>
        <w:ind w:left="567"/>
        <w:jc w:val="both"/>
      </w:pPr>
      <w:r>
        <w:rPr>
          <w:rStyle w:val="soitChar"/>
          <w:b/>
          <w:u w:val="single"/>
        </w:rPr>
        <w:t>Par collage :</w:t>
      </w:r>
    </w:p>
    <w:p w14:paraId="3BBBD727" w14:textId="77777777" w:rsidR="00772179" w:rsidRDefault="00000000">
      <w:pPr>
        <w:ind w:left="567"/>
        <w:jc w:val="both"/>
      </w:pPr>
      <w:r>
        <w:rPr>
          <w:rStyle w:val="soitChar"/>
        </w:rPr>
        <w:t xml:space="preserve"> Les rouleaux sont fixés à l’aide de colle </w:t>
      </w:r>
      <w:r>
        <w:rPr>
          <w:rStyle w:val="optioncarChar"/>
        </w:rPr>
        <w:t>PU</w:t>
      </w:r>
      <w:r>
        <w:t xml:space="preserve"> (par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La colle répond aux mêmes exigences que le rouleau/matelas en termes de formaldéhyde et  de pentachlorophénol.</w:t>
      </w:r>
    </w:p>
    <w:p w14:paraId="3039BF85" w14:textId="77777777" w:rsidR="00772179" w:rsidRDefault="00000000">
      <w:pPr>
        <w:ind w:left="567"/>
        <w:jc w:val="both"/>
      </w:pPr>
      <w:r>
        <w:rPr>
          <w:b/>
          <w:i/>
        </w:rPr>
        <w:t>(soit) </w:t>
      </w:r>
    </w:p>
    <w:p w14:paraId="32752EAE" w14:textId="77777777" w:rsidR="00772179" w:rsidRDefault="00000000">
      <w:pPr>
        <w:ind w:left="567"/>
        <w:jc w:val="both"/>
      </w:pPr>
      <w:r>
        <w:rPr>
          <w:rStyle w:val="optioncarChar"/>
        </w:rPr>
        <w:t>***</w:t>
      </w:r>
    </w:p>
    <w:p w14:paraId="548C8920" w14:textId="77777777" w:rsidR="00772179" w:rsidRDefault="00000000">
      <w:r>
        <w:t>Les détails d’isolation pour les murs creux sont conformes à la [NIT 264].</w:t>
      </w:r>
      <w:r>
        <w:br/>
        <w:t>Les fixations sont conçues et disposées afin de ne pas réduire les performances acoustiques.</w:t>
      </w:r>
      <w:r>
        <w:br/>
        <w:t>L’isolation en application derrière des bardages métalliques est conforme à la [NIT 266].</w:t>
      </w:r>
      <w:r>
        <w:br/>
        <w:t>L’isolation thermique de façade en rouleaux-matelas en laine de roche est conforme à la [NIT 178].</w:t>
      </w:r>
      <w:r>
        <w:br/>
        <w:t>La mise en œuvre de l’isolation des murs creux en rouleaux-matelas en laine de roche est conforme à la [NIT 264].</w:t>
      </w:r>
      <w:r>
        <w:br/>
        <w:t>La mise en œuvre de l’isolation en rouleaux-matelas en laine de roche pour revêtement de façade en bois ou en panneaux est conforme à la [NIT 243].</w:t>
      </w:r>
      <w:r>
        <w:b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2E756825" w14:textId="77777777" w:rsidR="00772179" w:rsidRDefault="00000000">
      <w:pPr>
        <w:pStyle w:val="pheading"/>
      </w:pPr>
      <w:r>
        <w:t>DOCUMENTS DE RÉFÉRENCE COMPLÉMENTAIRES</w:t>
      </w:r>
    </w:p>
    <w:p w14:paraId="69290CE9" w14:textId="77777777" w:rsidR="00772179" w:rsidRDefault="00000000">
      <w:pPr>
        <w:pStyle w:val="pheading"/>
      </w:pPr>
      <w:r>
        <w:t>- Matériau</w:t>
      </w:r>
    </w:p>
    <w:p w14:paraId="66E12CB2"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677C91A3" w14:textId="77777777" w:rsidR="00772179"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30EC066A" w14:textId="77777777" w:rsidR="00772179" w:rsidRDefault="00000000">
      <w:r>
        <w:lastRenderedPageBreak/>
        <w:t>[NBN EN 824, Produits isolants thermiques destinés aux applications du bâtiment - Détermination de l'équerrage]</w:t>
      </w:r>
    </w:p>
    <w:p w14:paraId="69BECF12" w14:textId="77777777" w:rsidR="00772179" w:rsidRDefault="00000000">
      <w:r>
        <w:t>[NBN EN 825, Produits isolants thermiques destinés aux applications du bâtiment - Détermination de la planéité]</w:t>
      </w:r>
    </w:p>
    <w:p w14:paraId="581AD914" w14:textId="77777777" w:rsidR="00772179" w:rsidRDefault="00000000">
      <w:r>
        <w:t>[NBN EN 13501-1, Classement au feu des produits et éléments de construction - Partie 1: Classement à partir des données d'essais de réaction au feu]</w:t>
      </w:r>
    </w:p>
    <w:p w14:paraId="1906B18E" w14:textId="77777777" w:rsidR="00772179" w:rsidRDefault="00000000">
      <w:r>
        <w:t>[NBN EN 1604, Produits isolants thermiques destinés aux applications du bâtiment - Détermination de la stabilité dimensionnelle dans des conditions de température et d'humidité spécifiées]</w:t>
      </w:r>
    </w:p>
    <w:p w14:paraId="30D64D88" w14:textId="77777777" w:rsidR="00772179" w:rsidRDefault="00000000">
      <w:r>
        <w:t>[NBN EN 13162+A1, Produits isolants thermiques pour le bâtiment - Produits manufacturés en laine minérale (MW) - Spécification]</w:t>
      </w:r>
    </w:p>
    <w:p w14:paraId="2869360C" w14:textId="77777777" w:rsidR="00772179" w:rsidRDefault="00000000">
      <w:r>
        <w:t>[NBN EN 826, Produits isolants thermiques destinés aux applications du bâtiment - Détermination du comportement en compression]</w:t>
      </w:r>
    </w:p>
    <w:p w14:paraId="674B2374" w14:textId="77777777" w:rsidR="00772179" w:rsidRDefault="00000000">
      <w:r>
        <w:t>[NBN EN 1607, Produits isolants thermiques destinés aux applications du bâtiment - Détermination de la résistance à la traction perpendiculairement aux faces]</w:t>
      </w:r>
    </w:p>
    <w:p w14:paraId="489C02B7" w14:textId="77777777" w:rsidR="00772179" w:rsidRDefault="00000000">
      <w:r>
        <w:t>[NBN EN 12430, Produits isolants thermiques destinés aux applications du bâtiment - Détermination du comportement sous charge ponctuelle]</w:t>
      </w:r>
    </w:p>
    <w:p w14:paraId="2420FDB3" w14:textId="77777777" w:rsidR="00772179" w:rsidRDefault="00000000">
      <w:r>
        <w:t>[NBN EN ISO 16534, Produits isolants thermiques destinés aux applications du bâtiment - Détermination du fluage en compression (ISO 16534:2020)]</w:t>
      </w:r>
    </w:p>
    <w:p w14:paraId="20B17FFD" w14:textId="77777777" w:rsidR="00772179" w:rsidRDefault="00000000">
      <w:r>
        <w:t>[NBN EN ISO 29767, Produits isolants thermiques destinés aux applications du bâtiment - Détermination de l'absorption d'eau à court terme par immersion partielle (ISO 29767:2019)]</w:t>
      </w:r>
    </w:p>
    <w:p w14:paraId="5487DD15" w14:textId="77777777" w:rsidR="00772179" w:rsidRDefault="00000000">
      <w:r>
        <w:t>[NBN EN ISO 16535, Produits isolants thermiques destinés aux applications du bâtiment - Détermination de l'absorption d'eau à long terme par immersion (ISO 16535:2019)]</w:t>
      </w:r>
    </w:p>
    <w:p w14:paraId="7B39561A" w14:textId="77777777" w:rsidR="00772179" w:rsidRDefault="00000000">
      <w:r>
        <w:t>[NBN EN 12086, Produits isolants thermiques destinés aux applications du bâtiment - Détermination des propriétés de transmission de la vapeur d'eau]</w:t>
      </w:r>
    </w:p>
    <w:p w14:paraId="61A91DBA" w14:textId="77777777" w:rsidR="00772179" w:rsidRDefault="00000000">
      <w:r>
        <w:t>[NBN EN ISO 354, Acoustique - Mesurage de l'absorption acoustique en salle réverbérante (ISO 354:2003)]</w:t>
      </w:r>
    </w:p>
    <w:p w14:paraId="2FE65332" w14:textId="77777777" w:rsidR="00772179" w:rsidRDefault="00000000">
      <w:r>
        <w:t>[NBN EN ISO 11654, Acoustique - Absorbants pour l'utilisation dans les bâtiments - Evaluation de l'absorption acoustique (ISO 11654:1997)]</w:t>
      </w:r>
    </w:p>
    <w:p w14:paraId="32126AD9" w14:textId="77777777" w:rsidR="00772179" w:rsidRDefault="00000000">
      <w:pPr>
        <w:pStyle w:val="pheading"/>
      </w:pPr>
      <w:r>
        <w:t>- Exécution</w:t>
      </w:r>
    </w:p>
    <w:p w14:paraId="0799DDD4" w14:textId="77777777" w:rsidR="00772179" w:rsidRDefault="00000000">
      <w:r>
        <w:t>[NIT 264, Détails de référence pour les murs creux]</w:t>
      </w:r>
    </w:p>
    <w:p w14:paraId="34DFBD12" w14:textId="77777777" w:rsidR="00772179" w:rsidRDefault="00000000">
      <w:r>
        <w:t>[NIT 178, L'isolation thermique des façades]</w:t>
      </w:r>
    </w:p>
    <w:p w14:paraId="06653814" w14:textId="77777777" w:rsidR="00772179" w:rsidRDefault="00000000">
      <w:r>
        <w:t>[STS 71-2, Systèmes d'isolation extérieure des façades]</w:t>
      </w:r>
    </w:p>
    <w:p w14:paraId="74251740" w14:textId="77777777" w:rsidR="00772179" w:rsidRDefault="00000000">
      <w:r>
        <w:t>[NIT 266, Couvertures et bardages métalliques à joints debout et à tasseaux]</w:t>
      </w:r>
    </w:p>
    <w:p w14:paraId="4DF9F719" w14:textId="77777777" w:rsidR="00772179" w:rsidRDefault="00000000">
      <w:r>
        <w:t>[NIT 243, Les revêtements de façade en bois et en panneaux à base de bois.]</w:t>
      </w:r>
    </w:p>
    <w:p w14:paraId="098955DF" w14:textId="77777777" w:rsidR="00772179" w:rsidRDefault="00000000">
      <w:pPr>
        <w:pStyle w:val="pheading"/>
      </w:pPr>
      <w:r>
        <w:t>MESURAGE</w:t>
      </w:r>
    </w:p>
    <w:p w14:paraId="74B0130A" w14:textId="77777777" w:rsidR="00772179" w:rsidRDefault="00000000">
      <w:pPr>
        <w:pStyle w:val="pheading"/>
      </w:pPr>
      <w:r>
        <w:t>- unité de mesure:</w:t>
      </w:r>
    </w:p>
    <w:p w14:paraId="21D76E55" w14:textId="77777777" w:rsidR="00772179" w:rsidRDefault="00000000">
      <w:r>
        <w:t>m²</w:t>
      </w:r>
    </w:p>
    <w:p w14:paraId="60B0648E" w14:textId="77777777" w:rsidR="00772179" w:rsidRDefault="00000000">
      <w:pPr>
        <w:pStyle w:val="pheading"/>
      </w:pPr>
      <w:r>
        <w:t>- code de mesurage:</w:t>
      </w:r>
    </w:p>
    <w:p w14:paraId="6A0E85D5" w14:textId="77777777" w:rsidR="00772179" w:rsidRDefault="00000000">
      <w:pPr>
        <w:jc w:val="both"/>
      </w:pPr>
      <w:r>
        <w:rPr>
          <w:u w:val="single"/>
        </w:rPr>
        <w:t>Isolation des parois verticales</w:t>
      </w:r>
      <w:r>
        <w:t xml:space="preserve"> : </w:t>
      </w:r>
      <w:r>
        <w:rPr>
          <w:b/>
        </w:rPr>
        <w:t>Surface nette</w:t>
      </w:r>
      <w:r>
        <w:t>. Les ouvertures &gt; 0,50 m² sont déduites</w:t>
      </w:r>
    </w:p>
    <w:p w14:paraId="4A312BF2" w14:textId="77777777" w:rsidR="00772179" w:rsidRDefault="00000000">
      <w:pPr>
        <w:jc w:val="both"/>
      </w:pPr>
      <w:r>
        <w:t>Distinction faite suivant l'épaisseur.</w:t>
      </w:r>
    </w:p>
    <w:p w14:paraId="5B6FCE82" w14:textId="77777777" w:rsidR="00772179" w:rsidRDefault="00000000">
      <w:pPr>
        <w:pStyle w:val="pheading"/>
      </w:pPr>
      <w:r>
        <w:t>- nature du marché:</w:t>
      </w:r>
    </w:p>
    <w:p w14:paraId="6B524B22" w14:textId="77777777" w:rsidR="00772179" w:rsidRDefault="00000000">
      <w:r>
        <w:t>QF</w:t>
      </w:r>
    </w:p>
    <w:p w14:paraId="4F19457F" w14:textId="77777777" w:rsidR="00772179" w:rsidRDefault="00000000">
      <w:pPr>
        <w:pStyle w:val="Author-eSectionHeading5Numberless"/>
      </w:pPr>
      <w:bookmarkStart w:id="1030" w:name="_Toc220490687"/>
      <w:r>
        <w:t>44.42.3 Isolation en rouleaux/matelas - matières végétales CCTB 01.04</w:t>
      </w:r>
      <w:bookmarkEnd w:id="1030"/>
    </w:p>
    <w:p w14:paraId="178BF394" w14:textId="77777777" w:rsidR="00772179" w:rsidRDefault="00000000">
      <w:pPr>
        <w:pStyle w:val="pheading"/>
      </w:pPr>
      <w:r>
        <w:lastRenderedPageBreak/>
        <w:t>DESCRIPTION</w:t>
      </w:r>
    </w:p>
    <w:p w14:paraId="6F0C3174" w14:textId="77777777" w:rsidR="00772179" w:rsidRDefault="00000000">
      <w:pPr>
        <w:pStyle w:val="pheading"/>
      </w:pPr>
      <w:r>
        <w:t>- Définition / Comprend</w:t>
      </w:r>
    </w:p>
    <w:p w14:paraId="41D2344A" w14:textId="77777777" w:rsidR="00772179" w:rsidRDefault="00000000">
      <w:r>
        <w:t xml:space="preserve">Ce poste concerne l’isolation thermique des parois et éléments de construction décrits au chap. </w:t>
      </w:r>
      <w:hyperlink w:anchor="1071" w:history="1">
        <w:r>
          <w:rPr>
            <w:color w:val="0000EE"/>
          </w:rPr>
          <w:t>44.42 Isolation en rouleaux/matelas</w:t>
        </w:r>
      </w:hyperlink>
    </w:p>
    <w:p w14:paraId="382CCC2E" w14:textId="77777777" w:rsidR="00772179" w:rsidRDefault="00000000">
      <w:pPr>
        <w:pStyle w:val="pheading"/>
      </w:pPr>
      <w:r>
        <w:t>DOCUMENTS DE RÉFÉRENCE</w:t>
      </w:r>
    </w:p>
    <w:p w14:paraId="29A1DDA0" w14:textId="77777777" w:rsidR="00772179" w:rsidRDefault="00000000">
      <w:pPr>
        <w:pStyle w:val="pheading"/>
      </w:pPr>
      <w:r>
        <w:t>- Matériau</w:t>
      </w:r>
    </w:p>
    <w:p w14:paraId="41BFFF98" w14:textId="77777777" w:rsidR="00772179" w:rsidRDefault="00000000">
      <w:r>
        <w:t>32.42.3 Isolation en rouleaux/matelas - matières végétales</w:t>
      </w:r>
    </w:p>
    <w:p w14:paraId="7DBD3418" w14:textId="77777777" w:rsidR="00772179" w:rsidRDefault="00000000">
      <w:pPr>
        <w:pStyle w:val="pheading"/>
      </w:pPr>
      <w:r>
        <w:t>- Exécution</w:t>
      </w:r>
    </w:p>
    <w:p w14:paraId="5E8480AA" w14:textId="77777777" w:rsidR="00772179" w:rsidRDefault="00000000">
      <w:r>
        <w:t>32.42.3 Isolation en rouleaux/matelas - matières végétales</w:t>
      </w:r>
    </w:p>
    <w:p w14:paraId="1C48F504" w14:textId="77777777" w:rsidR="00772179" w:rsidRDefault="00000000">
      <w:pPr>
        <w:pStyle w:val="Author-eSectionHeading6Numberless"/>
      </w:pPr>
      <w:bookmarkStart w:id="1031" w:name="_Toc220490688"/>
      <w:r>
        <w:t>44.42.3a Isolation en rouleaux/matelas - liège (ICB) CCTB 01.11</w:t>
      </w:r>
      <w:bookmarkEnd w:id="1031"/>
    </w:p>
    <w:p w14:paraId="35EC6C93" w14:textId="77777777" w:rsidR="00772179" w:rsidRDefault="00000000">
      <w:pPr>
        <w:pStyle w:val="pheading"/>
      </w:pPr>
      <w:r>
        <w:t>MATÉRIAUX</w:t>
      </w:r>
    </w:p>
    <w:p w14:paraId="4A0E203D" w14:textId="77777777" w:rsidR="00772179" w:rsidRDefault="00000000">
      <w:pPr>
        <w:pStyle w:val="pheading"/>
      </w:pPr>
      <w:r>
        <w:t>- Caractéristiques générales</w:t>
      </w:r>
    </w:p>
    <w:p w14:paraId="1AF7A006" w14:textId="77777777" w:rsidR="00772179" w:rsidRDefault="00000000">
      <w:r>
        <w:t>Voir article 32.42.3a Isolation en rouleaux/matelas - liège (ICB)</w:t>
      </w:r>
    </w:p>
    <w:p w14:paraId="28C2D42F" w14:textId="77777777" w:rsidR="00772179" w:rsidRDefault="00000000">
      <w:pPr>
        <w:pStyle w:val="pheading"/>
      </w:pPr>
      <w:r>
        <w:t>DOCUMENTS DE RÉFÉRENCE COMPLÉMENTAIRES</w:t>
      </w:r>
    </w:p>
    <w:p w14:paraId="5552C5EC" w14:textId="77777777" w:rsidR="00772179" w:rsidRDefault="00000000">
      <w:pPr>
        <w:pStyle w:val="pheading"/>
      </w:pPr>
      <w:r>
        <w:t>- Matériau</w:t>
      </w:r>
    </w:p>
    <w:p w14:paraId="637FC713" w14:textId="77777777" w:rsidR="00772179" w:rsidRDefault="00000000">
      <w:r>
        <w:t>32.42.3a Isolation en rouleaux/matelas - liège (ICB)</w:t>
      </w:r>
    </w:p>
    <w:p w14:paraId="380503A9" w14:textId="77777777" w:rsidR="00772179" w:rsidRDefault="00000000">
      <w:pPr>
        <w:pStyle w:val="pheading"/>
      </w:pPr>
      <w:r>
        <w:t>- Exécution</w:t>
      </w:r>
    </w:p>
    <w:p w14:paraId="336A497B" w14:textId="77777777" w:rsidR="00772179" w:rsidRDefault="00000000">
      <w:r>
        <w:t>32.42.3a Isolation en rouleaux/matelas - liège (ICB)</w:t>
      </w:r>
    </w:p>
    <w:p w14:paraId="0F91BA6B" w14:textId="77777777" w:rsidR="00772179" w:rsidRDefault="00000000">
      <w:pPr>
        <w:pStyle w:val="pheading"/>
      </w:pPr>
      <w:r>
        <w:t>MESURAGE</w:t>
      </w:r>
    </w:p>
    <w:p w14:paraId="64A96054" w14:textId="77777777" w:rsidR="00772179" w:rsidRDefault="00000000">
      <w:pPr>
        <w:pStyle w:val="pheading"/>
      </w:pPr>
      <w:r>
        <w:t>- unité de mesure:</w:t>
      </w:r>
    </w:p>
    <w:p w14:paraId="50E15EF7" w14:textId="77777777" w:rsidR="00772179" w:rsidRDefault="00000000">
      <w:r>
        <w:rPr>
          <w:b/>
        </w:rPr>
        <w:t>m²</w:t>
      </w:r>
    </w:p>
    <w:p w14:paraId="71050B82" w14:textId="77777777" w:rsidR="00772179" w:rsidRDefault="00000000">
      <w:pPr>
        <w:pStyle w:val="pheading"/>
      </w:pPr>
      <w:r>
        <w:t>- code de mesurage:</w:t>
      </w:r>
    </w:p>
    <w:p w14:paraId="69977C00" w14:textId="77777777" w:rsidR="00772179" w:rsidRDefault="00000000">
      <w:r>
        <w:t>Distinction faite suivant l'épaisseur.</w:t>
      </w:r>
      <w:r>
        <w:br/>
      </w:r>
    </w:p>
    <w:p w14:paraId="737CFCEA" w14:textId="77777777" w:rsidR="00772179" w:rsidRDefault="00000000">
      <w:pPr>
        <w:pStyle w:val="Author-eListParagraph"/>
        <w:numPr>
          <w:ilvl w:val="0"/>
          <w:numId w:val="1144"/>
        </w:numPr>
      </w:pPr>
      <w:r>
        <w:t xml:space="preserve">Isolation des </w:t>
      </w:r>
      <w:r>
        <w:rPr>
          <w:b/>
        </w:rPr>
        <w:t>parois verticales : Surface nette</w:t>
      </w:r>
      <w:r>
        <w:t>. Les ouvertures &gt; 0,50 m² sont déduites.</w:t>
      </w:r>
    </w:p>
    <w:p w14:paraId="1CFF92F3" w14:textId="77777777" w:rsidR="00772179" w:rsidRDefault="00000000">
      <w:pPr>
        <w:pStyle w:val="Author-eListParagraph"/>
        <w:numPr>
          <w:ilvl w:val="0"/>
          <w:numId w:val="1144"/>
        </w:numPr>
      </w:pPr>
      <w:r>
        <w:t xml:space="preserve">Isolation des </w:t>
      </w:r>
      <w:r>
        <w:rPr>
          <w:b/>
        </w:rPr>
        <w:t>parois horizontales : Surface nette du sol</w:t>
      </w:r>
      <w:r>
        <w:t>, mesurée entre le nu des murs. Les ouvertures &gt; 0,5 m² sont déduites. L'isolation périphérique n'est pas portée en compte séparément.</w:t>
      </w:r>
    </w:p>
    <w:p w14:paraId="13B52429" w14:textId="77777777" w:rsidR="00772179" w:rsidRDefault="00000000">
      <w:pPr>
        <w:pStyle w:val="pheading"/>
      </w:pPr>
      <w:r>
        <w:t>- nature du marché:</w:t>
      </w:r>
    </w:p>
    <w:p w14:paraId="2738EEFF" w14:textId="77777777" w:rsidR="00772179" w:rsidRDefault="00000000">
      <w:r>
        <w:rPr>
          <w:b/>
        </w:rPr>
        <w:t>QF </w:t>
      </w:r>
    </w:p>
    <w:p w14:paraId="4E3565A8" w14:textId="77777777" w:rsidR="00772179" w:rsidRDefault="00000000">
      <w:pPr>
        <w:pStyle w:val="Author-eSectionHeading6Numberless"/>
      </w:pPr>
      <w:bookmarkStart w:id="1032" w:name="_Toc220490689"/>
      <w:r>
        <w:t>44.42.3b Isolation en rouleaux/matelas - laine de chanvre CCTB 01.11</w:t>
      </w:r>
      <w:bookmarkEnd w:id="1032"/>
    </w:p>
    <w:p w14:paraId="7189C0A2" w14:textId="77777777" w:rsidR="00772179" w:rsidRDefault="00000000">
      <w:pPr>
        <w:pStyle w:val="pheading"/>
      </w:pPr>
      <w:r>
        <w:t>MATÉRIAUX</w:t>
      </w:r>
    </w:p>
    <w:p w14:paraId="4CB0088D" w14:textId="77777777" w:rsidR="00772179" w:rsidRDefault="00000000">
      <w:pPr>
        <w:pStyle w:val="pheading"/>
      </w:pPr>
      <w:r>
        <w:t>- Caractéristiques générales</w:t>
      </w:r>
    </w:p>
    <w:p w14:paraId="1844F340" w14:textId="77777777" w:rsidR="00772179" w:rsidRDefault="00000000">
      <w:r>
        <w:t>Voir article 32.42.3b Isolation en rouleaux/matelas - laine de chanvre</w:t>
      </w:r>
    </w:p>
    <w:p w14:paraId="2834928D" w14:textId="77777777" w:rsidR="00772179" w:rsidRDefault="00000000">
      <w:pPr>
        <w:pStyle w:val="pheading"/>
      </w:pPr>
      <w:r>
        <w:t>- Prescriptions complémentaires</w:t>
      </w:r>
    </w:p>
    <w:p w14:paraId="03E6FCD3" w14:textId="77777777" w:rsidR="00772179" w:rsidRDefault="00000000">
      <w:r>
        <w:t>Voir article 32.42.3b Isolation en rouleaux/matelas - laine de chanvre</w:t>
      </w:r>
    </w:p>
    <w:p w14:paraId="4F7DD6B6" w14:textId="77777777" w:rsidR="00772179" w:rsidRDefault="00000000">
      <w:pPr>
        <w:pStyle w:val="pheading"/>
      </w:pPr>
      <w:r>
        <w:t>EXÉCUTION / MISE EN ŒUVRE</w:t>
      </w:r>
    </w:p>
    <w:p w14:paraId="29A2D677" w14:textId="77777777" w:rsidR="00772179" w:rsidRDefault="00000000">
      <w:pPr>
        <w:pStyle w:val="pheading"/>
      </w:pPr>
      <w:r>
        <w:t>- Prescriptions générales</w:t>
      </w:r>
    </w:p>
    <w:p w14:paraId="670A5E9B" w14:textId="77777777" w:rsidR="00772179" w:rsidRDefault="00000000">
      <w:r>
        <w:lastRenderedPageBreak/>
        <w:t>Voir article 32.42.3b Isolation en rouleaux/matelas - laine de chanvre</w:t>
      </w:r>
    </w:p>
    <w:p w14:paraId="13DC562C" w14:textId="77777777" w:rsidR="00772179" w:rsidRDefault="00000000">
      <w:pPr>
        <w:pStyle w:val="pheading"/>
      </w:pPr>
      <w:r>
        <w:t>DOCUMENTS DE RÉFÉRENCE COMPLÉMENTAIRES</w:t>
      </w:r>
    </w:p>
    <w:p w14:paraId="06E2A51D" w14:textId="77777777" w:rsidR="00772179" w:rsidRDefault="00000000">
      <w:pPr>
        <w:pStyle w:val="pheading"/>
      </w:pPr>
      <w:r>
        <w:t>- Matériau</w:t>
      </w:r>
    </w:p>
    <w:p w14:paraId="3FE4F5D1" w14:textId="77777777" w:rsidR="00772179" w:rsidRDefault="00000000">
      <w:r>
        <w:t>32.42.3b Isolation en rouleaux/matelas - laine de chanvre</w:t>
      </w:r>
    </w:p>
    <w:p w14:paraId="4DB73A2D" w14:textId="77777777" w:rsidR="00772179" w:rsidRDefault="00000000">
      <w:pPr>
        <w:pStyle w:val="pheading"/>
      </w:pPr>
      <w:r>
        <w:t>- Exécution</w:t>
      </w:r>
    </w:p>
    <w:p w14:paraId="093FB5BB" w14:textId="77777777" w:rsidR="00772179" w:rsidRDefault="00000000">
      <w:r>
        <w:t>32.42.3b Isolation en rouleaux/matelas - laine de chanvre</w:t>
      </w:r>
    </w:p>
    <w:p w14:paraId="6C2B7131" w14:textId="77777777" w:rsidR="00772179" w:rsidRDefault="00000000">
      <w:pPr>
        <w:pStyle w:val="pheading"/>
      </w:pPr>
      <w:r>
        <w:t>MESURAGE</w:t>
      </w:r>
    </w:p>
    <w:p w14:paraId="59A24FB9" w14:textId="77777777" w:rsidR="00772179" w:rsidRDefault="00000000">
      <w:pPr>
        <w:pStyle w:val="pheading"/>
      </w:pPr>
      <w:r>
        <w:t>- unité de mesure:</w:t>
      </w:r>
    </w:p>
    <w:p w14:paraId="42D94DD7" w14:textId="77777777" w:rsidR="00772179" w:rsidRDefault="00000000">
      <w:r>
        <w:rPr>
          <w:b/>
        </w:rPr>
        <w:t>m²</w:t>
      </w:r>
    </w:p>
    <w:p w14:paraId="258BFE95" w14:textId="77777777" w:rsidR="00772179" w:rsidRDefault="00000000">
      <w:pPr>
        <w:pStyle w:val="pheading"/>
      </w:pPr>
      <w:r>
        <w:t>- code de mesurage:</w:t>
      </w:r>
    </w:p>
    <w:p w14:paraId="06B26CEE" w14:textId="77777777" w:rsidR="00772179" w:rsidRDefault="00000000">
      <w:r>
        <w:t>Distinction faite suivant l'épaisseur.</w:t>
      </w:r>
      <w:r>
        <w:br/>
      </w:r>
    </w:p>
    <w:p w14:paraId="06098EED" w14:textId="77777777" w:rsidR="00772179" w:rsidRDefault="00000000">
      <w:pPr>
        <w:pStyle w:val="Author-eListParagraph"/>
        <w:numPr>
          <w:ilvl w:val="0"/>
          <w:numId w:val="1145"/>
        </w:numPr>
      </w:pPr>
      <w:r>
        <w:t xml:space="preserve">Isolation des </w:t>
      </w:r>
      <w:r>
        <w:rPr>
          <w:b/>
        </w:rPr>
        <w:t>parois verticales : Surface nette</w:t>
      </w:r>
      <w:r>
        <w:t>. Les ouvertures &gt; 0,50 m² sont déduites.</w:t>
      </w:r>
    </w:p>
    <w:p w14:paraId="37BCD0DF" w14:textId="77777777" w:rsidR="00772179" w:rsidRDefault="00000000">
      <w:pPr>
        <w:pStyle w:val="Author-eListParagraph"/>
        <w:numPr>
          <w:ilvl w:val="0"/>
          <w:numId w:val="1145"/>
        </w:numPr>
      </w:pPr>
      <w:r>
        <w:t xml:space="preserve">Isolation des </w:t>
      </w:r>
      <w:r>
        <w:rPr>
          <w:b/>
        </w:rPr>
        <w:t>parois horizontales :  Surface nette du sol</w:t>
      </w:r>
      <w:r>
        <w:t>, mesurée entre le nu des murs. Les ouvertures &gt; 0,5 m² sont déduites. L'isolation périphérique n'est pas portée en compte séparément.</w:t>
      </w:r>
    </w:p>
    <w:p w14:paraId="61A5CC62" w14:textId="77777777" w:rsidR="00772179" w:rsidRDefault="00000000">
      <w:pPr>
        <w:pStyle w:val="pheading"/>
      </w:pPr>
      <w:r>
        <w:t>- nature du marché:</w:t>
      </w:r>
    </w:p>
    <w:p w14:paraId="309EAF7B" w14:textId="77777777" w:rsidR="00772179" w:rsidRDefault="00000000">
      <w:r>
        <w:rPr>
          <w:b/>
        </w:rPr>
        <w:t>QF</w:t>
      </w:r>
    </w:p>
    <w:p w14:paraId="52BEE064" w14:textId="77777777" w:rsidR="00772179" w:rsidRDefault="00000000">
      <w:pPr>
        <w:pStyle w:val="Author-eSectionHeading6Numberless"/>
      </w:pPr>
      <w:bookmarkStart w:id="1033" w:name="_Toc220490690"/>
      <w:r>
        <w:t>44.42.3c Isolation en rouleaux/matelas - feutre de bois CCTB 01.02</w:t>
      </w:r>
      <w:bookmarkEnd w:id="1033"/>
    </w:p>
    <w:p w14:paraId="7FB34CF1" w14:textId="77777777" w:rsidR="00772179" w:rsidRDefault="00000000">
      <w:pPr>
        <w:pStyle w:val="Author-eSectionHeading6Numberless"/>
      </w:pPr>
      <w:bookmarkStart w:id="1034" w:name="_Toc220490691"/>
      <w:r>
        <w:t>44.42.3d Isolation en rouleaux/matelas - fibres de coco CCTB 01.11</w:t>
      </w:r>
      <w:bookmarkEnd w:id="1034"/>
    </w:p>
    <w:p w14:paraId="1C9BB9FB" w14:textId="77777777" w:rsidR="00772179" w:rsidRDefault="00000000">
      <w:pPr>
        <w:pStyle w:val="pheading"/>
      </w:pPr>
      <w:r>
        <w:t>DESCRIPTION</w:t>
      </w:r>
    </w:p>
    <w:p w14:paraId="1D3A928D" w14:textId="77777777" w:rsidR="00772179" w:rsidRDefault="00000000">
      <w:pPr>
        <w:pStyle w:val="pheading"/>
      </w:pPr>
      <w:r>
        <w:t>- Définition / Comprend</w:t>
      </w:r>
    </w:p>
    <w:p w14:paraId="6B14DFD2" w14:textId="77777777" w:rsidR="00772179" w:rsidRDefault="00000000">
      <w:r>
        <w:t>Il s'agit de la réalisation d'une isolation en fibres coco suivant les prescriptions de l'article 32.42.3d Isolation en rouleaux/matelas - fibres de coco.</w:t>
      </w:r>
    </w:p>
    <w:p w14:paraId="1ADB68C3" w14:textId="77777777" w:rsidR="00772179" w:rsidRDefault="00000000">
      <w:pPr>
        <w:pStyle w:val="pheading"/>
      </w:pPr>
      <w:r>
        <w:t>MATÉRIAUX</w:t>
      </w:r>
    </w:p>
    <w:p w14:paraId="6E4EC2D9" w14:textId="77777777" w:rsidR="00772179" w:rsidRDefault="00000000">
      <w:pPr>
        <w:pStyle w:val="pheading"/>
      </w:pPr>
      <w:r>
        <w:t>- Caractéristiques générales</w:t>
      </w:r>
    </w:p>
    <w:p w14:paraId="5E960002" w14:textId="77777777" w:rsidR="00772179" w:rsidRDefault="00000000">
      <w:r>
        <w:t>Voir 32.42.3d Isolation en rouleaux/matelas - fibres de coco</w:t>
      </w:r>
    </w:p>
    <w:p w14:paraId="3B8B2C43" w14:textId="77777777" w:rsidR="00772179" w:rsidRDefault="00000000">
      <w:pPr>
        <w:pStyle w:val="pheading"/>
      </w:pPr>
      <w:r>
        <w:t>EXÉCUTION / MISE EN ŒUVRE</w:t>
      </w:r>
    </w:p>
    <w:p w14:paraId="652DD084" w14:textId="77777777" w:rsidR="00772179" w:rsidRDefault="00000000">
      <w:pPr>
        <w:pStyle w:val="pheading"/>
      </w:pPr>
      <w:r>
        <w:t>- Prescriptions générales</w:t>
      </w:r>
    </w:p>
    <w:p w14:paraId="29A5516A" w14:textId="77777777" w:rsidR="00772179" w:rsidRDefault="00000000">
      <w:r>
        <w:t>Voir 32.42.3d Isolation en rouleaux/matelas - fibres de coco</w:t>
      </w:r>
    </w:p>
    <w:p w14:paraId="463113D8" w14:textId="77777777" w:rsidR="00772179" w:rsidRDefault="00000000">
      <w:pPr>
        <w:pStyle w:val="pheading"/>
      </w:pPr>
      <w:r>
        <w:t>DOCUMENTS DE RÉFÉRENCE COMPLÉMENTAIRES</w:t>
      </w:r>
    </w:p>
    <w:p w14:paraId="63D3121E" w14:textId="77777777" w:rsidR="00772179" w:rsidRDefault="00000000">
      <w:pPr>
        <w:pStyle w:val="pheading"/>
      </w:pPr>
      <w:r>
        <w:t>- Matériau</w:t>
      </w:r>
    </w:p>
    <w:p w14:paraId="336B0222" w14:textId="77777777" w:rsidR="00772179" w:rsidRDefault="00000000">
      <w:r>
        <w:t>32.42.3d Isolation en rouleaux/matelas - fibres de coco</w:t>
      </w:r>
    </w:p>
    <w:p w14:paraId="2B3DA825" w14:textId="77777777" w:rsidR="00772179" w:rsidRDefault="00000000">
      <w:pPr>
        <w:pStyle w:val="pheading"/>
      </w:pPr>
      <w:r>
        <w:t>- Exécution</w:t>
      </w:r>
    </w:p>
    <w:p w14:paraId="77686C74" w14:textId="77777777" w:rsidR="00772179" w:rsidRDefault="00000000">
      <w:r>
        <w:t>32.42.3d Isolation en rouleaux/matelas - fibres de coco</w:t>
      </w:r>
    </w:p>
    <w:p w14:paraId="7C15963F" w14:textId="77777777" w:rsidR="00772179" w:rsidRDefault="00000000">
      <w:pPr>
        <w:pStyle w:val="pheading"/>
      </w:pPr>
      <w:r>
        <w:t>MESURAGE</w:t>
      </w:r>
    </w:p>
    <w:p w14:paraId="6331F5AE" w14:textId="77777777" w:rsidR="00772179" w:rsidRDefault="00000000">
      <w:pPr>
        <w:pStyle w:val="pheading"/>
      </w:pPr>
      <w:r>
        <w:t>- unité de mesure:</w:t>
      </w:r>
    </w:p>
    <w:p w14:paraId="0EAB0BBA" w14:textId="77777777" w:rsidR="00772179" w:rsidRDefault="00000000">
      <w:r>
        <w:rPr>
          <w:b/>
        </w:rPr>
        <w:t>m²</w:t>
      </w:r>
    </w:p>
    <w:p w14:paraId="52ED872E" w14:textId="77777777" w:rsidR="00772179" w:rsidRDefault="00000000">
      <w:pPr>
        <w:pStyle w:val="pheading"/>
      </w:pPr>
      <w:r>
        <w:lastRenderedPageBreak/>
        <w:t>- code de mesurage:</w:t>
      </w:r>
    </w:p>
    <w:p w14:paraId="7D67DAC8" w14:textId="77777777" w:rsidR="00772179" w:rsidRDefault="00772179"/>
    <w:p w14:paraId="14411A27" w14:textId="77777777" w:rsidR="00772179" w:rsidRDefault="00000000">
      <w:r>
        <w:t>Distinction faite suivant le type et l'épaisseur.</w:t>
      </w:r>
    </w:p>
    <w:p w14:paraId="20950870" w14:textId="77777777" w:rsidR="00772179" w:rsidRDefault="00000000">
      <w:pPr>
        <w:pStyle w:val="Author-eListParagraph"/>
        <w:numPr>
          <w:ilvl w:val="0"/>
          <w:numId w:val="1146"/>
        </w:numPr>
      </w:pPr>
      <w:r>
        <w:t xml:space="preserve">Isolation </w:t>
      </w:r>
      <w:r>
        <w:rPr>
          <w:b/>
        </w:rPr>
        <w:t>des parois verticales : Surface nette</w:t>
      </w:r>
      <w:r>
        <w:t>. Les ouvertures supérieures à 0,50 m² sont déduites.</w:t>
      </w:r>
    </w:p>
    <w:p w14:paraId="107161FE" w14:textId="77777777" w:rsidR="00772179" w:rsidRDefault="00000000">
      <w:pPr>
        <w:pStyle w:val="Author-eListParagraph"/>
        <w:numPr>
          <w:ilvl w:val="0"/>
          <w:numId w:val="1146"/>
        </w:numPr>
      </w:pPr>
      <w:r>
        <w:t xml:space="preserve">Isolation des </w:t>
      </w:r>
      <w:r>
        <w:rPr>
          <w:b/>
        </w:rPr>
        <w:t>parois horizontales : Surface nette du sol</w:t>
      </w:r>
      <w:r>
        <w:t>, mesurée entre le nu des murs. Les ouvertures supérieures à 0,5 m² sont déduites. L'isolation périphérique n'est pas portée en compte séparément.</w:t>
      </w:r>
    </w:p>
    <w:p w14:paraId="68C914AE" w14:textId="77777777" w:rsidR="00772179" w:rsidRDefault="00000000">
      <w:pPr>
        <w:pStyle w:val="pheading"/>
      </w:pPr>
      <w:r>
        <w:t>- nature du marché:</w:t>
      </w:r>
    </w:p>
    <w:p w14:paraId="052B3506" w14:textId="77777777" w:rsidR="00772179" w:rsidRDefault="00000000">
      <w:r>
        <w:rPr>
          <w:b/>
        </w:rPr>
        <w:t>QF</w:t>
      </w:r>
    </w:p>
    <w:p w14:paraId="659DEA8A" w14:textId="77777777" w:rsidR="00772179" w:rsidRDefault="00000000">
      <w:pPr>
        <w:pStyle w:val="Author-eSectionHeading6Numberless"/>
      </w:pPr>
      <w:bookmarkStart w:id="1035" w:name="_Toc220490692"/>
      <w:r>
        <w:t>44.42.3e Isolation en rouleaux/matelas - fibres de lin CCTB 01.11</w:t>
      </w:r>
      <w:bookmarkEnd w:id="1035"/>
    </w:p>
    <w:p w14:paraId="763B9548" w14:textId="77777777" w:rsidR="00772179" w:rsidRDefault="00000000">
      <w:pPr>
        <w:pStyle w:val="pheading"/>
      </w:pPr>
      <w:r>
        <w:t>MATÉRIAUX</w:t>
      </w:r>
    </w:p>
    <w:p w14:paraId="66DAF399" w14:textId="77777777" w:rsidR="00772179" w:rsidRDefault="00000000">
      <w:pPr>
        <w:pStyle w:val="pheading"/>
      </w:pPr>
      <w:r>
        <w:t>- Caractéristiques générales</w:t>
      </w:r>
    </w:p>
    <w:p w14:paraId="78C02BF1" w14:textId="77777777" w:rsidR="00772179" w:rsidRDefault="00000000">
      <w:r>
        <w:t>Voir article 32.42.3e Isolation en rouleaux/matelas - fibres de lin32.42.3e Isolation en rouleaux/matelas - fibres de lin</w:t>
      </w:r>
    </w:p>
    <w:p w14:paraId="7F62A3F3" w14:textId="77777777" w:rsidR="00772179" w:rsidRDefault="00000000">
      <w:pPr>
        <w:pStyle w:val="pheading"/>
      </w:pPr>
      <w:r>
        <w:t>- Finitions</w:t>
      </w:r>
    </w:p>
    <w:p w14:paraId="06389499" w14:textId="77777777" w:rsidR="00772179" w:rsidRDefault="00000000">
      <w:r>
        <w:t>Voir article 32.42.3e Isolation en rouleaux/matelas - fibres de lin</w:t>
      </w:r>
    </w:p>
    <w:p w14:paraId="43A953AD" w14:textId="77777777" w:rsidR="00772179" w:rsidRDefault="00000000">
      <w:pPr>
        <w:pStyle w:val="pheading"/>
      </w:pPr>
      <w:r>
        <w:t>- Prescriptions complémentaires</w:t>
      </w:r>
    </w:p>
    <w:p w14:paraId="51FBE020" w14:textId="77777777" w:rsidR="00772179" w:rsidRDefault="00000000">
      <w:r>
        <w:t>Voir article 32.42.3e Isolation en rouleaux/matelas - fibres de lin</w:t>
      </w:r>
    </w:p>
    <w:p w14:paraId="46D20204" w14:textId="77777777" w:rsidR="00772179" w:rsidRDefault="00000000">
      <w:pPr>
        <w:pStyle w:val="pheading"/>
      </w:pPr>
      <w:r>
        <w:t>DOCUMENTS DE RÉFÉRENCE COMPLÉMENTAIRES</w:t>
      </w:r>
    </w:p>
    <w:p w14:paraId="01A43DDB" w14:textId="77777777" w:rsidR="00772179" w:rsidRDefault="00000000">
      <w:pPr>
        <w:pStyle w:val="pheading"/>
      </w:pPr>
      <w:r>
        <w:t>- Matériau</w:t>
      </w:r>
    </w:p>
    <w:p w14:paraId="14E5AB57" w14:textId="77777777" w:rsidR="00772179" w:rsidRDefault="00000000">
      <w:r>
        <w:t>32.42.3e Isolation en rouleaux/matelas - fibres de lin</w:t>
      </w:r>
    </w:p>
    <w:p w14:paraId="49EAE599" w14:textId="77777777" w:rsidR="00772179" w:rsidRDefault="00000000">
      <w:pPr>
        <w:pStyle w:val="pheading"/>
      </w:pPr>
      <w:r>
        <w:t>- Exécution</w:t>
      </w:r>
    </w:p>
    <w:p w14:paraId="5376FE61" w14:textId="77777777" w:rsidR="00772179" w:rsidRDefault="00000000">
      <w:r>
        <w:t>32.42.3e Isolation en rouleaux/matelas - fibres de lin</w:t>
      </w:r>
    </w:p>
    <w:p w14:paraId="17099EAA" w14:textId="77777777" w:rsidR="00772179" w:rsidRDefault="00000000">
      <w:pPr>
        <w:pStyle w:val="pheading"/>
      </w:pPr>
      <w:r>
        <w:t>MESURAGE</w:t>
      </w:r>
    </w:p>
    <w:p w14:paraId="6718A7E9" w14:textId="77777777" w:rsidR="00772179" w:rsidRDefault="00000000">
      <w:pPr>
        <w:pStyle w:val="pheading"/>
      </w:pPr>
      <w:r>
        <w:t>- unité de mesure:</w:t>
      </w:r>
    </w:p>
    <w:p w14:paraId="37EE92C7" w14:textId="77777777" w:rsidR="00772179" w:rsidRDefault="00000000">
      <w:r>
        <w:rPr>
          <w:b/>
        </w:rPr>
        <w:t>m²</w:t>
      </w:r>
    </w:p>
    <w:p w14:paraId="56819CCE" w14:textId="77777777" w:rsidR="00772179" w:rsidRDefault="00000000">
      <w:pPr>
        <w:pStyle w:val="pheading"/>
      </w:pPr>
      <w:r>
        <w:t>- code de mesurage:</w:t>
      </w:r>
    </w:p>
    <w:p w14:paraId="456973BC" w14:textId="77777777" w:rsidR="00772179" w:rsidRDefault="00000000">
      <w:r>
        <w:t>Distinction faite suivant l'épaisseur.</w:t>
      </w:r>
      <w:r>
        <w:br/>
      </w:r>
    </w:p>
    <w:p w14:paraId="7989D886" w14:textId="77777777" w:rsidR="00772179" w:rsidRDefault="00000000">
      <w:pPr>
        <w:pStyle w:val="Author-eListParagraph"/>
        <w:numPr>
          <w:ilvl w:val="0"/>
          <w:numId w:val="1147"/>
        </w:numPr>
      </w:pPr>
      <w:r>
        <w:t xml:space="preserve">Isolation des </w:t>
      </w:r>
      <w:r>
        <w:rPr>
          <w:b/>
        </w:rPr>
        <w:t>parois verticales : Surface nette</w:t>
      </w:r>
      <w:r>
        <w:t>. Les ouvertures supérieures à 0,50 m² sont déduites.</w:t>
      </w:r>
    </w:p>
    <w:p w14:paraId="384475BB" w14:textId="77777777" w:rsidR="00772179" w:rsidRDefault="00000000">
      <w:pPr>
        <w:pStyle w:val="Author-eListParagraph"/>
        <w:numPr>
          <w:ilvl w:val="0"/>
          <w:numId w:val="1147"/>
        </w:numPr>
      </w:pPr>
      <w:r>
        <w:t xml:space="preserve">Isolation des </w:t>
      </w:r>
      <w:r>
        <w:rPr>
          <w:b/>
        </w:rPr>
        <w:t>parois horizontales :  Surface nette du sol</w:t>
      </w:r>
      <w:r>
        <w:t>, mesurée entre le nu des murs. Les ouvertures supérieures à 0,5 m² sont déduites. L'isolation périphérique n'est pas portée en compte séparément.</w:t>
      </w:r>
    </w:p>
    <w:p w14:paraId="356553E3" w14:textId="77777777" w:rsidR="00772179" w:rsidRDefault="00000000">
      <w:pPr>
        <w:pStyle w:val="pheading"/>
      </w:pPr>
      <w:r>
        <w:t>- nature du marché:</w:t>
      </w:r>
    </w:p>
    <w:p w14:paraId="0B4FF3D9" w14:textId="77777777" w:rsidR="00772179" w:rsidRDefault="00000000">
      <w:r>
        <w:rPr>
          <w:b/>
        </w:rPr>
        <w:t>QF</w:t>
      </w:r>
    </w:p>
    <w:p w14:paraId="154A9125" w14:textId="77777777" w:rsidR="00772179" w:rsidRDefault="00000000">
      <w:pPr>
        <w:pStyle w:val="Author-eSectionHeading6Numberless"/>
      </w:pPr>
      <w:bookmarkStart w:id="1036" w:name="_Toc220490693"/>
      <w:r>
        <w:t>44.42.3f Isolation en rouleaux/matelas - paille CCTB 01.11</w:t>
      </w:r>
      <w:bookmarkEnd w:id="1036"/>
    </w:p>
    <w:p w14:paraId="68AEEC97" w14:textId="77777777" w:rsidR="00772179" w:rsidRDefault="00000000">
      <w:pPr>
        <w:pStyle w:val="pheading"/>
      </w:pPr>
      <w:r>
        <w:t>DESCRIPTION</w:t>
      </w:r>
    </w:p>
    <w:p w14:paraId="19B746E2" w14:textId="77777777" w:rsidR="00772179" w:rsidRDefault="00000000">
      <w:pPr>
        <w:pStyle w:val="pheading"/>
      </w:pPr>
      <w:r>
        <w:t>- Définition / Comprend</w:t>
      </w:r>
    </w:p>
    <w:p w14:paraId="27270067" w14:textId="77777777" w:rsidR="00772179" w:rsidRDefault="00000000">
      <w:pPr>
        <w:jc w:val="both"/>
      </w:pPr>
      <w:r>
        <w:lastRenderedPageBreak/>
        <w:t>Il s’agit de la fourniture et de la pose d’une isolation thermique au moyen de rouleaux (matelas) en paille pour application horizontale ou verticale en façade.</w:t>
      </w:r>
    </w:p>
    <w:p w14:paraId="1E474104" w14:textId="77777777" w:rsidR="00772179" w:rsidRDefault="00000000">
      <w:pPr>
        <w:pStyle w:val="pheading"/>
      </w:pPr>
      <w:r>
        <w:t>MATÉRIAUX</w:t>
      </w:r>
    </w:p>
    <w:p w14:paraId="2E9608E0" w14:textId="77777777" w:rsidR="00772179" w:rsidRDefault="00000000">
      <w:pPr>
        <w:pStyle w:val="pheading"/>
      </w:pPr>
      <w:r>
        <w:t>- Caractéristiques générales</w:t>
      </w:r>
    </w:p>
    <w:p w14:paraId="4CDF4BB9" w14:textId="77777777" w:rsidR="00772179" w:rsidRDefault="00000000">
      <w:r>
        <w:t xml:space="preserve">Le rouleau (matelas) en paille est assemblé par </w:t>
      </w:r>
      <w:r>
        <w:rPr>
          <w:rStyle w:val="optioncarChar"/>
        </w:rPr>
        <w:t xml:space="preserve">tissage </w:t>
      </w:r>
      <w:r>
        <w:t xml:space="preserve">(par défaut) </w:t>
      </w:r>
      <w:r>
        <w:rPr>
          <w:rStyle w:val="optioncarChar"/>
        </w:rPr>
        <w:t>/ collage sur membrane / ***.</w:t>
      </w:r>
      <w:r>
        <w:br/>
        <w:t>Le parement des rouleaux (matelas) est de type : </w:t>
      </w:r>
      <w:r>
        <w:rPr>
          <w:rStyle w:val="optioncarChar"/>
        </w:rPr>
        <w:t>nu</w:t>
      </w:r>
      <w:r>
        <w:t xml:space="preserve"> (par défaut)</w:t>
      </w:r>
      <w:r>
        <w:rPr>
          <w:rStyle w:val="optioncarChar"/>
        </w:rPr>
        <w:t xml:space="preserve"> / feuille cartonnée / fibres de verre / armature synthétique / feuille d’aluminium /  ***</w:t>
      </w:r>
      <w:r>
        <w:t>.</w:t>
      </w:r>
      <w:r>
        <w:br/>
        <w:t xml:space="preserve">Le parement des rouleaux/matelas est appliqué sur </w:t>
      </w:r>
      <w:r>
        <w:rPr>
          <w:rStyle w:val="optioncarChar"/>
        </w:rPr>
        <w:t>toutes les faces</w:t>
      </w:r>
      <w:r>
        <w:t xml:space="preserve"> (par défaut) </w:t>
      </w:r>
      <w:r>
        <w:rPr>
          <w:rStyle w:val="optioncarChar"/>
        </w:rPr>
        <w:t>/ l’une des faces / ***.</w:t>
      </w:r>
      <w:r>
        <w:br/>
        <w:t>Largeur des rouleaux : </w:t>
      </w:r>
      <w:r>
        <w:rPr>
          <w:rStyle w:val="optioncarChar"/>
        </w:rPr>
        <w:t>400 / 600</w:t>
      </w:r>
      <w:r>
        <w:t xml:space="preserve"> (par défaut)</w:t>
      </w:r>
      <w:r>
        <w:rPr>
          <w:rStyle w:val="optioncarChar"/>
        </w:rPr>
        <w:t xml:space="preserve"> / 1000 / ***</w:t>
      </w:r>
      <w:r>
        <w:t> mm</w:t>
      </w:r>
      <w:r>
        <w:br/>
        <w:t xml:space="preserve">Epaisseur totale de l’isolation : </w:t>
      </w:r>
      <w:r>
        <w:rPr>
          <w:rStyle w:val="optioncarChar"/>
        </w:rPr>
        <w:t>***</w:t>
      </w:r>
      <w:r>
        <w:t> mm</w:t>
      </w:r>
      <w:r>
        <w:br/>
        <w:t xml:space="preserve">Les rouleaux sont disposés en </w:t>
      </w:r>
      <w:r>
        <w:rPr>
          <w:rStyle w:val="optioncarChar"/>
        </w:rPr>
        <w:t xml:space="preserve">1 </w:t>
      </w:r>
      <w:r>
        <w:t xml:space="preserve">(par défaut) </w:t>
      </w:r>
      <w:r>
        <w:rPr>
          <w:rStyle w:val="optioncarChar"/>
        </w:rPr>
        <w:t>/ ***</w:t>
      </w:r>
      <w:r>
        <w:t> couche(s)</w:t>
      </w:r>
      <w:r>
        <w:br/>
        <w:t>Conductivité thermique (selon [NBN EN 12667] ou selon [NBN EN 12939] pour les produits épais) : valeur λ</w:t>
      </w:r>
      <w:r>
        <w:rPr>
          <w:vertAlign w:val="subscript"/>
        </w:rPr>
        <w:t>D</w:t>
      </w:r>
      <w:r>
        <w:t xml:space="preserve"> ≤ </w:t>
      </w:r>
      <w:r>
        <w:rPr>
          <w:rStyle w:val="optioncarChar"/>
        </w:rPr>
        <w:t>0.10</w:t>
      </w:r>
      <w:r>
        <w:t xml:space="preserve"> (par défaut) </w:t>
      </w:r>
      <w:r>
        <w:rPr>
          <w:rStyle w:val="optioncarChar"/>
        </w:rPr>
        <w:t>/ ***</w:t>
      </w:r>
      <w:r>
        <w:t> W/mK.</w:t>
      </w:r>
      <w:r>
        <w:br/>
        <w:t xml:space="preserve">Masse volumique nominale (selon [NBN EN ISO 29470]) : ≤ </w:t>
      </w:r>
      <w:r>
        <w:rPr>
          <w:rStyle w:val="optioncarChar"/>
        </w:rPr>
        <w:t>300</w:t>
      </w:r>
      <w:r>
        <w:t xml:space="preserve"> (par défaut) </w:t>
      </w:r>
      <w:r>
        <w:rPr>
          <w:rStyle w:val="optioncarChar"/>
        </w:rPr>
        <w:t>/ ***</w:t>
      </w:r>
      <w:r>
        <w:t> kg/m³</w:t>
      </w:r>
    </w:p>
    <w:p w14:paraId="2D68C396" w14:textId="77777777" w:rsidR="00772179" w:rsidRDefault="00000000">
      <w:pPr>
        <w:pStyle w:val="pheading"/>
      </w:pPr>
      <w:r>
        <w:t>- Prescriptions complémentaires</w:t>
      </w:r>
    </w:p>
    <w:p w14:paraId="272420FE" w14:textId="77777777" w:rsidR="00772179" w:rsidRDefault="00000000">
      <w:r>
        <w:t>Réaction au feu selon</w:t>
      </w:r>
      <w:r>
        <w:rPr>
          <w:rStyle w:val="facultChar"/>
        </w:rPr>
        <w:t xml:space="preserve"> [NBN EN 13501-1] : </w:t>
      </w:r>
      <w:r>
        <w:rPr>
          <w:rStyle w:val="optioncarChar"/>
        </w:rPr>
        <w:t>E </w:t>
      </w:r>
      <w:r>
        <w:t>(par défaut)</w:t>
      </w:r>
      <w:r>
        <w:rPr>
          <w:rStyle w:val="optioncarChar"/>
        </w:rPr>
        <w:t xml:space="preserve"> / C / D / F </w:t>
      </w:r>
      <w:r>
        <w:t>complétée, le cas échéant par les aspects</w:t>
      </w:r>
      <w:r>
        <w:rPr>
          <w:rStyle w:val="facultChar"/>
        </w:rPr>
        <w:t> </w:t>
      </w:r>
      <w:r>
        <w:rPr>
          <w:rStyle w:val="optioncarChar"/>
        </w:rPr>
        <w:t xml:space="preserve">s1 </w:t>
      </w:r>
      <w:r>
        <w:t>(par défaut)</w:t>
      </w:r>
      <w:r>
        <w:rPr>
          <w:rStyle w:val="optioncarChar"/>
        </w:rPr>
        <w:t xml:space="preserve"> / s2 / s3</w:t>
      </w:r>
      <w:r>
        <w:rPr>
          <w:rStyle w:val="facultChar"/>
        </w:rPr>
        <w:t> </w:t>
      </w:r>
      <w:r>
        <w:t xml:space="preserve">et </w:t>
      </w:r>
      <w:r>
        <w:rPr>
          <w:rStyle w:val="optioncarChar"/>
        </w:rPr>
        <w:t xml:space="preserve">d0 </w:t>
      </w:r>
      <w:r>
        <w:t>(par défaut)</w:t>
      </w:r>
      <w:r>
        <w:rPr>
          <w:rStyle w:val="optioncarChar"/>
        </w:rPr>
        <w:t xml:space="preserve"> / d1 / d2.</w:t>
      </w:r>
      <w:r>
        <w:rPr>
          <w:rStyle w:val="facultChar"/>
        </w:rPr>
        <w:t>  </w:t>
      </w:r>
      <w:r>
        <w:br/>
        <w:t>Résistance à la contrainte en compression à 10 % de déformation (selon</w:t>
      </w:r>
      <w:r>
        <w:rPr>
          <w:rStyle w:val="facultChar"/>
        </w:rPr>
        <w:t> [NBN EN 826]</w:t>
      </w:r>
      <w:r>
        <w:t>) : niveau CS(10\Y)</w:t>
      </w:r>
      <w:r>
        <w:rPr>
          <w:rStyle w:val="facultChar"/>
        </w:rPr>
        <w:t xml:space="preserve">  </w:t>
      </w:r>
      <w:r>
        <w:rPr>
          <w:rStyle w:val="optioncarChar"/>
        </w:rPr>
        <w:t>0,5 / 5 / 10 / 15 / 20 / 25 / 30 / 40</w:t>
      </w:r>
      <w:r>
        <w:t xml:space="preserve"> (par défaut) </w:t>
      </w:r>
      <w:r>
        <w:rPr>
          <w:rStyle w:val="optioncarChar"/>
        </w:rPr>
        <w:t>/ 50 / 60 / 70 / 80 / 90 / 110 / 120 / 130 / 140 / 150 / 175 / 200 / 225 / 250 / 300 / 350 / 400 / 450 / 500</w:t>
      </w:r>
      <w:r>
        <w:rPr>
          <w:rStyle w:val="facultChar"/>
        </w:rPr>
        <w:t> </w:t>
      </w:r>
      <w:r>
        <w:t>kPa.</w:t>
      </w:r>
      <w:r>
        <w:br/>
        <w:t>Absorption d’eau à court terme (selon </w:t>
      </w:r>
      <w:r>
        <w:rPr>
          <w:rStyle w:val="facultChar"/>
        </w:rPr>
        <w:t>[NBN EN ISO 29767]</w:t>
      </w:r>
      <w:r>
        <w:t xml:space="preserve">) : ≤ </w:t>
      </w:r>
      <w:r>
        <w:rPr>
          <w:rStyle w:val="optioncarChar"/>
        </w:rPr>
        <w:t xml:space="preserve">1kg/m² </w:t>
      </w:r>
      <w:r>
        <w:t>(par défaut)</w:t>
      </w:r>
      <w:r>
        <w:rPr>
          <w:rStyle w:val="optioncarChar"/>
        </w:rPr>
        <w:t xml:space="preserve"> / ***  </w:t>
      </w:r>
      <w:r>
        <w:br/>
        <w:t>Absorption d’eau à long terme (selon</w:t>
      </w:r>
      <w:r>
        <w:rPr>
          <w:rStyle w:val="facultChar"/>
        </w:rPr>
        <w:t> [NBN EN ISO 16535]</w:t>
      </w:r>
      <w:r>
        <w:t xml:space="preserve">) : ≤ </w:t>
      </w:r>
      <w:r>
        <w:rPr>
          <w:rStyle w:val="optioncarChar"/>
        </w:rPr>
        <w:t xml:space="preserve">3kg/m² </w:t>
      </w:r>
      <w:r>
        <w:t>(par défaut)</w:t>
      </w:r>
      <w:r>
        <w:rPr>
          <w:rStyle w:val="optioncarChar"/>
        </w:rPr>
        <w:t xml:space="preserve"> / ***</w:t>
      </w:r>
      <w:r>
        <w:br/>
        <w:t>Coefficient de résistance à la diffusion de vapeur d’eau – valeur sd du rouleau + parement (selon</w:t>
      </w:r>
      <w:r>
        <w:rPr>
          <w:rStyle w:val="facultChar"/>
        </w:rPr>
        <w:t>[NBN EN 12086]</w:t>
      </w:r>
      <w:r>
        <w:t>)</w:t>
      </w:r>
      <w:r>
        <w:rPr>
          <w:rStyle w:val="facultChar"/>
        </w:rPr>
        <w:t xml:space="preserve"> :  </w:t>
      </w:r>
      <w:r>
        <w:rPr>
          <w:rStyle w:val="optioncarChar"/>
        </w:rPr>
        <w:t>***</w:t>
      </w:r>
      <w:r>
        <w:br/>
        <w:t>Absorption acoustique (déterminée selon</w:t>
      </w:r>
      <w:r>
        <w:rPr>
          <w:rStyle w:val="facultChar"/>
        </w:rPr>
        <w:t> [NBN EN ISO 354] </w:t>
      </w:r>
      <w:r>
        <w:t>et</w:t>
      </w:r>
      <w:r>
        <w:rPr>
          <w:rStyle w:val="facultChar"/>
        </w:rPr>
        <w:t> [NBN EN ISO 11654]</w:t>
      </w:r>
      <w:r>
        <w:t>) : </w:t>
      </w:r>
      <w:r>
        <w:rPr>
          <w:rStyle w:val="optioncarChar"/>
        </w:rPr>
        <w:t>*** </w:t>
      </w:r>
    </w:p>
    <w:p w14:paraId="30127F66" w14:textId="77777777" w:rsidR="00772179" w:rsidRDefault="00000000">
      <w:pPr>
        <w:pStyle w:val="pheading"/>
      </w:pPr>
      <w:r>
        <w:t>EXÉCUTION / MISE EN ŒUVRE</w:t>
      </w:r>
    </w:p>
    <w:p w14:paraId="50AE3EB3" w14:textId="77777777" w:rsidR="00772179" w:rsidRDefault="00000000">
      <w:pPr>
        <w:pStyle w:val="pheading"/>
      </w:pPr>
      <w:r>
        <w:t>- Prescriptions générales</w:t>
      </w:r>
    </w:p>
    <w:p w14:paraId="47A84047" w14:textId="77777777" w:rsidR="00772179" w:rsidRDefault="00000000">
      <w:pPr>
        <w:jc w:val="both"/>
      </w:pPr>
      <w:r>
        <w:t>Les rouleaux sont contigus. Les espaces éventuels entre rouleaux ou de liaison avec les parois sont comblés avec un isolant de même type. </w:t>
      </w:r>
    </w:p>
    <w:p w14:paraId="1CB6C92C" w14:textId="77777777" w:rsidR="00772179" w:rsidRDefault="00000000">
      <w:pPr>
        <w:jc w:val="both"/>
      </w:pPr>
      <w:r>
        <w:rPr>
          <w:b/>
        </w:rPr>
        <w:t>Pour une application verticale</w:t>
      </w:r>
    </w:p>
    <w:p w14:paraId="2B506D9C" w14:textId="77777777" w:rsidR="00772179" w:rsidRDefault="00000000">
      <w:pPr>
        <w:jc w:val="both"/>
      </w:pPr>
      <w:r>
        <w:t>Les rouleaux sont disposés entre montants, chevrons ou poutres. La largeur des rouleaux est ≥ à la largeur libre entre montants + 2 cm.</w:t>
      </w:r>
    </w:p>
    <w:p w14:paraId="4789BE3B" w14:textId="77777777" w:rsidR="00772179" w:rsidRDefault="00000000">
      <w:pPr>
        <w:jc w:val="both"/>
      </w:pPr>
      <w:r>
        <w:t xml:space="preserve">Le parement est disposé en partie </w:t>
      </w:r>
      <w:r>
        <w:rPr>
          <w:rStyle w:val="optioncarChar"/>
        </w:rPr>
        <w:t xml:space="preserve">extérieure </w:t>
      </w:r>
      <w:r>
        <w:t>(par défaut)</w:t>
      </w:r>
      <w:r>
        <w:rPr>
          <w:rStyle w:val="optioncarChar"/>
        </w:rPr>
        <w:t xml:space="preserve"> / intérieure / ***</w:t>
      </w:r>
      <w:r>
        <w:t>.</w:t>
      </w:r>
    </w:p>
    <w:p w14:paraId="0A53BEFE" w14:textId="77777777" w:rsidR="00772179" w:rsidRDefault="00000000">
      <w:pPr>
        <w:jc w:val="both"/>
      </w:pPr>
      <w:r>
        <w:t xml:space="preserve">Les rouleaux sont fixés par </w:t>
      </w:r>
      <w:r>
        <w:rPr>
          <w:rStyle w:val="optioncarChar"/>
        </w:rPr>
        <w:t xml:space="preserve">fixation mécanique </w:t>
      </w:r>
      <w:r>
        <w:t xml:space="preserve">(par défaut) </w:t>
      </w:r>
      <w:r>
        <w:rPr>
          <w:rStyle w:val="optioncarChar"/>
        </w:rPr>
        <w:t>/ serrage entre éléments et agrafage / collage / ***.</w:t>
      </w:r>
    </w:p>
    <w:p w14:paraId="49D2DCC8" w14:textId="77777777" w:rsidR="00772179" w:rsidRDefault="00000000">
      <w:pPr>
        <w:ind w:left="567"/>
        <w:jc w:val="both"/>
      </w:pPr>
      <w:r>
        <w:rPr>
          <w:b/>
          <w:i/>
        </w:rPr>
        <w:t>(soit par défaut) </w:t>
      </w:r>
    </w:p>
    <w:p w14:paraId="396CBB93" w14:textId="77777777" w:rsidR="00772179" w:rsidRDefault="00000000">
      <w:pPr>
        <w:ind w:left="567"/>
        <w:jc w:val="both"/>
      </w:pPr>
      <w:r>
        <w:rPr>
          <w:rStyle w:val="soitChar"/>
          <w:b/>
          <w:u w:val="single"/>
        </w:rPr>
        <w:t>Par fixation mécanique</w:t>
      </w:r>
    </w:p>
    <w:p w14:paraId="1B64C4DB" w14:textId="77777777" w:rsidR="00772179" w:rsidRDefault="00000000">
      <w:pPr>
        <w:ind w:left="567"/>
        <w:jc w:val="both"/>
      </w:pPr>
      <w:r>
        <w:rPr>
          <w:rStyle w:val="soitChar"/>
        </w:rPr>
        <w:t xml:space="preserve"> Les fixations sont au nombre de </w:t>
      </w:r>
      <w:r>
        <w:rPr>
          <w:rStyle w:val="optioncarChar"/>
        </w:rPr>
        <w:t xml:space="preserve">5 </w:t>
      </w:r>
      <w:r>
        <w:t>(par défaut)</w:t>
      </w:r>
      <w:r>
        <w:rPr>
          <w:rStyle w:val="optioncarChar"/>
        </w:rPr>
        <w:t xml:space="preserve"> / 8 / *** </w:t>
      </w:r>
      <w:r>
        <w:t>par m²</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L’ancrage dans la paroi porteuse est</w:t>
      </w:r>
      <w:r>
        <w:rPr>
          <w:rStyle w:val="optioncarChar"/>
        </w:rPr>
        <w:t xml:space="preserve"> métallique / synthétique</w:t>
      </w:r>
      <w:r>
        <w:t xml:space="preserve"> (par défaut)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14:paraId="03E0BFDB" w14:textId="77777777" w:rsidR="00772179" w:rsidRDefault="00772179"/>
    <w:p w14:paraId="602CF42C" w14:textId="77777777" w:rsidR="00772179" w:rsidRDefault="00000000">
      <w:pPr>
        <w:ind w:left="567"/>
        <w:jc w:val="both"/>
      </w:pPr>
      <w:r>
        <w:rPr>
          <w:b/>
          <w:i/>
        </w:rPr>
        <w:t>(soit) </w:t>
      </w:r>
    </w:p>
    <w:p w14:paraId="37A01DFE" w14:textId="77777777" w:rsidR="00772179" w:rsidRDefault="00000000">
      <w:pPr>
        <w:ind w:left="567"/>
        <w:jc w:val="both"/>
      </w:pPr>
      <w:r>
        <w:rPr>
          <w:rStyle w:val="soitChar"/>
          <w:b/>
          <w:u w:val="single"/>
        </w:rPr>
        <w:t>Par serrage et agrafage entre éléments</w:t>
      </w:r>
    </w:p>
    <w:p w14:paraId="14AB633B" w14:textId="77777777" w:rsidR="00772179" w:rsidRDefault="00000000">
      <w:pPr>
        <w:ind w:left="567"/>
        <w:jc w:val="both"/>
      </w:pPr>
      <w:r>
        <w:rPr>
          <w:rStyle w:val="soitChar"/>
        </w:rPr>
        <w:t xml:space="preserve">Les rouleaux sont serrés entièrement et découpés à mesure (largeur + min 2 cm), le serrage est accompagné d’un </w:t>
      </w:r>
      <w:r>
        <w:rPr>
          <w:rStyle w:val="optioncarChar"/>
        </w:rPr>
        <w:t>agrafage à raison de 5 par m et par côté</w:t>
      </w:r>
      <w:r>
        <w:t xml:space="preserve"> (par défaut)</w:t>
      </w:r>
      <w:r>
        <w:rPr>
          <w:rStyle w:val="optioncarChar"/>
        </w:rPr>
        <w:t xml:space="preserve"> / ***</w:t>
      </w:r>
      <w:r>
        <w:rPr>
          <w:rStyle w:val="soitChar"/>
        </w:rPr>
        <w:t>.</w:t>
      </w:r>
    </w:p>
    <w:p w14:paraId="0E0A8CA1" w14:textId="77777777" w:rsidR="00772179" w:rsidRDefault="00000000">
      <w:pPr>
        <w:ind w:left="567"/>
        <w:jc w:val="both"/>
      </w:pPr>
      <w:r>
        <w:rPr>
          <w:b/>
          <w:i/>
        </w:rPr>
        <w:lastRenderedPageBreak/>
        <w:t>(soit) </w:t>
      </w:r>
    </w:p>
    <w:p w14:paraId="45C1A6D3" w14:textId="77777777" w:rsidR="00772179" w:rsidRDefault="00000000">
      <w:pPr>
        <w:ind w:left="567"/>
        <w:jc w:val="both"/>
      </w:pPr>
      <w:r>
        <w:rPr>
          <w:rStyle w:val="soitChar"/>
          <w:b/>
          <w:u w:val="single"/>
        </w:rPr>
        <w:t>Par collage</w:t>
      </w:r>
    </w:p>
    <w:p w14:paraId="3129B82E" w14:textId="77777777" w:rsidR="00772179" w:rsidRDefault="00000000">
      <w:pPr>
        <w:ind w:left="567"/>
        <w:jc w:val="both"/>
      </w:pPr>
      <w:r>
        <w:rPr>
          <w:rStyle w:val="soitChar"/>
        </w:rPr>
        <w:t xml:space="preserve"> Les rouleaux sont fixés à l’aide de colle </w:t>
      </w:r>
      <w:r>
        <w:rPr>
          <w:rStyle w:val="optioncarChar"/>
        </w:rPr>
        <w:t>PU</w:t>
      </w:r>
      <w:r>
        <w:t xml:space="preserve"> (par défaut) </w:t>
      </w:r>
      <w:r>
        <w:rPr>
          <w:rStyle w:val="optioncarChar"/>
        </w:rPr>
        <w:t>/ ***</w:t>
      </w:r>
      <w:r>
        <w:rPr>
          <w:rStyle w:val="soitChar"/>
        </w:rPr>
        <w:t xml:space="preserve">. La colle est appliquée en collage </w:t>
      </w:r>
      <w:r>
        <w:rPr>
          <w:rStyle w:val="optioncarChar"/>
        </w:rPr>
        <w:t xml:space="preserve">partiel à 50 % </w:t>
      </w:r>
      <w:r>
        <w:t>(par défaut)</w:t>
      </w:r>
      <w:r>
        <w:rPr>
          <w:rStyle w:val="optioncarChar"/>
        </w:rPr>
        <w:t xml:space="preserve"> / total / ***</w:t>
      </w:r>
      <w:r>
        <w:rPr>
          <w:rStyle w:val="soitChar"/>
        </w:rPr>
        <w:t xml:space="preserve">. La concentration de pentachlorophénol de la colle mesurée selon la [CEN/TR 14823] est inférieure à </w:t>
      </w:r>
      <w:r>
        <w:rPr>
          <w:rStyle w:val="optioncarChar"/>
        </w:rPr>
        <w:t>5 PPM</w:t>
      </w:r>
      <w:r>
        <w:t xml:space="preserve"> (par défaut)</w:t>
      </w:r>
      <w:r>
        <w:rPr>
          <w:rStyle w:val="optioncarChar"/>
        </w:rPr>
        <w:t xml:space="preserve"> / ***</w:t>
      </w:r>
      <w:r>
        <w:rPr>
          <w:rStyle w:val="soitChar"/>
        </w:rPr>
        <w:t>.</w:t>
      </w:r>
    </w:p>
    <w:p w14:paraId="288B9A26" w14:textId="77777777" w:rsidR="00772179" w:rsidRDefault="00000000">
      <w:pPr>
        <w:ind w:left="567"/>
        <w:jc w:val="both"/>
      </w:pPr>
      <w:r>
        <w:rPr>
          <w:b/>
          <w:i/>
        </w:rPr>
        <w:t>(soit) </w:t>
      </w:r>
    </w:p>
    <w:p w14:paraId="0EA56AB1" w14:textId="77777777" w:rsidR="00772179" w:rsidRDefault="00000000">
      <w:pPr>
        <w:ind w:left="567"/>
        <w:jc w:val="both"/>
      </w:pPr>
      <w:r>
        <w:rPr>
          <w:rStyle w:val="optioncarChar"/>
        </w:rPr>
        <w:t>***</w:t>
      </w:r>
      <w:r>
        <w:t> </w:t>
      </w:r>
    </w:p>
    <w:p w14:paraId="7AFAB554" w14:textId="77777777" w:rsidR="00772179" w:rsidRDefault="00000000">
      <w:r>
        <w:t>Les détails et la mise en œuvre d’isolation pour les murs creux sont conformes à la [NIT 264].</w:t>
      </w:r>
      <w:r>
        <w:br/>
        <w:t>Les fixations sont conçues et disposées afin de ne pas réduire les performances acoustiques.</w:t>
      </w:r>
      <w:r>
        <w:br/>
        <w:t>L’isolation en application derrière des bardages métalliques est conforme à la [NIT 266].</w:t>
      </w:r>
      <w:r>
        <w:br/>
        <w:t>L’isolation thermique de façade en rouleaux-matelas est conforme à la [NIT 178].</w:t>
      </w:r>
      <w:r>
        <w:br/>
        <w:t>La mise en œuvre de l’isolation en rouleaux-matelas pour revêtement de façade en bois ou en panneaux est conforme à la [NIT 243].</w:t>
      </w:r>
    </w:p>
    <w:p w14:paraId="7F0B5E15" w14:textId="77777777" w:rsidR="00772179" w:rsidRDefault="00000000">
      <w:pPr>
        <w:pStyle w:val="pheading"/>
      </w:pPr>
      <w:r>
        <w:t>DOCUMENTS DE RÉFÉRENCE COMPLÉMENTAIRES</w:t>
      </w:r>
    </w:p>
    <w:p w14:paraId="72255485" w14:textId="77777777" w:rsidR="00772179" w:rsidRDefault="00000000">
      <w:pPr>
        <w:pStyle w:val="pheading"/>
      </w:pPr>
      <w:r>
        <w:t>- Matériau</w:t>
      </w:r>
    </w:p>
    <w:p w14:paraId="1D286D20"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2EF3360" w14:textId="77777777" w:rsidR="00772179"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1D92C00C" w14:textId="77777777" w:rsidR="00772179" w:rsidRDefault="00000000">
      <w:r>
        <w:t>[NBN EN 824, Produits isolants thermiques destinés aux applications du bâtiment - Détermination de l'équerrage]</w:t>
      </w:r>
    </w:p>
    <w:p w14:paraId="21DE3B7E" w14:textId="77777777" w:rsidR="00772179" w:rsidRDefault="00000000">
      <w:r>
        <w:t>[NBN EN 825, Produits isolants thermiques destinés aux applications du bâtiment - Détermination de la planéité]</w:t>
      </w:r>
    </w:p>
    <w:p w14:paraId="659D0DEA" w14:textId="77777777" w:rsidR="00772179" w:rsidRDefault="00000000">
      <w:r>
        <w:t>[NBN EN 13501-1, Classement au feu des produits et éléments de construction - Partie 1: Classement à partir des données d'essais de réaction au feu]</w:t>
      </w:r>
    </w:p>
    <w:p w14:paraId="552BAC3D" w14:textId="77777777" w:rsidR="00772179" w:rsidRDefault="00000000">
      <w:r>
        <w:t>[NBN EN 1604, Produits isolants thermiques destinés aux applications du bâtiment - Détermination de la stabilité dimensionnelle dans des conditions de température et d'humidité spécifiées]</w:t>
      </w:r>
    </w:p>
    <w:p w14:paraId="077B7F06" w14:textId="77777777" w:rsidR="00772179" w:rsidRDefault="00000000">
      <w:r>
        <w:t>[NBN EN 826, Produits isolants thermiques destinés aux applications du bâtiment - Détermination du comportement en compression] </w:t>
      </w:r>
    </w:p>
    <w:p w14:paraId="27C4BB02" w14:textId="77777777" w:rsidR="00772179" w:rsidRDefault="00000000">
      <w:r>
        <w:t>[NBN EN 1607, Produits isolants thermiques destinés aux applications du bâtiment - Détermination de la résistance à la traction perpendiculairement aux faces]</w:t>
      </w:r>
    </w:p>
    <w:p w14:paraId="41470D8C" w14:textId="77777777" w:rsidR="00772179" w:rsidRDefault="00000000">
      <w:r>
        <w:t>[NBN EN 12430, Produits isolants thermiques destinés aux applications du bâtiment - Détermination du comportement sous charge ponctuelle]</w:t>
      </w:r>
    </w:p>
    <w:p w14:paraId="5DDF9B2F" w14:textId="77777777" w:rsidR="00772179" w:rsidRDefault="00000000">
      <w:r>
        <w:t>[NBN EN ISO 16534, Produits isolants thermiques destinés aux applications du bâtiment - Détermination du fluage en compression (ISO 16534:2020)]</w:t>
      </w:r>
    </w:p>
    <w:p w14:paraId="6651466B" w14:textId="77777777" w:rsidR="00772179" w:rsidRDefault="00000000">
      <w:r>
        <w:t>[NBN EN ISO 29767, Produits isolants thermiques destinés aux applications du bâtiment - Détermination de l'absorption d'eau à court terme par immersion partielle (ISO 29767:2019)]</w:t>
      </w:r>
    </w:p>
    <w:p w14:paraId="570769BC" w14:textId="77777777" w:rsidR="00772179" w:rsidRDefault="00000000">
      <w:r>
        <w:t>[NBN EN ISO 16535, Produits isolants thermiques destinés aux applications du bâtiment - Détermination de l'absorption d'eau à long terme par immersion (ISO 16535:2019)]</w:t>
      </w:r>
    </w:p>
    <w:p w14:paraId="52703C98" w14:textId="77777777" w:rsidR="00772179" w:rsidRDefault="00000000">
      <w:r>
        <w:t>[NBN EN 12086, Produits isolants thermiques destinés aux applications du bâtiment - Détermination des propriétés de transmission de la vapeur d'eau]</w:t>
      </w:r>
    </w:p>
    <w:p w14:paraId="36D17141" w14:textId="77777777" w:rsidR="00772179" w:rsidRDefault="00000000">
      <w:r>
        <w:t>[NBN EN ISO 354, Acoustique - Mesurage de l'absorption acoustique en salle réverbérante (ISO 354:2003)]</w:t>
      </w:r>
    </w:p>
    <w:p w14:paraId="1BF2A2E2" w14:textId="77777777" w:rsidR="00772179" w:rsidRDefault="00000000">
      <w:r>
        <w:lastRenderedPageBreak/>
        <w:t>[NBN EN ISO 11654, Acoustique - Absorbants pour l'utilisation dans les bâtiments - Evaluation de l'absorption acoustique (ISO 11654:1997)]</w:t>
      </w:r>
    </w:p>
    <w:p w14:paraId="465F6A87" w14:textId="77777777" w:rsidR="00772179" w:rsidRDefault="00000000">
      <w:pPr>
        <w:pStyle w:val="pheading"/>
      </w:pPr>
      <w:r>
        <w:t>- Exécution</w:t>
      </w:r>
    </w:p>
    <w:p w14:paraId="5586A03F" w14:textId="77777777" w:rsidR="00772179" w:rsidRDefault="00000000">
      <w:r>
        <w:t>[NIT 264, Détails de référence pour les murs creux]</w:t>
      </w:r>
    </w:p>
    <w:p w14:paraId="28BE7D9C" w14:textId="77777777" w:rsidR="00772179" w:rsidRDefault="00000000">
      <w:r>
        <w:t>[NIT 178, L'isolation thermique des façades]</w:t>
      </w:r>
    </w:p>
    <w:p w14:paraId="2EE592A7" w14:textId="77777777" w:rsidR="00772179" w:rsidRDefault="00000000">
      <w:r>
        <w:t>[STS 71-2, Systèmes d'isolation extérieure des façades]</w:t>
      </w:r>
    </w:p>
    <w:p w14:paraId="3837E75C" w14:textId="77777777" w:rsidR="00772179" w:rsidRDefault="00000000">
      <w:r>
        <w:t>[NIT 266, Couvertures et bardages métalliques à joints debout et à tasseaux]</w:t>
      </w:r>
    </w:p>
    <w:p w14:paraId="53B39454" w14:textId="77777777" w:rsidR="00772179" w:rsidRDefault="00000000">
      <w:r>
        <w:t>[NIT 243, Les revêtements de façade en bois et en panneaux à base de bois.]</w:t>
      </w:r>
    </w:p>
    <w:p w14:paraId="2B4E478A" w14:textId="77777777" w:rsidR="00772179" w:rsidRDefault="00000000">
      <w:pPr>
        <w:pStyle w:val="pheading"/>
      </w:pPr>
      <w:r>
        <w:t>MESURAGE</w:t>
      </w:r>
    </w:p>
    <w:p w14:paraId="751B379F" w14:textId="77777777" w:rsidR="00772179" w:rsidRDefault="00000000">
      <w:pPr>
        <w:pStyle w:val="pheading"/>
      </w:pPr>
      <w:r>
        <w:t>- unité de mesure:</w:t>
      </w:r>
    </w:p>
    <w:p w14:paraId="3031BB56" w14:textId="77777777" w:rsidR="00772179" w:rsidRDefault="00000000">
      <w:r>
        <w:t>m²</w:t>
      </w:r>
    </w:p>
    <w:p w14:paraId="7EEC8D5B" w14:textId="77777777" w:rsidR="00772179" w:rsidRDefault="00000000">
      <w:pPr>
        <w:pStyle w:val="pheading"/>
      </w:pPr>
      <w:r>
        <w:t>- code de mesurage:</w:t>
      </w:r>
    </w:p>
    <w:p w14:paraId="53F7E853" w14:textId="77777777" w:rsidR="00772179" w:rsidRDefault="00000000">
      <w:pPr>
        <w:jc w:val="both"/>
      </w:pPr>
      <w:r>
        <w:rPr>
          <w:b/>
        </w:rPr>
        <w:t>Surface nette</w:t>
      </w:r>
      <w:r>
        <w:t xml:space="preserve"> de la paroi à isoler, sans déduction des éléments de structure interposés. Les réservations &lt; 1 m² ne sont pas déduites. Distinction faite suivant le type et l'épaisseur.</w:t>
      </w:r>
    </w:p>
    <w:p w14:paraId="68989330" w14:textId="77777777" w:rsidR="00772179" w:rsidRDefault="00000000">
      <w:pPr>
        <w:pStyle w:val="pheading"/>
      </w:pPr>
      <w:r>
        <w:t>- nature du marché:</w:t>
      </w:r>
    </w:p>
    <w:p w14:paraId="40538CE0" w14:textId="77777777" w:rsidR="00772179" w:rsidRDefault="00000000">
      <w:r>
        <w:t>QF</w:t>
      </w:r>
    </w:p>
    <w:p w14:paraId="6050518D" w14:textId="77777777" w:rsidR="00772179" w:rsidRDefault="00000000">
      <w:pPr>
        <w:pStyle w:val="Author-eSectionHeading6Numberless"/>
      </w:pPr>
      <w:bookmarkStart w:id="1037" w:name="_Toc220490694"/>
      <w:r>
        <w:t>44.42.3g Isolation en rouleaux/matelas - biopolymères CCTB 01.12</w:t>
      </w:r>
      <w:bookmarkEnd w:id="1037"/>
    </w:p>
    <w:p w14:paraId="045588CF" w14:textId="77777777" w:rsidR="00772179" w:rsidRDefault="00000000">
      <w:pPr>
        <w:pStyle w:val="pheading"/>
      </w:pPr>
      <w:r>
        <w:t>DESCRIPTION</w:t>
      </w:r>
    </w:p>
    <w:p w14:paraId="606E26F8" w14:textId="77777777" w:rsidR="00772179" w:rsidRDefault="00000000">
      <w:pPr>
        <w:pStyle w:val="pheading"/>
      </w:pPr>
      <w:r>
        <w:t>- Définition / Comprend</w:t>
      </w:r>
    </w:p>
    <w:p w14:paraId="7CD9D3A7" w14:textId="77777777" w:rsidR="00772179" w:rsidRDefault="00000000">
      <w:pPr>
        <w:jc w:val="both"/>
      </w:pPr>
      <w:r>
        <w:t>Il s’agit de la fourniture et la pose d’une isolation acoustique au moyen de rouleaux de biopolymères pour une application en façade.</w:t>
      </w:r>
    </w:p>
    <w:p w14:paraId="4B99AC85" w14:textId="77777777" w:rsidR="00772179" w:rsidRDefault="00000000">
      <w:pPr>
        <w:pStyle w:val="pheading"/>
      </w:pPr>
      <w:r>
        <w:t>MATÉRIAUX</w:t>
      </w:r>
    </w:p>
    <w:p w14:paraId="617C5816" w14:textId="77777777" w:rsidR="00772179" w:rsidRDefault="00000000">
      <w:pPr>
        <w:pStyle w:val="pheading"/>
      </w:pPr>
      <w:r>
        <w:t>- Caractéristiques générales</w:t>
      </w:r>
    </w:p>
    <w:p w14:paraId="7A4C21CD" w14:textId="77777777" w:rsidR="00772179" w:rsidRDefault="00000000">
      <w:r>
        <w:t>Le produit biosourcé est constitué d’une membrane en biopolymères viscoélastique, produite à base de matériaux organiques renouvelables et recyclables, résidus des filières agricoles et alimentaires.</w:t>
      </w:r>
      <w:r>
        <w:br/>
        <w:t xml:space="preserve">Épaisseur (selon [NBN EN 823]) : </w:t>
      </w:r>
      <w:r>
        <w:rPr>
          <w:rStyle w:val="optioncarChar"/>
        </w:rPr>
        <w:t xml:space="preserve">2 </w:t>
      </w:r>
      <w:r>
        <w:t xml:space="preserve">(par défaut) </w:t>
      </w:r>
      <w:r>
        <w:rPr>
          <w:rStyle w:val="optioncarChar"/>
        </w:rPr>
        <w:t>/ 3 / ***</w:t>
      </w:r>
      <w:r>
        <w:t xml:space="preserve"> mm.</w:t>
      </w:r>
      <w:r>
        <w:br/>
        <w:t xml:space="preserve">Densité (selon [NBN EN ISO 29470]) : </w:t>
      </w:r>
      <w:r>
        <w:rPr>
          <w:rStyle w:val="optioncarChar"/>
        </w:rPr>
        <w:t>2,5</w:t>
      </w:r>
      <w:r>
        <w:t xml:space="preserve"> (par défaut)</w:t>
      </w:r>
      <w:r>
        <w:rPr>
          <w:rStyle w:val="optioncarChar"/>
        </w:rPr>
        <w:t xml:space="preserve"> / 4 / ***</w:t>
      </w:r>
      <w:r>
        <w:t xml:space="preserve"> kg/m³.</w:t>
      </w:r>
      <w:r>
        <w:br/>
        <w:t xml:space="preserve">Indice d’affaiblissement acoustique Rw (selon [NBN EN ISO 717-1]) : </w:t>
      </w:r>
      <w:r>
        <w:rPr>
          <w:rStyle w:val="optioncarChar"/>
        </w:rPr>
        <w:t>71</w:t>
      </w:r>
      <w:r>
        <w:t xml:space="preserve"> (par défaut) </w:t>
      </w:r>
      <w:r>
        <w:rPr>
          <w:rStyle w:val="optioncarChar"/>
        </w:rPr>
        <w:t>/ ***</w:t>
      </w:r>
      <w:r>
        <w:t xml:space="preserve"> db</w:t>
      </w:r>
      <w:r>
        <w:br/>
        <w:t xml:space="preserve">Les liants du matelas et d’adhésion du revêtement de surface ne contiennent pas de formaldéhyde. Le dégagement mesuré selon la [NBN EN 717-1] est inférieur à </w:t>
      </w:r>
      <w:r>
        <w:rPr>
          <w:rStyle w:val="optioncarChar"/>
        </w:rPr>
        <w:t>0.124</w:t>
      </w:r>
      <w:r>
        <w:t xml:space="preserve"> (par défaut)</w:t>
      </w:r>
      <w:r>
        <w:rPr>
          <w:rStyle w:val="optioncarChar"/>
        </w:rPr>
        <w:t xml:space="preserve"> / ***</w:t>
      </w:r>
      <w:r>
        <w:t xml:space="preserve"> mg/m³.</w:t>
      </w:r>
      <w:r>
        <w:br/>
        <w:t xml:space="preserve">La concentration de pentachlorophénol mesurée selon la [CEN/TR 14823] &lt; </w:t>
      </w:r>
      <w:r>
        <w:rPr>
          <w:rStyle w:val="optioncarChar"/>
        </w:rPr>
        <w:t>5</w:t>
      </w:r>
      <w:r>
        <w:t xml:space="preserve"> (par défaut) </w:t>
      </w:r>
      <w:r>
        <w:rPr>
          <w:rStyle w:val="optioncarChar"/>
        </w:rPr>
        <w:t>/ ***</w:t>
      </w:r>
      <w:r>
        <w:t xml:space="preserve"> PPM.</w:t>
      </w:r>
      <w:r>
        <w:br/>
        <w:t xml:space="preserve">Les liants des matelas sont issus de </w:t>
      </w:r>
      <w:r>
        <w:rPr>
          <w:rStyle w:val="optioncarChar"/>
        </w:rPr>
        <w:t xml:space="preserve">matières premières d’origine végétale </w:t>
      </w:r>
      <w:r>
        <w:t xml:space="preserve">(par défaut) </w:t>
      </w:r>
      <w:r>
        <w:rPr>
          <w:rStyle w:val="optioncarChar"/>
        </w:rPr>
        <w:t>/ ***</w:t>
      </w:r>
      <w:r>
        <w:t>.</w:t>
      </w:r>
      <w:r>
        <w:b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le [Règlement 1907/2006/CE]. La concentration maximum des adjuvants est de </w:t>
      </w:r>
      <w:r>
        <w:rPr>
          <w:rStyle w:val="optioncarChar"/>
        </w:rPr>
        <w:t xml:space="preserve">4% </w:t>
      </w:r>
      <w:r>
        <w:t xml:space="preserve">(par défaut) </w:t>
      </w:r>
      <w:r>
        <w:rPr>
          <w:rStyle w:val="optioncarChar"/>
        </w:rPr>
        <w:t>/ ***</w:t>
      </w:r>
      <w:r>
        <w:t>.</w:t>
      </w:r>
    </w:p>
    <w:p w14:paraId="55B99F32" w14:textId="77777777" w:rsidR="00772179" w:rsidRDefault="00000000">
      <w:pPr>
        <w:ind w:left="750"/>
      </w:pPr>
      <w:r>
        <w:t> </w:t>
      </w:r>
    </w:p>
    <w:p w14:paraId="4D1D2664" w14:textId="77777777" w:rsidR="00772179" w:rsidRDefault="00000000">
      <w:pPr>
        <w:pStyle w:val="pheading"/>
      </w:pPr>
      <w:r>
        <w:t>- Prescriptions complémentaires</w:t>
      </w:r>
    </w:p>
    <w:p w14:paraId="7256B360" w14:textId="77777777" w:rsidR="00772179" w:rsidRDefault="00000000">
      <w:r>
        <w:t>Classement de la réaction au feu (selon</w:t>
      </w:r>
      <w:r>
        <w:rPr>
          <w:rStyle w:val="facultChar"/>
        </w:rPr>
        <w:t>[NBN EN 13501-1]</w:t>
      </w:r>
      <w:r>
        <w:t xml:space="preserve">) : </w:t>
      </w:r>
      <w:r>
        <w:rPr>
          <w:rStyle w:val="optioncarChar"/>
        </w:rPr>
        <w:t xml:space="preserve"> D </w:t>
      </w:r>
      <w:r>
        <w:t xml:space="preserve">(par défaut) </w:t>
      </w:r>
      <w:r>
        <w:rPr>
          <w:rStyle w:val="optioncarChar"/>
        </w:rPr>
        <w:t>/ ***</w:t>
      </w:r>
      <w:r>
        <w:t>.</w:t>
      </w:r>
    </w:p>
    <w:p w14:paraId="032C5D0B" w14:textId="77777777" w:rsidR="00772179" w:rsidRDefault="00000000">
      <w:pPr>
        <w:pStyle w:val="pheading"/>
      </w:pPr>
      <w:r>
        <w:t>EXÉCUTION / MISE EN ŒUVRE</w:t>
      </w:r>
    </w:p>
    <w:p w14:paraId="57FA2984" w14:textId="77777777" w:rsidR="00772179" w:rsidRDefault="00000000">
      <w:pPr>
        <w:pStyle w:val="pheading"/>
      </w:pPr>
      <w:r>
        <w:t>- Prescriptions générales</w:t>
      </w:r>
    </w:p>
    <w:p w14:paraId="3317817A" w14:textId="77777777" w:rsidR="00772179" w:rsidRDefault="00000000">
      <w:r>
        <w:t xml:space="preserve">Le stockage des membranes d'isolant acoustique ainsi que de leurs accessoires est fait impérativement avec preuve de soin. Les isolants sont entreposés horizontalement et ne sont pas exposés aux intempéries ni à la lumière directe du soleil. Le stockage des isolants et de leurs </w:t>
      </w:r>
      <w:r>
        <w:lastRenderedPageBreak/>
        <w:t>accessoires est réalisé de façon à annuler le risque de trous ou de tout dégât.</w:t>
      </w:r>
      <w:r>
        <w:br/>
        <w:t>Les points de contact entre le système isolant prescrit et les éléments de structure du bâtiment sont découplés avec une bande résiliente de désolidarisation. Un joint viscoélastique résilient est appliqué en périphérie du système isolant.</w:t>
      </w:r>
      <w:r>
        <w:br/>
        <w:t xml:space="preserve">La structure d’isolation acoustique est composée d’une ossature légère autoportante composée de profilés métalliques et désolidarisée en périphérie par des bandes résilientes et distante de quelques millimètres du mur mitoyen. La cavité de l’ossature est remplie de </w:t>
      </w:r>
      <w:r>
        <w:rPr>
          <w:rStyle w:val="optioncarChar"/>
        </w:rPr>
        <w:t>panneaux de laine minérale absorbante</w:t>
      </w:r>
      <w:r>
        <w:t xml:space="preserve"> (par défaut)</w:t>
      </w:r>
      <w:r>
        <w:rPr>
          <w:rStyle w:val="optioncarChar"/>
        </w:rPr>
        <w:t xml:space="preserve"> / ***</w:t>
      </w:r>
      <w:r>
        <w:t xml:space="preserve"> et est bordée sur une face d’une membrane, posée entre deux plaques de plâtre standard.</w:t>
      </w:r>
      <w:r>
        <w:br/>
        <w:t>L’isolation acoustique en application derrière des bardages métalliques est conforme à la [NIT 266].</w:t>
      </w:r>
    </w:p>
    <w:p w14:paraId="27CEEB9B" w14:textId="77777777" w:rsidR="00772179" w:rsidRDefault="00000000">
      <w:pPr>
        <w:pStyle w:val="pheading"/>
      </w:pPr>
      <w:r>
        <w:t>DOCUMENTS DE RÉFÉRENCE COMPLÉMENTAIRES</w:t>
      </w:r>
    </w:p>
    <w:p w14:paraId="48315B52" w14:textId="77777777" w:rsidR="00772179" w:rsidRDefault="00000000">
      <w:pPr>
        <w:pStyle w:val="pheading"/>
      </w:pPr>
      <w:r>
        <w:t>- Matériau</w:t>
      </w:r>
    </w:p>
    <w:p w14:paraId="2889339B" w14:textId="77777777" w:rsidR="00772179" w:rsidRDefault="00000000">
      <w:r>
        <w:t>[NBN EN 823, Produits isolants thermiques destinés aux applications du bâtiment - Détermination de l'épaisseur]</w:t>
      </w:r>
    </w:p>
    <w:p w14:paraId="328D7A7B" w14:textId="77777777" w:rsidR="00772179" w:rsidRDefault="00000000">
      <w:r>
        <w:t>[NBN EN ISO 29470, Produits isolants thermiques destinés aux applications du bâtiment - Détermination de la masse volumique apparente (ISO 29470:2020)]</w:t>
      </w:r>
    </w:p>
    <w:p w14:paraId="78A08ADC" w14:textId="77777777" w:rsidR="00772179" w:rsidRDefault="00000000">
      <w:r>
        <w:t>[NBN EN ISO 717-1, Acoustique - Évaluation de l'isolement acoustique des immeubles et des éléments de construction - Partie 1: Isolement aux bruits aériens (ISO 717-1:2020)]</w:t>
      </w:r>
    </w:p>
    <w:p w14:paraId="41FC1361" w14:textId="77777777" w:rsidR="00772179" w:rsidRDefault="00000000">
      <w:r>
        <w:t>[NBN EN 717-1, Panneaux à base de bois - Détermination du dégagement de formaldéhyde - Partie 1 : Emission de formaldéhyde par la méthode à la chambre]</w:t>
      </w:r>
    </w:p>
    <w:p w14:paraId="7E805B02" w14:textId="77777777" w:rsidR="00772179" w:rsidRDefault="00000000">
      <w:r>
        <w:t>[CEN/TR 14823, Durabilité du bois et des matériaux dérivés du bois - Analyse quantitative du pentachlorophénol dans le bois - Méthode par chromatographie en phase gazeuse]</w:t>
      </w:r>
    </w:p>
    <w:p w14:paraId="1D3055B6" w14:textId="77777777" w:rsidR="00772179" w:rsidRDefault="00000000">
      <w:r>
        <w:t>[NBN EN 13501-1, Classement au feu des produits et éléments de construction - Partie 1: Classement à partir des données d'essais de réaction au feu]</w:t>
      </w:r>
    </w:p>
    <w:p w14:paraId="6254F5DD" w14:textId="77777777" w:rsidR="00772179" w:rsidRDefault="00000000">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70691BD0" w14:textId="77777777" w:rsidR="00772179" w:rsidRDefault="00000000">
      <w:pPr>
        <w:pStyle w:val="pheading"/>
      </w:pPr>
      <w:r>
        <w:t>- Exécution</w:t>
      </w:r>
    </w:p>
    <w:p w14:paraId="0B5CF66C" w14:textId="77777777" w:rsidR="00772179" w:rsidRDefault="00000000">
      <w:r>
        <w:t>[NIT 266, Couvertures et bardages métalliques à joints debout et à tasseaux]</w:t>
      </w:r>
    </w:p>
    <w:p w14:paraId="08664A74" w14:textId="77777777" w:rsidR="00772179" w:rsidRDefault="00000000">
      <w:pPr>
        <w:pStyle w:val="pheading"/>
      </w:pPr>
      <w:r>
        <w:t>MESURAGE</w:t>
      </w:r>
    </w:p>
    <w:p w14:paraId="574306FA" w14:textId="77777777" w:rsidR="00772179" w:rsidRDefault="00000000">
      <w:pPr>
        <w:pStyle w:val="pheading"/>
      </w:pPr>
      <w:r>
        <w:t>- unité de mesure:</w:t>
      </w:r>
    </w:p>
    <w:p w14:paraId="416F7F8F" w14:textId="77777777" w:rsidR="00772179" w:rsidRDefault="00000000">
      <w:r>
        <w:t>m²</w:t>
      </w:r>
    </w:p>
    <w:p w14:paraId="6D7D6983" w14:textId="77777777" w:rsidR="00772179" w:rsidRDefault="00000000">
      <w:pPr>
        <w:pStyle w:val="pheading"/>
      </w:pPr>
      <w:r>
        <w:t>- code de mesurage:</w:t>
      </w:r>
    </w:p>
    <w:p w14:paraId="7F45BB40" w14:textId="77777777" w:rsidR="00772179" w:rsidRDefault="00000000">
      <w:pPr>
        <w:jc w:val="both"/>
      </w:pPr>
      <w:r>
        <w:rPr>
          <w:u w:val="single"/>
        </w:rPr>
        <w:t>Isolation des parois verticales</w:t>
      </w:r>
      <w:r>
        <w:t xml:space="preserve"> : </w:t>
      </w:r>
      <w:r>
        <w:rPr>
          <w:b/>
        </w:rPr>
        <w:t>Surface nette</w:t>
      </w:r>
      <w:r>
        <w:t>. Les ouvertures &gt; 0,50 m² sont déduites</w:t>
      </w:r>
    </w:p>
    <w:p w14:paraId="312D7F69" w14:textId="77777777" w:rsidR="00772179" w:rsidRDefault="00000000">
      <w:pPr>
        <w:jc w:val="both"/>
      </w:pPr>
      <w:r>
        <w:t>Distinction faite suivant le type et l'épaisseur.</w:t>
      </w:r>
    </w:p>
    <w:p w14:paraId="397DAE0B" w14:textId="77777777" w:rsidR="00772179" w:rsidRDefault="00000000">
      <w:pPr>
        <w:pStyle w:val="pheading"/>
      </w:pPr>
      <w:r>
        <w:t>- nature du marché:</w:t>
      </w:r>
    </w:p>
    <w:p w14:paraId="258AC01A" w14:textId="77777777" w:rsidR="00772179" w:rsidRDefault="00000000">
      <w:r>
        <w:t>QF</w:t>
      </w:r>
    </w:p>
    <w:p w14:paraId="56F872B2" w14:textId="77777777" w:rsidR="00772179" w:rsidRDefault="00000000">
      <w:pPr>
        <w:pStyle w:val="Author-eSectionHeading5Numberless"/>
      </w:pPr>
      <w:bookmarkStart w:id="1038" w:name="_Toc220490695"/>
      <w:r>
        <w:t>44.42.4 Isolation en rouleaux/matelas - matières animales CCTB 01.02</w:t>
      </w:r>
      <w:bookmarkEnd w:id="1038"/>
    </w:p>
    <w:p w14:paraId="1454FAEC" w14:textId="77777777" w:rsidR="00772179" w:rsidRDefault="00000000">
      <w:pPr>
        <w:pStyle w:val="Author-eSectionHeading6Numberless"/>
      </w:pPr>
      <w:bookmarkStart w:id="1039" w:name="_Toc220490696"/>
      <w:r>
        <w:t>44.42.4a Isolation en rouleaux/matelas - laine de mouton CCTB 01.11</w:t>
      </w:r>
      <w:bookmarkEnd w:id="1039"/>
    </w:p>
    <w:p w14:paraId="1B2AE490" w14:textId="77777777" w:rsidR="00772179" w:rsidRDefault="00000000">
      <w:pPr>
        <w:pStyle w:val="pheading"/>
      </w:pPr>
      <w:r>
        <w:t>MATÉRIAUX</w:t>
      </w:r>
    </w:p>
    <w:p w14:paraId="578F1DF6" w14:textId="77777777" w:rsidR="00772179" w:rsidRDefault="00000000">
      <w:pPr>
        <w:pStyle w:val="pheading"/>
      </w:pPr>
      <w:r>
        <w:t>- Caractéristiques générales</w:t>
      </w:r>
    </w:p>
    <w:p w14:paraId="287D424E" w14:textId="77777777" w:rsidR="00772179" w:rsidRDefault="00000000">
      <w:r>
        <w:lastRenderedPageBreak/>
        <w:t>Voir 32.42.4a Isolation en rouleaux/matelas - laine de mouton</w:t>
      </w:r>
    </w:p>
    <w:p w14:paraId="68657F4D" w14:textId="77777777" w:rsidR="00772179" w:rsidRDefault="00000000">
      <w:pPr>
        <w:pStyle w:val="pheading"/>
      </w:pPr>
      <w:r>
        <w:t>EXÉCUTION / MISE EN ŒUVRE</w:t>
      </w:r>
    </w:p>
    <w:p w14:paraId="18D1AC6E" w14:textId="77777777" w:rsidR="00772179" w:rsidRDefault="00000000">
      <w:pPr>
        <w:pStyle w:val="pheading"/>
      </w:pPr>
      <w:r>
        <w:t>- Prescriptions générales</w:t>
      </w:r>
    </w:p>
    <w:p w14:paraId="3ED0AA50" w14:textId="77777777" w:rsidR="00772179" w:rsidRDefault="00000000">
      <w:r>
        <w:t>Voir 32.42.4a Isolation en rouleaux/matelas - laine de mouton</w:t>
      </w:r>
    </w:p>
    <w:p w14:paraId="66229B4C" w14:textId="77777777" w:rsidR="00772179" w:rsidRDefault="00000000">
      <w:pPr>
        <w:pStyle w:val="pheading"/>
      </w:pPr>
      <w:r>
        <w:t>DOCUMENTS DE RÉFÉRENCE COMPLÉMENTAIRES</w:t>
      </w:r>
    </w:p>
    <w:p w14:paraId="58ACA373" w14:textId="77777777" w:rsidR="00772179" w:rsidRDefault="00000000">
      <w:pPr>
        <w:pStyle w:val="pheading"/>
      </w:pPr>
      <w:r>
        <w:t>- Matériau</w:t>
      </w:r>
    </w:p>
    <w:p w14:paraId="720761BE" w14:textId="77777777" w:rsidR="00772179" w:rsidRDefault="00000000">
      <w:r>
        <w:t>32.42.4a Isolation en rouleaux/matelas - laine de mouton</w:t>
      </w:r>
    </w:p>
    <w:p w14:paraId="203DB69A" w14:textId="77777777" w:rsidR="00772179" w:rsidRDefault="00000000">
      <w:pPr>
        <w:pStyle w:val="pheading"/>
      </w:pPr>
      <w:r>
        <w:t>- Exécution</w:t>
      </w:r>
    </w:p>
    <w:p w14:paraId="7A930018" w14:textId="77777777" w:rsidR="00772179" w:rsidRDefault="00000000">
      <w:r>
        <w:t>32.42.4a Isolation en rouleaux/matelas - laine de mouton</w:t>
      </w:r>
    </w:p>
    <w:p w14:paraId="747783DD" w14:textId="77777777" w:rsidR="00772179" w:rsidRDefault="00000000">
      <w:pPr>
        <w:pStyle w:val="pheading"/>
      </w:pPr>
      <w:r>
        <w:t>MESURAGE</w:t>
      </w:r>
    </w:p>
    <w:p w14:paraId="280AABE6" w14:textId="77777777" w:rsidR="00772179" w:rsidRDefault="00000000">
      <w:pPr>
        <w:pStyle w:val="pheading"/>
      </w:pPr>
      <w:r>
        <w:t>- unité de mesure:</w:t>
      </w:r>
    </w:p>
    <w:p w14:paraId="3C715EB6" w14:textId="77777777" w:rsidR="00772179" w:rsidRDefault="00000000">
      <w:r>
        <w:t>m²</w:t>
      </w:r>
    </w:p>
    <w:p w14:paraId="644B42E2" w14:textId="77777777" w:rsidR="00772179" w:rsidRDefault="00000000">
      <w:pPr>
        <w:pStyle w:val="pheading"/>
      </w:pPr>
      <w:r>
        <w:t>- code de mesurage:</w:t>
      </w:r>
    </w:p>
    <w:p w14:paraId="3651BEFB" w14:textId="77777777" w:rsidR="00772179" w:rsidRDefault="00000000">
      <w:r>
        <w:t>Distinction faite suivant l'épaisseur.</w:t>
      </w:r>
      <w:r>
        <w:br/>
      </w:r>
    </w:p>
    <w:p w14:paraId="791865B7" w14:textId="77777777" w:rsidR="00772179" w:rsidRDefault="00000000">
      <w:pPr>
        <w:pStyle w:val="Author-eListParagraph"/>
        <w:numPr>
          <w:ilvl w:val="0"/>
          <w:numId w:val="1148"/>
        </w:numPr>
      </w:pPr>
      <w:r>
        <w:t xml:space="preserve">Isolation des </w:t>
      </w:r>
      <w:r>
        <w:rPr>
          <w:b/>
        </w:rPr>
        <w:t>parois verticales : Surface nette</w:t>
      </w:r>
      <w:r>
        <w:t>. Les ouvertures &gt; 0,50 m² sont déduites.</w:t>
      </w:r>
    </w:p>
    <w:p w14:paraId="38032913" w14:textId="77777777" w:rsidR="00772179" w:rsidRDefault="00000000">
      <w:pPr>
        <w:pStyle w:val="Author-eListParagraph"/>
        <w:numPr>
          <w:ilvl w:val="0"/>
          <w:numId w:val="1148"/>
        </w:numPr>
      </w:pPr>
      <w:r>
        <w:t xml:space="preserve">Isolation des </w:t>
      </w:r>
      <w:r>
        <w:rPr>
          <w:b/>
        </w:rPr>
        <w:t>parois horizontales :  Surface nette du sol</w:t>
      </w:r>
      <w:r>
        <w:t>, mesurée entre le nu des murs. Les ouvertures &gt; 0,5 m² sont déduites. L'isolation périphérique n'est pas portée en compte séparément.</w:t>
      </w:r>
    </w:p>
    <w:p w14:paraId="6C4B80A9" w14:textId="77777777" w:rsidR="00772179" w:rsidRDefault="00000000">
      <w:pPr>
        <w:pStyle w:val="pheading"/>
      </w:pPr>
      <w:r>
        <w:t>- nature du marché:</w:t>
      </w:r>
    </w:p>
    <w:p w14:paraId="2793CD88" w14:textId="77777777" w:rsidR="00772179" w:rsidRDefault="00000000">
      <w:r>
        <w:t>QF</w:t>
      </w:r>
    </w:p>
    <w:p w14:paraId="6C4090E0" w14:textId="77777777" w:rsidR="00772179" w:rsidRDefault="00000000">
      <w:pPr>
        <w:pStyle w:val="Author-eSectionHeading6Numberless"/>
      </w:pPr>
      <w:bookmarkStart w:id="1040" w:name="_Toc220490697"/>
      <w:r>
        <w:t>44.42.4b Isolation en rouleaux/matelas - plumes de canard CCTB 01.02</w:t>
      </w:r>
      <w:bookmarkEnd w:id="1040"/>
    </w:p>
    <w:p w14:paraId="0402E39B" w14:textId="77777777" w:rsidR="00772179" w:rsidRDefault="00000000">
      <w:pPr>
        <w:pStyle w:val="Author-eSectionHeading5Numberless"/>
      </w:pPr>
      <w:bookmarkStart w:id="1041" w:name="_Toc220490698"/>
      <w:r>
        <w:t>44.42.5 Isolation en rouleaux/matelas - matières composites CCTB 01.02</w:t>
      </w:r>
      <w:bookmarkEnd w:id="1041"/>
    </w:p>
    <w:p w14:paraId="7DE25918" w14:textId="77777777" w:rsidR="00772179" w:rsidRDefault="00000000">
      <w:pPr>
        <w:pStyle w:val="Author-eSectionHeading6Numberless"/>
      </w:pPr>
      <w:bookmarkStart w:id="1042" w:name="_Toc220490699"/>
      <w:r>
        <w:t>44.42.5a Isolation en rouleaux/matelas - matières composites CCTB 01.02</w:t>
      </w:r>
      <w:bookmarkEnd w:id="1042"/>
    </w:p>
    <w:p w14:paraId="6F80D8DD" w14:textId="77777777" w:rsidR="00772179" w:rsidRDefault="00000000">
      <w:pPr>
        <w:pStyle w:val="Author-eSectionHeading4Numberless"/>
      </w:pPr>
      <w:bookmarkStart w:id="1043" w:name="_Toc220490700"/>
      <w:r>
        <w:t>44.43 Isolation à projeter CCTB 01.12</w:t>
      </w:r>
      <w:bookmarkEnd w:id="1043"/>
    </w:p>
    <w:p w14:paraId="3D0C8CE6" w14:textId="77777777" w:rsidR="00772179" w:rsidRDefault="00000000">
      <w:pPr>
        <w:pStyle w:val="pheading"/>
      </w:pPr>
      <w:r>
        <w:t>DESCRIPTION</w:t>
      </w:r>
    </w:p>
    <w:p w14:paraId="25861BB6" w14:textId="77777777" w:rsidR="00772179" w:rsidRDefault="00000000">
      <w:pPr>
        <w:pStyle w:val="pheading"/>
      </w:pPr>
      <w:r>
        <w:t>- Définition / Comprend</w:t>
      </w:r>
    </w:p>
    <w:p w14:paraId="24E1EBE3" w14:textId="77777777" w:rsidR="00772179" w:rsidRDefault="00000000">
      <w:r>
        <w:t xml:space="preserve">Il s’agit de toutes les fournitures et travaux en vue de la réalisation d’une isolation projetée in situ, sans joint, suivant prescription de l'élément 32.43 Isolation à projeter, mais en relation avec les éléments du tome </w:t>
      </w:r>
      <w:hyperlink w:anchor="43" w:history="1">
        <w:r>
          <w:rPr>
            <w:color w:val="0000EE"/>
          </w:rPr>
          <w:t>4 T4 Fermetures / Finitions extérieures</w:t>
        </w:r>
      </w:hyperlink>
      <w:r>
        <w:t>.</w:t>
      </w:r>
    </w:p>
    <w:p w14:paraId="0A2323FB" w14:textId="77777777" w:rsidR="00772179" w:rsidRDefault="00000000">
      <w:r>
        <w:t xml:space="preserve">Suivant l’application à réaliser, la projection se fait sur support </w:t>
      </w:r>
      <w:r>
        <w:rPr>
          <w:rStyle w:val="optioncarChar"/>
        </w:rPr>
        <w:t>neuf / ancien</w:t>
      </w:r>
      <w:r>
        <w:t>.</w:t>
      </w:r>
    </w:p>
    <w:p w14:paraId="012816B9" w14:textId="77777777" w:rsidR="00772179" w:rsidRDefault="00000000">
      <w:pPr>
        <w:ind w:left="750"/>
      </w:pPr>
      <w:r>
        <w:t> </w:t>
      </w:r>
    </w:p>
    <w:p w14:paraId="79FC7612" w14:textId="77777777" w:rsidR="00772179" w:rsidRDefault="00000000">
      <w:pPr>
        <w:pStyle w:val="pheading"/>
      </w:pPr>
      <w:r>
        <w:t>MATÉRIAUX</w:t>
      </w:r>
    </w:p>
    <w:p w14:paraId="654A7996" w14:textId="77777777" w:rsidR="00772179" w:rsidRDefault="00000000">
      <w:r>
        <w:rPr>
          <w:rStyle w:val="optioncarChar"/>
        </w:rPr>
        <w:t>Avec sa remise de prix / Avant le début de chantier</w:t>
      </w:r>
      <w:r>
        <w:t>, l’entrepreneur fournit les références des matériaux qu’il souhaite mettre en œuvre.</w:t>
      </w:r>
    </w:p>
    <w:p w14:paraId="75276E31" w14:textId="77777777" w:rsidR="00772179" w:rsidRDefault="00000000">
      <w:pPr>
        <w:pStyle w:val="pheading"/>
      </w:pPr>
      <w:r>
        <w:t>EXÉCUTION / MISE EN ŒUVRE</w:t>
      </w:r>
    </w:p>
    <w:p w14:paraId="04BB53ED" w14:textId="77777777" w:rsidR="00772179" w:rsidRDefault="00000000">
      <w:pPr>
        <w:pStyle w:val="Author-eListParagraph"/>
        <w:numPr>
          <w:ilvl w:val="0"/>
          <w:numId w:val="1149"/>
        </w:numPr>
      </w:pPr>
      <w:r>
        <w:t xml:space="preserve">Le travail est réalisé par une entreprise spécialisée, suivant notamment : </w:t>
      </w:r>
      <w:r>
        <w:rPr>
          <w:rStyle w:val="optioncarChar"/>
        </w:rPr>
        <w:t>Prescriptions du fabricant / ***.</w:t>
      </w:r>
    </w:p>
    <w:p w14:paraId="218F63F8" w14:textId="77777777" w:rsidR="00772179" w:rsidRDefault="00000000">
      <w:pPr>
        <w:pStyle w:val="pheading"/>
      </w:pPr>
      <w:r>
        <w:lastRenderedPageBreak/>
        <w:t>DOCUMENTS DE RÉFÉRENCE</w:t>
      </w:r>
    </w:p>
    <w:p w14:paraId="14FAF5C4" w14:textId="77777777" w:rsidR="00772179" w:rsidRDefault="00000000">
      <w:pPr>
        <w:pStyle w:val="pheading"/>
      </w:pPr>
      <w:r>
        <w:t>- Matériau</w:t>
      </w:r>
    </w:p>
    <w:p w14:paraId="7AB31D6B" w14:textId="77777777" w:rsidR="00772179" w:rsidRDefault="00000000">
      <w:r>
        <w:t>32.43 Isolation à projeter</w:t>
      </w:r>
    </w:p>
    <w:p w14:paraId="447C7B12" w14:textId="77777777" w:rsidR="00772179" w:rsidRDefault="00000000">
      <w:pPr>
        <w:pStyle w:val="pheading"/>
      </w:pPr>
      <w:r>
        <w:t>- Exécution</w:t>
      </w:r>
    </w:p>
    <w:p w14:paraId="768A3C46" w14:textId="77777777" w:rsidR="00772179" w:rsidRDefault="00000000">
      <w:r>
        <w:t>32.43 Isolation à projeter</w:t>
      </w:r>
    </w:p>
    <w:p w14:paraId="3037485C" w14:textId="77777777" w:rsidR="00772179" w:rsidRDefault="00000000">
      <w:pPr>
        <w:pStyle w:val="pheading"/>
      </w:pPr>
      <w:r>
        <w:t>AIDE</w:t>
      </w:r>
    </w:p>
    <w:p w14:paraId="53DFBFDF" w14:textId="77777777" w:rsidR="00772179" w:rsidRDefault="00000000">
      <w:r>
        <w:rPr>
          <w:u w:val="single"/>
        </w:rPr>
        <w:t>Note à l'attention de l'auteur de projet</w:t>
      </w:r>
    </w:p>
    <w:p w14:paraId="49D0AEAB" w14:textId="77777777" w:rsidR="00772179" w:rsidRDefault="00000000">
      <w:r>
        <w:t>Le domaine d’application et les prescriptions des différents isolants sont vérifiés et adaptés aux éléments du tome 4.</w:t>
      </w:r>
    </w:p>
    <w:p w14:paraId="65C9BC19" w14:textId="77777777" w:rsidR="00772179" w:rsidRDefault="00000000">
      <w:pPr>
        <w:pStyle w:val="Author-eSectionHeading5Numberless"/>
      </w:pPr>
      <w:bookmarkStart w:id="1044" w:name="_Toc220490701"/>
      <w:r>
        <w:t>44.43.1 Isolation à projeter - matières synthétiques CCTB 01.07</w:t>
      </w:r>
      <w:bookmarkEnd w:id="1044"/>
    </w:p>
    <w:p w14:paraId="0741ED18" w14:textId="77777777" w:rsidR="00772179" w:rsidRDefault="00000000">
      <w:pPr>
        <w:pStyle w:val="pheading"/>
      </w:pPr>
      <w:r>
        <w:t>DESCRIPTION</w:t>
      </w:r>
    </w:p>
    <w:p w14:paraId="07315550" w14:textId="77777777" w:rsidR="00772179" w:rsidRDefault="00000000">
      <w:pPr>
        <w:pStyle w:val="pheading"/>
      </w:pPr>
      <w:r>
        <w:t>- Définition / Comprend</w:t>
      </w:r>
    </w:p>
    <w:p w14:paraId="0AA29C42" w14:textId="77777777" w:rsidR="00772179" w:rsidRDefault="00000000">
      <w:r>
        <w:t>Il s’agit de la réalisation d’une isolation projetée sous pression, avec des matières synthétiques chauffées suivant prescription de l'élément  32.43.1 Isolation à projeter - matières synthétiques</w:t>
      </w:r>
    </w:p>
    <w:p w14:paraId="1B513A50" w14:textId="77777777" w:rsidR="00772179" w:rsidRDefault="00000000">
      <w:pPr>
        <w:pStyle w:val="pheading"/>
      </w:pPr>
      <w:r>
        <w:t>DOCUMENTS DE RÉFÉRENCE</w:t>
      </w:r>
    </w:p>
    <w:p w14:paraId="1636DA98" w14:textId="77777777" w:rsidR="00772179" w:rsidRDefault="00000000">
      <w:pPr>
        <w:pStyle w:val="pheading"/>
      </w:pPr>
      <w:r>
        <w:t>- Matériau</w:t>
      </w:r>
    </w:p>
    <w:p w14:paraId="516CB04A" w14:textId="77777777" w:rsidR="00772179" w:rsidRDefault="00000000">
      <w:r>
        <w:t>32.43.1 Isolation à projeter - matières synthétiques</w:t>
      </w:r>
    </w:p>
    <w:p w14:paraId="51B3F421" w14:textId="77777777" w:rsidR="00772179" w:rsidRDefault="00000000">
      <w:pPr>
        <w:pStyle w:val="pheading"/>
      </w:pPr>
      <w:r>
        <w:t>- Exécution</w:t>
      </w:r>
    </w:p>
    <w:p w14:paraId="7FA96961" w14:textId="77777777" w:rsidR="00772179" w:rsidRDefault="00000000">
      <w:r>
        <w:t>32.43.1 Isolation à projeter - matières synthétiques</w:t>
      </w:r>
    </w:p>
    <w:p w14:paraId="213CB4D0" w14:textId="77777777" w:rsidR="00772179" w:rsidRDefault="00000000">
      <w:pPr>
        <w:pStyle w:val="Author-eSectionHeading6Numberless"/>
      </w:pPr>
      <w:bookmarkStart w:id="1045" w:name="_Toc220490702"/>
      <w:r>
        <w:t>44.43.1a Isolation à projeter - polyuréthane (PUR) CCTB 01.11</w:t>
      </w:r>
      <w:bookmarkEnd w:id="1045"/>
    </w:p>
    <w:p w14:paraId="30F14BBB" w14:textId="77777777" w:rsidR="00772179" w:rsidRDefault="00000000">
      <w:pPr>
        <w:pStyle w:val="pheading"/>
      </w:pPr>
      <w:r>
        <w:t>DESCRIPTION</w:t>
      </w:r>
    </w:p>
    <w:p w14:paraId="33F3194E" w14:textId="77777777" w:rsidR="00772179" w:rsidRDefault="00000000">
      <w:pPr>
        <w:pStyle w:val="pheading"/>
      </w:pPr>
      <w:r>
        <w:t>- Définition / Comprend</w:t>
      </w:r>
    </w:p>
    <w:p w14:paraId="101E8D0C" w14:textId="77777777" w:rsidR="00772179" w:rsidRDefault="00000000">
      <w:r>
        <w:t>Il s’agit de la fourniture et mise en œuvre d’une isolation de type mousse de polyuréthane (PUR) à cellules fermées, projetée en adhérence sur un support, suivant prescription de l'article 32.43.1a Isolation à projeter - polyuréthane (PUR)</w:t>
      </w:r>
    </w:p>
    <w:p w14:paraId="7F15B250" w14:textId="77777777" w:rsidR="00772179" w:rsidRDefault="00000000">
      <w:pPr>
        <w:pStyle w:val="pheading"/>
      </w:pPr>
      <w:r>
        <w:t>MATÉRIAUX</w:t>
      </w:r>
    </w:p>
    <w:p w14:paraId="7E66A6A9" w14:textId="77777777" w:rsidR="00772179" w:rsidRDefault="00000000">
      <w:pPr>
        <w:pStyle w:val="pheading"/>
      </w:pPr>
      <w:r>
        <w:t>- Caractéristiques générales</w:t>
      </w:r>
    </w:p>
    <w:p w14:paraId="4314AE7C" w14:textId="77777777" w:rsidR="00772179" w:rsidRDefault="00000000">
      <w:r>
        <w:t>Voir 32.43.1a Isolation à projeter - polyuréthane (PUR)</w:t>
      </w:r>
    </w:p>
    <w:p w14:paraId="0B76A617" w14:textId="77777777" w:rsidR="00772179" w:rsidRDefault="00000000">
      <w:r>
        <w:rPr>
          <w:u w:val="single"/>
        </w:rPr>
        <w:t>Spécifications</w:t>
      </w:r>
    </w:p>
    <w:p w14:paraId="61CE6811" w14:textId="77777777" w:rsidR="00772179" w:rsidRDefault="00000000">
      <w:pPr>
        <w:pStyle w:val="Author-eListParagraph"/>
        <w:numPr>
          <w:ilvl w:val="0"/>
          <w:numId w:val="1150"/>
        </w:numPr>
      </w:pPr>
      <w:r>
        <w:t xml:space="preserve">Epaisseur : </w:t>
      </w:r>
      <w:r>
        <w:rPr>
          <w:rStyle w:val="optioncarChar"/>
        </w:rPr>
        <w:t>***</w:t>
      </w:r>
      <w:r>
        <w:t xml:space="preserve"> cm _Tolérance </w:t>
      </w:r>
      <w:r>
        <w:rPr>
          <w:rStyle w:val="optioncarChar"/>
        </w:rPr>
        <w:t>***</w:t>
      </w:r>
    </w:p>
    <w:p w14:paraId="467B385B" w14:textId="77777777" w:rsidR="00772179" w:rsidRDefault="00000000">
      <w:pPr>
        <w:pStyle w:val="Author-eListParagraph"/>
        <w:numPr>
          <w:ilvl w:val="0"/>
          <w:numId w:val="1150"/>
        </w:numPr>
      </w:pPr>
      <w:r>
        <w:t xml:space="preserve">Masse volumique : ≥ </w:t>
      </w:r>
      <w:r>
        <w:rPr>
          <w:rStyle w:val="optioncarChar"/>
        </w:rPr>
        <w:t>35 / 40 / ***</w:t>
      </w:r>
      <w:r>
        <w:t xml:space="preserve"> en kg/m³, suivant [NBN EN ISO 29470].</w:t>
      </w:r>
    </w:p>
    <w:p w14:paraId="002DCF48" w14:textId="77777777" w:rsidR="00772179" w:rsidRDefault="00000000">
      <w:pPr>
        <w:pStyle w:val="Author-eListParagraph"/>
        <w:numPr>
          <w:ilvl w:val="0"/>
          <w:numId w:val="1150"/>
        </w:numPr>
      </w:pPr>
      <w:r>
        <w:t xml:space="preserve">Valeur lambda déclaré : ≤ </w:t>
      </w:r>
      <w:r>
        <w:rPr>
          <w:rStyle w:val="optioncarChar"/>
        </w:rPr>
        <w:t xml:space="preserve">0,027 / 0,030 / *** </w:t>
      </w:r>
      <w:r>
        <w:t>W/mK, suivant [NBN EN ISO 10456].</w:t>
      </w:r>
    </w:p>
    <w:p w14:paraId="7875B6EC" w14:textId="77777777" w:rsidR="00772179" w:rsidRDefault="00000000">
      <w:pPr>
        <w:pStyle w:val="Author-eListParagraph"/>
        <w:numPr>
          <w:ilvl w:val="0"/>
          <w:numId w:val="1150"/>
        </w:numPr>
      </w:pPr>
      <w:r>
        <w:t xml:space="preserve">Réaction au feu : </w:t>
      </w:r>
      <w:r>
        <w:rPr>
          <w:rStyle w:val="optioncarChar"/>
        </w:rPr>
        <w:t>***</w:t>
      </w:r>
    </w:p>
    <w:p w14:paraId="56F77DA9" w14:textId="77777777" w:rsidR="00772179" w:rsidRDefault="00000000">
      <w:pPr>
        <w:pStyle w:val="Author-eListParagraph"/>
        <w:numPr>
          <w:ilvl w:val="0"/>
          <w:numId w:val="1150"/>
        </w:numPr>
      </w:pPr>
      <w:r>
        <w:t xml:space="preserve">Acoustique : </w:t>
      </w:r>
      <w:r>
        <w:rPr>
          <w:rStyle w:val="optioncarChar"/>
        </w:rPr>
        <w:t>***</w:t>
      </w:r>
    </w:p>
    <w:p w14:paraId="6F9CA345" w14:textId="77777777" w:rsidR="00772179" w:rsidRDefault="00000000">
      <w:pPr>
        <w:pStyle w:val="Author-eListParagraph"/>
        <w:numPr>
          <w:ilvl w:val="0"/>
          <w:numId w:val="1150"/>
        </w:numPr>
      </w:pPr>
      <w:r>
        <w:t xml:space="preserve">Résistance à la compression : ≥ </w:t>
      </w:r>
      <w:r>
        <w:rPr>
          <w:rStyle w:val="optioncarChar"/>
        </w:rPr>
        <w:t xml:space="preserve">*** </w:t>
      </w:r>
      <w:r>
        <w:t>N/mm²,suivant  [NBN EN 826].</w:t>
      </w:r>
    </w:p>
    <w:p w14:paraId="673076F7" w14:textId="77777777" w:rsidR="00772179" w:rsidRDefault="00000000">
      <w:pPr>
        <w:pStyle w:val="pheading"/>
      </w:pPr>
      <w:r>
        <w:t>- Finitions</w:t>
      </w:r>
    </w:p>
    <w:p w14:paraId="4950C6F5" w14:textId="77777777" w:rsidR="00772179" w:rsidRDefault="00000000">
      <w:r>
        <w:t>Voir 32.43.1a Isolation à projeter - polyuréthane (PUR)</w:t>
      </w:r>
    </w:p>
    <w:p w14:paraId="3AED8E0E" w14:textId="77777777" w:rsidR="00772179" w:rsidRDefault="00000000">
      <w:pPr>
        <w:pStyle w:val="pheading"/>
      </w:pPr>
      <w:r>
        <w:t>EXÉCUTION / MISE EN ŒUVRE</w:t>
      </w:r>
    </w:p>
    <w:p w14:paraId="466F7BE3" w14:textId="77777777" w:rsidR="00772179" w:rsidRDefault="00000000">
      <w:pPr>
        <w:pStyle w:val="pheading"/>
      </w:pPr>
      <w:r>
        <w:t>- Prescriptions générales</w:t>
      </w:r>
    </w:p>
    <w:p w14:paraId="3DF09446" w14:textId="77777777" w:rsidR="00772179" w:rsidRDefault="00000000">
      <w:r>
        <w:lastRenderedPageBreak/>
        <w:t>Voir 32.43.1a Isolation à projeter - polyuréthane (PUR)</w:t>
      </w:r>
    </w:p>
    <w:p w14:paraId="51750EFB" w14:textId="77777777" w:rsidR="00772179" w:rsidRDefault="00000000">
      <w:pPr>
        <w:pStyle w:val="pheading"/>
      </w:pPr>
      <w:r>
        <w:t>- Notes d’exécution complémentaires</w:t>
      </w:r>
    </w:p>
    <w:p w14:paraId="12CC8CF3" w14:textId="77777777" w:rsidR="00772179" w:rsidRDefault="00000000">
      <w:r>
        <w:t>Voir 32.43.1a Isolation à projeter - polyuréthane (PUR)</w:t>
      </w:r>
    </w:p>
    <w:p w14:paraId="4C4810FB" w14:textId="77777777" w:rsidR="00772179" w:rsidRDefault="00000000">
      <w:pPr>
        <w:pStyle w:val="pheading"/>
      </w:pPr>
      <w:r>
        <w:t>DOCUMENTS DE RÉFÉRENCE COMPLÉMENTAIRES</w:t>
      </w:r>
    </w:p>
    <w:p w14:paraId="03C04AB3" w14:textId="77777777" w:rsidR="00772179" w:rsidRDefault="00000000">
      <w:pPr>
        <w:pStyle w:val="pheading"/>
      </w:pPr>
      <w:r>
        <w:t>- Matériau</w:t>
      </w:r>
    </w:p>
    <w:p w14:paraId="02FE5C85" w14:textId="77777777" w:rsidR="00772179" w:rsidRDefault="00000000">
      <w:r>
        <w:t>32.43.1a Isolation à projeter - polyuréthane (PUR)</w:t>
      </w:r>
    </w:p>
    <w:p w14:paraId="73300339" w14:textId="77777777" w:rsidR="00772179" w:rsidRDefault="00000000">
      <w:pPr>
        <w:pStyle w:val="pheading"/>
      </w:pPr>
      <w:r>
        <w:t>- Exécution</w:t>
      </w:r>
    </w:p>
    <w:p w14:paraId="13F8A8A9" w14:textId="77777777" w:rsidR="00772179" w:rsidRDefault="00000000">
      <w:r>
        <w:t>32.43.1a Isolation à projeter - polyuréthane (PUR)</w:t>
      </w:r>
    </w:p>
    <w:p w14:paraId="456B04AE" w14:textId="77777777" w:rsidR="00772179" w:rsidRDefault="00000000">
      <w:pPr>
        <w:pStyle w:val="pheading"/>
      </w:pPr>
      <w:r>
        <w:t>MESURAGE</w:t>
      </w:r>
    </w:p>
    <w:p w14:paraId="359F6446" w14:textId="77777777" w:rsidR="00772179" w:rsidRDefault="00000000">
      <w:pPr>
        <w:pStyle w:val="pheading"/>
      </w:pPr>
      <w:r>
        <w:t>- unité de mesure:</w:t>
      </w:r>
    </w:p>
    <w:p w14:paraId="3ED69BD5" w14:textId="77777777" w:rsidR="00772179" w:rsidRDefault="00000000">
      <w:r>
        <w:t>m²</w:t>
      </w:r>
    </w:p>
    <w:p w14:paraId="4A252261" w14:textId="77777777" w:rsidR="00772179" w:rsidRDefault="00000000">
      <w:pPr>
        <w:pStyle w:val="pheading"/>
      </w:pPr>
      <w:r>
        <w:t>- code de mesurage:</w:t>
      </w:r>
    </w:p>
    <w:p w14:paraId="0DA4C194" w14:textId="77777777" w:rsidR="00772179" w:rsidRDefault="00000000">
      <w:r>
        <w:t>Distinction faite suivant l’épaisseur.</w:t>
      </w:r>
    </w:p>
    <w:p w14:paraId="04A2F22F" w14:textId="77777777" w:rsidR="00772179" w:rsidRDefault="00000000">
      <w:r>
        <w:t>Surface nette à exécuter.</w:t>
      </w:r>
    </w:p>
    <w:p w14:paraId="7A319703" w14:textId="77777777" w:rsidR="00772179" w:rsidRDefault="00000000">
      <w:r>
        <w:t>Les ouvertures ≥ 0,5 m² sont déduites.</w:t>
      </w:r>
    </w:p>
    <w:p w14:paraId="5B7B5928" w14:textId="77777777" w:rsidR="00772179" w:rsidRDefault="00000000">
      <w:pPr>
        <w:pStyle w:val="pheading"/>
      </w:pPr>
      <w:r>
        <w:t>- nature du marché:</w:t>
      </w:r>
    </w:p>
    <w:p w14:paraId="2618322B" w14:textId="77777777" w:rsidR="00772179" w:rsidRDefault="00000000">
      <w:r>
        <w:t>QF</w:t>
      </w:r>
    </w:p>
    <w:p w14:paraId="09495EE9" w14:textId="77777777" w:rsidR="00772179" w:rsidRDefault="00000000">
      <w:pPr>
        <w:pStyle w:val="Author-eSectionHeading6Numberless"/>
      </w:pPr>
      <w:bookmarkStart w:id="1046" w:name="_Toc220490703"/>
      <w:r>
        <w:t>44.43.1b Isolation à projeter - polyisocyanurate (PIR) CCTB 01.10</w:t>
      </w:r>
      <w:bookmarkEnd w:id="1046"/>
    </w:p>
    <w:p w14:paraId="5ECAC877" w14:textId="77777777" w:rsidR="00772179" w:rsidRDefault="00000000">
      <w:pPr>
        <w:pStyle w:val="pheading"/>
      </w:pPr>
      <w:r>
        <w:t>DESCRIPTION</w:t>
      </w:r>
    </w:p>
    <w:p w14:paraId="2479636F" w14:textId="77777777" w:rsidR="00772179" w:rsidRDefault="00000000">
      <w:pPr>
        <w:pStyle w:val="pheading"/>
      </w:pPr>
      <w:r>
        <w:t>- Définition / Comprend</w:t>
      </w:r>
    </w:p>
    <w:p w14:paraId="5FE869DF" w14:textId="77777777" w:rsidR="00772179" w:rsidRDefault="00000000">
      <w:r>
        <w:t>Il s’agit de la fourniture et mise en œuvre d’une isolation de type mousse de polyisocyanurate (PIR), projetée en adhérence sur un support, suivant prescription de l'article 32.43.1b Isolation à projeter - polyisocyanurate (PIR)</w:t>
      </w:r>
    </w:p>
    <w:p w14:paraId="723273F7" w14:textId="77777777" w:rsidR="00772179" w:rsidRDefault="00000000">
      <w:pPr>
        <w:pStyle w:val="pheading"/>
      </w:pPr>
      <w:r>
        <w:t>MATÉRIAUX</w:t>
      </w:r>
    </w:p>
    <w:p w14:paraId="1497B069" w14:textId="77777777" w:rsidR="00772179" w:rsidRDefault="00000000">
      <w:pPr>
        <w:pStyle w:val="pheading"/>
      </w:pPr>
      <w:r>
        <w:t>- Caractéristiques générales</w:t>
      </w:r>
    </w:p>
    <w:p w14:paraId="1A57725B" w14:textId="77777777" w:rsidR="00772179" w:rsidRDefault="00000000">
      <w:r>
        <w:t>Voir 32.43.1b Isolation à projeter - polyisocyanurate (PIR)</w:t>
      </w:r>
    </w:p>
    <w:p w14:paraId="27CAC81B" w14:textId="77777777" w:rsidR="00772179" w:rsidRDefault="00000000">
      <w:pPr>
        <w:pStyle w:val="pheading"/>
      </w:pPr>
      <w:r>
        <w:t>EXÉCUTION / MISE EN ŒUVRE</w:t>
      </w:r>
    </w:p>
    <w:p w14:paraId="296B6C62" w14:textId="77777777" w:rsidR="00772179" w:rsidRDefault="00000000">
      <w:pPr>
        <w:pStyle w:val="pheading"/>
      </w:pPr>
      <w:r>
        <w:t>- Prescriptions générales</w:t>
      </w:r>
    </w:p>
    <w:p w14:paraId="1929A466" w14:textId="77777777" w:rsidR="00772179" w:rsidRDefault="00000000">
      <w:r>
        <w:t>Voir 32.43.1b Isolation à projeter - polyisocyanurate (PIR)</w:t>
      </w:r>
    </w:p>
    <w:p w14:paraId="6D94AAC1" w14:textId="77777777" w:rsidR="00772179" w:rsidRDefault="00000000">
      <w:pPr>
        <w:pStyle w:val="pheading"/>
      </w:pPr>
      <w:r>
        <w:t>DOCUMENTS DE RÉFÉRENCE COMPLÉMENTAIRES</w:t>
      </w:r>
    </w:p>
    <w:p w14:paraId="7B6795D0" w14:textId="77777777" w:rsidR="00772179" w:rsidRDefault="00000000">
      <w:pPr>
        <w:pStyle w:val="pheading"/>
      </w:pPr>
      <w:r>
        <w:t>- Matériau</w:t>
      </w:r>
    </w:p>
    <w:p w14:paraId="4FEB3563" w14:textId="77777777" w:rsidR="00772179" w:rsidRDefault="00000000">
      <w:r>
        <w:t>Voir 32.43.1b Isolation à projeter - polyisocyanurate (PIR)</w:t>
      </w:r>
    </w:p>
    <w:p w14:paraId="0D6BF54E" w14:textId="77777777" w:rsidR="00772179" w:rsidRDefault="00000000">
      <w:pPr>
        <w:pStyle w:val="pheading"/>
      </w:pPr>
      <w:r>
        <w:t>MESURAGE</w:t>
      </w:r>
    </w:p>
    <w:p w14:paraId="01AE58C1" w14:textId="77777777" w:rsidR="00772179" w:rsidRDefault="00000000">
      <w:pPr>
        <w:pStyle w:val="pheading"/>
      </w:pPr>
      <w:r>
        <w:t>- unité de mesure:</w:t>
      </w:r>
    </w:p>
    <w:p w14:paraId="188F860F" w14:textId="77777777" w:rsidR="00772179" w:rsidRDefault="00000000">
      <w:r>
        <w:t>m²</w:t>
      </w:r>
    </w:p>
    <w:p w14:paraId="5516ABCA" w14:textId="77777777" w:rsidR="00772179" w:rsidRDefault="00000000">
      <w:pPr>
        <w:pStyle w:val="pheading"/>
      </w:pPr>
      <w:r>
        <w:t>- code de mesurage:</w:t>
      </w:r>
    </w:p>
    <w:p w14:paraId="61C95A05" w14:textId="77777777" w:rsidR="00772179" w:rsidRDefault="00000000">
      <w:r>
        <w:t>Distinction faite suivant l’épaisseur.</w:t>
      </w:r>
    </w:p>
    <w:p w14:paraId="048F5267" w14:textId="77777777" w:rsidR="00772179" w:rsidRDefault="00000000">
      <w:r>
        <w:t>Surface nette à exécuter.</w:t>
      </w:r>
    </w:p>
    <w:p w14:paraId="0958F211" w14:textId="77777777" w:rsidR="00772179" w:rsidRDefault="00000000">
      <w:r>
        <w:lastRenderedPageBreak/>
        <w:t>Les ouvertures ≥ 0,5 m² sont déduites.</w:t>
      </w:r>
    </w:p>
    <w:p w14:paraId="344B35F1" w14:textId="77777777" w:rsidR="00772179" w:rsidRDefault="00000000">
      <w:pPr>
        <w:pStyle w:val="pheading"/>
      </w:pPr>
      <w:r>
        <w:t>- nature du marché:</w:t>
      </w:r>
    </w:p>
    <w:p w14:paraId="44612821" w14:textId="77777777" w:rsidR="00772179" w:rsidRDefault="00000000">
      <w:r>
        <w:t>QF</w:t>
      </w:r>
    </w:p>
    <w:p w14:paraId="5E4D6210" w14:textId="77777777" w:rsidR="00772179" w:rsidRDefault="00000000">
      <w:pPr>
        <w:pStyle w:val="Author-eSectionHeading6Numberless"/>
      </w:pPr>
      <w:bookmarkStart w:id="1047" w:name="_Toc220490704"/>
      <w:r>
        <w:t>44.43.1c Isolation à projeter - mousse phénolique (PF) CCTB 01.10</w:t>
      </w:r>
      <w:bookmarkEnd w:id="1047"/>
    </w:p>
    <w:p w14:paraId="59B7E51D" w14:textId="77777777" w:rsidR="00772179" w:rsidRDefault="00000000">
      <w:pPr>
        <w:pStyle w:val="pheading"/>
      </w:pPr>
      <w:r>
        <w:t>DESCRIPTION</w:t>
      </w:r>
    </w:p>
    <w:p w14:paraId="7EDD798D" w14:textId="77777777" w:rsidR="00772179" w:rsidRDefault="00000000">
      <w:pPr>
        <w:pStyle w:val="pheading"/>
      </w:pPr>
      <w:r>
        <w:t>- Définition / Comprend</w:t>
      </w:r>
    </w:p>
    <w:p w14:paraId="118D0545" w14:textId="77777777" w:rsidR="00772179" w:rsidRDefault="00000000">
      <w:r>
        <w:t>Il s’agit de la fourniture et mise en œuvre d’une isolation de type mousse phénolique (PF), projetée en adhérence sur un support , suivant prescription de l'article 32.43.1c Isolation à projeter - mousse phénolique (PF).</w:t>
      </w:r>
    </w:p>
    <w:p w14:paraId="6A0FE308" w14:textId="77777777" w:rsidR="00772179" w:rsidRDefault="00000000">
      <w:pPr>
        <w:pStyle w:val="pheading"/>
      </w:pPr>
      <w:r>
        <w:t>MATÉRIAUX</w:t>
      </w:r>
    </w:p>
    <w:p w14:paraId="7E85A83B" w14:textId="77777777" w:rsidR="00772179" w:rsidRDefault="00000000">
      <w:pPr>
        <w:pStyle w:val="pheading"/>
      </w:pPr>
      <w:r>
        <w:t>- Caractéristiques générales</w:t>
      </w:r>
    </w:p>
    <w:p w14:paraId="6893E913" w14:textId="77777777" w:rsidR="00772179" w:rsidRDefault="00000000">
      <w:r>
        <w:t>Voir 32.43.1c Isolation à projeter - mousse phénolique (PF)</w:t>
      </w:r>
    </w:p>
    <w:p w14:paraId="0D6171AC" w14:textId="77777777" w:rsidR="00772179" w:rsidRDefault="00000000">
      <w:pPr>
        <w:pStyle w:val="pheading"/>
      </w:pPr>
      <w:r>
        <w:t>EXÉCUTION / MISE EN ŒUVRE</w:t>
      </w:r>
    </w:p>
    <w:p w14:paraId="6E5278F2" w14:textId="77777777" w:rsidR="00772179" w:rsidRDefault="00000000">
      <w:pPr>
        <w:pStyle w:val="pheading"/>
      </w:pPr>
      <w:r>
        <w:t>- Prescriptions générales</w:t>
      </w:r>
    </w:p>
    <w:p w14:paraId="6CF6D538" w14:textId="77777777" w:rsidR="00772179" w:rsidRDefault="00000000">
      <w:r>
        <w:t>Voir 32.43.1c Isolation à projeter - mousse phénolique (PF)</w:t>
      </w:r>
    </w:p>
    <w:p w14:paraId="545EC88B" w14:textId="77777777" w:rsidR="00772179" w:rsidRDefault="00000000">
      <w:pPr>
        <w:pStyle w:val="pheading"/>
      </w:pPr>
      <w:r>
        <w:t>DOCUMENTS DE RÉFÉRENCE COMPLÉMENTAIRES</w:t>
      </w:r>
    </w:p>
    <w:p w14:paraId="5340586F" w14:textId="77777777" w:rsidR="00772179" w:rsidRDefault="00000000">
      <w:pPr>
        <w:pStyle w:val="pheading"/>
      </w:pPr>
      <w:r>
        <w:t>- Matériau</w:t>
      </w:r>
    </w:p>
    <w:p w14:paraId="668D6F4A" w14:textId="77777777" w:rsidR="00772179" w:rsidRDefault="00000000">
      <w:r>
        <w:t>Voir 32.43.1c Isolation à projeter - mousse phénolique (PF)</w:t>
      </w:r>
    </w:p>
    <w:p w14:paraId="5AF36956" w14:textId="77777777" w:rsidR="00772179" w:rsidRDefault="00000000">
      <w:pPr>
        <w:pStyle w:val="pheading"/>
      </w:pPr>
      <w:r>
        <w:t>MESURAGE</w:t>
      </w:r>
    </w:p>
    <w:p w14:paraId="471CE0F5" w14:textId="77777777" w:rsidR="00772179" w:rsidRDefault="00000000">
      <w:pPr>
        <w:pStyle w:val="pheading"/>
      </w:pPr>
      <w:r>
        <w:t>- unité de mesure:</w:t>
      </w:r>
    </w:p>
    <w:p w14:paraId="39EEF33E" w14:textId="77777777" w:rsidR="00772179" w:rsidRDefault="00000000">
      <w:r>
        <w:t>m²</w:t>
      </w:r>
    </w:p>
    <w:p w14:paraId="1EF65C01" w14:textId="77777777" w:rsidR="00772179" w:rsidRDefault="00000000">
      <w:pPr>
        <w:pStyle w:val="pheading"/>
      </w:pPr>
      <w:r>
        <w:t>- code de mesurage:</w:t>
      </w:r>
    </w:p>
    <w:p w14:paraId="6C345AF7" w14:textId="77777777" w:rsidR="00772179" w:rsidRDefault="00000000">
      <w:r>
        <w:t>Distinction faite suivant l’épaisseur.</w:t>
      </w:r>
    </w:p>
    <w:p w14:paraId="2F92B64F" w14:textId="77777777" w:rsidR="00772179" w:rsidRDefault="00000000">
      <w:r>
        <w:t>Surface nette à exécuter.</w:t>
      </w:r>
    </w:p>
    <w:p w14:paraId="2A68C2DA" w14:textId="77777777" w:rsidR="00772179" w:rsidRDefault="00000000">
      <w:r>
        <w:t>Les ouvertures ≥ 0,5 m² sont déduites.</w:t>
      </w:r>
    </w:p>
    <w:p w14:paraId="1007E9FC" w14:textId="77777777" w:rsidR="00772179" w:rsidRDefault="00000000">
      <w:pPr>
        <w:pStyle w:val="pheading"/>
      </w:pPr>
      <w:r>
        <w:t>- nature du marché:</w:t>
      </w:r>
    </w:p>
    <w:p w14:paraId="1AA81249" w14:textId="77777777" w:rsidR="00772179" w:rsidRDefault="00000000">
      <w:r>
        <w:t>QF</w:t>
      </w:r>
    </w:p>
    <w:p w14:paraId="3CD234AA" w14:textId="77777777" w:rsidR="00772179" w:rsidRDefault="00000000">
      <w:pPr>
        <w:pStyle w:val="Author-eSectionHeading6Numberless"/>
      </w:pPr>
      <w:bookmarkStart w:id="1048" w:name="_Toc220490705"/>
      <w:r>
        <w:t>44.43.1d Isolation à projeter - icynene CCTB 01.02</w:t>
      </w:r>
      <w:bookmarkEnd w:id="1048"/>
    </w:p>
    <w:p w14:paraId="673B35CC" w14:textId="77777777" w:rsidR="00772179" w:rsidRDefault="00000000">
      <w:pPr>
        <w:pStyle w:val="Author-eSectionHeading5Numberless"/>
      </w:pPr>
      <w:bookmarkStart w:id="1049" w:name="_Toc220490706"/>
      <w:r>
        <w:t>44.43.2 Isolation à projeter - matières minérales CCTB 01.07</w:t>
      </w:r>
      <w:bookmarkEnd w:id="1049"/>
    </w:p>
    <w:p w14:paraId="658BBD5B" w14:textId="77777777" w:rsidR="00772179" w:rsidRDefault="00000000">
      <w:pPr>
        <w:pStyle w:val="pheading"/>
      </w:pPr>
      <w:r>
        <w:t>DESCRIPTION</w:t>
      </w:r>
    </w:p>
    <w:p w14:paraId="3CEC3BA1" w14:textId="77777777" w:rsidR="00772179" w:rsidRDefault="00000000">
      <w:pPr>
        <w:pStyle w:val="pheading"/>
      </w:pPr>
      <w:r>
        <w:t>- Définition / Comprend</w:t>
      </w:r>
    </w:p>
    <w:p w14:paraId="4DB854B9" w14:textId="77777777" w:rsidR="00772179" w:rsidRDefault="00000000">
      <w:r>
        <w:t>Il s'agit de la réalisation d'une isolation en matière minérale par projection humide suivant prescriptions de l'élément 32.43.2 Isolation à projeter - matières minérales.</w:t>
      </w:r>
    </w:p>
    <w:p w14:paraId="339710C1" w14:textId="77777777" w:rsidR="00772179" w:rsidRDefault="00000000">
      <w:pPr>
        <w:pStyle w:val="pheading"/>
      </w:pPr>
      <w:r>
        <w:t>DOCUMENTS DE RÉFÉRENCE</w:t>
      </w:r>
    </w:p>
    <w:p w14:paraId="456A83E5" w14:textId="77777777" w:rsidR="00772179" w:rsidRDefault="00000000">
      <w:pPr>
        <w:pStyle w:val="pheading"/>
      </w:pPr>
      <w:r>
        <w:t>- Matériau</w:t>
      </w:r>
    </w:p>
    <w:p w14:paraId="2252C27B" w14:textId="77777777" w:rsidR="00772179" w:rsidRDefault="00000000">
      <w:r>
        <w:t>32.43.2 Isolation à projeter - matières minérales</w:t>
      </w:r>
    </w:p>
    <w:p w14:paraId="5BFBBDCD" w14:textId="77777777" w:rsidR="00772179" w:rsidRDefault="00000000">
      <w:pPr>
        <w:pStyle w:val="pheading"/>
      </w:pPr>
      <w:r>
        <w:t>- Exécution</w:t>
      </w:r>
    </w:p>
    <w:p w14:paraId="63AD487F" w14:textId="77777777" w:rsidR="00772179" w:rsidRDefault="00000000">
      <w:r>
        <w:t>32.43.2 Isolation à projeter - matières minérales</w:t>
      </w:r>
    </w:p>
    <w:p w14:paraId="09C326FA" w14:textId="77777777" w:rsidR="00772179" w:rsidRDefault="00000000">
      <w:pPr>
        <w:pStyle w:val="Author-eSectionHeading6Numberless"/>
      </w:pPr>
      <w:bookmarkStart w:id="1050" w:name="_Toc220490707"/>
      <w:r>
        <w:lastRenderedPageBreak/>
        <w:t>44.43.2a Isolation à projeter - laine de roche (MW) CCTB 01.11</w:t>
      </w:r>
      <w:bookmarkEnd w:id="1050"/>
    </w:p>
    <w:p w14:paraId="1EBAFB72" w14:textId="77777777" w:rsidR="00772179" w:rsidRDefault="00000000">
      <w:pPr>
        <w:pStyle w:val="pheading"/>
      </w:pPr>
      <w:r>
        <w:t>DESCRIPTION</w:t>
      </w:r>
    </w:p>
    <w:p w14:paraId="064D07DA" w14:textId="77777777" w:rsidR="00772179" w:rsidRDefault="00000000">
      <w:pPr>
        <w:pStyle w:val="pheading"/>
      </w:pPr>
      <w:r>
        <w:t>- Définition / Comprend</w:t>
      </w:r>
    </w:p>
    <w:p w14:paraId="5432FBF4" w14:textId="77777777" w:rsidR="00772179" w:rsidRDefault="00000000">
      <w:r>
        <w:t>Il s’agit de la réalisation d’une isolation de type laine minérale (MW - laine de verre / de roche), projetée en adhérence sur un support suivant prescriptions de l'article 32.43.2a Isolation à projeter - laine de roche (MW). Cet isolant est utilisé en tant qu'</w:t>
      </w:r>
      <w:r>
        <w:rPr>
          <w:rStyle w:val="optioncarChar"/>
        </w:rPr>
        <w:t>isolant thermique / protection incendie / correcteur acoustique.</w:t>
      </w:r>
    </w:p>
    <w:p w14:paraId="42F89D9A" w14:textId="77777777" w:rsidR="00772179" w:rsidRDefault="00000000">
      <w:pPr>
        <w:pStyle w:val="pheading"/>
      </w:pPr>
      <w:r>
        <w:t>MATÉRIAUX</w:t>
      </w:r>
    </w:p>
    <w:p w14:paraId="56C2EE3E" w14:textId="77777777" w:rsidR="00772179" w:rsidRDefault="00000000">
      <w:pPr>
        <w:pStyle w:val="pheading"/>
      </w:pPr>
      <w:r>
        <w:t>- Caractéristiques générales</w:t>
      </w:r>
    </w:p>
    <w:p w14:paraId="0F3A9D70" w14:textId="77777777" w:rsidR="00772179" w:rsidRDefault="00000000">
      <w:r>
        <w:t>Voir 32.43.2a Isolation à projeter - laine de roche (MW)</w:t>
      </w:r>
    </w:p>
    <w:p w14:paraId="56B68E27" w14:textId="77777777" w:rsidR="00772179" w:rsidRDefault="00000000">
      <w:r>
        <w:rPr>
          <w:u w:val="single"/>
        </w:rPr>
        <w:t>Spécifications</w:t>
      </w:r>
    </w:p>
    <w:p w14:paraId="34785E69" w14:textId="77777777" w:rsidR="00772179" w:rsidRDefault="00000000">
      <w:pPr>
        <w:pStyle w:val="Author-eListParagraph"/>
        <w:numPr>
          <w:ilvl w:val="0"/>
          <w:numId w:val="1151"/>
        </w:numPr>
      </w:pPr>
      <w:r>
        <w:t xml:space="preserve">Epaisseur : </w:t>
      </w:r>
      <w:r>
        <w:rPr>
          <w:rStyle w:val="optioncarChar"/>
        </w:rPr>
        <w:t>1 / 2 / *** / 15 / 16</w:t>
      </w:r>
      <w:r>
        <w:t xml:space="preserve"> cm _ Tolérance +/- </w:t>
      </w:r>
      <w:r>
        <w:rPr>
          <w:rStyle w:val="optioncarChar"/>
        </w:rPr>
        <w:t>10 / 20</w:t>
      </w:r>
      <w:r>
        <w:t xml:space="preserve"> %</w:t>
      </w:r>
    </w:p>
    <w:p w14:paraId="08CABFBC" w14:textId="77777777" w:rsidR="00772179" w:rsidRDefault="00000000">
      <w:pPr>
        <w:pStyle w:val="Author-eListParagraph"/>
        <w:numPr>
          <w:ilvl w:val="0"/>
          <w:numId w:val="1151"/>
        </w:numPr>
      </w:pPr>
      <w:r>
        <w:t>Masse volumique : ≥ </w:t>
      </w:r>
      <w:r>
        <w:rPr>
          <w:rStyle w:val="optioncarChar"/>
        </w:rPr>
        <w:t xml:space="preserve">140 / 150 / 160 / 170 / 180 / *** </w:t>
      </w:r>
      <w:r>
        <w:t>kg/m³.</w:t>
      </w:r>
    </w:p>
    <w:p w14:paraId="652A3DC0" w14:textId="77777777" w:rsidR="00772179" w:rsidRDefault="00000000">
      <w:pPr>
        <w:pStyle w:val="Author-eListParagraph"/>
        <w:numPr>
          <w:ilvl w:val="0"/>
          <w:numId w:val="1151"/>
        </w:numPr>
      </w:pPr>
      <w:r>
        <w:t xml:space="preserve">Valeur lambda déclaré : ≤ </w:t>
      </w:r>
      <w:r>
        <w:rPr>
          <w:rStyle w:val="optioncarChar"/>
        </w:rPr>
        <w:t>0,004 / 0,045 / 0.050 / *** </w:t>
      </w:r>
      <w:r>
        <w:t>W/mK.</w:t>
      </w:r>
    </w:p>
    <w:p w14:paraId="208FE045" w14:textId="77777777" w:rsidR="00772179" w:rsidRDefault="00000000">
      <w:pPr>
        <w:pStyle w:val="Author-eListParagraph"/>
        <w:numPr>
          <w:ilvl w:val="0"/>
          <w:numId w:val="1151"/>
        </w:numPr>
      </w:pPr>
      <w:r>
        <w:t xml:space="preserve">Réaction au feu : </w:t>
      </w:r>
      <w:r>
        <w:rPr>
          <w:rStyle w:val="optioncarChar"/>
        </w:rPr>
        <w:t>A1 / ***</w:t>
      </w:r>
    </w:p>
    <w:p w14:paraId="4A9B71A9" w14:textId="77777777" w:rsidR="00772179" w:rsidRDefault="00000000">
      <w:pPr>
        <w:pStyle w:val="Author-eListParagraph"/>
        <w:numPr>
          <w:ilvl w:val="0"/>
          <w:numId w:val="1151"/>
        </w:numPr>
      </w:pPr>
      <w:r>
        <w:t xml:space="preserve">Absorption acoustique (coefficient de Sabine alpha) : </w:t>
      </w:r>
      <w:r>
        <w:rPr>
          <w:rStyle w:val="optioncarChar"/>
        </w:rPr>
        <w:t>0,90 / ***</w:t>
      </w:r>
    </w:p>
    <w:p w14:paraId="48643BE2" w14:textId="77777777" w:rsidR="00772179" w:rsidRDefault="00000000">
      <w:pPr>
        <w:pStyle w:val="Author-eListParagraph"/>
        <w:numPr>
          <w:ilvl w:val="0"/>
          <w:numId w:val="1151"/>
        </w:numPr>
      </w:pPr>
      <w:r>
        <w:t xml:space="preserve">Stabilité au feu : </w:t>
      </w:r>
      <w:r>
        <w:rPr>
          <w:rStyle w:val="optioncarChar"/>
        </w:rPr>
        <w:t>1 / 6 / ***</w:t>
      </w:r>
      <w:r>
        <w:t xml:space="preserve"> h.</w:t>
      </w:r>
    </w:p>
    <w:p w14:paraId="485A1EA0" w14:textId="77777777" w:rsidR="00772179" w:rsidRDefault="00000000">
      <w:pPr>
        <w:pStyle w:val="Author-eListParagraph"/>
        <w:numPr>
          <w:ilvl w:val="0"/>
          <w:numId w:val="1151"/>
        </w:numPr>
      </w:pPr>
      <w:r>
        <w:t xml:space="preserve">Résistance au feu : </w:t>
      </w:r>
      <w:r>
        <w:rPr>
          <w:rStyle w:val="optioncarChar"/>
        </w:rPr>
        <w:t>1 / 6 / ***</w:t>
      </w:r>
      <w:r>
        <w:t xml:space="preserve"> h.</w:t>
      </w:r>
    </w:p>
    <w:p w14:paraId="4455AB94" w14:textId="77777777" w:rsidR="00772179" w:rsidRDefault="00000000">
      <w:pPr>
        <w:pStyle w:val="pheading"/>
      </w:pPr>
      <w:r>
        <w:t>- Finitions</w:t>
      </w:r>
    </w:p>
    <w:p w14:paraId="25A4233C" w14:textId="77777777" w:rsidR="00772179" w:rsidRDefault="00000000">
      <w:r>
        <w:t>Voir 32.43.2a Isolation à projeter - laine de roche (MW)</w:t>
      </w:r>
    </w:p>
    <w:p w14:paraId="24E87FCD" w14:textId="77777777" w:rsidR="00772179" w:rsidRDefault="00000000">
      <w:r>
        <w:t xml:space="preserve">Teinte finale : </w:t>
      </w:r>
      <w:r>
        <w:rPr>
          <w:rStyle w:val="optioncarChar"/>
        </w:rPr>
        <w:t>blanc cassé / gris / ***</w:t>
      </w:r>
      <w:r>
        <w:t xml:space="preserve"> .</w:t>
      </w:r>
      <w:r>
        <w:br/>
        <w:t xml:space="preserve">Finition : </w:t>
      </w:r>
      <w:r>
        <w:rPr>
          <w:rStyle w:val="optioncarChar"/>
        </w:rPr>
        <w:t>roulée / compressée</w:t>
      </w:r>
      <w:r>
        <w:t>.</w:t>
      </w:r>
    </w:p>
    <w:p w14:paraId="067BAE7F" w14:textId="77777777" w:rsidR="00772179" w:rsidRDefault="00000000">
      <w:pPr>
        <w:pStyle w:val="pheading"/>
      </w:pPr>
      <w:r>
        <w:t>- Prescriptions complémentaires</w:t>
      </w:r>
    </w:p>
    <w:p w14:paraId="51E1FB81" w14:textId="77777777" w:rsidR="00772179" w:rsidRDefault="00000000">
      <w:r>
        <w:t>Voir 32.43.2a Isolation à projeter - laine de roche (MW)</w:t>
      </w:r>
    </w:p>
    <w:p w14:paraId="657A54A2" w14:textId="77777777" w:rsidR="00772179" w:rsidRDefault="00000000">
      <w:r>
        <w:t xml:space="preserve">L'isolant sera ultérieurement traité par </w:t>
      </w:r>
      <w:r>
        <w:rPr>
          <w:rStyle w:val="optioncarChar"/>
        </w:rPr>
        <w:t xml:space="preserve">imprégnation de surface / peinture </w:t>
      </w:r>
      <w:r>
        <w:t xml:space="preserve"> (prescrite et comptabilisée dans le cadre du tome </w:t>
      </w:r>
      <w:r>
        <w:rPr>
          <w:rStyle w:val="facultChar"/>
        </w:rPr>
        <w:t>8 T8 Travaux de peinture / Traitements de surface).</w:t>
      </w:r>
    </w:p>
    <w:p w14:paraId="210DC3B7" w14:textId="77777777" w:rsidR="00772179" w:rsidRDefault="00000000">
      <w:pPr>
        <w:pStyle w:val="pheading"/>
      </w:pPr>
      <w:r>
        <w:t>EXÉCUTION / MISE EN ŒUVRE</w:t>
      </w:r>
    </w:p>
    <w:p w14:paraId="2819F66F" w14:textId="77777777" w:rsidR="00772179" w:rsidRDefault="00000000">
      <w:pPr>
        <w:pStyle w:val="pheading"/>
      </w:pPr>
      <w:r>
        <w:t>- Prescriptions générales</w:t>
      </w:r>
    </w:p>
    <w:p w14:paraId="070FC796" w14:textId="77777777" w:rsidR="00772179" w:rsidRDefault="00000000">
      <w:r>
        <w:t>Voir 32.43.2a Isolation à projeter - laine de roche (MW)</w:t>
      </w:r>
    </w:p>
    <w:p w14:paraId="03686F02" w14:textId="77777777" w:rsidR="00772179" w:rsidRDefault="00000000">
      <w:pPr>
        <w:pStyle w:val="pheading"/>
      </w:pPr>
      <w:r>
        <w:t>- Notes d’exécution complémentaires</w:t>
      </w:r>
    </w:p>
    <w:p w14:paraId="587744F7" w14:textId="77777777" w:rsidR="00772179" w:rsidRDefault="00000000">
      <w:r>
        <w:t>Voir 32.43.2a Isolation à projeter - laine de roche (MW)</w:t>
      </w:r>
    </w:p>
    <w:p w14:paraId="729D9C22" w14:textId="77777777" w:rsidR="00772179" w:rsidRDefault="00000000">
      <w:r>
        <w:t>Réglé à épaisseur par raclage.</w:t>
      </w:r>
      <w:r>
        <w:br/>
      </w:r>
    </w:p>
    <w:p w14:paraId="237BAD7A" w14:textId="77777777" w:rsidR="00772179" w:rsidRDefault="00000000">
      <w:pPr>
        <w:pStyle w:val="pheading"/>
      </w:pPr>
      <w:r>
        <w:t>DOCUMENTS DE RÉFÉRENCE COMPLÉMENTAIRES</w:t>
      </w:r>
    </w:p>
    <w:p w14:paraId="5ABAF52A" w14:textId="77777777" w:rsidR="00772179" w:rsidRDefault="00000000">
      <w:pPr>
        <w:pStyle w:val="pheading"/>
      </w:pPr>
      <w:r>
        <w:t>- Matériau</w:t>
      </w:r>
    </w:p>
    <w:p w14:paraId="515C2FE9" w14:textId="77777777" w:rsidR="00772179" w:rsidRDefault="00000000">
      <w:r>
        <w:t>32.43.2a Isolation à projeter - laine de roche (MW)</w:t>
      </w:r>
    </w:p>
    <w:p w14:paraId="58A6EDD0" w14:textId="77777777" w:rsidR="00772179" w:rsidRDefault="00000000">
      <w:pPr>
        <w:pStyle w:val="pheading"/>
      </w:pPr>
      <w:r>
        <w:t>- Exécution</w:t>
      </w:r>
    </w:p>
    <w:p w14:paraId="16FE1B2F" w14:textId="77777777" w:rsidR="00772179" w:rsidRDefault="00000000">
      <w:r>
        <w:t>32.43.2a Isolation à projeter - laine de roche (MW)</w:t>
      </w:r>
    </w:p>
    <w:p w14:paraId="2D658CA7" w14:textId="77777777" w:rsidR="00772179" w:rsidRDefault="00000000">
      <w:pPr>
        <w:pStyle w:val="pheading"/>
      </w:pPr>
      <w:r>
        <w:t>MESURAGE</w:t>
      </w:r>
    </w:p>
    <w:p w14:paraId="2BD1AD73" w14:textId="77777777" w:rsidR="00772179" w:rsidRDefault="00000000">
      <w:pPr>
        <w:pStyle w:val="pheading"/>
      </w:pPr>
      <w:r>
        <w:t>- unité de mesure:</w:t>
      </w:r>
    </w:p>
    <w:p w14:paraId="25F7D2E5" w14:textId="77777777" w:rsidR="00772179" w:rsidRDefault="00000000">
      <w:r>
        <w:t>m²</w:t>
      </w:r>
    </w:p>
    <w:p w14:paraId="2F6264EC" w14:textId="77777777" w:rsidR="00772179" w:rsidRDefault="00000000">
      <w:pPr>
        <w:pStyle w:val="pheading"/>
      </w:pPr>
      <w:r>
        <w:lastRenderedPageBreak/>
        <w:t>- code de mesurage:</w:t>
      </w:r>
    </w:p>
    <w:p w14:paraId="6CC68161" w14:textId="77777777" w:rsidR="00772179" w:rsidRDefault="00000000">
      <w:r>
        <w:t>Surface nette mise en œuvre. Les ouvertures ≥ 0,5 m2 sont déduites, retours comptés. Distinction faite suivant l'épaisseur.</w:t>
      </w:r>
    </w:p>
    <w:p w14:paraId="165E69AA" w14:textId="77777777" w:rsidR="00772179" w:rsidRDefault="00000000">
      <w:pPr>
        <w:pStyle w:val="pheading"/>
      </w:pPr>
      <w:r>
        <w:t>- nature du marché:</w:t>
      </w:r>
    </w:p>
    <w:p w14:paraId="3F086950" w14:textId="77777777" w:rsidR="00772179" w:rsidRDefault="00000000">
      <w:r>
        <w:t>QF</w:t>
      </w:r>
    </w:p>
    <w:p w14:paraId="40BCF1A3" w14:textId="77777777" w:rsidR="00772179" w:rsidRDefault="00000000">
      <w:pPr>
        <w:pStyle w:val="Author-eSectionHeading6Numberless"/>
      </w:pPr>
      <w:bookmarkStart w:id="1051" w:name="_Toc220490708"/>
      <w:r>
        <w:t>44.43.2b Isolation à projeter - laine de verre (MW) CCTB 01.11</w:t>
      </w:r>
      <w:bookmarkEnd w:id="1051"/>
    </w:p>
    <w:p w14:paraId="2B8ED04F" w14:textId="77777777" w:rsidR="00772179" w:rsidRDefault="00000000">
      <w:pPr>
        <w:pStyle w:val="pheading"/>
      </w:pPr>
      <w:r>
        <w:t>DESCRIPTION</w:t>
      </w:r>
    </w:p>
    <w:p w14:paraId="20DA353A" w14:textId="77777777" w:rsidR="00772179" w:rsidRDefault="00000000">
      <w:pPr>
        <w:pStyle w:val="pheading"/>
      </w:pPr>
      <w:r>
        <w:t>- Définition / Comprend</w:t>
      </w:r>
    </w:p>
    <w:p w14:paraId="6E38B355" w14:textId="77777777" w:rsidR="00772179" w:rsidRDefault="00000000">
      <w:pPr>
        <w:jc w:val="both"/>
      </w:pPr>
      <w:r>
        <w:t>Il s’agit de la fourniture et de la pose d’une isolation thermique projeté en laine de verre pour une application horizontale ou verticale en façade.</w:t>
      </w:r>
    </w:p>
    <w:p w14:paraId="1044A5BD" w14:textId="77777777" w:rsidR="00772179" w:rsidRDefault="00000000">
      <w:pPr>
        <w:pStyle w:val="pheading"/>
      </w:pPr>
      <w:r>
        <w:t>MATÉRIAUX</w:t>
      </w:r>
    </w:p>
    <w:p w14:paraId="3496FFD4" w14:textId="77777777" w:rsidR="00772179" w:rsidRDefault="00000000">
      <w:pPr>
        <w:pStyle w:val="pheading"/>
      </w:pPr>
      <w:r>
        <w:t>- Caractéristiques générales</w:t>
      </w:r>
    </w:p>
    <w:p w14:paraId="1FE13C63" w14:textId="77777777" w:rsidR="00772179" w:rsidRDefault="00000000">
      <w:r>
        <w:t>Le produit est constitué de laine de verre.</w:t>
      </w:r>
      <w:r>
        <w:br/>
        <w:t xml:space="preserve">Épaisseur après projection : </w:t>
      </w:r>
      <w:r>
        <w:rPr>
          <w:rStyle w:val="optioncarChar"/>
        </w:rPr>
        <w:t>***</w:t>
      </w:r>
      <w:r>
        <w:t xml:space="preserve"> cm. La tolérance sur l’épaisseur est de </w:t>
      </w:r>
      <w:r>
        <w:rPr>
          <w:rStyle w:val="optioncarChar"/>
        </w:rPr>
        <w:t>± 2.5 cm</w:t>
      </w:r>
      <w:r>
        <w:t xml:space="preserve"> (par défaut) </w:t>
      </w:r>
      <w:r>
        <w:rPr>
          <w:rStyle w:val="optioncarChar"/>
        </w:rPr>
        <w:t xml:space="preserve">/ 10 / 20 / *** </w:t>
      </w:r>
      <w:r>
        <w:t>%.</w:t>
      </w:r>
      <w:r>
        <w:br/>
        <w:t xml:space="preserve">Masse volumique nominale après projection : ≤ </w:t>
      </w:r>
      <w:r>
        <w:rPr>
          <w:rStyle w:val="optioncarChar"/>
        </w:rPr>
        <w:t xml:space="preserve">55 </w:t>
      </w:r>
      <w:r>
        <w:t>(par défaut)</w:t>
      </w:r>
      <w:r>
        <w:rPr>
          <w:rStyle w:val="optioncarChar"/>
        </w:rPr>
        <w:t xml:space="preserve"> / ***</w:t>
      </w:r>
      <w:r>
        <w:t xml:space="preserve"> kg/m³.</w:t>
      </w:r>
      <w:r>
        <w:br/>
        <w:t>Conductivité thermique (selon [NBN EN 12667] ou selon [NBN EN 12939] pour les produits épais) : valeur λ</w:t>
      </w:r>
      <w:r>
        <w:rPr>
          <w:vertAlign w:val="subscript"/>
        </w:rPr>
        <w:t>D</w:t>
      </w:r>
      <w:r>
        <w:t xml:space="preserve"> ≤ </w:t>
      </w:r>
      <w:r>
        <w:rPr>
          <w:rStyle w:val="optioncarChar"/>
        </w:rPr>
        <w:t>0.036</w:t>
      </w:r>
      <w:r>
        <w:t xml:space="preserve"> (par défaut)</w:t>
      </w:r>
      <w:r>
        <w:rPr>
          <w:rStyle w:val="optioncarChar"/>
        </w:rPr>
        <w:t xml:space="preserve"> / ***</w:t>
      </w:r>
      <w:r>
        <w:t> W/mK.</w:t>
      </w:r>
      <w:r>
        <w:br/>
        <w:t>Réaction au feu selon [NBN EN 13501-1] : </w:t>
      </w:r>
      <w:r>
        <w:rPr>
          <w:rStyle w:val="optioncarChar"/>
        </w:rPr>
        <w:t>A1</w:t>
      </w:r>
      <w:r>
        <w:t> (par défaut)</w:t>
      </w:r>
      <w:r>
        <w:rPr>
          <w:rStyle w:val="optioncarChar"/>
        </w:rPr>
        <w:t xml:space="preserve"> / A2 / B / C / D / E / F </w:t>
      </w:r>
      <w:r>
        <w:t>complétée, le cas échéant par les aspects </w:t>
      </w:r>
      <w:r>
        <w:rPr>
          <w:rStyle w:val="optioncarChar"/>
        </w:rPr>
        <w:t xml:space="preserve">s1 </w:t>
      </w:r>
      <w:r>
        <w:t xml:space="preserve">(par défaut) </w:t>
      </w:r>
      <w:r>
        <w:rPr>
          <w:rStyle w:val="optioncarChar"/>
        </w:rPr>
        <w:t>/ s2 / s3 </w:t>
      </w:r>
      <w:r>
        <w:t xml:space="preserve">et </w:t>
      </w:r>
      <w:r>
        <w:rPr>
          <w:rStyle w:val="optioncarChar"/>
        </w:rPr>
        <w:t>d0</w:t>
      </w:r>
      <w:r>
        <w:t xml:space="preserve"> (par défaut) </w:t>
      </w:r>
      <w:r>
        <w:rPr>
          <w:rStyle w:val="optioncarChar"/>
        </w:rPr>
        <w:t>/ d1 / d2</w:t>
      </w:r>
      <w:r>
        <w:t>.  </w:t>
      </w:r>
      <w:r>
        <w:br/>
        <w:t>Les liants ne contiennent pas de formaldéhyde. Le dégagement mesuré selon la [NBN EN 717-1] est &lt;</w:t>
      </w:r>
      <w:r>
        <w:rPr>
          <w:rStyle w:val="optioncarChar"/>
        </w:rPr>
        <w:t xml:space="preserve"> 0.124 mg/m³  </w:t>
      </w:r>
      <w:r>
        <w:t>(par défaut)</w:t>
      </w:r>
      <w:r>
        <w:rPr>
          <w:rStyle w:val="optioncarChar"/>
        </w:rPr>
        <w:t xml:space="preserve"> / ***</w:t>
      </w:r>
      <w:r>
        <w:t>.  </w:t>
      </w:r>
      <w:r>
        <w:br/>
        <w:t xml:space="preserve">La concentration de pentachlorophénol mesurée selon la [CEN/TR 14823] &lt; </w:t>
      </w:r>
      <w:r>
        <w:rPr>
          <w:rStyle w:val="optioncarChar"/>
        </w:rPr>
        <w:t xml:space="preserve">5 PPM </w:t>
      </w:r>
      <w:r>
        <w:t xml:space="preserve">(par défaut) </w:t>
      </w:r>
      <w:r>
        <w:rPr>
          <w:rStyle w:val="optioncarChar"/>
        </w:rPr>
        <w:t>/ ***</w:t>
      </w:r>
      <w:r>
        <w:t>. </w:t>
      </w:r>
      <w:r>
        <w:br/>
        <w:t xml:space="preserve">Les liants sont issus de </w:t>
      </w:r>
      <w:r>
        <w:rPr>
          <w:rStyle w:val="optioncarChar"/>
        </w:rPr>
        <w:t>matières premières organiques </w:t>
      </w:r>
      <w:r>
        <w:t>(par défaut)</w:t>
      </w:r>
      <w:r>
        <w:rPr>
          <w:rStyle w:val="optioncarChar"/>
        </w:rPr>
        <w:t xml:space="preserve"> / végétales / dérivés pétrochimiques / ***</w:t>
      </w:r>
      <w:r>
        <w:t>.</w:t>
      </w:r>
    </w:p>
    <w:p w14:paraId="1ED669AC" w14:textId="77777777" w:rsidR="00772179" w:rsidRDefault="00000000">
      <w:r>
        <w:t>Applications spécifiques: le matériau doit répondre aux critères d’acceptabilité des produits tels que définis au chapitre 02.42.1 Critères d'acceptabilité.</w:t>
      </w:r>
      <w:r>
        <w:br/>
        <w:t>Absorption d’eau à court terme (selon</w:t>
      </w:r>
      <w:r>
        <w:rPr>
          <w:rStyle w:val="facultChar"/>
        </w:rPr>
        <w:t> [NBN EN ISO 29767]</w:t>
      </w:r>
      <w:r>
        <w:t xml:space="preserve">) : ≤ </w:t>
      </w:r>
      <w:r>
        <w:rPr>
          <w:rStyle w:val="optioncarChar"/>
        </w:rPr>
        <w:t xml:space="preserve">1 kg/m² </w:t>
      </w:r>
      <w:r>
        <w:t xml:space="preserve">(par défaut) </w:t>
      </w:r>
      <w:r>
        <w:rPr>
          <w:rStyle w:val="optioncarChar"/>
        </w:rPr>
        <w:t>/ *** </w:t>
      </w:r>
      <w:r>
        <w:rPr>
          <w:rStyle w:val="facultChar"/>
        </w:rPr>
        <w:t> </w:t>
      </w:r>
      <w:r>
        <w:br/>
        <w:t>Absorption d’eau à long terme (selon</w:t>
      </w:r>
      <w:r>
        <w:rPr>
          <w:rStyle w:val="facultChar"/>
        </w:rPr>
        <w:t> [NBN EN ISO 16535]</w:t>
      </w:r>
      <w:r>
        <w:t xml:space="preserve">) : ≤ </w:t>
      </w:r>
      <w:r>
        <w:rPr>
          <w:rStyle w:val="optioncarChar"/>
        </w:rPr>
        <w:t xml:space="preserve">3 kg/m² </w:t>
      </w:r>
      <w:r>
        <w:t xml:space="preserve">(par défaut) </w:t>
      </w:r>
      <w:r>
        <w:rPr>
          <w:rStyle w:val="optioncarChar"/>
        </w:rPr>
        <w:t>/ *** </w:t>
      </w:r>
      <w:r>
        <w:rPr>
          <w:rStyle w:val="facultChar"/>
        </w:rPr>
        <w:t> </w:t>
      </w:r>
      <w:r>
        <w:br/>
        <w:t xml:space="preserve">Coefficient de résistance à la diffusion de vapeur d’eau – valeur μ (selon </w:t>
      </w:r>
      <w:r>
        <w:rPr>
          <w:rStyle w:val="facultChar"/>
        </w:rPr>
        <w:t>[NBN EN 12086]</w:t>
      </w:r>
      <w:r>
        <w:t>) :</w:t>
      </w:r>
      <w:r>
        <w:rPr>
          <w:rStyle w:val="facultChar"/>
        </w:rPr>
        <w:t> </w:t>
      </w:r>
      <w:r>
        <w:rPr>
          <w:rStyle w:val="optioncarChar"/>
        </w:rPr>
        <w:t xml:space="preserve">1 </w:t>
      </w:r>
      <w:r>
        <w:t>(par défaut)</w:t>
      </w:r>
      <w:r>
        <w:rPr>
          <w:rStyle w:val="optioncarChar"/>
        </w:rPr>
        <w:t xml:space="preserve"> / ***</w:t>
      </w:r>
      <w:r>
        <w:br/>
        <w:t>Absorption acoustique (déterminée selon</w:t>
      </w:r>
      <w:r>
        <w:rPr>
          <w:rStyle w:val="facultChar"/>
        </w:rPr>
        <w:t> [NBN EN ISO 354] </w:t>
      </w:r>
      <w:r>
        <w:t>et</w:t>
      </w:r>
      <w:r>
        <w:rPr>
          <w:rStyle w:val="facultChar"/>
        </w:rPr>
        <w:t> [NBN EN ISO 11654]</w:t>
      </w:r>
      <w:r>
        <w:t>) :</w:t>
      </w:r>
      <w:r>
        <w:rPr>
          <w:rStyle w:val="facultChar"/>
        </w:rPr>
        <w:t> </w:t>
      </w:r>
      <w:r>
        <w:rPr>
          <w:rStyle w:val="optioncarChar"/>
        </w:rPr>
        <w:t>*** </w:t>
      </w:r>
      <w:r>
        <w:br/>
        <w:t xml:space="preserve">La laine de verre produite contient au moins </w:t>
      </w:r>
      <w:r>
        <w:rPr>
          <w:rStyle w:val="optioncarChar"/>
        </w:rPr>
        <w:t xml:space="preserve"> ***</w:t>
      </w:r>
      <w:r>
        <w:t xml:space="preserve"> % de matière recyclée.</w:t>
      </w:r>
    </w:p>
    <w:p w14:paraId="22A0BECF" w14:textId="77777777" w:rsidR="00772179" w:rsidRDefault="00000000">
      <w:pPr>
        <w:pStyle w:val="pheading"/>
      </w:pPr>
      <w:r>
        <w:t>- Finitions</w:t>
      </w:r>
    </w:p>
    <w:p w14:paraId="0BC4BE14" w14:textId="77777777" w:rsidR="00772179" w:rsidRDefault="00000000">
      <w:r>
        <w:t>Teinte finale : </w:t>
      </w:r>
      <w:r>
        <w:rPr>
          <w:rStyle w:val="optioncarChar"/>
        </w:rPr>
        <w:t xml:space="preserve">non spécifiée </w:t>
      </w:r>
      <w:r>
        <w:t>(par défaut)</w:t>
      </w:r>
      <w:r>
        <w:rPr>
          <w:rStyle w:val="optioncarChar"/>
        </w:rPr>
        <w:t xml:space="preserve"> / blanc cassé / gris / ***</w:t>
      </w:r>
    </w:p>
    <w:p w14:paraId="15BCC58F" w14:textId="77777777" w:rsidR="00772179" w:rsidRDefault="00000000">
      <w:pPr>
        <w:pStyle w:val="pheading"/>
      </w:pPr>
      <w:r>
        <w:t>EXÉCUTION / MISE EN ŒUVRE</w:t>
      </w:r>
    </w:p>
    <w:p w14:paraId="05F3AC96" w14:textId="77777777" w:rsidR="00772179" w:rsidRDefault="00000000">
      <w:pPr>
        <w:pStyle w:val="pheading"/>
      </w:pPr>
      <w:r>
        <w:t>- Prescriptions générales</w:t>
      </w:r>
    </w:p>
    <w:p w14:paraId="70309B5B" w14:textId="77777777" w:rsidR="00772179" w:rsidRDefault="00000000">
      <w:r>
        <w:t>La projection est réalisée par machine permettant le broyage, le mélange avec le liant et la projection sous pression de la laine de verre.</w:t>
      </w:r>
      <w:r>
        <w:br/>
        <w:t>La matière première est livrée sur chantier au plus près de la date d’application (≤ 3 jours). Elle est stockée à l'abri des intempéries et dans un local sec.</w:t>
      </w:r>
      <w:r>
        <w:br/>
        <w:t xml:space="preserve">La surface sur laquelle la laine de verre est projetée est nettoyée. Un primaire d’accrochage est appliqué </w:t>
      </w:r>
      <w:r>
        <w:rPr>
          <w:rStyle w:val="optioncarChar"/>
        </w:rPr>
        <w:t xml:space="preserve">sur l’entièreté de la surface </w:t>
      </w:r>
      <w:r>
        <w:t xml:space="preserve">(par défaut) </w:t>
      </w:r>
      <w:r>
        <w:rPr>
          <w:rStyle w:val="optioncarChar"/>
        </w:rPr>
        <w:t>/ sur les zones dégradées / ***</w:t>
      </w:r>
      <w:r>
        <w:br/>
        <w:t xml:space="preserve">La laine de verre projetée est </w:t>
      </w:r>
      <w:r>
        <w:rPr>
          <w:rStyle w:val="optioncarChar"/>
        </w:rPr>
        <w:t>rectifiée</w:t>
      </w:r>
      <w:r>
        <w:t xml:space="preserve"> (par défaut)</w:t>
      </w:r>
      <w:r>
        <w:rPr>
          <w:rStyle w:val="optioncarChar"/>
        </w:rPr>
        <w:t xml:space="preserve"> / talochée / laissée sans modification / ***</w:t>
      </w:r>
      <w:r>
        <w:t>. Les zones ne recevant pas d’isolant projeté sont protégées.</w:t>
      </w:r>
      <w:r>
        <w:br/>
        <w:t>L’isolant n'est jamais mis en contact direct avec les dispositifs d’éclairage encastrés.</w:t>
      </w:r>
      <w:r>
        <w:br/>
        <w:t xml:space="preserve">Les mesures de protection lors de la mise en œuvre de la laine de verre incluent de porter les </w:t>
      </w:r>
      <w:r>
        <w:lastRenderedPageBreak/>
        <w:t>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14:paraId="13C4D9FD" w14:textId="77777777" w:rsidR="00772179" w:rsidRDefault="00000000">
      <w:pPr>
        <w:pStyle w:val="pheading"/>
      </w:pPr>
      <w:r>
        <w:t>DOCUMENTS DE RÉFÉRENCE COMPLÉMENTAIRES</w:t>
      </w:r>
    </w:p>
    <w:p w14:paraId="01EB6FFE" w14:textId="77777777" w:rsidR="00772179" w:rsidRDefault="00000000">
      <w:pPr>
        <w:pStyle w:val="pheading"/>
      </w:pPr>
      <w:r>
        <w:t>- Matériau</w:t>
      </w:r>
    </w:p>
    <w:p w14:paraId="403415C7"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934371B" w14:textId="77777777" w:rsidR="00772179"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5332E00C" w14:textId="77777777" w:rsidR="00772179" w:rsidRDefault="00000000">
      <w:r>
        <w:t>[NBN EN 1097-3, Essais pour déterminer les caractéristiques mécaniques et physiques des granulats - Partie 3: Méthode pour la détermination de la masse volumique en vrac et de la porosité intergranulaire]</w:t>
      </w:r>
    </w:p>
    <w:p w14:paraId="61CA1302" w14:textId="77777777" w:rsidR="00772179" w:rsidRDefault="00000000">
      <w:r>
        <w:t>[NBN EN 933-5, Essais pour déterminer les caractéristiques géométriques des granulats - Partie 5 : Détermination du pourcentage de surfaces cassées dans les gravillons et graves naturelles]</w:t>
      </w:r>
    </w:p>
    <w:p w14:paraId="20482E16" w14:textId="77777777" w:rsidR="00772179" w:rsidRDefault="00000000">
      <w:r>
        <w:t>[NBN EN 933-1, Essais pour déterminer les caractéristiques géométriques des granulats - Partie 1 : Détermination de la granularité - Analyse granulométrique par tamisage]</w:t>
      </w:r>
    </w:p>
    <w:p w14:paraId="0C1CCD39" w14:textId="77777777" w:rsidR="00772179" w:rsidRDefault="00000000">
      <w:r>
        <w:t>[NBN EN 1097-6, Essais pour déterminer les caractéristiques mécaniques et physiques des granulats - Partie 6 : Détermination de la masse volumique et du coefficient d'absorption d'eau]</w:t>
      </w:r>
    </w:p>
    <w:p w14:paraId="47F9C545" w14:textId="77777777" w:rsidR="00772179" w:rsidRDefault="00000000">
      <w:r>
        <w:t>[NBN EN 1097-10, Essais pour déterminer les caractéristiques mécaniques et physiques des granulats - Partie 10: Hauteur de succion d'eau]</w:t>
      </w:r>
    </w:p>
    <w:p w14:paraId="5411BF6F" w14:textId="77777777" w:rsidR="00772179" w:rsidRDefault="00000000">
      <w:r>
        <w:t>[NBN EN ISO 354, Acoustique - Mesurage de l'absorption acoustique en salle réverbérante (ISO 354:2003)]</w:t>
      </w:r>
    </w:p>
    <w:p w14:paraId="47E9D738" w14:textId="77777777" w:rsidR="00772179" w:rsidRDefault="00000000">
      <w:r>
        <w:t>[NBN EN ISO 11654, Acoustique - Absorbants pour l'utilisation dans les bâtiments - Evaluation de l'absorption acoustique (ISO 11654:1997)]</w:t>
      </w:r>
    </w:p>
    <w:p w14:paraId="70F26DA3" w14:textId="77777777" w:rsidR="00772179" w:rsidRDefault="00000000">
      <w:r>
        <w:t>[NBN EN 13501-1, Classement au feu des produits et éléments de construction - Partie 1: Classement à partir des données d'essais de réaction au feu]</w:t>
      </w:r>
    </w:p>
    <w:p w14:paraId="1F64EE71" w14:textId="77777777" w:rsidR="00772179" w:rsidRDefault="00000000">
      <w:pPr>
        <w:pStyle w:val="pheading"/>
      </w:pPr>
      <w:r>
        <w:t>MESURAGE</w:t>
      </w:r>
    </w:p>
    <w:p w14:paraId="7E1C3200" w14:textId="77777777" w:rsidR="00772179" w:rsidRDefault="00000000">
      <w:pPr>
        <w:pStyle w:val="pheading"/>
      </w:pPr>
      <w:r>
        <w:t>- unité de mesure:</w:t>
      </w:r>
    </w:p>
    <w:p w14:paraId="1AB718BF" w14:textId="77777777" w:rsidR="00772179" w:rsidRDefault="00000000">
      <w:r>
        <w:rPr>
          <w:rStyle w:val="optioncarChar"/>
        </w:rPr>
        <w:t xml:space="preserve">m² </w:t>
      </w:r>
      <w:r>
        <w:t>(par défaut)</w:t>
      </w:r>
      <w:r>
        <w:rPr>
          <w:rStyle w:val="optioncarChar"/>
        </w:rPr>
        <w:t xml:space="preserve"> / m³</w:t>
      </w:r>
    </w:p>
    <w:p w14:paraId="7D3D1CD8" w14:textId="77777777" w:rsidR="00772179" w:rsidRDefault="00000000">
      <w:r>
        <w:rPr>
          <w:b/>
          <w:i/>
        </w:rPr>
        <w:t>(soit par défaut)</w:t>
      </w:r>
    </w:p>
    <w:p w14:paraId="2C8872EC" w14:textId="77777777" w:rsidR="00772179" w:rsidRDefault="00000000">
      <w:r>
        <w:rPr>
          <w:rStyle w:val="soitChar"/>
        </w:rPr>
        <w:t>1.  m²</w:t>
      </w:r>
    </w:p>
    <w:p w14:paraId="09AD834E" w14:textId="77777777" w:rsidR="00772179" w:rsidRDefault="00000000">
      <w:r>
        <w:rPr>
          <w:b/>
          <w:i/>
        </w:rPr>
        <w:t>(soit)</w:t>
      </w:r>
    </w:p>
    <w:p w14:paraId="60930A52" w14:textId="77777777" w:rsidR="00772179" w:rsidRDefault="00000000">
      <w:r>
        <w:rPr>
          <w:rStyle w:val="soitChar"/>
        </w:rPr>
        <w:t>2.  m³</w:t>
      </w:r>
    </w:p>
    <w:p w14:paraId="03FFD478" w14:textId="77777777" w:rsidR="00772179" w:rsidRDefault="00000000">
      <w:pPr>
        <w:pStyle w:val="pheading"/>
      </w:pPr>
      <w:r>
        <w:t>- code de mesurage:</w:t>
      </w:r>
    </w:p>
    <w:p w14:paraId="0886A98F" w14:textId="77777777" w:rsidR="00772179" w:rsidRDefault="00000000">
      <w:pPr>
        <w:jc w:val="both"/>
      </w:pPr>
      <w:r>
        <w:rPr>
          <w:rStyle w:val="optioncarChar"/>
        </w:rPr>
        <w:t>Surface nette</w:t>
      </w:r>
      <w:r>
        <w:t xml:space="preserve"> (par défaut)</w:t>
      </w:r>
      <w:r>
        <w:rPr>
          <w:rStyle w:val="optioncarChar"/>
        </w:rPr>
        <w:t xml:space="preserve"> / Volume net</w:t>
      </w:r>
    </w:p>
    <w:p w14:paraId="31237BA3" w14:textId="77777777" w:rsidR="00772179" w:rsidRDefault="00000000">
      <w:pPr>
        <w:jc w:val="both"/>
      </w:pPr>
      <w:r>
        <w:rPr>
          <w:b/>
          <w:i/>
        </w:rPr>
        <w:t>(soit par défaut)</w:t>
      </w:r>
    </w:p>
    <w:p w14:paraId="394AE7E5" w14:textId="77777777" w:rsidR="00772179"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 0.5 m² ne sont pas déduites. Distinction faite suivant l'épaisseur.</w:t>
      </w:r>
    </w:p>
    <w:p w14:paraId="09AF0134" w14:textId="77777777" w:rsidR="00772179" w:rsidRDefault="00772179">
      <w:pPr>
        <w:jc w:val="both"/>
      </w:pPr>
    </w:p>
    <w:p w14:paraId="19CDE689" w14:textId="77777777" w:rsidR="00772179" w:rsidRDefault="00000000">
      <w:pPr>
        <w:jc w:val="both"/>
      </w:pPr>
      <w:r>
        <w:rPr>
          <w:b/>
          <w:i/>
        </w:rPr>
        <w:t>(soit)</w:t>
      </w:r>
    </w:p>
    <w:p w14:paraId="0B11C38E" w14:textId="77777777" w:rsidR="00772179" w:rsidRDefault="00772179">
      <w:pPr>
        <w:jc w:val="both"/>
      </w:pPr>
    </w:p>
    <w:p w14:paraId="4387D163" w14:textId="77777777" w:rsidR="00772179" w:rsidRDefault="00000000">
      <w:pPr>
        <w:jc w:val="both"/>
      </w:pPr>
      <w:r>
        <w:rPr>
          <w:rStyle w:val="soitChar"/>
        </w:rPr>
        <w:lastRenderedPageBreak/>
        <w:t xml:space="preserve">2. </w:t>
      </w:r>
      <w:r>
        <w:rPr>
          <w:rStyle w:val="soitChar"/>
          <w:b/>
        </w:rPr>
        <w:t>Volume net</w:t>
      </w:r>
      <w:r>
        <w:rPr>
          <w:rStyle w:val="soitChar"/>
        </w:rPr>
        <w:t xml:space="preserve"> à mettre en œuvre, sans déduction des éléments de structure interposés (chevrons / fermes / solives / …). Les ouvertures ≥ 0,5 m² multipliées par l’épaisseur à réaliser sont déduites. Distinction faite suivant l’épaisseur.</w:t>
      </w:r>
    </w:p>
    <w:p w14:paraId="4C78A2A6" w14:textId="77777777" w:rsidR="00772179" w:rsidRDefault="00000000">
      <w:pPr>
        <w:pStyle w:val="pheading"/>
      </w:pPr>
      <w:r>
        <w:t>- nature du marché:</w:t>
      </w:r>
    </w:p>
    <w:p w14:paraId="4B04926C" w14:textId="77777777" w:rsidR="00772179" w:rsidRDefault="00000000">
      <w:r>
        <w:t>QF</w:t>
      </w:r>
    </w:p>
    <w:p w14:paraId="09720417" w14:textId="77777777" w:rsidR="00772179" w:rsidRDefault="00000000">
      <w:pPr>
        <w:pStyle w:val="Author-eSectionHeading5Numberless"/>
      </w:pPr>
      <w:bookmarkStart w:id="1052" w:name="_Toc220490709"/>
      <w:r>
        <w:t>44.43.3 Isolation à projeter - matières végétales CCTB 01.02</w:t>
      </w:r>
      <w:bookmarkEnd w:id="1052"/>
    </w:p>
    <w:p w14:paraId="7613AB70" w14:textId="77777777" w:rsidR="00772179" w:rsidRDefault="00000000">
      <w:pPr>
        <w:pStyle w:val="Author-eSectionHeading6Numberless"/>
      </w:pPr>
      <w:bookmarkStart w:id="1053" w:name="_Toc220490710"/>
      <w:r>
        <w:t>44.43.3a Isolation à projeter - ouate de cellulose CCTB 01.11</w:t>
      </w:r>
      <w:bookmarkEnd w:id="1053"/>
    </w:p>
    <w:p w14:paraId="6BA4D3A8" w14:textId="77777777" w:rsidR="00772179" w:rsidRDefault="00000000">
      <w:pPr>
        <w:pStyle w:val="pheading"/>
      </w:pPr>
      <w:r>
        <w:t>DESCRIPTION</w:t>
      </w:r>
    </w:p>
    <w:p w14:paraId="2D58CA7F" w14:textId="77777777" w:rsidR="00772179" w:rsidRDefault="00000000">
      <w:pPr>
        <w:pStyle w:val="pheading"/>
      </w:pPr>
      <w:r>
        <w:t>- Définition / Comprend</w:t>
      </w:r>
    </w:p>
    <w:p w14:paraId="425D245B" w14:textId="77777777" w:rsidR="00772179" w:rsidRDefault="00000000">
      <w:r>
        <w:t>Il s’agit de la réalisation d’une isolation de type flocage d'ouate de cellulose, projetée en adhérence sur un support suivant prescriptions de l'article 32.43.3a Isolation à projeter - ouate de cellulose.</w:t>
      </w:r>
    </w:p>
    <w:p w14:paraId="0A489612" w14:textId="77777777" w:rsidR="00772179" w:rsidRDefault="00000000">
      <w:pPr>
        <w:pStyle w:val="pheading"/>
      </w:pPr>
      <w:r>
        <w:t>MATÉRIAUX</w:t>
      </w:r>
    </w:p>
    <w:p w14:paraId="1DB1F04E" w14:textId="77777777" w:rsidR="00772179" w:rsidRDefault="00000000">
      <w:pPr>
        <w:pStyle w:val="pheading"/>
      </w:pPr>
      <w:r>
        <w:t>- Caractéristiques générales</w:t>
      </w:r>
    </w:p>
    <w:p w14:paraId="4E5CA9EA" w14:textId="77777777" w:rsidR="00772179" w:rsidRDefault="00000000">
      <w:r>
        <w:t>Voir 32.43.3a Isolation à projeter - ouate de cellulose</w:t>
      </w:r>
    </w:p>
    <w:p w14:paraId="53EF5E15" w14:textId="77777777" w:rsidR="00772179" w:rsidRDefault="00000000">
      <w:r>
        <w:t xml:space="preserve">La ouate de cellulose provient de </w:t>
      </w:r>
      <w:r>
        <w:rPr>
          <w:rStyle w:val="optioncarChar"/>
        </w:rPr>
        <w:t>papiers imprimés recyclés / chutes de papiers neufs non imprimés</w:t>
      </w:r>
      <w:r>
        <w:t>. </w:t>
      </w:r>
    </w:p>
    <w:p w14:paraId="20F930EF" w14:textId="77777777" w:rsidR="00772179" w:rsidRDefault="00000000">
      <w:r>
        <w:rPr>
          <w:u w:val="single"/>
        </w:rPr>
        <w:t>Spécifications</w:t>
      </w:r>
    </w:p>
    <w:p w14:paraId="12D70A7B" w14:textId="77777777" w:rsidR="00772179" w:rsidRDefault="00000000">
      <w:pPr>
        <w:pStyle w:val="Author-eListParagraph"/>
        <w:numPr>
          <w:ilvl w:val="0"/>
          <w:numId w:val="1152"/>
        </w:numPr>
      </w:pPr>
      <w:r>
        <w:t xml:space="preserve">Epaisseur : </w:t>
      </w:r>
      <w:r>
        <w:rPr>
          <w:rStyle w:val="optioncarChar"/>
        </w:rPr>
        <w:t xml:space="preserve">1 / 2 </w:t>
      </w:r>
      <w:r>
        <w:t xml:space="preserve"> cm-Tolérance +/- </w:t>
      </w:r>
      <w:r>
        <w:rPr>
          <w:rStyle w:val="optioncarChar"/>
        </w:rPr>
        <w:t>10 / 20</w:t>
      </w:r>
      <w:r>
        <w:t xml:space="preserve"> %</w:t>
      </w:r>
    </w:p>
    <w:p w14:paraId="5EB9D95D" w14:textId="77777777" w:rsidR="00772179" w:rsidRDefault="00000000">
      <w:pPr>
        <w:pStyle w:val="Author-eListParagraph"/>
        <w:numPr>
          <w:ilvl w:val="0"/>
          <w:numId w:val="1152"/>
        </w:numPr>
      </w:pPr>
      <w:r>
        <w:t>Masse volumique :  ≥ </w:t>
      </w:r>
      <w:r>
        <w:rPr>
          <w:rStyle w:val="optioncarChar"/>
        </w:rPr>
        <w:t xml:space="preserve">30 </w:t>
      </w:r>
      <w:r>
        <w:t xml:space="preserve">(par défaut) </w:t>
      </w:r>
      <w:r>
        <w:rPr>
          <w:rStyle w:val="optioncarChar"/>
        </w:rPr>
        <w:t>/</w:t>
      </w:r>
      <w:r>
        <w:t> </w:t>
      </w:r>
      <w:r>
        <w:rPr>
          <w:rStyle w:val="optioncarChar"/>
        </w:rPr>
        <w:t xml:space="preserve">60 </w:t>
      </w:r>
      <w:r>
        <w:t>(par défaut)</w:t>
      </w:r>
      <w:r>
        <w:rPr>
          <w:rStyle w:val="optioncarChar"/>
        </w:rPr>
        <w:t xml:space="preserve"> / ***</w:t>
      </w:r>
      <w:r>
        <w:t xml:space="preserve"> kg/m³.</w:t>
      </w:r>
    </w:p>
    <w:p w14:paraId="1AD4A5F8" w14:textId="77777777" w:rsidR="00772179" w:rsidRDefault="00000000">
      <w:pPr>
        <w:pStyle w:val="Author-eListParagraph"/>
        <w:numPr>
          <w:ilvl w:val="0"/>
          <w:numId w:val="1152"/>
        </w:numPr>
      </w:pPr>
      <w:r>
        <w:t xml:space="preserve">Valeur lambda déclaré : ≤ </w:t>
      </w:r>
      <w:r>
        <w:rPr>
          <w:rStyle w:val="optioncarChar"/>
        </w:rPr>
        <w:t xml:space="preserve">0,040 </w:t>
      </w:r>
      <w:r>
        <w:t>(par défaut)</w:t>
      </w:r>
      <w:r>
        <w:rPr>
          <w:rStyle w:val="optioncarChar"/>
        </w:rPr>
        <w:t xml:space="preserve"> / *** </w:t>
      </w:r>
      <w:r>
        <w:t>W/mK.</w:t>
      </w:r>
    </w:p>
    <w:p w14:paraId="6AEFE51F" w14:textId="77777777" w:rsidR="00772179" w:rsidRDefault="00000000">
      <w:pPr>
        <w:pStyle w:val="Author-eListParagraph"/>
        <w:numPr>
          <w:ilvl w:val="0"/>
          <w:numId w:val="1152"/>
        </w:numPr>
      </w:pPr>
      <w:r>
        <w:t xml:space="preserve">Réaction au feu : classe </w:t>
      </w:r>
      <w:r>
        <w:rPr>
          <w:rStyle w:val="optioncarChar"/>
        </w:rPr>
        <w:t>E</w:t>
      </w:r>
    </w:p>
    <w:p w14:paraId="1035C1C9" w14:textId="77777777" w:rsidR="00772179" w:rsidRDefault="00000000">
      <w:pPr>
        <w:pStyle w:val="Author-eListParagraph"/>
        <w:numPr>
          <w:ilvl w:val="0"/>
          <w:numId w:val="1152"/>
        </w:numPr>
      </w:pPr>
      <w:r>
        <w:t xml:space="preserve">Perméabilité à la vapeur d'eau µ : </w:t>
      </w:r>
      <w:r>
        <w:rPr>
          <w:rStyle w:val="optioncarChar"/>
        </w:rPr>
        <w:t>1 / 2</w:t>
      </w:r>
      <w:r>
        <w:t>.</w:t>
      </w:r>
    </w:p>
    <w:p w14:paraId="795808AB" w14:textId="77777777" w:rsidR="00772179" w:rsidRDefault="00000000">
      <w:pPr>
        <w:pStyle w:val="pheading"/>
      </w:pPr>
      <w:r>
        <w:t>EXÉCUTION / MISE EN ŒUVRE</w:t>
      </w:r>
    </w:p>
    <w:p w14:paraId="4151815B" w14:textId="77777777" w:rsidR="00772179" w:rsidRDefault="00000000">
      <w:pPr>
        <w:pStyle w:val="pheading"/>
      </w:pPr>
      <w:r>
        <w:t>- Prescriptions générales</w:t>
      </w:r>
    </w:p>
    <w:p w14:paraId="6EDC5600" w14:textId="77777777" w:rsidR="00772179" w:rsidRDefault="00000000">
      <w:r>
        <w:t>Voir 32.43.3a Isolation à projeter - ouate de cellulose</w:t>
      </w:r>
    </w:p>
    <w:p w14:paraId="15DC24F4" w14:textId="77777777" w:rsidR="00772179" w:rsidRDefault="00000000">
      <w:pPr>
        <w:pStyle w:val="pheading"/>
      </w:pPr>
      <w:r>
        <w:t>- Notes d’exécution complémentaires</w:t>
      </w:r>
    </w:p>
    <w:p w14:paraId="39826E4C" w14:textId="77777777" w:rsidR="00772179" w:rsidRDefault="00000000">
      <w:r>
        <w:t>Voir 32.43.3a Isolation à projeter - ouate de cellulose</w:t>
      </w:r>
    </w:p>
    <w:p w14:paraId="5BCE224A" w14:textId="77777777" w:rsidR="00772179" w:rsidRDefault="00000000">
      <w:r>
        <w:rPr>
          <w:rStyle w:val="facultChar"/>
        </w:rPr>
        <w:t>Réglé à épaisseur par raclage.</w:t>
      </w:r>
    </w:p>
    <w:p w14:paraId="0E065211" w14:textId="77777777" w:rsidR="00772179" w:rsidRDefault="00000000">
      <w:pPr>
        <w:pStyle w:val="pheading"/>
      </w:pPr>
      <w:r>
        <w:t>DOCUMENTS DE RÉFÉRENCE COMPLÉMENTAIRES</w:t>
      </w:r>
    </w:p>
    <w:p w14:paraId="23872035" w14:textId="77777777" w:rsidR="00772179" w:rsidRDefault="00000000">
      <w:pPr>
        <w:pStyle w:val="pheading"/>
      </w:pPr>
      <w:r>
        <w:t>- Matériau</w:t>
      </w:r>
    </w:p>
    <w:p w14:paraId="11EB566A" w14:textId="77777777" w:rsidR="00772179" w:rsidRDefault="00000000">
      <w:r>
        <w:t>32.43.3a Isolation à projeter - ouate de cellulose</w:t>
      </w:r>
    </w:p>
    <w:p w14:paraId="0C5EED17" w14:textId="77777777" w:rsidR="00772179" w:rsidRDefault="00000000">
      <w:pPr>
        <w:pStyle w:val="pheading"/>
      </w:pPr>
      <w:r>
        <w:t>- Exécution</w:t>
      </w:r>
    </w:p>
    <w:p w14:paraId="30BA30E5" w14:textId="77777777" w:rsidR="00772179" w:rsidRDefault="00000000">
      <w:r>
        <w:t>32.43.3a Isolation à projeter - ouate de cellulose</w:t>
      </w:r>
    </w:p>
    <w:p w14:paraId="71F29B1A" w14:textId="77777777" w:rsidR="00772179" w:rsidRDefault="00000000">
      <w:pPr>
        <w:pStyle w:val="pheading"/>
      </w:pPr>
      <w:r>
        <w:t>MESURAGE</w:t>
      </w:r>
    </w:p>
    <w:p w14:paraId="03353374" w14:textId="77777777" w:rsidR="00772179" w:rsidRDefault="00000000">
      <w:pPr>
        <w:pStyle w:val="pheading"/>
      </w:pPr>
      <w:r>
        <w:t>- unité de mesure:</w:t>
      </w:r>
    </w:p>
    <w:p w14:paraId="2B03981F" w14:textId="77777777" w:rsidR="00772179" w:rsidRDefault="00000000">
      <w:r>
        <w:t>m²</w:t>
      </w:r>
    </w:p>
    <w:p w14:paraId="43EFB2D5" w14:textId="77777777" w:rsidR="00772179" w:rsidRDefault="00000000">
      <w:pPr>
        <w:pStyle w:val="pheading"/>
      </w:pPr>
      <w:r>
        <w:t>- code de mesurage:</w:t>
      </w:r>
    </w:p>
    <w:p w14:paraId="5DAC707D" w14:textId="77777777" w:rsidR="00772179" w:rsidRDefault="00000000">
      <w:r>
        <w:t>Surface nette mise en œuvre. Les ouvertures ≥ 0,5 m² sont déduites, retours comptés. Distinction faite suivant l'épaisseur.</w:t>
      </w:r>
    </w:p>
    <w:p w14:paraId="3B6466D1" w14:textId="77777777" w:rsidR="00772179" w:rsidRDefault="00000000">
      <w:pPr>
        <w:pStyle w:val="pheading"/>
      </w:pPr>
      <w:r>
        <w:t>- nature du marché:</w:t>
      </w:r>
    </w:p>
    <w:p w14:paraId="15C93FFD" w14:textId="77777777" w:rsidR="00772179" w:rsidRDefault="00000000">
      <w:r>
        <w:lastRenderedPageBreak/>
        <w:t>QF</w:t>
      </w:r>
    </w:p>
    <w:p w14:paraId="64A87B24" w14:textId="77777777" w:rsidR="00772179" w:rsidRDefault="00000000">
      <w:pPr>
        <w:pStyle w:val="Author-eSectionHeading6Numberless"/>
      </w:pPr>
      <w:bookmarkStart w:id="1054" w:name="_Toc220490711"/>
      <w:r>
        <w:t>44.43.3b (titre réservé)</w:t>
      </w:r>
      <w:bookmarkEnd w:id="1054"/>
    </w:p>
    <w:p w14:paraId="2E88F0B1" w14:textId="77777777" w:rsidR="00772179" w:rsidRDefault="00000000">
      <w:pPr>
        <w:pStyle w:val="Author-eSectionHeading4Numberless"/>
      </w:pPr>
      <w:bookmarkStart w:id="1055" w:name="_Toc220490712"/>
      <w:r>
        <w:t>44.44 Isolation à souffler CCTB 01.11</w:t>
      </w:r>
      <w:bookmarkEnd w:id="1055"/>
    </w:p>
    <w:p w14:paraId="56867D42" w14:textId="77777777" w:rsidR="00772179" w:rsidRDefault="00000000">
      <w:pPr>
        <w:pStyle w:val="pheading"/>
      </w:pPr>
      <w:r>
        <w:t>DESCRIPTION</w:t>
      </w:r>
    </w:p>
    <w:p w14:paraId="00802758" w14:textId="77777777" w:rsidR="00772179" w:rsidRDefault="00000000">
      <w:pPr>
        <w:pStyle w:val="pheading"/>
      </w:pPr>
      <w:r>
        <w:t>- Définition / Comprend</w:t>
      </w:r>
    </w:p>
    <w:p w14:paraId="4F7210B1" w14:textId="77777777" w:rsidR="00772179" w:rsidRDefault="00000000">
      <w:r>
        <w:t>Il s’agit de toutes les fournitures et travaux en vue de la réalisation, in situ, d’une isolation sans joint, par insufflation mécanique dans des espaces fermés, suivant prescription de l'élément 32.44 Isolation à souffler mais en relation avec les éléments du tome 4.</w:t>
      </w:r>
    </w:p>
    <w:p w14:paraId="65F73935" w14:textId="77777777" w:rsidR="00772179" w:rsidRDefault="00000000">
      <w:pPr>
        <w:pStyle w:val="pheading"/>
      </w:pPr>
      <w:r>
        <w:t>MATÉRIAUX</w:t>
      </w:r>
    </w:p>
    <w:p w14:paraId="585A8290" w14:textId="77777777" w:rsidR="00772179" w:rsidRDefault="00000000">
      <w:r>
        <w:t>Voir</w:t>
      </w:r>
      <w:r>
        <w:rPr>
          <w:rStyle w:val="normalChar"/>
        </w:rPr>
        <w:t>32.44  Isolation à souffler.</w:t>
      </w:r>
    </w:p>
    <w:p w14:paraId="234FC620" w14:textId="77777777" w:rsidR="00772179" w:rsidRDefault="00000000">
      <w:r>
        <w:rPr>
          <w:rStyle w:val="optioncarChar"/>
        </w:rPr>
        <w:t>Avec sa remise de prix / Avant le début de chantier</w:t>
      </w:r>
      <w:r>
        <w:t>, l’entrepreneur fournit les références des matériaux qu’il souhaite mettre en œuvre.</w:t>
      </w:r>
    </w:p>
    <w:p w14:paraId="46707E1C" w14:textId="77777777" w:rsidR="00772179" w:rsidRDefault="00000000">
      <w:pPr>
        <w:pStyle w:val="pheading"/>
      </w:pPr>
      <w:r>
        <w:t>EXÉCUTION / MISE EN ŒUVRE</w:t>
      </w:r>
    </w:p>
    <w:p w14:paraId="64A2D2C2" w14:textId="77777777" w:rsidR="00772179" w:rsidRDefault="00000000">
      <w:r>
        <w:t>Voir </w:t>
      </w:r>
      <w:r>
        <w:rPr>
          <w:rStyle w:val="normalChar"/>
        </w:rPr>
        <w:t>32.44  Isolation à souffler.</w:t>
      </w:r>
    </w:p>
    <w:p w14:paraId="557C4D78" w14:textId="77777777" w:rsidR="00772179" w:rsidRDefault="00000000">
      <w:r>
        <w:t xml:space="preserve">Le travail est réalisé par une entreprise spécialisée, suivant notamment : </w:t>
      </w:r>
      <w:r>
        <w:rPr>
          <w:rStyle w:val="optioncarChar"/>
        </w:rPr>
        <w:t>Prescriptions du fabricant / ***.</w:t>
      </w:r>
      <w:r>
        <w:br/>
        <w:t xml:space="preserve">La cavité à isoler a une largeur nominale : ≥ </w:t>
      </w:r>
      <w:r>
        <w:rPr>
          <w:rStyle w:val="optioncarChar"/>
        </w:rPr>
        <w:t xml:space="preserve">40 / 50 / *** </w:t>
      </w:r>
      <w:r>
        <w:t>mm.</w:t>
      </w:r>
      <w:r>
        <w:br/>
        <w:t xml:space="preserve">Une fois le travail terminé et conformément aux prescriptions du fabricant, l’entrepreneur fourni : </w:t>
      </w:r>
      <w:r>
        <w:rPr>
          <w:rStyle w:val="optioncarChar"/>
        </w:rPr>
        <w:t>un certificat de densité / une déclaration de conformité / ***</w:t>
      </w:r>
      <w:r>
        <w:t>.</w:t>
      </w:r>
    </w:p>
    <w:p w14:paraId="1CB4CB23" w14:textId="77777777" w:rsidR="00772179" w:rsidRDefault="00000000">
      <w:pPr>
        <w:pStyle w:val="pheading"/>
      </w:pPr>
      <w:r>
        <w:t>CONTRÔLES</w:t>
      </w:r>
    </w:p>
    <w:p w14:paraId="5EE1CFAF" w14:textId="77777777" w:rsidR="00772179" w:rsidRDefault="00000000">
      <w:r>
        <w:t>Voir </w:t>
      </w:r>
      <w:r>
        <w:rPr>
          <w:rStyle w:val="normalChar"/>
        </w:rPr>
        <w:t>32.44  Isolation à souffler.</w:t>
      </w:r>
    </w:p>
    <w:p w14:paraId="17E961D7" w14:textId="77777777" w:rsidR="00772179" w:rsidRDefault="00000000">
      <w:pPr>
        <w:pStyle w:val="pheading"/>
      </w:pPr>
      <w:r>
        <w:t>DOCUMENTS DE RÉFÉRENCE</w:t>
      </w:r>
    </w:p>
    <w:p w14:paraId="6F5B32D8" w14:textId="77777777" w:rsidR="00772179" w:rsidRDefault="00000000">
      <w:pPr>
        <w:pStyle w:val="pheading"/>
      </w:pPr>
      <w:r>
        <w:t>- Matériau</w:t>
      </w:r>
    </w:p>
    <w:p w14:paraId="18BA7C16" w14:textId="77777777" w:rsidR="00772179" w:rsidRDefault="00000000">
      <w:r>
        <w:t>32.44 Isolation à souffler</w:t>
      </w:r>
    </w:p>
    <w:p w14:paraId="453715F5" w14:textId="77777777" w:rsidR="00772179" w:rsidRDefault="00000000">
      <w:pPr>
        <w:pStyle w:val="pheading"/>
      </w:pPr>
      <w:r>
        <w:t>- Exécution</w:t>
      </w:r>
    </w:p>
    <w:p w14:paraId="6D523A28" w14:textId="77777777" w:rsidR="00772179" w:rsidRDefault="00000000">
      <w:r>
        <w:t>32.44 Isolation à souffler</w:t>
      </w:r>
    </w:p>
    <w:p w14:paraId="068E0ECA" w14:textId="77777777" w:rsidR="00772179" w:rsidRDefault="00000000">
      <w:pPr>
        <w:pStyle w:val="pheading"/>
      </w:pPr>
      <w:r>
        <w:t>AIDE</w:t>
      </w:r>
    </w:p>
    <w:p w14:paraId="12DA1169" w14:textId="77777777" w:rsidR="00772179" w:rsidRDefault="00000000">
      <w:r>
        <w:rPr>
          <w:u w:val="single"/>
        </w:rPr>
        <w:t>Note à l'attention de l'auteur de projet</w:t>
      </w:r>
    </w:p>
    <w:p w14:paraId="52DA9B32" w14:textId="77777777" w:rsidR="00772179" w:rsidRDefault="00000000">
      <w:r>
        <w:t>Le domaine d’application et les prescriptions des différents isolants sont vérifiés et adaptés aux éléments du tome 4.</w:t>
      </w:r>
    </w:p>
    <w:p w14:paraId="2780B3E4" w14:textId="77777777" w:rsidR="00772179" w:rsidRDefault="00000000">
      <w:pPr>
        <w:pStyle w:val="Author-eSectionHeading5Numberless"/>
      </w:pPr>
      <w:bookmarkStart w:id="1056" w:name="_Toc220490713"/>
      <w:r>
        <w:t>44.44.1 Isolation à souffler - matières synthétiques CCTB 01.04</w:t>
      </w:r>
      <w:bookmarkEnd w:id="1056"/>
    </w:p>
    <w:p w14:paraId="0F820CCB" w14:textId="77777777" w:rsidR="00772179" w:rsidRDefault="00000000">
      <w:pPr>
        <w:pStyle w:val="pheading"/>
      </w:pPr>
      <w:r>
        <w:t>EXÉCUTION / MISE EN ŒUVRE</w:t>
      </w:r>
    </w:p>
    <w:p w14:paraId="0B318EDB" w14:textId="77777777" w:rsidR="00772179" w:rsidRDefault="00000000">
      <w:r>
        <w:t>Voir32.44.1 Isolation à souffler - matières synthétiques.</w:t>
      </w:r>
    </w:p>
    <w:p w14:paraId="07422980" w14:textId="77777777" w:rsidR="00772179" w:rsidRDefault="00000000">
      <w:pPr>
        <w:pStyle w:val="pheading"/>
      </w:pPr>
      <w:r>
        <w:t>DOCUMENTS DE RÉFÉRENCE</w:t>
      </w:r>
    </w:p>
    <w:p w14:paraId="103EC0FC" w14:textId="77777777" w:rsidR="00772179" w:rsidRDefault="00000000">
      <w:pPr>
        <w:pStyle w:val="pheading"/>
      </w:pPr>
      <w:r>
        <w:t>- Matériau</w:t>
      </w:r>
    </w:p>
    <w:p w14:paraId="527E40D6" w14:textId="77777777" w:rsidR="00772179" w:rsidRDefault="00000000">
      <w:r>
        <w:t>32.44.1 Isolation à souffler - matières synthétiques</w:t>
      </w:r>
    </w:p>
    <w:p w14:paraId="508A41E9" w14:textId="77777777" w:rsidR="00772179" w:rsidRDefault="00000000">
      <w:pPr>
        <w:pStyle w:val="pheading"/>
      </w:pPr>
      <w:r>
        <w:t>- Exécution</w:t>
      </w:r>
    </w:p>
    <w:p w14:paraId="630F5E43" w14:textId="77777777" w:rsidR="00772179" w:rsidRDefault="00000000">
      <w:r>
        <w:t>32.44.1 Isolation à souffler - matières synthétiques</w:t>
      </w:r>
    </w:p>
    <w:p w14:paraId="5FA00947" w14:textId="77777777" w:rsidR="00772179" w:rsidRDefault="00000000">
      <w:pPr>
        <w:pStyle w:val="Author-eSectionHeading6Numberless"/>
      </w:pPr>
      <w:bookmarkStart w:id="1057" w:name="_Toc220490714"/>
      <w:r>
        <w:t>44.44.1a Isolation à souffler - polystyrène expansé (EPS) CCTB 01.11</w:t>
      </w:r>
      <w:bookmarkEnd w:id="1057"/>
    </w:p>
    <w:p w14:paraId="1990D9F0" w14:textId="77777777" w:rsidR="00772179" w:rsidRDefault="00000000">
      <w:pPr>
        <w:pStyle w:val="pheading"/>
      </w:pPr>
      <w:r>
        <w:lastRenderedPageBreak/>
        <w:t>DESCRIPTION</w:t>
      </w:r>
    </w:p>
    <w:p w14:paraId="65058A4D" w14:textId="77777777" w:rsidR="00772179" w:rsidRDefault="00000000">
      <w:pPr>
        <w:pStyle w:val="pheading"/>
      </w:pPr>
      <w:r>
        <w:t>- Définition / Comprend</w:t>
      </w:r>
    </w:p>
    <w:p w14:paraId="20979C11" w14:textId="77777777" w:rsidR="00772179" w:rsidRDefault="00000000">
      <w:r>
        <w:t>Il s’agit de la fourniture et mise en œuvre d’une isolation réalisée à l’aide de perles en polystyrène expansé, suivant prescription de l'élément 32.44.1a Isolation à souffler - polystyrène expansé (EPS)</w:t>
      </w:r>
    </w:p>
    <w:p w14:paraId="734B07D2" w14:textId="77777777" w:rsidR="00772179" w:rsidRDefault="00000000">
      <w:pPr>
        <w:pStyle w:val="pheading"/>
      </w:pPr>
      <w:r>
        <w:t>MATÉRIAUX</w:t>
      </w:r>
    </w:p>
    <w:p w14:paraId="207806B7" w14:textId="77777777" w:rsidR="00772179" w:rsidRDefault="00000000">
      <w:pPr>
        <w:pStyle w:val="pheading"/>
      </w:pPr>
      <w:r>
        <w:t>- Caractéristiques générales</w:t>
      </w:r>
    </w:p>
    <w:p w14:paraId="37A66509" w14:textId="77777777" w:rsidR="00772179" w:rsidRDefault="00000000">
      <w:r>
        <w:t>Voir 32.44.1a Isolation à souffler - polystyrène expansé (EPS).</w:t>
      </w:r>
    </w:p>
    <w:p w14:paraId="057ED9D9" w14:textId="77777777" w:rsidR="00772179" w:rsidRDefault="00000000">
      <w:r>
        <w:rPr>
          <w:u w:val="single"/>
        </w:rPr>
        <w:t>Spécifications</w:t>
      </w:r>
    </w:p>
    <w:p w14:paraId="6E78098F" w14:textId="77777777" w:rsidR="00772179" w:rsidRDefault="00000000">
      <w:pPr>
        <w:pStyle w:val="Author-eListParagraph"/>
        <w:numPr>
          <w:ilvl w:val="0"/>
          <w:numId w:val="1153"/>
        </w:numPr>
      </w:pPr>
      <w:r>
        <w:t xml:space="preserve">Épaisseur : </w:t>
      </w:r>
      <w:r>
        <w:rPr>
          <w:rStyle w:val="optioncarChar"/>
        </w:rPr>
        <w:t xml:space="preserve">*** </w:t>
      </w:r>
      <w:r>
        <w:t>cm.</w:t>
      </w:r>
    </w:p>
    <w:p w14:paraId="0E13A7D7" w14:textId="77777777" w:rsidR="00772179" w:rsidRDefault="00000000">
      <w:pPr>
        <w:pStyle w:val="Author-eListParagraph"/>
        <w:numPr>
          <w:ilvl w:val="0"/>
          <w:numId w:val="1153"/>
        </w:numPr>
      </w:pPr>
      <w:r>
        <w:t xml:space="preserve">Densité : </w:t>
      </w:r>
      <w:r>
        <w:rPr>
          <w:rStyle w:val="optioncarChar"/>
        </w:rPr>
        <w:t>14-15</w:t>
      </w:r>
      <w:r>
        <w:t xml:space="preserve"> g/litres ou </w:t>
      </w:r>
      <w:r>
        <w:rPr>
          <w:rStyle w:val="optioncarChar"/>
        </w:rPr>
        <w:t>14-15</w:t>
      </w:r>
      <w:r>
        <w:t xml:space="preserve"> Kg/m³, suivant </w:t>
      </w:r>
      <w:r>
        <w:rPr>
          <w:rStyle w:val="optioncarChar"/>
        </w:rPr>
        <w:t>***</w:t>
      </w:r>
      <w:r>
        <w:t>.</w:t>
      </w:r>
    </w:p>
    <w:p w14:paraId="231AA45F" w14:textId="77777777" w:rsidR="00772179" w:rsidRDefault="00000000">
      <w:pPr>
        <w:pStyle w:val="Author-eListParagraph"/>
        <w:numPr>
          <w:ilvl w:val="0"/>
          <w:numId w:val="1153"/>
        </w:numPr>
      </w:pPr>
      <w:r>
        <w:t xml:space="preserve">Valeur lambda déclaré : ≤ </w:t>
      </w:r>
      <w:r>
        <w:rPr>
          <w:rStyle w:val="optioncarChar"/>
        </w:rPr>
        <w:t xml:space="preserve">0,045 </w:t>
      </w:r>
      <w:r>
        <w:t>(par défaut)</w:t>
      </w:r>
      <w:r>
        <w:rPr>
          <w:rStyle w:val="optioncarChar"/>
        </w:rPr>
        <w:t xml:space="preserve"> / *** </w:t>
      </w:r>
      <w:r>
        <w:t xml:space="preserve"> W/mK , suivant [NBN EN 12667] / </w:t>
      </w:r>
    </w:p>
    <w:p w14:paraId="50208C01" w14:textId="77777777" w:rsidR="00772179" w:rsidRDefault="00000000">
      <w:pPr>
        <w:pStyle w:val="Author-eListParagraph"/>
        <w:numPr>
          <w:ilvl w:val="0"/>
          <w:numId w:val="1153"/>
        </w:numPr>
      </w:pPr>
      <w:r>
        <w:t xml:space="preserve">Stabilité dimensionnelle : </w:t>
      </w:r>
      <w:r>
        <w:rPr>
          <w:rStyle w:val="optioncarChar"/>
        </w:rPr>
        <w:t xml:space="preserve">*** </w:t>
      </w:r>
      <w:r>
        <w:t xml:space="preserve">, suivant </w:t>
      </w:r>
      <w:r>
        <w:rPr>
          <w:rStyle w:val="optioncarChar"/>
        </w:rPr>
        <w:t xml:space="preserve">*** </w:t>
      </w:r>
    </w:p>
    <w:p w14:paraId="0BA7E4BF" w14:textId="77777777" w:rsidR="00772179" w:rsidRDefault="00000000">
      <w:pPr>
        <w:pStyle w:val="Author-eListParagraph"/>
        <w:numPr>
          <w:ilvl w:val="0"/>
          <w:numId w:val="1153"/>
        </w:numPr>
      </w:pPr>
      <w:r>
        <w:t xml:space="preserve">Réaction au feu : </w:t>
      </w:r>
      <w:r>
        <w:rPr>
          <w:rStyle w:val="optioncarChar"/>
        </w:rPr>
        <w:t>E</w:t>
      </w:r>
      <w:r>
        <w:t xml:space="preserve"> (par défaut) </w:t>
      </w:r>
      <w:r>
        <w:rPr>
          <w:rStyle w:val="optioncarChar"/>
        </w:rPr>
        <w:t>/ ***</w:t>
      </w:r>
      <w:r>
        <w:t xml:space="preserve">, suivant </w:t>
      </w:r>
      <w:r>
        <w:rPr>
          <w:rStyle w:val="optioncarChar"/>
        </w:rPr>
        <w:t>*** </w:t>
      </w:r>
      <w:r>
        <w:t xml:space="preserve"> / [NBN EN 13501-1].</w:t>
      </w:r>
    </w:p>
    <w:p w14:paraId="42FF39D2" w14:textId="77777777" w:rsidR="00772179" w:rsidRDefault="00000000">
      <w:pPr>
        <w:pStyle w:val="Author-eListParagraph"/>
        <w:numPr>
          <w:ilvl w:val="0"/>
          <w:numId w:val="1153"/>
        </w:numPr>
      </w:pPr>
      <w:r>
        <w:t xml:space="preserve">Acoustique : </w:t>
      </w:r>
      <w:r>
        <w:rPr>
          <w:rStyle w:val="optioncarChar"/>
        </w:rPr>
        <w:t xml:space="preserve">*** </w:t>
      </w:r>
      <w:r>
        <w:t xml:space="preserve">, suivant </w:t>
      </w:r>
      <w:r>
        <w:rPr>
          <w:rStyle w:val="optioncarChar"/>
        </w:rPr>
        <w:t>***</w:t>
      </w:r>
      <w:r>
        <w:t>.</w:t>
      </w:r>
    </w:p>
    <w:p w14:paraId="5459FD3D" w14:textId="77777777" w:rsidR="00772179" w:rsidRDefault="00000000">
      <w:pPr>
        <w:pStyle w:val="Author-eListParagraph"/>
        <w:numPr>
          <w:ilvl w:val="0"/>
          <w:numId w:val="1153"/>
        </w:numPr>
      </w:pPr>
      <w:r>
        <w:t xml:space="preserve">Densité minimale après insufflation : </w:t>
      </w:r>
      <w:r>
        <w:rPr>
          <w:rStyle w:val="optioncarChar"/>
        </w:rPr>
        <w:t>*** </w:t>
      </w:r>
      <w:r>
        <w:t xml:space="preserve"> kg/m³.</w:t>
      </w:r>
    </w:p>
    <w:p w14:paraId="1B54DFBC" w14:textId="77777777" w:rsidR="00772179" w:rsidRDefault="00000000">
      <w:pPr>
        <w:pStyle w:val="pheading"/>
      </w:pPr>
      <w:r>
        <w:t>DOCUMENTS DE RÉFÉRENCE COMPLÉMENTAIRES</w:t>
      </w:r>
    </w:p>
    <w:p w14:paraId="2217E938" w14:textId="77777777" w:rsidR="00772179" w:rsidRDefault="00000000">
      <w:pPr>
        <w:pStyle w:val="pheading"/>
      </w:pPr>
      <w:r>
        <w:t>- Matériau</w:t>
      </w:r>
    </w:p>
    <w:p w14:paraId="0A5ACC7C" w14:textId="77777777" w:rsidR="00772179" w:rsidRDefault="00000000">
      <w:r>
        <w:t>32.44.1a Isolation à souffler - polystyrène expansé (EPS)</w:t>
      </w:r>
    </w:p>
    <w:p w14:paraId="58635AEE" w14:textId="77777777" w:rsidR="00772179" w:rsidRDefault="00000000">
      <w:pPr>
        <w:pStyle w:val="pheading"/>
      </w:pPr>
      <w:r>
        <w:t>- Exécution</w:t>
      </w:r>
    </w:p>
    <w:p w14:paraId="76A44AE7" w14:textId="77777777" w:rsidR="00772179" w:rsidRDefault="00000000">
      <w:r>
        <w:t>32.44.1a Isolation à souffler - polystyrène expansé (EPS)</w:t>
      </w:r>
    </w:p>
    <w:p w14:paraId="17DA7615" w14:textId="77777777" w:rsidR="00772179" w:rsidRDefault="00000000">
      <w:pPr>
        <w:pStyle w:val="pheading"/>
      </w:pPr>
      <w:r>
        <w:t>MESURAGE</w:t>
      </w:r>
    </w:p>
    <w:p w14:paraId="32F0C857" w14:textId="77777777" w:rsidR="00772179" w:rsidRDefault="00000000">
      <w:pPr>
        <w:pStyle w:val="pheading"/>
      </w:pPr>
      <w:r>
        <w:t>- unité de mesure:</w:t>
      </w:r>
    </w:p>
    <w:p w14:paraId="5A427ABC" w14:textId="77777777" w:rsidR="00772179" w:rsidRDefault="00000000">
      <w:r>
        <w:t>m³</w:t>
      </w:r>
    </w:p>
    <w:p w14:paraId="436B62ED" w14:textId="77777777" w:rsidR="00772179" w:rsidRDefault="00000000">
      <w:pPr>
        <w:pStyle w:val="pheading"/>
      </w:pPr>
      <w:r>
        <w:t>- code de mesurage:</w:t>
      </w:r>
    </w:p>
    <w:p w14:paraId="09BEF5C4" w14:textId="77777777" w:rsidR="00772179" w:rsidRDefault="00000000">
      <w:r>
        <w:t>Volume net de la construction à isoler, sans déduction des éléments de structure interposés.</w:t>
      </w:r>
      <w:r>
        <w:br/>
        <w:t>Suivant la densité prescrite.</w:t>
      </w:r>
      <w:r>
        <w:br/>
        <w:t>Les ouvertures &gt; 0,5 m² multipliées par l’épaisseur à réaliser sont déduites.</w:t>
      </w:r>
    </w:p>
    <w:p w14:paraId="7DE7279B" w14:textId="77777777" w:rsidR="00772179" w:rsidRDefault="00000000">
      <w:pPr>
        <w:pStyle w:val="pheading"/>
      </w:pPr>
      <w:r>
        <w:t>- nature du marché:</w:t>
      </w:r>
    </w:p>
    <w:p w14:paraId="27E7697C" w14:textId="77777777" w:rsidR="00772179" w:rsidRDefault="00000000">
      <w:r>
        <w:t>QF</w:t>
      </w:r>
    </w:p>
    <w:p w14:paraId="73C67D68" w14:textId="77777777" w:rsidR="00772179" w:rsidRDefault="00000000">
      <w:pPr>
        <w:pStyle w:val="Author-eSectionHeading5Numberless"/>
      </w:pPr>
      <w:bookmarkStart w:id="1058" w:name="_Toc220490715"/>
      <w:r>
        <w:t>44.44.2 Isolation à souffler - matières minérales CCTB 01.04</w:t>
      </w:r>
      <w:bookmarkEnd w:id="1058"/>
    </w:p>
    <w:p w14:paraId="20C5E3F0" w14:textId="77777777" w:rsidR="00772179" w:rsidRDefault="00000000">
      <w:pPr>
        <w:pStyle w:val="pheading"/>
      </w:pPr>
      <w:r>
        <w:t>DOCUMENTS DE RÉFÉRENCE</w:t>
      </w:r>
    </w:p>
    <w:p w14:paraId="62C62A0E" w14:textId="77777777" w:rsidR="00772179" w:rsidRDefault="00000000">
      <w:pPr>
        <w:pStyle w:val="pheading"/>
      </w:pPr>
      <w:r>
        <w:t>- Matériau</w:t>
      </w:r>
    </w:p>
    <w:p w14:paraId="674839F1" w14:textId="77777777" w:rsidR="00772179" w:rsidRDefault="00000000">
      <w:r>
        <w:t>32.44.2 Isolation à souffler - matières minérales</w:t>
      </w:r>
    </w:p>
    <w:p w14:paraId="58E3D11A" w14:textId="77777777" w:rsidR="00772179" w:rsidRDefault="00000000">
      <w:pPr>
        <w:pStyle w:val="pheading"/>
      </w:pPr>
      <w:r>
        <w:t>- Exécution</w:t>
      </w:r>
    </w:p>
    <w:p w14:paraId="36D9CAA2" w14:textId="77777777" w:rsidR="00772179" w:rsidRDefault="00000000">
      <w:r>
        <w:t>32.44.2 Isolation à souffler - matières minérales</w:t>
      </w:r>
    </w:p>
    <w:p w14:paraId="5C3F69D0" w14:textId="77777777" w:rsidR="00772179" w:rsidRDefault="00000000">
      <w:pPr>
        <w:pStyle w:val="Author-eSectionHeading6Numberless"/>
      </w:pPr>
      <w:bookmarkStart w:id="1059" w:name="_Toc220490716"/>
      <w:r>
        <w:t>44.44.2a Isolation à souffler - laine de verre CCTB 01.11</w:t>
      </w:r>
      <w:bookmarkEnd w:id="1059"/>
    </w:p>
    <w:p w14:paraId="07CB3CEA" w14:textId="77777777" w:rsidR="00772179" w:rsidRDefault="00000000">
      <w:pPr>
        <w:pStyle w:val="pheading"/>
      </w:pPr>
      <w:r>
        <w:t>DESCRIPTION</w:t>
      </w:r>
    </w:p>
    <w:p w14:paraId="1AEC8326" w14:textId="77777777" w:rsidR="00772179" w:rsidRDefault="00000000">
      <w:pPr>
        <w:pStyle w:val="pheading"/>
      </w:pPr>
      <w:r>
        <w:t>- Définition / Comprend</w:t>
      </w:r>
    </w:p>
    <w:p w14:paraId="7E700DBC" w14:textId="77777777" w:rsidR="00772179" w:rsidRDefault="00000000">
      <w:r>
        <w:t>Il s’agit de la fourniture et mise en œuvre d’une isolation réalisée à l’aide de flocons de laine de verre, suivant prescription de l'élément 32.44.2a Isolation à souffler - laine de verre</w:t>
      </w:r>
    </w:p>
    <w:p w14:paraId="2BCBE9B2" w14:textId="77777777" w:rsidR="00772179" w:rsidRDefault="00000000">
      <w:pPr>
        <w:pStyle w:val="pheading"/>
      </w:pPr>
      <w:r>
        <w:lastRenderedPageBreak/>
        <w:t>MATÉRIAUX</w:t>
      </w:r>
    </w:p>
    <w:p w14:paraId="48D12A01" w14:textId="77777777" w:rsidR="00772179" w:rsidRDefault="00000000">
      <w:pPr>
        <w:pStyle w:val="pheading"/>
      </w:pPr>
      <w:r>
        <w:t>- Caractéristiques générales</w:t>
      </w:r>
    </w:p>
    <w:p w14:paraId="1B454820" w14:textId="77777777" w:rsidR="00772179" w:rsidRDefault="00000000">
      <w:r>
        <w:t>Voir 32.44.2a Isolation à souffler - laine de verre.</w:t>
      </w:r>
    </w:p>
    <w:p w14:paraId="4BECAC58" w14:textId="77777777" w:rsidR="00772179" w:rsidRDefault="00000000">
      <w:r>
        <w:rPr>
          <w:u w:val="single"/>
        </w:rPr>
        <w:t>Spécifications</w:t>
      </w:r>
    </w:p>
    <w:p w14:paraId="519C9910" w14:textId="77777777" w:rsidR="00772179" w:rsidRDefault="00000000">
      <w:pPr>
        <w:pStyle w:val="Author-eListParagraph"/>
        <w:numPr>
          <w:ilvl w:val="0"/>
          <w:numId w:val="1154"/>
        </w:numPr>
      </w:pPr>
      <w:r>
        <w:t xml:space="preserve">Épaisseur : </w:t>
      </w:r>
      <w:r>
        <w:rPr>
          <w:rStyle w:val="optioncarChar"/>
        </w:rPr>
        <w:t>***</w:t>
      </w:r>
      <w:r>
        <w:t xml:space="preserve"> cm</w:t>
      </w:r>
    </w:p>
    <w:p w14:paraId="7FA8E6A1" w14:textId="77777777" w:rsidR="00772179" w:rsidRDefault="00000000">
      <w:pPr>
        <w:pStyle w:val="Author-eListParagraph"/>
        <w:numPr>
          <w:ilvl w:val="0"/>
          <w:numId w:val="1154"/>
        </w:numPr>
      </w:pPr>
      <w:r>
        <w:t xml:space="preserve">Masse volumique : ≥ </w:t>
      </w:r>
      <w:r>
        <w:rPr>
          <w:rStyle w:val="optioncarChar"/>
        </w:rPr>
        <w:t xml:space="preserve">25 </w:t>
      </w:r>
      <w:r>
        <w:t> kg/m3, suivant [NBN EN 14064-1]</w:t>
      </w:r>
      <w:r>
        <w:rPr>
          <w:rStyle w:val="optioncarChar"/>
        </w:rPr>
        <w:t> / ***</w:t>
      </w:r>
      <w:r>
        <w:t>.</w:t>
      </w:r>
    </w:p>
    <w:p w14:paraId="0DA4BD4E" w14:textId="77777777" w:rsidR="00772179" w:rsidRDefault="00000000">
      <w:pPr>
        <w:pStyle w:val="Author-eListParagraph"/>
        <w:numPr>
          <w:ilvl w:val="0"/>
          <w:numId w:val="1154"/>
        </w:numPr>
      </w:pPr>
      <w:r>
        <w:t xml:space="preserve">Valeur lambda : ≤ </w:t>
      </w:r>
      <w:r>
        <w:rPr>
          <w:rStyle w:val="optioncarChar"/>
        </w:rPr>
        <w:t xml:space="preserve">0,065 </w:t>
      </w:r>
      <w:r>
        <w:t>W/mK, suivant [STS 71-1]</w:t>
      </w:r>
      <w:r>
        <w:rPr>
          <w:rStyle w:val="optioncarChar"/>
        </w:rPr>
        <w:t> / ***</w:t>
      </w:r>
      <w:r>
        <w:t>.</w:t>
      </w:r>
    </w:p>
    <w:p w14:paraId="03FF14E8" w14:textId="77777777" w:rsidR="00772179" w:rsidRDefault="00000000">
      <w:pPr>
        <w:pStyle w:val="Author-eListParagraph"/>
        <w:numPr>
          <w:ilvl w:val="0"/>
          <w:numId w:val="1154"/>
        </w:numPr>
      </w:pPr>
      <w:r>
        <w:t xml:space="preserve">Valeur lambda déclaré: ≤ </w:t>
      </w:r>
      <w:r>
        <w:rPr>
          <w:rStyle w:val="optioncarChar"/>
        </w:rPr>
        <w:t>***</w:t>
      </w:r>
      <w:r>
        <w:t xml:space="preserve"> W/mK, suivant </w:t>
      </w:r>
      <w:r>
        <w:rPr>
          <w:rStyle w:val="optioncarChar"/>
        </w:rPr>
        <w:t>***</w:t>
      </w:r>
      <w:r>
        <w:t>.</w:t>
      </w:r>
    </w:p>
    <w:p w14:paraId="6BD1CB44" w14:textId="77777777" w:rsidR="00772179" w:rsidRDefault="00000000">
      <w:pPr>
        <w:pStyle w:val="Author-eListParagraph"/>
        <w:numPr>
          <w:ilvl w:val="0"/>
          <w:numId w:val="1154"/>
        </w:numPr>
      </w:pPr>
      <w:r>
        <w:t xml:space="preserve">Stabilité dimensionnelle </w:t>
      </w:r>
      <w:r>
        <w:rPr>
          <w:rStyle w:val="optioncarChar"/>
        </w:rPr>
        <w:t>***</w:t>
      </w:r>
      <w:r>
        <w:t xml:space="preserve">, suivant </w:t>
      </w:r>
      <w:r>
        <w:rPr>
          <w:rStyle w:val="optioncarChar"/>
        </w:rPr>
        <w:t>***</w:t>
      </w:r>
      <w:r>
        <w:t>.</w:t>
      </w:r>
    </w:p>
    <w:p w14:paraId="6A6FD860" w14:textId="77777777" w:rsidR="00772179" w:rsidRDefault="00000000">
      <w:pPr>
        <w:pStyle w:val="Author-eListParagraph"/>
        <w:numPr>
          <w:ilvl w:val="0"/>
          <w:numId w:val="1154"/>
        </w:numPr>
      </w:pPr>
      <w:r>
        <w:t xml:space="preserve">Réaction au feu : </w:t>
      </w:r>
      <w:r>
        <w:rPr>
          <w:rStyle w:val="optioncarChar"/>
        </w:rPr>
        <w:t>A1-F / ***</w:t>
      </w:r>
      <w:r>
        <w:t>, suivant [NBN EN 13501-1]</w:t>
      </w:r>
      <w:r>
        <w:rPr>
          <w:rStyle w:val="optioncarChar"/>
        </w:rPr>
        <w:t> / ***</w:t>
      </w:r>
      <w:r>
        <w:t>.</w:t>
      </w:r>
    </w:p>
    <w:p w14:paraId="5FCCD1A2" w14:textId="77777777" w:rsidR="00772179" w:rsidRDefault="00000000">
      <w:pPr>
        <w:pStyle w:val="Author-eListParagraph"/>
        <w:numPr>
          <w:ilvl w:val="0"/>
          <w:numId w:val="1154"/>
        </w:numPr>
      </w:pPr>
      <w:r>
        <w:t xml:space="preserve">Acoustique : </w:t>
      </w:r>
      <w:r>
        <w:rPr>
          <w:rStyle w:val="optioncarChar"/>
        </w:rPr>
        <w:t>***</w:t>
      </w:r>
      <w:r>
        <w:t xml:space="preserve">, suivant </w:t>
      </w:r>
      <w:r>
        <w:rPr>
          <w:rStyle w:val="optioncarChar"/>
        </w:rPr>
        <w:t>***</w:t>
      </w:r>
      <w:r>
        <w:t>.</w:t>
      </w:r>
    </w:p>
    <w:p w14:paraId="4F93303B" w14:textId="77777777" w:rsidR="00772179" w:rsidRDefault="00000000">
      <w:pPr>
        <w:pStyle w:val="Author-eListParagraph"/>
        <w:numPr>
          <w:ilvl w:val="0"/>
          <w:numId w:val="1154"/>
        </w:numPr>
      </w:pPr>
      <w:r>
        <w:t xml:space="preserve">Densité minimale après insufflation : </w:t>
      </w:r>
      <w:r>
        <w:rPr>
          <w:rStyle w:val="optioncarChar"/>
        </w:rPr>
        <w:t>25 / ***</w:t>
      </w:r>
      <w:r>
        <w:t xml:space="preserve"> kg/m³ (avec une moyenne de </w:t>
      </w:r>
      <w:r>
        <w:rPr>
          <w:rStyle w:val="optioncarChar"/>
        </w:rPr>
        <w:t xml:space="preserve">30 </w:t>
      </w:r>
      <w:r>
        <w:t xml:space="preserve">kg/m³ et ≤ </w:t>
      </w:r>
      <w:r>
        <w:rPr>
          <w:rStyle w:val="optioncarChar"/>
        </w:rPr>
        <w:t>40 </w:t>
      </w:r>
      <w:r>
        <w:t>kg/m³ &gt; dans cet intervalle, la valeur λ est d’application)</w:t>
      </w:r>
    </w:p>
    <w:p w14:paraId="5CAE355A" w14:textId="77777777" w:rsidR="00772179" w:rsidRDefault="00000000">
      <w:pPr>
        <w:pStyle w:val="Author-eListParagraph"/>
        <w:numPr>
          <w:ilvl w:val="0"/>
          <w:numId w:val="1154"/>
        </w:numPr>
      </w:pPr>
      <w:r>
        <w:t>Absorption d’eau par immersion partielle : ≤ </w:t>
      </w:r>
      <w:r>
        <w:rPr>
          <w:rStyle w:val="optioncarChar"/>
        </w:rPr>
        <w:t xml:space="preserve">1 </w:t>
      </w:r>
      <w:r>
        <w:t>Kg/m², suivant [NBN EN ISO 29767] </w:t>
      </w:r>
      <w:r>
        <w:rPr>
          <w:rStyle w:val="optioncarChar"/>
        </w:rPr>
        <w:t>/ ***.</w:t>
      </w:r>
    </w:p>
    <w:p w14:paraId="2241A972" w14:textId="77777777" w:rsidR="00772179" w:rsidRDefault="00000000">
      <w:pPr>
        <w:pStyle w:val="pheading"/>
      </w:pPr>
      <w:r>
        <w:t>DOCUMENTS DE RÉFÉRENCE COMPLÉMENTAIRES</w:t>
      </w:r>
    </w:p>
    <w:p w14:paraId="4C0E3588" w14:textId="77777777" w:rsidR="00772179" w:rsidRDefault="00000000">
      <w:pPr>
        <w:pStyle w:val="pheading"/>
      </w:pPr>
      <w:r>
        <w:t>- Matériau</w:t>
      </w:r>
    </w:p>
    <w:p w14:paraId="5828884F" w14:textId="77777777" w:rsidR="00772179" w:rsidRDefault="00000000">
      <w:r>
        <w:t>32.44.2a Isolation à souffler - laine de verre</w:t>
      </w:r>
    </w:p>
    <w:p w14:paraId="260219BD" w14:textId="77777777" w:rsidR="00772179" w:rsidRDefault="00000000">
      <w:pPr>
        <w:pStyle w:val="pheading"/>
      </w:pPr>
      <w:r>
        <w:t>- Exécution</w:t>
      </w:r>
    </w:p>
    <w:p w14:paraId="39A235BC" w14:textId="77777777" w:rsidR="00772179" w:rsidRDefault="00000000">
      <w:r>
        <w:t>32.44.2a Isolation à souffler - laine de verre</w:t>
      </w:r>
    </w:p>
    <w:p w14:paraId="1EF4517A" w14:textId="77777777" w:rsidR="00772179" w:rsidRDefault="00000000">
      <w:pPr>
        <w:pStyle w:val="pheading"/>
      </w:pPr>
      <w:r>
        <w:t>MESURAGE</w:t>
      </w:r>
    </w:p>
    <w:p w14:paraId="1DE6898B" w14:textId="77777777" w:rsidR="00772179" w:rsidRDefault="00000000">
      <w:pPr>
        <w:pStyle w:val="pheading"/>
      </w:pPr>
      <w:r>
        <w:t>- unité de mesure:</w:t>
      </w:r>
    </w:p>
    <w:p w14:paraId="30375344" w14:textId="77777777" w:rsidR="00772179" w:rsidRDefault="00000000">
      <w:r>
        <w:t>m³</w:t>
      </w:r>
    </w:p>
    <w:p w14:paraId="55823344" w14:textId="77777777" w:rsidR="00772179" w:rsidRDefault="00000000">
      <w:pPr>
        <w:pStyle w:val="pheading"/>
      </w:pPr>
      <w:r>
        <w:t>- code de mesurage:</w:t>
      </w:r>
    </w:p>
    <w:p w14:paraId="7EF59031" w14:textId="77777777" w:rsidR="00772179" w:rsidRDefault="00000000">
      <w:r>
        <w:t>Volume net de la construction à isoler, sans déduction des éléments de structure interposés.</w:t>
      </w:r>
      <w:r>
        <w:br/>
        <w:t>Suivant la densité prescrite.</w:t>
      </w:r>
      <w:r>
        <w:br/>
        <w:t>Les ouvertures &gt; 0,5 m² multipliées par l’épaisseur à réaliser sont déduites.</w:t>
      </w:r>
    </w:p>
    <w:p w14:paraId="2DA9957F" w14:textId="77777777" w:rsidR="00772179" w:rsidRDefault="00000000">
      <w:pPr>
        <w:pStyle w:val="pheading"/>
      </w:pPr>
      <w:r>
        <w:t>- nature du marché:</w:t>
      </w:r>
    </w:p>
    <w:p w14:paraId="5DD8FFFA" w14:textId="77777777" w:rsidR="00772179" w:rsidRDefault="00000000">
      <w:r>
        <w:t>QF</w:t>
      </w:r>
    </w:p>
    <w:p w14:paraId="68E107AA" w14:textId="77777777" w:rsidR="00772179" w:rsidRDefault="00000000">
      <w:pPr>
        <w:pStyle w:val="Author-eSectionHeading6Numberless"/>
      </w:pPr>
      <w:bookmarkStart w:id="1060" w:name="_Toc220490717"/>
      <w:r>
        <w:t>44.44.2b Isolation à souffler - laine de roche CCTB 01.10</w:t>
      </w:r>
      <w:bookmarkEnd w:id="1060"/>
    </w:p>
    <w:p w14:paraId="1BEFE98A" w14:textId="77777777" w:rsidR="00772179" w:rsidRDefault="00000000">
      <w:pPr>
        <w:pStyle w:val="pheading"/>
      </w:pPr>
      <w:r>
        <w:t>DESCRIPTION</w:t>
      </w:r>
    </w:p>
    <w:p w14:paraId="5DDF125F" w14:textId="77777777" w:rsidR="00772179" w:rsidRDefault="00000000">
      <w:pPr>
        <w:pStyle w:val="pheading"/>
      </w:pPr>
      <w:r>
        <w:t>- Définition / Comprend</w:t>
      </w:r>
    </w:p>
    <w:p w14:paraId="51D0AC0A" w14:textId="77777777" w:rsidR="00772179" w:rsidRDefault="00000000">
      <w:r>
        <w:t>Il s’agit de la fourniture et mise en œuvre d’une isolation réalisée à l’aide de flocons de laine de roche, suivant prescription de l'élément 32.44.2b Isolation à souffler - laine de roche</w:t>
      </w:r>
    </w:p>
    <w:p w14:paraId="4D64DA31" w14:textId="77777777" w:rsidR="00772179" w:rsidRDefault="00000000">
      <w:pPr>
        <w:pStyle w:val="pheading"/>
      </w:pPr>
      <w:r>
        <w:t>MATÉRIAUX</w:t>
      </w:r>
    </w:p>
    <w:p w14:paraId="31136C7C" w14:textId="77777777" w:rsidR="00772179" w:rsidRDefault="00000000">
      <w:pPr>
        <w:pStyle w:val="pheading"/>
      </w:pPr>
      <w:r>
        <w:t>- Caractéristiques générales</w:t>
      </w:r>
    </w:p>
    <w:p w14:paraId="51358CFD" w14:textId="77777777" w:rsidR="00772179" w:rsidRDefault="00000000">
      <w:r>
        <w:t>Voir 32.44.2b Isolation à souffler - laine de roche.</w:t>
      </w:r>
    </w:p>
    <w:p w14:paraId="0E6EABBE" w14:textId="77777777" w:rsidR="00772179" w:rsidRDefault="00000000">
      <w:r>
        <w:rPr>
          <w:u w:val="single"/>
        </w:rPr>
        <w:t>Spécifications</w:t>
      </w:r>
    </w:p>
    <w:p w14:paraId="46BF45BB" w14:textId="77777777" w:rsidR="00772179" w:rsidRDefault="00000000">
      <w:pPr>
        <w:pStyle w:val="Author-eListParagraph"/>
        <w:numPr>
          <w:ilvl w:val="0"/>
          <w:numId w:val="1155"/>
        </w:numPr>
      </w:pPr>
      <w:r>
        <w:t xml:space="preserve">Épaisseur : </w:t>
      </w:r>
      <w:r>
        <w:rPr>
          <w:rStyle w:val="optioncarChar"/>
        </w:rPr>
        <w:t>***</w:t>
      </w:r>
      <w:r>
        <w:t xml:space="preserve"> cm</w:t>
      </w:r>
    </w:p>
    <w:p w14:paraId="32E2E922" w14:textId="77777777" w:rsidR="00772179" w:rsidRDefault="00000000">
      <w:pPr>
        <w:pStyle w:val="Author-eListParagraph"/>
        <w:numPr>
          <w:ilvl w:val="0"/>
          <w:numId w:val="1155"/>
        </w:numPr>
      </w:pPr>
      <w:r>
        <w:t xml:space="preserve">Masse volumique: environ </w:t>
      </w:r>
      <w:r>
        <w:rPr>
          <w:rStyle w:val="optioncarChar"/>
        </w:rPr>
        <w:t>***</w:t>
      </w:r>
      <w:r>
        <w:t xml:space="preserve"> kg/m3, suivant </w:t>
      </w:r>
      <w:r>
        <w:rPr>
          <w:rStyle w:val="optioncarChar"/>
        </w:rPr>
        <w:t>***</w:t>
      </w:r>
      <w:r>
        <w:t>.</w:t>
      </w:r>
    </w:p>
    <w:p w14:paraId="46167ACB" w14:textId="77777777" w:rsidR="00772179" w:rsidRDefault="00000000">
      <w:pPr>
        <w:pStyle w:val="Author-eListParagraph"/>
        <w:numPr>
          <w:ilvl w:val="0"/>
          <w:numId w:val="1155"/>
        </w:numPr>
      </w:pPr>
      <w:r>
        <w:t xml:space="preserve">Valeur lambda déclaré: maximum </w:t>
      </w:r>
      <w:r>
        <w:rPr>
          <w:rStyle w:val="optioncarChar"/>
        </w:rPr>
        <w:t>*** / 0,040</w:t>
      </w:r>
      <w:r>
        <w:t xml:space="preserve"> W/mK, suivant </w:t>
      </w:r>
      <w:r>
        <w:rPr>
          <w:rStyle w:val="optioncarChar"/>
        </w:rPr>
        <w:t>*** / [NBN EN 14064-1] _ [NBN EN 12667].</w:t>
      </w:r>
    </w:p>
    <w:p w14:paraId="6771957C" w14:textId="77777777" w:rsidR="00772179" w:rsidRDefault="00000000">
      <w:pPr>
        <w:pStyle w:val="Author-eListParagraph"/>
        <w:numPr>
          <w:ilvl w:val="0"/>
          <w:numId w:val="1155"/>
        </w:numPr>
      </w:pPr>
      <w:r>
        <w:t xml:space="preserve">Stabilité dimensionnelle </w:t>
      </w:r>
      <w:r>
        <w:rPr>
          <w:rStyle w:val="optioncarChar"/>
        </w:rPr>
        <w:t>***</w:t>
      </w:r>
      <w:r>
        <w:t xml:space="preserve">, suivant </w:t>
      </w:r>
      <w:r>
        <w:rPr>
          <w:rStyle w:val="optioncarChar"/>
        </w:rPr>
        <w:t>***</w:t>
      </w:r>
      <w:r>
        <w:t>.</w:t>
      </w:r>
    </w:p>
    <w:p w14:paraId="0B80AACA" w14:textId="77777777" w:rsidR="00772179" w:rsidRDefault="00000000">
      <w:pPr>
        <w:pStyle w:val="Author-eListParagraph"/>
        <w:numPr>
          <w:ilvl w:val="0"/>
          <w:numId w:val="1155"/>
        </w:numPr>
      </w:pPr>
      <w:r>
        <w:lastRenderedPageBreak/>
        <w:t>Réaction au feu: A1, suivant [NBN EN 13501-1].</w:t>
      </w:r>
    </w:p>
    <w:p w14:paraId="6224BAB5" w14:textId="77777777" w:rsidR="00772179" w:rsidRDefault="00000000">
      <w:pPr>
        <w:pStyle w:val="Author-eListParagraph"/>
        <w:numPr>
          <w:ilvl w:val="0"/>
          <w:numId w:val="1155"/>
        </w:numPr>
      </w:pPr>
      <w:r>
        <w:t xml:space="preserve">Acoustique : </w:t>
      </w:r>
      <w:r>
        <w:rPr>
          <w:rStyle w:val="optioncarChar"/>
        </w:rPr>
        <w:t>***</w:t>
      </w:r>
      <w:r>
        <w:t xml:space="preserve">, suivant </w:t>
      </w:r>
      <w:r>
        <w:rPr>
          <w:rStyle w:val="optioncarChar"/>
        </w:rPr>
        <w:t>***</w:t>
      </w:r>
      <w:r>
        <w:t>.</w:t>
      </w:r>
    </w:p>
    <w:p w14:paraId="361B9BDA" w14:textId="77777777" w:rsidR="00772179" w:rsidRDefault="00000000">
      <w:pPr>
        <w:pStyle w:val="Author-eListParagraph"/>
        <w:numPr>
          <w:ilvl w:val="0"/>
          <w:numId w:val="1155"/>
        </w:numPr>
      </w:pPr>
      <w:r>
        <w:t xml:space="preserve">Densité minimale après insufflation : </w:t>
      </w:r>
      <w:r>
        <w:rPr>
          <w:rStyle w:val="optioncarChar"/>
        </w:rPr>
        <w:t>***</w:t>
      </w:r>
      <w:r>
        <w:t xml:space="preserve"> kg/m³</w:t>
      </w:r>
    </w:p>
    <w:p w14:paraId="5C36DBD3" w14:textId="77777777" w:rsidR="00772179" w:rsidRDefault="00000000">
      <w:pPr>
        <w:pStyle w:val="Author-eListParagraph"/>
        <w:numPr>
          <w:ilvl w:val="0"/>
          <w:numId w:val="1155"/>
        </w:numPr>
      </w:pPr>
      <w:r>
        <w:t xml:space="preserve">Facteur de résistance à la diffusion de vapeur: m = </w:t>
      </w:r>
      <w:r>
        <w:rPr>
          <w:rStyle w:val="optioncarChar"/>
        </w:rPr>
        <w:t>1,0 / ***</w:t>
      </w:r>
      <w:r>
        <w:t>, suivant [NBN EN ISO 10456] </w:t>
      </w:r>
      <w:r>
        <w:rPr>
          <w:rStyle w:val="optioncarChar"/>
        </w:rPr>
        <w:t>/ ***</w:t>
      </w:r>
      <w:r>
        <w:t>.</w:t>
      </w:r>
    </w:p>
    <w:p w14:paraId="3F9C217E" w14:textId="77777777" w:rsidR="00772179" w:rsidRDefault="00000000">
      <w:pPr>
        <w:pStyle w:val="Author-eListParagraph"/>
        <w:numPr>
          <w:ilvl w:val="0"/>
          <w:numId w:val="1155"/>
        </w:numPr>
      </w:pPr>
      <w:r>
        <w:t>Non capillaire et non hygroscopique.</w:t>
      </w:r>
    </w:p>
    <w:p w14:paraId="63BDB191" w14:textId="77777777" w:rsidR="00772179" w:rsidRDefault="00000000">
      <w:pPr>
        <w:pStyle w:val="pheading"/>
      </w:pPr>
      <w:r>
        <w:t>DOCUMENTS DE RÉFÉRENCE COMPLÉMENTAIRES</w:t>
      </w:r>
    </w:p>
    <w:p w14:paraId="7F51FCDC" w14:textId="77777777" w:rsidR="00772179" w:rsidRDefault="00000000">
      <w:pPr>
        <w:pStyle w:val="pheading"/>
      </w:pPr>
      <w:r>
        <w:t>- Matériau</w:t>
      </w:r>
    </w:p>
    <w:p w14:paraId="075E876D" w14:textId="77777777" w:rsidR="00772179" w:rsidRDefault="00000000">
      <w:r>
        <w:t>32.44.2b Isolation à souffler - laine de roche</w:t>
      </w:r>
    </w:p>
    <w:p w14:paraId="507E0BAE" w14:textId="77777777" w:rsidR="00772179" w:rsidRDefault="00000000">
      <w:pPr>
        <w:pStyle w:val="pheading"/>
      </w:pPr>
      <w:r>
        <w:t>- Exécution</w:t>
      </w:r>
    </w:p>
    <w:p w14:paraId="0E92FD10" w14:textId="77777777" w:rsidR="00772179" w:rsidRDefault="00000000">
      <w:r>
        <w:t>32.44.2b Isolation à souffler - laine de roche</w:t>
      </w:r>
    </w:p>
    <w:p w14:paraId="3803030A" w14:textId="77777777" w:rsidR="00772179" w:rsidRDefault="00000000">
      <w:pPr>
        <w:pStyle w:val="pheading"/>
      </w:pPr>
      <w:r>
        <w:t>MESURAGE</w:t>
      </w:r>
    </w:p>
    <w:p w14:paraId="66986142" w14:textId="77777777" w:rsidR="00772179" w:rsidRDefault="00000000">
      <w:pPr>
        <w:pStyle w:val="pheading"/>
      </w:pPr>
      <w:r>
        <w:t>- unité de mesure:</w:t>
      </w:r>
    </w:p>
    <w:p w14:paraId="7ED81DE1" w14:textId="77777777" w:rsidR="00772179" w:rsidRDefault="00000000">
      <w:r>
        <w:t>m³</w:t>
      </w:r>
    </w:p>
    <w:p w14:paraId="43FF3913" w14:textId="77777777" w:rsidR="00772179" w:rsidRDefault="00000000">
      <w:pPr>
        <w:pStyle w:val="pheading"/>
      </w:pPr>
      <w:r>
        <w:t>- code de mesurage:</w:t>
      </w:r>
    </w:p>
    <w:p w14:paraId="313D5CF4" w14:textId="77777777" w:rsidR="00772179" w:rsidRDefault="00000000">
      <w:r>
        <w:t>Volume net de la construction à isoler, sans déduction des éléments de structure interposés.</w:t>
      </w:r>
      <w:r>
        <w:br/>
        <w:t>Suivant la densité prescrite.</w:t>
      </w:r>
      <w:r>
        <w:br/>
        <w:t>Les ouvertures &gt; 0,5 m² multipliées par l’épaisseur à réaliser sont déduites.</w:t>
      </w:r>
    </w:p>
    <w:p w14:paraId="1A23C852" w14:textId="77777777" w:rsidR="00772179" w:rsidRDefault="00000000">
      <w:pPr>
        <w:pStyle w:val="pheading"/>
      </w:pPr>
      <w:r>
        <w:t>- nature du marché:</w:t>
      </w:r>
    </w:p>
    <w:p w14:paraId="69C8B6CC" w14:textId="77777777" w:rsidR="00772179" w:rsidRDefault="00000000">
      <w:r>
        <w:t>QF</w:t>
      </w:r>
    </w:p>
    <w:p w14:paraId="5419951D" w14:textId="77777777" w:rsidR="00772179" w:rsidRDefault="00000000">
      <w:pPr>
        <w:pStyle w:val="Author-eSectionHeading6Numberless"/>
      </w:pPr>
      <w:bookmarkStart w:id="1061" w:name="_Toc220490718"/>
      <w:r>
        <w:t>44.44.2c Isolation à souffler - fibres de verre CCTB 01.10</w:t>
      </w:r>
      <w:bookmarkEnd w:id="1061"/>
    </w:p>
    <w:p w14:paraId="747A4DAD" w14:textId="77777777" w:rsidR="00772179" w:rsidRDefault="00000000">
      <w:pPr>
        <w:pStyle w:val="pheading"/>
      </w:pPr>
      <w:r>
        <w:t>DESCRIPTION</w:t>
      </w:r>
    </w:p>
    <w:p w14:paraId="1302E561" w14:textId="77777777" w:rsidR="00772179" w:rsidRDefault="00000000">
      <w:pPr>
        <w:pStyle w:val="pheading"/>
      </w:pPr>
      <w:r>
        <w:t>- Définition / Comprend</w:t>
      </w:r>
    </w:p>
    <w:p w14:paraId="712673B5" w14:textId="77777777" w:rsidR="00772179" w:rsidRDefault="00000000">
      <w:r>
        <w:t>Il s'agit de la réalisation d'une isolation par insufflation de fibres de verre suivant les prescriptions de l'article32.44.2c Isolation à souffler - fibres de verre.</w:t>
      </w:r>
    </w:p>
    <w:p w14:paraId="6B31CCCE" w14:textId="77777777" w:rsidR="00772179" w:rsidRDefault="00000000">
      <w:pPr>
        <w:pStyle w:val="pheading"/>
      </w:pPr>
      <w:r>
        <w:t>MATÉRIAUX</w:t>
      </w:r>
    </w:p>
    <w:p w14:paraId="708AE3F5" w14:textId="77777777" w:rsidR="00772179" w:rsidRDefault="00000000">
      <w:pPr>
        <w:pStyle w:val="pheading"/>
      </w:pPr>
      <w:r>
        <w:t>- Caractéristiques générales</w:t>
      </w:r>
    </w:p>
    <w:p w14:paraId="1B582837" w14:textId="77777777" w:rsidR="00772179" w:rsidRDefault="00000000">
      <w:r>
        <w:t>Voir 32.44.2c Isolation à souffler - fibres de verre</w:t>
      </w:r>
    </w:p>
    <w:p w14:paraId="200B8359" w14:textId="77777777" w:rsidR="00772179" w:rsidRDefault="00000000">
      <w:pPr>
        <w:pStyle w:val="pheading"/>
      </w:pPr>
      <w:r>
        <w:t>- Prescriptions complémentaires</w:t>
      </w:r>
    </w:p>
    <w:p w14:paraId="74BABE1A" w14:textId="77777777" w:rsidR="00772179" w:rsidRDefault="00000000">
      <w:r>
        <w:t>Voir 32.44.2c Isolation à souffler - fibres de verre</w:t>
      </w:r>
    </w:p>
    <w:p w14:paraId="3B1BE44E" w14:textId="77777777" w:rsidR="00772179" w:rsidRDefault="00000000">
      <w:pPr>
        <w:pStyle w:val="pheading"/>
      </w:pPr>
      <w:r>
        <w:t>DOCUMENTS DE RÉFÉRENCE COMPLÉMENTAIRES</w:t>
      </w:r>
    </w:p>
    <w:p w14:paraId="38125DBA" w14:textId="77777777" w:rsidR="00772179" w:rsidRDefault="00000000">
      <w:pPr>
        <w:pStyle w:val="pheading"/>
      </w:pPr>
      <w:r>
        <w:t>- Matériau</w:t>
      </w:r>
    </w:p>
    <w:p w14:paraId="33A276CC" w14:textId="77777777" w:rsidR="00772179" w:rsidRDefault="00000000">
      <w:r>
        <w:t>32.44.2c Isolation à souffler - fibres de verre</w:t>
      </w:r>
    </w:p>
    <w:p w14:paraId="7AB43BDC" w14:textId="77777777" w:rsidR="00772179" w:rsidRDefault="00000000">
      <w:pPr>
        <w:pStyle w:val="pheading"/>
      </w:pPr>
      <w:r>
        <w:t>- Exécution</w:t>
      </w:r>
    </w:p>
    <w:p w14:paraId="6F695943" w14:textId="77777777" w:rsidR="00772179" w:rsidRDefault="00000000">
      <w:r>
        <w:t>32.44.2c Isolation à souffler - fibres de verre</w:t>
      </w:r>
    </w:p>
    <w:p w14:paraId="3792405F" w14:textId="77777777" w:rsidR="00772179" w:rsidRDefault="00000000">
      <w:pPr>
        <w:pStyle w:val="pheading"/>
      </w:pPr>
      <w:r>
        <w:t>MESURAGE</w:t>
      </w:r>
    </w:p>
    <w:p w14:paraId="00BC5F0C" w14:textId="77777777" w:rsidR="00772179" w:rsidRDefault="00000000">
      <w:pPr>
        <w:pStyle w:val="pheading"/>
      </w:pPr>
      <w:r>
        <w:t>- unité de mesure:</w:t>
      </w:r>
    </w:p>
    <w:p w14:paraId="5596FD5D" w14:textId="77777777" w:rsidR="00772179" w:rsidRDefault="00000000">
      <w:r>
        <w:t>m³</w:t>
      </w:r>
    </w:p>
    <w:p w14:paraId="1C82C6DC" w14:textId="77777777" w:rsidR="00772179" w:rsidRDefault="00000000">
      <w:pPr>
        <w:pStyle w:val="pheading"/>
      </w:pPr>
      <w:r>
        <w:t>- code de mesurage:</w:t>
      </w:r>
    </w:p>
    <w:p w14:paraId="60139E57" w14:textId="77777777" w:rsidR="00772179" w:rsidRDefault="00000000">
      <w:r>
        <w:lastRenderedPageBreak/>
        <w:t>Volume net de la construction à isoler, sans déduction des éléments de structure interposés.</w:t>
      </w:r>
      <w:r>
        <w:br/>
        <w:t>Suivant la densité prescrite.</w:t>
      </w:r>
      <w:r>
        <w:br/>
        <w:t>Les ouvertures &gt; 0,5 m² multipliées par l’épaisseur à réaliser sont déduites.</w:t>
      </w:r>
    </w:p>
    <w:p w14:paraId="6BAE6730" w14:textId="77777777" w:rsidR="00772179" w:rsidRDefault="00000000">
      <w:pPr>
        <w:pStyle w:val="pheading"/>
      </w:pPr>
      <w:r>
        <w:t>- nature du marché:</w:t>
      </w:r>
    </w:p>
    <w:p w14:paraId="1CB998BF" w14:textId="77777777" w:rsidR="00772179" w:rsidRDefault="00000000">
      <w:r>
        <w:t>QF</w:t>
      </w:r>
    </w:p>
    <w:p w14:paraId="1725980D" w14:textId="77777777" w:rsidR="00772179" w:rsidRDefault="00000000">
      <w:pPr>
        <w:pStyle w:val="Author-eSectionHeading6Numberless"/>
      </w:pPr>
      <w:bookmarkStart w:id="1062" w:name="_Toc220490719"/>
      <w:r>
        <w:t>44.44.2d Isolation à souffler - vermiculite expansée CCTB 01.10</w:t>
      </w:r>
      <w:bookmarkEnd w:id="1062"/>
    </w:p>
    <w:p w14:paraId="1846FB33" w14:textId="77777777" w:rsidR="00772179" w:rsidRDefault="00000000">
      <w:pPr>
        <w:pStyle w:val="pheading"/>
      </w:pPr>
      <w:r>
        <w:t>DESCRIPTION</w:t>
      </w:r>
    </w:p>
    <w:p w14:paraId="761F8A26" w14:textId="77777777" w:rsidR="00772179" w:rsidRDefault="00000000">
      <w:pPr>
        <w:pStyle w:val="pheading"/>
      </w:pPr>
      <w:r>
        <w:t>- Définition / Comprend</w:t>
      </w:r>
    </w:p>
    <w:p w14:paraId="3303BD9B" w14:textId="77777777" w:rsidR="00772179" w:rsidRDefault="00000000">
      <w:r>
        <w:t>Il s'agit de la réalisation d'une isolation en vermiculite expansée suivant les prescriptions de l'article 32.44.2d Isolation à souffler - vermiculite expansée.</w:t>
      </w:r>
    </w:p>
    <w:p w14:paraId="318DA911" w14:textId="77777777" w:rsidR="00772179" w:rsidRDefault="00000000">
      <w:pPr>
        <w:pStyle w:val="pheading"/>
      </w:pPr>
      <w:r>
        <w:t>MATÉRIAUX</w:t>
      </w:r>
    </w:p>
    <w:p w14:paraId="229BCF23" w14:textId="77777777" w:rsidR="00772179" w:rsidRDefault="00000000">
      <w:pPr>
        <w:pStyle w:val="pheading"/>
      </w:pPr>
      <w:r>
        <w:t>- Caractéristiques générales</w:t>
      </w:r>
    </w:p>
    <w:p w14:paraId="4E664303" w14:textId="77777777" w:rsidR="00772179" w:rsidRDefault="00000000">
      <w:r>
        <w:t>Voir 32.44.2d Isolation à souffler - vermiculite expansée</w:t>
      </w:r>
    </w:p>
    <w:p w14:paraId="4425A700" w14:textId="77777777" w:rsidR="00772179" w:rsidRDefault="00000000">
      <w:pPr>
        <w:pStyle w:val="pheading"/>
      </w:pPr>
      <w:r>
        <w:t>DOCUMENTS DE RÉFÉRENCE COMPLÉMENTAIRES</w:t>
      </w:r>
    </w:p>
    <w:p w14:paraId="73848DD4" w14:textId="77777777" w:rsidR="00772179" w:rsidRDefault="00000000">
      <w:pPr>
        <w:pStyle w:val="pheading"/>
      </w:pPr>
      <w:r>
        <w:t>- Matériau</w:t>
      </w:r>
    </w:p>
    <w:p w14:paraId="3F41EE42" w14:textId="77777777" w:rsidR="00772179" w:rsidRDefault="00000000">
      <w:r>
        <w:t>32.44.2d Isolation à souffler - vermiculite expansée</w:t>
      </w:r>
    </w:p>
    <w:p w14:paraId="5F5E37B6" w14:textId="77777777" w:rsidR="00772179" w:rsidRDefault="00000000">
      <w:pPr>
        <w:pStyle w:val="pheading"/>
      </w:pPr>
      <w:r>
        <w:t>- Exécution</w:t>
      </w:r>
    </w:p>
    <w:p w14:paraId="3C8C23E0" w14:textId="77777777" w:rsidR="00772179" w:rsidRDefault="00000000">
      <w:r>
        <w:t>32.44.2d Isolation à souffler - vermiculite expansée</w:t>
      </w:r>
    </w:p>
    <w:p w14:paraId="67490B49" w14:textId="77777777" w:rsidR="00772179" w:rsidRDefault="00000000">
      <w:pPr>
        <w:pStyle w:val="pheading"/>
      </w:pPr>
      <w:r>
        <w:t>MESURAGE</w:t>
      </w:r>
    </w:p>
    <w:p w14:paraId="7842D139" w14:textId="77777777" w:rsidR="00772179" w:rsidRDefault="00000000">
      <w:pPr>
        <w:pStyle w:val="pheading"/>
      </w:pPr>
      <w:r>
        <w:t>- unité de mesure:</w:t>
      </w:r>
    </w:p>
    <w:p w14:paraId="36617284" w14:textId="77777777" w:rsidR="00772179" w:rsidRDefault="00000000">
      <w:r>
        <w:t>m³</w:t>
      </w:r>
    </w:p>
    <w:p w14:paraId="537300B4" w14:textId="77777777" w:rsidR="00772179" w:rsidRDefault="00000000">
      <w:pPr>
        <w:pStyle w:val="pheading"/>
      </w:pPr>
      <w:r>
        <w:t>- code de mesurage:</w:t>
      </w:r>
    </w:p>
    <w:p w14:paraId="7DEECF8E" w14:textId="77777777" w:rsidR="00772179" w:rsidRDefault="00000000">
      <w:r>
        <w:t>Volume net de la construction à isoler, sans déduction des éléments de structure interposés.</w:t>
      </w:r>
      <w:r>
        <w:br/>
        <w:t>Suivant la densité prescrite.</w:t>
      </w:r>
      <w:r>
        <w:br/>
        <w:t>Les ouvertures &gt; 0,5 m² multipliées par l’épaisseur à réaliser sont déduites.</w:t>
      </w:r>
    </w:p>
    <w:p w14:paraId="4D9D7671" w14:textId="77777777" w:rsidR="00772179" w:rsidRDefault="00000000">
      <w:pPr>
        <w:pStyle w:val="pheading"/>
      </w:pPr>
      <w:r>
        <w:t>- nature du marché:</w:t>
      </w:r>
    </w:p>
    <w:p w14:paraId="2CD5B0A2" w14:textId="77777777" w:rsidR="00772179" w:rsidRDefault="00000000">
      <w:r>
        <w:t>QF</w:t>
      </w:r>
    </w:p>
    <w:p w14:paraId="1CE5F9B1" w14:textId="77777777" w:rsidR="00772179" w:rsidRDefault="00000000">
      <w:pPr>
        <w:pStyle w:val="Author-eSectionHeading6Numberless"/>
      </w:pPr>
      <w:bookmarkStart w:id="1063" w:name="_Toc220490720"/>
      <w:r>
        <w:t>44.44.2e Isolation à souffler - perlite expansée CCTB 01.04</w:t>
      </w:r>
      <w:bookmarkEnd w:id="1063"/>
    </w:p>
    <w:p w14:paraId="3DA8AFAD" w14:textId="77777777" w:rsidR="00772179" w:rsidRDefault="00000000">
      <w:pPr>
        <w:pStyle w:val="pheading"/>
      </w:pPr>
      <w:r>
        <w:t>DESCRIPTION</w:t>
      </w:r>
    </w:p>
    <w:p w14:paraId="0B68586B" w14:textId="77777777" w:rsidR="00772179" w:rsidRDefault="00000000">
      <w:pPr>
        <w:pStyle w:val="pheading"/>
      </w:pPr>
      <w:r>
        <w:t>- Définition / Comprend</w:t>
      </w:r>
    </w:p>
    <w:p w14:paraId="3D14A8CF" w14:textId="77777777" w:rsidR="00772179" w:rsidRDefault="00000000">
      <w:r>
        <w:t>Il s'agit de la réalisation d'une isolation en perlite expansée suivant les prescriptions de l'article 32.44.2e Isolation à souffler - perlite expansée.</w:t>
      </w:r>
    </w:p>
    <w:p w14:paraId="5C9CDFEB" w14:textId="77777777" w:rsidR="00772179" w:rsidRDefault="00000000">
      <w:pPr>
        <w:pStyle w:val="pheading"/>
      </w:pPr>
      <w:r>
        <w:t>MATÉRIAUX</w:t>
      </w:r>
    </w:p>
    <w:p w14:paraId="09472898" w14:textId="77777777" w:rsidR="00772179" w:rsidRDefault="00000000">
      <w:pPr>
        <w:pStyle w:val="pheading"/>
      </w:pPr>
      <w:r>
        <w:t>- Caractéristiques générales</w:t>
      </w:r>
    </w:p>
    <w:p w14:paraId="09ED0A1E" w14:textId="77777777" w:rsidR="00772179" w:rsidRDefault="00000000">
      <w:r>
        <w:t>Voir 32.44.2e Isolation à souffler - perlite expansée</w:t>
      </w:r>
    </w:p>
    <w:p w14:paraId="65A9CB88" w14:textId="77777777" w:rsidR="00772179" w:rsidRDefault="00000000">
      <w:pPr>
        <w:pStyle w:val="pheading"/>
      </w:pPr>
      <w:r>
        <w:t>DOCUMENTS DE RÉFÉRENCE COMPLÉMENTAIRES</w:t>
      </w:r>
    </w:p>
    <w:p w14:paraId="3DF207CF" w14:textId="77777777" w:rsidR="00772179" w:rsidRDefault="00000000">
      <w:pPr>
        <w:pStyle w:val="pheading"/>
      </w:pPr>
      <w:r>
        <w:t>- Matériau</w:t>
      </w:r>
    </w:p>
    <w:p w14:paraId="09225D27" w14:textId="77777777" w:rsidR="00772179" w:rsidRDefault="00000000">
      <w:r>
        <w:t>32.44.2e Isolation à souffler - perlite expansée</w:t>
      </w:r>
    </w:p>
    <w:p w14:paraId="065C698D" w14:textId="77777777" w:rsidR="00772179" w:rsidRDefault="00000000">
      <w:pPr>
        <w:pStyle w:val="pheading"/>
      </w:pPr>
      <w:r>
        <w:t>- Exécution</w:t>
      </w:r>
    </w:p>
    <w:p w14:paraId="224A0B89" w14:textId="77777777" w:rsidR="00772179" w:rsidRDefault="00000000">
      <w:r>
        <w:lastRenderedPageBreak/>
        <w:t>32.44.2e Isolation à souffler - perlite expansée</w:t>
      </w:r>
    </w:p>
    <w:p w14:paraId="0DA93AEC" w14:textId="77777777" w:rsidR="00772179" w:rsidRDefault="00000000">
      <w:pPr>
        <w:pStyle w:val="pheading"/>
      </w:pPr>
      <w:r>
        <w:t>MESURAGE</w:t>
      </w:r>
    </w:p>
    <w:p w14:paraId="30463365" w14:textId="77777777" w:rsidR="00772179" w:rsidRDefault="00000000">
      <w:pPr>
        <w:pStyle w:val="pheading"/>
      </w:pPr>
      <w:r>
        <w:t>- unité de mesure:</w:t>
      </w:r>
    </w:p>
    <w:p w14:paraId="102E845C" w14:textId="77777777" w:rsidR="00772179" w:rsidRDefault="00000000">
      <w:r>
        <w:t>m³</w:t>
      </w:r>
    </w:p>
    <w:p w14:paraId="639868A7" w14:textId="77777777" w:rsidR="00772179" w:rsidRDefault="00000000">
      <w:pPr>
        <w:pStyle w:val="pheading"/>
      </w:pPr>
      <w:r>
        <w:t>- code de mesurage:</w:t>
      </w:r>
    </w:p>
    <w:p w14:paraId="68F3C773" w14:textId="77777777" w:rsidR="00772179" w:rsidRDefault="00000000">
      <w:r>
        <w:t>Volume net de la construction à isoler, sans déduction des éléments de structure interposés.</w:t>
      </w:r>
      <w:r>
        <w:br/>
        <w:t>Suivant la densité prescrite.</w:t>
      </w:r>
      <w:r>
        <w:br/>
        <w:t>Les ouvertures supérieures à 0,5 m² multipliées par l’épaisseur à réaliser sont déduites.</w:t>
      </w:r>
    </w:p>
    <w:p w14:paraId="6B377F7C" w14:textId="77777777" w:rsidR="00772179" w:rsidRDefault="00000000">
      <w:pPr>
        <w:pStyle w:val="pheading"/>
      </w:pPr>
      <w:r>
        <w:t>- nature du marché:</w:t>
      </w:r>
    </w:p>
    <w:p w14:paraId="4B22A9CA" w14:textId="77777777" w:rsidR="00772179" w:rsidRDefault="00000000">
      <w:r>
        <w:t>QF</w:t>
      </w:r>
    </w:p>
    <w:p w14:paraId="0BD87A09" w14:textId="77777777" w:rsidR="00772179" w:rsidRDefault="00000000">
      <w:pPr>
        <w:pStyle w:val="Author-eSectionHeading5Numberless"/>
      </w:pPr>
      <w:bookmarkStart w:id="1064" w:name="_Toc220490721"/>
      <w:r>
        <w:t>44.44.3 Isolation à souffler - matières végétales CCTB 01.04</w:t>
      </w:r>
      <w:bookmarkEnd w:id="1064"/>
    </w:p>
    <w:p w14:paraId="0ACE61F9" w14:textId="77777777" w:rsidR="00772179" w:rsidRDefault="00000000">
      <w:pPr>
        <w:pStyle w:val="pheading"/>
      </w:pPr>
      <w:r>
        <w:t>EXÉCUTION / MISE EN ŒUVRE</w:t>
      </w:r>
    </w:p>
    <w:p w14:paraId="2A913180" w14:textId="77777777" w:rsidR="00772179" w:rsidRDefault="00000000">
      <w:r>
        <w:t>Voir 32.44.3 Isolation à souffler - matières végétales.</w:t>
      </w:r>
    </w:p>
    <w:p w14:paraId="1F24BD24" w14:textId="77777777" w:rsidR="00772179" w:rsidRDefault="00000000">
      <w:pPr>
        <w:pStyle w:val="pheading"/>
      </w:pPr>
      <w:r>
        <w:t>DOCUMENTS DE RÉFÉRENCE</w:t>
      </w:r>
    </w:p>
    <w:p w14:paraId="5F78C60C" w14:textId="77777777" w:rsidR="00772179" w:rsidRDefault="00000000">
      <w:pPr>
        <w:pStyle w:val="pheading"/>
      </w:pPr>
      <w:r>
        <w:t>- Matériau</w:t>
      </w:r>
    </w:p>
    <w:p w14:paraId="3752AE80" w14:textId="77777777" w:rsidR="00772179" w:rsidRDefault="00000000">
      <w:r>
        <w:t>32.44.3 Isolation à souffler - matières végétales</w:t>
      </w:r>
    </w:p>
    <w:p w14:paraId="79FD2CCD" w14:textId="77777777" w:rsidR="00772179" w:rsidRDefault="00000000">
      <w:pPr>
        <w:pStyle w:val="pheading"/>
      </w:pPr>
      <w:r>
        <w:t>- Exécution</w:t>
      </w:r>
    </w:p>
    <w:p w14:paraId="00ACBF8B" w14:textId="77777777" w:rsidR="00772179" w:rsidRDefault="00000000">
      <w:r>
        <w:t>32.44.3 Isolation à souffler - matières végétales</w:t>
      </w:r>
    </w:p>
    <w:p w14:paraId="7E3CEFC4" w14:textId="77777777" w:rsidR="00772179" w:rsidRDefault="00000000">
      <w:pPr>
        <w:pStyle w:val="Author-eSectionHeading6Numberless"/>
      </w:pPr>
      <w:bookmarkStart w:id="1065" w:name="_Toc220490722"/>
      <w:r>
        <w:t>44.44.3a Isolation à souffler - fibres cellulosiques CCTB 01.11</w:t>
      </w:r>
      <w:bookmarkEnd w:id="1065"/>
    </w:p>
    <w:p w14:paraId="02C71BDB" w14:textId="77777777" w:rsidR="00772179" w:rsidRDefault="00000000">
      <w:pPr>
        <w:pStyle w:val="pheading"/>
      </w:pPr>
      <w:r>
        <w:t>DESCRIPTION</w:t>
      </w:r>
    </w:p>
    <w:p w14:paraId="2B8463EC" w14:textId="77777777" w:rsidR="00772179" w:rsidRDefault="00000000">
      <w:pPr>
        <w:pStyle w:val="pheading"/>
      </w:pPr>
      <w:r>
        <w:t>- Définition / Comprend</w:t>
      </w:r>
    </w:p>
    <w:p w14:paraId="10FA1388" w14:textId="77777777" w:rsidR="00772179" w:rsidRDefault="00000000">
      <w:r>
        <w:t>Il s’agit de la fourniture et mise en œuvre d’une isolation réalisée à l’aide de flocons de laine de cellulose, suivant prescription de l'élément 32.44.3a Isolation à souffler - fibres cellulosiques</w:t>
      </w:r>
    </w:p>
    <w:p w14:paraId="64CBF4C3" w14:textId="77777777" w:rsidR="00772179" w:rsidRDefault="00000000">
      <w:pPr>
        <w:pStyle w:val="pheading"/>
      </w:pPr>
      <w:r>
        <w:t>MATÉRIAUX</w:t>
      </w:r>
    </w:p>
    <w:p w14:paraId="7F79CB0E" w14:textId="77777777" w:rsidR="00772179" w:rsidRDefault="00000000">
      <w:pPr>
        <w:pStyle w:val="pheading"/>
      </w:pPr>
      <w:r>
        <w:t>- Caractéristiques générales</w:t>
      </w:r>
    </w:p>
    <w:p w14:paraId="7E6FDFB4" w14:textId="77777777" w:rsidR="00772179" w:rsidRDefault="00000000">
      <w:r>
        <w:t>Voir 32.44.3a Isolation à souffler - fibres cellulosiques.</w:t>
      </w:r>
    </w:p>
    <w:p w14:paraId="24E5F3E7" w14:textId="77777777" w:rsidR="00772179" w:rsidRDefault="00000000">
      <w:r>
        <w:rPr>
          <w:u w:val="single"/>
        </w:rPr>
        <w:t>Spécifications</w:t>
      </w:r>
    </w:p>
    <w:p w14:paraId="24CAB3F8" w14:textId="77777777" w:rsidR="00772179" w:rsidRDefault="00000000">
      <w:pPr>
        <w:pStyle w:val="Author-eListParagraph"/>
        <w:numPr>
          <w:ilvl w:val="0"/>
          <w:numId w:val="1156"/>
        </w:numPr>
      </w:pPr>
      <w:r>
        <w:rPr>
          <w:rStyle w:val="normalChar"/>
        </w:rPr>
        <w:t>Épaisseur :</w:t>
      </w:r>
      <w:r>
        <w:rPr>
          <w:rStyle w:val="optioncarChar"/>
        </w:rPr>
        <w:t>***</w:t>
      </w:r>
      <w:r>
        <w:t xml:space="preserve"> cm.</w:t>
      </w:r>
    </w:p>
    <w:p w14:paraId="0F66FCC6" w14:textId="77777777" w:rsidR="00772179" w:rsidRDefault="00000000">
      <w:pPr>
        <w:pStyle w:val="Author-eListParagraph"/>
        <w:numPr>
          <w:ilvl w:val="0"/>
          <w:numId w:val="1156"/>
        </w:numPr>
      </w:pPr>
      <w:r>
        <w:t xml:space="preserve">Densité après insufflation : </w:t>
      </w:r>
      <w:r>
        <w:rPr>
          <w:rStyle w:val="optioncarChar"/>
        </w:rPr>
        <w:t>40 / 55 / 60</w:t>
      </w:r>
      <w:r>
        <w:t xml:space="preserve"> Kg/m³, selon l’épaisseur de l’isolant </w:t>
      </w:r>
      <w:r>
        <w:rPr>
          <w:rStyle w:val="optioncarChar"/>
        </w:rPr>
        <w:t>18 / 24 / 30 / + de 30</w:t>
      </w:r>
      <w:r>
        <w:t xml:space="preserve"> cm, suivant </w:t>
      </w:r>
      <w:r>
        <w:rPr>
          <w:rStyle w:val="optioncarChar"/>
        </w:rPr>
        <w:t>***</w:t>
      </w:r>
      <w:r>
        <w:t>.</w:t>
      </w:r>
    </w:p>
    <w:p w14:paraId="7CFBFCEF" w14:textId="77777777" w:rsidR="00772179" w:rsidRDefault="00000000">
      <w:pPr>
        <w:pStyle w:val="Author-eListParagraph"/>
        <w:numPr>
          <w:ilvl w:val="0"/>
          <w:numId w:val="1156"/>
        </w:numPr>
      </w:pPr>
      <w:r>
        <w:t xml:space="preserve">Valeur lambda déclaré: ≥ </w:t>
      </w:r>
      <w:r>
        <w:rPr>
          <w:rStyle w:val="optioncarChar"/>
        </w:rPr>
        <w:t xml:space="preserve">0,043 </w:t>
      </w:r>
      <w:r>
        <w:t>(par défaut)</w:t>
      </w:r>
      <w:r>
        <w:rPr>
          <w:rStyle w:val="optioncarChar"/>
        </w:rPr>
        <w:t xml:space="preserve"> / ***</w:t>
      </w:r>
      <w:r>
        <w:t xml:space="preserve"> W/mK, suivant [NBN EN ISO 10456] </w:t>
      </w:r>
      <w:r>
        <w:rPr>
          <w:rStyle w:val="optioncarChar"/>
        </w:rPr>
        <w:t>/ ***</w:t>
      </w:r>
      <w:r>
        <w:t>.</w:t>
      </w:r>
    </w:p>
    <w:p w14:paraId="6A236830" w14:textId="77777777" w:rsidR="00772179" w:rsidRDefault="00000000">
      <w:pPr>
        <w:pStyle w:val="Author-eListParagraph"/>
        <w:numPr>
          <w:ilvl w:val="0"/>
          <w:numId w:val="1156"/>
        </w:numPr>
      </w:pPr>
      <w:r>
        <w:t xml:space="preserve">Stabilité dimensionnelle : </w:t>
      </w:r>
      <w:r>
        <w:rPr>
          <w:rStyle w:val="optioncarChar"/>
        </w:rPr>
        <w:t>***</w:t>
      </w:r>
      <w:r>
        <w:t xml:space="preserve">, suivant </w:t>
      </w:r>
      <w:r>
        <w:rPr>
          <w:rStyle w:val="optioncarChar"/>
        </w:rPr>
        <w:t>***</w:t>
      </w:r>
      <w:r>
        <w:t>.</w:t>
      </w:r>
    </w:p>
    <w:p w14:paraId="6B60F3F1" w14:textId="77777777" w:rsidR="00772179" w:rsidRDefault="00000000">
      <w:pPr>
        <w:pStyle w:val="Author-eListParagraph"/>
        <w:numPr>
          <w:ilvl w:val="0"/>
          <w:numId w:val="1156"/>
        </w:numPr>
      </w:pPr>
      <w:r>
        <w:t xml:space="preserve">Réaction au feu : </w:t>
      </w:r>
      <w:r>
        <w:rPr>
          <w:rStyle w:val="optioncarChar"/>
        </w:rPr>
        <w:t xml:space="preserve">B-s2, d0 </w:t>
      </w:r>
      <w:r>
        <w:t>(par défaut)</w:t>
      </w:r>
      <w:r>
        <w:rPr>
          <w:rStyle w:val="optioncarChar"/>
        </w:rPr>
        <w:t xml:space="preserve"> / ***</w:t>
      </w:r>
      <w:r>
        <w:t xml:space="preserve">, suivant </w:t>
      </w:r>
      <w:r>
        <w:rPr>
          <w:rStyle w:val="optioncarChar"/>
        </w:rPr>
        <w:t>*** / [NBN EN 13501-1]</w:t>
      </w:r>
      <w:r>
        <w:t>.</w:t>
      </w:r>
    </w:p>
    <w:p w14:paraId="017B6415" w14:textId="77777777" w:rsidR="00772179" w:rsidRDefault="00000000">
      <w:pPr>
        <w:pStyle w:val="Author-eListParagraph"/>
        <w:numPr>
          <w:ilvl w:val="0"/>
          <w:numId w:val="1156"/>
        </w:numPr>
      </w:pPr>
      <w:r>
        <w:rPr>
          <w:rStyle w:val="normalChar"/>
        </w:rPr>
        <w:t>Acoustique :</w:t>
      </w:r>
      <w:r>
        <w:rPr>
          <w:rStyle w:val="optioncarChar"/>
        </w:rPr>
        <w:t>***</w:t>
      </w:r>
      <w:r>
        <w:t xml:space="preserve">, suivant </w:t>
      </w:r>
      <w:r>
        <w:rPr>
          <w:rStyle w:val="optioncarChar"/>
        </w:rPr>
        <w:t>***</w:t>
      </w:r>
      <w:r>
        <w:t>.</w:t>
      </w:r>
    </w:p>
    <w:p w14:paraId="75BB3319" w14:textId="77777777" w:rsidR="00772179" w:rsidRDefault="00000000">
      <w:pPr>
        <w:pStyle w:val="Author-eListParagraph"/>
        <w:numPr>
          <w:ilvl w:val="0"/>
          <w:numId w:val="1156"/>
        </w:numPr>
      </w:pPr>
      <w:r>
        <w:t xml:space="preserve">Teneur en humidité : </w:t>
      </w:r>
      <w:r>
        <w:rPr>
          <w:rStyle w:val="optioncarChar"/>
        </w:rPr>
        <w:t xml:space="preserve">8 / 10 </w:t>
      </w:r>
      <w:r>
        <w:t>%, suivant</w:t>
      </w:r>
      <w:r>
        <w:rPr>
          <w:rStyle w:val="optioncarChar"/>
        </w:rPr>
        <w:t xml:space="preserve"> ***</w:t>
      </w:r>
      <w:r>
        <w:t>.</w:t>
      </w:r>
    </w:p>
    <w:p w14:paraId="29A42C23" w14:textId="77777777" w:rsidR="00772179" w:rsidRDefault="00000000">
      <w:pPr>
        <w:pStyle w:val="Author-eListParagraph"/>
        <w:numPr>
          <w:ilvl w:val="0"/>
          <w:numId w:val="1156"/>
        </w:numPr>
      </w:pPr>
      <w:r>
        <w:t xml:space="preserve">Facteur de résistance à la diffusion de vapeur : μ = </w:t>
      </w:r>
      <w:r>
        <w:rPr>
          <w:rStyle w:val="optioncarChar"/>
        </w:rPr>
        <w:t xml:space="preserve">1 - 2 </w:t>
      </w:r>
      <w:r>
        <w:t>(par défaut)</w:t>
      </w:r>
      <w:r>
        <w:rPr>
          <w:rStyle w:val="optioncarChar"/>
        </w:rPr>
        <w:t xml:space="preserve"> / ***</w:t>
      </w:r>
      <w:r>
        <w:t xml:space="preserve">, suivant </w:t>
      </w:r>
      <w:r>
        <w:rPr>
          <w:rStyle w:val="optioncarChar"/>
        </w:rPr>
        <w:t>***</w:t>
      </w:r>
      <w:r>
        <w:t>.</w:t>
      </w:r>
    </w:p>
    <w:p w14:paraId="1A3E08DE" w14:textId="77777777" w:rsidR="00772179" w:rsidRDefault="00000000">
      <w:pPr>
        <w:pStyle w:val="pheading"/>
      </w:pPr>
      <w:r>
        <w:t>EXÉCUTION / MISE EN ŒUVRE</w:t>
      </w:r>
    </w:p>
    <w:p w14:paraId="58E6F16E" w14:textId="77777777" w:rsidR="00772179" w:rsidRDefault="00000000">
      <w:pPr>
        <w:pStyle w:val="pheading"/>
      </w:pPr>
      <w:r>
        <w:t>- Prescriptions générales</w:t>
      </w:r>
    </w:p>
    <w:p w14:paraId="2EC8FF6D" w14:textId="77777777" w:rsidR="00772179" w:rsidRDefault="00000000">
      <w:r>
        <w:t>Voir 32.44.3a Isolation à souffler - fibres cellulosiques</w:t>
      </w:r>
    </w:p>
    <w:p w14:paraId="6FFBB2BD" w14:textId="77777777" w:rsidR="00772179" w:rsidRDefault="00000000">
      <w:pPr>
        <w:pStyle w:val="pheading"/>
      </w:pPr>
      <w:r>
        <w:t>DOCUMENTS DE RÉFÉRENCE COMPLÉMENTAIRES</w:t>
      </w:r>
    </w:p>
    <w:p w14:paraId="2604FB11" w14:textId="77777777" w:rsidR="00772179" w:rsidRDefault="00000000">
      <w:pPr>
        <w:pStyle w:val="pheading"/>
      </w:pPr>
      <w:r>
        <w:lastRenderedPageBreak/>
        <w:t>- Matériau</w:t>
      </w:r>
    </w:p>
    <w:p w14:paraId="28207F23" w14:textId="77777777" w:rsidR="00772179" w:rsidRDefault="00000000">
      <w:r>
        <w:t>32.44.3a Isolation à souffler - fibres cellulosiques</w:t>
      </w:r>
    </w:p>
    <w:p w14:paraId="01BA31E4" w14:textId="77777777" w:rsidR="00772179" w:rsidRDefault="00000000">
      <w:pPr>
        <w:pStyle w:val="pheading"/>
      </w:pPr>
      <w:r>
        <w:t>- Exécution</w:t>
      </w:r>
    </w:p>
    <w:p w14:paraId="5F18B8F0" w14:textId="77777777" w:rsidR="00772179" w:rsidRDefault="00000000">
      <w:r>
        <w:t>32.44.3a Isolation à souffler - fibres cellulosiques</w:t>
      </w:r>
    </w:p>
    <w:p w14:paraId="527BC979" w14:textId="77777777" w:rsidR="00772179" w:rsidRDefault="00000000">
      <w:pPr>
        <w:pStyle w:val="pheading"/>
      </w:pPr>
      <w:r>
        <w:t>MESURAGE</w:t>
      </w:r>
    </w:p>
    <w:p w14:paraId="71ED0238" w14:textId="77777777" w:rsidR="00772179" w:rsidRDefault="00000000">
      <w:pPr>
        <w:pStyle w:val="pheading"/>
      </w:pPr>
      <w:r>
        <w:t>- unité de mesure:</w:t>
      </w:r>
    </w:p>
    <w:p w14:paraId="2C7B0153" w14:textId="77777777" w:rsidR="00772179" w:rsidRDefault="00000000">
      <w:r>
        <w:t>m³</w:t>
      </w:r>
    </w:p>
    <w:p w14:paraId="05EEA50C" w14:textId="77777777" w:rsidR="00772179" w:rsidRDefault="00000000">
      <w:pPr>
        <w:pStyle w:val="pheading"/>
      </w:pPr>
      <w:r>
        <w:t>- code de mesurage:</w:t>
      </w:r>
    </w:p>
    <w:p w14:paraId="2F3E734F" w14:textId="77777777" w:rsidR="00772179" w:rsidRDefault="00000000">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09DA6F26" w14:textId="77777777" w:rsidR="00772179" w:rsidRDefault="00000000">
      <w:pPr>
        <w:pStyle w:val="pheading"/>
      </w:pPr>
      <w:r>
        <w:t>- nature du marché:</w:t>
      </w:r>
    </w:p>
    <w:p w14:paraId="1BE6C94B" w14:textId="77777777" w:rsidR="00772179" w:rsidRDefault="00000000">
      <w:r>
        <w:t>QF</w:t>
      </w:r>
    </w:p>
    <w:p w14:paraId="7FC4F678" w14:textId="77777777" w:rsidR="00772179" w:rsidRDefault="00000000">
      <w:pPr>
        <w:pStyle w:val="Author-eSectionHeading6Numberless"/>
      </w:pPr>
      <w:bookmarkStart w:id="1066" w:name="_Toc220490723"/>
      <w:r>
        <w:t>44.44.3b Isolation à souffler - granulés d'argile expansée CCTB 01.10</w:t>
      </w:r>
      <w:bookmarkEnd w:id="1066"/>
    </w:p>
    <w:p w14:paraId="42304A96" w14:textId="77777777" w:rsidR="00772179" w:rsidRDefault="00000000">
      <w:pPr>
        <w:pStyle w:val="pheading"/>
      </w:pPr>
      <w:r>
        <w:t>DESCRIPTION</w:t>
      </w:r>
    </w:p>
    <w:p w14:paraId="51AA3309" w14:textId="77777777" w:rsidR="00772179" w:rsidRDefault="00000000">
      <w:pPr>
        <w:pStyle w:val="pheading"/>
      </w:pPr>
      <w:r>
        <w:t>- Définition / Comprend</w:t>
      </w:r>
    </w:p>
    <w:p w14:paraId="0974B23F" w14:textId="77777777" w:rsidR="00772179" w:rsidRDefault="00000000">
      <w:r>
        <w:t>Il s'agit de la réalisation d'une isolation en granulés d'argile expansée suivant les prescriptions de l'article 32.44.3b Isolation à souffler - granulés d'argile expansée.</w:t>
      </w:r>
    </w:p>
    <w:p w14:paraId="5CE6C36C" w14:textId="77777777" w:rsidR="00772179" w:rsidRDefault="00000000">
      <w:pPr>
        <w:pStyle w:val="pheading"/>
      </w:pPr>
      <w:r>
        <w:t>MATÉRIAUX</w:t>
      </w:r>
    </w:p>
    <w:p w14:paraId="1BE3EA57" w14:textId="77777777" w:rsidR="00772179" w:rsidRDefault="00000000">
      <w:pPr>
        <w:pStyle w:val="pheading"/>
      </w:pPr>
      <w:r>
        <w:t>- Caractéristiques générales</w:t>
      </w:r>
    </w:p>
    <w:p w14:paraId="11A1D8DC" w14:textId="77777777" w:rsidR="00772179" w:rsidRDefault="00000000">
      <w:r>
        <w:t>Voir 32.44.3b Isolation à souffler - granulés d'argile expansée</w:t>
      </w:r>
    </w:p>
    <w:p w14:paraId="09092DD1" w14:textId="77777777" w:rsidR="00772179" w:rsidRDefault="00000000">
      <w:pPr>
        <w:pStyle w:val="heading"/>
      </w:pPr>
      <w:r>
        <w:t>Spécifications</w:t>
      </w:r>
    </w:p>
    <w:p w14:paraId="402F5FC0" w14:textId="77777777" w:rsidR="00772179" w:rsidRDefault="00000000">
      <w:r>
        <w:t xml:space="preserve">L’épaisseur d’isolation créée : </w:t>
      </w:r>
      <w:r>
        <w:rPr>
          <w:rStyle w:val="optioncarChar"/>
        </w:rPr>
        <w:t>***</w:t>
      </w:r>
      <w:r>
        <w:t xml:space="preserve"> cm</w:t>
      </w:r>
    </w:p>
    <w:p w14:paraId="747924C2" w14:textId="77777777" w:rsidR="00772179" w:rsidRDefault="00000000">
      <w:r>
        <w:rPr>
          <w:u w:val="single"/>
        </w:rPr>
        <w:t>Caractéristiques de base :</w:t>
      </w:r>
    </w:p>
    <w:p w14:paraId="668428C6" w14:textId="77777777" w:rsidR="00772179" w:rsidRDefault="00000000">
      <w:pPr>
        <w:pStyle w:val="Author-eListParagraph"/>
        <w:numPr>
          <w:ilvl w:val="0"/>
          <w:numId w:val="1157"/>
        </w:numPr>
      </w:pPr>
      <w:r>
        <w:t xml:space="preserve">Conductivité thermique, valeur lambda déclarée : ≤ </w:t>
      </w:r>
      <w:r>
        <w:rPr>
          <w:rStyle w:val="optioncarChar"/>
        </w:rPr>
        <w:t>0.15</w:t>
      </w:r>
      <w:r>
        <w:t xml:space="preserve"> W/mK</w:t>
      </w:r>
    </w:p>
    <w:p w14:paraId="771D2F55" w14:textId="77777777" w:rsidR="00772179" w:rsidRDefault="00000000">
      <w:pPr>
        <w:pStyle w:val="Author-eListParagraph"/>
        <w:numPr>
          <w:ilvl w:val="0"/>
          <w:numId w:val="1157"/>
        </w:numPr>
      </w:pPr>
      <w:r>
        <w:t xml:space="preserve">Masse volumique nominale : ≥ </w:t>
      </w:r>
      <w:r>
        <w:rPr>
          <w:rStyle w:val="optioncarChar"/>
        </w:rPr>
        <w:t xml:space="preserve">*** </w:t>
      </w:r>
      <w:r>
        <w:t>kg/m³</w:t>
      </w:r>
    </w:p>
    <w:p w14:paraId="35ADD64D" w14:textId="77777777" w:rsidR="00772179" w:rsidRDefault="00000000">
      <w:pPr>
        <w:pStyle w:val="Author-eListParagraph"/>
        <w:numPr>
          <w:ilvl w:val="0"/>
          <w:numId w:val="1157"/>
        </w:numPr>
      </w:pPr>
      <w:r>
        <w:t xml:space="preserve">Réaction au feu : classe </w:t>
      </w:r>
      <w:r>
        <w:rPr>
          <w:rStyle w:val="optioncarChar"/>
        </w:rPr>
        <w:t>F / E / D / C / B / A2 / A1</w:t>
      </w:r>
      <w:r>
        <w:t> (par défaut)</w:t>
      </w:r>
    </w:p>
    <w:p w14:paraId="69031CB7" w14:textId="77777777" w:rsidR="00772179" w:rsidRDefault="00000000">
      <w:r>
        <w:t>Les caractéristiques mécaniques complémentaires sont :</w:t>
      </w:r>
    </w:p>
    <w:p w14:paraId="37718308" w14:textId="77777777" w:rsidR="00772179" w:rsidRDefault="00000000">
      <w:pPr>
        <w:pStyle w:val="Author-eListParagraph"/>
        <w:numPr>
          <w:ilvl w:val="0"/>
          <w:numId w:val="1158"/>
        </w:numPr>
      </w:pPr>
      <w:r>
        <w:t xml:space="preserve">La résistance à l’écrasement est &gt; </w:t>
      </w:r>
      <w:r>
        <w:rPr>
          <w:rStyle w:val="optioncarChar"/>
        </w:rPr>
        <w:t>***</w:t>
      </w:r>
      <w:r>
        <w:t xml:space="preserve"> N/mm²</w:t>
      </w:r>
    </w:p>
    <w:p w14:paraId="18BC88A0" w14:textId="77777777" w:rsidR="00772179" w:rsidRDefault="00000000">
      <w:pPr>
        <w:pStyle w:val="Author-eListParagraph"/>
        <w:numPr>
          <w:ilvl w:val="0"/>
          <w:numId w:val="1158"/>
        </w:numPr>
      </w:pPr>
      <w:r>
        <w:t xml:space="preserve">Le classement en réaction au feu : </w:t>
      </w:r>
      <w:r>
        <w:rPr>
          <w:rStyle w:val="optioncarChar"/>
        </w:rPr>
        <w:t>***</w:t>
      </w:r>
      <w:r>
        <w:t> </w:t>
      </w:r>
    </w:p>
    <w:p w14:paraId="13D216E1" w14:textId="77777777" w:rsidR="00772179" w:rsidRDefault="00000000">
      <w:pPr>
        <w:pStyle w:val="Author-eListParagraph"/>
        <w:numPr>
          <w:ilvl w:val="0"/>
          <w:numId w:val="1158"/>
        </w:numPr>
      </w:pPr>
      <w:r>
        <w:t xml:space="preserve">La hauteur de succion d’eau est </w:t>
      </w:r>
      <w:r>
        <w:rPr>
          <w:rStyle w:val="optioncarChar"/>
        </w:rPr>
        <w:t>***</w:t>
      </w:r>
      <w:r>
        <w:t xml:space="preserve"> mm</w:t>
      </w:r>
    </w:p>
    <w:p w14:paraId="7DC4646A" w14:textId="77777777" w:rsidR="00772179" w:rsidRDefault="00000000">
      <w:pPr>
        <w:pStyle w:val="pheading"/>
      </w:pPr>
      <w:r>
        <w:t>EXÉCUTION / MISE EN ŒUVRE</w:t>
      </w:r>
    </w:p>
    <w:p w14:paraId="724D3CED" w14:textId="77777777" w:rsidR="00772179" w:rsidRDefault="00000000">
      <w:pPr>
        <w:pStyle w:val="pheading"/>
      </w:pPr>
      <w:r>
        <w:t>- Prescriptions générales</w:t>
      </w:r>
    </w:p>
    <w:p w14:paraId="18274B35" w14:textId="77777777" w:rsidR="00772179" w:rsidRDefault="00000000">
      <w:r>
        <w:t>Voir 32.44.3b Isolation à souffler - granulés d'argile expansée</w:t>
      </w:r>
    </w:p>
    <w:p w14:paraId="367CF484" w14:textId="77777777" w:rsidR="00772179" w:rsidRDefault="00000000">
      <w:pPr>
        <w:pStyle w:val="pheading"/>
      </w:pPr>
      <w:r>
        <w:t>DOCUMENTS DE RÉFÉRENCE COMPLÉMENTAIRES</w:t>
      </w:r>
    </w:p>
    <w:p w14:paraId="72BD31A2" w14:textId="77777777" w:rsidR="00772179" w:rsidRDefault="00000000">
      <w:pPr>
        <w:pStyle w:val="pheading"/>
      </w:pPr>
      <w:r>
        <w:t>- Matériau</w:t>
      </w:r>
    </w:p>
    <w:p w14:paraId="5F261134" w14:textId="77777777" w:rsidR="00772179" w:rsidRDefault="00000000">
      <w:r>
        <w:t>32.44.3b Isolation à souffler - granulés d'argile expansée</w:t>
      </w:r>
    </w:p>
    <w:p w14:paraId="526EF3BF" w14:textId="77777777" w:rsidR="00772179" w:rsidRDefault="00000000">
      <w:pPr>
        <w:pStyle w:val="pheading"/>
      </w:pPr>
      <w:r>
        <w:t>- Exécution</w:t>
      </w:r>
    </w:p>
    <w:p w14:paraId="0589C9E5" w14:textId="77777777" w:rsidR="00772179" w:rsidRDefault="00000000">
      <w:r>
        <w:lastRenderedPageBreak/>
        <w:t>32.44.3b Isolation à souffler - granulés d'argile expansée</w:t>
      </w:r>
    </w:p>
    <w:p w14:paraId="12131210" w14:textId="77777777" w:rsidR="00772179" w:rsidRDefault="00000000">
      <w:pPr>
        <w:pStyle w:val="pheading"/>
      </w:pPr>
      <w:r>
        <w:t>MESURAGE</w:t>
      </w:r>
    </w:p>
    <w:p w14:paraId="00A8A850" w14:textId="77777777" w:rsidR="00772179" w:rsidRDefault="00000000">
      <w:pPr>
        <w:pStyle w:val="pheading"/>
      </w:pPr>
      <w:r>
        <w:t>- unité de mesure:</w:t>
      </w:r>
    </w:p>
    <w:p w14:paraId="614DB6E3" w14:textId="77777777" w:rsidR="00772179" w:rsidRDefault="00000000">
      <w:r>
        <w:t>m³</w:t>
      </w:r>
    </w:p>
    <w:p w14:paraId="7D6E1AA6" w14:textId="77777777" w:rsidR="00772179" w:rsidRDefault="00000000">
      <w:pPr>
        <w:pStyle w:val="pheading"/>
      </w:pPr>
      <w:r>
        <w:t>- code de mesurage:</w:t>
      </w:r>
    </w:p>
    <w:p w14:paraId="04014519" w14:textId="77777777" w:rsidR="00772179" w:rsidRDefault="00000000">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3FC48E0C" w14:textId="77777777" w:rsidR="00772179" w:rsidRDefault="00000000">
      <w:pPr>
        <w:pStyle w:val="pheading"/>
      </w:pPr>
      <w:r>
        <w:t>- nature du marché:</w:t>
      </w:r>
    </w:p>
    <w:p w14:paraId="728A4483" w14:textId="77777777" w:rsidR="00772179" w:rsidRDefault="00000000">
      <w:r>
        <w:t>QF</w:t>
      </w:r>
    </w:p>
    <w:p w14:paraId="3D7353D8" w14:textId="77777777" w:rsidR="00772179" w:rsidRDefault="00000000">
      <w:pPr>
        <w:pStyle w:val="Author-eSectionHeading6Numberless"/>
      </w:pPr>
      <w:bookmarkStart w:id="1067" w:name="_Toc220490724"/>
      <w:r>
        <w:t>44.44.3c Isolation à souffler - fibres de lin CCTB 01.11</w:t>
      </w:r>
      <w:bookmarkEnd w:id="1067"/>
    </w:p>
    <w:p w14:paraId="0C6461DC" w14:textId="77777777" w:rsidR="00772179" w:rsidRDefault="00000000">
      <w:pPr>
        <w:pStyle w:val="pheading"/>
      </w:pPr>
      <w:r>
        <w:t>DESCRIPTION</w:t>
      </w:r>
    </w:p>
    <w:p w14:paraId="020AE6FA" w14:textId="77777777" w:rsidR="00772179" w:rsidRDefault="00000000">
      <w:pPr>
        <w:pStyle w:val="pheading"/>
      </w:pPr>
      <w:r>
        <w:t>- Définition / Comprend</w:t>
      </w:r>
    </w:p>
    <w:p w14:paraId="774BC52E" w14:textId="77777777" w:rsidR="00772179" w:rsidRDefault="00000000">
      <w:r>
        <w:t>L’isolation est réalisée à l’aide de fibres courtes de lin suivant prescriptions de l'article 32.44.3c Isolation à souffler - fibres de lin.</w:t>
      </w:r>
    </w:p>
    <w:p w14:paraId="30D8770A" w14:textId="77777777" w:rsidR="00772179" w:rsidRDefault="00000000">
      <w:pPr>
        <w:pStyle w:val="pheading"/>
      </w:pPr>
      <w:r>
        <w:t>MATÉRIAUX</w:t>
      </w:r>
    </w:p>
    <w:p w14:paraId="7B5B98D0" w14:textId="77777777" w:rsidR="00772179" w:rsidRDefault="00000000">
      <w:pPr>
        <w:pStyle w:val="pheading"/>
      </w:pPr>
      <w:r>
        <w:t>- Caractéristiques générales</w:t>
      </w:r>
    </w:p>
    <w:p w14:paraId="04027022" w14:textId="77777777" w:rsidR="00772179" w:rsidRDefault="00000000">
      <w:r>
        <w:t>Voir 32.44.3c Isolation à souffler - fibres de lin</w:t>
      </w:r>
    </w:p>
    <w:p w14:paraId="6C947289" w14:textId="77777777" w:rsidR="00772179" w:rsidRDefault="00000000">
      <w:pPr>
        <w:pStyle w:val="Author-eListParagraph"/>
        <w:numPr>
          <w:ilvl w:val="0"/>
          <w:numId w:val="1159"/>
        </w:numPr>
      </w:pPr>
      <w:r>
        <w:t xml:space="preserve">Epaisseur : </w:t>
      </w:r>
      <w:r>
        <w:rPr>
          <w:rStyle w:val="optioncarChar"/>
        </w:rPr>
        <w:t>***</w:t>
      </w:r>
      <w:r>
        <w:t xml:space="preserve"> mm</w:t>
      </w:r>
    </w:p>
    <w:p w14:paraId="15FAD5BA" w14:textId="77777777" w:rsidR="00772179" w:rsidRDefault="00000000">
      <w:pPr>
        <w:pStyle w:val="Author-eListParagraph"/>
        <w:numPr>
          <w:ilvl w:val="0"/>
          <w:numId w:val="1159"/>
        </w:numPr>
      </w:pPr>
      <w:r>
        <w:t>Taux de fibres naturelles : ≥ </w:t>
      </w:r>
      <w:r>
        <w:rPr>
          <w:rStyle w:val="optioncarChar"/>
        </w:rPr>
        <w:t>88</w:t>
      </w:r>
      <w:r>
        <w:t> %.</w:t>
      </w:r>
    </w:p>
    <w:p w14:paraId="52E60009" w14:textId="77777777" w:rsidR="00772179" w:rsidRDefault="00000000">
      <w:pPr>
        <w:pStyle w:val="Author-eListParagraph"/>
        <w:numPr>
          <w:ilvl w:val="0"/>
          <w:numId w:val="1159"/>
        </w:numPr>
      </w:pPr>
      <w:r>
        <w:t xml:space="preserve">Densité après insufflation : </w:t>
      </w:r>
      <w:r>
        <w:rPr>
          <w:rStyle w:val="optioncarChar"/>
        </w:rPr>
        <w:t xml:space="preserve">18 </w:t>
      </w:r>
      <w:r>
        <w:t>(par défaut)</w:t>
      </w:r>
      <w:r>
        <w:rPr>
          <w:rStyle w:val="optioncarChar"/>
        </w:rPr>
        <w:t xml:space="preserve"> / ***</w:t>
      </w:r>
      <w:r>
        <w:t xml:space="preserve"> kg/m³ +/- </w:t>
      </w:r>
      <w:r>
        <w:rPr>
          <w:rStyle w:val="optioncarChar"/>
        </w:rPr>
        <w:t xml:space="preserve">5 </w:t>
      </w:r>
      <w:r>
        <w:t>(par défaut)</w:t>
      </w:r>
      <w:r>
        <w:rPr>
          <w:rStyle w:val="optioncarChar"/>
        </w:rPr>
        <w:t xml:space="preserve"> / ***</w:t>
      </w:r>
      <w:r>
        <w:t xml:space="preserve"> %</w:t>
      </w:r>
    </w:p>
    <w:p w14:paraId="5C9C2D56" w14:textId="77777777" w:rsidR="00772179" w:rsidRDefault="00000000">
      <w:pPr>
        <w:pStyle w:val="Author-eListParagraph"/>
        <w:numPr>
          <w:ilvl w:val="0"/>
          <w:numId w:val="1159"/>
        </w:numPr>
      </w:pPr>
      <w:r>
        <w:t xml:space="preserve">Conductibilité thermique : </w:t>
      </w:r>
      <w:r>
        <w:rPr>
          <w:rStyle w:val="optioncarChar"/>
        </w:rPr>
        <w:t xml:space="preserve">0,037 </w:t>
      </w:r>
      <w:r>
        <w:t xml:space="preserve">(par défaut) </w:t>
      </w:r>
      <w:r>
        <w:rPr>
          <w:rStyle w:val="optioncarChar"/>
        </w:rPr>
        <w:t xml:space="preserve">/ 0,042 / *** </w:t>
      </w:r>
      <w:r>
        <w:t>W/mK</w:t>
      </w:r>
    </w:p>
    <w:p w14:paraId="6E8434CD" w14:textId="77777777" w:rsidR="00772179" w:rsidRDefault="00000000">
      <w:pPr>
        <w:pStyle w:val="Author-eListParagraph"/>
        <w:numPr>
          <w:ilvl w:val="0"/>
          <w:numId w:val="1159"/>
        </w:numPr>
      </w:pPr>
      <w:r>
        <w:t xml:space="preserve">Perméabilité à la vapeur d’eau μ : </w:t>
      </w:r>
      <w:r>
        <w:rPr>
          <w:rStyle w:val="optioncarChar"/>
        </w:rPr>
        <w:t xml:space="preserve">1 / *** / 2 </w:t>
      </w:r>
    </w:p>
    <w:p w14:paraId="60EA8047" w14:textId="77777777" w:rsidR="00772179" w:rsidRDefault="00000000">
      <w:pPr>
        <w:pStyle w:val="Author-eListParagraph"/>
        <w:numPr>
          <w:ilvl w:val="0"/>
          <w:numId w:val="1159"/>
        </w:numPr>
      </w:pPr>
      <w:r>
        <w:t>Réaction au feu :</w:t>
      </w:r>
      <w:r>
        <w:rPr>
          <w:rStyle w:val="optioncarChar"/>
        </w:rPr>
        <w:t xml:space="preserve"> C </w:t>
      </w:r>
      <w:r>
        <w:t xml:space="preserve">(par défaut) </w:t>
      </w:r>
      <w:r>
        <w:rPr>
          <w:rStyle w:val="optioncarChar"/>
        </w:rPr>
        <w:t>/ ***</w:t>
      </w:r>
      <w:r>
        <w:t xml:space="preserve"> .</w:t>
      </w:r>
    </w:p>
    <w:p w14:paraId="1F47FB89" w14:textId="77777777" w:rsidR="00772179" w:rsidRDefault="00000000">
      <w:pPr>
        <w:pStyle w:val="Author-eListParagraph"/>
        <w:numPr>
          <w:ilvl w:val="0"/>
          <w:numId w:val="1159"/>
        </w:numPr>
      </w:pPr>
      <w:r>
        <w:t>Atténuation acoustique :</w:t>
      </w:r>
      <w:r>
        <w:rPr>
          <w:rStyle w:val="optioncarChar"/>
        </w:rPr>
        <w:t xml:space="preserve"> *** </w:t>
      </w:r>
      <w:r>
        <w:t>.</w:t>
      </w:r>
    </w:p>
    <w:p w14:paraId="27898525" w14:textId="77777777" w:rsidR="00772179" w:rsidRDefault="00000000">
      <w:pPr>
        <w:pStyle w:val="pheading"/>
      </w:pPr>
      <w:r>
        <w:t>EXÉCUTION / MISE EN ŒUVRE</w:t>
      </w:r>
    </w:p>
    <w:p w14:paraId="61C5B621" w14:textId="77777777" w:rsidR="00772179" w:rsidRDefault="00000000">
      <w:pPr>
        <w:pStyle w:val="pheading"/>
      </w:pPr>
      <w:r>
        <w:t>- Prescriptions générales</w:t>
      </w:r>
    </w:p>
    <w:p w14:paraId="78E8FA15" w14:textId="77777777" w:rsidR="00772179" w:rsidRDefault="00000000">
      <w:r>
        <w:t>Voir 32.44.3c Isolation à souffler - fibres de lin</w:t>
      </w:r>
    </w:p>
    <w:p w14:paraId="1CCEFFA0" w14:textId="77777777" w:rsidR="00772179" w:rsidRDefault="00000000">
      <w:pPr>
        <w:pStyle w:val="pheading"/>
      </w:pPr>
      <w:r>
        <w:t>DOCUMENTS DE RÉFÉRENCE COMPLÉMENTAIRES</w:t>
      </w:r>
    </w:p>
    <w:p w14:paraId="4C316AAD" w14:textId="77777777" w:rsidR="00772179" w:rsidRDefault="00000000">
      <w:pPr>
        <w:pStyle w:val="pheading"/>
      </w:pPr>
      <w:r>
        <w:t>- Matériau</w:t>
      </w:r>
    </w:p>
    <w:p w14:paraId="1ED6489D" w14:textId="77777777" w:rsidR="00772179" w:rsidRDefault="00000000">
      <w:r>
        <w:t>32.44.3c Isolation à souffler - fibres de lin</w:t>
      </w:r>
    </w:p>
    <w:p w14:paraId="1DAC79BE" w14:textId="77777777" w:rsidR="00772179" w:rsidRDefault="00000000">
      <w:pPr>
        <w:pStyle w:val="pheading"/>
      </w:pPr>
      <w:r>
        <w:t>- Exécution</w:t>
      </w:r>
    </w:p>
    <w:p w14:paraId="7CC7252B" w14:textId="77777777" w:rsidR="00772179" w:rsidRDefault="00000000">
      <w:r>
        <w:t>32.44.3c Isolation à souffler - fibres de lin</w:t>
      </w:r>
    </w:p>
    <w:p w14:paraId="7EE9D6D5" w14:textId="77777777" w:rsidR="00772179" w:rsidRDefault="00000000">
      <w:pPr>
        <w:pStyle w:val="pheading"/>
      </w:pPr>
      <w:r>
        <w:t>MESURAGE</w:t>
      </w:r>
    </w:p>
    <w:p w14:paraId="6BE39F17" w14:textId="77777777" w:rsidR="00772179" w:rsidRDefault="00000000">
      <w:pPr>
        <w:pStyle w:val="pheading"/>
      </w:pPr>
      <w:r>
        <w:t>- unité de mesure:</w:t>
      </w:r>
    </w:p>
    <w:p w14:paraId="165B1CFC" w14:textId="77777777" w:rsidR="00772179" w:rsidRDefault="00000000">
      <w:r>
        <w:t>m³</w:t>
      </w:r>
    </w:p>
    <w:p w14:paraId="4073AB1D" w14:textId="77777777" w:rsidR="00772179" w:rsidRDefault="00000000">
      <w:pPr>
        <w:pStyle w:val="pheading"/>
      </w:pPr>
      <w:r>
        <w:t>- code de mesurage:</w:t>
      </w:r>
    </w:p>
    <w:p w14:paraId="307860E3" w14:textId="77777777" w:rsidR="00772179" w:rsidRDefault="00000000">
      <w:r>
        <w:t>Volume net de la construction à isoler, sans déduction des éléments de structure interposés (chevrons / fermes / solives / …).</w:t>
      </w:r>
      <w:r>
        <w:br/>
      </w:r>
      <w:r>
        <w:lastRenderedPageBreak/>
        <w:t>Suivant la densité prescrite.</w:t>
      </w:r>
      <w:r>
        <w:br/>
        <w:t>Les ouvertures &gt; 0,5 m² multipliées par l’épaisseur à réaliser sont déduites.</w:t>
      </w:r>
    </w:p>
    <w:p w14:paraId="1529A6C8" w14:textId="77777777" w:rsidR="00772179" w:rsidRDefault="00000000">
      <w:pPr>
        <w:pStyle w:val="pheading"/>
      </w:pPr>
      <w:r>
        <w:t>- nature du marché:</w:t>
      </w:r>
    </w:p>
    <w:p w14:paraId="79EFF09D" w14:textId="77777777" w:rsidR="00772179" w:rsidRDefault="00000000">
      <w:r>
        <w:t>QF</w:t>
      </w:r>
    </w:p>
    <w:p w14:paraId="04EEAC74" w14:textId="77777777" w:rsidR="00772179" w:rsidRDefault="00000000">
      <w:pPr>
        <w:pStyle w:val="Author-eSectionHeading6Numberless"/>
      </w:pPr>
      <w:bookmarkStart w:id="1068" w:name="_Toc220490725"/>
      <w:r>
        <w:t>44.44.3d Isolation à souffler - fibres de coco CCTB 01.11</w:t>
      </w:r>
      <w:bookmarkEnd w:id="1068"/>
    </w:p>
    <w:p w14:paraId="535A8387" w14:textId="77777777" w:rsidR="00772179" w:rsidRDefault="00000000">
      <w:pPr>
        <w:pStyle w:val="pheading"/>
      </w:pPr>
      <w:r>
        <w:t>DESCRIPTION</w:t>
      </w:r>
    </w:p>
    <w:p w14:paraId="5274C462" w14:textId="77777777" w:rsidR="00772179" w:rsidRDefault="00000000">
      <w:pPr>
        <w:pStyle w:val="pheading"/>
      </w:pPr>
      <w:r>
        <w:t>- Définition / Comprend</w:t>
      </w:r>
    </w:p>
    <w:p w14:paraId="649EC47B" w14:textId="77777777" w:rsidR="00772179" w:rsidRDefault="00000000">
      <w:r>
        <w:t>L’isolation est réalisée à l’aide de fibres de coco suivant prescriptions de l'article 32.44.3d Isolation à souffler - fibres de coco.</w:t>
      </w:r>
    </w:p>
    <w:p w14:paraId="39E49D91" w14:textId="77777777" w:rsidR="00772179" w:rsidRDefault="00000000">
      <w:pPr>
        <w:pStyle w:val="pheading"/>
      </w:pPr>
      <w:r>
        <w:t>MATÉRIAUX</w:t>
      </w:r>
    </w:p>
    <w:p w14:paraId="127D9952" w14:textId="77777777" w:rsidR="00772179" w:rsidRDefault="00000000">
      <w:pPr>
        <w:pStyle w:val="pheading"/>
      </w:pPr>
      <w:r>
        <w:t>- Caractéristiques générales</w:t>
      </w:r>
    </w:p>
    <w:p w14:paraId="776FA9DD" w14:textId="77777777" w:rsidR="00772179" w:rsidRDefault="00000000">
      <w:r>
        <w:t>Voir 32.44.3d Isolation à souffler - fibres de coco.</w:t>
      </w:r>
    </w:p>
    <w:p w14:paraId="11D483A4" w14:textId="77777777" w:rsidR="00772179" w:rsidRDefault="00000000">
      <w:pPr>
        <w:pStyle w:val="Author-eListParagraph"/>
        <w:numPr>
          <w:ilvl w:val="0"/>
          <w:numId w:val="1160"/>
        </w:numPr>
      </w:pPr>
      <w:r>
        <w:t>Epaisseur mise en œuvre :</w:t>
      </w:r>
      <w:r>
        <w:rPr>
          <w:rStyle w:val="optioncarChar"/>
        </w:rPr>
        <w:t xml:space="preserve"> ***</w:t>
      </w:r>
      <w:r>
        <w:t xml:space="preserve"> mm</w:t>
      </w:r>
    </w:p>
    <w:p w14:paraId="20CAE3E7" w14:textId="77777777" w:rsidR="00772179" w:rsidRDefault="00000000">
      <w:pPr>
        <w:pStyle w:val="Author-eListParagraph"/>
        <w:numPr>
          <w:ilvl w:val="0"/>
          <w:numId w:val="1160"/>
        </w:numPr>
      </w:pPr>
      <w:r>
        <w:t xml:space="preserve">Densité après insufflation : </w:t>
      </w:r>
      <w:r>
        <w:rPr>
          <w:rStyle w:val="optioncarChar"/>
        </w:rPr>
        <w:t>***</w:t>
      </w:r>
      <w:r>
        <w:t xml:space="preserve"> kg/m³ +/- </w:t>
      </w:r>
      <w:r>
        <w:rPr>
          <w:rStyle w:val="optioncarChar"/>
        </w:rPr>
        <w:t xml:space="preserve">5 </w:t>
      </w:r>
      <w:r>
        <w:t>(par défaut)</w:t>
      </w:r>
      <w:r>
        <w:rPr>
          <w:rStyle w:val="optioncarChar"/>
        </w:rPr>
        <w:t xml:space="preserve"> / ***</w:t>
      </w:r>
      <w:r>
        <w:t xml:space="preserve"> %</w:t>
      </w:r>
    </w:p>
    <w:p w14:paraId="2295C6AC" w14:textId="77777777" w:rsidR="00772179" w:rsidRDefault="00000000">
      <w:pPr>
        <w:pStyle w:val="Author-eListParagraph"/>
        <w:numPr>
          <w:ilvl w:val="0"/>
          <w:numId w:val="1160"/>
        </w:numPr>
      </w:pPr>
      <w:r>
        <w:t xml:space="preserve">Conductibilité thermique lambda déclarée : </w:t>
      </w:r>
      <w:r>
        <w:rPr>
          <w:rStyle w:val="optioncarChar"/>
        </w:rPr>
        <w:t>0,050 </w:t>
      </w:r>
      <w:r>
        <w:t>W/mK</w:t>
      </w:r>
    </w:p>
    <w:p w14:paraId="66F37F56" w14:textId="77777777" w:rsidR="00772179" w:rsidRDefault="00000000">
      <w:pPr>
        <w:pStyle w:val="Author-eListParagraph"/>
        <w:numPr>
          <w:ilvl w:val="0"/>
          <w:numId w:val="1160"/>
        </w:numPr>
      </w:pPr>
      <w:r>
        <w:t xml:space="preserve">Perméabilité à la vapeur d’eau μ : </w:t>
      </w:r>
      <w:r>
        <w:rPr>
          <w:rStyle w:val="optioncarChar"/>
        </w:rPr>
        <w:t xml:space="preserve">1 / 2 </w:t>
      </w:r>
    </w:p>
    <w:p w14:paraId="2668F1B1" w14:textId="77777777" w:rsidR="00772179" w:rsidRDefault="00000000">
      <w:pPr>
        <w:pStyle w:val="Author-eListParagraph"/>
        <w:numPr>
          <w:ilvl w:val="0"/>
          <w:numId w:val="1160"/>
        </w:numPr>
      </w:pPr>
      <w:r>
        <w:t>Réaction au feu :</w:t>
      </w:r>
      <w:r>
        <w:rPr>
          <w:rStyle w:val="optioncarChar"/>
        </w:rPr>
        <w:t xml:space="preserve"> ***</w:t>
      </w:r>
      <w:r>
        <w:t xml:space="preserve"> .</w:t>
      </w:r>
    </w:p>
    <w:p w14:paraId="230CD8E9" w14:textId="77777777" w:rsidR="00772179" w:rsidRDefault="00000000">
      <w:pPr>
        <w:pStyle w:val="Author-eListParagraph"/>
        <w:numPr>
          <w:ilvl w:val="0"/>
          <w:numId w:val="1160"/>
        </w:numPr>
      </w:pPr>
      <w:r>
        <w:t>Atténuation acoustique :</w:t>
      </w:r>
      <w:r>
        <w:rPr>
          <w:rStyle w:val="optioncarChar"/>
        </w:rPr>
        <w:t xml:space="preserve"> *** </w:t>
      </w:r>
      <w:r>
        <w:t>.</w:t>
      </w:r>
    </w:p>
    <w:p w14:paraId="3EEA32AB" w14:textId="77777777" w:rsidR="00772179" w:rsidRDefault="00000000">
      <w:pPr>
        <w:pStyle w:val="pheading"/>
      </w:pPr>
      <w:r>
        <w:t>EXÉCUTION / MISE EN ŒUVRE</w:t>
      </w:r>
    </w:p>
    <w:p w14:paraId="39A6A3A9" w14:textId="77777777" w:rsidR="00772179" w:rsidRDefault="00000000">
      <w:pPr>
        <w:pStyle w:val="pheading"/>
      </w:pPr>
      <w:r>
        <w:t>- Prescriptions générales</w:t>
      </w:r>
    </w:p>
    <w:p w14:paraId="48E1668E" w14:textId="77777777" w:rsidR="00772179" w:rsidRDefault="00000000">
      <w:r>
        <w:t>Voir 32.44.3d Isolation à souffler - fibres de coco.</w:t>
      </w:r>
    </w:p>
    <w:p w14:paraId="0A283F77" w14:textId="77777777" w:rsidR="00772179" w:rsidRDefault="00000000">
      <w:pPr>
        <w:pStyle w:val="pheading"/>
      </w:pPr>
      <w:r>
        <w:t>DOCUMENTS DE RÉFÉRENCE COMPLÉMENTAIRES</w:t>
      </w:r>
    </w:p>
    <w:p w14:paraId="45175E98" w14:textId="77777777" w:rsidR="00772179" w:rsidRDefault="00000000">
      <w:pPr>
        <w:pStyle w:val="pheading"/>
      </w:pPr>
      <w:r>
        <w:t>- Matériau</w:t>
      </w:r>
    </w:p>
    <w:p w14:paraId="2C94C70F" w14:textId="77777777" w:rsidR="00772179" w:rsidRDefault="00000000">
      <w:r>
        <w:t>32.44.3d Isolation à souffler - fibres de coco</w:t>
      </w:r>
    </w:p>
    <w:p w14:paraId="62A55C1F" w14:textId="77777777" w:rsidR="00772179" w:rsidRDefault="00000000">
      <w:pPr>
        <w:pStyle w:val="pheading"/>
      </w:pPr>
      <w:r>
        <w:t>- Exécution</w:t>
      </w:r>
    </w:p>
    <w:p w14:paraId="7CCBEAA6" w14:textId="77777777" w:rsidR="00772179" w:rsidRDefault="00000000">
      <w:r>
        <w:t>32.44.3d Isolation à souffler - fibres de coco</w:t>
      </w:r>
    </w:p>
    <w:p w14:paraId="35F5D6E5" w14:textId="77777777" w:rsidR="00772179" w:rsidRDefault="00000000">
      <w:pPr>
        <w:pStyle w:val="pheading"/>
      </w:pPr>
      <w:r>
        <w:t>MESURAGE</w:t>
      </w:r>
    </w:p>
    <w:p w14:paraId="3341DAF2" w14:textId="77777777" w:rsidR="00772179" w:rsidRDefault="00000000">
      <w:pPr>
        <w:pStyle w:val="pheading"/>
      </w:pPr>
      <w:r>
        <w:t>- unité de mesure:</w:t>
      </w:r>
    </w:p>
    <w:p w14:paraId="007941E5" w14:textId="77777777" w:rsidR="00772179" w:rsidRDefault="00000000">
      <w:r>
        <w:t>m³</w:t>
      </w:r>
    </w:p>
    <w:p w14:paraId="46E1A8B6" w14:textId="77777777" w:rsidR="00772179" w:rsidRDefault="00000000">
      <w:pPr>
        <w:pStyle w:val="pheading"/>
      </w:pPr>
      <w:r>
        <w:t>- code de mesurage:</w:t>
      </w:r>
    </w:p>
    <w:p w14:paraId="5A1222A3" w14:textId="77777777" w:rsidR="00772179" w:rsidRDefault="00000000">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04C7A853" w14:textId="77777777" w:rsidR="00772179" w:rsidRDefault="00000000">
      <w:pPr>
        <w:pStyle w:val="pheading"/>
      </w:pPr>
      <w:r>
        <w:t>- nature du marché:</w:t>
      </w:r>
    </w:p>
    <w:p w14:paraId="7A913B36" w14:textId="77777777" w:rsidR="00772179" w:rsidRDefault="00000000">
      <w:r>
        <w:t>QF</w:t>
      </w:r>
    </w:p>
    <w:p w14:paraId="30997643" w14:textId="77777777" w:rsidR="00772179" w:rsidRDefault="00000000">
      <w:pPr>
        <w:pStyle w:val="Author-eSectionHeading6Numberless"/>
      </w:pPr>
      <w:bookmarkStart w:id="1069" w:name="_Toc220490726"/>
      <w:r>
        <w:t>44.44.3e Isolation à souffler - granulés de liège expansé CCTB 01.11</w:t>
      </w:r>
      <w:bookmarkEnd w:id="1069"/>
    </w:p>
    <w:p w14:paraId="0A5AB4B2" w14:textId="77777777" w:rsidR="00772179" w:rsidRDefault="00000000">
      <w:pPr>
        <w:pStyle w:val="pheading"/>
      </w:pPr>
      <w:r>
        <w:t>DESCRIPTION</w:t>
      </w:r>
    </w:p>
    <w:p w14:paraId="54D2C7A9" w14:textId="77777777" w:rsidR="00772179" w:rsidRDefault="00000000">
      <w:pPr>
        <w:pStyle w:val="pheading"/>
      </w:pPr>
      <w:r>
        <w:t>- Définition / Comprend</w:t>
      </w:r>
    </w:p>
    <w:p w14:paraId="354284AC" w14:textId="77777777" w:rsidR="00772179" w:rsidRDefault="00000000">
      <w:r>
        <w:lastRenderedPageBreak/>
        <w:t>L’isolation est réalisée à l’aide de granulés de liège expansé suivant prescriptions de l'article 32.44.3e Isolation à souffler - granulés de liège expansé.</w:t>
      </w:r>
    </w:p>
    <w:p w14:paraId="53E89200" w14:textId="77777777" w:rsidR="00772179" w:rsidRDefault="00000000">
      <w:pPr>
        <w:pStyle w:val="pheading"/>
      </w:pPr>
      <w:r>
        <w:t>MATÉRIAUX</w:t>
      </w:r>
    </w:p>
    <w:p w14:paraId="1C35E9D6" w14:textId="77777777" w:rsidR="00772179" w:rsidRDefault="00000000">
      <w:pPr>
        <w:pStyle w:val="pheading"/>
      </w:pPr>
      <w:r>
        <w:t>- Caractéristiques générales</w:t>
      </w:r>
    </w:p>
    <w:p w14:paraId="5B58766E" w14:textId="77777777" w:rsidR="00772179" w:rsidRDefault="00000000">
      <w:r>
        <w:t>Voir 32.44.3e Isolation à souffler - granulés de liège expansé</w:t>
      </w:r>
    </w:p>
    <w:p w14:paraId="6BC442EF" w14:textId="77777777" w:rsidR="00772179" w:rsidRDefault="00000000">
      <w:r>
        <w:t xml:space="preserve">Proportion de granulés de liège expansé issus des filières de recyclage de bouchons et d'isolants en liège expansé dans le matériau mis en œuvre : </w:t>
      </w:r>
      <w:r>
        <w:rPr>
          <w:rStyle w:val="optioncarChar"/>
        </w:rPr>
        <w:t xml:space="preserve">0 % </w:t>
      </w:r>
      <w:r>
        <w:t>(par défaut)</w:t>
      </w:r>
      <w:r>
        <w:rPr>
          <w:rStyle w:val="optioncarChar"/>
        </w:rPr>
        <w:t xml:space="preserve"> / *** % </w:t>
      </w:r>
      <w:r>
        <w:t>minimum</w:t>
      </w:r>
      <w:r>
        <w:rPr>
          <w:rStyle w:val="optioncarChar"/>
        </w:rPr>
        <w:t> </w:t>
      </w:r>
      <w:r>
        <w:t>à</w:t>
      </w:r>
      <w:r>
        <w:rPr>
          <w:rStyle w:val="optioncarChar"/>
        </w:rPr>
        <w:t> </w:t>
      </w:r>
      <w:r>
        <w:t>maximum</w:t>
      </w:r>
      <w:r>
        <w:rPr>
          <w:rStyle w:val="optioncarChar"/>
        </w:rPr>
        <w:t xml:space="preserve"> 100 % </w:t>
      </w:r>
      <w:r>
        <w:t>(par défaut)</w:t>
      </w:r>
      <w:r>
        <w:rPr>
          <w:rStyle w:val="optioncarChar"/>
        </w:rPr>
        <w:t xml:space="preserve"> / ***</w:t>
      </w:r>
      <w:r>
        <w:t>.</w:t>
      </w:r>
    </w:p>
    <w:p w14:paraId="6348B705" w14:textId="77777777" w:rsidR="00772179" w:rsidRDefault="00000000">
      <w:pPr>
        <w:pStyle w:val="heading"/>
      </w:pPr>
      <w:r>
        <w:t>Spécifications </w:t>
      </w:r>
    </w:p>
    <w:p w14:paraId="77A21FBE" w14:textId="77777777" w:rsidR="00772179" w:rsidRDefault="00000000">
      <w:r>
        <w:t>Epaisseur d’isolation :</w:t>
      </w:r>
      <w:r>
        <w:rPr>
          <w:rStyle w:val="optioncarChar"/>
        </w:rPr>
        <w:t xml:space="preserve"> *** </w:t>
      </w:r>
      <w:r>
        <w:t>mm.</w:t>
      </w:r>
    </w:p>
    <w:p w14:paraId="21A8AF91" w14:textId="77777777" w:rsidR="00772179" w:rsidRDefault="00000000">
      <w:r>
        <w:rPr>
          <w:u w:val="single"/>
        </w:rPr>
        <w:t>Caractéristiques de base :</w:t>
      </w:r>
    </w:p>
    <w:p w14:paraId="5F6404BF" w14:textId="77777777" w:rsidR="00772179" w:rsidRDefault="00000000">
      <w:pPr>
        <w:pStyle w:val="Author-eListParagraph"/>
        <w:numPr>
          <w:ilvl w:val="0"/>
          <w:numId w:val="1161"/>
        </w:numPr>
      </w:pPr>
      <w:r>
        <w:t xml:space="preserve">Conductivité thermique valeur lambda déclarée : ≤ </w:t>
      </w:r>
      <w:r>
        <w:rPr>
          <w:rStyle w:val="optioncarChar"/>
        </w:rPr>
        <w:t xml:space="preserve">0.041 </w:t>
      </w:r>
      <w:r>
        <w:t>(par défaut)</w:t>
      </w:r>
      <w:r>
        <w:rPr>
          <w:rStyle w:val="optioncarChar"/>
        </w:rPr>
        <w:t xml:space="preserve"> / ***</w:t>
      </w:r>
      <w:r>
        <w:t> W/mK</w:t>
      </w:r>
    </w:p>
    <w:p w14:paraId="1B1700A2" w14:textId="77777777" w:rsidR="00772179" w:rsidRDefault="00000000">
      <w:pPr>
        <w:pStyle w:val="Author-eListParagraph"/>
        <w:numPr>
          <w:ilvl w:val="0"/>
          <w:numId w:val="1161"/>
        </w:numPr>
      </w:pPr>
      <w:r>
        <w:t xml:space="preserve">Masse volumique nominale après insufflation : environ  </w:t>
      </w:r>
      <w:r>
        <w:rPr>
          <w:rStyle w:val="optioncarChar"/>
        </w:rPr>
        <w:t xml:space="preserve">*** </w:t>
      </w:r>
      <w:r>
        <w:t>kg/m³</w:t>
      </w:r>
    </w:p>
    <w:p w14:paraId="5C801A3F" w14:textId="77777777" w:rsidR="00772179" w:rsidRDefault="00000000">
      <w:pPr>
        <w:pStyle w:val="Author-eListParagraph"/>
        <w:numPr>
          <w:ilvl w:val="0"/>
          <w:numId w:val="1161"/>
        </w:numPr>
      </w:pPr>
      <w:r>
        <w:t xml:space="preserve">Réaction au feu  </w:t>
      </w:r>
    </w:p>
    <w:p w14:paraId="397BC318" w14:textId="77777777" w:rsidR="00772179" w:rsidRDefault="00000000">
      <w:pPr>
        <w:pStyle w:val="Author-eListParagraph"/>
        <w:numPr>
          <w:ilvl w:val="1"/>
          <w:numId w:val="1162"/>
        </w:numPr>
      </w:pPr>
      <w:r>
        <w:t xml:space="preserve">Spécifique (ICB nu) – application générale : classe </w:t>
      </w:r>
      <w:r>
        <w:rPr>
          <w:rStyle w:val="optioncarChar"/>
        </w:rPr>
        <w:t xml:space="preserve">E / F </w:t>
      </w:r>
      <w:r>
        <w:t xml:space="preserve"> ou avec additif retardateur au feu : classe </w:t>
      </w:r>
      <w:r>
        <w:rPr>
          <w:rStyle w:val="optioncarChar"/>
        </w:rPr>
        <w:t xml:space="preserve">B / C / D / E / F </w:t>
      </w:r>
      <w:r>
        <w:t>complétée, le cas échéant par les aspects</w:t>
      </w:r>
      <w:r>
        <w:rPr>
          <w:rStyle w:val="optioncarChar"/>
        </w:rPr>
        <w:t xml:space="preserve"> s1 / s2 / s3 </w:t>
      </w:r>
      <w:r>
        <w:t xml:space="preserve"> et </w:t>
      </w:r>
      <w:r>
        <w:rPr>
          <w:rStyle w:val="optioncarChar"/>
        </w:rPr>
        <w:t xml:space="preserve">d0 / d1 / d2 </w:t>
      </w:r>
      <w:r>
        <w:t>  </w:t>
      </w:r>
    </w:p>
    <w:p w14:paraId="5BF85240" w14:textId="77777777" w:rsidR="00772179" w:rsidRDefault="00000000">
      <w:pPr>
        <w:pStyle w:val="Author-eListParagraph"/>
        <w:numPr>
          <w:ilvl w:val="1"/>
          <w:numId w:val="1162"/>
        </w:numPr>
      </w:pPr>
      <w:r>
        <w:t xml:space="preserve">ICB revêtu - « end-use » : classe </w:t>
      </w:r>
      <w:r>
        <w:rPr>
          <w:rStyle w:val="optioncarChar"/>
        </w:rPr>
        <w:t>A1 / A2 / B / C / D / E / F</w:t>
      </w:r>
      <w:r>
        <w:t xml:space="preserve"> complétée, le cas échéant, par les aspects </w:t>
      </w:r>
      <w:r>
        <w:rPr>
          <w:rStyle w:val="optioncarChar"/>
        </w:rPr>
        <w:t xml:space="preserve">s1 / s2 / s3 </w:t>
      </w:r>
      <w:r>
        <w:t xml:space="preserve">et </w:t>
      </w:r>
      <w:r>
        <w:rPr>
          <w:rStyle w:val="optioncarChar"/>
        </w:rPr>
        <w:t>d0 / d1 / d2 </w:t>
      </w:r>
    </w:p>
    <w:p w14:paraId="6078359E" w14:textId="77777777" w:rsidR="00772179" w:rsidRDefault="00000000">
      <w:pPr>
        <w:pStyle w:val="Author-eListParagraph"/>
        <w:numPr>
          <w:ilvl w:val="0"/>
          <w:numId w:val="1161"/>
        </w:numPr>
      </w:pPr>
      <w:r>
        <w:t xml:space="preserve">Teneur en eau : &lt; </w:t>
      </w:r>
      <w:r>
        <w:rPr>
          <w:rStyle w:val="optioncarChar"/>
        </w:rPr>
        <w:t>***</w:t>
      </w:r>
      <w:r>
        <w:t xml:space="preserve"> %</w:t>
      </w:r>
    </w:p>
    <w:p w14:paraId="7EADDC77" w14:textId="77777777" w:rsidR="00772179" w:rsidRDefault="00000000">
      <w:r>
        <w:t> </w:t>
      </w:r>
      <w:r>
        <w:rPr>
          <w:u w:val="single"/>
        </w:rPr>
        <w:t>Autres caractéristiques spécifiques suivant les sollicitations du projet :</w:t>
      </w:r>
      <w:r>
        <w:t> </w:t>
      </w:r>
    </w:p>
    <w:p w14:paraId="6EEFBAE9" w14:textId="77777777" w:rsidR="00772179" w:rsidRDefault="00000000">
      <w:pPr>
        <w:pStyle w:val="Author-eListParagraph"/>
        <w:numPr>
          <w:ilvl w:val="0"/>
          <w:numId w:val="1163"/>
        </w:numPr>
      </w:pPr>
      <w:r>
        <w:t xml:space="preserve">Atténuation acoustique : </w:t>
      </w:r>
      <w:r>
        <w:rPr>
          <w:rStyle w:val="optioncarChar"/>
        </w:rPr>
        <w:t xml:space="preserve">*** </w:t>
      </w:r>
      <w:r>
        <w:t>.</w:t>
      </w:r>
    </w:p>
    <w:p w14:paraId="7DE27C3E" w14:textId="77777777" w:rsidR="00772179" w:rsidRDefault="00000000">
      <w:pPr>
        <w:pStyle w:val="pheading"/>
      </w:pPr>
      <w:r>
        <w:t>EXÉCUTION / MISE EN ŒUVRE</w:t>
      </w:r>
    </w:p>
    <w:p w14:paraId="74C5639C" w14:textId="77777777" w:rsidR="00772179" w:rsidRDefault="00000000">
      <w:pPr>
        <w:pStyle w:val="pheading"/>
      </w:pPr>
      <w:r>
        <w:t>- Prescriptions générales</w:t>
      </w:r>
    </w:p>
    <w:p w14:paraId="538B5912" w14:textId="77777777" w:rsidR="00772179" w:rsidRDefault="00000000">
      <w:r>
        <w:t>Voir 32.44.3e Isolation à souffler - granulés de liège expansé</w:t>
      </w:r>
    </w:p>
    <w:p w14:paraId="23E4FC0E" w14:textId="77777777" w:rsidR="00772179" w:rsidRDefault="00000000">
      <w:pPr>
        <w:pStyle w:val="pheading"/>
      </w:pPr>
      <w:r>
        <w:t>DOCUMENTS DE RÉFÉRENCE COMPLÉMENTAIRES</w:t>
      </w:r>
    </w:p>
    <w:p w14:paraId="22A669DF" w14:textId="77777777" w:rsidR="00772179" w:rsidRDefault="00000000">
      <w:pPr>
        <w:pStyle w:val="pheading"/>
      </w:pPr>
      <w:r>
        <w:t>- Matériau</w:t>
      </w:r>
    </w:p>
    <w:p w14:paraId="6538601C" w14:textId="77777777" w:rsidR="00772179" w:rsidRDefault="00000000">
      <w:r>
        <w:t>32.44.3e Isolation à souffler - granulés de liège expansé</w:t>
      </w:r>
    </w:p>
    <w:p w14:paraId="3ECBF2AE" w14:textId="77777777" w:rsidR="00772179" w:rsidRDefault="00000000">
      <w:pPr>
        <w:pStyle w:val="pheading"/>
      </w:pPr>
      <w:r>
        <w:t>- Exécution</w:t>
      </w:r>
    </w:p>
    <w:p w14:paraId="3129D541" w14:textId="77777777" w:rsidR="00772179" w:rsidRDefault="00000000">
      <w:r>
        <w:t>32.44.3e Isolation à souffler - granulés de liège expansé</w:t>
      </w:r>
    </w:p>
    <w:p w14:paraId="2CE6E280" w14:textId="77777777" w:rsidR="00772179" w:rsidRDefault="00000000">
      <w:pPr>
        <w:pStyle w:val="pheading"/>
      </w:pPr>
      <w:r>
        <w:t>MESURAGE</w:t>
      </w:r>
    </w:p>
    <w:p w14:paraId="308C11B5" w14:textId="77777777" w:rsidR="00772179" w:rsidRDefault="00000000">
      <w:pPr>
        <w:pStyle w:val="pheading"/>
      </w:pPr>
      <w:r>
        <w:t>- unité de mesure:</w:t>
      </w:r>
    </w:p>
    <w:p w14:paraId="089011FE" w14:textId="77777777" w:rsidR="00772179" w:rsidRDefault="00000000">
      <w:r>
        <w:t>m³</w:t>
      </w:r>
    </w:p>
    <w:p w14:paraId="1A0EEA75" w14:textId="77777777" w:rsidR="00772179" w:rsidRDefault="00000000">
      <w:pPr>
        <w:pStyle w:val="pheading"/>
      </w:pPr>
      <w:r>
        <w:t>- code de mesurage:</w:t>
      </w:r>
    </w:p>
    <w:p w14:paraId="49455249" w14:textId="77777777" w:rsidR="00772179" w:rsidRDefault="00000000">
      <w:r>
        <w:t>Volume net de la construction à isoler, sans déduction des éléments de structure interposés (chevrons / fermes / solives / …).</w:t>
      </w:r>
      <w:r>
        <w:br/>
        <w:t>Suivant la densité prescrite.</w:t>
      </w:r>
      <w:r>
        <w:br/>
        <w:t>Les ouvertures &gt; 0,5 m² multipliées par l’épaisseur à réaliser seront déduites.</w:t>
      </w:r>
    </w:p>
    <w:p w14:paraId="037294D0" w14:textId="77777777" w:rsidR="00772179" w:rsidRDefault="00000000">
      <w:pPr>
        <w:pStyle w:val="pheading"/>
      </w:pPr>
      <w:r>
        <w:t>- nature du marché:</w:t>
      </w:r>
    </w:p>
    <w:p w14:paraId="5DC39E51" w14:textId="77777777" w:rsidR="00772179" w:rsidRDefault="00000000">
      <w:r>
        <w:t>QF</w:t>
      </w:r>
    </w:p>
    <w:p w14:paraId="349D7074" w14:textId="77777777" w:rsidR="00772179" w:rsidRDefault="00000000">
      <w:pPr>
        <w:pStyle w:val="Author-eSectionHeading6Numberless"/>
      </w:pPr>
      <w:bookmarkStart w:id="1070" w:name="_Toc220490727"/>
      <w:r>
        <w:t>44.44.3f Isolation à souffler - coton CCTB 01.12</w:t>
      </w:r>
      <w:bookmarkEnd w:id="1070"/>
    </w:p>
    <w:p w14:paraId="16EFE29E" w14:textId="77777777" w:rsidR="00772179" w:rsidRDefault="00000000">
      <w:pPr>
        <w:pStyle w:val="pheading"/>
      </w:pPr>
      <w:r>
        <w:t>DESCRIPTION</w:t>
      </w:r>
    </w:p>
    <w:p w14:paraId="0BD57E06" w14:textId="77777777" w:rsidR="00772179" w:rsidRDefault="00000000">
      <w:pPr>
        <w:pStyle w:val="pheading"/>
      </w:pPr>
      <w:r>
        <w:lastRenderedPageBreak/>
        <w:t>- Définition / Comprend</w:t>
      </w:r>
    </w:p>
    <w:p w14:paraId="18506F9E" w14:textId="77777777" w:rsidR="00772179" w:rsidRDefault="00000000">
      <w:pPr>
        <w:jc w:val="both"/>
      </w:pPr>
      <w:r>
        <w:t>Il s’agit de la fourniture et la pose d’une isolation thermique au moyen de fibres de cotons effilochées traitées, issues du recyclage de tissus à majorité coton.</w:t>
      </w:r>
    </w:p>
    <w:p w14:paraId="60D6C628" w14:textId="77777777" w:rsidR="00772179" w:rsidRDefault="00000000">
      <w:pPr>
        <w:jc w:val="both"/>
      </w:pPr>
      <w:r>
        <w:t>Ces isolants sont utilisés en pose verticale ou horizontale pour une utilisation extérieure.</w:t>
      </w:r>
    </w:p>
    <w:p w14:paraId="2A7CCA7E" w14:textId="77777777" w:rsidR="00772179" w:rsidRDefault="00000000">
      <w:pPr>
        <w:pStyle w:val="pheading"/>
      </w:pPr>
      <w:r>
        <w:t>MATÉRIAUX</w:t>
      </w:r>
    </w:p>
    <w:p w14:paraId="10711513" w14:textId="77777777" w:rsidR="00772179" w:rsidRDefault="00000000">
      <w:pPr>
        <w:pStyle w:val="pheading"/>
      </w:pPr>
      <w:r>
        <w:t>- Caractéristiques générales</w:t>
      </w:r>
    </w:p>
    <w:p w14:paraId="5D423073" w14:textId="77777777" w:rsidR="00772179" w:rsidRDefault="00000000">
      <w:r>
        <w:t>Le produit est constitué de fibres textiles recyclées et effilochées. Le produit est traité avec des adjuvants ignifuges, antibactériens et antifongiques.</w:t>
      </w:r>
      <w:r>
        <w:br/>
        <w:t>Le produit est ensuite conditionné en sacs.</w:t>
      </w:r>
    </w:p>
    <w:p w14:paraId="4F498E9B" w14:textId="77777777" w:rsidR="00772179" w:rsidRDefault="00000000">
      <w:r>
        <w:t>Caractéristiques :</w:t>
      </w:r>
    </w:p>
    <w:p w14:paraId="53F0C08D" w14:textId="77777777" w:rsidR="00772179" w:rsidRDefault="00000000">
      <w:pPr>
        <w:pStyle w:val="Author-eListParagraph"/>
        <w:numPr>
          <w:ilvl w:val="0"/>
          <w:numId w:val="1164"/>
        </w:numPr>
      </w:pPr>
      <w:r>
        <w:t>Épaisseur après insufflation (selon [NBN EN 15101-2]) :</w:t>
      </w:r>
      <w:r>
        <w:rPr>
          <w:rStyle w:val="optioncarChar"/>
        </w:rPr>
        <w:t xml:space="preserve"> ***</w:t>
      </w:r>
      <w:r>
        <w:t xml:space="preserve"> cm.</w:t>
      </w:r>
    </w:p>
    <w:p w14:paraId="5617BECF" w14:textId="77777777" w:rsidR="00772179" w:rsidRDefault="00000000">
      <w:pPr>
        <w:pStyle w:val="Author-eListParagraph"/>
        <w:numPr>
          <w:ilvl w:val="0"/>
          <w:numId w:val="1164"/>
        </w:numPr>
      </w:pPr>
      <w:r>
        <w:t>Masse volumique nominale après insufflation (selon [NBN EN 15101-2]) : ≥</w:t>
      </w:r>
      <w:r>
        <w:rPr>
          <w:rStyle w:val="optioncarChar"/>
        </w:rPr>
        <w:t xml:space="preserve"> 15 </w:t>
      </w:r>
      <w:r>
        <w:t xml:space="preserve">(par défaut) </w:t>
      </w:r>
      <w:r>
        <w:rPr>
          <w:rStyle w:val="optioncarChar"/>
        </w:rPr>
        <w:t>/ ***</w:t>
      </w:r>
      <w:r>
        <w:t xml:space="preserve"> kg/m³.</w:t>
      </w:r>
    </w:p>
    <w:p w14:paraId="67FFE004" w14:textId="77777777" w:rsidR="00772179" w:rsidRDefault="00000000">
      <w:pPr>
        <w:pStyle w:val="Author-eListParagraph"/>
        <w:numPr>
          <w:ilvl w:val="0"/>
          <w:numId w:val="1164"/>
        </w:numPr>
      </w:pPr>
      <w:r>
        <w:t>Conductivité thermique déclarée (selon </w:t>
      </w:r>
      <w:r>
        <w:rPr>
          <w:rStyle w:val="facultChar"/>
        </w:rPr>
        <w:t>[NBN EN 12667]</w:t>
      </w:r>
      <w:r>
        <w:t xml:space="preserve">) : </w:t>
      </w:r>
      <w:r>
        <w:rPr>
          <w:rStyle w:val="optioncarChar"/>
        </w:rPr>
        <w:t xml:space="preserve">0,047 </w:t>
      </w:r>
      <w:r>
        <w:t>(par défaut)</w:t>
      </w:r>
      <w:r>
        <w:rPr>
          <w:rStyle w:val="optioncarChar"/>
        </w:rPr>
        <w:t xml:space="preserve"> / ***</w:t>
      </w:r>
      <w:r>
        <w:t xml:space="preserve"> W/mK</w:t>
      </w:r>
    </w:p>
    <w:p w14:paraId="5E41EAF8" w14:textId="77777777" w:rsidR="00772179" w:rsidRDefault="00000000">
      <w:pPr>
        <w:pStyle w:val="Author-eListParagraph"/>
        <w:numPr>
          <w:ilvl w:val="0"/>
          <w:numId w:val="1164"/>
        </w:numPr>
      </w:pPr>
      <w:r>
        <w:t xml:space="preserve">Classe de tassement : </w:t>
      </w:r>
      <w:r>
        <w:rPr>
          <w:rStyle w:val="optioncarChar"/>
        </w:rPr>
        <w:t>25 (épaisseurs de 150 à 500 mm) / 30 (épaisseurs de 500 à 750 mm) / ***</w:t>
      </w:r>
      <w:r>
        <w:t xml:space="preserve"> %</w:t>
      </w:r>
    </w:p>
    <w:p w14:paraId="21E00D0E" w14:textId="77777777" w:rsidR="00772179" w:rsidRDefault="00000000">
      <w:pPr>
        <w:pStyle w:val="Author-eListParagraph"/>
        <w:numPr>
          <w:ilvl w:val="0"/>
          <w:numId w:val="1164"/>
        </w:numPr>
      </w:pPr>
      <w:r>
        <w:t>Coefficient de résistance à la diffusion de vapeur d’eau – valeur μ (selon</w:t>
      </w:r>
      <w:r>
        <w:rPr>
          <w:rStyle w:val="facultChar"/>
        </w:rPr>
        <w:t>[NBN EN 12086]</w:t>
      </w:r>
      <w:r>
        <w:t xml:space="preserve">) : </w:t>
      </w:r>
      <w:r>
        <w:rPr>
          <w:rStyle w:val="optioncarChar"/>
        </w:rPr>
        <w:t>1 / 2</w:t>
      </w:r>
    </w:p>
    <w:p w14:paraId="2B618736" w14:textId="77777777" w:rsidR="00772179" w:rsidRDefault="00000000">
      <w:pPr>
        <w:pStyle w:val="Author-eListParagraph"/>
        <w:numPr>
          <w:ilvl w:val="0"/>
          <w:numId w:val="1164"/>
        </w:numPr>
      </w:pPr>
      <w:r>
        <w:t xml:space="preserve">Capacité thermique : </w:t>
      </w:r>
      <w:r>
        <w:rPr>
          <w:rStyle w:val="optioncarChar"/>
        </w:rPr>
        <w:t>1,6</w:t>
      </w:r>
      <w:r>
        <w:t xml:space="preserve"> (par défaut) </w:t>
      </w:r>
      <w:r>
        <w:rPr>
          <w:rStyle w:val="optioncarChar"/>
        </w:rPr>
        <w:t>/ ***</w:t>
      </w:r>
      <w:r>
        <w:t xml:space="preserve"> kJ/kg.K</w:t>
      </w:r>
    </w:p>
    <w:p w14:paraId="578CF423" w14:textId="77777777" w:rsidR="00772179" w:rsidRDefault="00000000">
      <w:pPr>
        <w:pStyle w:val="Author-eListParagraph"/>
        <w:numPr>
          <w:ilvl w:val="0"/>
          <w:numId w:val="1164"/>
        </w:numPr>
      </w:pPr>
      <w:r>
        <w:t>Résistance fongique (selon</w:t>
      </w:r>
      <w:r>
        <w:rPr>
          <w:rStyle w:val="facultChar"/>
        </w:rPr>
        <w:t>[NBN EN ISO 846]</w:t>
      </w:r>
      <w:r>
        <w:t xml:space="preserve">) : </w:t>
      </w:r>
      <w:r>
        <w:rPr>
          <w:rStyle w:val="optioncarChar"/>
        </w:rPr>
        <w:t xml:space="preserve"> classe 0 (inerte)</w:t>
      </w:r>
      <w:r>
        <w:t xml:space="preserve"> (par défaut)</w:t>
      </w:r>
      <w:r>
        <w:rPr>
          <w:rStyle w:val="optioncarChar"/>
        </w:rPr>
        <w:t xml:space="preserve"> / ***</w:t>
      </w:r>
    </w:p>
    <w:p w14:paraId="557ED488" w14:textId="77777777" w:rsidR="00772179" w:rsidRDefault="00000000">
      <w:pPr>
        <w:pStyle w:val="Author-eListParagraph"/>
        <w:numPr>
          <w:ilvl w:val="0"/>
          <w:numId w:val="1164"/>
        </w:numPr>
      </w:pPr>
      <w:r>
        <w:t>Classement de la réaction au feu (selon</w:t>
      </w:r>
      <w:r>
        <w:rPr>
          <w:rStyle w:val="facultChar"/>
        </w:rPr>
        <w:t>[NBN EN 13501-1]</w:t>
      </w:r>
      <w:r>
        <w:t xml:space="preserve">) : </w:t>
      </w:r>
      <w:r>
        <w:rPr>
          <w:rStyle w:val="optioncarChar"/>
        </w:rPr>
        <w:t>E</w:t>
      </w:r>
      <w:r>
        <w:t xml:space="preserve"> (par défaut) </w:t>
      </w:r>
      <w:r>
        <w:rPr>
          <w:rStyle w:val="optioncarChar"/>
        </w:rPr>
        <w:t>/ ***</w:t>
      </w:r>
    </w:p>
    <w:p w14:paraId="7DAC3BDF" w14:textId="77777777" w:rsidR="00772179" w:rsidRDefault="00000000">
      <w:pPr>
        <w:pStyle w:val="Author-eListParagraph"/>
        <w:numPr>
          <w:ilvl w:val="0"/>
          <w:numId w:val="1164"/>
        </w:numPr>
      </w:pPr>
      <w:r>
        <w:t xml:space="preserve">Taux de fibres textiles : </w:t>
      </w:r>
      <w:r>
        <w:rPr>
          <w:rStyle w:val="optioncarChar"/>
        </w:rPr>
        <w:t xml:space="preserve">89,0 (+/- 2,2 %) </w:t>
      </w:r>
      <w:r>
        <w:t>(par défaut)</w:t>
      </w:r>
      <w:r>
        <w:rPr>
          <w:rStyle w:val="optioncarChar"/>
        </w:rPr>
        <w:t xml:space="preserve"> / ***</w:t>
      </w:r>
      <w:r>
        <w:t xml:space="preserve"> %</w:t>
      </w:r>
    </w:p>
    <w:p w14:paraId="5381CB61" w14:textId="77777777" w:rsidR="00772179" w:rsidRDefault="00000000">
      <w:pPr>
        <w:pStyle w:val="Author-eListParagraph"/>
        <w:numPr>
          <w:ilvl w:val="0"/>
          <w:numId w:val="1164"/>
        </w:numPr>
      </w:pPr>
      <w:r>
        <w:t xml:space="preserve">Taux minimal de fibres de coton : </w:t>
      </w:r>
      <w:r>
        <w:rPr>
          <w:rStyle w:val="optioncarChar"/>
        </w:rPr>
        <w:t xml:space="preserve">70 </w:t>
      </w:r>
      <w:r>
        <w:t>(par défaut)</w:t>
      </w:r>
      <w:r>
        <w:rPr>
          <w:rStyle w:val="optioncarChar"/>
        </w:rPr>
        <w:t xml:space="preserve"> / ***</w:t>
      </w:r>
      <w:r>
        <w:t xml:space="preserve"> %</w:t>
      </w:r>
    </w:p>
    <w:p w14:paraId="35641B56" w14:textId="77777777" w:rsidR="00772179" w:rsidRDefault="00000000">
      <w:pPr>
        <w:pStyle w:val="Author-eListParagraph"/>
        <w:numPr>
          <w:ilvl w:val="0"/>
          <w:numId w:val="1164"/>
        </w:numPr>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rPr>
          <w:rStyle w:val="facultChar"/>
        </w:rPr>
        <w:t xml:space="preserve">. </w:t>
      </w:r>
      <w:r>
        <w:t xml:space="preserve">Les adjuvants respectent le </w:t>
      </w:r>
      <w:r>
        <w:rPr>
          <w:rStyle w:val="facultChar"/>
        </w:rPr>
        <w:t xml:space="preserve">[Règlement 1907/2006/CE]. </w:t>
      </w:r>
    </w:p>
    <w:p w14:paraId="5C797693" w14:textId="77777777" w:rsidR="00772179" w:rsidRDefault="00000000">
      <w:pPr>
        <w:pStyle w:val="Author-eListParagraph"/>
        <w:numPr>
          <w:ilvl w:val="0"/>
          <w:numId w:val="1164"/>
        </w:numPr>
      </w:pPr>
      <w:r>
        <w:t xml:space="preserve">La concentration maximum des adjuvants est de </w:t>
      </w:r>
      <w:r>
        <w:rPr>
          <w:rStyle w:val="optioncarChar"/>
        </w:rPr>
        <w:t xml:space="preserve">4 </w:t>
      </w:r>
      <w:r>
        <w:t>(par défaut)</w:t>
      </w:r>
      <w:r>
        <w:rPr>
          <w:rStyle w:val="optioncarChar"/>
        </w:rPr>
        <w:t xml:space="preserve"> / ***</w:t>
      </w:r>
      <w:r>
        <w:t xml:space="preserve"> %</w:t>
      </w:r>
    </w:p>
    <w:p w14:paraId="3AC6D86B" w14:textId="77777777" w:rsidR="00772179" w:rsidRDefault="00000000">
      <w:pPr>
        <w:pStyle w:val="Author-eListParagraph"/>
        <w:numPr>
          <w:ilvl w:val="0"/>
          <w:numId w:val="1164"/>
        </w:numPr>
      </w:pPr>
      <w:r>
        <w:t xml:space="preserve">Le matériau dispose d'une déclaration d'aptitude à l'utilisation suivant les prescriptions de l'élément </w:t>
      </w:r>
      <w:r>
        <w:rPr>
          <w:rStyle w:val="facultChar"/>
        </w:rPr>
        <w:t>02.42.1 Critères d'acceptabilité.</w:t>
      </w:r>
    </w:p>
    <w:p w14:paraId="796953BD" w14:textId="77777777" w:rsidR="00772179" w:rsidRDefault="00000000">
      <w:pPr>
        <w:ind w:left="750"/>
      </w:pPr>
      <w:r>
        <w:t> </w:t>
      </w:r>
    </w:p>
    <w:p w14:paraId="58BE75D1" w14:textId="77777777" w:rsidR="00772179" w:rsidRDefault="00000000">
      <w:pPr>
        <w:pStyle w:val="pheading"/>
      </w:pPr>
      <w:r>
        <w:t>EXÉCUTION / MISE EN ŒUVRE</w:t>
      </w:r>
    </w:p>
    <w:p w14:paraId="1DBAAC05" w14:textId="77777777" w:rsidR="00772179" w:rsidRDefault="00000000">
      <w:pPr>
        <w:pStyle w:val="pheading"/>
      </w:pPr>
      <w:r>
        <w:t>- Prescriptions générales</w:t>
      </w:r>
    </w:p>
    <w:p w14:paraId="1D65EE2C" w14:textId="77777777" w:rsidR="00772179" w:rsidRDefault="00000000">
      <w:pPr>
        <w:jc w:val="both"/>
      </w:pPr>
      <w:r>
        <w:t>La matière première est achalandée sur chantier au plus près de la date d'application. Elle est stockée à l'abri des intempéries et dans un local sec.</w:t>
      </w:r>
    </w:p>
    <w:p w14:paraId="6A6EC3DB" w14:textId="77777777" w:rsidR="00772179" w:rsidRDefault="00000000">
      <w:pPr>
        <w:jc w:val="both"/>
      </w:pPr>
      <w:r>
        <w:t>Le soufflage est réalisé par machine pneumatique qui carde et aère le matériau.</w:t>
      </w:r>
    </w:p>
    <w:p w14:paraId="365C9967" w14:textId="77777777" w:rsidR="00772179" w:rsidRDefault="00000000">
      <w:r>
        <w:t>Le plancher support destiné est réalisé sous forme de module fermé suffisamment étanche pour permettre une mise en œuvre sous pression sans perte d’isolation.</w:t>
      </w:r>
    </w:p>
    <w:p w14:paraId="1975CD07" w14:textId="77777777" w:rsidR="00772179" w:rsidRDefault="00000000">
      <w:r>
        <w:t>Il y a lieu de ne pas mettre le matériau en contact avec des conduits de fumée. Il convient de respecter la distance de sécurité minimale prévue dans les normes</w:t>
      </w:r>
      <w:r>
        <w:rPr>
          <w:rStyle w:val="facultChar"/>
        </w:rPr>
        <w:t>[NBN EN 15287-1] </w:t>
      </w:r>
      <w:r>
        <w:t>et</w:t>
      </w:r>
      <w:r>
        <w:rPr>
          <w:rStyle w:val="facultChar"/>
        </w:rPr>
        <w:t>[NBN EN 15287-2]. </w:t>
      </w:r>
    </w:p>
    <w:p w14:paraId="57473964" w14:textId="77777777" w:rsidR="00772179" w:rsidRDefault="00000000">
      <w:r>
        <w:t>L’applicateur s’assure que les canalisations électriques posées dans les vides de construction sont placées sous conduit non propagateur de la flamme. </w:t>
      </w:r>
    </w:p>
    <w:p w14:paraId="6271A5D7" w14:textId="77777777" w:rsidR="00772179" w:rsidRDefault="00000000">
      <w:r>
        <w:t>L’isolant n'est jamais mis en contact direct avec les dispositifs d’éclairage encastrés.</w:t>
      </w:r>
    </w:p>
    <w:p w14:paraId="3CF41441" w14:textId="77777777" w:rsidR="00772179" w:rsidRDefault="00000000">
      <w:r>
        <w:t>Ce matériau n'est pas mis en œuvre au-dessus de locaux à forte hygrométrie (classe de climat intérieur 4 voire 3).</w:t>
      </w:r>
    </w:p>
    <w:p w14:paraId="7AB9D1B5" w14:textId="77777777" w:rsidR="00772179" w:rsidRDefault="00000000">
      <w:pPr>
        <w:pStyle w:val="pheading"/>
      </w:pPr>
      <w:r>
        <w:t>DOCUMENTS DE RÉFÉRENCE COMPLÉMENTAIRES</w:t>
      </w:r>
    </w:p>
    <w:p w14:paraId="45AF13A0" w14:textId="77777777" w:rsidR="00772179" w:rsidRDefault="00000000">
      <w:pPr>
        <w:pStyle w:val="pheading"/>
      </w:pPr>
      <w:r>
        <w:t>- Matériau</w:t>
      </w:r>
    </w:p>
    <w:p w14:paraId="6890B92A" w14:textId="77777777" w:rsidR="00772179" w:rsidRDefault="00000000">
      <w:r>
        <w:lastRenderedPageBreak/>
        <w:t>[NBN EN 15101-2, Produits isolants thermiques destinés aux applications du bâtiment - Isolation thermique formée en place à base de cellulose (LFCI) - Partie 2: Spécifications des produits mis en œuvre]</w:t>
      </w:r>
    </w:p>
    <w:p w14:paraId="131C6A82"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42EC66E" w14:textId="77777777" w:rsidR="00772179" w:rsidRDefault="00000000">
      <w:r>
        <w:t>[NBN EN 12086, Produits isolants thermiques destinés aux applications du bâtiment - Détermination des propriétés de transmission de la vapeur d'eau]</w:t>
      </w:r>
    </w:p>
    <w:p w14:paraId="517F558F" w14:textId="77777777" w:rsidR="00772179" w:rsidRDefault="00000000">
      <w:r>
        <w:t>[NBN EN ISO 846, Plastiques - Évaluation de l'action des micro-organismes (ISO 846:2019)]</w:t>
      </w:r>
    </w:p>
    <w:p w14:paraId="1D02227F" w14:textId="77777777" w:rsidR="00772179" w:rsidRDefault="00000000">
      <w:r>
        <w:t>[NBN EN 13501-1, Classement au feu des produits et éléments de construction - Partie 1: Classement à partir des données d'essais de réaction au feu]</w:t>
      </w:r>
    </w:p>
    <w:p w14:paraId="75F229EA" w14:textId="77777777" w:rsidR="00772179" w:rsidRDefault="00000000">
      <w:pPr>
        <w:pStyle w:val="pheading"/>
      </w:pPr>
      <w:r>
        <w:t>- Exécution</w:t>
      </w:r>
    </w:p>
    <w:p w14:paraId="663EF6A8" w14:textId="77777777" w:rsidR="00772179" w:rsidRDefault="00000000">
      <w:r>
        <w:t>[NBN EN 13501-1, Classement au feu des produits et éléments de construction - Partie 1: Classement à partir des données d'essais de réaction au feu]</w:t>
      </w:r>
    </w:p>
    <w:p w14:paraId="18898697" w14:textId="77777777" w:rsidR="00772179" w:rsidRDefault="00000000">
      <w:r>
        <w:t>[NBN EN 15287-1, Conduits de fumée - Conception, installation et mise en service - Partie 1: Conduits de fumée et conduits de raccordement pour appareils de combustion qui prélèvent l’air comburant dans la pièce]</w:t>
      </w:r>
    </w:p>
    <w:p w14:paraId="6EFD167C" w14:textId="77777777" w:rsidR="00772179" w:rsidRDefault="00000000">
      <w:r>
        <w:t>[NBN EN 15287-2, Conduits de fumée - Conception, installation et mise en service - Partie 2 : Conduits de fumée et conduits de raccordement pour appareils de combustion à circuit étanche]</w:t>
      </w:r>
    </w:p>
    <w:p w14:paraId="7E5485C2" w14:textId="77777777" w:rsidR="00772179" w:rsidRDefault="00000000">
      <w:pPr>
        <w:pStyle w:val="pheading"/>
      </w:pPr>
      <w:r>
        <w:t>MESURAGE</w:t>
      </w:r>
    </w:p>
    <w:p w14:paraId="0B9C6747" w14:textId="77777777" w:rsidR="00772179" w:rsidRDefault="00000000">
      <w:pPr>
        <w:pStyle w:val="pheading"/>
      </w:pPr>
      <w:r>
        <w:t>- unité de mesure:</w:t>
      </w:r>
    </w:p>
    <w:p w14:paraId="0A32D5C1" w14:textId="77777777" w:rsidR="00772179" w:rsidRDefault="00000000">
      <w:r>
        <w:t>m³</w:t>
      </w:r>
    </w:p>
    <w:p w14:paraId="5B3F011D" w14:textId="77777777" w:rsidR="00772179" w:rsidRDefault="00000000">
      <w:pPr>
        <w:pStyle w:val="pheading"/>
      </w:pPr>
      <w:r>
        <w:t>- code de mesurage:</w:t>
      </w:r>
    </w:p>
    <w:p w14:paraId="1B1A91A0" w14:textId="77777777" w:rsidR="00772179" w:rsidRDefault="00000000">
      <w:pPr>
        <w:jc w:val="both"/>
      </w:pPr>
      <w:r>
        <w:rPr>
          <w:b/>
        </w:rPr>
        <w:t>Volume net</w:t>
      </w:r>
      <w:r>
        <w:t xml:space="preserve"> de la construction à isoler, sans déduction des éléments de structure interposés (chevrons / fermes / solives / …).</w:t>
      </w:r>
    </w:p>
    <w:p w14:paraId="655163AA" w14:textId="77777777" w:rsidR="00772179" w:rsidRDefault="00000000">
      <w:pPr>
        <w:jc w:val="both"/>
      </w:pPr>
      <w:r>
        <w:t xml:space="preserve"> Suivant la densité prescrite.</w:t>
      </w:r>
    </w:p>
    <w:p w14:paraId="7E6967F7" w14:textId="77777777" w:rsidR="00772179" w:rsidRDefault="00000000">
      <w:pPr>
        <w:jc w:val="both"/>
      </w:pPr>
      <w:r>
        <w:t xml:space="preserve"> Les ouvertures &gt; 0,5 m² multipliées par l’épaisseur à réaliser seront déduites.</w:t>
      </w:r>
    </w:p>
    <w:p w14:paraId="2CC66E8F" w14:textId="77777777" w:rsidR="00772179" w:rsidRDefault="00000000">
      <w:pPr>
        <w:pStyle w:val="pheading"/>
      </w:pPr>
      <w:r>
        <w:t>- nature du marché:</w:t>
      </w:r>
    </w:p>
    <w:p w14:paraId="538C394B" w14:textId="77777777" w:rsidR="00772179" w:rsidRDefault="00000000">
      <w:r>
        <w:t>QF</w:t>
      </w:r>
    </w:p>
    <w:p w14:paraId="457EC7D0" w14:textId="77777777" w:rsidR="00772179" w:rsidRDefault="00000000">
      <w:pPr>
        <w:pStyle w:val="Author-eSectionHeading6Numberless"/>
      </w:pPr>
      <w:bookmarkStart w:id="1071" w:name="_Toc220490728"/>
      <w:r>
        <w:t>44.44.3g Isolation à souffler - fibres de bois CCTB 01.12</w:t>
      </w:r>
      <w:bookmarkEnd w:id="1071"/>
    </w:p>
    <w:p w14:paraId="2BC4610A" w14:textId="77777777" w:rsidR="00772179" w:rsidRDefault="00000000">
      <w:pPr>
        <w:pStyle w:val="pheading"/>
      </w:pPr>
      <w:r>
        <w:t>DESCRIPTION</w:t>
      </w:r>
    </w:p>
    <w:p w14:paraId="27CB7462" w14:textId="77777777" w:rsidR="00772179" w:rsidRDefault="00000000">
      <w:pPr>
        <w:pStyle w:val="pheading"/>
      </w:pPr>
      <w:r>
        <w:t>- Définition / Comprend</w:t>
      </w:r>
    </w:p>
    <w:p w14:paraId="433C8C79" w14:textId="77777777" w:rsidR="00772179" w:rsidRDefault="00000000">
      <w:pPr>
        <w:jc w:val="both"/>
      </w:pPr>
      <w:r>
        <w:t>Il s’agit de la fourniture et la pose d’une isolation thermique par soufflage de fibres de bois pour une application en paroi extérieure .</w:t>
      </w:r>
    </w:p>
    <w:p w14:paraId="04E5D2A1" w14:textId="77777777" w:rsidR="00772179" w:rsidRDefault="00000000">
      <w:pPr>
        <w:pStyle w:val="pheading"/>
      </w:pPr>
      <w:r>
        <w:t>MATÉRIAUX</w:t>
      </w:r>
    </w:p>
    <w:p w14:paraId="7FCE27B3" w14:textId="77777777" w:rsidR="00772179" w:rsidRDefault="00000000">
      <w:pPr>
        <w:pStyle w:val="pheading"/>
      </w:pPr>
      <w:r>
        <w:t>- Caractéristiques générales</w:t>
      </w:r>
    </w:p>
    <w:p w14:paraId="22D60D98" w14:textId="77777777" w:rsidR="00772179" w:rsidRDefault="00000000">
      <w:r>
        <w:t>Le produit est constitué de fibres de bois. Le produit est conditionné en sacs.</w:t>
      </w:r>
      <w:r>
        <w:br/>
        <w:t xml:space="preserve">Épaisseur après insufflation (selon [NBN EN 15101-2]) : </w:t>
      </w:r>
      <w:r>
        <w:rPr>
          <w:rStyle w:val="optioncarChar"/>
        </w:rPr>
        <w:t>***</w:t>
      </w:r>
      <w:r>
        <w:t xml:space="preserve"> cm.</w:t>
      </w:r>
      <w:r>
        <w:br/>
        <w:t xml:space="preserve">Masse volumique nominale après insufflation (selon [NBN EN 15101-2]) : ≥ </w:t>
      </w:r>
      <w:r>
        <w:rPr>
          <w:rStyle w:val="optioncarChar"/>
        </w:rPr>
        <w:t xml:space="preserve">40 </w:t>
      </w:r>
      <w:r>
        <w:t xml:space="preserve">(par défaut) </w:t>
      </w:r>
      <w:r>
        <w:rPr>
          <w:rStyle w:val="optioncarChar"/>
        </w:rPr>
        <w:t>/ ***</w:t>
      </w:r>
      <w:r>
        <w:t xml:space="preserve"> kg/m³</w:t>
      </w:r>
      <w:r>
        <w:br/>
        <w:t xml:space="preserve">Conductivité thermique déclarée (selon [NBN EN 12667]) : &lt; </w:t>
      </w:r>
      <w:r>
        <w:rPr>
          <w:rStyle w:val="optioncarChar"/>
        </w:rPr>
        <w:t>0,04</w:t>
      </w:r>
      <w:r>
        <w:t xml:space="preserve"> (par défaut) </w:t>
      </w:r>
      <w:r>
        <w:rPr>
          <w:rStyle w:val="optioncarChar"/>
        </w:rPr>
        <w:t>/ ***</w:t>
      </w:r>
      <w:r>
        <w:t xml:space="preserve"> W/mK</w:t>
      </w:r>
      <w:r>
        <w:br/>
        <w:t xml:space="preserve">Taux minimal de fibres de bois : </w:t>
      </w:r>
      <w:r>
        <w:rPr>
          <w:rStyle w:val="optioncarChar"/>
        </w:rPr>
        <w:t>95 %</w:t>
      </w:r>
      <w:r>
        <w:t xml:space="preserve"> (par défaut) /</w:t>
      </w:r>
      <w:r>
        <w:rPr>
          <w:rStyle w:val="optioncarChar"/>
        </w:rPr>
        <w:t xml:space="preserve"> ***</w:t>
      </w:r>
      <w:r>
        <w:b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 xml:space="preserve">4 </w:t>
      </w:r>
      <w:r>
        <w:t>(par défaut)</w:t>
      </w:r>
      <w:r>
        <w:rPr>
          <w:rStyle w:val="optioncarChar"/>
        </w:rPr>
        <w:t xml:space="preserve"> / *** </w:t>
      </w:r>
      <w:r>
        <w:t>%</w:t>
      </w:r>
      <w:r>
        <w:rPr>
          <w:rStyle w:val="optioncarChar"/>
        </w:rPr>
        <w:t>.</w:t>
      </w:r>
      <w:r>
        <w:br/>
      </w:r>
      <w:r>
        <w:lastRenderedPageBreak/>
        <w:t xml:space="preserve"> Les fibres de bois utilisées proviennent de forêts gérées durablement suivant les prescriptions de l'élément 02.42.4 Bois provenant de forêts gérées durablement.</w:t>
      </w:r>
      <w:r>
        <w:br/>
      </w:r>
    </w:p>
    <w:p w14:paraId="08D43499" w14:textId="77777777" w:rsidR="00772179" w:rsidRDefault="00000000">
      <w:pPr>
        <w:ind w:left="750"/>
      </w:pPr>
      <w:r>
        <w:t> </w:t>
      </w:r>
    </w:p>
    <w:p w14:paraId="4FF283C9" w14:textId="77777777" w:rsidR="00772179" w:rsidRDefault="00000000">
      <w:pPr>
        <w:pStyle w:val="pheading"/>
      </w:pPr>
      <w:r>
        <w:t>EXÉCUTION / MISE EN ŒUVRE</w:t>
      </w:r>
    </w:p>
    <w:p w14:paraId="25B68452" w14:textId="77777777" w:rsidR="00772179" w:rsidRDefault="00000000">
      <w:pPr>
        <w:pStyle w:val="pheading"/>
      </w:pPr>
      <w:r>
        <w:t>- Prescriptions générales</w:t>
      </w:r>
    </w:p>
    <w:p w14:paraId="65FF1082" w14:textId="77777777" w:rsidR="00772179" w:rsidRDefault="00000000">
      <w:r>
        <w:t>La matière première est livrée sur chantier au plus près de la date d'insufflation (maximum 3 jours). Elle est stockée à l'abri des intempéries et dans un local sec. Si la durée de stockage est plus longue, un contrôle du taux d’humidité est effectué conformément à l'élément 03.41.1b Mesures du taux d'humidité dans le bois.</w:t>
      </w:r>
      <w:r>
        <w:br/>
        <w:t>Le soufflage est réalisé par machine permettant le broyage et le soufflage sous pression de la fibre de bois.</w:t>
      </w:r>
      <w:r>
        <w:br/>
        <w:t>L’élément caisson destiné à être insufflé est réalisé sous forme de module fermé suffisamment étanche pour permettre une mise en œuvre sous pression sans perte d’isolation.</w:t>
      </w:r>
      <w:r>
        <w:br/>
        <w:t>Il y a lieu de ne pas mettre le matériau en contact avec des conduits de fumée. Il convient de respecter la distance de sécurité minimale prévue dans les normes [NBN EN 15287-1] et [NBN EN 15287-2].</w:t>
      </w:r>
      <w:r>
        <w:br/>
        <w:t>L’applicateur s’assure que les canalisations électriques posées dans les vides de construction sont placées sous conduit non propagateur de la flamme.</w:t>
      </w:r>
      <w:r>
        <w:br/>
        <w:t>L’isolant n'est jamais mis en contact direct avec les dispositifs d’éclairage encastrés.</w:t>
      </w:r>
      <w:r>
        <w:br/>
        <w:t>Ce matériau est mis en œuvre dans des caissons protégés contre l’humidité durant les phases de chantier et de vie du bâtiment. Son utilisation se limite à des locaux de classe de climat intérieur 1 ou 2.</w:t>
      </w:r>
    </w:p>
    <w:p w14:paraId="05293973" w14:textId="77777777" w:rsidR="00772179" w:rsidRDefault="00000000">
      <w:r>
        <w:t>Coefficient de résistance à la diffusion de vapeur d’eau – valeur μ (selon</w:t>
      </w:r>
      <w:r>
        <w:rPr>
          <w:rStyle w:val="facultChar"/>
        </w:rPr>
        <w:t>[NBN EN 12086]</w:t>
      </w:r>
      <w:r>
        <w:t xml:space="preserve">) : inférieure à </w:t>
      </w:r>
      <w:r>
        <w:rPr>
          <w:rStyle w:val="optioncarChar"/>
        </w:rPr>
        <w:t xml:space="preserve">2 </w:t>
      </w:r>
      <w:r>
        <w:t>(par défaut)</w:t>
      </w:r>
      <w:r>
        <w:rPr>
          <w:rStyle w:val="optioncarChar"/>
        </w:rPr>
        <w:t xml:space="preserve"> / ***.</w:t>
      </w:r>
      <w:r>
        <w:br/>
        <w:t xml:space="preserve">Capacité thermique : </w:t>
      </w:r>
      <w:r>
        <w:rPr>
          <w:rStyle w:val="optioncarChar"/>
        </w:rPr>
        <w:t>≥ 2</w:t>
      </w:r>
      <w:r>
        <w:t xml:space="preserve"> (par défaut)</w:t>
      </w:r>
      <w:r>
        <w:rPr>
          <w:rStyle w:val="optioncarChar"/>
        </w:rPr>
        <w:t xml:space="preserve"> / *** </w:t>
      </w:r>
      <w:r>
        <w:t>kJ/kg.K</w:t>
      </w:r>
      <w:r>
        <w:br/>
        <w:t xml:space="preserve">Résistance fongique (selon </w:t>
      </w:r>
      <w:r>
        <w:rPr>
          <w:rStyle w:val="facultChar"/>
        </w:rPr>
        <w:t>[NBN EN ISO 846]</w:t>
      </w:r>
      <w:r>
        <w:t xml:space="preserve">) : </w:t>
      </w:r>
      <w:r>
        <w:rPr>
          <w:rStyle w:val="optioncarChar"/>
        </w:rPr>
        <w:t>classe 0 (inerte)</w:t>
      </w:r>
      <w:r>
        <w:t xml:space="preserve"> (par défaut)</w:t>
      </w:r>
      <w:r>
        <w:rPr>
          <w:rStyle w:val="optioncarChar"/>
        </w:rPr>
        <w:t xml:space="preserve"> / ***.</w:t>
      </w:r>
      <w:r>
        <w:br/>
        <w:t>Classement de la réaction au feu (selon</w:t>
      </w:r>
      <w:r>
        <w:rPr>
          <w:rStyle w:val="facultChar"/>
        </w:rPr>
        <w:t>[NBN EN 13501-1]</w:t>
      </w:r>
      <w:r>
        <w:t xml:space="preserve">) : </w:t>
      </w:r>
      <w:r>
        <w:rPr>
          <w:rStyle w:val="optioncarChar"/>
        </w:rPr>
        <w:t>E</w:t>
      </w:r>
      <w:r>
        <w:t xml:space="preserve"> (par défaut)</w:t>
      </w:r>
      <w:r>
        <w:rPr>
          <w:rStyle w:val="optioncarChar"/>
        </w:rPr>
        <w:t xml:space="preserve"> / ***</w:t>
      </w:r>
      <w:r>
        <w:t>.</w:t>
      </w:r>
      <w:r>
        <w:br/>
      </w:r>
      <w:r>
        <w:br/>
        <w:t>Le matériau répond aux critères d’acceptabilité des produits tels que définis dans le chapitre 02.42.1 Critères d'acceptabilité.</w:t>
      </w:r>
    </w:p>
    <w:p w14:paraId="198DABAC" w14:textId="77777777" w:rsidR="00772179" w:rsidRDefault="00000000">
      <w:pPr>
        <w:pStyle w:val="pheading"/>
      </w:pPr>
      <w:r>
        <w:t>DOCUMENTS DE RÉFÉRENCE COMPLÉMENTAIRES</w:t>
      </w:r>
    </w:p>
    <w:p w14:paraId="6AFFB67B" w14:textId="77777777" w:rsidR="00772179" w:rsidRDefault="00000000">
      <w:pPr>
        <w:pStyle w:val="pheading"/>
      </w:pPr>
      <w:r>
        <w:t>- Matériau</w:t>
      </w:r>
    </w:p>
    <w:p w14:paraId="6F087415" w14:textId="77777777" w:rsidR="00772179" w:rsidRDefault="00000000">
      <w:r>
        <w:t>[NBN EN 15101-2, Produits isolants thermiques destinés aux applications du bâtiment - Isolation thermique formée en place à base de cellulose (LFCI) - Partie 2: Spécifications des produits mis en œuvre]</w:t>
      </w:r>
    </w:p>
    <w:p w14:paraId="325A3CF2"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AE0D85F" w14:textId="77777777" w:rsidR="00772179" w:rsidRDefault="00000000">
      <w:r>
        <w:t>[NBN EN 12086, Produits isolants thermiques destinés aux applications du bâtiment - Détermination des propriétés de transmission de la vapeur d'eau]</w:t>
      </w:r>
    </w:p>
    <w:p w14:paraId="2ED980CA" w14:textId="77777777" w:rsidR="00772179" w:rsidRDefault="00000000">
      <w:r>
        <w:t>[NBN EN ISO 846, Plastiques - Évaluation de l'action des micro-organismes (ISO 846:2019)]</w:t>
      </w:r>
    </w:p>
    <w:p w14:paraId="692E9BC6" w14:textId="77777777" w:rsidR="00772179" w:rsidRDefault="00000000">
      <w:r>
        <w:t>[NBN EN 13501-1, Classement au feu des produits et éléments de construction - Partie 1: Classement à partir des données d'essais de réaction au feu]</w:t>
      </w:r>
    </w:p>
    <w:p w14:paraId="3C1AE554" w14:textId="77777777" w:rsidR="00772179" w:rsidRDefault="00000000">
      <w:pPr>
        <w:pStyle w:val="pheading"/>
      </w:pPr>
      <w:r>
        <w:t>- Exécution</w:t>
      </w:r>
    </w:p>
    <w:p w14:paraId="6EDC9EA8" w14:textId="77777777" w:rsidR="00772179" w:rsidRDefault="00000000">
      <w:r>
        <w:t>[NBN EN 13501-1, Classement au feu des produits et éléments de construction - Partie 1: Classement à partir des données d'essais de réaction au feu]</w:t>
      </w:r>
    </w:p>
    <w:p w14:paraId="20BF7663" w14:textId="77777777" w:rsidR="00772179" w:rsidRDefault="00000000">
      <w:r>
        <w:lastRenderedPageBreak/>
        <w:t>[NBN EN 15287-1, Conduits de fumée - Conception, installation et mise en service - Partie 1: Conduits de fumée et conduits de raccordement pour appareils de combustion qui prélèvent l’air comburant dans la pièce]</w:t>
      </w:r>
    </w:p>
    <w:p w14:paraId="6C2D8868" w14:textId="77777777" w:rsidR="00772179" w:rsidRDefault="00000000">
      <w:r>
        <w:t>[NBN EN 15287-2, Conduits de fumée - Conception, installation et mise en service - Partie 2 : Conduits de fumée et conduits de raccordement pour appareils de combustion à circuit étanche]</w:t>
      </w:r>
    </w:p>
    <w:p w14:paraId="29D6F2D2" w14:textId="77777777" w:rsidR="00772179" w:rsidRDefault="00000000">
      <w:pPr>
        <w:pStyle w:val="pheading"/>
      </w:pPr>
      <w:r>
        <w:t>MESURAGE</w:t>
      </w:r>
    </w:p>
    <w:p w14:paraId="362E31A4" w14:textId="77777777" w:rsidR="00772179" w:rsidRDefault="00000000">
      <w:pPr>
        <w:pStyle w:val="pheading"/>
      </w:pPr>
      <w:r>
        <w:t>- unité de mesure:</w:t>
      </w:r>
    </w:p>
    <w:p w14:paraId="253321C5" w14:textId="77777777" w:rsidR="00772179" w:rsidRDefault="00000000">
      <w:r>
        <w:rPr>
          <w:rStyle w:val="optioncarChar"/>
        </w:rPr>
        <w:t>m²</w:t>
      </w:r>
      <w:r>
        <w:t xml:space="preserve"> (par défaut) </w:t>
      </w:r>
      <w:r>
        <w:rPr>
          <w:rStyle w:val="optioncarChar"/>
        </w:rPr>
        <w:t>/ m³</w:t>
      </w:r>
    </w:p>
    <w:p w14:paraId="35A33718" w14:textId="77777777" w:rsidR="00772179" w:rsidRDefault="00000000">
      <w:r>
        <w:rPr>
          <w:b/>
          <w:i/>
        </w:rPr>
        <w:t>(soit par défaut)</w:t>
      </w:r>
    </w:p>
    <w:p w14:paraId="518553DB" w14:textId="77777777" w:rsidR="00772179" w:rsidRDefault="00000000">
      <w:r>
        <w:rPr>
          <w:rStyle w:val="soitChar"/>
        </w:rPr>
        <w:t>1.   m²</w:t>
      </w:r>
    </w:p>
    <w:p w14:paraId="02EEE4FC" w14:textId="77777777" w:rsidR="00772179" w:rsidRDefault="00000000">
      <w:r>
        <w:rPr>
          <w:b/>
          <w:i/>
        </w:rPr>
        <w:t>(soit)</w:t>
      </w:r>
    </w:p>
    <w:p w14:paraId="21D344A8" w14:textId="77777777" w:rsidR="00772179" w:rsidRDefault="00000000">
      <w:r>
        <w:rPr>
          <w:rStyle w:val="soitChar"/>
        </w:rPr>
        <w:t>2.   m³</w:t>
      </w:r>
    </w:p>
    <w:p w14:paraId="40FDA1D9" w14:textId="77777777" w:rsidR="00772179" w:rsidRDefault="00000000">
      <w:pPr>
        <w:pStyle w:val="pheading"/>
      </w:pPr>
      <w:r>
        <w:t>- code de mesurage:</w:t>
      </w:r>
    </w:p>
    <w:p w14:paraId="5D36D0E1" w14:textId="77777777" w:rsidR="00772179" w:rsidRDefault="00000000">
      <w:pPr>
        <w:jc w:val="both"/>
      </w:pPr>
      <w:r>
        <w:rPr>
          <w:rStyle w:val="optioncarChar"/>
        </w:rPr>
        <w:t xml:space="preserve">Surface nette </w:t>
      </w:r>
      <w:r>
        <w:t>(par défaut)</w:t>
      </w:r>
      <w:r>
        <w:rPr>
          <w:rStyle w:val="optioncarChar"/>
        </w:rPr>
        <w:t xml:space="preserve"> / Volume net</w:t>
      </w:r>
    </w:p>
    <w:p w14:paraId="1AF839C8" w14:textId="77777777" w:rsidR="00772179" w:rsidRDefault="00000000">
      <w:pPr>
        <w:jc w:val="both"/>
      </w:pPr>
      <w:r>
        <w:rPr>
          <w:b/>
          <w:i/>
        </w:rPr>
        <w:t>(soit par défaut)</w:t>
      </w:r>
    </w:p>
    <w:p w14:paraId="3FCD72AA" w14:textId="77777777" w:rsidR="00772179"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&lt; 0.5 m² ne sont pas déduites. Distinction faite  suivant l'épaisseur.</w:t>
      </w:r>
    </w:p>
    <w:p w14:paraId="47B4C8C3" w14:textId="77777777" w:rsidR="00772179" w:rsidRDefault="00000000">
      <w:pPr>
        <w:jc w:val="both"/>
      </w:pPr>
      <w:r>
        <w:rPr>
          <w:b/>
          <w:i/>
        </w:rPr>
        <w:t>(soit)</w:t>
      </w:r>
    </w:p>
    <w:p w14:paraId="7D86B4FB" w14:textId="77777777" w:rsidR="00772179" w:rsidRDefault="00772179">
      <w:pPr>
        <w:jc w:val="both"/>
      </w:pPr>
    </w:p>
    <w:p w14:paraId="33DA00B6" w14:textId="77777777" w:rsidR="00772179"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 densité prescrite.</w:t>
      </w:r>
    </w:p>
    <w:p w14:paraId="4D5A25F3" w14:textId="77777777" w:rsidR="00772179" w:rsidRDefault="00772179"/>
    <w:p w14:paraId="166EC155" w14:textId="77777777" w:rsidR="00772179" w:rsidRDefault="00000000">
      <w:pPr>
        <w:pStyle w:val="pheading"/>
      </w:pPr>
      <w:r>
        <w:t>- nature du marché:</w:t>
      </w:r>
    </w:p>
    <w:p w14:paraId="31FB9C7E" w14:textId="77777777" w:rsidR="00772179" w:rsidRDefault="00000000">
      <w:r>
        <w:t>QF</w:t>
      </w:r>
    </w:p>
    <w:p w14:paraId="1CAF539C" w14:textId="77777777" w:rsidR="00772179" w:rsidRDefault="00000000">
      <w:pPr>
        <w:pStyle w:val="Author-eSectionHeading5Numberless"/>
      </w:pPr>
      <w:bookmarkStart w:id="1072" w:name="_Toc220490729"/>
      <w:r>
        <w:t>44.44.4 Isolation à souffler - matières animales CCTB 01.04</w:t>
      </w:r>
      <w:bookmarkEnd w:id="1072"/>
    </w:p>
    <w:p w14:paraId="0D27463E" w14:textId="77777777" w:rsidR="00772179" w:rsidRDefault="00000000">
      <w:pPr>
        <w:pStyle w:val="pheading"/>
      </w:pPr>
      <w:bookmarkStart w:id="1073" w:name="1101"/>
      <w:bookmarkEnd w:id="1073"/>
      <w:r>
        <w:t>DESCRIPTION</w:t>
      </w:r>
    </w:p>
    <w:p w14:paraId="36BE5F56" w14:textId="77777777" w:rsidR="00772179" w:rsidRDefault="00000000">
      <w:pPr>
        <w:pStyle w:val="pheading"/>
      </w:pPr>
      <w:r>
        <w:t>- Définition / Comprend</w:t>
      </w:r>
    </w:p>
    <w:p w14:paraId="405C4387" w14:textId="77777777" w:rsidR="00772179" w:rsidRDefault="00000000">
      <w:r>
        <w:t>Il s'agit de la réalisation d'une isolation constituée de poils de mammifères ou de duvets d'oiseaux suivant prescriptions de l'élément 32.44.4 Isolation à souffler - matières animales.</w:t>
      </w:r>
    </w:p>
    <w:p w14:paraId="2E97715A" w14:textId="77777777" w:rsidR="00772179" w:rsidRDefault="00000000">
      <w:pPr>
        <w:pStyle w:val="pheading"/>
      </w:pPr>
      <w:r>
        <w:t>DOCUMENTS DE RÉFÉRENCE</w:t>
      </w:r>
    </w:p>
    <w:p w14:paraId="02E46556" w14:textId="77777777" w:rsidR="00772179" w:rsidRDefault="00000000">
      <w:pPr>
        <w:pStyle w:val="pheading"/>
      </w:pPr>
      <w:r>
        <w:t>- Matériau</w:t>
      </w:r>
    </w:p>
    <w:p w14:paraId="0F104D57" w14:textId="77777777" w:rsidR="00772179" w:rsidRDefault="00000000">
      <w:hyperlink w:anchor="1101" w:history="1">
        <w:r>
          <w:t>32.44.4 Isolation à souffler - matières animales</w:t>
        </w:r>
      </w:hyperlink>
    </w:p>
    <w:p w14:paraId="7F73C5D1" w14:textId="77777777" w:rsidR="00772179" w:rsidRDefault="00000000">
      <w:pPr>
        <w:pStyle w:val="pheading"/>
      </w:pPr>
      <w:r>
        <w:t>- Exécution</w:t>
      </w:r>
    </w:p>
    <w:p w14:paraId="1778D126" w14:textId="77777777" w:rsidR="00772179" w:rsidRDefault="00000000">
      <w:hyperlink w:anchor="1101" w:history="1">
        <w:r>
          <w:t>32.44.4 Isolation à souffler - matières animales</w:t>
        </w:r>
      </w:hyperlink>
    </w:p>
    <w:p w14:paraId="10FC59C7" w14:textId="77777777" w:rsidR="00772179" w:rsidRDefault="00000000">
      <w:pPr>
        <w:pStyle w:val="Author-eSectionHeading6Numberless"/>
      </w:pPr>
      <w:bookmarkStart w:id="1074" w:name="_Toc220490730"/>
      <w:r>
        <w:t>44.44.4a Isolation à souffler - laine de mouton CCTB 01.11</w:t>
      </w:r>
      <w:bookmarkEnd w:id="1074"/>
    </w:p>
    <w:p w14:paraId="3C0CD8E5" w14:textId="77777777" w:rsidR="00772179" w:rsidRDefault="00000000">
      <w:pPr>
        <w:pStyle w:val="pheading"/>
      </w:pPr>
      <w:r>
        <w:t>DESCRIPTION</w:t>
      </w:r>
    </w:p>
    <w:p w14:paraId="53E9AC78" w14:textId="77777777" w:rsidR="00772179" w:rsidRDefault="00000000">
      <w:pPr>
        <w:pStyle w:val="pheading"/>
      </w:pPr>
      <w:r>
        <w:t>- Définition / Comprend</w:t>
      </w:r>
    </w:p>
    <w:p w14:paraId="468A6B48" w14:textId="77777777" w:rsidR="00772179" w:rsidRDefault="00000000">
      <w:r>
        <w:t>Il s'agit de la réalisation d'une isolation en laine issue de la tonte de mouton suivant prescriptions de l'article 32.44.4a Isolation à souffler - laine de mouton.</w:t>
      </w:r>
    </w:p>
    <w:p w14:paraId="47429461" w14:textId="77777777" w:rsidR="00772179" w:rsidRDefault="00000000">
      <w:pPr>
        <w:pStyle w:val="pheading"/>
      </w:pPr>
      <w:r>
        <w:lastRenderedPageBreak/>
        <w:t>MATÉRIAUX</w:t>
      </w:r>
    </w:p>
    <w:p w14:paraId="6043244E" w14:textId="77777777" w:rsidR="00772179" w:rsidRDefault="00000000">
      <w:pPr>
        <w:pStyle w:val="pheading"/>
      </w:pPr>
      <w:r>
        <w:t>- Caractéristiques générales</w:t>
      </w:r>
    </w:p>
    <w:p w14:paraId="0AD4A0BA" w14:textId="77777777" w:rsidR="00772179" w:rsidRDefault="00000000">
      <w:r>
        <w:t>Voir 32.44.4a Isolation à souffler - laine de mouton</w:t>
      </w:r>
    </w:p>
    <w:p w14:paraId="1A26B1A0" w14:textId="77777777" w:rsidR="00772179" w:rsidRDefault="00000000">
      <w:r>
        <w:t xml:space="preserve">Proportion de laine de mouton issue des filières de recyclage de textiles dans le matériau mis en œuvre : </w:t>
      </w:r>
      <w:r>
        <w:rPr>
          <w:rStyle w:val="optioncarChar"/>
        </w:rPr>
        <w:t>0 % (par défaut) / *** % minimum à maximum 100 % </w:t>
      </w:r>
      <w:r>
        <w:t>(par défaut)</w:t>
      </w:r>
      <w:r>
        <w:rPr>
          <w:rStyle w:val="optioncarChar"/>
        </w:rPr>
        <w:t xml:space="preserve"> / *** %</w:t>
      </w:r>
      <w:r>
        <w:t>.</w:t>
      </w:r>
    </w:p>
    <w:p w14:paraId="5979077D" w14:textId="77777777" w:rsidR="00772179" w:rsidRDefault="00000000">
      <w:pPr>
        <w:pStyle w:val="heading"/>
      </w:pPr>
      <w:r>
        <w:t>Spécifications </w:t>
      </w:r>
    </w:p>
    <w:p w14:paraId="13212160" w14:textId="77777777" w:rsidR="00772179" w:rsidRDefault="00000000">
      <w:r>
        <w:t>Epaisseur d’isolation :</w:t>
      </w:r>
      <w:r>
        <w:rPr>
          <w:rStyle w:val="optioncarChar"/>
        </w:rPr>
        <w:t xml:space="preserve"> *** </w:t>
      </w:r>
      <w:r>
        <w:t>mm.</w:t>
      </w:r>
    </w:p>
    <w:p w14:paraId="790A26FB" w14:textId="77777777" w:rsidR="00772179" w:rsidRDefault="00000000">
      <w:r>
        <w:rPr>
          <w:u w:val="single"/>
        </w:rPr>
        <w:t>Caractéristiques de base :</w:t>
      </w:r>
    </w:p>
    <w:p w14:paraId="1586537D" w14:textId="77777777" w:rsidR="00772179" w:rsidRDefault="00000000">
      <w:pPr>
        <w:pStyle w:val="Author-eListParagraph"/>
        <w:numPr>
          <w:ilvl w:val="0"/>
          <w:numId w:val="1165"/>
        </w:numPr>
      </w:pPr>
      <w:r>
        <w:t>Conductivité thermique valeur lambda déclarée : ≥</w:t>
      </w:r>
      <w:r>
        <w:rPr>
          <w:rStyle w:val="optioncarChar"/>
        </w:rPr>
        <w:t xml:space="preserve"> 0.035 / 0.045 </w:t>
      </w:r>
      <w:r>
        <w:t> W/mK</w:t>
      </w:r>
    </w:p>
    <w:p w14:paraId="5D3D8FE4" w14:textId="77777777" w:rsidR="00772179" w:rsidRDefault="00000000">
      <w:pPr>
        <w:pStyle w:val="Author-eListParagraph"/>
        <w:numPr>
          <w:ilvl w:val="0"/>
          <w:numId w:val="1165"/>
        </w:numPr>
      </w:pPr>
      <w:r>
        <w:t>Masse volumique nominale après insufflation : ≥ </w:t>
      </w:r>
      <w:r>
        <w:rPr>
          <w:rStyle w:val="optioncarChar"/>
        </w:rPr>
        <w:t>10 / 30  </w:t>
      </w:r>
      <w:r>
        <w:t>kg/m³</w:t>
      </w:r>
    </w:p>
    <w:p w14:paraId="1DC6017C" w14:textId="77777777" w:rsidR="00772179" w:rsidRDefault="00000000">
      <w:pPr>
        <w:pStyle w:val="Author-eListParagraph"/>
        <w:numPr>
          <w:ilvl w:val="0"/>
          <w:numId w:val="1165"/>
        </w:numPr>
      </w:pPr>
      <w:r>
        <w:t xml:space="preserve">Réaction au feu  </w:t>
      </w:r>
    </w:p>
    <w:p w14:paraId="5033BBDA" w14:textId="77777777" w:rsidR="00772179" w:rsidRDefault="00000000">
      <w:pPr>
        <w:pStyle w:val="Author-eListParagraph"/>
        <w:numPr>
          <w:ilvl w:val="1"/>
          <w:numId w:val="1166"/>
        </w:numPr>
      </w:pPr>
      <w:r>
        <w:t xml:space="preserve">Spécifique (matériau nu) – application générale: classe </w:t>
      </w:r>
      <w:r>
        <w:rPr>
          <w:rStyle w:val="optioncarChar"/>
        </w:rPr>
        <w:t xml:space="preserve">E / F </w:t>
      </w:r>
      <w:r>
        <w:t xml:space="preserve"> ou avec additif retardateur au feu : classe </w:t>
      </w:r>
      <w:r>
        <w:rPr>
          <w:rStyle w:val="optioncarChar"/>
        </w:rPr>
        <w:t xml:space="preserve">B / C / D / E / F </w:t>
      </w:r>
      <w:r>
        <w:t xml:space="preserve">complétée, le cas échéant par les aspects </w:t>
      </w:r>
      <w:r>
        <w:rPr>
          <w:rStyle w:val="optioncarChar"/>
        </w:rPr>
        <w:t>s1 / s2 / s3 / ***</w:t>
      </w:r>
      <w:r>
        <w:t xml:space="preserve"> et </w:t>
      </w:r>
      <w:r>
        <w:rPr>
          <w:rStyle w:val="optioncarChar"/>
        </w:rPr>
        <w:t>d0 / d1 / d2 / ***</w:t>
      </w:r>
    </w:p>
    <w:p w14:paraId="6BBA70CF" w14:textId="77777777" w:rsidR="00772179" w:rsidRDefault="00000000">
      <w:pPr>
        <w:pStyle w:val="Author-eListParagraph"/>
        <w:numPr>
          <w:ilvl w:val="1"/>
          <w:numId w:val="1166"/>
        </w:numPr>
      </w:pPr>
      <w:r>
        <w:t xml:space="preserve">Matériau revêtu - « end-use »: classe </w:t>
      </w:r>
      <w:r>
        <w:rPr>
          <w:rStyle w:val="optioncarChar"/>
        </w:rPr>
        <w:t xml:space="preserve">A1 / A2 / B / C / D / E / F </w:t>
      </w:r>
      <w:r>
        <w:t xml:space="preserve"> complétée, le cas échéant, par les aspects </w:t>
      </w:r>
      <w:r>
        <w:rPr>
          <w:rStyle w:val="optioncarChar"/>
        </w:rPr>
        <w:t xml:space="preserve">s1 / s2 / s3 </w:t>
      </w:r>
      <w:r>
        <w:t xml:space="preserve">et </w:t>
      </w:r>
      <w:r>
        <w:rPr>
          <w:rStyle w:val="optioncarChar"/>
        </w:rPr>
        <w:t>d0 / d1 / d2 </w:t>
      </w:r>
    </w:p>
    <w:p w14:paraId="6A86B480" w14:textId="77777777" w:rsidR="00772179" w:rsidRDefault="00000000">
      <w:pPr>
        <w:pStyle w:val="Author-eListParagraph"/>
        <w:numPr>
          <w:ilvl w:val="0"/>
          <w:numId w:val="1165"/>
        </w:numPr>
      </w:pPr>
      <w:r>
        <w:t xml:space="preserve">Teneur en eau  : &lt; </w:t>
      </w:r>
      <w:r>
        <w:rPr>
          <w:rStyle w:val="optioncarChar"/>
        </w:rPr>
        <w:t>***</w:t>
      </w:r>
      <w:r>
        <w:t xml:space="preserve"> %</w:t>
      </w:r>
    </w:p>
    <w:p w14:paraId="4CC783B7" w14:textId="77777777" w:rsidR="00772179" w:rsidRDefault="00000000">
      <w:pPr>
        <w:pStyle w:val="Author-eListParagraph"/>
        <w:numPr>
          <w:ilvl w:val="0"/>
          <w:numId w:val="1165"/>
        </w:numPr>
      </w:pPr>
      <w:r>
        <w:t xml:space="preserve">Perméabilité à la vapeur d'eau µ : </w:t>
      </w:r>
      <w:r>
        <w:rPr>
          <w:rStyle w:val="optioncarChar"/>
        </w:rPr>
        <w:t>1 / 2</w:t>
      </w:r>
    </w:p>
    <w:p w14:paraId="1D14EEEE" w14:textId="77777777" w:rsidR="00772179" w:rsidRDefault="00000000">
      <w:r>
        <w:rPr>
          <w:u w:val="single"/>
        </w:rPr>
        <w:t>Autres caractéristiques spécifiques suivant les sollicitations du projet : </w:t>
      </w:r>
    </w:p>
    <w:p w14:paraId="471EE612" w14:textId="77777777" w:rsidR="00772179" w:rsidRDefault="00000000">
      <w:pPr>
        <w:pStyle w:val="Author-eListParagraph"/>
        <w:numPr>
          <w:ilvl w:val="0"/>
          <w:numId w:val="1167"/>
        </w:numPr>
      </w:pPr>
      <w:r>
        <w:t xml:space="preserve">Atténuation acoustique : </w:t>
      </w:r>
      <w:r>
        <w:rPr>
          <w:rStyle w:val="optioncarChar"/>
        </w:rPr>
        <w:t xml:space="preserve">*** </w:t>
      </w:r>
      <w:r>
        <w:t>db.</w:t>
      </w:r>
    </w:p>
    <w:p w14:paraId="076D1091" w14:textId="77777777" w:rsidR="00772179" w:rsidRDefault="00000000">
      <w:pPr>
        <w:pStyle w:val="pheading"/>
      </w:pPr>
      <w:r>
        <w:t>EXÉCUTION / MISE EN ŒUVRE</w:t>
      </w:r>
    </w:p>
    <w:p w14:paraId="7E213DD9" w14:textId="77777777" w:rsidR="00772179" w:rsidRDefault="00000000">
      <w:pPr>
        <w:pStyle w:val="pheading"/>
      </w:pPr>
      <w:r>
        <w:t>- Prescriptions générales</w:t>
      </w:r>
    </w:p>
    <w:p w14:paraId="5C4EB05B" w14:textId="77777777" w:rsidR="00772179" w:rsidRDefault="00000000">
      <w:r>
        <w:t>Voir 32.44.4a Isolation à souffler - laine de mouton</w:t>
      </w:r>
    </w:p>
    <w:p w14:paraId="51D07D15" w14:textId="77777777" w:rsidR="00772179" w:rsidRDefault="00000000">
      <w:pPr>
        <w:pStyle w:val="pheading"/>
      </w:pPr>
      <w:r>
        <w:t>DOCUMENTS DE RÉFÉRENCE COMPLÉMENTAIRES</w:t>
      </w:r>
    </w:p>
    <w:p w14:paraId="465B694B" w14:textId="77777777" w:rsidR="00772179" w:rsidRDefault="00000000">
      <w:pPr>
        <w:pStyle w:val="pheading"/>
      </w:pPr>
      <w:r>
        <w:t>- Matériau</w:t>
      </w:r>
    </w:p>
    <w:p w14:paraId="3BE333D8" w14:textId="77777777" w:rsidR="00772179" w:rsidRDefault="00000000">
      <w:r>
        <w:t>32.44.4a Isolation à souffler - laine de mouton</w:t>
      </w:r>
    </w:p>
    <w:p w14:paraId="1648B7E5" w14:textId="77777777" w:rsidR="00772179" w:rsidRDefault="00000000">
      <w:pPr>
        <w:pStyle w:val="pheading"/>
      </w:pPr>
      <w:r>
        <w:t>- Exécution</w:t>
      </w:r>
    </w:p>
    <w:p w14:paraId="7EC3782C" w14:textId="77777777" w:rsidR="00772179" w:rsidRDefault="00000000">
      <w:r>
        <w:t>32.44.4a Isolation à souffler - laine de mouton</w:t>
      </w:r>
    </w:p>
    <w:p w14:paraId="2BE621BA" w14:textId="77777777" w:rsidR="00772179" w:rsidRDefault="00000000">
      <w:pPr>
        <w:pStyle w:val="pheading"/>
      </w:pPr>
      <w:r>
        <w:t>MESURAGE</w:t>
      </w:r>
    </w:p>
    <w:p w14:paraId="36A8AC38" w14:textId="77777777" w:rsidR="00772179" w:rsidRDefault="00000000">
      <w:pPr>
        <w:pStyle w:val="pheading"/>
      </w:pPr>
      <w:r>
        <w:t>- unité de mesure:</w:t>
      </w:r>
    </w:p>
    <w:p w14:paraId="7FE3BD67" w14:textId="77777777" w:rsidR="00772179" w:rsidRDefault="00000000">
      <w:r>
        <w:t>m³</w:t>
      </w:r>
    </w:p>
    <w:p w14:paraId="5EE6092F" w14:textId="77777777" w:rsidR="00772179" w:rsidRDefault="00000000">
      <w:pPr>
        <w:pStyle w:val="pheading"/>
      </w:pPr>
      <w:r>
        <w:t>- code de mesurage:</w:t>
      </w:r>
    </w:p>
    <w:p w14:paraId="39FB3826" w14:textId="77777777" w:rsidR="00772179" w:rsidRDefault="00000000">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75A5EF1B" w14:textId="77777777" w:rsidR="00772179" w:rsidRDefault="00000000">
      <w:pPr>
        <w:pStyle w:val="pheading"/>
      </w:pPr>
      <w:r>
        <w:t>- nature du marché:</w:t>
      </w:r>
    </w:p>
    <w:p w14:paraId="79D2CED3" w14:textId="77777777" w:rsidR="00772179" w:rsidRDefault="00000000">
      <w:r>
        <w:t>QF</w:t>
      </w:r>
    </w:p>
    <w:p w14:paraId="275563C6" w14:textId="77777777" w:rsidR="00772179" w:rsidRDefault="00000000">
      <w:pPr>
        <w:pStyle w:val="Author-eSectionHeading6Numberless"/>
      </w:pPr>
      <w:bookmarkStart w:id="1075" w:name="_Toc220490731"/>
      <w:r>
        <w:t>44.44.4b Isolation à souffler - plumes CCTB 01.02</w:t>
      </w:r>
      <w:bookmarkEnd w:id="1075"/>
    </w:p>
    <w:p w14:paraId="11E164CB" w14:textId="77777777" w:rsidR="00772179" w:rsidRDefault="00000000">
      <w:pPr>
        <w:pStyle w:val="Author-eSectionHeading4Numberless"/>
      </w:pPr>
      <w:bookmarkStart w:id="1076" w:name="_Toc220490732"/>
      <w:r>
        <w:t>44.45 Isolation à injecter CCTB 01.02</w:t>
      </w:r>
      <w:bookmarkEnd w:id="1076"/>
    </w:p>
    <w:p w14:paraId="0EE48CA0" w14:textId="77777777" w:rsidR="00772179" w:rsidRDefault="00000000">
      <w:pPr>
        <w:pStyle w:val="pheading"/>
      </w:pPr>
      <w:r>
        <w:t>DESCRIPTION</w:t>
      </w:r>
    </w:p>
    <w:p w14:paraId="70F39789" w14:textId="77777777" w:rsidR="00772179" w:rsidRDefault="00000000">
      <w:pPr>
        <w:pStyle w:val="pheading"/>
      </w:pPr>
      <w:r>
        <w:lastRenderedPageBreak/>
        <w:t>- Définition / Comprend</w:t>
      </w:r>
    </w:p>
    <w:p w14:paraId="4C095290" w14:textId="77777777" w:rsidR="00772179" w:rsidRDefault="00000000">
      <w:r>
        <w:t>Il s'agit de la réalisation d'une isolation par injection suivant les prescriptions de l'élément 32.45 Isolation à injecter.</w:t>
      </w:r>
    </w:p>
    <w:p w14:paraId="1CB13874" w14:textId="77777777" w:rsidR="00772179" w:rsidRDefault="00000000">
      <w:pPr>
        <w:pStyle w:val="pheading"/>
      </w:pPr>
      <w:r>
        <w:t>MATÉRIAUX</w:t>
      </w:r>
    </w:p>
    <w:p w14:paraId="55CF8152" w14:textId="77777777" w:rsidR="00772179" w:rsidRDefault="00000000">
      <w:r>
        <w:t>Voir 32.45 Isolation à injecter.</w:t>
      </w:r>
    </w:p>
    <w:p w14:paraId="14A1160F" w14:textId="77777777" w:rsidR="00772179" w:rsidRDefault="00000000">
      <w:pPr>
        <w:pStyle w:val="pheading"/>
      </w:pPr>
      <w:r>
        <w:t>EXÉCUTION / MISE EN ŒUVRE</w:t>
      </w:r>
    </w:p>
    <w:p w14:paraId="02D80D2D" w14:textId="77777777" w:rsidR="00772179" w:rsidRDefault="00000000">
      <w:r>
        <w:t>Voir 32.45 Isolation à injecter.</w:t>
      </w:r>
    </w:p>
    <w:p w14:paraId="357E3504" w14:textId="77777777" w:rsidR="00772179" w:rsidRDefault="00000000">
      <w:pPr>
        <w:pStyle w:val="pheading"/>
      </w:pPr>
      <w:r>
        <w:t>CONTRÔLES</w:t>
      </w:r>
    </w:p>
    <w:p w14:paraId="45C4A0BD" w14:textId="77777777" w:rsidR="00772179" w:rsidRDefault="00000000">
      <w:r>
        <w:t>Voir 32.45 Isolation à injecter.</w:t>
      </w:r>
    </w:p>
    <w:p w14:paraId="23574BAD" w14:textId="77777777" w:rsidR="00772179" w:rsidRDefault="00000000">
      <w:pPr>
        <w:pStyle w:val="pheading"/>
      </w:pPr>
      <w:r>
        <w:t>DOCUMENTS DE RÉFÉRENCE</w:t>
      </w:r>
    </w:p>
    <w:p w14:paraId="66FEFD98" w14:textId="77777777" w:rsidR="00772179" w:rsidRDefault="00000000">
      <w:pPr>
        <w:pStyle w:val="pheading"/>
      </w:pPr>
      <w:r>
        <w:t>- Matériau</w:t>
      </w:r>
    </w:p>
    <w:p w14:paraId="5F539093" w14:textId="77777777" w:rsidR="00772179" w:rsidRDefault="00000000">
      <w:r>
        <w:t>32.45 Isolation à injecter</w:t>
      </w:r>
    </w:p>
    <w:p w14:paraId="23DE47DF" w14:textId="77777777" w:rsidR="00772179" w:rsidRDefault="00000000">
      <w:pPr>
        <w:pStyle w:val="pheading"/>
      </w:pPr>
      <w:r>
        <w:t>- Exécution</w:t>
      </w:r>
    </w:p>
    <w:p w14:paraId="21780224" w14:textId="77777777" w:rsidR="00772179" w:rsidRDefault="00000000">
      <w:r>
        <w:t>32.45 Isolation à injecter</w:t>
      </w:r>
    </w:p>
    <w:p w14:paraId="13F6E789" w14:textId="77777777" w:rsidR="00772179" w:rsidRDefault="00000000">
      <w:pPr>
        <w:pStyle w:val="Author-eSectionHeading5Numberless"/>
      </w:pPr>
      <w:bookmarkStart w:id="1077" w:name="_Toc220490733"/>
      <w:r>
        <w:t>44.45.1 Isolation à injecter - matières synthétiques CCTB 01.02</w:t>
      </w:r>
      <w:bookmarkEnd w:id="1077"/>
    </w:p>
    <w:p w14:paraId="021D3F0D" w14:textId="77777777" w:rsidR="00772179" w:rsidRDefault="00000000">
      <w:pPr>
        <w:pStyle w:val="Author-eSectionHeading6Numberless"/>
      </w:pPr>
      <w:bookmarkStart w:id="1078" w:name="_Toc220490734"/>
      <w:r>
        <w:t>44.45.1a Isolation à injecter - mousse de polystyrène (EPS) CCTB 01.10</w:t>
      </w:r>
      <w:bookmarkEnd w:id="1078"/>
    </w:p>
    <w:p w14:paraId="370885C1" w14:textId="77777777" w:rsidR="00772179" w:rsidRDefault="00000000">
      <w:pPr>
        <w:pStyle w:val="pheading"/>
      </w:pPr>
      <w:r>
        <w:t>DESCRIPTION</w:t>
      </w:r>
    </w:p>
    <w:p w14:paraId="5D000126" w14:textId="77777777" w:rsidR="00772179" w:rsidRDefault="00000000">
      <w:pPr>
        <w:pStyle w:val="pheading"/>
      </w:pPr>
      <w:r>
        <w:t>- Définition / Comprend</w:t>
      </w:r>
    </w:p>
    <w:p w14:paraId="6438FCF3" w14:textId="77777777" w:rsidR="00772179" w:rsidRDefault="00000000">
      <w:r>
        <w:t>Il s'agit de la réalisation d'une isolation en mousse de polystyrène expansé (EPS)  suivant les prescriptions de l'article 32.45.1a Isolation à injecter - mousse de polystyrène (EPS).</w:t>
      </w:r>
    </w:p>
    <w:p w14:paraId="794CD090" w14:textId="77777777" w:rsidR="00772179" w:rsidRDefault="00000000">
      <w:pPr>
        <w:pStyle w:val="pheading"/>
      </w:pPr>
      <w:r>
        <w:t>MATÉRIAUX</w:t>
      </w:r>
    </w:p>
    <w:p w14:paraId="12EA1FCC" w14:textId="77777777" w:rsidR="00772179" w:rsidRDefault="00000000">
      <w:pPr>
        <w:pStyle w:val="pheading"/>
      </w:pPr>
      <w:r>
        <w:t>- Caractéristiques générales</w:t>
      </w:r>
    </w:p>
    <w:p w14:paraId="3AD295C6" w14:textId="77777777" w:rsidR="00772179" w:rsidRDefault="00000000">
      <w:r>
        <w:t>Voir 32.45.1a Isolation à injecter - mousse de polystyrène (EPS)</w:t>
      </w:r>
    </w:p>
    <w:p w14:paraId="3BC89D67" w14:textId="77777777" w:rsidR="00772179" w:rsidRDefault="00000000">
      <w:pPr>
        <w:pStyle w:val="pheading"/>
      </w:pPr>
      <w:r>
        <w:t>CONTRÔLES PARTICULIERS</w:t>
      </w:r>
    </w:p>
    <w:p w14:paraId="1A4B5568" w14:textId="77777777" w:rsidR="00772179" w:rsidRDefault="00000000">
      <w:r>
        <w:t>Voir 32.45.1a Isolation à injecter - mousse de polystyrène (EPS)</w:t>
      </w:r>
    </w:p>
    <w:p w14:paraId="57183A37" w14:textId="77777777" w:rsidR="00772179" w:rsidRDefault="00000000">
      <w:pPr>
        <w:pStyle w:val="pheading"/>
      </w:pPr>
      <w:r>
        <w:t>DOCUMENTS DE RÉFÉRENCE COMPLÉMENTAIRES</w:t>
      </w:r>
    </w:p>
    <w:p w14:paraId="577E3C1A" w14:textId="77777777" w:rsidR="00772179" w:rsidRDefault="00000000">
      <w:pPr>
        <w:pStyle w:val="pheading"/>
      </w:pPr>
      <w:r>
        <w:t>- Matériau</w:t>
      </w:r>
    </w:p>
    <w:p w14:paraId="20D48F68" w14:textId="77777777" w:rsidR="00772179" w:rsidRDefault="00000000">
      <w:r>
        <w:t>32.45.1a Isolation à injecter - mousse de polystyrène (EPS)</w:t>
      </w:r>
    </w:p>
    <w:p w14:paraId="158E5A15" w14:textId="77777777" w:rsidR="00772179" w:rsidRDefault="00000000">
      <w:pPr>
        <w:pStyle w:val="pheading"/>
      </w:pPr>
      <w:r>
        <w:t>- Exécution</w:t>
      </w:r>
    </w:p>
    <w:p w14:paraId="11228E2E" w14:textId="77777777" w:rsidR="00772179" w:rsidRDefault="00000000">
      <w:r>
        <w:t>32.45.1a Isolation à injecter - mousse de polystyrène (EPS)</w:t>
      </w:r>
    </w:p>
    <w:p w14:paraId="75B5372D" w14:textId="77777777" w:rsidR="00772179" w:rsidRDefault="00000000">
      <w:pPr>
        <w:pStyle w:val="pheading"/>
      </w:pPr>
      <w:r>
        <w:t>MESURAGE</w:t>
      </w:r>
    </w:p>
    <w:p w14:paraId="4412A997" w14:textId="77777777" w:rsidR="00772179" w:rsidRDefault="00000000">
      <w:pPr>
        <w:pStyle w:val="pheading"/>
      </w:pPr>
      <w:r>
        <w:t>- unité de mesure:</w:t>
      </w:r>
    </w:p>
    <w:p w14:paraId="1B00E398" w14:textId="77777777" w:rsidR="00772179" w:rsidRDefault="00000000">
      <w:r>
        <w:t>m³</w:t>
      </w:r>
    </w:p>
    <w:p w14:paraId="0C27FA9D" w14:textId="77777777" w:rsidR="00772179" w:rsidRDefault="00000000">
      <w:pPr>
        <w:pStyle w:val="pheading"/>
      </w:pPr>
      <w:r>
        <w:t>- code de mesurage:</w:t>
      </w:r>
    </w:p>
    <w:p w14:paraId="74C61BF1" w14:textId="77777777" w:rsidR="00772179" w:rsidRDefault="00000000">
      <w:r>
        <w:t>Volume net de la construction à isoler, sans déduction des éléments de structure interposés.</w:t>
      </w:r>
      <w:r>
        <w:br/>
        <w:t>Les ouvertures &gt; 0,5 m² multipliées par l’épaisseur à réaliser sont déduites.</w:t>
      </w:r>
    </w:p>
    <w:p w14:paraId="6F2AF49E" w14:textId="77777777" w:rsidR="00772179" w:rsidRDefault="00000000">
      <w:pPr>
        <w:pStyle w:val="pheading"/>
      </w:pPr>
      <w:r>
        <w:t>- nature du marché:</w:t>
      </w:r>
    </w:p>
    <w:p w14:paraId="5DF74C34" w14:textId="77777777" w:rsidR="00772179" w:rsidRDefault="00000000">
      <w:r>
        <w:t>QF</w:t>
      </w:r>
    </w:p>
    <w:p w14:paraId="73335C00" w14:textId="77777777" w:rsidR="00772179" w:rsidRDefault="00000000">
      <w:pPr>
        <w:pStyle w:val="Author-eSectionHeading6Numberless"/>
      </w:pPr>
      <w:bookmarkStart w:id="1079" w:name="_Toc220490735"/>
      <w:r>
        <w:lastRenderedPageBreak/>
        <w:t>44.45.1b Isolation à injecter - mousse de polyuréthane (PUR) CCTB 01.10</w:t>
      </w:r>
      <w:bookmarkEnd w:id="1079"/>
    </w:p>
    <w:p w14:paraId="145D6889" w14:textId="77777777" w:rsidR="00772179" w:rsidRDefault="00000000">
      <w:pPr>
        <w:pStyle w:val="pheading"/>
      </w:pPr>
      <w:r>
        <w:t>DESCRIPTION</w:t>
      </w:r>
    </w:p>
    <w:p w14:paraId="5E7FFF0C" w14:textId="77777777" w:rsidR="00772179" w:rsidRDefault="00000000">
      <w:pPr>
        <w:pStyle w:val="pheading"/>
      </w:pPr>
      <w:r>
        <w:t>- Définition / Comprend</w:t>
      </w:r>
    </w:p>
    <w:p w14:paraId="6F6860CC" w14:textId="77777777" w:rsidR="00772179" w:rsidRDefault="00000000">
      <w:r>
        <w:t>Il s'agit de la réalisation d'une isolation en mousse de polyuréthane (PUR) suivant les prescriptions de l'article 32.45.1b Isolation à injecter - mousse de polyuréthane (PUR).</w:t>
      </w:r>
    </w:p>
    <w:p w14:paraId="12567277" w14:textId="77777777" w:rsidR="00772179" w:rsidRDefault="00000000">
      <w:pPr>
        <w:pStyle w:val="pheading"/>
      </w:pPr>
      <w:r>
        <w:t>MATÉRIAUX</w:t>
      </w:r>
    </w:p>
    <w:p w14:paraId="1971F88E" w14:textId="77777777" w:rsidR="00772179" w:rsidRDefault="00000000">
      <w:pPr>
        <w:pStyle w:val="pheading"/>
      </w:pPr>
      <w:r>
        <w:t>- Caractéristiques générales</w:t>
      </w:r>
    </w:p>
    <w:p w14:paraId="44591157" w14:textId="77777777" w:rsidR="00772179" w:rsidRDefault="00000000">
      <w:r>
        <w:t>Voir 32.45.1b Isolation à injecter - mousse de polyuréthane (PUR)</w:t>
      </w:r>
    </w:p>
    <w:p w14:paraId="27FB0176" w14:textId="77777777" w:rsidR="00772179" w:rsidRDefault="00000000">
      <w:pPr>
        <w:pStyle w:val="pheading"/>
      </w:pPr>
      <w:r>
        <w:t>CONTRÔLES PARTICULIERS</w:t>
      </w:r>
    </w:p>
    <w:p w14:paraId="6373D0F3" w14:textId="77777777" w:rsidR="00772179" w:rsidRDefault="00000000">
      <w:r>
        <w:t>Voir 32.45.1b Isolation à injecter - mousse de polyuréthane (PUR)</w:t>
      </w:r>
    </w:p>
    <w:p w14:paraId="6D23E63F" w14:textId="77777777" w:rsidR="00772179" w:rsidRDefault="00000000">
      <w:pPr>
        <w:pStyle w:val="pheading"/>
      </w:pPr>
      <w:r>
        <w:t>DOCUMENTS DE RÉFÉRENCE COMPLÉMENTAIRES</w:t>
      </w:r>
    </w:p>
    <w:p w14:paraId="1544F547" w14:textId="77777777" w:rsidR="00772179" w:rsidRDefault="00000000">
      <w:pPr>
        <w:pStyle w:val="pheading"/>
      </w:pPr>
      <w:r>
        <w:t>- Matériau</w:t>
      </w:r>
    </w:p>
    <w:p w14:paraId="118257F9" w14:textId="77777777" w:rsidR="00772179" w:rsidRDefault="00000000">
      <w:r>
        <w:t>32.45.1b Isolation à injecter - mousse de polyuréthane (PUR)</w:t>
      </w:r>
    </w:p>
    <w:p w14:paraId="5075A141" w14:textId="77777777" w:rsidR="00772179" w:rsidRDefault="00000000">
      <w:pPr>
        <w:pStyle w:val="pheading"/>
      </w:pPr>
      <w:r>
        <w:t>- Exécution</w:t>
      </w:r>
    </w:p>
    <w:p w14:paraId="4BB8247D" w14:textId="77777777" w:rsidR="00772179" w:rsidRDefault="00000000">
      <w:r>
        <w:t>32.45.1b Isolation à injecter - mousse de polyuréthane (PUR)</w:t>
      </w:r>
    </w:p>
    <w:p w14:paraId="725C9C22" w14:textId="77777777" w:rsidR="00772179" w:rsidRDefault="00000000">
      <w:pPr>
        <w:pStyle w:val="pheading"/>
      </w:pPr>
      <w:r>
        <w:t>MESURAGE</w:t>
      </w:r>
    </w:p>
    <w:p w14:paraId="65DEC48D" w14:textId="77777777" w:rsidR="00772179" w:rsidRDefault="00000000">
      <w:pPr>
        <w:pStyle w:val="pheading"/>
      </w:pPr>
      <w:r>
        <w:t>- unité de mesure:</w:t>
      </w:r>
    </w:p>
    <w:p w14:paraId="2E274D56" w14:textId="77777777" w:rsidR="00772179" w:rsidRDefault="00000000">
      <w:r>
        <w:t>m³</w:t>
      </w:r>
    </w:p>
    <w:p w14:paraId="34CE963D" w14:textId="77777777" w:rsidR="00772179" w:rsidRDefault="00000000">
      <w:pPr>
        <w:pStyle w:val="pheading"/>
      </w:pPr>
      <w:r>
        <w:t>- code de mesurage:</w:t>
      </w:r>
    </w:p>
    <w:p w14:paraId="74666C43" w14:textId="77777777" w:rsidR="00772179" w:rsidRDefault="00000000">
      <w:r>
        <w:t>Volume net de la construction à isoler, sans déduction des éléments de structure interposés.</w:t>
      </w:r>
      <w:r>
        <w:br/>
        <w:t>Les ouvertures &gt; 0,5 m² multipliées par l’épaisseur à réaliser sont déduites.</w:t>
      </w:r>
    </w:p>
    <w:p w14:paraId="185438D5" w14:textId="77777777" w:rsidR="00772179" w:rsidRDefault="00000000">
      <w:pPr>
        <w:pStyle w:val="pheading"/>
      </w:pPr>
      <w:r>
        <w:t>- nature du marché:</w:t>
      </w:r>
    </w:p>
    <w:p w14:paraId="72150BD5" w14:textId="77777777" w:rsidR="00772179" w:rsidRDefault="00000000">
      <w:r>
        <w:t>QF</w:t>
      </w:r>
    </w:p>
    <w:p w14:paraId="2C73DD05" w14:textId="77777777" w:rsidR="00772179" w:rsidRDefault="00000000">
      <w:pPr>
        <w:pStyle w:val="Author-eSectionHeading6Numberless"/>
      </w:pPr>
      <w:bookmarkStart w:id="1080" w:name="_Toc220490736"/>
      <w:r>
        <w:t>44.45.1c Isolation à injecter - mousse de polyisocyanurate (PIR) CCTB 01.04</w:t>
      </w:r>
      <w:bookmarkEnd w:id="1080"/>
    </w:p>
    <w:p w14:paraId="73F2DF5B" w14:textId="77777777" w:rsidR="00772179" w:rsidRDefault="00000000">
      <w:pPr>
        <w:pStyle w:val="Author-eSectionHeading6Numberless"/>
      </w:pPr>
      <w:bookmarkStart w:id="1081" w:name="_Toc220490737"/>
      <w:r>
        <w:t>44.45.1d Isolation à injecter - mousse phénolique (PF) CCTB 01.02</w:t>
      </w:r>
      <w:bookmarkEnd w:id="1081"/>
    </w:p>
    <w:p w14:paraId="476F9E65" w14:textId="77777777" w:rsidR="00772179" w:rsidRDefault="00000000">
      <w:pPr>
        <w:pStyle w:val="Author-eSectionHeading4Numberless"/>
      </w:pPr>
      <w:bookmarkStart w:id="1082" w:name="_Toc220490738"/>
      <w:r>
        <w:t>44.46 Isolation à verser en vrac CCTB 01.02</w:t>
      </w:r>
      <w:bookmarkEnd w:id="1082"/>
    </w:p>
    <w:p w14:paraId="201C57BE" w14:textId="77777777" w:rsidR="00772179" w:rsidRDefault="00000000">
      <w:pPr>
        <w:pStyle w:val="Author-eSectionHeading5Numberless"/>
      </w:pPr>
      <w:bookmarkStart w:id="1083" w:name="_Toc220490739"/>
      <w:r>
        <w:t>44.46.1 Isolation à verser en vrac - matières synthétiques CCTB 01.02</w:t>
      </w:r>
      <w:bookmarkEnd w:id="1083"/>
    </w:p>
    <w:p w14:paraId="7A5EDFB3" w14:textId="77777777" w:rsidR="00772179" w:rsidRDefault="00000000">
      <w:pPr>
        <w:pStyle w:val="Author-eSectionHeading5Numberless"/>
      </w:pPr>
      <w:bookmarkStart w:id="1084" w:name="_Toc220490740"/>
      <w:r>
        <w:t>44.46.2 Isolation à verser en vrac - matières minérales CCTB 01.02</w:t>
      </w:r>
      <w:bookmarkEnd w:id="1084"/>
    </w:p>
    <w:p w14:paraId="24B8C167" w14:textId="77777777" w:rsidR="00772179" w:rsidRDefault="00000000">
      <w:pPr>
        <w:pStyle w:val="Author-eSectionHeading6Numberless"/>
      </w:pPr>
      <w:bookmarkStart w:id="1085" w:name="_Toc220490741"/>
      <w:r>
        <w:t>44.46.2a Isolation à verser en vrac - laine de verre CCTB 01.02</w:t>
      </w:r>
      <w:bookmarkEnd w:id="1085"/>
    </w:p>
    <w:p w14:paraId="5EE04B22" w14:textId="77777777" w:rsidR="00772179" w:rsidRDefault="00000000">
      <w:pPr>
        <w:pStyle w:val="Author-eSectionHeading6Numberless"/>
      </w:pPr>
      <w:bookmarkStart w:id="1086" w:name="_Toc220490742"/>
      <w:r>
        <w:t>44.46.2b Isolation à verser en vrac - laine de roche CCTB 01.02</w:t>
      </w:r>
      <w:bookmarkEnd w:id="1086"/>
    </w:p>
    <w:p w14:paraId="5DAF3276" w14:textId="77777777" w:rsidR="00772179" w:rsidRDefault="00000000">
      <w:pPr>
        <w:pStyle w:val="Author-eSectionHeading6Numberless"/>
      </w:pPr>
      <w:bookmarkStart w:id="1087" w:name="_Toc220490743"/>
      <w:r>
        <w:t>44.46.2c Isolation à verser en vrac - fibres de verre CCTB 01.02</w:t>
      </w:r>
      <w:bookmarkEnd w:id="1087"/>
    </w:p>
    <w:p w14:paraId="252FD447" w14:textId="77777777" w:rsidR="00772179" w:rsidRDefault="00000000">
      <w:pPr>
        <w:pStyle w:val="Author-eSectionHeading6Numberless"/>
      </w:pPr>
      <w:bookmarkStart w:id="1088" w:name="_Toc220490744"/>
      <w:r>
        <w:t>44.46.2d Isolation à verser en vrac - vermiculite expansée (EV) CCTB 01.02</w:t>
      </w:r>
      <w:bookmarkEnd w:id="1088"/>
    </w:p>
    <w:p w14:paraId="36EF617D" w14:textId="77777777" w:rsidR="00772179" w:rsidRDefault="00000000">
      <w:pPr>
        <w:pStyle w:val="Author-eSectionHeading6Numberless"/>
      </w:pPr>
      <w:bookmarkStart w:id="1089" w:name="_Toc220490745"/>
      <w:r>
        <w:t>44.46.2e Isolation à verser en vrac - perlite expansée (EPB) CCTB 01.02</w:t>
      </w:r>
      <w:bookmarkEnd w:id="1089"/>
    </w:p>
    <w:p w14:paraId="187BCD02" w14:textId="77777777" w:rsidR="00772179" w:rsidRDefault="00000000">
      <w:pPr>
        <w:pStyle w:val="Author-eSectionHeading6Numberless"/>
      </w:pPr>
      <w:bookmarkStart w:id="1090" w:name="_Toc220490746"/>
      <w:r>
        <w:t>44.46.2f (titre réservé)</w:t>
      </w:r>
      <w:bookmarkEnd w:id="1090"/>
    </w:p>
    <w:p w14:paraId="60747BF9" w14:textId="77777777" w:rsidR="00772179" w:rsidRDefault="00000000">
      <w:pPr>
        <w:pStyle w:val="Author-eSectionHeading5Numberless"/>
      </w:pPr>
      <w:bookmarkStart w:id="1091" w:name="_Toc220490747"/>
      <w:r>
        <w:t>44.46.3 Isolation à verser en vrac - matières végétales CCTB 01.02</w:t>
      </w:r>
      <w:bookmarkEnd w:id="1091"/>
    </w:p>
    <w:p w14:paraId="6FC4ECC6" w14:textId="77777777" w:rsidR="00772179" w:rsidRDefault="00000000">
      <w:pPr>
        <w:pStyle w:val="Author-eSectionHeading6Numberless"/>
      </w:pPr>
      <w:bookmarkStart w:id="1092" w:name="_Toc220490748"/>
      <w:r>
        <w:t>44.46.3a Isolation à verser en vrac - fibres cellulosiques CCTB 01.12</w:t>
      </w:r>
      <w:bookmarkEnd w:id="1092"/>
    </w:p>
    <w:p w14:paraId="70BC68A7" w14:textId="77777777" w:rsidR="00772179" w:rsidRDefault="00000000">
      <w:pPr>
        <w:pStyle w:val="pheading"/>
      </w:pPr>
      <w:r>
        <w:lastRenderedPageBreak/>
        <w:t>DESCRIPTION</w:t>
      </w:r>
    </w:p>
    <w:p w14:paraId="0707D146" w14:textId="77777777" w:rsidR="00772179" w:rsidRDefault="00000000">
      <w:pPr>
        <w:pStyle w:val="pheading"/>
      </w:pPr>
      <w:r>
        <w:t>- Définition / Comprend</w:t>
      </w:r>
    </w:p>
    <w:p w14:paraId="51F40E9F" w14:textId="77777777" w:rsidR="00772179" w:rsidRDefault="00000000">
      <w:pPr>
        <w:jc w:val="both"/>
      </w:pPr>
      <w:r>
        <w:t>Il s’agit de la fourniture et la pose d’une isolation thermique à verser en vrac de fibres cellulosiques pour une application extérieure.</w:t>
      </w:r>
    </w:p>
    <w:p w14:paraId="1AE1B957" w14:textId="77777777" w:rsidR="00772179" w:rsidRDefault="00000000">
      <w:pPr>
        <w:pStyle w:val="pheading"/>
      </w:pPr>
      <w:r>
        <w:t>- Localisation</w:t>
      </w:r>
    </w:p>
    <w:p w14:paraId="608FEE55" w14:textId="77777777" w:rsidR="00772179" w:rsidRDefault="00000000">
      <w:r>
        <w:t>Localisation des travaux :</w:t>
      </w:r>
      <w:r>
        <w:rPr>
          <w:rStyle w:val="optioncarChar"/>
        </w:rPr>
        <w:t xml:space="preserve"> ***</w:t>
      </w:r>
      <w:r>
        <w:t>.</w:t>
      </w:r>
    </w:p>
    <w:p w14:paraId="0CB727C5" w14:textId="77777777" w:rsidR="00772179" w:rsidRDefault="00000000">
      <w:r>
        <w:t>Voir plans et métrés détaillés.</w:t>
      </w:r>
    </w:p>
    <w:p w14:paraId="697D71D4" w14:textId="77777777" w:rsidR="00772179" w:rsidRDefault="00000000">
      <w:pPr>
        <w:pStyle w:val="pheading"/>
      </w:pPr>
      <w:r>
        <w:t>MATÉRIAUX</w:t>
      </w:r>
    </w:p>
    <w:p w14:paraId="0C84B3E0" w14:textId="77777777" w:rsidR="00772179" w:rsidRDefault="00000000">
      <w:pPr>
        <w:pStyle w:val="pheading"/>
      </w:pPr>
      <w:r>
        <w:t>- Caractéristiques générales</w:t>
      </w:r>
    </w:p>
    <w:p w14:paraId="59F55464" w14:textId="77777777" w:rsidR="00772179" w:rsidRDefault="00000000">
      <w:r>
        <w:t>L’isolation de fibres cellulosiques avant la mise en œuvre est conforme aux exigences et à la description de la [NBN EN 15101-1:2013+A1].</w:t>
      </w:r>
      <w:r>
        <w:br/>
        <w:t>Le produit est constitué de fibres cellulosiques (LFCI). Le produit est conditionné en sacs.</w:t>
      </w:r>
      <w:r>
        <w:br/>
        <w:t>Épaisseur après mise en œuvre (selon [NBN EN 15101-2]) :</w:t>
      </w:r>
      <w:r>
        <w:rPr>
          <w:rStyle w:val="optioncarChar"/>
        </w:rPr>
        <w:t xml:space="preserve"> ***</w:t>
      </w:r>
      <w:r>
        <w:t xml:space="preserve"> cm.</w:t>
      </w:r>
      <w:r>
        <w:br/>
        <w:t xml:space="preserve">Masse volumique nominale après mise en œuvre (selon [NBN EN 15101-2]) : </w:t>
      </w:r>
      <w:r>
        <w:rPr>
          <w:rStyle w:val="optioncarChar"/>
        </w:rPr>
        <w:t xml:space="preserve">≥ 25 </w:t>
      </w:r>
      <w:r>
        <w:t xml:space="preserve">(par défaut) </w:t>
      </w:r>
      <w:r>
        <w:rPr>
          <w:rStyle w:val="optioncarChar"/>
        </w:rPr>
        <w:t>/ ***</w:t>
      </w:r>
      <w:r>
        <w:t xml:space="preserve"> kg/m³.</w:t>
      </w:r>
      <w:r>
        <w:br/>
        <w:t xml:space="preserve">Conductivité thermique déclarée (selon [NBN EN 12667] ) : ≤ </w:t>
      </w:r>
      <w:r>
        <w:rPr>
          <w:rStyle w:val="optioncarChar"/>
        </w:rPr>
        <w:t xml:space="preserve">0,04 </w:t>
      </w:r>
      <w:r>
        <w:t xml:space="preserve">(par défaut) </w:t>
      </w:r>
      <w:r>
        <w:rPr>
          <w:rStyle w:val="optioncarChar"/>
        </w:rPr>
        <w:t>/ ***</w:t>
      </w:r>
      <w:r>
        <w:t xml:space="preserve"> W/mK.</w:t>
      </w:r>
      <w:r>
        <w:b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 xml:space="preserve">4 % </w:t>
      </w:r>
      <w:r>
        <w:t>(par défaut)</w:t>
      </w:r>
      <w:r>
        <w:rPr>
          <w:rStyle w:val="optioncarChar"/>
        </w:rPr>
        <w:t xml:space="preserve"> / ***.</w:t>
      </w:r>
      <w:r>
        <w:br/>
        <w:t>Les fibres de bois utilisées proviennent de forêts gérées durablement suivant les prescriptions de l'élément 02.42.4 Bois provenant de forêts gérées durablement.</w:t>
      </w:r>
    </w:p>
    <w:p w14:paraId="33B36D20" w14:textId="77777777" w:rsidR="00772179" w:rsidRDefault="00000000">
      <w:pPr>
        <w:ind w:left="750"/>
      </w:pPr>
      <w:r>
        <w:t> </w:t>
      </w:r>
    </w:p>
    <w:p w14:paraId="056E3494" w14:textId="77777777" w:rsidR="00772179" w:rsidRDefault="00000000">
      <w:pPr>
        <w:pStyle w:val="pheading"/>
      </w:pPr>
      <w:r>
        <w:t>- Prescriptions complémentaires</w:t>
      </w:r>
    </w:p>
    <w:p w14:paraId="6FE3BDF9" w14:textId="77777777" w:rsidR="00772179" w:rsidRDefault="00000000">
      <w:r>
        <w:t xml:space="preserve">Coefficient de résistance à la diffusion de vapeur d’eau – valeur μ (selon </w:t>
      </w:r>
      <w:r>
        <w:rPr>
          <w:rStyle w:val="facultChar"/>
        </w:rPr>
        <w:t>[NBN EN 12086]</w:t>
      </w:r>
      <w:r>
        <w:t>) : &lt;</w:t>
      </w:r>
      <w:r>
        <w:rPr>
          <w:rStyle w:val="facultChar"/>
        </w:rPr>
        <w:t> </w:t>
      </w:r>
      <w:r>
        <w:rPr>
          <w:rStyle w:val="optioncarChar"/>
        </w:rPr>
        <w:t xml:space="preserve">2 </w:t>
      </w:r>
      <w:r>
        <w:t>(par défaut)</w:t>
      </w:r>
      <w:r>
        <w:rPr>
          <w:rStyle w:val="optioncarChar"/>
        </w:rPr>
        <w:t xml:space="preserve"> / ***</w:t>
      </w:r>
      <w:r>
        <w:rPr>
          <w:rStyle w:val="facultChar"/>
        </w:rPr>
        <w:t>.</w:t>
      </w:r>
      <w:r>
        <w:br/>
        <w:t>Absorption d’eau à court terme déterminée conformément à la </w:t>
      </w:r>
      <w:r>
        <w:rPr>
          <w:rStyle w:val="facultChar"/>
        </w:rPr>
        <w:t>[NBN EN ISO 29767] </w:t>
      </w:r>
      <w:r>
        <w:t>est ≤</w:t>
      </w:r>
      <w:r>
        <w:rPr>
          <w:rStyle w:val="facultChar"/>
        </w:rPr>
        <w:t> </w:t>
      </w:r>
      <w:r>
        <w:rPr>
          <w:rStyle w:val="optioncarChar"/>
        </w:rPr>
        <w:t xml:space="preserve">1Kg/m³ - classe WS1 </w:t>
      </w:r>
      <w:r>
        <w:t>(par défaut)</w:t>
      </w:r>
      <w:r>
        <w:rPr>
          <w:rStyle w:val="optioncarChar"/>
        </w:rPr>
        <w:t xml:space="preserve"> / 2% - WS2</w:t>
      </w:r>
      <w:r>
        <w:rPr>
          <w:rStyle w:val="facultChar"/>
        </w:rPr>
        <w:t>.</w:t>
      </w:r>
      <w:r>
        <w:br/>
        <w:t>Résistance au tassement déterminée conformément  à la </w:t>
      </w:r>
      <w:r>
        <w:rPr>
          <w:rStyle w:val="facultChar"/>
        </w:rPr>
        <w:t>[NBN EN 15101-1:2013+A1] </w:t>
      </w:r>
      <w:r>
        <w:t xml:space="preserve">est ≤ </w:t>
      </w:r>
      <w:r>
        <w:rPr>
          <w:rStyle w:val="optioncarChar"/>
        </w:rPr>
        <w:t xml:space="preserve">15% - classe SH15 </w:t>
      </w:r>
      <w:r>
        <w:t>(par défaut)</w:t>
      </w:r>
      <w:r>
        <w:rPr>
          <w:rStyle w:val="optioncarChar"/>
        </w:rPr>
        <w:t xml:space="preserve"> / 1% - SH0 / 5% - SH5 / 10% - SH10 / 20% - SH20 / 25% - SH25</w:t>
      </w:r>
      <w:r>
        <w:rPr>
          <w:rStyle w:val="facultChar"/>
        </w:rPr>
        <w:t>.</w:t>
      </w:r>
      <w:r>
        <w:br/>
        <w:t>L’isolation en fibres cellulosiques est résistante à la corrosion sur certains métaux.</w:t>
      </w:r>
      <w:r>
        <w:br/>
        <w:t xml:space="preserve">La résistance au moisissures déterminée conformément à la </w:t>
      </w:r>
      <w:r>
        <w:rPr>
          <w:rStyle w:val="facultChar"/>
        </w:rPr>
        <w:t>[NBN EN 15101-1:2013+A1] </w:t>
      </w:r>
      <w:r>
        <w:t xml:space="preserve">est de classe </w:t>
      </w:r>
      <w:r>
        <w:rPr>
          <w:rStyle w:val="optioncarChar"/>
        </w:rPr>
        <w:t xml:space="preserve">BA 0 (aucune moisissure) / BA 2 BA 1 </w:t>
      </w:r>
      <w:r>
        <w:t xml:space="preserve">(par défaut) </w:t>
      </w:r>
      <w:r>
        <w:rPr>
          <w:rStyle w:val="optioncarChar"/>
        </w:rPr>
        <w:t>/ BA 3</w:t>
      </w:r>
      <w:r>
        <w:rPr>
          <w:rStyle w:val="facultChar"/>
        </w:rPr>
        <w:t>.</w:t>
      </w:r>
      <w:r>
        <w:br/>
        <w:t>Classement de la réaction au feu (selon</w:t>
      </w:r>
      <w:r>
        <w:rPr>
          <w:rStyle w:val="facultChar"/>
        </w:rPr>
        <w:t xml:space="preserve">[NBN EN 13501-1]) : </w:t>
      </w:r>
      <w:r>
        <w:rPr>
          <w:rStyle w:val="optioncarChar"/>
        </w:rPr>
        <w:t xml:space="preserve">E </w:t>
      </w:r>
      <w:r>
        <w:t>(par défaut)</w:t>
      </w:r>
      <w:r>
        <w:rPr>
          <w:rStyle w:val="optioncarChar"/>
        </w:rPr>
        <w:t xml:space="preserve"> / ***</w:t>
      </w:r>
      <w:r>
        <w:rPr>
          <w:rStyle w:val="facultChar"/>
        </w:rPr>
        <w:t>.</w:t>
      </w:r>
      <w:r>
        <w:br/>
        <w:t>Le matériau répond aux critères d’acceptabilité des produits tels que définis dans le chapitre 02.42.1 Critères d'acceptabilité</w:t>
      </w:r>
      <w:r>
        <w:rPr>
          <w:color w:val="3366FF"/>
        </w:rPr>
        <w:t>.</w:t>
      </w:r>
    </w:p>
    <w:p w14:paraId="0EFBD9BE" w14:textId="77777777" w:rsidR="00772179" w:rsidRDefault="00000000">
      <w:pPr>
        <w:pStyle w:val="pheading"/>
      </w:pPr>
      <w:r>
        <w:t>EXÉCUTION / MISE EN ŒUVRE</w:t>
      </w:r>
    </w:p>
    <w:p w14:paraId="6EDD113B" w14:textId="77777777" w:rsidR="00772179" w:rsidRDefault="00000000">
      <w:pPr>
        <w:pStyle w:val="pheading"/>
      </w:pPr>
      <w:r>
        <w:t>- Prescriptions générales</w:t>
      </w:r>
    </w:p>
    <w:p w14:paraId="31EB0204" w14:textId="77777777" w:rsidR="00772179" w:rsidRDefault="00000000">
      <w:r>
        <w:t>La mise en œuvre en vrac des fibres cellulosiques est conforme à la [NBN EN 15101-2]. La matière première est livrée sur chantier au plus près de la date d’application (≥ 3 jours). Elle est stockée à l'abri des intempéries et dans un local sec. Si la durée de stockage est plus longue, un contrôle du taux d’humidité est effectué conformément à l'article 03.41.1b Mesures du taux d'humidité dans le bois.</w:t>
      </w:r>
      <w:r>
        <w:br/>
        <w:t xml:space="preserve">Le versement de fibres cellulosiques est réalisé directement sur l’élément à isoler par couche de </w:t>
      </w:r>
      <w:r>
        <w:rPr>
          <w:rStyle w:val="optioncarChar"/>
        </w:rPr>
        <w:t xml:space="preserve">20 </w:t>
      </w:r>
      <w:r>
        <w:t xml:space="preserve">(par défaut) </w:t>
      </w:r>
      <w:r>
        <w:rPr>
          <w:rStyle w:val="optioncarChar"/>
        </w:rPr>
        <w:t>/ ***</w:t>
      </w:r>
      <w:r>
        <w:t xml:space="preserve"> cm. La couche est obtenue </w:t>
      </w:r>
      <w:r>
        <w:rPr>
          <w:rStyle w:val="optioncarChar"/>
        </w:rPr>
        <w:t xml:space="preserve">sans tassement </w:t>
      </w:r>
      <w:r>
        <w:t>(par défaut)</w:t>
      </w:r>
      <w:r>
        <w:rPr>
          <w:rStyle w:val="optioncarChar"/>
        </w:rPr>
        <w:t xml:space="preserve"> / par tassement manuel / ***.</w:t>
      </w:r>
      <w:r>
        <w:br/>
        <w:t>Il y a lieu de ne pas mettre le matériau en contact avec des conduits de fumée. Il convient de respecter la distance de sécurité minimale prévue dans les normes [NBN EN 15287-1] et [NBN EN 15287-2].</w:t>
      </w:r>
      <w:r>
        <w:br/>
      </w:r>
      <w:r>
        <w:lastRenderedPageBreak/>
        <w:t>L’applicateur doit s’assurer que les canalisations électriques posées dans les vides de construction sont placées sous conduit non-propagateur de la flamme.</w:t>
      </w:r>
      <w:r>
        <w:br/>
        <w:t>L’isolant n'est jamais mis en contact direct avec les dispositifs d’éclairage encastrés.</w:t>
      </w:r>
      <w:r>
        <w:br/>
        <w:t>Ce matériau est mis en œuvre dans des caissons protégés contre l’humidité.</w:t>
      </w:r>
    </w:p>
    <w:p w14:paraId="1FB9176A" w14:textId="77777777" w:rsidR="00772179" w:rsidRDefault="00000000">
      <w:pPr>
        <w:pStyle w:val="pheading"/>
      </w:pPr>
      <w:r>
        <w:t>DOCUMENTS DE RÉFÉRENCE COMPLÉMENTAIRES</w:t>
      </w:r>
    </w:p>
    <w:p w14:paraId="1AC40DAF" w14:textId="77777777" w:rsidR="00772179" w:rsidRDefault="00000000">
      <w:pPr>
        <w:pStyle w:val="pheading"/>
      </w:pPr>
      <w:r>
        <w:t>- Matériau</w:t>
      </w:r>
    </w:p>
    <w:p w14:paraId="6E4DB3AF" w14:textId="77777777" w:rsidR="00772179" w:rsidRDefault="00000000">
      <w:r>
        <w:t>[NBN EN 15101-1:2013+A1, Produits isolants thermiques destinés aux applications du bâtiment - Isolation thermique formée en place à base de cellulose (LFCI) - Partie 1 : Spécification des produits en vrac avant la mise en œuvre]</w:t>
      </w:r>
    </w:p>
    <w:p w14:paraId="35F33ADC" w14:textId="77777777" w:rsidR="00772179" w:rsidRDefault="00000000">
      <w:r>
        <w:t>[NBN EN 15101-2, Produits isolants thermiques destinés aux applications du bâtiment - Isolation thermique formée en place à base de cellulose (LFCI) - Partie 2: Spécifications des produits mis en œuvre] </w:t>
      </w:r>
    </w:p>
    <w:p w14:paraId="4F25CE2E"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7863A6C1" w14:textId="77777777" w:rsidR="00772179" w:rsidRDefault="00000000">
      <w:r>
        <w:t>[NBN EN 12086, Produits isolants thermiques destinés aux applications du bâtiment - Détermination des propriétés de transmission de la vapeur d'eau]</w:t>
      </w:r>
    </w:p>
    <w:p w14:paraId="22013778" w14:textId="77777777" w:rsidR="00772179" w:rsidRDefault="00000000">
      <w:r>
        <w:t>[NBN EN ISO 846, Plastiques - Évaluation de l'action des micro-organismes (ISO 846:2019)]</w:t>
      </w:r>
    </w:p>
    <w:p w14:paraId="23B9CC17" w14:textId="77777777" w:rsidR="00772179" w:rsidRDefault="00000000">
      <w:r>
        <w:t>[NBN EN 13501-1, Classement au feu des produits et éléments de construction - Partie 1: Classement à partir des données d'essais de réaction au feu]</w:t>
      </w:r>
    </w:p>
    <w:p w14:paraId="29D74B80" w14:textId="77777777" w:rsidR="00772179" w:rsidRDefault="00000000">
      <w:pPr>
        <w:pStyle w:val="pheading"/>
      </w:pPr>
      <w:r>
        <w:t>- Exécution</w:t>
      </w:r>
    </w:p>
    <w:p w14:paraId="4378295E" w14:textId="77777777" w:rsidR="00772179" w:rsidRDefault="00000000">
      <w:r>
        <w:t>[NBN EN 13501-1, Classement au feu des produits et éléments de construction - Partie 1: Classement à partir des données d'essais de réaction au feu]</w:t>
      </w:r>
    </w:p>
    <w:p w14:paraId="73D7DA01" w14:textId="77777777" w:rsidR="00772179" w:rsidRDefault="00000000">
      <w:r>
        <w:t>[NBN EN 15287-1, Conduits de fumée - Conception, installation et mise en service - Partie 1: Conduits de fumée et conduits de raccordement pour appareils de combustion qui prélèvent l’air comburant dans la pièce]</w:t>
      </w:r>
    </w:p>
    <w:p w14:paraId="3AD356EB" w14:textId="77777777" w:rsidR="00772179" w:rsidRDefault="00000000">
      <w:r>
        <w:t>[NBN EN 15287-2, Conduits de fumée - Conception, installation et mise en service - Partie 2 : Conduits de fumée et conduits de raccordement pour appareils de combustion à circuit étanche]</w:t>
      </w:r>
    </w:p>
    <w:p w14:paraId="58BA4744" w14:textId="77777777" w:rsidR="00772179" w:rsidRDefault="00000000">
      <w:r>
        <w:t>[NIT 251, L'isolation thermique des toitures à versants]</w:t>
      </w:r>
    </w:p>
    <w:p w14:paraId="7D4CE9FF" w14:textId="77777777" w:rsidR="00772179" w:rsidRDefault="00000000">
      <w:pPr>
        <w:pStyle w:val="pheading"/>
      </w:pPr>
      <w:r>
        <w:t>MESURAGE</w:t>
      </w:r>
    </w:p>
    <w:p w14:paraId="0AB9C3DE" w14:textId="77777777" w:rsidR="00772179" w:rsidRDefault="00000000">
      <w:pPr>
        <w:pStyle w:val="pheading"/>
      </w:pPr>
      <w:r>
        <w:t>- unité de mesure:</w:t>
      </w:r>
    </w:p>
    <w:p w14:paraId="139BC23D" w14:textId="77777777" w:rsidR="00772179" w:rsidRDefault="00000000">
      <w:r>
        <w:rPr>
          <w:rStyle w:val="optioncarChar"/>
        </w:rPr>
        <w:t xml:space="preserve">m² </w:t>
      </w:r>
      <w:r>
        <w:t>(par défaut)</w:t>
      </w:r>
      <w:r>
        <w:rPr>
          <w:rStyle w:val="optioncarChar"/>
        </w:rPr>
        <w:t xml:space="preserve"> / m³</w:t>
      </w:r>
    </w:p>
    <w:p w14:paraId="5977668A" w14:textId="77777777" w:rsidR="00772179" w:rsidRDefault="00000000">
      <w:r>
        <w:rPr>
          <w:b/>
          <w:i/>
        </w:rPr>
        <w:t>(soit par défaut)</w:t>
      </w:r>
    </w:p>
    <w:p w14:paraId="54A5A7CE" w14:textId="77777777" w:rsidR="00772179" w:rsidRDefault="00000000">
      <w:r>
        <w:rPr>
          <w:rStyle w:val="soitChar"/>
        </w:rPr>
        <w:t>1.   m²</w:t>
      </w:r>
    </w:p>
    <w:p w14:paraId="72236459" w14:textId="77777777" w:rsidR="00772179" w:rsidRDefault="00000000">
      <w:r>
        <w:rPr>
          <w:b/>
          <w:i/>
        </w:rPr>
        <w:t>(soit)</w:t>
      </w:r>
    </w:p>
    <w:p w14:paraId="52CD945B" w14:textId="77777777" w:rsidR="00772179" w:rsidRDefault="00000000">
      <w:r>
        <w:rPr>
          <w:rStyle w:val="soitChar"/>
        </w:rPr>
        <w:t>2.   m³</w:t>
      </w:r>
    </w:p>
    <w:p w14:paraId="33C141CC" w14:textId="77777777" w:rsidR="00772179" w:rsidRDefault="00000000">
      <w:pPr>
        <w:pStyle w:val="pheading"/>
      </w:pPr>
      <w:r>
        <w:t>- code de mesurage:</w:t>
      </w:r>
    </w:p>
    <w:p w14:paraId="180607AD" w14:textId="77777777" w:rsidR="00772179" w:rsidRDefault="00000000">
      <w:pPr>
        <w:jc w:val="both"/>
      </w:pPr>
      <w:r>
        <w:rPr>
          <w:rStyle w:val="optioncarChar"/>
        </w:rPr>
        <w:t xml:space="preserve">Surface nette </w:t>
      </w:r>
      <w:r>
        <w:t xml:space="preserve">(par défaut) </w:t>
      </w:r>
      <w:r>
        <w:rPr>
          <w:rStyle w:val="optioncarChar"/>
        </w:rPr>
        <w:t>/ Volume net</w:t>
      </w:r>
    </w:p>
    <w:p w14:paraId="3A614626" w14:textId="77777777" w:rsidR="00772179" w:rsidRDefault="00000000">
      <w:pPr>
        <w:jc w:val="both"/>
      </w:pPr>
      <w:r>
        <w:rPr>
          <w:b/>
          <w:i/>
        </w:rPr>
        <w:t>(soit par défaut)</w:t>
      </w:r>
    </w:p>
    <w:p w14:paraId="40CCF287" w14:textId="77777777" w:rsidR="00772179"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&lt; 0.5 m² ne sont pas déduites. Distinction faite suivant l'épaisseur.</w:t>
      </w:r>
    </w:p>
    <w:p w14:paraId="1180ECE7" w14:textId="77777777" w:rsidR="00772179" w:rsidRDefault="00000000">
      <w:pPr>
        <w:jc w:val="both"/>
      </w:pPr>
      <w:r>
        <w:rPr>
          <w:b/>
          <w:i/>
        </w:rPr>
        <w:t>(soit)</w:t>
      </w:r>
    </w:p>
    <w:p w14:paraId="1A0D14D0" w14:textId="77777777" w:rsidR="00772179" w:rsidRDefault="00772179">
      <w:pPr>
        <w:jc w:val="both"/>
      </w:pPr>
    </w:p>
    <w:p w14:paraId="02E44090" w14:textId="77777777" w:rsidR="00772179" w:rsidRDefault="00000000">
      <w:pPr>
        <w:jc w:val="both"/>
      </w:pPr>
      <w:r>
        <w:rPr>
          <w:rStyle w:val="soitChar"/>
        </w:rPr>
        <w:lastRenderedPageBreak/>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w:t>
      </w:r>
    </w:p>
    <w:p w14:paraId="098D955B" w14:textId="77777777" w:rsidR="00772179" w:rsidRDefault="00772179"/>
    <w:p w14:paraId="17A76AA7" w14:textId="77777777" w:rsidR="00772179" w:rsidRDefault="00000000">
      <w:pPr>
        <w:pStyle w:val="pheading"/>
      </w:pPr>
      <w:r>
        <w:t>- nature du marché:</w:t>
      </w:r>
    </w:p>
    <w:p w14:paraId="0CB341AF" w14:textId="77777777" w:rsidR="00772179" w:rsidRDefault="00000000">
      <w:r>
        <w:t>QF</w:t>
      </w:r>
    </w:p>
    <w:p w14:paraId="53EB8391" w14:textId="77777777" w:rsidR="00772179" w:rsidRDefault="00000000">
      <w:pPr>
        <w:pStyle w:val="Author-eSectionHeading6Numberless"/>
      </w:pPr>
      <w:bookmarkStart w:id="1093" w:name="_Toc220490749"/>
      <w:r>
        <w:t>44.46.3b Isolation à verser en vrac - granulés d'argile expansée (LWA) CCTB 01.11</w:t>
      </w:r>
      <w:bookmarkEnd w:id="1093"/>
    </w:p>
    <w:p w14:paraId="0D234196" w14:textId="77777777" w:rsidR="00772179" w:rsidRDefault="00000000">
      <w:pPr>
        <w:pStyle w:val="pheading"/>
      </w:pPr>
      <w:r>
        <w:t>DESCRIPTION</w:t>
      </w:r>
    </w:p>
    <w:p w14:paraId="1C97C281" w14:textId="77777777" w:rsidR="00772179" w:rsidRDefault="00000000">
      <w:pPr>
        <w:pStyle w:val="pheading"/>
      </w:pPr>
      <w:r>
        <w:t>- Définition / Comprend</w:t>
      </w:r>
    </w:p>
    <w:p w14:paraId="050D8C62" w14:textId="77777777" w:rsidR="00772179" w:rsidRDefault="00000000">
      <w:pPr>
        <w:jc w:val="both"/>
      </w:pPr>
      <w:r>
        <w:t>Il s’agit de la fourniture et la pose d’une isolation thermique de granules d’argile expansée fournie et posée en vrac (LWA - (Lightweight Aggregate)) pour une application extérieure.</w:t>
      </w:r>
    </w:p>
    <w:p w14:paraId="73CF43F2" w14:textId="77777777" w:rsidR="00772179" w:rsidRDefault="00000000">
      <w:pPr>
        <w:pStyle w:val="pheading"/>
      </w:pPr>
      <w:r>
        <w:t>MATÉRIAUX</w:t>
      </w:r>
    </w:p>
    <w:p w14:paraId="716E8B87" w14:textId="77777777" w:rsidR="00772179" w:rsidRDefault="00000000">
      <w:pPr>
        <w:pStyle w:val="pheading"/>
      </w:pPr>
      <w:r>
        <w:t>- Caractéristiques générales</w:t>
      </w:r>
    </w:p>
    <w:p w14:paraId="38EBBA8C" w14:textId="77777777" w:rsidR="00772179" w:rsidRDefault="00000000">
      <w:r>
        <w:t>La distribution de la taille des granulats mesurée conformément à la</w:t>
      </w:r>
      <w:r>
        <w:rPr>
          <w:rStyle w:val="facultChar"/>
        </w:rPr>
        <w:t>[NBN EN 933-1] </w:t>
      </w:r>
      <w:r>
        <w:t xml:space="preserve">est  </w:t>
      </w:r>
      <w:r>
        <w:rPr>
          <w:rStyle w:val="optioncarChar"/>
        </w:rPr>
        <w:t xml:space="preserve">8-16 </w:t>
      </w:r>
      <w:r>
        <w:t>(par défaut)</w:t>
      </w:r>
      <w:r>
        <w:rPr>
          <w:rStyle w:val="optioncarChar"/>
        </w:rPr>
        <w:t xml:space="preserve"> / 4-10 / *** (mm)</w:t>
      </w:r>
      <w:r>
        <w:t>.  La proportion de matériau de taille &lt; à la limite basse est &lt; 15 % en masse. La proportion de matériau de taille &gt; la limite haute &lt; 10 % en masse.</w:t>
      </w:r>
      <w:r>
        <w:br/>
        <w:t xml:space="preserve">Coefficient de résistance à la diffusion de vapeur d’eau – valeur μ (selon </w:t>
      </w:r>
      <w:r>
        <w:rPr>
          <w:rStyle w:val="facultChar"/>
        </w:rPr>
        <w:t>[NBN EN ISO 10456]</w:t>
      </w:r>
      <w:r>
        <w:t>) : &lt;  </w:t>
      </w:r>
      <w:r>
        <w:rPr>
          <w:rStyle w:val="optioncarChar"/>
        </w:rPr>
        <w:t>2 / ***</w:t>
      </w:r>
      <w:r>
        <w:t>.</w:t>
      </w:r>
      <w:r>
        <w:br/>
        <w:t>Capacité thermique  ≥  </w:t>
      </w:r>
      <w:r>
        <w:rPr>
          <w:rStyle w:val="optioncarChar"/>
        </w:rPr>
        <w:t xml:space="preserve">300 </w:t>
      </w:r>
      <w:r>
        <w:t>(par défaut)</w:t>
      </w:r>
      <w:r>
        <w:rPr>
          <w:rStyle w:val="optioncarChar"/>
        </w:rPr>
        <w:t xml:space="preserve"> / ***</w:t>
      </w:r>
      <w:r>
        <w:t>  kJ/m³K.</w:t>
      </w:r>
      <w:r>
        <w:br/>
        <w:t>La hauteur de succion d’eau (selon</w:t>
      </w:r>
      <w:r>
        <w:rPr>
          <w:rStyle w:val="facultChar"/>
        </w:rPr>
        <w:t>[NBN EN 1097-10]</w:t>
      </w:r>
      <w:r>
        <w:t xml:space="preserve">) ≤  </w:t>
      </w:r>
      <w:r>
        <w:rPr>
          <w:rStyle w:val="optioncarChar"/>
        </w:rPr>
        <w:t xml:space="preserve">50 </w:t>
      </w:r>
      <w:r>
        <w:t xml:space="preserve">(par défaut) </w:t>
      </w:r>
      <w:r>
        <w:rPr>
          <w:rStyle w:val="optioncarChar"/>
        </w:rPr>
        <w:t>/ 80 / ***</w:t>
      </w:r>
      <w:r>
        <w:t>  mm.</w:t>
      </w:r>
      <w:r>
        <w:br/>
        <w:t>Le matériau répond aux critères d’acceptabilité des produits tels que définis au chapitre 02.42.1 Critères d'acceptabilité.</w:t>
      </w:r>
    </w:p>
    <w:p w14:paraId="4660541E" w14:textId="77777777" w:rsidR="00772179" w:rsidRDefault="00000000">
      <w:pPr>
        <w:pStyle w:val="pheading"/>
      </w:pPr>
      <w:r>
        <w:t>EXÉCUTION / MISE EN ŒUVRE</w:t>
      </w:r>
    </w:p>
    <w:p w14:paraId="7887D2C5" w14:textId="77777777" w:rsidR="00772179" w:rsidRDefault="00000000">
      <w:pPr>
        <w:pStyle w:val="pheading"/>
      </w:pPr>
      <w:r>
        <w:t>- Prescriptions générales</w:t>
      </w:r>
    </w:p>
    <w:p w14:paraId="0DADC189" w14:textId="77777777" w:rsidR="00772179" w:rsidRDefault="00000000">
      <w:r>
        <w:t xml:space="preserve">La couche de granulés d’argile expansée est placée sur </w:t>
      </w:r>
      <w:r>
        <w:rPr>
          <w:rStyle w:val="optioncarChar"/>
        </w:rPr>
        <w:t>une membrane géotextile</w:t>
      </w:r>
      <w:r>
        <w:t xml:space="preserve"> (par défaut) </w:t>
      </w:r>
      <w:r>
        <w:rPr>
          <w:rStyle w:val="optioncarChar"/>
        </w:rPr>
        <w:t>une membrane d’étanchéité à la remontée capillaire / ***.</w:t>
      </w:r>
      <w:r>
        <w:br/>
        <w:t xml:space="preserve">Le compactage est effectué par couche de </w:t>
      </w:r>
      <w:r>
        <w:rPr>
          <w:rStyle w:val="optioncarChar"/>
        </w:rPr>
        <w:t xml:space="preserve">300 </w:t>
      </w:r>
      <w:r>
        <w:t xml:space="preserve">(par défaut) </w:t>
      </w:r>
      <w:r>
        <w:rPr>
          <w:rStyle w:val="optioncarChar"/>
        </w:rPr>
        <w:t>/ ***</w:t>
      </w:r>
      <w:r>
        <w:t xml:space="preserve"> mm à l’aide d’une </w:t>
      </w:r>
      <w:r>
        <w:rPr>
          <w:rStyle w:val="optioncarChar"/>
        </w:rPr>
        <w:t xml:space="preserve">plaque vibrante </w:t>
      </w:r>
      <w:r>
        <w:t>(par défaut)</w:t>
      </w:r>
      <w:r>
        <w:rPr>
          <w:rStyle w:val="optioncarChar"/>
        </w:rPr>
        <w:t xml:space="preserve"> / ***.</w:t>
      </w:r>
      <w:r>
        <w:br/>
        <w:t xml:space="preserve">Une couche d’égalisation de granulométrie est de type </w:t>
      </w:r>
      <w:r>
        <w:rPr>
          <w:rStyle w:val="optioncarChar"/>
        </w:rPr>
        <w:t>pas de couche d’égalisation</w:t>
      </w:r>
      <w:r>
        <w:t xml:space="preserve"> (par défaut) </w:t>
      </w:r>
      <w:r>
        <w:rPr>
          <w:rStyle w:val="optioncarChar"/>
        </w:rPr>
        <w:t>/ 1-4 / ***  </w:t>
      </w:r>
      <w:r>
        <w:t>et est placée sur la couche d’isolation. La couche complète est nivelée.</w:t>
      </w:r>
      <w:r>
        <w:br/>
        <w:t>L’applicateur s’assure que les canalisations électriques posées dans les vides de construction sont placées sous conduit non-propagateur de la flamme.</w:t>
      </w:r>
    </w:p>
    <w:p w14:paraId="5DE662E2" w14:textId="77777777" w:rsidR="00772179" w:rsidRDefault="00000000">
      <w:pPr>
        <w:pStyle w:val="pheading"/>
      </w:pPr>
      <w:r>
        <w:t>DOCUMENTS DE RÉFÉRENCE COMPLÉMENTAIRES</w:t>
      </w:r>
    </w:p>
    <w:p w14:paraId="6A6C6831" w14:textId="77777777" w:rsidR="00772179" w:rsidRDefault="00000000">
      <w:pPr>
        <w:pStyle w:val="pheading"/>
      </w:pPr>
      <w:r>
        <w:t>- Matériau</w:t>
      </w:r>
    </w:p>
    <w:p w14:paraId="5BE615D0" w14:textId="77777777" w:rsidR="00772179" w:rsidRDefault="00000000">
      <w:r>
        <w:t>[NBN EN 932-1, Essais pour déterminer les propriétés générales des granulats - Partie 1: Méthodes d'échantillonnage]</w:t>
      </w:r>
    </w:p>
    <w:p w14:paraId="24DFA9A0" w14:textId="77777777" w:rsidR="00772179" w:rsidRDefault="00000000">
      <w:r>
        <w:t>[NBN EN 932-2, Essais pour déterminer les propriétés générales des granulats - Partie 2: Méthodes de réduction d'un échantillon de laboratoire]</w:t>
      </w:r>
    </w:p>
    <w:p w14:paraId="337B2988" w14:textId="77777777" w:rsidR="00772179" w:rsidRDefault="00000000">
      <w:r>
        <w:t>[NBN EN 933-1, Essais pour déterminer les caractéristiques géométriques des granulats - Partie 1 : Détermination de la granularité - Analyse granulométrique par tamisage]</w:t>
      </w:r>
    </w:p>
    <w:p w14:paraId="16F5080C" w14:textId="77777777" w:rsidR="00772179" w:rsidRDefault="00000000">
      <w:r>
        <w:t>[NBN EN 1097-3, Essais pour déterminer les caractéristiques mécaniques et physiques des granulats - Partie 3: Méthode pour la détermination de la masse volumique en vrac et de la porosité intergranulaire]</w:t>
      </w:r>
    </w:p>
    <w:p w14:paraId="51426C55" w14:textId="77777777" w:rsidR="00772179" w:rsidRDefault="00000000">
      <w:r>
        <w:t>[NBN EN 1097-5, Essais pour déterminer les caractéristiques mécaniques et physiques des granulats - Partie 5: Détermination de la teneur en eau par séchage en étuve ventilée]</w:t>
      </w:r>
    </w:p>
    <w:p w14:paraId="7C42C6A7" w14:textId="77777777" w:rsidR="00772179" w:rsidRDefault="00000000">
      <w:r>
        <w:lastRenderedPageBreak/>
        <w:t>[NBN EN 1097-10, Essais pour déterminer les caractéristiques mécaniques et physiques des granulats - Partie 10: Hauteur de succion d'eau]</w:t>
      </w:r>
    </w:p>
    <w:p w14:paraId="28CBE357"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0DD3F06" w14:textId="77777777" w:rsidR="00772179" w:rsidRDefault="00000000">
      <w:r>
        <w:t>[NBN EN 13055, Granulats légers]</w:t>
      </w:r>
    </w:p>
    <w:p w14:paraId="32C7886C" w14:textId="77777777" w:rsidR="00772179" w:rsidRDefault="00000000">
      <w:r>
        <w:t>[NBN EN 13172, Produits isolants thermiques - Évaluation de la conformité]</w:t>
      </w:r>
    </w:p>
    <w:p w14:paraId="2BC95667" w14:textId="77777777" w:rsidR="00772179" w:rsidRDefault="00000000">
      <w:r>
        <w:t>[NBN EN 13501-1, Classement au feu des produits et éléments de construction - Partie 1: Classement à partir des données d'essais de réaction au feu]</w:t>
      </w:r>
    </w:p>
    <w:p w14:paraId="6604659D" w14:textId="77777777" w:rsidR="00772179" w:rsidRDefault="00000000">
      <w:r>
        <w:t>[NBN EN 13820, Produits isolants thermiques destinés aux applications du bâtiment - Détermination du contenu organique]</w:t>
      </w:r>
    </w:p>
    <w:p w14:paraId="51BB1AB7" w14:textId="77777777" w:rsidR="00772179" w:rsidRDefault="00000000">
      <w:r>
        <w:t>[NBN EN 14063-1, Produits isolants thermiques pour le bâtiment - Isolation thermique formée en place à base de granulats légers d'argile expansée - Partie 1: Spécification des produits en vrac avant la mise en place (+AC:2006)]</w:t>
      </w:r>
    </w:p>
    <w:p w14:paraId="11FCC0CA" w14:textId="77777777" w:rsidR="00772179" w:rsidRDefault="00000000">
      <w:pPr>
        <w:pStyle w:val="pheading"/>
      </w:pPr>
      <w:r>
        <w:t>- Exécution</w:t>
      </w:r>
    </w:p>
    <w:p w14:paraId="287CC4D9" w14:textId="77777777" w:rsidR="00772179" w:rsidRDefault="00000000">
      <w:r>
        <w:t>[NBN EN 13501-1, Classement au feu des produits et éléments de construction - Partie 1: Classement à partir des données d'essais de réaction au feu]</w:t>
      </w:r>
    </w:p>
    <w:p w14:paraId="55988CE7" w14:textId="77777777" w:rsidR="00772179" w:rsidRDefault="00000000">
      <w:pPr>
        <w:pStyle w:val="pheading"/>
      </w:pPr>
      <w:r>
        <w:t>MESURAGE</w:t>
      </w:r>
    </w:p>
    <w:p w14:paraId="58624C1D" w14:textId="77777777" w:rsidR="00772179" w:rsidRDefault="00000000">
      <w:pPr>
        <w:pStyle w:val="pheading"/>
      </w:pPr>
      <w:r>
        <w:t>- unité de mesure:</w:t>
      </w:r>
    </w:p>
    <w:p w14:paraId="4E0ED857" w14:textId="77777777" w:rsidR="00772179" w:rsidRDefault="00000000">
      <w:r>
        <w:rPr>
          <w:rStyle w:val="optioncarChar"/>
        </w:rPr>
        <w:t xml:space="preserve">m² </w:t>
      </w:r>
      <w:r>
        <w:t xml:space="preserve">(par défaut) </w:t>
      </w:r>
      <w:r>
        <w:rPr>
          <w:rStyle w:val="optioncarChar"/>
        </w:rPr>
        <w:t>/ m³</w:t>
      </w:r>
    </w:p>
    <w:p w14:paraId="2A8E5959" w14:textId="77777777" w:rsidR="00772179" w:rsidRDefault="00000000">
      <w:r>
        <w:rPr>
          <w:b/>
          <w:i/>
        </w:rPr>
        <w:t>(soit par défaut)</w:t>
      </w:r>
    </w:p>
    <w:p w14:paraId="320679B5" w14:textId="77777777" w:rsidR="00772179" w:rsidRDefault="00000000">
      <w:r>
        <w:rPr>
          <w:rStyle w:val="soitChar"/>
        </w:rPr>
        <w:t>1.  m²</w:t>
      </w:r>
    </w:p>
    <w:p w14:paraId="3D77EE72" w14:textId="77777777" w:rsidR="00772179" w:rsidRDefault="00000000">
      <w:r>
        <w:rPr>
          <w:b/>
          <w:i/>
        </w:rPr>
        <w:t>(soit)</w:t>
      </w:r>
    </w:p>
    <w:p w14:paraId="3D034F26" w14:textId="77777777" w:rsidR="00772179" w:rsidRDefault="00000000">
      <w:r>
        <w:rPr>
          <w:rStyle w:val="soitChar"/>
        </w:rPr>
        <w:t>2.  m³</w:t>
      </w:r>
    </w:p>
    <w:p w14:paraId="43004670" w14:textId="77777777" w:rsidR="00772179" w:rsidRDefault="00000000">
      <w:pPr>
        <w:pStyle w:val="pheading"/>
      </w:pPr>
      <w:r>
        <w:t>- code de mesurage:</w:t>
      </w:r>
    </w:p>
    <w:p w14:paraId="7C9B0429" w14:textId="77777777" w:rsidR="00772179" w:rsidRDefault="00000000">
      <w:pPr>
        <w:jc w:val="both"/>
      </w:pPr>
      <w:r>
        <w:rPr>
          <w:rStyle w:val="optioncarChar"/>
        </w:rPr>
        <w:t xml:space="preserve">Surface nette </w:t>
      </w:r>
      <w:r>
        <w:t>(par défaut)</w:t>
      </w:r>
      <w:r>
        <w:rPr>
          <w:rStyle w:val="optioncarChar"/>
        </w:rPr>
        <w:t xml:space="preserve"> / Volume net</w:t>
      </w:r>
    </w:p>
    <w:p w14:paraId="61FB920D" w14:textId="77777777" w:rsidR="00772179" w:rsidRDefault="00000000">
      <w:pPr>
        <w:jc w:val="both"/>
      </w:pPr>
      <w:r>
        <w:rPr>
          <w:b/>
          <w:i/>
        </w:rPr>
        <w:t>(soit par défaut)</w:t>
      </w:r>
    </w:p>
    <w:p w14:paraId="0B1EF1FD" w14:textId="77777777" w:rsidR="00772179" w:rsidRDefault="00000000">
      <w:pPr>
        <w:jc w:val="both"/>
      </w:pPr>
      <w:r>
        <w:rPr>
          <w:rStyle w:val="soitChar"/>
          <w:b/>
        </w:rPr>
        <w:t>1. Surface nette</w:t>
      </w:r>
      <w:r>
        <w:rPr>
          <w:rStyle w:val="soitChar"/>
        </w:rPr>
        <w:t xml:space="preserve"> à mettre en œuvre, sans déduction des éléments de structure interposés. Les réservations &lt; 0.5 m² ne sont pas déduites. Distinction faite suivant l'épaisseur.</w:t>
      </w:r>
    </w:p>
    <w:p w14:paraId="3D3634A7" w14:textId="77777777" w:rsidR="00772179" w:rsidRDefault="00000000">
      <w:pPr>
        <w:jc w:val="both"/>
      </w:pPr>
      <w:r>
        <w:rPr>
          <w:b/>
          <w:i/>
        </w:rPr>
        <w:t>(soit)</w:t>
      </w:r>
    </w:p>
    <w:p w14:paraId="638EB7EB" w14:textId="77777777" w:rsidR="00772179" w:rsidRDefault="00772179">
      <w:pPr>
        <w:jc w:val="both"/>
      </w:pPr>
    </w:p>
    <w:p w14:paraId="7532969F" w14:textId="77777777" w:rsidR="00772179" w:rsidRDefault="00000000">
      <w:pPr>
        <w:jc w:val="both"/>
      </w:pPr>
      <w:r>
        <w:rPr>
          <w:rStyle w:val="soitChar"/>
          <w:b/>
        </w:rPr>
        <w:t>2. Volume net</w:t>
      </w:r>
      <w:r>
        <w:rPr>
          <w:rStyle w:val="soitChar"/>
        </w:rPr>
        <w:t xml:space="preserve"> à mettre en œuvre, sans déduction des éléments de structure interposés.</w:t>
      </w:r>
    </w:p>
    <w:p w14:paraId="30C95350" w14:textId="77777777" w:rsidR="00772179" w:rsidRDefault="00000000">
      <w:pPr>
        <w:jc w:val="both"/>
      </w:pPr>
      <w:r>
        <w:rPr>
          <w:rStyle w:val="soitChar"/>
        </w:rPr>
        <w:t>Les ouvertures &gt; 0,5 m² multipliées par l’épaisseur à réaliser sont déduites. Distinction faite suivant l’épaisseur.</w:t>
      </w:r>
    </w:p>
    <w:p w14:paraId="368E0026" w14:textId="77777777" w:rsidR="00772179" w:rsidRDefault="00000000">
      <w:pPr>
        <w:pStyle w:val="pheading"/>
      </w:pPr>
      <w:r>
        <w:t>- nature du marché:</w:t>
      </w:r>
    </w:p>
    <w:p w14:paraId="00A894B7" w14:textId="77777777" w:rsidR="00772179" w:rsidRDefault="00000000">
      <w:r>
        <w:t>QF</w:t>
      </w:r>
    </w:p>
    <w:p w14:paraId="5E5DDAF7" w14:textId="77777777" w:rsidR="00772179" w:rsidRDefault="00000000">
      <w:pPr>
        <w:pStyle w:val="Author-eSectionHeading6Numberless"/>
      </w:pPr>
      <w:bookmarkStart w:id="1094" w:name="_Toc220490750"/>
      <w:r>
        <w:t>44.46.3c Isolation à verser en vrac - fibres de lin CCTB 01.12</w:t>
      </w:r>
      <w:bookmarkEnd w:id="1094"/>
    </w:p>
    <w:p w14:paraId="51A60F32" w14:textId="77777777" w:rsidR="00772179" w:rsidRDefault="00000000">
      <w:pPr>
        <w:pStyle w:val="pheading"/>
      </w:pPr>
      <w:r>
        <w:t>DESCRIPTION</w:t>
      </w:r>
    </w:p>
    <w:p w14:paraId="6AA1D1D2" w14:textId="77777777" w:rsidR="00772179" w:rsidRDefault="00000000">
      <w:pPr>
        <w:pStyle w:val="pheading"/>
      </w:pPr>
      <w:r>
        <w:t>- Définition / Comprend</w:t>
      </w:r>
    </w:p>
    <w:p w14:paraId="5CFB4B44" w14:textId="77777777" w:rsidR="00772179" w:rsidRDefault="00000000">
      <w:pPr>
        <w:jc w:val="both"/>
      </w:pPr>
      <w:r>
        <w:t>Il s’agit de la fourniture et la pose d’une isolation thermique à verser en vrac de fibres de lin pour une application extérieure.</w:t>
      </w:r>
    </w:p>
    <w:p w14:paraId="2F8351B6" w14:textId="77777777" w:rsidR="00772179" w:rsidRDefault="00000000">
      <w:pPr>
        <w:pStyle w:val="pheading"/>
      </w:pPr>
      <w:r>
        <w:t>MATÉRIAUX</w:t>
      </w:r>
    </w:p>
    <w:p w14:paraId="5BE27D12" w14:textId="77777777" w:rsidR="00772179" w:rsidRDefault="00000000">
      <w:pPr>
        <w:pStyle w:val="pheading"/>
      </w:pPr>
      <w:r>
        <w:lastRenderedPageBreak/>
        <w:t>- Caractéristiques générales</w:t>
      </w:r>
    </w:p>
    <w:p w14:paraId="1AE50018" w14:textId="77777777" w:rsidR="00772179" w:rsidRDefault="00000000">
      <w:r>
        <w:t>Le produit est constitué de fibres de lin. Le produit est conditionné en sacs.</w:t>
      </w:r>
      <w:r>
        <w:br/>
        <w:t xml:space="preserve">Épaisseur après mise en œuvre (selon [NBN EN 15101-2]) : </w:t>
      </w:r>
      <w:r>
        <w:rPr>
          <w:rStyle w:val="optioncarChar"/>
        </w:rPr>
        <w:t>***</w:t>
      </w:r>
      <w:r>
        <w:t xml:space="preserve"> cm.</w:t>
      </w:r>
      <w:r>
        <w:br/>
        <w:t xml:space="preserve">Masse volumique nominale après insufflation (selon [NBN EN 15101-2]) : </w:t>
      </w:r>
      <w:r>
        <w:rPr>
          <w:rStyle w:val="optioncarChar"/>
        </w:rPr>
        <w:t xml:space="preserve">20 </w:t>
      </w:r>
      <w:r>
        <w:t>(par défaut)</w:t>
      </w:r>
      <w:r>
        <w:rPr>
          <w:rStyle w:val="optioncarChar"/>
        </w:rPr>
        <w:t xml:space="preserve"> / ***</w:t>
      </w:r>
      <w:r>
        <w:t xml:space="preserve"> kg/m³.</w:t>
      </w:r>
      <w:r>
        <w:br/>
        <w:t>Conductivité thermique déclarée (selon [NBN EN 12667]) :</w:t>
      </w:r>
      <w:r>
        <w:rPr>
          <w:rStyle w:val="optioncarChar"/>
        </w:rPr>
        <w:t xml:space="preserve"> 0,04 </w:t>
      </w:r>
      <w:r>
        <w:t xml:space="preserve">(par défaut) </w:t>
      </w:r>
      <w:r>
        <w:rPr>
          <w:rStyle w:val="optioncarChar"/>
        </w:rPr>
        <w:t>/ ***</w:t>
      </w:r>
      <w:r>
        <w:t xml:space="preserve"> W/mK.</w:t>
      </w:r>
      <w:r>
        <w:b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le [Règlement 1907/2006/CE]. La concentration maximum des adjuvants est de </w:t>
      </w:r>
      <w:r>
        <w:rPr>
          <w:rStyle w:val="optioncarChar"/>
        </w:rPr>
        <w:t xml:space="preserve">4 % </w:t>
      </w:r>
      <w:r>
        <w:t>(par défaut)</w:t>
      </w:r>
      <w:r>
        <w:rPr>
          <w:rStyle w:val="optioncarChar"/>
        </w:rPr>
        <w:t xml:space="preserve"> / ***</w:t>
      </w:r>
      <w:r>
        <w:t>.</w:t>
      </w:r>
    </w:p>
    <w:p w14:paraId="5E41696A" w14:textId="77777777" w:rsidR="00772179" w:rsidRDefault="00000000">
      <w:r>
        <w:t xml:space="preserve">Coefficient de résistance à la diffusion de vapeur d’eau – valeur μ (selon </w:t>
      </w:r>
      <w:r>
        <w:rPr>
          <w:rStyle w:val="facultChar"/>
        </w:rPr>
        <w:t>[NBN EN 12086]</w:t>
      </w:r>
      <w:r>
        <w:t xml:space="preserve">) : </w:t>
      </w:r>
      <w:r>
        <w:rPr>
          <w:rStyle w:val="optioncarChar"/>
        </w:rPr>
        <w:t xml:space="preserve"> 1 / 2</w:t>
      </w:r>
      <w:r>
        <w:br/>
        <w:t>Résistance fongique (selon </w:t>
      </w:r>
      <w:r>
        <w:rPr>
          <w:rStyle w:val="facultChar"/>
        </w:rPr>
        <w:t>[NBN EN ISO 846]</w:t>
      </w:r>
      <w:r>
        <w:t xml:space="preserve">) : </w:t>
      </w:r>
      <w:r>
        <w:rPr>
          <w:rStyle w:val="optioncarChar"/>
        </w:rPr>
        <w:t xml:space="preserve">classe 0 (inerte) </w:t>
      </w:r>
      <w:r>
        <w:t xml:space="preserve">(par défaut) </w:t>
      </w:r>
      <w:r>
        <w:rPr>
          <w:rStyle w:val="optioncarChar"/>
        </w:rPr>
        <w:t>/ ***</w:t>
      </w:r>
      <w:r>
        <w:br/>
        <w:t>Classement de la réaction au feu (selon </w:t>
      </w:r>
      <w:r>
        <w:rPr>
          <w:rStyle w:val="facultChar"/>
        </w:rPr>
        <w:t>[NBN EN 13501-1]</w:t>
      </w:r>
      <w:r>
        <w:t xml:space="preserve">) : </w:t>
      </w:r>
      <w:r>
        <w:rPr>
          <w:rStyle w:val="optioncarChar"/>
        </w:rPr>
        <w:t xml:space="preserve">E </w:t>
      </w:r>
      <w:r>
        <w:t xml:space="preserve">(par défaut) </w:t>
      </w:r>
      <w:r>
        <w:rPr>
          <w:rStyle w:val="optioncarChar"/>
        </w:rPr>
        <w:t>/ ***</w:t>
      </w:r>
    </w:p>
    <w:p w14:paraId="0E75F967" w14:textId="77777777" w:rsidR="00772179" w:rsidRDefault="00000000">
      <w:pPr>
        <w:ind w:left="750"/>
      </w:pPr>
      <w:r>
        <w:t> </w:t>
      </w:r>
    </w:p>
    <w:p w14:paraId="5EED9B7D" w14:textId="77777777" w:rsidR="00772179" w:rsidRDefault="00000000">
      <w:pPr>
        <w:pStyle w:val="pheading"/>
      </w:pPr>
      <w:r>
        <w:t>EXÉCUTION / MISE EN ŒUVRE</w:t>
      </w:r>
    </w:p>
    <w:p w14:paraId="5C72F7A7" w14:textId="77777777" w:rsidR="00772179" w:rsidRDefault="00000000">
      <w:pPr>
        <w:pStyle w:val="pheading"/>
      </w:pPr>
      <w:r>
        <w:t>- Prescriptions générales</w:t>
      </w:r>
    </w:p>
    <w:p w14:paraId="4193BB6D" w14:textId="77777777" w:rsidR="00772179" w:rsidRDefault="00000000">
      <w:r>
        <w:t xml:space="preserve">Lors de la mise en œuvre, les fibres de lin sont appliquées </w:t>
      </w:r>
      <w:r>
        <w:rPr>
          <w:rStyle w:val="optioncarChar"/>
        </w:rPr>
        <w:t xml:space="preserve">sans compaction </w:t>
      </w:r>
      <w:r>
        <w:t>(par défaut)</w:t>
      </w:r>
      <w:r>
        <w:rPr>
          <w:rStyle w:val="optioncarChar"/>
        </w:rPr>
        <w:t xml:space="preserve"> / en compaction manuelle / en compaction par vibration </w:t>
      </w:r>
      <w:r>
        <w:t>(aiguille vibrante)</w:t>
      </w:r>
      <w:r>
        <w:rPr>
          <w:rStyle w:val="optioncarChar"/>
        </w:rPr>
        <w:t xml:space="preserve"> / ***</w:t>
      </w:r>
      <w:r>
        <w:t>.</w:t>
      </w:r>
      <w:r>
        <w:br/>
        <w:t>L’isolation en fibres de lin fournies en vrac est protégée de l’eau sous forme liquide.</w:t>
      </w:r>
      <w:r>
        <w:br/>
        <w:t>Pour les parois verticales, les fibres sont reprises dans des caissons à parois rigides. </w:t>
      </w:r>
    </w:p>
    <w:p w14:paraId="5B8A24CE" w14:textId="77777777" w:rsidR="00772179" w:rsidRDefault="00000000">
      <w:pPr>
        <w:pStyle w:val="pheading"/>
      </w:pPr>
      <w:r>
        <w:t>DOCUMENTS DE RÉFÉRENCE COMPLÉMENTAIRES</w:t>
      </w:r>
    </w:p>
    <w:p w14:paraId="5DB2D55D" w14:textId="77777777" w:rsidR="00772179" w:rsidRDefault="00000000">
      <w:pPr>
        <w:pStyle w:val="pheading"/>
      </w:pPr>
      <w:r>
        <w:t>- Matériau</w:t>
      </w:r>
    </w:p>
    <w:p w14:paraId="30B04B85" w14:textId="77777777" w:rsidR="00772179" w:rsidRDefault="00000000">
      <w:r>
        <w:t>[NBN EN 15101-2, Produits isolants thermiques destinés aux applications du bâtiment - Isolation thermique formée en place à base de cellulose (LFCI) - Partie 2: Spécifications des produits mis en œuvre]</w:t>
      </w:r>
    </w:p>
    <w:p w14:paraId="764DF505"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27BDBA80" w14:textId="77777777" w:rsidR="00772179" w:rsidRDefault="00000000">
      <w:r>
        <w:t>[NBN EN 12086, Produits isolants thermiques destinés aux applications du bâtiment - Détermination des propriétés de transmission de la vapeur d'eau]</w:t>
      </w:r>
    </w:p>
    <w:p w14:paraId="34A899BE" w14:textId="77777777" w:rsidR="00772179" w:rsidRDefault="00000000">
      <w:r>
        <w:t>[NBN EN ISO 846, Plastiques - Évaluation de l'action des micro-organismes (ISO 846:2019)] </w:t>
      </w:r>
    </w:p>
    <w:p w14:paraId="431ECE50" w14:textId="77777777" w:rsidR="00772179" w:rsidRDefault="00000000">
      <w:r>
        <w:t>[NBN EN 13501-1, Classement au feu des produits et éléments de construction - Partie 1: Classement à partir des données d'essais de réaction au feu]</w:t>
      </w:r>
    </w:p>
    <w:p w14:paraId="0FDDA70F" w14:textId="77777777" w:rsidR="00772179" w:rsidRDefault="00000000">
      <w:pPr>
        <w:pStyle w:val="pheading"/>
      </w:pPr>
      <w:r>
        <w:t>- Exécution</w:t>
      </w:r>
    </w:p>
    <w:p w14:paraId="455EB5AD" w14:textId="77777777" w:rsidR="00772179" w:rsidRDefault="00000000">
      <w:r>
        <w:t>[NBN EN 13501-1, Classement au feu des produits et éléments de construction - Partie 1: Classement à partir des données d'essais de réaction au feu]</w:t>
      </w:r>
    </w:p>
    <w:p w14:paraId="5D6C95C6" w14:textId="77777777" w:rsidR="00772179" w:rsidRDefault="00000000">
      <w:pPr>
        <w:pStyle w:val="pheading"/>
      </w:pPr>
      <w:r>
        <w:t>MESURAGE</w:t>
      </w:r>
    </w:p>
    <w:p w14:paraId="29BAA44C" w14:textId="77777777" w:rsidR="00772179" w:rsidRDefault="00000000">
      <w:pPr>
        <w:pStyle w:val="pheading"/>
      </w:pPr>
      <w:r>
        <w:t>- unité de mesure:</w:t>
      </w:r>
    </w:p>
    <w:p w14:paraId="783DC981" w14:textId="77777777" w:rsidR="00772179" w:rsidRDefault="00000000">
      <w:r>
        <w:rPr>
          <w:rStyle w:val="optioncarChar"/>
        </w:rPr>
        <w:t>m²</w:t>
      </w:r>
      <w:r>
        <w:t xml:space="preserve"> (par défaut) </w:t>
      </w:r>
      <w:r>
        <w:rPr>
          <w:rStyle w:val="optioncarChar"/>
        </w:rPr>
        <w:t>/ m³</w:t>
      </w:r>
    </w:p>
    <w:p w14:paraId="75684828" w14:textId="77777777" w:rsidR="00772179" w:rsidRDefault="00000000">
      <w:r>
        <w:rPr>
          <w:b/>
          <w:i/>
        </w:rPr>
        <w:t>(soit par défaut)</w:t>
      </w:r>
    </w:p>
    <w:p w14:paraId="3CA50EC2" w14:textId="77777777" w:rsidR="00772179" w:rsidRDefault="00000000">
      <w:r>
        <w:rPr>
          <w:rStyle w:val="soitChar"/>
        </w:rPr>
        <w:t>1.  m²</w:t>
      </w:r>
    </w:p>
    <w:p w14:paraId="2333F56E" w14:textId="77777777" w:rsidR="00772179" w:rsidRDefault="00000000">
      <w:r>
        <w:rPr>
          <w:b/>
          <w:i/>
        </w:rPr>
        <w:t>(soit)</w:t>
      </w:r>
    </w:p>
    <w:p w14:paraId="1B5B4558" w14:textId="77777777" w:rsidR="00772179" w:rsidRDefault="00000000">
      <w:r>
        <w:rPr>
          <w:rStyle w:val="soitChar"/>
        </w:rPr>
        <w:t>2.  m³</w:t>
      </w:r>
    </w:p>
    <w:p w14:paraId="17800648" w14:textId="77777777" w:rsidR="00772179" w:rsidRDefault="00000000">
      <w:pPr>
        <w:pStyle w:val="pheading"/>
      </w:pPr>
      <w:r>
        <w:t>- code de mesurage:</w:t>
      </w:r>
    </w:p>
    <w:p w14:paraId="257DAC4F" w14:textId="77777777" w:rsidR="00772179" w:rsidRDefault="00000000">
      <w:pPr>
        <w:jc w:val="both"/>
      </w:pPr>
      <w:r>
        <w:rPr>
          <w:rStyle w:val="optioncarChar"/>
        </w:rPr>
        <w:t>Surface nette</w:t>
      </w:r>
      <w:r>
        <w:t xml:space="preserve"> (par défaut)</w:t>
      </w:r>
      <w:r>
        <w:rPr>
          <w:rStyle w:val="optioncarChar"/>
        </w:rPr>
        <w:t xml:space="preserve"> / Volume net</w:t>
      </w:r>
    </w:p>
    <w:p w14:paraId="6148165C" w14:textId="77777777" w:rsidR="00772179" w:rsidRDefault="00000000">
      <w:pPr>
        <w:jc w:val="both"/>
      </w:pPr>
      <w:r>
        <w:rPr>
          <w:b/>
          <w:i/>
        </w:rPr>
        <w:t>(soit par défaut)</w:t>
      </w:r>
    </w:p>
    <w:p w14:paraId="258EA216" w14:textId="77777777" w:rsidR="00772179" w:rsidRDefault="00000000">
      <w:pPr>
        <w:jc w:val="both"/>
      </w:pPr>
      <w:r>
        <w:rPr>
          <w:rStyle w:val="soitChar"/>
        </w:rPr>
        <w:lastRenderedPageBreak/>
        <w:t>1.</w:t>
      </w:r>
      <w:r>
        <w:rPr>
          <w:rStyle w:val="soitChar"/>
          <w:b/>
        </w:rPr>
        <w:t xml:space="preserve"> Surface nette</w:t>
      </w:r>
      <w:r>
        <w:rPr>
          <w:rStyle w:val="soitChar"/>
        </w:rPr>
        <w:t xml:space="preserve"> de la toiture, sans déduction des éléments de structure interposés (chevrons, fermes). Les réservations &lt; 0.5 m² ne sont pas déduites. Distinction faite suivant l'épaisseur.</w:t>
      </w:r>
    </w:p>
    <w:p w14:paraId="6BECF796" w14:textId="77777777" w:rsidR="00772179" w:rsidRDefault="00000000">
      <w:pPr>
        <w:jc w:val="both"/>
      </w:pPr>
      <w:r>
        <w:rPr>
          <w:b/>
          <w:i/>
        </w:rPr>
        <w:t>(soit)</w:t>
      </w:r>
    </w:p>
    <w:p w14:paraId="7CE32E46" w14:textId="77777777" w:rsidR="00772179" w:rsidRDefault="00772179">
      <w:pPr>
        <w:jc w:val="both"/>
      </w:pPr>
    </w:p>
    <w:p w14:paraId="32732C24" w14:textId="77777777" w:rsidR="00772179" w:rsidRDefault="00000000">
      <w:pPr>
        <w:jc w:val="both"/>
      </w:pPr>
      <w:r>
        <w:rPr>
          <w:rStyle w:val="soitChar"/>
        </w:rPr>
        <w:t xml:space="preserve"> 2. </w:t>
      </w:r>
      <w:r>
        <w:rPr>
          <w:rStyle w:val="soitChar"/>
          <w:b/>
        </w:rPr>
        <w:t>Volume net</w:t>
      </w:r>
      <w:r>
        <w:rPr>
          <w:rStyle w:val="soitChar"/>
        </w:rPr>
        <w:t xml:space="preserve"> de la toiture à isoler, sans déduction des éléments de structure interposés (chevrons / fermes / solives / …). Les ouvertures &gt; 0,5 m² multipliées par l’épaisseur à réaliser sont déduites. Distinction faite suivant la densité prescrite.</w:t>
      </w:r>
    </w:p>
    <w:p w14:paraId="07712C89" w14:textId="77777777" w:rsidR="00772179" w:rsidRDefault="00772179"/>
    <w:p w14:paraId="1BC633E0" w14:textId="77777777" w:rsidR="00772179" w:rsidRDefault="00000000">
      <w:pPr>
        <w:pStyle w:val="pheading"/>
      </w:pPr>
      <w:r>
        <w:t>- nature du marché:</w:t>
      </w:r>
    </w:p>
    <w:p w14:paraId="1DC0E361" w14:textId="77777777" w:rsidR="00772179" w:rsidRDefault="00000000">
      <w:r>
        <w:t>QF</w:t>
      </w:r>
    </w:p>
    <w:p w14:paraId="0BDFD343" w14:textId="77777777" w:rsidR="00772179" w:rsidRDefault="00000000">
      <w:pPr>
        <w:pStyle w:val="Author-eSectionHeading6Numberless"/>
      </w:pPr>
      <w:bookmarkStart w:id="1095" w:name="_Toc220490751"/>
      <w:r>
        <w:t>44.46.3d Isolation à verser en vrac - chaume CCTB 01.12</w:t>
      </w:r>
      <w:bookmarkEnd w:id="1095"/>
    </w:p>
    <w:p w14:paraId="24B86EB5" w14:textId="77777777" w:rsidR="00772179" w:rsidRDefault="00000000">
      <w:pPr>
        <w:pStyle w:val="pheading"/>
      </w:pPr>
      <w:r>
        <w:t>DESCRIPTION</w:t>
      </w:r>
    </w:p>
    <w:p w14:paraId="527BE687" w14:textId="77777777" w:rsidR="00772179" w:rsidRDefault="00000000">
      <w:pPr>
        <w:pStyle w:val="pheading"/>
      </w:pPr>
      <w:r>
        <w:t>- Définition / Comprend</w:t>
      </w:r>
    </w:p>
    <w:p w14:paraId="76479B89" w14:textId="77777777" w:rsidR="00772179" w:rsidRDefault="00000000">
      <w:pPr>
        <w:jc w:val="both"/>
      </w:pPr>
      <w:r>
        <w:t>Il s’agit de la fourniture et la pose d’une isolation thermique de chaume fourni et posé en vrac pour une application extérieure.</w:t>
      </w:r>
    </w:p>
    <w:p w14:paraId="3426D673" w14:textId="77777777" w:rsidR="00772179" w:rsidRDefault="00000000">
      <w:pPr>
        <w:pStyle w:val="pheading"/>
      </w:pPr>
      <w:r>
        <w:t>MATÉRIAUX</w:t>
      </w:r>
    </w:p>
    <w:p w14:paraId="50FDC109" w14:textId="77777777" w:rsidR="00772179" w:rsidRDefault="00000000">
      <w:pPr>
        <w:pStyle w:val="pheading"/>
      </w:pPr>
      <w:r>
        <w:t>- Caractéristiques générales</w:t>
      </w:r>
    </w:p>
    <w:p w14:paraId="31E34625" w14:textId="77777777" w:rsidR="00772179" w:rsidRDefault="00000000">
      <w:r>
        <w:t xml:space="preserve">Le produit est constitué de chaume. Le produit est constitué </w:t>
      </w:r>
      <w:r>
        <w:rPr>
          <w:rStyle w:val="optioncarChar"/>
        </w:rPr>
        <w:t xml:space="preserve">de tiges longues ≥ 20 cm </w:t>
      </w:r>
      <w:r>
        <w:t>(par défaut)</w:t>
      </w:r>
      <w:r>
        <w:rPr>
          <w:rStyle w:val="optioncarChar"/>
        </w:rPr>
        <w:t xml:space="preserve"> / de tiges concassées / ***</w:t>
      </w:r>
      <w:r>
        <w:t>.  Il est conditionné en sacs ou en ballots.</w:t>
      </w:r>
      <w:r>
        <w:br/>
        <w:t xml:space="preserve">Épaisseur après mise en œuvre (selon [NBN EN 15101-2]) : </w:t>
      </w:r>
      <w:r>
        <w:rPr>
          <w:rStyle w:val="optioncarChar"/>
        </w:rPr>
        <w:t>***</w:t>
      </w:r>
      <w:r>
        <w:t xml:space="preserve"> cm.</w:t>
      </w:r>
      <w:r>
        <w:br/>
        <w:t xml:space="preserve">Masse volumique nominale après mise en œuvre (selon [NBN EN 15101-2]) : ≥ </w:t>
      </w:r>
      <w:r>
        <w:rPr>
          <w:rStyle w:val="optioncarChar"/>
        </w:rPr>
        <w:t xml:space="preserve">45 </w:t>
      </w:r>
      <w:r>
        <w:t xml:space="preserve">(par défaut) </w:t>
      </w:r>
      <w:r>
        <w:rPr>
          <w:rStyle w:val="optioncarChar"/>
        </w:rPr>
        <w:t>/ ***</w:t>
      </w:r>
      <w:r>
        <w:t xml:space="preserve"> kg/m³.</w:t>
      </w:r>
      <w:r>
        <w:br/>
        <w:t xml:space="preserve">Conductivité thermique déclarée (selon [NBN EN 12667]) : ≤ </w:t>
      </w:r>
      <w:r>
        <w:rPr>
          <w:rStyle w:val="optioncarChar"/>
        </w:rPr>
        <w:t xml:space="preserve">0,055 </w:t>
      </w:r>
      <w:r>
        <w:t>(par défaut)</w:t>
      </w:r>
      <w:r>
        <w:rPr>
          <w:rStyle w:val="optioncarChar"/>
        </w:rPr>
        <w:t xml:space="preserve"> / ***</w:t>
      </w:r>
      <w:r>
        <w:t xml:space="preserve"> W/mK.</w:t>
      </w:r>
      <w:r>
        <w:b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le [Règlement 1907/2006/CE]. La concentration maximum des adjuvants est de </w:t>
      </w:r>
      <w:r>
        <w:rPr>
          <w:rStyle w:val="optioncarChar"/>
        </w:rPr>
        <w:t>4 %</w:t>
      </w:r>
      <w:r>
        <w:t xml:space="preserve"> (par défaut)</w:t>
      </w:r>
      <w:r>
        <w:rPr>
          <w:rStyle w:val="optioncarChar"/>
        </w:rPr>
        <w:t xml:space="preserve"> / ***</w:t>
      </w:r>
      <w:r>
        <w:t>.</w:t>
      </w:r>
    </w:p>
    <w:p w14:paraId="7706C50B" w14:textId="77777777" w:rsidR="00772179" w:rsidRDefault="00000000">
      <w:r>
        <w:t xml:space="preserve">Taux minimal de chaume : </w:t>
      </w:r>
      <w:r>
        <w:rPr>
          <w:rStyle w:val="optioncarChar"/>
        </w:rPr>
        <w:t>95 %</w:t>
      </w:r>
      <w:r>
        <w:t xml:space="preserve"> (par défaut) </w:t>
      </w:r>
      <w:r>
        <w:rPr>
          <w:rStyle w:val="optioncarChar"/>
        </w:rPr>
        <w:t>/ ***</w:t>
      </w:r>
      <w:r>
        <w:br/>
        <w:t xml:space="preserve">Coefficient de résistance à la diffusion de vapeur d’eau – valeur μ (selon </w:t>
      </w:r>
      <w:r>
        <w:rPr>
          <w:rStyle w:val="facultChar"/>
        </w:rPr>
        <w:t>[NBN EN 12086]</w:t>
      </w:r>
      <w:r>
        <w:t>) : &lt;</w:t>
      </w:r>
      <w:r>
        <w:rPr>
          <w:rStyle w:val="optioncarChar"/>
        </w:rPr>
        <w:t> 2 / ***</w:t>
      </w:r>
      <w:r>
        <w:br/>
        <w:t>Capacité thermique : &gt;</w:t>
      </w:r>
      <w:r>
        <w:rPr>
          <w:rStyle w:val="optioncarChar"/>
        </w:rPr>
        <w:t> 2</w:t>
      </w:r>
      <w:r>
        <w:t xml:space="preserve"> (par défaut) </w:t>
      </w:r>
      <w:r>
        <w:rPr>
          <w:rStyle w:val="optioncarChar"/>
        </w:rPr>
        <w:t>/ ***</w:t>
      </w:r>
      <w:r>
        <w:t xml:space="preserve"> kJ/kg.K</w:t>
      </w:r>
      <w:r>
        <w:br/>
        <w:t>Résistance fongique (selon </w:t>
      </w:r>
      <w:r>
        <w:rPr>
          <w:rStyle w:val="facultChar"/>
        </w:rPr>
        <w:t>[NBN EN ISO 846]</w:t>
      </w:r>
      <w:r>
        <w:t xml:space="preserve">) : </w:t>
      </w:r>
      <w:r>
        <w:rPr>
          <w:rStyle w:val="optioncarChar"/>
        </w:rPr>
        <w:t>classe 0 (inerte)</w:t>
      </w:r>
      <w:r>
        <w:t xml:space="preserve"> (par défaut)</w:t>
      </w:r>
      <w:r>
        <w:rPr>
          <w:rStyle w:val="optioncarChar"/>
        </w:rPr>
        <w:t xml:space="preserve"> / ***</w:t>
      </w:r>
      <w:r>
        <w:br/>
        <w:t>Classement de la réaction au feu (selon </w:t>
      </w:r>
      <w:r>
        <w:rPr>
          <w:rStyle w:val="facultChar"/>
        </w:rPr>
        <w:t>[NBN EN 13501-1]</w:t>
      </w:r>
      <w:r>
        <w:t xml:space="preserve">) : </w:t>
      </w:r>
      <w:r>
        <w:rPr>
          <w:rStyle w:val="optioncarChar"/>
        </w:rPr>
        <w:t>E</w:t>
      </w:r>
      <w:r>
        <w:t xml:space="preserve"> (par défaut)</w:t>
      </w:r>
      <w:r>
        <w:rPr>
          <w:rStyle w:val="optioncarChar"/>
        </w:rPr>
        <w:t xml:space="preserve"> / ***</w:t>
      </w:r>
    </w:p>
    <w:p w14:paraId="59C21B66" w14:textId="77777777" w:rsidR="00772179" w:rsidRDefault="00000000">
      <w:pPr>
        <w:ind w:left="750"/>
      </w:pPr>
      <w:r>
        <w:t> </w:t>
      </w:r>
    </w:p>
    <w:p w14:paraId="06A2012F" w14:textId="77777777" w:rsidR="00772179" w:rsidRDefault="00000000">
      <w:pPr>
        <w:pStyle w:val="pheading"/>
      </w:pPr>
      <w:r>
        <w:t>EXÉCUTION / MISE EN ŒUVRE</w:t>
      </w:r>
    </w:p>
    <w:p w14:paraId="1014157C" w14:textId="77777777" w:rsidR="00772179" w:rsidRDefault="00000000">
      <w:pPr>
        <w:pStyle w:val="pheading"/>
      </w:pPr>
      <w:r>
        <w:t>- Prescriptions générales</w:t>
      </w:r>
    </w:p>
    <w:p w14:paraId="6D88EC5E" w14:textId="77777777" w:rsidR="00772179" w:rsidRDefault="00000000">
      <w:r>
        <w:t>La matière première est livrée sur chantier au plus près de la date d’application. Elle est stockée à l'abri des intempéries et dans un local sec.</w:t>
      </w:r>
      <w:r>
        <w:br/>
        <w:t>Le versement des tiges de chaume est réalisé directement sur l’élément à isoler par couche de</w:t>
      </w:r>
      <w:r>
        <w:rPr>
          <w:rStyle w:val="optioncarChar"/>
        </w:rPr>
        <w:t xml:space="preserve"> 20 </w:t>
      </w:r>
      <w:r>
        <w:t>(par défaut)</w:t>
      </w:r>
      <w:r>
        <w:rPr>
          <w:rStyle w:val="optioncarChar"/>
        </w:rPr>
        <w:t xml:space="preserve"> / ***</w:t>
      </w:r>
      <w:r>
        <w:t xml:space="preserve"> cm. La couche est obtenue </w:t>
      </w:r>
      <w:r>
        <w:rPr>
          <w:rStyle w:val="optioncarChar"/>
        </w:rPr>
        <w:t xml:space="preserve">sans tassement </w:t>
      </w:r>
      <w:r>
        <w:t xml:space="preserve">(par défaut) </w:t>
      </w:r>
      <w:r>
        <w:rPr>
          <w:rStyle w:val="optioncarChar"/>
        </w:rPr>
        <w:t>/ par tassement manuel / ***</w:t>
      </w:r>
      <w:r>
        <w:t>.</w:t>
      </w:r>
      <w:r>
        <w:br/>
        <w:t>L’applicateur doit s’assurer que les canalisations électriques posées dans les vides de construction sont placées sous conduit non propagateur de la flamme.</w:t>
      </w:r>
      <w:r>
        <w:br/>
        <w:t>L’isolant n'est jamais mis en contact direct avec les dispositifs d’éclairage encastrés.</w:t>
      </w:r>
      <w:r>
        <w:br/>
        <w:t>Cet isolant est protégé de l’humidité liquide durant les phases de chantier et de vie du bâtiment. Son utilisation se limite à des locaux de classe de climat intérieur 1 ou 2.</w:t>
      </w:r>
    </w:p>
    <w:p w14:paraId="38E0C670" w14:textId="77777777" w:rsidR="00772179" w:rsidRDefault="00000000">
      <w:pPr>
        <w:pStyle w:val="pheading"/>
      </w:pPr>
      <w:r>
        <w:t>DOCUMENTS DE RÉFÉRENCE COMPLÉMENTAIRES</w:t>
      </w:r>
    </w:p>
    <w:p w14:paraId="22298CEF" w14:textId="77777777" w:rsidR="00772179" w:rsidRDefault="00000000">
      <w:pPr>
        <w:pStyle w:val="pheading"/>
      </w:pPr>
      <w:r>
        <w:t>- Matériau</w:t>
      </w:r>
    </w:p>
    <w:p w14:paraId="2F1062EC" w14:textId="77777777" w:rsidR="00772179" w:rsidRDefault="00000000">
      <w:r>
        <w:lastRenderedPageBreak/>
        <w:t>[NBN EN 15101-2, Produits isolants thermiques destinés aux applications du bâtiment - Isolation thermique formée en place à base de cellulose (LFCI) - Partie 2: Spécifications des produits mis en œuvre]</w:t>
      </w:r>
    </w:p>
    <w:p w14:paraId="22AFD71F"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EDC7C81" w14:textId="77777777" w:rsidR="00772179" w:rsidRDefault="00000000">
      <w:r>
        <w:t>[NBN EN 12086, Produits isolants thermiques destinés aux applications du bâtiment - Détermination des propriétés de transmission de la vapeur d'eau]</w:t>
      </w:r>
    </w:p>
    <w:p w14:paraId="7BA13C33" w14:textId="77777777" w:rsidR="00772179" w:rsidRDefault="00000000">
      <w:r>
        <w:t>[NBN EN ISO 846, Plastiques - Évaluation de l'action des micro-organismes (ISO 846:2019)]</w:t>
      </w:r>
    </w:p>
    <w:p w14:paraId="738F5A79" w14:textId="77777777" w:rsidR="00772179" w:rsidRDefault="00000000">
      <w:r>
        <w:t>[NBN EN 13501-1, Classement au feu des produits et éléments de construction - Partie 1: Classement à partir des données d'essais de réaction au feu]</w:t>
      </w:r>
    </w:p>
    <w:p w14:paraId="5D8ECE2A" w14:textId="77777777" w:rsidR="00772179" w:rsidRDefault="00000000">
      <w:pPr>
        <w:pStyle w:val="pheading"/>
      </w:pPr>
      <w:r>
        <w:t>- Exécution</w:t>
      </w:r>
    </w:p>
    <w:p w14:paraId="4A8804FD" w14:textId="77777777" w:rsidR="00772179" w:rsidRDefault="00000000">
      <w:r>
        <w:t>[NBN EN 13501-1, Classement au feu des produits et éléments de construction - Partie 1: Classement à partir des données d'essais de réaction au feu]</w:t>
      </w:r>
    </w:p>
    <w:p w14:paraId="5F342EAE" w14:textId="77777777" w:rsidR="00772179" w:rsidRDefault="00000000">
      <w:r>
        <w:t>[NBN EN 15287-1, Conduits de fumée - Conception, installation et mise en service - Partie 1: Conduits de fumée et conduits de raccordement pour appareils de combustion qui prélèvent l’air comburant dans la pièce]</w:t>
      </w:r>
    </w:p>
    <w:p w14:paraId="6FEFC211" w14:textId="77777777" w:rsidR="00772179" w:rsidRDefault="00000000">
      <w:r>
        <w:t>[NBN EN 15287-2, Conduits de fumée - Conception, installation et mise en service - Partie 2 : Conduits de fumée et conduits de raccordement pour appareils de combustion à circuit étanche]</w:t>
      </w:r>
    </w:p>
    <w:p w14:paraId="5BF505DA" w14:textId="77777777" w:rsidR="00772179" w:rsidRDefault="00000000">
      <w:pPr>
        <w:pStyle w:val="pheading"/>
      </w:pPr>
      <w:r>
        <w:t>MESURAGE</w:t>
      </w:r>
    </w:p>
    <w:p w14:paraId="61EE69D0" w14:textId="77777777" w:rsidR="00772179" w:rsidRDefault="00000000">
      <w:pPr>
        <w:pStyle w:val="pheading"/>
      </w:pPr>
      <w:r>
        <w:t>- unité de mesure:</w:t>
      </w:r>
    </w:p>
    <w:p w14:paraId="125E46CD" w14:textId="77777777" w:rsidR="00772179" w:rsidRDefault="00000000">
      <w:r>
        <w:rPr>
          <w:rStyle w:val="optioncarChar"/>
        </w:rPr>
        <w:t xml:space="preserve">m² </w:t>
      </w:r>
      <w:r>
        <w:t>(par défaut)</w:t>
      </w:r>
      <w:r>
        <w:rPr>
          <w:rStyle w:val="optioncarChar"/>
        </w:rPr>
        <w:t xml:space="preserve"> / m³</w:t>
      </w:r>
    </w:p>
    <w:p w14:paraId="45CEF213" w14:textId="77777777" w:rsidR="00772179" w:rsidRDefault="00000000">
      <w:r>
        <w:rPr>
          <w:b/>
          <w:i/>
        </w:rPr>
        <w:t>(soit par défaut)</w:t>
      </w:r>
    </w:p>
    <w:p w14:paraId="2F29A74F" w14:textId="77777777" w:rsidR="00772179" w:rsidRDefault="00000000">
      <w:r>
        <w:rPr>
          <w:rStyle w:val="soitChar"/>
        </w:rPr>
        <w:t>1.  m²</w:t>
      </w:r>
    </w:p>
    <w:p w14:paraId="6C044475" w14:textId="77777777" w:rsidR="00772179" w:rsidRDefault="00000000">
      <w:r>
        <w:rPr>
          <w:b/>
          <w:i/>
        </w:rPr>
        <w:t>(soit)</w:t>
      </w:r>
    </w:p>
    <w:p w14:paraId="7AC336A2" w14:textId="77777777" w:rsidR="00772179" w:rsidRDefault="00000000">
      <w:r>
        <w:rPr>
          <w:rStyle w:val="soitChar"/>
        </w:rPr>
        <w:t>2.  m³</w:t>
      </w:r>
    </w:p>
    <w:p w14:paraId="2E13E80D" w14:textId="77777777" w:rsidR="00772179" w:rsidRDefault="00000000">
      <w:pPr>
        <w:pStyle w:val="pheading"/>
      </w:pPr>
      <w:r>
        <w:t>- code de mesurage:</w:t>
      </w:r>
    </w:p>
    <w:p w14:paraId="4CBA16A9" w14:textId="77777777" w:rsidR="00772179" w:rsidRDefault="00000000">
      <w:pPr>
        <w:jc w:val="both"/>
      </w:pPr>
      <w:r>
        <w:rPr>
          <w:rStyle w:val="optioncarChar"/>
        </w:rPr>
        <w:t xml:space="preserve">Surface nette </w:t>
      </w:r>
      <w:r>
        <w:t xml:space="preserve">(par défaut) </w:t>
      </w:r>
      <w:r>
        <w:rPr>
          <w:rStyle w:val="optioncarChar"/>
        </w:rPr>
        <w:t>/ Volume net</w:t>
      </w:r>
    </w:p>
    <w:p w14:paraId="1A04265E" w14:textId="77777777" w:rsidR="00772179" w:rsidRDefault="00000000">
      <w:pPr>
        <w:jc w:val="both"/>
      </w:pPr>
      <w:r>
        <w:rPr>
          <w:b/>
          <w:i/>
        </w:rPr>
        <w:t>(soit par défaut)</w:t>
      </w:r>
    </w:p>
    <w:p w14:paraId="2C4096E0" w14:textId="77777777" w:rsidR="00772179"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&lt; 0.5 m² ne sont pas déduites. Distinction faite suivant l'épaisseur.</w:t>
      </w:r>
    </w:p>
    <w:p w14:paraId="44E8E817" w14:textId="77777777" w:rsidR="00772179" w:rsidRDefault="00772179">
      <w:pPr>
        <w:jc w:val="both"/>
      </w:pPr>
    </w:p>
    <w:p w14:paraId="361C9698" w14:textId="77777777" w:rsidR="00772179" w:rsidRDefault="00000000">
      <w:pPr>
        <w:jc w:val="both"/>
      </w:pPr>
      <w:r>
        <w:rPr>
          <w:b/>
          <w:i/>
        </w:rPr>
        <w:t>(soit)</w:t>
      </w:r>
    </w:p>
    <w:p w14:paraId="01CA0FB4" w14:textId="77777777" w:rsidR="00772179" w:rsidRDefault="00772179">
      <w:pPr>
        <w:jc w:val="both"/>
      </w:pPr>
    </w:p>
    <w:p w14:paraId="3FC90EA2" w14:textId="77777777" w:rsidR="00772179"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w:t>
      </w:r>
    </w:p>
    <w:p w14:paraId="1F433712" w14:textId="77777777" w:rsidR="00772179" w:rsidRDefault="00772179"/>
    <w:p w14:paraId="70A46C54" w14:textId="77777777" w:rsidR="00772179" w:rsidRDefault="00000000">
      <w:pPr>
        <w:pStyle w:val="pheading"/>
      </w:pPr>
      <w:r>
        <w:t>- nature du marché:</w:t>
      </w:r>
    </w:p>
    <w:p w14:paraId="6EDCB498" w14:textId="77777777" w:rsidR="00772179" w:rsidRDefault="00000000">
      <w:r>
        <w:t>QF</w:t>
      </w:r>
    </w:p>
    <w:p w14:paraId="24092295" w14:textId="77777777" w:rsidR="00772179" w:rsidRDefault="00000000">
      <w:pPr>
        <w:pStyle w:val="Author-eSectionHeading6Numberless"/>
      </w:pPr>
      <w:bookmarkStart w:id="1096" w:name="_Toc220490752"/>
      <w:r>
        <w:t>44.46.3e Isolation à verser en vrac - chanvre CCTB 01.12</w:t>
      </w:r>
      <w:bookmarkEnd w:id="1096"/>
    </w:p>
    <w:p w14:paraId="0D806F3F" w14:textId="77777777" w:rsidR="00772179" w:rsidRDefault="00000000">
      <w:pPr>
        <w:pStyle w:val="pheading"/>
      </w:pPr>
      <w:r>
        <w:t>DESCRIPTION</w:t>
      </w:r>
    </w:p>
    <w:p w14:paraId="13387172" w14:textId="77777777" w:rsidR="00772179" w:rsidRDefault="00000000">
      <w:pPr>
        <w:pStyle w:val="pheading"/>
      </w:pPr>
      <w:r>
        <w:lastRenderedPageBreak/>
        <w:t>- Définition / Comprend</w:t>
      </w:r>
    </w:p>
    <w:p w14:paraId="7764E6AC" w14:textId="77777777" w:rsidR="00772179" w:rsidRDefault="00000000">
      <w:pPr>
        <w:jc w:val="both"/>
      </w:pPr>
      <w:r>
        <w:t>Il s’agit de la fourniture et la pose d’une isolation thermique de chanvre fourni et posé en vrac pour une application extérieure.</w:t>
      </w:r>
    </w:p>
    <w:p w14:paraId="74F24087" w14:textId="77777777" w:rsidR="00772179" w:rsidRDefault="00000000">
      <w:pPr>
        <w:pStyle w:val="pheading"/>
      </w:pPr>
      <w:r>
        <w:t>MATÉRIAUX</w:t>
      </w:r>
    </w:p>
    <w:p w14:paraId="0CA2788D" w14:textId="77777777" w:rsidR="00772179" w:rsidRDefault="00000000">
      <w:pPr>
        <w:pStyle w:val="pheading"/>
      </w:pPr>
      <w:r>
        <w:t>- Caractéristiques générales</w:t>
      </w:r>
    </w:p>
    <w:p w14:paraId="4FF7764A" w14:textId="77777777" w:rsidR="00772179" w:rsidRDefault="00000000">
      <w:pPr>
        <w:jc w:val="both"/>
      </w:pPr>
      <w:r>
        <w:t>Le produit est constitué de chanvre :</w:t>
      </w:r>
      <w:r>
        <w:rPr>
          <w:rStyle w:val="optioncarChar"/>
        </w:rPr>
        <w:t xml:space="preserve"> chènevotte </w:t>
      </w:r>
      <w:r>
        <w:t>(par défaut)</w:t>
      </w:r>
      <w:r>
        <w:rPr>
          <w:rStyle w:val="optioncarChar"/>
        </w:rPr>
        <w:t xml:space="preserve"> / fibre de chanvre </w:t>
      </w:r>
      <w:r>
        <w:t>conditionné en sacs</w:t>
      </w:r>
      <w:r>
        <w:rPr>
          <w:rStyle w:val="optioncarChar"/>
        </w:rPr>
        <w:t>.</w:t>
      </w:r>
    </w:p>
    <w:p w14:paraId="6381D025" w14:textId="77777777" w:rsidR="00772179" w:rsidRDefault="00000000">
      <w:pPr>
        <w:ind w:left="567"/>
        <w:jc w:val="both"/>
      </w:pPr>
      <w:r>
        <w:rPr>
          <w:b/>
          <w:i/>
        </w:rPr>
        <w:t>(soit par défaut)</w:t>
      </w:r>
    </w:p>
    <w:p w14:paraId="061AFE6D" w14:textId="77777777" w:rsidR="00772179" w:rsidRDefault="00000000">
      <w:pPr>
        <w:ind w:left="567"/>
        <w:jc w:val="both"/>
      </w:pPr>
      <w:r>
        <w:rPr>
          <w:rStyle w:val="soitChar"/>
          <w:b/>
          <w:u w:val="single"/>
        </w:rPr>
        <w:t>Chènevotte :</w:t>
      </w:r>
    </w:p>
    <w:p w14:paraId="549F4D0D" w14:textId="77777777" w:rsidR="00772179" w:rsidRDefault="00000000">
      <w:pPr>
        <w:ind w:left="567"/>
        <w:jc w:val="both"/>
      </w:pPr>
      <w:r>
        <w:rPr>
          <w:rStyle w:val="soitChar"/>
        </w:rPr>
        <w:t xml:space="preserve">Masse volumique nominale après mise en œuvre (selon [NBN EN 15101-2]) : ≥ </w:t>
      </w:r>
      <w:r>
        <w:rPr>
          <w:rStyle w:val="optioncarChar"/>
        </w:rPr>
        <w:t xml:space="preserve">100 </w:t>
      </w:r>
      <w:r>
        <w:t>(par défaut)</w:t>
      </w:r>
      <w:r>
        <w:rPr>
          <w:rStyle w:val="optioncarChar"/>
        </w:rPr>
        <w:t xml:space="preserve"> / ***</w:t>
      </w:r>
      <w:r>
        <w:rPr>
          <w:rStyle w:val="soitChar"/>
        </w:rPr>
        <w:t xml:space="preserve"> kg/m³</w:t>
      </w:r>
    </w:p>
    <w:p w14:paraId="7E5BC110" w14:textId="77777777" w:rsidR="00772179" w:rsidRDefault="00000000">
      <w:pPr>
        <w:ind w:left="567"/>
        <w:jc w:val="both"/>
      </w:pPr>
      <w:r>
        <w:rPr>
          <w:rStyle w:val="soitChar"/>
        </w:rPr>
        <w:t xml:space="preserve">Conductivité thermique déclarée (selon [NBN EN 12667]) : ≤ </w:t>
      </w:r>
      <w:r>
        <w:rPr>
          <w:rStyle w:val="optioncarChar"/>
        </w:rPr>
        <w:t xml:space="preserve">0.052 </w:t>
      </w:r>
      <w:r>
        <w:t>(par défaut)</w:t>
      </w:r>
      <w:r>
        <w:rPr>
          <w:rStyle w:val="optioncarChar"/>
        </w:rPr>
        <w:t xml:space="preserve"> / ***</w:t>
      </w:r>
      <w:r>
        <w:rPr>
          <w:rStyle w:val="soitChar"/>
        </w:rPr>
        <w:t xml:space="preserve"> W/mK</w:t>
      </w:r>
    </w:p>
    <w:p w14:paraId="210A7EBF" w14:textId="77777777" w:rsidR="00772179" w:rsidRDefault="00000000">
      <w:pPr>
        <w:ind w:left="567"/>
        <w:jc w:val="both"/>
      </w:pPr>
      <w:r>
        <w:rPr>
          <w:b/>
          <w:i/>
        </w:rPr>
        <w:t>(soit)</w:t>
      </w:r>
    </w:p>
    <w:p w14:paraId="2AAD29A6" w14:textId="77777777" w:rsidR="00772179" w:rsidRDefault="00772179">
      <w:pPr>
        <w:ind w:left="567"/>
        <w:jc w:val="both"/>
      </w:pPr>
    </w:p>
    <w:p w14:paraId="50238AFD" w14:textId="77777777" w:rsidR="00772179" w:rsidRDefault="00000000">
      <w:pPr>
        <w:ind w:left="567"/>
        <w:jc w:val="both"/>
      </w:pPr>
      <w:r>
        <w:rPr>
          <w:rStyle w:val="soitChar"/>
          <w:b/>
          <w:u w:val="single"/>
        </w:rPr>
        <w:t>Fibre de chanvre :</w:t>
      </w:r>
    </w:p>
    <w:p w14:paraId="7E97E2E6" w14:textId="77777777" w:rsidR="00772179" w:rsidRDefault="00000000">
      <w:pPr>
        <w:ind w:left="567"/>
        <w:jc w:val="both"/>
      </w:pPr>
      <w:r>
        <w:rPr>
          <w:rStyle w:val="soitChar"/>
        </w:rPr>
        <w:t xml:space="preserve">Masse volumique nominale après mise en œuvre (selon [NBN EN 15101-2]) : minimum </w:t>
      </w:r>
      <w:r>
        <w:rPr>
          <w:rStyle w:val="optioncarChar"/>
        </w:rPr>
        <w:t>50</w:t>
      </w:r>
      <w:r>
        <w:t xml:space="preserve"> (par défaut)</w:t>
      </w:r>
      <w:r>
        <w:rPr>
          <w:rStyle w:val="optioncarChar"/>
        </w:rPr>
        <w:t xml:space="preserve"> / ***</w:t>
      </w:r>
      <w:r>
        <w:rPr>
          <w:rStyle w:val="soitChar"/>
        </w:rPr>
        <w:t xml:space="preserve"> kg/m³.</w:t>
      </w:r>
    </w:p>
    <w:p w14:paraId="23E88D57" w14:textId="77777777" w:rsidR="00772179" w:rsidRDefault="00000000">
      <w:pPr>
        <w:ind w:left="567"/>
        <w:jc w:val="both"/>
      </w:pPr>
      <w:r>
        <w:rPr>
          <w:rStyle w:val="soitChar"/>
        </w:rPr>
        <w:t xml:space="preserve">Conductivité thermique déclarée (selon [NBN EN 12667]) : ≤ </w:t>
      </w:r>
      <w:r>
        <w:rPr>
          <w:rStyle w:val="optioncarChar"/>
        </w:rPr>
        <w:t xml:space="preserve">0,040 </w:t>
      </w:r>
      <w:r>
        <w:t xml:space="preserve">(par défaut) </w:t>
      </w:r>
      <w:r>
        <w:rPr>
          <w:rStyle w:val="optioncarChar"/>
        </w:rPr>
        <w:t>/ ***</w:t>
      </w:r>
      <w:r>
        <w:rPr>
          <w:rStyle w:val="soitChar"/>
        </w:rPr>
        <w:t xml:space="preserve"> W/mK</w:t>
      </w:r>
    </w:p>
    <w:p w14:paraId="2B82F8C8" w14:textId="77777777" w:rsidR="00772179" w:rsidRDefault="00000000">
      <w:pPr>
        <w:jc w:val="both"/>
      </w:pPr>
      <w:r>
        <w:t xml:space="preserve">Épaisseur après mise en œuvre (selon [NBN EN 15101-2]) : </w:t>
      </w:r>
      <w:r>
        <w:rPr>
          <w:rStyle w:val="optioncarChar"/>
        </w:rPr>
        <w:t>***</w:t>
      </w:r>
      <w:r>
        <w:t xml:space="preserve"> cm.</w:t>
      </w:r>
    </w:p>
    <w:p w14:paraId="5A8ED0A5" w14:textId="77777777" w:rsidR="00772179" w:rsidRDefault="00000000">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 xml:space="preserve">4 % </w:t>
      </w:r>
      <w:r>
        <w:t>(par défaut)</w:t>
      </w:r>
      <w:r>
        <w:rPr>
          <w:rStyle w:val="optioncarChar"/>
        </w:rPr>
        <w:t xml:space="preserve"> / ***</w:t>
      </w:r>
      <w:r>
        <w:t>.</w:t>
      </w:r>
    </w:p>
    <w:p w14:paraId="33E7286D" w14:textId="77777777" w:rsidR="00772179" w:rsidRDefault="00000000">
      <w:pPr>
        <w:ind w:left="750"/>
      </w:pPr>
      <w:r>
        <w:t> </w:t>
      </w:r>
    </w:p>
    <w:p w14:paraId="4606B94F" w14:textId="77777777" w:rsidR="00772179" w:rsidRDefault="00000000">
      <w:pPr>
        <w:pStyle w:val="pheading"/>
      </w:pPr>
      <w:r>
        <w:t>- Prescriptions complémentaires</w:t>
      </w:r>
    </w:p>
    <w:p w14:paraId="0AFFF221" w14:textId="77777777" w:rsidR="00772179" w:rsidRDefault="00000000">
      <w:r>
        <w:t xml:space="preserve">Taux minimal de chanvre : </w:t>
      </w:r>
      <w:r>
        <w:rPr>
          <w:rStyle w:val="optioncarChar"/>
        </w:rPr>
        <w:t>95 %</w:t>
      </w:r>
      <w:r>
        <w:t xml:space="preserve"> (par défaut)</w:t>
      </w:r>
      <w:r>
        <w:rPr>
          <w:rStyle w:val="optioncarChar"/>
        </w:rPr>
        <w:t xml:space="preserve"> / ***</w:t>
      </w:r>
      <w:r>
        <w:br/>
        <w:t>Coefficient de résistance à la diffusion de vapeur d’eau – valeur μ (selon</w:t>
      </w:r>
      <w:r>
        <w:rPr>
          <w:rStyle w:val="facultChar"/>
        </w:rPr>
        <w:t>[NBN EN 12086]</w:t>
      </w:r>
      <w:r>
        <w:t>) : &lt;</w:t>
      </w:r>
      <w:r>
        <w:rPr>
          <w:rStyle w:val="facultChar"/>
        </w:rPr>
        <w:t> </w:t>
      </w:r>
      <w:r>
        <w:rPr>
          <w:rStyle w:val="optioncarChar"/>
        </w:rPr>
        <w:t>2 / ***.</w:t>
      </w:r>
      <w:r>
        <w:br/>
        <w:t>Capacité thermique : &gt;</w:t>
      </w:r>
      <w:r>
        <w:rPr>
          <w:rStyle w:val="optioncarChar"/>
        </w:rPr>
        <w:t xml:space="preserve"> 2 </w:t>
      </w:r>
      <w:r>
        <w:t>(par défaut)</w:t>
      </w:r>
      <w:r>
        <w:rPr>
          <w:rStyle w:val="optioncarChar"/>
        </w:rPr>
        <w:t xml:space="preserve"> / ***</w:t>
      </w:r>
      <w:r>
        <w:t xml:space="preserve"> kJ/kg.K</w:t>
      </w:r>
      <w:r>
        <w:br/>
        <w:t>Résistance fongique (selon</w:t>
      </w:r>
      <w:r>
        <w:rPr>
          <w:rStyle w:val="facultChar"/>
        </w:rPr>
        <w:t>[NBN EN ISO 846]</w:t>
      </w:r>
      <w:r>
        <w:t>) :</w:t>
      </w:r>
      <w:r>
        <w:rPr>
          <w:rStyle w:val="optioncarChar"/>
        </w:rPr>
        <w:t>classe 0 (inerte)</w:t>
      </w:r>
      <w:r>
        <w:t xml:space="preserve"> (par défaut)</w:t>
      </w:r>
      <w:r>
        <w:rPr>
          <w:rStyle w:val="optioncarChar"/>
        </w:rPr>
        <w:t xml:space="preserve"> / ***</w:t>
      </w:r>
      <w:r>
        <w:br/>
        <w:t>Classement de la réaction au feu (selon</w:t>
      </w:r>
      <w:r>
        <w:rPr>
          <w:rStyle w:val="facultChar"/>
        </w:rPr>
        <w:t>[NBN EN 13501-1]</w:t>
      </w:r>
      <w:r>
        <w:t>) :</w:t>
      </w:r>
      <w:r>
        <w:rPr>
          <w:rStyle w:val="optioncarChar"/>
        </w:rPr>
        <w:t>C-s2 ; d0</w:t>
      </w:r>
      <w:r>
        <w:t xml:space="preserve"> (par défaut)</w:t>
      </w:r>
      <w:r>
        <w:rPr>
          <w:rStyle w:val="optioncarChar"/>
        </w:rPr>
        <w:t xml:space="preserve"> / ***</w:t>
      </w:r>
      <w:r>
        <w:rPr>
          <w:rStyle w:val="facultChar"/>
        </w:rPr>
        <w:t> </w:t>
      </w:r>
      <w:r>
        <w:br/>
        <w:t>Conformément au chapitre 02.42.4 Bois provenant de forêts gérées durablement, les tiges de chaumes utilisées disposent de documents prouvant qu’elles proviennent de cultures gérées durablement.</w:t>
      </w:r>
      <w:r>
        <w:br/>
        <w:t>Le matériau répond aux critères d’acceptabilité des produits tels que définis dans le chapitre 02.42.1 Critères d'acceptabilité.</w:t>
      </w:r>
    </w:p>
    <w:p w14:paraId="17F89B15" w14:textId="77777777" w:rsidR="00772179" w:rsidRDefault="00000000">
      <w:pPr>
        <w:pStyle w:val="pheading"/>
      </w:pPr>
      <w:r>
        <w:t>EXÉCUTION / MISE EN ŒUVRE</w:t>
      </w:r>
    </w:p>
    <w:p w14:paraId="376225DC" w14:textId="77777777" w:rsidR="00772179" w:rsidRDefault="00000000">
      <w:pPr>
        <w:pStyle w:val="pheading"/>
      </w:pPr>
      <w:r>
        <w:t>- Prescriptions générales</w:t>
      </w:r>
    </w:p>
    <w:p w14:paraId="4B53295C" w14:textId="77777777" w:rsidR="00772179" w:rsidRDefault="00000000">
      <w:r>
        <w:t>La matière première est livrée sur chantier au plus près de la date d’application. Elle est stockée à l'abri des intempéries et dans un local sec.</w:t>
      </w:r>
      <w:r>
        <w:br/>
        <w:t xml:space="preserve">Le versement du chanvre est réalisé directement sur l’élément à isoler </w:t>
      </w:r>
      <w:r>
        <w:rPr>
          <w:rStyle w:val="optioncarChar"/>
        </w:rPr>
        <w:t>en une couche unique</w:t>
      </w:r>
      <w:r>
        <w:t xml:space="preserve"> (par défaut)</w:t>
      </w:r>
      <w:r>
        <w:rPr>
          <w:rStyle w:val="optioncarChar"/>
        </w:rPr>
        <w:t xml:space="preserve"> / par couche de 20 /*** cm</w:t>
      </w:r>
      <w:r>
        <w:t xml:space="preserve">. La couche est obtenue </w:t>
      </w:r>
      <w:r>
        <w:rPr>
          <w:rStyle w:val="optioncarChar"/>
        </w:rPr>
        <w:t xml:space="preserve">sans tassement </w:t>
      </w:r>
      <w:r>
        <w:t>(par défaut)</w:t>
      </w:r>
      <w:r>
        <w:rPr>
          <w:rStyle w:val="optioncarChar"/>
        </w:rPr>
        <w:t xml:space="preserve"> / par tassement manuel / ***.</w:t>
      </w:r>
      <w:r>
        <w:br/>
        <w:t>L’applicateur s’assure que les canalisations électriques posées dans les vides de construction sont placées sous conduit non-propagateur de la flamme.</w:t>
      </w:r>
      <w:r>
        <w:br/>
        <w:t>L’isolant n'est jamais mis en contact direct avec les dispositifs d’éclairage encastrés.</w:t>
      </w:r>
      <w:r>
        <w:br/>
        <w:t>Cet isolant est protégé de l’humidité liquide durant les phases de chantier et de vie du bâtiment. Son utilisation se limite à des locaux de classe de climat intérieur 1 ou 2.</w:t>
      </w:r>
    </w:p>
    <w:p w14:paraId="5066905A" w14:textId="77777777" w:rsidR="00772179" w:rsidRDefault="00000000">
      <w:pPr>
        <w:pStyle w:val="pheading"/>
      </w:pPr>
      <w:r>
        <w:lastRenderedPageBreak/>
        <w:t>DOCUMENTS DE RÉFÉRENCE COMPLÉMENTAIRES</w:t>
      </w:r>
    </w:p>
    <w:p w14:paraId="09BCB60C" w14:textId="77777777" w:rsidR="00772179" w:rsidRDefault="00000000">
      <w:pPr>
        <w:pStyle w:val="pheading"/>
      </w:pPr>
      <w:r>
        <w:t>- Matériau</w:t>
      </w:r>
    </w:p>
    <w:p w14:paraId="27A0ACAC" w14:textId="77777777" w:rsidR="00772179" w:rsidRDefault="00000000">
      <w:r>
        <w:t>[NBN EN 15101-2, Produits isolants thermiques destinés aux applications du bâtiment - Isolation thermique formée en place à base de cellulose (LFCI) - Partie 2: Spécifications des produits mis en œuvre]</w:t>
      </w:r>
    </w:p>
    <w:p w14:paraId="5A0D12CE"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42975E40" w14:textId="77777777" w:rsidR="00772179" w:rsidRDefault="00000000">
      <w:r>
        <w:t>[NBN EN 12086, Produits isolants thermiques destinés aux applications du bâtiment - Détermination des propriétés de transmission de la vapeur d'eau]</w:t>
      </w:r>
    </w:p>
    <w:p w14:paraId="440788ED" w14:textId="77777777" w:rsidR="00772179" w:rsidRDefault="00000000">
      <w:r>
        <w:t>[NBN EN ISO 846, Plastiques - Évaluation de l'action des micro-organismes (ISO 846:2019)]</w:t>
      </w:r>
    </w:p>
    <w:p w14:paraId="701CD778" w14:textId="77777777" w:rsidR="00772179" w:rsidRDefault="00000000">
      <w:r>
        <w:t>[NBN EN 13501-1, Classement au feu des produits et éléments de construction - Partie 1: Classement à partir des données d'essais de réaction au feu]</w:t>
      </w:r>
    </w:p>
    <w:p w14:paraId="1D82FB99" w14:textId="77777777" w:rsidR="00772179" w:rsidRDefault="00000000">
      <w:pPr>
        <w:pStyle w:val="pheading"/>
      </w:pPr>
      <w:r>
        <w:t>- Exécution</w:t>
      </w:r>
    </w:p>
    <w:p w14:paraId="44FAF0BA" w14:textId="77777777" w:rsidR="00772179" w:rsidRDefault="00000000">
      <w:r>
        <w:t>[NBN EN 13501-1, Classement au feu des produits et éléments de construction - Partie 1: Classement à partir des données d'essais de réaction au feu]</w:t>
      </w:r>
    </w:p>
    <w:p w14:paraId="69F1E8BC" w14:textId="77777777" w:rsidR="00772179" w:rsidRDefault="00000000">
      <w:r>
        <w:t>[NBN EN 15287-1, Conduits de fumée - Conception, installation et mise en service - Partie 1: Conduits de fumée et conduits de raccordement pour appareils de combustion qui prélèvent l’air comburant dans la pièce]</w:t>
      </w:r>
    </w:p>
    <w:p w14:paraId="007A53FC" w14:textId="77777777" w:rsidR="00772179" w:rsidRDefault="00000000">
      <w:r>
        <w:t>[NBN EN 15287-2, Conduits de fumée - Conception, installation et mise en service - Partie 2 : Conduits de fumée et conduits de raccordement pour appareils de combustion à circuit étanche]</w:t>
      </w:r>
    </w:p>
    <w:p w14:paraId="6FF49C4C" w14:textId="77777777" w:rsidR="00772179" w:rsidRDefault="00000000">
      <w:pPr>
        <w:pStyle w:val="pheading"/>
      </w:pPr>
      <w:r>
        <w:t>MESURAGE</w:t>
      </w:r>
    </w:p>
    <w:p w14:paraId="161D00D5" w14:textId="77777777" w:rsidR="00772179" w:rsidRDefault="00000000">
      <w:pPr>
        <w:pStyle w:val="pheading"/>
      </w:pPr>
      <w:r>
        <w:t>- unité de mesure:</w:t>
      </w:r>
    </w:p>
    <w:p w14:paraId="71B595B6" w14:textId="77777777" w:rsidR="00772179" w:rsidRDefault="00000000">
      <w:r>
        <w:rPr>
          <w:rStyle w:val="optioncarChar"/>
        </w:rPr>
        <w:t>m²</w:t>
      </w:r>
      <w:r>
        <w:t xml:space="preserve"> (par défaut) </w:t>
      </w:r>
      <w:r>
        <w:rPr>
          <w:rStyle w:val="optioncarChar"/>
        </w:rPr>
        <w:t>/ m³</w:t>
      </w:r>
    </w:p>
    <w:p w14:paraId="5E3D5902" w14:textId="77777777" w:rsidR="00772179" w:rsidRDefault="00000000">
      <w:r>
        <w:rPr>
          <w:b/>
          <w:i/>
        </w:rPr>
        <w:t>(soit par défaut)</w:t>
      </w:r>
    </w:p>
    <w:p w14:paraId="728C7F29" w14:textId="77777777" w:rsidR="00772179" w:rsidRDefault="00000000">
      <w:r>
        <w:rPr>
          <w:rStyle w:val="soitChar"/>
        </w:rPr>
        <w:t>1. m²</w:t>
      </w:r>
    </w:p>
    <w:p w14:paraId="12F73525" w14:textId="77777777" w:rsidR="00772179" w:rsidRDefault="00000000">
      <w:r>
        <w:rPr>
          <w:b/>
          <w:i/>
        </w:rPr>
        <w:t>(soit)</w:t>
      </w:r>
    </w:p>
    <w:p w14:paraId="30BE79A0" w14:textId="77777777" w:rsidR="00772179" w:rsidRDefault="00000000">
      <w:r>
        <w:rPr>
          <w:rStyle w:val="soitChar"/>
        </w:rPr>
        <w:t>2.  m³</w:t>
      </w:r>
    </w:p>
    <w:p w14:paraId="164CB6E9" w14:textId="77777777" w:rsidR="00772179" w:rsidRDefault="00000000">
      <w:pPr>
        <w:pStyle w:val="pheading"/>
      </w:pPr>
      <w:r>
        <w:t>- code de mesurage:</w:t>
      </w:r>
    </w:p>
    <w:p w14:paraId="1811BC93" w14:textId="77777777" w:rsidR="00772179" w:rsidRDefault="00000000">
      <w:pPr>
        <w:jc w:val="both"/>
      </w:pPr>
      <w:r>
        <w:rPr>
          <w:rStyle w:val="optioncarChar"/>
        </w:rPr>
        <w:t>Surface nette</w:t>
      </w:r>
      <w:r>
        <w:t xml:space="preserve"> (par défaut)</w:t>
      </w:r>
      <w:r>
        <w:rPr>
          <w:rStyle w:val="optioncarChar"/>
        </w:rPr>
        <w:t xml:space="preserve"> / Volume net</w:t>
      </w:r>
    </w:p>
    <w:p w14:paraId="7B7C0228" w14:textId="77777777" w:rsidR="00772179" w:rsidRDefault="00000000">
      <w:pPr>
        <w:jc w:val="both"/>
      </w:pPr>
      <w:r>
        <w:rPr>
          <w:b/>
          <w:i/>
        </w:rPr>
        <w:t>(soit par défaut)</w:t>
      </w:r>
    </w:p>
    <w:p w14:paraId="5F6B9F8E" w14:textId="77777777" w:rsidR="00772179" w:rsidRDefault="00000000">
      <w:pPr>
        <w:jc w:val="both"/>
      </w:pPr>
      <w:r>
        <w:rPr>
          <w:rStyle w:val="soitChar"/>
        </w:rPr>
        <w:t>1. S</w:t>
      </w:r>
      <w:r>
        <w:rPr>
          <w:rStyle w:val="soitChar"/>
          <w:b/>
        </w:rPr>
        <w:t>urface nette</w:t>
      </w:r>
      <w:r>
        <w:rPr>
          <w:rStyle w:val="soitChar"/>
        </w:rPr>
        <w:t xml:space="preserve"> à mettre en œuvre, sans déduction des éléments de structure interposés (chevrons, fermes). Les réservations &lt; 0.5 m² ne sont pas déduites. Distinction faite suivant l'épaisseur.</w:t>
      </w:r>
    </w:p>
    <w:p w14:paraId="3ED5017F" w14:textId="77777777" w:rsidR="00772179" w:rsidRDefault="00000000">
      <w:pPr>
        <w:jc w:val="both"/>
      </w:pPr>
      <w:r>
        <w:rPr>
          <w:b/>
          <w:i/>
        </w:rPr>
        <w:t>(soit)</w:t>
      </w:r>
    </w:p>
    <w:p w14:paraId="0CA74918" w14:textId="77777777" w:rsidR="00772179" w:rsidRDefault="00000000">
      <w:pPr>
        <w:jc w:val="both"/>
      </w:pPr>
      <w:r>
        <w:t> </w:t>
      </w:r>
    </w:p>
    <w:p w14:paraId="08ABDD09" w14:textId="77777777" w:rsidR="00772179" w:rsidRDefault="00000000">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w:t>
      </w:r>
    </w:p>
    <w:p w14:paraId="444B6867" w14:textId="77777777" w:rsidR="00772179" w:rsidRDefault="00772179"/>
    <w:p w14:paraId="1BF111DC" w14:textId="77777777" w:rsidR="00772179" w:rsidRDefault="00000000">
      <w:pPr>
        <w:pStyle w:val="pheading"/>
      </w:pPr>
      <w:r>
        <w:t>- nature du marché:</w:t>
      </w:r>
    </w:p>
    <w:p w14:paraId="0A46E19E" w14:textId="77777777" w:rsidR="00772179" w:rsidRDefault="00000000">
      <w:r>
        <w:t>QF</w:t>
      </w:r>
    </w:p>
    <w:p w14:paraId="5C4A22D1" w14:textId="77777777" w:rsidR="00772179" w:rsidRDefault="00000000">
      <w:pPr>
        <w:pStyle w:val="Author-eSectionHeading6Numberless"/>
      </w:pPr>
      <w:bookmarkStart w:id="1097" w:name="_Toc220490753"/>
      <w:r>
        <w:t>44.46.3f Isolation à verser en vrac - fibres de coco CCTB 01.12</w:t>
      </w:r>
      <w:bookmarkEnd w:id="1097"/>
    </w:p>
    <w:p w14:paraId="2326A383" w14:textId="77777777" w:rsidR="00772179" w:rsidRDefault="00000000">
      <w:pPr>
        <w:pStyle w:val="pheading"/>
      </w:pPr>
      <w:r>
        <w:lastRenderedPageBreak/>
        <w:t>DESCRIPTION</w:t>
      </w:r>
    </w:p>
    <w:p w14:paraId="1C5BAE89" w14:textId="77777777" w:rsidR="00772179" w:rsidRDefault="00000000">
      <w:pPr>
        <w:pStyle w:val="pheading"/>
      </w:pPr>
      <w:r>
        <w:t>- Définition / Comprend</w:t>
      </w:r>
    </w:p>
    <w:p w14:paraId="04437E5D" w14:textId="77777777" w:rsidR="00772179" w:rsidRDefault="00000000">
      <w:pPr>
        <w:jc w:val="both"/>
      </w:pPr>
      <w:r>
        <w:t>Il s’agit de la fourniture et la pose d’une isolation thermique à verser en vrac de fibres de coco pour une application extérieure.</w:t>
      </w:r>
    </w:p>
    <w:p w14:paraId="2C5358EE" w14:textId="77777777" w:rsidR="00772179" w:rsidRDefault="00000000">
      <w:pPr>
        <w:pStyle w:val="pheading"/>
      </w:pPr>
      <w:r>
        <w:t>MATÉRIAUX</w:t>
      </w:r>
    </w:p>
    <w:p w14:paraId="14875D35" w14:textId="77777777" w:rsidR="00772179" w:rsidRDefault="00000000">
      <w:pPr>
        <w:pStyle w:val="pheading"/>
      </w:pPr>
      <w:r>
        <w:t>- Caractéristiques générales</w:t>
      </w:r>
    </w:p>
    <w:p w14:paraId="280F7D51" w14:textId="77777777" w:rsidR="00772179" w:rsidRDefault="00000000">
      <w:r>
        <w:t>Le produit est constitué de fibres de coco. Le produit est conditionné en sacs.</w:t>
      </w:r>
      <w:r>
        <w:br/>
        <w:t>Épaisseur après mise en œuvre (selon [NBN EN 15101-2]) :</w:t>
      </w:r>
      <w:r>
        <w:rPr>
          <w:rStyle w:val="optioncarChar"/>
        </w:rPr>
        <w:t xml:space="preserve"> ***</w:t>
      </w:r>
      <w:r>
        <w:t xml:space="preserve"> cm.</w:t>
      </w:r>
      <w:r>
        <w:br/>
        <w:t xml:space="preserve">Masse volumique nominale après mise en œuvre (selon [NBN EN 15101-2]) : </w:t>
      </w:r>
      <w:r>
        <w:rPr>
          <w:rStyle w:val="optioncarChar"/>
        </w:rPr>
        <w:t xml:space="preserve">40 </w:t>
      </w:r>
      <w:r>
        <w:t>(par défaut)</w:t>
      </w:r>
      <w:r>
        <w:rPr>
          <w:rStyle w:val="optioncarChar"/>
        </w:rPr>
        <w:t xml:space="preserve"> / ***</w:t>
      </w:r>
      <w:r>
        <w:t xml:space="preserve"> kg/m³.</w:t>
      </w:r>
      <w:r>
        <w:br/>
        <w:t xml:space="preserve">Conductivité thermique déclarée (selon [NBN EN 12667]) : </w:t>
      </w:r>
      <w:r>
        <w:rPr>
          <w:rStyle w:val="optioncarChar"/>
        </w:rPr>
        <w:t xml:space="preserve">0,05 </w:t>
      </w:r>
      <w:r>
        <w:t>(par défaut)</w:t>
      </w:r>
      <w:r>
        <w:rPr>
          <w:rStyle w:val="optioncarChar"/>
        </w:rPr>
        <w:t xml:space="preserve"> / ***</w:t>
      </w:r>
      <w:r>
        <w:t xml:space="preserve"> W/mK.</w:t>
      </w:r>
      <w:r>
        <w:b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le [Règlement 1907/2006/CE]. La concentration maximum des adjuvants est de </w:t>
      </w:r>
      <w:r>
        <w:rPr>
          <w:rStyle w:val="optioncarChar"/>
        </w:rPr>
        <w:t xml:space="preserve">4 % </w:t>
      </w:r>
      <w:r>
        <w:t>(par défaut)</w:t>
      </w:r>
      <w:r>
        <w:rPr>
          <w:rStyle w:val="optioncarChar"/>
        </w:rPr>
        <w:t xml:space="preserve"> / ***</w:t>
      </w:r>
      <w:r>
        <w:t>.</w:t>
      </w:r>
    </w:p>
    <w:p w14:paraId="754755B4" w14:textId="77777777" w:rsidR="00772179" w:rsidRDefault="00000000">
      <w:pPr>
        <w:ind w:left="750"/>
      </w:pPr>
      <w:r>
        <w:t> </w:t>
      </w:r>
    </w:p>
    <w:p w14:paraId="4CAFCCF5" w14:textId="77777777" w:rsidR="00772179" w:rsidRDefault="00000000">
      <w:pPr>
        <w:pStyle w:val="pheading"/>
      </w:pPr>
      <w:r>
        <w:t>- Prescriptions complémentaires</w:t>
      </w:r>
    </w:p>
    <w:p w14:paraId="0F56A282" w14:textId="77777777" w:rsidR="00772179" w:rsidRDefault="00000000">
      <w:r>
        <w:t>Coefficient de résistance à la diffusion de vapeur d’eau – valeur μ (selon </w:t>
      </w:r>
      <w:r>
        <w:rPr>
          <w:rStyle w:val="facultChar"/>
        </w:rPr>
        <w:t>[NBN EN 12086]</w:t>
      </w:r>
      <w:r>
        <w:t xml:space="preserve">) : </w:t>
      </w:r>
      <w:r>
        <w:rPr>
          <w:rStyle w:val="optioncarChar"/>
        </w:rPr>
        <w:t xml:space="preserve">≤ 2 </w:t>
      </w:r>
      <w:r>
        <w:t>(par défaut)</w:t>
      </w:r>
      <w:r>
        <w:rPr>
          <w:rStyle w:val="optioncarChar"/>
        </w:rPr>
        <w:t xml:space="preserve"> / ***</w:t>
      </w:r>
      <w:r>
        <w:br/>
        <w:t>Résistance fongique (selon </w:t>
      </w:r>
      <w:r>
        <w:rPr>
          <w:rStyle w:val="facultChar"/>
        </w:rPr>
        <w:t>[NBN EN ISO 846]</w:t>
      </w:r>
      <w:r>
        <w:t xml:space="preserve">) : </w:t>
      </w:r>
      <w:r>
        <w:rPr>
          <w:rStyle w:val="optioncarChar"/>
        </w:rPr>
        <w:t xml:space="preserve">classe 0 (inerte) </w:t>
      </w:r>
      <w:r>
        <w:t xml:space="preserve">(par défaut) </w:t>
      </w:r>
      <w:r>
        <w:rPr>
          <w:rStyle w:val="optioncarChar"/>
        </w:rPr>
        <w:t>/ ***</w:t>
      </w:r>
      <w:r>
        <w:br/>
        <w:t>Classement de la réaction au feu (selon </w:t>
      </w:r>
      <w:r>
        <w:rPr>
          <w:rStyle w:val="facultChar"/>
        </w:rPr>
        <w:t>[NBN EN 13501-1]</w:t>
      </w:r>
      <w:r>
        <w:t xml:space="preserve">) : </w:t>
      </w:r>
      <w:r>
        <w:rPr>
          <w:rStyle w:val="optioncarChar"/>
        </w:rPr>
        <w:t xml:space="preserve">E </w:t>
      </w:r>
      <w:r>
        <w:t xml:space="preserve">(par défaut) </w:t>
      </w:r>
      <w:r>
        <w:rPr>
          <w:rStyle w:val="optioncarChar"/>
        </w:rPr>
        <w:t>/ ***</w:t>
      </w:r>
    </w:p>
    <w:p w14:paraId="09A4FDFE" w14:textId="77777777" w:rsidR="00772179" w:rsidRDefault="00000000">
      <w:pPr>
        <w:pStyle w:val="pheading"/>
      </w:pPr>
      <w:r>
        <w:t>EXÉCUTION / MISE EN ŒUVRE</w:t>
      </w:r>
    </w:p>
    <w:p w14:paraId="19B0A58F" w14:textId="77777777" w:rsidR="00772179" w:rsidRDefault="00000000">
      <w:pPr>
        <w:pStyle w:val="pheading"/>
      </w:pPr>
      <w:r>
        <w:t>- Prescriptions générales</w:t>
      </w:r>
    </w:p>
    <w:p w14:paraId="28CC1FD7" w14:textId="77777777" w:rsidR="00772179" w:rsidRDefault="00000000">
      <w:r>
        <w:t xml:space="preserve">Lors de la mise en œuvre, les fibres de coco sont appliquées </w:t>
      </w:r>
      <w:r>
        <w:rPr>
          <w:rStyle w:val="optioncarChar"/>
        </w:rPr>
        <w:t xml:space="preserve">sans compaction </w:t>
      </w:r>
      <w:r>
        <w:t>(par défaut)</w:t>
      </w:r>
      <w:r>
        <w:rPr>
          <w:rStyle w:val="optioncarChar"/>
        </w:rPr>
        <w:t xml:space="preserve"> / en compaction manuelle / par vibration (aiguille vibrante) / ***</w:t>
      </w:r>
      <w:r>
        <w:t>.</w:t>
      </w:r>
      <w:r>
        <w:br/>
        <w:t>L’isolation en fibres de coco fournies en vrac est protégée de l’eau sous forme liquide.</w:t>
      </w:r>
      <w:r>
        <w:br/>
        <w:t>Pour les parois verticales, les fibres sont reprises dans des caissons à parois rigides. </w:t>
      </w:r>
    </w:p>
    <w:p w14:paraId="39EE3A1F" w14:textId="77777777" w:rsidR="00772179" w:rsidRDefault="00000000">
      <w:pPr>
        <w:pStyle w:val="pheading"/>
      </w:pPr>
      <w:r>
        <w:t>DOCUMENTS DE RÉFÉRENCE COMPLÉMENTAIRES</w:t>
      </w:r>
    </w:p>
    <w:p w14:paraId="033887E3" w14:textId="77777777" w:rsidR="00772179" w:rsidRDefault="00000000">
      <w:pPr>
        <w:pStyle w:val="pheading"/>
      </w:pPr>
      <w:r>
        <w:t>- Matériau</w:t>
      </w:r>
    </w:p>
    <w:p w14:paraId="2AC1D407" w14:textId="77777777" w:rsidR="00772179" w:rsidRDefault="00000000">
      <w:r>
        <w:t>[NBN EN 15101-2, Produits isolants thermiques destinés aux applications du bâtiment - Isolation thermique formée en place à base de cellulose (LFCI) - Partie 2: Spécifications des produits mis en œuvre]</w:t>
      </w:r>
    </w:p>
    <w:p w14:paraId="68EFCBBD"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5267EF2B" w14:textId="77777777" w:rsidR="00772179" w:rsidRDefault="00000000">
      <w:r>
        <w:t>[NBN EN 12086, Produits isolants thermiques destinés aux applications du bâtiment - Détermination des propriétés de transmission de la vapeur d'eau] </w:t>
      </w:r>
    </w:p>
    <w:p w14:paraId="784F38D5" w14:textId="77777777" w:rsidR="00772179" w:rsidRDefault="00000000">
      <w:r>
        <w:t>[NBN EN ISO 846, Plastiques - Évaluation de l'action des micro-organismes (ISO 846:2019)]</w:t>
      </w:r>
    </w:p>
    <w:p w14:paraId="12443905" w14:textId="77777777" w:rsidR="00772179" w:rsidRDefault="00000000">
      <w:r>
        <w:t>[NBN EN 13501-1, Classement au feu des produits et éléments de construction - Partie 1: Classement à partir des données d'essais de réaction au feu]</w:t>
      </w:r>
    </w:p>
    <w:p w14:paraId="5E4C2F2F" w14:textId="77777777" w:rsidR="00772179" w:rsidRDefault="00000000">
      <w:pPr>
        <w:pStyle w:val="pheading"/>
      </w:pPr>
      <w:r>
        <w:t>- Exécution</w:t>
      </w:r>
    </w:p>
    <w:p w14:paraId="2BBB0B06" w14:textId="77777777" w:rsidR="00772179" w:rsidRDefault="00000000">
      <w:r>
        <w:t>[NBN EN 13501-1, Classement au feu des produits et éléments de construction - Partie 1: Classement à partir des données d'essais de réaction au feu]</w:t>
      </w:r>
    </w:p>
    <w:p w14:paraId="41A29CB4" w14:textId="77777777" w:rsidR="00772179" w:rsidRDefault="00000000">
      <w:pPr>
        <w:pStyle w:val="pheading"/>
      </w:pPr>
      <w:r>
        <w:t>MESURAGE</w:t>
      </w:r>
    </w:p>
    <w:p w14:paraId="16626FB9" w14:textId="77777777" w:rsidR="00772179" w:rsidRDefault="00000000">
      <w:pPr>
        <w:pStyle w:val="pheading"/>
      </w:pPr>
      <w:r>
        <w:t>- unité de mesure:</w:t>
      </w:r>
    </w:p>
    <w:p w14:paraId="5964C6E0" w14:textId="77777777" w:rsidR="00772179" w:rsidRDefault="00000000">
      <w:r>
        <w:rPr>
          <w:rStyle w:val="optioncarChar"/>
        </w:rPr>
        <w:lastRenderedPageBreak/>
        <w:t xml:space="preserve">m² </w:t>
      </w:r>
      <w:r>
        <w:t>(par défaut)</w:t>
      </w:r>
      <w:r>
        <w:rPr>
          <w:rStyle w:val="optioncarChar"/>
        </w:rPr>
        <w:t xml:space="preserve"> / m³</w:t>
      </w:r>
    </w:p>
    <w:p w14:paraId="0A2E61D6" w14:textId="77777777" w:rsidR="00772179" w:rsidRDefault="00000000">
      <w:r>
        <w:rPr>
          <w:b/>
          <w:i/>
        </w:rPr>
        <w:t>(soit par défaut)</w:t>
      </w:r>
    </w:p>
    <w:p w14:paraId="306BF5C8" w14:textId="77777777" w:rsidR="00772179" w:rsidRDefault="00000000">
      <w:r>
        <w:rPr>
          <w:rStyle w:val="soitChar"/>
        </w:rPr>
        <w:t>1.  m²</w:t>
      </w:r>
    </w:p>
    <w:p w14:paraId="38C0C57C" w14:textId="77777777" w:rsidR="00772179" w:rsidRDefault="00000000">
      <w:r>
        <w:rPr>
          <w:b/>
          <w:i/>
        </w:rPr>
        <w:t>(soit)</w:t>
      </w:r>
    </w:p>
    <w:p w14:paraId="5664F8FE" w14:textId="77777777" w:rsidR="00772179" w:rsidRDefault="00000000">
      <w:r>
        <w:rPr>
          <w:rStyle w:val="soitChar"/>
        </w:rPr>
        <w:t>2.  m³</w:t>
      </w:r>
    </w:p>
    <w:p w14:paraId="7AB10508" w14:textId="77777777" w:rsidR="00772179" w:rsidRDefault="00000000">
      <w:pPr>
        <w:pStyle w:val="pheading"/>
      </w:pPr>
      <w:r>
        <w:t>- code de mesurage:</w:t>
      </w:r>
    </w:p>
    <w:p w14:paraId="741AFF29" w14:textId="77777777" w:rsidR="00772179" w:rsidRDefault="00000000">
      <w:pPr>
        <w:jc w:val="both"/>
      </w:pPr>
      <w:r>
        <w:rPr>
          <w:rStyle w:val="optioncarChar"/>
        </w:rPr>
        <w:t xml:space="preserve">Surface nette </w:t>
      </w:r>
      <w:r>
        <w:t xml:space="preserve">(par défaut) </w:t>
      </w:r>
      <w:r>
        <w:rPr>
          <w:rStyle w:val="optioncarChar"/>
        </w:rPr>
        <w:t>/ Volume net</w:t>
      </w:r>
    </w:p>
    <w:p w14:paraId="4ABBC074" w14:textId="77777777" w:rsidR="00772179" w:rsidRDefault="00000000">
      <w:pPr>
        <w:jc w:val="both"/>
      </w:pPr>
      <w:r>
        <w:rPr>
          <w:b/>
          <w:i/>
        </w:rPr>
        <w:t>(soit par défaut)</w:t>
      </w:r>
    </w:p>
    <w:p w14:paraId="1FD30606" w14:textId="77777777" w:rsidR="00772179"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&lt; 0.5 m² ne sont pas déduites. Distinction faite suivant l’épaisseur et la densité prescrites.</w:t>
      </w:r>
    </w:p>
    <w:p w14:paraId="7D9ACC86" w14:textId="77777777" w:rsidR="00772179" w:rsidRDefault="00772179">
      <w:pPr>
        <w:jc w:val="both"/>
      </w:pPr>
    </w:p>
    <w:p w14:paraId="36A5214C" w14:textId="77777777" w:rsidR="00772179" w:rsidRDefault="00000000">
      <w:pPr>
        <w:jc w:val="both"/>
      </w:pPr>
      <w:r>
        <w:rPr>
          <w:b/>
          <w:i/>
        </w:rPr>
        <w:t>(soit)</w:t>
      </w:r>
    </w:p>
    <w:p w14:paraId="77FB3ABF" w14:textId="77777777" w:rsidR="00772179" w:rsidRDefault="00772179">
      <w:pPr>
        <w:jc w:val="both"/>
      </w:pPr>
    </w:p>
    <w:p w14:paraId="7C099EEE" w14:textId="77777777" w:rsidR="00772179" w:rsidRDefault="00000000">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&gt; 0,5 m² multipliées par l’épaisseur à réaliser sont déduites. Distinction faite suivant l’épaisseur et la densité prescrites.</w:t>
      </w:r>
    </w:p>
    <w:p w14:paraId="1822FFE2" w14:textId="77777777" w:rsidR="00772179" w:rsidRDefault="00772179"/>
    <w:p w14:paraId="11BF387A" w14:textId="77777777" w:rsidR="00772179" w:rsidRDefault="00000000">
      <w:pPr>
        <w:pStyle w:val="pheading"/>
      </w:pPr>
      <w:r>
        <w:t>- nature du marché:</w:t>
      </w:r>
    </w:p>
    <w:p w14:paraId="6FE65CB6" w14:textId="77777777" w:rsidR="00772179" w:rsidRDefault="00000000">
      <w:r>
        <w:t>QF</w:t>
      </w:r>
    </w:p>
    <w:p w14:paraId="737F9B63" w14:textId="77777777" w:rsidR="00772179" w:rsidRDefault="00000000">
      <w:pPr>
        <w:pStyle w:val="Author-eSectionHeading6Numberless"/>
      </w:pPr>
      <w:bookmarkStart w:id="1098" w:name="_Toc220490754"/>
      <w:r>
        <w:t>44.46.3g Isolation à verser en vrac - granulés de liège expansé CCTB 01.11</w:t>
      </w:r>
      <w:bookmarkEnd w:id="1098"/>
    </w:p>
    <w:p w14:paraId="01792D1D" w14:textId="77777777" w:rsidR="00772179" w:rsidRDefault="00000000">
      <w:pPr>
        <w:pStyle w:val="pheading"/>
      </w:pPr>
      <w:r>
        <w:t>DESCRIPTION</w:t>
      </w:r>
    </w:p>
    <w:p w14:paraId="20C466A9" w14:textId="77777777" w:rsidR="00772179" w:rsidRDefault="00000000">
      <w:pPr>
        <w:pStyle w:val="pheading"/>
      </w:pPr>
      <w:r>
        <w:t>- Définition / Comprend</w:t>
      </w:r>
    </w:p>
    <w:p w14:paraId="29A332EB" w14:textId="77777777" w:rsidR="00772179" w:rsidRDefault="00000000">
      <w:pPr>
        <w:jc w:val="both"/>
      </w:pPr>
      <w:r>
        <w:t>Il s’agit de la fourniture et de la pose d’une isolation thermique au moyen de granulés de liège expansé fournis en vrac. Ces isolants sont utilisés en pose verticale ou horizontale.</w:t>
      </w:r>
    </w:p>
    <w:p w14:paraId="74E53853" w14:textId="77777777" w:rsidR="00772179" w:rsidRDefault="00000000">
      <w:pPr>
        <w:pStyle w:val="pheading"/>
      </w:pPr>
      <w:r>
        <w:t>MATÉRIAUX</w:t>
      </w:r>
    </w:p>
    <w:p w14:paraId="18AEAD45" w14:textId="77777777" w:rsidR="00772179" w:rsidRDefault="00000000">
      <w:pPr>
        <w:pStyle w:val="pheading"/>
      </w:pPr>
      <w:r>
        <w:t>- Caractéristiques générales</w:t>
      </w:r>
    </w:p>
    <w:p w14:paraId="0039FB86" w14:textId="77777777" w:rsidR="00772179" w:rsidRDefault="00000000">
      <w:r>
        <w:t xml:space="preserve">Épaisseur après mise en œuvre : </w:t>
      </w:r>
      <w:r>
        <w:rPr>
          <w:rStyle w:val="optioncarChar"/>
        </w:rPr>
        <w:t>***</w:t>
      </w:r>
      <w:r>
        <w:t xml:space="preserve"> cm.</w:t>
      </w:r>
      <w:r>
        <w:br/>
        <w:t xml:space="preserve">La densité de produit en vrac déterminée suivant la [NBN EN 1097-3] est &lt; </w:t>
      </w:r>
      <w:r>
        <w:rPr>
          <w:rStyle w:val="optioncarChar"/>
        </w:rPr>
        <w:t xml:space="preserve">100 </w:t>
      </w:r>
      <w:r>
        <w:t>(par défaut)</w:t>
      </w:r>
      <w:r>
        <w:rPr>
          <w:rStyle w:val="optioncarChar"/>
        </w:rPr>
        <w:t xml:space="preserve"> / ***</w:t>
      </w:r>
      <w:r>
        <w:t xml:space="preserve"> kg/m³.</w:t>
      </w:r>
      <w:r>
        <w:br/>
        <w:t xml:space="preserve">L’absorption d’eau mesurée suivant la [NBN EN 1097-6] est &lt; </w:t>
      </w:r>
      <w:r>
        <w:rPr>
          <w:rStyle w:val="optioncarChar"/>
        </w:rPr>
        <w:t xml:space="preserve">15 </w:t>
      </w:r>
      <w:r>
        <w:t>(par défaut)</w:t>
      </w:r>
      <w:r>
        <w:rPr>
          <w:rStyle w:val="optioncarChar"/>
        </w:rPr>
        <w:t xml:space="preserve"> / ***</w:t>
      </w:r>
      <w:r>
        <w:t xml:space="preserve"> %.</w:t>
      </w:r>
      <w:r>
        <w:br/>
        <w:t xml:space="preserve">La hauteur d’absorption d’eau suivant la [NBN EN 1097-10] est &lt; </w:t>
      </w:r>
      <w:r>
        <w:rPr>
          <w:rStyle w:val="optioncarChar"/>
        </w:rPr>
        <w:t xml:space="preserve">60 </w:t>
      </w:r>
      <w:r>
        <w:t>(par défaut)</w:t>
      </w:r>
      <w:r>
        <w:rPr>
          <w:rStyle w:val="optioncarChar"/>
        </w:rPr>
        <w:t xml:space="preserve"> / ***</w:t>
      </w:r>
      <w:r>
        <w:t xml:space="preserve"> mm.</w:t>
      </w:r>
      <w:r>
        <w:br/>
        <w:t xml:space="preserve">La Résistance à la compression avec 10% de déformation déterminée suivant la [NBN EN 826] est &gt; </w:t>
      </w:r>
      <w:r>
        <w:rPr>
          <w:rStyle w:val="optioncarChar"/>
        </w:rPr>
        <w:t xml:space="preserve">60 </w:t>
      </w:r>
      <w:r>
        <w:t>(par défaut)</w:t>
      </w:r>
      <w:r>
        <w:rPr>
          <w:rStyle w:val="optioncarChar"/>
        </w:rPr>
        <w:t xml:space="preserve"> / ***</w:t>
      </w:r>
      <w:r>
        <w:t xml:space="preserve"> kPa.</w:t>
      </w:r>
      <w:r>
        <w:br/>
        <w:t>Conductivité thermique (selon [NBN EN 12667] ou selon [NBN EN 12939] pour les produits épais) : valeur λ = ≤ </w:t>
      </w:r>
      <w:r>
        <w:rPr>
          <w:rStyle w:val="optioncarChar"/>
        </w:rPr>
        <w:t xml:space="preserve">0.050 </w:t>
      </w:r>
      <w:r>
        <w:t>(par défaut)</w:t>
      </w:r>
      <w:r>
        <w:rPr>
          <w:rStyle w:val="optioncarChar"/>
        </w:rPr>
        <w:t xml:space="preserve"> / ***</w:t>
      </w:r>
      <w:r>
        <w:t> W/mK.</w:t>
      </w:r>
      <w:r>
        <w:br/>
        <w:t xml:space="preserve">Réaction au feu selon [NBN EN 13501-1] : </w:t>
      </w:r>
      <w:r>
        <w:rPr>
          <w:rStyle w:val="optioncarChar"/>
        </w:rPr>
        <w:t>E </w:t>
      </w:r>
      <w:r>
        <w:t>(par défaut)</w:t>
      </w:r>
      <w:r>
        <w:rPr>
          <w:rStyle w:val="optioncarChar"/>
        </w:rPr>
        <w:t xml:space="preserve"> / D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r>
        <w:br/>
        <w:t>Absorption acoustique (déterminée selon [NBN EN ISO 354] et [NBN EN ISO 11654]) :</w:t>
      </w:r>
      <w:r>
        <w:rPr>
          <w:rStyle w:val="optioncarChar"/>
        </w:rPr>
        <w:t> ***</w:t>
      </w:r>
      <w:r>
        <w:t>. </w:t>
      </w:r>
      <w:r>
        <w:br/>
        <w:t>Les granulés de liège expansé en vrac ne contiennent pas de liant complémentaire.</w:t>
      </w:r>
      <w:r>
        <w:br/>
        <w:t xml:space="preserve">Résistance fongique selon [NBN EN ISO 846] : </w:t>
      </w:r>
      <w:r>
        <w:rPr>
          <w:rStyle w:val="optioncarChar"/>
        </w:rPr>
        <w:t xml:space="preserve">classe 0 - inerte </w:t>
      </w:r>
      <w:r>
        <w:t>(par défaut)</w:t>
      </w:r>
      <w:r>
        <w:rPr>
          <w:rStyle w:val="optioncarChar"/>
        </w:rPr>
        <w:t xml:space="preserve"> / ***</w:t>
      </w:r>
      <w:r>
        <w:br/>
        <w:t>Les adjuvants ignifuges et biocides sont de type : pas d’adjuvant</w:t>
      </w:r>
    </w:p>
    <w:p w14:paraId="4B72F3C9" w14:textId="77777777" w:rsidR="00772179" w:rsidRDefault="00000000">
      <w:pPr>
        <w:pStyle w:val="pheading"/>
      </w:pPr>
      <w:r>
        <w:t>- Prescriptions complémentaires</w:t>
      </w:r>
    </w:p>
    <w:p w14:paraId="13FF3107" w14:textId="77777777" w:rsidR="00772179" w:rsidRDefault="00000000">
      <w:pPr>
        <w:jc w:val="both"/>
      </w:pPr>
      <w:r>
        <w:lastRenderedPageBreak/>
        <w:t>Applications spécifiques : le matériau répond aux critères d’acceptabilité des produits tels que définis au chapitre</w:t>
      </w:r>
      <w:r>
        <w:rPr>
          <w:rStyle w:val="facultChar"/>
        </w:rPr>
        <w:t> 02.42.1 Critères d'acceptabilité.</w:t>
      </w:r>
    </w:p>
    <w:p w14:paraId="40089496" w14:textId="77777777" w:rsidR="00772179" w:rsidRDefault="00000000">
      <w:pPr>
        <w:pStyle w:val="pheading"/>
      </w:pPr>
      <w:r>
        <w:t>EXÉCUTION / MISE EN ŒUVRE</w:t>
      </w:r>
    </w:p>
    <w:p w14:paraId="24391D6E" w14:textId="77777777" w:rsidR="00772179" w:rsidRDefault="00000000">
      <w:pPr>
        <w:pStyle w:val="pheading"/>
      </w:pPr>
      <w:r>
        <w:t>- Prescriptions générales</w:t>
      </w:r>
    </w:p>
    <w:p w14:paraId="3E2ABDC2" w14:textId="77777777" w:rsidR="00772179" w:rsidRDefault="00000000">
      <w:pPr>
        <w:jc w:val="both"/>
      </w:pPr>
      <w:r>
        <w:t xml:space="preserve">Lors de la mise en œuvre, les granulés de liège expansé sont appliqués </w:t>
      </w:r>
      <w:r>
        <w:rPr>
          <w:rStyle w:val="optioncarChar"/>
        </w:rPr>
        <w:t xml:space="preserve">sans compaction </w:t>
      </w:r>
      <w:r>
        <w:t>(par défaut)</w:t>
      </w:r>
      <w:r>
        <w:rPr>
          <w:rStyle w:val="optioncarChar"/>
        </w:rPr>
        <w:t xml:space="preserve"> / en compaction manuelle / par vibration (aiguille vibrante) / ***</w:t>
      </w:r>
      <w:r>
        <w:t>.</w:t>
      </w:r>
    </w:p>
    <w:p w14:paraId="08BE892E" w14:textId="77777777" w:rsidR="00772179" w:rsidRDefault="00000000">
      <w:pPr>
        <w:jc w:val="both"/>
      </w:pPr>
      <w:r>
        <w:t>L’application en toiture inclinée nécessite la pose de panneaux en partie inférieure et supérieure.</w:t>
      </w:r>
    </w:p>
    <w:p w14:paraId="10A16B0D" w14:textId="77777777" w:rsidR="00772179" w:rsidRDefault="00000000">
      <w:pPr>
        <w:pStyle w:val="pheading"/>
      </w:pPr>
      <w:r>
        <w:t>- Notes d’exécution complémentaires</w:t>
      </w:r>
    </w:p>
    <w:p w14:paraId="1B949430" w14:textId="77777777" w:rsidR="00772179" w:rsidRDefault="00000000">
      <w:r>
        <w:t>L’isolation en granulés de liège expansé fournis en vrac est protégée de l’eau liquide. Pour les parois verticales, les granulés sont repris dans des caissons à parois rigides.</w:t>
      </w:r>
    </w:p>
    <w:p w14:paraId="2E05AD56" w14:textId="77777777" w:rsidR="00772179" w:rsidRDefault="00000000">
      <w:pPr>
        <w:pStyle w:val="pheading"/>
      </w:pPr>
      <w:r>
        <w:t>DOCUMENTS DE RÉFÉRENCE COMPLÉMENTAIRES</w:t>
      </w:r>
    </w:p>
    <w:p w14:paraId="2AD7830D" w14:textId="77777777" w:rsidR="00772179" w:rsidRDefault="00000000">
      <w:pPr>
        <w:pStyle w:val="pheading"/>
      </w:pPr>
      <w:r>
        <w:t>- Matériau</w:t>
      </w:r>
    </w:p>
    <w:p w14:paraId="28CB5627"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1BB4D423" w14:textId="77777777" w:rsidR="00772179" w:rsidRDefault="00000000">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33AFE83" w14:textId="77777777" w:rsidR="00772179" w:rsidRDefault="00000000">
      <w:r>
        <w:t>[NBN EN 13055, Granulats légers]</w:t>
      </w:r>
    </w:p>
    <w:p w14:paraId="0942991F" w14:textId="77777777" w:rsidR="00772179" w:rsidRDefault="00000000">
      <w:r>
        <w:t>[NBN EN 1097-3, Essais pour déterminer les caractéristiques mécaniques et physiques des granulats - Partie 3: Méthode pour la détermination de la masse volumique en vrac et de la porosité intergranulaire]</w:t>
      </w:r>
    </w:p>
    <w:p w14:paraId="5AF8F036" w14:textId="77777777" w:rsidR="00772179" w:rsidRDefault="00000000">
      <w:r>
        <w:t>[NBN EN 933-5, Essais pour déterminer les caractéristiques géométriques des granulats - Partie 5 : Détermination du pourcentage de surfaces cassées dans les gravillons et graves naturelles]</w:t>
      </w:r>
    </w:p>
    <w:p w14:paraId="1B24300F" w14:textId="77777777" w:rsidR="00772179" w:rsidRDefault="00000000">
      <w:r>
        <w:t>[NBN EN 933-1, Essais pour déterminer les caractéristiques géométriques des granulats - Partie 1 : Détermination de la granularité - Analyse granulométrique par tamisage]</w:t>
      </w:r>
    </w:p>
    <w:p w14:paraId="565481F2" w14:textId="77777777" w:rsidR="00772179" w:rsidRDefault="00000000">
      <w:r>
        <w:t>[NBN EN 1097-6, Essais pour déterminer les caractéristiques mécaniques et physiques des granulats - Partie 6 : Détermination de la masse volumique et du coefficient d'absorption d'eau]</w:t>
      </w:r>
    </w:p>
    <w:p w14:paraId="0309FA3C" w14:textId="77777777" w:rsidR="00772179" w:rsidRDefault="00000000">
      <w:r>
        <w:t>[NBN EN 1097-10, Essais pour déterminer les caractéristiques mécaniques et physiques des granulats - Partie 10: Hauteur de succion d'eau]</w:t>
      </w:r>
    </w:p>
    <w:p w14:paraId="30D170B1" w14:textId="77777777" w:rsidR="00772179" w:rsidRDefault="00000000">
      <w:r>
        <w:t>[NBN EN ISO 354, Acoustique - Mesurage de l'absorption acoustique en salle réverbérante (ISO 354:2003)]</w:t>
      </w:r>
    </w:p>
    <w:p w14:paraId="6DDD062D" w14:textId="77777777" w:rsidR="00772179" w:rsidRDefault="00000000">
      <w:r>
        <w:t>[NBN EN ISO 11654, Acoustique - Absorbants pour l'utilisation dans les bâtiments - Evaluation de l'absorption acoustique (ISO 11654:1997)]</w:t>
      </w:r>
    </w:p>
    <w:p w14:paraId="5342CEF4" w14:textId="77777777" w:rsidR="00772179" w:rsidRDefault="00000000">
      <w:r>
        <w:t>[NBN EN 13501-1, Classement au feu des produits et éléments de construction - Partie 1: Classement à partir des données d'essais de réaction au feu] </w:t>
      </w:r>
    </w:p>
    <w:p w14:paraId="450A41FA" w14:textId="77777777" w:rsidR="00772179" w:rsidRDefault="00000000">
      <w:pPr>
        <w:pStyle w:val="pheading"/>
      </w:pPr>
      <w:r>
        <w:t>MESURAGE</w:t>
      </w:r>
    </w:p>
    <w:p w14:paraId="3591FDC5" w14:textId="77777777" w:rsidR="00772179" w:rsidRDefault="00000000">
      <w:pPr>
        <w:pStyle w:val="pheading"/>
      </w:pPr>
      <w:r>
        <w:t>- unité de mesure:</w:t>
      </w:r>
    </w:p>
    <w:p w14:paraId="3CC14243" w14:textId="77777777" w:rsidR="00772179" w:rsidRDefault="00000000">
      <w:r>
        <w:rPr>
          <w:rStyle w:val="optioncarChar"/>
        </w:rPr>
        <w:t xml:space="preserve">m² </w:t>
      </w:r>
      <w:r>
        <w:t xml:space="preserve">(par défaut) </w:t>
      </w:r>
      <w:r>
        <w:rPr>
          <w:rStyle w:val="optioncarChar"/>
        </w:rPr>
        <w:t>/ m³</w:t>
      </w:r>
    </w:p>
    <w:p w14:paraId="5D17DA0E" w14:textId="77777777" w:rsidR="00772179" w:rsidRDefault="00000000">
      <w:r>
        <w:rPr>
          <w:b/>
          <w:i/>
        </w:rPr>
        <w:t>(soit par défaut)</w:t>
      </w:r>
    </w:p>
    <w:p w14:paraId="7715437E" w14:textId="77777777" w:rsidR="00772179" w:rsidRDefault="00000000">
      <w:r>
        <w:rPr>
          <w:rStyle w:val="soitChar"/>
        </w:rPr>
        <w:t>1.  m²</w:t>
      </w:r>
    </w:p>
    <w:p w14:paraId="05CB3502" w14:textId="77777777" w:rsidR="00772179" w:rsidRDefault="00000000">
      <w:r>
        <w:rPr>
          <w:b/>
          <w:i/>
        </w:rPr>
        <w:t>(soit)</w:t>
      </w:r>
    </w:p>
    <w:p w14:paraId="5FBD477F" w14:textId="77777777" w:rsidR="00772179" w:rsidRDefault="00000000">
      <w:r>
        <w:rPr>
          <w:rStyle w:val="soitChar"/>
        </w:rPr>
        <w:t>2.  m³</w:t>
      </w:r>
    </w:p>
    <w:p w14:paraId="7B6CAEB2" w14:textId="77777777" w:rsidR="00772179" w:rsidRDefault="00000000">
      <w:pPr>
        <w:pStyle w:val="pheading"/>
      </w:pPr>
      <w:r>
        <w:lastRenderedPageBreak/>
        <w:t>- code de mesurage:</w:t>
      </w:r>
    </w:p>
    <w:p w14:paraId="1376E185" w14:textId="77777777" w:rsidR="00772179" w:rsidRDefault="00000000">
      <w:pPr>
        <w:jc w:val="both"/>
      </w:pPr>
      <w:r>
        <w:rPr>
          <w:rStyle w:val="optioncarChar"/>
        </w:rPr>
        <w:t xml:space="preserve">Surface nette </w:t>
      </w:r>
      <w:r>
        <w:t xml:space="preserve">(par défaut) </w:t>
      </w:r>
      <w:r>
        <w:rPr>
          <w:rStyle w:val="optioncarChar"/>
        </w:rPr>
        <w:t>/ Volume net</w:t>
      </w:r>
    </w:p>
    <w:p w14:paraId="52B672B9" w14:textId="77777777" w:rsidR="00772179" w:rsidRDefault="00000000">
      <w:pPr>
        <w:jc w:val="both"/>
      </w:pPr>
      <w:r>
        <w:rPr>
          <w:b/>
          <w:i/>
        </w:rPr>
        <w:t>(Soit par défaut)</w:t>
      </w:r>
    </w:p>
    <w:p w14:paraId="3C5C0105" w14:textId="77777777" w:rsidR="00772179" w:rsidRDefault="00000000">
      <w:pPr>
        <w:jc w:val="both"/>
      </w:pPr>
      <w:r>
        <w:rPr>
          <w:rStyle w:val="soitChar"/>
        </w:rPr>
        <w:t xml:space="preserve">1. </w:t>
      </w:r>
      <w:r>
        <w:rPr>
          <w:rStyle w:val="soitChar"/>
          <w:b/>
        </w:rPr>
        <w:t>Surface nette</w:t>
      </w:r>
      <w:r>
        <w:rPr>
          <w:rStyle w:val="soitChar"/>
        </w:rPr>
        <w:t xml:space="preserve"> de la paroi, sans déduction des éléments de structure interposés (chevrons, fermes). Les réservations &lt; 0.5 m² ne sont pas déduites. Distinction faite suivant l'épaisseur.</w:t>
      </w:r>
    </w:p>
    <w:p w14:paraId="309FE02E" w14:textId="77777777" w:rsidR="00772179" w:rsidRDefault="00000000">
      <w:pPr>
        <w:jc w:val="both"/>
      </w:pPr>
      <w:r>
        <w:rPr>
          <w:b/>
          <w:i/>
        </w:rPr>
        <w:t>(Soit)</w:t>
      </w:r>
    </w:p>
    <w:p w14:paraId="00680381" w14:textId="77777777" w:rsidR="00772179" w:rsidRDefault="00772179">
      <w:pPr>
        <w:jc w:val="both"/>
      </w:pPr>
    </w:p>
    <w:p w14:paraId="315B2795" w14:textId="77777777" w:rsidR="00772179" w:rsidRDefault="00000000">
      <w:pPr>
        <w:jc w:val="both"/>
      </w:pPr>
      <w:r>
        <w:rPr>
          <w:rStyle w:val="soitChar"/>
        </w:rPr>
        <w:t xml:space="preserve">2. </w:t>
      </w:r>
      <w:r>
        <w:rPr>
          <w:rStyle w:val="soitChar"/>
          <w:b/>
        </w:rPr>
        <w:t>Volume net</w:t>
      </w:r>
      <w:r>
        <w:rPr>
          <w:rStyle w:val="soitChar"/>
        </w:rPr>
        <w:t xml:space="preserve"> de la paroi à isoler, sans déduction des éléments de structure interposés (chevrons / fermes / solives / …). Les ouvertures &gt; 0,5 m² multipliées par l’épaisseur à réaliser sont déduites. Suivant la densité prescrite.</w:t>
      </w:r>
    </w:p>
    <w:p w14:paraId="110A500E" w14:textId="77777777" w:rsidR="00772179" w:rsidRDefault="00000000">
      <w:pPr>
        <w:pStyle w:val="pheading"/>
      </w:pPr>
      <w:r>
        <w:t>- nature du marché:</w:t>
      </w:r>
    </w:p>
    <w:p w14:paraId="53ADF18A" w14:textId="77777777" w:rsidR="00772179" w:rsidRDefault="00000000">
      <w:r>
        <w:t>QF</w:t>
      </w:r>
    </w:p>
    <w:p w14:paraId="53182DC6" w14:textId="77777777" w:rsidR="00772179" w:rsidRDefault="00000000">
      <w:pPr>
        <w:pStyle w:val="Author-eSectionHeading6Numberless"/>
      </w:pPr>
      <w:bookmarkStart w:id="1099" w:name="_Toc220490755"/>
      <w:r>
        <w:t>44.46.3h Isolation à verser en vrac - fibres de bois CCTB 01.12</w:t>
      </w:r>
      <w:bookmarkEnd w:id="1099"/>
    </w:p>
    <w:p w14:paraId="61A0DB52" w14:textId="77777777" w:rsidR="00772179" w:rsidRDefault="00000000">
      <w:pPr>
        <w:pStyle w:val="pheading"/>
      </w:pPr>
      <w:r>
        <w:t>DESCRIPTION</w:t>
      </w:r>
    </w:p>
    <w:p w14:paraId="730AC32F" w14:textId="77777777" w:rsidR="00772179" w:rsidRDefault="00000000">
      <w:pPr>
        <w:pStyle w:val="pheading"/>
      </w:pPr>
      <w:r>
        <w:t>- Définition / Comprend</w:t>
      </w:r>
    </w:p>
    <w:p w14:paraId="7EEEDF93" w14:textId="77777777" w:rsidR="00772179" w:rsidRDefault="00000000">
      <w:pPr>
        <w:jc w:val="both"/>
      </w:pPr>
      <w:r>
        <w:t>Il s’agit de la fourniture et la pose d’une isolation thermique à verser en vrac de fibres de bois pour une application extérieure.</w:t>
      </w:r>
    </w:p>
    <w:p w14:paraId="2D041432" w14:textId="77777777" w:rsidR="00772179" w:rsidRDefault="00000000">
      <w:pPr>
        <w:pStyle w:val="pheading"/>
      </w:pPr>
      <w:r>
        <w:t>MATÉRIAUX</w:t>
      </w:r>
    </w:p>
    <w:p w14:paraId="10879D81" w14:textId="77777777" w:rsidR="00772179" w:rsidRDefault="00000000">
      <w:pPr>
        <w:pStyle w:val="pheading"/>
      </w:pPr>
      <w:r>
        <w:t>- Caractéristiques générales</w:t>
      </w:r>
    </w:p>
    <w:p w14:paraId="3DB22173" w14:textId="77777777" w:rsidR="00772179" w:rsidRDefault="00000000">
      <w:r>
        <w:t>Le produit est constitué de fibres de bois. Le produit est conditionné en sacs.</w:t>
      </w:r>
      <w:r>
        <w:br/>
        <w:t xml:space="preserve">Épaisseur après mise en œuvre (selon [NBN EN 15101-2]) : </w:t>
      </w:r>
      <w:r>
        <w:rPr>
          <w:rStyle w:val="optioncarChar"/>
        </w:rPr>
        <w:t>***</w:t>
      </w:r>
      <w:r>
        <w:t xml:space="preserve"> cm.</w:t>
      </w:r>
      <w:r>
        <w:br/>
        <w:t>Masse volumique nominale après insufflation (selon [NBN EN 15101-2]) : ≥ </w:t>
      </w:r>
      <w:r>
        <w:rPr>
          <w:rStyle w:val="optioncarChar"/>
        </w:rPr>
        <w:t xml:space="preserve">30 </w:t>
      </w:r>
      <w:r>
        <w:t>(par défaut)</w:t>
      </w:r>
      <w:r>
        <w:rPr>
          <w:rStyle w:val="optioncarChar"/>
        </w:rPr>
        <w:t xml:space="preserve"> / ***</w:t>
      </w:r>
      <w:r>
        <w:t xml:space="preserve"> kg/m³</w:t>
      </w:r>
      <w:r>
        <w:br/>
        <w:t xml:space="preserve">Conductivité thermique déclarée (selon [NBN EN 12667]) : &lt; </w:t>
      </w:r>
      <w:r>
        <w:rPr>
          <w:rStyle w:val="optioncarChar"/>
        </w:rPr>
        <w:t xml:space="preserve">0,04 </w:t>
      </w:r>
      <w:r>
        <w:t>(par défaut)</w:t>
      </w:r>
      <w:r>
        <w:rPr>
          <w:rStyle w:val="optioncarChar"/>
        </w:rPr>
        <w:t xml:space="preserve"> / ***</w:t>
      </w:r>
      <w:r>
        <w:t xml:space="preserve"> W/mK</w:t>
      </w:r>
      <w:r>
        <w:br/>
        <w:t xml:space="preserve">Taux minimal de fibres de bois : </w:t>
      </w:r>
      <w:r>
        <w:rPr>
          <w:rStyle w:val="optioncarChar"/>
        </w:rPr>
        <w:t xml:space="preserve">95 % </w:t>
      </w:r>
      <w:r>
        <w:t xml:space="preserve">(par défaut) </w:t>
      </w:r>
      <w:r>
        <w:rPr>
          <w:rStyle w:val="optioncarChar"/>
        </w:rPr>
        <w:t>/ ***</w:t>
      </w:r>
      <w:r>
        <w:b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le [Règlement 1907/2006/CE]. La concentration maximum des adjuvants est de </w:t>
      </w:r>
      <w:r>
        <w:rPr>
          <w:rStyle w:val="optioncarChar"/>
        </w:rPr>
        <w:t>4 %</w:t>
      </w:r>
      <w:r>
        <w:t xml:space="preserve"> (par défaut) </w:t>
      </w:r>
      <w:r>
        <w:rPr>
          <w:rStyle w:val="optioncarChar"/>
        </w:rPr>
        <w:t>/ ***</w:t>
      </w:r>
      <w:r>
        <w:t>.</w:t>
      </w:r>
      <w:r>
        <w:br/>
        <w:t xml:space="preserve"> Le bois utilisé provient de forêts gérées durablement suivant les prescriptions de l'élément 02.42.4 Bois provenant de forêts gérées durablement.</w:t>
      </w:r>
    </w:p>
    <w:p w14:paraId="75BA0C78" w14:textId="77777777" w:rsidR="00772179" w:rsidRDefault="00000000">
      <w:pPr>
        <w:ind w:left="750"/>
      </w:pPr>
      <w:r>
        <w:t> </w:t>
      </w:r>
    </w:p>
    <w:p w14:paraId="7D7D53AC" w14:textId="77777777" w:rsidR="00772179" w:rsidRDefault="00000000">
      <w:pPr>
        <w:pStyle w:val="pheading"/>
      </w:pPr>
      <w:r>
        <w:t>- Prescriptions complémentaires</w:t>
      </w:r>
    </w:p>
    <w:p w14:paraId="4BFFE5E5" w14:textId="77777777" w:rsidR="00772179" w:rsidRDefault="00000000">
      <w:r>
        <w:t>Coefficient de résistance à la diffusion de vapeur d’eau – valeur μ (selon </w:t>
      </w:r>
      <w:r>
        <w:rPr>
          <w:rStyle w:val="facultChar"/>
        </w:rPr>
        <w:t>[NBN EN 12086]</w:t>
      </w:r>
      <w:r>
        <w:t>) : &lt;</w:t>
      </w:r>
      <w:r>
        <w:rPr>
          <w:rStyle w:val="facultChar"/>
        </w:rPr>
        <w:t> </w:t>
      </w:r>
      <w:r>
        <w:rPr>
          <w:rStyle w:val="optioncarChar"/>
        </w:rPr>
        <w:t xml:space="preserve">2 </w:t>
      </w:r>
      <w:r>
        <w:t xml:space="preserve">(par défaut) </w:t>
      </w:r>
      <w:r>
        <w:rPr>
          <w:rStyle w:val="optioncarChar"/>
        </w:rPr>
        <w:t>/ ***</w:t>
      </w:r>
      <w:r>
        <w:rPr>
          <w:rStyle w:val="facultChar"/>
        </w:rPr>
        <w:t>.</w:t>
      </w:r>
      <w:r>
        <w:br/>
        <w:t xml:space="preserve">Capacité thermique : ≥ </w:t>
      </w:r>
      <w:r>
        <w:rPr>
          <w:rStyle w:val="optioncarChar"/>
        </w:rPr>
        <w:t xml:space="preserve"> 2 </w:t>
      </w:r>
      <w:r>
        <w:t>(par défaut)</w:t>
      </w:r>
      <w:r>
        <w:rPr>
          <w:rStyle w:val="optioncarChar"/>
        </w:rPr>
        <w:t xml:space="preserve"> / ***</w:t>
      </w:r>
      <w:r>
        <w:t xml:space="preserve"> kJ/kg.K.</w:t>
      </w:r>
      <w:r>
        <w:br/>
        <w:t xml:space="preserve">Résistance fongique (selon </w:t>
      </w:r>
      <w:r>
        <w:rPr>
          <w:rStyle w:val="facultChar"/>
        </w:rPr>
        <w:t>[NBN EN ISO 846]</w:t>
      </w:r>
      <w:r>
        <w:t xml:space="preserve">) : </w:t>
      </w:r>
      <w:r>
        <w:rPr>
          <w:rStyle w:val="optioncarChar"/>
        </w:rPr>
        <w:t>classe 0 (inerte)</w:t>
      </w:r>
      <w:r>
        <w:t xml:space="preserve"> (par défaut) </w:t>
      </w:r>
      <w:r>
        <w:rPr>
          <w:rStyle w:val="optioncarChar"/>
        </w:rPr>
        <w:t>/ ***</w:t>
      </w:r>
      <w:r>
        <w:t>.</w:t>
      </w:r>
      <w:r>
        <w:br/>
        <w:t>Classement de la réaction au feu (selon </w:t>
      </w:r>
      <w:r>
        <w:rPr>
          <w:rStyle w:val="facultChar"/>
        </w:rPr>
        <w:t>[NBN EN 13501-1]</w:t>
      </w:r>
      <w:r>
        <w:t xml:space="preserve">) : </w:t>
      </w:r>
      <w:r>
        <w:rPr>
          <w:rStyle w:val="optioncarChar"/>
        </w:rPr>
        <w:t xml:space="preserve">E </w:t>
      </w:r>
      <w:r>
        <w:t>(par défaut)</w:t>
      </w:r>
      <w:r>
        <w:rPr>
          <w:rStyle w:val="optioncarChar"/>
        </w:rPr>
        <w:t xml:space="preserve"> / ***</w:t>
      </w:r>
      <w:r>
        <w:t>.</w:t>
      </w:r>
      <w:r>
        <w:br/>
        <w:t>Le matériau doit répondre aux critères d’acceptabilité des produits tels que définis dans le chapitre</w:t>
      </w:r>
      <w:r>
        <w:rPr>
          <w:color w:val="3366FF"/>
        </w:rPr>
        <w:t> </w:t>
      </w:r>
      <w:r>
        <w:t>02.42.1 Critères d'acceptabilité</w:t>
      </w:r>
      <w:r>
        <w:rPr>
          <w:color w:val="3366FF"/>
        </w:rPr>
        <w:t>.</w:t>
      </w:r>
    </w:p>
    <w:p w14:paraId="33235823" w14:textId="77777777" w:rsidR="00772179" w:rsidRDefault="00000000">
      <w:pPr>
        <w:pStyle w:val="pheading"/>
      </w:pPr>
      <w:r>
        <w:t>EXÉCUTION / MISE EN ŒUVRE</w:t>
      </w:r>
    </w:p>
    <w:p w14:paraId="6DF8F74D" w14:textId="77777777" w:rsidR="00772179" w:rsidRDefault="00000000">
      <w:pPr>
        <w:pStyle w:val="pheading"/>
      </w:pPr>
      <w:r>
        <w:t>- Prescriptions générales</w:t>
      </w:r>
    </w:p>
    <w:p w14:paraId="033434D8" w14:textId="77777777" w:rsidR="00772179" w:rsidRDefault="00000000">
      <w:r>
        <w:t>La matière première est livrée sur chantier au plus près de la date d’application (≤ 3 jours). Elle est stockée à l'abri des intempéries et dans un local sec. Si la durée de stockage est plus longue, un contrôle du taux d’humidité est effectué conformément à l'article 03.41.1b Mesures du taux d'humidité dans le bois.</w:t>
      </w:r>
      <w:r>
        <w:br/>
        <w:t xml:space="preserve">Le versement des fibres de bois est réalisé directement sur l’élément à isoler par couche de </w:t>
      </w:r>
      <w:r>
        <w:rPr>
          <w:rStyle w:val="optioncarChar"/>
        </w:rPr>
        <w:t xml:space="preserve">20 </w:t>
      </w:r>
      <w:r>
        <w:t xml:space="preserve">(par </w:t>
      </w:r>
      <w:r>
        <w:lastRenderedPageBreak/>
        <w:t>défaut)</w:t>
      </w:r>
      <w:r>
        <w:rPr>
          <w:rStyle w:val="optioncarChar"/>
        </w:rPr>
        <w:t xml:space="preserve"> / ***</w:t>
      </w:r>
      <w:r>
        <w:t xml:space="preserve"> cm. La couche est obtenue </w:t>
      </w:r>
      <w:r>
        <w:rPr>
          <w:rStyle w:val="optioncarChar"/>
        </w:rPr>
        <w:t xml:space="preserve">sans tassement </w:t>
      </w:r>
      <w:r>
        <w:t xml:space="preserve">(par défaut) </w:t>
      </w:r>
      <w:r>
        <w:rPr>
          <w:rStyle w:val="optioncarChar"/>
        </w:rPr>
        <w:t>/ par tassement manuel / ***</w:t>
      </w:r>
      <w:r>
        <w:t>.</w:t>
      </w:r>
      <w:r>
        <w:br/>
        <w:t>Il y a lieu de ne pas mettre le matériau en contact avec des conduits de fumée. Il convient de respecter la distance de sécurité minimale prévue dans les normes [NBN EN 15287-1] et [NBN EN 15287-2].</w:t>
      </w:r>
      <w:r>
        <w:br/>
        <w:t>L’applicateur s’assure que les canalisations électriques posées dans les vides de construction sont placées sous conduit non-propagateur de la flamme.</w:t>
      </w:r>
      <w:r>
        <w:br/>
        <w:t>L’isolant n'est jamais mis en contact direct avec les dispositifs d’éclairage encastrés.</w:t>
      </w:r>
      <w:r>
        <w:br/>
        <w:t>Cet isolant est protégé de l’humidité liquide durant les phases de chantier et de vie du bâtiment. Son utilisation se limite à des locaux de classe de climat intérieur 1 ou 2.</w:t>
      </w:r>
    </w:p>
    <w:p w14:paraId="04DBFD4B" w14:textId="77777777" w:rsidR="00772179" w:rsidRDefault="00000000">
      <w:pPr>
        <w:pStyle w:val="pheading"/>
      </w:pPr>
      <w:r>
        <w:t>DOCUMENTS DE RÉFÉRENCE COMPLÉMENTAIRES</w:t>
      </w:r>
    </w:p>
    <w:p w14:paraId="0690C9EB" w14:textId="77777777" w:rsidR="00772179" w:rsidRDefault="00000000">
      <w:pPr>
        <w:pStyle w:val="pheading"/>
      </w:pPr>
      <w:r>
        <w:t>- Matériau</w:t>
      </w:r>
    </w:p>
    <w:p w14:paraId="7B9EF228" w14:textId="77777777" w:rsidR="00772179" w:rsidRDefault="00000000">
      <w:r>
        <w:t>[NBN EN 15101-2, Produits isolants thermiques destinés aux applications du bâtiment - Isolation thermique formée en place à base de cellulose (LFCI) - Partie 2: Spécifications des produits mis en œuvre]</w:t>
      </w:r>
    </w:p>
    <w:p w14:paraId="1BBCE983"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95718A3" w14:textId="77777777" w:rsidR="00772179" w:rsidRDefault="00000000">
      <w:r>
        <w:t>[NBN EN 12086, Produits isolants thermiques destinés aux applications du bâtiment - Détermination des propriétés de transmission de la vapeur d'eau] </w:t>
      </w:r>
    </w:p>
    <w:p w14:paraId="5D58FB15" w14:textId="77777777" w:rsidR="00772179" w:rsidRDefault="00000000">
      <w:r>
        <w:t>[NBN EN ISO 846, Plastiques - Évaluation de l'action des micro-organismes (ISO 846:2019)]</w:t>
      </w:r>
    </w:p>
    <w:p w14:paraId="39A5349D" w14:textId="77777777" w:rsidR="00772179" w:rsidRDefault="00000000">
      <w:r>
        <w:t>[NBN EN 13501-1, Classement au feu des produits et éléments de construction - Partie 1: Classement à partir des données d'essais de réaction au feu]</w:t>
      </w:r>
    </w:p>
    <w:p w14:paraId="11E038AA" w14:textId="77777777" w:rsidR="00772179" w:rsidRDefault="00000000">
      <w:pPr>
        <w:pStyle w:val="pheading"/>
      </w:pPr>
      <w:r>
        <w:t>- Exécution</w:t>
      </w:r>
    </w:p>
    <w:p w14:paraId="61EA8C20" w14:textId="77777777" w:rsidR="00772179" w:rsidRDefault="00000000">
      <w:r>
        <w:t>[NBN EN 13501-1, Classement au feu des produits et éléments de construction - Partie 1: Classement à partir des données d'essais de réaction au feu]</w:t>
      </w:r>
    </w:p>
    <w:p w14:paraId="7E0E9491" w14:textId="77777777" w:rsidR="00772179" w:rsidRDefault="00000000">
      <w:r>
        <w:t>[NBN EN 15287-1, Conduits de fumée - Conception, installation et mise en service - Partie 1: Conduits de fumée et conduits de raccordement pour appareils de combustion qui prélèvent l’air comburant dans la pièce]</w:t>
      </w:r>
    </w:p>
    <w:p w14:paraId="106682ED" w14:textId="77777777" w:rsidR="00772179" w:rsidRDefault="00000000">
      <w:r>
        <w:t>[NBN EN 15287-2, Conduits de fumée - Conception, installation et mise en service - Partie 2 : Conduits de fumée et conduits de raccordement pour appareils de combustion à circuit étanche]</w:t>
      </w:r>
    </w:p>
    <w:p w14:paraId="47B98880" w14:textId="77777777" w:rsidR="00772179" w:rsidRDefault="00000000">
      <w:pPr>
        <w:pStyle w:val="pheading"/>
      </w:pPr>
      <w:r>
        <w:t>MESURAGE</w:t>
      </w:r>
    </w:p>
    <w:p w14:paraId="33B67E80" w14:textId="77777777" w:rsidR="00772179" w:rsidRDefault="00000000">
      <w:pPr>
        <w:pStyle w:val="pheading"/>
      </w:pPr>
      <w:r>
        <w:t>- unité de mesure:</w:t>
      </w:r>
    </w:p>
    <w:p w14:paraId="7B1FD2D5" w14:textId="77777777" w:rsidR="00772179" w:rsidRDefault="00000000">
      <w:r>
        <w:rPr>
          <w:rStyle w:val="optioncarChar"/>
        </w:rPr>
        <w:t xml:space="preserve">m² </w:t>
      </w:r>
      <w:r>
        <w:t xml:space="preserve">(par défaut) </w:t>
      </w:r>
      <w:r>
        <w:rPr>
          <w:rStyle w:val="optioncarChar"/>
        </w:rPr>
        <w:t>/ m³</w:t>
      </w:r>
    </w:p>
    <w:p w14:paraId="0EE82985" w14:textId="77777777" w:rsidR="00772179" w:rsidRDefault="00000000">
      <w:r>
        <w:rPr>
          <w:b/>
          <w:i/>
        </w:rPr>
        <w:t>(soit par défaut)</w:t>
      </w:r>
    </w:p>
    <w:p w14:paraId="7B8D9BC5" w14:textId="77777777" w:rsidR="00772179" w:rsidRDefault="00000000">
      <w:r>
        <w:rPr>
          <w:rStyle w:val="soitChar"/>
        </w:rPr>
        <w:t>1.   m²</w:t>
      </w:r>
    </w:p>
    <w:p w14:paraId="029DC736" w14:textId="77777777" w:rsidR="00772179" w:rsidRDefault="00000000">
      <w:r>
        <w:rPr>
          <w:b/>
          <w:i/>
        </w:rPr>
        <w:t>(soit)</w:t>
      </w:r>
    </w:p>
    <w:p w14:paraId="79F012CB" w14:textId="77777777" w:rsidR="00772179" w:rsidRDefault="00000000">
      <w:r>
        <w:rPr>
          <w:rStyle w:val="soitChar"/>
        </w:rPr>
        <w:t>2.   m³</w:t>
      </w:r>
    </w:p>
    <w:p w14:paraId="0A0DEE16" w14:textId="77777777" w:rsidR="00772179" w:rsidRDefault="00000000">
      <w:pPr>
        <w:pStyle w:val="pheading"/>
      </w:pPr>
      <w:r>
        <w:t>- code de mesurage:</w:t>
      </w:r>
    </w:p>
    <w:p w14:paraId="5373819B" w14:textId="77777777" w:rsidR="00772179" w:rsidRDefault="00000000">
      <w:pPr>
        <w:jc w:val="both"/>
      </w:pPr>
      <w:r>
        <w:rPr>
          <w:rStyle w:val="optioncarChar"/>
        </w:rPr>
        <w:t xml:space="preserve">Surface nette </w:t>
      </w:r>
      <w:r>
        <w:t>(par défaut)</w:t>
      </w:r>
      <w:r>
        <w:rPr>
          <w:rStyle w:val="optioncarChar"/>
        </w:rPr>
        <w:t xml:space="preserve"> / Volume net</w:t>
      </w:r>
    </w:p>
    <w:p w14:paraId="113FF951" w14:textId="77777777" w:rsidR="00772179" w:rsidRDefault="00000000">
      <w:pPr>
        <w:jc w:val="both"/>
      </w:pPr>
      <w:r>
        <w:rPr>
          <w:b/>
          <w:i/>
        </w:rPr>
        <w:t>(soit par défaut)</w:t>
      </w:r>
    </w:p>
    <w:p w14:paraId="5E4C6261" w14:textId="77777777" w:rsidR="00772179" w:rsidRDefault="00000000">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&lt; 0.5 m² ne sont pas déduites. Distinction faite suivant l'épaisseur.</w:t>
      </w:r>
    </w:p>
    <w:p w14:paraId="336707CB" w14:textId="77777777" w:rsidR="00772179" w:rsidRDefault="00000000">
      <w:pPr>
        <w:jc w:val="both"/>
      </w:pPr>
      <w:r>
        <w:rPr>
          <w:b/>
          <w:i/>
        </w:rPr>
        <w:t>(soit)</w:t>
      </w:r>
    </w:p>
    <w:p w14:paraId="12A2C772" w14:textId="77777777" w:rsidR="00772179" w:rsidRDefault="00772179">
      <w:pPr>
        <w:jc w:val="both"/>
      </w:pPr>
    </w:p>
    <w:p w14:paraId="09CA2BF2" w14:textId="77777777" w:rsidR="00772179" w:rsidRDefault="00000000">
      <w:pPr>
        <w:jc w:val="both"/>
      </w:pPr>
      <w:r>
        <w:rPr>
          <w:rStyle w:val="soitChar"/>
        </w:rPr>
        <w:lastRenderedPageBreak/>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w:t>
      </w:r>
    </w:p>
    <w:p w14:paraId="2C0499FD" w14:textId="77777777" w:rsidR="00772179" w:rsidRDefault="00772179"/>
    <w:p w14:paraId="479445CB" w14:textId="77777777" w:rsidR="00772179" w:rsidRDefault="00000000">
      <w:pPr>
        <w:pStyle w:val="pheading"/>
      </w:pPr>
      <w:r>
        <w:t>- nature du marché:</w:t>
      </w:r>
    </w:p>
    <w:p w14:paraId="1E465025" w14:textId="77777777" w:rsidR="00772179" w:rsidRDefault="00000000">
      <w:r>
        <w:t>QF</w:t>
      </w:r>
    </w:p>
    <w:p w14:paraId="0A7D554A" w14:textId="77777777" w:rsidR="00772179" w:rsidRDefault="00000000">
      <w:pPr>
        <w:pStyle w:val="Author-eSectionHeading5Numberless"/>
      </w:pPr>
      <w:bookmarkStart w:id="1100" w:name="_Toc220490756"/>
      <w:r>
        <w:t>44.46.4 Isolation à verser en vrac - matières animales CCTB 01.02</w:t>
      </w:r>
      <w:bookmarkEnd w:id="1100"/>
    </w:p>
    <w:p w14:paraId="053DB40E" w14:textId="77777777" w:rsidR="00772179" w:rsidRDefault="00000000">
      <w:pPr>
        <w:pStyle w:val="Author-eSectionHeading6Numberless"/>
      </w:pPr>
      <w:bookmarkStart w:id="1101" w:name="_Toc220490757"/>
      <w:r>
        <w:t>44.46.4a Isolation à verser en vrac - laine de mouton CCTB 01.12</w:t>
      </w:r>
      <w:bookmarkEnd w:id="1101"/>
    </w:p>
    <w:p w14:paraId="2B312B18" w14:textId="77777777" w:rsidR="00772179" w:rsidRDefault="00000000">
      <w:pPr>
        <w:pStyle w:val="pheading"/>
      </w:pPr>
      <w:r>
        <w:t>DESCRIPTION</w:t>
      </w:r>
    </w:p>
    <w:p w14:paraId="184EFF6E" w14:textId="77777777" w:rsidR="00772179" w:rsidRDefault="00000000">
      <w:pPr>
        <w:pStyle w:val="pheading"/>
      </w:pPr>
      <w:r>
        <w:t>- Définition / Comprend</w:t>
      </w:r>
    </w:p>
    <w:p w14:paraId="29A9CBEB" w14:textId="77777777" w:rsidR="00772179" w:rsidRDefault="00000000">
      <w:pPr>
        <w:jc w:val="both"/>
      </w:pPr>
      <w:r>
        <w:t>Il s’agit de la fourniture et la pose d’une isolation thermique à verser en vrac de laine de mouton pour une application en façade.</w:t>
      </w:r>
    </w:p>
    <w:p w14:paraId="7200CF9C" w14:textId="77777777" w:rsidR="00772179" w:rsidRDefault="00000000">
      <w:pPr>
        <w:pStyle w:val="pheading"/>
      </w:pPr>
      <w:r>
        <w:t>MATÉRIAUX</w:t>
      </w:r>
    </w:p>
    <w:p w14:paraId="24297A53" w14:textId="77777777" w:rsidR="00772179" w:rsidRDefault="00000000">
      <w:pPr>
        <w:pStyle w:val="pheading"/>
      </w:pPr>
      <w:r>
        <w:t>- Caractéristiques générales</w:t>
      </w:r>
    </w:p>
    <w:p w14:paraId="6646964B" w14:textId="77777777" w:rsidR="00772179" w:rsidRDefault="00000000">
      <w:r>
        <w:t>Le produit est constitué de laine de mouton. Le produit est conditionné en sacs.</w:t>
      </w:r>
      <w:r>
        <w:br/>
        <w:t xml:space="preserve">Épaisseur après mise en œuvre (selon [NBN EN 15101-2]) : </w:t>
      </w:r>
      <w:r>
        <w:rPr>
          <w:rStyle w:val="optioncarChar"/>
        </w:rPr>
        <w:t>***</w:t>
      </w:r>
      <w:r>
        <w:t xml:space="preserve"> cm.</w:t>
      </w:r>
      <w:r>
        <w:br/>
        <w:t>Masse volumique nominale après mise en œuvre (selon [NBN EN 15101-2]) :  </w:t>
      </w:r>
      <w:r>
        <w:rPr>
          <w:rStyle w:val="optioncarChar"/>
        </w:rPr>
        <w:t xml:space="preserve">10 </w:t>
      </w:r>
      <w:r>
        <w:t>(par défaut)</w:t>
      </w:r>
      <w:r>
        <w:rPr>
          <w:rStyle w:val="optioncarChar"/>
        </w:rPr>
        <w:t xml:space="preserve"> / ***</w:t>
      </w:r>
      <w:r>
        <w:t xml:space="preserve"> kg/m³.</w:t>
      </w:r>
      <w:r>
        <w:br/>
        <w:t>Conductivité thermique déclarée (selon [NBN EN 12667]) :  </w:t>
      </w:r>
      <w:r>
        <w:rPr>
          <w:rStyle w:val="optioncarChar"/>
        </w:rPr>
        <w:t>0,045</w:t>
      </w:r>
      <w:r>
        <w:t xml:space="preserve"> (par défaut)</w:t>
      </w:r>
      <w:r>
        <w:rPr>
          <w:rStyle w:val="optioncarChar"/>
        </w:rPr>
        <w:t xml:space="preserve"> / ***</w:t>
      </w:r>
      <w:r>
        <w:t xml:space="preserve"> W/mK.</w:t>
      </w:r>
      <w:r>
        <w:br/>
        <w:t xml:space="preserve">Les adjuvants ignifuges et biocides sont de type : </w:t>
      </w:r>
      <w:r>
        <w:rPr>
          <w:rStyle w:val="optioncarChar"/>
        </w:rPr>
        <w:t xml:space="preserve">pas d’adjuvant </w:t>
      </w:r>
      <w:r>
        <w:t>(par défaut)</w:t>
      </w:r>
      <w:r>
        <w:rPr>
          <w:rStyle w:val="optioncarChar"/>
        </w:rPr>
        <w:t xml:space="preserve"> / sels de bore / sels d’ammonium / ***.</w:t>
      </w:r>
      <w:r>
        <w:br/>
        <w:t>L’isolant est obligatoirement traité contre les insectes. Les adjuvants respectent le [Règlement 1907/2006/CE] et le cahier des charges [Woolmark CP-4]. La concentration des adjuvants respecte au minimum le « Level 1 » du [Woolmark CP-4].</w:t>
      </w:r>
      <w:r>
        <w:br/>
        <w:t>Les traitements au sel de bore se font par imprégnation.</w:t>
      </w:r>
    </w:p>
    <w:p w14:paraId="3D00BAC6" w14:textId="77777777" w:rsidR="00772179" w:rsidRDefault="00000000">
      <w:pPr>
        <w:ind w:left="750"/>
      </w:pPr>
      <w:r>
        <w:t> </w:t>
      </w:r>
    </w:p>
    <w:p w14:paraId="600A1D9D" w14:textId="77777777" w:rsidR="00772179" w:rsidRDefault="00000000">
      <w:pPr>
        <w:pStyle w:val="pheading"/>
      </w:pPr>
      <w:r>
        <w:t>- Prescriptions complémentaires</w:t>
      </w:r>
    </w:p>
    <w:p w14:paraId="7F1EE826" w14:textId="77777777" w:rsidR="00772179" w:rsidRDefault="00000000">
      <w:r>
        <w:t>Coefficient de résistance à la diffusion de vapeur d’eau – valeur μ (selon </w:t>
      </w:r>
      <w:r>
        <w:rPr>
          <w:rStyle w:val="facultChar"/>
        </w:rPr>
        <w:t>[NBN EN 12086]</w:t>
      </w:r>
      <w:r>
        <w:t>) :  </w:t>
      </w:r>
      <w:r>
        <w:rPr>
          <w:rStyle w:val="optioncarChar"/>
        </w:rPr>
        <w:t xml:space="preserve">≤ 2 </w:t>
      </w:r>
      <w:r>
        <w:t>(par défaut)</w:t>
      </w:r>
      <w:r>
        <w:rPr>
          <w:rStyle w:val="optioncarChar"/>
        </w:rPr>
        <w:t xml:space="preserve"> / ***.</w:t>
      </w:r>
      <w:r>
        <w:br/>
        <w:t>Résistance fongique (selon </w:t>
      </w:r>
      <w:r>
        <w:rPr>
          <w:rStyle w:val="facultChar"/>
        </w:rPr>
        <w:t>[NBN EN ISO 846]</w:t>
      </w:r>
      <w:r>
        <w:t>) :  </w:t>
      </w:r>
      <w:r>
        <w:rPr>
          <w:rStyle w:val="optioncarChar"/>
        </w:rPr>
        <w:t>vulnérable</w:t>
      </w:r>
      <w:r>
        <w:t xml:space="preserve"> (par défaut) </w:t>
      </w:r>
      <w:r>
        <w:rPr>
          <w:rStyle w:val="optioncarChar"/>
        </w:rPr>
        <w:t>/ ***</w:t>
      </w:r>
      <w:r>
        <w:rPr>
          <w:rStyle w:val="facultChar"/>
        </w:rPr>
        <w:t>.</w:t>
      </w:r>
      <w:r>
        <w:br/>
        <w:t xml:space="preserve">Classement de la réaction au feu (selon </w:t>
      </w:r>
      <w:r>
        <w:rPr>
          <w:rStyle w:val="facultChar"/>
        </w:rPr>
        <w:t>[NBN EN 13501-1]</w:t>
      </w:r>
      <w:r>
        <w:t>) :  </w:t>
      </w:r>
      <w:r>
        <w:rPr>
          <w:rStyle w:val="optioncarChar"/>
        </w:rPr>
        <w:t xml:space="preserve">E </w:t>
      </w:r>
      <w:r>
        <w:t xml:space="preserve">(par défaut) </w:t>
      </w:r>
      <w:r>
        <w:rPr>
          <w:rStyle w:val="optioncarChar"/>
        </w:rPr>
        <w:t>/ ***</w:t>
      </w:r>
      <w:r>
        <w:rPr>
          <w:rStyle w:val="facultChar"/>
        </w:rPr>
        <w:t>.</w:t>
      </w:r>
    </w:p>
    <w:p w14:paraId="5FBCEB05" w14:textId="77777777" w:rsidR="00772179" w:rsidRDefault="00000000">
      <w:pPr>
        <w:pStyle w:val="pheading"/>
      </w:pPr>
      <w:r>
        <w:t>EXÉCUTION / MISE EN ŒUVRE</w:t>
      </w:r>
    </w:p>
    <w:p w14:paraId="6D910A56" w14:textId="77777777" w:rsidR="00772179" w:rsidRDefault="00000000">
      <w:pPr>
        <w:pStyle w:val="pheading"/>
      </w:pPr>
      <w:r>
        <w:t>- Prescriptions générales</w:t>
      </w:r>
    </w:p>
    <w:p w14:paraId="7046782E" w14:textId="77777777" w:rsidR="00772179" w:rsidRDefault="00000000">
      <w:r>
        <w:t xml:space="preserve">Lors de la mise en œuvre, la laine de mouton est appliquée </w:t>
      </w:r>
      <w:r>
        <w:rPr>
          <w:rStyle w:val="optioncarChar"/>
        </w:rPr>
        <w:t xml:space="preserve">sans compaction </w:t>
      </w:r>
      <w:r>
        <w:t>(par défaut)</w:t>
      </w:r>
      <w:r>
        <w:rPr>
          <w:rStyle w:val="optioncarChar"/>
        </w:rPr>
        <w:t xml:space="preserve"> / en compaction manuelle / en compaction par vibration (aiguille vibrante) / ***</w:t>
      </w:r>
      <w:r>
        <w:t>. </w:t>
      </w:r>
      <w:r>
        <w:br/>
        <w:t>L’isolation en laine de mouton fournie en vrac est protégée de l’eau sous forme liquide.</w:t>
      </w:r>
      <w:r>
        <w:br/>
        <w:t>Pour les parois verticales, les fibres sont reprises dans des caissons à parois rigides. </w:t>
      </w:r>
    </w:p>
    <w:p w14:paraId="5A7D6F20" w14:textId="77777777" w:rsidR="00772179" w:rsidRDefault="00000000">
      <w:pPr>
        <w:pStyle w:val="pheading"/>
      </w:pPr>
      <w:r>
        <w:t>DOCUMENTS DE RÉFÉRENCE COMPLÉMENTAIRES</w:t>
      </w:r>
    </w:p>
    <w:p w14:paraId="191D068E" w14:textId="77777777" w:rsidR="00772179" w:rsidRDefault="00000000">
      <w:pPr>
        <w:pStyle w:val="pheading"/>
      </w:pPr>
      <w:r>
        <w:t>- Matériau</w:t>
      </w:r>
    </w:p>
    <w:p w14:paraId="09912698" w14:textId="77777777" w:rsidR="00772179" w:rsidRDefault="00000000">
      <w:r>
        <w:t>[NBN EN 15101-2, Produits isolants thermiques destinés aux applications du bâtiment - Isolation thermique formée en place à base de cellulose (LFCI) - Partie 2: Spécifications des produits mis en œuvre]</w:t>
      </w:r>
    </w:p>
    <w:p w14:paraId="208240C1" w14:textId="77777777" w:rsidR="00772179" w:rsidRDefault="00000000">
      <w:r>
        <w:t>[NBN EN 12667, Performance thermique des matériaux et produits pour le bâtiment - Détermination de la résistance thermique par la méthode de la plaque chaude gardée et la méthode fluxmétrique - Produits de haute et moyenne résistance thermique]</w:t>
      </w:r>
    </w:p>
    <w:p w14:paraId="3FFAF40B" w14:textId="77777777" w:rsidR="00772179" w:rsidRDefault="00000000">
      <w:r>
        <w:lastRenderedPageBreak/>
        <w:t>[NBN EN 12086, Produits isolants thermiques destinés aux applications du bâtiment - Détermination des propriétés de transmission de la vapeur d'eau] </w:t>
      </w:r>
    </w:p>
    <w:p w14:paraId="19713239" w14:textId="77777777" w:rsidR="00772179" w:rsidRDefault="00000000">
      <w:r>
        <w:t>[NBN EN ISO 846, Plastiques - Évaluation de l'action des micro-organismes (ISO 846:2019)]</w:t>
      </w:r>
    </w:p>
    <w:p w14:paraId="26A08196" w14:textId="77777777" w:rsidR="00772179" w:rsidRDefault="00000000">
      <w:r>
        <w:t>[NBN EN 13501-1, Classement au feu des produits et éléments de construction - Partie 1: Classement à partir des données d'essais de réaction au feu]</w:t>
      </w:r>
    </w:p>
    <w:p w14:paraId="769818E7" w14:textId="77777777" w:rsidR="00772179" w:rsidRDefault="00000000">
      <w:r>
        <w:t>[Woolmark CP-4, Produits destinés au traitement de la laine contre les insectes]</w:t>
      </w:r>
    </w:p>
    <w:p w14:paraId="440045B6" w14:textId="77777777" w:rsidR="00772179" w:rsidRDefault="00000000">
      <w:pPr>
        <w:pStyle w:val="pheading"/>
      </w:pPr>
      <w:r>
        <w:t>- Exécution</w:t>
      </w:r>
    </w:p>
    <w:p w14:paraId="597F3141" w14:textId="77777777" w:rsidR="00772179" w:rsidRDefault="00000000">
      <w:r>
        <w:t>[NBN EN 13501-1, Classement au feu des produits et éléments de construction - Partie 1: Classement à partir des données d'essais de réaction au feu]</w:t>
      </w:r>
    </w:p>
    <w:p w14:paraId="7F917828" w14:textId="77777777" w:rsidR="00772179" w:rsidRDefault="00000000">
      <w:pPr>
        <w:pStyle w:val="pheading"/>
      </w:pPr>
      <w:r>
        <w:t>MESURAGE</w:t>
      </w:r>
    </w:p>
    <w:p w14:paraId="0ABB85CE" w14:textId="77777777" w:rsidR="00772179" w:rsidRDefault="00000000">
      <w:pPr>
        <w:pStyle w:val="pheading"/>
      </w:pPr>
      <w:r>
        <w:t>- unité de mesure:</w:t>
      </w:r>
    </w:p>
    <w:p w14:paraId="5708D945" w14:textId="77777777" w:rsidR="00772179" w:rsidRDefault="00000000">
      <w:r>
        <w:rPr>
          <w:rStyle w:val="optioncarChar"/>
        </w:rPr>
        <w:t xml:space="preserve">m² </w:t>
      </w:r>
      <w:r>
        <w:t>(par défaut)</w:t>
      </w:r>
      <w:r>
        <w:rPr>
          <w:rStyle w:val="optioncarChar"/>
        </w:rPr>
        <w:t xml:space="preserve"> / m³</w:t>
      </w:r>
    </w:p>
    <w:p w14:paraId="09841711" w14:textId="77777777" w:rsidR="00772179" w:rsidRDefault="00000000">
      <w:r>
        <w:rPr>
          <w:b/>
          <w:i/>
        </w:rPr>
        <w:t>(soit par défaut)</w:t>
      </w:r>
    </w:p>
    <w:p w14:paraId="2B75A957" w14:textId="77777777" w:rsidR="00772179" w:rsidRDefault="00000000">
      <w:r>
        <w:rPr>
          <w:rStyle w:val="soitChar"/>
        </w:rPr>
        <w:t>1.  m²</w:t>
      </w:r>
    </w:p>
    <w:p w14:paraId="5BEE30FE" w14:textId="77777777" w:rsidR="00772179" w:rsidRDefault="00000000">
      <w:r>
        <w:rPr>
          <w:b/>
          <w:i/>
        </w:rPr>
        <w:t>(soit)</w:t>
      </w:r>
    </w:p>
    <w:p w14:paraId="5BDA5790" w14:textId="77777777" w:rsidR="00772179" w:rsidRDefault="00000000">
      <w:r>
        <w:rPr>
          <w:rStyle w:val="soitChar"/>
        </w:rPr>
        <w:t>2.  m³</w:t>
      </w:r>
    </w:p>
    <w:p w14:paraId="625E209A" w14:textId="77777777" w:rsidR="00772179" w:rsidRDefault="00000000">
      <w:pPr>
        <w:pStyle w:val="pheading"/>
      </w:pPr>
      <w:r>
        <w:t>- code de mesurage:</w:t>
      </w:r>
    </w:p>
    <w:p w14:paraId="5015A65C" w14:textId="77777777" w:rsidR="00772179" w:rsidRDefault="00000000">
      <w:pPr>
        <w:jc w:val="both"/>
      </w:pPr>
      <w:r>
        <w:rPr>
          <w:rStyle w:val="optioncarChar"/>
        </w:rPr>
        <w:t xml:space="preserve">Surface nette </w:t>
      </w:r>
      <w:r>
        <w:t xml:space="preserve">(par défaut) </w:t>
      </w:r>
      <w:r>
        <w:rPr>
          <w:rStyle w:val="optioncarChar"/>
        </w:rPr>
        <w:t>/ Volume net</w:t>
      </w:r>
    </w:p>
    <w:p w14:paraId="699BFF45" w14:textId="77777777" w:rsidR="00772179" w:rsidRDefault="00000000">
      <w:pPr>
        <w:jc w:val="both"/>
      </w:pPr>
      <w:r>
        <w:rPr>
          <w:b/>
          <w:i/>
        </w:rPr>
        <w:t>(soit par défaut)</w:t>
      </w:r>
    </w:p>
    <w:p w14:paraId="209CF0D4" w14:textId="77777777" w:rsidR="00772179" w:rsidRDefault="00000000">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&lt; 0.5 m² ne sont pas déduites. Distinction faite suivant l’épaisseur et la densité prescrites.</w:t>
      </w:r>
    </w:p>
    <w:p w14:paraId="3FCFCB09" w14:textId="77777777" w:rsidR="00772179" w:rsidRDefault="00000000">
      <w:pPr>
        <w:jc w:val="both"/>
      </w:pPr>
      <w:r>
        <w:rPr>
          <w:b/>
          <w:i/>
        </w:rPr>
        <w:t>(soit)</w:t>
      </w:r>
    </w:p>
    <w:p w14:paraId="21ACDFD4" w14:textId="77777777" w:rsidR="00772179" w:rsidRDefault="00772179">
      <w:pPr>
        <w:jc w:val="both"/>
      </w:pPr>
    </w:p>
    <w:p w14:paraId="00138D67" w14:textId="77777777" w:rsidR="00772179" w:rsidRDefault="00000000">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&gt; 0,5 m² multipliées par l’épaisseur à réaliser sont déduites. Distinction faite suivant l’épaisseur et la densité prescrites.</w:t>
      </w:r>
    </w:p>
    <w:p w14:paraId="0924638A" w14:textId="77777777" w:rsidR="00772179" w:rsidRDefault="00000000">
      <w:pPr>
        <w:pStyle w:val="pheading"/>
      </w:pPr>
      <w:r>
        <w:t>- nature du marché:</w:t>
      </w:r>
    </w:p>
    <w:p w14:paraId="540B64AC" w14:textId="77777777" w:rsidR="00772179" w:rsidRDefault="00000000">
      <w:r>
        <w:t>QF</w:t>
      </w:r>
    </w:p>
    <w:p w14:paraId="5422032D" w14:textId="77777777" w:rsidR="00772179" w:rsidRDefault="00000000">
      <w:pPr>
        <w:pStyle w:val="Author-eSectionHeading6Numberless"/>
      </w:pPr>
      <w:bookmarkStart w:id="1102" w:name="_Toc220490758"/>
      <w:r>
        <w:t>44.46.4b Isolation à verser en vrac - plumes de canard CCTB 01.02</w:t>
      </w:r>
      <w:bookmarkEnd w:id="1102"/>
    </w:p>
    <w:p w14:paraId="37E0C42B" w14:textId="77777777" w:rsidR="00772179" w:rsidRDefault="00000000">
      <w:pPr>
        <w:pStyle w:val="Author-eSectionHeading4Numberless"/>
      </w:pPr>
      <w:bookmarkStart w:id="1103" w:name="_Toc220490759"/>
      <w:r>
        <w:t>44.47 (titre réservé) CCTB 01.02</w:t>
      </w:r>
      <w:bookmarkEnd w:id="1103"/>
    </w:p>
    <w:p w14:paraId="44D271E6" w14:textId="77777777" w:rsidR="00772179" w:rsidRDefault="00000000">
      <w:pPr>
        <w:pStyle w:val="Author-eSectionHeading3Numberless"/>
      </w:pPr>
      <w:bookmarkStart w:id="1104" w:name="_Toc220490760"/>
      <w:r>
        <w:t>44.5 Isolations à usages spécifiques CCTB 01.04</w:t>
      </w:r>
      <w:bookmarkEnd w:id="1104"/>
    </w:p>
    <w:p w14:paraId="58685AF2" w14:textId="77777777" w:rsidR="00772179" w:rsidRDefault="00000000">
      <w:pPr>
        <w:pStyle w:val="Author-eSectionHeading3Numberless"/>
      </w:pPr>
      <w:bookmarkStart w:id="1105" w:name="_Toc220490761"/>
      <w:r>
        <w:t>44.6 - CCTB 01.02</w:t>
      </w:r>
      <w:bookmarkEnd w:id="1105"/>
    </w:p>
    <w:p w14:paraId="3675E050" w14:textId="77777777" w:rsidR="00772179" w:rsidRDefault="00000000">
      <w:pPr>
        <w:pStyle w:val="Author-eSectionHeading3Numberless"/>
      </w:pPr>
      <w:bookmarkStart w:id="1106" w:name="_Toc220490762"/>
      <w:r>
        <w:t>44.7 -</w:t>
      </w:r>
      <w:bookmarkEnd w:id="1106"/>
    </w:p>
    <w:p w14:paraId="632B3434" w14:textId="77777777" w:rsidR="00772179" w:rsidRDefault="00000000">
      <w:pPr>
        <w:pStyle w:val="Author-eSectionHeading3Numberless"/>
      </w:pPr>
      <w:bookmarkStart w:id="1107" w:name="_Toc220490763"/>
      <w:r>
        <w:t>44.8 Etanchéisation et isolation - Rénovation CCTB 01.04</w:t>
      </w:r>
      <w:bookmarkEnd w:id="1107"/>
    </w:p>
    <w:p w14:paraId="0B7E9240" w14:textId="77777777" w:rsidR="00772179" w:rsidRDefault="00000000">
      <w:pPr>
        <w:pStyle w:val="Author-eSectionHeading2Numberless"/>
      </w:pPr>
      <w:bookmarkStart w:id="1108" w:name="_Toc220490764"/>
      <w:r>
        <w:t>45 Escaliers extérieurs, rampes et rails d'entretien CCTB 01.02</w:t>
      </w:r>
      <w:bookmarkEnd w:id="1108"/>
    </w:p>
    <w:p w14:paraId="11BD4F2F" w14:textId="77777777" w:rsidR="00772179" w:rsidRDefault="00000000">
      <w:pPr>
        <w:pStyle w:val="Author-eSectionHeading3Numberless"/>
      </w:pPr>
      <w:bookmarkStart w:id="1109" w:name="_Toc220490765"/>
      <w:r>
        <w:t>45.1 Escaliers et garde-corps complets CCTB 01.13</w:t>
      </w:r>
      <w:bookmarkEnd w:id="1109"/>
    </w:p>
    <w:p w14:paraId="26937ED0" w14:textId="77777777" w:rsidR="00772179" w:rsidRDefault="00000000">
      <w:pPr>
        <w:pStyle w:val="pheading"/>
      </w:pPr>
      <w:r>
        <w:lastRenderedPageBreak/>
        <w:t>DESCRIPTION</w:t>
      </w:r>
    </w:p>
    <w:p w14:paraId="0374C902" w14:textId="77777777" w:rsidR="00772179" w:rsidRDefault="00000000">
      <w:pPr>
        <w:pStyle w:val="pheading"/>
      </w:pPr>
      <w:r>
        <w:t>- Définition / Comprend</w:t>
      </w:r>
    </w:p>
    <w:p w14:paraId="3250043B" w14:textId="77777777" w:rsidR="00772179" w:rsidRDefault="00000000">
      <w:r>
        <w:t>Tous les matériaux sont résistants au gel et être suffisamment durables par rapport aux conditions climatologiques. Ils sont résistants aux moisissures et aux insectes. En toutes circonstances, les escaliers extérieurs sont aisément praticables et sans danger.</w:t>
      </w:r>
    </w:p>
    <w:p w14:paraId="42BF0F3E" w14:textId="77777777" w:rsidR="00772179" w:rsidRDefault="00000000">
      <w:pPr>
        <w:pStyle w:val="pheading"/>
      </w:pPr>
      <w:r>
        <w:t>- Remarques importantes</w:t>
      </w:r>
    </w:p>
    <w:p w14:paraId="36B8A620" w14:textId="77777777" w:rsidR="00772179" w:rsidRDefault="00000000">
      <w:r>
        <w:rPr>
          <w:rStyle w:val="normalChar"/>
        </w:rPr>
        <w:t>LA STRUCTURE DES ESCALIERS EST TRAITEE DANS LES ARTICLES SUIVANTS :</w:t>
      </w:r>
    </w:p>
    <w:p w14:paraId="64C9E2FA" w14:textId="77777777" w:rsidR="00772179" w:rsidRDefault="00000000">
      <w:r>
        <w:t>21.15.1 Escaliers en maçonnerie</w:t>
      </w:r>
    </w:p>
    <w:p w14:paraId="30158A5B" w14:textId="77777777" w:rsidR="00772179" w:rsidRDefault="00000000">
      <w:r>
        <w:t>22.31.1 Escaliers en béton coulé en place</w:t>
      </w:r>
    </w:p>
    <w:p w14:paraId="4569905D" w14:textId="77777777" w:rsidR="00772179" w:rsidRDefault="00000000">
      <w:r>
        <w:t>22.31.3 Escaliers préfabriqués en béton</w:t>
      </w:r>
    </w:p>
    <w:p w14:paraId="7DD40850" w14:textId="77777777" w:rsidR="00772179" w:rsidRDefault="00000000">
      <w:r>
        <w:t>23.31 Escaliers métalliques</w:t>
      </w:r>
    </w:p>
    <w:p w14:paraId="4A4FDEAC" w14:textId="77777777" w:rsidR="00772179" w:rsidRDefault="00000000">
      <w:r>
        <w:t>24.31 Escaliers en bois</w:t>
      </w:r>
    </w:p>
    <w:p w14:paraId="751E3ED4" w14:textId="77777777" w:rsidR="00772179" w:rsidRDefault="00000000">
      <w:r>
        <w:t> </w:t>
      </w:r>
    </w:p>
    <w:p w14:paraId="245D3CC2" w14:textId="77777777" w:rsidR="00772179" w:rsidRDefault="00000000">
      <w:pPr>
        <w:pStyle w:val="pheading"/>
      </w:pPr>
      <w:r>
        <w:t>MATÉRIAUX</w:t>
      </w:r>
    </w:p>
    <w:p w14:paraId="27F0AE21" w14:textId="77777777" w:rsidR="00772179" w:rsidRDefault="00000000">
      <w:r>
        <w:t>Le matériau de l’escalier, servant pour l’évacuation en cas d’incendie, est peu combustible, classe A1/A2 selon la [NBN EN 13501-1]. De plus, pour les bâtiments moyens et élevés, aucun point de l’escalier ne se trouve à moins d’un mètre d’une partie de façade ne présentant pas REI 60 selon la [NBN EN 13501-2].</w:t>
      </w:r>
    </w:p>
    <w:p w14:paraId="5754DEAF" w14:textId="77777777" w:rsidR="00772179" w:rsidRDefault="00000000">
      <w:r>
        <w:t>Support aux prescripteurs : [SWL GSI/T1/A] et [SWL GSI/T1/C] de la prévention passive référencé dans le cahier des références de ce cahier des charges.</w:t>
      </w:r>
    </w:p>
    <w:p w14:paraId="6DEFD057" w14:textId="77777777" w:rsidR="00772179" w:rsidRDefault="00000000">
      <w:pPr>
        <w:pStyle w:val="pheading"/>
      </w:pPr>
      <w:r>
        <w:t>EXÉCUTION / MISE EN ŒUVRE</w:t>
      </w:r>
    </w:p>
    <w:p w14:paraId="2418819C" w14:textId="77777777" w:rsidR="00772179" w:rsidRDefault="00000000">
      <w:r>
        <w:t>Conformément au chapitre 01.44 PSS travaux de façade PSS travaux de façade, établie par le coordinateur-projet et annexée au cahier spécial des charges. Toutes les directives en la matière et les indications concrètes données par le coordinateur-réalisation sont scrupuleusement respectées.</w:t>
      </w:r>
    </w:p>
    <w:p w14:paraId="5B30F5A4" w14:textId="77777777" w:rsidR="00772179" w:rsidRDefault="00000000">
      <w:pPr>
        <w:pStyle w:val="pheading"/>
      </w:pPr>
      <w:r>
        <w:t>DOCUMENTS DE RÉFÉRENCE</w:t>
      </w:r>
    </w:p>
    <w:p w14:paraId="004C88B9" w14:textId="77777777" w:rsidR="00772179" w:rsidRDefault="00000000">
      <w:pPr>
        <w:pStyle w:val="pheading"/>
      </w:pPr>
      <w:r>
        <w:t>- Matériau</w:t>
      </w:r>
    </w:p>
    <w:p w14:paraId="1325C327" w14:textId="77777777" w:rsidR="00772179" w:rsidRDefault="00000000">
      <w:r>
        <w:t>[NIT 198, Les escaliers en bois.]</w:t>
      </w:r>
    </w:p>
    <w:p w14:paraId="2ABC6D83" w14:textId="77777777" w:rsidR="00772179" w:rsidRDefault="00000000">
      <w:r>
        <w:t>[NIT 196, Les balcons (remplace la NIT 161-partiellement modifiée par le Cahier 2011/4.9).]</w:t>
      </w:r>
    </w:p>
    <w:p w14:paraId="19C2013B" w14:textId="77777777" w:rsidR="00772179" w:rsidRDefault="00000000">
      <w:r>
        <w:t>[NBN B 03-004, Garde-corps de bâtiments]</w:t>
      </w:r>
    </w:p>
    <w:p w14:paraId="42B5FACB" w14:textId="77777777" w:rsidR="00772179" w:rsidRDefault="00000000">
      <w:r>
        <w:t>[NBN ISO 3880-1, Construction immobilière - Escaliers - Vocabulaire - Partie 1]</w:t>
      </w:r>
    </w:p>
    <w:p w14:paraId="5A6306BA" w14:textId="77777777" w:rsidR="00772179" w:rsidRDefault="00000000">
      <w:r>
        <w:t>[NBN EN 131 série, Echelles]</w:t>
      </w:r>
    </w:p>
    <w:p w14:paraId="2405E444" w14:textId="77777777" w:rsidR="00772179" w:rsidRDefault="00000000">
      <w:r>
        <w:t>[CCT Qualiroutes QR-J-2, QUALIROUTES – J – 2 Exécution des structures en acier Spécifications techniques : applicable pour garde-corps, charpente métallique, …..]</w:t>
      </w:r>
    </w:p>
    <w:p w14:paraId="1112BE40" w14:textId="77777777" w:rsidR="00772179" w:rsidRDefault="00000000">
      <w:pPr>
        <w:pStyle w:val="pheading"/>
      </w:pPr>
      <w:r>
        <w:t>AIDE</w:t>
      </w:r>
    </w:p>
    <w:p w14:paraId="171963E9" w14:textId="77777777" w:rsidR="00772179" w:rsidRDefault="00000000">
      <w:r>
        <w:t>NOTE A L’AUTEUR DE PROJET </w:t>
      </w:r>
    </w:p>
    <w:p w14:paraId="441AA023" w14:textId="77777777" w:rsidR="00772179" w:rsidRDefault="00000000">
      <w:r>
        <w:rPr>
          <w:b/>
        </w:rPr>
        <w:t>Accessibilité aux personnes à mobilité réduite (PMR)</w:t>
      </w:r>
    </w:p>
    <w:p w14:paraId="4C7E24EC" w14:textId="77777777" w:rsidR="00772179" w:rsidRDefault="00000000">
      <w:r>
        <w:rPr>
          <w:i/>
          <w:u w:val="single"/>
        </w:rPr>
        <w:t>Général :</w:t>
      </w:r>
    </w:p>
    <w:p w14:paraId="1E5B5325" w14:textId="77777777" w:rsidR="00772179" w:rsidRDefault="00000000">
      <w:r>
        <w:t>Pente : entre 19° et 33°   [Buildwise Article Dossier (2004/4.06)]</w:t>
      </w:r>
    </w:p>
    <w:p w14:paraId="30916B03" w14:textId="77777777" w:rsidR="00772179" w:rsidRDefault="00000000">
      <w:r>
        <w:t>Géométrie : éviter les escaliers en colimaçon et l’utilisation de la méthode de balancement des marches   [Buildwise Article Dossier (2004/4.06)]</w:t>
      </w:r>
    </w:p>
    <w:p w14:paraId="55C3313F" w14:textId="77777777" w:rsidR="00772179" w:rsidRDefault="00000000">
      <w:r>
        <w:t>Echappée : 220 cm minimum   [SWL CALA]</w:t>
      </w:r>
    </w:p>
    <w:p w14:paraId="3C4531F4" w14:textId="77777777" w:rsidR="00772179" w:rsidRDefault="00000000">
      <w:r>
        <w:t>Largeur de libre passage, en cas de :</w:t>
      </w:r>
    </w:p>
    <w:p w14:paraId="459A1EFA" w14:textId="77777777" w:rsidR="00772179" w:rsidRDefault="00000000">
      <w:pPr>
        <w:pStyle w:val="Author-eListParagraph"/>
        <w:numPr>
          <w:ilvl w:val="0"/>
          <w:numId w:val="1168"/>
        </w:numPr>
      </w:pPr>
      <w:r>
        <w:lastRenderedPageBreak/>
        <w:t>Installation d’une plateforme : 90 cm minimum   [Buildwise Article Dossier (2004/4.06)]</w:t>
      </w:r>
    </w:p>
    <w:p w14:paraId="44A345A5" w14:textId="77777777" w:rsidR="00772179" w:rsidRDefault="00000000">
      <w:pPr>
        <w:pStyle w:val="Author-eListParagraph"/>
        <w:numPr>
          <w:ilvl w:val="0"/>
          <w:numId w:val="1168"/>
        </w:numPr>
      </w:pPr>
      <w:r>
        <w:t>Evacuation manuelle : 122 cm minimum   [NFPA 101 Life Safety Code Handbook]</w:t>
      </w:r>
    </w:p>
    <w:p w14:paraId="46B3A933" w14:textId="77777777" w:rsidR="00772179" w:rsidRDefault="00000000">
      <w:pPr>
        <w:pStyle w:val="Author-eListParagraph"/>
        <w:numPr>
          <w:ilvl w:val="0"/>
          <w:numId w:val="1168"/>
        </w:numPr>
      </w:pPr>
      <w:r>
        <w:t>Utilisation d’une chaise d’évacuation : à établir en fonction des dimensions de la chaise</w:t>
      </w:r>
    </w:p>
    <w:p w14:paraId="756EF6B2" w14:textId="77777777" w:rsidR="00772179" w:rsidRDefault="00000000">
      <w:r>
        <w:rPr>
          <w:i/>
          <w:u w:val="single"/>
        </w:rPr>
        <w:t>Marches et contremarches :</w:t>
      </w:r>
    </w:p>
    <w:p w14:paraId="3CFAFD74" w14:textId="77777777" w:rsidR="00772179" w:rsidRDefault="00000000">
      <w:r>
        <w:t>Nombre de marches par volée : 15 à 20 maximum   [SWL CALA], [NBN ISO 21542] et [BS 8300]</w:t>
      </w:r>
    </w:p>
    <w:p w14:paraId="03DA2F79" w14:textId="77777777" w:rsidR="00772179" w:rsidRDefault="00000000">
      <w:r>
        <w:t>Module de pas (M=2H+G) : entre 60 et 64 cm   [SWL CALA]</w:t>
      </w:r>
    </w:p>
    <w:p w14:paraId="645BF0BF" w14:textId="77777777" w:rsidR="00772179" w:rsidRDefault="00000000">
      <w:r>
        <w:t>Hauteur des marches (H) : 18 cm maximum   [SWL CALA]</w:t>
      </w:r>
    </w:p>
    <w:p w14:paraId="362FCDA4" w14:textId="77777777" w:rsidR="00772179" w:rsidRDefault="00000000">
      <w:r>
        <w:t>Giron (G) : 25 cm minimum   [SWL CALA]</w:t>
      </w:r>
    </w:p>
    <w:p w14:paraId="62F0E8E3" w14:textId="77777777" w:rsidR="00772179" w:rsidRDefault="00000000">
      <w:r>
        <w:t>Type de marches : pleines, antidérapantes   [CoDT] et [SWL CALA]</w:t>
      </w:r>
    </w:p>
    <w:p w14:paraId="4F234446" w14:textId="77777777" w:rsidR="00772179" w:rsidRDefault="00000000">
      <w:r>
        <w:t>Type de contremarches : pleines, profil oblique   [SWL CALA], [NBN ISO 21542] et [BS 8300]</w:t>
      </w:r>
    </w:p>
    <w:p w14:paraId="16FF1C48" w14:textId="77777777" w:rsidR="00772179" w:rsidRDefault="00000000">
      <w:r>
        <w:br/>
      </w:r>
      <w:r>
        <w:rPr>
          <w:i/>
          <w:u w:val="single"/>
        </w:rPr>
        <w:t xml:space="preserve"> Nez de marches :</w:t>
      </w:r>
      <w:r>
        <w:t>   </w:t>
      </w:r>
    </w:p>
    <w:p w14:paraId="53ECAA61" w14:textId="77777777" w:rsidR="00772179" w:rsidRDefault="00000000">
      <w:r>
        <w:t>Forme : non saillants   [SWL CALA], [NBN ISO 21542] et [BS 8300]</w:t>
      </w:r>
      <w:r>
        <w:br/>
        <w:t xml:space="preserve"> Projection : 2.5 cm maximum   [NBN ISO 21542] et [BS 8300]</w:t>
      </w:r>
    </w:p>
    <w:p w14:paraId="39513C3B" w14:textId="77777777" w:rsidR="00772179" w:rsidRDefault="00000000">
      <w:r>
        <w:t>Indicateurs visuels sur les nez de marches : [NBN ISO 21542] et [BS 8300]</w:t>
      </w:r>
    </w:p>
    <w:p w14:paraId="7C8079F9" w14:textId="77777777" w:rsidR="00772179" w:rsidRDefault="00000000">
      <w:pPr>
        <w:pStyle w:val="Author-eListParagraph"/>
        <w:numPr>
          <w:ilvl w:val="0"/>
          <w:numId w:val="1169"/>
        </w:numPr>
      </w:pPr>
      <w:r>
        <w:t>Localisation : de préférence, sur chaque marche ; sinon, sur la première et la dernière marche de chaque volée </w:t>
      </w:r>
    </w:p>
    <w:p w14:paraId="67D43DCA" w14:textId="77777777" w:rsidR="00772179" w:rsidRDefault="00000000">
      <w:pPr>
        <w:pStyle w:val="Author-eListParagraph"/>
        <w:numPr>
          <w:ilvl w:val="0"/>
          <w:numId w:val="1170"/>
        </w:numPr>
      </w:pPr>
      <w:r>
        <w:t>Largeur : continus sur toute la largeur des marches</w:t>
      </w:r>
    </w:p>
    <w:p w14:paraId="545363CB" w14:textId="77777777" w:rsidR="00772179" w:rsidRDefault="00000000">
      <w:pPr>
        <w:pStyle w:val="Author-eListParagraph"/>
        <w:numPr>
          <w:ilvl w:val="0"/>
          <w:numId w:val="1170"/>
        </w:numPr>
      </w:pPr>
      <w:r>
        <w:t>Revêtement : antidérapants</w:t>
      </w:r>
    </w:p>
    <w:p w14:paraId="1E2854CA" w14:textId="77777777" w:rsidR="00772179" w:rsidRDefault="00000000">
      <w:pPr>
        <w:pStyle w:val="Author-eListParagraph"/>
        <w:numPr>
          <w:ilvl w:val="0"/>
          <w:numId w:val="1170"/>
        </w:numPr>
      </w:pPr>
      <w:r>
        <w:t>Profondeur : 4 cm minimum sur la marche, peut redescendre sur la contremarche</w:t>
      </w:r>
    </w:p>
    <w:p w14:paraId="0C498E65" w14:textId="77777777" w:rsidR="00772179" w:rsidRDefault="00000000">
      <w:pPr>
        <w:pStyle w:val="Author-eListParagraph"/>
        <w:numPr>
          <w:ilvl w:val="0"/>
          <w:numId w:val="1170"/>
        </w:numPr>
      </w:pPr>
      <w:r>
        <w:t>Contraste : différence de coefficient de réflexion (LRV) entre les indicateurs et les marches de minimum 60%  </w:t>
      </w:r>
    </w:p>
    <w:p w14:paraId="7CE87754" w14:textId="77777777" w:rsidR="00772179" w:rsidRDefault="00000000">
      <w:r>
        <w:rPr>
          <w:i/>
          <w:u w:val="single"/>
        </w:rPr>
        <w:t>Paliers :</w:t>
      </w:r>
      <w:r>
        <w:t>  [CoDT] et [NBN ISO 21542] </w:t>
      </w:r>
    </w:p>
    <w:p w14:paraId="7D36CC05" w14:textId="77777777" w:rsidR="00772179" w:rsidRDefault="00000000">
      <w:r>
        <w:t>Contraste : différence de coefficient de réflexion (LRV) entre les paliers et les marches de minimum 60%   </w:t>
      </w:r>
    </w:p>
    <w:p w14:paraId="3A3DDB6C" w14:textId="77777777" w:rsidR="00772179" w:rsidRDefault="00000000">
      <w:r>
        <w:rPr>
          <w:i/>
          <w:u w:val="single"/>
        </w:rPr>
        <w:t>Dalles d’éveil à la vigilance (ou dalles podotactiles) :</w:t>
      </w:r>
      <w:r>
        <w:t>  [CoDT], [SWL CALA], [NBN ISO 21542] et [NEN 1814]</w:t>
      </w:r>
      <w:r>
        <w:br/>
        <w:t xml:space="preserve"> Position : sur les paliers, au-dessus et en-dessous de chaque volée, à 50 cm du nez de la première et de la dernière marche</w:t>
      </w:r>
    </w:p>
    <w:p w14:paraId="72177E98" w14:textId="77777777" w:rsidR="00772179" w:rsidRDefault="00000000">
      <w:r>
        <w:t>Largeur : sur toute la largeur de l’escalier</w:t>
      </w:r>
    </w:p>
    <w:p w14:paraId="0A608E8C" w14:textId="77777777" w:rsidR="00772179" w:rsidRDefault="00000000">
      <w:r>
        <w:t>Profondeur : 60 cm minimum </w:t>
      </w:r>
    </w:p>
    <w:p w14:paraId="3549581E" w14:textId="77777777" w:rsidR="00772179" w:rsidRDefault="00000000">
      <w:r>
        <w:rPr>
          <w:i/>
          <w:u w:val="single"/>
        </w:rPr>
        <w:t>Main-courantes :</w:t>
      </w:r>
      <w:r>
        <w:t> </w:t>
      </w:r>
    </w:p>
    <w:p w14:paraId="59C646C5" w14:textId="77777777" w:rsidR="00772179" w:rsidRDefault="00000000">
      <w:r>
        <w:t>Type : double (2 lisses)   [SWL CALA], [NBN ISO 21542] et [BS 8300]</w:t>
      </w:r>
    </w:p>
    <w:p w14:paraId="2695E589" w14:textId="77777777" w:rsidR="00772179" w:rsidRDefault="00000000">
      <w:r>
        <w:t>Position : de chaque côté de l’escalier   [CoDT] et [SWL CALA]</w:t>
      </w:r>
    </w:p>
    <w:p w14:paraId="5F9376CF" w14:textId="77777777" w:rsidR="00772179" w:rsidRDefault="00000000">
      <w:r>
        <w:t>Géométrie : solides et continues sur les paliers   [CoDT] et [SWL CALA]</w:t>
      </w:r>
    </w:p>
    <w:p w14:paraId="3741CC53" w14:textId="77777777" w:rsidR="00772179" w:rsidRDefault="00000000">
      <w:r>
        <w:t>Prolongement : [CoDT] et [SWL CALA]</w:t>
      </w:r>
    </w:p>
    <w:p w14:paraId="72485FEB" w14:textId="77777777" w:rsidR="00772179" w:rsidRDefault="00000000">
      <w:pPr>
        <w:pStyle w:val="Author-eListParagraph"/>
        <w:numPr>
          <w:ilvl w:val="0"/>
          <w:numId w:val="1171"/>
        </w:numPr>
      </w:pPr>
      <w:r>
        <w:t>Côté mur : prolongement de 40 cm à l’origine et à l’extrémité de l’escalier</w:t>
      </w:r>
    </w:p>
    <w:p w14:paraId="5D94BD6B" w14:textId="77777777" w:rsidR="00772179" w:rsidRDefault="00000000">
      <w:pPr>
        <w:pStyle w:val="Author-eListParagraph"/>
        <w:numPr>
          <w:ilvl w:val="0"/>
          <w:numId w:val="1171"/>
        </w:numPr>
      </w:pPr>
      <w:r>
        <w:t>Côté vide : prolongement jusqu’au sol, et de 40 cm à l’origine et à l’extrémité de l’escalier pour autant que ce prolongement ne représente aucun obstacle ni danger    </w:t>
      </w:r>
    </w:p>
    <w:p w14:paraId="2E33A63C" w14:textId="77777777" w:rsidR="00772179" w:rsidRDefault="00000000">
      <w:r>
        <w:t>Hauteur :  [SWL CALA] et [NBN ISO 21542] </w:t>
      </w:r>
    </w:p>
    <w:p w14:paraId="0E7D2903" w14:textId="77777777" w:rsidR="00772179" w:rsidRDefault="00000000">
      <w:pPr>
        <w:pStyle w:val="Author-eListParagraph"/>
        <w:numPr>
          <w:ilvl w:val="0"/>
          <w:numId w:val="1172"/>
        </w:numPr>
      </w:pPr>
      <w:r>
        <w:t>Main-courante principale : entre 85 et 100 cm par rapport au nez de marche</w:t>
      </w:r>
    </w:p>
    <w:p w14:paraId="729B0A10" w14:textId="77777777" w:rsidR="00772179" w:rsidRDefault="00000000">
      <w:pPr>
        <w:pStyle w:val="Author-eListParagraph"/>
        <w:numPr>
          <w:ilvl w:val="0"/>
          <w:numId w:val="1172"/>
        </w:numPr>
      </w:pPr>
      <w:r>
        <w:t>Main-courante secondaire : entre 60 et 75 cm par rapport au nez de marche</w:t>
      </w:r>
    </w:p>
    <w:p w14:paraId="40DE0DEF" w14:textId="77777777" w:rsidR="00772179" w:rsidRDefault="00000000">
      <w:r>
        <w:t>Distance du mur : 4 cm minimum   [SWL CALA]</w:t>
      </w:r>
    </w:p>
    <w:p w14:paraId="21C9690F" w14:textId="77777777" w:rsidR="00772179" w:rsidRDefault="00000000">
      <w:r>
        <w:t>Diamètre : entre 4 et 5 cm   [SWL CALA]</w:t>
      </w:r>
    </w:p>
    <w:p w14:paraId="46D0391E" w14:textId="77777777" w:rsidR="00772179" w:rsidRDefault="00000000">
      <w:r>
        <w:lastRenderedPageBreak/>
        <w:t>Contraste : différence de coefficient de réflexion (LRV) entre la main courante et son support de minimum 30%   [NBN ISO 21542] et [BS 8300]</w:t>
      </w:r>
    </w:p>
    <w:p w14:paraId="3D2C177B" w14:textId="77777777" w:rsidR="00772179" w:rsidRDefault="00000000">
      <w:r>
        <w:t> </w:t>
      </w:r>
    </w:p>
    <w:p w14:paraId="5F8D8C85" w14:textId="77777777" w:rsidR="00772179" w:rsidRDefault="00000000">
      <w:pPr>
        <w:pStyle w:val="Author-eSectionHeading4Numberless"/>
      </w:pPr>
      <w:bookmarkStart w:id="1110" w:name="_Toc220490766"/>
      <w:r>
        <w:t>45.11 Escaliers sur mesure CCTB 01.02</w:t>
      </w:r>
      <w:bookmarkEnd w:id="1110"/>
    </w:p>
    <w:p w14:paraId="5454A50E" w14:textId="77777777" w:rsidR="00772179" w:rsidRDefault="00000000">
      <w:pPr>
        <w:pStyle w:val="Author-eSectionHeading5Numberless"/>
      </w:pPr>
      <w:bookmarkStart w:id="1111" w:name="_Toc220490767"/>
      <w:r>
        <w:t>45.11.1 Escaliers sur mesure en maçonnerie (pierres / briques)  CCTB 01.04</w:t>
      </w:r>
      <w:bookmarkEnd w:id="1111"/>
    </w:p>
    <w:p w14:paraId="4E4CE2A7" w14:textId="77777777" w:rsidR="00772179" w:rsidRDefault="00000000">
      <w:pPr>
        <w:pStyle w:val="pheading"/>
      </w:pPr>
      <w:r>
        <w:t>DESCRIPTION</w:t>
      </w:r>
    </w:p>
    <w:p w14:paraId="769FEEF7" w14:textId="77777777" w:rsidR="00772179" w:rsidRDefault="00000000">
      <w:pPr>
        <w:pStyle w:val="pheading"/>
      </w:pPr>
      <w:r>
        <w:t>- Définition / Comprend</w:t>
      </w:r>
    </w:p>
    <w:p w14:paraId="709F72D0" w14:textId="77777777" w:rsidR="00772179" w:rsidRDefault="00000000">
      <w:r>
        <w:t>Renvoi au 21.15.1 Escaliers en maçonnerie</w:t>
      </w:r>
    </w:p>
    <w:p w14:paraId="300483C9" w14:textId="77777777" w:rsidR="00772179" w:rsidRDefault="00000000">
      <w:pPr>
        <w:pStyle w:val="Author-eSectionHeading5Numberless"/>
      </w:pPr>
      <w:bookmarkStart w:id="1112" w:name="_Toc220490768"/>
      <w:r>
        <w:t>45.11.2 Escaliers sur mesure en béton armé CCTB 01.04</w:t>
      </w:r>
      <w:bookmarkEnd w:id="1112"/>
    </w:p>
    <w:p w14:paraId="384070FD" w14:textId="77777777" w:rsidR="00772179" w:rsidRDefault="00000000">
      <w:pPr>
        <w:pStyle w:val="pheading"/>
      </w:pPr>
      <w:r>
        <w:t>DESCRIPTION</w:t>
      </w:r>
    </w:p>
    <w:p w14:paraId="1B3B71E1" w14:textId="77777777" w:rsidR="00772179" w:rsidRDefault="00000000">
      <w:pPr>
        <w:pStyle w:val="pheading"/>
      </w:pPr>
      <w:r>
        <w:t>- Définition / Comprend</w:t>
      </w:r>
    </w:p>
    <w:p w14:paraId="528C81A7" w14:textId="77777777" w:rsidR="00772179" w:rsidRDefault="00000000">
      <w:r>
        <w:t>Renvoi au § 22.31 Escaliers en béton</w:t>
      </w:r>
    </w:p>
    <w:p w14:paraId="7356D75B" w14:textId="77777777" w:rsidR="00772179" w:rsidRDefault="00000000">
      <w:pPr>
        <w:pStyle w:val="Author-eSectionHeading5Numberless"/>
      </w:pPr>
      <w:bookmarkStart w:id="1113" w:name="_Toc220490769"/>
      <w:r>
        <w:t>45.11.3 Escaliers sur mesure métalliques  CCTB 01.04</w:t>
      </w:r>
      <w:bookmarkEnd w:id="1113"/>
    </w:p>
    <w:p w14:paraId="6590A947" w14:textId="77777777" w:rsidR="00772179" w:rsidRDefault="00000000">
      <w:pPr>
        <w:pStyle w:val="pheading"/>
      </w:pPr>
      <w:r>
        <w:t>DESCRIPTION</w:t>
      </w:r>
    </w:p>
    <w:p w14:paraId="79BB064B" w14:textId="77777777" w:rsidR="00772179" w:rsidRDefault="00000000">
      <w:pPr>
        <w:pStyle w:val="pheading"/>
      </w:pPr>
      <w:r>
        <w:t>- Définition / Comprend</w:t>
      </w:r>
    </w:p>
    <w:p w14:paraId="16ED74F8" w14:textId="77777777" w:rsidR="00772179" w:rsidRDefault="00000000">
      <w:r>
        <w:t>Renvoi au § 23.31 Escaliers métalliques</w:t>
      </w:r>
    </w:p>
    <w:p w14:paraId="2EACFC2D" w14:textId="77777777" w:rsidR="00772179" w:rsidRDefault="00000000">
      <w:pPr>
        <w:pStyle w:val="Author-eSectionHeading5Numberless"/>
      </w:pPr>
      <w:bookmarkStart w:id="1114" w:name="_Toc220490770"/>
      <w:r>
        <w:t>45.11.4 Escaliers sur mesure en bois  CCTB 01.04</w:t>
      </w:r>
      <w:bookmarkEnd w:id="1114"/>
    </w:p>
    <w:p w14:paraId="3D531906" w14:textId="77777777" w:rsidR="00772179" w:rsidRDefault="00000000">
      <w:pPr>
        <w:pStyle w:val="pheading"/>
      </w:pPr>
      <w:r>
        <w:t>DESCRIPTION</w:t>
      </w:r>
    </w:p>
    <w:p w14:paraId="37F3CA61" w14:textId="77777777" w:rsidR="00772179" w:rsidRDefault="00000000">
      <w:pPr>
        <w:pStyle w:val="pheading"/>
      </w:pPr>
      <w:r>
        <w:t>- Définition / Comprend</w:t>
      </w:r>
    </w:p>
    <w:p w14:paraId="1EA7C4DB" w14:textId="77777777" w:rsidR="00772179" w:rsidRDefault="00000000">
      <w:r>
        <w:t>Renvoi au § 24.31 Escaliers en bois</w:t>
      </w:r>
    </w:p>
    <w:p w14:paraId="2537C254" w14:textId="77777777" w:rsidR="00772179" w:rsidRDefault="00000000">
      <w:pPr>
        <w:pStyle w:val="Author-eSectionHeading4Numberless"/>
      </w:pPr>
      <w:bookmarkStart w:id="1115" w:name="_Toc220490771"/>
      <w:r>
        <w:t>45.12 Garde-corps / rampes sur mesure CCTB 01.02</w:t>
      </w:r>
      <w:bookmarkEnd w:id="1115"/>
    </w:p>
    <w:p w14:paraId="6726CFE7" w14:textId="77777777" w:rsidR="00772179" w:rsidRDefault="00000000">
      <w:pPr>
        <w:pStyle w:val="Author-eSectionHeading5Numberless"/>
      </w:pPr>
      <w:bookmarkStart w:id="1116" w:name="_Toc220490772"/>
      <w:r>
        <w:t>45.12.1 Garde-corps / rampes sur mesure en maçonnerie (pierres / briques)  CCTB 01.04</w:t>
      </w:r>
      <w:bookmarkEnd w:id="1116"/>
    </w:p>
    <w:p w14:paraId="5702C462" w14:textId="77777777" w:rsidR="00772179" w:rsidRDefault="00000000">
      <w:pPr>
        <w:pStyle w:val="pheading"/>
      </w:pPr>
      <w:r>
        <w:t>DESCRIPTION</w:t>
      </w:r>
    </w:p>
    <w:p w14:paraId="2034B9EC" w14:textId="77777777" w:rsidR="00772179" w:rsidRDefault="00000000">
      <w:pPr>
        <w:pStyle w:val="pheading"/>
      </w:pPr>
      <w:r>
        <w:t>- Définition / Comprend</w:t>
      </w:r>
    </w:p>
    <w:p w14:paraId="21CD4FCE" w14:textId="77777777" w:rsidR="00772179" w:rsidRDefault="00000000">
      <w:r>
        <w:t>Renvoi au § 21.15.2 Garde-corps et rampes en maçonnerie</w:t>
      </w:r>
    </w:p>
    <w:p w14:paraId="5C7B46BC" w14:textId="77777777" w:rsidR="00772179" w:rsidRDefault="00000000">
      <w:pPr>
        <w:pStyle w:val="Author-eSectionHeading5Numberless"/>
      </w:pPr>
      <w:bookmarkStart w:id="1117" w:name="_Toc220490773"/>
      <w:r>
        <w:t>45.12.2 Garde-corps / rampes sur mesure en béton armé  CCTB 01.04</w:t>
      </w:r>
      <w:bookmarkEnd w:id="1117"/>
    </w:p>
    <w:p w14:paraId="00557D48" w14:textId="77777777" w:rsidR="00772179" w:rsidRDefault="00000000">
      <w:pPr>
        <w:pStyle w:val="pheading"/>
      </w:pPr>
      <w:r>
        <w:t>DESCRIPTION</w:t>
      </w:r>
    </w:p>
    <w:p w14:paraId="6AB3E49B" w14:textId="77777777" w:rsidR="00772179" w:rsidRDefault="00000000">
      <w:pPr>
        <w:pStyle w:val="pheading"/>
      </w:pPr>
      <w:r>
        <w:t>- Définition / Comprend</w:t>
      </w:r>
    </w:p>
    <w:p w14:paraId="12560A05" w14:textId="77777777" w:rsidR="00772179" w:rsidRDefault="00000000">
      <w:r>
        <w:t>Renvoi au § 22.32 Garde-corps et rampes en béton</w:t>
      </w:r>
    </w:p>
    <w:p w14:paraId="09CB1F69" w14:textId="77777777" w:rsidR="00772179" w:rsidRDefault="00000000">
      <w:pPr>
        <w:pStyle w:val="Author-eSectionHeading5Numberless"/>
      </w:pPr>
      <w:bookmarkStart w:id="1118" w:name="_Toc220490774"/>
      <w:r>
        <w:t>45.12.3 Garde-corps / rampes sur mesure métalliques  CCTB 01.04</w:t>
      </w:r>
      <w:bookmarkEnd w:id="1118"/>
    </w:p>
    <w:p w14:paraId="5080BE75" w14:textId="77777777" w:rsidR="00772179" w:rsidRDefault="00000000">
      <w:pPr>
        <w:pStyle w:val="pheading"/>
      </w:pPr>
      <w:r>
        <w:t>DESCRIPTION</w:t>
      </w:r>
    </w:p>
    <w:p w14:paraId="76177AFF" w14:textId="77777777" w:rsidR="00772179" w:rsidRDefault="00000000">
      <w:pPr>
        <w:pStyle w:val="pheading"/>
      </w:pPr>
      <w:r>
        <w:t>- Définition / Comprend</w:t>
      </w:r>
    </w:p>
    <w:p w14:paraId="7DD6896F" w14:textId="77777777" w:rsidR="00772179" w:rsidRDefault="00000000">
      <w:r>
        <w:t>Renvoi au § 23.32 Garde-corps et rampes métalliques</w:t>
      </w:r>
    </w:p>
    <w:p w14:paraId="2A6370D2" w14:textId="77777777" w:rsidR="00772179" w:rsidRDefault="00000000">
      <w:pPr>
        <w:pStyle w:val="Author-eSectionHeading5Numberless"/>
      </w:pPr>
      <w:bookmarkStart w:id="1119" w:name="_Toc220490775"/>
      <w:r>
        <w:lastRenderedPageBreak/>
        <w:t>45.12.4 Garde-corps / rampes sur mesure en bois  CCTB 01.10</w:t>
      </w:r>
      <w:bookmarkEnd w:id="1119"/>
    </w:p>
    <w:p w14:paraId="43EBE7C1" w14:textId="77777777" w:rsidR="00772179" w:rsidRDefault="00000000">
      <w:pPr>
        <w:pStyle w:val="pheading"/>
      </w:pPr>
      <w:r>
        <w:t>DESCRIPTION</w:t>
      </w:r>
    </w:p>
    <w:p w14:paraId="4C26AB2F" w14:textId="77777777" w:rsidR="00772179" w:rsidRDefault="00000000">
      <w:pPr>
        <w:pStyle w:val="pheading"/>
      </w:pPr>
      <w:r>
        <w:t>- Définition / Comprend</w:t>
      </w:r>
    </w:p>
    <w:p w14:paraId="0281FC46" w14:textId="77777777" w:rsidR="00772179" w:rsidRDefault="00000000">
      <w:r>
        <w:t>Renvoi au 24.32 Balcons en bois.</w:t>
      </w:r>
    </w:p>
    <w:p w14:paraId="4FB7C6DF" w14:textId="77777777" w:rsidR="00772179" w:rsidRDefault="00000000">
      <w:pPr>
        <w:ind w:left="750"/>
      </w:pPr>
      <w:r>
        <w:t> </w:t>
      </w:r>
    </w:p>
    <w:p w14:paraId="585530C1" w14:textId="77777777" w:rsidR="00772179" w:rsidRDefault="00000000">
      <w:pPr>
        <w:pStyle w:val="Author-eSectionHeading3Numberless"/>
      </w:pPr>
      <w:bookmarkStart w:id="1120" w:name="_Toc220490776"/>
      <w:r>
        <w:t>45.2 Eléments d'escalier et garde-corps CCTB 01.10</w:t>
      </w:r>
      <w:bookmarkEnd w:id="1120"/>
    </w:p>
    <w:p w14:paraId="573C417D" w14:textId="77777777" w:rsidR="00772179" w:rsidRDefault="00000000">
      <w:pPr>
        <w:pStyle w:val="pheading"/>
      </w:pPr>
      <w:r>
        <w:t>DOCUMENTS DE RÉFÉRENCE</w:t>
      </w:r>
    </w:p>
    <w:p w14:paraId="3DA94F66" w14:textId="77777777" w:rsidR="00772179" w:rsidRDefault="00000000">
      <w:pPr>
        <w:pStyle w:val="pheading"/>
      </w:pPr>
      <w:r>
        <w:t>- Matériau</w:t>
      </w:r>
    </w:p>
    <w:p w14:paraId="2357C09E" w14:textId="77777777" w:rsidR="00772179" w:rsidRDefault="00000000">
      <w:r>
        <w:t>[CCT Qualiroutes QR-J-2, QUALIROUTES – J – 2 Exécution des structures en acier Spécifications techniques : applicable pour garde-corps, charpente métallique, …..]</w:t>
      </w:r>
    </w:p>
    <w:p w14:paraId="78852897" w14:textId="77777777" w:rsidR="00772179" w:rsidRDefault="00000000">
      <w:pPr>
        <w:pStyle w:val="pheading"/>
      </w:pPr>
      <w:r>
        <w:t>- Exécution</w:t>
      </w:r>
    </w:p>
    <w:p w14:paraId="277315BA" w14:textId="77777777" w:rsidR="00772179" w:rsidRDefault="00000000">
      <w:r>
        <w:t>[CCT Qualiroutes QR-J-2, QUALIROUTES – J – 2 Exécution des structures en acier Spécifications techniques : applicable pour garde-corps, charpente métallique, …..]</w:t>
      </w:r>
    </w:p>
    <w:p w14:paraId="05155791" w14:textId="77777777" w:rsidR="00772179" w:rsidRDefault="00000000">
      <w:pPr>
        <w:pStyle w:val="Author-eSectionHeading4Numberless"/>
      </w:pPr>
      <w:bookmarkStart w:id="1121" w:name="_Toc220490777"/>
      <w:r>
        <w:t>45.21 Limons CCTB 01.02</w:t>
      </w:r>
      <w:bookmarkEnd w:id="1121"/>
    </w:p>
    <w:p w14:paraId="1ECD04BC" w14:textId="77777777" w:rsidR="00772179" w:rsidRDefault="00000000">
      <w:pPr>
        <w:pStyle w:val="Author-eSectionHeading5Numberless"/>
      </w:pPr>
      <w:bookmarkStart w:id="1122" w:name="_Toc220490778"/>
      <w:r>
        <w:t>45.21.1 Limons en béton armé CCTB 01.02</w:t>
      </w:r>
      <w:bookmarkEnd w:id="1122"/>
    </w:p>
    <w:p w14:paraId="3A3B5679" w14:textId="77777777" w:rsidR="00772179" w:rsidRDefault="00000000">
      <w:pPr>
        <w:pStyle w:val="Author-eSectionHeading6Numberless"/>
      </w:pPr>
      <w:bookmarkStart w:id="1123" w:name="_Toc220490779"/>
      <w:r>
        <w:t>45.21.1a Limons en béton armé coulés sur place CCTB 01.02</w:t>
      </w:r>
      <w:bookmarkEnd w:id="1123"/>
    </w:p>
    <w:p w14:paraId="11711FF3" w14:textId="77777777" w:rsidR="00772179" w:rsidRDefault="00000000">
      <w:pPr>
        <w:pStyle w:val="Author-eSectionHeading6Numberless"/>
      </w:pPr>
      <w:bookmarkStart w:id="1124" w:name="_Toc220490780"/>
      <w:r>
        <w:t>45.21.1b Limons préfabriqué en béton armé  CCTB 01.02</w:t>
      </w:r>
      <w:bookmarkEnd w:id="1124"/>
    </w:p>
    <w:p w14:paraId="3BE36566" w14:textId="77777777" w:rsidR="00772179" w:rsidRDefault="00000000">
      <w:pPr>
        <w:pStyle w:val="Author-eSectionHeading5Numberless"/>
      </w:pPr>
      <w:bookmarkStart w:id="1125" w:name="_Toc220490781"/>
      <w:r>
        <w:t>45.21.2 Limons métalliques CCTB 01.02</w:t>
      </w:r>
      <w:bookmarkEnd w:id="1125"/>
    </w:p>
    <w:p w14:paraId="1DB5D5C5" w14:textId="77777777" w:rsidR="00772179" w:rsidRDefault="00000000">
      <w:pPr>
        <w:pStyle w:val="Author-eSectionHeading6Numberless"/>
      </w:pPr>
      <w:bookmarkStart w:id="1126" w:name="_Toc220490782"/>
      <w:r>
        <w:t>45.21.2a Limons en acier CCTB 01.02</w:t>
      </w:r>
      <w:bookmarkEnd w:id="1126"/>
    </w:p>
    <w:p w14:paraId="63D6A6A1" w14:textId="77777777" w:rsidR="00772179" w:rsidRDefault="00000000">
      <w:pPr>
        <w:pStyle w:val="Author-eSectionHeading6Numberless"/>
      </w:pPr>
      <w:bookmarkStart w:id="1127" w:name="_Toc220490783"/>
      <w:r>
        <w:t>45.21.2b Limons en acier inoxydable CCTB 01.02</w:t>
      </w:r>
      <w:bookmarkEnd w:id="1127"/>
    </w:p>
    <w:p w14:paraId="3CC353F1" w14:textId="77777777" w:rsidR="00772179" w:rsidRDefault="00000000">
      <w:pPr>
        <w:pStyle w:val="Author-eSectionHeading6Numberless"/>
      </w:pPr>
      <w:bookmarkStart w:id="1128" w:name="_Toc220490784"/>
      <w:r>
        <w:t>45.21.2c Limons en aluminium CCTB 01.02</w:t>
      </w:r>
      <w:bookmarkEnd w:id="1128"/>
    </w:p>
    <w:p w14:paraId="2C781C25" w14:textId="77777777" w:rsidR="00772179" w:rsidRDefault="00000000">
      <w:pPr>
        <w:pStyle w:val="Author-eSectionHeading5Numberless"/>
      </w:pPr>
      <w:bookmarkStart w:id="1129" w:name="_Toc220490785"/>
      <w:r>
        <w:t>45.21.3 Limons en bois CCTB 01.02</w:t>
      </w:r>
      <w:bookmarkEnd w:id="1129"/>
    </w:p>
    <w:p w14:paraId="16DC77E2" w14:textId="77777777" w:rsidR="00772179" w:rsidRDefault="00000000">
      <w:pPr>
        <w:pStyle w:val="Author-eSectionHeading6Numberless"/>
      </w:pPr>
      <w:bookmarkStart w:id="1130" w:name="_Toc220490786"/>
      <w:r>
        <w:t>45.21.3a Limons en bois</w:t>
      </w:r>
      <w:bookmarkEnd w:id="1130"/>
    </w:p>
    <w:p w14:paraId="22EFD4AC" w14:textId="77777777" w:rsidR="00772179" w:rsidRDefault="00000000">
      <w:pPr>
        <w:pStyle w:val="Author-eSectionHeading4Numberless"/>
      </w:pPr>
      <w:bookmarkStart w:id="1131" w:name="_Toc220490787"/>
      <w:r>
        <w:t>45.22 Marches / Contremarches CCTB 01.13</w:t>
      </w:r>
      <w:bookmarkEnd w:id="1131"/>
    </w:p>
    <w:p w14:paraId="65BE8D78" w14:textId="77777777" w:rsidR="00772179" w:rsidRDefault="00000000">
      <w:pPr>
        <w:pStyle w:val="pheading"/>
      </w:pPr>
      <w:r>
        <w:t>AIDE</w:t>
      </w:r>
    </w:p>
    <w:p w14:paraId="5A461D44" w14:textId="77777777" w:rsidR="00772179" w:rsidRDefault="00000000">
      <w:r>
        <w:t>NOTE A L’AUTEUR DE PROJET</w:t>
      </w:r>
    </w:p>
    <w:p w14:paraId="4EDDB064" w14:textId="77777777" w:rsidR="00772179" w:rsidRDefault="00000000">
      <w:r>
        <w:rPr>
          <w:b/>
        </w:rPr>
        <w:t>Accessibilité aux personnes à mobilité réduite (PMR)</w:t>
      </w:r>
    </w:p>
    <w:p w14:paraId="29C4BB61" w14:textId="77777777" w:rsidR="00772179" w:rsidRDefault="00000000">
      <w:r>
        <w:rPr>
          <w:i/>
          <w:u w:val="single"/>
        </w:rPr>
        <w:t>Marches et contremarches : </w:t>
      </w:r>
      <w:r>
        <w:t>  </w:t>
      </w:r>
    </w:p>
    <w:p w14:paraId="7B5543EA" w14:textId="77777777" w:rsidR="00772179" w:rsidRDefault="00000000">
      <w:pPr>
        <w:pStyle w:val="Author-eListParagraph"/>
        <w:numPr>
          <w:ilvl w:val="0"/>
          <w:numId w:val="1173"/>
        </w:numPr>
      </w:pPr>
      <w:r>
        <w:t>Nombre de marches par volée : ≤ 15 à 20  [SWL CALA], [NBN ISO 21542] et [BS 8300]</w:t>
      </w:r>
    </w:p>
    <w:p w14:paraId="111B5362" w14:textId="77777777" w:rsidR="00772179" w:rsidRDefault="00000000">
      <w:pPr>
        <w:pStyle w:val="Author-eListParagraph"/>
        <w:numPr>
          <w:ilvl w:val="0"/>
          <w:numId w:val="1173"/>
        </w:numPr>
      </w:pPr>
      <w:r>
        <w:t>Module de pas (M=2H+G) : entre 60 et 64 cm   [SWL CALA]</w:t>
      </w:r>
    </w:p>
    <w:p w14:paraId="605A9551" w14:textId="77777777" w:rsidR="00772179" w:rsidRDefault="00000000">
      <w:pPr>
        <w:pStyle w:val="Author-eListParagraph"/>
        <w:numPr>
          <w:ilvl w:val="0"/>
          <w:numId w:val="1173"/>
        </w:numPr>
      </w:pPr>
      <w:r>
        <w:t>Hauteur des marches (H) : ≤ 18 cm  [SWL CALA]</w:t>
      </w:r>
    </w:p>
    <w:p w14:paraId="0E1F1F8B" w14:textId="77777777" w:rsidR="00772179" w:rsidRDefault="00000000">
      <w:pPr>
        <w:pStyle w:val="Author-eListParagraph"/>
        <w:numPr>
          <w:ilvl w:val="0"/>
          <w:numId w:val="1173"/>
        </w:numPr>
      </w:pPr>
      <w:r>
        <w:t>Giron (G) : ≥ 25 cm  [SWL CALA]</w:t>
      </w:r>
    </w:p>
    <w:p w14:paraId="5B09C62D" w14:textId="77777777" w:rsidR="00772179" w:rsidRDefault="00000000">
      <w:pPr>
        <w:pStyle w:val="Author-eListParagraph"/>
        <w:numPr>
          <w:ilvl w:val="0"/>
          <w:numId w:val="1173"/>
        </w:numPr>
      </w:pPr>
      <w:r>
        <w:t>Type de marches : pleines, antidérapantes   [CoDT] et [SWL CALA]</w:t>
      </w:r>
    </w:p>
    <w:p w14:paraId="21048C68" w14:textId="77777777" w:rsidR="00772179" w:rsidRDefault="00000000">
      <w:pPr>
        <w:pStyle w:val="Author-eListParagraph"/>
        <w:numPr>
          <w:ilvl w:val="0"/>
          <w:numId w:val="1173"/>
        </w:numPr>
      </w:pPr>
      <w:r>
        <w:t>Type de contremarches : pleines, profil oblique   [SWL CALA], [NBN ISO 21542] et [BS 8300] </w:t>
      </w:r>
    </w:p>
    <w:p w14:paraId="468B4660" w14:textId="77777777" w:rsidR="00772179" w:rsidRDefault="00000000">
      <w:r>
        <w:rPr>
          <w:i/>
          <w:u w:val="single"/>
        </w:rPr>
        <w:t xml:space="preserve">Nez de marche : </w:t>
      </w:r>
    </w:p>
    <w:p w14:paraId="6817AD7C" w14:textId="77777777" w:rsidR="00772179" w:rsidRDefault="00000000">
      <w:pPr>
        <w:pStyle w:val="Author-eListParagraph"/>
        <w:numPr>
          <w:ilvl w:val="0"/>
          <w:numId w:val="1174"/>
        </w:numPr>
      </w:pPr>
      <w:r>
        <w:t>Forme : non saillants  [SWL CALA], [NBN ISO 21542] et [BS 8300]</w:t>
      </w:r>
    </w:p>
    <w:p w14:paraId="6F675B5D" w14:textId="77777777" w:rsidR="00772179" w:rsidRDefault="00000000">
      <w:pPr>
        <w:pStyle w:val="Author-eListParagraph"/>
        <w:numPr>
          <w:ilvl w:val="0"/>
          <w:numId w:val="1174"/>
        </w:numPr>
      </w:pPr>
      <w:r>
        <w:t>Projection : ≤ 2.5 cm  [NBN ISO 21542] et [BS 8300]</w:t>
      </w:r>
    </w:p>
    <w:p w14:paraId="6B28FF82" w14:textId="77777777" w:rsidR="00772179" w:rsidRDefault="00000000">
      <w:pPr>
        <w:pStyle w:val="Author-eListParagraph"/>
        <w:numPr>
          <w:ilvl w:val="0"/>
          <w:numId w:val="1174"/>
        </w:numPr>
      </w:pPr>
      <w:r>
        <w:t>Indicateurs visuels sur les nez de marches : [NBN ISO 21542] et [BS 8300]</w:t>
      </w:r>
    </w:p>
    <w:p w14:paraId="1EDF20D4" w14:textId="77777777" w:rsidR="00772179" w:rsidRDefault="00000000">
      <w:pPr>
        <w:pStyle w:val="Author-eListParagraph"/>
        <w:numPr>
          <w:ilvl w:val="1"/>
          <w:numId w:val="1175"/>
        </w:numPr>
      </w:pPr>
      <w:r>
        <w:lastRenderedPageBreak/>
        <w:t>Localisation : de préférence, sur chaque marche ; sinon, sur la première et la dernière marche de chaque volée</w:t>
      </w:r>
    </w:p>
    <w:p w14:paraId="70FB2F91" w14:textId="77777777" w:rsidR="00772179" w:rsidRDefault="00000000">
      <w:pPr>
        <w:pStyle w:val="Author-eListParagraph"/>
        <w:numPr>
          <w:ilvl w:val="1"/>
          <w:numId w:val="1175"/>
        </w:numPr>
      </w:pPr>
      <w:r>
        <w:t>Largeur : continus sur toute la largeur des marches</w:t>
      </w:r>
    </w:p>
    <w:p w14:paraId="6F5CC39C" w14:textId="77777777" w:rsidR="00772179" w:rsidRDefault="00000000">
      <w:pPr>
        <w:pStyle w:val="Author-eListParagraph"/>
        <w:numPr>
          <w:ilvl w:val="1"/>
          <w:numId w:val="1175"/>
        </w:numPr>
      </w:pPr>
      <w:r>
        <w:t>Revêtement : antidérapants</w:t>
      </w:r>
    </w:p>
    <w:p w14:paraId="54C93447" w14:textId="77777777" w:rsidR="00772179" w:rsidRDefault="00000000">
      <w:pPr>
        <w:pStyle w:val="Author-eListParagraph"/>
        <w:numPr>
          <w:ilvl w:val="1"/>
          <w:numId w:val="1175"/>
        </w:numPr>
      </w:pPr>
      <w:r>
        <w:t>Profondeur : ≥ 4 cm minimum sur la marche, peut redescendre sur la contremarche</w:t>
      </w:r>
    </w:p>
    <w:p w14:paraId="45E76454" w14:textId="77777777" w:rsidR="00772179" w:rsidRDefault="00000000">
      <w:pPr>
        <w:pStyle w:val="Author-eListParagraph"/>
        <w:numPr>
          <w:ilvl w:val="1"/>
          <w:numId w:val="1175"/>
        </w:numPr>
      </w:pPr>
      <w:r>
        <w:t>Contraste : différence de coefficient de réflexion (LRV) entre les indicateurs et les marches de ≥ 60%</w:t>
      </w:r>
    </w:p>
    <w:p w14:paraId="5900D0DE" w14:textId="77777777" w:rsidR="00772179" w:rsidRDefault="00000000">
      <w:pPr>
        <w:pStyle w:val="Author-eSectionHeading5Numberless"/>
      </w:pPr>
      <w:bookmarkStart w:id="1132" w:name="_Toc220490788"/>
      <w:r>
        <w:t>45.22.1 Marches / Contremarches en pierre CCTB 01.02</w:t>
      </w:r>
      <w:bookmarkEnd w:id="1132"/>
    </w:p>
    <w:p w14:paraId="0F59B323" w14:textId="77777777" w:rsidR="00772179" w:rsidRDefault="00000000">
      <w:pPr>
        <w:pStyle w:val="Author-eSectionHeading6Numberless"/>
      </w:pPr>
      <w:bookmarkStart w:id="1133" w:name="_Toc220490789"/>
      <w:r>
        <w:t>45.22.1a Marches / Contremarches en pierre</w:t>
      </w:r>
      <w:bookmarkEnd w:id="1133"/>
    </w:p>
    <w:p w14:paraId="7F39FB0F" w14:textId="77777777" w:rsidR="00772179" w:rsidRDefault="00000000">
      <w:pPr>
        <w:pStyle w:val="Author-eSectionHeading5Numberless"/>
      </w:pPr>
      <w:bookmarkStart w:id="1134" w:name="_Toc220490790"/>
      <w:r>
        <w:t>45.22.2 Marches / Contremarches en béton armé CCTB 01.02</w:t>
      </w:r>
      <w:bookmarkEnd w:id="1134"/>
    </w:p>
    <w:p w14:paraId="6E617B3D" w14:textId="77777777" w:rsidR="00772179" w:rsidRDefault="00000000">
      <w:pPr>
        <w:pStyle w:val="Author-eSectionHeading6Numberless"/>
      </w:pPr>
      <w:bookmarkStart w:id="1135" w:name="_Toc220490791"/>
      <w:r>
        <w:t>45.22.2a Marches / Contremarches en béton armé coulés sur place CCTB 01.02</w:t>
      </w:r>
      <w:bookmarkEnd w:id="1135"/>
    </w:p>
    <w:p w14:paraId="2CC1B8B1" w14:textId="77777777" w:rsidR="00772179" w:rsidRDefault="00000000">
      <w:pPr>
        <w:pStyle w:val="Author-eSectionHeading6Numberless"/>
      </w:pPr>
      <w:bookmarkStart w:id="1136" w:name="_Toc220490792"/>
      <w:r>
        <w:t>45.22.2b Marches / Contremarches préfabriqué en béton armé  CCTB 01.02</w:t>
      </w:r>
      <w:bookmarkEnd w:id="1136"/>
    </w:p>
    <w:p w14:paraId="1ED71693" w14:textId="77777777" w:rsidR="00772179" w:rsidRDefault="00000000">
      <w:pPr>
        <w:pStyle w:val="Author-eSectionHeading5Numberless"/>
      </w:pPr>
      <w:bookmarkStart w:id="1137" w:name="_Toc220490793"/>
      <w:r>
        <w:t>45.22.3 Marches / Contremarches en bois CCTB 01.02</w:t>
      </w:r>
      <w:bookmarkEnd w:id="1137"/>
    </w:p>
    <w:p w14:paraId="3C89C8B0" w14:textId="77777777" w:rsidR="00772179" w:rsidRDefault="00000000">
      <w:pPr>
        <w:pStyle w:val="Author-eSectionHeading6Numberless"/>
      </w:pPr>
      <w:bookmarkStart w:id="1138" w:name="_Toc220490794"/>
      <w:r>
        <w:t>45.22.3a Marches / Contremarches en bois CCTB 01.10</w:t>
      </w:r>
      <w:bookmarkEnd w:id="1138"/>
    </w:p>
    <w:p w14:paraId="0CE4E620" w14:textId="77777777" w:rsidR="00772179" w:rsidRDefault="00000000">
      <w:pPr>
        <w:pStyle w:val="pheading"/>
      </w:pPr>
      <w:r>
        <w:t>MESURAGE</w:t>
      </w:r>
    </w:p>
    <w:p w14:paraId="445D1977" w14:textId="77777777" w:rsidR="00772179" w:rsidRDefault="00000000">
      <w:pPr>
        <w:pStyle w:val="pheading"/>
      </w:pPr>
      <w:r>
        <w:t>- unité de mesure:</w:t>
      </w:r>
    </w:p>
    <w:p w14:paraId="42A6BAC7" w14:textId="77777777" w:rsidR="00772179" w:rsidRDefault="00000000">
      <w:r>
        <w:t>pc</w:t>
      </w:r>
    </w:p>
    <w:p w14:paraId="11584840" w14:textId="77777777" w:rsidR="00772179" w:rsidRDefault="00000000">
      <w:pPr>
        <w:pStyle w:val="pheading"/>
      </w:pPr>
      <w:r>
        <w:t>- nature du marché:</w:t>
      </w:r>
    </w:p>
    <w:p w14:paraId="02D87E92" w14:textId="77777777" w:rsidR="00772179" w:rsidRDefault="00000000">
      <w:r>
        <w:t>QF</w:t>
      </w:r>
    </w:p>
    <w:p w14:paraId="467C46CF" w14:textId="77777777" w:rsidR="00772179" w:rsidRDefault="00000000">
      <w:pPr>
        <w:pStyle w:val="Author-eSectionHeading5Numberless"/>
      </w:pPr>
      <w:bookmarkStart w:id="1139" w:name="_Toc220490795"/>
      <w:r>
        <w:t>45.22.4 Marches / Contremarches métallique CCTB 01.02</w:t>
      </w:r>
      <w:bookmarkEnd w:id="1139"/>
    </w:p>
    <w:p w14:paraId="28B54DA4" w14:textId="77777777" w:rsidR="00772179" w:rsidRDefault="00000000">
      <w:pPr>
        <w:pStyle w:val="Author-eSectionHeading6Numberless"/>
      </w:pPr>
      <w:bookmarkStart w:id="1140" w:name="_Toc220490796"/>
      <w:r>
        <w:t>45.22.4a Marches / Contremarches en acier CCTB 01.02</w:t>
      </w:r>
      <w:bookmarkEnd w:id="1140"/>
    </w:p>
    <w:p w14:paraId="4E706046" w14:textId="77777777" w:rsidR="00772179" w:rsidRDefault="00000000">
      <w:pPr>
        <w:pStyle w:val="pheading"/>
      </w:pPr>
      <w:r>
        <w:t>MESURAGE</w:t>
      </w:r>
    </w:p>
    <w:p w14:paraId="482A3326" w14:textId="77777777" w:rsidR="00772179" w:rsidRDefault="00000000">
      <w:pPr>
        <w:pStyle w:val="pheading"/>
      </w:pPr>
      <w:r>
        <w:t>- unité de mesure:</w:t>
      </w:r>
    </w:p>
    <w:p w14:paraId="15F90ADB" w14:textId="77777777" w:rsidR="00772179" w:rsidRDefault="00000000">
      <w:r>
        <w:t>p</w:t>
      </w:r>
    </w:p>
    <w:p w14:paraId="0E222311" w14:textId="77777777" w:rsidR="00772179" w:rsidRDefault="00000000">
      <w:pPr>
        <w:pStyle w:val="pheading"/>
      </w:pPr>
      <w:r>
        <w:t>- nature du marché:</w:t>
      </w:r>
    </w:p>
    <w:p w14:paraId="4EA7FCCC" w14:textId="77777777" w:rsidR="00772179" w:rsidRDefault="00000000">
      <w:r>
        <w:t>QF</w:t>
      </w:r>
    </w:p>
    <w:p w14:paraId="1D99EBBD" w14:textId="77777777" w:rsidR="00772179" w:rsidRDefault="00000000">
      <w:pPr>
        <w:pStyle w:val="Author-eSectionHeading6Numberless"/>
      </w:pPr>
      <w:bookmarkStart w:id="1141" w:name="_Toc220490797"/>
      <w:r>
        <w:t>45.22.4b Marches / Contremarches en acier inoxydable CCTB 01.02</w:t>
      </w:r>
      <w:bookmarkEnd w:id="1141"/>
    </w:p>
    <w:p w14:paraId="34F56C08" w14:textId="77777777" w:rsidR="00772179" w:rsidRDefault="00000000">
      <w:pPr>
        <w:pStyle w:val="Author-eSectionHeading6Numberless"/>
      </w:pPr>
      <w:bookmarkStart w:id="1142" w:name="_Toc220490798"/>
      <w:r>
        <w:t>45.22.4c Marches / Contremarches en aluminium CCTB 01.02</w:t>
      </w:r>
      <w:bookmarkEnd w:id="1142"/>
    </w:p>
    <w:p w14:paraId="463E357D" w14:textId="77777777" w:rsidR="00772179" w:rsidRDefault="00000000">
      <w:pPr>
        <w:pStyle w:val="Author-eSectionHeading5Numberless"/>
      </w:pPr>
      <w:bookmarkStart w:id="1143" w:name="_Toc220490799"/>
      <w:r>
        <w:t>45.22.5 Marches / Contremarches en matériaux synthétiques CCTB 01.02</w:t>
      </w:r>
      <w:bookmarkEnd w:id="1143"/>
    </w:p>
    <w:p w14:paraId="5B96DA4B" w14:textId="77777777" w:rsidR="00772179" w:rsidRDefault="00000000">
      <w:pPr>
        <w:pStyle w:val="Author-eSectionHeading6Numberless"/>
      </w:pPr>
      <w:bookmarkStart w:id="1144" w:name="_Toc220490800"/>
      <w:r>
        <w:t>45.22.5a Marches / Contremarches en matériaux synthétiques</w:t>
      </w:r>
      <w:bookmarkEnd w:id="1144"/>
    </w:p>
    <w:p w14:paraId="45415FF0" w14:textId="77777777" w:rsidR="00772179" w:rsidRDefault="00000000">
      <w:pPr>
        <w:pStyle w:val="Author-eSectionHeading5Numberless"/>
      </w:pPr>
      <w:bookmarkStart w:id="1145" w:name="_Toc220490801"/>
      <w:r>
        <w:t>45.22.6 Marches / Contremarches en verre CCTB 01.02</w:t>
      </w:r>
      <w:bookmarkEnd w:id="1145"/>
    </w:p>
    <w:p w14:paraId="780A5B37" w14:textId="77777777" w:rsidR="00772179" w:rsidRDefault="00000000">
      <w:pPr>
        <w:pStyle w:val="Author-eSectionHeading6Numberless"/>
      </w:pPr>
      <w:bookmarkStart w:id="1146" w:name="_Toc220490802"/>
      <w:r>
        <w:t>45.22.6a Marches / Contremarches en verre</w:t>
      </w:r>
      <w:bookmarkEnd w:id="1146"/>
    </w:p>
    <w:p w14:paraId="405A55CD" w14:textId="77777777" w:rsidR="00772179" w:rsidRDefault="00000000">
      <w:pPr>
        <w:pStyle w:val="Author-eSectionHeading4Numberless"/>
      </w:pPr>
      <w:bookmarkStart w:id="1147" w:name="_Toc220490803"/>
      <w:r>
        <w:t>45.23 Paliers CCTB 01.12</w:t>
      </w:r>
      <w:bookmarkEnd w:id="1147"/>
    </w:p>
    <w:p w14:paraId="649A6706" w14:textId="77777777" w:rsidR="00772179" w:rsidRDefault="00000000">
      <w:pPr>
        <w:pStyle w:val="pheading"/>
      </w:pPr>
      <w:r>
        <w:t>AIDE</w:t>
      </w:r>
    </w:p>
    <w:p w14:paraId="126F2AF2" w14:textId="77777777" w:rsidR="00772179" w:rsidRDefault="00000000">
      <w:r>
        <w:t>NOTE A L'AUTEUR DE PROJET  </w:t>
      </w:r>
    </w:p>
    <w:p w14:paraId="4DCF509E" w14:textId="77777777" w:rsidR="00772179" w:rsidRDefault="00000000">
      <w:r>
        <w:rPr>
          <w:b/>
        </w:rPr>
        <w:t>Accessibilité aux personnes à mobilité réduite (PMR)</w:t>
      </w:r>
      <w:r>
        <w:t>       </w:t>
      </w:r>
    </w:p>
    <w:p w14:paraId="25549AE9" w14:textId="77777777" w:rsidR="00772179" w:rsidRDefault="00000000">
      <w:r>
        <w:rPr>
          <w:i/>
          <w:u w:val="single"/>
        </w:rPr>
        <w:lastRenderedPageBreak/>
        <w:t>Général :</w:t>
      </w:r>
      <w:r>
        <w:t> [CoDT] (Article 415) et [NBN ISO 21542] </w:t>
      </w:r>
    </w:p>
    <w:p w14:paraId="39C7AA7F" w14:textId="77777777" w:rsidR="00772179" w:rsidRDefault="00000000">
      <w:r>
        <w:t>Contraste : différence de coefficient de réflexion (LRV) entre les paliers et les marches de ≥ 60 % </w:t>
      </w:r>
    </w:p>
    <w:p w14:paraId="3BE49969" w14:textId="77777777" w:rsidR="00772179" w:rsidRDefault="00000000">
      <w:r>
        <w:rPr>
          <w:i/>
          <w:u w:val="single"/>
        </w:rPr>
        <w:t xml:space="preserve"> Dalles d’éveil à la vigilance (ou dalles podotactiles) : </w:t>
      </w:r>
      <w:r>
        <w:rPr>
          <w:u w:val="single"/>
        </w:rPr>
        <w:t>[CoDT]</w:t>
      </w:r>
      <w:r>
        <w:t>(Article 415), [SWL CALA], [NBN ISO 21542] et [NEN 1814]</w:t>
      </w:r>
    </w:p>
    <w:p w14:paraId="4BDE31BA" w14:textId="77777777" w:rsidR="00772179" w:rsidRDefault="00000000">
      <w:r>
        <w:t>Position : sur les paliers, au-dessus et en-dessous de chaque volée, à 50 cm du nez de la première et de la dernière marche</w:t>
      </w:r>
      <w:r>
        <w:br/>
        <w:t>Largeur : sur toute la largeur de l’escalier</w:t>
      </w:r>
      <w:r>
        <w:br/>
        <w:t>Profondeur : ≥ 60 cm </w:t>
      </w:r>
    </w:p>
    <w:p w14:paraId="26268B95" w14:textId="77777777" w:rsidR="00772179" w:rsidRDefault="00000000">
      <w:pPr>
        <w:pStyle w:val="Author-eSectionHeading5Numberless"/>
      </w:pPr>
      <w:bookmarkStart w:id="1148" w:name="_Toc220490804"/>
      <w:r>
        <w:t>45.23.1 Paliers en pierre CCTB 01.02</w:t>
      </w:r>
      <w:bookmarkEnd w:id="1148"/>
    </w:p>
    <w:p w14:paraId="2FC592E5" w14:textId="77777777" w:rsidR="00772179" w:rsidRDefault="00000000">
      <w:pPr>
        <w:pStyle w:val="Author-eSectionHeading6Numberless"/>
      </w:pPr>
      <w:bookmarkStart w:id="1149" w:name="_Toc220490805"/>
      <w:r>
        <w:t>45.23.1a Paliers en pierre</w:t>
      </w:r>
      <w:bookmarkEnd w:id="1149"/>
    </w:p>
    <w:p w14:paraId="49A124C5" w14:textId="77777777" w:rsidR="00772179" w:rsidRDefault="00000000">
      <w:pPr>
        <w:pStyle w:val="Author-eSectionHeading5Numberless"/>
      </w:pPr>
      <w:bookmarkStart w:id="1150" w:name="_Toc220490806"/>
      <w:r>
        <w:t>45.23.2 Paliers en béton armé CCTB 01.02</w:t>
      </w:r>
      <w:bookmarkEnd w:id="1150"/>
    </w:p>
    <w:p w14:paraId="460C81A4" w14:textId="77777777" w:rsidR="00772179" w:rsidRDefault="00000000">
      <w:pPr>
        <w:pStyle w:val="Author-eSectionHeading6Numberless"/>
      </w:pPr>
      <w:bookmarkStart w:id="1151" w:name="_Toc220490807"/>
      <w:r>
        <w:t>45.23.2a Paliers en béton armé coulés sur place CCTB 01.02</w:t>
      </w:r>
      <w:bookmarkEnd w:id="1151"/>
    </w:p>
    <w:p w14:paraId="68D655E1" w14:textId="77777777" w:rsidR="00772179" w:rsidRDefault="00000000">
      <w:pPr>
        <w:pStyle w:val="Author-eSectionHeading6Numberless"/>
      </w:pPr>
      <w:bookmarkStart w:id="1152" w:name="_Toc220490808"/>
      <w:r>
        <w:t>45.23.2b Paliers préfabriqués en béton armé  CCTB 01.02</w:t>
      </w:r>
      <w:bookmarkEnd w:id="1152"/>
    </w:p>
    <w:p w14:paraId="01A988C3" w14:textId="77777777" w:rsidR="00772179" w:rsidRDefault="00000000">
      <w:pPr>
        <w:pStyle w:val="Author-eSectionHeading5Numberless"/>
      </w:pPr>
      <w:bookmarkStart w:id="1153" w:name="_Toc220490809"/>
      <w:r>
        <w:t>45.23.3 Paliers en bois CCTB 01.02</w:t>
      </w:r>
      <w:bookmarkEnd w:id="1153"/>
    </w:p>
    <w:p w14:paraId="5FF04328" w14:textId="77777777" w:rsidR="00772179" w:rsidRDefault="00000000">
      <w:pPr>
        <w:pStyle w:val="Author-eSectionHeading6Numberless"/>
      </w:pPr>
      <w:bookmarkStart w:id="1154" w:name="_Toc220490810"/>
      <w:r>
        <w:t>45.23.3a Paliers en bois</w:t>
      </w:r>
      <w:bookmarkEnd w:id="1154"/>
    </w:p>
    <w:p w14:paraId="1F4D36B7" w14:textId="77777777" w:rsidR="00772179" w:rsidRDefault="00000000">
      <w:pPr>
        <w:pStyle w:val="Author-eSectionHeading5Numberless"/>
      </w:pPr>
      <w:bookmarkStart w:id="1155" w:name="_Toc220490811"/>
      <w:r>
        <w:t>45.23.4 Paliers métalliques CCTB 01.02</w:t>
      </w:r>
      <w:bookmarkEnd w:id="1155"/>
    </w:p>
    <w:p w14:paraId="7038DFF9" w14:textId="77777777" w:rsidR="00772179" w:rsidRDefault="00000000">
      <w:pPr>
        <w:pStyle w:val="Author-eSectionHeading6Numberless"/>
      </w:pPr>
      <w:bookmarkStart w:id="1156" w:name="_Toc220490812"/>
      <w:r>
        <w:t>45.23.4a Paliers en acier CCTB 01.02</w:t>
      </w:r>
      <w:bookmarkEnd w:id="1156"/>
    </w:p>
    <w:p w14:paraId="50F536F6" w14:textId="77777777" w:rsidR="00772179" w:rsidRDefault="00000000">
      <w:pPr>
        <w:pStyle w:val="Author-eSectionHeading6Numberless"/>
      </w:pPr>
      <w:bookmarkStart w:id="1157" w:name="_Toc220490813"/>
      <w:r>
        <w:t>45.23.4b Paliers en acier inoxydable CCTB 01.02</w:t>
      </w:r>
      <w:bookmarkEnd w:id="1157"/>
    </w:p>
    <w:p w14:paraId="6A4A5D99" w14:textId="77777777" w:rsidR="00772179" w:rsidRDefault="00000000">
      <w:pPr>
        <w:pStyle w:val="Author-eSectionHeading6Numberless"/>
      </w:pPr>
      <w:bookmarkStart w:id="1158" w:name="_Toc220490814"/>
      <w:r>
        <w:t>45.23.4c Paliers en aluminium CCTB 01.02</w:t>
      </w:r>
      <w:bookmarkEnd w:id="1158"/>
    </w:p>
    <w:p w14:paraId="41F59571" w14:textId="77777777" w:rsidR="00772179" w:rsidRDefault="00000000">
      <w:pPr>
        <w:pStyle w:val="Author-eSectionHeading5Numberless"/>
      </w:pPr>
      <w:bookmarkStart w:id="1159" w:name="_Toc220490815"/>
      <w:r>
        <w:t>45.23.5 Paliers en matériaux synthétiques CCTB 01.02</w:t>
      </w:r>
      <w:bookmarkEnd w:id="1159"/>
    </w:p>
    <w:p w14:paraId="0572E83F" w14:textId="77777777" w:rsidR="00772179" w:rsidRDefault="00000000">
      <w:pPr>
        <w:pStyle w:val="Author-eSectionHeading6Numberless"/>
      </w:pPr>
      <w:bookmarkStart w:id="1160" w:name="_Toc220490816"/>
      <w:r>
        <w:t>45.23.5a Paliers en matériaux synthétiques</w:t>
      </w:r>
      <w:bookmarkEnd w:id="1160"/>
    </w:p>
    <w:p w14:paraId="24446459" w14:textId="77777777" w:rsidR="00772179" w:rsidRDefault="00000000">
      <w:pPr>
        <w:pStyle w:val="Author-eSectionHeading5Numberless"/>
      </w:pPr>
      <w:bookmarkStart w:id="1161" w:name="_Toc220490817"/>
      <w:r>
        <w:t>45.23.6 Paliers en verre CCTB 01.02</w:t>
      </w:r>
      <w:bookmarkEnd w:id="1161"/>
    </w:p>
    <w:p w14:paraId="6ECA6B4B" w14:textId="77777777" w:rsidR="00772179" w:rsidRDefault="00000000">
      <w:pPr>
        <w:pStyle w:val="Author-eSectionHeading6Numberless"/>
      </w:pPr>
      <w:bookmarkStart w:id="1162" w:name="_Toc220490818"/>
      <w:r>
        <w:t>45.23.6a Paliers en verre</w:t>
      </w:r>
      <w:bookmarkEnd w:id="1162"/>
    </w:p>
    <w:p w14:paraId="66830897" w14:textId="77777777" w:rsidR="00772179" w:rsidRDefault="00000000">
      <w:pPr>
        <w:pStyle w:val="Author-eSectionHeading4Numberless"/>
      </w:pPr>
      <w:bookmarkStart w:id="1163" w:name="_Toc220490819"/>
      <w:r>
        <w:t>45.24 Balustres et poteaux CCTB 01.02</w:t>
      </w:r>
      <w:bookmarkEnd w:id="1163"/>
    </w:p>
    <w:p w14:paraId="4BED7BDF" w14:textId="77777777" w:rsidR="00772179" w:rsidRDefault="00000000">
      <w:pPr>
        <w:pStyle w:val="Author-eSectionHeading5Numberless"/>
      </w:pPr>
      <w:bookmarkStart w:id="1164" w:name="_Toc220490820"/>
      <w:r>
        <w:t>45.24.1 Balustres et poteaux en pierre CCTB 01.02</w:t>
      </w:r>
      <w:bookmarkEnd w:id="1164"/>
    </w:p>
    <w:p w14:paraId="70B5ECE1" w14:textId="77777777" w:rsidR="00772179" w:rsidRDefault="00000000">
      <w:pPr>
        <w:pStyle w:val="Author-eSectionHeading6Numberless"/>
      </w:pPr>
      <w:bookmarkStart w:id="1165" w:name="_Toc220490821"/>
      <w:r>
        <w:t>45.24.1a Balustres et poteaux en pierre</w:t>
      </w:r>
      <w:bookmarkEnd w:id="1165"/>
    </w:p>
    <w:p w14:paraId="0E4D6FE6" w14:textId="77777777" w:rsidR="00772179" w:rsidRDefault="00000000">
      <w:pPr>
        <w:pStyle w:val="Author-eSectionHeading5Numberless"/>
      </w:pPr>
      <w:bookmarkStart w:id="1166" w:name="_Toc220490822"/>
      <w:r>
        <w:t>45.24.2 Balustres et poteaux en béton armé CCTB 01.02</w:t>
      </w:r>
      <w:bookmarkEnd w:id="1166"/>
    </w:p>
    <w:p w14:paraId="4BCA7D48" w14:textId="77777777" w:rsidR="00772179" w:rsidRDefault="00000000">
      <w:pPr>
        <w:pStyle w:val="Author-eSectionHeading6Numberless"/>
      </w:pPr>
      <w:bookmarkStart w:id="1167" w:name="_Toc220490823"/>
      <w:r>
        <w:t>45.24.2a Balustres et poteaux en béton armé</w:t>
      </w:r>
      <w:bookmarkEnd w:id="1167"/>
    </w:p>
    <w:p w14:paraId="32350BDF" w14:textId="77777777" w:rsidR="00772179" w:rsidRDefault="00000000">
      <w:pPr>
        <w:pStyle w:val="Author-eSectionHeading5Numberless"/>
      </w:pPr>
      <w:bookmarkStart w:id="1168" w:name="_Toc220490824"/>
      <w:r>
        <w:t>45.24.3 Balustres et poteaux en bois CCTB 01.02</w:t>
      </w:r>
      <w:bookmarkEnd w:id="1168"/>
    </w:p>
    <w:p w14:paraId="38154640" w14:textId="77777777" w:rsidR="00772179" w:rsidRDefault="00000000">
      <w:pPr>
        <w:pStyle w:val="Author-eSectionHeading6Numberless"/>
      </w:pPr>
      <w:bookmarkStart w:id="1169" w:name="_Toc220490825"/>
      <w:r>
        <w:t>45.24.3a Balustres et poteaux en bois CCTB 01.02</w:t>
      </w:r>
      <w:bookmarkEnd w:id="1169"/>
    </w:p>
    <w:p w14:paraId="2334CFBB" w14:textId="77777777" w:rsidR="00772179" w:rsidRDefault="00000000">
      <w:pPr>
        <w:pStyle w:val="pheading"/>
      </w:pPr>
      <w:r>
        <w:t>MESURAGE</w:t>
      </w:r>
    </w:p>
    <w:p w14:paraId="3C12018A" w14:textId="77777777" w:rsidR="00772179" w:rsidRDefault="00000000">
      <w:pPr>
        <w:pStyle w:val="pheading"/>
      </w:pPr>
      <w:r>
        <w:t>- unité de mesure:</w:t>
      </w:r>
    </w:p>
    <w:p w14:paraId="19D1E559" w14:textId="77777777" w:rsidR="00772179" w:rsidRDefault="00000000">
      <w:r>
        <w:t>m</w:t>
      </w:r>
    </w:p>
    <w:p w14:paraId="2458557C" w14:textId="77777777" w:rsidR="00772179" w:rsidRDefault="00000000">
      <w:pPr>
        <w:pStyle w:val="pheading"/>
      </w:pPr>
      <w:r>
        <w:t>- nature du marché:</w:t>
      </w:r>
    </w:p>
    <w:p w14:paraId="6BD43AD4" w14:textId="77777777" w:rsidR="00772179" w:rsidRDefault="00000000">
      <w:r>
        <w:t>QF</w:t>
      </w:r>
    </w:p>
    <w:p w14:paraId="47E1CD7A" w14:textId="77777777" w:rsidR="00772179" w:rsidRDefault="00000000">
      <w:pPr>
        <w:pStyle w:val="Author-eSectionHeading5Numberless"/>
      </w:pPr>
      <w:bookmarkStart w:id="1170" w:name="_Toc220490826"/>
      <w:r>
        <w:t>45.24.4 Balustres et poteaux métalliques CCTB 01.02</w:t>
      </w:r>
      <w:bookmarkEnd w:id="1170"/>
    </w:p>
    <w:p w14:paraId="3C94A1E7" w14:textId="77777777" w:rsidR="00772179" w:rsidRDefault="00000000">
      <w:pPr>
        <w:pStyle w:val="Author-eSectionHeading6Numberless"/>
      </w:pPr>
      <w:bookmarkStart w:id="1171" w:name="_Toc220490827"/>
      <w:r>
        <w:lastRenderedPageBreak/>
        <w:t>45.24.4a Balustres et poteaux en acier CCTB 01.02</w:t>
      </w:r>
      <w:bookmarkEnd w:id="1171"/>
    </w:p>
    <w:p w14:paraId="2D13F9EE" w14:textId="77777777" w:rsidR="00772179" w:rsidRDefault="00000000">
      <w:pPr>
        <w:pStyle w:val="pheading"/>
      </w:pPr>
      <w:r>
        <w:t>MESURAGE</w:t>
      </w:r>
    </w:p>
    <w:p w14:paraId="7267DF39" w14:textId="77777777" w:rsidR="00772179" w:rsidRDefault="00000000">
      <w:pPr>
        <w:pStyle w:val="pheading"/>
      </w:pPr>
      <w:r>
        <w:t>- unité de mesure:</w:t>
      </w:r>
    </w:p>
    <w:p w14:paraId="15EB7DA7" w14:textId="77777777" w:rsidR="00772179" w:rsidRDefault="00000000">
      <w:r>
        <w:t>m</w:t>
      </w:r>
    </w:p>
    <w:p w14:paraId="06403189" w14:textId="77777777" w:rsidR="00772179" w:rsidRDefault="00000000">
      <w:pPr>
        <w:pStyle w:val="pheading"/>
      </w:pPr>
      <w:r>
        <w:t>- nature du marché:</w:t>
      </w:r>
    </w:p>
    <w:p w14:paraId="67B8FB48" w14:textId="77777777" w:rsidR="00772179" w:rsidRDefault="00000000">
      <w:r>
        <w:t>QF</w:t>
      </w:r>
    </w:p>
    <w:p w14:paraId="3E8CE0EF" w14:textId="77777777" w:rsidR="00772179" w:rsidRDefault="00000000">
      <w:pPr>
        <w:pStyle w:val="Author-eSectionHeading6Numberless"/>
      </w:pPr>
      <w:bookmarkStart w:id="1172" w:name="_Toc220490828"/>
      <w:r>
        <w:t>45.24.4b Balustres et poteaux en acier inoxydable CCTB 01.02</w:t>
      </w:r>
      <w:bookmarkEnd w:id="1172"/>
    </w:p>
    <w:p w14:paraId="3D9DFA41" w14:textId="77777777" w:rsidR="00772179" w:rsidRDefault="00000000">
      <w:pPr>
        <w:pStyle w:val="pheading"/>
      </w:pPr>
      <w:r>
        <w:t>MESURAGE</w:t>
      </w:r>
    </w:p>
    <w:p w14:paraId="709669C0" w14:textId="77777777" w:rsidR="00772179" w:rsidRDefault="00000000">
      <w:pPr>
        <w:pStyle w:val="pheading"/>
      </w:pPr>
      <w:r>
        <w:t>- unité de mesure:</w:t>
      </w:r>
    </w:p>
    <w:p w14:paraId="5563D84B" w14:textId="77777777" w:rsidR="00772179" w:rsidRDefault="00000000">
      <w:r>
        <w:t>m</w:t>
      </w:r>
    </w:p>
    <w:p w14:paraId="726DA4A9" w14:textId="77777777" w:rsidR="00772179" w:rsidRDefault="00000000">
      <w:pPr>
        <w:pStyle w:val="pheading"/>
      </w:pPr>
      <w:r>
        <w:t>- nature du marché:</w:t>
      </w:r>
    </w:p>
    <w:p w14:paraId="7352EB6A" w14:textId="77777777" w:rsidR="00772179" w:rsidRDefault="00000000">
      <w:r>
        <w:t>QF</w:t>
      </w:r>
    </w:p>
    <w:p w14:paraId="4F1E43CF" w14:textId="77777777" w:rsidR="00772179" w:rsidRDefault="00000000">
      <w:pPr>
        <w:pStyle w:val="Author-eSectionHeading6Numberless"/>
      </w:pPr>
      <w:bookmarkStart w:id="1173" w:name="_Toc220490829"/>
      <w:r>
        <w:t>45.24.4c Balustres et poteaux en aluminium CCTB 01.02</w:t>
      </w:r>
      <w:bookmarkEnd w:id="1173"/>
    </w:p>
    <w:p w14:paraId="571C313E" w14:textId="77777777" w:rsidR="00772179" w:rsidRDefault="00000000">
      <w:pPr>
        <w:pStyle w:val="pheading"/>
      </w:pPr>
      <w:r>
        <w:t>MESURAGE</w:t>
      </w:r>
    </w:p>
    <w:p w14:paraId="6F99F794" w14:textId="77777777" w:rsidR="00772179" w:rsidRDefault="00000000">
      <w:pPr>
        <w:pStyle w:val="pheading"/>
      </w:pPr>
      <w:r>
        <w:t>- unité de mesure:</w:t>
      </w:r>
    </w:p>
    <w:p w14:paraId="00BBE3BA" w14:textId="77777777" w:rsidR="00772179" w:rsidRDefault="00000000">
      <w:r>
        <w:t>m</w:t>
      </w:r>
    </w:p>
    <w:p w14:paraId="431C0CE5" w14:textId="77777777" w:rsidR="00772179" w:rsidRDefault="00000000">
      <w:pPr>
        <w:pStyle w:val="pheading"/>
      </w:pPr>
      <w:r>
        <w:t>- nature du marché:</w:t>
      </w:r>
    </w:p>
    <w:p w14:paraId="26277B1F" w14:textId="77777777" w:rsidR="00772179" w:rsidRDefault="00000000">
      <w:r>
        <w:t>QF</w:t>
      </w:r>
    </w:p>
    <w:p w14:paraId="53AB0F9B" w14:textId="77777777" w:rsidR="00772179" w:rsidRDefault="00000000">
      <w:pPr>
        <w:pStyle w:val="Author-eSectionHeading5Numberless"/>
      </w:pPr>
      <w:bookmarkStart w:id="1174" w:name="_Toc220490830"/>
      <w:r>
        <w:t>45.24.5 Balustres et poteaux en matériaux synthétiques CCTB 01.02</w:t>
      </w:r>
      <w:bookmarkEnd w:id="1174"/>
    </w:p>
    <w:p w14:paraId="648281C0" w14:textId="77777777" w:rsidR="00772179" w:rsidRDefault="00000000">
      <w:pPr>
        <w:pStyle w:val="Author-eSectionHeading6Numberless"/>
      </w:pPr>
      <w:bookmarkStart w:id="1175" w:name="_Toc220490831"/>
      <w:r>
        <w:t>45.24.5a Balustres et poteaux en matériaux synthétiques</w:t>
      </w:r>
      <w:bookmarkEnd w:id="1175"/>
    </w:p>
    <w:p w14:paraId="7DB897C9" w14:textId="77777777" w:rsidR="00772179" w:rsidRDefault="00000000">
      <w:pPr>
        <w:pStyle w:val="Author-eSectionHeading5Numberless"/>
      </w:pPr>
      <w:bookmarkStart w:id="1176" w:name="_Toc220490832"/>
      <w:r>
        <w:t>45.24.6 Balustres et poteaux en verre CCTB 01.02</w:t>
      </w:r>
      <w:bookmarkEnd w:id="1176"/>
    </w:p>
    <w:p w14:paraId="2DA3EF95" w14:textId="77777777" w:rsidR="00772179" w:rsidRDefault="00000000">
      <w:pPr>
        <w:pStyle w:val="Author-eSectionHeading6Numberless"/>
      </w:pPr>
      <w:bookmarkStart w:id="1177" w:name="_Toc220490833"/>
      <w:r>
        <w:t>45.24.6a Balustres et poteaux en verre</w:t>
      </w:r>
      <w:bookmarkEnd w:id="1177"/>
    </w:p>
    <w:p w14:paraId="052B00D2" w14:textId="77777777" w:rsidR="00772179" w:rsidRDefault="00000000">
      <w:pPr>
        <w:pStyle w:val="Author-eSectionHeading4Numberless"/>
      </w:pPr>
      <w:bookmarkStart w:id="1178" w:name="_Toc220490834"/>
      <w:r>
        <w:t>45.25 Remplissages CCTB 01.02</w:t>
      </w:r>
      <w:bookmarkEnd w:id="1178"/>
    </w:p>
    <w:p w14:paraId="5DCB3C06" w14:textId="77777777" w:rsidR="00772179" w:rsidRDefault="00000000">
      <w:pPr>
        <w:pStyle w:val="Author-eSectionHeading5Numberless"/>
      </w:pPr>
      <w:bookmarkStart w:id="1179" w:name="_Toc220490835"/>
      <w:r>
        <w:t>45.25.1 Remplissages en pierre CCTB 01.02</w:t>
      </w:r>
      <w:bookmarkEnd w:id="1179"/>
    </w:p>
    <w:p w14:paraId="58CA93CF" w14:textId="77777777" w:rsidR="00772179" w:rsidRDefault="00000000">
      <w:pPr>
        <w:pStyle w:val="Author-eSectionHeading6Numberless"/>
      </w:pPr>
      <w:bookmarkStart w:id="1180" w:name="_Toc220490836"/>
      <w:r>
        <w:t>45.25.1a Remplissages en pierre pour escaliers extérieurs</w:t>
      </w:r>
      <w:bookmarkEnd w:id="1180"/>
    </w:p>
    <w:p w14:paraId="6E956009" w14:textId="77777777" w:rsidR="00772179" w:rsidRDefault="00000000">
      <w:pPr>
        <w:pStyle w:val="Author-eSectionHeading5Numberless"/>
      </w:pPr>
      <w:bookmarkStart w:id="1181" w:name="_Toc220490837"/>
      <w:r>
        <w:t>45.25.2 Remplissages en béton armé CCTB 01.02</w:t>
      </w:r>
      <w:bookmarkEnd w:id="1181"/>
    </w:p>
    <w:p w14:paraId="7392326D" w14:textId="77777777" w:rsidR="00772179" w:rsidRDefault="00000000">
      <w:pPr>
        <w:pStyle w:val="Author-eSectionHeading6Numberless"/>
      </w:pPr>
      <w:bookmarkStart w:id="1182" w:name="_Toc220490838"/>
      <w:r>
        <w:t>45.25.2a Remplissages en béton armé pour escaliers extérieurs</w:t>
      </w:r>
      <w:bookmarkEnd w:id="1182"/>
    </w:p>
    <w:p w14:paraId="4AA574DC" w14:textId="77777777" w:rsidR="00772179" w:rsidRDefault="00000000">
      <w:pPr>
        <w:pStyle w:val="Author-eSectionHeading5Numberless"/>
      </w:pPr>
      <w:bookmarkStart w:id="1183" w:name="_Toc220490839"/>
      <w:r>
        <w:t>45.25.3 Remplissages en bois CCTB 01.02</w:t>
      </w:r>
      <w:bookmarkEnd w:id="1183"/>
    </w:p>
    <w:p w14:paraId="4881001A" w14:textId="77777777" w:rsidR="00772179" w:rsidRDefault="00000000">
      <w:pPr>
        <w:pStyle w:val="Author-eSectionHeading6Numberless"/>
      </w:pPr>
      <w:bookmarkStart w:id="1184" w:name="_Toc220490840"/>
      <w:r>
        <w:t>45.25.3a Remplissages en bois pour escaliers extérieurs</w:t>
      </w:r>
      <w:bookmarkEnd w:id="1184"/>
    </w:p>
    <w:p w14:paraId="17EDB9AB" w14:textId="77777777" w:rsidR="00772179" w:rsidRDefault="00000000">
      <w:pPr>
        <w:pStyle w:val="Author-eSectionHeading5Numberless"/>
      </w:pPr>
      <w:bookmarkStart w:id="1185" w:name="_Toc220490841"/>
      <w:r>
        <w:t>45.25.4 Remplissages métalliques CCTB 01.02</w:t>
      </w:r>
      <w:bookmarkEnd w:id="1185"/>
    </w:p>
    <w:p w14:paraId="15F88EE5" w14:textId="77777777" w:rsidR="00772179" w:rsidRDefault="00000000">
      <w:pPr>
        <w:pStyle w:val="Author-eSectionHeading6Numberless"/>
      </w:pPr>
      <w:bookmarkStart w:id="1186" w:name="_Toc220490842"/>
      <w:r>
        <w:t>45.25.4a Remplissages en acier pour escaliers extérieurs CCTB 01.02</w:t>
      </w:r>
      <w:bookmarkEnd w:id="1186"/>
    </w:p>
    <w:p w14:paraId="7B8E9C63" w14:textId="77777777" w:rsidR="00772179" w:rsidRDefault="00000000">
      <w:pPr>
        <w:pStyle w:val="pheading"/>
      </w:pPr>
      <w:r>
        <w:t>MESURAGE</w:t>
      </w:r>
    </w:p>
    <w:p w14:paraId="291280D2" w14:textId="77777777" w:rsidR="00772179" w:rsidRDefault="00000000">
      <w:pPr>
        <w:pStyle w:val="pheading"/>
      </w:pPr>
      <w:r>
        <w:t>- unité de mesure:</w:t>
      </w:r>
    </w:p>
    <w:p w14:paraId="45E4BFB2" w14:textId="77777777" w:rsidR="00772179" w:rsidRDefault="00000000">
      <w:r>
        <w:t>m²</w:t>
      </w:r>
    </w:p>
    <w:p w14:paraId="739AED79" w14:textId="77777777" w:rsidR="00772179" w:rsidRDefault="00000000">
      <w:pPr>
        <w:pStyle w:val="pheading"/>
      </w:pPr>
      <w:r>
        <w:t>- nature du marché:</w:t>
      </w:r>
    </w:p>
    <w:p w14:paraId="199524AF" w14:textId="77777777" w:rsidR="00772179" w:rsidRDefault="00000000">
      <w:r>
        <w:lastRenderedPageBreak/>
        <w:t>QF</w:t>
      </w:r>
    </w:p>
    <w:p w14:paraId="09AD0C71" w14:textId="77777777" w:rsidR="00772179" w:rsidRDefault="00000000">
      <w:pPr>
        <w:pStyle w:val="Author-eSectionHeading6Numberless"/>
      </w:pPr>
      <w:bookmarkStart w:id="1187" w:name="_Toc220490843"/>
      <w:r>
        <w:t>45.25.4b Remplissages en acier inoxydable pour escaliers extérieurs CCTB 01.02</w:t>
      </w:r>
      <w:bookmarkEnd w:id="1187"/>
    </w:p>
    <w:p w14:paraId="4EC30DBD" w14:textId="77777777" w:rsidR="00772179" w:rsidRDefault="00000000">
      <w:pPr>
        <w:pStyle w:val="Author-eSectionHeading6Numberless"/>
      </w:pPr>
      <w:bookmarkStart w:id="1188" w:name="_Toc220490844"/>
      <w:r>
        <w:t>45.25.4c Remplissages en aluminium pour escaliers extérieurs CCTB 01.02</w:t>
      </w:r>
      <w:bookmarkEnd w:id="1188"/>
    </w:p>
    <w:p w14:paraId="2BF2D877" w14:textId="77777777" w:rsidR="00772179" w:rsidRDefault="00000000">
      <w:pPr>
        <w:pStyle w:val="Author-eSectionHeading5Numberless"/>
      </w:pPr>
      <w:bookmarkStart w:id="1189" w:name="_Toc220490845"/>
      <w:r>
        <w:t>45.25.5 Remplissages en matériaux synthétiques CCTB 01.02</w:t>
      </w:r>
      <w:bookmarkEnd w:id="1189"/>
    </w:p>
    <w:p w14:paraId="1E6707AD" w14:textId="77777777" w:rsidR="00772179" w:rsidRDefault="00000000">
      <w:pPr>
        <w:pStyle w:val="Author-eSectionHeading6Numberless"/>
      </w:pPr>
      <w:bookmarkStart w:id="1190" w:name="_Toc220490846"/>
      <w:r>
        <w:t>45.25.5a Remplissages en matériaux synthétiques pour escaliers extérieurs</w:t>
      </w:r>
      <w:bookmarkEnd w:id="1190"/>
    </w:p>
    <w:p w14:paraId="719E4565" w14:textId="77777777" w:rsidR="00772179" w:rsidRDefault="00000000">
      <w:pPr>
        <w:pStyle w:val="Author-eSectionHeading5Numberless"/>
      </w:pPr>
      <w:bookmarkStart w:id="1191" w:name="_Toc220490847"/>
      <w:r>
        <w:t>45.25.6 Remplissages en verre CCTB 01.02</w:t>
      </w:r>
      <w:bookmarkEnd w:id="1191"/>
    </w:p>
    <w:p w14:paraId="5FD933D1" w14:textId="77777777" w:rsidR="00772179" w:rsidRDefault="00000000">
      <w:pPr>
        <w:pStyle w:val="Author-eSectionHeading6Numberless"/>
      </w:pPr>
      <w:bookmarkStart w:id="1192" w:name="_Toc220490848"/>
      <w:r>
        <w:t>45.25.6a Remplissages en verre pour escaliers extérieurs CCTB 01.02</w:t>
      </w:r>
      <w:bookmarkEnd w:id="1192"/>
    </w:p>
    <w:p w14:paraId="2AA5CA25" w14:textId="77777777" w:rsidR="00772179" w:rsidRDefault="00000000">
      <w:pPr>
        <w:pStyle w:val="pheading"/>
      </w:pPr>
      <w:r>
        <w:t>MESURAGE</w:t>
      </w:r>
    </w:p>
    <w:p w14:paraId="3548B287" w14:textId="77777777" w:rsidR="00772179" w:rsidRDefault="00000000">
      <w:pPr>
        <w:pStyle w:val="pheading"/>
      </w:pPr>
      <w:r>
        <w:t>- unité de mesure:</w:t>
      </w:r>
    </w:p>
    <w:p w14:paraId="40F5AAA7" w14:textId="77777777" w:rsidR="00772179" w:rsidRDefault="00000000">
      <w:r>
        <w:t>m²</w:t>
      </w:r>
    </w:p>
    <w:p w14:paraId="2BA098B1" w14:textId="77777777" w:rsidR="00772179" w:rsidRDefault="00000000">
      <w:pPr>
        <w:pStyle w:val="pheading"/>
      </w:pPr>
      <w:r>
        <w:t>- nature du marché:</w:t>
      </w:r>
    </w:p>
    <w:p w14:paraId="4B0E97D7" w14:textId="77777777" w:rsidR="00772179" w:rsidRDefault="00000000">
      <w:r>
        <w:t>QF</w:t>
      </w:r>
    </w:p>
    <w:p w14:paraId="09E3EF45" w14:textId="77777777" w:rsidR="00772179" w:rsidRDefault="00000000">
      <w:pPr>
        <w:pStyle w:val="Author-eSectionHeading4Numberless"/>
      </w:pPr>
      <w:bookmarkStart w:id="1193" w:name="_Toc220490849"/>
      <w:r>
        <w:t>45.26 Mains courantes / lisses CCTB 01.10</w:t>
      </w:r>
      <w:bookmarkEnd w:id="1193"/>
    </w:p>
    <w:p w14:paraId="085EED95" w14:textId="77777777" w:rsidR="00772179" w:rsidRDefault="00000000">
      <w:pPr>
        <w:pStyle w:val="pheading"/>
      </w:pPr>
      <w:r>
        <w:t>AIDE</w:t>
      </w:r>
    </w:p>
    <w:p w14:paraId="3CCD137E" w14:textId="77777777" w:rsidR="00772179" w:rsidRDefault="00000000">
      <w:r>
        <w:t>NOTE A L’AUTEUR DE PROJET</w:t>
      </w:r>
    </w:p>
    <w:p w14:paraId="2271A29D" w14:textId="77777777" w:rsidR="00772179" w:rsidRDefault="00000000">
      <w:r>
        <w:rPr>
          <w:b/>
        </w:rPr>
        <w:t>Accessibilité aux personnes à mobilité réduite (PMR)</w:t>
      </w:r>
      <w:r>
        <w:t>     </w:t>
      </w:r>
    </w:p>
    <w:p w14:paraId="7C7832B4" w14:textId="77777777" w:rsidR="00772179" w:rsidRDefault="00000000">
      <w:r>
        <w:rPr>
          <w:i/>
          <w:u w:val="single"/>
        </w:rPr>
        <w:t>Main-courantes :</w:t>
      </w:r>
    </w:p>
    <w:p w14:paraId="2A3E2325" w14:textId="77777777" w:rsidR="00772179" w:rsidRDefault="00000000">
      <w:r>
        <w:t>Type : double (2 lisses)   [SWL CALA], [NBN ISO 21542] et [BS 8300]</w:t>
      </w:r>
      <w:r>
        <w:br/>
        <w:t>Position : de chaque côté de l’escalier [CoDT] (Article 415) et [SWL CALA]</w:t>
      </w:r>
      <w:r>
        <w:br/>
        <w:t>Géométrie : solides et continues sur les paliers [CoDT] (Article 415) et [SWL CALA]</w:t>
      </w:r>
    </w:p>
    <w:p w14:paraId="2CD710BE" w14:textId="77777777" w:rsidR="00772179" w:rsidRDefault="00000000">
      <w:r>
        <w:t>Prolongement : [CoDT] (Article 415) et [SWL CALA]</w:t>
      </w:r>
    </w:p>
    <w:p w14:paraId="51AA1BBE" w14:textId="77777777" w:rsidR="00772179" w:rsidRDefault="00000000">
      <w:pPr>
        <w:pStyle w:val="Author-eListParagraph"/>
        <w:numPr>
          <w:ilvl w:val="0"/>
          <w:numId w:val="1176"/>
        </w:numPr>
      </w:pPr>
      <w:r>
        <w:t>Côté mur : prolongement de 40 cm à l’origine et à l’extrémité de l’escalier</w:t>
      </w:r>
    </w:p>
    <w:p w14:paraId="05F7363F" w14:textId="77777777" w:rsidR="00772179" w:rsidRDefault="00000000">
      <w:pPr>
        <w:pStyle w:val="Author-eListParagraph"/>
        <w:numPr>
          <w:ilvl w:val="0"/>
          <w:numId w:val="1176"/>
        </w:numPr>
      </w:pPr>
      <w:r>
        <w:t>Côté vide : prolongement jusqu’au sol et de 40 cm, à l’origine et à l’extrémité de l’escalier pour autant que ce prolongement ne représente aucun obstacle ni danger  </w:t>
      </w:r>
    </w:p>
    <w:p w14:paraId="77E8C9C7" w14:textId="77777777" w:rsidR="00772179" w:rsidRDefault="00000000">
      <w:r>
        <w:t>Hauteur : [SWL CALA] et [NBN ISO 21542]</w:t>
      </w:r>
    </w:p>
    <w:p w14:paraId="3891CEA8" w14:textId="77777777" w:rsidR="00772179" w:rsidRDefault="00000000">
      <w:pPr>
        <w:pStyle w:val="Author-eListParagraph"/>
        <w:numPr>
          <w:ilvl w:val="0"/>
          <w:numId w:val="1177"/>
        </w:numPr>
      </w:pPr>
      <w:r>
        <w:t>Main-courante principale : entre 85 et 100 cm par rapport au nez de marche</w:t>
      </w:r>
    </w:p>
    <w:p w14:paraId="4CB1C425" w14:textId="77777777" w:rsidR="00772179" w:rsidRDefault="00000000">
      <w:pPr>
        <w:pStyle w:val="Author-eListParagraph"/>
        <w:numPr>
          <w:ilvl w:val="0"/>
          <w:numId w:val="1177"/>
        </w:numPr>
      </w:pPr>
      <w:r>
        <w:t>Main-courante secondaire : entre 60 et 75 cm par rapport au nez de marche </w:t>
      </w:r>
    </w:p>
    <w:p w14:paraId="5ABE935C" w14:textId="77777777" w:rsidR="00772179" w:rsidRDefault="00000000">
      <w:r>
        <w:t>Distance du mur : ≥ 4 cm minimum   [SWL CALA]</w:t>
      </w:r>
      <w:r>
        <w:br/>
        <w:t>Diamètre : entre 4 et 5 cm   [SWL CALA]</w:t>
      </w:r>
      <w:r>
        <w:br/>
        <w:t>Contraste: différence de coefficient de réflexion (LRV) entre la main courante et son support de minimum 30%  [NBN ISO 21542] et [BS 8300]</w:t>
      </w:r>
    </w:p>
    <w:p w14:paraId="5C281B0B" w14:textId="77777777" w:rsidR="00772179" w:rsidRDefault="00000000">
      <w:pPr>
        <w:pStyle w:val="Author-eSectionHeading5Numberless"/>
      </w:pPr>
      <w:bookmarkStart w:id="1194" w:name="_Toc220490850"/>
      <w:r>
        <w:t>45.26.1 Mains courantes / lisses en béton armé CCTB 01.02</w:t>
      </w:r>
      <w:bookmarkEnd w:id="1194"/>
    </w:p>
    <w:p w14:paraId="09A2610C" w14:textId="77777777" w:rsidR="00772179" w:rsidRDefault="00000000">
      <w:pPr>
        <w:pStyle w:val="Author-eSectionHeading6Numberless"/>
      </w:pPr>
      <w:bookmarkStart w:id="1195" w:name="_Toc220490851"/>
      <w:r>
        <w:t>45.26.1a Mains courantes / lisses en béton armé coulé sur place CCTB 01.02</w:t>
      </w:r>
      <w:bookmarkEnd w:id="1195"/>
    </w:p>
    <w:p w14:paraId="3571B9FD" w14:textId="77777777" w:rsidR="00772179" w:rsidRDefault="00000000">
      <w:pPr>
        <w:pStyle w:val="Author-eSectionHeading6Numberless"/>
      </w:pPr>
      <w:bookmarkStart w:id="1196" w:name="_Toc220490852"/>
      <w:r>
        <w:t>45.26.1b Mains courantes / lisses en béton armé préfabriqué CCTB 01.02</w:t>
      </w:r>
      <w:bookmarkEnd w:id="1196"/>
    </w:p>
    <w:p w14:paraId="66F8F454" w14:textId="77777777" w:rsidR="00772179" w:rsidRDefault="00000000">
      <w:pPr>
        <w:pStyle w:val="Author-eSectionHeading5Numberless"/>
      </w:pPr>
      <w:bookmarkStart w:id="1197" w:name="_Toc220490853"/>
      <w:r>
        <w:t>45.26.2 Mains courantes / lisses en bois CCTB 01.02</w:t>
      </w:r>
      <w:bookmarkEnd w:id="1197"/>
    </w:p>
    <w:p w14:paraId="77C2170D" w14:textId="77777777" w:rsidR="00772179" w:rsidRDefault="00000000">
      <w:pPr>
        <w:pStyle w:val="Author-eSectionHeading6Numberless"/>
      </w:pPr>
      <w:bookmarkStart w:id="1198" w:name="_Toc220490854"/>
      <w:r>
        <w:t>45.26.2a Mains courantes / lisses en bois CCTB 01.02</w:t>
      </w:r>
      <w:bookmarkEnd w:id="1198"/>
    </w:p>
    <w:p w14:paraId="6BFB3413" w14:textId="77777777" w:rsidR="00772179" w:rsidRDefault="00000000">
      <w:pPr>
        <w:pStyle w:val="pheading"/>
      </w:pPr>
      <w:r>
        <w:t>MESURAGE</w:t>
      </w:r>
    </w:p>
    <w:p w14:paraId="1F099B8A" w14:textId="77777777" w:rsidR="00772179" w:rsidRDefault="00000000">
      <w:pPr>
        <w:pStyle w:val="pheading"/>
      </w:pPr>
      <w:r>
        <w:t>- unité de mesure:</w:t>
      </w:r>
    </w:p>
    <w:p w14:paraId="4EA0C07E" w14:textId="77777777" w:rsidR="00772179" w:rsidRDefault="00000000">
      <w:r>
        <w:t>m</w:t>
      </w:r>
    </w:p>
    <w:p w14:paraId="080586EE" w14:textId="77777777" w:rsidR="00772179" w:rsidRDefault="00000000">
      <w:pPr>
        <w:pStyle w:val="pheading"/>
      </w:pPr>
      <w:r>
        <w:lastRenderedPageBreak/>
        <w:t>- nature du marché:</w:t>
      </w:r>
    </w:p>
    <w:p w14:paraId="5716142D" w14:textId="77777777" w:rsidR="00772179" w:rsidRDefault="00000000">
      <w:r>
        <w:t>QF</w:t>
      </w:r>
    </w:p>
    <w:p w14:paraId="0510F9A3" w14:textId="77777777" w:rsidR="00772179" w:rsidRDefault="00000000">
      <w:pPr>
        <w:pStyle w:val="Author-eSectionHeading5Numberless"/>
      </w:pPr>
      <w:bookmarkStart w:id="1199" w:name="_Toc220490855"/>
      <w:r>
        <w:t>45.26.3 Mains courantes / lisses métalliques CCTB 01.02</w:t>
      </w:r>
      <w:bookmarkEnd w:id="1199"/>
    </w:p>
    <w:p w14:paraId="77459C48" w14:textId="77777777" w:rsidR="00772179" w:rsidRDefault="00000000">
      <w:pPr>
        <w:pStyle w:val="Author-eSectionHeading6Numberless"/>
      </w:pPr>
      <w:bookmarkStart w:id="1200" w:name="_Toc220490856"/>
      <w:r>
        <w:t>45.26.3a Mains courantes / lisses en acier CCTB 01.02</w:t>
      </w:r>
      <w:bookmarkEnd w:id="1200"/>
    </w:p>
    <w:p w14:paraId="44896D98" w14:textId="77777777" w:rsidR="00772179" w:rsidRDefault="00000000">
      <w:pPr>
        <w:pStyle w:val="pheading"/>
      </w:pPr>
      <w:r>
        <w:t>MESURAGE</w:t>
      </w:r>
    </w:p>
    <w:p w14:paraId="673E285F" w14:textId="77777777" w:rsidR="00772179" w:rsidRDefault="00000000">
      <w:pPr>
        <w:pStyle w:val="pheading"/>
      </w:pPr>
      <w:r>
        <w:t>- unité de mesure:</w:t>
      </w:r>
    </w:p>
    <w:p w14:paraId="569FC1A4" w14:textId="77777777" w:rsidR="00772179" w:rsidRDefault="00000000">
      <w:r>
        <w:t>m</w:t>
      </w:r>
    </w:p>
    <w:p w14:paraId="49D49774" w14:textId="77777777" w:rsidR="00772179" w:rsidRDefault="00000000">
      <w:pPr>
        <w:pStyle w:val="pheading"/>
      </w:pPr>
      <w:r>
        <w:t>- nature du marché:</w:t>
      </w:r>
    </w:p>
    <w:p w14:paraId="7BC32609" w14:textId="77777777" w:rsidR="00772179" w:rsidRDefault="00000000">
      <w:r>
        <w:t>QF</w:t>
      </w:r>
    </w:p>
    <w:p w14:paraId="089732DD" w14:textId="77777777" w:rsidR="00772179" w:rsidRDefault="00000000">
      <w:pPr>
        <w:pStyle w:val="Author-eSectionHeading6Numberless"/>
      </w:pPr>
      <w:bookmarkStart w:id="1201" w:name="_Toc220490857"/>
      <w:r>
        <w:t>45.26.3b Mains courantes / lisses en acier inoxydable CCTB 01.02</w:t>
      </w:r>
      <w:bookmarkEnd w:id="1201"/>
    </w:p>
    <w:p w14:paraId="2B870B0C" w14:textId="77777777" w:rsidR="00772179" w:rsidRDefault="00000000">
      <w:pPr>
        <w:pStyle w:val="pheading"/>
      </w:pPr>
      <w:r>
        <w:t>MESURAGE</w:t>
      </w:r>
    </w:p>
    <w:p w14:paraId="76BF9F20" w14:textId="77777777" w:rsidR="00772179" w:rsidRDefault="00000000">
      <w:pPr>
        <w:pStyle w:val="pheading"/>
      </w:pPr>
      <w:r>
        <w:t>- unité de mesure:</w:t>
      </w:r>
    </w:p>
    <w:p w14:paraId="304891AD" w14:textId="77777777" w:rsidR="00772179" w:rsidRDefault="00000000">
      <w:r>
        <w:t>m</w:t>
      </w:r>
    </w:p>
    <w:p w14:paraId="6B0967D9" w14:textId="77777777" w:rsidR="00772179" w:rsidRDefault="00000000">
      <w:pPr>
        <w:pStyle w:val="pheading"/>
      </w:pPr>
      <w:r>
        <w:t>- nature du marché:</w:t>
      </w:r>
    </w:p>
    <w:p w14:paraId="62E1CD0B" w14:textId="77777777" w:rsidR="00772179" w:rsidRDefault="00000000">
      <w:r>
        <w:t>QF</w:t>
      </w:r>
    </w:p>
    <w:p w14:paraId="0B83F757" w14:textId="77777777" w:rsidR="00772179" w:rsidRDefault="00000000">
      <w:pPr>
        <w:pStyle w:val="Author-eSectionHeading6Numberless"/>
      </w:pPr>
      <w:bookmarkStart w:id="1202" w:name="_Toc220490858"/>
      <w:r>
        <w:t>45.26.3c Mains courantes / lisses en aluminium CCTB 01.02</w:t>
      </w:r>
      <w:bookmarkEnd w:id="1202"/>
    </w:p>
    <w:p w14:paraId="60B47E00" w14:textId="77777777" w:rsidR="00772179" w:rsidRDefault="00000000">
      <w:pPr>
        <w:pStyle w:val="pheading"/>
      </w:pPr>
      <w:r>
        <w:t>MESURAGE</w:t>
      </w:r>
    </w:p>
    <w:p w14:paraId="0752A516" w14:textId="77777777" w:rsidR="00772179" w:rsidRDefault="00000000">
      <w:pPr>
        <w:pStyle w:val="pheading"/>
      </w:pPr>
      <w:r>
        <w:t>- unité de mesure:</w:t>
      </w:r>
    </w:p>
    <w:p w14:paraId="089403BA" w14:textId="77777777" w:rsidR="00772179" w:rsidRDefault="00000000">
      <w:r>
        <w:t>m</w:t>
      </w:r>
    </w:p>
    <w:p w14:paraId="315FBC08" w14:textId="77777777" w:rsidR="00772179" w:rsidRDefault="00000000">
      <w:pPr>
        <w:pStyle w:val="pheading"/>
      </w:pPr>
      <w:r>
        <w:t>- nature du marché:</w:t>
      </w:r>
    </w:p>
    <w:p w14:paraId="40BD40FE" w14:textId="77777777" w:rsidR="00772179" w:rsidRDefault="00000000">
      <w:r>
        <w:t>QF</w:t>
      </w:r>
    </w:p>
    <w:p w14:paraId="3773320E" w14:textId="77777777" w:rsidR="00772179" w:rsidRDefault="00000000">
      <w:pPr>
        <w:pStyle w:val="Author-eSectionHeading5Numberless"/>
      </w:pPr>
      <w:bookmarkStart w:id="1203" w:name="_Toc220490859"/>
      <w:r>
        <w:t>45.26.4 Mains courantes / lisses en matériaux synthétiques CCTB 01.02</w:t>
      </w:r>
      <w:bookmarkEnd w:id="1203"/>
    </w:p>
    <w:p w14:paraId="59541E7F" w14:textId="77777777" w:rsidR="00772179" w:rsidRDefault="00000000">
      <w:pPr>
        <w:pStyle w:val="Author-eSectionHeading6Numberless"/>
      </w:pPr>
      <w:bookmarkStart w:id="1204" w:name="_Toc220490860"/>
      <w:r>
        <w:t>45.26.4a Mains courantes / lisses en matériaux synthétiques CCTB 01.02</w:t>
      </w:r>
      <w:bookmarkEnd w:id="1204"/>
    </w:p>
    <w:p w14:paraId="0B22DF0F" w14:textId="77777777" w:rsidR="00772179" w:rsidRDefault="00000000">
      <w:pPr>
        <w:pStyle w:val="pheading"/>
      </w:pPr>
      <w:r>
        <w:t>MESURAGE</w:t>
      </w:r>
    </w:p>
    <w:p w14:paraId="53D3EBA9" w14:textId="77777777" w:rsidR="00772179" w:rsidRDefault="00000000">
      <w:pPr>
        <w:pStyle w:val="pheading"/>
      </w:pPr>
      <w:r>
        <w:t>- unité de mesure:</w:t>
      </w:r>
    </w:p>
    <w:p w14:paraId="0404887E" w14:textId="77777777" w:rsidR="00772179" w:rsidRDefault="00000000">
      <w:r>
        <w:t>m</w:t>
      </w:r>
    </w:p>
    <w:p w14:paraId="3CF4F1EF" w14:textId="77777777" w:rsidR="00772179" w:rsidRDefault="00000000">
      <w:pPr>
        <w:pStyle w:val="pheading"/>
      </w:pPr>
      <w:r>
        <w:t>- nature du marché:</w:t>
      </w:r>
    </w:p>
    <w:p w14:paraId="1BF24574" w14:textId="77777777" w:rsidR="00772179" w:rsidRDefault="00000000">
      <w:r>
        <w:t>QF</w:t>
      </w:r>
    </w:p>
    <w:p w14:paraId="385F2EA2" w14:textId="77777777" w:rsidR="00772179" w:rsidRDefault="00000000">
      <w:pPr>
        <w:pStyle w:val="Author-eSectionHeading4Numberless"/>
      </w:pPr>
      <w:bookmarkStart w:id="1205" w:name="_Toc220490861"/>
      <w:r>
        <w:t>45.27 Eléments particuliers pour escaliers CCTB 01.02</w:t>
      </w:r>
      <w:bookmarkEnd w:id="1205"/>
    </w:p>
    <w:p w14:paraId="368CDF3C" w14:textId="77777777" w:rsidR="00772179" w:rsidRDefault="00000000">
      <w:pPr>
        <w:pStyle w:val="Author-eSectionHeading5Numberless"/>
      </w:pPr>
      <w:bookmarkStart w:id="1206" w:name="_Toc220490862"/>
      <w:r>
        <w:t>45.27.1 Eléments de suspension pour escaliers sans limon CCTB 01.02</w:t>
      </w:r>
      <w:bookmarkEnd w:id="1206"/>
    </w:p>
    <w:p w14:paraId="555CC73A" w14:textId="77777777" w:rsidR="00772179" w:rsidRDefault="00000000">
      <w:pPr>
        <w:pStyle w:val="Author-eSectionHeading6Numberless"/>
      </w:pPr>
      <w:bookmarkStart w:id="1207" w:name="_Toc220490863"/>
      <w:r>
        <w:t>45.27.1a Eléments de suspension métalliques pour escaliers sans limon CCTB 01.02</w:t>
      </w:r>
      <w:bookmarkEnd w:id="1207"/>
    </w:p>
    <w:p w14:paraId="6353F261" w14:textId="77777777" w:rsidR="00772179" w:rsidRDefault="00000000">
      <w:pPr>
        <w:pStyle w:val="Author-eSectionHeading6Numberless"/>
      </w:pPr>
      <w:bookmarkStart w:id="1208" w:name="_Toc220490864"/>
      <w:r>
        <w:t>45.27.1b Eléments de suspension en bois pour escaliers sans limon CCTB 01.02</w:t>
      </w:r>
      <w:bookmarkEnd w:id="1208"/>
    </w:p>
    <w:p w14:paraId="26866C2D" w14:textId="77777777" w:rsidR="00772179" w:rsidRDefault="00000000">
      <w:pPr>
        <w:pStyle w:val="Author-eSectionHeading5Numberless"/>
      </w:pPr>
      <w:bookmarkStart w:id="1209" w:name="_Toc220490865"/>
      <w:r>
        <w:t>45.27.2 Nez de marche antidérapantes CCTB 01.02</w:t>
      </w:r>
      <w:bookmarkEnd w:id="1209"/>
    </w:p>
    <w:p w14:paraId="0DF0B445" w14:textId="77777777" w:rsidR="00772179" w:rsidRDefault="00000000">
      <w:pPr>
        <w:pStyle w:val="pheading"/>
      </w:pPr>
      <w:r>
        <w:t>AIDE</w:t>
      </w:r>
    </w:p>
    <w:p w14:paraId="66407E33" w14:textId="77777777" w:rsidR="00772179" w:rsidRDefault="00000000">
      <w:r>
        <w:t>NOTE A L’AUTEUR DE PROJET</w:t>
      </w:r>
    </w:p>
    <w:p w14:paraId="53366123" w14:textId="77777777" w:rsidR="00772179" w:rsidRDefault="00000000">
      <w:r>
        <w:rPr>
          <w:b/>
        </w:rPr>
        <w:lastRenderedPageBreak/>
        <w:t>Accessibilité aux personnes à mobilité réduite (PMR)</w:t>
      </w:r>
    </w:p>
    <w:p w14:paraId="68396A28" w14:textId="77777777" w:rsidR="00772179" w:rsidRDefault="00000000">
      <w:r>
        <w:rPr>
          <w:i/>
          <w:u w:val="single"/>
        </w:rPr>
        <w:t>Indicateurs visuels sur les nez de marches :</w:t>
      </w:r>
      <w:r>
        <w:t>[NBN ISO 21542] et [BS 8300]</w:t>
      </w:r>
    </w:p>
    <w:p w14:paraId="7DAA76B1" w14:textId="77777777" w:rsidR="00772179" w:rsidRDefault="00000000">
      <w:r>
        <w:t>Localisation : de préférence, sur chaque marche ; sinon, sur la première et la dernière marche de chaque volée </w:t>
      </w:r>
    </w:p>
    <w:p w14:paraId="0F984F4D" w14:textId="77777777" w:rsidR="00772179" w:rsidRDefault="00000000">
      <w:r>
        <w:t>Largeur : continus sur toute la largeur des marches</w:t>
      </w:r>
    </w:p>
    <w:p w14:paraId="6126FF22" w14:textId="77777777" w:rsidR="00772179" w:rsidRDefault="00000000">
      <w:r>
        <w:t>Revêtement : antidérapants</w:t>
      </w:r>
    </w:p>
    <w:p w14:paraId="3016A41A" w14:textId="77777777" w:rsidR="00772179" w:rsidRDefault="00000000">
      <w:r>
        <w:t>Profondeur : 4 cm minimum sur la marche, peut redescendre sur la contremarche</w:t>
      </w:r>
    </w:p>
    <w:p w14:paraId="6FA250BC" w14:textId="77777777" w:rsidR="00772179" w:rsidRDefault="00000000">
      <w:r>
        <w:t>Contraste : différence de coefficient de réflexion (LRV) entre les indicateurs et les marches de minimum 60%</w:t>
      </w:r>
    </w:p>
    <w:p w14:paraId="41002D97" w14:textId="77777777" w:rsidR="00772179" w:rsidRDefault="00000000">
      <w:r>
        <w:t> </w:t>
      </w:r>
    </w:p>
    <w:p w14:paraId="3EE1C5E8" w14:textId="77777777" w:rsidR="00772179" w:rsidRDefault="00000000">
      <w:pPr>
        <w:pStyle w:val="Author-eSectionHeading6Numberless"/>
      </w:pPr>
      <w:bookmarkStart w:id="1210" w:name="_Toc220490866"/>
      <w:r>
        <w:t>45.27.2a Nez de marche antidérapantes en acier CCTB 01.02</w:t>
      </w:r>
      <w:bookmarkEnd w:id="1210"/>
    </w:p>
    <w:p w14:paraId="76723D21" w14:textId="77777777" w:rsidR="00772179" w:rsidRDefault="00000000">
      <w:pPr>
        <w:pStyle w:val="Author-eSectionHeading6Numberless"/>
      </w:pPr>
      <w:bookmarkStart w:id="1211" w:name="_Toc220490867"/>
      <w:r>
        <w:t>45.27.2b Nez de marche antidérapantes en acier inoxydable CCTB 01.02</w:t>
      </w:r>
      <w:bookmarkEnd w:id="1211"/>
    </w:p>
    <w:p w14:paraId="17A011C1" w14:textId="77777777" w:rsidR="00772179" w:rsidRDefault="00000000">
      <w:pPr>
        <w:pStyle w:val="Author-eSectionHeading6Numberless"/>
      </w:pPr>
      <w:bookmarkStart w:id="1212" w:name="_Toc220490868"/>
      <w:r>
        <w:t>45.27.2c Nez de marche antidérapantes en aluminium CCTB 01.02</w:t>
      </w:r>
      <w:bookmarkEnd w:id="1212"/>
    </w:p>
    <w:p w14:paraId="72D5C8D7" w14:textId="77777777" w:rsidR="00772179" w:rsidRDefault="00000000">
      <w:pPr>
        <w:pStyle w:val="Author-eSectionHeading6Numberless"/>
      </w:pPr>
      <w:bookmarkStart w:id="1213" w:name="_Toc220490869"/>
      <w:r>
        <w:t>45.27.2d Nez de marche antidérapantes en matériaux synthétiques CCTB 01.02</w:t>
      </w:r>
      <w:bookmarkEnd w:id="1213"/>
    </w:p>
    <w:p w14:paraId="0E86D4FF" w14:textId="77777777" w:rsidR="00772179" w:rsidRDefault="00000000">
      <w:pPr>
        <w:pStyle w:val="Author-eSectionHeading6Numberless"/>
      </w:pPr>
      <w:bookmarkStart w:id="1214" w:name="_Toc220490870"/>
      <w:r>
        <w:t>45.27.2e Nez de marche antidérapantes en matériaux souples  CCTB 01.02</w:t>
      </w:r>
      <w:bookmarkEnd w:id="1214"/>
    </w:p>
    <w:p w14:paraId="65A5FBE6" w14:textId="77777777" w:rsidR="00772179" w:rsidRDefault="00000000">
      <w:pPr>
        <w:pStyle w:val="Author-eSectionHeading3Numberless"/>
      </w:pPr>
      <w:bookmarkStart w:id="1215" w:name="_Toc220490871"/>
      <w:r>
        <w:t>45.3 Echelles de secours CCTB 01.02</w:t>
      </w:r>
      <w:bookmarkEnd w:id="1215"/>
    </w:p>
    <w:p w14:paraId="2BBD886A" w14:textId="77777777" w:rsidR="00772179" w:rsidRDefault="00000000">
      <w:pPr>
        <w:pStyle w:val="Author-eSectionHeading4Numberless"/>
      </w:pPr>
      <w:bookmarkStart w:id="1216" w:name="1392"/>
      <w:bookmarkStart w:id="1217" w:name="_Toc220490872"/>
      <w:bookmarkEnd w:id="1216"/>
      <w:r>
        <w:t>45.31 Echelles de secours fixes CCTB 01.02</w:t>
      </w:r>
      <w:bookmarkEnd w:id="1217"/>
    </w:p>
    <w:p w14:paraId="21270687" w14:textId="77777777" w:rsidR="00772179" w:rsidRDefault="00000000">
      <w:pPr>
        <w:pStyle w:val="Author-eSectionHeading5Numberless"/>
      </w:pPr>
      <w:bookmarkStart w:id="1218" w:name="_Toc220490873"/>
      <w:r>
        <w:t>45.31.1 Echelles de secours fixes en acier CCTB 01.02</w:t>
      </w:r>
      <w:bookmarkEnd w:id="1218"/>
    </w:p>
    <w:p w14:paraId="71322F79" w14:textId="77777777" w:rsidR="00772179" w:rsidRDefault="00000000">
      <w:pPr>
        <w:pStyle w:val="Author-eSectionHeading6Numberless"/>
      </w:pPr>
      <w:bookmarkStart w:id="1219" w:name="_Toc220490874"/>
      <w:r>
        <w:t>45.31.1a Echelles de secours fixes en acier</w:t>
      </w:r>
      <w:bookmarkEnd w:id="1219"/>
    </w:p>
    <w:p w14:paraId="2D542B45" w14:textId="77777777" w:rsidR="00772179" w:rsidRDefault="00000000">
      <w:pPr>
        <w:pStyle w:val="Author-eSectionHeading5Numberless"/>
      </w:pPr>
      <w:bookmarkStart w:id="1220" w:name="_Toc220490875"/>
      <w:r>
        <w:t>45.31.2 Echelles de secours fixes en acier inoxydable CCTB 01.02</w:t>
      </w:r>
      <w:bookmarkEnd w:id="1220"/>
    </w:p>
    <w:p w14:paraId="110CC8B7" w14:textId="77777777" w:rsidR="00772179" w:rsidRDefault="00000000">
      <w:pPr>
        <w:pStyle w:val="Author-eSectionHeading6Numberless"/>
      </w:pPr>
      <w:bookmarkStart w:id="1221" w:name="_Toc220490876"/>
      <w:r>
        <w:t>45.31.2a Echelles de secours fixes en acier inoxydable CCTB 01.02</w:t>
      </w:r>
      <w:bookmarkEnd w:id="1221"/>
    </w:p>
    <w:p w14:paraId="327CD55F" w14:textId="77777777" w:rsidR="00772179" w:rsidRDefault="00000000">
      <w:pPr>
        <w:pStyle w:val="pheading"/>
      </w:pPr>
      <w:r>
        <w:t>MESURAGE</w:t>
      </w:r>
    </w:p>
    <w:p w14:paraId="7A125C86" w14:textId="77777777" w:rsidR="00772179" w:rsidRDefault="00000000">
      <w:pPr>
        <w:pStyle w:val="pheading"/>
      </w:pPr>
      <w:r>
        <w:t>- unité de mesure:</w:t>
      </w:r>
    </w:p>
    <w:p w14:paraId="2D7477AB" w14:textId="77777777" w:rsidR="00772179" w:rsidRDefault="00000000">
      <w:r>
        <w:t xml:space="preserve">p </w:t>
      </w:r>
    </w:p>
    <w:p w14:paraId="681F9FAE" w14:textId="77777777" w:rsidR="00772179" w:rsidRDefault="00000000">
      <w:pPr>
        <w:pStyle w:val="pheading"/>
      </w:pPr>
      <w:r>
        <w:t>- code de mesurage:</w:t>
      </w:r>
    </w:p>
    <w:p w14:paraId="203DB7C5" w14:textId="77777777" w:rsidR="00772179" w:rsidRDefault="00000000">
      <w:r>
        <w:t>Quantité nette, selon la nature et les dimensions</w:t>
      </w:r>
    </w:p>
    <w:p w14:paraId="7ABFC712" w14:textId="77777777" w:rsidR="00772179" w:rsidRDefault="00000000">
      <w:pPr>
        <w:pStyle w:val="pheading"/>
      </w:pPr>
      <w:r>
        <w:t>- nature du marché:</w:t>
      </w:r>
    </w:p>
    <w:p w14:paraId="2A44FAD2" w14:textId="77777777" w:rsidR="00772179" w:rsidRDefault="00000000">
      <w:r>
        <w:t>QF</w:t>
      </w:r>
    </w:p>
    <w:p w14:paraId="335718BD" w14:textId="77777777" w:rsidR="00772179" w:rsidRDefault="00000000">
      <w:pPr>
        <w:pStyle w:val="Author-eSectionHeading5Numberless"/>
      </w:pPr>
      <w:bookmarkStart w:id="1222" w:name="_Toc220490877"/>
      <w:r>
        <w:t>45.31.3 Echelles de secours fixes en aluminium CCTB 01.02</w:t>
      </w:r>
      <w:bookmarkEnd w:id="1222"/>
    </w:p>
    <w:p w14:paraId="2F5CEB52" w14:textId="77777777" w:rsidR="00772179" w:rsidRDefault="00000000">
      <w:pPr>
        <w:pStyle w:val="Author-eSectionHeading6Numberless"/>
      </w:pPr>
      <w:bookmarkStart w:id="1223" w:name="_Toc220490878"/>
      <w:r>
        <w:t>45.31.3a Echelles de secours fixes en aluminium CCTB 01.02</w:t>
      </w:r>
      <w:bookmarkEnd w:id="1223"/>
    </w:p>
    <w:p w14:paraId="1ABC6868" w14:textId="77777777" w:rsidR="00772179" w:rsidRDefault="00000000">
      <w:pPr>
        <w:pStyle w:val="pheading"/>
      </w:pPr>
      <w:r>
        <w:t>MESURAGE</w:t>
      </w:r>
    </w:p>
    <w:p w14:paraId="48FE196D" w14:textId="77777777" w:rsidR="00772179" w:rsidRDefault="00000000">
      <w:pPr>
        <w:pStyle w:val="pheading"/>
      </w:pPr>
      <w:r>
        <w:t>- unité de mesure:</w:t>
      </w:r>
    </w:p>
    <w:p w14:paraId="5722348D" w14:textId="77777777" w:rsidR="00772179" w:rsidRDefault="00000000">
      <w:r>
        <w:t>p</w:t>
      </w:r>
    </w:p>
    <w:p w14:paraId="5646E9C6" w14:textId="77777777" w:rsidR="00772179" w:rsidRDefault="00000000">
      <w:pPr>
        <w:pStyle w:val="pheading"/>
      </w:pPr>
      <w:r>
        <w:t>- code de mesurage:</w:t>
      </w:r>
    </w:p>
    <w:p w14:paraId="798347FD" w14:textId="77777777" w:rsidR="00772179" w:rsidRDefault="00000000">
      <w:r>
        <w:t>Quantité nette, selon la nature et les dimensions</w:t>
      </w:r>
    </w:p>
    <w:p w14:paraId="3C6DA6CD" w14:textId="77777777" w:rsidR="00772179" w:rsidRDefault="00000000">
      <w:pPr>
        <w:pStyle w:val="pheading"/>
      </w:pPr>
      <w:r>
        <w:t>- nature du marché:</w:t>
      </w:r>
    </w:p>
    <w:p w14:paraId="55A4E3E8" w14:textId="77777777" w:rsidR="00772179" w:rsidRDefault="00000000">
      <w:r>
        <w:lastRenderedPageBreak/>
        <w:t>QF</w:t>
      </w:r>
    </w:p>
    <w:p w14:paraId="31C82887" w14:textId="77777777" w:rsidR="00772179" w:rsidRDefault="00000000">
      <w:pPr>
        <w:pStyle w:val="Author-eSectionHeading4Numberless"/>
      </w:pPr>
      <w:bookmarkStart w:id="1224" w:name="_Toc220490879"/>
      <w:r>
        <w:t>45.32 Echelles de secours pliantes CCTB 01.02</w:t>
      </w:r>
      <w:bookmarkEnd w:id="1224"/>
    </w:p>
    <w:p w14:paraId="66C79670" w14:textId="77777777" w:rsidR="00772179" w:rsidRDefault="00000000">
      <w:pPr>
        <w:pStyle w:val="Author-eSectionHeading5Numberless"/>
      </w:pPr>
      <w:bookmarkStart w:id="1225" w:name="_Toc220490880"/>
      <w:r>
        <w:t>45.32.1 Echelles de secours pliantes en acier CCTB 01.02</w:t>
      </w:r>
      <w:bookmarkEnd w:id="1225"/>
    </w:p>
    <w:p w14:paraId="11E326E6" w14:textId="77777777" w:rsidR="00772179" w:rsidRDefault="00000000">
      <w:pPr>
        <w:pStyle w:val="Author-eSectionHeading6Numberless"/>
      </w:pPr>
      <w:bookmarkStart w:id="1226" w:name="_Toc220490881"/>
      <w:r>
        <w:t>45.32.1a Echelles de secours pliantes en acier</w:t>
      </w:r>
      <w:bookmarkEnd w:id="1226"/>
    </w:p>
    <w:p w14:paraId="525801B9" w14:textId="77777777" w:rsidR="00772179" w:rsidRDefault="00000000">
      <w:pPr>
        <w:pStyle w:val="Author-eSectionHeading5Numberless"/>
      </w:pPr>
      <w:bookmarkStart w:id="1227" w:name="_Toc220490882"/>
      <w:r>
        <w:t>45.32.2 Echelles de secours pliantes en acier inoxydable CCTB 01.02</w:t>
      </w:r>
      <w:bookmarkEnd w:id="1227"/>
    </w:p>
    <w:p w14:paraId="1546EA94" w14:textId="77777777" w:rsidR="00772179" w:rsidRDefault="00000000">
      <w:pPr>
        <w:pStyle w:val="Author-eSectionHeading6Numberless"/>
      </w:pPr>
      <w:bookmarkStart w:id="1228" w:name="_Toc220490883"/>
      <w:r>
        <w:t>45.32.2a Echelles de secours pliantes en acier inoxydable</w:t>
      </w:r>
      <w:bookmarkEnd w:id="1228"/>
    </w:p>
    <w:p w14:paraId="5CA1F778" w14:textId="77777777" w:rsidR="00772179" w:rsidRDefault="00000000">
      <w:pPr>
        <w:pStyle w:val="Author-eSectionHeading5Numberless"/>
      </w:pPr>
      <w:bookmarkStart w:id="1229" w:name="_Toc220490884"/>
      <w:r>
        <w:t>45.32.3 Echelles de secours pliantes en aluminium CCTB 01.02</w:t>
      </w:r>
      <w:bookmarkEnd w:id="1229"/>
    </w:p>
    <w:p w14:paraId="4C9FB047" w14:textId="77777777" w:rsidR="00772179" w:rsidRDefault="00000000">
      <w:pPr>
        <w:pStyle w:val="Author-eSectionHeading6Numberless"/>
      </w:pPr>
      <w:bookmarkStart w:id="1230" w:name="_Toc220490885"/>
      <w:r>
        <w:t>45.32.3a Echelles de secours pliantes en aluminium</w:t>
      </w:r>
      <w:bookmarkEnd w:id="1230"/>
    </w:p>
    <w:p w14:paraId="253A6D09" w14:textId="77777777" w:rsidR="00772179" w:rsidRDefault="00000000">
      <w:pPr>
        <w:pStyle w:val="Author-eSectionHeading4Numberless"/>
      </w:pPr>
      <w:bookmarkStart w:id="1231" w:name="_Toc220490886"/>
      <w:r>
        <w:t>45.33 Echelles de secours à crinolines CCTB 01.02</w:t>
      </w:r>
      <w:bookmarkEnd w:id="1231"/>
    </w:p>
    <w:p w14:paraId="4D75B28F" w14:textId="77777777" w:rsidR="00772179" w:rsidRDefault="00000000">
      <w:pPr>
        <w:pStyle w:val="Author-eSectionHeading5Numberless"/>
      </w:pPr>
      <w:bookmarkStart w:id="1232" w:name="_Toc220490887"/>
      <w:r>
        <w:t>45.33.1 Echelles de secours à crinolines en acier CCTB 01.02</w:t>
      </w:r>
      <w:bookmarkEnd w:id="1232"/>
    </w:p>
    <w:p w14:paraId="374FEBF2" w14:textId="77777777" w:rsidR="00772179" w:rsidRDefault="00000000">
      <w:pPr>
        <w:pStyle w:val="Author-eSectionHeading6Numberless"/>
      </w:pPr>
      <w:bookmarkStart w:id="1233" w:name="_Toc220490888"/>
      <w:r>
        <w:t>45.33.1a Echelles de secours à crinolines en acier</w:t>
      </w:r>
      <w:bookmarkEnd w:id="1233"/>
    </w:p>
    <w:p w14:paraId="101B6E25" w14:textId="77777777" w:rsidR="00772179" w:rsidRDefault="00000000">
      <w:pPr>
        <w:pStyle w:val="Author-eSectionHeading5Numberless"/>
      </w:pPr>
      <w:bookmarkStart w:id="1234" w:name="_Toc220490889"/>
      <w:r>
        <w:t>45.33.2 Echelles de secours à crinolines en acier inoxydable CCTB 01.02</w:t>
      </w:r>
      <w:bookmarkEnd w:id="1234"/>
    </w:p>
    <w:p w14:paraId="075D4302" w14:textId="77777777" w:rsidR="00772179" w:rsidRDefault="00000000">
      <w:pPr>
        <w:pStyle w:val="Author-eSectionHeading6Numberless"/>
      </w:pPr>
      <w:bookmarkStart w:id="1235" w:name="_Toc220490890"/>
      <w:r>
        <w:t>45.33.2a Echelles de secours à crinolines en acier inoxydable</w:t>
      </w:r>
      <w:bookmarkEnd w:id="1235"/>
    </w:p>
    <w:p w14:paraId="1FE054BB" w14:textId="77777777" w:rsidR="00772179" w:rsidRDefault="00000000">
      <w:pPr>
        <w:pStyle w:val="Author-eSectionHeading5Numberless"/>
      </w:pPr>
      <w:bookmarkStart w:id="1236" w:name="_Toc220490891"/>
      <w:r>
        <w:t>45.33.3 Echelles de secours à crinolines en aluminium CCTB 01.02</w:t>
      </w:r>
      <w:bookmarkEnd w:id="1236"/>
    </w:p>
    <w:p w14:paraId="7C1F5BD4" w14:textId="77777777" w:rsidR="00772179" w:rsidRDefault="00000000">
      <w:pPr>
        <w:pStyle w:val="Author-eSectionHeading6Numberless"/>
      </w:pPr>
      <w:bookmarkStart w:id="1237" w:name="_Toc220490892"/>
      <w:r>
        <w:t>45.33.3a Echelles de secours à crinolines en aluminium</w:t>
      </w:r>
      <w:bookmarkEnd w:id="1237"/>
    </w:p>
    <w:p w14:paraId="5A12C24F" w14:textId="77777777" w:rsidR="00772179" w:rsidRDefault="00000000">
      <w:pPr>
        <w:pStyle w:val="Author-eSectionHeading3Numberless"/>
      </w:pPr>
      <w:bookmarkStart w:id="1238" w:name="_Toc220490893"/>
      <w:r>
        <w:t>45.4 Rails d'entretien CCTB 01.04</w:t>
      </w:r>
      <w:bookmarkEnd w:id="1238"/>
    </w:p>
    <w:p w14:paraId="1CB538ED" w14:textId="77777777" w:rsidR="00772179" w:rsidRDefault="00000000">
      <w:pPr>
        <w:pStyle w:val="pheading"/>
      </w:pPr>
      <w:r>
        <w:t>DESCRIPTION</w:t>
      </w:r>
    </w:p>
    <w:p w14:paraId="6F55A8F9" w14:textId="77777777" w:rsidR="00772179" w:rsidRDefault="00000000">
      <w:pPr>
        <w:pStyle w:val="pheading"/>
      </w:pPr>
      <w:r>
        <w:t>- Définition / Comprend</w:t>
      </w:r>
    </w:p>
    <w:p w14:paraId="4440403C" w14:textId="77777777" w:rsidR="00772179" w:rsidRDefault="00000000">
      <w:r>
        <w:t>Renvoi au § 37.2 Equipements de protection collective ou individuelle (EPC/EPI) permanents</w:t>
      </w:r>
    </w:p>
    <w:p w14:paraId="6FED074D" w14:textId="77777777" w:rsidR="00772179" w:rsidRDefault="00000000">
      <w:pPr>
        <w:pStyle w:val="Author-eSectionHeading3Numberless"/>
      </w:pPr>
      <w:bookmarkStart w:id="1239" w:name="_Toc220490894"/>
      <w:r>
        <w:t>45.5 - CCTB 01.02</w:t>
      </w:r>
      <w:bookmarkEnd w:id="1239"/>
    </w:p>
    <w:p w14:paraId="733DF614" w14:textId="77777777" w:rsidR="00772179" w:rsidRDefault="00000000">
      <w:pPr>
        <w:pStyle w:val="Author-eSectionHeading3Numberless"/>
      </w:pPr>
      <w:bookmarkStart w:id="1240" w:name="_Toc220490895"/>
      <w:r>
        <w:t>45.6 - CCTB 01.02</w:t>
      </w:r>
      <w:bookmarkEnd w:id="1240"/>
    </w:p>
    <w:p w14:paraId="2B1646B1" w14:textId="77777777" w:rsidR="00772179" w:rsidRDefault="00000000">
      <w:pPr>
        <w:pStyle w:val="Author-eSectionHeading3Numberless"/>
      </w:pPr>
      <w:bookmarkStart w:id="1241" w:name="_Toc220490896"/>
      <w:r>
        <w:t>45.7 - CCTB 01.02</w:t>
      </w:r>
      <w:bookmarkEnd w:id="1241"/>
    </w:p>
    <w:p w14:paraId="10A2BDA9" w14:textId="77777777" w:rsidR="00772179" w:rsidRDefault="00000000">
      <w:pPr>
        <w:pStyle w:val="Author-eSectionHeading3Numberless"/>
      </w:pPr>
      <w:bookmarkStart w:id="1242" w:name="_Toc220490897"/>
      <w:r>
        <w:t>45.8 Escaliers extérieurs et rampes - Rénovation CCTB 01.02</w:t>
      </w:r>
      <w:bookmarkEnd w:id="1242"/>
    </w:p>
    <w:p w14:paraId="4E52A933" w14:textId="77777777" w:rsidR="00772179" w:rsidRDefault="00000000">
      <w:pPr>
        <w:pStyle w:val="Author-eSectionHeading2Numberless"/>
      </w:pPr>
      <w:bookmarkStart w:id="1243" w:name="_Toc220490898"/>
      <w:r>
        <w:t>46 Chapes et revêtements de sols extérieurs (des balcons) CCTB 01.11</w:t>
      </w:r>
      <w:bookmarkEnd w:id="1243"/>
    </w:p>
    <w:p w14:paraId="5431FB31" w14:textId="77777777" w:rsidR="00772179" w:rsidRDefault="00000000">
      <w:pPr>
        <w:pStyle w:val="pheading"/>
      </w:pPr>
      <w:bookmarkStart w:id="1244" w:name="1526"/>
      <w:bookmarkEnd w:id="1244"/>
      <w:r>
        <w:t>MATÉRIAUX</w:t>
      </w:r>
    </w:p>
    <w:p w14:paraId="1C7E75B2" w14:textId="77777777" w:rsidR="00772179" w:rsidRDefault="00000000">
      <w:r>
        <w:rPr>
          <w:b/>
          <w:color w:val="969696"/>
          <w:sz w:val="24"/>
        </w:rPr>
        <w:t>Isolation Acoustique Du Sol – Fibres Minérales</w:t>
      </w:r>
    </w:p>
    <w:p w14:paraId="3A7600E9" w14:textId="77777777" w:rsidR="00772179" w:rsidRDefault="00000000">
      <w:r>
        <w:t>L'isolation se compose de</w:t>
      </w:r>
      <w:r>
        <w:rPr>
          <w:rStyle w:val="optioncarChar"/>
        </w:rPr>
        <w:t> :</w:t>
      </w:r>
      <w:r>
        <w:br/>
      </w:r>
      <w:r>
        <w:rPr>
          <w:rStyle w:val="optioncarChar"/>
        </w:rPr>
        <w:t>non revêtues </w:t>
      </w:r>
      <w:r>
        <w:t>(par défaut)</w:t>
      </w:r>
      <w:r>
        <w:rPr>
          <w:rStyle w:val="optioncarChar"/>
        </w:rPr>
        <w:t xml:space="preserve"> / revêtues</w:t>
      </w:r>
    </w:p>
    <w:p w14:paraId="5C0DBCEA" w14:textId="77777777" w:rsidR="00772179" w:rsidRDefault="00000000">
      <w:r>
        <w:rPr>
          <w:b/>
        </w:rPr>
        <w:t>(soit par défaut) </w:t>
      </w:r>
      <w:r>
        <w:t>:</w:t>
      </w:r>
      <w:r>
        <w:rPr>
          <w:rStyle w:val="soitChar"/>
        </w:rPr>
        <w:t xml:space="preserve"> plaques de fibres minérales en laine de roche ou laine de verre </w:t>
      </w:r>
      <w:r>
        <w:rPr>
          <w:rStyle w:val="soitChar"/>
          <w:u w:val="single"/>
        </w:rPr>
        <w:t>non revêtues</w:t>
      </w:r>
      <w:r>
        <w:br/>
      </w:r>
      <w:r>
        <w:rPr>
          <w:b/>
        </w:rPr>
        <w:t>(soit) </w:t>
      </w:r>
      <w:r>
        <w:t xml:space="preserve">: </w:t>
      </w:r>
      <w:r>
        <w:rPr>
          <w:rStyle w:val="soitChar"/>
        </w:rPr>
        <w:t xml:space="preserve">plaques de fibres minérales en laine de roche ou laine de verre </w:t>
      </w:r>
      <w:r>
        <w:rPr>
          <w:rStyle w:val="soitChar"/>
          <w:u w:val="single"/>
        </w:rPr>
        <w:t>revêtues</w:t>
      </w:r>
      <w:r>
        <w:rPr>
          <w:rStyle w:val="soitChar"/>
        </w:rPr>
        <w:t xml:space="preserve"> de </w:t>
      </w:r>
      <w:r>
        <w:rPr>
          <w:rStyle w:val="optioncarChar"/>
        </w:rPr>
        <w:t>***</w:t>
      </w:r>
    </w:p>
    <w:p w14:paraId="161547C9" w14:textId="77777777" w:rsidR="00772179" w:rsidRDefault="00000000">
      <w:pPr>
        <w:pStyle w:val="heading"/>
      </w:pPr>
      <w:r>
        <w:rPr>
          <w:color w:val="969696"/>
        </w:rPr>
        <w:t>Spécifications</w:t>
      </w:r>
    </w:p>
    <w:p w14:paraId="496F9747" w14:textId="77777777" w:rsidR="00772179" w:rsidRDefault="00000000">
      <w:r>
        <w:lastRenderedPageBreak/>
        <w:t>(selon le tableau 15 de la [NIT 189] )</w:t>
      </w:r>
    </w:p>
    <w:p w14:paraId="590B4D8B" w14:textId="77777777" w:rsidR="00772179" w:rsidRDefault="00000000">
      <w:pPr>
        <w:pStyle w:val="Author-eListParagraph"/>
        <w:numPr>
          <w:ilvl w:val="0"/>
          <w:numId w:val="1178"/>
        </w:numPr>
      </w:pPr>
      <w:r>
        <w:t xml:space="preserve">Masse volumique : ≥ </w:t>
      </w:r>
      <w:r>
        <w:rPr>
          <w:rStyle w:val="optioncarChar"/>
        </w:rPr>
        <w:t>60</w:t>
      </w:r>
      <w:r>
        <w:t xml:space="preserve"> kg/m³ pour la laine de verre et ≥ </w:t>
      </w:r>
      <w:r>
        <w:rPr>
          <w:rStyle w:val="optioncarChar"/>
        </w:rPr>
        <w:t>90</w:t>
      </w:r>
      <w:r>
        <w:t xml:space="preserve"> kg/m³ pour la laine de roche.</w:t>
      </w:r>
    </w:p>
    <w:p w14:paraId="21AAA3AA" w14:textId="77777777" w:rsidR="00772179" w:rsidRDefault="00000000">
      <w:pPr>
        <w:pStyle w:val="Author-eListParagraph"/>
        <w:numPr>
          <w:ilvl w:val="0"/>
          <w:numId w:val="1178"/>
        </w:numPr>
      </w:pPr>
      <w:r>
        <w:t xml:space="preserve">Rigidité dynamique S selon la norme </w:t>
      </w:r>
      <w:r>
        <w:rPr>
          <w:shd w:val="clear" w:color="auto" w:fill="FFFFFF"/>
        </w:rPr>
        <w:t>[NBN EN 13162+A1] :</w:t>
      </w:r>
      <w:r>
        <w:t xml:space="preserve"> ≤ 30 MN/m³ pour la laine de verre</w:t>
      </w:r>
    </w:p>
    <w:p w14:paraId="2A558641" w14:textId="77777777" w:rsidR="00772179" w:rsidRDefault="00000000">
      <w:pPr>
        <w:pStyle w:val="Author-eListParagraph"/>
        <w:numPr>
          <w:ilvl w:val="0"/>
          <w:numId w:val="1178"/>
        </w:numPr>
      </w:pPr>
      <w:r>
        <w:t>Rigidité dynamique S : 8 à 20 MN/m³ pour la laine de roche.</w:t>
      </w:r>
    </w:p>
    <w:p w14:paraId="2E0C28C2" w14:textId="77777777" w:rsidR="00772179" w:rsidRDefault="00000000">
      <w:pPr>
        <w:pStyle w:val="Author-eListParagraph"/>
        <w:numPr>
          <w:ilvl w:val="0"/>
          <w:numId w:val="1178"/>
        </w:numPr>
      </w:pPr>
      <w:r>
        <w:t>Selon la Décision de la Commission du 4 octobre 1996 [Décision 96/603/CE] et les conditions qui y sont reprises , la laine minérale appartient à la classe de réaction au feu A1.</w:t>
      </w:r>
    </w:p>
    <w:p w14:paraId="23845659" w14:textId="77777777" w:rsidR="00772179" w:rsidRDefault="00000000">
      <w:pPr>
        <w:pStyle w:val="heading"/>
      </w:pPr>
      <w:r>
        <w:t>Isolation acoustique du sol – polyéthylène</w:t>
      </w:r>
    </w:p>
    <w:p w14:paraId="26F14CD4" w14:textId="77777777" w:rsidR="00772179" w:rsidRDefault="00000000">
      <w:r>
        <w:t>L'isolation se compose de :</w:t>
      </w:r>
    </w:p>
    <w:p w14:paraId="121D3936" w14:textId="77777777" w:rsidR="00772179" w:rsidRDefault="00000000">
      <w:r>
        <w:rPr>
          <w:rStyle w:val="optioncarChar"/>
        </w:rPr>
        <w:t xml:space="preserve">extrudé </w:t>
      </w:r>
      <w:r>
        <w:t>(par défaut)</w:t>
      </w:r>
      <w:r>
        <w:rPr>
          <w:rStyle w:val="optioncarChar"/>
        </w:rPr>
        <w:t xml:space="preserve"> / expansé</w:t>
      </w:r>
    </w:p>
    <w:p w14:paraId="06287814" w14:textId="77777777" w:rsidR="00772179" w:rsidRDefault="00000000">
      <w:r>
        <w:rPr>
          <w:b/>
        </w:rPr>
        <w:t>(soit par défaut)</w:t>
      </w:r>
      <w:r>
        <w:t xml:space="preserve"> : </w:t>
      </w:r>
      <w:r>
        <w:rPr>
          <w:rStyle w:val="soitChar"/>
        </w:rPr>
        <w:t xml:space="preserve">matelas en mousse de polyéthylène </w:t>
      </w:r>
      <w:r>
        <w:rPr>
          <w:rStyle w:val="soitChar"/>
          <w:u w:val="single"/>
        </w:rPr>
        <w:t>extrudé</w:t>
      </w:r>
      <w:r>
        <w:rPr>
          <w:rStyle w:val="soitChar"/>
        </w:rPr>
        <w:t xml:space="preserve"> à structure cellulaire fermée.</w:t>
      </w:r>
      <w:r>
        <w:br/>
      </w:r>
      <w:r>
        <w:rPr>
          <w:b/>
        </w:rPr>
        <w:t>(soit)</w:t>
      </w:r>
      <w:r>
        <w:t xml:space="preserve"> : </w:t>
      </w:r>
      <w:r>
        <w:rPr>
          <w:rStyle w:val="soitChar"/>
        </w:rPr>
        <w:t xml:space="preserve">mousse de polyéthylène </w:t>
      </w:r>
      <w:r>
        <w:rPr>
          <w:rStyle w:val="soitChar"/>
          <w:u w:val="single"/>
        </w:rPr>
        <w:t>expansée</w:t>
      </w:r>
      <w:r>
        <w:rPr>
          <w:rStyle w:val="soitChar"/>
        </w:rPr>
        <w:t xml:space="preserve"> à structure cellulaire fermée sans ajoute de produits chimiques.</w:t>
      </w:r>
    </w:p>
    <w:p w14:paraId="5993583A" w14:textId="77777777" w:rsidR="00772179" w:rsidRDefault="00000000">
      <w:pPr>
        <w:pStyle w:val="heading"/>
      </w:pPr>
      <w:r>
        <w:t>Spécifications PE extrudé</w:t>
      </w:r>
    </w:p>
    <w:p w14:paraId="04AC956C" w14:textId="77777777" w:rsidR="00772179" w:rsidRDefault="00000000">
      <w:pPr>
        <w:pStyle w:val="Author-eListParagraph"/>
        <w:numPr>
          <w:ilvl w:val="0"/>
          <w:numId w:val="1179"/>
        </w:numPr>
      </w:pPr>
      <w:r>
        <w:t xml:space="preserve">Rigidité dynamique selon la norme </w:t>
      </w:r>
      <w:r>
        <w:rPr>
          <w:shd w:val="clear" w:color="auto" w:fill="FFFFFF"/>
        </w:rPr>
        <w:t>[NBN EN 13162+A1]</w:t>
      </w:r>
      <w:r>
        <w:t xml:space="preserve">: ≤ </w:t>
      </w:r>
      <w:r>
        <w:rPr>
          <w:rStyle w:val="optioncarChar"/>
        </w:rPr>
        <w:t xml:space="preserve">30 </w:t>
      </w:r>
      <w:r>
        <w:t> MN/m³.</w:t>
      </w:r>
    </w:p>
    <w:p w14:paraId="6BECF65F" w14:textId="77777777" w:rsidR="00772179" w:rsidRDefault="00000000">
      <w:pPr>
        <w:pStyle w:val="Author-eListParagraph"/>
        <w:numPr>
          <w:ilvl w:val="0"/>
          <w:numId w:val="1179"/>
        </w:numPr>
      </w:pPr>
      <w:r>
        <w:t xml:space="preserve">Masse volumique : ≥ </w:t>
      </w:r>
      <w:r>
        <w:rPr>
          <w:rStyle w:val="optioncarChar"/>
        </w:rPr>
        <w:t xml:space="preserve">35 </w:t>
      </w:r>
      <w:r>
        <w:t>kg/m³.</w:t>
      </w:r>
    </w:p>
    <w:p w14:paraId="7CB485CE" w14:textId="77777777" w:rsidR="00772179" w:rsidRDefault="00000000">
      <w:pPr>
        <w:pStyle w:val="Author-eListParagraph"/>
        <w:numPr>
          <w:ilvl w:val="0"/>
          <w:numId w:val="1179"/>
        </w:numPr>
      </w:pPr>
      <w:r>
        <w:t xml:space="preserve">Epaisseur nominale : ≤ </w:t>
      </w:r>
      <w:r>
        <w:rPr>
          <w:rStyle w:val="optioncarChar"/>
        </w:rPr>
        <w:t>5 </w:t>
      </w:r>
      <w:r>
        <w:t>mm.</w:t>
      </w:r>
    </w:p>
    <w:p w14:paraId="347E343C" w14:textId="77777777" w:rsidR="00772179" w:rsidRDefault="00000000">
      <w:pPr>
        <w:pStyle w:val="heading"/>
      </w:pPr>
      <w:r>
        <w:t>Spécifications PE expansé</w:t>
      </w:r>
    </w:p>
    <w:p w14:paraId="68A6BA23" w14:textId="77777777" w:rsidR="00772179" w:rsidRDefault="00000000">
      <w:pPr>
        <w:pStyle w:val="Author-eListParagraph"/>
        <w:numPr>
          <w:ilvl w:val="0"/>
          <w:numId w:val="1180"/>
        </w:numPr>
      </w:pPr>
      <w:r>
        <w:t xml:space="preserve">Masse volumique : ≥ </w:t>
      </w:r>
      <w:r>
        <w:rPr>
          <w:rStyle w:val="optioncarChar"/>
        </w:rPr>
        <w:t>35 / ***</w:t>
      </w:r>
      <w:r>
        <w:t xml:space="preserve"> kg/m³</w:t>
      </w:r>
    </w:p>
    <w:p w14:paraId="5F3FB079" w14:textId="77777777" w:rsidR="00772179" w:rsidRDefault="00000000">
      <w:pPr>
        <w:pStyle w:val="Author-eListParagraph"/>
        <w:numPr>
          <w:ilvl w:val="0"/>
          <w:numId w:val="1180"/>
        </w:numPr>
      </w:pPr>
      <w:r>
        <w:t xml:space="preserve">Epaisseur nominale : ≤ </w:t>
      </w:r>
      <w:r>
        <w:rPr>
          <w:rStyle w:val="optioncarChar"/>
        </w:rPr>
        <w:t xml:space="preserve">5 / 7 </w:t>
      </w:r>
      <w:r>
        <w:t>mm (matelas de 2 mm pour les parquets).</w:t>
      </w:r>
    </w:p>
    <w:p w14:paraId="2961F10B" w14:textId="77777777" w:rsidR="00772179" w:rsidRDefault="00000000">
      <w:pPr>
        <w:pStyle w:val="Author-eListParagraph"/>
        <w:numPr>
          <w:ilvl w:val="0"/>
          <w:numId w:val="1180"/>
        </w:numPr>
      </w:pPr>
      <w:r>
        <w:t>Masse volumique : 25 à 45 kg/m³</w:t>
      </w:r>
    </w:p>
    <w:p w14:paraId="2D68F9BB" w14:textId="77777777" w:rsidR="00772179" w:rsidRDefault="00000000">
      <w:pPr>
        <w:pStyle w:val="Author-eListParagraph"/>
        <w:numPr>
          <w:ilvl w:val="0"/>
          <w:numId w:val="1180"/>
        </w:numPr>
      </w:pPr>
      <w:r>
        <w:t>Rigidité dynamique S : 7 à 95 MN/m³</w:t>
      </w:r>
    </w:p>
    <w:p w14:paraId="2F414065" w14:textId="77777777" w:rsidR="00772179" w:rsidRDefault="00000000">
      <w:r>
        <w:t>Définition : La rigidité dynamique S d'un matériau isolant est le rapport entre la force dynamique par unité de surface et le déplacement dynamique. S est déterminé selon les prescriptions de l' [ISO 9052-1] et/ou de la méthode Cantilever.</w:t>
      </w:r>
    </w:p>
    <w:p w14:paraId="755024C6" w14:textId="77777777" w:rsidR="00772179" w:rsidRDefault="00000000">
      <w:pPr>
        <w:pStyle w:val="Author-eListParagraph"/>
        <w:numPr>
          <w:ilvl w:val="0"/>
          <w:numId w:val="1181"/>
        </w:numPr>
      </w:pPr>
      <w:r>
        <w:t>Module d'élasticité dynamique E : 0,12 à 1,40 MN/m² (E/d=S (d=épaisseur en mètres).</w:t>
      </w:r>
    </w:p>
    <w:p w14:paraId="1E9FC814" w14:textId="77777777" w:rsidR="00772179" w:rsidRDefault="00000000">
      <w:pPr>
        <w:pStyle w:val="Author-eListParagraph"/>
        <w:numPr>
          <w:ilvl w:val="0"/>
          <w:numId w:val="1181"/>
        </w:numPr>
      </w:pPr>
      <w:r>
        <w:t xml:space="preserve">Catégorie : </w:t>
      </w:r>
      <w:r>
        <w:rPr>
          <w:rStyle w:val="optioncarChar"/>
        </w:rPr>
        <w:t>Ib / IIa</w:t>
      </w:r>
      <w:r>
        <w:t> selon la [NBN S 01-400]</w:t>
      </w:r>
    </w:p>
    <w:p w14:paraId="72CB5C63" w14:textId="77777777" w:rsidR="00772179" w:rsidRDefault="00000000">
      <w:pPr>
        <w:pStyle w:val="Author-eListParagraph"/>
        <w:numPr>
          <w:ilvl w:val="0"/>
          <w:numId w:val="1181"/>
        </w:numPr>
      </w:pPr>
      <w:r>
        <w:t>Amélioration acoustique 5 à 14 dB</w:t>
      </w:r>
    </w:p>
    <w:p w14:paraId="7EA439D9" w14:textId="77777777" w:rsidR="00772179" w:rsidRDefault="00000000">
      <w:r>
        <w:rPr>
          <w:b/>
          <w:color w:val="969696"/>
          <w:sz w:val="24"/>
        </w:rPr>
        <w:t>Isolation Acoustique Du Sol – Polyuréthane</w:t>
      </w:r>
    </w:p>
    <w:p w14:paraId="7D4C2BA5" w14:textId="77777777" w:rsidR="00772179" w:rsidRDefault="00000000">
      <w:r>
        <w:t>Les panneaux d'isolation sont fabriqués en mousse de polyuréthane (PUR), exempte de CFK.</w:t>
      </w:r>
    </w:p>
    <w:p w14:paraId="6E3355D8" w14:textId="77777777" w:rsidR="00772179" w:rsidRDefault="00000000">
      <w:pPr>
        <w:pStyle w:val="heading"/>
      </w:pPr>
      <w:r>
        <w:rPr>
          <w:color w:val="969696"/>
        </w:rPr>
        <w:t>Spécifications</w:t>
      </w:r>
    </w:p>
    <w:p w14:paraId="427137E1" w14:textId="77777777" w:rsidR="00772179" w:rsidRDefault="00000000">
      <w:pPr>
        <w:pStyle w:val="Author-eListParagraph"/>
        <w:numPr>
          <w:ilvl w:val="0"/>
          <w:numId w:val="1182"/>
        </w:numPr>
      </w:pPr>
      <w:r>
        <w:t xml:space="preserve">Epaisseur : </w:t>
      </w:r>
      <w:r>
        <w:rPr>
          <w:rStyle w:val="optioncarChar"/>
        </w:rPr>
        <w:t>10 / 20 </w:t>
      </w:r>
      <w:r>
        <w:t>mm.</w:t>
      </w:r>
    </w:p>
    <w:p w14:paraId="0C7988AF" w14:textId="77777777" w:rsidR="00772179" w:rsidRDefault="00000000">
      <w:pPr>
        <w:pStyle w:val="Author-eListParagraph"/>
        <w:numPr>
          <w:ilvl w:val="0"/>
          <w:numId w:val="1182"/>
        </w:numPr>
      </w:pPr>
      <w:r>
        <w:t>Masse volumique : 80 à 140 kg/m³</w:t>
      </w:r>
    </w:p>
    <w:p w14:paraId="2D7D622A" w14:textId="77777777" w:rsidR="00772179" w:rsidRDefault="00000000">
      <w:pPr>
        <w:pStyle w:val="Author-eListParagraph"/>
        <w:numPr>
          <w:ilvl w:val="0"/>
          <w:numId w:val="1182"/>
        </w:numPr>
      </w:pPr>
      <w:r>
        <w:t>Rigidité dynamique S : 3 à 14 MN/m³.</w:t>
      </w:r>
    </w:p>
    <w:p w14:paraId="3E2BAEC3" w14:textId="77777777" w:rsidR="00772179" w:rsidRDefault="00000000">
      <w:r>
        <w:t xml:space="preserve">Définition : La rigidité dynamique S d'un matériau isolant est le rapport entre la force dynamique par unité de surface et le déplacement dynamique. S est déterminé selon les prescriptions de l' </w:t>
      </w:r>
      <w:r>
        <w:rPr>
          <w:shd w:val="clear" w:color="auto" w:fill="FFFFFF"/>
        </w:rPr>
        <w:t>[ISO 9052-1]</w:t>
      </w:r>
      <w:r>
        <w:t xml:space="preserve"> et/ou de la méthode Cantilever.</w:t>
      </w:r>
    </w:p>
    <w:p w14:paraId="2CDC4FF3" w14:textId="77777777" w:rsidR="00772179" w:rsidRDefault="00000000">
      <w:pPr>
        <w:pStyle w:val="Author-eListParagraph"/>
        <w:numPr>
          <w:ilvl w:val="0"/>
          <w:numId w:val="1183"/>
        </w:numPr>
      </w:pPr>
      <w:r>
        <w:t>Module d'élasticité dynamique E : 0,06 à 1,20 MN/m2.</w:t>
      </w:r>
    </w:p>
    <w:p w14:paraId="1AF3E057" w14:textId="77777777" w:rsidR="00772179" w:rsidRDefault="00000000">
      <w:pPr>
        <w:pStyle w:val="Author-eListParagraph"/>
        <w:numPr>
          <w:ilvl w:val="0"/>
          <w:numId w:val="1183"/>
        </w:numPr>
      </w:pPr>
      <w:r>
        <w:t>Catégorie : Ia (IIIa) (selon la [NBN S 01-400])</w:t>
      </w:r>
    </w:p>
    <w:p w14:paraId="18F232E3" w14:textId="77777777" w:rsidR="00772179" w:rsidRDefault="00000000">
      <w:pPr>
        <w:pStyle w:val="Author-eListParagraph"/>
        <w:numPr>
          <w:ilvl w:val="0"/>
          <w:numId w:val="1183"/>
        </w:numPr>
      </w:pPr>
      <w:r>
        <w:t>Amélioration acoustique ◊ l : 16 à 23 dB.</w:t>
      </w:r>
    </w:p>
    <w:p w14:paraId="1E96FAAB" w14:textId="77777777" w:rsidR="00772179" w:rsidRDefault="00772179"/>
    <w:p w14:paraId="211B418C" w14:textId="77777777" w:rsidR="00772179" w:rsidRDefault="00000000">
      <w:pPr>
        <w:pStyle w:val="pheading"/>
      </w:pPr>
      <w:r>
        <w:t>EXÉCUTION / MISE EN ŒUVRE</w:t>
      </w:r>
    </w:p>
    <w:p w14:paraId="2DAE6004" w14:textId="77777777" w:rsidR="00772179" w:rsidRDefault="00000000">
      <w:r>
        <w:rPr>
          <w:b/>
          <w:color w:val="969696"/>
          <w:sz w:val="24"/>
        </w:rPr>
        <w:t>Isolation Acoustique Du Sol – Fibres Minerales</w:t>
      </w:r>
    </w:p>
    <w:p w14:paraId="15A65039" w14:textId="77777777" w:rsidR="00772179" w:rsidRDefault="00000000">
      <w:r>
        <w:t>L'isolation acoustique est exécutée conformément aux directives du fabricant.</w:t>
      </w:r>
    </w:p>
    <w:p w14:paraId="28605B39" w14:textId="77777777" w:rsidR="00772179" w:rsidRDefault="00000000">
      <w:r>
        <w:t>Voir aussi 52.42 Isolation en rouleaux/matelas.</w:t>
      </w:r>
    </w:p>
    <w:p w14:paraId="13985C3F" w14:textId="77777777" w:rsidR="00772179" w:rsidRDefault="00000000">
      <w:r>
        <w:rPr>
          <w:u w:val="single"/>
        </w:rPr>
        <w:lastRenderedPageBreak/>
        <w:t>Notes d'exécution complémentaires  </w:t>
      </w:r>
      <w:r>
        <w:br/>
        <w:t>Les plaques d'isolation sont posées conformément à l'agrément technique ATG. </w:t>
      </w:r>
    </w:p>
    <w:p w14:paraId="57179BC0" w14:textId="77777777" w:rsidR="00772179" w:rsidRDefault="00000000">
      <w:r>
        <w:rPr>
          <w:b/>
          <w:color w:val="969696"/>
          <w:sz w:val="24"/>
        </w:rPr>
        <w:t>Isolation Acoustique Du Sol – Polyéthylène</w:t>
      </w:r>
    </w:p>
    <w:p w14:paraId="3FBEFDCD" w14:textId="77777777" w:rsidR="00772179" w:rsidRDefault="00000000">
      <w:r>
        <w:t>L'isolation acoustique des sols est exécutée selon les directives du fabricant; les plaques sont posées en indépendance sur l'aire de pose en évitant les ponts acoustiques. La couche est relevée sur une hauteur d'au moins 3 cm au-dessus de la couche de finition et ensuite découpée à ras du revêtement.</w:t>
      </w:r>
    </w:p>
    <w:p w14:paraId="1D1B6E47" w14:textId="77777777" w:rsidR="00772179" w:rsidRDefault="00000000">
      <w:r>
        <w:rPr>
          <w:rStyle w:val="optioncarChar"/>
        </w:rPr>
        <w:t>collés / posés</w:t>
      </w:r>
    </w:p>
    <w:p w14:paraId="4062543D" w14:textId="77777777" w:rsidR="00772179" w:rsidRDefault="00000000">
      <w:r>
        <w:rPr>
          <w:b/>
        </w:rPr>
        <w:t>(Soit)</w:t>
      </w:r>
      <w:r>
        <w:t xml:space="preserve"> : </w:t>
      </w:r>
      <w:r>
        <w:rPr>
          <w:rStyle w:val="soitChar"/>
        </w:rPr>
        <w:t xml:space="preserve">Les joints entre les matelas extrudés sont </w:t>
      </w:r>
      <w:r>
        <w:rPr>
          <w:rStyle w:val="soitChar"/>
          <w:u w:val="single"/>
        </w:rPr>
        <w:t>collés</w:t>
      </w:r>
      <w:r>
        <w:rPr>
          <w:rStyle w:val="soitChar"/>
        </w:rPr>
        <w:t>.</w:t>
      </w:r>
      <w:r>
        <w:br/>
      </w:r>
      <w:r>
        <w:rPr>
          <w:b/>
        </w:rPr>
        <w:t>(Soit)</w:t>
      </w:r>
      <w:r>
        <w:t xml:space="preserve"> : </w:t>
      </w:r>
      <w:r>
        <w:rPr>
          <w:rStyle w:val="soitChar"/>
        </w:rPr>
        <w:t xml:space="preserve">Les lés expansés sont </w:t>
      </w:r>
      <w:r>
        <w:rPr>
          <w:rStyle w:val="soitChar"/>
          <w:u w:val="single"/>
        </w:rPr>
        <w:t>posés</w:t>
      </w:r>
      <w:r>
        <w:rPr>
          <w:rStyle w:val="soitChar"/>
        </w:rPr>
        <w:t xml:space="preserve"> avec un recouvrement de 10 cm.</w:t>
      </w:r>
    </w:p>
    <w:p w14:paraId="174675B7" w14:textId="77777777" w:rsidR="00772179" w:rsidRDefault="00000000">
      <w:r>
        <w:rPr>
          <w:u w:val="single"/>
        </w:rPr>
        <w:t>Notes d'exécution complémentaires</w:t>
      </w:r>
      <w:r>
        <w:br/>
        <w:t>Les matelas d'isolation sont posés conformément à l'agrément technique ATG.</w:t>
      </w:r>
    </w:p>
    <w:p w14:paraId="051EA0E3" w14:textId="77777777" w:rsidR="00772179" w:rsidRDefault="00000000">
      <w:r>
        <w:rPr>
          <w:b/>
          <w:color w:val="969696"/>
          <w:sz w:val="24"/>
        </w:rPr>
        <w:t>Isolation Acoustique Du Sol – Polyuréthane</w:t>
      </w:r>
    </w:p>
    <w:p w14:paraId="030EC8CF" w14:textId="77777777" w:rsidR="00772179" w:rsidRDefault="00000000">
      <w:r>
        <w:t>L'isolation acoustique est exécutée conformément aux directives du fabricant. Les plaques sont posées en indépendance sur l'aire de pose et les ponts thermiques sont évités.</w:t>
      </w:r>
    </w:p>
    <w:p w14:paraId="693A6458" w14:textId="77777777" w:rsidR="00772179" w:rsidRDefault="00000000">
      <w:r>
        <w:t>Voir aussi 52.42 Isolation en rouleaux/matelas.</w:t>
      </w:r>
    </w:p>
    <w:p w14:paraId="00287830" w14:textId="77777777" w:rsidR="00772179" w:rsidRDefault="00000000">
      <w:r>
        <w:rPr>
          <w:u w:val="single"/>
        </w:rPr>
        <w:t xml:space="preserve">Notes d'exécution complémentaires </w:t>
      </w:r>
      <w:r>
        <w:br/>
        <w:t>Les matelas d'isolation sont posés conformément à l'agrément technique ATG.</w:t>
      </w:r>
    </w:p>
    <w:p w14:paraId="2B97895A" w14:textId="77777777" w:rsidR="00772179" w:rsidRDefault="00000000">
      <w:pPr>
        <w:pStyle w:val="pheading"/>
      </w:pPr>
      <w:r>
        <w:t>AIDE</w:t>
      </w:r>
    </w:p>
    <w:p w14:paraId="6F7D1936" w14:textId="77777777" w:rsidR="00772179" w:rsidRDefault="00000000">
      <w:r>
        <w:rPr>
          <w:i/>
          <w:u w:val="single"/>
        </w:rPr>
        <w:t>Note à l'attention de l'auteur de projet</w:t>
      </w:r>
    </w:p>
    <w:p w14:paraId="2D3D1AD7" w14:textId="77777777" w:rsidR="00772179" w:rsidRDefault="00000000">
      <w:r>
        <w:t>La rigidité dynamique S d'un matériau isolant est le rapport entre la force dynamique par unité de surface et le déplacement dynamique. S est déterminé selon les prescriptions de l'[ISO 9052-1] et/ou de la méthode Cantilever.</w:t>
      </w:r>
    </w:p>
    <w:p w14:paraId="1C3B6514" w14:textId="77777777" w:rsidR="00772179" w:rsidRDefault="00000000">
      <w:pPr>
        <w:pStyle w:val="Author-eListParagraph"/>
        <w:numPr>
          <w:ilvl w:val="0"/>
          <w:numId w:val="1184"/>
        </w:numPr>
      </w:pPr>
      <w:r>
        <w:t xml:space="preserve">Module d'élasticité dynamique E : </w:t>
      </w:r>
      <w:r>
        <w:rPr>
          <w:rStyle w:val="optioncarChar"/>
        </w:rPr>
        <w:t xml:space="preserve">0,24 à 0,57 </w:t>
      </w:r>
      <w:r>
        <w:t>MN/m2 (E/d=S (d=épaisseur  en mètres).</w:t>
      </w:r>
    </w:p>
    <w:p w14:paraId="2DA161DF" w14:textId="77777777" w:rsidR="00772179" w:rsidRDefault="00000000">
      <w:pPr>
        <w:pStyle w:val="Author-eListParagraph"/>
        <w:numPr>
          <w:ilvl w:val="0"/>
          <w:numId w:val="1184"/>
        </w:numPr>
      </w:pPr>
      <w:r>
        <w:t xml:space="preserve">Catégorie : </w:t>
      </w:r>
      <w:r>
        <w:rPr>
          <w:rStyle w:val="optioncarChar"/>
        </w:rPr>
        <w:t>Ia / IIa</w:t>
      </w:r>
      <w:r>
        <w:t xml:space="preserve"> selon la [NBN S 01-400]</w:t>
      </w:r>
    </w:p>
    <w:p w14:paraId="233464EE" w14:textId="77777777" w:rsidR="00772179" w:rsidRDefault="00000000">
      <w:pPr>
        <w:pStyle w:val="Author-eListParagraph"/>
        <w:numPr>
          <w:ilvl w:val="0"/>
          <w:numId w:val="1184"/>
        </w:numPr>
      </w:pPr>
      <w:r>
        <w:t>Amélioration acoustique  ◊l : 21 à 25 dB.</w:t>
      </w:r>
    </w:p>
    <w:p w14:paraId="2C10CBCA" w14:textId="77777777" w:rsidR="00772179" w:rsidRDefault="00000000">
      <w:pPr>
        <w:pStyle w:val="Author-eListParagraph"/>
        <w:numPr>
          <w:ilvl w:val="0"/>
          <w:numId w:val="1184"/>
        </w:numPr>
      </w:pPr>
      <w:r>
        <w:t xml:space="preserve">Epaisseur nominale  : ≥ </w:t>
      </w:r>
      <w:r>
        <w:rPr>
          <w:rStyle w:val="optioncarChar"/>
        </w:rPr>
        <w:t xml:space="preserve">19 / 25 / 30 </w:t>
      </w:r>
      <w:r>
        <w:t xml:space="preserve">mm. Maximum 10% d'enfoncement pour une surcharge de </w:t>
      </w:r>
      <w:r>
        <w:rPr>
          <w:rStyle w:val="optioncarChar"/>
        </w:rPr>
        <w:t>1 / 4 / 6</w:t>
      </w:r>
      <w:r>
        <w:t xml:space="preserve"> KN/m² selon la </w:t>
      </w:r>
      <w:r>
        <w:rPr>
          <w:shd w:val="clear" w:color="auto" w:fill="FFFFFF"/>
        </w:rPr>
        <w:t>[NBN EN 826]</w:t>
      </w:r>
    </w:p>
    <w:p w14:paraId="1B66C93F" w14:textId="77777777" w:rsidR="00772179" w:rsidRDefault="00000000">
      <w:pPr>
        <w:pStyle w:val="Author-eSectionHeading3Numberless"/>
      </w:pPr>
      <w:bookmarkStart w:id="1245" w:name="_Toc220490899"/>
      <w:r>
        <w:t>46.1 Sous-couches CCTB 01.02</w:t>
      </w:r>
      <w:bookmarkEnd w:id="1245"/>
    </w:p>
    <w:p w14:paraId="51432697" w14:textId="77777777" w:rsidR="00772179" w:rsidRDefault="00000000">
      <w:pPr>
        <w:pStyle w:val="Author-eSectionHeading4Numberless"/>
      </w:pPr>
      <w:bookmarkStart w:id="1246" w:name="_Toc220490900"/>
      <w:r>
        <w:t>46.11 Sous-couches de remplissage ou d'égalisation CCTB 01.02</w:t>
      </w:r>
      <w:bookmarkEnd w:id="1246"/>
    </w:p>
    <w:p w14:paraId="182C4B3F" w14:textId="77777777" w:rsidR="00772179" w:rsidRDefault="00000000">
      <w:pPr>
        <w:pStyle w:val="Author-eSectionHeading5Numberless"/>
      </w:pPr>
      <w:bookmarkStart w:id="1247" w:name="_Toc220490901"/>
      <w:r>
        <w:t>46.11.1 Sous-couches de remplissage ou d'égalisation à base de granulats liés CCTB 01.02</w:t>
      </w:r>
      <w:bookmarkEnd w:id="1247"/>
    </w:p>
    <w:p w14:paraId="764F61F0" w14:textId="77777777" w:rsidR="00772179" w:rsidRDefault="00000000">
      <w:pPr>
        <w:pStyle w:val="Author-eSectionHeading6Numberless"/>
      </w:pPr>
      <w:bookmarkStart w:id="1248" w:name="_Toc220490902"/>
      <w:r>
        <w:t>46.11.1a Sous-couches de remplissage ou d'égalisation à base de ciment et de sable de rivière. CCTB 01.02</w:t>
      </w:r>
      <w:bookmarkEnd w:id="1248"/>
    </w:p>
    <w:p w14:paraId="5E6D1AEA" w14:textId="77777777" w:rsidR="00772179" w:rsidRDefault="00000000">
      <w:pPr>
        <w:pStyle w:val="Author-eSectionHeading6Numberless"/>
      </w:pPr>
      <w:bookmarkStart w:id="1249" w:name="_Toc220490903"/>
      <w:r>
        <w:t>46.11.1b Sous-couches de remplissage ou d'égalisation à base de ciment, de gravier ou de pierraille et sable. CCTB 01.02</w:t>
      </w:r>
      <w:bookmarkEnd w:id="1249"/>
    </w:p>
    <w:p w14:paraId="1AAE5E0C" w14:textId="77777777" w:rsidR="00772179" w:rsidRDefault="00000000">
      <w:pPr>
        <w:pStyle w:val="Author-eSectionHeading6Numberless"/>
      </w:pPr>
      <w:bookmarkStart w:id="1250" w:name="_Toc220490904"/>
      <w:r>
        <w:t>46.11.1c Sous-couches de remplissage ou d'égalisation à base de granulats d'argile expansée enrobés de pâte de ciment ( béton d'argile expansée) CCTB 01.02</w:t>
      </w:r>
      <w:bookmarkEnd w:id="1250"/>
    </w:p>
    <w:p w14:paraId="2E5AC070" w14:textId="77777777" w:rsidR="00772179" w:rsidRDefault="00000000">
      <w:pPr>
        <w:pStyle w:val="Author-eSectionHeading6Numberless"/>
      </w:pPr>
      <w:bookmarkStart w:id="1251" w:name="_Toc220490905"/>
      <w:r>
        <w:t>46.11.1d Sous-couches de remplissage ou d'égalisation à base de billes de mousse de polystyrène expansé, de ciment et d'adjuvants (béton de polystyrène expansé) CCTB 01.02</w:t>
      </w:r>
      <w:bookmarkEnd w:id="1251"/>
    </w:p>
    <w:p w14:paraId="6A954680" w14:textId="77777777" w:rsidR="00772179" w:rsidRDefault="00000000">
      <w:pPr>
        <w:pStyle w:val="Author-eSectionHeading5Numberless"/>
      </w:pPr>
      <w:bookmarkStart w:id="1252" w:name="_Toc220490906"/>
      <w:r>
        <w:t>46.11.2 Sous-couches d'étanchéité CCTB 01.04</w:t>
      </w:r>
      <w:bookmarkEnd w:id="1252"/>
    </w:p>
    <w:p w14:paraId="7BBE9714" w14:textId="77777777" w:rsidR="00772179" w:rsidRDefault="00000000">
      <w:pPr>
        <w:pStyle w:val="pheading"/>
      </w:pPr>
      <w:r>
        <w:t>DESCRIPTION</w:t>
      </w:r>
    </w:p>
    <w:p w14:paraId="59B6E0C3" w14:textId="77777777" w:rsidR="00772179" w:rsidRDefault="00000000">
      <w:pPr>
        <w:pStyle w:val="pheading"/>
      </w:pPr>
      <w:r>
        <w:lastRenderedPageBreak/>
        <w:t>- Définition / Comprend</w:t>
      </w:r>
    </w:p>
    <w:p w14:paraId="57D9747A" w14:textId="77777777" w:rsidR="00772179" w:rsidRDefault="00000000">
      <w:r>
        <w:t>Renvoi au 32 Etanchéisation et isolation</w:t>
      </w:r>
    </w:p>
    <w:p w14:paraId="4C564BC7" w14:textId="77777777" w:rsidR="00772179" w:rsidRDefault="00000000">
      <w:pPr>
        <w:pStyle w:val="Author-eSectionHeading5Numberless"/>
      </w:pPr>
      <w:bookmarkStart w:id="1253" w:name="_Toc220490907"/>
      <w:r>
        <w:t>46.11.3 Sous-couches drainantes CCTB 01.02</w:t>
      </w:r>
      <w:bookmarkEnd w:id="1253"/>
    </w:p>
    <w:p w14:paraId="25A5FADE" w14:textId="77777777" w:rsidR="00772179" w:rsidRDefault="00000000">
      <w:pPr>
        <w:pStyle w:val="Author-eSectionHeading6Numberless"/>
      </w:pPr>
      <w:bookmarkStart w:id="1254" w:name="_Toc220490908"/>
      <w:r>
        <w:t>46.11.3a Sous-couches drainantes pour chapes et revêtements de sols extérieurs</w:t>
      </w:r>
      <w:bookmarkEnd w:id="1254"/>
    </w:p>
    <w:p w14:paraId="6B95EDDD" w14:textId="77777777" w:rsidR="00772179" w:rsidRDefault="00000000">
      <w:pPr>
        <w:pStyle w:val="Author-eSectionHeading4Numberless"/>
      </w:pPr>
      <w:bookmarkStart w:id="1255" w:name="_Toc220490909"/>
      <w:r>
        <w:t>46.12 Supports de planchers en lambourdes CCTB 01.02</w:t>
      </w:r>
      <w:bookmarkEnd w:id="1255"/>
    </w:p>
    <w:p w14:paraId="71D3219B" w14:textId="77777777" w:rsidR="00772179" w:rsidRDefault="00000000">
      <w:pPr>
        <w:pStyle w:val="Author-eSectionHeading5Numberless"/>
      </w:pPr>
      <w:bookmarkStart w:id="1256" w:name="_Toc220490910"/>
      <w:r>
        <w:t>46.12.1 Supports de planchers en lambourdes</w:t>
      </w:r>
      <w:bookmarkEnd w:id="1256"/>
    </w:p>
    <w:p w14:paraId="4BBD2DEB" w14:textId="77777777" w:rsidR="00772179" w:rsidRDefault="00000000">
      <w:pPr>
        <w:pStyle w:val="Author-eSectionHeading6Numberless"/>
      </w:pPr>
      <w:bookmarkStart w:id="1257" w:name="_Toc220490911"/>
      <w:r>
        <w:t>46.12.1a Supports de planchers extérieurs en lambourdes</w:t>
      </w:r>
      <w:bookmarkEnd w:id="1257"/>
    </w:p>
    <w:p w14:paraId="33977EE4" w14:textId="77777777" w:rsidR="00772179" w:rsidRDefault="00000000">
      <w:pPr>
        <w:pStyle w:val="Author-eSectionHeading3Numberless"/>
      </w:pPr>
      <w:bookmarkStart w:id="1258" w:name="_Toc220490912"/>
      <w:r>
        <w:t>46.2 Chapes CCTB 01.10</w:t>
      </w:r>
      <w:bookmarkEnd w:id="1258"/>
    </w:p>
    <w:p w14:paraId="55EBC798" w14:textId="77777777" w:rsidR="00772179" w:rsidRDefault="00000000">
      <w:pPr>
        <w:pStyle w:val="pheading"/>
      </w:pPr>
      <w:r>
        <w:t>DESCRIPTION</w:t>
      </w:r>
    </w:p>
    <w:p w14:paraId="5154F918" w14:textId="77777777" w:rsidR="00772179" w:rsidRDefault="00000000">
      <w:pPr>
        <w:pStyle w:val="pheading"/>
      </w:pPr>
      <w:r>
        <w:t>- Définition / Comprend</w:t>
      </w:r>
    </w:p>
    <w:p w14:paraId="43E4F69E" w14:textId="77777777" w:rsidR="00772179" w:rsidRDefault="00000000">
      <w:r>
        <w:t>Les chapes sont appelées 'ordinaires' ou 'à base de ciment' lorsqu'elles sont fabriquées à base de ciment et que le ciment ne contient pas d'additifs spéciaux qui modifient les propriétés mécaniques de la chape ou le temps de séchage du mortier. Dans les autres cas, on parle de 'chapes spéciales'.</w:t>
      </w:r>
      <w:r>
        <w:br/>
        <w:t>(voir la rubrique 53.21 Chapes adhérentes -  53.22 Chapes non adhérentes -  53.23 Chapes flottantes).</w:t>
      </w:r>
      <w:r>
        <w:br/>
        <w:t>Lorsque les chapes (avec une couche d'usure) constituent également la finition, elles sont appelées 'sols industriels'</w:t>
      </w:r>
      <w:r>
        <w:br/>
        <w:t>(voir la rubrique 53.31 Sols de type industriel à base de ciment)</w:t>
      </w:r>
      <w:r>
        <w:br/>
        <w:t>Voir aussi la [NBN EN 13318, Matériau pour chape et chapes - Terminologie].</w:t>
      </w:r>
    </w:p>
    <w:p w14:paraId="41D5F0A0" w14:textId="77777777" w:rsidR="00772179" w:rsidRDefault="00000000">
      <w:pPr>
        <w:pStyle w:val="pheading"/>
      </w:pPr>
      <w:r>
        <w:t>MATÉRIAUX</w:t>
      </w:r>
    </w:p>
    <w:p w14:paraId="477D132D" w14:textId="77777777" w:rsidR="00772179" w:rsidRDefault="00000000">
      <w:r>
        <w:t>Les chapes à base de ciment sont régies par les dispositions de la [NIT 189, Les chapes pour couvre-sols. 1ère partie : Matériaux - Performances - Réception.], complétées par la [NBN EN 13813, Matériaux de chapes et chapes - Matériaux de chapes - Propriétés et exigences] et par la [NBN EN 1937, Méthode d'essai pour les mortiers de lissage et/ou de nivellement à prise hydraulique - Préparation des mélanges].</w:t>
      </w:r>
    </w:p>
    <w:p w14:paraId="24557227" w14:textId="77777777" w:rsidR="00772179" w:rsidRDefault="00000000">
      <w:pPr>
        <w:pStyle w:val="pheading"/>
      </w:pPr>
      <w:r>
        <w:t>EXÉCUTION / MISE EN ŒUVRE</w:t>
      </w:r>
    </w:p>
    <w:p w14:paraId="7D08FC9C" w14:textId="77777777" w:rsidR="00772179" w:rsidRDefault="00000000">
      <w:r>
        <w:t>L'exécution s'effectuera conformément à la [NIT 193, Les chapes. 2e partie: Mise en oeuvre.].</w:t>
      </w:r>
    </w:p>
    <w:p w14:paraId="5CCFE096" w14:textId="77777777" w:rsidR="00772179" w:rsidRDefault="00000000">
      <w:pPr>
        <w:pStyle w:val="Author-eListParagraph"/>
        <w:numPr>
          <w:ilvl w:val="0"/>
          <w:numId w:val="1185"/>
        </w:numPr>
      </w:pPr>
      <w:r>
        <w:t>Les chapes sont mises en œuvre après les plafonnages, les socles en maçonnerie et en béton et après la pose des menuiseries extérieures et des vitrages. Les chapes ne sont pas mises en œuvre lorsque la température du support et/ou la température ambiante est &lt; 5°C . Les chapes sont protégées contre une dessiccation trop rapide. Les courants d'air et le rayonnement intense sont à proscrire.</w:t>
      </w:r>
    </w:p>
    <w:p w14:paraId="2DE7B455" w14:textId="77777777" w:rsidR="00772179" w:rsidRDefault="00000000">
      <w:pPr>
        <w:pStyle w:val="Author-eListParagraph"/>
        <w:numPr>
          <w:ilvl w:val="0"/>
          <w:numId w:val="1185"/>
        </w:numPr>
      </w:pPr>
      <w:r>
        <w:t>L'entrepreneur vérifie si l'aire de pose répond aux exigences de la [NIT 193] et, si nécessaire, prend les dispositions afin qu'elle soit conforme. L'exécution des bandes périphériques, des joints de retrait et de mouvement est comprise dans le présent article. Le dessin des joints et leur mode d'exécution sont soumis pour approbation à l'auteur de projet. Au droit des baies de portes, les bords périphériques sont prolongés. Le niveau fini de la chape tient compte du revêtement de sol.</w:t>
      </w:r>
    </w:p>
    <w:p w14:paraId="2CFDF28D" w14:textId="77777777" w:rsidR="00772179" w:rsidRDefault="00000000">
      <w:pPr>
        <w:pStyle w:val="pheading"/>
      </w:pPr>
      <w:r>
        <w:t>CONTRÔLES</w:t>
      </w:r>
    </w:p>
    <w:p w14:paraId="254EE49D" w14:textId="77777777" w:rsidR="00772179" w:rsidRDefault="00000000">
      <w:r>
        <w:t>Conformément à la rubrique 53 Chapes et revêtements de sols intérieurs chapes et sols industriels - généralités. Les tolérances d'écarts vers le haut ou vers le bas entre les côtes de niveau éloignées de 20 m sont ≤ 3 mm .</w:t>
      </w:r>
    </w:p>
    <w:p w14:paraId="5EA52942" w14:textId="77777777" w:rsidR="00772179" w:rsidRDefault="00000000">
      <w:pPr>
        <w:pStyle w:val="Author-eSectionHeading4Numberless"/>
      </w:pPr>
      <w:bookmarkStart w:id="1259" w:name="_Toc220490913"/>
      <w:r>
        <w:t>46.21 Chapes adhérentes CCTB 01.11</w:t>
      </w:r>
      <w:bookmarkEnd w:id="1259"/>
    </w:p>
    <w:p w14:paraId="012CBB19" w14:textId="77777777" w:rsidR="00772179" w:rsidRDefault="00000000">
      <w:pPr>
        <w:pStyle w:val="pheading"/>
      </w:pPr>
      <w:r>
        <w:t>MATÉRIAUX</w:t>
      </w:r>
    </w:p>
    <w:p w14:paraId="2C1253B3" w14:textId="77777777" w:rsidR="00772179" w:rsidRDefault="00000000">
      <w:r>
        <w:rPr>
          <w:b/>
          <w:sz w:val="24"/>
        </w:rPr>
        <w:lastRenderedPageBreak/>
        <w:t> Chape ordinaire – adhérentes / non armées</w:t>
      </w:r>
    </w:p>
    <w:p w14:paraId="5621B48C" w14:textId="77777777" w:rsidR="00772179" w:rsidRDefault="00000000">
      <w:r>
        <w:t>Les chapes adhérentes non armées à base de ciment satisfont aux dispositions de la [NIT 189] § 5. La composition est déterminée par l'entrepreneur en fonction des directives du § 5.4 de la [NIT 189] et du § 4.1.2 de la [NIT 193]</w:t>
      </w:r>
    </w:p>
    <w:p w14:paraId="66183EE1" w14:textId="77777777" w:rsidR="00772179" w:rsidRDefault="00000000">
      <w:pPr>
        <w:pStyle w:val="heading"/>
      </w:pPr>
      <w:r>
        <w:t>Spécifications</w:t>
      </w:r>
    </w:p>
    <w:p w14:paraId="4B3121FE" w14:textId="77777777" w:rsidR="00772179" w:rsidRDefault="00000000">
      <w:pPr>
        <w:pStyle w:val="Author-eListParagraph"/>
        <w:numPr>
          <w:ilvl w:val="0"/>
          <w:numId w:val="1186"/>
        </w:numPr>
      </w:pPr>
      <w:r>
        <w:t>Résistance à la compression sur 2 échantillons : ≥ 8 N/mm² (méthode d'essai selon la [NIT 189] §4.3.2).</w:t>
      </w:r>
    </w:p>
    <w:p w14:paraId="36F1E876" w14:textId="77777777" w:rsidR="00772179" w:rsidRDefault="00000000">
      <w:pPr>
        <w:pStyle w:val="Author-eListParagraph"/>
        <w:numPr>
          <w:ilvl w:val="0"/>
          <w:numId w:val="1186"/>
        </w:numPr>
      </w:pPr>
      <w:r>
        <w:t xml:space="preserve">Classe de planéité : </w:t>
      </w:r>
      <w:r>
        <w:rPr>
          <w:rStyle w:val="optioncarChar"/>
        </w:rPr>
        <w:t>2 </w:t>
      </w:r>
      <w:r>
        <w:t>([NIT 189] § 4.2.3).</w:t>
      </w:r>
    </w:p>
    <w:p w14:paraId="796FD2E0" w14:textId="77777777" w:rsidR="00772179" w:rsidRDefault="00000000">
      <w:pPr>
        <w:pStyle w:val="Author-eListParagraph"/>
        <w:numPr>
          <w:ilvl w:val="0"/>
          <w:numId w:val="1186"/>
        </w:numPr>
      </w:pPr>
      <w:r>
        <w:t xml:space="preserve">Epaisseur : ≥ </w:t>
      </w:r>
      <w:r>
        <w:rPr>
          <w:rStyle w:val="optioncarChar"/>
        </w:rPr>
        <w:t>3 / 4 </w:t>
      </w:r>
      <w:r>
        <w:t>cm.  </w:t>
      </w:r>
    </w:p>
    <w:p w14:paraId="51F9DDAD" w14:textId="77777777" w:rsidR="00772179" w:rsidRDefault="00000000">
      <w:r>
        <w:rPr>
          <w:b/>
          <w:sz w:val="24"/>
        </w:rPr>
        <w:t>  Chape ordinaire – adhérentes / légèrement armées</w:t>
      </w:r>
    </w:p>
    <w:p w14:paraId="79BA0AE3" w14:textId="77777777" w:rsidR="00772179" w:rsidRDefault="00000000">
      <w:r>
        <w:t>Les chapes adhérentes armées à base de ciment satisfont aux dispositions de la [NIT 189] § 5. La composition est déterminée par l'entrepreneur, en tenant compte des directives du § 5.4 de la [NIT 189] et § 4.1.2 de la [NIT 193]</w:t>
      </w:r>
    </w:p>
    <w:p w14:paraId="7140ACE2" w14:textId="77777777" w:rsidR="00772179" w:rsidRDefault="00000000">
      <w:pPr>
        <w:pStyle w:val="heading"/>
      </w:pPr>
      <w:r>
        <w:t>Spécifications</w:t>
      </w:r>
    </w:p>
    <w:p w14:paraId="59355535" w14:textId="77777777" w:rsidR="00772179" w:rsidRDefault="00000000">
      <w:pPr>
        <w:pStyle w:val="Author-eListParagraph"/>
        <w:numPr>
          <w:ilvl w:val="0"/>
          <w:numId w:val="1187"/>
        </w:numPr>
      </w:pPr>
      <w:r>
        <w:t>Résistance à la compression sur deux échantillons : ≥ 8 N/mm² (méthode d'essai selon la [NIT 189] § 4.3.2).</w:t>
      </w:r>
    </w:p>
    <w:p w14:paraId="6E12BCE0" w14:textId="77777777" w:rsidR="00772179" w:rsidRDefault="00000000">
      <w:pPr>
        <w:pStyle w:val="Author-eListParagraph"/>
        <w:numPr>
          <w:ilvl w:val="0"/>
          <w:numId w:val="1187"/>
        </w:numPr>
      </w:pPr>
      <w:r>
        <w:t xml:space="preserve">Classe de planéité : </w:t>
      </w:r>
      <w:r>
        <w:rPr>
          <w:rStyle w:val="optioncarChar"/>
        </w:rPr>
        <w:t xml:space="preserve">2 </w:t>
      </w:r>
      <w:r>
        <w:t>(selon la [NIT 189] § 4.2.3).</w:t>
      </w:r>
    </w:p>
    <w:p w14:paraId="5FE4C96C" w14:textId="77777777" w:rsidR="00772179" w:rsidRDefault="00000000">
      <w:pPr>
        <w:pStyle w:val="Author-eListParagraph"/>
        <w:numPr>
          <w:ilvl w:val="0"/>
          <w:numId w:val="1187"/>
        </w:numPr>
      </w:pPr>
      <w:r>
        <w:t>Epaisseur : ≥ </w:t>
      </w:r>
      <w:r>
        <w:rPr>
          <w:rStyle w:val="optioncarChar"/>
        </w:rPr>
        <w:t xml:space="preserve">5 / 6 / 7 </w:t>
      </w:r>
      <w:r>
        <w:t>cm.</w:t>
      </w:r>
    </w:p>
    <w:p w14:paraId="67100B60" w14:textId="77777777" w:rsidR="00772179" w:rsidRDefault="00000000">
      <w:pPr>
        <w:pStyle w:val="pheading"/>
      </w:pPr>
      <w:r>
        <w:t>EXÉCUTION / MISE EN ŒUVRE</w:t>
      </w:r>
    </w:p>
    <w:p w14:paraId="6D91453A" w14:textId="77777777" w:rsidR="00772179" w:rsidRDefault="00000000">
      <w:r>
        <w:rPr>
          <w:b/>
          <w:color w:val="969696"/>
          <w:sz w:val="24"/>
        </w:rPr>
        <w:t>Chape Ordinaire – Adhérentes / Non Armées</w:t>
      </w:r>
    </w:p>
    <w:p w14:paraId="7919BCBA" w14:textId="77777777" w:rsidR="00772179" w:rsidRDefault="00000000">
      <w:pPr>
        <w:pStyle w:val="Author-eListParagraph"/>
        <w:numPr>
          <w:ilvl w:val="0"/>
          <w:numId w:val="1188"/>
        </w:numPr>
      </w:pPr>
      <w:r>
        <w:t>Les chapes sont exécutées selon le § 4.1 de la [NIT 193]. Les conduites et/ou des gaines sont intégrées dans les chapes. L'aire de pose est préalablement humidifiée. Une couche d'adhérence est appliquée à la brosse. Elle se compose d'un mélange de ciment, de sable et d'additifs. Il n'est pas prévu de joints de retrait dans les chapes.</w:t>
      </w:r>
    </w:p>
    <w:p w14:paraId="6B6A12BF" w14:textId="77777777" w:rsidR="00772179" w:rsidRDefault="00000000">
      <w:pPr>
        <w:pStyle w:val="Author-eListParagraph"/>
        <w:numPr>
          <w:ilvl w:val="0"/>
          <w:numId w:val="1188"/>
        </w:numPr>
      </w:pPr>
      <w:r>
        <w:t>Une isolation périphérique est appliquée sur tous les murs. Celle-ci se compose de bandes de polystyrène ou similaire et dépasse de quelques cm au-dessus du niveau du sol fini. Après l'exécution des revêtements de sol, elles sont coupées à ras.</w:t>
      </w:r>
    </w:p>
    <w:p w14:paraId="5F5E07DF" w14:textId="77777777" w:rsidR="00772179" w:rsidRDefault="00000000">
      <w:r>
        <w:rPr>
          <w:b/>
          <w:sz w:val="24"/>
        </w:rPr>
        <w:t>Chape ordinaire – adhérentes / légèrement armées</w:t>
      </w:r>
    </w:p>
    <w:p w14:paraId="3560D1CD" w14:textId="77777777" w:rsidR="00772179" w:rsidRDefault="00000000">
      <w:r>
        <w:t>Les chapes sont mises en œuvre selon le § 4.1 de la [NIT 193]. L'aire de pose est préalablement humidifiée et enduite à la brosse d'une couche d'adhérence composée d'un mélange liquide de ciment, de sable et d'additifs. Il n'est pas prévu de joints de retrait dans la chape.</w:t>
      </w:r>
    </w:p>
    <w:p w14:paraId="5E5D6C81" w14:textId="77777777" w:rsidR="00772179" w:rsidRDefault="00000000">
      <w:r>
        <w:t>La chape est pourvue d'une armature composée de :</w:t>
      </w:r>
    </w:p>
    <w:p w14:paraId="41187232" w14:textId="77777777" w:rsidR="00772179" w:rsidRDefault="00000000">
      <w:r>
        <w:rPr>
          <w:rStyle w:val="optioncarChar"/>
        </w:rPr>
        <w:t xml:space="preserve">un treillis en métal non galvanisé </w:t>
      </w:r>
      <w:r>
        <w:t xml:space="preserve">(par défaut) </w:t>
      </w:r>
      <w:r>
        <w:rPr>
          <w:rStyle w:val="optioncarChar"/>
        </w:rPr>
        <w:t>/ fibres de polypropylène</w:t>
      </w:r>
    </w:p>
    <w:p w14:paraId="61E1C021" w14:textId="77777777" w:rsidR="00772179" w:rsidRDefault="00000000">
      <w:r>
        <w:rPr>
          <w:b/>
        </w:rPr>
        <w:t>(soit par défaut)</w:t>
      </w:r>
      <w:r>
        <w:t xml:space="preserve"> : </w:t>
      </w:r>
      <w:r>
        <w:rPr>
          <w:rStyle w:val="soitChar"/>
          <w:u w:val="single"/>
        </w:rPr>
        <w:t>un treillis en métal non galvanisé</w:t>
      </w:r>
      <w:r>
        <w:rPr>
          <w:rStyle w:val="soitChar"/>
        </w:rPr>
        <w:t>, aux mailles carrées </w:t>
      </w:r>
      <w:r>
        <w:rPr>
          <w:rStyle w:val="optioncarChar"/>
        </w:rPr>
        <w:t xml:space="preserve">38 x 38 x 1 / *** </w:t>
      </w:r>
      <w:r>
        <w:rPr>
          <w:rStyle w:val="soitChar"/>
        </w:rPr>
        <w:t>mm.</w:t>
      </w:r>
      <w:r>
        <w:br/>
      </w:r>
      <w:r>
        <w:rPr>
          <w:b/>
        </w:rPr>
        <w:t>(soit)</w:t>
      </w:r>
      <w:r>
        <w:t xml:space="preserve"> : </w:t>
      </w:r>
      <w:r>
        <w:rPr>
          <w:rStyle w:val="soitChar"/>
          <w:u w:val="single"/>
        </w:rPr>
        <w:t>fibres de polypropylène</w:t>
      </w:r>
      <w:r>
        <w:rPr>
          <w:rStyle w:val="soitChar"/>
        </w:rPr>
        <w:t xml:space="preserve"> à raison de </w:t>
      </w:r>
      <w:r>
        <w:rPr>
          <w:rStyle w:val="optioncarChar"/>
        </w:rPr>
        <w:t xml:space="preserve">900 </w:t>
      </w:r>
      <w:r>
        <w:t>(par défaut)</w:t>
      </w:r>
      <w:r>
        <w:rPr>
          <w:rStyle w:val="optioncarChar"/>
        </w:rPr>
        <w:t xml:space="preserve"> / *** </w:t>
      </w:r>
      <w:r>
        <w:rPr>
          <w:rStyle w:val="soitChar"/>
        </w:rPr>
        <w:t>gr/m³. Le mélange des fibres dans le mortier s'effectue selon les directives du fabricant. Le mortier est ensuite mis en œuvre au moyen d'une pompe rotative (sans pression d'air). Un procès-verbal d’essai relatif à l’emploi et à la fonction des fibres est demandé auprès du fabricant.</w:t>
      </w:r>
    </w:p>
    <w:p w14:paraId="2C949545" w14:textId="77777777" w:rsidR="00772179" w:rsidRDefault="00000000">
      <w:pPr>
        <w:pStyle w:val="pheading"/>
      </w:pPr>
      <w:r>
        <w:t>AIDE</w:t>
      </w:r>
    </w:p>
    <w:p w14:paraId="5B2F4564" w14:textId="77777777" w:rsidR="00772179" w:rsidRDefault="00000000">
      <w:r>
        <w:rPr>
          <w:i/>
          <w:u w:val="single"/>
        </w:rPr>
        <w:t xml:space="preserve">Note à l'attention de l'auteur de projet </w:t>
      </w:r>
      <w:r>
        <w:br/>
        <w:t>La chape est posée en adhérence sur l'aire de pose lorsque celle-ci est stable et solide (sans fissures actives) et exempte d'humidité nuisible à la chape ou au revêtement du sol. </w:t>
      </w:r>
    </w:p>
    <w:p w14:paraId="3F85F88D" w14:textId="77777777" w:rsidR="00772179" w:rsidRDefault="00000000">
      <w:pPr>
        <w:pStyle w:val="Author-eSectionHeading5Numberless"/>
      </w:pPr>
      <w:bookmarkStart w:id="1260" w:name="_Toc220490914"/>
      <w:r>
        <w:t>46.21.1 Chapes adhérentes à base de ciment CCTB 01.02</w:t>
      </w:r>
      <w:bookmarkEnd w:id="1260"/>
    </w:p>
    <w:p w14:paraId="119D104B" w14:textId="77777777" w:rsidR="00772179" w:rsidRDefault="00000000">
      <w:pPr>
        <w:pStyle w:val="Author-eSectionHeading6Numberless"/>
      </w:pPr>
      <w:bookmarkStart w:id="1261" w:name="_Toc220490915"/>
      <w:r>
        <w:t>46.21.1a Chapes adhérentes à base de ciment CCTB 01.02</w:t>
      </w:r>
      <w:bookmarkEnd w:id="1261"/>
    </w:p>
    <w:p w14:paraId="5186C345" w14:textId="77777777" w:rsidR="00772179" w:rsidRDefault="00000000">
      <w:pPr>
        <w:pStyle w:val="Author-eSectionHeading6Numberless"/>
      </w:pPr>
      <w:bookmarkStart w:id="1262" w:name="_Toc220490916"/>
      <w:r>
        <w:t>46.21.1b Chapes adhérentes à base de ciment, autonivellante CCTB 01.02</w:t>
      </w:r>
      <w:bookmarkEnd w:id="1262"/>
    </w:p>
    <w:p w14:paraId="39FE067C" w14:textId="77777777" w:rsidR="00772179" w:rsidRDefault="00000000">
      <w:pPr>
        <w:pStyle w:val="Author-eSectionHeading6Numberless"/>
      </w:pPr>
      <w:bookmarkStart w:id="1263" w:name="_Toc220490917"/>
      <w:r>
        <w:lastRenderedPageBreak/>
        <w:t>46.21.1c Chapes adhérentes à base de ciment, en 2 couches, dont la supérieure est clouable CCTB 01.02</w:t>
      </w:r>
      <w:bookmarkEnd w:id="1263"/>
    </w:p>
    <w:p w14:paraId="614B8369" w14:textId="77777777" w:rsidR="00772179" w:rsidRDefault="00000000">
      <w:pPr>
        <w:pStyle w:val="Author-eSectionHeading5Numberless"/>
      </w:pPr>
      <w:bookmarkStart w:id="1264" w:name="_Toc220490918"/>
      <w:r>
        <w:t>46.21.2 Chapes adhérentes en asphalte coulé CCTB 01.02</w:t>
      </w:r>
      <w:bookmarkEnd w:id="1264"/>
    </w:p>
    <w:p w14:paraId="28FD2E1C" w14:textId="77777777" w:rsidR="00772179" w:rsidRDefault="00000000">
      <w:pPr>
        <w:pStyle w:val="Author-eSectionHeading6Numberless"/>
      </w:pPr>
      <w:bookmarkStart w:id="1265" w:name="_Toc220490919"/>
      <w:r>
        <w:t>46.21.2a Chapes extérieures adhérentes en asphalte coulé</w:t>
      </w:r>
      <w:bookmarkEnd w:id="1265"/>
    </w:p>
    <w:p w14:paraId="13DEAF48" w14:textId="77777777" w:rsidR="00772179" w:rsidRDefault="00000000">
      <w:pPr>
        <w:pStyle w:val="Author-eSectionHeading5Numberless"/>
      </w:pPr>
      <w:bookmarkStart w:id="1266" w:name="_Toc220490920"/>
      <w:r>
        <w:t>46.21.3 Chapes adhérentes à base de résines synthétiques CCTB 01.02</w:t>
      </w:r>
      <w:bookmarkEnd w:id="1266"/>
    </w:p>
    <w:p w14:paraId="60F71F17" w14:textId="77777777" w:rsidR="00772179" w:rsidRDefault="00000000">
      <w:pPr>
        <w:pStyle w:val="Author-eSectionHeading6Numberless"/>
      </w:pPr>
      <w:bookmarkStart w:id="1267" w:name="_Toc220490921"/>
      <w:r>
        <w:t>46.21.3a Chapes extérieures adhérentes à base de résines synthétiques</w:t>
      </w:r>
      <w:bookmarkEnd w:id="1267"/>
    </w:p>
    <w:p w14:paraId="0370AF91" w14:textId="77777777" w:rsidR="00772179" w:rsidRDefault="00000000">
      <w:pPr>
        <w:pStyle w:val="Author-eSectionHeading4Numberless"/>
      </w:pPr>
      <w:bookmarkStart w:id="1268" w:name="_Toc220490922"/>
      <w:r>
        <w:t>46.22 Chapes flottantes CCTB 01.11</w:t>
      </w:r>
      <w:bookmarkEnd w:id="1268"/>
    </w:p>
    <w:p w14:paraId="150C0AF8" w14:textId="77777777" w:rsidR="00772179" w:rsidRDefault="00000000">
      <w:pPr>
        <w:pStyle w:val="pheading"/>
      </w:pPr>
      <w:bookmarkStart w:id="1269" w:name="1131"/>
      <w:bookmarkEnd w:id="1269"/>
      <w:r>
        <w:t>DESCRIPTION</w:t>
      </w:r>
    </w:p>
    <w:p w14:paraId="0A0D95E7" w14:textId="77777777" w:rsidR="00772179" w:rsidRDefault="00000000">
      <w:pPr>
        <w:pStyle w:val="pheading"/>
      </w:pPr>
      <w:r>
        <w:t>- Définition / Comprend</w:t>
      </w:r>
    </w:p>
    <w:p w14:paraId="463C6F2C" w14:textId="77777777" w:rsidR="00772179" w:rsidRDefault="00000000">
      <w:r>
        <w:t>La technique des chapes flottantes est appliquée lorsqu'une isolation thermique et/ou acoustique est prévue sous la chape, selon la rubrique 52.41.1 Isolation en panneaux - matières synthétiques et/ou 52.42 Isolation en rouleaux/matelas. Les chapes flottantes sont toujours pourvues d'une armature.</w:t>
      </w:r>
    </w:p>
    <w:p w14:paraId="1781C3ED" w14:textId="77777777" w:rsidR="00772179" w:rsidRDefault="00000000">
      <w:pPr>
        <w:pStyle w:val="pheading"/>
      </w:pPr>
      <w:r>
        <w:t>MATÉRIAUX</w:t>
      </w:r>
    </w:p>
    <w:p w14:paraId="684625E0" w14:textId="77777777" w:rsidR="00772179" w:rsidRDefault="00000000">
      <w:r>
        <w:t>Les chapes flottantes à base de ciment satisfont aux dispositions du § 5 de la [NIT 189]. La composition est déterminée par l'entrepreneur, compte tenu des directives du § 5.4 de la [NIT 189] et du § 4.1.2 de la [NIT 193].</w:t>
      </w:r>
    </w:p>
    <w:p w14:paraId="6627E6DA" w14:textId="77777777" w:rsidR="00772179" w:rsidRDefault="00000000">
      <w:pPr>
        <w:pStyle w:val="heading"/>
      </w:pPr>
      <w:r>
        <w:t>Spécifications</w:t>
      </w:r>
    </w:p>
    <w:p w14:paraId="23D0294A" w14:textId="77777777" w:rsidR="00772179" w:rsidRDefault="00000000">
      <w:pPr>
        <w:pStyle w:val="Author-eListParagraph"/>
        <w:numPr>
          <w:ilvl w:val="0"/>
          <w:numId w:val="1189"/>
        </w:numPr>
      </w:pPr>
      <w:r>
        <w:t>Résistance à la compression sur deux échantillons : ≥ 8 N/mm² (méthode d'essai selon la [NIT 189] §4.3.2).</w:t>
      </w:r>
    </w:p>
    <w:p w14:paraId="03CCCB89" w14:textId="77777777" w:rsidR="00772179" w:rsidRDefault="00000000">
      <w:pPr>
        <w:pStyle w:val="Author-eListParagraph"/>
        <w:numPr>
          <w:ilvl w:val="0"/>
          <w:numId w:val="1189"/>
        </w:numPr>
      </w:pPr>
      <w:r>
        <w:t>Classe de planéité :</w:t>
      </w:r>
      <w:r>
        <w:rPr>
          <w:rStyle w:val="optioncarChar"/>
        </w:rPr>
        <w:t xml:space="preserve"> 2 </w:t>
      </w:r>
      <w:r>
        <w:t>voir la [NIT 189] § 4.2.3).</w:t>
      </w:r>
    </w:p>
    <w:p w14:paraId="62A8FD77" w14:textId="77777777" w:rsidR="00772179" w:rsidRDefault="00000000">
      <w:pPr>
        <w:pStyle w:val="Author-eListParagraph"/>
        <w:numPr>
          <w:ilvl w:val="0"/>
          <w:numId w:val="1189"/>
        </w:numPr>
      </w:pPr>
      <w:r>
        <w:t xml:space="preserve">Epaisseur : ≥ </w:t>
      </w:r>
      <w:r>
        <w:rPr>
          <w:rStyle w:val="optioncarChar"/>
        </w:rPr>
        <w:t xml:space="preserve">5 / 6 / 7 </w:t>
      </w:r>
      <w:r>
        <w:t>cm (voir la [NIT 189] § 5.3.2.3)  </w:t>
      </w:r>
    </w:p>
    <w:p w14:paraId="0810AF00" w14:textId="77777777" w:rsidR="00772179" w:rsidRDefault="00000000">
      <w:pPr>
        <w:pStyle w:val="pheading"/>
      </w:pPr>
      <w:r>
        <w:t>EXÉCUTION / MISE EN ŒUVRE</w:t>
      </w:r>
    </w:p>
    <w:p w14:paraId="031654A4" w14:textId="77777777" w:rsidR="00772179" w:rsidRDefault="00000000">
      <w:r>
        <w:t>Les chapes sont mises en œuvre selon le § 4.3 de la [NIT 193] et sont pourvues d'une armature composée de :</w:t>
      </w:r>
    </w:p>
    <w:p w14:paraId="0AB9CF8E" w14:textId="77777777" w:rsidR="00772179" w:rsidRDefault="00000000">
      <w:r>
        <w:rPr>
          <w:rStyle w:val="optioncarChar"/>
        </w:rPr>
        <w:t>un treillis en métal non galvanisé </w:t>
      </w:r>
      <w:r>
        <w:t>(par défaut) </w:t>
      </w:r>
      <w:r>
        <w:rPr>
          <w:rStyle w:val="optioncarChar"/>
        </w:rPr>
        <w:t>/ fibres de polypropylène</w:t>
      </w:r>
    </w:p>
    <w:p w14:paraId="155C2201" w14:textId="77777777" w:rsidR="00772179" w:rsidRDefault="00000000">
      <w:r>
        <w:rPr>
          <w:b/>
        </w:rPr>
        <w:t>(soit par défaut)</w:t>
      </w:r>
      <w:r>
        <w:t> : </w:t>
      </w:r>
      <w:r>
        <w:rPr>
          <w:rStyle w:val="soitChar"/>
          <w:u w:val="single"/>
        </w:rPr>
        <w:t>un treillis en métal non galvanisé</w:t>
      </w:r>
      <w:r>
        <w:rPr>
          <w:rStyle w:val="soitChar"/>
        </w:rPr>
        <w:t>, aux mailles carrées </w:t>
      </w:r>
      <w:r>
        <w:rPr>
          <w:rStyle w:val="optioncarChar"/>
        </w:rPr>
        <w:t>38 x 38 x 1 / *** </w:t>
      </w:r>
      <w:r>
        <w:rPr>
          <w:rStyle w:val="soitChar"/>
        </w:rPr>
        <w:t>mm.</w:t>
      </w:r>
      <w:r>
        <w:br/>
      </w:r>
      <w:r>
        <w:rPr>
          <w:b/>
        </w:rPr>
        <w:t>(soit)</w:t>
      </w:r>
      <w:r>
        <w:t> : </w:t>
      </w:r>
      <w:r>
        <w:rPr>
          <w:rStyle w:val="soitChar"/>
          <w:u w:val="single"/>
        </w:rPr>
        <w:t>fibres de polypropylène</w:t>
      </w:r>
      <w:r>
        <w:rPr>
          <w:rStyle w:val="soitChar"/>
        </w:rPr>
        <w:t> à raison de </w:t>
      </w:r>
      <w:r>
        <w:rPr>
          <w:rStyle w:val="optioncarChar"/>
        </w:rPr>
        <w:t xml:space="preserve">900 </w:t>
      </w:r>
      <w:r>
        <w:t>(par défaut)</w:t>
      </w:r>
      <w:r>
        <w:rPr>
          <w:rStyle w:val="optioncarChar"/>
        </w:rPr>
        <w:t xml:space="preserve"> / *** </w:t>
      </w:r>
      <w:r>
        <w:rPr>
          <w:rStyle w:val="soitChar"/>
        </w:rPr>
        <w:t>gr/m³. Le mélange des fibres dans le mortier s'effectue selon les directives du fabricant. Le mortier est ensuite mis en œuvre au moyen d'une pompe rotative (sans pression d'air). Un procès-verbal d’essai relatif à l’emploi et à la fonction des fibres est demandé auprès du fabricant.</w:t>
      </w:r>
    </w:p>
    <w:p w14:paraId="0A91394E" w14:textId="77777777" w:rsidR="00772179" w:rsidRDefault="00000000">
      <w:r>
        <w:t>Une isolation périphérique est appliquée contre tous les murs. Celle-ci se compose de bandes de polystyrène ou d'un matériau similaire qui isole au moins aussi bien et dépasse de quelques cm au-dessus du sol fini. Après l'exécution des revêtements de sol, elles sont coupées à ras. Les joints de dilatation sont mis en œuvre afin de limiter les surfaces à 50 m² et la longueur à 8 m.</w:t>
      </w:r>
    </w:p>
    <w:p w14:paraId="00500B5E" w14:textId="77777777" w:rsidR="00772179" w:rsidRDefault="00000000">
      <w:r>
        <w:rPr>
          <w:u w:val="single"/>
        </w:rPr>
        <w:t>Notes d'exécution complémentaires</w:t>
      </w:r>
      <w:r>
        <w:br/>
        <w:t>Les joints de dilatation de la chape coïncident avec ceux du revêtement de sol et sont finis conformément au point § 6.1.2.1 de la [NIT 193]. </w:t>
      </w:r>
    </w:p>
    <w:p w14:paraId="19D0BC73" w14:textId="77777777" w:rsidR="00772179" w:rsidRDefault="00000000">
      <w:pPr>
        <w:pStyle w:val="Author-eSectionHeading5Numberless"/>
      </w:pPr>
      <w:bookmarkStart w:id="1270" w:name="_Toc220490923"/>
      <w:r>
        <w:t>46.22.1 Chapes flottantes à base de ciment CCTB 01.02</w:t>
      </w:r>
      <w:bookmarkEnd w:id="1270"/>
    </w:p>
    <w:p w14:paraId="77DA58D0" w14:textId="77777777" w:rsidR="00772179" w:rsidRDefault="00000000">
      <w:pPr>
        <w:pStyle w:val="Author-eSectionHeading6Numberless"/>
      </w:pPr>
      <w:bookmarkStart w:id="1271" w:name="_Toc220490924"/>
      <w:r>
        <w:t>46.22.1a Chapes flottantes à base de ciment CCTB 01.02</w:t>
      </w:r>
      <w:bookmarkEnd w:id="1271"/>
    </w:p>
    <w:p w14:paraId="0E8E09A3" w14:textId="77777777" w:rsidR="00772179" w:rsidRDefault="00000000">
      <w:pPr>
        <w:pStyle w:val="Author-eSectionHeading6Numberless"/>
      </w:pPr>
      <w:bookmarkStart w:id="1272" w:name="_Toc220490925"/>
      <w:r>
        <w:t>46.22.1b Chapes flottantes à base de ciment, autonivellante CCTB 01.02</w:t>
      </w:r>
      <w:bookmarkEnd w:id="1272"/>
    </w:p>
    <w:p w14:paraId="7A146D08" w14:textId="77777777" w:rsidR="00772179" w:rsidRDefault="00000000">
      <w:pPr>
        <w:pStyle w:val="Author-eSectionHeading6Numberless"/>
      </w:pPr>
      <w:bookmarkStart w:id="1273" w:name="_Toc220490926"/>
      <w:r>
        <w:t>46.22.1c Chapes flottantes à base de ciment, en 2 couches, dont la supérieure est clouable CCTB 01.02</w:t>
      </w:r>
      <w:bookmarkEnd w:id="1273"/>
    </w:p>
    <w:p w14:paraId="7CA7BC4C" w14:textId="77777777" w:rsidR="00772179" w:rsidRDefault="00000000">
      <w:pPr>
        <w:pStyle w:val="Author-eSectionHeading5Numberless"/>
      </w:pPr>
      <w:bookmarkStart w:id="1274" w:name="_Toc220490927"/>
      <w:r>
        <w:lastRenderedPageBreak/>
        <w:t>46.22.2 Chapes flottantes en asphalte coulé CCTB 01.02</w:t>
      </w:r>
      <w:bookmarkEnd w:id="1274"/>
    </w:p>
    <w:p w14:paraId="49EF9B22" w14:textId="77777777" w:rsidR="00772179" w:rsidRDefault="00000000">
      <w:pPr>
        <w:pStyle w:val="Author-eSectionHeading6Numberless"/>
      </w:pPr>
      <w:bookmarkStart w:id="1275" w:name="_Toc220490928"/>
      <w:r>
        <w:t>46.22.2a Chapes extérieures flottantes en asphalte coulé</w:t>
      </w:r>
      <w:bookmarkEnd w:id="1275"/>
    </w:p>
    <w:p w14:paraId="081F3402" w14:textId="77777777" w:rsidR="00772179" w:rsidRDefault="00000000">
      <w:pPr>
        <w:pStyle w:val="Author-eSectionHeading5Numberless"/>
      </w:pPr>
      <w:bookmarkStart w:id="1276" w:name="_Toc220490929"/>
      <w:r>
        <w:t>46.22.3 Chapes flottantes à base de résines synthétiques CCTB 01.02</w:t>
      </w:r>
      <w:bookmarkEnd w:id="1276"/>
    </w:p>
    <w:p w14:paraId="301ADD3C" w14:textId="77777777" w:rsidR="00772179" w:rsidRDefault="00000000">
      <w:pPr>
        <w:pStyle w:val="Author-eSectionHeading6Numberless"/>
      </w:pPr>
      <w:bookmarkStart w:id="1277" w:name="_Toc220490930"/>
      <w:r>
        <w:t>46.22.3a Chapes extérieures flottantes à base de résines synthétiques</w:t>
      </w:r>
      <w:bookmarkEnd w:id="1277"/>
    </w:p>
    <w:p w14:paraId="11A61C98" w14:textId="77777777" w:rsidR="00772179" w:rsidRDefault="00000000">
      <w:pPr>
        <w:pStyle w:val="Author-eSectionHeading3Numberless"/>
      </w:pPr>
      <w:bookmarkStart w:id="1278" w:name="_Toc220490931"/>
      <w:r>
        <w:t>46.3 Sols de type industriel CCTB 01.11</w:t>
      </w:r>
      <w:bookmarkEnd w:id="1278"/>
    </w:p>
    <w:p w14:paraId="2CA3A5DF" w14:textId="77777777" w:rsidR="00772179" w:rsidRDefault="00000000">
      <w:pPr>
        <w:pStyle w:val="pheading"/>
      </w:pPr>
      <w:r>
        <w:t>DESCRIPTION</w:t>
      </w:r>
    </w:p>
    <w:p w14:paraId="1D1F2DC3" w14:textId="77777777" w:rsidR="00772179" w:rsidRDefault="00000000">
      <w:pPr>
        <w:pStyle w:val="pheading"/>
      </w:pPr>
      <w:r>
        <w:t>- Définition / Comprend</w:t>
      </w:r>
    </w:p>
    <w:p w14:paraId="502B4BD5" w14:textId="77777777" w:rsidR="00772179" w:rsidRDefault="00000000">
      <w:r>
        <w:t>Les sols industriels sont mis en œuvre en une ou plusieurs opérations sur une aire de pose dure afin de constituer en soi un sol achevé. Un revêtement ultérieur est, par conséquent, superflu. Après leur mise en œuvre, les sols industriels sont polis et/ou enduits d'une couche d'usure spéciale qui satisfait aux exigences spécifiques en matière d'aspect et de résistance. Les sols industriels dits 'monolithes' , mis en œuvre sur un support constitué de terre, de sable, de sable stabilisé ou de béton maigre peuvent en outre servir de dalle de sol (pour l'application dans les garages souterrains, caves, locaux de service, etc.).  </w:t>
      </w:r>
    </w:p>
    <w:p w14:paraId="28091AD9" w14:textId="77777777" w:rsidR="00772179" w:rsidRDefault="00000000">
      <w:r>
        <w:t>Renvoi au 53.3 Sols de type industriel</w:t>
      </w:r>
    </w:p>
    <w:p w14:paraId="0057C2F7" w14:textId="77777777" w:rsidR="00772179" w:rsidRDefault="00000000">
      <w:pPr>
        <w:pStyle w:val="pheading"/>
      </w:pPr>
      <w:r>
        <w:t>MATÉRIAUX</w:t>
      </w:r>
    </w:p>
    <w:p w14:paraId="41DF1FD3" w14:textId="77777777" w:rsidR="00772179" w:rsidRDefault="00000000">
      <w:r>
        <w:t>Sauf spécifications particulières dans le cahier spécial des charges, les sols industriels sont à base de ciment, conformément à la [NIT 267].</w:t>
      </w:r>
      <w:r>
        <w:br/>
        <w:t>En matière de sécurité incendie, les sols industriels répondent à certaines exigences en fonction du type de bâtiment et de la destination du local dont ils font partie.</w:t>
      </w:r>
      <w:r>
        <w:br/>
        <w:t>Support aux prescripteurs : [SWL GSI/T1/B] de la prévention passive référencé dans le cahier des références de ce cahier des charges.</w:t>
      </w:r>
    </w:p>
    <w:p w14:paraId="27D4ADEF" w14:textId="77777777" w:rsidR="00772179" w:rsidRDefault="00000000">
      <w:pPr>
        <w:ind w:left="750"/>
      </w:pPr>
      <w:r>
        <w:t> </w:t>
      </w:r>
    </w:p>
    <w:p w14:paraId="2521683E" w14:textId="77777777" w:rsidR="00772179" w:rsidRDefault="00000000">
      <w:pPr>
        <w:pStyle w:val="pheading"/>
      </w:pPr>
      <w:r>
        <w:t>EXÉCUTION / MISE EN ŒUVRE</w:t>
      </w:r>
    </w:p>
    <w:p w14:paraId="0DA8D1C4" w14:textId="77777777" w:rsidR="00772179" w:rsidRDefault="00000000">
      <w:r>
        <w:t>Les chapes sont exécutées selon la [NIT 267]. Les courants d'air et le rayonnement intense sont à proscrire. Dès que le sol est mis en œuvre, il est traité avec un béton-cure afin de prévenir une dessiccation trop rapide : c'est-à-dire un produit de traitement postérieur qui recouvre la couche d'usure afin de permettre l'hydratation complète du ciment (durcissement) et d'accroître la résistance à l'usure et de diminuer le retrait. Lorsque le polissage est effectué en dehors des heures de travail normales, il convient de demander préalablement l'autorisation à la police communale afin d'éviter les problèmes de nuisance acoustique dans le voisinage.</w:t>
      </w:r>
    </w:p>
    <w:p w14:paraId="20840B5F" w14:textId="77777777" w:rsidR="00772179" w:rsidRDefault="00000000">
      <w:pPr>
        <w:ind w:left="750"/>
      </w:pPr>
      <w:r>
        <w:t> </w:t>
      </w:r>
    </w:p>
    <w:p w14:paraId="04B4F3B6" w14:textId="77777777" w:rsidR="00772179" w:rsidRDefault="00000000">
      <w:pPr>
        <w:pStyle w:val="pheading"/>
      </w:pPr>
      <w:r>
        <w:t>CONTRÔLES</w:t>
      </w:r>
    </w:p>
    <w:p w14:paraId="2CF64970" w14:textId="77777777" w:rsidR="00772179" w:rsidRDefault="00000000">
      <w:r>
        <w:t>Le niveau, l'horizontalité ou la pente, la planéité et les tolérances répondent au chapitre 53 Chapes et revêtements de sols intérieurs - généralités.</w:t>
      </w:r>
    </w:p>
    <w:p w14:paraId="7F6C09A0" w14:textId="77777777" w:rsidR="00772179" w:rsidRDefault="00000000">
      <w:pPr>
        <w:pStyle w:val="Author-eSectionHeading3Numberless"/>
      </w:pPr>
      <w:bookmarkStart w:id="1279" w:name="_Toc220490932"/>
      <w:r>
        <w:t>46.4 Revêtements de sols extérieurs (des balcons) CCTB 01.13</w:t>
      </w:r>
      <w:bookmarkEnd w:id="1279"/>
    </w:p>
    <w:p w14:paraId="6EBA4B50" w14:textId="77777777" w:rsidR="00772179" w:rsidRDefault="00000000">
      <w:pPr>
        <w:pStyle w:val="pheading"/>
      </w:pPr>
      <w:bookmarkStart w:id="1280" w:name="517"/>
      <w:bookmarkEnd w:id="1280"/>
      <w:r>
        <w:t>DESCRIPTION</w:t>
      </w:r>
    </w:p>
    <w:p w14:paraId="7BE83691" w14:textId="77777777" w:rsidR="00772179" w:rsidRDefault="00000000">
      <w:pPr>
        <w:pStyle w:val="pheading"/>
      </w:pPr>
      <w:r>
        <w:t>- Définition / Comprend</w:t>
      </w:r>
    </w:p>
    <w:p w14:paraId="16825848" w14:textId="77777777" w:rsidR="00772179" w:rsidRDefault="00000000">
      <w:r>
        <w:rPr>
          <w:b/>
          <w:sz w:val="24"/>
        </w:rPr>
        <w:t>Revêtement de sol</w:t>
      </w:r>
    </w:p>
    <w:p w14:paraId="21818286" w14:textId="77777777" w:rsidR="00772179" w:rsidRDefault="00000000">
      <w:r>
        <w:t>Ce poste comprend toutes les fournitures et travaux en vue de la réalisation des revêtements de sol, plinthes, seuils, escaliers et paliers afin d'obtenir un ouvrage parfaitement fini, y compris tous les accessoires prescrits (cadres pour paillassons, profils de désolidarisation, arrêts de porte, ...).    </w:t>
      </w:r>
    </w:p>
    <w:p w14:paraId="00790349" w14:textId="77777777" w:rsidR="00772179" w:rsidRDefault="00000000">
      <w:r>
        <w:rPr>
          <w:b/>
          <w:sz w:val="24"/>
        </w:rPr>
        <w:lastRenderedPageBreak/>
        <w:t>Revêtement d’escalier</w:t>
      </w:r>
    </w:p>
    <w:p w14:paraId="3D7FA844" w14:textId="77777777" w:rsidR="00772179" w:rsidRDefault="00000000">
      <w:r>
        <w:t>Il s'agit de la fourniture et de la pose du revêtement des marches d'escalier, y compris les plinthes et contremarches, exécutées dans un autre matériau que la structure portante de l'escalier, c'est-à-dire les revêtements en carreaux ou d'une pièce en pierre (reconstituée) ou en bois. Les marches sont destinées, soit à être posées sur les escaliers en béton, soit à être posées ou fixées sur la structure en acier de l'escalier (marches autoportantes).</w:t>
      </w:r>
      <w:r>
        <w:br/>
        <w:t>Conformément aux dispositions générales ou spécifiques du cahier spécial des charges, les prix unitaires compris sous cette rubrique comprennent notamment, soit dans leur globalité soit selon la ventilation dans le métré récapitulatif :</w:t>
      </w:r>
    </w:p>
    <w:p w14:paraId="6566FAA4" w14:textId="77777777" w:rsidR="00772179" w:rsidRDefault="00000000">
      <w:pPr>
        <w:pStyle w:val="Author-eListParagraph"/>
        <w:numPr>
          <w:ilvl w:val="0"/>
          <w:numId w:val="1190"/>
        </w:numPr>
      </w:pPr>
      <w:r>
        <w:t>la préparation du support;</w:t>
      </w:r>
    </w:p>
    <w:p w14:paraId="3AAA44E3" w14:textId="77777777" w:rsidR="00772179" w:rsidRDefault="00000000">
      <w:pPr>
        <w:pStyle w:val="Author-eListParagraph"/>
        <w:numPr>
          <w:ilvl w:val="0"/>
          <w:numId w:val="1190"/>
        </w:numPr>
      </w:pPr>
      <w:r>
        <w:t>les contrôles;</w:t>
      </w:r>
    </w:p>
    <w:p w14:paraId="3121941A" w14:textId="77777777" w:rsidR="00772179" w:rsidRDefault="00000000">
      <w:pPr>
        <w:pStyle w:val="Author-eListParagraph"/>
        <w:numPr>
          <w:ilvl w:val="0"/>
          <w:numId w:val="1190"/>
        </w:numPr>
      </w:pPr>
      <w:r>
        <w:t>la fourniture, le profilage et la pose des revêtements d'escalier;</w:t>
      </w:r>
    </w:p>
    <w:p w14:paraId="703B88E7" w14:textId="77777777" w:rsidR="00772179" w:rsidRDefault="00000000">
      <w:pPr>
        <w:pStyle w:val="Author-eListParagraph"/>
        <w:numPr>
          <w:ilvl w:val="0"/>
          <w:numId w:val="1190"/>
        </w:numPr>
      </w:pPr>
      <w:r>
        <w:t>la pose de tous les éléments décrits dans le cahier spécial des charges, à savoir les plinthes, la finition des bords et tous les accessoires;</w:t>
      </w:r>
    </w:p>
    <w:p w14:paraId="36FFEF7E" w14:textId="77777777" w:rsidR="00772179" w:rsidRDefault="00000000">
      <w:pPr>
        <w:pStyle w:val="Author-eListParagraph"/>
        <w:numPr>
          <w:ilvl w:val="0"/>
          <w:numId w:val="1190"/>
        </w:numPr>
      </w:pPr>
      <w:r>
        <w:t>le coulage des joints ou le rejointoiement, le masticage éventuel;</w:t>
      </w:r>
    </w:p>
    <w:p w14:paraId="13938C11" w14:textId="77777777" w:rsidR="00772179" w:rsidRDefault="00000000">
      <w:pPr>
        <w:pStyle w:val="Author-eListParagraph"/>
        <w:numPr>
          <w:ilvl w:val="0"/>
          <w:numId w:val="1190"/>
        </w:numPr>
      </w:pPr>
      <w:r>
        <w:t>le nettoyage du revêtement d’escalier, y compris l’élimination des taches de mortier ou de colle et du mortier à jointoyer;</w:t>
      </w:r>
    </w:p>
    <w:p w14:paraId="1E71331B" w14:textId="77777777" w:rsidR="00772179" w:rsidRDefault="00000000">
      <w:pPr>
        <w:pStyle w:val="Author-eListParagraph"/>
        <w:numPr>
          <w:ilvl w:val="0"/>
          <w:numId w:val="1190"/>
        </w:numPr>
      </w:pPr>
      <w:r>
        <w:t>la protection du revêtement pendant les travaux de construction ultérieurs.</w:t>
      </w:r>
    </w:p>
    <w:p w14:paraId="77C25EDC" w14:textId="77777777" w:rsidR="00772179" w:rsidRDefault="00000000">
      <w:pPr>
        <w:ind w:left="750"/>
      </w:pPr>
      <w:r>
        <w:t> </w:t>
      </w:r>
    </w:p>
    <w:p w14:paraId="76BE05C5" w14:textId="77777777" w:rsidR="00772179" w:rsidRDefault="00000000">
      <w:pPr>
        <w:pStyle w:val="pheading"/>
      </w:pPr>
      <w:r>
        <w:t>MATÉRIAUX</w:t>
      </w:r>
    </w:p>
    <w:p w14:paraId="72F04D7A" w14:textId="77777777" w:rsidR="00772179" w:rsidRDefault="00000000">
      <w:r>
        <w:rPr>
          <w:b/>
          <w:sz w:val="24"/>
        </w:rPr>
        <w:t>Revêtement de sol</w:t>
      </w:r>
    </w:p>
    <w:p w14:paraId="07D9255A" w14:textId="77777777" w:rsidR="00772179" w:rsidRDefault="00000000">
      <w:r>
        <w:t>Les conditions de livraison et la qualité des matériaux de revêtement de sol satisfont aux dispositions générales suivantes :</w:t>
      </w:r>
    </w:p>
    <w:p w14:paraId="307AB40E" w14:textId="77777777" w:rsidR="00772179" w:rsidRDefault="00000000">
      <w:pPr>
        <w:pStyle w:val="Author-eListParagraph"/>
        <w:numPr>
          <w:ilvl w:val="0"/>
          <w:numId w:val="1191"/>
        </w:numPr>
      </w:pPr>
      <w:r>
        <w:t>La qualité des matériaux mis en œuvre correspond à l'affectation respective des surfaces à couvrir et aux sollicitations à prévoir.</w:t>
      </w:r>
    </w:p>
    <w:p w14:paraId="6E5A4610" w14:textId="77777777" w:rsidR="00772179" w:rsidRDefault="00000000">
      <w:pPr>
        <w:pStyle w:val="Author-eListParagraph"/>
        <w:numPr>
          <w:ilvl w:val="0"/>
          <w:numId w:val="1191"/>
        </w:numPr>
      </w:pPr>
      <w:r>
        <w:t>Avant de passer commande pour les matériaux de revêtement de sol et tous les accessoires, l'entrepreneur est tenu de vérifier si ceux-ci sont livrés dans les dimensions, le type, la couleur et le traitement de surface prescrits dans les documents d'adjudication. Il vérifie en outre si leur dimensionnement correspond à la modulation du schéma de mise en œuvre et au choix de la technique d'exécution.</w:t>
      </w:r>
    </w:p>
    <w:p w14:paraId="183ED0DF" w14:textId="77777777" w:rsidR="00772179" w:rsidRDefault="00000000">
      <w:pPr>
        <w:pStyle w:val="Author-eListParagraph"/>
        <w:numPr>
          <w:ilvl w:val="0"/>
          <w:numId w:val="1191"/>
        </w:numPr>
      </w:pPr>
      <w:r>
        <w:t>L'entrepreneur soumet à l'avance à l'approbation de l'auteur de projet, une carte de couleurs, les échantillons contractuellement requis et les éventuels certificats pour chaque matériau de revêtement prescrit. Les échantillons présentés représentent l'aspect, la couleur (les couleurs) et l'aspect de surface de la moyenne des carreaux qui sont livrés. En outre, une documentation technique de tous les produits de traitement préalable, des matériaux adhésifs tels que les mortiers-colle, les colles synthétiques, les mastics élastiques, etc. est soumise pour approbation à l'auteur de projet.</w:t>
      </w:r>
    </w:p>
    <w:p w14:paraId="3CDFB4A2" w14:textId="77777777" w:rsidR="00772179" w:rsidRDefault="00000000">
      <w:pPr>
        <w:pStyle w:val="Author-eListParagraph"/>
        <w:numPr>
          <w:ilvl w:val="0"/>
          <w:numId w:val="1191"/>
        </w:numPr>
      </w:pPr>
      <w:r>
        <w:t>Les matériaux livrés sur chantier sont immédiatement entreposés dans un espace fermé et ils sont efficacement protégés contre le soleil, la pluie et le vent.  </w:t>
      </w:r>
    </w:p>
    <w:p w14:paraId="6D21787A" w14:textId="77777777" w:rsidR="00772179" w:rsidRDefault="00000000">
      <w:pPr>
        <w:pStyle w:val="Author-eListParagraph"/>
        <w:numPr>
          <w:ilvl w:val="0"/>
          <w:numId w:val="1191"/>
        </w:numPr>
      </w:pPr>
      <w:r>
        <w:t>En matière de sécurité incendie, les matériaux répondent à certaines exigences en fonction de la destination du local auquel ils appartiennent.</w:t>
      </w:r>
    </w:p>
    <w:p w14:paraId="3817C10E" w14:textId="77777777" w:rsidR="00772179" w:rsidRDefault="00000000">
      <w:pPr>
        <w:pStyle w:val="Author-eListParagraph"/>
        <w:numPr>
          <w:ilvl w:val="0"/>
          <w:numId w:val="1191"/>
        </w:numPr>
      </w:pPr>
      <w:r>
        <w:t>Support aux prescripteurs : [SWL GSI/T1/B] de la prévention passive référencé dans le cahier des références de ce cahier des charges.  </w:t>
      </w:r>
    </w:p>
    <w:p w14:paraId="0255FCBF" w14:textId="77777777" w:rsidR="00772179" w:rsidRDefault="00000000">
      <w:r>
        <w:rPr>
          <w:b/>
          <w:sz w:val="24"/>
        </w:rPr>
        <w:t>  Revêtement d’escalier</w:t>
      </w:r>
    </w:p>
    <w:p w14:paraId="37CDE9E1" w14:textId="77777777" w:rsidR="00772179" w:rsidRDefault="00000000">
      <w:pPr>
        <w:pStyle w:val="Author-eListParagraph"/>
        <w:numPr>
          <w:ilvl w:val="0"/>
          <w:numId w:val="1192"/>
        </w:numPr>
      </w:pPr>
      <w:r>
        <w:t>Toutes les pièces, les marches droites et tournantes sont profilées et fabriquées selon les plans d'adjudication et/ou les plans d'exécution approuvés.</w:t>
      </w:r>
    </w:p>
    <w:p w14:paraId="719222F2" w14:textId="77777777" w:rsidR="00772179" w:rsidRDefault="00000000">
      <w:pPr>
        <w:pStyle w:val="Author-eListParagraph"/>
        <w:numPr>
          <w:ilvl w:val="0"/>
          <w:numId w:val="1192"/>
        </w:numPr>
      </w:pPr>
      <w:r>
        <w:t xml:space="preserve">Une série complète d'échantillons du matériau de revêtement est soumise à l'approbation de l'auteur de projet en même temps que les plans d'exécution. Avant l'exécution, le poseur des marches remet à l'auteur de projet : une carte des couleurs et des échantillons des marches. Un ou plusieurs échantillons (contractuels) représentatifs de l'aspect moyen, des couleurs et </w:t>
      </w:r>
      <w:r>
        <w:lastRenderedPageBreak/>
        <w:t>de la nature de la surface de la livraison. Le certificat d'origine est soumis avant la mise en œuvre des marches.</w:t>
      </w:r>
    </w:p>
    <w:p w14:paraId="0E539654" w14:textId="77777777" w:rsidR="00772179" w:rsidRDefault="00000000">
      <w:pPr>
        <w:pStyle w:val="Author-eListParagraph"/>
        <w:numPr>
          <w:ilvl w:val="0"/>
          <w:numId w:val="1192"/>
        </w:numPr>
      </w:pPr>
      <w:r>
        <w:t>En matière de sécurité incendie, les revêtements d’escaliers répondent à certaines exigences en fonction de la destination du local auquel ils appartiennent.</w:t>
      </w:r>
    </w:p>
    <w:p w14:paraId="37BAC419" w14:textId="77777777" w:rsidR="00772179" w:rsidRDefault="00000000">
      <w:pPr>
        <w:pStyle w:val="Author-eListParagraph"/>
        <w:numPr>
          <w:ilvl w:val="0"/>
          <w:numId w:val="1192"/>
        </w:numPr>
      </w:pPr>
      <w:r>
        <w:t>Support aux prescripteurs : [SWL GSI/T1/B] de la prévention passive référencé dans le cahier des références de ce cahier des charges.  </w:t>
      </w:r>
    </w:p>
    <w:p w14:paraId="1301B3AC" w14:textId="77777777" w:rsidR="00772179" w:rsidRDefault="00000000">
      <w:pPr>
        <w:pStyle w:val="pheading"/>
      </w:pPr>
      <w:r>
        <w:t>EXÉCUTION / MISE EN ŒUVRE</w:t>
      </w:r>
    </w:p>
    <w:p w14:paraId="435696FD" w14:textId="77777777" w:rsidR="00772179" w:rsidRDefault="00000000">
      <w:r>
        <w:rPr>
          <w:b/>
          <w:sz w:val="24"/>
        </w:rPr>
        <w:t>Revêtement de sol</w:t>
      </w:r>
    </w:p>
    <w:p w14:paraId="6BEB4904" w14:textId="77777777" w:rsidR="00772179" w:rsidRDefault="00000000">
      <w:pPr>
        <w:pStyle w:val="Author-eListParagraph"/>
        <w:numPr>
          <w:ilvl w:val="0"/>
          <w:numId w:val="1193"/>
        </w:numPr>
      </w:pPr>
      <w:r>
        <w:t>Les éléments inflammables doivent rester ≥ 20 cm des parois intérieures des conduits de fumée et de ventilation et ≥ 3 cm de la paroi extérieure. Si nécessaire, des mesures sont prises pour augmenter l'épaisseur de la paroi à l'aide d'un matériau peu combustible et isolant.</w:t>
      </w:r>
    </w:p>
    <w:p w14:paraId="3C5D07E1" w14:textId="77777777" w:rsidR="00772179" w:rsidRDefault="00000000">
      <w:pPr>
        <w:pStyle w:val="Author-eListParagraph"/>
        <w:numPr>
          <w:ilvl w:val="0"/>
          <w:numId w:val="1193"/>
        </w:numPr>
      </w:pPr>
      <w:r>
        <w:t>Pendant les travaux, les surfaces à couvrir sont protégées de tout foulement indésirable et maintenus aux conditions climatologiques requises en fonction du type de revêtement qui y est prévu.</w:t>
      </w:r>
    </w:p>
    <w:p w14:paraId="58040C18" w14:textId="77777777" w:rsidR="00772179" w:rsidRDefault="00000000">
      <w:pPr>
        <w:pStyle w:val="Author-eListParagraph"/>
        <w:numPr>
          <w:ilvl w:val="0"/>
          <w:numId w:val="1193"/>
        </w:numPr>
      </w:pPr>
      <w:r>
        <w:t>Le commencement des travaux signifie la réception de l'aire de pose. A cet effet, l'entrepreneur est tenu, avant de commencer ses travaux et en fonction de la nature du revêtement de sol, d'inspecter l'état de l'aire de pose (caractéristiques générales telles que la résistance aux perforations, le taux d'humidité, la planéité, l'horizontalité et l'épaisseur de la couche) et de faire part de ces constatations à l'auteur de projet.</w:t>
      </w:r>
    </w:p>
    <w:p w14:paraId="2E50C7E4" w14:textId="77777777" w:rsidR="00772179" w:rsidRDefault="00000000">
      <w:pPr>
        <w:pStyle w:val="Author-eListParagraph"/>
        <w:numPr>
          <w:ilvl w:val="0"/>
          <w:numId w:val="1193"/>
        </w:numPr>
      </w:pPr>
      <w:r>
        <w:t>L'entrepreneur veille à ce que les revêtements de sol, après leur mise en œuvre, soient efficacement protégés contre l'encrassement et les dégradations et ce, pendant toute la durée des autres travaux.  </w:t>
      </w:r>
    </w:p>
    <w:p w14:paraId="6C114121" w14:textId="77777777" w:rsidR="00772179" w:rsidRDefault="00000000">
      <w:r>
        <w:rPr>
          <w:b/>
          <w:sz w:val="24"/>
        </w:rPr>
        <w:t>Revêtement d’escalier</w:t>
      </w:r>
    </w:p>
    <w:p w14:paraId="6CFC7DE1" w14:textId="77777777" w:rsidR="00772179" w:rsidRDefault="00000000">
      <w:pPr>
        <w:pStyle w:val="Author-eListParagraph"/>
        <w:numPr>
          <w:ilvl w:val="0"/>
          <w:numId w:val="1194"/>
        </w:numPr>
      </w:pPr>
      <w:r>
        <w:t>La pose et la fixation du revêtement sont exécutées selon les directives du chapitre 5 de la [NIT 213] et du chapitre 6 de la [NIT 237]. Les marches sont réalisées conformément aux dimensions indiquées sur les plans et les coupes. Les marches sont posées horizontalement et parfaitement de niveau. Les points d'appui et les éventuels ancrages sont déterminés en concertation avec l' auteur de projet, l'ingénieur stabilité, l'entrepreneur et le fabricant.</w:t>
      </w:r>
    </w:p>
    <w:p w14:paraId="2D761A59" w14:textId="77777777" w:rsidR="00772179" w:rsidRDefault="00000000">
      <w:pPr>
        <w:pStyle w:val="Author-eListParagraph"/>
        <w:numPr>
          <w:ilvl w:val="0"/>
          <w:numId w:val="1194"/>
        </w:numPr>
      </w:pPr>
      <w:r>
        <w:t>Voir aussi 57.1 Escaliers et garde-corps complets.</w:t>
      </w:r>
    </w:p>
    <w:p w14:paraId="26DD9AAE" w14:textId="77777777" w:rsidR="00772179" w:rsidRDefault="00000000">
      <w:pPr>
        <w:ind w:left="750"/>
      </w:pPr>
      <w:r>
        <w:t> </w:t>
      </w:r>
    </w:p>
    <w:p w14:paraId="1E83D097" w14:textId="77777777" w:rsidR="00772179" w:rsidRDefault="00000000">
      <w:pPr>
        <w:pStyle w:val="pheading"/>
      </w:pPr>
      <w:r>
        <w:t>CONTRÔLES</w:t>
      </w:r>
    </w:p>
    <w:p w14:paraId="41E6005B" w14:textId="77777777" w:rsidR="00772179" w:rsidRDefault="00000000">
      <w:r>
        <w:rPr>
          <w:b/>
          <w:sz w:val="24"/>
        </w:rPr>
        <w:t>Revêtement de sol</w:t>
      </w:r>
    </w:p>
    <w:p w14:paraId="2FA8722F" w14:textId="77777777" w:rsidR="00772179" w:rsidRDefault="00000000">
      <w:r>
        <w:t>Les systèmes et/ou les produits qui ont obtenu un agrément technique entrent en ligne de compte dans la mesure où les applications pour lesquelles l'agrément a été attribué correspondent à celles des fascicules STS respectifs et pour autant que l'équivalence en ce qui concerne les performances ait été établie dans la publication d'agréation. Selon les [STS 45 série] § 00.00.31, et l'agrément technique UBAtc exemptent les produits de certains essais de laboratoire préalables à la mise en œuvre.  </w:t>
      </w:r>
    </w:p>
    <w:p w14:paraId="6C3147B8" w14:textId="77777777" w:rsidR="00772179" w:rsidRDefault="00000000">
      <w:r>
        <w:rPr>
          <w:b/>
          <w:sz w:val="24"/>
        </w:rPr>
        <w:t>Revêtement d’escalier </w:t>
      </w:r>
    </w:p>
    <w:p w14:paraId="39994518" w14:textId="77777777" w:rsidR="00772179" w:rsidRDefault="00000000">
      <w:r>
        <w:rPr>
          <w:color w:val="000000"/>
          <w:shd w:val="clear" w:color="auto" w:fill="FFFFFF"/>
        </w:rPr>
        <w:t xml:space="preserve">Suivant </w:t>
      </w:r>
      <w:r>
        <w:t>[NIT 213] et [NIT 237].</w:t>
      </w:r>
    </w:p>
    <w:p w14:paraId="47FC8F3F" w14:textId="77777777" w:rsidR="00772179" w:rsidRDefault="00000000">
      <w:pPr>
        <w:ind w:left="750"/>
      </w:pPr>
      <w:r>
        <w:t> </w:t>
      </w:r>
    </w:p>
    <w:p w14:paraId="3F104272" w14:textId="77777777" w:rsidR="00772179" w:rsidRDefault="00000000">
      <w:pPr>
        <w:pStyle w:val="pheading"/>
      </w:pPr>
      <w:r>
        <w:t>DOCUMENTS DE RÉFÉRENCE</w:t>
      </w:r>
    </w:p>
    <w:p w14:paraId="6DD1F218" w14:textId="77777777" w:rsidR="00772179" w:rsidRDefault="00000000">
      <w:pPr>
        <w:pStyle w:val="pheading"/>
      </w:pPr>
      <w:r>
        <w:t>- Matériau</w:t>
      </w:r>
    </w:p>
    <w:p w14:paraId="2A416507" w14:textId="77777777" w:rsidR="00772179" w:rsidRDefault="00000000">
      <w:r>
        <w:t> Revêtement de sol</w:t>
      </w:r>
    </w:p>
    <w:p w14:paraId="29CD7D02" w14:textId="77777777" w:rsidR="00772179" w:rsidRDefault="00000000">
      <w:r>
        <w:t> Revêtement d’escalier</w:t>
      </w:r>
    </w:p>
    <w:p w14:paraId="4B4189CC" w14:textId="77777777" w:rsidR="00772179" w:rsidRDefault="00000000">
      <w:pPr>
        <w:pStyle w:val="pheading"/>
      </w:pPr>
      <w:r>
        <w:t>- Exécution</w:t>
      </w:r>
    </w:p>
    <w:p w14:paraId="2C50294F" w14:textId="77777777" w:rsidR="00772179" w:rsidRDefault="00000000">
      <w:r>
        <w:lastRenderedPageBreak/>
        <w:t>Conformément à la rubrique 01.44 PSS travaux de façade  établie par le coordinateur-projet et annexée au présent cahier des charges. Toutes les directives en la matière et les indications concrètes du coordinateur-réalisation sont scrupuleusement respectées.</w:t>
      </w:r>
    </w:p>
    <w:p w14:paraId="1A4D7925" w14:textId="77777777" w:rsidR="00772179" w:rsidRDefault="00000000">
      <w:pPr>
        <w:pStyle w:val="pheading"/>
      </w:pPr>
      <w:r>
        <w:t>AIDE</w:t>
      </w:r>
    </w:p>
    <w:p w14:paraId="292D31D2" w14:textId="77777777" w:rsidR="00772179" w:rsidRDefault="00000000">
      <w:r>
        <w:t>NOTE A L’AUTEUR DE PROJET</w:t>
      </w:r>
    </w:p>
    <w:p w14:paraId="45DD13AA" w14:textId="77777777" w:rsidR="00772179" w:rsidRDefault="00000000">
      <w:r>
        <w:rPr>
          <w:b/>
        </w:rPr>
        <w:t>Accessibilité aux personnes à mobilité réduite (PMR)</w:t>
      </w:r>
    </w:p>
    <w:p w14:paraId="4D483A72" w14:textId="77777777" w:rsidR="00772179" w:rsidRDefault="00000000">
      <w:r>
        <w:t>Revêtement de sol et d’escalier : antidérapant   [SWL CALA] et [CoDT] </w:t>
      </w:r>
    </w:p>
    <w:p w14:paraId="66F71183" w14:textId="77777777" w:rsidR="00772179" w:rsidRDefault="00000000">
      <w:pPr>
        <w:pStyle w:val="Author-eSectionHeading4Numberless"/>
      </w:pPr>
      <w:bookmarkStart w:id="1281" w:name="_Toc220490933"/>
      <w:r>
        <w:t>46.41 Revêtements de sols extérieurs - carreaux en céramiques CCTB 01.10</w:t>
      </w:r>
      <w:bookmarkEnd w:id="1281"/>
    </w:p>
    <w:p w14:paraId="2F67B039" w14:textId="77777777" w:rsidR="00772179" w:rsidRDefault="00000000">
      <w:pPr>
        <w:pStyle w:val="pheading"/>
      </w:pPr>
      <w:r>
        <w:t>DESCRIPTION</w:t>
      </w:r>
    </w:p>
    <w:p w14:paraId="37E0482F" w14:textId="77777777" w:rsidR="00772179" w:rsidRDefault="00000000">
      <w:pPr>
        <w:pStyle w:val="pheading"/>
      </w:pPr>
      <w:r>
        <w:t>- Définition / Comprend</w:t>
      </w:r>
    </w:p>
    <w:p w14:paraId="323E05DF" w14:textId="77777777" w:rsidR="00772179" w:rsidRDefault="00000000">
      <w:r>
        <w:t>Document de référence =  [NBN EN 14411] + [NIT 213] + [NIT 237]  </w:t>
      </w:r>
    </w:p>
    <w:p w14:paraId="10740AD7" w14:textId="77777777" w:rsidR="00772179" w:rsidRDefault="00000000">
      <w:pPr>
        <w:pStyle w:val="Author-eSectionHeading5Numberless"/>
      </w:pPr>
      <w:bookmarkStart w:id="1282" w:name="_Toc220490934"/>
      <w:r>
        <w:t>46.41.1 Revêtements de sols extérieurs - carreaux étirés (émaillés / engobés, ou non) CCTB 01.02</w:t>
      </w:r>
      <w:bookmarkEnd w:id="1282"/>
    </w:p>
    <w:p w14:paraId="4ED090E1" w14:textId="77777777" w:rsidR="00772179" w:rsidRDefault="00000000">
      <w:pPr>
        <w:pStyle w:val="Author-eSectionHeading6Numberless"/>
      </w:pPr>
      <w:bookmarkStart w:id="1283" w:name="_Toc220490935"/>
      <w:r>
        <w:t>46.41.1a Revêtements de sols extérieurs - carreaux étirés (émaillés / engobés, ou non)</w:t>
      </w:r>
      <w:bookmarkEnd w:id="1283"/>
    </w:p>
    <w:p w14:paraId="3252D91D" w14:textId="77777777" w:rsidR="00772179" w:rsidRDefault="00000000">
      <w:pPr>
        <w:pStyle w:val="Author-eSectionHeading5Numberless"/>
      </w:pPr>
      <w:bookmarkStart w:id="1284" w:name="_Toc220490936"/>
      <w:r>
        <w:t>46.41.2 Revêtements de sols extérieurs - carreaux pressés (émaillés / engobés, ou non) CCTB 01.02</w:t>
      </w:r>
      <w:bookmarkEnd w:id="1284"/>
    </w:p>
    <w:p w14:paraId="2F5FEB0D" w14:textId="77777777" w:rsidR="00772179" w:rsidRDefault="00000000">
      <w:pPr>
        <w:pStyle w:val="Author-eSectionHeading6Numberless"/>
      </w:pPr>
      <w:bookmarkStart w:id="1285" w:name="_Toc220490937"/>
      <w:r>
        <w:t>46.41.2a Revêtements de sols extérieurs - carreaux pressés (émaillés / engobés, ou non)</w:t>
      </w:r>
      <w:bookmarkEnd w:id="1285"/>
    </w:p>
    <w:p w14:paraId="0DC9306F" w14:textId="77777777" w:rsidR="00772179" w:rsidRDefault="00000000">
      <w:pPr>
        <w:pStyle w:val="Author-eSectionHeading4Numberless"/>
      </w:pPr>
      <w:bookmarkStart w:id="1286" w:name="_Toc220490938"/>
      <w:r>
        <w:t>46.42 Revêtements de sols extérieurs - pierres naturelles CCTB 01.02</w:t>
      </w:r>
      <w:bookmarkEnd w:id="1286"/>
    </w:p>
    <w:p w14:paraId="7A53DC93" w14:textId="77777777" w:rsidR="00772179" w:rsidRDefault="00000000">
      <w:pPr>
        <w:pStyle w:val="Author-eSectionHeading5Numberless"/>
      </w:pPr>
      <w:bookmarkStart w:id="1287" w:name="_Toc220490939"/>
      <w:r>
        <w:t>46.42.1 Revêtements de sols extérieurs - les roches magmatiques - les granits CCTB 01.02</w:t>
      </w:r>
      <w:bookmarkEnd w:id="1287"/>
    </w:p>
    <w:p w14:paraId="7E41F3D3" w14:textId="77777777" w:rsidR="00772179" w:rsidRDefault="00000000">
      <w:pPr>
        <w:pStyle w:val="Author-eSectionHeading6Numberless"/>
      </w:pPr>
      <w:bookmarkStart w:id="1288" w:name="_Toc220490940"/>
      <w:r>
        <w:t>46.42.1a Revêtements de sols extérieurs - les granits CCTB 01.02</w:t>
      </w:r>
      <w:bookmarkEnd w:id="1288"/>
    </w:p>
    <w:p w14:paraId="4333F2BE" w14:textId="77777777" w:rsidR="00772179" w:rsidRDefault="00000000">
      <w:pPr>
        <w:pStyle w:val="Author-eSectionHeading6Numberless"/>
      </w:pPr>
      <w:bookmarkStart w:id="1289" w:name="_Toc220490941"/>
      <w:r>
        <w:t>46.42.1b Revêtements de sols extérieurs - les basaltes CCTB 01.02</w:t>
      </w:r>
      <w:bookmarkEnd w:id="1289"/>
    </w:p>
    <w:p w14:paraId="3AF43E10" w14:textId="77777777" w:rsidR="00772179" w:rsidRDefault="00000000">
      <w:pPr>
        <w:pStyle w:val="Author-eSectionHeading5Numberless"/>
      </w:pPr>
      <w:bookmarkStart w:id="1290" w:name="_Toc220490942"/>
      <w:r>
        <w:t>46.42.2 Revêtements de sols extérieurs - les roches sédimentaires - grès et roches siliceuses CCTB 01.02</w:t>
      </w:r>
      <w:bookmarkEnd w:id="1290"/>
    </w:p>
    <w:p w14:paraId="46FDB9E3" w14:textId="77777777" w:rsidR="00772179" w:rsidRDefault="00000000">
      <w:pPr>
        <w:pStyle w:val="Author-eSectionHeading6Numberless"/>
      </w:pPr>
      <w:bookmarkStart w:id="1291" w:name="_Toc220490943"/>
      <w:r>
        <w:t>46.42.2a Revêtements de sols extérieurs - grès et roches siliceuses</w:t>
      </w:r>
      <w:bookmarkEnd w:id="1291"/>
    </w:p>
    <w:p w14:paraId="0ED11DA6" w14:textId="77777777" w:rsidR="00772179" w:rsidRDefault="00000000">
      <w:pPr>
        <w:pStyle w:val="Author-eSectionHeading5Numberless"/>
      </w:pPr>
      <w:bookmarkStart w:id="1292" w:name="_Toc220490944"/>
      <w:r>
        <w:t>46.42.3 Revêtements de sols extérieurs - les roches sédimentaires carbonatées - calcaires gréseux CCTB 01.02</w:t>
      </w:r>
      <w:bookmarkEnd w:id="1292"/>
    </w:p>
    <w:p w14:paraId="076B172A" w14:textId="77777777" w:rsidR="00772179" w:rsidRDefault="00000000">
      <w:pPr>
        <w:pStyle w:val="Author-eSectionHeading6Numberless"/>
      </w:pPr>
      <w:bookmarkStart w:id="1293" w:name="_Toc220490945"/>
      <w:r>
        <w:t>46.42.3a Revêtements de sols extérieurs - les calcaires gréseux CCTB 01.02</w:t>
      </w:r>
      <w:bookmarkEnd w:id="1293"/>
    </w:p>
    <w:p w14:paraId="32646007" w14:textId="77777777" w:rsidR="00772179" w:rsidRDefault="00000000">
      <w:pPr>
        <w:pStyle w:val="Author-eSectionHeading6Numberless"/>
      </w:pPr>
      <w:bookmarkStart w:id="1294" w:name="_Toc220490946"/>
      <w:r>
        <w:t>46.42.3b Revêtements de sols extérieurs - les calcaires marbriers CCTB 01.02</w:t>
      </w:r>
      <w:bookmarkEnd w:id="1294"/>
    </w:p>
    <w:p w14:paraId="4FC4C81B" w14:textId="77777777" w:rsidR="00772179" w:rsidRDefault="00000000">
      <w:pPr>
        <w:pStyle w:val="Author-eSectionHeading6Numberless"/>
      </w:pPr>
      <w:bookmarkStart w:id="1295" w:name="_Toc220490947"/>
      <w:r>
        <w:t>46.42.3c Revêtements de sols extérieurs - les calcaires non marbriers CCTB 01.02</w:t>
      </w:r>
      <w:bookmarkEnd w:id="1295"/>
    </w:p>
    <w:p w14:paraId="4B3D8C4C" w14:textId="77777777" w:rsidR="00772179" w:rsidRDefault="00000000">
      <w:pPr>
        <w:pStyle w:val="Author-eSectionHeading5Numberless"/>
      </w:pPr>
      <w:bookmarkStart w:id="1296" w:name="_Toc220490948"/>
      <w:r>
        <w:t>46.42.4 Revêtements de sols extérieurs - les roches sédimentaires - calcaires, pierres bleues et grès CCTB 01.02</w:t>
      </w:r>
      <w:bookmarkEnd w:id="1296"/>
    </w:p>
    <w:p w14:paraId="133C2D4F" w14:textId="77777777" w:rsidR="00772179" w:rsidRDefault="00000000">
      <w:pPr>
        <w:pStyle w:val="Author-eSectionHeading6Numberless"/>
      </w:pPr>
      <w:bookmarkStart w:id="1297" w:name="_Toc220490949"/>
      <w:r>
        <w:lastRenderedPageBreak/>
        <w:t>46.42.4a Revêtements de sols extérieures - calcaires, pierres bleues et grès</w:t>
      </w:r>
      <w:bookmarkEnd w:id="1297"/>
    </w:p>
    <w:p w14:paraId="06A2E02F" w14:textId="77777777" w:rsidR="00772179" w:rsidRDefault="00000000">
      <w:pPr>
        <w:pStyle w:val="Author-eSectionHeading5Numberless"/>
      </w:pPr>
      <w:bookmarkStart w:id="1298" w:name="_Toc220490950"/>
      <w:r>
        <w:t>46.42.5 Revêtements de sols extérieurs - les roches métamorphiques - ardoises, marbres et schistes CCTB 01.02</w:t>
      </w:r>
      <w:bookmarkEnd w:id="1298"/>
    </w:p>
    <w:p w14:paraId="317F0C32" w14:textId="77777777" w:rsidR="00772179" w:rsidRDefault="00000000">
      <w:pPr>
        <w:pStyle w:val="Author-eSectionHeading6Numberless"/>
      </w:pPr>
      <w:bookmarkStart w:id="1299" w:name="_Toc220490951"/>
      <w:r>
        <w:t>46.42.5a Revêtements de sols extérieurs - ardoises, marbres et schistes</w:t>
      </w:r>
      <w:bookmarkEnd w:id="1299"/>
    </w:p>
    <w:p w14:paraId="72039894" w14:textId="77777777" w:rsidR="00772179" w:rsidRDefault="00000000">
      <w:pPr>
        <w:pStyle w:val="Author-eSectionHeading5Numberless"/>
      </w:pPr>
      <w:bookmarkStart w:id="1300" w:name="_Toc220490952"/>
      <w:r>
        <w:t>46.42.6 Revêtements de sols extérieurs - les roches métamorphiques - les gneiss et marbres CCTB 01.02</w:t>
      </w:r>
      <w:bookmarkEnd w:id="1300"/>
    </w:p>
    <w:p w14:paraId="0F014B5F" w14:textId="77777777" w:rsidR="00772179" w:rsidRDefault="00000000">
      <w:pPr>
        <w:pStyle w:val="Author-eSectionHeading6Numberless"/>
      </w:pPr>
      <w:bookmarkStart w:id="1301" w:name="_Toc220490953"/>
      <w:r>
        <w:t>46.42.6a Revêtements de sols extérieurs - les gneiss CCTB 01.02</w:t>
      </w:r>
      <w:bookmarkEnd w:id="1301"/>
    </w:p>
    <w:p w14:paraId="3FB53AAD" w14:textId="77777777" w:rsidR="00772179" w:rsidRDefault="00000000">
      <w:pPr>
        <w:pStyle w:val="Author-eSectionHeading6Numberless"/>
      </w:pPr>
      <w:bookmarkStart w:id="1302" w:name="_Toc220490954"/>
      <w:r>
        <w:t>46.42.6b Revêtements de sols extérieurs - les marbres CCTB 01.02</w:t>
      </w:r>
      <w:bookmarkEnd w:id="1302"/>
    </w:p>
    <w:p w14:paraId="2698DD69" w14:textId="77777777" w:rsidR="00772179" w:rsidRDefault="00000000">
      <w:pPr>
        <w:pStyle w:val="Author-eSectionHeading4Numberless"/>
      </w:pPr>
      <w:bookmarkStart w:id="1303" w:name="_Toc220490955"/>
      <w:r>
        <w:t>46.43 Revêtements de sols extérieurs - carreaux à base de liants CCTB 01.02</w:t>
      </w:r>
      <w:bookmarkEnd w:id="1303"/>
    </w:p>
    <w:p w14:paraId="5172C176" w14:textId="77777777" w:rsidR="00772179" w:rsidRDefault="00000000">
      <w:pPr>
        <w:pStyle w:val="Author-eSectionHeading5Numberless"/>
      </w:pPr>
      <w:bookmarkStart w:id="1304" w:name="_Toc220490956"/>
      <w:r>
        <w:t>46.43.1 Revêtements de sols extérieurs - carreaux à base de liants hydrauliques CCTB 01.10</w:t>
      </w:r>
      <w:bookmarkEnd w:id="1304"/>
    </w:p>
    <w:p w14:paraId="3A74AE2C" w14:textId="77777777" w:rsidR="00772179" w:rsidRDefault="00000000">
      <w:pPr>
        <w:pStyle w:val="pheading"/>
      </w:pPr>
      <w:r>
        <w:t>MATÉRIAUX</w:t>
      </w:r>
    </w:p>
    <w:p w14:paraId="294AB3D0" w14:textId="77777777" w:rsidR="00772179" w:rsidRDefault="00000000">
      <w:r>
        <w:rPr>
          <w:b/>
          <w:sz w:val="24"/>
        </w:rPr>
        <w:t>Revêtement de sol en carreaux – ciment coloré</w:t>
      </w:r>
    </w:p>
    <w:p w14:paraId="31E106A2" w14:textId="77777777" w:rsidR="00772179" w:rsidRDefault="00000000">
      <w:r>
        <w:t xml:space="preserve">Les dalles de ciment sont fabriquées à base de granulats fins et d'un liant hydraulique auquel on a ajouté des colorants (éventuellement élaborés en dessin). Elles doivent satisfaire aux prescriptions de la </w:t>
      </w:r>
      <w:r>
        <w:rPr>
          <w:shd w:val="clear" w:color="auto" w:fill="FFFFFF"/>
        </w:rPr>
        <w:t>[NBN EN 13748 série]</w:t>
      </w:r>
    </w:p>
    <w:p w14:paraId="20C8470D" w14:textId="77777777" w:rsidR="00772179" w:rsidRDefault="00000000">
      <w:pPr>
        <w:pStyle w:val="heading"/>
      </w:pPr>
      <w:r>
        <w:t>Spécifications</w:t>
      </w:r>
    </w:p>
    <w:p w14:paraId="3E5A7B2A" w14:textId="77777777" w:rsidR="00772179" w:rsidRDefault="00000000">
      <w:pPr>
        <w:pStyle w:val="Author-eListParagraph"/>
        <w:numPr>
          <w:ilvl w:val="0"/>
          <w:numId w:val="1195"/>
        </w:numPr>
      </w:pPr>
      <w:r>
        <w:t xml:space="preserve">Dimensions modulaires : </w:t>
      </w:r>
      <w:r>
        <w:rPr>
          <w:rStyle w:val="optioncarChar"/>
        </w:rPr>
        <w:t xml:space="preserve">200 x 200 / 300 X 300 </w:t>
      </w:r>
      <w:r>
        <w:t>mm.</w:t>
      </w:r>
    </w:p>
    <w:p w14:paraId="3033D200" w14:textId="77777777" w:rsidR="00772179" w:rsidRDefault="00000000">
      <w:pPr>
        <w:pStyle w:val="Author-eListParagraph"/>
        <w:numPr>
          <w:ilvl w:val="0"/>
          <w:numId w:val="1195"/>
        </w:numPr>
      </w:pPr>
      <w:r>
        <w:t xml:space="preserve">Epaisseur : </w:t>
      </w:r>
      <w:r>
        <w:rPr>
          <w:rStyle w:val="optioncarChar"/>
        </w:rPr>
        <w:t xml:space="preserve">40 </w:t>
      </w:r>
      <w:r>
        <w:t>mm.</w:t>
      </w:r>
    </w:p>
    <w:p w14:paraId="4F0C1860" w14:textId="77777777" w:rsidR="00772179" w:rsidRDefault="00000000">
      <w:pPr>
        <w:pStyle w:val="Author-eListParagraph"/>
        <w:numPr>
          <w:ilvl w:val="0"/>
          <w:numId w:val="1195"/>
        </w:numPr>
      </w:pPr>
      <w:r>
        <w:t xml:space="preserve">Finition des bords : </w:t>
      </w:r>
      <w:r>
        <w:rPr>
          <w:rStyle w:val="optioncarChar"/>
        </w:rPr>
        <w:t>rectilignes / rectilignes avec chanfrein </w:t>
      </w:r>
    </w:p>
    <w:p w14:paraId="1E0FF491" w14:textId="77777777" w:rsidR="00772179" w:rsidRDefault="00000000">
      <w:pPr>
        <w:pStyle w:val="Author-eListParagraph"/>
        <w:numPr>
          <w:ilvl w:val="0"/>
          <w:numId w:val="1195"/>
        </w:numPr>
      </w:pPr>
      <w:r>
        <w:t xml:space="preserve">Sorte : </w:t>
      </w:r>
      <w:r>
        <w:rPr>
          <w:rStyle w:val="optioncarChar"/>
        </w:rPr>
        <w:t>plein dans la masse / en deux couches avec couche de base et couche d'usure (face vue)</w:t>
      </w:r>
    </w:p>
    <w:p w14:paraId="65262269" w14:textId="77777777" w:rsidR="00772179" w:rsidRDefault="00000000">
      <w:pPr>
        <w:pStyle w:val="Author-eListParagraph"/>
        <w:numPr>
          <w:ilvl w:val="0"/>
          <w:numId w:val="1195"/>
        </w:numPr>
      </w:pPr>
      <w:r>
        <w:t xml:space="preserve">Coloris : </w:t>
      </w:r>
      <w:r>
        <w:rPr>
          <w:rStyle w:val="optioncarChar"/>
        </w:rPr>
        <w:t>gris / rouge / noir </w:t>
      </w:r>
    </w:p>
    <w:p w14:paraId="0302F7C8" w14:textId="77777777" w:rsidR="00772179" w:rsidRDefault="00000000">
      <w:pPr>
        <w:pStyle w:val="Author-eListParagraph"/>
        <w:numPr>
          <w:ilvl w:val="0"/>
          <w:numId w:val="1195"/>
        </w:numPr>
      </w:pPr>
      <w:r>
        <w:t>Texture et finition de la surface :</w:t>
      </w:r>
      <w:r>
        <w:rPr>
          <w:rStyle w:val="optioncarChar"/>
        </w:rPr>
        <w:t> antidérapante (PMR) / plane </w:t>
      </w:r>
    </w:p>
    <w:p w14:paraId="23E85AC5" w14:textId="77777777" w:rsidR="00772179" w:rsidRDefault="00000000">
      <w:pPr>
        <w:pStyle w:val="Author-eListParagraph"/>
        <w:numPr>
          <w:ilvl w:val="0"/>
          <w:numId w:val="1195"/>
        </w:numPr>
      </w:pPr>
      <w:r>
        <w:t xml:space="preserve">Selon la [Décision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 et les conditions qui y sont reprises , le mortier appartient à la classe de réaction au feu A1 </w:t>
      </w:r>
      <w:r>
        <w:rPr>
          <w:vertAlign w:val="subscript"/>
        </w:rPr>
        <w:t xml:space="preserve">FL </w:t>
      </w:r>
      <w:r>
        <w:t>. </w:t>
      </w:r>
    </w:p>
    <w:p w14:paraId="23EF0A5E" w14:textId="77777777" w:rsidR="00772179" w:rsidRDefault="00000000">
      <w:r>
        <w:rPr>
          <w:b/>
          <w:sz w:val="24"/>
        </w:rPr>
        <w:t>Revêtement de sol en carreaux – dalles de béton</w:t>
      </w:r>
    </w:p>
    <w:p w14:paraId="246D779D" w14:textId="77777777" w:rsidR="00772179" w:rsidRDefault="00000000">
      <w:r>
        <w:t>Les dalles en béton sont fabriquées en béton de ciment, plein dans la masse ou en deux couches. Elles doivent satisfaire aux prescriptions de la </w:t>
      </w:r>
      <w:r>
        <w:rPr>
          <w:shd w:val="clear" w:color="auto" w:fill="FFFFFF"/>
        </w:rPr>
        <w:t>[NBN EN 1339]</w:t>
      </w:r>
      <w:r>
        <w:t xml:space="preserve"> et de la [NBN B 21-211:2006+A1, Dalles en béton - Spécifications d'application]. A la livraison, l'entrepreneur remet à la direction du chantier un certificat attestant que les dalles de béton ont au moins 28 jours.</w:t>
      </w:r>
    </w:p>
    <w:p w14:paraId="1692961C" w14:textId="77777777" w:rsidR="00772179" w:rsidRDefault="00000000">
      <w:pPr>
        <w:pStyle w:val="heading"/>
      </w:pPr>
      <w:r>
        <w:t>Spécifications</w:t>
      </w:r>
    </w:p>
    <w:p w14:paraId="10955C02" w14:textId="77777777" w:rsidR="00772179" w:rsidRDefault="00000000">
      <w:pPr>
        <w:pStyle w:val="Author-eListParagraph"/>
        <w:numPr>
          <w:ilvl w:val="0"/>
          <w:numId w:val="1196"/>
        </w:numPr>
      </w:pPr>
      <w:r>
        <w:t xml:space="preserve">Dimensions modulaires : </w:t>
      </w:r>
      <w:r>
        <w:rPr>
          <w:rStyle w:val="optioncarChar"/>
        </w:rPr>
        <w:t xml:space="preserve">300 X 300 / 400 x 400 / 500 x 500 </w:t>
      </w:r>
      <w:r>
        <w:t>mm.</w:t>
      </w:r>
    </w:p>
    <w:p w14:paraId="4CF7762B" w14:textId="77777777" w:rsidR="00772179" w:rsidRDefault="00000000">
      <w:pPr>
        <w:pStyle w:val="Author-eListParagraph"/>
        <w:numPr>
          <w:ilvl w:val="0"/>
          <w:numId w:val="1196"/>
        </w:numPr>
      </w:pPr>
      <w:r>
        <w:t xml:space="preserve">Epaisseur : </w:t>
      </w:r>
      <w:r>
        <w:rPr>
          <w:rStyle w:val="optioncarChar"/>
        </w:rPr>
        <w:t xml:space="preserve">40 / 45 / 50 </w:t>
      </w:r>
      <w:r>
        <w:t>mm.</w:t>
      </w:r>
    </w:p>
    <w:p w14:paraId="4C7D275D" w14:textId="77777777" w:rsidR="00772179" w:rsidRDefault="00000000">
      <w:pPr>
        <w:pStyle w:val="Author-eListParagraph"/>
        <w:numPr>
          <w:ilvl w:val="0"/>
          <w:numId w:val="1196"/>
        </w:numPr>
      </w:pPr>
      <w:r>
        <w:t xml:space="preserve">Finition des bords : </w:t>
      </w:r>
      <w:r>
        <w:rPr>
          <w:rStyle w:val="optioncarChar"/>
        </w:rPr>
        <w:t>rectiligne / rectiligne avec chanfrein / à crénelures / en sifflet </w:t>
      </w:r>
    </w:p>
    <w:p w14:paraId="785BE928" w14:textId="77777777" w:rsidR="00772179" w:rsidRDefault="00000000">
      <w:pPr>
        <w:pStyle w:val="Author-eListParagraph"/>
        <w:numPr>
          <w:ilvl w:val="0"/>
          <w:numId w:val="1196"/>
        </w:numPr>
      </w:pPr>
      <w:r>
        <w:t xml:space="preserve">Composition : </w:t>
      </w:r>
      <w:r>
        <w:rPr>
          <w:rStyle w:val="optioncarChar"/>
        </w:rPr>
        <w:t>plein dans la masse / en deux couches avec une couche de base et une couche d'usure</w:t>
      </w:r>
    </w:p>
    <w:p w14:paraId="790CA395" w14:textId="77777777" w:rsidR="00772179" w:rsidRDefault="00000000">
      <w:pPr>
        <w:pStyle w:val="Author-eListParagraph"/>
        <w:numPr>
          <w:ilvl w:val="0"/>
          <w:numId w:val="1196"/>
        </w:numPr>
      </w:pPr>
      <w:r>
        <w:t>Surface :</w:t>
      </w:r>
      <w:r>
        <w:rPr>
          <w:rStyle w:val="optioncarChar"/>
        </w:rPr>
        <w:t> unie / structurée / délavée avec couche d'usure en silex / antidérapante (PMR)</w:t>
      </w:r>
    </w:p>
    <w:p w14:paraId="74EC754D" w14:textId="77777777" w:rsidR="00772179" w:rsidRDefault="00000000">
      <w:pPr>
        <w:pStyle w:val="Author-eListParagraph"/>
        <w:numPr>
          <w:ilvl w:val="0"/>
          <w:numId w:val="1196"/>
        </w:numPr>
      </w:pPr>
      <w:r>
        <w:t xml:space="preserve">Coloris : </w:t>
      </w:r>
      <w:r>
        <w:rPr>
          <w:rStyle w:val="optioncarChar"/>
        </w:rPr>
        <w:t>gris / rouge / noir </w:t>
      </w:r>
    </w:p>
    <w:p w14:paraId="2E5CF3A6" w14:textId="77777777" w:rsidR="00772179" w:rsidRDefault="00000000">
      <w:pPr>
        <w:pStyle w:val="Author-eListParagraph"/>
        <w:numPr>
          <w:ilvl w:val="0"/>
          <w:numId w:val="1196"/>
        </w:numPr>
      </w:pPr>
      <w:r>
        <w:lastRenderedPageBreak/>
        <w:t xml:space="preserve">Selon la [Décision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 et les conditions qui y sont reprises , le béton appartient à la classe de réaction au feu A1 </w:t>
      </w:r>
      <w:r>
        <w:rPr>
          <w:vertAlign w:val="subscript"/>
        </w:rPr>
        <w:t xml:space="preserve">FL </w:t>
      </w:r>
      <w:r>
        <w:t>.</w:t>
      </w:r>
    </w:p>
    <w:p w14:paraId="3EFBF7B4" w14:textId="77777777" w:rsidR="00772179" w:rsidRDefault="00000000">
      <w:pPr>
        <w:pStyle w:val="pheading"/>
      </w:pPr>
      <w:r>
        <w:t>EXÉCUTION / MISE EN ŒUVRE</w:t>
      </w:r>
    </w:p>
    <w:p w14:paraId="635A8A68" w14:textId="77777777" w:rsidR="00772179" w:rsidRDefault="00000000">
      <w:r>
        <w:t>Les dalles sont placées </w:t>
      </w:r>
      <w:r>
        <w:rPr>
          <w:rStyle w:val="optioncarChar"/>
        </w:rPr>
        <w:t xml:space="preserve">sur un lit de sable stabilisé au ciment </w:t>
      </w:r>
      <w:r>
        <w:t>(par défaut)</w:t>
      </w:r>
      <w:r>
        <w:rPr>
          <w:rStyle w:val="optioncarChar"/>
        </w:rPr>
        <w:t xml:space="preserve"> / ***</w:t>
      </w:r>
      <w:r>
        <w:t>, selon la [NIT 213] chapitre 5</w:t>
      </w:r>
    </w:p>
    <w:p w14:paraId="237CA5B4" w14:textId="77777777" w:rsidR="00772179" w:rsidRDefault="00000000">
      <w:r>
        <w:t>Les joints périphériques, de désolidarisation et de dilatation sont compris et sont exécutés conformément aux directives des NIT. Les joints de dilatation permettent de limiter les surfaces d'un seul tenant de +/- 50 m² et la longueur à carreler à 10 m . La mise en œuvre s'effectue à joints ouverts. Dans les 24 heures, les joints sont abondamment humidifiés à l'eau claire, remplis avec un mortier de composition identique à celle du mortier de pose. Le sable ne contient pas de produits colorants et est exempt d'argile et de particules ferrugineuses</w:t>
      </w:r>
    </w:p>
    <w:p w14:paraId="7FEDAFC5" w14:textId="77777777" w:rsidR="00772179" w:rsidRDefault="00000000">
      <w:r>
        <w:t>(voir aussi l'article 53.5 Revêtements de sols intérieurs revêtements de sol).</w:t>
      </w:r>
    </w:p>
    <w:p w14:paraId="5C7D2069" w14:textId="77777777" w:rsidR="00772179" w:rsidRDefault="00000000">
      <w:r>
        <w:rPr>
          <w:u w:val="single"/>
        </w:rPr>
        <w:t xml:space="preserve">Notes d'exécution complémentaires </w:t>
      </w:r>
    </w:p>
    <w:p w14:paraId="4751421F" w14:textId="77777777" w:rsidR="00772179" w:rsidRDefault="00000000">
      <w:pPr>
        <w:pStyle w:val="Author-eListParagraph"/>
        <w:numPr>
          <w:ilvl w:val="0"/>
          <w:numId w:val="1197"/>
        </w:numPr>
      </w:pPr>
      <w:r>
        <w:t xml:space="preserve">Les carreaux non modulaires sont posés avec un joint d'une largeur de </w:t>
      </w:r>
      <w:r>
        <w:rPr>
          <w:rStyle w:val="optioncarChar"/>
        </w:rPr>
        <w:t xml:space="preserve">5 / 8 / 10 </w:t>
      </w:r>
      <w:r>
        <w:t>mm.</w:t>
      </w:r>
    </w:p>
    <w:p w14:paraId="13628145" w14:textId="77777777" w:rsidR="00772179" w:rsidRDefault="00000000">
      <w:pPr>
        <w:pStyle w:val="Author-eListParagraph"/>
        <w:numPr>
          <w:ilvl w:val="0"/>
          <w:numId w:val="1197"/>
        </w:numPr>
      </w:pPr>
      <w:r>
        <w:t xml:space="preserve">Appareillage (selon la [NIT 237], chapitre 5) : </w:t>
      </w:r>
      <w:r>
        <w:rPr>
          <w:rStyle w:val="optioncarChar"/>
        </w:rPr>
        <w:t>à joints croisés / à demi-carreau / en diagonale </w:t>
      </w:r>
    </w:p>
    <w:p w14:paraId="4505FE05" w14:textId="77777777" w:rsidR="00772179" w:rsidRDefault="00000000">
      <w:pPr>
        <w:pStyle w:val="Author-eListParagraph"/>
        <w:numPr>
          <w:ilvl w:val="0"/>
          <w:numId w:val="1197"/>
        </w:numPr>
      </w:pPr>
      <w:r>
        <w:t>Les carreaux sont posés symétriquement par rapport aux axes du local.</w:t>
      </w:r>
    </w:p>
    <w:p w14:paraId="11EEEA60" w14:textId="77777777" w:rsidR="00772179" w:rsidRDefault="00000000">
      <w:pPr>
        <w:pStyle w:val="Author-eListParagraph"/>
        <w:numPr>
          <w:ilvl w:val="0"/>
          <w:numId w:val="1197"/>
        </w:numPr>
      </w:pPr>
      <w:r>
        <w:t xml:space="preserve">Coloris des joints : </w:t>
      </w:r>
      <w:r>
        <w:rPr>
          <w:rStyle w:val="optioncarChar"/>
        </w:rPr>
        <w:t>gris / adapté à la couleur des dalles</w:t>
      </w:r>
      <w:r>
        <w:t>.</w:t>
      </w:r>
    </w:p>
    <w:p w14:paraId="15A20F36" w14:textId="77777777" w:rsidR="00772179" w:rsidRDefault="00000000">
      <w:pPr>
        <w:pStyle w:val="Author-eSectionHeading6Numberless"/>
      </w:pPr>
      <w:bookmarkStart w:id="1305" w:name="_Toc220490957"/>
      <w:r>
        <w:t>46.43.1a Revêtements de sols extérieurs - ciment coloré dans la masse CCTB 01.10</w:t>
      </w:r>
      <w:bookmarkEnd w:id="1305"/>
    </w:p>
    <w:p w14:paraId="052E5626" w14:textId="77777777" w:rsidR="00772179" w:rsidRDefault="00000000">
      <w:pPr>
        <w:pStyle w:val="pheading"/>
      </w:pPr>
      <w:r>
        <w:t>MESURAGE</w:t>
      </w:r>
    </w:p>
    <w:p w14:paraId="5DABA6E0" w14:textId="77777777" w:rsidR="00772179" w:rsidRDefault="00000000">
      <w:pPr>
        <w:pStyle w:val="pheading"/>
      </w:pPr>
      <w:r>
        <w:t>- unité de mesure:</w:t>
      </w:r>
    </w:p>
    <w:p w14:paraId="1D2DCC9F" w14:textId="77777777" w:rsidR="00772179" w:rsidRDefault="00000000">
      <w:pPr>
        <w:pStyle w:val="Author-eListParagraph"/>
        <w:numPr>
          <w:ilvl w:val="0"/>
          <w:numId w:val="1198"/>
        </w:numPr>
      </w:pPr>
      <w:r>
        <w:t xml:space="preserve">Les revêtements de sol </w:t>
      </w:r>
      <w:r>
        <w:rPr>
          <w:rStyle w:val="optioncarChar"/>
        </w:rPr>
        <w:t xml:space="preserve">m² </w:t>
      </w:r>
    </w:p>
    <w:p w14:paraId="010FC329" w14:textId="77777777" w:rsidR="00772179" w:rsidRDefault="00000000">
      <w:pPr>
        <w:pStyle w:val="Author-eListParagraph"/>
        <w:numPr>
          <w:ilvl w:val="0"/>
          <w:numId w:val="1198"/>
        </w:numPr>
      </w:pPr>
      <w:r>
        <w:t>Les plinthes</w:t>
      </w:r>
      <w:r>
        <w:rPr>
          <w:rStyle w:val="optioncarChar"/>
        </w:rPr>
        <w:t> m</w:t>
      </w:r>
    </w:p>
    <w:p w14:paraId="54BEB5BD" w14:textId="77777777" w:rsidR="00772179" w:rsidRDefault="00000000">
      <w:pPr>
        <w:pStyle w:val="Author-eListParagraph"/>
        <w:numPr>
          <w:ilvl w:val="0"/>
          <w:numId w:val="1198"/>
        </w:numPr>
      </w:pPr>
      <w:r>
        <w:t>Les entre-portes   </w:t>
      </w:r>
      <w:r>
        <w:rPr>
          <w:rStyle w:val="optioncarChar"/>
        </w:rPr>
        <w:t xml:space="preserve">m² </w:t>
      </w:r>
    </w:p>
    <w:p w14:paraId="334EF631" w14:textId="77777777" w:rsidR="00772179" w:rsidRDefault="00000000">
      <w:pPr>
        <w:pStyle w:val="Author-eListParagraph"/>
        <w:numPr>
          <w:ilvl w:val="0"/>
          <w:numId w:val="1198"/>
        </w:numPr>
      </w:pPr>
      <w:r>
        <w:t>Les revêtements d'escaliers et de paliers  </w:t>
      </w:r>
      <w:r>
        <w:rPr>
          <w:rStyle w:val="optioncarChar"/>
        </w:rPr>
        <w:t> pc (marches) / m² (paliers)</w:t>
      </w:r>
    </w:p>
    <w:p w14:paraId="774795A2" w14:textId="77777777" w:rsidR="00772179" w:rsidRDefault="00000000">
      <w:pPr>
        <w:pStyle w:val="Author-eListParagraph"/>
        <w:numPr>
          <w:ilvl w:val="0"/>
          <w:numId w:val="1198"/>
        </w:numPr>
      </w:pPr>
      <w:r>
        <w:t>Les accessoires  </w:t>
      </w:r>
      <w:r>
        <w:rPr>
          <w:rStyle w:val="optioncarChar"/>
        </w:rPr>
        <w:t>pc</w:t>
      </w:r>
    </w:p>
    <w:p w14:paraId="10444DE8" w14:textId="77777777" w:rsidR="00772179" w:rsidRDefault="00000000">
      <w:pPr>
        <w:pStyle w:val="pheading"/>
      </w:pPr>
      <w:r>
        <w:t>- code de mesurage:</w:t>
      </w:r>
    </w:p>
    <w:p w14:paraId="276D800B" w14:textId="77777777" w:rsidR="00772179" w:rsidRDefault="00000000">
      <w:pPr>
        <w:pStyle w:val="Author-eListParagraph"/>
        <w:numPr>
          <w:ilvl w:val="0"/>
          <w:numId w:val="1199"/>
        </w:numPr>
      </w:pPr>
      <w:r>
        <w:rPr>
          <w:b/>
        </w:rPr>
        <w:t>Les revêtements de sol</w:t>
      </w:r>
      <w:r>
        <w:br/>
        <w:t>Selon le type et la nature du revêtement de sol. Surface nette mesurée entre le nu des murs et comptée sur base des dimensions nominales des locaux, en dm. Les superficies sont mesurées en incluant les joints et coutures. Les baies de portes sont comptées, sauf lorsque des seuils sont prévus. Les ouvertures et les interruptions &gt; 0,50 m² sont déduites.</w:t>
      </w:r>
    </w:p>
    <w:p w14:paraId="2ED5F9C4" w14:textId="77777777" w:rsidR="00772179" w:rsidRDefault="00000000">
      <w:pPr>
        <w:pStyle w:val="Author-eListParagraph"/>
        <w:numPr>
          <w:ilvl w:val="0"/>
          <w:numId w:val="1199"/>
        </w:numPr>
      </w:pPr>
      <w:r>
        <w:rPr>
          <w:b/>
        </w:rPr>
        <w:t>Les plinthes</w:t>
      </w:r>
      <w:r>
        <w:br/>
        <w:t>Selon le type et la nature des plinthes. Périmètre net des locaux, les interruptions &gt; 0,5 m sont déduites. Il faut, par conséquent, toujours déduire les dimensions dans l'œuvre des baies de portes.</w:t>
      </w:r>
    </w:p>
    <w:p w14:paraId="61DBB0E3" w14:textId="77777777" w:rsidR="00772179" w:rsidRDefault="00000000">
      <w:pPr>
        <w:pStyle w:val="Author-eListParagraph"/>
        <w:numPr>
          <w:ilvl w:val="0"/>
          <w:numId w:val="1199"/>
        </w:numPr>
      </w:pPr>
      <w:r>
        <w:rPr>
          <w:b/>
        </w:rPr>
        <w:t>Les entre-portes</w:t>
      </w:r>
      <w:r>
        <w:br/>
        <w:t>Selon la nature et le type des seuils de portes Surface nette mesurée dans l'œuvre des baies</w:t>
      </w:r>
    </w:p>
    <w:p w14:paraId="441DE8C1" w14:textId="77777777" w:rsidR="00772179" w:rsidRDefault="00000000">
      <w:pPr>
        <w:pStyle w:val="Author-eListParagraph"/>
        <w:numPr>
          <w:ilvl w:val="0"/>
          <w:numId w:val="1199"/>
        </w:numPr>
      </w:pPr>
      <w:r>
        <w:t xml:space="preserve">Les revêtements d'escaliers et de paliers </w:t>
      </w:r>
      <w:r>
        <w:br/>
        <w:t>Marches, contremarches, plinthes et finition des bords sont comprises</w:t>
      </w:r>
    </w:p>
    <w:p w14:paraId="4A770A5B" w14:textId="77777777" w:rsidR="00772179" w:rsidRDefault="00000000">
      <w:pPr>
        <w:pStyle w:val="Author-eListParagraph"/>
        <w:numPr>
          <w:ilvl w:val="0"/>
          <w:numId w:val="1199"/>
        </w:numPr>
      </w:pPr>
      <w:r>
        <w:rPr>
          <w:b/>
        </w:rPr>
        <w:t>Les accessoires</w:t>
      </w:r>
      <w:r>
        <w:br/>
        <w:t>Selon le type et/ou les dimensions</w:t>
      </w:r>
    </w:p>
    <w:p w14:paraId="53D52185" w14:textId="77777777" w:rsidR="00772179" w:rsidRDefault="00000000">
      <w:pPr>
        <w:pStyle w:val="pheading"/>
      </w:pPr>
      <w:r>
        <w:t>- nature du marché:</w:t>
      </w:r>
    </w:p>
    <w:p w14:paraId="3273CAB4" w14:textId="77777777" w:rsidR="00772179" w:rsidRDefault="00000000">
      <w:r>
        <w:t>QF</w:t>
      </w:r>
    </w:p>
    <w:p w14:paraId="1F3417A3" w14:textId="77777777" w:rsidR="00772179" w:rsidRDefault="00000000">
      <w:pPr>
        <w:pStyle w:val="Author-eSectionHeading6Numberless"/>
      </w:pPr>
      <w:bookmarkStart w:id="1306" w:name="_Toc220490958"/>
      <w:r>
        <w:lastRenderedPageBreak/>
        <w:t>46.43.1b Revêtements de sols extérieurs - couches d'usure composées de granulat mêlé au ciment CCTB 01.02</w:t>
      </w:r>
      <w:bookmarkEnd w:id="1306"/>
    </w:p>
    <w:p w14:paraId="2C7B7D31" w14:textId="77777777" w:rsidR="00772179" w:rsidRDefault="00000000">
      <w:pPr>
        <w:pStyle w:val="Author-eSectionHeading5Numberless"/>
      </w:pPr>
      <w:bookmarkStart w:id="1307" w:name="_Toc220490959"/>
      <w:r>
        <w:t>46.43.2 Revêtements de sols extérieurs - carreaux à base de liants résineux CCTB 01.02</w:t>
      </w:r>
      <w:bookmarkEnd w:id="1307"/>
    </w:p>
    <w:p w14:paraId="187E8464" w14:textId="77777777" w:rsidR="00772179" w:rsidRDefault="00000000">
      <w:pPr>
        <w:pStyle w:val="Author-eSectionHeading6Numberless"/>
      </w:pPr>
      <w:bookmarkStart w:id="1308" w:name="_Toc220490960"/>
      <w:r>
        <w:t>46.43.2a Revêtements de sols extérieurs - carreaux à base de liants résineux CCTB 01.10</w:t>
      </w:r>
      <w:bookmarkEnd w:id="1308"/>
    </w:p>
    <w:p w14:paraId="48A99DA9" w14:textId="77777777" w:rsidR="00772179" w:rsidRDefault="00000000">
      <w:pPr>
        <w:pStyle w:val="Author-eSectionHeading4Numberless"/>
      </w:pPr>
      <w:bookmarkStart w:id="1309" w:name="_Toc220490961"/>
      <w:r>
        <w:t>46.44 Revêtements de sols extérieurs - bois massif CCTB 01.11</w:t>
      </w:r>
      <w:bookmarkEnd w:id="1309"/>
    </w:p>
    <w:p w14:paraId="2E12321D" w14:textId="77777777" w:rsidR="00772179" w:rsidRDefault="00000000">
      <w:pPr>
        <w:pStyle w:val="pheading"/>
      </w:pPr>
      <w:r>
        <w:t>DESCRIPTION</w:t>
      </w:r>
    </w:p>
    <w:p w14:paraId="0B195496" w14:textId="77777777" w:rsidR="00772179" w:rsidRDefault="00000000">
      <w:pPr>
        <w:pStyle w:val="pheading"/>
      </w:pPr>
      <w:r>
        <w:t>- Définition / Comprend</w:t>
      </w:r>
    </w:p>
    <w:p w14:paraId="65CEADFF" w14:textId="77777777" w:rsidR="00772179" w:rsidRDefault="00000000">
      <w:r>
        <w:t>Il s'agit de la fourniture et la pose de revêtements de sol en bois, composés de panneaux, planches et/ou parquets. Conformément aux dispositions générales et/ou spécifiques du cahier spécial des charges, les prix unitaires compris dans ces postes comprennent toujours, soit selon la ventilation dans le métré récapitulatif, soit dans leur totalité :</w:t>
      </w:r>
    </w:p>
    <w:p w14:paraId="44F5EF9F" w14:textId="77777777" w:rsidR="00772179" w:rsidRDefault="00000000">
      <w:pPr>
        <w:pStyle w:val="Author-eListParagraph"/>
        <w:numPr>
          <w:ilvl w:val="0"/>
          <w:numId w:val="1200"/>
        </w:numPr>
      </w:pPr>
      <w:r>
        <w:t>La préparation de l'aire de pose;</w:t>
      </w:r>
    </w:p>
    <w:p w14:paraId="29F67464" w14:textId="77777777" w:rsidR="00772179" w:rsidRDefault="00000000">
      <w:pPr>
        <w:pStyle w:val="Author-eListParagraph"/>
        <w:numPr>
          <w:ilvl w:val="0"/>
          <w:numId w:val="1200"/>
        </w:numPr>
      </w:pPr>
      <w:r>
        <w:t>La fourniture, la préparation et la mise en œuvre des plaques, planches et/ou éléments de parquet, y compris tous les moyens de fixation et toutes les sous-couches prescrites ou nécessaires, pièces spéciales, ancrages, plaques de support, cales, …</w:t>
      </w:r>
    </w:p>
    <w:p w14:paraId="6EDBDAB2" w14:textId="77777777" w:rsidR="00772179" w:rsidRDefault="00000000">
      <w:pPr>
        <w:pStyle w:val="Author-eListParagraph"/>
        <w:numPr>
          <w:ilvl w:val="0"/>
          <w:numId w:val="1200"/>
        </w:numPr>
      </w:pPr>
      <w:r>
        <w:t>La réalisation des pénétrations de sol habituelles et/ou des réservations;</w:t>
      </w:r>
    </w:p>
    <w:p w14:paraId="0361CB9D" w14:textId="77777777" w:rsidR="00772179" w:rsidRDefault="00000000">
      <w:pPr>
        <w:pStyle w:val="Author-eListParagraph"/>
        <w:numPr>
          <w:ilvl w:val="0"/>
          <w:numId w:val="1200"/>
        </w:numPr>
      </w:pPr>
      <w:r>
        <w:t>Les finitions prescrites et les éventuelles couches de protection;</w:t>
      </w:r>
    </w:p>
    <w:p w14:paraId="59CCFDB5" w14:textId="77777777" w:rsidR="00772179" w:rsidRDefault="00000000">
      <w:pPr>
        <w:pStyle w:val="Author-eListParagraph"/>
        <w:numPr>
          <w:ilvl w:val="0"/>
          <w:numId w:val="1200"/>
        </w:numPr>
      </w:pPr>
      <w:r>
        <w:t>La protection des revêtements de sol en bois jusqu'à la réception provisoire.</w:t>
      </w:r>
    </w:p>
    <w:p w14:paraId="282DE105" w14:textId="77777777" w:rsidR="00772179" w:rsidRDefault="00000000">
      <w:pPr>
        <w:pStyle w:val="pheading"/>
      </w:pPr>
      <w:r>
        <w:t>MATÉRIAUX</w:t>
      </w:r>
    </w:p>
    <w:p w14:paraId="031E559C" w14:textId="77777777" w:rsidR="00772179" w:rsidRDefault="00000000">
      <w:pPr>
        <w:pStyle w:val="Author-eListParagraph"/>
        <w:numPr>
          <w:ilvl w:val="0"/>
          <w:numId w:val="1201"/>
        </w:numPr>
      </w:pPr>
      <w:r>
        <w:t xml:space="preserve">Les revêtements en </w:t>
      </w:r>
      <w:r>
        <w:rPr>
          <w:rStyle w:val="optioncarChar"/>
        </w:rPr>
        <w:t>panneaux / planches / parquet</w:t>
      </w:r>
      <w:r>
        <w:t xml:space="preserve"> conviennent respectivement pour une sous-couche provisoire pour le revêtement de sol définitif et/ou sont destinés comme revêtement définitif. Pour plus d'informations, voir aussi le Centre interfédéral d'information sur le bois (www.bois.be)</w:t>
      </w:r>
    </w:p>
    <w:p w14:paraId="3DC6FE84" w14:textId="77777777" w:rsidR="00772179" w:rsidRDefault="00000000">
      <w:pPr>
        <w:pStyle w:val="Author-eListParagraph"/>
        <w:numPr>
          <w:ilvl w:val="0"/>
          <w:numId w:val="1201"/>
        </w:numPr>
      </w:pPr>
      <w:r>
        <w:t>Le degré d'humidité du bois est &lt; 15 %. Les dimensions du bois correspondent à un degré d'humidité de 12 %.</w:t>
      </w:r>
    </w:p>
    <w:p w14:paraId="161ED451" w14:textId="77777777" w:rsidR="00772179" w:rsidRDefault="00000000">
      <w:pPr>
        <w:pStyle w:val="Author-eListParagraph"/>
        <w:numPr>
          <w:ilvl w:val="0"/>
          <w:numId w:val="1201"/>
        </w:numPr>
      </w:pPr>
      <w:r>
        <w:t>En matière de sécurité incendie, les revêtements de sol satisfont à certaines exigences en fonction de la destination du local dont ils font partie.</w:t>
      </w:r>
    </w:p>
    <w:p w14:paraId="37C3E10C" w14:textId="77777777" w:rsidR="00772179" w:rsidRDefault="00000000">
      <w:pPr>
        <w:pStyle w:val="Author-eListParagraph"/>
        <w:numPr>
          <w:ilvl w:val="0"/>
          <w:numId w:val="1201"/>
        </w:numPr>
      </w:pPr>
      <w:r>
        <w:t>Support aux prescripteurs : [SWL GSI/T1/B] de la prévention passive référencé dans le cahier des références de ce cahier des charges. </w:t>
      </w:r>
    </w:p>
    <w:p w14:paraId="709D56FC" w14:textId="77777777" w:rsidR="00772179" w:rsidRDefault="00000000">
      <w:r>
        <w:rPr>
          <w:b/>
          <w:sz w:val="24"/>
        </w:rPr>
        <w:t>Revêtement de sol en bois - panneaux</w:t>
      </w:r>
    </w:p>
    <w:p w14:paraId="5F1EE247" w14:textId="77777777" w:rsidR="00772179" w:rsidRDefault="00000000">
      <w:r>
        <w:t>Il s'agit d'un revêtement de sol réalisé à l'aide de</w:t>
      </w:r>
    </w:p>
    <w:p w14:paraId="3EDBAAD0" w14:textId="77777777" w:rsidR="00772179" w:rsidRDefault="00000000">
      <w:r>
        <w:rPr>
          <w:rStyle w:val="optioncarChar"/>
        </w:rPr>
        <w:t xml:space="preserve">contre-plaqué </w:t>
      </w:r>
      <w:r>
        <w:t>(par défaut)</w:t>
      </w:r>
      <w:r>
        <w:rPr>
          <w:rStyle w:val="optioncarChar"/>
        </w:rPr>
        <w:t xml:space="preserve"> / aggloméré / OSB</w:t>
      </w:r>
    </w:p>
    <w:p w14:paraId="0C34D26B" w14:textId="77777777" w:rsidR="00772179" w:rsidRDefault="00000000">
      <w:r>
        <w:rPr>
          <w:b/>
        </w:rPr>
        <w:t>(soit par défaut)</w:t>
      </w:r>
      <w:r>
        <w:t xml:space="preserve">: </w:t>
      </w:r>
      <w:r>
        <w:rPr>
          <w:rStyle w:val="soitChar"/>
        </w:rPr>
        <w:t xml:space="preserve">plaques de </w:t>
      </w:r>
      <w:r>
        <w:rPr>
          <w:rStyle w:val="soitChar"/>
          <w:u w:val="single"/>
        </w:rPr>
        <w:t>contre-plaqué</w:t>
      </w:r>
      <w:r>
        <w:rPr>
          <w:rStyle w:val="soitChar"/>
        </w:rPr>
        <w:t>, selon les </w:t>
      </w:r>
      <w:r>
        <w:rPr>
          <w:shd w:val="clear" w:color="auto" w:fill="FFFFFF"/>
        </w:rPr>
        <w:t>[STS 04 série].</w:t>
      </w:r>
      <w:r>
        <w:br/>
      </w:r>
      <w:r>
        <w:rPr>
          <w:b/>
        </w:rPr>
        <w:t>(soit)</w:t>
      </w:r>
      <w:r>
        <w:t xml:space="preserve"> : </w:t>
      </w:r>
      <w:r>
        <w:rPr>
          <w:rStyle w:val="soitChar"/>
        </w:rPr>
        <w:t xml:space="preserve">panneaux de bois </w:t>
      </w:r>
      <w:r>
        <w:rPr>
          <w:rStyle w:val="soitChar"/>
          <w:u w:val="single"/>
        </w:rPr>
        <w:t>aggloméré</w:t>
      </w:r>
      <w:r>
        <w:rPr>
          <w:rStyle w:val="soitChar"/>
        </w:rPr>
        <w:t>, selon les </w:t>
      </w:r>
      <w:r>
        <w:rPr>
          <w:shd w:val="clear" w:color="auto" w:fill="FFFFFF"/>
        </w:rPr>
        <w:t>[STS 04 série]</w:t>
      </w:r>
      <w:r>
        <w:rPr>
          <w:color w:val="33CCCC"/>
          <w:shd w:val="clear" w:color="auto" w:fill="FFFFFF"/>
        </w:rPr>
        <w:t>.</w:t>
      </w:r>
      <w:r>
        <w:br/>
      </w:r>
      <w:r>
        <w:rPr>
          <w:b/>
        </w:rPr>
        <w:t>(soit)</w:t>
      </w:r>
      <w:r>
        <w:t xml:space="preserve"> : </w:t>
      </w:r>
      <w:r>
        <w:rPr>
          <w:rStyle w:val="soitChar"/>
        </w:rPr>
        <w:t xml:space="preserve">panneaux </w:t>
      </w:r>
      <w:r>
        <w:rPr>
          <w:rStyle w:val="soitChar"/>
          <w:u w:val="single"/>
        </w:rPr>
        <w:t>OSB</w:t>
      </w:r>
      <w:r>
        <w:rPr>
          <w:rStyle w:val="soitChar"/>
        </w:rPr>
        <w:t>, selon la </w:t>
      </w:r>
      <w:r>
        <w:t>[NBN EN 300, Panneaux de lamelles minces, longues et orientées (OSB) - Définitions, classification et exigences]</w:t>
      </w:r>
    </w:p>
    <w:p w14:paraId="61791914" w14:textId="77777777" w:rsidR="00772179" w:rsidRDefault="00000000">
      <w:pPr>
        <w:pStyle w:val="heading"/>
      </w:pPr>
      <w:r>
        <w:t>Spécifications plaques de contre-plaqué</w:t>
      </w:r>
    </w:p>
    <w:p w14:paraId="7DC3F5AB" w14:textId="77777777" w:rsidR="00772179" w:rsidRDefault="00000000">
      <w:pPr>
        <w:pStyle w:val="Author-eListParagraph"/>
        <w:numPr>
          <w:ilvl w:val="0"/>
          <w:numId w:val="1202"/>
        </w:numPr>
      </w:pPr>
      <w:r>
        <w:t xml:space="preserve">Classe de collage (selon les </w:t>
      </w:r>
      <w:r>
        <w:rPr>
          <w:shd w:val="clear" w:color="auto" w:fill="FFFFFF"/>
        </w:rPr>
        <w:t xml:space="preserve">[STS 04 série] .51.14 </w:t>
      </w:r>
      <w:r>
        <w:t xml:space="preserve">) : </w:t>
      </w:r>
      <w:r>
        <w:rPr>
          <w:rStyle w:val="optioncarChar"/>
        </w:rPr>
        <w:t>72-100 (WBP) / 03-67 (= hydrofuge) </w:t>
      </w:r>
    </w:p>
    <w:p w14:paraId="61B4A66B" w14:textId="77777777" w:rsidR="00772179" w:rsidRDefault="00000000">
      <w:pPr>
        <w:pStyle w:val="Author-eListParagraph"/>
        <w:numPr>
          <w:ilvl w:val="0"/>
          <w:numId w:val="1202"/>
        </w:numPr>
      </w:pPr>
      <w:r>
        <w:t xml:space="preserve">Qualité du bois (selon les </w:t>
      </w:r>
      <w:r>
        <w:rPr>
          <w:shd w:val="clear" w:color="auto" w:fill="FFFFFF"/>
        </w:rPr>
        <w:t xml:space="preserve">[STS 04 série] .51.13 </w:t>
      </w:r>
      <w:r>
        <w:t xml:space="preserve">) : </w:t>
      </w:r>
      <w:r>
        <w:rPr>
          <w:rStyle w:val="optioncarChar"/>
        </w:rPr>
        <w:t>code E (reste apparent)</w:t>
      </w:r>
    </w:p>
    <w:p w14:paraId="6A61361A" w14:textId="77777777" w:rsidR="00772179" w:rsidRDefault="00000000">
      <w:pPr>
        <w:pStyle w:val="Author-eListParagraph"/>
        <w:numPr>
          <w:ilvl w:val="0"/>
          <w:numId w:val="1202"/>
        </w:numPr>
      </w:pPr>
      <w:r>
        <w:t xml:space="preserve">Epaisseur des plaques : minimum </w:t>
      </w:r>
      <w:r>
        <w:rPr>
          <w:rStyle w:val="optioncarChar"/>
        </w:rPr>
        <w:t>15 / 18 / 20 / 22 / 25 / 30 </w:t>
      </w:r>
      <w:r>
        <w:t>mm</w:t>
      </w:r>
    </w:p>
    <w:p w14:paraId="2E657E7B" w14:textId="77777777" w:rsidR="00772179" w:rsidRDefault="00000000">
      <w:pPr>
        <w:pStyle w:val="Author-eListParagraph"/>
        <w:numPr>
          <w:ilvl w:val="0"/>
          <w:numId w:val="1202"/>
        </w:numPr>
      </w:pPr>
      <w:r>
        <w:t xml:space="preserve">Dimensions : </w:t>
      </w:r>
      <w:r>
        <w:rPr>
          <w:rStyle w:val="optioncarChar"/>
        </w:rPr>
        <w:t>122 x 244 / 125 x 250 / 153 x 305 </w:t>
      </w:r>
      <w:r>
        <w:t>cm</w:t>
      </w:r>
    </w:p>
    <w:p w14:paraId="06B1F1E7" w14:textId="77777777" w:rsidR="00772179" w:rsidRDefault="00000000">
      <w:pPr>
        <w:pStyle w:val="Author-eListParagraph"/>
        <w:numPr>
          <w:ilvl w:val="0"/>
          <w:numId w:val="1202"/>
        </w:numPr>
      </w:pPr>
      <w:r>
        <w:t xml:space="preserve">Finition des bords : </w:t>
      </w:r>
      <w:r>
        <w:rPr>
          <w:rStyle w:val="optioncarChar"/>
        </w:rPr>
        <w:t xml:space="preserve">droits / à rainure et languette </w:t>
      </w:r>
      <w:r>
        <w:t>(des deux côtés longitudinaux / sur les quatre côtés)</w:t>
      </w:r>
    </w:p>
    <w:p w14:paraId="7399EDC0" w14:textId="77777777" w:rsidR="00772179" w:rsidRDefault="00000000">
      <w:pPr>
        <w:pStyle w:val="Author-eListParagraph"/>
        <w:numPr>
          <w:ilvl w:val="0"/>
          <w:numId w:val="1202"/>
        </w:numPr>
      </w:pPr>
      <w:r>
        <w:t xml:space="preserve">Finition de la face vue : </w:t>
      </w:r>
      <w:r>
        <w:rPr>
          <w:rStyle w:val="optioncarChar"/>
        </w:rPr>
        <w:t>poncée / non poncée / antidérapante (PMR)</w:t>
      </w:r>
    </w:p>
    <w:p w14:paraId="7342DFD9" w14:textId="77777777" w:rsidR="00772179" w:rsidRDefault="00000000">
      <w:pPr>
        <w:pStyle w:val="Author-eListParagraph"/>
        <w:numPr>
          <w:ilvl w:val="0"/>
          <w:numId w:val="1202"/>
        </w:numPr>
      </w:pPr>
      <w:r>
        <w:lastRenderedPageBreak/>
        <w:t xml:space="preserve">Essence : bois résineux </w:t>
      </w:r>
      <w:r>
        <w:rPr>
          <w:rStyle w:val="optioncarChar"/>
        </w:rPr>
        <w:t xml:space="preserve">(Oregon / Western Red Cedar / ***) </w:t>
      </w:r>
      <w:r>
        <w:t>/ Bois feuillu</w:t>
      </w:r>
      <w:r>
        <w:rPr>
          <w:rStyle w:val="optioncarChar"/>
        </w:rPr>
        <w:t xml:space="preserve"> (*** / méranti / bouleau / ***) </w:t>
      </w:r>
    </w:p>
    <w:p w14:paraId="679286D5" w14:textId="77777777" w:rsidR="00772179" w:rsidRDefault="00000000">
      <w:pPr>
        <w:pStyle w:val="Author-eListParagraph"/>
        <w:numPr>
          <w:ilvl w:val="0"/>
          <w:numId w:val="1202"/>
        </w:numPr>
      </w:pPr>
      <w:r>
        <w:t xml:space="preserve">Placage extérieur : </w:t>
      </w:r>
      <w:r>
        <w:rPr>
          <w:rStyle w:val="optioncarChar"/>
        </w:rPr>
        <w:t> idem</w:t>
      </w:r>
    </w:p>
    <w:p w14:paraId="7B4B9515" w14:textId="77777777" w:rsidR="00772179" w:rsidRDefault="00000000">
      <w:pPr>
        <w:pStyle w:val="Author-eListParagraph"/>
        <w:numPr>
          <w:ilvl w:val="0"/>
          <w:numId w:val="1202"/>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FL  </w:t>
      </w:r>
      <w:r>
        <w:t>selon la [NBN EN 13501-1]</w:t>
      </w:r>
    </w:p>
    <w:p w14:paraId="1DA34290" w14:textId="77777777" w:rsidR="00772179" w:rsidRDefault="00000000">
      <w:pPr>
        <w:pStyle w:val="Author-eListParagraph"/>
        <w:numPr>
          <w:ilvl w:val="0"/>
          <w:numId w:val="1202"/>
        </w:numPr>
      </w:pPr>
      <w:r>
        <w:t xml:space="preserve">Classe additionnelle : </w:t>
      </w:r>
      <w:r>
        <w:rPr>
          <w:rStyle w:val="optioncarChar"/>
        </w:rPr>
        <w:t>***</w:t>
      </w:r>
    </w:p>
    <w:p w14:paraId="1B3D5293" w14:textId="77777777" w:rsidR="00772179" w:rsidRDefault="00000000">
      <w:pPr>
        <w:pStyle w:val="Author-eListParagraph"/>
        <w:numPr>
          <w:ilvl w:val="0"/>
          <w:numId w:val="1202"/>
        </w:numPr>
      </w:pPr>
      <w:r>
        <w:t xml:space="preserve">Production de fumée : </w:t>
      </w:r>
      <w:r>
        <w:rPr>
          <w:rStyle w:val="optioncarChar"/>
        </w:rPr>
        <w:t>s1 / s2 </w:t>
      </w:r>
    </w:p>
    <w:p w14:paraId="1A959717" w14:textId="77777777" w:rsidR="00772179" w:rsidRDefault="00000000">
      <w:r>
        <w:rPr>
          <w:u w:val="single"/>
        </w:rPr>
        <w:t xml:space="preserve">Options plaques de contre-plaqué </w:t>
      </w:r>
    </w:p>
    <w:p w14:paraId="77D1FDFB" w14:textId="77777777" w:rsidR="00772179" w:rsidRDefault="00000000">
      <w:pPr>
        <w:pStyle w:val="Author-eListParagraph"/>
        <w:numPr>
          <w:ilvl w:val="0"/>
          <w:numId w:val="1203"/>
        </w:numPr>
      </w:pPr>
      <w:r>
        <w:t xml:space="preserve">les panneaux sont </w:t>
      </w:r>
      <w:r>
        <w:rPr>
          <w:rStyle w:val="optioncarChar"/>
        </w:rPr>
        <w:t>bakélisés / mélaminés </w:t>
      </w:r>
    </w:p>
    <w:p w14:paraId="4E0981F7" w14:textId="77777777" w:rsidR="00772179" w:rsidRDefault="00000000">
      <w:pPr>
        <w:pStyle w:val="Author-eListParagraph"/>
        <w:numPr>
          <w:ilvl w:val="0"/>
          <w:numId w:val="1203"/>
        </w:numPr>
      </w:pPr>
      <w:r>
        <w:t>les plaques sont traitées afin d’améliorer leur comportement de réaction au feu (plaques ignifugées) </w:t>
      </w:r>
    </w:p>
    <w:p w14:paraId="5DCBBD44" w14:textId="77777777" w:rsidR="00772179" w:rsidRDefault="00000000">
      <w:pPr>
        <w:pStyle w:val="heading"/>
      </w:pPr>
      <w:r>
        <w:t>Spécifications panneaux de bois aggloméré</w:t>
      </w:r>
    </w:p>
    <w:p w14:paraId="6C28C00E" w14:textId="77777777" w:rsidR="00772179" w:rsidRDefault="00000000">
      <w:pPr>
        <w:pStyle w:val="Author-eListParagraph"/>
        <w:numPr>
          <w:ilvl w:val="0"/>
          <w:numId w:val="1204"/>
        </w:numPr>
      </w:pPr>
      <w:r>
        <w:t xml:space="preserve">Type : type </w:t>
      </w:r>
      <w:r>
        <w:rPr>
          <w:rStyle w:val="optioncarChar"/>
        </w:rPr>
        <w:t>A / B (fortement hydrofuge) / avec un produit à base de duomère.</w:t>
      </w:r>
    </w:p>
    <w:p w14:paraId="725CB791" w14:textId="77777777" w:rsidR="00772179" w:rsidRDefault="00000000">
      <w:pPr>
        <w:pStyle w:val="Author-eListParagraph"/>
        <w:numPr>
          <w:ilvl w:val="0"/>
          <w:numId w:val="1204"/>
        </w:numPr>
      </w:pPr>
      <w:r>
        <w:t xml:space="preserve">Masse volumique : ≥ </w:t>
      </w:r>
      <w:r>
        <w:rPr>
          <w:rStyle w:val="optioncarChar"/>
        </w:rPr>
        <w:t xml:space="preserve">650 / 725 </w:t>
      </w:r>
      <w:r>
        <w:t>kg/m³</w:t>
      </w:r>
    </w:p>
    <w:p w14:paraId="69FB37D3" w14:textId="77777777" w:rsidR="00772179" w:rsidRDefault="00000000">
      <w:pPr>
        <w:pStyle w:val="Author-eListParagraph"/>
        <w:numPr>
          <w:ilvl w:val="0"/>
          <w:numId w:val="1204"/>
        </w:numPr>
      </w:pPr>
      <w:r>
        <w:t>Teneur en formaldéhyde : classe E1 (selon la [NBN EN ISO 12460-5] et/ou [NBN EN ISO 12460-5])</w:t>
      </w:r>
    </w:p>
    <w:p w14:paraId="6599871F" w14:textId="77777777" w:rsidR="00772179" w:rsidRDefault="00000000">
      <w:pPr>
        <w:pStyle w:val="Author-eListParagraph"/>
        <w:numPr>
          <w:ilvl w:val="0"/>
          <w:numId w:val="1204"/>
        </w:numPr>
      </w:pPr>
      <w:r>
        <w:t xml:space="preserve">Epaisseur des plaques : </w:t>
      </w:r>
      <w:r>
        <w:rPr>
          <w:rStyle w:val="optioncarChar"/>
        </w:rPr>
        <w:t xml:space="preserve">16 / 18 / 20 / 22 </w:t>
      </w:r>
      <w:r>
        <w:t>mm.</w:t>
      </w:r>
    </w:p>
    <w:p w14:paraId="4DE19890" w14:textId="77777777" w:rsidR="00772179" w:rsidRDefault="00000000">
      <w:pPr>
        <w:pStyle w:val="Author-eListParagraph"/>
        <w:numPr>
          <w:ilvl w:val="0"/>
          <w:numId w:val="1204"/>
        </w:numPr>
      </w:pPr>
      <w:r>
        <w:t xml:space="preserve">Dimensions : </w:t>
      </w:r>
      <w:r>
        <w:rPr>
          <w:rStyle w:val="optioncarChar"/>
        </w:rPr>
        <w:t xml:space="preserve">122 x 244 / 125 x 250 </w:t>
      </w:r>
      <w:r>
        <w:t>cm.</w:t>
      </w:r>
    </w:p>
    <w:p w14:paraId="62A6A028" w14:textId="77777777" w:rsidR="00772179" w:rsidRDefault="00000000">
      <w:pPr>
        <w:pStyle w:val="Author-eListParagraph"/>
        <w:numPr>
          <w:ilvl w:val="0"/>
          <w:numId w:val="1204"/>
        </w:numPr>
      </w:pPr>
      <w:r>
        <w:t>Finition de la surface :</w:t>
      </w:r>
      <w:r>
        <w:rPr>
          <w:rStyle w:val="optioncarChar"/>
        </w:rPr>
        <w:t> poncée / non poncée / antidérapante (PMR)</w:t>
      </w:r>
    </w:p>
    <w:p w14:paraId="2D5B0230" w14:textId="77777777" w:rsidR="00772179" w:rsidRDefault="00000000">
      <w:pPr>
        <w:pStyle w:val="Author-eListParagraph"/>
        <w:numPr>
          <w:ilvl w:val="0"/>
          <w:numId w:val="1204"/>
        </w:numPr>
      </w:pPr>
      <w:r>
        <w:t xml:space="preserve">Finition des bords : droite / à rainure et languette finition du type </w:t>
      </w:r>
      <w:r>
        <w:rPr>
          <w:rStyle w:val="optioncarChar"/>
        </w:rPr>
        <w:t>***</w:t>
      </w:r>
    </w:p>
    <w:p w14:paraId="176FB53F" w14:textId="77777777" w:rsidR="00772179" w:rsidRDefault="00000000">
      <w:pPr>
        <w:pStyle w:val="Author-eListParagraph"/>
        <w:numPr>
          <w:ilvl w:val="0"/>
          <w:numId w:val="1204"/>
        </w:numPr>
      </w:pPr>
      <w:r>
        <w:t xml:space="preserve">Réaction au feu : classe </w:t>
      </w:r>
      <w:r>
        <w:rPr>
          <w:rStyle w:val="optioncarChar"/>
        </w:rPr>
        <w:t xml:space="preserve"> 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FL </w:t>
      </w:r>
      <w:r>
        <w:t>selon la [NBN EN 13501-1].</w:t>
      </w:r>
    </w:p>
    <w:p w14:paraId="3388E224" w14:textId="77777777" w:rsidR="00772179" w:rsidRDefault="00000000">
      <w:pPr>
        <w:pStyle w:val="Author-eListParagraph"/>
        <w:numPr>
          <w:ilvl w:val="0"/>
          <w:numId w:val="1204"/>
        </w:numPr>
      </w:pPr>
      <w:r>
        <w:t xml:space="preserve">Classe additionnelle : </w:t>
      </w:r>
      <w:r>
        <w:rPr>
          <w:rStyle w:val="optioncarChar"/>
        </w:rPr>
        <w:t>***</w:t>
      </w:r>
    </w:p>
    <w:p w14:paraId="25585805" w14:textId="77777777" w:rsidR="00772179" w:rsidRDefault="00000000">
      <w:pPr>
        <w:pStyle w:val="Author-eListParagraph"/>
        <w:numPr>
          <w:ilvl w:val="0"/>
          <w:numId w:val="1204"/>
        </w:numPr>
      </w:pPr>
      <w:r>
        <w:t xml:space="preserve">Production de fumée : </w:t>
      </w:r>
      <w:r>
        <w:rPr>
          <w:rStyle w:val="optioncarChar"/>
        </w:rPr>
        <w:t xml:space="preserve">s1 / s2 </w:t>
      </w:r>
    </w:p>
    <w:p w14:paraId="49358298" w14:textId="77777777" w:rsidR="00772179" w:rsidRDefault="00000000">
      <w:r>
        <w:rPr>
          <w:u w:val="single"/>
        </w:rPr>
        <w:t xml:space="preserve">Options panneaux de bois aggloméré </w:t>
      </w:r>
    </w:p>
    <w:p w14:paraId="24DFE5B3" w14:textId="77777777" w:rsidR="00772179" w:rsidRDefault="00000000">
      <w:pPr>
        <w:pStyle w:val="Author-eListParagraph"/>
        <w:numPr>
          <w:ilvl w:val="0"/>
          <w:numId w:val="1205"/>
        </w:numPr>
      </w:pPr>
      <w:r>
        <w:t>Les panneaux de bois aggloméré ont obtenu l'agrément technique suivi UBAtc ou Eutgb.</w:t>
      </w:r>
    </w:p>
    <w:p w14:paraId="3C7BCDC2" w14:textId="77777777" w:rsidR="00772179" w:rsidRDefault="00000000">
      <w:pPr>
        <w:pStyle w:val="Author-eListParagraph"/>
        <w:numPr>
          <w:ilvl w:val="0"/>
          <w:numId w:val="1205"/>
        </w:numPr>
      </w:pPr>
      <w:r>
        <w:t>Les plaques sont traitées afin d’améliorer leur comportement de réaction au feu (plaques ignifugées) </w:t>
      </w:r>
    </w:p>
    <w:p w14:paraId="74915B1F" w14:textId="77777777" w:rsidR="00772179" w:rsidRDefault="00000000">
      <w:pPr>
        <w:pStyle w:val="heading"/>
      </w:pPr>
      <w:r>
        <w:t>Spécifications panneaux OSB</w:t>
      </w:r>
    </w:p>
    <w:p w14:paraId="0761B7B1" w14:textId="77777777" w:rsidR="00772179" w:rsidRDefault="00000000">
      <w:pPr>
        <w:pStyle w:val="Author-eListParagraph"/>
        <w:numPr>
          <w:ilvl w:val="0"/>
          <w:numId w:val="1206"/>
        </w:numPr>
      </w:pPr>
      <w:r>
        <w:t xml:space="preserve">Masse volumique : ≥ </w:t>
      </w:r>
      <w:r>
        <w:rPr>
          <w:rStyle w:val="optioncarChar"/>
        </w:rPr>
        <w:t xml:space="preserve">*** </w:t>
      </w:r>
      <w:r>
        <w:t>kg/m³</w:t>
      </w:r>
    </w:p>
    <w:p w14:paraId="4AD0A57E" w14:textId="77777777" w:rsidR="00772179" w:rsidRDefault="00000000">
      <w:pPr>
        <w:pStyle w:val="Author-eListParagraph"/>
        <w:numPr>
          <w:ilvl w:val="0"/>
          <w:numId w:val="1206"/>
        </w:numPr>
      </w:pPr>
      <w:r>
        <w:t xml:space="preserve">Taux de formaldéhyde : classe E1 (selon la </w:t>
      </w:r>
      <w:r>
        <w:rPr>
          <w:shd w:val="clear" w:color="auto" w:fill="FFFFFF"/>
        </w:rPr>
        <w:t>[NBN EN ISO 12460-5] </w:t>
      </w:r>
      <w:r>
        <w:t>et/ou [NBN EN ISO 12460-5])</w:t>
      </w:r>
    </w:p>
    <w:p w14:paraId="4169A259" w14:textId="77777777" w:rsidR="00772179" w:rsidRDefault="00000000">
      <w:pPr>
        <w:pStyle w:val="Author-eListParagraph"/>
        <w:numPr>
          <w:ilvl w:val="0"/>
          <w:numId w:val="1206"/>
        </w:numPr>
      </w:pPr>
      <w:r>
        <w:t xml:space="preserve">Epaisseur des plaques : ≥ </w:t>
      </w:r>
      <w:r>
        <w:rPr>
          <w:rStyle w:val="optioncarChar"/>
        </w:rPr>
        <w:t xml:space="preserve">18 / 20 / 22 </w:t>
      </w:r>
      <w:r>
        <w:t>mm.</w:t>
      </w:r>
    </w:p>
    <w:p w14:paraId="0C86066E" w14:textId="77777777" w:rsidR="00772179" w:rsidRDefault="00000000">
      <w:pPr>
        <w:pStyle w:val="Author-eListParagraph"/>
        <w:numPr>
          <w:ilvl w:val="0"/>
          <w:numId w:val="1206"/>
        </w:numPr>
      </w:pPr>
      <w:r>
        <w:t xml:space="preserve">Dimensions : </w:t>
      </w:r>
      <w:r>
        <w:rPr>
          <w:rStyle w:val="optioncarChar"/>
        </w:rPr>
        <w:t xml:space="preserve">122 x 244 / 125 x 250 </w:t>
      </w:r>
      <w:r>
        <w:t>cm.</w:t>
      </w:r>
    </w:p>
    <w:p w14:paraId="0CB15220" w14:textId="77777777" w:rsidR="00772179" w:rsidRDefault="00000000">
      <w:pPr>
        <w:pStyle w:val="Author-eListParagraph"/>
        <w:numPr>
          <w:ilvl w:val="0"/>
          <w:numId w:val="1206"/>
        </w:numPr>
      </w:pPr>
      <w:r>
        <w:t xml:space="preserve">Finition de la surface : </w:t>
      </w:r>
      <w:r>
        <w:rPr>
          <w:rStyle w:val="optioncarChar"/>
        </w:rPr>
        <w:t>poncée / non poncée / antidérapante (PMR)</w:t>
      </w:r>
    </w:p>
    <w:p w14:paraId="09A856E4" w14:textId="77777777" w:rsidR="00772179" w:rsidRDefault="00000000">
      <w:pPr>
        <w:pStyle w:val="Author-eListParagraph"/>
        <w:numPr>
          <w:ilvl w:val="0"/>
          <w:numId w:val="1206"/>
        </w:numPr>
      </w:pPr>
      <w:r>
        <w:t xml:space="preserve">Finition des bords : </w:t>
      </w:r>
      <w:r>
        <w:rPr>
          <w:rStyle w:val="optioncarChar"/>
        </w:rPr>
        <w:t>droite / à rainure et languette</w:t>
      </w:r>
      <w:r>
        <w:t xml:space="preserve"> du type </w:t>
      </w:r>
      <w:r>
        <w:rPr>
          <w:rStyle w:val="optioncarChar"/>
        </w:rPr>
        <w:t>***</w:t>
      </w:r>
    </w:p>
    <w:p w14:paraId="1A1A2453" w14:textId="77777777" w:rsidR="00772179" w:rsidRDefault="00000000">
      <w:pPr>
        <w:pStyle w:val="Author-eListParagraph"/>
        <w:numPr>
          <w:ilvl w:val="0"/>
          <w:numId w:val="1206"/>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t>selon la [NBN EN 13501-1].</w:t>
      </w:r>
    </w:p>
    <w:p w14:paraId="77F0402B" w14:textId="77777777" w:rsidR="00772179" w:rsidRDefault="00000000">
      <w:pPr>
        <w:pStyle w:val="Author-eListParagraph"/>
        <w:numPr>
          <w:ilvl w:val="0"/>
          <w:numId w:val="1206"/>
        </w:numPr>
      </w:pPr>
      <w:r>
        <w:t xml:space="preserve">Classe additionnelle : </w:t>
      </w:r>
      <w:r>
        <w:rPr>
          <w:rStyle w:val="optioncarChar"/>
        </w:rPr>
        <w:t>***</w:t>
      </w:r>
    </w:p>
    <w:p w14:paraId="56DA9E6A" w14:textId="77777777" w:rsidR="00772179" w:rsidRDefault="00000000">
      <w:pPr>
        <w:pStyle w:val="Author-eListParagraph"/>
        <w:numPr>
          <w:ilvl w:val="0"/>
          <w:numId w:val="1206"/>
        </w:numPr>
      </w:pPr>
      <w:r>
        <w:t xml:space="preserve">Production de fumée : </w:t>
      </w:r>
      <w:r>
        <w:rPr>
          <w:rStyle w:val="optioncarChar"/>
        </w:rPr>
        <w:t>s1 / s2</w:t>
      </w:r>
    </w:p>
    <w:p w14:paraId="1BFC3ED2" w14:textId="77777777" w:rsidR="00772179" w:rsidRDefault="00000000">
      <w:r>
        <w:rPr>
          <w:u w:val="single"/>
        </w:rPr>
        <w:t>Options panneaux OSB</w:t>
      </w:r>
      <w:r>
        <w:br/>
        <w:t>Les plaques sont traitées afin d’améliorer leur comportement de réaction au feu (plaques ignifugées) </w:t>
      </w:r>
    </w:p>
    <w:p w14:paraId="3702D0DC" w14:textId="77777777" w:rsidR="00772179" w:rsidRDefault="00000000">
      <w:r>
        <w:rPr>
          <w:b/>
          <w:sz w:val="24"/>
        </w:rPr>
        <w:t>Revêtement de sol en bois - plancher</w:t>
      </w:r>
    </w:p>
    <w:p w14:paraId="02136835" w14:textId="77777777" w:rsidR="00772179" w:rsidRDefault="00000000">
      <w:r>
        <w:t>Le bois de menuiserie pour le plancher en bois est du :</w:t>
      </w:r>
    </w:p>
    <w:p w14:paraId="3D917C64" w14:textId="77777777" w:rsidR="00772179" w:rsidRDefault="00000000">
      <w:r>
        <w:rPr>
          <w:rStyle w:val="optioncarChar"/>
        </w:rPr>
        <w:t xml:space="preserve">PNG </w:t>
      </w:r>
      <w:r>
        <w:t>(par défaut)</w:t>
      </w:r>
      <w:r>
        <w:rPr>
          <w:rStyle w:val="optioncarChar"/>
        </w:rPr>
        <w:t xml:space="preserve"> / Oregon</w:t>
      </w:r>
    </w:p>
    <w:p w14:paraId="115DD895" w14:textId="77777777" w:rsidR="00772179" w:rsidRDefault="00000000">
      <w:r>
        <w:rPr>
          <w:b/>
        </w:rPr>
        <w:t>(soit par défaut) </w:t>
      </w:r>
      <w:r>
        <w:t>:</w:t>
      </w:r>
      <w:r>
        <w:rPr>
          <w:rStyle w:val="soitChar"/>
        </w:rPr>
        <w:t>Pin du Nord (</w:t>
      </w:r>
      <w:r>
        <w:rPr>
          <w:rStyle w:val="soitChar"/>
          <w:u w:val="single"/>
        </w:rPr>
        <w:t>PNG</w:t>
      </w:r>
      <w:r>
        <w:rPr>
          <w:rStyle w:val="soitChar"/>
        </w:rPr>
        <w:t>) n° 414 selon la</w:t>
      </w:r>
      <w:r>
        <w:rPr>
          <w:shd w:val="clear" w:color="auto" w:fill="FFFFFF"/>
        </w:rPr>
        <w:t>[NBN EN 13556]</w:t>
      </w:r>
      <w:r>
        <w:rPr>
          <w:rStyle w:val="soitChar"/>
        </w:rPr>
        <w:t>et est de</w:t>
      </w:r>
      <w:r>
        <w:rPr>
          <w:rStyle w:val="optioncarChar"/>
        </w:rPr>
        <w:t>*** / 2</w:t>
      </w:r>
      <w:r>
        <w:rPr>
          <w:rStyle w:val="optioncarChar"/>
          <w:vertAlign w:val="superscript"/>
        </w:rPr>
        <w:t>e</w:t>
      </w:r>
      <w:r>
        <w:rPr>
          <w:rStyle w:val="optioncarChar"/>
        </w:rPr>
        <w:t xml:space="preserve">  </w:t>
      </w:r>
      <w:r>
        <w:rPr>
          <w:rStyle w:val="soitChar"/>
        </w:rPr>
        <w:t>qualité</w:t>
      </w:r>
      <w:r>
        <w:br/>
      </w:r>
      <w:r>
        <w:rPr>
          <w:b/>
        </w:rPr>
        <w:t>(soit) </w:t>
      </w:r>
      <w:r>
        <w:t>:</w:t>
      </w:r>
      <w:r>
        <w:rPr>
          <w:rStyle w:val="soitChar"/>
          <w:u w:val="single"/>
        </w:rPr>
        <w:t>Oregon</w:t>
      </w:r>
      <w:r>
        <w:rPr>
          <w:rStyle w:val="soitChar"/>
        </w:rPr>
        <w:t xml:space="preserve"> n° 416 selon la</w:t>
      </w:r>
      <w:r>
        <w:t>[NBN EN 13556]</w:t>
      </w:r>
      <w:r>
        <w:rPr>
          <w:rStyle w:val="soitChar"/>
        </w:rPr>
        <w:t>et est de la qualité "couronne importée" selon la liste R éditée par le Pacific Lumber Inspection Bureau - Seattle</w:t>
      </w:r>
    </w:p>
    <w:p w14:paraId="584A84D9" w14:textId="77777777" w:rsidR="00772179" w:rsidRDefault="00000000">
      <w:r>
        <w:t>Pour plus d'informations au sujet des essences à mettre en œuvre, voir aussi le Centre interfédéral d'information sur le bois.</w:t>
      </w:r>
    </w:p>
    <w:p w14:paraId="3DD765EE" w14:textId="77777777" w:rsidR="00772179" w:rsidRDefault="00000000">
      <w:r>
        <w:lastRenderedPageBreak/>
        <w:t>Le bois massif, à l'exception de l'Oregon pine sans aubier, subit avant sa mise en œuvre un traitement de conservation du bois de la catégorie "A", avec des produits de conservation ayant obtenu un agrément technique ATG. Le produit est compatible avec les éléments qui entrent en contact avec le bois traité. Le traitement est effectué dans une station agrée UBAtc. Un certificat de traitement est délivré à chaque fourniture de bois traité.</w:t>
      </w:r>
    </w:p>
    <w:p w14:paraId="0B6E20EC" w14:textId="77777777" w:rsidR="00772179" w:rsidRDefault="00000000">
      <w:pPr>
        <w:pStyle w:val="heading"/>
      </w:pPr>
      <w:r>
        <w:t>Spécifications</w:t>
      </w:r>
    </w:p>
    <w:p w14:paraId="1AF1BFD3" w14:textId="77777777" w:rsidR="00772179" w:rsidRDefault="00000000">
      <w:pPr>
        <w:pStyle w:val="Author-eListParagraph"/>
        <w:numPr>
          <w:ilvl w:val="0"/>
          <w:numId w:val="1207"/>
        </w:numPr>
      </w:pPr>
      <w:r>
        <w:t xml:space="preserve">Epaisseur nominale : ≥ </w:t>
      </w:r>
      <w:r>
        <w:rPr>
          <w:rStyle w:val="optioncarChar"/>
        </w:rPr>
        <w:t xml:space="preserve">16 / 18 / 20 / 22 </w:t>
      </w:r>
      <w:r>
        <w:t>mm (lorsque le plancher est posé sur un gîtage en bois 20 mm suffit, lorsque l'écartement entre l'axe des appuis &lt; 45 cm ).</w:t>
      </w:r>
    </w:p>
    <w:p w14:paraId="4758BD12" w14:textId="77777777" w:rsidR="00772179" w:rsidRDefault="00000000">
      <w:pPr>
        <w:pStyle w:val="Author-eListParagraph"/>
        <w:numPr>
          <w:ilvl w:val="0"/>
          <w:numId w:val="1207"/>
        </w:numPr>
      </w:pPr>
      <w:r>
        <w:t xml:space="preserve">Largeur : comprise entre </w:t>
      </w:r>
      <w:r>
        <w:rPr>
          <w:rStyle w:val="optioncarChar"/>
        </w:rPr>
        <w:t>75 /</w:t>
      </w:r>
      <w:r>
        <w:t> </w:t>
      </w:r>
      <w:r>
        <w:rPr>
          <w:rStyle w:val="optioncarChar"/>
        </w:rPr>
        <w:t xml:space="preserve">100 / 125 </w:t>
      </w:r>
      <w:r>
        <w:t>mm (tolérance + 5 mm )</w:t>
      </w:r>
    </w:p>
    <w:p w14:paraId="325A36F4" w14:textId="77777777" w:rsidR="00772179" w:rsidRDefault="00000000">
      <w:pPr>
        <w:pStyle w:val="Author-eListParagraph"/>
        <w:numPr>
          <w:ilvl w:val="0"/>
          <w:numId w:val="1207"/>
        </w:numPr>
      </w:pPr>
      <w:r>
        <w:t xml:space="preserve">Longueur : le plancher est pour au moins </w:t>
      </w:r>
      <w:r>
        <w:rPr>
          <w:rStyle w:val="optioncarChar"/>
        </w:rPr>
        <w:t>50 / 75 </w:t>
      </w:r>
      <w:r>
        <w:t>% composé de planches d'un seul tenant.</w:t>
      </w:r>
    </w:p>
    <w:p w14:paraId="49FAF932" w14:textId="77777777" w:rsidR="00772179" w:rsidRDefault="00000000">
      <w:pPr>
        <w:pStyle w:val="Author-eListParagraph"/>
        <w:numPr>
          <w:ilvl w:val="0"/>
          <w:numId w:val="1207"/>
        </w:numPr>
      </w:pPr>
      <w:r>
        <w:t xml:space="preserve">Finition des bords : </w:t>
      </w:r>
      <w:r>
        <w:rPr>
          <w:rStyle w:val="optioncarChar"/>
        </w:rPr>
        <w:t>à rainure et languette / assemblage à mi-bois (environ 7 x 7 mm ) </w:t>
      </w:r>
    </w:p>
    <w:p w14:paraId="3C36C2BD" w14:textId="77777777" w:rsidR="00772179" w:rsidRDefault="00000000">
      <w:pPr>
        <w:pStyle w:val="Author-eListParagraph"/>
        <w:numPr>
          <w:ilvl w:val="0"/>
          <w:numId w:val="1207"/>
        </w:numPr>
      </w:pPr>
      <w:r>
        <w:t xml:space="preserve">Finition de la surface : </w:t>
      </w:r>
      <w:r>
        <w:rPr>
          <w:rStyle w:val="optioncarChar"/>
        </w:rPr>
        <w:t>les planches seront rabotées et poncées sur toutes les faces / antidérapante (PMR)</w:t>
      </w:r>
    </w:p>
    <w:p w14:paraId="1BD9A2C1" w14:textId="77777777" w:rsidR="00772179" w:rsidRDefault="00000000">
      <w:pPr>
        <w:pStyle w:val="Author-eListParagraph"/>
        <w:numPr>
          <w:ilvl w:val="0"/>
          <w:numId w:val="1207"/>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 xml:space="preserve">FL </w:t>
      </w:r>
      <w:r>
        <w:t>selon la [NBN EN 13501-1].</w:t>
      </w:r>
    </w:p>
    <w:p w14:paraId="074594A4" w14:textId="77777777" w:rsidR="00772179" w:rsidRDefault="00000000">
      <w:pPr>
        <w:pStyle w:val="Author-eListParagraph"/>
        <w:numPr>
          <w:ilvl w:val="0"/>
          <w:numId w:val="1207"/>
        </w:numPr>
      </w:pPr>
      <w:r>
        <w:t xml:space="preserve">Classe additionnelle : </w:t>
      </w:r>
      <w:r>
        <w:rPr>
          <w:rStyle w:val="optioncarChar"/>
        </w:rPr>
        <w:t>***</w:t>
      </w:r>
    </w:p>
    <w:p w14:paraId="136418D8" w14:textId="77777777" w:rsidR="00772179" w:rsidRDefault="00000000">
      <w:pPr>
        <w:pStyle w:val="Author-eListParagraph"/>
        <w:numPr>
          <w:ilvl w:val="0"/>
          <w:numId w:val="1207"/>
        </w:numPr>
      </w:pPr>
      <w:r>
        <w:t xml:space="preserve">Production de fumée : </w:t>
      </w:r>
      <w:r>
        <w:rPr>
          <w:rStyle w:val="optioncarChar"/>
        </w:rPr>
        <w:t>s1 / s2</w:t>
      </w:r>
    </w:p>
    <w:p w14:paraId="0219D1F7" w14:textId="77777777" w:rsidR="00772179" w:rsidRDefault="00000000">
      <w:r>
        <w:rPr>
          <w:u w:val="single"/>
        </w:rPr>
        <w:t>Options</w:t>
      </w:r>
      <w:r>
        <w:br/>
        <w:t>Le plancher est traité afin d’améliorer son comportement de réaction au feu (ignifugé) </w:t>
      </w:r>
    </w:p>
    <w:p w14:paraId="3398ACC0" w14:textId="77777777" w:rsidR="00772179" w:rsidRDefault="00000000">
      <w:r>
        <w:rPr>
          <w:b/>
          <w:sz w:val="24"/>
        </w:rPr>
        <w:t>Revêtement de sol en bois – parquet stratifié</w:t>
      </w:r>
    </w:p>
    <w:p w14:paraId="03280830" w14:textId="77777777" w:rsidR="00772179" w:rsidRDefault="00000000">
      <w:r>
        <w:t>Le parquet stratifié se compose de bandes préfabriquées composées d'un support en HDF, revêtu sur sa face vue d'un papier décoratif comprimé, à son tour revêtu d'une couche de finition à base de résines qui est résistante aux rayons UV ainsi qu'aux coups et à l'usure. Ils répondent à la [NBN EN 13329, Revêtements de sol stratifiés - Spécifications, exigences et méthodes d'essai]. Les bandes seront parachevées avec une sous-couche de stabilisation hydrofuge. Aussi bien les rainures que les languettes sont imprégnées.</w:t>
      </w:r>
    </w:p>
    <w:p w14:paraId="31CEDA07" w14:textId="77777777" w:rsidR="00772179" w:rsidRDefault="00000000">
      <w:pPr>
        <w:pStyle w:val="heading"/>
      </w:pPr>
      <w:r>
        <w:t>Spécifications</w:t>
      </w:r>
    </w:p>
    <w:p w14:paraId="678F080C" w14:textId="77777777" w:rsidR="00772179" w:rsidRDefault="00000000">
      <w:pPr>
        <w:pStyle w:val="Author-eListParagraph"/>
        <w:numPr>
          <w:ilvl w:val="0"/>
          <w:numId w:val="1208"/>
        </w:numPr>
      </w:pPr>
      <w:r>
        <w:t>Support : HDF, classe E1</w:t>
      </w:r>
    </w:p>
    <w:p w14:paraId="7534AC77" w14:textId="77777777" w:rsidR="00772179" w:rsidRDefault="00000000">
      <w:pPr>
        <w:pStyle w:val="Author-eListParagraph"/>
        <w:numPr>
          <w:ilvl w:val="0"/>
          <w:numId w:val="1208"/>
        </w:numPr>
      </w:pPr>
      <w:r>
        <w:t xml:space="preserve">Dimensions des bandes : </w:t>
      </w:r>
      <w:r>
        <w:rPr>
          <w:rStyle w:val="optioncarChar"/>
        </w:rPr>
        <w:t>120 x 20 </w:t>
      </w:r>
      <w:r>
        <w:t>cm</w:t>
      </w:r>
    </w:p>
    <w:p w14:paraId="00C957F5" w14:textId="77777777" w:rsidR="00772179" w:rsidRDefault="00000000">
      <w:pPr>
        <w:pStyle w:val="Author-eListParagraph"/>
        <w:numPr>
          <w:ilvl w:val="0"/>
          <w:numId w:val="1208"/>
        </w:numPr>
      </w:pPr>
      <w:r>
        <w:t>Raccords : à rainure et languette</w:t>
      </w:r>
    </w:p>
    <w:p w14:paraId="473FF5E5" w14:textId="77777777" w:rsidR="00772179" w:rsidRDefault="00000000">
      <w:pPr>
        <w:pStyle w:val="Author-eListParagraph"/>
        <w:numPr>
          <w:ilvl w:val="0"/>
          <w:numId w:val="1208"/>
        </w:numPr>
      </w:pPr>
      <w:r>
        <w:t xml:space="preserve">Epaisseur totale : ≥ </w:t>
      </w:r>
      <w:r>
        <w:rPr>
          <w:rStyle w:val="optioncarChar"/>
        </w:rPr>
        <w:t xml:space="preserve">8 / 10 </w:t>
      </w:r>
      <w:r>
        <w:t>mm</w:t>
      </w:r>
    </w:p>
    <w:p w14:paraId="7BC92C41" w14:textId="77777777" w:rsidR="00772179" w:rsidRDefault="00000000">
      <w:pPr>
        <w:pStyle w:val="Author-eListParagraph"/>
        <w:numPr>
          <w:ilvl w:val="0"/>
          <w:numId w:val="1208"/>
        </w:numPr>
      </w:pPr>
      <w:r>
        <w:t xml:space="preserve">Classe d'utilisation : ≥ </w:t>
      </w:r>
      <w:r>
        <w:rPr>
          <w:rStyle w:val="optioncarChar"/>
        </w:rPr>
        <w:t>22 (AC2-W2) / 23 (AC3-W3) </w:t>
      </w:r>
      <w:r>
        <w:t>(selon la [NBN EN ISO 10874] / [NBN EN ISO 26986])</w:t>
      </w:r>
    </w:p>
    <w:p w14:paraId="6FB3ABA7" w14:textId="77777777" w:rsidR="00772179" w:rsidRDefault="00000000">
      <w:pPr>
        <w:pStyle w:val="Author-eListParagraph"/>
        <w:numPr>
          <w:ilvl w:val="0"/>
          <w:numId w:val="1208"/>
        </w:numPr>
      </w:pPr>
      <w:r>
        <w:t xml:space="preserve">Décor : reproduction : </w:t>
      </w:r>
      <w:r>
        <w:rPr>
          <w:rStyle w:val="optioncarChar"/>
        </w:rPr>
        <w:t>hêtre / érable / bouleau / cerisier / chêne / à choisir dans la gamme du fabricant</w:t>
      </w:r>
    </w:p>
    <w:p w14:paraId="5ACD1130" w14:textId="77777777" w:rsidR="00772179" w:rsidRDefault="00000000">
      <w:pPr>
        <w:pStyle w:val="Author-eListParagraph"/>
        <w:numPr>
          <w:ilvl w:val="0"/>
          <w:numId w:val="1208"/>
        </w:numPr>
      </w:pPr>
      <w:r>
        <w:t xml:space="preserve">Finition de la surface : </w:t>
      </w:r>
      <w:r>
        <w:rPr>
          <w:rStyle w:val="optioncarChar"/>
        </w:rPr>
        <w:t>antidérapante (PMR)</w:t>
      </w:r>
    </w:p>
    <w:p w14:paraId="08195175" w14:textId="77777777" w:rsidR="00772179" w:rsidRDefault="00000000">
      <w:pPr>
        <w:pStyle w:val="Author-eListParagraph"/>
        <w:numPr>
          <w:ilvl w:val="0"/>
          <w:numId w:val="1208"/>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t>selon la [NBN EN 13501-1].</w:t>
      </w:r>
    </w:p>
    <w:p w14:paraId="4E56A203" w14:textId="77777777" w:rsidR="00772179" w:rsidRDefault="00000000">
      <w:pPr>
        <w:pStyle w:val="Author-eListParagraph"/>
        <w:numPr>
          <w:ilvl w:val="0"/>
          <w:numId w:val="1208"/>
        </w:numPr>
      </w:pPr>
      <w:r>
        <w:t xml:space="preserve">Classe additionnelle : </w:t>
      </w:r>
      <w:r>
        <w:rPr>
          <w:rStyle w:val="optioncarChar"/>
        </w:rPr>
        <w:t>***</w:t>
      </w:r>
    </w:p>
    <w:p w14:paraId="6C9222E1" w14:textId="77777777" w:rsidR="00772179" w:rsidRDefault="00000000">
      <w:pPr>
        <w:pStyle w:val="Author-eListParagraph"/>
        <w:numPr>
          <w:ilvl w:val="0"/>
          <w:numId w:val="1208"/>
        </w:numPr>
      </w:pPr>
      <w:r>
        <w:t>Production de fumée :</w:t>
      </w:r>
      <w:r>
        <w:rPr>
          <w:rStyle w:val="optioncarChar"/>
        </w:rPr>
        <w:t> s1 / s2</w:t>
      </w:r>
    </w:p>
    <w:p w14:paraId="3D51111E" w14:textId="77777777" w:rsidR="00772179" w:rsidRDefault="00000000">
      <w:r>
        <w:rPr>
          <w:u w:val="single"/>
        </w:rPr>
        <w:t>Options</w:t>
      </w:r>
    </w:p>
    <w:p w14:paraId="6A0A7DA5" w14:textId="77777777" w:rsidR="00772179" w:rsidRDefault="00000000">
      <w:pPr>
        <w:pStyle w:val="Author-eListParagraph"/>
        <w:numPr>
          <w:ilvl w:val="0"/>
          <w:numId w:val="1209"/>
        </w:numPr>
      </w:pPr>
      <w:r>
        <w:t>Certificat antidérapant : BIA 960071</w:t>
      </w:r>
    </w:p>
    <w:p w14:paraId="2F83034D" w14:textId="77777777" w:rsidR="00772179" w:rsidRDefault="00000000">
      <w:pPr>
        <w:pStyle w:val="Author-eListParagraph"/>
        <w:numPr>
          <w:ilvl w:val="0"/>
          <w:numId w:val="1209"/>
        </w:numPr>
      </w:pPr>
      <w:r>
        <w:t xml:space="preserve">Période de garantie : </w:t>
      </w:r>
      <w:r>
        <w:rPr>
          <w:rStyle w:val="optioncarChar"/>
        </w:rPr>
        <w:t>10 / 15 </w:t>
      </w:r>
      <w:r>
        <w:t>ans.</w:t>
      </w:r>
    </w:p>
    <w:p w14:paraId="50226B13" w14:textId="77777777" w:rsidR="00772179" w:rsidRDefault="00000000">
      <w:pPr>
        <w:pStyle w:val="Author-eListParagraph"/>
        <w:numPr>
          <w:ilvl w:val="0"/>
          <w:numId w:val="1209"/>
        </w:numPr>
      </w:pPr>
      <w:r>
        <w:t>Le parquet sera traité afin d’améliorer son comportement de réaction au feu (parquet ignifugé) </w:t>
      </w:r>
    </w:p>
    <w:p w14:paraId="5372AA64" w14:textId="77777777" w:rsidR="00772179" w:rsidRDefault="00000000">
      <w:r>
        <w:rPr>
          <w:b/>
          <w:sz w:val="24"/>
        </w:rPr>
        <w:t>Revêtement de sol en bois – rénovation-ponçage</w:t>
      </w:r>
    </w:p>
    <w:p w14:paraId="70FFAD25" w14:textId="77777777" w:rsidR="00772179" w:rsidRDefault="00000000">
      <w:pPr>
        <w:pStyle w:val="Author-eListParagraph"/>
        <w:numPr>
          <w:ilvl w:val="0"/>
          <w:numId w:val="1210"/>
        </w:numPr>
      </w:pPr>
      <w:r>
        <w:t>Ponceuse :</w:t>
      </w:r>
      <w:r>
        <w:rPr>
          <w:rStyle w:val="optioncarChar"/>
        </w:rPr>
        <w:t> ponceuse à bande / ponceuse rotative</w:t>
      </w:r>
    </w:p>
    <w:p w14:paraId="1BA25716" w14:textId="77777777" w:rsidR="00772179" w:rsidRDefault="00000000">
      <w:pPr>
        <w:pStyle w:val="Author-eListParagraph"/>
        <w:numPr>
          <w:ilvl w:val="0"/>
          <w:numId w:val="1210"/>
        </w:numPr>
      </w:pPr>
      <w:r>
        <w:t>Papier abrasif : granulométrie grossière à fine en fonction de l'état du support.</w:t>
      </w:r>
    </w:p>
    <w:p w14:paraId="3DF3972C" w14:textId="77777777" w:rsidR="00772179" w:rsidRDefault="00000000">
      <w:r>
        <w:t> </w:t>
      </w:r>
    </w:p>
    <w:p w14:paraId="44FB44F5" w14:textId="77777777" w:rsidR="00772179" w:rsidRDefault="00000000">
      <w:r>
        <w:rPr>
          <w:b/>
          <w:sz w:val="24"/>
        </w:rPr>
        <w:t>Revêtement d’escalier – bois massif</w:t>
      </w:r>
    </w:p>
    <w:p w14:paraId="769139E7" w14:textId="77777777" w:rsidR="00772179" w:rsidRDefault="00000000">
      <w:r>
        <w:lastRenderedPageBreak/>
        <w:t>Il s'agit de marches réalisées d'un seul tenant en bois massif, essence :</w:t>
      </w:r>
    </w:p>
    <w:p w14:paraId="3C673706" w14:textId="77777777" w:rsidR="00772179" w:rsidRDefault="00000000">
      <w:r>
        <w:t>Choix opéré : </w:t>
      </w:r>
      <w:r>
        <w:rPr>
          <w:rStyle w:val="optioncarChar"/>
        </w:rPr>
        <w:t>hêtre</w:t>
      </w:r>
      <w:r>
        <w:t xml:space="preserve"> (par défaut)</w:t>
      </w:r>
      <w:r>
        <w:rPr>
          <w:rStyle w:val="optioncarChar"/>
        </w:rPr>
        <w:t xml:space="preserve"> / merbau</w:t>
      </w:r>
    </w:p>
    <w:p w14:paraId="5EB6AE6E" w14:textId="77777777" w:rsidR="00772179" w:rsidRDefault="00000000">
      <w:r>
        <w:rPr>
          <w:b/>
        </w:rPr>
        <w:t>(soit par défaut)</w:t>
      </w:r>
      <w:r>
        <w:t xml:space="preserve"> : </w:t>
      </w:r>
      <w:r>
        <w:rPr>
          <w:rStyle w:val="soitChar"/>
          <w:u w:val="single"/>
        </w:rPr>
        <w:t>hêtre</w:t>
      </w:r>
      <w:r>
        <w:rPr>
          <w:rStyle w:val="soitChar"/>
        </w:rPr>
        <w:t xml:space="preserve"> n° 213 ou 538, selon la</w:t>
      </w:r>
      <w:r>
        <w:t>[NBN EN 13556] </w:t>
      </w:r>
      <w:r>
        <w:rPr>
          <w:rStyle w:val="soitChar"/>
        </w:rPr>
        <w:t>Qualité :</w:t>
      </w:r>
      <w:r>
        <w:rPr>
          <w:rStyle w:val="optioncarChar"/>
        </w:rPr>
        <w:t>1</w:t>
      </w:r>
      <w:r>
        <w:rPr>
          <w:rStyle w:val="optioncarChar"/>
          <w:vertAlign w:val="superscript"/>
        </w:rPr>
        <w:t>er</w:t>
      </w:r>
      <w:r>
        <w:rPr>
          <w:rStyle w:val="optioncarChar"/>
        </w:rPr>
        <w:t xml:space="preserve"> / 2</w:t>
      </w:r>
      <w:r>
        <w:rPr>
          <w:rStyle w:val="optioncarChar"/>
          <w:vertAlign w:val="superscript"/>
        </w:rPr>
        <w:t>ème</w:t>
      </w:r>
      <w:r>
        <w:rPr>
          <w:rStyle w:val="soitChar"/>
        </w:rPr>
        <w:t>choix . Le bois mis en œuvre est exempt de cœur rouge.</w:t>
      </w:r>
      <w:r>
        <w:br/>
      </w:r>
      <w:r>
        <w:rPr>
          <w:b/>
        </w:rPr>
        <w:t>(soit)</w:t>
      </w:r>
      <w:r>
        <w:t xml:space="preserve"> : </w:t>
      </w:r>
      <w:r>
        <w:rPr>
          <w:rStyle w:val="soitChar"/>
          <w:u w:val="single"/>
        </w:rPr>
        <w:t>merbau</w:t>
      </w:r>
      <w:r>
        <w:rPr>
          <w:rStyle w:val="soitChar"/>
        </w:rPr>
        <w:t>, selon</w:t>
      </w:r>
      <w:r>
        <w:rPr>
          <w:rStyle w:val="optioncarChar"/>
        </w:rPr>
        <w:t>***</w:t>
      </w:r>
    </w:p>
    <w:p w14:paraId="214E9638" w14:textId="77777777" w:rsidR="00772179" w:rsidRDefault="00000000">
      <w:r>
        <w:t>Avant la mise en œuvre, toutes les faces reçoivent la première couche du traitement selon le procédé C2 selon les [STS 04 série].</w:t>
      </w:r>
    </w:p>
    <w:p w14:paraId="5EE5972B" w14:textId="77777777" w:rsidR="00772179" w:rsidRDefault="00000000">
      <w:pPr>
        <w:pStyle w:val="heading"/>
      </w:pPr>
      <w:r>
        <w:t>Spécifications</w:t>
      </w:r>
    </w:p>
    <w:p w14:paraId="28E528A3" w14:textId="77777777" w:rsidR="00772179" w:rsidRDefault="00000000">
      <w:pPr>
        <w:pStyle w:val="Author-eListParagraph"/>
        <w:numPr>
          <w:ilvl w:val="0"/>
          <w:numId w:val="1211"/>
        </w:numPr>
      </w:pPr>
      <w:r>
        <w:t xml:space="preserve">Forme : selon les dessins de détail de l'auteur de projet. </w:t>
      </w:r>
    </w:p>
    <w:p w14:paraId="7A54AAC9" w14:textId="77777777" w:rsidR="00772179" w:rsidRDefault="00000000">
      <w:pPr>
        <w:pStyle w:val="Author-eListParagraph"/>
        <w:numPr>
          <w:ilvl w:val="1"/>
          <w:numId w:val="1212"/>
        </w:numPr>
      </w:pPr>
      <w:r>
        <w:t>Bords des marches :</w:t>
      </w:r>
      <w:r>
        <w:rPr>
          <w:rStyle w:val="optioncarChar"/>
        </w:rPr>
        <w:t xml:space="preserve"> droits / arrondis </w:t>
      </w:r>
      <w:r>
        <w:t xml:space="preserve">(rayon de courbure : </w:t>
      </w:r>
      <w:r>
        <w:rPr>
          <w:rStyle w:val="optioncarChar"/>
        </w:rPr>
        <w:t>5 / 8</w:t>
      </w:r>
      <w:r>
        <w:t xml:space="preserve"> mm )</w:t>
      </w:r>
    </w:p>
    <w:p w14:paraId="1D28DC5B" w14:textId="77777777" w:rsidR="00772179" w:rsidRDefault="00000000">
      <w:pPr>
        <w:pStyle w:val="Author-eListParagraph"/>
        <w:numPr>
          <w:ilvl w:val="1"/>
          <w:numId w:val="1213"/>
        </w:numPr>
      </w:pPr>
      <w:r>
        <w:t xml:space="preserve">Contremarches : </w:t>
      </w:r>
      <w:r>
        <w:rPr>
          <w:rStyle w:val="optioncarChar"/>
        </w:rPr>
        <w:t>profil oblique (PMR)</w:t>
      </w:r>
    </w:p>
    <w:p w14:paraId="439A41EF" w14:textId="77777777" w:rsidR="00772179" w:rsidRDefault="00000000">
      <w:pPr>
        <w:pStyle w:val="Author-eListParagraph"/>
        <w:numPr>
          <w:ilvl w:val="0"/>
          <w:numId w:val="1211"/>
        </w:numPr>
      </w:pPr>
      <w:r>
        <w:t xml:space="preserve">Dimensions : </w:t>
      </w:r>
    </w:p>
    <w:p w14:paraId="0FE0547B" w14:textId="77777777" w:rsidR="00772179" w:rsidRDefault="00000000">
      <w:pPr>
        <w:pStyle w:val="Author-eListParagraph"/>
        <w:numPr>
          <w:ilvl w:val="1"/>
          <w:numId w:val="1214"/>
        </w:numPr>
      </w:pPr>
      <w:r>
        <w:t xml:space="preserve">Epaisseur des marches : ≥ </w:t>
      </w:r>
      <w:r>
        <w:rPr>
          <w:rStyle w:val="optioncarChar"/>
        </w:rPr>
        <w:t xml:space="preserve">35 / 40 / 45 </w:t>
      </w:r>
      <w:r>
        <w:t>mm</w:t>
      </w:r>
    </w:p>
    <w:p w14:paraId="2C15A051" w14:textId="77777777" w:rsidR="00772179" w:rsidRDefault="00000000">
      <w:pPr>
        <w:pStyle w:val="Author-eListParagraph"/>
        <w:numPr>
          <w:ilvl w:val="1"/>
          <w:numId w:val="1215"/>
        </w:numPr>
      </w:pPr>
      <w:r>
        <w:t xml:space="preserve">Epaisseur des contremarches : ≥ </w:t>
      </w:r>
      <w:r>
        <w:rPr>
          <w:rStyle w:val="optioncarChar"/>
        </w:rPr>
        <w:t>25</w:t>
      </w:r>
      <w:r>
        <w:t>  mm</w:t>
      </w:r>
    </w:p>
    <w:p w14:paraId="54B40EA7" w14:textId="77777777" w:rsidR="00772179" w:rsidRDefault="00000000">
      <w:pPr>
        <w:pStyle w:val="Author-eListParagraph"/>
        <w:numPr>
          <w:ilvl w:val="0"/>
          <w:numId w:val="1211"/>
        </w:numPr>
      </w:pPr>
      <w:r>
        <w:t xml:space="preserve">Nez de marches : </w:t>
      </w:r>
    </w:p>
    <w:p w14:paraId="1AA30499" w14:textId="77777777" w:rsidR="00772179" w:rsidRDefault="00000000">
      <w:pPr>
        <w:pStyle w:val="Author-eListParagraph"/>
        <w:numPr>
          <w:ilvl w:val="1"/>
          <w:numId w:val="1216"/>
        </w:numPr>
      </w:pPr>
      <w:r>
        <w:t xml:space="preserve">Forme : </w:t>
      </w:r>
      <w:r>
        <w:rPr>
          <w:rStyle w:val="optioncarChar"/>
        </w:rPr>
        <w:t>non saillante (PMR)</w:t>
      </w:r>
    </w:p>
    <w:p w14:paraId="7AF41295" w14:textId="77777777" w:rsidR="00772179" w:rsidRDefault="00000000">
      <w:pPr>
        <w:pStyle w:val="Author-eListParagraph"/>
        <w:numPr>
          <w:ilvl w:val="1"/>
          <w:numId w:val="1216"/>
        </w:numPr>
      </w:pPr>
      <w:r>
        <w:t xml:space="preserve">Projection : </w:t>
      </w:r>
      <w:r>
        <w:rPr>
          <w:rStyle w:val="optioncarChar"/>
        </w:rPr>
        <w:t>max 25 (PMR) / min 30 / min 40 / min 50</w:t>
      </w:r>
      <w:r>
        <w:t> mm (débordement par rapport aux contremarches)</w:t>
      </w:r>
    </w:p>
    <w:p w14:paraId="0079D665" w14:textId="77777777" w:rsidR="00772179" w:rsidRDefault="00000000">
      <w:pPr>
        <w:pStyle w:val="Author-eListParagraph"/>
        <w:numPr>
          <w:ilvl w:val="1"/>
          <w:numId w:val="1216"/>
        </w:numPr>
      </w:pPr>
      <w:r>
        <w:t xml:space="preserve">Indicateurs visuels : </w:t>
      </w:r>
      <w:r>
        <w:rPr>
          <w:rStyle w:val="optioncarChar"/>
        </w:rPr>
        <w:t xml:space="preserve">selon les recommandations du sous-titre </w:t>
      </w:r>
      <w:hyperlink w:anchor="1131" w:history="1">
        <w:r>
          <w:rPr>
            <w:rStyle w:val="optioncarChar"/>
            <w:color w:val="0000EE"/>
          </w:rPr>
          <w:t>46.22 Chapes flottantes</w:t>
        </w:r>
      </w:hyperlink>
      <w:r>
        <w:rPr>
          <w:rStyle w:val="optioncarChar"/>
        </w:rPr>
        <w:t> (PMR)</w:t>
      </w:r>
    </w:p>
    <w:p w14:paraId="5D228255" w14:textId="77777777" w:rsidR="00772179" w:rsidRDefault="00000000">
      <w:pPr>
        <w:pStyle w:val="Author-eListParagraph"/>
        <w:numPr>
          <w:ilvl w:val="0"/>
          <w:numId w:val="1211"/>
        </w:numPr>
      </w:pPr>
      <w:r>
        <w:t xml:space="preserve">Traitement de la surface : </w:t>
      </w:r>
      <w:r>
        <w:rPr>
          <w:rStyle w:val="optioncarChar"/>
        </w:rPr>
        <w:t>non traité</w:t>
      </w:r>
      <w:r>
        <w:t> </w:t>
      </w:r>
    </w:p>
    <w:p w14:paraId="0FEEE614" w14:textId="77777777" w:rsidR="00772179" w:rsidRDefault="00000000">
      <w:pPr>
        <w:pStyle w:val="Author-eListParagraph"/>
        <w:numPr>
          <w:ilvl w:val="0"/>
          <w:numId w:val="1211"/>
        </w:numPr>
      </w:pPr>
      <w:r>
        <w:t xml:space="preserve">Finition de surface : </w:t>
      </w:r>
      <w:r>
        <w:rPr>
          <w:rStyle w:val="optioncarChar"/>
        </w:rPr>
        <w:t>antidérapante (PMR)</w:t>
      </w:r>
    </w:p>
    <w:p w14:paraId="5AFD3B1F" w14:textId="77777777" w:rsidR="00772179" w:rsidRDefault="00000000">
      <w:pPr>
        <w:pStyle w:val="Author-eListParagraph"/>
        <w:numPr>
          <w:ilvl w:val="0"/>
          <w:numId w:val="1211"/>
        </w:numPr>
      </w:pPr>
      <w:r>
        <w:t xml:space="preserve">Réaction au feu du revêtement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FL</w:t>
      </w:r>
      <w:r>
        <w:t>selon la [NBN EN 13501-1].</w:t>
      </w:r>
    </w:p>
    <w:p w14:paraId="3FD1F465" w14:textId="77777777" w:rsidR="00772179" w:rsidRDefault="00000000">
      <w:pPr>
        <w:pStyle w:val="Author-eListParagraph"/>
        <w:numPr>
          <w:ilvl w:val="0"/>
          <w:numId w:val="1211"/>
        </w:numPr>
      </w:pPr>
      <w:r>
        <w:t xml:space="preserve">Classe additionnelle : </w:t>
      </w:r>
      <w:r>
        <w:rPr>
          <w:rStyle w:val="optioncarChar"/>
        </w:rPr>
        <w:t>***</w:t>
      </w:r>
    </w:p>
    <w:p w14:paraId="7499A240" w14:textId="77777777" w:rsidR="00772179" w:rsidRDefault="00000000">
      <w:pPr>
        <w:pStyle w:val="Author-eListParagraph"/>
        <w:numPr>
          <w:ilvl w:val="0"/>
          <w:numId w:val="1211"/>
        </w:numPr>
      </w:pPr>
      <w:r>
        <w:t>Production de fumée :</w:t>
      </w:r>
      <w:r>
        <w:rPr>
          <w:rStyle w:val="optioncarChar"/>
        </w:rPr>
        <w:t> s1 / s2</w:t>
      </w:r>
    </w:p>
    <w:p w14:paraId="44F2701B" w14:textId="77777777" w:rsidR="00772179" w:rsidRDefault="00000000">
      <w:r>
        <w:rPr>
          <w:u w:val="single"/>
        </w:rPr>
        <w:t>Options</w:t>
      </w:r>
    </w:p>
    <w:p w14:paraId="23C38338" w14:textId="77777777" w:rsidR="00772179" w:rsidRDefault="00000000">
      <w:pPr>
        <w:pStyle w:val="Author-eListParagraph"/>
        <w:numPr>
          <w:ilvl w:val="0"/>
          <w:numId w:val="1217"/>
        </w:numPr>
      </w:pPr>
      <w:r>
        <w:t>Les marches sont pourvues d'un bord relevé à l'arrière.</w:t>
      </w:r>
    </w:p>
    <w:p w14:paraId="1E8DB2CB" w14:textId="77777777" w:rsidR="00772179" w:rsidRDefault="00000000">
      <w:pPr>
        <w:pStyle w:val="Author-eListParagraph"/>
        <w:numPr>
          <w:ilvl w:val="0"/>
          <w:numId w:val="1218"/>
        </w:numPr>
      </w:pPr>
      <w:r>
        <w:t xml:space="preserve">Les marches sont pourvues d'un </w:t>
      </w:r>
      <w:r>
        <w:rPr>
          <w:rStyle w:val="optioncarChar"/>
        </w:rPr>
        <w:t>revêtement antidérapant (PMR)</w:t>
      </w:r>
      <w:r>
        <w:t xml:space="preserve"> :</w:t>
      </w:r>
    </w:p>
    <w:p w14:paraId="3D10D91B" w14:textId="77777777" w:rsidR="00772179" w:rsidRDefault="00000000">
      <w:r>
        <w:rPr>
          <w:rStyle w:val="optioncarChar"/>
        </w:rPr>
        <w:t xml:space="preserve">ciselage antidérapant </w:t>
      </w:r>
      <w:r>
        <w:t>(par défaut)</w:t>
      </w:r>
      <w:r>
        <w:rPr>
          <w:rStyle w:val="optioncarChar"/>
        </w:rPr>
        <w:t xml:space="preserve"> / nez de marche antidérapant / bande antidérapante </w:t>
      </w:r>
    </w:p>
    <w:p w14:paraId="4A65C5F6" w14:textId="77777777" w:rsidR="00772179" w:rsidRDefault="00000000">
      <w:r>
        <w:rPr>
          <w:b/>
        </w:rPr>
        <w:t>(soit par défaut) :</w:t>
      </w:r>
      <w:r>
        <w:t>  </w:t>
      </w:r>
      <w:r>
        <w:rPr>
          <w:rStyle w:val="soitChar"/>
          <w:u w:val="single"/>
        </w:rPr>
        <w:t>ciselage antidérapant</w:t>
      </w:r>
    </w:p>
    <w:p w14:paraId="3D685073" w14:textId="77777777" w:rsidR="00772179" w:rsidRDefault="00000000">
      <w:r>
        <w:rPr>
          <w:b/>
        </w:rPr>
        <w:t>(soit) :</w:t>
      </w:r>
      <w:r>
        <w:t>  </w:t>
      </w:r>
      <w:r>
        <w:rPr>
          <w:rStyle w:val="soitChar"/>
          <w:u w:val="single"/>
        </w:rPr>
        <w:t>nez de marche antidérapant</w:t>
      </w:r>
      <w:r>
        <w:rPr>
          <w:rStyle w:val="soitChar"/>
        </w:rPr>
        <w:t xml:space="preserve"> collé en </w:t>
      </w:r>
      <w:r>
        <w:rPr>
          <w:rStyle w:val="optioncarChar"/>
        </w:rPr>
        <w:t>caoutchouc / PVC </w:t>
      </w:r>
    </w:p>
    <w:p w14:paraId="65E31CB3" w14:textId="77777777" w:rsidR="00772179" w:rsidRDefault="00000000">
      <w:r>
        <w:rPr>
          <w:b/>
        </w:rPr>
        <w:t xml:space="preserve">(soit) : </w:t>
      </w:r>
      <w:r>
        <w:rPr>
          <w:rStyle w:val="soitChar"/>
          <w:u w:val="single"/>
        </w:rPr>
        <w:t>bande antidérapante</w:t>
      </w:r>
      <w:r>
        <w:rPr>
          <w:rStyle w:val="soitChar"/>
        </w:rPr>
        <w:t xml:space="preserve"> embrevée en</w:t>
      </w:r>
      <w:r>
        <w:rPr>
          <w:rStyle w:val="soitChar"/>
          <w:color w:val="000000"/>
        </w:rPr>
        <w:t> </w:t>
      </w:r>
      <w:r>
        <w:rPr>
          <w:rStyle w:val="optioncarChar"/>
        </w:rPr>
        <w:t>carborundum / caoutchouc / PVC </w:t>
      </w:r>
    </w:p>
    <w:p w14:paraId="54D0DF76" w14:textId="77777777" w:rsidR="00772179" w:rsidRDefault="00000000">
      <w:pPr>
        <w:pStyle w:val="Author-eListParagraph"/>
        <w:numPr>
          <w:ilvl w:val="0"/>
          <w:numId w:val="1219"/>
        </w:numPr>
      </w:pPr>
      <w:r>
        <w:t>Le revêtement est traité afin d’améliorer son comportement de réaction au feu (revêtement ignifugé)</w:t>
      </w:r>
    </w:p>
    <w:p w14:paraId="6C1982F0" w14:textId="77777777" w:rsidR="00772179" w:rsidRDefault="00000000">
      <w:pPr>
        <w:pStyle w:val="pheading"/>
      </w:pPr>
      <w:r>
        <w:t>EXÉCUTION / MISE EN ŒUVRE</w:t>
      </w:r>
    </w:p>
    <w:p w14:paraId="29C11F8F" w14:textId="77777777" w:rsidR="00772179" w:rsidRDefault="00000000">
      <w:r>
        <w:t>L'exécution des revêtements en plaques et/ou en planches doit satisfaire aux prescriptions des [STS 23, Structures en bois], [STS 23:ad.1], [STS 23:ad.2], [NIT 166, Menuiseries intérieures en bois. Code de bonne pratique pour la mise en oeuvre, compte tenu des conditions hygrothermiques (remplacée par la NIT 218 pour ce qui concerne les parquets).] et [NBN EN 1195, Structures en bois - Méthodes d'essais - Comportement des planchers structuraux].</w:t>
      </w:r>
    </w:p>
    <w:p w14:paraId="70E479DA" w14:textId="77777777" w:rsidR="00772179" w:rsidRDefault="00000000">
      <w:pPr>
        <w:pStyle w:val="Author-eListParagraph"/>
        <w:numPr>
          <w:ilvl w:val="0"/>
          <w:numId w:val="1220"/>
        </w:numPr>
      </w:pPr>
      <w:r>
        <w:t>Les travaux sont exécutés dans un bâtiment sec et à l'abri du vent. L'aire de pose est sèche et débarrassée de toutes impuretés.</w:t>
      </w:r>
    </w:p>
    <w:p w14:paraId="08239649" w14:textId="77777777" w:rsidR="00772179" w:rsidRDefault="00000000">
      <w:pPr>
        <w:pStyle w:val="Author-eListParagraph"/>
        <w:numPr>
          <w:ilvl w:val="0"/>
          <w:numId w:val="1220"/>
        </w:numPr>
      </w:pPr>
      <w:r>
        <w:t>Les éléments de revêtement de sol en bois sont posés parfaitement plans et de niveau, la face supérieure se situant au niveau souhaité.</w:t>
      </w:r>
    </w:p>
    <w:p w14:paraId="58492C2F" w14:textId="77777777" w:rsidR="00772179" w:rsidRDefault="00000000">
      <w:r>
        <w:t> Revêtement de sol en bois - panneaux</w:t>
      </w:r>
    </w:p>
    <w:p w14:paraId="0A30F3B9" w14:textId="77777777" w:rsidR="00772179" w:rsidRDefault="00000000">
      <w:pPr>
        <w:pStyle w:val="Author-eListParagraph"/>
        <w:numPr>
          <w:ilvl w:val="0"/>
          <w:numId w:val="1221"/>
        </w:numPr>
      </w:pPr>
      <w:r>
        <w:t xml:space="preserve">Les panneaux sont posés comme </w:t>
      </w:r>
      <w:r>
        <w:rPr>
          <w:rStyle w:val="optioncarChar"/>
        </w:rPr>
        <w:t>sous-couche provisoire / couche de revêtement définitive</w:t>
      </w:r>
      <w:r>
        <w:t xml:space="preserve"> .</w:t>
      </w:r>
    </w:p>
    <w:p w14:paraId="1302C239" w14:textId="77777777" w:rsidR="00772179" w:rsidRDefault="00000000">
      <w:pPr>
        <w:pStyle w:val="Author-eListParagraph"/>
        <w:numPr>
          <w:ilvl w:val="0"/>
          <w:numId w:val="1221"/>
        </w:numPr>
      </w:pPr>
      <w:r>
        <w:lastRenderedPageBreak/>
        <w:t>Conformément aux indications sur les plans et dans le cahier spécial des charges, les plaques sont posées sur une aire de pose continue (chape, plancher existant) / sur un gîtage en bois.  </w:t>
      </w:r>
    </w:p>
    <w:p w14:paraId="6BE1B928" w14:textId="77777777" w:rsidR="00772179" w:rsidRDefault="00000000">
      <w:r>
        <w:t>MISE EN ŒUVRE sur un gîtage en bois</w:t>
      </w:r>
    </w:p>
    <w:p w14:paraId="4D891310" w14:textId="77777777" w:rsidR="00772179" w:rsidRDefault="00000000">
      <w:pPr>
        <w:pStyle w:val="Author-eListParagraph"/>
        <w:numPr>
          <w:ilvl w:val="0"/>
          <w:numId w:val="1222"/>
        </w:numPr>
      </w:pPr>
      <w:r>
        <w:t>Les plaques sont livrées dans les plus grandes longueurs possibles. Elles sont posées parfaitement planes et de niveau, avec la face supérieure au niveau souhaité. Les joints des plaques coïncident avec l'axe des poutres dans un sens ; dans l'autre sens, elles reposent sur les entretoises entre les gîtes. </w:t>
      </w:r>
    </w:p>
    <w:p w14:paraId="1EAD3D6F" w14:textId="77777777" w:rsidR="00772179" w:rsidRDefault="00000000">
      <w:pPr>
        <w:ind w:left="450"/>
      </w:pPr>
      <w:r>
        <w:br/>
        <w:t>Les plaques sont posées dans le sens de la longueur </w:t>
      </w:r>
      <w:r>
        <w:rPr>
          <w:rStyle w:val="optioncarChar"/>
        </w:rPr>
        <w:t>parallèlement</w:t>
      </w:r>
      <w:r>
        <w:t xml:space="preserve"> (par défaut) </w:t>
      </w:r>
      <w:r>
        <w:rPr>
          <w:rStyle w:val="optioncarChar"/>
        </w:rPr>
        <w:t>/ perpendiculairement</w:t>
      </w:r>
      <w:r>
        <w:t> </w:t>
      </w:r>
    </w:p>
    <w:p w14:paraId="771A7F06" w14:textId="77777777" w:rsidR="00772179" w:rsidRDefault="00000000">
      <w:pPr>
        <w:ind w:left="450"/>
      </w:pPr>
      <w:r>
        <w:rPr>
          <w:b/>
        </w:rPr>
        <w:t>(soit par défaut)</w:t>
      </w:r>
      <w:r>
        <w:t> :</w:t>
      </w:r>
      <w:r>
        <w:rPr>
          <w:rStyle w:val="soitChar"/>
        </w:rPr>
        <w:t xml:space="preserve">Les plaques sont posées dans le sens de la longueur </w:t>
      </w:r>
      <w:r>
        <w:rPr>
          <w:rStyle w:val="soitChar"/>
          <w:u w:val="single"/>
        </w:rPr>
        <w:t>parallèlement</w:t>
      </w:r>
      <w:r>
        <w:rPr>
          <w:rStyle w:val="soitChar"/>
        </w:rPr>
        <w:t xml:space="preserve"> aux supports sur lesquels elles seront fixées. Les plaques sont posées en alternance, les joints transversaux de deux rangées successives ne pouvant se joindre sur la même poutre.</w:t>
      </w:r>
      <w:r>
        <w:br/>
      </w:r>
      <w:r>
        <w:rPr>
          <w:b/>
        </w:rPr>
        <w:t>(soit)</w:t>
      </w:r>
      <w:r>
        <w:t> :</w:t>
      </w:r>
      <w:r>
        <w:rPr>
          <w:rStyle w:val="soitChar"/>
        </w:rPr>
        <w:t xml:space="preserve">Les plaques sont posées, dans le sens de la longueur </w:t>
      </w:r>
      <w:r>
        <w:rPr>
          <w:rStyle w:val="soitChar"/>
          <w:u w:val="single"/>
        </w:rPr>
        <w:t>parallèlement</w:t>
      </w:r>
      <w:r>
        <w:rPr>
          <w:rStyle w:val="soitChar"/>
        </w:rPr>
        <w:t xml:space="preserve"> aux supports sur lesquels elles sont fixées. Les joints transversaux se situent dans le prolongement l'un de l'autre.</w:t>
      </w:r>
      <w:r>
        <w:br/>
      </w:r>
      <w:r>
        <w:rPr>
          <w:b/>
        </w:rPr>
        <w:t>(soit)</w:t>
      </w:r>
      <w:r>
        <w:t> : </w:t>
      </w:r>
      <w:r>
        <w:rPr>
          <w:rStyle w:val="soitChar"/>
        </w:rPr>
        <w:t xml:space="preserve">Les plaques sont posées, dans le sens de la longueur </w:t>
      </w:r>
      <w:r>
        <w:rPr>
          <w:rStyle w:val="soitChar"/>
          <w:u w:val="single"/>
        </w:rPr>
        <w:t>perpendiculairement</w:t>
      </w:r>
      <w:r>
        <w:rPr>
          <w:rStyle w:val="soitChar"/>
        </w:rPr>
        <w:t xml:space="preserve"> aux supports sur lesquels elles sont fixées. Les joints transversaux coïncident avec l'axe des supports.  </w:t>
      </w:r>
    </w:p>
    <w:p w14:paraId="4E87EFC2" w14:textId="77777777" w:rsidR="00772179" w:rsidRDefault="00000000">
      <w:pPr>
        <w:pStyle w:val="Author-eListParagraph"/>
        <w:numPr>
          <w:ilvl w:val="0"/>
          <w:numId w:val="1223"/>
        </w:numPr>
      </w:pPr>
      <w:r>
        <w:t>Les bords des éléments qui constituent le revêtement en plaques s'appuient toujours sur les poutres ou constructions sous-jacentes. Les extrémités ou les bords doivent toujours être supportés, les encorbellements ne sont pas admis.</w:t>
      </w:r>
    </w:p>
    <w:p w14:paraId="5005B294" w14:textId="77777777" w:rsidR="00772179" w:rsidRDefault="00000000">
      <w:pPr>
        <w:pStyle w:val="Author-eListParagraph"/>
        <w:numPr>
          <w:ilvl w:val="0"/>
          <w:numId w:val="1223"/>
        </w:numPr>
      </w:pPr>
      <w:r>
        <w:t>Au préalable, toutes les irrégularités sont enlevées avec les moyens appropriés en fonction de la nature du support sont &lt; 5 mm . Lorsque l'aire de pose n'est pas suffisamment horizontale ou lorsque l'épaisseur de compensation dépasse l'épaisseur des plaques, on utilise un lattage et/ou des cales de pente traitées selon le procédé A1 des</w:t>
      </w:r>
      <w:r>
        <w:rPr>
          <w:shd w:val="clear" w:color="auto" w:fill="FFFFFF"/>
        </w:rPr>
        <w:t xml:space="preserve">[STS 04 série] .31.1. </w:t>
      </w:r>
    </w:p>
    <w:p w14:paraId="05A0AE16" w14:textId="77777777" w:rsidR="00772179" w:rsidRDefault="00000000">
      <w:pPr>
        <w:pStyle w:val="Author-eListParagraph"/>
        <w:numPr>
          <w:ilvl w:val="0"/>
          <w:numId w:val="1223"/>
        </w:numPr>
      </w:pPr>
      <w:r>
        <w:t>Au droit de la jonction avec les murs, on laisse un joint ≥ 5 mm . Entre les plaques, on laisse un jeu d'environ 2% de la largeur des plaques soit +/-</w:t>
      </w:r>
      <w:r>
        <w:rPr>
          <w:rStyle w:val="optioncarChar"/>
        </w:rPr>
        <w:t> 2</w:t>
      </w:r>
      <w:r>
        <w:t> mm).</w:t>
      </w:r>
    </w:p>
    <w:p w14:paraId="00433F10" w14:textId="77777777" w:rsidR="00772179" w:rsidRDefault="00000000">
      <w:pPr>
        <w:pStyle w:val="Author-eListParagraph"/>
        <w:numPr>
          <w:ilvl w:val="0"/>
          <w:numId w:val="1223"/>
        </w:numPr>
      </w:pPr>
      <w:r>
        <w:t>En fonction de la nature et de l'état du support, les plaques sont vissées ou clouées avec les moyens de fixation appropriés qui sont enfoncés dans les plaques. </w:t>
      </w:r>
    </w:p>
    <w:p w14:paraId="2ED6FDB7" w14:textId="77777777" w:rsidR="00772179" w:rsidRDefault="00000000">
      <w:r>
        <w:rPr>
          <w:u w:val="single"/>
        </w:rPr>
        <w:t xml:space="preserve">Notes d'exécution complémentaires </w:t>
      </w:r>
    </w:p>
    <w:p w14:paraId="08D0121A" w14:textId="77777777" w:rsidR="00772179" w:rsidRDefault="00000000">
      <w:pPr>
        <w:pStyle w:val="Author-eListParagraph"/>
        <w:numPr>
          <w:ilvl w:val="0"/>
          <w:numId w:val="1224"/>
        </w:numPr>
      </w:pPr>
      <w:r>
        <w:t>Au droit des passages et des réservations, des ouvertures aux dimensions appropriées sont réservées dans les plaques.</w:t>
      </w:r>
    </w:p>
    <w:p w14:paraId="31532F49" w14:textId="77777777" w:rsidR="00772179" w:rsidRDefault="00000000">
      <w:pPr>
        <w:pStyle w:val="Author-eListParagraph"/>
        <w:numPr>
          <w:ilvl w:val="0"/>
          <w:numId w:val="1224"/>
        </w:numPr>
      </w:pPr>
      <w:r>
        <w:t>On pose une</w:t>
      </w:r>
      <w:r>
        <w:rPr>
          <w:rStyle w:val="optioncarChar"/>
        </w:rPr>
        <w:t xml:space="preserve"> couche de feutre / bande </w:t>
      </w:r>
      <w:r>
        <w:t xml:space="preserve">de </w:t>
      </w:r>
      <w:r>
        <w:rPr>
          <w:rStyle w:val="optioncarChar"/>
        </w:rPr>
        <w:t xml:space="preserve">*** </w:t>
      </w:r>
      <w:r>
        <w:t>entre les plaques et les chevrons afin d'absorber les bruits.</w:t>
      </w:r>
    </w:p>
    <w:p w14:paraId="5F49D411" w14:textId="77777777" w:rsidR="00772179" w:rsidRDefault="00000000">
      <w:pPr>
        <w:pStyle w:val="Author-eListParagraph"/>
        <w:numPr>
          <w:ilvl w:val="0"/>
          <w:numId w:val="1224"/>
        </w:numPr>
      </w:pPr>
      <w:r>
        <w:t>Les plaques sont assemblées à l'aide d'une languette en bois.</w:t>
      </w:r>
    </w:p>
    <w:p w14:paraId="2E597422" w14:textId="77777777" w:rsidR="00772179" w:rsidRDefault="00000000">
      <w:pPr>
        <w:pStyle w:val="Author-eListParagraph"/>
        <w:numPr>
          <w:ilvl w:val="0"/>
          <w:numId w:val="1224"/>
        </w:numPr>
      </w:pPr>
      <w:r>
        <w:t>L'aire de pose est préalablement mise de niveau à l'aide d'un lattage.</w:t>
      </w:r>
    </w:p>
    <w:p w14:paraId="38C8FBAB" w14:textId="77777777" w:rsidR="00772179" w:rsidRDefault="00000000">
      <w:pPr>
        <w:pStyle w:val="Author-eListParagraph"/>
        <w:numPr>
          <w:ilvl w:val="0"/>
          <w:numId w:val="1224"/>
        </w:numPr>
      </w:pPr>
      <w:r>
        <w:t>Les plaques assemblées par rainure et languette sont collées.</w:t>
      </w:r>
    </w:p>
    <w:p w14:paraId="116B9542" w14:textId="77777777" w:rsidR="00772179" w:rsidRDefault="00000000">
      <w:pPr>
        <w:pStyle w:val="Author-eListParagraph"/>
        <w:numPr>
          <w:ilvl w:val="0"/>
          <w:numId w:val="1224"/>
        </w:numPr>
      </w:pPr>
      <w:r>
        <w:t>Les plaques assemblées par rainure et languette sont posées par collage comme plancher flottant.</w:t>
      </w:r>
    </w:p>
    <w:p w14:paraId="6749B90D" w14:textId="77777777" w:rsidR="00772179" w:rsidRDefault="00000000">
      <w:pPr>
        <w:pStyle w:val="Author-eListParagraph"/>
        <w:numPr>
          <w:ilvl w:val="0"/>
          <w:numId w:val="1224"/>
        </w:numPr>
      </w:pPr>
      <w:r>
        <w:t xml:space="preserve">La fixation se fait avec des </w:t>
      </w:r>
      <w:r>
        <w:rPr>
          <w:rStyle w:val="optioncarChar"/>
        </w:rPr>
        <w:t>vis fraisées / clous enchâssés / agrafes appliquées à l'agrafeuse pneumatique </w:t>
      </w:r>
    </w:p>
    <w:p w14:paraId="124D0AC8" w14:textId="77777777" w:rsidR="00772179" w:rsidRDefault="00000000">
      <w:pPr>
        <w:pStyle w:val="Author-eListParagraph"/>
        <w:numPr>
          <w:ilvl w:val="0"/>
          <w:numId w:val="1224"/>
        </w:numPr>
      </w:pPr>
      <w:r>
        <w:t xml:space="preserve">La distance entre deux points de fixation ne peut pas dépasser </w:t>
      </w:r>
      <w:r>
        <w:rPr>
          <w:rStyle w:val="optioncarChar"/>
        </w:rPr>
        <w:t xml:space="preserve">15 / 20 </w:t>
      </w:r>
      <w:r>
        <w:t xml:space="preserve">cm sur le pourtour des plaques et </w:t>
      </w:r>
      <w:r>
        <w:rPr>
          <w:rStyle w:val="optioncarChar"/>
        </w:rPr>
        <w:t xml:space="preserve">30 / 40 </w:t>
      </w:r>
      <w:r>
        <w:t>cm sur les appuis intermédiaires.</w:t>
      </w:r>
    </w:p>
    <w:p w14:paraId="30A35314" w14:textId="77777777" w:rsidR="00772179" w:rsidRDefault="00000000">
      <w:r>
        <w:t> Revêtement de sol en bois - plancher</w:t>
      </w:r>
    </w:p>
    <w:p w14:paraId="04B6F77E" w14:textId="77777777" w:rsidR="00772179" w:rsidRDefault="00000000">
      <w:r>
        <w:t>Aucune planche ne peut avoir une longueur inférieure à 1/3 de la surface à couvrir. Les planches sont posées à rainure et languette.</w:t>
      </w:r>
    </w:p>
    <w:p w14:paraId="7A414C5A" w14:textId="77777777" w:rsidR="00772179" w:rsidRDefault="00000000">
      <w:r>
        <w:rPr>
          <w:rStyle w:val="optioncarChar"/>
        </w:rPr>
        <w:t xml:space="preserve">Le plancher est cloué </w:t>
      </w:r>
      <w:r>
        <w:t>(par défaut)</w:t>
      </w:r>
      <w:r>
        <w:rPr>
          <w:rStyle w:val="optioncarChar"/>
        </w:rPr>
        <w:t xml:space="preserve"> / les planches ne sont ni clouées ni rapprochées</w:t>
      </w:r>
    </w:p>
    <w:p w14:paraId="361AFFA6" w14:textId="77777777" w:rsidR="00772179" w:rsidRDefault="00000000">
      <w:pPr>
        <w:ind w:left="450"/>
      </w:pPr>
      <w:r>
        <w:rPr>
          <w:b/>
        </w:rPr>
        <w:t>(soit par défaut)</w:t>
      </w:r>
      <w:r>
        <w:t> :</w:t>
      </w:r>
      <w:r>
        <w:rPr>
          <w:rStyle w:val="soitChar"/>
          <w:u w:val="single"/>
        </w:rPr>
        <w:t>Le plancher est cloué</w:t>
      </w:r>
      <w:r>
        <w:rPr>
          <w:rStyle w:val="soitChar"/>
        </w:rPr>
        <w:t xml:space="preserve"> après le rapprochement des planches. Le rapprochement s'effectue à l’aide d’un tendeur spécial chaque fois après la pose d’une bande de </w:t>
      </w:r>
      <w:r>
        <w:rPr>
          <w:rStyle w:val="soitChar"/>
        </w:rPr>
        <w:lastRenderedPageBreak/>
        <w:t>1 m de large. Les planches sont clouées sur chaque appui au moyen ≥ 2 clous à tête ronde et d'une longueur ≥ 6 cm et enfoncés au chasse-clou.</w:t>
      </w:r>
      <w:r>
        <w:br/>
      </w:r>
      <w:r>
        <w:rPr>
          <w:b/>
        </w:rPr>
        <w:t>(soit)</w:t>
      </w:r>
      <w:r>
        <w:t> :</w:t>
      </w:r>
      <w:r>
        <w:rPr>
          <w:rStyle w:val="soitChar"/>
        </w:rPr>
        <w:t xml:space="preserve">Pendant la pose, </w:t>
      </w:r>
      <w:r>
        <w:rPr>
          <w:rStyle w:val="soitChar"/>
          <w:u w:val="single"/>
        </w:rPr>
        <w:t>les planches ne sont ni clouées ni rapprochées</w:t>
      </w:r>
      <w:r>
        <w:rPr>
          <w:rStyle w:val="soitChar"/>
        </w:rPr>
        <w:t>. Les planches sont resserrées lorsque le bâtiment est entièrement terminé. En tout cas, le taux d'humidité du bois au moment du resserrage &lt; 12 % du poids sec. Le maître de l'ouvrage se réserve toutefois le droit de ne faire exécuter le rapprochement des planches que 4 mois après l'occupation du bâtiment afin que les pièces de séjour soient d'abord occupées et chauffées. Dans ce cas, le déménagement des meubles est à charge du maître de l'ouvrage.</w:t>
      </w:r>
    </w:p>
    <w:p w14:paraId="44CE4CF6" w14:textId="77777777" w:rsidR="00772179" w:rsidRDefault="00000000">
      <w:r>
        <w:rPr>
          <w:u w:val="single"/>
        </w:rPr>
        <w:t>Notes d'exécution complémentaires</w:t>
      </w:r>
      <w:r>
        <w:br/>
        <w:t xml:space="preserve">On pose une </w:t>
      </w:r>
      <w:r>
        <w:rPr>
          <w:rStyle w:val="optioncarChar"/>
        </w:rPr>
        <w:t>*** / couche de feutre / bande</w:t>
      </w:r>
      <w:r>
        <w:t xml:space="preserve"> de </w:t>
      </w:r>
      <w:r>
        <w:rPr>
          <w:rStyle w:val="optioncarChar"/>
        </w:rPr>
        <w:t>***</w:t>
      </w:r>
      <w:r>
        <w:t xml:space="preserve"> entre les plaques et les chevrons afin d'absorber les bruits. </w:t>
      </w:r>
    </w:p>
    <w:p w14:paraId="396B420C" w14:textId="77777777" w:rsidR="00772179" w:rsidRDefault="00000000">
      <w:r>
        <w:t>Revêtement de sol en bois – parquet stratifié</w:t>
      </w:r>
    </w:p>
    <w:p w14:paraId="62D1A78A" w14:textId="77777777" w:rsidR="00772179" w:rsidRDefault="00000000">
      <w:r>
        <w:t>Les bandes de parquet stratifié sont collées les unes aux autres et au support conformément aux prescriptions du fabricant.</w:t>
      </w:r>
    </w:p>
    <w:p w14:paraId="20154987" w14:textId="77777777" w:rsidR="00772179" w:rsidRDefault="00000000">
      <w:r>
        <w:rPr>
          <w:u w:val="single"/>
        </w:rPr>
        <w:t xml:space="preserve">Notes d'exécution complémentaires </w:t>
      </w:r>
    </w:p>
    <w:p w14:paraId="6BB28533" w14:textId="77777777" w:rsidR="00772179" w:rsidRDefault="00000000">
      <w:pPr>
        <w:pStyle w:val="Author-eListParagraph"/>
        <w:numPr>
          <w:ilvl w:val="0"/>
          <w:numId w:val="1225"/>
        </w:numPr>
      </w:pPr>
      <w:r>
        <w:t>Un sous-parquet d'égalisation et d'amortissement du bruit est à prévoir en matelas de PE, épaisseur ≥ </w:t>
      </w:r>
      <w:r>
        <w:rPr>
          <w:rStyle w:val="optioncarChar"/>
        </w:rPr>
        <w:t>2</w:t>
      </w:r>
      <w:r>
        <w:t> mm</w:t>
      </w:r>
    </w:p>
    <w:p w14:paraId="3AACE878" w14:textId="77777777" w:rsidR="00772179" w:rsidRDefault="00000000">
      <w:pPr>
        <w:pStyle w:val="Author-eListParagraph"/>
        <w:numPr>
          <w:ilvl w:val="0"/>
          <w:numId w:val="1225"/>
        </w:numPr>
      </w:pPr>
      <w:r>
        <w:t>Un sous-parquet d'égalisation et d'amortissement du bruit est à prévoir en plaques de bois tendre, épaisseur ≥</w:t>
      </w:r>
      <w:r>
        <w:rPr>
          <w:rStyle w:val="optioncarChar"/>
        </w:rPr>
        <w:t> 5</w:t>
      </w:r>
      <w:r>
        <w:t>  mm</w:t>
      </w:r>
    </w:p>
    <w:p w14:paraId="165F0FA6" w14:textId="77777777" w:rsidR="00772179" w:rsidRDefault="00000000">
      <w:pPr>
        <w:pStyle w:val="Author-eListParagraph"/>
        <w:numPr>
          <w:ilvl w:val="0"/>
          <w:numId w:val="1226"/>
        </w:numPr>
      </w:pPr>
      <w:r>
        <w:t xml:space="preserve">Profils de transition en </w:t>
      </w:r>
      <w:r>
        <w:rPr>
          <w:rStyle w:val="optioncarChar"/>
        </w:rPr>
        <w:t xml:space="preserve">*** </w:t>
      </w:r>
      <w:r>
        <w:t>à prévoir au droit des changements de matériaux.</w:t>
      </w:r>
    </w:p>
    <w:p w14:paraId="57E814CA" w14:textId="77777777" w:rsidR="00772179" w:rsidRDefault="00000000">
      <w:r>
        <w:t> Revêtement de sol en bois – rénovation-ponçage</w:t>
      </w:r>
    </w:p>
    <w:p w14:paraId="7D728024" w14:textId="77777777" w:rsidR="00772179" w:rsidRDefault="00000000">
      <w:pPr>
        <w:pStyle w:val="Author-eListParagraph"/>
        <w:numPr>
          <w:ilvl w:val="0"/>
          <w:numId w:val="1227"/>
        </w:numPr>
      </w:pPr>
      <w:r>
        <w:t>Tous les clous sont enfoncés. Le plancher existant est poncé parallèlement au sens des planches, avec du papier abrasif de quatre granulométries différentes en commençant par le plus gros et en terminant par le plus fin. La dernière phase du ponçage correspond à la texture obtenue avec du papier de verre n° 100.</w:t>
      </w:r>
    </w:p>
    <w:p w14:paraId="2CAAE176" w14:textId="77777777" w:rsidR="00772179" w:rsidRDefault="00000000">
      <w:pPr>
        <w:pStyle w:val="Author-eListParagraph"/>
        <w:numPr>
          <w:ilvl w:val="0"/>
          <w:numId w:val="1227"/>
        </w:numPr>
      </w:pPr>
      <w:r>
        <w:t>Les bords sont éventuellement poncés avec une petite ponceuse à bande ou manuellement. Après le ponçage, le sol est complètement dépoussiéré. Les taches sont enlevées avec un papier de verre fin ou de la laine d'acier. Les taches foncées provoquées par du fer etc. peuvent être enlevées à l'acide oxalique, après toutefois avoir effectué un essai.</w:t>
      </w:r>
    </w:p>
    <w:p w14:paraId="3298336D" w14:textId="77777777" w:rsidR="00772179" w:rsidRDefault="00000000">
      <w:pPr>
        <w:pStyle w:val="Author-eListParagraph"/>
        <w:numPr>
          <w:ilvl w:val="0"/>
          <w:numId w:val="1227"/>
        </w:numPr>
      </w:pPr>
      <w:r>
        <w:t>Les interstices et les trous de clous sont obturés avec un mastic acrylique, qui est compatible avec les produits de finition ultérieurs.</w:t>
      </w:r>
    </w:p>
    <w:p w14:paraId="13F9A1FC" w14:textId="77777777" w:rsidR="00772179" w:rsidRDefault="00000000">
      <w:pPr>
        <w:pStyle w:val="Author-eListParagraph"/>
        <w:numPr>
          <w:ilvl w:val="0"/>
          <w:numId w:val="1227"/>
        </w:numPr>
      </w:pPr>
      <w:r>
        <w:t>Les planches abîmées sont remplacées et teintées avec un produit d'amélioration du bois, conformément aux [STS 04.3] - procédé C3.</w:t>
      </w:r>
    </w:p>
    <w:p w14:paraId="6AC7FBAA" w14:textId="77777777" w:rsidR="00772179" w:rsidRDefault="00000000">
      <w:r>
        <w:t> Revêtement d’escalier – bois massif : les marches sont posées : </w:t>
      </w:r>
    </w:p>
    <w:p w14:paraId="150E8EAA" w14:textId="77777777" w:rsidR="00772179" w:rsidRDefault="00000000">
      <w:r>
        <w:rPr>
          <w:rStyle w:val="optioncarChar"/>
        </w:rPr>
        <w:t xml:space="preserve">sur béton </w:t>
      </w:r>
      <w:r>
        <w:t>(par défaut)</w:t>
      </w:r>
      <w:r>
        <w:rPr>
          <w:rStyle w:val="optioncarChar"/>
        </w:rPr>
        <w:t xml:space="preserve"> / autoportant</w:t>
      </w:r>
    </w:p>
    <w:p w14:paraId="6A83C46E" w14:textId="77777777" w:rsidR="00772179" w:rsidRDefault="00000000">
      <w:pPr>
        <w:ind w:left="450"/>
      </w:pPr>
      <w:r>
        <w:rPr>
          <w:b/>
        </w:rPr>
        <w:t>(soit par défaut)</w:t>
      </w:r>
      <w:r>
        <w:t> :</w:t>
      </w:r>
      <w:r>
        <w:rPr>
          <w:rStyle w:val="soitChar"/>
        </w:rPr>
        <w:t>comme revêtement sur les escaliers en béton. Des trous sont forés dans le béton afin de pouvoir y introduire des chevilles en matière synthétique. Les marches sont ainsi vissées et éventuellement mises de niveau à l'aide de cales. L'ensemble est mastiqué avec du</w:t>
      </w:r>
      <w:r>
        <w:rPr>
          <w:rStyle w:val="optioncarChar"/>
        </w:rPr>
        <w:t>***</w:t>
      </w:r>
      <w:r>
        <w:br/>
      </w:r>
      <w:r>
        <w:rPr>
          <w:b/>
        </w:rPr>
        <w:t>(soit)</w:t>
      </w:r>
      <w:r>
        <w:t> :</w:t>
      </w:r>
      <w:r>
        <w:rPr>
          <w:rStyle w:val="soitChar"/>
        </w:rPr>
        <w:t>comme marches autoportantes sur les structures d'escalier en acier. Les marches sont supportées par des accessoires en métal :</w:t>
      </w:r>
      <w:r>
        <w:rPr>
          <w:rStyle w:val="optioncarChar"/>
        </w:rPr>
        <w:t> brides de fixation / consoles en fer plat / profils tubulaires / cornières </w:t>
      </w:r>
    </w:p>
    <w:p w14:paraId="5C13A466" w14:textId="77777777" w:rsidR="00772179" w:rsidRDefault="00000000">
      <w:r>
        <w:rPr>
          <w:u w:val="single"/>
        </w:rPr>
        <w:t xml:space="preserve">Notes d'exécution complémentaires </w:t>
      </w:r>
      <w:r>
        <w:br/>
        <w:t>Lorsque les marches sont prévues avec des contremarches, il y a lieu de prendre les mesures qui s'imposent pour éviter que l'escalier ne 'craque' .</w:t>
      </w:r>
    </w:p>
    <w:p w14:paraId="7896C13B" w14:textId="77777777" w:rsidR="00772179" w:rsidRDefault="00000000">
      <w:pPr>
        <w:pStyle w:val="Author-eListParagraph"/>
        <w:numPr>
          <w:ilvl w:val="0"/>
          <w:numId w:val="1228"/>
        </w:numPr>
      </w:pPr>
      <w:r>
        <w:t>Les contremarches et les marches sont resserrées lors de la mise en œuvre.</w:t>
      </w:r>
    </w:p>
    <w:p w14:paraId="4A7FEF04" w14:textId="77777777" w:rsidR="00772179" w:rsidRDefault="00000000">
      <w:pPr>
        <w:pStyle w:val="Author-eListParagraph"/>
        <w:numPr>
          <w:ilvl w:val="0"/>
          <w:numId w:val="1228"/>
        </w:numPr>
      </w:pPr>
      <w:r>
        <w:t>Les contremarches sont rabotées convexes au centre : 3 mm en diminuant vers les angles.</w:t>
      </w:r>
    </w:p>
    <w:p w14:paraId="29014C96" w14:textId="77777777" w:rsidR="00772179" w:rsidRDefault="00000000">
      <w:pPr>
        <w:pStyle w:val="Author-eListParagraph"/>
        <w:numPr>
          <w:ilvl w:val="0"/>
          <w:numId w:val="1228"/>
        </w:numPr>
      </w:pPr>
      <w:r>
        <w:t>A l'arrière de la contremarche, entre deux marches successives, on pose 1 ou 2 lattes anticraquement.</w:t>
      </w:r>
    </w:p>
    <w:p w14:paraId="31E3F20E" w14:textId="77777777" w:rsidR="00772179" w:rsidRDefault="00000000">
      <w:pPr>
        <w:pStyle w:val="pheading"/>
      </w:pPr>
      <w:r>
        <w:t>CONTRÔLES</w:t>
      </w:r>
    </w:p>
    <w:p w14:paraId="10C9DB94" w14:textId="77777777" w:rsidR="00772179" w:rsidRDefault="00000000">
      <w:pPr>
        <w:pStyle w:val="Author-eListParagraph"/>
        <w:numPr>
          <w:ilvl w:val="0"/>
          <w:numId w:val="1229"/>
        </w:numPr>
      </w:pPr>
      <w:r>
        <w:lastRenderedPageBreak/>
        <w:t xml:space="preserve"> Lors du foulement du plancher, on ne pourra percevoir des bruits de craquement (L'isolation acoustique des planchers en bois - Pratique ([Buildwise Article Revue (2001-01-21)]). </w:t>
      </w:r>
    </w:p>
    <w:p w14:paraId="2AF98419" w14:textId="77777777" w:rsidR="00772179" w:rsidRDefault="00000000">
      <w:pPr>
        <w:pStyle w:val="Author-eListParagraph"/>
        <w:numPr>
          <w:ilvl w:val="0"/>
          <w:numId w:val="1229"/>
        </w:numPr>
      </w:pPr>
      <w:r>
        <w:t xml:space="preserve">Les fixations doivent résister à une force de traction de 10 kg . </w:t>
      </w:r>
    </w:p>
    <w:p w14:paraId="414D89ED" w14:textId="77777777" w:rsidR="00772179" w:rsidRDefault="00000000">
      <w:pPr>
        <w:pStyle w:val="pheading"/>
      </w:pPr>
      <w:r>
        <w:t>DOCUMENTS DE RÉFÉRENCE</w:t>
      </w:r>
    </w:p>
    <w:p w14:paraId="56B11094" w14:textId="77777777" w:rsidR="00772179" w:rsidRDefault="00000000">
      <w:pPr>
        <w:pStyle w:val="pheading"/>
      </w:pPr>
      <w:r>
        <w:t>- Matériau</w:t>
      </w:r>
    </w:p>
    <w:p w14:paraId="61D5E28B" w14:textId="77777777" w:rsidR="00772179" w:rsidRDefault="00000000">
      <w:r>
        <w:t>[STS 04 série, Bois et panneaux à base de bois]</w:t>
      </w:r>
    </w:p>
    <w:p w14:paraId="6560D419" w14:textId="77777777" w:rsidR="00772179" w:rsidRDefault="00000000">
      <w:r>
        <w:t>[STS 45 série, Parachèvement de sol intérieur : généralités, mortiers-collés, mosaïque de simili-porcelaine et de verre.]</w:t>
      </w:r>
    </w:p>
    <w:p w14:paraId="4EB5A89C" w14:textId="77777777" w:rsidR="00772179" w:rsidRDefault="00000000">
      <w:r>
        <w:t>[NBN EN 1533, Planchers en bois - Détermination de la flexion sous charge statique - Méthodes d'essai]</w:t>
      </w:r>
    </w:p>
    <w:p w14:paraId="2A12473C" w14:textId="77777777" w:rsidR="00772179" w:rsidRDefault="00000000">
      <w:r>
        <w:t>[NBN EN 1534, Planchers en bois et parquets - Détermination de la résistance au poinçonnement - Méthode d'essai]</w:t>
      </w:r>
    </w:p>
    <w:p w14:paraId="1A43851E" w14:textId="77777777" w:rsidR="00772179" w:rsidRDefault="00000000">
      <w:r>
        <w:t>[NBN EN 1910, Planchers en bois et lambris et bardages en bois - Détermination de la stabilité dimensionnelle]</w:t>
      </w:r>
    </w:p>
    <w:p w14:paraId="2B568BD8" w14:textId="77777777" w:rsidR="00772179" w:rsidRDefault="00000000">
      <w:r>
        <w:t>[NBN EN 13696, Planchers en bois - Méthodes d'essai pour déterminer l'élasticité et la résistance à l'abrasion et la résistance au choc]</w:t>
      </w:r>
    </w:p>
    <w:p w14:paraId="323F9CEF" w14:textId="77777777" w:rsidR="00772179" w:rsidRDefault="00000000">
      <w:r>
        <w:t>[SWL GSI/T1/B, Guides sécurité incendie - Tome 1 Prévention passive - Guide B Réaction au feu]</w:t>
      </w:r>
    </w:p>
    <w:p w14:paraId="4D7450E5" w14:textId="77777777" w:rsidR="00772179" w:rsidRDefault="00000000">
      <w:r>
        <w:t>Pour un aperçu et les normes de référence pour les matériaux en plaques,</w:t>
      </w:r>
    </w:p>
    <w:p w14:paraId="02503364" w14:textId="77777777" w:rsidR="00772179" w:rsidRDefault="00000000">
      <w:r>
        <w:t>voir aussi l'article 51.1 Cloisons fixes légères de séparation (Rem.: le type d'ossature est explicité à l'article)</w:t>
      </w:r>
    </w:p>
    <w:p w14:paraId="59D040C5" w14:textId="77777777" w:rsidR="00772179" w:rsidRDefault="00000000">
      <w:pPr>
        <w:pStyle w:val="pheading"/>
      </w:pPr>
      <w:r>
        <w:t>AIDE</w:t>
      </w:r>
    </w:p>
    <w:p w14:paraId="25519D50" w14:textId="77777777" w:rsidR="00772179" w:rsidRDefault="00000000">
      <w:r>
        <w:rPr>
          <w:i/>
          <w:u w:val="single"/>
        </w:rPr>
        <w:t xml:space="preserve">Note à l'attention de l'auteur de projet </w:t>
      </w:r>
      <w:r>
        <w:br/>
        <w:t>Le type B peut être utilisé pour des applications structurelles et non-structurelles éventuellement soumises à des fluctuations du taux d'humidité, sans toutefois provoquer un excès permanent d'humidité ni un affaiblissement des mesures de protection contre l'humidité pendant le transport, l'entreposage ou la mise en œuvre.</w:t>
      </w:r>
    </w:p>
    <w:p w14:paraId="470CC514" w14:textId="77777777" w:rsidR="00772179" w:rsidRDefault="00000000">
      <w:r>
        <w:rPr>
          <w:i/>
          <w:u w:val="single"/>
        </w:rPr>
        <w:t>Note à l'attention de l'auteur de projet</w:t>
      </w:r>
      <w:r>
        <w:t xml:space="preserve"> (concernant l'épaisseur des marches)</w:t>
      </w:r>
      <w:r>
        <w:br/>
        <w:t>Epaisseur recommandée pour les marches s'appuyant sur deux limons : 35 mm (longueur de marches jusqu'à 800 mm ); 40 mm (longueur de marches jusqu'à 1000 mm ); 45 mm (longueur de marche jusqu'à 1200 mm ).</w:t>
      </w:r>
    </w:p>
    <w:p w14:paraId="4FF160E3" w14:textId="77777777" w:rsidR="00772179" w:rsidRDefault="00000000">
      <w:pPr>
        <w:pStyle w:val="Author-eSectionHeading5Numberless"/>
      </w:pPr>
      <w:bookmarkStart w:id="1310" w:name="_Toc220490962"/>
      <w:r>
        <w:t>46.44.1 Revêtements de sols extérieurs - planchers CCTB 01.02</w:t>
      </w:r>
      <w:bookmarkEnd w:id="1310"/>
    </w:p>
    <w:p w14:paraId="7A1ECF62" w14:textId="77777777" w:rsidR="00772179" w:rsidRDefault="00000000">
      <w:pPr>
        <w:pStyle w:val="Author-eSectionHeading6Numberless"/>
      </w:pPr>
      <w:bookmarkStart w:id="1311" w:name="_Toc220490963"/>
      <w:r>
        <w:t>46.44.1a Revêtements de sols extérieurs - planchers de bois massif</w:t>
      </w:r>
      <w:bookmarkEnd w:id="1311"/>
    </w:p>
    <w:p w14:paraId="0B06EA86" w14:textId="77777777" w:rsidR="00772179" w:rsidRDefault="00000000">
      <w:pPr>
        <w:pStyle w:val="Author-eSectionHeading5Numberless"/>
      </w:pPr>
      <w:bookmarkStart w:id="1312" w:name="_Toc220490964"/>
      <w:r>
        <w:t>46.44.2 Revêtements de sols extérieurs - dalles en bois CCTB 01.02</w:t>
      </w:r>
      <w:bookmarkEnd w:id="1312"/>
    </w:p>
    <w:p w14:paraId="235FDD57" w14:textId="77777777" w:rsidR="00772179" w:rsidRDefault="00000000">
      <w:pPr>
        <w:pStyle w:val="Author-eSectionHeading6Numberless"/>
      </w:pPr>
      <w:bookmarkStart w:id="1313" w:name="_Toc220490965"/>
      <w:r>
        <w:t>46.44.2a Revêtements de sols extérieurs - dalles de bois massif</w:t>
      </w:r>
      <w:bookmarkEnd w:id="1313"/>
    </w:p>
    <w:p w14:paraId="2FBB1119" w14:textId="77777777" w:rsidR="00772179" w:rsidRDefault="00000000">
      <w:pPr>
        <w:pStyle w:val="Author-eSectionHeading3Numberless"/>
      </w:pPr>
      <w:bookmarkStart w:id="1314" w:name="_Toc220490966"/>
      <w:r>
        <w:t>46.5 Finitions diverses et accessoires CCTB 01.02</w:t>
      </w:r>
      <w:bookmarkEnd w:id="1314"/>
    </w:p>
    <w:p w14:paraId="368BB24A" w14:textId="77777777" w:rsidR="00772179" w:rsidRDefault="00000000">
      <w:pPr>
        <w:pStyle w:val="Author-eSectionHeading4Numberless"/>
      </w:pPr>
      <w:bookmarkStart w:id="1315" w:name="_Toc220490967"/>
      <w:r>
        <w:t>46.51 Réalisation de joints CCTB 01.02</w:t>
      </w:r>
      <w:bookmarkEnd w:id="1315"/>
    </w:p>
    <w:p w14:paraId="2843A24B" w14:textId="77777777" w:rsidR="00772179" w:rsidRDefault="00000000">
      <w:pPr>
        <w:pStyle w:val="Author-eSectionHeading5Numberless"/>
      </w:pPr>
      <w:bookmarkStart w:id="1316" w:name="_Toc220490968"/>
      <w:r>
        <w:t>46.51.1 Joints de tassement CCTB 01.02</w:t>
      </w:r>
      <w:bookmarkEnd w:id="1316"/>
    </w:p>
    <w:p w14:paraId="45B5CFD1" w14:textId="77777777" w:rsidR="00772179" w:rsidRDefault="00000000">
      <w:pPr>
        <w:pStyle w:val="Author-eSectionHeading6Numberless"/>
      </w:pPr>
      <w:bookmarkStart w:id="1317" w:name="_Toc220490969"/>
      <w:r>
        <w:t>46.51.1a Joints de tassement - réalisé in-situ CCTB 01.02</w:t>
      </w:r>
      <w:bookmarkEnd w:id="1317"/>
    </w:p>
    <w:p w14:paraId="6AF26415" w14:textId="77777777" w:rsidR="00772179" w:rsidRDefault="00000000">
      <w:pPr>
        <w:pStyle w:val="Author-eSectionHeading6Numberless"/>
      </w:pPr>
      <w:bookmarkStart w:id="1318" w:name="_Toc220490970"/>
      <w:r>
        <w:t>46.51.1b Joints de tassement - systèmes préfabriqués CCTB 01.02</w:t>
      </w:r>
      <w:bookmarkEnd w:id="1318"/>
    </w:p>
    <w:p w14:paraId="6FF66DB1" w14:textId="77777777" w:rsidR="00772179" w:rsidRDefault="00000000">
      <w:pPr>
        <w:pStyle w:val="Author-eSectionHeading5Numberless"/>
      </w:pPr>
      <w:bookmarkStart w:id="1319" w:name="_Toc220490971"/>
      <w:r>
        <w:t>46.51.2 Joints de dilatation CCTB 01.02</w:t>
      </w:r>
      <w:bookmarkEnd w:id="1319"/>
    </w:p>
    <w:p w14:paraId="5BDB0713" w14:textId="77777777" w:rsidR="00772179" w:rsidRDefault="00000000">
      <w:pPr>
        <w:pStyle w:val="Author-eSectionHeading6Numberless"/>
      </w:pPr>
      <w:bookmarkStart w:id="1320" w:name="_Toc220490972"/>
      <w:r>
        <w:t>46.51.2a Joints de dilatation - réalisé in-situ CCTB 01.02</w:t>
      </w:r>
      <w:bookmarkEnd w:id="1320"/>
    </w:p>
    <w:p w14:paraId="7CAB53C4" w14:textId="77777777" w:rsidR="00772179" w:rsidRDefault="00000000">
      <w:pPr>
        <w:pStyle w:val="Author-eSectionHeading6Numberless"/>
      </w:pPr>
      <w:bookmarkStart w:id="1321" w:name="_Toc220490973"/>
      <w:r>
        <w:lastRenderedPageBreak/>
        <w:t>46.51.2b Joints de dilatation - systèmes préfabriqués CCTB 01.02</w:t>
      </w:r>
      <w:bookmarkEnd w:id="1321"/>
    </w:p>
    <w:p w14:paraId="53B98DAC" w14:textId="77777777" w:rsidR="00772179" w:rsidRDefault="00000000">
      <w:pPr>
        <w:pStyle w:val="Author-eSectionHeading5Numberless"/>
      </w:pPr>
      <w:bookmarkStart w:id="1322" w:name="_Toc220490974"/>
      <w:r>
        <w:t>46.51.3 Joints de désolidarisation CCTB 01.02</w:t>
      </w:r>
      <w:bookmarkEnd w:id="1322"/>
    </w:p>
    <w:p w14:paraId="107CE8E9" w14:textId="77777777" w:rsidR="00772179" w:rsidRDefault="00000000">
      <w:pPr>
        <w:pStyle w:val="Author-eSectionHeading6Numberless"/>
      </w:pPr>
      <w:bookmarkStart w:id="1323" w:name="_Toc220490975"/>
      <w:r>
        <w:t>46.51.3a Joints de désolidarisation - réalisé in-situ CCTB 01.02</w:t>
      </w:r>
      <w:bookmarkEnd w:id="1323"/>
    </w:p>
    <w:p w14:paraId="22FFFBED" w14:textId="77777777" w:rsidR="00772179" w:rsidRDefault="00000000">
      <w:pPr>
        <w:pStyle w:val="Author-eSectionHeading6Numberless"/>
      </w:pPr>
      <w:bookmarkStart w:id="1324" w:name="_Toc220490976"/>
      <w:r>
        <w:t>46.51.3b Joints de désolidarisation - systèmes préfabriqués CCTB 01.02</w:t>
      </w:r>
      <w:bookmarkEnd w:id="1324"/>
    </w:p>
    <w:p w14:paraId="51707F4D" w14:textId="77777777" w:rsidR="00772179" w:rsidRDefault="00000000">
      <w:pPr>
        <w:pStyle w:val="Author-eSectionHeading4Numberless"/>
      </w:pPr>
      <w:bookmarkStart w:id="1325" w:name="_Toc220490977"/>
      <w:r>
        <w:t>46.52 Etanchéisation de joints CCTB 01.02</w:t>
      </w:r>
      <w:bookmarkEnd w:id="1325"/>
    </w:p>
    <w:p w14:paraId="63D07C65" w14:textId="77777777" w:rsidR="00772179" w:rsidRDefault="00000000">
      <w:pPr>
        <w:pStyle w:val="Author-eSectionHeading5Numberless"/>
      </w:pPr>
      <w:bookmarkStart w:id="1326" w:name="968"/>
      <w:bookmarkStart w:id="1327" w:name="_Toc220490978"/>
      <w:bookmarkEnd w:id="1326"/>
      <w:r>
        <w:t>46.52.1 Etanchéisation de joints</w:t>
      </w:r>
      <w:bookmarkEnd w:id="1327"/>
    </w:p>
    <w:p w14:paraId="50411D36" w14:textId="77777777" w:rsidR="00772179" w:rsidRDefault="00000000">
      <w:pPr>
        <w:pStyle w:val="Author-eSectionHeading6Numberless"/>
      </w:pPr>
      <w:bookmarkStart w:id="1328" w:name="_Toc220490979"/>
      <w:r>
        <w:t>46.52.1a Etanchéisation de joints des revêtements de sols extérieurs</w:t>
      </w:r>
      <w:bookmarkEnd w:id="1328"/>
    </w:p>
    <w:p w14:paraId="6D0A7762" w14:textId="77777777" w:rsidR="00772179" w:rsidRDefault="00000000">
      <w:pPr>
        <w:pStyle w:val="Author-eSectionHeading4Numberless"/>
      </w:pPr>
      <w:bookmarkStart w:id="1329" w:name="_Toc220490980"/>
      <w:r>
        <w:t>46.53 Finitions particulières de joints CCTB 01.02</w:t>
      </w:r>
      <w:bookmarkEnd w:id="1329"/>
    </w:p>
    <w:p w14:paraId="4592D17A" w14:textId="77777777" w:rsidR="00772179" w:rsidRDefault="00000000">
      <w:pPr>
        <w:pStyle w:val="Author-eSectionHeading5Numberless"/>
      </w:pPr>
      <w:bookmarkStart w:id="1330" w:name="_Toc220490981"/>
      <w:r>
        <w:t>46.53.1 Couvre-joints  CCTB 01.02</w:t>
      </w:r>
      <w:bookmarkEnd w:id="1330"/>
    </w:p>
    <w:p w14:paraId="2C7B1E4C" w14:textId="77777777" w:rsidR="00772179" w:rsidRDefault="00000000">
      <w:pPr>
        <w:pStyle w:val="Author-eSectionHeading6Numberless"/>
      </w:pPr>
      <w:bookmarkStart w:id="1331" w:name="_Toc220490982"/>
      <w:r>
        <w:t>46.53.1a Couvre-joints métallique CCTB 01.02</w:t>
      </w:r>
      <w:bookmarkEnd w:id="1331"/>
    </w:p>
    <w:p w14:paraId="0A460F72" w14:textId="77777777" w:rsidR="00772179" w:rsidRDefault="00000000">
      <w:pPr>
        <w:pStyle w:val="Author-eSectionHeading6Numberless"/>
      </w:pPr>
      <w:bookmarkStart w:id="1332" w:name="_Toc220490983"/>
      <w:r>
        <w:t>46.53.1b Couvre-joints synthétique CCTB 01.02</w:t>
      </w:r>
      <w:bookmarkEnd w:id="1332"/>
    </w:p>
    <w:p w14:paraId="3CCB46FB" w14:textId="77777777" w:rsidR="00772179" w:rsidRDefault="00000000">
      <w:pPr>
        <w:pStyle w:val="Author-eSectionHeading4Numberless"/>
      </w:pPr>
      <w:bookmarkStart w:id="1333" w:name="_Toc220490984"/>
      <w:r>
        <w:t>46.54 Joints au sol CCTB 01.02</w:t>
      </w:r>
      <w:bookmarkEnd w:id="1333"/>
    </w:p>
    <w:p w14:paraId="5D6ED85C" w14:textId="77777777" w:rsidR="00772179" w:rsidRDefault="00000000">
      <w:pPr>
        <w:pStyle w:val="Author-eSectionHeading5Numberless"/>
      </w:pPr>
      <w:bookmarkStart w:id="1334" w:name="_Toc220490985"/>
      <w:r>
        <w:t>46.54.1 Joints au sol en système CCTB 01.02</w:t>
      </w:r>
      <w:bookmarkEnd w:id="1334"/>
    </w:p>
    <w:p w14:paraId="006F1EB6" w14:textId="77777777" w:rsidR="00772179" w:rsidRDefault="00000000">
      <w:pPr>
        <w:pStyle w:val="Author-eSectionHeading6Numberless"/>
      </w:pPr>
      <w:bookmarkStart w:id="1335" w:name="_Toc220490986"/>
      <w:r>
        <w:t>46.54.1a Joints au sol en système - joints de structure CCTB 01.02</w:t>
      </w:r>
      <w:bookmarkEnd w:id="1335"/>
    </w:p>
    <w:p w14:paraId="41F9E510" w14:textId="77777777" w:rsidR="00772179" w:rsidRDefault="00000000">
      <w:pPr>
        <w:pStyle w:val="Author-eSectionHeading6Numberless"/>
      </w:pPr>
      <w:bookmarkStart w:id="1336" w:name="_Toc220490987"/>
      <w:r>
        <w:t>46.54.1b Joints au sol en système - joints de retrait CCTB 01.02</w:t>
      </w:r>
      <w:bookmarkEnd w:id="1336"/>
    </w:p>
    <w:p w14:paraId="2AD57274" w14:textId="77777777" w:rsidR="00772179" w:rsidRDefault="00000000">
      <w:pPr>
        <w:pStyle w:val="Author-eSectionHeading6Numberless"/>
      </w:pPr>
      <w:bookmarkStart w:id="1337" w:name="_Toc220490988"/>
      <w:r>
        <w:t>46.54.1c Joints au sol en système - joints de désolidarisation CCTB 01.02</w:t>
      </w:r>
      <w:bookmarkEnd w:id="1337"/>
    </w:p>
    <w:p w14:paraId="599490B3" w14:textId="77777777" w:rsidR="00772179" w:rsidRDefault="00000000">
      <w:pPr>
        <w:pStyle w:val="Author-eSectionHeading6Numberless"/>
      </w:pPr>
      <w:bookmarkStart w:id="1338" w:name="_Toc220490989"/>
      <w:r>
        <w:t>46.54.1d Joints au sol en système - joints de reprise CCTB 01.02</w:t>
      </w:r>
      <w:bookmarkEnd w:id="1338"/>
    </w:p>
    <w:p w14:paraId="33800496" w14:textId="77777777" w:rsidR="00772179" w:rsidRDefault="00000000">
      <w:pPr>
        <w:pStyle w:val="Author-eSectionHeading5Numberless"/>
      </w:pPr>
      <w:bookmarkStart w:id="1339" w:name="_Toc220490990"/>
      <w:r>
        <w:t>46.54.2 Etanchéisation de joints au sol CCTB 01.02</w:t>
      </w:r>
      <w:bookmarkEnd w:id="1339"/>
    </w:p>
    <w:p w14:paraId="513CB500" w14:textId="77777777" w:rsidR="00772179" w:rsidRDefault="00000000">
      <w:pPr>
        <w:pStyle w:val="Author-eSectionHeading6Numberless"/>
      </w:pPr>
      <w:bookmarkStart w:id="1340" w:name="_Toc220490991"/>
      <w:r>
        <w:t>46.54.2a Etanchéisation de joints au sol</w:t>
      </w:r>
      <w:bookmarkEnd w:id="1340"/>
    </w:p>
    <w:p w14:paraId="20F897EB" w14:textId="77777777" w:rsidR="00772179" w:rsidRDefault="00000000">
      <w:pPr>
        <w:pStyle w:val="Author-eSectionHeading4Numberless"/>
      </w:pPr>
      <w:bookmarkStart w:id="1341" w:name="_Toc220490992"/>
      <w:r>
        <w:t>46.55 Couvre-joints  CCTB 01.02</w:t>
      </w:r>
      <w:bookmarkEnd w:id="1341"/>
    </w:p>
    <w:p w14:paraId="7BE8E0D1" w14:textId="77777777" w:rsidR="00772179" w:rsidRDefault="00000000">
      <w:pPr>
        <w:pStyle w:val="Author-eSectionHeading5Numberless"/>
      </w:pPr>
      <w:bookmarkStart w:id="1342" w:name="_Toc220490993"/>
      <w:r>
        <w:t>46.55.1 Couvre-joints métalliques CCTB 01.02</w:t>
      </w:r>
      <w:bookmarkEnd w:id="1342"/>
    </w:p>
    <w:p w14:paraId="3005B8F3" w14:textId="77777777" w:rsidR="00772179" w:rsidRDefault="00000000">
      <w:pPr>
        <w:pStyle w:val="Author-eSectionHeading6Numberless"/>
      </w:pPr>
      <w:bookmarkStart w:id="1343" w:name="_Toc220490994"/>
      <w:r>
        <w:t>46.55.1a Couvre-joints métalliques</w:t>
      </w:r>
      <w:bookmarkEnd w:id="1343"/>
    </w:p>
    <w:p w14:paraId="6695020A" w14:textId="77777777" w:rsidR="00772179" w:rsidRDefault="00000000">
      <w:pPr>
        <w:pStyle w:val="Author-eSectionHeading5Numberless"/>
      </w:pPr>
      <w:bookmarkStart w:id="1344" w:name="_Toc220490995"/>
      <w:r>
        <w:t>46.55.2 Couvre-joints synthétiques CCTB 01.02</w:t>
      </w:r>
      <w:bookmarkEnd w:id="1344"/>
    </w:p>
    <w:p w14:paraId="7D7C2992" w14:textId="77777777" w:rsidR="00772179" w:rsidRDefault="00000000">
      <w:pPr>
        <w:pStyle w:val="Author-eSectionHeading6Numberless"/>
      </w:pPr>
      <w:bookmarkStart w:id="1345" w:name="_Toc220490996"/>
      <w:r>
        <w:t>46.55.2a Couvre-joints synthétiques</w:t>
      </w:r>
      <w:bookmarkEnd w:id="1345"/>
    </w:p>
    <w:p w14:paraId="1F53D47B" w14:textId="77777777" w:rsidR="00772179" w:rsidRDefault="00000000">
      <w:pPr>
        <w:pStyle w:val="Author-eSectionHeading4Numberless"/>
      </w:pPr>
      <w:bookmarkStart w:id="1346" w:name="_Toc220490997"/>
      <w:r>
        <w:t>46.56 Couvercles et grilles de sol CCTB 01.02</w:t>
      </w:r>
      <w:bookmarkEnd w:id="1346"/>
    </w:p>
    <w:p w14:paraId="6E0B31B2" w14:textId="77777777" w:rsidR="00772179" w:rsidRDefault="00000000">
      <w:pPr>
        <w:pStyle w:val="Author-eSectionHeading5Numberless"/>
      </w:pPr>
      <w:bookmarkStart w:id="1347" w:name="_Toc220490998"/>
      <w:r>
        <w:t>46.56.1 Couvercles de sol CCTB 01.11</w:t>
      </w:r>
      <w:bookmarkEnd w:id="1347"/>
    </w:p>
    <w:p w14:paraId="3E7E70A7" w14:textId="77777777" w:rsidR="00772179" w:rsidRDefault="00000000">
      <w:pPr>
        <w:pStyle w:val="pheading"/>
      </w:pPr>
      <w:r>
        <w:t>DESCRIPTION</w:t>
      </w:r>
    </w:p>
    <w:p w14:paraId="13B47B3B" w14:textId="77777777" w:rsidR="00772179" w:rsidRDefault="00000000">
      <w:pPr>
        <w:pStyle w:val="pheading"/>
      </w:pPr>
      <w:r>
        <w:t>- Définition / Comprend</w:t>
      </w:r>
    </w:p>
    <w:p w14:paraId="0DE841A1" w14:textId="77777777" w:rsidR="00772179" w:rsidRDefault="00000000">
      <w:r>
        <w:t>Il s'agit de cadres avec un couvercle amovible à intégrer dans le revêtement de sol à l'extérieur du bâtiment.</w:t>
      </w:r>
    </w:p>
    <w:p w14:paraId="222A83FF" w14:textId="77777777" w:rsidR="00772179" w:rsidRDefault="00000000">
      <w:pPr>
        <w:pStyle w:val="pheading"/>
      </w:pPr>
      <w:r>
        <w:t>MATÉRIAUX</w:t>
      </w:r>
    </w:p>
    <w:p w14:paraId="5416A48D" w14:textId="77777777" w:rsidR="00772179" w:rsidRDefault="00000000">
      <w:r>
        <w:t>Le couvercle de sol et le cadre sont fabriqués en :</w:t>
      </w:r>
    </w:p>
    <w:p w14:paraId="03B3AA0A" w14:textId="77777777" w:rsidR="00772179" w:rsidRDefault="00000000">
      <w:r>
        <w:rPr>
          <w:rStyle w:val="optioncarChar"/>
        </w:rPr>
        <w:t xml:space="preserve">fonte </w:t>
      </w:r>
      <w:r>
        <w:t xml:space="preserve">(par défaut) </w:t>
      </w:r>
      <w:r>
        <w:rPr>
          <w:rStyle w:val="optioncarChar"/>
        </w:rPr>
        <w:t>/ PVC / aluminium / acier inoxydable</w:t>
      </w:r>
    </w:p>
    <w:p w14:paraId="1E8EFBEE" w14:textId="77777777" w:rsidR="00772179" w:rsidRDefault="00000000">
      <w:pPr>
        <w:ind w:left="450"/>
      </w:pPr>
      <w:r>
        <w:rPr>
          <w:b/>
        </w:rPr>
        <w:lastRenderedPageBreak/>
        <w:t xml:space="preserve">(soit par défaut) : </w:t>
      </w:r>
      <w:r>
        <w:rPr>
          <w:rStyle w:val="soitChar"/>
          <w:u w:val="single"/>
        </w:rPr>
        <w:t xml:space="preserve">fonte </w:t>
      </w:r>
      <w:r>
        <w:rPr>
          <w:rStyle w:val="soitChar"/>
        </w:rPr>
        <w:t>ou en acier moulé et doivent répondre à la [NBN B 54-101]. Deux clés de levage sont livrées pour chaque couvercle. La fonte ou l'acier moulé sont débarrassés de toute rouille et sont enduits d'une couche de peinture au minium et, ensuite, de deux couches de peinture à base de résine alkyde. Coloris :</w:t>
      </w:r>
      <w:r>
        <w:rPr>
          <w:rStyle w:val="optioncarChar"/>
        </w:rPr>
        <w:t>***.</w:t>
      </w:r>
      <w:r>
        <w:t> </w:t>
      </w:r>
      <w:r>
        <w:rPr>
          <w:rStyle w:val="soitChar"/>
        </w:rPr>
        <w:t>La mise en peinture est comprise dans le prix unitaire.</w:t>
      </w:r>
    </w:p>
    <w:p w14:paraId="6E639913" w14:textId="77777777" w:rsidR="00772179" w:rsidRDefault="00000000">
      <w:pPr>
        <w:ind w:left="450"/>
      </w:pPr>
      <w:r>
        <w:rPr>
          <w:b/>
        </w:rPr>
        <w:t>(soit) :</w:t>
      </w:r>
      <w:r>
        <w:t>  </w:t>
      </w:r>
      <w:r>
        <w:rPr>
          <w:rStyle w:val="soitChar"/>
          <w:u w:val="single"/>
        </w:rPr>
        <w:t>PVC</w:t>
      </w:r>
      <w:r>
        <w:rPr>
          <w:rStyle w:val="soitChar"/>
        </w:rPr>
        <w:t xml:space="preserve">, </w:t>
      </w:r>
      <w:r>
        <w:rPr>
          <w:rStyle w:val="optioncarChar"/>
        </w:rPr>
        <w:t>***</w:t>
      </w:r>
    </w:p>
    <w:p w14:paraId="7DF44FE8" w14:textId="77777777" w:rsidR="00772179" w:rsidRDefault="00000000">
      <w:pPr>
        <w:ind w:left="450"/>
      </w:pPr>
      <w:r>
        <w:rPr>
          <w:b/>
        </w:rPr>
        <w:t>(soit) :</w:t>
      </w:r>
      <w:r>
        <w:t>  </w:t>
      </w:r>
      <w:r>
        <w:rPr>
          <w:rStyle w:val="soitChar"/>
          <w:u w:val="single"/>
        </w:rPr>
        <w:t>aluminium</w:t>
      </w:r>
      <w:r>
        <w:rPr>
          <w:rStyle w:val="soitChar"/>
        </w:rPr>
        <w:t xml:space="preserve">, </w:t>
      </w:r>
      <w:r>
        <w:rPr>
          <w:rStyle w:val="optioncarChar"/>
        </w:rPr>
        <w:t>***</w:t>
      </w:r>
    </w:p>
    <w:p w14:paraId="20AA679A" w14:textId="77777777" w:rsidR="00772179" w:rsidRDefault="00000000">
      <w:pPr>
        <w:ind w:left="450"/>
      </w:pPr>
      <w:r>
        <w:rPr>
          <w:b/>
        </w:rPr>
        <w:t>(soit) :</w:t>
      </w:r>
      <w:r>
        <w:t>  </w:t>
      </w:r>
      <w:r>
        <w:rPr>
          <w:rStyle w:val="soitChar"/>
          <w:u w:val="single"/>
        </w:rPr>
        <w:t>acier inoxydable</w:t>
      </w:r>
      <w:r>
        <w:rPr>
          <w:rStyle w:val="soitChar"/>
        </w:rPr>
        <w:t xml:space="preserve"> , </w:t>
      </w:r>
      <w:r>
        <w:rPr>
          <w:rStyle w:val="optioncarChar"/>
        </w:rPr>
        <w:t>***</w:t>
      </w:r>
    </w:p>
    <w:p w14:paraId="44553D36" w14:textId="77777777" w:rsidR="00772179" w:rsidRDefault="00000000">
      <w:r>
        <w:rPr>
          <w:color w:val="969696"/>
        </w:rPr>
        <w:t>Spécifications :</w:t>
      </w:r>
    </w:p>
    <w:p w14:paraId="151A1849" w14:textId="77777777" w:rsidR="00772179" w:rsidRDefault="00000000">
      <w:pPr>
        <w:pStyle w:val="Author-eListParagraph"/>
        <w:numPr>
          <w:ilvl w:val="0"/>
          <w:numId w:val="1230"/>
        </w:numPr>
      </w:pPr>
      <w:r>
        <w:t xml:space="preserve">Type : </w:t>
      </w:r>
      <w:r>
        <w:rPr>
          <w:rStyle w:val="optioncarChar"/>
        </w:rPr>
        <w:t>simple / couvercle à double fond</w:t>
      </w:r>
    </w:p>
    <w:p w14:paraId="25226FEE" w14:textId="77777777" w:rsidR="00772179" w:rsidRDefault="00000000">
      <w:pPr>
        <w:pStyle w:val="Author-eListParagraph"/>
        <w:numPr>
          <w:ilvl w:val="0"/>
          <w:numId w:val="1230"/>
        </w:numPr>
      </w:pPr>
      <w:r>
        <w:t xml:space="preserve">Classe de résistance </w:t>
      </w:r>
      <w:r>
        <w:rPr>
          <w:rStyle w:val="optioncarChar"/>
        </w:rPr>
        <w:t>: I (charge d'essai 15kN) / II (charge d'essai 60 kN) / III (charge d'essai plus de 100 kN) conformément aux STS 35</w:t>
      </w:r>
    </w:p>
    <w:p w14:paraId="352CB4E9" w14:textId="77777777" w:rsidR="00772179" w:rsidRDefault="00000000">
      <w:pPr>
        <w:pStyle w:val="Author-eListParagraph"/>
        <w:numPr>
          <w:ilvl w:val="0"/>
          <w:numId w:val="1230"/>
        </w:numPr>
      </w:pPr>
      <w:r>
        <w:t xml:space="preserve">Aspect : </w:t>
      </w:r>
      <w:r>
        <w:rPr>
          <w:rStyle w:val="optioncarChar"/>
        </w:rPr>
        <w:t>plein / légèrement rainuré avec une poignée / en creux destiné à être carrelé </w:t>
      </w:r>
    </w:p>
    <w:p w14:paraId="0F251202" w14:textId="77777777" w:rsidR="00772179" w:rsidRDefault="00000000">
      <w:pPr>
        <w:pStyle w:val="Author-eListParagraph"/>
        <w:numPr>
          <w:ilvl w:val="0"/>
          <w:numId w:val="1230"/>
        </w:numPr>
      </w:pPr>
      <w:r>
        <w:t xml:space="preserve">Dimensions extérieures de la margelle : </w:t>
      </w:r>
      <w:r>
        <w:rPr>
          <w:rStyle w:val="optioncarChar"/>
        </w:rPr>
        <w:t>15 x 15 / 20 x 20 / 30 x 30 / 400 x 400 / 600 x 600 </w:t>
      </w:r>
      <w:r>
        <w:t>mm.</w:t>
      </w:r>
    </w:p>
    <w:p w14:paraId="1C309585" w14:textId="77777777" w:rsidR="00772179" w:rsidRDefault="00000000">
      <w:pPr>
        <w:pStyle w:val="pheading"/>
      </w:pPr>
      <w:r>
        <w:t>EXÉCUTION / MISE EN ŒUVRE</w:t>
      </w:r>
    </w:p>
    <w:p w14:paraId="0EE4CB0A" w14:textId="77777777" w:rsidR="00772179" w:rsidRDefault="00000000">
      <w:r>
        <w:t>Les bords du cadre coïncident avec les joints des carreaux lorsque le format des carreaux le permet. Le cadre est encastré dans le revêtement de sol au niveau prescrit et fixé au mortier de ciment de la catégorie M2 selon la [NBN EN 998-2] et composé de 300 kg de ciment, de la classe de résistance 32,5 par m³ de sable sec, soit 1 part de ciment pour 4 parts de sable sec.</w:t>
      </w:r>
    </w:p>
    <w:p w14:paraId="7A4DE930" w14:textId="77777777" w:rsidR="00772179" w:rsidRDefault="00000000">
      <w:pPr>
        <w:pStyle w:val="Author-eSectionHeading6Numberless"/>
      </w:pPr>
      <w:bookmarkStart w:id="1348" w:name="_Toc220490999"/>
      <w:r>
        <w:t>46.56.1a Couvercles de sol métalliques CCTB 01.02</w:t>
      </w:r>
      <w:bookmarkEnd w:id="1348"/>
    </w:p>
    <w:p w14:paraId="19F7DD3C" w14:textId="77777777" w:rsidR="00772179" w:rsidRDefault="00000000">
      <w:pPr>
        <w:pStyle w:val="pheading"/>
      </w:pPr>
      <w:r>
        <w:t>MESURAGE</w:t>
      </w:r>
    </w:p>
    <w:p w14:paraId="54EF17F1" w14:textId="77777777" w:rsidR="00772179" w:rsidRDefault="00000000">
      <w:pPr>
        <w:pStyle w:val="pheading"/>
      </w:pPr>
      <w:r>
        <w:t>- unité de mesure:</w:t>
      </w:r>
    </w:p>
    <w:p w14:paraId="73766DE3" w14:textId="77777777" w:rsidR="00772179" w:rsidRDefault="00000000">
      <w:r>
        <w:t>pc</w:t>
      </w:r>
    </w:p>
    <w:p w14:paraId="2162888A" w14:textId="77777777" w:rsidR="00772179" w:rsidRDefault="00000000">
      <w:pPr>
        <w:pStyle w:val="pheading"/>
      </w:pPr>
      <w:r>
        <w:t>- code de mesurage:</w:t>
      </w:r>
    </w:p>
    <w:p w14:paraId="5C1CDF56" w14:textId="77777777" w:rsidR="00772179" w:rsidRDefault="00000000">
      <w:r>
        <w:t>Selon le type et les dimensions</w:t>
      </w:r>
    </w:p>
    <w:p w14:paraId="5AB0D1D7" w14:textId="77777777" w:rsidR="00772179" w:rsidRDefault="00000000">
      <w:pPr>
        <w:pStyle w:val="pheading"/>
      </w:pPr>
      <w:r>
        <w:t>- nature du marché:</w:t>
      </w:r>
    </w:p>
    <w:p w14:paraId="4C6EF8A6" w14:textId="77777777" w:rsidR="00772179" w:rsidRDefault="00000000">
      <w:r>
        <w:t>QF</w:t>
      </w:r>
    </w:p>
    <w:p w14:paraId="5845E673" w14:textId="77777777" w:rsidR="00772179" w:rsidRDefault="00000000">
      <w:pPr>
        <w:pStyle w:val="Author-eSectionHeading6Numberless"/>
      </w:pPr>
      <w:bookmarkStart w:id="1349" w:name="_Toc220491000"/>
      <w:r>
        <w:t>46.56.1b Couvercles de sol matériau synthétique CCTB 01.02</w:t>
      </w:r>
      <w:bookmarkEnd w:id="1349"/>
    </w:p>
    <w:p w14:paraId="0CA6A412" w14:textId="77777777" w:rsidR="00772179" w:rsidRDefault="00000000">
      <w:pPr>
        <w:pStyle w:val="pheading"/>
      </w:pPr>
      <w:r>
        <w:t>MESURAGE</w:t>
      </w:r>
    </w:p>
    <w:p w14:paraId="6FF0F54B" w14:textId="77777777" w:rsidR="00772179" w:rsidRDefault="00000000">
      <w:pPr>
        <w:pStyle w:val="pheading"/>
      </w:pPr>
      <w:r>
        <w:t>- unité de mesure:</w:t>
      </w:r>
    </w:p>
    <w:p w14:paraId="09FF2547" w14:textId="77777777" w:rsidR="00772179" w:rsidRDefault="00000000">
      <w:r>
        <w:t>pc</w:t>
      </w:r>
    </w:p>
    <w:p w14:paraId="1C45BEFB" w14:textId="77777777" w:rsidR="00772179" w:rsidRDefault="00000000">
      <w:pPr>
        <w:pStyle w:val="pheading"/>
      </w:pPr>
      <w:r>
        <w:t>- code de mesurage:</w:t>
      </w:r>
    </w:p>
    <w:p w14:paraId="3ABC60C6" w14:textId="77777777" w:rsidR="00772179" w:rsidRDefault="00000000">
      <w:r>
        <w:t>Selon le type et les dimensions</w:t>
      </w:r>
    </w:p>
    <w:p w14:paraId="67D9719B" w14:textId="77777777" w:rsidR="00772179" w:rsidRDefault="00000000">
      <w:pPr>
        <w:pStyle w:val="pheading"/>
      </w:pPr>
      <w:r>
        <w:t>- nature du marché:</w:t>
      </w:r>
    </w:p>
    <w:p w14:paraId="1BE833CF" w14:textId="77777777" w:rsidR="00772179" w:rsidRDefault="00000000">
      <w:r>
        <w:t>QF</w:t>
      </w:r>
    </w:p>
    <w:p w14:paraId="36184046" w14:textId="77777777" w:rsidR="00772179" w:rsidRDefault="00000000">
      <w:pPr>
        <w:pStyle w:val="Author-eSectionHeading6Numberless"/>
      </w:pPr>
      <w:bookmarkStart w:id="1350" w:name="_Toc220491001"/>
      <w:r>
        <w:t>46.56.1c Couvercles à carreler CCTB 01.02</w:t>
      </w:r>
      <w:bookmarkEnd w:id="1350"/>
    </w:p>
    <w:p w14:paraId="5B66A07C" w14:textId="77777777" w:rsidR="00772179" w:rsidRDefault="00000000">
      <w:pPr>
        <w:pStyle w:val="pheading"/>
      </w:pPr>
      <w:r>
        <w:t>MESURAGE</w:t>
      </w:r>
    </w:p>
    <w:p w14:paraId="0B2793D6" w14:textId="77777777" w:rsidR="00772179" w:rsidRDefault="00000000">
      <w:pPr>
        <w:pStyle w:val="pheading"/>
      </w:pPr>
      <w:r>
        <w:t>- unité de mesure:</w:t>
      </w:r>
    </w:p>
    <w:p w14:paraId="085F239B" w14:textId="77777777" w:rsidR="00772179" w:rsidRDefault="00000000">
      <w:r>
        <w:t>pc</w:t>
      </w:r>
    </w:p>
    <w:p w14:paraId="44E5A0E3" w14:textId="77777777" w:rsidR="00772179" w:rsidRDefault="00000000">
      <w:pPr>
        <w:pStyle w:val="pheading"/>
      </w:pPr>
      <w:r>
        <w:t>- code de mesurage:</w:t>
      </w:r>
    </w:p>
    <w:p w14:paraId="385A0B6B" w14:textId="77777777" w:rsidR="00772179" w:rsidRDefault="00000000">
      <w:r>
        <w:lastRenderedPageBreak/>
        <w:t>Selon le type et les dimensions</w:t>
      </w:r>
    </w:p>
    <w:p w14:paraId="7174D160" w14:textId="77777777" w:rsidR="00772179" w:rsidRDefault="00000000">
      <w:pPr>
        <w:pStyle w:val="pheading"/>
      </w:pPr>
      <w:r>
        <w:t>- nature du marché:</w:t>
      </w:r>
    </w:p>
    <w:p w14:paraId="299130FC" w14:textId="77777777" w:rsidR="00772179" w:rsidRDefault="00000000">
      <w:r>
        <w:t>QF</w:t>
      </w:r>
    </w:p>
    <w:p w14:paraId="4210F69C" w14:textId="77777777" w:rsidR="00772179" w:rsidRDefault="00000000">
      <w:pPr>
        <w:pStyle w:val="Author-eSectionHeading5Numberless"/>
      </w:pPr>
      <w:bookmarkStart w:id="1351" w:name="_Toc220491002"/>
      <w:r>
        <w:t>46.56.2 Grilles de sol CCTB 01.11</w:t>
      </w:r>
      <w:bookmarkEnd w:id="1351"/>
    </w:p>
    <w:p w14:paraId="1FD187F4" w14:textId="77777777" w:rsidR="00772179" w:rsidRDefault="00000000">
      <w:pPr>
        <w:pStyle w:val="pheading"/>
      </w:pPr>
      <w:bookmarkStart w:id="1352" w:name="1495"/>
      <w:bookmarkEnd w:id="1352"/>
      <w:r>
        <w:t>DESCRIPTION</w:t>
      </w:r>
    </w:p>
    <w:p w14:paraId="445967D8" w14:textId="77777777" w:rsidR="00772179" w:rsidRDefault="00000000">
      <w:pPr>
        <w:pStyle w:val="pheading"/>
      </w:pPr>
      <w:r>
        <w:t>- Définition / Comprend</w:t>
      </w:r>
    </w:p>
    <w:p w14:paraId="34F198E5" w14:textId="77777777" w:rsidR="00772179" w:rsidRDefault="00000000">
      <w:r>
        <w:t>Il s'agit de châssis avec une grille amovible, autres que celle sur les fosses d'égout, à encastrer dans le revêtement de sol extérieur. Les grilles de sol sont livrées non traitées sur le chantier.</w:t>
      </w:r>
    </w:p>
    <w:p w14:paraId="33835159" w14:textId="77777777" w:rsidR="00772179" w:rsidRDefault="00000000">
      <w:pPr>
        <w:pStyle w:val="pheading"/>
      </w:pPr>
      <w:r>
        <w:t>MATÉRIAUX</w:t>
      </w:r>
    </w:p>
    <w:p w14:paraId="4FD49A19" w14:textId="77777777" w:rsidR="00772179" w:rsidRDefault="00000000">
      <w:r>
        <w:t>La grille et sont cadre sont fabriqués en :</w:t>
      </w:r>
    </w:p>
    <w:p w14:paraId="2A2897F6" w14:textId="77777777" w:rsidR="00772179" w:rsidRDefault="00000000">
      <w:r>
        <w:rPr>
          <w:rStyle w:val="optioncarChar"/>
        </w:rPr>
        <w:t>fonte </w:t>
      </w:r>
      <w:r>
        <w:t>(par défaut) </w:t>
      </w:r>
      <w:r>
        <w:rPr>
          <w:rStyle w:val="optioncarChar"/>
        </w:rPr>
        <w:t>/ PVC / aluminium / acier inoxydable</w:t>
      </w:r>
    </w:p>
    <w:p w14:paraId="725A7AE7" w14:textId="77777777" w:rsidR="00772179" w:rsidRDefault="00000000">
      <w:pPr>
        <w:ind w:left="454"/>
      </w:pPr>
      <w:r>
        <w:rPr>
          <w:b/>
        </w:rPr>
        <w:t>(soit par défaut): </w:t>
      </w:r>
      <w:r>
        <w:rPr>
          <w:rStyle w:val="soitChar"/>
          <w:u w:val="single"/>
        </w:rPr>
        <w:t>fonte </w:t>
      </w:r>
      <w:r>
        <w:rPr>
          <w:rStyle w:val="soitChar"/>
        </w:rPr>
        <w:t>ou en acier moulé et doivent répondre à la [NBN B 54-101]. Deux clés de levage sont livrées pour chaque couvercle. La fonte ou l'acier moulé sont débarrassés de toute rouille et sont enduits d'une couche de peinture au minium et, ensuite, de deux couches de peinture à base de résine alkyde. Coloris :</w:t>
      </w:r>
      <w:r>
        <w:t> </w:t>
      </w:r>
      <w:r>
        <w:rPr>
          <w:rStyle w:val="optioncarChar"/>
        </w:rPr>
        <w:t>***.</w:t>
      </w:r>
      <w:r>
        <w:t> </w:t>
      </w:r>
      <w:r>
        <w:rPr>
          <w:rStyle w:val="soitChar"/>
        </w:rPr>
        <w:t>La mise en peinture est comprise dans le prix unitaire.</w:t>
      </w:r>
    </w:p>
    <w:p w14:paraId="1429D526" w14:textId="77777777" w:rsidR="00772179" w:rsidRDefault="00000000">
      <w:pPr>
        <w:ind w:left="454"/>
      </w:pPr>
      <w:r>
        <w:rPr>
          <w:b/>
        </w:rPr>
        <w:t>(soit) :</w:t>
      </w:r>
      <w:r>
        <w:t> </w:t>
      </w:r>
      <w:r>
        <w:rPr>
          <w:rStyle w:val="soitChar"/>
          <w:u w:val="single"/>
        </w:rPr>
        <w:t>PVC</w:t>
      </w:r>
      <w:r>
        <w:rPr>
          <w:rStyle w:val="soitChar"/>
        </w:rPr>
        <w:t>, </w:t>
      </w:r>
      <w:r>
        <w:rPr>
          <w:rStyle w:val="optioncarChar"/>
        </w:rPr>
        <w:t>***</w:t>
      </w:r>
    </w:p>
    <w:p w14:paraId="23E2D591" w14:textId="77777777" w:rsidR="00772179" w:rsidRDefault="00000000">
      <w:pPr>
        <w:ind w:left="454"/>
      </w:pPr>
      <w:r>
        <w:rPr>
          <w:b/>
        </w:rPr>
        <w:t>(soit) :</w:t>
      </w:r>
      <w:r>
        <w:t> </w:t>
      </w:r>
      <w:r>
        <w:rPr>
          <w:rStyle w:val="soitChar"/>
          <w:u w:val="single"/>
        </w:rPr>
        <w:t>aluminium</w:t>
      </w:r>
      <w:r>
        <w:rPr>
          <w:rStyle w:val="soitChar"/>
        </w:rPr>
        <w:t>, </w:t>
      </w:r>
      <w:r>
        <w:rPr>
          <w:rStyle w:val="optioncarChar"/>
        </w:rPr>
        <w:t>***</w:t>
      </w:r>
    </w:p>
    <w:p w14:paraId="5027EF72" w14:textId="77777777" w:rsidR="00772179" w:rsidRDefault="00000000">
      <w:pPr>
        <w:ind w:left="454"/>
      </w:pPr>
      <w:r>
        <w:rPr>
          <w:b/>
        </w:rPr>
        <w:t>(soit) :</w:t>
      </w:r>
      <w:r>
        <w:t> </w:t>
      </w:r>
      <w:r>
        <w:rPr>
          <w:rStyle w:val="soitChar"/>
          <w:u w:val="single"/>
        </w:rPr>
        <w:t>acier inoxydable</w:t>
      </w:r>
      <w:r>
        <w:rPr>
          <w:rStyle w:val="soitChar"/>
        </w:rPr>
        <w:t>, </w:t>
      </w:r>
      <w:r>
        <w:rPr>
          <w:rStyle w:val="optioncarChar"/>
        </w:rPr>
        <w:t>***</w:t>
      </w:r>
    </w:p>
    <w:p w14:paraId="2719C51A" w14:textId="77777777" w:rsidR="00772179" w:rsidRDefault="00000000">
      <w:r>
        <w:rPr>
          <w:color w:val="969696"/>
        </w:rPr>
        <w:t>Spécifications :</w:t>
      </w:r>
    </w:p>
    <w:p w14:paraId="22AB445F" w14:textId="77777777" w:rsidR="00772179" w:rsidRDefault="00000000">
      <w:pPr>
        <w:pStyle w:val="Author-eListParagraph"/>
        <w:numPr>
          <w:ilvl w:val="0"/>
          <w:numId w:val="1231"/>
        </w:numPr>
      </w:pPr>
      <w:r>
        <w:t>Classe de résistance :</w:t>
      </w:r>
      <w:r>
        <w:rPr>
          <w:rStyle w:val="optioncarChar"/>
        </w:rPr>
        <w:t xml:space="preserve"> Ia (charge d'essai 15 kN) / II (charge d'essai 60 kN) / III (charge d'essai supérieure à 100 kN).</w:t>
      </w:r>
    </w:p>
    <w:p w14:paraId="1F6AC6C2" w14:textId="77777777" w:rsidR="00772179" w:rsidRDefault="00000000">
      <w:pPr>
        <w:pStyle w:val="Author-eListParagraph"/>
        <w:numPr>
          <w:ilvl w:val="0"/>
          <w:numId w:val="1231"/>
        </w:numPr>
      </w:pPr>
      <w:r>
        <w:t xml:space="preserve">Aspect : </w:t>
      </w:r>
      <w:r>
        <w:rPr>
          <w:rStyle w:val="optioncarChar"/>
        </w:rPr>
        <w:t>plein / légèrement rainuré avec poignée / en creux pour être carrelé </w:t>
      </w:r>
    </w:p>
    <w:p w14:paraId="5E57B693" w14:textId="77777777" w:rsidR="00772179" w:rsidRDefault="00000000">
      <w:pPr>
        <w:pStyle w:val="Author-eListParagraph"/>
        <w:numPr>
          <w:ilvl w:val="0"/>
          <w:numId w:val="1231"/>
        </w:numPr>
      </w:pPr>
      <w:r>
        <w:t xml:space="preserve">Dimensions extérieures du cadre : </w:t>
      </w:r>
      <w:r>
        <w:rPr>
          <w:rStyle w:val="optioncarChar"/>
        </w:rPr>
        <w:t xml:space="preserve">20 x 20 / 300 x 300 / 400 x 400 / 500 x 500 </w:t>
      </w:r>
      <w:r>
        <w:t>mm.</w:t>
      </w:r>
    </w:p>
    <w:p w14:paraId="660404C9" w14:textId="77777777" w:rsidR="00772179" w:rsidRDefault="00000000">
      <w:pPr>
        <w:pStyle w:val="pheading"/>
      </w:pPr>
      <w:r>
        <w:t>EXÉCUTION / MISE EN ŒUVRE</w:t>
      </w:r>
    </w:p>
    <w:p w14:paraId="433875A0" w14:textId="77777777" w:rsidR="00772179" w:rsidRDefault="00000000">
      <w:r>
        <w:t>Les bords du cadre doivent coïncider avec les joints des carreaux lorsque le format des carreaux le permet. Le cadre est encastré dans le revêtement de sol au niveau prescrit et fixé au mortier de ciment de la catégorie M2 selon la [NBN EN 998-2] et composé de 300 kg de ciment, de la classe de résistance 32,5 par m3 de sable sec, soit 1 part de ciment pour 4 parts de sable sec.</w:t>
      </w:r>
    </w:p>
    <w:p w14:paraId="68055676" w14:textId="77777777" w:rsidR="00772179" w:rsidRDefault="00000000">
      <w:pPr>
        <w:pStyle w:val="Author-eSectionHeading6Numberless"/>
      </w:pPr>
      <w:bookmarkStart w:id="1353" w:name="_Toc220491003"/>
      <w:r>
        <w:t>46.56.2a Grilles de sol métalliques CCTB 01.02</w:t>
      </w:r>
      <w:bookmarkEnd w:id="1353"/>
    </w:p>
    <w:p w14:paraId="2FD2D6D1" w14:textId="77777777" w:rsidR="00772179" w:rsidRDefault="00000000">
      <w:pPr>
        <w:pStyle w:val="pheading"/>
      </w:pPr>
      <w:r>
        <w:t>MESURAGE</w:t>
      </w:r>
    </w:p>
    <w:p w14:paraId="4687E39F" w14:textId="77777777" w:rsidR="00772179" w:rsidRDefault="00000000">
      <w:pPr>
        <w:pStyle w:val="pheading"/>
      </w:pPr>
      <w:r>
        <w:t>- unité de mesure:</w:t>
      </w:r>
    </w:p>
    <w:p w14:paraId="6634207A" w14:textId="77777777" w:rsidR="00772179" w:rsidRDefault="00000000">
      <w:r>
        <w:t>pc</w:t>
      </w:r>
    </w:p>
    <w:p w14:paraId="78CEE0BA" w14:textId="77777777" w:rsidR="00772179" w:rsidRDefault="00000000">
      <w:pPr>
        <w:pStyle w:val="pheading"/>
      </w:pPr>
      <w:r>
        <w:t>- code de mesurage:</w:t>
      </w:r>
    </w:p>
    <w:p w14:paraId="33903BCD" w14:textId="77777777" w:rsidR="00772179" w:rsidRDefault="00000000">
      <w:r>
        <w:t>Selon le type et les dimensions</w:t>
      </w:r>
    </w:p>
    <w:p w14:paraId="3F53079B" w14:textId="77777777" w:rsidR="00772179" w:rsidRDefault="00000000">
      <w:pPr>
        <w:pStyle w:val="pheading"/>
      </w:pPr>
      <w:r>
        <w:t>- nature du marché:</w:t>
      </w:r>
    </w:p>
    <w:p w14:paraId="6F57A0DE" w14:textId="77777777" w:rsidR="00772179" w:rsidRDefault="00000000">
      <w:r>
        <w:t>QF</w:t>
      </w:r>
    </w:p>
    <w:p w14:paraId="0FC36381" w14:textId="77777777" w:rsidR="00772179" w:rsidRDefault="00000000">
      <w:pPr>
        <w:pStyle w:val="Author-eSectionHeading6Numberless"/>
      </w:pPr>
      <w:bookmarkStart w:id="1354" w:name="_Toc220491004"/>
      <w:r>
        <w:t>46.56.2b Grilles de sol matériau synthétique CCTB 01.02</w:t>
      </w:r>
      <w:bookmarkEnd w:id="1354"/>
    </w:p>
    <w:p w14:paraId="55CD1345" w14:textId="77777777" w:rsidR="00772179" w:rsidRDefault="00000000">
      <w:pPr>
        <w:pStyle w:val="pheading"/>
      </w:pPr>
      <w:r>
        <w:t>MESURAGE</w:t>
      </w:r>
    </w:p>
    <w:p w14:paraId="37691BE1" w14:textId="77777777" w:rsidR="00772179" w:rsidRDefault="00000000">
      <w:pPr>
        <w:pStyle w:val="pheading"/>
      </w:pPr>
      <w:r>
        <w:t>- unité de mesure:</w:t>
      </w:r>
    </w:p>
    <w:p w14:paraId="565F4A19" w14:textId="77777777" w:rsidR="00772179" w:rsidRDefault="00000000">
      <w:r>
        <w:t>pc</w:t>
      </w:r>
    </w:p>
    <w:p w14:paraId="20AA863D" w14:textId="77777777" w:rsidR="00772179" w:rsidRDefault="00000000">
      <w:pPr>
        <w:pStyle w:val="pheading"/>
      </w:pPr>
      <w:r>
        <w:lastRenderedPageBreak/>
        <w:t>- code de mesurage:</w:t>
      </w:r>
    </w:p>
    <w:p w14:paraId="48EC8DE1" w14:textId="77777777" w:rsidR="00772179" w:rsidRDefault="00000000">
      <w:r>
        <w:t>Selon le type et les dimensions</w:t>
      </w:r>
    </w:p>
    <w:p w14:paraId="360BC1A9" w14:textId="77777777" w:rsidR="00772179" w:rsidRDefault="00000000">
      <w:pPr>
        <w:pStyle w:val="pheading"/>
      </w:pPr>
      <w:r>
        <w:t>- nature du marché:</w:t>
      </w:r>
    </w:p>
    <w:p w14:paraId="7C1150D3" w14:textId="77777777" w:rsidR="00772179" w:rsidRDefault="00000000">
      <w:r>
        <w:t>QF</w:t>
      </w:r>
    </w:p>
    <w:p w14:paraId="3F56A617" w14:textId="77777777" w:rsidR="00772179" w:rsidRDefault="00000000">
      <w:pPr>
        <w:pStyle w:val="Author-eSectionHeading3Numberless"/>
      </w:pPr>
      <w:bookmarkStart w:id="1355" w:name="_Toc220491005"/>
      <w:r>
        <w:t>46.6 - CCTB 01.02</w:t>
      </w:r>
      <w:bookmarkEnd w:id="1355"/>
    </w:p>
    <w:p w14:paraId="7A2E8882" w14:textId="77777777" w:rsidR="00772179" w:rsidRDefault="00000000">
      <w:pPr>
        <w:pStyle w:val="Author-eSectionHeading3Numberless"/>
      </w:pPr>
      <w:bookmarkStart w:id="1356" w:name="_Toc220491006"/>
      <w:r>
        <w:t>46.7 - CCTB 01.02</w:t>
      </w:r>
      <w:bookmarkEnd w:id="1356"/>
    </w:p>
    <w:p w14:paraId="6637E05B" w14:textId="77777777" w:rsidR="00772179" w:rsidRDefault="00000000">
      <w:pPr>
        <w:pStyle w:val="Author-eSectionHeading3Numberless"/>
      </w:pPr>
      <w:bookmarkStart w:id="1357" w:name="_Toc220491007"/>
      <w:r>
        <w:t>46.8 Chapes et revêtements de sols extérieurs - Rénovation CCTB 01.02</w:t>
      </w:r>
      <w:bookmarkEnd w:id="1357"/>
    </w:p>
    <w:p w14:paraId="08A6EA17" w14:textId="77777777" w:rsidR="00772179" w:rsidRDefault="00000000">
      <w:pPr>
        <w:pStyle w:val="Author-eSectionHeading2Numberless"/>
      </w:pPr>
      <w:bookmarkStart w:id="1358" w:name="_Toc220491008"/>
      <w:r>
        <w:t>47 Ferronnerie d'art</w:t>
      </w:r>
      <w:bookmarkEnd w:id="1358"/>
    </w:p>
    <w:p w14:paraId="066F1E78" w14:textId="77777777" w:rsidR="00772179" w:rsidRDefault="00000000">
      <w:pPr>
        <w:pStyle w:val="Author-eSectionHeading3Numberless"/>
      </w:pPr>
      <w:bookmarkStart w:id="1359" w:name="_Toc220491009"/>
      <w:r>
        <w:t>47.1 Ferronnerie d'art - grilles fixes</w:t>
      </w:r>
      <w:bookmarkEnd w:id="1359"/>
    </w:p>
    <w:p w14:paraId="6FF09837" w14:textId="77777777" w:rsidR="00772179" w:rsidRDefault="00000000">
      <w:pPr>
        <w:pStyle w:val="Author-eSectionHeading4Numberless"/>
      </w:pPr>
      <w:bookmarkStart w:id="1360" w:name="_Toc220491010"/>
      <w:r>
        <w:t>47.11 Ferronnerie d'art - grilles fixes - en fer forgé</w:t>
      </w:r>
      <w:bookmarkEnd w:id="1360"/>
    </w:p>
    <w:p w14:paraId="7C0C5FC7" w14:textId="77777777" w:rsidR="00772179" w:rsidRDefault="00000000">
      <w:pPr>
        <w:pStyle w:val="Author-eSectionHeading3Numberless"/>
      </w:pPr>
      <w:bookmarkStart w:id="1361" w:name="_Toc220491011"/>
      <w:r>
        <w:t>47.2 Ferronnerie d'art - grilles ouvrantes</w:t>
      </w:r>
      <w:bookmarkEnd w:id="1361"/>
    </w:p>
    <w:p w14:paraId="01C3416B" w14:textId="77777777" w:rsidR="00772179" w:rsidRDefault="00000000">
      <w:pPr>
        <w:pStyle w:val="Author-eSectionHeading4Numberless"/>
      </w:pPr>
      <w:bookmarkStart w:id="1362" w:name="_Toc220491012"/>
      <w:r>
        <w:t>47.21 Ferronnerie d'art - grilles ouvrantes - en fer forgé</w:t>
      </w:r>
      <w:bookmarkEnd w:id="1362"/>
    </w:p>
    <w:p w14:paraId="3AB15D8B" w14:textId="77777777" w:rsidR="00772179" w:rsidRDefault="00000000">
      <w:pPr>
        <w:pStyle w:val="Author-eSectionHeading3Numberless"/>
      </w:pPr>
      <w:bookmarkStart w:id="1363" w:name="_Toc220491013"/>
      <w:r>
        <w:t>47.3 Ferronnerie d'art - barreaux</w:t>
      </w:r>
      <w:bookmarkEnd w:id="1363"/>
    </w:p>
    <w:p w14:paraId="415E75C4" w14:textId="77777777" w:rsidR="00772179" w:rsidRDefault="00000000">
      <w:pPr>
        <w:pStyle w:val="Author-eSectionHeading3Numberless"/>
      </w:pPr>
      <w:bookmarkStart w:id="1364" w:name="_Toc220491014"/>
      <w:r>
        <w:t>47.4 Ferronnerie d'art - garde-corps CCTB 01.10</w:t>
      </w:r>
      <w:bookmarkEnd w:id="1364"/>
    </w:p>
    <w:p w14:paraId="5FD8A9A2" w14:textId="77777777" w:rsidR="00772179" w:rsidRDefault="00000000">
      <w:pPr>
        <w:pStyle w:val="pheading"/>
      </w:pPr>
      <w:r>
        <w:t>DOCUMENTS DE RÉFÉRENCE</w:t>
      </w:r>
    </w:p>
    <w:p w14:paraId="15F085FE" w14:textId="77777777" w:rsidR="00772179" w:rsidRDefault="00000000">
      <w:pPr>
        <w:pStyle w:val="pheading"/>
      </w:pPr>
      <w:r>
        <w:t>- Matériau</w:t>
      </w:r>
    </w:p>
    <w:p w14:paraId="47512875" w14:textId="77777777" w:rsidR="00772179" w:rsidRDefault="00000000">
      <w:r>
        <w:t>[CCT Qualiroutes QR-J-2, QUALIROUTES – J – 2 Exécution des structures en acier Spécifications techniques : applicable pour garde-corps, charpente métallique, …..]</w:t>
      </w:r>
    </w:p>
    <w:p w14:paraId="0F89D96A" w14:textId="77777777" w:rsidR="00772179" w:rsidRDefault="00000000">
      <w:pPr>
        <w:pStyle w:val="pheading"/>
      </w:pPr>
      <w:r>
        <w:t>- Exécution</w:t>
      </w:r>
    </w:p>
    <w:p w14:paraId="366660DF" w14:textId="77777777" w:rsidR="00772179" w:rsidRDefault="00000000">
      <w:r>
        <w:t>[CCT Qualiroutes QR-J-2, QUALIROUTES – J – 2 Exécution des structures en acier Spécifications techniques : applicable pour garde-corps, charpente métallique, …..]</w:t>
      </w:r>
    </w:p>
    <w:p w14:paraId="109F08AE" w14:textId="77777777" w:rsidR="00772179" w:rsidRDefault="00000000">
      <w:pPr>
        <w:pStyle w:val="Author-eSectionHeading3Numberless"/>
      </w:pPr>
      <w:bookmarkStart w:id="1365" w:name="_Toc220491015"/>
      <w:r>
        <w:t>47.5 -</w:t>
      </w:r>
      <w:bookmarkEnd w:id="1365"/>
    </w:p>
    <w:p w14:paraId="401CC17E" w14:textId="77777777" w:rsidR="00772179" w:rsidRDefault="00000000">
      <w:pPr>
        <w:pStyle w:val="Author-eSectionHeading3Numberless"/>
      </w:pPr>
      <w:bookmarkStart w:id="1366" w:name="_Toc220491016"/>
      <w:r>
        <w:t>47.6 -</w:t>
      </w:r>
      <w:bookmarkEnd w:id="1366"/>
    </w:p>
    <w:p w14:paraId="2A37E726" w14:textId="77777777" w:rsidR="00772179" w:rsidRDefault="00000000">
      <w:pPr>
        <w:pStyle w:val="Author-eSectionHeading3Numberless"/>
      </w:pPr>
      <w:bookmarkStart w:id="1367" w:name="_Toc220491017"/>
      <w:r>
        <w:t>47.7 -</w:t>
      </w:r>
      <w:bookmarkEnd w:id="1367"/>
    </w:p>
    <w:p w14:paraId="3DAB779E" w14:textId="77777777" w:rsidR="00772179" w:rsidRDefault="00000000">
      <w:pPr>
        <w:pStyle w:val="Author-eSectionHeading3Numberless"/>
      </w:pPr>
      <w:bookmarkStart w:id="1368" w:name="_Toc220491018"/>
      <w:r>
        <w:t>47.8 Ferronnerie d'art - rénovation</w:t>
      </w:r>
      <w:bookmarkEnd w:id="1368"/>
    </w:p>
    <w:p w14:paraId="7618C7EE" w14:textId="77777777" w:rsidR="00772179" w:rsidRDefault="00000000">
      <w:pPr>
        <w:pStyle w:val="Author-eSectionHeading2Numberless"/>
      </w:pPr>
      <w:bookmarkStart w:id="1369" w:name="_Toc220491019"/>
      <w:r>
        <w:t>48 Eléments décoratifs de façade (graffites, ornements, etc)</w:t>
      </w:r>
      <w:bookmarkEnd w:id="1369"/>
    </w:p>
    <w:sectPr w:rsidR="00772179">
      <w:headerReference w:type="default" r:id="rId15"/>
      <w:footerReference w:type="default" r:id="rId16"/>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2CFCE" w14:textId="77777777" w:rsidR="008F41B2" w:rsidRDefault="008F41B2">
      <w:pPr>
        <w:spacing w:before="0" w:after="0" w:line="240" w:lineRule="auto"/>
      </w:pPr>
      <w:r>
        <w:separator/>
      </w:r>
    </w:p>
  </w:endnote>
  <w:endnote w:type="continuationSeparator" w:id="0">
    <w:p w14:paraId="2DA81FA6" w14:textId="77777777" w:rsidR="008F41B2" w:rsidRDefault="008F41B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6538F" w14:textId="77777777" w:rsidR="00772179" w:rsidRDefault="00000000">
    <w:r>
      <w:ptab w:relativeTo="margin" w:alignment="center" w:leader="none"/>
    </w:r>
    <w:sdt>
      <w:sdtPr>
        <w:id w:val="-748044962"/>
      </w:sdtPr>
      <w:sdtContent>
        <w:r>
          <w:fldChar w:fldCharType="begin"/>
        </w:r>
        <w:r>
          <w:rPr>
            <w:b/>
            <w:bCs/>
            <w:sz w:val="16"/>
            <w:szCs w:val="16"/>
          </w:rPr>
          <w:instrText>PAGE</w:instrText>
        </w:r>
        <w:r w:rsidR="00FA36CF">
          <w:fldChar w:fldCharType="separate"/>
        </w:r>
        <w:r w:rsidR="00FA36CF">
          <w:rPr>
            <w:b/>
            <w:bCs/>
            <w:noProof/>
            <w:sz w:val="16"/>
            <w:szCs w:val="16"/>
          </w:rPr>
          <w:t>1</w:t>
        </w:r>
        <w:r>
          <w:fldChar w:fldCharType="end"/>
        </w:r>
        <w:r>
          <w:rPr>
            <w:b/>
            <w:bCs/>
            <w:sz w:val="16"/>
            <w:szCs w:val="16"/>
          </w:rPr>
          <w:t>/</w:t>
        </w:r>
        <w:r>
          <w:fldChar w:fldCharType="begin"/>
        </w:r>
        <w:r>
          <w:rPr>
            <w:b/>
            <w:bCs/>
            <w:sz w:val="16"/>
            <w:szCs w:val="16"/>
          </w:rPr>
          <w:instrText>NUMPAGES</w:instrText>
        </w:r>
        <w:r w:rsidR="00FA36CF">
          <w:fldChar w:fldCharType="separate"/>
        </w:r>
        <w:r w:rsidR="00FA36CF">
          <w:rPr>
            <w:b/>
            <w:bCs/>
            <w:noProof/>
            <w:sz w:val="16"/>
            <w:szCs w:val="16"/>
          </w:rPr>
          <w:t>2</w:t>
        </w:r>
        <w: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5D241" w14:textId="77777777" w:rsidR="008F41B2" w:rsidRDefault="008F41B2">
      <w:pPr>
        <w:spacing w:before="0" w:after="0" w:line="240" w:lineRule="auto"/>
      </w:pPr>
      <w:r>
        <w:separator/>
      </w:r>
    </w:p>
  </w:footnote>
  <w:footnote w:type="continuationSeparator" w:id="0">
    <w:p w14:paraId="755E65D5" w14:textId="77777777" w:rsidR="008F41B2" w:rsidRDefault="008F41B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2D0AD" w14:textId="3DED3C91" w:rsidR="00FA36CF" w:rsidRPr="00FA36CF" w:rsidRDefault="00FA36CF" w:rsidP="00FA36CF">
    <w:pPr>
      <w:pStyle w:val="En-tte"/>
      <w:jc w:val="center"/>
      <w:rPr>
        <w:sz w:val="16"/>
        <w:szCs w:val="16"/>
      </w:rPr>
    </w:pPr>
    <w:r w:rsidRPr="00FA36CF">
      <w:rPr>
        <w:sz w:val="16"/>
        <w:szCs w:val="16"/>
      </w:rPr>
      <w:t>CCTB 01.13 du 17/03/2026 – T4 Fermetures / Finitions extérieures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2ED8"/>
    <w:multiLevelType w:val="hybridMultilevel"/>
    <w:tmpl w:val="A4641096"/>
    <w:lvl w:ilvl="0" w:tplc="B77A317A">
      <w:start w:val="1"/>
      <w:numFmt w:val="bullet"/>
      <w:lvlText w:val=""/>
      <w:lvlJc w:val="left"/>
      <w:pPr>
        <w:ind w:left="720" w:hanging="180"/>
      </w:pPr>
      <w:rPr>
        <w:rFonts w:ascii="Symbol" w:hAnsi="Symbol" w:hint="default"/>
      </w:rPr>
    </w:lvl>
    <w:lvl w:ilvl="1" w:tplc="67049894">
      <w:numFmt w:val="decimal"/>
      <w:lvlText w:val=""/>
      <w:lvlJc w:val="left"/>
    </w:lvl>
    <w:lvl w:ilvl="2" w:tplc="F4A4CE80">
      <w:numFmt w:val="decimal"/>
      <w:lvlText w:val=""/>
      <w:lvlJc w:val="left"/>
    </w:lvl>
    <w:lvl w:ilvl="3" w:tplc="B36CD69A">
      <w:numFmt w:val="decimal"/>
      <w:lvlText w:val=""/>
      <w:lvlJc w:val="left"/>
    </w:lvl>
    <w:lvl w:ilvl="4" w:tplc="514AFB54">
      <w:numFmt w:val="decimal"/>
      <w:lvlText w:val=""/>
      <w:lvlJc w:val="left"/>
    </w:lvl>
    <w:lvl w:ilvl="5" w:tplc="90361444">
      <w:numFmt w:val="decimal"/>
      <w:lvlText w:val=""/>
      <w:lvlJc w:val="left"/>
    </w:lvl>
    <w:lvl w:ilvl="6" w:tplc="DBF4B5F6">
      <w:numFmt w:val="decimal"/>
      <w:lvlText w:val=""/>
      <w:lvlJc w:val="left"/>
    </w:lvl>
    <w:lvl w:ilvl="7" w:tplc="14AA1EE0">
      <w:numFmt w:val="decimal"/>
      <w:lvlText w:val=""/>
      <w:lvlJc w:val="left"/>
    </w:lvl>
    <w:lvl w:ilvl="8" w:tplc="CB842EBC">
      <w:numFmt w:val="decimal"/>
      <w:lvlText w:val=""/>
      <w:lvlJc w:val="left"/>
    </w:lvl>
  </w:abstractNum>
  <w:abstractNum w:abstractNumId="1" w15:restartNumberingAfterBreak="0">
    <w:nsid w:val="00375E35"/>
    <w:multiLevelType w:val="hybridMultilevel"/>
    <w:tmpl w:val="B2982708"/>
    <w:lvl w:ilvl="0" w:tplc="A9F0CDAA">
      <w:start w:val="1"/>
      <w:numFmt w:val="bullet"/>
      <w:lvlText w:val=""/>
      <w:lvlJc w:val="left"/>
      <w:pPr>
        <w:ind w:left="720" w:hanging="180"/>
      </w:pPr>
      <w:rPr>
        <w:rFonts w:ascii="Symbol" w:hAnsi="Symbol" w:hint="default"/>
      </w:rPr>
    </w:lvl>
    <w:lvl w:ilvl="1" w:tplc="9E7C6332">
      <w:numFmt w:val="decimal"/>
      <w:lvlText w:val=""/>
      <w:lvlJc w:val="left"/>
    </w:lvl>
    <w:lvl w:ilvl="2" w:tplc="E6D4FFC8">
      <w:numFmt w:val="decimal"/>
      <w:lvlText w:val=""/>
      <w:lvlJc w:val="left"/>
    </w:lvl>
    <w:lvl w:ilvl="3" w:tplc="4AFAB4C4">
      <w:numFmt w:val="decimal"/>
      <w:lvlText w:val=""/>
      <w:lvlJc w:val="left"/>
    </w:lvl>
    <w:lvl w:ilvl="4" w:tplc="69F440B2">
      <w:numFmt w:val="decimal"/>
      <w:lvlText w:val=""/>
      <w:lvlJc w:val="left"/>
    </w:lvl>
    <w:lvl w:ilvl="5" w:tplc="6BAADB8E">
      <w:numFmt w:val="decimal"/>
      <w:lvlText w:val=""/>
      <w:lvlJc w:val="left"/>
    </w:lvl>
    <w:lvl w:ilvl="6" w:tplc="92F40A02">
      <w:numFmt w:val="decimal"/>
      <w:lvlText w:val=""/>
      <w:lvlJc w:val="left"/>
    </w:lvl>
    <w:lvl w:ilvl="7" w:tplc="378EAA3C">
      <w:numFmt w:val="decimal"/>
      <w:lvlText w:val=""/>
      <w:lvlJc w:val="left"/>
    </w:lvl>
    <w:lvl w:ilvl="8" w:tplc="3BE644FE">
      <w:numFmt w:val="decimal"/>
      <w:lvlText w:val=""/>
      <w:lvlJc w:val="left"/>
    </w:lvl>
  </w:abstractNum>
  <w:abstractNum w:abstractNumId="2" w15:restartNumberingAfterBreak="0">
    <w:nsid w:val="0062668C"/>
    <w:multiLevelType w:val="hybridMultilevel"/>
    <w:tmpl w:val="ABF6814C"/>
    <w:lvl w:ilvl="0" w:tplc="AD644BE0">
      <w:start w:val="1"/>
      <w:numFmt w:val="bullet"/>
      <w:lvlText w:val=""/>
      <w:lvlJc w:val="left"/>
      <w:pPr>
        <w:ind w:left="720" w:hanging="180"/>
      </w:pPr>
      <w:rPr>
        <w:rFonts w:ascii="Symbol" w:hAnsi="Symbol" w:hint="default"/>
      </w:rPr>
    </w:lvl>
    <w:lvl w:ilvl="1" w:tplc="1D4098B8">
      <w:numFmt w:val="decimal"/>
      <w:lvlText w:val=""/>
      <w:lvlJc w:val="left"/>
    </w:lvl>
    <w:lvl w:ilvl="2" w:tplc="4B3E01B2">
      <w:numFmt w:val="decimal"/>
      <w:lvlText w:val=""/>
      <w:lvlJc w:val="left"/>
    </w:lvl>
    <w:lvl w:ilvl="3" w:tplc="7C121C10">
      <w:numFmt w:val="decimal"/>
      <w:lvlText w:val=""/>
      <w:lvlJc w:val="left"/>
    </w:lvl>
    <w:lvl w:ilvl="4" w:tplc="E612DEBA">
      <w:numFmt w:val="decimal"/>
      <w:lvlText w:val=""/>
      <w:lvlJc w:val="left"/>
    </w:lvl>
    <w:lvl w:ilvl="5" w:tplc="162633EA">
      <w:numFmt w:val="decimal"/>
      <w:lvlText w:val=""/>
      <w:lvlJc w:val="left"/>
    </w:lvl>
    <w:lvl w:ilvl="6" w:tplc="2300F7D4">
      <w:numFmt w:val="decimal"/>
      <w:lvlText w:val=""/>
      <w:lvlJc w:val="left"/>
    </w:lvl>
    <w:lvl w:ilvl="7" w:tplc="429CD6A4">
      <w:numFmt w:val="decimal"/>
      <w:lvlText w:val=""/>
      <w:lvlJc w:val="left"/>
    </w:lvl>
    <w:lvl w:ilvl="8" w:tplc="EEA61062">
      <w:numFmt w:val="decimal"/>
      <w:lvlText w:val=""/>
      <w:lvlJc w:val="left"/>
    </w:lvl>
  </w:abstractNum>
  <w:abstractNum w:abstractNumId="3" w15:restartNumberingAfterBreak="0">
    <w:nsid w:val="00957C92"/>
    <w:multiLevelType w:val="hybridMultilevel"/>
    <w:tmpl w:val="96804644"/>
    <w:lvl w:ilvl="0" w:tplc="25D480AA">
      <w:start w:val="1"/>
      <w:numFmt w:val="bullet"/>
      <w:lvlText w:val=""/>
      <w:lvlJc w:val="left"/>
      <w:pPr>
        <w:ind w:left="720" w:hanging="180"/>
      </w:pPr>
      <w:rPr>
        <w:rFonts w:ascii="Symbol" w:hAnsi="Symbol" w:hint="default"/>
      </w:rPr>
    </w:lvl>
    <w:lvl w:ilvl="1" w:tplc="A140B926">
      <w:numFmt w:val="decimal"/>
      <w:lvlText w:val=""/>
      <w:lvlJc w:val="left"/>
    </w:lvl>
    <w:lvl w:ilvl="2" w:tplc="8842B296">
      <w:numFmt w:val="decimal"/>
      <w:lvlText w:val=""/>
      <w:lvlJc w:val="left"/>
    </w:lvl>
    <w:lvl w:ilvl="3" w:tplc="93BE590A">
      <w:numFmt w:val="decimal"/>
      <w:lvlText w:val=""/>
      <w:lvlJc w:val="left"/>
    </w:lvl>
    <w:lvl w:ilvl="4" w:tplc="70840810">
      <w:numFmt w:val="decimal"/>
      <w:lvlText w:val=""/>
      <w:lvlJc w:val="left"/>
    </w:lvl>
    <w:lvl w:ilvl="5" w:tplc="CC7C5D28">
      <w:numFmt w:val="decimal"/>
      <w:lvlText w:val=""/>
      <w:lvlJc w:val="left"/>
    </w:lvl>
    <w:lvl w:ilvl="6" w:tplc="28CC9B96">
      <w:numFmt w:val="decimal"/>
      <w:lvlText w:val=""/>
      <w:lvlJc w:val="left"/>
    </w:lvl>
    <w:lvl w:ilvl="7" w:tplc="4606CD74">
      <w:numFmt w:val="decimal"/>
      <w:lvlText w:val=""/>
      <w:lvlJc w:val="left"/>
    </w:lvl>
    <w:lvl w:ilvl="8" w:tplc="67DA7702">
      <w:numFmt w:val="decimal"/>
      <w:lvlText w:val=""/>
      <w:lvlJc w:val="left"/>
    </w:lvl>
  </w:abstractNum>
  <w:abstractNum w:abstractNumId="4" w15:restartNumberingAfterBreak="0">
    <w:nsid w:val="009C0BAF"/>
    <w:multiLevelType w:val="hybridMultilevel"/>
    <w:tmpl w:val="E468F1FA"/>
    <w:lvl w:ilvl="0" w:tplc="B4409DE8">
      <w:start w:val="1"/>
      <w:numFmt w:val="bullet"/>
      <w:lvlText w:val=""/>
      <w:lvlJc w:val="left"/>
      <w:pPr>
        <w:ind w:left="720" w:hanging="180"/>
      </w:pPr>
      <w:rPr>
        <w:rFonts w:ascii="Symbol" w:hAnsi="Symbol" w:hint="default"/>
      </w:rPr>
    </w:lvl>
    <w:lvl w:ilvl="1" w:tplc="7940FC60">
      <w:numFmt w:val="decimal"/>
      <w:lvlText w:val=""/>
      <w:lvlJc w:val="left"/>
    </w:lvl>
    <w:lvl w:ilvl="2" w:tplc="8BDE2652">
      <w:numFmt w:val="decimal"/>
      <w:lvlText w:val=""/>
      <w:lvlJc w:val="left"/>
    </w:lvl>
    <w:lvl w:ilvl="3" w:tplc="A456EFB0">
      <w:numFmt w:val="decimal"/>
      <w:lvlText w:val=""/>
      <w:lvlJc w:val="left"/>
    </w:lvl>
    <w:lvl w:ilvl="4" w:tplc="E4540EDE">
      <w:numFmt w:val="decimal"/>
      <w:lvlText w:val=""/>
      <w:lvlJc w:val="left"/>
    </w:lvl>
    <w:lvl w:ilvl="5" w:tplc="BCE8896C">
      <w:numFmt w:val="decimal"/>
      <w:lvlText w:val=""/>
      <w:lvlJc w:val="left"/>
    </w:lvl>
    <w:lvl w:ilvl="6" w:tplc="661CCCC2">
      <w:numFmt w:val="decimal"/>
      <w:lvlText w:val=""/>
      <w:lvlJc w:val="left"/>
    </w:lvl>
    <w:lvl w:ilvl="7" w:tplc="A40839C8">
      <w:numFmt w:val="decimal"/>
      <w:lvlText w:val=""/>
      <w:lvlJc w:val="left"/>
    </w:lvl>
    <w:lvl w:ilvl="8" w:tplc="40B612D8">
      <w:numFmt w:val="decimal"/>
      <w:lvlText w:val=""/>
      <w:lvlJc w:val="left"/>
    </w:lvl>
  </w:abstractNum>
  <w:abstractNum w:abstractNumId="5" w15:restartNumberingAfterBreak="0">
    <w:nsid w:val="009C14E3"/>
    <w:multiLevelType w:val="hybridMultilevel"/>
    <w:tmpl w:val="19BEE212"/>
    <w:lvl w:ilvl="0" w:tplc="4F1A056A">
      <w:start w:val="1"/>
      <w:numFmt w:val="bullet"/>
      <w:lvlText w:val=""/>
      <w:lvlJc w:val="left"/>
      <w:pPr>
        <w:ind w:left="720" w:hanging="180"/>
      </w:pPr>
      <w:rPr>
        <w:rFonts w:ascii="Symbol" w:hAnsi="Symbol" w:hint="default"/>
      </w:rPr>
    </w:lvl>
    <w:lvl w:ilvl="1" w:tplc="36548ED0">
      <w:numFmt w:val="decimal"/>
      <w:lvlText w:val=""/>
      <w:lvlJc w:val="left"/>
    </w:lvl>
    <w:lvl w:ilvl="2" w:tplc="630899A0">
      <w:numFmt w:val="decimal"/>
      <w:lvlText w:val=""/>
      <w:lvlJc w:val="left"/>
    </w:lvl>
    <w:lvl w:ilvl="3" w:tplc="224AB4B4">
      <w:numFmt w:val="decimal"/>
      <w:lvlText w:val=""/>
      <w:lvlJc w:val="left"/>
    </w:lvl>
    <w:lvl w:ilvl="4" w:tplc="F33A8D06">
      <w:numFmt w:val="decimal"/>
      <w:lvlText w:val=""/>
      <w:lvlJc w:val="left"/>
    </w:lvl>
    <w:lvl w:ilvl="5" w:tplc="98FA3D98">
      <w:numFmt w:val="decimal"/>
      <w:lvlText w:val=""/>
      <w:lvlJc w:val="left"/>
    </w:lvl>
    <w:lvl w:ilvl="6" w:tplc="429A94F6">
      <w:numFmt w:val="decimal"/>
      <w:lvlText w:val=""/>
      <w:lvlJc w:val="left"/>
    </w:lvl>
    <w:lvl w:ilvl="7" w:tplc="1F8CAC2E">
      <w:numFmt w:val="decimal"/>
      <w:lvlText w:val=""/>
      <w:lvlJc w:val="left"/>
    </w:lvl>
    <w:lvl w:ilvl="8" w:tplc="FBB62E14">
      <w:numFmt w:val="decimal"/>
      <w:lvlText w:val=""/>
      <w:lvlJc w:val="left"/>
    </w:lvl>
  </w:abstractNum>
  <w:abstractNum w:abstractNumId="6" w15:restartNumberingAfterBreak="0">
    <w:nsid w:val="00AC6C04"/>
    <w:multiLevelType w:val="hybridMultilevel"/>
    <w:tmpl w:val="2870AFDE"/>
    <w:lvl w:ilvl="0" w:tplc="7DAC90AC">
      <w:start w:val="1"/>
      <w:numFmt w:val="bullet"/>
      <w:lvlText w:val=""/>
      <w:lvlJc w:val="left"/>
      <w:pPr>
        <w:ind w:left="720" w:hanging="180"/>
      </w:pPr>
      <w:rPr>
        <w:rFonts w:ascii="Symbol" w:hAnsi="Symbol" w:hint="default"/>
      </w:rPr>
    </w:lvl>
    <w:lvl w:ilvl="1" w:tplc="B8BA2C44">
      <w:numFmt w:val="decimal"/>
      <w:lvlText w:val=""/>
      <w:lvlJc w:val="left"/>
    </w:lvl>
    <w:lvl w:ilvl="2" w:tplc="B762C354">
      <w:numFmt w:val="decimal"/>
      <w:lvlText w:val=""/>
      <w:lvlJc w:val="left"/>
    </w:lvl>
    <w:lvl w:ilvl="3" w:tplc="21BA50E4">
      <w:numFmt w:val="decimal"/>
      <w:lvlText w:val=""/>
      <w:lvlJc w:val="left"/>
    </w:lvl>
    <w:lvl w:ilvl="4" w:tplc="AFF848F6">
      <w:numFmt w:val="decimal"/>
      <w:lvlText w:val=""/>
      <w:lvlJc w:val="left"/>
    </w:lvl>
    <w:lvl w:ilvl="5" w:tplc="885A86B6">
      <w:numFmt w:val="decimal"/>
      <w:lvlText w:val=""/>
      <w:lvlJc w:val="left"/>
    </w:lvl>
    <w:lvl w:ilvl="6" w:tplc="66D80846">
      <w:numFmt w:val="decimal"/>
      <w:lvlText w:val=""/>
      <w:lvlJc w:val="left"/>
    </w:lvl>
    <w:lvl w:ilvl="7" w:tplc="C012E4C4">
      <w:numFmt w:val="decimal"/>
      <w:lvlText w:val=""/>
      <w:lvlJc w:val="left"/>
    </w:lvl>
    <w:lvl w:ilvl="8" w:tplc="D518B08C">
      <w:numFmt w:val="decimal"/>
      <w:lvlText w:val=""/>
      <w:lvlJc w:val="left"/>
    </w:lvl>
  </w:abstractNum>
  <w:abstractNum w:abstractNumId="7" w15:restartNumberingAfterBreak="0">
    <w:nsid w:val="00CC3763"/>
    <w:multiLevelType w:val="hybridMultilevel"/>
    <w:tmpl w:val="FD6E2780"/>
    <w:lvl w:ilvl="0" w:tplc="A3E4E7AE">
      <w:start w:val="1"/>
      <w:numFmt w:val="bullet"/>
      <w:lvlText w:val=""/>
      <w:lvlJc w:val="left"/>
      <w:pPr>
        <w:ind w:left="720" w:hanging="180"/>
      </w:pPr>
      <w:rPr>
        <w:rFonts w:ascii="Symbol" w:hAnsi="Symbol" w:hint="default"/>
      </w:rPr>
    </w:lvl>
    <w:lvl w:ilvl="1" w:tplc="7A0A647C">
      <w:numFmt w:val="decimal"/>
      <w:lvlText w:val=""/>
      <w:lvlJc w:val="left"/>
    </w:lvl>
    <w:lvl w:ilvl="2" w:tplc="8074710A">
      <w:numFmt w:val="decimal"/>
      <w:lvlText w:val=""/>
      <w:lvlJc w:val="left"/>
    </w:lvl>
    <w:lvl w:ilvl="3" w:tplc="F9DCFFD8">
      <w:numFmt w:val="decimal"/>
      <w:lvlText w:val=""/>
      <w:lvlJc w:val="left"/>
    </w:lvl>
    <w:lvl w:ilvl="4" w:tplc="86583D8C">
      <w:numFmt w:val="decimal"/>
      <w:lvlText w:val=""/>
      <w:lvlJc w:val="left"/>
    </w:lvl>
    <w:lvl w:ilvl="5" w:tplc="B77E0216">
      <w:numFmt w:val="decimal"/>
      <w:lvlText w:val=""/>
      <w:lvlJc w:val="left"/>
    </w:lvl>
    <w:lvl w:ilvl="6" w:tplc="587E30EA">
      <w:numFmt w:val="decimal"/>
      <w:lvlText w:val=""/>
      <w:lvlJc w:val="left"/>
    </w:lvl>
    <w:lvl w:ilvl="7" w:tplc="DD965DF0">
      <w:numFmt w:val="decimal"/>
      <w:lvlText w:val=""/>
      <w:lvlJc w:val="left"/>
    </w:lvl>
    <w:lvl w:ilvl="8" w:tplc="1DE2CB52">
      <w:numFmt w:val="decimal"/>
      <w:lvlText w:val=""/>
      <w:lvlJc w:val="left"/>
    </w:lvl>
  </w:abstractNum>
  <w:abstractNum w:abstractNumId="8" w15:restartNumberingAfterBreak="0">
    <w:nsid w:val="00D80E7B"/>
    <w:multiLevelType w:val="hybridMultilevel"/>
    <w:tmpl w:val="64D6D206"/>
    <w:lvl w:ilvl="0" w:tplc="ECC85D9C">
      <w:start w:val="1"/>
      <w:numFmt w:val="bullet"/>
      <w:lvlText w:val=""/>
      <w:lvlJc w:val="left"/>
      <w:pPr>
        <w:ind w:left="720" w:hanging="180"/>
      </w:pPr>
      <w:rPr>
        <w:rFonts w:ascii="Symbol" w:hAnsi="Symbol" w:hint="default"/>
      </w:rPr>
    </w:lvl>
    <w:lvl w:ilvl="1" w:tplc="A17A2D7E">
      <w:numFmt w:val="decimal"/>
      <w:lvlText w:val=""/>
      <w:lvlJc w:val="left"/>
    </w:lvl>
    <w:lvl w:ilvl="2" w:tplc="8CF0658A">
      <w:numFmt w:val="decimal"/>
      <w:lvlText w:val=""/>
      <w:lvlJc w:val="left"/>
    </w:lvl>
    <w:lvl w:ilvl="3" w:tplc="E2E622CC">
      <w:numFmt w:val="decimal"/>
      <w:lvlText w:val=""/>
      <w:lvlJc w:val="left"/>
    </w:lvl>
    <w:lvl w:ilvl="4" w:tplc="443402A8">
      <w:numFmt w:val="decimal"/>
      <w:lvlText w:val=""/>
      <w:lvlJc w:val="left"/>
    </w:lvl>
    <w:lvl w:ilvl="5" w:tplc="481A758C">
      <w:numFmt w:val="decimal"/>
      <w:lvlText w:val=""/>
      <w:lvlJc w:val="left"/>
    </w:lvl>
    <w:lvl w:ilvl="6" w:tplc="EC8C7A7C">
      <w:numFmt w:val="decimal"/>
      <w:lvlText w:val=""/>
      <w:lvlJc w:val="left"/>
    </w:lvl>
    <w:lvl w:ilvl="7" w:tplc="43BCDD16">
      <w:numFmt w:val="decimal"/>
      <w:lvlText w:val=""/>
      <w:lvlJc w:val="left"/>
    </w:lvl>
    <w:lvl w:ilvl="8" w:tplc="20F263A8">
      <w:numFmt w:val="decimal"/>
      <w:lvlText w:val=""/>
      <w:lvlJc w:val="left"/>
    </w:lvl>
  </w:abstractNum>
  <w:abstractNum w:abstractNumId="9" w15:restartNumberingAfterBreak="0">
    <w:nsid w:val="00F31B42"/>
    <w:multiLevelType w:val="hybridMultilevel"/>
    <w:tmpl w:val="F4DE91FE"/>
    <w:lvl w:ilvl="0" w:tplc="291EE1B0">
      <w:start w:val="1"/>
      <w:numFmt w:val="bullet"/>
      <w:lvlText w:val=""/>
      <w:lvlJc w:val="left"/>
      <w:pPr>
        <w:ind w:left="720" w:hanging="180"/>
      </w:pPr>
      <w:rPr>
        <w:rFonts w:ascii="Symbol" w:hAnsi="Symbol" w:hint="default"/>
      </w:rPr>
    </w:lvl>
    <w:lvl w:ilvl="1" w:tplc="E322265E">
      <w:numFmt w:val="decimal"/>
      <w:lvlText w:val=""/>
      <w:lvlJc w:val="left"/>
    </w:lvl>
    <w:lvl w:ilvl="2" w:tplc="613CD430">
      <w:numFmt w:val="decimal"/>
      <w:lvlText w:val=""/>
      <w:lvlJc w:val="left"/>
    </w:lvl>
    <w:lvl w:ilvl="3" w:tplc="F0B277DE">
      <w:numFmt w:val="decimal"/>
      <w:lvlText w:val=""/>
      <w:lvlJc w:val="left"/>
    </w:lvl>
    <w:lvl w:ilvl="4" w:tplc="007E60E0">
      <w:numFmt w:val="decimal"/>
      <w:lvlText w:val=""/>
      <w:lvlJc w:val="left"/>
    </w:lvl>
    <w:lvl w:ilvl="5" w:tplc="10D87168">
      <w:numFmt w:val="decimal"/>
      <w:lvlText w:val=""/>
      <w:lvlJc w:val="left"/>
    </w:lvl>
    <w:lvl w:ilvl="6" w:tplc="09541858">
      <w:numFmt w:val="decimal"/>
      <w:lvlText w:val=""/>
      <w:lvlJc w:val="left"/>
    </w:lvl>
    <w:lvl w:ilvl="7" w:tplc="6FBCF434">
      <w:numFmt w:val="decimal"/>
      <w:lvlText w:val=""/>
      <w:lvlJc w:val="left"/>
    </w:lvl>
    <w:lvl w:ilvl="8" w:tplc="215882D6">
      <w:numFmt w:val="decimal"/>
      <w:lvlText w:val=""/>
      <w:lvlJc w:val="left"/>
    </w:lvl>
  </w:abstractNum>
  <w:abstractNum w:abstractNumId="10" w15:restartNumberingAfterBreak="0">
    <w:nsid w:val="01122B6A"/>
    <w:multiLevelType w:val="hybridMultilevel"/>
    <w:tmpl w:val="7EA2AB96"/>
    <w:lvl w:ilvl="0" w:tplc="44689650">
      <w:start w:val="1"/>
      <w:numFmt w:val="bullet"/>
      <w:lvlText w:val=""/>
      <w:lvlJc w:val="left"/>
      <w:pPr>
        <w:ind w:left="720" w:hanging="180"/>
      </w:pPr>
      <w:rPr>
        <w:rFonts w:ascii="Symbol" w:hAnsi="Symbol" w:hint="default"/>
      </w:rPr>
    </w:lvl>
    <w:lvl w:ilvl="1" w:tplc="1CAAF7A0">
      <w:numFmt w:val="decimal"/>
      <w:lvlText w:val=""/>
      <w:lvlJc w:val="left"/>
    </w:lvl>
    <w:lvl w:ilvl="2" w:tplc="57FAA634">
      <w:numFmt w:val="decimal"/>
      <w:lvlText w:val=""/>
      <w:lvlJc w:val="left"/>
    </w:lvl>
    <w:lvl w:ilvl="3" w:tplc="C2FCF572">
      <w:numFmt w:val="decimal"/>
      <w:lvlText w:val=""/>
      <w:lvlJc w:val="left"/>
    </w:lvl>
    <w:lvl w:ilvl="4" w:tplc="BCF0D154">
      <w:numFmt w:val="decimal"/>
      <w:lvlText w:val=""/>
      <w:lvlJc w:val="left"/>
    </w:lvl>
    <w:lvl w:ilvl="5" w:tplc="01543D72">
      <w:numFmt w:val="decimal"/>
      <w:lvlText w:val=""/>
      <w:lvlJc w:val="left"/>
    </w:lvl>
    <w:lvl w:ilvl="6" w:tplc="91BAF2F8">
      <w:numFmt w:val="decimal"/>
      <w:lvlText w:val=""/>
      <w:lvlJc w:val="left"/>
    </w:lvl>
    <w:lvl w:ilvl="7" w:tplc="930E10F8">
      <w:numFmt w:val="decimal"/>
      <w:lvlText w:val=""/>
      <w:lvlJc w:val="left"/>
    </w:lvl>
    <w:lvl w:ilvl="8" w:tplc="81D0753A">
      <w:numFmt w:val="decimal"/>
      <w:lvlText w:val=""/>
      <w:lvlJc w:val="left"/>
    </w:lvl>
  </w:abstractNum>
  <w:abstractNum w:abstractNumId="11" w15:restartNumberingAfterBreak="0">
    <w:nsid w:val="0126389C"/>
    <w:multiLevelType w:val="hybridMultilevel"/>
    <w:tmpl w:val="EC728BF2"/>
    <w:lvl w:ilvl="0" w:tplc="4A8E9D96">
      <w:numFmt w:val="decimal"/>
      <w:lvlText w:val=""/>
      <w:lvlJc w:val="left"/>
    </w:lvl>
    <w:lvl w:ilvl="1" w:tplc="2D3845FC">
      <w:start w:val="1"/>
      <w:numFmt w:val="bullet"/>
      <w:lvlText w:val=""/>
      <w:lvlJc w:val="left"/>
      <w:pPr>
        <w:ind w:left="1440" w:hanging="180"/>
      </w:pPr>
      <w:rPr>
        <w:rFonts w:ascii="Symbol" w:hAnsi="Symbol" w:hint="default"/>
      </w:rPr>
    </w:lvl>
    <w:lvl w:ilvl="2" w:tplc="1FC667EE">
      <w:numFmt w:val="decimal"/>
      <w:lvlText w:val=""/>
      <w:lvlJc w:val="left"/>
    </w:lvl>
    <w:lvl w:ilvl="3" w:tplc="998C023C">
      <w:numFmt w:val="decimal"/>
      <w:lvlText w:val=""/>
      <w:lvlJc w:val="left"/>
    </w:lvl>
    <w:lvl w:ilvl="4" w:tplc="F73A2670">
      <w:numFmt w:val="decimal"/>
      <w:lvlText w:val=""/>
      <w:lvlJc w:val="left"/>
    </w:lvl>
    <w:lvl w:ilvl="5" w:tplc="E3BAE622">
      <w:numFmt w:val="decimal"/>
      <w:lvlText w:val=""/>
      <w:lvlJc w:val="left"/>
    </w:lvl>
    <w:lvl w:ilvl="6" w:tplc="2F2894C6">
      <w:numFmt w:val="decimal"/>
      <w:lvlText w:val=""/>
      <w:lvlJc w:val="left"/>
    </w:lvl>
    <w:lvl w:ilvl="7" w:tplc="F2148CA2">
      <w:numFmt w:val="decimal"/>
      <w:lvlText w:val=""/>
      <w:lvlJc w:val="left"/>
    </w:lvl>
    <w:lvl w:ilvl="8" w:tplc="A12C9558">
      <w:numFmt w:val="decimal"/>
      <w:lvlText w:val=""/>
      <w:lvlJc w:val="left"/>
    </w:lvl>
  </w:abstractNum>
  <w:abstractNum w:abstractNumId="12" w15:restartNumberingAfterBreak="0">
    <w:nsid w:val="012642C6"/>
    <w:multiLevelType w:val="hybridMultilevel"/>
    <w:tmpl w:val="B1B86F44"/>
    <w:lvl w:ilvl="0" w:tplc="07968336">
      <w:start w:val="1"/>
      <w:numFmt w:val="bullet"/>
      <w:lvlText w:val=""/>
      <w:lvlJc w:val="left"/>
      <w:pPr>
        <w:ind w:left="720" w:hanging="180"/>
      </w:pPr>
      <w:rPr>
        <w:rFonts w:ascii="Symbol" w:hAnsi="Symbol" w:hint="default"/>
      </w:rPr>
    </w:lvl>
    <w:lvl w:ilvl="1" w:tplc="5734E5E4">
      <w:numFmt w:val="decimal"/>
      <w:lvlText w:val=""/>
      <w:lvlJc w:val="left"/>
    </w:lvl>
    <w:lvl w:ilvl="2" w:tplc="025274F2">
      <w:numFmt w:val="decimal"/>
      <w:lvlText w:val=""/>
      <w:lvlJc w:val="left"/>
    </w:lvl>
    <w:lvl w:ilvl="3" w:tplc="F3A0E1BC">
      <w:numFmt w:val="decimal"/>
      <w:lvlText w:val=""/>
      <w:lvlJc w:val="left"/>
    </w:lvl>
    <w:lvl w:ilvl="4" w:tplc="66BEEE2A">
      <w:numFmt w:val="decimal"/>
      <w:lvlText w:val=""/>
      <w:lvlJc w:val="left"/>
    </w:lvl>
    <w:lvl w:ilvl="5" w:tplc="7B5C00AC">
      <w:numFmt w:val="decimal"/>
      <w:lvlText w:val=""/>
      <w:lvlJc w:val="left"/>
    </w:lvl>
    <w:lvl w:ilvl="6" w:tplc="20EA305C">
      <w:numFmt w:val="decimal"/>
      <w:lvlText w:val=""/>
      <w:lvlJc w:val="left"/>
    </w:lvl>
    <w:lvl w:ilvl="7" w:tplc="A620B046">
      <w:numFmt w:val="decimal"/>
      <w:lvlText w:val=""/>
      <w:lvlJc w:val="left"/>
    </w:lvl>
    <w:lvl w:ilvl="8" w:tplc="F9223604">
      <w:numFmt w:val="decimal"/>
      <w:lvlText w:val=""/>
      <w:lvlJc w:val="left"/>
    </w:lvl>
  </w:abstractNum>
  <w:abstractNum w:abstractNumId="13" w15:restartNumberingAfterBreak="0">
    <w:nsid w:val="012A669C"/>
    <w:multiLevelType w:val="hybridMultilevel"/>
    <w:tmpl w:val="8610B0B0"/>
    <w:lvl w:ilvl="0" w:tplc="FA8431CE">
      <w:start w:val="1"/>
      <w:numFmt w:val="bullet"/>
      <w:lvlText w:val=""/>
      <w:lvlJc w:val="left"/>
      <w:pPr>
        <w:ind w:left="720" w:hanging="180"/>
      </w:pPr>
      <w:rPr>
        <w:rFonts w:ascii="Symbol" w:hAnsi="Symbol" w:hint="default"/>
      </w:rPr>
    </w:lvl>
    <w:lvl w:ilvl="1" w:tplc="28E091C0">
      <w:numFmt w:val="decimal"/>
      <w:lvlText w:val=""/>
      <w:lvlJc w:val="left"/>
    </w:lvl>
    <w:lvl w:ilvl="2" w:tplc="FC0AC7D8">
      <w:numFmt w:val="decimal"/>
      <w:lvlText w:val=""/>
      <w:lvlJc w:val="left"/>
    </w:lvl>
    <w:lvl w:ilvl="3" w:tplc="2848CE90">
      <w:numFmt w:val="decimal"/>
      <w:lvlText w:val=""/>
      <w:lvlJc w:val="left"/>
    </w:lvl>
    <w:lvl w:ilvl="4" w:tplc="2248871A">
      <w:numFmt w:val="decimal"/>
      <w:lvlText w:val=""/>
      <w:lvlJc w:val="left"/>
    </w:lvl>
    <w:lvl w:ilvl="5" w:tplc="572CC3AC">
      <w:numFmt w:val="decimal"/>
      <w:lvlText w:val=""/>
      <w:lvlJc w:val="left"/>
    </w:lvl>
    <w:lvl w:ilvl="6" w:tplc="1EC84522">
      <w:numFmt w:val="decimal"/>
      <w:lvlText w:val=""/>
      <w:lvlJc w:val="left"/>
    </w:lvl>
    <w:lvl w:ilvl="7" w:tplc="8B28E4DA">
      <w:numFmt w:val="decimal"/>
      <w:lvlText w:val=""/>
      <w:lvlJc w:val="left"/>
    </w:lvl>
    <w:lvl w:ilvl="8" w:tplc="3E721530">
      <w:numFmt w:val="decimal"/>
      <w:lvlText w:val=""/>
      <w:lvlJc w:val="left"/>
    </w:lvl>
  </w:abstractNum>
  <w:abstractNum w:abstractNumId="14" w15:restartNumberingAfterBreak="0">
    <w:nsid w:val="01472C63"/>
    <w:multiLevelType w:val="hybridMultilevel"/>
    <w:tmpl w:val="12C8D538"/>
    <w:lvl w:ilvl="0" w:tplc="52B66F5C">
      <w:start w:val="1"/>
      <w:numFmt w:val="bullet"/>
      <w:lvlText w:val=""/>
      <w:lvlJc w:val="left"/>
      <w:pPr>
        <w:ind w:left="720" w:hanging="180"/>
      </w:pPr>
      <w:rPr>
        <w:rFonts w:ascii="Symbol" w:hAnsi="Symbol" w:hint="default"/>
      </w:rPr>
    </w:lvl>
    <w:lvl w:ilvl="1" w:tplc="9634E864">
      <w:numFmt w:val="decimal"/>
      <w:lvlText w:val=""/>
      <w:lvlJc w:val="left"/>
    </w:lvl>
    <w:lvl w:ilvl="2" w:tplc="E93A1986">
      <w:numFmt w:val="decimal"/>
      <w:lvlText w:val=""/>
      <w:lvlJc w:val="left"/>
    </w:lvl>
    <w:lvl w:ilvl="3" w:tplc="8F2C035A">
      <w:numFmt w:val="decimal"/>
      <w:lvlText w:val=""/>
      <w:lvlJc w:val="left"/>
    </w:lvl>
    <w:lvl w:ilvl="4" w:tplc="EEF61072">
      <w:numFmt w:val="decimal"/>
      <w:lvlText w:val=""/>
      <w:lvlJc w:val="left"/>
    </w:lvl>
    <w:lvl w:ilvl="5" w:tplc="69844D6C">
      <w:numFmt w:val="decimal"/>
      <w:lvlText w:val=""/>
      <w:lvlJc w:val="left"/>
    </w:lvl>
    <w:lvl w:ilvl="6" w:tplc="8A405CD8">
      <w:numFmt w:val="decimal"/>
      <w:lvlText w:val=""/>
      <w:lvlJc w:val="left"/>
    </w:lvl>
    <w:lvl w:ilvl="7" w:tplc="669AADD4">
      <w:numFmt w:val="decimal"/>
      <w:lvlText w:val=""/>
      <w:lvlJc w:val="left"/>
    </w:lvl>
    <w:lvl w:ilvl="8" w:tplc="1BCA9320">
      <w:numFmt w:val="decimal"/>
      <w:lvlText w:val=""/>
      <w:lvlJc w:val="left"/>
    </w:lvl>
  </w:abstractNum>
  <w:abstractNum w:abstractNumId="15" w15:restartNumberingAfterBreak="0">
    <w:nsid w:val="014D2884"/>
    <w:multiLevelType w:val="hybridMultilevel"/>
    <w:tmpl w:val="125806E8"/>
    <w:lvl w:ilvl="0" w:tplc="6DFA9496">
      <w:start w:val="1"/>
      <w:numFmt w:val="bullet"/>
      <w:lvlText w:val=""/>
      <w:lvlJc w:val="left"/>
      <w:pPr>
        <w:ind w:left="720" w:hanging="180"/>
      </w:pPr>
      <w:rPr>
        <w:rFonts w:ascii="Symbol" w:hAnsi="Symbol" w:hint="default"/>
      </w:rPr>
    </w:lvl>
    <w:lvl w:ilvl="1" w:tplc="CA162D64">
      <w:numFmt w:val="decimal"/>
      <w:lvlText w:val=""/>
      <w:lvlJc w:val="left"/>
    </w:lvl>
    <w:lvl w:ilvl="2" w:tplc="B37C528C">
      <w:numFmt w:val="decimal"/>
      <w:lvlText w:val=""/>
      <w:lvlJc w:val="left"/>
    </w:lvl>
    <w:lvl w:ilvl="3" w:tplc="1B4C7466">
      <w:numFmt w:val="decimal"/>
      <w:lvlText w:val=""/>
      <w:lvlJc w:val="left"/>
    </w:lvl>
    <w:lvl w:ilvl="4" w:tplc="F606E66C">
      <w:numFmt w:val="decimal"/>
      <w:lvlText w:val=""/>
      <w:lvlJc w:val="left"/>
    </w:lvl>
    <w:lvl w:ilvl="5" w:tplc="3A2276F4">
      <w:numFmt w:val="decimal"/>
      <w:lvlText w:val=""/>
      <w:lvlJc w:val="left"/>
    </w:lvl>
    <w:lvl w:ilvl="6" w:tplc="FBFED7D6">
      <w:numFmt w:val="decimal"/>
      <w:lvlText w:val=""/>
      <w:lvlJc w:val="left"/>
    </w:lvl>
    <w:lvl w:ilvl="7" w:tplc="DE225D9A">
      <w:numFmt w:val="decimal"/>
      <w:lvlText w:val=""/>
      <w:lvlJc w:val="left"/>
    </w:lvl>
    <w:lvl w:ilvl="8" w:tplc="64CC5DA8">
      <w:numFmt w:val="decimal"/>
      <w:lvlText w:val=""/>
      <w:lvlJc w:val="left"/>
    </w:lvl>
  </w:abstractNum>
  <w:abstractNum w:abstractNumId="16" w15:restartNumberingAfterBreak="0">
    <w:nsid w:val="0170646D"/>
    <w:multiLevelType w:val="hybridMultilevel"/>
    <w:tmpl w:val="0ECC07C0"/>
    <w:lvl w:ilvl="0" w:tplc="B9E0770E">
      <w:start w:val="1"/>
      <w:numFmt w:val="bullet"/>
      <w:lvlText w:val=""/>
      <w:lvlJc w:val="left"/>
      <w:pPr>
        <w:ind w:left="720" w:hanging="180"/>
      </w:pPr>
      <w:rPr>
        <w:rFonts w:ascii="Symbol" w:hAnsi="Symbol" w:hint="default"/>
      </w:rPr>
    </w:lvl>
    <w:lvl w:ilvl="1" w:tplc="EA741382">
      <w:numFmt w:val="decimal"/>
      <w:lvlText w:val=""/>
      <w:lvlJc w:val="left"/>
    </w:lvl>
    <w:lvl w:ilvl="2" w:tplc="D55CB434">
      <w:numFmt w:val="decimal"/>
      <w:lvlText w:val=""/>
      <w:lvlJc w:val="left"/>
    </w:lvl>
    <w:lvl w:ilvl="3" w:tplc="D870FD6A">
      <w:numFmt w:val="decimal"/>
      <w:lvlText w:val=""/>
      <w:lvlJc w:val="left"/>
    </w:lvl>
    <w:lvl w:ilvl="4" w:tplc="78A271C0">
      <w:numFmt w:val="decimal"/>
      <w:lvlText w:val=""/>
      <w:lvlJc w:val="left"/>
    </w:lvl>
    <w:lvl w:ilvl="5" w:tplc="2E362268">
      <w:numFmt w:val="decimal"/>
      <w:lvlText w:val=""/>
      <w:lvlJc w:val="left"/>
    </w:lvl>
    <w:lvl w:ilvl="6" w:tplc="66289F40">
      <w:numFmt w:val="decimal"/>
      <w:lvlText w:val=""/>
      <w:lvlJc w:val="left"/>
    </w:lvl>
    <w:lvl w:ilvl="7" w:tplc="E7DED67C">
      <w:numFmt w:val="decimal"/>
      <w:lvlText w:val=""/>
      <w:lvlJc w:val="left"/>
    </w:lvl>
    <w:lvl w:ilvl="8" w:tplc="04105B88">
      <w:numFmt w:val="decimal"/>
      <w:lvlText w:val=""/>
      <w:lvlJc w:val="left"/>
    </w:lvl>
  </w:abstractNum>
  <w:abstractNum w:abstractNumId="17" w15:restartNumberingAfterBreak="0">
    <w:nsid w:val="01776D0F"/>
    <w:multiLevelType w:val="hybridMultilevel"/>
    <w:tmpl w:val="747895A2"/>
    <w:lvl w:ilvl="0" w:tplc="091A7FC0">
      <w:start w:val="1"/>
      <w:numFmt w:val="bullet"/>
      <w:lvlText w:val=""/>
      <w:lvlJc w:val="left"/>
      <w:pPr>
        <w:ind w:left="720" w:hanging="180"/>
      </w:pPr>
      <w:rPr>
        <w:rFonts w:ascii="Symbol" w:hAnsi="Symbol" w:hint="default"/>
      </w:rPr>
    </w:lvl>
    <w:lvl w:ilvl="1" w:tplc="7F8485C8">
      <w:numFmt w:val="decimal"/>
      <w:lvlText w:val=""/>
      <w:lvlJc w:val="left"/>
    </w:lvl>
    <w:lvl w:ilvl="2" w:tplc="B7E68FA0">
      <w:numFmt w:val="decimal"/>
      <w:lvlText w:val=""/>
      <w:lvlJc w:val="left"/>
    </w:lvl>
    <w:lvl w:ilvl="3" w:tplc="7CEA9E0E">
      <w:numFmt w:val="decimal"/>
      <w:lvlText w:val=""/>
      <w:lvlJc w:val="left"/>
    </w:lvl>
    <w:lvl w:ilvl="4" w:tplc="0B8A2BE6">
      <w:numFmt w:val="decimal"/>
      <w:lvlText w:val=""/>
      <w:lvlJc w:val="left"/>
    </w:lvl>
    <w:lvl w:ilvl="5" w:tplc="93C44B60">
      <w:numFmt w:val="decimal"/>
      <w:lvlText w:val=""/>
      <w:lvlJc w:val="left"/>
    </w:lvl>
    <w:lvl w:ilvl="6" w:tplc="20D60878">
      <w:numFmt w:val="decimal"/>
      <w:lvlText w:val=""/>
      <w:lvlJc w:val="left"/>
    </w:lvl>
    <w:lvl w:ilvl="7" w:tplc="230604E2">
      <w:numFmt w:val="decimal"/>
      <w:lvlText w:val=""/>
      <w:lvlJc w:val="left"/>
    </w:lvl>
    <w:lvl w:ilvl="8" w:tplc="9DF4450E">
      <w:numFmt w:val="decimal"/>
      <w:lvlText w:val=""/>
      <w:lvlJc w:val="left"/>
    </w:lvl>
  </w:abstractNum>
  <w:abstractNum w:abstractNumId="18" w15:restartNumberingAfterBreak="0">
    <w:nsid w:val="017C0E1B"/>
    <w:multiLevelType w:val="hybridMultilevel"/>
    <w:tmpl w:val="B25C28A0"/>
    <w:lvl w:ilvl="0" w:tplc="0B46C2F6">
      <w:start w:val="1"/>
      <w:numFmt w:val="bullet"/>
      <w:lvlText w:val=""/>
      <w:lvlJc w:val="left"/>
      <w:pPr>
        <w:ind w:left="720" w:hanging="180"/>
      </w:pPr>
      <w:rPr>
        <w:rFonts w:ascii="Symbol" w:hAnsi="Symbol" w:hint="default"/>
      </w:rPr>
    </w:lvl>
    <w:lvl w:ilvl="1" w:tplc="DD187BD0">
      <w:numFmt w:val="decimal"/>
      <w:lvlText w:val=""/>
      <w:lvlJc w:val="left"/>
    </w:lvl>
    <w:lvl w:ilvl="2" w:tplc="55424C16">
      <w:numFmt w:val="decimal"/>
      <w:lvlText w:val=""/>
      <w:lvlJc w:val="left"/>
    </w:lvl>
    <w:lvl w:ilvl="3" w:tplc="6EC4DDF8">
      <w:numFmt w:val="decimal"/>
      <w:lvlText w:val=""/>
      <w:lvlJc w:val="left"/>
    </w:lvl>
    <w:lvl w:ilvl="4" w:tplc="12BABB16">
      <w:numFmt w:val="decimal"/>
      <w:lvlText w:val=""/>
      <w:lvlJc w:val="left"/>
    </w:lvl>
    <w:lvl w:ilvl="5" w:tplc="D11CC362">
      <w:numFmt w:val="decimal"/>
      <w:lvlText w:val=""/>
      <w:lvlJc w:val="left"/>
    </w:lvl>
    <w:lvl w:ilvl="6" w:tplc="F86A9786">
      <w:numFmt w:val="decimal"/>
      <w:lvlText w:val=""/>
      <w:lvlJc w:val="left"/>
    </w:lvl>
    <w:lvl w:ilvl="7" w:tplc="90741C32">
      <w:numFmt w:val="decimal"/>
      <w:lvlText w:val=""/>
      <w:lvlJc w:val="left"/>
    </w:lvl>
    <w:lvl w:ilvl="8" w:tplc="EFEA8E7A">
      <w:numFmt w:val="decimal"/>
      <w:lvlText w:val=""/>
      <w:lvlJc w:val="left"/>
    </w:lvl>
  </w:abstractNum>
  <w:abstractNum w:abstractNumId="19" w15:restartNumberingAfterBreak="0">
    <w:nsid w:val="01C81653"/>
    <w:multiLevelType w:val="hybridMultilevel"/>
    <w:tmpl w:val="671E4626"/>
    <w:lvl w:ilvl="0" w:tplc="AC62B892">
      <w:start w:val="1"/>
      <w:numFmt w:val="bullet"/>
      <w:lvlText w:val=""/>
      <w:lvlJc w:val="left"/>
      <w:pPr>
        <w:ind w:left="720" w:hanging="180"/>
      </w:pPr>
      <w:rPr>
        <w:rFonts w:ascii="Symbol" w:hAnsi="Symbol" w:hint="default"/>
      </w:rPr>
    </w:lvl>
    <w:lvl w:ilvl="1" w:tplc="28080382">
      <w:numFmt w:val="decimal"/>
      <w:lvlText w:val=""/>
      <w:lvlJc w:val="left"/>
    </w:lvl>
    <w:lvl w:ilvl="2" w:tplc="E4FEA54E">
      <w:numFmt w:val="decimal"/>
      <w:lvlText w:val=""/>
      <w:lvlJc w:val="left"/>
    </w:lvl>
    <w:lvl w:ilvl="3" w:tplc="4594A2EA">
      <w:numFmt w:val="decimal"/>
      <w:lvlText w:val=""/>
      <w:lvlJc w:val="left"/>
    </w:lvl>
    <w:lvl w:ilvl="4" w:tplc="93CC606C">
      <w:numFmt w:val="decimal"/>
      <w:lvlText w:val=""/>
      <w:lvlJc w:val="left"/>
    </w:lvl>
    <w:lvl w:ilvl="5" w:tplc="76C84C82">
      <w:numFmt w:val="decimal"/>
      <w:lvlText w:val=""/>
      <w:lvlJc w:val="left"/>
    </w:lvl>
    <w:lvl w:ilvl="6" w:tplc="8EDE6856">
      <w:numFmt w:val="decimal"/>
      <w:lvlText w:val=""/>
      <w:lvlJc w:val="left"/>
    </w:lvl>
    <w:lvl w:ilvl="7" w:tplc="091250FA">
      <w:numFmt w:val="decimal"/>
      <w:lvlText w:val=""/>
      <w:lvlJc w:val="left"/>
    </w:lvl>
    <w:lvl w:ilvl="8" w:tplc="13BEC4C2">
      <w:numFmt w:val="decimal"/>
      <w:lvlText w:val=""/>
      <w:lvlJc w:val="left"/>
    </w:lvl>
  </w:abstractNum>
  <w:abstractNum w:abstractNumId="20" w15:restartNumberingAfterBreak="0">
    <w:nsid w:val="01D275DA"/>
    <w:multiLevelType w:val="hybridMultilevel"/>
    <w:tmpl w:val="113EF3FA"/>
    <w:lvl w:ilvl="0" w:tplc="6F9E95CE">
      <w:start w:val="1"/>
      <w:numFmt w:val="bullet"/>
      <w:lvlText w:val=""/>
      <w:lvlJc w:val="left"/>
      <w:pPr>
        <w:ind w:left="720" w:hanging="180"/>
      </w:pPr>
      <w:rPr>
        <w:rFonts w:ascii="Symbol" w:hAnsi="Symbol" w:hint="default"/>
      </w:rPr>
    </w:lvl>
    <w:lvl w:ilvl="1" w:tplc="A22622B2">
      <w:numFmt w:val="decimal"/>
      <w:lvlText w:val=""/>
      <w:lvlJc w:val="left"/>
    </w:lvl>
    <w:lvl w:ilvl="2" w:tplc="7A162A96">
      <w:numFmt w:val="decimal"/>
      <w:lvlText w:val=""/>
      <w:lvlJc w:val="left"/>
    </w:lvl>
    <w:lvl w:ilvl="3" w:tplc="025027DC">
      <w:numFmt w:val="decimal"/>
      <w:lvlText w:val=""/>
      <w:lvlJc w:val="left"/>
    </w:lvl>
    <w:lvl w:ilvl="4" w:tplc="69820388">
      <w:numFmt w:val="decimal"/>
      <w:lvlText w:val=""/>
      <w:lvlJc w:val="left"/>
    </w:lvl>
    <w:lvl w:ilvl="5" w:tplc="BB38FED8">
      <w:numFmt w:val="decimal"/>
      <w:lvlText w:val=""/>
      <w:lvlJc w:val="left"/>
    </w:lvl>
    <w:lvl w:ilvl="6" w:tplc="715080CA">
      <w:numFmt w:val="decimal"/>
      <w:lvlText w:val=""/>
      <w:lvlJc w:val="left"/>
    </w:lvl>
    <w:lvl w:ilvl="7" w:tplc="319207A6">
      <w:numFmt w:val="decimal"/>
      <w:lvlText w:val=""/>
      <w:lvlJc w:val="left"/>
    </w:lvl>
    <w:lvl w:ilvl="8" w:tplc="E46822D4">
      <w:numFmt w:val="decimal"/>
      <w:lvlText w:val=""/>
      <w:lvlJc w:val="left"/>
    </w:lvl>
  </w:abstractNum>
  <w:abstractNum w:abstractNumId="21" w15:restartNumberingAfterBreak="0">
    <w:nsid w:val="01E31AB0"/>
    <w:multiLevelType w:val="hybridMultilevel"/>
    <w:tmpl w:val="07AA576A"/>
    <w:lvl w:ilvl="0" w:tplc="FBB26FFE">
      <w:start w:val="1"/>
      <w:numFmt w:val="bullet"/>
      <w:lvlText w:val=""/>
      <w:lvlJc w:val="left"/>
      <w:pPr>
        <w:ind w:left="720" w:hanging="180"/>
      </w:pPr>
      <w:rPr>
        <w:rFonts w:ascii="Symbol" w:hAnsi="Symbol" w:hint="default"/>
      </w:rPr>
    </w:lvl>
    <w:lvl w:ilvl="1" w:tplc="EE7A3EC6">
      <w:numFmt w:val="decimal"/>
      <w:lvlText w:val=""/>
      <w:lvlJc w:val="left"/>
    </w:lvl>
    <w:lvl w:ilvl="2" w:tplc="9BAED414">
      <w:numFmt w:val="decimal"/>
      <w:lvlText w:val=""/>
      <w:lvlJc w:val="left"/>
    </w:lvl>
    <w:lvl w:ilvl="3" w:tplc="96720556">
      <w:numFmt w:val="decimal"/>
      <w:lvlText w:val=""/>
      <w:lvlJc w:val="left"/>
    </w:lvl>
    <w:lvl w:ilvl="4" w:tplc="37BEE788">
      <w:numFmt w:val="decimal"/>
      <w:lvlText w:val=""/>
      <w:lvlJc w:val="left"/>
    </w:lvl>
    <w:lvl w:ilvl="5" w:tplc="0C4654FC">
      <w:numFmt w:val="decimal"/>
      <w:lvlText w:val=""/>
      <w:lvlJc w:val="left"/>
    </w:lvl>
    <w:lvl w:ilvl="6" w:tplc="DB8C052C">
      <w:numFmt w:val="decimal"/>
      <w:lvlText w:val=""/>
      <w:lvlJc w:val="left"/>
    </w:lvl>
    <w:lvl w:ilvl="7" w:tplc="C114C5E4">
      <w:numFmt w:val="decimal"/>
      <w:lvlText w:val=""/>
      <w:lvlJc w:val="left"/>
    </w:lvl>
    <w:lvl w:ilvl="8" w:tplc="3B745E02">
      <w:numFmt w:val="decimal"/>
      <w:lvlText w:val=""/>
      <w:lvlJc w:val="left"/>
    </w:lvl>
  </w:abstractNum>
  <w:abstractNum w:abstractNumId="22" w15:restartNumberingAfterBreak="0">
    <w:nsid w:val="01E60FD1"/>
    <w:multiLevelType w:val="hybridMultilevel"/>
    <w:tmpl w:val="C9A68200"/>
    <w:lvl w:ilvl="0" w:tplc="9B08F1AA">
      <w:start w:val="1"/>
      <w:numFmt w:val="bullet"/>
      <w:lvlText w:val=""/>
      <w:lvlJc w:val="left"/>
      <w:pPr>
        <w:ind w:left="720" w:hanging="180"/>
      </w:pPr>
      <w:rPr>
        <w:rFonts w:ascii="Symbol" w:hAnsi="Symbol" w:hint="default"/>
      </w:rPr>
    </w:lvl>
    <w:lvl w:ilvl="1" w:tplc="87647456">
      <w:numFmt w:val="decimal"/>
      <w:lvlText w:val=""/>
      <w:lvlJc w:val="left"/>
    </w:lvl>
    <w:lvl w:ilvl="2" w:tplc="943C26EE">
      <w:numFmt w:val="decimal"/>
      <w:lvlText w:val=""/>
      <w:lvlJc w:val="left"/>
    </w:lvl>
    <w:lvl w:ilvl="3" w:tplc="F45C1A80">
      <w:numFmt w:val="decimal"/>
      <w:lvlText w:val=""/>
      <w:lvlJc w:val="left"/>
    </w:lvl>
    <w:lvl w:ilvl="4" w:tplc="FE6E5A9A">
      <w:numFmt w:val="decimal"/>
      <w:lvlText w:val=""/>
      <w:lvlJc w:val="left"/>
    </w:lvl>
    <w:lvl w:ilvl="5" w:tplc="24181178">
      <w:numFmt w:val="decimal"/>
      <w:lvlText w:val=""/>
      <w:lvlJc w:val="left"/>
    </w:lvl>
    <w:lvl w:ilvl="6" w:tplc="673E421E">
      <w:numFmt w:val="decimal"/>
      <w:lvlText w:val=""/>
      <w:lvlJc w:val="left"/>
    </w:lvl>
    <w:lvl w:ilvl="7" w:tplc="09649ABC">
      <w:numFmt w:val="decimal"/>
      <w:lvlText w:val=""/>
      <w:lvlJc w:val="left"/>
    </w:lvl>
    <w:lvl w:ilvl="8" w:tplc="CB841FAA">
      <w:numFmt w:val="decimal"/>
      <w:lvlText w:val=""/>
      <w:lvlJc w:val="left"/>
    </w:lvl>
  </w:abstractNum>
  <w:abstractNum w:abstractNumId="23" w15:restartNumberingAfterBreak="0">
    <w:nsid w:val="01FA00A2"/>
    <w:multiLevelType w:val="hybridMultilevel"/>
    <w:tmpl w:val="D8E6A532"/>
    <w:lvl w:ilvl="0" w:tplc="1062BDC4">
      <w:start w:val="1"/>
      <w:numFmt w:val="bullet"/>
      <w:lvlText w:val=""/>
      <w:lvlJc w:val="left"/>
      <w:pPr>
        <w:ind w:left="720" w:hanging="180"/>
      </w:pPr>
      <w:rPr>
        <w:rFonts w:ascii="Symbol" w:hAnsi="Symbol" w:hint="default"/>
      </w:rPr>
    </w:lvl>
    <w:lvl w:ilvl="1" w:tplc="7C6A7A06">
      <w:numFmt w:val="decimal"/>
      <w:lvlText w:val=""/>
      <w:lvlJc w:val="left"/>
    </w:lvl>
    <w:lvl w:ilvl="2" w:tplc="D05E2702">
      <w:numFmt w:val="decimal"/>
      <w:lvlText w:val=""/>
      <w:lvlJc w:val="left"/>
    </w:lvl>
    <w:lvl w:ilvl="3" w:tplc="FF2259C2">
      <w:numFmt w:val="decimal"/>
      <w:lvlText w:val=""/>
      <w:lvlJc w:val="left"/>
    </w:lvl>
    <w:lvl w:ilvl="4" w:tplc="CA50F29A">
      <w:numFmt w:val="decimal"/>
      <w:lvlText w:val=""/>
      <w:lvlJc w:val="left"/>
    </w:lvl>
    <w:lvl w:ilvl="5" w:tplc="7DD27178">
      <w:numFmt w:val="decimal"/>
      <w:lvlText w:val=""/>
      <w:lvlJc w:val="left"/>
    </w:lvl>
    <w:lvl w:ilvl="6" w:tplc="9F9496AA">
      <w:numFmt w:val="decimal"/>
      <w:lvlText w:val=""/>
      <w:lvlJc w:val="left"/>
    </w:lvl>
    <w:lvl w:ilvl="7" w:tplc="99A49404">
      <w:numFmt w:val="decimal"/>
      <w:lvlText w:val=""/>
      <w:lvlJc w:val="left"/>
    </w:lvl>
    <w:lvl w:ilvl="8" w:tplc="C9C2AF44">
      <w:numFmt w:val="decimal"/>
      <w:lvlText w:val=""/>
      <w:lvlJc w:val="left"/>
    </w:lvl>
  </w:abstractNum>
  <w:abstractNum w:abstractNumId="24" w15:restartNumberingAfterBreak="0">
    <w:nsid w:val="02244D3D"/>
    <w:multiLevelType w:val="hybridMultilevel"/>
    <w:tmpl w:val="BADAD2C2"/>
    <w:lvl w:ilvl="0" w:tplc="DF206118">
      <w:start w:val="1"/>
      <w:numFmt w:val="bullet"/>
      <w:lvlText w:val=""/>
      <w:lvlJc w:val="left"/>
      <w:pPr>
        <w:ind w:left="720" w:hanging="180"/>
      </w:pPr>
      <w:rPr>
        <w:rFonts w:ascii="Symbol" w:hAnsi="Symbol" w:hint="default"/>
      </w:rPr>
    </w:lvl>
    <w:lvl w:ilvl="1" w:tplc="60CE5580">
      <w:numFmt w:val="decimal"/>
      <w:lvlText w:val=""/>
      <w:lvlJc w:val="left"/>
    </w:lvl>
    <w:lvl w:ilvl="2" w:tplc="70D61B60">
      <w:numFmt w:val="decimal"/>
      <w:lvlText w:val=""/>
      <w:lvlJc w:val="left"/>
    </w:lvl>
    <w:lvl w:ilvl="3" w:tplc="87148A20">
      <w:numFmt w:val="decimal"/>
      <w:lvlText w:val=""/>
      <w:lvlJc w:val="left"/>
    </w:lvl>
    <w:lvl w:ilvl="4" w:tplc="5E821438">
      <w:numFmt w:val="decimal"/>
      <w:lvlText w:val=""/>
      <w:lvlJc w:val="left"/>
    </w:lvl>
    <w:lvl w:ilvl="5" w:tplc="0CCE9A2A">
      <w:numFmt w:val="decimal"/>
      <w:lvlText w:val=""/>
      <w:lvlJc w:val="left"/>
    </w:lvl>
    <w:lvl w:ilvl="6" w:tplc="C9FA3542">
      <w:numFmt w:val="decimal"/>
      <w:lvlText w:val=""/>
      <w:lvlJc w:val="left"/>
    </w:lvl>
    <w:lvl w:ilvl="7" w:tplc="9850D6CC">
      <w:numFmt w:val="decimal"/>
      <w:lvlText w:val=""/>
      <w:lvlJc w:val="left"/>
    </w:lvl>
    <w:lvl w:ilvl="8" w:tplc="C6AA2424">
      <w:numFmt w:val="decimal"/>
      <w:lvlText w:val=""/>
      <w:lvlJc w:val="left"/>
    </w:lvl>
  </w:abstractNum>
  <w:abstractNum w:abstractNumId="25" w15:restartNumberingAfterBreak="0">
    <w:nsid w:val="02437F5F"/>
    <w:multiLevelType w:val="hybridMultilevel"/>
    <w:tmpl w:val="6B6452EC"/>
    <w:lvl w:ilvl="0" w:tplc="9FFC1180">
      <w:start w:val="1"/>
      <w:numFmt w:val="bullet"/>
      <w:lvlText w:val=""/>
      <w:lvlJc w:val="left"/>
      <w:pPr>
        <w:ind w:left="720" w:hanging="180"/>
      </w:pPr>
      <w:rPr>
        <w:rFonts w:ascii="Symbol" w:hAnsi="Symbol" w:hint="default"/>
      </w:rPr>
    </w:lvl>
    <w:lvl w:ilvl="1" w:tplc="AAAAAC76">
      <w:numFmt w:val="decimal"/>
      <w:lvlText w:val=""/>
      <w:lvlJc w:val="left"/>
    </w:lvl>
    <w:lvl w:ilvl="2" w:tplc="94DE9EFC">
      <w:numFmt w:val="decimal"/>
      <w:lvlText w:val=""/>
      <w:lvlJc w:val="left"/>
    </w:lvl>
    <w:lvl w:ilvl="3" w:tplc="9BF44B22">
      <w:numFmt w:val="decimal"/>
      <w:lvlText w:val=""/>
      <w:lvlJc w:val="left"/>
    </w:lvl>
    <w:lvl w:ilvl="4" w:tplc="A6AE118C">
      <w:numFmt w:val="decimal"/>
      <w:lvlText w:val=""/>
      <w:lvlJc w:val="left"/>
    </w:lvl>
    <w:lvl w:ilvl="5" w:tplc="71148FDA">
      <w:numFmt w:val="decimal"/>
      <w:lvlText w:val=""/>
      <w:lvlJc w:val="left"/>
    </w:lvl>
    <w:lvl w:ilvl="6" w:tplc="0CA0ACC2">
      <w:numFmt w:val="decimal"/>
      <w:lvlText w:val=""/>
      <w:lvlJc w:val="left"/>
    </w:lvl>
    <w:lvl w:ilvl="7" w:tplc="3DC41216">
      <w:numFmt w:val="decimal"/>
      <w:lvlText w:val=""/>
      <w:lvlJc w:val="left"/>
    </w:lvl>
    <w:lvl w:ilvl="8" w:tplc="5608C3D6">
      <w:numFmt w:val="decimal"/>
      <w:lvlText w:val=""/>
      <w:lvlJc w:val="left"/>
    </w:lvl>
  </w:abstractNum>
  <w:abstractNum w:abstractNumId="26" w15:restartNumberingAfterBreak="0">
    <w:nsid w:val="026D4BDC"/>
    <w:multiLevelType w:val="hybridMultilevel"/>
    <w:tmpl w:val="E820B66C"/>
    <w:lvl w:ilvl="0" w:tplc="C62E78F6">
      <w:start w:val="1"/>
      <w:numFmt w:val="bullet"/>
      <w:lvlText w:val=""/>
      <w:lvlJc w:val="left"/>
      <w:pPr>
        <w:ind w:left="720" w:hanging="180"/>
      </w:pPr>
      <w:rPr>
        <w:rFonts w:ascii="Symbol" w:hAnsi="Symbol" w:hint="default"/>
      </w:rPr>
    </w:lvl>
    <w:lvl w:ilvl="1" w:tplc="CFD4B4E8">
      <w:numFmt w:val="decimal"/>
      <w:lvlText w:val=""/>
      <w:lvlJc w:val="left"/>
    </w:lvl>
    <w:lvl w:ilvl="2" w:tplc="D52A6632">
      <w:numFmt w:val="decimal"/>
      <w:lvlText w:val=""/>
      <w:lvlJc w:val="left"/>
    </w:lvl>
    <w:lvl w:ilvl="3" w:tplc="17C0883E">
      <w:numFmt w:val="decimal"/>
      <w:lvlText w:val=""/>
      <w:lvlJc w:val="left"/>
    </w:lvl>
    <w:lvl w:ilvl="4" w:tplc="2E82C156">
      <w:numFmt w:val="decimal"/>
      <w:lvlText w:val=""/>
      <w:lvlJc w:val="left"/>
    </w:lvl>
    <w:lvl w:ilvl="5" w:tplc="AE0220B0">
      <w:numFmt w:val="decimal"/>
      <w:lvlText w:val=""/>
      <w:lvlJc w:val="left"/>
    </w:lvl>
    <w:lvl w:ilvl="6" w:tplc="7F649EC4">
      <w:numFmt w:val="decimal"/>
      <w:lvlText w:val=""/>
      <w:lvlJc w:val="left"/>
    </w:lvl>
    <w:lvl w:ilvl="7" w:tplc="4F282F3E">
      <w:numFmt w:val="decimal"/>
      <w:lvlText w:val=""/>
      <w:lvlJc w:val="left"/>
    </w:lvl>
    <w:lvl w:ilvl="8" w:tplc="EB662DF6">
      <w:numFmt w:val="decimal"/>
      <w:lvlText w:val=""/>
      <w:lvlJc w:val="left"/>
    </w:lvl>
  </w:abstractNum>
  <w:abstractNum w:abstractNumId="27" w15:restartNumberingAfterBreak="0">
    <w:nsid w:val="02B216F0"/>
    <w:multiLevelType w:val="hybridMultilevel"/>
    <w:tmpl w:val="505EB888"/>
    <w:lvl w:ilvl="0" w:tplc="B4965F8E">
      <w:start w:val="1"/>
      <w:numFmt w:val="bullet"/>
      <w:lvlText w:val=""/>
      <w:lvlJc w:val="left"/>
      <w:pPr>
        <w:ind w:left="720" w:hanging="180"/>
      </w:pPr>
      <w:rPr>
        <w:rFonts w:ascii="Symbol" w:hAnsi="Symbol" w:hint="default"/>
      </w:rPr>
    </w:lvl>
    <w:lvl w:ilvl="1" w:tplc="5AE69BC0">
      <w:numFmt w:val="decimal"/>
      <w:lvlText w:val=""/>
      <w:lvlJc w:val="left"/>
    </w:lvl>
    <w:lvl w:ilvl="2" w:tplc="B98CE3E6">
      <w:numFmt w:val="decimal"/>
      <w:lvlText w:val=""/>
      <w:lvlJc w:val="left"/>
    </w:lvl>
    <w:lvl w:ilvl="3" w:tplc="7D0A7B2E">
      <w:numFmt w:val="decimal"/>
      <w:lvlText w:val=""/>
      <w:lvlJc w:val="left"/>
    </w:lvl>
    <w:lvl w:ilvl="4" w:tplc="1E167C62">
      <w:numFmt w:val="decimal"/>
      <w:lvlText w:val=""/>
      <w:lvlJc w:val="left"/>
    </w:lvl>
    <w:lvl w:ilvl="5" w:tplc="28EEB240">
      <w:numFmt w:val="decimal"/>
      <w:lvlText w:val=""/>
      <w:lvlJc w:val="left"/>
    </w:lvl>
    <w:lvl w:ilvl="6" w:tplc="EBE66520">
      <w:numFmt w:val="decimal"/>
      <w:lvlText w:val=""/>
      <w:lvlJc w:val="left"/>
    </w:lvl>
    <w:lvl w:ilvl="7" w:tplc="E0B86E90">
      <w:numFmt w:val="decimal"/>
      <w:lvlText w:val=""/>
      <w:lvlJc w:val="left"/>
    </w:lvl>
    <w:lvl w:ilvl="8" w:tplc="15BE9AE4">
      <w:numFmt w:val="decimal"/>
      <w:lvlText w:val=""/>
      <w:lvlJc w:val="left"/>
    </w:lvl>
  </w:abstractNum>
  <w:abstractNum w:abstractNumId="28" w15:restartNumberingAfterBreak="0">
    <w:nsid w:val="02BB5E4D"/>
    <w:multiLevelType w:val="hybridMultilevel"/>
    <w:tmpl w:val="1668EEBA"/>
    <w:lvl w:ilvl="0" w:tplc="D9FAF964">
      <w:start w:val="1"/>
      <w:numFmt w:val="bullet"/>
      <w:lvlText w:val=""/>
      <w:lvlJc w:val="left"/>
      <w:pPr>
        <w:ind w:left="720" w:hanging="180"/>
      </w:pPr>
      <w:rPr>
        <w:rFonts w:ascii="Symbol" w:hAnsi="Symbol" w:hint="default"/>
      </w:rPr>
    </w:lvl>
    <w:lvl w:ilvl="1" w:tplc="12D24DA2">
      <w:numFmt w:val="decimal"/>
      <w:lvlText w:val=""/>
      <w:lvlJc w:val="left"/>
    </w:lvl>
    <w:lvl w:ilvl="2" w:tplc="CA9C7D44">
      <w:numFmt w:val="decimal"/>
      <w:lvlText w:val=""/>
      <w:lvlJc w:val="left"/>
    </w:lvl>
    <w:lvl w:ilvl="3" w:tplc="39109162">
      <w:numFmt w:val="decimal"/>
      <w:lvlText w:val=""/>
      <w:lvlJc w:val="left"/>
    </w:lvl>
    <w:lvl w:ilvl="4" w:tplc="EEF6DFB2">
      <w:numFmt w:val="decimal"/>
      <w:lvlText w:val=""/>
      <w:lvlJc w:val="left"/>
    </w:lvl>
    <w:lvl w:ilvl="5" w:tplc="5A549FA8">
      <w:numFmt w:val="decimal"/>
      <w:lvlText w:val=""/>
      <w:lvlJc w:val="left"/>
    </w:lvl>
    <w:lvl w:ilvl="6" w:tplc="612EBB90">
      <w:numFmt w:val="decimal"/>
      <w:lvlText w:val=""/>
      <w:lvlJc w:val="left"/>
    </w:lvl>
    <w:lvl w:ilvl="7" w:tplc="1346A0EA">
      <w:numFmt w:val="decimal"/>
      <w:lvlText w:val=""/>
      <w:lvlJc w:val="left"/>
    </w:lvl>
    <w:lvl w:ilvl="8" w:tplc="9C82ABD6">
      <w:numFmt w:val="decimal"/>
      <w:lvlText w:val=""/>
      <w:lvlJc w:val="left"/>
    </w:lvl>
  </w:abstractNum>
  <w:abstractNum w:abstractNumId="29" w15:restartNumberingAfterBreak="0">
    <w:nsid w:val="02E702E3"/>
    <w:multiLevelType w:val="hybridMultilevel"/>
    <w:tmpl w:val="CAA01A7C"/>
    <w:lvl w:ilvl="0" w:tplc="5A6C72A4">
      <w:start w:val="1"/>
      <w:numFmt w:val="bullet"/>
      <w:lvlText w:val=""/>
      <w:lvlJc w:val="left"/>
      <w:pPr>
        <w:ind w:left="720" w:hanging="180"/>
      </w:pPr>
      <w:rPr>
        <w:rFonts w:ascii="Symbol" w:hAnsi="Symbol" w:hint="default"/>
      </w:rPr>
    </w:lvl>
    <w:lvl w:ilvl="1" w:tplc="8A52EB44">
      <w:numFmt w:val="decimal"/>
      <w:lvlText w:val=""/>
      <w:lvlJc w:val="left"/>
    </w:lvl>
    <w:lvl w:ilvl="2" w:tplc="297842A4">
      <w:numFmt w:val="decimal"/>
      <w:lvlText w:val=""/>
      <w:lvlJc w:val="left"/>
    </w:lvl>
    <w:lvl w:ilvl="3" w:tplc="E84426F4">
      <w:numFmt w:val="decimal"/>
      <w:lvlText w:val=""/>
      <w:lvlJc w:val="left"/>
    </w:lvl>
    <w:lvl w:ilvl="4" w:tplc="A4003868">
      <w:numFmt w:val="decimal"/>
      <w:lvlText w:val=""/>
      <w:lvlJc w:val="left"/>
    </w:lvl>
    <w:lvl w:ilvl="5" w:tplc="71901D6A">
      <w:numFmt w:val="decimal"/>
      <w:lvlText w:val=""/>
      <w:lvlJc w:val="left"/>
    </w:lvl>
    <w:lvl w:ilvl="6" w:tplc="EBC44CA6">
      <w:numFmt w:val="decimal"/>
      <w:lvlText w:val=""/>
      <w:lvlJc w:val="left"/>
    </w:lvl>
    <w:lvl w:ilvl="7" w:tplc="EA3E0342">
      <w:numFmt w:val="decimal"/>
      <w:lvlText w:val=""/>
      <w:lvlJc w:val="left"/>
    </w:lvl>
    <w:lvl w:ilvl="8" w:tplc="336E6CAA">
      <w:numFmt w:val="decimal"/>
      <w:lvlText w:val=""/>
      <w:lvlJc w:val="left"/>
    </w:lvl>
  </w:abstractNum>
  <w:abstractNum w:abstractNumId="30" w15:restartNumberingAfterBreak="0">
    <w:nsid w:val="02F939A3"/>
    <w:multiLevelType w:val="hybridMultilevel"/>
    <w:tmpl w:val="DE086124"/>
    <w:lvl w:ilvl="0" w:tplc="2158990E">
      <w:start w:val="1"/>
      <w:numFmt w:val="bullet"/>
      <w:lvlText w:val=""/>
      <w:lvlJc w:val="left"/>
      <w:pPr>
        <w:ind w:left="720" w:hanging="180"/>
      </w:pPr>
      <w:rPr>
        <w:rFonts w:ascii="Symbol" w:hAnsi="Symbol" w:hint="default"/>
      </w:rPr>
    </w:lvl>
    <w:lvl w:ilvl="1" w:tplc="53987904">
      <w:numFmt w:val="decimal"/>
      <w:lvlText w:val=""/>
      <w:lvlJc w:val="left"/>
    </w:lvl>
    <w:lvl w:ilvl="2" w:tplc="FF30630A">
      <w:numFmt w:val="decimal"/>
      <w:lvlText w:val=""/>
      <w:lvlJc w:val="left"/>
    </w:lvl>
    <w:lvl w:ilvl="3" w:tplc="D52A68EA">
      <w:numFmt w:val="decimal"/>
      <w:lvlText w:val=""/>
      <w:lvlJc w:val="left"/>
    </w:lvl>
    <w:lvl w:ilvl="4" w:tplc="3A16B6E6">
      <w:numFmt w:val="decimal"/>
      <w:lvlText w:val=""/>
      <w:lvlJc w:val="left"/>
    </w:lvl>
    <w:lvl w:ilvl="5" w:tplc="0F241A80">
      <w:numFmt w:val="decimal"/>
      <w:lvlText w:val=""/>
      <w:lvlJc w:val="left"/>
    </w:lvl>
    <w:lvl w:ilvl="6" w:tplc="0B6463BA">
      <w:numFmt w:val="decimal"/>
      <w:lvlText w:val=""/>
      <w:lvlJc w:val="left"/>
    </w:lvl>
    <w:lvl w:ilvl="7" w:tplc="67464444">
      <w:numFmt w:val="decimal"/>
      <w:lvlText w:val=""/>
      <w:lvlJc w:val="left"/>
    </w:lvl>
    <w:lvl w:ilvl="8" w:tplc="39340272">
      <w:numFmt w:val="decimal"/>
      <w:lvlText w:val=""/>
      <w:lvlJc w:val="left"/>
    </w:lvl>
  </w:abstractNum>
  <w:abstractNum w:abstractNumId="31" w15:restartNumberingAfterBreak="0">
    <w:nsid w:val="035A5271"/>
    <w:multiLevelType w:val="hybridMultilevel"/>
    <w:tmpl w:val="E96C7D72"/>
    <w:lvl w:ilvl="0" w:tplc="DDE64C5C">
      <w:start w:val="1"/>
      <w:numFmt w:val="bullet"/>
      <w:lvlText w:val=""/>
      <w:lvlJc w:val="left"/>
      <w:pPr>
        <w:ind w:left="720" w:hanging="180"/>
      </w:pPr>
      <w:rPr>
        <w:rFonts w:ascii="Symbol" w:hAnsi="Symbol" w:hint="default"/>
      </w:rPr>
    </w:lvl>
    <w:lvl w:ilvl="1" w:tplc="DBC82724">
      <w:numFmt w:val="decimal"/>
      <w:lvlText w:val=""/>
      <w:lvlJc w:val="left"/>
    </w:lvl>
    <w:lvl w:ilvl="2" w:tplc="E738D58E">
      <w:numFmt w:val="decimal"/>
      <w:lvlText w:val=""/>
      <w:lvlJc w:val="left"/>
    </w:lvl>
    <w:lvl w:ilvl="3" w:tplc="57A0245C">
      <w:numFmt w:val="decimal"/>
      <w:lvlText w:val=""/>
      <w:lvlJc w:val="left"/>
    </w:lvl>
    <w:lvl w:ilvl="4" w:tplc="494413F4">
      <w:numFmt w:val="decimal"/>
      <w:lvlText w:val=""/>
      <w:lvlJc w:val="left"/>
    </w:lvl>
    <w:lvl w:ilvl="5" w:tplc="BE124374">
      <w:numFmt w:val="decimal"/>
      <w:lvlText w:val=""/>
      <w:lvlJc w:val="left"/>
    </w:lvl>
    <w:lvl w:ilvl="6" w:tplc="28C2F052">
      <w:numFmt w:val="decimal"/>
      <w:lvlText w:val=""/>
      <w:lvlJc w:val="left"/>
    </w:lvl>
    <w:lvl w:ilvl="7" w:tplc="0F7ED710">
      <w:numFmt w:val="decimal"/>
      <w:lvlText w:val=""/>
      <w:lvlJc w:val="left"/>
    </w:lvl>
    <w:lvl w:ilvl="8" w:tplc="3EA481CA">
      <w:numFmt w:val="decimal"/>
      <w:lvlText w:val=""/>
      <w:lvlJc w:val="left"/>
    </w:lvl>
  </w:abstractNum>
  <w:abstractNum w:abstractNumId="32" w15:restartNumberingAfterBreak="0">
    <w:nsid w:val="037A0312"/>
    <w:multiLevelType w:val="hybridMultilevel"/>
    <w:tmpl w:val="178A9070"/>
    <w:lvl w:ilvl="0" w:tplc="82CEB1AE">
      <w:start w:val="1"/>
      <w:numFmt w:val="bullet"/>
      <w:lvlText w:val=""/>
      <w:lvlJc w:val="left"/>
      <w:pPr>
        <w:ind w:left="720" w:hanging="180"/>
      </w:pPr>
      <w:rPr>
        <w:rFonts w:ascii="Symbol" w:hAnsi="Symbol" w:hint="default"/>
      </w:rPr>
    </w:lvl>
    <w:lvl w:ilvl="1" w:tplc="FE467000">
      <w:numFmt w:val="decimal"/>
      <w:lvlText w:val=""/>
      <w:lvlJc w:val="left"/>
    </w:lvl>
    <w:lvl w:ilvl="2" w:tplc="4FD2B70C">
      <w:numFmt w:val="decimal"/>
      <w:lvlText w:val=""/>
      <w:lvlJc w:val="left"/>
    </w:lvl>
    <w:lvl w:ilvl="3" w:tplc="F1DAF8E8">
      <w:numFmt w:val="decimal"/>
      <w:lvlText w:val=""/>
      <w:lvlJc w:val="left"/>
    </w:lvl>
    <w:lvl w:ilvl="4" w:tplc="7B364B06">
      <w:numFmt w:val="decimal"/>
      <w:lvlText w:val=""/>
      <w:lvlJc w:val="left"/>
    </w:lvl>
    <w:lvl w:ilvl="5" w:tplc="A3E2B11E">
      <w:numFmt w:val="decimal"/>
      <w:lvlText w:val=""/>
      <w:lvlJc w:val="left"/>
    </w:lvl>
    <w:lvl w:ilvl="6" w:tplc="637CED2E">
      <w:numFmt w:val="decimal"/>
      <w:lvlText w:val=""/>
      <w:lvlJc w:val="left"/>
    </w:lvl>
    <w:lvl w:ilvl="7" w:tplc="84620174">
      <w:numFmt w:val="decimal"/>
      <w:lvlText w:val=""/>
      <w:lvlJc w:val="left"/>
    </w:lvl>
    <w:lvl w:ilvl="8" w:tplc="2774F2BC">
      <w:numFmt w:val="decimal"/>
      <w:lvlText w:val=""/>
      <w:lvlJc w:val="left"/>
    </w:lvl>
  </w:abstractNum>
  <w:abstractNum w:abstractNumId="33" w15:restartNumberingAfterBreak="0">
    <w:nsid w:val="03C422FE"/>
    <w:multiLevelType w:val="hybridMultilevel"/>
    <w:tmpl w:val="5170A74A"/>
    <w:lvl w:ilvl="0" w:tplc="50A65B2E">
      <w:start w:val="1"/>
      <w:numFmt w:val="bullet"/>
      <w:lvlText w:val=""/>
      <w:lvlJc w:val="left"/>
      <w:pPr>
        <w:ind w:left="720" w:hanging="180"/>
      </w:pPr>
      <w:rPr>
        <w:rFonts w:ascii="Symbol" w:hAnsi="Symbol" w:hint="default"/>
      </w:rPr>
    </w:lvl>
    <w:lvl w:ilvl="1" w:tplc="74FA101A">
      <w:numFmt w:val="decimal"/>
      <w:lvlText w:val=""/>
      <w:lvlJc w:val="left"/>
    </w:lvl>
    <w:lvl w:ilvl="2" w:tplc="3976BF40">
      <w:numFmt w:val="decimal"/>
      <w:lvlText w:val=""/>
      <w:lvlJc w:val="left"/>
    </w:lvl>
    <w:lvl w:ilvl="3" w:tplc="6D8E795E">
      <w:numFmt w:val="decimal"/>
      <w:lvlText w:val=""/>
      <w:lvlJc w:val="left"/>
    </w:lvl>
    <w:lvl w:ilvl="4" w:tplc="936296FC">
      <w:numFmt w:val="decimal"/>
      <w:lvlText w:val=""/>
      <w:lvlJc w:val="left"/>
    </w:lvl>
    <w:lvl w:ilvl="5" w:tplc="E5324F84">
      <w:numFmt w:val="decimal"/>
      <w:lvlText w:val=""/>
      <w:lvlJc w:val="left"/>
    </w:lvl>
    <w:lvl w:ilvl="6" w:tplc="F944380C">
      <w:numFmt w:val="decimal"/>
      <w:lvlText w:val=""/>
      <w:lvlJc w:val="left"/>
    </w:lvl>
    <w:lvl w:ilvl="7" w:tplc="7A2682A6">
      <w:numFmt w:val="decimal"/>
      <w:lvlText w:val=""/>
      <w:lvlJc w:val="left"/>
    </w:lvl>
    <w:lvl w:ilvl="8" w:tplc="B7280A76">
      <w:numFmt w:val="decimal"/>
      <w:lvlText w:val=""/>
      <w:lvlJc w:val="left"/>
    </w:lvl>
  </w:abstractNum>
  <w:abstractNum w:abstractNumId="34" w15:restartNumberingAfterBreak="0">
    <w:nsid w:val="04490F7A"/>
    <w:multiLevelType w:val="hybridMultilevel"/>
    <w:tmpl w:val="B9102D90"/>
    <w:lvl w:ilvl="0" w:tplc="673ABC54">
      <w:start w:val="1"/>
      <w:numFmt w:val="bullet"/>
      <w:lvlText w:val=""/>
      <w:lvlJc w:val="left"/>
      <w:pPr>
        <w:ind w:left="720" w:hanging="180"/>
      </w:pPr>
      <w:rPr>
        <w:rFonts w:ascii="Symbol" w:hAnsi="Symbol" w:hint="default"/>
      </w:rPr>
    </w:lvl>
    <w:lvl w:ilvl="1" w:tplc="923EBE98">
      <w:numFmt w:val="decimal"/>
      <w:lvlText w:val=""/>
      <w:lvlJc w:val="left"/>
    </w:lvl>
    <w:lvl w:ilvl="2" w:tplc="484297B4">
      <w:numFmt w:val="decimal"/>
      <w:lvlText w:val=""/>
      <w:lvlJc w:val="left"/>
    </w:lvl>
    <w:lvl w:ilvl="3" w:tplc="5782A074">
      <w:numFmt w:val="decimal"/>
      <w:lvlText w:val=""/>
      <w:lvlJc w:val="left"/>
    </w:lvl>
    <w:lvl w:ilvl="4" w:tplc="0D4A0A5E">
      <w:numFmt w:val="decimal"/>
      <w:lvlText w:val=""/>
      <w:lvlJc w:val="left"/>
    </w:lvl>
    <w:lvl w:ilvl="5" w:tplc="078259F6">
      <w:numFmt w:val="decimal"/>
      <w:lvlText w:val=""/>
      <w:lvlJc w:val="left"/>
    </w:lvl>
    <w:lvl w:ilvl="6" w:tplc="92EAB758">
      <w:numFmt w:val="decimal"/>
      <w:lvlText w:val=""/>
      <w:lvlJc w:val="left"/>
    </w:lvl>
    <w:lvl w:ilvl="7" w:tplc="52A4D1AE">
      <w:numFmt w:val="decimal"/>
      <w:lvlText w:val=""/>
      <w:lvlJc w:val="left"/>
    </w:lvl>
    <w:lvl w:ilvl="8" w:tplc="B6BE2180">
      <w:numFmt w:val="decimal"/>
      <w:lvlText w:val=""/>
      <w:lvlJc w:val="left"/>
    </w:lvl>
  </w:abstractNum>
  <w:abstractNum w:abstractNumId="35" w15:restartNumberingAfterBreak="0">
    <w:nsid w:val="049D2C17"/>
    <w:multiLevelType w:val="hybridMultilevel"/>
    <w:tmpl w:val="638A02C2"/>
    <w:lvl w:ilvl="0" w:tplc="46C8FE0C">
      <w:start w:val="1"/>
      <w:numFmt w:val="bullet"/>
      <w:lvlText w:val=""/>
      <w:lvlJc w:val="left"/>
      <w:pPr>
        <w:ind w:left="720" w:hanging="180"/>
      </w:pPr>
      <w:rPr>
        <w:rFonts w:ascii="Symbol" w:hAnsi="Symbol" w:hint="default"/>
      </w:rPr>
    </w:lvl>
    <w:lvl w:ilvl="1" w:tplc="9DA06CCC">
      <w:numFmt w:val="decimal"/>
      <w:lvlText w:val=""/>
      <w:lvlJc w:val="left"/>
    </w:lvl>
    <w:lvl w:ilvl="2" w:tplc="55F27FC4">
      <w:numFmt w:val="decimal"/>
      <w:lvlText w:val=""/>
      <w:lvlJc w:val="left"/>
    </w:lvl>
    <w:lvl w:ilvl="3" w:tplc="08B6886E">
      <w:numFmt w:val="decimal"/>
      <w:lvlText w:val=""/>
      <w:lvlJc w:val="left"/>
    </w:lvl>
    <w:lvl w:ilvl="4" w:tplc="78607DEA">
      <w:numFmt w:val="decimal"/>
      <w:lvlText w:val=""/>
      <w:lvlJc w:val="left"/>
    </w:lvl>
    <w:lvl w:ilvl="5" w:tplc="ECD4487E">
      <w:numFmt w:val="decimal"/>
      <w:lvlText w:val=""/>
      <w:lvlJc w:val="left"/>
    </w:lvl>
    <w:lvl w:ilvl="6" w:tplc="7BDC255C">
      <w:numFmt w:val="decimal"/>
      <w:lvlText w:val=""/>
      <w:lvlJc w:val="left"/>
    </w:lvl>
    <w:lvl w:ilvl="7" w:tplc="870A1FEA">
      <w:numFmt w:val="decimal"/>
      <w:lvlText w:val=""/>
      <w:lvlJc w:val="left"/>
    </w:lvl>
    <w:lvl w:ilvl="8" w:tplc="A90A66C4">
      <w:numFmt w:val="decimal"/>
      <w:lvlText w:val=""/>
      <w:lvlJc w:val="left"/>
    </w:lvl>
  </w:abstractNum>
  <w:abstractNum w:abstractNumId="36" w15:restartNumberingAfterBreak="0">
    <w:nsid w:val="04A130FB"/>
    <w:multiLevelType w:val="hybridMultilevel"/>
    <w:tmpl w:val="84BEFCD8"/>
    <w:lvl w:ilvl="0" w:tplc="A3BE1C5A">
      <w:start w:val="1"/>
      <w:numFmt w:val="bullet"/>
      <w:lvlText w:val=""/>
      <w:lvlJc w:val="left"/>
      <w:pPr>
        <w:ind w:left="720" w:hanging="180"/>
      </w:pPr>
      <w:rPr>
        <w:rFonts w:ascii="Symbol" w:hAnsi="Symbol" w:hint="default"/>
      </w:rPr>
    </w:lvl>
    <w:lvl w:ilvl="1" w:tplc="FFECBBDE">
      <w:numFmt w:val="decimal"/>
      <w:lvlText w:val=""/>
      <w:lvlJc w:val="left"/>
    </w:lvl>
    <w:lvl w:ilvl="2" w:tplc="B86224F6">
      <w:numFmt w:val="decimal"/>
      <w:lvlText w:val=""/>
      <w:lvlJc w:val="left"/>
    </w:lvl>
    <w:lvl w:ilvl="3" w:tplc="45F05704">
      <w:numFmt w:val="decimal"/>
      <w:lvlText w:val=""/>
      <w:lvlJc w:val="left"/>
    </w:lvl>
    <w:lvl w:ilvl="4" w:tplc="9E52497A">
      <w:numFmt w:val="decimal"/>
      <w:lvlText w:val=""/>
      <w:lvlJc w:val="left"/>
    </w:lvl>
    <w:lvl w:ilvl="5" w:tplc="3768F18A">
      <w:numFmt w:val="decimal"/>
      <w:lvlText w:val=""/>
      <w:lvlJc w:val="left"/>
    </w:lvl>
    <w:lvl w:ilvl="6" w:tplc="DB20FDC2">
      <w:numFmt w:val="decimal"/>
      <w:lvlText w:val=""/>
      <w:lvlJc w:val="left"/>
    </w:lvl>
    <w:lvl w:ilvl="7" w:tplc="92FEAAFA">
      <w:numFmt w:val="decimal"/>
      <w:lvlText w:val=""/>
      <w:lvlJc w:val="left"/>
    </w:lvl>
    <w:lvl w:ilvl="8" w:tplc="D980B428">
      <w:numFmt w:val="decimal"/>
      <w:lvlText w:val=""/>
      <w:lvlJc w:val="left"/>
    </w:lvl>
  </w:abstractNum>
  <w:abstractNum w:abstractNumId="37" w15:restartNumberingAfterBreak="0">
    <w:nsid w:val="04B66743"/>
    <w:multiLevelType w:val="hybridMultilevel"/>
    <w:tmpl w:val="7E20073A"/>
    <w:lvl w:ilvl="0" w:tplc="84C29714">
      <w:start w:val="1"/>
      <w:numFmt w:val="bullet"/>
      <w:lvlText w:val=""/>
      <w:lvlJc w:val="left"/>
      <w:pPr>
        <w:ind w:left="720" w:hanging="180"/>
      </w:pPr>
      <w:rPr>
        <w:rFonts w:ascii="Symbol" w:hAnsi="Symbol" w:hint="default"/>
      </w:rPr>
    </w:lvl>
    <w:lvl w:ilvl="1" w:tplc="7E62EB9E">
      <w:numFmt w:val="decimal"/>
      <w:lvlText w:val=""/>
      <w:lvlJc w:val="left"/>
    </w:lvl>
    <w:lvl w:ilvl="2" w:tplc="B26C63E8">
      <w:numFmt w:val="decimal"/>
      <w:lvlText w:val=""/>
      <w:lvlJc w:val="left"/>
    </w:lvl>
    <w:lvl w:ilvl="3" w:tplc="1F8CA7BE">
      <w:numFmt w:val="decimal"/>
      <w:lvlText w:val=""/>
      <w:lvlJc w:val="left"/>
    </w:lvl>
    <w:lvl w:ilvl="4" w:tplc="B39E59F0">
      <w:numFmt w:val="decimal"/>
      <w:lvlText w:val=""/>
      <w:lvlJc w:val="left"/>
    </w:lvl>
    <w:lvl w:ilvl="5" w:tplc="DEB2F6FE">
      <w:numFmt w:val="decimal"/>
      <w:lvlText w:val=""/>
      <w:lvlJc w:val="left"/>
    </w:lvl>
    <w:lvl w:ilvl="6" w:tplc="FF52A916">
      <w:numFmt w:val="decimal"/>
      <w:lvlText w:val=""/>
      <w:lvlJc w:val="left"/>
    </w:lvl>
    <w:lvl w:ilvl="7" w:tplc="36549D2E">
      <w:numFmt w:val="decimal"/>
      <w:lvlText w:val=""/>
      <w:lvlJc w:val="left"/>
    </w:lvl>
    <w:lvl w:ilvl="8" w:tplc="7E66A986">
      <w:numFmt w:val="decimal"/>
      <w:lvlText w:val=""/>
      <w:lvlJc w:val="left"/>
    </w:lvl>
  </w:abstractNum>
  <w:abstractNum w:abstractNumId="38" w15:restartNumberingAfterBreak="0">
    <w:nsid w:val="04D47B8F"/>
    <w:multiLevelType w:val="hybridMultilevel"/>
    <w:tmpl w:val="D8AA96C2"/>
    <w:lvl w:ilvl="0" w:tplc="402084E0">
      <w:start w:val="1"/>
      <w:numFmt w:val="bullet"/>
      <w:lvlText w:val=""/>
      <w:lvlJc w:val="left"/>
      <w:pPr>
        <w:ind w:left="720" w:hanging="180"/>
      </w:pPr>
      <w:rPr>
        <w:rFonts w:ascii="Symbol" w:hAnsi="Symbol" w:hint="default"/>
      </w:rPr>
    </w:lvl>
    <w:lvl w:ilvl="1" w:tplc="0D5842DA">
      <w:numFmt w:val="decimal"/>
      <w:lvlText w:val=""/>
      <w:lvlJc w:val="left"/>
    </w:lvl>
    <w:lvl w:ilvl="2" w:tplc="1CBCB178">
      <w:numFmt w:val="decimal"/>
      <w:lvlText w:val=""/>
      <w:lvlJc w:val="left"/>
    </w:lvl>
    <w:lvl w:ilvl="3" w:tplc="E91A2834">
      <w:numFmt w:val="decimal"/>
      <w:lvlText w:val=""/>
      <w:lvlJc w:val="left"/>
    </w:lvl>
    <w:lvl w:ilvl="4" w:tplc="AD6A4ACC">
      <w:numFmt w:val="decimal"/>
      <w:lvlText w:val=""/>
      <w:lvlJc w:val="left"/>
    </w:lvl>
    <w:lvl w:ilvl="5" w:tplc="F82C5ACE">
      <w:numFmt w:val="decimal"/>
      <w:lvlText w:val=""/>
      <w:lvlJc w:val="left"/>
    </w:lvl>
    <w:lvl w:ilvl="6" w:tplc="15F25B7E">
      <w:numFmt w:val="decimal"/>
      <w:lvlText w:val=""/>
      <w:lvlJc w:val="left"/>
    </w:lvl>
    <w:lvl w:ilvl="7" w:tplc="5A68C5EE">
      <w:numFmt w:val="decimal"/>
      <w:lvlText w:val=""/>
      <w:lvlJc w:val="left"/>
    </w:lvl>
    <w:lvl w:ilvl="8" w:tplc="EA881726">
      <w:numFmt w:val="decimal"/>
      <w:lvlText w:val=""/>
      <w:lvlJc w:val="left"/>
    </w:lvl>
  </w:abstractNum>
  <w:abstractNum w:abstractNumId="39" w15:restartNumberingAfterBreak="0">
    <w:nsid w:val="04F301A5"/>
    <w:multiLevelType w:val="hybridMultilevel"/>
    <w:tmpl w:val="A4643B08"/>
    <w:lvl w:ilvl="0" w:tplc="FF167586">
      <w:start w:val="1"/>
      <w:numFmt w:val="bullet"/>
      <w:lvlText w:val=""/>
      <w:lvlJc w:val="left"/>
      <w:pPr>
        <w:ind w:left="720" w:hanging="180"/>
      </w:pPr>
      <w:rPr>
        <w:rFonts w:ascii="Symbol" w:hAnsi="Symbol" w:hint="default"/>
      </w:rPr>
    </w:lvl>
    <w:lvl w:ilvl="1" w:tplc="FBB85ABA">
      <w:numFmt w:val="decimal"/>
      <w:lvlText w:val=""/>
      <w:lvlJc w:val="left"/>
    </w:lvl>
    <w:lvl w:ilvl="2" w:tplc="FC18D398">
      <w:numFmt w:val="decimal"/>
      <w:lvlText w:val=""/>
      <w:lvlJc w:val="left"/>
    </w:lvl>
    <w:lvl w:ilvl="3" w:tplc="EE86531E">
      <w:numFmt w:val="decimal"/>
      <w:lvlText w:val=""/>
      <w:lvlJc w:val="left"/>
    </w:lvl>
    <w:lvl w:ilvl="4" w:tplc="1AB6FE48">
      <w:numFmt w:val="decimal"/>
      <w:lvlText w:val=""/>
      <w:lvlJc w:val="left"/>
    </w:lvl>
    <w:lvl w:ilvl="5" w:tplc="A1524CE6">
      <w:numFmt w:val="decimal"/>
      <w:lvlText w:val=""/>
      <w:lvlJc w:val="left"/>
    </w:lvl>
    <w:lvl w:ilvl="6" w:tplc="8BC6AA7A">
      <w:numFmt w:val="decimal"/>
      <w:lvlText w:val=""/>
      <w:lvlJc w:val="left"/>
    </w:lvl>
    <w:lvl w:ilvl="7" w:tplc="9F56210E">
      <w:numFmt w:val="decimal"/>
      <w:lvlText w:val=""/>
      <w:lvlJc w:val="left"/>
    </w:lvl>
    <w:lvl w:ilvl="8" w:tplc="9EA80C8E">
      <w:numFmt w:val="decimal"/>
      <w:lvlText w:val=""/>
      <w:lvlJc w:val="left"/>
    </w:lvl>
  </w:abstractNum>
  <w:abstractNum w:abstractNumId="40" w15:restartNumberingAfterBreak="0">
    <w:nsid w:val="05140054"/>
    <w:multiLevelType w:val="hybridMultilevel"/>
    <w:tmpl w:val="A1F825BA"/>
    <w:lvl w:ilvl="0" w:tplc="C41CD772">
      <w:start w:val="1"/>
      <w:numFmt w:val="bullet"/>
      <w:lvlText w:val=""/>
      <w:lvlJc w:val="left"/>
      <w:pPr>
        <w:ind w:left="720" w:hanging="180"/>
      </w:pPr>
      <w:rPr>
        <w:rFonts w:ascii="Symbol" w:hAnsi="Symbol" w:hint="default"/>
      </w:rPr>
    </w:lvl>
    <w:lvl w:ilvl="1" w:tplc="F0F204F2">
      <w:numFmt w:val="decimal"/>
      <w:lvlText w:val=""/>
      <w:lvlJc w:val="left"/>
    </w:lvl>
    <w:lvl w:ilvl="2" w:tplc="FA066016">
      <w:numFmt w:val="decimal"/>
      <w:lvlText w:val=""/>
      <w:lvlJc w:val="left"/>
    </w:lvl>
    <w:lvl w:ilvl="3" w:tplc="97A2A87C">
      <w:numFmt w:val="decimal"/>
      <w:lvlText w:val=""/>
      <w:lvlJc w:val="left"/>
    </w:lvl>
    <w:lvl w:ilvl="4" w:tplc="37485570">
      <w:numFmt w:val="decimal"/>
      <w:lvlText w:val=""/>
      <w:lvlJc w:val="left"/>
    </w:lvl>
    <w:lvl w:ilvl="5" w:tplc="2CAC395C">
      <w:numFmt w:val="decimal"/>
      <w:lvlText w:val=""/>
      <w:lvlJc w:val="left"/>
    </w:lvl>
    <w:lvl w:ilvl="6" w:tplc="F878CE92">
      <w:numFmt w:val="decimal"/>
      <w:lvlText w:val=""/>
      <w:lvlJc w:val="left"/>
    </w:lvl>
    <w:lvl w:ilvl="7" w:tplc="6B24AE02">
      <w:numFmt w:val="decimal"/>
      <w:lvlText w:val=""/>
      <w:lvlJc w:val="left"/>
    </w:lvl>
    <w:lvl w:ilvl="8" w:tplc="0CCA0538">
      <w:numFmt w:val="decimal"/>
      <w:lvlText w:val=""/>
      <w:lvlJc w:val="left"/>
    </w:lvl>
  </w:abstractNum>
  <w:abstractNum w:abstractNumId="41" w15:restartNumberingAfterBreak="0">
    <w:nsid w:val="05203985"/>
    <w:multiLevelType w:val="hybridMultilevel"/>
    <w:tmpl w:val="D86C473C"/>
    <w:lvl w:ilvl="0" w:tplc="5154913E">
      <w:start w:val="1"/>
      <w:numFmt w:val="bullet"/>
      <w:lvlText w:val=""/>
      <w:lvlJc w:val="left"/>
      <w:pPr>
        <w:ind w:left="720" w:hanging="180"/>
      </w:pPr>
      <w:rPr>
        <w:rFonts w:ascii="Symbol" w:hAnsi="Symbol" w:hint="default"/>
      </w:rPr>
    </w:lvl>
    <w:lvl w:ilvl="1" w:tplc="9A2E48D4">
      <w:numFmt w:val="decimal"/>
      <w:lvlText w:val=""/>
      <w:lvlJc w:val="left"/>
    </w:lvl>
    <w:lvl w:ilvl="2" w:tplc="7444C96C">
      <w:numFmt w:val="decimal"/>
      <w:lvlText w:val=""/>
      <w:lvlJc w:val="left"/>
    </w:lvl>
    <w:lvl w:ilvl="3" w:tplc="E08A8F22">
      <w:numFmt w:val="decimal"/>
      <w:lvlText w:val=""/>
      <w:lvlJc w:val="left"/>
    </w:lvl>
    <w:lvl w:ilvl="4" w:tplc="70EC94A6">
      <w:numFmt w:val="decimal"/>
      <w:lvlText w:val=""/>
      <w:lvlJc w:val="left"/>
    </w:lvl>
    <w:lvl w:ilvl="5" w:tplc="326CE0D4">
      <w:numFmt w:val="decimal"/>
      <w:lvlText w:val=""/>
      <w:lvlJc w:val="left"/>
    </w:lvl>
    <w:lvl w:ilvl="6" w:tplc="A540083A">
      <w:numFmt w:val="decimal"/>
      <w:lvlText w:val=""/>
      <w:lvlJc w:val="left"/>
    </w:lvl>
    <w:lvl w:ilvl="7" w:tplc="1A7C5C5E">
      <w:numFmt w:val="decimal"/>
      <w:lvlText w:val=""/>
      <w:lvlJc w:val="left"/>
    </w:lvl>
    <w:lvl w:ilvl="8" w:tplc="DA0ECFD2">
      <w:numFmt w:val="decimal"/>
      <w:lvlText w:val=""/>
      <w:lvlJc w:val="left"/>
    </w:lvl>
  </w:abstractNum>
  <w:abstractNum w:abstractNumId="42" w15:restartNumberingAfterBreak="0">
    <w:nsid w:val="0540233C"/>
    <w:multiLevelType w:val="hybridMultilevel"/>
    <w:tmpl w:val="F8BE4B4C"/>
    <w:lvl w:ilvl="0" w:tplc="250A440A">
      <w:start w:val="1"/>
      <w:numFmt w:val="bullet"/>
      <w:lvlText w:val=""/>
      <w:lvlJc w:val="left"/>
      <w:pPr>
        <w:ind w:left="720" w:hanging="180"/>
      </w:pPr>
      <w:rPr>
        <w:rFonts w:ascii="Symbol" w:hAnsi="Symbol" w:hint="default"/>
      </w:rPr>
    </w:lvl>
    <w:lvl w:ilvl="1" w:tplc="B4DCF8C4">
      <w:numFmt w:val="decimal"/>
      <w:lvlText w:val=""/>
      <w:lvlJc w:val="left"/>
    </w:lvl>
    <w:lvl w:ilvl="2" w:tplc="3D929A84">
      <w:numFmt w:val="decimal"/>
      <w:lvlText w:val=""/>
      <w:lvlJc w:val="left"/>
    </w:lvl>
    <w:lvl w:ilvl="3" w:tplc="314EF332">
      <w:numFmt w:val="decimal"/>
      <w:lvlText w:val=""/>
      <w:lvlJc w:val="left"/>
    </w:lvl>
    <w:lvl w:ilvl="4" w:tplc="5E463C52">
      <w:numFmt w:val="decimal"/>
      <w:lvlText w:val=""/>
      <w:lvlJc w:val="left"/>
    </w:lvl>
    <w:lvl w:ilvl="5" w:tplc="AA028108">
      <w:numFmt w:val="decimal"/>
      <w:lvlText w:val=""/>
      <w:lvlJc w:val="left"/>
    </w:lvl>
    <w:lvl w:ilvl="6" w:tplc="AB1CD93E">
      <w:numFmt w:val="decimal"/>
      <w:lvlText w:val=""/>
      <w:lvlJc w:val="left"/>
    </w:lvl>
    <w:lvl w:ilvl="7" w:tplc="CBA613EE">
      <w:numFmt w:val="decimal"/>
      <w:lvlText w:val=""/>
      <w:lvlJc w:val="left"/>
    </w:lvl>
    <w:lvl w:ilvl="8" w:tplc="D87CBD3E">
      <w:numFmt w:val="decimal"/>
      <w:lvlText w:val=""/>
      <w:lvlJc w:val="left"/>
    </w:lvl>
  </w:abstractNum>
  <w:abstractNum w:abstractNumId="43" w15:restartNumberingAfterBreak="0">
    <w:nsid w:val="05413E91"/>
    <w:multiLevelType w:val="hybridMultilevel"/>
    <w:tmpl w:val="0E845F1C"/>
    <w:lvl w:ilvl="0" w:tplc="1FA4404A">
      <w:start w:val="1"/>
      <w:numFmt w:val="bullet"/>
      <w:lvlText w:val=""/>
      <w:lvlJc w:val="left"/>
      <w:pPr>
        <w:ind w:left="720" w:hanging="180"/>
      </w:pPr>
      <w:rPr>
        <w:rFonts w:ascii="Symbol" w:hAnsi="Symbol" w:hint="default"/>
      </w:rPr>
    </w:lvl>
    <w:lvl w:ilvl="1" w:tplc="E1C4BE20">
      <w:numFmt w:val="decimal"/>
      <w:lvlText w:val=""/>
      <w:lvlJc w:val="left"/>
    </w:lvl>
    <w:lvl w:ilvl="2" w:tplc="75E67F0E">
      <w:numFmt w:val="decimal"/>
      <w:lvlText w:val=""/>
      <w:lvlJc w:val="left"/>
    </w:lvl>
    <w:lvl w:ilvl="3" w:tplc="D750ADAE">
      <w:numFmt w:val="decimal"/>
      <w:lvlText w:val=""/>
      <w:lvlJc w:val="left"/>
    </w:lvl>
    <w:lvl w:ilvl="4" w:tplc="9012855A">
      <w:numFmt w:val="decimal"/>
      <w:lvlText w:val=""/>
      <w:lvlJc w:val="left"/>
    </w:lvl>
    <w:lvl w:ilvl="5" w:tplc="6D946160">
      <w:numFmt w:val="decimal"/>
      <w:lvlText w:val=""/>
      <w:lvlJc w:val="left"/>
    </w:lvl>
    <w:lvl w:ilvl="6" w:tplc="2C4CEB56">
      <w:numFmt w:val="decimal"/>
      <w:lvlText w:val=""/>
      <w:lvlJc w:val="left"/>
    </w:lvl>
    <w:lvl w:ilvl="7" w:tplc="F8047DB0">
      <w:numFmt w:val="decimal"/>
      <w:lvlText w:val=""/>
      <w:lvlJc w:val="left"/>
    </w:lvl>
    <w:lvl w:ilvl="8" w:tplc="607E2F06">
      <w:numFmt w:val="decimal"/>
      <w:lvlText w:val=""/>
      <w:lvlJc w:val="left"/>
    </w:lvl>
  </w:abstractNum>
  <w:abstractNum w:abstractNumId="44" w15:restartNumberingAfterBreak="0">
    <w:nsid w:val="05826BD7"/>
    <w:multiLevelType w:val="hybridMultilevel"/>
    <w:tmpl w:val="BBF09382"/>
    <w:lvl w:ilvl="0" w:tplc="71E8737C">
      <w:start w:val="1"/>
      <w:numFmt w:val="bullet"/>
      <w:lvlText w:val=""/>
      <w:lvlJc w:val="left"/>
      <w:pPr>
        <w:ind w:left="720" w:hanging="180"/>
      </w:pPr>
      <w:rPr>
        <w:rFonts w:ascii="Symbol" w:hAnsi="Symbol" w:hint="default"/>
      </w:rPr>
    </w:lvl>
    <w:lvl w:ilvl="1" w:tplc="E236D812">
      <w:numFmt w:val="decimal"/>
      <w:lvlText w:val=""/>
      <w:lvlJc w:val="left"/>
    </w:lvl>
    <w:lvl w:ilvl="2" w:tplc="AA5061E2">
      <w:numFmt w:val="decimal"/>
      <w:lvlText w:val=""/>
      <w:lvlJc w:val="left"/>
    </w:lvl>
    <w:lvl w:ilvl="3" w:tplc="79FC27C6">
      <w:numFmt w:val="decimal"/>
      <w:lvlText w:val=""/>
      <w:lvlJc w:val="left"/>
    </w:lvl>
    <w:lvl w:ilvl="4" w:tplc="20C45726">
      <w:numFmt w:val="decimal"/>
      <w:lvlText w:val=""/>
      <w:lvlJc w:val="left"/>
    </w:lvl>
    <w:lvl w:ilvl="5" w:tplc="9EB2B9FE">
      <w:numFmt w:val="decimal"/>
      <w:lvlText w:val=""/>
      <w:lvlJc w:val="left"/>
    </w:lvl>
    <w:lvl w:ilvl="6" w:tplc="BAB0A1E4">
      <w:numFmt w:val="decimal"/>
      <w:lvlText w:val=""/>
      <w:lvlJc w:val="left"/>
    </w:lvl>
    <w:lvl w:ilvl="7" w:tplc="402C5EEE">
      <w:numFmt w:val="decimal"/>
      <w:lvlText w:val=""/>
      <w:lvlJc w:val="left"/>
    </w:lvl>
    <w:lvl w:ilvl="8" w:tplc="556EDEF0">
      <w:numFmt w:val="decimal"/>
      <w:lvlText w:val=""/>
      <w:lvlJc w:val="left"/>
    </w:lvl>
  </w:abstractNum>
  <w:abstractNum w:abstractNumId="45" w15:restartNumberingAfterBreak="0">
    <w:nsid w:val="05E30646"/>
    <w:multiLevelType w:val="hybridMultilevel"/>
    <w:tmpl w:val="D41023D2"/>
    <w:lvl w:ilvl="0" w:tplc="8AC2CFA0">
      <w:start w:val="1"/>
      <w:numFmt w:val="bullet"/>
      <w:lvlText w:val=""/>
      <w:lvlJc w:val="left"/>
      <w:pPr>
        <w:ind w:left="720" w:hanging="180"/>
      </w:pPr>
      <w:rPr>
        <w:rFonts w:ascii="Symbol" w:hAnsi="Symbol" w:hint="default"/>
      </w:rPr>
    </w:lvl>
    <w:lvl w:ilvl="1" w:tplc="EBB4030C">
      <w:numFmt w:val="decimal"/>
      <w:lvlText w:val=""/>
      <w:lvlJc w:val="left"/>
    </w:lvl>
    <w:lvl w:ilvl="2" w:tplc="2916AB2C">
      <w:numFmt w:val="decimal"/>
      <w:lvlText w:val=""/>
      <w:lvlJc w:val="left"/>
    </w:lvl>
    <w:lvl w:ilvl="3" w:tplc="53F09904">
      <w:numFmt w:val="decimal"/>
      <w:lvlText w:val=""/>
      <w:lvlJc w:val="left"/>
    </w:lvl>
    <w:lvl w:ilvl="4" w:tplc="968031E2">
      <w:numFmt w:val="decimal"/>
      <w:lvlText w:val=""/>
      <w:lvlJc w:val="left"/>
    </w:lvl>
    <w:lvl w:ilvl="5" w:tplc="1DE8BAC0">
      <w:numFmt w:val="decimal"/>
      <w:lvlText w:val=""/>
      <w:lvlJc w:val="left"/>
    </w:lvl>
    <w:lvl w:ilvl="6" w:tplc="F7FE856C">
      <w:numFmt w:val="decimal"/>
      <w:lvlText w:val=""/>
      <w:lvlJc w:val="left"/>
    </w:lvl>
    <w:lvl w:ilvl="7" w:tplc="0496477A">
      <w:numFmt w:val="decimal"/>
      <w:lvlText w:val=""/>
      <w:lvlJc w:val="left"/>
    </w:lvl>
    <w:lvl w:ilvl="8" w:tplc="83A6EF4A">
      <w:numFmt w:val="decimal"/>
      <w:lvlText w:val=""/>
      <w:lvlJc w:val="left"/>
    </w:lvl>
  </w:abstractNum>
  <w:abstractNum w:abstractNumId="46" w15:restartNumberingAfterBreak="0">
    <w:nsid w:val="05EE34BC"/>
    <w:multiLevelType w:val="hybridMultilevel"/>
    <w:tmpl w:val="AE0A41D2"/>
    <w:lvl w:ilvl="0" w:tplc="A56CAA58">
      <w:start w:val="1"/>
      <w:numFmt w:val="bullet"/>
      <w:lvlText w:val=""/>
      <w:lvlJc w:val="left"/>
      <w:pPr>
        <w:ind w:left="720" w:hanging="180"/>
      </w:pPr>
      <w:rPr>
        <w:rFonts w:ascii="Symbol" w:hAnsi="Symbol" w:hint="default"/>
      </w:rPr>
    </w:lvl>
    <w:lvl w:ilvl="1" w:tplc="8646A3F8">
      <w:numFmt w:val="decimal"/>
      <w:lvlText w:val=""/>
      <w:lvlJc w:val="left"/>
    </w:lvl>
    <w:lvl w:ilvl="2" w:tplc="CC429A30">
      <w:numFmt w:val="decimal"/>
      <w:lvlText w:val=""/>
      <w:lvlJc w:val="left"/>
    </w:lvl>
    <w:lvl w:ilvl="3" w:tplc="950A1980">
      <w:numFmt w:val="decimal"/>
      <w:lvlText w:val=""/>
      <w:lvlJc w:val="left"/>
    </w:lvl>
    <w:lvl w:ilvl="4" w:tplc="CA92FA6E">
      <w:numFmt w:val="decimal"/>
      <w:lvlText w:val=""/>
      <w:lvlJc w:val="left"/>
    </w:lvl>
    <w:lvl w:ilvl="5" w:tplc="ECB0D942">
      <w:numFmt w:val="decimal"/>
      <w:lvlText w:val=""/>
      <w:lvlJc w:val="left"/>
    </w:lvl>
    <w:lvl w:ilvl="6" w:tplc="6EFC2608">
      <w:numFmt w:val="decimal"/>
      <w:lvlText w:val=""/>
      <w:lvlJc w:val="left"/>
    </w:lvl>
    <w:lvl w:ilvl="7" w:tplc="5544838C">
      <w:numFmt w:val="decimal"/>
      <w:lvlText w:val=""/>
      <w:lvlJc w:val="left"/>
    </w:lvl>
    <w:lvl w:ilvl="8" w:tplc="F710AC9A">
      <w:numFmt w:val="decimal"/>
      <w:lvlText w:val=""/>
      <w:lvlJc w:val="left"/>
    </w:lvl>
  </w:abstractNum>
  <w:abstractNum w:abstractNumId="47" w15:restartNumberingAfterBreak="0">
    <w:nsid w:val="05EF5D6F"/>
    <w:multiLevelType w:val="hybridMultilevel"/>
    <w:tmpl w:val="842AB8E8"/>
    <w:lvl w:ilvl="0" w:tplc="45D453DE">
      <w:start w:val="1"/>
      <w:numFmt w:val="bullet"/>
      <w:lvlText w:val=""/>
      <w:lvlJc w:val="left"/>
      <w:pPr>
        <w:ind w:left="720" w:hanging="180"/>
      </w:pPr>
      <w:rPr>
        <w:rFonts w:ascii="Symbol" w:hAnsi="Symbol" w:hint="default"/>
      </w:rPr>
    </w:lvl>
    <w:lvl w:ilvl="1" w:tplc="EBDA8F4C">
      <w:numFmt w:val="decimal"/>
      <w:lvlText w:val=""/>
      <w:lvlJc w:val="left"/>
    </w:lvl>
    <w:lvl w:ilvl="2" w:tplc="01543146">
      <w:numFmt w:val="decimal"/>
      <w:lvlText w:val=""/>
      <w:lvlJc w:val="left"/>
    </w:lvl>
    <w:lvl w:ilvl="3" w:tplc="CDE44EB4">
      <w:numFmt w:val="decimal"/>
      <w:lvlText w:val=""/>
      <w:lvlJc w:val="left"/>
    </w:lvl>
    <w:lvl w:ilvl="4" w:tplc="A9F2543E">
      <w:numFmt w:val="decimal"/>
      <w:lvlText w:val=""/>
      <w:lvlJc w:val="left"/>
    </w:lvl>
    <w:lvl w:ilvl="5" w:tplc="59849798">
      <w:numFmt w:val="decimal"/>
      <w:lvlText w:val=""/>
      <w:lvlJc w:val="left"/>
    </w:lvl>
    <w:lvl w:ilvl="6" w:tplc="143A59D6">
      <w:numFmt w:val="decimal"/>
      <w:lvlText w:val=""/>
      <w:lvlJc w:val="left"/>
    </w:lvl>
    <w:lvl w:ilvl="7" w:tplc="D6D660FE">
      <w:numFmt w:val="decimal"/>
      <w:lvlText w:val=""/>
      <w:lvlJc w:val="left"/>
    </w:lvl>
    <w:lvl w:ilvl="8" w:tplc="8FCABF5E">
      <w:numFmt w:val="decimal"/>
      <w:lvlText w:val=""/>
      <w:lvlJc w:val="left"/>
    </w:lvl>
  </w:abstractNum>
  <w:abstractNum w:abstractNumId="48" w15:restartNumberingAfterBreak="0">
    <w:nsid w:val="05F64FD7"/>
    <w:multiLevelType w:val="hybridMultilevel"/>
    <w:tmpl w:val="74348DAA"/>
    <w:lvl w:ilvl="0" w:tplc="2048E1E8">
      <w:start w:val="1"/>
      <w:numFmt w:val="bullet"/>
      <w:lvlText w:val=""/>
      <w:lvlJc w:val="left"/>
      <w:pPr>
        <w:ind w:left="720" w:hanging="180"/>
      </w:pPr>
      <w:rPr>
        <w:rFonts w:ascii="Symbol" w:hAnsi="Symbol" w:hint="default"/>
      </w:rPr>
    </w:lvl>
    <w:lvl w:ilvl="1" w:tplc="24B815B0">
      <w:numFmt w:val="decimal"/>
      <w:lvlText w:val=""/>
      <w:lvlJc w:val="left"/>
    </w:lvl>
    <w:lvl w:ilvl="2" w:tplc="4CB07C98">
      <w:numFmt w:val="decimal"/>
      <w:lvlText w:val=""/>
      <w:lvlJc w:val="left"/>
    </w:lvl>
    <w:lvl w:ilvl="3" w:tplc="35A20646">
      <w:numFmt w:val="decimal"/>
      <w:lvlText w:val=""/>
      <w:lvlJc w:val="left"/>
    </w:lvl>
    <w:lvl w:ilvl="4" w:tplc="F5E4F116">
      <w:numFmt w:val="decimal"/>
      <w:lvlText w:val=""/>
      <w:lvlJc w:val="left"/>
    </w:lvl>
    <w:lvl w:ilvl="5" w:tplc="74A2032C">
      <w:numFmt w:val="decimal"/>
      <w:lvlText w:val=""/>
      <w:lvlJc w:val="left"/>
    </w:lvl>
    <w:lvl w:ilvl="6" w:tplc="298E9170">
      <w:numFmt w:val="decimal"/>
      <w:lvlText w:val=""/>
      <w:lvlJc w:val="left"/>
    </w:lvl>
    <w:lvl w:ilvl="7" w:tplc="10889096">
      <w:numFmt w:val="decimal"/>
      <w:lvlText w:val=""/>
      <w:lvlJc w:val="left"/>
    </w:lvl>
    <w:lvl w:ilvl="8" w:tplc="6D42ED60">
      <w:numFmt w:val="decimal"/>
      <w:lvlText w:val=""/>
      <w:lvlJc w:val="left"/>
    </w:lvl>
  </w:abstractNum>
  <w:abstractNum w:abstractNumId="49" w15:restartNumberingAfterBreak="0">
    <w:nsid w:val="05F83D37"/>
    <w:multiLevelType w:val="hybridMultilevel"/>
    <w:tmpl w:val="41D61A02"/>
    <w:lvl w:ilvl="0" w:tplc="3F6221E4">
      <w:start w:val="1"/>
      <w:numFmt w:val="bullet"/>
      <w:lvlText w:val=""/>
      <w:lvlJc w:val="left"/>
      <w:pPr>
        <w:ind w:left="720" w:hanging="180"/>
      </w:pPr>
      <w:rPr>
        <w:rFonts w:ascii="Symbol" w:hAnsi="Symbol" w:hint="default"/>
      </w:rPr>
    </w:lvl>
    <w:lvl w:ilvl="1" w:tplc="6BFC0F0C">
      <w:numFmt w:val="decimal"/>
      <w:lvlText w:val=""/>
      <w:lvlJc w:val="left"/>
    </w:lvl>
    <w:lvl w:ilvl="2" w:tplc="B4A23DE2">
      <w:numFmt w:val="decimal"/>
      <w:lvlText w:val=""/>
      <w:lvlJc w:val="left"/>
    </w:lvl>
    <w:lvl w:ilvl="3" w:tplc="59E8A5E6">
      <w:numFmt w:val="decimal"/>
      <w:lvlText w:val=""/>
      <w:lvlJc w:val="left"/>
    </w:lvl>
    <w:lvl w:ilvl="4" w:tplc="06FAEBB6">
      <w:numFmt w:val="decimal"/>
      <w:lvlText w:val=""/>
      <w:lvlJc w:val="left"/>
    </w:lvl>
    <w:lvl w:ilvl="5" w:tplc="62FA81FC">
      <w:numFmt w:val="decimal"/>
      <w:lvlText w:val=""/>
      <w:lvlJc w:val="left"/>
    </w:lvl>
    <w:lvl w:ilvl="6" w:tplc="2FEE4666">
      <w:numFmt w:val="decimal"/>
      <w:lvlText w:val=""/>
      <w:lvlJc w:val="left"/>
    </w:lvl>
    <w:lvl w:ilvl="7" w:tplc="22DA5C06">
      <w:numFmt w:val="decimal"/>
      <w:lvlText w:val=""/>
      <w:lvlJc w:val="left"/>
    </w:lvl>
    <w:lvl w:ilvl="8" w:tplc="AD8C5CD2">
      <w:numFmt w:val="decimal"/>
      <w:lvlText w:val=""/>
      <w:lvlJc w:val="left"/>
    </w:lvl>
  </w:abstractNum>
  <w:abstractNum w:abstractNumId="50" w15:restartNumberingAfterBreak="0">
    <w:nsid w:val="06633457"/>
    <w:multiLevelType w:val="hybridMultilevel"/>
    <w:tmpl w:val="5BA0776E"/>
    <w:lvl w:ilvl="0" w:tplc="51409DFA">
      <w:start w:val="1"/>
      <w:numFmt w:val="bullet"/>
      <w:lvlText w:val=""/>
      <w:lvlJc w:val="left"/>
      <w:pPr>
        <w:ind w:left="720" w:hanging="180"/>
      </w:pPr>
      <w:rPr>
        <w:rFonts w:ascii="Symbol" w:hAnsi="Symbol" w:hint="default"/>
      </w:rPr>
    </w:lvl>
    <w:lvl w:ilvl="1" w:tplc="2F589E96">
      <w:numFmt w:val="decimal"/>
      <w:lvlText w:val=""/>
      <w:lvlJc w:val="left"/>
    </w:lvl>
    <w:lvl w:ilvl="2" w:tplc="87B82774">
      <w:numFmt w:val="decimal"/>
      <w:lvlText w:val=""/>
      <w:lvlJc w:val="left"/>
    </w:lvl>
    <w:lvl w:ilvl="3" w:tplc="D25C9E94">
      <w:numFmt w:val="decimal"/>
      <w:lvlText w:val=""/>
      <w:lvlJc w:val="left"/>
    </w:lvl>
    <w:lvl w:ilvl="4" w:tplc="3EBE743C">
      <w:numFmt w:val="decimal"/>
      <w:lvlText w:val=""/>
      <w:lvlJc w:val="left"/>
    </w:lvl>
    <w:lvl w:ilvl="5" w:tplc="8BEC7A94">
      <w:numFmt w:val="decimal"/>
      <w:lvlText w:val=""/>
      <w:lvlJc w:val="left"/>
    </w:lvl>
    <w:lvl w:ilvl="6" w:tplc="02AE34A6">
      <w:numFmt w:val="decimal"/>
      <w:lvlText w:val=""/>
      <w:lvlJc w:val="left"/>
    </w:lvl>
    <w:lvl w:ilvl="7" w:tplc="187C984E">
      <w:numFmt w:val="decimal"/>
      <w:lvlText w:val=""/>
      <w:lvlJc w:val="left"/>
    </w:lvl>
    <w:lvl w:ilvl="8" w:tplc="560C6160">
      <w:numFmt w:val="decimal"/>
      <w:lvlText w:val=""/>
      <w:lvlJc w:val="left"/>
    </w:lvl>
  </w:abstractNum>
  <w:abstractNum w:abstractNumId="51" w15:restartNumberingAfterBreak="0">
    <w:nsid w:val="06727DD7"/>
    <w:multiLevelType w:val="hybridMultilevel"/>
    <w:tmpl w:val="043CA97E"/>
    <w:lvl w:ilvl="0" w:tplc="E66A2416">
      <w:start w:val="1"/>
      <w:numFmt w:val="bullet"/>
      <w:lvlText w:val=""/>
      <w:lvlJc w:val="left"/>
      <w:pPr>
        <w:ind w:left="720" w:hanging="180"/>
      </w:pPr>
      <w:rPr>
        <w:rFonts w:ascii="Symbol" w:hAnsi="Symbol" w:hint="default"/>
      </w:rPr>
    </w:lvl>
    <w:lvl w:ilvl="1" w:tplc="BF140052">
      <w:numFmt w:val="decimal"/>
      <w:lvlText w:val=""/>
      <w:lvlJc w:val="left"/>
    </w:lvl>
    <w:lvl w:ilvl="2" w:tplc="B5D06A18">
      <w:numFmt w:val="decimal"/>
      <w:lvlText w:val=""/>
      <w:lvlJc w:val="left"/>
    </w:lvl>
    <w:lvl w:ilvl="3" w:tplc="98A68080">
      <w:numFmt w:val="decimal"/>
      <w:lvlText w:val=""/>
      <w:lvlJc w:val="left"/>
    </w:lvl>
    <w:lvl w:ilvl="4" w:tplc="3F82C330">
      <w:numFmt w:val="decimal"/>
      <w:lvlText w:val=""/>
      <w:lvlJc w:val="left"/>
    </w:lvl>
    <w:lvl w:ilvl="5" w:tplc="9502F248">
      <w:numFmt w:val="decimal"/>
      <w:lvlText w:val=""/>
      <w:lvlJc w:val="left"/>
    </w:lvl>
    <w:lvl w:ilvl="6" w:tplc="5FC4707C">
      <w:numFmt w:val="decimal"/>
      <w:lvlText w:val=""/>
      <w:lvlJc w:val="left"/>
    </w:lvl>
    <w:lvl w:ilvl="7" w:tplc="AF9C9324">
      <w:numFmt w:val="decimal"/>
      <w:lvlText w:val=""/>
      <w:lvlJc w:val="left"/>
    </w:lvl>
    <w:lvl w:ilvl="8" w:tplc="536AA24E">
      <w:numFmt w:val="decimal"/>
      <w:lvlText w:val=""/>
      <w:lvlJc w:val="left"/>
    </w:lvl>
  </w:abstractNum>
  <w:abstractNum w:abstractNumId="52" w15:restartNumberingAfterBreak="0">
    <w:nsid w:val="068B3FA7"/>
    <w:multiLevelType w:val="hybridMultilevel"/>
    <w:tmpl w:val="66566928"/>
    <w:lvl w:ilvl="0" w:tplc="A24822AE">
      <w:start w:val="1"/>
      <w:numFmt w:val="bullet"/>
      <w:lvlText w:val=""/>
      <w:lvlJc w:val="left"/>
      <w:pPr>
        <w:ind w:left="720" w:hanging="180"/>
      </w:pPr>
      <w:rPr>
        <w:rFonts w:ascii="Symbol" w:hAnsi="Symbol" w:hint="default"/>
      </w:rPr>
    </w:lvl>
    <w:lvl w:ilvl="1" w:tplc="BC7C8F96">
      <w:numFmt w:val="decimal"/>
      <w:lvlText w:val=""/>
      <w:lvlJc w:val="left"/>
    </w:lvl>
    <w:lvl w:ilvl="2" w:tplc="E67492CA">
      <w:numFmt w:val="decimal"/>
      <w:lvlText w:val=""/>
      <w:lvlJc w:val="left"/>
    </w:lvl>
    <w:lvl w:ilvl="3" w:tplc="D084D6A6">
      <w:numFmt w:val="decimal"/>
      <w:lvlText w:val=""/>
      <w:lvlJc w:val="left"/>
    </w:lvl>
    <w:lvl w:ilvl="4" w:tplc="22B62512">
      <w:numFmt w:val="decimal"/>
      <w:lvlText w:val=""/>
      <w:lvlJc w:val="left"/>
    </w:lvl>
    <w:lvl w:ilvl="5" w:tplc="7B422036">
      <w:numFmt w:val="decimal"/>
      <w:lvlText w:val=""/>
      <w:lvlJc w:val="left"/>
    </w:lvl>
    <w:lvl w:ilvl="6" w:tplc="3FCABDAC">
      <w:numFmt w:val="decimal"/>
      <w:lvlText w:val=""/>
      <w:lvlJc w:val="left"/>
    </w:lvl>
    <w:lvl w:ilvl="7" w:tplc="F380250E">
      <w:numFmt w:val="decimal"/>
      <w:lvlText w:val=""/>
      <w:lvlJc w:val="left"/>
    </w:lvl>
    <w:lvl w:ilvl="8" w:tplc="DF347E22">
      <w:numFmt w:val="decimal"/>
      <w:lvlText w:val=""/>
      <w:lvlJc w:val="left"/>
    </w:lvl>
  </w:abstractNum>
  <w:abstractNum w:abstractNumId="53" w15:restartNumberingAfterBreak="0">
    <w:nsid w:val="06A50B25"/>
    <w:multiLevelType w:val="hybridMultilevel"/>
    <w:tmpl w:val="91387B44"/>
    <w:lvl w:ilvl="0" w:tplc="763C5A9E">
      <w:start w:val="1"/>
      <w:numFmt w:val="bullet"/>
      <w:lvlText w:val=""/>
      <w:lvlJc w:val="left"/>
      <w:pPr>
        <w:ind w:left="720" w:hanging="180"/>
      </w:pPr>
      <w:rPr>
        <w:rFonts w:ascii="Symbol" w:hAnsi="Symbol" w:hint="default"/>
      </w:rPr>
    </w:lvl>
    <w:lvl w:ilvl="1" w:tplc="F6ACDFDE">
      <w:numFmt w:val="decimal"/>
      <w:lvlText w:val=""/>
      <w:lvlJc w:val="left"/>
    </w:lvl>
    <w:lvl w:ilvl="2" w:tplc="FEFE1A5E">
      <w:numFmt w:val="decimal"/>
      <w:lvlText w:val=""/>
      <w:lvlJc w:val="left"/>
    </w:lvl>
    <w:lvl w:ilvl="3" w:tplc="F9F6EC94">
      <w:numFmt w:val="decimal"/>
      <w:lvlText w:val=""/>
      <w:lvlJc w:val="left"/>
    </w:lvl>
    <w:lvl w:ilvl="4" w:tplc="729C4B6C">
      <w:numFmt w:val="decimal"/>
      <w:lvlText w:val=""/>
      <w:lvlJc w:val="left"/>
    </w:lvl>
    <w:lvl w:ilvl="5" w:tplc="EAB6FC5E">
      <w:numFmt w:val="decimal"/>
      <w:lvlText w:val=""/>
      <w:lvlJc w:val="left"/>
    </w:lvl>
    <w:lvl w:ilvl="6" w:tplc="2F448DB2">
      <w:numFmt w:val="decimal"/>
      <w:lvlText w:val=""/>
      <w:lvlJc w:val="left"/>
    </w:lvl>
    <w:lvl w:ilvl="7" w:tplc="5796A282">
      <w:numFmt w:val="decimal"/>
      <w:lvlText w:val=""/>
      <w:lvlJc w:val="left"/>
    </w:lvl>
    <w:lvl w:ilvl="8" w:tplc="050A9450">
      <w:numFmt w:val="decimal"/>
      <w:lvlText w:val=""/>
      <w:lvlJc w:val="left"/>
    </w:lvl>
  </w:abstractNum>
  <w:abstractNum w:abstractNumId="54" w15:restartNumberingAfterBreak="0">
    <w:nsid w:val="06BF6DD0"/>
    <w:multiLevelType w:val="hybridMultilevel"/>
    <w:tmpl w:val="27D6C2A0"/>
    <w:lvl w:ilvl="0" w:tplc="FFD2B6E4">
      <w:start w:val="1"/>
      <w:numFmt w:val="bullet"/>
      <w:lvlText w:val=""/>
      <w:lvlJc w:val="left"/>
      <w:pPr>
        <w:ind w:left="720" w:hanging="180"/>
      </w:pPr>
      <w:rPr>
        <w:rFonts w:ascii="Symbol" w:hAnsi="Symbol" w:hint="default"/>
      </w:rPr>
    </w:lvl>
    <w:lvl w:ilvl="1" w:tplc="EE26BC44">
      <w:numFmt w:val="decimal"/>
      <w:lvlText w:val=""/>
      <w:lvlJc w:val="left"/>
    </w:lvl>
    <w:lvl w:ilvl="2" w:tplc="FD46221A">
      <w:numFmt w:val="decimal"/>
      <w:lvlText w:val=""/>
      <w:lvlJc w:val="left"/>
    </w:lvl>
    <w:lvl w:ilvl="3" w:tplc="BC2EA4C2">
      <w:numFmt w:val="decimal"/>
      <w:lvlText w:val=""/>
      <w:lvlJc w:val="left"/>
    </w:lvl>
    <w:lvl w:ilvl="4" w:tplc="4F504548">
      <w:numFmt w:val="decimal"/>
      <w:lvlText w:val=""/>
      <w:lvlJc w:val="left"/>
    </w:lvl>
    <w:lvl w:ilvl="5" w:tplc="719A9688">
      <w:numFmt w:val="decimal"/>
      <w:lvlText w:val=""/>
      <w:lvlJc w:val="left"/>
    </w:lvl>
    <w:lvl w:ilvl="6" w:tplc="4C027136">
      <w:numFmt w:val="decimal"/>
      <w:lvlText w:val=""/>
      <w:lvlJc w:val="left"/>
    </w:lvl>
    <w:lvl w:ilvl="7" w:tplc="7E7CE2AA">
      <w:numFmt w:val="decimal"/>
      <w:lvlText w:val=""/>
      <w:lvlJc w:val="left"/>
    </w:lvl>
    <w:lvl w:ilvl="8" w:tplc="23D02668">
      <w:numFmt w:val="decimal"/>
      <w:lvlText w:val=""/>
      <w:lvlJc w:val="left"/>
    </w:lvl>
  </w:abstractNum>
  <w:abstractNum w:abstractNumId="55" w15:restartNumberingAfterBreak="0">
    <w:nsid w:val="071F59AB"/>
    <w:multiLevelType w:val="hybridMultilevel"/>
    <w:tmpl w:val="6D76D1FC"/>
    <w:lvl w:ilvl="0" w:tplc="4A3A175A">
      <w:start w:val="1"/>
      <w:numFmt w:val="bullet"/>
      <w:lvlText w:val=""/>
      <w:lvlJc w:val="left"/>
      <w:pPr>
        <w:ind w:left="720" w:hanging="180"/>
      </w:pPr>
      <w:rPr>
        <w:rFonts w:ascii="Symbol" w:hAnsi="Symbol" w:hint="default"/>
      </w:rPr>
    </w:lvl>
    <w:lvl w:ilvl="1" w:tplc="5620757A">
      <w:numFmt w:val="decimal"/>
      <w:lvlText w:val=""/>
      <w:lvlJc w:val="left"/>
    </w:lvl>
    <w:lvl w:ilvl="2" w:tplc="26DC1904">
      <w:numFmt w:val="decimal"/>
      <w:lvlText w:val=""/>
      <w:lvlJc w:val="left"/>
    </w:lvl>
    <w:lvl w:ilvl="3" w:tplc="F89874B4">
      <w:numFmt w:val="decimal"/>
      <w:lvlText w:val=""/>
      <w:lvlJc w:val="left"/>
    </w:lvl>
    <w:lvl w:ilvl="4" w:tplc="ACCC8B5A">
      <w:numFmt w:val="decimal"/>
      <w:lvlText w:val=""/>
      <w:lvlJc w:val="left"/>
    </w:lvl>
    <w:lvl w:ilvl="5" w:tplc="646E3AA6">
      <w:numFmt w:val="decimal"/>
      <w:lvlText w:val=""/>
      <w:lvlJc w:val="left"/>
    </w:lvl>
    <w:lvl w:ilvl="6" w:tplc="4F167D74">
      <w:numFmt w:val="decimal"/>
      <w:lvlText w:val=""/>
      <w:lvlJc w:val="left"/>
    </w:lvl>
    <w:lvl w:ilvl="7" w:tplc="2DE8A50A">
      <w:numFmt w:val="decimal"/>
      <w:lvlText w:val=""/>
      <w:lvlJc w:val="left"/>
    </w:lvl>
    <w:lvl w:ilvl="8" w:tplc="F444624E">
      <w:numFmt w:val="decimal"/>
      <w:lvlText w:val=""/>
      <w:lvlJc w:val="left"/>
    </w:lvl>
  </w:abstractNum>
  <w:abstractNum w:abstractNumId="56" w15:restartNumberingAfterBreak="0">
    <w:nsid w:val="07376D6C"/>
    <w:multiLevelType w:val="hybridMultilevel"/>
    <w:tmpl w:val="24EAA3D0"/>
    <w:lvl w:ilvl="0" w:tplc="F73C7E94">
      <w:start w:val="1"/>
      <w:numFmt w:val="bullet"/>
      <w:lvlText w:val=""/>
      <w:lvlJc w:val="left"/>
      <w:pPr>
        <w:ind w:left="720" w:hanging="180"/>
      </w:pPr>
      <w:rPr>
        <w:rFonts w:ascii="Symbol" w:hAnsi="Symbol" w:hint="default"/>
      </w:rPr>
    </w:lvl>
    <w:lvl w:ilvl="1" w:tplc="9014C182">
      <w:numFmt w:val="decimal"/>
      <w:lvlText w:val=""/>
      <w:lvlJc w:val="left"/>
    </w:lvl>
    <w:lvl w:ilvl="2" w:tplc="0CB61B28">
      <w:numFmt w:val="decimal"/>
      <w:lvlText w:val=""/>
      <w:lvlJc w:val="left"/>
    </w:lvl>
    <w:lvl w:ilvl="3" w:tplc="2CA29E5C">
      <w:numFmt w:val="decimal"/>
      <w:lvlText w:val=""/>
      <w:lvlJc w:val="left"/>
    </w:lvl>
    <w:lvl w:ilvl="4" w:tplc="B2141514">
      <w:numFmt w:val="decimal"/>
      <w:lvlText w:val=""/>
      <w:lvlJc w:val="left"/>
    </w:lvl>
    <w:lvl w:ilvl="5" w:tplc="F33E30C2">
      <w:numFmt w:val="decimal"/>
      <w:lvlText w:val=""/>
      <w:lvlJc w:val="left"/>
    </w:lvl>
    <w:lvl w:ilvl="6" w:tplc="EFBED0FA">
      <w:numFmt w:val="decimal"/>
      <w:lvlText w:val=""/>
      <w:lvlJc w:val="left"/>
    </w:lvl>
    <w:lvl w:ilvl="7" w:tplc="903CEECC">
      <w:numFmt w:val="decimal"/>
      <w:lvlText w:val=""/>
      <w:lvlJc w:val="left"/>
    </w:lvl>
    <w:lvl w:ilvl="8" w:tplc="99CE1412">
      <w:numFmt w:val="decimal"/>
      <w:lvlText w:val=""/>
      <w:lvlJc w:val="left"/>
    </w:lvl>
  </w:abstractNum>
  <w:abstractNum w:abstractNumId="57" w15:restartNumberingAfterBreak="0">
    <w:nsid w:val="077A7AD2"/>
    <w:multiLevelType w:val="hybridMultilevel"/>
    <w:tmpl w:val="14FEBF9E"/>
    <w:lvl w:ilvl="0" w:tplc="897CFF38">
      <w:start w:val="1"/>
      <w:numFmt w:val="bullet"/>
      <w:lvlText w:val=""/>
      <w:lvlJc w:val="left"/>
      <w:pPr>
        <w:ind w:left="720" w:hanging="180"/>
      </w:pPr>
      <w:rPr>
        <w:rFonts w:ascii="Symbol" w:hAnsi="Symbol" w:hint="default"/>
      </w:rPr>
    </w:lvl>
    <w:lvl w:ilvl="1" w:tplc="8E68B3AA">
      <w:numFmt w:val="decimal"/>
      <w:lvlText w:val=""/>
      <w:lvlJc w:val="left"/>
    </w:lvl>
    <w:lvl w:ilvl="2" w:tplc="361AE250">
      <w:numFmt w:val="decimal"/>
      <w:lvlText w:val=""/>
      <w:lvlJc w:val="left"/>
    </w:lvl>
    <w:lvl w:ilvl="3" w:tplc="C2EC5844">
      <w:numFmt w:val="decimal"/>
      <w:lvlText w:val=""/>
      <w:lvlJc w:val="left"/>
    </w:lvl>
    <w:lvl w:ilvl="4" w:tplc="A2C63122">
      <w:numFmt w:val="decimal"/>
      <w:lvlText w:val=""/>
      <w:lvlJc w:val="left"/>
    </w:lvl>
    <w:lvl w:ilvl="5" w:tplc="3D8A3F46">
      <w:numFmt w:val="decimal"/>
      <w:lvlText w:val=""/>
      <w:lvlJc w:val="left"/>
    </w:lvl>
    <w:lvl w:ilvl="6" w:tplc="B0F677F0">
      <w:numFmt w:val="decimal"/>
      <w:lvlText w:val=""/>
      <w:lvlJc w:val="left"/>
    </w:lvl>
    <w:lvl w:ilvl="7" w:tplc="BACEE98E">
      <w:numFmt w:val="decimal"/>
      <w:lvlText w:val=""/>
      <w:lvlJc w:val="left"/>
    </w:lvl>
    <w:lvl w:ilvl="8" w:tplc="7172BAA2">
      <w:numFmt w:val="decimal"/>
      <w:lvlText w:val=""/>
      <w:lvlJc w:val="left"/>
    </w:lvl>
  </w:abstractNum>
  <w:abstractNum w:abstractNumId="58" w15:restartNumberingAfterBreak="0">
    <w:nsid w:val="07847EEA"/>
    <w:multiLevelType w:val="hybridMultilevel"/>
    <w:tmpl w:val="4B3A6FC8"/>
    <w:lvl w:ilvl="0" w:tplc="ECDEC69E">
      <w:start w:val="1"/>
      <w:numFmt w:val="bullet"/>
      <w:lvlText w:val=""/>
      <w:lvlJc w:val="left"/>
      <w:pPr>
        <w:ind w:left="720" w:hanging="180"/>
      </w:pPr>
      <w:rPr>
        <w:rFonts w:ascii="Symbol" w:hAnsi="Symbol" w:hint="default"/>
      </w:rPr>
    </w:lvl>
    <w:lvl w:ilvl="1" w:tplc="4CAE031C">
      <w:numFmt w:val="decimal"/>
      <w:lvlText w:val=""/>
      <w:lvlJc w:val="left"/>
    </w:lvl>
    <w:lvl w:ilvl="2" w:tplc="9FD4FC34">
      <w:numFmt w:val="decimal"/>
      <w:lvlText w:val=""/>
      <w:lvlJc w:val="left"/>
    </w:lvl>
    <w:lvl w:ilvl="3" w:tplc="D938C288">
      <w:numFmt w:val="decimal"/>
      <w:lvlText w:val=""/>
      <w:lvlJc w:val="left"/>
    </w:lvl>
    <w:lvl w:ilvl="4" w:tplc="516ABC7C">
      <w:numFmt w:val="decimal"/>
      <w:lvlText w:val=""/>
      <w:lvlJc w:val="left"/>
    </w:lvl>
    <w:lvl w:ilvl="5" w:tplc="4FAA8EFE">
      <w:numFmt w:val="decimal"/>
      <w:lvlText w:val=""/>
      <w:lvlJc w:val="left"/>
    </w:lvl>
    <w:lvl w:ilvl="6" w:tplc="50F8CD96">
      <w:numFmt w:val="decimal"/>
      <w:lvlText w:val=""/>
      <w:lvlJc w:val="left"/>
    </w:lvl>
    <w:lvl w:ilvl="7" w:tplc="8A16F246">
      <w:numFmt w:val="decimal"/>
      <w:lvlText w:val=""/>
      <w:lvlJc w:val="left"/>
    </w:lvl>
    <w:lvl w:ilvl="8" w:tplc="04069B90">
      <w:numFmt w:val="decimal"/>
      <w:lvlText w:val=""/>
      <w:lvlJc w:val="left"/>
    </w:lvl>
  </w:abstractNum>
  <w:abstractNum w:abstractNumId="59" w15:restartNumberingAfterBreak="0">
    <w:nsid w:val="07991CDC"/>
    <w:multiLevelType w:val="hybridMultilevel"/>
    <w:tmpl w:val="921E1402"/>
    <w:lvl w:ilvl="0" w:tplc="F1725330">
      <w:start w:val="1"/>
      <w:numFmt w:val="bullet"/>
      <w:lvlText w:val=""/>
      <w:lvlJc w:val="left"/>
      <w:pPr>
        <w:ind w:left="720" w:hanging="180"/>
      </w:pPr>
      <w:rPr>
        <w:rFonts w:ascii="Symbol" w:hAnsi="Symbol" w:hint="default"/>
      </w:rPr>
    </w:lvl>
    <w:lvl w:ilvl="1" w:tplc="C23AB73C">
      <w:numFmt w:val="decimal"/>
      <w:lvlText w:val=""/>
      <w:lvlJc w:val="left"/>
    </w:lvl>
    <w:lvl w:ilvl="2" w:tplc="0E2AACDE">
      <w:numFmt w:val="decimal"/>
      <w:lvlText w:val=""/>
      <w:lvlJc w:val="left"/>
    </w:lvl>
    <w:lvl w:ilvl="3" w:tplc="375ADD50">
      <w:numFmt w:val="decimal"/>
      <w:lvlText w:val=""/>
      <w:lvlJc w:val="left"/>
    </w:lvl>
    <w:lvl w:ilvl="4" w:tplc="F232043A">
      <w:numFmt w:val="decimal"/>
      <w:lvlText w:val=""/>
      <w:lvlJc w:val="left"/>
    </w:lvl>
    <w:lvl w:ilvl="5" w:tplc="A684BB8A">
      <w:numFmt w:val="decimal"/>
      <w:lvlText w:val=""/>
      <w:lvlJc w:val="left"/>
    </w:lvl>
    <w:lvl w:ilvl="6" w:tplc="4E72CFC2">
      <w:numFmt w:val="decimal"/>
      <w:lvlText w:val=""/>
      <w:lvlJc w:val="left"/>
    </w:lvl>
    <w:lvl w:ilvl="7" w:tplc="DD6AE786">
      <w:numFmt w:val="decimal"/>
      <w:lvlText w:val=""/>
      <w:lvlJc w:val="left"/>
    </w:lvl>
    <w:lvl w:ilvl="8" w:tplc="8918C9C4">
      <w:numFmt w:val="decimal"/>
      <w:lvlText w:val=""/>
      <w:lvlJc w:val="left"/>
    </w:lvl>
  </w:abstractNum>
  <w:abstractNum w:abstractNumId="60" w15:restartNumberingAfterBreak="0">
    <w:nsid w:val="07AA47F1"/>
    <w:multiLevelType w:val="hybridMultilevel"/>
    <w:tmpl w:val="35626F70"/>
    <w:lvl w:ilvl="0" w:tplc="77A2F11C">
      <w:start w:val="1"/>
      <w:numFmt w:val="bullet"/>
      <w:lvlText w:val=""/>
      <w:lvlJc w:val="left"/>
      <w:pPr>
        <w:ind w:left="720" w:hanging="180"/>
      </w:pPr>
      <w:rPr>
        <w:rFonts w:ascii="Symbol" w:hAnsi="Symbol" w:hint="default"/>
      </w:rPr>
    </w:lvl>
    <w:lvl w:ilvl="1" w:tplc="53B0FECA">
      <w:numFmt w:val="decimal"/>
      <w:lvlText w:val=""/>
      <w:lvlJc w:val="left"/>
    </w:lvl>
    <w:lvl w:ilvl="2" w:tplc="4FD05C5A">
      <w:numFmt w:val="decimal"/>
      <w:lvlText w:val=""/>
      <w:lvlJc w:val="left"/>
    </w:lvl>
    <w:lvl w:ilvl="3" w:tplc="67246640">
      <w:numFmt w:val="decimal"/>
      <w:lvlText w:val=""/>
      <w:lvlJc w:val="left"/>
    </w:lvl>
    <w:lvl w:ilvl="4" w:tplc="43B00FAA">
      <w:numFmt w:val="decimal"/>
      <w:lvlText w:val=""/>
      <w:lvlJc w:val="left"/>
    </w:lvl>
    <w:lvl w:ilvl="5" w:tplc="4C6646AA">
      <w:numFmt w:val="decimal"/>
      <w:lvlText w:val=""/>
      <w:lvlJc w:val="left"/>
    </w:lvl>
    <w:lvl w:ilvl="6" w:tplc="4F1C4FFA">
      <w:numFmt w:val="decimal"/>
      <w:lvlText w:val=""/>
      <w:lvlJc w:val="left"/>
    </w:lvl>
    <w:lvl w:ilvl="7" w:tplc="9014CF66">
      <w:numFmt w:val="decimal"/>
      <w:lvlText w:val=""/>
      <w:lvlJc w:val="left"/>
    </w:lvl>
    <w:lvl w:ilvl="8" w:tplc="2818647C">
      <w:numFmt w:val="decimal"/>
      <w:lvlText w:val=""/>
      <w:lvlJc w:val="left"/>
    </w:lvl>
  </w:abstractNum>
  <w:abstractNum w:abstractNumId="61" w15:restartNumberingAfterBreak="0">
    <w:nsid w:val="07BB3028"/>
    <w:multiLevelType w:val="hybridMultilevel"/>
    <w:tmpl w:val="5CBC2BFA"/>
    <w:lvl w:ilvl="0" w:tplc="76DEA948">
      <w:start w:val="1"/>
      <w:numFmt w:val="bullet"/>
      <w:lvlText w:val=""/>
      <w:lvlJc w:val="left"/>
      <w:pPr>
        <w:ind w:left="720" w:hanging="180"/>
      </w:pPr>
      <w:rPr>
        <w:rFonts w:ascii="Symbol" w:hAnsi="Symbol" w:hint="default"/>
      </w:rPr>
    </w:lvl>
    <w:lvl w:ilvl="1" w:tplc="D8B420C8">
      <w:numFmt w:val="decimal"/>
      <w:lvlText w:val=""/>
      <w:lvlJc w:val="left"/>
    </w:lvl>
    <w:lvl w:ilvl="2" w:tplc="234444E4">
      <w:numFmt w:val="decimal"/>
      <w:lvlText w:val=""/>
      <w:lvlJc w:val="left"/>
    </w:lvl>
    <w:lvl w:ilvl="3" w:tplc="46326D10">
      <w:numFmt w:val="decimal"/>
      <w:lvlText w:val=""/>
      <w:lvlJc w:val="left"/>
    </w:lvl>
    <w:lvl w:ilvl="4" w:tplc="5F641D3C">
      <w:numFmt w:val="decimal"/>
      <w:lvlText w:val=""/>
      <w:lvlJc w:val="left"/>
    </w:lvl>
    <w:lvl w:ilvl="5" w:tplc="E668CD48">
      <w:numFmt w:val="decimal"/>
      <w:lvlText w:val=""/>
      <w:lvlJc w:val="left"/>
    </w:lvl>
    <w:lvl w:ilvl="6" w:tplc="CA187CF6">
      <w:numFmt w:val="decimal"/>
      <w:lvlText w:val=""/>
      <w:lvlJc w:val="left"/>
    </w:lvl>
    <w:lvl w:ilvl="7" w:tplc="6E3689FE">
      <w:numFmt w:val="decimal"/>
      <w:lvlText w:val=""/>
      <w:lvlJc w:val="left"/>
    </w:lvl>
    <w:lvl w:ilvl="8" w:tplc="7C8A45B6">
      <w:numFmt w:val="decimal"/>
      <w:lvlText w:val=""/>
      <w:lvlJc w:val="left"/>
    </w:lvl>
  </w:abstractNum>
  <w:abstractNum w:abstractNumId="62" w15:restartNumberingAfterBreak="0">
    <w:nsid w:val="07BB5204"/>
    <w:multiLevelType w:val="multilevel"/>
    <w:tmpl w:val="58FAF1E6"/>
    <w:lvl w:ilvl="0">
      <w:start w:val="4"/>
      <w:numFmt w:val="decimal"/>
      <w:pStyle w:val="Author-eSectionHeading1"/>
      <w:lvlText w:val="%1"/>
      <w:lvlJc w:val="left"/>
      <w:pPr>
        <w:tabs>
          <w:tab w:val="num" w:pos="0"/>
        </w:tabs>
      </w:pPr>
    </w:lvl>
    <w:lvl w:ilvl="1">
      <w:start w:val="1"/>
      <w:numFmt w:val="decimal"/>
      <w:pStyle w:val="Author-eSectionHeading2"/>
      <w:lvlText w:val="%1%2"/>
      <w:lvlJc w:val="left"/>
      <w:pPr>
        <w:tabs>
          <w:tab w:val="num" w:pos="0"/>
        </w:tabs>
      </w:pPr>
    </w:lvl>
    <w:lvl w:ilvl="2">
      <w:start w:val="1"/>
      <w:numFmt w:val="decimal"/>
      <w:pStyle w:val="Author-eSectionHeading3"/>
      <w:lvlText w:val="%1%2.%3"/>
      <w:lvlJc w:val="left"/>
      <w:pPr>
        <w:tabs>
          <w:tab w:val="num" w:pos="0"/>
        </w:tabs>
      </w:pPr>
    </w:lvl>
    <w:lvl w:ilvl="3">
      <w:start w:val="1"/>
      <w:numFmt w:val="decimal"/>
      <w:pStyle w:val="Author-eSectionHeading4"/>
      <w:lvlText w:val="%1%2.%3%4"/>
      <w:lvlJc w:val="left"/>
      <w:pPr>
        <w:tabs>
          <w:tab w:val="num" w:pos="0"/>
        </w:tabs>
      </w:pPr>
    </w:lvl>
    <w:lvl w:ilvl="4">
      <w:start w:val="1"/>
      <w:numFmt w:val="decimal"/>
      <w:pStyle w:val="Author-eSectionHeading5"/>
      <w:lvlText w:val="%1%2.%3%4.%5"/>
      <w:lvlJc w:val="left"/>
      <w:pPr>
        <w:tabs>
          <w:tab w:val="num" w:pos="0"/>
        </w:tabs>
      </w:pPr>
    </w:lvl>
    <w:lvl w:ilvl="5">
      <w:start w:val="1"/>
      <w:numFmt w:val="lowerLetter"/>
      <w:pStyle w:val="Author-eSectionHeading6"/>
      <w:lvlText w:val="%1%2.%3%4.%5%6"/>
      <w:lvlJc w:val="left"/>
      <w:pPr>
        <w:tabs>
          <w:tab w:val="num" w:pos="0"/>
        </w:tabs>
      </w:pPr>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7EC1477"/>
    <w:multiLevelType w:val="hybridMultilevel"/>
    <w:tmpl w:val="864A602E"/>
    <w:lvl w:ilvl="0" w:tplc="1B5CDCF8">
      <w:start w:val="1"/>
      <w:numFmt w:val="bullet"/>
      <w:lvlText w:val=""/>
      <w:lvlJc w:val="left"/>
      <w:pPr>
        <w:ind w:left="720" w:hanging="180"/>
      </w:pPr>
      <w:rPr>
        <w:rFonts w:ascii="Symbol" w:hAnsi="Symbol" w:hint="default"/>
      </w:rPr>
    </w:lvl>
    <w:lvl w:ilvl="1" w:tplc="9C14470C">
      <w:numFmt w:val="decimal"/>
      <w:lvlText w:val=""/>
      <w:lvlJc w:val="left"/>
    </w:lvl>
    <w:lvl w:ilvl="2" w:tplc="1BFE3D0C">
      <w:numFmt w:val="decimal"/>
      <w:lvlText w:val=""/>
      <w:lvlJc w:val="left"/>
    </w:lvl>
    <w:lvl w:ilvl="3" w:tplc="82F21706">
      <w:numFmt w:val="decimal"/>
      <w:lvlText w:val=""/>
      <w:lvlJc w:val="left"/>
    </w:lvl>
    <w:lvl w:ilvl="4" w:tplc="A2A05E8C">
      <w:numFmt w:val="decimal"/>
      <w:lvlText w:val=""/>
      <w:lvlJc w:val="left"/>
    </w:lvl>
    <w:lvl w:ilvl="5" w:tplc="7EC6E562">
      <w:numFmt w:val="decimal"/>
      <w:lvlText w:val=""/>
      <w:lvlJc w:val="left"/>
    </w:lvl>
    <w:lvl w:ilvl="6" w:tplc="5E78B822">
      <w:numFmt w:val="decimal"/>
      <w:lvlText w:val=""/>
      <w:lvlJc w:val="left"/>
    </w:lvl>
    <w:lvl w:ilvl="7" w:tplc="9F5AD262">
      <w:numFmt w:val="decimal"/>
      <w:lvlText w:val=""/>
      <w:lvlJc w:val="left"/>
    </w:lvl>
    <w:lvl w:ilvl="8" w:tplc="99608B32">
      <w:numFmt w:val="decimal"/>
      <w:lvlText w:val=""/>
      <w:lvlJc w:val="left"/>
    </w:lvl>
  </w:abstractNum>
  <w:abstractNum w:abstractNumId="64" w15:restartNumberingAfterBreak="0">
    <w:nsid w:val="0813723B"/>
    <w:multiLevelType w:val="hybridMultilevel"/>
    <w:tmpl w:val="0BA06140"/>
    <w:lvl w:ilvl="0" w:tplc="708ACF00">
      <w:start w:val="1"/>
      <w:numFmt w:val="bullet"/>
      <w:lvlText w:val=""/>
      <w:lvlJc w:val="left"/>
      <w:pPr>
        <w:ind w:left="720" w:hanging="180"/>
      </w:pPr>
      <w:rPr>
        <w:rFonts w:ascii="Symbol" w:hAnsi="Symbol" w:hint="default"/>
      </w:rPr>
    </w:lvl>
    <w:lvl w:ilvl="1" w:tplc="ADECB02E">
      <w:numFmt w:val="decimal"/>
      <w:lvlText w:val=""/>
      <w:lvlJc w:val="left"/>
    </w:lvl>
    <w:lvl w:ilvl="2" w:tplc="65586386">
      <w:numFmt w:val="decimal"/>
      <w:lvlText w:val=""/>
      <w:lvlJc w:val="left"/>
    </w:lvl>
    <w:lvl w:ilvl="3" w:tplc="9CA03A84">
      <w:numFmt w:val="decimal"/>
      <w:lvlText w:val=""/>
      <w:lvlJc w:val="left"/>
    </w:lvl>
    <w:lvl w:ilvl="4" w:tplc="35E4D97C">
      <w:numFmt w:val="decimal"/>
      <w:lvlText w:val=""/>
      <w:lvlJc w:val="left"/>
    </w:lvl>
    <w:lvl w:ilvl="5" w:tplc="EC4EF696">
      <w:numFmt w:val="decimal"/>
      <w:lvlText w:val=""/>
      <w:lvlJc w:val="left"/>
    </w:lvl>
    <w:lvl w:ilvl="6" w:tplc="62688EB4">
      <w:numFmt w:val="decimal"/>
      <w:lvlText w:val=""/>
      <w:lvlJc w:val="left"/>
    </w:lvl>
    <w:lvl w:ilvl="7" w:tplc="22DCBCB8">
      <w:numFmt w:val="decimal"/>
      <w:lvlText w:val=""/>
      <w:lvlJc w:val="left"/>
    </w:lvl>
    <w:lvl w:ilvl="8" w:tplc="6FA6B4E4">
      <w:numFmt w:val="decimal"/>
      <w:lvlText w:val=""/>
      <w:lvlJc w:val="left"/>
    </w:lvl>
  </w:abstractNum>
  <w:abstractNum w:abstractNumId="65" w15:restartNumberingAfterBreak="0">
    <w:nsid w:val="081965D2"/>
    <w:multiLevelType w:val="hybridMultilevel"/>
    <w:tmpl w:val="D984145A"/>
    <w:lvl w:ilvl="0" w:tplc="284EC52A">
      <w:start w:val="1"/>
      <w:numFmt w:val="bullet"/>
      <w:lvlText w:val=""/>
      <w:lvlJc w:val="left"/>
      <w:pPr>
        <w:ind w:left="720" w:hanging="180"/>
      </w:pPr>
      <w:rPr>
        <w:rFonts w:ascii="Symbol" w:hAnsi="Symbol" w:hint="default"/>
      </w:rPr>
    </w:lvl>
    <w:lvl w:ilvl="1" w:tplc="6156B16A">
      <w:numFmt w:val="decimal"/>
      <w:lvlText w:val=""/>
      <w:lvlJc w:val="left"/>
    </w:lvl>
    <w:lvl w:ilvl="2" w:tplc="C3C60150">
      <w:numFmt w:val="decimal"/>
      <w:lvlText w:val=""/>
      <w:lvlJc w:val="left"/>
    </w:lvl>
    <w:lvl w:ilvl="3" w:tplc="952C260E">
      <w:numFmt w:val="decimal"/>
      <w:lvlText w:val=""/>
      <w:lvlJc w:val="left"/>
    </w:lvl>
    <w:lvl w:ilvl="4" w:tplc="3162FD84">
      <w:numFmt w:val="decimal"/>
      <w:lvlText w:val=""/>
      <w:lvlJc w:val="left"/>
    </w:lvl>
    <w:lvl w:ilvl="5" w:tplc="3BFA47C0">
      <w:numFmt w:val="decimal"/>
      <w:lvlText w:val=""/>
      <w:lvlJc w:val="left"/>
    </w:lvl>
    <w:lvl w:ilvl="6" w:tplc="FB4636E8">
      <w:numFmt w:val="decimal"/>
      <w:lvlText w:val=""/>
      <w:lvlJc w:val="left"/>
    </w:lvl>
    <w:lvl w:ilvl="7" w:tplc="B7EC7A8E">
      <w:numFmt w:val="decimal"/>
      <w:lvlText w:val=""/>
      <w:lvlJc w:val="left"/>
    </w:lvl>
    <w:lvl w:ilvl="8" w:tplc="23CE1E30">
      <w:numFmt w:val="decimal"/>
      <w:lvlText w:val=""/>
      <w:lvlJc w:val="left"/>
    </w:lvl>
  </w:abstractNum>
  <w:abstractNum w:abstractNumId="66" w15:restartNumberingAfterBreak="0">
    <w:nsid w:val="084611C7"/>
    <w:multiLevelType w:val="hybridMultilevel"/>
    <w:tmpl w:val="53869ECC"/>
    <w:lvl w:ilvl="0" w:tplc="A8B227F2">
      <w:start w:val="1"/>
      <w:numFmt w:val="bullet"/>
      <w:lvlText w:val=""/>
      <w:lvlJc w:val="left"/>
      <w:pPr>
        <w:ind w:left="720" w:hanging="180"/>
      </w:pPr>
      <w:rPr>
        <w:rFonts w:ascii="Symbol" w:hAnsi="Symbol" w:hint="default"/>
      </w:rPr>
    </w:lvl>
    <w:lvl w:ilvl="1" w:tplc="BE7A02AC">
      <w:numFmt w:val="decimal"/>
      <w:lvlText w:val=""/>
      <w:lvlJc w:val="left"/>
    </w:lvl>
    <w:lvl w:ilvl="2" w:tplc="F06C2372">
      <w:numFmt w:val="decimal"/>
      <w:lvlText w:val=""/>
      <w:lvlJc w:val="left"/>
    </w:lvl>
    <w:lvl w:ilvl="3" w:tplc="32487EEA">
      <w:numFmt w:val="decimal"/>
      <w:lvlText w:val=""/>
      <w:lvlJc w:val="left"/>
    </w:lvl>
    <w:lvl w:ilvl="4" w:tplc="6AF0D504">
      <w:numFmt w:val="decimal"/>
      <w:lvlText w:val=""/>
      <w:lvlJc w:val="left"/>
    </w:lvl>
    <w:lvl w:ilvl="5" w:tplc="A84258D4">
      <w:numFmt w:val="decimal"/>
      <w:lvlText w:val=""/>
      <w:lvlJc w:val="left"/>
    </w:lvl>
    <w:lvl w:ilvl="6" w:tplc="142E82C8">
      <w:numFmt w:val="decimal"/>
      <w:lvlText w:val=""/>
      <w:lvlJc w:val="left"/>
    </w:lvl>
    <w:lvl w:ilvl="7" w:tplc="AD26F7E6">
      <w:numFmt w:val="decimal"/>
      <w:lvlText w:val=""/>
      <w:lvlJc w:val="left"/>
    </w:lvl>
    <w:lvl w:ilvl="8" w:tplc="C9869E9E">
      <w:numFmt w:val="decimal"/>
      <w:lvlText w:val=""/>
      <w:lvlJc w:val="left"/>
    </w:lvl>
  </w:abstractNum>
  <w:abstractNum w:abstractNumId="67" w15:restartNumberingAfterBreak="0">
    <w:nsid w:val="086964A1"/>
    <w:multiLevelType w:val="hybridMultilevel"/>
    <w:tmpl w:val="9F22560A"/>
    <w:lvl w:ilvl="0" w:tplc="2FA0868E">
      <w:start w:val="1"/>
      <w:numFmt w:val="bullet"/>
      <w:lvlText w:val=""/>
      <w:lvlJc w:val="left"/>
      <w:pPr>
        <w:ind w:left="720" w:hanging="180"/>
      </w:pPr>
      <w:rPr>
        <w:rFonts w:ascii="Symbol" w:hAnsi="Symbol" w:hint="default"/>
      </w:rPr>
    </w:lvl>
    <w:lvl w:ilvl="1" w:tplc="6E485EC0">
      <w:numFmt w:val="decimal"/>
      <w:lvlText w:val=""/>
      <w:lvlJc w:val="left"/>
    </w:lvl>
    <w:lvl w:ilvl="2" w:tplc="6538747C">
      <w:numFmt w:val="decimal"/>
      <w:lvlText w:val=""/>
      <w:lvlJc w:val="left"/>
    </w:lvl>
    <w:lvl w:ilvl="3" w:tplc="49D496B6">
      <w:numFmt w:val="decimal"/>
      <w:lvlText w:val=""/>
      <w:lvlJc w:val="left"/>
    </w:lvl>
    <w:lvl w:ilvl="4" w:tplc="452AB6AC">
      <w:numFmt w:val="decimal"/>
      <w:lvlText w:val=""/>
      <w:lvlJc w:val="left"/>
    </w:lvl>
    <w:lvl w:ilvl="5" w:tplc="933E4EFC">
      <w:numFmt w:val="decimal"/>
      <w:lvlText w:val=""/>
      <w:lvlJc w:val="left"/>
    </w:lvl>
    <w:lvl w:ilvl="6" w:tplc="9D9631C4">
      <w:numFmt w:val="decimal"/>
      <w:lvlText w:val=""/>
      <w:lvlJc w:val="left"/>
    </w:lvl>
    <w:lvl w:ilvl="7" w:tplc="B902F376">
      <w:numFmt w:val="decimal"/>
      <w:lvlText w:val=""/>
      <w:lvlJc w:val="left"/>
    </w:lvl>
    <w:lvl w:ilvl="8" w:tplc="AC7CACC2">
      <w:numFmt w:val="decimal"/>
      <w:lvlText w:val=""/>
      <w:lvlJc w:val="left"/>
    </w:lvl>
  </w:abstractNum>
  <w:abstractNum w:abstractNumId="68" w15:restartNumberingAfterBreak="0">
    <w:nsid w:val="086B3300"/>
    <w:multiLevelType w:val="hybridMultilevel"/>
    <w:tmpl w:val="AE16048A"/>
    <w:lvl w:ilvl="0" w:tplc="94E45F2A">
      <w:start w:val="1"/>
      <w:numFmt w:val="bullet"/>
      <w:lvlText w:val=""/>
      <w:lvlJc w:val="left"/>
      <w:pPr>
        <w:ind w:left="720" w:hanging="180"/>
      </w:pPr>
      <w:rPr>
        <w:rFonts w:ascii="Symbol" w:hAnsi="Symbol" w:hint="default"/>
      </w:rPr>
    </w:lvl>
    <w:lvl w:ilvl="1" w:tplc="5E8235BC">
      <w:numFmt w:val="decimal"/>
      <w:lvlText w:val=""/>
      <w:lvlJc w:val="left"/>
    </w:lvl>
    <w:lvl w:ilvl="2" w:tplc="F8186F62">
      <w:numFmt w:val="decimal"/>
      <w:lvlText w:val=""/>
      <w:lvlJc w:val="left"/>
    </w:lvl>
    <w:lvl w:ilvl="3" w:tplc="6A9C5964">
      <w:numFmt w:val="decimal"/>
      <w:lvlText w:val=""/>
      <w:lvlJc w:val="left"/>
    </w:lvl>
    <w:lvl w:ilvl="4" w:tplc="C10C9156">
      <w:numFmt w:val="decimal"/>
      <w:lvlText w:val=""/>
      <w:lvlJc w:val="left"/>
    </w:lvl>
    <w:lvl w:ilvl="5" w:tplc="0674FB02">
      <w:numFmt w:val="decimal"/>
      <w:lvlText w:val=""/>
      <w:lvlJc w:val="left"/>
    </w:lvl>
    <w:lvl w:ilvl="6" w:tplc="310ABC8E">
      <w:numFmt w:val="decimal"/>
      <w:lvlText w:val=""/>
      <w:lvlJc w:val="left"/>
    </w:lvl>
    <w:lvl w:ilvl="7" w:tplc="3E50EADE">
      <w:numFmt w:val="decimal"/>
      <w:lvlText w:val=""/>
      <w:lvlJc w:val="left"/>
    </w:lvl>
    <w:lvl w:ilvl="8" w:tplc="D9B216E0">
      <w:numFmt w:val="decimal"/>
      <w:lvlText w:val=""/>
      <w:lvlJc w:val="left"/>
    </w:lvl>
  </w:abstractNum>
  <w:abstractNum w:abstractNumId="69" w15:restartNumberingAfterBreak="0">
    <w:nsid w:val="086D7EB1"/>
    <w:multiLevelType w:val="hybridMultilevel"/>
    <w:tmpl w:val="27F678E4"/>
    <w:lvl w:ilvl="0" w:tplc="234EE3C0">
      <w:start w:val="1"/>
      <w:numFmt w:val="bullet"/>
      <w:lvlText w:val=""/>
      <w:lvlJc w:val="left"/>
      <w:pPr>
        <w:ind w:left="720" w:hanging="180"/>
      </w:pPr>
      <w:rPr>
        <w:rFonts w:ascii="Symbol" w:hAnsi="Symbol" w:hint="default"/>
      </w:rPr>
    </w:lvl>
    <w:lvl w:ilvl="1" w:tplc="C7CEE5B6">
      <w:numFmt w:val="decimal"/>
      <w:lvlText w:val=""/>
      <w:lvlJc w:val="left"/>
    </w:lvl>
    <w:lvl w:ilvl="2" w:tplc="33EEA9E4">
      <w:numFmt w:val="decimal"/>
      <w:lvlText w:val=""/>
      <w:lvlJc w:val="left"/>
    </w:lvl>
    <w:lvl w:ilvl="3" w:tplc="0BAC15F4">
      <w:numFmt w:val="decimal"/>
      <w:lvlText w:val=""/>
      <w:lvlJc w:val="left"/>
    </w:lvl>
    <w:lvl w:ilvl="4" w:tplc="9C40C208">
      <w:numFmt w:val="decimal"/>
      <w:lvlText w:val=""/>
      <w:lvlJc w:val="left"/>
    </w:lvl>
    <w:lvl w:ilvl="5" w:tplc="2AFEB342">
      <w:numFmt w:val="decimal"/>
      <w:lvlText w:val=""/>
      <w:lvlJc w:val="left"/>
    </w:lvl>
    <w:lvl w:ilvl="6" w:tplc="907C841E">
      <w:numFmt w:val="decimal"/>
      <w:lvlText w:val=""/>
      <w:lvlJc w:val="left"/>
    </w:lvl>
    <w:lvl w:ilvl="7" w:tplc="16F4F7DA">
      <w:numFmt w:val="decimal"/>
      <w:lvlText w:val=""/>
      <w:lvlJc w:val="left"/>
    </w:lvl>
    <w:lvl w:ilvl="8" w:tplc="0A00F95C">
      <w:numFmt w:val="decimal"/>
      <w:lvlText w:val=""/>
      <w:lvlJc w:val="left"/>
    </w:lvl>
  </w:abstractNum>
  <w:abstractNum w:abstractNumId="70" w15:restartNumberingAfterBreak="0">
    <w:nsid w:val="08D80942"/>
    <w:multiLevelType w:val="hybridMultilevel"/>
    <w:tmpl w:val="90E66FD8"/>
    <w:lvl w:ilvl="0" w:tplc="31C85594">
      <w:start w:val="1"/>
      <w:numFmt w:val="bullet"/>
      <w:lvlText w:val=""/>
      <w:lvlJc w:val="left"/>
      <w:pPr>
        <w:ind w:left="720" w:hanging="180"/>
      </w:pPr>
      <w:rPr>
        <w:rFonts w:ascii="Symbol" w:hAnsi="Symbol" w:hint="default"/>
      </w:rPr>
    </w:lvl>
    <w:lvl w:ilvl="1" w:tplc="870C7F10">
      <w:numFmt w:val="decimal"/>
      <w:lvlText w:val=""/>
      <w:lvlJc w:val="left"/>
    </w:lvl>
    <w:lvl w:ilvl="2" w:tplc="2A6490FA">
      <w:numFmt w:val="decimal"/>
      <w:lvlText w:val=""/>
      <w:lvlJc w:val="left"/>
    </w:lvl>
    <w:lvl w:ilvl="3" w:tplc="6C64B6CC">
      <w:numFmt w:val="decimal"/>
      <w:lvlText w:val=""/>
      <w:lvlJc w:val="left"/>
    </w:lvl>
    <w:lvl w:ilvl="4" w:tplc="44DADF42">
      <w:numFmt w:val="decimal"/>
      <w:lvlText w:val=""/>
      <w:lvlJc w:val="left"/>
    </w:lvl>
    <w:lvl w:ilvl="5" w:tplc="A2B2F518">
      <w:numFmt w:val="decimal"/>
      <w:lvlText w:val=""/>
      <w:lvlJc w:val="left"/>
    </w:lvl>
    <w:lvl w:ilvl="6" w:tplc="616E21C6">
      <w:numFmt w:val="decimal"/>
      <w:lvlText w:val=""/>
      <w:lvlJc w:val="left"/>
    </w:lvl>
    <w:lvl w:ilvl="7" w:tplc="184A22D8">
      <w:numFmt w:val="decimal"/>
      <w:lvlText w:val=""/>
      <w:lvlJc w:val="left"/>
    </w:lvl>
    <w:lvl w:ilvl="8" w:tplc="017A0FDA">
      <w:numFmt w:val="decimal"/>
      <w:lvlText w:val=""/>
      <w:lvlJc w:val="left"/>
    </w:lvl>
  </w:abstractNum>
  <w:abstractNum w:abstractNumId="71" w15:restartNumberingAfterBreak="0">
    <w:nsid w:val="08EA2BE0"/>
    <w:multiLevelType w:val="hybridMultilevel"/>
    <w:tmpl w:val="BF4667DA"/>
    <w:lvl w:ilvl="0" w:tplc="8E2C9D4A">
      <w:start w:val="1"/>
      <w:numFmt w:val="bullet"/>
      <w:lvlText w:val=""/>
      <w:lvlJc w:val="left"/>
      <w:pPr>
        <w:ind w:left="720" w:hanging="180"/>
      </w:pPr>
      <w:rPr>
        <w:rFonts w:ascii="Symbol" w:hAnsi="Symbol" w:hint="default"/>
      </w:rPr>
    </w:lvl>
    <w:lvl w:ilvl="1" w:tplc="97D8A0F0">
      <w:numFmt w:val="decimal"/>
      <w:lvlText w:val=""/>
      <w:lvlJc w:val="left"/>
    </w:lvl>
    <w:lvl w:ilvl="2" w:tplc="AC2A437C">
      <w:numFmt w:val="decimal"/>
      <w:lvlText w:val=""/>
      <w:lvlJc w:val="left"/>
    </w:lvl>
    <w:lvl w:ilvl="3" w:tplc="7C26319A">
      <w:numFmt w:val="decimal"/>
      <w:lvlText w:val=""/>
      <w:lvlJc w:val="left"/>
    </w:lvl>
    <w:lvl w:ilvl="4" w:tplc="6E08A980">
      <w:numFmt w:val="decimal"/>
      <w:lvlText w:val=""/>
      <w:lvlJc w:val="left"/>
    </w:lvl>
    <w:lvl w:ilvl="5" w:tplc="094CE3AA">
      <w:numFmt w:val="decimal"/>
      <w:lvlText w:val=""/>
      <w:lvlJc w:val="left"/>
    </w:lvl>
    <w:lvl w:ilvl="6" w:tplc="8D64BA14">
      <w:numFmt w:val="decimal"/>
      <w:lvlText w:val=""/>
      <w:lvlJc w:val="left"/>
    </w:lvl>
    <w:lvl w:ilvl="7" w:tplc="3AF2D26E">
      <w:numFmt w:val="decimal"/>
      <w:lvlText w:val=""/>
      <w:lvlJc w:val="left"/>
    </w:lvl>
    <w:lvl w:ilvl="8" w:tplc="848A4366">
      <w:numFmt w:val="decimal"/>
      <w:lvlText w:val=""/>
      <w:lvlJc w:val="left"/>
    </w:lvl>
  </w:abstractNum>
  <w:abstractNum w:abstractNumId="72" w15:restartNumberingAfterBreak="0">
    <w:nsid w:val="090121A9"/>
    <w:multiLevelType w:val="hybridMultilevel"/>
    <w:tmpl w:val="0FC0B33C"/>
    <w:lvl w:ilvl="0" w:tplc="76C84694">
      <w:start w:val="1"/>
      <w:numFmt w:val="bullet"/>
      <w:lvlText w:val=""/>
      <w:lvlJc w:val="left"/>
      <w:pPr>
        <w:ind w:left="720" w:hanging="180"/>
      </w:pPr>
      <w:rPr>
        <w:rFonts w:ascii="Symbol" w:hAnsi="Symbol" w:hint="default"/>
      </w:rPr>
    </w:lvl>
    <w:lvl w:ilvl="1" w:tplc="0FDAA12C">
      <w:numFmt w:val="decimal"/>
      <w:lvlText w:val=""/>
      <w:lvlJc w:val="left"/>
    </w:lvl>
    <w:lvl w:ilvl="2" w:tplc="8B443288">
      <w:numFmt w:val="decimal"/>
      <w:lvlText w:val=""/>
      <w:lvlJc w:val="left"/>
    </w:lvl>
    <w:lvl w:ilvl="3" w:tplc="EE688CE4">
      <w:numFmt w:val="decimal"/>
      <w:lvlText w:val=""/>
      <w:lvlJc w:val="left"/>
    </w:lvl>
    <w:lvl w:ilvl="4" w:tplc="93A4A444">
      <w:numFmt w:val="decimal"/>
      <w:lvlText w:val=""/>
      <w:lvlJc w:val="left"/>
    </w:lvl>
    <w:lvl w:ilvl="5" w:tplc="56242C38">
      <w:numFmt w:val="decimal"/>
      <w:lvlText w:val=""/>
      <w:lvlJc w:val="left"/>
    </w:lvl>
    <w:lvl w:ilvl="6" w:tplc="DA3A5B0E">
      <w:numFmt w:val="decimal"/>
      <w:lvlText w:val=""/>
      <w:lvlJc w:val="left"/>
    </w:lvl>
    <w:lvl w:ilvl="7" w:tplc="A2E0E494">
      <w:numFmt w:val="decimal"/>
      <w:lvlText w:val=""/>
      <w:lvlJc w:val="left"/>
    </w:lvl>
    <w:lvl w:ilvl="8" w:tplc="9048840C">
      <w:numFmt w:val="decimal"/>
      <w:lvlText w:val=""/>
      <w:lvlJc w:val="left"/>
    </w:lvl>
  </w:abstractNum>
  <w:abstractNum w:abstractNumId="73" w15:restartNumberingAfterBreak="0">
    <w:nsid w:val="0914769B"/>
    <w:multiLevelType w:val="hybridMultilevel"/>
    <w:tmpl w:val="DB90ADD2"/>
    <w:lvl w:ilvl="0" w:tplc="C8E0E184">
      <w:numFmt w:val="decimal"/>
      <w:lvlText w:val=""/>
      <w:lvlJc w:val="left"/>
    </w:lvl>
    <w:lvl w:ilvl="1" w:tplc="1B5012F4">
      <w:start w:val="1"/>
      <w:numFmt w:val="bullet"/>
      <w:lvlText w:val=""/>
      <w:lvlJc w:val="left"/>
      <w:pPr>
        <w:ind w:left="1440" w:hanging="180"/>
      </w:pPr>
      <w:rPr>
        <w:rFonts w:ascii="Symbol" w:hAnsi="Symbol" w:hint="default"/>
      </w:rPr>
    </w:lvl>
    <w:lvl w:ilvl="2" w:tplc="76E00C5C">
      <w:numFmt w:val="decimal"/>
      <w:lvlText w:val=""/>
      <w:lvlJc w:val="left"/>
    </w:lvl>
    <w:lvl w:ilvl="3" w:tplc="62724B24">
      <w:numFmt w:val="decimal"/>
      <w:lvlText w:val=""/>
      <w:lvlJc w:val="left"/>
    </w:lvl>
    <w:lvl w:ilvl="4" w:tplc="37C2911C">
      <w:numFmt w:val="decimal"/>
      <w:lvlText w:val=""/>
      <w:lvlJc w:val="left"/>
    </w:lvl>
    <w:lvl w:ilvl="5" w:tplc="507C01C4">
      <w:numFmt w:val="decimal"/>
      <w:lvlText w:val=""/>
      <w:lvlJc w:val="left"/>
    </w:lvl>
    <w:lvl w:ilvl="6" w:tplc="F62EF9C0">
      <w:numFmt w:val="decimal"/>
      <w:lvlText w:val=""/>
      <w:lvlJc w:val="left"/>
    </w:lvl>
    <w:lvl w:ilvl="7" w:tplc="BD120DAE">
      <w:numFmt w:val="decimal"/>
      <w:lvlText w:val=""/>
      <w:lvlJc w:val="left"/>
    </w:lvl>
    <w:lvl w:ilvl="8" w:tplc="3CCE2778">
      <w:numFmt w:val="decimal"/>
      <w:lvlText w:val=""/>
      <w:lvlJc w:val="left"/>
    </w:lvl>
  </w:abstractNum>
  <w:abstractNum w:abstractNumId="74" w15:restartNumberingAfterBreak="0">
    <w:nsid w:val="09151120"/>
    <w:multiLevelType w:val="hybridMultilevel"/>
    <w:tmpl w:val="5D48EE56"/>
    <w:lvl w:ilvl="0" w:tplc="E4589084">
      <w:start w:val="1"/>
      <w:numFmt w:val="bullet"/>
      <w:lvlText w:val=""/>
      <w:lvlJc w:val="left"/>
      <w:pPr>
        <w:ind w:left="720" w:hanging="180"/>
      </w:pPr>
      <w:rPr>
        <w:rFonts w:ascii="Symbol" w:hAnsi="Symbol" w:hint="default"/>
      </w:rPr>
    </w:lvl>
    <w:lvl w:ilvl="1" w:tplc="BE6A8DA4">
      <w:numFmt w:val="decimal"/>
      <w:lvlText w:val=""/>
      <w:lvlJc w:val="left"/>
    </w:lvl>
    <w:lvl w:ilvl="2" w:tplc="43EC31C6">
      <w:numFmt w:val="decimal"/>
      <w:lvlText w:val=""/>
      <w:lvlJc w:val="left"/>
    </w:lvl>
    <w:lvl w:ilvl="3" w:tplc="FA38CD06">
      <w:numFmt w:val="decimal"/>
      <w:lvlText w:val=""/>
      <w:lvlJc w:val="left"/>
    </w:lvl>
    <w:lvl w:ilvl="4" w:tplc="DF0684F6">
      <w:numFmt w:val="decimal"/>
      <w:lvlText w:val=""/>
      <w:lvlJc w:val="left"/>
    </w:lvl>
    <w:lvl w:ilvl="5" w:tplc="39C6AC56">
      <w:numFmt w:val="decimal"/>
      <w:lvlText w:val=""/>
      <w:lvlJc w:val="left"/>
    </w:lvl>
    <w:lvl w:ilvl="6" w:tplc="DE32BEBC">
      <w:numFmt w:val="decimal"/>
      <w:lvlText w:val=""/>
      <w:lvlJc w:val="left"/>
    </w:lvl>
    <w:lvl w:ilvl="7" w:tplc="EA88FA36">
      <w:numFmt w:val="decimal"/>
      <w:lvlText w:val=""/>
      <w:lvlJc w:val="left"/>
    </w:lvl>
    <w:lvl w:ilvl="8" w:tplc="955A318E">
      <w:numFmt w:val="decimal"/>
      <w:lvlText w:val=""/>
      <w:lvlJc w:val="left"/>
    </w:lvl>
  </w:abstractNum>
  <w:abstractNum w:abstractNumId="75" w15:restartNumberingAfterBreak="0">
    <w:nsid w:val="0954096B"/>
    <w:multiLevelType w:val="hybridMultilevel"/>
    <w:tmpl w:val="ED823A7E"/>
    <w:lvl w:ilvl="0" w:tplc="5728EAD2">
      <w:start w:val="1"/>
      <w:numFmt w:val="bullet"/>
      <w:lvlText w:val=""/>
      <w:lvlJc w:val="left"/>
      <w:pPr>
        <w:ind w:left="720" w:hanging="180"/>
      </w:pPr>
      <w:rPr>
        <w:rFonts w:ascii="Symbol" w:hAnsi="Symbol" w:hint="default"/>
      </w:rPr>
    </w:lvl>
    <w:lvl w:ilvl="1" w:tplc="0742E3FA">
      <w:numFmt w:val="decimal"/>
      <w:lvlText w:val=""/>
      <w:lvlJc w:val="left"/>
    </w:lvl>
    <w:lvl w:ilvl="2" w:tplc="9F24B2C4">
      <w:numFmt w:val="decimal"/>
      <w:lvlText w:val=""/>
      <w:lvlJc w:val="left"/>
    </w:lvl>
    <w:lvl w:ilvl="3" w:tplc="9A5A01E2">
      <w:numFmt w:val="decimal"/>
      <w:lvlText w:val=""/>
      <w:lvlJc w:val="left"/>
    </w:lvl>
    <w:lvl w:ilvl="4" w:tplc="8F74FA54">
      <w:numFmt w:val="decimal"/>
      <w:lvlText w:val=""/>
      <w:lvlJc w:val="left"/>
    </w:lvl>
    <w:lvl w:ilvl="5" w:tplc="0CB4C550">
      <w:numFmt w:val="decimal"/>
      <w:lvlText w:val=""/>
      <w:lvlJc w:val="left"/>
    </w:lvl>
    <w:lvl w:ilvl="6" w:tplc="28D8569E">
      <w:numFmt w:val="decimal"/>
      <w:lvlText w:val=""/>
      <w:lvlJc w:val="left"/>
    </w:lvl>
    <w:lvl w:ilvl="7" w:tplc="4A308716">
      <w:numFmt w:val="decimal"/>
      <w:lvlText w:val=""/>
      <w:lvlJc w:val="left"/>
    </w:lvl>
    <w:lvl w:ilvl="8" w:tplc="E2FC7692">
      <w:numFmt w:val="decimal"/>
      <w:lvlText w:val=""/>
      <w:lvlJc w:val="left"/>
    </w:lvl>
  </w:abstractNum>
  <w:abstractNum w:abstractNumId="76" w15:restartNumberingAfterBreak="0">
    <w:nsid w:val="097633D6"/>
    <w:multiLevelType w:val="hybridMultilevel"/>
    <w:tmpl w:val="96048BD0"/>
    <w:lvl w:ilvl="0" w:tplc="49EC7214">
      <w:start w:val="1"/>
      <w:numFmt w:val="bullet"/>
      <w:lvlText w:val=""/>
      <w:lvlJc w:val="left"/>
      <w:pPr>
        <w:ind w:left="720" w:hanging="180"/>
      </w:pPr>
      <w:rPr>
        <w:rFonts w:ascii="Symbol" w:hAnsi="Symbol" w:hint="default"/>
      </w:rPr>
    </w:lvl>
    <w:lvl w:ilvl="1" w:tplc="DA767F9A">
      <w:numFmt w:val="decimal"/>
      <w:lvlText w:val=""/>
      <w:lvlJc w:val="left"/>
    </w:lvl>
    <w:lvl w:ilvl="2" w:tplc="BFEEAC82">
      <w:numFmt w:val="decimal"/>
      <w:lvlText w:val=""/>
      <w:lvlJc w:val="left"/>
    </w:lvl>
    <w:lvl w:ilvl="3" w:tplc="86E8EF8A">
      <w:numFmt w:val="decimal"/>
      <w:lvlText w:val=""/>
      <w:lvlJc w:val="left"/>
    </w:lvl>
    <w:lvl w:ilvl="4" w:tplc="2A4ADE52">
      <w:numFmt w:val="decimal"/>
      <w:lvlText w:val=""/>
      <w:lvlJc w:val="left"/>
    </w:lvl>
    <w:lvl w:ilvl="5" w:tplc="A0463D30">
      <w:numFmt w:val="decimal"/>
      <w:lvlText w:val=""/>
      <w:lvlJc w:val="left"/>
    </w:lvl>
    <w:lvl w:ilvl="6" w:tplc="E85E1C86">
      <w:numFmt w:val="decimal"/>
      <w:lvlText w:val=""/>
      <w:lvlJc w:val="left"/>
    </w:lvl>
    <w:lvl w:ilvl="7" w:tplc="C6043408">
      <w:numFmt w:val="decimal"/>
      <w:lvlText w:val=""/>
      <w:lvlJc w:val="left"/>
    </w:lvl>
    <w:lvl w:ilvl="8" w:tplc="7F1CE2DC">
      <w:numFmt w:val="decimal"/>
      <w:lvlText w:val=""/>
      <w:lvlJc w:val="left"/>
    </w:lvl>
  </w:abstractNum>
  <w:abstractNum w:abstractNumId="77" w15:restartNumberingAfterBreak="0">
    <w:nsid w:val="097F04CB"/>
    <w:multiLevelType w:val="hybridMultilevel"/>
    <w:tmpl w:val="3446C6A4"/>
    <w:lvl w:ilvl="0" w:tplc="FC26092E">
      <w:start w:val="1"/>
      <w:numFmt w:val="bullet"/>
      <w:lvlText w:val=""/>
      <w:lvlJc w:val="left"/>
      <w:pPr>
        <w:ind w:left="720" w:hanging="180"/>
      </w:pPr>
      <w:rPr>
        <w:rFonts w:ascii="Symbol" w:hAnsi="Symbol" w:hint="default"/>
      </w:rPr>
    </w:lvl>
    <w:lvl w:ilvl="1" w:tplc="7D1C09C2">
      <w:numFmt w:val="decimal"/>
      <w:lvlText w:val=""/>
      <w:lvlJc w:val="left"/>
    </w:lvl>
    <w:lvl w:ilvl="2" w:tplc="A92C8CEA">
      <w:numFmt w:val="decimal"/>
      <w:lvlText w:val=""/>
      <w:lvlJc w:val="left"/>
    </w:lvl>
    <w:lvl w:ilvl="3" w:tplc="532E87CC">
      <w:numFmt w:val="decimal"/>
      <w:lvlText w:val=""/>
      <w:lvlJc w:val="left"/>
    </w:lvl>
    <w:lvl w:ilvl="4" w:tplc="1F1AB036">
      <w:numFmt w:val="decimal"/>
      <w:lvlText w:val=""/>
      <w:lvlJc w:val="left"/>
    </w:lvl>
    <w:lvl w:ilvl="5" w:tplc="9A541120">
      <w:numFmt w:val="decimal"/>
      <w:lvlText w:val=""/>
      <w:lvlJc w:val="left"/>
    </w:lvl>
    <w:lvl w:ilvl="6" w:tplc="46605156">
      <w:numFmt w:val="decimal"/>
      <w:lvlText w:val=""/>
      <w:lvlJc w:val="left"/>
    </w:lvl>
    <w:lvl w:ilvl="7" w:tplc="B48AB590">
      <w:numFmt w:val="decimal"/>
      <w:lvlText w:val=""/>
      <w:lvlJc w:val="left"/>
    </w:lvl>
    <w:lvl w:ilvl="8" w:tplc="F2729C70">
      <w:numFmt w:val="decimal"/>
      <w:lvlText w:val=""/>
      <w:lvlJc w:val="left"/>
    </w:lvl>
  </w:abstractNum>
  <w:abstractNum w:abstractNumId="78" w15:restartNumberingAfterBreak="0">
    <w:nsid w:val="098439EA"/>
    <w:multiLevelType w:val="hybridMultilevel"/>
    <w:tmpl w:val="2AD48584"/>
    <w:lvl w:ilvl="0" w:tplc="9962DBE8">
      <w:start w:val="1"/>
      <w:numFmt w:val="bullet"/>
      <w:lvlText w:val=""/>
      <w:lvlJc w:val="left"/>
      <w:pPr>
        <w:ind w:left="720" w:hanging="180"/>
      </w:pPr>
      <w:rPr>
        <w:rFonts w:ascii="Symbol" w:hAnsi="Symbol" w:hint="default"/>
      </w:rPr>
    </w:lvl>
    <w:lvl w:ilvl="1" w:tplc="00CE5F2C">
      <w:numFmt w:val="decimal"/>
      <w:lvlText w:val=""/>
      <w:lvlJc w:val="left"/>
    </w:lvl>
    <w:lvl w:ilvl="2" w:tplc="6E24E1DC">
      <w:numFmt w:val="decimal"/>
      <w:lvlText w:val=""/>
      <w:lvlJc w:val="left"/>
    </w:lvl>
    <w:lvl w:ilvl="3" w:tplc="37EE1756">
      <w:numFmt w:val="decimal"/>
      <w:lvlText w:val=""/>
      <w:lvlJc w:val="left"/>
    </w:lvl>
    <w:lvl w:ilvl="4" w:tplc="968042D2">
      <w:numFmt w:val="decimal"/>
      <w:lvlText w:val=""/>
      <w:lvlJc w:val="left"/>
    </w:lvl>
    <w:lvl w:ilvl="5" w:tplc="F6C69F40">
      <w:numFmt w:val="decimal"/>
      <w:lvlText w:val=""/>
      <w:lvlJc w:val="left"/>
    </w:lvl>
    <w:lvl w:ilvl="6" w:tplc="D81065EC">
      <w:numFmt w:val="decimal"/>
      <w:lvlText w:val=""/>
      <w:lvlJc w:val="left"/>
    </w:lvl>
    <w:lvl w:ilvl="7" w:tplc="86945D8E">
      <w:numFmt w:val="decimal"/>
      <w:lvlText w:val=""/>
      <w:lvlJc w:val="left"/>
    </w:lvl>
    <w:lvl w:ilvl="8" w:tplc="9FA4EFF4">
      <w:numFmt w:val="decimal"/>
      <w:lvlText w:val=""/>
      <w:lvlJc w:val="left"/>
    </w:lvl>
  </w:abstractNum>
  <w:abstractNum w:abstractNumId="79" w15:restartNumberingAfterBreak="0">
    <w:nsid w:val="09AD6D63"/>
    <w:multiLevelType w:val="hybridMultilevel"/>
    <w:tmpl w:val="7CCC2CAA"/>
    <w:lvl w:ilvl="0" w:tplc="DDD4A586">
      <w:start w:val="1"/>
      <w:numFmt w:val="bullet"/>
      <w:lvlText w:val=""/>
      <w:lvlJc w:val="left"/>
      <w:pPr>
        <w:ind w:left="720" w:hanging="180"/>
      </w:pPr>
      <w:rPr>
        <w:rFonts w:ascii="Symbol" w:hAnsi="Symbol" w:hint="default"/>
      </w:rPr>
    </w:lvl>
    <w:lvl w:ilvl="1" w:tplc="8EACF574">
      <w:numFmt w:val="decimal"/>
      <w:lvlText w:val=""/>
      <w:lvlJc w:val="left"/>
    </w:lvl>
    <w:lvl w:ilvl="2" w:tplc="FF26E8DA">
      <w:numFmt w:val="decimal"/>
      <w:lvlText w:val=""/>
      <w:lvlJc w:val="left"/>
    </w:lvl>
    <w:lvl w:ilvl="3" w:tplc="7EFAA056">
      <w:numFmt w:val="decimal"/>
      <w:lvlText w:val=""/>
      <w:lvlJc w:val="left"/>
    </w:lvl>
    <w:lvl w:ilvl="4" w:tplc="8DCA27BE">
      <w:numFmt w:val="decimal"/>
      <w:lvlText w:val=""/>
      <w:lvlJc w:val="left"/>
    </w:lvl>
    <w:lvl w:ilvl="5" w:tplc="F5DED26C">
      <w:numFmt w:val="decimal"/>
      <w:lvlText w:val=""/>
      <w:lvlJc w:val="left"/>
    </w:lvl>
    <w:lvl w:ilvl="6" w:tplc="FE406B40">
      <w:numFmt w:val="decimal"/>
      <w:lvlText w:val=""/>
      <w:lvlJc w:val="left"/>
    </w:lvl>
    <w:lvl w:ilvl="7" w:tplc="14707A4C">
      <w:numFmt w:val="decimal"/>
      <w:lvlText w:val=""/>
      <w:lvlJc w:val="left"/>
    </w:lvl>
    <w:lvl w:ilvl="8" w:tplc="594C4140">
      <w:numFmt w:val="decimal"/>
      <w:lvlText w:val=""/>
      <w:lvlJc w:val="left"/>
    </w:lvl>
  </w:abstractNum>
  <w:abstractNum w:abstractNumId="80" w15:restartNumberingAfterBreak="0">
    <w:nsid w:val="09E95DA9"/>
    <w:multiLevelType w:val="hybridMultilevel"/>
    <w:tmpl w:val="B3F07F42"/>
    <w:lvl w:ilvl="0" w:tplc="A3160908">
      <w:start w:val="1"/>
      <w:numFmt w:val="bullet"/>
      <w:lvlText w:val=""/>
      <w:lvlJc w:val="left"/>
      <w:pPr>
        <w:ind w:left="720" w:hanging="180"/>
      </w:pPr>
      <w:rPr>
        <w:rFonts w:ascii="Symbol" w:hAnsi="Symbol" w:hint="default"/>
      </w:rPr>
    </w:lvl>
    <w:lvl w:ilvl="1" w:tplc="FA3C83A0">
      <w:numFmt w:val="decimal"/>
      <w:lvlText w:val=""/>
      <w:lvlJc w:val="left"/>
    </w:lvl>
    <w:lvl w:ilvl="2" w:tplc="3A2AB69E">
      <w:numFmt w:val="decimal"/>
      <w:lvlText w:val=""/>
      <w:lvlJc w:val="left"/>
    </w:lvl>
    <w:lvl w:ilvl="3" w:tplc="4C6A0BBC">
      <w:numFmt w:val="decimal"/>
      <w:lvlText w:val=""/>
      <w:lvlJc w:val="left"/>
    </w:lvl>
    <w:lvl w:ilvl="4" w:tplc="A15CDC5A">
      <w:numFmt w:val="decimal"/>
      <w:lvlText w:val=""/>
      <w:lvlJc w:val="left"/>
    </w:lvl>
    <w:lvl w:ilvl="5" w:tplc="FD6A7894">
      <w:numFmt w:val="decimal"/>
      <w:lvlText w:val=""/>
      <w:lvlJc w:val="left"/>
    </w:lvl>
    <w:lvl w:ilvl="6" w:tplc="2E50245C">
      <w:numFmt w:val="decimal"/>
      <w:lvlText w:val=""/>
      <w:lvlJc w:val="left"/>
    </w:lvl>
    <w:lvl w:ilvl="7" w:tplc="4F504814">
      <w:numFmt w:val="decimal"/>
      <w:lvlText w:val=""/>
      <w:lvlJc w:val="left"/>
    </w:lvl>
    <w:lvl w:ilvl="8" w:tplc="799A7500">
      <w:numFmt w:val="decimal"/>
      <w:lvlText w:val=""/>
      <w:lvlJc w:val="left"/>
    </w:lvl>
  </w:abstractNum>
  <w:abstractNum w:abstractNumId="81" w15:restartNumberingAfterBreak="0">
    <w:nsid w:val="0A186D9A"/>
    <w:multiLevelType w:val="hybridMultilevel"/>
    <w:tmpl w:val="0CD46142"/>
    <w:lvl w:ilvl="0" w:tplc="7A0C8CCA">
      <w:numFmt w:val="decimal"/>
      <w:lvlText w:val=""/>
      <w:lvlJc w:val="left"/>
    </w:lvl>
    <w:lvl w:ilvl="1" w:tplc="8A8CA294">
      <w:start w:val="1"/>
      <w:numFmt w:val="bullet"/>
      <w:lvlText w:val=""/>
      <w:lvlJc w:val="left"/>
      <w:pPr>
        <w:ind w:left="1440" w:hanging="180"/>
      </w:pPr>
      <w:rPr>
        <w:rFonts w:ascii="Symbol" w:hAnsi="Symbol" w:hint="default"/>
      </w:rPr>
    </w:lvl>
    <w:lvl w:ilvl="2" w:tplc="A4C496FC">
      <w:numFmt w:val="decimal"/>
      <w:lvlText w:val=""/>
      <w:lvlJc w:val="left"/>
    </w:lvl>
    <w:lvl w:ilvl="3" w:tplc="E5D249BC">
      <w:numFmt w:val="decimal"/>
      <w:lvlText w:val=""/>
      <w:lvlJc w:val="left"/>
    </w:lvl>
    <w:lvl w:ilvl="4" w:tplc="02FCFFEC">
      <w:numFmt w:val="decimal"/>
      <w:lvlText w:val=""/>
      <w:lvlJc w:val="left"/>
    </w:lvl>
    <w:lvl w:ilvl="5" w:tplc="8FA2C42E">
      <w:numFmt w:val="decimal"/>
      <w:lvlText w:val=""/>
      <w:lvlJc w:val="left"/>
    </w:lvl>
    <w:lvl w:ilvl="6" w:tplc="C99ACD3E">
      <w:numFmt w:val="decimal"/>
      <w:lvlText w:val=""/>
      <w:lvlJc w:val="left"/>
    </w:lvl>
    <w:lvl w:ilvl="7" w:tplc="7A8CDFCE">
      <w:numFmt w:val="decimal"/>
      <w:lvlText w:val=""/>
      <w:lvlJc w:val="left"/>
    </w:lvl>
    <w:lvl w:ilvl="8" w:tplc="79B6B8F2">
      <w:numFmt w:val="decimal"/>
      <w:lvlText w:val=""/>
      <w:lvlJc w:val="left"/>
    </w:lvl>
  </w:abstractNum>
  <w:abstractNum w:abstractNumId="82" w15:restartNumberingAfterBreak="0">
    <w:nsid w:val="0A2571E1"/>
    <w:multiLevelType w:val="hybridMultilevel"/>
    <w:tmpl w:val="471431CC"/>
    <w:lvl w:ilvl="0" w:tplc="B8C84EE4">
      <w:start w:val="1"/>
      <w:numFmt w:val="bullet"/>
      <w:lvlText w:val=""/>
      <w:lvlJc w:val="left"/>
      <w:pPr>
        <w:ind w:left="720" w:hanging="180"/>
      </w:pPr>
      <w:rPr>
        <w:rFonts w:ascii="Symbol" w:hAnsi="Symbol" w:hint="default"/>
      </w:rPr>
    </w:lvl>
    <w:lvl w:ilvl="1" w:tplc="E9701F72">
      <w:numFmt w:val="decimal"/>
      <w:lvlText w:val=""/>
      <w:lvlJc w:val="left"/>
    </w:lvl>
    <w:lvl w:ilvl="2" w:tplc="99BEA85C">
      <w:numFmt w:val="decimal"/>
      <w:lvlText w:val=""/>
      <w:lvlJc w:val="left"/>
    </w:lvl>
    <w:lvl w:ilvl="3" w:tplc="8278DB18">
      <w:numFmt w:val="decimal"/>
      <w:lvlText w:val=""/>
      <w:lvlJc w:val="left"/>
    </w:lvl>
    <w:lvl w:ilvl="4" w:tplc="C6CE5BD8">
      <w:numFmt w:val="decimal"/>
      <w:lvlText w:val=""/>
      <w:lvlJc w:val="left"/>
    </w:lvl>
    <w:lvl w:ilvl="5" w:tplc="D85A7F16">
      <w:numFmt w:val="decimal"/>
      <w:lvlText w:val=""/>
      <w:lvlJc w:val="left"/>
    </w:lvl>
    <w:lvl w:ilvl="6" w:tplc="F322FC90">
      <w:numFmt w:val="decimal"/>
      <w:lvlText w:val=""/>
      <w:lvlJc w:val="left"/>
    </w:lvl>
    <w:lvl w:ilvl="7" w:tplc="A8F68A4C">
      <w:numFmt w:val="decimal"/>
      <w:lvlText w:val=""/>
      <w:lvlJc w:val="left"/>
    </w:lvl>
    <w:lvl w:ilvl="8" w:tplc="F582195C">
      <w:numFmt w:val="decimal"/>
      <w:lvlText w:val=""/>
      <w:lvlJc w:val="left"/>
    </w:lvl>
  </w:abstractNum>
  <w:abstractNum w:abstractNumId="83" w15:restartNumberingAfterBreak="0">
    <w:nsid w:val="0A2D0463"/>
    <w:multiLevelType w:val="hybridMultilevel"/>
    <w:tmpl w:val="FE1AE222"/>
    <w:lvl w:ilvl="0" w:tplc="CEF8B4C6">
      <w:start w:val="1"/>
      <w:numFmt w:val="bullet"/>
      <w:lvlText w:val=""/>
      <w:lvlJc w:val="left"/>
      <w:pPr>
        <w:ind w:left="720" w:hanging="180"/>
      </w:pPr>
      <w:rPr>
        <w:rFonts w:ascii="Symbol" w:hAnsi="Symbol" w:hint="default"/>
      </w:rPr>
    </w:lvl>
    <w:lvl w:ilvl="1" w:tplc="A650EA52">
      <w:numFmt w:val="decimal"/>
      <w:lvlText w:val=""/>
      <w:lvlJc w:val="left"/>
    </w:lvl>
    <w:lvl w:ilvl="2" w:tplc="DE68B5C0">
      <w:numFmt w:val="decimal"/>
      <w:lvlText w:val=""/>
      <w:lvlJc w:val="left"/>
    </w:lvl>
    <w:lvl w:ilvl="3" w:tplc="F46ED3FC">
      <w:numFmt w:val="decimal"/>
      <w:lvlText w:val=""/>
      <w:lvlJc w:val="left"/>
    </w:lvl>
    <w:lvl w:ilvl="4" w:tplc="17847D42">
      <w:numFmt w:val="decimal"/>
      <w:lvlText w:val=""/>
      <w:lvlJc w:val="left"/>
    </w:lvl>
    <w:lvl w:ilvl="5" w:tplc="BEE29742">
      <w:numFmt w:val="decimal"/>
      <w:lvlText w:val=""/>
      <w:lvlJc w:val="left"/>
    </w:lvl>
    <w:lvl w:ilvl="6" w:tplc="460CC966">
      <w:numFmt w:val="decimal"/>
      <w:lvlText w:val=""/>
      <w:lvlJc w:val="left"/>
    </w:lvl>
    <w:lvl w:ilvl="7" w:tplc="C8F04548">
      <w:numFmt w:val="decimal"/>
      <w:lvlText w:val=""/>
      <w:lvlJc w:val="left"/>
    </w:lvl>
    <w:lvl w:ilvl="8" w:tplc="457AE932">
      <w:numFmt w:val="decimal"/>
      <w:lvlText w:val=""/>
      <w:lvlJc w:val="left"/>
    </w:lvl>
  </w:abstractNum>
  <w:abstractNum w:abstractNumId="84" w15:restartNumberingAfterBreak="0">
    <w:nsid w:val="0A41178F"/>
    <w:multiLevelType w:val="hybridMultilevel"/>
    <w:tmpl w:val="03C0490A"/>
    <w:lvl w:ilvl="0" w:tplc="72DCF5BE">
      <w:start w:val="1"/>
      <w:numFmt w:val="bullet"/>
      <w:lvlText w:val=""/>
      <w:lvlJc w:val="left"/>
      <w:pPr>
        <w:ind w:left="720" w:hanging="180"/>
      </w:pPr>
      <w:rPr>
        <w:rFonts w:ascii="Symbol" w:hAnsi="Symbol" w:hint="default"/>
      </w:rPr>
    </w:lvl>
    <w:lvl w:ilvl="1" w:tplc="2694645E">
      <w:numFmt w:val="decimal"/>
      <w:lvlText w:val=""/>
      <w:lvlJc w:val="left"/>
    </w:lvl>
    <w:lvl w:ilvl="2" w:tplc="04CED6F4">
      <w:numFmt w:val="decimal"/>
      <w:lvlText w:val=""/>
      <w:lvlJc w:val="left"/>
    </w:lvl>
    <w:lvl w:ilvl="3" w:tplc="06F06666">
      <w:numFmt w:val="decimal"/>
      <w:lvlText w:val=""/>
      <w:lvlJc w:val="left"/>
    </w:lvl>
    <w:lvl w:ilvl="4" w:tplc="BC6AE5D2">
      <w:numFmt w:val="decimal"/>
      <w:lvlText w:val=""/>
      <w:lvlJc w:val="left"/>
    </w:lvl>
    <w:lvl w:ilvl="5" w:tplc="42029C1C">
      <w:numFmt w:val="decimal"/>
      <w:lvlText w:val=""/>
      <w:lvlJc w:val="left"/>
    </w:lvl>
    <w:lvl w:ilvl="6" w:tplc="8AD0D50E">
      <w:numFmt w:val="decimal"/>
      <w:lvlText w:val=""/>
      <w:lvlJc w:val="left"/>
    </w:lvl>
    <w:lvl w:ilvl="7" w:tplc="F3B04A5E">
      <w:numFmt w:val="decimal"/>
      <w:lvlText w:val=""/>
      <w:lvlJc w:val="left"/>
    </w:lvl>
    <w:lvl w:ilvl="8" w:tplc="758279CC">
      <w:numFmt w:val="decimal"/>
      <w:lvlText w:val=""/>
      <w:lvlJc w:val="left"/>
    </w:lvl>
  </w:abstractNum>
  <w:abstractNum w:abstractNumId="85" w15:restartNumberingAfterBreak="0">
    <w:nsid w:val="0A9F26C6"/>
    <w:multiLevelType w:val="hybridMultilevel"/>
    <w:tmpl w:val="72FE140C"/>
    <w:lvl w:ilvl="0" w:tplc="81422A3E">
      <w:start w:val="1"/>
      <w:numFmt w:val="bullet"/>
      <w:lvlText w:val=""/>
      <w:lvlJc w:val="left"/>
      <w:pPr>
        <w:ind w:left="720" w:hanging="180"/>
      </w:pPr>
      <w:rPr>
        <w:rFonts w:ascii="Symbol" w:hAnsi="Symbol" w:hint="default"/>
      </w:rPr>
    </w:lvl>
    <w:lvl w:ilvl="1" w:tplc="DF160F82">
      <w:numFmt w:val="decimal"/>
      <w:lvlText w:val=""/>
      <w:lvlJc w:val="left"/>
    </w:lvl>
    <w:lvl w:ilvl="2" w:tplc="3388666A">
      <w:numFmt w:val="decimal"/>
      <w:lvlText w:val=""/>
      <w:lvlJc w:val="left"/>
    </w:lvl>
    <w:lvl w:ilvl="3" w:tplc="834ED12E">
      <w:numFmt w:val="decimal"/>
      <w:lvlText w:val=""/>
      <w:lvlJc w:val="left"/>
    </w:lvl>
    <w:lvl w:ilvl="4" w:tplc="7E4CC978">
      <w:numFmt w:val="decimal"/>
      <w:lvlText w:val=""/>
      <w:lvlJc w:val="left"/>
    </w:lvl>
    <w:lvl w:ilvl="5" w:tplc="99909646">
      <w:numFmt w:val="decimal"/>
      <w:lvlText w:val=""/>
      <w:lvlJc w:val="left"/>
    </w:lvl>
    <w:lvl w:ilvl="6" w:tplc="8A5E9876">
      <w:numFmt w:val="decimal"/>
      <w:lvlText w:val=""/>
      <w:lvlJc w:val="left"/>
    </w:lvl>
    <w:lvl w:ilvl="7" w:tplc="861A2ED2">
      <w:numFmt w:val="decimal"/>
      <w:lvlText w:val=""/>
      <w:lvlJc w:val="left"/>
    </w:lvl>
    <w:lvl w:ilvl="8" w:tplc="8070E0F2">
      <w:numFmt w:val="decimal"/>
      <w:lvlText w:val=""/>
      <w:lvlJc w:val="left"/>
    </w:lvl>
  </w:abstractNum>
  <w:abstractNum w:abstractNumId="86" w15:restartNumberingAfterBreak="0">
    <w:nsid w:val="0AB56EF0"/>
    <w:multiLevelType w:val="hybridMultilevel"/>
    <w:tmpl w:val="94F628F6"/>
    <w:lvl w:ilvl="0" w:tplc="C0087098">
      <w:start w:val="1"/>
      <w:numFmt w:val="bullet"/>
      <w:lvlText w:val=""/>
      <w:lvlJc w:val="left"/>
      <w:pPr>
        <w:ind w:left="720" w:hanging="180"/>
      </w:pPr>
      <w:rPr>
        <w:rFonts w:ascii="Symbol" w:hAnsi="Symbol" w:hint="default"/>
      </w:rPr>
    </w:lvl>
    <w:lvl w:ilvl="1" w:tplc="F7AE6F54">
      <w:numFmt w:val="decimal"/>
      <w:lvlText w:val=""/>
      <w:lvlJc w:val="left"/>
    </w:lvl>
    <w:lvl w:ilvl="2" w:tplc="4A5AB8B0">
      <w:numFmt w:val="decimal"/>
      <w:lvlText w:val=""/>
      <w:lvlJc w:val="left"/>
    </w:lvl>
    <w:lvl w:ilvl="3" w:tplc="E9A033FC">
      <w:numFmt w:val="decimal"/>
      <w:lvlText w:val=""/>
      <w:lvlJc w:val="left"/>
    </w:lvl>
    <w:lvl w:ilvl="4" w:tplc="B73621F4">
      <w:numFmt w:val="decimal"/>
      <w:lvlText w:val=""/>
      <w:lvlJc w:val="left"/>
    </w:lvl>
    <w:lvl w:ilvl="5" w:tplc="FD983C14">
      <w:numFmt w:val="decimal"/>
      <w:lvlText w:val=""/>
      <w:lvlJc w:val="left"/>
    </w:lvl>
    <w:lvl w:ilvl="6" w:tplc="495A6732">
      <w:numFmt w:val="decimal"/>
      <w:lvlText w:val=""/>
      <w:lvlJc w:val="left"/>
    </w:lvl>
    <w:lvl w:ilvl="7" w:tplc="7D4C29C2">
      <w:numFmt w:val="decimal"/>
      <w:lvlText w:val=""/>
      <w:lvlJc w:val="left"/>
    </w:lvl>
    <w:lvl w:ilvl="8" w:tplc="4CA2539C">
      <w:numFmt w:val="decimal"/>
      <w:lvlText w:val=""/>
      <w:lvlJc w:val="left"/>
    </w:lvl>
  </w:abstractNum>
  <w:abstractNum w:abstractNumId="87" w15:restartNumberingAfterBreak="0">
    <w:nsid w:val="0AD53B07"/>
    <w:multiLevelType w:val="hybridMultilevel"/>
    <w:tmpl w:val="7EC026AE"/>
    <w:lvl w:ilvl="0" w:tplc="43B26D14">
      <w:start w:val="1"/>
      <w:numFmt w:val="bullet"/>
      <w:lvlText w:val=""/>
      <w:lvlJc w:val="left"/>
      <w:pPr>
        <w:ind w:left="720" w:hanging="180"/>
      </w:pPr>
      <w:rPr>
        <w:rFonts w:ascii="Symbol" w:hAnsi="Symbol" w:hint="default"/>
      </w:rPr>
    </w:lvl>
    <w:lvl w:ilvl="1" w:tplc="F134DA14">
      <w:numFmt w:val="decimal"/>
      <w:lvlText w:val=""/>
      <w:lvlJc w:val="left"/>
    </w:lvl>
    <w:lvl w:ilvl="2" w:tplc="F274E35A">
      <w:numFmt w:val="decimal"/>
      <w:lvlText w:val=""/>
      <w:lvlJc w:val="left"/>
    </w:lvl>
    <w:lvl w:ilvl="3" w:tplc="8C4A9E06">
      <w:numFmt w:val="decimal"/>
      <w:lvlText w:val=""/>
      <w:lvlJc w:val="left"/>
    </w:lvl>
    <w:lvl w:ilvl="4" w:tplc="D73840C8">
      <w:numFmt w:val="decimal"/>
      <w:lvlText w:val=""/>
      <w:lvlJc w:val="left"/>
    </w:lvl>
    <w:lvl w:ilvl="5" w:tplc="88407B68">
      <w:numFmt w:val="decimal"/>
      <w:lvlText w:val=""/>
      <w:lvlJc w:val="left"/>
    </w:lvl>
    <w:lvl w:ilvl="6" w:tplc="AA002C1C">
      <w:numFmt w:val="decimal"/>
      <w:lvlText w:val=""/>
      <w:lvlJc w:val="left"/>
    </w:lvl>
    <w:lvl w:ilvl="7" w:tplc="74C65F76">
      <w:numFmt w:val="decimal"/>
      <w:lvlText w:val=""/>
      <w:lvlJc w:val="left"/>
    </w:lvl>
    <w:lvl w:ilvl="8" w:tplc="CB9CCAFC">
      <w:numFmt w:val="decimal"/>
      <w:lvlText w:val=""/>
      <w:lvlJc w:val="left"/>
    </w:lvl>
  </w:abstractNum>
  <w:abstractNum w:abstractNumId="88" w15:restartNumberingAfterBreak="0">
    <w:nsid w:val="0ADB2592"/>
    <w:multiLevelType w:val="hybridMultilevel"/>
    <w:tmpl w:val="1D187AE2"/>
    <w:lvl w:ilvl="0" w:tplc="B6B00376">
      <w:start w:val="1"/>
      <w:numFmt w:val="bullet"/>
      <w:lvlText w:val=""/>
      <w:lvlJc w:val="left"/>
      <w:pPr>
        <w:ind w:left="720" w:hanging="180"/>
      </w:pPr>
      <w:rPr>
        <w:rFonts w:ascii="Symbol" w:hAnsi="Symbol" w:hint="default"/>
      </w:rPr>
    </w:lvl>
    <w:lvl w:ilvl="1" w:tplc="354E7C2E">
      <w:numFmt w:val="decimal"/>
      <w:lvlText w:val=""/>
      <w:lvlJc w:val="left"/>
    </w:lvl>
    <w:lvl w:ilvl="2" w:tplc="4D50763A">
      <w:numFmt w:val="decimal"/>
      <w:lvlText w:val=""/>
      <w:lvlJc w:val="left"/>
    </w:lvl>
    <w:lvl w:ilvl="3" w:tplc="EAE60BFC">
      <w:numFmt w:val="decimal"/>
      <w:lvlText w:val=""/>
      <w:lvlJc w:val="left"/>
    </w:lvl>
    <w:lvl w:ilvl="4" w:tplc="2EB2A8DE">
      <w:numFmt w:val="decimal"/>
      <w:lvlText w:val=""/>
      <w:lvlJc w:val="left"/>
    </w:lvl>
    <w:lvl w:ilvl="5" w:tplc="E7A076B0">
      <w:numFmt w:val="decimal"/>
      <w:lvlText w:val=""/>
      <w:lvlJc w:val="left"/>
    </w:lvl>
    <w:lvl w:ilvl="6" w:tplc="ADDE9D60">
      <w:numFmt w:val="decimal"/>
      <w:lvlText w:val=""/>
      <w:lvlJc w:val="left"/>
    </w:lvl>
    <w:lvl w:ilvl="7" w:tplc="F95E33B6">
      <w:numFmt w:val="decimal"/>
      <w:lvlText w:val=""/>
      <w:lvlJc w:val="left"/>
    </w:lvl>
    <w:lvl w:ilvl="8" w:tplc="40EC23CE">
      <w:numFmt w:val="decimal"/>
      <w:lvlText w:val=""/>
      <w:lvlJc w:val="left"/>
    </w:lvl>
  </w:abstractNum>
  <w:abstractNum w:abstractNumId="89" w15:restartNumberingAfterBreak="0">
    <w:nsid w:val="0ADF3186"/>
    <w:multiLevelType w:val="hybridMultilevel"/>
    <w:tmpl w:val="36D28F46"/>
    <w:lvl w:ilvl="0" w:tplc="E14A93B2">
      <w:start w:val="1"/>
      <w:numFmt w:val="bullet"/>
      <w:lvlText w:val=""/>
      <w:lvlJc w:val="left"/>
      <w:pPr>
        <w:ind w:left="720" w:hanging="180"/>
      </w:pPr>
      <w:rPr>
        <w:rFonts w:ascii="Symbol" w:hAnsi="Symbol" w:hint="default"/>
      </w:rPr>
    </w:lvl>
    <w:lvl w:ilvl="1" w:tplc="7DDE22C8">
      <w:numFmt w:val="decimal"/>
      <w:lvlText w:val=""/>
      <w:lvlJc w:val="left"/>
    </w:lvl>
    <w:lvl w:ilvl="2" w:tplc="B194FCC2">
      <w:numFmt w:val="decimal"/>
      <w:lvlText w:val=""/>
      <w:lvlJc w:val="left"/>
    </w:lvl>
    <w:lvl w:ilvl="3" w:tplc="3A9E1230">
      <w:numFmt w:val="decimal"/>
      <w:lvlText w:val=""/>
      <w:lvlJc w:val="left"/>
    </w:lvl>
    <w:lvl w:ilvl="4" w:tplc="042EA8CA">
      <w:numFmt w:val="decimal"/>
      <w:lvlText w:val=""/>
      <w:lvlJc w:val="left"/>
    </w:lvl>
    <w:lvl w:ilvl="5" w:tplc="F1140C40">
      <w:numFmt w:val="decimal"/>
      <w:lvlText w:val=""/>
      <w:lvlJc w:val="left"/>
    </w:lvl>
    <w:lvl w:ilvl="6" w:tplc="351E2E76">
      <w:numFmt w:val="decimal"/>
      <w:lvlText w:val=""/>
      <w:lvlJc w:val="left"/>
    </w:lvl>
    <w:lvl w:ilvl="7" w:tplc="E73225E4">
      <w:numFmt w:val="decimal"/>
      <w:lvlText w:val=""/>
      <w:lvlJc w:val="left"/>
    </w:lvl>
    <w:lvl w:ilvl="8" w:tplc="0F28BB84">
      <w:numFmt w:val="decimal"/>
      <w:lvlText w:val=""/>
      <w:lvlJc w:val="left"/>
    </w:lvl>
  </w:abstractNum>
  <w:abstractNum w:abstractNumId="90" w15:restartNumberingAfterBreak="0">
    <w:nsid w:val="0AF63504"/>
    <w:multiLevelType w:val="hybridMultilevel"/>
    <w:tmpl w:val="0FACA80A"/>
    <w:lvl w:ilvl="0" w:tplc="13CCDFE4">
      <w:start w:val="1"/>
      <w:numFmt w:val="bullet"/>
      <w:lvlText w:val=""/>
      <w:lvlJc w:val="left"/>
      <w:pPr>
        <w:ind w:left="720" w:hanging="180"/>
      </w:pPr>
      <w:rPr>
        <w:rFonts w:ascii="Symbol" w:hAnsi="Symbol" w:hint="default"/>
      </w:rPr>
    </w:lvl>
    <w:lvl w:ilvl="1" w:tplc="DD0215A6">
      <w:numFmt w:val="decimal"/>
      <w:lvlText w:val=""/>
      <w:lvlJc w:val="left"/>
    </w:lvl>
    <w:lvl w:ilvl="2" w:tplc="F8BE4A94">
      <w:numFmt w:val="decimal"/>
      <w:lvlText w:val=""/>
      <w:lvlJc w:val="left"/>
    </w:lvl>
    <w:lvl w:ilvl="3" w:tplc="9E9E7AF6">
      <w:numFmt w:val="decimal"/>
      <w:lvlText w:val=""/>
      <w:lvlJc w:val="left"/>
    </w:lvl>
    <w:lvl w:ilvl="4" w:tplc="9AA8B62C">
      <w:numFmt w:val="decimal"/>
      <w:lvlText w:val=""/>
      <w:lvlJc w:val="left"/>
    </w:lvl>
    <w:lvl w:ilvl="5" w:tplc="40C2D4EC">
      <w:numFmt w:val="decimal"/>
      <w:lvlText w:val=""/>
      <w:lvlJc w:val="left"/>
    </w:lvl>
    <w:lvl w:ilvl="6" w:tplc="0F601560">
      <w:numFmt w:val="decimal"/>
      <w:lvlText w:val=""/>
      <w:lvlJc w:val="left"/>
    </w:lvl>
    <w:lvl w:ilvl="7" w:tplc="6F720AE2">
      <w:numFmt w:val="decimal"/>
      <w:lvlText w:val=""/>
      <w:lvlJc w:val="left"/>
    </w:lvl>
    <w:lvl w:ilvl="8" w:tplc="0016BF10">
      <w:numFmt w:val="decimal"/>
      <w:lvlText w:val=""/>
      <w:lvlJc w:val="left"/>
    </w:lvl>
  </w:abstractNum>
  <w:abstractNum w:abstractNumId="91" w15:restartNumberingAfterBreak="0">
    <w:nsid w:val="0AFD4ECD"/>
    <w:multiLevelType w:val="hybridMultilevel"/>
    <w:tmpl w:val="838ACF4A"/>
    <w:lvl w:ilvl="0" w:tplc="D3E813CA">
      <w:start w:val="1"/>
      <w:numFmt w:val="bullet"/>
      <w:lvlText w:val=""/>
      <w:lvlJc w:val="left"/>
      <w:pPr>
        <w:ind w:left="720" w:hanging="180"/>
      </w:pPr>
      <w:rPr>
        <w:rFonts w:ascii="Symbol" w:hAnsi="Symbol" w:hint="default"/>
      </w:rPr>
    </w:lvl>
    <w:lvl w:ilvl="1" w:tplc="9DBE1C30">
      <w:numFmt w:val="decimal"/>
      <w:lvlText w:val=""/>
      <w:lvlJc w:val="left"/>
    </w:lvl>
    <w:lvl w:ilvl="2" w:tplc="D1DC610E">
      <w:numFmt w:val="decimal"/>
      <w:lvlText w:val=""/>
      <w:lvlJc w:val="left"/>
    </w:lvl>
    <w:lvl w:ilvl="3" w:tplc="BDE0F0D2">
      <w:numFmt w:val="decimal"/>
      <w:lvlText w:val=""/>
      <w:lvlJc w:val="left"/>
    </w:lvl>
    <w:lvl w:ilvl="4" w:tplc="2CAC4186">
      <w:numFmt w:val="decimal"/>
      <w:lvlText w:val=""/>
      <w:lvlJc w:val="left"/>
    </w:lvl>
    <w:lvl w:ilvl="5" w:tplc="2AD473C2">
      <w:numFmt w:val="decimal"/>
      <w:lvlText w:val=""/>
      <w:lvlJc w:val="left"/>
    </w:lvl>
    <w:lvl w:ilvl="6" w:tplc="5D969FB2">
      <w:numFmt w:val="decimal"/>
      <w:lvlText w:val=""/>
      <w:lvlJc w:val="left"/>
    </w:lvl>
    <w:lvl w:ilvl="7" w:tplc="1E04C716">
      <w:numFmt w:val="decimal"/>
      <w:lvlText w:val=""/>
      <w:lvlJc w:val="left"/>
    </w:lvl>
    <w:lvl w:ilvl="8" w:tplc="32A0A2BE">
      <w:numFmt w:val="decimal"/>
      <w:lvlText w:val=""/>
      <w:lvlJc w:val="left"/>
    </w:lvl>
  </w:abstractNum>
  <w:abstractNum w:abstractNumId="92" w15:restartNumberingAfterBreak="0">
    <w:nsid w:val="0B172422"/>
    <w:multiLevelType w:val="hybridMultilevel"/>
    <w:tmpl w:val="E1146A8A"/>
    <w:lvl w:ilvl="0" w:tplc="929002E8">
      <w:start w:val="1"/>
      <w:numFmt w:val="bullet"/>
      <w:lvlText w:val=""/>
      <w:lvlJc w:val="left"/>
      <w:pPr>
        <w:ind w:left="720" w:hanging="180"/>
      </w:pPr>
      <w:rPr>
        <w:rFonts w:ascii="Symbol" w:hAnsi="Symbol" w:hint="default"/>
      </w:rPr>
    </w:lvl>
    <w:lvl w:ilvl="1" w:tplc="B5E0FFD8">
      <w:numFmt w:val="decimal"/>
      <w:lvlText w:val=""/>
      <w:lvlJc w:val="left"/>
    </w:lvl>
    <w:lvl w:ilvl="2" w:tplc="BEC64898">
      <w:numFmt w:val="decimal"/>
      <w:lvlText w:val=""/>
      <w:lvlJc w:val="left"/>
    </w:lvl>
    <w:lvl w:ilvl="3" w:tplc="4B02E556">
      <w:numFmt w:val="decimal"/>
      <w:lvlText w:val=""/>
      <w:lvlJc w:val="left"/>
    </w:lvl>
    <w:lvl w:ilvl="4" w:tplc="A948DE58">
      <w:numFmt w:val="decimal"/>
      <w:lvlText w:val=""/>
      <w:lvlJc w:val="left"/>
    </w:lvl>
    <w:lvl w:ilvl="5" w:tplc="5664CF84">
      <w:numFmt w:val="decimal"/>
      <w:lvlText w:val=""/>
      <w:lvlJc w:val="left"/>
    </w:lvl>
    <w:lvl w:ilvl="6" w:tplc="8D907218">
      <w:numFmt w:val="decimal"/>
      <w:lvlText w:val=""/>
      <w:lvlJc w:val="left"/>
    </w:lvl>
    <w:lvl w:ilvl="7" w:tplc="97C02788">
      <w:numFmt w:val="decimal"/>
      <w:lvlText w:val=""/>
      <w:lvlJc w:val="left"/>
    </w:lvl>
    <w:lvl w:ilvl="8" w:tplc="F0D26222">
      <w:numFmt w:val="decimal"/>
      <w:lvlText w:val=""/>
      <w:lvlJc w:val="left"/>
    </w:lvl>
  </w:abstractNum>
  <w:abstractNum w:abstractNumId="93" w15:restartNumberingAfterBreak="0">
    <w:nsid w:val="0B42261B"/>
    <w:multiLevelType w:val="hybridMultilevel"/>
    <w:tmpl w:val="0A92F2CC"/>
    <w:lvl w:ilvl="0" w:tplc="43AC918C">
      <w:start w:val="1"/>
      <w:numFmt w:val="bullet"/>
      <w:lvlText w:val=""/>
      <w:lvlJc w:val="left"/>
      <w:pPr>
        <w:ind w:left="720" w:hanging="180"/>
      </w:pPr>
      <w:rPr>
        <w:rFonts w:ascii="Symbol" w:hAnsi="Symbol" w:hint="default"/>
      </w:rPr>
    </w:lvl>
    <w:lvl w:ilvl="1" w:tplc="0BFAE24C">
      <w:numFmt w:val="decimal"/>
      <w:lvlText w:val=""/>
      <w:lvlJc w:val="left"/>
    </w:lvl>
    <w:lvl w:ilvl="2" w:tplc="F8EAEF38">
      <w:numFmt w:val="decimal"/>
      <w:lvlText w:val=""/>
      <w:lvlJc w:val="left"/>
    </w:lvl>
    <w:lvl w:ilvl="3" w:tplc="FDA07238">
      <w:numFmt w:val="decimal"/>
      <w:lvlText w:val=""/>
      <w:lvlJc w:val="left"/>
    </w:lvl>
    <w:lvl w:ilvl="4" w:tplc="6D5CE0A8">
      <w:numFmt w:val="decimal"/>
      <w:lvlText w:val=""/>
      <w:lvlJc w:val="left"/>
    </w:lvl>
    <w:lvl w:ilvl="5" w:tplc="3DCE59D2">
      <w:numFmt w:val="decimal"/>
      <w:lvlText w:val=""/>
      <w:lvlJc w:val="left"/>
    </w:lvl>
    <w:lvl w:ilvl="6" w:tplc="5C2EC346">
      <w:numFmt w:val="decimal"/>
      <w:lvlText w:val=""/>
      <w:lvlJc w:val="left"/>
    </w:lvl>
    <w:lvl w:ilvl="7" w:tplc="E5E4E4C4">
      <w:numFmt w:val="decimal"/>
      <w:lvlText w:val=""/>
      <w:lvlJc w:val="left"/>
    </w:lvl>
    <w:lvl w:ilvl="8" w:tplc="E2E8595E">
      <w:numFmt w:val="decimal"/>
      <w:lvlText w:val=""/>
      <w:lvlJc w:val="left"/>
    </w:lvl>
  </w:abstractNum>
  <w:abstractNum w:abstractNumId="94" w15:restartNumberingAfterBreak="0">
    <w:nsid w:val="0B6A2355"/>
    <w:multiLevelType w:val="hybridMultilevel"/>
    <w:tmpl w:val="7C30A45A"/>
    <w:lvl w:ilvl="0" w:tplc="AE2688DA">
      <w:start w:val="1"/>
      <w:numFmt w:val="bullet"/>
      <w:lvlText w:val=""/>
      <w:lvlJc w:val="left"/>
      <w:pPr>
        <w:ind w:left="720" w:hanging="180"/>
      </w:pPr>
      <w:rPr>
        <w:rFonts w:ascii="Symbol" w:hAnsi="Symbol" w:hint="default"/>
      </w:rPr>
    </w:lvl>
    <w:lvl w:ilvl="1" w:tplc="AA5633F2">
      <w:numFmt w:val="decimal"/>
      <w:lvlText w:val=""/>
      <w:lvlJc w:val="left"/>
    </w:lvl>
    <w:lvl w:ilvl="2" w:tplc="502C2686">
      <w:numFmt w:val="decimal"/>
      <w:lvlText w:val=""/>
      <w:lvlJc w:val="left"/>
    </w:lvl>
    <w:lvl w:ilvl="3" w:tplc="61904E24">
      <w:numFmt w:val="decimal"/>
      <w:lvlText w:val=""/>
      <w:lvlJc w:val="left"/>
    </w:lvl>
    <w:lvl w:ilvl="4" w:tplc="495C9CF6">
      <w:numFmt w:val="decimal"/>
      <w:lvlText w:val=""/>
      <w:lvlJc w:val="left"/>
    </w:lvl>
    <w:lvl w:ilvl="5" w:tplc="0C7C67BC">
      <w:numFmt w:val="decimal"/>
      <w:lvlText w:val=""/>
      <w:lvlJc w:val="left"/>
    </w:lvl>
    <w:lvl w:ilvl="6" w:tplc="30FC788E">
      <w:numFmt w:val="decimal"/>
      <w:lvlText w:val=""/>
      <w:lvlJc w:val="left"/>
    </w:lvl>
    <w:lvl w:ilvl="7" w:tplc="50646658">
      <w:numFmt w:val="decimal"/>
      <w:lvlText w:val=""/>
      <w:lvlJc w:val="left"/>
    </w:lvl>
    <w:lvl w:ilvl="8" w:tplc="CE4A8750">
      <w:numFmt w:val="decimal"/>
      <w:lvlText w:val=""/>
      <w:lvlJc w:val="left"/>
    </w:lvl>
  </w:abstractNum>
  <w:abstractNum w:abstractNumId="95" w15:restartNumberingAfterBreak="0">
    <w:nsid w:val="0B7A047B"/>
    <w:multiLevelType w:val="hybridMultilevel"/>
    <w:tmpl w:val="14101CC8"/>
    <w:lvl w:ilvl="0" w:tplc="AC18B86A">
      <w:start w:val="1"/>
      <w:numFmt w:val="bullet"/>
      <w:lvlText w:val=""/>
      <w:lvlJc w:val="left"/>
      <w:pPr>
        <w:ind w:left="720" w:hanging="180"/>
      </w:pPr>
      <w:rPr>
        <w:rFonts w:ascii="Symbol" w:hAnsi="Symbol" w:hint="default"/>
      </w:rPr>
    </w:lvl>
    <w:lvl w:ilvl="1" w:tplc="2EC47796">
      <w:numFmt w:val="decimal"/>
      <w:lvlText w:val=""/>
      <w:lvlJc w:val="left"/>
    </w:lvl>
    <w:lvl w:ilvl="2" w:tplc="5300945A">
      <w:numFmt w:val="decimal"/>
      <w:lvlText w:val=""/>
      <w:lvlJc w:val="left"/>
    </w:lvl>
    <w:lvl w:ilvl="3" w:tplc="A482B624">
      <w:numFmt w:val="decimal"/>
      <w:lvlText w:val=""/>
      <w:lvlJc w:val="left"/>
    </w:lvl>
    <w:lvl w:ilvl="4" w:tplc="2E48DB2A">
      <w:numFmt w:val="decimal"/>
      <w:lvlText w:val=""/>
      <w:lvlJc w:val="left"/>
    </w:lvl>
    <w:lvl w:ilvl="5" w:tplc="9D6A91D4">
      <w:numFmt w:val="decimal"/>
      <w:lvlText w:val=""/>
      <w:lvlJc w:val="left"/>
    </w:lvl>
    <w:lvl w:ilvl="6" w:tplc="F44E2034">
      <w:numFmt w:val="decimal"/>
      <w:lvlText w:val=""/>
      <w:lvlJc w:val="left"/>
    </w:lvl>
    <w:lvl w:ilvl="7" w:tplc="B14AE046">
      <w:numFmt w:val="decimal"/>
      <w:lvlText w:val=""/>
      <w:lvlJc w:val="left"/>
    </w:lvl>
    <w:lvl w:ilvl="8" w:tplc="6854E532">
      <w:numFmt w:val="decimal"/>
      <w:lvlText w:val=""/>
      <w:lvlJc w:val="left"/>
    </w:lvl>
  </w:abstractNum>
  <w:abstractNum w:abstractNumId="96" w15:restartNumberingAfterBreak="0">
    <w:nsid w:val="0B990CAC"/>
    <w:multiLevelType w:val="hybridMultilevel"/>
    <w:tmpl w:val="B094C6F2"/>
    <w:lvl w:ilvl="0" w:tplc="D5E0A3A2">
      <w:start w:val="1"/>
      <w:numFmt w:val="bullet"/>
      <w:lvlText w:val=""/>
      <w:lvlJc w:val="left"/>
      <w:pPr>
        <w:ind w:left="720" w:hanging="180"/>
      </w:pPr>
      <w:rPr>
        <w:rFonts w:ascii="Symbol" w:hAnsi="Symbol" w:hint="default"/>
      </w:rPr>
    </w:lvl>
    <w:lvl w:ilvl="1" w:tplc="1F101796">
      <w:numFmt w:val="decimal"/>
      <w:lvlText w:val=""/>
      <w:lvlJc w:val="left"/>
    </w:lvl>
    <w:lvl w:ilvl="2" w:tplc="53DE0108">
      <w:numFmt w:val="decimal"/>
      <w:lvlText w:val=""/>
      <w:lvlJc w:val="left"/>
    </w:lvl>
    <w:lvl w:ilvl="3" w:tplc="C8D2D7B4">
      <w:numFmt w:val="decimal"/>
      <w:lvlText w:val=""/>
      <w:lvlJc w:val="left"/>
    </w:lvl>
    <w:lvl w:ilvl="4" w:tplc="8B5CB04C">
      <w:numFmt w:val="decimal"/>
      <w:lvlText w:val=""/>
      <w:lvlJc w:val="left"/>
    </w:lvl>
    <w:lvl w:ilvl="5" w:tplc="0A908AF4">
      <w:numFmt w:val="decimal"/>
      <w:lvlText w:val=""/>
      <w:lvlJc w:val="left"/>
    </w:lvl>
    <w:lvl w:ilvl="6" w:tplc="1F38EE72">
      <w:numFmt w:val="decimal"/>
      <w:lvlText w:val=""/>
      <w:lvlJc w:val="left"/>
    </w:lvl>
    <w:lvl w:ilvl="7" w:tplc="20A6C648">
      <w:numFmt w:val="decimal"/>
      <w:lvlText w:val=""/>
      <w:lvlJc w:val="left"/>
    </w:lvl>
    <w:lvl w:ilvl="8" w:tplc="36165B82">
      <w:numFmt w:val="decimal"/>
      <w:lvlText w:val=""/>
      <w:lvlJc w:val="left"/>
    </w:lvl>
  </w:abstractNum>
  <w:abstractNum w:abstractNumId="97" w15:restartNumberingAfterBreak="0">
    <w:nsid w:val="0BA27F0E"/>
    <w:multiLevelType w:val="hybridMultilevel"/>
    <w:tmpl w:val="FDAEC1AA"/>
    <w:lvl w:ilvl="0" w:tplc="195E693A">
      <w:start w:val="1"/>
      <w:numFmt w:val="bullet"/>
      <w:lvlText w:val=""/>
      <w:lvlJc w:val="left"/>
      <w:pPr>
        <w:ind w:left="720" w:hanging="180"/>
      </w:pPr>
      <w:rPr>
        <w:rFonts w:ascii="Symbol" w:hAnsi="Symbol" w:hint="default"/>
      </w:rPr>
    </w:lvl>
    <w:lvl w:ilvl="1" w:tplc="4692B986">
      <w:numFmt w:val="decimal"/>
      <w:lvlText w:val=""/>
      <w:lvlJc w:val="left"/>
    </w:lvl>
    <w:lvl w:ilvl="2" w:tplc="E8D4CF34">
      <w:numFmt w:val="decimal"/>
      <w:lvlText w:val=""/>
      <w:lvlJc w:val="left"/>
    </w:lvl>
    <w:lvl w:ilvl="3" w:tplc="923C7AFE">
      <w:numFmt w:val="decimal"/>
      <w:lvlText w:val=""/>
      <w:lvlJc w:val="left"/>
    </w:lvl>
    <w:lvl w:ilvl="4" w:tplc="C31A3EBE">
      <w:numFmt w:val="decimal"/>
      <w:lvlText w:val=""/>
      <w:lvlJc w:val="left"/>
    </w:lvl>
    <w:lvl w:ilvl="5" w:tplc="8FAC54BE">
      <w:numFmt w:val="decimal"/>
      <w:lvlText w:val=""/>
      <w:lvlJc w:val="left"/>
    </w:lvl>
    <w:lvl w:ilvl="6" w:tplc="5D70F5B4">
      <w:numFmt w:val="decimal"/>
      <w:lvlText w:val=""/>
      <w:lvlJc w:val="left"/>
    </w:lvl>
    <w:lvl w:ilvl="7" w:tplc="BD96D75A">
      <w:numFmt w:val="decimal"/>
      <w:lvlText w:val=""/>
      <w:lvlJc w:val="left"/>
    </w:lvl>
    <w:lvl w:ilvl="8" w:tplc="32320538">
      <w:numFmt w:val="decimal"/>
      <w:lvlText w:val=""/>
      <w:lvlJc w:val="left"/>
    </w:lvl>
  </w:abstractNum>
  <w:abstractNum w:abstractNumId="98" w15:restartNumberingAfterBreak="0">
    <w:nsid w:val="0BA86FF3"/>
    <w:multiLevelType w:val="hybridMultilevel"/>
    <w:tmpl w:val="203C163E"/>
    <w:lvl w:ilvl="0" w:tplc="B4C0AC06">
      <w:start w:val="1"/>
      <w:numFmt w:val="bullet"/>
      <w:lvlText w:val=""/>
      <w:lvlJc w:val="left"/>
      <w:pPr>
        <w:ind w:left="720" w:hanging="180"/>
      </w:pPr>
      <w:rPr>
        <w:rFonts w:ascii="Symbol" w:hAnsi="Symbol" w:hint="default"/>
      </w:rPr>
    </w:lvl>
    <w:lvl w:ilvl="1" w:tplc="1164A716">
      <w:numFmt w:val="decimal"/>
      <w:lvlText w:val=""/>
      <w:lvlJc w:val="left"/>
    </w:lvl>
    <w:lvl w:ilvl="2" w:tplc="665C46B8">
      <w:numFmt w:val="decimal"/>
      <w:lvlText w:val=""/>
      <w:lvlJc w:val="left"/>
    </w:lvl>
    <w:lvl w:ilvl="3" w:tplc="693C7CF0">
      <w:numFmt w:val="decimal"/>
      <w:lvlText w:val=""/>
      <w:lvlJc w:val="left"/>
    </w:lvl>
    <w:lvl w:ilvl="4" w:tplc="94FAD368">
      <w:numFmt w:val="decimal"/>
      <w:lvlText w:val=""/>
      <w:lvlJc w:val="left"/>
    </w:lvl>
    <w:lvl w:ilvl="5" w:tplc="E548AF40">
      <w:numFmt w:val="decimal"/>
      <w:lvlText w:val=""/>
      <w:lvlJc w:val="left"/>
    </w:lvl>
    <w:lvl w:ilvl="6" w:tplc="B8E47212">
      <w:numFmt w:val="decimal"/>
      <w:lvlText w:val=""/>
      <w:lvlJc w:val="left"/>
    </w:lvl>
    <w:lvl w:ilvl="7" w:tplc="BBEC0476">
      <w:numFmt w:val="decimal"/>
      <w:lvlText w:val=""/>
      <w:lvlJc w:val="left"/>
    </w:lvl>
    <w:lvl w:ilvl="8" w:tplc="8D70787A">
      <w:numFmt w:val="decimal"/>
      <w:lvlText w:val=""/>
      <w:lvlJc w:val="left"/>
    </w:lvl>
  </w:abstractNum>
  <w:abstractNum w:abstractNumId="99" w15:restartNumberingAfterBreak="0">
    <w:nsid w:val="0BE45665"/>
    <w:multiLevelType w:val="hybridMultilevel"/>
    <w:tmpl w:val="4C06E628"/>
    <w:lvl w:ilvl="0" w:tplc="32AC76FA">
      <w:start w:val="1"/>
      <w:numFmt w:val="bullet"/>
      <w:lvlText w:val=""/>
      <w:lvlJc w:val="left"/>
      <w:pPr>
        <w:ind w:left="720" w:hanging="180"/>
      </w:pPr>
      <w:rPr>
        <w:rFonts w:ascii="Symbol" w:hAnsi="Symbol" w:hint="default"/>
      </w:rPr>
    </w:lvl>
    <w:lvl w:ilvl="1" w:tplc="D25A4A98">
      <w:numFmt w:val="decimal"/>
      <w:lvlText w:val=""/>
      <w:lvlJc w:val="left"/>
    </w:lvl>
    <w:lvl w:ilvl="2" w:tplc="3C5849C4">
      <w:numFmt w:val="decimal"/>
      <w:lvlText w:val=""/>
      <w:lvlJc w:val="left"/>
    </w:lvl>
    <w:lvl w:ilvl="3" w:tplc="42DA155C">
      <w:numFmt w:val="decimal"/>
      <w:lvlText w:val=""/>
      <w:lvlJc w:val="left"/>
    </w:lvl>
    <w:lvl w:ilvl="4" w:tplc="EE76A8A2">
      <w:numFmt w:val="decimal"/>
      <w:lvlText w:val=""/>
      <w:lvlJc w:val="left"/>
    </w:lvl>
    <w:lvl w:ilvl="5" w:tplc="BB88C142">
      <w:numFmt w:val="decimal"/>
      <w:lvlText w:val=""/>
      <w:lvlJc w:val="left"/>
    </w:lvl>
    <w:lvl w:ilvl="6" w:tplc="A9385A62">
      <w:numFmt w:val="decimal"/>
      <w:lvlText w:val=""/>
      <w:lvlJc w:val="left"/>
    </w:lvl>
    <w:lvl w:ilvl="7" w:tplc="C0040248">
      <w:numFmt w:val="decimal"/>
      <w:lvlText w:val=""/>
      <w:lvlJc w:val="left"/>
    </w:lvl>
    <w:lvl w:ilvl="8" w:tplc="D8A4CCC4">
      <w:numFmt w:val="decimal"/>
      <w:lvlText w:val=""/>
      <w:lvlJc w:val="left"/>
    </w:lvl>
  </w:abstractNum>
  <w:abstractNum w:abstractNumId="100" w15:restartNumberingAfterBreak="0">
    <w:nsid w:val="0C0B3AA5"/>
    <w:multiLevelType w:val="hybridMultilevel"/>
    <w:tmpl w:val="FA02BEC4"/>
    <w:lvl w:ilvl="0" w:tplc="E7B6EF30">
      <w:start w:val="1"/>
      <w:numFmt w:val="bullet"/>
      <w:lvlText w:val=""/>
      <w:lvlJc w:val="left"/>
      <w:pPr>
        <w:ind w:left="720" w:hanging="180"/>
      </w:pPr>
      <w:rPr>
        <w:rFonts w:ascii="Symbol" w:hAnsi="Symbol" w:hint="default"/>
      </w:rPr>
    </w:lvl>
    <w:lvl w:ilvl="1" w:tplc="C6263F6A">
      <w:numFmt w:val="decimal"/>
      <w:lvlText w:val=""/>
      <w:lvlJc w:val="left"/>
    </w:lvl>
    <w:lvl w:ilvl="2" w:tplc="3192FD9E">
      <w:numFmt w:val="decimal"/>
      <w:lvlText w:val=""/>
      <w:lvlJc w:val="left"/>
    </w:lvl>
    <w:lvl w:ilvl="3" w:tplc="501219D0">
      <w:numFmt w:val="decimal"/>
      <w:lvlText w:val=""/>
      <w:lvlJc w:val="left"/>
    </w:lvl>
    <w:lvl w:ilvl="4" w:tplc="8A30B760">
      <w:numFmt w:val="decimal"/>
      <w:lvlText w:val=""/>
      <w:lvlJc w:val="left"/>
    </w:lvl>
    <w:lvl w:ilvl="5" w:tplc="5C6C367E">
      <w:numFmt w:val="decimal"/>
      <w:lvlText w:val=""/>
      <w:lvlJc w:val="left"/>
    </w:lvl>
    <w:lvl w:ilvl="6" w:tplc="E0A80D04">
      <w:numFmt w:val="decimal"/>
      <w:lvlText w:val=""/>
      <w:lvlJc w:val="left"/>
    </w:lvl>
    <w:lvl w:ilvl="7" w:tplc="B0DC7B84">
      <w:numFmt w:val="decimal"/>
      <w:lvlText w:val=""/>
      <w:lvlJc w:val="left"/>
    </w:lvl>
    <w:lvl w:ilvl="8" w:tplc="EE3E6C6A">
      <w:numFmt w:val="decimal"/>
      <w:lvlText w:val=""/>
      <w:lvlJc w:val="left"/>
    </w:lvl>
  </w:abstractNum>
  <w:abstractNum w:abstractNumId="101" w15:restartNumberingAfterBreak="0">
    <w:nsid w:val="0C0F5C8D"/>
    <w:multiLevelType w:val="hybridMultilevel"/>
    <w:tmpl w:val="C7D84024"/>
    <w:lvl w:ilvl="0" w:tplc="F752D09C">
      <w:start w:val="1"/>
      <w:numFmt w:val="bullet"/>
      <w:lvlText w:val=""/>
      <w:lvlJc w:val="left"/>
      <w:pPr>
        <w:ind w:left="720" w:hanging="180"/>
      </w:pPr>
      <w:rPr>
        <w:rFonts w:ascii="Symbol" w:hAnsi="Symbol" w:hint="default"/>
      </w:rPr>
    </w:lvl>
    <w:lvl w:ilvl="1" w:tplc="66CE6BB2">
      <w:numFmt w:val="decimal"/>
      <w:lvlText w:val=""/>
      <w:lvlJc w:val="left"/>
    </w:lvl>
    <w:lvl w:ilvl="2" w:tplc="0C1027A4">
      <w:numFmt w:val="decimal"/>
      <w:lvlText w:val=""/>
      <w:lvlJc w:val="left"/>
    </w:lvl>
    <w:lvl w:ilvl="3" w:tplc="0D84E310">
      <w:numFmt w:val="decimal"/>
      <w:lvlText w:val=""/>
      <w:lvlJc w:val="left"/>
    </w:lvl>
    <w:lvl w:ilvl="4" w:tplc="80E678FE">
      <w:numFmt w:val="decimal"/>
      <w:lvlText w:val=""/>
      <w:lvlJc w:val="left"/>
    </w:lvl>
    <w:lvl w:ilvl="5" w:tplc="2012A46C">
      <w:numFmt w:val="decimal"/>
      <w:lvlText w:val=""/>
      <w:lvlJc w:val="left"/>
    </w:lvl>
    <w:lvl w:ilvl="6" w:tplc="307093EA">
      <w:numFmt w:val="decimal"/>
      <w:lvlText w:val=""/>
      <w:lvlJc w:val="left"/>
    </w:lvl>
    <w:lvl w:ilvl="7" w:tplc="E4669CF0">
      <w:numFmt w:val="decimal"/>
      <w:lvlText w:val=""/>
      <w:lvlJc w:val="left"/>
    </w:lvl>
    <w:lvl w:ilvl="8" w:tplc="307C6952">
      <w:numFmt w:val="decimal"/>
      <w:lvlText w:val=""/>
      <w:lvlJc w:val="left"/>
    </w:lvl>
  </w:abstractNum>
  <w:abstractNum w:abstractNumId="102" w15:restartNumberingAfterBreak="0">
    <w:nsid w:val="0C193A32"/>
    <w:multiLevelType w:val="hybridMultilevel"/>
    <w:tmpl w:val="8EF4A42C"/>
    <w:lvl w:ilvl="0" w:tplc="BC98A394">
      <w:start w:val="1"/>
      <w:numFmt w:val="bullet"/>
      <w:lvlText w:val=""/>
      <w:lvlJc w:val="left"/>
      <w:pPr>
        <w:ind w:left="720" w:hanging="180"/>
      </w:pPr>
      <w:rPr>
        <w:rFonts w:ascii="Symbol" w:hAnsi="Symbol" w:hint="default"/>
      </w:rPr>
    </w:lvl>
    <w:lvl w:ilvl="1" w:tplc="08505C84">
      <w:numFmt w:val="decimal"/>
      <w:lvlText w:val=""/>
      <w:lvlJc w:val="left"/>
    </w:lvl>
    <w:lvl w:ilvl="2" w:tplc="B0F64BBA">
      <w:numFmt w:val="decimal"/>
      <w:lvlText w:val=""/>
      <w:lvlJc w:val="left"/>
    </w:lvl>
    <w:lvl w:ilvl="3" w:tplc="962C9B62">
      <w:numFmt w:val="decimal"/>
      <w:lvlText w:val=""/>
      <w:lvlJc w:val="left"/>
    </w:lvl>
    <w:lvl w:ilvl="4" w:tplc="74B488DC">
      <w:numFmt w:val="decimal"/>
      <w:lvlText w:val=""/>
      <w:lvlJc w:val="left"/>
    </w:lvl>
    <w:lvl w:ilvl="5" w:tplc="C0E0FA88">
      <w:numFmt w:val="decimal"/>
      <w:lvlText w:val=""/>
      <w:lvlJc w:val="left"/>
    </w:lvl>
    <w:lvl w:ilvl="6" w:tplc="C4D01824">
      <w:numFmt w:val="decimal"/>
      <w:lvlText w:val=""/>
      <w:lvlJc w:val="left"/>
    </w:lvl>
    <w:lvl w:ilvl="7" w:tplc="9DA44CA8">
      <w:numFmt w:val="decimal"/>
      <w:lvlText w:val=""/>
      <w:lvlJc w:val="left"/>
    </w:lvl>
    <w:lvl w:ilvl="8" w:tplc="27FC6FC0">
      <w:numFmt w:val="decimal"/>
      <w:lvlText w:val=""/>
      <w:lvlJc w:val="left"/>
    </w:lvl>
  </w:abstractNum>
  <w:abstractNum w:abstractNumId="103" w15:restartNumberingAfterBreak="0">
    <w:nsid w:val="0C751A81"/>
    <w:multiLevelType w:val="hybridMultilevel"/>
    <w:tmpl w:val="DD8C0190"/>
    <w:lvl w:ilvl="0" w:tplc="2E0011A8">
      <w:start w:val="1"/>
      <w:numFmt w:val="bullet"/>
      <w:lvlText w:val=""/>
      <w:lvlJc w:val="left"/>
      <w:pPr>
        <w:ind w:left="720" w:hanging="180"/>
      </w:pPr>
      <w:rPr>
        <w:rFonts w:ascii="Symbol" w:hAnsi="Symbol" w:hint="default"/>
      </w:rPr>
    </w:lvl>
    <w:lvl w:ilvl="1" w:tplc="C9F8BB48">
      <w:numFmt w:val="decimal"/>
      <w:lvlText w:val=""/>
      <w:lvlJc w:val="left"/>
    </w:lvl>
    <w:lvl w:ilvl="2" w:tplc="4AF654F8">
      <w:numFmt w:val="decimal"/>
      <w:lvlText w:val=""/>
      <w:lvlJc w:val="left"/>
    </w:lvl>
    <w:lvl w:ilvl="3" w:tplc="12B89F9E">
      <w:numFmt w:val="decimal"/>
      <w:lvlText w:val=""/>
      <w:lvlJc w:val="left"/>
    </w:lvl>
    <w:lvl w:ilvl="4" w:tplc="0366B162">
      <w:numFmt w:val="decimal"/>
      <w:lvlText w:val=""/>
      <w:lvlJc w:val="left"/>
    </w:lvl>
    <w:lvl w:ilvl="5" w:tplc="AAC26FB8">
      <w:numFmt w:val="decimal"/>
      <w:lvlText w:val=""/>
      <w:lvlJc w:val="left"/>
    </w:lvl>
    <w:lvl w:ilvl="6" w:tplc="76A877BE">
      <w:numFmt w:val="decimal"/>
      <w:lvlText w:val=""/>
      <w:lvlJc w:val="left"/>
    </w:lvl>
    <w:lvl w:ilvl="7" w:tplc="2B8AD478">
      <w:numFmt w:val="decimal"/>
      <w:lvlText w:val=""/>
      <w:lvlJc w:val="left"/>
    </w:lvl>
    <w:lvl w:ilvl="8" w:tplc="BDFCF118">
      <w:numFmt w:val="decimal"/>
      <w:lvlText w:val=""/>
      <w:lvlJc w:val="left"/>
    </w:lvl>
  </w:abstractNum>
  <w:abstractNum w:abstractNumId="104" w15:restartNumberingAfterBreak="0">
    <w:nsid w:val="0C7E72A7"/>
    <w:multiLevelType w:val="hybridMultilevel"/>
    <w:tmpl w:val="83D033A6"/>
    <w:lvl w:ilvl="0" w:tplc="B2D2C136">
      <w:start w:val="1"/>
      <w:numFmt w:val="bullet"/>
      <w:lvlText w:val=""/>
      <w:lvlJc w:val="left"/>
      <w:pPr>
        <w:ind w:left="720" w:hanging="180"/>
      </w:pPr>
      <w:rPr>
        <w:rFonts w:ascii="Symbol" w:hAnsi="Symbol" w:hint="default"/>
      </w:rPr>
    </w:lvl>
    <w:lvl w:ilvl="1" w:tplc="D82830B8">
      <w:numFmt w:val="decimal"/>
      <w:lvlText w:val=""/>
      <w:lvlJc w:val="left"/>
    </w:lvl>
    <w:lvl w:ilvl="2" w:tplc="745433B4">
      <w:numFmt w:val="decimal"/>
      <w:lvlText w:val=""/>
      <w:lvlJc w:val="left"/>
    </w:lvl>
    <w:lvl w:ilvl="3" w:tplc="CE867348">
      <w:numFmt w:val="decimal"/>
      <w:lvlText w:val=""/>
      <w:lvlJc w:val="left"/>
    </w:lvl>
    <w:lvl w:ilvl="4" w:tplc="081C780A">
      <w:numFmt w:val="decimal"/>
      <w:lvlText w:val=""/>
      <w:lvlJc w:val="left"/>
    </w:lvl>
    <w:lvl w:ilvl="5" w:tplc="AC2ED3F4">
      <w:numFmt w:val="decimal"/>
      <w:lvlText w:val=""/>
      <w:lvlJc w:val="left"/>
    </w:lvl>
    <w:lvl w:ilvl="6" w:tplc="DB721E14">
      <w:numFmt w:val="decimal"/>
      <w:lvlText w:val=""/>
      <w:lvlJc w:val="left"/>
    </w:lvl>
    <w:lvl w:ilvl="7" w:tplc="28280CAA">
      <w:numFmt w:val="decimal"/>
      <w:lvlText w:val=""/>
      <w:lvlJc w:val="left"/>
    </w:lvl>
    <w:lvl w:ilvl="8" w:tplc="27566C84">
      <w:numFmt w:val="decimal"/>
      <w:lvlText w:val=""/>
      <w:lvlJc w:val="left"/>
    </w:lvl>
  </w:abstractNum>
  <w:abstractNum w:abstractNumId="105" w15:restartNumberingAfterBreak="0">
    <w:nsid w:val="0CD278FB"/>
    <w:multiLevelType w:val="hybridMultilevel"/>
    <w:tmpl w:val="FBA8F63E"/>
    <w:lvl w:ilvl="0" w:tplc="5EAA1572">
      <w:start w:val="1"/>
      <w:numFmt w:val="bullet"/>
      <w:lvlText w:val=""/>
      <w:lvlJc w:val="left"/>
      <w:pPr>
        <w:ind w:left="720" w:hanging="180"/>
      </w:pPr>
      <w:rPr>
        <w:rFonts w:ascii="Symbol" w:hAnsi="Symbol" w:hint="default"/>
      </w:rPr>
    </w:lvl>
    <w:lvl w:ilvl="1" w:tplc="0706B210">
      <w:numFmt w:val="decimal"/>
      <w:lvlText w:val=""/>
      <w:lvlJc w:val="left"/>
    </w:lvl>
    <w:lvl w:ilvl="2" w:tplc="C7CC8B76">
      <w:numFmt w:val="decimal"/>
      <w:lvlText w:val=""/>
      <w:lvlJc w:val="left"/>
    </w:lvl>
    <w:lvl w:ilvl="3" w:tplc="92CE9506">
      <w:numFmt w:val="decimal"/>
      <w:lvlText w:val=""/>
      <w:lvlJc w:val="left"/>
    </w:lvl>
    <w:lvl w:ilvl="4" w:tplc="7602BA64">
      <w:numFmt w:val="decimal"/>
      <w:lvlText w:val=""/>
      <w:lvlJc w:val="left"/>
    </w:lvl>
    <w:lvl w:ilvl="5" w:tplc="12C22266">
      <w:numFmt w:val="decimal"/>
      <w:lvlText w:val=""/>
      <w:lvlJc w:val="left"/>
    </w:lvl>
    <w:lvl w:ilvl="6" w:tplc="0832DA70">
      <w:numFmt w:val="decimal"/>
      <w:lvlText w:val=""/>
      <w:lvlJc w:val="left"/>
    </w:lvl>
    <w:lvl w:ilvl="7" w:tplc="99FE3D3A">
      <w:numFmt w:val="decimal"/>
      <w:lvlText w:val=""/>
      <w:lvlJc w:val="left"/>
    </w:lvl>
    <w:lvl w:ilvl="8" w:tplc="25FA6D02">
      <w:numFmt w:val="decimal"/>
      <w:lvlText w:val=""/>
      <w:lvlJc w:val="left"/>
    </w:lvl>
  </w:abstractNum>
  <w:abstractNum w:abstractNumId="106" w15:restartNumberingAfterBreak="0">
    <w:nsid w:val="0CDD1A6B"/>
    <w:multiLevelType w:val="hybridMultilevel"/>
    <w:tmpl w:val="420AE6DC"/>
    <w:lvl w:ilvl="0" w:tplc="0E1CCC64">
      <w:start w:val="1"/>
      <w:numFmt w:val="bullet"/>
      <w:lvlText w:val=""/>
      <w:lvlJc w:val="left"/>
      <w:pPr>
        <w:ind w:left="720" w:hanging="180"/>
      </w:pPr>
      <w:rPr>
        <w:rFonts w:ascii="Symbol" w:hAnsi="Symbol" w:hint="default"/>
      </w:rPr>
    </w:lvl>
    <w:lvl w:ilvl="1" w:tplc="8D9073D4">
      <w:numFmt w:val="decimal"/>
      <w:lvlText w:val=""/>
      <w:lvlJc w:val="left"/>
    </w:lvl>
    <w:lvl w:ilvl="2" w:tplc="30A6D566">
      <w:numFmt w:val="decimal"/>
      <w:lvlText w:val=""/>
      <w:lvlJc w:val="left"/>
    </w:lvl>
    <w:lvl w:ilvl="3" w:tplc="461E5EE0">
      <w:numFmt w:val="decimal"/>
      <w:lvlText w:val=""/>
      <w:lvlJc w:val="left"/>
    </w:lvl>
    <w:lvl w:ilvl="4" w:tplc="34841A92">
      <w:numFmt w:val="decimal"/>
      <w:lvlText w:val=""/>
      <w:lvlJc w:val="left"/>
    </w:lvl>
    <w:lvl w:ilvl="5" w:tplc="9BA20CE8">
      <w:numFmt w:val="decimal"/>
      <w:lvlText w:val=""/>
      <w:lvlJc w:val="left"/>
    </w:lvl>
    <w:lvl w:ilvl="6" w:tplc="9742667C">
      <w:numFmt w:val="decimal"/>
      <w:lvlText w:val=""/>
      <w:lvlJc w:val="left"/>
    </w:lvl>
    <w:lvl w:ilvl="7" w:tplc="3AB2378A">
      <w:numFmt w:val="decimal"/>
      <w:lvlText w:val=""/>
      <w:lvlJc w:val="left"/>
    </w:lvl>
    <w:lvl w:ilvl="8" w:tplc="28BE673E">
      <w:numFmt w:val="decimal"/>
      <w:lvlText w:val=""/>
      <w:lvlJc w:val="left"/>
    </w:lvl>
  </w:abstractNum>
  <w:abstractNum w:abstractNumId="107" w15:restartNumberingAfterBreak="0">
    <w:nsid w:val="0CE03019"/>
    <w:multiLevelType w:val="hybridMultilevel"/>
    <w:tmpl w:val="D04C7A90"/>
    <w:lvl w:ilvl="0" w:tplc="5F3CDFDE">
      <w:start w:val="1"/>
      <w:numFmt w:val="decimal"/>
      <w:lvlText w:val="%1."/>
      <w:lvlJc w:val="left"/>
      <w:pPr>
        <w:ind w:left="720" w:hanging="180"/>
      </w:pPr>
    </w:lvl>
    <w:lvl w:ilvl="1" w:tplc="FAA88FEC">
      <w:start w:val="1"/>
      <w:numFmt w:val="decimal"/>
      <w:lvlText w:val="%2."/>
      <w:lvlJc w:val="left"/>
      <w:pPr>
        <w:ind w:left="1440" w:hanging="180"/>
      </w:pPr>
    </w:lvl>
    <w:lvl w:ilvl="2" w:tplc="F898762C">
      <w:start w:val="1"/>
      <w:numFmt w:val="decimal"/>
      <w:lvlText w:val="%3."/>
      <w:lvlJc w:val="left"/>
      <w:pPr>
        <w:ind w:left="2160" w:hanging="180"/>
      </w:pPr>
    </w:lvl>
    <w:lvl w:ilvl="3" w:tplc="E30846B0">
      <w:start w:val="1"/>
      <w:numFmt w:val="decimal"/>
      <w:lvlText w:val="%4."/>
      <w:lvlJc w:val="left"/>
      <w:pPr>
        <w:ind w:left="2880" w:hanging="180"/>
      </w:pPr>
    </w:lvl>
    <w:lvl w:ilvl="4" w:tplc="2108A5A8">
      <w:start w:val="1"/>
      <w:numFmt w:val="decimal"/>
      <w:lvlText w:val="%5."/>
      <w:lvlJc w:val="left"/>
      <w:pPr>
        <w:ind w:left="3600" w:hanging="180"/>
      </w:pPr>
    </w:lvl>
    <w:lvl w:ilvl="5" w:tplc="C826FEB0">
      <w:start w:val="1"/>
      <w:numFmt w:val="decimal"/>
      <w:lvlText w:val="%6."/>
      <w:lvlJc w:val="left"/>
      <w:pPr>
        <w:ind w:left="4320" w:hanging="180"/>
      </w:pPr>
    </w:lvl>
    <w:lvl w:ilvl="6" w:tplc="42DC5314">
      <w:start w:val="1"/>
      <w:numFmt w:val="decimal"/>
      <w:lvlText w:val="%7."/>
      <w:lvlJc w:val="left"/>
      <w:pPr>
        <w:ind w:left="5040" w:hanging="180"/>
      </w:pPr>
    </w:lvl>
    <w:lvl w:ilvl="7" w:tplc="9B4AD488">
      <w:start w:val="1"/>
      <w:numFmt w:val="decimal"/>
      <w:lvlText w:val="%8."/>
      <w:lvlJc w:val="left"/>
      <w:pPr>
        <w:ind w:left="5760" w:hanging="180"/>
      </w:pPr>
    </w:lvl>
    <w:lvl w:ilvl="8" w:tplc="FF3099B6">
      <w:numFmt w:val="decimal"/>
      <w:lvlText w:val=""/>
      <w:lvlJc w:val="left"/>
    </w:lvl>
  </w:abstractNum>
  <w:abstractNum w:abstractNumId="108" w15:restartNumberingAfterBreak="0">
    <w:nsid w:val="0CEA21D2"/>
    <w:multiLevelType w:val="hybridMultilevel"/>
    <w:tmpl w:val="4BD23684"/>
    <w:lvl w:ilvl="0" w:tplc="E0D62E0C">
      <w:start w:val="1"/>
      <w:numFmt w:val="bullet"/>
      <w:lvlText w:val=""/>
      <w:lvlJc w:val="left"/>
      <w:pPr>
        <w:ind w:left="720" w:hanging="180"/>
      </w:pPr>
      <w:rPr>
        <w:rFonts w:ascii="Symbol" w:hAnsi="Symbol" w:hint="default"/>
      </w:rPr>
    </w:lvl>
    <w:lvl w:ilvl="1" w:tplc="E31E8C5A">
      <w:numFmt w:val="decimal"/>
      <w:lvlText w:val=""/>
      <w:lvlJc w:val="left"/>
    </w:lvl>
    <w:lvl w:ilvl="2" w:tplc="C92AF77A">
      <w:numFmt w:val="decimal"/>
      <w:lvlText w:val=""/>
      <w:lvlJc w:val="left"/>
    </w:lvl>
    <w:lvl w:ilvl="3" w:tplc="9230E8D0">
      <w:numFmt w:val="decimal"/>
      <w:lvlText w:val=""/>
      <w:lvlJc w:val="left"/>
    </w:lvl>
    <w:lvl w:ilvl="4" w:tplc="F0546FE4">
      <w:numFmt w:val="decimal"/>
      <w:lvlText w:val=""/>
      <w:lvlJc w:val="left"/>
    </w:lvl>
    <w:lvl w:ilvl="5" w:tplc="15220B80">
      <w:numFmt w:val="decimal"/>
      <w:lvlText w:val=""/>
      <w:lvlJc w:val="left"/>
    </w:lvl>
    <w:lvl w:ilvl="6" w:tplc="95520454">
      <w:numFmt w:val="decimal"/>
      <w:lvlText w:val=""/>
      <w:lvlJc w:val="left"/>
    </w:lvl>
    <w:lvl w:ilvl="7" w:tplc="5EAA3CEC">
      <w:numFmt w:val="decimal"/>
      <w:lvlText w:val=""/>
      <w:lvlJc w:val="left"/>
    </w:lvl>
    <w:lvl w:ilvl="8" w:tplc="B57A9194">
      <w:numFmt w:val="decimal"/>
      <w:lvlText w:val=""/>
      <w:lvlJc w:val="left"/>
    </w:lvl>
  </w:abstractNum>
  <w:abstractNum w:abstractNumId="109" w15:restartNumberingAfterBreak="0">
    <w:nsid w:val="0D2035BA"/>
    <w:multiLevelType w:val="hybridMultilevel"/>
    <w:tmpl w:val="C5AAC594"/>
    <w:lvl w:ilvl="0" w:tplc="5B60F2A6">
      <w:start w:val="1"/>
      <w:numFmt w:val="bullet"/>
      <w:lvlText w:val=""/>
      <w:lvlJc w:val="left"/>
      <w:pPr>
        <w:ind w:left="720" w:hanging="180"/>
      </w:pPr>
      <w:rPr>
        <w:rFonts w:ascii="Symbol" w:hAnsi="Symbol" w:hint="default"/>
      </w:rPr>
    </w:lvl>
    <w:lvl w:ilvl="1" w:tplc="588204D4">
      <w:numFmt w:val="decimal"/>
      <w:lvlText w:val=""/>
      <w:lvlJc w:val="left"/>
    </w:lvl>
    <w:lvl w:ilvl="2" w:tplc="82BA7AFA">
      <w:numFmt w:val="decimal"/>
      <w:lvlText w:val=""/>
      <w:lvlJc w:val="left"/>
    </w:lvl>
    <w:lvl w:ilvl="3" w:tplc="5FFE2F2C">
      <w:numFmt w:val="decimal"/>
      <w:lvlText w:val=""/>
      <w:lvlJc w:val="left"/>
    </w:lvl>
    <w:lvl w:ilvl="4" w:tplc="3404F8D8">
      <w:numFmt w:val="decimal"/>
      <w:lvlText w:val=""/>
      <w:lvlJc w:val="left"/>
    </w:lvl>
    <w:lvl w:ilvl="5" w:tplc="28604F08">
      <w:numFmt w:val="decimal"/>
      <w:lvlText w:val=""/>
      <w:lvlJc w:val="left"/>
    </w:lvl>
    <w:lvl w:ilvl="6" w:tplc="40C88540">
      <w:numFmt w:val="decimal"/>
      <w:lvlText w:val=""/>
      <w:lvlJc w:val="left"/>
    </w:lvl>
    <w:lvl w:ilvl="7" w:tplc="55BA54C4">
      <w:numFmt w:val="decimal"/>
      <w:lvlText w:val=""/>
      <w:lvlJc w:val="left"/>
    </w:lvl>
    <w:lvl w:ilvl="8" w:tplc="7A72007A">
      <w:numFmt w:val="decimal"/>
      <w:lvlText w:val=""/>
      <w:lvlJc w:val="left"/>
    </w:lvl>
  </w:abstractNum>
  <w:abstractNum w:abstractNumId="110" w15:restartNumberingAfterBreak="0">
    <w:nsid w:val="0D801A33"/>
    <w:multiLevelType w:val="hybridMultilevel"/>
    <w:tmpl w:val="ACA2351E"/>
    <w:lvl w:ilvl="0" w:tplc="3AECEC98">
      <w:start w:val="1"/>
      <w:numFmt w:val="bullet"/>
      <w:lvlText w:val=""/>
      <w:lvlJc w:val="left"/>
      <w:pPr>
        <w:ind w:left="720" w:hanging="180"/>
      </w:pPr>
      <w:rPr>
        <w:rFonts w:ascii="Symbol" w:hAnsi="Symbol" w:hint="default"/>
      </w:rPr>
    </w:lvl>
    <w:lvl w:ilvl="1" w:tplc="39142F5A">
      <w:numFmt w:val="decimal"/>
      <w:lvlText w:val=""/>
      <w:lvlJc w:val="left"/>
    </w:lvl>
    <w:lvl w:ilvl="2" w:tplc="1160E2AA">
      <w:numFmt w:val="decimal"/>
      <w:lvlText w:val=""/>
      <w:lvlJc w:val="left"/>
    </w:lvl>
    <w:lvl w:ilvl="3" w:tplc="2EA6DEDE">
      <w:numFmt w:val="decimal"/>
      <w:lvlText w:val=""/>
      <w:lvlJc w:val="left"/>
    </w:lvl>
    <w:lvl w:ilvl="4" w:tplc="945AC262">
      <w:numFmt w:val="decimal"/>
      <w:lvlText w:val=""/>
      <w:lvlJc w:val="left"/>
    </w:lvl>
    <w:lvl w:ilvl="5" w:tplc="D1A65390">
      <w:numFmt w:val="decimal"/>
      <w:lvlText w:val=""/>
      <w:lvlJc w:val="left"/>
    </w:lvl>
    <w:lvl w:ilvl="6" w:tplc="2E409902">
      <w:numFmt w:val="decimal"/>
      <w:lvlText w:val=""/>
      <w:lvlJc w:val="left"/>
    </w:lvl>
    <w:lvl w:ilvl="7" w:tplc="71FAE9EE">
      <w:numFmt w:val="decimal"/>
      <w:lvlText w:val=""/>
      <w:lvlJc w:val="left"/>
    </w:lvl>
    <w:lvl w:ilvl="8" w:tplc="F0CC54FC">
      <w:numFmt w:val="decimal"/>
      <w:lvlText w:val=""/>
      <w:lvlJc w:val="left"/>
    </w:lvl>
  </w:abstractNum>
  <w:abstractNum w:abstractNumId="111" w15:restartNumberingAfterBreak="0">
    <w:nsid w:val="0D8552C0"/>
    <w:multiLevelType w:val="hybridMultilevel"/>
    <w:tmpl w:val="9844DB50"/>
    <w:lvl w:ilvl="0" w:tplc="3210ED2E">
      <w:start w:val="1"/>
      <w:numFmt w:val="bullet"/>
      <w:lvlText w:val=""/>
      <w:lvlJc w:val="left"/>
      <w:pPr>
        <w:ind w:left="720" w:hanging="180"/>
      </w:pPr>
      <w:rPr>
        <w:rFonts w:ascii="Symbol" w:hAnsi="Symbol" w:hint="default"/>
      </w:rPr>
    </w:lvl>
    <w:lvl w:ilvl="1" w:tplc="8DD805F6">
      <w:numFmt w:val="decimal"/>
      <w:lvlText w:val=""/>
      <w:lvlJc w:val="left"/>
    </w:lvl>
    <w:lvl w:ilvl="2" w:tplc="127C95DA">
      <w:numFmt w:val="decimal"/>
      <w:lvlText w:val=""/>
      <w:lvlJc w:val="left"/>
    </w:lvl>
    <w:lvl w:ilvl="3" w:tplc="5C0A80E8">
      <w:numFmt w:val="decimal"/>
      <w:lvlText w:val=""/>
      <w:lvlJc w:val="left"/>
    </w:lvl>
    <w:lvl w:ilvl="4" w:tplc="CF16158E">
      <w:numFmt w:val="decimal"/>
      <w:lvlText w:val=""/>
      <w:lvlJc w:val="left"/>
    </w:lvl>
    <w:lvl w:ilvl="5" w:tplc="67B272B0">
      <w:numFmt w:val="decimal"/>
      <w:lvlText w:val=""/>
      <w:lvlJc w:val="left"/>
    </w:lvl>
    <w:lvl w:ilvl="6" w:tplc="41B42912">
      <w:numFmt w:val="decimal"/>
      <w:lvlText w:val=""/>
      <w:lvlJc w:val="left"/>
    </w:lvl>
    <w:lvl w:ilvl="7" w:tplc="0A3842A0">
      <w:numFmt w:val="decimal"/>
      <w:lvlText w:val=""/>
      <w:lvlJc w:val="left"/>
    </w:lvl>
    <w:lvl w:ilvl="8" w:tplc="7F14AA32">
      <w:numFmt w:val="decimal"/>
      <w:lvlText w:val=""/>
      <w:lvlJc w:val="left"/>
    </w:lvl>
  </w:abstractNum>
  <w:abstractNum w:abstractNumId="112" w15:restartNumberingAfterBreak="0">
    <w:nsid w:val="0DA05522"/>
    <w:multiLevelType w:val="hybridMultilevel"/>
    <w:tmpl w:val="62AE21B4"/>
    <w:lvl w:ilvl="0" w:tplc="38D828E6">
      <w:start w:val="1"/>
      <w:numFmt w:val="bullet"/>
      <w:lvlText w:val=""/>
      <w:lvlJc w:val="left"/>
      <w:pPr>
        <w:ind w:left="720" w:hanging="180"/>
      </w:pPr>
      <w:rPr>
        <w:rFonts w:ascii="Symbol" w:hAnsi="Symbol" w:hint="default"/>
      </w:rPr>
    </w:lvl>
    <w:lvl w:ilvl="1" w:tplc="4F2246CA">
      <w:numFmt w:val="decimal"/>
      <w:lvlText w:val=""/>
      <w:lvlJc w:val="left"/>
    </w:lvl>
    <w:lvl w:ilvl="2" w:tplc="461ADBB2">
      <w:numFmt w:val="decimal"/>
      <w:lvlText w:val=""/>
      <w:lvlJc w:val="left"/>
    </w:lvl>
    <w:lvl w:ilvl="3" w:tplc="E22C6DD4">
      <w:numFmt w:val="decimal"/>
      <w:lvlText w:val=""/>
      <w:lvlJc w:val="left"/>
    </w:lvl>
    <w:lvl w:ilvl="4" w:tplc="E9341042">
      <w:numFmt w:val="decimal"/>
      <w:lvlText w:val=""/>
      <w:lvlJc w:val="left"/>
    </w:lvl>
    <w:lvl w:ilvl="5" w:tplc="2FAEB72A">
      <w:numFmt w:val="decimal"/>
      <w:lvlText w:val=""/>
      <w:lvlJc w:val="left"/>
    </w:lvl>
    <w:lvl w:ilvl="6" w:tplc="7CFE8B80">
      <w:numFmt w:val="decimal"/>
      <w:lvlText w:val=""/>
      <w:lvlJc w:val="left"/>
    </w:lvl>
    <w:lvl w:ilvl="7" w:tplc="0EF06C58">
      <w:numFmt w:val="decimal"/>
      <w:lvlText w:val=""/>
      <w:lvlJc w:val="left"/>
    </w:lvl>
    <w:lvl w:ilvl="8" w:tplc="F5EE6780">
      <w:numFmt w:val="decimal"/>
      <w:lvlText w:val=""/>
      <w:lvlJc w:val="left"/>
    </w:lvl>
  </w:abstractNum>
  <w:abstractNum w:abstractNumId="113" w15:restartNumberingAfterBreak="0">
    <w:nsid w:val="0DB7542F"/>
    <w:multiLevelType w:val="hybridMultilevel"/>
    <w:tmpl w:val="C900A4E4"/>
    <w:lvl w:ilvl="0" w:tplc="3E802E20">
      <w:start w:val="1"/>
      <w:numFmt w:val="bullet"/>
      <w:lvlText w:val=""/>
      <w:lvlJc w:val="left"/>
      <w:pPr>
        <w:ind w:left="720" w:hanging="180"/>
      </w:pPr>
      <w:rPr>
        <w:rFonts w:ascii="Symbol" w:hAnsi="Symbol" w:hint="default"/>
      </w:rPr>
    </w:lvl>
    <w:lvl w:ilvl="1" w:tplc="0FA44E86">
      <w:numFmt w:val="decimal"/>
      <w:lvlText w:val=""/>
      <w:lvlJc w:val="left"/>
    </w:lvl>
    <w:lvl w:ilvl="2" w:tplc="F418F47C">
      <w:numFmt w:val="decimal"/>
      <w:lvlText w:val=""/>
      <w:lvlJc w:val="left"/>
    </w:lvl>
    <w:lvl w:ilvl="3" w:tplc="035A07EA">
      <w:numFmt w:val="decimal"/>
      <w:lvlText w:val=""/>
      <w:lvlJc w:val="left"/>
    </w:lvl>
    <w:lvl w:ilvl="4" w:tplc="D898EE62">
      <w:numFmt w:val="decimal"/>
      <w:lvlText w:val=""/>
      <w:lvlJc w:val="left"/>
    </w:lvl>
    <w:lvl w:ilvl="5" w:tplc="D0EEE134">
      <w:numFmt w:val="decimal"/>
      <w:lvlText w:val=""/>
      <w:lvlJc w:val="left"/>
    </w:lvl>
    <w:lvl w:ilvl="6" w:tplc="45BCB91C">
      <w:numFmt w:val="decimal"/>
      <w:lvlText w:val=""/>
      <w:lvlJc w:val="left"/>
    </w:lvl>
    <w:lvl w:ilvl="7" w:tplc="FD3CAE7E">
      <w:numFmt w:val="decimal"/>
      <w:lvlText w:val=""/>
      <w:lvlJc w:val="left"/>
    </w:lvl>
    <w:lvl w:ilvl="8" w:tplc="9F5ADFC6">
      <w:numFmt w:val="decimal"/>
      <w:lvlText w:val=""/>
      <w:lvlJc w:val="left"/>
    </w:lvl>
  </w:abstractNum>
  <w:abstractNum w:abstractNumId="114" w15:restartNumberingAfterBreak="0">
    <w:nsid w:val="0DBF7F6E"/>
    <w:multiLevelType w:val="hybridMultilevel"/>
    <w:tmpl w:val="EE48E41A"/>
    <w:lvl w:ilvl="0" w:tplc="65CC9C6A">
      <w:start w:val="1"/>
      <w:numFmt w:val="bullet"/>
      <w:lvlText w:val=""/>
      <w:lvlJc w:val="left"/>
      <w:pPr>
        <w:ind w:left="720" w:hanging="180"/>
      </w:pPr>
      <w:rPr>
        <w:rFonts w:ascii="Symbol" w:hAnsi="Symbol" w:hint="default"/>
      </w:rPr>
    </w:lvl>
    <w:lvl w:ilvl="1" w:tplc="F6F0E32E">
      <w:numFmt w:val="decimal"/>
      <w:lvlText w:val=""/>
      <w:lvlJc w:val="left"/>
    </w:lvl>
    <w:lvl w:ilvl="2" w:tplc="FD1E1138">
      <w:numFmt w:val="decimal"/>
      <w:lvlText w:val=""/>
      <w:lvlJc w:val="left"/>
    </w:lvl>
    <w:lvl w:ilvl="3" w:tplc="FF1A1566">
      <w:numFmt w:val="decimal"/>
      <w:lvlText w:val=""/>
      <w:lvlJc w:val="left"/>
    </w:lvl>
    <w:lvl w:ilvl="4" w:tplc="669CF27A">
      <w:numFmt w:val="decimal"/>
      <w:lvlText w:val=""/>
      <w:lvlJc w:val="left"/>
    </w:lvl>
    <w:lvl w:ilvl="5" w:tplc="F580CA76">
      <w:numFmt w:val="decimal"/>
      <w:lvlText w:val=""/>
      <w:lvlJc w:val="left"/>
    </w:lvl>
    <w:lvl w:ilvl="6" w:tplc="991C69E2">
      <w:numFmt w:val="decimal"/>
      <w:lvlText w:val=""/>
      <w:lvlJc w:val="left"/>
    </w:lvl>
    <w:lvl w:ilvl="7" w:tplc="76F2964E">
      <w:numFmt w:val="decimal"/>
      <w:lvlText w:val=""/>
      <w:lvlJc w:val="left"/>
    </w:lvl>
    <w:lvl w:ilvl="8" w:tplc="BE3CA202">
      <w:numFmt w:val="decimal"/>
      <w:lvlText w:val=""/>
      <w:lvlJc w:val="left"/>
    </w:lvl>
  </w:abstractNum>
  <w:abstractNum w:abstractNumId="115" w15:restartNumberingAfterBreak="0">
    <w:nsid w:val="0DE71487"/>
    <w:multiLevelType w:val="hybridMultilevel"/>
    <w:tmpl w:val="4B8C9C96"/>
    <w:lvl w:ilvl="0" w:tplc="C6AEA7C8">
      <w:start w:val="1"/>
      <w:numFmt w:val="bullet"/>
      <w:lvlText w:val=""/>
      <w:lvlJc w:val="left"/>
      <w:pPr>
        <w:ind w:left="720" w:hanging="180"/>
      </w:pPr>
      <w:rPr>
        <w:rFonts w:ascii="Symbol" w:hAnsi="Symbol" w:hint="default"/>
      </w:rPr>
    </w:lvl>
    <w:lvl w:ilvl="1" w:tplc="29BA0EA4">
      <w:numFmt w:val="decimal"/>
      <w:lvlText w:val=""/>
      <w:lvlJc w:val="left"/>
    </w:lvl>
    <w:lvl w:ilvl="2" w:tplc="22D841A4">
      <w:numFmt w:val="decimal"/>
      <w:lvlText w:val=""/>
      <w:lvlJc w:val="left"/>
    </w:lvl>
    <w:lvl w:ilvl="3" w:tplc="BC024682">
      <w:numFmt w:val="decimal"/>
      <w:lvlText w:val=""/>
      <w:lvlJc w:val="left"/>
    </w:lvl>
    <w:lvl w:ilvl="4" w:tplc="73B0C222">
      <w:numFmt w:val="decimal"/>
      <w:lvlText w:val=""/>
      <w:lvlJc w:val="left"/>
    </w:lvl>
    <w:lvl w:ilvl="5" w:tplc="2B8293D8">
      <w:numFmt w:val="decimal"/>
      <w:lvlText w:val=""/>
      <w:lvlJc w:val="left"/>
    </w:lvl>
    <w:lvl w:ilvl="6" w:tplc="57945486">
      <w:numFmt w:val="decimal"/>
      <w:lvlText w:val=""/>
      <w:lvlJc w:val="left"/>
    </w:lvl>
    <w:lvl w:ilvl="7" w:tplc="ECA05F96">
      <w:numFmt w:val="decimal"/>
      <w:lvlText w:val=""/>
      <w:lvlJc w:val="left"/>
    </w:lvl>
    <w:lvl w:ilvl="8" w:tplc="90DA5ED8">
      <w:numFmt w:val="decimal"/>
      <w:lvlText w:val=""/>
      <w:lvlJc w:val="left"/>
    </w:lvl>
  </w:abstractNum>
  <w:abstractNum w:abstractNumId="116" w15:restartNumberingAfterBreak="0">
    <w:nsid w:val="0E0173B7"/>
    <w:multiLevelType w:val="hybridMultilevel"/>
    <w:tmpl w:val="28908CFE"/>
    <w:lvl w:ilvl="0" w:tplc="7C5C4ADE">
      <w:start w:val="1"/>
      <w:numFmt w:val="bullet"/>
      <w:lvlText w:val=""/>
      <w:lvlJc w:val="left"/>
      <w:pPr>
        <w:ind w:left="720" w:hanging="180"/>
      </w:pPr>
      <w:rPr>
        <w:rFonts w:ascii="Symbol" w:hAnsi="Symbol" w:hint="default"/>
      </w:rPr>
    </w:lvl>
    <w:lvl w:ilvl="1" w:tplc="86DACC56">
      <w:numFmt w:val="decimal"/>
      <w:lvlText w:val=""/>
      <w:lvlJc w:val="left"/>
    </w:lvl>
    <w:lvl w:ilvl="2" w:tplc="803618B0">
      <w:numFmt w:val="decimal"/>
      <w:lvlText w:val=""/>
      <w:lvlJc w:val="left"/>
    </w:lvl>
    <w:lvl w:ilvl="3" w:tplc="7B2A78FA">
      <w:numFmt w:val="decimal"/>
      <w:lvlText w:val=""/>
      <w:lvlJc w:val="left"/>
    </w:lvl>
    <w:lvl w:ilvl="4" w:tplc="A538DD88">
      <w:numFmt w:val="decimal"/>
      <w:lvlText w:val=""/>
      <w:lvlJc w:val="left"/>
    </w:lvl>
    <w:lvl w:ilvl="5" w:tplc="555869BA">
      <w:numFmt w:val="decimal"/>
      <w:lvlText w:val=""/>
      <w:lvlJc w:val="left"/>
    </w:lvl>
    <w:lvl w:ilvl="6" w:tplc="7048F4A6">
      <w:numFmt w:val="decimal"/>
      <w:lvlText w:val=""/>
      <w:lvlJc w:val="left"/>
    </w:lvl>
    <w:lvl w:ilvl="7" w:tplc="4DA890DC">
      <w:numFmt w:val="decimal"/>
      <w:lvlText w:val=""/>
      <w:lvlJc w:val="left"/>
    </w:lvl>
    <w:lvl w:ilvl="8" w:tplc="DD4C40DA">
      <w:numFmt w:val="decimal"/>
      <w:lvlText w:val=""/>
      <w:lvlJc w:val="left"/>
    </w:lvl>
  </w:abstractNum>
  <w:abstractNum w:abstractNumId="117" w15:restartNumberingAfterBreak="0">
    <w:nsid w:val="0E520C41"/>
    <w:multiLevelType w:val="hybridMultilevel"/>
    <w:tmpl w:val="A498C486"/>
    <w:lvl w:ilvl="0" w:tplc="D0223D28">
      <w:start w:val="1"/>
      <w:numFmt w:val="bullet"/>
      <w:lvlText w:val=""/>
      <w:lvlJc w:val="left"/>
      <w:pPr>
        <w:ind w:left="720" w:hanging="180"/>
      </w:pPr>
      <w:rPr>
        <w:rFonts w:ascii="Symbol" w:hAnsi="Symbol" w:hint="default"/>
      </w:rPr>
    </w:lvl>
    <w:lvl w:ilvl="1" w:tplc="7FA2D63E">
      <w:numFmt w:val="decimal"/>
      <w:lvlText w:val=""/>
      <w:lvlJc w:val="left"/>
    </w:lvl>
    <w:lvl w:ilvl="2" w:tplc="A6F23738">
      <w:numFmt w:val="decimal"/>
      <w:lvlText w:val=""/>
      <w:lvlJc w:val="left"/>
    </w:lvl>
    <w:lvl w:ilvl="3" w:tplc="ED5C90CC">
      <w:numFmt w:val="decimal"/>
      <w:lvlText w:val=""/>
      <w:lvlJc w:val="left"/>
    </w:lvl>
    <w:lvl w:ilvl="4" w:tplc="4A9A8E5E">
      <w:numFmt w:val="decimal"/>
      <w:lvlText w:val=""/>
      <w:lvlJc w:val="left"/>
    </w:lvl>
    <w:lvl w:ilvl="5" w:tplc="1A5A3DB6">
      <w:numFmt w:val="decimal"/>
      <w:lvlText w:val=""/>
      <w:lvlJc w:val="left"/>
    </w:lvl>
    <w:lvl w:ilvl="6" w:tplc="C6343F4A">
      <w:numFmt w:val="decimal"/>
      <w:lvlText w:val=""/>
      <w:lvlJc w:val="left"/>
    </w:lvl>
    <w:lvl w:ilvl="7" w:tplc="8888499E">
      <w:numFmt w:val="decimal"/>
      <w:lvlText w:val=""/>
      <w:lvlJc w:val="left"/>
    </w:lvl>
    <w:lvl w:ilvl="8" w:tplc="A32A21F6">
      <w:numFmt w:val="decimal"/>
      <w:lvlText w:val=""/>
      <w:lvlJc w:val="left"/>
    </w:lvl>
  </w:abstractNum>
  <w:abstractNum w:abstractNumId="118" w15:restartNumberingAfterBreak="0">
    <w:nsid w:val="0E5339F7"/>
    <w:multiLevelType w:val="hybridMultilevel"/>
    <w:tmpl w:val="E3B886EC"/>
    <w:lvl w:ilvl="0" w:tplc="9FFAD5CA">
      <w:start w:val="1"/>
      <w:numFmt w:val="bullet"/>
      <w:lvlText w:val=""/>
      <w:lvlJc w:val="left"/>
      <w:pPr>
        <w:ind w:left="720" w:hanging="180"/>
      </w:pPr>
      <w:rPr>
        <w:rFonts w:ascii="Symbol" w:hAnsi="Symbol" w:hint="default"/>
      </w:rPr>
    </w:lvl>
    <w:lvl w:ilvl="1" w:tplc="2F289DF2">
      <w:numFmt w:val="decimal"/>
      <w:lvlText w:val=""/>
      <w:lvlJc w:val="left"/>
    </w:lvl>
    <w:lvl w:ilvl="2" w:tplc="CB0C3068">
      <w:numFmt w:val="decimal"/>
      <w:lvlText w:val=""/>
      <w:lvlJc w:val="left"/>
    </w:lvl>
    <w:lvl w:ilvl="3" w:tplc="54107CB0">
      <w:numFmt w:val="decimal"/>
      <w:lvlText w:val=""/>
      <w:lvlJc w:val="left"/>
    </w:lvl>
    <w:lvl w:ilvl="4" w:tplc="FDBCA038">
      <w:numFmt w:val="decimal"/>
      <w:lvlText w:val=""/>
      <w:lvlJc w:val="left"/>
    </w:lvl>
    <w:lvl w:ilvl="5" w:tplc="0CBE1526">
      <w:numFmt w:val="decimal"/>
      <w:lvlText w:val=""/>
      <w:lvlJc w:val="left"/>
    </w:lvl>
    <w:lvl w:ilvl="6" w:tplc="C2A4B5C0">
      <w:numFmt w:val="decimal"/>
      <w:lvlText w:val=""/>
      <w:lvlJc w:val="left"/>
    </w:lvl>
    <w:lvl w:ilvl="7" w:tplc="3E9A0E4C">
      <w:numFmt w:val="decimal"/>
      <w:lvlText w:val=""/>
      <w:lvlJc w:val="left"/>
    </w:lvl>
    <w:lvl w:ilvl="8" w:tplc="CD084962">
      <w:numFmt w:val="decimal"/>
      <w:lvlText w:val=""/>
      <w:lvlJc w:val="left"/>
    </w:lvl>
  </w:abstractNum>
  <w:abstractNum w:abstractNumId="119" w15:restartNumberingAfterBreak="0">
    <w:nsid w:val="0E55161E"/>
    <w:multiLevelType w:val="hybridMultilevel"/>
    <w:tmpl w:val="765E7606"/>
    <w:lvl w:ilvl="0" w:tplc="4B4061B8">
      <w:start w:val="1"/>
      <w:numFmt w:val="bullet"/>
      <w:lvlText w:val=""/>
      <w:lvlJc w:val="left"/>
      <w:pPr>
        <w:ind w:left="720" w:hanging="180"/>
      </w:pPr>
      <w:rPr>
        <w:rFonts w:ascii="Symbol" w:hAnsi="Symbol" w:hint="default"/>
      </w:rPr>
    </w:lvl>
    <w:lvl w:ilvl="1" w:tplc="474EE67E">
      <w:numFmt w:val="decimal"/>
      <w:lvlText w:val=""/>
      <w:lvlJc w:val="left"/>
    </w:lvl>
    <w:lvl w:ilvl="2" w:tplc="3524FB4E">
      <w:numFmt w:val="decimal"/>
      <w:lvlText w:val=""/>
      <w:lvlJc w:val="left"/>
    </w:lvl>
    <w:lvl w:ilvl="3" w:tplc="8766BE9E">
      <w:numFmt w:val="decimal"/>
      <w:lvlText w:val=""/>
      <w:lvlJc w:val="left"/>
    </w:lvl>
    <w:lvl w:ilvl="4" w:tplc="3380097E">
      <w:numFmt w:val="decimal"/>
      <w:lvlText w:val=""/>
      <w:lvlJc w:val="left"/>
    </w:lvl>
    <w:lvl w:ilvl="5" w:tplc="7E74CD6C">
      <w:numFmt w:val="decimal"/>
      <w:lvlText w:val=""/>
      <w:lvlJc w:val="left"/>
    </w:lvl>
    <w:lvl w:ilvl="6" w:tplc="5D981B88">
      <w:numFmt w:val="decimal"/>
      <w:lvlText w:val=""/>
      <w:lvlJc w:val="left"/>
    </w:lvl>
    <w:lvl w:ilvl="7" w:tplc="93407B58">
      <w:numFmt w:val="decimal"/>
      <w:lvlText w:val=""/>
      <w:lvlJc w:val="left"/>
    </w:lvl>
    <w:lvl w:ilvl="8" w:tplc="444C9520">
      <w:numFmt w:val="decimal"/>
      <w:lvlText w:val=""/>
      <w:lvlJc w:val="left"/>
    </w:lvl>
  </w:abstractNum>
  <w:abstractNum w:abstractNumId="120" w15:restartNumberingAfterBreak="0">
    <w:nsid w:val="0E55759D"/>
    <w:multiLevelType w:val="hybridMultilevel"/>
    <w:tmpl w:val="923803E8"/>
    <w:lvl w:ilvl="0" w:tplc="1B26D9EA">
      <w:start w:val="1"/>
      <w:numFmt w:val="bullet"/>
      <w:lvlText w:val=""/>
      <w:lvlJc w:val="left"/>
      <w:pPr>
        <w:ind w:left="720" w:hanging="180"/>
      </w:pPr>
      <w:rPr>
        <w:rFonts w:ascii="Symbol" w:hAnsi="Symbol" w:hint="default"/>
      </w:rPr>
    </w:lvl>
    <w:lvl w:ilvl="1" w:tplc="6576C558">
      <w:numFmt w:val="decimal"/>
      <w:lvlText w:val=""/>
      <w:lvlJc w:val="left"/>
    </w:lvl>
    <w:lvl w:ilvl="2" w:tplc="5164D0F0">
      <w:numFmt w:val="decimal"/>
      <w:lvlText w:val=""/>
      <w:lvlJc w:val="left"/>
    </w:lvl>
    <w:lvl w:ilvl="3" w:tplc="28189654">
      <w:numFmt w:val="decimal"/>
      <w:lvlText w:val=""/>
      <w:lvlJc w:val="left"/>
    </w:lvl>
    <w:lvl w:ilvl="4" w:tplc="9594E968">
      <w:numFmt w:val="decimal"/>
      <w:lvlText w:val=""/>
      <w:lvlJc w:val="left"/>
    </w:lvl>
    <w:lvl w:ilvl="5" w:tplc="C18251EC">
      <w:numFmt w:val="decimal"/>
      <w:lvlText w:val=""/>
      <w:lvlJc w:val="left"/>
    </w:lvl>
    <w:lvl w:ilvl="6" w:tplc="3AD2181A">
      <w:numFmt w:val="decimal"/>
      <w:lvlText w:val=""/>
      <w:lvlJc w:val="left"/>
    </w:lvl>
    <w:lvl w:ilvl="7" w:tplc="F45626E2">
      <w:numFmt w:val="decimal"/>
      <w:lvlText w:val=""/>
      <w:lvlJc w:val="left"/>
    </w:lvl>
    <w:lvl w:ilvl="8" w:tplc="3776F12E">
      <w:numFmt w:val="decimal"/>
      <w:lvlText w:val=""/>
      <w:lvlJc w:val="left"/>
    </w:lvl>
  </w:abstractNum>
  <w:abstractNum w:abstractNumId="121" w15:restartNumberingAfterBreak="0">
    <w:nsid w:val="0E7A7FBB"/>
    <w:multiLevelType w:val="hybridMultilevel"/>
    <w:tmpl w:val="D61EC446"/>
    <w:lvl w:ilvl="0" w:tplc="2CDC3F10">
      <w:start w:val="1"/>
      <w:numFmt w:val="bullet"/>
      <w:lvlText w:val=""/>
      <w:lvlJc w:val="left"/>
      <w:pPr>
        <w:ind w:left="720" w:hanging="180"/>
      </w:pPr>
      <w:rPr>
        <w:rFonts w:ascii="Symbol" w:hAnsi="Symbol" w:hint="default"/>
      </w:rPr>
    </w:lvl>
    <w:lvl w:ilvl="1" w:tplc="C480D746">
      <w:numFmt w:val="decimal"/>
      <w:lvlText w:val=""/>
      <w:lvlJc w:val="left"/>
    </w:lvl>
    <w:lvl w:ilvl="2" w:tplc="55C03DA2">
      <w:numFmt w:val="decimal"/>
      <w:lvlText w:val=""/>
      <w:lvlJc w:val="left"/>
    </w:lvl>
    <w:lvl w:ilvl="3" w:tplc="D8827D60">
      <w:numFmt w:val="decimal"/>
      <w:lvlText w:val=""/>
      <w:lvlJc w:val="left"/>
    </w:lvl>
    <w:lvl w:ilvl="4" w:tplc="3640C5D6">
      <w:numFmt w:val="decimal"/>
      <w:lvlText w:val=""/>
      <w:lvlJc w:val="left"/>
    </w:lvl>
    <w:lvl w:ilvl="5" w:tplc="4784042A">
      <w:numFmt w:val="decimal"/>
      <w:lvlText w:val=""/>
      <w:lvlJc w:val="left"/>
    </w:lvl>
    <w:lvl w:ilvl="6" w:tplc="FBC2E7D4">
      <w:numFmt w:val="decimal"/>
      <w:lvlText w:val=""/>
      <w:lvlJc w:val="left"/>
    </w:lvl>
    <w:lvl w:ilvl="7" w:tplc="5900BC6C">
      <w:numFmt w:val="decimal"/>
      <w:lvlText w:val=""/>
      <w:lvlJc w:val="left"/>
    </w:lvl>
    <w:lvl w:ilvl="8" w:tplc="FD78894C">
      <w:numFmt w:val="decimal"/>
      <w:lvlText w:val=""/>
      <w:lvlJc w:val="left"/>
    </w:lvl>
  </w:abstractNum>
  <w:abstractNum w:abstractNumId="122" w15:restartNumberingAfterBreak="0">
    <w:nsid w:val="0F3A52D6"/>
    <w:multiLevelType w:val="hybridMultilevel"/>
    <w:tmpl w:val="4EBE57E4"/>
    <w:lvl w:ilvl="0" w:tplc="2DA8F97C">
      <w:numFmt w:val="decimal"/>
      <w:lvlText w:val=""/>
      <w:lvlJc w:val="left"/>
    </w:lvl>
    <w:lvl w:ilvl="1" w:tplc="AB5A2EA0">
      <w:start w:val="1"/>
      <w:numFmt w:val="bullet"/>
      <w:lvlText w:val=""/>
      <w:lvlJc w:val="left"/>
      <w:pPr>
        <w:ind w:left="1440" w:hanging="180"/>
      </w:pPr>
      <w:rPr>
        <w:rFonts w:ascii="Symbol" w:hAnsi="Symbol" w:hint="default"/>
      </w:rPr>
    </w:lvl>
    <w:lvl w:ilvl="2" w:tplc="FC9CAF62">
      <w:numFmt w:val="decimal"/>
      <w:lvlText w:val=""/>
      <w:lvlJc w:val="left"/>
    </w:lvl>
    <w:lvl w:ilvl="3" w:tplc="CCF2E30E">
      <w:numFmt w:val="decimal"/>
      <w:lvlText w:val=""/>
      <w:lvlJc w:val="left"/>
    </w:lvl>
    <w:lvl w:ilvl="4" w:tplc="4A5039AA">
      <w:numFmt w:val="decimal"/>
      <w:lvlText w:val=""/>
      <w:lvlJc w:val="left"/>
    </w:lvl>
    <w:lvl w:ilvl="5" w:tplc="9F1A279E">
      <w:numFmt w:val="decimal"/>
      <w:lvlText w:val=""/>
      <w:lvlJc w:val="left"/>
    </w:lvl>
    <w:lvl w:ilvl="6" w:tplc="4BCA1A5E">
      <w:numFmt w:val="decimal"/>
      <w:lvlText w:val=""/>
      <w:lvlJc w:val="left"/>
    </w:lvl>
    <w:lvl w:ilvl="7" w:tplc="031CC618">
      <w:numFmt w:val="decimal"/>
      <w:lvlText w:val=""/>
      <w:lvlJc w:val="left"/>
    </w:lvl>
    <w:lvl w:ilvl="8" w:tplc="40EAE684">
      <w:numFmt w:val="decimal"/>
      <w:lvlText w:val=""/>
      <w:lvlJc w:val="left"/>
    </w:lvl>
  </w:abstractNum>
  <w:abstractNum w:abstractNumId="123" w15:restartNumberingAfterBreak="0">
    <w:nsid w:val="0F420160"/>
    <w:multiLevelType w:val="hybridMultilevel"/>
    <w:tmpl w:val="E8C09CA0"/>
    <w:lvl w:ilvl="0" w:tplc="296EAEF2">
      <w:start w:val="1"/>
      <w:numFmt w:val="bullet"/>
      <w:lvlText w:val=""/>
      <w:lvlJc w:val="left"/>
      <w:pPr>
        <w:ind w:left="720" w:hanging="180"/>
      </w:pPr>
      <w:rPr>
        <w:rFonts w:ascii="Symbol" w:hAnsi="Symbol" w:hint="default"/>
      </w:rPr>
    </w:lvl>
    <w:lvl w:ilvl="1" w:tplc="2624B30A">
      <w:numFmt w:val="decimal"/>
      <w:lvlText w:val=""/>
      <w:lvlJc w:val="left"/>
    </w:lvl>
    <w:lvl w:ilvl="2" w:tplc="284C5BE4">
      <w:numFmt w:val="decimal"/>
      <w:lvlText w:val=""/>
      <w:lvlJc w:val="left"/>
    </w:lvl>
    <w:lvl w:ilvl="3" w:tplc="C084192E">
      <w:numFmt w:val="decimal"/>
      <w:lvlText w:val=""/>
      <w:lvlJc w:val="left"/>
    </w:lvl>
    <w:lvl w:ilvl="4" w:tplc="767CDA24">
      <w:numFmt w:val="decimal"/>
      <w:lvlText w:val=""/>
      <w:lvlJc w:val="left"/>
    </w:lvl>
    <w:lvl w:ilvl="5" w:tplc="12C45574">
      <w:numFmt w:val="decimal"/>
      <w:lvlText w:val=""/>
      <w:lvlJc w:val="left"/>
    </w:lvl>
    <w:lvl w:ilvl="6" w:tplc="9C20F6F4">
      <w:numFmt w:val="decimal"/>
      <w:lvlText w:val=""/>
      <w:lvlJc w:val="left"/>
    </w:lvl>
    <w:lvl w:ilvl="7" w:tplc="731A2372">
      <w:numFmt w:val="decimal"/>
      <w:lvlText w:val=""/>
      <w:lvlJc w:val="left"/>
    </w:lvl>
    <w:lvl w:ilvl="8" w:tplc="3F7E3FC4">
      <w:numFmt w:val="decimal"/>
      <w:lvlText w:val=""/>
      <w:lvlJc w:val="left"/>
    </w:lvl>
  </w:abstractNum>
  <w:abstractNum w:abstractNumId="124" w15:restartNumberingAfterBreak="0">
    <w:nsid w:val="0F50199E"/>
    <w:multiLevelType w:val="hybridMultilevel"/>
    <w:tmpl w:val="0C6C109C"/>
    <w:lvl w:ilvl="0" w:tplc="6C067A70">
      <w:start w:val="1"/>
      <w:numFmt w:val="bullet"/>
      <w:lvlText w:val=""/>
      <w:lvlJc w:val="left"/>
      <w:pPr>
        <w:ind w:left="720" w:hanging="180"/>
      </w:pPr>
      <w:rPr>
        <w:rFonts w:ascii="Symbol" w:hAnsi="Symbol" w:hint="default"/>
      </w:rPr>
    </w:lvl>
    <w:lvl w:ilvl="1" w:tplc="887434BA">
      <w:numFmt w:val="decimal"/>
      <w:lvlText w:val=""/>
      <w:lvlJc w:val="left"/>
    </w:lvl>
    <w:lvl w:ilvl="2" w:tplc="0A36F9A0">
      <w:numFmt w:val="decimal"/>
      <w:lvlText w:val=""/>
      <w:lvlJc w:val="left"/>
    </w:lvl>
    <w:lvl w:ilvl="3" w:tplc="283E53B0">
      <w:numFmt w:val="decimal"/>
      <w:lvlText w:val=""/>
      <w:lvlJc w:val="left"/>
    </w:lvl>
    <w:lvl w:ilvl="4" w:tplc="0876D10C">
      <w:numFmt w:val="decimal"/>
      <w:lvlText w:val=""/>
      <w:lvlJc w:val="left"/>
    </w:lvl>
    <w:lvl w:ilvl="5" w:tplc="33883A48">
      <w:numFmt w:val="decimal"/>
      <w:lvlText w:val=""/>
      <w:lvlJc w:val="left"/>
    </w:lvl>
    <w:lvl w:ilvl="6" w:tplc="26A84396">
      <w:numFmt w:val="decimal"/>
      <w:lvlText w:val=""/>
      <w:lvlJc w:val="left"/>
    </w:lvl>
    <w:lvl w:ilvl="7" w:tplc="67685612">
      <w:numFmt w:val="decimal"/>
      <w:lvlText w:val=""/>
      <w:lvlJc w:val="left"/>
    </w:lvl>
    <w:lvl w:ilvl="8" w:tplc="5AC81B92">
      <w:numFmt w:val="decimal"/>
      <w:lvlText w:val=""/>
      <w:lvlJc w:val="left"/>
    </w:lvl>
  </w:abstractNum>
  <w:abstractNum w:abstractNumId="125" w15:restartNumberingAfterBreak="0">
    <w:nsid w:val="0F527FD5"/>
    <w:multiLevelType w:val="hybridMultilevel"/>
    <w:tmpl w:val="C54C8E52"/>
    <w:lvl w:ilvl="0" w:tplc="4552BF58">
      <w:start w:val="1"/>
      <w:numFmt w:val="bullet"/>
      <w:lvlText w:val=""/>
      <w:lvlJc w:val="left"/>
      <w:pPr>
        <w:ind w:left="720" w:hanging="180"/>
      </w:pPr>
      <w:rPr>
        <w:rFonts w:ascii="Symbol" w:hAnsi="Symbol" w:hint="default"/>
      </w:rPr>
    </w:lvl>
    <w:lvl w:ilvl="1" w:tplc="233AEFFC">
      <w:numFmt w:val="decimal"/>
      <w:lvlText w:val=""/>
      <w:lvlJc w:val="left"/>
    </w:lvl>
    <w:lvl w:ilvl="2" w:tplc="4C1A0DAE">
      <w:numFmt w:val="decimal"/>
      <w:lvlText w:val=""/>
      <w:lvlJc w:val="left"/>
    </w:lvl>
    <w:lvl w:ilvl="3" w:tplc="220440AA">
      <w:numFmt w:val="decimal"/>
      <w:lvlText w:val=""/>
      <w:lvlJc w:val="left"/>
    </w:lvl>
    <w:lvl w:ilvl="4" w:tplc="4678BFF0">
      <w:numFmt w:val="decimal"/>
      <w:lvlText w:val=""/>
      <w:lvlJc w:val="left"/>
    </w:lvl>
    <w:lvl w:ilvl="5" w:tplc="FA088BAA">
      <w:numFmt w:val="decimal"/>
      <w:lvlText w:val=""/>
      <w:lvlJc w:val="left"/>
    </w:lvl>
    <w:lvl w:ilvl="6" w:tplc="817627F2">
      <w:numFmt w:val="decimal"/>
      <w:lvlText w:val=""/>
      <w:lvlJc w:val="left"/>
    </w:lvl>
    <w:lvl w:ilvl="7" w:tplc="D49A9ACC">
      <w:numFmt w:val="decimal"/>
      <w:lvlText w:val=""/>
      <w:lvlJc w:val="left"/>
    </w:lvl>
    <w:lvl w:ilvl="8" w:tplc="FB522944">
      <w:numFmt w:val="decimal"/>
      <w:lvlText w:val=""/>
      <w:lvlJc w:val="left"/>
    </w:lvl>
  </w:abstractNum>
  <w:abstractNum w:abstractNumId="126" w15:restartNumberingAfterBreak="0">
    <w:nsid w:val="0F6E3036"/>
    <w:multiLevelType w:val="hybridMultilevel"/>
    <w:tmpl w:val="6674CB6A"/>
    <w:lvl w:ilvl="0" w:tplc="4D2CF1D8">
      <w:start w:val="1"/>
      <w:numFmt w:val="bullet"/>
      <w:lvlText w:val=""/>
      <w:lvlJc w:val="left"/>
      <w:pPr>
        <w:ind w:left="720" w:hanging="180"/>
      </w:pPr>
      <w:rPr>
        <w:rFonts w:ascii="Symbol" w:hAnsi="Symbol" w:hint="default"/>
      </w:rPr>
    </w:lvl>
    <w:lvl w:ilvl="1" w:tplc="B148CA80">
      <w:numFmt w:val="decimal"/>
      <w:lvlText w:val=""/>
      <w:lvlJc w:val="left"/>
    </w:lvl>
    <w:lvl w:ilvl="2" w:tplc="08B8F966">
      <w:numFmt w:val="decimal"/>
      <w:lvlText w:val=""/>
      <w:lvlJc w:val="left"/>
    </w:lvl>
    <w:lvl w:ilvl="3" w:tplc="7B247F8C">
      <w:numFmt w:val="decimal"/>
      <w:lvlText w:val=""/>
      <w:lvlJc w:val="left"/>
    </w:lvl>
    <w:lvl w:ilvl="4" w:tplc="B6FA468A">
      <w:numFmt w:val="decimal"/>
      <w:lvlText w:val=""/>
      <w:lvlJc w:val="left"/>
    </w:lvl>
    <w:lvl w:ilvl="5" w:tplc="8758D084">
      <w:numFmt w:val="decimal"/>
      <w:lvlText w:val=""/>
      <w:lvlJc w:val="left"/>
    </w:lvl>
    <w:lvl w:ilvl="6" w:tplc="DCA66ABC">
      <w:numFmt w:val="decimal"/>
      <w:lvlText w:val=""/>
      <w:lvlJc w:val="left"/>
    </w:lvl>
    <w:lvl w:ilvl="7" w:tplc="4E1C0E56">
      <w:numFmt w:val="decimal"/>
      <w:lvlText w:val=""/>
      <w:lvlJc w:val="left"/>
    </w:lvl>
    <w:lvl w:ilvl="8" w:tplc="5ED8DABA">
      <w:numFmt w:val="decimal"/>
      <w:lvlText w:val=""/>
      <w:lvlJc w:val="left"/>
    </w:lvl>
  </w:abstractNum>
  <w:abstractNum w:abstractNumId="127" w15:restartNumberingAfterBreak="0">
    <w:nsid w:val="0F8649D1"/>
    <w:multiLevelType w:val="hybridMultilevel"/>
    <w:tmpl w:val="5548FE5A"/>
    <w:lvl w:ilvl="0" w:tplc="65C0F436">
      <w:start w:val="1"/>
      <w:numFmt w:val="bullet"/>
      <w:lvlText w:val=""/>
      <w:lvlJc w:val="left"/>
      <w:pPr>
        <w:ind w:left="720" w:hanging="180"/>
      </w:pPr>
      <w:rPr>
        <w:rFonts w:ascii="Symbol" w:hAnsi="Symbol" w:hint="default"/>
      </w:rPr>
    </w:lvl>
    <w:lvl w:ilvl="1" w:tplc="7A0CB88E">
      <w:numFmt w:val="decimal"/>
      <w:lvlText w:val=""/>
      <w:lvlJc w:val="left"/>
    </w:lvl>
    <w:lvl w:ilvl="2" w:tplc="BEAA198A">
      <w:numFmt w:val="decimal"/>
      <w:lvlText w:val=""/>
      <w:lvlJc w:val="left"/>
    </w:lvl>
    <w:lvl w:ilvl="3" w:tplc="0FFA3CD8">
      <w:numFmt w:val="decimal"/>
      <w:lvlText w:val=""/>
      <w:lvlJc w:val="left"/>
    </w:lvl>
    <w:lvl w:ilvl="4" w:tplc="843A3564">
      <w:numFmt w:val="decimal"/>
      <w:lvlText w:val=""/>
      <w:lvlJc w:val="left"/>
    </w:lvl>
    <w:lvl w:ilvl="5" w:tplc="AE2A1712">
      <w:numFmt w:val="decimal"/>
      <w:lvlText w:val=""/>
      <w:lvlJc w:val="left"/>
    </w:lvl>
    <w:lvl w:ilvl="6" w:tplc="812A8956">
      <w:numFmt w:val="decimal"/>
      <w:lvlText w:val=""/>
      <w:lvlJc w:val="left"/>
    </w:lvl>
    <w:lvl w:ilvl="7" w:tplc="09263C3A">
      <w:numFmt w:val="decimal"/>
      <w:lvlText w:val=""/>
      <w:lvlJc w:val="left"/>
    </w:lvl>
    <w:lvl w:ilvl="8" w:tplc="D2FEEDFA">
      <w:numFmt w:val="decimal"/>
      <w:lvlText w:val=""/>
      <w:lvlJc w:val="left"/>
    </w:lvl>
  </w:abstractNum>
  <w:abstractNum w:abstractNumId="128" w15:restartNumberingAfterBreak="0">
    <w:nsid w:val="0F8D5552"/>
    <w:multiLevelType w:val="hybridMultilevel"/>
    <w:tmpl w:val="DC7AC876"/>
    <w:lvl w:ilvl="0" w:tplc="D9F8A46E">
      <w:start w:val="1"/>
      <w:numFmt w:val="bullet"/>
      <w:lvlText w:val=""/>
      <w:lvlJc w:val="left"/>
      <w:pPr>
        <w:ind w:left="720" w:hanging="180"/>
      </w:pPr>
      <w:rPr>
        <w:rFonts w:ascii="Symbol" w:hAnsi="Symbol" w:hint="default"/>
      </w:rPr>
    </w:lvl>
    <w:lvl w:ilvl="1" w:tplc="A22CF094">
      <w:numFmt w:val="decimal"/>
      <w:lvlText w:val=""/>
      <w:lvlJc w:val="left"/>
    </w:lvl>
    <w:lvl w:ilvl="2" w:tplc="06BC9B64">
      <w:numFmt w:val="decimal"/>
      <w:lvlText w:val=""/>
      <w:lvlJc w:val="left"/>
    </w:lvl>
    <w:lvl w:ilvl="3" w:tplc="BF50E284">
      <w:numFmt w:val="decimal"/>
      <w:lvlText w:val=""/>
      <w:lvlJc w:val="left"/>
    </w:lvl>
    <w:lvl w:ilvl="4" w:tplc="712617EC">
      <w:numFmt w:val="decimal"/>
      <w:lvlText w:val=""/>
      <w:lvlJc w:val="left"/>
    </w:lvl>
    <w:lvl w:ilvl="5" w:tplc="FE2EEF3C">
      <w:numFmt w:val="decimal"/>
      <w:lvlText w:val=""/>
      <w:lvlJc w:val="left"/>
    </w:lvl>
    <w:lvl w:ilvl="6" w:tplc="87B6D95C">
      <w:numFmt w:val="decimal"/>
      <w:lvlText w:val=""/>
      <w:lvlJc w:val="left"/>
    </w:lvl>
    <w:lvl w:ilvl="7" w:tplc="389AC826">
      <w:numFmt w:val="decimal"/>
      <w:lvlText w:val=""/>
      <w:lvlJc w:val="left"/>
    </w:lvl>
    <w:lvl w:ilvl="8" w:tplc="0D0244FE">
      <w:numFmt w:val="decimal"/>
      <w:lvlText w:val=""/>
      <w:lvlJc w:val="left"/>
    </w:lvl>
  </w:abstractNum>
  <w:abstractNum w:abstractNumId="129" w15:restartNumberingAfterBreak="0">
    <w:nsid w:val="0F9163F2"/>
    <w:multiLevelType w:val="hybridMultilevel"/>
    <w:tmpl w:val="28247648"/>
    <w:lvl w:ilvl="0" w:tplc="193EC578">
      <w:start w:val="1"/>
      <w:numFmt w:val="bullet"/>
      <w:lvlText w:val=""/>
      <w:lvlJc w:val="left"/>
      <w:pPr>
        <w:ind w:left="720" w:hanging="180"/>
      </w:pPr>
      <w:rPr>
        <w:rFonts w:ascii="Symbol" w:hAnsi="Symbol" w:hint="default"/>
      </w:rPr>
    </w:lvl>
    <w:lvl w:ilvl="1" w:tplc="410A67DC">
      <w:numFmt w:val="decimal"/>
      <w:lvlText w:val=""/>
      <w:lvlJc w:val="left"/>
    </w:lvl>
    <w:lvl w:ilvl="2" w:tplc="BCCC5E60">
      <w:numFmt w:val="decimal"/>
      <w:lvlText w:val=""/>
      <w:lvlJc w:val="left"/>
    </w:lvl>
    <w:lvl w:ilvl="3" w:tplc="E454E594">
      <w:numFmt w:val="decimal"/>
      <w:lvlText w:val=""/>
      <w:lvlJc w:val="left"/>
    </w:lvl>
    <w:lvl w:ilvl="4" w:tplc="17801136">
      <w:numFmt w:val="decimal"/>
      <w:lvlText w:val=""/>
      <w:lvlJc w:val="left"/>
    </w:lvl>
    <w:lvl w:ilvl="5" w:tplc="AD507D84">
      <w:numFmt w:val="decimal"/>
      <w:lvlText w:val=""/>
      <w:lvlJc w:val="left"/>
    </w:lvl>
    <w:lvl w:ilvl="6" w:tplc="AB80D886">
      <w:numFmt w:val="decimal"/>
      <w:lvlText w:val=""/>
      <w:lvlJc w:val="left"/>
    </w:lvl>
    <w:lvl w:ilvl="7" w:tplc="2CD6897E">
      <w:numFmt w:val="decimal"/>
      <w:lvlText w:val=""/>
      <w:lvlJc w:val="left"/>
    </w:lvl>
    <w:lvl w:ilvl="8" w:tplc="529A4AFE">
      <w:numFmt w:val="decimal"/>
      <w:lvlText w:val=""/>
      <w:lvlJc w:val="left"/>
    </w:lvl>
  </w:abstractNum>
  <w:abstractNum w:abstractNumId="130" w15:restartNumberingAfterBreak="0">
    <w:nsid w:val="0FAA2991"/>
    <w:multiLevelType w:val="hybridMultilevel"/>
    <w:tmpl w:val="B1081D44"/>
    <w:lvl w:ilvl="0" w:tplc="442A8A82">
      <w:start w:val="1"/>
      <w:numFmt w:val="bullet"/>
      <w:lvlText w:val=""/>
      <w:lvlJc w:val="left"/>
      <w:pPr>
        <w:ind w:left="720" w:hanging="180"/>
      </w:pPr>
      <w:rPr>
        <w:rFonts w:ascii="Symbol" w:hAnsi="Symbol" w:hint="default"/>
      </w:rPr>
    </w:lvl>
    <w:lvl w:ilvl="1" w:tplc="3EB8AAEE">
      <w:numFmt w:val="decimal"/>
      <w:lvlText w:val=""/>
      <w:lvlJc w:val="left"/>
    </w:lvl>
    <w:lvl w:ilvl="2" w:tplc="DD02563C">
      <w:numFmt w:val="decimal"/>
      <w:lvlText w:val=""/>
      <w:lvlJc w:val="left"/>
    </w:lvl>
    <w:lvl w:ilvl="3" w:tplc="B170C4B0">
      <w:numFmt w:val="decimal"/>
      <w:lvlText w:val=""/>
      <w:lvlJc w:val="left"/>
    </w:lvl>
    <w:lvl w:ilvl="4" w:tplc="3362C05C">
      <w:numFmt w:val="decimal"/>
      <w:lvlText w:val=""/>
      <w:lvlJc w:val="left"/>
    </w:lvl>
    <w:lvl w:ilvl="5" w:tplc="188404EC">
      <w:numFmt w:val="decimal"/>
      <w:lvlText w:val=""/>
      <w:lvlJc w:val="left"/>
    </w:lvl>
    <w:lvl w:ilvl="6" w:tplc="30301D26">
      <w:numFmt w:val="decimal"/>
      <w:lvlText w:val=""/>
      <w:lvlJc w:val="left"/>
    </w:lvl>
    <w:lvl w:ilvl="7" w:tplc="99A6FB68">
      <w:numFmt w:val="decimal"/>
      <w:lvlText w:val=""/>
      <w:lvlJc w:val="left"/>
    </w:lvl>
    <w:lvl w:ilvl="8" w:tplc="642EAC56">
      <w:numFmt w:val="decimal"/>
      <w:lvlText w:val=""/>
      <w:lvlJc w:val="left"/>
    </w:lvl>
  </w:abstractNum>
  <w:abstractNum w:abstractNumId="131" w15:restartNumberingAfterBreak="0">
    <w:nsid w:val="1024638A"/>
    <w:multiLevelType w:val="hybridMultilevel"/>
    <w:tmpl w:val="F9304034"/>
    <w:lvl w:ilvl="0" w:tplc="8272E4EC">
      <w:start w:val="1"/>
      <w:numFmt w:val="bullet"/>
      <w:lvlText w:val=""/>
      <w:lvlJc w:val="left"/>
      <w:pPr>
        <w:ind w:left="720" w:hanging="180"/>
      </w:pPr>
      <w:rPr>
        <w:rFonts w:ascii="Symbol" w:hAnsi="Symbol" w:hint="default"/>
      </w:rPr>
    </w:lvl>
    <w:lvl w:ilvl="1" w:tplc="E0E0807A">
      <w:numFmt w:val="decimal"/>
      <w:lvlText w:val=""/>
      <w:lvlJc w:val="left"/>
    </w:lvl>
    <w:lvl w:ilvl="2" w:tplc="4C54BAD8">
      <w:numFmt w:val="decimal"/>
      <w:lvlText w:val=""/>
      <w:lvlJc w:val="left"/>
    </w:lvl>
    <w:lvl w:ilvl="3" w:tplc="91086220">
      <w:numFmt w:val="decimal"/>
      <w:lvlText w:val=""/>
      <w:lvlJc w:val="left"/>
    </w:lvl>
    <w:lvl w:ilvl="4" w:tplc="D63435E6">
      <w:numFmt w:val="decimal"/>
      <w:lvlText w:val=""/>
      <w:lvlJc w:val="left"/>
    </w:lvl>
    <w:lvl w:ilvl="5" w:tplc="1DB0349A">
      <w:numFmt w:val="decimal"/>
      <w:lvlText w:val=""/>
      <w:lvlJc w:val="left"/>
    </w:lvl>
    <w:lvl w:ilvl="6" w:tplc="85300798">
      <w:numFmt w:val="decimal"/>
      <w:lvlText w:val=""/>
      <w:lvlJc w:val="left"/>
    </w:lvl>
    <w:lvl w:ilvl="7" w:tplc="A1D63D12">
      <w:numFmt w:val="decimal"/>
      <w:lvlText w:val=""/>
      <w:lvlJc w:val="left"/>
    </w:lvl>
    <w:lvl w:ilvl="8" w:tplc="4F98D6D8">
      <w:numFmt w:val="decimal"/>
      <w:lvlText w:val=""/>
      <w:lvlJc w:val="left"/>
    </w:lvl>
  </w:abstractNum>
  <w:abstractNum w:abstractNumId="132" w15:restartNumberingAfterBreak="0">
    <w:nsid w:val="109839B0"/>
    <w:multiLevelType w:val="hybridMultilevel"/>
    <w:tmpl w:val="9BDA84BE"/>
    <w:lvl w:ilvl="0" w:tplc="E1447E72">
      <w:start w:val="1"/>
      <w:numFmt w:val="bullet"/>
      <w:lvlText w:val=""/>
      <w:lvlJc w:val="left"/>
      <w:pPr>
        <w:ind w:left="720" w:hanging="180"/>
      </w:pPr>
      <w:rPr>
        <w:rFonts w:ascii="Symbol" w:hAnsi="Symbol" w:hint="default"/>
      </w:rPr>
    </w:lvl>
    <w:lvl w:ilvl="1" w:tplc="552E4FB0">
      <w:numFmt w:val="decimal"/>
      <w:lvlText w:val=""/>
      <w:lvlJc w:val="left"/>
    </w:lvl>
    <w:lvl w:ilvl="2" w:tplc="663C7EE8">
      <w:numFmt w:val="decimal"/>
      <w:lvlText w:val=""/>
      <w:lvlJc w:val="left"/>
    </w:lvl>
    <w:lvl w:ilvl="3" w:tplc="2F4E2EC4">
      <w:numFmt w:val="decimal"/>
      <w:lvlText w:val=""/>
      <w:lvlJc w:val="left"/>
    </w:lvl>
    <w:lvl w:ilvl="4" w:tplc="836EAF2E">
      <w:numFmt w:val="decimal"/>
      <w:lvlText w:val=""/>
      <w:lvlJc w:val="left"/>
    </w:lvl>
    <w:lvl w:ilvl="5" w:tplc="220EED50">
      <w:numFmt w:val="decimal"/>
      <w:lvlText w:val=""/>
      <w:lvlJc w:val="left"/>
    </w:lvl>
    <w:lvl w:ilvl="6" w:tplc="BEEC0B28">
      <w:numFmt w:val="decimal"/>
      <w:lvlText w:val=""/>
      <w:lvlJc w:val="left"/>
    </w:lvl>
    <w:lvl w:ilvl="7" w:tplc="4094CAF4">
      <w:numFmt w:val="decimal"/>
      <w:lvlText w:val=""/>
      <w:lvlJc w:val="left"/>
    </w:lvl>
    <w:lvl w:ilvl="8" w:tplc="7FC2B85A">
      <w:numFmt w:val="decimal"/>
      <w:lvlText w:val=""/>
      <w:lvlJc w:val="left"/>
    </w:lvl>
  </w:abstractNum>
  <w:abstractNum w:abstractNumId="133" w15:restartNumberingAfterBreak="0">
    <w:nsid w:val="109972B3"/>
    <w:multiLevelType w:val="hybridMultilevel"/>
    <w:tmpl w:val="2180B79E"/>
    <w:lvl w:ilvl="0" w:tplc="DFFECEF6">
      <w:start w:val="1"/>
      <w:numFmt w:val="bullet"/>
      <w:lvlText w:val=""/>
      <w:lvlJc w:val="left"/>
      <w:pPr>
        <w:ind w:left="720" w:hanging="180"/>
      </w:pPr>
      <w:rPr>
        <w:rFonts w:ascii="Symbol" w:hAnsi="Symbol" w:hint="default"/>
      </w:rPr>
    </w:lvl>
    <w:lvl w:ilvl="1" w:tplc="3EA6E1AE">
      <w:numFmt w:val="decimal"/>
      <w:lvlText w:val=""/>
      <w:lvlJc w:val="left"/>
    </w:lvl>
    <w:lvl w:ilvl="2" w:tplc="5524A772">
      <w:numFmt w:val="decimal"/>
      <w:lvlText w:val=""/>
      <w:lvlJc w:val="left"/>
    </w:lvl>
    <w:lvl w:ilvl="3" w:tplc="7108C626">
      <w:numFmt w:val="decimal"/>
      <w:lvlText w:val=""/>
      <w:lvlJc w:val="left"/>
    </w:lvl>
    <w:lvl w:ilvl="4" w:tplc="2C52C19E">
      <w:numFmt w:val="decimal"/>
      <w:lvlText w:val=""/>
      <w:lvlJc w:val="left"/>
    </w:lvl>
    <w:lvl w:ilvl="5" w:tplc="483C94BC">
      <w:numFmt w:val="decimal"/>
      <w:lvlText w:val=""/>
      <w:lvlJc w:val="left"/>
    </w:lvl>
    <w:lvl w:ilvl="6" w:tplc="7C5676F0">
      <w:numFmt w:val="decimal"/>
      <w:lvlText w:val=""/>
      <w:lvlJc w:val="left"/>
    </w:lvl>
    <w:lvl w:ilvl="7" w:tplc="7AD22B42">
      <w:numFmt w:val="decimal"/>
      <w:lvlText w:val=""/>
      <w:lvlJc w:val="left"/>
    </w:lvl>
    <w:lvl w:ilvl="8" w:tplc="EFE00192">
      <w:numFmt w:val="decimal"/>
      <w:lvlText w:val=""/>
      <w:lvlJc w:val="left"/>
    </w:lvl>
  </w:abstractNum>
  <w:abstractNum w:abstractNumId="134" w15:restartNumberingAfterBreak="0">
    <w:nsid w:val="10A707E7"/>
    <w:multiLevelType w:val="hybridMultilevel"/>
    <w:tmpl w:val="C12E7CAE"/>
    <w:lvl w:ilvl="0" w:tplc="944A4E28">
      <w:start w:val="1"/>
      <w:numFmt w:val="bullet"/>
      <w:lvlText w:val=""/>
      <w:lvlJc w:val="left"/>
      <w:pPr>
        <w:ind w:left="720" w:hanging="180"/>
      </w:pPr>
      <w:rPr>
        <w:rFonts w:ascii="Symbol" w:hAnsi="Symbol" w:hint="default"/>
      </w:rPr>
    </w:lvl>
    <w:lvl w:ilvl="1" w:tplc="CCDE0FEC">
      <w:numFmt w:val="decimal"/>
      <w:lvlText w:val=""/>
      <w:lvlJc w:val="left"/>
    </w:lvl>
    <w:lvl w:ilvl="2" w:tplc="2F04F762">
      <w:numFmt w:val="decimal"/>
      <w:lvlText w:val=""/>
      <w:lvlJc w:val="left"/>
    </w:lvl>
    <w:lvl w:ilvl="3" w:tplc="25103D62">
      <w:numFmt w:val="decimal"/>
      <w:lvlText w:val=""/>
      <w:lvlJc w:val="left"/>
    </w:lvl>
    <w:lvl w:ilvl="4" w:tplc="4ECA2594">
      <w:numFmt w:val="decimal"/>
      <w:lvlText w:val=""/>
      <w:lvlJc w:val="left"/>
    </w:lvl>
    <w:lvl w:ilvl="5" w:tplc="2214DD06">
      <w:numFmt w:val="decimal"/>
      <w:lvlText w:val=""/>
      <w:lvlJc w:val="left"/>
    </w:lvl>
    <w:lvl w:ilvl="6" w:tplc="C39268C0">
      <w:numFmt w:val="decimal"/>
      <w:lvlText w:val=""/>
      <w:lvlJc w:val="left"/>
    </w:lvl>
    <w:lvl w:ilvl="7" w:tplc="0C2E8754">
      <w:numFmt w:val="decimal"/>
      <w:lvlText w:val=""/>
      <w:lvlJc w:val="left"/>
    </w:lvl>
    <w:lvl w:ilvl="8" w:tplc="05C6DEC8">
      <w:numFmt w:val="decimal"/>
      <w:lvlText w:val=""/>
      <w:lvlJc w:val="left"/>
    </w:lvl>
  </w:abstractNum>
  <w:abstractNum w:abstractNumId="135" w15:restartNumberingAfterBreak="0">
    <w:nsid w:val="10BC21D6"/>
    <w:multiLevelType w:val="hybridMultilevel"/>
    <w:tmpl w:val="A03ED78C"/>
    <w:lvl w:ilvl="0" w:tplc="A50C2BFA">
      <w:start w:val="1"/>
      <w:numFmt w:val="bullet"/>
      <w:lvlText w:val=""/>
      <w:lvlJc w:val="left"/>
      <w:pPr>
        <w:ind w:left="720" w:hanging="180"/>
      </w:pPr>
      <w:rPr>
        <w:rFonts w:ascii="Symbol" w:hAnsi="Symbol" w:hint="default"/>
      </w:rPr>
    </w:lvl>
    <w:lvl w:ilvl="1" w:tplc="8A9CFA2A">
      <w:numFmt w:val="decimal"/>
      <w:lvlText w:val=""/>
      <w:lvlJc w:val="left"/>
    </w:lvl>
    <w:lvl w:ilvl="2" w:tplc="E39C5D54">
      <w:numFmt w:val="decimal"/>
      <w:lvlText w:val=""/>
      <w:lvlJc w:val="left"/>
    </w:lvl>
    <w:lvl w:ilvl="3" w:tplc="DC3EC9C2">
      <w:numFmt w:val="decimal"/>
      <w:lvlText w:val=""/>
      <w:lvlJc w:val="left"/>
    </w:lvl>
    <w:lvl w:ilvl="4" w:tplc="9BD4B496">
      <w:numFmt w:val="decimal"/>
      <w:lvlText w:val=""/>
      <w:lvlJc w:val="left"/>
    </w:lvl>
    <w:lvl w:ilvl="5" w:tplc="9310782E">
      <w:numFmt w:val="decimal"/>
      <w:lvlText w:val=""/>
      <w:lvlJc w:val="left"/>
    </w:lvl>
    <w:lvl w:ilvl="6" w:tplc="178481EC">
      <w:numFmt w:val="decimal"/>
      <w:lvlText w:val=""/>
      <w:lvlJc w:val="left"/>
    </w:lvl>
    <w:lvl w:ilvl="7" w:tplc="C6484544">
      <w:numFmt w:val="decimal"/>
      <w:lvlText w:val=""/>
      <w:lvlJc w:val="left"/>
    </w:lvl>
    <w:lvl w:ilvl="8" w:tplc="AD1A37FC">
      <w:numFmt w:val="decimal"/>
      <w:lvlText w:val=""/>
      <w:lvlJc w:val="left"/>
    </w:lvl>
  </w:abstractNum>
  <w:abstractNum w:abstractNumId="136" w15:restartNumberingAfterBreak="0">
    <w:nsid w:val="10C04E28"/>
    <w:multiLevelType w:val="hybridMultilevel"/>
    <w:tmpl w:val="16C4B0A0"/>
    <w:lvl w:ilvl="0" w:tplc="705CEAF4">
      <w:start w:val="1"/>
      <w:numFmt w:val="bullet"/>
      <w:lvlText w:val=""/>
      <w:lvlJc w:val="left"/>
      <w:pPr>
        <w:ind w:left="720" w:hanging="180"/>
      </w:pPr>
      <w:rPr>
        <w:rFonts w:ascii="Symbol" w:hAnsi="Symbol" w:hint="default"/>
      </w:rPr>
    </w:lvl>
    <w:lvl w:ilvl="1" w:tplc="3B325E16">
      <w:numFmt w:val="decimal"/>
      <w:lvlText w:val=""/>
      <w:lvlJc w:val="left"/>
    </w:lvl>
    <w:lvl w:ilvl="2" w:tplc="F19E0556">
      <w:numFmt w:val="decimal"/>
      <w:lvlText w:val=""/>
      <w:lvlJc w:val="left"/>
    </w:lvl>
    <w:lvl w:ilvl="3" w:tplc="145EB526">
      <w:numFmt w:val="decimal"/>
      <w:lvlText w:val=""/>
      <w:lvlJc w:val="left"/>
    </w:lvl>
    <w:lvl w:ilvl="4" w:tplc="EE409AF2">
      <w:numFmt w:val="decimal"/>
      <w:lvlText w:val=""/>
      <w:lvlJc w:val="left"/>
    </w:lvl>
    <w:lvl w:ilvl="5" w:tplc="B6B01998">
      <w:numFmt w:val="decimal"/>
      <w:lvlText w:val=""/>
      <w:lvlJc w:val="left"/>
    </w:lvl>
    <w:lvl w:ilvl="6" w:tplc="60309604">
      <w:numFmt w:val="decimal"/>
      <w:lvlText w:val=""/>
      <w:lvlJc w:val="left"/>
    </w:lvl>
    <w:lvl w:ilvl="7" w:tplc="B548FD34">
      <w:numFmt w:val="decimal"/>
      <w:lvlText w:val=""/>
      <w:lvlJc w:val="left"/>
    </w:lvl>
    <w:lvl w:ilvl="8" w:tplc="5B1C9482">
      <w:numFmt w:val="decimal"/>
      <w:lvlText w:val=""/>
      <w:lvlJc w:val="left"/>
    </w:lvl>
  </w:abstractNum>
  <w:abstractNum w:abstractNumId="137" w15:restartNumberingAfterBreak="0">
    <w:nsid w:val="10CC0D6F"/>
    <w:multiLevelType w:val="hybridMultilevel"/>
    <w:tmpl w:val="0194DF60"/>
    <w:lvl w:ilvl="0" w:tplc="25E8B7F6">
      <w:start w:val="1"/>
      <w:numFmt w:val="bullet"/>
      <w:lvlText w:val=""/>
      <w:lvlJc w:val="left"/>
      <w:pPr>
        <w:ind w:left="720" w:hanging="180"/>
      </w:pPr>
      <w:rPr>
        <w:rFonts w:ascii="Symbol" w:hAnsi="Symbol" w:hint="default"/>
      </w:rPr>
    </w:lvl>
    <w:lvl w:ilvl="1" w:tplc="0A34D2CE">
      <w:numFmt w:val="decimal"/>
      <w:lvlText w:val=""/>
      <w:lvlJc w:val="left"/>
    </w:lvl>
    <w:lvl w:ilvl="2" w:tplc="A0067A36">
      <w:numFmt w:val="decimal"/>
      <w:lvlText w:val=""/>
      <w:lvlJc w:val="left"/>
    </w:lvl>
    <w:lvl w:ilvl="3" w:tplc="059229DE">
      <w:numFmt w:val="decimal"/>
      <w:lvlText w:val=""/>
      <w:lvlJc w:val="left"/>
    </w:lvl>
    <w:lvl w:ilvl="4" w:tplc="82E89610">
      <w:numFmt w:val="decimal"/>
      <w:lvlText w:val=""/>
      <w:lvlJc w:val="left"/>
    </w:lvl>
    <w:lvl w:ilvl="5" w:tplc="856CEC06">
      <w:numFmt w:val="decimal"/>
      <w:lvlText w:val=""/>
      <w:lvlJc w:val="left"/>
    </w:lvl>
    <w:lvl w:ilvl="6" w:tplc="5D44792E">
      <w:numFmt w:val="decimal"/>
      <w:lvlText w:val=""/>
      <w:lvlJc w:val="left"/>
    </w:lvl>
    <w:lvl w:ilvl="7" w:tplc="3B8E3F9A">
      <w:numFmt w:val="decimal"/>
      <w:lvlText w:val=""/>
      <w:lvlJc w:val="left"/>
    </w:lvl>
    <w:lvl w:ilvl="8" w:tplc="55503820">
      <w:numFmt w:val="decimal"/>
      <w:lvlText w:val=""/>
      <w:lvlJc w:val="left"/>
    </w:lvl>
  </w:abstractNum>
  <w:abstractNum w:abstractNumId="138" w15:restartNumberingAfterBreak="0">
    <w:nsid w:val="110B0AE5"/>
    <w:multiLevelType w:val="hybridMultilevel"/>
    <w:tmpl w:val="48181F96"/>
    <w:lvl w:ilvl="0" w:tplc="2886EA10">
      <w:start w:val="1"/>
      <w:numFmt w:val="bullet"/>
      <w:lvlText w:val=""/>
      <w:lvlJc w:val="left"/>
      <w:pPr>
        <w:ind w:left="720" w:hanging="180"/>
      </w:pPr>
      <w:rPr>
        <w:rFonts w:ascii="Symbol" w:hAnsi="Symbol" w:hint="default"/>
      </w:rPr>
    </w:lvl>
    <w:lvl w:ilvl="1" w:tplc="21ECE18C">
      <w:numFmt w:val="decimal"/>
      <w:lvlText w:val=""/>
      <w:lvlJc w:val="left"/>
    </w:lvl>
    <w:lvl w:ilvl="2" w:tplc="6CE4E9A0">
      <w:numFmt w:val="decimal"/>
      <w:lvlText w:val=""/>
      <w:lvlJc w:val="left"/>
    </w:lvl>
    <w:lvl w:ilvl="3" w:tplc="5CCC580A">
      <w:numFmt w:val="decimal"/>
      <w:lvlText w:val=""/>
      <w:lvlJc w:val="left"/>
    </w:lvl>
    <w:lvl w:ilvl="4" w:tplc="0C881EEA">
      <w:numFmt w:val="decimal"/>
      <w:lvlText w:val=""/>
      <w:lvlJc w:val="left"/>
    </w:lvl>
    <w:lvl w:ilvl="5" w:tplc="561624AC">
      <w:numFmt w:val="decimal"/>
      <w:lvlText w:val=""/>
      <w:lvlJc w:val="left"/>
    </w:lvl>
    <w:lvl w:ilvl="6" w:tplc="2DBA9488">
      <w:numFmt w:val="decimal"/>
      <w:lvlText w:val=""/>
      <w:lvlJc w:val="left"/>
    </w:lvl>
    <w:lvl w:ilvl="7" w:tplc="C8B6A928">
      <w:numFmt w:val="decimal"/>
      <w:lvlText w:val=""/>
      <w:lvlJc w:val="left"/>
    </w:lvl>
    <w:lvl w:ilvl="8" w:tplc="E902B136">
      <w:numFmt w:val="decimal"/>
      <w:lvlText w:val=""/>
      <w:lvlJc w:val="left"/>
    </w:lvl>
  </w:abstractNum>
  <w:abstractNum w:abstractNumId="139" w15:restartNumberingAfterBreak="0">
    <w:nsid w:val="116A497F"/>
    <w:multiLevelType w:val="hybridMultilevel"/>
    <w:tmpl w:val="C43E0AD0"/>
    <w:lvl w:ilvl="0" w:tplc="0876D2B0">
      <w:start w:val="1"/>
      <w:numFmt w:val="bullet"/>
      <w:lvlText w:val=""/>
      <w:lvlJc w:val="left"/>
      <w:pPr>
        <w:ind w:left="720" w:hanging="180"/>
      </w:pPr>
      <w:rPr>
        <w:rFonts w:ascii="Symbol" w:hAnsi="Symbol" w:hint="default"/>
      </w:rPr>
    </w:lvl>
    <w:lvl w:ilvl="1" w:tplc="3446D414">
      <w:numFmt w:val="decimal"/>
      <w:lvlText w:val=""/>
      <w:lvlJc w:val="left"/>
    </w:lvl>
    <w:lvl w:ilvl="2" w:tplc="BB567986">
      <w:numFmt w:val="decimal"/>
      <w:lvlText w:val=""/>
      <w:lvlJc w:val="left"/>
    </w:lvl>
    <w:lvl w:ilvl="3" w:tplc="A2423962">
      <w:numFmt w:val="decimal"/>
      <w:lvlText w:val=""/>
      <w:lvlJc w:val="left"/>
    </w:lvl>
    <w:lvl w:ilvl="4" w:tplc="C1A8DAD0">
      <w:numFmt w:val="decimal"/>
      <w:lvlText w:val=""/>
      <w:lvlJc w:val="left"/>
    </w:lvl>
    <w:lvl w:ilvl="5" w:tplc="EAC072EC">
      <w:numFmt w:val="decimal"/>
      <w:lvlText w:val=""/>
      <w:lvlJc w:val="left"/>
    </w:lvl>
    <w:lvl w:ilvl="6" w:tplc="6BECC6FA">
      <w:numFmt w:val="decimal"/>
      <w:lvlText w:val=""/>
      <w:lvlJc w:val="left"/>
    </w:lvl>
    <w:lvl w:ilvl="7" w:tplc="F88248E8">
      <w:numFmt w:val="decimal"/>
      <w:lvlText w:val=""/>
      <w:lvlJc w:val="left"/>
    </w:lvl>
    <w:lvl w:ilvl="8" w:tplc="3904A900">
      <w:numFmt w:val="decimal"/>
      <w:lvlText w:val=""/>
      <w:lvlJc w:val="left"/>
    </w:lvl>
  </w:abstractNum>
  <w:abstractNum w:abstractNumId="140" w15:restartNumberingAfterBreak="0">
    <w:nsid w:val="11756C11"/>
    <w:multiLevelType w:val="hybridMultilevel"/>
    <w:tmpl w:val="5342A1C2"/>
    <w:lvl w:ilvl="0" w:tplc="34D065C4">
      <w:start w:val="1"/>
      <w:numFmt w:val="bullet"/>
      <w:lvlText w:val=""/>
      <w:lvlJc w:val="left"/>
      <w:pPr>
        <w:ind w:left="720" w:hanging="180"/>
      </w:pPr>
      <w:rPr>
        <w:rFonts w:ascii="Symbol" w:hAnsi="Symbol" w:hint="default"/>
      </w:rPr>
    </w:lvl>
    <w:lvl w:ilvl="1" w:tplc="A998D680">
      <w:numFmt w:val="decimal"/>
      <w:lvlText w:val=""/>
      <w:lvlJc w:val="left"/>
    </w:lvl>
    <w:lvl w:ilvl="2" w:tplc="7EA4F0CC">
      <w:numFmt w:val="decimal"/>
      <w:lvlText w:val=""/>
      <w:lvlJc w:val="left"/>
    </w:lvl>
    <w:lvl w:ilvl="3" w:tplc="4CD26624">
      <w:numFmt w:val="decimal"/>
      <w:lvlText w:val=""/>
      <w:lvlJc w:val="left"/>
    </w:lvl>
    <w:lvl w:ilvl="4" w:tplc="D60C0310">
      <w:numFmt w:val="decimal"/>
      <w:lvlText w:val=""/>
      <w:lvlJc w:val="left"/>
    </w:lvl>
    <w:lvl w:ilvl="5" w:tplc="CDA4C164">
      <w:numFmt w:val="decimal"/>
      <w:lvlText w:val=""/>
      <w:lvlJc w:val="left"/>
    </w:lvl>
    <w:lvl w:ilvl="6" w:tplc="B97A11B4">
      <w:numFmt w:val="decimal"/>
      <w:lvlText w:val=""/>
      <w:lvlJc w:val="left"/>
    </w:lvl>
    <w:lvl w:ilvl="7" w:tplc="92B0F30E">
      <w:numFmt w:val="decimal"/>
      <w:lvlText w:val=""/>
      <w:lvlJc w:val="left"/>
    </w:lvl>
    <w:lvl w:ilvl="8" w:tplc="EDB492BE">
      <w:numFmt w:val="decimal"/>
      <w:lvlText w:val=""/>
      <w:lvlJc w:val="left"/>
    </w:lvl>
  </w:abstractNum>
  <w:abstractNum w:abstractNumId="141" w15:restartNumberingAfterBreak="0">
    <w:nsid w:val="11772C8E"/>
    <w:multiLevelType w:val="hybridMultilevel"/>
    <w:tmpl w:val="D9808CEC"/>
    <w:lvl w:ilvl="0" w:tplc="C3A2C61A">
      <w:start w:val="1"/>
      <w:numFmt w:val="bullet"/>
      <w:lvlText w:val=""/>
      <w:lvlJc w:val="left"/>
      <w:pPr>
        <w:ind w:left="720" w:hanging="180"/>
      </w:pPr>
      <w:rPr>
        <w:rFonts w:ascii="Symbol" w:hAnsi="Symbol" w:hint="default"/>
      </w:rPr>
    </w:lvl>
    <w:lvl w:ilvl="1" w:tplc="57BC4726">
      <w:numFmt w:val="decimal"/>
      <w:lvlText w:val=""/>
      <w:lvlJc w:val="left"/>
    </w:lvl>
    <w:lvl w:ilvl="2" w:tplc="FB361380">
      <w:numFmt w:val="decimal"/>
      <w:lvlText w:val=""/>
      <w:lvlJc w:val="left"/>
    </w:lvl>
    <w:lvl w:ilvl="3" w:tplc="7C426DC0">
      <w:numFmt w:val="decimal"/>
      <w:lvlText w:val=""/>
      <w:lvlJc w:val="left"/>
    </w:lvl>
    <w:lvl w:ilvl="4" w:tplc="BB565C0A">
      <w:numFmt w:val="decimal"/>
      <w:lvlText w:val=""/>
      <w:lvlJc w:val="left"/>
    </w:lvl>
    <w:lvl w:ilvl="5" w:tplc="7FDE0022">
      <w:numFmt w:val="decimal"/>
      <w:lvlText w:val=""/>
      <w:lvlJc w:val="left"/>
    </w:lvl>
    <w:lvl w:ilvl="6" w:tplc="6BC4A3D2">
      <w:numFmt w:val="decimal"/>
      <w:lvlText w:val=""/>
      <w:lvlJc w:val="left"/>
    </w:lvl>
    <w:lvl w:ilvl="7" w:tplc="27542224">
      <w:numFmt w:val="decimal"/>
      <w:lvlText w:val=""/>
      <w:lvlJc w:val="left"/>
    </w:lvl>
    <w:lvl w:ilvl="8" w:tplc="1BFACA5C">
      <w:numFmt w:val="decimal"/>
      <w:lvlText w:val=""/>
      <w:lvlJc w:val="left"/>
    </w:lvl>
  </w:abstractNum>
  <w:abstractNum w:abstractNumId="142" w15:restartNumberingAfterBreak="0">
    <w:nsid w:val="11855E29"/>
    <w:multiLevelType w:val="hybridMultilevel"/>
    <w:tmpl w:val="13085D4C"/>
    <w:lvl w:ilvl="0" w:tplc="81700C02">
      <w:numFmt w:val="decimal"/>
      <w:lvlText w:val=""/>
      <w:lvlJc w:val="left"/>
    </w:lvl>
    <w:lvl w:ilvl="1" w:tplc="26D4F164">
      <w:start w:val="1"/>
      <w:numFmt w:val="bullet"/>
      <w:lvlText w:val=""/>
      <w:lvlJc w:val="left"/>
      <w:pPr>
        <w:ind w:left="1440" w:hanging="180"/>
      </w:pPr>
      <w:rPr>
        <w:rFonts w:ascii="Symbol" w:hAnsi="Symbol" w:hint="default"/>
      </w:rPr>
    </w:lvl>
    <w:lvl w:ilvl="2" w:tplc="2D7091E2">
      <w:numFmt w:val="decimal"/>
      <w:lvlText w:val=""/>
      <w:lvlJc w:val="left"/>
    </w:lvl>
    <w:lvl w:ilvl="3" w:tplc="FFD07424">
      <w:numFmt w:val="decimal"/>
      <w:lvlText w:val=""/>
      <w:lvlJc w:val="left"/>
    </w:lvl>
    <w:lvl w:ilvl="4" w:tplc="27067178">
      <w:numFmt w:val="decimal"/>
      <w:lvlText w:val=""/>
      <w:lvlJc w:val="left"/>
    </w:lvl>
    <w:lvl w:ilvl="5" w:tplc="7702EB92">
      <w:numFmt w:val="decimal"/>
      <w:lvlText w:val=""/>
      <w:lvlJc w:val="left"/>
    </w:lvl>
    <w:lvl w:ilvl="6" w:tplc="DE70ECD2">
      <w:numFmt w:val="decimal"/>
      <w:lvlText w:val=""/>
      <w:lvlJc w:val="left"/>
    </w:lvl>
    <w:lvl w:ilvl="7" w:tplc="DA06BB9A">
      <w:numFmt w:val="decimal"/>
      <w:lvlText w:val=""/>
      <w:lvlJc w:val="left"/>
    </w:lvl>
    <w:lvl w:ilvl="8" w:tplc="7E9CB882">
      <w:numFmt w:val="decimal"/>
      <w:lvlText w:val=""/>
      <w:lvlJc w:val="left"/>
    </w:lvl>
  </w:abstractNum>
  <w:abstractNum w:abstractNumId="143" w15:restartNumberingAfterBreak="0">
    <w:nsid w:val="11A404FC"/>
    <w:multiLevelType w:val="hybridMultilevel"/>
    <w:tmpl w:val="BFC0A420"/>
    <w:lvl w:ilvl="0" w:tplc="E4146568">
      <w:start w:val="1"/>
      <w:numFmt w:val="bullet"/>
      <w:lvlText w:val=""/>
      <w:lvlJc w:val="left"/>
      <w:pPr>
        <w:ind w:left="720" w:hanging="180"/>
      </w:pPr>
      <w:rPr>
        <w:rFonts w:ascii="Symbol" w:hAnsi="Symbol" w:hint="default"/>
      </w:rPr>
    </w:lvl>
    <w:lvl w:ilvl="1" w:tplc="C2B6704E">
      <w:numFmt w:val="decimal"/>
      <w:lvlText w:val=""/>
      <w:lvlJc w:val="left"/>
    </w:lvl>
    <w:lvl w:ilvl="2" w:tplc="DD0826B0">
      <w:numFmt w:val="decimal"/>
      <w:lvlText w:val=""/>
      <w:lvlJc w:val="left"/>
    </w:lvl>
    <w:lvl w:ilvl="3" w:tplc="9578A9D4">
      <w:numFmt w:val="decimal"/>
      <w:lvlText w:val=""/>
      <w:lvlJc w:val="left"/>
    </w:lvl>
    <w:lvl w:ilvl="4" w:tplc="9BFA64AC">
      <w:numFmt w:val="decimal"/>
      <w:lvlText w:val=""/>
      <w:lvlJc w:val="left"/>
    </w:lvl>
    <w:lvl w:ilvl="5" w:tplc="97F4DA4A">
      <w:numFmt w:val="decimal"/>
      <w:lvlText w:val=""/>
      <w:lvlJc w:val="left"/>
    </w:lvl>
    <w:lvl w:ilvl="6" w:tplc="E85A5036">
      <w:numFmt w:val="decimal"/>
      <w:lvlText w:val=""/>
      <w:lvlJc w:val="left"/>
    </w:lvl>
    <w:lvl w:ilvl="7" w:tplc="A60C97BE">
      <w:numFmt w:val="decimal"/>
      <w:lvlText w:val=""/>
      <w:lvlJc w:val="left"/>
    </w:lvl>
    <w:lvl w:ilvl="8" w:tplc="FCC82840">
      <w:numFmt w:val="decimal"/>
      <w:lvlText w:val=""/>
      <w:lvlJc w:val="left"/>
    </w:lvl>
  </w:abstractNum>
  <w:abstractNum w:abstractNumId="144" w15:restartNumberingAfterBreak="0">
    <w:nsid w:val="11DC6937"/>
    <w:multiLevelType w:val="hybridMultilevel"/>
    <w:tmpl w:val="60447102"/>
    <w:lvl w:ilvl="0" w:tplc="D69816F0">
      <w:start w:val="1"/>
      <w:numFmt w:val="bullet"/>
      <w:lvlText w:val=""/>
      <w:lvlJc w:val="left"/>
      <w:pPr>
        <w:ind w:left="720" w:hanging="180"/>
      </w:pPr>
      <w:rPr>
        <w:rFonts w:ascii="Symbol" w:hAnsi="Symbol" w:hint="default"/>
      </w:rPr>
    </w:lvl>
    <w:lvl w:ilvl="1" w:tplc="33D4A2A2">
      <w:numFmt w:val="decimal"/>
      <w:lvlText w:val=""/>
      <w:lvlJc w:val="left"/>
    </w:lvl>
    <w:lvl w:ilvl="2" w:tplc="D31C63D6">
      <w:numFmt w:val="decimal"/>
      <w:lvlText w:val=""/>
      <w:lvlJc w:val="left"/>
    </w:lvl>
    <w:lvl w:ilvl="3" w:tplc="9A5C3EB0">
      <w:numFmt w:val="decimal"/>
      <w:lvlText w:val=""/>
      <w:lvlJc w:val="left"/>
    </w:lvl>
    <w:lvl w:ilvl="4" w:tplc="346C8572">
      <w:numFmt w:val="decimal"/>
      <w:lvlText w:val=""/>
      <w:lvlJc w:val="left"/>
    </w:lvl>
    <w:lvl w:ilvl="5" w:tplc="E3CCA4F4">
      <w:numFmt w:val="decimal"/>
      <w:lvlText w:val=""/>
      <w:lvlJc w:val="left"/>
    </w:lvl>
    <w:lvl w:ilvl="6" w:tplc="D4EE391C">
      <w:numFmt w:val="decimal"/>
      <w:lvlText w:val=""/>
      <w:lvlJc w:val="left"/>
    </w:lvl>
    <w:lvl w:ilvl="7" w:tplc="750CAD0A">
      <w:numFmt w:val="decimal"/>
      <w:lvlText w:val=""/>
      <w:lvlJc w:val="left"/>
    </w:lvl>
    <w:lvl w:ilvl="8" w:tplc="D17AF0D8">
      <w:numFmt w:val="decimal"/>
      <w:lvlText w:val=""/>
      <w:lvlJc w:val="left"/>
    </w:lvl>
  </w:abstractNum>
  <w:abstractNum w:abstractNumId="145" w15:restartNumberingAfterBreak="0">
    <w:nsid w:val="1206114E"/>
    <w:multiLevelType w:val="hybridMultilevel"/>
    <w:tmpl w:val="0E2AE64A"/>
    <w:lvl w:ilvl="0" w:tplc="3C40BB6A">
      <w:start w:val="1"/>
      <w:numFmt w:val="bullet"/>
      <w:lvlText w:val=""/>
      <w:lvlJc w:val="left"/>
      <w:pPr>
        <w:ind w:left="720" w:hanging="180"/>
      </w:pPr>
      <w:rPr>
        <w:rFonts w:ascii="Symbol" w:hAnsi="Symbol" w:hint="default"/>
      </w:rPr>
    </w:lvl>
    <w:lvl w:ilvl="1" w:tplc="80CEE53E">
      <w:numFmt w:val="decimal"/>
      <w:lvlText w:val=""/>
      <w:lvlJc w:val="left"/>
    </w:lvl>
    <w:lvl w:ilvl="2" w:tplc="29C25FCA">
      <w:numFmt w:val="decimal"/>
      <w:lvlText w:val=""/>
      <w:lvlJc w:val="left"/>
    </w:lvl>
    <w:lvl w:ilvl="3" w:tplc="365CBAFA">
      <w:numFmt w:val="decimal"/>
      <w:lvlText w:val=""/>
      <w:lvlJc w:val="left"/>
    </w:lvl>
    <w:lvl w:ilvl="4" w:tplc="9F54EB0A">
      <w:numFmt w:val="decimal"/>
      <w:lvlText w:val=""/>
      <w:lvlJc w:val="left"/>
    </w:lvl>
    <w:lvl w:ilvl="5" w:tplc="6CE27910">
      <w:numFmt w:val="decimal"/>
      <w:lvlText w:val=""/>
      <w:lvlJc w:val="left"/>
    </w:lvl>
    <w:lvl w:ilvl="6" w:tplc="FD6478CC">
      <w:numFmt w:val="decimal"/>
      <w:lvlText w:val=""/>
      <w:lvlJc w:val="left"/>
    </w:lvl>
    <w:lvl w:ilvl="7" w:tplc="95567790">
      <w:numFmt w:val="decimal"/>
      <w:lvlText w:val=""/>
      <w:lvlJc w:val="left"/>
    </w:lvl>
    <w:lvl w:ilvl="8" w:tplc="3C76CBD4">
      <w:numFmt w:val="decimal"/>
      <w:lvlText w:val=""/>
      <w:lvlJc w:val="left"/>
    </w:lvl>
  </w:abstractNum>
  <w:abstractNum w:abstractNumId="146" w15:restartNumberingAfterBreak="0">
    <w:nsid w:val="123105FF"/>
    <w:multiLevelType w:val="hybridMultilevel"/>
    <w:tmpl w:val="632C1C58"/>
    <w:lvl w:ilvl="0" w:tplc="E4D2FDDE">
      <w:start w:val="1"/>
      <w:numFmt w:val="bullet"/>
      <w:lvlText w:val=""/>
      <w:lvlJc w:val="left"/>
      <w:pPr>
        <w:ind w:left="720" w:hanging="180"/>
      </w:pPr>
      <w:rPr>
        <w:rFonts w:ascii="Symbol" w:hAnsi="Symbol" w:hint="default"/>
      </w:rPr>
    </w:lvl>
    <w:lvl w:ilvl="1" w:tplc="C12A0A34">
      <w:numFmt w:val="decimal"/>
      <w:lvlText w:val=""/>
      <w:lvlJc w:val="left"/>
    </w:lvl>
    <w:lvl w:ilvl="2" w:tplc="B330B072">
      <w:numFmt w:val="decimal"/>
      <w:lvlText w:val=""/>
      <w:lvlJc w:val="left"/>
    </w:lvl>
    <w:lvl w:ilvl="3" w:tplc="8986783A">
      <w:numFmt w:val="decimal"/>
      <w:lvlText w:val=""/>
      <w:lvlJc w:val="left"/>
    </w:lvl>
    <w:lvl w:ilvl="4" w:tplc="BE763FF2">
      <w:numFmt w:val="decimal"/>
      <w:lvlText w:val=""/>
      <w:lvlJc w:val="left"/>
    </w:lvl>
    <w:lvl w:ilvl="5" w:tplc="997A67EE">
      <w:numFmt w:val="decimal"/>
      <w:lvlText w:val=""/>
      <w:lvlJc w:val="left"/>
    </w:lvl>
    <w:lvl w:ilvl="6" w:tplc="B3D0D614">
      <w:numFmt w:val="decimal"/>
      <w:lvlText w:val=""/>
      <w:lvlJc w:val="left"/>
    </w:lvl>
    <w:lvl w:ilvl="7" w:tplc="5A8C1AC2">
      <w:numFmt w:val="decimal"/>
      <w:lvlText w:val=""/>
      <w:lvlJc w:val="left"/>
    </w:lvl>
    <w:lvl w:ilvl="8" w:tplc="F51CEE90">
      <w:numFmt w:val="decimal"/>
      <w:lvlText w:val=""/>
      <w:lvlJc w:val="left"/>
    </w:lvl>
  </w:abstractNum>
  <w:abstractNum w:abstractNumId="147" w15:restartNumberingAfterBreak="0">
    <w:nsid w:val="1232448E"/>
    <w:multiLevelType w:val="hybridMultilevel"/>
    <w:tmpl w:val="90628D06"/>
    <w:lvl w:ilvl="0" w:tplc="9C005122">
      <w:start w:val="1"/>
      <w:numFmt w:val="bullet"/>
      <w:lvlText w:val=""/>
      <w:lvlJc w:val="left"/>
      <w:pPr>
        <w:ind w:left="720" w:hanging="180"/>
      </w:pPr>
      <w:rPr>
        <w:rFonts w:ascii="Symbol" w:hAnsi="Symbol" w:hint="default"/>
      </w:rPr>
    </w:lvl>
    <w:lvl w:ilvl="1" w:tplc="DA8E318C">
      <w:numFmt w:val="decimal"/>
      <w:lvlText w:val=""/>
      <w:lvlJc w:val="left"/>
    </w:lvl>
    <w:lvl w:ilvl="2" w:tplc="117662E6">
      <w:numFmt w:val="decimal"/>
      <w:lvlText w:val=""/>
      <w:lvlJc w:val="left"/>
    </w:lvl>
    <w:lvl w:ilvl="3" w:tplc="A45265CE">
      <w:numFmt w:val="decimal"/>
      <w:lvlText w:val=""/>
      <w:lvlJc w:val="left"/>
    </w:lvl>
    <w:lvl w:ilvl="4" w:tplc="11DC922E">
      <w:numFmt w:val="decimal"/>
      <w:lvlText w:val=""/>
      <w:lvlJc w:val="left"/>
    </w:lvl>
    <w:lvl w:ilvl="5" w:tplc="7D00D6E0">
      <w:numFmt w:val="decimal"/>
      <w:lvlText w:val=""/>
      <w:lvlJc w:val="left"/>
    </w:lvl>
    <w:lvl w:ilvl="6" w:tplc="D7CAF6CC">
      <w:numFmt w:val="decimal"/>
      <w:lvlText w:val=""/>
      <w:lvlJc w:val="left"/>
    </w:lvl>
    <w:lvl w:ilvl="7" w:tplc="B4E2DE7C">
      <w:numFmt w:val="decimal"/>
      <w:lvlText w:val=""/>
      <w:lvlJc w:val="left"/>
    </w:lvl>
    <w:lvl w:ilvl="8" w:tplc="F2786656">
      <w:numFmt w:val="decimal"/>
      <w:lvlText w:val=""/>
      <w:lvlJc w:val="left"/>
    </w:lvl>
  </w:abstractNum>
  <w:abstractNum w:abstractNumId="148" w15:restartNumberingAfterBreak="0">
    <w:nsid w:val="12574EAD"/>
    <w:multiLevelType w:val="hybridMultilevel"/>
    <w:tmpl w:val="FC2E3AF0"/>
    <w:lvl w:ilvl="0" w:tplc="7728BB34">
      <w:start w:val="1"/>
      <w:numFmt w:val="bullet"/>
      <w:lvlText w:val=""/>
      <w:lvlJc w:val="left"/>
      <w:pPr>
        <w:ind w:left="720" w:hanging="180"/>
      </w:pPr>
      <w:rPr>
        <w:rFonts w:ascii="Symbol" w:hAnsi="Symbol" w:hint="default"/>
      </w:rPr>
    </w:lvl>
    <w:lvl w:ilvl="1" w:tplc="55480074">
      <w:numFmt w:val="decimal"/>
      <w:lvlText w:val=""/>
      <w:lvlJc w:val="left"/>
    </w:lvl>
    <w:lvl w:ilvl="2" w:tplc="A25ACEDA">
      <w:numFmt w:val="decimal"/>
      <w:lvlText w:val=""/>
      <w:lvlJc w:val="left"/>
    </w:lvl>
    <w:lvl w:ilvl="3" w:tplc="12825DFC">
      <w:numFmt w:val="decimal"/>
      <w:lvlText w:val=""/>
      <w:lvlJc w:val="left"/>
    </w:lvl>
    <w:lvl w:ilvl="4" w:tplc="161C6D92">
      <w:numFmt w:val="decimal"/>
      <w:lvlText w:val=""/>
      <w:lvlJc w:val="left"/>
    </w:lvl>
    <w:lvl w:ilvl="5" w:tplc="E14A5ABA">
      <w:numFmt w:val="decimal"/>
      <w:lvlText w:val=""/>
      <w:lvlJc w:val="left"/>
    </w:lvl>
    <w:lvl w:ilvl="6" w:tplc="2C2AA8BE">
      <w:numFmt w:val="decimal"/>
      <w:lvlText w:val=""/>
      <w:lvlJc w:val="left"/>
    </w:lvl>
    <w:lvl w:ilvl="7" w:tplc="36688A4C">
      <w:numFmt w:val="decimal"/>
      <w:lvlText w:val=""/>
      <w:lvlJc w:val="left"/>
    </w:lvl>
    <w:lvl w:ilvl="8" w:tplc="19260EA8">
      <w:numFmt w:val="decimal"/>
      <w:lvlText w:val=""/>
      <w:lvlJc w:val="left"/>
    </w:lvl>
  </w:abstractNum>
  <w:abstractNum w:abstractNumId="149" w15:restartNumberingAfterBreak="0">
    <w:nsid w:val="12631CC8"/>
    <w:multiLevelType w:val="hybridMultilevel"/>
    <w:tmpl w:val="A358E41C"/>
    <w:lvl w:ilvl="0" w:tplc="82429C0A">
      <w:numFmt w:val="decimal"/>
      <w:lvlText w:val=""/>
      <w:lvlJc w:val="left"/>
    </w:lvl>
    <w:lvl w:ilvl="1" w:tplc="B09E08DA">
      <w:start w:val="1"/>
      <w:numFmt w:val="bullet"/>
      <w:lvlText w:val=""/>
      <w:lvlJc w:val="left"/>
      <w:pPr>
        <w:ind w:left="1440" w:hanging="180"/>
      </w:pPr>
      <w:rPr>
        <w:rFonts w:ascii="Symbol" w:hAnsi="Symbol" w:hint="default"/>
      </w:rPr>
    </w:lvl>
    <w:lvl w:ilvl="2" w:tplc="FC26DF10">
      <w:numFmt w:val="decimal"/>
      <w:lvlText w:val=""/>
      <w:lvlJc w:val="left"/>
    </w:lvl>
    <w:lvl w:ilvl="3" w:tplc="F14800FA">
      <w:numFmt w:val="decimal"/>
      <w:lvlText w:val=""/>
      <w:lvlJc w:val="left"/>
    </w:lvl>
    <w:lvl w:ilvl="4" w:tplc="ED765B74">
      <w:numFmt w:val="decimal"/>
      <w:lvlText w:val=""/>
      <w:lvlJc w:val="left"/>
    </w:lvl>
    <w:lvl w:ilvl="5" w:tplc="F8C06F18">
      <w:numFmt w:val="decimal"/>
      <w:lvlText w:val=""/>
      <w:lvlJc w:val="left"/>
    </w:lvl>
    <w:lvl w:ilvl="6" w:tplc="5B728428">
      <w:numFmt w:val="decimal"/>
      <w:lvlText w:val=""/>
      <w:lvlJc w:val="left"/>
    </w:lvl>
    <w:lvl w:ilvl="7" w:tplc="60FE4636">
      <w:numFmt w:val="decimal"/>
      <w:lvlText w:val=""/>
      <w:lvlJc w:val="left"/>
    </w:lvl>
    <w:lvl w:ilvl="8" w:tplc="D3FE3AEC">
      <w:numFmt w:val="decimal"/>
      <w:lvlText w:val=""/>
      <w:lvlJc w:val="left"/>
    </w:lvl>
  </w:abstractNum>
  <w:abstractNum w:abstractNumId="150" w15:restartNumberingAfterBreak="0">
    <w:nsid w:val="126F6E93"/>
    <w:multiLevelType w:val="hybridMultilevel"/>
    <w:tmpl w:val="A5A2C42C"/>
    <w:lvl w:ilvl="0" w:tplc="84B8EA30">
      <w:start w:val="1"/>
      <w:numFmt w:val="bullet"/>
      <w:lvlText w:val=""/>
      <w:lvlJc w:val="left"/>
      <w:pPr>
        <w:ind w:left="720" w:hanging="180"/>
      </w:pPr>
      <w:rPr>
        <w:rFonts w:ascii="Symbol" w:hAnsi="Symbol" w:hint="default"/>
      </w:rPr>
    </w:lvl>
    <w:lvl w:ilvl="1" w:tplc="F7A2CBD0">
      <w:numFmt w:val="decimal"/>
      <w:lvlText w:val=""/>
      <w:lvlJc w:val="left"/>
    </w:lvl>
    <w:lvl w:ilvl="2" w:tplc="813C4AB0">
      <w:numFmt w:val="decimal"/>
      <w:lvlText w:val=""/>
      <w:lvlJc w:val="left"/>
    </w:lvl>
    <w:lvl w:ilvl="3" w:tplc="DA966F42">
      <w:numFmt w:val="decimal"/>
      <w:lvlText w:val=""/>
      <w:lvlJc w:val="left"/>
    </w:lvl>
    <w:lvl w:ilvl="4" w:tplc="92F2B14C">
      <w:numFmt w:val="decimal"/>
      <w:lvlText w:val=""/>
      <w:lvlJc w:val="left"/>
    </w:lvl>
    <w:lvl w:ilvl="5" w:tplc="4260D0E0">
      <w:numFmt w:val="decimal"/>
      <w:lvlText w:val=""/>
      <w:lvlJc w:val="left"/>
    </w:lvl>
    <w:lvl w:ilvl="6" w:tplc="C05E5E22">
      <w:numFmt w:val="decimal"/>
      <w:lvlText w:val=""/>
      <w:lvlJc w:val="left"/>
    </w:lvl>
    <w:lvl w:ilvl="7" w:tplc="9F3C4CB4">
      <w:numFmt w:val="decimal"/>
      <w:lvlText w:val=""/>
      <w:lvlJc w:val="left"/>
    </w:lvl>
    <w:lvl w:ilvl="8" w:tplc="0F2C82F6">
      <w:numFmt w:val="decimal"/>
      <w:lvlText w:val=""/>
      <w:lvlJc w:val="left"/>
    </w:lvl>
  </w:abstractNum>
  <w:abstractNum w:abstractNumId="151" w15:restartNumberingAfterBreak="0">
    <w:nsid w:val="127964AC"/>
    <w:multiLevelType w:val="hybridMultilevel"/>
    <w:tmpl w:val="A88A4DC8"/>
    <w:lvl w:ilvl="0" w:tplc="80EC5378">
      <w:start w:val="1"/>
      <w:numFmt w:val="bullet"/>
      <w:lvlText w:val=""/>
      <w:lvlJc w:val="left"/>
      <w:pPr>
        <w:ind w:left="720" w:hanging="180"/>
      </w:pPr>
      <w:rPr>
        <w:rFonts w:ascii="Symbol" w:hAnsi="Symbol" w:hint="default"/>
      </w:rPr>
    </w:lvl>
    <w:lvl w:ilvl="1" w:tplc="A714494A">
      <w:numFmt w:val="decimal"/>
      <w:lvlText w:val=""/>
      <w:lvlJc w:val="left"/>
    </w:lvl>
    <w:lvl w:ilvl="2" w:tplc="08F4E8FA">
      <w:numFmt w:val="decimal"/>
      <w:lvlText w:val=""/>
      <w:lvlJc w:val="left"/>
    </w:lvl>
    <w:lvl w:ilvl="3" w:tplc="5A8C3042">
      <w:numFmt w:val="decimal"/>
      <w:lvlText w:val=""/>
      <w:lvlJc w:val="left"/>
    </w:lvl>
    <w:lvl w:ilvl="4" w:tplc="D6F02F46">
      <w:numFmt w:val="decimal"/>
      <w:lvlText w:val=""/>
      <w:lvlJc w:val="left"/>
    </w:lvl>
    <w:lvl w:ilvl="5" w:tplc="E2A68646">
      <w:numFmt w:val="decimal"/>
      <w:lvlText w:val=""/>
      <w:lvlJc w:val="left"/>
    </w:lvl>
    <w:lvl w:ilvl="6" w:tplc="B3ECF86A">
      <w:numFmt w:val="decimal"/>
      <w:lvlText w:val=""/>
      <w:lvlJc w:val="left"/>
    </w:lvl>
    <w:lvl w:ilvl="7" w:tplc="89AE6F24">
      <w:numFmt w:val="decimal"/>
      <w:lvlText w:val=""/>
      <w:lvlJc w:val="left"/>
    </w:lvl>
    <w:lvl w:ilvl="8" w:tplc="438251C6">
      <w:numFmt w:val="decimal"/>
      <w:lvlText w:val=""/>
      <w:lvlJc w:val="left"/>
    </w:lvl>
  </w:abstractNum>
  <w:abstractNum w:abstractNumId="152" w15:restartNumberingAfterBreak="0">
    <w:nsid w:val="12806F00"/>
    <w:multiLevelType w:val="hybridMultilevel"/>
    <w:tmpl w:val="59BE44C0"/>
    <w:lvl w:ilvl="0" w:tplc="D292DF9A">
      <w:start w:val="1"/>
      <w:numFmt w:val="bullet"/>
      <w:lvlText w:val=""/>
      <w:lvlJc w:val="left"/>
      <w:pPr>
        <w:ind w:left="720" w:hanging="180"/>
      </w:pPr>
      <w:rPr>
        <w:rFonts w:ascii="Symbol" w:hAnsi="Symbol" w:hint="default"/>
      </w:rPr>
    </w:lvl>
    <w:lvl w:ilvl="1" w:tplc="B24A757E">
      <w:numFmt w:val="decimal"/>
      <w:lvlText w:val=""/>
      <w:lvlJc w:val="left"/>
    </w:lvl>
    <w:lvl w:ilvl="2" w:tplc="F668740A">
      <w:numFmt w:val="decimal"/>
      <w:lvlText w:val=""/>
      <w:lvlJc w:val="left"/>
    </w:lvl>
    <w:lvl w:ilvl="3" w:tplc="FC88B7C6">
      <w:numFmt w:val="decimal"/>
      <w:lvlText w:val=""/>
      <w:lvlJc w:val="left"/>
    </w:lvl>
    <w:lvl w:ilvl="4" w:tplc="CBD43182">
      <w:numFmt w:val="decimal"/>
      <w:lvlText w:val=""/>
      <w:lvlJc w:val="left"/>
    </w:lvl>
    <w:lvl w:ilvl="5" w:tplc="9A0EB0B4">
      <w:numFmt w:val="decimal"/>
      <w:lvlText w:val=""/>
      <w:lvlJc w:val="left"/>
    </w:lvl>
    <w:lvl w:ilvl="6" w:tplc="5C9EAFD2">
      <w:numFmt w:val="decimal"/>
      <w:lvlText w:val=""/>
      <w:lvlJc w:val="left"/>
    </w:lvl>
    <w:lvl w:ilvl="7" w:tplc="A1F25868">
      <w:numFmt w:val="decimal"/>
      <w:lvlText w:val=""/>
      <w:lvlJc w:val="left"/>
    </w:lvl>
    <w:lvl w:ilvl="8" w:tplc="F196C02A">
      <w:numFmt w:val="decimal"/>
      <w:lvlText w:val=""/>
      <w:lvlJc w:val="left"/>
    </w:lvl>
  </w:abstractNum>
  <w:abstractNum w:abstractNumId="153" w15:restartNumberingAfterBreak="0">
    <w:nsid w:val="12811D94"/>
    <w:multiLevelType w:val="hybridMultilevel"/>
    <w:tmpl w:val="CB787748"/>
    <w:lvl w:ilvl="0" w:tplc="9A02B8B8">
      <w:start w:val="1"/>
      <w:numFmt w:val="bullet"/>
      <w:lvlText w:val=""/>
      <w:lvlJc w:val="left"/>
      <w:pPr>
        <w:ind w:left="720" w:hanging="180"/>
      </w:pPr>
      <w:rPr>
        <w:rFonts w:ascii="Symbol" w:hAnsi="Symbol" w:hint="default"/>
      </w:rPr>
    </w:lvl>
    <w:lvl w:ilvl="1" w:tplc="11487EB0">
      <w:numFmt w:val="decimal"/>
      <w:lvlText w:val=""/>
      <w:lvlJc w:val="left"/>
    </w:lvl>
    <w:lvl w:ilvl="2" w:tplc="914EDF68">
      <w:numFmt w:val="decimal"/>
      <w:lvlText w:val=""/>
      <w:lvlJc w:val="left"/>
    </w:lvl>
    <w:lvl w:ilvl="3" w:tplc="5A54E03A">
      <w:numFmt w:val="decimal"/>
      <w:lvlText w:val=""/>
      <w:lvlJc w:val="left"/>
    </w:lvl>
    <w:lvl w:ilvl="4" w:tplc="C3FAE17E">
      <w:numFmt w:val="decimal"/>
      <w:lvlText w:val=""/>
      <w:lvlJc w:val="left"/>
    </w:lvl>
    <w:lvl w:ilvl="5" w:tplc="3D148678">
      <w:numFmt w:val="decimal"/>
      <w:lvlText w:val=""/>
      <w:lvlJc w:val="left"/>
    </w:lvl>
    <w:lvl w:ilvl="6" w:tplc="53984882">
      <w:numFmt w:val="decimal"/>
      <w:lvlText w:val=""/>
      <w:lvlJc w:val="left"/>
    </w:lvl>
    <w:lvl w:ilvl="7" w:tplc="EF0E73CA">
      <w:numFmt w:val="decimal"/>
      <w:lvlText w:val=""/>
      <w:lvlJc w:val="left"/>
    </w:lvl>
    <w:lvl w:ilvl="8" w:tplc="9B686EA2">
      <w:numFmt w:val="decimal"/>
      <w:lvlText w:val=""/>
      <w:lvlJc w:val="left"/>
    </w:lvl>
  </w:abstractNum>
  <w:abstractNum w:abstractNumId="154" w15:restartNumberingAfterBreak="0">
    <w:nsid w:val="12E351CD"/>
    <w:multiLevelType w:val="hybridMultilevel"/>
    <w:tmpl w:val="C562BAA8"/>
    <w:lvl w:ilvl="0" w:tplc="62B08B68">
      <w:start w:val="1"/>
      <w:numFmt w:val="bullet"/>
      <w:lvlText w:val=""/>
      <w:lvlJc w:val="left"/>
      <w:pPr>
        <w:ind w:left="720" w:hanging="180"/>
      </w:pPr>
      <w:rPr>
        <w:rFonts w:ascii="Symbol" w:hAnsi="Symbol" w:hint="default"/>
      </w:rPr>
    </w:lvl>
    <w:lvl w:ilvl="1" w:tplc="AE9E815E">
      <w:numFmt w:val="decimal"/>
      <w:lvlText w:val=""/>
      <w:lvlJc w:val="left"/>
    </w:lvl>
    <w:lvl w:ilvl="2" w:tplc="906E7012">
      <w:numFmt w:val="decimal"/>
      <w:lvlText w:val=""/>
      <w:lvlJc w:val="left"/>
    </w:lvl>
    <w:lvl w:ilvl="3" w:tplc="D578061C">
      <w:numFmt w:val="decimal"/>
      <w:lvlText w:val=""/>
      <w:lvlJc w:val="left"/>
    </w:lvl>
    <w:lvl w:ilvl="4" w:tplc="997E05FC">
      <w:numFmt w:val="decimal"/>
      <w:lvlText w:val=""/>
      <w:lvlJc w:val="left"/>
    </w:lvl>
    <w:lvl w:ilvl="5" w:tplc="0DA28226">
      <w:numFmt w:val="decimal"/>
      <w:lvlText w:val=""/>
      <w:lvlJc w:val="left"/>
    </w:lvl>
    <w:lvl w:ilvl="6" w:tplc="6BEEFB68">
      <w:numFmt w:val="decimal"/>
      <w:lvlText w:val=""/>
      <w:lvlJc w:val="left"/>
    </w:lvl>
    <w:lvl w:ilvl="7" w:tplc="58F8AE48">
      <w:numFmt w:val="decimal"/>
      <w:lvlText w:val=""/>
      <w:lvlJc w:val="left"/>
    </w:lvl>
    <w:lvl w:ilvl="8" w:tplc="7A824364">
      <w:numFmt w:val="decimal"/>
      <w:lvlText w:val=""/>
      <w:lvlJc w:val="left"/>
    </w:lvl>
  </w:abstractNum>
  <w:abstractNum w:abstractNumId="155" w15:restartNumberingAfterBreak="0">
    <w:nsid w:val="131A0A34"/>
    <w:multiLevelType w:val="hybridMultilevel"/>
    <w:tmpl w:val="5A000CB4"/>
    <w:lvl w:ilvl="0" w:tplc="D04A5222">
      <w:start w:val="1"/>
      <w:numFmt w:val="bullet"/>
      <w:lvlText w:val=""/>
      <w:lvlJc w:val="left"/>
      <w:pPr>
        <w:ind w:left="720" w:hanging="180"/>
      </w:pPr>
      <w:rPr>
        <w:rFonts w:ascii="Symbol" w:hAnsi="Symbol" w:hint="default"/>
      </w:rPr>
    </w:lvl>
    <w:lvl w:ilvl="1" w:tplc="77683AD2">
      <w:numFmt w:val="decimal"/>
      <w:lvlText w:val=""/>
      <w:lvlJc w:val="left"/>
    </w:lvl>
    <w:lvl w:ilvl="2" w:tplc="FF7A7030">
      <w:numFmt w:val="decimal"/>
      <w:lvlText w:val=""/>
      <w:lvlJc w:val="left"/>
    </w:lvl>
    <w:lvl w:ilvl="3" w:tplc="7B8E7012">
      <w:numFmt w:val="decimal"/>
      <w:lvlText w:val=""/>
      <w:lvlJc w:val="left"/>
    </w:lvl>
    <w:lvl w:ilvl="4" w:tplc="046C07A4">
      <w:numFmt w:val="decimal"/>
      <w:lvlText w:val=""/>
      <w:lvlJc w:val="left"/>
    </w:lvl>
    <w:lvl w:ilvl="5" w:tplc="A09CF490">
      <w:numFmt w:val="decimal"/>
      <w:lvlText w:val=""/>
      <w:lvlJc w:val="left"/>
    </w:lvl>
    <w:lvl w:ilvl="6" w:tplc="D71016FC">
      <w:numFmt w:val="decimal"/>
      <w:lvlText w:val=""/>
      <w:lvlJc w:val="left"/>
    </w:lvl>
    <w:lvl w:ilvl="7" w:tplc="00D07BF0">
      <w:numFmt w:val="decimal"/>
      <w:lvlText w:val=""/>
      <w:lvlJc w:val="left"/>
    </w:lvl>
    <w:lvl w:ilvl="8" w:tplc="49EEC562">
      <w:numFmt w:val="decimal"/>
      <w:lvlText w:val=""/>
      <w:lvlJc w:val="left"/>
    </w:lvl>
  </w:abstractNum>
  <w:abstractNum w:abstractNumId="156" w15:restartNumberingAfterBreak="0">
    <w:nsid w:val="132412D2"/>
    <w:multiLevelType w:val="hybridMultilevel"/>
    <w:tmpl w:val="5B24ED4C"/>
    <w:lvl w:ilvl="0" w:tplc="2348082C">
      <w:start w:val="1"/>
      <w:numFmt w:val="bullet"/>
      <w:lvlText w:val=""/>
      <w:lvlJc w:val="left"/>
      <w:pPr>
        <w:ind w:left="720" w:hanging="180"/>
      </w:pPr>
      <w:rPr>
        <w:rFonts w:ascii="Symbol" w:hAnsi="Symbol" w:hint="default"/>
      </w:rPr>
    </w:lvl>
    <w:lvl w:ilvl="1" w:tplc="E0687AB0">
      <w:numFmt w:val="decimal"/>
      <w:lvlText w:val=""/>
      <w:lvlJc w:val="left"/>
    </w:lvl>
    <w:lvl w:ilvl="2" w:tplc="47D05A3A">
      <w:numFmt w:val="decimal"/>
      <w:lvlText w:val=""/>
      <w:lvlJc w:val="left"/>
    </w:lvl>
    <w:lvl w:ilvl="3" w:tplc="B4E2E082">
      <w:numFmt w:val="decimal"/>
      <w:lvlText w:val=""/>
      <w:lvlJc w:val="left"/>
    </w:lvl>
    <w:lvl w:ilvl="4" w:tplc="90C0A0D8">
      <w:numFmt w:val="decimal"/>
      <w:lvlText w:val=""/>
      <w:lvlJc w:val="left"/>
    </w:lvl>
    <w:lvl w:ilvl="5" w:tplc="FECA3B7A">
      <w:numFmt w:val="decimal"/>
      <w:lvlText w:val=""/>
      <w:lvlJc w:val="left"/>
    </w:lvl>
    <w:lvl w:ilvl="6" w:tplc="0386710C">
      <w:numFmt w:val="decimal"/>
      <w:lvlText w:val=""/>
      <w:lvlJc w:val="left"/>
    </w:lvl>
    <w:lvl w:ilvl="7" w:tplc="7D0E1288">
      <w:numFmt w:val="decimal"/>
      <w:lvlText w:val=""/>
      <w:lvlJc w:val="left"/>
    </w:lvl>
    <w:lvl w:ilvl="8" w:tplc="2DA21D50">
      <w:numFmt w:val="decimal"/>
      <w:lvlText w:val=""/>
      <w:lvlJc w:val="left"/>
    </w:lvl>
  </w:abstractNum>
  <w:abstractNum w:abstractNumId="157" w15:restartNumberingAfterBreak="0">
    <w:nsid w:val="13281405"/>
    <w:multiLevelType w:val="hybridMultilevel"/>
    <w:tmpl w:val="92D2237E"/>
    <w:lvl w:ilvl="0" w:tplc="E3166B46">
      <w:start w:val="1"/>
      <w:numFmt w:val="decimal"/>
      <w:lvlText w:val="%1."/>
      <w:lvlJc w:val="left"/>
      <w:pPr>
        <w:ind w:left="720" w:hanging="270"/>
      </w:pPr>
    </w:lvl>
    <w:lvl w:ilvl="1" w:tplc="BA607B2A">
      <w:numFmt w:val="decimal"/>
      <w:lvlText w:val=""/>
      <w:lvlJc w:val="left"/>
    </w:lvl>
    <w:lvl w:ilvl="2" w:tplc="5566AFD6">
      <w:numFmt w:val="decimal"/>
      <w:lvlText w:val=""/>
      <w:lvlJc w:val="left"/>
    </w:lvl>
    <w:lvl w:ilvl="3" w:tplc="1E18CBBC">
      <w:numFmt w:val="decimal"/>
      <w:lvlText w:val=""/>
      <w:lvlJc w:val="left"/>
    </w:lvl>
    <w:lvl w:ilvl="4" w:tplc="92E85802">
      <w:numFmt w:val="decimal"/>
      <w:lvlText w:val=""/>
      <w:lvlJc w:val="left"/>
    </w:lvl>
    <w:lvl w:ilvl="5" w:tplc="DA628D6A">
      <w:numFmt w:val="decimal"/>
      <w:lvlText w:val=""/>
      <w:lvlJc w:val="left"/>
    </w:lvl>
    <w:lvl w:ilvl="6" w:tplc="7D0A66CC">
      <w:numFmt w:val="decimal"/>
      <w:lvlText w:val=""/>
      <w:lvlJc w:val="left"/>
    </w:lvl>
    <w:lvl w:ilvl="7" w:tplc="31061866">
      <w:numFmt w:val="decimal"/>
      <w:lvlText w:val=""/>
      <w:lvlJc w:val="left"/>
    </w:lvl>
    <w:lvl w:ilvl="8" w:tplc="50BA6D62">
      <w:numFmt w:val="decimal"/>
      <w:lvlText w:val=""/>
      <w:lvlJc w:val="left"/>
    </w:lvl>
  </w:abstractNum>
  <w:abstractNum w:abstractNumId="158" w15:restartNumberingAfterBreak="0">
    <w:nsid w:val="134E4F74"/>
    <w:multiLevelType w:val="hybridMultilevel"/>
    <w:tmpl w:val="C696F94E"/>
    <w:lvl w:ilvl="0" w:tplc="DFE0588C">
      <w:start w:val="1"/>
      <w:numFmt w:val="bullet"/>
      <w:lvlText w:val=""/>
      <w:lvlJc w:val="left"/>
      <w:pPr>
        <w:ind w:left="720" w:hanging="180"/>
      </w:pPr>
      <w:rPr>
        <w:rFonts w:ascii="Symbol" w:hAnsi="Symbol" w:hint="default"/>
      </w:rPr>
    </w:lvl>
    <w:lvl w:ilvl="1" w:tplc="6024ACD0">
      <w:numFmt w:val="decimal"/>
      <w:lvlText w:val=""/>
      <w:lvlJc w:val="left"/>
    </w:lvl>
    <w:lvl w:ilvl="2" w:tplc="1A603AD6">
      <w:numFmt w:val="decimal"/>
      <w:lvlText w:val=""/>
      <w:lvlJc w:val="left"/>
    </w:lvl>
    <w:lvl w:ilvl="3" w:tplc="86140D36">
      <w:numFmt w:val="decimal"/>
      <w:lvlText w:val=""/>
      <w:lvlJc w:val="left"/>
    </w:lvl>
    <w:lvl w:ilvl="4" w:tplc="33AEE6FA">
      <w:numFmt w:val="decimal"/>
      <w:lvlText w:val=""/>
      <w:lvlJc w:val="left"/>
    </w:lvl>
    <w:lvl w:ilvl="5" w:tplc="9ACE6468">
      <w:numFmt w:val="decimal"/>
      <w:lvlText w:val=""/>
      <w:lvlJc w:val="left"/>
    </w:lvl>
    <w:lvl w:ilvl="6" w:tplc="88FA5D16">
      <w:numFmt w:val="decimal"/>
      <w:lvlText w:val=""/>
      <w:lvlJc w:val="left"/>
    </w:lvl>
    <w:lvl w:ilvl="7" w:tplc="99C23002">
      <w:numFmt w:val="decimal"/>
      <w:lvlText w:val=""/>
      <w:lvlJc w:val="left"/>
    </w:lvl>
    <w:lvl w:ilvl="8" w:tplc="1FD6BAB0">
      <w:numFmt w:val="decimal"/>
      <w:lvlText w:val=""/>
      <w:lvlJc w:val="left"/>
    </w:lvl>
  </w:abstractNum>
  <w:abstractNum w:abstractNumId="159" w15:restartNumberingAfterBreak="0">
    <w:nsid w:val="135B4209"/>
    <w:multiLevelType w:val="hybridMultilevel"/>
    <w:tmpl w:val="3A48563A"/>
    <w:lvl w:ilvl="0" w:tplc="62D889F4">
      <w:start w:val="1"/>
      <w:numFmt w:val="bullet"/>
      <w:lvlText w:val=""/>
      <w:lvlJc w:val="left"/>
      <w:pPr>
        <w:ind w:left="720" w:hanging="180"/>
      </w:pPr>
      <w:rPr>
        <w:rFonts w:ascii="Symbol" w:hAnsi="Symbol" w:hint="default"/>
      </w:rPr>
    </w:lvl>
    <w:lvl w:ilvl="1" w:tplc="C91E1174">
      <w:numFmt w:val="decimal"/>
      <w:lvlText w:val=""/>
      <w:lvlJc w:val="left"/>
    </w:lvl>
    <w:lvl w:ilvl="2" w:tplc="D69A590A">
      <w:numFmt w:val="decimal"/>
      <w:lvlText w:val=""/>
      <w:lvlJc w:val="left"/>
    </w:lvl>
    <w:lvl w:ilvl="3" w:tplc="27D46E38">
      <w:numFmt w:val="decimal"/>
      <w:lvlText w:val=""/>
      <w:lvlJc w:val="left"/>
    </w:lvl>
    <w:lvl w:ilvl="4" w:tplc="D448510E">
      <w:numFmt w:val="decimal"/>
      <w:lvlText w:val=""/>
      <w:lvlJc w:val="left"/>
    </w:lvl>
    <w:lvl w:ilvl="5" w:tplc="D49286F2">
      <w:numFmt w:val="decimal"/>
      <w:lvlText w:val=""/>
      <w:lvlJc w:val="left"/>
    </w:lvl>
    <w:lvl w:ilvl="6" w:tplc="90103006">
      <w:numFmt w:val="decimal"/>
      <w:lvlText w:val=""/>
      <w:lvlJc w:val="left"/>
    </w:lvl>
    <w:lvl w:ilvl="7" w:tplc="DAEAC530">
      <w:numFmt w:val="decimal"/>
      <w:lvlText w:val=""/>
      <w:lvlJc w:val="left"/>
    </w:lvl>
    <w:lvl w:ilvl="8" w:tplc="59161652">
      <w:numFmt w:val="decimal"/>
      <w:lvlText w:val=""/>
      <w:lvlJc w:val="left"/>
    </w:lvl>
  </w:abstractNum>
  <w:abstractNum w:abstractNumId="160" w15:restartNumberingAfterBreak="0">
    <w:nsid w:val="13671368"/>
    <w:multiLevelType w:val="hybridMultilevel"/>
    <w:tmpl w:val="6B0E5AA4"/>
    <w:lvl w:ilvl="0" w:tplc="C632171E">
      <w:start w:val="1"/>
      <w:numFmt w:val="bullet"/>
      <w:lvlText w:val=""/>
      <w:lvlJc w:val="left"/>
      <w:pPr>
        <w:ind w:left="720" w:hanging="180"/>
      </w:pPr>
      <w:rPr>
        <w:rFonts w:ascii="Symbol" w:hAnsi="Symbol" w:hint="default"/>
      </w:rPr>
    </w:lvl>
    <w:lvl w:ilvl="1" w:tplc="3B6894FA">
      <w:numFmt w:val="decimal"/>
      <w:lvlText w:val=""/>
      <w:lvlJc w:val="left"/>
    </w:lvl>
    <w:lvl w:ilvl="2" w:tplc="B0AE8612">
      <w:numFmt w:val="decimal"/>
      <w:lvlText w:val=""/>
      <w:lvlJc w:val="left"/>
    </w:lvl>
    <w:lvl w:ilvl="3" w:tplc="C986B498">
      <w:numFmt w:val="decimal"/>
      <w:lvlText w:val=""/>
      <w:lvlJc w:val="left"/>
    </w:lvl>
    <w:lvl w:ilvl="4" w:tplc="C6009F2E">
      <w:numFmt w:val="decimal"/>
      <w:lvlText w:val=""/>
      <w:lvlJc w:val="left"/>
    </w:lvl>
    <w:lvl w:ilvl="5" w:tplc="2FB47774">
      <w:numFmt w:val="decimal"/>
      <w:lvlText w:val=""/>
      <w:lvlJc w:val="left"/>
    </w:lvl>
    <w:lvl w:ilvl="6" w:tplc="3FAE5E44">
      <w:numFmt w:val="decimal"/>
      <w:lvlText w:val=""/>
      <w:lvlJc w:val="left"/>
    </w:lvl>
    <w:lvl w:ilvl="7" w:tplc="F07669E2">
      <w:numFmt w:val="decimal"/>
      <w:lvlText w:val=""/>
      <w:lvlJc w:val="left"/>
    </w:lvl>
    <w:lvl w:ilvl="8" w:tplc="9B8004D4">
      <w:numFmt w:val="decimal"/>
      <w:lvlText w:val=""/>
      <w:lvlJc w:val="left"/>
    </w:lvl>
  </w:abstractNum>
  <w:abstractNum w:abstractNumId="161" w15:restartNumberingAfterBreak="0">
    <w:nsid w:val="13832AA5"/>
    <w:multiLevelType w:val="hybridMultilevel"/>
    <w:tmpl w:val="8E9EA7DE"/>
    <w:lvl w:ilvl="0" w:tplc="5E08EA42">
      <w:start w:val="1"/>
      <w:numFmt w:val="bullet"/>
      <w:lvlText w:val=""/>
      <w:lvlJc w:val="left"/>
      <w:pPr>
        <w:ind w:left="720" w:hanging="180"/>
      </w:pPr>
      <w:rPr>
        <w:rFonts w:ascii="Symbol" w:hAnsi="Symbol" w:hint="default"/>
      </w:rPr>
    </w:lvl>
    <w:lvl w:ilvl="1" w:tplc="7B30745C">
      <w:numFmt w:val="decimal"/>
      <w:lvlText w:val=""/>
      <w:lvlJc w:val="left"/>
    </w:lvl>
    <w:lvl w:ilvl="2" w:tplc="5BF41826">
      <w:numFmt w:val="decimal"/>
      <w:lvlText w:val=""/>
      <w:lvlJc w:val="left"/>
    </w:lvl>
    <w:lvl w:ilvl="3" w:tplc="E3643A00">
      <w:numFmt w:val="decimal"/>
      <w:lvlText w:val=""/>
      <w:lvlJc w:val="left"/>
    </w:lvl>
    <w:lvl w:ilvl="4" w:tplc="75384602">
      <w:numFmt w:val="decimal"/>
      <w:lvlText w:val=""/>
      <w:lvlJc w:val="left"/>
    </w:lvl>
    <w:lvl w:ilvl="5" w:tplc="4006BAEE">
      <w:numFmt w:val="decimal"/>
      <w:lvlText w:val=""/>
      <w:lvlJc w:val="left"/>
    </w:lvl>
    <w:lvl w:ilvl="6" w:tplc="B16623B0">
      <w:numFmt w:val="decimal"/>
      <w:lvlText w:val=""/>
      <w:lvlJc w:val="left"/>
    </w:lvl>
    <w:lvl w:ilvl="7" w:tplc="96F2468C">
      <w:numFmt w:val="decimal"/>
      <w:lvlText w:val=""/>
      <w:lvlJc w:val="left"/>
    </w:lvl>
    <w:lvl w:ilvl="8" w:tplc="F984F8FA">
      <w:numFmt w:val="decimal"/>
      <w:lvlText w:val=""/>
      <w:lvlJc w:val="left"/>
    </w:lvl>
  </w:abstractNum>
  <w:abstractNum w:abstractNumId="162" w15:restartNumberingAfterBreak="0">
    <w:nsid w:val="138809F7"/>
    <w:multiLevelType w:val="hybridMultilevel"/>
    <w:tmpl w:val="EFB6E06A"/>
    <w:lvl w:ilvl="0" w:tplc="E38E5FDC">
      <w:start w:val="1"/>
      <w:numFmt w:val="bullet"/>
      <w:lvlText w:val=""/>
      <w:lvlJc w:val="left"/>
      <w:pPr>
        <w:ind w:left="720" w:hanging="180"/>
      </w:pPr>
      <w:rPr>
        <w:rFonts w:ascii="Symbol" w:hAnsi="Symbol" w:hint="default"/>
      </w:rPr>
    </w:lvl>
    <w:lvl w:ilvl="1" w:tplc="DB643126">
      <w:numFmt w:val="decimal"/>
      <w:lvlText w:val=""/>
      <w:lvlJc w:val="left"/>
    </w:lvl>
    <w:lvl w:ilvl="2" w:tplc="DD56B668">
      <w:numFmt w:val="decimal"/>
      <w:lvlText w:val=""/>
      <w:lvlJc w:val="left"/>
    </w:lvl>
    <w:lvl w:ilvl="3" w:tplc="6BFE538E">
      <w:numFmt w:val="decimal"/>
      <w:lvlText w:val=""/>
      <w:lvlJc w:val="left"/>
    </w:lvl>
    <w:lvl w:ilvl="4" w:tplc="BF628476">
      <w:numFmt w:val="decimal"/>
      <w:lvlText w:val=""/>
      <w:lvlJc w:val="left"/>
    </w:lvl>
    <w:lvl w:ilvl="5" w:tplc="15C481A2">
      <w:numFmt w:val="decimal"/>
      <w:lvlText w:val=""/>
      <w:lvlJc w:val="left"/>
    </w:lvl>
    <w:lvl w:ilvl="6" w:tplc="B7C0C9C6">
      <w:numFmt w:val="decimal"/>
      <w:lvlText w:val=""/>
      <w:lvlJc w:val="left"/>
    </w:lvl>
    <w:lvl w:ilvl="7" w:tplc="42E850F6">
      <w:numFmt w:val="decimal"/>
      <w:lvlText w:val=""/>
      <w:lvlJc w:val="left"/>
    </w:lvl>
    <w:lvl w:ilvl="8" w:tplc="3C6C882C">
      <w:numFmt w:val="decimal"/>
      <w:lvlText w:val=""/>
      <w:lvlJc w:val="left"/>
    </w:lvl>
  </w:abstractNum>
  <w:abstractNum w:abstractNumId="163" w15:restartNumberingAfterBreak="0">
    <w:nsid w:val="139208D8"/>
    <w:multiLevelType w:val="hybridMultilevel"/>
    <w:tmpl w:val="E60033D8"/>
    <w:lvl w:ilvl="0" w:tplc="56A67AA4">
      <w:start w:val="1"/>
      <w:numFmt w:val="bullet"/>
      <w:lvlText w:val=""/>
      <w:lvlJc w:val="left"/>
      <w:pPr>
        <w:ind w:left="720" w:hanging="180"/>
      </w:pPr>
      <w:rPr>
        <w:rFonts w:ascii="Symbol" w:hAnsi="Symbol" w:hint="default"/>
      </w:rPr>
    </w:lvl>
    <w:lvl w:ilvl="1" w:tplc="573878C0">
      <w:numFmt w:val="decimal"/>
      <w:lvlText w:val=""/>
      <w:lvlJc w:val="left"/>
    </w:lvl>
    <w:lvl w:ilvl="2" w:tplc="E382AE4A">
      <w:numFmt w:val="decimal"/>
      <w:lvlText w:val=""/>
      <w:lvlJc w:val="left"/>
    </w:lvl>
    <w:lvl w:ilvl="3" w:tplc="C44417B6">
      <w:numFmt w:val="decimal"/>
      <w:lvlText w:val=""/>
      <w:lvlJc w:val="left"/>
    </w:lvl>
    <w:lvl w:ilvl="4" w:tplc="F4D6540E">
      <w:numFmt w:val="decimal"/>
      <w:lvlText w:val=""/>
      <w:lvlJc w:val="left"/>
    </w:lvl>
    <w:lvl w:ilvl="5" w:tplc="0E4844D2">
      <w:numFmt w:val="decimal"/>
      <w:lvlText w:val=""/>
      <w:lvlJc w:val="left"/>
    </w:lvl>
    <w:lvl w:ilvl="6" w:tplc="933E1DD8">
      <w:numFmt w:val="decimal"/>
      <w:lvlText w:val=""/>
      <w:lvlJc w:val="left"/>
    </w:lvl>
    <w:lvl w:ilvl="7" w:tplc="69DA6EF6">
      <w:numFmt w:val="decimal"/>
      <w:lvlText w:val=""/>
      <w:lvlJc w:val="left"/>
    </w:lvl>
    <w:lvl w:ilvl="8" w:tplc="3A9273DC">
      <w:numFmt w:val="decimal"/>
      <w:lvlText w:val=""/>
      <w:lvlJc w:val="left"/>
    </w:lvl>
  </w:abstractNum>
  <w:abstractNum w:abstractNumId="164" w15:restartNumberingAfterBreak="0">
    <w:nsid w:val="13BF4668"/>
    <w:multiLevelType w:val="hybridMultilevel"/>
    <w:tmpl w:val="6F72D22A"/>
    <w:lvl w:ilvl="0" w:tplc="1AAA7066">
      <w:start w:val="1"/>
      <w:numFmt w:val="bullet"/>
      <w:lvlText w:val=""/>
      <w:lvlJc w:val="left"/>
      <w:pPr>
        <w:ind w:left="720" w:hanging="180"/>
      </w:pPr>
      <w:rPr>
        <w:rFonts w:ascii="Symbol" w:hAnsi="Symbol" w:hint="default"/>
      </w:rPr>
    </w:lvl>
    <w:lvl w:ilvl="1" w:tplc="6074A432">
      <w:numFmt w:val="decimal"/>
      <w:lvlText w:val=""/>
      <w:lvlJc w:val="left"/>
    </w:lvl>
    <w:lvl w:ilvl="2" w:tplc="7F64AF6C">
      <w:numFmt w:val="decimal"/>
      <w:lvlText w:val=""/>
      <w:lvlJc w:val="left"/>
    </w:lvl>
    <w:lvl w:ilvl="3" w:tplc="38D0DA10">
      <w:numFmt w:val="decimal"/>
      <w:lvlText w:val=""/>
      <w:lvlJc w:val="left"/>
    </w:lvl>
    <w:lvl w:ilvl="4" w:tplc="10A2592E">
      <w:numFmt w:val="decimal"/>
      <w:lvlText w:val=""/>
      <w:lvlJc w:val="left"/>
    </w:lvl>
    <w:lvl w:ilvl="5" w:tplc="A67E9B94">
      <w:numFmt w:val="decimal"/>
      <w:lvlText w:val=""/>
      <w:lvlJc w:val="left"/>
    </w:lvl>
    <w:lvl w:ilvl="6" w:tplc="15B8753E">
      <w:numFmt w:val="decimal"/>
      <w:lvlText w:val=""/>
      <w:lvlJc w:val="left"/>
    </w:lvl>
    <w:lvl w:ilvl="7" w:tplc="5ED458E2">
      <w:numFmt w:val="decimal"/>
      <w:lvlText w:val=""/>
      <w:lvlJc w:val="left"/>
    </w:lvl>
    <w:lvl w:ilvl="8" w:tplc="4E1E42A8">
      <w:numFmt w:val="decimal"/>
      <w:lvlText w:val=""/>
      <w:lvlJc w:val="left"/>
    </w:lvl>
  </w:abstractNum>
  <w:abstractNum w:abstractNumId="165" w15:restartNumberingAfterBreak="0">
    <w:nsid w:val="13DE4CAE"/>
    <w:multiLevelType w:val="hybridMultilevel"/>
    <w:tmpl w:val="0B20361E"/>
    <w:lvl w:ilvl="0" w:tplc="9C04F006">
      <w:start w:val="1"/>
      <w:numFmt w:val="bullet"/>
      <w:lvlText w:val=""/>
      <w:lvlJc w:val="left"/>
      <w:pPr>
        <w:ind w:left="720" w:hanging="180"/>
      </w:pPr>
      <w:rPr>
        <w:rFonts w:ascii="Symbol" w:hAnsi="Symbol" w:hint="default"/>
      </w:rPr>
    </w:lvl>
    <w:lvl w:ilvl="1" w:tplc="BCB4FD90">
      <w:numFmt w:val="decimal"/>
      <w:lvlText w:val=""/>
      <w:lvlJc w:val="left"/>
    </w:lvl>
    <w:lvl w:ilvl="2" w:tplc="4C04985A">
      <w:numFmt w:val="decimal"/>
      <w:lvlText w:val=""/>
      <w:lvlJc w:val="left"/>
    </w:lvl>
    <w:lvl w:ilvl="3" w:tplc="2D183C18">
      <w:numFmt w:val="decimal"/>
      <w:lvlText w:val=""/>
      <w:lvlJc w:val="left"/>
    </w:lvl>
    <w:lvl w:ilvl="4" w:tplc="E66A295E">
      <w:numFmt w:val="decimal"/>
      <w:lvlText w:val=""/>
      <w:lvlJc w:val="left"/>
    </w:lvl>
    <w:lvl w:ilvl="5" w:tplc="4978E38C">
      <w:numFmt w:val="decimal"/>
      <w:lvlText w:val=""/>
      <w:lvlJc w:val="left"/>
    </w:lvl>
    <w:lvl w:ilvl="6" w:tplc="F614099E">
      <w:numFmt w:val="decimal"/>
      <w:lvlText w:val=""/>
      <w:lvlJc w:val="left"/>
    </w:lvl>
    <w:lvl w:ilvl="7" w:tplc="4D0298BA">
      <w:numFmt w:val="decimal"/>
      <w:lvlText w:val=""/>
      <w:lvlJc w:val="left"/>
    </w:lvl>
    <w:lvl w:ilvl="8" w:tplc="A4DC3A74">
      <w:numFmt w:val="decimal"/>
      <w:lvlText w:val=""/>
      <w:lvlJc w:val="left"/>
    </w:lvl>
  </w:abstractNum>
  <w:abstractNum w:abstractNumId="166" w15:restartNumberingAfterBreak="0">
    <w:nsid w:val="13E02BC2"/>
    <w:multiLevelType w:val="hybridMultilevel"/>
    <w:tmpl w:val="EE689F50"/>
    <w:lvl w:ilvl="0" w:tplc="6096BA1A">
      <w:start w:val="1"/>
      <w:numFmt w:val="bullet"/>
      <w:lvlText w:val=""/>
      <w:lvlJc w:val="left"/>
      <w:pPr>
        <w:ind w:left="720" w:hanging="180"/>
      </w:pPr>
      <w:rPr>
        <w:rFonts w:ascii="Symbol" w:hAnsi="Symbol" w:hint="default"/>
      </w:rPr>
    </w:lvl>
    <w:lvl w:ilvl="1" w:tplc="075E2448">
      <w:numFmt w:val="decimal"/>
      <w:lvlText w:val=""/>
      <w:lvlJc w:val="left"/>
    </w:lvl>
    <w:lvl w:ilvl="2" w:tplc="565EE54A">
      <w:numFmt w:val="decimal"/>
      <w:lvlText w:val=""/>
      <w:lvlJc w:val="left"/>
    </w:lvl>
    <w:lvl w:ilvl="3" w:tplc="FFD08E46">
      <w:numFmt w:val="decimal"/>
      <w:lvlText w:val=""/>
      <w:lvlJc w:val="left"/>
    </w:lvl>
    <w:lvl w:ilvl="4" w:tplc="A3DA4A26">
      <w:numFmt w:val="decimal"/>
      <w:lvlText w:val=""/>
      <w:lvlJc w:val="left"/>
    </w:lvl>
    <w:lvl w:ilvl="5" w:tplc="F0FEC592">
      <w:numFmt w:val="decimal"/>
      <w:lvlText w:val=""/>
      <w:lvlJc w:val="left"/>
    </w:lvl>
    <w:lvl w:ilvl="6" w:tplc="28C464AE">
      <w:numFmt w:val="decimal"/>
      <w:lvlText w:val=""/>
      <w:lvlJc w:val="left"/>
    </w:lvl>
    <w:lvl w:ilvl="7" w:tplc="D49058A2">
      <w:numFmt w:val="decimal"/>
      <w:lvlText w:val=""/>
      <w:lvlJc w:val="left"/>
    </w:lvl>
    <w:lvl w:ilvl="8" w:tplc="9C6EC112">
      <w:numFmt w:val="decimal"/>
      <w:lvlText w:val=""/>
      <w:lvlJc w:val="left"/>
    </w:lvl>
  </w:abstractNum>
  <w:abstractNum w:abstractNumId="167" w15:restartNumberingAfterBreak="0">
    <w:nsid w:val="13ED1771"/>
    <w:multiLevelType w:val="hybridMultilevel"/>
    <w:tmpl w:val="FEA6D55C"/>
    <w:lvl w:ilvl="0" w:tplc="D64EEF84">
      <w:start w:val="1"/>
      <w:numFmt w:val="bullet"/>
      <w:lvlText w:val=""/>
      <w:lvlJc w:val="left"/>
      <w:pPr>
        <w:ind w:left="720" w:hanging="180"/>
      </w:pPr>
      <w:rPr>
        <w:rFonts w:ascii="Symbol" w:hAnsi="Symbol" w:hint="default"/>
      </w:rPr>
    </w:lvl>
    <w:lvl w:ilvl="1" w:tplc="5C8E4C4A">
      <w:numFmt w:val="decimal"/>
      <w:lvlText w:val=""/>
      <w:lvlJc w:val="left"/>
    </w:lvl>
    <w:lvl w:ilvl="2" w:tplc="1114A940">
      <w:numFmt w:val="decimal"/>
      <w:lvlText w:val=""/>
      <w:lvlJc w:val="left"/>
    </w:lvl>
    <w:lvl w:ilvl="3" w:tplc="726E6628">
      <w:numFmt w:val="decimal"/>
      <w:lvlText w:val=""/>
      <w:lvlJc w:val="left"/>
    </w:lvl>
    <w:lvl w:ilvl="4" w:tplc="78E8BCC0">
      <w:numFmt w:val="decimal"/>
      <w:lvlText w:val=""/>
      <w:lvlJc w:val="left"/>
    </w:lvl>
    <w:lvl w:ilvl="5" w:tplc="AB36E402">
      <w:numFmt w:val="decimal"/>
      <w:lvlText w:val=""/>
      <w:lvlJc w:val="left"/>
    </w:lvl>
    <w:lvl w:ilvl="6" w:tplc="D14037E2">
      <w:numFmt w:val="decimal"/>
      <w:lvlText w:val=""/>
      <w:lvlJc w:val="left"/>
    </w:lvl>
    <w:lvl w:ilvl="7" w:tplc="612089B0">
      <w:numFmt w:val="decimal"/>
      <w:lvlText w:val=""/>
      <w:lvlJc w:val="left"/>
    </w:lvl>
    <w:lvl w:ilvl="8" w:tplc="BC0ED520">
      <w:numFmt w:val="decimal"/>
      <w:lvlText w:val=""/>
      <w:lvlJc w:val="left"/>
    </w:lvl>
  </w:abstractNum>
  <w:abstractNum w:abstractNumId="168" w15:restartNumberingAfterBreak="0">
    <w:nsid w:val="13F42FA0"/>
    <w:multiLevelType w:val="hybridMultilevel"/>
    <w:tmpl w:val="8E084448"/>
    <w:lvl w:ilvl="0" w:tplc="E018834C">
      <w:start w:val="1"/>
      <w:numFmt w:val="bullet"/>
      <w:lvlText w:val=""/>
      <w:lvlJc w:val="left"/>
      <w:pPr>
        <w:ind w:left="720" w:hanging="180"/>
      </w:pPr>
      <w:rPr>
        <w:rFonts w:ascii="Symbol" w:hAnsi="Symbol" w:hint="default"/>
      </w:rPr>
    </w:lvl>
    <w:lvl w:ilvl="1" w:tplc="8924B1A2">
      <w:numFmt w:val="decimal"/>
      <w:lvlText w:val=""/>
      <w:lvlJc w:val="left"/>
    </w:lvl>
    <w:lvl w:ilvl="2" w:tplc="02B06204">
      <w:numFmt w:val="decimal"/>
      <w:lvlText w:val=""/>
      <w:lvlJc w:val="left"/>
    </w:lvl>
    <w:lvl w:ilvl="3" w:tplc="CBC6284A">
      <w:numFmt w:val="decimal"/>
      <w:lvlText w:val=""/>
      <w:lvlJc w:val="left"/>
    </w:lvl>
    <w:lvl w:ilvl="4" w:tplc="F3D02B10">
      <w:numFmt w:val="decimal"/>
      <w:lvlText w:val=""/>
      <w:lvlJc w:val="left"/>
    </w:lvl>
    <w:lvl w:ilvl="5" w:tplc="502894FC">
      <w:numFmt w:val="decimal"/>
      <w:lvlText w:val=""/>
      <w:lvlJc w:val="left"/>
    </w:lvl>
    <w:lvl w:ilvl="6" w:tplc="FCDA0336">
      <w:numFmt w:val="decimal"/>
      <w:lvlText w:val=""/>
      <w:lvlJc w:val="left"/>
    </w:lvl>
    <w:lvl w:ilvl="7" w:tplc="998613A0">
      <w:numFmt w:val="decimal"/>
      <w:lvlText w:val=""/>
      <w:lvlJc w:val="left"/>
    </w:lvl>
    <w:lvl w:ilvl="8" w:tplc="5FAA553E">
      <w:numFmt w:val="decimal"/>
      <w:lvlText w:val=""/>
      <w:lvlJc w:val="left"/>
    </w:lvl>
  </w:abstractNum>
  <w:abstractNum w:abstractNumId="169" w15:restartNumberingAfterBreak="0">
    <w:nsid w:val="140368DE"/>
    <w:multiLevelType w:val="hybridMultilevel"/>
    <w:tmpl w:val="D02CE45A"/>
    <w:lvl w:ilvl="0" w:tplc="D466F908">
      <w:start w:val="1"/>
      <w:numFmt w:val="bullet"/>
      <w:lvlText w:val=""/>
      <w:lvlJc w:val="left"/>
      <w:pPr>
        <w:ind w:left="720" w:hanging="180"/>
      </w:pPr>
      <w:rPr>
        <w:rFonts w:ascii="Symbol" w:hAnsi="Symbol" w:hint="default"/>
      </w:rPr>
    </w:lvl>
    <w:lvl w:ilvl="1" w:tplc="4968812C">
      <w:numFmt w:val="decimal"/>
      <w:lvlText w:val=""/>
      <w:lvlJc w:val="left"/>
    </w:lvl>
    <w:lvl w:ilvl="2" w:tplc="02D862A4">
      <w:numFmt w:val="decimal"/>
      <w:lvlText w:val=""/>
      <w:lvlJc w:val="left"/>
    </w:lvl>
    <w:lvl w:ilvl="3" w:tplc="97EA76F0">
      <w:numFmt w:val="decimal"/>
      <w:lvlText w:val=""/>
      <w:lvlJc w:val="left"/>
    </w:lvl>
    <w:lvl w:ilvl="4" w:tplc="6132220A">
      <w:numFmt w:val="decimal"/>
      <w:lvlText w:val=""/>
      <w:lvlJc w:val="left"/>
    </w:lvl>
    <w:lvl w:ilvl="5" w:tplc="63D2F86E">
      <w:numFmt w:val="decimal"/>
      <w:lvlText w:val=""/>
      <w:lvlJc w:val="left"/>
    </w:lvl>
    <w:lvl w:ilvl="6" w:tplc="2898A2A0">
      <w:numFmt w:val="decimal"/>
      <w:lvlText w:val=""/>
      <w:lvlJc w:val="left"/>
    </w:lvl>
    <w:lvl w:ilvl="7" w:tplc="800CBC4C">
      <w:numFmt w:val="decimal"/>
      <w:lvlText w:val=""/>
      <w:lvlJc w:val="left"/>
    </w:lvl>
    <w:lvl w:ilvl="8" w:tplc="41E09DB8">
      <w:numFmt w:val="decimal"/>
      <w:lvlText w:val=""/>
      <w:lvlJc w:val="left"/>
    </w:lvl>
  </w:abstractNum>
  <w:abstractNum w:abstractNumId="170" w15:restartNumberingAfterBreak="0">
    <w:nsid w:val="140E1116"/>
    <w:multiLevelType w:val="hybridMultilevel"/>
    <w:tmpl w:val="6DD622F2"/>
    <w:lvl w:ilvl="0" w:tplc="12828CB2">
      <w:start w:val="1"/>
      <w:numFmt w:val="bullet"/>
      <w:lvlText w:val=""/>
      <w:lvlJc w:val="left"/>
      <w:pPr>
        <w:ind w:left="720" w:hanging="180"/>
      </w:pPr>
      <w:rPr>
        <w:rFonts w:ascii="Symbol" w:hAnsi="Symbol" w:hint="default"/>
      </w:rPr>
    </w:lvl>
    <w:lvl w:ilvl="1" w:tplc="F23A417A">
      <w:numFmt w:val="decimal"/>
      <w:lvlText w:val=""/>
      <w:lvlJc w:val="left"/>
    </w:lvl>
    <w:lvl w:ilvl="2" w:tplc="5B1E1088">
      <w:numFmt w:val="decimal"/>
      <w:lvlText w:val=""/>
      <w:lvlJc w:val="left"/>
    </w:lvl>
    <w:lvl w:ilvl="3" w:tplc="82768144">
      <w:numFmt w:val="decimal"/>
      <w:lvlText w:val=""/>
      <w:lvlJc w:val="left"/>
    </w:lvl>
    <w:lvl w:ilvl="4" w:tplc="8E0AB2E6">
      <w:numFmt w:val="decimal"/>
      <w:lvlText w:val=""/>
      <w:lvlJc w:val="left"/>
    </w:lvl>
    <w:lvl w:ilvl="5" w:tplc="9B849568">
      <w:numFmt w:val="decimal"/>
      <w:lvlText w:val=""/>
      <w:lvlJc w:val="left"/>
    </w:lvl>
    <w:lvl w:ilvl="6" w:tplc="25A69BFA">
      <w:numFmt w:val="decimal"/>
      <w:lvlText w:val=""/>
      <w:lvlJc w:val="left"/>
    </w:lvl>
    <w:lvl w:ilvl="7" w:tplc="7438E3BA">
      <w:numFmt w:val="decimal"/>
      <w:lvlText w:val=""/>
      <w:lvlJc w:val="left"/>
    </w:lvl>
    <w:lvl w:ilvl="8" w:tplc="E4C26DA2">
      <w:numFmt w:val="decimal"/>
      <w:lvlText w:val=""/>
      <w:lvlJc w:val="left"/>
    </w:lvl>
  </w:abstractNum>
  <w:abstractNum w:abstractNumId="171" w15:restartNumberingAfterBreak="0">
    <w:nsid w:val="143B3FE6"/>
    <w:multiLevelType w:val="hybridMultilevel"/>
    <w:tmpl w:val="1F020CB4"/>
    <w:lvl w:ilvl="0" w:tplc="D206E684">
      <w:start w:val="1"/>
      <w:numFmt w:val="bullet"/>
      <w:lvlText w:val=""/>
      <w:lvlJc w:val="left"/>
      <w:pPr>
        <w:ind w:left="720" w:hanging="180"/>
      </w:pPr>
      <w:rPr>
        <w:rFonts w:ascii="Symbol" w:hAnsi="Symbol" w:hint="default"/>
      </w:rPr>
    </w:lvl>
    <w:lvl w:ilvl="1" w:tplc="FAB46246">
      <w:numFmt w:val="decimal"/>
      <w:lvlText w:val=""/>
      <w:lvlJc w:val="left"/>
    </w:lvl>
    <w:lvl w:ilvl="2" w:tplc="93AC95DA">
      <w:numFmt w:val="decimal"/>
      <w:lvlText w:val=""/>
      <w:lvlJc w:val="left"/>
    </w:lvl>
    <w:lvl w:ilvl="3" w:tplc="61E4DA08">
      <w:numFmt w:val="decimal"/>
      <w:lvlText w:val=""/>
      <w:lvlJc w:val="left"/>
    </w:lvl>
    <w:lvl w:ilvl="4" w:tplc="0CB6DFBC">
      <w:numFmt w:val="decimal"/>
      <w:lvlText w:val=""/>
      <w:lvlJc w:val="left"/>
    </w:lvl>
    <w:lvl w:ilvl="5" w:tplc="DCEE2DB6">
      <w:numFmt w:val="decimal"/>
      <w:lvlText w:val=""/>
      <w:lvlJc w:val="left"/>
    </w:lvl>
    <w:lvl w:ilvl="6" w:tplc="279E3574">
      <w:numFmt w:val="decimal"/>
      <w:lvlText w:val=""/>
      <w:lvlJc w:val="left"/>
    </w:lvl>
    <w:lvl w:ilvl="7" w:tplc="0C2E8C3C">
      <w:numFmt w:val="decimal"/>
      <w:lvlText w:val=""/>
      <w:lvlJc w:val="left"/>
    </w:lvl>
    <w:lvl w:ilvl="8" w:tplc="7AA4614A">
      <w:numFmt w:val="decimal"/>
      <w:lvlText w:val=""/>
      <w:lvlJc w:val="left"/>
    </w:lvl>
  </w:abstractNum>
  <w:abstractNum w:abstractNumId="172" w15:restartNumberingAfterBreak="0">
    <w:nsid w:val="1465125A"/>
    <w:multiLevelType w:val="hybridMultilevel"/>
    <w:tmpl w:val="599626DE"/>
    <w:lvl w:ilvl="0" w:tplc="78AA6FD2">
      <w:start w:val="1"/>
      <w:numFmt w:val="bullet"/>
      <w:lvlText w:val=""/>
      <w:lvlJc w:val="left"/>
      <w:pPr>
        <w:ind w:left="720" w:hanging="180"/>
      </w:pPr>
      <w:rPr>
        <w:rFonts w:ascii="Symbol" w:hAnsi="Symbol" w:hint="default"/>
      </w:rPr>
    </w:lvl>
    <w:lvl w:ilvl="1" w:tplc="3F806DEE">
      <w:numFmt w:val="decimal"/>
      <w:lvlText w:val=""/>
      <w:lvlJc w:val="left"/>
    </w:lvl>
    <w:lvl w:ilvl="2" w:tplc="9D101E36">
      <w:numFmt w:val="decimal"/>
      <w:lvlText w:val=""/>
      <w:lvlJc w:val="left"/>
    </w:lvl>
    <w:lvl w:ilvl="3" w:tplc="871001CC">
      <w:numFmt w:val="decimal"/>
      <w:lvlText w:val=""/>
      <w:lvlJc w:val="left"/>
    </w:lvl>
    <w:lvl w:ilvl="4" w:tplc="4D82069A">
      <w:numFmt w:val="decimal"/>
      <w:lvlText w:val=""/>
      <w:lvlJc w:val="left"/>
    </w:lvl>
    <w:lvl w:ilvl="5" w:tplc="9CBC4FBE">
      <w:numFmt w:val="decimal"/>
      <w:lvlText w:val=""/>
      <w:lvlJc w:val="left"/>
    </w:lvl>
    <w:lvl w:ilvl="6" w:tplc="8CCE43CC">
      <w:numFmt w:val="decimal"/>
      <w:lvlText w:val=""/>
      <w:lvlJc w:val="left"/>
    </w:lvl>
    <w:lvl w:ilvl="7" w:tplc="59A0B682">
      <w:numFmt w:val="decimal"/>
      <w:lvlText w:val=""/>
      <w:lvlJc w:val="left"/>
    </w:lvl>
    <w:lvl w:ilvl="8" w:tplc="24A67FF2">
      <w:numFmt w:val="decimal"/>
      <w:lvlText w:val=""/>
      <w:lvlJc w:val="left"/>
    </w:lvl>
  </w:abstractNum>
  <w:abstractNum w:abstractNumId="173" w15:restartNumberingAfterBreak="0">
    <w:nsid w:val="148A24F4"/>
    <w:multiLevelType w:val="hybridMultilevel"/>
    <w:tmpl w:val="ADF64D04"/>
    <w:lvl w:ilvl="0" w:tplc="F34441A0">
      <w:start w:val="1"/>
      <w:numFmt w:val="bullet"/>
      <w:lvlText w:val=""/>
      <w:lvlJc w:val="left"/>
      <w:pPr>
        <w:ind w:left="720" w:hanging="180"/>
      </w:pPr>
      <w:rPr>
        <w:rFonts w:ascii="Symbol" w:hAnsi="Symbol" w:hint="default"/>
      </w:rPr>
    </w:lvl>
    <w:lvl w:ilvl="1" w:tplc="F5345118">
      <w:numFmt w:val="decimal"/>
      <w:lvlText w:val=""/>
      <w:lvlJc w:val="left"/>
    </w:lvl>
    <w:lvl w:ilvl="2" w:tplc="820A3916">
      <w:numFmt w:val="decimal"/>
      <w:lvlText w:val=""/>
      <w:lvlJc w:val="left"/>
    </w:lvl>
    <w:lvl w:ilvl="3" w:tplc="94702410">
      <w:numFmt w:val="decimal"/>
      <w:lvlText w:val=""/>
      <w:lvlJc w:val="left"/>
    </w:lvl>
    <w:lvl w:ilvl="4" w:tplc="D4EE4754">
      <w:numFmt w:val="decimal"/>
      <w:lvlText w:val=""/>
      <w:lvlJc w:val="left"/>
    </w:lvl>
    <w:lvl w:ilvl="5" w:tplc="C7940542">
      <w:numFmt w:val="decimal"/>
      <w:lvlText w:val=""/>
      <w:lvlJc w:val="left"/>
    </w:lvl>
    <w:lvl w:ilvl="6" w:tplc="140EE0A6">
      <w:numFmt w:val="decimal"/>
      <w:lvlText w:val=""/>
      <w:lvlJc w:val="left"/>
    </w:lvl>
    <w:lvl w:ilvl="7" w:tplc="EB628DC8">
      <w:numFmt w:val="decimal"/>
      <w:lvlText w:val=""/>
      <w:lvlJc w:val="left"/>
    </w:lvl>
    <w:lvl w:ilvl="8" w:tplc="C086504A">
      <w:numFmt w:val="decimal"/>
      <w:lvlText w:val=""/>
      <w:lvlJc w:val="left"/>
    </w:lvl>
  </w:abstractNum>
  <w:abstractNum w:abstractNumId="174" w15:restartNumberingAfterBreak="0">
    <w:nsid w:val="14A36469"/>
    <w:multiLevelType w:val="hybridMultilevel"/>
    <w:tmpl w:val="C8A4CB18"/>
    <w:lvl w:ilvl="0" w:tplc="15ACDA36">
      <w:start w:val="1"/>
      <w:numFmt w:val="bullet"/>
      <w:lvlText w:val=""/>
      <w:lvlJc w:val="left"/>
      <w:pPr>
        <w:ind w:left="720" w:hanging="180"/>
      </w:pPr>
      <w:rPr>
        <w:rFonts w:ascii="Symbol" w:hAnsi="Symbol" w:hint="default"/>
      </w:rPr>
    </w:lvl>
    <w:lvl w:ilvl="1" w:tplc="09266A18">
      <w:numFmt w:val="decimal"/>
      <w:lvlText w:val=""/>
      <w:lvlJc w:val="left"/>
    </w:lvl>
    <w:lvl w:ilvl="2" w:tplc="9434F326">
      <w:numFmt w:val="decimal"/>
      <w:lvlText w:val=""/>
      <w:lvlJc w:val="left"/>
    </w:lvl>
    <w:lvl w:ilvl="3" w:tplc="7AD8314E">
      <w:numFmt w:val="decimal"/>
      <w:lvlText w:val=""/>
      <w:lvlJc w:val="left"/>
    </w:lvl>
    <w:lvl w:ilvl="4" w:tplc="0A4A2B6C">
      <w:numFmt w:val="decimal"/>
      <w:lvlText w:val=""/>
      <w:lvlJc w:val="left"/>
    </w:lvl>
    <w:lvl w:ilvl="5" w:tplc="5028600E">
      <w:numFmt w:val="decimal"/>
      <w:lvlText w:val=""/>
      <w:lvlJc w:val="left"/>
    </w:lvl>
    <w:lvl w:ilvl="6" w:tplc="5C2C7BDA">
      <w:numFmt w:val="decimal"/>
      <w:lvlText w:val=""/>
      <w:lvlJc w:val="left"/>
    </w:lvl>
    <w:lvl w:ilvl="7" w:tplc="DB447BE2">
      <w:numFmt w:val="decimal"/>
      <w:lvlText w:val=""/>
      <w:lvlJc w:val="left"/>
    </w:lvl>
    <w:lvl w:ilvl="8" w:tplc="022821AC">
      <w:numFmt w:val="decimal"/>
      <w:lvlText w:val=""/>
      <w:lvlJc w:val="left"/>
    </w:lvl>
  </w:abstractNum>
  <w:abstractNum w:abstractNumId="175" w15:restartNumberingAfterBreak="0">
    <w:nsid w:val="14AA7083"/>
    <w:multiLevelType w:val="hybridMultilevel"/>
    <w:tmpl w:val="33DC00A4"/>
    <w:lvl w:ilvl="0" w:tplc="D1203E40">
      <w:start w:val="1"/>
      <w:numFmt w:val="bullet"/>
      <w:lvlText w:val=""/>
      <w:lvlJc w:val="left"/>
      <w:pPr>
        <w:ind w:left="720" w:hanging="180"/>
      </w:pPr>
      <w:rPr>
        <w:rFonts w:ascii="Symbol" w:hAnsi="Symbol" w:hint="default"/>
      </w:rPr>
    </w:lvl>
    <w:lvl w:ilvl="1" w:tplc="A5D8DE52">
      <w:numFmt w:val="decimal"/>
      <w:lvlText w:val=""/>
      <w:lvlJc w:val="left"/>
    </w:lvl>
    <w:lvl w:ilvl="2" w:tplc="A8D21EC6">
      <w:numFmt w:val="decimal"/>
      <w:lvlText w:val=""/>
      <w:lvlJc w:val="left"/>
    </w:lvl>
    <w:lvl w:ilvl="3" w:tplc="0FBE46A8">
      <w:numFmt w:val="decimal"/>
      <w:lvlText w:val=""/>
      <w:lvlJc w:val="left"/>
    </w:lvl>
    <w:lvl w:ilvl="4" w:tplc="1E3C369C">
      <w:numFmt w:val="decimal"/>
      <w:lvlText w:val=""/>
      <w:lvlJc w:val="left"/>
    </w:lvl>
    <w:lvl w:ilvl="5" w:tplc="810AD50A">
      <w:numFmt w:val="decimal"/>
      <w:lvlText w:val=""/>
      <w:lvlJc w:val="left"/>
    </w:lvl>
    <w:lvl w:ilvl="6" w:tplc="8FF075C0">
      <w:numFmt w:val="decimal"/>
      <w:lvlText w:val=""/>
      <w:lvlJc w:val="left"/>
    </w:lvl>
    <w:lvl w:ilvl="7" w:tplc="C7909D26">
      <w:numFmt w:val="decimal"/>
      <w:lvlText w:val=""/>
      <w:lvlJc w:val="left"/>
    </w:lvl>
    <w:lvl w:ilvl="8" w:tplc="3CF27C74">
      <w:numFmt w:val="decimal"/>
      <w:lvlText w:val=""/>
      <w:lvlJc w:val="left"/>
    </w:lvl>
  </w:abstractNum>
  <w:abstractNum w:abstractNumId="176" w15:restartNumberingAfterBreak="0">
    <w:nsid w:val="15063CD5"/>
    <w:multiLevelType w:val="hybridMultilevel"/>
    <w:tmpl w:val="10341792"/>
    <w:lvl w:ilvl="0" w:tplc="835CE9A8">
      <w:start w:val="1"/>
      <w:numFmt w:val="bullet"/>
      <w:lvlText w:val=""/>
      <w:lvlJc w:val="left"/>
      <w:pPr>
        <w:ind w:left="720" w:hanging="180"/>
      </w:pPr>
      <w:rPr>
        <w:rFonts w:ascii="Symbol" w:hAnsi="Symbol" w:hint="default"/>
      </w:rPr>
    </w:lvl>
    <w:lvl w:ilvl="1" w:tplc="90385C64">
      <w:numFmt w:val="decimal"/>
      <w:lvlText w:val=""/>
      <w:lvlJc w:val="left"/>
    </w:lvl>
    <w:lvl w:ilvl="2" w:tplc="DCBA7A16">
      <w:numFmt w:val="decimal"/>
      <w:lvlText w:val=""/>
      <w:lvlJc w:val="left"/>
    </w:lvl>
    <w:lvl w:ilvl="3" w:tplc="42BEFE22">
      <w:numFmt w:val="decimal"/>
      <w:lvlText w:val=""/>
      <w:lvlJc w:val="left"/>
    </w:lvl>
    <w:lvl w:ilvl="4" w:tplc="153E7112">
      <w:numFmt w:val="decimal"/>
      <w:lvlText w:val=""/>
      <w:lvlJc w:val="left"/>
    </w:lvl>
    <w:lvl w:ilvl="5" w:tplc="327C495C">
      <w:numFmt w:val="decimal"/>
      <w:lvlText w:val=""/>
      <w:lvlJc w:val="left"/>
    </w:lvl>
    <w:lvl w:ilvl="6" w:tplc="C1461CB0">
      <w:numFmt w:val="decimal"/>
      <w:lvlText w:val=""/>
      <w:lvlJc w:val="left"/>
    </w:lvl>
    <w:lvl w:ilvl="7" w:tplc="E368D18E">
      <w:numFmt w:val="decimal"/>
      <w:lvlText w:val=""/>
      <w:lvlJc w:val="left"/>
    </w:lvl>
    <w:lvl w:ilvl="8" w:tplc="CE981F36">
      <w:numFmt w:val="decimal"/>
      <w:lvlText w:val=""/>
      <w:lvlJc w:val="left"/>
    </w:lvl>
  </w:abstractNum>
  <w:abstractNum w:abstractNumId="177" w15:restartNumberingAfterBreak="0">
    <w:nsid w:val="153D0A58"/>
    <w:multiLevelType w:val="hybridMultilevel"/>
    <w:tmpl w:val="2892ECAC"/>
    <w:lvl w:ilvl="0" w:tplc="2EA2671A">
      <w:start w:val="1"/>
      <w:numFmt w:val="bullet"/>
      <w:lvlText w:val=""/>
      <w:lvlJc w:val="left"/>
      <w:pPr>
        <w:ind w:left="720" w:hanging="180"/>
      </w:pPr>
      <w:rPr>
        <w:rFonts w:ascii="Symbol" w:hAnsi="Symbol" w:hint="default"/>
      </w:rPr>
    </w:lvl>
    <w:lvl w:ilvl="1" w:tplc="C2140FA2">
      <w:numFmt w:val="decimal"/>
      <w:lvlText w:val=""/>
      <w:lvlJc w:val="left"/>
    </w:lvl>
    <w:lvl w:ilvl="2" w:tplc="3BBE6684">
      <w:numFmt w:val="decimal"/>
      <w:lvlText w:val=""/>
      <w:lvlJc w:val="left"/>
    </w:lvl>
    <w:lvl w:ilvl="3" w:tplc="30CAFBE2">
      <w:numFmt w:val="decimal"/>
      <w:lvlText w:val=""/>
      <w:lvlJc w:val="left"/>
    </w:lvl>
    <w:lvl w:ilvl="4" w:tplc="C89A3E98">
      <w:numFmt w:val="decimal"/>
      <w:lvlText w:val=""/>
      <w:lvlJc w:val="left"/>
    </w:lvl>
    <w:lvl w:ilvl="5" w:tplc="A1AE432E">
      <w:numFmt w:val="decimal"/>
      <w:lvlText w:val=""/>
      <w:lvlJc w:val="left"/>
    </w:lvl>
    <w:lvl w:ilvl="6" w:tplc="CEB6D3DA">
      <w:numFmt w:val="decimal"/>
      <w:lvlText w:val=""/>
      <w:lvlJc w:val="left"/>
    </w:lvl>
    <w:lvl w:ilvl="7" w:tplc="E90E66F2">
      <w:numFmt w:val="decimal"/>
      <w:lvlText w:val=""/>
      <w:lvlJc w:val="left"/>
    </w:lvl>
    <w:lvl w:ilvl="8" w:tplc="BE0A2F02">
      <w:numFmt w:val="decimal"/>
      <w:lvlText w:val=""/>
      <w:lvlJc w:val="left"/>
    </w:lvl>
  </w:abstractNum>
  <w:abstractNum w:abstractNumId="178" w15:restartNumberingAfterBreak="0">
    <w:nsid w:val="153D7DD6"/>
    <w:multiLevelType w:val="hybridMultilevel"/>
    <w:tmpl w:val="7DC429B4"/>
    <w:lvl w:ilvl="0" w:tplc="28F6D4E0">
      <w:start w:val="1"/>
      <w:numFmt w:val="bullet"/>
      <w:lvlText w:val=""/>
      <w:lvlJc w:val="left"/>
      <w:pPr>
        <w:ind w:left="720" w:hanging="180"/>
      </w:pPr>
      <w:rPr>
        <w:rFonts w:ascii="Symbol" w:hAnsi="Symbol" w:hint="default"/>
      </w:rPr>
    </w:lvl>
    <w:lvl w:ilvl="1" w:tplc="322C4020">
      <w:numFmt w:val="decimal"/>
      <w:lvlText w:val=""/>
      <w:lvlJc w:val="left"/>
    </w:lvl>
    <w:lvl w:ilvl="2" w:tplc="7444DD20">
      <w:numFmt w:val="decimal"/>
      <w:lvlText w:val=""/>
      <w:lvlJc w:val="left"/>
    </w:lvl>
    <w:lvl w:ilvl="3" w:tplc="917A74F6">
      <w:numFmt w:val="decimal"/>
      <w:lvlText w:val=""/>
      <w:lvlJc w:val="left"/>
    </w:lvl>
    <w:lvl w:ilvl="4" w:tplc="6EB22B5A">
      <w:numFmt w:val="decimal"/>
      <w:lvlText w:val=""/>
      <w:lvlJc w:val="left"/>
    </w:lvl>
    <w:lvl w:ilvl="5" w:tplc="90A2160C">
      <w:numFmt w:val="decimal"/>
      <w:lvlText w:val=""/>
      <w:lvlJc w:val="left"/>
    </w:lvl>
    <w:lvl w:ilvl="6" w:tplc="3356F15C">
      <w:numFmt w:val="decimal"/>
      <w:lvlText w:val=""/>
      <w:lvlJc w:val="left"/>
    </w:lvl>
    <w:lvl w:ilvl="7" w:tplc="118801D4">
      <w:numFmt w:val="decimal"/>
      <w:lvlText w:val=""/>
      <w:lvlJc w:val="left"/>
    </w:lvl>
    <w:lvl w:ilvl="8" w:tplc="81669D20">
      <w:numFmt w:val="decimal"/>
      <w:lvlText w:val=""/>
      <w:lvlJc w:val="left"/>
    </w:lvl>
  </w:abstractNum>
  <w:abstractNum w:abstractNumId="179" w15:restartNumberingAfterBreak="0">
    <w:nsid w:val="1565078A"/>
    <w:multiLevelType w:val="hybridMultilevel"/>
    <w:tmpl w:val="E6CEE8FC"/>
    <w:lvl w:ilvl="0" w:tplc="B54A801C">
      <w:start w:val="1"/>
      <w:numFmt w:val="bullet"/>
      <w:lvlText w:val=""/>
      <w:lvlJc w:val="left"/>
      <w:pPr>
        <w:ind w:left="720" w:hanging="180"/>
      </w:pPr>
      <w:rPr>
        <w:rFonts w:ascii="Symbol" w:hAnsi="Symbol" w:hint="default"/>
      </w:rPr>
    </w:lvl>
    <w:lvl w:ilvl="1" w:tplc="3DAA2D6C">
      <w:numFmt w:val="decimal"/>
      <w:lvlText w:val=""/>
      <w:lvlJc w:val="left"/>
    </w:lvl>
    <w:lvl w:ilvl="2" w:tplc="07BC0386">
      <w:numFmt w:val="decimal"/>
      <w:lvlText w:val=""/>
      <w:lvlJc w:val="left"/>
    </w:lvl>
    <w:lvl w:ilvl="3" w:tplc="8938A8DA">
      <w:numFmt w:val="decimal"/>
      <w:lvlText w:val=""/>
      <w:lvlJc w:val="left"/>
    </w:lvl>
    <w:lvl w:ilvl="4" w:tplc="36F23EAE">
      <w:numFmt w:val="decimal"/>
      <w:lvlText w:val=""/>
      <w:lvlJc w:val="left"/>
    </w:lvl>
    <w:lvl w:ilvl="5" w:tplc="E84ADFCA">
      <w:numFmt w:val="decimal"/>
      <w:lvlText w:val=""/>
      <w:lvlJc w:val="left"/>
    </w:lvl>
    <w:lvl w:ilvl="6" w:tplc="C54A3D26">
      <w:numFmt w:val="decimal"/>
      <w:lvlText w:val=""/>
      <w:lvlJc w:val="left"/>
    </w:lvl>
    <w:lvl w:ilvl="7" w:tplc="2624A57C">
      <w:numFmt w:val="decimal"/>
      <w:lvlText w:val=""/>
      <w:lvlJc w:val="left"/>
    </w:lvl>
    <w:lvl w:ilvl="8" w:tplc="38E29A28">
      <w:numFmt w:val="decimal"/>
      <w:lvlText w:val=""/>
      <w:lvlJc w:val="left"/>
    </w:lvl>
  </w:abstractNum>
  <w:abstractNum w:abstractNumId="180" w15:restartNumberingAfterBreak="0">
    <w:nsid w:val="158839A7"/>
    <w:multiLevelType w:val="hybridMultilevel"/>
    <w:tmpl w:val="F4261512"/>
    <w:lvl w:ilvl="0" w:tplc="96941D1E">
      <w:start w:val="1"/>
      <w:numFmt w:val="bullet"/>
      <w:lvlText w:val=""/>
      <w:lvlJc w:val="left"/>
      <w:pPr>
        <w:ind w:left="720" w:hanging="180"/>
      </w:pPr>
      <w:rPr>
        <w:rFonts w:ascii="Symbol" w:hAnsi="Symbol" w:hint="default"/>
      </w:rPr>
    </w:lvl>
    <w:lvl w:ilvl="1" w:tplc="539C0E92">
      <w:numFmt w:val="decimal"/>
      <w:lvlText w:val=""/>
      <w:lvlJc w:val="left"/>
    </w:lvl>
    <w:lvl w:ilvl="2" w:tplc="623E57FA">
      <w:numFmt w:val="decimal"/>
      <w:lvlText w:val=""/>
      <w:lvlJc w:val="left"/>
    </w:lvl>
    <w:lvl w:ilvl="3" w:tplc="6608C908">
      <w:numFmt w:val="decimal"/>
      <w:lvlText w:val=""/>
      <w:lvlJc w:val="left"/>
    </w:lvl>
    <w:lvl w:ilvl="4" w:tplc="D054C070">
      <w:numFmt w:val="decimal"/>
      <w:lvlText w:val=""/>
      <w:lvlJc w:val="left"/>
    </w:lvl>
    <w:lvl w:ilvl="5" w:tplc="08EA6ACE">
      <w:numFmt w:val="decimal"/>
      <w:lvlText w:val=""/>
      <w:lvlJc w:val="left"/>
    </w:lvl>
    <w:lvl w:ilvl="6" w:tplc="E5AC84C4">
      <w:numFmt w:val="decimal"/>
      <w:lvlText w:val=""/>
      <w:lvlJc w:val="left"/>
    </w:lvl>
    <w:lvl w:ilvl="7" w:tplc="C846B6C8">
      <w:numFmt w:val="decimal"/>
      <w:lvlText w:val=""/>
      <w:lvlJc w:val="left"/>
    </w:lvl>
    <w:lvl w:ilvl="8" w:tplc="C2BAFF92">
      <w:numFmt w:val="decimal"/>
      <w:lvlText w:val=""/>
      <w:lvlJc w:val="left"/>
    </w:lvl>
  </w:abstractNum>
  <w:abstractNum w:abstractNumId="181" w15:restartNumberingAfterBreak="0">
    <w:nsid w:val="158C5467"/>
    <w:multiLevelType w:val="hybridMultilevel"/>
    <w:tmpl w:val="6C5C9D70"/>
    <w:lvl w:ilvl="0" w:tplc="6CCE9922">
      <w:start w:val="1"/>
      <w:numFmt w:val="bullet"/>
      <w:lvlText w:val=""/>
      <w:lvlJc w:val="left"/>
      <w:pPr>
        <w:ind w:left="720" w:hanging="180"/>
      </w:pPr>
      <w:rPr>
        <w:rFonts w:ascii="Symbol" w:hAnsi="Symbol" w:hint="default"/>
      </w:rPr>
    </w:lvl>
    <w:lvl w:ilvl="1" w:tplc="2FBC8696">
      <w:numFmt w:val="decimal"/>
      <w:lvlText w:val=""/>
      <w:lvlJc w:val="left"/>
    </w:lvl>
    <w:lvl w:ilvl="2" w:tplc="D05A8516">
      <w:numFmt w:val="decimal"/>
      <w:lvlText w:val=""/>
      <w:lvlJc w:val="left"/>
    </w:lvl>
    <w:lvl w:ilvl="3" w:tplc="FBA8FC00">
      <w:numFmt w:val="decimal"/>
      <w:lvlText w:val=""/>
      <w:lvlJc w:val="left"/>
    </w:lvl>
    <w:lvl w:ilvl="4" w:tplc="211EFFB8">
      <w:numFmt w:val="decimal"/>
      <w:lvlText w:val=""/>
      <w:lvlJc w:val="left"/>
    </w:lvl>
    <w:lvl w:ilvl="5" w:tplc="D06A274A">
      <w:numFmt w:val="decimal"/>
      <w:lvlText w:val=""/>
      <w:lvlJc w:val="left"/>
    </w:lvl>
    <w:lvl w:ilvl="6" w:tplc="A5289F0A">
      <w:numFmt w:val="decimal"/>
      <w:lvlText w:val=""/>
      <w:lvlJc w:val="left"/>
    </w:lvl>
    <w:lvl w:ilvl="7" w:tplc="B63EEC40">
      <w:numFmt w:val="decimal"/>
      <w:lvlText w:val=""/>
      <w:lvlJc w:val="left"/>
    </w:lvl>
    <w:lvl w:ilvl="8" w:tplc="FAECB7CE">
      <w:numFmt w:val="decimal"/>
      <w:lvlText w:val=""/>
      <w:lvlJc w:val="left"/>
    </w:lvl>
  </w:abstractNum>
  <w:abstractNum w:abstractNumId="182" w15:restartNumberingAfterBreak="0">
    <w:nsid w:val="15DD62D8"/>
    <w:multiLevelType w:val="hybridMultilevel"/>
    <w:tmpl w:val="759691B8"/>
    <w:lvl w:ilvl="0" w:tplc="C5FE4D92">
      <w:start w:val="1"/>
      <w:numFmt w:val="bullet"/>
      <w:lvlText w:val=""/>
      <w:lvlJc w:val="left"/>
      <w:pPr>
        <w:ind w:left="720" w:hanging="180"/>
      </w:pPr>
      <w:rPr>
        <w:rFonts w:ascii="Symbol" w:hAnsi="Symbol" w:hint="default"/>
      </w:rPr>
    </w:lvl>
    <w:lvl w:ilvl="1" w:tplc="55A4D808">
      <w:numFmt w:val="decimal"/>
      <w:lvlText w:val=""/>
      <w:lvlJc w:val="left"/>
    </w:lvl>
    <w:lvl w:ilvl="2" w:tplc="4B822534">
      <w:numFmt w:val="decimal"/>
      <w:lvlText w:val=""/>
      <w:lvlJc w:val="left"/>
    </w:lvl>
    <w:lvl w:ilvl="3" w:tplc="A446B66A">
      <w:numFmt w:val="decimal"/>
      <w:lvlText w:val=""/>
      <w:lvlJc w:val="left"/>
    </w:lvl>
    <w:lvl w:ilvl="4" w:tplc="6F323090">
      <w:numFmt w:val="decimal"/>
      <w:lvlText w:val=""/>
      <w:lvlJc w:val="left"/>
    </w:lvl>
    <w:lvl w:ilvl="5" w:tplc="9488A640">
      <w:numFmt w:val="decimal"/>
      <w:lvlText w:val=""/>
      <w:lvlJc w:val="left"/>
    </w:lvl>
    <w:lvl w:ilvl="6" w:tplc="7772BBC0">
      <w:numFmt w:val="decimal"/>
      <w:lvlText w:val=""/>
      <w:lvlJc w:val="left"/>
    </w:lvl>
    <w:lvl w:ilvl="7" w:tplc="24F66A7A">
      <w:numFmt w:val="decimal"/>
      <w:lvlText w:val=""/>
      <w:lvlJc w:val="left"/>
    </w:lvl>
    <w:lvl w:ilvl="8" w:tplc="6268A302">
      <w:numFmt w:val="decimal"/>
      <w:lvlText w:val=""/>
      <w:lvlJc w:val="left"/>
    </w:lvl>
  </w:abstractNum>
  <w:abstractNum w:abstractNumId="183" w15:restartNumberingAfterBreak="0">
    <w:nsid w:val="15E81938"/>
    <w:multiLevelType w:val="hybridMultilevel"/>
    <w:tmpl w:val="778E1A7C"/>
    <w:lvl w:ilvl="0" w:tplc="54662FAE">
      <w:start w:val="1"/>
      <w:numFmt w:val="bullet"/>
      <w:lvlText w:val=""/>
      <w:lvlJc w:val="left"/>
      <w:pPr>
        <w:ind w:left="720" w:hanging="180"/>
      </w:pPr>
      <w:rPr>
        <w:rFonts w:ascii="Symbol" w:hAnsi="Symbol" w:hint="default"/>
      </w:rPr>
    </w:lvl>
    <w:lvl w:ilvl="1" w:tplc="B6626E48">
      <w:numFmt w:val="decimal"/>
      <w:lvlText w:val=""/>
      <w:lvlJc w:val="left"/>
    </w:lvl>
    <w:lvl w:ilvl="2" w:tplc="49E6689A">
      <w:numFmt w:val="decimal"/>
      <w:lvlText w:val=""/>
      <w:lvlJc w:val="left"/>
    </w:lvl>
    <w:lvl w:ilvl="3" w:tplc="39D2877A">
      <w:numFmt w:val="decimal"/>
      <w:lvlText w:val=""/>
      <w:lvlJc w:val="left"/>
    </w:lvl>
    <w:lvl w:ilvl="4" w:tplc="E0666800">
      <w:numFmt w:val="decimal"/>
      <w:lvlText w:val=""/>
      <w:lvlJc w:val="left"/>
    </w:lvl>
    <w:lvl w:ilvl="5" w:tplc="569AA200">
      <w:numFmt w:val="decimal"/>
      <w:lvlText w:val=""/>
      <w:lvlJc w:val="left"/>
    </w:lvl>
    <w:lvl w:ilvl="6" w:tplc="461C2440">
      <w:numFmt w:val="decimal"/>
      <w:lvlText w:val=""/>
      <w:lvlJc w:val="left"/>
    </w:lvl>
    <w:lvl w:ilvl="7" w:tplc="0BC85DA2">
      <w:numFmt w:val="decimal"/>
      <w:lvlText w:val=""/>
      <w:lvlJc w:val="left"/>
    </w:lvl>
    <w:lvl w:ilvl="8" w:tplc="8B664CE4">
      <w:numFmt w:val="decimal"/>
      <w:lvlText w:val=""/>
      <w:lvlJc w:val="left"/>
    </w:lvl>
  </w:abstractNum>
  <w:abstractNum w:abstractNumId="184" w15:restartNumberingAfterBreak="0">
    <w:nsid w:val="16032CCC"/>
    <w:multiLevelType w:val="hybridMultilevel"/>
    <w:tmpl w:val="786A151C"/>
    <w:lvl w:ilvl="0" w:tplc="27E00CFE">
      <w:start w:val="1"/>
      <w:numFmt w:val="bullet"/>
      <w:lvlText w:val=""/>
      <w:lvlJc w:val="left"/>
      <w:pPr>
        <w:ind w:left="720" w:hanging="180"/>
      </w:pPr>
      <w:rPr>
        <w:rFonts w:ascii="Symbol" w:hAnsi="Symbol" w:hint="default"/>
      </w:rPr>
    </w:lvl>
    <w:lvl w:ilvl="1" w:tplc="F25C428C">
      <w:numFmt w:val="decimal"/>
      <w:lvlText w:val=""/>
      <w:lvlJc w:val="left"/>
    </w:lvl>
    <w:lvl w:ilvl="2" w:tplc="475CE7E6">
      <w:numFmt w:val="decimal"/>
      <w:lvlText w:val=""/>
      <w:lvlJc w:val="left"/>
    </w:lvl>
    <w:lvl w:ilvl="3" w:tplc="E23841A4">
      <w:numFmt w:val="decimal"/>
      <w:lvlText w:val=""/>
      <w:lvlJc w:val="left"/>
    </w:lvl>
    <w:lvl w:ilvl="4" w:tplc="C3E22CA6">
      <w:numFmt w:val="decimal"/>
      <w:lvlText w:val=""/>
      <w:lvlJc w:val="left"/>
    </w:lvl>
    <w:lvl w:ilvl="5" w:tplc="4D3446E4">
      <w:numFmt w:val="decimal"/>
      <w:lvlText w:val=""/>
      <w:lvlJc w:val="left"/>
    </w:lvl>
    <w:lvl w:ilvl="6" w:tplc="F884A278">
      <w:numFmt w:val="decimal"/>
      <w:lvlText w:val=""/>
      <w:lvlJc w:val="left"/>
    </w:lvl>
    <w:lvl w:ilvl="7" w:tplc="6A2220F8">
      <w:numFmt w:val="decimal"/>
      <w:lvlText w:val=""/>
      <w:lvlJc w:val="left"/>
    </w:lvl>
    <w:lvl w:ilvl="8" w:tplc="4AA03530">
      <w:numFmt w:val="decimal"/>
      <w:lvlText w:val=""/>
      <w:lvlJc w:val="left"/>
    </w:lvl>
  </w:abstractNum>
  <w:abstractNum w:abstractNumId="185" w15:restartNumberingAfterBreak="0">
    <w:nsid w:val="16097F6A"/>
    <w:multiLevelType w:val="hybridMultilevel"/>
    <w:tmpl w:val="D21890E4"/>
    <w:lvl w:ilvl="0" w:tplc="FD009846">
      <w:start w:val="1"/>
      <w:numFmt w:val="bullet"/>
      <w:lvlText w:val=""/>
      <w:lvlJc w:val="left"/>
      <w:pPr>
        <w:ind w:left="720" w:hanging="180"/>
      </w:pPr>
      <w:rPr>
        <w:rFonts w:ascii="Symbol" w:hAnsi="Symbol" w:hint="default"/>
      </w:rPr>
    </w:lvl>
    <w:lvl w:ilvl="1" w:tplc="37E83EDA">
      <w:numFmt w:val="decimal"/>
      <w:lvlText w:val=""/>
      <w:lvlJc w:val="left"/>
    </w:lvl>
    <w:lvl w:ilvl="2" w:tplc="8470450E">
      <w:numFmt w:val="decimal"/>
      <w:lvlText w:val=""/>
      <w:lvlJc w:val="left"/>
    </w:lvl>
    <w:lvl w:ilvl="3" w:tplc="772E7B64">
      <w:numFmt w:val="decimal"/>
      <w:lvlText w:val=""/>
      <w:lvlJc w:val="left"/>
    </w:lvl>
    <w:lvl w:ilvl="4" w:tplc="4DD8DB2A">
      <w:numFmt w:val="decimal"/>
      <w:lvlText w:val=""/>
      <w:lvlJc w:val="left"/>
    </w:lvl>
    <w:lvl w:ilvl="5" w:tplc="6EBECDB6">
      <w:numFmt w:val="decimal"/>
      <w:lvlText w:val=""/>
      <w:lvlJc w:val="left"/>
    </w:lvl>
    <w:lvl w:ilvl="6" w:tplc="77AEEE5A">
      <w:numFmt w:val="decimal"/>
      <w:lvlText w:val=""/>
      <w:lvlJc w:val="left"/>
    </w:lvl>
    <w:lvl w:ilvl="7" w:tplc="ABB82032">
      <w:numFmt w:val="decimal"/>
      <w:lvlText w:val=""/>
      <w:lvlJc w:val="left"/>
    </w:lvl>
    <w:lvl w:ilvl="8" w:tplc="8D4E5254">
      <w:numFmt w:val="decimal"/>
      <w:lvlText w:val=""/>
      <w:lvlJc w:val="left"/>
    </w:lvl>
  </w:abstractNum>
  <w:abstractNum w:abstractNumId="186" w15:restartNumberingAfterBreak="0">
    <w:nsid w:val="160D1BA7"/>
    <w:multiLevelType w:val="hybridMultilevel"/>
    <w:tmpl w:val="219473F8"/>
    <w:lvl w:ilvl="0" w:tplc="580883F6">
      <w:start w:val="1"/>
      <w:numFmt w:val="bullet"/>
      <w:lvlText w:val=""/>
      <w:lvlJc w:val="left"/>
      <w:pPr>
        <w:ind w:left="720" w:hanging="180"/>
      </w:pPr>
      <w:rPr>
        <w:rFonts w:ascii="Symbol" w:hAnsi="Symbol" w:hint="default"/>
      </w:rPr>
    </w:lvl>
    <w:lvl w:ilvl="1" w:tplc="0ABC0BA2">
      <w:numFmt w:val="decimal"/>
      <w:lvlText w:val=""/>
      <w:lvlJc w:val="left"/>
    </w:lvl>
    <w:lvl w:ilvl="2" w:tplc="8474BE18">
      <w:numFmt w:val="decimal"/>
      <w:lvlText w:val=""/>
      <w:lvlJc w:val="left"/>
    </w:lvl>
    <w:lvl w:ilvl="3" w:tplc="59CC8094">
      <w:numFmt w:val="decimal"/>
      <w:lvlText w:val=""/>
      <w:lvlJc w:val="left"/>
    </w:lvl>
    <w:lvl w:ilvl="4" w:tplc="3732ECEE">
      <w:numFmt w:val="decimal"/>
      <w:lvlText w:val=""/>
      <w:lvlJc w:val="left"/>
    </w:lvl>
    <w:lvl w:ilvl="5" w:tplc="06C891DE">
      <w:numFmt w:val="decimal"/>
      <w:lvlText w:val=""/>
      <w:lvlJc w:val="left"/>
    </w:lvl>
    <w:lvl w:ilvl="6" w:tplc="80CC8514">
      <w:numFmt w:val="decimal"/>
      <w:lvlText w:val=""/>
      <w:lvlJc w:val="left"/>
    </w:lvl>
    <w:lvl w:ilvl="7" w:tplc="F7700D64">
      <w:numFmt w:val="decimal"/>
      <w:lvlText w:val=""/>
      <w:lvlJc w:val="left"/>
    </w:lvl>
    <w:lvl w:ilvl="8" w:tplc="00AE5D32">
      <w:numFmt w:val="decimal"/>
      <w:lvlText w:val=""/>
      <w:lvlJc w:val="left"/>
    </w:lvl>
  </w:abstractNum>
  <w:abstractNum w:abstractNumId="187" w15:restartNumberingAfterBreak="0">
    <w:nsid w:val="16154BD1"/>
    <w:multiLevelType w:val="hybridMultilevel"/>
    <w:tmpl w:val="9CCA8A9A"/>
    <w:lvl w:ilvl="0" w:tplc="B9C8E338">
      <w:start w:val="1"/>
      <w:numFmt w:val="bullet"/>
      <w:lvlText w:val=""/>
      <w:lvlJc w:val="left"/>
      <w:pPr>
        <w:ind w:left="720" w:hanging="180"/>
      </w:pPr>
      <w:rPr>
        <w:rFonts w:ascii="Symbol" w:hAnsi="Symbol" w:hint="default"/>
      </w:rPr>
    </w:lvl>
    <w:lvl w:ilvl="1" w:tplc="6ED0AFCC">
      <w:numFmt w:val="decimal"/>
      <w:lvlText w:val=""/>
      <w:lvlJc w:val="left"/>
    </w:lvl>
    <w:lvl w:ilvl="2" w:tplc="B24C7974">
      <w:numFmt w:val="decimal"/>
      <w:lvlText w:val=""/>
      <w:lvlJc w:val="left"/>
    </w:lvl>
    <w:lvl w:ilvl="3" w:tplc="F57EAA50">
      <w:numFmt w:val="decimal"/>
      <w:lvlText w:val=""/>
      <w:lvlJc w:val="left"/>
    </w:lvl>
    <w:lvl w:ilvl="4" w:tplc="4488A77A">
      <w:numFmt w:val="decimal"/>
      <w:lvlText w:val=""/>
      <w:lvlJc w:val="left"/>
    </w:lvl>
    <w:lvl w:ilvl="5" w:tplc="8238139E">
      <w:numFmt w:val="decimal"/>
      <w:lvlText w:val=""/>
      <w:lvlJc w:val="left"/>
    </w:lvl>
    <w:lvl w:ilvl="6" w:tplc="DFE605AE">
      <w:numFmt w:val="decimal"/>
      <w:lvlText w:val=""/>
      <w:lvlJc w:val="left"/>
    </w:lvl>
    <w:lvl w:ilvl="7" w:tplc="4FF00892">
      <w:numFmt w:val="decimal"/>
      <w:lvlText w:val=""/>
      <w:lvlJc w:val="left"/>
    </w:lvl>
    <w:lvl w:ilvl="8" w:tplc="2392E356">
      <w:numFmt w:val="decimal"/>
      <w:lvlText w:val=""/>
      <w:lvlJc w:val="left"/>
    </w:lvl>
  </w:abstractNum>
  <w:abstractNum w:abstractNumId="188" w15:restartNumberingAfterBreak="0">
    <w:nsid w:val="161677EB"/>
    <w:multiLevelType w:val="hybridMultilevel"/>
    <w:tmpl w:val="8102C3F4"/>
    <w:lvl w:ilvl="0" w:tplc="F59886EA">
      <w:start w:val="1"/>
      <w:numFmt w:val="bullet"/>
      <w:lvlText w:val=""/>
      <w:lvlJc w:val="left"/>
      <w:pPr>
        <w:ind w:left="720" w:hanging="180"/>
      </w:pPr>
      <w:rPr>
        <w:rFonts w:ascii="Symbol" w:hAnsi="Symbol" w:hint="default"/>
      </w:rPr>
    </w:lvl>
    <w:lvl w:ilvl="1" w:tplc="36248D6A">
      <w:numFmt w:val="decimal"/>
      <w:lvlText w:val=""/>
      <w:lvlJc w:val="left"/>
    </w:lvl>
    <w:lvl w:ilvl="2" w:tplc="B406D416">
      <w:numFmt w:val="decimal"/>
      <w:lvlText w:val=""/>
      <w:lvlJc w:val="left"/>
    </w:lvl>
    <w:lvl w:ilvl="3" w:tplc="C86A333C">
      <w:numFmt w:val="decimal"/>
      <w:lvlText w:val=""/>
      <w:lvlJc w:val="left"/>
    </w:lvl>
    <w:lvl w:ilvl="4" w:tplc="D2AEEB7E">
      <w:numFmt w:val="decimal"/>
      <w:lvlText w:val=""/>
      <w:lvlJc w:val="left"/>
    </w:lvl>
    <w:lvl w:ilvl="5" w:tplc="F93E4208">
      <w:numFmt w:val="decimal"/>
      <w:lvlText w:val=""/>
      <w:lvlJc w:val="left"/>
    </w:lvl>
    <w:lvl w:ilvl="6" w:tplc="ACB05C90">
      <w:numFmt w:val="decimal"/>
      <w:lvlText w:val=""/>
      <w:lvlJc w:val="left"/>
    </w:lvl>
    <w:lvl w:ilvl="7" w:tplc="75AA9440">
      <w:numFmt w:val="decimal"/>
      <w:lvlText w:val=""/>
      <w:lvlJc w:val="left"/>
    </w:lvl>
    <w:lvl w:ilvl="8" w:tplc="EEDACC0E">
      <w:numFmt w:val="decimal"/>
      <w:lvlText w:val=""/>
      <w:lvlJc w:val="left"/>
    </w:lvl>
  </w:abstractNum>
  <w:abstractNum w:abstractNumId="189" w15:restartNumberingAfterBreak="0">
    <w:nsid w:val="161C6A52"/>
    <w:multiLevelType w:val="hybridMultilevel"/>
    <w:tmpl w:val="41EA4208"/>
    <w:lvl w:ilvl="0" w:tplc="BA96AA4E">
      <w:start w:val="1"/>
      <w:numFmt w:val="bullet"/>
      <w:lvlText w:val=""/>
      <w:lvlJc w:val="left"/>
      <w:pPr>
        <w:ind w:left="720" w:hanging="180"/>
      </w:pPr>
      <w:rPr>
        <w:rFonts w:ascii="Symbol" w:hAnsi="Symbol" w:hint="default"/>
      </w:rPr>
    </w:lvl>
    <w:lvl w:ilvl="1" w:tplc="24E4A2FC">
      <w:numFmt w:val="decimal"/>
      <w:lvlText w:val=""/>
      <w:lvlJc w:val="left"/>
    </w:lvl>
    <w:lvl w:ilvl="2" w:tplc="1E2CCC8E">
      <w:numFmt w:val="decimal"/>
      <w:lvlText w:val=""/>
      <w:lvlJc w:val="left"/>
    </w:lvl>
    <w:lvl w:ilvl="3" w:tplc="E9B21746">
      <w:numFmt w:val="decimal"/>
      <w:lvlText w:val=""/>
      <w:lvlJc w:val="left"/>
    </w:lvl>
    <w:lvl w:ilvl="4" w:tplc="3252D9DC">
      <w:numFmt w:val="decimal"/>
      <w:lvlText w:val=""/>
      <w:lvlJc w:val="left"/>
    </w:lvl>
    <w:lvl w:ilvl="5" w:tplc="62DAC5C6">
      <w:numFmt w:val="decimal"/>
      <w:lvlText w:val=""/>
      <w:lvlJc w:val="left"/>
    </w:lvl>
    <w:lvl w:ilvl="6" w:tplc="C9A68E8C">
      <w:numFmt w:val="decimal"/>
      <w:lvlText w:val=""/>
      <w:lvlJc w:val="left"/>
    </w:lvl>
    <w:lvl w:ilvl="7" w:tplc="29BEA14C">
      <w:numFmt w:val="decimal"/>
      <w:lvlText w:val=""/>
      <w:lvlJc w:val="left"/>
    </w:lvl>
    <w:lvl w:ilvl="8" w:tplc="601A565C">
      <w:numFmt w:val="decimal"/>
      <w:lvlText w:val=""/>
      <w:lvlJc w:val="left"/>
    </w:lvl>
  </w:abstractNum>
  <w:abstractNum w:abstractNumId="190" w15:restartNumberingAfterBreak="0">
    <w:nsid w:val="16225180"/>
    <w:multiLevelType w:val="hybridMultilevel"/>
    <w:tmpl w:val="B62E9FA2"/>
    <w:lvl w:ilvl="0" w:tplc="A6B86B76">
      <w:start w:val="1"/>
      <w:numFmt w:val="bullet"/>
      <w:lvlText w:val=""/>
      <w:lvlJc w:val="left"/>
      <w:pPr>
        <w:ind w:left="720" w:hanging="180"/>
      </w:pPr>
      <w:rPr>
        <w:rFonts w:ascii="Symbol" w:hAnsi="Symbol" w:hint="default"/>
      </w:rPr>
    </w:lvl>
    <w:lvl w:ilvl="1" w:tplc="FB22117A">
      <w:numFmt w:val="decimal"/>
      <w:lvlText w:val=""/>
      <w:lvlJc w:val="left"/>
    </w:lvl>
    <w:lvl w:ilvl="2" w:tplc="D414A40A">
      <w:numFmt w:val="decimal"/>
      <w:lvlText w:val=""/>
      <w:lvlJc w:val="left"/>
    </w:lvl>
    <w:lvl w:ilvl="3" w:tplc="A0B02C50">
      <w:numFmt w:val="decimal"/>
      <w:lvlText w:val=""/>
      <w:lvlJc w:val="left"/>
    </w:lvl>
    <w:lvl w:ilvl="4" w:tplc="4BE27976">
      <w:numFmt w:val="decimal"/>
      <w:lvlText w:val=""/>
      <w:lvlJc w:val="left"/>
    </w:lvl>
    <w:lvl w:ilvl="5" w:tplc="FFD0861C">
      <w:numFmt w:val="decimal"/>
      <w:lvlText w:val=""/>
      <w:lvlJc w:val="left"/>
    </w:lvl>
    <w:lvl w:ilvl="6" w:tplc="749888DA">
      <w:numFmt w:val="decimal"/>
      <w:lvlText w:val=""/>
      <w:lvlJc w:val="left"/>
    </w:lvl>
    <w:lvl w:ilvl="7" w:tplc="B046F2A6">
      <w:numFmt w:val="decimal"/>
      <w:lvlText w:val=""/>
      <w:lvlJc w:val="left"/>
    </w:lvl>
    <w:lvl w:ilvl="8" w:tplc="5F70B724">
      <w:numFmt w:val="decimal"/>
      <w:lvlText w:val=""/>
      <w:lvlJc w:val="left"/>
    </w:lvl>
  </w:abstractNum>
  <w:abstractNum w:abstractNumId="191" w15:restartNumberingAfterBreak="0">
    <w:nsid w:val="162944B8"/>
    <w:multiLevelType w:val="hybridMultilevel"/>
    <w:tmpl w:val="29C032CE"/>
    <w:lvl w:ilvl="0" w:tplc="697670CA">
      <w:numFmt w:val="decimal"/>
      <w:lvlText w:val=""/>
      <w:lvlJc w:val="left"/>
    </w:lvl>
    <w:lvl w:ilvl="1" w:tplc="881AC336">
      <w:start w:val="1"/>
      <w:numFmt w:val="bullet"/>
      <w:lvlText w:val=""/>
      <w:lvlJc w:val="left"/>
      <w:pPr>
        <w:ind w:left="1440" w:hanging="180"/>
      </w:pPr>
      <w:rPr>
        <w:rFonts w:ascii="Symbol" w:hAnsi="Symbol" w:hint="default"/>
      </w:rPr>
    </w:lvl>
    <w:lvl w:ilvl="2" w:tplc="AB708328">
      <w:numFmt w:val="decimal"/>
      <w:lvlText w:val=""/>
      <w:lvlJc w:val="left"/>
    </w:lvl>
    <w:lvl w:ilvl="3" w:tplc="2D02EFA0">
      <w:numFmt w:val="decimal"/>
      <w:lvlText w:val=""/>
      <w:lvlJc w:val="left"/>
    </w:lvl>
    <w:lvl w:ilvl="4" w:tplc="5886613A">
      <w:numFmt w:val="decimal"/>
      <w:lvlText w:val=""/>
      <w:lvlJc w:val="left"/>
    </w:lvl>
    <w:lvl w:ilvl="5" w:tplc="71C2887E">
      <w:numFmt w:val="decimal"/>
      <w:lvlText w:val=""/>
      <w:lvlJc w:val="left"/>
    </w:lvl>
    <w:lvl w:ilvl="6" w:tplc="DE76D1D0">
      <w:numFmt w:val="decimal"/>
      <w:lvlText w:val=""/>
      <w:lvlJc w:val="left"/>
    </w:lvl>
    <w:lvl w:ilvl="7" w:tplc="D65AF5E8">
      <w:numFmt w:val="decimal"/>
      <w:lvlText w:val=""/>
      <w:lvlJc w:val="left"/>
    </w:lvl>
    <w:lvl w:ilvl="8" w:tplc="70E4644E">
      <w:numFmt w:val="decimal"/>
      <w:lvlText w:val=""/>
      <w:lvlJc w:val="left"/>
    </w:lvl>
  </w:abstractNum>
  <w:abstractNum w:abstractNumId="192" w15:restartNumberingAfterBreak="0">
    <w:nsid w:val="16317AF2"/>
    <w:multiLevelType w:val="hybridMultilevel"/>
    <w:tmpl w:val="B4BADBBC"/>
    <w:lvl w:ilvl="0" w:tplc="5F6ABDBA">
      <w:start w:val="1"/>
      <w:numFmt w:val="bullet"/>
      <w:lvlText w:val=""/>
      <w:lvlJc w:val="left"/>
      <w:pPr>
        <w:ind w:left="720" w:hanging="180"/>
      </w:pPr>
      <w:rPr>
        <w:rFonts w:ascii="Symbol" w:hAnsi="Symbol" w:hint="default"/>
      </w:rPr>
    </w:lvl>
    <w:lvl w:ilvl="1" w:tplc="0BC29102">
      <w:numFmt w:val="decimal"/>
      <w:lvlText w:val=""/>
      <w:lvlJc w:val="left"/>
    </w:lvl>
    <w:lvl w:ilvl="2" w:tplc="64C685F4">
      <w:numFmt w:val="decimal"/>
      <w:lvlText w:val=""/>
      <w:lvlJc w:val="left"/>
    </w:lvl>
    <w:lvl w:ilvl="3" w:tplc="4748FA26">
      <w:numFmt w:val="decimal"/>
      <w:lvlText w:val=""/>
      <w:lvlJc w:val="left"/>
    </w:lvl>
    <w:lvl w:ilvl="4" w:tplc="2D184280">
      <w:numFmt w:val="decimal"/>
      <w:lvlText w:val=""/>
      <w:lvlJc w:val="left"/>
    </w:lvl>
    <w:lvl w:ilvl="5" w:tplc="7696F242">
      <w:numFmt w:val="decimal"/>
      <w:lvlText w:val=""/>
      <w:lvlJc w:val="left"/>
    </w:lvl>
    <w:lvl w:ilvl="6" w:tplc="85BC20A2">
      <w:numFmt w:val="decimal"/>
      <w:lvlText w:val=""/>
      <w:lvlJc w:val="left"/>
    </w:lvl>
    <w:lvl w:ilvl="7" w:tplc="3C947F42">
      <w:numFmt w:val="decimal"/>
      <w:lvlText w:val=""/>
      <w:lvlJc w:val="left"/>
    </w:lvl>
    <w:lvl w:ilvl="8" w:tplc="6CDCA186">
      <w:numFmt w:val="decimal"/>
      <w:lvlText w:val=""/>
      <w:lvlJc w:val="left"/>
    </w:lvl>
  </w:abstractNum>
  <w:abstractNum w:abstractNumId="193" w15:restartNumberingAfterBreak="0">
    <w:nsid w:val="163D6137"/>
    <w:multiLevelType w:val="hybridMultilevel"/>
    <w:tmpl w:val="791CB404"/>
    <w:lvl w:ilvl="0" w:tplc="9508E59A">
      <w:numFmt w:val="decimal"/>
      <w:lvlText w:val=""/>
      <w:lvlJc w:val="left"/>
    </w:lvl>
    <w:lvl w:ilvl="1" w:tplc="E9089998">
      <w:start w:val="1"/>
      <w:numFmt w:val="bullet"/>
      <w:lvlText w:val=""/>
      <w:lvlJc w:val="left"/>
      <w:pPr>
        <w:ind w:left="1440" w:hanging="180"/>
      </w:pPr>
      <w:rPr>
        <w:rFonts w:ascii="Symbol" w:hAnsi="Symbol" w:hint="default"/>
      </w:rPr>
    </w:lvl>
    <w:lvl w:ilvl="2" w:tplc="CE981848">
      <w:numFmt w:val="decimal"/>
      <w:lvlText w:val=""/>
      <w:lvlJc w:val="left"/>
    </w:lvl>
    <w:lvl w:ilvl="3" w:tplc="DF322A6E">
      <w:numFmt w:val="decimal"/>
      <w:lvlText w:val=""/>
      <w:lvlJc w:val="left"/>
    </w:lvl>
    <w:lvl w:ilvl="4" w:tplc="39FCFCBC">
      <w:numFmt w:val="decimal"/>
      <w:lvlText w:val=""/>
      <w:lvlJc w:val="left"/>
    </w:lvl>
    <w:lvl w:ilvl="5" w:tplc="4A505624">
      <w:numFmt w:val="decimal"/>
      <w:lvlText w:val=""/>
      <w:lvlJc w:val="left"/>
    </w:lvl>
    <w:lvl w:ilvl="6" w:tplc="04A479AC">
      <w:numFmt w:val="decimal"/>
      <w:lvlText w:val=""/>
      <w:lvlJc w:val="left"/>
    </w:lvl>
    <w:lvl w:ilvl="7" w:tplc="5F0017BA">
      <w:numFmt w:val="decimal"/>
      <w:lvlText w:val=""/>
      <w:lvlJc w:val="left"/>
    </w:lvl>
    <w:lvl w:ilvl="8" w:tplc="A15CAD68">
      <w:numFmt w:val="decimal"/>
      <w:lvlText w:val=""/>
      <w:lvlJc w:val="left"/>
    </w:lvl>
  </w:abstractNum>
  <w:abstractNum w:abstractNumId="194" w15:restartNumberingAfterBreak="0">
    <w:nsid w:val="164753C2"/>
    <w:multiLevelType w:val="hybridMultilevel"/>
    <w:tmpl w:val="1E9212AE"/>
    <w:lvl w:ilvl="0" w:tplc="ECC26244">
      <w:start w:val="1"/>
      <w:numFmt w:val="bullet"/>
      <w:lvlText w:val=""/>
      <w:lvlJc w:val="left"/>
      <w:pPr>
        <w:ind w:left="720" w:hanging="180"/>
      </w:pPr>
      <w:rPr>
        <w:rFonts w:ascii="Symbol" w:hAnsi="Symbol" w:hint="default"/>
      </w:rPr>
    </w:lvl>
    <w:lvl w:ilvl="1" w:tplc="6592FEA4">
      <w:numFmt w:val="decimal"/>
      <w:lvlText w:val=""/>
      <w:lvlJc w:val="left"/>
    </w:lvl>
    <w:lvl w:ilvl="2" w:tplc="82B024FC">
      <w:numFmt w:val="decimal"/>
      <w:lvlText w:val=""/>
      <w:lvlJc w:val="left"/>
    </w:lvl>
    <w:lvl w:ilvl="3" w:tplc="6020426A">
      <w:numFmt w:val="decimal"/>
      <w:lvlText w:val=""/>
      <w:lvlJc w:val="left"/>
    </w:lvl>
    <w:lvl w:ilvl="4" w:tplc="5DCE2AE6">
      <w:numFmt w:val="decimal"/>
      <w:lvlText w:val=""/>
      <w:lvlJc w:val="left"/>
    </w:lvl>
    <w:lvl w:ilvl="5" w:tplc="2D289CEE">
      <w:numFmt w:val="decimal"/>
      <w:lvlText w:val=""/>
      <w:lvlJc w:val="left"/>
    </w:lvl>
    <w:lvl w:ilvl="6" w:tplc="07F6DEC2">
      <w:numFmt w:val="decimal"/>
      <w:lvlText w:val=""/>
      <w:lvlJc w:val="left"/>
    </w:lvl>
    <w:lvl w:ilvl="7" w:tplc="4A4CA884">
      <w:numFmt w:val="decimal"/>
      <w:lvlText w:val=""/>
      <w:lvlJc w:val="left"/>
    </w:lvl>
    <w:lvl w:ilvl="8" w:tplc="6964946C">
      <w:numFmt w:val="decimal"/>
      <w:lvlText w:val=""/>
      <w:lvlJc w:val="left"/>
    </w:lvl>
  </w:abstractNum>
  <w:abstractNum w:abstractNumId="195" w15:restartNumberingAfterBreak="0">
    <w:nsid w:val="165D3126"/>
    <w:multiLevelType w:val="hybridMultilevel"/>
    <w:tmpl w:val="596A936E"/>
    <w:lvl w:ilvl="0" w:tplc="5158FD84">
      <w:start w:val="1"/>
      <w:numFmt w:val="bullet"/>
      <w:lvlText w:val=""/>
      <w:lvlJc w:val="left"/>
      <w:pPr>
        <w:ind w:left="720" w:hanging="180"/>
      </w:pPr>
      <w:rPr>
        <w:rFonts w:ascii="Symbol" w:hAnsi="Symbol" w:hint="default"/>
      </w:rPr>
    </w:lvl>
    <w:lvl w:ilvl="1" w:tplc="7D9EB762">
      <w:numFmt w:val="decimal"/>
      <w:lvlText w:val=""/>
      <w:lvlJc w:val="left"/>
    </w:lvl>
    <w:lvl w:ilvl="2" w:tplc="A9C0DDB6">
      <w:numFmt w:val="decimal"/>
      <w:lvlText w:val=""/>
      <w:lvlJc w:val="left"/>
    </w:lvl>
    <w:lvl w:ilvl="3" w:tplc="2E88A4B2">
      <w:numFmt w:val="decimal"/>
      <w:lvlText w:val=""/>
      <w:lvlJc w:val="left"/>
    </w:lvl>
    <w:lvl w:ilvl="4" w:tplc="F23EC8C8">
      <w:numFmt w:val="decimal"/>
      <w:lvlText w:val=""/>
      <w:lvlJc w:val="left"/>
    </w:lvl>
    <w:lvl w:ilvl="5" w:tplc="37B47630">
      <w:numFmt w:val="decimal"/>
      <w:lvlText w:val=""/>
      <w:lvlJc w:val="left"/>
    </w:lvl>
    <w:lvl w:ilvl="6" w:tplc="81B0E382">
      <w:numFmt w:val="decimal"/>
      <w:lvlText w:val=""/>
      <w:lvlJc w:val="left"/>
    </w:lvl>
    <w:lvl w:ilvl="7" w:tplc="8026CE36">
      <w:numFmt w:val="decimal"/>
      <w:lvlText w:val=""/>
      <w:lvlJc w:val="left"/>
    </w:lvl>
    <w:lvl w:ilvl="8" w:tplc="A22AD6D8">
      <w:numFmt w:val="decimal"/>
      <w:lvlText w:val=""/>
      <w:lvlJc w:val="left"/>
    </w:lvl>
  </w:abstractNum>
  <w:abstractNum w:abstractNumId="196" w15:restartNumberingAfterBreak="0">
    <w:nsid w:val="167A7F97"/>
    <w:multiLevelType w:val="hybridMultilevel"/>
    <w:tmpl w:val="56406256"/>
    <w:lvl w:ilvl="0" w:tplc="F92E1AAA">
      <w:start w:val="1"/>
      <w:numFmt w:val="bullet"/>
      <w:lvlText w:val=""/>
      <w:lvlJc w:val="left"/>
      <w:pPr>
        <w:ind w:left="720" w:hanging="180"/>
      </w:pPr>
      <w:rPr>
        <w:rFonts w:ascii="Symbol" w:hAnsi="Symbol" w:hint="default"/>
      </w:rPr>
    </w:lvl>
    <w:lvl w:ilvl="1" w:tplc="43C8AAFC">
      <w:numFmt w:val="decimal"/>
      <w:lvlText w:val=""/>
      <w:lvlJc w:val="left"/>
    </w:lvl>
    <w:lvl w:ilvl="2" w:tplc="F576718E">
      <w:numFmt w:val="decimal"/>
      <w:lvlText w:val=""/>
      <w:lvlJc w:val="left"/>
    </w:lvl>
    <w:lvl w:ilvl="3" w:tplc="DFA41704">
      <w:numFmt w:val="decimal"/>
      <w:lvlText w:val=""/>
      <w:lvlJc w:val="left"/>
    </w:lvl>
    <w:lvl w:ilvl="4" w:tplc="74C663E2">
      <w:numFmt w:val="decimal"/>
      <w:lvlText w:val=""/>
      <w:lvlJc w:val="left"/>
    </w:lvl>
    <w:lvl w:ilvl="5" w:tplc="351855EA">
      <w:numFmt w:val="decimal"/>
      <w:lvlText w:val=""/>
      <w:lvlJc w:val="left"/>
    </w:lvl>
    <w:lvl w:ilvl="6" w:tplc="74C29D2E">
      <w:numFmt w:val="decimal"/>
      <w:lvlText w:val=""/>
      <w:lvlJc w:val="left"/>
    </w:lvl>
    <w:lvl w:ilvl="7" w:tplc="85F6B9DA">
      <w:numFmt w:val="decimal"/>
      <w:lvlText w:val=""/>
      <w:lvlJc w:val="left"/>
    </w:lvl>
    <w:lvl w:ilvl="8" w:tplc="772E9B48">
      <w:numFmt w:val="decimal"/>
      <w:lvlText w:val=""/>
      <w:lvlJc w:val="left"/>
    </w:lvl>
  </w:abstractNum>
  <w:abstractNum w:abstractNumId="197" w15:restartNumberingAfterBreak="0">
    <w:nsid w:val="16BB2B06"/>
    <w:multiLevelType w:val="hybridMultilevel"/>
    <w:tmpl w:val="7BE8ED1E"/>
    <w:lvl w:ilvl="0" w:tplc="2D2EBE04">
      <w:start w:val="1"/>
      <w:numFmt w:val="bullet"/>
      <w:lvlText w:val=""/>
      <w:lvlJc w:val="left"/>
      <w:pPr>
        <w:ind w:left="720" w:hanging="180"/>
      </w:pPr>
      <w:rPr>
        <w:rFonts w:ascii="Symbol" w:hAnsi="Symbol" w:hint="default"/>
      </w:rPr>
    </w:lvl>
    <w:lvl w:ilvl="1" w:tplc="2D3CBDC2">
      <w:numFmt w:val="decimal"/>
      <w:lvlText w:val=""/>
      <w:lvlJc w:val="left"/>
    </w:lvl>
    <w:lvl w:ilvl="2" w:tplc="2E6EBDEC">
      <w:numFmt w:val="decimal"/>
      <w:lvlText w:val=""/>
      <w:lvlJc w:val="left"/>
    </w:lvl>
    <w:lvl w:ilvl="3" w:tplc="7896751A">
      <w:numFmt w:val="decimal"/>
      <w:lvlText w:val=""/>
      <w:lvlJc w:val="left"/>
    </w:lvl>
    <w:lvl w:ilvl="4" w:tplc="DBCA52F8">
      <w:numFmt w:val="decimal"/>
      <w:lvlText w:val=""/>
      <w:lvlJc w:val="left"/>
    </w:lvl>
    <w:lvl w:ilvl="5" w:tplc="4AD0714C">
      <w:numFmt w:val="decimal"/>
      <w:lvlText w:val=""/>
      <w:lvlJc w:val="left"/>
    </w:lvl>
    <w:lvl w:ilvl="6" w:tplc="D158D88E">
      <w:numFmt w:val="decimal"/>
      <w:lvlText w:val=""/>
      <w:lvlJc w:val="left"/>
    </w:lvl>
    <w:lvl w:ilvl="7" w:tplc="70B421D0">
      <w:numFmt w:val="decimal"/>
      <w:lvlText w:val=""/>
      <w:lvlJc w:val="left"/>
    </w:lvl>
    <w:lvl w:ilvl="8" w:tplc="B2F84320">
      <w:numFmt w:val="decimal"/>
      <w:lvlText w:val=""/>
      <w:lvlJc w:val="left"/>
    </w:lvl>
  </w:abstractNum>
  <w:abstractNum w:abstractNumId="198" w15:restartNumberingAfterBreak="0">
    <w:nsid w:val="16E1651E"/>
    <w:multiLevelType w:val="hybridMultilevel"/>
    <w:tmpl w:val="EAFC8172"/>
    <w:lvl w:ilvl="0" w:tplc="782496F8">
      <w:start w:val="1"/>
      <w:numFmt w:val="bullet"/>
      <w:lvlText w:val=""/>
      <w:lvlJc w:val="left"/>
      <w:pPr>
        <w:ind w:left="720" w:hanging="180"/>
      </w:pPr>
      <w:rPr>
        <w:rFonts w:ascii="Symbol" w:hAnsi="Symbol" w:hint="default"/>
      </w:rPr>
    </w:lvl>
    <w:lvl w:ilvl="1" w:tplc="2CBC77EE">
      <w:numFmt w:val="decimal"/>
      <w:lvlText w:val=""/>
      <w:lvlJc w:val="left"/>
    </w:lvl>
    <w:lvl w:ilvl="2" w:tplc="83B41A4C">
      <w:numFmt w:val="decimal"/>
      <w:lvlText w:val=""/>
      <w:lvlJc w:val="left"/>
    </w:lvl>
    <w:lvl w:ilvl="3" w:tplc="422E4F2C">
      <w:numFmt w:val="decimal"/>
      <w:lvlText w:val=""/>
      <w:lvlJc w:val="left"/>
    </w:lvl>
    <w:lvl w:ilvl="4" w:tplc="C6F0A01C">
      <w:numFmt w:val="decimal"/>
      <w:lvlText w:val=""/>
      <w:lvlJc w:val="left"/>
    </w:lvl>
    <w:lvl w:ilvl="5" w:tplc="FB6847B6">
      <w:numFmt w:val="decimal"/>
      <w:lvlText w:val=""/>
      <w:lvlJc w:val="left"/>
    </w:lvl>
    <w:lvl w:ilvl="6" w:tplc="786EB8BE">
      <w:numFmt w:val="decimal"/>
      <w:lvlText w:val=""/>
      <w:lvlJc w:val="left"/>
    </w:lvl>
    <w:lvl w:ilvl="7" w:tplc="0038DABC">
      <w:numFmt w:val="decimal"/>
      <w:lvlText w:val=""/>
      <w:lvlJc w:val="left"/>
    </w:lvl>
    <w:lvl w:ilvl="8" w:tplc="06A42D92">
      <w:numFmt w:val="decimal"/>
      <w:lvlText w:val=""/>
      <w:lvlJc w:val="left"/>
    </w:lvl>
  </w:abstractNum>
  <w:abstractNum w:abstractNumId="199" w15:restartNumberingAfterBreak="0">
    <w:nsid w:val="175437E1"/>
    <w:multiLevelType w:val="hybridMultilevel"/>
    <w:tmpl w:val="DEEA6AB0"/>
    <w:lvl w:ilvl="0" w:tplc="5FB623D8">
      <w:start w:val="1"/>
      <w:numFmt w:val="bullet"/>
      <w:lvlText w:val=""/>
      <w:lvlJc w:val="left"/>
      <w:pPr>
        <w:ind w:left="720" w:hanging="180"/>
      </w:pPr>
      <w:rPr>
        <w:rFonts w:ascii="Symbol" w:hAnsi="Symbol" w:hint="default"/>
      </w:rPr>
    </w:lvl>
    <w:lvl w:ilvl="1" w:tplc="72884632">
      <w:numFmt w:val="decimal"/>
      <w:lvlText w:val=""/>
      <w:lvlJc w:val="left"/>
    </w:lvl>
    <w:lvl w:ilvl="2" w:tplc="37AC2232">
      <w:numFmt w:val="decimal"/>
      <w:lvlText w:val=""/>
      <w:lvlJc w:val="left"/>
    </w:lvl>
    <w:lvl w:ilvl="3" w:tplc="55643E58">
      <w:numFmt w:val="decimal"/>
      <w:lvlText w:val=""/>
      <w:lvlJc w:val="left"/>
    </w:lvl>
    <w:lvl w:ilvl="4" w:tplc="0D864474">
      <w:numFmt w:val="decimal"/>
      <w:lvlText w:val=""/>
      <w:lvlJc w:val="left"/>
    </w:lvl>
    <w:lvl w:ilvl="5" w:tplc="6E760F0C">
      <w:numFmt w:val="decimal"/>
      <w:lvlText w:val=""/>
      <w:lvlJc w:val="left"/>
    </w:lvl>
    <w:lvl w:ilvl="6" w:tplc="8EEA247E">
      <w:numFmt w:val="decimal"/>
      <w:lvlText w:val=""/>
      <w:lvlJc w:val="left"/>
    </w:lvl>
    <w:lvl w:ilvl="7" w:tplc="3C5047F4">
      <w:numFmt w:val="decimal"/>
      <w:lvlText w:val=""/>
      <w:lvlJc w:val="left"/>
    </w:lvl>
    <w:lvl w:ilvl="8" w:tplc="C9D6A358">
      <w:numFmt w:val="decimal"/>
      <w:lvlText w:val=""/>
      <w:lvlJc w:val="left"/>
    </w:lvl>
  </w:abstractNum>
  <w:abstractNum w:abstractNumId="200" w15:restartNumberingAfterBreak="0">
    <w:nsid w:val="175B3E2A"/>
    <w:multiLevelType w:val="hybridMultilevel"/>
    <w:tmpl w:val="307C4C00"/>
    <w:lvl w:ilvl="0" w:tplc="F5BA60AA">
      <w:numFmt w:val="decimal"/>
      <w:lvlText w:val=""/>
      <w:lvlJc w:val="left"/>
    </w:lvl>
    <w:lvl w:ilvl="1" w:tplc="C276CE0A">
      <w:start w:val="1"/>
      <w:numFmt w:val="bullet"/>
      <w:lvlText w:val=""/>
      <w:lvlJc w:val="left"/>
      <w:pPr>
        <w:ind w:left="1440" w:hanging="180"/>
      </w:pPr>
      <w:rPr>
        <w:rFonts w:ascii="Symbol" w:hAnsi="Symbol" w:hint="default"/>
      </w:rPr>
    </w:lvl>
    <w:lvl w:ilvl="2" w:tplc="CC5ECCA0">
      <w:numFmt w:val="decimal"/>
      <w:lvlText w:val=""/>
      <w:lvlJc w:val="left"/>
    </w:lvl>
    <w:lvl w:ilvl="3" w:tplc="94C4943C">
      <w:numFmt w:val="decimal"/>
      <w:lvlText w:val=""/>
      <w:lvlJc w:val="left"/>
    </w:lvl>
    <w:lvl w:ilvl="4" w:tplc="3E861AEC">
      <w:numFmt w:val="decimal"/>
      <w:lvlText w:val=""/>
      <w:lvlJc w:val="left"/>
    </w:lvl>
    <w:lvl w:ilvl="5" w:tplc="14FA1392">
      <w:numFmt w:val="decimal"/>
      <w:lvlText w:val=""/>
      <w:lvlJc w:val="left"/>
    </w:lvl>
    <w:lvl w:ilvl="6" w:tplc="3FB0C3C2">
      <w:numFmt w:val="decimal"/>
      <w:lvlText w:val=""/>
      <w:lvlJc w:val="left"/>
    </w:lvl>
    <w:lvl w:ilvl="7" w:tplc="98E28CA0">
      <w:numFmt w:val="decimal"/>
      <w:lvlText w:val=""/>
      <w:lvlJc w:val="left"/>
    </w:lvl>
    <w:lvl w:ilvl="8" w:tplc="633ED570">
      <w:numFmt w:val="decimal"/>
      <w:lvlText w:val=""/>
      <w:lvlJc w:val="left"/>
    </w:lvl>
  </w:abstractNum>
  <w:abstractNum w:abstractNumId="201" w15:restartNumberingAfterBreak="0">
    <w:nsid w:val="17640235"/>
    <w:multiLevelType w:val="hybridMultilevel"/>
    <w:tmpl w:val="A28655A2"/>
    <w:lvl w:ilvl="0" w:tplc="A8846FAA">
      <w:numFmt w:val="decimal"/>
      <w:lvlText w:val=""/>
      <w:lvlJc w:val="left"/>
    </w:lvl>
    <w:lvl w:ilvl="1" w:tplc="2FF4FDB2">
      <w:start w:val="1"/>
      <w:numFmt w:val="bullet"/>
      <w:lvlText w:val=""/>
      <w:lvlJc w:val="left"/>
      <w:pPr>
        <w:ind w:left="1440" w:hanging="180"/>
      </w:pPr>
      <w:rPr>
        <w:rFonts w:ascii="Symbol" w:hAnsi="Symbol" w:hint="default"/>
      </w:rPr>
    </w:lvl>
    <w:lvl w:ilvl="2" w:tplc="3406426A">
      <w:numFmt w:val="decimal"/>
      <w:lvlText w:val=""/>
      <w:lvlJc w:val="left"/>
    </w:lvl>
    <w:lvl w:ilvl="3" w:tplc="36827610">
      <w:numFmt w:val="decimal"/>
      <w:lvlText w:val=""/>
      <w:lvlJc w:val="left"/>
    </w:lvl>
    <w:lvl w:ilvl="4" w:tplc="AD285874">
      <w:numFmt w:val="decimal"/>
      <w:lvlText w:val=""/>
      <w:lvlJc w:val="left"/>
    </w:lvl>
    <w:lvl w:ilvl="5" w:tplc="C9E275F4">
      <w:numFmt w:val="decimal"/>
      <w:lvlText w:val=""/>
      <w:lvlJc w:val="left"/>
    </w:lvl>
    <w:lvl w:ilvl="6" w:tplc="6EB48314">
      <w:numFmt w:val="decimal"/>
      <w:lvlText w:val=""/>
      <w:lvlJc w:val="left"/>
    </w:lvl>
    <w:lvl w:ilvl="7" w:tplc="204A023E">
      <w:numFmt w:val="decimal"/>
      <w:lvlText w:val=""/>
      <w:lvlJc w:val="left"/>
    </w:lvl>
    <w:lvl w:ilvl="8" w:tplc="56DA4912">
      <w:numFmt w:val="decimal"/>
      <w:lvlText w:val=""/>
      <w:lvlJc w:val="left"/>
    </w:lvl>
  </w:abstractNum>
  <w:abstractNum w:abstractNumId="202" w15:restartNumberingAfterBreak="0">
    <w:nsid w:val="17710183"/>
    <w:multiLevelType w:val="hybridMultilevel"/>
    <w:tmpl w:val="67463D8C"/>
    <w:lvl w:ilvl="0" w:tplc="8D127C48">
      <w:start w:val="1"/>
      <w:numFmt w:val="bullet"/>
      <w:lvlText w:val=""/>
      <w:lvlJc w:val="left"/>
      <w:pPr>
        <w:ind w:left="720" w:hanging="180"/>
      </w:pPr>
      <w:rPr>
        <w:rFonts w:ascii="Symbol" w:hAnsi="Symbol" w:hint="default"/>
      </w:rPr>
    </w:lvl>
    <w:lvl w:ilvl="1" w:tplc="79924CD8">
      <w:numFmt w:val="decimal"/>
      <w:lvlText w:val=""/>
      <w:lvlJc w:val="left"/>
    </w:lvl>
    <w:lvl w:ilvl="2" w:tplc="893C530A">
      <w:numFmt w:val="decimal"/>
      <w:lvlText w:val=""/>
      <w:lvlJc w:val="left"/>
    </w:lvl>
    <w:lvl w:ilvl="3" w:tplc="34203B1C">
      <w:numFmt w:val="decimal"/>
      <w:lvlText w:val=""/>
      <w:lvlJc w:val="left"/>
    </w:lvl>
    <w:lvl w:ilvl="4" w:tplc="F0DA7B84">
      <w:numFmt w:val="decimal"/>
      <w:lvlText w:val=""/>
      <w:lvlJc w:val="left"/>
    </w:lvl>
    <w:lvl w:ilvl="5" w:tplc="E1F6337A">
      <w:numFmt w:val="decimal"/>
      <w:lvlText w:val=""/>
      <w:lvlJc w:val="left"/>
    </w:lvl>
    <w:lvl w:ilvl="6" w:tplc="4DF07842">
      <w:numFmt w:val="decimal"/>
      <w:lvlText w:val=""/>
      <w:lvlJc w:val="left"/>
    </w:lvl>
    <w:lvl w:ilvl="7" w:tplc="DE981D92">
      <w:numFmt w:val="decimal"/>
      <w:lvlText w:val=""/>
      <w:lvlJc w:val="left"/>
    </w:lvl>
    <w:lvl w:ilvl="8" w:tplc="BE2AF5A6">
      <w:numFmt w:val="decimal"/>
      <w:lvlText w:val=""/>
      <w:lvlJc w:val="left"/>
    </w:lvl>
  </w:abstractNum>
  <w:abstractNum w:abstractNumId="203" w15:restartNumberingAfterBreak="0">
    <w:nsid w:val="177C2419"/>
    <w:multiLevelType w:val="hybridMultilevel"/>
    <w:tmpl w:val="3BBC08A6"/>
    <w:lvl w:ilvl="0" w:tplc="217AC510">
      <w:start w:val="1"/>
      <w:numFmt w:val="bullet"/>
      <w:lvlText w:val=""/>
      <w:lvlJc w:val="left"/>
      <w:pPr>
        <w:ind w:left="720" w:hanging="180"/>
      </w:pPr>
      <w:rPr>
        <w:rFonts w:ascii="Symbol" w:hAnsi="Symbol" w:hint="default"/>
      </w:rPr>
    </w:lvl>
    <w:lvl w:ilvl="1" w:tplc="9D2AD59A">
      <w:numFmt w:val="decimal"/>
      <w:lvlText w:val=""/>
      <w:lvlJc w:val="left"/>
    </w:lvl>
    <w:lvl w:ilvl="2" w:tplc="FD16E468">
      <w:numFmt w:val="decimal"/>
      <w:lvlText w:val=""/>
      <w:lvlJc w:val="left"/>
    </w:lvl>
    <w:lvl w:ilvl="3" w:tplc="FC7E2C02">
      <w:numFmt w:val="decimal"/>
      <w:lvlText w:val=""/>
      <w:lvlJc w:val="left"/>
    </w:lvl>
    <w:lvl w:ilvl="4" w:tplc="AD067072">
      <w:numFmt w:val="decimal"/>
      <w:lvlText w:val=""/>
      <w:lvlJc w:val="left"/>
    </w:lvl>
    <w:lvl w:ilvl="5" w:tplc="4AAC361E">
      <w:numFmt w:val="decimal"/>
      <w:lvlText w:val=""/>
      <w:lvlJc w:val="left"/>
    </w:lvl>
    <w:lvl w:ilvl="6" w:tplc="81BC834A">
      <w:numFmt w:val="decimal"/>
      <w:lvlText w:val=""/>
      <w:lvlJc w:val="left"/>
    </w:lvl>
    <w:lvl w:ilvl="7" w:tplc="18469E56">
      <w:numFmt w:val="decimal"/>
      <w:lvlText w:val=""/>
      <w:lvlJc w:val="left"/>
    </w:lvl>
    <w:lvl w:ilvl="8" w:tplc="AFEC8688">
      <w:numFmt w:val="decimal"/>
      <w:lvlText w:val=""/>
      <w:lvlJc w:val="left"/>
    </w:lvl>
  </w:abstractNum>
  <w:abstractNum w:abstractNumId="204" w15:restartNumberingAfterBreak="0">
    <w:nsid w:val="179435F9"/>
    <w:multiLevelType w:val="hybridMultilevel"/>
    <w:tmpl w:val="B4747942"/>
    <w:lvl w:ilvl="0" w:tplc="524EFB1C">
      <w:start w:val="1"/>
      <w:numFmt w:val="bullet"/>
      <w:lvlText w:val=""/>
      <w:lvlJc w:val="left"/>
      <w:pPr>
        <w:ind w:left="720" w:hanging="180"/>
      </w:pPr>
      <w:rPr>
        <w:rFonts w:ascii="Symbol" w:hAnsi="Symbol" w:hint="default"/>
      </w:rPr>
    </w:lvl>
    <w:lvl w:ilvl="1" w:tplc="136C8664">
      <w:numFmt w:val="decimal"/>
      <w:lvlText w:val=""/>
      <w:lvlJc w:val="left"/>
    </w:lvl>
    <w:lvl w:ilvl="2" w:tplc="37F4D6AA">
      <w:numFmt w:val="decimal"/>
      <w:lvlText w:val=""/>
      <w:lvlJc w:val="left"/>
    </w:lvl>
    <w:lvl w:ilvl="3" w:tplc="B6183B40">
      <w:numFmt w:val="decimal"/>
      <w:lvlText w:val=""/>
      <w:lvlJc w:val="left"/>
    </w:lvl>
    <w:lvl w:ilvl="4" w:tplc="962A650A">
      <w:numFmt w:val="decimal"/>
      <w:lvlText w:val=""/>
      <w:lvlJc w:val="left"/>
    </w:lvl>
    <w:lvl w:ilvl="5" w:tplc="AC6ADEBC">
      <w:numFmt w:val="decimal"/>
      <w:lvlText w:val=""/>
      <w:lvlJc w:val="left"/>
    </w:lvl>
    <w:lvl w:ilvl="6" w:tplc="62025E4C">
      <w:numFmt w:val="decimal"/>
      <w:lvlText w:val=""/>
      <w:lvlJc w:val="left"/>
    </w:lvl>
    <w:lvl w:ilvl="7" w:tplc="140C8994">
      <w:numFmt w:val="decimal"/>
      <w:lvlText w:val=""/>
      <w:lvlJc w:val="left"/>
    </w:lvl>
    <w:lvl w:ilvl="8" w:tplc="578C2EB0">
      <w:numFmt w:val="decimal"/>
      <w:lvlText w:val=""/>
      <w:lvlJc w:val="left"/>
    </w:lvl>
  </w:abstractNum>
  <w:abstractNum w:abstractNumId="205" w15:restartNumberingAfterBreak="0">
    <w:nsid w:val="17DC0976"/>
    <w:multiLevelType w:val="hybridMultilevel"/>
    <w:tmpl w:val="33081ABC"/>
    <w:lvl w:ilvl="0" w:tplc="198C7322">
      <w:start w:val="1"/>
      <w:numFmt w:val="bullet"/>
      <w:lvlText w:val=""/>
      <w:lvlJc w:val="left"/>
      <w:pPr>
        <w:ind w:left="720" w:hanging="180"/>
      </w:pPr>
      <w:rPr>
        <w:rFonts w:ascii="Symbol" w:hAnsi="Symbol" w:hint="default"/>
      </w:rPr>
    </w:lvl>
    <w:lvl w:ilvl="1" w:tplc="83B2D420">
      <w:numFmt w:val="decimal"/>
      <w:lvlText w:val=""/>
      <w:lvlJc w:val="left"/>
    </w:lvl>
    <w:lvl w:ilvl="2" w:tplc="73D4FD80">
      <w:numFmt w:val="decimal"/>
      <w:lvlText w:val=""/>
      <w:lvlJc w:val="left"/>
    </w:lvl>
    <w:lvl w:ilvl="3" w:tplc="E3303B2A">
      <w:numFmt w:val="decimal"/>
      <w:lvlText w:val=""/>
      <w:lvlJc w:val="left"/>
    </w:lvl>
    <w:lvl w:ilvl="4" w:tplc="2B92F9B2">
      <w:numFmt w:val="decimal"/>
      <w:lvlText w:val=""/>
      <w:lvlJc w:val="left"/>
    </w:lvl>
    <w:lvl w:ilvl="5" w:tplc="B98CA7AE">
      <w:numFmt w:val="decimal"/>
      <w:lvlText w:val=""/>
      <w:lvlJc w:val="left"/>
    </w:lvl>
    <w:lvl w:ilvl="6" w:tplc="33C8F7EA">
      <w:numFmt w:val="decimal"/>
      <w:lvlText w:val=""/>
      <w:lvlJc w:val="left"/>
    </w:lvl>
    <w:lvl w:ilvl="7" w:tplc="763A006C">
      <w:numFmt w:val="decimal"/>
      <w:lvlText w:val=""/>
      <w:lvlJc w:val="left"/>
    </w:lvl>
    <w:lvl w:ilvl="8" w:tplc="AD3A1080">
      <w:numFmt w:val="decimal"/>
      <w:lvlText w:val=""/>
      <w:lvlJc w:val="left"/>
    </w:lvl>
  </w:abstractNum>
  <w:abstractNum w:abstractNumId="206" w15:restartNumberingAfterBreak="0">
    <w:nsid w:val="17EE31A9"/>
    <w:multiLevelType w:val="hybridMultilevel"/>
    <w:tmpl w:val="D5C44B64"/>
    <w:lvl w:ilvl="0" w:tplc="9E6E7AB4">
      <w:start w:val="1"/>
      <w:numFmt w:val="bullet"/>
      <w:lvlText w:val=""/>
      <w:lvlJc w:val="left"/>
      <w:pPr>
        <w:ind w:left="720" w:hanging="180"/>
      </w:pPr>
      <w:rPr>
        <w:rFonts w:ascii="Symbol" w:hAnsi="Symbol" w:hint="default"/>
      </w:rPr>
    </w:lvl>
    <w:lvl w:ilvl="1" w:tplc="B42EFFBE">
      <w:numFmt w:val="decimal"/>
      <w:lvlText w:val=""/>
      <w:lvlJc w:val="left"/>
    </w:lvl>
    <w:lvl w:ilvl="2" w:tplc="AE8EF1A8">
      <w:numFmt w:val="decimal"/>
      <w:lvlText w:val=""/>
      <w:lvlJc w:val="left"/>
    </w:lvl>
    <w:lvl w:ilvl="3" w:tplc="60CA8098">
      <w:numFmt w:val="decimal"/>
      <w:lvlText w:val=""/>
      <w:lvlJc w:val="left"/>
    </w:lvl>
    <w:lvl w:ilvl="4" w:tplc="A79A2984">
      <w:numFmt w:val="decimal"/>
      <w:lvlText w:val=""/>
      <w:lvlJc w:val="left"/>
    </w:lvl>
    <w:lvl w:ilvl="5" w:tplc="072EBA30">
      <w:numFmt w:val="decimal"/>
      <w:lvlText w:val=""/>
      <w:lvlJc w:val="left"/>
    </w:lvl>
    <w:lvl w:ilvl="6" w:tplc="48566370">
      <w:numFmt w:val="decimal"/>
      <w:lvlText w:val=""/>
      <w:lvlJc w:val="left"/>
    </w:lvl>
    <w:lvl w:ilvl="7" w:tplc="48CC5040">
      <w:numFmt w:val="decimal"/>
      <w:lvlText w:val=""/>
      <w:lvlJc w:val="left"/>
    </w:lvl>
    <w:lvl w:ilvl="8" w:tplc="33D25C4E">
      <w:numFmt w:val="decimal"/>
      <w:lvlText w:val=""/>
      <w:lvlJc w:val="left"/>
    </w:lvl>
  </w:abstractNum>
  <w:abstractNum w:abstractNumId="207" w15:restartNumberingAfterBreak="0">
    <w:nsid w:val="17F24AA0"/>
    <w:multiLevelType w:val="hybridMultilevel"/>
    <w:tmpl w:val="24E6F2CE"/>
    <w:lvl w:ilvl="0" w:tplc="671CF290">
      <w:start w:val="1"/>
      <w:numFmt w:val="bullet"/>
      <w:lvlText w:val=""/>
      <w:lvlJc w:val="left"/>
      <w:pPr>
        <w:ind w:left="720" w:hanging="180"/>
      </w:pPr>
      <w:rPr>
        <w:rFonts w:ascii="Symbol" w:hAnsi="Symbol" w:hint="default"/>
      </w:rPr>
    </w:lvl>
    <w:lvl w:ilvl="1" w:tplc="00307E52">
      <w:numFmt w:val="decimal"/>
      <w:lvlText w:val=""/>
      <w:lvlJc w:val="left"/>
    </w:lvl>
    <w:lvl w:ilvl="2" w:tplc="A96AC07A">
      <w:numFmt w:val="decimal"/>
      <w:lvlText w:val=""/>
      <w:lvlJc w:val="left"/>
    </w:lvl>
    <w:lvl w:ilvl="3" w:tplc="7E4A56A8">
      <w:numFmt w:val="decimal"/>
      <w:lvlText w:val=""/>
      <w:lvlJc w:val="left"/>
    </w:lvl>
    <w:lvl w:ilvl="4" w:tplc="FD7AC48E">
      <w:numFmt w:val="decimal"/>
      <w:lvlText w:val=""/>
      <w:lvlJc w:val="left"/>
    </w:lvl>
    <w:lvl w:ilvl="5" w:tplc="083C21BC">
      <w:numFmt w:val="decimal"/>
      <w:lvlText w:val=""/>
      <w:lvlJc w:val="left"/>
    </w:lvl>
    <w:lvl w:ilvl="6" w:tplc="7E8061D0">
      <w:numFmt w:val="decimal"/>
      <w:lvlText w:val=""/>
      <w:lvlJc w:val="left"/>
    </w:lvl>
    <w:lvl w:ilvl="7" w:tplc="BFEA00DE">
      <w:numFmt w:val="decimal"/>
      <w:lvlText w:val=""/>
      <w:lvlJc w:val="left"/>
    </w:lvl>
    <w:lvl w:ilvl="8" w:tplc="BA0AC53E">
      <w:numFmt w:val="decimal"/>
      <w:lvlText w:val=""/>
      <w:lvlJc w:val="left"/>
    </w:lvl>
  </w:abstractNum>
  <w:abstractNum w:abstractNumId="208" w15:restartNumberingAfterBreak="0">
    <w:nsid w:val="17F552E3"/>
    <w:multiLevelType w:val="hybridMultilevel"/>
    <w:tmpl w:val="4B38313E"/>
    <w:lvl w:ilvl="0" w:tplc="9E3CFEB4">
      <w:start w:val="1"/>
      <w:numFmt w:val="bullet"/>
      <w:lvlText w:val=""/>
      <w:lvlJc w:val="left"/>
      <w:pPr>
        <w:ind w:left="720" w:hanging="180"/>
      </w:pPr>
      <w:rPr>
        <w:rFonts w:ascii="Symbol" w:hAnsi="Symbol" w:hint="default"/>
      </w:rPr>
    </w:lvl>
    <w:lvl w:ilvl="1" w:tplc="E0EC749A">
      <w:numFmt w:val="decimal"/>
      <w:lvlText w:val=""/>
      <w:lvlJc w:val="left"/>
    </w:lvl>
    <w:lvl w:ilvl="2" w:tplc="C8946998">
      <w:numFmt w:val="decimal"/>
      <w:lvlText w:val=""/>
      <w:lvlJc w:val="left"/>
    </w:lvl>
    <w:lvl w:ilvl="3" w:tplc="55C4DB28">
      <w:numFmt w:val="decimal"/>
      <w:lvlText w:val=""/>
      <w:lvlJc w:val="left"/>
    </w:lvl>
    <w:lvl w:ilvl="4" w:tplc="302EBE66">
      <w:numFmt w:val="decimal"/>
      <w:lvlText w:val=""/>
      <w:lvlJc w:val="left"/>
    </w:lvl>
    <w:lvl w:ilvl="5" w:tplc="CFDA6F3C">
      <w:numFmt w:val="decimal"/>
      <w:lvlText w:val=""/>
      <w:lvlJc w:val="left"/>
    </w:lvl>
    <w:lvl w:ilvl="6" w:tplc="CFD81EC0">
      <w:numFmt w:val="decimal"/>
      <w:lvlText w:val=""/>
      <w:lvlJc w:val="left"/>
    </w:lvl>
    <w:lvl w:ilvl="7" w:tplc="0130C68A">
      <w:numFmt w:val="decimal"/>
      <w:lvlText w:val=""/>
      <w:lvlJc w:val="left"/>
    </w:lvl>
    <w:lvl w:ilvl="8" w:tplc="569C23CE">
      <w:numFmt w:val="decimal"/>
      <w:lvlText w:val=""/>
      <w:lvlJc w:val="left"/>
    </w:lvl>
  </w:abstractNum>
  <w:abstractNum w:abstractNumId="209" w15:restartNumberingAfterBreak="0">
    <w:nsid w:val="17FD70C7"/>
    <w:multiLevelType w:val="hybridMultilevel"/>
    <w:tmpl w:val="BD5CFFDA"/>
    <w:lvl w:ilvl="0" w:tplc="02F4877E">
      <w:start w:val="1"/>
      <w:numFmt w:val="bullet"/>
      <w:lvlText w:val=""/>
      <w:lvlJc w:val="left"/>
      <w:pPr>
        <w:ind w:left="720" w:hanging="180"/>
      </w:pPr>
      <w:rPr>
        <w:rFonts w:ascii="Symbol" w:hAnsi="Symbol" w:hint="default"/>
      </w:rPr>
    </w:lvl>
    <w:lvl w:ilvl="1" w:tplc="5C7208AA">
      <w:numFmt w:val="decimal"/>
      <w:lvlText w:val=""/>
      <w:lvlJc w:val="left"/>
    </w:lvl>
    <w:lvl w:ilvl="2" w:tplc="C5B423B2">
      <w:numFmt w:val="decimal"/>
      <w:lvlText w:val=""/>
      <w:lvlJc w:val="left"/>
    </w:lvl>
    <w:lvl w:ilvl="3" w:tplc="E5C2F388">
      <w:numFmt w:val="decimal"/>
      <w:lvlText w:val=""/>
      <w:lvlJc w:val="left"/>
    </w:lvl>
    <w:lvl w:ilvl="4" w:tplc="5A3E8C3A">
      <w:numFmt w:val="decimal"/>
      <w:lvlText w:val=""/>
      <w:lvlJc w:val="left"/>
    </w:lvl>
    <w:lvl w:ilvl="5" w:tplc="25A6AA7C">
      <w:numFmt w:val="decimal"/>
      <w:lvlText w:val=""/>
      <w:lvlJc w:val="left"/>
    </w:lvl>
    <w:lvl w:ilvl="6" w:tplc="C8D0472A">
      <w:numFmt w:val="decimal"/>
      <w:lvlText w:val=""/>
      <w:lvlJc w:val="left"/>
    </w:lvl>
    <w:lvl w:ilvl="7" w:tplc="806084F4">
      <w:numFmt w:val="decimal"/>
      <w:lvlText w:val=""/>
      <w:lvlJc w:val="left"/>
    </w:lvl>
    <w:lvl w:ilvl="8" w:tplc="1196FE6C">
      <w:numFmt w:val="decimal"/>
      <w:lvlText w:val=""/>
      <w:lvlJc w:val="left"/>
    </w:lvl>
  </w:abstractNum>
  <w:abstractNum w:abstractNumId="210" w15:restartNumberingAfterBreak="0">
    <w:nsid w:val="18005ACB"/>
    <w:multiLevelType w:val="hybridMultilevel"/>
    <w:tmpl w:val="F2483A70"/>
    <w:lvl w:ilvl="0" w:tplc="645A4780">
      <w:start w:val="1"/>
      <w:numFmt w:val="bullet"/>
      <w:lvlText w:val=""/>
      <w:lvlJc w:val="left"/>
      <w:pPr>
        <w:ind w:left="720" w:hanging="180"/>
      </w:pPr>
      <w:rPr>
        <w:rFonts w:ascii="Symbol" w:hAnsi="Symbol" w:hint="default"/>
      </w:rPr>
    </w:lvl>
    <w:lvl w:ilvl="1" w:tplc="4F2A4E06">
      <w:numFmt w:val="decimal"/>
      <w:lvlText w:val=""/>
      <w:lvlJc w:val="left"/>
    </w:lvl>
    <w:lvl w:ilvl="2" w:tplc="D346C6CC">
      <w:numFmt w:val="decimal"/>
      <w:lvlText w:val=""/>
      <w:lvlJc w:val="left"/>
    </w:lvl>
    <w:lvl w:ilvl="3" w:tplc="FEBC2FAA">
      <w:numFmt w:val="decimal"/>
      <w:lvlText w:val=""/>
      <w:lvlJc w:val="left"/>
    </w:lvl>
    <w:lvl w:ilvl="4" w:tplc="0852917E">
      <w:numFmt w:val="decimal"/>
      <w:lvlText w:val=""/>
      <w:lvlJc w:val="left"/>
    </w:lvl>
    <w:lvl w:ilvl="5" w:tplc="2CA4EA62">
      <w:numFmt w:val="decimal"/>
      <w:lvlText w:val=""/>
      <w:lvlJc w:val="left"/>
    </w:lvl>
    <w:lvl w:ilvl="6" w:tplc="509A78E4">
      <w:numFmt w:val="decimal"/>
      <w:lvlText w:val=""/>
      <w:lvlJc w:val="left"/>
    </w:lvl>
    <w:lvl w:ilvl="7" w:tplc="441EC46E">
      <w:numFmt w:val="decimal"/>
      <w:lvlText w:val=""/>
      <w:lvlJc w:val="left"/>
    </w:lvl>
    <w:lvl w:ilvl="8" w:tplc="68A4BFE0">
      <w:numFmt w:val="decimal"/>
      <w:lvlText w:val=""/>
      <w:lvlJc w:val="left"/>
    </w:lvl>
  </w:abstractNum>
  <w:abstractNum w:abstractNumId="211" w15:restartNumberingAfterBreak="0">
    <w:nsid w:val="180C3B87"/>
    <w:multiLevelType w:val="hybridMultilevel"/>
    <w:tmpl w:val="EA36B850"/>
    <w:lvl w:ilvl="0" w:tplc="48A6898A">
      <w:start w:val="1"/>
      <w:numFmt w:val="bullet"/>
      <w:lvlText w:val=""/>
      <w:lvlJc w:val="left"/>
      <w:pPr>
        <w:ind w:left="720" w:hanging="180"/>
      </w:pPr>
      <w:rPr>
        <w:rFonts w:ascii="Symbol" w:hAnsi="Symbol" w:hint="default"/>
      </w:rPr>
    </w:lvl>
    <w:lvl w:ilvl="1" w:tplc="E9A28CC0">
      <w:numFmt w:val="decimal"/>
      <w:lvlText w:val=""/>
      <w:lvlJc w:val="left"/>
    </w:lvl>
    <w:lvl w:ilvl="2" w:tplc="2AC88530">
      <w:numFmt w:val="decimal"/>
      <w:lvlText w:val=""/>
      <w:lvlJc w:val="left"/>
    </w:lvl>
    <w:lvl w:ilvl="3" w:tplc="EF3A2F88">
      <w:numFmt w:val="decimal"/>
      <w:lvlText w:val=""/>
      <w:lvlJc w:val="left"/>
    </w:lvl>
    <w:lvl w:ilvl="4" w:tplc="E47641B6">
      <w:numFmt w:val="decimal"/>
      <w:lvlText w:val=""/>
      <w:lvlJc w:val="left"/>
    </w:lvl>
    <w:lvl w:ilvl="5" w:tplc="4784F726">
      <w:numFmt w:val="decimal"/>
      <w:lvlText w:val=""/>
      <w:lvlJc w:val="left"/>
    </w:lvl>
    <w:lvl w:ilvl="6" w:tplc="08C25CA2">
      <w:numFmt w:val="decimal"/>
      <w:lvlText w:val=""/>
      <w:lvlJc w:val="left"/>
    </w:lvl>
    <w:lvl w:ilvl="7" w:tplc="14C4253A">
      <w:numFmt w:val="decimal"/>
      <w:lvlText w:val=""/>
      <w:lvlJc w:val="left"/>
    </w:lvl>
    <w:lvl w:ilvl="8" w:tplc="76B8DCE2">
      <w:numFmt w:val="decimal"/>
      <w:lvlText w:val=""/>
      <w:lvlJc w:val="left"/>
    </w:lvl>
  </w:abstractNum>
  <w:abstractNum w:abstractNumId="212" w15:restartNumberingAfterBreak="0">
    <w:nsid w:val="18104B09"/>
    <w:multiLevelType w:val="hybridMultilevel"/>
    <w:tmpl w:val="D0BC6714"/>
    <w:lvl w:ilvl="0" w:tplc="D7BA7D92">
      <w:start w:val="1"/>
      <w:numFmt w:val="bullet"/>
      <w:lvlText w:val=""/>
      <w:lvlJc w:val="left"/>
      <w:pPr>
        <w:ind w:left="720" w:hanging="180"/>
      </w:pPr>
      <w:rPr>
        <w:rFonts w:ascii="Symbol" w:hAnsi="Symbol" w:hint="default"/>
      </w:rPr>
    </w:lvl>
    <w:lvl w:ilvl="1" w:tplc="CB54DE16">
      <w:numFmt w:val="decimal"/>
      <w:lvlText w:val=""/>
      <w:lvlJc w:val="left"/>
    </w:lvl>
    <w:lvl w:ilvl="2" w:tplc="B08A4C0C">
      <w:numFmt w:val="decimal"/>
      <w:lvlText w:val=""/>
      <w:lvlJc w:val="left"/>
    </w:lvl>
    <w:lvl w:ilvl="3" w:tplc="F76C6CDA">
      <w:numFmt w:val="decimal"/>
      <w:lvlText w:val=""/>
      <w:lvlJc w:val="left"/>
    </w:lvl>
    <w:lvl w:ilvl="4" w:tplc="5F1C239E">
      <w:numFmt w:val="decimal"/>
      <w:lvlText w:val=""/>
      <w:lvlJc w:val="left"/>
    </w:lvl>
    <w:lvl w:ilvl="5" w:tplc="EBE0756A">
      <w:numFmt w:val="decimal"/>
      <w:lvlText w:val=""/>
      <w:lvlJc w:val="left"/>
    </w:lvl>
    <w:lvl w:ilvl="6" w:tplc="EF842556">
      <w:numFmt w:val="decimal"/>
      <w:lvlText w:val=""/>
      <w:lvlJc w:val="left"/>
    </w:lvl>
    <w:lvl w:ilvl="7" w:tplc="BDEC8CAA">
      <w:numFmt w:val="decimal"/>
      <w:lvlText w:val=""/>
      <w:lvlJc w:val="left"/>
    </w:lvl>
    <w:lvl w:ilvl="8" w:tplc="EF46E8D2">
      <w:numFmt w:val="decimal"/>
      <w:lvlText w:val=""/>
      <w:lvlJc w:val="left"/>
    </w:lvl>
  </w:abstractNum>
  <w:abstractNum w:abstractNumId="213" w15:restartNumberingAfterBreak="0">
    <w:nsid w:val="18331B46"/>
    <w:multiLevelType w:val="hybridMultilevel"/>
    <w:tmpl w:val="00E0CEBE"/>
    <w:lvl w:ilvl="0" w:tplc="F39C4D24">
      <w:start w:val="1"/>
      <w:numFmt w:val="bullet"/>
      <w:lvlText w:val=""/>
      <w:lvlJc w:val="left"/>
      <w:pPr>
        <w:ind w:left="720" w:hanging="180"/>
      </w:pPr>
      <w:rPr>
        <w:rFonts w:ascii="Symbol" w:hAnsi="Symbol" w:hint="default"/>
      </w:rPr>
    </w:lvl>
    <w:lvl w:ilvl="1" w:tplc="F4307FCA">
      <w:numFmt w:val="decimal"/>
      <w:lvlText w:val=""/>
      <w:lvlJc w:val="left"/>
    </w:lvl>
    <w:lvl w:ilvl="2" w:tplc="FDB47B26">
      <w:numFmt w:val="decimal"/>
      <w:lvlText w:val=""/>
      <w:lvlJc w:val="left"/>
    </w:lvl>
    <w:lvl w:ilvl="3" w:tplc="071C0DC8">
      <w:numFmt w:val="decimal"/>
      <w:lvlText w:val=""/>
      <w:lvlJc w:val="left"/>
    </w:lvl>
    <w:lvl w:ilvl="4" w:tplc="FC9A4692">
      <w:numFmt w:val="decimal"/>
      <w:lvlText w:val=""/>
      <w:lvlJc w:val="left"/>
    </w:lvl>
    <w:lvl w:ilvl="5" w:tplc="C8585824">
      <w:numFmt w:val="decimal"/>
      <w:lvlText w:val=""/>
      <w:lvlJc w:val="left"/>
    </w:lvl>
    <w:lvl w:ilvl="6" w:tplc="B48A8794">
      <w:numFmt w:val="decimal"/>
      <w:lvlText w:val=""/>
      <w:lvlJc w:val="left"/>
    </w:lvl>
    <w:lvl w:ilvl="7" w:tplc="DD2A47E8">
      <w:numFmt w:val="decimal"/>
      <w:lvlText w:val=""/>
      <w:lvlJc w:val="left"/>
    </w:lvl>
    <w:lvl w:ilvl="8" w:tplc="206C2788">
      <w:numFmt w:val="decimal"/>
      <w:lvlText w:val=""/>
      <w:lvlJc w:val="left"/>
    </w:lvl>
  </w:abstractNum>
  <w:abstractNum w:abstractNumId="214" w15:restartNumberingAfterBreak="0">
    <w:nsid w:val="185B1025"/>
    <w:multiLevelType w:val="hybridMultilevel"/>
    <w:tmpl w:val="2DF46436"/>
    <w:lvl w:ilvl="0" w:tplc="E0A84F10">
      <w:start w:val="1"/>
      <w:numFmt w:val="bullet"/>
      <w:lvlText w:val=""/>
      <w:lvlJc w:val="left"/>
      <w:pPr>
        <w:ind w:left="720" w:hanging="180"/>
      </w:pPr>
      <w:rPr>
        <w:rFonts w:ascii="Symbol" w:hAnsi="Symbol" w:hint="default"/>
      </w:rPr>
    </w:lvl>
    <w:lvl w:ilvl="1" w:tplc="86480000">
      <w:numFmt w:val="decimal"/>
      <w:lvlText w:val=""/>
      <w:lvlJc w:val="left"/>
    </w:lvl>
    <w:lvl w:ilvl="2" w:tplc="413E3C2C">
      <w:numFmt w:val="decimal"/>
      <w:lvlText w:val=""/>
      <w:lvlJc w:val="left"/>
    </w:lvl>
    <w:lvl w:ilvl="3" w:tplc="DF9C0044">
      <w:numFmt w:val="decimal"/>
      <w:lvlText w:val=""/>
      <w:lvlJc w:val="left"/>
    </w:lvl>
    <w:lvl w:ilvl="4" w:tplc="9A948EBA">
      <w:numFmt w:val="decimal"/>
      <w:lvlText w:val=""/>
      <w:lvlJc w:val="left"/>
    </w:lvl>
    <w:lvl w:ilvl="5" w:tplc="DE82E5BE">
      <w:numFmt w:val="decimal"/>
      <w:lvlText w:val=""/>
      <w:lvlJc w:val="left"/>
    </w:lvl>
    <w:lvl w:ilvl="6" w:tplc="5B74D10A">
      <w:numFmt w:val="decimal"/>
      <w:lvlText w:val=""/>
      <w:lvlJc w:val="left"/>
    </w:lvl>
    <w:lvl w:ilvl="7" w:tplc="F7F28B02">
      <w:numFmt w:val="decimal"/>
      <w:lvlText w:val=""/>
      <w:lvlJc w:val="left"/>
    </w:lvl>
    <w:lvl w:ilvl="8" w:tplc="6B1EB79A">
      <w:numFmt w:val="decimal"/>
      <w:lvlText w:val=""/>
      <w:lvlJc w:val="left"/>
    </w:lvl>
  </w:abstractNum>
  <w:abstractNum w:abstractNumId="215" w15:restartNumberingAfterBreak="0">
    <w:nsid w:val="186228C2"/>
    <w:multiLevelType w:val="hybridMultilevel"/>
    <w:tmpl w:val="BDA03CA6"/>
    <w:lvl w:ilvl="0" w:tplc="3564C82A">
      <w:start w:val="1"/>
      <w:numFmt w:val="bullet"/>
      <w:lvlText w:val=""/>
      <w:lvlJc w:val="left"/>
      <w:pPr>
        <w:ind w:left="720" w:hanging="180"/>
      </w:pPr>
      <w:rPr>
        <w:rFonts w:ascii="Symbol" w:hAnsi="Symbol" w:hint="default"/>
      </w:rPr>
    </w:lvl>
    <w:lvl w:ilvl="1" w:tplc="AA945A7A">
      <w:numFmt w:val="decimal"/>
      <w:lvlText w:val=""/>
      <w:lvlJc w:val="left"/>
    </w:lvl>
    <w:lvl w:ilvl="2" w:tplc="6768A22A">
      <w:numFmt w:val="decimal"/>
      <w:lvlText w:val=""/>
      <w:lvlJc w:val="left"/>
    </w:lvl>
    <w:lvl w:ilvl="3" w:tplc="8CCCDE5C">
      <w:numFmt w:val="decimal"/>
      <w:lvlText w:val=""/>
      <w:lvlJc w:val="left"/>
    </w:lvl>
    <w:lvl w:ilvl="4" w:tplc="EEE210CA">
      <w:numFmt w:val="decimal"/>
      <w:lvlText w:val=""/>
      <w:lvlJc w:val="left"/>
    </w:lvl>
    <w:lvl w:ilvl="5" w:tplc="97646846">
      <w:numFmt w:val="decimal"/>
      <w:lvlText w:val=""/>
      <w:lvlJc w:val="left"/>
    </w:lvl>
    <w:lvl w:ilvl="6" w:tplc="DF28B426">
      <w:numFmt w:val="decimal"/>
      <w:lvlText w:val=""/>
      <w:lvlJc w:val="left"/>
    </w:lvl>
    <w:lvl w:ilvl="7" w:tplc="A59E4BE6">
      <w:numFmt w:val="decimal"/>
      <w:lvlText w:val=""/>
      <w:lvlJc w:val="left"/>
    </w:lvl>
    <w:lvl w:ilvl="8" w:tplc="056A0034">
      <w:numFmt w:val="decimal"/>
      <w:lvlText w:val=""/>
      <w:lvlJc w:val="left"/>
    </w:lvl>
  </w:abstractNum>
  <w:abstractNum w:abstractNumId="216" w15:restartNumberingAfterBreak="0">
    <w:nsid w:val="189371E3"/>
    <w:multiLevelType w:val="hybridMultilevel"/>
    <w:tmpl w:val="B770C348"/>
    <w:lvl w:ilvl="0" w:tplc="4334B79E">
      <w:start w:val="1"/>
      <w:numFmt w:val="bullet"/>
      <w:lvlText w:val=""/>
      <w:lvlJc w:val="left"/>
      <w:pPr>
        <w:ind w:left="720" w:hanging="180"/>
      </w:pPr>
      <w:rPr>
        <w:rFonts w:ascii="Symbol" w:hAnsi="Symbol" w:hint="default"/>
      </w:rPr>
    </w:lvl>
    <w:lvl w:ilvl="1" w:tplc="D24AE97A">
      <w:numFmt w:val="decimal"/>
      <w:lvlText w:val=""/>
      <w:lvlJc w:val="left"/>
    </w:lvl>
    <w:lvl w:ilvl="2" w:tplc="A26C89DA">
      <w:numFmt w:val="decimal"/>
      <w:lvlText w:val=""/>
      <w:lvlJc w:val="left"/>
    </w:lvl>
    <w:lvl w:ilvl="3" w:tplc="E24E5DFE">
      <w:numFmt w:val="decimal"/>
      <w:lvlText w:val=""/>
      <w:lvlJc w:val="left"/>
    </w:lvl>
    <w:lvl w:ilvl="4" w:tplc="7048F478">
      <w:numFmt w:val="decimal"/>
      <w:lvlText w:val=""/>
      <w:lvlJc w:val="left"/>
    </w:lvl>
    <w:lvl w:ilvl="5" w:tplc="4F18AF38">
      <w:numFmt w:val="decimal"/>
      <w:lvlText w:val=""/>
      <w:lvlJc w:val="left"/>
    </w:lvl>
    <w:lvl w:ilvl="6" w:tplc="6EB2431C">
      <w:numFmt w:val="decimal"/>
      <w:lvlText w:val=""/>
      <w:lvlJc w:val="left"/>
    </w:lvl>
    <w:lvl w:ilvl="7" w:tplc="D8CA69AA">
      <w:numFmt w:val="decimal"/>
      <w:lvlText w:val=""/>
      <w:lvlJc w:val="left"/>
    </w:lvl>
    <w:lvl w:ilvl="8" w:tplc="331C3162">
      <w:numFmt w:val="decimal"/>
      <w:lvlText w:val=""/>
      <w:lvlJc w:val="left"/>
    </w:lvl>
  </w:abstractNum>
  <w:abstractNum w:abstractNumId="217" w15:restartNumberingAfterBreak="0">
    <w:nsid w:val="18AB1E86"/>
    <w:multiLevelType w:val="hybridMultilevel"/>
    <w:tmpl w:val="561A8DE8"/>
    <w:lvl w:ilvl="0" w:tplc="8FA2ACB6">
      <w:start w:val="1"/>
      <w:numFmt w:val="bullet"/>
      <w:lvlText w:val=""/>
      <w:lvlJc w:val="left"/>
      <w:pPr>
        <w:ind w:left="720" w:hanging="180"/>
      </w:pPr>
      <w:rPr>
        <w:rFonts w:ascii="Symbol" w:hAnsi="Symbol" w:hint="default"/>
      </w:rPr>
    </w:lvl>
    <w:lvl w:ilvl="1" w:tplc="2D686FBC">
      <w:numFmt w:val="decimal"/>
      <w:lvlText w:val=""/>
      <w:lvlJc w:val="left"/>
    </w:lvl>
    <w:lvl w:ilvl="2" w:tplc="0A023DA2">
      <w:numFmt w:val="decimal"/>
      <w:lvlText w:val=""/>
      <w:lvlJc w:val="left"/>
    </w:lvl>
    <w:lvl w:ilvl="3" w:tplc="F49E1BCC">
      <w:numFmt w:val="decimal"/>
      <w:lvlText w:val=""/>
      <w:lvlJc w:val="left"/>
    </w:lvl>
    <w:lvl w:ilvl="4" w:tplc="BC08F3A2">
      <w:numFmt w:val="decimal"/>
      <w:lvlText w:val=""/>
      <w:lvlJc w:val="left"/>
    </w:lvl>
    <w:lvl w:ilvl="5" w:tplc="3DC89E3C">
      <w:numFmt w:val="decimal"/>
      <w:lvlText w:val=""/>
      <w:lvlJc w:val="left"/>
    </w:lvl>
    <w:lvl w:ilvl="6" w:tplc="152819A0">
      <w:numFmt w:val="decimal"/>
      <w:lvlText w:val=""/>
      <w:lvlJc w:val="left"/>
    </w:lvl>
    <w:lvl w:ilvl="7" w:tplc="8C96C004">
      <w:numFmt w:val="decimal"/>
      <w:lvlText w:val=""/>
      <w:lvlJc w:val="left"/>
    </w:lvl>
    <w:lvl w:ilvl="8" w:tplc="CFFA4C46">
      <w:numFmt w:val="decimal"/>
      <w:lvlText w:val=""/>
      <w:lvlJc w:val="left"/>
    </w:lvl>
  </w:abstractNum>
  <w:abstractNum w:abstractNumId="218" w15:restartNumberingAfterBreak="0">
    <w:nsid w:val="18B102BB"/>
    <w:multiLevelType w:val="hybridMultilevel"/>
    <w:tmpl w:val="EA507F56"/>
    <w:lvl w:ilvl="0" w:tplc="A7CA94A6">
      <w:start w:val="1"/>
      <w:numFmt w:val="bullet"/>
      <w:lvlText w:val=""/>
      <w:lvlJc w:val="left"/>
      <w:pPr>
        <w:ind w:left="720" w:hanging="180"/>
      </w:pPr>
      <w:rPr>
        <w:rFonts w:ascii="Symbol" w:hAnsi="Symbol" w:hint="default"/>
      </w:rPr>
    </w:lvl>
    <w:lvl w:ilvl="1" w:tplc="4F189CE4">
      <w:numFmt w:val="decimal"/>
      <w:lvlText w:val=""/>
      <w:lvlJc w:val="left"/>
    </w:lvl>
    <w:lvl w:ilvl="2" w:tplc="6FB8775E">
      <w:numFmt w:val="decimal"/>
      <w:lvlText w:val=""/>
      <w:lvlJc w:val="left"/>
    </w:lvl>
    <w:lvl w:ilvl="3" w:tplc="C81A4490">
      <w:numFmt w:val="decimal"/>
      <w:lvlText w:val=""/>
      <w:lvlJc w:val="left"/>
    </w:lvl>
    <w:lvl w:ilvl="4" w:tplc="A2BA6936">
      <w:numFmt w:val="decimal"/>
      <w:lvlText w:val=""/>
      <w:lvlJc w:val="left"/>
    </w:lvl>
    <w:lvl w:ilvl="5" w:tplc="956E2B1E">
      <w:numFmt w:val="decimal"/>
      <w:lvlText w:val=""/>
      <w:lvlJc w:val="left"/>
    </w:lvl>
    <w:lvl w:ilvl="6" w:tplc="90349920">
      <w:numFmt w:val="decimal"/>
      <w:lvlText w:val=""/>
      <w:lvlJc w:val="left"/>
    </w:lvl>
    <w:lvl w:ilvl="7" w:tplc="E1283A6A">
      <w:numFmt w:val="decimal"/>
      <w:lvlText w:val=""/>
      <w:lvlJc w:val="left"/>
    </w:lvl>
    <w:lvl w:ilvl="8" w:tplc="5DDE8D94">
      <w:numFmt w:val="decimal"/>
      <w:lvlText w:val=""/>
      <w:lvlJc w:val="left"/>
    </w:lvl>
  </w:abstractNum>
  <w:abstractNum w:abstractNumId="219" w15:restartNumberingAfterBreak="0">
    <w:nsid w:val="18B57AD9"/>
    <w:multiLevelType w:val="hybridMultilevel"/>
    <w:tmpl w:val="406E2810"/>
    <w:lvl w:ilvl="0" w:tplc="701A30C2">
      <w:start w:val="1"/>
      <w:numFmt w:val="bullet"/>
      <w:lvlText w:val=""/>
      <w:lvlJc w:val="left"/>
      <w:pPr>
        <w:ind w:left="720" w:hanging="180"/>
      </w:pPr>
      <w:rPr>
        <w:rFonts w:ascii="Symbol" w:hAnsi="Symbol" w:hint="default"/>
      </w:rPr>
    </w:lvl>
    <w:lvl w:ilvl="1" w:tplc="E320F640">
      <w:numFmt w:val="decimal"/>
      <w:lvlText w:val=""/>
      <w:lvlJc w:val="left"/>
    </w:lvl>
    <w:lvl w:ilvl="2" w:tplc="BC9E6B3A">
      <w:numFmt w:val="decimal"/>
      <w:lvlText w:val=""/>
      <w:lvlJc w:val="left"/>
    </w:lvl>
    <w:lvl w:ilvl="3" w:tplc="F52AE7BC">
      <w:numFmt w:val="decimal"/>
      <w:lvlText w:val=""/>
      <w:lvlJc w:val="left"/>
    </w:lvl>
    <w:lvl w:ilvl="4" w:tplc="A170C53A">
      <w:numFmt w:val="decimal"/>
      <w:lvlText w:val=""/>
      <w:lvlJc w:val="left"/>
    </w:lvl>
    <w:lvl w:ilvl="5" w:tplc="F9024CE0">
      <w:numFmt w:val="decimal"/>
      <w:lvlText w:val=""/>
      <w:lvlJc w:val="left"/>
    </w:lvl>
    <w:lvl w:ilvl="6" w:tplc="98183FEE">
      <w:numFmt w:val="decimal"/>
      <w:lvlText w:val=""/>
      <w:lvlJc w:val="left"/>
    </w:lvl>
    <w:lvl w:ilvl="7" w:tplc="FD101818">
      <w:numFmt w:val="decimal"/>
      <w:lvlText w:val=""/>
      <w:lvlJc w:val="left"/>
    </w:lvl>
    <w:lvl w:ilvl="8" w:tplc="BE8A6D4E">
      <w:numFmt w:val="decimal"/>
      <w:lvlText w:val=""/>
      <w:lvlJc w:val="left"/>
    </w:lvl>
  </w:abstractNum>
  <w:abstractNum w:abstractNumId="220" w15:restartNumberingAfterBreak="0">
    <w:nsid w:val="18B75CDF"/>
    <w:multiLevelType w:val="hybridMultilevel"/>
    <w:tmpl w:val="1E12F3BA"/>
    <w:lvl w:ilvl="0" w:tplc="C20828A8">
      <w:numFmt w:val="decimal"/>
      <w:lvlText w:val=""/>
      <w:lvlJc w:val="left"/>
    </w:lvl>
    <w:lvl w:ilvl="1" w:tplc="368C2892">
      <w:start w:val="1"/>
      <w:numFmt w:val="bullet"/>
      <w:lvlText w:val=""/>
      <w:lvlJc w:val="left"/>
      <w:pPr>
        <w:ind w:left="1440" w:hanging="180"/>
      </w:pPr>
      <w:rPr>
        <w:rFonts w:ascii="Symbol" w:hAnsi="Symbol" w:hint="default"/>
      </w:rPr>
    </w:lvl>
    <w:lvl w:ilvl="2" w:tplc="D402FA74">
      <w:numFmt w:val="decimal"/>
      <w:lvlText w:val=""/>
      <w:lvlJc w:val="left"/>
    </w:lvl>
    <w:lvl w:ilvl="3" w:tplc="BCD248FC">
      <w:numFmt w:val="decimal"/>
      <w:lvlText w:val=""/>
      <w:lvlJc w:val="left"/>
    </w:lvl>
    <w:lvl w:ilvl="4" w:tplc="57581F26">
      <w:numFmt w:val="decimal"/>
      <w:lvlText w:val=""/>
      <w:lvlJc w:val="left"/>
    </w:lvl>
    <w:lvl w:ilvl="5" w:tplc="4192C8EE">
      <w:numFmt w:val="decimal"/>
      <w:lvlText w:val=""/>
      <w:lvlJc w:val="left"/>
    </w:lvl>
    <w:lvl w:ilvl="6" w:tplc="CE32E43C">
      <w:numFmt w:val="decimal"/>
      <w:lvlText w:val=""/>
      <w:lvlJc w:val="left"/>
    </w:lvl>
    <w:lvl w:ilvl="7" w:tplc="74A6A24E">
      <w:numFmt w:val="decimal"/>
      <w:lvlText w:val=""/>
      <w:lvlJc w:val="left"/>
    </w:lvl>
    <w:lvl w:ilvl="8" w:tplc="FD7AEBFA">
      <w:numFmt w:val="decimal"/>
      <w:lvlText w:val=""/>
      <w:lvlJc w:val="left"/>
    </w:lvl>
  </w:abstractNum>
  <w:abstractNum w:abstractNumId="221" w15:restartNumberingAfterBreak="0">
    <w:nsid w:val="18BE71B4"/>
    <w:multiLevelType w:val="hybridMultilevel"/>
    <w:tmpl w:val="CBB2E698"/>
    <w:lvl w:ilvl="0" w:tplc="F962D6D6">
      <w:start w:val="1"/>
      <w:numFmt w:val="bullet"/>
      <w:lvlText w:val=""/>
      <w:lvlJc w:val="left"/>
      <w:pPr>
        <w:ind w:left="720" w:hanging="180"/>
      </w:pPr>
      <w:rPr>
        <w:rFonts w:ascii="Symbol" w:hAnsi="Symbol" w:hint="default"/>
      </w:rPr>
    </w:lvl>
    <w:lvl w:ilvl="1" w:tplc="5C106E40">
      <w:numFmt w:val="decimal"/>
      <w:lvlText w:val=""/>
      <w:lvlJc w:val="left"/>
    </w:lvl>
    <w:lvl w:ilvl="2" w:tplc="FB187470">
      <w:numFmt w:val="decimal"/>
      <w:lvlText w:val=""/>
      <w:lvlJc w:val="left"/>
    </w:lvl>
    <w:lvl w:ilvl="3" w:tplc="5046EDF4">
      <w:numFmt w:val="decimal"/>
      <w:lvlText w:val=""/>
      <w:lvlJc w:val="left"/>
    </w:lvl>
    <w:lvl w:ilvl="4" w:tplc="3906EA32">
      <w:numFmt w:val="decimal"/>
      <w:lvlText w:val=""/>
      <w:lvlJc w:val="left"/>
    </w:lvl>
    <w:lvl w:ilvl="5" w:tplc="1FFEB272">
      <w:numFmt w:val="decimal"/>
      <w:lvlText w:val=""/>
      <w:lvlJc w:val="left"/>
    </w:lvl>
    <w:lvl w:ilvl="6" w:tplc="3C1671FE">
      <w:numFmt w:val="decimal"/>
      <w:lvlText w:val=""/>
      <w:lvlJc w:val="left"/>
    </w:lvl>
    <w:lvl w:ilvl="7" w:tplc="7ADA5BAC">
      <w:numFmt w:val="decimal"/>
      <w:lvlText w:val=""/>
      <w:lvlJc w:val="left"/>
    </w:lvl>
    <w:lvl w:ilvl="8" w:tplc="3B8CF396">
      <w:numFmt w:val="decimal"/>
      <w:lvlText w:val=""/>
      <w:lvlJc w:val="left"/>
    </w:lvl>
  </w:abstractNum>
  <w:abstractNum w:abstractNumId="222" w15:restartNumberingAfterBreak="0">
    <w:nsid w:val="18CC09AB"/>
    <w:multiLevelType w:val="hybridMultilevel"/>
    <w:tmpl w:val="2BEC7472"/>
    <w:lvl w:ilvl="0" w:tplc="BEEA9D20">
      <w:start w:val="1"/>
      <w:numFmt w:val="bullet"/>
      <w:lvlText w:val=""/>
      <w:lvlJc w:val="left"/>
      <w:pPr>
        <w:ind w:left="720" w:hanging="180"/>
      </w:pPr>
      <w:rPr>
        <w:rFonts w:ascii="Symbol" w:hAnsi="Symbol" w:hint="default"/>
      </w:rPr>
    </w:lvl>
    <w:lvl w:ilvl="1" w:tplc="45FC31D4">
      <w:numFmt w:val="decimal"/>
      <w:lvlText w:val=""/>
      <w:lvlJc w:val="left"/>
    </w:lvl>
    <w:lvl w:ilvl="2" w:tplc="19343FFA">
      <w:numFmt w:val="decimal"/>
      <w:lvlText w:val=""/>
      <w:lvlJc w:val="left"/>
    </w:lvl>
    <w:lvl w:ilvl="3" w:tplc="A7EED45A">
      <w:numFmt w:val="decimal"/>
      <w:lvlText w:val=""/>
      <w:lvlJc w:val="left"/>
    </w:lvl>
    <w:lvl w:ilvl="4" w:tplc="293C6A9C">
      <w:numFmt w:val="decimal"/>
      <w:lvlText w:val=""/>
      <w:lvlJc w:val="left"/>
    </w:lvl>
    <w:lvl w:ilvl="5" w:tplc="4A46F0C2">
      <w:numFmt w:val="decimal"/>
      <w:lvlText w:val=""/>
      <w:lvlJc w:val="left"/>
    </w:lvl>
    <w:lvl w:ilvl="6" w:tplc="F77ACDEC">
      <w:numFmt w:val="decimal"/>
      <w:lvlText w:val=""/>
      <w:lvlJc w:val="left"/>
    </w:lvl>
    <w:lvl w:ilvl="7" w:tplc="8DC2E100">
      <w:numFmt w:val="decimal"/>
      <w:lvlText w:val=""/>
      <w:lvlJc w:val="left"/>
    </w:lvl>
    <w:lvl w:ilvl="8" w:tplc="80603F90">
      <w:numFmt w:val="decimal"/>
      <w:lvlText w:val=""/>
      <w:lvlJc w:val="left"/>
    </w:lvl>
  </w:abstractNum>
  <w:abstractNum w:abstractNumId="223" w15:restartNumberingAfterBreak="0">
    <w:nsid w:val="190042ED"/>
    <w:multiLevelType w:val="hybridMultilevel"/>
    <w:tmpl w:val="829C3DD8"/>
    <w:lvl w:ilvl="0" w:tplc="F188806E">
      <w:start w:val="1"/>
      <w:numFmt w:val="bullet"/>
      <w:lvlText w:val=""/>
      <w:lvlJc w:val="left"/>
      <w:pPr>
        <w:ind w:left="720" w:hanging="180"/>
      </w:pPr>
      <w:rPr>
        <w:rFonts w:ascii="Symbol" w:hAnsi="Symbol" w:hint="default"/>
      </w:rPr>
    </w:lvl>
    <w:lvl w:ilvl="1" w:tplc="A14EBD94">
      <w:numFmt w:val="decimal"/>
      <w:lvlText w:val=""/>
      <w:lvlJc w:val="left"/>
    </w:lvl>
    <w:lvl w:ilvl="2" w:tplc="642674B4">
      <w:numFmt w:val="decimal"/>
      <w:lvlText w:val=""/>
      <w:lvlJc w:val="left"/>
    </w:lvl>
    <w:lvl w:ilvl="3" w:tplc="B492B9E4">
      <w:numFmt w:val="decimal"/>
      <w:lvlText w:val=""/>
      <w:lvlJc w:val="left"/>
    </w:lvl>
    <w:lvl w:ilvl="4" w:tplc="07BAEC1E">
      <w:numFmt w:val="decimal"/>
      <w:lvlText w:val=""/>
      <w:lvlJc w:val="left"/>
    </w:lvl>
    <w:lvl w:ilvl="5" w:tplc="D618EEC6">
      <w:numFmt w:val="decimal"/>
      <w:lvlText w:val=""/>
      <w:lvlJc w:val="left"/>
    </w:lvl>
    <w:lvl w:ilvl="6" w:tplc="A71084BE">
      <w:numFmt w:val="decimal"/>
      <w:lvlText w:val=""/>
      <w:lvlJc w:val="left"/>
    </w:lvl>
    <w:lvl w:ilvl="7" w:tplc="F3F248A0">
      <w:numFmt w:val="decimal"/>
      <w:lvlText w:val=""/>
      <w:lvlJc w:val="left"/>
    </w:lvl>
    <w:lvl w:ilvl="8" w:tplc="B952F644">
      <w:numFmt w:val="decimal"/>
      <w:lvlText w:val=""/>
      <w:lvlJc w:val="left"/>
    </w:lvl>
  </w:abstractNum>
  <w:abstractNum w:abstractNumId="224" w15:restartNumberingAfterBreak="0">
    <w:nsid w:val="19102D09"/>
    <w:multiLevelType w:val="hybridMultilevel"/>
    <w:tmpl w:val="C14AC160"/>
    <w:lvl w:ilvl="0" w:tplc="F148DD6E">
      <w:start w:val="1"/>
      <w:numFmt w:val="bullet"/>
      <w:lvlText w:val=""/>
      <w:lvlJc w:val="left"/>
      <w:pPr>
        <w:ind w:left="720" w:hanging="180"/>
      </w:pPr>
      <w:rPr>
        <w:rFonts w:ascii="Symbol" w:hAnsi="Symbol" w:hint="default"/>
      </w:rPr>
    </w:lvl>
    <w:lvl w:ilvl="1" w:tplc="5394D45A">
      <w:numFmt w:val="decimal"/>
      <w:lvlText w:val=""/>
      <w:lvlJc w:val="left"/>
    </w:lvl>
    <w:lvl w:ilvl="2" w:tplc="24BCBD92">
      <w:numFmt w:val="decimal"/>
      <w:lvlText w:val=""/>
      <w:lvlJc w:val="left"/>
    </w:lvl>
    <w:lvl w:ilvl="3" w:tplc="078A90F0">
      <w:numFmt w:val="decimal"/>
      <w:lvlText w:val=""/>
      <w:lvlJc w:val="left"/>
    </w:lvl>
    <w:lvl w:ilvl="4" w:tplc="BF24594A">
      <w:numFmt w:val="decimal"/>
      <w:lvlText w:val=""/>
      <w:lvlJc w:val="left"/>
    </w:lvl>
    <w:lvl w:ilvl="5" w:tplc="DD56D322">
      <w:numFmt w:val="decimal"/>
      <w:lvlText w:val=""/>
      <w:lvlJc w:val="left"/>
    </w:lvl>
    <w:lvl w:ilvl="6" w:tplc="4716A020">
      <w:numFmt w:val="decimal"/>
      <w:lvlText w:val=""/>
      <w:lvlJc w:val="left"/>
    </w:lvl>
    <w:lvl w:ilvl="7" w:tplc="60A058B2">
      <w:numFmt w:val="decimal"/>
      <w:lvlText w:val=""/>
      <w:lvlJc w:val="left"/>
    </w:lvl>
    <w:lvl w:ilvl="8" w:tplc="13DE7E30">
      <w:numFmt w:val="decimal"/>
      <w:lvlText w:val=""/>
      <w:lvlJc w:val="left"/>
    </w:lvl>
  </w:abstractNum>
  <w:abstractNum w:abstractNumId="225" w15:restartNumberingAfterBreak="0">
    <w:nsid w:val="191158B4"/>
    <w:multiLevelType w:val="hybridMultilevel"/>
    <w:tmpl w:val="62BE74E2"/>
    <w:lvl w:ilvl="0" w:tplc="9D5E9B3C">
      <w:start w:val="1"/>
      <w:numFmt w:val="bullet"/>
      <w:lvlText w:val=""/>
      <w:lvlJc w:val="left"/>
      <w:pPr>
        <w:ind w:left="720" w:hanging="180"/>
      </w:pPr>
      <w:rPr>
        <w:rFonts w:ascii="Symbol" w:hAnsi="Symbol" w:hint="default"/>
      </w:rPr>
    </w:lvl>
    <w:lvl w:ilvl="1" w:tplc="D9346266">
      <w:numFmt w:val="decimal"/>
      <w:lvlText w:val=""/>
      <w:lvlJc w:val="left"/>
    </w:lvl>
    <w:lvl w:ilvl="2" w:tplc="7028069C">
      <w:numFmt w:val="decimal"/>
      <w:lvlText w:val=""/>
      <w:lvlJc w:val="left"/>
    </w:lvl>
    <w:lvl w:ilvl="3" w:tplc="F7C2627E">
      <w:numFmt w:val="decimal"/>
      <w:lvlText w:val=""/>
      <w:lvlJc w:val="left"/>
    </w:lvl>
    <w:lvl w:ilvl="4" w:tplc="F58CC6AC">
      <w:numFmt w:val="decimal"/>
      <w:lvlText w:val=""/>
      <w:lvlJc w:val="left"/>
    </w:lvl>
    <w:lvl w:ilvl="5" w:tplc="4658EF2E">
      <w:numFmt w:val="decimal"/>
      <w:lvlText w:val=""/>
      <w:lvlJc w:val="left"/>
    </w:lvl>
    <w:lvl w:ilvl="6" w:tplc="48F2ED80">
      <w:numFmt w:val="decimal"/>
      <w:lvlText w:val=""/>
      <w:lvlJc w:val="left"/>
    </w:lvl>
    <w:lvl w:ilvl="7" w:tplc="C4EAFCE4">
      <w:numFmt w:val="decimal"/>
      <w:lvlText w:val=""/>
      <w:lvlJc w:val="left"/>
    </w:lvl>
    <w:lvl w:ilvl="8" w:tplc="6E0C1CD4">
      <w:numFmt w:val="decimal"/>
      <w:lvlText w:val=""/>
      <w:lvlJc w:val="left"/>
    </w:lvl>
  </w:abstractNum>
  <w:abstractNum w:abstractNumId="226" w15:restartNumberingAfterBreak="0">
    <w:nsid w:val="19173737"/>
    <w:multiLevelType w:val="hybridMultilevel"/>
    <w:tmpl w:val="FC76C45E"/>
    <w:lvl w:ilvl="0" w:tplc="DB1AFC94">
      <w:start w:val="1"/>
      <w:numFmt w:val="bullet"/>
      <w:lvlText w:val=""/>
      <w:lvlJc w:val="left"/>
      <w:pPr>
        <w:ind w:left="720" w:hanging="180"/>
      </w:pPr>
      <w:rPr>
        <w:rFonts w:ascii="Symbol" w:hAnsi="Symbol" w:hint="default"/>
      </w:rPr>
    </w:lvl>
    <w:lvl w:ilvl="1" w:tplc="4976CB8E">
      <w:numFmt w:val="decimal"/>
      <w:lvlText w:val=""/>
      <w:lvlJc w:val="left"/>
    </w:lvl>
    <w:lvl w:ilvl="2" w:tplc="9904BB1C">
      <w:numFmt w:val="decimal"/>
      <w:lvlText w:val=""/>
      <w:lvlJc w:val="left"/>
    </w:lvl>
    <w:lvl w:ilvl="3" w:tplc="C8A87EFA">
      <w:numFmt w:val="decimal"/>
      <w:lvlText w:val=""/>
      <w:lvlJc w:val="left"/>
    </w:lvl>
    <w:lvl w:ilvl="4" w:tplc="C08A0898">
      <w:numFmt w:val="decimal"/>
      <w:lvlText w:val=""/>
      <w:lvlJc w:val="left"/>
    </w:lvl>
    <w:lvl w:ilvl="5" w:tplc="1C4E3808">
      <w:numFmt w:val="decimal"/>
      <w:lvlText w:val=""/>
      <w:lvlJc w:val="left"/>
    </w:lvl>
    <w:lvl w:ilvl="6" w:tplc="146822DA">
      <w:numFmt w:val="decimal"/>
      <w:lvlText w:val=""/>
      <w:lvlJc w:val="left"/>
    </w:lvl>
    <w:lvl w:ilvl="7" w:tplc="798452AE">
      <w:numFmt w:val="decimal"/>
      <w:lvlText w:val=""/>
      <w:lvlJc w:val="left"/>
    </w:lvl>
    <w:lvl w:ilvl="8" w:tplc="60CAB690">
      <w:numFmt w:val="decimal"/>
      <w:lvlText w:val=""/>
      <w:lvlJc w:val="left"/>
    </w:lvl>
  </w:abstractNum>
  <w:abstractNum w:abstractNumId="227" w15:restartNumberingAfterBreak="0">
    <w:nsid w:val="19242408"/>
    <w:multiLevelType w:val="hybridMultilevel"/>
    <w:tmpl w:val="02E41CC6"/>
    <w:lvl w:ilvl="0" w:tplc="306875C6">
      <w:start w:val="1"/>
      <w:numFmt w:val="bullet"/>
      <w:lvlText w:val=""/>
      <w:lvlJc w:val="left"/>
      <w:pPr>
        <w:ind w:left="720" w:hanging="180"/>
      </w:pPr>
      <w:rPr>
        <w:rFonts w:ascii="Symbol" w:hAnsi="Symbol" w:hint="default"/>
      </w:rPr>
    </w:lvl>
    <w:lvl w:ilvl="1" w:tplc="A45253AA">
      <w:numFmt w:val="decimal"/>
      <w:lvlText w:val=""/>
      <w:lvlJc w:val="left"/>
    </w:lvl>
    <w:lvl w:ilvl="2" w:tplc="0E4E0B14">
      <w:numFmt w:val="decimal"/>
      <w:lvlText w:val=""/>
      <w:lvlJc w:val="left"/>
    </w:lvl>
    <w:lvl w:ilvl="3" w:tplc="3F784C26">
      <w:numFmt w:val="decimal"/>
      <w:lvlText w:val=""/>
      <w:lvlJc w:val="left"/>
    </w:lvl>
    <w:lvl w:ilvl="4" w:tplc="BB9A7BCC">
      <w:numFmt w:val="decimal"/>
      <w:lvlText w:val=""/>
      <w:lvlJc w:val="left"/>
    </w:lvl>
    <w:lvl w:ilvl="5" w:tplc="D662EC08">
      <w:numFmt w:val="decimal"/>
      <w:lvlText w:val=""/>
      <w:lvlJc w:val="left"/>
    </w:lvl>
    <w:lvl w:ilvl="6" w:tplc="913C309E">
      <w:numFmt w:val="decimal"/>
      <w:lvlText w:val=""/>
      <w:lvlJc w:val="left"/>
    </w:lvl>
    <w:lvl w:ilvl="7" w:tplc="820A3D32">
      <w:numFmt w:val="decimal"/>
      <w:lvlText w:val=""/>
      <w:lvlJc w:val="left"/>
    </w:lvl>
    <w:lvl w:ilvl="8" w:tplc="EFC4C498">
      <w:numFmt w:val="decimal"/>
      <w:lvlText w:val=""/>
      <w:lvlJc w:val="left"/>
    </w:lvl>
  </w:abstractNum>
  <w:abstractNum w:abstractNumId="228" w15:restartNumberingAfterBreak="0">
    <w:nsid w:val="19324135"/>
    <w:multiLevelType w:val="hybridMultilevel"/>
    <w:tmpl w:val="8DC64A6A"/>
    <w:lvl w:ilvl="0" w:tplc="3A9E397E">
      <w:numFmt w:val="decimal"/>
      <w:lvlText w:val=""/>
      <w:lvlJc w:val="left"/>
    </w:lvl>
    <w:lvl w:ilvl="1" w:tplc="19E0E964">
      <w:start w:val="1"/>
      <w:numFmt w:val="bullet"/>
      <w:lvlText w:val=""/>
      <w:lvlJc w:val="left"/>
      <w:pPr>
        <w:ind w:left="1440" w:hanging="180"/>
      </w:pPr>
      <w:rPr>
        <w:rFonts w:ascii="Symbol" w:hAnsi="Symbol" w:hint="default"/>
      </w:rPr>
    </w:lvl>
    <w:lvl w:ilvl="2" w:tplc="56F6A1EA">
      <w:numFmt w:val="decimal"/>
      <w:lvlText w:val=""/>
      <w:lvlJc w:val="left"/>
    </w:lvl>
    <w:lvl w:ilvl="3" w:tplc="1CC8AADE">
      <w:numFmt w:val="decimal"/>
      <w:lvlText w:val=""/>
      <w:lvlJc w:val="left"/>
    </w:lvl>
    <w:lvl w:ilvl="4" w:tplc="A74A7382">
      <w:numFmt w:val="decimal"/>
      <w:lvlText w:val=""/>
      <w:lvlJc w:val="left"/>
    </w:lvl>
    <w:lvl w:ilvl="5" w:tplc="B68A4F0E">
      <w:numFmt w:val="decimal"/>
      <w:lvlText w:val=""/>
      <w:lvlJc w:val="left"/>
    </w:lvl>
    <w:lvl w:ilvl="6" w:tplc="47EC8B7E">
      <w:numFmt w:val="decimal"/>
      <w:lvlText w:val=""/>
      <w:lvlJc w:val="left"/>
    </w:lvl>
    <w:lvl w:ilvl="7" w:tplc="F6B07404">
      <w:numFmt w:val="decimal"/>
      <w:lvlText w:val=""/>
      <w:lvlJc w:val="left"/>
    </w:lvl>
    <w:lvl w:ilvl="8" w:tplc="2D46359C">
      <w:numFmt w:val="decimal"/>
      <w:lvlText w:val=""/>
      <w:lvlJc w:val="left"/>
    </w:lvl>
  </w:abstractNum>
  <w:abstractNum w:abstractNumId="229" w15:restartNumberingAfterBreak="0">
    <w:nsid w:val="194F1655"/>
    <w:multiLevelType w:val="hybridMultilevel"/>
    <w:tmpl w:val="F3083784"/>
    <w:lvl w:ilvl="0" w:tplc="4F248A9C">
      <w:start w:val="1"/>
      <w:numFmt w:val="bullet"/>
      <w:lvlText w:val=""/>
      <w:lvlJc w:val="left"/>
      <w:pPr>
        <w:ind w:left="720" w:hanging="180"/>
      </w:pPr>
      <w:rPr>
        <w:rFonts w:ascii="Symbol" w:hAnsi="Symbol" w:hint="default"/>
      </w:rPr>
    </w:lvl>
    <w:lvl w:ilvl="1" w:tplc="2CB0E316">
      <w:numFmt w:val="decimal"/>
      <w:lvlText w:val=""/>
      <w:lvlJc w:val="left"/>
    </w:lvl>
    <w:lvl w:ilvl="2" w:tplc="41C0DC32">
      <w:numFmt w:val="decimal"/>
      <w:lvlText w:val=""/>
      <w:lvlJc w:val="left"/>
    </w:lvl>
    <w:lvl w:ilvl="3" w:tplc="2D8EF1E8">
      <w:numFmt w:val="decimal"/>
      <w:lvlText w:val=""/>
      <w:lvlJc w:val="left"/>
    </w:lvl>
    <w:lvl w:ilvl="4" w:tplc="D42886BC">
      <w:numFmt w:val="decimal"/>
      <w:lvlText w:val=""/>
      <w:lvlJc w:val="left"/>
    </w:lvl>
    <w:lvl w:ilvl="5" w:tplc="40625FDE">
      <w:numFmt w:val="decimal"/>
      <w:lvlText w:val=""/>
      <w:lvlJc w:val="left"/>
    </w:lvl>
    <w:lvl w:ilvl="6" w:tplc="4032342A">
      <w:numFmt w:val="decimal"/>
      <w:lvlText w:val=""/>
      <w:lvlJc w:val="left"/>
    </w:lvl>
    <w:lvl w:ilvl="7" w:tplc="AF04D8B4">
      <w:numFmt w:val="decimal"/>
      <w:lvlText w:val=""/>
      <w:lvlJc w:val="left"/>
    </w:lvl>
    <w:lvl w:ilvl="8" w:tplc="129AE564">
      <w:numFmt w:val="decimal"/>
      <w:lvlText w:val=""/>
      <w:lvlJc w:val="left"/>
    </w:lvl>
  </w:abstractNum>
  <w:abstractNum w:abstractNumId="230" w15:restartNumberingAfterBreak="0">
    <w:nsid w:val="19575DBD"/>
    <w:multiLevelType w:val="hybridMultilevel"/>
    <w:tmpl w:val="D1D8F192"/>
    <w:lvl w:ilvl="0" w:tplc="0F8233F4">
      <w:start w:val="1"/>
      <w:numFmt w:val="bullet"/>
      <w:lvlText w:val=""/>
      <w:lvlJc w:val="left"/>
      <w:pPr>
        <w:ind w:left="720" w:hanging="180"/>
      </w:pPr>
      <w:rPr>
        <w:rFonts w:ascii="Symbol" w:hAnsi="Symbol" w:hint="default"/>
      </w:rPr>
    </w:lvl>
    <w:lvl w:ilvl="1" w:tplc="936410C0">
      <w:numFmt w:val="decimal"/>
      <w:lvlText w:val=""/>
      <w:lvlJc w:val="left"/>
    </w:lvl>
    <w:lvl w:ilvl="2" w:tplc="09A42940">
      <w:numFmt w:val="decimal"/>
      <w:lvlText w:val=""/>
      <w:lvlJc w:val="left"/>
    </w:lvl>
    <w:lvl w:ilvl="3" w:tplc="FE8866C0">
      <w:numFmt w:val="decimal"/>
      <w:lvlText w:val=""/>
      <w:lvlJc w:val="left"/>
    </w:lvl>
    <w:lvl w:ilvl="4" w:tplc="54468E28">
      <w:numFmt w:val="decimal"/>
      <w:lvlText w:val=""/>
      <w:lvlJc w:val="left"/>
    </w:lvl>
    <w:lvl w:ilvl="5" w:tplc="1DB2A7D8">
      <w:numFmt w:val="decimal"/>
      <w:lvlText w:val=""/>
      <w:lvlJc w:val="left"/>
    </w:lvl>
    <w:lvl w:ilvl="6" w:tplc="B10A3EAC">
      <w:numFmt w:val="decimal"/>
      <w:lvlText w:val=""/>
      <w:lvlJc w:val="left"/>
    </w:lvl>
    <w:lvl w:ilvl="7" w:tplc="B51A2A70">
      <w:numFmt w:val="decimal"/>
      <w:lvlText w:val=""/>
      <w:lvlJc w:val="left"/>
    </w:lvl>
    <w:lvl w:ilvl="8" w:tplc="93406AC8">
      <w:numFmt w:val="decimal"/>
      <w:lvlText w:val=""/>
      <w:lvlJc w:val="left"/>
    </w:lvl>
  </w:abstractNum>
  <w:abstractNum w:abstractNumId="231" w15:restartNumberingAfterBreak="0">
    <w:nsid w:val="19701804"/>
    <w:multiLevelType w:val="hybridMultilevel"/>
    <w:tmpl w:val="1596748A"/>
    <w:lvl w:ilvl="0" w:tplc="6E9254C4">
      <w:start w:val="1"/>
      <w:numFmt w:val="bullet"/>
      <w:lvlText w:val=""/>
      <w:lvlJc w:val="left"/>
      <w:pPr>
        <w:ind w:left="720" w:hanging="180"/>
      </w:pPr>
      <w:rPr>
        <w:rFonts w:ascii="Symbol" w:hAnsi="Symbol" w:hint="default"/>
      </w:rPr>
    </w:lvl>
    <w:lvl w:ilvl="1" w:tplc="57BE9962">
      <w:numFmt w:val="decimal"/>
      <w:lvlText w:val=""/>
      <w:lvlJc w:val="left"/>
    </w:lvl>
    <w:lvl w:ilvl="2" w:tplc="CB46C536">
      <w:numFmt w:val="decimal"/>
      <w:lvlText w:val=""/>
      <w:lvlJc w:val="left"/>
    </w:lvl>
    <w:lvl w:ilvl="3" w:tplc="603A0006">
      <w:numFmt w:val="decimal"/>
      <w:lvlText w:val=""/>
      <w:lvlJc w:val="left"/>
    </w:lvl>
    <w:lvl w:ilvl="4" w:tplc="39C8275E">
      <w:numFmt w:val="decimal"/>
      <w:lvlText w:val=""/>
      <w:lvlJc w:val="left"/>
    </w:lvl>
    <w:lvl w:ilvl="5" w:tplc="92C2A1F0">
      <w:numFmt w:val="decimal"/>
      <w:lvlText w:val=""/>
      <w:lvlJc w:val="left"/>
    </w:lvl>
    <w:lvl w:ilvl="6" w:tplc="168098B8">
      <w:numFmt w:val="decimal"/>
      <w:lvlText w:val=""/>
      <w:lvlJc w:val="left"/>
    </w:lvl>
    <w:lvl w:ilvl="7" w:tplc="618CCB90">
      <w:numFmt w:val="decimal"/>
      <w:lvlText w:val=""/>
      <w:lvlJc w:val="left"/>
    </w:lvl>
    <w:lvl w:ilvl="8" w:tplc="D24C493C">
      <w:numFmt w:val="decimal"/>
      <w:lvlText w:val=""/>
      <w:lvlJc w:val="left"/>
    </w:lvl>
  </w:abstractNum>
  <w:abstractNum w:abstractNumId="232" w15:restartNumberingAfterBreak="0">
    <w:nsid w:val="198C4BDB"/>
    <w:multiLevelType w:val="hybridMultilevel"/>
    <w:tmpl w:val="AE2096B8"/>
    <w:lvl w:ilvl="0" w:tplc="A724B52A">
      <w:numFmt w:val="decimal"/>
      <w:lvlText w:val=""/>
      <w:lvlJc w:val="left"/>
    </w:lvl>
    <w:lvl w:ilvl="1" w:tplc="B082DC6E">
      <w:start w:val="1"/>
      <w:numFmt w:val="bullet"/>
      <w:lvlText w:val=""/>
      <w:lvlJc w:val="left"/>
      <w:pPr>
        <w:ind w:left="1440" w:hanging="180"/>
      </w:pPr>
      <w:rPr>
        <w:rFonts w:ascii="Symbol" w:hAnsi="Symbol" w:hint="default"/>
      </w:rPr>
    </w:lvl>
    <w:lvl w:ilvl="2" w:tplc="226CDAA0">
      <w:numFmt w:val="decimal"/>
      <w:lvlText w:val=""/>
      <w:lvlJc w:val="left"/>
    </w:lvl>
    <w:lvl w:ilvl="3" w:tplc="BD40CF9C">
      <w:numFmt w:val="decimal"/>
      <w:lvlText w:val=""/>
      <w:lvlJc w:val="left"/>
    </w:lvl>
    <w:lvl w:ilvl="4" w:tplc="22B045AA">
      <w:numFmt w:val="decimal"/>
      <w:lvlText w:val=""/>
      <w:lvlJc w:val="left"/>
    </w:lvl>
    <w:lvl w:ilvl="5" w:tplc="FB14BC2A">
      <w:numFmt w:val="decimal"/>
      <w:lvlText w:val=""/>
      <w:lvlJc w:val="left"/>
    </w:lvl>
    <w:lvl w:ilvl="6" w:tplc="1212B278">
      <w:numFmt w:val="decimal"/>
      <w:lvlText w:val=""/>
      <w:lvlJc w:val="left"/>
    </w:lvl>
    <w:lvl w:ilvl="7" w:tplc="2C1A67E4">
      <w:numFmt w:val="decimal"/>
      <w:lvlText w:val=""/>
      <w:lvlJc w:val="left"/>
    </w:lvl>
    <w:lvl w:ilvl="8" w:tplc="FAD8F064">
      <w:numFmt w:val="decimal"/>
      <w:lvlText w:val=""/>
      <w:lvlJc w:val="left"/>
    </w:lvl>
  </w:abstractNum>
  <w:abstractNum w:abstractNumId="233" w15:restartNumberingAfterBreak="0">
    <w:nsid w:val="19AA403C"/>
    <w:multiLevelType w:val="hybridMultilevel"/>
    <w:tmpl w:val="1602AA6A"/>
    <w:lvl w:ilvl="0" w:tplc="32A2F652">
      <w:start w:val="1"/>
      <w:numFmt w:val="bullet"/>
      <w:lvlText w:val=""/>
      <w:lvlJc w:val="left"/>
      <w:pPr>
        <w:ind w:left="720" w:hanging="180"/>
      </w:pPr>
      <w:rPr>
        <w:rFonts w:ascii="Symbol" w:hAnsi="Symbol" w:hint="default"/>
      </w:rPr>
    </w:lvl>
    <w:lvl w:ilvl="1" w:tplc="2D8841D0">
      <w:numFmt w:val="decimal"/>
      <w:lvlText w:val=""/>
      <w:lvlJc w:val="left"/>
    </w:lvl>
    <w:lvl w:ilvl="2" w:tplc="3744BA80">
      <w:numFmt w:val="decimal"/>
      <w:lvlText w:val=""/>
      <w:lvlJc w:val="left"/>
    </w:lvl>
    <w:lvl w:ilvl="3" w:tplc="75AEF2EA">
      <w:numFmt w:val="decimal"/>
      <w:lvlText w:val=""/>
      <w:lvlJc w:val="left"/>
    </w:lvl>
    <w:lvl w:ilvl="4" w:tplc="93A8223A">
      <w:numFmt w:val="decimal"/>
      <w:lvlText w:val=""/>
      <w:lvlJc w:val="left"/>
    </w:lvl>
    <w:lvl w:ilvl="5" w:tplc="58460CF4">
      <w:numFmt w:val="decimal"/>
      <w:lvlText w:val=""/>
      <w:lvlJc w:val="left"/>
    </w:lvl>
    <w:lvl w:ilvl="6" w:tplc="5E6E4048">
      <w:numFmt w:val="decimal"/>
      <w:lvlText w:val=""/>
      <w:lvlJc w:val="left"/>
    </w:lvl>
    <w:lvl w:ilvl="7" w:tplc="699E4DEA">
      <w:numFmt w:val="decimal"/>
      <w:lvlText w:val=""/>
      <w:lvlJc w:val="left"/>
    </w:lvl>
    <w:lvl w:ilvl="8" w:tplc="A08C8894">
      <w:numFmt w:val="decimal"/>
      <w:lvlText w:val=""/>
      <w:lvlJc w:val="left"/>
    </w:lvl>
  </w:abstractNum>
  <w:abstractNum w:abstractNumId="234" w15:restartNumberingAfterBreak="0">
    <w:nsid w:val="19AA4A0D"/>
    <w:multiLevelType w:val="hybridMultilevel"/>
    <w:tmpl w:val="1CEE1584"/>
    <w:lvl w:ilvl="0" w:tplc="A9E2E2F4">
      <w:start w:val="1"/>
      <w:numFmt w:val="bullet"/>
      <w:lvlText w:val=""/>
      <w:lvlJc w:val="left"/>
      <w:pPr>
        <w:ind w:left="720" w:hanging="180"/>
      </w:pPr>
      <w:rPr>
        <w:rFonts w:ascii="Symbol" w:hAnsi="Symbol" w:hint="default"/>
      </w:rPr>
    </w:lvl>
    <w:lvl w:ilvl="1" w:tplc="5DBE9CD0">
      <w:numFmt w:val="decimal"/>
      <w:lvlText w:val=""/>
      <w:lvlJc w:val="left"/>
    </w:lvl>
    <w:lvl w:ilvl="2" w:tplc="6C986F46">
      <w:numFmt w:val="decimal"/>
      <w:lvlText w:val=""/>
      <w:lvlJc w:val="left"/>
    </w:lvl>
    <w:lvl w:ilvl="3" w:tplc="4FCCA0E0">
      <w:numFmt w:val="decimal"/>
      <w:lvlText w:val=""/>
      <w:lvlJc w:val="left"/>
    </w:lvl>
    <w:lvl w:ilvl="4" w:tplc="47DE660C">
      <w:numFmt w:val="decimal"/>
      <w:lvlText w:val=""/>
      <w:lvlJc w:val="left"/>
    </w:lvl>
    <w:lvl w:ilvl="5" w:tplc="6B10CC3A">
      <w:numFmt w:val="decimal"/>
      <w:lvlText w:val=""/>
      <w:lvlJc w:val="left"/>
    </w:lvl>
    <w:lvl w:ilvl="6" w:tplc="8C90E89A">
      <w:numFmt w:val="decimal"/>
      <w:lvlText w:val=""/>
      <w:lvlJc w:val="left"/>
    </w:lvl>
    <w:lvl w:ilvl="7" w:tplc="2370FF6C">
      <w:numFmt w:val="decimal"/>
      <w:lvlText w:val=""/>
      <w:lvlJc w:val="left"/>
    </w:lvl>
    <w:lvl w:ilvl="8" w:tplc="598A9B72">
      <w:numFmt w:val="decimal"/>
      <w:lvlText w:val=""/>
      <w:lvlJc w:val="left"/>
    </w:lvl>
  </w:abstractNum>
  <w:abstractNum w:abstractNumId="235" w15:restartNumberingAfterBreak="0">
    <w:nsid w:val="19C72D09"/>
    <w:multiLevelType w:val="hybridMultilevel"/>
    <w:tmpl w:val="C52CDBFE"/>
    <w:lvl w:ilvl="0" w:tplc="20E68D00">
      <w:start w:val="1"/>
      <w:numFmt w:val="bullet"/>
      <w:lvlText w:val=""/>
      <w:lvlJc w:val="left"/>
      <w:pPr>
        <w:ind w:left="720" w:hanging="180"/>
      </w:pPr>
      <w:rPr>
        <w:rFonts w:ascii="Symbol" w:hAnsi="Symbol" w:hint="default"/>
      </w:rPr>
    </w:lvl>
    <w:lvl w:ilvl="1" w:tplc="CE563096">
      <w:numFmt w:val="decimal"/>
      <w:lvlText w:val=""/>
      <w:lvlJc w:val="left"/>
    </w:lvl>
    <w:lvl w:ilvl="2" w:tplc="517A497E">
      <w:numFmt w:val="decimal"/>
      <w:lvlText w:val=""/>
      <w:lvlJc w:val="left"/>
    </w:lvl>
    <w:lvl w:ilvl="3" w:tplc="EEE0A1DC">
      <w:numFmt w:val="decimal"/>
      <w:lvlText w:val=""/>
      <w:lvlJc w:val="left"/>
    </w:lvl>
    <w:lvl w:ilvl="4" w:tplc="05C47A18">
      <w:numFmt w:val="decimal"/>
      <w:lvlText w:val=""/>
      <w:lvlJc w:val="left"/>
    </w:lvl>
    <w:lvl w:ilvl="5" w:tplc="7F566F66">
      <w:numFmt w:val="decimal"/>
      <w:lvlText w:val=""/>
      <w:lvlJc w:val="left"/>
    </w:lvl>
    <w:lvl w:ilvl="6" w:tplc="08D8A32C">
      <w:numFmt w:val="decimal"/>
      <w:lvlText w:val=""/>
      <w:lvlJc w:val="left"/>
    </w:lvl>
    <w:lvl w:ilvl="7" w:tplc="4A4CD4EE">
      <w:numFmt w:val="decimal"/>
      <w:lvlText w:val=""/>
      <w:lvlJc w:val="left"/>
    </w:lvl>
    <w:lvl w:ilvl="8" w:tplc="28B61494">
      <w:numFmt w:val="decimal"/>
      <w:lvlText w:val=""/>
      <w:lvlJc w:val="left"/>
    </w:lvl>
  </w:abstractNum>
  <w:abstractNum w:abstractNumId="236" w15:restartNumberingAfterBreak="0">
    <w:nsid w:val="19E92B94"/>
    <w:multiLevelType w:val="hybridMultilevel"/>
    <w:tmpl w:val="294CB5DE"/>
    <w:lvl w:ilvl="0" w:tplc="91F6FBA6">
      <w:numFmt w:val="decimal"/>
      <w:lvlText w:val=""/>
      <w:lvlJc w:val="left"/>
    </w:lvl>
    <w:lvl w:ilvl="1" w:tplc="C5C25AEA">
      <w:start w:val="1"/>
      <w:numFmt w:val="bullet"/>
      <w:lvlText w:val=""/>
      <w:lvlJc w:val="left"/>
      <w:pPr>
        <w:ind w:left="1440" w:hanging="180"/>
      </w:pPr>
      <w:rPr>
        <w:rFonts w:ascii="Symbol" w:hAnsi="Symbol" w:hint="default"/>
      </w:rPr>
    </w:lvl>
    <w:lvl w:ilvl="2" w:tplc="3886BC64">
      <w:numFmt w:val="decimal"/>
      <w:lvlText w:val=""/>
      <w:lvlJc w:val="left"/>
    </w:lvl>
    <w:lvl w:ilvl="3" w:tplc="B88EB502">
      <w:numFmt w:val="decimal"/>
      <w:lvlText w:val=""/>
      <w:lvlJc w:val="left"/>
    </w:lvl>
    <w:lvl w:ilvl="4" w:tplc="B22CB284">
      <w:numFmt w:val="decimal"/>
      <w:lvlText w:val=""/>
      <w:lvlJc w:val="left"/>
    </w:lvl>
    <w:lvl w:ilvl="5" w:tplc="187CB24C">
      <w:numFmt w:val="decimal"/>
      <w:lvlText w:val=""/>
      <w:lvlJc w:val="left"/>
    </w:lvl>
    <w:lvl w:ilvl="6" w:tplc="C0A4F6AA">
      <w:numFmt w:val="decimal"/>
      <w:lvlText w:val=""/>
      <w:lvlJc w:val="left"/>
    </w:lvl>
    <w:lvl w:ilvl="7" w:tplc="78E0C4CC">
      <w:numFmt w:val="decimal"/>
      <w:lvlText w:val=""/>
      <w:lvlJc w:val="left"/>
    </w:lvl>
    <w:lvl w:ilvl="8" w:tplc="4AD2D64A">
      <w:numFmt w:val="decimal"/>
      <w:lvlText w:val=""/>
      <w:lvlJc w:val="left"/>
    </w:lvl>
  </w:abstractNum>
  <w:abstractNum w:abstractNumId="237" w15:restartNumberingAfterBreak="0">
    <w:nsid w:val="1A044BDE"/>
    <w:multiLevelType w:val="hybridMultilevel"/>
    <w:tmpl w:val="9EF4680C"/>
    <w:lvl w:ilvl="0" w:tplc="0F86D32A">
      <w:start w:val="1"/>
      <w:numFmt w:val="bullet"/>
      <w:lvlText w:val=""/>
      <w:lvlJc w:val="left"/>
      <w:pPr>
        <w:ind w:left="720" w:hanging="180"/>
      </w:pPr>
      <w:rPr>
        <w:rFonts w:ascii="Symbol" w:hAnsi="Symbol" w:hint="default"/>
      </w:rPr>
    </w:lvl>
    <w:lvl w:ilvl="1" w:tplc="850A782C">
      <w:numFmt w:val="decimal"/>
      <w:lvlText w:val=""/>
      <w:lvlJc w:val="left"/>
    </w:lvl>
    <w:lvl w:ilvl="2" w:tplc="C26AD292">
      <w:numFmt w:val="decimal"/>
      <w:lvlText w:val=""/>
      <w:lvlJc w:val="left"/>
    </w:lvl>
    <w:lvl w:ilvl="3" w:tplc="E6561232">
      <w:numFmt w:val="decimal"/>
      <w:lvlText w:val=""/>
      <w:lvlJc w:val="left"/>
    </w:lvl>
    <w:lvl w:ilvl="4" w:tplc="7EB44056">
      <w:numFmt w:val="decimal"/>
      <w:lvlText w:val=""/>
      <w:lvlJc w:val="left"/>
    </w:lvl>
    <w:lvl w:ilvl="5" w:tplc="8CBA2ECC">
      <w:numFmt w:val="decimal"/>
      <w:lvlText w:val=""/>
      <w:lvlJc w:val="left"/>
    </w:lvl>
    <w:lvl w:ilvl="6" w:tplc="C0B0A6F8">
      <w:numFmt w:val="decimal"/>
      <w:lvlText w:val=""/>
      <w:lvlJc w:val="left"/>
    </w:lvl>
    <w:lvl w:ilvl="7" w:tplc="24F6392A">
      <w:numFmt w:val="decimal"/>
      <w:lvlText w:val=""/>
      <w:lvlJc w:val="left"/>
    </w:lvl>
    <w:lvl w:ilvl="8" w:tplc="66FE8F04">
      <w:numFmt w:val="decimal"/>
      <w:lvlText w:val=""/>
      <w:lvlJc w:val="left"/>
    </w:lvl>
  </w:abstractNum>
  <w:abstractNum w:abstractNumId="238" w15:restartNumberingAfterBreak="0">
    <w:nsid w:val="1A2B1D0C"/>
    <w:multiLevelType w:val="hybridMultilevel"/>
    <w:tmpl w:val="F7BA1E00"/>
    <w:lvl w:ilvl="0" w:tplc="261428BC">
      <w:start w:val="1"/>
      <w:numFmt w:val="bullet"/>
      <w:lvlText w:val=""/>
      <w:lvlJc w:val="left"/>
      <w:pPr>
        <w:ind w:left="720" w:hanging="180"/>
      </w:pPr>
      <w:rPr>
        <w:rFonts w:ascii="Symbol" w:hAnsi="Symbol" w:hint="default"/>
      </w:rPr>
    </w:lvl>
    <w:lvl w:ilvl="1" w:tplc="F7EA4EAE">
      <w:numFmt w:val="decimal"/>
      <w:lvlText w:val=""/>
      <w:lvlJc w:val="left"/>
    </w:lvl>
    <w:lvl w:ilvl="2" w:tplc="F8F2DE10">
      <w:numFmt w:val="decimal"/>
      <w:lvlText w:val=""/>
      <w:lvlJc w:val="left"/>
    </w:lvl>
    <w:lvl w:ilvl="3" w:tplc="B96AD0EC">
      <w:numFmt w:val="decimal"/>
      <w:lvlText w:val=""/>
      <w:lvlJc w:val="left"/>
    </w:lvl>
    <w:lvl w:ilvl="4" w:tplc="8A3C91BC">
      <w:numFmt w:val="decimal"/>
      <w:lvlText w:val=""/>
      <w:lvlJc w:val="left"/>
    </w:lvl>
    <w:lvl w:ilvl="5" w:tplc="70EA3242">
      <w:numFmt w:val="decimal"/>
      <w:lvlText w:val=""/>
      <w:lvlJc w:val="left"/>
    </w:lvl>
    <w:lvl w:ilvl="6" w:tplc="80329426">
      <w:numFmt w:val="decimal"/>
      <w:lvlText w:val=""/>
      <w:lvlJc w:val="left"/>
    </w:lvl>
    <w:lvl w:ilvl="7" w:tplc="FC366CB0">
      <w:numFmt w:val="decimal"/>
      <w:lvlText w:val=""/>
      <w:lvlJc w:val="left"/>
    </w:lvl>
    <w:lvl w:ilvl="8" w:tplc="05E233AE">
      <w:numFmt w:val="decimal"/>
      <w:lvlText w:val=""/>
      <w:lvlJc w:val="left"/>
    </w:lvl>
  </w:abstractNum>
  <w:abstractNum w:abstractNumId="239" w15:restartNumberingAfterBreak="0">
    <w:nsid w:val="1A2D692C"/>
    <w:multiLevelType w:val="hybridMultilevel"/>
    <w:tmpl w:val="00309958"/>
    <w:lvl w:ilvl="0" w:tplc="40EACFB8">
      <w:start w:val="1"/>
      <w:numFmt w:val="bullet"/>
      <w:lvlText w:val=""/>
      <w:lvlJc w:val="left"/>
      <w:pPr>
        <w:ind w:left="720" w:hanging="180"/>
      </w:pPr>
      <w:rPr>
        <w:rFonts w:ascii="Symbol" w:hAnsi="Symbol" w:hint="default"/>
      </w:rPr>
    </w:lvl>
    <w:lvl w:ilvl="1" w:tplc="3FCE3624">
      <w:numFmt w:val="decimal"/>
      <w:lvlText w:val=""/>
      <w:lvlJc w:val="left"/>
    </w:lvl>
    <w:lvl w:ilvl="2" w:tplc="5D18FBF0">
      <w:numFmt w:val="decimal"/>
      <w:lvlText w:val=""/>
      <w:lvlJc w:val="left"/>
    </w:lvl>
    <w:lvl w:ilvl="3" w:tplc="F2A8AB20">
      <w:numFmt w:val="decimal"/>
      <w:lvlText w:val=""/>
      <w:lvlJc w:val="left"/>
    </w:lvl>
    <w:lvl w:ilvl="4" w:tplc="6EBC8AEC">
      <w:numFmt w:val="decimal"/>
      <w:lvlText w:val=""/>
      <w:lvlJc w:val="left"/>
    </w:lvl>
    <w:lvl w:ilvl="5" w:tplc="0F0E0C88">
      <w:numFmt w:val="decimal"/>
      <w:lvlText w:val=""/>
      <w:lvlJc w:val="left"/>
    </w:lvl>
    <w:lvl w:ilvl="6" w:tplc="1F8A34BA">
      <w:numFmt w:val="decimal"/>
      <w:lvlText w:val=""/>
      <w:lvlJc w:val="left"/>
    </w:lvl>
    <w:lvl w:ilvl="7" w:tplc="3ADA517A">
      <w:numFmt w:val="decimal"/>
      <w:lvlText w:val=""/>
      <w:lvlJc w:val="left"/>
    </w:lvl>
    <w:lvl w:ilvl="8" w:tplc="12F4752E">
      <w:numFmt w:val="decimal"/>
      <w:lvlText w:val=""/>
      <w:lvlJc w:val="left"/>
    </w:lvl>
  </w:abstractNum>
  <w:abstractNum w:abstractNumId="240" w15:restartNumberingAfterBreak="0">
    <w:nsid w:val="1A491E40"/>
    <w:multiLevelType w:val="hybridMultilevel"/>
    <w:tmpl w:val="7C0E93DA"/>
    <w:lvl w:ilvl="0" w:tplc="85B27404">
      <w:start w:val="1"/>
      <w:numFmt w:val="bullet"/>
      <w:lvlText w:val=""/>
      <w:lvlJc w:val="left"/>
      <w:pPr>
        <w:ind w:left="720" w:hanging="180"/>
      </w:pPr>
      <w:rPr>
        <w:rFonts w:ascii="Symbol" w:hAnsi="Symbol" w:hint="default"/>
      </w:rPr>
    </w:lvl>
    <w:lvl w:ilvl="1" w:tplc="626E74F6">
      <w:numFmt w:val="decimal"/>
      <w:lvlText w:val=""/>
      <w:lvlJc w:val="left"/>
    </w:lvl>
    <w:lvl w:ilvl="2" w:tplc="8396994C">
      <w:numFmt w:val="decimal"/>
      <w:lvlText w:val=""/>
      <w:lvlJc w:val="left"/>
    </w:lvl>
    <w:lvl w:ilvl="3" w:tplc="6A5A9974">
      <w:numFmt w:val="decimal"/>
      <w:lvlText w:val=""/>
      <w:lvlJc w:val="left"/>
    </w:lvl>
    <w:lvl w:ilvl="4" w:tplc="8B3C0184">
      <w:numFmt w:val="decimal"/>
      <w:lvlText w:val=""/>
      <w:lvlJc w:val="left"/>
    </w:lvl>
    <w:lvl w:ilvl="5" w:tplc="6FBE2526">
      <w:numFmt w:val="decimal"/>
      <w:lvlText w:val=""/>
      <w:lvlJc w:val="left"/>
    </w:lvl>
    <w:lvl w:ilvl="6" w:tplc="A6B86534">
      <w:numFmt w:val="decimal"/>
      <w:lvlText w:val=""/>
      <w:lvlJc w:val="left"/>
    </w:lvl>
    <w:lvl w:ilvl="7" w:tplc="0D361184">
      <w:numFmt w:val="decimal"/>
      <w:lvlText w:val=""/>
      <w:lvlJc w:val="left"/>
    </w:lvl>
    <w:lvl w:ilvl="8" w:tplc="5CD00A80">
      <w:numFmt w:val="decimal"/>
      <w:lvlText w:val=""/>
      <w:lvlJc w:val="left"/>
    </w:lvl>
  </w:abstractNum>
  <w:abstractNum w:abstractNumId="241" w15:restartNumberingAfterBreak="0">
    <w:nsid w:val="1AB309AD"/>
    <w:multiLevelType w:val="hybridMultilevel"/>
    <w:tmpl w:val="EAA45562"/>
    <w:lvl w:ilvl="0" w:tplc="201EA814">
      <w:start w:val="1"/>
      <w:numFmt w:val="bullet"/>
      <w:lvlText w:val=""/>
      <w:lvlJc w:val="left"/>
      <w:pPr>
        <w:ind w:left="720" w:hanging="180"/>
      </w:pPr>
      <w:rPr>
        <w:rFonts w:ascii="Symbol" w:hAnsi="Symbol" w:hint="default"/>
      </w:rPr>
    </w:lvl>
    <w:lvl w:ilvl="1" w:tplc="752ED532">
      <w:numFmt w:val="decimal"/>
      <w:lvlText w:val=""/>
      <w:lvlJc w:val="left"/>
    </w:lvl>
    <w:lvl w:ilvl="2" w:tplc="8D0C7D42">
      <w:numFmt w:val="decimal"/>
      <w:lvlText w:val=""/>
      <w:lvlJc w:val="left"/>
    </w:lvl>
    <w:lvl w:ilvl="3" w:tplc="B6AA2D5A">
      <w:numFmt w:val="decimal"/>
      <w:lvlText w:val=""/>
      <w:lvlJc w:val="left"/>
    </w:lvl>
    <w:lvl w:ilvl="4" w:tplc="5606A540">
      <w:numFmt w:val="decimal"/>
      <w:lvlText w:val=""/>
      <w:lvlJc w:val="left"/>
    </w:lvl>
    <w:lvl w:ilvl="5" w:tplc="1DDA8BEE">
      <w:numFmt w:val="decimal"/>
      <w:lvlText w:val=""/>
      <w:lvlJc w:val="left"/>
    </w:lvl>
    <w:lvl w:ilvl="6" w:tplc="AF4EB596">
      <w:numFmt w:val="decimal"/>
      <w:lvlText w:val=""/>
      <w:lvlJc w:val="left"/>
    </w:lvl>
    <w:lvl w:ilvl="7" w:tplc="E69EF168">
      <w:numFmt w:val="decimal"/>
      <w:lvlText w:val=""/>
      <w:lvlJc w:val="left"/>
    </w:lvl>
    <w:lvl w:ilvl="8" w:tplc="BCBC0E02">
      <w:numFmt w:val="decimal"/>
      <w:lvlText w:val=""/>
      <w:lvlJc w:val="left"/>
    </w:lvl>
  </w:abstractNum>
  <w:abstractNum w:abstractNumId="242" w15:restartNumberingAfterBreak="0">
    <w:nsid w:val="1AB83B8E"/>
    <w:multiLevelType w:val="hybridMultilevel"/>
    <w:tmpl w:val="0FCC5036"/>
    <w:lvl w:ilvl="0" w:tplc="77C2DDD6">
      <w:start w:val="1"/>
      <w:numFmt w:val="bullet"/>
      <w:lvlText w:val=""/>
      <w:lvlJc w:val="left"/>
      <w:pPr>
        <w:ind w:left="720" w:hanging="180"/>
      </w:pPr>
      <w:rPr>
        <w:rFonts w:ascii="Symbol" w:hAnsi="Symbol" w:hint="default"/>
      </w:rPr>
    </w:lvl>
    <w:lvl w:ilvl="1" w:tplc="0AD28F4C">
      <w:numFmt w:val="decimal"/>
      <w:lvlText w:val=""/>
      <w:lvlJc w:val="left"/>
    </w:lvl>
    <w:lvl w:ilvl="2" w:tplc="C4F22B54">
      <w:numFmt w:val="decimal"/>
      <w:lvlText w:val=""/>
      <w:lvlJc w:val="left"/>
    </w:lvl>
    <w:lvl w:ilvl="3" w:tplc="A1AA878A">
      <w:numFmt w:val="decimal"/>
      <w:lvlText w:val=""/>
      <w:lvlJc w:val="left"/>
    </w:lvl>
    <w:lvl w:ilvl="4" w:tplc="63400782">
      <w:numFmt w:val="decimal"/>
      <w:lvlText w:val=""/>
      <w:lvlJc w:val="left"/>
    </w:lvl>
    <w:lvl w:ilvl="5" w:tplc="4B6A9A2C">
      <w:numFmt w:val="decimal"/>
      <w:lvlText w:val=""/>
      <w:lvlJc w:val="left"/>
    </w:lvl>
    <w:lvl w:ilvl="6" w:tplc="13FAA6C2">
      <w:numFmt w:val="decimal"/>
      <w:lvlText w:val=""/>
      <w:lvlJc w:val="left"/>
    </w:lvl>
    <w:lvl w:ilvl="7" w:tplc="E926E3A4">
      <w:numFmt w:val="decimal"/>
      <w:lvlText w:val=""/>
      <w:lvlJc w:val="left"/>
    </w:lvl>
    <w:lvl w:ilvl="8" w:tplc="8CCAC2F4">
      <w:numFmt w:val="decimal"/>
      <w:lvlText w:val=""/>
      <w:lvlJc w:val="left"/>
    </w:lvl>
  </w:abstractNum>
  <w:abstractNum w:abstractNumId="243" w15:restartNumberingAfterBreak="0">
    <w:nsid w:val="1AD80EC9"/>
    <w:multiLevelType w:val="hybridMultilevel"/>
    <w:tmpl w:val="B8B2FFC8"/>
    <w:lvl w:ilvl="0" w:tplc="455E7F5A">
      <w:start w:val="1"/>
      <w:numFmt w:val="bullet"/>
      <w:lvlText w:val=""/>
      <w:lvlJc w:val="left"/>
      <w:pPr>
        <w:ind w:left="720" w:hanging="180"/>
      </w:pPr>
      <w:rPr>
        <w:rFonts w:ascii="Symbol" w:hAnsi="Symbol" w:hint="default"/>
      </w:rPr>
    </w:lvl>
    <w:lvl w:ilvl="1" w:tplc="0152E97C">
      <w:numFmt w:val="decimal"/>
      <w:lvlText w:val=""/>
      <w:lvlJc w:val="left"/>
    </w:lvl>
    <w:lvl w:ilvl="2" w:tplc="B7D8581C">
      <w:numFmt w:val="decimal"/>
      <w:lvlText w:val=""/>
      <w:lvlJc w:val="left"/>
    </w:lvl>
    <w:lvl w:ilvl="3" w:tplc="8230D9CC">
      <w:numFmt w:val="decimal"/>
      <w:lvlText w:val=""/>
      <w:lvlJc w:val="left"/>
    </w:lvl>
    <w:lvl w:ilvl="4" w:tplc="F77847FE">
      <w:numFmt w:val="decimal"/>
      <w:lvlText w:val=""/>
      <w:lvlJc w:val="left"/>
    </w:lvl>
    <w:lvl w:ilvl="5" w:tplc="72185BD0">
      <w:numFmt w:val="decimal"/>
      <w:lvlText w:val=""/>
      <w:lvlJc w:val="left"/>
    </w:lvl>
    <w:lvl w:ilvl="6" w:tplc="974CCBD6">
      <w:numFmt w:val="decimal"/>
      <w:lvlText w:val=""/>
      <w:lvlJc w:val="left"/>
    </w:lvl>
    <w:lvl w:ilvl="7" w:tplc="48845C94">
      <w:numFmt w:val="decimal"/>
      <w:lvlText w:val=""/>
      <w:lvlJc w:val="left"/>
    </w:lvl>
    <w:lvl w:ilvl="8" w:tplc="033EB34C">
      <w:numFmt w:val="decimal"/>
      <w:lvlText w:val=""/>
      <w:lvlJc w:val="left"/>
    </w:lvl>
  </w:abstractNum>
  <w:abstractNum w:abstractNumId="244" w15:restartNumberingAfterBreak="0">
    <w:nsid w:val="1B472C3E"/>
    <w:multiLevelType w:val="hybridMultilevel"/>
    <w:tmpl w:val="EE7A4652"/>
    <w:lvl w:ilvl="0" w:tplc="1FCAF882">
      <w:start w:val="1"/>
      <w:numFmt w:val="bullet"/>
      <w:lvlText w:val=""/>
      <w:lvlJc w:val="left"/>
      <w:pPr>
        <w:ind w:left="720" w:hanging="180"/>
      </w:pPr>
      <w:rPr>
        <w:rFonts w:ascii="Symbol" w:hAnsi="Symbol" w:hint="default"/>
      </w:rPr>
    </w:lvl>
    <w:lvl w:ilvl="1" w:tplc="32D80362">
      <w:numFmt w:val="decimal"/>
      <w:lvlText w:val=""/>
      <w:lvlJc w:val="left"/>
    </w:lvl>
    <w:lvl w:ilvl="2" w:tplc="24C86106">
      <w:numFmt w:val="decimal"/>
      <w:lvlText w:val=""/>
      <w:lvlJc w:val="left"/>
    </w:lvl>
    <w:lvl w:ilvl="3" w:tplc="7BE0E34C">
      <w:numFmt w:val="decimal"/>
      <w:lvlText w:val=""/>
      <w:lvlJc w:val="left"/>
    </w:lvl>
    <w:lvl w:ilvl="4" w:tplc="93B4EEE2">
      <w:numFmt w:val="decimal"/>
      <w:lvlText w:val=""/>
      <w:lvlJc w:val="left"/>
    </w:lvl>
    <w:lvl w:ilvl="5" w:tplc="18FCFD94">
      <w:numFmt w:val="decimal"/>
      <w:lvlText w:val=""/>
      <w:lvlJc w:val="left"/>
    </w:lvl>
    <w:lvl w:ilvl="6" w:tplc="D256E2D4">
      <w:numFmt w:val="decimal"/>
      <w:lvlText w:val=""/>
      <w:lvlJc w:val="left"/>
    </w:lvl>
    <w:lvl w:ilvl="7" w:tplc="85A0BDDA">
      <w:numFmt w:val="decimal"/>
      <w:lvlText w:val=""/>
      <w:lvlJc w:val="left"/>
    </w:lvl>
    <w:lvl w:ilvl="8" w:tplc="EF401C7E">
      <w:numFmt w:val="decimal"/>
      <w:lvlText w:val=""/>
      <w:lvlJc w:val="left"/>
    </w:lvl>
  </w:abstractNum>
  <w:abstractNum w:abstractNumId="245" w15:restartNumberingAfterBreak="0">
    <w:nsid w:val="1B507882"/>
    <w:multiLevelType w:val="hybridMultilevel"/>
    <w:tmpl w:val="EABA7BF8"/>
    <w:lvl w:ilvl="0" w:tplc="6130ECB4">
      <w:start w:val="1"/>
      <w:numFmt w:val="bullet"/>
      <w:lvlText w:val=""/>
      <w:lvlJc w:val="left"/>
      <w:pPr>
        <w:ind w:left="720" w:hanging="180"/>
      </w:pPr>
      <w:rPr>
        <w:rFonts w:ascii="Symbol" w:hAnsi="Symbol" w:hint="default"/>
      </w:rPr>
    </w:lvl>
    <w:lvl w:ilvl="1" w:tplc="6B7E5DA4">
      <w:numFmt w:val="decimal"/>
      <w:lvlText w:val=""/>
      <w:lvlJc w:val="left"/>
    </w:lvl>
    <w:lvl w:ilvl="2" w:tplc="F9C82DEE">
      <w:numFmt w:val="decimal"/>
      <w:lvlText w:val=""/>
      <w:lvlJc w:val="left"/>
    </w:lvl>
    <w:lvl w:ilvl="3" w:tplc="59BCFF36">
      <w:numFmt w:val="decimal"/>
      <w:lvlText w:val=""/>
      <w:lvlJc w:val="left"/>
    </w:lvl>
    <w:lvl w:ilvl="4" w:tplc="7E88B976">
      <w:numFmt w:val="decimal"/>
      <w:lvlText w:val=""/>
      <w:lvlJc w:val="left"/>
    </w:lvl>
    <w:lvl w:ilvl="5" w:tplc="8F286212">
      <w:numFmt w:val="decimal"/>
      <w:lvlText w:val=""/>
      <w:lvlJc w:val="left"/>
    </w:lvl>
    <w:lvl w:ilvl="6" w:tplc="BBAC55D4">
      <w:numFmt w:val="decimal"/>
      <w:lvlText w:val=""/>
      <w:lvlJc w:val="left"/>
    </w:lvl>
    <w:lvl w:ilvl="7" w:tplc="08C6CDB4">
      <w:numFmt w:val="decimal"/>
      <w:lvlText w:val=""/>
      <w:lvlJc w:val="left"/>
    </w:lvl>
    <w:lvl w:ilvl="8" w:tplc="2476277A">
      <w:numFmt w:val="decimal"/>
      <w:lvlText w:val=""/>
      <w:lvlJc w:val="left"/>
    </w:lvl>
  </w:abstractNum>
  <w:abstractNum w:abstractNumId="246" w15:restartNumberingAfterBreak="0">
    <w:nsid w:val="1B583985"/>
    <w:multiLevelType w:val="hybridMultilevel"/>
    <w:tmpl w:val="B268DDC4"/>
    <w:lvl w:ilvl="0" w:tplc="3972570A">
      <w:start w:val="1"/>
      <w:numFmt w:val="bullet"/>
      <w:lvlText w:val=""/>
      <w:lvlJc w:val="left"/>
      <w:pPr>
        <w:ind w:left="720" w:hanging="180"/>
      </w:pPr>
      <w:rPr>
        <w:rFonts w:ascii="Symbol" w:hAnsi="Symbol" w:hint="default"/>
      </w:rPr>
    </w:lvl>
    <w:lvl w:ilvl="1" w:tplc="73AAD14C">
      <w:numFmt w:val="decimal"/>
      <w:lvlText w:val=""/>
      <w:lvlJc w:val="left"/>
    </w:lvl>
    <w:lvl w:ilvl="2" w:tplc="D598BBA4">
      <w:numFmt w:val="decimal"/>
      <w:lvlText w:val=""/>
      <w:lvlJc w:val="left"/>
    </w:lvl>
    <w:lvl w:ilvl="3" w:tplc="19A2C532">
      <w:numFmt w:val="decimal"/>
      <w:lvlText w:val=""/>
      <w:lvlJc w:val="left"/>
    </w:lvl>
    <w:lvl w:ilvl="4" w:tplc="C0A2A910">
      <w:numFmt w:val="decimal"/>
      <w:lvlText w:val=""/>
      <w:lvlJc w:val="left"/>
    </w:lvl>
    <w:lvl w:ilvl="5" w:tplc="73200996">
      <w:numFmt w:val="decimal"/>
      <w:lvlText w:val=""/>
      <w:lvlJc w:val="left"/>
    </w:lvl>
    <w:lvl w:ilvl="6" w:tplc="FB9883C0">
      <w:numFmt w:val="decimal"/>
      <w:lvlText w:val=""/>
      <w:lvlJc w:val="left"/>
    </w:lvl>
    <w:lvl w:ilvl="7" w:tplc="E5D26648">
      <w:numFmt w:val="decimal"/>
      <w:lvlText w:val=""/>
      <w:lvlJc w:val="left"/>
    </w:lvl>
    <w:lvl w:ilvl="8" w:tplc="5B98563C">
      <w:numFmt w:val="decimal"/>
      <w:lvlText w:val=""/>
      <w:lvlJc w:val="left"/>
    </w:lvl>
  </w:abstractNum>
  <w:abstractNum w:abstractNumId="247" w15:restartNumberingAfterBreak="0">
    <w:nsid w:val="1B7C1566"/>
    <w:multiLevelType w:val="hybridMultilevel"/>
    <w:tmpl w:val="2A3CB40C"/>
    <w:lvl w:ilvl="0" w:tplc="BB9CC194">
      <w:start w:val="1"/>
      <w:numFmt w:val="bullet"/>
      <w:lvlText w:val=""/>
      <w:lvlJc w:val="left"/>
      <w:pPr>
        <w:ind w:left="720" w:hanging="180"/>
      </w:pPr>
      <w:rPr>
        <w:rFonts w:ascii="Symbol" w:hAnsi="Symbol" w:hint="default"/>
      </w:rPr>
    </w:lvl>
    <w:lvl w:ilvl="1" w:tplc="D8AA892E">
      <w:numFmt w:val="decimal"/>
      <w:lvlText w:val=""/>
      <w:lvlJc w:val="left"/>
    </w:lvl>
    <w:lvl w:ilvl="2" w:tplc="27C8B19C">
      <w:numFmt w:val="decimal"/>
      <w:lvlText w:val=""/>
      <w:lvlJc w:val="left"/>
    </w:lvl>
    <w:lvl w:ilvl="3" w:tplc="1EAAE9EA">
      <w:numFmt w:val="decimal"/>
      <w:lvlText w:val=""/>
      <w:lvlJc w:val="left"/>
    </w:lvl>
    <w:lvl w:ilvl="4" w:tplc="32A2C700">
      <w:numFmt w:val="decimal"/>
      <w:lvlText w:val=""/>
      <w:lvlJc w:val="left"/>
    </w:lvl>
    <w:lvl w:ilvl="5" w:tplc="C0F62B30">
      <w:numFmt w:val="decimal"/>
      <w:lvlText w:val=""/>
      <w:lvlJc w:val="left"/>
    </w:lvl>
    <w:lvl w:ilvl="6" w:tplc="51A0F926">
      <w:numFmt w:val="decimal"/>
      <w:lvlText w:val=""/>
      <w:lvlJc w:val="left"/>
    </w:lvl>
    <w:lvl w:ilvl="7" w:tplc="C6B00454">
      <w:numFmt w:val="decimal"/>
      <w:lvlText w:val=""/>
      <w:lvlJc w:val="left"/>
    </w:lvl>
    <w:lvl w:ilvl="8" w:tplc="83D0217C">
      <w:numFmt w:val="decimal"/>
      <w:lvlText w:val=""/>
      <w:lvlJc w:val="left"/>
    </w:lvl>
  </w:abstractNum>
  <w:abstractNum w:abstractNumId="248" w15:restartNumberingAfterBreak="0">
    <w:nsid w:val="1BB47FF3"/>
    <w:multiLevelType w:val="hybridMultilevel"/>
    <w:tmpl w:val="AE9E57AA"/>
    <w:lvl w:ilvl="0" w:tplc="6B00801E">
      <w:numFmt w:val="decimal"/>
      <w:lvlText w:val=""/>
      <w:lvlJc w:val="left"/>
    </w:lvl>
    <w:lvl w:ilvl="1" w:tplc="9B78B08E">
      <w:start w:val="1"/>
      <w:numFmt w:val="bullet"/>
      <w:lvlText w:val=""/>
      <w:lvlJc w:val="left"/>
      <w:pPr>
        <w:ind w:left="1440" w:hanging="180"/>
      </w:pPr>
      <w:rPr>
        <w:rFonts w:ascii="Symbol" w:hAnsi="Symbol" w:hint="default"/>
      </w:rPr>
    </w:lvl>
    <w:lvl w:ilvl="2" w:tplc="BAE8E6C8">
      <w:numFmt w:val="decimal"/>
      <w:lvlText w:val=""/>
      <w:lvlJc w:val="left"/>
    </w:lvl>
    <w:lvl w:ilvl="3" w:tplc="1A161C1A">
      <w:numFmt w:val="decimal"/>
      <w:lvlText w:val=""/>
      <w:lvlJc w:val="left"/>
    </w:lvl>
    <w:lvl w:ilvl="4" w:tplc="9BCEA8A0">
      <w:numFmt w:val="decimal"/>
      <w:lvlText w:val=""/>
      <w:lvlJc w:val="left"/>
    </w:lvl>
    <w:lvl w:ilvl="5" w:tplc="78247DEA">
      <w:numFmt w:val="decimal"/>
      <w:lvlText w:val=""/>
      <w:lvlJc w:val="left"/>
    </w:lvl>
    <w:lvl w:ilvl="6" w:tplc="F822E2D6">
      <w:numFmt w:val="decimal"/>
      <w:lvlText w:val=""/>
      <w:lvlJc w:val="left"/>
    </w:lvl>
    <w:lvl w:ilvl="7" w:tplc="ADB48218">
      <w:numFmt w:val="decimal"/>
      <w:lvlText w:val=""/>
      <w:lvlJc w:val="left"/>
    </w:lvl>
    <w:lvl w:ilvl="8" w:tplc="65E2F73C">
      <w:numFmt w:val="decimal"/>
      <w:lvlText w:val=""/>
      <w:lvlJc w:val="left"/>
    </w:lvl>
  </w:abstractNum>
  <w:abstractNum w:abstractNumId="249" w15:restartNumberingAfterBreak="0">
    <w:nsid w:val="1BBE0FA2"/>
    <w:multiLevelType w:val="hybridMultilevel"/>
    <w:tmpl w:val="CD7EDE14"/>
    <w:lvl w:ilvl="0" w:tplc="3D8699AE">
      <w:start w:val="1"/>
      <w:numFmt w:val="bullet"/>
      <w:lvlText w:val=""/>
      <w:lvlJc w:val="left"/>
      <w:pPr>
        <w:ind w:left="720" w:hanging="180"/>
      </w:pPr>
      <w:rPr>
        <w:rFonts w:ascii="Symbol" w:hAnsi="Symbol" w:hint="default"/>
      </w:rPr>
    </w:lvl>
    <w:lvl w:ilvl="1" w:tplc="1FF089DA">
      <w:numFmt w:val="decimal"/>
      <w:lvlText w:val=""/>
      <w:lvlJc w:val="left"/>
    </w:lvl>
    <w:lvl w:ilvl="2" w:tplc="0A303C1A">
      <w:numFmt w:val="decimal"/>
      <w:lvlText w:val=""/>
      <w:lvlJc w:val="left"/>
    </w:lvl>
    <w:lvl w:ilvl="3" w:tplc="FC968924">
      <w:numFmt w:val="decimal"/>
      <w:lvlText w:val=""/>
      <w:lvlJc w:val="left"/>
    </w:lvl>
    <w:lvl w:ilvl="4" w:tplc="A606B636">
      <w:numFmt w:val="decimal"/>
      <w:lvlText w:val=""/>
      <w:lvlJc w:val="left"/>
    </w:lvl>
    <w:lvl w:ilvl="5" w:tplc="CC1E13CE">
      <w:numFmt w:val="decimal"/>
      <w:lvlText w:val=""/>
      <w:lvlJc w:val="left"/>
    </w:lvl>
    <w:lvl w:ilvl="6" w:tplc="266C706A">
      <w:numFmt w:val="decimal"/>
      <w:lvlText w:val=""/>
      <w:lvlJc w:val="left"/>
    </w:lvl>
    <w:lvl w:ilvl="7" w:tplc="F0FA630A">
      <w:numFmt w:val="decimal"/>
      <w:lvlText w:val=""/>
      <w:lvlJc w:val="left"/>
    </w:lvl>
    <w:lvl w:ilvl="8" w:tplc="16727F1E">
      <w:numFmt w:val="decimal"/>
      <w:lvlText w:val=""/>
      <w:lvlJc w:val="left"/>
    </w:lvl>
  </w:abstractNum>
  <w:abstractNum w:abstractNumId="250" w15:restartNumberingAfterBreak="0">
    <w:nsid w:val="1C4131EA"/>
    <w:multiLevelType w:val="hybridMultilevel"/>
    <w:tmpl w:val="5CA6E51A"/>
    <w:lvl w:ilvl="0" w:tplc="B3C2C5E2">
      <w:start w:val="1"/>
      <w:numFmt w:val="bullet"/>
      <w:lvlText w:val=""/>
      <w:lvlJc w:val="left"/>
      <w:pPr>
        <w:ind w:left="720" w:hanging="180"/>
      </w:pPr>
      <w:rPr>
        <w:rFonts w:ascii="Symbol" w:hAnsi="Symbol" w:hint="default"/>
      </w:rPr>
    </w:lvl>
    <w:lvl w:ilvl="1" w:tplc="0172BED0">
      <w:numFmt w:val="decimal"/>
      <w:lvlText w:val=""/>
      <w:lvlJc w:val="left"/>
    </w:lvl>
    <w:lvl w:ilvl="2" w:tplc="D3CA90F0">
      <w:numFmt w:val="decimal"/>
      <w:lvlText w:val=""/>
      <w:lvlJc w:val="left"/>
    </w:lvl>
    <w:lvl w:ilvl="3" w:tplc="DEEC9392">
      <w:numFmt w:val="decimal"/>
      <w:lvlText w:val=""/>
      <w:lvlJc w:val="left"/>
    </w:lvl>
    <w:lvl w:ilvl="4" w:tplc="BDDE7232">
      <w:numFmt w:val="decimal"/>
      <w:lvlText w:val=""/>
      <w:lvlJc w:val="left"/>
    </w:lvl>
    <w:lvl w:ilvl="5" w:tplc="8A0085C4">
      <w:numFmt w:val="decimal"/>
      <w:lvlText w:val=""/>
      <w:lvlJc w:val="left"/>
    </w:lvl>
    <w:lvl w:ilvl="6" w:tplc="4EA6A1F2">
      <w:numFmt w:val="decimal"/>
      <w:lvlText w:val=""/>
      <w:lvlJc w:val="left"/>
    </w:lvl>
    <w:lvl w:ilvl="7" w:tplc="44E0DAA2">
      <w:numFmt w:val="decimal"/>
      <w:lvlText w:val=""/>
      <w:lvlJc w:val="left"/>
    </w:lvl>
    <w:lvl w:ilvl="8" w:tplc="F80C9E74">
      <w:numFmt w:val="decimal"/>
      <w:lvlText w:val=""/>
      <w:lvlJc w:val="left"/>
    </w:lvl>
  </w:abstractNum>
  <w:abstractNum w:abstractNumId="251" w15:restartNumberingAfterBreak="0">
    <w:nsid w:val="1C4A0520"/>
    <w:multiLevelType w:val="hybridMultilevel"/>
    <w:tmpl w:val="8AEE4BEE"/>
    <w:lvl w:ilvl="0" w:tplc="7B88ADD4">
      <w:start w:val="1"/>
      <w:numFmt w:val="bullet"/>
      <w:lvlText w:val=""/>
      <w:lvlJc w:val="left"/>
      <w:pPr>
        <w:ind w:left="720" w:hanging="180"/>
      </w:pPr>
      <w:rPr>
        <w:rFonts w:ascii="Symbol" w:hAnsi="Symbol" w:hint="default"/>
      </w:rPr>
    </w:lvl>
    <w:lvl w:ilvl="1" w:tplc="50869FEA">
      <w:numFmt w:val="decimal"/>
      <w:lvlText w:val=""/>
      <w:lvlJc w:val="left"/>
    </w:lvl>
    <w:lvl w:ilvl="2" w:tplc="481CDDCA">
      <w:numFmt w:val="decimal"/>
      <w:lvlText w:val=""/>
      <w:lvlJc w:val="left"/>
    </w:lvl>
    <w:lvl w:ilvl="3" w:tplc="40C88AD8">
      <w:numFmt w:val="decimal"/>
      <w:lvlText w:val=""/>
      <w:lvlJc w:val="left"/>
    </w:lvl>
    <w:lvl w:ilvl="4" w:tplc="21A64D02">
      <w:numFmt w:val="decimal"/>
      <w:lvlText w:val=""/>
      <w:lvlJc w:val="left"/>
    </w:lvl>
    <w:lvl w:ilvl="5" w:tplc="C4B86CEC">
      <w:numFmt w:val="decimal"/>
      <w:lvlText w:val=""/>
      <w:lvlJc w:val="left"/>
    </w:lvl>
    <w:lvl w:ilvl="6" w:tplc="F104B6BC">
      <w:numFmt w:val="decimal"/>
      <w:lvlText w:val=""/>
      <w:lvlJc w:val="left"/>
    </w:lvl>
    <w:lvl w:ilvl="7" w:tplc="C5FABB44">
      <w:numFmt w:val="decimal"/>
      <w:lvlText w:val=""/>
      <w:lvlJc w:val="left"/>
    </w:lvl>
    <w:lvl w:ilvl="8" w:tplc="BBBE03D6">
      <w:numFmt w:val="decimal"/>
      <w:lvlText w:val=""/>
      <w:lvlJc w:val="left"/>
    </w:lvl>
  </w:abstractNum>
  <w:abstractNum w:abstractNumId="252" w15:restartNumberingAfterBreak="0">
    <w:nsid w:val="1C4D7F76"/>
    <w:multiLevelType w:val="hybridMultilevel"/>
    <w:tmpl w:val="502063C6"/>
    <w:lvl w:ilvl="0" w:tplc="1A045498">
      <w:start w:val="1"/>
      <w:numFmt w:val="bullet"/>
      <w:lvlText w:val=""/>
      <w:lvlJc w:val="left"/>
      <w:pPr>
        <w:ind w:left="720" w:hanging="180"/>
      </w:pPr>
      <w:rPr>
        <w:rFonts w:ascii="Symbol" w:hAnsi="Symbol" w:hint="default"/>
      </w:rPr>
    </w:lvl>
    <w:lvl w:ilvl="1" w:tplc="A62EA4E2">
      <w:numFmt w:val="decimal"/>
      <w:lvlText w:val=""/>
      <w:lvlJc w:val="left"/>
    </w:lvl>
    <w:lvl w:ilvl="2" w:tplc="EC844BAA">
      <w:numFmt w:val="decimal"/>
      <w:lvlText w:val=""/>
      <w:lvlJc w:val="left"/>
    </w:lvl>
    <w:lvl w:ilvl="3" w:tplc="30C68DD6">
      <w:numFmt w:val="decimal"/>
      <w:lvlText w:val=""/>
      <w:lvlJc w:val="left"/>
    </w:lvl>
    <w:lvl w:ilvl="4" w:tplc="E42E75C2">
      <w:numFmt w:val="decimal"/>
      <w:lvlText w:val=""/>
      <w:lvlJc w:val="left"/>
    </w:lvl>
    <w:lvl w:ilvl="5" w:tplc="F3849F6A">
      <w:numFmt w:val="decimal"/>
      <w:lvlText w:val=""/>
      <w:lvlJc w:val="left"/>
    </w:lvl>
    <w:lvl w:ilvl="6" w:tplc="2384C8EC">
      <w:numFmt w:val="decimal"/>
      <w:lvlText w:val=""/>
      <w:lvlJc w:val="left"/>
    </w:lvl>
    <w:lvl w:ilvl="7" w:tplc="909AF056">
      <w:numFmt w:val="decimal"/>
      <w:lvlText w:val=""/>
      <w:lvlJc w:val="left"/>
    </w:lvl>
    <w:lvl w:ilvl="8" w:tplc="B2A273BE">
      <w:numFmt w:val="decimal"/>
      <w:lvlText w:val=""/>
      <w:lvlJc w:val="left"/>
    </w:lvl>
  </w:abstractNum>
  <w:abstractNum w:abstractNumId="253" w15:restartNumberingAfterBreak="0">
    <w:nsid w:val="1CAA621D"/>
    <w:multiLevelType w:val="hybridMultilevel"/>
    <w:tmpl w:val="5D1444E2"/>
    <w:lvl w:ilvl="0" w:tplc="DDAE1280">
      <w:start w:val="1"/>
      <w:numFmt w:val="bullet"/>
      <w:lvlText w:val=""/>
      <w:lvlJc w:val="left"/>
      <w:pPr>
        <w:ind w:left="720" w:hanging="180"/>
      </w:pPr>
      <w:rPr>
        <w:rFonts w:ascii="Symbol" w:hAnsi="Symbol" w:hint="default"/>
      </w:rPr>
    </w:lvl>
    <w:lvl w:ilvl="1" w:tplc="128278AA">
      <w:numFmt w:val="decimal"/>
      <w:lvlText w:val=""/>
      <w:lvlJc w:val="left"/>
    </w:lvl>
    <w:lvl w:ilvl="2" w:tplc="72B60B66">
      <w:numFmt w:val="decimal"/>
      <w:lvlText w:val=""/>
      <w:lvlJc w:val="left"/>
    </w:lvl>
    <w:lvl w:ilvl="3" w:tplc="A01265B6">
      <w:numFmt w:val="decimal"/>
      <w:lvlText w:val=""/>
      <w:lvlJc w:val="left"/>
    </w:lvl>
    <w:lvl w:ilvl="4" w:tplc="518AA894">
      <w:numFmt w:val="decimal"/>
      <w:lvlText w:val=""/>
      <w:lvlJc w:val="left"/>
    </w:lvl>
    <w:lvl w:ilvl="5" w:tplc="A5125256">
      <w:numFmt w:val="decimal"/>
      <w:lvlText w:val=""/>
      <w:lvlJc w:val="left"/>
    </w:lvl>
    <w:lvl w:ilvl="6" w:tplc="3C56FEFA">
      <w:numFmt w:val="decimal"/>
      <w:lvlText w:val=""/>
      <w:lvlJc w:val="left"/>
    </w:lvl>
    <w:lvl w:ilvl="7" w:tplc="8A52CF42">
      <w:numFmt w:val="decimal"/>
      <w:lvlText w:val=""/>
      <w:lvlJc w:val="left"/>
    </w:lvl>
    <w:lvl w:ilvl="8" w:tplc="9C0AAD0C">
      <w:numFmt w:val="decimal"/>
      <w:lvlText w:val=""/>
      <w:lvlJc w:val="left"/>
    </w:lvl>
  </w:abstractNum>
  <w:abstractNum w:abstractNumId="254" w15:restartNumberingAfterBreak="0">
    <w:nsid w:val="1CC5752B"/>
    <w:multiLevelType w:val="hybridMultilevel"/>
    <w:tmpl w:val="788AEC26"/>
    <w:lvl w:ilvl="0" w:tplc="2FBCA23A">
      <w:start w:val="1"/>
      <w:numFmt w:val="bullet"/>
      <w:lvlText w:val=""/>
      <w:lvlJc w:val="left"/>
      <w:pPr>
        <w:ind w:left="720" w:hanging="180"/>
      </w:pPr>
      <w:rPr>
        <w:rFonts w:ascii="Symbol" w:hAnsi="Symbol" w:hint="default"/>
      </w:rPr>
    </w:lvl>
    <w:lvl w:ilvl="1" w:tplc="29F2AB54">
      <w:numFmt w:val="decimal"/>
      <w:lvlText w:val=""/>
      <w:lvlJc w:val="left"/>
    </w:lvl>
    <w:lvl w:ilvl="2" w:tplc="212A88CA">
      <w:numFmt w:val="decimal"/>
      <w:lvlText w:val=""/>
      <w:lvlJc w:val="left"/>
    </w:lvl>
    <w:lvl w:ilvl="3" w:tplc="45C64EF0">
      <w:numFmt w:val="decimal"/>
      <w:lvlText w:val=""/>
      <w:lvlJc w:val="left"/>
    </w:lvl>
    <w:lvl w:ilvl="4" w:tplc="A3C2CE18">
      <w:numFmt w:val="decimal"/>
      <w:lvlText w:val=""/>
      <w:lvlJc w:val="left"/>
    </w:lvl>
    <w:lvl w:ilvl="5" w:tplc="F0626EB2">
      <w:numFmt w:val="decimal"/>
      <w:lvlText w:val=""/>
      <w:lvlJc w:val="left"/>
    </w:lvl>
    <w:lvl w:ilvl="6" w:tplc="1E8408FC">
      <w:numFmt w:val="decimal"/>
      <w:lvlText w:val=""/>
      <w:lvlJc w:val="left"/>
    </w:lvl>
    <w:lvl w:ilvl="7" w:tplc="228A77A2">
      <w:numFmt w:val="decimal"/>
      <w:lvlText w:val=""/>
      <w:lvlJc w:val="left"/>
    </w:lvl>
    <w:lvl w:ilvl="8" w:tplc="EDFEDCC4">
      <w:numFmt w:val="decimal"/>
      <w:lvlText w:val=""/>
      <w:lvlJc w:val="left"/>
    </w:lvl>
  </w:abstractNum>
  <w:abstractNum w:abstractNumId="255" w15:restartNumberingAfterBreak="0">
    <w:nsid w:val="1CCE4F43"/>
    <w:multiLevelType w:val="hybridMultilevel"/>
    <w:tmpl w:val="16A8AA4A"/>
    <w:lvl w:ilvl="0" w:tplc="81260DC0">
      <w:start w:val="1"/>
      <w:numFmt w:val="bullet"/>
      <w:lvlText w:val=""/>
      <w:lvlJc w:val="left"/>
      <w:pPr>
        <w:ind w:left="720" w:hanging="180"/>
      </w:pPr>
      <w:rPr>
        <w:rFonts w:ascii="Symbol" w:hAnsi="Symbol" w:hint="default"/>
      </w:rPr>
    </w:lvl>
    <w:lvl w:ilvl="1" w:tplc="C862D04C">
      <w:numFmt w:val="decimal"/>
      <w:lvlText w:val=""/>
      <w:lvlJc w:val="left"/>
    </w:lvl>
    <w:lvl w:ilvl="2" w:tplc="8020C784">
      <w:numFmt w:val="decimal"/>
      <w:lvlText w:val=""/>
      <w:lvlJc w:val="left"/>
    </w:lvl>
    <w:lvl w:ilvl="3" w:tplc="C0A03B8C">
      <w:numFmt w:val="decimal"/>
      <w:lvlText w:val=""/>
      <w:lvlJc w:val="left"/>
    </w:lvl>
    <w:lvl w:ilvl="4" w:tplc="F148070E">
      <w:numFmt w:val="decimal"/>
      <w:lvlText w:val=""/>
      <w:lvlJc w:val="left"/>
    </w:lvl>
    <w:lvl w:ilvl="5" w:tplc="EC6A5F86">
      <w:numFmt w:val="decimal"/>
      <w:lvlText w:val=""/>
      <w:lvlJc w:val="left"/>
    </w:lvl>
    <w:lvl w:ilvl="6" w:tplc="069E145A">
      <w:numFmt w:val="decimal"/>
      <w:lvlText w:val=""/>
      <w:lvlJc w:val="left"/>
    </w:lvl>
    <w:lvl w:ilvl="7" w:tplc="17FEEE4C">
      <w:numFmt w:val="decimal"/>
      <w:lvlText w:val=""/>
      <w:lvlJc w:val="left"/>
    </w:lvl>
    <w:lvl w:ilvl="8" w:tplc="8056EB6C">
      <w:numFmt w:val="decimal"/>
      <w:lvlText w:val=""/>
      <w:lvlJc w:val="left"/>
    </w:lvl>
  </w:abstractNum>
  <w:abstractNum w:abstractNumId="256" w15:restartNumberingAfterBreak="0">
    <w:nsid w:val="1CD26B4F"/>
    <w:multiLevelType w:val="hybridMultilevel"/>
    <w:tmpl w:val="F49A82E0"/>
    <w:lvl w:ilvl="0" w:tplc="72E09924">
      <w:start w:val="1"/>
      <w:numFmt w:val="bullet"/>
      <w:lvlText w:val=""/>
      <w:lvlJc w:val="left"/>
      <w:pPr>
        <w:ind w:left="720" w:hanging="180"/>
      </w:pPr>
      <w:rPr>
        <w:rFonts w:ascii="Symbol" w:hAnsi="Symbol" w:hint="default"/>
      </w:rPr>
    </w:lvl>
    <w:lvl w:ilvl="1" w:tplc="A016144A">
      <w:numFmt w:val="decimal"/>
      <w:lvlText w:val=""/>
      <w:lvlJc w:val="left"/>
    </w:lvl>
    <w:lvl w:ilvl="2" w:tplc="C1DA4C28">
      <w:numFmt w:val="decimal"/>
      <w:lvlText w:val=""/>
      <w:lvlJc w:val="left"/>
    </w:lvl>
    <w:lvl w:ilvl="3" w:tplc="3158498A">
      <w:numFmt w:val="decimal"/>
      <w:lvlText w:val=""/>
      <w:lvlJc w:val="left"/>
    </w:lvl>
    <w:lvl w:ilvl="4" w:tplc="C9FEB2D6">
      <w:numFmt w:val="decimal"/>
      <w:lvlText w:val=""/>
      <w:lvlJc w:val="left"/>
    </w:lvl>
    <w:lvl w:ilvl="5" w:tplc="31C81DC8">
      <w:numFmt w:val="decimal"/>
      <w:lvlText w:val=""/>
      <w:lvlJc w:val="left"/>
    </w:lvl>
    <w:lvl w:ilvl="6" w:tplc="0872570A">
      <w:numFmt w:val="decimal"/>
      <w:lvlText w:val=""/>
      <w:lvlJc w:val="left"/>
    </w:lvl>
    <w:lvl w:ilvl="7" w:tplc="AF6685CE">
      <w:numFmt w:val="decimal"/>
      <w:lvlText w:val=""/>
      <w:lvlJc w:val="left"/>
    </w:lvl>
    <w:lvl w:ilvl="8" w:tplc="CF7EA748">
      <w:numFmt w:val="decimal"/>
      <w:lvlText w:val=""/>
      <w:lvlJc w:val="left"/>
    </w:lvl>
  </w:abstractNum>
  <w:abstractNum w:abstractNumId="257" w15:restartNumberingAfterBreak="0">
    <w:nsid w:val="1D101BF4"/>
    <w:multiLevelType w:val="hybridMultilevel"/>
    <w:tmpl w:val="1BECA8C2"/>
    <w:lvl w:ilvl="0" w:tplc="C9C891FA">
      <w:start w:val="1"/>
      <w:numFmt w:val="bullet"/>
      <w:lvlText w:val=""/>
      <w:lvlJc w:val="left"/>
      <w:pPr>
        <w:ind w:left="720" w:hanging="180"/>
      </w:pPr>
      <w:rPr>
        <w:rFonts w:ascii="Symbol" w:hAnsi="Symbol" w:hint="default"/>
      </w:rPr>
    </w:lvl>
    <w:lvl w:ilvl="1" w:tplc="A8B48AE2">
      <w:numFmt w:val="decimal"/>
      <w:lvlText w:val=""/>
      <w:lvlJc w:val="left"/>
    </w:lvl>
    <w:lvl w:ilvl="2" w:tplc="905A4100">
      <w:numFmt w:val="decimal"/>
      <w:lvlText w:val=""/>
      <w:lvlJc w:val="left"/>
    </w:lvl>
    <w:lvl w:ilvl="3" w:tplc="25D835A8">
      <w:numFmt w:val="decimal"/>
      <w:lvlText w:val=""/>
      <w:lvlJc w:val="left"/>
    </w:lvl>
    <w:lvl w:ilvl="4" w:tplc="C20604B2">
      <w:numFmt w:val="decimal"/>
      <w:lvlText w:val=""/>
      <w:lvlJc w:val="left"/>
    </w:lvl>
    <w:lvl w:ilvl="5" w:tplc="5E205DD8">
      <w:numFmt w:val="decimal"/>
      <w:lvlText w:val=""/>
      <w:lvlJc w:val="left"/>
    </w:lvl>
    <w:lvl w:ilvl="6" w:tplc="A14C4D26">
      <w:numFmt w:val="decimal"/>
      <w:lvlText w:val=""/>
      <w:lvlJc w:val="left"/>
    </w:lvl>
    <w:lvl w:ilvl="7" w:tplc="061A6970">
      <w:numFmt w:val="decimal"/>
      <w:lvlText w:val=""/>
      <w:lvlJc w:val="left"/>
    </w:lvl>
    <w:lvl w:ilvl="8" w:tplc="6B447524">
      <w:numFmt w:val="decimal"/>
      <w:lvlText w:val=""/>
      <w:lvlJc w:val="left"/>
    </w:lvl>
  </w:abstractNum>
  <w:abstractNum w:abstractNumId="258" w15:restartNumberingAfterBreak="0">
    <w:nsid w:val="1D173577"/>
    <w:multiLevelType w:val="hybridMultilevel"/>
    <w:tmpl w:val="9362997A"/>
    <w:lvl w:ilvl="0" w:tplc="6AF48EC4">
      <w:start w:val="1"/>
      <w:numFmt w:val="bullet"/>
      <w:lvlText w:val=""/>
      <w:lvlJc w:val="left"/>
      <w:pPr>
        <w:ind w:left="720" w:hanging="180"/>
      </w:pPr>
      <w:rPr>
        <w:rFonts w:ascii="Symbol" w:hAnsi="Symbol" w:hint="default"/>
      </w:rPr>
    </w:lvl>
    <w:lvl w:ilvl="1" w:tplc="63C608B6">
      <w:numFmt w:val="decimal"/>
      <w:lvlText w:val=""/>
      <w:lvlJc w:val="left"/>
    </w:lvl>
    <w:lvl w:ilvl="2" w:tplc="8E1C4E84">
      <w:numFmt w:val="decimal"/>
      <w:lvlText w:val=""/>
      <w:lvlJc w:val="left"/>
    </w:lvl>
    <w:lvl w:ilvl="3" w:tplc="B58A1FBE">
      <w:numFmt w:val="decimal"/>
      <w:lvlText w:val=""/>
      <w:lvlJc w:val="left"/>
    </w:lvl>
    <w:lvl w:ilvl="4" w:tplc="3634BBAA">
      <w:numFmt w:val="decimal"/>
      <w:lvlText w:val=""/>
      <w:lvlJc w:val="left"/>
    </w:lvl>
    <w:lvl w:ilvl="5" w:tplc="09DA33F8">
      <w:numFmt w:val="decimal"/>
      <w:lvlText w:val=""/>
      <w:lvlJc w:val="left"/>
    </w:lvl>
    <w:lvl w:ilvl="6" w:tplc="FE28FF4E">
      <w:numFmt w:val="decimal"/>
      <w:lvlText w:val=""/>
      <w:lvlJc w:val="left"/>
    </w:lvl>
    <w:lvl w:ilvl="7" w:tplc="E3CE06E0">
      <w:numFmt w:val="decimal"/>
      <w:lvlText w:val=""/>
      <w:lvlJc w:val="left"/>
    </w:lvl>
    <w:lvl w:ilvl="8" w:tplc="09682FC2">
      <w:numFmt w:val="decimal"/>
      <w:lvlText w:val=""/>
      <w:lvlJc w:val="left"/>
    </w:lvl>
  </w:abstractNum>
  <w:abstractNum w:abstractNumId="259" w15:restartNumberingAfterBreak="0">
    <w:nsid w:val="1D1A2BF7"/>
    <w:multiLevelType w:val="hybridMultilevel"/>
    <w:tmpl w:val="B9B27A24"/>
    <w:lvl w:ilvl="0" w:tplc="5B32E254">
      <w:start w:val="1"/>
      <w:numFmt w:val="bullet"/>
      <w:lvlText w:val=""/>
      <w:lvlJc w:val="left"/>
      <w:pPr>
        <w:ind w:left="720" w:hanging="180"/>
      </w:pPr>
      <w:rPr>
        <w:rFonts w:ascii="Symbol" w:hAnsi="Symbol" w:hint="default"/>
      </w:rPr>
    </w:lvl>
    <w:lvl w:ilvl="1" w:tplc="38EE81BA">
      <w:numFmt w:val="decimal"/>
      <w:lvlText w:val=""/>
      <w:lvlJc w:val="left"/>
    </w:lvl>
    <w:lvl w:ilvl="2" w:tplc="52F876F0">
      <w:numFmt w:val="decimal"/>
      <w:lvlText w:val=""/>
      <w:lvlJc w:val="left"/>
    </w:lvl>
    <w:lvl w:ilvl="3" w:tplc="762AAC94">
      <w:numFmt w:val="decimal"/>
      <w:lvlText w:val=""/>
      <w:lvlJc w:val="left"/>
    </w:lvl>
    <w:lvl w:ilvl="4" w:tplc="36EC782A">
      <w:numFmt w:val="decimal"/>
      <w:lvlText w:val=""/>
      <w:lvlJc w:val="left"/>
    </w:lvl>
    <w:lvl w:ilvl="5" w:tplc="5DA265F4">
      <w:numFmt w:val="decimal"/>
      <w:lvlText w:val=""/>
      <w:lvlJc w:val="left"/>
    </w:lvl>
    <w:lvl w:ilvl="6" w:tplc="B4B87E98">
      <w:numFmt w:val="decimal"/>
      <w:lvlText w:val=""/>
      <w:lvlJc w:val="left"/>
    </w:lvl>
    <w:lvl w:ilvl="7" w:tplc="EA429792">
      <w:numFmt w:val="decimal"/>
      <w:lvlText w:val=""/>
      <w:lvlJc w:val="left"/>
    </w:lvl>
    <w:lvl w:ilvl="8" w:tplc="59A44344">
      <w:numFmt w:val="decimal"/>
      <w:lvlText w:val=""/>
      <w:lvlJc w:val="left"/>
    </w:lvl>
  </w:abstractNum>
  <w:abstractNum w:abstractNumId="260" w15:restartNumberingAfterBreak="0">
    <w:nsid w:val="1D270A47"/>
    <w:multiLevelType w:val="hybridMultilevel"/>
    <w:tmpl w:val="CA08301E"/>
    <w:lvl w:ilvl="0" w:tplc="3FE0DE66">
      <w:start w:val="1"/>
      <w:numFmt w:val="bullet"/>
      <w:lvlText w:val=""/>
      <w:lvlJc w:val="left"/>
      <w:pPr>
        <w:ind w:left="720" w:hanging="180"/>
      </w:pPr>
      <w:rPr>
        <w:rFonts w:ascii="Symbol" w:hAnsi="Symbol" w:hint="default"/>
      </w:rPr>
    </w:lvl>
    <w:lvl w:ilvl="1" w:tplc="7D104B86">
      <w:numFmt w:val="decimal"/>
      <w:lvlText w:val=""/>
      <w:lvlJc w:val="left"/>
    </w:lvl>
    <w:lvl w:ilvl="2" w:tplc="D6808980">
      <w:numFmt w:val="decimal"/>
      <w:lvlText w:val=""/>
      <w:lvlJc w:val="left"/>
    </w:lvl>
    <w:lvl w:ilvl="3" w:tplc="5B649A52">
      <w:numFmt w:val="decimal"/>
      <w:lvlText w:val=""/>
      <w:lvlJc w:val="left"/>
    </w:lvl>
    <w:lvl w:ilvl="4" w:tplc="C5E44FCA">
      <w:numFmt w:val="decimal"/>
      <w:lvlText w:val=""/>
      <w:lvlJc w:val="left"/>
    </w:lvl>
    <w:lvl w:ilvl="5" w:tplc="5C7ED7E2">
      <w:numFmt w:val="decimal"/>
      <w:lvlText w:val=""/>
      <w:lvlJc w:val="left"/>
    </w:lvl>
    <w:lvl w:ilvl="6" w:tplc="828E299E">
      <w:numFmt w:val="decimal"/>
      <w:lvlText w:val=""/>
      <w:lvlJc w:val="left"/>
    </w:lvl>
    <w:lvl w:ilvl="7" w:tplc="0E04277A">
      <w:numFmt w:val="decimal"/>
      <w:lvlText w:val=""/>
      <w:lvlJc w:val="left"/>
    </w:lvl>
    <w:lvl w:ilvl="8" w:tplc="EA8448F0">
      <w:numFmt w:val="decimal"/>
      <w:lvlText w:val=""/>
      <w:lvlJc w:val="left"/>
    </w:lvl>
  </w:abstractNum>
  <w:abstractNum w:abstractNumId="261" w15:restartNumberingAfterBreak="0">
    <w:nsid w:val="1D590ACE"/>
    <w:multiLevelType w:val="hybridMultilevel"/>
    <w:tmpl w:val="7DEA15CE"/>
    <w:lvl w:ilvl="0" w:tplc="F650DE8A">
      <w:start w:val="1"/>
      <w:numFmt w:val="bullet"/>
      <w:lvlText w:val=""/>
      <w:lvlJc w:val="left"/>
      <w:pPr>
        <w:ind w:left="720" w:hanging="180"/>
      </w:pPr>
      <w:rPr>
        <w:rFonts w:ascii="Symbol" w:hAnsi="Symbol" w:hint="default"/>
      </w:rPr>
    </w:lvl>
    <w:lvl w:ilvl="1" w:tplc="D0DE88A8">
      <w:numFmt w:val="decimal"/>
      <w:lvlText w:val=""/>
      <w:lvlJc w:val="left"/>
    </w:lvl>
    <w:lvl w:ilvl="2" w:tplc="1C3C6B3E">
      <w:numFmt w:val="decimal"/>
      <w:lvlText w:val=""/>
      <w:lvlJc w:val="left"/>
    </w:lvl>
    <w:lvl w:ilvl="3" w:tplc="A69AEE08">
      <w:numFmt w:val="decimal"/>
      <w:lvlText w:val=""/>
      <w:lvlJc w:val="left"/>
    </w:lvl>
    <w:lvl w:ilvl="4" w:tplc="6FB28696">
      <w:numFmt w:val="decimal"/>
      <w:lvlText w:val=""/>
      <w:lvlJc w:val="left"/>
    </w:lvl>
    <w:lvl w:ilvl="5" w:tplc="AA5040F4">
      <w:numFmt w:val="decimal"/>
      <w:lvlText w:val=""/>
      <w:lvlJc w:val="left"/>
    </w:lvl>
    <w:lvl w:ilvl="6" w:tplc="3B64DEA2">
      <w:numFmt w:val="decimal"/>
      <w:lvlText w:val=""/>
      <w:lvlJc w:val="left"/>
    </w:lvl>
    <w:lvl w:ilvl="7" w:tplc="9FE23F2A">
      <w:numFmt w:val="decimal"/>
      <w:lvlText w:val=""/>
      <w:lvlJc w:val="left"/>
    </w:lvl>
    <w:lvl w:ilvl="8" w:tplc="8B608490">
      <w:numFmt w:val="decimal"/>
      <w:lvlText w:val=""/>
      <w:lvlJc w:val="left"/>
    </w:lvl>
  </w:abstractNum>
  <w:abstractNum w:abstractNumId="262" w15:restartNumberingAfterBreak="0">
    <w:nsid w:val="1D626B20"/>
    <w:multiLevelType w:val="hybridMultilevel"/>
    <w:tmpl w:val="CE5643BC"/>
    <w:lvl w:ilvl="0" w:tplc="121878BE">
      <w:start w:val="1"/>
      <w:numFmt w:val="bullet"/>
      <w:lvlText w:val=""/>
      <w:lvlJc w:val="left"/>
      <w:pPr>
        <w:ind w:left="720" w:hanging="180"/>
      </w:pPr>
      <w:rPr>
        <w:rFonts w:ascii="Symbol" w:hAnsi="Symbol" w:hint="default"/>
      </w:rPr>
    </w:lvl>
    <w:lvl w:ilvl="1" w:tplc="AA76DD88">
      <w:numFmt w:val="decimal"/>
      <w:lvlText w:val=""/>
      <w:lvlJc w:val="left"/>
    </w:lvl>
    <w:lvl w:ilvl="2" w:tplc="653886FC">
      <w:numFmt w:val="decimal"/>
      <w:lvlText w:val=""/>
      <w:lvlJc w:val="left"/>
    </w:lvl>
    <w:lvl w:ilvl="3" w:tplc="EDF68A1E">
      <w:numFmt w:val="decimal"/>
      <w:lvlText w:val=""/>
      <w:lvlJc w:val="left"/>
    </w:lvl>
    <w:lvl w:ilvl="4" w:tplc="31028FB0">
      <w:numFmt w:val="decimal"/>
      <w:lvlText w:val=""/>
      <w:lvlJc w:val="left"/>
    </w:lvl>
    <w:lvl w:ilvl="5" w:tplc="E7B80634">
      <w:numFmt w:val="decimal"/>
      <w:lvlText w:val=""/>
      <w:lvlJc w:val="left"/>
    </w:lvl>
    <w:lvl w:ilvl="6" w:tplc="4F9C7020">
      <w:numFmt w:val="decimal"/>
      <w:lvlText w:val=""/>
      <w:lvlJc w:val="left"/>
    </w:lvl>
    <w:lvl w:ilvl="7" w:tplc="0F4AFE44">
      <w:numFmt w:val="decimal"/>
      <w:lvlText w:val=""/>
      <w:lvlJc w:val="left"/>
    </w:lvl>
    <w:lvl w:ilvl="8" w:tplc="250208DC">
      <w:numFmt w:val="decimal"/>
      <w:lvlText w:val=""/>
      <w:lvlJc w:val="left"/>
    </w:lvl>
  </w:abstractNum>
  <w:abstractNum w:abstractNumId="263" w15:restartNumberingAfterBreak="0">
    <w:nsid w:val="1D660A9F"/>
    <w:multiLevelType w:val="hybridMultilevel"/>
    <w:tmpl w:val="56F0CE78"/>
    <w:lvl w:ilvl="0" w:tplc="6C8CC014">
      <w:numFmt w:val="decimal"/>
      <w:lvlText w:val=""/>
      <w:lvlJc w:val="left"/>
    </w:lvl>
    <w:lvl w:ilvl="1" w:tplc="7B329BE4">
      <w:start w:val="1"/>
      <w:numFmt w:val="bullet"/>
      <w:lvlText w:val=""/>
      <w:lvlJc w:val="left"/>
      <w:pPr>
        <w:ind w:left="1440" w:hanging="180"/>
      </w:pPr>
      <w:rPr>
        <w:rFonts w:ascii="Symbol" w:hAnsi="Symbol" w:hint="default"/>
      </w:rPr>
    </w:lvl>
    <w:lvl w:ilvl="2" w:tplc="E2E28A74">
      <w:numFmt w:val="decimal"/>
      <w:lvlText w:val=""/>
      <w:lvlJc w:val="left"/>
    </w:lvl>
    <w:lvl w:ilvl="3" w:tplc="04BE66FA">
      <w:numFmt w:val="decimal"/>
      <w:lvlText w:val=""/>
      <w:lvlJc w:val="left"/>
    </w:lvl>
    <w:lvl w:ilvl="4" w:tplc="07440512">
      <w:numFmt w:val="decimal"/>
      <w:lvlText w:val=""/>
      <w:lvlJc w:val="left"/>
    </w:lvl>
    <w:lvl w:ilvl="5" w:tplc="E7229C06">
      <w:numFmt w:val="decimal"/>
      <w:lvlText w:val=""/>
      <w:lvlJc w:val="left"/>
    </w:lvl>
    <w:lvl w:ilvl="6" w:tplc="3F2AA90C">
      <w:numFmt w:val="decimal"/>
      <w:lvlText w:val=""/>
      <w:lvlJc w:val="left"/>
    </w:lvl>
    <w:lvl w:ilvl="7" w:tplc="E1F645F0">
      <w:numFmt w:val="decimal"/>
      <w:lvlText w:val=""/>
      <w:lvlJc w:val="left"/>
    </w:lvl>
    <w:lvl w:ilvl="8" w:tplc="93BAC968">
      <w:numFmt w:val="decimal"/>
      <w:lvlText w:val=""/>
      <w:lvlJc w:val="left"/>
    </w:lvl>
  </w:abstractNum>
  <w:abstractNum w:abstractNumId="264" w15:restartNumberingAfterBreak="0">
    <w:nsid w:val="1D79740C"/>
    <w:multiLevelType w:val="hybridMultilevel"/>
    <w:tmpl w:val="71A0A956"/>
    <w:lvl w:ilvl="0" w:tplc="B7E44EA0">
      <w:start w:val="1"/>
      <w:numFmt w:val="bullet"/>
      <w:lvlText w:val=""/>
      <w:lvlJc w:val="left"/>
      <w:pPr>
        <w:ind w:left="720" w:hanging="180"/>
      </w:pPr>
      <w:rPr>
        <w:rFonts w:ascii="Symbol" w:hAnsi="Symbol" w:hint="default"/>
      </w:rPr>
    </w:lvl>
    <w:lvl w:ilvl="1" w:tplc="AAC24092">
      <w:numFmt w:val="decimal"/>
      <w:lvlText w:val=""/>
      <w:lvlJc w:val="left"/>
    </w:lvl>
    <w:lvl w:ilvl="2" w:tplc="7EF64210">
      <w:numFmt w:val="decimal"/>
      <w:lvlText w:val=""/>
      <w:lvlJc w:val="left"/>
    </w:lvl>
    <w:lvl w:ilvl="3" w:tplc="BB424DEC">
      <w:numFmt w:val="decimal"/>
      <w:lvlText w:val=""/>
      <w:lvlJc w:val="left"/>
    </w:lvl>
    <w:lvl w:ilvl="4" w:tplc="E77897B0">
      <w:numFmt w:val="decimal"/>
      <w:lvlText w:val=""/>
      <w:lvlJc w:val="left"/>
    </w:lvl>
    <w:lvl w:ilvl="5" w:tplc="A6B048B0">
      <w:numFmt w:val="decimal"/>
      <w:lvlText w:val=""/>
      <w:lvlJc w:val="left"/>
    </w:lvl>
    <w:lvl w:ilvl="6" w:tplc="F2E03BAE">
      <w:numFmt w:val="decimal"/>
      <w:lvlText w:val=""/>
      <w:lvlJc w:val="left"/>
    </w:lvl>
    <w:lvl w:ilvl="7" w:tplc="0C825910">
      <w:numFmt w:val="decimal"/>
      <w:lvlText w:val=""/>
      <w:lvlJc w:val="left"/>
    </w:lvl>
    <w:lvl w:ilvl="8" w:tplc="32B4A314">
      <w:numFmt w:val="decimal"/>
      <w:lvlText w:val=""/>
      <w:lvlJc w:val="left"/>
    </w:lvl>
  </w:abstractNum>
  <w:abstractNum w:abstractNumId="265" w15:restartNumberingAfterBreak="0">
    <w:nsid w:val="1D865041"/>
    <w:multiLevelType w:val="hybridMultilevel"/>
    <w:tmpl w:val="27D0C42A"/>
    <w:lvl w:ilvl="0" w:tplc="130AD8EE">
      <w:start w:val="1"/>
      <w:numFmt w:val="bullet"/>
      <w:lvlText w:val=""/>
      <w:lvlJc w:val="left"/>
      <w:pPr>
        <w:ind w:left="720" w:hanging="180"/>
      </w:pPr>
      <w:rPr>
        <w:rFonts w:ascii="Symbol" w:hAnsi="Symbol" w:hint="default"/>
      </w:rPr>
    </w:lvl>
    <w:lvl w:ilvl="1" w:tplc="B672C61A">
      <w:numFmt w:val="decimal"/>
      <w:lvlText w:val=""/>
      <w:lvlJc w:val="left"/>
    </w:lvl>
    <w:lvl w:ilvl="2" w:tplc="72A4585C">
      <w:numFmt w:val="decimal"/>
      <w:lvlText w:val=""/>
      <w:lvlJc w:val="left"/>
    </w:lvl>
    <w:lvl w:ilvl="3" w:tplc="5D12DA54">
      <w:numFmt w:val="decimal"/>
      <w:lvlText w:val=""/>
      <w:lvlJc w:val="left"/>
    </w:lvl>
    <w:lvl w:ilvl="4" w:tplc="783C36CA">
      <w:numFmt w:val="decimal"/>
      <w:lvlText w:val=""/>
      <w:lvlJc w:val="left"/>
    </w:lvl>
    <w:lvl w:ilvl="5" w:tplc="5426C9E4">
      <w:numFmt w:val="decimal"/>
      <w:lvlText w:val=""/>
      <w:lvlJc w:val="left"/>
    </w:lvl>
    <w:lvl w:ilvl="6" w:tplc="E2907138">
      <w:numFmt w:val="decimal"/>
      <w:lvlText w:val=""/>
      <w:lvlJc w:val="left"/>
    </w:lvl>
    <w:lvl w:ilvl="7" w:tplc="F5766BCC">
      <w:numFmt w:val="decimal"/>
      <w:lvlText w:val=""/>
      <w:lvlJc w:val="left"/>
    </w:lvl>
    <w:lvl w:ilvl="8" w:tplc="E5940AAC">
      <w:numFmt w:val="decimal"/>
      <w:lvlText w:val=""/>
      <w:lvlJc w:val="left"/>
    </w:lvl>
  </w:abstractNum>
  <w:abstractNum w:abstractNumId="266" w15:restartNumberingAfterBreak="0">
    <w:nsid w:val="1D934C20"/>
    <w:multiLevelType w:val="hybridMultilevel"/>
    <w:tmpl w:val="71B0CF38"/>
    <w:lvl w:ilvl="0" w:tplc="198A3480">
      <w:start w:val="1"/>
      <w:numFmt w:val="bullet"/>
      <w:lvlText w:val=""/>
      <w:lvlJc w:val="left"/>
      <w:pPr>
        <w:ind w:left="720" w:hanging="180"/>
      </w:pPr>
      <w:rPr>
        <w:rFonts w:ascii="Symbol" w:hAnsi="Symbol" w:hint="default"/>
      </w:rPr>
    </w:lvl>
    <w:lvl w:ilvl="1" w:tplc="757EFEB6">
      <w:numFmt w:val="decimal"/>
      <w:lvlText w:val=""/>
      <w:lvlJc w:val="left"/>
    </w:lvl>
    <w:lvl w:ilvl="2" w:tplc="0F28C6F0">
      <w:numFmt w:val="decimal"/>
      <w:lvlText w:val=""/>
      <w:lvlJc w:val="left"/>
    </w:lvl>
    <w:lvl w:ilvl="3" w:tplc="7F8EDD9A">
      <w:numFmt w:val="decimal"/>
      <w:lvlText w:val=""/>
      <w:lvlJc w:val="left"/>
    </w:lvl>
    <w:lvl w:ilvl="4" w:tplc="DB6EBF90">
      <w:numFmt w:val="decimal"/>
      <w:lvlText w:val=""/>
      <w:lvlJc w:val="left"/>
    </w:lvl>
    <w:lvl w:ilvl="5" w:tplc="90CC69A0">
      <w:numFmt w:val="decimal"/>
      <w:lvlText w:val=""/>
      <w:lvlJc w:val="left"/>
    </w:lvl>
    <w:lvl w:ilvl="6" w:tplc="99E0D6EE">
      <w:numFmt w:val="decimal"/>
      <w:lvlText w:val=""/>
      <w:lvlJc w:val="left"/>
    </w:lvl>
    <w:lvl w:ilvl="7" w:tplc="27AC8006">
      <w:numFmt w:val="decimal"/>
      <w:lvlText w:val=""/>
      <w:lvlJc w:val="left"/>
    </w:lvl>
    <w:lvl w:ilvl="8" w:tplc="082256A6">
      <w:numFmt w:val="decimal"/>
      <w:lvlText w:val=""/>
      <w:lvlJc w:val="left"/>
    </w:lvl>
  </w:abstractNum>
  <w:abstractNum w:abstractNumId="267" w15:restartNumberingAfterBreak="0">
    <w:nsid w:val="1DAF7523"/>
    <w:multiLevelType w:val="hybridMultilevel"/>
    <w:tmpl w:val="10643672"/>
    <w:lvl w:ilvl="0" w:tplc="3F3E8A8E">
      <w:start w:val="1"/>
      <w:numFmt w:val="bullet"/>
      <w:lvlText w:val=""/>
      <w:lvlJc w:val="left"/>
      <w:pPr>
        <w:ind w:left="720" w:hanging="180"/>
      </w:pPr>
      <w:rPr>
        <w:rFonts w:ascii="Symbol" w:hAnsi="Symbol" w:hint="default"/>
      </w:rPr>
    </w:lvl>
    <w:lvl w:ilvl="1" w:tplc="13F29008">
      <w:numFmt w:val="decimal"/>
      <w:lvlText w:val=""/>
      <w:lvlJc w:val="left"/>
    </w:lvl>
    <w:lvl w:ilvl="2" w:tplc="FD949BEA">
      <w:numFmt w:val="decimal"/>
      <w:lvlText w:val=""/>
      <w:lvlJc w:val="left"/>
    </w:lvl>
    <w:lvl w:ilvl="3" w:tplc="016A8ED2">
      <w:numFmt w:val="decimal"/>
      <w:lvlText w:val=""/>
      <w:lvlJc w:val="left"/>
    </w:lvl>
    <w:lvl w:ilvl="4" w:tplc="7DEC68C0">
      <w:numFmt w:val="decimal"/>
      <w:lvlText w:val=""/>
      <w:lvlJc w:val="left"/>
    </w:lvl>
    <w:lvl w:ilvl="5" w:tplc="109C771A">
      <w:numFmt w:val="decimal"/>
      <w:lvlText w:val=""/>
      <w:lvlJc w:val="left"/>
    </w:lvl>
    <w:lvl w:ilvl="6" w:tplc="7A56A326">
      <w:numFmt w:val="decimal"/>
      <w:lvlText w:val=""/>
      <w:lvlJc w:val="left"/>
    </w:lvl>
    <w:lvl w:ilvl="7" w:tplc="8DFA4BEE">
      <w:numFmt w:val="decimal"/>
      <w:lvlText w:val=""/>
      <w:lvlJc w:val="left"/>
    </w:lvl>
    <w:lvl w:ilvl="8" w:tplc="4370B486">
      <w:numFmt w:val="decimal"/>
      <w:lvlText w:val=""/>
      <w:lvlJc w:val="left"/>
    </w:lvl>
  </w:abstractNum>
  <w:abstractNum w:abstractNumId="268" w15:restartNumberingAfterBreak="0">
    <w:nsid w:val="1DC12FFE"/>
    <w:multiLevelType w:val="hybridMultilevel"/>
    <w:tmpl w:val="BD62EE58"/>
    <w:lvl w:ilvl="0" w:tplc="27F419B8">
      <w:start w:val="1"/>
      <w:numFmt w:val="bullet"/>
      <w:lvlText w:val=""/>
      <w:lvlJc w:val="left"/>
      <w:pPr>
        <w:ind w:left="720" w:hanging="180"/>
      </w:pPr>
      <w:rPr>
        <w:rFonts w:ascii="Symbol" w:hAnsi="Symbol" w:hint="default"/>
      </w:rPr>
    </w:lvl>
    <w:lvl w:ilvl="1" w:tplc="2A5A3FAC">
      <w:numFmt w:val="decimal"/>
      <w:lvlText w:val=""/>
      <w:lvlJc w:val="left"/>
    </w:lvl>
    <w:lvl w:ilvl="2" w:tplc="F8129050">
      <w:numFmt w:val="decimal"/>
      <w:lvlText w:val=""/>
      <w:lvlJc w:val="left"/>
    </w:lvl>
    <w:lvl w:ilvl="3" w:tplc="F53227E2">
      <w:numFmt w:val="decimal"/>
      <w:lvlText w:val=""/>
      <w:lvlJc w:val="left"/>
    </w:lvl>
    <w:lvl w:ilvl="4" w:tplc="5E6A61D2">
      <w:numFmt w:val="decimal"/>
      <w:lvlText w:val=""/>
      <w:lvlJc w:val="left"/>
    </w:lvl>
    <w:lvl w:ilvl="5" w:tplc="35C2D698">
      <w:numFmt w:val="decimal"/>
      <w:lvlText w:val=""/>
      <w:lvlJc w:val="left"/>
    </w:lvl>
    <w:lvl w:ilvl="6" w:tplc="25429DB6">
      <w:numFmt w:val="decimal"/>
      <w:lvlText w:val=""/>
      <w:lvlJc w:val="left"/>
    </w:lvl>
    <w:lvl w:ilvl="7" w:tplc="BAB8C724">
      <w:numFmt w:val="decimal"/>
      <w:lvlText w:val=""/>
      <w:lvlJc w:val="left"/>
    </w:lvl>
    <w:lvl w:ilvl="8" w:tplc="67AC98BC">
      <w:numFmt w:val="decimal"/>
      <w:lvlText w:val=""/>
      <w:lvlJc w:val="left"/>
    </w:lvl>
  </w:abstractNum>
  <w:abstractNum w:abstractNumId="269" w15:restartNumberingAfterBreak="0">
    <w:nsid w:val="1E2D6837"/>
    <w:multiLevelType w:val="hybridMultilevel"/>
    <w:tmpl w:val="8AC8BE38"/>
    <w:lvl w:ilvl="0" w:tplc="F3C0D7F0">
      <w:start w:val="1"/>
      <w:numFmt w:val="bullet"/>
      <w:lvlText w:val=""/>
      <w:lvlJc w:val="left"/>
      <w:pPr>
        <w:ind w:left="720" w:hanging="180"/>
      </w:pPr>
      <w:rPr>
        <w:rFonts w:ascii="Symbol" w:hAnsi="Symbol" w:hint="default"/>
      </w:rPr>
    </w:lvl>
    <w:lvl w:ilvl="1" w:tplc="A5F414BC">
      <w:numFmt w:val="decimal"/>
      <w:lvlText w:val=""/>
      <w:lvlJc w:val="left"/>
    </w:lvl>
    <w:lvl w:ilvl="2" w:tplc="D19CFFEE">
      <w:numFmt w:val="decimal"/>
      <w:lvlText w:val=""/>
      <w:lvlJc w:val="left"/>
    </w:lvl>
    <w:lvl w:ilvl="3" w:tplc="F3EC6646">
      <w:numFmt w:val="decimal"/>
      <w:lvlText w:val=""/>
      <w:lvlJc w:val="left"/>
    </w:lvl>
    <w:lvl w:ilvl="4" w:tplc="14E26586">
      <w:numFmt w:val="decimal"/>
      <w:lvlText w:val=""/>
      <w:lvlJc w:val="left"/>
    </w:lvl>
    <w:lvl w:ilvl="5" w:tplc="5578579A">
      <w:numFmt w:val="decimal"/>
      <w:lvlText w:val=""/>
      <w:lvlJc w:val="left"/>
    </w:lvl>
    <w:lvl w:ilvl="6" w:tplc="290E684C">
      <w:numFmt w:val="decimal"/>
      <w:lvlText w:val=""/>
      <w:lvlJc w:val="left"/>
    </w:lvl>
    <w:lvl w:ilvl="7" w:tplc="93AEE7EC">
      <w:numFmt w:val="decimal"/>
      <w:lvlText w:val=""/>
      <w:lvlJc w:val="left"/>
    </w:lvl>
    <w:lvl w:ilvl="8" w:tplc="FD16DF2A">
      <w:numFmt w:val="decimal"/>
      <w:lvlText w:val=""/>
      <w:lvlJc w:val="left"/>
    </w:lvl>
  </w:abstractNum>
  <w:abstractNum w:abstractNumId="270" w15:restartNumberingAfterBreak="0">
    <w:nsid w:val="1E31766C"/>
    <w:multiLevelType w:val="hybridMultilevel"/>
    <w:tmpl w:val="B6B26308"/>
    <w:lvl w:ilvl="0" w:tplc="8B78DC1E">
      <w:start w:val="1"/>
      <w:numFmt w:val="bullet"/>
      <w:lvlText w:val=""/>
      <w:lvlJc w:val="left"/>
      <w:pPr>
        <w:ind w:left="720" w:hanging="180"/>
      </w:pPr>
      <w:rPr>
        <w:rFonts w:ascii="Symbol" w:hAnsi="Symbol" w:hint="default"/>
      </w:rPr>
    </w:lvl>
    <w:lvl w:ilvl="1" w:tplc="F17A55DE">
      <w:numFmt w:val="decimal"/>
      <w:lvlText w:val=""/>
      <w:lvlJc w:val="left"/>
    </w:lvl>
    <w:lvl w:ilvl="2" w:tplc="C2304538">
      <w:numFmt w:val="decimal"/>
      <w:lvlText w:val=""/>
      <w:lvlJc w:val="left"/>
    </w:lvl>
    <w:lvl w:ilvl="3" w:tplc="DAFEFA52">
      <w:numFmt w:val="decimal"/>
      <w:lvlText w:val=""/>
      <w:lvlJc w:val="left"/>
    </w:lvl>
    <w:lvl w:ilvl="4" w:tplc="C76C18F6">
      <w:numFmt w:val="decimal"/>
      <w:lvlText w:val=""/>
      <w:lvlJc w:val="left"/>
    </w:lvl>
    <w:lvl w:ilvl="5" w:tplc="E91420C0">
      <w:numFmt w:val="decimal"/>
      <w:lvlText w:val=""/>
      <w:lvlJc w:val="left"/>
    </w:lvl>
    <w:lvl w:ilvl="6" w:tplc="CC5A3102">
      <w:numFmt w:val="decimal"/>
      <w:lvlText w:val=""/>
      <w:lvlJc w:val="left"/>
    </w:lvl>
    <w:lvl w:ilvl="7" w:tplc="A9EEB69E">
      <w:numFmt w:val="decimal"/>
      <w:lvlText w:val=""/>
      <w:lvlJc w:val="left"/>
    </w:lvl>
    <w:lvl w:ilvl="8" w:tplc="8146DC1C">
      <w:numFmt w:val="decimal"/>
      <w:lvlText w:val=""/>
      <w:lvlJc w:val="left"/>
    </w:lvl>
  </w:abstractNum>
  <w:abstractNum w:abstractNumId="271" w15:restartNumberingAfterBreak="0">
    <w:nsid w:val="1E6426EC"/>
    <w:multiLevelType w:val="hybridMultilevel"/>
    <w:tmpl w:val="CEBA6D14"/>
    <w:lvl w:ilvl="0" w:tplc="1D105B14">
      <w:start w:val="1"/>
      <w:numFmt w:val="bullet"/>
      <w:lvlText w:val=""/>
      <w:lvlJc w:val="left"/>
      <w:pPr>
        <w:ind w:left="720" w:hanging="180"/>
      </w:pPr>
      <w:rPr>
        <w:rFonts w:ascii="Symbol" w:hAnsi="Symbol" w:hint="default"/>
      </w:rPr>
    </w:lvl>
    <w:lvl w:ilvl="1" w:tplc="A984B0AE">
      <w:numFmt w:val="decimal"/>
      <w:lvlText w:val=""/>
      <w:lvlJc w:val="left"/>
    </w:lvl>
    <w:lvl w:ilvl="2" w:tplc="8858221C">
      <w:numFmt w:val="decimal"/>
      <w:lvlText w:val=""/>
      <w:lvlJc w:val="left"/>
    </w:lvl>
    <w:lvl w:ilvl="3" w:tplc="09848E20">
      <w:numFmt w:val="decimal"/>
      <w:lvlText w:val=""/>
      <w:lvlJc w:val="left"/>
    </w:lvl>
    <w:lvl w:ilvl="4" w:tplc="CD40BEC6">
      <w:numFmt w:val="decimal"/>
      <w:lvlText w:val=""/>
      <w:lvlJc w:val="left"/>
    </w:lvl>
    <w:lvl w:ilvl="5" w:tplc="3398A4A2">
      <w:numFmt w:val="decimal"/>
      <w:lvlText w:val=""/>
      <w:lvlJc w:val="left"/>
    </w:lvl>
    <w:lvl w:ilvl="6" w:tplc="45728036">
      <w:numFmt w:val="decimal"/>
      <w:lvlText w:val=""/>
      <w:lvlJc w:val="left"/>
    </w:lvl>
    <w:lvl w:ilvl="7" w:tplc="2B7CB190">
      <w:numFmt w:val="decimal"/>
      <w:lvlText w:val=""/>
      <w:lvlJc w:val="left"/>
    </w:lvl>
    <w:lvl w:ilvl="8" w:tplc="4FD65C4C">
      <w:numFmt w:val="decimal"/>
      <w:lvlText w:val=""/>
      <w:lvlJc w:val="left"/>
    </w:lvl>
  </w:abstractNum>
  <w:abstractNum w:abstractNumId="272" w15:restartNumberingAfterBreak="0">
    <w:nsid w:val="1E722081"/>
    <w:multiLevelType w:val="hybridMultilevel"/>
    <w:tmpl w:val="3726285A"/>
    <w:lvl w:ilvl="0" w:tplc="70D8AFF0">
      <w:start w:val="1"/>
      <w:numFmt w:val="bullet"/>
      <w:lvlText w:val=""/>
      <w:lvlJc w:val="left"/>
      <w:pPr>
        <w:ind w:left="720" w:hanging="180"/>
      </w:pPr>
      <w:rPr>
        <w:rFonts w:ascii="Symbol" w:hAnsi="Symbol" w:hint="default"/>
      </w:rPr>
    </w:lvl>
    <w:lvl w:ilvl="1" w:tplc="211A2860">
      <w:numFmt w:val="decimal"/>
      <w:lvlText w:val=""/>
      <w:lvlJc w:val="left"/>
    </w:lvl>
    <w:lvl w:ilvl="2" w:tplc="6B9A715A">
      <w:numFmt w:val="decimal"/>
      <w:lvlText w:val=""/>
      <w:lvlJc w:val="left"/>
    </w:lvl>
    <w:lvl w:ilvl="3" w:tplc="21EA8C86">
      <w:numFmt w:val="decimal"/>
      <w:lvlText w:val=""/>
      <w:lvlJc w:val="left"/>
    </w:lvl>
    <w:lvl w:ilvl="4" w:tplc="705282F6">
      <w:numFmt w:val="decimal"/>
      <w:lvlText w:val=""/>
      <w:lvlJc w:val="left"/>
    </w:lvl>
    <w:lvl w:ilvl="5" w:tplc="BCB64CB8">
      <w:numFmt w:val="decimal"/>
      <w:lvlText w:val=""/>
      <w:lvlJc w:val="left"/>
    </w:lvl>
    <w:lvl w:ilvl="6" w:tplc="864ED62A">
      <w:numFmt w:val="decimal"/>
      <w:lvlText w:val=""/>
      <w:lvlJc w:val="left"/>
    </w:lvl>
    <w:lvl w:ilvl="7" w:tplc="965E3BF0">
      <w:numFmt w:val="decimal"/>
      <w:lvlText w:val=""/>
      <w:lvlJc w:val="left"/>
    </w:lvl>
    <w:lvl w:ilvl="8" w:tplc="BAA61B2C">
      <w:numFmt w:val="decimal"/>
      <w:lvlText w:val=""/>
      <w:lvlJc w:val="left"/>
    </w:lvl>
  </w:abstractNum>
  <w:abstractNum w:abstractNumId="273" w15:restartNumberingAfterBreak="0">
    <w:nsid w:val="1E7401B9"/>
    <w:multiLevelType w:val="hybridMultilevel"/>
    <w:tmpl w:val="63CCFED8"/>
    <w:lvl w:ilvl="0" w:tplc="69E268EA">
      <w:start w:val="1"/>
      <w:numFmt w:val="bullet"/>
      <w:lvlText w:val=""/>
      <w:lvlJc w:val="left"/>
      <w:pPr>
        <w:ind w:left="720" w:hanging="180"/>
      </w:pPr>
      <w:rPr>
        <w:rFonts w:ascii="Symbol" w:hAnsi="Symbol" w:hint="default"/>
      </w:rPr>
    </w:lvl>
    <w:lvl w:ilvl="1" w:tplc="5C5CC93C">
      <w:numFmt w:val="decimal"/>
      <w:lvlText w:val=""/>
      <w:lvlJc w:val="left"/>
    </w:lvl>
    <w:lvl w:ilvl="2" w:tplc="AB0C9316">
      <w:numFmt w:val="decimal"/>
      <w:lvlText w:val=""/>
      <w:lvlJc w:val="left"/>
    </w:lvl>
    <w:lvl w:ilvl="3" w:tplc="2F3A2CC0">
      <w:numFmt w:val="decimal"/>
      <w:lvlText w:val=""/>
      <w:lvlJc w:val="left"/>
    </w:lvl>
    <w:lvl w:ilvl="4" w:tplc="11F2B4FC">
      <w:numFmt w:val="decimal"/>
      <w:lvlText w:val=""/>
      <w:lvlJc w:val="left"/>
    </w:lvl>
    <w:lvl w:ilvl="5" w:tplc="C526D556">
      <w:numFmt w:val="decimal"/>
      <w:lvlText w:val=""/>
      <w:lvlJc w:val="left"/>
    </w:lvl>
    <w:lvl w:ilvl="6" w:tplc="D44CF13A">
      <w:numFmt w:val="decimal"/>
      <w:lvlText w:val=""/>
      <w:lvlJc w:val="left"/>
    </w:lvl>
    <w:lvl w:ilvl="7" w:tplc="C0CE47EE">
      <w:numFmt w:val="decimal"/>
      <w:lvlText w:val=""/>
      <w:lvlJc w:val="left"/>
    </w:lvl>
    <w:lvl w:ilvl="8" w:tplc="EDCE89CE">
      <w:numFmt w:val="decimal"/>
      <w:lvlText w:val=""/>
      <w:lvlJc w:val="left"/>
    </w:lvl>
  </w:abstractNum>
  <w:abstractNum w:abstractNumId="274" w15:restartNumberingAfterBreak="0">
    <w:nsid w:val="1E7531F8"/>
    <w:multiLevelType w:val="hybridMultilevel"/>
    <w:tmpl w:val="77FEAE0C"/>
    <w:lvl w:ilvl="0" w:tplc="7EF84F46">
      <w:start w:val="1"/>
      <w:numFmt w:val="bullet"/>
      <w:lvlText w:val=""/>
      <w:lvlJc w:val="left"/>
      <w:pPr>
        <w:ind w:left="720" w:hanging="180"/>
      </w:pPr>
      <w:rPr>
        <w:rFonts w:ascii="Symbol" w:hAnsi="Symbol" w:hint="default"/>
      </w:rPr>
    </w:lvl>
    <w:lvl w:ilvl="1" w:tplc="AFDE6840">
      <w:numFmt w:val="decimal"/>
      <w:lvlText w:val=""/>
      <w:lvlJc w:val="left"/>
    </w:lvl>
    <w:lvl w:ilvl="2" w:tplc="D17C3162">
      <w:numFmt w:val="decimal"/>
      <w:lvlText w:val=""/>
      <w:lvlJc w:val="left"/>
    </w:lvl>
    <w:lvl w:ilvl="3" w:tplc="EE20D9FA">
      <w:numFmt w:val="decimal"/>
      <w:lvlText w:val=""/>
      <w:lvlJc w:val="left"/>
    </w:lvl>
    <w:lvl w:ilvl="4" w:tplc="D6DC5276">
      <w:numFmt w:val="decimal"/>
      <w:lvlText w:val=""/>
      <w:lvlJc w:val="left"/>
    </w:lvl>
    <w:lvl w:ilvl="5" w:tplc="D836209C">
      <w:numFmt w:val="decimal"/>
      <w:lvlText w:val=""/>
      <w:lvlJc w:val="left"/>
    </w:lvl>
    <w:lvl w:ilvl="6" w:tplc="4CF00392">
      <w:numFmt w:val="decimal"/>
      <w:lvlText w:val=""/>
      <w:lvlJc w:val="left"/>
    </w:lvl>
    <w:lvl w:ilvl="7" w:tplc="603C6EDE">
      <w:numFmt w:val="decimal"/>
      <w:lvlText w:val=""/>
      <w:lvlJc w:val="left"/>
    </w:lvl>
    <w:lvl w:ilvl="8" w:tplc="CF72EE5C">
      <w:numFmt w:val="decimal"/>
      <w:lvlText w:val=""/>
      <w:lvlJc w:val="left"/>
    </w:lvl>
  </w:abstractNum>
  <w:abstractNum w:abstractNumId="275" w15:restartNumberingAfterBreak="0">
    <w:nsid w:val="1E902C72"/>
    <w:multiLevelType w:val="hybridMultilevel"/>
    <w:tmpl w:val="9E7A28DA"/>
    <w:lvl w:ilvl="0" w:tplc="9A400D7E">
      <w:start w:val="1"/>
      <w:numFmt w:val="bullet"/>
      <w:lvlText w:val=""/>
      <w:lvlJc w:val="left"/>
      <w:pPr>
        <w:ind w:left="720" w:hanging="180"/>
      </w:pPr>
      <w:rPr>
        <w:rFonts w:ascii="Symbol" w:hAnsi="Symbol" w:hint="default"/>
      </w:rPr>
    </w:lvl>
    <w:lvl w:ilvl="1" w:tplc="1568B326">
      <w:numFmt w:val="decimal"/>
      <w:lvlText w:val=""/>
      <w:lvlJc w:val="left"/>
    </w:lvl>
    <w:lvl w:ilvl="2" w:tplc="6028382E">
      <w:numFmt w:val="decimal"/>
      <w:lvlText w:val=""/>
      <w:lvlJc w:val="left"/>
    </w:lvl>
    <w:lvl w:ilvl="3" w:tplc="9244DA66">
      <w:numFmt w:val="decimal"/>
      <w:lvlText w:val=""/>
      <w:lvlJc w:val="left"/>
    </w:lvl>
    <w:lvl w:ilvl="4" w:tplc="37D08566">
      <w:numFmt w:val="decimal"/>
      <w:lvlText w:val=""/>
      <w:lvlJc w:val="left"/>
    </w:lvl>
    <w:lvl w:ilvl="5" w:tplc="FBA20F50">
      <w:numFmt w:val="decimal"/>
      <w:lvlText w:val=""/>
      <w:lvlJc w:val="left"/>
    </w:lvl>
    <w:lvl w:ilvl="6" w:tplc="E6807594">
      <w:numFmt w:val="decimal"/>
      <w:lvlText w:val=""/>
      <w:lvlJc w:val="left"/>
    </w:lvl>
    <w:lvl w:ilvl="7" w:tplc="4C0CE012">
      <w:numFmt w:val="decimal"/>
      <w:lvlText w:val=""/>
      <w:lvlJc w:val="left"/>
    </w:lvl>
    <w:lvl w:ilvl="8" w:tplc="8EF82F82">
      <w:numFmt w:val="decimal"/>
      <w:lvlText w:val=""/>
      <w:lvlJc w:val="left"/>
    </w:lvl>
  </w:abstractNum>
  <w:abstractNum w:abstractNumId="276" w15:restartNumberingAfterBreak="0">
    <w:nsid w:val="1E91633A"/>
    <w:multiLevelType w:val="hybridMultilevel"/>
    <w:tmpl w:val="FC780F4A"/>
    <w:lvl w:ilvl="0" w:tplc="FC9A28E0">
      <w:start w:val="1"/>
      <w:numFmt w:val="bullet"/>
      <w:lvlText w:val=""/>
      <w:lvlJc w:val="left"/>
      <w:pPr>
        <w:ind w:left="720" w:hanging="180"/>
      </w:pPr>
      <w:rPr>
        <w:rFonts w:ascii="Symbol" w:hAnsi="Symbol" w:hint="default"/>
      </w:rPr>
    </w:lvl>
    <w:lvl w:ilvl="1" w:tplc="892841A2">
      <w:numFmt w:val="decimal"/>
      <w:lvlText w:val=""/>
      <w:lvlJc w:val="left"/>
    </w:lvl>
    <w:lvl w:ilvl="2" w:tplc="3DFC7B36">
      <w:numFmt w:val="decimal"/>
      <w:lvlText w:val=""/>
      <w:lvlJc w:val="left"/>
    </w:lvl>
    <w:lvl w:ilvl="3" w:tplc="293AFA7A">
      <w:numFmt w:val="decimal"/>
      <w:lvlText w:val=""/>
      <w:lvlJc w:val="left"/>
    </w:lvl>
    <w:lvl w:ilvl="4" w:tplc="C94E61E6">
      <w:numFmt w:val="decimal"/>
      <w:lvlText w:val=""/>
      <w:lvlJc w:val="left"/>
    </w:lvl>
    <w:lvl w:ilvl="5" w:tplc="53F69898">
      <w:numFmt w:val="decimal"/>
      <w:lvlText w:val=""/>
      <w:lvlJc w:val="left"/>
    </w:lvl>
    <w:lvl w:ilvl="6" w:tplc="6974EEFC">
      <w:numFmt w:val="decimal"/>
      <w:lvlText w:val=""/>
      <w:lvlJc w:val="left"/>
    </w:lvl>
    <w:lvl w:ilvl="7" w:tplc="E6B66BD2">
      <w:numFmt w:val="decimal"/>
      <w:lvlText w:val=""/>
      <w:lvlJc w:val="left"/>
    </w:lvl>
    <w:lvl w:ilvl="8" w:tplc="BD3AEA80">
      <w:numFmt w:val="decimal"/>
      <w:lvlText w:val=""/>
      <w:lvlJc w:val="left"/>
    </w:lvl>
  </w:abstractNum>
  <w:abstractNum w:abstractNumId="277" w15:restartNumberingAfterBreak="0">
    <w:nsid w:val="1EDD3451"/>
    <w:multiLevelType w:val="hybridMultilevel"/>
    <w:tmpl w:val="AC34EDB4"/>
    <w:lvl w:ilvl="0" w:tplc="B796993C">
      <w:start w:val="1"/>
      <w:numFmt w:val="bullet"/>
      <w:lvlText w:val=""/>
      <w:lvlJc w:val="left"/>
      <w:pPr>
        <w:ind w:left="720" w:hanging="180"/>
      </w:pPr>
      <w:rPr>
        <w:rFonts w:ascii="Symbol" w:hAnsi="Symbol" w:hint="default"/>
      </w:rPr>
    </w:lvl>
    <w:lvl w:ilvl="1" w:tplc="31D89230">
      <w:numFmt w:val="decimal"/>
      <w:lvlText w:val=""/>
      <w:lvlJc w:val="left"/>
    </w:lvl>
    <w:lvl w:ilvl="2" w:tplc="B2ACF580">
      <w:numFmt w:val="decimal"/>
      <w:lvlText w:val=""/>
      <w:lvlJc w:val="left"/>
    </w:lvl>
    <w:lvl w:ilvl="3" w:tplc="DF8C87A6">
      <w:numFmt w:val="decimal"/>
      <w:lvlText w:val=""/>
      <w:lvlJc w:val="left"/>
    </w:lvl>
    <w:lvl w:ilvl="4" w:tplc="5E647588">
      <w:numFmt w:val="decimal"/>
      <w:lvlText w:val=""/>
      <w:lvlJc w:val="left"/>
    </w:lvl>
    <w:lvl w:ilvl="5" w:tplc="7F347800">
      <w:numFmt w:val="decimal"/>
      <w:lvlText w:val=""/>
      <w:lvlJc w:val="left"/>
    </w:lvl>
    <w:lvl w:ilvl="6" w:tplc="08C25A0E">
      <w:numFmt w:val="decimal"/>
      <w:lvlText w:val=""/>
      <w:lvlJc w:val="left"/>
    </w:lvl>
    <w:lvl w:ilvl="7" w:tplc="46C41F30">
      <w:numFmt w:val="decimal"/>
      <w:lvlText w:val=""/>
      <w:lvlJc w:val="left"/>
    </w:lvl>
    <w:lvl w:ilvl="8" w:tplc="F8E28448">
      <w:numFmt w:val="decimal"/>
      <w:lvlText w:val=""/>
      <w:lvlJc w:val="left"/>
    </w:lvl>
  </w:abstractNum>
  <w:abstractNum w:abstractNumId="278" w15:restartNumberingAfterBreak="0">
    <w:nsid w:val="1EF26198"/>
    <w:multiLevelType w:val="hybridMultilevel"/>
    <w:tmpl w:val="A7F6052C"/>
    <w:lvl w:ilvl="0" w:tplc="CA8AC318">
      <w:start w:val="1"/>
      <w:numFmt w:val="bullet"/>
      <w:lvlText w:val=""/>
      <w:lvlJc w:val="left"/>
      <w:pPr>
        <w:ind w:left="720" w:hanging="180"/>
      </w:pPr>
      <w:rPr>
        <w:rFonts w:ascii="Symbol" w:hAnsi="Symbol" w:hint="default"/>
      </w:rPr>
    </w:lvl>
    <w:lvl w:ilvl="1" w:tplc="27B4A15A">
      <w:numFmt w:val="decimal"/>
      <w:lvlText w:val=""/>
      <w:lvlJc w:val="left"/>
    </w:lvl>
    <w:lvl w:ilvl="2" w:tplc="AA480B84">
      <w:numFmt w:val="decimal"/>
      <w:lvlText w:val=""/>
      <w:lvlJc w:val="left"/>
    </w:lvl>
    <w:lvl w:ilvl="3" w:tplc="3B36175C">
      <w:numFmt w:val="decimal"/>
      <w:lvlText w:val=""/>
      <w:lvlJc w:val="left"/>
    </w:lvl>
    <w:lvl w:ilvl="4" w:tplc="71EE1122">
      <w:numFmt w:val="decimal"/>
      <w:lvlText w:val=""/>
      <w:lvlJc w:val="left"/>
    </w:lvl>
    <w:lvl w:ilvl="5" w:tplc="8D2664A6">
      <w:numFmt w:val="decimal"/>
      <w:lvlText w:val=""/>
      <w:lvlJc w:val="left"/>
    </w:lvl>
    <w:lvl w:ilvl="6" w:tplc="B4046B4A">
      <w:numFmt w:val="decimal"/>
      <w:lvlText w:val=""/>
      <w:lvlJc w:val="left"/>
    </w:lvl>
    <w:lvl w:ilvl="7" w:tplc="7B168DC0">
      <w:numFmt w:val="decimal"/>
      <w:lvlText w:val=""/>
      <w:lvlJc w:val="left"/>
    </w:lvl>
    <w:lvl w:ilvl="8" w:tplc="6108DAE6">
      <w:numFmt w:val="decimal"/>
      <w:lvlText w:val=""/>
      <w:lvlJc w:val="left"/>
    </w:lvl>
  </w:abstractNum>
  <w:abstractNum w:abstractNumId="279" w15:restartNumberingAfterBreak="0">
    <w:nsid w:val="1F007D84"/>
    <w:multiLevelType w:val="hybridMultilevel"/>
    <w:tmpl w:val="19263B76"/>
    <w:lvl w:ilvl="0" w:tplc="AA8C48F0">
      <w:start w:val="1"/>
      <w:numFmt w:val="bullet"/>
      <w:lvlText w:val=""/>
      <w:lvlJc w:val="left"/>
      <w:pPr>
        <w:ind w:left="720" w:hanging="180"/>
      </w:pPr>
      <w:rPr>
        <w:rFonts w:ascii="Symbol" w:hAnsi="Symbol" w:hint="default"/>
      </w:rPr>
    </w:lvl>
    <w:lvl w:ilvl="1" w:tplc="6E1EE2AE">
      <w:numFmt w:val="decimal"/>
      <w:lvlText w:val=""/>
      <w:lvlJc w:val="left"/>
    </w:lvl>
    <w:lvl w:ilvl="2" w:tplc="B1B896DA">
      <w:numFmt w:val="decimal"/>
      <w:lvlText w:val=""/>
      <w:lvlJc w:val="left"/>
    </w:lvl>
    <w:lvl w:ilvl="3" w:tplc="BF28E6EE">
      <w:numFmt w:val="decimal"/>
      <w:lvlText w:val=""/>
      <w:lvlJc w:val="left"/>
    </w:lvl>
    <w:lvl w:ilvl="4" w:tplc="BA9ED92E">
      <w:numFmt w:val="decimal"/>
      <w:lvlText w:val=""/>
      <w:lvlJc w:val="left"/>
    </w:lvl>
    <w:lvl w:ilvl="5" w:tplc="70C6CA9C">
      <w:numFmt w:val="decimal"/>
      <w:lvlText w:val=""/>
      <w:lvlJc w:val="left"/>
    </w:lvl>
    <w:lvl w:ilvl="6" w:tplc="427E4EF8">
      <w:numFmt w:val="decimal"/>
      <w:lvlText w:val=""/>
      <w:lvlJc w:val="left"/>
    </w:lvl>
    <w:lvl w:ilvl="7" w:tplc="F9106366">
      <w:numFmt w:val="decimal"/>
      <w:lvlText w:val=""/>
      <w:lvlJc w:val="left"/>
    </w:lvl>
    <w:lvl w:ilvl="8" w:tplc="B678A4AE">
      <w:numFmt w:val="decimal"/>
      <w:lvlText w:val=""/>
      <w:lvlJc w:val="left"/>
    </w:lvl>
  </w:abstractNum>
  <w:abstractNum w:abstractNumId="280" w15:restartNumberingAfterBreak="0">
    <w:nsid w:val="1F164151"/>
    <w:multiLevelType w:val="hybridMultilevel"/>
    <w:tmpl w:val="DE32A6F8"/>
    <w:lvl w:ilvl="0" w:tplc="28023516">
      <w:start w:val="1"/>
      <w:numFmt w:val="bullet"/>
      <w:lvlText w:val=""/>
      <w:lvlJc w:val="left"/>
      <w:pPr>
        <w:ind w:left="720" w:hanging="180"/>
      </w:pPr>
      <w:rPr>
        <w:rFonts w:ascii="Symbol" w:hAnsi="Symbol" w:hint="default"/>
      </w:rPr>
    </w:lvl>
    <w:lvl w:ilvl="1" w:tplc="0B74CD0C">
      <w:numFmt w:val="decimal"/>
      <w:lvlText w:val=""/>
      <w:lvlJc w:val="left"/>
    </w:lvl>
    <w:lvl w:ilvl="2" w:tplc="C6EE36EC">
      <w:numFmt w:val="decimal"/>
      <w:lvlText w:val=""/>
      <w:lvlJc w:val="left"/>
    </w:lvl>
    <w:lvl w:ilvl="3" w:tplc="63BC9476">
      <w:numFmt w:val="decimal"/>
      <w:lvlText w:val=""/>
      <w:lvlJc w:val="left"/>
    </w:lvl>
    <w:lvl w:ilvl="4" w:tplc="D7289688">
      <w:numFmt w:val="decimal"/>
      <w:lvlText w:val=""/>
      <w:lvlJc w:val="left"/>
    </w:lvl>
    <w:lvl w:ilvl="5" w:tplc="5D20284E">
      <w:numFmt w:val="decimal"/>
      <w:lvlText w:val=""/>
      <w:lvlJc w:val="left"/>
    </w:lvl>
    <w:lvl w:ilvl="6" w:tplc="AC7816D6">
      <w:numFmt w:val="decimal"/>
      <w:lvlText w:val=""/>
      <w:lvlJc w:val="left"/>
    </w:lvl>
    <w:lvl w:ilvl="7" w:tplc="4D1EF172">
      <w:numFmt w:val="decimal"/>
      <w:lvlText w:val=""/>
      <w:lvlJc w:val="left"/>
    </w:lvl>
    <w:lvl w:ilvl="8" w:tplc="341C7EE4">
      <w:numFmt w:val="decimal"/>
      <w:lvlText w:val=""/>
      <w:lvlJc w:val="left"/>
    </w:lvl>
  </w:abstractNum>
  <w:abstractNum w:abstractNumId="281" w15:restartNumberingAfterBreak="0">
    <w:nsid w:val="1F46710F"/>
    <w:multiLevelType w:val="hybridMultilevel"/>
    <w:tmpl w:val="5F4AFD88"/>
    <w:lvl w:ilvl="0" w:tplc="14A458B0">
      <w:start w:val="1"/>
      <w:numFmt w:val="bullet"/>
      <w:lvlText w:val=""/>
      <w:lvlJc w:val="left"/>
      <w:pPr>
        <w:ind w:left="720" w:hanging="180"/>
      </w:pPr>
      <w:rPr>
        <w:rFonts w:ascii="Symbol" w:hAnsi="Symbol" w:hint="default"/>
      </w:rPr>
    </w:lvl>
    <w:lvl w:ilvl="1" w:tplc="EA58C85E">
      <w:numFmt w:val="decimal"/>
      <w:lvlText w:val=""/>
      <w:lvlJc w:val="left"/>
    </w:lvl>
    <w:lvl w:ilvl="2" w:tplc="627A797C">
      <w:numFmt w:val="decimal"/>
      <w:lvlText w:val=""/>
      <w:lvlJc w:val="left"/>
    </w:lvl>
    <w:lvl w:ilvl="3" w:tplc="EF0C5558">
      <w:numFmt w:val="decimal"/>
      <w:lvlText w:val=""/>
      <w:lvlJc w:val="left"/>
    </w:lvl>
    <w:lvl w:ilvl="4" w:tplc="7408F924">
      <w:numFmt w:val="decimal"/>
      <w:lvlText w:val=""/>
      <w:lvlJc w:val="left"/>
    </w:lvl>
    <w:lvl w:ilvl="5" w:tplc="892C074C">
      <w:numFmt w:val="decimal"/>
      <w:lvlText w:val=""/>
      <w:lvlJc w:val="left"/>
    </w:lvl>
    <w:lvl w:ilvl="6" w:tplc="5EF8C914">
      <w:numFmt w:val="decimal"/>
      <w:lvlText w:val=""/>
      <w:lvlJc w:val="left"/>
    </w:lvl>
    <w:lvl w:ilvl="7" w:tplc="BF8E237E">
      <w:numFmt w:val="decimal"/>
      <w:lvlText w:val=""/>
      <w:lvlJc w:val="left"/>
    </w:lvl>
    <w:lvl w:ilvl="8" w:tplc="F2B0D236">
      <w:numFmt w:val="decimal"/>
      <w:lvlText w:val=""/>
      <w:lvlJc w:val="left"/>
    </w:lvl>
  </w:abstractNum>
  <w:abstractNum w:abstractNumId="282" w15:restartNumberingAfterBreak="0">
    <w:nsid w:val="1F694123"/>
    <w:multiLevelType w:val="hybridMultilevel"/>
    <w:tmpl w:val="426EEF9E"/>
    <w:lvl w:ilvl="0" w:tplc="25E40F58">
      <w:start w:val="1"/>
      <w:numFmt w:val="bullet"/>
      <w:lvlText w:val=""/>
      <w:lvlJc w:val="left"/>
      <w:pPr>
        <w:ind w:left="720" w:hanging="180"/>
      </w:pPr>
      <w:rPr>
        <w:rFonts w:ascii="Symbol" w:hAnsi="Symbol" w:hint="default"/>
      </w:rPr>
    </w:lvl>
    <w:lvl w:ilvl="1" w:tplc="FEAE1314">
      <w:numFmt w:val="decimal"/>
      <w:lvlText w:val=""/>
      <w:lvlJc w:val="left"/>
    </w:lvl>
    <w:lvl w:ilvl="2" w:tplc="35DA7ABC">
      <w:numFmt w:val="decimal"/>
      <w:lvlText w:val=""/>
      <w:lvlJc w:val="left"/>
    </w:lvl>
    <w:lvl w:ilvl="3" w:tplc="E84E7F3A">
      <w:numFmt w:val="decimal"/>
      <w:lvlText w:val=""/>
      <w:lvlJc w:val="left"/>
    </w:lvl>
    <w:lvl w:ilvl="4" w:tplc="6C902D58">
      <w:numFmt w:val="decimal"/>
      <w:lvlText w:val=""/>
      <w:lvlJc w:val="left"/>
    </w:lvl>
    <w:lvl w:ilvl="5" w:tplc="0FC8B7D0">
      <w:numFmt w:val="decimal"/>
      <w:lvlText w:val=""/>
      <w:lvlJc w:val="left"/>
    </w:lvl>
    <w:lvl w:ilvl="6" w:tplc="31BECFAC">
      <w:numFmt w:val="decimal"/>
      <w:lvlText w:val=""/>
      <w:lvlJc w:val="left"/>
    </w:lvl>
    <w:lvl w:ilvl="7" w:tplc="ADBA69E6">
      <w:numFmt w:val="decimal"/>
      <w:lvlText w:val=""/>
      <w:lvlJc w:val="left"/>
    </w:lvl>
    <w:lvl w:ilvl="8" w:tplc="0616E64E">
      <w:numFmt w:val="decimal"/>
      <w:lvlText w:val=""/>
      <w:lvlJc w:val="left"/>
    </w:lvl>
  </w:abstractNum>
  <w:abstractNum w:abstractNumId="283" w15:restartNumberingAfterBreak="0">
    <w:nsid w:val="1F6F289A"/>
    <w:multiLevelType w:val="hybridMultilevel"/>
    <w:tmpl w:val="A95EFC3A"/>
    <w:lvl w:ilvl="0" w:tplc="BEDEE32A">
      <w:start w:val="1"/>
      <w:numFmt w:val="bullet"/>
      <w:lvlText w:val=""/>
      <w:lvlJc w:val="left"/>
      <w:pPr>
        <w:ind w:left="720" w:hanging="180"/>
      </w:pPr>
      <w:rPr>
        <w:rFonts w:ascii="Symbol" w:hAnsi="Symbol" w:hint="default"/>
      </w:rPr>
    </w:lvl>
    <w:lvl w:ilvl="1" w:tplc="7382C378">
      <w:numFmt w:val="decimal"/>
      <w:lvlText w:val=""/>
      <w:lvlJc w:val="left"/>
    </w:lvl>
    <w:lvl w:ilvl="2" w:tplc="63843DB0">
      <w:numFmt w:val="decimal"/>
      <w:lvlText w:val=""/>
      <w:lvlJc w:val="left"/>
    </w:lvl>
    <w:lvl w:ilvl="3" w:tplc="04BA9A4C">
      <w:numFmt w:val="decimal"/>
      <w:lvlText w:val=""/>
      <w:lvlJc w:val="left"/>
    </w:lvl>
    <w:lvl w:ilvl="4" w:tplc="C424162C">
      <w:numFmt w:val="decimal"/>
      <w:lvlText w:val=""/>
      <w:lvlJc w:val="left"/>
    </w:lvl>
    <w:lvl w:ilvl="5" w:tplc="E8328170">
      <w:numFmt w:val="decimal"/>
      <w:lvlText w:val=""/>
      <w:lvlJc w:val="left"/>
    </w:lvl>
    <w:lvl w:ilvl="6" w:tplc="4DC84338">
      <w:numFmt w:val="decimal"/>
      <w:lvlText w:val=""/>
      <w:lvlJc w:val="left"/>
    </w:lvl>
    <w:lvl w:ilvl="7" w:tplc="179AF236">
      <w:numFmt w:val="decimal"/>
      <w:lvlText w:val=""/>
      <w:lvlJc w:val="left"/>
    </w:lvl>
    <w:lvl w:ilvl="8" w:tplc="A07EA90A">
      <w:numFmt w:val="decimal"/>
      <w:lvlText w:val=""/>
      <w:lvlJc w:val="left"/>
    </w:lvl>
  </w:abstractNum>
  <w:abstractNum w:abstractNumId="284" w15:restartNumberingAfterBreak="0">
    <w:nsid w:val="1F7208A1"/>
    <w:multiLevelType w:val="hybridMultilevel"/>
    <w:tmpl w:val="7824683A"/>
    <w:lvl w:ilvl="0" w:tplc="F5A8F56C">
      <w:start w:val="1"/>
      <w:numFmt w:val="bullet"/>
      <w:lvlText w:val=""/>
      <w:lvlJc w:val="left"/>
      <w:pPr>
        <w:ind w:left="720" w:hanging="180"/>
      </w:pPr>
      <w:rPr>
        <w:rFonts w:ascii="Symbol" w:hAnsi="Symbol" w:hint="default"/>
      </w:rPr>
    </w:lvl>
    <w:lvl w:ilvl="1" w:tplc="F93863C6">
      <w:numFmt w:val="decimal"/>
      <w:lvlText w:val=""/>
      <w:lvlJc w:val="left"/>
    </w:lvl>
    <w:lvl w:ilvl="2" w:tplc="3B161884">
      <w:numFmt w:val="decimal"/>
      <w:lvlText w:val=""/>
      <w:lvlJc w:val="left"/>
    </w:lvl>
    <w:lvl w:ilvl="3" w:tplc="F042C174">
      <w:numFmt w:val="decimal"/>
      <w:lvlText w:val=""/>
      <w:lvlJc w:val="left"/>
    </w:lvl>
    <w:lvl w:ilvl="4" w:tplc="02E8B6DC">
      <w:numFmt w:val="decimal"/>
      <w:lvlText w:val=""/>
      <w:lvlJc w:val="left"/>
    </w:lvl>
    <w:lvl w:ilvl="5" w:tplc="93F478DC">
      <w:numFmt w:val="decimal"/>
      <w:lvlText w:val=""/>
      <w:lvlJc w:val="left"/>
    </w:lvl>
    <w:lvl w:ilvl="6" w:tplc="11204040">
      <w:numFmt w:val="decimal"/>
      <w:lvlText w:val=""/>
      <w:lvlJc w:val="left"/>
    </w:lvl>
    <w:lvl w:ilvl="7" w:tplc="3B6E545E">
      <w:numFmt w:val="decimal"/>
      <w:lvlText w:val=""/>
      <w:lvlJc w:val="left"/>
    </w:lvl>
    <w:lvl w:ilvl="8" w:tplc="0324BA5E">
      <w:numFmt w:val="decimal"/>
      <w:lvlText w:val=""/>
      <w:lvlJc w:val="left"/>
    </w:lvl>
  </w:abstractNum>
  <w:abstractNum w:abstractNumId="285" w15:restartNumberingAfterBreak="0">
    <w:nsid w:val="1F78058D"/>
    <w:multiLevelType w:val="hybridMultilevel"/>
    <w:tmpl w:val="1F86AF6A"/>
    <w:lvl w:ilvl="0" w:tplc="29FAA3F8">
      <w:start w:val="1"/>
      <w:numFmt w:val="bullet"/>
      <w:lvlText w:val=""/>
      <w:lvlJc w:val="left"/>
      <w:pPr>
        <w:ind w:left="720" w:hanging="180"/>
      </w:pPr>
      <w:rPr>
        <w:rFonts w:ascii="Symbol" w:hAnsi="Symbol" w:hint="default"/>
      </w:rPr>
    </w:lvl>
    <w:lvl w:ilvl="1" w:tplc="F5C04E4A">
      <w:numFmt w:val="decimal"/>
      <w:lvlText w:val=""/>
      <w:lvlJc w:val="left"/>
    </w:lvl>
    <w:lvl w:ilvl="2" w:tplc="E1147DAA">
      <w:numFmt w:val="decimal"/>
      <w:lvlText w:val=""/>
      <w:lvlJc w:val="left"/>
    </w:lvl>
    <w:lvl w:ilvl="3" w:tplc="53D0CEE8">
      <w:numFmt w:val="decimal"/>
      <w:lvlText w:val=""/>
      <w:lvlJc w:val="left"/>
    </w:lvl>
    <w:lvl w:ilvl="4" w:tplc="50A66DA2">
      <w:numFmt w:val="decimal"/>
      <w:lvlText w:val=""/>
      <w:lvlJc w:val="left"/>
    </w:lvl>
    <w:lvl w:ilvl="5" w:tplc="7F02DD76">
      <w:numFmt w:val="decimal"/>
      <w:lvlText w:val=""/>
      <w:lvlJc w:val="left"/>
    </w:lvl>
    <w:lvl w:ilvl="6" w:tplc="998AECB6">
      <w:numFmt w:val="decimal"/>
      <w:lvlText w:val=""/>
      <w:lvlJc w:val="left"/>
    </w:lvl>
    <w:lvl w:ilvl="7" w:tplc="87B0D202">
      <w:numFmt w:val="decimal"/>
      <w:lvlText w:val=""/>
      <w:lvlJc w:val="left"/>
    </w:lvl>
    <w:lvl w:ilvl="8" w:tplc="1E4A6BE2">
      <w:numFmt w:val="decimal"/>
      <w:lvlText w:val=""/>
      <w:lvlJc w:val="left"/>
    </w:lvl>
  </w:abstractNum>
  <w:abstractNum w:abstractNumId="286" w15:restartNumberingAfterBreak="0">
    <w:nsid w:val="1F7C1477"/>
    <w:multiLevelType w:val="hybridMultilevel"/>
    <w:tmpl w:val="789442DE"/>
    <w:lvl w:ilvl="0" w:tplc="BF907704">
      <w:start w:val="1"/>
      <w:numFmt w:val="bullet"/>
      <w:lvlText w:val=""/>
      <w:lvlJc w:val="left"/>
      <w:pPr>
        <w:ind w:left="720" w:hanging="180"/>
      </w:pPr>
      <w:rPr>
        <w:rFonts w:ascii="Symbol" w:hAnsi="Symbol" w:hint="default"/>
      </w:rPr>
    </w:lvl>
    <w:lvl w:ilvl="1" w:tplc="49EA28FC">
      <w:numFmt w:val="decimal"/>
      <w:lvlText w:val=""/>
      <w:lvlJc w:val="left"/>
    </w:lvl>
    <w:lvl w:ilvl="2" w:tplc="A4480D32">
      <w:numFmt w:val="decimal"/>
      <w:lvlText w:val=""/>
      <w:lvlJc w:val="left"/>
    </w:lvl>
    <w:lvl w:ilvl="3" w:tplc="717C36EC">
      <w:numFmt w:val="decimal"/>
      <w:lvlText w:val=""/>
      <w:lvlJc w:val="left"/>
    </w:lvl>
    <w:lvl w:ilvl="4" w:tplc="6706E690">
      <w:numFmt w:val="decimal"/>
      <w:lvlText w:val=""/>
      <w:lvlJc w:val="left"/>
    </w:lvl>
    <w:lvl w:ilvl="5" w:tplc="E9A64042">
      <w:numFmt w:val="decimal"/>
      <w:lvlText w:val=""/>
      <w:lvlJc w:val="left"/>
    </w:lvl>
    <w:lvl w:ilvl="6" w:tplc="B01E0EA8">
      <w:numFmt w:val="decimal"/>
      <w:lvlText w:val=""/>
      <w:lvlJc w:val="left"/>
    </w:lvl>
    <w:lvl w:ilvl="7" w:tplc="A72026E6">
      <w:numFmt w:val="decimal"/>
      <w:lvlText w:val=""/>
      <w:lvlJc w:val="left"/>
    </w:lvl>
    <w:lvl w:ilvl="8" w:tplc="9CA605FC">
      <w:numFmt w:val="decimal"/>
      <w:lvlText w:val=""/>
      <w:lvlJc w:val="left"/>
    </w:lvl>
  </w:abstractNum>
  <w:abstractNum w:abstractNumId="287" w15:restartNumberingAfterBreak="0">
    <w:nsid w:val="1F983746"/>
    <w:multiLevelType w:val="hybridMultilevel"/>
    <w:tmpl w:val="75246BB4"/>
    <w:lvl w:ilvl="0" w:tplc="59601F9C">
      <w:start w:val="1"/>
      <w:numFmt w:val="bullet"/>
      <w:lvlText w:val=""/>
      <w:lvlJc w:val="left"/>
      <w:pPr>
        <w:ind w:left="720" w:hanging="180"/>
      </w:pPr>
      <w:rPr>
        <w:rFonts w:ascii="Symbol" w:hAnsi="Symbol" w:hint="default"/>
      </w:rPr>
    </w:lvl>
    <w:lvl w:ilvl="1" w:tplc="065C6608">
      <w:numFmt w:val="decimal"/>
      <w:lvlText w:val=""/>
      <w:lvlJc w:val="left"/>
    </w:lvl>
    <w:lvl w:ilvl="2" w:tplc="A3FCAB88">
      <w:numFmt w:val="decimal"/>
      <w:lvlText w:val=""/>
      <w:lvlJc w:val="left"/>
    </w:lvl>
    <w:lvl w:ilvl="3" w:tplc="33CEF162">
      <w:numFmt w:val="decimal"/>
      <w:lvlText w:val=""/>
      <w:lvlJc w:val="left"/>
    </w:lvl>
    <w:lvl w:ilvl="4" w:tplc="D6A4F360">
      <w:numFmt w:val="decimal"/>
      <w:lvlText w:val=""/>
      <w:lvlJc w:val="left"/>
    </w:lvl>
    <w:lvl w:ilvl="5" w:tplc="36E689F8">
      <w:numFmt w:val="decimal"/>
      <w:lvlText w:val=""/>
      <w:lvlJc w:val="left"/>
    </w:lvl>
    <w:lvl w:ilvl="6" w:tplc="87F65FDC">
      <w:numFmt w:val="decimal"/>
      <w:lvlText w:val=""/>
      <w:lvlJc w:val="left"/>
    </w:lvl>
    <w:lvl w:ilvl="7" w:tplc="E954E5DE">
      <w:numFmt w:val="decimal"/>
      <w:lvlText w:val=""/>
      <w:lvlJc w:val="left"/>
    </w:lvl>
    <w:lvl w:ilvl="8" w:tplc="0204A556">
      <w:numFmt w:val="decimal"/>
      <w:lvlText w:val=""/>
      <w:lvlJc w:val="left"/>
    </w:lvl>
  </w:abstractNum>
  <w:abstractNum w:abstractNumId="288" w15:restartNumberingAfterBreak="0">
    <w:nsid w:val="1FD14351"/>
    <w:multiLevelType w:val="hybridMultilevel"/>
    <w:tmpl w:val="5B32E002"/>
    <w:lvl w:ilvl="0" w:tplc="6E760402">
      <w:start w:val="1"/>
      <w:numFmt w:val="bullet"/>
      <w:lvlText w:val=""/>
      <w:lvlJc w:val="left"/>
      <w:pPr>
        <w:ind w:left="720" w:hanging="180"/>
      </w:pPr>
      <w:rPr>
        <w:rFonts w:ascii="Symbol" w:hAnsi="Symbol" w:hint="default"/>
      </w:rPr>
    </w:lvl>
    <w:lvl w:ilvl="1" w:tplc="24EE14F6">
      <w:numFmt w:val="decimal"/>
      <w:lvlText w:val=""/>
      <w:lvlJc w:val="left"/>
    </w:lvl>
    <w:lvl w:ilvl="2" w:tplc="9D5409AE">
      <w:numFmt w:val="decimal"/>
      <w:lvlText w:val=""/>
      <w:lvlJc w:val="left"/>
    </w:lvl>
    <w:lvl w:ilvl="3" w:tplc="9554644E">
      <w:numFmt w:val="decimal"/>
      <w:lvlText w:val=""/>
      <w:lvlJc w:val="left"/>
    </w:lvl>
    <w:lvl w:ilvl="4" w:tplc="9A4259AC">
      <w:numFmt w:val="decimal"/>
      <w:lvlText w:val=""/>
      <w:lvlJc w:val="left"/>
    </w:lvl>
    <w:lvl w:ilvl="5" w:tplc="7A9C20BC">
      <w:numFmt w:val="decimal"/>
      <w:lvlText w:val=""/>
      <w:lvlJc w:val="left"/>
    </w:lvl>
    <w:lvl w:ilvl="6" w:tplc="47A29E52">
      <w:numFmt w:val="decimal"/>
      <w:lvlText w:val=""/>
      <w:lvlJc w:val="left"/>
    </w:lvl>
    <w:lvl w:ilvl="7" w:tplc="51405C74">
      <w:numFmt w:val="decimal"/>
      <w:lvlText w:val=""/>
      <w:lvlJc w:val="left"/>
    </w:lvl>
    <w:lvl w:ilvl="8" w:tplc="2826A66A">
      <w:numFmt w:val="decimal"/>
      <w:lvlText w:val=""/>
      <w:lvlJc w:val="left"/>
    </w:lvl>
  </w:abstractNum>
  <w:abstractNum w:abstractNumId="289" w15:restartNumberingAfterBreak="0">
    <w:nsid w:val="1FDE3BF6"/>
    <w:multiLevelType w:val="hybridMultilevel"/>
    <w:tmpl w:val="3668A50C"/>
    <w:lvl w:ilvl="0" w:tplc="3782C8AC">
      <w:start w:val="1"/>
      <w:numFmt w:val="bullet"/>
      <w:lvlText w:val=""/>
      <w:lvlJc w:val="left"/>
      <w:pPr>
        <w:ind w:left="720" w:hanging="180"/>
      </w:pPr>
      <w:rPr>
        <w:rFonts w:ascii="Symbol" w:hAnsi="Symbol" w:hint="default"/>
      </w:rPr>
    </w:lvl>
    <w:lvl w:ilvl="1" w:tplc="125EE810">
      <w:numFmt w:val="decimal"/>
      <w:lvlText w:val=""/>
      <w:lvlJc w:val="left"/>
    </w:lvl>
    <w:lvl w:ilvl="2" w:tplc="3C3421F2">
      <w:numFmt w:val="decimal"/>
      <w:lvlText w:val=""/>
      <w:lvlJc w:val="left"/>
    </w:lvl>
    <w:lvl w:ilvl="3" w:tplc="A552EB7C">
      <w:numFmt w:val="decimal"/>
      <w:lvlText w:val=""/>
      <w:lvlJc w:val="left"/>
    </w:lvl>
    <w:lvl w:ilvl="4" w:tplc="774E5F78">
      <w:numFmt w:val="decimal"/>
      <w:lvlText w:val=""/>
      <w:lvlJc w:val="left"/>
    </w:lvl>
    <w:lvl w:ilvl="5" w:tplc="0DE4298C">
      <w:numFmt w:val="decimal"/>
      <w:lvlText w:val=""/>
      <w:lvlJc w:val="left"/>
    </w:lvl>
    <w:lvl w:ilvl="6" w:tplc="252692F0">
      <w:numFmt w:val="decimal"/>
      <w:lvlText w:val=""/>
      <w:lvlJc w:val="left"/>
    </w:lvl>
    <w:lvl w:ilvl="7" w:tplc="9EA81D16">
      <w:numFmt w:val="decimal"/>
      <w:lvlText w:val=""/>
      <w:lvlJc w:val="left"/>
    </w:lvl>
    <w:lvl w:ilvl="8" w:tplc="1AD603B8">
      <w:numFmt w:val="decimal"/>
      <w:lvlText w:val=""/>
      <w:lvlJc w:val="left"/>
    </w:lvl>
  </w:abstractNum>
  <w:abstractNum w:abstractNumId="290" w15:restartNumberingAfterBreak="0">
    <w:nsid w:val="1FF478EB"/>
    <w:multiLevelType w:val="hybridMultilevel"/>
    <w:tmpl w:val="486015FC"/>
    <w:lvl w:ilvl="0" w:tplc="EBB66042">
      <w:start w:val="1"/>
      <w:numFmt w:val="bullet"/>
      <w:lvlText w:val=""/>
      <w:lvlJc w:val="left"/>
      <w:pPr>
        <w:ind w:left="720" w:hanging="180"/>
      </w:pPr>
      <w:rPr>
        <w:rFonts w:ascii="Symbol" w:hAnsi="Symbol" w:hint="default"/>
      </w:rPr>
    </w:lvl>
    <w:lvl w:ilvl="1" w:tplc="38CE9196">
      <w:numFmt w:val="decimal"/>
      <w:lvlText w:val=""/>
      <w:lvlJc w:val="left"/>
    </w:lvl>
    <w:lvl w:ilvl="2" w:tplc="D25833D2">
      <w:numFmt w:val="decimal"/>
      <w:lvlText w:val=""/>
      <w:lvlJc w:val="left"/>
    </w:lvl>
    <w:lvl w:ilvl="3" w:tplc="7884E60C">
      <w:numFmt w:val="decimal"/>
      <w:lvlText w:val=""/>
      <w:lvlJc w:val="left"/>
    </w:lvl>
    <w:lvl w:ilvl="4" w:tplc="F512708A">
      <w:numFmt w:val="decimal"/>
      <w:lvlText w:val=""/>
      <w:lvlJc w:val="left"/>
    </w:lvl>
    <w:lvl w:ilvl="5" w:tplc="F11EA2DA">
      <w:numFmt w:val="decimal"/>
      <w:lvlText w:val=""/>
      <w:lvlJc w:val="left"/>
    </w:lvl>
    <w:lvl w:ilvl="6" w:tplc="0DD4C4D4">
      <w:numFmt w:val="decimal"/>
      <w:lvlText w:val=""/>
      <w:lvlJc w:val="left"/>
    </w:lvl>
    <w:lvl w:ilvl="7" w:tplc="948EB8BE">
      <w:numFmt w:val="decimal"/>
      <w:lvlText w:val=""/>
      <w:lvlJc w:val="left"/>
    </w:lvl>
    <w:lvl w:ilvl="8" w:tplc="C9347D90">
      <w:numFmt w:val="decimal"/>
      <w:lvlText w:val=""/>
      <w:lvlJc w:val="left"/>
    </w:lvl>
  </w:abstractNum>
  <w:abstractNum w:abstractNumId="291" w15:restartNumberingAfterBreak="0">
    <w:nsid w:val="20231202"/>
    <w:multiLevelType w:val="hybridMultilevel"/>
    <w:tmpl w:val="FCC838D4"/>
    <w:lvl w:ilvl="0" w:tplc="8F90F64E">
      <w:start w:val="1"/>
      <w:numFmt w:val="bullet"/>
      <w:lvlText w:val=""/>
      <w:lvlJc w:val="left"/>
      <w:pPr>
        <w:ind w:left="720" w:hanging="180"/>
      </w:pPr>
      <w:rPr>
        <w:rFonts w:ascii="Symbol" w:hAnsi="Symbol" w:hint="default"/>
      </w:rPr>
    </w:lvl>
    <w:lvl w:ilvl="1" w:tplc="A8B83374">
      <w:numFmt w:val="decimal"/>
      <w:lvlText w:val=""/>
      <w:lvlJc w:val="left"/>
    </w:lvl>
    <w:lvl w:ilvl="2" w:tplc="340E4BB6">
      <w:numFmt w:val="decimal"/>
      <w:lvlText w:val=""/>
      <w:lvlJc w:val="left"/>
    </w:lvl>
    <w:lvl w:ilvl="3" w:tplc="FF14336C">
      <w:numFmt w:val="decimal"/>
      <w:lvlText w:val=""/>
      <w:lvlJc w:val="left"/>
    </w:lvl>
    <w:lvl w:ilvl="4" w:tplc="47F28472">
      <w:numFmt w:val="decimal"/>
      <w:lvlText w:val=""/>
      <w:lvlJc w:val="left"/>
    </w:lvl>
    <w:lvl w:ilvl="5" w:tplc="AC0E0024">
      <w:numFmt w:val="decimal"/>
      <w:lvlText w:val=""/>
      <w:lvlJc w:val="left"/>
    </w:lvl>
    <w:lvl w:ilvl="6" w:tplc="A81E1544">
      <w:numFmt w:val="decimal"/>
      <w:lvlText w:val=""/>
      <w:lvlJc w:val="left"/>
    </w:lvl>
    <w:lvl w:ilvl="7" w:tplc="11B484A4">
      <w:numFmt w:val="decimal"/>
      <w:lvlText w:val=""/>
      <w:lvlJc w:val="left"/>
    </w:lvl>
    <w:lvl w:ilvl="8" w:tplc="ED846570">
      <w:numFmt w:val="decimal"/>
      <w:lvlText w:val=""/>
      <w:lvlJc w:val="left"/>
    </w:lvl>
  </w:abstractNum>
  <w:abstractNum w:abstractNumId="292" w15:restartNumberingAfterBreak="0">
    <w:nsid w:val="203C5281"/>
    <w:multiLevelType w:val="hybridMultilevel"/>
    <w:tmpl w:val="E02A3E74"/>
    <w:lvl w:ilvl="0" w:tplc="4F76CB70">
      <w:start w:val="1"/>
      <w:numFmt w:val="bullet"/>
      <w:lvlText w:val=""/>
      <w:lvlJc w:val="left"/>
      <w:pPr>
        <w:ind w:left="720" w:hanging="180"/>
      </w:pPr>
      <w:rPr>
        <w:rFonts w:ascii="Symbol" w:hAnsi="Symbol" w:hint="default"/>
      </w:rPr>
    </w:lvl>
    <w:lvl w:ilvl="1" w:tplc="3F04D6E4">
      <w:numFmt w:val="decimal"/>
      <w:lvlText w:val=""/>
      <w:lvlJc w:val="left"/>
    </w:lvl>
    <w:lvl w:ilvl="2" w:tplc="60AAD546">
      <w:numFmt w:val="decimal"/>
      <w:lvlText w:val=""/>
      <w:lvlJc w:val="left"/>
    </w:lvl>
    <w:lvl w:ilvl="3" w:tplc="6350936E">
      <w:numFmt w:val="decimal"/>
      <w:lvlText w:val=""/>
      <w:lvlJc w:val="left"/>
    </w:lvl>
    <w:lvl w:ilvl="4" w:tplc="60A4DEBE">
      <w:numFmt w:val="decimal"/>
      <w:lvlText w:val=""/>
      <w:lvlJc w:val="left"/>
    </w:lvl>
    <w:lvl w:ilvl="5" w:tplc="B31A7238">
      <w:numFmt w:val="decimal"/>
      <w:lvlText w:val=""/>
      <w:lvlJc w:val="left"/>
    </w:lvl>
    <w:lvl w:ilvl="6" w:tplc="4D345BDE">
      <w:numFmt w:val="decimal"/>
      <w:lvlText w:val=""/>
      <w:lvlJc w:val="left"/>
    </w:lvl>
    <w:lvl w:ilvl="7" w:tplc="CA501310">
      <w:numFmt w:val="decimal"/>
      <w:lvlText w:val=""/>
      <w:lvlJc w:val="left"/>
    </w:lvl>
    <w:lvl w:ilvl="8" w:tplc="AB9AA51C">
      <w:numFmt w:val="decimal"/>
      <w:lvlText w:val=""/>
      <w:lvlJc w:val="left"/>
    </w:lvl>
  </w:abstractNum>
  <w:abstractNum w:abstractNumId="293" w15:restartNumberingAfterBreak="0">
    <w:nsid w:val="204B0308"/>
    <w:multiLevelType w:val="hybridMultilevel"/>
    <w:tmpl w:val="E460F1E0"/>
    <w:lvl w:ilvl="0" w:tplc="A52E7D6A">
      <w:start w:val="1"/>
      <w:numFmt w:val="bullet"/>
      <w:lvlText w:val=""/>
      <w:lvlJc w:val="left"/>
      <w:pPr>
        <w:ind w:left="720" w:hanging="180"/>
      </w:pPr>
      <w:rPr>
        <w:rFonts w:ascii="Symbol" w:hAnsi="Symbol" w:hint="default"/>
      </w:rPr>
    </w:lvl>
    <w:lvl w:ilvl="1" w:tplc="E37ED8BE">
      <w:numFmt w:val="decimal"/>
      <w:lvlText w:val=""/>
      <w:lvlJc w:val="left"/>
    </w:lvl>
    <w:lvl w:ilvl="2" w:tplc="B39277BE">
      <w:numFmt w:val="decimal"/>
      <w:lvlText w:val=""/>
      <w:lvlJc w:val="left"/>
    </w:lvl>
    <w:lvl w:ilvl="3" w:tplc="2D9C21FA">
      <w:numFmt w:val="decimal"/>
      <w:lvlText w:val=""/>
      <w:lvlJc w:val="left"/>
    </w:lvl>
    <w:lvl w:ilvl="4" w:tplc="F3A233DC">
      <w:numFmt w:val="decimal"/>
      <w:lvlText w:val=""/>
      <w:lvlJc w:val="left"/>
    </w:lvl>
    <w:lvl w:ilvl="5" w:tplc="EB12CD26">
      <w:numFmt w:val="decimal"/>
      <w:lvlText w:val=""/>
      <w:lvlJc w:val="left"/>
    </w:lvl>
    <w:lvl w:ilvl="6" w:tplc="BAF4D986">
      <w:numFmt w:val="decimal"/>
      <w:lvlText w:val=""/>
      <w:lvlJc w:val="left"/>
    </w:lvl>
    <w:lvl w:ilvl="7" w:tplc="8AB4A02E">
      <w:numFmt w:val="decimal"/>
      <w:lvlText w:val=""/>
      <w:lvlJc w:val="left"/>
    </w:lvl>
    <w:lvl w:ilvl="8" w:tplc="90D00DFC">
      <w:numFmt w:val="decimal"/>
      <w:lvlText w:val=""/>
      <w:lvlJc w:val="left"/>
    </w:lvl>
  </w:abstractNum>
  <w:abstractNum w:abstractNumId="294" w15:restartNumberingAfterBreak="0">
    <w:nsid w:val="2063286E"/>
    <w:multiLevelType w:val="hybridMultilevel"/>
    <w:tmpl w:val="8C88AB92"/>
    <w:lvl w:ilvl="0" w:tplc="7EFE7E08">
      <w:start w:val="1"/>
      <w:numFmt w:val="bullet"/>
      <w:lvlText w:val=""/>
      <w:lvlJc w:val="left"/>
      <w:pPr>
        <w:ind w:left="720" w:hanging="180"/>
      </w:pPr>
      <w:rPr>
        <w:rFonts w:ascii="Symbol" w:hAnsi="Symbol" w:hint="default"/>
      </w:rPr>
    </w:lvl>
    <w:lvl w:ilvl="1" w:tplc="7D9E9E2A">
      <w:numFmt w:val="decimal"/>
      <w:lvlText w:val=""/>
      <w:lvlJc w:val="left"/>
    </w:lvl>
    <w:lvl w:ilvl="2" w:tplc="5582E354">
      <w:numFmt w:val="decimal"/>
      <w:lvlText w:val=""/>
      <w:lvlJc w:val="left"/>
    </w:lvl>
    <w:lvl w:ilvl="3" w:tplc="ABC432EC">
      <w:numFmt w:val="decimal"/>
      <w:lvlText w:val=""/>
      <w:lvlJc w:val="left"/>
    </w:lvl>
    <w:lvl w:ilvl="4" w:tplc="EF6EE81A">
      <w:numFmt w:val="decimal"/>
      <w:lvlText w:val=""/>
      <w:lvlJc w:val="left"/>
    </w:lvl>
    <w:lvl w:ilvl="5" w:tplc="CE4CE43E">
      <w:numFmt w:val="decimal"/>
      <w:lvlText w:val=""/>
      <w:lvlJc w:val="left"/>
    </w:lvl>
    <w:lvl w:ilvl="6" w:tplc="B3E03036">
      <w:numFmt w:val="decimal"/>
      <w:lvlText w:val=""/>
      <w:lvlJc w:val="left"/>
    </w:lvl>
    <w:lvl w:ilvl="7" w:tplc="E092CDA0">
      <w:numFmt w:val="decimal"/>
      <w:lvlText w:val=""/>
      <w:lvlJc w:val="left"/>
    </w:lvl>
    <w:lvl w:ilvl="8" w:tplc="FFB2DDF8">
      <w:numFmt w:val="decimal"/>
      <w:lvlText w:val=""/>
      <w:lvlJc w:val="left"/>
    </w:lvl>
  </w:abstractNum>
  <w:abstractNum w:abstractNumId="295" w15:restartNumberingAfterBreak="0">
    <w:nsid w:val="207B4CD5"/>
    <w:multiLevelType w:val="hybridMultilevel"/>
    <w:tmpl w:val="8AD2FE1E"/>
    <w:lvl w:ilvl="0" w:tplc="4B4053D8">
      <w:start w:val="1"/>
      <w:numFmt w:val="bullet"/>
      <w:lvlText w:val=""/>
      <w:lvlJc w:val="left"/>
      <w:pPr>
        <w:ind w:left="720" w:hanging="180"/>
      </w:pPr>
      <w:rPr>
        <w:rFonts w:ascii="Symbol" w:hAnsi="Symbol" w:hint="default"/>
      </w:rPr>
    </w:lvl>
    <w:lvl w:ilvl="1" w:tplc="0E808730">
      <w:numFmt w:val="decimal"/>
      <w:lvlText w:val=""/>
      <w:lvlJc w:val="left"/>
    </w:lvl>
    <w:lvl w:ilvl="2" w:tplc="E6B6640E">
      <w:numFmt w:val="decimal"/>
      <w:lvlText w:val=""/>
      <w:lvlJc w:val="left"/>
    </w:lvl>
    <w:lvl w:ilvl="3" w:tplc="C324CC40">
      <w:numFmt w:val="decimal"/>
      <w:lvlText w:val=""/>
      <w:lvlJc w:val="left"/>
    </w:lvl>
    <w:lvl w:ilvl="4" w:tplc="4A74CB0E">
      <w:numFmt w:val="decimal"/>
      <w:lvlText w:val=""/>
      <w:lvlJc w:val="left"/>
    </w:lvl>
    <w:lvl w:ilvl="5" w:tplc="66568BC8">
      <w:numFmt w:val="decimal"/>
      <w:lvlText w:val=""/>
      <w:lvlJc w:val="left"/>
    </w:lvl>
    <w:lvl w:ilvl="6" w:tplc="1CDC9AAC">
      <w:numFmt w:val="decimal"/>
      <w:lvlText w:val=""/>
      <w:lvlJc w:val="left"/>
    </w:lvl>
    <w:lvl w:ilvl="7" w:tplc="3D8814F2">
      <w:numFmt w:val="decimal"/>
      <w:lvlText w:val=""/>
      <w:lvlJc w:val="left"/>
    </w:lvl>
    <w:lvl w:ilvl="8" w:tplc="E6B8DE54">
      <w:numFmt w:val="decimal"/>
      <w:lvlText w:val=""/>
      <w:lvlJc w:val="left"/>
    </w:lvl>
  </w:abstractNum>
  <w:abstractNum w:abstractNumId="296" w15:restartNumberingAfterBreak="0">
    <w:nsid w:val="20966551"/>
    <w:multiLevelType w:val="hybridMultilevel"/>
    <w:tmpl w:val="29D41A18"/>
    <w:lvl w:ilvl="0" w:tplc="79EE32EA">
      <w:start w:val="1"/>
      <w:numFmt w:val="bullet"/>
      <w:lvlText w:val=""/>
      <w:lvlJc w:val="left"/>
      <w:pPr>
        <w:ind w:left="720" w:hanging="180"/>
      </w:pPr>
      <w:rPr>
        <w:rFonts w:ascii="Symbol" w:hAnsi="Symbol" w:hint="default"/>
      </w:rPr>
    </w:lvl>
    <w:lvl w:ilvl="1" w:tplc="A0100014">
      <w:numFmt w:val="decimal"/>
      <w:lvlText w:val=""/>
      <w:lvlJc w:val="left"/>
    </w:lvl>
    <w:lvl w:ilvl="2" w:tplc="6CCC5548">
      <w:numFmt w:val="decimal"/>
      <w:lvlText w:val=""/>
      <w:lvlJc w:val="left"/>
    </w:lvl>
    <w:lvl w:ilvl="3" w:tplc="05E0E082">
      <w:numFmt w:val="decimal"/>
      <w:lvlText w:val=""/>
      <w:lvlJc w:val="left"/>
    </w:lvl>
    <w:lvl w:ilvl="4" w:tplc="54A25ADC">
      <w:numFmt w:val="decimal"/>
      <w:lvlText w:val=""/>
      <w:lvlJc w:val="left"/>
    </w:lvl>
    <w:lvl w:ilvl="5" w:tplc="0E80B8FC">
      <w:numFmt w:val="decimal"/>
      <w:lvlText w:val=""/>
      <w:lvlJc w:val="left"/>
    </w:lvl>
    <w:lvl w:ilvl="6" w:tplc="15CCA34C">
      <w:numFmt w:val="decimal"/>
      <w:lvlText w:val=""/>
      <w:lvlJc w:val="left"/>
    </w:lvl>
    <w:lvl w:ilvl="7" w:tplc="0FEC4D14">
      <w:numFmt w:val="decimal"/>
      <w:lvlText w:val=""/>
      <w:lvlJc w:val="left"/>
    </w:lvl>
    <w:lvl w:ilvl="8" w:tplc="850492D6">
      <w:numFmt w:val="decimal"/>
      <w:lvlText w:val=""/>
      <w:lvlJc w:val="left"/>
    </w:lvl>
  </w:abstractNum>
  <w:abstractNum w:abstractNumId="297" w15:restartNumberingAfterBreak="0">
    <w:nsid w:val="20A06189"/>
    <w:multiLevelType w:val="hybridMultilevel"/>
    <w:tmpl w:val="3556857C"/>
    <w:lvl w:ilvl="0" w:tplc="74349324">
      <w:start w:val="1"/>
      <w:numFmt w:val="bullet"/>
      <w:lvlText w:val=""/>
      <w:lvlJc w:val="left"/>
      <w:pPr>
        <w:ind w:left="720" w:hanging="180"/>
      </w:pPr>
      <w:rPr>
        <w:rFonts w:ascii="Symbol" w:hAnsi="Symbol" w:hint="default"/>
      </w:rPr>
    </w:lvl>
    <w:lvl w:ilvl="1" w:tplc="40D6CC86">
      <w:numFmt w:val="decimal"/>
      <w:lvlText w:val=""/>
      <w:lvlJc w:val="left"/>
    </w:lvl>
    <w:lvl w:ilvl="2" w:tplc="E9FC2008">
      <w:numFmt w:val="decimal"/>
      <w:lvlText w:val=""/>
      <w:lvlJc w:val="left"/>
    </w:lvl>
    <w:lvl w:ilvl="3" w:tplc="1944CB80">
      <w:numFmt w:val="decimal"/>
      <w:lvlText w:val=""/>
      <w:lvlJc w:val="left"/>
    </w:lvl>
    <w:lvl w:ilvl="4" w:tplc="987EAE3C">
      <w:numFmt w:val="decimal"/>
      <w:lvlText w:val=""/>
      <w:lvlJc w:val="left"/>
    </w:lvl>
    <w:lvl w:ilvl="5" w:tplc="D52808FA">
      <w:numFmt w:val="decimal"/>
      <w:lvlText w:val=""/>
      <w:lvlJc w:val="left"/>
    </w:lvl>
    <w:lvl w:ilvl="6" w:tplc="D47892C8">
      <w:numFmt w:val="decimal"/>
      <w:lvlText w:val=""/>
      <w:lvlJc w:val="left"/>
    </w:lvl>
    <w:lvl w:ilvl="7" w:tplc="873A3E00">
      <w:numFmt w:val="decimal"/>
      <w:lvlText w:val=""/>
      <w:lvlJc w:val="left"/>
    </w:lvl>
    <w:lvl w:ilvl="8" w:tplc="E33AC582">
      <w:numFmt w:val="decimal"/>
      <w:lvlText w:val=""/>
      <w:lvlJc w:val="left"/>
    </w:lvl>
  </w:abstractNum>
  <w:abstractNum w:abstractNumId="298" w15:restartNumberingAfterBreak="0">
    <w:nsid w:val="20A46882"/>
    <w:multiLevelType w:val="hybridMultilevel"/>
    <w:tmpl w:val="2392E72E"/>
    <w:lvl w:ilvl="0" w:tplc="7512A6A0">
      <w:start w:val="1"/>
      <w:numFmt w:val="bullet"/>
      <w:lvlText w:val=""/>
      <w:lvlJc w:val="left"/>
      <w:pPr>
        <w:ind w:left="720" w:hanging="180"/>
      </w:pPr>
      <w:rPr>
        <w:rFonts w:ascii="Symbol" w:hAnsi="Symbol" w:hint="default"/>
      </w:rPr>
    </w:lvl>
    <w:lvl w:ilvl="1" w:tplc="EEC8EE82">
      <w:numFmt w:val="decimal"/>
      <w:lvlText w:val=""/>
      <w:lvlJc w:val="left"/>
    </w:lvl>
    <w:lvl w:ilvl="2" w:tplc="80A49330">
      <w:numFmt w:val="decimal"/>
      <w:lvlText w:val=""/>
      <w:lvlJc w:val="left"/>
    </w:lvl>
    <w:lvl w:ilvl="3" w:tplc="FEF22A30">
      <w:numFmt w:val="decimal"/>
      <w:lvlText w:val=""/>
      <w:lvlJc w:val="left"/>
    </w:lvl>
    <w:lvl w:ilvl="4" w:tplc="C30AEDA0">
      <w:numFmt w:val="decimal"/>
      <w:lvlText w:val=""/>
      <w:lvlJc w:val="left"/>
    </w:lvl>
    <w:lvl w:ilvl="5" w:tplc="D21E67AC">
      <w:numFmt w:val="decimal"/>
      <w:lvlText w:val=""/>
      <w:lvlJc w:val="left"/>
    </w:lvl>
    <w:lvl w:ilvl="6" w:tplc="BD642BC6">
      <w:numFmt w:val="decimal"/>
      <w:lvlText w:val=""/>
      <w:lvlJc w:val="left"/>
    </w:lvl>
    <w:lvl w:ilvl="7" w:tplc="D368EF74">
      <w:numFmt w:val="decimal"/>
      <w:lvlText w:val=""/>
      <w:lvlJc w:val="left"/>
    </w:lvl>
    <w:lvl w:ilvl="8" w:tplc="E1728B94">
      <w:numFmt w:val="decimal"/>
      <w:lvlText w:val=""/>
      <w:lvlJc w:val="left"/>
    </w:lvl>
  </w:abstractNum>
  <w:abstractNum w:abstractNumId="299" w15:restartNumberingAfterBreak="0">
    <w:nsid w:val="20B737BF"/>
    <w:multiLevelType w:val="hybridMultilevel"/>
    <w:tmpl w:val="BC5A6BFE"/>
    <w:lvl w:ilvl="0" w:tplc="556A5D00">
      <w:start w:val="1"/>
      <w:numFmt w:val="bullet"/>
      <w:lvlText w:val=""/>
      <w:lvlJc w:val="left"/>
      <w:pPr>
        <w:ind w:left="720" w:hanging="180"/>
      </w:pPr>
      <w:rPr>
        <w:rFonts w:ascii="Symbol" w:hAnsi="Symbol" w:hint="default"/>
      </w:rPr>
    </w:lvl>
    <w:lvl w:ilvl="1" w:tplc="40D47654">
      <w:numFmt w:val="decimal"/>
      <w:lvlText w:val=""/>
      <w:lvlJc w:val="left"/>
    </w:lvl>
    <w:lvl w:ilvl="2" w:tplc="EC60B9DC">
      <w:numFmt w:val="decimal"/>
      <w:lvlText w:val=""/>
      <w:lvlJc w:val="left"/>
    </w:lvl>
    <w:lvl w:ilvl="3" w:tplc="9DC625A4">
      <w:numFmt w:val="decimal"/>
      <w:lvlText w:val=""/>
      <w:lvlJc w:val="left"/>
    </w:lvl>
    <w:lvl w:ilvl="4" w:tplc="659C7634">
      <w:numFmt w:val="decimal"/>
      <w:lvlText w:val=""/>
      <w:lvlJc w:val="left"/>
    </w:lvl>
    <w:lvl w:ilvl="5" w:tplc="168A2722">
      <w:numFmt w:val="decimal"/>
      <w:lvlText w:val=""/>
      <w:lvlJc w:val="left"/>
    </w:lvl>
    <w:lvl w:ilvl="6" w:tplc="9EC0B5F0">
      <w:numFmt w:val="decimal"/>
      <w:lvlText w:val=""/>
      <w:lvlJc w:val="left"/>
    </w:lvl>
    <w:lvl w:ilvl="7" w:tplc="2D2A2226">
      <w:numFmt w:val="decimal"/>
      <w:lvlText w:val=""/>
      <w:lvlJc w:val="left"/>
    </w:lvl>
    <w:lvl w:ilvl="8" w:tplc="89D41C18">
      <w:numFmt w:val="decimal"/>
      <w:lvlText w:val=""/>
      <w:lvlJc w:val="left"/>
    </w:lvl>
  </w:abstractNum>
  <w:abstractNum w:abstractNumId="300" w15:restartNumberingAfterBreak="0">
    <w:nsid w:val="20B73D24"/>
    <w:multiLevelType w:val="hybridMultilevel"/>
    <w:tmpl w:val="80F47C26"/>
    <w:lvl w:ilvl="0" w:tplc="24CE613C">
      <w:start w:val="1"/>
      <w:numFmt w:val="bullet"/>
      <w:lvlText w:val=""/>
      <w:lvlJc w:val="left"/>
      <w:pPr>
        <w:ind w:left="720" w:hanging="180"/>
      </w:pPr>
      <w:rPr>
        <w:rFonts w:ascii="Symbol" w:hAnsi="Symbol" w:hint="default"/>
      </w:rPr>
    </w:lvl>
    <w:lvl w:ilvl="1" w:tplc="9E4AFB6E">
      <w:numFmt w:val="decimal"/>
      <w:lvlText w:val=""/>
      <w:lvlJc w:val="left"/>
    </w:lvl>
    <w:lvl w:ilvl="2" w:tplc="76AE5E5C">
      <w:numFmt w:val="decimal"/>
      <w:lvlText w:val=""/>
      <w:lvlJc w:val="left"/>
    </w:lvl>
    <w:lvl w:ilvl="3" w:tplc="52ACEBBA">
      <w:numFmt w:val="decimal"/>
      <w:lvlText w:val=""/>
      <w:lvlJc w:val="left"/>
    </w:lvl>
    <w:lvl w:ilvl="4" w:tplc="CB0057FE">
      <w:numFmt w:val="decimal"/>
      <w:lvlText w:val=""/>
      <w:lvlJc w:val="left"/>
    </w:lvl>
    <w:lvl w:ilvl="5" w:tplc="1C1C9F3A">
      <w:numFmt w:val="decimal"/>
      <w:lvlText w:val=""/>
      <w:lvlJc w:val="left"/>
    </w:lvl>
    <w:lvl w:ilvl="6" w:tplc="1A128102">
      <w:numFmt w:val="decimal"/>
      <w:lvlText w:val=""/>
      <w:lvlJc w:val="left"/>
    </w:lvl>
    <w:lvl w:ilvl="7" w:tplc="BB681626">
      <w:numFmt w:val="decimal"/>
      <w:lvlText w:val=""/>
      <w:lvlJc w:val="left"/>
    </w:lvl>
    <w:lvl w:ilvl="8" w:tplc="37D07EA6">
      <w:numFmt w:val="decimal"/>
      <w:lvlText w:val=""/>
      <w:lvlJc w:val="left"/>
    </w:lvl>
  </w:abstractNum>
  <w:abstractNum w:abstractNumId="301" w15:restartNumberingAfterBreak="0">
    <w:nsid w:val="20BB619B"/>
    <w:multiLevelType w:val="hybridMultilevel"/>
    <w:tmpl w:val="708880B2"/>
    <w:lvl w:ilvl="0" w:tplc="B0D8CD1E">
      <w:numFmt w:val="decimal"/>
      <w:lvlText w:val=""/>
      <w:lvlJc w:val="left"/>
    </w:lvl>
    <w:lvl w:ilvl="1" w:tplc="71CAB812">
      <w:numFmt w:val="decimal"/>
      <w:lvlText w:val=""/>
      <w:lvlJc w:val="left"/>
    </w:lvl>
    <w:lvl w:ilvl="2" w:tplc="26C0D59C">
      <w:start w:val="1"/>
      <w:numFmt w:val="bullet"/>
      <w:lvlText w:val=""/>
      <w:lvlJc w:val="left"/>
      <w:pPr>
        <w:ind w:left="2160" w:hanging="180"/>
      </w:pPr>
      <w:rPr>
        <w:rFonts w:ascii="Symbol" w:hAnsi="Symbol" w:hint="default"/>
      </w:rPr>
    </w:lvl>
    <w:lvl w:ilvl="3" w:tplc="71B6CC18">
      <w:numFmt w:val="decimal"/>
      <w:lvlText w:val=""/>
      <w:lvlJc w:val="left"/>
    </w:lvl>
    <w:lvl w:ilvl="4" w:tplc="5FB882A8">
      <w:numFmt w:val="decimal"/>
      <w:lvlText w:val=""/>
      <w:lvlJc w:val="left"/>
    </w:lvl>
    <w:lvl w:ilvl="5" w:tplc="F85A3764">
      <w:numFmt w:val="decimal"/>
      <w:lvlText w:val=""/>
      <w:lvlJc w:val="left"/>
    </w:lvl>
    <w:lvl w:ilvl="6" w:tplc="7FCAF8A8">
      <w:numFmt w:val="decimal"/>
      <w:lvlText w:val=""/>
      <w:lvlJc w:val="left"/>
    </w:lvl>
    <w:lvl w:ilvl="7" w:tplc="E5E41060">
      <w:numFmt w:val="decimal"/>
      <w:lvlText w:val=""/>
      <w:lvlJc w:val="left"/>
    </w:lvl>
    <w:lvl w:ilvl="8" w:tplc="B8F63E4A">
      <w:numFmt w:val="decimal"/>
      <w:lvlText w:val=""/>
      <w:lvlJc w:val="left"/>
    </w:lvl>
  </w:abstractNum>
  <w:abstractNum w:abstractNumId="302" w15:restartNumberingAfterBreak="0">
    <w:nsid w:val="20C97DBC"/>
    <w:multiLevelType w:val="hybridMultilevel"/>
    <w:tmpl w:val="CA9443F6"/>
    <w:lvl w:ilvl="0" w:tplc="A2FC359E">
      <w:numFmt w:val="decimal"/>
      <w:lvlText w:val=""/>
      <w:lvlJc w:val="left"/>
    </w:lvl>
    <w:lvl w:ilvl="1" w:tplc="58F64146">
      <w:start w:val="1"/>
      <w:numFmt w:val="bullet"/>
      <w:lvlText w:val=""/>
      <w:lvlJc w:val="left"/>
      <w:pPr>
        <w:ind w:left="1440" w:hanging="180"/>
      </w:pPr>
      <w:rPr>
        <w:rFonts w:ascii="Symbol" w:hAnsi="Symbol" w:hint="default"/>
      </w:rPr>
    </w:lvl>
    <w:lvl w:ilvl="2" w:tplc="AE081832">
      <w:numFmt w:val="decimal"/>
      <w:lvlText w:val=""/>
      <w:lvlJc w:val="left"/>
    </w:lvl>
    <w:lvl w:ilvl="3" w:tplc="A99C62D6">
      <w:numFmt w:val="decimal"/>
      <w:lvlText w:val=""/>
      <w:lvlJc w:val="left"/>
    </w:lvl>
    <w:lvl w:ilvl="4" w:tplc="3A623460">
      <w:numFmt w:val="decimal"/>
      <w:lvlText w:val=""/>
      <w:lvlJc w:val="left"/>
    </w:lvl>
    <w:lvl w:ilvl="5" w:tplc="B0380786">
      <w:numFmt w:val="decimal"/>
      <w:lvlText w:val=""/>
      <w:lvlJc w:val="left"/>
    </w:lvl>
    <w:lvl w:ilvl="6" w:tplc="1896AF8C">
      <w:numFmt w:val="decimal"/>
      <w:lvlText w:val=""/>
      <w:lvlJc w:val="left"/>
    </w:lvl>
    <w:lvl w:ilvl="7" w:tplc="42FAF4DE">
      <w:numFmt w:val="decimal"/>
      <w:lvlText w:val=""/>
      <w:lvlJc w:val="left"/>
    </w:lvl>
    <w:lvl w:ilvl="8" w:tplc="6BA898A0">
      <w:numFmt w:val="decimal"/>
      <w:lvlText w:val=""/>
      <w:lvlJc w:val="left"/>
    </w:lvl>
  </w:abstractNum>
  <w:abstractNum w:abstractNumId="303" w15:restartNumberingAfterBreak="0">
    <w:nsid w:val="20CB4402"/>
    <w:multiLevelType w:val="hybridMultilevel"/>
    <w:tmpl w:val="64E41C7E"/>
    <w:lvl w:ilvl="0" w:tplc="7A22F4B4">
      <w:start w:val="1"/>
      <w:numFmt w:val="bullet"/>
      <w:lvlText w:val=""/>
      <w:lvlJc w:val="left"/>
      <w:pPr>
        <w:ind w:left="720" w:hanging="180"/>
      </w:pPr>
      <w:rPr>
        <w:rFonts w:ascii="Symbol" w:hAnsi="Symbol" w:hint="default"/>
      </w:rPr>
    </w:lvl>
    <w:lvl w:ilvl="1" w:tplc="5DF85850">
      <w:numFmt w:val="decimal"/>
      <w:lvlText w:val=""/>
      <w:lvlJc w:val="left"/>
    </w:lvl>
    <w:lvl w:ilvl="2" w:tplc="8438E542">
      <w:numFmt w:val="decimal"/>
      <w:lvlText w:val=""/>
      <w:lvlJc w:val="left"/>
    </w:lvl>
    <w:lvl w:ilvl="3" w:tplc="CAC0BC44">
      <w:numFmt w:val="decimal"/>
      <w:lvlText w:val=""/>
      <w:lvlJc w:val="left"/>
    </w:lvl>
    <w:lvl w:ilvl="4" w:tplc="314462F4">
      <w:numFmt w:val="decimal"/>
      <w:lvlText w:val=""/>
      <w:lvlJc w:val="left"/>
    </w:lvl>
    <w:lvl w:ilvl="5" w:tplc="ACC44C72">
      <w:numFmt w:val="decimal"/>
      <w:lvlText w:val=""/>
      <w:lvlJc w:val="left"/>
    </w:lvl>
    <w:lvl w:ilvl="6" w:tplc="0DA4CD22">
      <w:numFmt w:val="decimal"/>
      <w:lvlText w:val=""/>
      <w:lvlJc w:val="left"/>
    </w:lvl>
    <w:lvl w:ilvl="7" w:tplc="4A50499E">
      <w:numFmt w:val="decimal"/>
      <w:lvlText w:val=""/>
      <w:lvlJc w:val="left"/>
    </w:lvl>
    <w:lvl w:ilvl="8" w:tplc="862251E2">
      <w:numFmt w:val="decimal"/>
      <w:lvlText w:val=""/>
      <w:lvlJc w:val="left"/>
    </w:lvl>
  </w:abstractNum>
  <w:abstractNum w:abstractNumId="304" w15:restartNumberingAfterBreak="0">
    <w:nsid w:val="20FA483F"/>
    <w:multiLevelType w:val="hybridMultilevel"/>
    <w:tmpl w:val="BBD45188"/>
    <w:lvl w:ilvl="0" w:tplc="508449BC">
      <w:start w:val="1"/>
      <w:numFmt w:val="bullet"/>
      <w:lvlText w:val=""/>
      <w:lvlJc w:val="left"/>
      <w:pPr>
        <w:ind w:left="720" w:hanging="180"/>
      </w:pPr>
      <w:rPr>
        <w:rFonts w:ascii="Symbol" w:hAnsi="Symbol" w:hint="default"/>
      </w:rPr>
    </w:lvl>
    <w:lvl w:ilvl="1" w:tplc="38DCAE74">
      <w:numFmt w:val="decimal"/>
      <w:lvlText w:val=""/>
      <w:lvlJc w:val="left"/>
    </w:lvl>
    <w:lvl w:ilvl="2" w:tplc="4154863E">
      <w:numFmt w:val="decimal"/>
      <w:lvlText w:val=""/>
      <w:lvlJc w:val="left"/>
    </w:lvl>
    <w:lvl w:ilvl="3" w:tplc="6E70551A">
      <w:numFmt w:val="decimal"/>
      <w:lvlText w:val=""/>
      <w:lvlJc w:val="left"/>
    </w:lvl>
    <w:lvl w:ilvl="4" w:tplc="3758B510">
      <w:numFmt w:val="decimal"/>
      <w:lvlText w:val=""/>
      <w:lvlJc w:val="left"/>
    </w:lvl>
    <w:lvl w:ilvl="5" w:tplc="A09E7992">
      <w:numFmt w:val="decimal"/>
      <w:lvlText w:val=""/>
      <w:lvlJc w:val="left"/>
    </w:lvl>
    <w:lvl w:ilvl="6" w:tplc="6A9A10C2">
      <w:numFmt w:val="decimal"/>
      <w:lvlText w:val=""/>
      <w:lvlJc w:val="left"/>
    </w:lvl>
    <w:lvl w:ilvl="7" w:tplc="435ED4D6">
      <w:numFmt w:val="decimal"/>
      <w:lvlText w:val=""/>
      <w:lvlJc w:val="left"/>
    </w:lvl>
    <w:lvl w:ilvl="8" w:tplc="BCB03322">
      <w:numFmt w:val="decimal"/>
      <w:lvlText w:val=""/>
      <w:lvlJc w:val="left"/>
    </w:lvl>
  </w:abstractNum>
  <w:abstractNum w:abstractNumId="305" w15:restartNumberingAfterBreak="0">
    <w:nsid w:val="21223F67"/>
    <w:multiLevelType w:val="hybridMultilevel"/>
    <w:tmpl w:val="24D8EBF0"/>
    <w:lvl w:ilvl="0" w:tplc="03B6A02A">
      <w:start w:val="1"/>
      <w:numFmt w:val="bullet"/>
      <w:lvlText w:val=""/>
      <w:lvlJc w:val="left"/>
      <w:pPr>
        <w:ind w:left="720" w:hanging="180"/>
      </w:pPr>
      <w:rPr>
        <w:rFonts w:ascii="Symbol" w:hAnsi="Symbol" w:hint="default"/>
      </w:rPr>
    </w:lvl>
    <w:lvl w:ilvl="1" w:tplc="E514BBEA">
      <w:numFmt w:val="decimal"/>
      <w:lvlText w:val=""/>
      <w:lvlJc w:val="left"/>
    </w:lvl>
    <w:lvl w:ilvl="2" w:tplc="A754B462">
      <w:numFmt w:val="decimal"/>
      <w:lvlText w:val=""/>
      <w:lvlJc w:val="left"/>
    </w:lvl>
    <w:lvl w:ilvl="3" w:tplc="C61CAE50">
      <w:numFmt w:val="decimal"/>
      <w:lvlText w:val=""/>
      <w:lvlJc w:val="left"/>
    </w:lvl>
    <w:lvl w:ilvl="4" w:tplc="C0120BBA">
      <w:numFmt w:val="decimal"/>
      <w:lvlText w:val=""/>
      <w:lvlJc w:val="left"/>
    </w:lvl>
    <w:lvl w:ilvl="5" w:tplc="3446CF66">
      <w:numFmt w:val="decimal"/>
      <w:lvlText w:val=""/>
      <w:lvlJc w:val="left"/>
    </w:lvl>
    <w:lvl w:ilvl="6" w:tplc="21C622E2">
      <w:numFmt w:val="decimal"/>
      <w:lvlText w:val=""/>
      <w:lvlJc w:val="left"/>
    </w:lvl>
    <w:lvl w:ilvl="7" w:tplc="848EBBC4">
      <w:numFmt w:val="decimal"/>
      <w:lvlText w:val=""/>
      <w:lvlJc w:val="left"/>
    </w:lvl>
    <w:lvl w:ilvl="8" w:tplc="DA8262C0">
      <w:numFmt w:val="decimal"/>
      <w:lvlText w:val=""/>
      <w:lvlJc w:val="left"/>
    </w:lvl>
  </w:abstractNum>
  <w:abstractNum w:abstractNumId="306" w15:restartNumberingAfterBreak="0">
    <w:nsid w:val="21236BEA"/>
    <w:multiLevelType w:val="hybridMultilevel"/>
    <w:tmpl w:val="89FE7BF4"/>
    <w:lvl w:ilvl="0" w:tplc="AEC42A3E">
      <w:start w:val="1"/>
      <w:numFmt w:val="bullet"/>
      <w:lvlText w:val=""/>
      <w:lvlJc w:val="left"/>
      <w:pPr>
        <w:ind w:left="720" w:hanging="180"/>
      </w:pPr>
      <w:rPr>
        <w:rFonts w:ascii="Symbol" w:hAnsi="Symbol" w:hint="default"/>
      </w:rPr>
    </w:lvl>
    <w:lvl w:ilvl="1" w:tplc="EDC2DC1E">
      <w:numFmt w:val="decimal"/>
      <w:lvlText w:val=""/>
      <w:lvlJc w:val="left"/>
    </w:lvl>
    <w:lvl w:ilvl="2" w:tplc="14EC12D2">
      <w:numFmt w:val="decimal"/>
      <w:lvlText w:val=""/>
      <w:lvlJc w:val="left"/>
    </w:lvl>
    <w:lvl w:ilvl="3" w:tplc="5C464908">
      <w:numFmt w:val="decimal"/>
      <w:lvlText w:val=""/>
      <w:lvlJc w:val="left"/>
    </w:lvl>
    <w:lvl w:ilvl="4" w:tplc="2BFA70E0">
      <w:numFmt w:val="decimal"/>
      <w:lvlText w:val=""/>
      <w:lvlJc w:val="left"/>
    </w:lvl>
    <w:lvl w:ilvl="5" w:tplc="A290FF5E">
      <w:numFmt w:val="decimal"/>
      <w:lvlText w:val=""/>
      <w:lvlJc w:val="left"/>
    </w:lvl>
    <w:lvl w:ilvl="6" w:tplc="7B747AC0">
      <w:numFmt w:val="decimal"/>
      <w:lvlText w:val=""/>
      <w:lvlJc w:val="left"/>
    </w:lvl>
    <w:lvl w:ilvl="7" w:tplc="7D326EA2">
      <w:numFmt w:val="decimal"/>
      <w:lvlText w:val=""/>
      <w:lvlJc w:val="left"/>
    </w:lvl>
    <w:lvl w:ilvl="8" w:tplc="B622E7FC">
      <w:numFmt w:val="decimal"/>
      <w:lvlText w:val=""/>
      <w:lvlJc w:val="left"/>
    </w:lvl>
  </w:abstractNum>
  <w:abstractNum w:abstractNumId="307" w15:restartNumberingAfterBreak="0">
    <w:nsid w:val="21253938"/>
    <w:multiLevelType w:val="hybridMultilevel"/>
    <w:tmpl w:val="D786E344"/>
    <w:lvl w:ilvl="0" w:tplc="5CF237D0">
      <w:start w:val="1"/>
      <w:numFmt w:val="bullet"/>
      <w:lvlText w:val=""/>
      <w:lvlJc w:val="left"/>
      <w:pPr>
        <w:ind w:left="720" w:hanging="180"/>
      </w:pPr>
      <w:rPr>
        <w:rFonts w:ascii="Symbol" w:hAnsi="Symbol" w:hint="default"/>
      </w:rPr>
    </w:lvl>
    <w:lvl w:ilvl="1" w:tplc="9076AA14">
      <w:numFmt w:val="decimal"/>
      <w:lvlText w:val=""/>
      <w:lvlJc w:val="left"/>
    </w:lvl>
    <w:lvl w:ilvl="2" w:tplc="6AC6CB5A">
      <w:numFmt w:val="decimal"/>
      <w:lvlText w:val=""/>
      <w:lvlJc w:val="left"/>
    </w:lvl>
    <w:lvl w:ilvl="3" w:tplc="E5B037A2">
      <w:numFmt w:val="decimal"/>
      <w:lvlText w:val=""/>
      <w:lvlJc w:val="left"/>
    </w:lvl>
    <w:lvl w:ilvl="4" w:tplc="C7C441FA">
      <w:numFmt w:val="decimal"/>
      <w:lvlText w:val=""/>
      <w:lvlJc w:val="left"/>
    </w:lvl>
    <w:lvl w:ilvl="5" w:tplc="7B98E416">
      <w:numFmt w:val="decimal"/>
      <w:lvlText w:val=""/>
      <w:lvlJc w:val="left"/>
    </w:lvl>
    <w:lvl w:ilvl="6" w:tplc="B4767F78">
      <w:numFmt w:val="decimal"/>
      <w:lvlText w:val=""/>
      <w:lvlJc w:val="left"/>
    </w:lvl>
    <w:lvl w:ilvl="7" w:tplc="81EE0E42">
      <w:numFmt w:val="decimal"/>
      <w:lvlText w:val=""/>
      <w:lvlJc w:val="left"/>
    </w:lvl>
    <w:lvl w:ilvl="8" w:tplc="75DCFAC4">
      <w:numFmt w:val="decimal"/>
      <w:lvlText w:val=""/>
      <w:lvlJc w:val="left"/>
    </w:lvl>
  </w:abstractNum>
  <w:abstractNum w:abstractNumId="308" w15:restartNumberingAfterBreak="0">
    <w:nsid w:val="21586FA3"/>
    <w:multiLevelType w:val="hybridMultilevel"/>
    <w:tmpl w:val="2B304560"/>
    <w:lvl w:ilvl="0" w:tplc="DAE0860E">
      <w:start w:val="1"/>
      <w:numFmt w:val="bullet"/>
      <w:lvlText w:val=""/>
      <w:lvlJc w:val="left"/>
      <w:pPr>
        <w:ind w:left="720" w:hanging="180"/>
      </w:pPr>
      <w:rPr>
        <w:rFonts w:ascii="Symbol" w:hAnsi="Symbol" w:hint="default"/>
      </w:rPr>
    </w:lvl>
    <w:lvl w:ilvl="1" w:tplc="28FA4D58">
      <w:numFmt w:val="decimal"/>
      <w:lvlText w:val=""/>
      <w:lvlJc w:val="left"/>
    </w:lvl>
    <w:lvl w:ilvl="2" w:tplc="8DD6F1F2">
      <w:numFmt w:val="decimal"/>
      <w:lvlText w:val=""/>
      <w:lvlJc w:val="left"/>
    </w:lvl>
    <w:lvl w:ilvl="3" w:tplc="8E12EF10">
      <w:numFmt w:val="decimal"/>
      <w:lvlText w:val=""/>
      <w:lvlJc w:val="left"/>
    </w:lvl>
    <w:lvl w:ilvl="4" w:tplc="BFB2B6C2">
      <w:numFmt w:val="decimal"/>
      <w:lvlText w:val=""/>
      <w:lvlJc w:val="left"/>
    </w:lvl>
    <w:lvl w:ilvl="5" w:tplc="E57EA3FA">
      <w:numFmt w:val="decimal"/>
      <w:lvlText w:val=""/>
      <w:lvlJc w:val="left"/>
    </w:lvl>
    <w:lvl w:ilvl="6" w:tplc="288CDE64">
      <w:numFmt w:val="decimal"/>
      <w:lvlText w:val=""/>
      <w:lvlJc w:val="left"/>
    </w:lvl>
    <w:lvl w:ilvl="7" w:tplc="4224B146">
      <w:numFmt w:val="decimal"/>
      <w:lvlText w:val=""/>
      <w:lvlJc w:val="left"/>
    </w:lvl>
    <w:lvl w:ilvl="8" w:tplc="50321BD8">
      <w:numFmt w:val="decimal"/>
      <w:lvlText w:val=""/>
      <w:lvlJc w:val="left"/>
    </w:lvl>
  </w:abstractNum>
  <w:abstractNum w:abstractNumId="309" w15:restartNumberingAfterBreak="0">
    <w:nsid w:val="2183699E"/>
    <w:multiLevelType w:val="hybridMultilevel"/>
    <w:tmpl w:val="4C70E834"/>
    <w:lvl w:ilvl="0" w:tplc="CDD03000">
      <w:start w:val="1"/>
      <w:numFmt w:val="bullet"/>
      <w:lvlText w:val=""/>
      <w:lvlJc w:val="left"/>
      <w:pPr>
        <w:ind w:left="720" w:hanging="180"/>
      </w:pPr>
      <w:rPr>
        <w:rFonts w:ascii="Symbol" w:hAnsi="Symbol" w:hint="default"/>
      </w:rPr>
    </w:lvl>
    <w:lvl w:ilvl="1" w:tplc="D010A858">
      <w:numFmt w:val="decimal"/>
      <w:lvlText w:val=""/>
      <w:lvlJc w:val="left"/>
    </w:lvl>
    <w:lvl w:ilvl="2" w:tplc="C3D2F8F2">
      <w:numFmt w:val="decimal"/>
      <w:lvlText w:val=""/>
      <w:lvlJc w:val="left"/>
    </w:lvl>
    <w:lvl w:ilvl="3" w:tplc="20FE1C0E">
      <w:numFmt w:val="decimal"/>
      <w:lvlText w:val=""/>
      <w:lvlJc w:val="left"/>
    </w:lvl>
    <w:lvl w:ilvl="4" w:tplc="CED8D746">
      <w:numFmt w:val="decimal"/>
      <w:lvlText w:val=""/>
      <w:lvlJc w:val="left"/>
    </w:lvl>
    <w:lvl w:ilvl="5" w:tplc="5B46F812">
      <w:numFmt w:val="decimal"/>
      <w:lvlText w:val=""/>
      <w:lvlJc w:val="left"/>
    </w:lvl>
    <w:lvl w:ilvl="6" w:tplc="4BA6AFE4">
      <w:numFmt w:val="decimal"/>
      <w:lvlText w:val=""/>
      <w:lvlJc w:val="left"/>
    </w:lvl>
    <w:lvl w:ilvl="7" w:tplc="6102F416">
      <w:numFmt w:val="decimal"/>
      <w:lvlText w:val=""/>
      <w:lvlJc w:val="left"/>
    </w:lvl>
    <w:lvl w:ilvl="8" w:tplc="A9B4F20A">
      <w:numFmt w:val="decimal"/>
      <w:lvlText w:val=""/>
      <w:lvlJc w:val="left"/>
    </w:lvl>
  </w:abstractNum>
  <w:abstractNum w:abstractNumId="310" w15:restartNumberingAfterBreak="0">
    <w:nsid w:val="21945F64"/>
    <w:multiLevelType w:val="hybridMultilevel"/>
    <w:tmpl w:val="94CE1164"/>
    <w:lvl w:ilvl="0" w:tplc="8272CB2A">
      <w:start w:val="1"/>
      <w:numFmt w:val="bullet"/>
      <w:lvlText w:val=""/>
      <w:lvlJc w:val="left"/>
      <w:pPr>
        <w:ind w:left="720" w:hanging="180"/>
      </w:pPr>
      <w:rPr>
        <w:rFonts w:ascii="Symbol" w:hAnsi="Symbol" w:hint="default"/>
      </w:rPr>
    </w:lvl>
    <w:lvl w:ilvl="1" w:tplc="AA9C99F0">
      <w:numFmt w:val="decimal"/>
      <w:lvlText w:val=""/>
      <w:lvlJc w:val="left"/>
    </w:lvl>
    <w:lvl w:ilvl="2" w:tplc="F1200DDE">
      <w:numFmt w:val="decimal"/>
      <w:lvlText w:val=""/>
      <w:lvlJc w:val="left"/>
    </w:lvl>
    <w:lvl w:ilvl="3" w:tplc="40160444">
      <w:numFmt w:val="decimal"/>
      <w:lvlText w:val=""/>
      <w:lvlJc w:val="left"/>
    </w:lvl>
    <w:lvl w:ilvl="4" w:tplc="F01A9E46">
      <w:numFmt w:val="decimal"/>
      <w:lvlText w:val=""/>
      <w:lvlJc w:val="left"/>
    </w:lvl>
    <w:lvl w:ilvl="5" w:tplc="618A3F70">
      <w:numFmt w:val="decimal"/>
      <w:lvlText w:val=""/>
      <w:lvlJc w:val="left"/>
    </w:lvl>
    <w:lvl w:ilvl="6" w:tplc="297CD0E8">
      <w:numFmt w:val="decimal"/>
      <w:lvlText w:val=""/>
      <w:lvlJc w:val="left"/>
    </w:lvl>
    <w:lvl w:ilvl="7" w:tplc="0A42E36A">
      <w:numFmt w:val="decimal"/>
      <w:lvlText w:val=""/>
      <w:lvlJc w:val="left"/>
    </w:lvl>
    <w:lvl w:ilvl="8" w:tplc="0D283C6E">
      <w:numFmt w:val="decimal"/>
      <w:lvlText w:val=""/>
      <w:lvlJc w:val="left"/>
    </w:lvl>
  </w:abstractNum>
  <w:abstractNum w:abstractNumId="311" w15:restartNumberingAfterBreak="0">
    <w:nsid w:val="21A44C1E"/>
    <w:multiLevelType w:val="hybridMultilevel"/>
    <w:tmpl w:val="AB3C895C"/>
    <w:lvl w:ilvl="0" w:tplc="371C8962">
      <w:start w:val="1"/>
      <w:numFmt w:val="bullet"/>
      <w:lvlText w:val=""/>
      <w:lvlJc w:val="left"/>
      <w:pPr>
        <w:ind w:left="720" w:hanging="180"/>
      </w:pPr>
      <w:rPr>
        <w:rFonts w:ascii="Symbol" w:hAnsi="Symbol" w:hint="default"/>
      </w:rPr>
    </w:lvl>
    <w:lvl w:ilvl="1" w:tplc="FDB82258">
      <w:numFmt w:val="decimal"/>
      <w:lvlText w:val=""/>
      <w:lvlJc w:val="left"/>
    </w:lvl>
    <w:lvl w:ilvl="2" w:tplc="05BE821C">
      <w:numFmt w:val="decimal"/>
      <w:lvlText w:val=""/>
      <w:lvlJc w:val="left"/>
    </w:lvl>
    <w:lvl w:ilvl="3" w:tplc="F9DE7EC8">
      <w:numFmt w:val="decimal"/>
      <w:lvlText w:val=""/>
      <w:lvlJc w:val="left"/>
    </w:lvl>
    <w:lvl w:ilvl="4" w:tplc="5E4AA9FA">
      <w:numFmt w:val="decimal"/>
      <w:lvlText w:val=""/>
      <w:lvlJc w:val="left"/>
    </w:lvl>
    <w:lvl w:ilvl="5" w:tplc="68B084C6">
      <w:numFmt w:val="decimal"/>
      <w:lvlText w:val=""/>
      <w:lvlJc w:val="left"/>
    </w:lvl>
    <w:lvl w:ilvl="6" w:tplc="2974D3A6">
      <w:numFmt w:val="decimal"/>
      <w:lvlText w:val=""/>
      <w:lvlJc w:val="left"/>
    </w:lvl>
    <w:lvl w:ilvl="7" w:tplc="2FCAE734">
      <w:numFmt w:val="decimal"/>
      <w:lvlText w:val=""/>
      <w:lvlJc w:val="left"/>
    </w:lvl>
    <w:lvl w:ilvl="8" w:tplc="3E0CC128">
      <w:numFmt w:val="decimal"/>
      <w:lvlText w:val=""/>
      <w:lvlJc w:val="left"/>
    </w:lvl>
  </w:abstractNum>
  <w:abstractNum w:abstractNumId="312" w15:restartNumberingAfterBreak="0">
    <w:nsid w:val="21B8456C"/>
    <w:multiLevelType w:val="hybridMultilevel"/>
    <w:tmpl w:val="FDA0AB60"/>
    <w:lvl w:ilvl="0" w:tplc="3662A636">
      <w:start w:val="1"/>
      <w:numFmt w:val="bullet"/>
      <w:lvlText w:val=""/>
      <w:lvlJc w:val="left"/>
      <w:pPr>
        <w:ind w:left="720" w:hanging="180"/>
      </w:pPr>
      <w:rPr>
        <w:rFonts w:ascii="Symbol" w:hAnsi="Symbol" w:hint="default"/>
      </w:rPr>
    </w:lvl>
    <w:lvl w:ilvl="1" w:tplc="FA4009FC">
      <w:numFmt w:val="decimal"/>
      <w:lvlText w:val=""/>
      <w:lvlJc w:val="left"/>
    </w:lvl>
    <w:lvl w:ilvl="2" w:tplc="5EEC1230">
      <w:numFmt w:val="decimal"/>
      <w:lvlText w:val=""/>
      <w:lvlJc w:val="left"/>
    </w:lvl>
    <w:lvl w:ilvl="3" w:tplc="41386A68">
      <w:numFmt w:val="decimal"/>
      <w:lvlText w:val=""/>
      <w:lvlJc w:val="left"/>
    </w:lvl>
    <w:lvl w:ilvl="4" w:tplc="B0DA4B94">
      <w:numFmt w:val="decimal"/>
      <w:lvlText w:val=""/>
      <w:lvlJc w:val="left"/>
    </w:lvl>
    <w:lvl w:ilvl="5" w:tplc="EC0056E6">
      <w:numFmt w:val="decimal"/>
      <w:lvlText w:val=""/>
      <w:lvlJc w:val="left"/>
    </w:lvl>
    <w:lvl w:ilvl="6" w:tplc="3C74814A">
      <w:numFmt w:val="decimal"/>
      <w:lvlText w:val=""/>
      <w:lvlJc w:val="left"/>
    </w:lvl>
    <w:lvl w:ilvl="7" w:tplc="874042EC">
      <w:numFmt w:val="decimal"/>
      <w:lvlText w:val=""/>
      <w:lvlJc w:val="left"/>
    </w:lvl>
    <w:lvl w:ilvl="8" w:tplc="B6C07AEA">
      <w:numFmt w:val="decimal"/>
      <w:lvlText w:val=""/>
      <w:lvlJc w:val="left"/>
    </w:lvl>
  </w:abstractNum>
  <w:abstractNum w:abstractNumId="313" w15:restartNumberingAfterBreak="0">
    <w:nsid w:val="21CB15FA"/>
    <w:multiLevelType w:val="hybridMultilevel"/>
    <w:tmpl w:val="78DC14B4"/>
    <w:lvl w:ilvl="0" w:tplc="79CE7144">
      <w:start w:val="1"/>
      <w:numFmt w:val="bullet"/>
      <w:lvlText w:val=""/>
      <w:lvlJc w:val="left"/>
      <w:pPr>
        <w:ind w:left="720" w:hanging="180"/>
      </w:pPr>
      <w:rPr>
        <w:rFonts w:ascii="Symbol" w:hAnsi="Symbol" w:hint="default"/>
      </w:rPr>
    </w:lvl>
    <w:lvl w:ilvl="1" w:tplc="CEA42096">
      <w:numFmt w:val="decimal"/>
      <w:lvlText w:val=""/>
      <w:lvlJc w:val="left"/>
    </w:lvl>
    <w:lvl w:ilvl="2" w:tplc="8F2633BC">
      <w:numFmt w:val="decimal"/>
      <w:lvlText w:val=""/>
      <w:lvlJc w:val="left"/>
    </w:lvl>
    <w:lvl w:ilvl="3" w:tplc="1522242C">
      <w:numFmt w:val="decimal"/>
      <w:lvlText w:val=""/>
      <w:lvlJc w:val="left"/>
    </w:lvl>
    <w:lvl w:ilvl="4" w:tplc="3306FB8C">
      <w:numFmt w:val="decimal"/>
      <w:lvlText w:val=""/>
      <w:lvlJc w:val="left"/>
    </w:lvl>
    <w:lvl w:ilvl="5" w:tplc="EB4090CC">
      <w:numFmt w:val="decimal"/>
      <w:lvlText w:val=""/>
      <w:lvlJc w:val="left"/>
    </w:lvl>
    <w:lvl w:ilvl="6" w:tplc="581EEAA6">
      <w:numFmt w:val="decimal"/>
      <w:lvlText w:val=""/>
      <w:lvlJc w:val="left"/>
    </w:lvl>
    <w:lvl w:ilvl="7" w:tplc="A51E1892">
      <w:numFmt w:val="decimal"/>
      <w:lvlText w:val=""/>
      <w:lvlJc w:val="left"/>
    </w:lvl>
    <w:lvl w:ilvl="8" w:tplc="D96EE00C">
      <w:numFmt w:val="decimal"/>
      <w:lvlText w:val=""/>
      <w:lvlJc w:val="left"/>
    </w:lvl>
  </w:abstractNum>
  <w:abstractNum w:abstractNumId="314" w15:restartNumberingAfterBreak="0">
    <w:nsid w:val="21D809A2"/>
    <w:multiLevelType w:val="hybridMultilevel"/>
    <w:tmpl w:val="9AA6525E"/>
    <w:lvl w:ilvl="0" w:tplc="412473A8">
      <w:start w:val="1"/>
      <w:numFmt w:val="bullet"/>
      <w:lvlText w:val=""/>
      <w:lvlJc w:val="left"/>
      <w:pPr>
        <w:ind w:left="720" w:hanging="180"/>
      </w:pPr>
      <w:rPr>
        <w:rFonts w:ascii="Symbol" w:hAnsi="Symbol" w:hint="default"/>
      </w:rPr>
    </w:lvl>
    <w:lvl w:ilvl="1" w:tplc="68504E88">
      <w:numFmt w:val="decimal"/>
      <w:lvlText w:val=""/>
      <w:lvlJc w:val="left"/>
    </w:lvl>
    <w:lvl w:ilvl="2" w:tplc="16FE5460">
      <w:numFmt w:val="decimal"/>
      <w:lvlText w:val=""/>
      <w:lvlJc w:val="left"/>
    </w:lvl>
    <w:lvl w:ilvl="3" w:tplc="67382A36">
      <w:numFmt w:val="decimal"/>
      <w:lvlText w:val=""/>
      <w:lvlJc w:val="left"/>
    </w:lvl>
    <w:lvl w:ilvl="4" w:tplc="E81C0D84">
      <w:numFmt w:val="decimal"/>
      <w:lvlText w:val=""/>
      <w:lvlJc w:val="left"/>
    </w:lvl>
    <w:lvl w:ilvl="5" w:tplc="F8962938">
      <w:numFmt w:val="decimal"/>
      <w:lvlText w:val=""/>
      <w:lvlJc w:val="left"/>
    </w:lvl>
    <w:lvl w:ilvl="6" w:tplc="BC1608B8">
      <w:numFmt w:val="decimal"/>
      <w:lvlText w:val=""/>
      <w:lvlJc w:val="left"/>
    </w:lvl>
    <w:lvl w:ilvl="7" w:tplc="E0608336">
      <w:numFmt w:val="decimal"/>
      <w:lvlText w:val=""/>
      <w:lvlJc w:val="left"/>
    </w:lvl>
    <w:lvl w:ilvl="8" w:tplc="438235EC">
      <w:numFmt w:val="decimal"/>
      <w:lvlText w:val=""/>
      <w:lvlJc w:val="left"/>
    </w:lvl>
  </w:abstractNum>
  <w:abstractNum w:abstractNumId="315" w15:restartNumberingAfterBreak="0">
    <w:nsid w:val="22596E0C"/>
    <w:multiLevelType w:val="hybridMultilevel"/>
    <w:tmpl w:val="3148F0F8"/>
    <w:lvl w:ilvl="0" w:tplc="E9CCE5D8">
      <w:numFmt w:val="decimal"/>
      <w:lvlText w:val=""/>
      <w:lvlJc w:val="left"/>
    </w:lvl>
    <w:lvl w:ilvl="1" w:tplc="3F1ED43A">
      <w:start w:val="1"/>
      <w:numFmt w:val="bullet"/>
      <w:lvlText w:val=""/>
      <w:lvlJc w:val="left"/>
      <w:pPr>
        <w:ind w:left="1440" w:hanging="180"/>
      </w:pPr>
      <w:rPr>
        <w:rFonts w:ascii="Symbol" w:hAnsi="Symbol" w:hint="default"/>
      </w:rPr>
    </w:lvl>
    <w:lvl w:ilvl="2" w:tplc="6F5C9ABC">
      <w:numFmt w:val="decimal"/>
      <w:lvlText w:val=""/>
      <w:lvlJc w:val="left"/>
    </w:lvl>
    <w:lvl w:ilvl="3" w:tplc="8FAC21D0">
      <w:numFmt w:val="decimal"/>
      <w:lvlText w:val=""/>
      <w:lvlJc w:val="left"/>
    </w:lvl>
    <w:lvl w:ilvl="4" w:tplc="96C6CD7A">
      <w:numFmt w:val="decimal"/>
      <w:lvlText w:val=""/>
      <w:lvlJc w:val="left"/>
    </w:lvl>
    <w:lvl w:ilvl="5" w:tplc="51C084A8">
      <w:numFmt w:val="decimal"/>
      <w:lvlText w:val=""/>
      <w:lvlJc w:val="left"/>
    </w:lvl>
    <w:lvl w:ilvl="6" w:tplc="9C8408C6">
      <w:numFmt w:val="decimal"/>
      <w:lvlText w:val=""/>
      <w:lvlJc w:val="left"/>
    </w:lvl>
    <w:lvl w:ilvl="7" w:tplc="F3A81A14">
      <w:numFmt w:val="decimal"/>
      <w:lvlText w:val=""/>
      <w:lvlJc w:val="left"/>
    </w:lvl>
    <w:lvl w:ilvl="8" w:tplc="C37AD75C">
      <w:numFmt w:val="decimal"/>
      <w:lvlText w:val=""/>
      <w:lvlJc w:val="left"/>
    </w:lvl>
  </w:abstractNum>
  <w:abstractNum w:abstractNumId="316" w15:restartNumberingAfterBreak="0">
    <w:nsid w:val="22653666"/>
    <w:multiLevelType w:val="hybridMultilevel"/>
    <w:tmpl w:val="460EDB84"/>
    <w:lvl w:ilvl="0" w:tplc="EC54113A">
      <w:start w:val="1"/>
      <w:numFmt w:val="bullet"/>
      <w:lvlText w:val=""/>
      <w:lvlJc w:val="left"/>
      <w:pPr>
        <w:ind w:left="720" w:hanging="180"/>
      </w:pPr>
      <w:rPr>
        <w:rFonts w:ascii="Symbol" w:hAnsi="Symbol" w:hint="default"/>
      </w:rPr>
    </w:lvl>
    <w:lvl w:ilvl="1" w:tplc="4FCA6964">
      <w:numFmt w:val="decimal"/>
      <w:lvlText w:val=""/>
      <w:lvlJc w:val="left"/>
    </w:lvl>
    <w:lvl w:ilvl="2" w:tplc="A1A4AB74">
      <w:numFmt w:val="decimal"/>
      <w:lvlText w:val=""/>
      <w:lvlJc w:val="left"/>
    </w:lvl>
    <w:lvl w:ilvl="3" w:tplc="333E2150">
      <w:numFmt w:val="decimal"/>
      <w:lvlText w:val=""/>
      <w:lvlJc w:val="left"/>
    </w:lvl>
    <w:lvl w:ilvl="4" w:tplc="4634B586">
      <w:numFmt w:val="decimal"/>
      <w:lvlText w:val=""/>
      <w:lvlJc w:val="left"/>
    </w:lvl>
    <w:lvl w:ilvl="5" w:tplc="57FCF39A">
      <w:numFmt w:val="decimal"/>
      <w:lvlText w:val=""/>
      <w:lvlJc w:val="left"/>
    </w:lvl>
    <w:lvl w:ilvl="6" w:tplc="2062D3AA">
      <w:numFmt w:val="decimal"/>
      <w:lvlText w:val=""/>
      <w:lvlJc w:val="left"/>
    </w:lvl>
    <w:lvl w:ilvl="7" w:tplc="CBB69D2C">
      <w:numFmt w:val="decimal"/>
      <w:lvlText w:val=""/>
      <w:lvlJc w:val="left"/>
    </w:lvl>
    <w:lvl w:ilvl="8" w:tplc="3C888DD0">
      <w:numFmt w:val="decimal"/>
      <w:lvlText w:val=""/>
      <w:lvlJc w:val="left"/>
    </w:lvl>
  </w:abstractNum>
  <w:abstractNum w:abstractNumId="317" w15:restartNumberingAfterBreak="0">
    <w:nsid w:val="22926F9E"/>
    <w:multiLevelType w:val="hybridMultilevel"/>
    <w:tmpl w:val="B83A24C0"/>
    <w:lvl w:ilvl="0" w:tplc="4F481698">
      <w:numFmt w:val="decimal"/>
      <w:lvlText w:val=""/>
      <w:lvlJc w:val="left"/>
    </w:lvl>
    <w:lvl w:ilvl="1" w:tplc="069E3DDC">
      <w:start w:val="1"/>
      <w:numFmt w:val="bullet"/>
      <w:lvlText w:val=""/>
      <w:lvlJc w:val="left"/>
      <w:pPr>
        <w:ind w:left="1440" w:hanging="180"/>
      </w:pPr>
      <w:rPr>
        <w:rFonts w:ascii="Symbol" w:hAnsi="Symbol" w:hint="default"/>
      </w:rPr>
    </w:lvl>
    <w:lvl w:ilvl="2" w:tplc="8CC61A44">
      <w:numFmt w:val="decimal"/>
      <w:lvlText w:val=""/>
      <w:lvlJc w:val="left"/>
    </w:lvl>
    <w:lvl w:ilvl="3" w:tplc="F7E0DD9E">
      <w:numFmt w:val="decimal"/>
      <w:lvlText w:val=""/>
      <w:lvlJc w:val="left"/>
    </w:lvl>
    <w:lvl w:ilvl="4" w:tplc="B4FCBA38">
      <w:numFmt w:val="decimal"/>
      <w:lvlText w:val=""/>
      <w:lvlJc w:val="left"/>
    </w:lvl>
    <w:lvl w:ilvl="5" w:tplc="9744AC8A">
      <w:numFmt w:val="decimal"/>
      <w:lvlText w:val=""/>
      <w:lvlJc w:val="left"/>
    </w:lvl>
    <w:lvl w:ilvl="6" w:tplc="9DD2FEAE">
      <w:numFmt w:val="decimal"/>
      <w:lvlText w:val=""/>
      <w:lvlJc w:val="left"/>
    </w:lvl>
    <w:lvl w:ilvl="7" w:tplc="1E3C4EDE">
      <w:numFmt w:val="decimal"/>
      <w:lvlText w:val=""/>
      <w:lvlJc w:val="left"/>
    </w:lvl>
    <w:lvl w:ilvl="8" w:tplc="05921C08">
      <w:numFmt w:val="decimal"/>
      <w:lvlText w:val=""/>
      <w:lvlJc w:val="left"/>
    </w:lvl>
  </w:abstractNum>
  <w:abstractNum w:abstractNumId="318" w15:restartNumberingAfterBreak="0">
    <w:nsid w:val="22BB0B80"/>
    <w:multiLevelType w:val="hybridMultilevel"/>
    <w:tmpl w:val="C4DEED46"/>
    <w:lvl w:ilvl="0" w:tplc="53A68E8C">
      <w:start w:val="1"/>
      <w:numFmt w:val="bullet"/>
      <w:lvlText w:val=""/>
      <w:lvlJc w:val="left"/>
      <w:pPr>
        <w:ind w:left="720" w:hanging="180"/>
      </w:pPr>
      <w:rPr>
        <w:rFonts w:ascii="Symbol" w:hAnsi="Symbol" w:hint="default"/>
      </w:rPr>
    </w:lvl>
    <w:lvl w:ilvl="1" w:tplc="361A13B6">
      <w:numFmt w:val="decimal"/>
      <w:lvlText w:val=""/>
      <w:lvlJc w:val="left"/>
    </w:lvl>
    <w:lvl w:ilvl="2" w:tplc="85C0A314">
      <w:numFmt w:val="decimal"/>
      <w:lvlText w:val=""/>
      <w:lvlJc w:val="left"/>
    </w:lvl>
    <w:lvl w:ilvl="3" w:tplc="D7AC6EF0">
      <w:numFmt w:val="decimal"/>
      <w:lvlText w:val=""/>
      <w:lvlJc w:val="left"/>
    </w:lvl>
    <w:lvl w:ilvl="4" w:tplc="47E473BE">
      <w:numFmt w:val="decimal"/>
      <w:lvlText w:val=""/>
      <w:lvlJc w:val="left"/>
    </w:lvl>
    <w:lvl w:ilvl="5" w:tplc="AC88933C">
      <w:numFmt w:val="decimal"/>
      <w:lvlText w:val=""/>
      <w:lvlJc w:val="left"/>
    </w:lvl>
    <w:lvl w:ilvl="6" w:tplc="CD62D5F8">
      <w:numFmt w:val="decimal"/>
      <w:lvlText w:val=""/>
      <w:lvlJc w:val="left"/>
    </w:lvl>
    <w:lvl w:ilvl="7" w:tplc="119ABAE6">
      <w:numFmt w:val="decimal"/>
      <w:lvlText w:val=""/>
      <w:lvlJc w:val="left"/>
    </w:lvl>
    <w:lvl w:ilvl="8" w:tplc="AA84F4F4">
      <w:numFmt w:val="decimal"/>
      <w:lvlText w:val=""/>
      <w:lvlJc w:val="left"/>
    </w:lvl>
  </w:abstractNum>
  <w:abstractNum w:abstractNumId="319" w15:restartNumberingAfterBreak="0">
    <w:nsid w:val="22BC51BD"/>
    <w:multiLevelType w:val="hybridMultilevel"/>
    <w:tmpl w:val="288CCD86"/>
    <w:lvl w:ilvl="0" w:tplc="078AB3CE">
      <w:start w:val="1"/>
      <w:numFmt w:val="bullet"/>
      <w:lvlText w:val=""/>
      <w:lvlJc w:val="left"/>
      <w:pPr>
        <w:ind w:left="720" w:hanging="180"/>
      </w:pPr>
      <w:rPr>
        <w:rFonts w:ascii="Symbol" w:hAnsi="Symbol" w:hint="default"/>
      </w:rPr>
    </w:lvl>
    <w:lvl w:ilvl="1" w:tplc="7CD2F3BA">
      <w:numFmt w:val="decimal"/>
      <w:lvlText w:val=""/>
      <w:lvlJc w:val="left"/>
    </w:lvl>
    <w:lvl w:ilvl="2" w:tplc="E34EDA72">
      <w:numFmt w:val="decimal"/>
      <w:lvlText w:val=""/>
      <w:lvlJc w:val="left"/>
    </w:lvl>
    <w:lvl w:ilvl="3" w:tplc="C83644DE">
      <w:numFmt w:val="decimal"/>
      <w:lvlText w:val=""/>
      <w:lvlJc w:val="left"/>
    </w:lvl>
    <w:lvl w:ilvl="4" w:tplc="6F4C2E18">
      <w:numFmt w:val="decimal"/>
      <w:lvlText w:val=""/>
      <w:lvlJc w:val="left"/>
    </w:lvl>
    <w:lvl w:ilvl="5" w:tplc="9F305D8A">
      <w:numFmt w:val="decimal"/>
      <w:lvlText w:val=""/>
      <w:lvlJc w:val="left"/>
    </w:lvl>
    <w:lvl w:ilvl="6" w:tplc="154AFF36">
      <w:numFmt w:val="decimal"/>
      <w:lvlText w:val=""/>
      <w:lvlJc w:val="left"/>
    </w:lvl>
    <w:lvl w:ilvl="7" w:tplc="690EC782">
      <w:numFmt w:val="decimal"/>
      <w:lvlText w:val=""/>
      <w:lvlJc w:val="left"/>
    </w:lvl>
    <w:lvl w:ilvl="8" w:tplc="3E2A4BC4">
      <w:numFmt w:val="decimal"/>
      <w:lvlText w:val=""/>
      <w:lvlJc w:val="left"/>
    </w:lvl>
  </w:abstractNum>
  <w:abstractNum w:abstractNumId="320" w15:restartNumberingAfterBreak="0">
    <w:nsid w:val="22BD74CF"/>
    <w:multiLevelType w:val="hybridMultilevel"/>
    <w:tmpl w:val="06FC7666"/>
    <w:lvl w:ilvl="0" w:tplc="A822C158">
      <w:start w:val="1"/>
      <w:numFmt w:val="bullet"/>
      <w:lvlText w:val=""/>
      <w:lvlJc w:val="left"/>
      <w:pPr>
        <w:ind w:left="720" w:hanging="180"/>
      </w:pPr>
      <w:rPr>
        <w:rFonts w:ascii="Symbol" w:hAnsi="Symbol" w:hint="default"/>
      </w:rPr>
    </w:lvl>
    <w:lvl w:ilvl="1" w:tplc="CC6CD928">
      <w:numFmt w:val="decimal"/>
      <w:lvlText w:val=""/>
      <w:lvlJc w:val="left"/>
    </w:lvl>
    <w:lvl w:ilvl="2" w:tplc="61428EF2">
      <w:numFmt w:val="decimal"/>
      <w:lvlText w:val=""/>
      <w:lvlJc w:val="left"/>
    </w:lvl>
    <w:lvl w:ilvl="3" w:tplc="6D76EAC2">
      <w:numFmt w:val="decimal"/>
      <w:lvlText w:val=""/>
      <w:lvlJc w:val="left"/>
    </w:lvl>
    <w:lvl w:ilvl="4" w:tplc="C9F68C7E">
      <w:numFmt w:val="decimal"/>
      <w:lvlText w:val=""/>
      <w:lvlJc w:val="left"/>
    </w:lvl>
    <w:lvl w:ilvl="5" w:tplc="68CCEE44">
      <w:numFmt w:val="decimal"/>
      <w:lvlText w:val=""/>
      <w:lvlJc w:val="left"/>
    </w:lvl>
    <w:lvl w:ilvl="6" w:tplc="6CBA943A">
      <w:numFmt w:val="decimal"/>
      <w:lvlText w:val=""/>
      <w:lvlJc w:val="left"/>
    </w:lvl>
    <w:lvl w:ilvl="7" w:tplc="079C3734">
      <w:numFmt w:val="decimal"/>
      <w:lvlText w:val=""/>
      <w:lvlJc w:val="left"/>
    </w:lvl>
    <w:lvl w:ilvl="8" w:tplc="116843C0">
      <w:numFmt w:val="decimal"/>
      <w:lvlText w:val=""/>
      <w:lvlJc w:val="left"/>
    </w:lvl>
  </w:abstractNum>
  <w:abstractNum w:abstractNumId="321" w15:restartNumberingAfterBreak="0">
    <w:nsid w:val="22C51DBD"/>
    <w:multiLevelType w:val="hybridMultilevel"/>
    <w:tmpl w:val="474A4196"/>
    <w:lvl w:ilvl="0" w:tplc="9E5CB1EC">
      <w:start w:val="1"/>
      <w:numFmt w:val="bullet"/>
      <w:lvlText w:val=""/>
      <w:lvlJc w:val="left"/>
      <w:pPr>
        <w:ind w:left="720" w:hanging="180"/>
      </w:pPr>
      <w:rPr>
        <w:rFonts w:ascii="Symbol" w:hAnsi="Symbol" w:hint="default"/>
      </w:rPr>
    </w:lvl>
    <w:lvl w:ilvl="1" w:tplc="1E90DDC0">
      <w:numFmt w:val="decimal"/>
      <w:lvlText w:val=""/>
      <w:lvlJc w:val="left"/>
    </w:lvl>
    <w:lvl w:ilvl="2" w:tplc="B838F438">
      <w:numFmt w:val="decimal"/>
      <w:lvlText w:val=""/>
      <w:lvlJc w:val="left"/>
    </w:lvl>
    <w:lvl w:ilvl="3" w:tplc="BEA0A714">
      <w:numFmt w:val="decimal"/>
      <w:lvlText w:val=""/>
      <w:lvlJc w:val="left"/>
    </w:lvl>
    <w:lvl w:ilvl="4" w:tplc="56D0E83A">
      <w:numFmt w:val="decimal"/>
      <w:lvlText w:val=""/>
      <w:lvlJc w:val="left"/>
    </w:lvl>
    <w:lvl w:ilvl="5" w:tplc="B8868106">
      <w:numFmt w:val="decimal"/>
      <w:lvlText w:val=""/>
      <w:lvlJc w:val="left"/>
    </w:lvl>
    <w:lvl w:ilvl="6" w:tplc="510EDF3A">
      <w:numFmt w:val="decimal"/>
      <w:lvlText w:val=""/>
      <w:lvlJc w:val="left"/>
    </w:lvl>
    <w:lvl w:ilvl="7" w:tplc="54FA4D66">
      <w:numFmt w:val="decimal"/>
      <w:lvlText w:val=""/>
      <w:lvlJc w:val="left"/>
    </w:lvl>
    <w:lvl w:ilvl="8" w:tplc="B2DC27C2">
      <w:numFmt w:val="decimal"/>
      <w:lvlText w:val=""/>
      <w:lvlJc w:val="left"/>
    </w:lvl>
  </w:abstractNum>
  <w:abstractNum w:abstractNumId="322" w15:restartNumberingAfterBreak="0">
    <w:nsid w:val="23104F42"/>
    <w:multiLevelType w:val="hybridMultilevel"/>
    <w:tmpl w:val="B9DCABA4"/>
    <w:lvl w:ilvl="0" w:tplc="4866C0B6">
      <w:start w:val="1"/>
      <w:numFmt w:val="bullet"/>
      <w:lvlText w:val=""/>
      <w:lvlJc w:val="left"/>
      <w:pPr>
        <w:ind w:left="720" w:hanging="180"/>
      </w:pPr>
      <w:rPr>
        <w:rFonts w:ascii="Symbol" w:hAnsi="Symbol" w:hint="default"/>
      </w:rPr>
    </w:lvl>
    <w:lvl w:ilvl="1" w:tplc="7728D3D6">
      <w:numFmt w:val="decimal"/>
      <w:lvlText w:val=""/>
      <w:lvlJc w:val="left"/>
    </w:lvl>
    <w:lvl w:ilvl="2" w:tplc="7AD84DF2">
      <w:numFmt w:val="decimal"/>
      <w:lvlText w:val=""/>
      <w:lvlJc w:val="left"/>
    </w:lvl>
    <w:lvl w:ilvl="3" w:tplc="9F38D064">
      <w:numFmt w:val="decimal"/>
      <w:lvlText w:val=""/>
      <w:lvlJc w:val="left"/>
    </w:lvl>
    <w:lvl w:ilvl="4" w:tplc="201083D4">
      <w:numFmt w:val="decimal"/>
      <w:lvlText w:val=""/>
      <w:lvlJc w:val="left"/>
    </w:lvl>
    <w:lvl w:ilvl="5" w:tplc="BD8C54A0">
      <w:numFmt w:val="decimal"/>
      <w:lvlText w:val=""/>
      <w:lvlJc w:val="left"/>
    </w:lvl>
    <w:lvl w:ilvl="6" w:tplc="D47AF82A">
      <w:numFmt w:val="decimal"/>
      <w:lvlText w:val=""/>
      <w:lvlJc w:val="left"/>
    </w:lvl>
    <w:lvl w:ilvl="7" w:tplc="F3EAF5B2">
      <w:numFmt w:val="decimal"/>
      <w:lvlText w:val=""/>
      <w:lvlJc w:val="left"/>
    </w:lvl>
    <w:lvl w:ilvl="8" w:tplc="3BAC9E80">
      <w:numFmt w:val="decimal"/>
      <w:lvlText w:val=""/>
      <w:lvlJc w:val="left"/>
    </w:lvl>
  </w:abstractNum>
  <w:abstractNum w:abstractNumId="323" w15:restartNumberingAfterBreak="0">
    <w:nsid w:val="231A4EBB"/>
    <w:multiLevelType w:val="hybridMultilevel"/>
    <w:tmpl w:val="59022CF6"/>
    <w:lvl w:ilvl="0" w:tplc="62C69E00">
      <w:start w:val="1"/>
      <w:numFmt w:val="bullet"/>
      <w:lvlText w:val=""/>
      <w:lvlJc w:val="left"/>
      <w:pPr>
        <w:ind w:left="720" w:hanging="180"/>
      </w:pPr>
      <w:rPr>
        <w:rFonts w:ascii="Symbol" w:hAnsi="Symbol" w:hint="default"/>
      </w:rPr>
    </w:lvl>
    <w:lvl w:ilvl="1" w:tplc="13D2DBBC">
      <w:numFmt w:val="decimal"/>
      <w:lvlText w:val=""/>
      <w:lvlJc w:val="left"/>
    </w:lvl>
    <w:lvl w:ilvl="2" w:tplc="6E4CF4B0">
      <w:numFmt w:val="decimal"/>
      <w:lvlText w:val=""/>
      <w:lvlJc w:val="left"/>
    </w:lvl>
    <w:lvl w:ilvl="3" w:tplc="A1F2334E">
      <w:numFmt w:val="decimal"/>
      <w:lvlText w:val=""/>
      <w:lvlJc w:val="left"/>
    </w:lvl>
    <w:lvl w:ilvl="4" w:tplc="C53AF55E">
      <w:numFmt w:val="decimal"/>
      <w:lvlText w:val=""/>
      <w:lvlJc w:val="left"/>
    </w:lvl>
    <w:lvl w:ilvl="5" w:tplc="DFEE55BC">
      <w:numFmt w:val="decimal"/>
      <w:lvlText w:val=""/>
      <w:lvlJc w:val="left"/>
    </w:lvl>
    <w:lvl w:ilvl="6" w:tplc="5ED0EB74">
      <w:numFmt w:val="decimal"/>
      <w:lvlText w:val=""/>
      <w:lvlJc w:val="left"/>
    </w:lvl>
    <w:lvl w:ilvl="7" w:tplc="5ED6CF36">
      <w:numFmt w:val="decimal"/>
      <w:lvlText w:val=""/>
      <w:lvlJc w:val="left"/>
    </w:lvl>
    <w:lvl w:ilvl="8" w:tplc="CB809E6A">
      <w:numFmt w:val="decimal"/>
      <w:lvlText w:val=""/>
      <w:lvlJc w:val="left"/>
    </w:lvl>
  </w:abstractNum>
  <w:abstractNum w:abstractNumId="324" w15:restartNumberingAfterBreak="0">
    <w:nsid w:val="231D35EB"/>
    <w:multiLevelType w:val="hybridMultilevel"/>
    <w:tmpl w:val="6AF46CAA"/>
    <w:lvl w:ilvl="0" w:tplc="21C26DC4">
      <w:numFmt w:val="decimal"/>
      <w:lvlText w:val=""/>
      <w:lvlJc w:val="left"/>
    </w:lvl>
    <w:lvl w:ilvl="1" w:tplc="769465B2">
      <w:start w:val="1"/>
      <w:numFmt w:val="bullet"/>
      <w:lvlText w:val=""/>
      <w:lvlJc w:val="left"/>
      <w:pPr>
        <w:ind w:left="1440" w:hanging="180"/>
      </w:pPr>
      <w:rPr>
        <w:rFonts w:ascii="Symbol" w:hAnsi="Symbol" w:hint="default"/>
      </w:rPr>
    </w:lvl>
    <w:lvl w:ilvl="2" w:tplc="F3968120">
      <w:numFmt w:val="decimal"/>
      <w:lvlText w:val=""/>
      <w:lvlJc w:val="left"/>
    </w:lvl>
    <w:lvl w:ilvl="3" w:tplc="09CC44A6">
      <w:numFmt w:val="decimal"/>
      <w:lvlText w:val=""/>
      <w:lvlJc w:val="left"/>
    </w:lvl>
    <w:lvl w:ilvl="4" w:tplc="138EABFE">
      <w:numFmt w:val="decimal"/>
      <w:lvlText w:val=""/>
      <w:lvlJc w:val="left"/>
    </w:lvl>
    <w:lvl w:ilvl="5" w:tplc="C6625200">
      <w:numFmt w:val="decimal"/>
      <w:lvlText w:val=""/>
      <w:lvlJc w:val="left"/>
    </w:lvl>
    <w:lvl w:ilvl="6" w:tplc="2D346FB2">
      <w:numFmt w:val="decimal"/>
      <w:lvlText w:val=""/>
      <w:lvlJc w:val="left"/>
    </w:lvl>
    <w:lvl w:ilvl="7" w:tplc="921A533E">
      <w:numFmt w:val="decimal"/>
      <w:lvlText w:val=""/>
      <w:lvlJc w:val="left"/>
    </w:lvl>
    <w:lvl w:ilvl="8" w:tplc="F7E22280">
      <w:numFmt w:val="decimal"/>
      <w:lvlText w:val=""/>
      <w:lvlJc w:val="left"/>
    </w:lvl>
  </w:abstractNum>
  <w:abstractNum w:abstractNumId="325" w15:restartNumberingAfterBreak="0">
    <w:nsid w:val="232D3DC5"/>
    <w:multiLevelType w:val="hybridMultilevel"/>
    <w:tmpl w:val="D646CB38"/>
    <w:lvl w:ilvl="0" w:tplc="A2AAC672">
      <w:start w:val="1"/>
      <w:numFmt w:val="bullet"/>
      <w:lvlText w:val=""/>
      <w:lvlJc w:val="left"/>
      <w:pPr>
        <w:ind w:left="720" w:hanging="180"/>
      </w:pPr>
      <w:rPr>
        <w:rFonts w:ascii="Symbol" w:hAnsi="Symbol" w:hint="default"/>
      </w:rPr>
    </w:lvl>
    <w:lvl w:ilvl="1" w:tplc="8410ED48">
      <w:numFmt w:val="decimal"/>
      <w:lvlText w:val=""/>
      <w:lvlJc w:val="left"/>
    </w:lvl>
    <w:lvl w:ilvl="2" w:tplc="9154ACC4">
      <w:numFmt w:val="decimal"/>
      <w:lvlText w:val=""/>
      <w:lvlJc w:val="left"/>
    </w:lvl>
    <w:lvl w:ilvl="3" w:tplc="559EFCDC">
      <w:numFmt w:val="decimal"/>
      <w:lvlText w:val=""/>
      <w:lvlJc w:val="left"/>
    </w:lvl>
    <w:lvl w:ilvl="4" w:tplc="36108608">
      <w:numFmt w:val="decimal"/>
      <w:lvlText w:val=""/>
      <w:lvlJc w:val="left"/>
    </w:lvl>
    <w:lvl w:ilvl="5" w:tplc="824AC66E">
      <w:numFmt w:val="decimal"/>
      <w:lvlText w:val=""/>
      <w:lvlJc w:val="left"/>
    </w:lvl>
    <w:lvl w:ilvl="6" w:tplc="0EC2638A">
      <w:numFmt w:val="decimal"/>
      <w:lvlText w:val=""/>
      <w:lvlJc w:val="left"/>
    </w:lvl>
    <w:lvl w:ilvl="7" w:tplc="3B048784">
      <w:numFmt w:val="decimal"/>
      <w:lvlText w:val=""/>
      <w:lvlJc w:val="left"/>
    </w:lvl>
    <w:lvl w:ilvl="8" w:tplc="73FC2B10">
      <w:numFmt w:val="decimal"/>
      <w:lvlText w:val=""/>
      <w:lvlJc w:val="left"/>
    </w:lvl>
  </w:abstractNum>
  <w:abstractNum w:abstractNumId="326" w15:restartNumberingAfterBreak="0">
    <w:nsid w:val="235C3540"/>
    <w:multiLevelType w:val="hybridMultilevel"/>
    <w:tmpl w:val="1E90BAD6"/>
    <w:lvl w:ilvl="0" w:tplc="190C6AF2">
      <w:start w:val="1"/>
      <w:numFmt w:val="bullet"/>
      <w:lvlText w:val=""/>
      <w:lvlJc w:val="left"/>
      <w:pPr>
        <w:ind w:left="720" w:hanging="180"/>
      </w:pPr>
      <w:rPr>
        <w:rFonts w:ascii="Symbol" w:hAnsi="Symbol" w:hint="default"/>
      </w:rPr>
    </w:lvl>
    <w:lvl w:ilvl="1" w:tplc="4390790C">
      <w:numFmt w:val="decimal"/>
      <w:lvlText w:val=""/>
      <w:lvlJc w:val="left"/>
    </w:lvl>
    <w:lvl w:ilvl="2" w:tplc="558A08E6">
      <w:numFmt w:val="decimal"/>
      <w:lvlText w:val=""/>
      <w:lvlJc w:val="left"/>
    </w:lvl>
    <w:lvl w:ilvl="3" w:tplc="C7E8A630">
      <w:numFmt w:val="decimal"/>
      <w:lvlText w:val=""/>
      <w:lvlJc w:val="left"/>
    </w:lvl>
    <w:lvl w:ilvl="4" w:tplc="2F006B6E">
      <w:numFmt w:val="decimal"/>
      <w:lvlText w:val=""/>
      <w:lvlJc w:val="left"/>
    </w:lvl>
    <w:lvl w:ilvl="5" w:tplc="F42017B8">
      <w:numFmt w:val="decimal"/>
      <w:lvlText w:val=""/>
      <w:lvlJc w:val="left"/>
    </w:lvl>
    <w:lvl w:ilvl="6" w:tplc="57F27A4E">
      <w:numFmt w:val="decimal"/>
      <w:lvlText w:val=""/>
      <w:lvlJc w:val="left"/>
    </w:lvl>
    <w:lvl w:ilvl="7" w:tplc="8D8CA6DE">
      <w:numFmt w:val="decimal"/>
      <w:lvlText w:val=""/>
      <w:lvlJc w:val="left"/>
    </w:lvl>
    <w:lvl w:ilvl="8" w:tplc="15720B70">
      <w:numFmt w:val="decimal"/>
      <w:lvlText w:val=""/>
      <w:lvlJc w:val="left"/>
    </w:lvl>
  </w:abstractNum>
  <w:abstractNum w:abstractNumId="327" w15:restartNumberingAfterBreak="0">
    <w:nsid w:val="237156DB"/>
    <w:multiLevelType w:val="hybridMultilevel"/>
    <w:tmpl w:val="D458D82A"/>
    <w:lvl w:ilvl="0" w:tplc="4EEE59FE">
      <w:start w:val="1"/>
      <w:numFmt w:val="bullet"/>
      <w:lvlText w:val=""/>
      <w:lvlJc w:val="left"/>
      <w:pPr>
        <w:ind w:left="720" w:hanging="180"/>
      </w:pPr>
      <w:rPr>
        <w:rFonts w:ascii="Symbol" w:hAnsi="Symbol" w:hint="default"/>
      </w:rPr>
    </w:lvl>
    <w:lvl w:ilvl="1" w:tplc="F0E2A7F8">
      <w:numFmt w:val="decimal"/>
      <w:lvlText w:val=""/>
      <w:lvlJc w:val="left"/>
    </w:lvl>
    <w:lvl w:ilvl="2" w:tplc="55FAC534">
      <w:numFmt w:val="decimal"/>
      <w:lvlText w:val=""/>
      <w:lvlJc w:val="left"/>
    </w:lvl>
    <w:lvl w:ilvl="3" w:tplc="FCC60314">
      <w:numFmt w:val="decimal"/>
      <w:lvlText w:val=""/>
      <w:lvlJc w:val="left"/>
    </w:lvl>
    <w:lvl w:ilvl="4" w:tplc="67ACBADC">
      <w:numFmt w:val="decimal"/>
      <w:lvlText w:val=""/>
      <w:lvlJc w:val="left"/>
    </w:lvl>
    <w:lvl w:ilvl="5" w:tplc="03FC5360">
      <w:numFmt w:val="decimal"/>
      <w:lvlText w:val=""/>
      <w:lvlJc w:val="left"/>
    </w:lvl>
    <w:lvl w:ilvl="6" w:tplc="1F300076">
      <w:numFmt w:val="decimal"/>
      <w:lvlText w:val=""/>
      <w:lvlJc w:val="left"/>
    </w:lvl>
    <w:lvl w:ilvl="7" w:tplc="104EFAD2">
      <w:numFmt w:val="decimal"/>
      <w:lvlText w:val=""/>
      <w:lvlJc w:val="left"/>
    </w:lvl>
    <w:lvl w:ilvl="8" w:tplc="E8383E38">
      <w:numFmt w:val="decimal"/>
      <w:lvlText w:val=""/>
      <w:lvlJc w:val="left"/>
    </w:lvl>
  </w:abstractNum>
  <w:abstractNum w:abstractNumId="328" w15:restartNumberingAfterBreak="0">
    <w:nsid w:val="23791191"/>
    <w:multiLevelType w:val="hybridMultilevel"/>
    <w:tmpl w:val="2A2ADACA"/>
    <w:lvl w:ilvl="0" w:tplc="F146C32A">
      <w:start w:val="1"/>
      <w:numFmt w:val="bullet"/>
      <w:lvlText w:val=""/>
      <w:lvlJc w:val="left"/>
      <w:pPr>
        <w:ind w:left="720" w:hanging="180"/>
      </w:pPr>
      <w:rPr>
        <w:rFonts w:ascii="Symbol" w:hAnsi="Symbol" w:hint="default"/>
      </w:rPr>
    </w:lvl>
    <w:lvl w:ilvl="1" w:tplc="B56A585A">
      <w:numFmt w:val="decimal"/>
      <w:lvlText w:val=""/>
      <w:lvlJc w:val="left"/>
    </w:lvl>
    <w:lvl w:ilvl="2" w:tplc="CBE4A024">
      <w:numFmt w:val="decimal"/>
      <w:lvlText w:val=""/>
      <w:lvlJc w:val="left"/>
    </w:lvl>
    <w:lvl w:ilvl="3" w:tplc="145C771E">
      <w:numFmt w:val="decimal"/>
      <w:lvlText w:val=""/>
      <w:lvlJc w:val="left"/>
    </w:lvl>
    <w:lvl w:ilvl="4" w:tplc="26E6CAA6">
      <w:numFmt w:val="decimal"/>
      <w:lvlText w:val=""/>
      <w:lvlJc w:val="left"/>
    </w:lvl>
    <w:lvl w:ilvl="5" w:tplc="ECC26ABE">
      <w:numFmt w:val="decimal"/>
      <w:lvlText w:val=""/>
      <w:lvlJc w:val="left"/>
    </w:lvl>
    <w:lvl w:ilvl="6" w:tplc="82EE4552">
      <w:numFmt w:val="decimal"/>
      <w:lvlText w:val=""/>
      <w:lvlJc w:val="left"/>
    </w:lvl>
    <w:lvl w:ilvl="7" w:tplc="F1166B44">
      <w:numFmt w:val="decimal"/>
      <w:lvlText w:val=""/>
      <w:lvlJc w:val="left"/>
    </w:lvl>
    <w:lvl w:ilvl="8" w:tplc="7486C68C">
      <w:numFmt w:val="decimal"/>
      <w:lvlText w:val=""/>
      <w:lvlJc w:val="left"/>
    </w:lvl>
  </w:abstractNum>
  <w:abstractNum w:abstractNumId="329" w15:restartNumberingAfterBreak="0">
    <w:nsid w:val="238D0ACA"/>
    <w:multiLevelType w:val="hybridMultilevel"/>
    <w:tmpl w:val="32F443EC"/>
    <w:lvl w:ilvl="0" w:tplc="22184B28">
      <w:start w:val="1"/>
      <w:numFmt w:val="bullet"/>
      <w:lvlText w:val=""/>
      <w:lvlJc w:val="left"/>
      <w:pPr>
        <w:ind w:left="720" w:hanging="180"/>
      </w:pPr>
      <w:rPr>
        <w:rFonts w:ascii="Symbol" w:hAnsi="Symbol" w:hint="default"/>
      </w:rPr>
    </w:lvl>
    <w:lvl w:ilvl="1" w:tplc="D390CDE2">
      <w:numFmt w:val="decimal"/>
      <w:lvlText w:val=""/>
      <w:lvlJc w:val="left"/>
    </w:lvl>
    <w:lvl w:ilvl="2" w:tplc="E648D950">
      <w:numFmt w:val="decimal"/>
      <w:lvlText w:val=""/>
      <w:lvlJc w:val="left"/>
    </w:lvl>
    <w:lvl w:ilvl="3" w:tplc="54F0111C">
      <w:numFmt w:val="decimal"/>
      <w:lvlText w:val=""/>
      <w:lvlJc w:val="left"/>
    </w:lvl>
    <w:lvl w:ilvl="4" w:tplc="C36C9BA0">
      <w:numFmt w:val="decimal"/>
      <w:lvlText w:val=""/>
      <w:lvlJc w:val="left"/>
    </w:lvl>
    <w:lvl w:ilvl="5" w:tplc="B0508668">
      <w:numFmt w:val="decimal"/>
      <w:lvlText w:val=""/>
      <w:lvlJc w:val="left"/>
    </w:lvl>
    <w:lvl w:ilvl="6" w:tplc="DFA8D992">
      <w:numFmt w:val="decimal"/>
      <w:lvlText w:val=""/>
      <w:lvlJc w:val="left"/>
    </w:lvl>
    <w:lvl w:ilvl="7" w:tplc="66E25F34">
      <w:numFmt w:val="decimal"/>
      <w:lvlText w:val=""/>
      <w:lvlJc w:val="left"/>
    </w:lvl>
    <w:lvl w:ilvl="8" w:tplc="C7606C30">
      <w:numFmt w:val="decimal"/>
      <w:lvlText w:val=""/>
      <w:lvlJc w:val="left"/>
    </w:lvl>
  </w:abstractNum>
  <w:abstractNum w:abstractNumId="330" w15:restartNumberingAfterBreak="0">
    <w:nsid w:val="23A359D7"/>
    <w:multiLevelType w:val="hybridMultilevel"/>
    <w:tmpl w:val="8ADCADF8"/>
    <w:lvl w:ilvl="0" w:tplc="7D8495A2">
      <w:start w:val="1"/>
      <w:numFmt w:val="bullet"/>
      <w:lvlText w:val=""/>
      <w:lvlJc w:val="left"/>
      <w:pPr>
        <w:ind w:left="720" w:hanging="180"/>
      </w:pPr>
      <w:rPr>
        <w:rFonts w:ascii="Symbol" w:hAnsi="Symbol" w:hint="default"/>
      </w:rPr>
    </w:lvl>
    <w:lvl w:ilvl="1" w:tplc="0FF23CC2">
      <w:numFmt w:val="decimal"/>
      <w:lvlText w:val=""/>
      <w:lvlJc w:val="left"/>
    </w:lvl>
    <w:lvl w:ilvl="2" w:tplc="2D3A88FC">
      <w:numFmt w:val="decimal"/>
      <w:lvlText w:val=""/>
      <w:lvlJc w:val="left"/>
    </w:lvl>
    <w:lvl w:ilvl="3" w:tplc="981605CE">
      <w:numFmt w:val="decimal"/>
      <w:lvlText w:val=""/>
      <w:lvlJc w:val="left"/>
    </w:lvl>
    <w:lvl w:ilvl="4" w:tplc="F34E926E">
      <w:numFmt w:val="decimal"/>
      <w:lvlText w:val=""/>
      <w:lvlJc w:val="left"/>
    </w:lvl>
    <w:lvl w:ilvl="5" w:tplc="021A0096">
      <w:numFmt w:val="decimal"/>
      <w:lvlText w:val=""/>
      <w:lvlJc w:val="left"/>
    </w:lvl>
    <w:lvl w:ilvl="6" w:tplc="B8008600">
      <w:numFmt w:val="decimal"/>
      <w:lvlText w:val=""/>
      <w:lvlJc w:val="left"/>
    </w:lvl>
    <w:lvl w:ilvl="7" w:tplc="54A48E1E">
      <w:numFmt w:val="decimal"/>
      <w:lvlText w:val=""/>
      <w:lvlJc w:val="left"/>
    </w:lvl>
    <w:lvl w:ilvl="8" w:tplc="8A58CF4C">
      <w:numFmt w:val="decimal"/>
      <w:lvlText w:val=""/>
      <w:lvlJc w:val="left"/>
    </w:lvl>
  </w:abstractNum>
  <w:abstractNum w:abstractNumId="331" w15:restartNumberingAfterBreak="0">
    <w:nsid w:val="23B75734"/>
    <w:multiLevelType w:val="hybridMultilevel"/>
    <w:tmpl w:val="74102BEA"/>
    <w:lvl w:ilvl="0" w:tplc="3D50A840">
      <w:start w:val="1"/>
      <w:numFmt w:val="bullet"/>
      <w:lvlText w:val=""/>
      <w:lvlJc w:val="left"/>
      <w:pPr>
        <w:ind w:left="720" w:hanging="180"/>
      </w:pPr>
      <w:rPr>
        <w:rFonts w:ascii="Symbol" w:hAnsi="Symbol" w:hint="default"/>
      </w:rPr>
    </w:lvl>
    <w:lvl w:ilvl="1" w:tplc="45DA348E">
      <w:numFmt w:val="decimal"/>
      <w:lvlText w:val=""/>
      <w:lvlJc w:val="left"/>
    </w:lvl>
    <w:lvl w:ilvl="2" w:tplc="94AE70FE">
      <w:numFmt w:val="decimal"/>
      <w:lvlText w:val=""/>
      <w:lvlJc w:val="left"/>
    </w:lvl>
    <w:lvl w:ilvl="3" w:tplc="639E21EE">
      <w:numFmt w:val="decimal"/>
      <w:lvlText w:val=""/>
      <w:lvlJc w:val="left"/>
    </w:lvl>
    <w:lvl w:ilvl="4" w:tplc="1A0CBF68">
      <w:numFmt w:val="decimal"/>
      <w:lvlText w:val=""/>
      <w:lvlJc w:val="left"/>
    </w:lvl>
    <w:lvl w:ilvl="5" w:tplc="99FCD9DC">
      <w:numFmt w:val="decimal"/>
      <w:lvlText w:val=""/>
      <w:lvlJc w:val="left"/>
    </w:lvl>
    <w:lvl w:ilvl="6" w:tplc="596A94EC">
      <w:numFmt w:val="decimal"/>
      <w:lvlText w:val=""/>
      <w:lvlJc w:val="left"/>
    </w:lvl>
    <w:lvl w:ilvl="7" w:tplc="BB64A124">
      <w:numFmt w:val="decimal"/>
      <w:lvlText w:val=""/>
      <w:lvlJc w:val="left"/>
    </w:lvl>
    <w:lvl w:ilvl="8" w:tplc="8BC0E798">
      <w:numFmt w:val="decimal"/>
      <w:lvlText w:val=""/>
      <w:lvlJc w:val="left"/>
    </w:lvl>
  </w:abstractNum>
  <w:abstractNum w:abstractNumId="332" w15:restartNumberingAfterBreak="0">
    <w:nsid w:val="23C044B1"/>
    <w:multiLevelType w:val="hybridMultilevel"/>
    <w:tmpl w:val="F6688B70"/>
    <w:lvl w:ilvl="0" w:tplc="AF8C231C">
      <w:start w:val="1"/>
      <w:numFmt w:val="bullet"/>
      <w:lvlText w:val=""/>
      <w:lvlJc w:val="left"/>
      <w:pPr>
        <w:ind w:left="720" w:hanging="180"/>
      </w:pPr>
      <w:rPr>
        <w:rFonts w:ascii="Symbol" w:hAnsi="Symbol" w:hint="default"/>
      </w:rPr>
    </w:lvl>
    <w:lvl w:ilvl="1" w:tplc="3AC27ED4">
      <w:numFmt w:val="decimal"/>
      <w:lvlText w:val=""/>
      <w:lvlJc w:val="left"/>
    </w:lvl>
    <w:lvl w:ilvl="2" w:tplc="20B0806C">
      <w:numFmt w:val="decimal"/>
      <w:lvlText w:val=""/>
      <w:lvlJc w:val="left"/>
    </w:lvl>
    <w:lvl w:ilvl="3" w:tplc="38DEF1FE">
      <w:numFmt w:val="decimal"/>
      <w:lvlText w:val=""/>
      <w:lvlJc w:val="left"/>
    </w:lvl>
    <w:lvl w:ilvl="4" w:tplc="4BAA50CA">
      <w:numFmt w:val="decimal"/>
      <w:lvlText w:val=""/>
      <w:lvlJc w:val="left"/>
    </w:lvl>
    <w:lvl w:ilvl="5" w:tplc="D8FAAC92">
      <w:numFmt w:val="decimal"/>
      <w:lvlText w:val=""/>
      <w:lvlJc w:val="left"/>
    </w:lvl>
    <w:lvl w:ilvl="6" w:tplc="F600285A">
      <w:numFmt w:val="decimal"/>
      <w:lvlText w:val=""/>
      <w:lvlJc w:val="left"/>
    </w:lvl>
    <w:lvl w:ilvl="7" w:tplc="8A0C951C">
      <w:numFmt w:val="decimal"/>
      <w:lvlText w:val=""/>
      <w:lvlJc w:val="left"/>
    </w:lvl>
    <w:lvl w:ilvl="8" w:tplc="02A83A58">
      <w:numFmt w:val="decimal"/>
      <w:lvlText w:val=""/>
      <w:lvlJc w:val="left"/>
    </w:lvl>
  </w:abstractNum>
  <w:abstractNum w:abstractNumId="333" w15:restartNumberingAfterBreak="0">
    <w:nsid w:val="23E25773"/>
    <w:multiLevelType w:val="hybridMultilevel"/>
    <w:tmpl w:val="1E449258"/>
    <w:lvl w:ilvl="0" w:tplc="B3B47A28">
      <w:start w:val="1"/>
      <w:numFmt w:val="bullet"/>
      <w:lvlText w:val=""/>
      <w:lvlJc w:val="left"/>
      <w:pPr>
        <w:ind w:left="720" w:hanging="180"/>
      </w:pPr>
      <w:rPr>
        <w:rFonts w:ascii="Symbol" w:hAnsi="Symbol" w:hint="default"/>
      </w:rPr>
    </w:lvl>
    <w:lvl w:ilvl="1" w:tplc="DECA8D98">
      <w:numFmt w:val="decimal"/>
      <w:lvlText w:val=""/>
      <w:lvlJc w:val="left"/>
    </w:lvl>
    <w:lvl w:ilvl="2" w:tplc="73AAD968">
      <w:numFmt w:val="decimal"/>
      <w:lvlText w:val=""/>
      <w:lvlJc w:val="left"/>
    </w:lvl>
    <w:lvl w:ilvl="3" w:tplc="0ACEE8CE">
      <w:numFmt w:val="decimal"/>
      <w:lvlText w:val=""/>
      <w:lvlJc w:val="left"/>
    </w:lvl>
    <w:lvl w:ilvl="4" w:tplc="DF1A8A74">
      <w:numFmt w:val="decimal"/>
      <w:lvlText w:val=""/>
      <w:lvlJc w:val="left"/>
    </w:lvl>
    <w:lvl w:ilvl="5" w:tplc="F3F6C35C">
      <w:numFmt w:val="decimal"/>
      <w:lvlText w:val=""/>
      <w:lvlJc w:val="left"/>
    </w:lvl>
    <w:lvl w:ilvl="6" w:tplc="51409B5A">
      <w:numFmt w:val="decimal"/>
      <w:lvlText w:val=""/>
      <w:lvlJc w:val="left"/>
    </w:lvl>
    <w:lvl w:ilvl="7" w:tplc="6340F16E">
      <w:numFmt w:val="decimal"/>
      <w:lvlText w:val=""/>
      <w:lvlJc w:val="left"/>
    </w:lvl>
    <w:lvl w:ilvl="8" w:tplc="C7DA990E">
      <w:numFmt w:val="decimal"/>
      <w:lvlText w:val=""/>
      <w:lvlJc w:val="left"/>
    </w:lvl>
  </w:abstractNum>
  <w:abstractNum w:abstractNumId="334" w15:restartNumberingAfterBreak="0">
    <w:nsid w:val="240331F9"/>
    <w:multiLevelType w:val="hybridMultilevel"/>
    <w:tmpl w:val="B5F042EE"/>
    <w:lvl w:ilvl="0" w:tplc="2F30A2E0">
      <w:start w:val="1"/>
      <w:numFmt w:val="bullet"/>
      <w:lvlText w:val=""/>
      <w:lvlJc w:val="left"/>
      <w:pPr>
        <w:ind w:left="720" w:hanging="180"/>
      </w:pPr>
      <w:rPr>
        <w:rFonts w:ascii="Symbol" w:hAnsi="Symbol" w:hint="default"/>
      </w:rPr>
    </w:lvl>
    <w:lvl w:ilvl="1" w:tplc="1C288A00">
      <w:numFmt w:val="decimal"/>
      <w:lvlText w:val=""/>
      <w:lvlJc w:val="left"/>
    </w:lvl>
    <w:lvl w:ilvl="2" w:tplc="A5067F5E">
      <w:numFmt w:val="decimal"/>
      <w:lvlText w:val=""/>
      <w:lvlJc w:val="left"/>
    </w:lvl>
    <w:lvl w:ilvl="3" w:tplc="D0CA683C">
      <w:numFmt w:val="decimal"/>
      <w:lvlText w:val=""/>
      <w:lvlJc w:val="left"/>
    </w:lvl>
    <w:lvl w:ilvl="4" w:tplc="29EA6A58">
      <w:numFmt w:val="decimal"/>
      <w:lvlText w:val=""/>
      <w:lvlJc w:val="left"/>
    </w:lvl>
    <w:lvl w:ilvl="5" w:tplc="32E60996">
      <w:numFmt w:val="decimal"/>
      <w:lvlText w:val=""/>
      <w:lvlJc w:val="left"/>
    </w:lvl>
    <w:lvl w:ilvl="6" w:tplc="1E5E6102">
      <w:numFmt w:val="decimal"/>
      <w:lvlText w:val=""/>
      <w:lvlJc w:val="left"/>
    </w:lvl>
    <w:lvl w:ilvl="7" w:tplc="09F8C10A">
      <w:numFmt w:val="decimal"/>
      <w:lvlText w:val=""/>
      <w:lvlJc w:val="left"/>
    </w:lvl>
    <w:lvl w:ilvl="8" w:tplc="3F5AE05E">
      <w:numFmt w:val="decimal"/>
      <w:lvlText w:val=""/>
      <w:lvlJc w:val="left"/>
    </w:lvl>
  </w:abstractNum>
  <w:abstractNum w:abstractNumId="335" w15:restartNumberingAfterBreak="0">
    <w:nsid w:val="24051983"/>
    <w:multiLevelType w:val="hybridMultilevel"/>
    <w:tmpl w:val="C634761C"/>
    <w:lvl w:ilvl="0" w:tplc="9C84F39A">
      <w:start w:val="1"/>
      <w:numFmt w:val="bullet"/>
      <w:lvlText w:val=""/>
      <w:lvlJc w:val="left"/>
      <w:pPr>
        <w:ind w:left="720" w:hanging="180"/>
      </w:pPr>
      <w:rPr>
        <w:rFonts w:ascii="Symbol" w:hAnsi="Symbol" w:hint="default"/>
      </w:rPr>
    </w:lvl>
    <w:lvl w:ilvl="1" w:tplc="ECCCDCBA">
      <w:numFmt w:val="decimal"/>
      <w:lvlText w:val=""/>
      <w:lvlJc w:val="left"/>
    </w:lvl>
    <w:lvl w:ilvl="2" w:tplc="8A72A7C4">
      <w:numFmt w:val="decimal"/>
      <w:lvlText w:val=""/>
      <w:lvlJc w:val="left"/>
    </w:lvl>
    <w:lvl w:ilvl="3" w:tplc="B76A1322">
      <w:numFmt w:val="decimal"/>
      <w:lvlText w:val=""/>
      <w:lvlJc w:val="left"/>
    </w:lvl>
    <w:lvl w:ilvl="4" w:tplc="6310C5F2">
      <w:numFmt w:val="decimal"/>
      <w:lvlText w:val=""/>
      <w:lvlJc w:val="left"/>
    </w:lvl>
    <w:lvl w:ilvl="5" w:tplc="6950819A">
      <w:numFmt w:val="decimal"/>
      <w:lvlText w:val=""/>
      <w:lvlJc w:val="left"/>
    </w:lvl>
    <w:lvl w:ilvl="6" w:tplc="63D2D0D8">
      <w:numFmt w:val="decimal"/>
      <w:lvlText w:val=""/>
      <w:lvlJc w:val="left"/>
    </w:lvl>
    <w:lvl w:ilvl="7" w:tplc="AA424524">
      <w:numFmt w:val="decimal"/>
      <w:lvlText w:val=""/>
      <w:lvlJc w:val="left"/>
    </w:lvl>
    <w:lvl w:ilvl="8" w:tplc="CA4A0EEA">
      <w:numFmt w:val="decimal"/>
      <w:lvlText w:val=""/>
      <w:lvlJc w:val="left"/>
    </w:lvl>
  </w:abstractNum>
  <w:abstractNum w:abstractNumId="336" w15:restartNumberingAfterBreak="0">
    <w:nsid w:val="240E6969"/>
    <w:multiLevelType w:val="hybridMultilevel"/>
    <w:tmpl w:val="70028A94"/>
    <w:lvl w:ilvl="0" w:tplc="C334197A">
      <w:start w:val="1"/>
      <w:numFmt w:val="bullet"/>
      <w:lvlText w:val=""/>
      <w:lvlJc w:val="left"/>
      <w:pPr>
        <w:ind w:left="720" w:hanging="180"/>
      </w:pPr>
      <w:rPr>
        <w:rFonts w:ascii="Symbol" w:hAnsi="Symbol" w:hint="default"/>
      </w:rPr>
    </w:lvl>
    <w:lvl w:ilvl="1" w:tplc="DE40DDBC">
      <w:numFmt w:val="decimal"/>
      <w:lvlText w:val=""/>
      <w:lvlJc w:val="left"/>
    </w:lvl>
    <w:lvl w:ilvl="2" w:tplc="F8FED0A0">
      <w:numFmt w:val="decimal"/>
      <w:lvlText w:val=""/>
      <w:lvlJc w:val="left"/>
    </w:lvl>
    <w:lvl w:ilvl="3" w:tplc="300A5702">
      <w:numFmt w:val="decimal"/>
      <w:lvlText w:val=""/>
      <w:lvlJc w:val="left"/>
    </w:lvl>
    <w:lvl w:ilvl="4" w:tplc="6F1A9948">
      <w:numFmt w:val="decimal"/>
      <w:lvlText w:val=""/>
      <w:lvlJc w:val="left"/>
    </w:lvl>
    <w:lvl w:ilvl="5" w:tplc="D82A5C32">
      <w:numFmt w:val="decimal"/>
      <w:lvlText w:val=""/>
      <w:lvlJc w:val="left"/>
    </w:lvl>
    <w:lvl w:ilvl="6" w:tplc="43FC6CE4">
      <w:numFmt w:val="decimal"/>
      <w:lvlText w:val=""/>
      <w:lvlJc w:val="left"/>
    </w:lvl>
    <w:lvl w:ilvl="7" w:tplc="D4B00DEA">
      <w:numFmt w:val="decimal"/>
      <w:lvlText w:val=""/>
      <w:lvlJc w:val="left"/>
    </w:lvl>
    <w:lvl w:ilvl="8" w:tplc="193EB8E8">
      <w:numFmt w:val="decimal"/>
      <w:lvlText w:val=""/>
      <w:lvlJc w:val="left"/>
    </w:lvl>
  </w:abstractNum>
  <w:abstractNum w:abstractNumId="337" w15:restartNumberingAfterBreak="0">
    <w:nsid w:val="24353C02"/>
    <w:multiLevelType w:val="hybridMultilevel"/>
    <w:tmpl w:val="C8948C16"/>
    <w:lvl w:ilvl="0" w:tplc="BB80B1B0">
      <w:start w:val="1"/>
      <w:numFmt w:val="bullet"/>
      <w:lvlText w:val=""/>
      <w:lvlJc w:val="left"/>
      <w:pPr>
        <w:ind w:left="720" w:hanging="180"/>
      </w:pPr>
      <w:rPr>
        <w:rFonts w:ascii="Symbol" w:hAnsi="Symbol" w:hint="default"/>
      </w:rPr>
    </w:lvl>
    <w:lvl w:ilvl="1" w:tplc="25E2A788">
      <w:numFmt w:val="decimal"/>
      <w:lvlText w:val=""/>
      <w:lvlJc w:val="left"/>
    </w:lvl>
    <w:lvl w:ilvl="2" w:tplc="AA0AEB9A">
      <w:numFmt w:val="decimal"/>
      <w:lvlText w:val=""/>
      <w:lvlJc w:val="left"/>
    </w:lvl>
    <w:lvl w:ilvl="3" w:tplc="F5184F98">
      <w:numFmt w:val="decimal"/>
      <w:lvlText w:val=""/>
      <w:lvlJc w:val="left"/>
    </w:lvl>
    <w:lvl w:ilvl="4" w:tplc="D8A4B8CA">
      <w:numFmt w:val="decimal"/>
      <w:lvlText w:val=""/>
      <w:lvlJc w:val="left"/>
    </w:lvl>
    <w:lvl w:ilvl="5" w:tplc="A5B0C95C">
      <w:numFmt w:val="decimal"/>
      <w:lvlText w:val=""/>
      <w:lvlJc w:val="left"/>
    </w:lvl>
    <w:lvl w:ilvl="6" w:tplc="86CCB61C">
      <w:numFmt w:val="decimal"/>
      <w:lvlText w:val=""/>
      <w:lvlJc w:val="left"/>
    </w:lvl>
    <w:lvl w:ilvl="7" w:tplc="F5C634A6">
      <w:numFmt w:val="decimal"/>
      <w:lvlText w:val=""/>
      <w:lvlJc w:val="left"/>
    </w:lvl>
    <w:lvl w:ilvl="8" w:tplc="16EC9B56">
      <w:numFmt w:val="decimal"/>
      <w:lvlText w:val=""/>
      <w:lvlJc w:val="left"/>
    </w:lvl>
  </w:abstractNum>
  <w:abstractNum w:abstractNumId="338" w15:restartNumberingAfterBreak="0">
    <w:nsid w:val="24516BE8"/>
    <w:multiLevelType w:val="hybridMultilevel"/>
    <w:tmpl w:val="EC065EC6"/>
    <w:lvl w:ilvl="0" w:tplc="67F47A4E">
      <w:start w:val="1"/>
      <w:numFmt w:val="bullet"/>
      <w:lvlText w:val=""/>
      <w:lvlJc w:val="left"/>
      <w:pPr>
        <w:ind w:left="720" w:hanging="180"/>
      </w:pPr>
      <w:rPr>
        <w:rFonts w:ascii="Symbol" w:hAnsi="Symbol" w:hint="default"/>
      </w:rPr>
    </w:lvl>
    <w:lvl w:ilvl="1" w:tplc="95428FDE">
      <w:numFmt w:val="decimal"/>
      <w:lvlText w:val=""/>
      <w:lvlJc w:val="left"/>
    </w:lvl>
    <w:lvl w:ilvl="2" w:tplc="B32E7DC6">
      <w:numFmt w:val="decimal"/>
      <w:lvlText w:val=""/>
      <w:lvlJc w:val="left"/>
    </w:lvl>
    <w:lvl w:ilvl="3" w:tplc="A13C05E2">
      <w:numFmt w:val="decimal"/>
      <w:lvlText w:val=""/>
      <w:lvlJc w:val="left"/>
    </w:lvl>
    <w:lvl w:ilvl="4" w:tplc="FDA67724">
      <w:numFmt w:val="decimal"/>
      <w:lvlText w:val=""/>
      <w:lvlJc w:val="left"/>
    </w:lvl>
    <w:lvl w:ilvl="5" w:tplc="38601878">
      <w:numFmt w:val="decimal"/>
      <w:lvlText w:val=""/>
      <w:lvlJc w:val="left"/>
    </w:lvl>
    <w:lvl w:ilvl="6" w:tplc="31C0128C">
      <w:numFmt w:val="decimal"/>
      <w:lvlText w:val=""/>
      <w:lvlJc w:val="left"/>
    </w:lvl>
    <w:lvl w:ilvl="7" w:tplc="C2A4CA04">
      <w:numFmt w:val="decimal"/>
      <w:lvlText w:val=""/>
      <w:lvlJc w:val="left"/>
    </w:lvl>
    <w:lvl w:ilvl="8" w:tplc="B300B6CC">
      <w:numFmt w:val="decimal"/>
      <w:lvlText w:val=""/>
      <w:lvlJc w:val="left"/>
    </w:lvl>
  </w:abstractNum>
  <w:abstractNum w:abstractNumId="339" w15:restartNumberingAfterBreak="0">
    <w:nsid w:val="245C11FD"/>
    <w:multiLevelType w:val="hybridMultilevel"/>
    <w:tmpl w:val="786C463C"/>
    <w:lvl w:ilvl="0" w:tplc="CEDEA448">
      <w:start w:val="1"/>
      <w:numFmt w:val="bullet"/>
      <w:lvlText w:val=""/>
      <w:lvlJc w:val="left"/>
      <w:pPr>
        <w:ind w:left="720" w:hanging="180"/>
      </w:pPr>
      <w:rPr>
        <w:rFonts w:ascii="Symbol" w:hAnsi="Symbol" w:hint="default"/>
      </w:rPr>
    </w:lvl>
    <w:lvl w:ilvl="1" w:tplc="F66C3B36">
      <w:numFmt w:val="decimal"/>
      <w:lvlText w:val=""/>
      <w:lvlJc w:val="left"/>
    </w:lvl>
    <w:lvl w:ilvl="2" w:tplc="0288811C">
      <w:numFmt w:val="decimal"/>
      <w:lvlText w:val=""/>
      <w:lvlJc w:val="left"/>
    </w:lvl>
    <w:lvl w:ilvl="3" w:tplc="827A0E76">
      <w:numFmt w:val="decimal"/>
      <w:lvlText w:val=""/>
      <w:lvlJc w:val="left"/>
    </w:lvl>
    <w:lvl w:ilvl="4" w:tplc="3668AE1A">
      <w:numFmt w:val="decimal"/>
      <w:lvlText w:val=""/>
      <w:lvlJc w:val="left"/>
    </w:lvl>
    <w:lvl w:ilvl="5" w:tplc="B7A27878">
      <w:numFmt w:val="decimal"/>
      <w:lvlText w:val=""/>
      <w:lvlJc w:val="left"/>
    </w:lvl>
    <w:lvl w:ilvl="6" w:tplc="F146BB3C">
      <w:numFmt w:val="decimal"/>
      <w:lvlText w:val=""/>
      <w:lvlJc w:val="left"/>
    </w:lvl>
    <w:lvl w:ilvl="7" w:tplc="76283996">
      <w:numFmt w:val="decimal"/>
      <w:lvlText w:val=""/>
      <w:lvlJc w:val="left"/>
    </w:lvl>
    <w:lvl w:ilvl="8" w:tplc="9020AF32">
      <w:numFmt w:val="decimal"/>
      <w:lvlText w:val=""/>
      <w:lvlJc w:val="left"/>
    </w:lvl>
  </w:abstractNum>
  <w:abstractNum w:abstractNumId="340" w15:restartNumberingAfterBreak="0">
    <w:nsid w:val="2468668E"/>
    <w:multiLevelType w:val="hybridMultilevel"/>
    <w:tmpl w:val="2476064C"/>
    <w:lvl w:ilvl="0" w:tplc="EE5021B8">
      <w:start w:val="1"/>
      <w:numFmt w:val="bullet"/>
      <w:lvlText w:val=""/>
      <w:lvlJc w:val="left"/>
      <w:pPr>
        <w:ind w:left="720" w:hanging="180"/>
      </w:pPr>
      <w:rPr>
        <w:rFonts w:ascii="Symbol" w:hAnsi="Symbol" w:hint="default"/>
      </w:rPr>
    </w:lvl>
    <w:lvl w:ilvl="1" w:tplc="D9BCAE3C">
      <w:numFmt w:val="decimal"/>
      <w:lvlText w:val=""/>
      <w:lvlJc w:val="left"/>
    </w:lvl>
    <w:lvl w:ilvl="2" w:tplc="A2ECE7D4">
      <w:numFmt w:val="decimal"/>
      <w:lvlText w:val=""/>
      <w:lvlJc w:val="left"/>
    </w:lvl>
    <w:lvl w:ilvl="3" w:tplc="4C0CED52">
      <w:numFmt w:val="decimal"/>
      <w:lvlText w:val=""/>
      <w:lvlJc w:val="left"/>
    </w:lvl>
    <w:lvl w:ilvl="4" w:tplc="E7C4EB12">
      <w:numFmt w:val="decimal"/>
      <w:lvlText w:val=""/>
      <w:lvlJc w:val="left"/>
    </w:lvl>
    <w:lvl w:ilvl="5" w:tplc="8F8C7404">
      <w:numFmt w:val="decimal"/>
      <w:lvlText w:val=""/>
      <w:lvlJc w:val="left"/>
    </w:lvl>
    <w:lvl w:ilvl="6" w:tplc="2D3236DC">
      <w:numFmt w:val="decimal"/>
      <w:lvlText w:val=""/>
      <w:lvlJc w:val="left"/>
    </w:lvl>
    <w:lvl w:ilvl="7" w:tplc="EB604182">
      <w:numFmt w:val="decimal"/>
      <w:lvlText w:val=""/>
      <w:lvlJc w:val="left"/>
    </w:lvl>
    <w:lvl w:ilvl="8" w:tplc="6E203764">
      <w:numFmt w:val="decimal"/>
      <w:lvlText w:val=""/>
      <w:lvlJc w:val="left"/>
    </w:lvl>
  </w:abstractNum>
  <w:abstractNum w:abstractNumId="341" w15:restartNumberingAfterBreak="0">
    <w:nsid w:val="248A01CA"/>
    <w:multiLevelType w:val="hybridMultilevel"/>
    <w:tmpl w:val="8DFCA626"/>
    <w:lvl w:ilvl="0" w:tplc="961C238E">
      <w:start w:val="1"/>
      <w:numFmt w:val="bullet"/>
      <w:lvlText w:val=""/>
      <w:lvlJc w:val="left"/>
      <w:pPr>
        <w:ind w:left="720" w:hanging="180"/>
      </w:pPr>
      <w:rPr>
        <w:rFonts w:ascii="Symbol" w:hAnsi="Symbol" w:hint="default"/>
      </w:rPr>
    </w:lvl>
    <w:lvl w:ilvl="1" w:tplc="5770B676">
      <w:numFmt w:val="decimal"/>
      <w:lvlText w:val=""/>
      <w:lvlJc w:val="left"/>
    </w:lvl>
    <w:lvl w:ilvl="2" w:tplc="7EE82D78">
      <w:numFmt w:val="decimal"/>
      <w:lvlText w:val=""/>
      <w:lvlJc w:val="left"/>
    </w:lvl>
    <w:lvl w:ilvl="3" w:tplc="B846EC90">
      <w:numFmt w:val="decimal"/>
      <w:lvlText w:val=""/>
      <w:lvlJc w:val="left"/>
    </w:lvl>
    <w:lvl w:ilvl="4" w:tplc="EDD84130">
      <w:numFmt w:val="decimal"/>
      <w:lvlText w:val=""/>
      <w:lvlJc w:val="left"/>
    </w:lvl>
    <w:lvl w:ilvl="5" w:tplc="4E9E9A8E">
      <w:numFmt w:val="decimal"/>
      <w:lvlText w:val=""/>
      <w:lvlJc w:val="left"/>
    </w:lvl>
    <w:lvl w:ilvl="6" w:tplc="BF9E8B8A">
      <w:numFmt w:val="decimal"/>
      <w:lvlText w:val=""/>
      <w:lvlJc w:val="left"/>
    </w:lvl>
    <w:lvl w:ilvl="7" w:tplc="953A4124">
      <w:numFmt w:val="decimal"/>
      <w:lvlText w:val=""/>
      <w:lvlJc w:val="left"/>
    </w:lvl>
    <w:lvl w:ilvl="8" w:tplc="6CE63D96">
      <w:numFmt w:val="decimal"/>
      <w:lvlText w:val=""/>
      <w:lvlJc w:val="left"/>
    </w:lvl>
  </w:abstractNum>
  <w:abstractNum w:abstractNumId="342" w15:restartNumberingAfterBreak="0">
    <w:nsid w:val="248C3947"/>
    <w:multiLevelType w:val="hybridMultilevel"/>
    <w:tmpl w:val="346A3B9C"/>
    <w:lvl w:ilvl="0" w:tplc="44BAF198">
      <w:start w:val="1"/>
      <w:numFmt w:val="bullet"/>
      <w:lvlText w:val=""/>
      <w:lvlJc w:val="left"/>
      <w:pPr>
        <w:ind w:left="720" w:hanging="180"/>
      </w:pPr>
      <w:rPr>
        <w:rFonts w:ascii="Symbol" w:hAnsi="Symbol" w:hint="default"/>
      </w:rPr>
    </w:lvl>
    <w:lvl w:ilvl="1" w:tplc="D8863732">
      <w:numFmt w:val="decimal"/>
      <w:lvlText w:val=""/>
      <w:lvlJc w:val="left"/>
    </w:lvl>
    <w:lvl w:ilvl="2" w:tplc="F4CE0516">
      <w:numFmt w:val="decimal"/>
      <w:lvlText w:val=""/>
      <w:lvlJc w:val="left"/>
    </w:lvl>
    <w:lvl w:ilvl="3" w:tplc="6B4CBF1A">
      <w:numFmt w:val="decimal"/>
      <w:lvlText w:val=""/>
      <w:lvlJc w:val="left"/>
    </w:lvl>
    <w:lvl w:ilvl="4" w:tplc="C344B5C8">
      <w:numFmt w:val="decimal"/>
      <w:lvlText w:val=""/>
      <w:lvlJc w:val="left"/>
    </w:lvl>
    <w:lvl w:ilvl="5" w:tplc="5DC6D386">
      <w:numFmt w:val="decimal"/>
      <w:lvlText w:val=""/>
      <w:lvlJc w:val="left"/>
    </w:lvl>
    <w:lvl w:ilvl="6" w:tplc="5A2E0106">
      <w:numFmt w:val="decimal"/>
      <w:lvlText w:val=""/>
      <w:lvlJc w:val="left"/>
    </w:lvl>
    <w:lvl w:ilvl="7" w:tplc="B98E1982">
      <w:numFmt w:val="decimal"/>
      <w:lvlText w:val=""/>
      <w:lvlJc w:val="left"/>
    </w:lvl>
    <w:lvl w:ilvl="8" w:tplc="D2B4DD96">
      <w:numFmt w:val="decimal"/>
      <w:lvlText w:val=""/>
      <w:lvlJc w:val="left"/>
    </w:lvl>
  </w:abstractNum>
  <w:abstractNum w:abstractNumId="343" w15:restartNumberingAfterBreak="0">
    <w:nsid w:val="24AD4214"/>
    <w:multiLevelType w:val="hybridMultilevel"/>
    <w:tmpl w:val="63E476BC"/>
    <w:lvl w:ilvl="0" w:tplc="832A791E">
      <w:start w:val="1"/>
      <w:numFmt w:val="bullet"/>
      <w:lvlText w:val=""/>
      <w:lvlJc w:val="left"/>
      <w:pPr>
        <w:ind w:left="720" w:hanging="180"/>
      </w:pPr>
      <w:rPr>
        <w:rFonts w:ascii="Symbol" w:hAnsi="Symbol" w:hint="default"/>
      </w:rPr>
    </w:lvl>
    <w:lvl w:ilvl="1" w:tplc="19A4EA24">
      <w:numFmt w:val="decimal"/>
      <w:lvlText w:val=""/>
      <w:lvlJc w:val="left"/>
    </w:lvl>
    <w:lvl w:ilvl="2" w:tplc="EA6CBAF4">
      <w:numFmt w:val="decimal"/>
      <w:lvlText w:val=""/>
      <w:lvlJc w:val="left"/>
    </w:lvl>
    <w:lvl w:ilvl="3" w:tplc="DA78CC8E">
      <w:numFmt w:val="decimal"/>
      <w:lvlText w:val=""/>
      <w:lvlJc w:val="left"/>
    </w:lvl>
    <w:lvl w:ilvl="4" w:tplc="14904170">
      <w:numFmt w:val="decimal"/>
      <w:lvlText w:val=""/>
      <w:lvlJc w:val="left"/>
    </w:lvl>
    <w:lvl w:ilvl="5" w:tplc="E9527302">
      <w:numFmt w:val="decimal"/>
      <w:lvlText w:val=""/>
      <w:lvlJc w:val="left"/>
    </w:lvl>
    <w:lvl w:ilvl="6" w:tplc="8958913C">
      <w:numFmt w:val="decimal"/>
      <w:lvlText w:val=""/>
      <w:lvlJc w:val="left"/>
    </w:lvl>
    <w:lvl w:ilvl="7" w:tplc="51E04FC2">
      <w:numFmt w:val="decimal"/>
      <w:lvlText w:val=""/>
      <w:lvlJc w:val="left"/>
    </w:lvl>
    <w:lvl w:ilvl="8" w:tplc="2BFA5D10">
      <w:numFmt w:val="decimal"/>
      <w:lvlText w:val=""/>
      <w:lvlJc w:val="left"/>
    </w:lvl>
  </w:abstractNum>
  <w:abstractNum w:abstractNumId="344" w15:restartNumberingAfterBreak="0">
    <w:nsid w:val="24D40AC7"/>
    <w:multiLevelType w:val="hybridMultilevel"/>
    <w:tmpl w:val="2C345310"/>
    <w:lvl w:ilvl="0" w:tplc="15BE99B4">
      <w:start w:val="1"/>
      <w:numFmt w:val="bullet"/>
      <w:lvlText w:val=""/>
      <w:lvlJc w:val="left"/>
      <w:pPr>
        <w:ind w:left="720" w:hanging="180"/>
      </w:pPr>
      <w:rPr>
        <w:rFonts w:ascii="Symbol" w:hAnsi="Symbol" w:hint="default"/>
      </w:rPr>
    </w:lvl>
    <w:lvl w:ilvl="1" w:tplc="175ED354">
      <w:numFmt w:val="decimal"/>
      <w:lvlText w:val=""/>
      <w:lvlJc w:val="left"/>
    </w:lvl>
    <w:lvl w:ilvl="2" w:tplc="CAE8D5DE">
      <w:numFmt w:val="decimal"/>
      <w:lvlText w:val=""/>
      <w:lvlJc w:val="left"/>
    </w:lvl>
    <w:lvl w:ilvl="3" w:tplc="2558FBE6">
      <w:numFmt w:val="decimal"/>
      <w:lvlText w:val=""/>
      <w:lvlJc w:val="left"/>
    </w:lvl>
    <w:lvl w:ilvl="4" w:tplc="3F1EC2A6">
      <w:numFmt w:val="decimal"/>
      <w:lvlText w:val=""/>
      <w:lvlJc w:val="left"/>
    </w:lvl>
    <w:lvl w:ilvl="5" w:tplc="E1B8FEC8">
      <w:numFmt w:val="decimal"/>
      <w:lvlText w:val=""/>
      <w:lvlJc w:val="left"/>
    </w:lvl>
    <w:lvl w:ilvl="6" w:tplc="DD1C0186">
      <w:numFmt w:val="decimal"/>
      <w:lvlText w:val=""/>
      <w:lvlJc w:val="left"/>
    </w:lvl>
    <w:lvl w:ilvl="7" w:tplc="EFC4CD8E">
      <w:numFmt w:val="decimal"/>
      <w:lvlText w:val=""/>
      <w:lvlJc w:val="left"/>
    </w:lvl>
    <w:lvl w:ilvl="8" w:tplc="57AE06F8">
      <w:numFmt w:val="decimal"/>
      <w:lvlText w:val=""/>
      <w:lvlJc w:val="left"/>
    </w:lvl>
  </w:abstractNum>
  <w:abstractNum w:abstractNumId="345" w15:restartNumberingAfterBreak="0">
    <w:nsid w:val="24E63FE7"/>
    <w:multiLevelType w:val="hybridMultilevel"/>
    <w:tmpl w:val="9A727ED0"/>
    <w:lvl w:ilvl="0" w:tplc="5CE67D1C">
      <w:start w:val="1"/>
      <w:numFmt w:val="bullet"/>
      <w:lvlText w:val=""/>
      <w:lvlJc w:val="left"/>
      <w:pPr>
        <w:ind w:left="720" w:hanging="180"/>
      </w:pPr>
      <w:rPr>
        <w:rFonts w:ascii="Symbol" w:hAnsi="Symbol" w:hint="default"/>
      </w:rPr>
    </w:lvl>
    <w:lvl w:ilvl="1" w:tplc="1010A7BE">
      <w:numFmt w:val="decimal"/>
      <w:lvlText w:val=""/>
      <w:lvlJc w:val="left"/>
    </w:lvl>
    <w:lvl w:ilvl="2" w:tplc="D26054F2">
      <w:numFmt w:val="decimal"/>
      <w:lvlText w:val=""/>
      <w:lvlJc w:val="left"/>
    </w:lvl>
    <w:lvl w:ilvl="3" w:tplc="1D04AC9C">
      <w:numFmt w:val="decimal"/>
      <w:lvlText w:val=""/>
      <w:lvlJc w:val="left"/>
    </w:lvl>
    <w:lvl w:ilvl="4" w:tplc="8D54355C">
      <w:numFmt w:val="decimal"/>
      <w:lvlText w:val=""/>
      <w:lvlJc w:val="left"/>
    </w:lvl>
    <w:lvl w:ilvl="5" w:tplc="51CEDB6E">
      <w:numFmt w:val="decimal"/>
      <w:lvlText w:val=""/>
      <w:lvlJc w:val="left"/>
    </w:lvl>
    <w:lvl w:ilvl="6" w:tplc="CCE884E6">
      <w:numFmt w:val="decimal"/>
      <w:lvlText w:val=""/>
      <w:lvlJc w:val="left"/>
    </w:lvl>
    <w:lvl w:ilvl="7" w:tplc="D63EB1B4">
      <w:numFmt w:val="decimal"/>
      <w:lvlText w:val=""/>
      <w:lvlJc w:val="left"/>
    </w:lvl>
    <w:lvl w:ilvl="8" w:tplc="C740A02A">
      <w:numFmt w:val="decimal"/>
      <w:lvlText w:val=""/>
      <w:lvlJc w:val="left"/>
    </w:lvl>
  </w:abstractNum>
  <w:abstractNum w:abstractNumId="346" w15:restartNumberingAfterBreak="0">
    <w:nsid w:val="25184733"/>
    <w:multiLevelType w:val="hybridMultilevel"/>
    <w:tmpl w:val="40BE38BE"/>
    <w:lvl w:ilvl="0" w:tplc="2DC8BCA4">
      <w:start w:val="1"/>
      <w:numFmt w:val="bullet"/>
      <w:lvlText w:val=""/>
      <w:lvlJc w:val="left"/>
      <w:pPr>
        <w:ind w:left="720" w:hanging="180"/>
      </w:pPr>
      <w:rPr>
        <w:rFonts w:ascii="Symbol" w:hAnsi="Symbol" w:hint="default"/>
      </w:rPr>
    </w:lvl>
    <w:lvl w:ilvl="1" w:tplc="54D84CB4">
      <w:numFmt w:val="decimal"/>
      <w:lvlText w:val=""/>
      <w:lvlJc w:val="left"/>
    </w:lvl>
    <w:lvl w:ilvl="2" w:tplc="232CB118">
      <w:numFmt w:val="decimal"/>
      <w:lvlText w:val=""/>
      <w:lvlJc w:val="left"/>
    </w:lvl>
    <w:lvl w:ilvl="3" w:tplc="610C7AD4">
      <w:numFmt w:val="decimal"/>
      <w:lvlText w:val=""/>
      <w:lvlJc w:val="left"/>
    </w:lvl>
    <w:lvl w:ilvl="4" w:tplc="A21A37BA">
      <w:numFmt w:val="decimal"/>
      <w:lvlText w:val=""/>
      <w:lvlJc w:val="left"/>
    </w:lvl>
    <w:lvl w:ilvl="5" w:tplc="2D36E532">
      <w:numFmt w:val="decimal"/>
      <w:lvlText w:val=""/>
      <w:lvlJc w:val="left"/>
    </w:lvl>
    <w:lvl w:ilvl="6" w:tplc="59FC848C">
      <w:numFmt w:val="decimal"/>
      <w:lvlText w:val=""/>
      <w:lvlJc w:val="left"/>
    </w:lvl>
    <w:lvl w:ilvl="7" w:tplc="7DA230DC">
      <w:numFmt w:val="decimal"/>
      <w:lvlText w:val=""/>
      <w:lvlJc w:val="left"/>
    </w:lvl>
    <w:lvl w:ilvl="8" w:tplc="C4D4AD72">
      <w:numFmt w:val="decimal"/>
      <w:lvlText w:val=""/>
      <w:lvlJc w:val="left"/>
    </w:lvl>
  </w:abstractNum>
  <w:abstractNum w:abstractNumId="347" w15:restartNumberingAfterBreak="0">
    <w:nsid w:val="252D5E21"/>
    <w:multiLevelType w:val="hybridMultilevel"/>
    <w:tmpl w:val="A8C63F32"/>
    <w:lvl w:ilvl="0" w:tplc="BD9EF9D2">
      <w:start w:val="1"/>
      <w:numFmt w:val="bullet"/>
      <w:lvlText w:val=""/>
      <w:lvlJc w:val="left"/>
      <w:pPr>
        <w:ind w:left="720" w:hanging="180"/>
      </w:pPr>
      <w:rPr>
        <w:rFonts w:ascii="Symbol" w:hAnsi="Symbol" w:hint="default"/>
      </w:rPr>
    </w:lvl>
    <w:lvl w:ilvl="1" w:tplc="9F7AB21C">
      <w:numFmt w:val="decimal"/>
      <w:lvlText w:val=""/>
      <w:lvlJc w:val="left"/>
    </w:lvl>
    <w:lvl w:ilvl="2" w:tplc="6FDA6DEE">
      <w:numFmt w:val="decimal"/>
      <w:lvlText w:val=""/>
      <w:lvlJc w:val="left"/>
    </w:lvl>
    <w:lvl w:ilvl="3" w:tplc="C3EE0600">
      <w:numFmt w:val="decimal"/>
      <w:lvlText w:val=""/>
      <w:lvlJc w:val="left"/>
    </w:lvl>
    <w:lvl w:ilvl="4" w:tplc="88746422">
      <w:numFmt w:val="decimal"/>
      <w:lvlText w:val=""/>
      <w:lvlJc w:val="left"/>
    </w:lvl>
    <w:lvl w:ilvl="5" w:tplc="C3C8828E">
      <w:numFmt w:val="decimal"/>
      <w:lvlText w:val=""/>
      <w:lvlJc w:val="left"/>
    </w:lvl>
    <w:lvl w:ilvl="6" w:tplc="1478A3D6">
      <w:numFmt w:val="decimal"/>
      <w:lvlText w:val=""/>
      <w:lvlJc w:val="left"/>
    </w:lvl>
    <w:lvl w:ilvl="7" w:tplc="C43A7720">
      <w:numFmt w:val="decimal"/>
      <w:lvlText w:val=""/>
      <w:lvlJc w:val="left"/>
    </w:lvl>
    <w:lvl w:ilvl="8" w:tplc="87E6E54A">
      <w:numFmt w:val="decimal"/>
      <w:lvlText w:val=""/>
      <w:lvlJc w:val="left"/>
    </w:lvl>
  </w:abstractNum>
  <w:abstractNum w:abstractNumId="348" w15:restartNumberingAfterBreak="0">
    <w:nsid w:val="25E2019B"/>
    <w:multiLevelType w:val="hybridMultilevel"/>
    <w:tmpl w:val="6AA4B386"/>
    <w:lvl w:ilvl="0" w:tplc="B9241572">
      <w:start w:val="1"/>
      <w:numFmt w:val="bullet"/>
      <w:lvlText w:val=""/>
      <w:lvlJc w:val="left"/>
      <w:pPr>
        <w:ind w:left="720" w:hanging="180"/>
      </w:pPr>
      <w:rPr>
        <w:rFonts w:ascii="Symbol" w:hAnsi="Symbol" w:hint="default"/>
      </w:rPr>
    </w:lvl>
    <w:lvl w:ilvl="1" w:tplc="188C2816">
      <w:numFmt w:val="decimal"/>
      <w:lvlText w:val=""/>
      <w:lvlJc w:val="left"/>
    </w:lvl>
    <w:lvl w:ilvl="2" w:tplc="2F2AB01C">
      <w:numFmt w:val="decimal"/>
      <w:lvlText w:val=""/>
      <w:lvlJc w:val="left"/>
    </w:lvl>
    <w:lvl w:ilvl="3" w:tplc="9C9C79A4">
      <w:numFmt w:val="decimal"/>
      <w:lvlText w:val=""/>
      <w:lvlJc w:val="left"/>
    </w:lvl>
    <w:lvl w:ilvl="4" w:tplc="EC8409F6">
      <w:numFmt w:val="decimal"/>
      <w:lvlText w:val=""/>
      <w:lvlJc w:val="left"/>
    </w:lvl>
    <w:lvl w:ilvl="5" w:tplc="8A64984C">
      <w:numFmt w:val="decimal"/>
      <w:lvlText w:val=""/>
      <w:lvlJc w:val="left"/>
    </w:lvl>
    <w:lvl w:ilvl="6" w:tplc="1C961C6E">
      <w:numFmt w:val="decimal"/>
      <w:lvlText w:val=""/>
      <w:lvlJc w:val="left"/>
    </w:lvl>
    <w:lvl w:ilvl="7" w:tplc="29D63A50">
      <w:numFmt w:val="decimal"/>
      <w:lvlText w:val=""/>
      <w:lvlJc w:val="left"/>
    </w:lvl>
    <w:lvl w:ilvl="8" w:tplc="626AD632">
      <w:numFmt w:val="decimal"/>
      <w:lvlText w:val=""/>
      <w:lvlJc w:val="left"/>
    </w:lvl>
  </w:abstractNum>
  <w:abstractNum w:abstractNumId="349" w15:restartNumberingAfterBreak="0">
    <w:nsid w:val="25EF09C7"/>
    <w:multiLevelType w:val="hybridMultilevel"/>
    <w:tmpl w:val="957E94D6"/>
    <w:lvl w:ilvl="0" w:tplc="4F12F498">
      <w:numFmt w:val="decimal"/>
      <w:lvlText w:val=""/>
      <w:lvlJc w:val="left"/>
    </w:lvl>
    <w:lvl w:ilvl="1" w:tplc="2B2EF966">
      <w:start w:val="1"/>
      <w:numFmt w:val="bullet"/>
      <w:lvlText w:val=""/>
      <w:lvlJc w:val="left"/>
      <w:pPr>
        <w:ind w:left="1440" w:hanging="180"/>
      </w:pPr>
      <w:rPr>
        <w:rFonts w:ascii="Symbol" w:hAnsi="Symbol" w:hint="default"/>
      </w:rPr>
    </w:lvl>
    <w:lvl w:ilvl="2" w:tplc="5F24843A">
      <w:numFmt w:val="decimal"/>
      <w:lvlText w:val=""/>
      <w:lvlJc w:val="left"/>
    </w:lvl>
    <w:lvl w:ilvl="3" w:tplc="34622252">
      <w:numFmt w:val="decimal"/>
      <w:lvlText w:val=""/>
      <w:lvlJc w:val="left"/>
    </w:lvl>
    <w:lvl w:ilvl="4" w:tplc="08367762">
      <w:numFmt w:val="decimal"/>
      <w:lvlText w:val=""/>
      <w:lvlJc w:val="left"/>
    </w:lvl>
    <w:lvl w:ilvl="5" w:tplc="4D8A0C4E">
      <w:numFmt w:val="decimal"/>
      <w:lvlText w:val=""/>
      <w:lvlJc w:val="left"/>
    </w:lvl>
    <w:lvl w:ilvl="6" w:tplc="77823CAA">
      <w:numFmt w:val="decimal"/>
      <w:lvlText w:val=""/>
      <w:lvlJc w:val="left"/>
    </w:lvl>
    <w:lvl w:ilvl="7" w:tplc="A1CA39AC">
      <w:numFmt w:val="decimal"/>
      <w:lvlText w:val=""/>
      <w:lvlJc w:val="left"/>
    </w:lvl>
    <w:lvl w:ilvl="8" w:tplc="DCDC74E2">
      <w:numFmt w:val="decimal"/>
      <w:lvlText w:val=""/>
      <w:lvlJc w:val="left"/>
    </w:lvl>
  </w:abstractNum>
  <w:abstractNum w:abstractNumId="350" w15:restartNumberingAfterBreak="0">
    <w:nsid w:val="261229D9"/>
    <w:multiLevelType w:val="hybridMultilevel"/>
    <w:tmpl w:val="2DFED262"/>
    <w:lvl w:ilvl="0" w:tplc="9B1CEAEA">
      <w:start w:val="1"/>
      <w:numFmt w:val="bullet"/>
      <w:lvlText w:val=""/>
      <w:lvlJc w:val="left"/>
      <w:pPr>
        <w:ind w:left="720" w:hanging="180"/>
      </w:pPr>
      <w:rPr>
        <w:rFonts w:ascii="Symbol" w:hAnsi="Symbol" w:hint="default"/>
      </w:rPr>
    </w:lvl>
    <w:lvl w:ilvl="1" w:tplc="C346ED26">
      <w:numFmt w:val="decimal"/>
      <w:lvlText w:val=""/>
      <w:lvlJc w:val="left"/>
    </w:lvl>
    <w:lvl w:ilvl="2" w:tplc="912CD1AA">
      <w:numFmt w:val="decimal"/>
      <w:lvlText w:val=""/>
      <w:lvlJc w:val="left"/>
    </w:lvl>
    <w:lvl w:ilvl="3" w:tplc="EE446700">
      <w:numFmt w:val="decimal"/>
      <w:lvlText w:val=""/>
      <w:lvlJc w:val="left"/>
    </w:lvl>
    <w:lvl w:ilvl="4" w:tplc="DB3C3028">
      <w:numFmt w:val="decimal"/>
      <w:lvlText w:val=""/>
      <w:lvlJc w:val="left"/>
    </w:lvl>
    <w:lvl w:ilvl="5" w:tplc="DFFEC4BA">
      <w:numFmt w:val="decimal"/>
      <w:lvlText w:val=""/>
      <w:lvlJc w:val="left"/>
    </w:lvl>
    <w:lvl w:ilvl="6" w:tplc="A7B084CE">
      <w:numFmt w:val="decimal"/>
      <w:lvlText w:val=""/>
      <w:lvlJc w:val="left"/>
    </w:lvl>
    <w:lvl w:ilvl="7" w:tplc="78FE4C5C">
      <w:numFmt w:val="decimal"/>
      <w:lvlText w:val=""/>
      <w:lvlJc w:val="left"/>
    </w:lvl>
    <w:lvl w:ilvl="8" w:tplc="E376E6A0">
      <w:numFmt w:val="decimal"/>
      <w:lvlText w:val=""/>
      <w:lvlJc w:val="left"/>
    </w:lvl>
  </w:abstractNum>
  <w:abstractNum w:abstractNumId="351" w15:restartNumberingAfterBreak="0">
    <w:nsid w:val="261245B0"/>
    <w:multiLevelType w:val="hybridMultilevel"/>
    <w:tmpl w:val="80F845CC"/>
    <w:lvl w:ilvl="0" w:tplc="20441F62">
      <w:numFmt w:val="decimal"/>
      <w:lvlText w:val=""/>
      <w:lvlJc w:val="left"/>
    </w:lvl>
    <w:lvl w:ilvl="1" w:tplc="32DEF39A">
      <w:start w:val="1"/>
      <w:numFmt w:val="bullet"/>
      <w:lvlText w:val=""/>
      <w:lvlJc w:val="left"/>
      <w:pPr>
        <w:ind w:left="1440" w:hanging="180"/>
      </w:pPr>
      <w:rPr>
        <w:rFonts w:ascii="Symbol" w:hAnsi="Symbol" w:hint="default"/>
      </w:rPr>
    </w:lvl>
    <w:lvl w:ilvl="2" w:tplc="E30E467A">
      <w:numFmt w:val="decimal"/>
      <w:lvlText w:val=""/>
      <w:lvlJc w:val="left"/>
    </w:lvl>
    <w:lvl w:ilvl="3" w:tplc="0F488730">
      <w:numFmt w:val="decimal"/>
      <w:lvlText w:val=""/>
      <w:lvlJc w:val="left"/>
    </w:lvl>
    <w:lvl w:ilvl="4" w:tplc="D438138C">
      <w:numFmt w:val="decimal"/>
      <w:lvlText w:val=""/>
      <w:lvlJc w:val="left"/>
    </w:lvl>
    <w:lvl w:ilvl="5" w:tplc="2056D49E">
      <w:numFmt w:val="decimal"/>
      <w:lvlText w:val=""/>
      <w:lvlJc w:val="left"/>
    </w:lvl>
    <w:lvl w:ilvl="6" w:tplc="6C64ABB4">
      <w:numFmt w:val="decimal"/>
      <w:lvlText w:val=""/>
      <w:lvlJc w:val="left"/>
    </w:lvl>
    <w:lvl w:ilvl="7" w:tplc="8C2E264A">
      <w:numFmt w:val="decimal"/>
      <w:lvlText w:val=""/>
      <w:lvlJc w:val="left"/>
    </w:lvl>
    <w:lvl w:ilvl="8" w:tplc="47ECA04C">
      <w:numFmt w:val="decimal"/>
      <w:lvlText w:val=""/>
      <w:lvlJc w:val="left"/>
    </w:lvl>
  </w:abstractNum>
  <w:abstractNum w:abstractNumId="352" w15:restartNumberingAfterBreak="0">
    <w:nsid w:val="262473DE"/>
    <w:multiLevelType w:val="hybridMultilevel"/>
    <w:tmpl w:val="9808EB46"/>
    <w:lvl w:ilvl="0" w:tplc="864EF042">
      <w:numFmt w:val="decimal"/>
      <w:lvlText w:val=""/>
      <w:lvlJc w:val="left"/>
    </w:lvl>
    <w:lvl w:ilvl="1" w:tplc="A22AA8B6">
      <w:start w:val="1"/>
      <w:numFmt w:val="bullet"/>
      <w:lvlText w:val=""/>
      <w:lvlJc w:val="left"/>
      <w:pPr>
        <w:ind w:left="1440" w:hanging="180"/>
      </w:pPr>
      <w:rPr>
        <w:rFonts w:ascii="Symbol" w:hAnsi="Symbol" w:hint="default"/>
      </w:rPr>
    </w:lvl>
    <w:lvl w:ilvl="2" w:tplc="C958DC76">
      <w:numFmt w:val="decimal"/>
      <w:lvlText w:val=""/>
      <w:lvlJc w:val="left"/>
    </w:lvl>
    <w:lvl w:ilvl="3" w:tplc="4A367F74">
      <w:numFmt w:val="decimal"/>
      <w:lvlText w:val=""/>
      <w:lvlJc w:val="left"/>
    </w:lvl>
    <w:lvl w:ilvl="4" w:tplc="05E0B922">
      <w:numFmt w:val="decimal"/>
      <w:lvlText w:val=""/>
      <w:lvlJc w:val="left"/>
    </w:lvl>
    <w:lvl w:ilvl="5" w:tplc="D5883A2E">
      <w:numFmt w:val="decimal"/>
      <w:lvlText w:val=""/>
      <w:lvlJc w:val="left"/>
    </w:lvl>
    <w:lvl w:ilvl="6" w:tplc="435697DC">
      <w:numFmt w:val="decimal"/>
      <w:lvlText w:val=""/>
      <w:lvlJc w:val="left"/>
    </w:lvl>
    <w:lvl w:ilvl="7" w:tplc="3D240F72">
      <w:numFmt w:val="decimal"/>
      <w:lvlText w:val=""/>
      <w:lvlJc w:val="left"/>
    </w:lvl>
    <w:lvl w:ilvl="8" w:tplc="E91463CC">
      <w:numFmt w:val="decimal"/>
      <w:lvlText w:val=""/>
      <w:lvlJc w:val="left"/>
    </w:lvl>
  </w:abstractNum>
  <w:abstractNum w:abstractNumId="353" w15:restartNumberingAfterBreak="0">
    <w:nsid w:val="263C73B9"/>
    <w:multiLevelType w:val="hybridMultilevel"/>
    <w:tmpl w:val="89AAC08E"/>
    <w:lvl w:ilvl="0" w:tplc="A87C0FE4">
      <w:start w:val="1"/>
      <w:numFmt w:val="bullet"/>
      <w:lvlText w:val=""/>
      <w:lvlJc w:val="left"/>
      <w:pPr>
        <w:ind w:left="720" w:hanging="180"/>
      </w:pPr>
      <w:rPr>
        <w:rFonts w:ascii="Symbol" w:hAnsi="Symbol" w:hint="default"/>
      </w:rPr>
    </w:lvl>
    <w:lvl w:ilvl="1" w:tplc="E84AE4DC">
      <w:numFmt w:val="decimal"/>
      <w:lvlText w:val=""/>
      <w:lvlJc w:val="left"/>
    </w:lvl>
    <w:lvl w:ilvl="2" w:tplc="4E86CC34">
      <w:numFmt w:val="decimal"/>
      <w:lvlText w:val=""/>
      <w:lvlJc w:val="left"/>
    </w:lvl>
    <w:lvl w:ilvl="3" w:tplc="8B781416">
      <w:numFmt w:val="decimal"/>
      <w:lvlText w:val=""/>
      <w:lvlJc w:val="left"/>
    </w:lvl>
    <w:lvl w:ilvl="4" w:tplc="0F244FF0">
      <w:numFmt w:val="decimal"/>
      <w:lvlText w:val=""/>
      <w:lvlJc w:val="left"/>
    </w:lvl>
    <w:lvl w:ilvl="5" w:tplc="162CEE76">
      <w:numFmt w:val="decimal"/>
      <w:lvlText w:val=""/>
      <w:lvlJc w:val="left"/>
    </w:lvl>
    <w:lvl w:ilvl="6" w:tplc="A9965F9E">
      <w:numFmt w:val="decimal"/>
      <w:lvlText w:val=""/>
      <w:lvlJc w:val="left"/>
    </w:lvl>
    <w:lvl w:ilvl="7" w:tplc="83D4EA22">
      <w:numFmt w:val="decimal"/>
      <w:lvlText w:val=""/>
      <w:lvlJc w:val="left"/>
    </w:lvl>
    <w:lvl w:ilvl="8" w:tplc="E00481A4">
      <w:numFmt w:val="decimal"/>
      <w:lvlText w:val=""/>
      <w:lvlJc w:val="left"/>
    </w:lvl>
  </w:abstractNum>
  <w:abstractNum w:abstractNumId="354" w15:restartNumberingAfterBreak="0">
    <w:nsid w:val="267D4B90"/>
    <w:multiLevelType w:val="hybridMultilevel"/>
    <w:tmpl w:val="3244B546"/>
    <w:lvl w:ilvl="0" w:tplc="E730DF7E">
      <w:start w:val="1"/>
      <w:numFmt w:val="bullet"/>
      <w:lvlText w:val=""/>
      <w:lvlJc w:val="left"/>
      <w:pPr>
        <w:ind w:left="720" w:hanging="180"/>
      </w:pPr>
      <w:rPr>
        <w:rFonts w:ascii="Symbol" w:hAnsi="Symbol" w:hint="default"/>
      </w:rPr>
    </w:lvl>
    <w:lvl w:ilvl="1" w:tplc="70026F78">
      <w:numFmt w:val="decimal"/>
      <w:lvlText w:val=""/>
      <w:lvlJc w:val="left"/>
    </w:lvl>
    <w:lvl w:ilvl="2" w:tplc="D764A00A">
      <w:numFmt w:val="decimal"/>
      <w:lvlText w:val=""/>
      <w:lvlJc w:val="left"/>
    </w:lvl>
    <w:lvl w:ilvl="3" w:tplc="3340A794">
      <w:numFmt w:val="decimal"/>
      <w:lvlText w:val=""/>
      <w:lvlJc w:val="left"/>
    </w:lvl>
    <w:lvl w:ilvl="4" w:tplc="74A4211A">
      <w:numFmt w:val="decimal"/>
      <w:lvlText w:val=""/>
      <w:lvlJc w:val="left"/>
    </w:lvl>
    <w:lvl w:ilvl="5" w:tplc="3864B258">
      <w:numFmt w:val="decimal"/>
      <w:lvlText w:val=""/>
      <w:lvlJc w:val="left"/>
    </w:lvl>
    <w:lvl w:ilvl="6" w:tplc="4E0EF09E">
      <w:numFmt w:val="decimal"/>
      <w:lvlText w:val=""/>
      <w:lvlJc w:val="left"/>
    </w:lvl>
    <w:lvl w:ilvl="7" w:tplc="A2E26364">
      <w:numFmt w:val="decimal"/>
      <w:lvlText w:val=""/>
      <w:lvlJc w:val="left"/>
    </w:lvl>
    <w:lvl w:ilvl="8" w:tplc="5276FC72">
      <w:numFmt w:val="decimal"/>
      <w:lvlText w:val=""/>
      <w:lvlJc w:val="left"/>
    </w:lvl>
  </w:abstractNum>
  <w:abstractNum w:abstractNumId="355" w15:restartNumberingAfterBreak="0">
    <w:nsid w:val="269438A2"/>
    <w:multiLevelType w:val="hybridMultilevel"/>
    <w:tmpl w:val="CEF62C44"/>
    <w:lvl w:ilvl="0" w:tplc="B506509A">
      <w:start w:val="1"/>
      <w:numFmt w:val="bullet"/>
      <w:lvlText w:val=""/>
      <w:lvlJc w:val="left"/>
      <w:pPr>
        <w:ind w:left="720" w:hanging="180"/>
      </w:pPr>
      <w:rPr>
        <w:rFonts w:ascii="Symbol" w:hAnsi="Symbol" w:hint="default"/>
      </w:rPr>
    </w:lvl>
    <w:lvl w:ilvl="1" w:tplc="BB645B70">
      <w:numFmt w:val="decimal"/>
      <w:lvlText w:val=""/>
      <w:lvlJc w:val="left"/>
    </w:lvl>
    <w:lvl w:ilvl="2" w:tplc="49B8ADCA">
      <w:numFmt w:val="decimal"/>
      <w:lvlText w:val=""/>
      <w:lvlJc w:val="left"/>
    </w:lvl>
    <w:lvl w:ilvl="3" w:tplc="C562B50A">
      <w:numFmt w:val="decimal"/>
      <w:lvlText w:val=""/>
      <w:lvlJc w:val="left"/>
    </w:lvl>
    <w:lvl w:ilvl="4" w:tplc="AE84B1F8">
      <w:numFmt w:val="decimal"/>
      <w:lvlText w:val=""/>
      <w:lvlJc w:val="left"/>
    </w:lvl>
    <w:lvl w:ilvl="5" w:tplc="EA788974">
      <w:numFmt w:val="decimal"/>
      <w:lvlText w:val=""/>
      <w:lvlJc w:val="left"/>
    </w:lvl>
    <w:lvl w:ilvl="6" w:tplc="AFE440E6">
      <w:numFmt w:val="decimal"/>
      <w:lvlText w:val=""/>
      <w:lvlJc w:val="left"/>
    </w:lvl>
    <w:lvl w:ilvl="7" w:tplc="19EA9498">
      <w:numFmt w:val="decimal"/>
      <w:lvlText w:val=""/>
      <w:lvlJc w:val="left"/>
    </w:lvl>
    <w:lvl w:ilvl="8" w:tplc="274031CA">
      <w:numFmt w:val="decimal"/>
      <w:lvlText w:val=""/>
      <w:lvlJc w:val="left"/>
    </w:lvl>
  </w:abstractNum>
  <w:abstractNum w:abstractNumId="356" w15:restartNumberingAfterBreak="0">
    <w:nsid w:val="269B4779"/>
    <w:multiLevelType w:val="hybridMultilevel"/>
    <w:tmpl w:val="684CA8AE"/>
    <w:lvl w:ilvl="0" w:tplc="C5DC05F4">
      <w:start w:val="1"/>
      <w:numFmt w:val="bullet"/>
      <w:lvlText w:val=""/>
      <w:lvlJc w:val="left"/>
      <w:pPr>
        <w:ind w:left="720" w:hanging="180"/>
      </w:pPr>
      <w:rPr>
        <w:rFonts w:ascii="Symbol" w:hAnsi="Symbol" w:hint="default"/>
      </w:rPr>
    </w:lvl>
    <w:lvl w:ilvl="1" w:tplc="C73CC0B6">
      <w:numFmt w:val="decimal"/>
      <w:lvlText w:val=""/>
      <w:lvlJc w:val="left"/>
    </w:lvl>
    <w:lvl w:ilvl="2" w:tplc="B3A44BF0">
      <w:numFmt w:val="decimal"/>
      <w:lvlText w:val=""/>
      <w:lvlJc w:val="left"/>
    </w:lvl>
    <w:lvl w:ilvl="3" w:tplc="8B06F2FC">
      <w:numFmt w:val="decimal"/>
      <w:lvlText w:val=""/>
      <w:lvlJc w:val="left"/>
    </w:lvl>
    <w:lvl w:ilvl="4" w:tplc="52D4189C">
      <w:numFmt w:val="decimal"/>
      <w:lvlText w:val=""/>
      <w:lvlJc w:val="left"/>
    </w:lvl>
    <w:lvl w:ilvl="5" w:tplc="8612EF64">
      <w:numFmt w:val="decimal"/>
      <w:lvlText w:val=""/>
      <w:lvlJc w:val="left"/>
    </w:lvl>
    <w:lvl w:ilvl="6" w:tplc="5D62DB00">
      <w:numFmt w:val="decimal"/>
      <w:lvlText w:val=""/>
      <w:lvlJc w:val="left"/>
    </w:lvl>
    <w:lvl w:ilvl="7" w:tplc="23EC9E2C">
      <w:numFmt w:val="decimal"/>
      <w:lvlText w:val=""/>
      <w:lvlJc w:val="left"/>
    </w:lvl>
    <w:lvl w:ilvl="8" w:tplc="7D9EADAA">
      <w:numFmt w:val="decimal"/>
      <w:lvlText w:val=""/>
      <w:lvlJc w:val="left"/>
    </w:lvl>
  </w:abstractNum>
  <w:abstractNum w:abstractNumId="357" w15:restartNumberingAfterBreak="0">
    <w:nsid w:val="26A06F81"/>
    <w:multiLevelType w:val="hybridMultilevel"/>
    <w:tmpl w:val="DFD81BA6"/>
    <w:lvl w:ilvl="0" w:tplc="F69438C6">
      <w:start w:val="1"/>
      <w:numFmt w:val="bullet"/>
      <w:lvlText w:val=""/>
      <w:lvlJc w:val="left"/>
      <w:pPr>
        <w:ind w:left="720" w:hanging="180"/>
      </w:pPr>
      <w:rPr>
        <w:rFonts w:ascii="Symbol" w:hAnsi="Symbol" w:hint="default"/>
      </w:rPr>
    </w:lvl>
    <w:lvl w:ilvl="1" w:tplc="6FC09274">
      <w:numFmt w:val="decimal"/>
      <w:lvlText w:val=""/>
      <w:lvlJc w:val="left"/>
    </w:lvl>
    <w:lvl w:ilvl="2" w:tplc="FA54FC1C">
      <w:numFmt w:val="decimal"/>
      <w:lvlText w:val=""/>
      <w:lvlJc w:val="left"/>
    </w:lvl>
    <w:lvl w:ilvl="3" w:tplc="73CE32DA">
      <w:numFmt w:val="decimal"/>
      <w:lvlText w:val=""/>
      <w:lvlJc w:val="left"/>
    </w:lvl>
    <w:lvl w:ilvl="4" w:tplc="58CE66CC">
      <w:numFmt w:val="decimal"/>
      <w:lvlText w:val=""/>
      <w:lvlJc w:val="left"/>
    </w:lvl>
    <w:lvl w:ilvl="5" w:tplc="0588AD90">
      <w:numFmt w:val="decimal"/>
      <w:lvlText w:val=""/>
      <w:lvlJc w:val="left"/>
    </w:lvl>
    <w:lvl w:ilvl="6" w:tplc="F652380C">
      <w:numFmt w:val="decimal"/>
      <w:lvlText w:val=""/>
      <w:lvlJc w:val="left"/>
    </w:lvl>
    <w:lvl w:ilvl="7" w:tplc="83AE0C66">
      <w:numFmt w:val="decimal"/>
      <w:lvlText w:val=""/>
      <w:lvlJc w:val="left"/>
    </w:lvl>
    <w:lvl w:ilvl="8" w:tplc="EFDAFF86">
      <w:numFmt w:val="decimal"/>
      <w:lvlText w:val=""/>
      <w:lvlJc w:val="left"/>
    </w:lvl>
  </w:abstractNum>
  <w:abstractNum w:abstractNumId="358" w15:restartNumberingAfterBreak="0">
    <w:nsid w:val="26B36875"/>
    <w:multiLevelType w:val="hybridMultilevel"/>
    <w:tmpl w:val="4526141E"/>
    <w:lvl w:ilvl="0" w:tplc="0AC6AFDA">
      <w:start w:val="1"/>
      <w:numFmt w:val="bullet"/>
      <w:lvlText w:val=""/>
      <w:lvlJc w:val="left"/>
      <w:pPr>
        <w:ind w:left="720" w:hanging="180"/>
      </w:pPr>
      <w:rPr>
        <w:rFonts w:ascii="Symbol" w:hAnsi="Symbol" w:hint="default"/>
      </w:rPr>
    </w:lvl>
    <w:lvl w:ilvl="1" w:tplc="F00223C4">
      <w:numFmt w:val="decimal"/>
      <w:lvlText w:val=""/>
      <w:lvlJc w:val="left"/>
    </w:lvl>
    <w:lvl w:ilvl="2" w:tplc="64323554">
      <w:numFmt w:val="decimal"/>
      <w:lvlText w:val=""/>
      <w:lvlJc w:val="left"/>
    </w:lvl>
    <w:lvl w:ilvl="3" w:tplc="346455B0">
      <w:numFmt w:val="decimal"/>
      <w:lvlText w:val=""/>
      <w:lvlJc w:val="left"/>
    </w:lvl>
    <w:lvl w:ilvl="4" w:tplc="B6544524">
      <w:numFmt w:val="decimal"/>
      <w:lvlText w:val=""/>
      <w:lvlJc w:val="left"/>
    </w:lvl>
    <w:lvl w:ilvl="5" w:tplc="E8A80C88">
      <w:numFmt w:val="decimal"/>
      <w:lvlText w:val=""/>
      <w:lvlJc w:val="left"/>
    </w:lvl>
    <w:lvl w:ilvl="6" w:tplc="2C700BF0">
      <w:numFmt w:val="decimal"/>
      <w:lvlText w:val=""/>
      <w:lvlJc w:val="left"/>
    </w:lvl>
    <w:lvl w:ilvl="7" w:tplc="7144CA36">
      <w:numFmt w:val="decimal"/>
      <w:lvlText w:val=""/>
      <w:lvlJc w:val="left"/>
    </w:lvl>
    <w:lvl w:ilvl="8" w:tplc="2AF43F02">
      <w:numFmt w:val="decimal"/>
      <w:lvlText w:val=""/>
      <w:lvlJc w:val="left"/>
    </w:lvl>
  </w:abstractNum>
  <w:abstractNum w:abstractNumId="359" w15:restartNumberingAfterBreak="0">
    <w:nsid w:val="26CC0CCE"/>
    <w:multiLevelType w:val="hybridMultilevel"/>
    <w:tmpl w:val="DC4AA842"/>
    <w:lvl w:ilvl="0" w:tplc="99447510">
      <w:start w:val="1"/>
      <w:numFmt w:val="bullet"/>
      <w:lvlText w:val=""/>
      <w:lvlJc w:val="left"/>
      <w:pPr>
        <w:ind w:left="720" w:hanging="180"/>
      </w:pPr>
      <w:rPr>
        <w:rFonts w:ascii="Symbol" w:hAnsi="Symbol" w:hint="default"/>
      </w:rPr>
    </w:lvl>
    <w:lvl w:ilvl="1" w:tplc="4AFC042A">
      <w:numFmt w:val="decimal"/>
      <w:lvlText w:val=""/>
      <w:lvlJc w:val="left"/>
    </w:lvl>
    <w:lvl w:ilvl="2" w:tplc="2F6E1ECE">
      <w:numFmt w:val="decimal"/>
      <w:lvlText w:val=""/>
      <w:lvlJc w:val="left"/>
    </w:lvl>
    <w:lvl w:ilvl="3" w:tplc="0FB856F2">
      <w:numFmt w:val="decimal"/>
      <w:lvlText w:val=""/>
      <w:lvlJc w:val="left"/>
    </w:lvl>
    <w:lvl w:ilvl="4" w:tplc="169843D8">
      <w:numFmt w:val="decimal"/>
      <w:lvlText w:val=""/>
      <w:lvlJc w:val="left"/>
    </w:lvl>
    <w:lvl w:ilvl="5" w:tplc="482C121A">
      <w:numFmt w:val="decimal"/>
      <w:lvlText w:val=""/>
      <w:lvlJc w:val="left"/>
    </w:lvl>
    <w:lvl w:ilvl="6" w:tplc="D6447902">
      <w:numFmt w:val="decimal"/>
      <w:lvlText w:val=""/>
      <w:lvlJc w:val="left"/>
    </w:lvl>
    <w:lvl w:ilvl="7" w:tplc="C75ED456">
      <w:numFmt w:val="decimal"/>
      <w:lvlText w:val=""/>
      <w:lvlJc w:val="left"/>
    </w:lvl>
    <w:lvl w:ilvl="8" w:tplc="740EBE5A">
      <w:numFmt w:val="decimal"/>
      <w:lvlText w:val=""/>
      <w:lvlJc w:val="left"/>
    </w:lvl>
  </w:abstractNum>
  <w:abstractNum w:abstractNumId="360" w15:restartNumberingAfterBreak="0">
    <w:nsid w:val="26D0223E"/>
    <w:multiLevelType w:val="hybridMultilevel"/>
    <w:tmpl w:val="B84AA7C2"/>
    <w:lvl w:ilvl="0" w:tplc="52CCEB36">
      <w:start w:val="1"/>
      <w:numFmt w:val="bullet"/>
      <w:lvlText w:val=""/>
      <w:lvlJc w:val="left"/>
      <w:pPr>
        <w:ind w:left="720" w:hanging="180"/>
      </w:pPr>
      <w:rPr>
        <w:rFonts w:ascii="Symbol" w:hAnsi="Symbol" w:hint="default"/>
      </w:rPr>
    </w:lvl>
    <w:lvl w:ilvl="1" w:tplc="1A6862D6">
      <w:numFmt w:val="decimal"/>
      <w:lvlText w:val=""/>
      <w:lvlJc w:val="left"/>
    </w:lvl>
    <w:lvl w:ilvl="2" w:tplc="1FCC459E">
      <w:numFmt w:val="decimal"/>
      <w:lvlText w:val=""/>
      <w:lvlJc w:val="left"/>
    </w:lvl>
    <w:lvl w:ilvl="3" w:tplc="0A107E1A">
      <w:numFmt w:val="decimal"/>
      <w:lvlText w:val=""/>
      <w:lvlJc w:val="left"/>
    </w:lvl>
    <w:lvl w:ilvl="4" w:tplc="4508A7D4">
      <w:numFmt w:val="decimal"/>
      <w:lvlText w:val=""/>
      <w:lvlJc w:val="left"/>
    </w:lvl>
    <w:lvl w:ilvl="5" w:tplc="10308556">
      <w:numFmt w:val="decimal"/>
      <w:lvlText w:val=""/>
      <w:lvlJc w:val="left"/>
    </w:lvl>
    <w:lvl w:ilvl="6" w:tplc="D5B055EA">
      <w:numFmt w:val="decimal"/>
      <w:lvlText w:val=""/>
      <w:lvlJc w:val="left"/>
    </w:lvl>
    <w:lvl w:ilvl="7" w:tplc="48F08632">
      <w:numFmt w:val="decimal"/>
      <w:lvlText w:val=""/>
      <w:lvlJc w:val="left"/>
    </w:lvl>
    <w:lvl w:ilvl="8" w:tplc="929E4736">
      <w:numFmt w:val="decimal"/>
      <w:lvlText w:val=""/>
      <w:lvlJc w:val="left"/>
    </w:lvl>
  </w:abstractNum>
  <w:abstractNum w:abstractNumId="361" w15:restartNumberingAfterBreak="0">
    <w:nsid w:val="26D43F9A"/>
    <w:multiLevelType w:val="hybridMultilevel"/>
    <w:tmpl w:val="82185F5A"/>
    <w:lvl w:ilvl="0" w:tplc="736084AE">
      <w:start w:val="1"/>
      <w:numFmt w:val="bullet"/>
      <w:lvlText w:val=""/>
      <w:lvlJc w:val="left"/>
      <w:pPr>
        <w:ind w:left="720" w:hanging="180"/>
      </w:pPr>
      <w:rPr>
        <w:rFonts w:ascii="Symbol" w:hAnsi="Symbol" w:hint="default"/>
      </w:rPr>
    </w:lvl>
    <w:lvl w:ilvl="1" w:tplc="896A4154">
      <w:numFmt w:val="decimal"/>
      <w:lvlText w:val=""/>
      <w:lvlJc w:val="left"/>
    </w:lvl>
    <w:lvl w:ilvl="2" w:tplc="9F421102">
      <w:numFmt w:val="decimal"/>
      <w:lvlText w:val=""/>
      <w:lvlJc w:val="left"/>
    </w:lvl>
    <w:lvl w:ilvl="3" w:tplc="EA30C836">
      <w:numFmt w:val="decimal"/>
      <w:lvlText w:val=""/>
      <w:lvlJc w:val="left"/>
    </w:lvl>
    <w:lvl w:ilvl="4" w:tplc="46209B48">
      <w:numFmt w:val="decimal"/>
      <w:lvlText w:val=""/>
      <w:lvlJc w:val="left"/>
    </w:lvl>
    <w:lvl w:ilvl="5" w:tplc="AA7CEDF0">
      <w:numFmt w:val="decimal"/>
      <w:lvlText w:val=""/>
      <w:lvlJc w:val="left"/>
    </w:lvl>
    <w:lvl w:ilvl="6" w:tplc="A546F0DE">
      <w:numFmt w:val="decimal"/>
      <w:lvlText w:val=""/>
      <w:lvlJc w:val="left"/>
    </w:lvl>
    <w:lvl w:ilvl="7" w:tplc="0A4083A0">
      <w:numFmt w:val="decimal"/>
      <w:lvlText w:val=""/>
      <w:lvlJc w:val="left"/>
    </w:lvl>
    <w:lvl w:ilvl="8" w:tplc="FE1E67F2">
      <w:numFmt w:val="decimal"/>
      <w:lvlText w:val=""/>
      <w:lvlJc w:val="left"/>
    </w:lvl>
  </w:abstractNum>
  <w:abstractNum w:abstractNumId="362" w15:restartNumberingAfterBreak="0">
    <w:nsid w:val="26DA3ECB"/>
    <w:multiLevelType w:val="hybridMultilevel"/>
    <w:tmpl w:val="7F2C53CC"/>
    <w:lvl w:ilvl="0" w:tplc="459AA55A">
      <w:start w:val="1"/>
      <w:numFmt w:val="bullet"/>
      <w:lvlText w:val=""/>
      <w:lvlJc w:val="left"/>
      <w:pPr>
        <w:ind w:left="720" w:hanging="180"/>
      </w:pPr>
      <w:rPr>
        <w:rFonts w:ascii="Symbol" w:hAnsi="Symbol" w:hint="default"/>
      </w:rPr>
    </w:lvl>
    <w:lvl w:ilvl="1" w:tplc="DE1A29DC">
      <w:numFmt w:val="decimal"/>
      <w:lvlText w:val=""/>
      <w:lvlJc w:val="left"/>
    </w:lvl>
    <w:lvl w:ilvl="2" w:tplc="4F7EF240">
      <w:numFmt w:val="decimal"/>
      <w:lvlText w:val=""/>
      <w:lvlJc w:val="left"/>
    </w:lvl>
    <w:lvl w:ilvl="3" w:tplc="3F6434F8">
      <w:numFmt w:val="decimal"/>
      <w:lvlText w:val=""/>
      <w:lvlJc w:val="left"/>
    </w:lvl>
    <w:lvl w:ilvl="4" w:tplc="9C32C33C">
      <w:numFmt w:val="decimal"/>
      <w:lvlText w:val=""/>
      <w:lvlJc w:val="left"/>
    </w:lvl>
    <w:lvl w:ilvl="5" w:tplc="4FF6E532">
      <w:numFmt w:val="decimal"/>
      <w:lvlText w:val=""/>
      <w:lvlJc w:val="left"/>
    </w:lvl>
    <w:lvl w:ilvl="6" w:tplc="31D4F260">
      <w:numFmt w:val="decimal"/>
      <w:lvlText w:val=""/>
      <w:lvlJc w:val="left"/>
    </w:lvl>
    <w:lvl w:ilvl="7" w:tplc="F8A0BFB6">
      <w:numFmt w:val="decimal"/>
      <w:lvlText w:val=""/>
      <w:lvlJc w:val="left"/>
    </w:lvl>
    <w:lvl w:ilvl="8" w:tplc="41F4B1F6">
      <w:numFmt w:val="decimal"/>
      <w:lvlText w:val=""/>
      <w:lvlJc w:val="left"/>
    </w:lvl>
  </w:abstractNum>
  <w:abstractNum w:abstractNumId="363" w15:restartNumberingAfterBreak="0">
    <w:nsid w:val="26E71D6E"/>
    <w:multiLevelType w:val="hybridMultilevel"/>
    <w:tmpl w:val="76B0E034"/>
    <w:lvl w:ilvl="0" w:tplc="D53E2244">
      <w:start w:val="1"/>
      <w:numFmt w:val="bullet"/>
      <w:lvlText w:val=""/>
      <w:lvlJc w:val="left"/>
      <w:pPr>
        <w:ind w:left="720" w:hanging="180"/>
      </w:pPr>
      <w:rPr>
        <w:rFonts w:ascii="Symbol" w:hAnsi="Symbol" w:hint="default"/>
      </w:rPr>
    </w:lvl>
    <w:lvl w:ilvl="1" w:tplc="D1F08140">
      <w:numFmt w:val="decimal"/>
      <w:lvlText w:val=""/>
      <w:lvlJc w:val="left"/>
    </w:lvl>
    <w:lvl w:ilvl="2" w:tplc="E8CA1542">
      <w:numFmt w:val="decimal"/>
      <w:lvlText w:val=""/>
      <w:lvlJc w:val="left"/>
    </w:lvl>
    <w:lvl w:ilvl="3" w:tplc="0750DD3E">
      <w:numFmt w:val="decimal"/>
      <w:lvlText w:val=""/>
      <w:lvlJc w:val="left"/>
    </w:lvl>
    <w:lvl w:ilvl="4" w:tplc="48507834">
      <w:numFmt w:val="decimal"/>
      <w:lvlText w:val=""/>
      <w:lvlJc w:val="left"/>
    </w:lvl>
    <w:lvl w:ilvl="5" w:tplc="E362DC68">
      <w:numFmt w:val="decimal"/>
      <w:lvlText w:val=""/>
      <w:lvlJc w:val="left"/>
    </w:lvl>
    <w:lvl w:ilvl="6" w:tplc="395A9462">
      <w:numFmt w:val="decimal"/>
      <w:lvlText w:val=""/>
      <w:lvlJc w:val="left"/>
    </w:lvl>
    <w:lvl w:ilvl="7" w:tplc="EFF2D55C">
      <w:numFmt w:val="decimal"/>
      <w:lvlText w:val=""/>
      <w:lvlJc w:val="left"/>
    </w:lvl>
    <w:lvl w:ilvl="8" w:tplc="E6863ADC">
      <w:numFmt w:val="decimal"/>
      <w:lvlText w:val=""/>
      <w:lvlJc w:val="left"/>
    </w:lvl>
  </w:abstractNum>
  <w:abstractNum w:abstractNumId="364" w15:restartNumberingAfterBreak="0">
    <w:nsid w:val="27371A68"/>
    <w:multiLevelType w:val="hybridMultilevel"/>
    <w:tmpl w:val="99049D10"/>
    <w:lvl w:ilvl="0" w:tplc="E40408C2">
      <w:start w:val="1"/>
      <w:numFmt w:val="bullet"/>
      <w:lvlText w:val=""/>
      <w:lvlJc w:val="left"/>
      <w:pPr>
        <w:ind w:left="720" w:hanging="180"/>
      </w:pPr>
      <w:rPr>
        <w:rFonts w:ascii="Symbol" w:hAnsi="Symbol" w:hint="default"/>
      </w:rPr>
    </w:lvl>
    <w:lvl w:ilvl="1" w:tplc="4B34641C">
      <w:numFmt w:val="decimal"/>
      <w:lvlText w:val=""/>
      <w:lvlJc w:val="left"/>
    </w:lvl>
    <w:lvl w:ilvl="2" w:tplc="114CF0CE">
      <w:numFmt w:val="decimal"/>
      <w:lvlText w:val=""/>
      <w:lvlJc w:val="left"/>
    </w:lvl>
    <w:lvl w:ilvl="3" w:tplc="D75EDCB2">
      <w:numFmt w:val="decimal"/>
      <w:lvlText w:val=""/>
      <w:lvlJc w:val="left"/>
    </w:lvl>
    <w:lvl w:ilvl="4" w:tplc="4CA6D09C">
      <w:numFmt w:val="decimal"/>
      <w:lvlText w:val=""/>
      <w:lvlJc w:val="left"/>
    </w:lvl>
    <w:lvl w:ilvl="5" w:tplc="7146F938">
      <w:numFmt w:val="decimal"/>
      <w:lvlText w:val=""/>
      <w:lvlJc w:val="left"/>
    </w:lvl>
    <w:lvl w:ilvl="6" w:tplc="78A4956A">
      <w:numFmt w:val="decimal"/>
      <w:lvlText w:val=""/>
      <w:lvlJc w:val="left"/>
    </w:lvl>
    <w:lvl w:ilvl="7" w:tplc="76C25BFE">
      <w:numFmt w:val="decimal"/>
      <w:lvlText w:val=""/>
      <w:lvlJc w:val="left"/>
    </w:lvl>
    <w:lvl w:ilvl="8" w:tplc="88D828AE">
      <w:numFmt w:val="decimal"/>
      <w:lvlText w:val=""/>
      <w:lvlJc w:val="left"/>
    </w:lvl>
  </w:abstractNum>
  <w:abstractNum w:abstractNumId="365" w15:restartNumberingAfterBreak="0">
    <w:nsid w:val="273722B3"/>
    <w:multiLevelType w:val="hybridMultilevel"/>
    <w:tmpl w:val="D26C28C4"/>
    <w:lvl w:ilvl="0" w:tplc="5F9431CC">
      <w:start w:val="1"/>
      <w:numFmt w:val="bullet"/>
      <w:lvlText w:val=""/>
      <w:lvlJc w:val="left"/>
      <w:pPr>
        <w:ind w:left="720" w:hanging="180"/>
      </w:pPr>
      <w:rPr>
        <w:rFonts w:ascii="Symbol" w:hAnsi="Symbol" w:hint="default"/>
      </w:rPr>
    </w:lvl>
    <w:lvl w:ilvl="1" w:tplc="DCDA5206">
      <w:numFmt w:val="decimal"/>
      <w:lvlText w:val=""/>
      <w:lvlJc w:val="left"/>
    </w:lvl>
    <w:lvl w:ilvl="2" w:tplc="163C3992">
      <w:numFmt w:val="decimal"/>
      <w:lvlText w:val=""/>
      <w:lvlJc w:val="left"/>
    </w:lvl>
    <w:lvl w:ilvl="3" w:tplc="E1B0DF18">
      <w:numFmt w:val="decimal"/>
      <w:lvlText w:val=""/>
      <w:lvlJc w:val="left"/>
    </w:lvl>
    <w:lvl w:ilvl="4" w:tplc="182EF82A">
      <w:numFmt w:val="decimal"/>
      <w:lvlText w:val=""/>
      <w:lvlJc w:val="left"/>
    </w:lvl>
    <w:lvl w:ilvl="5" w:tplc="2FA63C76">
      <w:numFmt w:val="decimal"/>
      <w:lvlText w:val=""/>
      <w:lvlJc w:val="left"/>
    </w:lvl>
    <w:lvl w:ilvl="6" w:tplc="F13E579A">
      <w:numFmt w:val="decimal"/>
      <w:lvlText w:val=""/>
      <w:lvlJc w:val="left"/>
    </w:lvl>
    <w:lvl w:ilvl="7" w:tplc="498E5B1A">
      <w:numFmt w:val="decimal"/>
      <w:lvlText w:val=""/>
      <w:lvlJc w:val="left"/>
    </w:lvl>
    <w:lvl w:ilvl="8" w:tplc="4C9ED65E">
      <w:numFmt w:val="decimal"/>
      <w:lvlText w:val=""/>
      <w:lvlJc w:val="left"/>
    </w:lvl>
  </w:abstractNum>
  <w:abstractNum w:abstractNumId="366" w15:restartNumberingAfterBreak="0">
    <w:nsid w:val="277E49D4"/>
    <w:multiLevelType w:val="hybridMultilevel"/>
    <w:tmpl w:val="FCCCD562"/>
    <w:lvl w:ilvl="0" w:tplc="A6C6AA6A">
      <w:start w:val="1"/>
      <w:numFmt w:val="bullet"/>
      <w:lvlText w:val=""/>
      <w:lvlJc w:val="left"/>
      <w:pPr>
        <w:ind w:left="720" w:hanging="180"/>
      </w:pPr>
      <w:rPr>
        <w:rFonts w:ascii="Symbol" w:hAnsi="Symbol" w:hint="default"/>
      </w:rPr>
    </w:lvl>
    <w:lvl w:ilvl="1" w:tplc="5128F65A">
      <w:numFmt w:val="decimal"/>
      <w:lvlText w:val=""/>
      <w:lvlJc w:val="left"/>
    </w:lvl>
    <w:lvl w:ilvl="2" w:tplc="8058357E">
      <w:numFmt w:val="decimal"/>
      <w:lvlText w:val=""/>
      <w:lvlJc w:val="left"/>
    </w:lvl>
    <w:lvl w:ilvl="3" w:tplc="976C8C14">
      <w:numFmt w:val="decimal"/>
      <w:lvlText w:val=""/>
      <w:lvlJc w:val="left"/>
    </w:lvl>
    <w:lvl w:ilvl="4" w:tplc="81CA8362">
      <w:numFmt w:val="decimal"/>
      <w:lvlText w:val=""/>
      <w:lvlJc w:val="left"/>
    </w:lvl>
    <w:lvl w:ilvl="5" w:tplc="D8C69B58">
      <w:numFmt w:val="decimal"/>
      <w:lvlText w:val=""/>
      <w:lvlJc w:val="left"/>
    </w:lvl>
    <w:lvl w:ilvl="6" w:tplc="E7FC62FE">
      <w:numFmt w:val="decimal"/>
      <w:lvlText w:val=""/>
      <w:lvlJc w:val="left"/>
    </w:lvl>
    <w:lvl w:ilvl="7" w:tplc="039A92E2">
      <w:numFmt w:val="decimal"/>
      <w:lvlText w:val=""/>
      <w:lvlJc w:val="left"/>
    </w:lvl>
    <w:lvl w:ilvl="8" w:tplc="8FA65ADA">
      <w:numFmt w:val="decimal"/>
      <w:lvlText w:val=""/>
      <w:lvlJc w:val="left"/>
    </w:lvl>
  </w:abstractNum>
  <w:abstractNum w:abstractNumId="367" w15:restartNumberingAfterBreak="0">
    <w:nsid w:val="278D0A81"/>
    <w:multiLevelType w:val="hybridMultilevel"/>
    <w:tmpl w:val="6DCCA9DC"/>
    <w:lvl w:ilvl="0" w:tplc="10108098">
      <w:start w:val="1"/>
      <w:numFmt w:val="bullet"/>
      <w:lvlText w:val=""/>
      <w:lvlJc w:val="left"/>
      <w:pPr>
        <w:ind w:left="720" w:hanging="180"/>
      </w:pPr>
      <w:rPr>
        <w:rFonts w:ascii="Symbol" w:hAnsi="Symbol" w:hint="default"/>
      </w:rPr>
    </w:lvl>
    <w:lvl w:ilvl="1" w:tplc="B45EF66E">
      <w:numFmt w:val="decimal"/>
      <w:lvlText w:val=""/>
      <w:lvlJc w:val="left"/>
    </w:lvl>
    <w:lvl w:ilvl="2" w:tplc="86AAC3CC">
      <w:numFmt w:val="decimal"/>
      <w:lvlText w:val=""/>
      <w:lvlJc w:val="left"/>
    </w:lvl>
    <w:lvl w:ilvl="3" w:tplc="1AC097CE">
      <w:numFmt w:val="decimal"/>
      <w:lvlText w:val=""/>
      <w:lvlJc w:val="left"/>
    </w:lvl>
    <w:lvl w:ilvl="4" w:tplc="2048AE1A">
      <w:numFmt w:val="decimal"/>
      <w:lvlText w:val=""/>
      <w:lvlJc w:val="left"/>
    </w:lvl>
    <w:lvl w:ilvl="5" w:tplc="889411C4">
      <w:numFmt w:val="decimal"/>
      <w:lvlText w:val=""/>
      <w:lvlJc w:val="left"/>
    </w:lvl>
    <w:lvl w:ilvl="6" w:tplc="FC2CD35C">
      <w:numFmt w:val="decimal"/>
      <w:lvlText w:val=""/>
      <w:lvlJc w:val="left"/>
    </w:lvl>
    <w:lvl w:ilvl="7" w:tplc="3190B308">
      <w:numFmt w:val="decimal"/>
      <w:lvlText w:val=""/>
      <w:lvlJc w:val="left"/>
    </w:lvl>
    <w:lvl w:ilvl="8" w:tplc="DF764E8C">
      <w:numFmt w:val="decimal"/>
      <w:lvlText w:val=""/>
      <w:lvlJc w:val="left"/>
    </w:lvl>
  </w:abstractNum>
  <w:abstractNum w:abstractNumId="368" w15:restartNumberingAfterBreak="0">
    <w:nsid w:val="2790719A"/>
    <w:multiLevelType w:val="hybridMultilevel"/>
    <w:tmpl w:val="F9F82AF2"/>
    <w:lvl w:ilvl="0" w:tplc="F962DDBA">
      <w:start w:val="1"/>
      <w:numFmt w:val="bullet"/>
      <w:lvlText w:val=""/>
      <w:lvlJc w:val="left"/>
      <w:pPr>
        <w:ind w:left="720" w:hanging="180"/>
      </w:pPr>
      <w:rPr>
        <w:rFonts w:ascii="Symbol" w:hAnsi="Symbol" w:hint="default"/>
      </w:rPr>
    </w:lvl>
    <w:lvl w:ilvl="1" w:tplc="CF9AF274">
      <w:numFmt w:val="decimal"/>
      <w:lvlText w:val=""/>
      <w:lvlJc w:val="left"/>
    </w:lvl>
    <w:lvl w:ilvl="2" w:tplc="05669590">
      <w:numFmt w:val="decimal"/>
      <w:lvlText w:val=""/>
      <w:lvlJc w:val="left"/>
    </w:lvl>
    <w:lvl w:ilvl="3" w:tplc="44FE3BFE">
      <w:numFmt w:val="decimal"/>
      <w:lvlText w:val=""/>
      <w:lvlJc w:val="left"/>
    </w:lvl>
    <w:lvl w:ilvl="4" w:tplc="E294E460">
      <w:numFmt w:val="decimal"/>
      <w:lvlText w:val=""/>
      <w:lvlJc w:val="left"/>
    </w:lvl>
    <w:lvl w:ilvl="5" w:tplc="C8E0B37C">
      <w:numFmt w:val="decimal"/>
      <w:lvlText w:val=""/>
      <w:lvlJc w:val="left"/>
    </w:lvl>
    <w:lvl w:ilvl="6" w:tplc="2E3CFD3C">
      <w:numFmt w:val="decimal"/>
      <w:lvlText w:val=""/>
      <w:lvlJc w:val="left"/>
    </w:lvl>
    <w:lvl w:ilvl="7" w:tplc="694E6F98">
      <w:numFmt w:val="decimal"/>
      <w:lvlText w:val=""/>
      <w:lvlJc w:val="left"/>
    </w:lvl>
    <w:lvl w:ilvl="8" w:tplc="9D146E66">
      <w:numFmt w:val="decimal"/>
      <w:lvlText w:val=""/>
      <w:lvlJc w:val="left"/>
    </w:lvl>
  </w:abstractNum>
  <w:abstractNum w:abstractNumId="369" w15:restartNumberingAfterBreak="0">
    <w:nsid w:val="27B33D0C"/>
    <w:multiLevelType w:val="hybridMultilevel"/>
    <w:tmpl w:val="83AE4D8E"/>
    <w:lvl w:ilvl="0" w:tplc="C62287E0">
      <w:start w:val="1"/>
      <w:numFmt w:val="bullet"/>
      <w:lvlText w:val=""/>
      <w:lvlJc w:val="left"/>
      <w:pPr>
        <w:ind w:left="720" w:hanging="180"/>
      </w:pPr>
      <w:rPr>
        <w:rFonts w:ascii="Symbol" w:hAnsi="Symbol" w:hint="default"/>
      </w:rPr>
    </w:lvl>
    <w:lvl w:ilvl="1" w:tplc="03F2A384">
      <w:numFmt w:val="decimal"/>
      <w:lvlText w:val=""/>
      <w:lvlJc w:val="left"/>
    </w:lvl>
    <w:lvl w:ilvl="2" w:tplc="9A4279BA">
      <w:numFmt w:val="decimal"/>
      <w:lvlText w:val=""/>
      <w:lvlJc w:val="left"/>
    </w:lvl>
    <w:lvl w:ilvl="3" w:tplc="363ACB44">
      <w:numFmt w:val="decimal"/>
      <w:lvlText w:val=""/>
      <w:lvlJc w:val="left"/>
    </w:lvl>
    <w:lvl w:ilvl="4" w:tplc="8E4C7CFA">
      <w:numFmt w:val="decimal"/>
      <w:lvlText w:val=""/>
      <w:lvlJc w:val="left"/>
    </w:lvl>
    <w:lvl w:ilvl="5" w:tplc="1402F47A">
      <w:numFmt w:val="decimal"/>
      <w:lvlText w:val=""/>
      <w:lvlJc w:val="left"/>
    </w:lvl>
    <w:lvl w:ilvl="6" w:tplc="92288A18">
      <w:numFmt w:val="decimal"/>
      <w:lvlText w:val=""/>
      <w:lvlJc w:val="left"/>
    </w:lvl>
    <w:lvl w:ilvl="7" w:tplc="28DE264A">
      <w:numFmt w:val="decimal"/>
      <w:lvlText w:val=""/>
      <w:lvlJc w:val="left"/>
    </w:lvl>
    <w:lvl w:ilvl="8" w:tplc="4CB08D7C">
      <w:numFmt w:val="decimal"/>
      <w:lvlText w:val=""/>
      <w:lvlJc w:val="left"/>
    </w:lvl>
  </w:abstractNum>
  <w:abstractNum w:abstractNumId="370" w15:restartNumberingAfterBreak="0">
    <w:nsid w:val="27D01806"/>
    <w:multiLevelType w:val="hybridMultilevel"/>
    <w:tmpl w:val="9DDA27A6"/>
    <w:lvl w:ilvl="0" w:tplc="9250976C">
      <w:start w:val="1"/>
      <w:numFmt w:val="bullet"/>
      <w:lvlText w:val=""/>
      <w:lvlJc w:val="left"/>
      <w:pPr>
        <w:ind w:left="720" w:hanging="180"/>
      </w:pPr>
      <w:rPr>
        <w:rFonts w:ascii="Symbol" w:hAnsi="Symbol" w:hint="default"/>
      </w:rPr>
    </w:lvl>
    <w:lvl w:ilvl="1" w:tplc="874AA23A">
      <w:numFmt w:val="decimal"/>
      <w:lvlText w:val=""/>
      <w:lvlJc w:val="left"/>
    </w:lvl>
    <w:lvl w:ilvl="2" w:tplc="0A4C854E">
      <w:numFmt w:val="decimal"/>
      <w:lvlText w:val=""/>
      <w:lvlJc w:val="left"/>
    </w:lvl>
    <w:lvl w:ilvl="3" w:tplc="7BCCC99C">
      <w:numFmt w:val="decimal"/>
      <w:lvlText w:val=""/>
      <w:lvlJc w:val="left"/>
    </w:lvl>
    <w:lvl w:ilvl="4" w:tplc="FF82E7BE">
      <w:numFmt w:val="decimal"/>
      <w:lvlText w:val=""/>
      <w:lvlJc w:val="left"/>
    </w:lvl>
    <w:lvl w:ilvl="5" w:tplc="E61A1A8E">
      <w:numFmt w:val="decimal"/>
      <w:lvlText w:val=""/>
      <w:lvlJc w:val="left"/>
    </w:lvl>
    <w:lvl w:ilvl="6" w:tplc="0422F2DA">
      <w:numFmt w:val="decimal"/>
      <w:lvlText w:val=""/>
      <w:lvlJc w:val="left"/>
    </w:lvl>
    <w:lvl w:ilvl="7" w:tplc="1F402800">
      <w:numFmt w:val="decimal"/>
      <w:lvlText w:val=""/>
      <w:lvlJc w:val="left"/>
    </w:lvl>
    <w:lvl w:ilvl="8" w:tplc="013C9208">
      <w:numFmt w:val="decimal"/>
      <w:lvlText w:val=""/>
      <w:lvlJc w:val="left"/>
    </w:lvl>
  </w:abstractNum>
  <w:abstractNum w:abstractNumId="371" w15:restartNumberingAfterBreak="0">
    <w:nsid w:val="27D97A79"/>
    <w:multiLevelType w:val="hybridMultilevel"/>
    <w:tmpl w:val="AD80872E"/>
    <w:lvl w:ilvl="0" w:tplc="6554B7EC">
      <w:start w:val="1"/>
      <w:numFmt w:val="bullet"/>
      <w:lvlText w:val=""/>
      <w:lvlJc w:val="left"/>
      <w:pPr>
        <w:ind w:left="720" w:hanging="180"/>
      </w:pPr>
      <w:rPr>
        <w:rFonts w:ascii="Symbol" w:hAnsi="Symbol" w:hint="default"/>
      </w:rPr>
    </w:lvl>
    <w:lvl w:ilvl="1" w:tplc="885E294E">
      <w:numFmt w:val="decimal"/>
      <w:lvlText w:val=""/>
      <w:lvlJc w:val="left"/>
    </w:lvl>
    <w:lvl w:ilvl="2" w:tplc="06A06D12">
      <w:numFmt w:val="decimal"/>
      <w:lvlText w:val=""/>
      <w:lvlJc w:val="left"/>
    </w:lvl>
    <w:lvl w:ilvl="3" w:tplc="E28EFAC4">
      <w:numFmt w:val="decimal"/>
      <w:lvlText w:val=""/>
      <w:lvlJc w:val="left"/>
    </w:lvl>
    <w:lvl w:ilvl="4" w:tplc="D0EEF9DA">
      <w:numFmt w:val="decimal"/>
      <w:lvlText w:val=""/>
      <w:lvlJc w:val="left"/>
    </w:lvl>
    <w:lvl w:ilvl="5" w:tplc="CE96D2A0">
      <w:numFmt w:val="decimal"/>
      <w:lvlText w:val=""/>
      <w:lvlJc w:val="left"/>
    </w:lvl>
    <w:lvl w:ilvl="6" w:tplc="E3F25870">
      <w:numFmt w:val="decimal"/>
      <w:lvlText w:val=""/>
      <w:lvlJc w:val="left"/>
    </w:lvl>
    <w:lvl w:ilvl="7" w:tplc="561E3F26">
      <w:numFmt w:val="decimal"/>
      <w:lvlText w:val=""/>
      <w:lvlJc w:val="left"/>
    </w:lvl>
    <w:lvl w:ilvl="8" w:tplc="1BD65B30">
      <w:numFmt w:val="decimal"/>
      <w:lvlText w:val=""/>
      <w:lvlJc w:val="left"/>
    </w:lvl>
  </w:abstractNum>
  <w:abstractNum w:abstractNumId="372" w15:restartNumberingAfterBreak="0">
    <w:nsid w:val="28132A26"/>
    <w:multiLevelType w:val="hybridMultilevel"/>
    <w:tmpl w:val="4A201324"/>
    <w:lvl w:ilvl="0" w:tplc="CFE05492">
      <w:start w:val="1"/>
      <w:numFmt w:val="bullet"/>
      <w:lvlText w:val=""/>
      <w:lvlJc w:val="left"/>
      <w:pPr>
        <w:ind w:left="720" w:hanging="180"/>
      </w:pPr>
      <w:rPr>
        <w:rFonts w:ascii="Symbol" w:hAnsi="Symbol" w:hint="default"/>
      </w:rPr>
    </w:lvl>
    <w:lvl w:ilvl="1" w:tplc="ECA8A38C">
      <w:numFmt w:val="decimal"/>
      <w:lvlText w:val=""/>
      <w:lvlJc w:val="left"/>
    </w:lvl>
    <w:lvl w:ilvl="2" w:tplc="A9163DA4">
      <w:numFmt w:val="decimal"/>
      <w:lvlText w:val=""/>
      <w:lvlJc w:val="left"/>
    </w:lvl>
    <w:lvl w:ilvl="3" w:tplc="2DAC6F42">
      <w:numFmt w:val="decimal"/>
      <w:lvlText w:val=""/>
      <w:lvlJc w:val="left"/>
    </w:lvl>
    <w:lvl w:ilvl="4" w:tplc="AA0AC420">
      <w:numFmt w:val="decimal"/>
      <w:lvlText w:val=""/>
      <w:lvlJc w:val="left"/>
    </w:lvl>
    <w:lvl w:ilvl="5" w:tplc="A52E7AEC">
      <w:numFmt w:val="decimal"/>
      <w:lvlText w:val=""/>
      <w:lvlJc w:val="left"/>
    </w:lvl>
    <w:lvl w:ilvl="6" w:tplc="4AA64DEA">
      <w:numFmt w:val="decimal"/>
      <w:lvlText w:val=""/>
      <w:lvlJc w:val="left"/>
    </w:lvl>
    <w:lvl w:ilvl="7" w:tplc="624EA2F2">
      <w:numFmt w:val="decimal"/>
      <w:lvlText w:val=""/>
      <w:lvlJc w:val="left"/>
    </w:lvl>
    <w:lvl w:ilvl="8" w:tplc="99721692">
      <w:numFmt w:val="decimal"/>
      <w:lvlText w:val=""/>
      <w:lvlJc w:val="left"/>
    </w:lvl>
  </w:abstractNum>
  <w:abstractNum w:abstractNumId="373" w15:restartNumberingAfterBreak="0">
    <w:nsid w:val="28311526"/>
    <w:multiLevelType w:val="hybridMultilevel"/>
    <w:tmpl w:val="F0186898"/>
    <w:lvl w:ilvl="0" w:tplc="076C038A">
      <w:start w:val="1"/>
      <w:numFmt w:val="bullet"/>
      <w:lvlText w:val=""/>
      <w:lvlJc w:val="left"/>
      <w:pPr>
        <w:ind w:left="720" w:hanging="180"/>
      </w:pPr>
      <w:rPr>
        <w:rFonts w:ascii="Symbol" w:hAnsi="Symbol" w:hint="default"/>
      </w:rPr>
    </w:lvl>
    <w:lvl w:ilvl="1" w:tplc="FDE00B26">
      <w:numFmt w:val="decimal"/>
      <w:lvlText w:val=""/>
      <w:lvlJc w:val="left"/>
    </w:lvl>
    <w:lvl w:ilvl="2" w:tplc="0868FAAA">
      <w:numFmt w:val="decimal"/>
      <w:lvlText w:val=""/>
      <w:lvlJc w:val="left"/>
    </w:lvl>
    <w:lvl w:ilvl="3" w:tplc="F14A5D70">
      <w:numFmt w:val="decimal"/>
      <w:lvlText w:val=""/>
      <w:lvlJc w:val="left"/>
    </w:lvl>
    <w:lvl w:ilvl="4" w:tplc="172C7446">
      <w:numFmt w:val="decimal"/>
      <w:lvlText w:val=""/>
      <w:lvlJc w:val="left"/>
    </w:lvl>
    <w:lvl w:ilvl="5" w:tplc="3DCA0132">
      <w:numFmt w:val="decimal"/>
      <w:lvlText w:val=""/>
      <w:lvlJc w:val="left"/>
    </w:lvl>
    <w:lvl w:ilvl="6" w:tplc="5C06E202">
      <w:numFmt w:val="decimal"/>
      <w:lvlText w:val=""/>
      <w:lvlJc w:val="left"/>
    </w:lvl>
    <w:lvl w:ilvl="7" w:tplc="0030A06A">
      <w:numFmt w:val="decimal"/>
      <w:lvlText w:val=""/>
      <w:lvlJc w:val="left"/>
    </w:lvl>
    <w:lvl w:ilvl="8" w:tplc="808E5D76">
      <w:numFmt w:val="decimal"/>
      <w:lvlText w:val=""/>
      <w:lvlJc w:val="left"/>
    </w:lvl>
  </w:abstractNum>
  <w:abstractNum w:abstractNumId="374" w15:restartNumberingAfterBreak="0">
    <w:nsid w:val="28312805"/>
    <w:multiLevelType w:val="hybridMultilevel"/>
    <w:tmpl w:val="E8CC8472"/>
    <w:lvl w:ilvl="0" w:tplc="9DF43012">
      <w:start w:val="1"/>
      <w:numFmt w:val="bullet"/>
      <w:lvlText w:val=""/>
      <w:lvlJc w:val="left"/>
      <w:pPr>
        <w:ind w:left="720" w:hanging="180"/>
      </w:pPr>
      <w:rPr>
        <w:rFonts w:ascii="Symbol" w:hAnsi="Symbol" w:hint="default"/>
      </w:rPr>
    </w:lvl>
    <w:lvl w:ilvl="1" w:tplc="87C86C04">
      <w:numFmt w:val="decimal"/>
      <w:lvlText w:val=""/>
      <w:lvlJc w:val="left"/>
    </w:lvl>
    <w:lvl w:ilvl="2" w:tplc="37C85CC6">
      <w:numFmt w:val="decimal"/>
      <w:lvlText w:val=""/>
      <w:lvlJc w:val="left"/>
    </w:lvl>
    <w:lvl w:ilvl="3" w:tplc="A2DA0E2C">
      <w:numFmt w:val="decimal"/>
      <w:lvlText w:val=""/>
      <w:lvlJc w:val="left"/>
    </w:lvl>
    <w:lvl w:ilvl="4" w:tplc="26A02EC4">
      <w:numFmt w:val="decimal"/>
      <w:lvlText w:val=""/>
      <w:lvlJc w:val="left"/>
    </w:lvl>
    <w:lvl w:ilvl="5" w:tplc="5C164E18">
      <w:numFmt w:val="decimal"/>
      <w:lvlText w:val=""/>
      <w:lvlJc w:val="left"/>
    </w:lvl>
    <w:lvl w:ilvl="6" w:tplc="5F884B58">
      <w:numFmt w:val="decimal"/>
      <w:lvlText w:val=""/>
      <w:lvlJc w:val="left"/>
    </w:lvl>
    <w:lvl w:ilvl="7" w:tplc="FE023F00">
      <w:numFmt w:val="decimal"/>
      <w:lvlText w:val=""/>
      <w:lvlJc w:val="left"/>
    </w:lvl>
    <w:lvl w:ilvl="8" w:tplc="3D74D590">
      <w:numFmt w:val="decimal"/>
      <w:lvlText w:val=""/>
      <w:lvlJc w:val="left"/>
    </w:lvl>
  </w:abstractNum>
  <w:abstractNum w:abstractNumId="375" w15:restartNumberingAfterBreak="0">
    <w:nsid w:val="28591D79"/>
    <w:multiLevelType w:val="hybridMultilevel"/>
    <w:tmpl w:val="A196A31A"/>
    <w:lvl w:ilvl="0" w:tplc="C556F3FC">
      <w:start w:val="1"/>
      <w:numFmt w:val="bullet"/>
      <w:lvlText w:val=""/>
      <w:lvlJc w:val="left"/>
      <w:pPr>
        <w:ind w:left="720" w:hanging="180"/>
      </w:pPr>
      <w:rPr>
        <w:rFonts w:ascii="Symbol" w:hAnsi="Symbol" w:hint="default"/>
      </w:rPr>
    </w:lvl>
    <w:lvl w:ilvl="1" w:tplc="BFC43D12">
      <w:numFmt w:val="decimal"/>
      <w:lvlText w:val=""/>
      <w:lvlJc w:val="left"/>
    </w:lvl>
    <w:lvl w:ilvl="2" w:tplc="56684B7C">
      <w:numFmt w:val="decimal"/>
      <w:lvlText w:val=""/>
      <w:lvlJc w:val="left"/>
    </w:lvl>
    <w:lvl w:ilvl="3" w:tplc="3472410E">
      <w:numFmt w:val="decimal"/>
      <w:lvlText w:val=""/>
      <w:lvlJc w:val="left"/>
    </w:lvl>
    <w:lvl w:ilvl="4" w:tplc="3D181910">
      <w:numFmt w:val="decimal"/>
      <w:lvlText w:val=""/>
      <w:lvlJc w:val="left"/>
    </w:lvl>
    <w:lvl w:ilvl="5" w:tplc="DD98CC62">
      <w:numFmt w:val="decimal"/>
      <w:lvlText w:val=""/>
      <w:lvlJc w:val="left"/>
    </w:lvl>
    <w:lvl w:ilvl="6" w:tplc="75246408">
      <w:numFmt w:val="decimal"/>
      <w:lvlText w:val=""/>
      <w:lvlJc w:val="left"/>
    </w:lvl>
    <w:lvl w:ilvl="7" w:tplc="1846A1AC">
      <w:numFmt w:val="decimal"/>
      <w:lvlText w:val=""/>
      <w:lvlJc w:val="left"/>
    </w:lvl>
    <w:lvl w:ilvl="8" w:tplc="F1D65248">
      <w:numFmt w:val="decimal"/>
      <w:lvlText w:val=""/>
      <w:lvlJc w:val="left"/>
    </w:lvl>
  </w:abstractNum>
  <w:abstractNum w:abstractNumId="376" w15:restartNumberingAfterBreak="0">
    <w:nsid w:val="286022BC"/>
    <w:multiLevelType w:val="hybridMultilevel"/>
    <w:tmpl w:val="7554AE26"/>
    <w:lvl w:ilvl="0" w:tplc="623CEEB2">
      <w:start w:val="1"/>
      <w:numFmt w:val="bullet"/>
      <w:lvlText w:val=""/>
      <w:lvlJc w:val="left"/>
      <w:pPr>
        <w:ind w:left="720" w:hanging="180"/>
      </w:pPr>
      <w:rPr>
        <w:rFonts w:ascii="Symbol" w:hAnsi="Symbol" w:hint="default"/>
      </w:rPr>
    </w:lvl>
    <w:lvl w:ilvl="1" w:tplc="DACA1D74">
      <w:numFmt w:val="decimal"/>
      <w:lvlText w:val=""/>
      <w:lvlJc w:val="left"/>
    </w:lvl>
    <w:lvl w:ilvl="2" w:tplc="460815F6">
      <w:numFmt w:val="decimal"/>
      <w:lvlText w:val=""/>
      <w:lvlJc w:val="left"/>
    </w:lvl>
    <w:lvl w:ilvl="3" w:tplc="0002CD1A">
      <w:numFmt w:val="decimal"/>
      <w:lvlText w:val=""/>
      <w:lvlJc w:val="left"/>
    </w:lvl>
    <w:lvl w:ilvl="4" w:tplc="0AF00BAC">
      <w:numFmt w:val="decimal"/>
      <w:lvlText w:val=""/>
      <w:lvlJc w:val="left"/>
    </w:lvl>
    <w:lvl w:ilvl="5" w:tplc="27BE1F4C">
      <w:numFmt w:val="decimal"/>
      <w:lvlText w:val=""/>
      <w:lvlJc w:val="left"/>
    </w:lvl>
    <w:lvl w:ilvl="6" w:tplc="1E668594">
      <w:numFmt w:val="decimal"/>
      <w:lvlText w:val=""/>
      <w:lvlJc w:val="left"/>
    </w:lvl>
    <w:lvl w:ilvl="7" w:tplc="E21C05CE">
      <w:numFmt w:val="decimal"/>
      <w:lvlText w:val=""/>
      <w:lvlJc w:val="left"/>
    </w:lvl>
    <w:lvl w:ilvl="8" w:tplc="E902960E">
      <w:numFmt w:val="decimal"/>
      <w:lvlText w:val=""/>
      <w:lvlJc w:val="left"/>
    </w:lvl>
  </w:abstractNum>
  <w:abstractNum w:abstractNumId="377" w15:restartNumberingAfterBreak="0">
    <w:nsid w:val="287C55EE"/>
    <w:multiLevelType w:val="hybridMultilevel"/>
    <w:tmpl w:val="990C08B8"/>
    <w:lvl w:ilvl="0" w:tplc="FFECC360">
      <w:start w:val="1"/>
      <w:numFmt w:val="bullet"/>
      <w:lvlText w:val=""/>
      <w:lvlJc w:val="left"/>
      <w:pPr>
        <w:ind w:left="720" w:hanging="180"/>
      </w:pPr>
      <w:rPr>
        <w:rFonts w:ascii="Symbol" w:hAnsi="Symbol" w:hint="default"/>
      </w:rPr>
    </w:lvl>
    <w:lvl w:ilvl="1" w:tplc="F56E0DB0">
      <w:numFmt w:val="decimal"/>
      <w:lvlText w:val=""/>
      <w:lvlJc w:val="left"/>
    </w:lvl>
    <w:lvl w:ilvl="2" w:tplc="586A3592">
      <w:numFmt w:val="decimal"/>
      <w:lvlText w:val=""/>
      <w:lvlJc w:val="left"/>
    </w:lvl>
    <w:lvl w:ilvl="3" w:tplc="AB86C42A">
      <w:numFmt w:val="decimal"/>
      <w:lvlText w:val=""/>
      <w:lvlJc w:val="left"/>
    </w:lvl>
    <w:lvl w:ilvl="4" w:tplc="17AEB66E">
      <w:numFmt w:val="decimal"/>
      <w:lvlText w:val=""/>
      <w:lvlJc w:val="left"/>
    </w:lvl>
    <w:lvl w:ilvl="5" w:tplc="474A6298">
      <w:numFmt w:val="decimal"/>
      <w:lvlText w:val=""/>
      <w:lvlJc w:val="left"/>
    </w:lvl>
    <w:lvl w:ilvl="6" w:tplc="F8BCF0A0">
      <w:numFmt w:val="decimal"/>
      <w:lvlText w:val=""/>
      <w:lvlJc w:val="left"/>
    </w:lvl>
    <w:lvl w:ilvl="7" w:tplc="AE4AF5AE">
      <w:numFmt w:val="decimal"/>
      <w:lvlText w:val=""/>
      <w:lvlJc w:val="left"/>
    </w:lvl>
    <w:lvl w:ilvl="8" w:tplc="DB20052E">
      <w:numFmt w:val="decimal"/>
      <w:lvlText w:val=""/>
      <w:lvlJc w:val="left"/>
    </w:lvl>
  </w:abstractNum>
  <w:abstractNum w:abstractNumId="378" w15:restartNumberingAfterBreak="0">
    <w:nsid w:val="28922344"/>
    <w:multiLevelType w:val="hybridMultilevel"/>
    <w:tmpl w:val="3B742288"/>
    <w:lvl w:ilvl="0" w:tplc="04CAFB2C">
      <w:start w:val="1"/>
      <w:numFmt w:val="bullet"/>
      <w:lvlText w:val=""/>
      <w:lvlJc w:val="left"/>
      <w:pPr>
        <w:ind w:left="720" w:hanging="180"/>
      </w:pPr>
      <w:rPr>
        <w:rFonts w:ascii="Symbol" w:hAnsi="Symbol" w:hint="default"/>
      </w:rPr>
    </w:lvl>
    <w:lvl w:ilvl="1" w:tplc="77522638">
      <w:numFmt w:val="decimal"/>
      <w:lvlText w:val=""/>
      <w:lvlJc w:val="left"/>
    </w:lvl>
    <w:lvl w:ilvl="2" w:tplc="BE066C3C">
      <w:numFmt w:val="decimal"/>
      <w:lvlText w:val=""/>
      <w:lvlJc w:val="left"/>
    </w:lvl>
    <w:lvl w:ilvl="3" w:tplc="BE4285FC">
      <w:numFmt w:val="decimal"/>
      <w:lvlText w:val=""/>
      <w:lvlJc w:val="left"/>
    </w:lvl>
    <w:lvl w:ilvl="4" w:tplc="94786E14">
      <w:numFmt w:val="decimal"/>
      <w:lvlText w:val=""/>
      <w:lvlJc w:val="left"/>
    </w:lvl>
    <w:lvl w:ilvl="5" w:tplc="7FC07372">
      <w:numFmt w:val="decimal"/>
      <w:lvlText w:val=""/>
      <w:lvlJc w:val="left"/>
    </w:lvl>
    <w:lvl w:ilvl="6" w:tplc="67A0CADC">
      <w:numFmt w:val="decimal"/>
      <w:lvlText w:val=""/>
      <w:lvlJc w:val="left"/>
    </w:lvl>
    <w:lvl w:ilvl="7" w:tplc="EA08B378">
      <w:numFmt w:val="decimal"/>
      <w:lvlText w:val=""/>
      <w:lvlJc w:val="left"/>
    </w:lvl>
    <w:lvl w:ilvl="8" w:tplc="921E31B0">
      <w:numFmt w:val="decimal"/>
      <w:lvlText w:val=""/>
      <w:lvlJc w:val="left"/>
    </w:lvl>
  </w:abstractNum>
  <w:abstractNum w:abstractNumId="379" w15:restartNumberingAfterBreak="0">
    <w:nsid w:val="289A68C7"/>
    <w:multiLevelType w:val="hybridMultilevel"/>
    <w:tmpl w:val="F22E6336"/>
    <w:lvl w:ilvl="0" w:tplc="8BDE5E56">
      <w:start w:val="1"/>
      <w:numFmt w:val="bullet"/>
      <w:lvlText w:val=""/>
      <w:lvlJc w:val="left"/>
      <w:pPr>
        <w:ind w:left="720" w:hanging="180"/>
      </w:pPr>
      <w:rPr>
        <w:rFonts w:ascii="Symbol" w:hAnsi="Symbol" w:hint="default"/>
      </w:rPr>
    </w:lvl>
    <w:lvl w:ilvl="1" w:tplc="75DE3AC6">
      <w:numFmt w:val="decimal"/>
      <w:lvlText w:val=""/>
      <w:lvlJc w:val="left"/>
    </w:lvl>
    <w:lvl w:ilvl="2" w:tplc="51E8C8F2">
      <w:numFmt w:val="decimal"/>
      <w:lvlText w:val=""/>
      <w:lvlJc w:val="left"/>
    </w:lvl>
    <w:lvl w:ilvl="3" w:tplc="8A3815C2">
      <w:numFmt w:val="decimal"/>
      <w:lvlText w:val=""/>
      <w:lvlJc w:val="left"/>
    </w:lvl>
    <w:lvl w:ilvl="4" w:tplc="1218A560">
      <w:numFmt w:val="decimal"/>
      <w:lvlText w:val=""/>
      <w:lvlJc w:val="left"/>
    </w:lvl>
    <w:lvl w:ilvl="5" w:tplc="CD667A08">
      <w:numFmt w:val="decimal"/>
      <w:lvlText w:val=""/>
      <w:lvlJc w:val="left"/>
    </w:lvl>
    <w:lvl w:ilvl="6" w:tplc="0F86C88E">
      <w:numFmt w:val="decimal"/>
      <w:lvlText w:val=""/>
      <w:lvlJc w:val="left"/>
    </w:lvl>
    <w:lvl w:ilvl="7" w:tplc="767A97B6">
      <w:numFmt w:val="decimal"/>
      <w:lvlText w:val=""/>
      <w:lvlJc w:val="left"/>
    </w:lvl>
    <w:lvl w:ilvl="8" w:tplc="A4D04EF2">
      <w:numFmt w:val="decimal"/>
      <w:lvlText w:val=""/>
      <w:lvlJc w:val="left"/>
    </w:lvl>
  </w:abstractNum>
  <w:abstractNum w:abstractNumId="380" w15:restartNumberingAfterBreak="0">
    <w:nsid w:val="28B603F9"/>
    <w:multiLevelType w:val="hybridMultilevel"/>
    <w:tmpl w:val="1900721A"/>
    <w:lvl w:ilvl="0" w:tplc="C9C66FEA">
      <w:numFmt w:val="decimal"/>
      <w:lvlText w:val=""/>
      <w:lvlJc w:val="left"/>
    </w:lvl>
    <w:lvl w:ilvl="1" w:tplc="06C64052">
      <w:start w:val="1"/>
      <w:numFmt w:val="bullet"/>
      <w:lvlText w:val=""/>
      <w:lvlJc w:val="left"/>
      <w:pPr>
        <w:ind w:left="1440" w:hanging="180"/>
      </w:pPr>
      <w:rPr>
        <w:rFonts w:ascii="Symbol" w:hAnsi="Symbol" w:hint="default"/>
      </w:rPr>
    </w:lvl>
    <w:lvl w:ilvl="2" w:tplc="DF2AC9F4">
      <w:numFmt w:val="decimal"/>
      <w:lvlText w:val=""/>
      <w:lvlJc w:val="left"/>
    </w:lvl>
    <w:lvl w:ilvl="3" w:tplc="363892BA">
      <w:numFmt w:val="decimal"/>
      <w:lvlText w:val=""/>
      <w:lvlJc w:val="left"/>
    </w:lvl>
    <w:lvl w:ilvl="4" w:tplc="6BC021C6">
      <w:numFmt w:val="decimal"/>
      <w:lvlText w:val=""/>
      <w:lvlJc w:val="left"/>
    </w:lvl>
    <w:lvl w:ilvl="5" w:tplc="2DAA3974">
      <w:numFmt w:val="decimal"/>
      <w:lvlText w:val=""/>
      <w:lvlJc w:val="left"/>
    </w:lvl>
    <w:lvl w:ilvl="6" w:tplc="90802A46">
      <w:numFmt w:val="decimal"/>
      <w:lvlText w:val=""/>
      <w:lvlJc w:val="left"/>
    </w:lvl>
    <w:lvl w:ilvl="7" w:tplc="4B9C0492">
      <w:numFmt w:val="decimal"/>
      <w:lvlText w:val=""/>
      <w:lvlJc w:val="left"/>
    </w:lvl>
    <w:lvl w:ilvl="8" w:tplc="B4D8725E">
      <w:numFmt w:val="decimal"/>
      <w:lvlText w:val=""/>
      <w:lvlJc w:val="left"/>
    </w:lvl>
  </w:abstractNum>
  <w:abstractNum w:abstractNumId="381" w15:restartNumberingAfterBreak="0">
    <w:nsid w:val="28E16C82"/>
    <w:multiLevelType w:val="hybridMultilevel"/>
    <w:tmpl w:val="F8F8F2DE"/>
    <w:lvl w:ilvl="0" w:tplc="B91634B6">
      <w:start w:val="1"/>
      <w:numFmt w:val="bullet"/>
      <w:lvlText w:val=""/>
      <w:lvlJc w:val="left"/>
      <w:pPr>
        <w:ind w:left="720" w:hanging="180"/>
      </w:pPr>
      <w:rPr>
        <w:rFonts w:ascii="Symbol" w:hAnsi="Symbol" w:hint="default"/>
      </w:rPr>
    </w:lvl>
    <w:lvl w:ilvl="1" w:tplc="93743388">
      <w:numFmt w:val="decimal"/>
      <w:lvlText w:val=""/>
      <w:lvlJc w:val="left"/>
    </w:lvl>
    <w:lvl w:ilvl="2" w:tplc="43A80248">
      <w:numFmt w:val="decimal"/>
      <w:lvlText w:val=""/>
      <w:lvlJc w:val="left"/>
    </w:lvl>
    <w:lvl w:ilvl="3" w:tplc="F454F612">
      <w:numFmt w:val="decimal"/>
      <w:lvlText w:val=""/>
      <w:lvlJc w:val="left"/>
    </w:lvl>
    <w:lvl w:ilvl="4" w:tplc="D95A06D4">
      <w:numFmt w:val="decimal"/>
      <w:lvlText w:val=""/>
      <w:lvlJc w:val="left"/>
    </w:lvl>
    <w:lvl w:ilvl="5" w:tplc="3F52AA38">
      <w:numFmt w:val="decimal"/>
      <w:lvlText w:val=""/>
      <w:lvlJc w:val="left"/>
    </w:lvl>
    <w:lvl w:ilvl="6" w:tplc="946A0DD4">
      <w:numFmt w:val="decimal"/>
      <w:lvlText w:val=""/>
      <w:lvlJc w:val="left"/>
    </w:lvl>
    <w:lvl w:ilvl="7" w:tplc="C5640302">
      <w:numFmt w:val="decimal"/>
      <w:lvlText w:val=""/>
      <w:lvlJc w:val="left"/>
    </w:lvl>
    <w:lvl w:ilvl="8" w:tplc="C0B6BFA4">
      <w:numFmt w:val="decimal"/>
      <w:lvlText w:val=""/>
      <w:lvlJc w:val="left"/>
    </w:lvl>
  </w:abstractNum>
  <w:abstractNum w:abstractNumId="382" w15:restartNumberingAfterBreak="0">
    <w:nsid w:val="28F0330D"/>
    <w:multiLevelType w:val="hybridMultilevel"/>
    <w:tmpl w:val="5900B33A"/>
    <w:lvl w:ilvl="0" w:tplc="4598692C">
      <w:start w:val="1"/>
      <w:numFmt w:val="bullet"/>
      <w:lvlText w:val=""/>
      <w:lvlJc w:val="left"/>
      <w:pPr>
        <w:ind w:left="720" w:hanging="180"/>
      </w:pPr>
      <w:rPr>
        <w:rFonts w:ascii="Symbol" w:hAnsi="Symbol" w:hint="default"/>
      </w:rPr>
    </w:lvl>
    <w:lvl w:ilvl="1" w:tplc="1DC6BBCE">
      <w:numFmt w:val="decimal"/>
      <w:lvlText w:val=""/>
      <w:lvlJc w:val="left"/>
    </w:lvl>
    <w:lvl w:ilvl="2" w:tplc="7D546114">
      <w:numFmt w:val="decimal"/>
      <w:lvlText w:val=""/>
      <w:lvlJc w:val="left"/>
    </w:lvl>
    <w:lvl w:ilvl="3" w:tplc="98547B48">
      <w:numFmt w:val="decimal"/>
      <w:lvlText w:val=""/>
      <w:lvlJc w:val="left"/>
    </w:lvl>
    <w:lvl w:ilvl="4" w:tplc="1F0C5534">
      <w:numFmt w:val="decimal"/>
      <w:lvlText w:val=""/>
      <w:lvlJc w:val="left"/>
    </w:lvl>
    <w:lvl w:ilvl="5" w:tplc="247CF148">
      <w:numFmt w:val="decimal"/>
      <w:lvlText w:val=""/>
      <w:lvlJc w:val="left"/>
    </w:lvl>
    <w:lvl w:ilvl="6" w:tplc="1DC470EA">
      <w:numFmt w:val="decimal"/>
      <w:lvlText w:val=""/>
      <w:lvlJc w:val="left"/>
    </w:lvl>
    <w:lvl w:ilvl="7" w:tplc="620E3866">
      <w:numFmt w:val="decimal"/>
      <w:lvlText w:val=""/>
      <w:lvlJc w:val="left"/>
    </w:lvl>
    <w:lvl w:ilvl="8" w:tplc="14FEB8CE">
      <w:numFmt w:val="decimal"/>
      <w:lvlText w:val=""/>
      <w:lvlJc w:val="left"/>
    </w:lvl>
  </w:abstractNum>
  <w:abstractNum w:abstractNumId="383" w15:restartNumberingAfterBreak="0">
    <w:nsid w:val="29054DF8"/>
    <w:multiLevelType w:val="hybridMultilevel"/>
    <w:tmpl w:val="F59AA478"/>
    <w:lvl w:ilvl="0" w:tplc="40208DC6">
      <w:start w:val="1"/>
      <w:numFmt w:val="bullet"/>
      <w:lvlText w:val=""/>
      <w:lvlJc w:val="left"/>
      <w:pPr>
        <w:ind w:left="720" w:hanging="180"/>
      </w:pPr>
      <w:rPr>
        <w:rFonts w:ascii="Symbol" w:hAnsi="Symbol" w:hint="default"/>
      </w:rPr>
    </w:lvl>
    <w:lvl w:ilvl="1" w:tplc="5AAAAC1C">
      <w:numFmt w:val="decimal"/>
      <w:lvlText w:val=""/>
      <w:lvlJc w:val="left"/>
    </w:lvl>
    <w:lvl w:ilvl="2" w:tplc="54547F3A">
      <w:numFmt w:val="decimal"/>
      <w:lvlText w:val=""/>
      <w:lvlJc w:val="left"/>
    </w:lvl>
    <w:lvl w:ilvl="3" w:tplc="5F98A8D6">
      <w:numFmt w:val="decimal"/>
      <w:lvlText w:val=""/>
      <w:lvlJc w:val="left"/>
    </w:lvl>
    <w:lvl w:ilvl="4" w:tplc="9650F580">
      <w:numFmt w:val="decimal"/>
      <w:lvlText w:val=""/>
      <w:lvlJc w:val="left"/>
    </w:lvl>
    <w:lvl w:ilvl="5" w:tplc="E02C8A1A">
      <w:numFmt w:val="decimal"/>
      <w:lvlText w:val=""/>
      <w:lvlJc w:val="left"/>
    </w:lvl>
    <w:lvl w:ilvl="6" w:tplc="95F8D5AA">
      <w:numFmt w:val="decimal"/>
      <w:lvlText w:val=""/>
      <w:lvlJc w:val="left"/>
    </w:lvl>
    <w:lvl w:ilvl="7" w:tplc="8F42417A">
      <w:numFmt w:val="decimal"/>
      <w:lvlText w:val=""/>
      <w:lvlJc w:val="left"/>
    </w:lvl>
    <w:lvl w:ilvl="8" w:tplc="6C72B0E8">
      <w:numFmt w:val="decimal"/>
      <w:lvlText w:val=""/>
      <w:lvlJc w:val="left"/>
    </w:lvl>
  </w:abstractNum>
  <w:abstractNum w:abstractNumId="384" w15:restartNumberingAfterBreak="0">
    <w:nsid w:val="290F6173"/>
    <w:multiLevelType w:val="hybridMultilevel"/>
    <w:tmpl w:val="99F4BECE"/>
    <w:lvl w:ilvl="0" w:tplc="6D3E545E">
      <w:start w:val="1"/>
      <w:numFmt w:val="bullet"/>
      <w:lvlText w:val=""/>
      <w:lvlJc w:val="left"/>
      <w:pPr>
        <w:ind w:left="720" w:hanging="180"/>
      </w:pPr>
      <w:rPr>
        <w:rFonts w:ascii="Symbol" w:hAnsi="Symbol" w:hint="default"/>
      </w:rPr>
    </w:lvl>
    <w:lvl w:ilvl="1" w:tplc="047AF692">
      <w:numFmt w:val="decimal"/>
      <w:lvlText w:val=""/>
      <w:lvlJc w:val="left"/>
    </w:lvl>
    <w:lvl w:ilvl="2" w:tplc="FAAE79B0">
      <w:numFmt w:val="decimal"/>
      <w:lvlText w:val=""/>
      <w:lvlJc w:val="left"/>
    </w:lvl>
    <w:lvl w:ilvl="3" w:tplc="F5CC4AB6">
      <w:numFmt w:val="decimal"/>
      <w:lvlText w:val=""/>
      <w:lvlJc w:val="left"/>
    </w:lvl>
    <w:lvl w:ilvl="4" w:tplc="A8E87260">
      <w:numFmt w:val="decimal"/>
      <w:lvlText w:val=""/>
      <w:lvlJc w:val="left"/>
    </w:lvl>
    <w:lvl w:ilvl="5" w:tplc="55B2FC14">
      <w:numFmt w:val="decimal"/>
      <w:lvlText w:val=""/>
      <w:lvlJc w:val="left"/>
    </w:lvl>
    <w:lvl w:ilvl="6" w:tplc="48344DD8">
      <w:numFmt w:val="decimal"/>
      <w:lvlText w:val=""/>
      <w:lvlJc w:val="left"/>
    </w:lvl>
    <w:lvl w:ilvl="7" w:tplc="CD500514">
      <w:numFmt w:val="decimal"/>
      <w:lvlText w:val=""/>
      <w:lvlJc w:val="left"/>
    </w:lvl>
    <w:lvl w:ilvl="8" w:tplc="2098D490">
      <w:numFmt w:val="decimal"/>
      <w:lvlText w:val=""/>
      <w:lvlJc w:val="left"/>
    </w:lvl>
  </w:abstractNum>
  <w:abstractNum w:abstractNumId="385" w15:restartNumberingAfterBreak="0">
    <w:nsid w:val="2920582F"/>
    <w:multiLevelType w:val="hybridMultilevel"/>
    <w:tmpl w:val="95F2D154"/>
    <w:lvl w:ilvl="0" w:tplc="356AB650">
      <w:start w:val="1"/>
      <w:numFmt w:val="bullet"/>
      <w:lvlText w:val=""/>
      <w:lvlJc w:val="left"/>
      <w:pPr>
        <w:ind w:left="720" w:hanging="180"/>
      </w:pPr>
      <w:rPr>
        <w:rFonts w:ascii="Symbol" w:hAnsi="Symbol" w:hint="default"/>
      </w:rPr>
    </w:lvl>
    <w:lvl w:ilvl="1" w:tplc="C694C9A0">
      <w:numFmt w:val="decimal"/>
      <w:lvlText w:val=""/>
      <w:lvlJc w:val="left"/>
    </w:lvl>
    <w:lvl w:ilvl="2" w:tplc="7360CDDE">
      <w:numFmt w:val="decimal"/>
      <w:lvlText w:val=""/>
      <w:lvlJc w:val="left"/>
    </w:lvl>
    <w:lvl w:ilvl="3" w:tplc="64C09A50">
      <w:numFmt w:val="decimal"/>
      <w:lvlText w:val=""/>
      <w:lvlJc w:val="left"/>
    </w:lvl>
    <w:lvl w:ilvl="4" w:tplc="998048F4">
      <w:numFmt w:val="decimal"/>
      <w:lvlText w:val=""/>
      <w:lvlJc w:val="left"/>
    </w:lvl>
    <w:lvl w:ilvl="5" w:tplc="4776F782">
      <w:numFmt w:val="decimal"/>
      <w:lvlText w:val=""/>
      <w:lvlJc w:val="left"/>
    </w:lvl>
    <w:lvl w:ilvl="6" w:tplc="DD8836FA">
      <w:numFmt w:val="decimal"/>
      <w:lvlText w:val=""/>
      <w:lvlJc w:val="left"/>
    </w:lvl>
    <w:lvl w:ilvl="7" w:tplc="7A92A0C2">
      <w:numFmt w:val="decimal"/>
      <w:lvlText w:val=""/>
      <w:lvlJc w:val="left"/>
    </w:lvl>
    <w:lvl w:ilvl="8" w:tplc="DCE4ADA2">
      <w:numFmt w:val="decimal"/>
      <w:lvlText w:val=""/>
      <w:lvlJc w:val="left"/>
    </w:lvl>
  </w:abstractNum>
  <w:abstractNum w:abstractNumId="386" w15:restartNumberingAfterBreak="0">
    <w:nsid w:val="292F1854"/>
    <w:multiLevelType w:val="hybridMultilevel"/>
    <w:tmpl w:val="F84654B4"/>
    <w:lvl w:ilvl="0" w:tplc="0B5C10A2">
      <w:start w:val="1"/>
      <w:numFmt w:val="bullet"/>
      <w:lvlText w:val=""/>
      <w:lvlJc w:val="left"/>
      <w:pPr>
        <w:ind w:left="720" w:hanging="180"/>
      </w:pPr>
      <w:rPr>
        <w:rFonts w:ascii="Symbol" w:hAnsi="Symbol" w:hint="default"/>
      </w:rPr>
    </w:lvl>
    <w:lvl w:ilvl="1" w:tplc="6E68186E">
      <w:numFmt w:val="decimal"/>
      <w:lvlText w:val=""/>
      <w:lvlJc w:val="left"/>
    </w:lvl>
    <w:lvl w:ilvl="2" w:tplc="79B69C26">
      <w:numFmt w:val="decimal"/>
      <w:lvlText w:val=""/>
      <w:lvlJc w:val="left"/>
    </w:lvl>
    <w:lvl w:ilvl="3" w:tplc="0554B7DC">
      <w:numFmt w:val="decimal"/>
      <w:lvlText w:val=""/>
      <w:lvlJc w:val="left"/>
    </w:lvl>
    <w:lvl w:ilvl="4" w:tplc="E44823C6">
      <w:numFmt w:val="decimal"/>
      <w:lvlText w:val=""/>
      <w:lvlJc w:val="left"/>
    </w:lvl>
    <w:lvl w:ilvl="5" w:tplc="D1C27B22">
      <w:numFmt w:val="decimal"/>
      <w:lvlText w:val=""/>
      <w:lvlJc w:val="left"/>
    </w:lvl>
    <w:lvl w:ilvl="6" w:tplc="3E5EF7EE">
      <w:numFmt w:val="decimal"/>
      <w:lvlText w:val=""/>
      <w:lvlJc w:val="left"/>
    </w:lvl>
    <w:lvl w:ilvl="7" w:tplc="0C58D35A">
      <w:numFmt w:val="decimal"/>
      <w:lvlText w:val=""/>
      <w:lvlJc w:val="left"/>
    </w:lvl>
    <w:lvl w:ilvl="8" w:tplc="CD526168">
      <w:numFmt w:val="decimal"/>
      <w:lvlText w:val=""/>
      <w:lvlJc w:val="left"/>
    </w:lvl>
  </w:abstractNum>
  <w:abstractNum w:abstractNumId="387" w15:restartNumberingAfterBreak="0">
    <w:nsid w:val="29607F92"/>
    <w:multiLevelType w:val="hybridMultilevel"/>
    <w:tmpl w:val="C5A49B44"/>
    <w:lvl w:ilvl="0" w:tplc="EF8C517C">
      <w:start w:val="1"/>
      <w:numFmt w:val="bullet"/>
      <w:lvlText w:val=""/>
      <w:lvlJc w:val="left"/>
      <w:pPr>
        <w:ind w:left="720" w:hanging="180"/>
      </w:pPr>
      <w:rPr>
        <w:rFonts w:ascii="Symbol" w:hAnsi="Symbol" w:hint="default"/>
      </w:rPr>
    </w:lvl>
    <w:lvl w:ilvl="1" w:tplc="9154B768">
      <w:numFmt w:val="decimal"/>
      <w:lvlText w:val=""/>
      <w:lvlJc w:val="left"/>
    </w:lvl>
    <w:lvl w:ilvl="2" w:tplc="7F5EAE2C">
      <w:numFmt w:val="decimal"/>
      <w:lvlText w:val=""/>
      <w:lvlJc w:val="left"/>
    </w:lvl>
    <w:lvl w:ilvl="3" w:tplc="3DB8070C">
      <w:numFmt w:val="decimal"/>
      <w:lvlText w:val=""/>
      <w:lvlJc w:val="left"/>
    </w:lvl>
    <w:lvl w:ilvl="4" w:tplc="C4BE4938">
      <w:numFmt w:val="decimal"/>
      <w:lvlText w:val=""/>
      <w:lvlJc w:val="left"/>
    </w:lvl>
    <w:lvl w:ilvl="5" w:tplc="7974D2C2">
      <w:numFmt w:val="decimal"/>
      <w:lvlText w:val=""/>
      <w:lvlJc w:val="left"/>
    </w:lvl>
    <w:lvl w:ilvl="6" w:tplc="0DDCFEAA">
      <w:numFmt w:val="decimal"/>
      <w:lvlText w:val=""/>
      <w:lvlJc w:val="left"/>
    </w:lvl>
    <w:lvl w:ilvl="7" w:tplc="5F56C2F2">
      <w:numFmt w:val="decimal"/>
      <w:lvlText w:val=""/>
      <w:lvlJc w:val="left"/>
    </w:lvl>
    <w:lvl w:ilvl="8" w:tplc="5A32ACF2">
      <w:numFmt w:val="decimal"/>
      <w:lvlText w:val=""/>
      <w:lvlJc w:val="left"/>
    </w:lvl>
  </w:abstractNum>
  <w:abstractNum w:abstractNumId="388" w15:restartNumberingAfterBreak="0">
    <w:nsid w:val="29A26CAD"/>
    <w:multiLevelType w:val="hybridMultilevel"/>
    <w:tmpl w:val="EBF47AE6"/>
    <w:lvl w:ilvl="0" w:tplc="3466A2A6">
      <w:start w:val="1"/>
      <w:numFmt w:val="bullet"/>
      <w:lvlText w:val=""/>
      <w:lvlJc w:val="left"/>
      <w:pPr>
        <w:ind w:left="720" w:hanging="180"/>
      </w:pPr>
      <w:rPr>
        <w:rFonts w:ascii="Symbol" w:hAnsi="Symbol" w:hint="default"/>
      </w:rPr>
    </w:lvl>
    <w:lvl w:ilvl="1" w:tplc="4F8AF20C">
      <w:numFmt w:val="decimal"/>
      <w:lvlText w:val=""/>
      <w:lvlJc w:val="left"/>
    </w:lvl>
    <w:lvl w:ilvl="2" w:tplc="42C4A860">
      <w:numFmt w:val="decimal"/>
      <w:lvlText w:val=""/>
      <w:lvlJc w:val="left"/>
    </w:lvl>
    <w:lvl w:ilvl="3" w:tplc="D8E41CE6">
      <w:numFmt w:val="decimal"/>
      <w:lvlText w:val=""/>
      <w:lvlJc w:val="left"/>
    </w:lvl>
    <w:lvl w:ilvl="4" w:tplc="272AE2D8">
      <w:numFmt w:val="decimal"/>
      <w:lvlText w:val=""/>
      <w:lvlJc w:val="left"/>
    </w:lvl>
    <w:lvl w:ilvl="5" w:tplc="115A005A">
      <w:numFmt w:val="decimal"/>
      <w:lvlText w:val=""/>
      <w:lvlJc w:val="left"/>
    </w:lvl>
    <w:lvl w:ilvl="6" w:tplc="E45AD578">
      <w:numFmt w:val="decimal"/>
      <w:lvlText w:val=""/>
      <w:lvlJc w:val="left"/>
    </w:lvl>
    <w:lvl w:ilvl="7" w:tplc="F10857C4">
      <w:numFmt w:val="decimal"/>
      <w:lvlText w:val=""/>
      <w:lvlJc w:val="left"/>
    </w:lvl>
    <w:lvl w:ilvl="8" w:tplc="7E923168">
      <w:numFmt w:val="decimal"/>
      <w:lvlText w:val=""/>
      <w:lvlJc w:val="left"/>
    </w:lvl>
  </w:abstractNum>
  <w:abstractNum w:abstractNumId="389" w15:restartNumberingAfterBreak="0">
    <w:nsid w:val="29A84D02"/>
    <w:multiLevelType w:val="hybridMultilevel"/>
    <w:tmpl w:val="152812D0"/>
    <w:lvl w:ilvl="0" w:tplc="F426011A">
      <w:start w:val="1"/>
      <w:numFmt w:val="bullet"/>
      <w:lvlText w:val=""/>
      <w:lvlJc w:val="left"/>
      <w:pPr>
        <w:ind w:left="720" w:hanging="180"/>
      </w:pPr>
      <w:rPr>
        <w:rFonts w:ascii="Symbol" w:hAnsi="Symbol" w:hint="default"/>
      </w:rPr>
    </w:lvl>
    <w:lvl w:ilvl="1" w:tplc="7C0A0EC4">
      <w:numFmt w:val="decimal"/>
      <w:lvlText w:val=""/>
      <w:lvlJc w:val="left"/>
    </w:lvl>
    <w:lvl w:ilvl="2" w:tplc="C6ECE934">
      <w:numFmt w:val="decimal"/>
      <w:lvlText w:val=""/>
      <w:lvlJc w:val="left"/>
    </w:lvl>
    <w:lvl w:ilvl="3" w:tplc="1A8610F8">
      <w:numFmt w:val="decimal"/>
      <w:lvlText w:val=""/>
      <w:lvlJc w:val="left"/>
    </w:lvl>
    <w:lvl w:ilvl="4" w:tplc="3B8A7C0E">
      <w:numFmt w:val="decimal"/>
      <w:lvlText w:val=""/>
      <w:lvlJc w:val="left"/>
    </w:lvl>
    <w:lvl w:ilvl="5" w:tplc="8EEA467E">
      <w:numFmt w:val="decimal"/>
      <w:lvlText w:val=""/>
      <w:lvlJc w:val="left"/>
    </w:lvl>
    <w:lvl w:ilvl="6" w:tplc="9D0EAFAE">
      <w:numFmt w:val="decimal"/>
      <w:lvlText w:val=""/>
      <w:lvlJc w:val="left"/>
    </w:lvl>
    <w:lvl w:ilvl="7" w:tplc="3B8E29F6">
      <w:numFmt w:val="decimal"/>
      <w:lvlText w:val=""/>
      <w:lvlJc w:val="left"/>
    </w:lvl>
    <w:lvl w:ilvl="8" w:tplc="453A173C">
      <w:numFmt w:val="decimal"/>
      <w:lvlText w:val=""/>
      <w:lvlJc w:val="left"/>
    </w:lvl>
  </w:abstractNum>
  <w:abstractNum w:abstractNumId="390" w15:restartNumberingAfterBreak="0">
    <w:nsid w:val="29AE2CEF"/>
    <w:multiLevelType w:val="hybridMultilevel"/>
    <w:tmpl w:val="FC640A90"/>
    <w:lvl w:ilvl="0" w:tplc="846C8928">
      <w:start w:val="1"/>
      <w:numFmt w:val="bullet"/>
      <w:lvlText w:val=""/>
      <w:lvlJc w:val="left"/>
      <w:pPr>
        <w:ind w:left="720" w:hanging="180"/>
      </w:pPr>
      <w:rPr>
        <w:rFonts w:ascii="Symbol" w:hAnsi="Symbol" w:hint="default"/>
      </w:rPr>
    </w:lvl>
    <w:lvl w:ilvl="1" w:tplc="4A728218">
      <w:numFmt w:val="decimal"/>
      <w:lvlText w:val=""/>
      <w:lvlJc w:val="left"/>
    </w:lvl>
    <w:lvl w:ilvl="2" w:tplc="69D6A104">
      <w:numFmt w:val="decimal"/>
      <w:lvlText w:val=""/>
      <w:lvlJc w:val="left"/>
    </w:lvl>
    <w:lvl w:ilvl="3" w:tplc="9B84AE14">
      <w:numFmt w:val="decimal"/>
      <w:lvlText w:val=""/>
      <w:lvlJc w:val="left"/>
    </w:lvl>
    <w:lvl w:ilvl="4" w:tplc="E1EEF874">
      <w:numFmt w:val="decimal"/>
      <w:lvlText w:val=""/>
      <w:lvlJc w:val="left"/>
    </w:lvl>
    <w:lvl w:ilvl="5" w:tplc="18D4BF18">
      <w:numFmt w:val="decimal"/>
      <w:lvlText w:val=""/>
      <w:lvlJc w:val="left"/>
    </w:lvl>
    <w:lvl w:ilvl="6" w:tplc="A0A08394">
      <w:numFmt w:val="decimal"/>
      <w:lvlText w:val=""/>
      <w:lvlJc w:val="left"/>
    </w:lvl>
    <w:lvl w:ilvl="7" w:tplc="378EA160">
      <w:numFmt w:val="decimal"/>
      <w:lvlText w:val=""/>
      <w:lvlJc w:val="left"/>
    </w:lvl>
    <w:lvl w:ilvl="8" w:tplc="65D4EC02">
      <w:numFmt w:val="decimal"/>
      <w:lvlText w:val=""/>
      <w:lvlJc w:val="left"/>
    </w:lvl>
  </w:abstractNum>
  <w:abstractNum w:abstractNumId="391" w15:restartNumberingAfterBreak="0">
    <w:nsid w:val="29E202F4"/>
    <w:multiLevelType w:val="hybridMultilevel"/>
    <w:tmpl w:val="0CA20C36"/>
    <w:lvl w:ilvl="0" w:tplc="B8D2D1C6">
      <w:start w:val="1"/>
      <w:numFmt w:val="bullet"/>
      <w:lvlText w:val=""/>
      <w:lvlJc w:val="left"/>
      <w:pPr>
        <w:ind w:left="720" w:hanging="180"/>
      </w:pPr>
      <w:rPr>
        <w:rFonts w:ascii="Symbol" w:hAnsi="Symbol" w:hint="default"/>
      </w:rPr>
    </w:lvl>
    <w:lvl w:ilvl="1" w:tplc="0EFE7904">
      <w:numFmt w:val="decimal"/>
      <w:lvlText w:val=""/>
      <w:lvlJc w:val="left"/>
    </w:lvl>
    <w:lvl w:ilvl="2" w:tplc="FDB014EC">
      <w:numFmt w:val="decimal"/>
      <w:lvlText w:val=""/>
      <w:lvlJc w:val="left"/>
    </w:lvl>
    <w:lvl w:ilvl="3" w:tplc="EDE06868">
      <w:numFmt w:val="decimal"/>
      <w:lvlText w:val=""/>
      <w:lvlJc w:val="left"/>
    </w:lvl>
    <w:lvl w:ilvl="4" w:tplc="BBF2A224">
      <w:numFmt w:val="decimal"/>
      <w:lvlText w:val=""/>
      <w:lvlJc w:val="left"/>
    </w:lvl>
    <w:lvl w:ilvl="5" w:tplc="BC0A818A">
      <w:numFmt w:val="decimal"/>
      <w:lvlText w:val=""/>
      <w:lvlJc w:val="left"/>
    </w:lvl>
    <w:lvl w:ilvl="6" w:tplc="1E145BF4">
      <w:numFmt w:val="decimal"/>
      <w:lvlText w:val=""/>
      <w:lvlJc w:val="left"/>
    </w:lvl>
    <w:lvl w:ilvl="7" w:tplc="F6D87434">
      <w:numFmt w:val="decimal"/>
      <w:lvlText w:val=""/>
      <w:lvlJc w:val="left"/>
    </w:lvl>
    <w:lvl w:ilvl="8" w:tplc="90BC089C">
      <w:numFmt w:val="decimal"/>
      <w:lvlText w:val=""/>
      <w:lvlJc w:val="left"/>
    </w:lvl>
  </w:abstractNum>
  <w:abstractNum w:abstractNumId="392" w15:restartNumberingAfterBreak="0">
    <w:nsid w:val="29EF7BB1"/>
    <w:multiLevelType w:val="hybridMultilevel"/>
    <w:tmpl w:val="0E5C5986"/>
    <w:lvl w:ilvl="0" w:tplc="C72465D8">
      <w:start w:val="1"/>
      <w:numFmt w:val="bullet"/>
      <w:lvlText w:val=""/>
      <w:lvlJc w:val="left"/>
      <w:pPr>
        <w:ind w:left="720" w:hanging="180"/>
      </w:pPr>
      <w:rPr>
        <w:rFonts w:ascii="Symbol" w:hAnsi="Symbol" w:hint="default"/>
      </w:rPr>
    </w:lvl>
    <w:lvl w:ilvl="1" w:tplc="830E5882">
      <w:numFmt w:val="decimal"/>
      <w:lvlText w:val=""/>
      <w:lvlJc w:val="left"/>
    </w:lvl>
    <w:lvl w:ilvl="2" w:tplc="E93AE724">
      <w:numFmt w:val="decimal"/>
      <w:lvlText w:val=""/>
      <w:lvlJc w:val="left"/>
    </w:lvl>
    <w:lvl w:ilvl="3" w:tplc="0E68F998">
      <w:numFmt w:val="decimal"/>
      <w:lvlText w:val=""/>
      <w:lvlJc w:val="left"/>
    </w:lvl>
    <w:lvl w:ilvl="4" w:tplc="F0D840E8">
      <w:numFmt w:val="decimal"/>
      <w:lvlText w:val=""/>
      <w:lvlJc w:val="left"/>
    </w:lvl>
    <w:lvl w:ilvl="5" w:tplc="962EFF0A">
      <w:numFmt w:val="decimal"/>
      <w:lvlText w:val=""/>
      <w:lvlJc w:val="left"/>
    </w:lvl>
    <w:lvl w:ilvl="6" w:tplc="C1B0379C">
      <w:numFmt w:val="decimal"/>
      <w:lvlText w:val=""/>
      <w:lvlJc w:val="left"/>
    </w:lvl>
    <w:lvl w:ilvl="7" w:tplc="D3BA2D08">
      <w:numFmt w:val="decimal"/>
      <w:lvlText w:val=""/>
      <w:lvlJc w:val="left"/>
    </w:lvl>
    <w:lvl w:ilvl="8" w:tplc="F0A0EA44">
      <w:numFmt w:val="decimal"/>
      <w:lvlText w:val=""/>
      <w:lvlJc w:val="left"/>
    </w:lvl>
  </w:abstractNum>
  <w:abstractNum w:abstractNumId="393" w15:restartNumberingAfterBreak="0">
    <w:nsid w:val="2A244EFE"/>
    <w:multiLevelType w:val="hybridMultilevel"/>
    <w:tmpl w:val="5C1ADF9A"/>
    <w:lvl w:ilvl="0" w:tplc="DBC6F420">
      <w:start w:val="1"/>
      <w:numFmt w:val="bullet"/>
      <w:lvlText w:val=""/>
      <w:lvlJc w:val="left"/>
      <w:pPr>
        <w:ind w:left="720" w:hanging="180"/>
      </w:pPr>
      <w:rPr>
        <w:rFonts w:ascii="Symbol" w:hAnsi="Symbol" w:hint="default"/>
      </w:rPr>
    </w:lvl>
    <w:lvl w:ilvl="1" w:tplc="F8A67EAC">
      <w:numFmt w:val="decimal"/>
      <w:lvlText w:val=""/>
      <w:lvlJc w:val="left"/>
    </w:lvl>
    <w:lvl w:ilvl="2" w:tplc="1674B122">
      <w:numFmt w:val="decimal"/>
      <w:lvlText w:val=""/>
      <w:lvlJc w:val="left"/>
    </w:lvl>
    <w:lvl w:ilvl="3" w:tplc="0A8C1528">
      <w:numFmt w:val="decimal"/>
      <w:lvlText w:val=""/>
      <w:lvlJc w:val="left"/>
    </w:lvl>
    <w:lvl w:ilvl="4" w:tplc="E688855A">
      <w:numFmt w:val="decimal"/>
      <w:lvlText w:val=""/>
      <w:lvlJc w:val="left"/>
    </w:lvl>
    <w:lvl w:ilvl="5" w:tplc="340AF162">
      <w:numFmt w:val="decimal"/>
      <w:lvlText w:val=""/>
      <w:lvlJc w:val="left"/>
    </w:lvl>
    <w:lvl w:ilvl="6" w:tplc="EEFA960C">
      <w:numFmt w:val="decimal"/>
      <w:lvlText w:val=""/>
      <w:lvlJc w:val="left"/>
    </w:lvl>
    <w:lvl w:ilvl="7" w:tplc="E93C37F6">
      <w:numFmt w:val="decimal"/>
      <w:lvlText w:val=""/>
      <w:lvlJc w:val="left"/>
    </w:lvl>
    <w:lvl w:ilvl="8" w:tplc="539A9910">
      <w:numFmt w:val="decimal"/>
      <w:lvlText w:val=""/>
      <w:lvlJc w:val="left"/>
    </w:lvl>
  </w:abstractNum>
  <w:abstractNum w:abstractNumId="394" w15:restartNumberingAfterBreak="0">
    <w:nsid w:val="2A4D01CC"/>
    <w:multiLevelType w:val="hybridMultilevel"/>
    <w:tmpl w:val="3234588A"/>
    <w:lvl w:ilvl="0" w:tplc="FB62A0A6">
      <w:start w:val="1"/>
      <w:numFmt w:val="bullet"/>
      <w:lvlText w:val=""/>
      <w:lvlJc w:val="left"/>
      <w:pPr>
        <w:ind w:left="720" w:hanging="180"/>
      </w:pPr>
      <w:rPr>
        <w:rFonts w:ascii="Symbol" w:hAnsi="Symbol" w:hint="default"/>
      </w:rPr>
    </w:lvl>
    <w:lvl w:ilvl="1" w:tplc="86AC0E94">
      <w:numFmt w:val="decimal"/>
      <w:lvlText w:val=""/>
      <w:lvlJc w:val="left"/>
    </w:lvl>
    <w:lvl w:ilvl="2" w:tplc="8C18D610">
      <w:numFmt w:val="decimal"/>
      <w:lvlText w:val=""/>
      <w:lvlJc w:val="left"/>
    </w:lvl>
    <w:lvl w:ilvl="3" w:tplc="C4C65EE6">
      <w:numFmt w:val="decimal"/>
      <w:lvlText w:val=""/>
      <w:lvlJc w:val="left"/>
    </w:lvl>
    <w:lvl w:ilvl="4" w:tplc="24FACE5A">
      <w:numFmt w:val="decimal"/>
      <w:lvlText w:val=""/>
      <w:lvlJc w:val="left"/>
    </w:lvl>
    <w:lvl w:ilvl="5" w:tplc="12EA1F58">
      <w:numFmt w:val="decimal"/>
      <w:lvlText w:val=""/>
      <w:lvlJc w:val="left"/>
    </w:lvl>
    <w:lvl w:ilvl="6" w:tplc="FDF68952">
      <w:numFmt w:val="decimal"/>
      <w:lvlText w:val=""/>
      <w:lvlJc w:val="left"/>
    </w:lvl>
    <w:lvl w:ilvl="7" w:tplc="771497D6">
      <w:numFmt w:val="decimal"/>
      <w:lvlText w:val=""/>
      <w:lvlJc w:val="left"/>
    </w:lvl>
    <w:lvl w:ilvl="8" w:tplc="909EA9A4">
      <w:numFmt w:val="decimal"/>
      <w:lvlText w:val=""/>
      <w:lvlJc w:val="left"/>
    </w:lvl>
  </w:abstractNum>
  <w:abstractNum w:abstractNumId="395" w15:restartNumberingAfterBreak="0">
    <w:nsid w:val="2A677995"/>
    <w:multiLevelType w:val="hybridMultilevel"/>
    <w:tmpl w:val="40FA1D38"/>
    <w:lvl w:ilvl="0" w:tplc="5DB8EDEA">
      <w:start w:val="1"/>
      <w:numFmt w:val="bullet"/>
      <w:lvlText w:val=""/>
      <w:lvlJc w:val="left"/>
      <w:pPr>
        <w:ind w:left="720" w:hanging="180"/>
      </w:pPr>
      <w:rPr>
        <w:rFonts w:ascii="Symbol" w:hAnsi="Symbol" w:hint="default"/>
      </w:rPr>
    </w:lvl>
    <w:lvl w:ilvl="1" w:tplc="AA82D4EE">
      <w:numFmt w:val="decimal"/>
      <w:lvlText w:val=""/>
      <w:lvlJc w:val="left"/>
    </w:lvl>
    <w:lvl w:ilvl="2" w:tplc="3BEE65A8">
      <w:numFmt w:val="decimal"/>
      <w:lvlText w:val=""/>
      <w:lvlJc w:val="left"/>
    </w:lvl>
    <w:lvl w:ilvl="3" w:tplc="35848B8C">
      <w:numFmt w:val="decimal"/>
      <w:lvlText w:val=""/>
      <w:lvlJc w:val="left"/>
    </w:lvl>
    <w:lvl w:ilvl="4" w:tplc="DD269A7A">
      <w:numFmt w:val="decimal"/>
      <w:lvlText w:val=""/>
      <w:lvlJc w:val="left"/>
    </w:lvl>
    <w:lvl w:ilvl="5" w:tplc="A69639A8">
      <w:numFmt w:val="decimal"/>
      <w:lvlText w:val=""/>
      <w:lvlJc w:val="left"/>
    </w:lvl>
    <w:lvl w:ilvl="6" w:tplc="74DA489C">
      <w:numFmt w:val="decimal"/>
      <w:lvlText w:val=""/>
      <w:lvlJc w:val="left"/>
    </w:lvl>
    <w:lvl w:ilvl="7" w:tplc="0A6E6FB2">
      <w:numFmt w:val="decimal"/>
      <w:lvlText w:val=""/>
      <w:lvlJc w:val="left"/>
    </w:lvl>
    <w:lvl w:ilvl="8" w:tplc="92042B6C">
      <w:numFmt w:val="decimal"/>
      <w:lvlText w:val=""/>
      <w:lvlJc w:val="left"/>
    </w:lvl>
  </w:abstractNum>
  <w:abstractNum w:abstractNumId="396" w15:restartNumberingAfterBreak="0">
    <w:nsid w:val="2AC17BEC"/>
    <w:multiLevelType w:val="hybridMultilevel"/>
    <w:tmpl w:val="DB6A24F2"/>
    <w:lvl w:ilvl="0" w:tplc="CF628BC2">
      <w:start w:val="1"/>
      <w:numFmt w:val="bullet"/>
      <w:lvlText w:val=""/>
      <w:lvlJc w:val="left"/>
      <w:pPr>
        <w:ind w:left="720" w:hanging="180"/>
      </w:pPr>
      <w:rPr>
        <w:rFonts w:ascii="Symbol" w:hAnsi="Symbol" w:hint="default"/>
      </w:rPr>
    </w:lvl>
    <w:lvl w:ilvl="1" w:tplc="F746DC5E">
      <w:numFmt w:val="decimal"/>
      <w:lvlText w:val=""/>
      <w:lvlJc w:val="left"/>
    </w:lvl>
    <w:lvl w:ilvl="2" w:tplc="B9F0C630">
      <w:numFmt w:val="decimal"/>
      <w:lvlText w:val=""/>
      <w:lvlJc w:val="left"/>
    </w:lvl>
    <w:lvl w:ilvl="3" w:tplc="BC9C2EE2">
      <w:numFmt w:val="decimal"/>
      <w:lvlText w:val=""/>
      <w:lvlJc w:val="left"/>
    </w:lvl>
    <w:lvl w:ilvl="4" w:tplc="EE3655F8">
      <w:numFmt w:val="decimal"/>
      <w:lvlText w:val=""/>
      <w:lvlJc w:val="left"/>
    </w:lvl>
    <w:lvl w:ilvl="5" w:tplc="6E1C825C">
      <w:numFmt w:val="decimal"/>
      <w:lvlText w:val=""/>
      <w:lvlJc w:val="left"/>
    </w:lvl>
    <w:lvl w:ilvl="6" w:tplc="8A600B46">
      <w:numFmt w:val="decimal"/>
      <w:lvlText w:val=""/>
      <w:lvlJc w:val="left"/>
    </w:lvl>
    <w:lvl w:ilvl="7" w:tplc="C4403F70">
      <w:numFmt w:val="decimal"/>
      <w:lvlText w:val=""/>
      <w:lvlJc w:val="left"/>
    </w:lvl>
    <w:lvl w:ilvl="8" w:tplc="3AB0BB76">
      <w:numFmt w:val="decimal"/>
      <w:lvlText w:val=""/>
      <w:lvlJc w:val="left"/>
    </w:lvl>
  </w:abstractNum>
  <w:abstractNum w:abstractNumId="397" w15:restartNumberingAfterBreak="0">
    <w:nsid w:val="2AEC5BB4"/>
    <w:multiLevelType w:val="hybridMultilevel"/>
    <w:tmpl w:val="C65AF99C"/>
    <w:lvl w:ilvl="0" w:tplc="93F6F218">
      <w:start w:val="1"/>
      <w:numFmt w:val="bullet"/>
      <w:lvlText w:val=""/>
      <w:lvlJc w:val="left"/>
      <w:pPr>
        <w:ind w:left="720" w:hanging="180"/>
      </w:pPr>
      <w:rPr>
        <w:rFonts w:ascii="Symbol" w:hAnsi="Symbol" w:hint="default"/>
      </w:rPr>
    </w:lvl>
    <w:lvl w:ilvl="1" w:tplc="353A7E64">
      <w:numFmt w:val="decimal"/>
      <w:lvlText w:val=""/>
      <w:lvlJc w:val="left"/>
    </w:lvl>
    <w:lvl w:ilvl="2" w:tplc="5C129104">
      <w:numFmt w:val="decimal"/>
      <w:lvlText w:val=""/>
      <w:lvlJc w:val="left"/>
    </w:lvl>
    <w:lvl w:ilvl="3" w:tplc="CBFAE576">
      <w:numFmt w:val="decimal"/>
      <w:lvlText w:val=""/>
      <w:lvlJc w:val="left"/>
    </w:lvl>
    <w:lvl w:ilvl="4" w:tplc="7892026C">
      <w:numFmt w:val="decimal"/>
      <w:lvlText w:val=""/>
      <w:lvlJc w:val="left"/>
    </w:lvl>
    <w:lvl w:ilvl="5" w:tplc="4BAED56C">
      <w:numFmt w:val="decimal"/>
      <w:lvlText w:val=""/>
      <w:lvlJc w:val="left"/>
    </w:lvl>
    <w:lvl w:ilvl="6" w:tplc="268625D6">
      <w:numFmt w:val="decimal"/>
      <w:lvlText w:val=""/>
      <w:lvlJc w:val="left"/>
    </w:lvl>
    <w:lvl w:ilvl="7" w:tplc="09902530">
      <w:numFmt w:val="decimal"/>
      <w:lvlText w:val=""/>
      <w:lvlJc w:val="left"/>
    </w:lvl>
    <w:lvl w:ilvl="8" w:tplc="1CC41602">
      <w:numFmt w:val="decimal"/>
      <w:lvlText w:val=""/>
      <w:lvlJc w:val="left"/>
    </w:lvl>
  </w:abstractNum>
  <w:abstractNum w:abstractNumId="398" w15:restartNumberingAfterBreak="0">
    <w:nsid w:val="2B1740E3"/>
    <w:multiLevelType w:val="hybridMultilevel"/>
    <w:tmpl w:val="0A305874"/>
    <w:lvl w:ilvl="0" w:tplc="D4566E12">
      <w:start w:val="1"/>
      <w:numFmt w:val="bullet"/>
      <w:lvlText w:val=""/>
      <w:lvlJc w:val="left"/>
      <w:pPr>
        <w:ind w:left="720" w:hanging="180"/>
      </w:pPr>
      <w:rPr>
        <w:rFonts w:ascii="Symbol" w:hAnsi="Symbol" w:hint="default"/>
      </w:rPr>
    </w:lvl>
    <w:lvl w:ilvl="1" w:tplc="236E845A">
      <w:numFmt w:val="decimal"/>
      <w:lvlText w:val=""/>
      <w:lvlJc w:val="left"/>
    </w:lvl>
    <w:lvl w:ilvl="2" w:tplc="058E67F8">
      <w:numFmt w:val="decimal"/>
      <w:lvlText w:val=""/>
      <w:lvlJc w:val="left"/>
    </w:lvl>
    <w:lvl w:ilvl="3" w:tplc="0A408C02">
      <w:numFmt w:val="decimal"/>
      <w:lvlText w:val=""/>
      <w:lvlJc w:val="left"/>
    </w:lvl>
    <w:lvl w:ilvl="4" w:tplc="9298709C">
      <w:numFmt w:val="decimal"/>
      <w:lvlText w:val=""/>
      <w:lvlJc w:val="left"/>
    </w:lvl>
    <w:lvl w:ilvl="5" w:tplc="8418F258">
      <w:numFmt w:val="decimal"/>
      <w:lvlText w:val=""/>
      <w:lvlJc w:val="left"/>
    </w:lvl>
    <w:lvl w:ilvl="6" w:tplc="9972357E">
      <w:numFmt w:val="decimal"/>
      <w:lvlText w:val=""/>
      <w:lvlJc w:val="left"/>
    </w:lvl>
    <w:lvl w:ilvl="7" w:tplc="8B0241CE">
      <w:numFmt w:val="decimal"/>
      <w:lvlText w:val=""/>
      <w:lvlJc w:val="left"/>
    </w:lvl>
    <w:lvl w:ilvl="8" w:tplc="054ECF5A">
      <w:numFmt w:val="decimal"/>
      <w:lvlText w:val=""/>
      <w:lvlJc w:val="left"/>
    </w:lvl>
  </w:abstractNum>
  <w:abstractNum w:abstractNumId="399" w15:restartNumberingAfterBreak="0">
    <w:nsid w:val="2B650FEA"/>
    <w:multiLevelType w:val="hybridMultilevel"/>
    <w:tmpl w:val="82CEBAA4"/>
    <w:lvl w:ilvl="0" w:tplc="BABC69A0">
      <w:start w:val="1"/>
      <w:numFmt w:val="bullet"/>
      <w:lvlText w:val=""/>
      <w:lvlJc w:val="left"/>
      <w:pPr>
        <w:ind w:left="720" w:hanging="180"/>
      </w:pPr>
      <w:rPr>
        <w:rFonts w:ascii="Symbol" w:hAnsi="Symbol" w:hint="default"/>
      </w:rPr>
    </w:lvl>
    <w:lvl w:ilvl="1" w:tplc="7EB4682E">
      <w:numFmt w:val="decimal"/>
      <w:lvlText w:val=""/>
      <w:lvlJc w:val="left"/>
    </w:lvl>
    <w:lvl w:ilvl="2" w:tplc="40B023E4">
      <w:numFmt w:val="decimal"/>
      <w:lvlText w:val=""/>
      <w:lvlJc w:val="left"/>
    </w:lvl>
    <w:lvl w:ilvl="3" w:tplc="42426034">
      <w:numFmt w:val="decimal"/>
      <w:lvlText w:val=""/>
      <w:lvlJc w:val="left"/>
    </w:lvl>
    <w:lvl w:ilvl="4" w:tplc="041CF714">
      <w:numFmt w:val="decimal"/>
      <w:lvlText w:val=""/>
      <w:lvlJc w:val="left"/>
    </w:lvl>
    <w:lvl w:ilvl="5" w:tplc="5C9AE8EA">
      <w:numFmt w:val="decimal"/>
      <w:lvlText w:val=""/>
      <w:lvlJc w:val="left"/>
    </w:lvl>
    <w:lvl w:ilvl="6" w:tplc="E4F8A56A">
      <w:numFmt w:val="decimal"/>
      <w:lvlText w:val=""/>
      <w:lvlJc w:val="left"/>
    </w:lvl>
    <w:lvl w:ilvl="7" w:tplc="43545898">
      <w:numFmt w:val="decimal"/>
      <w:lvlText w:val=""/>
      <w:lvlJc w:val="left"/>
    </w:lvl>
    <w:lvl w:ilvl="8" w:tplc="303605BE">
      <w:numFmt w:val="decimal"/>
      <w:lvlText w:val=""/>
      <w:lvlJc w:val="left"/>
    </w:lvl>
  </w:abstractNum>
  <w:abstractNum w:abstractNumId="400" w15:restartNumberingAfterBreak="0">
    <w:nsid w:val="2B761463"/>
    <w:multiLevelType w:val="hybridMultilevel"/>
    <w:tmpl w:val="A606E7E2"/>
    <w:lvl w:ilvl="0" w:tplc="85045C14">
      <w:start w:val="1"/>
      <w:numFmt w:val="bullet"/>
      <w:lvlText w:val=""/>
      <w:lvlJc w:val="left"/>
      <w:pPr>
        <w:ind w:left="720" w:hanging="180"/>
      </w:pPr>
      <w:rPr>
        <w:rFonts w:ascii="Symbol" w:hAnsi="Symbol" w:hint="default"/>
      </w:rPr>
    </w:lvl>
    <w:lvl w:ilvl="1" w:tplc="F208E7D2">
      <w:numFmt w:val="decimal"/>
      <w:lvlText w:val=""/>
      <w:lvlJc w:val="left"/>
    </w:lvl>
    <w:lvl w:ilvl="2" w:tplc="0B96D8AA">
      <w:numFmt w:val="decimal"/>
      <w:lvlText w:val=""/>
      <w:lvlJc w:val="left"/>
    </w:lvl>
    <w:lvl w:ilvl="3" w:tplc="9FF6517E">
      <w:numFmt w:val="decimal"/>
      <w:lvlText w:val=""/>
      <w:lvlJc w:val="left"/>
    </w:lvl>
    <w:lvl w:ilvl="4" w:tplc="D1265364">
      <w:numFmt w:val="decimal"/>
      <w:lvlText w:val=""/>
      <w:lvlJc w:val="left"/>
    </w:lvl>
    <w:lvl w:ilvl="5" w:tplc="7FCE68AE">
      <w:numFmt w:val="decimal"/>
      <w:lvlText w:val=""/>
      <w:lvlJc w:val="left"/>
    </w:lvl>
    <w:lvl w:ilvl="6" w:tplc="4EDCE36A">
      <w:numFmt w:val="decimal"/>
      <w:lvlText w:val=""/>
      <w:lvlJc w:val="left"/>
    </w:lvl>
    <w:lvl w:ilvl="7" w:tplc="EBBADF22">
      <w:numFmt w:val="decimal"/>
      <w:lvlText w:val=""/>
      <w:lvlJc w:val="left"/>
    </w:lvl>
    <w:lvl w:ilvl="8" w:tplc="95206BCE">
      <w:numFmt w:val="decimal"/>
      <w:lvlText w:val=""/>
      <w:lvlJc w:val="left"/>
    </w:lvl>
  </w:abstractNum>
  <w:abstractNum w:abstractNumId="401" w15:restartNumberingAfterBreak="0">
    <w:nsid w:val="2B7C6693"/>
    <w:multiLevelType w:val="hybridMultilevel"/>
    <w:tmpl w:val="D75804C4"/>
    <w:lvl w:ilvl="0" w:tplc="1798A052">
      <w:start w:val="1"/>
      <w:numFmt w:val="bullet"/>
      <w:lvlText w:val=""/>
      <w:lvlJc w:val="left"/>
      <w:pPr>
        <w:ind w:left="720" w:hanging="180"/>
      </w:pPr>
      <w:rPr>
        <w:rFonts w:ascii="Symbol" w:hAnsi="Symbol" w:hint="default"/>
      </w:rPr>
    </w:lvl>
    <w:lvl w:ilvl="1" w:tplc="0B1ED220">
      <w:numFmt w:val="decimal"/>
      <w:lvlText w:val=""/>
      <w:lvlJc w:val="left"/>
    </w:lvl>
    <w:lvl w:ilvl="2" w:tplc="91EA3502">
      <w:numFmt w:val="decimal"/>
      <w:lvlText w:val=""/>
      <w:lvlJc w:val="left"/>
    </w:lvl>
    <w:lvl w:ilvl="3" w:tplc="F872DD30">
      <w:numFmt w:val="decimal"/>
      <w:lvlText w:val=""/>
      <w:lvlJc w:val="left"/>
    </w:lvl>
    <w:lvl w:ilvl="4" w:tplc="F74A5DF0">
      <w:numFmt w:val="decimal"/>
      <w:lvlText w:val=""/>
      <w:lvlJc w:val="left"/>
    </w:lvl>
    <w:lvl w:ilvl="5" w:tplc="5B3EC4AE">
      <w:numFmt w:val="decimal"/>
      <w:lvlText w:val=""/>
      <w:lvlJc w:val="left"/>
    </w:lvl>
    <w:lvl w:ilvl="6" w:tplc="E57AF542">
      <w:numFmt w:val="decimal"/>
      <w:lvlText w:val=""/>
      <w:lvlJc w:val="left"/>
    </w:lvl>
    <w:lvl w:ilvl="7" w:tplc="825A4C28">
      <w:numFmt w:val="decimal"/>
      <w:lvlText w:val=""/>
      <w:lvlJc w:val="left"/>
    </w:lvl>
    <w:lvl w:ilvl="8" w:tplc="201AD494">
      <w:numFmt w:val="decimal"/>
      <w:lvlText w:val=""/>
      <w:lvlJc w:val="left"/>
    </w:lvl>
  </w:abstractNum>
  <w:abstractNum w:abstractNumId="402" w15:restartNumberingAfterBreak="0">
    <w:nsid w:val="2B884AA0"/>
    <w:multiLevelType w:val="hybridMultilevel"/>
    <w:tmpl w:val="260847A4"/>
    <w:lvl w:ilvl="0" w:tplc="DD2C7DBA">
      <w:start w:val="1"/>
      <w:numFmt w:val="bullet"/>
      <w:lvlText w:val=""/>
      <w:lvlJc w:val="left"/>
      <w:pPr>
        <w:ind w:left="720" w:hanging="180"/>
      </w:pPr>
      <w:rPr>
        <w:rFonts w:ascii="Symbol" w:hAnsi="Symbol" w:hint="default"/>
      </w:rPr>
    </w:lvl>
    <w:lvl w:ilvl="1" w:tplc="EB7819F4">
      <w:numFmt w:val="decimal"/>
      <w:lvlText w:val=""/>
      <w:lvlJc w:val="left"/>
    </w:lvl>
    <w:lvl w:ilvl="2" w:tplc="070A6740">
      <w:numFmt w:val="decimal"/>
      <w:lvlText w:val=""/>
      <w:lvlJc w:val="left"/>
    </w:lvl>
    <w:lvl w:ilvl="3" w:tplc="9A924BFE">
      <w:numFmt w:val="decimal"/>
      <w:lvlText w:val=""/>
      <w:lvlJc w:val="left"/>
    </w:lvl>
    <w:lvl w:ilvl="4" w:tplc="B6EADA98">
      <w:numFmt w:val="decimal"/>
      <w:lvlText w:val=""/>
      <w:lvlJc w:val="left"/>
    </w:lvl>
    <w:lvl w:ilvl="5" w:tplc="76F286BC">
      <w:numFmt w:val="decimal"/>
      <w:lvlText w:val=""/>
      <w:lvlJc w:val="left"/>
    </w:lvl>
    <w:lvl w:ilvl="6" w:tplc="54743962">
      <w:numFmt w:val="decimal"/>
      <w:lvlText w:val=""/>
      <w:lvlJc w:val="left"/>
    </w:lvl>
    <w:lvl w:ilvl="7" w:tplc="F5C4EAD2">
      <w:numFmt w:val="decimal"/>
      <w:lvlText w:val=""/>
      <w:lvlJc w:val="left"/>
    </w:lvl>
    <w:lvl w:ilvl="8" w:tplc="2DD6B202">
      <w:numFmt w:val="decimal"/>
      <w:lvlText w:val=""/>
      <w:lvlJc w:val="left"/>
    </w:lvl>
  </w:abstractNum>
  <w:abstractNum w:abstractNumId="403" w15:restartNumberingAfterBreak="0">
    <w:nsid w:val="2BB32F3F"/>
    <w:multiLevelType w:val="hybridMultilevel"/>
    <w:tmpl w:val="A3E057A2"/>
    <w:lvl w:ilvl="0" w:tplc="78CA7372">
      <w:start w:val="1"/>
      <w:numFmt w:val="bullet"/>
      <w:lvlText w:val=""/>
      <w:lvlJc w:val="left"/>
      <w:pPr>
        <w:ind w:left="720" w:hanging="180"/>
      </w:pPr>
      <w:rPr>
        <w:rFonts w:ascii="Symbol" w:hAnsi="Symbol" w:hint="default"/>
      </w:rPr>
    </w:lvl>
    <w:lvl w:ilvl="1" w:tplc="4B7401F0">
      <w:numFmt w:val="decimal"/>
      <w:lvlText w:val=""/>
      <w:lvlJc w:val="left"/>
    </w:lvl>
    <w:lvl w:ilvl="2" w:tplc="A5064C58">
      <w:numFmt w:val="decimal"/>
      <w:lvlText w:val=""/>
      <w:lvlJc w:val="left"/>
    </w:lvl>
    <w:lvl w:ilvl="3" w:tplc="1C044590">
      <w:numFmt w:val="decimal"/>
      <w:lvlText w:val=""/>
      <w:lvlJc w:val="left"/>
    </w:lvl>
    <w:lvl w:ilvl="4" w:tplc="2B6407E8">
      <w:numFmt w:val="decimal"/>
      <w:lvlText w:val=""/>
      <w:lvlJc w:val="left"/>
    </w:lvl>
    <w:lvl w:ilvl="5" w:tplc="986E28E4">
      <w:numFmt w:val="decimal"/>
      <w:lvlText w:val=""/>
      <w:lvlJc w:val="left"/>
    </w:lvl>
    <w:lvl w:ilvl="6" w:tplc="29FAB412">
      <w:numFmt w:val="decimal"/>
      <w:lvlText w:val=""/>
      <w:lvlJc w:val="left"/>
    </w:lvl>
    <w:lvl w:ilvl="7" w:tplc="C60C417C">
      <w:numFmt w:val="decimal"/>
      <w:lvlText w:val=""/>
      <w:lvlJc w:val="left"/>
    </w:lvl>
    <w:lvl w:ilvl="8" w:tplc="B0DEB20E">
      <w:numFmt w:val="decimal"/>
      <w:lvlText w:val=""/>
      <w:lvlJc w:val="left"/>
    </w:lvl>
  </w:abstractNum>
  <w:abstractNum w:abstractNumId="404" w15:restartNumberingAfterBreak="0">
    <w:nsid w:val="2BD13A2A"/>
    <w:multiLevelType w:val="hybridMultilevel"/>
    <w:tmpl w:val="18025276"/>
    <w:lvl w:ilvl="0" w:tplc="FABEE2BC">
      <w:start w:val="1"/>
      <w:numFmt w:val="bullet"/>
      <w:lvlText w:val=""/>
      <w:lvlJc w:val="left"/>
      <w:pPr>
        <w:ind w:left="720" w:hanging="180"/>
      </w:pPr>
      <w:rPr>
        <w:rFonts w:ascii="Symbol" w:hAnsi="Symbol" w:hint="default"/>
      </w:rPr>
    </w:lvl>
    <w:lvl w:ilvl="1" w:tplc="D1D0B6B4">
      <w:numFmt w:val="decimal"/>
      <w:lvlText w:val=""/>
      <w:lvlJc w:val="left"/>
    </w:lvl>
    <w:lvl w:ilvl="2" w:tplc="846A36A0">
      <w:numFmt w:val="decimal"/>
      <w:lvlText w:val=""/>
      <w:lvlJc w:val="left"/>
    </w:lvl>
    <w:lvl w:ilvl="3" w:tplc="0B42594A">
      <w:numFmt w:val="decimal"/>
      <w:lvlText w:val=""/>
      <w:lvlJc w:val="left"/>
    </w:lvl>
    <w:lvl w:ilvl="4" w:tplc="07186402">
      <w:numFmt w:val="decimal"/>
      <w:lvlText w:val=""/>
      <w:lvlJc w:val="left"/>
    </w:lvl>
    <w:lvl w:ilvl="5" w:tplc="1DF6DAF8">
      <w:numFmt w:val="decimal"/>
      <w:lvlText w:val=""/>
      <w:lvlJc w:val="left"/>
    </w:lvl>
    <w:lvl w:ilvl="6" w:tplc="E9FE325A">
      <w:numFmt w:val="decimal"/>
      <w:lvlText w:val=""/>
      <w:lvlJc w:val="left"/>
    </w:lvl>
    <w:lvl w:ilvl="7" w:tplc="35766EEE">
      <w:numFmt w:val="decimal"/>
      <w:lvlText w:val=""/>
      <w:lvlJc w:val="left"/>
    </w:lvl>
    <w:lvl w:ilvl="8" w:tplc="2ED63226">
      <w:numFmt w:val="decimal"/>
      <w:lvlText w:val=""/>
      <w:lvlJc w:val="left"/>
    </w:lvl>
  </w:abstractNum>
  <w:abstractNum w:abstractNumId="405" w15:restartNumberingAfterBreak="0">
    <w:nsid w:val="2BFE71AE"/>
    <w:multiLevelType w:val="hybridMultilevel"/>
    <w:tmpl w:val="FE6C4436"/>
    <w:lvl w:ilvl="0" w:tplc="26F87AD0">
      <w:start w:val="1"/>
      <w:numFmt w:val="bullet"/>
      <w:lvlText w:val=""/>
      <w:lvlJc w:val="left"/>
      <w:pPr>
        <w:ind w:left="720" w:hanging="180"/>
      </w:pPr>
      <w:rPr>
        <w:rFonts w:ascii="Symbol" w:hAnsi="Symbol" w:hint="default"/>
      </w:rPr>
    </w:lvl>
    <w:lvl w:ilvl="1" w:tplc="1ABC277E">
      <w:numFmt w:val="decimal"/>
      <w:lvlText w:val=""/>
      <w:lvlJc w:val="left"/>
    </w:lvl>
    <w:lvl w:ilvl="2" w:tplc="646E3002">
      <w:numFmt w:val="decimal"/>
      <w:lvlText w:val=""/>
      <w:lvlJc w:val="left"/>
    </w:lvl>
    <w:lvl w:ilvl="3" w:tplc="41060E6E">
      <w:numFmt w:val="decimal"/>
      <w:lvlText w:val=""/>
      <w:lvlJc w:val="left"/>
    </w:lvl>
    <w:lvl w:ilvl="4" w:tplc="EB5EFD62">
      <w:numFmt w:val="decimal"/>
      <w:lvlText w:val=""/>
      <w:lvlJc w:val="left"/>
    </w:lvl>
    <w:lvl w:ilvl="5" w:tplc="1AD6C45A">
      <w:numFmt w:val="decimal"/>
      <w:lvlText w:val=""/>
      <w:lvlJc w:val="left"/>
    </w:lvl>
    <w:lvl w:ilvl="6" w:tplc="3788AC0C">
      <w:numFmt w:val="decimal"/>
      <w:lvlText w:val=""/>
      <w:lvlJc w:val="left"/>
    </w:lvl>
    <w:lvl w:ilvl="7" w:tplc="DCA4FFBE">
      <w:numFmt w:val="decimal"/>
      <w:lvlText w:val=""/>
      <w:lvlJc w:val="left"/>
    </w:lvl>
    <w:lvl w:ilvl="8" w:tplc="C13811D8">
      <w:numFmt w:val="decimal"/>
      <w:lvlText w:val=""/>
      <w:lvlJc w:val="left"/>
    </w:lvl>
  </w:abstractNum>
  <w:abstractNum w:abstractNumId="406" w15:restartNumberingAfterBreak="0">
    <w:nsid w:val="2C1C66F5"/>
    <w:multiLevelType w:val="hybridMultilevel"/>
    <w:tmpl w:val="4784FC1A"/>
    <w:lvl w:ilvl="0" w:tplc="F54E4DDE">
      <w:start w:val="1"/>
      <w:numFmt w:val="bullet"/>
      <w:lvlText w:val=""/>
      <w:lvlJc w:val="left"/>
      <w:pPr>
        <w:ind w:left="720" w:hanging="180"/>
      </w:pPr>
      <w:rPr>
        <w:rFonts w:ascii="Symbol" w:hAnsi="Symbol" w:hint="default"/>
      </w:rPr>
    </w:lvl>
    <w:lvl w:ilvl="1" w:tplc="AB8E1624">
      <w:numFmt w:val="decimal"/>
      <w:lvlText w:val=""/>
      <w:lvlJc w:val="left"/>
    </w:lvl>
    <w:lvl w:ilvl="2" w:tplc="B3BA94EA">
      <w:numFmt w:val="decimal"/>
      <w:lvlText w:val=""/>
      <w:lvlJc w:val="left"/>
    </w:lvl>
    <w:lvl w:ilvl="3" w:tplc="55F87B7E">
      <w:numFmt w:val="decimal"/>
      <w:lvlText w:val=""/>
      <w:lvlJc w:val="left"/>
    </w:lvl>
    <w:lvl w:ilvl="4" w:tplc="F2289C38">
      <w:numFmt w:val="decimal"/>
      <w:lvlText w:val=""/>
      <w:lvlJc w:val="left"/>
    </w:lvl>
    <w:lvl w:ilvl="5" w:tplc="A8264958">
      <w:numFmt w:val="decimal"/>
      <w:lvlText w:val=""/>
      <w:lvlJc w:val="left"/>
    </w:lvl>
    <w:lvl w:ilvl="6" w:tplc="025A94AA">
      <w:numFmt w:val="decimal"/>
      <w:lvlText w:val=""/>
      <w:lvlJc w:val="left"/>
    </w:lvl>
    <w:lvl w:ilvl="7" w:tplc="C090FE1C">
      <w:numFmt w:val="decimal"/>
      <w:lvlText w:val=""/>
      <w:lvlJc w:val="left"/>
    </w:lvl>
    <w:lvl w:ilvl="8" w:tplc="33383CE0">
      <w:numFmt w:val="decimal"/>
      <w:lvlText w:val=""/>
      <w:lvlJc w:val="left"/>
    </w:lvl>
  </w:abstractNum>
  <w:abstractNum w:abstractNumId="407" w15:restartNumberingAfterBreak="0">
    <w:nsid w:val="2C270261"/>
    <w:multiLevelType w:val="hybridMultilevel"/>
    <w:tmpl w:val="C23ABF6E"/>
    <w:lvl w:ilvl="0" w:tplc="5FB283B4">
      <w:start w:val="1"/>
      <w:numFmt w:val="bullet"/>
      <w:lvlText w:val=""/>
      <w:lvlJc w:val="left"/>
      <w:pPr>
        <w:ind w:left="720" w:hanging="180"/>
      </w:pPr>
      <w:rPr>
        <w:rFonts w:ascii="Symbol" w:hAnsi="Symbol" w:hint="default"/>
      </w:rPr>
    </w:lvl>
    <w:lvl w:ilvl="1" w:tplc="26DAED22">
      <w:numFmt w:val="decimal"/>
      <w:lvlText w:val=""/>
      <w:lvlJc w:val="left"/>
    </w:lvl>
    <w:lvl w:ilvl="2" w:tplc="CAD609AE">
      <w:numFmt w:val="decimal"/>
      <w:lvlText w:val=""/>
      <w:lvlJc w:val="left"/>
    </w:lvl>
    <w:lvl w:ilvl="3" w:tplc="A6EC3072">
      <w:numFmt w:val="decimal"/>
      <w:lvlText w:val=""/>
      <w:lvlJc w:val="left"/>
    </w:lvl>
    <w:lvl w:ilvl="4" w:tplc="D526C172">
      <w:numFmt w:val="decimal"/>
      <w:lvlText w:val=""/>
      <w:lvlJc w:val="left"/>
    </w:lvl>
    <w:lvl w:ilvl="5" w:tplc="B7F4C3B2">
      <w:numFmt w:val="decimal"/>
      <w:lvlText w:val=""/>
      <w:lvlJc w:val="left"/>
    </w:lvl>
    <w:lvl w:ilvl="6" w:tplc="37E4879E">
      <w:numFmt w:val="decimal"/>
      <w:lvlText w:val=""/>
      <w:lvlJc w:val="left"/>
    </w:lvl>
    <w:lvl w:ilvl="7" w:tplc="2ADA35AA">
      <w:numFmt w:val="decimal"/>
      <w:lvlText w:val=""/>
      <w:lvlJc w:val="left"/>
    </w:lvl>
    <w:lvl w:ilvl="8" w:tplc="04DE2FC8">
      <w:numFmt w:val="decimal"/>
      <w:lvlText w:val=""/>
      <w:lvlJc w:val="left"/>
    </w:lvl>
  </w:abstractNum>
  <w:abstractNum w:abstractNumId="408" w15:restartNumberingAfterBreak="0">
    <w:nsid w:val="2C34759C"/>
    <w:multiLevelType w:val="hybridMultilevel"/>
    <w:tmpl w:val="4D68E85E"/>
    <w:lvl w:ilvl="0" w:tplc="1DD027DA">
      <w:start w:val="1"/>
      <w:numFmt w:val="bullet"/>
      <w:lvlText w:val=""/>
      <w:lvlJc w:val="left"/>
      <w:pPr>
        <w:ind w:left="720" w:hanging="180"/>
      </w:pPr>
      <w:rPr>
        <w:rFonts w:ascii="Symbol" w:hAnsi="Symbol" w:hint="default"/>
      </w:rPr>
    </w:lvl>
    <w:lvl w:ilvl="1" w:tplc="223A710E">
      <w:numFmt w:val="decimal"/>
      <w:lvlText w:val=""/>
      <w:lvlJc w:val="left"/>
    </w:lvl>
    <w:lvl w:ilvl="2" w:tplc="98EE5B64">
      <w:numFmt w:val="decimal"/>
      <w:lvlText w:val=""/>
      <w:lvlJc w:val="left"/>
    </w:lvl>
    <w:lvl w:ilvl="3" w:tplc="5DE21B40">
      <w:numFmt w:val="decimal"/>
      <w:lvlText w:val=""/>
      <w:lvlJc w:val="left"/>
    </w:lvl>
    <w:lvl w:ilvl="4" w:tplc="D7322A1E">
      <w:numFmt w:val="decimal"/>
      <w:lvlText w:val=""/>
      <w:lvlJc w:val="left"/>
    </w:lvl>
    <w:lvl w:ilvl="5" w:tplc="30569A82">
      <w:numFmt w:val="decimal"/>
      <w:lvlText w:val=""/>
      <w:lvlJc w:val="left"/>
    </w:lvl>
    <w:lvl w:ilvl="6" w:tplc="FB520E88">
      <w:numFmt w:val="decimal"/>
      <w:lvlText w:val=""/>
      <w:lvlJc w:val="left"/>
    </w:lvl>
    <w:lvl w:ilvl="7" w:tplc="C686756A">
      <w:numFmt w:val="decimal"/>
      <w:lvlText w:val=""/>
      <w:lvlJc w:val="left"/>
    </w:lvl>
    <w:lvl w:ilvl="8" w:tplc="EEE68CB8">
      <w:numFmt w:val="decimal"/>
      <w:lvlText w:val=""/>
      <w:lvlJc w:val="left"/>
    </w:lvl>
  </w:abstractNum>
  <w:abstractNum w:abstractNumId="409" w15:restartNumberingAfterBreak="0">
    <w:nsid w:val="2C3E7490"/>
    <w:multiLevelType w:val="hybridMultilevel"/>
    <w:tmpl w:val="F56A7BC2"/>
    <w:lvl w:ilvl="0" w:tplc="5BBEF258">
      <w:start w:val="1"/>
      <w:numFmt w:val="bullet"/>
      <w:lvlText w:val=""/>
      <w:lvlJc w:val="left"/>
      <w:pPr>
        <w:ind w:left="720" w:hanging="180"/>
      </w:pPr>
      <w:rPr>
        <w:rFonts w:ascii="Symbol" w:hAnsi="Symbol" w:hint="default"/>
      </w:rPr>
    </w:lvl>
    <w:lvl w:ilvl="1" w:tplc="991C7392">
      <w:numFmt w:val="decimal"/>
      <w:lvlText w:val=""/>
      <w:lvlJc w:val="left"/>
    </w:lvl>
    <w:lvl w:ilvl="2" w:tplc="21040CCA">
      <w:numFmt w:val="decimal"/>
      <w:lvlText w:val=""/>
      <w:lvlJc w:val="left"/>
    </w:lvl>
    <w:lvl w:ilvl="3" w:tplc="25F694E2">
      <w:numFmt w:val="decimal"/>
      <w:lvlText w:val=""/>
      <w:lvlJc w:val="left"/>
    </w:lvl>
    <w:lvl w:ilvl="4" w:tplc="11680CD2">
      <w:numFmt w:val="decimal"/>
      <w:lvlText w:val=""/>
      <w:lvlJc w:val="left"/>
    </w:lvl>
    <w:lvl w:ilvl="5" w:tplc="2188AF86">
      <w:numFmt w:val="decimal"/>
      <w:lvlText w:val=""/>
      <w:lvlJc w:val="left"/>
    </w:lvl>
    <w:lvl w:ilvl="6" w:tplc="3C4A5224">
      <w:numFmt w:val="decimal"/>
      <w:lvlText w:val=""/>
      <w:lvlJc w:val="left"/>
    </w:lvl>
    <w:lvl w:ilvl="7" w:tplc="7F02FE0C">
      <w:numFmt w:val="decimal"/>
      <w:lvlText w:val=""/>
      <w:lvlJc w:val="left"/>
    </w:lvl>
    <w:lvl w:ilvl="8" w:tplc="C42EA650">
      <w:numFmt w:val="decimal"/>
      <w:lvlText w:val=""/>
      <w:lvlJc w:val="left"/>
    </w:lvl>
  </w:abstractNum>
  <w:abstractNum w:abstractNumId="410" w15:restartNumberingAfterBreak="0">
    <w:nsid w:val="2C4475AA"/>
    <w:multiLevelType w:val="hybridMultilevel"/>
    <w:tmpl w:val="BE9021AC"/>
    <w:lvl w:ilvl="0" w:tplc="4950F116">
      <w:start w:val="1"/>
      <w:numFmt w:val="bullet"/>
      <w:lvlText w:val=""/>
      <w:lvlJc w:val="left"/>
      <w:pPr>
        <w:ind w:left="720" w:hanging="180"/>
      </w:pPr>
      <w:rPr>
        <w:rFonts w:ascii="Symbol" w:hAnsi="Symbol" w:hint="default"/>
      </w:rPr>
    </w:lvl>
    <w:lvl w:ilvl="1" w:tplc="693EDDDA">
      <w:numFmt w:val="decimal"/>
      <w:lvlText w:val=""/>
      <w:lvlJc w:val="left"/>
    </w:lvl>
    <w:lvl w:ilvl="2" w:tplc="9A86B784">
      <w:numFmt w:val="decimal"/>
      <w:lvlText w:val=""/>
      <w:lvlJc w:val="left"/>
    </w:lvl>
    <w:lvl w:ilvl="3" w:tplc="C9F6845A">
      <w:numFmt w:val="decimal"/>
      <w:lvlText w:val=""/>
      <w:lvlJc w:val="left"/>
    </w:lvl>
    <w:lvl w:ilvl="4" w:tplc="1276A27C">
      <w:numFmt w:val="decimal"/>
      <w:lvlText w:val=""/>
      <w:lvlJc w:val="left"/>
    </w:lvl>
    <w:lvl w:ilvl="5" w:tplc="E93AF522">
      <w:numFmt w:val="decimal"/>
      <w:lvlText w:val=""/>
      <w:lvlJc w:val="left"/>
    </w:lvl>
    <w:lvl w:ilvl="6" w:tplc="A044EA62">
      <w:numFmt w:val="decimal"/>
      <w:lvlText w:val=""/>
      <w:lvlJc w:val="left"/>
    </w:lvl>
    <w:lvl w:ilvl="7" w:tplc="553670EE">
      <w:numFmt w:val="decimal"/>
      <w:lvlText w:val=""/>
      <w:lvlJc w:val="left"/>
    </w:lvl>
    <w:lvl w:ilvl="8" w:tplc="C7F23C6E">
      <w:numFmt w:val="decimal"/>
      <w:lvlText w:val=""/>
      <w:lvlJc w:val="left"/>
    </w:lvl>
  </w:abstractNum>
  <w:abstractNum w:abstractNumId="411" w15:restartNumberingAfterBreak="0">
    <w:nsid w:val="2C4623A2"/>
    <w:multiLevelType w:val="hybridMultilevel"/>
    <w:tmpl w:val="8A86AE76"/>
    <w:lvl w:ilvl="0" w:tplc="79844CAE">
      <w:start w:val="1"/>
      <w:numFmt w:val="bullet"/>
      <w:lvlText w:val=""/>
      <w:lvlJc w:val="left"/>
      <w:pPr>
        <w:ind w:left="720" w:hanging="180"/>
      </w:pPr>
      <w:rPr>
        <w:rFonts w:ascii="Symbol" w:hAnsi="Symbol" w:hint="default"/>
      </w:rPr>
    </w:lvl>
    <w:lvl w:ilvl="1" w:tplc="26A01CF0">
      <w:numFmt w:val="decimal"/>
      <w:lvlText w:val=""/>
      <w:lvlJc w:val="left"/>
    </w:lvl>
    <w:lvl w:ilvl="2" w:tplc="8766EEE0">
      <w:numFmt w:val="decimal"/>
      <w:lvlText w:val=""/>
      <w:lvlJc w:val="left"/>
    </w:lvl>
    <w:lvl w:ilvl="3" w:tplc="9F1C8BEC">
      <w:numFmt w:val="decimal"/>
      <w:lvlText w:val=""/>
      <w:lvlJc w:val="left"/>
    </w:lvl>
    <w:lvl w:ilvl="4" w:tplc="6D027F46">
      <w:numFmt w:val="decimal"/>
      <w:lvlText w:val=""/>
      <w:lvlJc w:val="left"/>
    </w:lvl>
    <w:lvl w:ilvl="5" w:tplc="01B6E856">
      <w:numFmt w:val="decimal"/>
      <w:lvlText w:val=""/>
      <w:lvlJc w:val="left"/>
    </w:lvl>
    <w:lvl w:ilvl="6" w:tplc="B38CA82A">
      <w:numFmt w:val="decimal"/>
      <w:lvlText w:val=""/>
      <w:lvlJc w:val="left"/>
    </w:lvl>
    <w:lvl w:ilvl="7" w:tplc="EFDA2C2A">
      <w:numFmt w:val="decimal"/>
      <w:lvlText w:val=""/>
      <w:lvlJc w:val="left"/>
    </w:lvl>
    <w:lvl w:ilvl="8" w:tplc="8D60230A">
      <w:numFmt w:val="decimal"/>
      <w:lvlText w:val=""/>
      <w:lvlJc w:val="left"/>
    </w:lvl>
  </w:abstractNum>
  <w:abstractNum w:abstractNumId="412" w15:restartNumberingAfterBreak="0">
    <w:nsid w:val="2C7B1AE6"/>
    <w:multiLevelType w:val="hybridMultilevel"/>
    <w:tmpl w:val="6164C0DC"/>
    <w:lvl w:ilvl="0" w:tplc="5EF0850A">
      <w:start w:val="1"/>
      <w:numFmt w:val="bullet"/>
      <w:lvlText w:val=""/>
      <w:lvlJc w:val="left"/>
      <w:pPr>
        <w:ind w:left="720" w:hanging="180"/>
      </w:pPr>
      <w:rPr>
        <w:rFonts w:ascii="Symbol" w:hAnsi="Symbol" w:hint="default"/>
      </w:rPr>
    </w:lvl>
    <w:lvl w:ilvl="1" w:tplc="74B0239C">
      <w:numFmt w:val="decimal"/>
      <w:lvlText w:val=""/>
      <w:lvlJc w:val="left"/>
    </w:lvl>
    <w:lvl w:ilvl="2" w:tplc="A09C29D2">
      <w:numFmt w:val="decimal"/>
      <w:lvlText w:val=""/>
      <w:lvlJc w:val="left"/>
    </w:lvl>
    <w:lvl w:ilvl="3" w:tplc="BD4E056A">
      <w:numFmt w:val="decimal"/>
      <w:lvlText w:val=""/>
      <w:lvlJc w:val="left"/>
    </w:lvl>
    <w:lvl w:ilvl="4" w:tplc="35DED03C">
      <w:numFmt w:val="decimal"/>
      <w:lvlText w:val=""/>
      <w:lvlJc w:val="left"/>
    </w:lvl>
    <w:lvl w:ilvl="5" w:tplc="34089960">
      <w:numFmt w:val="decimal"/>
      <w:lvlText w:val=""/>
      <w:lvlJc w:val="left"/>
    </w:lvl>
    <w:lvl w:ilvl="6" w:tplc="6C0C809C">
      <w:numFmt w:val="decimal"/>
      <w:lvlText w:val=""/>
      <w:lvlJc w:val="left"/>
    </w:lvl>
    <w:lvl w:ilvl="7" w:tplc="60F4EEFC">
      <w:numFmt w:val="decimal"/>
      <w:lvlText w:val=""/>
      <w:lvlJc w:val="left"/>
    </w:lvl>
    <w:lvl w:ilvl="8" w:tplc="D264BE9E">
      <w:numFmt w:val="decimal"/>
      <w:lvlText w:val=""/>
      <w:lvlJc w:val="left"/>
    </w:lvl>
  </w:abstractNum>
  <w:abstractNum w:abstractNumId="413" w15:restartNumberingAfterBreak="0">
    <w:nsid w:val="2C8773F0"/>
    <w:multiLevelType w:val="hybridMultilevel"/>
    <w:tmpl w:val="3184032E"/>
    <w:lvl w:ilvl="0" w:tplc="5D3C29D4">
      <w:start w:val="1"/>
      <w:numFmt w:val="bullet"/>
      <w:lvlText w:val=""/>
      <w:lvlJc w:val="left"/>
      <w:pPr>
        <w:ind w:left="720" w:hanging="180"/>
      </w:pPr>
      <w:rPr>
        <w:rFonts w:ascii="Symbol" w:hAnsi="Symbol" w:hint="default"/>
      </w:rPr>
    </w:lvl>
    <w:lvl w:ilvl="1" w:tplc="119CF170">
      <w:numFmt w:val="decimal"/>
      <w:lvlText w:val=""/>
      <w:lvlJc w:val="left"/>
    </w:lvl>
    <w:lvl w:ilvl="2" w:tplc="05FAA30E">
      <w:numFmt w:val="decimal"/>
      <w:lvlText w:val=""/>
      <w:lvlJc w:val="left"/>
    </w:lvl>
    <w:lvl w:ilvl="3" w:tplc="B7EC88AE">
      <w:numFmt w:val="decimal"/>
      <w:lvlText w:val=""/>
      <w:lvlJc w:val="left"/>
    </w:lvl>
    <w:lvl w:ilvl="4" w:tplc="E3385D90">
      <w:numFmt w:val="decimal"/>
      <w:lvlText w:val=""/>
      <w:lvlJc w:val="left"/>
    </w:lvl>
    <w:lvl w:ilvl="5" w:tplc="B930FDA2">
      <w:numFmt w:val="decimal"/>
      <w:lvlText w:val=""/>
      <w:lvlJc w:val="left"/>
    </w:lvl>
    <w:lvl w:ilvl="6" w:tplc="C52CCC7A">
      <w:numFmt w:val="decimal"/>
      <w:lvlText w:val=""/>
      <w:lvlJc w:val="left"/>
    </w:lvl>
    <w:lvl w:ilvl="7" w:tplc="0B4CE09A">
      <w:numFmt w:val="decimal"/>
      <w:lvlText w:val=""/>
      <w:lvlJc w:val="left"/>
    </w:lvl>
    <w:lvl w:ilvl="8" w:tplc="2BB66E9C">
      <w:numFmt w:val="decimal"/>
      <w:lvlText w:val=""/>
      <w:lvlJc w:val="left"/>
    </w:lvl>
  </w:abstractNum>
  <w:abstractNum w:abstractNumId="414" w15:restartNumberingAfterBreak="0">
    <w:nsid w:val="2CA20D15"/>
    <w:multiLevelType w:val="hybridMultilevel"/>
    <w:tmpl w:val="28F47216"/>
    <w:lvl w:ilvl="0" w:tplc="4B36AEE0">
      <w:start w:val="1"/>
      <w:numFmt w:val="bullet"/>
      <w:lvlText w:val=""/>
      <w:lvlJc w:val="left"/>
      <w:pPr>
        <w:ind w:left="720" w:hanging="180"/>
      </w:pPr>
      <w:rPr>
        <w:rFonts w:ascii="Symbol" w:hAnsi="Symbol" w:hint="default"/>
      </w:rPr>
    </w:lvl>
    <w:lvl w:ilvl="1" w:tplc="652600CA">
      <w:numFmt w:val="decimal"/>
      <w:lvlText w:val=""/>
      <w:lvlJc w:val="left"/>
    </w:lvl>
    <w:lvl w:ilvl="2" w:tplc="A7108F9E">
      <w:numFmt w:val="decimal"/>
      <w:lvlText w:val=""/>
      <w:lvlJc w:val="left"/>
    </w:lvl>
    <w:lvl w:ilvl="3" w:tplc="40044D8A">
      <w:numFmt w:val="decimal"/>
      <w:lvlText w:val=""/>
      <w:lvlJc w:val="left"/>
    </w:lvl>
    <w:lvl w:ilvl="4" w:tplc="11125116">
      <w:numFmt w:val="decimal"/>
      <w:lvlText w:val=""/>
      <w:lvlJc w:val="left"/>
    </w:lvl>
    <w:lvl w:ilvl="5" w:tplc="2C365E04">
      <w:numFmt w:val="decimal"/>
      <w:lvlText w:val=""/>
      <w:lvlJc w:val="left"/>
    </w:lvl>
    <w:lvl w:ilvl="6" w:tplc="3E0A7314">
      <w:numFmt w:val="decimal"/>
      <w:lvlText w:val=""/>
      <w:lvlJc w:val="left"/>
    </w:lvl>
    <w:lvl w:ilvl="7" w:tplc="291EAF80">
      <w:numFmt w:val="decimal"/>
      <w:lvlText w:val=""/>
      <w:lvlJc w:val="left"/>
    </w:lvl>
    <w:lvl w:ilvl="8" w:tplc="6150A39C">
      <w:numFmt w:val="decimal"/>
      <w:lvlText w:val=""/>
      <w:lvlJc w:val="left"/>
    </w:lvl>
  </w:abstractNum>
  <w:abstractNum w:abstractNumId="415" w15:restartNumberingAfterBreak="0">
    <w:nsid w:val="2CAB50AA"/>
    <w:multiLevelType w:val="hybridMultilevel"/>
    <w:tmpl w:val="8B34BCBE"/>
    <w:lvl w:ilvl="0" w:tplc="78FA7A04">
      <w:start w:val="1"/>
      <w:numFmt w:val="bullet"/>
      <w:lvlText w:val=""/>
      <w:lvlJc w:val="left"/>
      <w:pPr>
        <w:ind w:left="720" w:hanging="180"/>
      </w:pPr>
      <w:rPr>
        <w:rFonts w:ascii="Symbol" w:hAnsi="Symbol" w:hint="default"/>
      </w:rPr>
    </w:lvl>
    <w:lvl w:ilvl="1" w:tplc="804AFC5A">
      <w:numFmt w:val="decimal"/>
      <w:lvlText w:val=""/>
      <w:lvlJc w:val="left"/>
    </w:lvl>
    <w:lvl w:ilvl="2" w:tplc="C546C16C">
      <w:numFmt w:val="decimal"/>
      <w:lvlText w:val=""/>
      <w:lvlJc w:val="left"/>
    </w:lvl>
    <w:lvl w:ilvl="3" w:tplc="FEAE0692">
      <w:numFmt w:val="decimal"/>
      <w:lvlText w:val=""/>
      <w:lvlJc w:val="left"/>
    </w:lvl>
    <w:lvl w:ilvl="4" w:tplc="4DDC41C2">
      <w:numFmt w:val="decimal"/>
      <w:lvlText w:val=""/>
      <w:lvlJc w:val="left"/>
    </w:lvl>
    <w:lvl w:ilvl="5" w:tplc="0FD25C92">
      <w:numFmt w:val="decimal"/>
      <w:lvlText w:val=""/>
      <w:lvlJc w:val="left"/>
    </w:lvl>
    <w:lvl w:ilvl="6" w:tplc="CC02DCE4">
      <w:numFmt w:val="decimal"/>
      <w:lvlText w:val=""/>
      <w:lvlJc w:val="left"/>
    </w:lvl>
    <w:lvl w:ilvl="7" w:tplc="D1E6FF84">
      <w:numFmt w:val="decimal"/>
      <w:lvlText w:val=""/>
      <w:lvlJc w:val="left"/>
    </w:lvl>
    <w:lvl w:ilvl="8" w:tplc="165E8D52">
      <w:numFmt w:val="decimal"/>
      <w:lvlText w:val=""/>
      <w:lvlJc w:val="left"/>
    </w:lvl>
  </w:abstractNum>
  <w:abstractNum w:abstractNumId="416" w15:restartNumberingAfterBreak="0">
    <w:nsid w:val="2CDA54C9"/>
    <w:multiLevelType w:val="hybridMultilevel"/>
    <w:tmpl w:val="F0F0C994"/>
    <w:lvl w:ilvl="0" w:tplc="C2C227D6">
      <w:start w:val="1"/>
      <w:numFmt w:val="bullet"/>
      <w:lvlText w:val=""/>
      <w:lvlJc w:val="left"/>
      <w:pPr>
        <w:ind w:left="720" w:hanging="180"/>
      </w:pPr>
      <w:rPr>
        <w:rFonts w:ascii="Symbol" w:hAnsi="Symbol" w:hint="default"/>
      </w:rPr>
    </w:lvl>
    <w:lvl w:ilvl="1" w:tplc="888AB5AC">
      <w:numFmt w:val="decimal"/>
      <w:lvlText w:val=""/>
      <w:lvlJc w:val="left"/>
    </w:lvl>
    <w:lvl w:ilvl="2" w:tplc="15F6C51C">
      <w:numFmt w:val="decimal"/>
      <w:lvlText w:val=""/>
      <w:lvlJc w:val="left"/>
    </w:lvl>
    <w:lvl w:ilvl="3" w:tplc="6E9A8B1A">
      <w:numFmt w:val="decimal"/>
      <w:lvlText w:val=""/>
      <w:lvlJc w:val="left"/>
    </w:lvl>
    <w:lvl w:ilvl="4" w:tplc="08004F18">
      <w:numFmt w:val="decimal"/>
      <w:lvlText w:val=""/>
      <w:lvlJc w:val="left"/>
    </w:lvl>
    <w:lvl w:ilvl="5" w:tplc="AD447CB4">
      <w:numFmt w:val="decimal"/>
      <w:lvlText w:val=""/>
      <w:lvlJc w:val="left"/>
    </w:lvl>
    <w:lvl w:ilvl="6" w:tplc="86E47AF4">
      <w:numFmt w:val="decimal"/>
      <w:lvlText w:val=""/>
      <w:lvlJc w:val="left"/>
    </w:lvl>
    <w:lvl w:ilvl="7" w:tplc="80747D50">
      <w:numFmt w:val="decimal"/>
      <w:lvlText w:val=""/>
      <w:lvlJc w:val="left"/>
    </w:lvl>
    <w:lvl w:ilvl="8" w:tplc="FC282A46">
      <w:numFmt w:val="decimal"/>
      <w:lvlText w:val=""/>
      <w:lvlJc w:val="left"/>
    </w:lvl>
  </w:abstractNum>
  <w:abstractNum w:abstractNumId="417" w15:restartNumberingAfterBreak="0">
    <w:nsid w:val="2CEB000D"/>
    <w:multiLevelType w:val="hybridMultilevel"/>
    <w:tmpl w:val="51B0594C"/>
    <w:lvl w:ilvl="0" w:tplc="2090BD4A">
      <w:start w:val="1"/>
      <w:numFmt w:val="bullet"/>
      <w:lvlText w:val=""/>
      <w:lvlJc w:val="left"/>
      <w:pPr>
        <w:ind w:left="720" w:hanging="180"/>
      </w:pPr>
      <w:rPr>
        <w:rFonts w:ascii="Symbol" w:hAnsi="Symbol" w:hint="default"/>
      </w:rPr>
    </w:lvl>
    <w:lvl w:ilvl="1" w:tplc="5982676C">
      <w:numFmt w:val="decimal"/>
      <w:lvlText w:val=""/>
      <w:lvlJc w:val="left"/>
    </w:lvl>
    <w:lvl w:ilvl="2" w:tplc="117E697E">
      <w:numFmt w:val="decimal"/>
      <w:lvlText w:val=""/>
      <w:lvlJc w:val="left"/>
    </w:lvl>
    <w:lvl w:ilvl="3" w:tplc="6BEA516C">
      <w:numFmt w:val="decimal"/>
      <w:lvlText w:val=""/>
      <w:lvlJc w:val="left"/>
    </w:lvl>
    <w:lvl w:ilvl="4" w:tplc="0F604B02">
      <w:numFmt w:val="decimal"/>
      <w:lvlText w:val=""/>
      <w:lvlJc w:val="left"/>
    </w:lvl>
    <w:lvl w:ilvl="5" w:tplc="17A2062A">
      <w:numFmt w:val="decimal"/>
      <w:lvlText w:val=""/>
      <w:lvlJc w:val="left"/>
    </w:lvl>
    <w:lvl w:ilvl="6" w:tplc="EFECF872">
      <w:numFmt w:val="decimal"/>
      <w:lvlText w:val=""/>
      <w:lvlJc w:val="left"/>
    </w:lvl>
    <w:lvl w:ilvl="7" w:tplc="CA14E784">
      <w:numFmt w:val="decimal"/>
      <w:lvlText w:val=""/>
      <w:lvlJc w:val="left"/>
    </w:lvl>
    <w:lvl w:ilvl="8" w:tplc="31723EC0">
      <w:numFmt w:val="decimal"/>
      <w:lvlText w:val=""/>
      <w:lvlJc w:val="left"/>
    </w:lvl>
  </w:abstractNum>
  <w:abstractNum w:abstractNumId="418" w15:restartNumberingAfterBreak="0">
    <w:nsid w:val="2CEB79BC"/>
    <w:multiLevelType w:val="hybridMultilevel"/>
    <w:tmpl w:val="0D84CE5E"/>
    <w:lvl w:ilvl="0" w:tplc="9D4AA0C6">
      <w:start w:val="1"/>
      <w:numFmt w:val="bullet"/>
      <w:lvlText w:val=""/>
      <w:lvlJc w:val="left"/>
      <w:pPr>
        <w:ind w:left="720" w:hanging="180"/>
      </w:pPr>
      <w:rPr>
        <w:rFonts w:ascii="Symbol" w:hAnsi="Symbol" w:hint="default"/>
      </w:rPr>
    </w:lvl>
    <w:lvl w:ilvl="1" w:tplc="69FE972E">
      <w:numFmt w:val="decimal"/>
      <w:lvlText w:val=""/>
      <w:lvlJc w:val="left"/>
    </w:lvl>
    <w:lvl w:ilvl="2" w:tplc="2A30E548">
      <w:numFmt w:val="decimal"/>
      <w:lvlText w:val=""/>
      <w:lvlJc w:val="left"/>
    </w:lvl>
    <w:lvl w:ilvl="3" w:tplc="BCF821DC">
      <w:numFmt w:val="decimal"/>
      <w:lvlText w:val=""/>
      <w:lvlJc w:val="left"/>
    </w:lvl>
    <w:lvl w:ilvl="4" w:tplc="472613EC">
      <w:numFmt w:val="decimal"/>
      <w:lvlText w:val=""/>
      <w:lvlJc w:val="left"/>
    </w:lvl>
    <w:lvl w:ilvl="5" w:tplc="C56C31CC">
      <w:numFmt w:val="decimal"/>
      <w:lvlText w:val=""/>
      <w:lvlJc w:val="left"/>
    </w:lvl>
    <w:lvl w:ilvl="6" w:tplc="E78445F4">
      <w:numFmt w:val="decimal"/>
      <w:lvlText w:val=""/>
      <w:lvlJc w:val="left"/>
    </w:lvl>
    <w:lvl w:ilvl="7" w:tplc="14263AC8">
      <w:numFmt w:val="decimal"/>
      <w:lvlText w:val=""/>
      <w:lvlJc w:val="left"/>
    </w:lvl>
    <w:lvl w:ilvl="8" w:tplc="97A06A3E">
      <w:numFmt w:val="decimal"/>
      <w:lvlText w:val=""/>
      <w:lvlJc w:val="left"/>
    </w:lvl>
  </w:abstractNum>
  <w:abstractNum w:abstractNumId="419" w15:restartNumberingAfterBreak="0">
    <w:nsid w:val="2CFA1CB2"/>
    <w:multiLevelType w:val="hybridMultilevel"/>
    <w:tmpl w:val="06A66B66"/>
    <w:lvl w:ilvl="0" w:tplc="AD6ECF18">
      <w:start w:val="1"/>
      <w:numFmt w:val="bullet"/>
      <w:lvlText w:val=""/>
      <w:lvlJc w:val="left"/>
      <w:pPr>
        <w:ind w:left="720" w:hanging="180"/>
      </w:pPr>
      <w:rPr>
        <w:rFonts w:ascii="Symbol" w:hAnsi="Symbol" w:hint="default"/>
      </w:rPr>
    </w:lvl>
    <w:lvl w:ilvl="1" w:tplc="7E503068">
      <w:numFmt w:val="decimal"/>
      <w:lvlText w:val=""/>
      <w:lvlJc w:val="left"/>
    </w:lvl>
    <w:lvl w:ilvl="2" w:tplc="6C94D028">
      <w:numFmt w:val="decimal"/>
      <w:lvlText w:val=""/>
      <w:lvlJc w:val="left"/>
    </w:lvl>
    <w:lvl w:ilvl="3" w:tplc="1CAEA5A6">
      <w:numFmt w:val="decimal"/>
      <w:lvlText w:val=""/>
      <w:lvlJc w:val="left"/>
    </w:lvl>
    <w:lvl w:ilvl="4" w:tplc="58960302">
      <w:numFmt w:val="decimal"/>
      <w:lvlText w:val=""/>
      <w:lvlJc w:val="left"/>
    </w:lvl>
    <w:lvl w:ilvl="5" w:tplc="E76CDA4E">
      <w:numFmt w:val="decimal"/>
      <w:lvlText w:val=""/>
      <w:lvlJc w:val="left"/>
    </w:lvl>
    <w:lvl w:ilvl="6" w:tplc="5F4C4BA0">
      <w:numFmt w:val="decimal"/>
      <w:lvlText w:val=""/>
      <w:lvlJc w:val="left"/>
    </w:lvl>
    <w:lvl w:ilvl="7" w:tplc="D16E294A">
      <w:numFmt w:val="decimal"/>
      <w:lvlText w:val=""/>
      <w:lvlJc w:val="left"/>
    </w:lvl>
    <w:lvl w:ilvl="8" w:tplc="4E28BFDE">
      <w:numFmt w:val="decimal"/>
      <w:lvlText w:val=""/>
      <w:lvlJc w:val="left"/>
    </w:lvl>
  </w:abstractNum>
  <w:abstractNum w:abstractNumId="420" w15:restartNumberingAfterBreak="0">
    <w:nsid w:val="2D0A0B93"/>
    <w:multiLevelType w:val="hybridMultilevel"/>
    <w:tmpl w:val="698C93CE"/>
    <w:lvl w:ilvl="0" w:tplc="E17CEFAC">
      <w:start w:val="1"/>
      <w:numFmt w:val="bullet"/>
      <w:lvlText w:val=""/>
      <w:lvlJc w:val="left"/>
      <w:pPr>
        <w:ind w:left="720" w:hanging="180"/>
      </w:pPr>
      <w:rPr>
        <w:rFonts w:ascii="Symbol" w:hAnsi="Symbol" w:hint="default"/>
      </w:rPr>
    </w:lvl>
    <w:lvl w:ilvl="1" w:tplc="3CAAB50A">
      <w:numFmt w:val="decimal"/>
      <w:lvlText w:val=""/>
      <w:lvlJc w:val="left"/>
    </w:lvl>
    <w:lvl w:ilvl="2" w:tplc="D51AFD70">
      <w:numFmt w:val="decimal"/>
      <w:lvlText w:val=""/>
      <w:lvlJc w:val="left"/>
    </w:lvl>
    <w:lvl w:ilvl="3" w:tplc="712E521E">
      <w:numFmt w:val="decimal"/>
      <w:lvlText w:val=""/>
      <w:lvlJc w:val="left"/>
    </w:lvl>
    <w:lvl w:ilvl="4" w:tplc="A0383542">
      <w:numFmt w:val="decimal"/>
      <w:lvlText w:val=""/>
      <w:lvlJc w:val="left"/>
    </w:lvl>
    <w:lvl w:ilvl="5" w:tplc="84BC9230">
      <w:numFmt w:val="decimal"/>
      <w:lvlText w:val=""/>
      <w:lvlJc w:val="left"/>
    </w:lvl>
    <w:lvl w:ilvl="6" w:tplc="A25057D8">
      <w:numFmt w:val="decimal"/>
      <w:lvlText w:val=""/>
      <w:lvlJc w:val="left"/>
    </w:lvl>
    <w:lvl w:ilvl="7" w:tplc="62E68E26">
      <w:numFmt w:val="decimal"/>
      <w:lvlText w:val=""/>
      <w:lvlJc w:val="left"/>
    </w:lvl>
    <w:lvl w:ilvl="8" w:tplc="D346AA0E">
      <w:numFmt w:val="decimal"/>
      <w:lvlText w:val=""/>
      <w:lvlJc w:val="left"/>
    </w:lvl>
  </w:abstractNum>
  <w:abstractNum w:abstractNumId="421" w15:restartNumberingAfterBreak="0">
    <w:nsid w:val="2D1007FB"/>
    <w:multiLevelType w:val="hybridMultilevel"/>
    <w:tmpl w:val="99641AC6"/>
    <w:lvl w:ilvl="0" w:tplc="A0ECEAB0">
      <w:start w:val="1"/>
      <w:numFmt w:val="bullet"/>
      <w:lvlText w:val=""/>
      <w:lvlJc w:val="left"/>
      <w:pPr>
        <w:ind w:left="720" w:hanging="180"/>
      </w:pPr>
      <w:rPr>
        <w:rFonts w:ascii="Symbol" w:hAnsi="Symbol" w:hint="default"/>
      </w:rPr>
    </w:lvl>
    <w:lvl w:ilvl="1" w:tplc="0BBA2B7A">
      <w:numFmt w:val="decimal"/>
      <w:lvlText w:val=""/>
      <w:lvlJc w:val="left"/>
    </w:lvl>
    <w:lvl w:ilvl="2" w:tplc="521A453E">
      <w:numFmt w:val="decimal"/>
      <w:lvlText w:val=""/>
      <w:lvlJc w:val="left"/>
    </w:lvl>
    <w:lvl w:ilvl="3" w:tplc="C73853F4">
      <w:numFmt w:val="decimal"/>
      <w:lvlText w:val=""/>
      <w:lvlJc w:val="left"/>
    </w:lvl>
    <w:lvl w:ilvl="4" w:tplc="47CE23AE">
      <w:numFmt w:val="decimal"/>
      <w:lvlText w:val=""/>
      <w:lvlJc w:val="left"/>
    </w:lvl>
    <w:lvl w:ilvl="5" w:tplc="486A97B6">
      <w:numFmt w:val="decimal"/>
      <w:lvlText w:val=""/>
      <w:lvlJc w:val="left"/>
    </w:lvl>
    <w:lvl w:ilvl="6" w:tplc="BC4C4316">
      <w:numFmt w:val="decimal"/>
      <w:lvlText w:val=""/>
      <w:lvlJc w:val="left"/>
    </w:lvl>
    <w:lvl w:ilvl="7" w:tplc="35E895D2">
      <w:numFmt w:val="decimal"/>
      <w:lvlText w:val=""/>
      <w:lvlJc w:val="left"/>
    </w:lvl>
    <w:lvl w:ilvl="8" w:tplc="26005418">
      <w:numFmt w:val="decimal"/>
      <w:lvlText w:val=""/>
      <w:lvlJc w:val="left"/>
    </w:lvl>
  </w:abstractNum>
  <w:abstractNum w:abstractNumId="422" w15:restartNumberingAfterBreak="0">
    <w:nsid w:val="2D1F495F"/>
    <w:multiLevelType w:val="hybridMultilevel"/>
    <w:tmpl w:val="29945EF2"/>
    <w:lvl w:ilvl="0" w:tplc="BDE6AF18">
      <w:start w:val="1"/>
      <w:numFmt w:val="bullet"/>
      <w:lvlText w:val=""/>
      <w:lvlJc w:val="left"/>
      <w:pPr>
        <w:ind w:left="720" w:hanging="180"/>
      </w:pPr>
      <w:rPr>
        <w:rFonts w:ascii="Symbol" w:hAnsi="Symbol" w:hint="default"/>
      </w:rPr>
    </w:lvl>
    <w:lvl w:ilvl="1" w:tplc="96DA9AF8">
      <w:numFmt w:val="decimal"/>
      <w:lvlText w:val=""/>
      <w:lvlJc w:val="left"/>
    </w:lvl>
    <w:lvl w:ilvl="2" w:tplc="9C2A873C">
      <w:numFmt w:val="decimal"/>
      <w:lvlText w:val=""/>
      <w:lvlJc w:val="left"/>
    </w:lvl>
    <w:lvl w:ilvl="3" w:tplc="A7CA9BB6">
      <w:numFmt w:val="decimal"/>
      <w:lvlText w:val=""/>
      <w:lvlJc w:val="left"/>
    </w:lvl>
    <w:lvl w:ilvl="4" w:tplc="18E8C03A">
      <w:numFmt w:val="decimal"/>
      <w:lvlText w:val=""/>
      <w:lvlJc w:val="left"/>
    </w:lvl>
    <w:lvl w:ilvl="5" w:tplc="F4305B72">
      <w:numFmt w:val="decimal"/>
      <w:lvlText w:val=""/>
      <w:lvlJc w:val="left"/>
    </w:lvl>
    <w:lvl w:ilvl="6" w:tplc="907A31AE">
      <w:numFmt w:val="decimal"/>
      <w:lvlText w:val=""/>
      <w:lvlJc w:val="left"/>
    </w:lvl>
    <w:lvl w:ilvl="7" w:tplc="3754D8D8">
      <w:numFmt w:val="decimal"/>
      <w:lvlText w:val=""/>
      <w:lvlJc w:val="left"/>
    </w:lvl>
    <w:lvl w:ilvl="8" w:tplc="796E049A">
      <w:numFmt w:val="decimal"/>
      <w:lvlText w:val=""/>
      <w:lvlJc w:val="left"/>
    </w:lvl>
  </w:abstractNum>
  <w:abstractNum w:abstractNumId="423" w15:restartNumberingAfterBreak="0">
    <w:nsid w:val="2D2646CE"/>
    <w:multiLevelType w:val="hybridMultilevel"/>
    <w:tmpl w:val="0B3A29AC"/>
    <w:lvl w:ilvl="0" w:tplc="1CA8CD3A">
      <w:start w:val="1"/>
      <w:numFmt w:val="bullet"/>
      <w:lvlText w:val=""/>
      <w:lvlJc w:val="left"/>
      <w:pPr>
        <w:ind w:left="720" w:hanging="180"/>
      </w:pPr>
      <w:rPr>
        <w:rFonts w:ascii="Symbol" w:hAnsi="Symbol" w:hint="default"/>
      </w:rPr>
    </w:lvl>
    <w:lvl w:ilvl="1" w:tplc="BD68CF60">
      <w:numFmt w:val="decimal"/>
      <w:lvlText w:val=""/>
      <w:lvlJc w:val="left"/>
    </w:lvl>
    <w:lvl w:ilvl="2" w:tplc="42D07758">
      <w:numFmt w:val="decimal"/>
      <w:lvlText w:val=""/>
      <w:lvlJc w:val="left"/>
    </w:lvl>
    <w:lvl w:ilvl="3" w:tplc="D10A25B6">
      <w:numFmt w:val="decimal"/>
      <w:lvlText w:val=""/>
      <w:lvlJc w:val="left"/>
    </w:lvl>
    <w:lvl w:ilvl="4" w:tplc="17D0E094">
      <w:numFmt w:val="decimal"/>
      <w:lvlText w:val=""/>
      <w:lvlJc w:val="left"/>
    </w:lvl>
    <w:lvl w:ilvl="5" w:tplc="0B18F306">
      <w:numFmt w:val="decimal"/>
      <w:lvlText w:val=""/>
      <w:lvlJc w:val="left"/>
    </w:lvl>
    <w:lvl w:ilvl="6" w:tplc="F342E248">
      <w:numFmt w:val="decimal"/>
      <w:lvlText w:val=""/>
      <w:lvlJc w:val="left"/>
    </w:lvl>
    <w:lvl w:ilvl="7" w:tplc="8A96FEC0">
      <w:numFmt w:val="decimal"/>
      <w:lvlText w:val=""/>
      <w:lvlJc w:val="left"/>
    </w:lvl>
    <w:lvl w:ilvl="8" w:tplc="C8CCD03A">
      <w:numFmt w:val="decimal"/>
      <w:lvlText w:val=""/>
      <w:lvlJc w:val="left"/>
    </w:lvl>
  </w:abstractNum>
  <w:abstractNum w:abstractNumId="424" w15:restartNumberingAfterBreak="0">
    <w:nsid w:val="2D457D4C"/>
    <w:multiLevelType w:val="hybridMultilevel"/>
    <w:tmpl w:val="2A1A7EE6"/>
    <w:lvl w:ilvl="0" w:tplc="E0C8F8EC">
      <w:numFmt w:val="decimal"/>
      <w:lvlText w:val=""/>
      <w:lvlJc w:val="left"/>
    </w:lvl>
    <w:lvl w:ilvl="1" w:tplc="2A30CDA0">
      <w:start w:val="1"/>
      <w:numFmt w:val="bullet"/>
      <w:lvlText w:val=""/>
      <w:lvlJc w:val="left"/>
      <w:pPr>
        <w:ind w:left="1440" w:hanging="180"/>
      </w:pPr>
      <w:rPr>
        <w:rFonts w:ascii="Symbol" w:hAnsi="Symbol" w:hint="default"/>
      </w:rPr>
    </w:lvl>
    <w:lvl w:ilvl="2" w:tplc="F82A1CE6">
      <w:numFmt w:val="decimal"/>
      <w:lvlText w:val=""/>
      <w:lvlJc w:val="left"/>
    </w:lvl>
    <w:lvl w:ilvl="3" w:tplc="2BE8A72A">
      <w:numFmt w:val="decimal"/>
      <w:lvlText w:val=""/>
      <w:lvlJc w:val="left"/>
    </w:lvl>
    <w:lvl w:ilvl="4" w:tplc="A1469FEC">
      <w:numFmt w:val="decimal"/>
      <w:lvlText w:val=""/>
      <w:lvlJc w:val="left"/>
    </w:lvl>
    <w:lvl w:ilvl="5" w:tplc="970E67B6">
      <w:numFmt w:val="decimal"/>
      <w:lvlText w:val=""/>
      <w:lvlJc w:val="left"/>
    </w:lvl>
    <w:lvl w:ilvl="6" w:tplc="113680DC">
      <w:numFmt w:val="decimal"/>
      <w:lvlText w:val=""/>
      <w:lvlJc w:val="left"/>
    </w:lvl>
    <w:lvl w:ilvl="7" w:tplc="FAB81802">
      <w:numFmt w:val="decimal"/>
      <w:lvlText w:val=""/>
      <w:lvlJc w:val="left"/>
    </w:lvl>
    <w:lvl w:ilvl="8" w:tplc="4A7012FA">
      <w:numFmt w:val="decimal"/>
      <w:lvlText w:val=""/>
      <w:lvlJc w:val="left"/>
    </w:lvl>
  </w:abstractNum>
  <w:abstractNum w:abstractNumId="425" w15:restartNumberingAfterBreak="0">
    <w:nsid w:val="2D4B4A54"/>
    <w:multiLevelType w:val="hybridMultilevel"/>
    <w:tmpl w:val="82BE2C2E"/>
    <w:lvl w:ilvl="0" w:tplc="26CCAC1A">
      <w:start w:val="1"/>
      <w:numFmt w:val="bullet"/>
      <w:lvlText w:val=""/>
      <w:lvlJc w:val="left"/>
      <w:pPr>
        <w:ind w:left="720" w:hanging="180"/>
      </w:pPr>
      <w:rPr>
        <w:rFonts w:ascii="Symbol" w:hAnsi="Symbol" w:hint="default"/>
      </w:rPr>
    </w:lvl>
    <w:lvl w:ilvl="1" w:tplc="12FA64BE">
      <w:numFmt w:val="decimal"/>
      <w:lvlText w:val=""/>
      <w:lvlJc w:val="left"/>
    </w:lvl>
    <w:lvl w:ilvl="2" w:tplc="5FB8B100">
      <w:numFmt w:val="decimal"/>
      <w:lvlText w:val=""/>
      <w:lvlJc w:val="left"/>
    </w:lvl>
    <w:lvl w:ilvl="3" w:tplc="E08AA502">
      <w:numFmt w:val="decimal"/>
      <w:lvlText w:val=""/>
      <w:lvlJc w:val="left"/>
    </w:lvl>
    <w:lvl w:ilvl="4" w:tplc="A63827C8">
      <w:numFmt w:val="decimal"/>
      <w:lvlText w:val=""/>
      <w:lvlJc w:val="left"/>
    </w:lvl>
    <w:lvl w:ilvl="5" w:tplc="6E5652EA">
      <w:numFmt w:val="decimal"/>
      <w:lvlText w:val=""/>
      <w:lvlJc w:val="left"/>
    </w:lvl>
    <w:lvl w:ilvl="6" w:tplc="7674DBDA">
      <w:numFmt w:val="decimal"/>
      <w:lvlText w:val=""/>
      <w:lvlJc w:val="left"/>
    </w:lvl>
    <w:lvl w:ilvl="7" w:tplc="BA62ECC6">
      <w:numFmt w:val="decimal"/>
      <w:lvlText w:val=""/>
      <w:lvlJc w:val="left"/>
    </w:lvl>
    <w:lvl w:ilvl="8" w:tplc="06D2134C">
      <w:numFmt w:val="decimal"/>
      <w:lvlText w:val=""/>
      <w:lvlJc w:val="left"/>
    </w:lvl>
  </w:abstractNum>
  <w:abstractNum w:abstractNumId="426" w15:restartNumberingAfterBreak="0">
    <w:nsid w:val="2D5023AE"/>
    <w:multiLevelType w:val="hybridMultilevel"/>
    <w:tmpl w:val="063C9C38"/>
    <w:lvl w:ilvl="0" w:tplc="77D24538">
      <w:start w:val="1"/>
      <w:numFmt w:val="bullet"/>
      <w:lvlText w:val=""/>
      <w:lvlJc w:val="left"/>
      <w:pPr>
        <w:ind w:left="720" w:hanging="180"/>
      </w:pPr>
      <w:rPr>
        <w:rFonts w:ascii="Symbol" w:hAnsi="Symbol" w:hint="default"/>
      </w:rPr>
    </w:lvl>
    <w:lvl w:ilvl="1" w:tplc="0928B586">
      <w:numFmt w:val="decimal"/>
      <w:lvlText w:val=""/>
      <w:lvlJc w:val="left"/>
    </w:lvl>
    <w:lvl w:ilvl="2" w:tplc="8E548E6C">
      <w:numFmt w:val="decimal"/>
      <w:lvlText w:val=""/>
      <w:lvlJc w:val="left"/>
    </w:lvl>
    <w:lvl w:ilvl="3" w:tplc="348A053E">
      <w:numFmt w:val="decimal"/>
      <w:lvlText w:val=""/>
      <w:lvlJc w:val="left"/>
    </w:lvl>
    <w:lvl w:ilvl="4" w:tplc="8B5E0FA4">
      <w:numFmt w:val="decimal"/>
      <w:lvlText w:val=""/>
      <w:lvlJc w:val="left"/>
    </w:lvl>
    <w:lvl w:ilvl="5" w:tplc="4F525CBA">
      <w:numFmt w:val="decimal"/>
      <w:lvlText w:val=""/>
      <w:lvlJc w:val="left"/>
    </w:lvl>
    <w:lvl w:ilvl="6" w:tplc="C0B8D4DC">
      <w:numFmt w:val="decimal"/>
      <w:lvlText w:val=""/>
      <w:lvlJc w:val="left"/>
    </w:lvl>
    <w:lvl w:ilvl="7" w:tplc="91C005E6">
      <w:numFmt w:val="decimal"/>
      <w:lvlText w:val=""/>
      <w:lvlJc w:val="left"/>
    </w:lvl>
    <w:lvl w:ilvl="8" w:tplc="BA087B58">
      <w:numFmt w:val="decimal"/>
      <w:lvlText w:val=""/>
      <w:lvlJc w:val="left"/>
    </w:lvl>
  </w:abstractNum>
  <w:abstractNum w:abstractNumId="427" w15:restartNumberingAfterBreak="0">
    <w:nsid w:val="2D8510A1"/>
    <w:multiLevelType w:val="hybridMultilevel"/>
    <w:tmpl w:val="31E2019A"/>
    <w:lvl w:ilvl="0" w:tplc="CCF2F0BE">
      <w:start w:val="1"/>
      <w:numFmt w:val="bullet"/>
      <w:lvlText w:val=""/>
      <w:lvlJc w:val="left"/>
      <w:pPr>
        <w:ind w:left="720" w:hanging="180"/>
      </w:pPr>
      <w:rPr>
        <w:rFonts w:ascii="Symbol" w:hAnsi="Symbol" w:hint="default"/>
      </w:rPr>
    </w:lvl>
    <w:lvl w:ilvl="1" w:tplc="2D44FC7E">
      <w:numFmt w:val="decimal"/>
      <w:lvlText w:val=""/>
      <w:lvlJc w:val="left"/>
    </w:lvl>
    <w:lvl w:ilvl="2" w:tplc="27A0B0F2">
      <w:numFmt w:val="decimal"/>
      <w:lvlText w:val=""/>
      <w:lvlJc w:val="left"/>
    </w:lvl>
    <w:lvl w:ilvl="3" w:tplc="C052B6DA">
      <w:numFmt w:val="decimal"/>
      <w:lvlText w:val=""/>
      <w:lvlJc w:val="left"/>
    </w:lvl>
    <w:lvl w:ilvl="4" w:tplc="4B5C5ED4">
      <w:numFmt w:val="decimal"/>
      <w:lvlText w:val=""/>
      <w:lvlJc w:val="left"/>
    </w:lvl>
    <w:lvl w:ilvl="5" w:tplc="453A364E">
      <w:numFmt w:val="decimal"/>
      <w:lvlText w:val=""/>
      <w:lvlJc w:val="left"/>
    </w:lvl>
    <w:lvl w:ilvl="6" w:tplc="9AAAF042">
      <w:numFmt w:val="decimal"/>
      <w:lvlText w:val=""/>
      <w:lvlJc w:val="left"/>
    </w:lvl>
    <w:lvl w:ilvl="7" w:tplc="D1AA1F42">
      <w:numFmt w:val="decimal"/>
      <w:lvlText w:val=""/>
      <w:lvlJc w:val="left"/>
    </w:lvl>
    <w:lvl w:ilvl="8" w:tplc="69124794">
      <w:numFmt w:val="decimal"/>
      <w:lvlText w:val=""/>
      <w:lvlJc w:val="left"/>
    </w:lvl>
  </w:abstractNum>
  <w:abstractNum w:abstractNumId="428" w15:restartNumberingAfterBreak="0">
    <w:nsid w:val="2D9D147D"/>
    <w:multiLevelType w:val="hybridMultilevel"/>
    <w:tmpl w:val="5C4C3BC2"/>
    <w:lvl w:ilvl="0" w:tplc="E7F4FBB0">
      <w:start w:val="1"/>
      <w:numFmt w:val="bullet"/>
      <w:lvlText w:val=""/>
      <w:lvlJc w:val="left"/>
      <w:pPr>
        <w:ind w:left="720" w:hanging="180"/>
      </w:pPr>
      <w:rPr>
        <w:rFonts w:ascii="Symbol" w:hAnsi="Symbol" w:hint="default"/>
      </w:rPr>
    </w:lvl>
    <w:lvl w:ilvl="1" w:tplc="3EBC31AC">
      <w:numFmt w:val="decimal"/>
      <w:lvlText w:val=""/>
      <w:lvlJc w:val="left"/>
    </w:lvl>
    <w:lvl w:ilvl="2" w:tplc="FA5AF0A2">
      <w:numFmt w:val="decimal"/>
      <w:lvlText w:val=""/>
      <w:lvlJc w:val="left"/>
    </w:lvl>
    <w:lvl w:ilvl="3" w:tplc="051EA9C8">
      <w:numFmt w:val="decimal"/>
      <w:lvlText w:val=""/>
      <w:lvlJc w:val="left"/>
    </w:lvl>
    <w:lvl w:ilvl="4" w:tplc="EFE4926A">
      <w:numFmt w:val="decimal"/>
      <w:lvlText w:val=""/>
      <w:lvlJc w:val="left"/>
    </w:lvl>
    <w:lvl w:ilvl="5" w:tplc="85860180">
      <w:numFmt w:val="decimal"/>
      <w:lvlText w:val=""/>
      <w:lvlJc w:val="left"/>
    </w:lvl>
    <w:lvl w:ilvl="6" w:tplc="E7CCF9C0">
      <w:numFmt w:val="decimal"/>
      <w:lvlText w:val=""/>
      <w:lvlJc w:val="left"/>
    </w:lvl>
    <w:lvl w:ilvl="7" w:tplc="DB168E3E">
      <w:numFmt w:val="decimal"/>
      <w:lvlText w:val=""/>
      <w:lvlJc w:val="left"/>
    </w:lvl>
    <w:lvl w:ilvl="8" w:tplc="608A0F86">
      <w:numFmt w:val="decimal"/>
      <w:lvlText w:val=""/>
      <w:lvlJc w:val="left"/>
    </w:lvl>
  </w:abstractNum>
  <w:abstractNum w:abstractNumId="429" w15:restartNumberingAfterBreak="0">
    <w:nsid w:val="2DAD7EB6"/>
    <w:multiLevelType w:val="hybridMultilevel"/>
    <w:tmpl w:val="9BF0B1AC"/>
    <w:lvl w:ilvl="0" w:tplc="8ADA3698">
      <w:start w:val="1"/>
      <w:numFmt w:val="bullet"/>
      <w:lvlText w:val=""/>
      <w:lvlJc w:val="left"/>
      <w:pPr>
        <w:ind w:left="720" w:hanging="180"/>
      </w:pPr>
      <w:rPr>
        <w:rFonts w:ascii="Symbol" w:hAnsi="Symbol" w:hint="default"/>
      </w:rPr>
    </w:lvl>
    <w:lvl w:ilvl="1" w:tplc="B7A0FEE8">
      <w:numFmt w:val="decimal"/>
      <w:lvlText w:val=""/>
      <w:lvlJc w:val="left"/>
    </w:lvl>
    <w:lvl w:ilvl="2" w:tplc="92CC3B8A">
      <w:numFmt w:val="decimal"/>
      <w:lvlText w:val=""/>
      <w:lvlJc w:val="left"/>
    </w:lvl>
    <w:lvl w:ilvl="3" w:tplc="A724AE3C">
      <w:numFmt w:val="decimal"/>
      <w:lvlText w:val=""/>
      <w:lvlJc w:val="left"/>
    </w:lvl>
    <w:lvl w:ilvl="4" w:tplc="C6844BC6">
      <w:numFmt w:val="decimal"/>
      <w:lvlText w:val=""/>
      <w:lvlJc w:val="left"/>
    </w:lvl>
    <w:lvl w:ilvl="5" w:tplc="53AC5002">
      <w:numFmt w:val="decimal"/>
      <w:lvlText w:val=""/>
      <w:lvlJc w:val="left"/>
    </w:lvl>
    <w:lvl w:ilvl="6" w:tplc="ACACB3D0">
      <w:numFmt w:val="decimal"/>
      <w:lvlText w:val=""/>
      <w:lvlJc w:val="left"/>
    </w:lvl>
    <w:lvl w:ilvl="7" w:tplc="BA3406AE">
      <w:numFmt w:val="decimal"/>
      <w:lvlText w:val=""/>
      <w:lvlJc w:val="left"/>
    </w:lvl>
    <w:lvl w:ilvl="8" w:tplc="BE0EDA1C">
      <w:numFmt w:val="decimal"/>
      <w:lvlText w:val=""/>
      <w:lvlJc w:val="left"/>
    </w:lvl>
  </w:abstractNum>
  <w:abstractNum w:abstractNumId="430" w15:restartNumberingAfterBreak="0">
    <w:nsid w:val="2DB77C4A"/>
    <w:multiLevelType w:val="hybridMultilevel"/>
    <w:tmpl w:val="0B60CE94"/>
    <w:lvl w:ilvl="0" w:tplc="A93855E0">
      <w:start w:val="1"/>
      <w:numFmt w:val="bullet"/>
      <w:lvlText w:val=""/>
      <w:lvlJc w:val="left"/>
      <w:pPr>
        <w:ind w:left="720" w:hanging="180"/>
      </w:pPr>
      <w:rPr>
        <w:rFonts w:ascii="Symbol" w:hAnsi="Symbol" w:hint="default"/>
      </w:rPr>
    </w:lvl>
    <w:lvl w:ilvl="1" w:tplc="DCD0C0AE">
      <w:numFmt w:val="decimal"/>
      <w:lvlText w:val=""/>
      <w:lvlJc w:val="left"/>
    </w:lvl>
    <w:lvl w:ilvl="2" w:tplc="52CCAD98">
      <w:numFmt w:val="decimal"/>
      <w:lvlText w:val=""/>
      <w:lvlJc w:val="left"/>
    </w:lvl>
    <w:lvl w:ilvl="3" w:tplc="38E4D822">
      <w:numFmt w:val="decimal"/>
      <w:lvlText w:val=""/>
      <w:lvlJc w:val="left"/>
    </w:lvl>
    <w:lvl w:ilvl="4" w:tplc="4ED84DDE">
      <w:numFmt w:val="decimal"/>
      <w:lvlText w:val=""/>
      <w:lvlJc w:val="left"/>
    </w:lvl>
    <w:lvl w:ilvl="5" w:tplc="96829D10">
      <w:numFmt w:val="decimal"/>
      <w:lvlText w:val=""/>
      <w:lvlJc w:val="left"/>
    </w:lvl>
    <w:lvl w:ilvl="6" w:tplc="E384F1A8">
      <w:numFmt w:val="decimal"/>
      <w:lvlText w:val=""/>
      <w:lvlJc w:val="left"/>
    </w:lvl>
    <w:lvl w:ilvl="7" w:tplc="79041B98">
      <w:numFmt w:val="decimal"/>
      <w:lvlText w:val=""/>
      <w:lvlJc w:val="left"/>
    </w:lvl>
    <w:lvl w:ilvl="8" w:tplc="F2006916">
      <w:numFmt w:val="decimal"/>
      <w:lvlText w:val=""/>
      <w:lvlJc w:val="left"/>
    </w:lvl>
  </w:abstractNum>
  <w:abstractNum w:abstractNumId="431" w15:restartNumberingAfterBreak="0">
    <w:nsid w:val="2DD154AA"/>
    <w:multiLevelType w:val="hybridMultilevel"/>
    <w:tmpl w:val="75269708"/>
    <w:lvl w:ilvl="0" w:tplc="8CA28EDC">
      <w:numFmt w:val="decimal"/>
      <w:lvlText w:val=""/>
      <w:lvlJc w:val="left"/>
    </w:lvl>
    <w:lvl w:ilvl="1" w:tplc="1DFCCD2A">
      <w:start w:val="1"/>
      <w:numFmt w:val="bullet"/>
      <w:lvlText w:val=""/>
      <w:lvlJc w:val="left"/>
      <w:pPr>
        <w:ind w:left="1440" w:hanging="180"/>
      </w:pPr>
      <w:rPr>
        <w:rFonts w:ascii="Symbol" w:hAnsi="Symbol" w:hint="default"/>
      </w:rPr>
    </w:lvl>
    <w:lvl w:ilvl="2" w:tplc="6B8C5E76">
      <w:numFmt w:val="decimal"/>
      <w:lvlText w:val=""/>
      <w:lvlJc w:val="left"/>
    </w:lvl>
    <w:lvl w:ilvl="3" w:tplc="44A4B854">
      <w:numFmt w:val="decimal"/>
      <w:lvlText w:val=""/>
      <w:lvlJc w:val="left"/>
    </w:lvl>
    <w:lvl w:ilvl="4" w:tplc="E7703B52">
      <w:numFmt w:val="decimal"/>
      <w:lvlText w:val=""/>
      <w:lvlJc w:val="left"/>
    </w:lvl>
    <w:lvl w:ilvl="5" w:tplc="38FA61B2">
      <w:numFmt w:val="decimal"/>
      <w:lvlText w:val=""/>
      <w:lvlJc w:val="left"/>
    </w:lvl>
    <w:lvl w:ilvl="6" w:tplc="78EC8EA0">
      <w:numFmt w:val="decimal"/>
      <w:lvlText w:val=""/>
      <w:lvlJc w:val="left"/>
    </w:lvl>
    <w:lvl w:ilvl="7" w:tplc="2C68FFC2">
      <w:numFmt w:val="decimal"/>
      <w:lvlText w:val=""/>
      <w:lvlJc w:val="left"/>
    </w:lvl>
    <w:lvl w:ilvl="8" w:tplc="76AC040A">
      <w:numFmt w:val="decimal"/>
      <w:lvlText w:val=""/>
      <w:lvlJc w:val="left"/>
    </w:lvl>
  </w:abstractNum>
  <w:abstractNum w:abstractNumId="432" w15:restartNumberingAfterBreak="0">
    <w:nsid w:val="2DFF5BFE"/>
    <w:multiLevelType w:val="hybridMultilevel"/>
    <w:tmpl w:val="E10ADF06"/>
    <w:lvl w:ilvl="0" w:tplc="731C8BD0">
      <w:start w:val="1"/>
      <w:numFmt w:val="bullet"/>
      <w:lvlText w:val=""/>
      <w:lvlJc w:val="left"/>
      <w:pPr>
        <w:ind w:left="720" w:hanging="180"/>
      </w:pPr>
      <w:rPr>
        <w:rFonts w:ascii="Symbol" w:hAnsi="Symbol" w:hint="default"/>
      </w:rPr>
    </w:lvl>
    <w:lvl w:ilvl="1" w:tplc="0ED2F704">
      <w:numFmt w:val="decimal"/>
      <w:lvlText w:val=""/>
      <w:lvlJc w:val="left"/>
    </w:lvl>
    <w:lvl w:ilvl="2" w:tplc="F760EABA">
      <w:numFmt w:val="decimal"/>
      <w:lvlText w:val=""/>
      <w:lvlJc w:val="left"/>
    </w:lvl>
    <w:lvl w:ilvl="3" w:tplc="9AB0CA06">
      <w:numFmt w:val="decimal"/>
      <w:lvlText w:val=""/>
      <w:lvlJc w:val="left"/>
    </w:lvl>
    <w:lvl w:ilvl="4" w:tplc="FFB6B468">
      <w:numFmt w:val="decimal"/>
      <w:lvlText w:val=""/>
      <w:lvlJc w:val="left"/>
    </w:lvl>
    <w:lvl w:ilvl="5" w:tplc="94F06314">
      <w:numFmt w:val="decimal"/>
      <w:lvlText w:val=""/>
      <w:lvlJc w:val="left"/>
    </w:lvl>
    <w:lvl w:ilvl="6" w:tplc="56D8F20E">
      <w:numFmt w:val="decimal"/>
      <w:lvlText w:val=""/>
      <w:lvlJc w:val="left"/>
    </w:lvl>
    <w:lvl w:ilvl="7" w:tplc="B9244ACA">
      <w:numFmt w:val="decimal"/>
      <w:lvlText w:val=""/>
      <w:lvlJc w:val="left"/>
    </w:lvl>
    <w:lvl w:ilvl="8" w:tplc="BDA85364">
      <w:numFmt w:val="decimal"/>
      <w:lvlText w:val=""/>
      <w:lvlJc w:val="left"/>
    </w:lvl>
  </w:abstractNum>
  <w:abstractNum w:abstractNumId="433" w15:restartNumberingAfterBreak="0">
    <w:nsid w:val="2E2E5414"/>
    <w:multiLevelType w:val="hybridMultilevel"/>
    <w:tmpl w:val="9C42F6F2"/>
    <w:lvl w:ilvl="0" w:tplc="2AEE70F4">
      <w:start w:val="1"/>
      <w:numFmt w:val="bullet"/>
      <w:lvlText w:val=""/>
      <w:lvlJc w:val="left"/>
      <w:pPr>
        <w:ind w:left="720" w:hanging="180"/>
      </w:pPr>
      <w:rPr>
        <w:rFonts w:ascii="Symbol" w:hAnsi="Symbol" w:hint="default"/>
      </w:rPr>
    </w:lvl>
    <w:lvl w:ilvl="1" w:tplc="DF2C4DDE">
      <w:numFmt w:val="decimal"/>
      <w:lvlText w:val=""/>
      <w:lvlJc w:val="left"/>
    </w:lvl>
    <w:lvl w:ilvl="2" w:tplc="C46848E0">
      <w:numFmt w:val="decimal"/>
      <w:lvlText w:val=""/>
      <w:lvlJc w:val="left"/>
    </w:lvl>
    <w:lvl w:ilvl="3" w:tplc="3FA87C98">
      <w:numFmt w:val="decimal"/>
      <w:lvlText w:val=""/>
      <w:lvlJc w:val="left"/>
    </w:lvl>
    <w:lvl w:ilvl="4" w:tplc="2F82E806">
      <w:numFmt w:val="decimal"/>
      <w:lvlText w:val=""/>
      <w:lvlJc w:val="left"/>
    </w:lvl>
    <w:lvl w:ilvl="5" w:tplc="F5A0AF78">
      <w:numFmt w:val="decimal"/>
      <w:lvlText w:val=""/>
      <w:lvlJc w:val="left"/>
    </w:lvl>
    <w:lvl w:ilvl="6" w:tplc="06649C08">
      <w:numFmt w:val="decimal"/>
      <w:lvlText w:val=""/>
      <w:lvlJc w:val="left"/>
    </w:lvl>
    <w:lvl w:ilvl="7" w:tplc="5852A654">
      <w:numFmt w:val="decimal"/>
      <w:lvlText w:val=""/>
      <w:lvlJc w:val="left"/>
    </w:lvl>
    <w:lvl w:ilvl="8" w:tplc="52CE07CE">
      <w:numFmt w:val="decimal"/>
      <w:lvlText w:val=""/>
      <w:lvlJc w:val="left"/>
    </w:lvl>
  </w:abstractNum>
  <w:abstractNum w:abstractNumId="434" w15:restartNumberingAfterBreak="0">
    <w:nsid w:val="2E3B5309"/>
    <w:multiLevelType w:val="hybridMultilevel"/>
    <w:tmpl w:val="B3FC7F50"/>
    <w:lvl w:ilvl="0" w:tplc="ADF8821E">
      <w:start w:val="1"/>
      <w:numFmt w:val="bullet"/>
      <w:lvlText w:val=""/>
      <w:lvlJc w:val="left"/>
      <w:pPr>
        <w:ind w:left="720" w:hanging="180"/>
      </w:pPr>
      <w:rPr>
        <w:rFonts w:ascii="Symbol" w:hAnsi="Symbol" w:hint="default"/>
      </w:rPr>
    </w:lvl>
    <w:lvl w:ilvl="1" w:tplc="1634453C">
      <w:numFmt w:val="decimal"/>
      <w:lvlText w:val=""/>
      <w:lvlJc w:val="left"/>
    </w:lvl>
    <w:lvl w:ilvl="2" w:tplc="7D8616C0">
      <w:numFmt w:val="decimal"/>
      <w:lvlText w:val=""/>
      <w:lvlJc w:val="left"/>
    </w:lvl>
    <w:lvl w:ilvl="3" w:tplc="3CC81394">
      <w:numFmt w:val="decimal"/>
      <w:lvlText w:val=""/>
      <w:lvlJc w:val="left"/>
    </w:lvl>
    <w:lvl w:ilvl="4" w:tplc="80C451C6">
      <w:numFmt w:val="decimal"/>
      <w:lvlText w:val=""/>
      <w:lvlJc w:val="left"/>
    </w:lvl>
    <w:lvl w:ilvl="5" w:tplc="7DE4151C">
      <w:numFmt w:val="decimal"/>
      <w:lvlText w:val=""/>
      <w:lvlJc w:val="left"/>
    </w:lvl>
    <w:lvl w:ilvl="6" w:tplc="14EAAF64">
      <w:numFmt w:val="decimal"/>
      <w:lvlText w:val=""/>
      <w:lvlJc w:val="left"/>
    </w:lvl>
    <w:lvl w:ilvl="7" w:tplc="3D623660">
      <w:numFmt w:val="decimal"/>
      <w:lvlText w:val=""/>
      <w:lvlJc w:val="left"/>
    </w:lvl>
    <w:lvl w:ilvl="8" w:tplc="86A031FE">
      <w:numFmt w:val="decimal"/>
      <w:lvlText w:val=""/>
      <w:lvlJc w:val="left"/>
    </w:lvl>
  </w:abstractNum>
  <w:abstractNum w:abstractNumId="435" w15:restartNumberingAfterBreak="0">
    <w:nsid w:val="2E8F5747"/>
    <w:multiLevelType w:val="hybridMultilevel"/>
    <w:tmpl w:val="FDD2EE66"/>
    <w:lvl w:ilvl="0" w:tplc="6CE85D76">
      <w:start w:val="1"/>
      <w:numFmt w:val="bullet"/>
      <w:lvlText w:val=""/>
      <w:lvlJc w:val="left"/>
      <w:pPr>
        <w:ind w:left="720" w:hanging="180"/>
      </w:pPr>
      <w:rPr>
        <w:rFonts w:ascii="Symbol" w:hAnsi="Symbol" w:hint="default"/>
      </w:rPr>
    </w:lvl>
    <w:lvl w:ilvl="1" w:tplc="0854C03E">
      <w:numFmt w:val="decimal"/>
      <w:lvlText w:val=""/>
      <w:lvlJc w:val="left"/>
    </w:lvl>
    <w:lvl w:ilvl="2" w:tplc="961E8BE0">
      <w:numFmt w:val="decimal"/>
      <w:lvlText w:val=""/>
      <w:lvlJc w:val="left"/>
    </w:lvl>
    <w:lvl w:ilvl="3" w:tplc="B38C7076">
      <w:numFmt w:val="decimal"/>
      <w:lvlText w:val=""/>
      <w:lvlJc w:val="left"/>
    </w:lvl>
    <w:lvl w:ilvl="4" w:tplc="D5E2C240">
      <w:numFmt w:val="decimal"/>
      <w:lvlText w:val=""/>
      <w:lvlJc w:val="left"/>
    </w:lvl>
    <w:lvl w:ilvl="5" w:tplc="B7501418">
      <w:numFmt w:val="decimal"/>
      <w:lvlText w:val=""/>
      <w:lvlJc w:val="left"/>
    </w:lvl>
    <w:lvl w:ilvl="6" w:tplc="3F644928">
      <w:numFmt w:val="decimal"/>
      <w:lvlText w:val=""/>
      <w:lvlJc w:val="left"/>
    </w:lvl>
    <w:lvl w:ilvl="7" w:tplc="FE5C9BF6">
      <w:numFmt w:val="decimal"/>
      <w:lvlText w:val=""/>
      <w:lvlJc w:val="left"/>
    </w:lvl>
    <w:lvl w:ilvl="8" w:tplc="B5E6B77C">
      <w:numFmt w:val="decimal"/>
      <w:lvlText w:val=""/>
      <w:lvlJc w:val="left"/>
    </w:lvl>
  </w:abstractNum>
  <w:abstractNum w:abstractNumId="436" w15:restartNumberingAfterBreak="0">
    <w:nsid w:val="2EB0558E"/>
    <w:multiLevelType w:val="hybridMultilevel"/>
    <w:tmpl w:val="D610AA54"/>
    <w:lvl w:ilvl="0" w:tplc="DC9011B2">
      <w:start w:val="1"/>
      <w:numFmt w:val="bullet"/>
      <w:lvlText w:val=""/>
      <w:lvlJc w:val="left"/>
      <w:pPr>
        <w:ind w:left="720" w:hanging="180"/>
      </w:pPr>
      <w:rPr>
        <w:rFonts w:ascii="Symbol" w:hAnsi="Symbol" w:hint="default"/>
      </w:rPr>
    </w:lvl>
    <w:lvl w:ilvl="1" w:tplc="4D74D040">
      <w:numFmt w:val="decimal"/>
      <w:lvlText w:val=""/>
      <w:lvlJc w:val="left"/>
    </w:lvl>
    <w:lvl w:ilvl="2" w:tplc="E28EEB3C">
      <w:numFmt w:val="decimal"/>
      <w:lvlText w:val=""/>
      <w:lvlJc w:val="left"/>
    </w:lvl>
    <w:lvl w:ilvl="3" w:tplc="F3CEA9B8">
      <w:numFmt w:val="decimal"/>
      <w:lvlText w:val=""/>
      <w:lvlJc w:val="left"/>
    </w:lvl>
    <w:lvl w:ilvl="4" w:tplc="83ACC762">
      <w:numFmt w:val="decimal"/>
      <w:lvlText w:val=""/>
      <w:lvlJc w:val="left"/>
    </w:lvl>
    <w:lvl w:ilvl="5" w:tplc="AB8499CC">
      <w:numFmt w:val="decimal"/>
      <w:lvlText w:val=""/>
      <w:lvlJc w:val="left"/>
    </w:lvl>
    <w:lvl w:ilvl="6" w:tplc="C966D788">
      <w:numFmt w:val="decimal"/>
      <w:lvlText w:val=""/>
      <w:lvlJc w:val="left"/>
    </w:lvl>
    <w:lvl w:ilvl="7" w:tplc="0B0C21FE">
      <w:numFmt w:val="decimal"/>
      <w:lvlText w:val=""/>
      <w:lvlJc w:val="left"/>
    </w:lvl>
    <w:lvl w:ilvl="8" w:tplc="8A707E5C">
      <w:numFmt w:val="decimal"/>
      <w:lvlText w:val=""/>
      <w:lvlJc w:val="left"/>
    </w:lvl>
  </w:abstractNum>
  <w:abstractNum w:abstractNumId="437" w15:restartNumberingAfterBreak="0">
    <w:nsid w:val="2EF81172"/>
    <w:multiLevelType w:val="hybridMultilevel"/>
    <w:tmpl w:val="00701906"/>
    <w:lvl w:ilvl="0" w:tplc="55226264">
      <w:numFmt w:val="decimal"/>
      <w:lvlText w:val=""/>
      <w:lvlJc w:val="left"/>
    </w:lvl>
    <w:lvl w:ilvl="1" w:tplc="30966E26">
      <w:start w:val="1"/>
      <w:numFmt w:val="bullet"/>
      <w:lvlText w:val=""/>
      <w:lvlJc w:val="left"/>
      <w:pPr>
        <w:ind w:left="1440" w:hanging="180"/>
      </w:pPr>
      <w:rPr>
        <w:rFonts w:ascii="Symbol" w:hAnsi="Symbol" w:hint="default"/>
      </w:rPr>
    </w:lvl>
    <w:lvl w:ilvl="2" w:tplc="115C746E">
      <w:numFmt w:val="decimal"/>
      <w:lvlText w:val=""/>
      <w:lvlJc w:val="left"/>
    </w:lvl>
    <w:lvl w:ilvl="3" w:tplc="1B525804">
      <w:numFmt w:val="decimal"/>
      <w:lvlText w:val=""/>
      <w:lvlJc w:val="left"/>
    </w:lvl>
    <w:lvl w:ilvl="4" w:tplc="FDF2C6E0">
      <w:numFmt w:val="decimal"/>
      <w:lvlText w:val=""/>
      <w:lvlJc w:val="left"/>
    </w:lvl>
    <w:lvl w:ilvl="5" w:tplc="01325376">
      <w:numFmt w:val="decimal"/>
      <w:lvlText w:val=""/>
      <w:lvlJc w:val="left"/>
    </w:lvl>
    <w:lvl w:ilvl="6" w:tplc="6DF0207A">
      <w:numFmt w:val="decimal"/>
      <w:lvlText w:val=""/>
      <w:lvlJc w:val="left"/>
    </w:lvl>
    <w:lvl w:ilvl="7" w:tplc="63485FAE">
      <w:numFmt w:val="decimal"/>
      <w:lvlText w:val=""/>
      <w:lvlJc w:val="left"/>
    </w:lvl>
    <w:lvl w:ilvl="8" w:tplc="166CB34A">
      <w:numFmt w:val="decimal"/>
      <w:lvlText w:val=""/>
      <w:lvlJc w:val="left"/>
    </w:lvl>
  </w:abstractNum>
  <w:abstractNum w:abstractNumId="438" w15:restartNumberingAfterBreak="0">
    <w:nsid w:val="2F1C0C07"/>
    <w:multiLevelType w:val="hybridMultilevel"/>
    <w:tmpl w:val="2E3E73D4"/>
    <w:lvl w:ilvl="0" w:tplc="E75A0D42">
      <w:start w:val="1"/>
      <w:numFmt w:val="bullet"/>
      <w:lvlText w:val=""/>
      <w:lvlJc w:val="left"/>
      <w:pPr>
        <w:ind w:left="720" w:hanging="180"/>
      </w:pPr>
      <w:rPr>
        <w:rFonts w:ascii="Symbol" w:hAnsi="Symbol" w:hint="default"/>
      </w:rPr>
    </w:lvl>
    <w:lvl w:ilvl="1" w:tplc="E728805E">
      <w:numFmt w:val="decimal"/>
      <w:lvlText w:val=""/>
      <w:lvlJc w:val="left"/>
    </w:lvl>
    <w:lvl w:ilvl="2" w:tplc="FC7A9A9A">
      <w:numFmt w:val="decimal"/>
      <w:lvlText w:val=""/>
      <w:lvlJc w:val="left"/>
    </w:lvl>
    <w:lvl w:ilvl="3" w:tplc="9FCCEB2C">
      <w:numFmt w:val="decimal"/>
      <w:lvlText w:val=""/>
      <w:lvlJc w:val="left"/>
    </w:lvl>
    <w:lvl w:ilvl="4" w:tplc="75A6F3D8">
      <w:numFmt w:val="decimal"/>
      <w:lvlText w:val=""/>
      <w:lvlJc w:val="left"/>
    </w:lvl>
    <w:lvl w:ilvl="5" w:tplc="3AA2C850">
      <w:numFmt w:val="decimal"/>
      <w:lvlText w:val=""/>
      <w:lvlJc w:val="left"/>
    </w:lvl>
    <w:lvl w:ilvl="6" w:tplc="3DDA6162">
      <w:numFmt w:val="decimal"/>
      <w:lvlText w:val=""/>
      <w:lvlJc w:val="left"/>
    </w:lvl>
    <w:lvl w:ilvl="7" w:tplc="4984C1F4">
      <w:numFmt w:val="decimal"/>
      <w:lvlText w:val=""/>
      <w:lvlJc w:val="left"/>
    </w:lvl>
    <w:lvl w:ilvl="8" w:tplc="23469FE0">
      <w:numFmt w:val="decimal"/>
      <w:lvlText w:val=""/>
      <w:lvlJc w:val="left"/>
    </w:lvl>
  </w:abstractNum>
  <w:abstractNum w:abstractNumId="439" w15:restartNumberingAfterBreak="0">
    <w:nsid w:val="2F557925"/>
    <w:multiLevelType w:val="hybridMultilevel"/>
    <w:tmpl w:val="ADC60B18"/>
    <w:lvl w:ilvl="0" w:tplc="01E06CBA">
      <w:start w:val="1"/>
      <w:numFmt w:val="bullet"/>
      <w:lvlText w:val=""/>
      <w:lvlJc w:val="left"/>
      <w:pPr>
        <w:ind w:left="720" w:hanging="180"/>
      </w:pPr>
      <w:rPr>
        <w:rFonts w:ascii="Symbol" w:hAnsi="Symbol" w:hint="default"/>
      </w:rPr>
    </w:lvl>
    <w:lvl w:ilvl="1" w:tplc="8F7AE204">
      <w:numFmt w:val="decimal"/>
      <w:lvlText w:val=""/>
      <w:lvlJc w:val="left"/>
    </w:lvl>
    <w:lvl w:ilvl="2" w:tplc="6832A9DE">
      <w:numFmt w:val="decimal"/>
      <w:lvlText w:val=""/>
      <w:lvlJc w:val="left"/>
    </w:lvl>
    <w:lvl w:ilvl="3" w:tplc="3C0E3A02">
      <w:numFmt w:val="decimal"/>
      <w:lvlText w:val=""/>
      <w:lvlJc w:val="left"/>
    </w:lvl>
    <w:lvl w:ilvl="4" w:tplc="B4441F82">
      <w:numFmt w:val="decimal"/>
      <w:lvlText w:val=""/>
      <w:lvlJc w:val="left"/>
    </w:lvl>
    <w:lvl w:ilvl="5" w:tplc="01EE4298">
      <w:numFmt w:val="decimal"/>
      <w:lvlText w:val=""/>
      <w:lvlJc w:val="left"/>
    </w:lvl>
    <w:lvl w:ilvl="6" w:tplc="50D44920">
      <w:numFmt w:val="decimal"/>
      <w:lvlText w:val=""/>
      <w:lvlJc w:val="left"/>
    </w:lvl>
    <w:lvl w:ilvl="7" w:tplc="CC7EB100">
      <w:numFmt w:val="decimal"/>
      <w:lvlText w:val=""/>
      <w:lvlJc w:val="left"/>
    </w:lvl>
    <w:lvl w:ilvl="8" w:tplc="C41ACFD4">
      <w:numFmt w:val="decimal"/>
      <w:lvlText w:val=""/>
      <w:lvlJc w:val="left"/>
    </w:lvl>
  </w:abstractNum>
  <w:abstractNum w:abstractNumId="440" w15:restartNumberingAfterBreak="0">
    <w:nsid w:val="2F8F3AE5"/>
    <w:multiLevelType w:val="hybridMultilevel"/>
    <w:tmpl w:val="60B2E62C"/>
    <w:lvl w:ilvl="0" w:tplc="B06CB598">
      <w:start w:val="1"/>
      <w:numFmt w:val="bullet"/>
      <w:lvlText w:val=""/>
      <w:lvlJc w:val="left"/>
      <w:pPr>
        <w:ind w:left="720" w:hanging="180"/>
      </w:pPr>
      <w:rPr>
        <w:rFonts w:ascii="Symbol" w:hAnsi="Symbol" w:hint="default"/>
      </w:rPr>
    </w:lvl>
    <w:lvl w:ilvl="1" w:tplc="40F6AE6C">
      <w:numFmt w:val="decimal"/>
      <w:lvlText w:val=""/>
      <w:lvlJc w:val="left"/>
    </w:lvl>
    <w:lvl w:ilvl="2" w:tplc="15EED374">
      <w:numFmt w:val="decimal"/>
      <w:lvlText w:val=""/>
      <w:lvlJc w:val="left"/>
    </w:lvl>
    <w:lvl w:ilvl="3" w:tplc="A50C61E8">
      <w:numFmt w:val="decimal"/>
      <w:lvlText w:val=""/>
      <w:lvlJc w:val="left"/>
    </w:lvl>
    <w:lvl w:ilvl="4" w:tplc="9BC08142">
      <w:numFmt w:val="decimal"/>
      <w:lvlText w:val=""/>
      <w:lvlJc w:val="left"/>
    </w:lvl>
    <w:lvl w:ilvl="5" w:tplc="3C4803DA">
      <w:numFmt w:val="decimal"/>
      <w:lvlText w:val=""/>
      <w:lvlJc w:val="left"/>
    </w:lvl>
    <w:lvl w:ilvl="6" w:tplc="27EAA0D2">
      <w:numFmt w:val="decimal"/>
      <w:lvlText w:val=""/>
      <w:lvlJc w:val="left"/>
    </w:lvl>
    <w:lvl w:ilvl="7" w:tplc="4120BD14">
      <w:numFmt w:val="decimal"/>
      <w:lvlText w:val=""/>
      <w:lvlJc w:val="left"/>
    </w:lvl>
    <w:lvl w:ilvl="8" w:tplc="3B688028">
      <w:numFmt w:val="decimal"/>
      <w:lvlText w:val=""/>
      <w:lvlJc w:val="left"/>
    </w:lvl>
  </w:abstractNum>
  <w:abstractNum w:abstractNumId="441" w15:restartNumberingAfterBreak="0">
    <w:nsid w:val="2F94760E"/>
    <w:multiLevelType w:val="hybridMultilevel"/>
    <w:tmpl w:val="8FDC721E"/>
    <w:lvl w:ilvl="0" w:tplc="4D982E92">
      <w:start w:val="1"/>
      <w:numFmt w:val="bullet"/>
      <w:lvlText w:val=""/>
      <w:lvlJc w:val="left"/>
      <w:pPr>
        <w:ind w:left="720" w:hanging="180"/>
      </w:pPr>
      <w:rPr>
        <w:rFonts w:ascii="Symbol" w:hAnsi="Symbol" w:hint="default"/>
      </w:rPr>
    </w:lvl>
    <w:lvl w:ilvl="1" w:tplc="2452A5F2">
      <w:numFmt w:val="decimal"/>
      <w:lvlText w:val=""/>
      <w:lvlJc w:val="left"/>
    </w:lvl>
    <w:lvl w:ilvl="2" w:tplc="C710481C">
      <w:numFmt w:val="decimal"/>
      <w:lvlText w:val=""/>
      <w:lvlJc w:val="left"/>
    </w:lvl>
    <w:lvl w:ilvl="3" w:tplc="D35C061C">
      <w:numFmt w:val="decimal"/>
      <w:lvlText w:val=""/>
      <w:lvlJc w:val="left"/>
    </w:lvl>
    <w:lvl w:ilvl="4" w:tplc="A6D47DE0">
      <w:numFmt w:val="decimal"/>
      <w:lvlText w:val=""/>
      <w:lvlJc w:val="left"/>
    </w:lvl>
    <w:lvl w:ilvl="5" w:tplc="63A4F2F2">
      <w:numFmt w:val="decimal"/>
      <w:lvlText w:val=""/>
      <w:lvlJc w:val="left"/>
    </w:lvl>
    <w:lvl w:ilvl="6" w:tplc="F8BC0770">
      <w:numFmt w:val="decimal"/>
      <w:lvlText w:val=""/>
      <w:lvlJc w:val="left"/>
    </w:lvl>
    <w:lvl w:ilvl="7" w:tplc="94CCE9F4">
      <w:numFmt w:val="decimal"/>
      <w:lvlText w:val=""/>
      <w:lvlJc w:val="left"/>
    </w:lvl>
    <w:lvl w:ilvl="8" w:tplc="D1820FEC">
      <w:numFmt w:val="decimal"/>
      <w:lvlText w:val=""/>
      <w:lvlJc w:val="left"/>
    </w:lvl>
  </w:abstractNum>
  <w:abstractNum w:abstractNumId="442" w15:restartNumberingAfterBreak="0">
    <w:nsid w:val="2FCD0FEC"/>
    <w:multiLevelType w:val="hybridMultilevel"/>
    <w:tmpl w:val="2B6C47B4"/>
    <w:lvl w:ilvl="0" w:tplc="3CD2BC9A">
      <w:start w:val="1"/>
      <w:numFmt w:val="bullet"/>
      <w:lvlText w:val=""/>
      <w:lvlJc w:val="left"/>
      <w:pPr>
        <w:ind w:left="720" w:hanging="180"/>
      </w:pPr>
      <w:rPr>
        <w:rFonts w:ascii="Symbol" w:hAnsi="Symbol" w:hint="default"/>
      </w:rPr>
    </w:lvl>
    <w:lvl w:ilvl="1" w:tplc="E6725F4C">
      <w:numFmt w:val="decimal"/>
      <w:lvlText w:val=""/>
      <w:lvlJc w:val="left"/>
    </w:lvl>
    <w:lvl w:ilvl="2" w:tplc="570E2BEC">
      <w:numFmt w:val="decimal"/>
      <w:lvlText w:val=""/>
      <w:lvlJc w:val="left"/>
    </w:lvl>
    <w:lvl w:ilvl="3" w:tplc="519A0562">
      <w:numFmt w:val="decimal"/>
      <w:lvlText w:val=""/>
      <w:lvlJc w:val="left"/>
    </w:lvl>
    <w:lvl w:ilvl="4" w:tplc="E71CBA5C">
      <w:numFmt w:val="decimal"/>
      <w:lvlText w:val=""/>
      <w:lvlJc w:val="left"/>
    </w:lvl>
    <w:lvl w:ilvl="5" w:tplc="06A8C5AA">
      <w:numFmt w:val="decimal"/>
      <w:lvlText w:val=""/>
      <w:lvlJc w:val="left"/>
    </w:lvl>
    <w:lvl w:ilvl="6" w:tplc="A7249A22">
      <w:numFmt w:val="decimal"/>
      <w:lvlText w:val=""/>
      <w:lvlJc w:val="left"/>
    </w:lvl>
    <w:lvl w:ilvl="7" w:tplc="B9EC1C0C">
      <w:numFmt w:val="decimal"/>
      <w:lvlText w:val=""/>
      <w:lvlJc w:val="left"/>
    </w:lvl>
    <w:lvl w:ilvl="8" w:tplc="489ABAD2">
      <w:numFmt w:val="decimal"/>
      <w:lvlText w:val=""/>
      <w:lvlJc w:val="left"/>
    </w:lvl>
  </w:abstractNum>
  <w:abstractNum w:abstractNumId="443" w15:restartNumberingAfterBreak="0">
    <w:nsid w:val="2FD121C5"/>
    <w:multiLevelType w:val="hybridMultilevel"/>
    <w:tmpl w:val="6DC8F8DE"/>
    <w:lvl w:ilvl="0" w:tplc="14A8D3EE">
      <w:start w:val="1"/>
      <w:numFmt w:val="bullet"/>
      <w:lvlText w:val=""/>
      <w:lvlJc w:val="left"/>
      <w:pPr>
        <w:ind w:left="720" w:hanging="180"/>
      </w:pPr>
      <w:rPr>
        <w:rFonts w:ascii="Symbol" w:hAnsi="Symbol" w:hint="default"/>
      </w:rPr>
    </w:lvl>
    <w:lvl w:ilvl="1" w:tplc="CB1C861A">
      <w:numFmt w:val="decimal"/>
      <w:lvlText w:val=""/>
      <w:lvlJc w:val="left"/>
    </w:lvl>
    <w:lvl w:ilvl="2" w:tplc="21B43F90">
      <w:numFmt w:val="decimal"/>
      <w:lvlText w:val=""/>
      <w:lvlJc w:val="left"/>
    </w:lvl>
    <w:lvl w:ilvl="3" w:tplc="CE38CE0E">
      <w:numFmt w:val="decimal"/>
      <w:lvlText w:val=""/>
      <w:lvlJc w:val="left"/>
    </w:lvl>
    <w:lvl w:ilvl="4" w:tplc="7F8803BE">
      <w:numFmt w:val="decimal"/>
      <w:lvlText w:val=""/>
      <w:lvlJc w:val="left"/>
    </w:lvl>
    <w:lvl w:ilvl="5" w:tplc="E7263D86">
      <w:numFmt w:val="decimal"/>
      <w:lvlText w:val=""/>
      <w:lvlJc w:val="left"/>
    </w:lvl>
    <w:lvl w:ilvl="6" w:tplc="C4E292A0">
      <w:numFmt w:val="decimal"/>
      <w:lvlText w:val=""/>
      <w:lvlJc w:val="left"/>
    </w:lvl>
    <w:lvl w:ilvl="7" w:tplc="A4304A00">
      <w:numFmt w:val="decimal"/>
      <w:lvlText w:val=""/>
      <w:lvlJc w:val="left"/>
    </w:lvl>
    <w:lvl w:ilvl="8" w:tplc="5EEE646C">
      <w:numFmt w:val="decimal"/>
      <w:lvlText w:val=""/>
      <w:lvlJc w:val="left"/>
    </w:lvl>
  </w:abstractNum>
  <w:abstractNum w:abstractNumId="444" w15:restartNumberingAfterBreak="0">
    <w:nsid w:val="2FE356AA"/>
    <w:multiLevelType w:val="hybridMultilevel"/>
    <w:tmpl w:val="2090B616"/>
    <w:lvl w:ilvl="0" w:tplc="F06E33C4">
      <w:numFmt w:val="decimal"/>
      <w:lvlText w:val=""/>
      <w:lvlJc w:val="left"/>
    </w:lvl>
    <w:lvl w:ilvl="1" w:tplc="2EB8B7B2">
      <w:start w:val="1"/>
      <w:numFmt w:val="bullet"/>
      <w:lvlText w:val=""/>
      <w:lvlJc w:val="left"/>
      <w:pPr>
        <w:ind w:left="1440" w:hanging="180"/>
      </w:pPr>
      <w:rPr>
        <w:rFonts w:ascii="Symbol" w:hAnsi="Symbol" w:hint="default"/>
      </w:rPr>
    </w:lvl>
    <w:lvl w:ilvl="2" w:tplc="DD825902">
      <w:numFmt w:val="decimal"/>
      <w:lvlText w:val=""/>
      <w:lvlJc w:val="left"/>
    </w:lvl>
    <w:lvl w:ilvl="3" w:tplc="2348DA06">
      <w:numFmt w:val="decimal"/>
      <w:lvlText w:val=""/>
      <w:lvlJc w:val="left"/>
    </w:lvl>
    <w:lvl w:ilvl="4" w:tplc="A7E0E8DC">
      <w:numFmt w:val="decimal"/>
      <w:lvlText w:val=""/>
      <w:lvlJc w:val="left"/>
    </w:lvl>
    <w:lvl w:ilvl="5" w:tplc="C1A43F44">
      <w:numFmt w:val="decimal"/>
      <w:lvlText w:val=""/>
      <w:lvlJc w:val="left"/>
    </w:lvl>
    <w:lvl w:ilvl="6" w:tplc="76CA82E8">
      <w:numFmt w:val="decimal"/>
      <w:lvlText w:val=""/>
      <w:lvlJc w:val="left"/>
    </w:lvl>
    <w:lvl w:ilvl="7" w:tplc="830282B0">
      <w:numFmt w:val="decimal"/>
      <w:lvlText w:val=""/>
      <w:lvlJc w:val="left"/>
    </w:lvl>
    <w:lvl w:ilvl="8" w:tplc="2D06ABE6">
      <w:numFmt w:val="decimal"/>
      <w:lvlText w:val=""/>
      <w:lvlJc w:val="left"/>
    </w:lvl>
  </w:abstractNum>
  <w:abstractNum w:abstractNumId="445" w15:restartNumberingAfterBreak="0">
    <w:nsid w:val="303809E1"/>
    <w:multiLevelType w:val="hybridMultilevel"/>
    <w:tmpl w:val="6AB04112"/>
    <w:lvl w:ilvl="0" w:tplc="CD4EC4F2">
      <w:start w:val="1"/>
      <w:numFmt w:val="bullet"/>
      <w:lvlText w:val=""/>
      <w:lvlJc w:val="left"/>
      <w:pPr>
        <w:ind w:left="720" w:hanging="180"/>
      </w:pPr>
      <w:rPr>
        <w:rFonts w:ascii="Symbol" w:hAnsi="Symbol" w:hint="default"/>
      </w:rPr>
    </w:lvl>
    <w:lvl w:ilvl="1" w:tplc="2C8A2602">
      <w:numFmt w:val="decimal"/>
      <w:lvlText w:val=""/>
      <w:lvlJc w:val="left"/>
    </w:lvl>
    <w:lvl w:ilvl="2" w:tplc="5E2E9CBC">
      <w:numFmt w:val="decimal"/>
      <w:lvlText w:val=""/>
      <w:lvlJc w:val="left"/>
    </w:lvl>
    <w:lvl w:ilvl="3" w:tplc="69FEB76E">
      <w:numFmt w:val="decimal"/>
      <w:lvlText w:val=""/>
      <w:lvlJc w:val="left"/>
    </w:lvl>
    <w:lvl w:ilvl="4" w:tplc="9CE695B0">
      <w:numFmt w:val="decimal"/>
      <w:lvlText w:val=""/>
      <w:lvlJc w:val="left"/>
    </w:lvl>
    <w:lvl w:ilvl="5" w:tplc="2B385C10">
      <w:numFmt w:val="decimal"/>
      <w:lvlText w:val=""/>
      <w:lvlJc w:val="left"/>
    </w:lvl>
    <w:lvl w:ilvl="6" w:tplc="62A6D1E2">
      <w:numFmt w:val="decimal"/>
      <w:lvlText w:val=""/>
      <w:lvlJc w:val="left"/>
    </w:lvl>
    <w:lvl w:ilvl="7" w:tplc="76340C54">
      <w:numFmt w:val="decimal"/>
      <w:lvlText w:val=""/>
      <w:lvlJc w:val="left"/>
    </w:lvl>
    <w:lvl w:ilvl="8" w:tplc="38E4E2CE">
      <w:numFmt w:val="decimal"/>
      <w:lvlText w:val=""/>
      <w:lvlJc w:val="left"/>
    </w:lvl>
  </w:abstractNum>
  <w:abstractNum w:abstractNumId="446" w15:restartNumberingAfterBreak="0">
    <w:nsid w:val="30403E1F"/>
    <w:multiLevelType w:val="hybridMultilevel"/>
    <w:tmpl w:val="C568D38A"/>
    <w:lvl w:ilvl="0" w:tplc="14240E74">
      <w:start w:val="1"/>
      <w:numFmt w:val="bullet"/>
      <w:lvlText w:val=""/>
      <w:lvlJc w:val="left"/>
      <w:pPr>
        <w:ind w:left="720" w:hanging="180"/>
      </w:pPr>
      <w:rPr>
        <w:rFonts w:ascii="Symbol" w:hAnsi="Symbol" w:hint="default"/>
      </w:rPr>
    </w:lvl>
    <w:lvl w:ilvl="1" w:tplc="C7BE5D34">
      <w:numFmt w:val="decimal"/>
      <w:lvlText w:val=""/>
      <w:lvlJc w:val="left"/>
    </w:lvl>
    <w:lvl w:ilvl="2" w:tplc="F8CE9F04">
      <w:numFmt w:val="decimal"/>
      <w:lvlText w:val=""/>
      <w:lvlJc w:val="left"/>
    </w:lvl>
    <w:lvl w:ilvl="3" w:tplc="0636B762">
      <w:numFmt w:val="decimal"/>
      <w:lvlText w:val=""/>
      <w:lvlJc w:val="left"/>
    </w:lvl>
    <w:lvl w:ilvl="4" w:tplc="A4AAB970">
      <w:numFmt w:val="decimal"/>
      <w:lvlText w:val=""/>
      <w:lvlJc w:val="left"/>
    </w:lvl>
    <w:lvl w:ilvl="5" w:tplc="B068FB8C">
      <w:numFmt w:val="decimal"/>
      <w:lvlText w:val=""/>
      <w:lvlJc w:val="left"/>
    </w:lvl>
    <w:lvl w:ilvl="6" w:tplc="E2B4BF50">
      <w:numFmt w:val="decimal"/>
      <w:lvlText w:val=""/>
      <w:lvlJc w:val="left"/>
    </w:lvl>
    <w:lvl w:ilvl="7" w:tplc="E732168C">
      <w:numFmt w:val="decimal"/>
      <w:lvlText w:val=""/>
      <w:lvlJc w:val="left"/>
    </w:lvl>
    <w:lvl w:ilvl="8" w:tplc="7478B016">
      <w:numFmt w:val="decimal"/>
      <w:lvlText w:val=""/>
      <w:lvlJc w:val="left"/>
    </w:lvl>
  </w:abstractNum>
  <w:abstractNum w:abstractNumId="447" w15:restartNumberingAfterBreak="0">
    <w:nsid w:val="30735FB6"/>
    <w:multiLevelType w:val="hybridMultilevel"/>
    <w:tmpl w:val="0FA47990"/>
    <w:lvl w:ilvl="0" w:tplc="EC365A28">
      <w:start w:val="1"/>
      <w:numFmt w:val="bullet"/>
      <w:lvlText w:val=""/>
      <w:lvlJc w:val="left"/>
      <w:pPr>
        <w:ind w:left="720" w:hanging="180"/>
      </w:pPr>
      <w:rPr>
        <w:rFonts w:ascii="Symbol" w:hAnsi="Symbol" w:hint="default"/>
      </w:rPr>
    </w:lvl>
    <w:lvl w:ilvl="1" w:tplc="4266A552">
      <w:numFmt w:val="decimal"/>
      <w:lvlText w:val=""/>
      <w:lvlJc w:val="left"/>
    </w:lvl>
    <w:lvl w:ilvl="2" w:tplc="C39CD374">
      <w:numFmt w:val="decimal"/>
      <w:lvlText w:val=""/>
      <w:lvlJc w:val="left"/>
    </w:lvl>
    <w:lvl w:ilvl="3" w:tplc="9E244FBC">
      <w:numFmt w:val="decimal"/>
      <w:lvlText w:val=""/>
      <w:lvlJc w:val="left"/>
    </w:lvl>
    <w:lvl w:ilvl="4" w:tplc="499C4FF8">
      <w:numFmt w:val="decimal"/>
      <w:lvlText w:val=""/>
      <w:lvlJc w:val="left"/>
    </w:lvl>
    <w:lvl w:ilvl="5" w:tplc="555290E2">
      <w:numFmt w:val="decimal"/>
      <w:lvlText w:val=""/>
      <w:lvlJc w:val="left"/>
    </w:lvl>
    <w:lvl w:ilvl="6" w:tplc="9A94B3DE">
      <w:numFmt w:val="decimal"/>
      <w:lvlText w:val=""/>
      <w:lvlJc w:val="left"/>
    </w:lvl>
    <w:lvl w:ilvl="7" w:tplc="E712493C">
      <w:numFmt w:val="decimal"/>
      <w:lvlText w:val=""/>
      <w:lvlJc w:val="left"/>
    </w:lvl>
    <w:lvl w:ilvl="8" w:tplc="083E7D7E">
      <w:numFmt w:val="decimal"/>
      <w:lvlText w:val=""/>
      <w:lvlJc w:val="left"/>
    </w:lvl>
  </w:abstractNum>
  <w:abstractNum w:abstractNumId="448" w15:restartNumberingAfterBreak="0">
    <w:nsid w:val="30E16D3D"/>
    <w:multiLevelType w:val="hybridMultilevel"/>
    <w:tmpl w:val="19040A70"/>
    <w:lvl w:ilvl="0" w:tplc="E4BA351A">
      <w:start w:val="1"/>
      <w:numFmt w:val="bullet"/>
      <w:lvlText w:val=""/>
      <w:lvlJc w:val="left"/>
      <w:pPr>
        <w:ind w:left="720" w:hanging="180"/>
      </w:pPr>
      <w:rPr>
        <w:rFonts w:ascii="Symbol" w:hAnsi="Symbol" w:hint="default"/>
      </w:rPr>
    </w:lvl>
    <w:lvl w:ilvl="1" w:tplc="85A47708">
      <w:numFmt w:val="decimal"/>
      <w:lvlText w:val=""/>
      <w:lvlJc w:val="left"/>
    </w:lvl>
    <w:lvl w:ilvl="2" w:tplc="07BC140C">
      <w:numFmt w:val="decimal"/>
      <w:lvlText w:val=""/>
      <w:lvlJc w:val="left"/>
    </w:lvl>
    <w:lvl w:ilvl="3" w:tplc="79564F22">
      <w:numFmt w:val="decimal"/>
      <w:lvlText w:val=""/>
      <w:lvlJc w:val="left"/>
    </w:lvl>
    <w:lvl w:ilvl="4" w:tplc="25CEBEC6">
      <w:numFmt w:val="decimal"/>
      <w:lvlText w:val=""/>
      <w:lvlJc w:val="left"/>
    </w:lvl>
    <w:lvl w:ilvl="5" w:tplc="36E67982">
      <w:numFmt w:val="decimal"/>
      <w:lvlText w:val=""/>
      <w:lvlJc w:val="left"/>
    </w:lvl>
    <w:lvl w:ilvl="6" w:tplc="FF34339A">
      <w:numFmt w:val="decimal"/>
      <w:lvlText w:val=""/>
      <w:lvlJc w:val="left"/>
    </w:lvl>
    <w:lvl w:ilvl="7" w:tplc="077A577A">
      <w:numFmt w:val="decimal"/>
      <w:lvlText w:val=""/>
      <w:lvlJc w:val="left"/>
    </w:lvl>
    <w:lvl w:ilvl="8" w:tplc="5A7218D2">
      <w:numFmt w:val="decimal"/>
      <w:lvlText w:val=""/>
      <w:lvlJc w:val="left"/>
    </w:lvl>
  </w:abstractNum>
  <w:abstractNum w:abstractNumId="449" w15:restartNumberingAfterBreak="0">
    <w:nsid w:val="312046F1"/>
    <w:multiLevelType w:val="hybridMultilevel"/>
    <w:tmpl w:val="92AC4ECA"/>
    <w:lvl w:ilvl="0" w:tplc="FCB08156">
      <w:start w:val="1"/>
      <w:numFmt w:val="bullet"/>
      <w:lvlText w:val=""/>
      <w:lvlJc w:val="left"/>
      <w:pPr>
        <w:ind w:left="720" w:hanging="180"/>
      </w:pPr>
      <w:rPr>
        <w:rFonts w:ascii="Symbol" w:hAnsi="Symbol" w:hint="default"/>
      </w:rPr>
    </w:lvl>
    <w:lvl w:ilvl="1" w:tplc="239A4668">
      <w:numFmt w:val="decimal"/>
      <w:lvlText w:val=""/>
      <w:lvlJc w:val="left"/>
    </w:lvl>
    <w:lvl w:ilvl="2" w:tplc="7BFCEAF4">
      <w:numFmt w:val="decimal"/>
      <w:lvlText w:val=""/>
      <w:lvlJc w:val="left"/>
    </w:lvl>
    <w:lvl w:ilvl="3" w:tplc="4D10E0C6">
      <w:numFmt w:val="decimal"/>
      <w:lvlText w:val=""/>
      <w:lvlJc w:val="left"/>
    </w:lvl>
    <w:lvl w:ilvl="4" w:tplc="C64625BE">
      <w:numFmt w:val="decimal"/>
      <w:lvlText w:val=""/>
      <w:lvlJc w:val="left"/>
    </w:lvl>
    <w:lvl w:ilvl="5" w:tplc="60AE80E8">
      <w:numFmt w:val="decimal"/>
      <w:lvlText w:val=""/>
      <w:lvlJc w:val="left"/>
    </w:lvl>
    <w:lvl w:ilvl="6" w:tplc="E3549B44">
      <w:numFmt w:val="decimal"/>
      <w:lvlText w:val=""/>
      <w:lvlJc w:val="left"/>
    </w:lvl>
    <w:lvl w:ilvl="7" w:tplc="ED1E1524">
      <w:numFmt w:val="decimal"/>
      <w:lvlText w:val=""/>
      <w:lvlJc w:val="left"/>
    </w:lvl>
    <w:lvl w:ilvl="8" w:tplc="8642FA9A">
      <w:numFmt w:val="decimal"/>
      <w:lvlText w:val=""/>
      <w:lvlJc w:val="left"/>
    </w:lvl>
  </w:abstractNum>
  <w:abstractNum w:abstractNumId="450" w15:restartNumberingAfterBreak="0">
    <w:nsid w:val="31235003"/>
    <w:multiLevelType w:val="hybridMultilevel"/>
    <w:tmpl w:val="A17A55B4"/>
    <w:lvl w:ilvl="0" w:tplc="37F88164">
      <w:start w:val="1"/>
      <w:numFmt w:val="bullet"/>
      <w:lvlText w:val=""/>
      <w:lvlJc w:val="left"/>
      <w:pPr>
        <w:ind w:left="720" w:hanging="180"/>
      </w:pPr>
      <w:rPr>
        <w:rFonts w:ascii="Symbol" w:hAnsi="Symbol" w:hint="default"/>
      </w:rPr>
    </w:lvl>
    <w:lvl w:ilvl="1" w:tplc="4CBE9556">
      <w:numFmt w:val="decimal"/>
      <w:lvlText w:val=""/>
      <w:lvlJc w:val="left"/>
    </w:lvl>
    <w:lvl w:ilvl="2" w:tplc="B3B6F870">
      <w:numFmt w:val="decimal"/>
      <w:lvlText w:val=""/>
      <w:lvlJc w:val="left"/>
    </w:lvl>
    <w:lvl w:ilvl="3" w:tplc="947E54CE">
      <w:numFmt w:val="decimal"/>
      <w:lvlText w:val=""/>
      <w:lvlJc w:val="left"/>
    </w:lvl>
    <w:lvl w:ilvl="4" w:tplc="B5F06394">
      <w:numFmt w:val="decimal"/>
      <w:lvlText w:val=""/>
      <w:lvlJc w:val="left"/>
    </w:lvl>
    <w:lvl w:ilvl="5" w:tplc="A41A2A1C">
      <w:numFmt w:val="decimal"/>
      <w:lvlText w:val=""/>
      <w:lvlJc w:val="left"/>
    </w:lvl>
    <w:lvl w:ilvl="6" w:tplc="F70881B8">
      <w:numFmt w:val="decimal"/>
      <w:lvlText w:val=""/>
      <w:lvlJc w:val="left"/>
    </w:lvl>
    <w:lvl w:ilvl="7" w:tplc="F0CC4DC8">
      <w:numFmt w:val="decimal"/>
      <w:lvlText w:val=""/>
      <w:lvlJc w:val="left"/>
    </w:lvl>
    <w:lvl w:ilvl="8" w:tplc="6EDA15A0">
      <w:numFmt w:val="decimal"/>
      <w:lvlText w:val=""/>
      <w:lvlJc w:val="left"/>
    </w:lvl>
  </w:abstractNum>
  <w:abstractNum w:abstractNumId="451" w15:restartNumberingAfterBreak="0">
    <w:nsid w:val="31280746"/>
    <w:multiLevelType w:val="hybridMultilevel"/>
    <w:tmpl w:val="898C39DC"/>
    <w:lvl w:ilvl="0" w:tplc="3D58A870">
      <w:start w:val="1"/>
      <w:numFmt w:val="bullet"/>
      <w:lvlText w:val=""/>
      <w:lvlJc w:val="left"/>
      <w:pPr>
        <w:ind w:left="720" w:hanging="180"/>
      </w:pPr>
      <w:rPr>
        <w:rFonts w:ascii="Symbol" w:hAnsi="Symbol" w:hint="default"/>
      </w:rPr>
    </w:lvl>
    <w:lvl w:ilvl="1" w:tplc="6B4E1F30">
      <w:numFmt w:val="decimal"/>
      <w:lvlText w:val=""/>
      <w:lvlJc w:val="left"/>
    </w:lvl>
    <w:lvl w:ilvl="2" w:tplc="B8F87F76">
      <w:numFmt w:val="decimal"/>
      <w:lvlText w:val=""/>
      <w:lvlJc w:val="left"/>
    </w:lvl>
    <w:lvl w:ilvl="3" w:tplc="5C12934A">
      <w:numFmt w:val="decimal"/>
      <w:lvlText w:val=""/>
      <w:lvlJc w:val="left"/>
    </w:lvl>
    <w:lvl w:ilvl="4" w:tplc="E3140646">
      <w:numFmt w:val="decimal"/>
      <w:lvlText w:val=""/>
      <w:lvlJc w:val="left"/>
    </w:lvl>
    <w:lvl w:ilvl="5" w:tplc="1E2E3060">
      <w:numFmt w:val="decimal"/>
      <w:lvlText w:val=""/>
      <w:lvlJc w:val="left"/>
    </w:lvl>
    <w:lvl w:ilvl="6" w:tplc="3A2CFBD0">
      <w:numFmt w:val="decimal"/>
      <w:lvlText w:val=""/>
      <w:lvlJc w:val="left"/>
    </w:lvl>
    <w:lvl w:ilvl="7" w:tplc="1892F55A">
      <w:numFmt w:val="decimal"/>
      <w:lvlText w:val=""/>
      <w:lvlJc w:val="left"/>
    </w:lvl>
    <w:lvl w:ilvl="8" w:tplc="24227512">
      <w:numFmt w:val="decimal"/>
      <w:lvlText w:val=""/>
      <w:lvlJc w:val="left"/>
    </w:lvl>
  </w:abstractNum>
  <w:abstractNum w:abstractNumId="452" w15:restartNumberingAfterBreak="0">
    <w:nsid w:val="31303688"/>
    <w:multiLevelType w:val="hybridMultilevel"/>
    <w:tmpl w:val="8844356A"/>
    <w:lvl w:ilvl="0" w:tplc="B2A29AFE">
      <w:start w:val="1"/>
      <w:numFmt w:val="bullet"/>
      <w:lvlText w:val=""/>
      <w:lvlJc w:val="left"/>
      <w:pPr>
        <w:ind w:left="720" w:hanging="180"/>
      </w:pPr>
      <w:rPr>
        <w:rFonts w:ascii="Symbol" w:hAnsi="Symbol" w:hint="default"/>
      </w:rPr>
    </w:lvl>
    <w:lvl w:ilvl="1" w:tplc="AE301A84">
      <w:numFmt w:val="decimal"/>
      <w:lvlText w:val=""/>
      <w:lvlJc w:val="left"/>
    </w:lvl>
    <w:lvl w:ilvl="2" w:tplc="ACD033E4">
      <w:numFmt w:val="decimal"/>
      <w:lvlText w:val=""/>
      <w:lvlJc w:val="left"/>
    </w:lvl>
    <w:lvl w:ilvl="3" w:tplc="035C4184">
      <w:numFmt w:val="decimal"/>
      <w:lvlText w:val=""/>
      <w:lvlJc w:val="left"/>
    </w:lvl>
    <w:lvl w:ilvl="4" w:tplc="F5462BE8">
      <w:numFmt w:val="decimal"/>
      <w:lvlText w:val=""/>
      <w:lvlJc w:val="left"/>
    </w:lvl>
    <w:lvl w:ilvl="5" w:tplc="BDB2DF36">
      <w:numFmt w:val="decimal"/>
      <w:lvlText w:val=""/>
      <w:lvlJc w:val="left"/>
    </w:lvl>
    <w:lvl w:ilvl="6" w:tplc="B52ABECE">
      <w:numFmt w:val="decimal"/>
      <w:lvlText w:val=""/>
      <w:lvlJc w:val="left"/>
    </w:lvl>
    <w:lvl w:ilvl="7" w:tplc="898C424E">
      <w:numFmt w:val="decimal"/>
      <w:lvlText w:val=""/>
      <w:lvlJc w:val="left"/>
    </w:lvl>
    <w:lvl w:ilvl="8" w:tplc="37087650">
      <w:numFmt w:val="decimal"/>
      <w:lvlText w:val=""/>
      <w:lvlJc w:val="left"/>
    </w:lvl>
  </w:abstractNum>
  <w:abstractNum w:abstractNumId="453" w15:restartNumberingAfterBreak="0">
    <w:nsid w:val="315A0D6A"/>
    <w:multiLevelType w:val="hybridMultilevel"/>
    <w:tmpl w:val="784200B6"/>
    <w:lvl w:ilvl="0" w:tplc="8B8859AC">
      <w:start w:val="1"/>
      <w:numFmt w:val="bullet"/>
      <w:lvlText w:val=""/>
      <w:lvlJc w:val="left"/>
      <w:pPr>
        <w:ind w:left="720" w:hanging="180"/>
      </w:pPr>
      <w:rPr>
        <w:rFonts w:ascii="Symbol" w:hAnsi="Symbol" w:hint="default"/>
      </w:rPr>
    </w:lvl>
    <w:lvl w:ilvl="1" w:tplc="79F2B27A">
      <w:numFmt w:val="decimal"/>
      <w:lvlText w:val=""/>
      <w:lvlJc w:val="left"/>
    </w:lvl>
    <w:lvl w:ilvl="2" w:tplc="604EF73C">
      <w:numFmt w:val="decimal"/>
      <w:lvlText w:val=""/>
      <w:lvlJc w:val="left"/>
    </w:lvl>
    <w:lvl w:ilvl="3" w:tplc="56207742">
      <w:numFmt w:val="decimal"/>
      <w:lvlText w:val=""/>
      <w:lvlJc w:val="left"/>
    </w:lvl>
    <w:lvl w:ilvl="4" w:tplc="C17AFF1E">
      <w:numFmt w:val="decimal"/>
      <w:lvlText w:val=""/>
      <w:lvlJc w:val="left"/>
    </w:lvl>
    <w:lvl w:ilvl="5" w:tplc="BC800ACE">
      <w:numFmt w:val="decimal"/>
      <w:lvlText w:val=""/>
      <w:lvlJc w:val="left"/>
    </w:lvl>
    <w:lvl w:ilvl="6" w:tplc="CA7EB99E">
      <w:numFmt w:val="decimal"/>
      <w:lvlText w:val=""/>
      <w:lvlJc w:val="left"/>
    </w:lvl>
    <w:lvl w:ilvl="7" w:tplc="9620D742">
      <w:numFmt w:val="decimal"/>
      <w:lvlText w:val=""/>
      <w:lvlJc w:val="left"/>
    </w:lvl>
    <w:lvl w:ilvl="8" w:tplc="82DE195A">
      <w:numFmt w:val="decimal"/>
      <w:lvlText w:val=""/>
      <w:lvlJc w:val="left"/>
    </w:lvl>
  </w:abstractNum>
  <w:abstractNum w:abstractNumId="454" w15:restartNumberingAfterBreak="0">
    <w:nsid w:val="316F24D5"/>
    <w:multiLevelType w:val="hybridMultilevel"/>
    <w:tmpl w:val="51743948"/>
    <w:lvl w:ilvl="0" w:tplc="CC38F8EA">
      <w:start w:val="1"/>
      <w:numFmt w:val="bullet"/>
      <w:lvlText w:val=""/>
      <w:lvlJc w:val="left"/>
      <w:pPr>
        <w:ind w:left="720" w:hanging="180"/>
      </w:pPr>
      <w:rPr>
        <w:rFonts w:ascii="Symbol" w:hAnsi="Symbol" w:hint="default"/>
      </w:rPr>
    </w:lvl>
    <w:lvl w:ilvl="1" w:tplc="B8A89798">
      <w:numFmt w:val="decimal"/>
      <w:lvlText w:val=""/>
      <w:lvlJc w:val="left"/>
    </w:lvl>
    <w:lvl w:ilvl="2" w:tplc="0C184158">
      <w:numFmt w:val="decimal"/>
      <w:lvlText w:val=""/>
      <w:lvlJc w:val="left"/>
    </w:lvl>
    <w:lvl w:ilvl="3" w:tplc="2E0CD36C">
      <w:numFmt w:val="decimal"/>
      <w:lvlText w:val=""/>
      <w:lvlJc w:val="left"/>
    </w:lvl>
    <w:lvl w:ilvl="4" w:tplc="8D4C103C">
      <w:numFmt w:val="decimal"/>
      <w:lvlText w:val=""/>
      <w:lvlJc w:val="left"/>
    </w:lvl>
    <w:lvl w:ilvl="5" w:tplc="1EAE7FA6">
      <w:numFmt w:val="decimal"/>
      <w:lvlText w:val=""/>
      <w:lvlJc w:val="left"/>
    </w:lvl>
    <w:lvl w:ilvl="6" w:tplc="83B888B4">
      <w:numFmt w:val="decimal"/>
      <w:lvlText w:val=""/>
      <w:lvlJc w:val="left"/>
    </w:lvl>
    <w:lvl w:ilvl="7" w:tplc="C99E6C44">
      <w:numFmt w:val="decimal"/>
      <w:lvlText w:val=""/>
      <w:lvlJc w:val="left"/>
    </w:lvl>
    <w:lvl w:ilvl="8" w:tplc="F2683728">
      <w:numFmt w:val="decimal"/>
      <w:lvlText w:val=""/>
      <w:lvlJc w:val="left"/>
    </w:lvl>
  </w:abstractNum>
  <w:abstractNum w:abstractNumId="455" w15:restartNumberingAfterBreak="0">
    <w:nsid w:val="317A63F6"/>
    <w:multiLevelType w:val="hybridMultilevel"/>
    <w:tmpl w:val="51C219E0"/>
    <w:lvl w:ilvl="0" w:tplc="3022F08C">
      <w:start w:val="1"/>
      <w:numFmt w:val="bullet"/>
      <w:lvlText w:val=""/>
      <w:lvlJc w:val="left"/>
      <w:pPr>
        <w:ind w:left="720" w:hanging="180"/>
      </w:pPr>
      <w:rPr>
        <w:rFonts w:ascii="Symbol" w:hAnsi="Symbol" w:hint="default"/>
      </w:rPr>
    </w:lvl>
    <w:lvl w:ilvl="1" w:tplc="CC986E70">
      <w:numFmt w:val="decimal"/>
      <w:lvlText w:val=""/>
      <w:lvlJc w:val="left"/>
    </w:lvl>
    <w:lvl w:ilvl="2" w:tplc="57748D54">
      <w:numFmt w:val="decimal"/>
      <w:lvlText w:val=""/>
      <w:lvlJc w:val="left"/>
    </w:lvl>
    <w:lvl w:ilvl="3" w:tplc="5B449AF0">
      <w:numFmt w:val="decimal"/>
      <w:lvlText w:val=""/>
      <w:lvlJc w:val="left"/>
    </w:lvl>
    <w:lvl w:ilvl="4" w:tplc="97680728">
      <w:numFmt w:val="decimal"/>
      <w:lvlText w:val=""/>
      <w:lvlJc w:val="left"/>
    </w:lvl>
    <w:lvl w:ilvl="5" w:tplc="043A7848">
      <w:numFmt w:val="decimal"/>
      <w:lvlText w:val=""/>
      <w:lvlJc w:val="left"/>
    </w:lvl>
    <w:lvl w:ilvl="6" w:tplc="EC307D00">
      <w:numFmt w:val="decimal"/>
      <w:lvlText w:val=""/>
      <w:lvlJc w:val="left"/>
    </w:lvl>
    <w:lvl w:ilvl="7" w:tplc="0E262D46">
      <w:numFmt w:val="decimal"/>
      <w:lvlText w:val=""/>
      <w:lvlJc w:val="left"/>
    </w:lvl>
    <w:lvl w:ilvl="8" w:tplc="1FB279EE">
      <w:numFmt w:val="decimal"/>
      <w:lvlText w:val=""/>
      <w:lvlJc w:val="left"/>
    </w:lvl>
  </w:abstractNum>
  <w:abstractNum w:abstractNumId="456" w15:restartNumberingAfterBreak="0">
    <w:nsid w:val="317D382B"/>
    <w:multiLevelType w:val="hybridMultilevel"/>
    <w:tmpl w:val="050E64BA"/>
    <w:lvl w:ilvl="0" w:tplc="93000898">
      <w:start w:val="1"/>
      <w:numFmt w:val="bullet"/>
      <w:lvlText w:val=""/>
      <w:lvlJc w:val="left"/>
      <w:pPr>
        <w:ind w:left="720" w:hanging="180"/>
      </w:pPr>
      <w:rPr>
        <w:rFonts w:ascii="Symbol" w:hAnsi="Symbol" w:hint="default"/>
      </w:rPr>
    </w:lvl>
    <w:lvl w:ilvl="1" w:tplc="20583174">
      <w:numFmt w:val="decimal"/>
      <w:lvlText w:val=""/>
      <w:lvlJc w:val="left"/>
    </w:lvl>
    <w:lvl w:ilvl="2" w:tplc="94981560">
      <w:numFmt w:val="decimal"/>
      <w:lvlText w:val=""/>
      <w:lvlJc w:val="left"/>
    </w:lvl>
    <w:lvl w:ilvl="3" w:tplc="40D49918">
      <w:numFmt w:val="decimal"/>
      <w:lvlText w:val=""/>
      <w:lvlJc w:val="left"/>
    </w:lvl>
    <w:lvl w:ilvl="4" w:tplc="BE067598">
      <w:numFmt w:val="decimal"/>
      <w:lvlText w:val=""/>
      <w:lvlJc w:val="left"/>
    </w:lvl>
    <w:lvl w:ilvl="5" w:tplc="A658FCD2">
      <w:numFmt w:val="decimal"/>
      <w:lvlText w:val=""/>
      <w:lvlJc w:val="left"/>
    </w:lvl>
    <w:lvl w:ilvl="6" w:tplc="B36259D6">
      <w:numFmt w:val="decimal"/>
      <w:lvlText w:val=""/>
      <w:lvlJc w:val="left"/>
    </w:lvl>
    <w:lvl w:ilvl="7" w:tplc="001C8AE2">
      <w:numFmt w:val="decimal"/>
      <w:lvlText w:val=""/>
      <w:lvlJc w:val="left"/>
    </w:lvl>
    <w:lvl w:ilvl="8" w:tplc="A66AC114">
      <w:numFmt w:val="decimal"/>
      <w:lvlText w:val=""/>
      <w:lvlJc w:val="left"/>
    </w:lvl>
  </w:abstractNum>
  <w:abstractNum w:abstractNumId="457" w15:restartNumberingAfterBreak="0">
    <w:nsid w:val="31A55580"/>
    <w:multiLevelType w:val="hybridMultilevel"/>
    <w:tmpl w:val="CCD80C3E"/>
    <w:lvl w:ilvl="0" w:tplc="E3F02082">
      <w:start w:val="1"/>
      <w:numFmt w:val="bullet"/>
      <w:lvlText w:val=""/>
      <w:lvlJc w:val="left"/>
      <w:pPr>
        <w:ind w:left="720" w:hanging="180"/>
      </w:pPr>
      <w:rPr>
        <w:rFonts w:ascii="Symbol" w:hAnsi="Symbol" w:hint="default"/>
      </w:rPr>
    </w:lvl>
    <w:lvl w:ilvl="1" w:tplc="9746FED8">
      <w:numFmt w:val="decimal"/>
      <w:lvlText w:val=""/>
      <w:lvlJc w:val="left"/>
    </w:lvl>
    <w:lvl w:ilvl="2" w:tplc="4DA8A818">
      <w:numFmt w:val="decimal"/>
      <w:lvlText w:val=""/>
      <w:lvlJc w:val="left"/>
    </w:lvl>
    <w:lvl w:ilvl="3" w:tplc="380A6014">
      <w:numFmt w:val="decimal"/>
      <w:lvlText w:val=""/>
      <w:lvlJc w:val="left"/>
    </w:lvl>
    <w:lvl w:ilvl="4" w:tplc="43603034">
      <w:numFmt w:val="decimal"/>
      <w:lvlText w:val=""/>
      <w:lvlJc w:val="left"/>
    </w:lvl>
    <w:lvl w:ilvl="5" w:tplc="A35C88C8">
      <w:numFmt w:val="decimal"/>
      <w:lvlText w:val=""/>
      <w:lvlJc w:val="left"/>
    </w:lvl>
    <w:lvl w:ilvl="6" w:tplc="DB74B24E">
      <w:numFmt w:val="decimal"/>
      <w:lvlText w:val=""/>
      <w:lvlJc w:val="left"/>
    </w:lvl>
    <w:lvl w:ilvl="7" w:tplc="EB2A485A">
      <w:numFmt w:val="decimal"/>
      <w:lvlText w:val=""/>
      <w:lvlJc w:val="left"/>
    </w:lvl>
    <w:lvl w:ilvl="8" w:tplc="F10843D6">
      <w:numFmt w:val="decimal"/>
      <w:lvlText w:val=""/>
      <w:lvlJc w:val="left"/>
    </w:lvl>
  </w:abstractNum>
  <w:abstractNum w:abstractNumId="458" w15:restartNumberingAfterBreak="0">
    <w:nsid w:val="31BC3750"/>
    <w:multiLevelType w:val="hybridMultilevel"/>
    <w:tmpl w:val="87DC91D0"/>
    <w:lvl w:ilvl="0" w:tplc="633429CE">
      <w:start w:val="1"/>
      <w:numFmt w:val="bullet"/>
      <w:lvlText w:val=""/>
      <w:lvlJc w:val="left"/>
      <w:pPr>
        <w:ind w:left="720" w:hanging="180"/>
      </w:pPr>
      <w:rPr>
        <w:rFonts w:ascii="Symbol" w:hAnsi="Symbol" w:hint="default"/>
      </w:rPr>
    </w:lvl>
    <w:lvl w:ilvl="1" w:tplc="20105D36">
      <w:numFmt w:val="decimal"/>
      <w:lvlText w:val=""/>
      <w:lvlJc w:val="left"/>
    </w:lvl>
    <w:lvl w:ilvl="2" w:tplc="50C4CAE4">
      <w:numFmt w:val="decimal"/>
      <w:lvlText w:val=""/>
      <w:lvlJc w:val="left"/>
    </w:lvl>
    <w:lvl w:ilvl="3" w:tplc="1902E774">
      <w:numFmt w:val="decimal"/>
      <w:lvlText w:val=""/>
      <w:lvlJc w:val="left"/>
    </w:lvl>
    <w:lvl w:ilvl="4" w:tplc="D430D100">
      <w:numFmt w:val="decimal"/>
      <w:lvlText w:val=""/>
      <w:lvlJc w:val="left"/>
    </w:lvl>
    <w:lvl w:ilvl="5" w:tplc="864EFE4C">
      <w:numFmt w:val="decimal"/>
      <w:lvlText w:val=""/>
      <w:lvlJc w:val="left"/>
    </w:lvl>
    <w:lvl w:ilvl="6" w:tplc="5FAA6C3C">
      <w:numFmt w:val="decimal"/>
      <w:lvlText w:val=""/>
      <w:lvlJc w:val="left"/>
    </w:lvl>
    <w:lvl w:ilvl="7" w:tplc="B0C88D80">
      <w:numFmt w:val="decimal"/>
      <w:lvlText w:val=""/>
      <w:lvlJc w:val="left"/>
    </w:lvl>
    <w:lvl w:ilvl="8" w:tplc="0598D160">
      <w:numFmt w:val="decimal"/>
      <w:lvlText w:val=""/>
      <w:lvlJc w:val="left"/>
    </w:lvl>
  </w:abstractNum>
  <w:abstractNum w:abstractNumId="459" w15:restartNumberingAfterBreak="0">
    <w:nsid w:val="31D21489"/>
    <w:multiLevelType w:val="hybridMultilevel"/>
    <w:tmpl w:val="F03CB724"/>
    <w:lvl w:ilvl="0" w:tplc="955EBBA4">
      <w:start w:val="1"/>
      <w:numFmt w:val="bullet"/>
      <w:lvlText w:val=""/>
      <w:lvlJc w:val="left"/>
      <w:pPr>
        <w:ind w:left="720" w:hanging="180"/>
      </w:pPr>
      <w:rPr>
        <w:rFonts w:ascii="Symbol" w:hAnsi="Symbol" w:hint="default"/>
      </w:rPr>
    </w:lvl>
    <w:lvl w:ilvl="1" w:tplc="FD6232D6">
      <w:numFmt w:val="decimal"/>
      <w:lvlText w:val=""/>
      <w:lvlJc w:val="left"/>
    </w:lvl>
    <w:lvl w:ilvl="2" w:tplc="BB4AAF60">
      <w:numFmt w:val="decimal"/>
      <w:lvlText w:val=""/>
      <w:lvlJc w:val="left"/>
    </w:lvl>
    <w:lvl w:ilvl="3" w:tplc="9A10F272">
      <w:numFmt w:val="decimal"/>
      <w:lvlText w:val=""/>
      <w:lvlJc w:val="left"/>
    </w:lvl>
    <w:lvl w:ilvl="4" w:tplc="B05A1ED4">
      <w:numFmt w:val="decimal"/>
      <w:lvlText w:val=""/>
      <w:lvlJc w:val="left"/>
    </w:lvl>
    <w:lvl w:ilvl="5" w:tplc="2DBA9418">
      <w:numFmt w:val="decimal"/>
      <w:lvlText w:val=""/>
      <w:lvlJc w:val="left"/>
    </w:lvl>
    <w:lvl w:ilvl="6" w:tplc="CF1CE724">
      <w:numFmt w:val="decimal"/>
      <w:lvlText w:val=""/>
      <w:lvlJc w:val="left"/>
    </w:lvl>
    <w:lvl w:ilvl="7" w:tplc="E8022C60">
      <w:numFmt w:val="decimal"/>
      <w:lvlText w:val=""/>
      <w:lvlJc w:val="left"/>
    </w:lvl>
    <w:lvl w:ilvl="8" w:tplc="EBB6456C">
      <w:numFmt w:val="decimal"/>
      <w:lvlText w:val=""/>
      <w:lvlJc w:val="left"/>
    </w:lvl>
  </w:abstractNum>
  <w:abstractNum w:abstractNumId="460" w15:restartNumberingAfterBreak="0">
    <w:nsid w:val="32274951"/>
    <w:multiLevelType w:val="hybridMultilevel"/>
    <w:tmpl w:val="F30E1FE2"/>
    <w:lvl w:ilvl="0" w:tplc="7746560E">
      <w:start w:val="1"/>
      <w:numFmt w:val="bullet"/>
      <w:lvlText w:val=""/>
      <w:lvlJc w:val="left"/>
      <w:pPr>
        <w:ind w:left="720" w:hanging="180"/>
      </w:pPr>
      <w:rPr>
        <w:rFonts w:ascii="Symbol" w:hAnsi="Symbol" w:hint="default"/>
      </w:rPr>
    </w:lvl>
    <w:lvl w:ilvl="1" w:tplc="DF845ECA">
      <w:numFmt w:val="decimal"/>
      <w:lvlText w:val=""/>
      <w:lvlJc w:val="left"/>
    </w:lvl>
    <w:lvl w:ilvl="2" w:tplc="D86071BA">
      <w:numFmt w:val="decimal"/>
      <w:lvlText w:val=""/>
      <w:lvlJc w:val="left"/>
    </w:lvl>
    <w:lvl w:ilvl="3" w:tplc="768A189A">
      <w:numFmt w:val="decimal"/>
      <w:lvlText w:val=""/>
      <w:lvlJc w:val="left"/>
    </w:lvl>
    <w:lvl w:ilvl="4" w:tplc="0A826050">
      <w:numFmt w:val="decimal"/>
      <w:lvlText w:val=""/>
      <w:lvlJc w:val="left"/>
    </w:lvl>
    <w:lvl w:ilvl="5" w:tplc="51E66540">
      <w:numFmt w:val="decimal"/>
      <w:lvlText w:val=""/>
      <w:lvlJc w:val="left"/>
    </w:lvl>
    <w:lvl w:ilvl="6" w:tplc="B3787170">
      <w:numFmt w:val="decimal"/>
      <w:lvlText w:val=""/>
      <w:lvlJc w:val="left"/>
    </w:lvl>
    <w:lvl w:ilvl="7" w:tplc="358A56B0">
      <w:numFmt w:val="decimal"/>
      <w:lvlText w:val=""/>
      <w:lvlJc w:val="left"/>
    </w:lvl>
    <w:lvl w:ilvl="8" w:tplc="0FFC86A6">
      <w:numFmt w:val="decimal"/>
      <w:lvlText w:val=""/>
      <w:lvlJc w:val="left"/>
    </w:lvl>
  </w:abstractNum>
  <w:abstractNum w:abstractNumId="461" w15:restartNumberingAfterBreak="0">
    <w:nsid w:val="3231432E"/>
    <w:multiLevelType w:val="hybridMultilevel"/>
    <w:tmpl w:val="F856C7FE"/>
    <w:lvl w:ilvl="0" w:tplc="EECA5C6C">
      <w:start w:val="1"/>
      <w:numFmt w:val="bullet"/>
      <w:lvlText w:val=""/>
      <w:lvlJc w:val="left"/>
      <w:pPr>
        <w:ind w:left="720" w:hanging="180"/>
      </w:pPr>
      <w:rPr>
        <w:rFonts w:ascii="Symbol" w:hAnsi="Symbol" w:hint="default"/>
      </w:rPr>
    </w:lvl>
    <w:lvl w:ilvl="1" w:tplc="2FCAB02C">
      <w:numFmt w:val="decimal"/>
      <w:lvlText w:val=""/>
      <w:lvlJc w:val="left"/>
    </w:lvl>
    <w:lvl w:ilvl="2" w:tplc="104C8822">
      <w:numFmt w:val="decimal"/>
      <w:lvlText w:val=""/>
      <w:lvlJc w:val="left"/>
    </w:lvl>
    <w:lvl w:ilvl="3" w:tplc="2BCEF302">
      <w:numFmt w:val="decimal"/>
      <w:lvlText w:val=""/>
      <w:lvlJc w:val="left"/>
    </w:lvl>
    <w:lvl w:ilvl="4" w:tplc="17F449A6">
      <w:numFmt w:val="decimal"/>
      <w:lvlText w:val=""/>
      <w:lvlJc w:val="left"/>
    </w:lvl>
    <w:lvl w:ilvl="5" w:tplc="C2B2D71C">
      <w:numFmt w:val="decimal"/>
      <w:lvlText w:val=""/>
      <w:lvlJc w:val="left"/>
    </w:lvl>
    <w:lvl w:ilvl="6" w:tplc="0616DCDA">
      <w:numFmt w:val="decimal"/>
      <w:lvlText w:val=""/>
      <w:lvlJc w:val="left"/>
    </w:lvl>
    <w:lvl w:ilvl="7" w:tplc="26BEC022">
      <w:numFmt w:val="decimal"/>
      <w:lvlText w:val=""/>
      <w:lvlJc w:val="left"/>
    </w:lvl>
    <w:lvl w:ilvl="8" w:tplc="79DEC2F4">
      <w:numFmt w:val="decimal"/>
      <w:lvlText w:val=""/>
      <w:lvlJc w:val="left"/>
    </w:lvl>
  </w:abstractNum>
  <w:abstractNum w:abstractNumId="462" w15:restartNumberingAfterBreak="0">
    <w:nsid w:val="324A0CE7"/>
    <w:multiLevelType w:val="hybridMultilevel"/>
    <w:tmpl w:val="3C6EB72C"/>
    <w:lvl w:ilvl="0" w:tplc="C772EC66">
      <w:numFmt w:val="decimal"/>
      <w:lvlText w:val=""/>
      <w:lvlJc w:val="left"/>
    </w:lvl>
    <w:lvl w:ilvl="1" w:tplc="82B27D94">
      <w:start w:val="1"/>
      <w:numFmt w:val="bullet"/>
      <w:lvlText w:val=""/>
      <w:lvlJc w:val="left"/>
      <w:pPr>
        <w:ind w:left="1440" w:hanging="180"/>
      </w:pPr>
      <w:rPr>
        <w:rFonts w:ascii="Symbol" w:hAnsi="Symbol" w:hint="default"/>
      </w:rPr>
    </w:lvl>
    <w:lvl w:ilvl="2" w:tplc="061CBFC8">
      <w:numFmt w:val="decimal"/>
      <w:lvlText w:val=""/>
      <w:lvlJc w:val="left"/>
    </w:lvl>
    <w:lvl w:ilvl="3" w:tplc="132034A4">
      <w:numFmt w:val="decimal"/>
      <w:lvlText w:val=""/>
      <w:lvlJc w:val="left"/>
    </w:lvl>
    <w:lvl w:ilvl="4" w:tplc="C990380E">
      <w:numFmt w:val="decimal"/>
      <w:lvlText w:val=""/>
      <w:lvlJc w:val="left"/>
    </w:lvl>
    <w:lvl w:ilvl="5" w:tplc="01D6B584">
      <w:numFmt w:val="decimal"/>
      <w:lvlText w:val=""/>
      <w:lvlJc w:val="left"/>
    </w:lvl>
    <w:lvl w:ilvl="6" w:tplc="200831D8">
      <w:numFmt w:val="decimal"/>
      <w:lvlText w:val=""/>
      <w:lvlJc w:val="left"/>
    </w:lvl>
    <w:lvl w:ilvl="7" w:tplc="84CABF7E">
      <w:numFmt w:val="decimal"/>
      <w:lvlText w:val=""/>
      <w:lvlJc w:val="left"/>
    </w:lvl>
    <w:lvl w:ilvl="8" w:tplc="F98886E8">
      <w:numFmt w:val="decimal"/>
      <w:lvlText w:val=""/>
      <w:lvlJc w:val="left"/>
    </w:lvl>
  </w:abstractNum>
  <w:abstractNum w:abstractNumId="463" w15:restartNumberingAfterBreak="0">
    <w:nsid w:val="32536532"/>
    <w:multiLevelType w:val="hybridMultilevel"/>
    <w:tmpl w:val="07E63D66"/>
    <w:lvl w:ilvl="0" w:tplc="F858F180">
      <w:start w:val="1"/>
      <w:numFmt w:val="bullet"/>
      <w:lvlText w:val=""/>
      <w:lvlJc w:val="left"/>
      <w:pPr>
        <w:ind w:left="720" w:hanging="180"/>
      </w:pPr>
      <w:rPr>
        <w:rFonts w:ascii="Symbol" w:hAnsi="Symbol" w:hint="default"/>
      </w:rPr>
    </w:lvl>
    <w:lvl w:ilvl="1" w:tplc="8360735C">
      <w:numFmt w:val="decimal"/>
      <w:lvlText w:val=""/>
      <w:lvlJc w:val="left"/>
    </w:lvl>
    <w:lvl w:ilvl="2" w:tplc="001EBD40">
      <w:numFmt w:val="decimal"/>
      <w:lvlText w:val=""/>
      <w:lvlJc w:val="left"/>
    </w:lvl>
    <w:lvl w:ilvl="3" w:tplc="EA8CAD8A">
      <w:numFmt w:val="decimal"/>
      <w:lvlText w:val=""/>
      <w:lvlJc w:val="left"/>
    </w:lvl>
    <w:lvl w:ilvl="4" w:tplc="0E32D7B6">
      <w:numFmt w:val="decimal"/>
      <w:lvlText w:val=""/>
      <w:lvlJc w:val="left"/>
    </w:lvl>
    <w:lvl w:ilvl="5" w:tplc="0FBAC908">
      <w:numFmt w:val="decimal"/>
      <w:lvlText w:val=""/>
      <w:lvlJc w:val="left"/>
    </w:lvl>
    <w:lvl w:ilvl="6" w:tplc="C91CABB8">
      <w:numFmt w:val="decimal"/>
      <w:lvlText w:val=""/>
      <w:lvlJc w:val="left"/>
    </w:lvl>
    <w:lvl w:ilvl="7" w:tplc="34CA994C">
      <w:numFmt w:val="decimal"/>
      <w:lvlText w:val=""/>
      <w:lvlJc w:val="left"/>
    </w:lvl>
    <w:lvl w:ilvl="8" w:tplc="6BE00FB2">
      <w:numFmt w:val="decimal"/>
      <w:lvlText w:val=""/>
      <w:lvlJc w:val="left"/>
    </w:lvl>
  </w:abstractNum>
  <w:abstractNum w:abstractNumId="464" w15:restartNumberingAfterBreak="0">
    <w:nsid w:val="32674876"/>
    <w:multiLevelType w:val="hybridMultilevel"/>
    <w:tmpl w:val="4E486F22"/>
    <w:lvl w:ilvl="0" w:tplc="DA602BE2">
      <w:start w:val="1"/>
      <w:numFmt w:val="bullet"/>
      <w:lvlText w:val=""/>
      <w:lvlJc w:val="left"/>
      <w:pPr>
        <w:ind w:left="720" w:hanging="180"/>
      </w:pPr>
      <w:rPr>
        <w:rFonts w:ascii="Symbol" w:hAnsi="Symbol" w:hint="default"/>
      </w:rPr>
    </w:lvl>
    <w:lvl w:ilvl="1" w:tplc="FC88BA74">
      <w:numFmt w:val="decimal"/>
      <w:lvlText w:val=""/>
      <w:lvlJc w:val="left"/>
    </w:lvl>
    <w:lvl w:ilvl="2" w:tplc="65B66280">
      <w:numFmt w:val="decimal"/>
      <w:lvlText w:val=""/>
      <w:lvlJc w:val="left"/>
    </w:lvl>
    <w:lvl w:ilvl="3" w:tplc="2F8A1200">
      <w:numFmt w:val="decimal"/>
      <w:lvlText w:val=""/>
      <w:lvlJc w:val="left"/>
    </w:lvl>
    <w:lvl w:ilvl="4" w:tplc="F02089C2">
      <w:numFmt w:val="decimal"/>
      <w:lvlText w:val=""/>
      <w:lvlJc w:val="left"/>
    </w:lvl>
    <w:lvl w:ilvl="5" w:tplc="55A2B282">
      <w:numFmt w:val="decimal"/>
      <w:lvlText w:val=""/>
      <w:lvlJc w:val="left"/>
    </w:lvl>
    <w:lvl w:ilvl="6" w:tplc="C35885FE">
      <w:numFmt w:val="decimal"/>
      <w:lvlText w:val=""/>
      <w:lvlJc w:val="left"/>
    </w:lvl>
    <w:lvl w:ilvl="7" w:tplc="FCB0A9B4">
      <w:numFmt w:val="decimal"/>
      <w:lvlText w:val=""/>
      <w:lvlJc w:val="left"/>
    </w:lvl>
    <w:lvl w:ilvl="8" w:tplc="D5FC9C5A">
      <w:numFmt w:val="decimal"/>
      <w:lvlText w:val=""/>
      <w:lvlJc w:val="left"/>
    </w:lvl>
  </w:abstractNum>
  <w:abstractNum w:abstractNumId="465" w15:restartNumberingAfterBreak="0">
    <w:nsid w:val="326A44F1"/>
    <w:multiLevelType w:val="hybridMultilevel"/>
    <w:tmpl w:val="18EEB4C0"/>
    <w:lvl w:ilvl="0" w:tplc="C26C22CC">
      <w:start w:val="1"/>
      <w:numFmt w:val="bullet"/>
      <w:lvlText w:val=""/>
      <w:lvlJc w:val="left"/>
      <w:pPr>
        <w:ind w:left="720" w:hanging="180"/>
      </w:pPr>
      <w:rPr>
        <w:rFonts w:ascii="Symbol" w:hAnsi="Symbol" w:hint="default"/>
      </w:rPr>
    </w:lvl>
    <w:lvl w:ilvl="1" w:tplc="3280D3C8">
      <w:numFmt w:val="decimal"/>
      <w:lvlText w:val=""/>
      <w:lvlJc w:val="left"/>
    </w:lvl>
    <w:lvl w:ilvl="2" w:tplc="2AA2DCDE">
      <w:numFmt w:val="decimal"/>
      <w:lvlText w:val=""/>
      <w:lvlJc w:val="left"/>
    </w:lvl>
    <w:lvl w:ilvl="3" w:tplc="C4DC9E38">
      <w:numFmt w:val="decimal"/>
      <w:lvlText w:val=""/>
      <w:lvlJc w:val="left"/>
    </w:lvl>
    <w:lvl w:ilvl="4" w:tplc="5A2810E4">
      <w:numFmt w:val="decimal"/>
      <w:lvlText w:val=""/>
      <w:lvlJc w:val="left"/>
    </w:lvl>
    <w:lvl w:ilvl="5" w:tplc="5226D4F4">
      <w:numFmt w:val="decimal"/>
      <w:lvlText w:val=""/>
      <w:lvlJc w:val="left"/>
    </w:lvl>
    <w:lvl w:ilvl="6" w:tplc="18CA49E6">
      <w:numFmt w:val="decimal"/>
      <w:lvlText w:val=""/>
      <w:lvlJc w:val="left"/>
    </w:lvl>
    <w:lvl w:ilvl="7" w:tplc="48EE6702">
      <w:numFmt w:val="decimal"/>
      <w:lvlText w:val=""/>
      <w:lvlJc w:val="left"/>
    </w:lvl>
    <w:lvl w:ilvl="8" w:tplc="519AE214">
      <w:numFmt w:val="decimal"/>
      <w:lvlText w:val=""/>
      <w:lvlJc w:val="left"/>
    </w:lvl>
  </w:abstractNum>
  <w:abstractNum w:abstractNumId="466" w15:restartNumberingAfterBreak="0">
    <w:nsid w:val="3276111F"/>
    <w:multiLevelType w:val="hybridMultilevel"/>
    <w:tmpl w:val="EC180B9C"/>
    <w:lvl w:ilvl="0" w:tplc="E3A4B9C8">
      <w:start w:val="1"/>
      <w:numFmt w:val="bullet"/>
      <w:lvlText w:val=""/>
      <w:lvlJc w:val="left"/>
      <w:pPr>
        <w:ind w:left="720" w:hanging="180"/>
      </w:pPr>
      <w:rPr>
        <w:rFonts w:ascii="Symbol" w:hAnsi="Symbol" w:hint="default"/>
      </w:rPr>
    </w:lvl>
    <w:lvl w:ilvl="1" w:tplc="BB761610">
      <w:numFmt w:val="decimal"/>
      <w:lvlText w:val=""/>
      <w:lvlJc w:val="left"/>
    </w:lvl>
    <w:lvl w:ilvl="2" w:tplc="A1C80340">
      <w:numFmt w:val="decimal"/>
      <w:lvlText w:val=""/>
      <w:lvlJc w:val="left"/>
    </w:lvl>
    <w:lvl w:ilvl="3" w:tplc="FCB2BCE8">
      <w:numFmt w:val="decimal"/>
      <w:lvlText w:val=""/>
      <w:lvlJc w:val="left"/>
    </w:lvl>
    <w:lvl w:ilvl="4" w:tplc="9EE097E2">
      <w:numFmt w:val="decimal"/>
      <w:lvlText w:val=""/>
      <w:lvlJc w:val="left"/>
    </w:lvl>
    <w:lvl w:ilvl="5" w:tplc="31F614A0">
      <w:numFmt w:val="decimal"/>
      <w:lvlText w:val=""/>
      <w:lvlJc w:val="left"/>
    </w:lvl>
    <w:lvl w:ilvl="6" w:tplc="9F260CEA">
      <w:numFmt w:val="decimal"/>
      <w:lvlText w:val=""/>
      <w:lvlJc w:val="left"/>
    </w:lvl>
    <w:lvl w:ilvl="7" w:tplc="B956CB1E">
      <w:numFmt w:val="decimal"/>
      <w:lvlText w:val=""/>
      <w:lvlJc w:val="left"/>
    </w:lvl>
    <w:lvl w:ilvl="8" w:tplc="EEAE4DC2">
      <w:numFmt w:val="decimal"/>
      <w:lvlText w:val=""/>
      <w:lvlJc w:val="left"/>
    </w:lvl>
  </w:abstractNum>
  <w:abstractNum w:abstractNumId="467" w15:restartNumberingAfterBreak="0">
    <w:nsid w:val="327C0BB4"/>
    <w:multiLevelType w:val="hybridMultilevel"/>
    <w:tmpl w:val="4DC4EA40"/>
    <w:lvl w:ilvl="0" w:tplc="307446BC">
      <w:start w:val="1"/>
      <w:numFmt w:val="bullet"/>
      <w:lvlText w:val=""/>
      <w:lvlJc w:val="left"/>
      <w:pPr>
        <w:ind w:left="720" w:hanging="180"/>
      </w:pPr>
      <w:rPr>
        <w:rFonts w:ascii="Symbol" w:hAnsi="Symbol" w:hint="default"/>
      </w:rPr>
    </w:lvl>
    <w:lvl w:ilvl="1" w:tplc="FB78DFD6">
      <w:numFmt w:val="decimal"/>
      <w:lvlText w:val=""/>
      <w:lvlJc w:val="left"/>
    </w:lvl>
    <w:lvl w:ilvl="2" w:tplc="A8180A0A">
      <w:numFmt w:val="decimal"/>
      <w:lvlText w:val=""/>
      <w:lvlJc w:val="left"/>
    </w:lvl>
    <w:lvl w:ilvl="3" w:tplc="7C9E4852">
      <w:numFmt w:val="decimal"/>
      <w:lvlText w:val=""/>
      <w:lvlJc w:val="left"/>
    </w:lvl>
    <w:lvl w:ilvl="4" w:tplc="E67A61E4">
      <w:numFmt w:val="decimal"/>
      <w:lvlText w:val=""/>
      <w:lvlJc w:val="left"/>
    </w:lvl>
    <w:lvl w:ilvl="5" w:tplc="F396817C">
      <w:numFmt w:val="decimal"/>
      <w:lvlText w:val=""/>
      <w:lvlJc w:val="left"/>
    </w:lvl>
    <w:lvl w:ilvl="6" w:tplc="DDB62284">
      <w:numFmt w:val="decimal"/>
      <w:lvlText w:val=""/>
      <w:lvlJc w:val="left"/>
    </w:lvl>
    <w:lvl w:ilvl="7" w:tplc="8554616C">
      <w:numFmt w:val="decimal"/>
      <w:lvlText w:val=""/>
      <w:lvlJc w:val="left"/>
    </w:lvl>
    <w:lvl w:ilvl="8" w:tplc="EACC4C32">
      <w:numFmt w:val="decimal"/>
      <w:lvlText w:val=""/>
      <w:lvlJc w:val="left"/>
    </w:lvl>
  </w:abstractNum>
  <w:abstractNum w:abstractNumId="468" w15:restartNumberingAfterBreak="0">
    <w:nsid w:val="32B226C7"/>
    <w:multiLevelType w:val="hybridMultilevel"/>
    <w:tmpl w:val="9C7CDE1C"/>
    <w:lvl w:ilvl="0" w:tplc="5F4EC17A">
      <w:start w:val="1"/>
      <w:numFmt w:val="bullet"/>
      <w:lvlText w:val=""/>
      <w:lvlJc w:val="left"/>
      <w:pPr>
        <w:ind w:left="720" w:hanging="180"/>
      </w:pPr>
      <w:rPr>
        <w:rFonts w:ascii="Symbol" w:hAnsi="Symbol" w:hint="default"/>
      </w:rPr>
    </w:lvl>
    <w:lvl w:ilvl="1" w:tplc="0D421148">
      <w:numFmt w:val="decimal"/>
      <w:lvlText w:val=""/>
      <w:lvlJc w:val="left"/>
    </w:lvl>
    <w:lvl w:ilvl="2" w:tplc="48F07152">
      <w:numFmt w:val="decimal"/>
      <w:lvlText w:val=""/>
      <w:lvlJc w:val="left"/>
    </w:lvl>
    <w:lvl w:ilvl="3" w:tplc="E58E0E5C">
      <w:numFmt w:val="decimal"/>
      <w:lvlText w:val=""/>
      <w:lvlJc w:val="left"/>
    </w:lvl>
    <w:lvl w:ilvl="4" w:tplc="29D66F64">
      <w:numFmt w:val="decimal"/>
      <w:lvlText w:val=""/>
      <w:lvlJc w:val="left"/>
    </w:lvl>
    <w:lvl w:ilvl="5" w:tplc="E776568E">
      <w:numFmt w:val="decimal"/>
      <w:lvlText w:val=""/>
      <w:lvlJc w:val="left"/>
    </w:lvl>
    <w:lvl w:ilvl="6" w:tplc="1F1CE726">
      <w:numFmt w:val="decimal"/>
      <w:lvlText w:val=""/>
      <w:lvlJc w:val="left"/>
    </w:lvl>
    <w:lvl w:ilvl="7" w:tplc="32C2C364">
      <w:numFmt w:val="decimal"/>
      <w:lvlText w:val=""/>
      <w:lvlJc w:val="left"/>
    </w:lvl>
    <w:lvl w:ilvl="8" w:tplc="6DD28D1E">
      <w:numFmt w:val="decimal"/>
      <w:lvlText w:val=""/>
      <w:lvlJc w:val="left"/>
    </w:lvl>
  </w:abstractNum>
  <w:abstractNum w:abstractNumId="469" w15:restartNumberingAfterBreak="0">
    <w:nsid w:val="32C910C1"/>
    <w:multiLevelType w:val="hybridMultilevel"/>
    <w:tmpl w:val="E21CEEA2"/>
    <w:lvl w:ilvl="0" w:tplc="41D61758">
      <w:start w:val="1"/>
      <w:numFmt w:val="bullet"/>
      <w:lvlText w:val=""/>
      <w:lvlJc w:val="left"/>
      <w:pPr>
        <w:ind w:left="720" w:hanging="180"/>
      </w:pPr>
      <w:rPr>
        <w:rFonts w:ascii="Symbol" w:hAnsi="Symbol" w:hint="default"/>
      </w:rPr>
    </w:lvl>
    <w:lvl w:ilvl="1" w:tplc="EF460BFE">
      <w:numFmt w:val="decimal"/>
      <w:lvlText w:val=""/>
      <w:lvlJc w:val="left"/>
    </w:lvl>
    <w:lvl w:ilvl="2" w:tplc="7B04C99C">
      <w:numFmt w:val="decimal"/>
      <w:lvlText w:val=""/>
      <w:lvlJc w:val="left"/>
    </w:lvl>
    <w:lvl w:ilvl="3" w:tplc="0E202D16">
      <w:numFmt w:val="decimal"/>
      <w:lvlText w:val=""/>
      <w:lvlJc w:val="left"/>
    </w:lvl>
    <w:lvl w:ilvl="4" w:tplc="13C81CC6">
      <w:numFmt w:val="decimal"/>
      <w:lvlText w:val=""/>
      <w:lvlJc w:val="left"/>
    </w:lvl>
    <w:lvl w:ilvl="5" w:tplc="2B6AD4FE">
      <w:numFmt w:val="decimal"/>
      <w:lvlText w:val=""/>
      <w:lvlJc w:val="left"/>
    </w:lvl>
    <w:lvl w:ilvl="6" w:tplc="95D0FB48">
      <w:numFmt w:val="decimal"/>
      <w:lvlText w:val=""/>
      <w:lvlJc w:val="left"/>
    </w:lvl>
    <w:lvl w:ilvl="7" w:tplc="C3FAF70A">
      <w:numFmt w:val="decimal"/>
      <w:lvlText w:val=""/>
      <w:lvlJc w:val="left"/>
    </w:lvl>
    <w:lvl w:ilvl="8" w:tplc="BBA89622">
      <w:numFmt w:val="decimal"/>
      <w:lvlText w:val=""/>
      <w:lvlJc w:val="left"/>
    </w:lvl>
  </w:abstractNum>
  <w:abstractNum w:abstractNumId="470" w15:restartNumberingAfterBreak="0">
    <w:nsid w:val="32D13E5D"/>
    <w:multiLevelType w:val="hybridMultilevel"/>
    <w:tmpl w:val="4F82A724"/>
    <w:lvl w:ilvl="0" w:tplc="851CF1AC">
      <w:start w:val="1"/>
      <w:numFmt w:val="bullet"/>
      <w:lvlText w:val=""/>
      <w:lvlJc w:val="left"/>
      <w:pPr>
        <w:ind w:left="720" w:hanging="180"/>
      </w:pPr>
      <w:rPr>
        <w:rFonts w:ascii="Symbol" w:hAnsi="Symbol" w:hint="default"/>
      </w:rPr>
    </w:lvl>
    <w:lvl w:ilvl="1" w:tplc="EF5E87D0">
      <w:numFmt w:val="decimal"/>
      <w:lvlText w:val=""/>
      <w:lvlJc w:val="left"/>
    </w:lvl>
    <w:lvl w:ilvl="2" w:tplc="9C2A92DE">
      <w:numFmt w:val="decimal"/>
      <w:lvlText w:val=""/>
      <w:lvlJc w:val="left"/>
    </w:lvl>
    <w:lvl w:ilvl="3" w:tplc="E6C6CA36">
      <w:numFmt w:val="decimal"/>
      <w:lvlText w:val=""/>
      <w:lvlJc w:val="left"/>
    </w:lvl>
    <w:lvl w:ilvl="4" w:tplc="1138F7D0">
      <w:numFmt w:val="decimal"/>
      <w:lvlText w:val=""/>
      <w:lvlJc w:val="left"/>
    </w:lvl>
    <w:lvl w:ilvl="5" w:tplc="97A657C2">
      <w:numFmt w:val="decimal"/>
      <w:lvlText w:val=""/>
      <w:lvlJc w:val="left"/>
    </w:lvl>
    <w:lvl w:ilvl="6" w:tplc="2BE08AAC">
      <w:numFmt w:val="decimal"/>
      <w:lvlText w:val=""/>
      <w:lvlJc w:val="left"/>
    </w:lvl>
    <w:lvl w:ilvl="7" w:tplc="5CF2400E">
      <w:numFmt w:val="decimal"/>
      <w:lvlText w:val=""/>
      <w:lvlJc w:val="left"/>
    </w:lvl>
    <w:lvl w:ilvl="8" w:tplc="CDEA281C">
      <w:numFmt w:val="decimal"/>
      <w:lvlText w:val=""/>
      <w:lvlJc w:val="left"/>
    </w:lvl>
  </w:abstractNum>
  <w:abstractNum w:abstractNumId="471" w15:restartNumberingAfterBreak="0">
    <w:nsid w:val="32EC5340"/>
    <w:multiLevelType w:val="hybridMultilevel"/>
    <w:tmpl w:val="194CD55A"/>
    <w:lvl w:ilvl="0" w:tplc="76621034">
      <w:start w:val="1"/>
      <w:numFmt w:val="bullet"/>
      <w:lvlText w:val=""/>
      <w:lvlJc w:val="left"/>
      <w:pPr>
        <w:ind w:left="720" w:hanging="180"/>
      </w:pPr>
      <w:rPr>
        <w:rFonts w:ascii="Symbol" w:hAnsi="Symbol" w:hint="default"/>
      </w:rPr>
    </w:lvl>
    <w:lvl w:ilvl="1" w:tplc="2214D998">
      <w:numFmt w:val="decimal"/>
      <w:lvlText w:val=""/>
      <w:lvlJc w:val="left"/>
    </w:lvl>
    <w:lvl w:ilvl="2" w:tplc="25C200E0">
      <w:numFmt w:val="decimal"/>
      <w:lvlText w:val=""/>
      <w:lvlJc w:val="left"/>
    </w:lvl>
    <w:lvl w:ilvl="3" w:tplc="E49239C8">
      <w:numFmt w:val="decimal"/>
      <w:lvlText w:val=""/>
      <w:lvlJc w:val="left"/>
    </w:lvl>
    <w:lvl w:ilvl="4" w:tplc="FF8AF3BC">
      <w:numFmt w:val="decimal"/>
      <w:lvlText w:val=""/>
      <w:lvlJc w:val="left"/>
    </w:lvl>
    <w:lvl w:ilvl="5" w:tplc="F89E61CA">
      <w:numFmt w:val="decimal"/>
      <w:lvlText w:val=""/>
      <w:lvlJc w:val="left"/>
    </w:lvl>
    <w:lvl w:ilvl="6" w:tplc="EFAE88D8">
      <w:numFmt w:val="decimal"/>
      <w:lvlText w:val=""/>
      <w:lvlJc w:val="left"/>
    </w:lvl>
    <w:lvl w:ilvl="7" w:tplc="4A645E24">
      <w:numFmt w:val="decimal"/>
      <w:lvlText w:val=""/>
      <w:lvlJc w:val="left"/>
    </w:lvl>
    <w:lvl w:ilvl="8" w:tplc="FFB8E402">
      <w:numFmt w:val="decimal"/>
      <w:lvlText w:val=""/>
      <w:lvlJc w:val="left"/>
    </w:lvl>
  </w:abstractNum>
  <w:abstractNum w:abstractNumId="472" w15:restartNumberingAfterBreak="0">
    <w:nsid w:val="33075891"/>
    <w:multiLevelType w:val="hybridMultilevel"/>
    <w:tmpl w:val="066E2416"/>
    <w:lvl w:ilvl="0" w:tplc="A1E2F940">
      <w:start w:val="1"/>
      <w:numFmt w:val="bullet"/>
      <w:lvlText w:val=""/>
      <w:lvlJc w:val="left"/>
      <w:pPr>
        <w:ind w:left="720" w:hanging="180"/>
      </w:pPr>
      <w:rPr>
        <w:rFonts w:ascii="Symbol" w:hAnsi="Symbol" w:hint="default"/>
      </w:rPr>
    </w:lvl>
    <w:lvl w:ilvl="1" w:tplc="C58AE6D8">
      <w:numFmt w:val="decimal"/>
      <w:lvlText w:val=""/>
      <w:lvlJc w:val="left"/>
    </w:lvl>
    <w:lvl w:ilvl="2" w:tplc="B3DEDB88">
      <w:numFmt w:val="decimal"/>
      <w:lvlText w:val=""/>
      <w:lvlJc w:val="left"/>
    </w:lvl>
    <w:lvl w:ilvl="3" w:tplc="92763F3A">
      <w:numFmt w:val="decimal"/>
      <w:lvlText w:val=""/>
      <w:lvlJc w:val="left"/>
    </w:lvl>
    <w:lvl w:ilvl="4" w:tplc="FA7893A4">
      <w:numFmt w:val="decimal"/>
      <w:lvlText w:val=""/>
      <w:lvlJc w:val="left"/>
    </w:lvl>
    <w:lvl w:ilvl="5" w:tplc="9BD24948">
      <w:numFmt w:val="decimal"/>
      <w:lvlText w:val=""/>
      <w:lvlJc w:val="left"/>
    </w:lvl>
    <w:lvl w:ilvl="6" w:tplc="A08EEEA2">
      <w:numFmt w:val="decimal"/>
      <w:lvlText w:val=""/>
      <w:lvlJc w:val="left"/>
    </w:lvl>
    <w:lvl w:ilvl="7" w:tplc="72A0D9C4">
      <w:numFmt w:val="decimal"/>
      <w:lvlText w:val=""/>
      <w:lvlJc w:val="left"/>
    </w:lvl>
    <w:lvl w:ilvl="8" w:tplc="C7C2191C">
      <w:numFmt w:val="decimal"/>
      <w:lvlText w:val=""/>
      <w:lvlJc w:val="left"/>
    </w:lvl>
  </w:abstractNum>
  <w:abstractNum w:abstractNumId="473" w15:restartNumberingAfterBreak="0">
    <w:nsid w:val="33173ADE"/>
    <w:multiLevelType w:val="hybridMultilevel"/>
    <w:tmpl w:val="2EAA7A8E"/>
    <w:lvl w:ilvl="0" w:tplc="1EF63FE2">
      <w:start w:val="1"/>
      <w:numFmt w:val="bullet"/>
      <w:lvlText w:val=""/>
      <w:lvlJc w:val="left"/>
      <w:pPr>
        <w:ind w:left="720" w:hanging="180"/>
      </w:pPr>
      <w:rPr>
        <w:rFonts w:ascii="Symbol" w:hAnsi="Symbol" w:hint="default"/>
      </w:rPr>
    </w:lvl>
    <w:lvl w:ilvl="1" w:tplc="5582E65E">
      <w:numFmt w:val="decimal"/>
      <w:lvlText w:val=""/>
      <w:lvlJc w:val="left"/>
    </w:lvl>
    <w:lvl w:ilvl="2" w:tplc="68C6D9FA">
      <w:numFmt w:val="decimal"/>
      <w:lvlText w:val=""/>
      <w:lvlJc w:val="left"/>
    </w:lvl>
    <w:lvl w:ilvl="3" w:tplc="FADEE304">
      <w:numFmt w:val="decimal"/>
      <w:lvlText w:val=""/>
      <w:lvlJc w:val="left"/>
    </w:lvl>
    <w:lvl w:ilvl="4" w:tplc="A4802EC0">
      <w:numFmt w:val="decimal"/>
      <w:lvlText w:val=""/>
      <w:lvlJc w:val="left"/>
    </w:lvl>
    <w:lvl w:ilvl="5" w:tplc="EF52BAF4">
      <w:numFmt w:val="decimal"/>
      <w:lvlText w:val=""/>
      <w:lvlJc w:val="left"/>
    </w:lvl>
    <w:lvl w:ilvl="6" w:tplc="937C6E4C">
      <w:numFmt w:val="decimal"/>
      <w:lvlText w:val=""/>
      <w:lvlJc w:val="left"/>
    </w:lvl>
    <w:lvl w:ilvl="7" w:tplc="C950BEBA">
      <w:numFmt w:val="decimal"/>
      <w:lvlText w:val=""/>
      <w:lvlJc w:val="left"/>
    </w:lvl>
    <w:lvl w:ilvl="8" w:tplc="5AC00FB4">
      <w:numFmt w:val="decimal"/>
      <w:lvlText w:val=""/>
      <w:lvlJc w:val="left"/>
    </w:lvl>
  </w:abstractNum>
  <w:abstractNum w:abstractNumId="474" w15:restartNumberingAfterBreak="0">
    <w:nsid w:val="331C06EE"/>
    <w:multiLevelType w:val="hybridMultilevel"/>
    <w:tmpl w:val="19A66166"/>
    <w:lvl w:ilvl="0" w:tplc="DE90EBEE">
      <w:start w:val="1"/>
      <w:numFmt w:val="bullet"/>
      <w:lvlText w:val=""/>
      <w:lvlJc w:val="left"/>
      <w:pPr>
        <w:ind w:left="720" w:hanging="180"/>
      </w:pPr>
      <w:rPr>
        <w:rFonts w:ascii="Symbol" w:hAnsi="Symbol" w:hint="default"/>
      </w:rPr>
    </w:lvl>
    <w:lvl w:ilvl="1" w:tplc="C9B6EC2A">
      <w:numFmt w:val="decimal"/>
      <w:lvlText w:val=""/>
      <w:lvlJc w:val="left"/>
    </w:lvl>
    <w:lvl w:ilvl="2" w:tplc="AB382BE0">
      <w:numFmt w:val="decimal"/>
      <w:lvlText w:val=""/>
      <w:lvlJc w:val="left"/>
    </w:lvl>
    <w:lvl w:ilvl="3" w:tplc="7736B570">
      <w:numFmt w:val="decimal"/>
      <w:lvlText w:val=""/>
      <w:lvlJc w:val="left"/>
    </w:lvl>
    <w:lvl w:ilvl="4" w:tplc="18002A0A">
      <w:numFmt w:val="decimal"/>
      <w:lvlText w:val=""/>
      <w:lvlJc w:val="left"/>
    </w:lvl>
    <w:lvl w:ilvl="5" w:tplc="18722D02">
      <w:numFmt w:val="decimal"/>
      <w:lvlText w:val=""/>
      <w:lvlJc w:val="left"/>
    </w:lvl>
    <w:lvl w:ilvl="6" w:tplc="2D4E5410">
      <w:numFmt w:val="decimal"/>
      <w:lvlText w:val=""/>
      <w:lvlJc w:val="left"/>
    </w:lvl>
    <w:lvl w:ilvl="7" w:tplc="4F60925C">
      <w:numFmt w:val="decimal"/>
      <w:lvlText w:val=""/>
      <w:lvlJc w:val="left"/>
    </w:lvl>
    <w:lvl w:ilvl="8" w:tplc="681C694A">
      <w:numFmt w:val="decimal"/>
      <w:lvlText w:val=""/>
      <w:lvlJc w:val="left"/>
    </w:lvl>
  </w:abstractNum>
  <w:abstractNum w:abstractNumId="475" w15:restartNumberingAfterBreak="0">
    <w:nsid w:val="33271076"/>
    <w:multiLevelType w:val="hybridMultilevel"/>
    <w:tmpl w:val="6FAA255A"/>
    <w:lvl w:ilvl="0" w:tplc="6062FDBE">
      <w:numFmt w:val="decimal"/>
      <w:lvlText w:val=""/>
      <w:lvlJc w:val="left"/>
    </w:lvl>
    <w:lvl w:ilvl="1" w:tplc="1570D7BE">
      <w:numFmt w:val="decimal"/>
      <w:lvlText w:val=""/>
      <w:lvlJc w:val="left"/>
    </w:lvl>
    <w:lvl w:ilvl="2" w:tplc="3E56BF92">
      <w:start w:val="1"/>
      <w:numFmt w:val="bullet"/>
      <w:lvlText w:val=""/>
      <w:lvlJc w:val="left"/>
      <w:pPr>
        <w:ind w:left="2160" w:hanging="180"/>
      </w:pPr>
      <w:rPr>
        <w:rFonts w:ascii="Symbol" w:hAnsi="Symbol" w:hint="default"/>
      </w:rPr>
    </w:lvl>
    <w:lvl w:ilvl="3" w:tplc="E0687EDC">
      <w:numFmt w:val="decimal"/>
      <w:lvlText w:val=""/>
      <w:lvlJc w:val="left"/>
    </w:lvl>
    <w:lvl w:ilvl="4" w:tplc="217ACB88">
      <w:numFmt w:val="decimal"/>
      <w:lvlText w:val=""/>
      <w:lvlJc w:val="left"/>
    </w:lvl>
    <w:lvl w:ilvl="5" w:tplc="DA72FD26">
      <w:numFmt w:val="decimal"/>
      <w:lvlText w:val=""/>
      <w:lvlJc w:val="left"/>
    </w:lvl>
    <w:lvl w:ilvl="6" w:tplc="4E2AF112">
      <w:numFmt w:val="decimal"/>
      <w:lvlText w:val=""/>
      <w:lvlJc w:val="left"/>
    </w:lvl>
    <w:lvl w:ilvl="7" w:tplc="CE004F30">
      <w:numFmt w:val="decimal"/>
      <w:lvlText w:val=""/>
      <w:lvlJc w:val="left"/>
    </w:lvl>
    <w:lvl w:ilvl="8" w:tplc="784C9BB8">
      <w:numFmt w:val="decimal"/>
      <w:lvlText w:val=""/>
      <w:lvlJc w:val="left"/>
    </w:lvl>
  </w:abstractNum>
  <w:abstractNum w:abstractNumId="476" w15:restartNumberingAfterBreak="0">
    <w:nsid w:val="332A1E62"/>
    <w:multiLevelType w:val="hybridMultilevel"/>
    <w:tmpl w:val="A19A1C60"/>
    <w:lvl w:ilvl="0" w:tplc="EB781ADC">
      <w:start w:val="1"/>
      <w:numFmt w:val="bullet"/>
      <w:lvlText w:val=""/>
      <w:lvlJc w:val="left"/>
      <w:pPr>
        <w:ind w:left="720" w:hanging="180"/>
      </w:pPr>
      <w:rPr>
        <w:rFonts w:ascii="Symbol" w:hAnsi="Symbol" w:hint="default"/>
      </w:rPr>
    </w:lvl>
    <w:lvl w:ilvl="1" w:tplc="EEB677C8">
      <w:numFmt w:val="decimal"/>
      <w:lvlText w:val=""/>
      <w:lvlJc w:val="left"/>
    </w:lvl>
    <w:lvl w:ilvl="2" w:tplc="D3E219F4">
      <w:numFmt w:val="decimal"/>
      <w:lvlText w:val=""/>
      <w:lvlJc w:val="left"/>
    </w:lvl>
    <w:lvl w:ilvl="3" w:tplc="2D22F6E6">
      <w:numFmt w:val="decimal"/>
      <w:lvlText w:val=""/>
      <w:lvlJc w:val="left"/>
    </w:lvl>
    <w:lvl w:ilvl="4" w:tplc="8ABA8314">
      <w:numFmt w:val="decimal"/>
      <w:lvlText w:val=""/>
      <w:lvlJc w:val="left"/>
    </w:lvl>
    <w:lvl w:ilvl="5" w:tplc="FA9E3CF2">
      <w:numFmt w:val="decimal"/>
      <w:lvlText w:val=""/>
      <w:lvlJc w:val="left"/>
    </w:lvl>
    <w:lvl w:ilvl="6" w:tplc="8348DC9C">
      <w:numFmt w:val="decimal"/>
      <w:lvlText w:val=""/>
      <w:lvlJc w:val="left"/>
    </w:lvl>
    <w:lvl w:ilvl="7" w:tplc="F97A728C">
      <w:numFmt w:val="decimal"/>
      <w:lvlText w:val=""/>
      <w:lvlJc w:val="left"/>
    </w:lvl>
    <w:lvl w:ilvl="8" w:tplc="BFD27BE0">
      <w:numFmt w:val="decimal"/>
      <w:lvlText w:val=""/>
      <w:lvlJc w:val="left"/>
    </w:lvl>
  </w:abstractNum>
  <w:abstractNum w:abstractNumId="477" w15:restartNumberingAfterBreak="0">
    <w:nsid w:val="333E02FA"/>
    <w:multiLevelType w:val="hybridMultilevel"/>
    <w:tmpl w:val="C824B1B8"/>
    <w:lvl w:ilvl="0" w:tplc="4C6E7D92">
      <w:start w:val="1"/>
      <w:numFmt w:val="bullet"/>
      <w:lvlText w:val=""/>
      <w:lvlJc w:val="left"/>
      <w:pPr>
        <w:ind w:left="720" w:hanging="180"/>
      </w:pPr>
      <w:rPr>
        <w:rFonts w:ascii="Symbol" w:hAnsi="Symbol" w:hint="default"/>
      </w:rPr>
    </w:lvl>
    <w:lvl w:ilvl="1" w:tplc="C93A5124">
      <w:numFmt w:val="decimal"/>
      <w:lvlText w:val=""/>
      <w:lvlJc w:val="left"/>
    </w:lvl>
    <w:lvl w:ilvl="2" w:tplc="4DA08260">
      <w:numFmt w:val="decimal"/>
      <w:lvlText w:val=""/>
      <w:lvlJc w:val="left"/>
    </w:lvl>
    <w:lvl w:ilvl="3" w:tplc="31B8D152">
      <w:numFmt w:val="decimal"/>
      <w:lvlText w:val=""/>
      <w:lvlJc w:val="left"/>
    </w:lvl>
    <w:lvl w:ilvl="4" w:tplc="B08C661E">
      <w:numFmt w:val="decimal"/>
      <w:lvlText w:val=""/>
      <w:lvlJc w:val="left"/>
    </w:lvl>
    <w:lvl w:ilvl="5" w:tplc="E4925C12">
      <w:numFmt w:val="decimal"/>
      <w:lvlText w:val=""/>
      <w:lvlJc w:val="left"/>
    </w:lvl>
    <w:lvl w:ilvl="6" w:tplc="8BEA1174">
      <w:numFmt w:val="decimal"/>
      <w:lvlText w:val=""/>
      <w:lvlJc w:val="left"/>
    </w:lvl>
    <w:lvl w:ilvl="7" w:tplc="EBACEB62">
      <w:numFmt w:val="decimal"/>
      <w:lvlText w:val=""/>
      <w:lvlJc w:val="left"/>
    </w:lvl>
    <w:lvl w:ilvl="8" w:tplc="8E20CAD8">
      <w:numFmt w:val="decimal"/>
      <w:lvlText w:val=""/>
      <w:lvlJc w:val="left"/>
    </w:lvl>
  </w:abstractNum>
  <w:abstractNum w:abstractNumId="478" w15:restartNumberingAfterBreak="0">
    <w:nsid w:val="334E7F11"/>
    <w:multiLevelType w:val="hybridMultilevel"/>
    <w:tmpl w:val="19983D26"/>
    <w:lvl w:ilvl="0" w:tplc="6FD6ED00">
      <w:start w:val="1"/>
      <w:numFmt w:val="bullet"/>
      <w:lvlText w:val=""/>
      <w:lvlJc w:val="left"/>
      <w:pPr>
        <w:ind w:left="720" w:hanging="180"/>
      </w:pPr>
      <w:rPr>
        <w:rFonts w:ascii="Symbol" w:hAnsi="Symbol" w:hint="default"/>
      </w:rPr>
    </w:lvl>
    <w:lvl w:ilvl="1" w:tplc="B4687DEA">
      <w:numFmt w:val="decimal"/>
      <w:lvlText w:val=""/>
      <w:lvlJc w:val="left"/>
    </w:lvl>
    <w:lvl w:ilvl="2" w:tplc="E9BC59E4">
      <w:numFmt w:val="decimal"/>
      <w:lvlText w:val=""/>
      <w:lvlJc w:val="left"/>
    </w:lvl>
    <w:lvl w:ilvl="3" w:tplc="D7BABC28">
      <w:numFmt w:val="decimal"/>
      <w:lvlText w:val=""/>
      <w:lvlJc w:val="left"/>
    </w:lvl>
    <w:lvl w:ilvl="4" w:tplc="D2A83142">
      <w:numFmt w:val="decimal"/>
      <w:lvlText w:val=""/>
      <w:lvlJc w:val="left"/>
    </w:lvl>
    <w:lvl w:ilvl="5" w:tplc="06FA0052">
      <w:numFmt w:val="decimal"/>
      <w:lvlText w:val=""/>
      <w:lvlJc w:val="left"/>
    </w:lvl>
    <w:lvl w:ilvl="6" w:tplc="9592912A">
      <w:numFmt w:val="decimal"/>
      <w:lvlText w:val=""/>
      <w:lvlJc w:val="left"/>
    </w:lvl>
    <w:lvl w:ilvl="7" w:tplc="9F5E8506">
      <w:numFmt w:val="decimal"/>
      <w:lvlText w:val=""/>
      <w:lvlJc w:val="left"/>
    </w:lvl>
    <w:lvl w:ilvl="8" w:tplc="A24E06AE">
      <w:numFmt w:val="decimal"/>
      <w:lvlText w:val=""/>
      <w:lvlJc w:val="left"/>
    </w:lvl>
  </w:abstractNum>
  <w:abstractNum w:abstractNumId="479" w15:restartNumberingAfterBreak="0">
    <w:nsid w:val="336579F5"/>
    <w:multiLevelType w:val="hybridMultilevel"/>
    <w:tmpl w:val="F5067874"/>
    <w:lvl w:ilvl="0" w:tplc="921EFC10">
      <w:start w:val="1"/>
      <w:numFmt w:val="bullet"/>
      <w:lvlText w:val=""/>
      <w:lvlJc w:val="left"/>
      <w:pPr>
        <w:ind w:left="720" w:hanging="180"/>
      </w:pPr>
      <w:rPr>
        <w:rFonts w:ascii="Symbol" w:hAnsi="Symbol" w:hint="default"/>
      </w:rPr>
    </w:lvl>
    <w:lvl w:ilvl="1" w:tplc="857EB5D8">
      <w:numFmt w:val="decimal"/>
      <w:lvlText w:val=""/>
      <w:lvlJc w:val="left"/>
    </w:lvl>
    <w:lvl w:ilvl="2" w:tplc="9B5C9E14">
      <w:numFmt w:val="decimal"/>
      <w:lvlText w:val=""/>
      <w:lvlJc w:val="left"/>
    </w:lvl>
    <w:lvl w:ilvl="3" w:tplc="CBDAEA14">
      <w:numFmt w:val="decimal"/>
      <w:lvlText w:val=""/>
      <w:lvlJc w:val="left"/>
    </w:lvl>
    <w:lvl w:ilvl="4" w:tplc="9B2EBBB8">
      <w:numFmt w:val="decimal"/>
      <w:lvlText w:val=""/>
      <w:lvlJc w:val="left"/>
    </w:lvl>
    <w:lvl w:ilvl="5" w:tplc="0AC6CA32">
      <w:numFmt w:val="decimal"/>
      <w:lvlText w:val=""/>
      <w:lvlJc w:val="left"/>
    </w:lvl>
    <w:lvl w:ilvl="6" w:tplc="6F08F1DC">
      <w:numFmt w:val="decimal"/>
      <w:lvlText w:val=""/>
      <w:lvlJc w:val="left"/>
    </w:lvl>
    <w:lvl w:ilvl="7" w:tplc="2F7294D6">
      <w:numFmt w:val="decimal"/>
      <w:lvlText w:val=""/>
      <w:lvlJc w:val="left"/>
    </w:lvl>
    <w:lvl w:ilvl="8" w:tplc="6A86240C">
      <w:numFmt w:val="decimal"/>
      <w:lvlText w:val=""/>
      <w:lvlJc w:val="left"/>
    </w:lvl>
  </w:abstractNum>
  <w:abstractNum w:abstractNumId="480" w15:restartNumberingAfterBreak="0">
    <w:nsid w:val="337122D4"/>
    <w:multiLevelType w:val="hybridMultilevel"/>
    <w:tmpl w:val="BADE7C5C"/>
    <w:lvl w:ilvl="0" w:tplc="36E8D71E">
      <w:start w:val="1"/>
      <w:numFmt w:val="bullet"/>
      <w:lvlText w:val=""/>
      <w:lvlJc w:val="left"/>
      <w:pPr>
        <w:ind w:left="720" w:hanging="180"/>
      </w:pPr>
      <w:rPr>
        <w:rFonts w:ascii="Symbol" w:hAnsi="Symbol" w:hint="default"/>
      </w:rPr>
    </w:lvl>
    <w:lvl w:ilvl="1" w:tplc="2646A27E">
      <w:numFmt w:val="decimal"/>
      <w:lvlText w:val=""/>
      <w:lvlJc w:val="left"/>
    </w:lvl>
    <w:lvl w:ilvl="2" w:tplc="319A26C6">
      <w:numFmt w:val="decimal"/>
      <w:lvlText w:val=""/>
      <w:lvlJc w:val="left"/>
    </w:lvl>
    <w:lvl w:ilvl="3" w:tplc="F828B142">
      <w:numFmt w:val="decimal"/>
      <w:lvlText w:val=""/>
      <w:lvlJc w:val="left"/>
    </w:lvl>
    <w:lvl w:ilvl="4" w:tplc="CD860FA4">
      <w:numFmt w:val="decimal"/>
      <w:lvlText w:val=""/>
      <w:lvlJc w:val="left"/>
    </w:lvl>
    <w:lvl w:ilvl="5" w:tplc="8400879C">
      <w:numFmt w:val="decimal"/>
      <w:lvlText w:val=""/>
      <w:lvlJc w:val="left"/>
    </w:lvl>
    <w:lvl w:ilvl="6" w:tplc="D37CDFF8">
      <w:numFmt w:val="decimal"/>
      <w:lvlText w:val=""/>
      <w:lvlJc w:val="left"/>
    </w:lvl>
    <w:lvl w:ilvl="7" w:tplc="BA32B69C">
      <w:numFmt w:val="decimal"/>
      <w:lvlText w:val=""/>
      <w:lvlJc w:val="left"/>
    </w:lvl>
    <w:lvl w:ilvl="8" w:tplc="33826DF8">
      <w:numFmt w:val="decimal"/>
      <w:lvlText w:val=""/>
      <w:lvlJc w:val="left"/>
    </w:lvl>
  </w:abstractNum>
  <w:abstractNum w:abstractNumId="481" w15:restartNumberingAfterBreak="0">
    <w:nsid w:val="337145B4"/>
    <w:multiLevelType w:val="hybridMultilevel"/>
    <w:tmpl w:val="7E169196"/>
    <w:lvl w:ilvl="0" w:tplc="B6AC9AC6">
      <w:start w:val="1"/>
      <w:numFmt w:val="bullet"/>
      <w:lvlText w:val=""/>
      <w:lvlJc w:val="left"/>
      <w:pPr>
        <w:ind w:left="720" w:hanging="180"/>
      </w:pPr>
      <w:rPr>
        <w:rFonts w:ascii="Symbol" w:hAnsi="Symbol" w:hint="default"/>
      </w:rPr>
    </w:lvl>
    <w:lvl w:ilvl="1" w:tplc="250239A4">
      <w:numFmt w:val="decimal"/>
      <w:lvlText w:val=""/>
      <w:lvlJc w:val="left"/>
    </w:lvl>
    <w:lvl w:ilvl="2" w:tplc="C98A574A">
      <w:numFmt w:val="decimal"/>
      <w:lvlText w:val=""/>
      <w:lvlJc w:val="left"/>
    </w:lvl>
    <w:lvl w:ilvl="3" w:tplc="49CA5250">
      <w:numFmt w:val="decimal"/>
      <w:lvlText w:val=""/>
      <w:lvlJc w:val="left"/>
    </w:lvl>
    <w:lvl w:ilvl="4" w:tplc="1CC040F6">
      <w:numFmt w:val="decimal"/>
      <w:lvlText w:val=""/>
      <w:lvlJc w:val="left"/>
    </w:lvl>
    <w:lvl w:ilvl="5" w:tplc="9E2EC0BA">
      <w:numFmt w:val="decimal"/>
      <w:lvlText w:val=""/>
      <w:lvlJc w:val="left"/>
    </w:lvl>
    <w:lvl w:ilvl="6" w:tplc="3DC2B6E6">
      <w:numFmt w:val="decimal"/>
      <w:lvlText w:val=""/>
      <w:lvlJc w:val="left"/>
    </w:lvl>
    <w:lvl w:ilvl="7" w:tplc="2B00F882">
      <w:numFmt w:val="decimal"/>
      <w:lvlText w:val=""/>
      <w:lvlJc w:val="left"/>
    </w:lvl>
    <w:lvl w:ilvl="8" w:tplc="212045D8">
      <w:numFmt w:val="decimal"/>
      <w:lvlText w:val=""/>
      <w:lvlJc w:val="left"/>
    </w:lvl>
  </w:abstractNum>
  <w:abstractNum w:abstractNumId="482" w15:restartNumberingAfterBreak="0">
    <w:nsid w:val="33894C31"/>
    <w:multiLevelType w:val="hybridMultilevel"/>
    <w:tmpl w:val="85B87914"/>
    <w:lvl w:ilvl="0" w:tplc="8620F136">
      <w:numFmt w:val="decimal"/>
      <w:lvlText w:val=""/>
      <w:lvlJc w:val="left"/>
    </w:lvl>
    <w:lvl w:ilvl="1" w:tplc="5D1C754E">
      <w:start w:val="1"/>
      <w:numFmt w:val="bullet"/>
      <w:lvlText w:val=""/>
      <w:lvlJc w:val="left"/>
      <w:pPr>
        <w:ind w:left="1440" w:hanging="180"/>
      </w:pPr>
      <w:rPr>
        <w:rFonts w:ascii="Symbol" w:hAnsi="Symbol" w:hint="default"/>
      </w:rPr>
    </w:lvl>
    <w:lvl w:ilvl="2" w:tplc="CEB46AF4">
      <w:numFmt w:val="decimal"/>
      <w:lvlText w:val=""/>
      <w:lvlJc w:val="left"/>
    </w:lvl>
    <w:lvl w:ilvl="3" w:tplc="823A4CC8">
      <w:numFmt w:val="decimal"/>
      <w:lvlText w:val=""/>
      <w:lvlJc w:val="left"/>
    </w:lvl>
    <w:lvl w:ilvl="4" w:tplc="21B211BA">
      <w:numFmt w:val="decimal"/>
      <w:lvlText w:val=""/>
      <w:lvlJc w:val="left"/>
    </w:lvl>
    <w:lvl w:ilvl="5" w:tplc="7B4A3D20">
      <w:numFmt w:val="decimal"/>
      <w:lvlText w:val=""/>
      <w:lvlJc w:val="left"/>
    </w:lvl>
    <w:lvl w:ilvl="6" w:tplc="6310DF5C">
      <w:numFmt w:val="decimal"/>
      <w:lvlText w:val=""/>
      <w:lvlJc w:val="left"/>
    </w:lvl>
    <w:lvl w:ilvl="7" w:tplc="6B4E1D02">
      <w:numFmt w:val="decimal"/>
      <w:lvlText w:val=""/>
      <w:lvlJc w:val="left"/>
    </w:lvl>
    <w:lvl w:ilvl="8" w:tplc="56241374">
      <w:numFmt w:val="decimal"/>
      <w:lvlText w:val=""/>
      <w:lvlJc w:val="left"/>
    </w:lvl>
  </w:abstractNum>
  <w:abstractNum w:abstractNumId="483" w15:restartNumberingAfterBreak="0">
    <w:nsid w:val="33904FB3"/>
    <w:multiLevelType w:val="hybridMultilevel"/>
    <w:tmpl w:val="BB30A026"/>
    <w:lvl w:ilvl="0" w:tplc="48288046">
      <w:start w:val="1"/>
      <w:numFmt w:val="bullet"/>
      <w:lvlText w:val=""/>
      <w:lvlJc w:val="left"/>
      <w:pPr>
        <w:ind w:left="720" w:hanging="180"/>
      </w:pPr>
      <w:rPr>
        <w:rFonts w:ascii="Symbol" w:hAnsi="Symbol" w:hint="default"/>
      </w:rPr>
    </w:lvl>
    <w:lvl w:ilvl="1" w:tplc="7E5E7708">
      <w:numFmt w:val="decimal"/>
      <w:lvlText w:val=""/>
      <w:lvlJc w:val="left"/>
    </w:lvl>
    <w:lvl w:ilvl="2" w:tplc="CD2A6B50">
      <w:numFmt w:val="decimal"/>
      <w:lvlText w:val=""/>
      <w:lvlJc w:val="left"/>
    </w:lvl>
    <w:lvl w:ilvl="3" w:tplc="4DE48FEE">
      <w:numFmt w:val="decimal"/>
      <w:lvlText w:val=""/>
      <w:lvlJc w:val="left"/>
    </w:lvl>
    <w:lvl w:ilvl="4" w:tplc="2CD8E8C4">
      <w:numFmt w:val="decimal"/>
      <w:lvlText w:val=""/>
      <w:lvlJc w:val="left"/>
    </w:lvl>
    <w:lvl w:ilvl="5" w:tplc="600C4516">
      <w:numFmt w:val="decimal"/>
      <w:lvlText w:val=""/>
      <w:lvlJc w:val="left"/>
    </w:lvl>
    <w:lvl w:ilvl="6" w:tplc="AEEE64F2">
      <w:numFmt w:val="decimal"/>
      <w:lvlText w:val=""/>
      <w:lvlJc w:val="left"/>
    </w:lvl>
    <w:lvl w:ilvl="7" w:tplc="07CEAB94">
      <w:numFmt w:val="decimal"/>
      <w:lvlText w:val=""/>
      <w:lvlJc w:val="left"/>
    </w:lvl>
    <w:lvl w:ilvl="8" w:tplc="F8E4FD3E">
      <w:numFmt w:val="decimal"/>
      <w:lvlText w:val=""/>
      <w:lvlJc w:val="left"/>
    </w:lvl>
  </w:abstractNum>
  <w:abstractNum w:abstractNumId="484" w15:restartNumberingAfterBreak="0">
    <w:nsid w:val="33992815"/>
    <w:multiLevelType w:val="hybridMultilevel"/>
    <w:tmpl w:val="E88C0A7A"/>
    <w:lvl w:ilvl="0" w:tplc="289A21DC">
      <w:start w:val="1"/>
      <w:numFmt w:val="bullet"/>
      <w:lvlText w:val=""/>
      <w:lvlJc w:val="left"/>
      <w:pPr>
        <w:ind w:left="720" w:hanging="180"/>
      </w:pPr>
      <w:rPr>
        <w:rFonts w:ascii="Symbol" w:hAnsi="Symbol" w:hint="default"/>
      </w:rPr>
    </w:lvl>
    <w:lvl w:ilvl="1" w:tplc="3A64744C">
      <w:numFmt w:val="decimal"/>
      <w:lvlText w:val=""/>
      <w:lvlJc w:val="left"/>
    </w:lvl>
    <w:lvl w:ilvl="2" w:tplc="F77E20B8">
      <w:numFmt w:val="decimal"/>
      <w:lvlText w:val=""/>
      <w:lvlJc w:val="left"/>
    </w:lvl>
    <w:lvl w:ilvl="3" w:tplc="87A8A626">
      <w:numFmt w:val="decimal"/>
      <w:lvlText w:val=""/>
      <w:lvlJc w:val="left"/>
    </w:lvl>
    <w:lvl w:ilvl="4" w:tplc="7FF2D1A0">
      <w:numFmt w:val="decimal"/>
      <w:lvlText w:val=""/>
      <w:lvlJc w:val="left"/>
    </w:lvl>
    <w:lvl w:ilvl="5" w:tplc="8A4AC9A6">
      <w:numFmt w:val="decimal"/>
      <w:lvlText w:val=""/>
      <w:lvlJc w:val="left"/>
    </w:lvl>
    <w:lvl w:ilvl="6" w:tplc="9C2E2036">
      <w:numFmt w:val="decimal"/>
      <w:lvlText w:val=""/>
      <w:lvlJc w:val="left"/>
    </w:lvl>
    <w:lvl w:ilvl="7" w:tplc="28DC09E0">
      <w:numFmt w:val="decimal"/>
      <w:lvlText w:val=""/>
      <w:lvlJc w:val="left"/>
    </w:lvl>
    <w:lvl w:ilvl="8" w:tplc="2E62DE3C">
      <w:numFmt w:val="decimal"/>
      <w:lvlText w:val=""/>
      <w:lvlJc w:val="left"/>
    </w:lvl>
  </w:abstractNum>
  <w:abstractNum w:abstractNumId="485" w15:restartNumberingAfterBreak="0">
    <w:nsid w:val="33AA40EB"/>
    <w:multiLevelType w:val="hybridMultilevel"/>
    <w:tmpl w:val="81DC664E"/>
    <w:lvl w:ilvl="0" w:tplc="232CA452">
      <w:start w:val="1"/>
      <w:numFmt w:val="bullet"/>
      <w:lvlText w:val=""/>
      <w:lvlJc w:val="left"/>
      <w:pPr>
        <w:ind w:left="720" w:hanging="180"/>
      </w:pPr>
      <w:rPr>
        <w:rFonts w:ascii="Symbol" w:hAnsi="Symbol" w:hint="default"/>
      </w:rPr>
    </w:lvl>
    <w:lvl w:ilvl="1" w:tplc="87703888">
      <w:numFmt w:val="decimal"/>
      <w:lvlText w:val=""/>
      <w:lvlJc w:val="left"/>
    </w:lvl>
    <w:lvl w:ilvl="2" w:tplc="09A42364">
      <w:numFmt w:val="decimal"/>
      <w:lvlText w:val=""/>
      <w:lvlJc w:val="left"/>
    </w:lvl>
    <w:lvl w:ilvl="3" w:tplc="1E90D152">
      <w:numFmt w:val="decimal"/>
      <w:lvlText w:val=""/>
      <w:lvlJc w:val="left"/>
    </w:lvl>
    <w:lvl w:ilvl="4" w:tplc="C374C754">
      <w:numFmt w:val="decimal"/>
      <w:lvlText w:val=""/>
      <w:lvlJc w:val="left"/>
    </w:lvl>
    <w:lvl w:ilvl="5" w:tplc="6C3E1B84">
      <w:numFmt w:val="decimal"/>
      <w:lvlText w:val=""/>
      <w:lvlJc w:val="left"/>
    </w:lvl>
    <w:lvl w:ilvl="6" w:tplc="065C4170">
      <w:numFmt w:val="decimal"/>
      <w:lvlText w:val=""/>
      <w:lvlJc w:val="left"/>
    </w:lvl>
    <w:lvl w:ilvl="7" w:tplc="E7AC31E6">
      <w:numFmt w:val="decimal"/>
      <w:lvlText w:val=""/>
      <w:lvlJc w:val="left"/>
    </w:lvl>
    <w:lvl w:ilvl="8" w:tplc="D5D4A0C0">
      <w:numFmt w:val="decimal"/>
      <w:lvlText w:val=""/>
      <w:lvlJc w:val="left"/>
    </w:lvl>
  </w:abstractNum>
  <w:abstractNum w:abstractNumId="486" w15:restartNumberingAfterBreak="0">
    <w:nsid w:val="33B74216"/>
    <w:multiLevelType w:val="hybridMultilevel"/>
    <w:tmpl w:val="EB8A9916"/>
    <w:lvl w:ilvl="0" w:tplc="547EF3A4">
      <w:start w:val="1"/>
      <w:numFmt w:val="bullet"/>
      <w:lvlText w:val=""/>
      <w:lvlJc w:val="left"/>
      <w:pPr>
        <w:ind w:left="720" w:hanging="180"/>
      </w:pPr>
      <w:rPr>
        <w:rFonts w:ascii="Symbol" w:hAnsi="Symbol" w:hint="default"/>
      </w:rPr>
    </w:lvl>
    <w:lvl w:ilvl="1" w:tplc="6090D92A">
      <w:numFmt w:val="decimal"/>
      <w:lvlText w:val=""/>
      <w:lvlJc w:val="left"/>
    </w:lvl>
    <w:lvl w:ilvl="2" w:tplc="A3CAED2A">
      <w:numFmt w:val="decimal"/>
      <w:lvlText w:val=""/>
      <w:lvlJc w:val="left"/>
    </w:lvl>
    <w:lvl w:ilvl="3" w:tplc="269C8BAA">
      <w:numFmt w:val="decimal"/>
      <w:lvlText w:val=""/>
      <w:lvlJc w:val="left"/>
    </w:lvl>
    <w:lvl w:ilvl="4" w:tplc="92401A46">
      <w:numFmt w:val="decimal"/>
      <w:lvlText w:val=""/>
      <w:lvlJc w:val="left"/>
    </w:lvl>
    <w:lvl w:ilvl="5" w:tplc="2EBC543A">
      <w:numFmt w:val="decimal"/>
      <w:lvlText w:val=""/>
      <w:lvlJc w:val="left"/>
    </w:lvl>
    <w:lvl w:ilvl="6" w:tplc="B1B4E45C">
      <w:numFmt w:val="decimal"/>
      <w:lvlText w:val=""/>
      <w:lvlJc w:val="left"/>
    </w:lvl>
    <w:lvl w:ilvl="7" w:tplc="4F76BBCC">
      <w:numFmt w:val="decimal"/>
      <w:lvlText w:val=""/>
      <w:lvlJc w:val="left"/>
    </w:lvl>
    <w:lvl w:ilvl="8" w:tplc="0352E28A">
      <w:numFmt w:val="decimal"/>
      <w:lvlText w:val=""/>
      <w:lvlJc w:val="left"/>
    </w:lvl>
  </w:abstractNum>
  <w:abstractNum w:abstractNumId="487" w15:restartNumberingAfterBreak="0">
    <w:nsid w:val="33CD6FC6"/>
    <w:multiLevelType w:val="hybridMultilevel"/>
    <w:tmpl w:val="A15CBEAC"/>
    <w:lvl w:ilvl="0" w:tplc="63729D28">
      <w:start w:val="1"/>
      <w:numFmt w:val="bullet"/>
      <w:lvlText w:val=""/>
      <w:lvlJc w:val="left"/>
      <w:pPr>
        <w:ind w:left="720" w:hanging="180"/>
      </w:pPr>
      <w:rPr>
        <w:rFonts w:ascii="Symbol" w:hAnsi="Symbol" w:hint="default"/>
      </w:rPr>
    </w:lvl>
    <w:lvl w:ilvl="1" w:tplc="8EDC26D4">
      <w:numFmt w:val="decimal"/>
      <w:lvlText w:val=""/>
      <w:lvlJc w:val="left"/>
    </w:lvl>
    <w:lvl w:ilvl="2" w:tplc="E3560BE0">
      <w:numFmt w:val="decimal"/>
      <w:lvlText w:val=""/>
      <w:lvlJc w:val="left"/>
    </w:lvl>
    <w:lvl w:ilvl="3" w:tplc="DB1447AE">
      <w:numFmt w:val="decimal"/>
      <w:lvlText w:val=""/>
      <w:lvlJc w:val="left"/>
    </w:lvl>
    <w:lvl w:ilvl="4" w:tplc="4AB8F686">
      <w:numFmt w:val="decimal"/>
      <w:lvlText w:val=""/>
      <w:lvlJc w:val="left"/>
    </w:lvl>
    <w:lvl w:ilvl="5" w:tplc="FBBA9888">
      <w:numFmt w:val="decimal"/>
      <w:lvlText w:val=""/>
      <w:lvlJc w:val="left"/>
    </w:lvl>
    <w:lvl w:ilvl="6" w:tplc="490EEAD2">
      <w:numFmt w:val="decimal"/>
      <w:lvlText w:val=""/>
      <w:lvlJc w:val="left"/>
    </w:lvl>
    <w:lvl w:ilvl="7" w:tplc="3BE64DD6">
      <w:numFmt w:val="decimal"/>
      <w:lvlText w:val=""/>
      <w:lvlJc w:val="left"/>
    </w:lvl>
    <w:lvl w:ilvl="8" w:tplc="86888AE8">
      <w:numFmt w:val="decimal"/>
      <w:lvlText w:val=""/>
      <w:lvlJc w:val="left"/>
    </w:lvl>
  </w:abstractNum>
  <w:abstractNum w:abstractNumId="488" w15:restartNumberingAfterBreak="0">
    <w:nsid w:val="340A1149"/>
    <w:multiLevelType w:val="hybridMultilevel"/>
    <w:tmpl w:val="9B64DF38"/>
    <w:lvl w:ilvl="0" w:tplc="1F80D6A8">
      <w:start w:val="1"/>
      <w:numFmt w:val="bullet"/>
      <w:lvlText w:val=""/>
      <w:lvlJc w:val="left"/>
      <w:pPr>
        <w:ind w:left="720" w:hanging="180"/>
      </w:pPr>
      <w:rPr>
        <w:rFonts w:ascii="Symbol" w:hAnsi="Symbol" w:hint="default"/>
      </w:rPr>
    </w:lvl>
    <w:lvl w:ilvl="1" w:tplc="709805F8">
      <w:numFmt w:val="decimal"/>
      <w:lvlText w:val=""/>
      <w:lvlJc w:val="left"/>
    </w:lvl>
    <w:lvl w:ilvl="2" w:tplc="3C62FDD2">
      <w:numFmt w:val="decimal"/>
      <w:lvlText w:val=""/>
      <w:lvlJc w:val="left"/>
    </w:lvl>
    <w:lvl w:ilvl="3" w:tplc="02D0283C">
      <w:numFmt w:val="decimal"/>
      <w:lvlText w:val=""/>
      <w:lvlJc w:val="left"/>
    </w:lvl>
    <w:lvl w:ilvl="4" w:tplc="DA2C8A94">
      <w:numFmt w:val="decimal"/>
      <w:lvlText w:val=""/>
      <w:lvlJc w:val="left"/>
    </w:lvl>
    <w:lvl w:ilvl="5" w:tplc="CDA01038">
      <w:numFmt w:val="decimal"/>
      <w:lvlText w:val=""/>
      <w:lvlJc w:val="left"/>
    </w:lvl>
    <w:lvl w:ilvl="6" w:tplc="A6348FFC">
      <w:numFmt w:val="decimal"/>
      <w:lvlText w:val=""/>
      <w:lvlJc w:val="left"/>
    </w:lvl>
    <w:lvl w:ilvl="7" w:tplc="60B0A1F4">
      <w:numFmt w:val="decimal"/>
      <w:lvlText w:val=""/>
      <w:lvlJc w:val="left"/>
    </w:lvl>
    <w:lvl w:ilvl="8" w:tplc="76E0CD34">
      <w:numFmt w:val="decimal"/>
      <w:lvlText w:val=""/>
      <w:lvlJc w:val="left"/>
    </w:lvl>
  </w:abstractNum>
  <w:abstractNum w:abstractNumId="489" w15:restartNumberingAfterBreak="0">
    <w:nsid w:val="341E1A1E"/>
    <w:multiLevelType w:val="hybridMultilevel"/>
    <w:tmpl w:val="62885A4C"/>
    <w:lvl w:ilvl="0" w:tplc="7C949D48">
      <w:start w:val="1"/>
      <w:numFmt w:val="bullet"/>
      <w:lvlText w:val=""/>
      <w:lvlJc w:val="left"/>
      <w:pPr>
        <w:ind w:left="720" w:hanging="180"/>
      </w:pPr>
      <w:rPr>
        <w:rFonts w:ascii="Symbol" w:hAnsi="Symbol" w:hint="default"/>
      </w:rPr>
    </w:lvl>
    <w:lvl w:ilvl="1" w:tplc="387A03AC">
      <w:numFmt w:val="decimal"/>
      <w:lvlText w:val=""/>
      <w:lvlJc w:val="left"/>
    </w:lvl>
    <w:lvl w:ilvl="2" w:tplc="3E1AD698">
      <w:numFmt w:val="decimal"/>
      <w:lvlText w:val=""/>
      <w:lvlJc w:val="left"/>
    </w:lvl>
    <w:lvl w:ilvl="3" w:tplc="15B07CF8">
      <w:numFmt w:val="decimal"/>
      <w:lvlText w:val=""/>
      <w:lvlJc w:val="left"/>
    </w:lvl>
    <w:lvl w:ilvl="4" w:tplc="DB98EA1E">
      <w:numFmt w:val="decimal"/>
      <w:lvlText w:val=""/>
      <w:lvlJc w:val="left"/>
    </w:lvl>
    <w:lvl w:ilvl="5" w:tplc="366405F4">
      <w:numFmt w:val="decimal"/>
      <w:lvlText w:val=""/>
      <w:lvlJc w:val="left"/>
    </w:lvl>
    <w:lvl w:ilvl="6" w:tplc="9DD69854">
      <w:numFmt w:val="decimal"/>
      <w:lvlText w:val=""/>
      <w:lvlJc w:val="left"/>
    </w:lvl>
    <w:lvl w:ilvl="7" w:tplc="32E86214">
      <w:numFmt w:val="decimal"/>
      <w:lvlText w:val=""/>
      <w:lvlJc w:val="left"/>
    </w:lvl>
    <w:lvl w:ilvl="8" w:tplc="187482C6">
      <w:numFmt w:val="decimal"/>
      <w:lvlText w:val=""/>
      <w:lvlJc w:val="left"/>
    </w:lvl>
  </w:abstractNum>
  <w:abstractNum w:abstractNumId="490" w15:restartNumberingAfterBreak="0">
    <w:nsid w:val="341F3FA4"/>
    <w:multiLevelType w:val="hybridMultilevel"/>
    <w:tmpl w:val="87BCD04E"/>
    <w:lvl w:ilvl="0" w:tplc="C2282636">
      <w:start w:val="1"/>
      <w:numFmt w:val="bullet"/>
      <w:lvlText w:val=""/>
      <w:lvlJc w:val="left"/>
      <w:pPr>
        <w:ind w:left="720" w:hanging="180"/>
      </w:pPr>
      <w:rPr>
        <w:rFonts w:ascii="Symbol" w:hAnsi="Symbol" w:hint="default"/>
      </w:rPr>
    </w:lvl>
    <w:lvl w:ilvl="1" w:tplc="64B05472">
      <w:numFmt w:val="decimal"/>
      <w:lvlText w:val=""/>
      <w:lvlJc w:val="left"/>
    </w:lvl>
    <w:lvl w:ilvl="2" w:tplc="F98AE804">
      <w:numFmt w:val="decimal"/>
      <w:lvlText w:val=""/>
      <w:lvlJc w:val="left"/>
    </w:lvl>
    <w:lvl w:ilvl="3" w:tplc="6F8CEB00">
      <w:numFmt w:val="decimal"/>
      <w:lvlText w:val=""/>
      <w:lvlJc w:val="left"/>
    </w:lvl>
    <w:lvl w:ilvl="4" w:tplc="27A067D8">
      <w:numFmt w:val="decimal"/>
      <w:lvlText w:val=""/>
      <w:lvlJc w:val="left"/>
    </w:lvl>
    <w:lvl w:ilvl="5" w:tplc="45902C6A">
      <w:numFmt w:val="decimal"/>
      <w:lvlText w:val=""/>
      <w:lvlJc w:val="left"/>
    </w:lvl>
    <w:lvl w:ilvl="6" w:tplc="4C20C3A8">
      <w:numFmt w:val="decimal"/>
      <w:lvlText w:val=""/>
      <w:lvlJc w:val="left"/>
    </w:lvl>
    <w:lvl w:ilvl="7" w:tplc="BD748A3A">
      <w:numFmt w:val="decimal"/>
      <w:lvlText w:val=""/>
      <w:lvlJc w:val="left"/>
    </w:lvl>
    <w:lvl w:ilvl="8" w:tplc="700609B8">
      <w:numFmt w:val="decimal"/>
      <w:lvlText w:val=""/>
      <w:lvlJc w:val="left"/>
    </w:lvl>
  </w:abstractNum>
  <w:abstractNum w:abstractNumId="491" w15:restartNumberingAfterBreak="0">
    <w:nsid w:val="34914ACF"/>
    <w:multiLevelType w:val="hybridMultilevel"/>
    <w:tmpl w:val="3A2273EC"/>
    <w:lvl w:ilvl="0" w:tplc="A50417EA">
      <w:start w:val="1"/>
      <w:numFmt w:val="bullet"/>
      <w:lvlText w:val=""/>
      <w:lvlJc w:val="left"/>
      <w:pPr>
        <w:ind w:left="720" w:hanging="180"/>
      </w:pPr>
      <w:rPr>
        <w:rFonts w:ascii="Symbol" w:hAnsi="Symbol" w:hint="default"/>
      </w:rPr>
    </w:lvl>
    <w:lvl w:ilvl="1" w:tplc="E12CEA2C">
      <w:numFmt w:val="decimal"/>
      <w:lvlText w:val=""/>
      <w:lvlJc w:val="left"/>
    </w:lvl>
    <w:lvl w:ilvl="2" w:tplc="425C390E">
      <w:numFmt w:val="decimal"/>
      <w:lvlText w:val=""/>
      <w:lvlJc w:val="left"/>
    </w:lvl>
    <w:lvl w:ilvl="3" w:tplc="54C68CDA">
      <w:numFmt w:val="decimal"/>
      <w:lvlText w:val=""/>
      <w:lvlJc w:val="left"/>
    </w:lvl>
    <w:lvl w:ilvl="4" w:tplc="1B1C4CE2">
      <w:numFmt w:val="decimal"/>
      <w:lvlText w:val=""/>
      <w:lvlJc w:val="left"/>
    </w:lvl>
    <w:lvl w:ilvl="5" w:tplc="1018B9E0">
      <w:numFmt w:val="decimal"/>
      <w:lvlText w:val=""/>
      <w:lvlJc w:val="left"/>
    </w:lvl>
    <w:lvl w:ilvl="6" w:tplc="36FCDE98">
      <w:numFmt w:val="decimal"/>
      <w:lvlText w:val=""/>
      <w:lvlJc w:val="left"/>
    </w:lvl>
    <w:lvl w:ilvl="7" w:tplc="0FB6351C">
      <w:numFmt w:val="decimal"/>
      <w:lvlText w:val=""/>
      <w:lvlJc w:val="left"/>
    </w:lvl>
    <w:lvl w:ilvl="8" w:tplc="DF847EC0">
      <w:numFmt w:val="decimal"/>
      <w:lvlText w:val=""/>
      <w:lvlJc w:val="left"/>
    </w:lvl>
  </w:abstractNum>
  <w:abstractNum w:abstractNumId="492" w15:restartNumberingAfterBreak="0">
    <w:nsid w:val="349D1B13"/>
    <w:multiLevelType w:val="hybridMultilevel"/>
    <w:tmpl w:val="BC16241A"/>
    <w:lvl w:ilvl="0" w:tplc="7E388F4A">
      <w:start w:val="1"/>
      <w:numFmt w:val="bullet"/>
      <w:lvlText w:val=""/>
      <w:lvlJc w:val="left"/>
      <w:pPr>
        <w:ind w:left="720" w:hanging="180"/>
      </w:pPr>
      <w:rPr>
        <w:rFonts w:ascii="Symbol" w:hAnsi="Symbol" w:hint="default"/>
      </w:rPr>
    </w:lvl>
    <w:lvl w:ilvl="1" w:tplc="72B40532">
      <w:numFmt w:val="decimal"/>
      <w:lvlText w:val=""/>
      <w:lvlJc w:val="left"/>
    </w:lvl>
    <w:lvl w:ilvl="2" w:tplc="B762E058">
      <w:numFmt w:val="decimal"/>
      <w:lvlText w:val=""/>
      <w:lvlJc w:val="left"/>
    </w:lvl>
    <w:lvl w:ilvl="3" w:tplc="547ED09A">
      <w:numFmt w:val="decimal"/>
      <w:lvlText w:val=""/>
      <w:lvlJc w:val="left"/>
    </w:lvl>
    <w:lvl w:ilvl="4" w:tplc="3C6C76F2">
      <w:numFmt w:val="decimal"/>
      <w:lvlText w:val=""/>
      <w:lvlJc w:val="left"/>
    </w:lvl>
    <w:lvl w:ilvl="5" w:tplc="B338E9C6">
      <w:numFmt w:val="decimal"/>
      <w:lvlText w:val=""/>
      <w:lvlJc w:val="left"/>
    </w:lvl>
    <w:lvl w:ilvl="6" w:tplc="EDEE8260">
      <w:numFmt w:val="decimal"/>
      <w:lvlText w:val=""/>
      <w:lvlJc w:val="left"/>
    </w:lvl>
    <w:lvl w:ilvl="7" w:tplc="1254A7C8">
      <w:numFmt w:val="decimal"/>
      <w:lvlText w:val=""/>
      <w:lvlJc w:val="left"/>
    </w:lvl>
    <w:lvl w:ilvl="8" w:tplc="0EC4DF78">
      <w:numFmt w:val="decimal"/>
      <w:lvlText w:val=""/>
      <w:lvlJc w:val="left"/>
    </w:lvl>
  </w:abstractNum>
  <w:abstractNum w:abstractNumId="493" w15:restartNumberingAfterBreak="0">
    <w:nsid w:val="351761B4"/>
    <w:multiLevelType w:val="hybridMultilevel"/>
    <w:tmpl w:val="04B88948"/>
    <w:lvl w:ilvl="0" w:tplc="08DE6D9E">
      <w:start w:val="1"/>
      <w:numFmt w:val="bullet"/>
      <w:lvlText w:val=""/>
      <w:lvlJc w:val="left"/>
      <w:pPr>
        <w:ind w:left="720" w:hanging="180"/>
      </w:pPr>
      <w:rPr>
        <w:rFonts w:ascii="Symbol" w:hAnsi="Symbol" w:hint="default"/>
      </w:rPr>
    </w:lvl>
    <w:lvl w:ilvl="1" w:tplc="CE90EF9A">
      <w:numFmt w:val="decimal"/>
      <w:lvlText w:val=""/>
      <w:lvlJc w:val="left"/>
    </w:lvl>
    <w:lvl w:ilvl="2" w:tplc="7B26CB42">
      <w:numFmt w:val="decimal"/>
      <w:lvlText w:val=""/>
      <w:lvlJc w:val="left"/>
    </w:lvl>
    <w:lvl w:ilvl="3" w:tplc="1820F716">
      <w:numFmt w:val="decimal"/>
      <w:lvlText w:val=""/>
      <w:lvlJc w:val="left"/>
    </w:lvl>
    <w:lvl w:ilvl="4" w:tplc="B5F04898">
      <w:numFmt w:val="decimal"/>
      <w:lvlText w:val=""/>
      <w:lvlJc w:val="left"/>
    </w:lvl>
    <w:lvl w:ilvl="5" w:tplc="5FB040EE">
      <w:numFmt w:val="decimal"/>
      <w:lvlText w:val=""/>
      <w:lvlJc w:val="left"/>
    </w:lvl>
    <w:lvl w:ilvl="6" w:tplc="4182833A">
      <w:numFmt w:val="decimal"/>
      <w:lvlText w:val=""/>
      <w:lvlJc w:val="left"/>
    </w:lvl>
    <w:lvl w:ilvl="7" w:tplc="E006D820">
      <w:numFmt w:val="decimal"/>
      <w:lvlText w:val=""/>
      <w:lvlJc w:val="left"/>
    </w:lvl>
    <w:lvl w:ilvl="8" w:tplc="F2F663E0">
      <w:numFmt w:val="decimal"/>
      <w:lvlText w:val=""/>
      <w:lvlJc w:val="left"/>
    </w:lvl>
  </w:abstractNum>
  <w:abstractNum w:abstractNumId="494" w15:restartNumberingAfterBreak="0">
    <w:nsid w:val="35456141"/>
    <w:multiLevelType w:val="hybridMultilevel"/>
    <w:tmpl w:val="67E2EA36"/>
    <w:lvl w:ilvl="0" w:tplc="9DA6948A">
      <w:start w:val="1"/>
      <w:numFmt w:val="bullet"/>
      <w:lvlText w:val=""/>
      <w:lvlJc w:val="left"/>
      <w:pPr>
        <w:ind w:left="720" w:hanging="180"/>
      </w:pPr>
      <w:rPr>
        <w:rFonts w:ascii="Symbol" w:hAnsi="Symbol" w:hint="default"/>
      </w:rPr>
    </w:lvl>
    <w:lvl w:ilvl="1" w:tplc="EF2E5AAC">
      <w:numFmt w:val="decimal"/>
      <w:lvlText w:val=""/>
      <w:lvlJc w:val="left"/>
    </w:lvl>
    <w:lvl w:ilvl="2" w:tplc="1070ECF2">
      <w:numFmt w:val="decimal"/>
      <w:lvlText w:val=""/>
      <w:lvlJc w:val="left"/>
    </w:lvl>
    <w:lvl w:ilvl="3" w:tplc="9D0C5E2C">
      <w:numFmt w:val="decimal"/>
      <w:lvlText w:val=""/>
      <w:lvlJc w:val="left"/>
    </w:lvl>
    <w:lvl w:ilvl="4" w:tplc="204C4D56">
      <w:numFmt w:val="decimal"/>
      <w:lvlText w:val=""/>
      <w:lvlJc w:val="left"/>
    </w:lvl>
    <w:lvl w:ilvl="5" w:tplc="69B6C386">
      <w:numFmt w:val="decimal"/>
      <w:lvlText w:val=""/>
      <w:lvlJc w:val="left"/>
    </w:lvl>
    <w:lvl w:ilvl="6" w:tplc="7ACEB4C8">
      <w:numFmt w:val="decimal"/>
      <w:lvlText w:val=""/>
      <w:lvlJc w:val="left"/>
    </w:lvl>
    <w:lvl w:ilvl="7" w:tplc="E1028F3E">
      <w:numFmt w:val="decimal"/>
      <w:lvlText w:val=""/>
      <w:lvlJc w:val="left"/>
    </w:lvl>
    <w:lvl w:ilvl="8" w:tplc="B74EB5AE">
      <w:numFmt w:val="decimal"/>
      <w:lvlText w:val=""/>
      <w:lvlJc w:val="left"/>
    </w:lvl>
  </w:abstractNum>
  <w:abstractNum w:abstractNumId="495" w15:restartNumberingAfterBreak="0">
    <w:nsid w:val="3549609B"/>
    <w:multiLevelType w:val="hybridMultilevel"/>
    <w:tmpl w:val="DC7C2DF4"/>
    <w:lvl w:ilvl="0" w:tplc="32A681BE">
      <w:start w:val="1"/>
      <w:numFmt w:val="bullet"/>
      <w:lvlText w:val=""/>
      <w:lvlJc w:val="left"/>
      <w:pPr>
        <w:ind w:left="720" w:hanging="180"/>
      </w:pPr>
      <w:rPr>
        <w:rFonts w:ascii="Symbol" w:hAnsi="Symbol" w:hint="default"/>
      </w:rPr>
    </w:lvl>
    <w:lvl w:ilvl="1" w:tplc="EAD0DF16">
      <w:numFmt w:val="decimal"/>
      <w:lvlText w:val=""/>
      <w:lvlJc w:val="left"/>
    </w:lvl>
    <w:lvl w:ilvl="2" w:tplc="F9F0F58C">
      <w:numFmt w:val="decimal"/>
      <w:lvlText w:val=""/>
      <w:lvlJc w:val="left"/>
    </w:lvl>
    <w:lvl w:ilvl="3" w:tplc="922C4C70">
      <w:numFmt w:val="decimal"/>
      <w:lvlText w:val=""/>
      <w:lvlJc w:val="left"/>
    </w:lvl>
    <w:lvl w:ilvl="4" w:tplc="DD06A860">
      <w:numFmt w:val="decimal"/>
      <w:lvlText w:val=""/>
      <w:lvlJc w:val="left"/>
    </w:lvl>
    <w:lvl w:ilvl="5" w:tplc="D9C27C8C">
      <w:numFmt w:val="decimal"/>
      <w:lvlText w:val=""/>
      <w:lvlJc w:val="left"/>
    </w:lvl>
    <w:lvl w:ilvl="6" w:tplc="98709538">
      <w:numFmt w:val="decimal"/>
      <w:lvlText w:val=""/>
      <w:lvlJc w:val="left"/>
    </w:lvl>
    <w:lvl w:ilvl="7" w:tplc="F98891AA">
      <w:numFmt w:val="decimal"/>
      <w:lvlText w:val=""/>
      <w:lvlJc w:val="left"/>
    </w:lvl>
    <w:lvl w:ilvl="8" w:tplc="A0906534">
      <w:numFmt w:val="decimal"/>
      <w:lvlText w:val=""/>
      <w:lvlJc w:val="left"/>
    </w:lvl>
  </w:abstractNum>
  <w:abstractNum w:abstractNumId="496" w15:restartNumberingAfterBreak="0">
    <w:nsid w:val="356474CE"/>
    <w:multiLevelType w:val="hybridMultilevel"/>
    <w:tmpl w:val="C1AC8594"/>
    <w:lvl w:ilvl="0" w:tplc="1C70459E">
      <w:start w:val="1"/>
      <w:numFmt w:val="bullet"/>
      <w:lvlText w:val=""/>
      <w:lvlJc w:val="left"/>
      <w:pPr>
        <w:ind w:left="720" w:hanging="180"/>
      </w:pPr>
      <w:rPr>
        <w:rFonts w:ascii="Symbol" w:hAnsi="Symbol" w:hint="default"/>
      </w:rPr>
    </w:lvl>
    <w:lvl w:ilvl="1" w:tplc="23A26C4E">
      <w:numFmt w:val="decimal"/>
      <w:lvlText w:val=""/>
      <w:lvlJc w:val="left"/>
    </w:lvl>
    <w:lvl w:ilvl="2" w:tplc="856E3F08">
      <w:numFmt w:val="decimal"/>
      <w:lvlText w:val=""/>
      <w:lvlJc w:val="left"/>
    </w:lvl>
    <w:lvl w:ilvl="3" w:tplc="898A0840">
      <w:numFmt w:val="decimal"/>
      <w:lvlText w:val=""/>
      <w:lvlJc w:val="left"/>
    </w:lvl>
    <w:lvl w:ilvl="4" w:tplc="FB4294A8">
      <w:numFmt w:val="decimal"/>
      <w:lvlText w:val=""/>
      <w:lvlJc w:val="left"/>
    </w:lvl>
    <w:lvl w:ilvl="5" w:tplc="66ECFA02">
      <w:numFmt w:val="decimal"/>
      <w:lvlText w:val=""/>
      <w:lvlJc w:val="left"/>
    </w:lvl>
    <w:lvl w:ilvl="6" w:tplc="D1AEB0C0">
      <w:numFmt w:val="decimal"/>
      <w:lvlText w:val=""/>
      <w:lvlJc w:val="left"/>
    </w:lvl>
    <w:lvl w:ilvl="7" w:tplc="4A08805E">
      <w:numFmt w:val="decimal"/>
      <w:lvlText w:val=""/>
      <w:lvlJc w:val="left"/>
    </w:lvl>
    <w:lvl w:ilvl="8" w:tplc="258A9314">
      <w:numFmt w:val="decimal"/>
      <w:lvlText w:val=""/>
      <w:lvlJc w:val="left"/>
    </w:lvl>
  </w:abstractNum>
  <w:abstractNum w:abstractNumId="497" w15:restartNumberingAfterBreak="0">
    <w:nsid w:val="358B4C29"/>
    <w:multiLevelType w:val="hybridMultilevel"/>
    <w:tmpl w:val="E78EB3D8"/>
    <w:lvl w:ilvl="0" w:tplc="D5140904">
      <w:start w:val="1"/>
      <w:numFmt w:val="bullet"/>
      <w:lvlText w:val=""/>
      <w:lvlJc w:val="left"/>
      <w:pPr>
        <w:ind w:left="720" w:hanging="180"/>
      </w:pPr>
      <w:rPr>
        <w:rFonts w:ascii="Symbol" w:hAnsi="Symbol" w:hint="default"/>
      </w:rPr>
    </w:lvl>
    <w:lvl w:ilvl="1" w:tplc="4CBAEAAA">
      <w:numFmt w:val="decimal"/>
      <w:lvlText w:val=""/>
      <w:lvlJc w:val="left"/>
    </w:lvl>
    <w:lvl w:ilvl="2" w:tplc="F8C64742">
      <w:numFmt w:val="decimal"/>
      <w:lvlText w:val=""/>
      <w:lvlJc w:val="left"/>
    </w:lvl>
    <w:lvl w:ilvl="3" w:tplc="463A8BF2">
      <w:numFmt w:val="decimal"/>
      <w:lvlText w:val=""/>
      <w:lvlJc w:val="left"/>
    </w:lvl>
    <w:lvl w:ilvl="4" w:tplc="3C7018E2">
      <w:numFmt w:val="decimal"/>
      <w:lvlText w:val=""/>
      <w:lvlJc w:val="left"/>
    </w:lvl>
    <w:lvl w:ilvl="5" w:tplc="F3D258EC">
      <w:numFmt w:val="decimal"/>
      <w:lvlText w:val=""/>
      <w:lvlJc w:val="left"/>
    </w:lvl>
    <w:lvl w:ilvl="6" w:tplc="B9FC69AA">
      <w:numFmt w:val="decimal"/>
      <w:lvlText w:val=""/>
      <w:lvlJc w:val="left"/>
    </w:lvl>
    <w:lvl w:ilvl="7" w:tplc="3AF63A5E">
      <w:numFmt w:val="decimal"/>
      <w:lvlText w:val=""/>
      <w:lvlJc w:val="left"/>
    </w:lvl>
    <w:lvl w:ilvl="8" w:tplc="79DC62A4">
      <w:numFmt w:val="decimal"/>
      <w:lvlText w:val=""/>
      <w:lvlJc w:val="left"/>
    </w:lvl>
  </w:abstractNum>
  <w:abstractNum w:abstractNumId="498" w15:restartNumberingAfterBreak="0">
    <w:nsid w:val="35B22129"/>
    <w:multiLevelType w:val="hybridMultilevel"/>
    <w:tmpl w:val="C1CE85A8"/>
    <w:lvl w:ilvl="0" w:tplc="22CE93F2">
      <w:start w:val="1"/>
      <w:numFmt w:val="bullet"/>
      <w:lvlText w:val=""/>
      <w:lvlJc w:val="left"/>
      <w:pPr>
        <w:ind w:left="720" w:hanging="180"/>
      </w:pPr>
      <w:rPr>
        <w:rFonts w:ascii="Symbol" w:hAnsi="Symbol" w:hint="default"/>
      </w:rPr>
    </w:lvl>
    <w:lvl w:ilvl="1" w:tplc="0D90A59E">
      <w:numFmt w:val="decimal"/>
      <w:lvlText w:val=""/>
      <w:lvlJc w:val="left"/>
    </w:lvl>
    <w:lvl w:ilvl="2" w:tplc="31F27EE0">
      <w:numFmt w:val="decimal"/>
      <w:lvlText w:val=""/>
      <w:lvlJc w:val="left"/>
    </w:lvl>
    <w:lvl w:ilvl="3" w:tplc="FEB887AE">
      <w:numFmt w:val="decimal"/>
      <w:lvlText w:val=""/>
      <w:lvlJc w:val="left"/>
    </w:lvl>
    <w:lvl w:ilvl="4" w:tplc="A84ABA10">
      <w:numFmt w:val="decimal"/>
      <w:lvlText w:val=""/>
      <w:lvlJc w:val="left"/>
    </w:lvl>
    <w:lvl w:ilvl="5" w:tplc="A9D4D4F0">
      <w:numFmt w:val="decimal"/>
      <w:lvlText w:val=""/>
      <w:lvlJc w:val="left"/>
    </w:lvl>
    <w:lvl w:ilvl="6" w:tplc="B57A9BF4">
      <w:numFmt w:val="decimal"/>
      <w:lvlText w:val=""/>
      <w:lvlJc w:val="left"/>
    </w:lvl>
    <w:lvl w:ilvl="7" w:tplc="711241F6">
      <w:numFmt w:val="decimal"/>
      <w:lvlText w:val=""/>
      <w:lvlJc w:val="left"/>
    </w:lvl>
    <w:lvl w:ilvl="8" w:tplc="C478A246">
      <w:numFmt w:val="decimal"/>
      <w:lvlText w:val=""/>
      <w:lvlJc w:val="left"/>
    </w:lvl>
  </w:abstractNum>
  <w:abstractNum w:abstractNumId="499" w15:restartNumberingAfterBreak="0">
    <w:nsid w:val="35B52B26"/>
    <w:multiLevelType w:val="hybridMultilevel"/>
    <w:tmpl w:val="3362B872"/>
    <w:lvl w:ilvl="0" w:tplc="7FF2FD98">
      <w:start w:val="1"/>
      <w:numFmt w:val="bullet"/>
      <w:lvlText w:val=""/>
      <w:lvlJc w:val="left"/>
      <w:pPr>
        <w:ind w:left="720" w:hanging="180"/>
      </w:pPr>
      <w:rPr>
        <w:rFonts w:ascii="Symbol" w:hAnsi="Symbol" w:hint="default"/>
      </w:rPr>
    </w:lvl>
    <w:lvl w:ilvl="1" w:tplc="37FE8FBC">
      <w:numFmt w:val="decimal"/>
      <w:lvlText w:val=""/>
      <w:lvlJc w:val="left"/>
    </w:lvl>
    <w:lvl w:ilvl="2" w:tplc="9C0604F8">
      <w:numFmt w:val="decimal"/>
      <w:lvlText w:val=""/>
      <w:lvlJc w:val="left"/>
    </w:lvl>
    <w:lvl w:ilvl="3" w:tplc="F0F477F2">
      <w:numFmt w:val="decimal"/>
      <w:lvlText w:val=""/>
      <w:lvlJc w:val="left"/>
    </w:lvl>
    <w:lvl w:ilvl="4" w:tplc="10828B9A">
      <w:numFmt w:val="decimal"/>
      <w:lvlText w:val=""/>
      <w:lvlJc w:val="left"/>
    </w:lvl>
    <w:lvl w:ilvl="5" w:tplc="3C285DCE">
      <w:numFmt w:val="decimal"/>
      <w:lvlText w:val=""/>
      <w:lvlJc w:val="left"/>
    </w:lvl>
    <w:lvl w:ilvl="6" w:tplc="13C853A0">
      <w:numFmt w:val="decimal"/>
      <w:lvlText w:val=""/>
      <w:lvlJc w:val="left"/>
    </w:lvl>
    <w:lvl w:ilvl="7" w:tplc="76C862C2">
      <w:numFmt w:val="decimal"/>
      <w:lvlText w:val=""/>
      <w:lvlJc w:val="left"/>
    </w:lvl>
    <w:lvl w:ilvl="8" w:tplc="2654BDB2">
      <w:numFmt w:val="decimal"/>
      <w:lvlText w:val=""/>
      <w:lvlJc w:val="left"/>
    </w:lvl>
  </w:abstractNum>
  <w:abstractNum w:abstractNumId="500" w15:restartNumberingAfterBreak="0">
    <w:nsid w:val="35BD5235"/>
    <w:multiLevelType w:val="hybridMultilevel"/>
    <w:tmpl w:val="1FE28916"/>
    <w:lvl w:ilvl="0" w:tplc="84D44E8C">
      <w:start w:val="1"/>
      <w:numFmt w:val="bullet"/>
      <w:lvlText w:val=""/>
      <w:lvlJc w:val="left"/>
      <w:pPr>
        <w:ind w:left="720" w:hanging="180"/>
      </w:pPr>
      <w:rPr>
        <w:rFonts w:ascii="Symbol" w:hAnsi="Symbol" w:hint="default"/>
      </w:rPr>
    </w:lvl>
    <w:lvl w:ilvl="1" w:tplc="C27E043E">
      <w:numFmt w:val="decimal"/>
      <w:lvlText w:val=""/>
      <w:lvlJc w:val="left"/>
    </w:lvl>
    <w:lvl w:ilvl="2" w:tplc="345CFD1E">
      <w:numFmt w:val="decimal"/>
      <w:lvlText w:val=""/>
      <w:lvlJc w:val="left"/>
    </w:lvl>
    <w:lvl w:ilvl="3" w:tplc="EA1E20D8">
      <w:numFmt w:val="decimal"/>
      <w:lvlText w:val=""/>
      <w:lvlJc w:val="left"/>
    </w:lvl>
    <w:lvl w:ilvl="4" w:tplc="76866998">
      <w:numFmt w:val="decimal"/>
      <w:lvlText w:val=""/>
      <w:lvlJc w:val="left"/>
    </w:lvl>
    <w:lvl w:ilvl="5" w:tplc="863AEC1A">
      <w:numFmt w:val="decimal"/>
      <w:lvlText w:val=""/>
      <w:lvlJc w:val="left"/>
    </w:lvl>
    <w:lvl w:ilvl="6" w:tplc="415A72EA">
      <w:numFmt w:val="decimal"/>
      <w:lvlText w:val=""/>
      <w:lvlJc w:val="left"/>
    </w:lvl>
    <w:lvl w:ilvl="7" w:tplc="0AC2FD8A">
      <w:numFmt w:val="decimal"/>
      <w:lvlText w:val=""/>
      <w:lvlJc w:val="left"/>
    </w:lvl>
    <w:lvl w:ilvl="8" w:tplc="1B1A1A26">
      <w:numFmt w:val="decimal"/>
      <w:lvlText w:val=""/>
      <w:lvlJc w:val="left"/>
    </w:lvl>
  </w:abstractNum>
  <w:abstractNum w:abstractNumId="501" w15:restartNumberingAfterBreak="0">
    <w:nsid w:val="35C5148E"/>
    <w:multiLevelType w:val="hybridMultilevel"/>
    <w:tmpl w:val="5DAAB38E"/>
    <w:lvl w:ilvl="0" w:tplc="E6D29C78">
      <w:start w:val="1"/>
      <w:numFmt w:val="bullet"/>
      <w:lvlText w:val=""/>
      <w:lvlJc w:val="left"/>
      <w:pPr>
        <w:ind w:left="720" w:hanging="180"/>
      </w:pPr>
      <w:rPr>
        <w:rFonts w:ascii="Symbol" w:hAnsi="Symbol" w:hint="default"/>
      </w:rPr>
    </w:lvl>
    <w:lvl w:ilvl="1" w:tplc="3208B3A6">
      <w:numFmt w:val="decimal"/>
      <w:lvlText w:val=""/>
      <w:lvlJc w:val="left"/>
    </w:lvl>
    <w:lvl w:ilvl="2" w:tplc="7DFE1772">
      <w:numFmt w:val="decimal"/>
      <w:lvlText w:val=""/>
      <w:lvlJc w:val="left"/>
    </w:lvl>
    <w:lvl w:ilvl="3" w:tplc="F66AF98A">
      <w:numFmt w:val="decimal"/>
      <w:lvlText w:val=""/>
      <w:lvlJc w:val="left"/>
    </w:lvl>
    <w:lvl w:ilvl="4" w:tplc="EC04D6CE">
      <w:numFmt w:val="decimal"/>
      <w:lvlText w:val=""/>
      <w:lvlJc w:val="left"/>
    </w:lvl>
    <w:lvl w:ilvl="5" w:tplc="3FE6AD6E">
      <w:numFmt w:val="decimal"/>
      <w:lvlText w:val=""/>
      <w:lvlJc w:val="left"/>
    </w:lvl>
    <w:lvl w:ilvl="6" w:tplc="D87A457C">
      <w:numFmt w:val="decimal"/>
      <w:lvlText w:val=""/>
      <w:lvlJc w:val="left"/>
    </w:lvl>
    <w:lvl w:ilvl="7" w:tplc="08028224">
      <w:numFmt w:val="decimal"/>
      <w:lvlText w:val=""/>
      <w:lvlJc w:val="left"/>
    </w:lvl>
    <w:lvl w:ilvl="8" w:tplc="03448406">
      <w:numFmt w:val="decimal"/>
      <w:lvlText w:val=""/>
      <w:lvlJc w:val="left"/>
    </w:lvl>
  </w:abstractNum>
  <w:abstractNum w:abstractNumId="502" w15:restartNumberingAfterBreak="0">
    <w:nsid w:val="35D57504"/>
    <w:multiLevelType w:val="hybridMultilevel"/>
    <w:tmpl w:val="CD327CF2"/>
    <w:lvl w:ilvl="0" w:tplc="DD3867C4">
      <w:start w:val="1"/>
      <w:numFmt w:val="bullet"/>
      <w:lvlText w:val=""/>
      <w:lvlJc w:val="left"/>
      <w:pPr>
        <w:ind w:left="720" w:hanging="180"/>
      </w:pPr>
      <w:rPr>
        <w:rFonts w:ascii="Symbol" w:hAnsi="Symbol" w:hint="default"/>
      </w:rPr>
    </w:lvl>
    <w:lvl w:ilvl="1" w:tplc="5C7A18FC">
      <w:numFmt w:val="decimal"/>
      <w:lvlText w:val=""/>
      <w:lvlJc w:val="left"/>
    </w:lvl>
    <w:lvl w:ilvl="2" w:tplc="001A31DC">
      <w:numFmt w:val="decimal"/>
      <w:lvlText w:val=""/>
      <w:lvlJc w:val="left"/>
    </w:lvl>
    <w:lvl w:ilvl="3" w:tplc="5476CB68">
      <w:numFmt w:val="decimal"/>
      <w:lvlText w:val=""/>
      <w:lvlJc w:val="left"/>
    </w:lvl>
    <w:lvl w:ilvl="4" w:tplc="FE84A8E0">
      <w:numFmt w:val="decimal"/>
      <w:lvlText w:val=""/>
      <w:lvlJc w:val="left"/>
    </w:lvl>
    <w:lvl w:ilvl="5" w:tplc="306052EA">
      <w:numFmt w:val="decimal"/>
      <w:lvlText w:val=""/>
      <w:lvlJc w:val="left"/>
    </w:lvl>
    <w:lvl w:ilvl="6" w:tplc="3212468C">
      <w:numFmt w:val="decimal"/>
      <w:lvlText w:val=""/>
      <w:lvlJc w:val="left"/>
    </w:lvl>
    <w:lvl w:ilvl="7" w:tplc="FC9ED872">
      <w:numFmt w:val="decimal"/>
      <w:lvlText w:val=""/>
      <w:lvlJc w:val="left"/>
    </w:lvl>
    <w:lvl w:ilvl="8" w:tplc="3822E55A">
      <w:numFmt w:val="decimal"/>
      <w:lvlText w:val=""/>
      <w:lvlJc w:val="left"/>
    </w:lvl>
  </w:abstractNum>
  <w:abstractNum w:abstractNumId="503" w15:restartNumberingAfterBreak="0">
    <w:nsid w:val="35DD0D4B"/>
    <w:multiLevelType w:val="hybridMultilevel"/>
    <w:tmpl w:val="3C2010B4"/>
    <w:lvl w:ilvl="0" w:tplc="3D208272">
      <w:start w:val="1"/>
      <w:numFmt w:val="bullet"/>
      <w:lvlText w:val=""/>
      <w:lvlJc w:val="left"/>
      <w:pPr>
        <w:ind w:left="720" w:hanging="180"/>
      </w:pPr>
      <w:rPr>
        <w:rFonts w:ascii="Symbol" w:hAnsi="Symbol" w:hint="default"/>
      </w:rPr>
    </w:lvl>
    <w:lvl w:ilvl="1" w:tplc="E65C0708">
      <w:numFmt w:val="decimal"/>
      <w:lvlText w:val=""/>
      <w:lvlJc w:val="left"/>
    </w:lvl>
    <w:lvl w:ilvl="2" w:tplc="02B4FCD4">
      <w:numFmt w:val="decimal"/>
      <w:lvlText w:val=""/>
      <w:lvlJc w:val="left"/>
    </w:lvl>
    <w:lvl w:ilvl="3" w:tplc="DA0450EC">
      <w:numFmt w:val="decimal"/>
      <w:lvlText w:val=""/>
      <w:lvlJc w:val="left"/>
    </w:lvl>
    <w:lvl w:ilvl="4" w:tplc="D0D2C1EE">
      <w:numFmt w:val="decimal"/>
      <w:lvlText w:val=""/>
      <w:lvlJc w:val="left"/>
    </w:lvl>
    <w:lvl w:ilvl="5" w:tplc="66DEEB62">
      <w:numFmt w:val="decimal"/>
      <w:lvlText w:val=""/>
      <w:lvlJc w:val="left"/>
    </w:lvl>
    <w:lvl w:ilvl="6" w:tplc="B42EBB5A">
      <w:numFmt w:val="decimal"/>
      <w:lvlText w:val=""/>
      <w:lvlJc w:val="left"/>
    </w:lvl>
    <w:lvl w:ilvl="7" w:tplc="16B8D9BA">
      <w:numFmt w:val="decimal"/>
      <w:lvlText w:val=""/>
      <w:lvlJc w:val="left"/>
    </w:lvl>
    <w:lvl w:ilvl="8" w:tplc="6310FB62">
      <w:numFmt w:val="decimal"/>
      <w:lvlText w:val=""/>
      <w:lvlJc w:val="left"/>
    </w:lvl>
  </w:abstractNum>
  <w:abstractNum w:abstractNumId="504" w15:restartNumberingAfterBreak="0">
    <w:nsid w:val="35DF7527"/>
    <w:multiLevelType w:val="hybridMultilevel"/>
    <w:tmpl w:val="40789730"/>
    <w:lvl w:ilvl="0" w:tplc="A2C600CE">
      <w:start w:val="1"/>
      <w:numFmt w:val="bullet"/>
      <w:lvlText w:val=""/>
      <w:lvlJc w:val="left"/>
      <w:pPr>
        <w:ind w:left="720" w:hanging="180"/>
      </w:pPr>
      <w:rPr>
        <w:rFonts w:ascii="Symbol" w:hAnsi="Symbol" w:hint="default"/>
      </w:rPr>
    </w:lvl>
    <w:lvl w:ilvl="1" w:tplc="32204066">
      <w:numFmt w:val="decimal"/>
      <w:lvlText w:val=""/>
      <w:lvlJc w:val="left"/>
    </w:lvl>
    <w:lvl w:ilvl="2" w:tplc="F52E8C96">
      <w:numFmt w:val="decimal"/>
      <w:lvlText w:val=""/>
      <w:lvlJc w:val="left"/>
    </w:lvl>
    <w:lvl w:ilvl="3" w:tplc="C42EAE5C">
      <w:numFmt w:val="decimal"/>
      <w:lvlText w:val=""/>
      <w:lvlJc w:val="left"/>
    </w:lvl>
    <w:lvl w:ilvl="4" w:tplc="A91C2A7A">
      <w:numFmt w:val="decimal"/>
      <w:lvlText w:val=""/>
      <w:lvlJc w:val="left"/>
    </w:lvl>
    <w:lvl w:ilvl="5" w:tplc="F378D5EE">
      <w:numFmt w:val="decimal"/>
      <w:lvlText w:val=""/>
      <w:lvlJc w:val="left"/>
    </w:lvl>
    <w:lvl w:ilvl="6" w:tplc="83B2B132">
      <w:numFmt w:val="decimal"/>
      <w:lvlText w:val=""/>
      <w:lvlJc w:val="left"/>
    </w:lvl>
    <w:lvl w:ilvl="7" w:tplc="66367ACE">
      <w:numFmt w:val="decimal"/>
      <w:lvlText w:val=""/>
      <w:lvlJc w:val="left"/>
    </w:lvl>
    <w:lvl w:ilvl="8" w:tplc="B00C3DDC">
      <w:numFmt w:val="decimal"/>
      <w:lvlText w:val=""/>
      <w:lvlJc w:val="left"/>
    </w:lvl>
  </w:abstractNum>
  <w:abstractNum w:abstractNumId="505" w15:restartNumberingAfterBreak="0">
    <w:nsid w:val="35EE2B49"/>
    <w:multiLevelType w:val="hybridMultilevel"/>
    <w:tmpl w:val="87B4A08E"/>
    <w:lvl w:ilvl="0" w:tplc="F7D6671C">
      <w:start w:val="1"/>
      <w:numFmt w:val="bullet"/>
      <w:lvlText w:val=""/>
      <w:lvlJc w:val="left"/>
      <w:pPr>
        <w:ind w:left="720" w:hanging="180"/>
      </w:pPr>
      <w:rPr>
        <w:rFonts w:ascii="Symbol" w:hAnsi="Symbol" w:hint="default"/>
      </w:rPr>
    </w:lvl>
    <w:lvl w:ilvl="1" w:tplc="3AA2C7A0">
      <w:numFmt w:val="decimal"/>
      <w:lvlText w:val=""/>
      <w:lvlJc w:val="left"/>
    </w:lvl>
    <w:lvl w:ilvl="2" w:tplc="E8269CA6">
      <w:numFmt w:val="decimal"/>
      <w:lvlText w:val=""/>
      <w:lvlJc w:val="left"/>
    </w:lvl>
    <w:lvl w:ilvl="3" w:tplc="16041898">
      <w:numFmt w:val="decimal"/>
      <w:lvlText w:val=""/>
      <w:lvlJc w:val="left"/>
    </w:lvl>
    <w:lvl w:ilvl="4" w:tplc="F472466A">
      <w:numFmt w:val="decimal"/>
      <w:lvlText w:val=""/>
      <w:lvlJc w:val="left"/>
    </w:lvl>
    <w:lvl w:ilvl="5" w:tplc="C906A75E">
      <w:numFmt w:val="decimal"/>
      <w:lvlText w:val=""/>
      <w:lvlJc w:val="left"/>
    </w:lvl>
    <w:lvl w:ilvl="6" w:tplc="3D16CA7C">
      <w:numFmt w:val="decimal"/>
      <w:lvlText w:val=""/>
      <w:lvlJc w:val="left"/>
    </w:lvl>
    <w:lvl w:ilvl="7" w:tplc="78ACF3AE">
      <w:numFmt w:val="decimal"/>
      <w:lvlText w:val=""/>
      <w:lvlJc w:val="left"/>
    </w:lvl>
    <w:lvl w:ilvl="8" w:tplc="18A029EE">
      <w:numFmt w:val="decimal"/>
      <w:lvlText w:val=""/>
      <w:lvlJc w:val="left"/>
    </w:lvl>
  </w:abstractNum>
  <w:abstractNum w:abstractNumId="506" w15:restartNumberingAfterBreak="0">
    <w:nsid w:val="363C4E7F"/>
    <w:multiLevelType w:val="hybridMultilevel"/>
    <w:tmpl w:val="25DE1DE8"/>
    <w:lvl w:ilvl="0" w:tplc="CC36C682">
      <w:start w:val="1"/>
      <w:numFmt w:val="bullet"/>
      <w:lvlText w:val=""/>
      <w:lvlJc w:val="left"/>
      <w:pPr>
        <w:ind w:left="720" w:hanging="180"/>
      </w:pPr>
      <w:rPr>
        <w:rFonts w:ascii="Symbol" w:hAnsi="Symbol" w:hint="default"/>
      </w:rPr>
    </w:lvl>
    <w:lvl w:ilvl="1" w:tplc="EFA8857C">
      <w:numFmt w:val="decimal"/>
      <w:lvlText w:val=""/>
      <w:lvlJc w:val="left"/>
    </w:lvl>
    <w:lvl w:ilvl="2" w:tplc="73E6DAAE">
      <w:numFmt w:val="decimal"/>
      <w:lvlText w:val=""/>
      <w:lvlJc w:val="left"/>
    </w:lvl>
    <w:lvl w:ilvl="3" w:tplc="E9A62D2A">
      <w:numFmt w:val="decimal"/>
      <w:lvlText w:val=""/>
      <w:lvlJc w:val="left"/>
    </w:lvl>
    <w:lvl w:ilvl="4" w:tplc="2C9EF61E">
      <w:numFmt w:val="decimal"/>
      <w:lvlText w:val=""/>
      <w:lvlJc w:val="left"/>
    </w:lvl>
    <w:lvl w:ilvl="5" w:tplc="7A826EF4">
      <w:numFmt w:val="decimal"/>
      <w:lvlText w:val=""/>
      <w:lvlJc w:val="left"/>
    </w:lvl>
    <w:lvl w:ilvl="6" w:tplc="E1921EC6">
      <w:numFmt w:val="decimal"/>
      <w:lvlText w:val=""/>
      <w:lvlJc w:val="left"/>
    </w:lvl>
    <w:lvl w:ilvl="7" w:tplc="FF08677E">
      <w:numFmt w:val="decimal"/>
      <w:lvlText w:val=""/>
      <w:lvlJc w:val="left"/>
    </w:lvl>
    <w:lvl w:ilvl="8" w:tplc="E66EA718">
      <w:numFmt w:val="decimal"/>
      <w:lvlText w:val=""/>
      <w:lvlJc w:val="left"/>
    </w:lvl>
  </w:abstractNum>
  <w:abstractNum w:abstractNumId="507" w15:restartNumberingAfterBreak="0">
    <w:nsid w:val="36477F9F"/>
    <w:multiLevelType w:val="hybridMultilevel"/>
    <w:tmpl w:val="80966900"/>
    <w:lvl w:ilvl="0" w:tplc="AF889FAC">
      <w:start w:val="1"/>
      <w:numFmt w:val="bullet"/>
      <w:lvlText w:val=""/>
      <w:lvlJc w:val="left"/>
      <w:pPr>
        <w:ind w:left="720" w:hanging="180"/>
      </w:pPr>
      <w:rPr>
        <w:rFonts w:ascii="Symbol" w:hAnsi="Symbol" w:hint="default"/>
      </w:rPr>
    </w:lvl>
    <w:lvl w:ilvl="1" w:tplc="21122C12">
      <w:numFmt w:val="decimal"/>
      <w:lvlText w:val=""/>
      <w:lvlJc w:val="left"/>
    </w:lvl>
    <w:lvl w:ilvl="2" w:tplc="2C4854BE">
      <w:numFmt w:val="decimal"/>
      <w:lvlText w:val=""/>
      <w:lvlJc w:val="left"/>
    </w:lvl>
    <w:lvl w:ilvl="3" w:tplc="75E2F42E">
      <w:numFmt w:val="decimal"/>
      <w:lvlText w:val=""/>
      <w:lvlJc w:val="left"/>
    </w:lvl>
    <w:lvl w:ilvl="4" w:tplc="1C80E376">
      <w:numFmt w:val="decimal"/>
      <w:lvlText w:val=""/>
      <w:lvlJc w:val="left"/>
    </w:lvl>
    <w:lvl w:ilvl="5" w:tplc="E156593E">
      <w:numFmt w:val="decimal"/>
      <w:lvlText w:val=""/>
      <w:lvlJc w:val="left"/>
    </w:lvl>
    <w:lvl w:ilvl="6" w:tplc="1520D34A">
      <w:numFmt w:val="decimal"/>
      <w:lvlText w:val=""/>
      <w:lvlJc w:val="left"/>
    </w:lvl>
    <w:lvl w:ilvl="7" w:tplc="7110D9CC">
      <w:numFmt w:val="decimal"/>
      <w:lvlText w:val=""/>
      <w:lvlJc w:val="left"/>
    </w:lvl>
    <w:lvl w:ilvl="8" w:tplc="EFEA92E8">
      <w:numFmt w:val="decimal"/>
      <w:lvlText w:val=""/>
      <w:lvlJc w:val="left"/>
    </w:lvl>
  </w:abstractNum>
  <w:abstractNum w:abstractNumId="508" w15:restartNumberingAfterBreak="0">
    <w:nsid w:val="366D2A94"/>
    <w:multiLevelType w:val="hybridMultilevel"/>
    <w:tmpl w:val="3308001E"/>
    <w:lvl w:ilvl="0" w:tplc="E17E46C4">
      <w:start w:val="1"/>
      <w:numFmt w:val="bullet"/>
      <w:lvlText w:val=""/>
      <w:lvlJc w:val="left"/>
      <w:pPr>
        <w:ind w:left="720" w:hanging="180"/>
      </w:pPr>
      <w:rPr>
        <w:rFonts w:ascii="Symbol" w:hAnsi="Symbol" w:hint="default"/>
      </w:rPr>
    </w:lvl>
    <w:lvl w:ilvl="1" w:tplc="2A3CB794">
      <w:numFmt w:val="decimal"/>
      <w:lvlText w:val=""/>
      <w:lvlJc w:val="left"/>
    </w:lvl>
    <w:lvl w:ilvl="2" w:tplc="3ED00558">
      <w:numFmt w:val="decimal"/>
      <w:lvlText w:val=""/>
      <w:lvlJc w:val="left"/>
    </w:lvl>
    <w:lvl w:ilvl="3" w:tplc="5D2CD654">
      <w:numFmt w:val="decimal"/>
      <w:lvlText w:val=""/>
      <w:lvlJc w:val="left"/>
    </w:lvl>
    <w:lvl w:ilvl="4" w:tplc="11B6D7C0">
      <w:numFmt w:val="decimal"/>
      <w:lvlText w:val=""/>
      <w:lvlJc w:val="left"/>
    </w:lvl>
    <w:lvl w:ilvl="5" w:tplc="791806EC">
      <w:numFmt w:val="decimal"/>
      <w:lvlText w:val=""/>
      <w:lvlJc w:val="left"/>
    </w:lvl>
    <w:lvl w:ilvl="6" w:tplc="021C4FC8">
      <w:numFmt w:val="decimal"/>
      <w:lvlText w:val=""/>
      <w:lvlJc w:val="left"/>
    </w:lvl>
    <w:lvl w:ilvl="7" w:tplc="0454736E">
      <w:numFmt w:val="decimal"/>
      <w:lvlText w:val=""/>
      <w:lvlJc w:val="left"/>
    </w:lvl>
    <w:lvl w:ilvl="8" w:tplc="E16C7EB6">
      <w:numFmt w:val="decimal"/>
      <w:lvlText w:val=""/>
      <w:lvlJc w:val="left"/>
    </w:lvl>
  </w:abstractNum>
  <w:abstractNum w:abstractNumId="509" w15:restartNumberingAfterBreak="0">
    <w:nsid w:val="36B756DD"/>
    <w:multiLevelType w:val="hybridMultilevel"/>
    <w:tmpl w:val="22D4A918"/>
    <w:lvl w:ilvl="0" w:tplc="7554BA34">
      <w:start w:val="1"/>
      <w:numFmt w:val="bullet"/>
      <w:lvlText w:val=""/>
      <w:lvlJc w:val="left"/>
      <w:pPr>
        <w:ind w:left="720" w:hanging="180"/>
      </w:pPr>
      <w:rPr>
        <w:rFonts w:ascii="Symbol" w:hAnsi="Symbol" w:hint="default"/>
      </w:rPr>
    </w:lvl>
    <w:lvl w:ilvl="1" w:tplc="F8963940">
      <w:numFmt w:val="decimal"/>
      <w:lvlText w:val=""/>
      <w:lvlJc w:val="left"/>
    </w:lvl>
    <w:lvl w:ilvl="2" w:tplc="B12EC46C">
      <w:numFmt w:val="decimal"/>
      <w:lvlText w:val=""/>
      <w:lvlJc w:val="left"/>
    </w:lvl>
    <w:lvl w:ilvl="3" w:tplc="DF6A9F02">
      <w:numFmt w:val="decimal"/>
      <w:lvlText w:val=""/>
      <w:lvlJc w:val="left"/>
    </w:lvl>
    <w:lvl w:ilvl="4" w:tplc="A41A1742">
      <w:numFmt w:val="decimal"/>
      <w:lvlText w:val=""/>
      <w:lvlJc w:val="left"/>
    </w:lvl>
    <w:lvl w:ilvl="5" w:tplc="83FCCF24">
      <w:numFmt w:val="decimal"/>
      <w:lvlText w:val=""/>
      <w:lvlJc w:val="left"/>
    </w:lvl>
    <w:lvl w:ilvl="6" w:tplc="2EAE5232">
      <w:numFmt w:val="decimal"/>
      <w:lvlText w:val=""/>
      <w:lvlJc w:val="left"/>
    </w:lvl>
    <w:lvl w:ilvl="7" w:tplc="DE7A704E">
      <w:numFmt w:val="decimal"/>
      <w:lvlText w:val=""/>
      <w:lvlJc w:val="left"/>
    </w:lvl>
    <w:lvl w:ilvl="8" w:tplc="E4F2CAFE">
      <w:numFmt w:val="decimal"/>
      <w:lvlText w:val=""/>
      <w:lvlJc w:val="left"/>
    </w:lvl>
  </w:abstractNum>
  <w:abstractNum w:abstractNumId="510" w15:restartNumberingAfterBreak="0">
    <w:nsid w:val="36CB3784"/>
    <w:multiLevelType w:val="hybridMultilevel"/>
    <w:tmpl w:val="F3882CB2"/>
    <w:lvl w:ilvl="0" w:tplc="280CB6D0">
      <w:start w:val="1"/>
      <w:numFmt w:val="bullet"/>
      <w:lvlText w:val=""/>
      <w:lvlJc w:val="left"/>
      <w:pPr>
        <w:ind w:left="720" w:hanging="180"/>
      </w:pPr>
      <w:rPr>
        <w:rFonts w:ascii="Symbol" w:hAnsi="Symbol" w:hint="default"/>
      </w:rPr>
    </w:lvl>
    <w:lvl w:ilvl="1" w:tplc="E1C83CB6">
      <w:numFmt w:val="decimal"/>
      <w:lvlText w:val=""/>
      <w:lvlJc w:val="left"/>
    </w:lvl>
    <w:lvl w:ilvl="2" w:tplc="5CAA7CDC">
      <w:numFmt w:val="decimal"/>
      <w:lvlText w:val=""/>
      <w:lvlJc w:val="left"/>
    </w:lvl>
    <w:lvl w:ilvl="3" w:tplc="6076E4D2">
      <w:numFmt w:val="decimal"/>
      <w:lvlText w:val=""/>
      <w:lvlJc w:val="left"/>
    </w:lvl>
    <w:lvl w:ilvl="4" w:tplc="0898EBE8">
      <w:numFmt w:val="decimal"/>
      <w:lvlText w:val=""/>
      <w:lvlJc w:val="left"/>
    </w:lvl>
    <w:lvl w:ilvl="5" w:tplc="E4CC0C6A">
      <w:numFmt w:val="decimal"/>
      <w:lvlText w:val=""/>
      <w:lvlJc w:val="left"/>
    </w:lvl>
    <w:lvl w:ilvl="6" w:tplc="8DC40BDE">
      <w:numFmt w:val="decimal"/>
      <w:lvlText w:val=""/>
      <w:lvlJc w:val="left"/>
    </w:lvl>
    <w:lvl w:ilvl="7" w:tplc="A1DE6A3A">
      <w:numFmt w:val="decimal"/>
      <w:lvlText w:val=""/>
      <w:lvlJc w:val="left"/>
    </w:lvl>
    <w:lvl w:ilvl="8" w:tplc="A6AA783A">
      <w:numFmt w:val="decimal"/>
      <w:lvlText w:val=""/>
      <w:lvlJc w:val="left"/>
    </w:lvl>
  </w:abstractNum>
  <w:abstractNum w:abstractNumId="511" w15:restartNumberingAfterBreak="0">
    <w:nsid w:val="372F531B"/>
    <w:multiLevelType w:val="hybridMultilevel"/>
    <w:tmpl w:val="FCBA1090"/>
    <w:lvl w:ilvl="0" w:tplc="CEEA926C">
      <w:start w:val="1"/>
      <w:numFmt w:val="bullet"/>
      <w:lvlText w:val=""/>
      <w:lvlJc w:val="left"/>
      <w:pPr>
        <w:ind w:left="720" w:hanging="180"/>
      </w:pPr>
      <w:rPr>
        <w:rFonts w:ascii="Symbol" w:hAnsi="Symbol" w:hint="default"/>
      </w:rPr>
    </w:lvl>
    <w:lvl w:ilvl="1" w:tplc="D1EE3EA8">
      <w:numFmt w:val="decimal"/>
      <w:lvlText w:val=""/>
      <w:lvlJc w:val="left"/>
    </w:lvl>
    <w:lvl w:ilvl="2" w:tplc="234677B4">
      <w:numFmt w:val="decimal"/>
      <w:lvlText w:val=""/>
      <w:lvlJc w:val="left"/>
    </w:lvl>
    <w:lvl w:ilvl="3" w:tplc="B41636F6">
      <w:numFmt w:val="decimal"/>
      <w:lvlText w:val=""/>
      <w:lvlJc w:val="left"/>
    </w:lvl>
    <w:lvl w:ilvl="4" w:tplc="0B0E8380">
      <w:numFmt w:val="decimal"/>
      <w:lvlText w:val=""/>
      <w:lvlJc w:val="left"/>
    </w:lvl>
    <w:lvl w:ilvl="5" w:tplc="68F02242">
      <w:numFmt w:val="decimal"/>
      <w:lvlText w:val=""/>
      <w:lvlJc w:val="left"/>
    </w:lvl>
    <w:lvl w:ilvl="6" w:tplc="C46034BA">
      <w:numFmt w:val="decimal"/>
      <w:lvlText w:val=""/>
      <w:lvlJc w:val="left"/>
    </w:lvl>
    <w:lvl w:ilvl="7" w:tplc="4650DE38">
      <w:numFmt w:val="decimal"/>
      <w:lvlText w:val=""/>
      <w:lvlJc w:val="left"/>
    </w:lvl>
    <w:lvl w:ilvl="8" w:tplc="B19E935A">
      <w:numFmt w:val="decimal"/>
      <w:lvlText w:val=""/>
      <w:lvlJc w:val="left"/>
    </w:lvl>
  </w:abstractNum>
  <w:abstractNum w:abstractNumId="512" w15:restartNumberingAfterBreak="0">
    <w:nsid w:val="372F5469"/>
    <w:multiLevelType w:val="hybridMultilevel"/>
    <w:tmpl w:val="2410BD94"/>
    <w:lvl w:ilvl="0" w:tplc="827C315A">
      <w:start w:val="1"/>
      <w:numFmt w:val="bullet"/>
      <w:lvlText w:val=""/>
      <w:lvlJc w:val="left"/>
      <w:pPr>
        <w:ind w:left="720" w:hanging="180"/>
      </w:pPr>
      <w:rPr>
        <w:rFonts w:ascii="Symbol" w:hAnsi="Symbol" w:hint="default"/>
      </w:rPr>
    </w:lvl>
    <w:lvl w:ilvl="1" w:tplc="93AA459C">
      <w:numFmt w:val="decimal"/>
      <w:lvlText w:val=""/>
      <w:lvlJc w:val="left"/>
    </w:lvl>
    <w:lvl w:ilvl="2" w:tplc="D63078FC">
      <w:numFmt w:val="decimal"/>
      <w:lvlText w:val=""/>
      <w:lvlJc w:val="left"/>
    </w:lvl>
    <w:lvl w:ilvl="3" w:tplc="BF7C6F74">
      <w:numFmt w:val="decimal"/>
      <w:lvlText w:val=""/>
      <w:lvlJc w:val="left"/>
    </w:lvl>
    <w:lvl w:ilvl="4" w:tplc="498AB79C">
      <w:numFmt w:val="decimal"/>
      <w:lvlText w:val=""/>
      <w:lvlJc w:val="left"/>
    </w:lvl>
    <w:lvl w:ilvl="5" w:tplc="7848E4BA">
      <w:numFmt w:val="decimal"/>
      <w:lvlText w:val=""/>
      <w:lvlJc w:val="left"/>
    </w:lvl>
    <w:lvl w:ilvl="6" w:tplc="3EAEE50C">
      <w:numFmt w:val="decimal"/>
      <w:lvlText w:val=""/>
      <w:lvlJc w:val="left"/>
    </w:lvl>
    <w:lvl w:ilvl="7" w:tplc="98A8DDAC">
      <w:numFmt w:val="decimal"/>
      <w:lvlText w:val=""/>
      <w:lvlJc w:val="left"/>
    </w:lvl>
    <w:lvl w:ilvl="8" w:tplc="9F9E091C">
      <w:numFmt w:val="decimal"/>
      <w:lvlText w:val=""/>
      <w:lvlJc w:val="left"/>
    </w:lvl>
  </w:abstractNum>
  <w:abstractNum w:abstractNumId="513" w15:restartNumberingAfterBreak="0">
    <w:nsid w:val="374E7837"/>
    <w:multiLevelType w:val="hybridMultilevel"/>
    <w:tmpl w:val="32E0048E"/>
    <w:lvl w:ilvl="0" w:tplc="0D8CF20E">
      <w:start w:val="1"/>
      <w:numFmt w:val="bullet"/>
      <w:lvlText w:val=""/>
      <w:lvlJc w:val="left"/>
      <w:pPr>
        <w:ind w:left="720" w:hanging="180"/>
      </w:pPr>
      <w:rPr>
        <w:rFonts w:ascii="Symbol" w:hAnsi="Symbol" w:hint="default"/>
      </w:rPr>
    </w:lvl>
    <w:lvl w:ilvl="1" w:tplc="91E6C05E">
      <w:numFmt w:val="decimal"/>
      <w:lvlText w:val=""/>
      <w:lvlJc w:val="left"/>
    </w:lvl>
    <w:lvl w:ilvl="2" w:tplc="6F1E3A4E">
      <w:numFmt w:val="decimal"/>
      <w:lvlText w:val=""/>
      <w:lvlJc w:val="left"/>
    </w:lvl>
    <w:lvl w:ilvl="3" w:tplc="29307936">
      <w:numFmt w:val="decimal"/>
      <w:lvlText w:val=""/>
      <w:lvlJc w:val="left"/>
    </w:lvl>
    <w:lvl w:ilvl="4" w:tplc="7DF45918">
      <w:numFmt w:val="decimal"/>
      <w:lvlText w:val=""/>
      <w:lvlJc w:val="left"/>
    </w:lvl>
    <w:lvl w:ilvl="5" w:tplc="88662CBE">
      <w:numFmt w:val="decimal"/>
      <w:lvlText w:val=""/>
      <w:lvlJc w:val="left"/>
    </w:lvl>
    <w:lvl w:ilvl="6" w:tplc="CE50731A">
      <w:numFmt w:val="decimal"/>
      <w:lvlText w:val=""/>
      <w:lvlJc w:val="left"/>
    </w:lvl>
    <w:lvl w:ilvl="7" w:tplc="2D1A830E">
      <w:numFmt w:val="decimal"/>
      <w:lvlText w:val=""/>
      <w:lvlJc w:val="left"/>
    </w:lvl>
    <w:lvl w:ilvl="8" w:tplc="585AC748">
      <w:numFmt w:val="decimal"/>
      <w:lvlText w:val=""/>
      <w:lvlJc w:val="left"/>
    </w:lvl>
  </w:abstractNum>
  <w:abstractNum w:abstractNumId="514" w15:restartNumberingAfterBreak="0">
    <w:nsid w:val="376F4BDF"/>
    <w:multiLevelType w:val="hybridMultilevel"/>
    <w:tmpl w:val="CF347672"/>
    <w:lvl w:ilvl="0" w:tplc="6276CCE0">
      <w:start w:val="1"/>
      <w:numFmt w:val="bullet"/>
      <w:lvlText w:val=""/>
      <w:lvlJc w:val="left"/>
      <w:pPr>
        <w:ind w:left="720" w:hanging="180"/>
      </w:pPr>
      <w:rPr>
        <w:rFonts w:ascii="Symbol" w:hAnsi="Symbol" w:hint="default"/>
      </w:rPr>
    </w:lvl>
    <w:lvl w:ilvl="1" w:tplc="664E3162">
      <w:numFmt w:val="decimal"/>
      <w:lvlText w:val=""/>
      <w:lvlJc w:val="left"/>
    </w:lvl>
    <w:lvl w:ilvl="2" w:tplc="07082BBA">
      <w:numFmt w:val="decimal"/>
      <w:lvlText w:val=""/>
      <w:lvlJc w:val="left"/>
    </w:lvl>
    <w:lvl w:ilvl="3" w:tplc="085E422C">
      <w:numFmt w:val="decimal"/>
      <w:lvlText w:val=""/>
      <w:lvlJc w:val="left"/>
    </w:lvl>
    <w:lvl w:ilvl="4" w:tplc="F5185FCA">
      <w:numFmt w:val="decimal"/>
      <w:lvlText w:val=""/>
      <w:lvlJc w:val="left"/>
    </w:lvl>
    <w:lvl w:ilvl="5" w:tplc="27ECFB60">
      <w:numFmt w:val="decimal"/>
      <w:lvlText w:val=""/>
      <w:lvlJc w:val="left"/>
    </w:lvl>
    <w:lvl w:ilvl="6" w:tplc="53BCB7E6">
      <w:numFmt w:val="decimal"/>
      <w:lvlText w:val=""/>
      <w:lvlJc w:val="left"/>
    </w:lvl>
    <w:lvl w:ilvl="7" w:tplc="878A30C4">
      <w:numFmt w:val="decimal"/>
      <w:lvlText w:val=""/>
      <w:lvlJc w:val="left"/>
    </w:lvl>
    <w:lvl w:ilvl="8" w:tplc="55E6AD6C">
      <w:numFmt w:val="decimal"/>
      <w:lvlText w:val=""/>
      <w:lvlJc w:val="left"/>
    </w:lvl>
  </w:abstractNum>
  <w:abstractNum w:abstractNumId="515" w15:restartNumberingAfterBreak="0">
    <w:nsid w:val="37736393"/>
    <w:multiLevelType w:val="hybridMultilevel"/>
    <w:tmpl w:val="9F9E0424"/>
    <w:lvl w:ilvl="0" w:tplc="1B3061B8">
      <w:start w:val="1"/>
      <w:numFmt w:val="bullet"/>
      <w:lvlText w:val=""/>
      <w:lvlJc w:val="left"/>
      <w:pPr>
        <w:ind w:left="720" w:hanging="180"/>
      </w:pPr>
      <w:rPr>
        <w:rFonts w:ascii="Symbol" w:hAnsi="Symbol" w:hint="default"/>
      </w:rPr>
    </w:lvl>
    <w:lvl w:ilvl="1" w:tplc="25881540">
      <w:numFmt w:val="decimal"/>
      <w:lvlText w:val=""/>
      <w:lvlJc w:val="left"/>
    </w:lvl>
    <w:lvl w:ilvl="2" w:tplc="781AFA20">
      <w:numFmt w:val="decimal"/>
      <w:lvlText w:val=""/>
      <w:lvlJc w:val="left"/>
    </w:lvl>
    <w:lvl w:ilvl="3" w:tplc="58AC0FDC">
      <w:numFmt w:val="decimal"/>
      <w:lvlText w:val=""/>
      <w:lvlJc w:val="left"/>
    </w:lvl>
    <w:lvl w:ilvl="4" w:tplc="B33A27FE">
      <w:numFmt w:val="decimal"/>
      <w:lvlText w:val=""/>
      <w:lvlJc w:val="left"/>
    </w:lvl>
    <w:lvl w:ilvl="5" w:tplc="8D9C0098">
      <w:numFmt w:val="decimal"/>
      <w:lvlText w:val=""/>
      <w:lvlJc w:val="left"/>
    </w:lvl>
    <w:lvl w:ilvl="6" w:tplc="08420B72">
      <w:numFmt w:val="decimal"/>
      <w:lvlText w:val=""/>
      <w:lvlJc w:val="left"/>
    </w:lvl>
    <w:lvl w:ilvl="7" w:tplc="54C476E4">
      <w:numFmt w:val="decimal"/>
      <w:lvlText w:val=""/>
      <w:lvlJc w:val="left"/>
    </w:lvl>
    <w:lvl w:ilvl="8" w:tplc="A58A464E">
      <w:numFmt w:val="decimal"/>
      <w:lvlText w:val=""/>
      <w:lvlJc w:val="left"/>
    </w:lvl>
  </w:abstractNum>
  <w:abstractNum w:abstractNumId="516" w15:restartNumberingAfterBreak="0">
    <w:nsid w:val="377D7777"/>
    <w:multiLevelType w:val="hybridMultilevel"/>
    <w:tmpl w:val="E93C6732"/>
    <w:lvl w:ilvl="0" w:tplc="6832D7D8">
      <w:numFmt w:val="decimal"/>
      <w:lvlText w:val=""/>
      <w:lvlJc w:val="left"/>
    </w:lvl>
    <w:lvl w:ilvl="1" w:tplc="19EE2D6C">
      <w:numFmt w:val="decimal"/>
      <w:lvlText w:val=""/>
      <w:lvlJc w:val="left"/>
    </w:lvl>
    <w:lvl w:ilvl="2" w:tplc="DD8010F8">
      <w:start w:val="1"/>
      <w:numFmt w:val="bullet"/>
      <w:lvlText w:val=""/>
      <w:lvlJc w:val="left"/>
      <w:pPr>
        <w:ind w:left="2160" w:hanging="180"/>
      </w:pPr>
      <w:rPr>
        <w:rFonts w:ascii="Symbol" w:hAnsi="Symbol" w:hint="default"/>
      </w:rPr>
    </w:lvl>
    <w:lvl w:ilvl="3" w:tplc="43EC4992">
      <w:numFmt w:val="decimal"/>
      <w:lvlText w:val=""/>
      <w:lvlJc w:val="left"/>
    </w:lvl>
    <w:lvl w:ilvl="4" w:tplc="DCDA0F7E">
      <w:numFmt w:val="decimal"/>
      <w:lvlText w:val=""/>
      <w:lvlJc w:val="left"/>
    </w:lvl>
    <w:lvl w:ilvl="5" w:tplc="D418448A">
      <w:numFmt w:val="decimal"/>
      <w:lvlText w:val=""/>
      <w:lvlJc w:val="left"/>
    </w:lvl>
    <w:lvl w:ilvl="6" w:tplc="E6FACB0A">
      <w:numFmt w:val="decimal"/>
      <w:lvlText w:val=""/>
      <w:lvlJc w:val="left"/>
    </w:lvl>
    <w:lvl w:ilvl="7" w:tplc="B32E79D6">
      <w:numFmt w:val="decimal"/>
      <w:lvlText w:val=""/>
      <w:lvlJc w:val="left"/>
    </w:lvl>
    <w:lvl w:ilvl="8" w:tplc="9CE69616">
      <w:numFmt w:val="decimal"/>
      <w:lvlText w:val=""/>
      <w:lvlJc w:val="left"/>
    </w:lvl>
  </w:abstractNum>
  <w:abstractNum w:abstractNumId="517" w15:restartNumberingAfterBreak="0">
    <w:nsid w:val="379F1366"/>
    <w:multiLevelType w:val="hybridMultilevel"/>
    <w:tmpl w:val="EA9AB6EE"/>
    <w:lvl w:ilvl="0" w:tplc="38A43BB8">
      <w:start w:val="1"/>
      <w:numFmt w:val="bullet"/>
      <w:lvlText w:val=""/>
      <w:lvlJc w:val="left"/>
      <w:pPr>
        <w:ind w:left="720" w:hanging="180"/>
      </w:pPr>
      <w:rPr>
        <w:rFonts w:ascii="Symbol" w:hAnsi="Symbol" w:hint="default"/>
      </w:rPr>
    </w:lvl>
    <w:lvl w:ilvl="1" w:tplc="5C9A0FDE">
      <w:numFmt w:val="decimal"/>
      <w:lvlText w:val=""/>
      <w:lvlJc w:val="left"/>
    </w:lvl>
    <w:lvl w:ilvl="2" w:tplc="11FA1F54">
      <w:numFmt w:val="decimal"/>
      <w:lvlText w:val=""/>
      <w:lvlJc w:val="left"/>
    </w:lvl>
    <w:lvl w:ilvl="3" w:tplc="3E825920">
      <w:numFmt w:val="decimal"/>
      <w:lvlText w:val=""/>
      <w:lvlJc w:val="left"/>
    </w:lvl>
    <w:lvl w:ilvl="4" w:tplc="B1244BC4">
      <w:numFmt w:val="decimal"/>
      <w:lvlText w:val=""/>
      <w:lvlJc w:val="left"/>
    </w:lvl>
    <w:lvl w:ilvl="5" w:tplc="1B8E8FA2">
      <w:numFmt w:val="decimal"/>
      <w:lvlText w:val=""/>
      <w:lvlJc w:val="left"/>
    </w:lvl>
    <w:lvl w:ilvl="6" w:tplc="D21C1052">
      <w:numFmt w:val="decimal"/>
      <w:lvlText w:val=""/>
      <w:lvlJc w:val="left"/>
    </w:lvl>
    <w:lvl w:ilvl="7" w:tplc="56F42EBA">
      <w:numFmt w:val="decimal"/>
      <w:lvlText w:val=""/>
      <w:lvlJc w:val="left"/>
    </w:lvl>
    <w:lvl w:ilvl="8" w:tplc="217CF2FE">
      <w:numFmt w:val="decimal"/>
      <w:lvlText w:val=""/>
      <w:lvlJc w:val="left"/>
    </w:lvl>
  </w:abstractNum>
  <w:abstractNum w:abstractNumId="518" w15:restartNumberingAfterBreak="0">
    <w:nsid w:val="38171B1C"/>
    <w:multiLevelType w:val="hybridMultilevel"/>
    <w:tmpl w:val="8B0E42DC"/>
    <w:lvl w:ilvl="0" w:tplc="5CDCDFD8">
      <w:start w:val="1"/>
      <w:numFmt w:val="bullet"/>
      <w:lvlText w:val=""/>
      <w:lvlJc w:val="left"/>
      <w:pPr>
        <w:ind w:left="720" w:hanging="180"/>
      </w:pPr>
      <w:rPr>
        <w:rFonts w:ascii="Symbol" w:hAnsi="Symbol" w:hint="default"/>
      </w:rPr>
    </w:lvl>
    <w:lvl w:ilvl="1" w:tplc="F84AD584">
      <w:numFmt w:val="decimal"/>
      <w:lvlText w:val=""/>
      <w:lvlJc w:val="left"/>
    </w:lvl>
    <w:lvl w:ilvl="2" w:tplc="B6127382">
      <w:numFmt w:val="decimal"/>
      <w:lvlText w:val=""/>
      <w:lvlJc w:val="left"/>
    </w:lvl>
    <w:lvl w:ilvl="3" w:tplc="A0D46E20">
      <w:numFmt w:val="decimal"/>
      <w:lvlText w:val=""/>
      <w:lvlJc w:val="left"/>
    </w:lvl>
    <w:lvl w:ilvl="4" w:tplc="19289912">
      <w:numFmt w:val="decimal"/>
      <w:lvlText w:val=""/>
      <w:lvlJc w:val="left"/>
    </w:lvl>
    <w:lvl w:ilvl="5" w:tplc="E0BE6298">
      <w:numFmt w:val="decimal"/>
      <w:lvlText w:val=""/>
      <w:lvlJc w:val="left"/>
    </w:lvl>
    <w:lvl w:ilvl="6" w:tplc="F606DFCE">
      <w:numFmt w:val="decimal"/>
      <w:lvlText w:val=""/>
      <w:lvlJc w:val="left"/>
    </w:lvl>
    <w:lvl w:ilvl="7" w:tplc="7CB82E1A">
      <w:numFmt w:val="decimal"/>
      <w:lvlText w:val=""/>
      <w:lvlJc w:val="left"/>
    </w:lvl>
    <w:lvl w:ilvl="8" w:tplc="E618D6F2">
      <w:numFmt w:val="decimal"/>
      <w:lvlText w:val=""/>
      <w:lvlJc w:val="left"/>
    </w:lvl>
  </w:abstractNum>
  <w:abstractNum w:abstractNumId="519" w15:restartNumberingAfterBreak="0">
    <w:nsid w:val="381837C2"/>
    <w:multiLevelType w:val="hybridMultilevel"/>
    <w:tmpl w:val="BBD66FCA"/>
    <w:lvl w:ilvl="0" w:tplc="1F404B20">
      <w:numFmt w:val="decimal"/>
      <w:lvlText w:val=""/>
      <w:lvlJc w:val="left"/>
    </w:lvl>
    <w:lvl w:ilvl="1" w:tplc="59BE4832">
      <w:start w:val="1"/>
      <w:numFmt w:val="bullet"/>
      <w:lvlText w:val=""/>
      <w:lvlJc w:val="left"/>
      <w:pPr>
        <w:ind w:left="1440" w:hanging="180"/>
      </w:pPr>
      <w:rPr>
        <w:rFonts w:ascii="Symbol" w:hAnsi="Symbol" w:hint="default"/>
      </w:rPr>
    </w:lvl>
    <w:lvl w:ilvl="2" w:tplc="07F6B426">
      <w:numFmt w:val="decimal"/>
      <w:lvlText w:val=""/>
      <w:lvlJc w:val="left"/>
    </w:lvl>
    <w:lvl w:ilvl="3" w:tplc="BF9C631A">
      <w:numFmt w:val="decimal"/>
      <w:lvlText w:val=""/>
      <w:lvlJc w:val="left"/>
    </w:lvl>
    <w:lvl w:ilvl="4" w:tplc="55E24052">
      <w:numFmt w:val="decimal"/>
      <w:lvlText w:val=""/>
      <w:lvlJc w:val="left"/>
    </w:lvl>
    <w:lvl w:ilvl="5" w:tplc="085850FC">
      <w:numFmt w:val="decimal"/>
      <w:lvlText w:val=""/>
      <w:lvlJc w:val="left"/>
    </w:lvl>
    <w:lvl w:ilvl="6" w:tplc="4662896C">
      <w:numFmt w:val="decimal"/>
      <w:lvlText w:val=""/>
      <w:lvlJc w:val="left"/>
    </w:lvl>
    <w:lvl w:ilvl="7" w:tplc="951A9DC2">
      <w:numFmt w:val="decimal"/>
      <w:lvlText w:val=""/>
      <w:lvlJc w:val="left"/>
    </w:lvl>
    <w:lvl w:ilvl="8" w:tplc="CC3EECB0">
      <w:numFmt w:val="decimal"/>
      <w:lvlText w:val=""/>
      <w:lvlJc w:val="left"/>
    </w:lvl>
  </w:abstractNum>
  <w:abstractNum w:abstractNumId="520" w15:restartNumberingAfterBreak="0">
    <w:nsid w:val="382400B9"/>
    <w:multiLevelType w:val="hybridMultilevel"/>
    <w:tmpl w:val="EFE4ADD0"/>
    <w:lvl w:ilvl="0" w:tplc="A832FADC">
      <w:start w:val="1"/>
      <w:numFmt w:val="bullet"/>
      <w:lvlText w:val=""/>
      <w:lvlJc w:val="left"/>
      <w:pPr>
        <w:ind w:left="720" w:hanging="180"/>
      </w:pPr>
      <w:rPr>
        <w:rFonts w:ascii="Symbol" w:hAnsi="Symbol" w:hint="default"/>
      </w:rPr>
    </w:lvl>
    <w:lvl w:ilvl="1" w:tplc="73200046">
      <w:numFmt w:val="decimal"/>
      <w:lvlText w:val=""/>
      <w:lvlJc w:val="left"/>
    </w:lvl>
    <w:lvl w:ilvl="2" w:tplc="EEF25F38">
      <w:numFmt w:val="decimal"/>
      <w:lvlText w:val=""/>
      <w:lvlJc w:val="left"/>
    </w:lvl>
    <w:lvl w:ilvl="3" w:tplc="4704CDB4">
      <w:numFmt w:val="decimal"/>
      <w:lvlText w:val=""/>
      <w:lvlJc w:val="left"/>
    </w:lvl>
    <w:lvl w:ilvl="4" w:tplc="2A3A4DD8">
      <w:numFmt w:val="decimal"/>
      <w:lvlText w:val=""/>
      <w:lvlJc w:val="left"/>
    </w:lvl>
    <w:lvl w:ilvl="5" w:tplc="D35A9AB2">
      <w:numFmt w:val="decimal"/>
      <w:lvlText w:val=""/>
      <w:lvlJc w:val="left"/>
    </w:lvl>
    <w:lvl w:ilvl="6" w:tplc="39782A28">
      <w:numFmt w:val="decimal"/>
      <w:lvlText w:val=""/>
      <w:lvlJc w:val="left"/>
    </w:lvl>
    <w:lvl w:ilvl="7" w:tplc="9E3010EE">
      <w:numFmt w:val="decimal"/>
      <w:lvlText w:val=""/>
      <w:lvlJc w:val="left"/>
    </w:lvl>
    <w:lvl w:ilvl="8" w:tplc="E11688CA">
      <w:numFmt w:val="decimal"/>
      <w:lvlText w:val=""/>
      <w:lvlJc w:val="left"/>
    </w:lvl>
  </w:abstractNum>
  <w:abstractNum w:abstractNumId="521" w15:restartNumberingAfterBreak="0">
    <w:nsid w:val="38624542"/>
    <w:multiLevelType w:val="hybridMultilevel"/>
    <w:tmpl w:val="8BC6D1F6"/>
    <w:lvl w:ilvl="0" w:tplc="50F096B0">
      <w:start w:val="1"/>
      <w:numFmt w:val="bullet"/>
      <w:lvlText w:val=""/>
      <w:lvlJc w:val="left"/>
      <w:pPr>
        <w:ind w:left="720" w:hanging="180"/>
      </w:pPr>
      <w:rPr>
        <w:rFonts w:ascii="Symbol" w:hAnsi="Symbol" w:hint="default"/>
      </w:rPr>
    </w:lvl>
    <w:lvl w:ilvl="1" w:tplc="42120066">
      <w:numFmt w:val="decimal"/>
      <w:lvlText w:val=""/>
      <w:lvlJc w:val="left"/>
    </w:lvl>
    <w:lvl w:ilvl="2" w:tplc="C2967000">
      <w:numFmt w:val="decimal"/>
      <w:lvlText w:val=""/>
      <w:lvlJc w:val="left"/>
    </w:lvl>
    <w:lvl w:ilvl="3" w:tplc="44EA2E6A">
      <w:numFmt w:val="decimal"/>
      <w:lvlText w:val=""/>
      <w:lvlJc w:val="left"/>
    </w:lvl>
    <w:lvl w:ilvl="4" w:tplc="0A6AD02E">
      <w:numFmt w:val="decimal"/>
      <w:lvlText w:val=""/>
      <w:lvlJc w:val="left"/>
    </w:lvl>
    <w:lvl w:ilvl="5" w:tplc="14F2C7C6">
      <w:numFmt w:val="decimal"/>
      <w:lvlText w:val=""/>
      <w:lvlJc w:val="left"/>
    </w:lvl>
    <w:lvl w:ilvl="6" w:tplc="8CB0B0C6">
      <w:numFmt w:val="decimal"/>
      <w:lvlText w:val=""/>
      <w:lvlJc w:val="left"/>
    </w:lvl>
    <w:lvl w:ilvl="7" w:tplc="3ABEDF08">
      <w:numFmt w:val="decimal"/>
      <w:lvlText w:val=""/>
      <w:lvlJc w:val="left"/>
    </w:lvl>
    <w:lvl w:ilvl="8" w:tplc="D94E3B7A">
      <w:numFmt w:val="decimal"/>
      <w:lvlText w:val=""/>
      <w:lvlJc w:val="left"/>
    </w:lvl>
  </w:abstractNum>
  <w:abstractNum w:abstractNumId="522" w15:restartNumberingAfterBreak="0">
    <w:nsid w:val="386828DD"/>
    <w:multiLevelType w:val="hybridMultilevel"/>
    <w:tmpl w:val="E3A6F864"/>
    <w:lvl w:ilvl="0" w:tplc="CB0619D2">
      <w:start w:val="1"/>
      <w:numFmt w:val="bullet"/>
      <w:lvlText w:val=""/>
      <w:lvlJc w:val="left"/>
      <w:pPr>
        <w:ind w:left="720" w:hanging="180"/>
      </w:pPr>
      <w:rPr>
        <w:rFonts w:ascii="Symbol" w:hAnsi="Symbol" w:hint="default"/>
      </w:rPr>
    </w:lvl>
    <w:lvl w:ilvl="1" w:tplc="DC32EA16">
      <w:numFmt w:val="decimal"/>
      <w:lvlText w:val=""/>
      <w:lvlJc w:val="left"/>
    </w:lvl>
    <w:lvl w:ilvl="2" w:tplc="D408C416">
      <w:numFmt w:val="decimal"/>
      <w:lvlText w:val=""/>
      <w:lvlJc w:val="left"/>
    </w:lvl>
    <w:lvl w:ilvl="3" w:tplc="045C7FAC">
      <w:numFmt w:val="decimal"/>
      <w:lvlText w:val=""/>
      <w:lvlJc w:val="left"/>
    </w:lvl>
    <w:lvl w:ilvl="4" w:tplc="7B247A8C">
      <w:numFmt w:val="decimal"/>
      <w:lvlText w:val=""/>
      <w:lvlJc w:val="left"/>
    </w:lvl>
    <w:lvl w:ilvl="5" w:tplc="E6BAF88E">
      <w:numFmt w:val="decimal"/>
      <w:lvlText w:val=""/>
      <w:lvlJc w:val="left"/>
    </w:lvl>
    <w:lvl w:ilvl="6" w:tplc="F50C825A">
      <w:numFmt w:val="decimal"/>
      <w:lvlText w:val=""/>
      <w:lvlJc w:val="left"/>
    </w:lvl>
    <w:lvl w:ilvl="7" w:tplc="4D725D4C">
      <w:numFmt w:val="decimal"/>
      <w:lvlText w:val=""/>
      <w:lvlJc w:val="left"/>
    </w:lvl>
    <w:lvl w:ilvl="8" w:tplc="9D927132">
      <w:numFmt w:val="decimal"/>
      <w:lvlText w:val=""/>
      <w:lvlJc w:val="left"/>
    </w:lvl>
  </w:abstractNum>
  <w:abstractNum w:abstractNumId="523" w15:restartNumberingAfterBreak="0">
    <w:nsid w:val="386E1C98"/>
    <w:multiLevelType w:val="hybridMultilevel"/>
    <w:tmpl w:val="38D6C346"/>
    <w:lvl w:ilvl="0" w:tplc="FE6C1DCC">
      <w:start w:val="1"/>
      <w:numFmt w:val="bullet"/>
      <w:lvlText w:val=""/>
      <w:lvlJc w:val="left"/>
      <w:pPr>
        <w:ind w:left="720" w:hanging="180"/>
      </w:pPr>
      <w:rPr>
        <w:rFonts w:ascii="Symbol" w:hAnsi="Symbol" w:hint="default"/>
      </w:rPr>
    </w:lvl>
    <w:lvl w:ilvl="1" w:tplc="810AC126">
      <w:numFmt w:val="decimal"/>
      <w:lvlText w:val=""/>
      <w:lvlJc w:val="left"/>
    </w:lvl>
    <w:lvl w:ilvl="2" w:tplc="79ECD30A">
      <w:numFmt w:val="decimal"/>
      <w:lvlText w:val=""/>
      <w:lvlJc w:val="left"/>
    </w:lvl>
    <w:lvl w:ilvl="3" w:tplc="BB88C7DA">
      <w:numFmt w:val="decimal"/>
      <w:lvlText w:val=""/>
      <w:lvlJc w:val="left"/>
    </w:lvl>
    <w:lvl w:ilvl="4" w:tplc="728ABC26">
      <w:numFmt w:val="decimal"/>
      <w:lvlText w:val=""/>
      <w:lvlJc w:val="left"/>
    </w:lvl>
    <w:lvl w:ilvl="5" w:tplc="A4643414">
      <w:numFmt w:val="decimal"/>
      <w:lvlText w:val=""/>
      <w:lvlJc w:val="left"/>
    </w:lvl>
    <w:lvl w:ilvl="6" w:tplc="541AF1CE">
      <w:numFmt w:val="decimal"/>
      <w:lvlText w:val=""/>
      <w:lvlJc w:val="left"/>
    </w:lvl>
    <w:lvl w:ilvl="7" w:tplc="ED14D7E6">
      <w:numFmt w:val="decimal"/>
      <w:lvlText w:val=""/>
      <w:lvlJc w:val="left"/>
    </w:lvl>
    <w:lvl w:ilvl="8" w:tplc="0D6C296E">
      <w:numFmt w:val="decimal"/>
      <w:lvlText w:val=""/>
      <w:lvlJc w:val="left"/>
    </w:lvl>
  </w:abstractNum>
  <w:abstractNum w:abstractNumId="524" w15:restartNumberingAfterBreak="0">
    <w:nsid w:val="388B78D5"/>
    <w:multiLevelType w:val="hybridMultilevel"/>
    <w:tmpl w:val="A6886076"/>
    <w:lvl w:ilvl="0" w:tplc="0ABAD0EE">
      <w:start w:val="1"/>
      <w:numFmt w:val="bullet"/>
      <w:lvlText w:val=""/>
      <w:lvlJc w:val="left"/>
      <w:pPr>
        <w:ind w:left="720" w:hanging="180"/>
      </w:pPr>
      <w:rPr>
        <w:rFonts w:ascii="Symbol" w:hAnsi="Symbol" w:hint="default"/>
      </w:rPr>
    </w:lvl>
    <w:lvl w:ilvl="1" w:tplc="D10659D4">
      <w:numFmt w:val="decimal"/>
      <w:lvlText w:val=""/>
      <w:lvlJc w:val="left"/>
    </w:lvl>
    <w:lvl w:ilvl="2" w:tplc="B4BE5360">
      <w:numFmt w:val="decimal"/>
      <w:lvlText w:val=""/>
      <w:lvlJc w:val="left"/>
    </w:lvl>
    <w:lvl w:ilvl="3" w:tplc="E43EC4BE">
      <w:numFmt w:val="decimal"/>
      <w:lvlText w:val=""/>
      <w:lvlJc w:val="left"/>
    </w:lvl>
    <w:lvl w:ilvl="4" w:tplc="27D2F116">
      <w:numFmt w:val="decimal"/>
      <w:lvlText w:val=""/>
      <w:lvlJc w:val="left"/>
    </w:lvl>
    <w:lvl w:ilvl="5" w:tplc="A112D97E">
      <w:numFmt w:val="decimal"/>
      <w:lvlText w:val=""/>
      <w:lvlJc w:val="left"/>
    </w:lvl>
    <w:lvl w:ilvl="6" w:tplc="3C3C3CBC">
      <w:numFmt w:val="decimal"/>
      <w:lvlText w:val=""/>
      <w:lvlJc w:val="left"/>
    </w:lvl>
    <w:lvl w:ilvl="7" w:tplc="77F458A2">
      <w:numFmt w:val="decimal"/>
      <w:lvlText w:val=""/>
      <w:lvlJc w:val="left"/>
    </w:lvl>
    <w:lvl w:ilvl="8" w:tplc="9E2A53FA">
      <w:numFmt w:val="decimal"/>
      <w:lvlText w:val=""/>
      <w:lvlJc w:val="left"/>
    </w:lvl>
  </w:abstractNum>
  <w:abstractNum w:abstractNumId="525" w15:restartNumberingAfterBreak="0">
    <w:nsid w:val="38930BD6"/>
    <w:multiLevelType w:val="hybridMultilevel"/>
    <w:tmpl w:val="6B307F84"/>
    <w:lvl w:ilvl="0" w:tplc="55841880">
      <w:start w:val="1"/>
      <w:numFmt w:val="bullet"/>
      <w:lvlText w:val=""/>
      <w:lvlJc w:val="left"/>
      <w:pPr>
        <w:ind w:left="720" w:hanging="180"/>
      </w:pPr>
      <w:rPr>
        <w:rFonts w:ascii="Symbol" w:hAnsi="Symbol" w:hint="default"/>
      </w:rPr>
    </w:lvl>
    <w:lvl w:ilvl="1" w:tplc="60A6238E">
      <w:numFmt w:val="decimal"/>
      <w:lvlText w:val=""/>
      <w:lvlJc w:val="left"/>
    </w:lvl>
    <w:lvl w:ilvl="2" w:tplc="5F1C1BBA">
      <w:numFmt w:val="decimal"/>
      <w:lvlText w:val=""/>
      <w:lvlJc w:val="left"/>
    </w:lvl>
    <w:lvl w:ilvl="3" w:tplc="0A84BDDC">
      <w:numFmt w:val="decimal"/>
      <w:lvlText w:val=""/>
      <w:lvlJc w:val="left"/>
    </w:lvl>
    <w:lvl w:ilvl="4" w:tplc="2B1A0B0C">
      <w:numFmt w:val="decimal"/>
      <w:lvlText w:val=""/>
      <w:lvlJc w:val="left"/>
    </w:lvl>
    <w:lvl w:ilvl="5" w:tplc="15D26280">
      <w:numFmt w:val="decimal"/>
      <w:lvlText w:val=""/>
      <w:lvlJc w:val="left"/>
    </w:lvl>
    <w:lvl w:ilvl="6" w:tplc="2DB83688">
      <w:numFmt w:val="decimal"/>
      <w:lvlText w:val=""/>
      <w:lvlJc w:val="left"/>
    </w:lvl>
    <w:lvl w:ilvl="7" w:tplc="72A6A5FA">
      <w:numFmt w:val="decimal"/>
      <w:lvlText w:val=""/>
      <w:lvlJc w:val="left"/>
    </w:lvl>
    <w:lvl w:ilvl="8" w:tplc="EAE28EA6">
      <w:numFmt w:val="decimal"/>
      <w:lvlText w:val=""/>
      <w:lvlJc w:val="left"/>
    </w:lvl>
  </w:abstractNum>
  <w:abstractNum w:abstractNumId="526" w15:restartNumberingAfterBreak="0">
    <w:nsid w:val="38A855E4"/>
    <w:multiLevelType w:val="hybridMultilevel"/>
    <w:tmpl w:val="92207DFA"/>
    <w:lvl w:ilvl="0" w:tplc="87AAFBF4">
      <w:start w:val="1"/>
      <w:numFmt w:val="bullet"/>
      <w:lvlText w:val=""/>
      <w:lvlJc w:val="left"/>
      <w:pPr>
        <w:ind w:left="720" w:hanging="180"/>
      </w:pPr>
      <w:rPr>
        <w:rFonts w:ascii="Symbol" w:hAnsi="Symbol" w:hint="default"/>
      </w:rPr>
    </w:lvl>
    <w:lvl w:ilvl="1" w:tplc="7C94C33A">
      <w:numFmt w:val="decimal"/>
      <w:lvlText w:val=""/>
      <w:lvlJc w:val="left"/>
    </w:lvl>
    <w:lvl w:ilvl="2" w:tplc="03FC443A">
      <w:numFmt w:val="decimal"/>
      <w:lvlText w:val=""/>
      <w:lvlJc w:val="left"/>
    </w:lvl>
    <w:lvl w:ilvl="3" w:tplc="C7EC4542">
      <w:numFmt w:val="decimal"/>
      <w:lvlText w:val=""/>
      <w:lvlJc w:val="left"/>
    </w:lvl>
    <w:lvl w:ilvl="4" w:tplc="3FFC00A0">
      <w:numFmt w:val="decimal"/>
      <w:lvlText w:val=""/>
      <w:lvlJc w:val="left"/>
    </w:lvl>
    <w:lvl w:ilvl="5" w:tplc="467A282C">
      <w:numFmt w:val="decimal"/>
      <w:lvlText w:val=""/>
      <w:lvlJc w:val="left"/>
    </w:lvl>
    <w:lvl w:ilvl="6" w:tplc="86BA0018">
      <w:numFmt w:val="decimal"/>
      <w:lvlText w:val=""/>
      <w:lvlJc w:val="left"/>
    </w:lvl>
    <w:lvl w:ilvl="7" w:tplc="183877F4">
      <w:numFmt w:val="decimal"/>
      <w:lvlText w:val=""/>
      <w:lvlJc w:val="left"/>
    </w:lvl>
    <w:lvl w:ilvl="8" w:tplc="2B6885C2">
      <w:numFmt w:val="decimal"/>
      <w:lvlText w:val=""/>
      <w:lvlJc w:val="left"/>
    </w:lvl>
  </w:abstractNum>
  <w:abstractNum w:abstractNumId="527" w15:restartNumberingAfterBreak="0">
    <w:nsid w:val="38B244C2"/>
    <w:multiLevelType w:val="hybridMultilevel"/>
    <w:tmpl w:val="31B65D2A"/>
    <w:lvl w:ilvl="0" w:tplc="73E6AB4C">
      <w:start w:val="1"/>
      <w:numFmt w:val="bullet"/>
      <w:lvlText w:val=""/>
      <w:lvlJc w:val="left"/>
      <w:pPr>
        <w:ind w:left="720" w:hanging="180"/>
      </w:pPr>
      <w:rPr>
        <w:rFonts w:ascii="Symbol" w:hAnsi="Symbol" w:hint="default"/>
      </w:rPr>
    </w:lvl>
    <w:lvl w:ilvl="1" w:tplc="2376DD30">
      <w:numFmt w:val="decimal"/>
      <w:lvlText w:val=""/>
      <w:lvlJc w:val="left"/>
    </w:lvl>
    <w:lvl w:ilvl="2" w:tplc="FED6ED2A">
      <w:numFmt w:val="decimal"/>
      <w:lvlText w:val=""/>
      <w:lvlJc w:val="left"/>
    </w:lvl>
    <w:lvl w:ilvl="3" w:tplc="F40AB7DA">
      <w:numFmt w:val="decimal"/>
      <w:lvlText w:val=""/>
      <w:lvlJc w:val="left"/>
    </w:lvl>
    <w:lvl w:ilvl="4" w:tplc="9956E214">
      <w:numFmt w:val="decimal"/>
      <w:lvlText w:val=""/>
      <w:lvlJc w:val="left"/>
    </w:lvl>
    <w:lvl w:ilvl="5" w:tplc="AF12F214">
      <w:numFmt w:val="decimal"/>
      <w:lvlText w:val=""/>
      <w:lvlJc w:val="left"/>
    </w:lvl>
    <w:lvl w:ilvl="6" w:tplc="7FBCB3E2">
      <w:numFmt w:val="decimal"/>
      <w:lvlText w:val=""/>
      <w:lvlJc w:val="left"/>
    </w:lvl>
    <w:lvl w:ilvl="7" w:tplc="7E283176">
      <w:numFmt w:val="decimal"/>
      <w:lvlText w:val=""/>
      <w:lvlJc w:val="left"/>
    </w:lvl>
    <w:lvl w:ilvl="8" w:tplc="DBFCF2B4">
      <w:numFmt w:val="decimal"/>
      <w:lvlText w:val=""/>
      <w:lvlJc w:val="left"/>
    </w:lvl>
  </w:abstractNum>
  <w:abstractNum w:abstractNumId="528" w15:restartNumberingAfterBreak="0">
    <w:nsid w:val="38D458A9"/>
    <w:multiLevelType w:val="hybridMultilevel"/>
    <w:tmpl w:val="4D6A4C6E"/>
    <w:lvl w:ilvl="0" w:tplc="66483864">
      <w:start w:val="1"/>
      <w:numFmt w:val="bullet"/>
      <w:lvlText w:val=""/>
      <w:lvlJc w:val="left"/>
      <w:pPr>
        <w:ind w:left="720" w:hanging="180"/>
      </w:pPr>
      <w:rPr>
        <w:rFonts w:ascii="Symbol" w:hAnsi="Symbol" w:hint="default"/>
      </w:rPr>
    </w:lvl>
    <w:lvl w:ilvl="1" w:tplc="E6D4FB88">
      <w:numFmt w:val="decimal"/>
      <w:lvlText w:val=""/>
      <w:lvlJc w:val="left"/>
    </w:lvl>
    <w:lvl w:ilvl="2" w:tplc="3EC0B812">
      <w:numFmt w:val="decimal"/>
      <w:lvlText w:val=""/>
      <w:lvlJc w:val="left"/>
    </w:lvl>
    <w:lvl w:ilvl="3" w:tplc="14FEA1FC">
      <w:numFmt w:val="decimal"/>
      <w:lvlText w:val=""/>
      <w:lvlJc w:val="left"/>
    </w:lvl>
    <w:lvl w:ilvl="4" w:tplc="CDBC4A52">
      <w:numFmt w:val="decimal"/>
      <w:lvlText w:val=""/>
      <w:lvlJc w:val="left"/>
    </w:lvl>
    <w:lvl w:ilvl="5" w:tplc="A1024D6C">
      <w:numFmt w:val="decimal"/>
      <w:lvlText w:val=""/>
      <w:lvlJc w:val="left"/>
    </w:lvl>
    <w:lvl w:ilvl="6" w:tplc="92346030">
      <w:numFmt w:val="decimal"/>
      <w:lvlText w:val=""/>
      <w:lvlJc w:val="left"/>
    </w:lvl>
    <w:lvl w:ilvl="7" w:tplc="7C58E0FE">
      <w:numFmt w:val="decimal"/>
      <w:lvlText w:val=""/>
      <w:lvlJc w:val="left"/>
    </w:lvl>
    <w:lvl w:ilvl="8" w:tplc="2BE09A80">
      <w:numFmt w:val="decimal"/>
      <w:lvlText w:val=""/>
      <w:lvlJc w:val="left"/>
    </w:lvl>
  </w:abstractNum>
  <w:abstractNum w:abstractNumId="529" w15:restartNumberingAfterBreak="0">
    <w:nsid w:val="38DB6A78"/>
    <w:multiLevelType w:val="hybridMultilevel"/>
    <w:tmpl w:val="7EBC93B8"/>
    <w:lvl w:ilvl="0" w:tplc="9BE2A17E">
      <w:start w:val="1"/>
      <w:numFmt w:val="bullet"/>
      <w:lvlText w:val=""/>
      <w:lvlJc w:val="left"/>
      <w:pPr>
        <w:ind w:left="720" w:hanging="180"/>
      </w:pPr>
      <w:rPr>
        <w:rFonts w:ascii="Symbol" w:hAnsi="Symbol" w:hint="default"/>
      </w:rPr>
    </w:lvl>
    <w:lvl w:ilvl="1" w:tplc="1068DCF4">
      <w:numFmt w:val="decimal"/>
      <w:lvlText w:val=""/>
      <w:lvlJc w:val="left"/>
    </w:lvl>
    <w:lvl w:ilvl="2" w:tplc="0FA6C94C">
      <w:numFmt w:val="decimal"/>
      <w:lvlText w:val=""/>
      <w:lvlJc w:val="left"/>
    </w:lvl>
    <w:lvl w:ilvl="3" w:tplc="E2F211B0">
      <w:numFmt w:val="decimal"/>
      <w:lvlText w:val=""/>
      <w:lvlJc w:val="left"/>
    </w:lvl>
    <w:lvl w:ilvl="4" w:tplc="DB68B744">
      <w:numFmt w:val="decimal"/>
      <w:lvlText w:val=""/>
      <w:lvlJc w:val="left"/>
    </w:lvl>
    <w:lvl w:ilvl="5" w:tplc="3A6EDEEA">
      <w:numFmt w:val="decimal"/>
      <w:lvlText w:val=""/>
      <w:lvlJc w:val="left"/>
    </w:lvl>
    <w:lvl w:ilvl="6" w:tplc="7890CA58">
      <w:numFmt w:val="decimal"/>
      <w:lvlText w:val=""/>
      <w:lvlJc w:val="left"/>
    </w:lvl>
    <w:lvl w:ilvl="7" w:tplc="3BD0115E">
      <w:numFmt w:val="decimal"/>
      <w:lvlText w:val=""/>
      <w:lvlJc w:val="left"/>
    </w:lvl>
    <w:lvl w:ilvl="8" w:tplc="BF300B78">
      <w:numFmt w:val="decimal"/>
      <w:lvlText w:val=""/>
      <w:lvlJc w:val="left"/>
    </w:lvl>
  </w:abstractNum>
  <w:abstractNum w:abstractNumId="530" w15:restartNumberingAfterBreak="0">
    <w:nsid w:val="38F30F2A"/>
    <w:multiLevelType w:val="hybridMultilevel"/>
    <w:tmpl w:val="D2AA405E"/>
    <w:lvl w:ilvl="0" w:tplc="D87EFC6A">
      <w:start w:val="1"/>
      <w:numFmt w:val="bullet"/>
      <w:lvlText w:val=""/>
      <w:lvlJc w:val="left"/>
      <w:pPr>
        <w:ind w:left="720" w:hanging="180"/>
      </w:pPr>
      <w:rPr>
        <w:rFonts w:ascii="Symbol" w:hAnsi="Symbol" w:hint="default"/>
      </w:rPr>
    </w:lvl>
    <w:lvl w:ilvl="1" w:tplc="38E4D78E">
      <w:numFmt w:val="decimal"/>
      <w:lvlText w:val=""/>
      <w:lvlJc w:val="left"/>
    </w:lvl>
    <w:lvl w:ilvl="2" w:tplc="E7F05F82">
      <w:numFmt w:val="decimal"/>
      <w:lvlText w:val=""/>
      <w:lvlJc w:val="left"/>
    </w:lvl>
    <w:lvl w:ilvl="3" w:tplc="8BC45EF0">
      <w:numFmt w:val="decimal"/>
      <w:lvlText w:val=""/>
      <w:lvlJc w:val="left"/>
    </w:lvl>
    <w:lvl w:ilvl="4" w:tplc="80E2CFF4">
      <w:numFmt w:val="decimal"/>
      <w:lvlText w:val=""/>
      <w:lvlJc w:val="left"/>
    </w:lvl>
    <w:lvl w:ilvl="5" w:tplc="4EE6364A">
      <w:numFmt w:val="decimal"/>
      <w:lvlText w:val=""/>
      <w:lvlJc w:val="left"/>
    </w:lvl>
    <w:lvl w:ilvl="6" w:tplc="1AEC2AF4">
      <w:numFmt w:val="decimal"/>
      <w:lvlText w:val=""/>
      <w:lvlJc w:val="left"/>
    </w:lvl>
    <w:lvl w:ilvl="7" w:tplc="21564E68">
      <w:numFmt w:val="decimal"/>
      <w:lvlText w:val=""/>
      <w:lvlJc w:val="left"/>
    </w:lvl>
    <w:lvl w:ilvl="8" w:tplc="68562732">
      <w:numFmt w:val="decimal"/>
      <w:lvlText w:val=""/>
      <w:lvlJc w:val="left"/>
    </w:lvl>
  </w:abstractNum>
  <w:abstractNum w:abstractNumId="531" w15:restartNumberingAfterBreak="0">
    <w:nsid w:val="39007EEC"/>
    <w:multiLevelType w:val="hybridMultilevel"/>
    <w:tmpl w:val="11ECCEDA"/>
    <w:lvl w:ilvl="0" w:tplc="33C80C34">
      <w:start w:val="1"/>
      <w:numFmt w:val="bullet"/>
      <w:lvlText w:val=""/>
      <w:lvlJc w:val="left"/>
      <w:pPr>
        <w:ind w:left="720" w:hanging="180"/>
      </w:pPr>
      <w:rPr>
        <w:rFonts w:ascii="Symbol" w:hAnsi="Symbol" w:hint="default"/>
      </w:rPr>
    </w:lvl>
    <w:lvl w:ilvl="1" w:tplc="AC4C710C">
      <w:numFmt w:val="decimal"/>
      <w:lvlText w:val=""/>
      <w:lvlJc w:val="left"/>
    </w:lvl>
    <w:lvl w:ilvl="2" w:tplc="6434BC30">
      <w:numFmt w:val="decimal"/>
      <w:lvlText w:val=""/>
      <w:lvlJc w:val="left"/>
    </w:lvl>
    <w:lvl w:ilvl="3" w:tplc="16E6E1C6">
      <w:numFmt w:val="decimal"/>
      <w:lvlText w:val=""/>
      <w:lvlJc w:val="left"/>
    </w:lvl>
    <w:lvl w:ilvl="4" w:tplc="2A0A0C28">
      <w:numFmt w:val="decimal"/>
      <w:lvlText w:val=""/>
      <w:lvlJc w:val="left"/>
    </w:lvl>
    <w:lvl w:ilvl="5" w:tplc="D5305412">
      <w:numFmt w:val="decimal"/>
      <w:lvlText w:val=""/>
      <w:lvlJc w:val="left"/>
    </w:lvl>
    <w:lvl w:ilvl="6" w:tplc="B89818AA">
      <w:numFmt w:val="decimal"/>
      <w:lvlText w:val=""/>
      <w:lvlJc w:val="left"/>
    </w:lvl>
    <w:lvl w:ilvl="7" w:tplc="A8CAD5C2">
      <w:numFmt w:val="decimal"/>
      <w:lvlText w:val=""/>
      <w:lvlJc w:val="left"/>
    </w:lvl>
    <w:lvl w:ilvl="8" w:tplc="27626342">
      <w:numFmt w:val="decimal"/>
      <w:lvlText w:val=""/>
      <w:lvlJc w:val="left"/>
    </w:lvl>
  </w:abstractNum>
  <w:abstractNum w:abstractNumId="532" w15:restartNumberingAfterBreak="0">
    <w:nsid w:val="390A67CE"/>
    <w:multiLevelType w:val="hybridMultilevel"/>
    <w:tmpl w:val="2A985F0E"/>
    <w:lvl w:ilvl="0" w:tplc="3326CA16">
      <w:start w:val="1"/>
      <w:numFmt w:val="bullet"/>
      <w:lvlText w:val=""/>
      <w:lvlJc w:val="left"/>
      <w:pPr>
        <w:ind w:left="720" w:hanging="180"/>
      </w:pPr>
      <w:rPr>
        <w:rFonts w:ascii="Symbol" w:hAnsi="Symbol" w:hint="default"/>
      </w:rPr>
    </w:lvl>
    <w:lvl w:ilvl="1" w:tplc="5F8293DA">
      <w:numFmt w:val="decimal"/>
      <w:lvlText w:val=""/>
      <w:lvlJc w:val="left"/>
    </w:lvl>
    <w:lvl w:ilvl="2" w:tplc="9826854E">
      <w:numFmt w:val="decimal"/>
      <w:lvlText w:val=""/>
      <w:lvlJc w:val="left"/>
    </w:lvl>
    <w:lvl w:ilvl="3" w:tplc="757A27A0">
      <w:numFmt w:val="decimal"/>
      <w:lvlText w:val=""/>
      <w:lvlJc w:val="left"/>
    </w:lvl>
    <w:lvl w:ilvl="4" w:tplc="6AEC6574">
      <w:numFmt w:val="decimal"/>
      <w:lvlText w:val=""/>
      <w:lvlJc w:val="left"/>
    </w:lvl>
    <w:lvl w:ilvl="5" w:tplc="7CCE8752">
      <w:numFmt w:val="decimal"/>
      <w:lvlText w:val=""/>
      <w:lvlJc w:val="left"/>
    </w:lvl>
    <w:lvl w:ilvl="6" w:tplc="CD4A2216">
      <w:numFmt w:val="decimal"/>
      <w:lvlText w:val=""/>
      <w:lvlJc w:val="left"/>
    </w:lvl>
    <w:lvl w:ilvl="7" w:tplc="EA08E12E">
      <w:numFmt w:val="decimal"/>
      <w:lvlText w:val=""/>
      <w:lvlJc w:val="left"/>
    </w:lvl>
    <w:lvl w:ilvl="8" w:tplc="43823164">
      <w:numFmt w:val="decimal"/>
      <w:lvlText w:val=""/>
      <w:lvlJc w:val="left"/>
    </w:lvl>
  </w:abstractNum>
  <w:abstractNum w:abstractNumId="533" w15:restartNumberingAfterBreak="0">
    <w:nsid w:val="390B15EE"/>
    <w:multiLevelType w:val="hybridMultilevel"/>
    <w:tmpl w:val="EF4014E4"/>
    <w:lvl w:ilvl="0" w:tplc="BA76E6B4">
      <w:start w:val="1"/>
      <w:numFmt w:val="bullet"/>
      <w:lvlText w:val=""/>
      <w:lvlJc w:val="left"/>
      <w:pPr>
        <w:ind w:left="720" w:hanging="180"/>
      </w:pPr>
      <w:rPr>
        <w:rFonts w:ascii="Symbol" w:hAnsi="Symbol" w:hint="default"/>
      </w:rPr>
    </w:lvl>
    <w:lvl w:ilvl="1" w:tplc="4438767E">
      <w:numFmt w:val="decimal"/>
      <w:lvlText w:val=""/>
      <w:lvlJc w:val="left"/>
    </w:lvl>
    <w:lvl w:ilvl="2" w:tplc="4FDC250A">
      <w:numFmt w:val="decimal"/>
      <w:lvlText w:val=""/>
      <w:lvlJc w:val="left"/>
    </w:lvl>
    <w:lvl w:ilvl="3" w:tplc="48C649D8">
      <w:numFmt w:val="decimal"/>
      <w:lvlText w:val=""/>
      <w:lvlJc w:val="left"/>
    </w:lvl>
    <w:lvl w:ilvl="4" w:tplc="71148C5C">
      <w:numFmt w:val="decimal"/>
      <w:lvlText w:val=""/>
      <w:lvlJc w:val="left"/>
    </w:lvl>
    <w:lvl w:ilvl="5" w:tplc="24624BF4">
      <w:numFmt w:val="decimal"/>
      <w:lvlText w:val=""/>
      <w:lvlJc w:val="left"/>
    </w:lvl>
    <w:lvl w:ilvl="6" w:tplc="3FAE6836">
      <w:numFmt w:val="decimal"/>
      <w:lvlText w:val=""/>
      <w:lvlJc w:val="left"/>
    </w:lvl>
    <w:lvl w:ilvl="7" w:tplc="48486346">
      <w:numFmt w:val="decimal"/>
      <w:lvlText w:val=""/>
      <w:lvlJc w:val="left"/>
    </w:lvl>
    <w:lvl w:ilvl="8" w:tplc="E57C6518">
      <w:numFmt w:val="decimal"/>
      <w:lvlText w:val=""/>
      <w:lvlJc w:val="left"/>
    </w:lvl>
  </w:abstractNum>
  <w:abstractNum w:abstractNumId="534" w15:restartNumberingAfterBreak="0">
    <w:nsid w:val="39135ECF"/>
    <w:multiLevelType w:val="hybridMultilevel"/>
    <w:tmpl w:val="E578C2B0"/>
    <w:lvl w:ilvl="0" w:tplc="6B9EFBEC">
      <w:start w:val="1"/>
      <w:numFmt w:val="bullet"/>
      <w:lvlText w:val=""/>
      <w:lvlJc w:val="left"/>
      <w:pPr>
        <w:ind w:left="720" w:hanging="180"/>
      </w:pPr>
      <w:rPr>
        <w:rFonts w:ascii="Symbol" w:hAnsi="Symbol" w:hint="default"/>
      </w:rPr>
    </w:lvl>
    <w:lvl w:ilvl="1" w:tplc="1F324B3C">
      <w:numFmt w:val="decimal"/>
      <w:lvlText w:val=""/>
      <w:lvlJc w:val="left"/>
    </w:lvl>
    <w:lvl w:ilvl="2" w:tplc="AD02D358">
      <w:numFmt w:val="decimal"/>
      <w:lvlText w:val=""/>
      <w:lvlJc w:val="left"/>
    </w:lvl>
    <w:lvl w:ilvl="3" w:tplc="4DFAE926">
      <w:numFmt w:val="decimal"/>
      <w:lvlText w:val=""/>
      <w:lvlJc w:val="left"/>
    </w:lvl>
    <w:lvl w:ilvl="4" w:tplc="E59E6ED4">
      <w:numFmt w:val="decimal"/>
      <w:lvlText w:val=""/>
      <w:lvlJc w:val="left"/>
    </w:lvl>
    <w:lvl w:ilvl="5" w:tplc="533CA3A0">
      <w:numFmt w:val="decimal"/>
      <w:lvlText w:val=""/>
      <w:lvlJc w:val="left"/>
    </w:lvl>
    <w:lvl w:ilvl="6" w:tplc="C368E5E8">
      <w:numFmt w:val="decimal"/>
      <w:lvlText w:val=""/>
      <w:lvlJc w:val="left"/>
    </w:lvl>
    <w:lvl w:ilvl="7" w:tplc="B84018D0">
      <w:numFmt w:val="decimal"/>
      <w:lvlText w:val=""/>
      <w:lvlJc w:val="left"/>
    </w:lvl>
    <w:lvl w:ilvl="8" w:tplc="6D9A4228">
      <w:numFmt w:val="decimal"/>
      <w:lvlText w:val=""/>
      <w:lvlJc w:val="left"/>
    </w:lvl>
  </w:abstractNum>
  <w:abstractNum w:abstractNumId="535" w15:restartNumberingAfterBreak="0">
    <w:nsid w:val="393A1362"/>
    <w:multiLevelType w:val="hybridMultilevel"/>
    <w:tmpl w:val="8A3CC5D2"/>
    <w:lvl w:ilvl="0" w:tplc="7F7AF2E8">
      <w:numFmt w:val="decimal"/>
      <w:lvlText w:val=""/>
      <w:lvlJc w:val="left"/>
    </w:lvl>
    <w:lvl w:ilvl="1" w:tplc="5C74534E">
      <w:start w:val="1"/>
      <w:numFmt w:val="bullet"/>
      <w:lvlText w:val=""/>
      <w:lvlJc w:val="left"/>
      <w:pPr>
        <w:ind w:left="1440" w:hanging="180"/>
      </w:pPr>
      <w:rPr>
        <w:rFonts w:ascii="Symbol" w:hAnsi="Symbol" w:hint="default"/>
      </w:rPr>
    </w:lvl>
    <w:lvl w:ilvl="2" w:tplc="51801F04">
      <w:numFmt w:val="decimal"/>
      <w:lvlText w:val=""/>
      <w:lvlJc w:val="left"/>
    </w:lvl>
    <w:lvl w:ilvl="3" w:tplc="42841676">
      <w:numFmt w:val="decimal"/>
      <w:lvlText w:val=""/>
      <w:lvlJc w:val="left"/>
    </w:lvl>
    <w:lvl w:ilvl="4" w:tplc="03148B04">
      <w:numFmt w:val="decimal"/>
      <w:lvlText w:val=""/>
      <w:lvlJc w:val="left"/>
    </w:lvl>
    <w:lvl w:ilvl="5" w:tplc="C0AE7F62">
      <w:numFmt w:val="decimal"/>
      <w:lvlText w:val=""/>
      <w:lvlJc w:val="left"/>
    </w:lvl>
    <w:lvl w:ilvl="6" w:tplc="31E6A836">
      <w:numFmt w:val="decimal"/>
      <w:lvlText w:val=""/>
      <w:lvlJc w:val="left"/>
    </w:lvl>
    <w:lvl w:ilvl="7" w:tplc="C23E6F10">
      <w:numFmt w:val="decimal"/>
      <w:lvlText w:val=""/>
      <w:lvlJc w:val="left"/>
    </w:lvl>
    <w:lvl w:ilvl="8" w:tplc="3738EBE8">
      <w:numFmt w:val="decimal"/>
      <w:lvlText w:val=""/>
      <w:lvlJc w:val="left"/>
    </w:lvl>
  </w:abstractNum>
  <w:abstractNum w:abstractNumId="536" w15:restartNumberingAfterBreak="0">
    <w:nsid w:val="3987315B"/>
    <w:multiLevelType w:val="hybridMultilevel"/>
    <w:tmpl w:val="3466B474"/>
    <w:lvl w:ilvl="0" w:tplc="53A09F52">
      <w:start w:val="1"/>
      <w:numFmt w:val="bullet"/>
      <w:lvlText w:val=""/>
      <w:lvlJc w:val="left"/>
      <w:pPr>
        <w:ind w:left="720" w:hanging="180"/>
      </w:pPr>
      <w:rPr>
        <w:rFonts w:ascii="Symbol" w:hAnsi="Symbol" w:hint="default"/>
      </w:rPr>
    </w:lvl>
    <w:lvl w:ilvl="1" w:tplc="AB18637E">
      <w:numFmt w:val="decimal"/>
      <w:lvlText w:val=""/>
      <w:lvlJc w:val="left"/>
    </w:lvl>
    <w:lvl w:ilvl="2" w:tplc="5CC2D4BE">
      <w:numFmt w:val="decimal"/>
      <w:lvlText w:val=""/>
      <w:lvlJc w:val="left"/>
    </w:lvl>
    <w:lvl w:ilvl="3" w:tplc="2B56CA70">
      <w:numFmt w:val="decimal"/>
      <w:lvlText w:val=""/>
      <w:lvlJc w:val="left"/>
    </w:lvl>
    <w:lvl w:ilvl="4" w:tplc="BC243F9A">
      <w:numFmt w:val="decimal"/>
      <w:lvlText w:val=""/>
      <w:lvlJc w:val="left"/>
    </w:lvl>
    <w:lvl w:ilvl="5" w:tplc="87FC77E2">
      <w:numFmt w:val="decimal"/>
      <w:lvlText w:val=""/>
      <w:lvlJc w:val="left"/>
    </w:lvl>
    <w:lvl w:ilvl="6" w:tplc="8D580192">
      <w:numFmt w:val="decimal"/>
      <w:lvlText w:val=""/>
      <w:lvlJc w:val="left"/>
    </w:lvl>
    <w:lvl w:ilvl="7" w:tplc="BD6C50B8">
      <w:numFmt w:val="decimal"/>
      <w:lvlText w:val=""/>
      <w:lvlJc w:val="left"/>
    </w:lvl>
    <w:lvl w:ilvl="8" w:tplc="31D071E2">
      <w:numFmt w:val="decimal"/>
      <w:lvlText w:val=""/>
      <w:lvlJc w:val="left"/>
    </w:lvl>
  </w:abstractNum>
  <w:abstractNum w:abstractNumId="537" w15:restartNumberingAfterBreak="0">
    <w:nsid w:val="39BB0553"/>
    <w:multiLevelType w:val="hybridMultilevel"/>
    <w:tmpl w:val="CEBEE6CA"/>
    <w:lvl w:ilvl="0" w:tplc="501473F4">
      <w:start w:val="1"/>
      <w:numFmt w:val="bullet"/>
      <w:lvlText w:val=""/>
      <w:lvlJc w:val="left"/>
      <w:pPr>
        <w:ind w:left="720" w:hanging="180"/>
      </w:pPr>
      <w:rPr>
        <w:rFonts w:ascii="Symbol" w:hAnsi="Symbol" w:hint="default"/>
      </w:rPr>
    </w:lvl>
    <w:lvl w:ilvl="1" w:tplc="F502DE54">
      <w:numFmt w:val="decimal"/>
      <w:lvlText w:val=""/>
      <w:lvlJc w:val="left"/>
    </w:lvl>
    <w:lvl w:ilvl="2" w:tplc="BF026962">
      <w:numFmt w:val="decimal"/>
      <w:lvlText w:val=""/>
      <w:lvlJc w:val="left"/>
    </w:lvl>
    <w:lvl w:ilvl="3" w:tplc="60BEAD36">
      <w:numFmt w:val="decimal"/>
      <w:lvlText w:val=""/>
      <w:lvlJc w:val="left"/>
    </w:lvl>
    <w:lvl w:ilvl="4" w:tplc="6DA6E5D0">
      <w:numFmt w:val="decimal"/>
      <w:lvlText w:val=""/>
      <w:lvlJc w:val="left"/>
    </w:lvl>
    <w:lvl w:ilvl="5" w:tplc="EEE8B9C0">
      <w:numFmt w:val="decimal"/>
      <w:lvlText w:val=""/>
      <w:lvlJc w:val="left"/>
    </w:lvl>
    <w:lvl w:ilvl="6" w:tplc="7E62FC04">
      <w:numFmt w:val="decimal"/>
      <w:lvlText w:val=""/>
      <w:lvlJc w:val="left"/>
    </w:lvl>
    <w:lvl w:ilvl="7" w:tplc="D0D280FA">
      <w:numFmt w:val="decimal"/>
      <w:lvlText w:val=""/>
      <w:lvlJc w:val="left"/>
    </w:lvl>
    <w:lvl w:ilvl="8" w:tplc="871A5A6A">
      <w:numFmt w:val="decimal"/>
      <w:lvlText w:val=""/>
      <w:lvlJc w:val="left"/>
    </w:lvl>
  </w:abstractNum>
  <w:abstractNum w:abstractNumId="538" w15:restartNumberingAfterBreak="0">
    <w:nsid w:val="39C85BAF"/>
    <w:multiLevelType w:val="hybridMultilevel"/>
    <w:tmpl w:val="3AF8ABAE"/>
    <w:lvl w:ilvl="0" w:tplc="E52096F4">
      <w:start w:val="1"/>
      <w:numFmt w:val="bullet"/>
      <w:lvlText w:val=""/>
      <w:lvlJc w:val="left"/>
      <w:pPr>
        <w:ind w:left="720" w:hanging="180"/>
      </w:pPr>
      <w:rPr>
        <w:rFonts w:ascii="Symbol" w:hAnsi="Symbol" w:hint="default"/>
      </w:rPr>
    </w:lvl>
    <w:lvl w:ilvl="1" w:tplc="ACD63ECE">
      <w:numFmt w:val="decimal"/>
      <w:lvlText w:val=""/>
      <w:lvlJc w:val="left"/>
    </w:lvl>
    <w:lvl w:ilvl="2" w:tplc="CF7EC6CA">
      <w:numFmt w:val="decimal"/>
      <w:lvlText w:val=""/>
      <w:lvlJc w:val="left"/>
    </w:lvl>
    <w:lvl w:ilvl="3" w:tplc="A738BF36">
      <w:numFmt w:val="decimal"/>
      <w:lvlText w:val=""/>
      <w:lvlJc w:val="left"/>
    </w:lvl>
    <w:lvl w:ilvl="4" w:tplc="284A098A">
      <w:numFmt w:val="decimal"/>
      <w:lvlText w:val=""/>
      <w:lvlJc w:val="left"/>
    </w:lvl>
    <w:lvl w:ilvl="5" w:tplc="41F4BCD2">
      <w:numFmt w:val="decimal"/>
      <w:lvlText w:val=""/>
      <w:lvlJc w:val="left"/>
    </w:lvl>
    <w:lvl w:ilvl="6" w:tplc="720CA5CE">
      <w:numFmt w:val="decimal"/>
      <w:lvlText w:val=""/>
      <w:lvlJc w:val="left"/>
    </w:lvl>
    <w:lvl w:ilvl="7" w:tplc="3DD46B12">
      <w:numFmt w:val="decimal"/>
      <w:lvlText w:val=""/>
      <w:lvlJc w:val="left"/>
    </w:lvl>
    <w:lvl w:ilvl="8" w:tplc="00E25DE6">
      <w:numFmt w:val="decimal"/>
      <w:lvlText w:val=""/>
      <w:lvlJc w:val="left"/>
    </w:lvl>
  </w:abstractNum>
  <w:abstractNum w:abstractNumId="539" w15:restartNumberingAfterBreak="0">
    <w:nsid w:val="3A3C491B"/>
    <w:multiLevelType w:val="hybridMultilevel"/>
    <w:tmpl w:val="8B6AEF12"/>
    <w:lvl w:ilvl="0" w:tplc="371A2EF0">
      <w:start w:val="1"/>
      <w:numFmt w:val="bullet"/>
      <w:lvlText w:val=""/>
      <w:lvlJc w:val="left"/>
      <w:pPr>
        <w:ind w:left="720" w:hanging="180"/>
      </w:pPr>
      <w:rPr>
        <w:rFonts w:ascii="Symbol" w:hAnsi="Symbol" w:hint="default"/>
      </w:rPr>
    </w:lvl>
    <w:lvl w:ilvl="1" w:tplc="1F926970">
      <w:numFmt w:val="decimal"/>
      <w:lvlText w:val=""/>
      <w:lvlJc w:val="left"/>
    </w:lvl>
    <w:lvl w:ilvl="2" w:tplc="52E0F590">
      <w:numFmt w:val="decimal"/>
      <w:lvlText w:val=""/>
      <w:lvlJc w:val="left"/>
    </w:lvl>
    <w:lvl w:ilvl="3" w:tplc="4AF4F6D0">
      <w:numFmt w:val="decimal"/>
      <w:lvlText w:val=""/>
      <w:lvlJc w:val="left"/>
    </w:lvl>
    <w:lvl w:ilvl="4" w:tplc="3B127B5A">
      <w:numFmt w:val="decimal"/>
      <w:lvlText w:val=""/>
      <w:lvlJc w:val="left"/>
    </w:lvl>
    <w:lvl w:ilvl="5" w:tplc="B72EEF5E">
      <w:numFmt w:val="decimal"/>
      <w:lvlText w:val=""/>
      <w:lvlJc w:val="left"/>
    </w:lvl>
    <w:lvl w:ilvl="6" w:tplc="AAE6C6E2">
      <w:numFmt w:val="decimal"/>
      <w:lvlText w:val=""/>
      <w:lvlJc w:val="left"/>
    </w:lvl>
    <w:lvl w:ilvl="7" w:tplc="4420FA2A">
      <w:numFmt w:val="decimal"/>
      <w:lvlText w:val=""/>
      <w:lvlJc w:val="left"/>
    </w:lvl>
    <w:lvl w:ilvl="8" w:tplc="B33C869E">
      <w:numFmt w:val="decimal"/>
      <w:lvlText w:val=""/>
      <w:lvlJc w:val="left"/>
    </w:lvl>
  </w:abstractNum>
  <w:abstractNum w:abstractNumId="540" w15:restartNumberingAfterBreak="0">
    <w:nsid w:val="3A476E32"/>
    <w:multiLevelType w:val="hybridMultilevel"/>
    <w:tmpl w:val="81063DA4"/>
    <w:lvl w:ilvl="0" w:tplc="2D522C1A">
      <w:start w:val="1"/>
      <w:numFmt w:val="bullet"/>
      <w:lvlText w:val=""/>
      <w:lvlJc w:val="left"/>
      <w:pPr>
        <w:ind w:left="720" w:hanging="180"/>
      </w:pPr>
      <w:rPr>
        <w:rFonts w:ascii="Symbol" w:hAnsi="Symbol" w:hint="default"/>
      </w:rPr>
    </w:lvl>
    <w:lvl w:ilvl="1" w:tplc="2E304600">
      <w:numFmt w:val="decimal"/>
      <w:lvlText w:val=""/>
      <w:lvlJc w:val="left"/>
    </w:lvl>
    <w:lvl w:ilvl="2" w:tplc="C2421AB0">
      <w:numFmt w:val="decimal"/>
      <w:lvlText w:val=""/>
      <w:lvlJc w:val="left"/>
    </w:lvl>
    <w:lvl w:ilvl="3" w:tplc="376E0516">
      <w:numFmt w:val="decimal"/>
      <w:lvlText w:val=""/>
      <w:lvlJc w:val="left"/>
    </w:lvl>
    <w:lvl w:ilvl="4" w:tplc="95D6E172">
      <w:numFmt w:val="decimal"/>
      <w:lvlText w:val=""/>
      <w:lvlJc w:val="left"/>
    </w:lvl>
    <w:lvl w:ilvl="5" w:tplc="8304A0A6">
      <w:numFmt w:val="decimal"/>
      <w:lvlText w:val=""/>
      <w:lvlJc w:val="left"/>
    </w:lvl>
    <w:lvl w:ilvl="6" w:tplc="7F429AE2">
      <w:numFmt w:val="decimal"/>
      <w:lvlText w:val=""/>
      <w:lvlJc w:val="left"/>
    </w:lvl>
    <w:lvl w:ilvl="7" w:tplc="50B8F874">
      <w:numFmt w:val="decimal"/>
      <w:lvlText w:val=""/>
      <w:lvlJc w:val="left"/>
    </w:lvl>
    <w:lvl w:ilvl="8" w:tplc="2238100C">
      <w:numFmt w:val="decimal"/>
      <w:lvlText w:val=""/>
      <w:lvlJc w:val="left"/>
    </w:lvl>
  </w:abstractNum>
  <w:abstractNum w:abstractNumId="541" w15:restartNumberingAfterBreak="0">
    <w:nsid w:val="3A4B7D8E"/>
    <w:multiLevelType w:val="hybridMultilevel"/>
    <w:tmpl w:val="0A22335A"/>
    <w:lvl w:ilvl="0" w:tplc="920A2D6C">
      <w:start w:val="1"/>
      <w:numFmt w:val="bullet"/>
      <w:lvlText w:val=""/>
      <w:lvlJc w:val="left"/>
      <w:pPr>
        <w:ind w:left="720" w:hanging="180"/>
      </w:pPr>
      <w:rPr>
        <w:rFonts w:ascii="Symbol" w:hAnsi="Symbol" w:hint="default"/>
      </w:rPr>
    </w:lvl>
    <w:lvl w:ilvl="1" w:tplc="16CE57DC">
      <w:numFmt w:val="decimal"/>
      <w:lvlText w:val=""/>
      <w:lvlJc w:val="left"/>
    </w:lvl>
    <w:lvl w:ilvl="2" w:tplc="03D2F04E">
      <w:numFmt w:val="decimal"/>
      <w:lvlText w:val=""/>
      <w:lvlJc w:val="left"/>
    </w:lvl>
    <w:lvl w:ilvl="3" w:tplc="8444A782">
      <w:numFmt w:val="decimal"/>
      <w:lvlText w:val=""/>
      <w:lvlJc w:val="left"/>
    </w:lvl>
    <w:lvl w:ilvl="4" w:tplc="C0D8C9EA">
      <w:numFmt w:val="decimal"/>
      <w:lvlText w:val=""/>
      <w:lvlJc w:val="left"/>
    </w:lvl>
    <w:lvl w:ilvl="5" w:tplc="9466A5E2">
      <w:numFmt w:val="decimal"/>
      <w:lvlText w:val=""/>
      <w:lvlJc w:val="left"/>
    </w:lvl>
    <w:lvl w:ilvl="6" w:tplc="5C1041EA">
      <w:numFmt w:val="decimal"/>
      <w:lvlText w:val=""/>
      <w:lvlJc w:val="left"/>
    </w:lvl>
    <w:lvl w:ilvl="7" w:tplc="22CC551A">
      <w:numFmt w:val="decimal"/>
      <w:lvlText w:val=""/>
      <w:lvlJc w:val="left"/>
    </w:lvl>
    <w:lvl w:ilvl="8" w:tplc="45EE3120">
      <w:numFmt w:val="decimal"/>
      <w:lvlText w:val=""/>
      <w:lvlJc w:val="left"/>
    </w:lvl>
  </w:abstractNum>
  <w:abstractNum w:abstractNumId="542" w15:restartNumberingAfterBreak="0">
    <w:nsid w:val="3A551CA5"/>
    <w:multiLevelType w:val="hybridMultilevel"/>
    <w:tmpl w:val="5524DD9A"/>
    <w:lvl w:ilvl="0" w:tplc="ED58E268">
      <w:start w:val="1"/>
      <w:numFmt w:val="bullet"/>
      <w:lvlText w:val=""/>
      <w:lvlJc w:val="left"/>
      <w:pPr>
        <w:ind w:left="720" w:hanging="180"/>
      </w:pPr>
      <w:rPr>
        <w:rFonts w:ascii="Symbol" w:hAnsi="Symbol" w:hint="default"/>
      </w:rPr>
    </w:lvl>
    <w:lvl w:ilvl="1" w:tplc="4B80E0B8">
      <w:numFmt w:val="decimal"/>
      <w:lvlText w:val=""/>
      <w:lvlJc w:val="left"/>
    </w:lvl>
    <w:lvl w:ilvl="2" w:tplc="86525828">
      <w:numFmt w:val="decimal"/>
      <w:lvlText w:val=""/>
      <w:lvlJc w:val="left"/>
    </w:lvl>
    <w:lvl w:ilvl="3" w:tplc="61B00F3C">
      <w:numFmt w:val="decimal"/>
      <w:lvlText w:val=""/>
      <w:lvlJc w:val="left"/>
    </w:lvl>
    <w:lvl w:ilvl="4" w:tplc="D8B8B00A">
      <w:numFmt w:val="decimal"/>
      <w:lvlText w:val=""/>
      <w:lvlJc w:val="left"/>
    </w:lvl>
    <w:lvl w:ilvl="5" w:tplc="E460BD92">
      <w:numFmt w:val="decimal"/>
      <w:lvlText w:val=""/>
      <w:lvlJc w:val="left"/>
    </w:lvl>
    <w:lvl w:ilvl="6" w:tplc="FB28DA02">
      <w:numFmt w:val="decimal"/>
      <w:lvlText w:val=""/>
      <w:lvlJc w:val="left"/>
    </w:lvl>
    <w:lvl w:ilvl="7" w:tplc="17206F9C">
      <w:numFmt w:val="decimal"/>
      <w:lvlText w:val=""/>
      <w:lvlJc w:val="left"/>
    </w:lvl>
    <w:lvl w:ilvl="8" w:tplc="20A6C1BC">
      <w:numFmt w:val="decimal"/>
      <w:lvlText w:val=""/>
      <w:lvlJc w:val="left"/>
    </w:lvl>
  </w:abstractNum>
  <w:abstractNum w:abstractNumId="543" w15:restartNumberingAfterBreak="0">
    <w:nsid w:val="3A8C4F92"/>
    <w:multiLevelType w:val="hybridMultilevel"/>
    <w:tmpl w:val="D97271CA"/>
    <w:lvl w:ilvl="0" w:tplc="CDF01B02">
      <w:start w:val="1"/>
      <w:numFmt w:val="bullet"/>
      <w:lvlText w:val=""/>
      <w:lvlJc w:val="left"/>
      <w:pPr>
        <w:ind w:left="720" w:hanging="180"/>
      </w:pPr>
      <w:rPr>
        <w:rFonts w:ascii="Symbol" w:hAnsi="Symbol" w:hint="default"/>
      </w:rPr>
    </w:lvl>
    <w:lvl w:ilvl="1" w:tplc="6FA8EB94">
      <w:numFmt w:val="decimal"/>
      <w:lvlText w:val=""/>
      <w:lvlJc w:val="left"/>
    </w:lvl>
    <w:lvl w:ilvl="2" w:tplc="4DC0347E">
      <w:numFmt w:val="decimal"/>
      <w:lvlText w:val=""/>
      <w:lvlJc w:val="left"/>
    </w:lvl>
    <w:lvl w:ilvl="3" w:tplc="551221BE">
      <w:numFmt w:val="decimal"/>
      <w:lvlText w:val=""/>
      <w:lvlJc w:val="left"/>
    </w:lvl>
    <w:lvl w:ilvl="4" w:tplc="FE00135E">
      <w:numFmt w:val="decimal"/>
      <w:lvlText w:val=""/>
      <w:lvlJc w:val="left"/>
    </w:lvl>
    <w:lvl w:ilvl="5" w:tplc="656E9D98">
      <w:numFmt w:val="decimal"/>
      <w:lvlText w:val=""/>
      <w:lvlJc w:val="left"/>
    </w:lvl>
    <w:lvl w:ilvl="6" w:tplc="3E300668">
      <w:numFmt w:val="decimal"/>
      <w:lvlText w:val=""/>
      <w:lvlJc w:val="left"/>
    </w:lvl>
    <w:lvl w:ilvl="7" w:tplc="306CF562">
      <w:numFmt w:val="decimal"/>
      <w:lvlText w:val=""/>
      <w:lvlJc w:val="left"/>
    </w:lvl>
    <w:lvl w:ilvl="8" w:tplc="6A8ACC32">
      <w:numFmt w:val="decimal"/>
      <w:lvlText w:val=""/>
      <w:lvlJc w:val="left"/>
    </w:lvl>
  </w:abstractNum>
  <w:abstractNum w:abstractNumId="544" w15:restartNumberingAfterBreak="0">
    <w:nsid w:val="3A8E083E"/>
    <w:multiLevelType w:val="hybridMultilevel"/>
    <w:tmpl w:val="E57C4C52"/>
    <w:lvl w:ilvl="0" w:tplc="65D61860">
      <w:start w:val="1"/>
      <w:numFmt w:val="bullet"/>
      <w:lvlText w:val=""/>
      <w:lvlJc w:val="left"/>
      <w:pPr>
        <w:ind w:left="720" w:hanging="180"/>
      </w:pPr>
      <w:rPr>
        <w:rFonts w:ascii="Symbol" w:hAnsi="Symbol" w:hint="default"/>
      </w:rPr>
    </w:lvl>
    <w:lvl w:ilvl="1" w:tplc="92C8903E">
      <w:numFmt w:val="decimal"/>
      <w:lvlText w:val=""/>
      <w:lvlJc w:val="left"/>
    </w:lvl>
    <w:lvl w:ilvl="2" w:tplc="10C8198A">
      <w:numFmt w:val="decimal"/>
      <w:lvlText w:val=""/>
      <w:lvlJc w:val="left"/>
    </w:lvl>
    <w:lvl w:ilvl="3" w:tplc="03BC8F9E">
      <w:numFmt w:val="decimal"/>
      <w:lvlText w:val=""/>
      <w:lvlJc w:val="left"/>
    </w:lvl>
    <w:lvl w:ilvl="4" w:tplc="2CD40F4C">
      <w:numFmt w:val="decimal"/>
      <w:lvlText w:val=""/>
      <w:lvlJc w:val="left"/>
    </w:lvl>
    <w:lvl w:ilvl="5" w:tplc="2C34329C">
      <w:numFmt w:val="decimal"/>
      <w:lvlText w:val=""/>
      <w:lvlJc w:val="left"/>
    </w:lvl>
    <w:lvl w:ilvl="6" w:tplc="D75EBB88">
      <w:numFmt w:val="decimal"/>
      <w:lvlText w:val=""/>
      <w:lvlJc w:val="left"/>
    </w:lvl>
    <w:lvl w:ilvl="7" w:tplc="E76CCE90">
      <w:numFmt w:val="decimal"/>
      <w:lvlText w:val=""/>
      <w:lvlJc w:val="left"/>
    </w:lvl>
    <w:lvl w:ilvl="8" w:tplc="176E2C12">
      <w:numFmt w:val="decimal"/>
      <w:lvlText w:val=""/>
      <w:lvlJc w:val="left"/>
    </w:lvl>
  </w:abstractNum>
  <w:abstractNum w:abstractNumId="545" w15:restartNumberingAfterBreak="0">
    <w:nsid w:val="3A9F29F0"/>
    <w:multiLevelType w:val="hybridMultilevel"/>
    <w:tmpl w:val="3086DF18"/>
    <w:lvl w:ilvl="0" w:tplc="1D1E8090">
      <w:start w:val="1"/>
      <w:numFmt w:val="bullet"/>
      <w:lvlText w:val=""/>
      <w:lvlJc w:val="left"/>
      <w:pPr>
        <w:ind w:left="720" w:hanging="180"/>
      </w:pPr>
      <w:rPr>
        <w:rFonts w:ascii="Symbol" w:hAnsi="Symbol" w:hint="default"/>
      </w:rPr>
    </w:lvl>
    <w:lvl w:ilvl="1" w:tplc="BB66E836">
      <w:numFmt w:val="decimal"/>
      <w:lvlText w:val=""/>
      <w:lvlJc w:val="left"/>
    </w:lvl>
    <w:lvl w:ilvl="2" w:tplc="EDC653CC">
      <w:numFmt w:val="decimal"/>
      <w:lvlText w:val=""/>
      <w:lvlJc w:val="left"/>
    </w:lvl>
    <w:lvl w:ilvl="3" w:tplc="52C4B4D2">
      <w:numFmt w:val="decimal"/>
      <w:lvlText w:val=""/>
      <w:lvlJc w:val="left"/>
    </w:lvl>
    <w:lvl w:ilvl="4" w:tplc="787A7238">
      <w:numFmt w:val="decimal"/>
      <w:lvlText w:val=""/>
      <w:lvlJc w:val="left"/>
    </w:lvl>
    <w:lvl w:ilvl="5" w:tplc="3B741EAC">
      <w:numFmt w:val="decimal"/>
      <w:lvlText w:val=""/>
      <w:lvlJc w:val="left"/>
    </w:lvl>
    <w:lvl w:ilvl="6" w:tplc="2400974C">
      <w:numFmt w:val="decimal"/>
      <w:lvlText w:val=""/>
      <w:lvlJc w:val="left"/>
    </w:lvl>
    <w:lvl w:ilvl="7" w:tplc="DD9C5816">
      <w:numFmt w:val="decimal"/>
      <w:lvlText w:val=""/>
      <w:lvlJc w:val="left"/>
    </w:lvl>
    <w:lvl w:ilvl="8" w:tplc="C44AE038">
      <w:numFmt w:val="decimal"/>
      <w:lvlText w:val=""/>
      <w:lvlJc w:val="left"/>
    </w:lvl>
  </w:abstractNum>
  <w:abstractNum w:abstractNumId="546" w15:restartNumberingAfterBreak="0">
    <w:nsid w:val="3AB872DC"/>
    <w:multiLevelType w:val="hybridMultilevel"/>
    <w:tmpl w:val="51BE6EBC"/>
    <w:lvl w:ilvl="0" w:tplc="B0368796">
      <w:numFmt w:val="decimal"/>
      <w:lvlText w:val=""/>
      <w:lvlJc w:val="left"/>
    </w:lvl>
    <w:lvl w:ilvl="1" w:tplc="262250A8">
      <w:start w:val="1"/>
      <w:numFmt w:val="bullet"/>
      <w:lvlText w:val=""/>
      <w:lvlJc w:val="left"/>
      <w:pPr>
        <w:ind w:left="1440" w:hanging="180"/>
      </w:pPr>
      <w:rPr>
        <w:rFonts w:ascii="Symbol" w:hAnsi="Symbol" w:hint="default"/>
      </w:rPr>
    </w:lvl>
    <w:lvl w:ilvl="2" w:tplc="92FEB3C0">
      <w:numFmt w:val="decimal"/>
      <w:lvlText w:val=""/>
      <w:lvlJc w:val="left"/>
    </w:lvl>
    <w:lvl w:ilvl="3" w:tplc="4764301C">
      <w:numFmt w:val="decimal"/>
      <w:lvlText w:val=""/>
      <w:lvlJc w:val="left"/>
    </w:lvl>
    <w:lvl w:ilvl="4" w:tplc="E6E80ECA">
      <w:numFmt w:val="decimal"/>
      <w:lvlText w:val=""/>
      <w:lvlJc w:val="left"/>
    </w:lvl>
    <w:lvl w:ilvl="5" w:tplc="B216A750">
      <w:numFmt w:val="decimal"/>
      <w:lvlText w:val=""/>
      <w:lvlJc w:val="left"/>
    </w:lvl>
    <w:lvl w:ilvl="6" w:tplc="5232A30C">
      <w:numFmt w:val="decimal"/>
      <w:lvlText w:val=""/>
      <w:lvlJc w:val="left"/>
    </w:lvl>
    <w:lvl w:ilvl="7" w:tplc="9D6A6E94">
      <w:numFmt w:val="decimal"/>
      <w:lvlText w:val=""/>
      <w:lvlJc w:val="left"/>
    </w:lvl>
    <w:lvl w:ilvl="8" w:tplc="B98CCBF4">
      <w:numFmt w:val="decimal"/>
      <w:lvlText w:val=""/>
      <w:lvlJc w:val="left"/>
    </w:lvl>
  </w:abstractNum>
  <w:abstractNum w:abstractNumId="547" w15:restartNumberingAfterBreak="0">
    <w:nsid w:val="3AD07EC9"/>
    <w:multiLevelType w:val="hybridMultilevel"/>
    <w:tmpl w:val="50EA903A"/>
    <w:lvl w:ilvl="0" w:tplc="71AE801C">
      <w:start w:val="1"/>
      <w:numFmt w:val="bullet"/>
      <w:lvlText w:val=""/>
      <w:lvlJc w:val="left"/>
      <w:pPr>
        <w:ind w:left="720" w:hanging="180"/>
      </w:pPr>
      <w:rPr>
        <w:rFonts w:ascii="Symbol" w:hAnsi="Symbol" w:hint="default"/>
      </w:rPr>
    </w:lvl>
    <w:lvl w:ilvl="1" w:tplc="4D6EF8B8">
      <w:numFmt w:val="decimal"/>
      <w:lvlText w:val=""/>
      <w:lvlJc w:val="left"/>
    </w:lvl>
    <w:lvl w:ilvl="2" w:tplc="31C4A772">
      <w:numFmt w:val="decimal"/>
      <w:lvlText w:val=""/>
      <w:lvlJc w:val="left"/>
    </w:lvl>
    <w:lvl w:ilvl="3" w:tplc="30F0AFB4">
      <w:numFmt w:val="decimal"/>
      <w:lvlText w:val=""/>
      <w:lvlJc w:val="left"/>
    </w:lvl>
    <w:lvl w:ilvl="4" w:tplc="023641E8">
      <w:numFmt w:val="decimal"/>
      <w:lvlText w:val=""/>
      <w:lvlJc w:val="left"/>
    </w:lvl>
    <w:lvl w:ilvl="5" w:tplc="BAC0E28C">
      <w:numFmt w:val="decimal"/>
      <w:lvlText w:val=""/>
      <w:lvlJc w:val="left"/>
    </w:lvl>
    <w:lvl w:ilvl="6" w:tplc="AE6E5532">
      <w:numFmt w:val="decimal"/>
      <w:lvlText w:val=""/>
      <w:lvlJc w:val="left"/>
    </w:lvl>
    <w:lvl w:ilvl="7" w:tplc="EE48F744">
      <w:numFmt w:val="decimal"/>
      <w:lvlText w:val=""/>
      <w:lvlJc w:val="left"/>
    </w:lvl>
    <w:lvl w:ilvl="8" w:tplc="AF585E36">
      <w:numFmt w:val="decimal"/>
      <w:lvlText w:val=""/>
      <w:lvlJc w:val="left"/>
    </w:lvl>
  </w:abstractNum>
  <w:abstractNum w:abstractNumId="548" w15:restartNumberingAfterBreak="0">
    <w:nsid w:val="3AD2563F"/>
    <w:multiLevelType w:val="hybridMultilevel"/>
    <w:tmpl w:val="F014DE5C"/>
    <w:lvl w:ilvl="0" w:tplc="3118ADC4">
      <w:start w:val="1"/>
      <w:numFmt w:val="bullet"/>
      <w:lvlText w:val=""/>
      <w:lvlJc w:val="left"/>
      <w:pPr>
        <w:ind w:left="720" w:hanging="180"/>
      </w:pPr>
      <w:rPr>
        <w:rFonts w:ascii="Symbol" w:hAnsi="Symbol" w:hint="default"/>
      </w:rPr>
    </w:lvl>
    <w:lvl w:ilvl="1" w:tplc="BF165320">
      <w:numFmt w:val="decimal"/>
      <w:lvlText w:val=""/>
      <w:lvlJc w:val="left"/>
    </w:lvl>
    <w:lvl w:ilvl="2" w:tplc="86665A3C">
      <w:numFmt w:val="decimal"/>
      <w:lvlText w:val=""/>
      <w:lvlJc w:val="left"/>
    </w:lvl>
    <w:lvl w:ilvl="3" w:tplc="0F52147E">
      <w:numFmt w:val="decimal"/>
      <w:lvlText w:val=""/>
      <w:lvlJc w:val="left"/>
    </w:lvl>
    <w:lvl w:ilvl="4" w:tplc="A8F411B8">
      <w:numFmt w:val="decimal"/>
      <w:lvlText w:val=""/>
      <w:lvlJc w:val="left"/>
    </w:lvl>
    <w:lvl w:ilvl="5" w:tplc="2102C7A6">
      <w:numFmt w:val="decimal"/>
      <w:lvlText w:val=""/>
      <w:lvlJc w:val="left"/>
    </w:lvl>
    <w:lvl w:ilvl="6" w:tplc="BC62A41A">
      <w:numFmt w:val="decimal"/>
      <w:lvlText w:val=""/>
      <w:lvlJc w:val="left"/>
    </w:lvl>
    <w:lvl w:ilvl="7" w:tplc="1EB21E28">
      <w:numFmt w:val="decimal"/>
      <w:lvlText w:val=""/>
      <w:lvlJc w:val="left"/>
    </w:lvl>
    <w:lvl w:ilvl="8" w:tplc="3412EC3A">
      <w:numFmt w:val="decimal"/>
      <w:lvlText w:val=""/>
      <w:lvlJc w:val="left"/>
    </w:lvl>
  </w:abstractNum>
  <w:abstractNum w:abstractNumId="549" w15:restartNumberingAfterBreak="0">
    <w:nsid w:val="3AD42238"/>
    <w:multiLevelType w:val="hybridMultilevel"/>
    <w:tmpl w:val="CB761DD6"/>
    <w:lvl w:ilvl="0" w:tplc="DE82ADF8">
      <w:start w:val="1"/>
      <w:numFmt w:val="bullet"/>
      <w:lvlText w:val=""/>
      <w:lvlJc w:val="left"/>
      <w:pPr>
        <w:ind w:left="720" w:hanging="180"/>
      </w:pPr>
      <w:rPr>
        <w:rFonts w:ascii="Symbol" w:hAnsi="Symbol" w:hint="default"/>
      </w:rPr>
    </w:lvl>
    <w:lvl w:ilvl="1" w:tplc="B79EA026">
      <w:numFmt w:val="decimal"/>
      <w:lvlText w:val=""/>
      <w:lvlJc w:val="left"/>
    </w:lvl>
    <w:lvl w:ilvl="2" w:tplc="81181CD2">
      <w:numFmt w:val="decimal"/>
      <w:lvlText w:val=""/>
      <w:lvlJc w:val="left"/>
    </w:lvl>
    <w:lvl w:ilvl="3" w:tplc="0EAC3A22">
      <w:numFmt w:val="decimal"/>
      <w:lvlText w:val=""/>
      <w:lvlJc w:val="left"/>
    </w:lvl>
    <w:lvl w:ilvl="4" w:tplc="7C44A2AA">
      <w:numFmt w:val="decimal"/>
      <w:lvlText w:val=""/>
      <w:lvlJc w:val="left"/>
    </w:lvl>
    <w:lvl w:ilvl="5" w:tplc="C2D86F20">
      <w:numFmt w:val="decimal"/>
      <w:lvlText w:val=""/>
      <w:lvlJc w:val="left"/>
    </w:lvl>
    <w:lvl w:ilvl="6" w:tplc="7D7460CA">
      <w:numFmt w:val="decimal"/>
      <w:lvlText w:val=""/>
      <w:lvlJc w:val="left"/>
    </w:lvl>
    <w:lvl w:ilvl="7" w:tplc="AFDAF430">
      <w:numFmt w:val="decimal"/>
      <w:lvlText w:val=""/>
      <w:lvlJc w:val="left"/>
    </w:lvl>
    <w:lvl w:ilvl="8" w:tplc="8EE8C918">
      <w:numFmt w:val="decimal"/>
      <w:lvlText w:val=""/>
      <w:lvlJc w:val="left"/>
    </w:lvl>
  </w:abstractNum>
  <w:abstractNum w:abstractNumId="550" w15:restartNumberingAfterBreak="0">
    <w:nsid w:val="3AE823D4"/>
    <w:multiLevelType w:val="hybridMultilevel"/>
    <w:tmpl w:val="495E05B4"/>
    <w:lvl w:ilvl="0" w:tplc="1C5A2DB4">
      <w:start w:val="1"/>
      <w:numFmt w:val="bullet"/>
      <w:lvlText w:val=""/>
      <w:lvlJc w:val="left"/>
      <w:pPr>
        <w:ind w:left="720" w:hanging="180"/>
      </w:pPr>
      <w:rPr>
        <w:rFonts w:ascii="Symbol" w:hAnsi="Symbol" w:hint="default"/>
      </w:rPr>
    </w:lvl>
    <w:lvl w:ilvl="1" w:tplc="AA203836">
      <w:numFmt w:val="decimal"/>
      <w:lvlText w:val=""/>
      <w:lvlJc w:val="left"/>
    </w:lvl>
    <w:lvl w:ilvl="2" w:tplc="C8D2B4FA">
      <w:numFmt w:val="decimal"/>
      <w:lvlText w:val=""/>
      <w:lvlJc w:val="left"/>
    </w:lvl>
    <w:lvl w:ilvl="3" w:tplc="6DFCC40E">
      <w:numFmt w:val="decimal"/>
      <w:lvlText w:val=""/>
      <w:lvlJc w:val="left"/>
    </w:lvl>
    <w:lvl w:ilvl="4" w:tplc="C21A08DC">
      <w:numFmt w:val="decimal"/>
      <w:lvlText w:val=""/>
      <w:lvlJc w:val="left"/>
    </w:lvl>
    <w:lvl w:ilvl="5" w:tplc="4BFECEDA">
      <w:numFmt w:val="decimal"/>
      <w:lvlText w:val=""/>
      <w:lvlJc w:val="left"/>
    </w:lvl>
    <w:lvl w:ilvl="6" w:tplc="36968928">
      <w:numFmt w:val="decimal"/>
      <w:lvlText w:val=""/>
      <w:lvlJc w:val="left"/>
    </w:lvl>
    <w:lvl w:ilvl="7" w:tplc="5BBA78B2">
      <w:numFmt w:val="decimal"/>
      <w:lvlText w:val=""/>
      <w:lvlJc w:val="left"/>
    </w:lvl>
    <w:lvl w:ilvl="8" w:tplc="A1280B5C">
      <w:numFmt w:val="decimal"/>
      <w:lvlText w:val=""/>
      <w:lvlJc w:val="left"/>
    </w:lvl>
  </w:abstractNum>
  <w:abstractNum w:abstractNumId="551" w15:restartNumberingAfterBreak="0">
    <w:nsid w:val="3B237C56"/>
    <w:multiLevelType w:val="hybridMultilevel"/>
    <w:tmpl w:val="A7B68DDC"/>
    <w:lvl w:ilvl="0" w:tplc="BC348BE8">
      <w:start w:val="1"/>
      <w:numFmt w:val="bullet"/>
      <w:lvlText w:val=""/>
      <w:lvlJc w:val="left"/>
      <w:pPr>
        <w:ind w:left="720" w:hanging="180"/>
      </w:pPr>
      <w:rPr>
        <w:rFonts w:ascii="Symbol" w:hAnsi="Symbol" w:hint="default"/>
      </w:rPr>
    </w:lvl>
    <w:lvl w:ilvl="1" w:tplc="EFF2C080">
      <w:numFmt w:val="decimal"/>
      <w:lvlText w:val=""/>
      <w:lvlJc w:val="left"/>
    </w:lvl>
    <w:lvl w:ilvl="2" w:tplc="6C545BFE">
      <w:numFmt w:val="decimal"/>
      <w:lvlText w:val=""/>
      <w:lvlJc w:val="left"/>
    </w:lvl>
    <w:lvl w:ilvl="3" w:tplc="8544E4F2">
      <w:numFmt w:val="decimal"/>
      <w:lvlText w:val=""/>
      <w:lvlJc w:val="left"/>
    </w:lvl>
    <w:lvl w:ilvl="4" w:tplc="AD9A85C0">
      <w:numFmt w:val="decimal"/>
      <w:lvlText w:val=""/>
      <w:lvlJc w:val="left"/>
    </w:lvl>
    <w:lvl w:ilvl="5" w:tplc="7A1E368A">
      <w:numFmt w:val="decimal"/>
      <w:lvlText w:val=""/>
      <w:lvlJc w:val="left"/>
    </w:lvl>
    <w:lvl w:ilvl="6" w:tplc="CF102B34">
      <w:numFmt w:val="decimal"/>
      <w:lvlText w:val=""/>
      <w:lvlJc w:val="left"/>
    </w:lvl>
    <w:lvl w:ilvl="7" w:tplc="D784607C">
      <w:numFmt w:val="decimal"/>
      <w:lvlText w:val=""/>
      <w:lvlJc w:val="left"/>
    </w:lvl>
    <w:lvl w:ilvl="8" w:tplc="E352494E">
      <w:numFmt w:val="decimal"/>
      <w:lvlText w:val=""/>
      <w:lvlJc w:val="left"/>
    </w:lvl>
  </w:abstractNum>
  <w:abstractNum w:abstractNumId="552" w15:restartNumberingAfterBreak="0">
    <w:nsid w:val="3B8D4027"/>
    <w:multiLevelType w:val="hybridMultilevel"/>
    <w:tmpl w:val="CBF4D328"/>
    <w:lvl w:ilvl="0" w:tplc="51A23282">
      <w:start w:val="1"/>
      <w:numFmt w:val="bullet"/>
      <w:lvlText w:val=""/>
      <w:lvlJc w:val="left"/>
      <w:pPr>
        <w:ind w:left="720" w:hanging="180"/>
      </w:pPr>
      <w:rPr>
        <w:rFonts w:ascii="Symbol" w:hAnsi="Symbol" w:hint="default"/>
      </w:rPr>
    </w:lvl>
    <w:lvl w:ilvl="1" w:tplc="05529BA8">
      <w:numFmt w:val="decimal"/>
      <w:lvlText w:val=""/>
      <w:lvlJc w:val="left"/>
    </w:lvl>
    <w:lvl w:ilvl="2" w:tplc="21D67A88">
      <w:numFmt w:val="decimal"/>
      <w:lvlText w:val=""/>
      <w:lvlJc w:val="left"/>
    </w:lvl>
    <w:lvl w:ilvl="3" w:tplc="2046A73A">
      <w:numFmt w:val="decimal"/>
      <w:lvlText w:val=""/>
      <w:lvlJc w:val="left"/>
    </w:lvl>
    <w:lvl w:ilvl="4" w:tplc="D584AC8A">
      <w:numFmt w:val="decimal"/>
      <w:lvlText w:val=""/>
      <w:lvlJc w:val="left"/>
    </w:lvl>
    <w:lvl w:ilvl="5" w:tplc="A6708EEA">
      <w:numFmt w:val="decimal"/>
      <w:lvlText w:val=""/>
      <w:lvlJc w:val="left"/>
    </w:lvl>
    <w:lvl w:ilvl="6" w:tplc="39A84E56">
      <w:numFmt w:val="decimal"/>
      <w:lvlText w:val=""/>
      <w:lvlJc w:val="left"/>
    </w:lvl>
    <w:lvl w:ilvl="7" w:tplc="B2B2D134">
      <w:numFmt w:val="decimal"/>
      <w:lvlText w:val=""/>
      <w:lvlJc w:val="left"/>
    </w:lvl>
    <w:lvl w:ilvl="8" w:tplc="6C02E9B6">
      <w:numFmt w:val="decimal"/>
      <w:lvlText w:val=""/>
      <w:lvlJc w:val="left"/>
    </w:lvl>
  </w:abstractNum>
  <w:abstractNum w:abstractNumId="553" w15:restartNumberingAfterBreak="0">
    <w:nsid w:val="3B9E6F79"/>
    <w:multiLevelType w:val="hybridMultilevel"/>
    <w:tmpl w:val="6DEC7A5A"/>
    <w:lvl w:ilvl="0" w:tplc="3DE03D72">
      <w:start w:val="1"/>
      <w:numFmt w:val="bullet"/>
      <w:lvlText w:val=""/>
      <w:lvlJc w:val="left"/>
      <w:pPr>
        <w:ind w:left="720" w:hanging="180"/>
      </w:pPr>
      <w:rPr>
        <w:rFonts w:ascii="Symbol" w:hAnsi="Symbol" w:hint="default"/>
      </w:rPr>
    </w:lvl>
    <w:lvl w:ilvl="1" w:tplc="9204351A">
      <w:numFmt w:val="decimal"/>
      <w:lvlText w:val=""/>
      <w:lvlJc w:val="left"/>
    </w:lvl>
    <w:lvl w:ilvl="2" w:tplc="8848AE84">
      <w:numFmt w:val="decimal"/>
      <w:lvlText w:val=""/>
      <w:lvlJc w:val="left"/>
    </w:lvl>
    <w:lvl w:ilvl="3" w:tplc="837E0AEE">
      <w:numFmt w:val="decimal"/>
      <w:lvlText w:val=""/>
      <w:lvlJc w:val="left"/>
    </w:lvl>
    <w:lvl w:ilvl="4" w:tplc="A8A8D2EE">
      <w:numFmt w:val="decimal"/>
      <w:lvlText w:val=""/>
      <w:lvlJc w:val="left"/>
    </w:lvl>
    <w:lvl w:ilvl="5" w:tplc="736A37D8">
      <w:numFmt w:val="decimal"/>
      <w:lvlText w:val=""/>
      <w:lvlJc w:val="left"/>
    </w:lvl>
    <w:lvl w:ilvl="6" w:tplc="E3B09962">
      <w:numFmt w:val="decimal"/>
      <w:lvlText w:val=""/>
      <w:lvlJc w:val="left"/>
    </w:lvl>
    <w:lvl w:ilvl="7" w:tplc="B73E32F8">
      <w:numFmt w:val="decimal"/>
      <w:lvlText w:val=""/>
      <w:lvlJc w:val="left"/>
    </w:lvl>
    <w:lvl w:ilvl="8" w:tplc="A75AC7BE">
      <w:numFmt w:val="decimal"/>
      <w:lvlText w:val=""/>
      <w:lvlJc w:val="left"/>
    </w:lvl>
  </w:abstractNum>
  <w:abstractNum w:abstractNumId="554" w15:restartNumberingAfterBreak="0">
    <w:nsid w:val="3BBC6DDD"/>
    <w:multiLevelType w:val="hybridMultilevel"/>
    <w:tmpl w:val="27B22650"/>
    <w:lvl w:ilvl="0" w:tplc="28F6CC96">
      <w:start w:val="1"/>
      <w:numFmt w:val="bullet"/>
      <w:lvlText w:val=""/>
      <w:lvlJc w:val="left"/>
      <w:pPr>
        <w:ind w:left="720" w:hanging="180"/>
      </w:pPr>
      <w:rPr>
        <w:rFonts w:ascii="Symbol" w:hAnsi="Symbol" w:hint="default"/>
      </w:rPr>
    </w:lvl>
    <w:lvl w:ilvl="1" w:tplc="129E9068">
      <w:numFmt w:val="decimal"/>
      <w:lvlText w:val=""/>
      <w:lvlJc w:val="left"/>
    </w:lvl>
    <w:lvl w:ilvl="2" w:tplc="70C6B504">
      <w:numFmt w:val="decimal"/>
      <w:lvlText w:val=""/>
      <w:lvlJc w:val="left"/>
    </w:lvl>
    <w:lvl w:ilvl="3" w:tplc="F32EDF66">
      <w:numFmt w:val="decimal"/>
      <w:lvlText w:val=""/>
      <w:lvlJc w:val="left"/>
    </w:lvl>
    <w:lvl w:ilvl="4" w:tplc="0468578A">
      <w:numFmt w:val="decimal"/>
      <w:lvlText w:val=""/>
      <w:lvlJc w:val="left"/>
    </w:lvl>
    <w:lvl w:ilvl="5" w:tplc="BB9CCDF2">
      <w:numFmt w:val="decimal"/>
      <w:lvlText w:val=""/>
      <w:lvlJc w:val="left"/>
    </w:lvl>
    <w:lvl w:ilvl="6" w:tplc="500437DA">
      <w:numFmt w:val="decimal"/>
      <w:lvlText w:val=""/>
      <w:lvlJc w:val="left"/>
    </w:lvl>
    <w:lvl w:ilvl="7" w:tplc="1FAC8E12">
      <w:numFmt w:val="decimal"/>
      <w:lvlText w:val=""/>
      <w:lvlJc w:val="left"/>
    </w:lvl>
    <w:lvl w:ilvl="8" w:tplc="D4124A02">
      <w:numFmt w:val="decimal"/>
      <w:lvlText w:val=""/>
      <w:lvlJc w:val="left"/>
    </w:lvl>
  </w:abstractNum>
  <w:abstractNum w:abstractNumId="555" w15:restartNumberingAfterBreak="0">
    <w:nsid w:val="3BBE23AE"/>
    <w:multiLevelType w:val="hybridMultilevel"/>
    <w:tmpl w:val="0E169E9E"/>
    <w:lvl w:ilvl="0" w:tplc="9AB47DEE">
      <w:start w:val="1"/>
      <w:numFmt w:val="bullet"/>
      <w:lvlText w:val=""/>
      <w:lvlJc w:val="left"/>
      <w:pPr>
        <w:ind w:left="720" w:hanging="180"/>
      </w:pPr>
      <w:rPr>
        <w:rFonts w:ascii="Symbol" w:hAnsi="Symbol" w:hint="default"/>
      </w:rPr>
    </w:lvl>
    <w:lvl w:ilvl="1" w:tplc="AC605176">
      <w:numFmt w:val="decimal"/>
      <w:lvlText w:val=""/>
      <w:lvlJc w:val="left"/>
    </w:lvl>
    <w:lvl w:ilvl="2" w:tplc="6DDA9D30">
      <w:numFmt w:val="decimal"/>
      <w:lvlText w:val=""/>
      <w:lvlJc w:val="left"/>
    </w:lvl>
    <w:lvl w:ilvl="3" w:tplc="BD4CB32C">
      <w:numFmt w:val="decimal"/>
      <w:lvlText w:val=""/>
      <w:lvlJc w:val="left"/>
    </w:lvl>
    <w:lvl w:ilvl="4" w:tplc="2F88D0E8">
      <w:numFmt w:val="decimal"/>
      <w:lvlText w:val=""/>
      <w:lvlJc w:val="left"/>
    </w:lvl>
    <w:lvl w:ilvl="5" w:tplc="090ED706">
      <w:numFmt w:val="decimal"/>
      <w:lvlText w:val=""/>
      <w:lvlJc w:val="left"/>
    </w:lvl>
    <w:lvl w:ilvl="6" w:tplc="9CA2A13C">
      <w:numFmt w:val="decimal"/>
      <w:lvlText w:val=""/>
      <w:lvlJc w:val="left"/>
    </w:lvl>
    <w:lvl w:ilvl="7" w:tplc="EFCE5CD6">
      <w:numFmt w:val="decimal"/>
      <w:lvlText w:val=""/>
      <w:lvlJc w:val="left"/>
    </w:lvl>
    <w:lvl w:ilvl="8" w:tplc="E53CAC8E">
      <w:numFmt w:val="decimal"/>
      <w:lvlText w:val=""/>
      <w:lvlJc w:val="left"/>
    </w:lvl>
  </w:abstractNum>
  <w:abstractNum w:abstractNumId="556" w15:restartNumberingAfterBreak="0">
    <w:nsid w:val="3BE636E8"/>
    <w:multiLevelType w:val="hybridMultilevel"/>
    <w:tmpl w:val="2A1CD77C"/>
    <w:lvl w:ilvl="0" w:tplc="5950BCE2">
      <w:numFmt w:val="decimal"/>
      <w:lvlText w:val=""/>
      <w:lvlJc w:val="left"/>
    </w:lvl>
    <w:lvl w:ilvl="1" w:tplc="B8D8C122">
      <w:start w:val="1"/>
      <w:numFmt w:val="bullet"/>
      <w:lvlText w:val=""/>
      <w:lvlJc w:val="left"/>
      <w:pPr>
        <w:ind w:left="1440" w:hanging="180"/>
      </w:pPr>
      <w:rPr>
        <w:rFonts w:ascii="Symbol" w:hAnsi="Symbol" w:hint="default"/>
      </w:rPr>
    </w:lvl>
    <w:lvl w:ilvl="2" w:tplc="ED4C3A64">
      <w:numFmt w:val="decimal"/>
      <w:lvlText w:val=""/>
      <w:lvlJc w:val="left"/>
    </w:lvl>
    <w:lvl w:ilvl="3" w:tplc="629EA97C">
      <w:numFmt w:val="decimal"/>
      <w:lvlText w:val=""/>
      <w:lvlJc w:val="left"/>
    </w:lvl>
    <w:lvl w:ilvl="4" w:tplc="7376EEB4">
      <w:numFmt w:val="decimal"/>
      <w:lvlText w:val=""/>
      <w:lvlJc w:val="left"/>
    </w:lvl>
    <w:lvl w:ilvl="5" w:tplc="00787D96">
      <w:numFmt w:val="decimal"/>
      <w:lvlText w:val=""/>
      <w:lvlJc w:val="left"/>
    </w:lvl>
    <w:lvl w:ilvl="6" w:tplc="4E904EA8">
      <w:numFmt w:val="decimal"/>
      <w:lvlText w:val=""/>
      <w:lvlJc w:val="left"/>
    </w:lvl>
    <w:lvl w:ilvl="7" w:tplc="DFE88954">
      <w:numFmt w:val="decimal"/>
      <w:lvlText w:val=""/>
      <w:lvlJc w:val="left"/>
    </w:lvl>
    <w:lvl w:ilvl="8" w:tplc="EF94BCC0">
      <w:numFmt w:val="decimal"/>
      <w:lvlText w:val=""/>
      <w:lvlJc w:val="left"/>
    </w:lvl>
  </w:abstractNum>
  <w:abstractNum w:abstractNumId="557" w15:restartNumberingAfterBreak="0">
    <w:nsid w:val="3C02653E"/>
    <w:multiLevelType w:val="hybridMultilevel"/>
    <w:tmpl w:val="8B629B7E"/>
    <w:lvl w:ilvl="0" w:tplc="DDC21A62">
      <w:start w:val="1"/>
      <w:numFmt w:val="bullet"/>
      <w:lvlText w:val=""/>
      <w:lvlJc w:val="left"/>
      <w:pPr>
        <w:ind w:left="720" w:hanging="180"/>
      </w:pPr>
      <w:rPr>
        <w:rFonts w:ascii="Symbol" w:hAnsi="Symbol" w:hint="default"/>
      </w:rPr>
    </w:lvl>
    <w:lvl w:ilvl="1" w:tplc="9FC84532">
      <w:numFmt w:val="decimal"/>
      <w:lvlText w:val=""/>
      <w:lvlJc w:val="left"/>
    </w:lvl>
    <w:lvl w:ilvl="2" w:tplc="218EC9D6">
      <w:numFmt w:val="decimal"/>
      <w:lvlText w:val=""/>
      <w:lvlJc w:val="left"/>
    </w:lvl>
    <w:lvl w:ilvl="3" w:tplc="91DC1E48">
      <w:numFmt w:val="decimal"/>
      <w:lvlText w:val=""/>
      <w:lvlJc w:val="left"/>
    </w:lvl>
    <w:lvl w:ilvl="4" w:tplc="18AC0212">
      <w:numFmt w:val="decimal"/>
      <w:lvlText w:val=""/>
      <w:lvlJc w:val="left"/>
    </w:lvl>
    <w:lvl w:ilvl="5" w:tplc="DDDCD5B2">
      <w:numFmt w:val="decimal"/>
      <w:lvlText w:val=""/>
      <w:lvlJc w:val="left"/>
    </w:lvl>
    <w:lvl w:ilvl="6" w:tplc="8BC68B5C">
      <w:numFmt w:val="decimal"/>
      <w:lvlText w:val=""/>
      <w:lvlJc w:val="left"/>
    </w:lvl>
    <w:lvl w:ilvl="7" w:tplc="D7AA4A94">
      <w:numFmt w:val="decimal"/>
      <w:lvlText w:val=""/>
      <w:lvlJc w:val="left"/>
    </w:lvl>
    <w:lvl w:ilvl="8" w:tplc="A66289A8">
      <w:numFmt w:val="decimal"/>
      <w:lvlText w:val=""/>
      <w:lvlJc w:val="left"/>
    </w:lvl>
  </w:abstractNum>
  <w:abstractNum w:abstractNumId="558" w15:restartNumberingAfterBreak="0">
    <w:nsid w:val="3C083975"/>
    <w:multiLevelType w:val="hybridMultilevel"/>
    <w:tmpl w:val="E63E7770"/>
    <w:lvl w:ilvl="0" w:tplc="9A841ECC">
      <w:start w:val="1"/>
      <w:numFmt w:val="bullet"/>
      <w:lvlText w:val=""/>
      <w:lvlJc w:val="left"/>
      <w:pPr>
        <w:ind w:left="720" w:hanging="180"/>
      </w:pPr>
      <w:rPr>
        <w:rFonts w:ascii="Symbol" w:hAnsi="Symbol" w:hint="default"/>
      </w:rPr>
    </w:lvl>
    <w:lvl w:ilvl="1" w:tplc="FBF0EAEC">
      <w:numFmt w:val="decimal"/>
      <w:lvlText w:val=""/>
      <w:lvlJc w:val="left"/>
    </w:lvl>
    <w:lvl w:ilvl="2" w:tplc="F3F22A72">
      <w:numFmt w:val="decimal"/>
      <w:lvlText w:val=""/>
      <w:lvlJc w:val="left"/>
    </w:lvl>
    <w:lvl w:ilvl="3" w:tplc="AC561116">
      <w:numFmt w:val="decimal"/>
      <w:lvlText w:val=""/>
      <w:lvlJc w:val="left"/>
    </w:lvl>
    <w:lvl w:ilvl="4" w:tplc="C464C3EE">
      <w:numFmt w:val="decimal"/>
      <w:lvlText w:val=""/>
      <w:lvlJc w:val="left"/>
    </w:lvl>
    <w:lvl w:ilvl="5" w:tplc="39B08C24">
      <w:numFmt w:val="decimal"/>
      <w:lvlText w:val=""/>
      <w:lvlJc w:val="left"/>
    </w:lvl>
    <w:lvl w:ilvl="6" w:tplc="C19E4146">
      <w:numFmt w:val="decimal"/>
      <w:lvlText w:val=""/>
      <w:lvlJc w:val="left"/>
    </w:lvl>
    <w:lvl w:ilvl="7" w:tplc="80466834">
      <w:numFmt w:val="decimal"/>
      <w:lvlText w:val=""/>
      <w:lvlJc w:val="left"/>
    </w:lvl>
    <w:lvl w:ilvl="8" w:tplc="3222AF16">
      <w:numFmt w:val="decimal"/>
      <w:lvlText w:val=""/>
      <w:lvlJc w:val="left"/>
    </w:lvl>
  </w:abstractNum>
  <w:abstractNum w:abstractNumId="559" w15:restartNumberingAfterBreak="0">
    <w:nsid w:val="3C18343D"/>
    <w:multiLevelType w:val="hybridMultilevel"/>
    <w:tmpl w:val="8B4ECE78"/>
    <w:lvl w:ilvl="0" w:tplc="5FDE486A">
      <w:start w:val="1"/>
      <w:numFmt w:val="bullet"/>
      <w:lvlText w:val=""/>
      <w:lvlJc w:val="left"/>
      <w:pPr>
        <w:ind w:left="720" w:hanging="180"/>
      </w:pPr>
      <w:rPr>
        <w:rFonts w:ascii="Symbol" w:hAnsi="Symbol" w:hint="default"/>
      </w:rPr>
    </w:lvl>
    <w:lvl w:ilvl="1" w:tplc="950090CE">
      <w:numFmt w:val="decimal"/>
      <w:lvlText w:val=""/>
      <w:lvlJc w:val="left"/>
    </w:lvl>
    <w:lvl w:ilvl="2" w:tplc="93FCD208">
      <w:numFmt w:val="decimal"/>
      <w:lvlText w:val=""/>
      <w:lvlJc w:val="left"/>
    </w:lvl>
    <w:lvl w:ilvl="3" w:tplc="1BFC02AC">
      <w:numFmt w:val="decimal"/>
      <w:lvlText w:val=""/>
      <w:lvlJc w:val="left"/>
    </w:lvl>
    <w:lvl w:ilvl="4" w:tplc="BEE8537E">
      <w:numFmt w:val="decimal"/>
      <w:lvlText w:val=""/>
      <w:lvlJc w:val="left"/>
    </w:lvl>
    <w:lvl w:ilvl="5" w:tplc="A33A9BC0">
      <w:numFmt w:val="decimal"/>
      <w:lvlText w:val=""/>
      <w:lvlJc w:val="left"/>
    </w:lvl>
    <w:lvl w:ilvl="6" w:tplc="849E30D8">
      <w:numFmt w:val="decimal"/>
      <w:lvlText w:val=""/>
      <w:lvlJc w:val="left"/>
    </w:lvl>
    <w:lvl w:ilvl="7" w:tplc="3BB2A93E">
      <w:numFmt w:val="decimal"/>
      <w:lvlText w:val=""/>
      <w:lvlJc w:val="left"/>
    </w:lvl>
    <w:lvl w:ilvl="8" w:tplc="2A7094D0">
      <w:numFmt w:val="decimal"/>
      <w:lvlText w:val=""/>
      <w:lvlJc w:val="left"/>
    </w:lvl>
  </w:abstractNum>
  <w:abstractNum w:abstractNumId="560" w15:restartNumberingAfterBreak="0">
    <w:nsid w:val="3C2C19B5"/>
    <w:multiLevelType w:val="hybridMultilevel"/>
    <w:tmpl w:val="C498B290"/>
    <w:lvl w:ilvl="0" w:tplc="E5129B22">
      <w:start w:val="1"/>
      <w:numFmt w:val="bullet"/>
      <w:lvlText w:val=""/>
      <w:lvlJc w:val="left"/>
      <w:pPr>
        <w:ind w:left="720" w:hanging="180"/>
      </w:pPr>
      <w:rPr>
        <w:rFonts w:ascii="Symbol" w:hAnsi="Symbol" w:hint="default"/>
      </w:rPr>
    </w:lvl>
    <w:lvl w:ilvl="1" w:tplc="FB38469A">
      <w:numFmt w:val="decimal"/>
      <w:lvlText w:val=""/>
      <w:lvlJc w:val="left"/>
    </w:lvl>
    <w:lvl w:ilvl="2" w:tplc="D6DAF3B6">
      <w:numFmt w:val="decimal"/>
      <w:lvlText w:val=""/>
      <w:lvlJc w:val="left"/>
    </w:lvl>
    <w:lvl w:ilvl="3" w:tplc="3F10AAE0">
      <w:numFmt w:val="decimal"/>
      <w:lvlText w:val=""/>
      <w:lvlJc w:val="left"/>
    </w:lvl>
    <w:lvl w:ilvl="4" w:tplc="E16C6BE4">
      <w:numFmt w:val="decimal"/>
      <w:lvlText w:val=""/>
      <w:lvlJc w:val="left"/>
    </w:lvl>
    <w:lvl w:ilvl="5" w:tplc="6A6C1A12">
      <w:numFmt w:val="decimal"/>
      <w:lvlText w:val=""/>
      <w:lvlJc w:val="left"/>
    </w:lvl>
    <w:lvl w:ilvl="6" w:tplc="8386515E">
      <w:numFmt w:val="decimal"/>
      <w:lvlText w:val=""/>
      <w:lvlJc w:val="left"/>
    </w:lvl>
    <w:lvl w:ilvl="7" w:tplc="DD3CF2D2">
      <w:numFmt w:val="decimal"/>
      <w:lvlText w:val=""/>
      <w:lvlJc w:val="left"/>
    </w:lvl>
    <w:lvl w:ilvl="8" w:tplc="FA40F4BC">
      <w:numFmt w:val="decimal"/>
      <w:lvlText w:val=""/>
      <w:lvlJc w:val="left"/>
    </w:lvl>
  </w:abstractNum>
  <w:abstractNum w:abstractNumId="561" w15:restartNumberingAfterBreak="0">
    <w:nsid w:val="3CA41A6A"/>
    <w:multiLevelType w:val="hybridMultilevel"/>
    <w:tmpl w:val="368E2CB8"/>
    <w:lvl w:ilvl="0" w:tplc="EC74DEA6">
      <w:start w:val="1"/>
      <w:numFmt w:val="bullet"/>
      <w:lvlText w:val=""/>
      <w:lvlJc w:val="left"/>
      <w:pPr>
        <w:ind w:left="720" w:hanging="180"/>
      </w:pPr>
      <w:rPr>
        <w:rFonts w:ascii="Symbol" w:hAnsi="Symbol" w:hint="default"/>
      </w:rPr>
    </w:lvl>
    <w:lvl w:ilvl="1" w:tplc="30B4DA18">
      <w:numFmt w:val="decimal"/>
      <w:lvlText w:val=""/>
      <w:lvlJc w:val="left"/>
    </w:lvl>
    <w:lvl w:ilvl="2" w:tplc="57663E8C">
      <w:numFmt w:val="decimal"/>
      <w:lvlText w:val=""/>
      <w:lvlJc w:val="left"/>
    </w:lvl>
    <w:lvl w:ilvl="3" w:tplc="D8B067A2">
      <w:numFmt w:val="decimal"/>
      <w:lvlText w:val=""/>
      <w:lvlJc w:val="left"/>
    </w:lvl>
    <w:lvl w:ilvl="4" w:tplc="3C62EB32">
      <w:numFmt w:val="decimal"/>
      <w:lvlText w:val=""/>
      <w:lvlJc w:val="left"/>
    </w:lvl>
    <w:lvl w:ilvl="5" w:tplc="989AC63A">
      <w:numFmt w:val="decimal"/>
      <w:lvlText w:val=""/>
      <w:lvlJc w:val="left"/>
    </w:lvl>
    <w:lvl w:ilvl="6" w:tplc="4992D464">
      <w:numFmt w:val="decimal"/>
      <w:lvlText w:val=""/>
      <w:lvlJc w:val="left"/>
    </w:lvl>
    <w:lvl w:ilvl="7" w:tplc="7908B9EE">
      <w:numFmt w:val="decimal"/>
      <w:lvlText w:val=""/>
      <w:lvlJc w:val="left"/>
    </w:lvl>
    <w:lvl w:ilvl="8" w:tplc="7A0CB788">
      <w:numFmt w:val="decimal"/>
      <w:lvlText w:val=""/>
      <w:lvlJc w:val="left"/>
    </w:lvl>
  </w:abstractNum>
  <w:abstractNum w:abstractNumId="562" w15:restartNumberingAfterBreak="0">
    <w:nsid w:val="3CA5592E"/>
    <w:multiLevelType w:val="hybridMultilevel"/>
    <w:tmpl w:val="1056F952"/>
    <w:lvl w:ilvl="0" w:tplc="8708C3C8">
      <w:start w:val="1"/>
      <w:numFmt w:val="bullet"/>
      <w:lvlText w:val=""/>
      <w:lvlJc w:val="left"/>
      <w:pPr>
        <w:ind w:left="720" w:hanging="180"/>
      </w:pPr>
      <w:rPr>
        <w:rFonts w:ascii="Symbol" w:hAnsi="Symbol" w:hint="default"/>
      </w:rPr>
    </w:lvl>
    <w:lvl w:ilvl="1" w:tplc="46FA6836">
      <w:numFmt w:val="decimal"/>
      <w:lvlText w:val=""/>
      <w:lvlJc w:val="left"/>
    </w:lvl>
    <w:lvl w:ilvl="2" w:tplc="5A04AC1C">
      <w:numFmt w:val="decimal"/>
      <w:lvlText w:val=""/>
      <w:lvlJc w:val="left"/>
    </w:lvl>
    <w:lvl w:ilvl="3" w:tplc="4E1883A0">
      <w:numFmt w:val="decimal"/>
      <w:lvlText w:val=""/>
      <w:lvlJc w:val="left"/>
    </w:lvl>
    <w:lvl w:ilvl="4" w:tplc="13D63D22">
      <w:numFmt w:val="decimal"/>
      <w:lvlText w:val=""/>
      <w:lvlJc w:val="left"/>
    </w:lvl>
    <w:lvl w:ilvl="5" w:tplc="C87CBB9A">
      <w:numFmt w:val="decimal"/>
      <w:lvlText w:val=""/>
      <w:lvlJc w:val="left"/>
    </w:lvl>
    <w:lvl w:ilvl="6" w:tplc="B29A2D6A">
      <w:numFmt w:val="decimal"/>
      <w:lvlText w:val=""/>
      <w:lvlJc w:val="left"/>
    </w:lvl>
    <w:lvl w:ilvl="7" w:tplc="B96C0E76">
      <w:numFmt w:val="decimal"/>
      <w:lvlText w:val=""/>
      <w:lvlJc w:val="left"/>
    </w:lvl>
    <w:lvl w:ilvl="8" w:tplc="368CE822">
      <w:numFmt w:val="decimal"/>
      <w:lvlText w:val=""/>
      <w:lvlJc w:val="left"/>
    </w:lvl>
  </w:abstractNum>
  <w:abstractNum w:abstractNumId="563" w15:restartNumberingAfterBreak="0">
    <w:nsid w:val="3CB939B4"/>
    <w:multiLevelType w:val="hybridMultilevel"/>
    <w:tmpl w:val="C5000874"/>
    <w:lvl w:ilvl="0" w:tplc="CD8C03F2">
      <w:start w:val="1"/>
      <w:numFmt w:val="bullet"/>
      <w:lvlText w:val=""/>
      <w:lvlJc w:val="left"/>
      <w:pPr>
        <w:ind w:left="720" w:hanging="180"/>
      </w:pPr>
      <w:rPr>
        <w:rFonts w:ascii="Symbol" w:hAnsi="Symbol" w:hint="default"/>
      </w:rPr>
    </w:lvl>
    <w:lvl w:ilvl="1" w:tplc="C9C64C72">
      <w:numFmt w:val="decimal"/>
      <w:lvlText w:val=""/>
      <w:lvlJc w:val="left"/>
    </w:lvl>
    <w:lvl w:ilvl="2" w:tplc="15966664">
      <w:numFmt w:val="decimal"/>
      <w:lvlText w:val=""/>
      <w:lvlJc w:val="left"/>
    </w:lvl>
    <w:lvl w:ilvl="3" w:tplc="895AC458">
      <w:numFmt w:val="decimal"/>
      <w:lvlText w:val=""/>
      <w:lvlJc w:val="left"/>
    </w:lvl>
    <w:lvl w:ilvl="4" w:tplc="F62A5B2C">
      <w:numFmt w:val="decimal"/>
      <w:lvlText w:val=""/>
      <w:lvlJc w:val="left"/>
    </w:lvl>
    <w:lvl w:ilvl="5" w:tplc="406A9FF8">
      <w:numFmt w:val="decimal"/>
      <w:lvlText w:val=""/>
      <w:lvlJc w:val="left"/>
    </w:lvl>
    <w:lvl w:ilvl="6" w:tplc="5922DF88">
      <w:numFmt w:val="decimal"/>
      <w:lvlText w:val=""/>
      <w:lvlJc w:val="left"/>
    </w:lvl>
    <w:lvl w:ilvl="7" w:tplc="1FF6A974">
      <w:numFmt w:val="decimal"/>
      <w:lvlText w:val=""/>
      <w:lvlJc w:val="left"/>
    </w:lvl>
    <w:lvl w:ilvl="8" w:tplc="3A2E6406">
      <w:numFmt w:val="decimal"/>
      <w:lvlText w:val=""/>
      <w:lvlJc w:val="left"/>
    </w:lvl>
  </w:abstractNum>
  <w:abstractNum w:abstractNumId="564" w15:restartNumberingAfterBreak="0">
    <w:nsid w:val="3D093D21"/>
    <w:multiLevelType w:val="hybridMultilevel"/>
    <w:tmpl w:val="973C510A"/>
    <w:lvl w:ilvl="0" w:tplc="3DBA6370">
      <w:start w:val="1"/>
      <w:numFmt w:val="bullet"/>
      <w:lvlText w:val=""/>
      <w:lvlJc w:val="left"/>
      <w:pPr>
        <w:ind w:left="720" w:hanging="180"/>
      </w:pPr>
      <w:rPr>
        <w:rFonts w:ascii="Symbol" w:hAnsi="Symbol" w:hint="default"/>
      </w:rPr>
    </w:lvl>
    <w:lvl w:ilvl="1" w:tplc="36C23C4C">
      <w:numFmt w:val="decimal"/>
      <w:lvlText w:val=""/>
      <w:lvlJc w:val="left"/>
    </w:lvl>
    <w:lvl w:ilvl="2" w:tplc="86E234F8">
      <w:numFmt w:val="decimal"/>
      <w:lvlText w:val=""/>
      <w:lvlJc w:val="left"/>
    </w:lvl>
    <w:lvl w:ilvl="3" w:tplc="5D82D440">
      <w:numFmt w:val="decimal"/>
      <w:lvlText w:val=""/>
      <w:lvlJc w:val="left"/>
    </w:lvl>
    <w:lvl w:ilvl="4" w:tplc="1D50DE86">
      <w:numFmt w:val="decimal"/>
      <w:lvlText w:val=""/>
      <w:lvlJc w:val="left"/>
    </w:lvl>
    <w:lvl w:ilvl="5" w:tplc="594C2EB6">
      <w:numFmt w:val="decimal"/>
      <w:lvlText w:val=""/>
      <w:lvlJc w:val="left"/>
    </w:lvl>
    <w:lvl w:ilvl="6" w:tplc="79D2D522">
      <w:numFmt w:val="decimal"/>
      <w:lvlText w:val=""/>
      <w:lvlJc w:val="left"/>
    </w:lvl>
    <w:lvl w:ilvl="7" w:tplc="18B07ACA">
      <w:numFmt w:val="decimal"/>
      <w:lvlText w:val=""/>
      <w:lvlJc w:val="left"/>
    </w:lvl>
    <w:lvl w:ilvl="8" w:tplc="0CB83376">
      <w:numFmt w:val="decimal"/>
      <w:lvlText w:val=""/>
      <w:lvlJc w:val="left"/>
    </w:lvl>
  </w:abstractNum>
  <w:abstractNum w:abstractNumId="565" w15:restartNumberingAfterBreak="0">
    <w:nsid w:val="3D215336"/>
    <w:multiLevelType w:val="hybridMultilevel"/>
    <w:tmpl w:val="0046EEE8"/>
    <w:lvl w:ilvl="0" w:tplc="DDB85BE2">
      <w:start w:val="1"/>
      <w:numFmt w:val="bullet"/>
      <w:lvlText w:val=""/>
      <w:lvlJc w:val="left"/>
      <w:pPr>
        <w:ind w:left="720" w:hanging="180"/>
      </w:pPr>
      <w:rPr>
        <w:rFonts w:ascii="Symbol" w:hAnsi="Symbol" w:hint="default"/>
      </w:rPr>
    </w:lvl>
    <w:lvl w:ilvl="1" w:tplc="7F623FEC">
      <w:numFmt w:val="decimal"/>
      <w:lvlText w:val=""/>
      <w:lvlJc w:val="left"/>
    </w:lvl>
    <w:lvl w:ilvl="2" w:tplc="B8308718">
      <w:numFmt w:val="decimal"/>
      <w:lvlText w:val=""/>
      <w:lvlJc w:val="left"/>
    </w:lvl>
    <w:lvl w:ilvl="3" w:tplc="3DBA7FD2">
      <w:numFmt w:val="decimal"/>
      <w:lvlText w:val=""/>
      <w:lvlJc w:val="left"/>
    </w:lvl>
    <w:lvl w:ilvl="4" w:tplc="27400A1C">
      <w:numFmt w:val="decimal"/>
      <w:lvlText w:val=""/>
      <w:lvlJc w:val="left"/>
    </w:lvl>
    <w:lvl w:ilvl="5" w:tplc="1F5C5B8A">
      <w:numFmt w:val="decimal"/>
      <w:lvlText w:val=""/>
      <w:lvlJc w:val="left"/>
    </w:lvl>
    <w:lvl w:ilvl="6" w:tplc="46C0C79A">
      <w:numFmt w:val="decimal"/>
      <w:lvlText w:val=""/>
      <w:lvlJc w:val="left"/>
    </w:lvl>
    <w:lvl w:ilvl="7" w:tplc="D752EBAE">
      <w:numFmt w:val="decimal"/>
      <w:lvlText w:val=""/>
      <w:lvlJc w:val="left"/>
    </w:lvl>
    <w:lvl w:ilvl="8" w:tplc="029ED262">
      <w:numFmt w:val="decimal"/>
      <w:lvlText w:val=""/>
      <w:lvlJc w:val="left"/>
    </w:lvl>
  </w:abstractNum>
  <w:abstractNum w:abstractNumId="566" w15:restartNumberingAfterBreak="0">
    <w:nsid w:val="3D5B7DAE"/>
    <w:multiLevelType w:val="hybridMultilevel"/>
    <w:tmpl w:val="C098159E"/>
    <w:lvl w:ilvl="0" w:tplc="A67091DA">
      <w:numFmt w:val="decimal"/>
      <w:lvlText w:val=""/>
      <w:lvlJc w:val="left"/>
    </w:lvl>
    <w:lvl w:ilvl="1" w:tplc="EB2817FC">
      <w:start w:val="1"/>
      <w:numFmt w:val="bullet"/>
      <w:lvlText w:val=""/>
      <w:lvlJc w:val="left"/>
      <w:pPr>
        <w:ind w:left="1440" w:hanging="180"/>
      </w:pPr>
      <w:rPr>
        <w:rFonts w:ascii="Symbol" w:hAnsi="Symbol" w:hint="default"/>
      </w:rPr>
    </w:lvl>
    <w:lvl w:ilvl="2" w:tplc="A782C8AE">
      <w:numFmt w:val="decimal"/>
      <w:lvlText w:val=""/>
      <w:lvlJc w:val="left"/>
    </w:lvl>
    <w:lvl w:ilvl="3" w:tplc="65D89526">
      <w:numFmt w:val="decimal"/>
      <w:lvlText w:val=""/>
      <w:lvlJc w:val="left"/>
    </w:lvl>
    <w:lvl w:ilvl="4" w:tplc="4C26BC6E">
      <w:numFmt w:val="decimal"/>
      <w:lvlText w:val=""/>
      <w:lvlJc w:val="left"/>
    </w:lvl>
    <w:lvl w:ilvl="5" w:tplc="6D4445A0">
      <w:numFmt w:val="decimal"/>
      <w:lvlText w:val=""/>
      <w:lvlJc w:val="left"/>
    </w:lvl>
    <w:lvl w:ilvl="6" w:tplc="78D4F44C">
      <w:numFmt w:val="decimal"/>
      <w:lvlText w:val=""/>
      <w:lvlJc w:val="left"/>
    </w:lvl>
    <w:lvl w:ilvl="7" w:tplc="C55832FC">
      <w:numFmt w:val="decimal"/>
      <w:lvlText w:val=""/>
      <w:lvlJc w:val="left"/>
    </w:lvl>
    <w:lvl w:ilvl="8" w:tplc="37A411C8">
      <w:numFmt w:val="decimal"/>
      <w:lvlText w:val=""/>
      <w:lvlJc w:val="left"/>
    </w:lvl>
  </w:abstractNum>
  <w:abstractNum w:abstractNumId="567" w15:restartNumberingAfterBreak="0">
    <w:nsid w:val="3D6F1457"/>
    <w:multiLevelType w:val="hybridMultilevel"/>
    <w:tmpl w:val="EAD223A0"/>
    <w:lvl w:ilvl="0" w:tplc="0F30F044">
      <w:start w:val="1"/>
      <w:numFmt w:val="bullet"/>
      <w:lvlText w:val=""/>
      <w:lvlJc w:val="left"/>
      <w:pPr>
        <w:ind w:left="720" w:hanging="180"/>
      </w:pPr>
      <w:rPr>
        <w:rFonts w:ascii="Symbol" w:hAnsi="Symbol" w:hint="default"/>
      </w:rPr>
    </w:lvl>
    <w:lvl w:ilvl="1" w:tplc="EFA2D5F0">
      <w:numFmt w:val="decimal"/>
      <w:lvlText w:val=""/>
      <w:lvlJc w:val="left"/>
    </w:lvl>
    <w:lvl w:ilvl="2" w:tplc="F0A8F934">
      <w:numFmt w:val="decimal"/>
      <w:lvlText w:val=""/>
      <w:lvlJc w:val="left"/>
    </w:lvl>
    <w:lvl w:ilvl="3" w:tplc="EDA8F274">
      <w:numFmt w:val="decimal"/>
      <w:lvlText w:val=""/>
      <w:lvlJc w:val="left"/>
    </w:lvl>
    <w:lvl w:ilvl="4" w:tplc="D904018A">
      <w:numFmt w:val="decimal"/>
      <w:lvlText w:val=""/>
      <w:lvlJc w:val="left"/>
    </w:lvl>
    <w:lvl w:ilvl="5" w:tplc="4C1636DA">
      <w:numFmt w:val="decimal"/>
      <w:lvlText w:val=""/>
      <w:lvlJc w:val="left"/>
    </w:lvl>
    <w:lvl w:ilvl="6" w:tplc="C436E5B2">
      <w:numFmt w:val="decimal"/>
      <w:lvlText w:val=""/>
      <w:lvlJc w:val="left"/>
    </w:lvl>
    <w:lvl w:ilvl="7" w:tplc="94003B92">
      <w:numFmt w:val="decimal"/>
      <w:lvlText w:val=""/>
      <w:lvlJc w:val="left"/>
    </w:lvl>
    <w:lvl w:ilvl="8" w:tplc="C1DCB89E">
      <w:numFmt w:val="decimal"/>
      <w:lvlText w:val=""/>
      <w:lvlJc w:val="left"/>
    </w:lvl>
  </w:abstractNum>
  <w:abstractNum w:abstractNumId="568" w15:restartNumberingAfterBreak="0">
    <w:nsid w:val="3D843C75"/>
    <w:multiLevelType w:val="hybridMultilevel"/>
    <w:tmpl w:val="0F80F9FA"/>
    <w:lvl w:ilvl="0" w:tplc="7A1CE098">
      <w:start w:val="1"/>
      <w:numFmt w:val="bullet"/>
      <w:lvlText w:val=""/>
      <w:lvlJc w:val="left"/>
      <w:pPr>
        <w:ind w:left="720" w:hanging="180"/>
      </w:pPr>
      <w:rPr>
        <w:rFonts w:ascii="Symbol" w:hAnsi="Symbol" w:hint="default"/>
      </w:rPr>
    </w:lvl>
    <w:lvl w:ilvl="1" w:tplc="D758C31A">
      <w:numFmt w:val="decimal"/>
      <w:lvlText w:val=""/>
      <w:lvlJc w:val="left"/>
    </w:lvl>
    <w:lvl w:ilvl="2" w:tplc="606A2134">
      <w:numFmt w:val="decimal"/>
      <w:lvlText w:val=""/>
      <w:lvlJc w:val="left"/>
    </w:lvl>
    <w:lvl w:ilvl="3" w:tplc="4CD05930">
      <w:numFmt w:val="decimal"/>
      <w:lvlText w:val=""/>
      <w:lvlJc w:val="left"/>
    </w:lvl>
    <w:lvl w:ilvl="4" w:tplc="F5160406">
      <w:numFmt w:val="decimal"/>
      <w:lvlText w:val=""/>
      <w:lvlJc w:val="left"/>
    </w:lvl>
    <w:lvl w:ilvl="5" w:tplc="B3729376">
      <w:numFmt w:val="decimal"/>
      <w:lvlText w:val=""/>
      <w:lvlJc w:val="left"/>
    </w:lvl>
    <w:lvl w:ilvl="6" w:tplc="BAF622A6">
      <w:numFmt w:val="decimal"/>
      <w:lvlText w:val=""/>
      <w:lvlJc w:val="left"/>
    </w:lvl>
    <w:lvl w:ilvl="7" w:tplc="B9C6576E">
      <w:numFmt w:val="decimal"/>
      <w:lvlText w:val=""/>
      <w:lvlJc w:val="left"/>
    </w:lvl>
    <w:lvl w:ilvl="8" w:tplc="70E6919C">
      <w:numFmt w:val="decimal"/>
      <w:lvlText w:val=""/>
      <w:lvlJc w:val="left"/>
    </w:lvl>
  </w:abstractNum>
  <w:abstractNum w:abstractNumId="569" w15:restartNumberingAfterBreak="0">
    <w:nsid w:val="3DA05BC6"/>
    <w:multiLevelType w:val="hybridMultilevel"/>
    <w:tmpl w:val="0BDE9D54"/>
    <w:lvl w:ilvl="0" w:tplc="483A33C2">
      <w:numFmt w:val="decimal"/>
      <w:lvlText w:val=""/>
      <w:lvlJc w:val="left"/>
    </w:lvl>
    <w:lvl w:ilvl="1" w:tplc="2AC0924C">
      <w:start w:val="1"/>
      <w:numFmt w:val="bullet"/>
      <w:lvlText w:val=""/>
      <w:lvlJc w:val="left"/>
      <w:pPr>
        <w:ind w:left="1440" w:hanging="180"/>
      </w:pPr>
      <w:rPr>
        <w:rFonts w:ascii="Symbol" w:hAnsi="Symbol" w:hint="default"/>
      </w:rPr>
    </w:lvl>
    <w:lvl w:ilvl="2" w:tplc="E4C01BE8">
      <w:numFmt w:val="decimal"/>
      <w:lvlText w:val=""/>
      <w:lvlJc w:val="left"/>
    </w:lvl>
    <w:lvl w:ilvl="3" w:tplc="DBDC30B0">
      <w:numFmt w:val="decimal"/>
      <w:lvlText w:val=""/>
      <w:lvlJc w:val="left"/>
    </w:lvl>
    <w:lvl w:ilvl="4" w:tplc="55343624">
      <w:numFmt w:val="decimal"/>
      <w:lvlText w:val=""/>
      <w:lvlJc w:val="left"/>
    </w:lvl>
    <w:lvl w:ilvl="5" w:tplc="6F988F16">
      <w:numFmt w:val="decimal"/>
      <w:lvlText w:val=""/>
      <w:lvlJc w:val="left"/>
    </w:lvl>
    <w:lvl w:ilvl="6" w:tplc="B9A215A8">
      <w:numFmt w:val="decimal"/>
      <w:lvlText w:val=""/>
      <w:lvlJc w:val="left"/>
    </w:lvl>
    <w:lvl w:ilvl="7" w:tplc="147AF97E">
      <w:numFmt w:val="decimal"/>
      <w:lvlText w:val=""/>
      <w:lvlJc w:val="left"/>
    </w:lvl>
    <w:lvl w:ilvl="8" w:tplc="F3CEB2BA">
      <w:numFmt w:val="decimal"/>
      <w:lvlText w:val=""/>
      <w:lvlJc w:val="left"/>
    </w:lvl>
  </w:abstractNum>
  <w:abstractNum w:abstractNumId="570" w15:restartNumberingAfterBreak="0">
    <w:nsid w:val="3DDC4FCA"/>
    <w:multiLevelType w:val="hybridMultilevel"/>
    <w:tmpl w:val="86D2A792"/>
    <w:lvl w:ilvl="0" w:tplc="2B687D70">
      <w:start w:val="1"/>
      <w:numFmt w:val="bullet"/>
      <w:lvlText w:val=""/>
      <w:lvlJc w:val="left"/>
      <w:pPr>
        <w:ind w:left="720" w:hanging="180"/>
      </w:pPr>
      <w:rPr>
        <w:rFonts w:ascii="Symbol" w:hAnsi="Symbol" w:hint="default"/>
      </w:rPr>
    </w:lvl>
    <w:lvl w:ilvl="1" w:tplc="B53A255E">
      <w:numFmt w:val="decimal"/>
      <w:lvlText w:val=""/>
      <w:lvlJc w:val="left"/>
    </w:lvl>
    <w:lvl w:ilvl="2" w:tplc="D88C295E">
      <w:numFmt w:val="decimal"/>
      <w:lvlText w:val=""/>
      <w:lvlJc w:val="left"/>
    </w:lvl>
    <w:lvl w:ilvl="3" w:tplc="556ED384">
      <w:numFmt w:val="decimal"/>
      <w:lvlText w:val=""/>
      <w:lvlJc w:val="left"/>
    </w:lvl>
    <w:lvl w:ilvl="4" w:tplc="F7CAC968">
      <w:numFmt w:val="decimal"/>
      <w:lvlText w:val=""/>
      <w:lvlJc w:val="left"/>
    </w:lvl>
    <w:lvl w:ilvl="5" w:tplc="58761FB6">
      <w:numFmt w:val="decimal"/>
      <w:lvlText w:val=""/>
      <w:lvlJc w:val="left"/>
    </w:lvl>
    <w:lvl w:ilvl="6" w:tplc="F40C0FAC">
      <w:numFmt w:val="decimal"/>
      <w:lvlText w:val=""/>
      <w:lvlJc w:val="left"/>
    </w:lvl>
    <w:lvl w:ilvl="7" w:tplc="87CE69E4">
      <w:numFmt w:val="decimal"/>
      <w:lvlText w:val=""/>
      <w:lvlJc w:val="left"/>
    </w:lvl>
    <w:lvl w:ilvl="8" w:tplc="EE8AD5F6">
      <w:numFmt w:val="decimal"/>
      <w:lvlText w:val=""/>
      <w:lvlJc w:val="left"/>
    </w:lvl>
  </w:abstractNum>
  <w:abstractNum w:abstractNumId="571" w15:restartNumberingAfterBreak="0">
    <w:nsid w:val="3DFE0889"/>
    <w:multiLevelType w:val="hybridMultilevel"/>
    <w:tmpl w:val="49F82136"/>
    <w:lvl w:ilvl="0" w:tplc="57D87A1A">
      <w:start w:val="1"/>
      <w:numFmt w:val="bullet"/>
      <w:lvlText w:val=""/>
      <w:lvlJc w:val="left"/>
      <w:pPr>
        <w:ind w:left="720" w:hanging="180"/>
      </w:pPr>
      <w:rPr>
        <w:rFonts w:ascii="Symbol" w:hAnsi="Symbol" w:hint="default"/>
      </w:rPr>
    </w:lvl>
    <w:lvl w:ilvl="1" w:tplc="9E92CAFA">
      <w:numFmt w:val="decimal"/>
      <w:lvlText w:val=""/>
      <w:lvlJc w:val="left"/>
    </w:lvl>
    <w:lvl w:ilvl="2" w:tplc="77BABD22">
      <w:numFmt w:val="decimal"/>
      <w:lvlText w:val=""/>
      <w:lvlJc w:val="left"/>
    </w:lvl>
    <w:lvl w:ilvl="3" w:tplc="366A12F0">
      <w:numFmt w:val="decimal"/>
      <w:lvlText w:val=""/>
      <w:lvlJc w:val="left"/>
    </w:lvl>
    <w:lvl w:ilvl="4" w:tplc="D34207BC">
      <w:numFmt w:val="decimal"/>
      <w:lvlText w:val=""/>
      <w:lvlJc w:val="left"/>
    </w:lvl>
    <w:lvl w:ilvl="5" w:tplc="071C23D2">
      <w:numFmt w:val="decimal"/>
      <w:lvlText w:val=""/>
      <w:lvlJc w:val="left"/>
    </w:lvl>
    <w:lvl w:ilvl="6" w:tplc="83B40766">
      <w:numFmt w:val="decimal"/>
      <w:lvlText w:val=""/>
      <w:lvlJc w:val="left"/>
    </w:lvl>
    <w:lvl w:ilvl="7" w:tplc="16E24C4E">
      <w:numFmt w:val="decimal"/>
      <w:lvlText w:val=""/>
      <w:lvlJc w:val="left"/>
    </w:lvl>
    <w:lvl w:ilvl="8" w:tplc="E4F87AB4">
      <w:numFmt w:val="decimal"/>
      <w:lvlText w:val=""/>
      <w:lvlJc w:val="left"/>
    </w:lvl>
  </w:abstractNum>
  <w:abstractNum w:abstractNumId="572" w15:restartNumberingAfterBreak="0">
    <w:nsid w:val="3E1145AB"/>
    <w:multiLevelType w:val="hybridMultilevel"/>
    <w:tmpl w:val="D8E2E138"/>
    <w:lvl w:ilvl="0" w:tplc="C128AE00">
      <w:start w:val="1"/>
      <w:numFmt w:val="bullet"/>
      <w:lvlText w:val=""/>
      <w:lvlJc w:val="left"/>
      <w:pPr>
        <w:ind w:left="720" w:hanging="180"/>
      </w:pPr>
      <w:rPr>
        <w:rFonts w:ascii="Symbol" w:hAnsi="Symbol" w:hint="default"/>
      </w:rPr>
    </w:lvl>
    <w:lvl w:ilvl="1" w:tplc="ACBE753C">
      <w:numFmt w:val="decimal"/>
      <w:lvlText w:val=""/>
      <w:lvlJc w:val="left"/>
    </w:lvl>
    <w:lvl w:ilvl="2" w:tplc="FCA84BBA">
      <w:numFmt w:val="decimal"/>
      <w:lvlText w:val=""/>
      <w:lvlJc w:val="left"/>
    </w:lvl>
    <w:lvl w:ilvl="3" w:tplc="98C8CD20">
      <w:numFmt w:val="decimal"/>
      <w:lvlText w:val=""/>
      <w:lvlJc w:val="left"/>
    </w:lvl>
    <w:lvl w:ilvl="4" w:tplc="E0F8310E">
      <w:numFmt w:val="decimal"/>
      <w:lvlText w:val=""/>
      <w:lvlJc w:val="left"/>
    </w:lvl>
    <w:lvl w:ilvl="5" w:tplc="66DA2F02">
      <w:numFmt w:val="decimal"/>
      <w:lvlText w:val=""/>
      <w:lvlJc w:val="left"/>
    </w:lvl>
    <w:lvl w:ilvl="6" w:tplc="B016F112">
      <w:numFmt w:val="decimal"/>
      <w:lvlText w:val=""/>
      <w:lvlJc w:val="left"/>
    </w:lvl>
    <w:lvl w:ilvl="7" w:tplc="0A2C99DE">
      <w:numFmt w:val="decimal"/>
      <w:lvlText w:val=""/>
      <w:lvlJc w:val="left"/>
    </w:lvl>
    <w:lvl w:ilvl="8" w:tplc="605293DA">
      <w:numFmt w:val="decimal"/>
      <w:lvlText w:val=""/>
      <w:lvlJc w:val="left"/>
    </w:lvl>
  </w:abstractNum>
  <w:abstractNum w:abstractNumId="573" w15:restartNumberingAfterBreak="0">
    <w:nsid w:val="3E1621CA"/>
    <w:multiLevelType w:val="hybridMultilevel"/>
    <w:tmpl w:val="028C2EE6"/>
    <w:lvl w:ilvl="0" w:tplc="998C0AA4">
      <w:start w:val="1"/>
      <w:numFmt w:val="bullet"/>
      <w:lvlText w:val=""/>
      <w:lvlJc w:val="left"/>
      <w:pPr>
        <w:ind w:left="720" w:hanging="180"/>
      </w:pPr>
      <w:rPr>
        <w:rFonts w:ascii="Symbol" w:hAnsi="Symbol" w:hint="default"/>
      </w:rPr>
    </w:lvl>
    <w:lvl w:ilvl="1" w:tplc="97900282">
      <w:numFmt w:val="decimal"/>
      <w:lvlText w:val=""/>
      <w:lvlJc w:val="left"/>
    </w:lvl>
    <w:lvl w:ilvl="2" w:tplc="7CD0BB16">
      <w:numFmt w:val="decimal"/>
      <w:lvlText w:val=""/>
      <w:lvlJc w:val="left"/>
    </w:lvl>
    <w:lvl w:ilvl="3" w:tplc="E1C25306">
      <w:numFmt w:val="decimal"/>
      <w:lvlText w:val=""/>
      <w:lvlJc w:val="left"/>
    </w:lvl>
    <w:lvl w:ilvl="4" w:tplc="A668773E">
      <w:numFmt w:val="decimal"/>
      <w:lvlText w:val=""/>
      <w:lvlJc w:val="left"/>
    </w:lvl>
    <w:lvl w:ilvl="5" w:tplc="E86E4D5E">
      <w:numFmt w:val="decimal"/>
      <w:lvlText w:val=""/>
      <w:lvlJc w:val="left"/>
    </w:lvl>
    <w:lvl w:ilvl="6" w:tplc="6460134E">
      <w:numFmt w:val="decimal"/>
      <w:lvlText w:val=""/>
      <w:lvlJc w:val="left"/>
    </w:lvl>
    <w:lvl w:ilvl="7" w:tplc="EAFC88CE">
      <w:numFmt w:val="decimal"/>
      <w:lvlText w:val=""/>
      <w:lvlJc w:val="left"/>
    </w:lvl>
    <w:lvl w:ilvl="8" w:tplc="EDF2EC2C">
      <w:numFmt w:val="decimal"/>
      <w:lvlText w:val=""/>
      <w:lvlJc w:val="left"/>
    </w:lvl>
  </w:abstractNum>
  <w:abstractNum w:abstractNumId="574" w15:restartNumberingAfterBreak="0">
    <w:nsid w:val="3E1A2BD3"/>
    <w:multiLevelType w:val="hybridMultilevel"/>
    <w:tmpl w:val="DBD6272C"/>
    <w:lvl w:ilvl="0" w:tplc="234C88B0">
      <w:start w:val="1"/>
      <w:numFmt w:val="bullet"/>
      <w:lvlText w:val=""/>
      <w:lvlJc w:val="left"/>
      <w:pPr>
        <w:ind w:left="720" w:hanging="180"/>
      </w:pPr>
      <w:rPr>
        <w:rFonts w:ascii="Symbol" w:hAnsi="Symbol" w:hint="default"/>
      </w:rPr>
    </w:lvl>
    <w:lvl w:ilvl="1" w:tplc="4EA8FF8A">
      <w:numFmt w:val="decimal"/>
      <w:lvlText w:val=""/>
      <w:lvlJc w:val="left"/>
    </w:lvl>
    <w:lvl w:ilvl="2" w:tplc="F906DEA0">
      <w:numFmt w:val="decimal"/>
      <w:lvlText w:val=""/>
      <w:lvlJc w:val="left"/>
    </w:lvl>
    <w:lvl w:ilvl="3" w:tplc="49689756">
      <w:numFmt w:val="decimal"/>
      <w:lvlText w:val=""/>
      <w:lvlJc w:val="left"/>
    </w:lvl>
    <w:lvl w:ilvl="4" w:tplc="61FC9FCA">
      <w:numFmt w:val="decimal"/>
      <w:lvlText w:val=""/>
      <w:lvlJc w:val="left"/>
    </w:lvl>
    <w:lvl w:ilvl="5" w:tplc="B1E2D9C8">
      <w:numFmt w:val="decimal"/>
      <w:lvlText w:val=""/>
      <w:lvlJc w:val="left"/>
    </w:lvl>
    <w:lvl w:ilvl="6" w:tplc="9190D07C">
      <w:numFmt w:val="decimal"/>
      <w:lvlText w:val=""/>
      <w:lvlJc w:val="left"/>
    </w:lvl>
    <w:lvl w:ilvl="7" w:tplc="C9DA5D32">
      <w:numFmt w:val="decimal"/>
      <w:lvlText w:val=""/>
      <w:lvlJc w:val="left"/>
    </w:lvl>
    <w:lvl w:ilvl="8" w:tplc="B3B220AC">
      <w:numFmt w:val="decimal"/>
      <w:lvlText w:val=""/>
      <w:lvlJc w:val="left"/>
    </w:lvl>
  </w:abstractNum>
  <w:abstractNum w:abstractNumId="575" w15:restartNumberingAfterBreak="0">
    <w:nsid w:val="3E2A1F2D"/>
    <w:multiLevelType w:val="hybridMultilevel"/>
    <w:tmpl w:val="5560CB34"/>
    <w:lvl w:ilvl="0" w:tplc="43EAFBD6">
      <w:start w:val="1"/>
      <w:numFmt w:val="bullet"/>
      <w:lvlText w:val=""/>
      <w:lvlJc w:val="left"/>
      <w:pPr>
        <w:ind w:left="720" w:hanging="180"/>
      </w:pPr>
      <w:rPr>
        <w:rFonts w:ascii="Symbol" w:hAnsi="Symbol" w:hint="default"/>
      </w:rPr>
    </w:lvl>
    <w:lvl w:ilvl="1" w:tplc="FAFAE85E">
      <w:numFmt w:val="decimal"/>
      <w:lvlText w:val=""/>
      <w:lvlJc w:val="left"/>
    </w:lvl>
    <w:lvl w:ilvl="2" w:tplc="0F94DD00">
      <w:numFmt w:val="decimal"/>
      <w:lvlText w:val=""/>
      <w:lvlJc w:val="left"/>
    </w:lvl>
    <w:lvl w:ilvl="3" w:tplc="EB8024E0">
      <w:numFmt w:val="decimal"/>
      <w:lvlText w:val=""/>
      <w:lvlJc w:val="left"/>
    </w:lvl>
    <w:lvl w:ilvl="4" w:tplc="1DDA7DA6">
      <w:numFmt w:val="decimal"/>
      <w:lvlText w:val=""/>
      <w:lvlJc w:val="left"/>
    </w:lvl>
    <w:lvl w:ilvl="5" w:tplc="D56C1402">
      <w:numFmt w:val="decimal"/>
      <w:lvlText w:val=""/>
      <w:lvlJc w:val="left"/>
    </w:lvl>
    <w:lvl w:ilvl="6" w:tplc="E60E4BA6">
      <w:numFmt w:val="decimal"/>
      <w:lvlText w:val=""/>
      <w:lvlJc w:val="left"/>
    </w:lvl>
    <w:lvl w:ilvl="7" w:tplc="94AAE470">
      <w:numFmt w:val="decimal"/>
      <w:lvlText w:val=""/>
      <w:lvlJc w:val="left"/>
    </w:lvl>
    <w:lvl w:ilvl="8" w:tplc="54EA0232">
      <w:numFmt w:val="decimal"/>
      <w:lvlText w:val=""/>
      <w:lvlJc w:val="left"/>
    </w:lvl>
  </w:abstractNum>
  <w:abstractNum w:abstractNumId="576" w15:restartNumberingAfterBreak="0">
    <w:nsid w:val="3E41144D"/>
    <w:multiLevelType w:val="hybridMultilevel"/>
    <w:tmpl w:val="06765952"/>
    <w:lvl w:ilvl="0" w:tplc="0134A346">
      <w:numFmt w:val="decimal"/>
      <w:lvlText w:val=""/>
      <w:lvlJc w:val="left"/>
    </w:lvl>
    <w:lvl w:ilvl="1" w:tplc="4E2AFD56">
      <w:start w:val="1"/>
      <w:numFmt w:val="bullet"/>
      <w:lvlText w:val=""/>
      <w:lvlJc w:val="left"/>
      <w:pPr>
        <w:ind w:left="1440" w:hanging="180"/>
      </w:pPr>
      <w:rPr>
        <w:rFonts w:ascii="Symbol" w:hAnsi="Symbol" w:hint="default"/>
      </w:rPr>
    </w:lvl>
    <w:lvl w:ilvl="2" w:tplc="53AA0486">
      <w:numFmt w:val="decimal"/>
      <w:lvlText w:val=""/>
      <w:lvlJc w:val="left"/>
    </w:lvl>
    <w:lvl w:ilvl="3" w:tplc="F4865EE0">
      <w:numFmt w:val="decimal"/>
      <w:lvlText w:val=""/>
      <w:lvlJc w:val="left"/>
    </w:lvl>
    <w:lvl w:ilvl="4" w:tplc="4170C0DA">
      <w:numFmt w:val="decimal"/>
      <w:lvlText w:val=""/>
      <w:lvlJc w:val="left"/>
    </w:lvl>
    <w:lvl w:ilvl="5" w:tplc="EE921D30">
      <w:numFmt w:val="decimal"/>
      <w:lvlText w:val=""/>
      <w:lvlJc w:val="left"/>
    </w:lvl>
    <w:lvl w:ilvl="6" w:tplc="2E20C720">
      <w:numFmt w:val="decimal"/>
      <w:lvlText w:val=""/>
      <w:lvlJc w:val="left"/>
    </w:lvl>
    <w:lvl w:ilvl="7" w:tplc="AC42EE72">
      <w:numFmt w:val="decimal"/>
      <w:lvlText w:val=""/>
      <w:lvlJc w:val="left"/>
    </w:lvl>
    <w:lvl w:ilvl="8" w:tplc="53986EA2">
      <w:numFmt w:val="decimal"/>
      <w:lvlText w:val=""/>
      <w:lvlJc w:val="left"/>
    </w:lvl>
  </w:abstractNum>
  <w:abstractNum w:abstractNumId="577" w15:restartNumberingAfterBreak="0">
    <w:nsid w:val="3E4D46A8"/>
    <w:multiLevelType w:val="hybridMultilevel"/>
    <w:tmpl w:val="D6A4E99E"/>
    <w:lvl w:ilvl="0" w:tplc="E4226D36">
      <w:start w:val="1"/>
      <w:numFmt w:val="bullet"/>
      <w:lvlText w:val=""/>
      <w:lvlJc w:val="left"/>
      <w:pPr>
        <w:ind w:left="720" w:hanging="180"/>
      </w:pPr>
      <w:rPr>
        <w:rFonts w:ascii="Symbol" w:hAnsi="Symbol" w:hint="default"/>
      </w:rPr>
    </w:lvl>
    <w:lvl w:ilvl="1" w:tplc="1EE6D108">
      <w:numFmt w:val="decimal"/>
      <w:lvlText w:val=""/>
      <w:lvlJc w:val="left"/>
    </w:lvl>
    <w:lvl w:ilvl="2" w:tplc="D0BC438C">
      <w:numFmt w:val="decimal"/>
      <w:lvlText w:val=""/>
      <w:lvlJc w:val="left"/>
    </w:lvl>
    <w:lvl w:ilvl="3" w:tplc="CB3A1DF2">
      <w:numFmt w:val="decimal"/>
      <w:lvlText w:val=""/>
      <w:lvlJc w:val="left"/>
    </w:lvl>
    <w:lvl w:ilvl="4" w:tplc="30F45AD0">
      <w:numFmt w:val="decimal"/>
      <w:lvlText w:val=""/>
      <w:lvlJc w:val="left"/>
    </w:lvl>
    <w:lvl w:ilvl="5" w:tplc="6FA442EA">
      <w:numFmt w:val="decimal"/>
      <w:lvlText w:val=""/>
      <w:lvlJc w:val="left"/>
    </w:lvl>
    <w:lvl w:ilvl="6" w:tplc="6FE40D42">
      <w:numFmt w:val="decimal"/>
      <w:lvlText w:val=""/>
      <w:lvlJc w:val="left"/>
    </w:lvl>
    <w:lvl w:ilvl="7" w:tplc="DA3CEFB4">
      <w:numFmt w:val="decimal"/>
      <w:lvlText w:val=""/>
      <w:lvlJc w:val="left"/>
    </w:lvl>
    <w:lvl w:ilvl="8" w:tplc="4F4A5A76">
      <w:numFmt w:val="decimal"/>
      <w:lvlText w:val=""/>
      <w:lvlJc w:val="left"/>
    </w:lvl>
  </w:abstractNum>
  <w:abstractNum w:abstractNumId="578" w15:restartNumberingAfterBreak="0">
    <w:nsid w:val="3E75589D"/>
    <w:multiLevelType w:val="hybridMultilevel"/>
    <w:tmpl w:val="8202F9E8"/>
    <w:lvl w:ilvl="0" w:tplc="F75ADEC6">
      <w:start w:val="1"/>
      <w:numFmt w:val="bullet"/>
      <w:lvlText w:val=""/>
      <w:lvlJc w:val="left"/>
      <w:pPr>
        <w:ind w:left="720" w:hanging="180"/>
      </w:pPr>
      <w:rPr>
        <w:rFonts w:ascii="Symbol" w:hAnsi="Symbol" w:hint="default"/>
      </w:rPr>
    </w:lvl>
    <w:lvl w:ilvl="1" w:tplc="E5EAE232">
      <w:numFmt w:val="decimal"/>
      <w:lvlText w:val=""/>
      <w:lvlJc w:val="left"/>
    </w:lvl>
    <w:lvl w:ilvl="2" w:tplc="1674A57E">
      <w:numFmt w:val="decimal"/>
      <w:lvlText w:val=""/>
      <w:lvlJc w:val="left"/>
    </w:lvl>
    <w:lvl w:ilvl="3" w:tplc="5B36B276">
      <w:numFmt w:val="decimal"/>
      <w:lvlText w:val=""/>
      <w:lvlJc w:val="left"/>
    </w:lvl>
    <w:lvl w:ilvl="4" w:tplc="05723B20">
      <w:numFmt w:val="decimal"/>
      <w:lvlText w:val=""/>
      <w:lvlJc w:val="left"/>
    </w:lvl>
    <w:lvl w:ilvl="5" w:tplc="C39837FA">
      <w:numFmt w:val="decimal"/>
      <w:lvlText w:val=""/>
      <w:lvlJc w:val="left"/>
    </w:lvl>
    <w:lvl w:ilvl="6" w:tplc="CAB64A4E">
      <w:numFmt w:val="decimal"/>
      <w:lvlText w:val=""/>
      <w:lvlJc w:val="left"/>
    </w:lvl>
    <w:lvl w:ilvl="7" w:tplc="07AC94A2">
      <w:numFmt w:val="decimal"/>
      <w:lvlText w:val=""/>
      <w:lvlJc w:val="left"/>
    </w:lvl>
    <w:lvl w:ilvl="8" w:tplc="A98833FA">
      <w:numFmt w:val="decimal"/>
      <w:lvlText w:val=""/>
      <w:lvlJc w:val="left"/>
    </w:lvl>
  </w:abstractNum>
  <w:abstractNum w:abstractNumId="579" w15:restartNumberingAfterBreak="0">
    <w:nsid w:val="3E840C44"/>
    <w:multiLevelType w:val="hybridMultilevel"/>
    <w:tmpl w:val="7FE26474"/>
    <w:lvl w:ilvl="0" w:tplc="37922B56">
      <w:start w:val="1"/>
      <w:numFmt w:val="bullet"/>
      <w:lvlText w:val=""/>
      <w:lvlJc w:val="left"/>
      <w:pPr>
        <w:ind w:left="720" w:hanging="180"/>
      </w:pPr>
      <w:rPr>
        <w:rFonts w:ascii="Symbol" w:hAnsi="Symbol" w:hint="default"/>
      </w:rPr>
    </w:lvl>
    <w:lvl w:ilvl="1" w:tplc="DEA29936">
      <w:numFmt w:val="decimal"/>
      <w:lvlText w:val=""/>
      <w:lvlJc w:val="left"/>
    </w:lvl>
    <w:lvl w:ilvl="2" w:tplc="3710F2EA">
      <w:numFmt w:val="decimal"/>
      <w:lvlText w:val=""/>
      <w:lvlJc w:val="left"/>
    </w:lvl>
    <w:lvl w:ilvl="3" w:tplc="B35A0586">
      <w:numFmt w:val="decimal"/>
      <w:lvlText w:val=""/>
      <w:lvlJc w:val="left"/>
    </w:lvl>
    <w:lvl w:ilvl="4" w:tplc="492C8E16">
      <w:numFmt w:val="decimal"/>
      <w:lvlText w:val=""/>
      <w:lvlJc w:val="left"/>
    </w:lvl>
    <w:lvl w:ilvl="5" w:tplc="6E9CDC8A">
      <w:numFmt w:val="decimal"/>
      <w:lvlText w:val=""/>
      <w:lvlJc w:val="left"/>
    </w:lvl>
    <w:lvl w:ilvl="6" w:tplc="3B5A54E4">
      <w:numFmt w:val="decimal"/>
      <w:lvlText w:val=""/>
      <w:lvlJc w:val="left"/>
    </w:lvl>
    <w:lvl w:ilvl="7" w:tplc="FF284BBC">
      <w:numFmt w:val="decimal"/>
      <w:lvlText w:val=""/>
      <w:lvlJc w:val="left"/>
    </w:lvl>
    <w:lvl w:ilvl="8" w:tplc="EB06D69A">
      <w:numFmt w:val="decimal"/>
      <w:lvlText w:val=""/>
      <w:lvlJc w:val="left"/>
    </w:lvl>
  </w:abstractNum>
  <w:abstractNum w:abstractNumId="580" w15:restartNumberingAfterBreak="0">
    <w:nsid w:val="3EE64B20"/>
    <w:multiLevelType w:val="hybridMultilevel"/>
    <w:tmpl w:val="80A4A8EE"/>
    <w:lvl w:ilvl="0" w:tplc="1EBA435C">
      <w:start w:val="1"/>
      <w:numFmt w:val="bullet"/>
      <w:lvlText w:val=""/>
      <w:lvlJc w:val="left"/>
      <w:pPr>
        <w:ind w:left="720" w:hanging="180"/>
      </w:pPr>
      <w:rPr>
        <w:rFonts w:ascii="Symbol" w:hAnsi="Symbol" w:hint="default"/>
      </w:rPr>
    </w:lvl>
    <w:lvl w:ilvl="1" w:tplc="8A463C60">
      <w:numFmt w:val="decimal"/>
      <w:lvlText w:val=""/>
      <w:lvlJc w:val="left"/>
    </w:lvl>
    <w:lvl w:ilvl="2" w:tplc="B602FA04">
      <w:numFmt w:val="decimal"/>
      <w:lvlText w:val=""/>
      <w:lvlJc w:val="left"/>
    </w:lvl>
    <w:lvl w:ilvl="3" w:tplc="F4A2B332">
      <w:numFmt w:val="decimal"/>
      <w:lvlText w:val=""/>
      <w:lvlJc w:val="left"/>
    </w:lvl>
    <w:lvl w:ilvl="4" w:tplc="22009B48">
      <w:numFmt w:val="decimal"/>
      <w:lvlText w:val=""/>
      <w:lvlJc w:val="left"/>
    </w:lvl>
    <w:lvl w:ilvl="5" w:tplc="8A8CB338">
      <w:numFmt w:val="decimal"/>
      <w:lvlText w:val=""/>
      <w:lvlJc w:val="left"/>
    </w:lvl>
    <w:lvl w:ilvl="6" w:tplc="E41A75CC">
      <w:numFmt w:val="decimal"/>
      <w:lvlText w:val=""/>
      <w:lvlJc w:val="left"/>
    </w:lvl>
    <w:lvl w:ilvl="7" w:tplc="A17CBB1A">
      <w:numFmt w:val="decimal"/>
      <w:lvlText w:val=""/>
      <w:lvlJc w:val="left"/>
    </w:lvl>
    <w:lvl w:ilvl="8" w:tplc="7E10A2AC">
      <w:numFmt w:val="decimal"/>
      <w:lvlText w:val=""/>
      <w:lvlJc w:val="left"/>
    </w:lvl>
  </w:abstractNum>
  <w:abstractNum w:abstractNumId="581" w15:restartNumberingAfterBreak="0">
    <w:nsid w:val="3EF91DB6"/>
    <w:multiLevelType w:val="hybridMultilevel"/>
    <w:tmpl w:val="025A7D44"/>
    <w:lvl w:ilvl="0" w:tplc="09B840B8">
      <w:start w:val="1"/>
      <w:numFmt w:val="bullet"/>
      <w:lvlText w:val=""/>
      <w:lvlJc w:val="left"/>
      <w:pPr>
        <w:ind w:left="720" w:hanging="180"/>
      </w:pPr>
      <w:rPr>
        <w:rFonts w:ascii="Symbol" w:hAnsi="Symbol" w:hint="default"/>
      </w:rPr>
    </w:lvl>
    <w:lvl w:ilvl="1" w:tplc="5C5814AC">
      <w:numFmt w:val="decimal"/>
      <w:lvlText w:val=""/>
      <w:lvlJc w:val="left"/>
    </w:lvl>
    <w:lvl w:ilvl="2" w:tplc="6FBCE0E6">
      <w:numFmt w:val="decimal"/>
      <w:lvlText w:val=""/>
      <w:lvlJc w:val="left"/>
    </w:lvl>
    <w:lvl w:ilvl="3" w:tplc="80EC3E42">
      <w:numFmt w:val="decimal"/>
      <w:lvlText w:val=""/>
      <w:lvlJc w:val="left"/>
    </w:lvl>
    <w:lvl w:ilvl="4" w:tplc="B8ECD72E">
      <w:numFmt w:val="decimal"/>
      <w:lvlText w:val=""/>
      <w:lvlJc w:val="left"/>
    </w:lvl>
    <w:lvl w:ilvl="5" w:tplc="B5003678">
      <w:numFmt w:val="decimal"/>
      <w:lvlText w:val=""/>
      <w:lvlJc w:val="left"/>
    </w:lvl>
    <w:lvl w:ilvl="6" w:tplc="11902426">
      <w:numFmt w:val="decimal"/>
      <w:lvlText w:val=""/>
      <w:lvlJc w:val="left"/>
    </w:lvl>
    <w:lvl w:ilvl="7" w:tplc="17E889D6">
      <w:numFmt w:val="decimal"/>
      <w:lvlText w:val=""/>
      <w:lvlJc w:val="left"/>
    </w:lvl>
    <w:lvl w:ilvl="8" w:tplc="4D562B9E">
      <w:numFmt w:val="decimal"/>
      <w:lvlText w:val=""/>
      <w:lvlJc w:val="left"/>
    </w:lvl>
  </w:abstractNum>
  <w:abstractNum w:abstractNumId="582" w15:restartNumberingAfterBreak="0">
    <w:nsid w:val="3F107D41"/>
    <w:multiLevelType w:val="hybridMultilevel"/>
    <w:tmpl w:val="08866E00"/>
    <w:lvl w:ilvl="0" w:tplc="7BA4A144">
      <w:start w:val="1"/>
      <w:numFmt w:val="bullet"/>
      <w:lvlText w:val=""/>
      <w:lvlJc w:val="left"/>
      <w:pPr>
        <w:ind w:left="720" w:hanging="180"/>
      </w:pPr>
      <w:rPr>
        <w:rFonts w:ascii="Symbol" w:hAnsi="Symbol" w:hint="default"/>
      </w:rPr>
    </w:lvl>
    <w:lvl w:ilvl="1" w:tplc="1AC66D64">
      <w:numFmt w:val="decimal"/>
      <w:lvlText w:val=""/>
      <w:lvlJc w:val="left"/>
    </w:lvl>
    <w:lvl w:ilvl="2" w:tplc="1D14E086">
      <w:numFmt w:val="decimal"/>
      <w:lvlText w:val=""/>
      <w:lvlJc w:val="left"/>
    </w:lvl>
    <w:lvl w:ilvl="3" w:tplc="11C4D510">
      <w:numFmt w:val="decimal"/>
      <w:lvlText w:val=""/>
      <w:lvlJc w:val="left"/>
    </w:lvl>
    <w:lvl w:ilvl="4" w:tplc="82DE004C">
      <w:numFmt w:val="decimal"/>
      <w:lvlText w:val=""/>
      <w:lvlJc w:val="left"/>
    </w:lvl>
    <w:lvl w:ilvl="5" w:tplc="A31E4DEC">
      <w:numFmt w:val="decimal"/>
      <w:lvlText w:val=""/>
      <w:lvlJc w:val="left"/>
    </w:lvl>
    <w:lvl w:ilvl="6" w:tplc="E7DEB226">
      <w:numFmt w:val="decimal"/>
      <w:lvlText w:val=""/>
      <w:lvlJc w:val="left"/>
    </w:lvl>
    <w:lvl w:ilvl="7" w:tplc="EFA08938">
      <w:numFmt w:val="decimal"/>
      <w:lvlText w:val=""/>
      <w:lvlJc w:val="left"/>
    </w:lvl>
    <w:lvl w:ilvl="8" w:tplc="9D7C4ACA">
      <w:numFmt w:val="decimal"/>
      <w:lvlText w:val=""/>
      <w:lvlJc w:val="left"/>
    </w:lvl>
  </w:abstractNum>
  <w:abstractNum w:abstractNumId="583" w15:restartNumberingAfterBreak="0">
    <w:nsid w:val="3F270030"/>
    <w:multiLevelType w:val="hybridMultilevel"/>
    <w:tmpl w:val="A82E99E2"/>
    <w:lvl w:ilvl="0" w:tplc="DADCE8C0">
      <w:start w:val="1"/>
      <w:numFmt w:val="bullet"/>
      <w:lvlText w:val=""/>
      <w:lvlJc w:val="left"/>
      <w:pPr>
        <w:ind w:left="720" w:hanging="180"/>
      </w:pPr>
      <w:rPr>
        <w:rFonts w:ascii="Symbol" w:hAnsi="Symbol" w:hint="default"/>
      </w:rPr>
    </w:lvl>
    <w:lvl w:ilvl="1" w:tplc="AC3E6F58">
      <w:numFmt w:val="decimal"/>
      <w:lvlText w:val=""/>
      <w:lvlJc w:val="left"/>
    </w:lvl>
    <w:lvl w:ilvl="2" w:tplc="1B805102">
      <w:numFmt w:val="decimal"/>
      <w:lvlText w:val=""/>
      <w:lvlJc w:val="left"/>
    </w:lvl>
    <w:lvl w:ilvl="3" w:tplc="5096105E">
      <w:numFmt w:val="decimal"/>
      <w:lvlText w:val=""/>
      <w:lvlJc w:val="left"/>
    </w:lvl>
    <w:lvl w:ilvl="4" w:tplc="2EC24FC4">
      <w:numFmt w:val="decimal"/>
      <w:lvlText w:val=""/>
      <w:lvlJc w:val="left"/>
    </w:lvl>
    <w:lvl w:ilvl="5" w:tplc="70DAD6E6">
      <w:numFmt w:val="decimal"/>
      <w:lvlText w:val=""/>
      <w:lvlJc w:val="left"/>
    </w:lvl>
    <w:lvl w:ilvl="6" w:tplc="DF36CD12">
      <w:numFmt w:val="decimal"/>
      <w:lvlText w:val=""/>
      <w:lvlJc w:val="left"/>
    </w:lvl>
    <w:lvl w:ilvl="7" w:tplc="E774CB00">
      <w:numFmt w:val="decimal"/>
      <w:lvlText w:val=""/>
      <w:lvlJc w:val="left"/>
    </w:lvl>
    <w:lvl w:ilvl="8" w:tplc="73BEA5E2">
      <w:numFmt w:val="decimal"/>
      <w:lvlText w:val=""/>
      <w:lvlJc w:val="left"/>
    </w:lvl>
  </w:abstractNum>
  <w:abstractNum w:abstractNumId="584" w15:restartNumberingAfterBreak="0">
    <w:nsid w:val="3F281B97"/>
    <w:multiLevelType w:val="hybridMultilevel"/>
    <w:tmpl w:val="2E444BC0"/>
    <w:lvl w:ilvl="0" w:tplc="532066F0">
      <w:start w:val="1"/>
      <w:numFmt w:val="bullet"/>
      <w:lvlText w:val=""/>
      <w:lvlJc w:val="left"/>
      <w:pPr>
        <w:ind w:left="720" w:hanging="180"/>
      </w:pPr>
      <w:rPr>
        <w:rFonts w:ascii="Symbol" w:hAnsi="Symbol" w:hint="default"/>
      </w:rPr>
    </w:lvl>
    <w:lvl w:ilvl="1" w:tplc="5B94AF24">
      <w:numFmt w:val="decimal"/>
      <w:lvlText w:val=""/>
      <w:lvlJc w:val="left"/>
    </w:lvl>
    <w:lvl w:ilvl="2" w:tplc="953A5430">
      <w:numFmt w:val="decimal"/>
      <w:lvlText w:val=""/>
      <w:lvlJc w:val="left"/>
    </w:lvl>
    <w:lvl w:ilvl="3" w:tplc="0A327BC2">
      <w:numFmt w:val="decimal"/>
      <w:lvlText w:val=""/>
      <w:lvlJc w:val="left"/>
    </w:lvl>
    <w:lvl w:ilvl="4" w:tplc="4B1AA212">
      <w:numFmt w:val="decimal"/>
      <w:lvlText w:val=""/>
      <w:lvlJc w:val="left"/>
    </w:lvl>
    <w:lvl w:ilvl="5" w:tplc="23864A60">
      <w:numFmt w:val="decimal"/>
      <w:lvlText w:val=""/>
      <w:lvlJc w:val="left"/>
    </w:lvl>
    <w:lvl w:ilvl="6" w:tplc="A4283AC8">
      <w:numFmt w:val="decimal"/>
      <w:lvlText w:val=""/>
      <w:lvlJc w:val="left"/>
    </w:lvl>
    <w:lvl w:ilvl="7" w:tplc="765AFB66">
      <w:numFmt w:val="decimal"/>
      <w:lvlText w:val=""/>
      <w:lvlJc w:val="left"/>
    </w:lvl>
    <w:lvl w:ilvl="8" w:tplc="FBC6A39A">
      <w:numFmt w:val="decimal"/>
      <w:lvlText w:val=""/>
      <w:lvlJc w:val="left"/>
    </w:lvl>
  </w:abstractNum>
  <w:abstractNum w:abstractNumId="585" w15:restartNumberingAfterBreak="0">
    <w:nsid w:val="3F31794F"/>
    <w:multiLevelType w:val="hybridMultilevel"/>
    <w:tmpl w:val="411087D4"/>
    <w:lvl w:ilvl="0" w:tplc="4C527C28">
      <w:start w:val="1"/>
      <w:numFmt w:val="bullet"/>
      <w:lvlText w:val=""/>
      <w:lvlJc w:val="left"/>
      <w:pPr>
        <w:ind w:left="720" w:hanging="180"/>
      </w:pPr>
      <w:rPr>
        <w:rFonts w:ascii="Symbol" w:hAnsi="Symbol" w:hint="default"/>
      </w:rPr>
    </w:lvl>
    <w:lvl w:ilvl="1" w:tplc="7C58AFD8">
      <w:numFmt w:val="decimal"/>
      <w:lvlText w:val=""/>
      <w:lvlJc w:val="left"/>
    </w:lvl>
    <w:lvl w:ilvl="2" w:tplc="8C866B94">
      <w:numFmt w:val="decimal"/>
      <w:lvlText w:val=""/>
      <w:lvlJc w:val="left"/>
    </w:lvl>
    <w:lvl w:ilvl="3" w:tplc="ACA23B9A">
      <w:numFmt w:val="decimal"/>
      <w:lvlText w:val=""/>
      <w:lvlJc w:val="left"/>
    </w:lvl>
    <w:lvl w:ilvl="4" w:tplc="02FE4BD0">
      <w:numFmt w:val="decimal"/>
      <w:lvlText w:val=""/>
      <w:lvlJc w:val="left"/>
    </w:lvl>
    <w:lvl w:ilvl="5" w:tplc="C6A64198">
      <w:numFmt w:val="decimal"/>
      <w:lvlText w:val=""/>
      <w:lvlJc w:val="left"/>
    </w:lvl>
    <w:lvl w:ilvl="6" w:tplc="B67AFFE6">
      <w:numFmt w:val="decimal"/>
      <w:lvlText w:val=""/>
      <w:lvlJc w:val="left"/>
    </w:lvl>
    <w:lvl w:ilvl="7" w:tplc="9E5CB380">
      <w:numFmt w:val="decimal"/>
      <w:lvlText w:val=""/>
      <w:lvlJc w:val="left"/>
    </w:lvl>
    <w:lvl w:ilvl="8" w:tplc="B71C1D32">
      <w:numFmt w:val="decimal"/>
      <w:lvlText w:val=""/>
      <w:lvlJc w:val="left"/>
    </w:lvl>
  </w:abstractNum>
  <w:abstractNum w:abstractNumId="586" w15:restartNumberingAfterBreak="0">
    <w:nsid w:val="3F3F0E06"/>
    <w:multiLevelType w:val="hybridMultilevel"/>
    <w:tmpl w:val="57F4C80E"/>
    <w:lvl w:ilvl="0" w:tplc="34921F60">
      <w:start w:val="1"/>
      <w:numFmt w:val="bullet"/>
      <w:lvlText w:val=""/>
      <w:lvlJc w:val="left"/>
      <w:pPr>
        <w:ind w:left="720" w:hanging="180"/>
      </w:pPr>
      <w:rPr>
        <w:rFonts w:ascii="Symbol" w:hAnsi="Symbol" w:hint="default"/>
      </w:rPr>
    </w:lvl>
    <w:lvl w:ilvl="1" w:tplc="0E08C78A">
      <w:numFmt w:val="decimal"/>
      <w:lvlText w:val=""/>
      <w:lvlJc w:val="left"/>
    </w:lvl>
    <w:lvl w:ilvl="2" w:tplc="915E2A54">
      <w:numFmt w:val="decimal"/>
      <w:lvlText w:val=""/>
      <w:lvlJc w:val="left"/>
    </w:lvl>
    <w:lvl w:ilvl="3" w:tplc="4A947A86">
      <w:numFmt w:val="decimal"/>
      <w:lvlText w:val=""/>
      <w:lvlJc w:val="left"/>
    </w:lvl>
    <w:lvl w:ilvl="4" w:tplc="CFBCEC52">
      <w:numFmt w:val="decimal"/>
      <w:lvlText w:val=""/>
      <w:lvlJc w:val="left"/>
    </w:lvl>
    <w:lvl w:ilvl="5" w:tplc="BF883BEA">
      <w:numFmt w:val="decimal"/>
      <w:lvlText w:val=""/>
      <w:lvlJc w:val="left"/>
    </w:lvl>
    <w:lvl w:ilvl="6" w:tplc="F8E62B80">
      <w:numFmt w:val="decimal"/>
      <w:lvlText w:val=""/>
      <w:lvlJc w:val="left"/>
    </w:lvl>
    <w:lvl w:ilvl="7" w:tplc="3674547C">
      <w:numFmt w:val="decimal"/>
      <w:lvlText w:val=""/>
      <w:lvlJc w:val="left"/>
    </w:lvl>
    <w:lvl w:ilvl="8" w:tplc="966AD480">
      <w:numFmt w:val="decimal"/>
      <w:lvlText w:val=""/>
      <w:lvlJc w:val="left"/>
    </w:lvl>
  </w:abstractNum>
  <w:abstractNum w:abstractNumId="587" w15:restartNumberingAfterBreak="0">
    <w:nsid w:val="3F4210B9"/>
    <w:multiLevelType w:val="hybridMultilevel"/>
    <w:tmpl w:val="6A7EBA84"/>
    <w:lvl w:ilvl="0" w:tplc="CB806BE0">
      <w:start w:val="1"/>
      <w:numFmt w:val="bullet"/>
      <w:lvlText w:val=""/>
      <w:lvlJc w:val="left"/>
      <w:pPr>
        <w:ind w:left="720" w:hanging="180"/>
      </w:pPr>
      <w:rPr>
        <w:rFonts w:ascii="Symbol" w:hAnsi="Symbol" w:hint="default"/>
      </w:rPr>
    </w:lvl>
    <w:lvl w:ilvl="1" w:tplc="EAA4406C">
      <w:numFmt w:val="decimal"/>
      <w:lvlText w:val=""/>
      <w:lvlJc w:val="left"/>
    </w:lvl>
    <w:lvl w:ilvl="2" w:tplc="C620724E">
      <w:numFmt w:val="decimal"/>
      <w:lvlText w:val=""/>
      <w:lvlJc w:val="left"/>
    </w:lvl>
    <w:lvl w:ilvl="3" w:tplc="AA6C94DE">
      <w:numFmt w:val="decimal"/>
      <w:lvlText w:val=""/>
      <w:lvlJc w:val="left"/>
    </w:lvl>
    <w:lvl w:ilvl="4" w:tplc="A8FA3308">
      <w:numFmt w:val="decimal"/>
      <w:lvlText w:val=""/>
      <w:lvlJc w:val="left"/>
    </w:lvl>
    <w:lvl w:ilvl="5" w:tplc="100CF8DE">
      <w:numFmt w:val="decimal"/>
      <w:lvlText w:val=""/>
      <w:lvlJc w:val="left"/>
    </w:lvl>
    <w:lvl w:ilvl="6" w:tplc="EE327234">
      <w:numFmt w:val="decimal"/>
      <w:lvlText w:val=""/>
      <w:lvlJc w:val="left"/>
    </w:lvl>
    <w:lvl w:ilvl="7" w:tplc="A232FA26">
      <w:numFmt w:val="decimal"/>
      <w:lvlText w:val=""/>
      <w:lvlJc w:val="left"/>
    </w:lvl>
    <w:lvl w:ilvl="8" w:tplc="443AB68C">
      <w:numFmt w:val="decimal"/>
      <w:lvlText w:val=""/>
      <w:lvlJc w:val="left"/>
    </w:lvl>
  </w:abstractNum>
  <w:abstractNum w:abstractNumId="588" w15:restartNumberingAfterBreak="0">
    <w:nsid w:val="3F4F6937"/>
    <w:multiLevelType w:val="hybridMultilevel"/>
    <w:tmpl w:val="867819FC"/>
    <w:lvl w:ilvl="0" w:tplc="570843F2">
      <w:start w:val="1"/>
      <w:numFmt w:val="bullet"/>
      <w:lvlText w:val=""/>
      <w:lvlJc w:val="left"/>
      <w:pPr>
        <w:ind w:left="720" w:hanging="180"/>
      </w:pPr>
      <w:rPr>
        <w:rFonts w:ascii="Symbol" w:hAnsi="Symbol" w:hint="default"/>
      </w:rPr>
    </w:lvl>
    <w:lvl w:ilvl="1" w:tplc="1A1E5A9A">
      <w:numFmt w:val="decimal"/>
      <w:lvlText w:val=""/>
      <w:lvlJc w:val="left"/>
    </w:lvl>
    <w:lvl w:ilvl="2" w:tplc="57408420">
      <w:numFmt w:val="decimal"/>
      <w:lvlText w:val=""/>
      <w:lvlJc w:val="left"/>
    </w:lvl>
    <w:lvl w:ilvl="3" w:tplc="5CCED7AC">
      <w:numFmt w:val="decimal"/>
      <w:lvlText w:val=""/>
      <w:lvlJc w:val="left"/>
    </w:lvl>
    <w:lvl w:ilvl="4" w:tplc="77D2321E">
      <w:numFmt w:val="decimal"/>
      <w:lvlText w:val=""/>
      <w:lvlJc w:val="left"/>
    </w:lvl>
    <w:lvl w:ilvl="5" w:tplc="F5660BAA">
      <w:numFmt w:val="decimal"/>
      <w:lvlText w:val=""/>
      <w:lvlJc w:val="left"/>
    </w:lvl>
    <w:lvl w:ilvl="6" w:tplc="E2543B88">
      <w:numFmt w:val="decimal"/>
      <w:lvlText w:val=""/>
      <w:lvlJc w:val="left"/>
    </w:lvl>
    <w:lvl w:ilvl="7" w:tplc="5A8C1CD2">
      <w:numFmt w:val="decimal"/>
      <w:lvlText w:val=""/>
      <w:lvlJc w:val="left"/>
    </w:lvl>
    <w:lvl w:ilvl="8" w:tplc="16340C1C">
      <w:numFmt w:val="decimal"/>
      <w:lvlText w:val=""/>
      <w:lvlJc w:val="left"/>
    </w:lvl>
  </w:abstractNum>
  <w:abstractNum w:abstractNumId="589" w15:restartNumberingAfterBreak="0">
    <w:nsid w:val="3F73558E"/>
    <w:multiLevelType w:val="hybridMultilevel"/>
    <w:tmpl w:val="D97C1EA0"/>
    <w:lvl w:ilvl="0" w:tplc="4F4C94E8">
      <w:start w:val="1"/>
      <w:numFmt w:val="bullet"/>
      <w:lvlText w:val=""/>
      <w:lvlJc w:val="left"/>
      <w:pPr>
        <w:ind w:left="720" w:hanging="180"/>
      </w:pPr>
      <w:rPr>
        <w:rFonts w:ascii="Symbol" w:hAnsi="Symbol" w:hint="default"/>
      </w:rPr>
    </w:lvl>
    <w:lvl w:ilvl="1" w:tplc="FF0CFAA4">
      <w:numFmt w:val="decimal"/>
      <w:lvlText w:val=""/>
      <w:lvlJc w:val="left"/>
    </w:lvl>
    <w:lvl w:ilvl="2" w:tplc="18FCF620">
      <w:numFmt w:val="decimal"/>
      <w:lvlText w:val=""/>
      <w:lvlJc w:val="left"/>
    </w:lvl>
    <w:lvl w:ilvl="3" w:tplc="C60C3A44">
      <w:numFmt w:val="decimal"/>
      <w:lvlText w:val=""/>
      <w:lvlJc w:val="left"/>
    </w:lvl>
    <w:lvl w:ilvl="4" w:tplc="D632E7F4">
      <w:numFmt w:val="decimal"/>
      <w:lvlText w:val=""/>
      <w:lvlJc w:val="left"/>
    </w:lvl>
    <w:lvl w:ilvl="5" w:tplc="281061E6">
      <w:numFmt w:val="decimal"/>
      <w:lvlText w:val=""/>
      <w:lvlJc w:val="left"/>
    </w:lvl>
    <w:lvl w:ilvl="6" w:tplc="25B4C5E6">
      <w:numFmt w:val="decimal"/>
      <w:lvlText w:val=""/>
      <w:lvlJc w:val="left"/>
    </w:lvl>
    <w:lvl w:ilvl="7" w:tplc="B762A07C">
      <w:numFmt w:val="decimal"/>
      <w:lvlText w:val=""/>
      <w:lvlJc w:val="left"/>
    </w:lvl>
    <w:lvl w:ilvl="8" w:tplc="37AADA18">
      <w:numFmt w:val="decimal"/>
      <w:lvlText w:val=""/>
      <w:lvlJc w:val="left"/>
    </w:lvl>
  </w:abstractNum>
  <w:abstractNum w:abstractNumId="590" w15:restartNumberingAfterBreak="0">
    <w:nsid w:val="3F892094"/>
    <w:multiLevelType w:val="hybridMultilevel"/>
    <w:tmpl w:val="F7DAF736"/>
    <w:lvl w:ilvl="0" w:tplc="5EEA94BC">
      <w:start w:val="1"/>
      <w:numFmt w:val="bullet"/>
      <w:lvlText w:val=""/>
      <w:lvlJc w:val="left"/>
      <w:pPr>
        <w:ind w:left="720" w:hanging="180"/>
      </w:pPr>
      <w:rPr>
        <w:rFonts w:ascii="Symbol" w:hAnsi="Symbol" w:hint="default"/>
      </w:rPr>
    </w:lvl>
    <w:lvl w:ilvl="1" w:tplc="9E7C7734">
      <w:numFmt w:val="decimal"/>
      <w:lvlText w:val=""/>
      <w:lvlJc w:val="left"/>
    </w:lvl>
    <w:lvl w:ilvl="2" w:tplc="6CEE43D6">
      <w:numFmt w:val="decimal"/>
      <w:lvlText w:val=""/>
      <w:lvlJc w:val="left"/>
    </w:lvl>
    <w:lvl w:ilvl="3" w:tplc="D60C36CC">
      <w:numFmt w:val="decimal"/>
      <w:lvlText w:val=""/>
      <w:lvlJc w:val="left"/>
    </w:lvl>
    <w:lvl w:ilvl="4" w:tplc="88300512">
      <w:numFmt w:val="decimal"/>
      <w:lvlText w:val=""/>
      <w:lvlJc w:val="left"/>
    </w:lvl>
    <w:lvl w:ilvl="5" w:tplc="BDDA06D2">
      <w:numFmt w:val="decimal"/>
      <w:lvlText w:val=""/>
      <w:lvlJc w:val="left"/>
    </w:lvl>
    <w:lvl w:ilvl="6" w:tplc="EF948418">
      <w:numFmt w:val="decimal"/>
      <w:lvlText w:val=""/>
      <w:lvlJc w:val="left"/>
    </w:lvl>
    <w:lvl w:ilvl="7" w:tplc="0C2A16DC">
      <w:numFmt w:val="decimal"/>
      <w:lvlText w:val=""/>
      <w:lvlJc w:val="left"/>
    </w:lvl>
    <w:lvl w:ilvl="8" w:tplc="4CA6F99E">
      <w:numFmt w:val="decimal"/>
      <w:lvlText w:val=""/>
      <w:lvlJc w:val="left"/>
    </w:lvl>
  </w:abstractNum>
  <w:abstractNum w:abstractNumId="591" w15:restartNumberingAfterBreak="0">
    <w:nsid w:val="3F916BFC"/>
    <w:multiLevelType w:val="hybridMultilevel"/>
    <w:tmpl w:val="F5C65D60"/>
    <w:lvl w:ilvl="0" w:tplc="A4A6F928">
      <w:start w:val="1"/>
      <w:numFmt w:val="bullet"/>
      <w:lvlText w:val=""/>
      <w:lvlJc w:val="left"/>
      <w:pPr>
        <w:ind w:left="720" w:hanging="180"/>
      </w:pPr>
      <w:rPr>
        <w:rFonts w:ascii="Symbol" w:hAnsi="Symbol" w:hint="default"/>
      </w:rPr>
    </w:lvl>
    <w:lvl w:ilvl="1" w:tplc="2BD62260">
      <w:numFmt w:val="decimal"/>
      <w:lvlText w:val=""/>
      <w:lvlJc w:val="left"/>
    </w:lvl>
    <w:lvl w:ilvl="2" w:tplc="464ADA00">
      <w:numFmt w:val="decimal"/>
      <w:lvlText w:val=""/>
      <w:lvlJc w:val="left"/>
    </w:lvl>
    <w:lvl w:ilvl="3" w:tplc="C9FC81CA">
      <w:numFmt w:val="decimal"/>
      <w:lvlText w:val=""/>
      <w:lvlJc w:val="left"/>
    </w:lvl>
    <w:lvl w:ilvl="4" w:tplc="9552D594">
      <w:numFmt w:val="decimal"/>
      <w:lvlText w:val=""/>
      <w:lvlJc w:val="left"/>
    </w:lvl>
    <w:lvl w:ilvl="5" w:tplc="495A993A">
      <w:numFmt w:val="decimal"/>
      <w:lvlText w:val=""/>
      <w:lvlJc w:val="left"/>
    </w:lvl>
    <w:lvl w:ilvl="6" w:tplc="E512A8BE">
      <w:numFmt w:val="decimal"/>
      <w:lvlText w:val=""/>
      <w:lvlJc w:val="left"/>
    </w:lvl>
    <w:lvl w:ilvl="7" w:tplc="304C5CA4">
      <w:numFmt w:val="decimal"/>
      <w:lvlText w:val=""/>
      <w:lvlJc w:val="left"/>
    </w:lvl>
    <w:lvl w:ilvl="8" w:tplc="9A2AD618">
      <w:numFmt w:val="decimal"/>
      <w:lvlText w:val=""/>
      <w:lvlJc w:val="left"/>
    </w:lvl>
  </w:abstractNum>
  <w:abstractNum w:abstractNumId="592" w15:restartNumberingAfterBreak="0">
    <w:nsid w:val="3F9C72FB"/>
    <w:multiLevelType w:val="hybridMultilevel"/>
    <w:tmpl w:val="A2341D8C"/>
    <w:lvl w:ilvl="0" w:tplc="C37AD396">
      <w:start w:val="1"/>
      <w:numFmt w:val="bullet"/>
      <w:lvlText w:val=""/>
      <w:lvlJc w:val="left"/>
      <w:pPr>
        <w:ind w:left="720" w:hanging="180"/>
      </w:pPr>
      <w:rPr>
        <w:rFonts w:ascii="Symbol" w:hAnsi="Symbol" w:hint="default"/>
      </w:rPr>
    </w:lvl>
    <w:lvl w:ilvl="1" w:tplc="AED82E6E">
      <w:numFmt w:val="decimal"/>
      <w:lvlText w:val=""/>
      <w:lvlJc w:val="left"/>
    </w:lvl>
    <w:lvl w:ilvl="2" w:tplc="A768C4CC">
      <w:numFmt w:val="decimal"/>
      <w:lvlText w:val=""/>
      <w:lvlJc w:val="left"/>
    </w:lvl>
    <w:lvl w:ilvl="3" w:tplc="781C37D8">
      <w:numFmt w:val="decimal"/>
      <w:lvlText w:val=""/>
      <w:lvlJc w:val="left"/>
    </w:lvl>
    <w:lvl w:ilvl="4" w:tplc="C394A932">
      <w:numFmt w:val="decimal"/>
      <w:lvlText w:val=""/>
      <w:lvlJc w:val="left"/>
    </w:lvl>
    <w:lvl w:ilvl="5" w:tplc="570827E0">
      <w:numFmt w:val="decimal"/>
      <w:lvlText w:val=""/>
      <w:lvlJc w:val="left"/>
    </w:lvl>
    <w:lvl w:ilvl="6" w:tplc="15EC49A0">
      <w:numFmt w:val="decimal"/>
      <w:lvlText w:val=""/>
      <w:lvlJc w:val="left"/>
    </w:lvl>
    <w:lvl w:ilvl="7" w:tplc="D62A9F1E">
      <w:numFmt w:val="decimal"/>
      <w:lvlText w:val=""/>
      <w:lvlJc w:val="left"/>
    </w:lvl>
    <w:lvl w:ilvl="8" w:tplc="EDF0B468">
      <w:numFmt w:val="decimal"/>
      <w:lvlText w:val=""/>
      <w:lvlJc w:val="left"/>
    </w:lvl>
  </w:abstractNum>
  <w:abstractNum w:abstractNumId="593" w15:restartNumberingAfterBreak="0">
    <w:nsid w:val="3FB244C8"/>
    <w:multiLevelType w:val="hybridMultilevel"/>
    <w:tmpl w:val="BCA69E20"/>
    <w:lvl w:ilvl="0" w:tplc="BE86CF84">
      <w:start w:val="1"/>
      <w:numFmt w:val="bullet"/>
      <w:lvlText w:val=""/>
      <w:lvlJc w:val="left"/>
      <w:pPr>
        <w:ind w:left="720" w:hanging="180"/>
      </w:pPr>
      <w:rPr>
        <w:rFonts w:ascii="Symbol" w:hAnsi="Symbol" w:hint="default"/>
      </w:rPr>
    </w:lvl>
    <w:lvl w:ilvl="1" w:tplc="83D28AD0">
      <w:numFmt w:val="decimal"/>
      <w:lvlText w:val=""/>
      <w:lvlJc w:val="left"/>
    </w:lvl>
    <w:lvl w:ilvl="2" w:tplc="BBCC0FDE">
      <w:numFmt w:val="decimal"/>
      <w:lvlText w:val=""/>
      <w:lvlJc w:val="left"/>
    </w:lvl>
    <w:lvl w:ilvl="3" w:tplc="37F07C9A">
      <w:numFmt w:val="decimal"/>
      <w:lvlText w:val=""/>
      <w:lvlJc w:val="left"/>
    </w:lvl>
    <w:lvl w:ilvl="4" w:tplc="A5CC22E0">
      <w:numFmt w:val="decimal"/>
      <w:lvlText w:val=""/>
      <w:lvlJc w:val="left"/>
    </w:lvl>
    <w:lvl w:ilvl="5" w:tplc="4036E0EE">
      <w:numFmt w:val="decimal"/>
      <w:lvlText w:val=""/>
      <w:lvlJc w:val="left"/>
    </w:lvl>
    <w:lvl w:ilvl="6" w:tplc="B77EFB4E">
      <w:numFmt w:val="decimal"/>
      <w:lvlText w:val=""/>
      <w:lvlJc w:val="left"/>
    </w:lvl>
    <w:lvl w:ilvl="7" w:tplc="66F2CD0C">
      <w:numFmt w:val="decimal"/>
      <w:lvlText w:val=""/>
      <w:lvlJc w:val="left"/>
    </w:lvl>
    <w:lvl w:ilvl="8" w:tplc="BEB0F88A">
      <w:numFmt w:val="decimal"/>
      <w:lvlText w:val=""/>
      <w:lvlJc w:val="left"/>
    </w:lvl>
  </w:abstractNum>
  <w:abstractNum w:abstractNumId="594" w15:restartNumberingAfterBreak="0">
    <w:nsid w:val="3FB662FB"/>
    <w:multiLevelType w:val="hybridMultilevel"/>
    <w:tmpl w:val="FA90F4A2"/>
    <w:lvl w:ilvl="0" w:tplc="8D1CF6DC">
      <w:start w:val="1"/>
      <w:numFmt w:val="bullet"/>
      <w:lvlText w:val=""/>
      <w:lvlJc w:val="left"/>
      <w:pPr>
        <w:ind w:left="720" w:hanging="180"/>
      </w:pPr>
      <w:rPr>
        <w:rFonts w:ascii="Symbol" w:hAnsi="Symbol" w:hint="default"/>
      </w:rPr>
    </w:lvl>
    <w:lvl w:ilvl="1" w:tplc="D966A80A">
      <w:numFmt w:val="decimal"/>
      <w:lvlText w:val=""/>
      <w:lvlJc w:val="left"/>
    </w:lvl>
    <w:lvl w:ilvl="2" w:tplc="3800CF62">
      <w:numFmt w:val="decimal"/>
      <w:lvlText w:val=""/>
      <w:lvlJc w:val="left"/>
    </w:lvl>
    <w:lvl w:ilvl="3" w:tplc="576C4626">
      <w:numFmt w:val="decimal"/>
      <w:lvlText w:val=""/>
      <w:lvlJc w:val="left"/>
    </w:lvl>
    <w:lvl w:ilvl="4" w:tplc="A2C4D052">
      <w:numFmt w:val="decimal"/>
      <w:lvlText w:val=""/>
      <w:lvlJc w:val="left"/>
    </w:lvl>
    <w:lvl w:ilvl="5" w:tplc="63647246">
      <w:numFmt w:val="decimal"/>
      <w:lvlText w:val=""/>
      <w:lvlJc w:val="left"/>
    </w:lvl>
    <w:lvl w:ilvl="6" w:tplc="8034AE16">
      <w:numFmt w:val="decimal"/>
      <w:lvlText w:val=""/>
      <w:lvlJc w:val="left"/>
    </w:lvl>
    <w:lvl w:ilvl="7" w:tplc="F3BC3F16">
      <w:numFmt w:val="decimal"/>
      <w:lvlText w:val=""/>
      <w:lvlJc w:val="left"/>
    </w:lvl>
    <w:lvl w:ilvl="8" w:tplc="78107FEC">
      <w:numFmt w:val="decimal"/>
      <w:lvlText w:val=""/>
      <w:lvlJc w:val="left"/>
    </w:lvl>
  </w:abstractNum>
  <w:abstractNum w:abstractNumId="595" w15:restartNumberingAfterBreak="0">
    <w:nsid w:val="3FBE0E95"/>
    <w:multiLevelType w:val="hybridMultilevel"/>
    <w:tmpl w:val="2B967BBE"/>
    <w:lvl w:ilvl="0" w:tplc="C4A8F3B4">
      <w:start w:val="1"/>
      <w:numFmt w:val="bullet"/>
      <w:lvlText w:val=""/>
      <w:lvlJc w:val="left"/>
      <w:pPr>
        <w:ind w:left="720" w:hanging="180"/>
      </w:pPr>
      <w:rPr>
        <w:rFonts w:ascii="Symbol" w:hAnsi="Symbol" w:hint="default"/>
      </w:rPr>
    </w:lvl>
    <w:lvl w:ilvl="1" w:tplc="F85A474E">
      <w:numFmt w:val="decimal"/>
      <w:lvlText w:val=""/>
      <w:lvlJc w:val="left"/>
    </w:lvl>
    <w:lvl w:ilvl="2" w:tplc="0CF2F22E">
      <w:numFmt w:val="decimal"/>
      <w:lvlText w:val=""/>
      <w:lvlJc w:val="left"/>
    </w:lvl>
    <w:lvl w:ilvl="3" w:tplc="964444E6">
      <w:numFmt w:val="decimal"/>
      <w:lvlText w:val=""/>
      <w:lvlJc w:val="left"/>
    </w:lvl>
    <w:lvl w:ilvl="4" w:tplc="B79EDFE4">
      <w:numFmt w:val="decimal"/>
      <w:lvlText w:val=""/>
      <w:lvlJc w:val="left"/>
    </w:lvl>
    <w:lvl w:ilvl="5" w:tplc="ACDAD346">
      <w:numFmt w:val="decimal"/>
      <w:lvlText w:val=""/>
      <w:lvlJc w:val="left"/>
    </w:lvl>
    <w:lvl w:ilvl="6" w:tplc="D8A84FC2">
      <w:numFmt w:val="decimal"/>
      <w:lvlText w:val=""/>
      <w:lvlJc w:val="left"/>
    </w:lvl>
    <w:lvl w:ilvl="7" w:tplc="537C29F6">
      <w:numFmt w:val="decimal"/>
      <w:lvlText w:val=""/>
      <w:lvlJc w:val="left"/>
    </w:lvl>
    <w:lvl w:ilvl="8" w:tplc="2EC81EB8">
      <w:numFmt w:val="decimal"/>
      <w:lvlText w:val=""/>
      <w:lvlJc w:val="left"/>
    </w:lvl>
  </w:abstractNum>
  <w:abstractNum w:abstractNumId="596" w15:restartNumberingAfterBreak="0">
    <w:nsid w:val="401F1BB2"/>
    <w:multiLevelType w:val="hybridMultilevel"/>
    <w:tmpl w:val="42BED1E0"/>
    <w:lvl w:ilvl="0" w:tplc="FBE2BD2C">
      <w:numFmt w:val="decimal"/>
      <w:lvlText w:val=""/>
      <w:lvlJc w:val="left"/>
    </w:lvl>
    <w:lvl w:ilvl="1" w:tplc="B24C9D46">
      <w:start w:val="1"/>
      <w:numFmt w:val="bullet"/>
      <w:lvlText w:val=""/>
      <w:lvlJc w:val="left"/>
      <w:pPr>
        <w:ind w:left="1440" w:hanging="180"/>
      </w:pPr>
      <w:rPr>
        <w:rFonts w:ascii="Symbol" w:hAnsi="Symbol" w:hint="default"/>
      </w:rPr>
    </w:lvl>
    <w:lvl w:ilvl="2" w:tplc="1EB2D996">
      <w:numFmt w:val="decimal"/>
      <w:lvlText w:val=""/>
      <w:lvlJc w:val="left"/>
    </w:lvl>
    <w:lvl w:ilvl="3" w:tplc="C70CBC80">
      <w:numFmt w:val="decimal"/>
      <w:lvlText w:val=""/>
      <w:lvlJc w:val="left"/>
    </w:lvl>
    <w:lvl w:ilvl="4" w:tplc="0EB0F2FC">
      <w:numFmt w:val="decimal"/>
      <w:lvlText w:val=""/>
      <w:lvlJc w:val="left"/>
    </w:lvl>
    <w:lvl w:ilvl="5" w:tplc="55343226">
      <w:numFmt w:val="decimal"/>
      <w:lvlText w:val=""/>
      <w:lvlJc w:val="left"/>
    </w:lvl>
    <w:lvl w:ilvl="6" w:tplc="528E904C">
      <w:numFmt w:val="decimal"/>
      <w:lvlText w:val=""/>
      <w:lvlJc w:val="left"/>
    </w:lvl>
    <w:lvl w:ilvl="7" w:tplc="5C42CA02">
      <w:numFmt w:val="decimal"/>
      <w:lvlText w:val=""/>
      <w:lvlJc w:val="left"/>
    </w:lvl>
    <w:lvl w:ilvl="8" w:tplc="517C6930">
      <w:numFmt w:val="decimal"/>
      <w:lvlText w:val=""/>
      <w:lvlJc w:val="left"/>
    </w:lvl>
  </w:abstractNum>
  <w:abstractNum w:abstractNumId="597" w15:restartNumberingAfterBreak="0">
    <w:nsid w:val="4040235A"/>
    <w:multiLevelType w:val="hybridMultilevel"/>
    <w:tmpl w:val="CF405A22"/>
    <w:lvl w:ilvl="0" w:tplc="1B9C94DA">
      <w:start w:val="1"/>
      <w:numFmt w:val="bullet"/>
      <w:lvlText w:val=""/>
      <w:lvlJc w:val="left"/>
      <w:pPr>
        <w:ind w:left="720" w:hanging="180"/>
      </w:pPr>
      <w:rPr>
        <w:rFonts w:ascii="Symbol" w:hAnsi="Symbol" w:hint="default"/>
      </w:rPr>
    </w:lvl>
    <w:lvl w:ilvl="1" w:tplc="0E52DB1E">
      <w:numFmt w:val="decimal"/>
      <w:lvlText w:val=""/>
      <w:lvlJc w:val="left"/>
    </w:lvl>
    <w:lvl w:ilvl="2" w:tplc="C0B2F07E">
      <w:numFmt w:val="decimal"/>
      <w:lvlText w:val=""/>
      <w:lvlJc w:val="left"/>
    </w:lvl>
    <w:lvl w:ilvl="3" w:tplc="9E6AB746">
      <w:numFmt w:val="decimal"/>
      <w:lvlText w:val=""/>
      <w:lvlJc w:val="left"/>
    </w:lvl>
    <w:lvl w:ilvl="4" w:tplc="83F6D46E">
      <w:numFmt w:val="decimal"/>
      <w:lvlText w:val=""/>
      <w:lvlJc w:val="left"/>
    </w:lvl>
    <w:lvl w:ilvl="5" w:tplc="05783CAA">
      <w:numFmt w:val="decimal"/>
      <w:lvlText w:val=""/>
      <w:lvlJc w:val="left"/>
    </w:lvl>
    <w:lvl w:ilvl="6" w:tplc="D568B04E">
      <w:numFmt w:val="decimal"/>
      <w:lvlText w:val=""/>
      <w:lvlJc w:val="left"/>
    </w:lvl>
    <w:lvl w:ilvl="7" w:tplc="242625D4">
      <w:numFmt w:val="decimal"/>
      <w:lvlText w:val=""/>
      <w:lvlJc w:val="left"/>
    </w:lvl>
    <w:lvl w:ilvl="8" w:tplc="A162A3CE">
      <w:numFmt w:val="decimal"/>
      <w:lvlText w:val=""/>
      <w:lvlJc w:val="left"/>
    </w:lvl>
  </w:abstractNum>
  <w:abstractNum w:abstractNumId="598" w15:restartNumberingAfterBreak="0">
    <w:nsid w:val="406C3C88"/>
    <w:multiLevelType w:val="hybridMultilevel"/>
    <w:tmpl w:val="B6BCBC90"/>
    <w:lvl w:ilvl="0" w:tplc="56F0934A">
      <w:start w:val="1"/>
      <w:numFmt w:val="bullet"/>
      <w:lvlText w:val=""/>
      <w:lvlJc w:val="left"/>
      <w:pPr>
        <w:ind w:left="720" w:hanging="180"/>
      </w:pPr>
      <w:rPr>
        <w:rFonts w:ascii="Symbol" w:hAnsi="Symbol" w:hint="default"/>
      </w:rPr>
    </w:lvl>
    <w:lvl w:ilvl="1" w:tplc="E1727B22">
      <w:numFmt w:val="decimal"/>
      <w:lvlText w:val=""/>
      <w:lvlJc w:val="left"/>
    </w:lvl>
    <w:lvl w:ilvl="2" w:tplc="51488BF2">
      <w:numFmt w:val="decimal"/>
      <w:lvlText w:val=""/>
      <w:lvlJc w:val="left"/>
    </w:lvl>
    <w:lvl w:ilvl="3" w:tplc="585ADB66">
      <w:numFmt w:val="decimal"/>
      <w:lvlText w:val=""/>
      <w:lvlJc w:val="left"/>
    </w:lvl>
    <w:lvl w:ilvl="4" w:tplc="6A1C23FE">
      <w:numFmt w:val="decimal"/>
      <w:lvlText w:val=""/>
      <w:lvlJc w:val="left"/>
    </w:lvl>
    <w:lvl w:ilvl="5" w:tplc="51BE80BC">
      <w:numFmt w:val="decimal"/>
      <w:lvlText w:val=""/>
      <w:lvlJc w:val="left"/>
    </w:lvl>
    <w:lvl w:ilvl="6" w:tplc="3E8AC42C">
      <w:numFmt w:val="decimal"/>
      <w:lvlText w:val=""/>
      <w:lvlJc w:val="left"/>
    </w:lvl>
    <w:lvl w:ilvl="7" w:tplc="4172FDF2">
      <w:numFmt w:val="decimal"/>
      <w:lvlText w:val=""/>
      <w:lvlJc w:val="left"/>
    </w:lvl>
    <w:lvl w:ilvl="8" w:tplc="E42C2C58">
      <w:numFmt w:val="decimal"/>
      <w:lvlText w:val=""/>
      <w:lvlJc w:val="left"/>
    </w:lvl>
  </w:abstractNum>
  <w:abstractNum w:abstractNumId="599" w15:restartNumberingAfterBreak="0">
    <w:nsid w:val="407209E2"/>
    <w:multiLevelType w:val="hybridMultilevel"/>
    <w:tmpl w:val="9E246E82"/>
    <w:lvl w:ilvl="0" w:tplc="D6B6A148">
      <w:start w:val="1"/>
      <w:numFmt w:val="bullet"/>
      <w:lvlText w:val=""/>
      <w:lvlJc w:val="left"/>
      <w:pPr>
        <w:ind w:left="720" w:hanging="180"/>
      </w:pPr>
      <w:rPr>
        <w:rFonts w:ascii="Symbol" w:hAnsi="Symbol" w:hint="default"/>
      </w:rPr>
    </w:lvl>
    <w:lvl w:ilvl="1" w:tplc="ADCC0630">
      <w:numFmt w:val="decimal"/>
      <w:lvlText w:val=""/>
      <w:lvlJc w:val="left"/>
    </w:lvl>
    <w:lvl w:ilvl="2" w:tplc="CDB8B3D4">
      <w:numFmt w:val="decimal"/>
      <w:lvlText w:val=""/>
      <w:lvlJc w:val="left"/>
    </w:lvl>
    <w:lvl w:ilvl="3" w:tplc="5BC40274">
      <w:numFmt w:val="decimal"/>
      <w:lvlText w:val=""/>
      <w:lvlJc w:val="left"/>
    </w:lvl>
    <w:lvl w:ilvl="4" w:tplc="916C8342">
      <w:numFmt w:val="decimal"/>
      <w:lvlText w:val=""/>
      <w:lvlJc w:val="left"/>
    </w:lvl>
    <w:lvl w:ilvl="5" w:tplc="F03E3312">
      <w:numFmt w:val="decimal"/>
      <w:lvlText w:val=""/>
      <w:lvlJc w:val="left"/>
    </w:lvl>
    <w:lvl w:ilvl="6" w:tplc="967A4312">
      <w:numFmt w:val="decimal"/>
      <w:lvlText w:val=""/>
      <w:lvlJc w:val="left"/>
    </w:lvl>
    <w:lvl w:ilvl="7" w:tplc="94169F46">
      <w:numFmt w:val="decimal"/>
      <w:lvlText w:val=""/>
      <w:lvlJc w:val="left"/>
    </w:lvl>
    <w:lvl w:ilvl="8" w:tplc="C8DE67B8">
      <w:numFmt w:val="decimal"/>
      <w:lvlText w:val=""/>
      <w:lvlJc w:val="left"/>
    </w:lvl>
  </w:abstractNum>
  <w:abstractNum w:abstractNumId="600" w15:restartNumberingAfterBreak="0">
    <w:nsid w:val="40786B91"/>
    <w:multiLevelType w:val="hybridMultilevel"/>
    <w:tmpl w:val="D9705358"/>
    <w:lvl w:ilvl="0" w:tplc="D61C7E12">
      <w:start w:val="1"/>
      <w:numFmt w:val="bullet"/>
      <w:lvlText w:val=""/>
      <w:lvlJc w:val="left"/>
      <w:pPr>
        <w:ind w:left="720" w:hanging="180"/>
      </w:pPr>
      <w:rPr>
        <w:rFonts w:ascii="Symbol" w:hAnsi="Symbol" w:hint="default"/>
      </w:rPr>
    </w:lvl>
    <w:lvl w:ilvl="1" w:tplc="12F463A6">
      <w:numFmt w:val="decimal"/>
      <w:lvlText w:val=""/>
      <w:lvlJc w:val="left"/>
    </w:lvl>
    <w:lvl w:ilvl="2" w:tplc="5308F0E2">
      <w:numFmt w:val="decimal"/>
      <w:lvlText w:val=""/>
      <w:lvlJc w:val="left"/>
    </w:lvl>
    <w:lvl w:ilvl="3" w:tplc="BFF6DEF0">
      <w:numFmt w:val="decimal"/>
      <w:lvlText w:val=""/>
      <w:lvlJc w:val="left"/>
    </w:lvl>
    <w:lvl w:ilvl="4" w:tplc="5B2AE0AA">
      <w:numFmt w:val="decimal"/>
      <w:lvlText w:val=""/>
      <w:lvlJc w:val="left"/>
    </w:lvl>
    <w:lvl w:ilvl="5" w:tplc="7CE6EBD4">
      <w:numFmt w:val="decimal"/>
      <w:lvlText w:val=""/>
      <w:lvlJc w:val="left"/>
    </w:lvl>
    <w:lvl w:ilvl="6" w:tplc="C4FC9680">
      <w:numFmt w:val="decimal"/>
      <w:lvlText w:val=""/>
      <w:lvlJc w:val="left"/>
    </w:lvl>
    <w:lvl w:ilvl="7" w:tplc="54E4081E">
      <w:numFmt w:val="decimal"/>
      <w:lvlText w:val=""/>
      <w:lvlJc w:val="left"/>
    </w:lvl>
    <w:lvl w:ilvl="8" w:tplc="DF08B84C">
      <w:numFmt w:val="decimal"/>
      <w:lvlText w:val=""/>
      <w:lvlJc w:val="left"/>
    </w:lvl>
  </w:abstractNum>
  <w:abstractNum w:abstractNumId="601" w15:restartNumberingAfterBreak="0">
    <w:nsid w:val="407E65F0"/>
    <w:multiLevelType w:val="hybridMultilevel"/>
    <w:tmpl w:val="E4B8FE24"/>
    <w:lvl w:ilvl="0" w:tplc="670829E6">
      <w:start w:val="1"/>
      <w:numFmt w:val="bullet"/>
      <w:lvlText w:val=""/>
      <w:lvlJc w:val="left"/>
      <w:pPr>
        <w:ind w:left="720" w:hanging="180"/>
      </w:pPr>
      <w:rPr>
        <w:rFonts w:ascii="Symbol" w:hAnsi="Symbol" w:hint="default"/>
      </w:rPr>
    </w:lvl>
    <w:lvl w:ilvl="1" w:tplc="C89A2FF0">
      <w:numFmt w:val="decimal"/>
      <w:lvlText w:val=""/>
      <w:lvlJc w:val="left"/>
    </w:lvl>
    <w:lvl w:ilvl="2" w:tplc="815621AA">
      <w:numFmt w:val="decimal"/>
      <w:lvlText w:val=""/>
      <w:lvlJc w:val="left"/>
    </w:lvl>
    <w:lvl w:ilvl="3" w:tplc="C9BA5988">
      <w:numFmt w:val="decimal"/>
      <w:lvlText w:val=""/>
      <w:lvlJc w:val="left"/>
    </w:lvl>
    <w:lvl w:ilvl="4" w:tplc="27AAE830">
      <w:numFmt w:val="decimal"/>
      <w:lvlText w:val=""/>
      <w:lvlJc w:val="left"/>
    </w:lvl>
    <w:lvl w:ilvl="5" w:tplc="F886CFF0">
      <w:numFmt w:val="decimal"/>
      <w:lvlText w:val=""/>
      <w:lvlJc w:val="left"/>
    </w:lvl>
    <w:lvl w:ilvl="6" w:tplc="D604CF64">
      <w:numFmt w:val="decimal"/>
      <w:lvlText w:val=""/>
      <w:lvlJc w:val="left"/>
    </w:lvl>
    <w:lvl w:ilvl="7" w:tplc="BA7492D2">
      <w:numFmt w:val="decimal"/>
      <w:lvlText w:val=""/>
      <w:lvlJc w:val="left"/>
    </w:lvl>
    <w:lvl w:ilvl="8" w:tplc="F22C191C">
      <w:numFmt w:val="decimal"/>
      <w:lvlText w:val=""/>
      <w:lvlJc w:val="left"/>
    </w:lvl>
  </w:abstractNum>
  <w:abstractNum w:abstractNumId="602" w15:restartNumberingAfterBreak="0">
    <w:nsid w:val="409A0F7F"/>
    <w:multiLevelType w:val="hybridMultilevel"/>
    <w:tmpl w:val="414675DE"/>
    <w:lvl w:ilvl="0" w:tplc="20FE15D2">
      <w:start w:val="1"/>
      <w:numFmt w:val="bullet"/>
      <w:lvlText w:val=""/>
      <w:lvlJc w:val="left"/>
      <w:pPr>
        <w:ind w:left="720" w:hanging="180"/>
      </w:pPr>
      <w:rPr>
        <w:rFonts w:ascii="Symbol" w:hAnsi="Symbol" w:hint="default"/>
      </w:rPr>
    </w:lvl>
    <w:lvl w:ilvl="1" w:tplc="60B8C5FA">
      <w:numFmt w:val="decimal"/>
      <w:lvlText w:val=""/>
      <w:lvlJc w:val="left"/>
    </w:lvl>
    <w:lvl w:ilvl="2" w:tplc="86F611BA">
      <w:numFmt w:val="decimal"/>
      <w:lvlText w:val=""/>
      <w:lvlJc w:val="left"/>
    </w:lvl>
    <w:lvl w:ilvl="3" w:tplc="67467F8A">
      <w:numFmt w:val="decimal"/>
      <w:lvlText w:val=""/>
      <w:lvlJc w:val="left"/>
    </w:lvl>
    <w:lvl w:ilvl="4" w:tplc="4BB4A914">
      <w:numFmt w:val="decimal"/>
      <w:lvlText w:val=""/>
      <w:lvlJc w:val="left"/>
    </w:lvl>
    <w:lvl w:ilvl="5" w:tplc="F4447C14">
      <w:numFmt w:val="decimal"/>
      <w:lvlText w:val=""/>
      <w:lvlJc w:val="left"/>
    </w:lvl>
    <w:lvl w:ilvl="6" w:tplc="A4108158">
      <w:numFmt w:val="decimal"/>
      <w:lvlText w:val=""/>
      <w:lvlJc w:val="left"/>
    </w:lvl>
    <w:lvl w:ilvl="7" w:tplc="A56EEDEE">
      <w:numFmt w:val="decimal"/>
      <w:lvlText w:val=""/>
      <w:lvlJc w:val="left"/>
    </w:lvl>
    <w:lvl w:ilvl="8" w:tplc="64C69E96">
      <w:numFmt w:val="decimal"/>
      <w:lvlText w:val=""/>
      <w:lvlJc w:val="left"/>
    </w:lvl>
  </w:abstractNum>
  <w:abstractNum w:abstractNumId="603" w15:restartNumberingAfterBreak="0">
    <w:nsid w:val="410A692B"/>
    <w:multiLevelType w:val="hybridMultilevel"/>
    <w:tmpl w:val="C39E1D58"/>
    <w:lvl w:ilvl="0" w:tplc="07EE7F92">
      <w:start w:val="1"/>
      <w:numFmt w:val="bullet"/>
      <w:lvlText w:val=""/>
      <w:lvlJc w:val="left"/>
      <w:pPr>
        <w:ind w:left="720" w:hanging="180"/>
      </w:pPr>
      <w:rPr>
        <w:rFonts w:ascii="Symbol" w:hAnsi="Symbol" w:hint="default"/>
      </w:rPr>
    </w:lvl>
    <w:lvl w:ilvl="1" w:tplc="93F00CA4">
      <w:numFmt w:val="decimal"/>
      <w:lvlText w:val=""/>
      <w:lvlJc w:val="left"/>
    </w:lvl>
    <w:lvl w:ilvl="2" w:tplc="3448FD4C">
      <w:numFmt w:val="decimal"/>
      <w:lvlText w:val=""/>
      <w:lvlJc w:val="left"/>
    </w:lvl>
    <w:lvl w:ilvl="3" w:tplc="0BFACF34">
      <w:numFmt w:val="decimal"/>
      <w:lvlText w:val=""/>
      <w:lvlJc w:val="left"/>
    </w:lvl>
    <w:lvl w:ilvl="4" w:tplc="A3B84D04">
      <w:numFmt w:val="decimal"/>
      <w:lvlText w:val=""/>
      <w:lvlJc w:val="left"/>
    </w:lvl>
    <w:lvl w:ilvl="5" w:tplc="F25E814E">
      <w:numFmt w:val="decimal"/>
      <w:lvlText w:val=""/>
      <w:lvlJc w:val="left"/>
    </w:lvl>
    <w:lvl w:ilvl="6" w:tplc="250EFC08">
      <w:numFmt w:val="decimal"/>
      <w:lvlText w:val=""/>
      <w:lvlJc w:val="left"/>
    </w:lvl>
    <w:lvl w:ilvl="7" w:tplc="64A2258A">
      <w:numFmt w:val="decimal"/>
      <w:lvlText w:val=""/>
      <w:lvlJc w:val="left"/>
    </w:lvl>
    <w:lvl w:ilvl="8" w:tplc="9D4873F4">
      <w:numFmt w:val="decimal"/>
      <w:lvlText w:val=""/>
      <w:lvlJc w:val="left"/>
    </w:lvl>
  </w:abstractNum>
  <w:abstractNum w:abstractNumId="604" w15:restartNumberingAfterBreak="0">
    <w:nsid w:val="41633DB8"/>
    <w:multiLevelType w:val="hybridMultilevel"/>
    <w:tmpl w:val="0148AA56"/>
    <w:lvl w:ilvl="0" w:tplc="480C470E">
      <w:start w:val="1"/>
      <w:numFmt w:val="bullet"/>
      <w:lvlText w:val=""/>
      <w:lvlJc w:val="left"/>
      <w:pPr>
        <w:ind w:left="720" w:hanging="180"/>
      </w:pPr>
      <w:rPr>
        <w:rFonts w:ascii="Symbol" w:hAnsi="Symbol" w:hint="default"/>
      </w:rPr>
    </w:lvl>
    <w:lvl w:ilvl="1" w:tplc="41BC5246">
      <w:numFmt w:val="decimal"/>
      <w:lvlText w:val=""/>
      <w:lvlJc w:val="left"/>
    </w:lvl>
    <w:lvl w:ilvl="2" w:tplc="C17066BC">
      <w:numFmt w:val="decimal"/>
      <w:lvlText w:val=""/>
      <w:lvlJc w:val="left"/>
    </w:lvl>
    <w:lvl w:ilvl="3" w:tplc="92F685F8">
      <w:numFmt w:val="decimal"/>
      <w:lvlText w:val=""/>
      <w:lvlJc w:val="left"/>
    </w:lvl>
    <w:lvl w:ilvl="4" w:tplc="0456B9C6">
      <w:numFmt w:val="decimal"/>
      <w:lvlText w:val=""/>
      <w:lvlJc w:val="left"/>
    </w:lvl>
    <w:lvl w:ilvl="5" w:tplc="5F9E9F9E">
      <w:numFmt w:val="decimal"/>
      <w:lvlText w:val=""/>
      <w:lvlJc w:val="left"/>
    </w:lvl>
    <w:lvl w:ilvl="6" w:tplc="0BCA9D94">
      <w:numFmt w:val="decimal"/>
      <w:lvlText w:val=""/>
      <w:lvlJc w:val="left"/>
    </w:lvl>
    <w:lvl w:ilvl="7" w:tplc="D0246B22">
      <w:numFmt w:val="decimal"/>
      <w:lvlText w:val=""/>
      <w:lvlJc w:val="left"/>
    </w:lvl>
    <w:lvl w:ilvl="8" w:tplc="6348330A">
      <w:numFmt w:val="decimal"/>
      <w:lvlText w:val=""/>
      <w:lvlJc w:val="left"/>
    </w:lvl>
  </w:abstractNum>
  <w:abstractNum w:abstractNumId="605" w15:restartNumberingAfterBreak="0">
    <w:nsid w:val="41825659"/>
    <w:multiLevelType w:val="hybridMultilevel"/>
    <w:tmpl w:val="D012C1C0"/>
    <w:lvl w:ilvl="0" w:tplc="5AAE3FCE">
      <w:start w:val="1"/>
      <w:numFmt w:val="bullet"/>
      <w:lvlText w:val=""/>
      <w:lvlJc w:val="left"/>
      <w:pPr>
        <w:ind w:left="720" w:hanging="180"/>
      </w:pPr>
      <w:rPr>
        <w:rFonts w:ascii="Symbol" w:hAnsi="Symbol" w:hint="default"/>
      </w:rPr>
    </w:lvl>
    <w:lvl w:ilvl="1" w:tplc="24DC4F8E">
      <w:numFmt w:val="decimal"/>
      <w:lvlText w:val=""/>
      <w:lvlJc w:val="left"/>
    </w:lvl>
    <w:lvl w:ilvl="2" w:tplc="4A6A3302">
      <w:numFmt w:val="decimal"/>
      <w:lvlText w:val=""/>
      <w:lvlJc w:val="left"/>
    </w:lvl>
    <w:lvl w:ilvl="3" w:tplc="4E383C54">
      <w:numFmt w:val="decimal"/>
      <w:lvlText w:val=""/>
      <w:lvlJc w:val="left"/>
    </w:lvl>
    <w:lvl w:ilvl="4" w:tplc="C240CA6E">
      <w:numFmt w:val="decimal"/>
      <w:lvlText w:val=""/>
      <w:lvlJc w:val="left"/>
    </w:lvl>
    <w:lvl w:ilvl="5" w:tplc="8DA80F72">
      <w:numFmt w:val="decimal"/>
      <w:lvlText w:val=""/>
      <w:lvlJc w:val="left"/>
    </w:lvl>
    <w:lvl w:ilvl="6" w:tplc="C8501A92">
      <w:numFmt w:val="decimal"/>
      <w:lvlText w:val=""/>
      <w:lvlJc w:val="left"/>
    </w:lvl>
    <w:lvl w:ilvl="7" w:tplc="D8CA67F2">
      <w:numFmt w:val="decimal"/>
      <w:lvlText w:val=""/>
      <w:lvlJc w:val="left"/>
    </w:lvl>
    <w:lvl w:ilvl="8" w:tplc="09209482">
      <w:numFmt w:val="decimal"/>
      <w:lvlText w:val=""/>
      <w:lvlJc w:val="left"/>
    </w:lvl>
  </w:abstractNum>
  <w:abstractNum w:abstractNumId="606" w15:restartNumberingAfterBreak="0">
    <w:nsid w:val="41F8119A"/>
    <w:multiLevelType w:val="hybridMultilevel"/>
    <w:tmpl w:val="0E342E7E"/>
    <w:lvl w:ilvl="0" w:tplc="225446C4">
      <w:start w:val="1"/>
      <w:numFmt w:val="bullet"/>
      <w:lvlText w:val=""/>
      <w:lvlJc w:val="left"/>
      <w:pPr>
        <w:ind w:left="720" w:hanging="180"/>
      </w:pPr>
      <w:rPr>
        <w:rFonts w:ascii="Symbol" w:hAnsi="Symbol" w:hint="default"/>
      </w:rPr>
    </w:lvl>
    <w:lvl w:ilvl="1" w:tplc="506CA7C2">
      <w:numFmt w:val="decimal"/>
      <w:lvlText w:val=""/>
      <w:lvlJc w:val="left"/>
    </w:lvl>
    <w:lvl w:ilvl="2" w:tplc="446A2A40">
      <w:numFmt w:val="decimal"/>
      <w:lvlText w:val=""/>
      <w:lvlJc w:val="left"/>
    </w:lvl>
    <w:lvl w:ilvl="3" w:tplc="2322100A">
      <w:numFmt w:val="decimal"/>
      <w:lvlText w:val=""/>
      <w:lvlJc w:val="left"/>
    </w:lvl>
    <w:lvl w:ilvl="4" w:tplc="AE5A59FC">
      <w:numFmt w:val="decimal"/>
      <w:lvlText w:val=""/>
      <w:lvlJc w:val="left"/>
    </w:lvl>
    <w:lvl w:ilvl="5" w:tplc="87903DEE">
      <w:numFmt w:val="decimal"/>
      <w:lvlText w:val=""/>
      <w:lvlJc w:val="left"/>
    </w:lvl>
    <w:lvl w:ilvl="6" w:tplc="1D92DD4E">
      <w:numFmt w:val="decimal"/>
      <w:lvlText w:val=""/>
      <w:lvlJc w:val="left"/>
    </w:lvl>
    <w:lvl w:ilvl="7" w:tplc="A9407020">
      <w:numFmt w:val="decimal"/>
      <w:lvlText w:val=""/>
      <w:lvlJc w:val="left"/>
    </w:lvl>
    <w:lvl w:ilvl="8" w:tplc="F52C275C">
      <w:numFmt w:val="decimal"/>
      <w:lvlText w:val=""/>
      <w:lvlJc w:val="left"/>
    </w:lvl>
  </w:abstractNum>
  <w:abstractNum w:abstractNumId="607" w15:restartNumberingAfterBreak="0">
    <w:nsid w:val="41FC1D89"/>
    <w:multiLevelType w:val="hybridMultilevel"/>
    <w:tmpl w:val="89D2C2EA"/>
    <w:lvl w:ilvl="0" w:tplc="2B0CF3CC">
      <w:start w:val="1"/>
      <w:numFmt w:val="bullet"/>
      <w:lvlText w:val=""/>
      <w:lvlJc w:val="left"/>
      <w:pPr>
        <w:ind w:left="720" w:hanging="180"/>
      </w:pPr>
      <w:rPr>
        <w:rFonts w:ascii="Symbol" w:hAnsi="Symbol" w:hint="default"/>
      </w:rPr>
    </w:lvl>
    <w:lvl w:ilvl="1" w:tplc="8CF4F0F4">
      <w:numFmt w:val="decimal"/>
      <w:lvlText w:val=""/>
      <w:lvlJc w:val="left"/>
    </w:lvl>
    <w:lvl w:ilvl="2" w:tplc="49EEA31C">
      <w:numFmt w:val="decimal"/>
      <w:lvlText w:val=""/>
      <w:lvlJc w:val="left"/>
    </w:lvl>
    <w:lvl w:ilvl="3" w:tplc="0EF4ECCE">
      <w:numFmt w:val="decimal"/>
      <w:lvlText w:val=""/>
      <w:lvlJc w:val="left"/>
    </w:lvl>
    <w:lvl w:ilvl="4" w:tplc="32A0A864">
      <w:numFmt w:val="decimal"/>
      <w:lvlText w:val=""/>
      <w:lvlJc w:val="left"/>
    </w:lvl>
    <w:lvl w:ilvl="5" w:tplc="7E40BA04">
      <w:numFmt w:val="decimal"/>
      <w:lvlText w:val=""/>
      <w:lvlJc w:val="left"/>
    </w:lvl>
    <w:lvl w:ilvl="6" w:tplc="AE7AE8B4">
      <w:numFmt w:val="decimal"/>
      <w:lvlText w:val=""/>
      <w:lvlJc w:val="left"/>
    </w:lvl>
    <w:lvl w:ilvl="7" w:tplc="F6F84EC4">
      <w:numFmt w:val="decimal"/>
      <w:lvlText w:val=""/>
      <w:lvlJc w:val="left"/>
    </w:lvl>
    <w:lvl w:ilvl="8" w:tplc="0B947D3C">
      <w:numFmt w:val="decimal"/>
      <w:lvlText w:val=""/>
      <w:lvlJc w:val="left"/>
    </w:lvl>
  </w:abstractNum>
  <w:abstractNum w:abstractNumId="608" w15:restartNumberingAfterBreak="0">
    <w:nsid w:val="42185032"/>
    <w:multiLevelType w:val="hybridMultilevel"/>
    <w:tmpl w:val="8982A0AE"/>
    <w:lvl w:ilvl="0" w:tplc="ADD2004C">
      <w:start w:val="1"/>
      <w:numFmt w:val="bullet"/>
      <w:lvlText w:val=""/>
      <w:lvlJc w:val="left"/>
      <w:pPr>
        <w:ind w:left="720" w:hanging="180"/>
      </w:pPr>
      <w:rPr>
        <w:rFonts w:ascii="Symbol" w:hAnsi="Symbol" w:hint="default"/>
      </w:rPr>
    </w:lvl>
    <w:lvl w:ilvl="1" w:tplc="DDFCB1C2">
      <w:numFmt w:val="decimal"/>
      <w:lvlText w:val=""/>
      <w:lvlJc w:val="left"/>
    </w:lvl>
    <w:lvl w:ilvl="2" w:tplc="136A1B12">
      <w:numFmt w:val="decimal"/>
      <w:lvlText w:val=""/>
      <w:lvlJc w:val="left"/>
    </w:lvl>
    <w:lvl w:ilvl="3" w:tplc="C24423F4">
      <w:numFmt w:val="decimal"/>
      <w:lvlText w:val=""/>
      <w:lvlJc w:val="left"/>
    </w:lvl>
    <w:lvl w:ilvl="4" w:tplc="90D01B76">
      <w:numFmt w:val="decimal"/>
      <w:lvlText w:val=""/>
      <w:lvlJc w:val="left"/>
    </w:lvl>
    <w:lvl w:ilvl="5" w:tplc="CD26D36C">
      <w:numFmt w:val="decimal"/>
      <w:lvlText w:val=""/>
      <w:lvlJc w:val="left"/>
    </w:lvl>
    <w:lvl w:ilvl="6" w:tplc="64DA63E2">
      <w:numFmt w:val="decimal"/>
      <w:lvlText w:val=""/>
      <w:lvlJc w:val="left"/>
    </w:lvl>
    <w:lvl w:ilvl="7" w:tplc="47A60926">
      <w:numFmt w:val="decimal"/>
      <w:lvlText w:val=""/>
      <w:lvlJc w:val="left"/>
    </w:lvl>
    <w:lvl w:ilvl="8" w:tplc="3BB84C62">
      <w:numFmt w:val="decimal"/>
      <w:lvlText w:val=""/>
      <w:lvlJc w:val="left"/>
    </w:lvl>
  </w:abstractNum>
  <w:abstractNum w:abstractNumId="609" w15:restartNumberingAfterBreak="0">
    <w:nsid w:val="42306356"/>
    <w:multiLevelType w:val="hybridMultilevel"/>
    <w:tmpl w:val="6480FD40"/>
    <w:lvl w:ilvl="0" w:tplc="05E0D23E">
      <w:start w:val="1"/>
      <w:numFmt w:val="bullet"/>
      <w:lvlText w:val=""/>
      <w:lvlJc w:val="left"/>
      <w:pPr>
        <w:ind w:left="720" w:hanging="180"/>
      </w:pPr>
      <w:rPr>
        <w:rFonts w:ascii="Symbol" w:hAnsi="Symbol" w:hint="default"/>
      </w:rPr>
    </w:lvl>
    <w:lvl w:ilvl="1" w:tplc="2CFAC6EA">
      <w:numFmt w:val="decimal"/>
      <w:lvlText w:val=""/>
      <w:lvlJc w:val="left"/>
    </w:lvl>
    <w:lvl w:ilvl="2" w:tplc="89562AD6">
      <w:numFmt w:val="decimal"/>
      <w:lvlText w:val=""/>
      <w:lvlJc w:val="left"/>
    </w:lvl>
    <w:lvl w:ilvl="3" w:tplc="AB5672F8">
      <w:numFmt w:val="decimal"/>
      <w:lvlText w:val=""/>
      <w:lvlJc w:val="left"/>
    </w:lvl>
    <w:lvl w:ilvl="4" w:tplc="266A1060">
      <w:numFmt w:val="decimal"/>
      <w:lvlText w:val=""/>
      <w:lvlJc w:val="left"/>
    </w:lvl>
    <w:lvl w:ilvl="5" w:tplc="B792F5C6">
      <w:numFmt w:val="decimal"/>
      <w:lvlText w:val=""/>
      <w:lvlJc w:val="left"/>
    </w:lvl>
    <w:lvl w:ilvl="6" w:tplc="5E705250">
      <w:numFmt w:val="decimal"/>
      <w:lvlText w:val=""/>
      <w:lvlJc w:val="left"/>
    </w:lvl>
    <w:lvl w:ilvl="7" w:tplc="5E5C7632">
      <w:numFmt w:val="decimal"/>
      <w:lvlText w:val=""/>
      <w:lvlJc w:val="left"/>
    </w:lvl>
    <w:lvl w:ilvl="8" w:tplc="F72AACC6">
      <w:numFmt w:val="decimal"/>
      <w:lvlText w:val=""/>
      <w:lvlJc w:val="left"/>
    </w:lvl>
  </w:abstractNum>
  <w:abstractNum w:abstractNumId="610" w15:restartNumberingAfterBreak="0">
    <w:nsid w:val="424B6928"/>
    <w:multiLevelType w:val="hybridMultilevel"/>
    <w:tmpl w:val="E29AC842"/>
    <w:lvl w:ilvl="0" w:tplc="1B18C59C">
      <w:start w:val="1"/>
      <w:numFmt w:val="bullet"/>
      <w:lvlText w:val=""/>
      <w:lvlJc w:val="left"/>
      <w:pPr>
        <w:ind w:left="720" w:hanging="180"/>
      </w:pPr>
      <w:rPr>
        <w:rFonts w:ascii="Symbol" w:hAnsi="Symbol" w:hint="default"/>
      </w:rPr>
    </w:lvl>
    <w:lvl w:ilvl="1" w:tplc="99165F90">
      <w:numFmt w:val="decimal"/>
      <w:lvlText w:val=""/>
      <w:lvlJc w:val="left"/>
    </w:lvl>
    <w:lvl w:ilvl="2" w:tplc="7F0208C2">
      <w:numFmt w:val="decimal"/>
      <w:lvlText w:val=""/>
      <w:lvlJc w:val="left"/>
    </w:lvl>
    <w:lvl w:ilvl="3" w:tplc="7EC03122">
      <w:numFmt w:val="decimal"/>
      <w:lvlText w:val=""/>
      <w:lvlJc w:val="left"/>
    </w:lvl>
    <w:lvl w:ilvl="4" w:tplc="58DA1516">
      <w:numFmt w:val="decimal"/>
      <w:lvlText w:val=""/>
      <w:lvlJc w:val="left"/>
    </w:lvl>
    <w:lvl w:ilvl="5" w:tplc="435CB418">
      <w:numFmt w:val="decimal"/>
      <w:lvlText w:val=""/>
      <w:lvlJc w:val="left"/>
    </w:lvl>
    <w:lvl w:ilvl="6" w:tplc="B12EE656">
      <w:numFmt w:val="decimal"/>
      <w:lvlText w:val=""/>
      <w:lvlJc w:val="left"/>
    </w:lvl>
    <w:lvl w:ilvl="7" w:tplc="2F00915E">
      <w:numFmt w:val="decimal"/>
      <w:lvlText w:val=""/>
      <w:lvlJc w:val="left"/>
    </w:lvl>
    <w:lvl w:ilvl="8" w:tplc="36FEF8DE">
      <w:numFmt w:val="decimal"/>
      <w:lvlText w:val=""/>
      <w:lvlJc w:val="left"/>
    </w:lvl>
  </w:abstractNum>
  <w:abstractNum w:abstractNumId="611" w15:restartNumberingAfterBreak="0">
    <w:nsid w:val="42765801"/>
    <w:multiLevelType w:val="hybridMultilevel"/>
    <w:tmpl w:val="BED45DF6"/>
    <w:lvl w:ilvl="0" w:tplc="060AE96E">
      <w:start w:val="1"/>
      <w:numFmt w:val="bullet"/>
      <w:lvlText w:val=""/>
      <w:lvlJc w:val="left"/>
      <w:pPr>
        <w:ind w:left="720" w:hanging="180"/>
      </w:pPr>
      <w:rPr>
        <w:rFonts w:ascii="Symbol" w:hAnsi="Symbol" w:hint="default"/>
      </w:rPr>
    </w:lvl>
    <w:lvl w:ilvl="1" w:tplc="DA849242">
      <w:numFmt w:val="decimal"/>
      <w:lvlText w:val=""/>
      <w:lvlJc w:val="left"/>
    </w:lvl>
    <w:lvl w:ilvl="2" w:tplc="68D88726">
      <w:numFmt w:val="decimal"/>
      <w:lvlText w:val=""/>
      <w:lvlJc w:val="left"/>
    </w:lvl>
    <w:lvl w:ilvl="3" w:tplc="4E84B424">
      <w:numFmt w:val="decimal"/>
      <w:lvlText w:val=""/>
      <w:lvlJc w:val="left"/>
    </w:lvl>
    <w:lvl w:ilvl="4" w:tplc="468AA7DC">
      <w:numFmt w:val="decimal"/>
      <w:lvlText w:val=""/>
      <w:lvlJc w:val="left"/>
    </w:lvl>
    <w:lvl w:ilvl="5" w:tplc="0E60CC0C">
      <w:numFmt w:val="decimal"/>
      <w:lvlText w:val=""/>
      <w:lvlJc w:val="left"/>
    </w:lvl>
    <w:lvl w:ilvl="6" w:tplc="75ACBE96">
      <w:numFmt w:val="decimal"/>
      <w:lvlText w:val=""/>
      <w:lvlJc w:val="left"/>
    </w:lvl>
    <w:lvl w:ilvl="7" w:tplc="327AEEFE">
      <w:numFmt w:val="decimal"/>
      <w:lvlText w:val=""/>
      <w:lvlJc w:val="left"/>
    </w:lvl>
    <w:lvl w:ilvl="8" w:tplc="2920038E">
      <w:numFmt w:val="decimal"/>
      <w:lvlText w:val=""/>
      <w:lvlJc w:val="left"/>
    </w:lvl>
  </w:abstractNum>
  <w:abstractNum w:abstractNumId="612" w15:restartNumberingAfterBreak="0">
    <w:nsid w:val="4285205D"/>
    <w:multiLevelType w:val="hybridMultilevel"/>
    <w:tmpl w:val="6980D4AA"/>
    <w:lvl w:ilvl="0" w:tplc="1B48F950">
      <w:start w:val="1"/>
      <w:numFmt w:val="bullet"/>
      <w:lvlText w:val=""/>
      <w:lvlJc w:val="left"/>
      <w:pPr>
        <w:ind w:left="720" w:hanging="180"/>
      </w:pPr>
      <w:rPr>
        <w:rFonts w:ascii="Symbol" w:hAnsi="Symbol" w:hint="default"/>
      </w:rPr>
    </w:lvl>
    <w:lvl w:ilvl="1" w:tplc="29DEAF52">
      <w:numFmt w:val="decimal"/>
      <w:lvlText w:val=""/>
      <w:lvlJc w:val="left"/>
    </w:lvl>
    <w:lvl w:ilvl="2" w:tplc="7A5EECB4">
      <w:numFmt w:val="decimal"/>
      <w:lvlText w:val=""/>
      <w:lvlJc w:val="left"/>
    </w:lvl>
    <w:lvl w:ilvl="3" w:tplc="6B38C994">
      <w:numFmt w:val="decimal"/>
      <w:lvlText w:val=""/>
      <w:lvlJc w:val="left"/>
    </w:lvl>
    <w:lvl w:ilvl="4" w:tplc="ACF82C82">
      <w:numFmt w:val="decimal"/>
      <w:lvlText w:val=""/>
      <w:lvlJc w:val="left"/>
    </w:lvl>
    <w:lvl w:ilvl="5" w:tplc="CE504D5C">
      <w:numFmt w:val="decimal"/>
      <w:lvlText w:val=""/>
      <w:lvlJc w:val="left"/>
    </w:lvl>
    <w:lvl w:ilvl="6" w:tplc="36026ED0">
      <w:numFmt w:val="decimal"/>
      <w:lvlText w:val=""/>
      <w:lvlJc w:val="left"/>
    </w:lvl>
    <w:lvl w:ilvl="7" w:tplc="9CBC5544">
      <w:numFmt w:val="decimal"/>
      <w:lvlText w:val=""/>
      <w:lvlJc w:val="left"/>
    </w:lvl>
    <w:lvl w:ilvl="8" w:tplc="8A78A8D2">
      <w:numFmt w:val="decimal"/>
      <w:lvlText w:val=""/>
      <w:lvlJc w:val="left"/>
    </w:lvl>
  </w:abstractNum>
  <w:abstractNum w:abstractNumId="613" w15:restartNumberingAfterBreak="0">
    <w:nsid w:val="429477E2"/>
    <w:multiLevelType w:val="hybridMultilevel"/>
    <w:tmpl w:val="C2AE4474"/>
    <w:lvl w:ilvl="0" w:tplc="873A4548">
      <w:start w:val="1"/>
      <w:numFmt w:val="bullet"/>
      <w:lvlText w:val=""/>
      <w:lvlJc w:val="left"/>
      <w:pPr>
        <w:ind w:left="720" w:hanging="180"/>
      </w:pPr>
      <w:rPr>
        <w:rFonts w:ascii="Symbol" w:hAnsi="Symbol" w:hint="default"/>
      </w:rPr>
    </w:lvl>
    <w:lvl w:ilvl="1" w:tplc="3F90E1CE">
      <w:numFmt w:val="decimal"/>
      <w:lvlText w:val=""/>
      <w:lvlJc w:val="left"/>
    </w:lvl>
    <w:lvl w:ilvl="2" w:tplc="385A46F8">
      <w:numFmt w:val="decimal"/>
      <w:lvlText w:val=""/>
      <w:lvlJc w:val="left"/>
    </w:lvl>
    <w:lvl w:ilvl="3" w:tplc="0C8214A0">
      <w:numFmt w:val="decimal"/>
      <w:lvlText w:val=""/>
      <w:lvlJc w:val="left"/>
    </w:lvl>
    <w:lvl w:ilvl="4" w:tplc="C3A053B8">
      <w:numFmt w:val="decimal"/>
      <w:lvlText w:val=""/>
      <w:lvlJc w:val="left"/>
    </w:lvl>
    <w:lvl w:ilvl="5" w:tplc="14846DC8">
      <w:numFmt w:val="decimal"/>
      <w:lvlText w:val=""/>
      <w:lvlJc w:val="left"/>
    </w:lvl>
    <w:lvl w:ilvl="6" w:tplc="0A827708">
      <w:numFmt w:val="decimal"/>
      <w:lvlText w:val=""/>
      <w:lvlJc w:val="left"/>
    </w:lvl>
    <w:lvl w:ilvl="7" w:tplc="06425010">
      <w:numFmt w:val="decimal"/>
      <w:lvlText w:val=""/>
      <w:lvlJc w:val="left"/>
    </w:lvl>
    <w:lvl w:ilvl="8" w:tplc="CDC0CBE0">
      <w:numFmt w:val="decimal"/>
      <w:lvlText w:val=""/>
      <w:lvlJc w:val="left"/>
    </w:lvl>
  </w:abstractNum>
  <w:abstractNum w:abstractNumId="614" w15:restartNumberingAfterBreak="0">
    <w:nsid w:val="429934E0"/>
    <w:multiLevelType w:val="hybridMultilevel"/>
    <w:tmpl w:val="6660C75A"/>
    <w:lvl w:ilvl="0" w:tplc="7108DF2C">
      <w:start w:val="1"/>
      <w:numFmt w:val="bullet"/>
      <w:lvlText w:val=""/>
      <w:lvlJc w:val="left"/>
      <w:pPr>
        <w:ind w:left="720" w:hanging="180"/>
      </w:pPr>
      <w:rPr>
        <w:rFonts w:ascii="Symbol" w:hAnsi="Symbol" w:hint="default"/>
      </w:rPr>
    </w:lvl>
    <w:lvl w:ilvl="1" w:tplc="5C6AA97A">
      <w:numFmt w:val="decimal"/>
      <w:lvlText w:val=""/>
      <w:lvlJc w:val="left"/>
    </w:lvl>
    <w:lvl w:ilvl="2" w:tplc="3A5C5944">
      <w:numFmt w:val="decimal"/>
      <w:lvlText w:val=""/>
      <w:lvlJc w:val="left"/>
    </w:lvl>
    <w:lvl w:ilvl="3" w:tplc="086086C2">
      <w:numFmt w:val="decimal"/>
      <w:lvlText w:val=""/>
      <w:lvlJc w:val="left"/>
    </w:lvl>
    <w:lvl w:ilvl="4" w:tplc="26BA33B2">
      <w:numFmt w:val="decimal"/>
      <w:lvlText w:val=""/>
      <w:lvlJc w:val="left"/>
    </w:lvl>
    <w:lvl w:ilvl="5" w:tplc="AD286BBE">
      <w:numFmt w:val="decimal"/>
      <w:lvlText w:val=""/>
      <w:lvlJc w:val="left"/>
    </w:lvl>
    <w:lvl w:ilvl="6" w:tplc="E90ACC1E">
      <w:numFmt w:val="decimal"/>
      <w:lvlText w:val=""/>
      <w:lvlJc w:val="left"/>
    </w:lvl>
    <w:lvl w:ilvl="7" w:tplc="465A4F12">
      <w:numFmt w:val="decimal"/>
      <w:lvlText w:val=""/>
      <w:lvlJc w:val="left"/>
    </w:lvl>
    <w:lvl w:ilvl="8" w:tplc="E064E86C">
      <w:numFmt w:val="decimal"/>
      <w:lvlText w:val=""/>
      <w:lvlJc w:val="left"/>
    </w:lvl>
  </w:abstractNum>
  <w:abstractNum w:abstractNumId="615" w15:restartNumberingAfterBreak="0">
    <w:nsid w:val="42F903C5"/>
    <w:multiLevelType w:val="hybridMultilevel"/>
    <w:tmpl w:val="9258BFA4"/>
    <w:lvl w:ilvl="0" w:tplc="9250A1FC">
      <w:start w:val="1"/>
      <w:numFmt w:val="bullet"/>
      <w:lvlText w:val=""/>
      <w:lvlJc w:val="left"/>
      <w:pPr>
        <w:ind w:left="720" w:hanging="180"/>
      </w:pPr>
      <w:rPr>
        <w:rFonts w:ascii="Symbol" w:hAnsi="Symbol" w:hint="default"/>
      </w:rPr>
    </w:lvl>
    <w:lvl w:ilvl="1" w:tplc="AFEEDB7C">
      <w:numFmt w:val="decimal"/>
      <w:lvlText w:val=""/>
      <w:lvlJc w:val="left"/>
    </w:lvl>
    <w:lvl w:ilvl="2" w:tplc="9F5E8B38">
      <w:numFmt w:val="decimal"/>
      <w:lvlText w:val=""/>
      <w:lvlJc w:val="left"/>
    </w:lvl>
    <w:lvl w:ilvl="3" w:tplc="5D00256C">
      <w:numFmt w:val="decimal"/>
      <w:lvlText w:val=""/>
      <w:lvlJc w:val="left"/>
    </w:lvl>
    <w:lvl w:ilvl="4" w:tplc="E53CD98C">
      <w:numFmt w:val="decimal"/>
      <w:lvlText w:val=""/>
      <w:lvlJc w:val="left"/>
    </w:lvl>
    <w:lvl w:ilvl="5" w:tplc="70A4E354">
      <w:numFmt w:val="decimal"/>
      <w:lvlText w:val=""/>
      <w:lvlJc w:val="left"/>
    </w:lvl>
    <w:lvl w:ilvl="6" w:tplc="A51462A4">
      <w:numFmt w:val="decimal"/>
      <w:lvlText w:val=""/>
      <w:lvlJc w:val="left"/>
    </w:lvl>
    <w:lvl w:ilvl="7" w:tplc="B75E217E">
      <w:numFmt w:val="decimal"/>
      <w:lvlText w:val=""/>
      <w:lvlJc w:val="left"/>
    </w:lvl>
    <w:lvl w:ilvl="8" w:tplc="55C6E418">
      <w:numFmt w:val="decimal"/>
      <w:lvlText w:val=""/>
      <w:lvlJc w:val="left"/>
    </w:lvl>
  </w:abstractNum>
  <w:abstractNum w:abstractNumId="616" w15:restartNumberingAfterBreak="0">
    <w:nsid w:val="430966CD"/>
    <w:multiLevelType w:val="hybridMultilevel"/>
    <w:tmpl w:val="18283538"/>
    <w:lvl w:ilvl="0" w:tplc="13FC0682">
      <w:start w:val="1"/>
      <w:numFmt w:val="bullet"/>
      <w:lvlText w:val=""/>
      <w:lvlJc w:val="left"/>
      <w:pPr>
        <w:ind w:left="720" w:hanging="180"/>
      </w:pPr>
      <w:rPr>
        <w:rFonts w:ascii="Symbol" w:hAnsi="Symbol" w:hint="default"/>
      </w:rPr>
    </w:lvl>
    <w:lvl w:ilvl="1" w:tplc="F134E728">
      <w:numFmt w:val="decimal"/>
      <w:lvlText w:val=""/>
      <w:lvlJc w:val="left"/>
    </w:lvl>
    <w:lvl w:ilvl="2" w:tplc="A82AC0C0">
      <w:numFmt w:val="decimal"/>
      <w:lvlText w:val=""/>
      <w:lvlJc w:val="left"/>
    </w:lvl>
    <w:lvl w:ilvl="3" w:tplc="252C86F2">
      <w:numFmt w:val="decimal"/>
      <w:lvlText w:val=""/>
      <w:lvlJc w:val="left"/>
    </w:lvl>
    <w:lvl w:ilvl="4" w:tplc="996E9BF4">
      <w:numFmt w:val="decimal"/>
      <w:lvlText w:val=""/>
      <w:lvlJc w:val="left"/>
    </w:lvl>
    <w:lvl w:ilvl="5" w:tplc="536E2A62">
      <w:numFmt w:val="decimal"/>
      <w:lvlText w:val=""/>
      <w:lvlJc w:val="left"/>
    </w:lvl>
    <w:lvl w:ilvl="6" w:tplc="4A2E5906">
      <w:numFmt w:val="decimal"/>
      <w:lvlText w:val=""/>
      <w:lvlJc w:val="left"/>
    </w:lvl>
    <w:lvl w:ilvl="7" w:tplc="9F04C548">
      <w:numFmt w:val="decimal"/>
      <w:lvlText w:val=""/>
      <w:lvlJc w:val="left"/>
    </w:lvl>
    <w:lvl w:ilvl="8" w:tplc="E72E7C22">
      <w:numFmt w:val="decimal"/>
      <w:lvlText w:val=""/>
      <w:lvlJc w:val="left"/>
    </w:lvl>
  </w:abstractNum>
  <w:abstractNum w:abstractNumId="617" w15:restartNumberingAfterBreak="0">
    <w:nsid w:val="432A55B4"/>
    <w:multiLevelType w:val="hybridMultilevel"/>
    <w:tmpl w:val="320EACAA"/>
    <w:lvl w:ilvl="0" w:tplc="665A0ABE">
      <w:start w:val="1"/>
      <w:numFmt w:val="bullet"/>
      <w:lvlText w:val=""/>
      <w:lvlJc w:val="left"/>
      <w:pPr>
        <w:ind w:left="720" w:hanging="180"/>
      </w:pPr>
      <w:rPr>
        <w:rFonts w:ascii="Symbol" w:hAnsi="Symbol" w:hint="default"/>
      </w:rPr>
    </w:lvl>
    <w:lvl w:ilvl="1" w:tplc="67F20F80">
      <w:numFmt w:val="decimal"/>
      <w:lvlText w:val=""/>
      <w:lvlJc w:val="left"/>
    </w:lvl>
    <w:lvl w:ilvl="2" w:tplc="0974F2A0">
      <w:numFmt w:val="decimal"/>
      <w:lvlText w:val=""/>
      <w:lvlJc w:val="left"/>
    </w:lvl>
    <w:lvl w:ilvl="3" w:tplc="AE56877C">
      <w:numFmt w:val="decimal"/>
      <w:lvlText w:val=""/>
      <w:lvlJc w:val="left"/>
    </w:lvl>
    <w:lvl w:ilvl="4" w:tplc="272E823C">
      <w:numFmt w:val="decimal"/>
      <w:lvlText w:val=""/>
      <w:lvlJc w:val="left"/>
    </w:lvl>
    <w:lvl w:ilvl="5" w:tplc="AF804754">
      <w:numFmt w:val="decimal"/>
      <w:lvlText w:val=""/>
      <w:lvlJc w:val="left"/>
    </w:lvl>
    <w:lvl w:ilvl="6" w:tplc="E5384508">
      <w:numFmt w:val="decimal"/>
      <w:lvlText w:val=""/>
      <w:lvlJc w:val="left"/>
    </w:lvl>
    <w:lvl w:ilvl="7" w:tplc="AF084920">
      <w:numFmt w:val="decimal"/>
      <w:lvlText w:val=""/>
      <w:lvlJc w:val="left"/>
    </w:lvl>
    <w:lvl w:ilvl="8" w:tplc="9D927A36">
      <w:numFmt w:val="decimal"/>
      <w:lvlText w:val=""/>
      <w:lvlJc w:val="left"/>
    </w:lvl>
  </w:abstractNum>
  <w:abstractNum w:abstractNumId="618" w15:restartNumberingAfterBreak="0">
    <w:nsid w:val="433B03BF"/>
    <w:multiLevelType w:val="hybridMultilevel"/>
    <w:tmpl w:val="AC0A8CC2"/>
    <w:lvl w:ilvl="0" w:tplc="526EB65C">
      <w:start w:val="1"/>
      <w:numFmt w:val="bullet"/>
      <w:lvlText w:val=""/>
      <w:lvlJc w:val="left"/>
      <w:pPr>
        <w:ind w:left="720" w:hanging="180"/>
      </w:pPr>
      <w:rPr>
        <w:rFonts w:ascii="Symbol" w:hAnsi="Symbol" w:hint="default"/>
      </w:rPr>
    </w:lvl>
    <w:lvl w:ilvl="1" w:tplc="5BA68C10">
      <w:numFmt w:val="decimal"/>
      <w:lvlText w:val=""/>
      <w:lvlJc w:val="left"/>
    </w:lvl>
    <w:lvl w:ilvl="2" w:tplc="DCB21CCE">
      <w:numFmt w:val="decimal"/>
      <w:lvlText w:val=""/>
      <w:lvlJc w:val="left"/>
    </w:lvl>
    <w:lvl w:ilvl="3" w:tplc="5F106930">
      <w:numFmt w:val="decimal"/>
      <w:lvlText w:val=""/>
      <w:lvlJc w:val="left"/>
    </w:lvl>
    <w:lvl w:ilvl="4" w:tplc="D990E9A4">
      <w:numFmt w:val="decimal"/>
      <w:lvlText w:val=""/>
      <w:lvlJc w:val="left"/>
    </w:lvl>
    <w:lvl w:ilvl="5" w:tplc="E9D2A2E2">
      <w:numFmt w:val="decimal"/>
      <w:lvlText w:val=""/>
      <w:lvlJc w:val="left"/>
    </w:lvl>
    <w:lvl w:ilvl="6" w:tplc="22E2B536">
      <w:numFmt w:val="decimal"/>
      <w:lvlText w:val=""/>
      <w:lvlJc w:val="left"/>
    </w:lvl>
    <w:lvl w:ilvl="7" w:tplc="8BB056A4">
      <w:numFmt w:val="decimal"/>
      <w:lvlText w:val=""/>
      <w:lvlJc w:val="left"/>
    </w:lvl>
    <w:lvl w:ilvl="8" w:tplc="4A1EAED4">
      <w:numFmt w:val="decimal"/>
      <w:lvlText w:val=""/>
      <w:lvlJc w:val="left"/>
    </w:lvl>
  </w:abstractNum>
  <w:abstractNum w:abstractNumId="619" w15:restartNumberingAfterBreak="0">
    <w:nsid w:val="433B6678"/>
    <w:multiLevelType w:val="hybridMultilevel"/>
    <w:tmpl w:val="8F7C0314"/>
    <w:lvl w:ilvl="0" w:tplc="68B2F8EC">
      <w:start w:val="1"/>
      <w:numFmt w:val="bullet"/>
      <w:lvlText w:val=""/>
      <w:lvlJc w:val="left"/>
      <w:pPr>
        <w:ind w:left="720" w:hanging="180"/>
      </w:pPr>
      <w:rPr>
        <w:rFonts w:ascii="Symbol" w:hAnsi="Symbol" w:hint="default"/>
      </w:rPr>
    </w:lvl>
    <w:lvl w:ilvl="1" w:tplc="207ED894">
      <w:numFmt w:val="decimal"/>
      <w:lvlText w:val=""/>
      <w:lvlJc w:val="left"/>
    </w:lvl>
    <w:lvl w:ilvl="2" w:tplc="4F26C180">
      <w:numFmt w:val="decimal"/>
      <w:lvlText w:val=""/>
      <w:lvlJc w:val="left"/>
    </w:lvl>
    <w:lvl w:ilvl="3" w:tplc="D4B49940">
      <w:numFmt w:val="decimal"/>
      <w:lvlText w:val=""/>
      <w:lvlJc w:val="left"/>
    </w:lvl>
    <w:lvl w:ilvl="4" w:tplc="D8388EE6">
      <w:numFmt w:val="decimal"/>
      <w:lvlText w:val=""/>
      <w:lvlJc w:val="left"/>
    </w:lvl>
    <w:lvl w:ilvl="5" w:tplc="97CCF8BC">
      <w:numFmt w:val="decimal"/>
      <w:lvlText w:val=""/>
      <w:lvlJc w:val="left"/>
    </w:lvl>
    <w:lvl w:ilvl="6" w:tplc="FE4A1D14">
      <w:numFmt w:val="decimal"/>
      <w:lvlText w:val=""/>
      <w:lvlJc w:val="left"/>
    </w:lvl>
    <w:lvl w:ilvl="7" w:tplc="0B5E6CD4">
      <w:numFmt w:val="decimal"/>
      <w:lvlText w:val=""/>
      <w:lvlJc w:val="left"/>
    </w:lvl>
    <w:lvl w:ilvl="8" w:tplc="92FE7DE0">
      <w:numFmt w:val="decimal"/>
      <w:lvlText w:val=""/>
      <w:lvlJc w:val="left"/>
    </w:lvl>
  </w:abstractNum>
  <w:abstractNum w:abstractNumId="620" w15:restartNumberingAfterBreak="0">
    <w:nsid w:val="43427ABE"/>
    <w:multiLevelType w:val="hybridMultilevel"/>
    <w:tmpl w:val="5B04065E"/>
    <w:lvl w:ilvl="0" w:tplc="B8D66F12">
      <w:start w:val="1"/>
      <w:numFmt w:val="bullet"/>
      <w:lvlText w:val=""/>
      <w:lvlJc w:val="left"/>
      <w:pPr>
        <w:ind w:left="720" w:hanging="180"/>
      </w:pPr>
      <w:rPr>
        <w:rFonts w:ascii="Symbol" w:hAnsi="Symbol" w:hint="default"/>
      </w:rPr>
    </w:lvl>
    <w:lvl w:ilvl="1" w:tplc="88E65A68">
      <w:numFmt w:val="decimal"/>
      <w:lvlText w:val=""/>
      <w:lvlJc w:val="left"/>
    </w:lvl>
    <w:lvl w:ilvl="2" w:tplc="D9D415FA">
      <w:numFmt w:val="decimal"/>
      <w:lvlText w:val=""/>
      <w:lvlJc w:val="left"/>
    </w:lvl>
    <w:lvl w:ilvl="3" w:tplc="9EA80828">
      <w:numFmt w:val="decimal"/>
      <w:lvlText w:val=""/>
      <w:lvlJc w:val="left"/>
    </w:lvl>
    <w:lvl w:ilvl="4" w:tplc="56E4046E">
      <w:numFmt w:val="decimal"/>
      <w:lvlText w:val=""/>
      <w:lvlJc w:val="left"/>
    </w:lvl>
    <w:lvl w:ilvl="5" w:tplc="3F920FD8">
      <w:numFmt w:val="decimal"/>
      <w:lvlText w:val=""/>
      <w:lvlJc w:val="left"/>
    </w:lvl>
    <w:lvl w:ilvl="6" w:tplc="1ABE4DBA">
      <w:numFmt w:val="decimal"/>
      <w:lvlText w:val=""/>
      <w:lvlJc w:val="left"/>
    </w:lvl>
    <w:lvl w:ilvl="7" w:tplc="531A5EA4">
      <w:numFmt w:val="decimal"/>
      <w:lvlText w:val=""/>
      <w:lvlJc w:val="left"/>
    </w:lvl>
    <w:lvl w:ilvl="8" w:tplc="1EB2F8C8">
      <w:numFmt w:val="decimal"/>
      <w:lvlText w:val=""/>
      <w:lvlJc w:val="left"/>
    </w:lvl>
  </w:abstractNum>
  <w:abstractNum w:abstractNumId="621" w15:restartNumberingAfterBreak="0">
    <w:nsid w:val="4347403F"/>
    <w:multiLevelType w:val="hybridMultilevel"/>
    <w:tmpl w:val="C88299BC"/>
    <w:lvl w:ilvl="0" w:tplc="68061BD0">
      <w:start w:val="1"/>
      <w:numFmt w:val="bullet"/>
      <w:lvlText w:val=""/>
      <w:lvlJc w:val="left"/>
      <w:pPr>
        <w:ind w:left="720" w:hanging="180"/>
      </w:pPr>
      <w:rPr>
        <w:rFonts w:ascii="Symbol" w:hAnsi="Symbol" w:hint="default"/>
      </w:rPr>
    </w:lvl>
    <w:lvl w:ilvl="1" w:tplc="6D46B5FC">
      <w:numFmt w:val="decimal"/>
      <w:lvlText w:val=""/>
      <w:lvlJc w:val="left"/>
    </w:lvl>
    <w:lvl w:ilvl="2" w:tplc="0E9252BE">
      <w:numFmt w:val="decimal"/>
      <w:lvlText w:val=""/>
      <w:lvlJc w:val="left"/>
    </w:lvl>
    <w:lvl w:ilvl="3" w:tplc="C5DAF282">
      <w:numFmt w:val="decimal"/>
      <w:lvlText w:val=""/>
      <w:lvlJc w:val="left"/>
    </w:lvl>
    <w:lvl w:ilvl="4" w:tplc="032C1C24">
      <w:numFmt w:val="decimal"/>
      <w:lvlText w:val=""/>
      <w:lvlJc w:val="left"/>
    </w:lvl>
    <w:lvl w:ilvl="5" w:tplc="060EABF0">
      <w:numFmt w:val="decimal"/>
      <w:lvlText w:val=""/>
      <w:lvlJc w:val="left"/>
    </w:lvl>
    <w:lvl w:ilvl="6" w:tplc="92ECFC38">
      <w:numFmt w:val="decimal"/>
      <w:lvlText w:val=""/>
      <w:lvlJc w:val="left"/>
    </w:lvl>
    <w:lvl w:ilvl="7" w:tplc="B002ADCE">
      <w:numFmt w:val="decimal"/>
      <w:lvlText w:val=""/>
      <w:lvlJc w:val="left"/>
    </w:lvl>
    <w:lvl w:ilvl="8" w:tplc="679E8EB4">
      <w:numFmt w:val="decimal"/>
      <w:lvlText w:val=""/>
      <w:lvlJc w:val="left"/>
    </w:lvl>
  </w:abstractNum>
  <w:abstractNum w:abstractNumId="622" w15:restartNumberingAfterBreak="0">
    <w:nsid w:val="43514CEF"/>
    <w:multiLevelType w:val="hybridMultilevel"/>
    <w:tmpl w:val="8A1A7960"/>
    <w:lvl w:ilvl="0" w:tplc="FD8A1E40">
      <w:start w:val="1"/>
      <w:numFmt w:val="bullet"/>
      <w:lvlText w:val=""/>
      <w:lvlJc w:val="left"/>
      <w:pPr>
        <w:ind w:left="720" w:hanging="180"/>
      </w:pPr>
      <w:rPr>
        <w:rFonts w:ascii="Symbol" w:hAnsi="Symbol" w:hint="default"/>
      </w:rPr>
    </w:lvl>
    <w:lvl w:ilvl="1" w:tplc="CC74F594">
      <w:numFmt w:val="decimal"/>
      <w:lvlText w:val=""/>
      <w:lvlJc w:val="left"/>
    </w:lvl>
    <w:lvl w:ilvl="2" w:tplc="B31E2D70">
      <w:numFmt w:val="decimal"/>
      <w:lvlText w:val=""/>
      <w:lvlJc w:val="left"/>
    </w:lvl>
    <w:lvl w:ilvl="3" w:tplc="90BA9600">
      <w:numFmt w:val="decimal"/>
      <w:lvlText w:val=""/>
      <w:lvlJc w:val="left"/>
    </w:lvl>
    <w:lvl w:ilvl="4" w:tplc="F50ECE5A">
      <w:numFmt w:val="decimal"/>
      <w:lvlText w:val=""/>
      <w:lvlJc w:val="left"/>
    </w:lvl>
    <w:lvl w:ilvl="5" w:tplc="D390C47A">
      <w:numFmt w:val="decimal"/>
      <w:lvlText w:val=""/>
      <w:lvlJc w:val="left"/>
    </w:lvl>
    <w:lvl w:ilvl="6" w:tplc="364E96C2">
      <w:numFmt w:val="decimal"/>
      <w:lvlText w:val=""/>
      <w:lvlJc w:val="left"/>
    </w:lvl>
    <w:lvl w:ilvl="7" w:tplc="20A0E3A4">
      <w:numFmt w:val="decimal"/>
      <w:lvlText w:val=""/>
      <w:lvlJc w:val="left"/>
    </w:lvl>
    <w:lvl w:ilvl="8" w:tplc="BBBA810E">
      <w:numFmt w:val="decimal"/>
      <w:lvlText w:val=""/>
      <w:lvlJc w:val="left"/>
    </w:lvl>
  </w:abstractNum>
  <w:abstractNum w:abstractNumId="623" w15:restartNumberingAfterBreak="0">
    <w:nsid w:val="43571C43"/>
    <w:multiLevelType w:val="hybridMultilevel"/>
    <w:tmpl w:val="C986A4CE"/>
    <w:lvl w:ilvl="0" w:tplc="119CD70A">
      <w:start w:val="1"/>
      <w:numFmt w:val="bullet"/>
      <w:lvlText w:val=""/>
      <w:lvlJc w:val="left"/>
      <w:pPr>
        <w:ind w:left="720" w:hanging="180"/>
      </w:pPr>
      <w:rPr>
        <w:rFonts w:ascii="Symbol" w:hAnsi="Symbol" w:hint="default"/>
      </w:rPr>
    </w:lvl>
    <w:lvl w:ilvl="1" w:tplc="17404C92">
      <w:numFmt w:val="decimal"/>
      <w:lvlText w:val=""/>
      <w:lvlJc w:val="left"/>
    </w:lvl>
    <w:lvl w:ilvl="2" w:tplc="CD2C8572">
      <w:numFmt w:val="decimal"/>
      <w:lvlText w:val=""/>
      <w:lvlJc w:val="left"/>
    </w:lvl>
    <w:lvl w:ilvl="3" w:tplc="01AC8EB8">
      <w:numFmt w:val="decimal"/>
      <w:lvlText w:val=""/>
      <w:lvlJc w:val="left"/>
    </w:lvl>
    <w:lvl w:ilvl="4" w:tplc="B3BA799C">
      <w:numFmt w:val="decimal"/>
      <w:lvlText w:val=""/>
      <w:lvlJc w:val="left"/>
    </w:lvl>
    <w:lvl w:ilvl="5" w:tplc="C0C283C0">
      <w:numFmt w:val="decimal"/>
      <w:lvlText w:val=""/>
      <w:lvlJc w:val="left"/>
    </w:lvl>
    <w:lvl w:ilvl="6" w:tplc="D742A100">
      <w:numFmt w:val="decimal"/>
      <w:lvlText w:val=""/>
      <w:lvlJc w:val="left"/>
    </w:lvl>
    <w:lvl w:ilvl="7" w:tplc="F5D8FC30">
      <w:numFmt w:val="decimal"/>
      <w:lvlText w:val=""/>
      <w:lvlJc w:val="left"/>
    </w:lvl>
    <w:lvl w:ilvl="8" w:tplc="49F46648">
      <w:numFmt w:val="decimal"/>
      <w:lvlText w:val=""/>
      <w:lvlJc w:val="left"/>
    </w:lvl>
  </w:abstractNum>
  <w:abstractNum w:abstractNumId="624" w15:restartNumberingAfterBreak="0">
    <w:nsid w:val="438C2648"/>
    <w:multiLevelType w:val="hybridMultilevel"/>
    <w:tmpl w:val="814CB538"/>
    <w:lvl w:ilvl="0" w:tplc="B61A909C">
      <w:start w:val="1"/>
      <w:numFmt w:val="bullet"/>
      <w:lvlText w:val=""/>
      <w:lvlJc w:val="left"/>
      <w:pPr>
        <w:ind w:left="720" w:hanging="180"/>
      </w:pPr>
      <w:rPr>
        <w:rFonts w:ascii="Symbol" w:hAnsi="Symbol" w:hint="default"/>
      </w:rPr>
    </w:lvl>
    <w:lvl w:ilvl="1" w:tplc="399A12D2">
      <w:numFmt w:val="decimal"/>
      <w:lvlText w:val=""/>
      <w:lvlJc w:val="left"/>
    </w:lvl>
    <w:lvl w:ilvl="2" w:tplc="750CAA22">
      <w:numFmt w:val="decimal"/>
      <w:lvlText w:val=""/>
      <w:lvlJc w:val="left"/>
    </w:lvl>
    <w:lvl w:ilvl="3" w:tplc="82C65E56">
      <w:numFmt w:val="decimal"/>
      <w:lvlText w:val=""/>
      <w:lvlJc w:val="left"/>
    </w:lvl>
    <w:lvl w:ilvl="4" w:tplc="7966C386">
      <w:numFmt w:val="decimal"/>
      <w:lvlText w:val=""/>
      <w:lvlJc w:val="left"/>
    </w:lvl>
    <w:lvl w:ilvl="5" w:tplc="618CAAB6">
      <w:numFmt w:val="decimal"/>
      <w:lvlText w:val=""/>
      <w:lvlJc w:val="left"/>
    </w:lvl>
    <w:lvl w:ilvl="6" w:tplc="A1C0B502">
      <w:numFmt w:val="decimal"/>
      <w:lvlText w:val=""/>
      <w:lvlJc w:val="left"/>
    </w:lvl>
    <w:lvl w:ilvl="7" w:tplc="B3625B20">
      <w:numFmt w:val="decimal"/>
      <w:lvlText w:val=""/>
      <w:lvlJc w:val="left"/>
    </w:lvl>
    <w:lvl w:ilvl="8" w:tplc="4B8C88A6">
      <w:numFmt w:val="decimal"/>
      <w:lvlText w:val=""/>
      <w:lvlJc w:val="left"/>
    </w:lvl>
  </w:abstractNum>
  <w:abstractNum w:abstractNumId="625" w15:restartNumberingAfterBreak="0">
    <w:nsid w:val="438D488E"/>
    <w:multiLevelType w:val="hybridMultilevel"/>
    <w:tmpl w:val="585E7FE2"/>
    <w:lvl w:ilvl="0" w:tplc="9AD2E190">
      <w:start w:val="1"/>
      <w:numFmt w:val="bullet"/>
      <w:lvlText w:val=""/>
      <w:lvlJc w:val="left"/>
      <w:pPr>
        <w:ind w:left="720" w:hanging="180"/>
      </w:pPr>
      <w:rPr>
        <w:rFonts w:ascii="Symbol" w:hAnsi="Symbol" w:hint="default"/>
      </w:rPr>
    </w:lvl>
    <w:lvl w:ilvl="1" w:tplc="029437E4">
      <w:numFmt w:val="decimal"/>
      <w:lvlText w:val=""/>
      <w:lvlJc w:val="left"/>
    </w:lvl>
    <w:lvl w:ilvl="2" w:tplc="AF42F5CA">
      <w:numFmt w:val="decimal"/>
      <w:lvlText w:val=""/>
      <w:lvlJc w:val="left"/>
    </w:lvl>
    <w:lvl w:ilvl="3" w:tplc="FD7055F6">
      <w:numFmt w:val="decimal"/>
      <w:lvlText w:val=""/>
      <w:lvlJc w:val="left"/>
    </w:lvl>
    <w:lvl w:ilvl="4" w:tplc="52E22B2C">
      <w:numFmt w:val="decimal"/>
      <w:lvlText w:val=""/>
      <w:lvlJc w:val="left"/>
    </w:lvl>
    <w:lvl w:ilvl="5" w:tplc="7E9243D6">
      <w:numFmt w:val="decimal"/>
      <w:lvlText w:val=""/>
      <w:lvlJc w:val="left"/>
    </w:lvl>
    <w:lvl w:ilvl="6" w:tplc="B3F2E51A">
      <w:numFmt w:val="decimal"/>
      <w:lvlText w:val=""/>
      <w:lvlJc w:val="left"/>
    </w:lvl>
    <w:lvl w:ilvl="7" w:tplc="9544F15A">
      <w:numFmt w:val="decimal"/>
      <w:lvlText w:val=""/>
      <w:lvlJc w:val="left"/>
    </w:lvl>
    <w:lvl w:ilvl="8" w:tplc="D36C4D2C">
      <w:numFmt w:val="decimal"/>
      <w:lvlText w:val=""/>
      <w:lvlJc w:val="left"/>
    </w:lvl>
  </w:abstractNum>
  <w:abstractNum w:abstractNumId="626" w15:restartNumberingAfterBreak="0">
    <w:nsid w:val="439A258D"/>
    <w:multiLevelType w:val="hybridMultilevel"/>
    <w:tmpl w:val="B442B7F6"/>
    <w:lvl w:ilvl="0" w:tplc="E16ED66A">
      <w:start w:val="1"/>
      <w:numFmt w:val="bullet"/>
      <w:lvlText w:val=""/>
      <w:lvlJc w:val="left"/>
      <w:pPr>
        <w:ind w:left="720" w:hanging="180"/>
      </w:pPr>
      <w:rPr>
        <w:rFonts w:ascii="Symbol" w:hAnsi="Symbol" w:hint="default"/>
      </w:rPr>
    </w:lvl>
    <w:lvl w:ilvl="1" w:tplc="28967808">
      <w:numFmt w:val="decimal"/>
      <w:lvlText w:val=""/>
      <w:lvlJc w:val="left"/>
    </w:lvl>
    <w:lvl w:ilvl="2" w:tplc="52E0D986">
      <w:numFmt w:val="decimal"/>
      <w:lvlText w:val=""/>
      <w:lvlJc w:val="left"/>
    </w:lvl>
    <w:lvl w:ilvl="3" w:tplc="78F0E9FC">
      <w:numFmt w:val="decimal"/>
      <w:lvlText w:val=""/>
      <w:lvlJc w:val="left"/>
    </w:lvl>
    <w:lvl w:ilvl="4" w:tplc="068C9A74">
      <w:numFmt w:val="decimal"/>
      <w:lvlText w:val=""/>
      <w:lvlJc w:val="left"/>
    </w:lvl>
    <w:lvl w:ilvl="5" w:tplc="F4BEDA58">
      <w:numFmt w:val="decimal"/>
      <w:lvlText w:val=""/>
      <w:lvlJc w:val="left"/>
    </w:lvl>
    <w:lvl w:ilvl="6" w:tplc="0C80012E">
      <w:numFmt w:val="decimal"/>
      <w:lvlText w:val=""/>
      <w:lvlJc w:val="left"/>
    </w:lvl>
    <w:lvl w:ilvl="7" w:tplc="837CC3CC">
      <w:numFmt w:val="decimal"/>
      <w:lvlText w:val=""/>
      <w:lvlJc w:val="left"/>
    </w:lvl>
    <w:lvl w:ilvl="8" w:tplc="0AEEBD8C">
      <w:numFmt w:val="decimal"/>
      <w:lvlText w:val=""/>
      <w:lvlJc w:val="left"/>
    </w:lvl>
  </w:abstractNum>
  <w:abstractNum w:abstractNumId="627" w15:restartNumberingAfterBreak="0">
    <w:nsid w:val="43A00E00"/>
    <w:multiLevelType w:val="hybridMultilevel"/>
    <w:tmpl w:val="82D22A3C"/>
    <w:lvl w:ilvl="0" w:tplc="CF22D160">
      <w:start w:val="1"/>
      <w:numFmt w:val="decimal"/>
      <w:lvlText w:val="%1."/>
      <w:lvlJc w:val="left"/>
      <w:pPr>
        <w:ind w:left="720" w:hanging="270"/>
      </w:pPr>
    </w:lvl>
    <w:lvl w:ilvl="1" w:tplc="0BF4EF4E">
      <w:numFmt w:val="decimal"/>
      <w:lvlText w:val=""/>
      <w:lvlJc w:val="left"/>
    </w:lvl>
    <w:lvl w:ilvl="2" w:tplc="32F89A36">
      <w:numFmt w:val="decimal"/>
      <w:lvlText w:val=""/>
      <w:lvlJc w:val="left"/>
    </w:lvl>
    <w:lvl w:ilvl="3" w:tplc="ACA00258">
      <w:numFmt w:val="decimal"/>
      <w:lvlText w:val=""/>
      <w:lvlJc w:val="left"/>
    </w:lvl>
    <w:lvl w:ilvl="4" w:tplc="2D905644">
      <w:numFmt w:val="decimal"/>
      <w:lvlText w:val=""/>
      <w:lvlJc w:val="left"/>
    </w:lvl>
    <w:lvl w:ilvl="5" w:tplc="0888B234">
      <w:numFmt w:val="decimal"/>
      <w:lvlText w:val=""/>
      <w:lvlJc w:val="left"/>
    </w:lvl>
    <w:lvl w:ilvl="6" w:tplc="EAA205FA">
      <w:numFmt w:val="decimal"/>
      <w:lvlText w:val=""/>
      <w:lvlJc w:val="left"/>
    </w:lvl>
    <w:lvl w:ilvl="7" w:tplc="A87C51FA">
      <w:numFmt w:val="decimal"/>
      <w:lvlText w:val=""/>
      <w:lvlJc w:val="left"/>
    </w:lvl>
    <w:lvl w:ilvl="8" w:tplc="697E9B36">
      <w:numFmt w:val="decimal"/>
      <w:lvlText w:val=""/>
      <w:lvlJc w:val="left"/>
    </w:lvl>
  </w:abstractNum>
  <w:abstractNum w:abstractNumId="628" w15:restartNumberingAfterBreak="0">
    <w:nsid w:val="43BC33A1"/>
    <w:multiLevelType w:val="hybridMultilevel"/>
    <w:tmpl w:val="C8EE0460"/>
    <w:lvl w:ilvl="0" w:tplc="5492E25E">
      <w:start w:val="1"/>
      <w:numFmt w:val="bullet"/>
      <w:lvlText w:val=""/>
      <w:lvlJc w:val="left"/>
      <w:pPr>
        <w:ind w:left="720" w:hanging="180"/>
      </w:pPr>
      <w:rPr>
        <w:rFonts w:ascii="Symbol" w:hAnsi="Symbol" w:hint="default"/>
      </w:rPr>
    </w:lvl>
    <w:lvl w:ilvl="1" w:tplc="BBBEF4D2">
      <w:numFmt w:val="decimal"/>
      <w:lvlText w:val=""/>
      <w:lvlJc w:val="left"/>
    </w:lvl>
    <w:lvl w:ilvl="2" w:tplc="CCD4894E">
      <w:numFmt w:val="decimal"/>
      <w:lvlText w:val=""/>
      <w:lvlJc w:val="left"/>
    </w:lvl>
    <w:lvl w:ilvl="3" w:tplc="EE42003E">
      <w:numFmt w:val="decimal"/>
      <w:lvlText w:val=""/>
      <w:lvlJc w:val="left"/>
    </w:lvl>
    <w:lvl w:ilvl="4" w:tplc="BC34B902">
      <w:numFmt w:val="decimal"/>
      <w:lvlText w:val=""/>
      <w:lvlJc w:val="left"/>
    </w:lvl>
    <w:lvl w:ilvl="5" w:tplc="2A569D14">
      <w:numFmt w:val="decimal"/>
      <w:lvlText w:val=""/>
      <w:lvlJc w:val="left"/>
    </w:lvl>
    <w:lvl w:ilvl="6" w:tplc="75A82E82">
      <w:numFmt w:val="decimal"/>
      <w:lvlText w:val=""/>
      <w:lvlJc w:val="left"/>
    </w:lvl>
    <w:lvl w:ilvl="7" w:tplc="7FF0C032">
      <w:numFmt w:val="decimal"/>
      <w:lvlText w:val=""/>
      <w:lvlJc w:val="left"/>
    </w:lvl>
    <w:lvl w:ilvl="8" w:tplc="D11A54B0">
      <w:numFmt w:val="decimal"/>
      <w:lvlText w:val=""/>
      <w:lvlJc w:val="left"/>
    </w:lvl>
  </w:abstractNum>
  <w:abstractNum w:abstractNumId="629" w15:restartNumberingAfterBreak="0">
    <w:nsid w:val="43F423C5"/>
    <w:multiLevelType w:val="hybridMultilevel"/>
    <w:tmpl w:val="DC0C4E76"/>
    <w:lvl w:ilvl="0" w:tplc="6C624F74">
      <w:start w:val="1"/>
      <w:numFmt w:val="bullet"/>
      <w:lvlText w:val=""/>
      <w:lvlJc w:val="left"/>
      <w:pPr>
        <w:ind w:left="720" w:hanging="180"/>
      </w:pPr>
      <w:rPr>
        <w:rFonts w:ascii="Symbol" w:hAnsi="Symbol" w:hint="default"/>
      </w:rPr>
    </w:lvl>
    <w:lvl w:ilvl="1" w:tplc="7E20FAB4">
      <w:numFmt w:val="decimal"/>
      <w:lvlText w:val=""/>
      <w:lvlJc w:val="left"/>
    </w:lvl>
    <w:lvl w:ilvl="2" w:tplc="8C3C493A">
      <w:numFmt w:val="decimal"/>
      <w:lvlText w:val=""/>
      <w:lvlJc w:val="left"/>
    </w:lvl>
    <w:lvl w:ilvl="3" w:tplc="AF1E81C8">
      <w:numFmt w:val="decimal"/>
      <w:lvlText w:val=""/>
      <w:lvlJc w:val="left"/>
    </w:lvl>
    <w:lvl w:ilvl="4" w:tplc="4F968068">
      <w:numFmt w:val="decimal"/>
      <w:lvlText w:val=""/>
      <w:lvlJc w:val="left"/>
    </w:lvl>
    <w:lvl w:ilvl="5" w:tplc="ABA45AD4">
      <w:numFmt w:val="decimal"/>
      <w:lvlText w:val=""/>
      <w:lvlJc w:val="left"/>
    </w:lvl>
    <w:lvl w:ilvl="6" w:tplc="DEA034B4">
      <w:numFmt w:val="decimal"/>
      <w:lvlText w:val=""/>
      <w:lvlJc w:val="left"/>
    </w:lvl>
    <w:lvl w:ilvl="7" w:tplc="4B8234BA">
      <w:numFmt w:val="decimal"/>
      <w:lvlText w:val=""/>
      <w:lvlJc w:val="left"/>
    </w:lvl>
    <w:lvl w:ilvl="8" w:tplc="54CA2D72">
      <w:numFmt w:val="decimal"/>
      <w:lvlText w:val=""/>
      <w:lvlJc w:val="left"/>
    </w:lvl>
  </w:abstractNum>
  <w:abstractNum w:abstractNumId="630" w15:restartNumberingAfterBreak="0">
    <w:nsid w:val="446E7228"/>
    <w:multiLevelType w:val="hybridMultilevel"/>
    <w:tmpl w:val="814A8378"/>
    <w:lvl w:ilvl="0" w:tplc="12DA898A">
      <w:start w:val="1"/>
      <w:numFmt w:val="bullet"/>
      <w:lvlText w:val=""/>
      <w:lvlJc w:val="left"/>
      <w:pPr>
        <w:ind w:left="720" w:hanging="180"/>
      </w:pPr>
      <w:rPr>
        <w:rFonts w:ascii="Symbol" w:hAnsi="Symbol" w:hint="default"/>
      </w:rPr>
    </w:lvl>
    <w:lvl w:ilvl="1" w:tplc="15664E52">
      <w:numFmt w:val="decimal"/>
      <w:lvlText w:val=""/>
      <w:lvlJc w:val="left"/>
    </w:lvl>
    <w:lvl w:ilvl="2" w:tplc="FFA28130">
      <w:numFmt w:val="decimal"/>
      <w:lvlText w:val=""/>
      <w:lvlJc w:val="left"/>
    </w:lvl>
    <w:lvl w:ilvl="3" w:tplc="6F4E92AE">
      <w:numFmt w:val="decimal"/>
      <w:lvlText w:val=""/>
      <w:lvlJc w:val="left"/>
    </w:lvl>
    <w:lvl w:ilvl="4" w:tplc="B3BCA4CA">
      <w:numFmt w:val="decimal"/>
      <w:lvlText w:val=""/>
      <w:lvlJc w:val="left"/>
    </w:lvl>
    <w:lvl w:ilvl="5" w:tplc="85D250AA">
      <w:numFmt w:val="decimal"/>
      <w:lvlText w:val=""/>
      <w:lvlJc w:val="left"/>
    </w:lvl>
    <w:lvl w:ilvl="6" w:tplc="DD466004">
      <w:numFmt w:val="decimal"/>
      <w:lvlText w:val=""/>
      <w:lvlJc w:val="left"/>
    </w:lvl>
    <w:lvl w:ilvl="7" w:tplc="FC74A570">
      <w:numFmt w:val="decimal"/>
      <w:lvlText w:val=""/>
      <w:lvlJc w:val="left"/>
    </w:lvl>
    <w:lvl w:ilvl="8" w:tplc="4E80F9C0">
      <w:numFmt w:val="decimal"/>
      <w:lvlText w:val=""/>
      <w:lvlJc w:val="left"/>
    </w:lvl>
  </w:abstractNum>
  <w:abstractNum w:abstractNumId="631" w15:restartNumberingAfterBreak="0">
    <w:nsid w:val="447B75D5"/>
    <w:multiLevelType w:val="hybridMultilevel"/>
    <w:tmpl w:val="5D46C5CC"/>
    <w:lvl w:ilvl="0" w:tplc="C49AF5F0">
      <w:start w:val="1"/>
      <w:numFmt w:val="bullet"/>
      <w:lvlText w:val=""/>
      <w:lvlJc w:val="left"/>
      <w:pPr>
        <w:ind w:left="720" w:hanging="180"/>
      </w:pPr>
      <w:rPr>
        <w:rFonts w:ascii="Symbol" w:hAnsi="Symbol" w:hint="default"/>
      </w:rPr>
    </w:lvl>
    <w:lvl w:ilvl="1" w:tplc="B53E8AB8">
      <w:numFmt w:val="decimal"/>
      <w:lvlText w:val=""/>
      <w:lvlJc w:val="left"/>
    </w:lvl>
    <w:lvl w:ilvl="2" w:tplc="4AEA7906">
      <w:numFmt w:val="decimal"/>
      <w:lvlText w:val=""/>
      <w:lvlJc w:val="left"/>
    </w:lvl>
    <w:lvl w:ilvl="3" w:tplc="760E7172">
      <w:numFmt w:val="decimal"/>
      <w:lvlText w:val=""/>
      <w:lvlJc w:val="left"/>
    </w:lvl>
    <w:lvl w:ilvl="4" w:tplc="98DC9772">
      <w:numFmt w:val="decimal"/>
      <w:lvlText w:val=""/>
      <w:lvlJc w:val="left"/>
    </w:lvl>
    <w:lvl w:ilvl="5" w:tplc="8C7021A6">
      <w:numFmt w:val="decimal"/>
      <w:lvlText w:val=""/>
      <w:lvlJc w:val="left"/>
    </w:lvl>
    <w:lvl w:ilvl="6" w:tplc="3E48C90E">
      <w:numFmt w:val="decimal"/>
      <w:lvlText w:val=""/>
      <w:lvlJc w:val="left"/>
    </w:lvl>
    <w:lvl w:ilvl="7" w:tplc="C52CD6DA">
      <w:numFmt w:val="decimal"/>
      <w:lvlText w:val=""/>
      <w:lvlJc w:val="left"/>
    </w:lvl>
    <w:lvl w:ilvl="8" w:tplc="E82093DA">
      <w:numFmt w:val="decimal"/>
      <w:lvlText w:val=""/>
      <w:lvlJc w:val="left"/>
    </w:lvl>
  </w:abstractNum>
  <w:abstractNum w:abstractNumId="632" w15:restartNumberingAfterBreak="0">
    <w:nsid w:val="447F6E1A"/>
    <w:multiLevelType w:val="hybridMultilevel"/>
    <w:tmpl w:val="581C7E2A"/>
    <w:lvl w:ilvl="0" w:tplc="862E18B8">
      <w:start w:val="1"/>
      <w:numFmt w:val="bullet"/>
      <w:lvlText w:val=""/>
      <w:lvlJc w:val="left"/>
      <w:pPr>
        <w:ind w:left="720" w:hanging="180"/>
      </w:pPr>
      <w:rPr>
        <w:rFonts w:ascii="Symbol" w:hAnsi="Symbol" w:hint="default"/>
      </w:rPr>
    </w:lvl>
    <w:lvl w:ilvl="1" w:tplc="9134FC00">
      <w:numFmt w:val="decimal"/>
      <w:lvlText w:val=""/>
      <w:lvlJc w:val="left"/>
    </w:lvl>
    <w:lvl w:ilvl="2" w:tplc="56AC9736">
      <w:numFmt w:val="decimal"/>
      <w:lvlText w:val=""/>
      <w:lvlJc w:val="left"/>
    </w:lvl>
    <w:lvl w:ilvl="3" w:tplc="6DE69F58">
      <w:numFmt w:val="decimal"/>
      <w:lvlText w:val=""/>
      <w:lvlJc w:val="left"/>
    </w:lvl>
    <w:lvl w:ilvl="4" w:tplc="79F298CC">
      <w:numFmt w:val="decimal"/>
      <w:lvlText w:val=""/>
      <w:lvlJc w:val="left"/>
    </w:lvl>
    <w:lvl w:ilvl="5" w:tplc="505437B8">
      <w:numFmt w:val="decimal"/>
      <w:lvlText w:val=""/>
      <w:lvlJc w:val="left"/>
    </w:lvl>
    <w:lvl w:ilvl="6" w:tplc="18D4E2D4">
      <w:numFmt w:val="decimal"/>
      <w:lvlText w:val=""/>
      <w:lvlJc w:val="left"/>
    </w:lvl>
    <w:lvl w:ilvl="7" w:tplc="5FF2388E">
      <w:numFmt w:val="decimal"/>
      <w:lvlText w:val=""/>
      <w:lvlJc w:val="left"/>
    </w:lvl>
    <w:lvl w:ilvl="8" w:tplc="14486284">
      <w:numFmt w:val="decimal"/>
      <w:lvlText w:val=""/>
      <w:lvlJc w:val="left"/>
    </w:lvl>
  </w:abstractNum>
  <w:abstractNum w:abstractNumId="633" w15:restartNumberingAfterBreak="0">
    <w:nsid w:val="449E3263"/>
    <w:multiLevelType w:val="hybridMultilevel"/>
    <w:tmpl w:val="584CC562"/>
    <w:lvl w:ilvl="0" w:tplc="FBCC44C0">
      <w:start w:val="1"/>
      <w:numFmt w:val="bullet"/>
      <w:lvlText w:val=""/>
      <w:lvlJc w:val="left"/>
      <w:pPr>
        <w:ind w:left="720" w:hanging="180"/>
      </w:pPr>
      <w:rPr>
        <w:rFonts w:ascii="Symbol" w:hAnsi="Symbol" w:hint="default"/>
      </w:rPr>
    </w:lvl>
    <w:lvl w:ilvl="1" w:tplc="015A1B60">
      <w:numFmt w:val="decimal"/>
      <w:lvlText w:val=""/>
      <w:lvlJc w:val="left"/>
    </w:lvl>
    <w:lvl w:ilvl="2" w:tplc="A2FC1F3E">
      <w:numFmt w:val="decimal"/>
      <w:lvlText w:val=""/>
      <w:lvlJc w:val="left"/>
    </w:lvl>
    <w:lvl w:ilvl="3" w:tplc="D7EC0436">
      <w:numFmt w:val="decimal"/>
      <w:lvlText w:val=""/>
      <w:lvlJc w:val="left"/>
    </w:lvl>
    <w:lvl w:ilvl="4" w:tplc="F5FE94E2">
      <w:numFmt w:val="decimal"/>
      <w:lvlText w:val=""/>
      <w:lvlJc w:val="left"/>
    </w:lvl>
    <w:lvl w:ilvl="5" w:tplc="23BC5530">
      <w:numFmt w:val="decimal"/>
      <w:lvlText w:val=""/>
      <w:lvlJc w:val="left"/>
    </w:lvl>
    <w:lvl w:ilvl="6" w:tplc="6304F494">
      <w:numFmt w:val="decimal"/>
      <w:lvlText w:val=""/>
      <w:lvlJc w:val="left"/>
    </w:lvl>
    <w:lvl w:ilvl="7" w:tplc="9BE05560">
      <w:numFmt w:val="decimal"/>
      <w:lvlText w:val=""/>
      <w:lvlJc w:val="left"/>
    </w:lvl>
    <w:lvl w:ilvl="8" w:tplc="B0F8BAA0">
      <w:numFmt w:val="decimal"/>
      <w:lvlText w:val=""/>
      <w:lvlJc w:val="left"/>
    </w:lvl>
  </w:abstractNum>
  <w:abstractNum w:abstractNumId="634" w15:restartNumberingAfterBreak="0">
    <w:nsid w:val="44B750D6"/>
    <w:multiLevelType w:val="hybridMultilevel"/>
    <w:tmpl w:val="D180D29C"/>
    <w:lvl w:ilvl="0" w:tplc="20DE28F8">
      <w:start w:val="1"/>
      <w:numFmt w:val="bullet"/>
      <w:lvlText w:val=""/>
      <w:lvlJc w:val="left"/>
      <w:pPr>
        <w:ind w:left="720" w:hanging="180"/>
      </w:pPr>
      <w:rPr>
        <w:rFonts w:ascii="Symbol" w:hAnsi="Symbol" w:hint="default"/>
      </w:rPr>
    </w:lvl>
    <w:lvl w:ilvl="1" w:tplc="2000E336">
      <w:numFmt w:val="decimal"/>
      <w:lvlText w:val=""/>
      <w:lvlJc w:val="left"/>
    </w:lvl>
    <w:lvl w:ilvl="2" w:tplc="4D869F16">
      <w:numFmt w:val="decimal"/>
      <w:lvlText w:val=""/>
      <w:lvlJc w:val="left"/>
    </w:lvl>
    <w:lvl w:ilvl="3" w:tplc="775A4F9A">
      <w:numFmt w:val="decimal"/>
      <w:lvlText w:val=""/>
      <w:lvlJc w:val="left"/>
    </w:lvl>
    <w:lvl w:ilvl="4" w:tplc="59DA8610">
      <w:numFmt w:val="decimal"/>
      <w:lvlText w:val=""/>
      <w:lvlJc w:val="left"/>
    </w:lvl>
    <w:lvl w:ilvl="5" w:tplc="77905F74">
      <w:numFmt w:val="decimal"/>
      <w:lvlText w:val=""/>
      <w:lvlJc w:val="left"/>
    </w:lvl>
    <w:lvl w:ilvl="6" w:tplc="78F60458">
      <w:numFmt w:val="decimal"/>
      <w:lvlText w:val=""/>
      <w:lvlJc w:val="left"/>
    </w:lvl>
    <w:lvl w:ilvl="7" w:tplc="22DA65B6">
      <w:numFmt w:val="decimal"/>
      <w:lvlText w:val=""/>
      <w:lvlJc w:val="left"/>
    </w:lvl>
    <w:lvl w:ilvl="8" w:tplc="4CC6BC7E">
      <w:numFmt w:val="decimal"/>
      <w:lvlText w:val=""/>
      <w:lvlJc w:val="left"/>
    </w:lvl>
  </w:abstractNum>
  <w:abstractNum w:abstractNumId="635" w15:restartNumberingAfterBreak="0">
    <w:nsid w:val="44EC5E89"/>
    <w:multiLevelType w:val="hybridMultilevel"/>
    <w:tmpl w:val="0BE82658"/>
    <w:lvl w:ilvl="0" w:tplc="52BC5820">
      <w:start w:val="1"/>
      <w:numFmt w:val="bullet"/>
      <w:lvlText w:val=""/>
      <w:lvlJc w:val="left"/>
      <w:pPr>
        <w:ind w:left="720" w:hanging="180"/>
      </w:pPr>
      <w:rPr>
        <w:rFonts w:ascii="Symbol" w:hAnsi="Symbol" w:hint="default"/>
      </w:rPr>
    </w:lvl>
    <w:lvl w:ilvl="1" w:tplc="1DFA7B16">
      <w:numFmt w:val="decimal"/>
      <w:lvlText w:val=""/>
      <w:lvlJc w:val="left"/>
    </w:lvl>
    <w:lvl w:ilvl="2" w:tplc="5C56B77A">
      <w:numFmt w:val="decimal"/>
      <w:lvlText w:val=""/>
      <w:lvlJc w:val="left"/>
    </w:lvl>
    <w:lvl w:ilvl="3" w:tplc="444A5E52">
      <w:numFmt w:val="decimal"/>
      <w:lvlText w:val=""/>
      <w:lvlJc w:val="left"/>
    </w:lvl>
    <w:lvl w:ilvl="4" w:tplc="ECDA0110">
      <w:numFmt w:val="decimal"/>
      <w:lvlText w:val=""/>
      <w:lvlJc w:val="left"/>
    </w:lvl>
    <w:lvl w:ilvl="5" w:tplc="216EC196">
      <w:numFmt w:val="decimal"/>
      <w:lvlText w:val=""/>
      <w:lvlJc w:val="left"/>
    </w:lvl>
    <w:lvl w:ilvl="6" w:tplc="28746596">
      <w:numFmt w:val="decimal"/>
      <w:lvlText w:val=""/>
      <w:lvlJc w:val="left"/>
    </w:lvl>
    <w:lvl w:ilvl="7" w:tplc="9E327590">
      <w:numFmt w:val="decimal"/>
      <w:lvlText w:val=""/>
      <w:lvlJc w:val="left"/>
    </w:lvl>
    <w:lvl w:ilvl="8" w:tplc="9926F094">
      <w:numFmt w:val="decimal"/>
      <w:lvlText w:val=""/>
      <w:lvlJc w:val="left"/>
    </w:lvl>
  </w:abstractNum>
  <w:abstractNum w:abstractNumId="636" w15:restartNumberingAfterBreak="0">
    <w:nsid w:val="44FC4944"/>
    <w:multiLevelType w:val="hybridMultilevel"/>
    <w:tmpl w:val="DB863056"/>
    <w:lvl w:ilvl="0" w:tplc="BD16797A">
      <w:start w:val="1"/>
      <w:numFmt w:val="bullet"/>
      <w:lvlText w:val=""/>
      <w:lvlJc w:val="left"/>
      <w:pPr>
        <w:ind w:left="720" w:hanging="180"/>
      </w:pPr>
      <w:rPr>
        <w:rFonts w:ascii="Symbol" w:hAnsi="Symbol" w:hint="default"/>
      </w:rPr>
    </w:lvl>
    <w:lvl w:ilvl="1" w:tplc="A01CEDA6">
      <w:numFmt w:val="decimal"/>
      <w:lvlText w:val=""/>
      <w:lvlJc w:val="left"/>
    </w:lvl>
    <w:lvl w:ilvl="2" w:tplc="99F847B2">
      <w:numFmt w:val="decimal"/>
      <w:lvlText w:val=""/>
      <w:lvlJc w:val="left"/>
    </w:lvl>
    <w:lvl w:ilvl="3" w:tplc="E20430A8">
      <w:numFmt w:val="decimal"/>
      <w:lvlText w:val=""/>
      <w:lvlJc w:val="left"/>
    </w:lvl>
    <w:lvl w:ilvl="4" w:tplc="2DC8D794">
      <w:numFmt w:val="decimal"/>
      <w:lvlText w:val=""/>
      <w:lvlJc w:val="left"/>
    </w:lvl>
    <w:lvl w:ilvl="5" w:tplc="E5EE9212">
      <w:numFmt w:val="decimal"/>
      <w:lvlText w:val=""/>
      <w:lvlJc w:val="left"/>
    </w:lvl>
    <w:lvl w:ilvl="6" w:tplc="5D6EB97E">
      <w:numFmt w:val="decimal"/>
      <w:lvlText w:val=""/>
      <w:lvlJc w:val="left"/>
    </w:lvl>
    <w:lvl w:ilvl="7" w:tplc="C5F6F7BA">
      <w:numFmt w:val="decimal"/>
      <w:lvlText w:val=""/>
      <w:lvlJc w:val="left"/>
    </w:lvl>
    <w:lvl w:ilvl="8" w:tplc="3384C4E4">
      <w:numFmt w:val="decimal"/>
      <w:lvlText w:val=""/>
      <w:lvlJc w:val="left"/>
    </w:lvl>
  </w:abstractNum>
  <w:abstractNum w:abstractNumId="637" w15:restartNumberingAfterBreak="0">
    <w:nsid w:val="45064469"/>
    <w:multiLevelType w:val="hybridMultilevel"/>
    <w:tmpl w:val="600E8142"/>
    <w:lvl w:ilvl="0" w:tplc="55923DAC">
      <w:start w:val="1"/>
      <w:numFmt w:val="bullet"/>
      <w:lvlText w:val=""/>
      <w:lvlJc w:val="left"/>
      <w:pPr>
        <w:ind w:left="720" w:hanging="180"/>
      </w:pPr>
      <w:rPr>
        <w:rFonts w:ascii="Symbol" w:hAnsi="Symbol" w:hint="default"/>
      </w:rPr>
    </w:lvl>
    <w:lvl w:ilvl="1" w:tplc="5FEAFF38">
      <w:numFmt w:val="decimal"/>
      <w:lvlText w:val=""/>
      <w:lvlJc w:val="left"/>
    </w:lvl>
    <w:lvl w:ilvl="2" w:tplc="B170A6E0">
      <w:numFmt w:val="decimal"/>
      <w:lvlText w:val=""/>
      <w:lvlJc w:val="left"/>
    </w:lvl>
    <w:lvl w:ilvl="3" w:tplc="55AE66DA">
      <w:numFmt w:val="decimal"/>
      <w:lvlText w:val=""/>
      <w:lvlJc w:val="left"/>
    </w:lvl>
    <w:lvl w:ilvl="4" w:tplc="20E42804">
      <w:numFmt w:val="decimal"/>
      <w:lvlText w:val=""/>
      <w:lvlJc w:val="left"/>
    </w:lvl>
    <w:lvl w:ilvl="5" w:tplc="7D2A3FAE">
      <w:numFmt w:val="decimal"/>
      <w:lvlText w:val=""/>
      <w:lvlJc w:val="left"/>
    </w:lvl>
    <w:lvl w:ilvl="6" w:tplc="6F988A32">
      <w:numFmt w:val="decimal"/>
      <w:lvlText w:val=""/>
      <w:lvlJc w:val="left"/>
    </w:lvl>
    <w:lvl w:ilvl="7" w:tplc="1C66ED44">
      <w:numFmt w:val="decimal"/>
      <w:lvlText w:val=""/>
      <w:lvlJc w:val="left"/>
    </w:lvl>
    <w:lvl w:ilvl="8" w:tplc="F2288B6A">
      <w:numFmt w:val="decimal"/>
      <w:lvlText w:val=""/>
      <w:lvlJc w:val="left"/>
    </w:lvl>
  </w:abstractNum>
  <w:abstractNum w:abstractNumId="638" w15:restartNumberingAfterBreak="0">
    <w:nsid w:val="45175539"/>
    <w:multiLevelType w:val="hybridMultilevel"/>
    <w:tmpl w:val="676E3F6C"/>
    <w:lvl w:ilvl="0" w:tplc="80B4F5DE">
      <w:start w:val="1"/>
      <w:numFmt w:val="bullet"/>
      <w:lvlText w:val=""/>
      <w:lvlJc w:val="left"/>
      <w:pPr>
        <w:ind w:left="720" w:hanging="180"/>
      </w:pPr>
      <w:rPr>
        <w:rFonts w:ascii="Symbol" w:hAnsi="Symbol" w:hint="default"/>
      </w:rPr>
    </w:lvl>
    <w:lvl w:ilvl="1" w:tplc="D004BBB8">
      <w:numFmt w:val="decimal"/>
      <w:lvlText w:val=""/>
      <w:lvlJc w:val="left"/>
    </w:lvl>
    <w:lvl w:ilvl="2" w:tplc="F78A1B2A">
      <w:numFmt w:val="decimal"/>
      <w:lvlText w:val=""/>
      <w:lvlJc w:val="left"/>
    </w:lvl>
    <w:lvl w:ilvl="3" w:tplc="916A33C4">
      <w:numFmt w:val="decimal"/>
      <w:lvlText w:val=""/>
      <w:lvlJc w:val="left"/>
    </w:lvl>
    <w:lvl w:ilvl="4" w:tplc="6AB07360">
      <w:numFmt w:val="decimal"/>
      <w:lvlText w:val=""/>
      <w:lvlJc w:val="left"/>
    </w:lvl>
    <w:lvl w:ilvl="5" w:tplc="919E0454">
      <w:numFmt w:val="decimal"/>
      <w:lvlText w:val=""/>
      <w:lvlJc w:val="left"/>
    </w:lvl>
    <w:lvl w:ilvl="6" w:tplc="7CAEA456">
      <w:numFmt w:val="decimal"/>
      <w:lvlText w:val=""/>
      <w:lvlJc w:val="left"/>
    </w:lvl>
    <w:lvl w:ilvl="7" w:tplc="F1169DDE">
      <w:numFmt w:val="decimal"/>
      <w:lvlText w:val=""/>
      <w:lvlJc w:val="left"/>
    </w:lvl>
    <w:lvl w:ilvl="8" w:tplc="DD8E1596">
      <w:numFmt w:val="decimal"/>
      <w:lvlText w:val=""/>
      <w:lvlJc w:val="left"/>
    </w:lvl>
  </w:abstractNum>
  <w:abstractNum w:abstractNumId="639" w15:restartNumberingAfterBreak="0">
    <w:nsid w:val="45244A56"/>
    <w:multiLevelType w:val="hybridMultilevel"/>
    <w:tmpl w:val="1F5C917E"/>
    <w:lvl w:ilvl="0" w:tplc="1E088846">
      <w:start w:val="1"/>
      <w:numFmt w:val="bullet"/>
      <w:lvlText w:val=""/>
      <w:lvlJc w:val="left"/>
      <w:pPr>
        <w:ind w:left="720" w:hanging="180"/>
      </w:pPr>
      <w:rPr>
        <w:rFonts w:ascii="Symbol" w:hAnsi="Symbol" w:hint="default"/>
      </w:rPr>
    </w:lvl>
    <w:lvl w:ilvl="1" w:tplc="863E74F2">
      <w:numFmt w:val="decimal"/>
      <w:lvlText w:val=""/>
      <w:lvlJc w:val="left"/>
    </w:lvl>
    <w:lvl w:ilvl="2" w:tplc="C72099C2">
      <w:numFmt w:val="decimal"/>
      <w:lvlText w:val=""/>
      <w:lvlJc w:val="left"/>
    </w:lvl>
    <w:lvl w:ilvl="3" w:tplc="42A8989A">
      <w:numFmt w:val="decimal"/>
      <w:lvlText w:val=""/>
      <w:lvlJc w:val="left"/>
    </w:lvl>
    <w:lvl w:ilvl="4" w:tplc="B97A2D5C">
      <w:numFmt w:val="decimal"/>
      <w:lvlText w:val=""/>
      <w:lvlJc w:val="left"/>
    </w:lvl>
    <w:lvl w:ilvl="5" w:tplc="A9B030E6">
      <w:numFmt w:val="decimal"/>
      <w:lvlText w:val=""/>
      <w:lvlJc w:val="left"/>
    </w:lvl>
    <w:lvl w:ilvl="6" w:tplc="6388DD76">
      <w:numFmt w:val="decimal"/>
      <w:lvlText w:val=""/>
      <w:lvlJc w:val="left"/>
    </w:lvl>
    <w:lvl w:ilvl="7" w:tplc="86ECB14E">
      <w:numFmt w:val="decimal"/>
      <w:lvlText w:val=""/>
      <w:lvlJc w:val="left"/>
    </w:lvl>
    <w:lvl w:ilvl="8" w:tplc="96FA9434">
      <w:numFmt w:val="decimal"/>
      <w:lvlText w:val=""/>
      <w:lvlJc w:val="left"/>
    </w:lvl>
  </w:abstractNum>
  <w:abstractNum w:abstractNumId="640" w15:restartNumberingAfterBreak="0">
    <w:nsid w:val="4544009A"/>
    <w:multiLevelType w:val="hybridMultilevel"/>
    <w:tmpl w:val="8448310E"/>
    <w:lvl w:ilvl="0" w:tplc="30AEF2EC">
      <w:start w:val="1"/>
      <w:numFmt w:val="bullet"/>
      <w:lvlText w:val=""/>
      <w:lvlJc w:val="left"/>
      <w:pPr>
        <w:ind w:left="720" w:hanging="180"/>
      </w:pPr>
      <w:rPr>
        <w:rFonts w:ascii="Symbol" w:hAnsi="Symbol" w:hint="default"/>
      </w:rPr>
    </w:lvl>
    <w:lvl w:ilvl="1" w:tplc="067ACCFC">
      <w:numFmt w:val="decimal"/>
      <w:lvlText w:val=""/>
      <w:lvlJc w:val="left"/>
    </w:lvl>
    <w:lvl w:ilvl="2" w:tplc="99CA458E">
      <w:numFmt w:val="decimal"/>
      <w:lvlText w:val=""/>
      <w:lvlJc w:val="left"/>
    </w:lvl>
    <w:lvl w:ilvl="3" w:tplc="C07A9910">
      <w:numFmt w:val="decimal"/>
      <w:lvlText w:val=""/>
      <w:lvlJc w:val="left"/>
    </w:lvl>
    <w:lvl w:ilvl="4" w:tplc="95127BB8">
      <w:numFmt w:val="decimal"/>
      <w:lvlText w:val=""/>
      <w:lvlJc w:val="left"/>
    </w:lvl>
    <w:lvl w:ilvl="5" w:tplc="C776B390">
      <w:numFmt w:val="decimal"/>
      <w:lvlText w:val=""/>
      <w:lvlJc w:val="left"/>
    </w:lvl>
    <w:lvl w:ilvl="6" w:tplc="425AFBF8">
      <w:numFmt w:val="decimal"/>
      <w:lvlText w:val=""/>
      <w:lvlJc w:val="left"/>
    </w:lvl>
    <w:lvl w:ilvl="7" w:tplc="0970909C">
      <w:numFmt w:val="decimal"/>
      <w:lvlText w:val=""/>
      <w:lvlJc w:val="left"/>
    </w:lvl>
    <w:lvl w:ilvl="8" w:tplc="1F428D6C">
      <w:numFmt w:val="decimal"/>
      <w:lvlText w:val=""/>
      <w:lvlJc w:val="left"/>
    </w:lvl>
  </w:abstractNum>
  <w:abstractNum w:abstractNumId="641" w15:restartNumberingAfterBreak="0">
    <w:nsid w:val="45547AB4"/>
    <w:multiLevelType w:val="hybridMultilevel"/>
    <w:tmpl w:val="4F6C4A04"/>
    <w:lvl w:ilvl="0" w:tplc="E85CCFBE">
      <w:start w:val="1"/>
      <w:numFmt w:val="bullet"/>
      <w:lvlText w:val=""/>
      <w:lvlJc w:val="left"/>
      <w:pPr>
        <w:ind w:left="720" w:hanging="180"/>
      </w:pPr>
      <w:rPr>
        <w:rFonts w:ascii="Symbol" w:hAnsi="Symbol" w:hint="default"/>
      </w:rPr>
    </w:lvl>
    <w:lvl w:ilvl="1" w:tplc="471C6426">
      <w:numFmt w:val="decimal"/>
      <w:lvlText w:val=""/>
      <w:lvlJc w:val="left"/>
    </w:lvl>
    <w:lvl w:ilvl="2" w:tplc="65F01530">
      <w:numFmt w:val="decimal"/>
      <w:lvlText w:val=""/>
      <w:lvlJc w:val="left"/>
    </w:lvl>
    <w:lvl w:ilvl="3" w:tplc="30AA5AA0">
      <w:numFmt w:val="decimal"/>
      <w:lvlText w:val=""/>
      <w:lvlJc w:val="left"/>
    </w:lvl>
    <w:lvl w:ilvl="4" w:tplc="482C3038">
      <w:numFmt w:val="decimal"/>
      <w:lvlText w:val=""/>
      <w:lvlJc w:val="left"/>
    </w:lvl>
    <w:lvl w:ilvl="5" w:tplc="20DC2298">
      <w:numFmt w:val="decimal"/>
      <w:lvlText w:val=""/>
      <w:lvlJc w:val="left"/>
    </w:lvl>
    <w:lvl w:ilvl="6" w:tplc="AA282E42">
      <w:numFmt w:val="decimal"/>
      <w:lvlText w:val=""/>
      <w:lvlJc w:val="left"/>
    </w:lvl>
    <w:lvl w:ilvl="7" w:tplc="00A8679C">
      <w:numFmt w:val="decimal"/>
      <w:lvlText w:val=""/>
      <w:lvlJc w:val="left"/>
    </w:lvl>
    <w:lvl w:ilvl="8" w:tplc="5044D4EA">
      <w:numFmt w:val="decimal"/>
      <w:lvlText w:val=""/>
      <w:lvlJc w:val="left"/>
    </w:lvl>
  </w:abstractNum>
  <w:abstractNum w:abstractNumId="642" w15:restartNumberingAfterBreak="0">
    <w:nsid w:val="45772485"/>
    <w:multiLevelType w:val="hybridMultilevel"/>
    <w:tmpl w:val="5EC04634"/>
    <w:lvl w:ilvl="0" w:tplc="B860E668">
      <w:start w:val="1"/>
      <w:numFmt w:val="bullet"/>
      <w:lvlText w:val=""/>
      <w:lvlJc w:val="left"/>
      <w:pPr>
        <w:ind w:left="720" w:hanging="180"/>
      </w:pPr>
      <w:rPr>
        <w:rFonts w:ascii="Symbol" w:hAnsi="Symbol" w:hint="default"/>
      </w:rPr>
    </w:lvl>
    <w:lvl w:ilvl="1" w:tplc="C8E6A694">
      <w:numFmt w:val="decimal"/>
      <w:lvlText w:val=""/>
      <w:lvlJc w:val="left"/>
    </w:lvl>
    <w:lvl w:ilvl="2" w:tplc="F6DA9B78">
      <w:numFmt w:val="decimal"/>
      <w:lvlText w:val=""/>
      <w:lvlJc w:val="left"/>
    </w:lvl>
    <w:lvl w:ilvl="3" w:tplc="B0B21EC2">
      <w:numFmt w:val="decimal"/>
      <w:lvlText w:val=""/>
      <w:lvlJc w:val="left"/>
    </w:lvl>
    <w:lvl w:ilvl="4" w:tplc="5F884ADA">
      <w:numFmt w:val="decimal"/>
      <w:lvlText w:val=""/>
      <w:lvlJc w:val="left"/>
    </w:lvl>
    <w:lvl w:ilvl="5" w:tplc="E4F29C68">
      <w:numFmt w:val="decimal"/>
      <w:lvlText w:val=""/>
      <w:lvlJc w:val="left"/>
    </w:lvl>
    <w:lvl w:ilvl="6" w:tplc="B07627AC">
      <w:numFmt w:val="decimal"/>
      <w:lvlText w:val=""/>
      <w:lvlJc w:val="left"/>
    </w:lvl>
    <w:lvl w:ilvl="7" w:tplc="552C14CE">
      <w:numFmt w:val="decimal"/>
      <w:lvlText w:val=""/>
      <w:lvlJc w:val="left"/>
    </w:lvl>
    <w:lvl w:ilvl="8" w:tplc="7700D8DA">
      <w:numFmt w:val="decimal"/>
      <w:lvlText w:val=""/>
      <w:lvlJc w:val="left"/>
    </w:lvl>
  </w:abstractNum>
  <w:abstractNum w:abstractNumId="643" w15:restartNumberingAfterBreak="0">
    <w:nsid w:val="45B2113C"/>
    <w:multiLevelType w:val="hybridMultilevel"/>
    <w:tmpl w:val="D018CA0E"/>
    <w:lvl w:ilvl="0" w:tplc="233AC744">
      <w:start w:val="1"/>
      <w:numFmt w:val="bullet"/>
      <w:lvlText w:val=""/>
      <w:lvlJc w:val="left"/>
      <w:pPr>
        <w:ind w:left="720" w:hanging="180"/>
      </w:pPr>
      <w:rPr>
        <w:rFonts w:ascii="Symbol" w:hAnsi="Symbol" w:hint="default"/>
      </w:rPr>
    </w:lvl>
    <w:lvl w:ilvl="1" w:tplc="21CAA726">
      <w:numFmt w:val="decimal"/>
      <w:lvlText w:val=""/>
      <w:lvlJc w:val="left"/>
    </w:lvl>
    <w:lvl w:ilvl="2" w:tplc="E13EAF34">
      <w:numFmt w:val="decimal"/>
      <w:lvlText w:val=""/>
      <w:lvlJc w:val="left"/>
    </w:lvl>
    <w:lvl w:ilvl="3" w:tplc="EA80F822">
      <w:numFmt w:val="decimal"/>
      <w:lvlText w:val=""/>
      <w:lvlJc w:val="left"/>
    </w:lvl>
    <w:lvl w:ilvl="4" w:tplc="E47ADD6E">
      <w:numFmt w:val="decimal"/>
      <w:lvlText w:val=""/>
      <w:lvlJc w:val="left"/>
    </w:lvl>
    <w:lvl w:ilvl="5" w:tplc="6ABAE1D0">
      <w:numFmt w:val="decimal"/>
      <w:lvlText w:val=""/>
      <w:lvlJc w:val="left"/>
    </w:lvl>
    <w:lvl w:ilvl="6" w:tplc="81F2B1D6">
      <w:numFmt w:val="decimal"/>
      <w:lvlText w:val=""/>
      <w:lvlJc w:val="left"/>
    </w:lvl>
    <w:lvl w:ilvl="7" w:tplc="CE22A162">
      <w:numFmt w:val="decimal"/>
      <w:lvlText w:val=""/>
      <w:lvlJc w:val="left"/>
    </w:lvl>
    <w:lvl w:ilvl="8" w:tplc="98B254D8">
      <w:numFmt w:val="decimal"/>
      <w:lvlText w:val=""/>
      <w:lvlJc w:val="left"/>
    </w:lvl>
  </w:abstractNum>
  <w:abstractNum w:abstractNumId="644" w15:restartNumberingAfterBreak="0">
    <w:nsid w:val="45B44FE0"/>
    <w:multiLevelType w:val="hybridMultilevel"/>
    <w:tmpl w:val="34D66CCA"/>
    <w:lvl w:ilvl="0" w:tplc="EAECFFD2">
      <w:start w:val="1"/>
      <w:numFmt w:val="bullet"/>
      <w:lvlText w:val=""/>
      <w:lvlJc w:val="left"/>
      <w:pPr>
        <w:ind w:left="720" w:hanging="180"/>
      </w:pPr>
      <w:rPr>
        <w:rFonts w:ascii="Symbol" w:hAnsi="Symbol" w:hint="default"/>
      </w:rPr>
    </w:lvl>
    <w:lvl w:ilvl="1" w:tplc="C66A538A">
      <w:numFmt w:val="decimal"/>
      <w:lvlText w:val=""/>
      <w:lvlJc w:val="left"/>
    </w:lvl>
    <w:lvl w:ilvl="2" w:tplc="67302C2C">
      <w:numFmt w:val="decimal"/>
      <w:lvlText w:val=""/>
      <w:lvlJc w:val="left"/>
    </w:lvl>
    <w:lvl w:ilvl="3" w:tplc="0422D2C6">
      <w:numFmt w:val="decimal"/>
      <w:lvlText w:val=""/>
      <w:lvlJc w:val="left"/>
    </w:lvl>
    <w:lvl w:ilvl="4" w:tplc="76DC71B2">
      <w:numFmt w:val="decimal"/>
      <w:lvlText w:val=""/>
      <w:lvlJc w:val="left"/>
    </w:lvl>
    <w:lvl w:ilvl="5" w:tplc="12DCBF56">
      <w:numFmt w:val="decimal"/>
      <w:lvlText w:val=""/>
      <w:lvlJc w:val="left"/>
    </w:lvl>
    <w:lvl w:ilvl="6" w:tplc="B7FA6A42">
      <w:numFmt w:val="decimal"/>
      <w:lvlText w:val=""/>
      <w:lvlJc w:val="left"/>
    </w:lvl>
    <w:lvl w:ilvl="7" w:tplc="DD26AB7A">
      <w:numFmt w:val="decimal"/>
      <w:lvlText w:val=""/>
      <w:lvlJc w:val="left"/>
    </w:lvl>
    <w:lvl w:ilvl="8" w:tplc="ED3EFD86">
      <w:numFmt w:val="decimal"/>
      <w:lvlText w:val=""/>
      <w:lvlJc w:val="left"/>
    </w:lvl>
  </w:abstractNum>
  <w:abstractNum w:abstractNumId="645" w15:restartNumberingAfterBreak="0">
    <w:nsid w:val="45C9062A"/>
    <w:multiLevelType w:val="hybridMultilevel"/>
    <w:tmpl w:val="3A80B810"/>
    <w:lvl w:ilvl="0" w:tplc="E410CDE6">
      <w:start w:val="1"/>
      <w:numFmt w:val="bullet"/>
      <w:lvlText w:val=""/>
      <w:lvlJc w:val="left"/>
      <w:pPr>
        <w:ind w:left="720" w:hanging="180"/>
      </w:pPr>
      <w:rPr>
        <w:rFonts w:ascii="Symbol" w:hAnsi="Symbol" w:hint="default"/>
      </w:rPr>
    </w:lvl>
    <w:lvl w:ilvl="1" w:tplc="A9E65A8C">
      <w:numFmt w:val="decimal"/>
      <w:lvlText w:val=""/>
      <w:lvlJc w:val="left"/>
    </w:lvl>
    <w:lvl w:ilvl="2" w:tplc="0958BF6E">
      <w:numFmt w:val="decimal"/>
      <w:lvlText w:val=""/>
      <w:lvlJc w:val="left"/>
    </w:lvl>
    <w:lvl w:ilvl="3" w:tplc="8F064CB0">
      <w:numFmt w:val="decimal"/>
      <w:lvlText w:val=""/>
      <w:lvlJc w:val="left"/>
    </w:lvl>
    <w:lvl w:ilvl="4" w:tplc="692ADA1A">
      <w:numFmt w:val="decimal"/>
      <w:lvlText w:val=""/>
      <w:lvlJc w:val="left"/>
    </w:lvl>
    <w:lvl w:ilvl="5" w:tplc="C670399C">
      <w:numFmt w:val="decimal"/>
      <w:lvlText w:val=""/>
      <w:lvlJc w:val="left"/>
    </w:lvl>
    <w:lvl w:ilvl="6" w:tplc="655AC97A">
      <w:numFmt w:val="decimal"/>
      <w:lvlText w:val=""/>
      <w:lvlJc w:val="left"/>
    </w:lvl>
    <w:lvl w:ilvl="7" w:tplc="D3564586">
      <w:numFmt w:val="decimal"/>
      <w:lvlText w:val=""/>
      <w:lvlJc w:val="left"/>
    </w:lvl>
    <w:lvl w:ilvl="8" w:tplc="98100ABC">
      <w:numFmt w:val="decimal"/>
      <w:lvlText w:val=""/>
      <w:lvlJc w:val="left"/>
    </w:lvl>
  </w:abstractNum>
  <w:abstractNum w:abstractNumId="646" w15:restartNumberingAfterBreak="0">
    <w:nsid w:val="45D41964"/>
    <w:multiLevelType w:val="hybridMultilevel"/>
    <w:tmpl w:val="89F61654"/>
    <w:lvl w:ilvl="0" w:tplc="DFECF316">
      <w:numFmt w:val="decimal"/>
      <w:lvlText w:val=""/>
      <w:lvlJc w:val="left"/>
    </w:lvl>
    <w:lvl w:ilvl="1" w:tplc="58CE5F9A">
      <w:start w:val="1"/>
      <w:numFmt w:val="bullet"/>
      <w:lvlText w:val=""/>
      <w:lvlJc w:val="left"/>
      <w:pPr>
        <w:ind w:left="1440" w:hanging="180"/>
      </w:pPr>
      <w:rPr>
        <w:rFonts w:ascii="Symbol" w:hAnsi="Symbol" w:hint="default"/>
      </w:rPr>
    </w:lvl>
    <w:lvl w:ilvl="2" w:tplc="0BEE14A2">
      <w:numFmt w:val="decimal"/>
      <w:lvlText w:val=""/>
      <w:lvlJc w:val="left"/>
    </w:lvl>
    <w:lvl w:ilvl="3" w:tplc="FB1293DC">
      <w:numFmt w:val="decimal"/>
      <w:lvlText w:val=""/>
      <w:lvlJc w:val="left"/>
    </w:lvl>
    <w:lvl w:ilvl="4" w:tplc="CFA6CD42">
      <w:numFmt w:val="decimal"/>
      <w:lvlText w:val=""/>
      <w:lvlJc w:val="left"/>
    </w:lvl>
    <w:lvl w:ilvl="5" w:tplc="E1EEF142">
      <w:numFmt w:val="decimal"/>
      <w:lvlText w:val=""/>
      <w:lvlJc w:val="left"/>
    </w:lvl>
    <w:lvl w:ilvl="6" w:tplc="07B045A8">
      <w:numFmt w:val="decimal"/>
      <w:lvlText w:val=""/>
      <w:lvlJc w:val="left"/>
    </w:lvl>
    <w:lvl w:ilvl="7" w:tplc="A4909A80">
      <w:numFmt w:val="decimal"/>
      <w:lvlText w:val=""/>
      <w:lvlJc w:val="left"/>
    </w:lvl>
    <w:lvl w:ilvl="8" w:tplc="C5282536">
      <w:numFmt w:val="decimal"/>
      <w:lvlText w:val=""/>
      <w:lvlJc w:val="left"/>
    </w:lvl>
  </w:abstractNum>
  <w:abstractNum w:abstractNumId="647" w15:restartNumberingAfterBreak="0">
    <w:nsid w:val="45D83D1C"/>
    <w:multiLevelType w:val="hybridMultilevel"/>
    <w:tmpl w:val="189A457E"/>
    <w:lvl w:ilvl="0" w:tplc="50C61DF8">
      <w:start w:val="1"/>
      <w:numFmt w:val="bullet"/>
      <w:lvlText w:val=""/>
      <w:lvlJc w:val="left"/>
      <w:pPr>
        <w:ind w:left="720" w:hanging="180"/>
      </w:pPr>
      <w:rPr>
        <w:rFonts w:ascii="Symbol" w:hAnsi="Symbol" w:hint="default"/>
      </w:rPr>
    </w:lvl>
    <w:lvl w:ilvl="1" w:tplc="0CF803F4">
      <w:numFmt w:val="decimal"/>
      <w:lvlText w:val=""/>
      <w:lvlJc w:val="left"/>
    </w:lvl>
    <w:lvl w:ilvl="2" w:tplc="240414A8">
      <w:numFmt w:val="decimal"/>
      <w:lvlText w:val=""/>
      <w:lvlJc w:val="left"/>
    </w:lvl>
    <w:lvl w:ilvl="3" w:tplc="B4F81B56">
      <w:numFmt w:val="decimal"/>
      <w:lvlText w:val=""/>
      <w:lvlJc w:val="left"/>
    </w:lvl>
    <w:lvl w:ilvl="4" w:tplc="FE92EBE8">
      <w:numFmt w:val="decimal"/>
      <w:lvlText w:val=""/>
      <w:lvlJc w:val="left"/>
    </w:lvl>
    <w:lvl w:ilvl="5" w:tplc="AB6E2B82">
      <w:numFmt w:val="decimal"/>
      <w:lvlText w:val=""/>
      <w:lvlJc w:val="left"/>
    </w:lvl>
    <w:lvl w:ilvl="6" w:tplc="9756611A">
      <w:numFmt w:val="decimal"/>
      <w:lvlText w:val=""/>
      <w:lvlJc w:val="left"/>
    </w:lvl>
    <w:lvl w:ilvl="7" w:tplc="7C961A4A">
      <w:numFmt w:val="decimal"/>
      <w:lvlText w:val=""/>
      <w:lvlJc w:val="left"/>
    </w:lvl>
    <w:lvl w:ilvl="8" w:tplc="C7B4DE96">
      <w:numFmt w:val="decimal"/>
      <w:lvlText w:val=""/>
      <w:lvlJc w:val="left"/>
    </w:lvl>
  </w:abstractNum>
  <w:abstractNum w:abstractNumId="648" w15:restartNumberingAfterBreak="0">
    <w:nsid w:val="460334F5"/>
    <w:multiLevelType w:val="hybridMultilevel"/>
    <w:tmpl w:val="AB545F58"/>
    <w:lvl w:ilvl="0" w:tplc="3FCA8456">
      <w:start w:val="1"/>
      <w:numFmt w:val="bullet"/>
      <w:lvlText w:val=""/>
      <w:lvlJc w:val="left"/>
      <w:pPr>
        <w:ind w:left="720" w:hanging="180"/>
      </w:pPr>
      <w:rPr>
        <w:rFonts w:ascii="Symbol" w:hAnsi="Symbol" w:hint="default"/>
      </w:rPr>
    </w:lvl>
    <w:lvl w:ilvl="1" w:tplc="4DA88018">
      <w:numFmt w:val="decimal"/>
      <w:lvlText w:val=""/>
      <w:lvlJc w:val="left"/>
    </w:lvl>
    <w:lvl w:ilvl="2" w:tplc="8B12B46E">
      <w:numFmt w:val="decimal"/>
      <w:lvlText w:val=""/>
      <w:lvlJc w:val="left"/>
    </w:lvl>
    <w:lvl w:ilvl="3" w:tplc="6D18BBFA">
      <w:numFmt w:val="decimal"/>
      <w:lvlText w:val=""/>
      <w:lvlJc w:val="left"/>
    </w:lvl>
    <w:lvl w:ilvl="4" w:tplc="E928492A">
      <w:numFmt w:val="decimal"/>
      <w:lvlText w:val=""/>
      <w:lvlJc w:val="left"/>
    </w:lvl>
    <w:lvl w:ilvl="5" w:tplc="2FB83224">
      <w:numFmt w:val="decimal"/>
      <w:lvlText w:val=""/>
      <w:lvlJc w:val="left"/>
    </w:lvl>
    <w:lvl w:ilvl="6" w:tplc="EBE2F672">
      <w:numFmt w:val="decimal"/>
      <w:lvlText w:val=""/>
      <w:lvlJc w:val="left"/>
    </w:lvl>
    <w:lvl w:ilvl="7" w:tplc="FC560F36">
      <w:numFmt w:val="decimal"/>
      <w:lvlText w:val=""/>
      <w:lvlJc w:val="left"/>
    </w:lvl>
    <w:lvl w:ilvl="8" w:tplc="E3A28308">
      <w:numFmt w:val="decimal"/>
      <w:lvlText w:val=""/>
      <w:lvlJc w:val="left"/>
    </w:lvl>
  </w:abstractNum>
  <w:abstractNum w:abstractNumId="649" w15:restartNumberingAfterBreak="0">
    <w:nsid w:val="460A4149"/>
    <w:multiLevelType w:val="hybridMultilevel"/>
    <w:tmpl w:val="AE02FA26"/>
    <w:lvl w:ilvl="0" w:tplc="48C07870">
      <w:start w:val="1"/>
      <w:numFmt w:val="bullet"/>
      <w:lvlText w:val=""/>
      <w:lvlJc w:val="left"/>
      <w:pPr>
        <w:ind w:left="720" w:hanging="180"/>
      </w:pPr>
      <w:rPr>
        <w:rFonts w:ascii="Symbol" w:hAnsi="Symbol" w:hint="default"/>
      </w:rPr>
    </w:lvl>
    <w:lvl w:ilvl="1" w:tplc="E27AE9A6">
      <w:numFmt w:val="decimal"/>
      <w:lvlText w:val=""/>
      <w:lvlJc w:val="left"/>
    </w:lvl>
    <w:lvl w:ilvl="2" w:tplc="2C042448">
      <w:numFmt w:val="decimal"/>
      <w:lvlText w:val=""/>
      <w:lvlJc w:val="left"/>
    </w:lvl>
    <w:lvl w:ilvl="3" w:tplc="570CFBEE">
      <w:numFmt w:val="decimal"/>
      <w:lvlText w:val=""/>
      <w:lvlJc w:val="left"/>
    </w:lvl>
    <w:lvl w:ilvl="4" w:tplc="9BDA67A6">
      <w:numFmt w:val="decimal"/>
      <w:lvlText w:val=""/>
      <w:lvlJc w:val="left"/>
    </w:lvl>
    <w:lvl w:ilvl="5" w:tplc="E4C61224">
      <w:numFmt w:val="decimal"/>
      <w:lvlText w:val=""/>
      <w:lvlJc w:val="left"/>
    </w:lvl>
    <w:lvl w:ilvl="6" w:tplc="5D481EE4">
      <w:numFmt w:val="decimal"/>
      <w:lvlText w:val=""/>
      <w:lvlJc w:val="left"/>
    </w:lvl>
    <w:lvl w:ilvl="7" w:tplc="988E2A10">
      <w:numFmt w:val="decimal"/>
      <w:lvlText w:val=""/>
      <w:lvlJc w:val="left"/>
    </w:lvl>
    <w:lvl w:ilvl="8" w:tplc="F49A7838">
      <w:numFmt w:val="decimal"/>
      <w:lvlText w:val=""/>
      <w:lvlJc w:val="left"/>
    </w:lvl>
  </w:abstractNum>
  <w:abstractNum w:abstractNumId="650" w15:restartNumberingAfterBreak="0">
    <w:nsid w:val="46142372"/>
    <w:multiLevelType w:val="hybridMultilevel"/>
    <w:tmpl w:val="1F3CBB78"/>
    <w:lvl w:ilvl="0" w:tplc="5F2C9F72">
      <w:start w:val="1"/>
      <w:numFmt w:val="bullet"/>
      <w:lvlText w:val=""/>
      <w:lvlJc w:val="left"/>
      <w:pPr>
        <w:ind w:left="720" w:hanging="180"/>
      </w:pPr>
      <w:rPr>
        <w:rFonts w:ascii="Symbol" w:hAnsi="Symbol" w:hint="default"/>
      </w:rPr>
    </w:lvl>
    <w:lvl w:ilvl="1" w:tplc="60422D2A">
      <w:numFmt w:val="decimal"/>
      <w:lvlText w:val=""/>
      <w:lvlJc w:val="left"/>
    </w:lvl>
    <w:lvl w:ilvl="2" w:tplc="30A2278A">
      <w:numFmt w:val="decimal"/>
      <w:lvlText w:val=""/>
      <w:lvlJc w:val="left"/>
    </w:lvl>
    <w:lvl w:ilvl="3" w:tplc="3F76E7BA">
      <w:numFmt w:val="decimal"/>
      <w:lvlText w:val=""/>
      <w:lvlJc w:val="left"/>
    </w:lvl>
    <w:lvl w:ilvl="4" w:tplc="79D41D7C">
      <w:numFmt w:val="decimal"/>
      <w:lvlText w:val=""/>
      <w:lvlJc w:val="left"/>
    </w:lvl>
    <w:lvl w:ilvl="5" w:tplc="95E85720">
      <w:numFmt w:val="decimal"/>
      <w:lvlText w:val=""/>
      <w:lvlJc w:val="left"/>
    </w:lvl>
    <w:lvl w:ilvl="6" w:tplc="D1C2810A">
      <w:numFmt w:val="decimal"/>
      <w:lvlText w:val=""/>
      <w:lvlJc w:val="left"/>
    </w:lvl>
    <w:lvl w:ilvl="7" w:tplc="CB0C0AE6">
      <w:numFmt w:val="decimal"/>
      <w:lvlText w:val=""/>
      <w:lvlJc w:val="left"/>
    </w:lvl>
    <w:lvl w:ilvl="8" w:tplc="7E922622">
      <w:numFmt w:val="decimal"/>
      <w:lvlText w:val=""/>
      <w:lvlJc w:val="left"/>
    </w:lvl>
  </w:abstractNum>
  <w:abstractNum w:abstractNumId="651" w15:restartNumberingAfterBreak="0">
    <w:nsid w:val="46462B3B"/>
    <w:multiLevelType w:val="hybridMultilevel"/>
    <w:tmpl w:val="80827BB6"/>
    <w:lvl w:ilvl="0" w:tplc="92987764">
      <w:start w:val="1"/>
      <w:numFmt w:val="bullet"/>
      <w:lvlText w:val=""/>
      <w:lvlJc w:val="left"/>
      <w:pPr>
        <w:ind w:left="720" w:hanging="180"/>
      </w:pPr>
      <w:rPr>
        <w:rFonts w:ascii="Symbol" w:hAnsi="Symbol" w:hint="default"/>
      </w:rPr>
    </w:lvl>
    <w:lvl w:ilvl="1" w:tplc="CB260504">
      <w:numFmt w:val="decimal"/>
      <w:lvlText w:val=""/>
      <w:lvlJc w:val="left"/>
    </w:lvl>
    <w:lvl w:ilvl="2" w:tplc="D6B6818E">
      <w:numFmt w:val="decimal"/>
      <w:lvlText w:val=""/>
      <w:lvlJc w:val="left"/>
    </w:lvl>
    <w:lvl w:ilvl="3" w:tplc="C6BEDD1A">
      <w:numFmt w:val="decimal"/>
      <w:lvlText w:val=""/>
      <w:lvlJc w:val="left"/>
    </w:lvl>
    <w:lvl w:ilvl="4" w:tplc="BF4091EA">
      <w:numFmt w:val="decimal"/>
      <w:lvlText w:val=""/>
      <w:lvlJc w:val="left"/>
    </w:lvl>
    <w:lvl w:ilvl="5" w:tplc="231EAB5A">
      <w:numFmt w:val="decimal"/>
      <w:lvlText w:val=""/>
      <w:lvlJc w:val="left"/>
    </w:lvl>
    <w:lvl w:ilvl="6" w:tplc="1E6C9B5A">
      <w:numFmt w:val="decimal"/>
      <w:lvlText w:val=""/>
      <w:lvlJc w:val="left"/>
    </w:lvl>
    <w:lvl w:ilvl="7" w:tplc="58287B58">
      <w:numFmt w:val="decimal"/>
      <w:lvlText w:val=""/>
      <w:lvlJc w:val="left"/>
    </w:lvl>
    <w:lvl w:ilvl="8" w:tplc="79F2A402">
      <w:numFmt w:val="decimal"/>
      <w:lvlText w:val=""/>
      <w:lvlJc w:val="left"/>
    </w:lvl>
  </w:abstractNum>
  <w:abstractNum w:abstractNumId="652" w15:restartNumberingAfterBreak="0">
    <w:nsid w:val="466C5495"/>
    <w:multiLevelType w:val="hybridMultilevel"/>
    <w:tmpl w:val="4984D178"/>
    <w:lvl w:ilvl="0" w:tplc="631219EC">
      <w:start w:val="1"/>
      <w:numFmt w:val="bullet"/>
      <w:lvlText w:val=""/>
      <w:lvlJc w:val="left"/>
      <w:pPr>
        <w:ind w:left="720" w:hanging="180"/>
      </w:pPr>
      <w:rPr>
        <w:rFonts w:ascii="Symbol" w:hAnsi="Symbol" w:hint="default"/>
      </w:rPr>
    </w:lvl>
    <w:lvl w:ilvl="1" w:tplc="D0665F88">
      <w:numFmt w:val="decimal"/>
      <w:lvlText w:val=""/>
      <w:lvlJc w:val="left"/>
    </w:lvl>
    <w:lvl w:ilvl="2" w:tplc="7996139E">
      <w:numFmt w:val="decimal"/>
      <w:lvlText w:val=""/>
      <w:lvlJc w:val="left"/>
    </w:lvl>
    <w:lvl w:ilvl="3" w:tplc="E92A97F8">
      <w:numFmt w:val="decimal"/>
      <w:lvlText w:val=""/>
      <w:lvlJc w:val="left"/>
    </w:lvl>
    <w:lvl w:ilvl="4" w:tplc="80468A9E">
      <w:numFmt w:val="decimal"/>
      <w:lvlText w:val=""/>
      <w:lvlJc w:val="left"/>
    </w:lvl>
    <w:lvl w:ilvl="5" w:tplc="71240024">
      <w:numFmt w:val="decimal"/>
      <w:lvlText w:val=""/>
      <w:lvlJc w:val="left"/>
    </w:lvl>
    <w:lvl w:ilvl="6" w:tplc="CACA2542">
      <w:numFmt w:val="decimal"/>
      <w:lvlText w:val=""/>
      <w:lvlJc w:val="left"/>
    </w:lvl>
    <w:lvl w:ilvl="7" w:tplc="A0C42ED6">
      <w:numFmt w:val="decimal"/>
      <w:lvlText w:val=""/>
      <w:lvlJc w:val="left"/>
    </w:lvl>
    <w:lvl w:ilvl="8" w:tplc="4BC88C8E">
      <w:numFmt w:val="decimal"/>
      <w:lvlText w:val=""/>
      <w:lvlJc w:val="left"/>
    </w:lvl>
  </w:abstractNum>
  <w:abstractNum w:abstractNumId="653" w15:restartNumberingAfterBreak="0">
    <w:nsid w:val="466D7487"/>
    <w:multiLevelType w:val="hybridMultilevel"/>
    <w:tmpl w:val="3BEADC06"/>
    <w:lvl w:ilvl="0" w:tplc="86A4D8B8">
      <w:start w:val="1"/>
      <w:numFmt w:val="bullet"/>
      <w:lvlText w:val=""/>
      <w:lvlJc w:val="left"/>
      <w:pPr>
        <w:ind w:left="720" w:hanging="180"/>
      </w:pPr>
      <w:rPr>
        <w:rFonts w:ascii="Symbol" w:hAnsi="Symbol" w:hint="default"/>
      </w:rPr>
    </w:lvl>
    <w:lvl w:ilvl="1" w:tplc="B85C17DE">
      <w:numFmt w:val="decimal"/>
      <w:lvlText w:val=""/>
      <w:lvlJc w:val="left"/>
    </w:lvl>
    <w:lvl w:ilvl="2" w:tplc="F87672B0">
      <w:numFmt w:val="decimal"/>
      <w:lvlText w:val=""/>
      <w:lvlJc w:val="left"/>
    </w:lvl>
    <w:lvl w:ilvl="3" w:tplc="4C2ED1E0">
      <w:numFmt w:val="decimal"/>
      <w:lvlText w:val=""/>
      <w:lvlJc w:val="left"/>
    </w:lvl>
    <w:lvl w:ilvl="4" w:tplc="372CFEC8">
      <w:numFmt w:val="decimal"/>
      <w:lvlText w:val=""/>
      <w:lvlJc w:val="left"/>
    </w:lvl>
    <w:lvl w:ilvl="5" w:tplc="D30E5DCE">
      <w:numFmt w:val="decimal"/>
      <w:lvlText w:val=""/>
      <w:lvlJc w:val="left"/>
    </w:lvl>
    <w:lvl w:ilvl="6" w:tplc="3F4486FC">
      <w:numFmt w:val="decimal"/>
      <w:lvlText w:val=""/>
      <w:lvlJc w:val="left"/>
    </w:lvl>
    <w:lvl w:ilvl="7" w:tplc="DA6CF37C">
      <w:numFmt w:val="decimal"/>
      <w:lvlText w:val=""/>
      <w:lvlJc w:val="left"/>
    </w:lvl>
    <w:lvl w:ilvl="8" w:tplc="A58A1CCA">
      <w:numFmt w:val="decimal"/>
      <w:lvlText w:val=""/>
      <w:lvlJc w:val="left"/>
    </w:lvl>
  </w:abstractNum>
  <w:abstractNum w:abstractNumId="654" w15:restartNumberingAfterBreak="0">
    <w:nsid w:val="469B626F"/>
    <w:multiLevelType w:val="hybridMultilevel"/>
    <w:tmpl w:val="1B6427E0"/>
    <w:lvl w:ilvl="0" w:tplc="3064ECFE">
      <w:start w:val="1"/>
      <w:numFmt w:val="bullet"/>
      <w:lvlText w:val=""/>
      <w:lvlJc w:val="left"/>
      <w:pPr>
        <w:ind w:left="720" w:hanging="180"/>
      </w:pPr>
      <w:rPr>
        <w:rFonts w:ascii="Symbol" w:hAnsi="Symbol" w:hint="default"/>
      </w:rPr>
    </w:lvl>
    <w:lvl w:ilvl="1" w:tplc="95DCC3B0">
      <w:numFmt w:val="decimal"/>
      <w:lvlText w:val=""/>
      <w:lvlJc w:val="left"/>
    </w:lvl>
    <w:lvl w:ilvl="2" w:tplc="B202A1AE">
      <w:numFmt w:val="decimal"/>
      <w:lvlText w:val=""/>
      <w:lvlJc w:val="left"/>
    </w:lvl>
    <w:lvl w:ilvl="3" w:tplc="27F067FE">
      <w:numFmt w:val="decimal"/>
      <w:lvlText w:val=""/>
      <w:lvlJc w:val="left"/>
    </w:lvl>
    <w:lvl w:ilvl="4" w:tplc="18B896FE">
      <w:numFmt w:val="decimal"/>
      <w:lvlText w:val=""/>
      <w:lvlJc w:val="left"/>
    </w:lvl>
    <w:lvl w:ilvl="5" w:tplc="396C7800">
      <w:numFmt w:val="decimal"/>
      <w:lvlText w:val=""/>
      <w:lvlJc w:val="left"/>
    </w:lvl>
    <w:lvl w:ilvl="6" w:tplc="2F74BBBC">
      <w:numFmt w:val="decimal"/>
      <w:lvlText w:val=""/>
      <w:lvlJc w:val="left"/>
    </w:lvl>
    <w:lvl w:ilvl="7" w:tplc="9D4848E8">
      <w:numFmt w:val="decimal"/>
      <w:lvlText w:val=""/>
      <w:lvlJc w:val="left"/>
    </w:lvl>
    <w:lvl w:ilvl="8" w:tplc="591E52B4">
      <w:numFmt w:val="decimal"/>
      <w:lvlText w:val=""/>
      <w:lvlJc w:val="left"/>
    </w:lvl>
  </w:abstractNum>
  <w:abstractNum w:abstractNumId="655" w15:restartNumberingAfterBreak="0">
    <w:nsid w:val="469B62BB"/>
    <w:multiLevelType w:val="hybridMultilevel"/>
    <w:tmpl w:val="CCD47C08"/>
    <w:lvl w:ilvl="0" w:tplc="BFF0E642">
      <w:start w:val="1"/>
      <w:numFmt w:val="bullet"/>
      <w:lvlText w:val=""/>
      <w:lvlJc w:val="left"/>
      <w:pPr>
        <w:ind w:left="720" w:hanging="180"/>
      </w:pPr>
      <w:rPr>
        <w:rFonts w:ascii="Symbol" w:hAnsi="Symbol" w:hint="default"/>
      </w:rPr>
    </w:lvl>
    <w:lvl w:ilvl="1" w:tplc="27426D4E">
      <w:numFmt w:val="decimal"/>
      <w:lvlText w:val=""/>
      <w:lvlJc w:val="left"/>
    </w:lvl>
    <w:lvl w:ilvl="2" w:tplc="CAA6C6BA">
      <w:numFmt w:val="decimal"/>
      <w:lvlText w:val=""/>
      <w:lvlJc w:val="left"/>
    </w:lvl>
    <w:lvl w:ilvl="3" w:tplc="7C0AFF42">
      <w:numFmt w:val="decimal"/>
      <w:lvlText w:val=""/>
      <w:lvlJc w:val="left"/>
    </w:lvl>
    <w:lvl w:ilvl="4" w:tplc="2BDAB2C2">
      <w:numFmt w:val="decimal"/>
      <w:lvlText w:val=""/>
      <w:lvlJc w:val="left"/>
    </w:lvl>
    <w:lvl w:ilvl="5" w:tplc="3C9EC22E">
      <w:numFmt w:val="decimal"/>
      <w:lvlText w:val=""/>
      <w:lvlJc w:val="left"/>
    </w:lvl>
    <w:lvl w:ilvl="6" w:tplc="E620EA28">
      <w:numFmt w:val="decimal"/>
      <w:lvlText w:val=""/>
      <w:lvlJc w:val="left"/>
    </w:lvl>
    <w:lvl w:ilvl="7" w:tplc="99EC744E">
      <w:numFmt w:val="decimal"/>
      <w:lvlText w:val=""/>
      <w:lvlJc w:val="left"/>
    </w:lvl>
    <w:lvl w:ilvl="8" w:tplc="43466816">
      <w:numFmt w:val="decimal"/>
      <w:lvlText w:val=""/>
      <w:lvlJc w:val="left"/>
    </w:lvl>
  </w:abstractNum>
  <w:abstractNum w:abstractNumId="656" w15:restartNumberingAfterBreak="0">
    <w:nsid w:val="46A26663"/>
    <w:multiLevelType w:val="hybridMultilevel"/>
    <w:tmpl w:val="4A340526"/>
    <w:lvl w:ilvl="0" w:tplc="FD30A8C8">
      <w:start w:val="1"/>
      <w:numFmt w:val="bullet"/>
      <w:lvlText w:val=""/>
      <w:lvlJc w:val="left"/>
      <w:pPr>
        <w:ind w:left="720" w:hanging="180"/>
      </w:pPr>
      <w:rPr>
        <w:rFonts w:ascii="Symbol" w:hAnsi="Symbol" w:hint="default"/>
      </w:rPr>
    </w:lvl>
    <w:lvl w:ilvl="1" w:tplc="6AD29354">
      <w:numFmt w:val="decimal"/>
      <w:lvlText w:val=""/>
      <w:lvlJc w:val="left"/>
    </w:lvl>
    <w:lvl w:ilvl="2" w:tplc="75281634">
      <w:numFmt w:val="decimal"/>
      <w:lvlText w:val=""/>
      <w:lvlJc w:val="left"/>
    </w:lvl>
    <w:lvl w:ilvl="3" w:tplc="1736EEE6">
      <w:numFmt w:val="decimal"/>
      <w:lvlText w:val=""/>
      <w:lvlJc w:val="left"/>
    </w:lvl>
    <w:lvl w:ilvl="4" w:tplc="92C88ED6">
      <w:numFmt w:val="decimal"/>
      <w:lvlText w:val=""/>
      <w:lvlJc w:val="left"/>
    </w:lvl>
    <w:lvl w:ilvl="5" w:tplc="208A9EC8">
      <w:numFmt w:val="decimal"/>
      <w:lvlText w:val=""/>
      <w:lvlJc w:val="left"/>
    </w:lvl>
    <w:lvl w:ilvl="6" w:tplc="E6BA3094">
      <w:numFmt w:val="decimal"/>
      <w:lvlText w:val=""/>
      <w:lvlJc w:val="left"/>
    </w:lvl>
    <w:lvl w:ilvl="7" w:tplc="1AD83D6A">
      <w:numFmt w:val="decimal"/>
      <w:lvlText w:val=""/>
      <w:lvlJc w:val="left"/>
    </w:lvl>
    <w:lvl w:ilvl="8" w:tplc="8B607EDE">
      <w:numFmt w:val="decimal"/>
      <w:lvlText w:val=""/>
      <w:lvlJc w:val="left"/>
    </w:lvl>
  </w:abstractNum>
  <w:abstractNum w:abstractNumId="657" w15:restartNumberingAfterBreak="0">
    <w:nsid w:val="46B55362"/>
    <w:multiLevelType w:val="hybridMultilevel"/>
    <w:tmpl w:val="48822510"/>
    <w:lvl w:ilvl="0" w:tplc="58ECCD60">
      <w:start w:val="1"/>
      <w:numFmt w:val="bullet"/>
      <w:lvlText w:val=""/>
      <w:lvlJc w:val="left"/>
      <w:pPr>
        <w:ind w:left="720" w:hanging="180"/>
      </w:pPr>
      <w:rPr>
        <w:rFonts w:ascii="Symbol" w:hAnsi="Symbol" w:hint="default"/>
      </w:rPr>
    </w:lvl>
    <w:lvl w:ilvl="1" w:tplc="7618D218">
      <w:numFmt w:val="decimal"/>
      <w:lvlText w:val=""/>
      <w:lvlJc w:val="left"/>
    </w:lvl>
    <w:lvl w:ilvl="2" w:tplc="7A324F0A">
      <w:numFmt w:val="decimal"/>
      <w:lvlText w:val=""/>
      <w:lvlJc w:val="left"/>
    </w:lvl>
    <w:lvl w:ilvl="3" w:tplc="B8E82B98">
      <w:numFmt w:val="decimal"/>
      <w:lvlText w:val=""/>
      <w:lvlJc w:val="left"/>
    </w:lvl>
    <w:lvl w:ilvl="4" w:tplc="EE2CAE06">
      <w:numFmt w:val="decimal"/>
      <w:lvlText w:val=""/>
      <w:lvlJc w:val="left"/>
    </w:lvl>
    <w:lvl w:ilvl="5" w:tplc="B9FA446A">
      <w:numFmt w:val="decimal"/>
      <w:lvlText w:val=""/>
      <w:lvlJc w:val="left"/>
    </w:lvl>
    <w:lvl w:ilvl="6" w:tplc="2D601396">
      <w:numFmt w:val="decimal"/>
      <w:lvlText w:val=""/>
      <w:lvlJc w:val="left"/>
    </w:lvl>
    <w:lvl w:ilvl="7" w:tplc="B87CF116">
      <w:numFmt w:val="decimal"/>
      <w:lvlText w:val=""/>
      <w:lvlJc w:val="left"/>
    </w:lvl>
    <w:lvl w:ilvl="8" w:tplc="A254EB62">
      <w:numFmt w:val="decimal"/>
      <w:lvlText w:val=""/>
      <w:lvlJc w:val="left"/>
    </w:lvl>
  </w:abstractNum>
  <w:abstractNum w:abstractNumId="658" w15:restartNumberingAfterBreak="0">
    <w:nsid w:val="46E1585D"/>
    <w:multiLevelType w:val="hybridMultilevel"/>
    <w:tmpl w:val="7214DC28"/>
    <w:lvl w:ilvl="0" w:tplc="6A3AA1C4">
      <w:start w:val="1"/>
      <w:numFmt w:val="bullet"/>
      <w:lvlText w:val=""/>
      <w:lvlJc w:val="left"/>
      <w:pPr>
        <w:ind w:left="720" w:hanging="180"/>
      </w:pPr>
      <w:rPr>
        <w:rFonts w:ascii="Symbol" w:hAnsi="Symbol" w:hint="default"/>
      </w:rPr>
    </w:lvl>
    <w:lvl w:ilvl="1" w:tplc="52A857B8">
      <w:numFmt w:val="decimal"/>
      <w:lvlText w:val=""/>
      <w:lvlJc w:val="left"/>
    </w:lvl>
    <w:lvl w:ilvl="2" w:tplc="9DF8C1F4">
      <w:numFmt w:val="decimal"/>
      <w:lvlText w:val=""/>
      <w:lvlJc w:val="left"/>
    </w:lvl>
    <w:lvl w:ilvl="3" w:tplc="58A6574C">
      <w:numFmt w:val="decimal"/>
      <w:lvlText w:val=""/>
      <w:lvlJc w:val="left"/>
    </w:lvl>
    <w:lvl w:ilvl="4" w:tplc="72665788">
      <w:numFmt w:val="decimal"/>
      <w:lvlText w:val=""/>
      <w:lvlJc w:val="left"/>
    </w:lvl>
    <w:lvl w:ilvl="5" w:tplc="82BC0B58">
      <w:numFmt w:val="decimal"/>
      <w:lvlText w:val=""/>
      <w:lvlJc w:val="left"/>
    </w:lvl>
    <w:lvl w:ilvl="6" w:tplc="B17C7AAC">
      <w:numFmt w:val="decimal"/>
      <w:lvlText w:val=""/>
      <w:lvlJc w:val="left"/>
    </w:lvl>
    <w:lvl w:ilvl="7" w:tplc="B32E60F2">
      <w:numFmt w:val="decimal"/>
      <w:lvlText w:val=""/>
      <w:lvlJc w:val="left"/>
    </w:lvl>
    <w:lvl w:ilvl="8" w:tplc="9F3413A4">
      <w:numFmt w:val="decimal"/>
      <w:lvlText w:val=""/>
      <w:lvlJc w:val="left"/>
    </w:lvl>
  </w:abstractNum>
  <w:abstractNum w:abstractNumId="659" w15:restartNumberingAfterBreak="0">
    <w:nsid w:val="46EF7A79"/>
    <w:multiLevelType w:val="hybridMultilevel"/>
    <w:tmpl w:val="ABBA941A"/>
    <w:lvl w:ilvl="0" w:tplc="538A55B4">
      <w:start w:val="1"/>
      <w:numFmt w:val="bullet"/>
      <w:lvlText w:val=""/>
      <w:lvlJc w:val="left"/>
      <w:pPr>
        <w:ind w:left="720" w:hanging="180"/>
      </w:pPr>
      <w:rPr>
        <w:rFonts w:ascii="Symbol" w:hAnsi="Symbol" w:hint="default"/>
      </w:rPr>
    </w:lvl>
    <w:lvl w:ilvl="1" w:tplc="46F81712">
      <w:numFmt w:val="decimal"/>
      <w:lvlText w:val=""/>
      <w:lvlJc w:val="left"/>
    </w:lvl>
    <w:lvl w:ilvl="2" w:tplc="8F0EA85E">
      <w:numFmt w:val="decimal"/>
      <w:lvlText w:val=""/>
      <w:lvlJc w:val="left"/>
    </w:lvl>
    <w:lvl w:ilvl="3" w:tplc="C024B2DC">
      <w:numFmt w:val="decimal"/>
      <w:lvlText w:val=""/>
      <w:lvlJc w:val="left"/>
    </w:lvl>
    <w:lvl w:ilvl="4" w:tplc="4CA270BA">
      <w:numFmt w:val="decimal"/>
      <w:lvlText w:val=""/>
      <w:lvlJc w:val="left"/>
    </w:lvl>
    <w:lvl w:ilvl="5" w:tplc="16C62B4A">
      <w:numFmt w:val="decimal"/>
      <w:lvlText w:val=""/>
      <w:lvlJc w:val="left"/>
    </w:lvl>
    <w:lvl w:ilvl="6" w:tplc="2490F782">
      <w:numFmt w:val="decimal"/>
      <w:lvlText w:val=""/>
      <w:lvlJc w:val="left"/>
    </w:lvl>
    <w:lvl w:ilvl="7" w:tplc="E0909210">
      <w:numFmt w:val="decimal"/>
      <w:lvlText w:val=""/>
      <w:lvlJc w:val="left"/>
    </w:lvl>
    <w:lvl w:ilvl="8" w:tplc="E31E9BBA">
      <w:numFmt w:val="decimal"/>
      <w:lvlText w:val=""/>
      <w:lvlJc w:val="left"/>
    </w:lvl>
  </w:abstractNum>
  <w:abstractNum w:abstractNumId="660" w15:restartNumberingAfterBreak="0">
    <w:nsid w:val="471778B6"/>
    <w:multiLevelType w:val="hybridMultilevel"/>
    <w:tmpl w:val="4CEA3708"/>
    <w:lvl w:ilvl="0" w:tplc="96B4ED36">
      <w:start w:val="1"/>
      <w:numFmt w:val="bullet"/>
      <w:lvlText w:val=""/>
      <w:lvlJc w:val="left"/>
      <w:pPr>
        <w:ind w:left="720" w:hanging="180"/>
      </w:pPr>
      <w:rPr>
        <w:rFonts w:ascii="Symbol" w:hAnsi="Symbol" w:hint="default"/>
      </w:rPr>
    </w:lvl>
    <w:lvl w:ilvl="1" w:tplc="F266B616">
      <w:numFmt w:val="decimal"/>
      <w:lvlText w:val=""/>
      <w:lvlJc w:val="left"/>
    </w:lvl>
    <w:lvl w:ilvl="2" w:tplc="FB26721C">
      <w:numFmt w:val="decimal"/>
      <w:lvlText w:val=""/>
      <w:lvlJc w:val="left"/>
    </w:lvl>
    <w:lvl w:ilvl="3" w:tplc="25908F72">
      <w:numFmt w:val="decimal"/>
      <w:lvlText w:val=""/>
      <w:lvlJc w:val="left"/>
    </w:lvl>
    <w:lvl w:ilvl="4" w:tplc="A8DEF8DE">
      <w:numFmt w:val="decimal"/>
      <w:lvlText w:val=""/>
      <w:lvlJc w:val="left"/>
    </w:lvl>
    <w:lvl w:ilvl="5" w:tplc="F1387730">
      <w:numFmt w:val="decimal"/>
      <w:lvlText w:val=""/>
      <w:lvlJc w:val="left"/>
    </w:lvl>
    <w:lvl w:ilvl="6" w:tplc="F5B0E466">
      <w:numFmt w:val="decimal"/>
      <w:lvlText w:val=""/>
      <w:lvlJc w:val="left"/>
    </w:lvl>
    <w:lvl w:ilvl="7" w:tplc="A7E0E79C">
      <w:numFmt w:val="decimal"/>
      <w:lvlText w:val=""/>
      <w:lvlJc w:val="left"/>
    </w:lvl>
    <w:lvl w:ilvl="8" w:tplc="0AB40606">
      <w:numFmt w:val="decimal"/>
      <w:lvlText w:val=""/>
      <w:lvlJc w:val="left"/>
    </w:lvl>
  </w:abstractNum>
  <w:abstractNum w:abstractNumId="661" w15:restartNumberingAfterBreak="0">
    <w:nsid w:val="4725247D"/>
    <w:multiLevelType w:val="hybridMultilevel"/>
    <w:tmpl w:val="32D0BC22"/>
    <w:lvl w:ilvl="0" w:tplc="F19456BE">
      <w:start w:val="1"/>
      <w:numFmt w:val="bullet"/>
      <w:lvlText w:val=""/>
      <w:lvlJc w:val="left"/>
      <w:pPr>
        <w:ind w:left="720" w:hanging="180"/>
      </w:pPr>
      <w:rPr>
        <w:rFonts w:ascii="Symbol" w:hAnsi="Symbol" w:hint="default"/>
      </w:rPr>
    </w:lvl>
    <w:lvl w:ilvl="1" w:tplc="0B88B90A">
      <w:numFmt w:val="decimal"/>
      <w:lvlText w:val=""/>
      <w:lvlJc w:val="left"/>
    </w:lvl>
    <w:lvl w:ilvl="2" w:tplc="4B90626C">
      <w:numFmt w:val="decimal"/>
      <w:lvlText w:val=""/>
      <w:lvlJc w:val="left"/>
    </w:lvl>
    <w:lvl w:ilvl="3" w:tplc="68C85E68">
      <w:numFmt w:val="decimal"/>
      <w:lvlText w:val=""/>
      <w:lvlJc w:val="left"/>
    </w:lvl>
    <w:lvl w:ilvl="4" w:tplc="4050CEBA">
      <w:numFmt w:val="decimal"/>
      <w:lvlText w:val=""/>
      <w:lvlJc w:val="left"/>
    </w:lvl>
    <w:lvl w:ilvl="5" w:tplc="6182483C">
      <w:numFmt w:val="decimal"/>
      <w:lvlText w:val=""/>
      <w:lvlJc w:val="left"/>
    </w:lvl>
    <w:lvl w:ilvl="6" w:tplc="7AD0F022">
      <w:numFmt w:val="decimal"/>
      <w:lvlText w:val=""/>
      <w:lvlJc w:val="left"/>
    </w:lvl>
    <w:lvl w:ilvl="7" w:tplc="DD802BDE">
      <w:numFmt w:val="decimal"/>
      <w:lvlText w:val=""/>
      <w:lvlJc w:val="left"/>
    </w:lvl>
    <w:lvl w:ilvl="8" w:tplc="582CF9AE">
      <w:numFmt w:val="decimal"/>
      <w:lvlText w:val=""/>
      <w:lvlJc w:val="left"/>
    </w:lvl>
  </w:abstractNum>
  <w:abstractNum w:abstractNumId="662" w15:restartNumberingAfterBreak="0">
    <w:nsid w:val="472767F3"/>
    <w:multiLevelType w:val="hybridMultilevel"/>
    <w:tmpl w:val="3DA6761A"/>
    <w:lvl w:ilvl="0" w:tplc="1EC4BB28">
      <w:start w:val="1"/>
      <w:numFmt w:val="bullet"/>
      <w:lvlText w:val=""/>
      <w:lvlJc w:val="left"/>
      <w:pPr>
        <w:ind w:left="720" w:hanging="180"/>
      </w:pPr>
      <w:rPr>
        <w:rFonts w:ascii="Symbol" w:hAnsi="Symbol" w:hint="default"/>
      </w:rPr>
    </w:lvl>
    <w:lvl w:ilvl="1" w:tplc="696CD5C0">
      <w:numFmt w:val="decimal"/>
      <w:lvlText w:val=""/>
      <w:lvlJc w:val="left"/>
    </w:lvl>
    <w:lvl w:ilvl="2" w:tplc="E130B2B0">
      <w:numFmt w:val="decimal"/>
      <w:lvlText w:val=""/>
      <w:lvlJc w:val="left"/>
    </w:lvl>
    <w:lvl w:ilvl="3" w:tplc="BF082D8E">
      <w:numFmt w:val="decimal"/>
      <w:lvlText w:val=""/>
      <w:lvlJc w:val="left"/>
    </w:lvl>
    <w:lvl w:ilvl="4" w:tplc="1904087A">
      <w:numFmt w:val="decimal"/>
      <w:lvlText w:val=""/>
      <w:lvlJc w:val="left"/>
    </w:lvl>
    <w:lvl w:ilvl="5" w:tplc="819EFA00">
      <w:numFmt w:val="decimal"/>
      <w:lvlText w:val=""/>
      <w:lvlJc w:val="left"/>
    </w:lvl>
    <w:lvl w:ilvl="6" w:tplc="5EC2B872">
      <w:numFmt w:val="decimal"/>
      <w:lvlText w:val=""/>
      <w:lvlJc w:val="left"/>
    </w:lvl>
    <w:lvl w:ilvl="7" w:tplc="6D44463C">
      <w:numFmt w:val="decimal"/>
      <w:lvlText w:val=""/>
      <w:lvlJc w:val="left"/>
    </w:lvl>
    <w:lvl w:ilvl="8" w:tplc="C8D880C4">
      <w:numFmt w:val="decimal"/>
      <w:lvlText w:val=""/>
      <w:lvlJc w:val="left"/>
    </w:lvl>
  </w:abstractNum>
  <w:abstractNum w:abstractNumId="663" w15:restartNumberingAfterBreak="0">
    <w:nsid w:val="47280461"/>
    <w:multiLevelType w:val="hybridMultilevel"/>
    <w:tmpl w:val="69D0B492"/>
    <w:lvl w:ilvl="0" w:tplc="C32058D6">
      <w:numFmt w:val="decimal"/>
      <w:lvlText w:val=""/>
      <w:lvlJc w:val="left"/>
    </w:lvl>
    <w:lvl w:ilvl="1" w:tplc="98D6D55A">
      <w:start w:val="1"/>
      <w:numFmt w:val="bullet"/>
      <w:lvlText w:val=""/>
      <w:lvlJc w:val="left"/>
      <w:pPr>
        <w:ind w:left="1440" w:hanging="180"/>
      </w:pPr>
      <w:rPr>
        <w:rFonts w:ascii="Symbol" w:hAnsi="Symbol" w:hint="default"/>
      </w:rPr>
    </w:lvl>
    <w:lvl w:ilvl="2" w:tplc="7D664F38">
      <w:numFmt w:val="decimal"/>
      <w:lvlText w:val=""/>
      <w:lvlJc w:val="left"/>
    </w:lvl>
    <w:lvl w:ilvl="3" w:tplc="AE8A64E8">
      <w:numFmt w:val="decimal"/>
      <w:lvlText w:val=""/>
      <w:lvlJc w:val="left"/>
    </w:lvl>
    <w:lvl w:ilvl="4" w:tplc="AF4A2C4A">
      <w:numFmt w:val="decimal"/>
      <w:lvlText w:val=""/>
      <w:lvlJc w:val="left"/>
    </w:lvl>
    <w:lvl w:ilvl="5" w:tplc="67B4C0E2">
      <w:numFmt w:val="decimal"/>
      <w:lvlText w:val=""/>
      <w:lvlJc w:val="left"/>
    </w:lvl>
    <w:lvl w:ilvl="6" w:tplc="51AED304">
      <w:numFmt w:val="decimal"/>
      <w:lvlText w:val=""/>
      <w:lvlJc w:val="left"/>
    </w:lvl>
    <w:lvl w:ilvl="7" w:tplc="C3C041AA">
      <w:numFmt w:val="decimal"/>
      <w:lvlText w:val=""/>
      <w:lvlJc w:val="left"/>
    </w:lvl>
    <w:lvl w:ilvl="8" w:tplc="77D8095C">
      <w:numFmt w:val="decimal"/>
      <w:lvlText w:val=""/>
      <w:lvlJc w:val="left"/>
    </w:lvl>
  </w:abstractNum>
  <w:abstractNum w:abstractNumId="664" w15:restartNumberingAfterBreak="0">
    <w:nsid w:val="47327A36"/>
    <w:multiLevelType w:val="hybridMultilevel"/>
    <w:tmpl w:val="763AFB88"/>
    <w:lvl w:ilvl="0" w:tplc="23EA1410">
      <w:start w:val="1"/>
      <w:numFmt w:val="bullet"/>
      <w:lvlText w:val=""/>
      <w:lvlJc w:val="left"/>
      <w:pPr>
        <w:ind w:left="720" w:hanging="180"/>
      </w:pPr>
      <w:rPr>
        <w:rFonts w:ascii="Symbol" w:hAnsi="Symbol" w:hint="default"/>
      </w:rPr>
    </w:lvl>
    <w:lvl w:ilvl="1" w:tplc="2C2ABE9E">
      <w:numFmt w:val="decimal"/>
      <w:lvlText w:val=""/>
      <w:lvlJc w:val="left"/>
    </w:lvl>
    <w:lvl w:ilvl="2" w:tplc="3A7AA79C">
      <w:numFmt w:val="decimal"/>
      <w:lvlText w:val=""/>
      <w:lvlJc w:val="left"/>
    </w:lvl>
    <w:lvl w:ilvl="3" w:tplc="B6BE04EE">
      <w:numFmt w:val="decimal"/>
      <w:lvlText w:val=""/>
      <w:lvlJc w:val="left"/>
    </w:lvl>
    <w:lvl w:ilvl="4" w:tplc="981C17DA">
      <w:numFmt w:val="decimal"/>
      <w:lvlText w:val=""/>
      <w:lvlJc w:val="left"/>
    </w:lvl>
    <w:lvl w:ilvl="5" w:tplc="7CEAAC76">
      <w:numFmt w:val="decimal"/>
      <w:lvlText w:val=""/>
      <w:lvlJc w:val="left"/>
    </w:lvl>
    <w:lvl w:ilvl="6" w:tplc="B8D8D07E">
      <w:numFmt w:val="decimal"/>
      <w:lvlText w:val=""/>
      <w:lvlJc w:val="left"/>
    </w:lvl>
    <w:lvl w:ilvl="7" w:tplc="10F4B4F6">
      <w:numFmt w:val="decimal"/>
      <w:lvlText w:val=""/>
      <w:lvlJc w:val="left"/>
    </w:lvl>
    <w:lvl w:ilvl="8" w:tplc="C7B61674">
      <w:numFmt w:val="decimal"/>
      <w:lvlText w:val=""/>
      <w:lvlJc w:val="left"/>
    </w:lvl>
  </w:abstractNum>
  <w:abstractNum w:abstractNumId="665" w15:restartNumberingAfterBreak="0">
    <w:nsid w:val="474561A2"/>
    <w:multiLevelType w:val="hybridMultilevel"/>
    <w:tmpl w:val="B4F80726"/>
    <w:lvl w:ilvl="0" w:tplc="9944762A">
      <w:start w:val="1"/>
      <w:numFmt w:val="bullet"/>
      <w:lvlText w:val=""/>
      <w:lvlJc w:val="left"/>
      <w:pPr>
        <w:ind w:left="720" w:hanging="180"/>
      </w:pPr>
      <w:rPr>
        <w:rFonts w:ascii="Symbol" w:hAnsi="Symbol" w:hint="default"/>
      </w:rPr>
    </w:lvl>
    <w:lvl w:ilvl="1" w:tplc="AA061952">
      <w:numFmt w:val="decimal"/>
      <w:lvlText w:val=""/>
      <w:lvlJc w:val="left"/>
    </w:lvl>
    <w:lvl w:ilvl="2" w:tplc="B73644EE">
      <w:numFmt w:val="decimal"/>
      <w:lvlText w:val=""/>
      <w:lvlJc w:val="left"/>
    </w:lvl>
    <w:lvl w:ilvl="3" w:tplc="CFB8736E">
      <w:numFmt w:val="decimal"/>
      <w:lvlText w:val=""/>
      <w:lvlJc w:val="left"/>
    </w:lvl>
    <w:lvl w:ilvl="4" w:tplc="ADDED470">
      <w:numFmt w:val="decimal"/>
      <w:lvlText w:val=""/>
      <w:lvlJc w:val="left"/>
    </w:lvl>
    <w:lvl w:ilvl="5" w:tplc="7338A3B6">
      <w:numFmt w:val="decimal"/>
      <w:lvlText w:val=""/>
      <w:lvlJc w:val="left"/>
    </w:lvl>
    <w:lvl w:ilvl="6" w:tplc="F26489B4">
      <w:numFmt w:val="decimal"/>
      <w:lvlText w:val=""/>
      <w:lvlJc w:val="left"/>
    </w:lvl>
    <w:lvl w:ilvl="7" w:tplc="41B42CBA">
      <w:numFmt w:val="decimal"/>
      <w:lvlText w:val=""/>
      <w:lvlJc w:val="left"/>
    </w:lvl>
    <w:lvl w:ilvl="8" w:tplc="332455EE">
      <w:numFmt w:val="decimal"/>
      <w:lvlText w:val=""/>
      <w:lvlJc w:val="left"/>
    </w:lvl>
  </w:abstractNum>
  <w:abstractNum w:abstractNumId="666" w15:restartNumberingAfterBreak="0">
    <w:nsid w:val="47461D6D"/>
    <w:multiLevelType w:val="hybridMultilevel"/>
    <w:tmpl w:val="0A3A972C"/>
    <w:lvl w:ilvl="0" w:tplc="D92646D6">
      <w:start w:val="1"/>
      <w:numFmt w:val="bullet"/>
      <w:lvlText w:val=""/>
      <w:lvlJc w:val="left"/>
      <w:pPr>
        <w:ind w:left="720" w:hanging="180"/>
      </w:pPr>
      <w:rPr>
        <w:rFonts w:ascii="Symbol" w:hAnsi="Symbol" w:hint="default"/>
      </w:rPr>
    </w:lvl>
    <w:lvl w:ilvl="1" w:tplc="074E8B02">
      <w:numFmt w:val="decimal"/>
      <w:lvlText w:val=""/>
      <w:lvlJc w:val="left"/>
    </w:lvl>
    <w:lvl w:ilvl="2" w:tplc="2EAA8FC8">
      <w:numFmt w:val="decimal"/>
      <w:lvlText w:val=""/>
      <w:lvlJc w:val="left"/>
    </w:lvl>
    <w:lvl w:ilvl="3" w:tplc="8FA8BBC2">
      <w:numFmt w:val="decimal"/>
      <w:lvlText w:val=""/>
      <w:lvlJc w:val="left"/>
    </w:lvl>
    <w:lvl w:ilvl="4" w:tplc="71289D58">
      <w:numFmt w:val="decimal"/>
      <w:lvlText w:val=""/>
      <w:lvlJc w:val="left"/>
    </w:lvl>
    <w:lvl w:ilvl="5" w:tplc="A5DC8276">
      <w:numFmt w:val="decimal"/>
      <w:lvlText w:val=""/>
      <w:lvlJc w:val="left"/>
    </w:lvl>
    <w:lvl w:ilvl="6" w:tplc="8FCCF34E">
      <w:numFmt w:val="decimal"/>
      <w:lvlText w:val=""/>
      <w:lvlJc w:val="left"/>
    </w:lvl>
    <w:lvl w:ilvl="7" w:tplc="B5BA122C">
      <w:numFmt w:val="decimal"/>
      <w:lvlText w:val=""/>
      <w:lvlJc w:val="left"/>
    </w:lvl>
    <w:lvl w:ilvl="8" w:tplc="6E0E66D0">
      <w:numFmt w:val="decimal"/>
      <w:lvlText w:val=""/>
      <w:lvlJc w:val="left"/>
    </w:lvl>
  </w:abstractNum>
  <w:abstractNum w:abstractNumId="667" w15:restartNumberingAfterBreak="0">
    <w:nsid w:val="474A3687"/>
    <w:multiLevelType w:val="hybridMultilevel"/>
    <w:tmpl w:val="21E01070"/>
    <w:lvl w:ilvl="0" w:tplc="F76A3AE8">
      <w:start w:val="1"/>
      <w:numFmt w:val="bullet"/>
      <w:lvlText w:val=""/>
      <w:lvlJc w:val="left"/>
      <w:pPr>
        <w:ind w:left="720" w:hanging="180"/>
      </w:pPr>
      <w:rPr>
        <w:rFonts w:ascii="Symbol" w:hAnsi="Symbol" w:hint="default"/>
      </w:rPr>
    </w:lvl>
    <w:lvl w:ilvl="1" w:tplc="1EAE4982">
      <w:numFmt w:val="decimal"/>
      <w:lvlText w:val=""/>
      <w:lvlJc w:val="left"/>
    </w:lvl>
    <w:lvl w:ilvl="2" w:tplc="5C1C1772">
      <w:numFmt w:val="decimal"/>
      <w:lvlText w:val=""/>
      <w:lvlJc w:val="left"/>
    </w:lvl>
    <w:lvl w:ilvl="3" w:tplc="DB527D86">
      <w:numFmt w:val="decimal"/>
      <w:lvlText w:val=""/>
      <w:lvlJc w:val="left"/>
    </w:lvl>
    <w:lvl w:ilvl="4" w:tplc="1D046FA2">
      <w:numFmt w:val="decimal"/>
      <w:lvlText w:val=""/>
      <w:lvlJc w:val="left"/>
    </w:lvl>
    <w:lvl w:ilvl="5" w:tplc="17D00BC4">
      <w:numFmt w:val="decimal"/>
      <w:lvlText w:val=""/>
      <w:lvlJc w:val="left"/>
    </w:lvl>
    <w:lvl w:ilvl="6" w:tplc="D7B038C8">
      <w:numFmt w:val="decimal"/>
      <w:lvlText w:val=""/>
      <w:lvlJc w:val="left"/>
    </w:lvl>
    <w:lvl w:ilvl="7" w:tplc="A1942B02">
      <w:numFmt w:val="decimal"/>
      <w:lvlText w:val=""/>
      <w:lvlJc w:val="left"/>
    </w:lvl>
    <w:lvl w:ilvl="8" w:tplc="5018054C">
      <w:numFmt w:val="decimal"/>
      <w:lvlText w:val=""/>
      <w:lvlJc w:val="left"/>
    </w:lvl>
  </w:abstractNum>
  <w:abstractNum w:abstractNumId="668" w15:restartNumberingAfterBreak="0">
    <w:nsid w:val="474E4CB3"/>
    <w:multiLevelType w:val="hybridMultilevel"/>
    <w:tmpl w:val="48D21E72"/>
    <w:lvl w:ilvl="0" w:tplc="52B2D402">
      <w:start w:val="1"/>
      <w:numFmt w:val="bullet"/>
      <w:lvlText w:val=""/>
      <w:lvlJc w:val="left"/>
      <w:pPr>
        <w:ind w:left="720" w:hanging="180"/>
      </w:pPr>
      <w:rPr>
        <w:rFonts w:ascii="Symbol" w:hAnsi="Symbol" w:hint="default"/>
      </w:rPr>
    </w:lvl>
    <w:lvl w:ilvl="1" w:tplc="FDF42378">
      <w:numFmt w:val="decimal"/>
      <w:lvlText w:val=""/>
      <w:lvlJc w:val="left"/>
    </w:lvl>
    <w:lvl w:ilvl="2" w:tplc="2E585F66">
      <w:numFmt w:val="decimal"/>
      <w:lvlText w:val=""/>
      <w:lvlJc w:val="left"/>
    </w:lvl>
    <w:lvl w:ilvl="3" w:tplc="69B829D2">
      <w:numFmt w:val="decimal"/>
      <w:lvlText w:val=""/>
      <w:lvlJc w:val="left"/>
    </w:lvl>
    <w:lvl w:ilvl="4" w:tplc="CAC6A126">
      <w:numFmt w:val="decimal"/>
      <w:lvlText w:val=""/>
      <w:lvlJc w:val="left"/>
    </w:lvl>
    <w:lvl w:ilvl="5" w:tplc="ACCE02A6">
      <w:numFmt w:val="decimal"/>
      <w:lvlText w:val=""/>
      <w:lvlJc w:val="left"/>
    </w:lvl>
    <w:lvl w:ilvl="6" w:tplc="F474A120">
      <w:numFmt w:val="decimal"/>
      <w:lvlText w:val=""/>
      <w:lvlJc w:val="left"/>
    </w:lvl>
    <w:lvl w:ilvl="7" w:tplc="D3306356">
      <w:numFmt w:val="decimal"/>
      <w:lvlText w:val=""/>
      <w:lvlJc w:val="left"/>
    </w:lvl>
    <w:lvl w:ilvl="8" w:tplc="5AC0DCB6">
      <w:numFmt w:val="decimal"/>
      <w:lvlText w:val=""/>
      <w:lvlJc w:val="left"/>
    </w:lvl>
  </w:abstractNum>
  <w:abstractNum w:abstractNumId="669" w15:restartNumberingAfterBreak="0">
    <w:nsid w:val="477A5D05"/>
    <w:multiLevelType w:val="hybridMultilevel"/>
    <w:tmpl w:val="9C6C4106"/>
    <w:lvl w:ilvl="0" w:tplc="0FA6BEAE">
      <w:start w:val="1"/>
      <w:numFmt w:val="bullet"/>
      <w:lvlText w:val=""/>
      <w:lvlJc w:val="left"/>
      <w:pPr>
        <w:ind w:left="720" w:hanging="180"/>
      </w:pPr>
      <w:rPr>
        <w:rFonts w:ascii="Symbol" w:hAnsi="Symbol" w:hint="default"/>
      </w:rPr>
    </w:lvl>
    <w:lvl w:ilvl="1" w:tplc="CEBEF324">
      <w:numFmt w:val="decimal"/>
      <w:lvlText w:val=""/>
      <w:lvlJc w:val="left"/>
    </w:lvl>
    <w:lvl w:ilvl="2" w:tplc="462A3438">
      <w:numFmt w:val="decimal"/>
      <w:lvlText w:val=""/>
      <w:lvlJc w:val="left"/>
    </w:lvl>
    <w:lvl w:ilvl="3" w:tplc="9D3A6310">
      <w:numFmt w:val="decimal"/>
      <w:lvlText w:val=""/>
      <w:lvlJc w:val="left"/>
    </w:lvl>
    <w:lvl w:ilvl="4" w:tplc="CB0C16D8">
      <w:numFmt w:val="decimal"/>
      <w:lvlText w:val=""/>
      <w:lvlJc w:val="left"/>
    </w:lvl>
    <w:lvl w:ilvl="5" w:tplc="A8E005D0">
      <w:numFmt w:val="decimal"/>
      <w:lvlText w:val=""/>
      <w:lvlJc w:val="left"/>
    </w:lvl>
    <w:lvl w:ilvl="6" w:tplc="4998AC7A">
      <w:numFmt w:val="decimal"/>
      <w:lvlText w:val=""/>
      <w:lvlJc w:val="left"/>
    </w:lvl>
    <w:lvl w:ilvl="7" w:tplc="59CC4A34">
      <w:numFmt w:val="decimal"/>
      <w:lvlText w:val=""/>
      <w:lvlJc w:val="left"/>
    </w:lvl>
    <w:lvl w:ilvl="8" w:tplc="01AC6FE2">
      <w:numFmt w:val="decimal"/>
      <w:lvlText w:val=""/>
      <w:lvlJc w:val="left"/>
    </w:lvl>
  </w:abstractNum>
  <w:abstractNum w:abstractNumId="670" w15:restartNumberingAfterBreak="0">
    <w:nsid w:val="477F10C8"/>
    <w:multiLevelType w:val="hybridMultilevel"/>
    <w:tmpl w:val="DB48D27C"/>
    <w:lvl w:ilvl="0" w:tplc="6CF0CECC">
      <w:start w:val="1"/>
      <w:numFmt w:val="bullet"/>
      <w:lvlText w:val=""/>
      <w:lvlJc w:val="left"/>
      <w:pPr>
        <w:ind w:left="720" w:hanging="180"/>
      </w:pPr>
      <w:rPr>
        <w:rFonts w:ascii="Symbol" w:hAnsi="Symbol" w:hint="default"/>
      </w:rPr>
    </w:lvl>
    <w:lvl w:ilvl="1" w:tplc="037A9D4C">
      <w:numFmt w:val="decimal"/>
      <w:lvlText w:val=""/>
      <w:lvlJc w:val="left"/>
    </w:lvl>
    <w:lvl w:ilvl="2" w:tplc="E2B61C12">
      <w:numFmt w:val="decimal"/>
      <w:lvlText w:val=""/>
      <w:lvlJc w:val="left"/>
    </w:lvl>
    <w:lvl w:ilvl="3" w:tplc="54EE8640">
      <w:numFmt w:val="decimal"/>
      <w:lvlText w:val=""/>
      <w:lvlJc w:val="left"/>
    </w:lvl>
    <w:lvl w:ilvl="4" w:tplc="BF9683AC">
      <w:numFmt w:val="decimal"/>
      <w:lvlText w:val=""/>
      <w:lvlJc w:val="left"/>
    </w:lvl>
    <w:lvl w:ilvl="5" w:tplc="F35C8FC0">
      <w:numFmt w:val="decimal"/>
      <w:lvlText w:val=""/>
      <w:lvlJc w:val="left"/>
    </w:lvl>
    <w:lvl w:ilvl="6" w:tplc="278A58C4">
      <w:numFmt w:val="decimal"/>
      <w:lvlText w:val=""/>
      <w:lvlJc w:val="left"/>
    </w:lvl>
    <w:lvl w:ilvl="7" w:tplc="BE2419B8">
      <w:numFmt w:val="decimal"/>
      <w:lvlText w:val=""/>
      <w:lvlJc w:val="left"/>
    </w:lvl>
    <w:lvl w:ilvl="8" w:tplc="272C1C48">
      <w:numFmt w:val="decimal"/>
      <w:lvlText w:val=""/>
      <w:lvlJc w:val="left"/>
    </w:lvl>
  </w:abstractNum>
  <w:abstractNum w:abstractNumId="671" w15:restartNumberingAfterBreak="0">
    <w:nsid w:val="47902F2B"/>
    <w:multiLevelType w:val="hybridMultilevel"/>
    <w:tmpl w:val="A1C47D40"/>
    <w:lvl w:ilvl="0" w:tplc="6F5A4D32">
      <w:start w:val="1"/>
      <w:numFmt w:val="bullet"/>
      <w:lvlText w:val=""/>
      <w:lvlJc w:val="left"/>
      <w:pPr>
        <w:ind w:left="720" w:hanging="180"/>
      </w:pPr>
      <w:rPr>
        <w:rFonts w:ascii="Symbol" w:hAnsi="Symbol" w:hint="default"/>
      </w:rPr>
    </w:lvl>
    <w:lvl w:ilvl="1" w:tplc="D5246354">
      <w:numFmt w:val="decimal"/>
      <w:lvlText w:val=""/>
      <w:lvlJc w:val="left"/>
    </w:lvl>
    <w:lvl w:ilvl="2" w:tplc="0B86910E">
      <w:numFmt w:val="decimal"/>
      <w:lvlText w:val=""/>
      <w:lvlJc w:val="left"/>
    </w:lvl>
    <w:lvl w:ilvl="3" w:tplc="3B5E0314">
      <w:numFmt w:val="decimal"/>
      <w:lvlText w:val=""/>
      <w:lvlJc w:val="left"/>
    </w:lvl>
    <w:lvl w:ilvl="4" w:tplc="72906A50">
      <w:numFmt w:val="decimal"/>
      <w:lvlText w:val=""/>
      <w:lvlJc w:val="left"/>
    </w:lvl>
    <w:lvl w:ilvl="5" w:tplc="1F5C4C44">
      <w:numFmt w:val="decimal"/>
      <w:lvlText w:val=""/>
      <w:lvlJc w:val="left"/>
    </w:lvl>
    <w:lvl w:ilvl="6" w:tplc="4ADE73CE">
      <w:numFmt w:val="decimal"/>
      <w:lvlText w:val=""/>
      <w:lvlJc w:val="left"/>
    </w:lvl>
    <w:lvl w:ilvl="7" w:tplc="3CDC185A">
      <w:numFmt w:val="decimal"/>
      <w:lvlText w:val=""/>
      <w:lvlJc w:val="left"/>
    </w:lvl>
    <w:lvl w:ilvl="8" w:tplc="A300C610">
      <w:numFmt w:val="decimal"/>
      <w:lvlText w:val=""/>
      <w:lvlJc w:val="left"/>
    </w:lvl>
  </w:abstractNum>
  <w:abstractNum w:abstractNumId="672" w15:restartNumberingAfterBreak="0">
    <w:nsid w:val="47A41BA4"/>
    <w:multiLevelType w:val="hybridMultilevel"/>
    <w:tmpl w:val="2F809042"/>
    <w:lvl w:ilvl="0" w:tplc="966076E0">
      <w:start w:val="1"/>
      <w:numFmt w:val="bullet"/>
      <w:lvlText w:val=""/>
      <w:lvlJc w:val="left"/>
      <w:pPr>
        <w:ind w:left="720" w:hanging="180"/>
      </w:pPr>
      <w:rPr>
        <w:rFonts w:ascii="Symbol" w:hAnsi="Symbol" w:hint="default"/>
      </w:rPr>
    </w:lvl>
    <w:lvl w:ilvl="1" w:tplc="F6F26312">
      <w:numFmt w:val="decimal"/>
      <w:lvlText w:val=""/>
      <w:lvlJc w:val="left"/>
    </w:lvl>
    <w:lvl w:ilvl="2" w:tplc="0A420BBE">
      <w:numFmt w:val="decimal"/>
      <w:lvlText w:val=""/>
      <w:lvlJc w:val="left"/>
    </w:lvl>
    <w:lvl w:ilvl="3" w:tplc="FC165B90">
      <w:numFmt w:val="decimal"/>
      <w:lvlText w:val=""/>
      <w:lvlJc w:val="left"/>
    </w:lvl>
    <w:lvl w:ilvl="4" w:tplc="F91434E8">
      <w:numFmt w:val="decimal"/>
      <w:lvlText w:val=""/>
      <w:lvlJc w:val="left"/>
    </w:lvl>
    <w:lvl w:ilvl="5" w:tplc="2DF6891A">
      <w:numFmt w:val="decimal"/>
      <w:lvlText w:val=""/>
      <w:lvlJc w:val="left"/>
    </w:lvl>
    <w:lvl w:ilvl="6" w:tplc="521E9E76">
      <w:numFmt w:val="decimal"/>
      <w:lvlText w:val=""/>
      <w:lvlJc w:val="left"/>
    </w:lvl>
    <w:lvl w:ilvl="7" w:tplc="B362640E">
      <w:numFmt w:val="decimal"/>
      <w:lvlText w:val=""/>
      <w:lvlJc w:val="left"/>
    </w:lvl>
    <w:lvl w:ilvl="8" w:tplc="EFF071E4">
      <w:numFmt w:val="decimal"/>
      <w:lvlText w:val=""/>
      <w:lvlJc w:val="left"/>
    </w:lvl>
  </w:abstractNum>
  <w:abstractNum w:abstractNumId="673" w15:restartNumberingAfterBreak="0">
    <w:nsid w:val="47B353FA"/>
    <w:multiLevelType w:val="hybridMultilevel"/>
    <w:tmpl w:val="CB389E32"/>
    <w:lvl w:ilvl="0" w:tplc="8320D1E4">
      <w:start w:val="1"/>
      <w:numFmt w:val="bullet"/>
      <w:lvlText w:val=""/>
      <w:lvlJc w:val="left"/>
      <w:pPr>
        <w:ind w:left="720" w:hanging="180"/>
      </w:pPr>
      <w:rPr>
        <w:rFonts w:ascii="Symbol" w:hAnsi="Symbol" w:hint="default"/>
      </w:rPr>
    </w:lvl>
    <w:lvl w:ilvl="1" w:tplc="926A6C9A">
      <w:numFmt w:val="decimal"/>
      <w:lvlText w:val=""/>
      <w:lvlJc w:val="left"/>
    </w:lvl>
    <w:lvl w:ilvl="2" w:tplc="AC46AA5E">
      <w:numFmt w:val="decimal"/>
      <w:lvlText w:val=""/>
      <w:lvlJc w:val="left"/>
    </w:lvl>
    <w:lvl w:ilvl="3" w:tplc="558E9330">
      <w:numFmt w:val="decimal"/>
      <w:lvlText w:val=""/>
      <w:lvlJc w:val="left"/>
    </w:lvl>
    <w:lvl w:ilvl="4" w:tplc="39C0EB58">
      <w:numFmt w:val="decimal"/>
      <w:lvlText w:val=""/>
      <w:lvlJc w:val="left"/>
    </w:lvl>
    <w:lvl w:ilvl="5" w:tplc="2BBC3CF6">
      <w:numFmt w:val="decimal"/>
      <w:lvlText w:val=""/>
      <w:lvlJc w:val="left"/>
    </w:lvl>
    <w:lvl w:ilvl="6" w:tplc="0D0CC312">
      <w:numFmt w:val="decimal"/>
      <w:lvlText w:val=""/>
      <w:lvlJc w:val="left"/>
    </w:lvl>
    <w:lvl w:ilvl="7" w:tplc="14CAFEFE">
      <w:numFmt w:val="decimal"/>
      <w:lvlText w:val=""/>
      <w:lvlJc w:val="left"/>
    </w:lvl>
    <w:lvl w:ilvl="8" w:tplc="FA8C7774">
      <w:numFmt w:val="decimal"/>
      <w:lvlText w:val=""/>
      <w:lvlJc w:val="left"/>
    </w:lvl>
  </w:abstractNum>
  <w:abstractNum w:abstractNumId="674" w15:restartNumberingAfterBreak="0">
    <w:nsid w:val="47B476F6"/>
    <w:multiLevelType w:val="hybridMultilevel"/>
    <w:tmpl w:val="2528C742"/>
    <w:lvl w:ilvl="0" w:tplc="BF689A0C">
      <w:start w:val="1"/>
      <w:numFmt w:val="bullet"/>
      <w:lvlText w:val=""/>
      <w:lvlJc w:val="left"/>
      <w:pPr>
        <w:ind w:left="720" w:hanging="180"/>
      </w:pPr>
      <w:rPr>
        <w:rFonts w:ascii="Symbol" w:hAnsi="Symbol" w:hint="default"/>
      </w:rPr>
    </w:lvl>
    <w:lvl w:ilvl="1" w:tplc="5D807C04">
      <w:numFmt w:val="decimal"/>
      <w:lvlText w:val=""/>
      <w:lvlJc w:val="left"/>
    </w:lvl>
    <w:lvl w:ilvl="2" w:tplc="128CE5FA">
      <w:numFmt w:val="decimal"/>
      <w:lvlText w:val=""/>
      <w:lvlJc w:val="left"/>
    </w:lvl>
    <w:lvl w:ilvl="3" w:tplc="29CE12EA">
      <w:numFmt w:val="decimal"/>
      <w:lvlText w:val=""/>
      <w:lvlJc w:val="left"/>
    </w:lvl>
    <w:lvl w:ilvl="4" w:tplc="110C62AA">
      <w:numFmt w:val="decimal"/>
      <w:lvlText w:val=""/>
      <w:lvlJc w:val="left"/>
    </w:lvl>
    <w:lvl w:ilvl="5" w:tplc="99AA8976">
      <w:numFmt w:val="decimal"/>
      <w:lvlText w:val=""/>
      <w:lvlJc w:val="left"/>
    </w:lvl>
    <w:lvl w:ilvl="6" w:tplc="EF32DAEE">
      <w:numFmt w:val="decimal"/>
      <w:lvlText w:val=""/>
      <w:lvlJc w:val="left"/>
    </w:lvl>
    <w:lvl w:ilvl="7" w:tplc="77268F92">
      <w:numFmt w:val="decimal"/>
      <w:lvlText w:val=""/>
      <w:lvlJc w:val="left"/>
    </w:lvl>
    <w:lvl w:ilvl="8" w:tplc="686A49F4">
      <w:numFmt w:val="decimal"/>
      <w:lvlText w:val=""/>
      <w:lvlJc w:val="left"/>
    </w:lvl>
  </w:abstractNum>
  <w:abstractNum w:abstractNumId="675" w15:restartNumberingAfterBreak="0">
    <w:nsid w:val="47D447B2"/>
    <w:multiLevelType w:val="hybridMultilevel"/>
    <w:tmpl w:val="75B4D5E0"/>
    <w:lvl w:ilvl="0" w:tplc="8BD26632">
      <w:start w:val="1"/>
      <w:numFmt w:val="bullet"/>
      <w:lvlText w:val=""/>
      <w:lvlJc w:val="left"/>
      <w:pPr>
        <w:ind w:left="720" w:hanging="180"/>
      </w:pPr>
      <w:rPr>
        <w:rFonts w:ascii="Symbol" w:hAnsi="Symbol" w:hint="default"/>
      </w:rPr>
    </w:lvl>
    <w:lvl w:ilvl="1" w:tplc="E50ED5F8">
      <w:numFmt w:val="decimal"/>
      <w:lvlText w:val=""/>
      <w:lvlJc w:val="left"/>
    </w:lvl>
    <w:lvl w:ilvl="2" w:tplc="3082425A">
      <w:numFmt w:val="decimal"/>
      <w:lvlText w:val=""/>
      <w:lvlJc w:val="left"/>
    </w:lvl>
    <w:lvl w:ilvl="3" w:tplc="042C7144">
      <w:numFmt w:val="decimal"/>
      <w:lvlText w:val=""/>
      <w:lvlJc w:val="left"/>
    </w:lvl>
    <w:lvl w:ilvl="4" w:tplc="DECE27E0">
      <w:numFmt w:val="decimal"/>
      <w:lvlText w:val=""/>
      <w:lvlJc w:val="left"/>
    </w:lvl>
    <w:lvl w:ilvl="5" w:tplc="4A540D32">
      <w:numFmt w:val="decimal"/>
      <w:lvlText w:val=""/>
      <w:lvlJc w:val="left"/>
    </w:lvl>
    <w:lvl w:ilvl="6" w:tplc="A080DF94">
      <w:numFmt w:val="decimal"/>
      <w:lvlText w:val=""/>
      <w:lvlJc w:val="left"/>
    </w:lvl>
    <w:lvl w:ilvl="7" w:tplc="C5E808C4">
      <w:numFmt w:val="decimal"/>
      <w:lvlText w:val=""/>
      <w:lvlJc w:val="left"/>
    </w:lvl>
    <w:lvl w:ilvl="8" w:tplc="A83A4746">
      <w:numFmt w:val="decimal"/>
      <w:lvlText w:val=""/>
      <w:lvlJc w:val="left"/>
    </w:lvl>
  </w:abstractNum>
  <w:abstractNum w:abstractNumId="676" w15:restartNumberingAfterBreak="0">
    <w:nsid w:val="47D61088"/>
    <w:multiLevelType w:val="hybridMultilevel"/>
    <w:tmpl w:val="D2BE7C32"/>
    <w:lvl w:ilvl="0" w:tplc="146CD528">
      <w:start w:val="1"/>
      <w:numFmt w:val="bullet"/>
      <w:lvlText w:val=""/>
      <w:lvlJc w:val="left"/>
      <w:pPr>
        <w:ind w:left="720" w:hanging="180"/>
      </w:pPr>
      <w:rPr>
        <w:rFonts w:ascii="Symbol" w:hAnsi="Symbol" w:hint="default"/>
      </w:rPr>
    </w:lvl>
    <w:lvl w:ilvl="1" w:tplc="F21CA2CE">
      <w:numFmt w:val="decimal"/>
      <w:lvlText w:val=""/>
      <w:lvlJc w:val="left"/>
    </w:lvl>
    <w:lvl w:ilvl="2" w:tplc="37680418">
      <w:numFmt w:val="decimal"/>
      <w:lvlText w:val=""/>
      <w:lvlJc w:val="left"/>
    </w:lvl>
    <w:lvl w:ilvl="3" w:tplc="61C2C834">
      <w:numFmt w:val="decimal"/>
      <w:lvlText w:val=""/>
      <w:lvlJc w:val="left"/>
    </w:lvl>
    <w:lvl w:ilvl="4" w:tplc="16203FC2">
      <w:numFmt w:val="decimal"/>
      <w:lvlText w:val=""/>
      <w:lvlJc w:val="left"/>
    </w:lvl>
    <w:lvl w:ilvl="5" w:tplc="47E0B66C">
      <w:numFmt w:val="decimal"/>
      <w:lvlText w:val=""/>
      <w:lvlJc w:val="left"/>
    </w:lvl>
    <w:lvl w:ilvl="6" w:tplc="FFEED0B4">
      <w:numFmt w:val="decimal"/>
      <w:lvlText w:val=""/>
      <w:lvlJc w:val="left"/>
    </w:lvl>
    <w:lvl w:ilvl="7" w:tplc="FF1807C4">
      <w:numFmt w:val="decimal"/>
      <w:lvlText w:val=""/>
      <w:lvlJc w:val="left"/>
    </w:lvl>
    <w:lvl w:ilvl="8" w:tplc="53149B14">
      <w:numFmt w:val="decimal"/>
      <w:lvlText w:val=""/>
      <w:lvlJc w:val="left"/>
    </w:lvl>
  </w:abstractNum>
  <w:abstractNum w:abstractNumId="677" w15:restartNumberingAfterBreak="0">
    <w:nsid w:val="484721D9"/>
    <w:multiLevelType w:val="hybridMultilevel"/>
    <w:tmpl w:val="688657F4"/>
    <w:lvl w:ilvl="0" w:tplc="B61CD32A">
      <w:start w:val="1"/>
      <w:numFmt w:val="bullet"/>
      <w:lvlText w:val=""/>
      <w:lvlJc w:val="left"/>
      <w:pPr>
        <w:ind w:left="720" w:hanging="180"/>
      </w:pPr>
      <w:rPr>
        <w:rFonts w:ascii="Symbol" w:hAnsi="Symbol" w:hint="default"/>
      </w:rPr>
    </w:lvl>
    <w:lvl w:ilvl="1" w:tplc="AD6EF46C">
      <w:numFmt w:val="decimal"/>
      <w:lvlText w:val=""/>
      <w:lvlJc w:val="left"/>
    </w:lvl>
    <w:lvl w:ilvl="2" w:tplc="553EA552">
      <w:numFmt w:val="decimal"/>
      <w:lvlText w:val=""/>
      <w:lvlJc w:val="left"/>
    </w:lvl>
    <w:lvl w:ilvl="3" w:tplc="A62A28BC">
      <w:numFmt w:val="decimal"/>
      <w:lvlText w:val=""/>
      <w:lvlJc w:val="left"/>
    </w:lvl>
    <w:lvl w:ilvl="4" w:tplc="F712FF06">
      <w:numFmt w:val="decimal"/>
      <w:lvlText w:val=""/>
      <w:lvlJc w:val="left"/>
    </w:lvl>
    <w:lvl w:ilvl="5" w:tplc="4E9040D8">
      <w:numFmt w:val="decimal"/>
      <w:lvlText w:val=""/>
      <w:lvlJc w:val="left"/>
    </w:lvl>
    <w:lvl w:ilvl="6" w:tplc="04DCE898">
      <w:numFmt w:val="decimal"/>
      <w:lvlText w:val=""/>
      <w:lvlJc w:val="left"/>
    </w:lvl>
    <w:lvl w:ilvl="7" w:tplc="A6FEF442">
      <w:numFmt w:val="decimal"/>
      <w:lvlText w:val=""/>
      <w:lvlJc w:val="left"/>
    </w:lvl>
    <w:lvl w:ilvl="8" w:tplc="33442DF2">
      <w:numFmt w:val="decimal"/>
      <w:lvlText w:val=""/>
      <w:lvlJc w:val="left"/>
    </w:lvl>
  </w:abstractNum>
  <w:abstractNum w:abstractNumId="678" w15:restartNumberingAfterBreak="0">
    <w:nsid w:val="4855317D"/>
    <w:multiLevelType w:val="hybridMultilevel"/>
    <w:tmpl w:val="7C86833C"/>
    <w:lvl w:ilvl="0" w:tplc="F5C64B5C">
      <w:numFmt w:val="decimal"/>
      <w:lvlText w:val=""/>
      <w:lvlJc w:val="left"/>
    </w:lvl>
    <w:lvl w:ilvl="1" w:tplc="7856EA8E">
      <w:start w:val="1"/>
      <w:numFmt w:val="bullet"/>
      <w:lvlText w:val=""/>
      <w:lvlJc w:val="left"/>
      <w:pPr>
        <w:ind w:left="1440" w:hanging="180"/>
      </w:pPr>
      <w:rPr>
        <w:rFonts w:ascii="Symbol" w:hAnsi="Symbol" w:hint="default"/>
      </w:rPr>
    </w:lvl>
    <w:lvl w:ilvl="2" w:tplc="EFB8227E">
      <w:numFmt w:val="decimal"/>
      <w:lvlText w:val=""/>
      <w:lvlJc w:val="left"/>
    </w:lvl>
    <w:lvl w:ilvl="3" w:tplc="C3762A2A">
      <w:numFmt w:val="decimal"/>
      <w:lvlText w:val=""/>
      <w:lvlJc w:val="left"/>
    </w:lvl>
    <w:lvl w:ilvl="4" w:tplc="01DE1E28">
      <w:numFmt w:val="decimal"/>
      <w:lvlText w:val=""/>
      <w:lvlJc w:val="left"/>
    </w:lvl>
    <w:lvl w:ilvl="5" w:tplc="34C02B12">
      <w:numFmt w:val="decimal"/>
      <w:lvlText w:val=""/>
      <w:lvlJc w:val="left"/>
    </w:lvl>
    <w:lvl w:ilvl="6" w:tplc="BE5C608A">
      <w:numFmt w:val="decimal"/>
      <w:lvlText w:val=""/>
      <w:lvlJc w:val="left"/>
    </w:lvl>
    <w:lvl w:ilvl="7" w:tplc="24A406CE">
      <w:numFmt w:val="decimal"/>
      <w:lvlText w:val=""/>
      <w:lvlJc w:val="left"/>
    </w:lvl>
    <w:lvl w:ilvl="8" w:tplc="5874DC24">
      <w:numFmt w:val="decimal"/>
      <w:lvlText w:val=""/>
      <w:lvlJc w:val="left"/>
    </w:lvl>
  </w:abstractNum>
  <w:abstractNum w:abstractNumId="679" w15:restartNumberingAfterBreak="0">
    <w:nsid w:val="48581F88"/>
    <w:multiLevelType w:val="hybridMultilevel"/>
    <w:tmpl w:val="9C4C87B2"/>
    <w:lvl w:ilvl="0" w:tplc="59F0BF80">
      <w:start w:val="1"/>
      <w:numFmt w:val="bullet"/>
      <w:lvlText w:val=""/>
      <w:lvlJc w:val="left"/>
      <w:pPr>
        <w:ind w:left="720" w:hanging="180"/>
      </w:pPr>
      <w:rPr>
        <w:rFonts w:ascii="Symbol" w:hAnsi="Symbol" w:hint="default"/>
      </w:rPr>
    </w:lvl>
    <w:lvl w:ilvl="1" w:tplc="42B46680">
      <w:numFmt w:val="decimal"/>
      <w:lvlText w:val=""/>
      <w:lvlJc w:val="left"/>
    </w:lvl>
    <w:lvl w:ilvl="2" w:tplc="BDF295BC">
      <w:numFmt w:val="decimal"/>
      <w:lvlText w:val=""/>
      <w:lvlJc w:val="left"/>
    </w:lvl>
    <w:lvl w:ilvl="3" w:tplc="F906E3DE">
      <w:numFmt w:val="decimal"/>
      <w:lvlText w:val=""/>
      <w:lvlJc w:val="left"/>
    </w:lvl>
    <w:lvl w:ilvl="4" w:tplc="384AEA5E">
      <w:numFmt w:val="decimal"/>
      <w:lvlText w:val=""/>
      <w:lvlJc w:val="left"/>
    </w:lvl>
    <w:lvl w:ilvl="5" w:tplc="C46E50B0">
      <w:numFmt w:val="decimal"/>
      <w:lvlText w:val=""/>
      <w:lvlJc w:val="left"/>
    </w:lvl>
    <w:lvl w:ilvl="6" w:tplc="DC66DEAC">
      <w:numFmt w:val="decimal"/>
      <w:lvlText w:val=""/>
      <w:lvlJc w:val="left"/>
    </w:lvl>
    <w:lvl w:ilvl="7" w:tplc="223A61C6">
      <w:numFmt w:val="decimal"/>
      <w:lvlText w:val=""/>
      <w:lvlJc w:val="left"/>
    </w:lvl>
    <w:lvl w:ilvl="8" w:tplc="84287614">
      <w:numFmt w:val="decimal"/>
      <w:lvlText w:val=""/>
      <w:lvlJc w:val="left"/>
    </w:lvl>
  </w:abstractNum>
  <w:abstractNum w:abstractNumId="680" w15:restartNumberingAfterBreak="0">
    <w:nsid w:val="48617EC0"/>
    <w:multiLevelType w:val="hybridMultilevel"/>
    <w:tmpl w:val="D4BA5FEA"/>
    <w:lvl w:ilvl="0" w:tplc="F79251F6">
      <w:start w:val="1"/>
      <w:numFmt w:val="bullet"/>
      <w:lvlText w:val=""/>
      <w:lvlJc w:val="left"/>
      <w:pPr>
        <w:ind w:left="720" w:hanging="180"/>
      </w:pPr>
      <w:rPr>
        <w:rFonts w:ascii="Symbol" w:hAnsi="Symbol" w:hint="default"/>
      </w:rPr>
    </w:lvl>
    <w:lvl w:ilvl="1" w:tplc="E3DC2124">
      <w:numFmt w:val="decimal"/>
      <w:lvlText w:val=""/>
      <w:lvlJc w:val="left"/>
    </w:lvl>
    <w:lvl w:ilvl="2" w:tplc="BB566CCA">
      <w:numFmt w:val="decimal"/>
      <w:lvlText w:val=""/>
      <w:lvlJc w:val="left"/>
    </w:lvl>
    <w:lvl w:ilvl="3" w:tplc="FA8EA4A0">
      <w:numFmt w:val="decimal"/>
      <w:lvlText w:val=""/>
      <w:lvlJc w:val="left"/>
    </w:lvl>
    <w:lvl w:ilvl="4" w:tplc="269A2B84">
      <w:numFmt w:val="decimal"/>
      <w:lvlText w:val=""/>
      <w:lvlJc w:val="left"/>
    </w:lvl>
    <w:lvl w:ilvl="5" w:tplc="BEF2E35C">
      <w:numFmt w:val="decimal"/>
      <w:lvlText w:val=""/>
      <w:lvlJc w:val="left"/>
    </w:lvl>
    <w:lvl w:ilvl="6" w:tplc="FD900EFC">
      <w:numFmt w:val="decimal"/>
      <w:lvlText w:val=""/>
      <w:lvlJc w:val="left"/>
    </w:lvl>
    <w:lvl w:ilvl="7" w:tplc="20D874A4">
      <w:numFmt w:val="decimal"/>
      <w:lvlText w:val=""/>
      <w:lvlJc w:val="left"/>
    </w:lvl>
    <w:lvl w:ilvl="8" w:tplc="27AA04BC">
      <w:numFmt w:val="decimal"/>
      <w:lvlText w:val=""/>
      <w:lvlJc w:val="left"/>
    </w:lvl>
  </w:abstractNum>
  <w:abstractNum w:abstractNumId="681" w15:restartNumberingAfterBreak="0">
    <w:nsid w:val="48675E6A"/>
    <w:multiLevelType w:val="hybridMultilevel"/>
    <w:tmpl w:val="9FF85658"/>
    <w:lvl w:ilvl="0" w:tplc="E4B21BDA">
      <w:start w:val="1"/>
      <w:numFmt w:val="bullet"/>
      <w:lvlText w:val=""/>
      <w:lvlJc w:val="left"/>
      <w:pPr>
        <w:ind w:left="720" w:hanging="180"/>
      </w:pPr>
      <w:rPr>
        <w:rFonts w:ascii="Symbol" w:hAnsi="Symbol" w:hint="default"/>
      </w:rPr>
    </w:lvl>
    <w:lvl w:ilvl="1" w:tplc="EC2C05D0">
      <w:numFmt w:val="decimal"/>
      <w:lvlText w:val=""/>
      <w:lvlJc w:val="left"/>
    </w:lvl>
    <w:lvl w:ilvl="2" w:tplc="49CA30D8">
      <w:numFmt w:val="decimal"/>
      <w:lvlText w:val=""/>
      <w:lvlJc w:val="left"/>
    </w:lvl>
    <w:lvl w:ilvl="3" w:tplc="30FA3CF8">
      <w:numFmt w:val="decimal"/>
      <w:lvlText w:val=""/>
      <w:lvlJc w:val="left"/>
    </w:lvl>
    <w:lvl w:ilvl="4" w:tplc="62A00BDE">
      <w:numFmt w:val="decimal"/>
      <w:lvlText w:val=""/>
      <w:lvlJc w:val="left"/>
    </w:lvl>
    <w:lvl w:ilvl="5" w:tplc="8D1250DC">
      <w:numFmt w:val="decimal"/>
      <w:lvlText w:val=""/>
      <w:lvlJc w:val="left"/>
    </w:lvl>
    <w:lvl w:ilvl="6" w:tplc="8DBE2D76">
      <w:numFmt w:val="decimal"/>
      <w:lvlText w:val=""/>
      <w:lvlJc w:val="left"/>
    </w:lvl>
    <w:lvl w:ilvl="7" w:tplc="6DACE888">
      <w:numFmt w:val="decimal"/>
      <w:lvlText w:val=""/>
      <w:lvlJc w:val="left"/>
    </w:lvl>
    <w:lvl w:ilvl="8" w:tplc="3B24631C">
      <w:numFmt w:val="decimal"/>
      <w:lvlText w:val=""/>
      <w:lvlJc w:val="left"/>
    </w:lvl>
  </w:abstractNum>
  <w:abstractNum w:abstractNumId="682" w15:restartNumberingAfterBreak="0">
    <w:nsid w:val="48884670"/>
    <w:multiLevelType w:val="hybridMultilevel"/>
    <w:tmpl w:val="CE8C50A8"/>
    <w:lvl w:ilvl="0" w:tplc="B98A7674">
      <w:start w:val="1"/>
      <w:numFmt w:val="bullet"/>
      <w:lvlText w:val=""/>
      <w:lvlJc w:val="left"/>
      <w:pPr>
        <w:ind w:left="720" w:hanging="180"/>
      </w:pPr>
      <w:rPr>
        <w:rFonts w:ascii="Symbol" w:hAnsi="Symbol" w:hint="default"/>
      </w:rPr>
    </w:lvl>
    <w:lvl w:ilvl="1" w:tplc="C0BA5144">
      <w:numFmt w:val="decimal"/>
      <w:lvlText w:val=""/>
      <w:lvlJc w:val="left"/>
    </w:lvl>
    <w:lvl w:ilvl="2" w:tplc="25C09502">
      <w:numFmt w:val="decimal"/>
      <w:lvlText w:val=""/>
      <w:lvlJc w:val="left"/>
    </w:lvl>
    <w:lvl w:ilvl="3" w:tplc="0CE62710">
      <w:numFmt w:val="decimal"/>
      <w:lvlText w:val=""/>
      <w:lvlJc w:val="left"/>
    </w:lvl>
    <w:lvl w:ilvl="4" w:tplc="E6C4A98C">
      <w:numFmt w:val="decimal"/>
      <w:lvlText w:val=""/>
      <w:lvlJc w:val="left"/>
    </w:lvl>
    <w:lvl w:ilvl="5" w:tplc="D6040BBA">
      <w:numFmt w:val="decimal"/>
      <w:lvlText w:val=""/>
      <w:lvlJc w:val="left"/>
    </w:lvl>
    <w:lvl w:ilvl="6" w:tplc="1B7E345C">
      <w:numFmt w:val="decimal"/>
      <w:lvlText w:val=""/>
      <w:lvlJc w:val="left"/>
    </w:lvl>
    <w:lvl w:ilvl="7" w:tplc="0FB4BB3A">
      <w:numFmt w:val="decimal"/>
      <w:lvlText w:val=""/>
      <w:lvlJc w:val="left"/>
    </w:lvl>
    <w:lvl w:ilvl="8" w:tplc="13C4AA6A">
      <w:numFmt w:val="decimal"/>
      <w:lvlText w:val=""/>
      <w:lvlJc w:val="left"/>
    </w:lvl>
  </w:abstractNum>
  <w:abstractNum w:abstractNumId="683" w15:restartNumberingAfterBreak="0">
    <w:nsid w:val="488B477F"/>
    <w:multiLevelType w:val="hybridMultilevel"/>
    <w:tmpl w:val="0AEECD34"/>
    <w:lvl w:ilvl="0" w:tplc="E1C04844">
      <w:start w:val="1"/>
      <w:numFmt w:val="bullet"/>
      <w:lvlText w:val=""/>
      <w:lvlJc w:val="left"/>
      <w:pPr>
        <w:ind w:left="720" w:hanging="180"/>
      </w:pPr>
      <w:rPr>
        <w:rFonts w:ascii="Symbol" w:hAnsi="Symbol" w:hint="default"/>
      </w:rPr>
    </w:lvl>
    <w:lvl w:ilvl="1" w:tplc="CD8AD86C">
      <w:numFmt w:val="decimal"/>
      <w:lvlText w:val=""/>
      <w:lvlJc w:val="left"/>
    </w:lvl>
    <w:lvl w:ilvl="2" w:tplc="31AABDCE">
      <w:numFmt w:val="decimal"/>
      <w:lvlText w:val=""/>
      <w:lvlJc w:val="left"/>
    </w:lvl>
    <w:lvl w:ilvl="3" w:tplc="31AC1AEC">
      <w:numFmt w:val="decimal"/>
      <w:lvlText w:val=""/>
      <w:lvlJc w:val="left"/>
    </w:lvl>
    <w:lvl w:ilvl="4" w:tplc="40685560">
      <w:numFmt w:val="decimal"/>
      <w:lvlText w:val=""/>
      <w:lvlJc w:val="left"/>
    </w:lvl>
    <w:lvl w:ilvl="5" w:tplc="B72A7324">
      <w:numFmt w:val="decimal"/>
      <w:lvlText w:val=""/>
      <w:lvlJc w:val="left"/>
    </w:lvl>
    <w:lvl w:ilvl="6" w:tplc="C77A06E6">
      <w:numFmt w:val="decimal"/>
      <w:lvlText w:val=""/>
      <w:lvlJc w:val="left"/>
    </w:lvl>
    <w:lvl w:ilvl="7" w:tplc="E34A50AC">
      <w:numFmt w:val="decimal"/>
      <w:lvlText w:val=""/>
      <w:lvlJc w:val="left"/>
    </w:lvl>
    <w:lvl w:ilvl="8" w:tplc="5B427EF8">
      <w:numFmt w:val="decimal"/>
      <w:lvlText w:val=""/>
      <w:lvlJc w:val="left"/>
    </w:lvl>
  </w:abstractNum>
  <w:abstractNum w:abstractNumId="684" w15:restartNumberingAfterBreak="0">
    <w:nsid w:val="48EA087B"/>
    <w:multiLevelType w:val="hybridMultilevel"/>
    <w:tmpl w:val="1DA001E8"/>
    <w:lvl w:ilvl="0" w:tplc="9444A262">
      <w:start w:val="1"/>
      <w:numFmt w:val="bullet"/>
      <w:lvlText w:val=""/>
      <w:lvlJc w:val="left"/>
      <w:pPr>
        <w:ind w:left="720" w:hanging="180"/>
      </w:pPr>
      <w:rPr>
        <w:rFonts w:ascii="Symbol" w:hAnsi="Symbol" w:hint="default"/>
      </w:rPr>
    </w:lvl>
    <w:lvl w:ilvl="1" w:tplc="155838B0">
      <w:numFmt w:val="decimal"/>
      <w:lvlText w:val=""/>
      <w:lvlJc w:val="left"/>
    </w:lvl>
    <w:lvl w:ilvl="2" w:tplc="1ED421DE">
      <w:numFmt w:val="decimal"/>
      <w:lvlText w:val=""/>
      <w:lvlJc w:val="left"/>
    </w:lvl>
    <w:lvl w:ilvl="3" w:tplc="A320A8F2">
      <w:numFmt w:val="decimal"/>
      <w:lvlText w:val=""/>
      <w:lvlJc w:val="left"/>
    </w:lvl>
    <w:lvl w:ilvl="4" w:tplc="EA86CE70">
      <w:numFmt w:val="decimal"/>
      <w:lvlText w:val=""/>
      <w:lvlJc w:val="left"/>
    </w:lvl>
    <w:lvl w:ilvl="5" w:tplc="12AE1E48">
      <w:numFmt w:val="decimal"/>
      <w:lvlText w:val=""/>
      <w:lvlJc w:val="left"/>
    </w:lvl>
    <w:lvl w:ilvl="6" w:tplc="39FC0AF6">
      <w:numFmt w:val="decimal"/>
      <w:lvlText w:val=""/>
      <w:lvlJc w:val="left"/>
    </w:lvl>
    <w:lvl w:ilvl="7" w:tplc="CC0C9AAE">
      <w:numFmt w:val="decimal"/>
      <w:lvlText w:val=""/>
      <w:lvlJc w:val="left"/>
    </w:lvl>
    <w:lvl w:ilvl="8" w:tplc="7066663E">
      <w:numFmt w:val="decimal"/>
      <w:lvlText w:val=""/>
      <w:lvlJc w:val="left"/>
    </w:lvl>
  </w:abstractNum>
  <w:abstractNum w:abstractNumId="685" w15:restartNumberingAfterBreak="0">
    <w:nsid w:val="48F94AFC"/>
    <w:multiLevelType w:val="hybridMultilevel"/>
    <w:tmpl w:val="DBAE1AD0"/>
    <w:lvl w:ilvl="0" w:tplc="04B27A4E">
      <w:start w:val="1"/>
      <w:numFmt w:val="bullet"/>
      <w:lvlText w:val=""/>
      <w:lvlJc w:val="left"/>
      <w:pPr>
        <w:ind w:left="720" w:hanging="180"/>
      </w:pPr>
      <w:rPr>
        <w:rFonts w:ascii="Symbol" w:hAnsi="Symbol" w:hint="default"/>
      </w:rPr>
    </w:lvl>
    <w:lvl w:ilvl="1" w:tplc="829AABB0">
      <w:numFmt w:val="decimal"/>
      <w:lvlText w:val=""/>
      <w:lvlJc w:val="left"/>
    </w:lvl>
    <w:lvl w:ilvl="2" w:tplc="10223A54">
      <w:numFmt w:val="decimal"/>
      <w:lvlText w:val=""/>
      <w:lvlJc w:val="left"/>
    </w:lvl>
    <w:lvl w:ilvl="3" w:tplc="2BBE89B2">
      <w:numFmt w:val="decimal"/>
      <w:lvlText w:val=""/>
      <w:lvlJc w:val="left"/>
    </w:lvl>
    <w:lvl w:ilvl="4" w:tplc="FDD47AAA">
      <w:numFmt w:val="decimal"/>
      <w:lvlText w:val=""/>
      <w:lvlJc w:val="left"/>
    </w:lvl>
    <w:lvl w:ilvl="5" w:tplc="6492C82E">
      <w:numFmt w:val="decimal"/>
      <w:lvlText w:val=""/>
      <w:lvlJc w:val="left"/>
    </w:lvl>
    <w:lvl w:ilvl="6" w:tplc="01A68272">
      <w:numFmt w:val="decimal"/>
      <w:lvlText w:val=""/>
      <w:lvlJc w:val="left"/>
    </w:lvl>
    <w:lvl w:ilvl="7" w:tplc="D972AB46">
      <w:numFmt w:val="decimal"/>
      <w:lvlText w:val=""/>
      <w:lvlJc w:val="left"/>
    </w:lvl>
    <w:lvl w:ilvl="8" w:tplc="18FE4184">
      <w:numFmt w:val="decimal"/>
      <w:lvlText w:val=""/>
      <w:lvlJc w:val="left"/>
    </w:lvl>
  </w:abstractNum>
  <w:abstractNum w:abstractNumId="686" w15:restartNumberingAfterBreak="0">
    <w:nsid w:val="49033F45"/>
    <w:multiLevelType w:val="hybridMultilevel"/>
    <w:tmpl w:val="F13E8FC2"/>
    <w:lvl w:ilvl="0" w:tplc="8772A36A">
      <w:start w:val="1"/>
      <w:numFmt w:val="bullet"/>
      <w:lvlText w:val=""/>
      <w:lvlJc w:val="left"/>
      <w:pPr>
        <w:ind w:left="720" w:hanging="180"/>
      </w:pPr>
      <w:rPr>
        <w:rFonts w:ascii="Symbol" w:hAnsi="Symbol" w:hint="default"/>
      </w:rPr>
    </w:lvl>
    <w:lvl w:ilvl="1" w:tplc="AEEAF988">
      <w:numFmt w:val="decimal"/>
      <w:lvlText w:val=""/>
      <w:lvlJc w:val="left"/>
    </w:lvl>
    <w:lvl w:ilvl="2" w:tplc="8ADA7216">
      <w:numFmt w:val="decimal"/>
      <w:lvlText w:val=""/>
      <w:lvlJc w:val="left"/>
    </w:lvl>
    <w:lvl w:ilvl="3" w:tplc="51B60E9A">
      <w:numFmt w:val="decimal"/>
      <w:lvlText w:val=""/>
      <w:lvlJc w:val="left"/>
    </w:lvl>
    <w:lvl w:ilvl="4" w:tplc="A33A8E7A">
      <w:numFmt w:val="decimal"/>
      <w:lvlText w:val=""/>
      <w:lvlJc w:val="left"/>
    </w:lvl>
    <w:lvl w:ilvl="5" w:tplc="6AF0D468">
      <w:numFmt w:val="decimal"/>
      <w:lvlText w:val=""/>
      <w:lvlJc w:val="left"/>
    </w:lvl>
    <w:lvl w:ilvl="6" w:tplc="54A6F458">
      <w:numFmt w:val="decimal"/>
      <w:lvlText w:val=""/>
      <w:lvlJc w:val="left"/>
    </w:lvl>
    <w:lvl w:ilvl="7" w:tplc="757C9BCE">
      <w:numFmt w:val="decimal"/>
      <w:lvlText w:val=""/>
      <w:lvlJc w:val="left"/>
    </w:lvl>
    <w:lvl w:ilvl="8" w:tplc="C2D286C2">
      <w:numFmt w:val="decimal"/>
      <w:lvlText w:val=""/>
      <w:lvlJc w:val="left"/>
    </w:lvl>
  </w:abstractNum>
  <w:abstractNum w:abstractNumId="687" w15:restartNumberingAfterBreak="0">
    <w:nsid w:val="490629BB"/>
    <w:multiLevelType w:val="hybridMultilevel"/>
    <w:tmpl w:val="251C0586"/>
    <w:lvl w:ilvl="0" w:tplc="5E18518A">
      <w:start w:val="1"/>
      <w:numFmt w:val="bullet"/>
      <w:lvlText w:val=""/>
      <w:lvlJc w:val="left"/>
      <w:pPr>
        <w:ind w:left="720" w:hanging="180"/>
      </w:pPr>
      <w:rPr>
        <w:rFonts w:ascii="Symbol" w:hAnsi="Symbol" w:hint="default"/>
      </w:rPr>
    </w:lvl>
    <w:lvl w:ilvl="1" w:tplc="79CE3454">
      <w:numFmt w:val="decimal"/>
      <w:lvlText w:val=""/>
      <w:lvlJc w:val="left"/>
    </w:lvl>
    <w:lvl w:ilvl="2" w:tplc="0BF4CA28">
      <w:numFmt w:val="decimal"/>
      <w:lvlText w:val=""/>
      <w:lvlJc w:val="left"/>
    </w:lvl>
    <w:lvl w:ilvl="3" w:tplc="F89C32D4">
      <w:numFmt w:val="decimal"/>
      <w:lvlText w:val=""/>
      <w:lvlJc w:val="left"/>
    </w:lvl>
    <w:lvl w:ilvl="4" w:tplc="766EB91C">
      <w:numFmt w:val="decimal"/>
      <w:lvlText w:val=""/>
      <w:lvlJc w:val="left"/>
    </w:lvl>
    <w:lvl w:ilvl="5" w:tplc="FF7A8CC4">
      <w:numFmt w:val="decimal"/>
      <w:lvlText w:val=""/>
      <w:lvlJc w:val="left"/>
    </w:lvl>
    <w:lvl w:ilvl="6" w:tplc="B92E9860">
      <w:numFmt w:val="decimal"/>
      <w:lvlText w:val=""/>
      <w:lvlJc w:val="left"/>
    </w:lvl>
    <w:lvl w:ilvl="7" w:tplc="10283FDC">
      <w:numFmt w:val="decimal"/>
      <w:lvlText w:val=""/>
      <w:lvlJc w:val="left"/>
    </w:lvl>
    <w:lvl w:ilvl="8" w:tplc="568EEDCA">
      <w:numFmt w:val="decimal"/>
      <w:lvlText w:val=""/>
      <w:lvlJc w:val="left"/>
    </w:lvl>
  </w:abstractNum>
  <w:abstractNum w:abstractNumId="688" w15:restartNumberingAfterBreak="0">
    <w:nsid w:val="491A25AE"/>
    <w:multiLevelType w:val="hybridMultilevel"/>
    <w:tmpl w:val="7D444108"/>
    <w:lvl w:ilvl="0" w:tplc="509A86E6">
      <w:start w:val="1"/>
      <w:numFmt w:val="bullet"/>
      <w:lvlText w:val=""/>
      <w:lvlJc w:val="left"/>
      <w:pPr>
        <w:ind w:left="720" w:hanging="180"/>
      </w:pPr>
      <w:rPr>
        <w:rFonts w:ascii="Symbol" w:hAnsi="Symbol" w:hint="default"/>
      </w:rPr>
    </w:lvl>
    <w:lvl w:ilvl="1" w:tplc="A2A8A2E4">
      <w:numFmt w:val="decimal"/>
      <w:lvlText w:val=""/>
      <w:lvlJc w:val="left"/>
    </w:lvl>
    <w:lvl w:ilvl="2" w:tplc="A2BEE44C">
      <w:numFmt w:val="decimal"/>
      <w:lvlText w:val=""/>
      <w:lvlJc w:val="left"/>
    </w:lvl>
    <w:lvl w:ilvl="3" w:tplc="C6C868FE">
      <w:numFmt w:val="decimal"/>
      <w:lvlText w:val=""/>
      <w:lvlJc w:val="left"/>
    </w:lvl>
    <w:lvl w:ilvl="4" w:tplc="6A745604">
      <w:numFmt w:val="decimal"/>
      <w:lvlText w:val=""/>
      <w:lvlJc w:val="left"/>
    </w:lvl>
    <w:lvl w:ilvl="5" w:tplc="4BE04946">
      <w:numFmt w:val="decimal"/>
      <w:lvlText w:val=""/>
      <w:lvlJc w:val="left"/>
    </w:lvl>
    <w:lvl w:ilvl="6" w:tplc="6FCEBD0C">
      <w:numFmt w:val="decimal"/>
      <w:lvlText w:val=""/>
      <w:lvlJc w:val="left"/>
    </w:lvl>
    <w:lvl w:ilvl="7" w:tplc="F0FCB42E">
      <w:numFmt w:val="decimal"/>
      <w:lvlText w:val=""/>
      <w:lvlJc w:val="left"/>
    </w:lvl>
    <w:lvl w:ilvl="8" w:tplc="DDDE407A">
      <w:numFmt w:val="decimal"/>
      <w:lvlText w:val=""/>
      <w:lvlJc w:val="left"/>
    </w:lvl>
  </w:abstractNum>
  <w:abstractNum w:abstractNumId="689" w15:restartNumberingAfterBreak="0">
    <w:nsid w:val="49266F6E"/>
    <w:multiLevelType w:val="hybridMultilevel"/>
    <w:tmpl w:val="3300E0D4"/>
    <w:lvl w:ilvl="0" w:tplc="A89263B6">
      <w:start w:val="1"/>
      <w:numFmt w:val="bullet"/>
      <w:lvlText w:val=""/>
      <w:lvlJc w:val="left"/>
      <w:pPr>
        <w:ind w:left="720" w:hanging="180"/>
      </w:pPr>
      <w:rPr>
        <w:rFonts w:ascii="Symbol" w:hAnsi="Symbol" w:hint="default"/>
      </w:rPr>
    </w:lvl>
    <w:lvl w:ilvl="1" w:tplc="CD9C5DE8">
      <w:numFmt w:val="decimal"/>
      <w:lvlText w:val=""/>
      <w:lvlJc w:val="left"/>
    </w:lvl>
    <w:lvl w:ilvl="2" w:tplc="208AD7B2">
      <w:numFmt w:val="decimal"/>
      <w:lvlText w:val=""/>
      <w:lvlJc w:val="left"/>
    </w:lvl>
    <w:lvl w:ilvl="3" w:tplc="8B16311A">
      <w:numFmt w:val="decimal"/>
      <w:lvlText w:val=""/>
      <w:lvlJc w:val="left"/>
    </w:lvl>
    <w:lvl w:ilvl="4" w:tplc="18D055F2">
      <w:numFmt w:val="decimal"/>
      <w:lvlText w:val=""/>
      <w:lvlJc w:val="left"/>
    </w:lvl>
    <w:lvl w:ilvl="5" w:tplc="B5BEC00E">
      <w:numFmt w:val="decimal"/>
      <w:lvlText w:val=""/>
      <w:lvlJc w:val="left"/>
    </w:lvl>
    <w:lvl w:ilvl="6" w:tplc="92124028">
      <w:numFmt w:val="decimal"/>
      <w:lvlText w:val=""/>
      <w:lvlJc w:val="left"/>
    </w:lvl>
    <w:lvl w:ilvl="7" w:tplc="B94074F0">
      <w:numFmt w:val="decimal"/>
      <w:lvlText w:val=""/>
      <w:lvlJc w:val="left"/>
    </w:lvl>
    <w:lvl w:ilvl="8" w:tplc="9D7C3228">
      <w:numFmt w:val="decimal"/>
      <w:lvlText w:val=""/>
      <w:lvlJc w:val="left"/>
    </w:lvl>
  </w:abstractNum>
  <w:abstractNum w:abstractNumId="690" w15:restartNumberingAfterBreak="0">
    <w:nsid w:val="49674225"/>
    <w:multiLevelType w:val="hybridMultilevel"/>
    <w:tmpl w:val="7C681FE8"/>
    <w:lvl w:ilvl="0" w:tplc="72DE417C">
      <w:start w:val="1"/>
      <w:numFmt w:val="bullet"/>
      <w:lvlText w:val=""/>
      <w:lvlJc w:val="left"/>
      <w:pPr>
        <w:ind w:left="720" w:hanging="180"/>
      </w:pPr>
      <w:rPr>
        <w:rFonts w:ascii="Symbol" w:hAnsi="Symbol" w:hint="default"/>
      </w:rPr>
    </w:lvl>
    <w:lvl w:ilvl="1" w:tplc="A0BE30F6">
      <w:numFmt w:val="decimal"/>
      <w:lvlText w:val=""/>
      <w:lvlJc w:val="left"/>
    </w:lvl>
    <w:lvl w:ilvl="2" w:tplc="A43653C8">
      <w:numFmt w:val="decimal"/>
      <w:lvlText w:val=""/>
      <w:lvlJc w:val="left"/>
    </w:lvl>
    <w:lvl w:ilvl="3" w:tplc="B79C5548">
      <w:numFmt w:val="decimal"/>
      <w:lvlText w:val=""/>
      <w:lvlJc w:val="left"/>
    </w:lvl>
    <w:lvl w:ilvl="4" w:tplc="116CDB80">
      <w:numFmt w:val="decimal"/>
      <w:lvlText w:val=""/>
      <w:lvlJc w:val="left"/>
    </w:lvl>
    <w:lvl w:ilvl="5" w:tplc="6CE02520">
      <w:numFmt w:val="decimal"/>
      <w:lvlText w:val=""/>
      <w:lvlJc w:val="left"/>
    </w:lvl>
    <w:lvl w:ilvl="6" w:tplc="8E0CEFA2">
      <w:numFmt w:val="decimal"/>
      <w:lvlText w:val=""/>
      <w:lvlJc w:val="left"/>
    </w:lvl>
    <w:lvl w:ilvl="7" w:tplc="C0D07B48">
      <w:numFmt w:val="decimal"/>
      <w:lvlText w:val=""/>
      <w:lvlJc w:val="left"/>
    </w:lvl>
    <w:lvl w:ilvl="8" w:tplc="0EA87ED8">
      <w:numFmt w:val="decimal"/>
      <w:lvlText w:val=""/>
      <w:lvlJc w:val="left"/>
    </w:lvl>
  </w:abstractNum>
  <w:abstractNum w:abstractNumId="691" w15:restartNumberingAfterBreak="0">
    <w:nsid w:val="497A7ED2"/>
    <w:multiLevelType w:val="hybridMultilevel"/>
    <w:tmpl w:val="43EAD1F0"/>
    <w:lvl w:ilvl="0" w:tplc="62BAFAE0">
      <w:start w:val="1"/>
      <w:numFmt w:val="bullet"/>
      <w:lvlText w:val=""/>
      <w:lvlJc w:val="left"/>
      <w:pPr>
        <w:ind w:left="720" w:hanging="180"/>
      </w:pPr>
      <w:rPr>
        <w:rFonts w:ascii="Symbol" w:hAnsi="Symbol" w:hint="default"/>
      </w:rPr>
    </w:lvl>
    <w:lvl w:ilvl="1" w:tplc="0262DEC2">
      <w:numFmt w:val="decimal"/>
      <w:lvlText w:val=""/>
      <w:lvlJc w:val="left"/>
    </w:lvl>
    <w:lvl w:ilvl="2" w:tplc="472CC802">
      <w:numFmt w:val="decimal"/>
      <w:lvlText w:val=""/>
      <w:lvlJc w:val="left"/>
    </w:lvl>
    <w:lvl w:ilvl="3" w:tplc="72FA49B4">
      <w:numFmt w:val="decimal"/>
      <w:lvlText w:val=""/>
      <w:lvlJc w:val="left"/>
    </w:lvl>
    <w:lvl w:ilvl="4" w:tplc="DD0CBD12">
      <w:numFmt w:val="decimal"/>
      <w:lvlText w:val=""/>
      <w:lvlJc w:val="left"/>
    </w:lvl>
    <w:lvl w:ilvl="5" w:tplc="CE46EF30">
      <w:numFmt w:val="decimal"/>
      <w:lvlText w:val=""/>
      <w:lvlJc w:val="left"/>
    </w:lvl>
    <w:lvl w:ilvl="6" w:tplc="CA7A47E6">
      <w:numFmt w:val="decimal"/>
      <w:lvlText w:val=""/>
      <w:lvlJc w:val="left"/>
    </w:lvl>
    <w:lvl w:ilvl="7" w:tplc="8F7C3464">
      <w:numFmt w:val="decimal"/>
      <w:lvlText w:val=""/>
      <w:lvlJc w:val="left"/>
    </w:lvl>
    <w:lvl w:ilvl="8" w:tplc="3A74EC78">
      <w:numFmt w:val="decimal"/>
      <w:lvlText w:val=""/>
      <w:lvlJc w:val="left"/>
    </w:lvl>
  </w:abstractNum>
  <w:abstractNum w:abstractNumId="692" w15:restartNumberingAfterBreak="0">
    <w:nsid w:val="497B45B4"/>
    <w:multiLevelType w:val="hybridMultilevel"/>
    <w:tmpl w:val="7B82A846"/>
    <w:lvl w:ilvl="0" w:tplc="13B8C7F6">
      <w:start w:val="1"/>
      <w:numFmt w:val="bullet"/>
      <w:lvlText w:val=""/>
      <w:lvlJc w:val="left"/>
      <w:pPr>
        <w:ind w:left="720" w:hanging="180"/>
      </w:pPr>
      <w:rPr>
        <w:rFonts w:ascii="Symbol" w:hAnsi="Symbol" w:hint="default"/>
      </w:rPr>
    </w:lvl>
    <w:lvl w:ilvl="1" w:tplc="D4683960">
      <w:numFmt w:val="decimal"/>
      <w:lvlText w:val=""/>
      <w:lvlJc w:val="left"/>
    </w:lvl>
    <w:lvl w:ilvl="2" w:tplc="904AE096">
      <w:numFmt w:val="decimal"/>
      <w:lvlText w:val=""/>
      <w:lvlJc w:val="left"/>
    </w:lvl>
    <w:lvl w:ilvl="3" w:tplc="9E0A69DE">
      <w:numFmt w:val="decimal"/>
      <w:lvlText w:val=""/>
      <w:lvlJc w:val="left"/>
    </w:lvl>
    <w:lvl w:ilvl="4" w:tplc="C30E90C6">
      <w:numFmt w:val="decimal"/>
      <w:lvlText w:val=""/>
      <w:lvlJc w:val="left"/>
    </w:lvl>
    <w:lvl w:ilvl="5" w:tplc="97148A00">
      <w:numFmt w:val="decimal"/>
      <w:lvlText w:val=""/>
      <w:lvlJc w:val="left"/>
    </w:lvl>
    <w:lvl w:ilvl="6" w:tplc="C980A644">
      <w:numFmt w:val="decimal"/>
      <w:lvlText w:val=""/>
      <w:lvlJc w:val="left"/>
    </w:lvl>
    <w:lvl w:ilvl="7" w:tplc="F2426DB2">
      <w:numFmt w:val="decimal"/>
      <w:lvlText w:val=""/>
      <w:lvlJc w:val="left"/>
    </w:lvl>
    <w:lvl w:ilvl="8" w:tplc="B024D460">
      <w:numFmt w:val="decimal"/>
      <w:lvlText w:val=""/>
      <w:lvlJc w:val="left"/>
    </w:lvl>
  </w:abstractNum>
  <w:abstractNum w:abstractNumId="693" w15:restartNumberingAfterBreak="0">
    <w:nsid w:val="49BB5B47"/>
    <w:multiLevelType w:val="hybridMultilevel"/>
    <w:tmpl w:val="1E4C9FFA"/>
    <w:lvl w:ilvl="0" w:tplc="AF001C32">
      <w:start w:val="1"/>
      <w:numFmt w:val="bullet"/>
      <w:lvlText w:val=""/>
      <w:lvlJc w:val="left"/>
      <w:pPr>
        <w:ind w:left="720" w:hanging="180"/>
      </w:pPr>
      <w:rPr>
        <w:rFonts w:ascii="Symbol" w:hAnsi="Symbol" w:hint="default"/>
      </w:rPr>
    </w:lvl>
    <w:lvl w:ilvl="1" w:tplc="27CC0B92">
      <w:numFmt w:val="decimal"/>
      <w:lvlText w:val=""/>
      <w:lvlJc w:val="left"/>
    </w:lvl>
    <w:lvl w:ilvl="2" w:tplc="3AB6D23E">
      <w:numFmt w:val="decimal"/>
      <w:lvlText w:val=""/>
      <w:lvlJc w:val="left"/>
    </w:lvl>
    <w:lvl w:ilvl="3" w:tplc="1CFA271A">
      <w:numFmt w:val="decimal"/>
      <w:lvlText w:val=""/>
      <w:lvlJc w:val="left"/>
    </w:lvl>
    <w:lvl w:ilvl="4" w:tplc="5AB064C6">
      <w:numFmt w:val="decimal"/>
      <w:lvlText w:val=""/>
      <w:lvlJc w:val="left"/>
    </w:lvl>
    <w:lvl w:ilvl="5" w:tplc="940ADC7C">
      <w:numFmt w:val="decimal"/>
      <w:lvlText w:val=""/>
      <w:lvlJc w:val="left"/>
    </w:lvl>
    <w:lvl w:ilvl="6" w:tplc="0CAA4DB4">
      <w:numFmt w:val="decimal"/>
      <w:lvlText w:val=""/>
      <w:lvlJc w:val="left"/>
    </w:lvl>
    <w:lvl w:ilvl="7" w:tplc="62F01C68">
      <w:numFmt w:val="decimal"/>
      <w:lvlText w:val=""/>
      <w:lvlJc w:val="left"/>
    </w:lvl>
    <w:lvl w:ilvl="8" w:tplc="29E82D86">
      <w:numFmt w:val="decimal"/>
      <w:lvlText w:val=""/>
      <w:lvlJc w:val="left"/>
    </w:lvl>
  </w:abstractNum>
  <w:abstractNum w:abstractNumId="694" w15:restartNumberingAfterBreak="0">
    <w:nsid w:val="49C679EF"/>
    <w:multiLevelType w:val="hybridMultilevel"/>
    <w:tmpl w:val="50CC27B0"/>
    <w:lvl w:ilvl="0" w:tplc="F8B4D25C">
      <w:start w:val="1"/>
      <w:numFmt w:val="bullet"/>
      <w:lvlText w:val=""/>
      <w:lvlJc w:val="left"/>
      <w:pPr>
        <w:ind w:left="720" w:hanging="180"/>
      </w:pPr>
      <w:rPr>
        <w:rFonts w:ascii="Symbol" w:hAnsi="Symbol" w:hint="default"/>
      </w:rPr>
    </w:lvl>
    <w:lvl w:ilvl="1" w:tplc="B4B64A7A">
      <w:numFmt w:val="decimal"/>
      <w:lvlText w:val=""/>
      <w:lvlJc w:val="left"/>
    </w:lvl>
    <w:lvl w:ilvl="2" w:tplc="9F1436F8">
      <w:numFmt w:val="decimal"/>
      <w:lvlText w:val=""/>
      <w:lvlJc w:val="left"/>
    </w:lvl>
    <w:lvl w:ilvl="3" w:tplc="35986BAA">
      <w:numFmt w:val="decimal"/>
      <w:lvlText w:val=""/>
      <w:lvlJc w:val="left"/>
    </w:lvl>
    <w:lvl w:ilvl="4" w:tplc="F35A4A60">
      <w:numFmt w:val="decimal"/>
      <w:lvlText w:val=""/>
      <w:lvlJc w:val="left"/>
    </w:lvl>
    <w:lvl w:ilvl="5" w:tplc="BA109996">
      <w:numFmt w:val="decimal"/>
      <w:lvlText w:val=""/>
      <w:lvlJc w:val="left"/>
    </w:lvl>
    <w:lvl w:ilvl="6" w:tplc="81506E4A">
      <w:numFmt w:val="decimal"/>
      <w:lvlText w:val=""/>
      <w:lvlJc w:val="left"/>
    </w:lvl>
    <w:lvl w:ilvl="7" w:tplc="7B8ADA1E">
      <w:numFmt w:val="decimal"/>
      <w:lvlText w:val=""/>
      <w:lvlJc w:val="left"/>
    </w:lvl>
    <w:lvl w:ilvl="8" w:tplc="36A4B3AE">
      <w:numFmt w:val="decimal"/>
      <w:lvlText w:val=""/>
      <w:lvlJc w:val="left"/>
    </w:lvl>
  </w:abstractNum>
  <w:abstractNum w:abstractNumId="695" w15:restartNumberingAfterBreak="0">
    <w:nsid w:val="4A0F58C6"/>
    <w:multiLevelType w:val="hybridMultilevel"/>
    <w:tmpl w:val="BD1C62D4"/>
    <w:lvl w:ilvl="0" w:tplc="F976ABB2">
      <w:start w:val="1"/>
      <w:numFmt w:val="bullet"/>
      <w:lvlText w:val=""/>
      <w:lvlJc w:val="left"/>
      <w:pPr>
        <w:ind w:left="720" w:hanging="180"/>
      </w:pPr>
      <w:rPr>
        <w:rFonts w:ascii="Symbol" w:hAnsi="Symbol" w:hint="default"/>
      </w:rPr>
    </w:lvl>
    <w:lvl w:ilvl="1" w:tplc="7BC6F91C">
      <w:numFmt w:val="decimal"/>
      <w:lvlText w:val=""/>
      <w:lvlJc w:val="left"/>
    </w:lvl>
    <w:lvl w:ilvl="2" w:tplc="48E04474">
      <w:numFmt w:val="decimal"/>
      <w:lvlText w:val=""/>
      <w:lvlJc w:val="left"/>
    </w:lvl>
    <w:lvl w:ilvl="3" w:tplc="64A45088">
      <w:numFmt w:val="decimal"/>
      <w:lvlText w:val=""/>
      <w:lvlJc w:val="left"/>
    </w:lvl>
    <w:lvl w:ilvl="4" w:tplc="F8DCA828">
      <w:numFmt w:val="decimal"/>
      <w:lvlText w:val=""/>
      <w:lvlJc w:val="left"/>
    </w:lvl>
    <w:lvl w:ilvl="5" w:tplc="9BD6E31E">
      <w:numFmt w:val="decimal"/>
      <w:lvlText w:val=""/>
      <w:lvlJc w:val="left"/>
    </w:lvl>
    <w:lvl w:ilvl="6" w:tplc="859C1440">
      <w:numFmt w:val="decimal"/>
      <w:lvlText w:val=""/>
      <w:lvlJc w:val="left"/>
    </w:lvl>
    <w:lvl w:ilvl="7" w:tplc="33989796">
      <w:numFmt w:val="decimal"/>
      <w:lvlText w:val=""/>
      <w:lvlJc w:val="left"/>
    </w:lvl>
    <w:lvl w:ilvl="8" w:tplc="ECC85404">
      <w:numFmt w:val="decimal"/>
      <w:lvlText w:val=""/>
      <w:lvlJc w:val="left"/>
    </w:lvl>
  </w:abstractNum>
  <w:abstractNum w:abstractNumId="696" w15:restartNumberingAfterBreak="0">
    <w:nsid w:val="4A166169"/>
    <w:multiLevelType w:val="hybridMultilevel"/>
    <w:tmpl w:val="9EC469DC"/>
    <w:lvl w:ilvl="0" w:tplc="8A3EE0D4">
      <w:start w:val="1"/>
      <w:numFmt w:val="bullet"/>
      <w:lvlText w:val=""/>
      <w:lvlJc w:val="left"/>
      <w:pPr>
        <w:ind w:left="720" w:hanging="180"/>
      </w:pPr>
      <w:rPr>
        <w:rFonts w:ascii="Symbol" w:hAnsi="Symbol" w:hint="default"/>
      </w:rPr>
    </w:lvl>
    <w:lvl w:ilvl="1" w:tplc="CE7625DC">
      <w:numFmt w:val="decimal"/>
      <w:lvlText w:val=""/>
      <w:lvlJc w:val="left"/>
    </w:lvl>
    <w:lvl w:ilvl="2" w:tplc="EAD8FD4E">
      <w:numFmt w:val="decimal"/>
      <w:lvlText w:val=""/>
      <w:lvlJc w:val="left"/>
    </w:lvl>
    <w:lvl w:ilvl="3" w:tplc="4D6A6CF6">
      <w:numFmt w:val="decimal"/>
      <w:lvlText w:val=""/>
      <w:lvlJc w:val="left"/>
    </w:lvl>
    <w:lvl w:ilvl="4" w:tplc="8014EB88">
      <w:numFmt w:val="decimal"/>
      <w:lvlText w:val=""/>
      <w:lvlJc w:val="left"/>
    </w:lvl>
    <w:lvl w:ilvl="5" w:tplc="4CEE96E4">
      <w:numFmt w:val="decimal"/>
      <w:lvlText w:val=""/>
      <w:lvlJc w:val="left"/>
    </w:lvl>
    <w:lvl w:ilvl="6" w:tplc="138E7D9A">
      <w:numFmt w:val="decimal"/>
      <w:lvlText w:val=""/>
      <w:lvlJc w:val="left"/>
    </w:lvl>
    <w:lvl w:ilvl="7" w:tplc="F602399E">
      <w:numFmt w:val="decimal"/>
      <w:lvlText w:val=""/>
      <w:lvlJc w:val="left"/>
    </w:lvl>
    <w:lvl w:ilvl="8" w:tplc="E40887F8">
      <w:numFmt w:val="decimal"/>
      <w:lvlText w:val=""/>
      <w:lvlJc w:val="left"/>
    </w:lvl>
  </w:abstractNum>
  <w:abstractNum w:abstractNumId="697" w15:restartNumberingAfterBreak="0">
    <w:nsid w:val="4A347AA9"/>
    <w:multiLevelType w:val="hybridMultilevel"/>
    <w:tmpl w:val="DA9C50AA"/>
    <w:lvl w:ilvl="0" w:tplc="DACE970E">
      <w:start w:val="1"/>
      <w:numFmt w:val="bullet"/>
      <w:lvlText w:val=""/>
      <w:lvlJc w:val="left"/>
      <w:pPr>
        <w:ind w:left="720" w:hanging="180"/>
      </w:pPr>
      <w:rPr>
        <w:rFonts w:ascii="Symbol" w:hAnsi="Symbol" w:hint="default"/>
      </w:rPr>
    </w:lvl>
    <w:lvl w:ilvl="1" w:tplc="91F4D92A">
      <w:numFmt w:val="decimal"/>
      <w:lvlText w:val=""/>
      <w:lvlJc w:val="left"/>
    </w:lvl>
    <w:lvl w:ilvl="2" w:tplc="D5D035B2">
      <w:numFmt w:val="decimal"/>
      <w:lvlText w:val=""/>
      <w:lvlJc w:val="left"/>
    </w:lvl>
    <w:lvl w:ilvl="3" w:tplc="67E06E00">
      <w:numFmt w:val="decimal"/>
      <w:lvlText w:val=""/>
      <w:lvlJc w:val="left"/>
    </w:lvl>
    <w:lvl w:ilvl="4" w:tplc="6936D2FA">
      <w:numFmt w:val="decimal"/>
      <w:lvlText w:val=""/>
      <w:lvlJc w:val="left"/>
    </w:lvl>
    <w:lvl w:ilvl="5" w:tplc="53E853D8">
      <w:numFmt w:val="decimal"/>
      <w:lvlText w:val=""/>
      <w:lvlJc w:val="left"/>
    </w:lvl>
    <w:lvl w:ilvl="6" w:tplc="03066732">
      <w:numFmt w:val="decimal"/>
      <w:lvlText w:val=""/>
      <w:lvlJc w:val="left"/>
    </w:lvl>
    <w:lvl w:ilvl="7" w:tplc="44FE529E">
      <w:numFmt w:val="decimal"/>
      <w:lvlText w:val=""/>
      <w:lvlJc w:val="left"/>
    </w:lvl>
    <w:lvl w:ilvl="8" w:tplc="DADCB93A">
      <w:numFmt w:val="decimal"/>
      <w:lvlText w:val=""/>
      <w:lvlJc w:val="left"/>
    </w:lvl>
  </w:abstractNum>
  <w:abstractNum w:abstractNumId="698" w15:restartNumberingAfterBreak="0">
    <w:nsid w:val="4A4D2A5F"/>
    <w:multiLevelType w:val="hybridMultilevel"/>
    <w:tmpl w:val="52F269A2"/>
    <w:lvl w:ilvl="0" w:tplc="F18E59AE">
      <w:start w:val="1"/>
      <w:numFmt w:val="bullet"/>
      <w:lvlText w:val=""/>
      <w:lvlJc w:val="left"/>
      <w:pPr>
        <w:ind w:left="720" w:hanging="180"/>
      </w:pPr>
      <w:rPr>
        <w:rFonts w:ascii="Symbol" w:hAnsi="Symbol" w:hint="default"/>
      </w:rPr>
    </w:lvl>
    <w:lvl w:ilvl="1" w:tplc="D1AC6010">
      <w:numFmt w:val="decimal"/>
      <w:lvlText w:val=""/>
      <w:lvlJc w:val="left"/>
    </w:lvl>
    <w:lvl w:ilvl="2" w:tplc="B5CA737C">
      <w:numFmt w:val="decimal"/>
      <w:lvlText w:val=""/>
      <w:lvlJc w:val="left"/>
    </w:lvl>
    <w:lvl w:ilvl="3" w:tplc="B4D62E4C">
      <w:numFmt w:val="decimal"/>
      <w:lvlText w:val=""/>
      <w:lvlJc w:val="left"/>
    </w:lvl>
    <w:lvl w:ilvl="4" w:tplc="6394B0DE">
      <w:numFmt w:val="decimal"/>
      <w:lvlText w:val=""/>
      <w:lvlJc w:val="left"/>
    </w:lvl>
    <w:lvl w:ilvl="5" w:tplc="C88062B4">
      <w:numFmt w:val="decimal"/>
      <w:lvlText w:val=""/>
      <w:lvlJc w:val="left"/>
    </w:lvl>
    <w:lvl w:ilvl="6" w:tplc="2804778C">
      <w:numFmt w:val="decimal"/>
      <w:lvlText w:val=""/>
      <w:lvlJc w:val="left"/>
    </w:lvl>
    <w:lvl w:ilvl="7" w:tplc="D1AAFCAE">
      <w:numFmt w:val="decimal"/>
      <w:lvlText w:val=""/>
      <w:lvlJc w:val="left"/>
    </w:lvl>
    <w:lvl w:ilvl="8" w:tplc="4492EA02">
      <w:numFmt w:val="decimal"/>
      <w:lvlText w:val=""/>
      <w:lvlJc w:val="left"/>
    </w:lvl>
  </w:abstractNum>
  <w:abstractNum w:abstractNumId="699" w15:restartNumberingAfterBreak="0">
    <w:nsid w:val="4A5B4226"/>
    <w:multiLevelType w:val="hybridMultilevel"/>
    <w:tmpl w:val="B58666FA"/>
    <w:lvl w:ilvl="0" w:tplc="1250083C">
      <w:start w:val="1"/>
      <w:numFmt w:val="bullet"/>
      <w:lvlText w:val=""/>
      <w:lvlJc w:val="left"/>
      <w:pPr>
        <w:ind w:left="720" w:hanging="180"/>
      </w:pPr>
      <w:rPr>
        <w:rFonts w:ascii="Symbol" w:hAnsi="Symbol" w:hint="default"/>
      </w:rPr>
    </w:lvl>
    <w:lvl w:ilvl="1" w:tplc="640C7ECC">
      <w:numFmt w:val="decimal"/>
      <w:lvlText w:val=""/>
      <w:lvlJc w:val="left"/>
    </w:lvl>
    <w:lvl w:ilvl="2" w:tplc="D2628730">
      <w:numFmt w:val="decimal"/>
      <w:lvlText w:val=""/>
      <w:lvlJc w:val="left"/>
    </w:lvl>
    <w:lvl w:ilvl="3" w:tplc="C7AA5158">
      <w:numFmt w:val="decimal"/>
      <w:lvlText w:val=""/>
      <w:lvlJc w:val="left"/>
    </w:lvl>
    <w:lvl w:ilvl="4" w:tplc="F74CE6D2">
      <w:numFmt w:val="decimal"/>
      <w:lvlText w:val=""/>
      <w:lvlJc w:val="left"/>
    </w:lvl>
    <w:lvl w:ilvl="5" w:tplc="CD0CE862">
      <w:numFmt w:val="decimal"/>
      <w:lvlText w:val=""/>
      <w:lvlJc w:val="left"/>
    </w:lvl>
    <w:lvl w:ilvl="6" w:tplc="84AAE384">
      <w:numFmt w:val="decimal"/>
      <w:lvlText w:val=""/>
      <w:lvlJc w:val="left"/>
    </w:lvl>
    <w:lvl w:ilvl="7" w:tplc="FB7EC7A8">
      <w:numFmt w:val="decimal"/>
      <w:lvlText w:val=""/>
      <w:lvlJc w:val="left"/>
    </w:lvl>
    <w:lvl w:ilvl="8" w:tplc="F43EA946">
      <w:numFmt w:val="decimal"/>
      <w:lvlText w:val=""/>
      <w:lvlJc w:val="left"/>
    </w:lvl>
  </w:abstractNum>
  <w:abstractNum w:abstractNumId="700" w15:restartNumberingAfterBreak="0">
    <w:nsid w:val="4A67289F"/>
    <w:multiLevelType w:val="hybridMultilevel"/>
    <w:tmpl w:val="46245768"/>
    <w:lvl w:ilvl="0" w:tplc="AFD88DA2">
      <w:start w:val="1"/>
      <w:numFmt w:val="bullet"/>
      <w:lvlText w:val=""/>
      <w:lvlJc w:val="left"/>
      <w:pPr>
        <w:ind w:left="720" w:hanging="180"/>
      </w:pPr>
      <w:rPr>
        <w:rFonts w:ascii="Symbol" w:hAnsi="Symbol" w:hint="default"/>
      </w:rPr>
    </w:lvl>
    <w:lvl w:ilvl="1" w:tplc="E5A22B90">
      <w:numFmt w:val="decimal"/>
      <w:lvlText w:val=""/>
      <w:lvlJc w:val="left"/>
    </w:lvl>
    <w:lvl w:ilvl="2" w:tplc="C29C74CC">
      <w:numFmt w:val="decimal"/>
      <w:lvlText w:val=""/>
      <w:lvlJc w:val="left"/>
    </w:lvl>
    <w:lvl w:ilvl="3" w:tplc="5978B5A4">
      <w:numFmt w:val="decimal"/>
      <w:lvlText w:val=""/>
      <w:lvlJc w:val="left"/>
    </w:lvl>
    <w:lvl w:ilvl="4" w:tplc="D854B68C">
      <w:numFmt w:val="decimal"/>
      <w:lvlText w:val=""/>
      <w:lvlJc w:val="left"/>
    </w:lvl>
    <w:lvl w:ilvl="5" w:tplc="CC30F528">
      <w:numFmt w:val="decimal"/>
      <w:lvlText w:val=""/>
      <w:lvlJc w:val="left"/>
    </w:lvl>
    <w:lvl w:ilvl="6" w:tplc="885492CC">
      <w:numFmt w:val="decimal"/>
      <w:lvlText w:val=""/>
      <w:lvlJc w:val="left"/>
    </w:lvl>
    <w:lvl w:ilvl="7" w:tplc="FF02BDD6">
      <w:numFmt w:val="decimal"/>
      <w:lvlText w:val=""/>
      <w:lvlJc w:val="left"/>
    </w:lvl>
    <w:lvl w:ilvl="8" w:tplc="4DC28168">
      <w:numFmt w:val="decimal"/>
      <w:lvlText w:val=""/>
      <w:lvlJc w:val="left"/>
    </w:lvl>
  </w:abstractNum>
  <w:abstractNum w:abstractNumId="701" w15:restartNumberingAfterBreak="0">
    <w:nsid w:val="4A710999"/>
    <w:multiLevelType w:val="hybridMultilevel"/>
    <w:tmpl w:val="D10C6EFC"/>
    <w:lvl w:ilvl="0" w:tplc="3230C6CE">
      <w:start w:val="1"/>
      <w:numFmt w:val="bullet"/>
      <w:lvlText w:val=""/>
      <w:lvlJc w:val="left"/>
      <w:pPr>
        <w:ind w:left="720" w:hanging="180"/>
      </w:pPr>
      <w:rPr>
        <w:rFonts w:ascii="Symbol" w:hAnsi="Symbol" w:hint="default"/>
      </w:rPr>
    </w:lvl>
    <w:lvl w:ilvl="1" w:tplc="883877B4">
      <w:numFmt w:val="decimal"/>
      <w:lvlText w:val=""/>
      <w:lvlJc w:val="left"/>
    </w:lvl>
    <w:lvl w:ilvl="2" w:tplc="AD3A183C">
      <w:numFmt w:val="decimal"/>
      <w:lvlText w:val=""/>
      <w:lvlJc w:val="left"/>
    </w:lvl>
    <w:lvl w:ilvl="3" w:tplc="03485DA6">
      <w:numFmt w:val="decimal"/>
      <w:lvlText w:val=""/>
      <w:lvlJc w:val="left"/>
    </w:lvl>
    <w:lvl w:ilvl="4" w:tplc="2C261734">
      <w:numFmt w:val="decimal"/>
      <w:lvlText w:val=""/>
      <w:lvlJc w:val="left"/>
    </w:lvl>
    <w:lvl w:ilvl="5" w:tplc="8FEA69D4">
      <w:numFmt w:val="decimal"/>
      <w:lvlText w:val=""/>
      <w:lvlJc w:val="left"/>
    </w:lvl>
    <w:lvl w:ilvl="6" w:tplc="6DC0D232">
      <w:numFmt w:val="decimal"/>
      <w:lvlText w:val=""/>
      <w:lvlJc w:val="left"/>
    </w:lvl>
    <w:lvl w:ilvl="7" w:tplc="55E8F83A">
      <w:numFmt w:val="decimal"/>
      <w:lvlText w:val=""/>
      <w:lvlJc w:val="left"/>
    </w:lvl>
    <w:lvl w:ilvl="8" w:tplc="7BB6996C">
      <w:numFmt w:val="decimal"/>
      <w:lvlText w:val=""/>
      <w:lvlJc w:val="left"/>
    </w:lvl>
  </w:abstractNum>
  <w:abstractNum w:abstractNumId="702" w15:restartNumberingAfterBreak="0">
    <w:nsid w:val="4A710C4F"/>
    <w:multiLevelType w:val="hybridMultilevel"/>
    <w:tmpl w:val="C9A2F488"/>
    <w:lvl w:ilvl="0" w:tplc="A78407DC">
      <w:start w:val="1"/>
      <w:numFmt w:val="bullet"/>
      <w:lvlText w:val=""/>
      <w:lvlJc w:val="left"/>
      <w:pPr>
        <w:ind w:left="720" w:hanging="180"/>
      </w:pPr>
      <w:rPr>
        <w:rFonts w:ascii="Symbol" w:hAnsi="Symbol" w:hint="default"/>
      </w:rPr>
    </w:lvl>
    <w:lvl w:ilvl="1" w:tplc="F04AE9A4">
      <w:numFmt w:val="decimal"/>
      <w:lvlText w:val=""/>
      <w:lvlJc w:val="left"/>
    </w:lvl>
    <w:lvl w:ilvl="2" w:tplc="C344A2DE">
      <w:numFmt w:val="decimal"/>
      <w:lvlText w:val=""/>
      <w:lvlJc w:val="left"/>
    </w:lvl>
    <w:lvl w:ilvl="3" w:tplc="B3C03C6A">
      <w:numFmt w:val="decimal"/>
      <w:lvlText w:val=""/>
      <w:lvlJc w:val="left"/>
    </w:lvl>
    <w:lvl w:ilvl="4" w:tplc="11DCA4C6">
      <w:numFmt w:val="decimal"/>
      <w:lvlText w:val=""/>
      <w:lvlJc w:val="left"/>
    </w:lvl>
    <w:lvl w:ilvl="5" w:tplc="CB7AB3EE">
      <w:numFmt w:val="decimal"/>
      <w:lvlText w:val=""/>
      <w:lvlJc w:val="left"/>
    </w:lvl>
    <w:lvl w:ilvl="6" w:tplc="6328886C">
      <w:numFmt w:val="decimal"/>
      <w:lvlText w:val=""/>
      <w:lvlJc w:val="left"/>
    </w:lvl>
    <w:lvl w:ilvl="7" w:tplc="12BCF84E">
      <w:numFmt w:val="decimal"/>
      <w:lvlText w:val=""/>
      <w:lvlJc w:val="left"/>
    </w:lvl>
    <w:lvl w:ilvl="8" w:tplc="812018BA">
      <w:numFmt w:val="decimal"/>
      <w:lvlText w:val=""/>
      <w:lvlJc w:val="left"/>
    </w:lvl>
  </w:abstractNum>
  <w:abstractNum w:abstractNumId="703" w15:restartNumberingAfterBreak="0">
    <w:nsid w:val="4A7E0480"/>
    <w:multiLevelType w:val="hybridMultilevel"/>
    <w:tmpl w:val="9CE0CA06"/>
    <w:lvl w:ilvl="0" w:tplc="E30494DA">
      <w:start w:val="1"/>
      <w:numFmt w:val="bullet"/>
      <w:lvlText w:val=""/>
      <w:lvlJc w:val="left"/>
      <w:pPr>
        <w:ind w:left="720" w:hanging="180"/>
      </w:pPr>
      <w:rPr>
        <w:rFonts w:ascii="Symbol" w:hAnsi="Symbol" w:hint="default"/>
      </w:rPr>
    </w:lvl>
    <w:lvl w:ilvl="1" w:tplc="DE481222">
      <w:numFmt w:val="decimal"/>
      <w:lvlText w:val=""/>
      <w:lvlJc w:val="left"/>
    </w:lvl>
    <w:lvl w:ilvl="2" w:tplc="EDA46682">
      <w:numFmt w:val="decimal"/>
      <w:lvlText w:val=""/>
      <w:lvlJc w:val="left"/>
    </w:lvl>
    <w:lvl w:ilvl="3" w:tplc="F8B4BAC6">
      <w:numFmt w:val="decimal"/>
      <w:lvlText w:val=""/>
      <w:lvlJc w:val="left"/>
    </w:lvl>
    <w:lvl w:ilvl="4" w:tplc="B22855D8">
      <w:numFmt w:val="decimal"/>
      <w:lvlText w:val=""/>
      <w:lvlJc w:val="left"/>
    </w:lvl>
    <w:lvl w:ilvl="5" w:tplc="B4325ABC">
      <w:numFmt w:val="decimal"/>
      <w:lvlText w:val=""/>
      <w:lvlJc w:val="left"/>
    </w:lvl>
    <w:lvl w:ilvl="6" w:tplc="774AD450">
      <w:numFmt w:val="decimal"/>
      <w:lvlText w:val=""/>
      <w:lvlJc w:val="left"/>
    </w:lvl>
    <w:lvl w:ilvl="7" w:tplc="BD3049F8">
      <w:numFmt w:val="decimal"/>
      <w:lvlText w:val=""/>
      <w:lvlJc w:val="left"/>
    </w:lvl>
    <w:lvl w:ilvl="8" w:tplc="3B36F71E">
      <w:numFmt w:val="decimal"/>
      <w:lvlText w:val=""/>
      <w:lvlJc w:val="left"/>
    </w:lvl>
  </w:abstractNum>
  <w:abstractNum w:abstractNumId="704" w15:restartNumberingAfterBreak="0">
    <w:nsid w:val="4AD512EB"/>
    <w:multiLevelType w:val="hybridMultilevel"/>
    <w:tmpl w:val="FE2C893E"/>
    <w:lvl w:ilvl="0" w:tplc="7EC4B590">
      <w:start w:val="1"/>
      <w:numFmt w:val="bullet"/>
      <w:lvlText w:val=""/>
      <w:lvlJc w:val="left"/>
      <w:pPr>
        <w:ind w:left="720" w:hanging="180"/>
      </w:pPr>
      <w:rPr>
        <w:rFonts w:ascii="Symbol" w:hAnsi="Symbol" w:hint="default"/>
      </w:rPr>
    </w:lvl>
    <w:lvl w:ilvl="1" w:tplc="0A32A00E">
      <w:numFmt w:val="decimal"/>
      <w:lvlText w:val=""/>
      <w:lvlJc w:val="left"/>
    </w:lvl>
    <w:lvl w:ilvl="2" w:tplc="CF245888">
      <w:numFmt w:val="decimal"/>
      <w:lvlText w:val=""/>
      <w:lvlJc w:val="left"/>
    </w:lvl>
    <w:lvl w:ilvl="3" w:tplc="F53A7224">
      <w:numFmt w:val="decimal"/>
      <w:lvlText w:val=""/>
      <w:lvlJc w:val="left"/>
    </w:lvl>
    <w:lvl w:ilvl="4" w:tplc="68EA68A2">
      <w:numFmt w:val="decimal"/>
      <w:lvlText w:val=""/>
      <w:lvlJc w:val="left"/>
    </w:lvl>
    <w:lvl w:ilvl="5" w:tplc="6E96FC94">
      <w:numFmt w:val="decimal"/>
      <w:lvlText w:val=""/>
      <w:lvlJc w:val="left"/>
    </w:lvl>
    <w:lvl w:ilvl="6" w:tplc="6A92DFF4">
      <w:numFmt w:val="decimal"/>
      <w:lvlText w:val=""/>
      <w:lvlJc w:val="left"/>
    </w:lvl>
    <w:lvl w:ilvl="7" w:tplc="195AE682">
      <w:numFmt w:val="decimal"/>
      <w:lvlText w:val=""/>
      <w:lvlJc w:val="left"/>
    </w:lvl>
    <w:lvl w:ilvl="8" w:tplc="BE4E5572">
      <w:numFmt w:val="decimal"/>
      <w:lvlText w:val=""/>
      <w:lvlJc w:val="left"/>
    </w:lvl>
  </w:abstractNum>
  <w:abstractNum w:abstractNumId="705" w15:restartNumberingAfterBreak="0">
    <w:nsid w:val="4AD91B29"/>
    <w:multiLevelType w:val="hybridMultilevel"/>
    <w:tmpl w:val="3AC2AAF4"/>
    <w:lvl w:ilvl="0" w:tplc="CC067660">
      <w:start w:val="1"/>
      <w:numFmt w:val="bullet"/>
      <w:lvlText w:val=""/>
      <w:lvlJc w:val="left"/>
      <w:pPr>
        <w:ind w:left="720" w:hanging="180"/>
      </w:pPr>
      <w:rPr>
        <w:rFonts w:ascii="Symbol" w:hAnsi="Symbol" w:hint="default"/>
      </w:rPr>
    </w:lvl>
    <w:lvl w:ilvl="1" w:tplc="DC2E8380">
      <w:numFmt w:val="decimal"/>
      <w:lvlText w:val=""/>
      <w:lvlJc w:val="left"/>
    </w:lvl>
    <w:lvl w:ilvl="2" w:tplc="66343B78">
      <w:numFmt w:val="decimal"/>
      <w:lvlText w:val=""/>
      <w:lvlJc w:val="left"/>
    </w:lvl>
    <w:lvl w:ilvl="3" w:tplc="F962EC90">
      <w:numFmt w:val="decimal"/>
      <w:lvlText w:val=""/>
      <w:lvlJc w:val="left"/>
    </w:lvl>
    <w:lvl w:ilvl="4" w:tplc="ECA873F8">
      <w:numFmt w:val="decimal"/>
      <w:lvlText w:val=""/>
      <w:lvlJc w:val="left"/>
    </w:lvl>
    <w:lvl w:ilvl="5" w:tplc="55889DEA">
      <w:numFmt w:val="decimal"/>
      <w:lvlText w:val=""/>
      <w:lvlJc w:val="left"/>
    </w:lvl>
    <w:lvl w:ilvl="6" w:tplc="94A024A2">
      <w:numFmt w:val="decimal"/>
      <w:lvlText w:val=""/>
      <w:lvlJc w:val="left"/>
    </w:lvl>
    <w:lvl w:ilvl="7" w:tplc="A7946BD6">
      <w:numFmt w:val="decimal"/>
      <w:lvlText w:val=""/>
      <w:lvlJc w:val="left"/>
    </w:lvl>
    <w:lvl w:ilvl="8" w:tplc="5032E7CE">
      <w:numFmt w:val="decimal"/>
      <w:lvlText w:val=""/>
      <w:lvlJc w:val="left"/>
    </w:lvl>
  </w:abstractNum>
  <w:abstractNum w:abstractNumId="706" w15:restartNumberingAfterBreak="0">
    <w:nsid w:val="4AF264C9"/>
    <w:multiLevelType w:val="hybridMultilevel"/>
    <w:tmpl w:val="876CAF6C"/>
    <w:lvl w:ilvl="0" w:tplc="67A6A3AA">
      <w:start w:val="1"/>
      <w:numFmt w:val="bullet"/>
      <w:lvlText w:val=""/>
      <w:lvlJc w:val="left"/>
      <w:pPr>
        <w:ind w:left="720" w:hanging="180"/>
      </w:pPr>
      <w:rPr>
        <w:rFonts w:ascii="Symbol" w:hAnsi="Symbol" w:hint="default"/>
      </w:rPr>
    </w:lvl>
    <w:lvl w:ilvl="1" w:tplc="45AC3338">
      <w:numFmt w:val="decimal"/>
      <w:lvlText w:val=""/>
      <w:lvlJc w:val="left"/>
    </w:lvl>
    <w:lvl w:ilvl="2" w:tplc="31B8B2E2">
      <w:numFmt w:val="decimal"/>
      <w:lvlText w:val=""/>
      <w:lvlJc w:val="left"/>
    </w:lvl>
    <w:lvl w:ilvl="3" w:tplc="38127CD6">
      <w:numFmt w:val="decimal"/>
      <w:lvlText w:val=""/>
      <w:lvlJc w:val="left"/>
    </w:lvl>
    <w:lvl w:ilvl="4" w:tplc="A6E87E1C">
      <w:numFmt w:val="decimal"/>
      <w:lvlText w:val=""/>
      <w:lvlJc w:val="left"/>
    </w:lvl>
    <w:lvl w:ilvl="5" w:tplc="7AC2D200">
      <w:numFmt w:val="decimal"/>
      <w:lvlText w:val=""/>
      <w:lvlJc w:val="left"/>
    </w:lvl>
    <w:lvl w:ilvl="6" w:tplc="CC94C756">
      <w:numFmt w:val="decimal"/>
      <w:lvlText w:val=""/>
      <w:lvlJc w:val="left"/>
    </w:lvl>
    <w:lvl w:ilvl="7" w:tplc="B9A4618E">
      <w:numFmt w:val="decimal"/>
      <w:lvlText w:val=""/>
      <w:lvlJc w:val="left"/>
    </w:lvl>
    <w:lvl w:ilvl="8" w:tplc="E8768424">
      <w:numFmt w:val="decimal"/>
      <w:lvlText w:val=""/>
      <w:lvlJc w:val="left"/>
    </w:lvl>
  </w:abstractNum>
  <w:abstractNum w:abstractNumId="707" w15:restartNumberingAfterBreak="0">
    <w:nsid w:val="4B0B24C5"/>
    <w:multiLevelType w:val="hybridMultilevel"/>
    <w:tmpl w:val="9C168550"/>
    <w:lvl w:ilvl="0" w:tplc="AC3ABF38">
      <w:numFmt w:val="decimal"/>
      <w:lvlText w:val=""/>
      <w:lvlJc w:val="left"/>
    </w:lvl>
    <w:lvl w:ilvl="1" w:tplc="37FE8408">
      <w:start w:val="1"/>
      <w:numFmt w:val="bullet"/>
      <w:lvlText w:val=""/>
      <w:lvlJc w:val="left"/>
      <w:pPr>
        <w:ind w:left="1440" w:hanging="180"/>
      </w:pPr>
      <w:rPr>
        <w:rFonts w:ascii="Symbol" w:hAnsi="Symbol" w:hint="default"/>
      </w:rPr>
    </w:lvl>
    <w:lvl w:ilvl="2" w:tplc="C6D438EC">
      <w:numFmt w:val="decimal"/>
      <w:lvlText w:val=""/>
      <w:lvlJc w:val="left"/>
    </w:lvl>
    <w:lvl w:ilvl="3" w:tplc="2BF8428C">
      <w:numFmt w:val="decimal"/>
      <w:lvlText w:val=""/>
      <w:lvlJc w:val="left"/>
    </w:lvl>
    <w:lvl w:ilvl="4" w:tplc="6694BBFA">
      <w:numFmt w:val="decimal"/>
      <w:lvlText w:val=""/>
      <w:lvlJc w:val="left"/>
    </w:lvl>
    <w:lvl w:ilvl="5" w:tplc="E8AA5F08">
      <w:numFmt w:val="decimal"/>
      <w:lvlText w:val=""/>
      <w:lvlJc w:val="left"/>
    </w:lvl>
    <w:lvl w:ilvl="6" w:tplc="22DA7F34">
      <w:numFmt w:val="decimal"/>
      <w:lvlText w:val=""/>
      <w:lvlJc w:val="left"/>
    </w:lvl>
    <w:lvl w:ilvl="7" w:tplc="783CF198">
      <w:numFmt w:val="decimal"/>
      <w:lvlText w:val=""/>
      <w:lvlJc w:val="left"/>
    </w:lvl>
    <w:lvl w:ilvl="8" w:tplc="05A03D92">
      <w:numFmt w:val="decimal"/>
      <w:lvlText w:val=""/>
      <w:lvlJc w:val="left"/>
    </w:lvl>
  </w:abstractNum>
  <w:abstractNum w:abstractNumId="708" w15:restartNumberingAfterBreak="0">
    <w:nsid w:val="4B1A763A"/>
    <w:multiLevelType w:val="hybridMultilevel"/>
    <w:tmpl w:val="BE5EBFF4"/>
    <w:lvl w:ilvl="0" w:tplc="9AE270F2">
      <w:start w:val="1"/>
      <w:numFmt w:val="bullet"/>
      <w:lvlText w:val=""/>
      <w:lvlJc w:val="left"/>
      <w:pPr>
        <w:ind w:left="720" w:hanging="180"/>
      </w:pPr>
      <w:rPr>
        <w:rFonts w:ascii="Symbol" w:hAnsi="Symbol" w:hint="default"/>
      </w:rPr>
    </w:lvl>
    <w:lvl w:ilvl="1" w:tplc="61706936">
      <w:numFmt w:val="decimal"/>
      <w:lvlText w:val=""/>
      <w:lvlJc w:val="left"/>
    </w:lvl>
    <w:lvl w:ilvl="2" w:tplc="997A644A">
      <w:numFmt w:val="decimal"/>
      <w:lvlText w:val=""/>
      <w:lvlJc w:val="left"/>
    </w:lvl>
    <w:lvl w:ilvl="3" w:tplc="EE26B23E">
      <w:numFmt w:val="decimal"/>
      <w:lvlText w:val=""/>
      <w:lvlJc w:val="left"/>
    </w:lvl>
    <w:lvl w:ilvl="4" w:tplc="ABE04CFA">
      <w:numFmt w:val="decimal"/>
      <w:lvlText w:val=""/>
      <w:lvlJc w:val="left"/>
    </w:lvl>
    <w:lvl w:ilvl="5" w:tplc="7DE428E2">
      <w:numFmt w:val="decimal"/>
      <w:lvlText w:val=""/>
      <w:lvlJc w:val="left"/>
    </w:lvl>
    <w:lvl w:ilvl="6" w:tplc="ADBC8F80">
      <w:numFmt w:val="decimal"/>
      <w:lvlText w:val=""/>
      <w:lvlJc w:val="left"/>
    </w:lvl>
    <w:lvl w:ilvl="7" w:tplc="BE322116">
      <w:numFmt w:val="decimal"/>
      <w:lvlText w:val=""/>
      <w:lvlJc w:val="left"/>
    </w:lvl>
    <w:lvl w:ilvl="8" w:tplc="CE0E7C6C">
      <w:numFmt w:val="decimal"/>
      <w:lvlText w:val=""/>
      <w:lvlJc w:val="left"/>
    </w:lvl>
  </w:abstractNum>
  <w:abstractNum w:abstractNumId="709" w15:restartNumberingAfterBreak="0">
    <w:nsid w:val="4B332585"/>
    <w:multiLevelType w:val="hybridMultilevel"/>
    <w:tmpl w:val="5560D936"/>
    <w:lvl w:ilvl="0" w:tplc="AB86E88A">
      <w:start w:val="1"/>
      <w:numFmt w:val="bullet"/>
      <w:lvlText w:val=""/>
      <w:lvlJc w:val="left"/>
      <w:pPr>
        <w:ind w:left="720" w:hanging="180"/>
      </w:pPr>
      <w:rPr>
        <w:rFonts w:ascii="Symbol" w:hAnsi="Symbol" w:hint="default"/>
      </w:rPr>
    </w:lvl>
    <w:lvl w:ilvl="1" w:tplc="9DFEB18C">
      <w:numFmt w:val="decimal"/>
      <w:lvlText w:val=""/>
      <w:lvlJc w:val="left"/>
    </w:lvl>
    <w:lvl w:ilvl="2" w:tplc="E29E6FE8">
      <w:numFmt w:val="decimal"/>
      <w:lvlText w:val=""/>
      <w:lvlJc w:val="left"/>
    </w:lvl>
    <w:lvl w:ilvl="3" w:tplc="95881988">
      <w:numFmt w:val="decimal"/>
      <w:lvlText w:val=""/>
      <w:lvlJc w:val="left"/>
    </w:lvl>
    <w:lvl w:ilvl="4" w:tplc="B536676A">
      <w:numFmt w:val="decimal"/>
      <w:lvlText w:val=""/>
      <w:lvlJc w:val="left"/>
    </w:lvl>
    <w:lvl w:ilvl="5" w:tplc="C57CD19A">
      <w:numFmt w:val="decimal"/>
      <w:lvlText w:val=""/>
      <w:lvlJc w:val="left"/>
    </w:lvl>
    <w:lvl w:ilvl="6" w:tplc="8D96571A">
      <w:numFmt w:val="decimal"/>
      <w:lvlText w:val=""/>
      <w:lvlJc w:val="left"/>
    </w:lvl>
    <w:lvl w:ilvl="7" w:tplc="F3DCC80A">
      <w:numFmt w:val="decimal"/>
      <w:lvlText w:val=""/>
      <w:lvlJc w:val="left"/>
    </w:lvl>
    <w:lvl w:ilvl="8" w:tplc="C7E8C5BC">
      <w:numFmt w:val="decimal"/>
      <w:lvlText w:val=""/>
      <w:lvlJc w:val="left"/>
    </w:lvl>
  </w:abstractNum>
  <w:abstractNum w:abstractNumId="710" w15:restartNumberingAfterBreak="0">
    <w:nsid w:val="4B72201D"/>
    <w:multiLevelType w:val="hybridMultilevel"/>
    <w:tmpl w:val="73469F5E"/>
    <w:lvl w:ilvl="0" w:tplc="64B25CF4">
      <w:start w:val="1"/>
      <w:numFmt w:val="bullet"/>
      <w:lvlText w:val=""/>
      <w:lvlJc w:val="left"/>
      <w:pPr>
        <w:ind w:left="720" w:hanging="180"/>
      </w:pPr>
      <w:rPr>
        <w:rFonts w:ascii="Symbol" w:hAnsi="Symbol" w:hint="default"/>
      </w:rPr>
    </w:lvl>
    <w:lvl w:ilvl="1" w:tplc="5C661BEC">
      <w:numFmt w:val="decimal"/>
      <w:lvlText w:val=""/>
      <w:lvlJc w:val="left"/>
    </w:lvl>
    <w:lvl w:ilvl="2" w:tplc="76B0B76E">
      <w:numFmt w:val="decimal"/>
      <w:lvlText w:val=""/>
      <w:lvlJc w:val="left"/>
    </w:lvl>
    <w:lvl w:ilvl="3" w:tplc="6DB65644">
      <w:numFmt w:val="decimal"/>
      <w:lvlText w:val=""/>
      <w:lvlJc w:val="left"/>
    </w:lvl>
    <w:lvl w:ilvl="4" w:tplc="E146E2DE">
      <w:numFmt w:val="decimal"/>
      <w:lvlText w:val=""/>
      <w:lvlJc w:val="left"/>
    </w:lvl>
    <w:lvl w:ilvl="5" w:tplc="21AC5008">
      <w:numFmt w:val="decimal"/>
      <w:lvlText w:val=""/>
      <w:lvlJc w:val="left"/>
    </w:lvl>
    <w:lvl w:ilvl="6" w:tplc="AC04B15E">
      <w:numFmt w:val="decimal"/>
      <w:lvlText w:val=""/>
      <w:lvlJc w:val="left"/>
    </w:lvl>
    <w:lvl w:ilvl="7" w:tplc="E02228FE">
      <w:numFmt w:val="decimal"/>
      <w:lvlText w:val=""/>
      <w:lvlJc w:val="left"/>
    </w:lvl>
    <w:lvl w:ilvl="8" w:tplc="E3862D3E">
      <w:numFmt w:val="decimal"/>
      <w:lvlText w:val=""/>
      <w:lvlJc w:val="left"/>
    </w:lvl>
  </w:abstractNum>
  <w:abstractNum w:abstractNumId="711" w15:restartNumberingAfterBreak="0">
    <w:nsid w:val="4B9F61EA"/>
    <w:multiLevelType w:val="hybridMultilevel"/>
    <w:tmpl w:val="1C5687E8"/>
    <w:lvl w:ilvl="0" w:tplc="54C8CD58">
      <w:start w:val="1"/>
      <w:numFmt w:val="bullet"/>
      <w:lvlText w:val=""/>
      <w:lvlJc w:val="left"/>
      <w:pPr>
        <w:ind w:left="720" w:hanging="180"/>
      </w:pPr>
      <w:rPr>
        <w:rFonts w:ascii="Symbol" w:hAnsi="Symbol" w:hint="default"/>
      </w:rPr>
    </w:lvl>
    <w:lvl w:ilvl="1" w:tplc="469642D0">
      <w:numFmt w:val="decimal"/>
      <w:lvlText w:val=""/>
      <w:lvlJc w:val="left"/>
    </w:lvl>
    <w:lvl w:ilvl="2" w:tplc="940E69E0">
      <w:numFmt w:val="decimal"/>
      <w:lvlText w:val=""/>
      <w:lvlJc w:val="left"/>
    </w:lvl>
    <w:lvl w:ilvl="3" w:tplc="16F28C38">
      <w:numFmt w:val="decimal"/>
      <w:lvlText w:val=""/>
      <w:lvlJc w:val="left"/>
    </w:lvl>
    <w:lvl w:ilvl="4" w:tplc="EB42F0D6">
      <w:numFmt w:val="decimal"/>
      <w:lvlText w:val=""/>
      <w:lvlJc w:val="left"/>
    </w:lvl>
    <w:lvl w:ilvl="5" w:tplc="E7FC35D4">
      <w:numFmt w:val="decimal"/>
      <w:lvlText w:val=""/>
      <w:lvlJc w:val="left"/>
    </w:lvl>
    <w:lvl w:ilvl="6" w:tplc="90847FB4">
      <w:numFmt w:val="decimal"/>
      <w:lvlText w:val=""/>
      <w:lvlJc w:val="left"/>
    </w:lvl>
    <w:lvl w:ilvl="7" w:tplc="914816C0">
      <w:numFmt w:val="decimal"/>
      <w:lvlText w:val=""/>
      <w:lvlJc w:val="left"/>
    </w:lvl>
    <w:lvl w:ilvl="8" w:tplc="19B8FD1A">
      <w:numFmt w:val="decimal"/>
      <w:lvlText w:val=""/>
      <w:lvlJc w:val="left"/>
    </w:lvl>
  </w:abstractNum>
  <w:abstractNum w:abstractNumId="712" w15:restartNumberingAfterBreak="0">
    <w:nsid w:val="4BA53FB0"/>
    <w:multiLevelType w:val="hybridMultilevel"/>
    <w:tmpl w:val="EF7C188C"/>
    <w:lvl w:ilvl="0" w:tplc="18B4FA4C">
      <w:start w:val="1"/>
      <w:numFmt w:val="bullet"/>
      <w:lvlText w:val=""/>
      <w:lvlJc w:val="left"/>
      <w:pPr>
        <w:ind w:left="720" w:hanging="180"/>
      </w:pPr>
      <w:rPr>
        <w:rFonts w:ascii="Symbol" w:hAnsi="Symbol" w:hint="default"/>
      </w:rPr>
    </w:lvl>
    <w:lvl w:ilvl="1" w:tplc="E8F0BE2C">
      <w:numFmt w:val="decimal"/>
      <w:lvlText w:val=""/>
      <w:lvlJc w:val="left"/>
    </w:lvl>
    <w:lvl w:ilvl="2" w:tplc="0D36419E">
      <w:numFmt w:val="decimal"/>
      <w:lvlText w:val=""/>
      <w:lvlJc w:val="left"/>
    </w:lvl>
    <w:lvl w:ilvl="3" w:tplc="AB7889A8">
      <w:numFmt w:val="decimal"/>
      <w:lvlText w:val=""/>
      <w:lvlJc w:val="left"/>
    </w:lvl>
    <w:lvl w:ilvl="4" w:tplc="69E4D4B0">
      <w:numFmt w:val="decimal"/>
      <w:lvlText w:val=""/>
      <w:lvlJc w:val="left"/>
    </w:lvl>
    <w:lvl w:ilvl="5" w:tplc="049057F0">
      <w:numFmt w:val="decimal"/>
      <w:lvlText w:val=""/>
      <w:lvlJc w:val="left"/>
    </w:lvl>
    <w:lvl w:ilvl="6" w:tplc="1C1A6FE0">
      <w:numFmt w:val="decimal"/>
      <w:lvlText w:val=""/>
      <w:lvlJc w:val="left"/>
    </w:lvl>
    <w:lvl w:ilvl="7" w:tplc="6C627C6A">
      <w:numFmt w:val="decimal"/>
      <w:lvlText w:val=""/>
      <w:lvlJc w:val="left"/>
    </w:lvl>
    <w:lvl w:ilvl="8" w:tplc="66C2BD9C">
      <w:numFmt w:val="decimal"/>
      <w:lvlText w:val=""/>
      <w:lvlJc w:val="left"/>
    </w:lvl>
  </w:abstractNum>
  <w:abstractNum w:abstractNumId="713" w15:restartNumberingAfterBreak="0">
    <w:nsid w:val="4BAC543E"/>
    <w:multiLevelType w:val="hybridMultilevel"/>
    <w:tmpl w:val="30CAFF24"/>
    <w:lvl w:ilvl="0" w:tplc="C5A27E12">
      <w:start w:val="1"/>
      <w:numFmt w:val="bullet"/>
      <w:lvlText w:val=""/>
      <w:lvlJc w:val="left"/>
      <w:pPr>
        <w:ind w:left="720" w:hanging="180"/>
      </w:pPr>
      <w:rPr>
        <w:rFonts w:ascii="Symbol" w:hAnsi="Symbol" w:hint="default"/>
      </w:rPr>
    </w:lvl>
    <w:lvl w:ilvl="1" w:tplc="F468D26E">
      <w:numFmt w:val="decimal"/>
      <w:lvlText w:val=""/>
      <w:lvlJc w:val="left"/>
    </w:lvl>
    <w:lvl w:ilvl="2" w:tplc="3FC868D0">
      <w:numFmt w:val="decimal"/>
      <w:lvlText w:val=""/>
      <w:lvlJc w:val="left"/>
    </w:lvl>
    <w:lvl w:ilvl="3" w:tplc="749E56F8">
      <w:numFmt w:val="decimal"/>
      <w:lvlText w:val=""/>
      <w:lvlJc w:val="left"/>
    </w:lvl>
    <w:lvl w:ilvl="4" w:tplc="CE38D6B6">
      <w:numFmt w:val="decimal"/>
      <w:lvlText w:val=""/>
      <w:lvlJc w:val="left"/>
    </w:lvl>
    <w:lvl w:ilvl="5" w:tplc="A33E1EEE">
      <w:numFmt w:val="decimal"/>
      <w:lvlText w:val=""/>
      <w:lvlJc w:val="left"/>
    </w:lvl>
    <w:lvl w:ilvl="6" w:tplc="D8862C16">
      <w:numFmt w:val="decimal"/>
      <w:lvlText w:val=""/>
      <w:lvlJc w:val="left"/>
    </w:lvl>
    <w:lvl w:ilvl="7" w:tplc="BBE6FEFE">
      <w:numFmt w:val="decimal"/>
      <w:lvlText w:val=""/>
      <w:lvlJc w:val="left"/>
    </w:lvl>
    <w:lvl w:ilvl="8" w:tplc="F03CBB3A">
      <w:numFmt w:val="decimal"/>
      <w:lvlText w:val=""/>
      <w:lvlJc w:val="left"/>
    </w:lvl>
  </w:abstractNum>
  <w:abstractNum w:abstractNumId="714" w15:restartNumberingAfterBreak="0">
    <w:nsid w:val="4BF41941"/>
    <w:multiLevelType w:val="hybridMultilevel"/>
    <w:tmpl w:val="23666FE0"/>
    <w:lvl w:ilvl="0" w:tplc="5498D01A">
      <w:start w:val="1"/>
      <w:numFmt w:val="bullet"/>
      <w:lvlText w:val=""/>
      <w:lvlJc w:val="left"/>
      <w:pPr>
        <w:ind w:left="720" w:hanging="180"/>
      </w:pPr>
      <w:rPr>
        <w:rFonts w:ascii="Symbol" w:hAnsi="Symbol" w:hint="default"/>
      </w:rPr>
    </w:lvl>
    <w:lvl w:ilvl="1" w:tplc="2B001CC0">
      <w:numFmt w:val="decimal"/>
      <w:lvlText w:val=""/>
      <w:lvlJc w:val="left"/>
    </w:lvl>
    <w:lvl w:ilvl="2" w:tplc="43BCF382">
      <w:numFmt w:val="decimal"/>
      <w:lvlText w:val=""/>
      <w:lvlJc w:val="left"/>
    </w:lvl>
    <w:lvl w:ilvl="3" w:tplc="568E1510">
      <w:numFmt w:val="decimal"/>
      <w:lvlText w:val=""/>
      <w:lvlJc w:val="left"/>
    </w:lvl>
    <w:lvl w:ilvl="4" w:tplc="465A81C4">
      <w:numFmt w:val="decimal"/>
      <w:lvlText w:val=""/>
      <w:lvlJc w:val="left"/>
    </w:lvl>
    <w:lvl w:ilvl="5" w:tplc="D6588874">
      <w:numFmt w:val="decimal"/>
      <w:lvlText w:val=""/>
      <w:lvlJc w:val="left"/>
    </w:lvl>
    <w:lvl w:ilvl="6" w:tplc="2F02E254">
      <w:numFmt w:val="decimal"/>
      <w:lvlText w:val=""/>
      <w:lvlJc w:val="left"/>
    </w:lvl>
    <w:lvl w:ilvl="7" w:tplc="4CF2751E">
      <w:numFmt w:val="decimal"/>
      <w:lvlText w:val=""/>
      <w:lvlJc w:val="left"/>
    </w:lvl>
    <w:lvl w:ilvl="8" w:tplc="A0684644">
      <w:numFmt w:val="decimal"/>
      <w:lvlText w:val=""/>
      <w:lvlJc w:val="left"/>
    </w:lvl>
  </w:abstractNum>
  <w:abstractNum w:abstractNumId="715" w15:restartNumberingAfterBreak="0">
    <w:nsid w:val="4C0822D8"/>
    <w:multiLevelType w:val="hybridMultilevel"/>
    <w:tmpl w:val="C6F06FB6"/>
    <w:lvl w:ilvl="0" w:tplc="F3A4756A">
      <w:start w:val="1"/>
      <w:numFmt w:val="bullet"/>
      <w:lvlText w:val=""/>
      <w:lvlJc w:val="left"/>
      <w:pPr>
        <w:ind w:left="720" w:hanging="180"/>
      </w:pPr>
      <w:rPr>
        <w:rFonts w:ascii="Symbol" w:hAnsi="Symbol" w:hint="default"/>
      </w:rPr>
    </w:lvl>
    <w:lvl w:ilvl="1" w:tplc="C0784862">
      <w:numFmt w:val="decimal"/>
      <w:lvlText w:val=""/>
      <w:lvlJc w:val="left"/>
    </w:lvl>
    <w:lvl w:ilvl="2" w:tplc="5F2CB1D4">
      <w:numFmt w:val="decimal"/>
      <w:lvlText w:val=""/>
      <w:lvlJc w:val="left"/>
    </w:lvl>
    <w:lvl w:ilvl="3" w:tplc="9566D9A2">
      <w:numFmt w:val="decimal"/>
      <w:lvlText w:val=""/>
      <w:lvlJc w:val="left"/>
    </w:lvl>
    <w:lvl w:ilvl="4" w:tplc="DA0ED018">
      <w:numFmt w:val="decimal"/>
      <w:lvlText w:val=""/>
      <w:lvlJc w:val="left"/>
    </w:lvl>
    <w:lvl w:ilvl="5" w:tplc="AD58B584">
      <w:numFmt w:val="decimal"/>
      <w:lvlText w:val=""/>
      <w:lvlJc w:val="left"/>
    </w:lvl>
    <w:lvl w:ilvl="6" w:tplc="F63C2612">
      <w:numFmt w:val="decimal"/>
      <w:lvlText w:val=""/>
      <w:lvlJc w:val="left"/>
    </w:lvl>
    <w:lvl w:ilvl="7" w:tplc="0916F976">
      <w:numFmt w:val="decimal"/>
      <w:lvlText w:val=""/>
      <w:lvlJc w:val="left"/>
    </w:lvl>
    <w:lvl w:ilvl="8" w:tplc="AA9CA044">
      <w:numFmt w:val="decimal"/>
      <w:lvlText w:val=""/>
      <w:lvlJc w:val="left"/>
    </w:lvl>
  </w:abstractNum>
  <w:abstractNum w:abstractNumId="716" w15:restartNumberingAfterBreak="0">
    <w:nsid w:val="4C09332F"/>
    <w:multiLevelType w:val="hybridMultilevel"/>
    <w:tmpl w:val="BEC628BA"/>
    <w:lvl w:ilvl="0" w:tplc="BC689A9E">
      <w:start w:val="1"/>
      <w:numFmt w:val="bullet"/>
      <w:lvlText w:val=""/>
      <w:lvlJc w:val="left"/>
      <w:pPr>
        <w:ind w:left="720" w:hanging="180"/>
      </w:pPr>
      <w:rPr>
        <w:rFonts w:ascii="Symbol" w:hAnsi="Symbol" w:hint="default"/>
      </w:rPr>
    </w:lvl>
    <w:lvl w:ilvl="1" w:tplc="20C8FDD4">
      <w:numFmt w:val="decimal"/>
      <w:lvlText w:val=""/>
      <w:lvlJc w:val="left"/>
    </w:lvl>
    <w:lvl w:ilvl="2" w:tplc="7CA0A0BE">
      <w:numFmt w:val="decimal"/>
      <w:lvlText w:val=""/>
      <w:lvlJc w:val="left"/>
    </w:lvl>
    <w:lvl w:ilvl="3" w:tplc="215E9E2C">
      <w:numFmt w:val="decimal"/>
      <w:lvlText w:val=""/>
      <w:lvlJc w:val="left"/>
    </w:lvl>
    <w:lvl w:ilvl="4" w:tplc="6F86C0D0">
      <w:numFmt w:val="decimal"/>
      <w:lvlText w:val=""/>
      <w:lvlJc w:val="left"/>
    </w:lvl>
    <w:lvl w:ilvl="5" w:tplc="6122F0DE">
      <w:numFmt w:val="decimal"/>
      <w:lvlText w:val=""/>
      <w:lvlJc w:val="left"/>
    </w:lvl>
    <w:lvl w:ilvl="6" w:tplc="1B90A736">
      <w:numFmt w:val="decimal"/>
      <w:lvlText w:val=""/>
      <w:lvlJc w:val="left"/>
    </w:lvl>
    <w:lvl w:ilvl="7" w:tplc="367A7204">
      <w:numFmt w:val="decimal"/>
      <w:lvlText w:val=""/>
      <w:lvlJc w:val="left"/>
    </w:lvl>
    <w:lvl w:ilvl="8" w:tplc="9EC44E42">
      <w:numFmt w:val="decimal"/>
      <w:lvlText w:val=""/>
      <w:lvlJc w:val="left"/>
    </w:lvl>
  </w:abstractNum>
  <w:abstractNum w:abstractNumId="717" w15:restartNumberingAfterBreak="0">
    <w:nsid w:val="4C285AE7"/>
    <w:multiLevelType w:val="hybridMultilevel"/>
    <w:tmpl w:val="2D22CD32"/>
    <w:lvl w:ilvl="0" w:tplc="A48E7CC6">
      <w:start w:val="1"/>
      <w:numFmt w:val="bullet"/>
      <w:lvlText w:val=""/>
      <w:lvlJc w:val="left"/>
      <w:pPr>
        <w:ind w:left="720" w:hanging="180"/>
      </w:pPr>
      <w:rPr>
        <w:rFonts w:ascii="Symbol" w:hAnsi="Symbol" w:hint="default"/>
      </w:rPr>
    </w:lvl>
    <w:lvl w:ilvl="1" w:tplc="5616EA9C">
      <w:numFmt w:val="decimal"/>
      <w:lvlText w:val=""/>
      <w:lvlJc w:val="left"/>
    </w:lvl>
    <w:lvl w:ilvl="2" w:tplc="F8A46ED0">
      <w:numFmt w:val="decimal"/>
      <w:lvlText w:val=""/>
      <w:lvlJc w:val="left"/>
    </w:lvl>
    <w:lvl w:ilvl="3" w:tplc="87904322">
      <w:numFmt w:val="decimal"/>
      <w:lvlText w:val=""/>
      <w:lvlJc w:val="left"/>
    </w:lvl>
    <w:lvl w:ilvl="4" w:tplc="D0FA8078">
      <w:numFmt w:val="decimal"/>
      <w:lvlText w:val=""/>
      <w:lvlJc w:val="left"/>
    </w:lvl>
    <w:lvl w:ilvl="5" w:tplc="F0DCB348">
      <w:numFmt w:val="decimal"/>
      <w:lvlText w:val=""/>
      <w:lvlJc w:val="left"/>
    </w:lvl>
    <w:lvl w:ilvl="6" w:tplc="55B8DE9A">
      <w:numFmt w:val="decimal"/>
      <w:lvlText w:val=""/>
      <w:lvlJc w:val="left"/>
    </w:lvl>
    <w:lvl w:ilvl="7" w:tplc="76DC3222">
      <w:numFmt w:val="decimal"/>
      <w:lvlText w:val=""/>
      <w:lvlJc w:val="left"/>
    </w:lvl>
    <w:lvl w:ilvl="8" w:tplc="8A2634D6">
      <w:numFmt w:val="decimal"/>
      <w:lvlText w:val=""/>
      <w:lvlJc w:val="left"/>
    </w:lvl>
  </w:abstractNum>
  <w:abstractNum w:abstractNumId="718" w15:restartNumberingAfterBreak="0">
    <w:nsid w:val="4C46612E"/>
    <w:multiLevelType w:val="hybridMultilevel"/>
    <w:tmpl w:val="C1AA3A38"/>
    <w:lvl w:ilvl="0" w:tplc="F45284D2">
      <w:start w:val="1"/>
      <w:numFmt w:val="bullet"/>
      <w:lvlText w:val=""/>
      <w:lvlJc w:val="left"/>
      <w:pPr>
        <w:ind w:left="720" w:hanging="180"/>
      </w:pPr>
      <w:rPr>
        <w:rFonts w:ascii="Symbol" w:hAnsi="Symbol" w:hint="default"/>
      </w:rPr>
    </w:lvl>
    <w:lvl w:ilvl="1" w:tplc="D4487C76">
      <w:numFmt w:val="decimal"/>
      <w:lvlText w:val=""/>
      <w:lvlJc w:val="left"/>
    </w:lvl>
    <w:lvl w:ilvl="2" w:tplc="26E0D78A">
      <w:numFmt w:val="decimal"/>
      <w:lvlText w:val=""/>
      <w:lvlJc w:val="left"/>
    </w:lvl>
    <w:lvl w:ilvl="3" w:tplc="72FE1946">
      <w:numFmt w:val="decimal"/>
      <w:lvlText w:val=""/>
      <w:lvlJc w:val="left"/>
    </w:lvl>
    <w:lvl w:ilvl="4" w:tplc="FCC0FAD8">
      <w:numFmt w:val="decimal"/>
      <w:lvlText w:val=""/>
      <w:lvlJc w:val="left"/>
    </w:lvl>
    <w:lvl w:ilvl="5" w:tplc="BAD2B6BE">
      <w:numFmt w:val="decimal"/>
      <w:lvlText w:val=""/>
      <w:lvlJc w:val="left"/>
    </w:lvl>
    <w:lvl w:ilvl="6" w:tplc="1F00992A">
      <w:numFmt w:val="decimal"/>
      <w:lvlText w:val=""/>
      <w:lvlJc w:val="left"/>
    </w:lvl>
    <w:lvl w:ilvl="7" w:tplc="56767DF4">
      <w:numFmt w:val="decimal"/>
      <w:lvlText w:val=""/>
      <w:lvlJc w:val="left"/>
    </w:lvl>
    <w:lvl w:ilvl="8" w:tplc="74BE3C28">
      <w:numFmt w:val="decimal"/>
      <w:lvlText w:val=""/>
      <w:lvlJc w:val="left"/>
    </w:lvl>
  </w:abstractNum>
  <w:abstractNum w:abstractNumId="719" w15:restartNumberingAfterBreak="0">
    <w:nsid w:val="4C535923"/>
    <w:multiLevelType w:val="hybridMultilevel"/>
    <w:tmpl w:val="D8FA89A0"/>
    <w:lvl w:ilvl="0" w:tplc="39EC77E4">
      <w:start w:val="1"/>
      <w:numFmt w:val="bullet"/>
      <w:lvlText w:val=""/>
      <w:lvlJc w:val="left"/>
      <w:pPr>
        <w:ind w:left="720" w:hanging="180"/>
      </w:pPr>
      <w:rPr>
        <w:rFonts w:ascii="Symbol" w:hAnsi="Symbol" w:hint="default"/>
      </w:rPr>
    </w:lvl>
    <w:lvl w:ilvl="1" w:tplc="059A500C">
      <w:numFmt w:val="decimal"/>
      <w:lvlText w:val=""/>
      <w:lvlJc w:val="left"/>
    </w:lvl>
    <w:lvl w:ilvl="2" w:tplc="54467920">
      <w:numFmt w:val="decimal"/>
      <w:lvlText w:val=""/>
      <w:lvlJc w:val="left"/>
    </w:lvl>
    <w:lvl w:ilvl="3" w:tplc="656429C2">
      <w:numFmt w:val="decimal"/>
      <w:lvlText w:val=""/>
      <w:lvlJc w:val="left"/>
    </w:lvl>
    <w:lvl w:ilvl="4" w:tplc="3B8CE422">
      <w:numFmt w:val="decimal"/>
      <w:lvlText w:val=""/>
      <w:lvlJc w:val="left"/>
    </w:lvl>
    <w:lvl w:ilvl="5" w:tplc="9F146D4A">
      <w:numFmt w:val="decimal"/>
      <w:lvlText w:val=""/>
      <w:lvlJc w:val="left"/>
    </w:lvl>
    <w:lvl w:ilvl="6" w:tplc="48345B6E">
      <w:numFmt w:val="decimal"/>
      <w:lvlText w:val=""/>
      <w:lvlJc w:val="left"/>
    </w:lvl>
    <w:lvl w:ilvl="7" w:tplc="DEFCF8EE">
      <w:numFmt w:val="decimal"/>
      <w:lvlText w:val=""/>
      <w:lvlJc w:val="left"/>
    </w:lvl>
    <w:lvl w:ilvl="8" w:tplc="8BA6C5B8">
      <w:numFmt w:val="decimal"/>
      <w:lvlText w:val=""/>
      <w:lvlJc w:val="left"/>
    </w:lvl>
  </w:abstractNum>
  <w:abstractNum w:abstractNumId="720" w15:restartNumberingAfterBreak="0">
    <w:nsid w:val="4C5E7779"/>
    <w:multiLevelType w:val="hybridMultilevel"/>
    <w:tmpl w:val="81AE723C"/>
    <w:lvl w:ilvl="0" w:tplc="FBAEDA8E">
      <w:start w:val="1"/>
      <w:numFmt w:val="bullet"/>
      <w:lvlText w:val=""/>
      <w:lvlJc w:val="left"/>
      <w:pPr>
        <w:ind w:left="720" w:hanging="180"/>
      </w:pPr>
      <w:rPr>
        <w:rFonts w:ascii="Symbol" w:hAnsi="Symbol" w:hint="default"/>
      </w:rPr>
    </w:lvl>
    <w:lvl w:ilvl="1" w:tplc="0A36377E">
      <w:numFmt w:val="decimal"/>
      <w:lvlText w:val=""/>
      <w:lvlJc w:val="left"/>
    </w:lvl>
    <w:lvl w:ilvl="2" w:tplc="6A64E838">
      <w:numFmt w:val="decimal"/>
      <w:lvlText w:val=""/>
      <w:lvlJc w:val="left"/>
    </w:lvl>
    <w:lvl w:ilvl="3" w:tplc="404AAA0A">
      <w:numFmt w:val="decimal"/>
      <w:lvlText w:val=""/>
      <w:lvlJc w:val="left"/>
    </w:lvl>
    <w:lvl w:ilvl="4" w:tplc="E55C8A4A">
      <w:numFmt w:val="decimal"/>
      <w:lvlText w:val=""/>
      <w:lvlJc w:val="left"/>
    </w:lvl>
    <w:lvl w:ilvl="5" w:tplc="BFB4D48C">
      <w:numFmt w:val="decimal"/>
      <w:lvlText w:val=""/>
      <w:lvlJc w:val="left"/>
    </w:lvl>
    <w:lvl w:ilvl="6" w:tplc="9FD89468">
      <w:numFmt w:val="decimal"/>
      <w:lvlText w:val=""/>
      <w:lvlJc w:val="left"/>
    </w:lvl>
    <w:lvl w:ilvl="7" w:tplc="D51AE480">
      <w:numFmt w:val="decimal"/>
      <w:lvlText w:val=""/>
      <w:lvlJc w:val="left"/>
    </w:lvl>
    <w:lvl w:ilvl="8" w:tplc="BB761CE0">
      <w:numFmt w:val="decimal"/>
      <w:lvlText w:val=""/>
      <w:lvlJc w:val="left"/>
    </w:lvl>
  </w:abstractNum>
  <w:abstractNum w:abstractNumId="721" w15:restartNumberingAfterBreak="0">
    <w:nsid w:val="4C6331DF"/>
    <w:multiLevelType w:val="hybridMultilevel"/>
    <w:tmpl w:val="CD3E6A2A"/>
    <w:lvl w:ilvl="0" w:tplc="5B66D4B6">
      <w:start w:val="1"/>
      <w:numFmt w:val="bullet"/>
      <w:lvlText w:val=""/>
      <w:lvlJc w:val="left"/>
      <w:pPr>
        <w:ind w:left="720" w:hanging="180"/>
      </w:pPr>
      <w:rPr>
        <w:rFonts w:ascii="Symbol" w:hAnsi="Symbol" w:hint="default"/>
      </w:rPr>
    </w:lvl>
    <w:lvl w:ilvl="1" w:tplc="FF8403AC">
      <w:numFmt w:val="decimal"/>
      <w:lvlText w:val=""/>
      <w:lvlJc w:val="left"/>
    </w:lvl>
    <w:lvl w:ilvl="2" w:tplc="4594C18C">
      <w:numFmt w:val="decimal"/>
      <w:lvlText w:val=""/>
      <w:lvlJc w:val="left"/>
    </w:lvl>
    <w:lvl w:ilvl="3" w:tplc="C08EA5B2">
      <w:numFmt w:val="decimal"/>
      <w:lvlText w:val=""/>
      <w:lvlJc w:val="left"/>
    </w:lvl>
    <w:lvl w:ilvl="4" w:tplc="2064F5FA">
      <w:numFmt w:val="decimal"/>
      <w:lvlText w:val=""/>
      <w:lvlJc w:val="left"/>
    </w:lvl>
    <w:lvl w:ilvl="5" w:tplc="2AAA40B8">
      <w:numFmt w:val="decimal"/>
      <w:lvlText w:val=""/>
      <w:lvlJc w:val="left"/>
    </w:lvl>
    <w:lvl w:ilvl="6" w:tplc="557261D8">
      <w:numFmt w:val="decimal"/>
      <w:lvlText w:val=""/>
      <w:lvlJc w:val="left"/>
    </w:lvl>
    <w:lvl w:ilvl="7" w:tplc="25581712">
      <w:numFmt w:val="decimal"/>
      <w:lvlText w:val=""/>
      <w:lvlJc w:val="left"/>
    </w:lvl>
    <w:lvl w:ilvl="8" w:tplc="795E6B7C">
      <w:numFmt w:val="decimal"/>
      <w:lvlText w:val=""/>
      <w:lvlJc w:val="left"/>
    </w:lvl>
  </w:abstractNum>
  <w:abstractNum w:abstractNumId="722" w15:restartNumberingAfterBreak="0">
    <w:nsid w:val="4C911DC8"/>
    <w:multiLevelType w:val="hybridMultilevel"/>
    <w:tmpl w:val="712AEB10"/>
    <w:lvl w:ilvl="0" w:tplc="73BA0B72">
      <w:start w:val="1"/>
      <w:numFmt w:val="bullet"/>
      <w:lvlText w:val=""/>
      <w:lvlJc w:val="left"/>
      <w:pPr>
        <w:ind w:left="720" w:hanging="180"/>
      </w:pPr>
      <w:rPr>
        <w:rFonts w:ascii="Symbol" w:hAnsi="Symbol" w:hint="default"/>
      </w:rPr>
    </w:lvl>
    <w:lvl w:ilvl="1" w:tplc="5F2ECCEA">
      <w:numFmt w:val="decimal"/>
      <w:lvlText w:val=""/>
      <w:lvlJc w:val="left"/>
    </w:lvl>
    <w:lvl w:ilvl="2" w:tplc="A9BC00CE">
      <w:numFmt w:val="decimal"/>
      <w:lvlText w:val=""/>
      <w:lvlJc w:val="left"/>
    </w:lvl>
    <w:lvl w:ilvl="3" w:tplc="4A8C2976">
      <w:numFmt w:val="decimal"/>
      <w:lvlText w:val=""/>
      <w:lvlJc w:val="left"/>
    </w:lvl>
    <w:lvl w:ilvl="4" w:tplc="ECA04DE0">
      <w:numFmt w:val="decimal"/>
      <w:lvlText w:val=""/>
      <w:lvlJc w:val="left"/>
    </w:lvl>
    <w:lvl w:ilvl="5" w:tplc="FC001350">
      <w:numFmt w:val="decimal"/>
      <w:lvlText w:val=""/>
      <w:lvlJc w:val="left"/>
    </w:lvl>
    <w:lvl w:ilvl="6" w:tplc="6154298C">
      <w:numFmt w:val="decimal"/>
      <w:lvlText w:val=""/>
      <w:lvlJc w:val="left"/>
    </w:lvl>
    <w:lvl w:ilvl="7" w:tplc="5394C13E">
      <w:numFmt w:val="decimal"/>
      <w:lvlText w:val=""/>
      <w:lvlJc w:val="left"/>
    </w:lvl>
    <w:lvl w:ilvl="8" w:tplc="FACAE432">
      <w:numFmt w:val="decimal"/>
      <w:lvlText w:val=""/>
      <w:lvlJc w:val="left"/>
    </w:lvl>
  </w:abstractNum>
  <w:abstractNum w:abstractNumId="723" w15:restartNumberingAfterBreak="0">
    <w:nsid w:val="4CA92CD8"/>
    <w:multiLevelType w:val="hybridMultilevel"/>
    <w:tmpl w:val="32ECD178"/>
    <w:lvl w:ilvl="0" w:tplc="A7E0D080">
      <w:start w:val="1"/>
      <w:numFmt w:val="bullet"/>
      <w:lvlText w:val=""/>
      <w:lvlJc w:val="left"/>
      <w:pPr>
        <w:ind w:left="720" w:hanging="180"/>
      </w:pPr>
      <w:rPr>
        <w:rFonts w:ascii="Symbol" w:hAnsi="Symbol" w:hint="default"/>
      </w:rPr>
    </w:lvl>
    <w:lvl w:ilvl="1" w:tplc="41023FB2">
      <w:numFmt w:val="decimal"/>
      <w:lvlText w:val=""/>
      <w:lvlJc w:val="left"/>
    </w:lvl>
    <w:lvl w:ilvl="2" w:tplc="F886E9E0">
      <w:numFmt w:val="decimal"/>
      <w:lvlText w:val=""/>
      <w:lvlJc w:val="left"/>
    </w:lvl>
    <w:lvl w:ilvl="3" w:tplc="E2045776">
      <w:numFmt w:val="decimal"/>
      <w:lvlText w:val=""/>
      <w:lvlJc w:val="left"/>
    </w:lvl>
    <w:lvl w:ilvl="4" w:tplc="CFD6EF02">
      <w:numFmt w:val="decimal"/>
      <w:lvlText w:val=""/>
      <w:lvlJc w:val="left"/>
    </w:lvl>
    <w:lvl w:ilvl="5" w:tplc="D45EA218">
      <w:numFmt w:val="decimal"/>
      <w:lvlText w:val=""/>
      <w:lvlJc w:val="left"/>
    </w:lvl>
    <w:lvl w:ilvl="6" w:tplc="FB582CEC">
      <w:numFmt w:val="decimal"/>
      <w:lvlText w:val=""/>
      <w:lvlJc w:val="left"/>
    </w:lvl>
    <w:lvl w:ilvl="7" w:tplc="D3981118">
      <w:numFmt w:val="decimal"/>
      <w:lvlText w:val=""/>
      <w:lvlJc w:val="left"/>
    </w:lvl>
    <w:lvl w:ilvl="8" w:tplc="2A80FF32">
      <w:numFmt w:val="decimal"/>
      <w:lvlText w:val=""/>
      <w:lvlJc w:val="left"/>
    </w:lvl>
  </w:abstractNum>
  <w:abstractNum w:abstractNumId="724" w15:restartNumberingAfterBreak="0">
    <w:nsid w:val="4CBC0766"/>
    <w:multiLevelType w:val="hybridMultilevel"/>
    <w:tmpl w:val="0D362AC2"/>
    <w:lvl w:ilvl="0" w:tplc="AE301DAE">
      <w:start w:val="1"/>
      <w:numFmt w:val="bullet"/>
      <w:lvlText w:val=""/>
      <w:lvlJc w:val="left"/>
      <w:pPr>
        <w:ind w:left="720" w:hanging="180"/>
      </w:pPr>
      <w:rPr>
        <w:rFonts w:ascii="Symbol" w:hAnsi="Symbol" w:hint="default"/>
      </w:rPr>
    </w:lvl>
    <w:lvl w:ilvl="1" w:tplc="03B0C808">
      <w:numFmt w:val="decimal"/>
      <w:lvlText w:val=""/>
      <w:lvlJc w:val="left"/>
    </w:lvl>
    <w:lvl w:ilvl="2" w:tplc="816800C4">
      <w:numFmt w:val="decimal"/>
      <w:lvlText w:val=""/>
      <w:lvlJc w:val="left"/>
    </w:lvl>
    <w:lvl w:ilvl="3" w:tplc="AEB4B796">
      <w:numFmt w:val="decimal"/>
      <w:lvlText w:val=""/>
      <w:lvlJc w:val="left"/>
    </w:lvl>
    <w:lvl w:ilvl="4" w:tplc="72F6BB34">
      <w:numFmt w:val="decimal"/>
      <w:lvlText w:val=""/>
      <w:lvlJc w:val="left"/>
    </w:lvl>
    <w:lvl w:ilvl="5" w:tplc="5A001AFA">
      <w:numFmt w:val="decimal"/>
      <w:lvlText w:val=""/>
      <w:lvlJc w:val="left"/>
    </w:lvl>
    <w:lvl w:ilvl="6" w:tplc="36EE9C92">
      <w:numFmt w:val="decimal"/>
      <w:lvlText w:val=""/>
      <w:lvlJc w:val="left"/>
    </w:lvl>
    <w:lvl w:ilvl="7" w:tplc="3C481FDA">
      <w:numFmt w:val="decimal"/>
      <w:lvlText w:val=""/>
      <w:lvlJc w:val="left"/>
    </w:lvl>
    <w:lvl w:ilvl="8" w:tplc="6382D1D2">
      <w:numFmt w:val="decimal"/>
      <w:lvlText w:val=""/>
      <w:lvlJc w:val="left"/>
    </w:lvl>
  </w:abstractNum>
  <w:abstractNum w:abstractNumId="725" w15:restartNumberingAfterBreak="0">
    <w:nsid w:val="4D167BCF"/>
    <w:multiLevelType w:val="hybridMultilevel"/>
    <w:tmpl w:val="07FCB3D6"/>
    <w:lvl w:ilvl="0" w:tplc="C4CA1E8E">
      <w:start w:val="1"/>
      <w:numFmt w:val="bullet"/>
      <w:lvlText w:val=""/>
      <w:lvlJc w:val="left"/>
      <w:pPr>
        <w:ind w:left="720" w:hanging="180"/>
      </w:pPr>
      <w:rPr>
        <w:rFonts w:ascii="Symbol" w:hAnsi="Symbol" w:hint="default"/>
      </w:rPr>
    </w:lvl>
    <w:lvl w:ilvl="1" w:tplc="A7CE018A">
      <w:numFmt w:val="decimal"/>
      <w:lvlText w:val=""/>
      <w:lvlJc w:val="left"/>
    </w:lvl>
    <w:lvl w:ilvl="2" w:tplc="45C272C4">
      <w:numFmt w:val="decimal"/>
      <w:lvlText w:val=""/>
      <w:lvlJc w:val="left"/>
    </w:lvl>
    <w:lvl w:ilvl="3" w:tplc="64904662">
      <w:numFmt w:val="decimal"/>
      <w:lvlText w:val=""/>
      <w:lvlJc w:val="left"/>
    </w:lvl>
    <w:lvl w:ilvl="4" w:tplc="8F369D52">
      <w:numFmt w:val="decimal"/>
      <w:lvlText w:val=""/>
      <w:lvlJc w:val="left"/>
    </w:lvl>
    <w:lvl w:ilvl="5" w:tplc="CBE25A16">
      <w:numFmt w:val="decimal"/>
      <w:lvlText w:val=""/>
      <w:lvlJc w:val="left"/>
    </w:lvl>
    <w:lvl w:ilvl="6" w:tplc="8DC07ACC">
      <w:numFmt w:val="decimal"/>
      <w:lvlText w:val=""/>
      <w:lvlJc w:val="left"/>
    </w:lvl>
    <w:lvl w:ilvl="7" w:tplc="7B6A11A6">
      <w:numFmt w:val="decimal"/>
      <w:lvlText w:val=""/>
      <w:lvlJc w:val="left"/>
    </w:lvl>
    <w:lvl w:ilvl="8" w:tplc="727808BE">
      <w:numFmt w:val="decimal"/>
      <w:lvlText w:val=""/>
      <w:lvlJc w:val="left"/>
    </w:lvl>
  </w:abstractNum>
  <w:abstractNum w:abstractNumId="726" w15:restartNumberingAfterBreak="0">
    <w:nsid w:val="4D475075"/>
    <w:multiLevelType w:val="hybridMultilevel"/>
    <w:tmpl w:val="D2661240"/>
    <w:lvl w:ilvl="0" w:tplc="90E05D06">
      <w:start w:val="1"/>
      <w:numFmt w:val="bullet"/>
      <w:lvlText w:val=""/>
      <w:lvlJc w:val="left"/>
      <w:pPr>
        <w:ind w:left="720" w:hanging="180"/>
      </w:pPr>
      <w:rPr>
        <w:rFonts w:ascii="Symbol" w:hAnsi="Symbol" w:hint="default"/>
      </w:rPr>
    </w:lvl>
    <w:lvl w:ilvl="1" w:tplc="3F06283A">
      <w:numFmt w:val="decimal"/>
      <w:lvlText w:val=""/>
      <w:lvlJc w:val="left"/>
    </w:lvl>
    <w:lvl w:ilvl="2" w:tplc="9A041E32">
      <w:numFmt w:val="decimal"/>
      <w:lvlText w:val=""/>
      <w:lvlJc w:val="left"/>
    </w:lvl>
    <w:lvl w:ilvl="3" w:tplc="B0EE43AC">
      <w:numFmt w:val="decimal"/>
      <w:lvlText w:val=""/>
      <w:lvlJc w:val="left"/>
    </w:lvl>
    <w:lvl w:ilvl="4" w:tplc="8FE02912">
      <w:numFmt w:val="decimal"/>
      <w:lvlText w:val=""/>
      <w:lvlJc w:val="left"/>
    </w:lvl>
    <w:lvl w:ilvl="5" w:tplc="E05CE5EC">
      <w:numFmt w:val="decimal"/>
      <w:lvlText w:val=""/>
      <w:lvlJc w:val="left"/>
    </w:lvl>
    <w:lvl w:ilvl="6" w:tplc="365A64E8">
      <w:numFmt w:val="decimal"/>
      <w:lvlText w:val=""/>
      <w:lvlJc w:val="left"/>
    </w:lvl>
    <w:lvl w:ilvl="7" w:tplc="70D041B6">
      <w:numFmt w:val="decimal"/>
      <w:lvlText w:val=""/>
      <w:lvlJc w:val="left"/>
    </w:lvl>
    <w:lvl w:ilvl="8" w:tplc="74F09882">
      <w:numFmt w:val="decimal"/>
      <w:lvlText w:val=""/>
      <w:lvlJc w:val="left"/>
    </w:lvl>
  </w:abstractNum>
  <w:abstractNum w:abstractNumId="727" w15:restartNumberingAfterBreak="0">
    <w:nsid w:val="4D4D5AF6"/>
    <w:multiLevelType w:val="hybridMultilevel"/>
    <w:tmpl w:val="9AB235C2"/>
    <w:lvl w:ilvl="0" w:tplc="D2E65622">
      <w:start w:val="1"/>
      <w:numFmt w:val="bullet"/>
      <w:lvlText w:val=""/>
      <w:lvlJc w:val="left"/>
      <w:pPr>
        <w:ind w:left="720" w:hanging="180"/>
      </w:pPr>
      <w:rPr>
        <w:rFonts w:ascii="Symbol" w:hAnsi="Symbol" w:hint="default"/>
      </w:rPr>
    </w:lvl>
    <w:lvl w:ilvl="1" w:tplc="E466C052">
      <w:numFmt w:val="decimal"/>
      <w:lvlText w:val=""/>
      <w:lvlJc w:val="left"/>
    </w:lvl>
    <w:lvl w:ilvl="2" w:tplc="B32C5686">
      <w:numFmt w:val="decimal"/>
      <w:lvlText w:val=""/>
      <w:lvlJc w:val="left"/>
    </w:lvl>
    <w:lvl w:ilvl="3" w:tplc="A88EBDE4">
      <w:numFmt w:val="decimal"/>
      <w:lvlText w:val=""/>
      <w:lvlJc w:val="left"/>
    </w:lvl>
    <w:lvl w:ilvl="4" w:tplc="54C46590">
      <w:numFmt w:val="decimal"/>
      <w:lvlText w:val=""/>
      <w:lvlJc w:val="left"/>
    </w:lvl>
    <w:lvl w:ilvl="5" w:tplc="A88A2842">
      <w:numFmt w:val="decimal"/>
      <w:lvlText w:val=""/>
      <w:lvlJc w:val="left"/>
    </w:lvl>
    <w:lvl w:ilvl="6" w:tplc="D4FC4BF2">
      <w:numFmt w:val="decimal"/>
      <w:lvlText w:val=""/>
      <w:lvlJc w:val="left"/>
    </w:lvl>
    <w:lvl w:ilvl="7" w:tplc="F3C69B68">
      <w:numFmt w:val="decimal"/>
      <w:lvlText w:val=""/>
      <w:lvlJc w:val="left"/>
    </w:lvl>
    <w:lvl w:ilvl="8" w:tplc="6DAA99BA">
      <w:numFmt w:val="decimal"/>
      <w:lvlText w:val=""/>
      <w:lvlJc w:val="left"/>
    </w:lvl>
  </w:abstractNum>
  <w:abstractNum w:abstractNumId="728" w15:restartNumberingAfterBreak="0">
    <w:nsid w:val="4D5B7401"/>
    <w:multiLevelType w:val="hybridMultilevel"/>
    <w:tmpl w:val="15A0F8AC"/>
    <w:lvl w:ilvl="0" w:tplc="780E134A">
      <w:start w:val="1"/>
      <w:numFmt w:val="bullet"/>
      <w:lvlText w:val=""/>
      <w:lvlJc w:val="left"/>
      <w:pPr>
        <w:ind w:left="720" w:hanging="180"/>
      </w:pPr>
      <w:rPr>
        <w:rFonts w:ascii="Symbol" w:hAnsi="Symbol" w:hint="default"/>
      </w:rPr>
    </w:lvl>
    <w:lvl w:ilvl="1" w:tplc="63CE48D0">
      <w:numFmt w:val="decimal"/>
      <w:lvlText w:val=""/>
      <w:lvlJc w:val="left"/>
    </w:lvl>
    <w:lvl w:ilvl="2" w:tplc="B3F07DA6">
      <w:numFmt w:val="decimal"/>
      <w:lvlText w:val=""/>
      <w:lvlJc w:val="left"/>
    </w:lvl>
    <w:lvl w:ilvl="3" w:tplc="F0B4A9C2">
      <w:numFmt w:val="decimal"/>
      <w:lvlText w:val=""/>
      <w:lvlJc w:val="left"/>
    </w:lvl>
    <w:lvl w:ilvl="4" w:tplc="08564ED2">
      <w:numFmt w:val="decimal"/>
      <w:lvlText w:val=""/>
      <w:lvlJc w:val="left"/>
    </w:lvl>
    <w:lvl w:ilvl="5" w:tplc="62EEAD9E">
      <w:numFmt w:val="decimal"/>
      <w:lvlText w:val=""/>
      <w:lvlJc w:val="left"/>
    </w:lvl>
    <w:lvl w:ilvl="6" w:tplc="182CC32A">
      <w:numFmt w:val="decimal"/>
      <w:lvlText w:val=""/>
      <w:lvlJc w:val="left"/>
    </w:lvl>
    <w:lvl w:ilvl="7" w:tplc="B154723A">
      <w:numFmt w:val="decimal"/>
      <w:lvlText w:val=""/>
      <w:lvlJc w:val="left"/>
    </w:lvl>
    <w:lvl w:ilvl="8" w:tplc="765E5D0C">
      <w:numFmt w:val="decimal"/>
      <w:lvlText w:val=""/>
      <w:lvlJc w:val="left"/>
    </w:lvl>
  </w:abstractNum>
  <w:abstractNum w:abstractNumId="729" w15:restartNumberingAfterBreak="0">
    <w:nsid w:val="4D753BAC"/>
    <w:multiLevelType w:val="hybridMultilevel"/>
    <w:tmpl w:val="F11A1E36"/>
    <w:lvl w:ilvl="0" w:tplc="59AE0190">
      <w:start w:val="1"/>
      <w:numFmt w:val="bullet"/>
      <w:lvlText w:val=""/>
      <w:lvlJc w:val="left"/>
      <w:pPr>
        <w:ind w:left="720" w:hanging="180"/>
      </w:pPr>
      <w:rPr>
        <w:rFonts w:ascii="Symbol" w:hAnsi="Symbol" w:hint="default"/>
      </w:rPr>
    </w:lvl>
    <w:lvl w:ilvl="1" w:tplc="28DE2240">
      <w:numFmt w:val="decimal"/>
      <w:lvlText w:val=""/>
      <w:lvlJc w:val="left"/>
    </w:lvl>
    <w:lvl w:ilvl="2" w:tplc="6A06C9FE">
      <w:numFmt w:val="decimal"/>
      <w:lvlText w:val=""/>
      <w:lvlJc w:val="left"/>
    </w:lvl>
    <w:lvl w:ilvl="3" w:tplc="9BC447E2">
      <w:numFmt w:val="decimal"/>
      <w:lvlText w:val=""/>
      <w:lvlJc w:val="left"/>
    </w:lvl>
    <w:lvl w:ilvl="4" w:tplc="3AC4FEE4">
      <w:numFmt w:val="decimal"/>
      <w:lvlText w:val=""/>
      <w:lvlJc w:val="left"/>
    </w:lvl>
    <w:lvl w:ilvl="5" w:tplc="0518B1EE">
      <w:numFmt w:val="decimal"/>
      <w:lvlText w:val=""/>
      <w:lvlJc w:val="left"/>
    </w:lvl>
    <w:lvl w:ilvl="6" w:tplc="69B8332C">
      <w:numFmt w:val="decimal"/>
      <w:lvlText w:val=""/>
      <w:lvlJc w:val="left"/>
    </w:lvl>
    <w:lvl w:ilvl="7" w:tplc="A9F6EE24">
      <w:numFmt w:val="decimal"/>
      <w:lvlText w:val=""/>
      <w:lvlJc w:val="left"/>
    </w:lvl>
    <w:lvl w:ilvl="8" w:tplc="97A06CCE">
      <w:numFmt w:val="decimal"/>
      <w:lvlText w:val=""/>
      <w:lvlJc w:val="left"/>
    </w:lvl>
  </w:abstractNum>
  <w:abstractNum w:abstractNumId="730" w15:restartNumberingAfterBreak="0">
    <w:nsid w:val="4DA57323"/>
    <w:multiLevelType w:val="hybridMultilevel"/>
    <w:tmpl w:val="B9D259B6"/>
    <w:lvl w:ilvl="0" w:tplc="21E478B4">
      <w:start w:val="1"/>
      <w:numFmt w:val="bullet"/>
      <w:lvlText w:val=""/>
      <w:lvlJc w:val="left"/>
      <w:pPr>
        <w:ind w:left="720" w:hanging="180"/>
      </w:pPr>
      <w:rPr>
        <w:rFonts w:ascii="Symbol" w:hAnsi="Symbol" w:hint="default"/>
      </w:rPr>
    </w:lvl>
    <w:lvl w:ilvl="1" w:tplc="01A218C8">
      <w:numFmt w:val="decimal"/>
      <w:lvlText w:val=""/>
      <w:lvlJc w:val="left"/>
    </w:lvl>
    <w:lvl w:ilvl="2" w:tplc="0A9C66F4">
      <w:numFmt w:val="decimal"/>
      <w:lvlText w:val=""/>
      <w:lvlJc w:val="left"/>
    </w:lvl>
    <w:lvl w:ilvl="3" w:tplc="19E4C386">
      <w:numFmt w:val="decimal"/>
      <w:lvlText w:val=""/>
      <w:lvlJc w:val="left"/>
    </w:lvl>
    <w:lvl w:ilvl="4" w:tplc="5CDE4776">
      <w:numFmt w:val="decimal"/>
      <w:lvlText w:val=""/>
      <w:lvlJc w:val="left"/>
    </w:lvl>
    <w:lvl w:ilvl="5" w:tplc="E384F9F0">
      <w:numFmt w:val="decimal"/>
      <w:lvlText w:val=""/>
      <w:lvlJc w:val="left"/>
    </w:lvl>
    <w:lvl w:ilvl="6" w:tplc="EF7E6194">
      <w:numFmt w:val="decimal"/>
      <w:lvlText w:val=""/>
      <w:lvlJc w:val="left"/>
    </w:lvl>
    <w:lvl w:ilvl="7" w:tplc="D346B712">
      <w:numFmt w:val="decimal"/>
      <w:lvlText w:val=""/>
      <w:lvlJc w:val="left"/>
    </w:lvl>
    <w:lvl w:ilvl="8" w:tplc="CFC09996">
      <w:numFmt w:val="decimal"/>
      <w:lvlText w:val=""/>
      <w:lvlJc w:val="left"/>
    </w:lvl>
  </w:abstractNum>
  <w:abstractNum w:abstractNumId="731" w15:restartNumberingAfterBreak="0">
    <w:nsid w:val="4DDF2BF6"/>
    <w:multiLevelType w:val="hybridMultilevel"/>
    <w:tmpl w:val="498A9330"/>
    <w:lvl w:ilvl="0" w:tplc="3F1680CC">
      <w:start w:val="1"/>
      <w:numFmt w:val="bullet"/>
      <w:lvlText w:val=""/>
      <w:lvlJc w:val="left"/>
      <w:pPr>
        <w:ind w:left="720" w:hanging="180"/>
      </w:pPr>
      <w:rPr>
        <w:rFonts w:ascii="Symbol" w:hAnsi="Symbol" w:hint="default"/>
      </w:rPr>
    </w:lvl>
    <w:lvl w:ilvl="1" w:tplc="AC04C750">
      <w:numFmt w:val="decimal"/>
      <w:lvlText w:val=""/>
      <w:lvlJc w:val="left"/>
    </w:lvl>
    <w:lvl w:ilvl="2" w:tplc="CA02216C">
      <w:numFmt w:val="decimal"/>
      <w:lvlText w:val=""/>
      <w:lvlJc w:val="left"/>
    </w:lvl>
    <w:lvl w:ilvl="3" w:tplc="9EB8A69A">
      <w:numFmt w:val="decimal"/>
      <w:lvlText w:val=""/>
      <w:lvlJc w:val="left"/>
    </w:lvl>
    <w:lvl w:ilvl="4" w:tplc="E12CFE0A">
      <w:numFmt w:val="decimal"/>
      <w:lvlText w:val=""/>
      <w:lvlJc w:val="left"/>
    </w:lvl>
    <w:lvl w:ilvl="5" w:tplc="7EF8723A">
      <w:numFmt w:val="decimal"/>
      <w:lvlText w:val=""/>
      <w:lvlJc w:val="left"/>
    </w:lvl>
    <w:lvl w:ilvl="6" w:tplc="A81E1E78">
      <w:numFmt w:val="decimal"/>
      <w:lvlText w:val=""/>
      <w:lvlJc w:val="left"/>
    </w:lvl>
    <w:lvl w:ilvl="7" w:tplc="39B4375C">
      <w:numFmt w:val="decimal"/>
      <w:lvlText w:val=""/>
      <w:lvlJc w:val="left"/>
    </w:lvl>
    <w:lvl w:ilvl="8" w:tplc="3CF62B1C">
      <w:numFmt w:val="decimal"/>
      <w:lvlText w:val=""/>
      <w:lvlJc w:val="left"/>
    </w:lvl>
  </w:abstractNum>
  <w:abstractNum w:abstractNumId="732" w15:restartNumberingAfterBreak="0">
    <w:nsid w:val="4DF878BB"/>
    <w:multiLevelType w:val="hybridMultilevel"/>
    <w:tmpl w:val="E1506D3C"/>
    <w:lvl w:ilvl="0" w:tplc="F64A2F2A">
      <w:start w:val="1"/>
      <w:numFmt w:val="bullet"/>
      <w:lvlText w:val=""/>
      <w:lvlJc w:val="left"/>
      <w:pPr>
        <w:ind w:left="720" w:hanging="180"/>
      </w:pPr>
      <w:rPr>
        <w:rFonts w:ascii="Symbol" w:hAnsi="Symbol" w:hint="default"/>
      </w:rPr>
    </w:lvl>
    <w:lvl w:ilvl="1" w:tplc="AC9C8BD6">
      <w:numFmt w:val="decimal"/>
      <w:lvlText w:val=""/>
      <w:lvlJc w:val="left"/>
    </w:lvl>
    <w:lvl w:ilvl="2" w:tplc="0BE46C4A">
      <w:numFmt w:val="decimal"/>
      <w:lvlText w:val=""/>
      <w:lvlJc w:val="left"/>
    </w:lvl>
    <w:lvl w:ilvl="3" w:tplc="E7F68A98">
      <w:numFmt w:val="decimal"/>
      <w:lvlText w:val=""/>
      <w:lvlJc w:val="left"/>
    </w:lvl>
    <w:lvl w:ilvl="4" w:tplc="951E2D30">
      <w:numFmt w:val="decimal"/>
      <w:lvlText w:val=""/>
      <w:lvlJc w:val="left"/>
    </w:lvl>
    <w:lvl w:ilvl="5" w:tplc="EE1C5966">
      <w:numFmt w:val="decimal"/>
      <w:lvlText w:val=""/>
      <w:lvlJc w:val="left"/>
    </w:lvl>
    <w:lvl w:ilvl="6" w:tplc="EFF4F3FA">
      <w:numFmt w:val="decimal"/>
      <w:lvlText w:val=""/>
      <w:lvlJc w:val="left"/>
    </w:lvl>
    <w:lvl w:ilvl="7" w:tplc="665AE0E2">
      <w:numFmt w:val="decimal"/>
      <w:lvlText w:val=""/>
      <w:lvlJc w:val="left"/>
    </w:lvl>
    <w:lvl w:ilvl="8" w:tplc="F98408BC">
      <w:numFmt w:val="decimal"/>
      <w:lvlText w:val=""/>
      <w:lvlJc w:val="left"/>
    </w:lvl>
  </w:abstractNum>
  <w:abstractNum w:abstractNumId="733" w15:restartNumberingAfterBreak="0">
    <w:nsid w:val="4E0014F9"/>
    <w:multiLevelType w:val="hybridMultilevel"/>
    <w:tmpl w:val="949CA9BA"/>
    <w:lvl w:ilvl="0" w:tplc="EE6A12FA">
      <w:start w:val="1"/>
      <w:numFmt w:val="bullet"/>
      <w:lvlText w:val=""/>
      <w:lvlJc w:val="left"/>
      <w:pPr>
        <w:ind w:left="720" w:hanging="180"/>
      </w:pPr>
      <w:rPr>
        <w:rFonts w:ascii="Symbol" w:hAnsi="Symbol" w:hint="default"/>
      </w:rPr>
    </w:lvl>
    <w:lvl w:ilvl="1" w:tplc="71927AD0">
      <w:numFmt w:val="decimal"/>
      <w:lvlText w:val=""/>
      <w:lvlJc w:val="left"/>
    </w:lvl>
    <w:lvl w:ilvl="2" w:tplc="094C0E3C">
      <w:numFmt w:val="decimal"/>
      <w:lvlText w:val=""/>
      <w:lvlJc w:val="left"/>
    </w:lvl>
    <w:lvl w:ilvl="3" w:tplc="561AA504">
      <w:numFmt w:val="decimal"/>
      <w:lvlText w:val=""/>
      <w:lvlJc w:val="left"/>
    </w:lvl>
    <w:lvl w:ilvl="4" w:tplc="0666D77E">
      <w:numFmt w:val="decimal"/>
      <w:lvlText w:val=""/>
      <w:lvlJc w:val="left"/>
    </w:lvl>
    <w:lvl w:ilvl="5" w:tplc="808869C4">
      <w:numFmt w:val="decimal"/>
      <w:lvlText w:val=""/>
      <w:lvlJc w:val="left"/>
    </w:lvl>
    <w:lvl w:ilvl="6" w:tplc="03DC7AFE">
      <w:numFmt w:val="decimal"/>
      <w:lvlText w:val=""/>
      <w:lvlJc w:val="left"/>
    </w:lvl>
    <w:lvl w:ilvl="7" w:tplc="C0DE897A">
      <w:numFmt w:val="decimal"/>
      <w:lvlText w:val=""/>
      <w:lvlJc w:val="left"/>
    </w:lvl>
    <w:lvl w:ilvl="8" w:tplc="A13C25B6">
      <w:numFmt w:val="decimal"/>
      <w:lvlText w:val=""/>
      <w:lvlJc w:val="left"/>
    </w:lvl>
  </w:abstractNum>
  <w:abstractNum w:abstractNumId="734" w15:restartNumberingAfterBreak="0">
    <w:nsid w:val="4E1959B3"/>
    <w:multiLevelType w:val="hybridMultilevel"/>
    <w:tmpl w:val="FB50CBB8"/>
    <w:lvl w:ilvl="0" w:tplc="01BCE1F8">
      <w:start w:val="1"/>
      <w:numFmt w:val="bullet"/>
      <w:lvlText w:val=""/>
      <w:lvlJc w:val="left"/>
      <w:pPr>
        <w:ind w:left="720" w:hanging="180"/>
      </w:pPr>
      <w:rPr>
        <w:rFonts w:ascii="Symbol" w:hAnsi="Symbol" w:hint="default"/>
      </w:rPr>
    </w:lvl>
    <w:lvl w:ilvl="1" w:tplc="807822E0">
      <w:numFmt w:val="decimal"/>
      <w:lvlText w:val=""/>
      <w:lvlJc w:val="left"/>
    </w:lvl>
    <w:lvl w:ilvl="2" w:tplc="528C48D0">
      <w:numFmt w:val="decimal"/>
      <w:lvlText w:val=""/>
      <w:lvlJc w:val="left"/>
    </w:lvl>
    <w:lvl w:ilvl="3" w:tplc="B0C866D4">
      <w:numFmt w:val="decimal"/>
      <w:lvlText w:val=""/>
      <w:lvlJc w:val="left"/>
    </w:lvl>
    <w:lvl w:ilvl="4" w:tplc="6D76A810">
      <w:numFmt w:val="decimal"/>
      <w:lvlText w:val=""/>
      <w:lvlJc w:val="left"/>
    </w:lvl>
    <w:lvl w:ilvl="5" w:tplc="F8D6C2C6">
      <w:numFmt w:val="decimal"/>
      <w:lvlText w:val=""/>
      <w:lvlJc w:val="left"/>
    </w:lvl>
    <w:lvl w:ilvl="6" w:tplc="DDEC4930">
      <w:numFmt w:val="decimal"/>
      <w:lvlText w:val=""/>
      <w:lvlJc w:val="left"/>
    </w:lvl>
    <w:lvl w:ilvl="7" w:tplc="4E86D6E0">
      <w:numFmt w:val="decimal"/>
      <w:lvlText w:val=""/>
      <w:lvlJc w:val="left"/>
    </w:lvl>
    <w:lvl w:ilvl="8" w:tplc="CF523BD4">
      <w:numFmt w:val="decimal"/>
      <w:lvlText w:val=""/>
      <w:lvlJc w:val="left"/>
    </w:lvl>
  </w:abstractNum>
  <w:abstractNum w:abstractNumId="735" w15:restartNumberingAfterBreak="0">
    <w:nsid w:val="4E1C4E04"/>
    <w:multiLevelType w:val="hybridMultilevel"/>
    <w:tmpl w:val="5BB8F434"/>
    <w:lvl w:ilvl="0" w:tplc="2ABE41FA">
      <w:numFmt w:val="decimal"/>
      <w:lvlText w:val=""/>
      <w:lvlJc w:val="left"/>
    </w:lvl>
    <w:lvl w:ilvl="1" w:tplc="AA284CBE">
      <w:start w:val="1"/>
      <w:numFmt w:val="bullet"/>
      <w:lvlText w:val=""/>
      <w:lvlJc w:val="left"/>
      <w:pPr>
        <w:ind w:left="1440" w:hanging="180"/>
      </w:pPr>
      <w:rPr>
        <w:rFonts w:ascii="Symbol" w:hAnsi="Symbol" w:hint="default"/>
      </w:rPr>
    </w:lvl>
    <w:lvl w:ilvl="2" w:tplc="70C0D992">
      <w:numFmt w:val="decimal"/>
      <w:lvlText w:val=""/>
      <w:lvlJc w:val="left"/>
    </w:lvl>
    <w:lvl w:ilvl="3" w:tplc="6444FEC4">
      <w:numFmt w:val="decimal"/>
      <w:lvlText w:val=""/>
      <w:lvlJc w:val="left"/>
    </w:lvl>
    <w:lvl w:ilvl="4" w:tplc="3F760F0C">
      <w:numFmt w:val="decimal"/>
      <w:lvlText w:val=""/>
      <w:lvlJc w:val="left"/>
    </w:lvl>
    <w:lvl w:ilvl="5" w:tplc="929288E6">
      <w:numFmt w:val="decimal"/>
      <w:lvlText w:val=""/>
      <w:lvlJc w:val="left"/>
    </w:lvl>
    <w:lvl w:ilvl="6" w:tplc="7CDA1B24">
      <w:numFmt w:val="decimal"/>
      <w:lvlText w:val=""/>
      <w:lvlJc w:val="left"/>
    </w:lvl>
    <w:lvl w:ilvl="7" w:tplc="A65A569E">
      <w:numFmt w:val="decimal"/>
      <w:lvlText w:val=""/>
      <w:lvlJc w:val="left"/>
    </w:lvl>
    <w:lvl w:ilvl="8" w:tplc="56882AC2">
      <w:numFmt w:val="decimal"/>
      <w:lvlText w:val=""/>
      <w:lvlJc w:val="left"/>
    </w:lvl>
  </w:abstractNum>
  <w:abstractNum w:abstractNumId="736" w15:restartNumberingAfterBreak="0">
    <w:nsid w:val="4E206109"/>
    <w:multiLevelType w:val="hybridMultilevel"/>
    <w:tmpl w:val="AEE4CD40"/>
    <w:lvl w:ilvl="0" w:tplc="A09CF8E4">
      <w:start w:val="1"/>
      <w:numFmt w:val="bullet"/>
      <w:lvlText w:val=""/>
      <w:lvlJc w:val="left"/>
      <w:pPr>
        <w:ind w:left="720" w:hanging="180"/>
      </w:pPr>
      <w:rPr>
        <w:rFonts w:ascii="Symbol" w:hAnsi="Symbol" w:hint="default"/>
      </w:rPr>
    </w:lvl>
    <w:lvl w:ilvl="1" w:tplc="0EA42E0E">
      <w:numFmt w:val="decimal"/>
      <w:lvlText w:val=""/>
      <w:lvlJc w:val="left"/>
    </w:lvl>
    <w:lvl w:ilvl="2" w:tplc="335A7E04">
      <w:numFmt w:val="decimal"/>
      <w:lvlText w:val=""/>
      <w:lvlJc w:val="left"/>
    </w:lvl>
    <w:lvl w:ilvl="3" w:tplc="F90A8960">
      <w:numFmt w:val="decimal"/>
      <w:lvlText w:val=""/>
      <w:lvlJc w:val="left"/>
    </w:lvl>
    <w:lvl w:ilvl="4" w:tplc="D3B09D88">
      <w:numFmt w:val="decimal"/>
      <w:lvlText w:val=""/>
      <w:lvlJc w:val="left"/>
    </w:lvl>
    <w:lvl w:ilvl="5" w:tplc="09AA2334">
      <w:numFmt w:val="decimal"/>
      <w:lvlText w:val=""/>
      <w:lvlJc w:val="left"/>
    </w:lvl>
    <w:lvl w:ilvl="6" w:tplc="FED25760">
      <w:numFmt w:val="decimal"/>
      <w:lvlText w:val=""/>
      <w:lvlJc w:val="left"/>
    </w:lvl>
    <w:lvl w:ilvl="7" w:tplc="5B4CF4E6">
      <w:numFmt w:val="decimal"/>
      <w:lvlText w:val=""/>
      <w:lvlJc w:val="left"/>
    </w:lvl>
    <w:lvl w:ilvl="8" w:tplc="C2001428">
      <w:numFmt w:val="decimal"/>
      <w:lvlText w:val=""/>
      <w:lvlJc w:val="left"/>
    </w:lvl>
  </w:abstractNum>
  <w:abstractNum w:abstractNumId="737" w15:restartNumberingAfterBreak="0">
    <w:nsid w:val="4E2A5AF8"/>
    <w:multiLevelType w:val="hybridMultilevel"/>
    <w:tmpl w:val="585C322C"/>
    <w:lvl w:ilvl="0" w:tplc="1B002438">
      <w:numFmt w:val="decimal"/>
      <w:lvlText w:val=""/>
      <w:lvlJc w:val="left"/>
    </w:lvl>
    <w:lvl w:ilvl="1" w:tplc="BD002D6E">
      <w:start w:val="1"/>
      <w:numFmt w:val="bullet"/>
      <w:lvlText w:val=""/>
      <w:lvlJc w:val="left"/>
      <w:pPr>
        <w:ind w:left="1440" w:hanging="180"/>
      </w:pPr>
      <w:rPr>
        <w:rFonts w:ascii="Symbol" w:hAnsi="Symbol" w:hint="default"/>
      </w:rPr>
    </w:lvl>
    <w:lvl w:ilvl="2" w:tplc="4A1689C2">
      <w:numFmt w:val="decimal"/>
      <w:lvlText w:val=""/>
      <w:lvlJc w:val="left"/>
    </w:lvl>
    <w:lvl w:ilvl="3" w:tplc="79D8D880">
      <w:numFmt w:val="decimal"/>
      <w:lvlText w:val=""/>
      <w:lvlJc w:val="left"/>
    </w:lvl>
    <w:lvl w:ilvl="4" w:tplc="28DE3F78">
      <w:numFmt w:val="decimal"/>
      <w:lvlText w:val=""/>
      <w:lvlJc w:val="left"/>
    </w:lvl>
    <w:lvl w:ilvl="5" w:tplc="5470CEFC">
      <w:numFmt w:val="decimal"/>
      <w:lvlText w:val=""/>
      <w:lvlJc w:val="left"/>
    </w:lvl>
    <w:lvl w:ilvl="6" w:tplc="395CE2BC">
      <w:numFmt w:val="decimal"/>
      <w:lvlText w:val=""/>
      <w:lvlJc w:val="left"/>
    </w:lvl>
    <w:lvl w:ilvl="7" w:tplc="03169E84">
      <w:numFmt w:val="decimal"/>
      <w:lvlText w:val=""/>
      <w:lvlJc w:val="left"/>
    </w:lvl>
    <w:lvl w:ilvl="8" w:tplc="9A425CD6">
      <w:numFmt w:val="decimal"/>
      <w:lvlText w:val=""/>
      <w:lvlJc w:val="left"/>
    </w:lvl>
  </w:abstractNum>
  <w:abstractNum w:abstractNumId="738" w15:restartNumberingAfterBreak="0">
    <w:nsid w:val="4E2C3BE2"/>
    <w:multiLevelType w:val="hybridMultilevel"/>
    <w:tmpl w:val="206C5450"/>
    <w:lvl w:ilvl="0" w:tplc="FA9CC95A">
      <w:start w:val="1"/>
      <w:numFmt w:val="bullet"/>
      <w:lvlText w:val=""/>
      <w:lvlJc w:val="left"/>
      <w:pPr>
        <w:ind w:left="720" w:hanging="180"/>
      </w:pPr>
      <w:rPr>
        <w:rFonts w:ascii="Symbol" w:hAnsi="Symbol" w:hint="default"/>
      </w:rPr>
    </w:lvl>
    <w:lvl w:ilvl="1" w:tplc="F4FC0F62">
      <w:numFmt w:val="decimal"/>
      <w:lvlText w:val=""/>
      <w:lvlJc w:val="left"/>
    </w:lvl>
    <w:lvl w:ilvl="2" w:tplc="83967FE4">
      <w:numFmt w:val="decimal"/>
      <w:lvlText w:val=""/>
      <w:lvlJc w:val="left"/>
    </w:lvl>
    <w:lvl w:ilvl="3" w:tplc="EC1C8D86">
      <w:numFmt w:val="decimal"/>
      <w:lvlText w:val=""/>
      <w:lvlJc w:val="left"/>
    </w:lvl>
    <w:lvl w:ilvl="4" w:tplc="C4CE8F38">
      <w:numFmt w:val="decimal"/>
      <w:lvlText w:val=""/>
      <w:lvlJc w:val="left"/>
    </w:lvl>
    <w:lvl w:ilvl="5" w:tplc="DFBCF1FE">
      <w:numFmt w:val="decimal"/>
      <w:lvlText w:val=""/>
      <w:lvlJc w:val="left"/>
    </w:lvl>
    <w:lvl w:ilvl="6" w:tplc="5CCE9E70">
      <w:numFmt w:val="decimal"/>
      <w:lvlText w:val=""/>
      <w:lvlJc w:val="left"/>
    </w:lvl>
    <w:lvl w:ilvl="7" w:tplc="AEE29DA4">
      <w:numFmt w:val="decimal"/>
      <w:lvlText w:val=""/>
      <w:lvlJc w:val="left"/>
    </w:lvl>
    <w:lvl w:ilvl="8" w:tplc="4762DF4E">
      <w:numFmt w:val="decimal"/>
      <w:lvlText w:val=""/>
      <w:lvlJc w:val="left"/>
    </w:lvl>
  </w:abstractNum>
  <w:abstractNum w:abstractNumId="739" w15:restartNumberingAfterBreak="0">
    <w:nsid w:val="4E2D6C46"/>
    <w:multiLevelType w:val="hybridMultilevel"/>
    <w:tmpl w:val="2494AB56"/>
    <w:lvl w:ilvl="0" w:tplc="A4362154">
      <w:start w:val="1"/>
      <w:numFmt w:val="bullet"/>
      <w:lvlText w:val=""/>
      <w:lvlJc w:val="left"/>
      <w:pPr>
        <w:ind w:left="720" w:hanging="180"/>
      </w:pPr>
      <w:rPr>
        <w:rFonts w:ascii="Symbol" w:hAnsi="Symbol" w:hint="default"/>
      </w:rPr>
    </w:lvl>
    <w:lvl w:ilvl="1" w:tplc="EF2CEB0C">
      <w:numFmt w:val="decimal"/>
      <w:lvlText w:val=""/>
      <w:lvlJc w:val="left"/>
    </w:lvl>
    <w:lvl w:ilvl="2" w:tplc="AB740032">
      <w:numFmt w:val="decimal"/>
      <w:lvlText w:val=""/>
      <w:lvlJc w:val="left"/>
    </w:lvl>
    <w:lvl w:ilvl="3" w:tplc="E0049214">
      <w:numFmt w:val="decimal"/>
      <w:lvlText w:val=""/>
      <w:lvlJc w:val="left"/>
    </w:lvl>
    <w:lvl w:ilvl="4" w:tplc="AE6C0610">
      <w:numFmt w:val="decimal"/>
      <w:lvlText w:val=""/>
      <w:lvlJc w:val="left"/>
    </w:lvl>
    <w:lvl w:ilvl="5" w:tplc="FEBAE036">
      <w:numFmt w:val="decimal"/>
      <w:lvlText w:val=""/>
      <w:lvlJc w:val="left"/>
    </w:lvl>
    <w:lvl w:ilvl="6" w:tplc="062C020C">
      <w:numFmt w:val="decimal"/>
      <w:lvlText w:val=""/>
      <w:lvlJc w:val="left"/>
    </w:lvl>
    <w:lvl w:ilvl="7" w:tplc="D068BA38">
      <w:numFmt w:val="decimal"/>
      <w:lvlText w:val=""/>
      <w:lvlJc w:val="left"/>
    </w:lvl>
    <w:lvl w:ilvl="8" w:tplc="652CD2FC">
      <w:numFmt w:val="decimal"/>
      <w:lvlText w:val=""/>
      <w:lvlJc w:val="left"/>
    </w:lvl>
  </w:abstractNum>
  <w:abstractNum w:abstractNumId="740" w15:restartNumberingAfterBreak="0">
    <w:nsid w:val="4E3C09C9"/>
    <w:multiLevelType w:val="hybridMultilevel"/>
    <w:tmpl w:val="1D18A0EA"/>
    <w:lvl w:ilvl="0" w:tplc="9CD06CFC">
      <w:start w:val="1"/>
      <w:numFmt w:val="bullet"/>
      <w:lvlText w:val=""/>
      <w:lvlJc w:val="left"/>
      <w:pPr>
        <w:ind w:left="720" w:hanging="180"/>
      </w:pPr>
      <w:rPr>
        <w:rFonts w:ascii="Symbol" w:hAnsi="Symbol" w:hint="default"/>
      </w:rPr>
    </w:lvl>
    <w:lvl w:ilvl="1" w:tplc="76FC3966">
      <w:numFmt w:val="decimal"/>
      <w:lvlText w:val=""/>
      <w:lvlJc w:val="left"/>
    </w:lvl>
    <w:lvl w:ilvl="2" w:tplc="5D96B53A">
      <w:numFmt w:val="decimal"/>
      <w:lvlText w:val=""/>
      <w:lvlJc w:val="left"/>
    </w:lvl>
    <w:lvl w:ilvl="3" w:tplc="2A101136">
      <w:numFmt w:val="decimal"/>
      <w:lvlText w:val=""/>
      <w:lvlJc w:val="left"/>
    </w:lvl>
    <w:lvl w:ilvl="4" w:tplc="88F8FA98">
      <w:numFmt w:val="decimal"/>
      <w:lvlText w:val=""/>
      <w:lvlJc w:val="left"/>
    </w:lvl>
    <w:lvl w:ilvl="5" w:tplc="26ACDDEA">
      <w:numFmt w:val="decimal"/>
      <w:lvlText w:val=""/>
      <w:lvlJc w:val="left"/>
    </w:lvl>
    <w:lvl w:ilvl="6" w:tplc="FF562F48">
      <w:numFmt w:val="decimal"/>
      <w:lvlText w:val=""/>
      <w:lvlJc w:val="left"/>
    </w:lvl>
    <w:lvl w:ilvl="7" w:tplc="6C0EC672">
      <w:numFmt w:val="decimal"/>
      <w:lvlText w:val=""/>
      <w:lvlJc w:val="left"/>
    </w:lvl>
    <w:lvl w:ilvl="8" w:tplc="8F344B1E">
      <w:numFmt w:val="decimal"/>
      <w:lvlText w:val=""/>
      <w:lvlJc w:val="left"/>
    </w:lvl>
  </w:abstractNum>
  <w:abstractNum w:abstractNumId="741" w15:restartNumberingAfterBreak="0">
    <w:nsid w:val="4E415B60"/>
    <w:multiLevelType w:val="hybridMultilevel"/>
    <w:tmpl w:val="7BD4DD3C"/>
    <w:lvl w:ilvl="0" w:tplc="E6CE2C7E">
      <w:start w:val="1"/>
      <w:numFmt w:val="bullet"/>
      <w:lvlText w:val=""/>
      <w:lvlJc w:val="left"/>
      <w:pPr>
        <w:ind w:left="720" w:hanging="180"/>
      </w:pPr>
      <w:rPr>
        <w:rFonts w:ascii="Symbol" w:hAnsi="Symbol" w:hint="default"/>
      </w:rPr>
    </w:lvl>
    <w:lvl w:ilvl="1" w:tplc="2AF6A1BC">
      <w:numFmt w:val="decimal"/>
      <w:lvlText w:val=""/>
      <w:lvlJc w:val="left"/>
    </w:lvl>
    <w:lvl w:ilvl="2" w:tplc="58AEA85C">
      <w:numFmt w:val="decimal"/>
      <w:lvlText w:val=""/>
      <w:lvlJc w:val="left"/>
    </w:lvl>
    <w:lvl w:ilvl="3" w:tplc="3CB8DAFA">
      <w:numFmt w:val="decimal"/>
      <w:lvlText w:val=""/>
      <w:lvlJc w:val="left"/>
    </w:lvl>
    <w:lvl w:ilvl="4" w:tplc="3DB0FB2E">
      <w:numFmt w:val="decimal"/>
      <w:lvlText w:val=""/>
      <w:lvlJc w:val="left"/>
    </w:lvl>
    <w:lvl w:ilvl="5" w:tplc="A4DE89B0">
      <w:numFmt w:val="decimal"/>
      <w:lvlText w:val=""/>
      <w:lvlJc w:val="left"/>
    </w:lvl>
    <w:lvl w:ilvl="6" w:tplc="9454086E">
      <w:numFmt w:val="decimal"/>
      <w:lvlText w:val=""/>
      <w:lvlJc w:val="left"/>
    </w:lvl>
    <w:lvl w:ilvl="7" w:tplc="B28663E4">
      <w:numFmt w:val="decimal"/>
      <w:lvlText w:val=""/>
      <w:lvlJc w:val="left"/>
    </w:lvl>
    <w:lvl w:ilvl="8" w:tplc="9CBEA4BA">
      <w:numFmt w:val="decimal"/>
      <w:lvlText w:val=""/>
      <w:lvlJc w:val="left"/>
    </w:lvl>
  </w:abstractNum>
  <w:abstractNum w:abstractNumId="742" w15:restartNumberingAfterBreak="0">
    <w:nsid w:val="4E8040DF"/>
    <w:multiLevelType w:val="hybridMultilevel"/>
    <w:tmpl w:val="B44EBB1E"/>
    <w:lvl w:ilvl="0" w:tplc="101A0A48">
      <w:numFmt w:val="decimal"/>
      <w:lvlText w:val=""/>
      <w:lvlJc w:val="left"/>
    </w:lvl>
    <w:lvl w:ilvl="1" w:tplc="B18A8D8E">
      <w:start w:val="1"/>
      <w:numFmt w:val="bullet"/>
      <w:lvlText w:val=""/>
      <w:lvlJc w:val="left"/>
      <w:pPr>
        <w:ind w:left="1440" w:hanging="180"/>
      </w:pPr>
      <w:rPr>
        <w:rFonts w:ascii="Symbol" w:hAnsi="Symbol" w:hint="default"/>
      </w:rPr>
    </w:lvl>
    <w:lvl w:ilvl="2" w:tplc="0C2AF876">
      <w:numFmt w:val="decimal"/>
      <w:lvlText w:val=""/>
      <w:lvlJc w:val="left"/>
    </w:lvl>
    <w:lvl w:ilvl="3" w:tplc="5DE44CD0">
      <w:numFmt w:val="decimal"/>
      <w:lvlText w:val=""/>
      <w:lvlJc w:val="left"/>
    </w:lvl>
    <w:lvl w:ilvl="4" w:tplc="5E009F58">
      <w:numFmt w:val="decimal"/>
      <w:lvlText w:val=""/>
      <w:lvlJc w:val="left"/>
    </w:lvl>
    <w:lvl w:ilvl="5" w:tplc="9A5E9830">
      <w:numFmt w:val="decimal"/>
      <w:lvlText w:val=""/>
      <w:lvlJc w:val="left"/>
    </w:lvl>
    <w:lvl w:ilvl="6" w:tplc="18CA6B44">
      <w:numFmt w:val="decimal"/>
      <w:lvlText w:val=""/>
      <w:lvlJc w:val="left"/>
    </w:lvl>
    <w:lvl w:ilvl="7" w:tplc="95405F0C">
      <w:numFmt w:val="decimal"/>
      <w:lvlText w:val=""/>
      <w:lvlJc w:val="left"/>
    </w:lvl>
    <w:lvl w:ilvl="8" w:tplc="E9AAE4CA">
      <w:numFmt w:val="decimal"/>
      <w:lvlText w:val=""/>
      <w:lvlJc w:val="left"/>
    </w:lvl>
  </w:abstractNum>
  <w:abstractNum w:abstractNumId="743" w15:restartNumberingAfterBreak="0">
    <w:nsid w:val="4E8F0DB1"/>
    <w:multiLevelType w:val="hybridMultilevel"/>
    <w:tmpl w:val="D682C7F4"/>
    <w:lvl w:ilvl="0" w:tplc="83D889F0">
      <w:start w:val="1"/>
      <w:numFmt w:val="bullet"/>
      <w:lvlText w:val=""/>
      <w:lvlJc w:val="left"/>
      <w:pPr>
        <w:ind w:left="720" w:hanging="180"/>
      </w:pPr>
      <w:rPr>
        <w:rFonts w:ascii="Symbol" w:hAnsi="Symbol" w:hint="default"/>
      </w:rPr>
    </w:lvl>
    <w:lvl w:ilvl="1" w:tplc="5832DDF8">
      <w:numFmt w:val="decimal"/>
      <w:lvlText w:val=""/>
      <w:lvlJc w:val="left"/>
    </w:lvl>
    <w:lvl w:ilvl="2" w:tplc="11AA1E7E">
      <w:numFmt w:val="decimal"/>
      <w:lvlText w:val=""/>
      <w:lvlJc w:val="left"/>
    </w:lvl>
    <w:lvl w:ilvl="3" w:tplc="2E000E22">
      <w:numFmt w:val="decimal"/>
      <w:lvlText w:val=""/>
      <w:lvlJc w:val="left"/>
    </w:lvl>
    <w:lvl w:ilvl="4" w:tplc="7E9E1032">
      <w:numFmt w:val="decimal"/>
      <w:lvlText w:val=""/>
      <w:lvlJc w:val="left"/>
    </w:lvl>
    <w:lvl w:ilvl="5" w:tplc="9CC25C68">
      <w:numFmt w:val="decimal"/>
      <w:lvlText w:val=""/>
      <w:lvlJc w:val="left"/>
    </w:lvl>
    <w:lvl w:ilvl="6" w:tplc="57189E36">
      <w:numFmt w:val="decimal"/>
      <w:lvlText w:val=""/>
      <w:lvlJc w:val="left"/>
    </w:lvl>
    <w:lvl w:ilvl="7" w:tplc="FD345816">
      <w:numFmt w:val="decimal"/>
      <w:lvlText w:val=""/>
      <w:lvlJc w:val="left"/>
    </w:lvl>
    <w:lvl w:ilvl="8" w:tplc="CA9651FE">
      <w:numFmt w:val="decimal"/>
      <w:lvlText w:val=""/>
      <w:lvlJc w:val="left"/>
    </w:lvl>
  </w:abstractNum>
  <w:abstractNum w:abstractNumId="744" w15:restartNumberingAfterBreak="0">
    <w:nsid w:val="4EB0031F"/>
    <w:multiLevelType w:val="hybridMultilevel"/>
    <w:tmpl w:val="DC44B58C"/>
    <w:lvl w:ilvl="0" w:tplc="5B9626F0">
      <w:start w:val="1"/>
      <w:numFmt w:val="bullet"/>
      <w:lvlText w:val=""/>
      <w:lvlJc w:val="left"/>
      <w:pPr>
        <w:ind w:left="720" w:hanging="180"/>
      </w:pPr>
      <w:rPr>
        <w:rFonts w:ascii="Symbol" w:hAnsi="Symbol" w:hint="default"/>
      </w:rPr>
    </w:lvl>
    <w:lvl w:ilvl="1" w:tplc="14B6F5E8">
      <w:numFmt w:val="decimal"/>
      <w:lvlText w:val=""/>
      <w:lvlJc w:val="left"/>
    </w:lvl>
    <w:lvl w:ilvl="2" w:tplc="5C8617A8">
      <w:numFmt w:val="decimal"/>
      <w:lvlText w:val=""/>
      <w:lvlJc w:val="left"/>
    </w:lvl>
    <w:lvl w:ilvl="3" w:tplc="DD70999E">
      <w:numFmt w:val="decimal"/>
      <w:lvlText w:val=""/>
      <w:lvlJc w:val="left"/>
    </w:lvl>
    <w:lvl w:ilvl="4" w:tplc="B876247C">
      <w:numFmt w:val="decimal"/>
      <w:lvlText w:val=""/>
      <w:lvlJc w:val="left"/>
    </w:lvl>
    <w:lvl w:ilvl="5" w:tplc="F6F80BFC">
      <w:numFmt w:val="decimal"/>
      <w:lvlText w:val=""/>
      <w:lvlJc w:val="left"/>
    </w:lvl>
    <w:lvl w:ilvl="6" w:tplc="36443422">
      <w:numFmt w:val="decimal"/>
      <w:lvlText w:val=""/>
      <w:lvlJc w:val="left"/>
    </w:lvl>
    <w:lvl w:ilvl="7" w:tplc="6240BA6E">
      <w:numFmt w:val="decimal"/>
      <w:lvlText w:val=""/>
      <w:lvlJc w:val="left"/>
    </w:lvl>
    <w:lvl w:ilvl="8" w:tplc="859E969C">
      <w:numFmt w:val="decimal"/>
      <w:lvlText w:val=""/>
      <w:lvlJc w:val="left"/>
    </w:lvl>
  </w:abstractNum>
  <w:abstractNum w:abstractNumId="745" w15:restartNumberingAfterBreak="0">
    <w:nsid w:val="4EF96B52"/>
    <w:multiLevelType w:val="hybridMultilevel"/>
    <w:tmpl w:val="E7427128"/>
    <w:lvl w:ilvl="0" w:tplc="8CD8BD6E">
      <w:start w:val="1"/>
      <w:numFmt w:val="bullet"/>
      <w:lvlText w:val=""/>
      <w:lvlJc w:val="left"/>
      <w:pPr>
        <w:ind w:left="720" w:hanging="180"/>
      </w:pPr>
      <w:rPr>
        <w:rFonts w:ascii="Symbol" w:hAnsi="Symbol" w:hint="default"/>
      </w:rPr>
    </w:lvl>
    <w:lvl w:ilvl="1" w:tplc="DF8A2D7C">
      <w:numFmt w:val="decimal"/>
      <w:lvlText w:val=""/>
      <w:lvlJc w:val="left"/>
    </w:lvl>
    <w:lvl w:ilvl="2" w:tplc="76FE6F1E">
      <w:numFmt w:val="decimal"/>
      <w:lvlText w:val=""/>
      <w:lvlJc w:val="left"/>
    </w:lvl>
    <w:lvl w:ilvl="3" w:tplc="52F60054">
      <w:numFmt w:val="decimal"/>
      <w:lvlText w:val=""/>
      <w:lvlJc w:val="left"/>
    </w:lvl>
    <w:lvl w:ilvl="4" w:tplc="D86436F6">
      <w:numFmt w:val="decimal"/>
      <w:lvlText w:val=""/>
      <w:lvlJc w:val="left"/>
    </w:lvl>
    <w:lvl w:ilvl="5" w:tplc="CE5AF74C">
      <w:numFmt w:val="decimal"/>
      <w:lvlText w:val=""/>
      <w:lvlJc w:val="left"/>
    </w:lvl>
    <w:lvl w:ilvl="6" w:tplc="E4589C2E">
      <w:numFmt w:val="decimal"/>
      <w:lvlText w:val=""/>
      <w:lvlJc w:val="left"/>
    </w:lvl>
    <w:lvl w:ilvl="7" w:tplc="3884A33C">
      <w:numFmt w:val="decimal"/>
      <w:lvlText w:val=""/>
      <w:lvlJc w:val="left"/>
    </w:lvl>
    <w:lvl w:ilvl="8" w:tplc="CA140998">
      <w:numFmt w:val="decimal"/>
      <w:lvlText w:val=""/>
      <w:lvlJc w:val="left"/>
    </w:lvl>
  </w:abstractNum>
  <w:abstractNum w:abstractNumId="746" w15:restartNumberingAfterBreak="0">
    <w:nsid w:val="4F0530BA"/>
    <w:multiLevelType w:val="hybridMultilevel"/>
    <w:tmpl w:val="36E2EC70"/>
    <w:lvl w:ilvl="0" w:tplc="0C5EAEA8">
      <w:start w:val="1"/>
      <w:numFmt w:val="bullet"/>
      <w:lvlText w:val=""/>
      <w:lvlJc w:val="left"/>
      <w:pPr>
        <w:ind w:left="720" w:hanging="180"/>
      </w:pPr>
      <w:rPr>
        <w:rFonts w:ascii="Symbol" w:hAnsi="Symbol" w:hint="default"/>
      </w:rPr>
    </w:lvl>
    <w:lvl w:ilvl="1" w:tplc="15DC1B0A">
      <w:numFmt w:val="decimal"/>
      <w:lvlText w:val=""/>
      <w:lvlJc w:val="left"/>
    </w:lvl>
    <w:lvl w:ilvl="2" w:tplc="AC0E1B44">
      <w:numFmt w:val="decimal"/>
      <w:lvlText w:val=""/>
      <w:lvlJc w:val="left"/>
    </w:lvl>
    <w:lvl w:ilvl="3" w:tplc="6F7EAD16">
      <w:numFmt w:val="decimal"/>
      <w:lvlText w:val=""/>
      <w:lvlJc w:val="left"/>
    </w:lvl>
    <w:lvl w:ilvl="4" w:tplc="A7BA003E">
      <w:numFmt w:val="decimal"/>
      <w:lvlText w:val=""/>
      <w:lvlJc w:val="left"/>
    </w:lvl>
    <w:lvl w:ilvl="5" w:tplc="9550B206">
      <w:numFmt w:val="decimal"/>
      <w:lvlText w:val=""/>
      <w:lvlJc w:val="left"/>
    </w:lvl>
    <w:lvl w:ilvl="6" w:tplc="21A2B3F8">
      <w:numFmt w:val="decimal"/>
      <w:lvlText w:val=""/>
      <w:lvlJc w:val="left"/>
    </w:lvl>
    <w:lvl w:ilvl="7" w:tplc="BD120018">
      <w:numFmt w:val="decimal"/>
      <w:lvlText w:val=""/>
      <w:lvlJc w:val="left"/>
    </w:lvl>
    <w:lvl w:ilvl="8" w:tplc="FDD0A57C">
      <w:numFmt w:val="decimal"/>
      <w:lvlText w:val=""/>
      <w:lvlJc w:val="left"/>
    </w:lvl>
  </w:abstractNum>
  <w:abstractNum w:abstractNumId="747" w15:restartNumberingAfterBreak="0">
    <w:nsid w:val="4F0C355B"/>
    <w:multiLevelType w:val="hybridMultilevel"/>
    <w:tmpl w:val="21F4F516"/>
    <w:lvl w:ilvl="0" w:tplc="DD3E4BEC">
      <w:start w:val="1"/>
      <w:numFmt w:val="bullet"/>
      <w:lvlText w:val=""/>
      <w:lvlJc w:val="left"/>
      <w:pPr>
        <w:ind w:left="720" w:hanging="180"/>
      </w:pPr>
      <w:rPr>
        <w:rFonts w:ascii="Symbol" w:hAnsi="Symbol" w:hint="default"/>
      </w:rPr>
    </w:lvl>
    <w:lvl w:ilvl="1" w:tplc="FCD2AEE6">
      <w:numFmt w:val="decimal"/>
      <w:lvlText w:val=""/>
      <w:lvlJc w:val="left"/>
    </w:lvl>
    <w:lvl w:ilvl="2" w:tplc="2FD8BB3C">
      <w:numFmt w:val="decimal"/>
      <w:lvlText w:val=""/>
      <w:lvlJc w:val="left"/>
    </w:lvl>
    <w:lvl w:ilvl="3" w:tplc="83E0962C">
      <w:numFmt w:val="decimal"/>
      <w:lvlText w:val=""/>
      <w:lvlJc w:val="left"/>
    </w:lvl>
    <w:lvl w:ilvl="4" w:tplc="B21EB13C">
      <w:numFmt w:val="decimal"/>
      <w:lvlText w:val=""/>
      <w:lvlJc w:val="left"/>
    </w:lvl>
    <w:lvl w:ilvl="5" w:tplc="BB821A82">
      <w:numFmt w:val="decimal"/>
      <w:lvlText w:val=""/>
      <w:lvlJc w:val="left"/>
    </w:lvl>
    <w:lvl w:ilvl="6" w:tplc="58D661DC">
      <w:numFmt w:val="decimal"/>
      <w:lvlText w:val=""/>
      <w:lvlJc w:val="left"/>
    </w:lvl>
    <w:lvl w:ilvl="7" w:tplc="91D078A6">
      <w:numFmt w:val="decimal"/>
      <w:lvlText w:val=""/>
      <w:lvlJc w:val="left"/>
    </w:lvl>
    <w:lvl w:ilvl="8" w:tplc="1AB8708E">
      <w:numFmt w:val="decimal"/>
      <w:lvlText w:val=""/>
      <w:lvlJc w:val="left"/>
    </w:lvl>
  </w:abstractNum>
  <w:abstractNum w:abstractNumId="748" w15:restartNumberingAfterBreak="0">
    <w:nsid w:val="4F0C3621"/>
    <w:multiLevelType w:val="hybridMultilevel"/>
    <w:tmpl w:val="A2869658"/>
    <w:lvl w:ilvl="0" w:tplc="36140914">
      <w:start w:val="1"/>
      <w:numFmt w:val="bullet"/>
      <w:lvlText w:val=""/>
      <w:lvlJc w:val="left"/>
      <w:pPr>
        <w:ind w:left="720" w:hanging="180"/>
      </w:pPr>
      <w:rPr>
        <w:rFonts w:ascii="Symbol" w:hAnsi="Symbol" w:hint="default"/>
      </w:rPr>
    </w:lvl>
    <w:lvl w:ilvl="1" w:tplc="8E1067C4">
      <w:numFmt w:val="decimal"/>
      <w:lvlText w:val=""/>
      <w:lvlJc w:val="left"/>
    </w:lvl>
    <w:lvl w:ilvl="2" w:tplc="29E6D70A">
      <w:numFmt w:val="decimal"/>
      <w:lvlText w:val=""/>
      <w:lvlJc w:val="left"/>
    </w:lvl>
    <w:lvl w:ilvl="3" w:tplc="1D7C7A72">
      <w:numFmt w:val="decimal"/>
      <w:lvlText w:val=""/>
      <w:lvlJc w:val="left"/>
    </w:lvl>
    <w:lvl w:ilvl="4" w:tplc="0CA0A20A">
      <w:numFmt w:val="decimal"/>
      <w:lvlText w:val=""/>
      <w:lvlJc w:val="left"/>
    </w:lvl>
    <w:lvl w:ilvl="5" w:tplc="C0F63566">
      <w:numFmt w:val="decimal"/>
      <w:lvlText w:val=""/>
      <w:lvlJc w:val="left"/>
    </w:lvl>
    <w:lvl w:ilvl="6" w:tplc="D646D27E">
      <w:numFmt w:val="decimal"/>
      <w:lvlText w:val=""/>
      <w:lvlJc w:val="left"/>
    </w:lvl>
    <w:lvl w:ilvl="7" w:tplc="C2D4DD00">
      <w:numFmt w:val="decimal"/>
      <w:lvlText w:val=""/>
      <w:lvlJc w:val="left"/>
    </w:lvl>
    <w:lvl w:ilvl="8" w:tplc="EC586C88">
      <w:numFmt w:val="decimal"/>
      <w:lvlText w:val=""/>
      <w:lvlJc w:val="left"/>
    </w:lvl>
  </w:abstractNum>
  <w:abstractNum w:abstractNumId="749" w15:restartNumberingAfterBreak="0">
    <w:nsid w:val="4F23266B"/>
    <w:multiLevelType w:val="hybridMultilevel"/>
    <w:tmpl w:val="16703570"/>
    <w:lvl w:ilvl="0" w:tplc="7C9CD6C0">
      <w:start w:val="1"/>
      <w:numFmt w:val="bullet"/>
      <w:lvlText w:val=""/>
      <w:lvlJc w:val="left"/>
      <w:pPr>
        <w:ind w:left="720" w:hanging="180"/>
      </w:pPr>
      <w:rPr>
        <w:rFonts w:ascii="Symbol" w:hAnsi="Symbol" w:hint="default"/>
      </w:rPr>
    </w:lvl>
    <w:lvl w:ilvl="1" w:tplc="1F1E2ADC">
      <w:numFmt w:val="decimal"/>
      <w:lvlText w:val=""/>
      <w:lvlJc w:val="left"/>
    </w:lvl>
    <w:lvl w:ilvl="2" w:tplc="9F68F3F0">
      <w:numFmt w:val="decimal"/>
      <w:lvlText w:val=""/>
      <w:lvlJc w:val="left"/>
    </w:lvl>
    <w:lvl w:ilvl="3" w:tplc="FE98B68E">
      <w:numFmt w:val="decimal"/>
      <w:lvlText w:val=""/>
      <w:lvlJc w:val="left"/>
    </w:lvl>
    <w:lvl w:ilvl="4" w:tplc="F01AD458">
      <w:numFmt w:val="decimal"/>
      <w:lvlText w:val=""/>
      <w:lvlJc w:val="left"/>
    </w:lvl>
    <w:lvl w:ilvl="5" w:tplc="C2C2144E">
      <w:numFmt w:val="decimal"/>
      <w:lvlText w:val=""/>
      <w:lvlJc w:val="left"/>
    </w:lvl>
    <w:lvl w:ilvl="6" w:tplc="65EECC0E">
      <w:numFmt w:val="decimal"/>
      <w:lvlText w:val=""/>
      <w:lvlJc w:val="left"/>
    </w:lvl>
    <w:lvl w:ilvl="7" w:tplc="BF023852">
      <w:numFmt w:val="decimal"/>
      <w:lvlText w:val=""/>
      <w:lvlJc w:val="left"/>
    </w:lvl>
    <w:lvl w:ilvl="8" w:tplc="0258464C">
      <w:numFmt w:val="decimal"/>
      <w:lvlText w:val=""/>
      <w:lvlJc w:val="left"/>
    </w:lvl>
  </w:abstractNum>
  <w:abstractNum w:abstractNumId="750" w15:restartNumberingAfterBreak="0">
    <w:nsid w:val="4F2D2CCB"/>
    <w:multiLevelType w:val="hybridMultilevel"/>
    <w:tmpl w:val="6CB00AC6"/>
    <w:lvl w:ilvl="0" w:tplc="9F1094BE">
      <w:start w:val="1"/>
      <w:numFmt w:val="bullet"/>
      <w:lvlText w:val=""/>
      <w:lvlJc w:val="left"/>
      <w:pPr>
        <w:ind w:left="720" w:hanging="180"/>
      </w:pPr>
      <w:rPr>
        <w:rFonts w:ascii="Symbol" w:hAnsi="Symbol" w:hint="default"/>
      </w:rPr>
    </w:lvl>
    <w:lvl w:ilvl="1" w:tplc="E2FA42BC">
      <w:numFmt w:val="decimal"/>
      <w:lvlText w:val=""/>
      <w:lvlJc w:val="left"/>
    </w:lvl>
    <w:lvl w:ilvl="2" w:tplc="82F67766">
      <w:numFmt w:val="decimal"/>
      <w:lvlText w:val=""/>
      <w:lvlJc w:val="left"/>
    </w:lvl>
    <w:lvl w:ilvl="3" w:tplc="EC88AE9E">
      <w:numFmt w:val="decimal"/>
      <w:lvlText w:val=""/>
      <w:lvlJc w:val="left"/>
    </w:lvl>
    <w:lvl w:ilvl="4" w:tplc="93E4223E">
      <w:numFmt w:val="decimal"/>
      <w:lvlText w:val=""/>
      <w:lvlJc w:val="left"/>
    </w:lvl>
    <w:lvl w:ilvl="5" w:tplc="E54070E0">
      <w:numFmt w:val="decimal"/>
      <w:lvlText w:val=""/>
      <w:lvlJc w:val="left"/>
    </w:lvl>
    <w:lvl w:ilvl="6" w:tplc="E566085C">
      <w:numFmt w:val="decimal"/>
      <w:lvlText w:val=""/>
      <w:lvlJc w:val="left"/>
    </w:lvl>
    <w:lvl w:ilvl="7" w:tplc="0442BC7A">
      <w:numFmt w:val="decimal"/>
      <w:lvlText w:val=""/>
      <w:lvlJc w:val="left"/>
    </w:lvl>
    <w:lvl w:ilvl="8" w:tplc="32A06A26">
      <w:numFmt w:val="decimal"/>
      <w:lvlText w:val=""/>
      <w:lvlJc w:val="left"/>
    </w:lvl>
  </w:abstractNum>
  <w:abstractNum w:abstractNumId="751" w15:restartNumberingAfterBreak="0">
    <w:nsid w:val="4F2E5A6D"/>
    <w:multiLevelType w:val="hybridMultilevel"/>
    <w:tmpl w:val="A602050E"/>
    <w:lvl w:ilvl="0" w:tplc="6A5CEE1E">
      <w:start w:val="1"/>
      <w:numFmt w:val="bullet"/>
      <w:lvlText w:val=""/>
      <w:lvlJc w:val="left"/>
      <w:pPr>
        <w:ind w:left="720" w:hanging="180"/>
      </w:pPr>
      <w:rPr>
        <w:rFonts w:ascii="Symbol" w:hAnsi="Symbol" w:hint="default"/>
      </w:rPr>
    </w:lvl>
    <w:lvl w:ilvl="1" w:tplc="738670A0">
      <w:numFmt w:val="decimal"/>
      <w:lvlText w:val=""/>
      <w:lvlJc w:val="left"/>
    </w:lvl>
    <w:lvl w:ilvl="2" w:tplc="1EC024D6">
      <w:numFmt w:val="decimal"/>
      <w:lvlText w:val=""/>
      <w:lvlJc w:val="left"/>
    </w:lvl>
    <w:lvl w:ilvl="3" w:tplc="9C50509A">
      <w:numFmt w:val="decimal"/>
      <w:lvlText w:val=""/>
      <w:lvlJc w:val="left"/>
    </w:lvl>
    <w:lvl w:ilvl="4" w:tplc="9550CD30">
      <w:numFmt w:val="decimal"/>
      <w:lvlText w:val=""/>
      <w:lvlJc w:val="left"/>
    </w:lvl>
    <w:lvl w:ilvl="5" w:tplc="22E4CC52">
      <w:numFmt w:val="decimal"/>
      <w:lvlText w:val=""/>
      <w:lvlJc w:val="left"/>
    </w:lvl>
    <w:lvl w:ilvl="6" w:tplc="0C8A546C">
      <w:numFmt w:val="decimal"/>
      <w:lvlText w:val=""/>
      <w:lvlJc w:val="left"/>
    </w:lvl>
    <w:lvl w:ilvl="7" w:tplc="2EEEE90E">
      <w:numFmt w:val="decimal"/>
      <w:lvlText w:val=""/>
      <w:lvlJc w:val="left"/>
    </w:lvl>
    <w:lvl w:ilvl="8" w:tplc="517676CC">
      <w:numFmt w:val="decimal"/>
      <w:lvlText w:val=""/>
      <w:lvlJc w:val="left"/>
    </w:lvl>
  </w:abstractNum>
  <w:abstractNum w:abstractNumId="752" w15:restartNumberingAfterBreak="0">
    <w:nsid w:val="4F360F48"/>
    <w:multiLevelType w:val="hybridMultilevel"/>
    <w:tmpl w:val="EDDA4CF8"/>
    <w:lvl w:ilvl="0" w:tplc="248A3952">
      <w:start w:val="1"/>
      <w:numFmt w:val="bullet"/>
      <w:lvlText w:val=""/>
      <w:lvlJc w:val="left"/>
      <w:pPr>
        <w:ind w:left="720" w:hanging="180"/>
      </w:pPr>
      <w:rPr>
        <w:rFonts w:ascii="Symbol" w:hAnsi="Symbol" w:hint="default"/>
      </w:rPr>
    </w:lvl>
    <w:lvl w:ilvl="1" w:tplc="639A6146">
      <w:numFmt w:val="decimal"/>
      <w:lvlText w:val=""/>
      <w:lvlJc w:val="left"/>
    </w:lvl>
    <w:lvl w:ilvl="2" w:tplc="10202200">
      <w:numFmt w:val="decimal"/>
      <w:lvlText w:val=""/>
      <w:lvlJc w:val="left"/>
    </w:lvl>
    <w:lvl w:ilvl="3" w:tplc="D3C2450A">
      <w:numFmt w:val="decimal"/>
      <w:lvlText w:val=""/>
      <w:lvlJc w:val="left"/>
    </w:lvl>
    <w:lvl w:ilvl="4" w:tplc="DF58F0F6">
      <w:numFmt w:val="decimal"/>
      <w:lvlText w:val=""/>
      <w:lvlJc w:val="left"/>
    </w:lvl>
    <w:lvl w:ilvl="5" w:tplc="9D46F680">
      <w:numFmt w:val="decimal"/>
      <w:lvlText w:val=""/>
      <w:lvlJc w:val="left"/>
    </w:lvl>
    <w:lvl w:ilvl="6" w:tplc="0EC61F78">
      <w:numFmt w:val="decimal"/>
      <w:lvlText w:val=""/>
      <w:lvlJc w:val="left"/>
    </w:lvl>
    <w:lvl w:ilvl="7" w:tplc="932456D6">
      <w:numFmt w:val="decimal"/>
      <w:lvlText w:val=""/>
      <w:lvlJc w:val="left"/>
    </w:lvl>
    <w:lvl w:ilvl="8" w:tplc="DC80C5D4">
      <w:numFmt w:val="decimal"/>
      <w:lvlText w:val=""/>
      <w:lvlJc w:val="left"/>
    </w:lvl>
  </w:abstractNum>
  <w:abstractNum w:abstractNumId="753" w15:restartNumberingAfterBreak="0">
    <w:nsid w:val="4F3F7C24"/>
    <w:multiLevelType w:val="hybridMultilevel"/>
    <w:tmpl w:val="6F024098"/>
    <w:lvl w:ilvl="0" w:tplc="6466FBF2">
      <w:start w:val="1"/>
      <w:numFmt w:val="bullet"/>
      <w:lvlText w:val=""/>
      <w:lvlJc w:val="left"/>
      <w:pPr>
        <w:ind w:left="720" w:hanging="180"/>
      </w:pPr>
      <w:rPr>
        <w:rFonts w:ascii="Symbol" w:hAnsi="Symbol" w:hint="default"/>
      </w:rPr>
    </w:lvl>
    <w:lvl w:ilvl="1" w:tplc="009A5B00">
      <w:numFmt w:val="decimal"/>
      <w:lvlText w:val=""/>
      <w:lvlJc w:val="left"/>
    </w:lvl>
    <w:lvl w:ilvl="2" w:tplc="7C9AC5A0">
      <w:numFmt w:val="decimal"/>
      <w:lvlText w:val=""/>
      <w:lvlJc w:val="left"/>
    </w:lvl>
    <w:lvl w:ilvl="3" w:tplc="FF9CC36C">
      <w:numFmt w:val="decimal"/>
      <w:lvlText w:val=""/>
      <w:lvlJc w:val="left"/>
    </w:lvl>
    <w:lvl w:ilvl="4" w:tplc="A180304E">
      <w:numFmt w:val="decimal"/>
      <w:lvlText w:val=""/>
      <w:lvlJc w:val="left"/>
    </w:lvl>
    <w:lvl w:ilvl="5" w:tplc="77580664">
      <w:numFmt w:val="decimal"/>
      <w:lvlText w:val=""/>
      <w:lvlJc w:val="left"/>
    </w:lvl>
    <w:lvl w:ilvl="6" w:tplc="95764810">
      <w:numFmt w:val="decimal"/>
      <w:lvlText w:val=""/>
      <w:lvlJc w:val="left"/>
    </w:lvl>
    <w:lvl w:ilvl="7" w:tplc="15FCC5B0">
      <w:numFmt w:val="decimal"/>
      <w:lvlText w:val=""/>
      <w:lvlJc w:val="left"/>
    </w:lvl>
    <w:lvl w:ilvl="8" w:tplc="956A8FA8">
      <w:numFmt w:val="decimal"/>
      <w:lvlText w:val=""/>
      <w:lvlJc w:val="left"/>
    </w:lvl>
  </w:abstractNum>
  <w:abstractNum w:abstractNumId="754" w15:restartNumberingAfterBreak="0">
    <w:nsid w:val="4F774998"/>
    <w:multiLevelType w:val="hybridMultilevel"/>
    <w:tmpl w:val="3B082396"/>
    <w:lvl w:ilvl="0" w:tplc="8F28534C">
      <w:numFmt w:val="decimal"/>
      <w:lvlText w:val=""/>
      <w:lvlJc w:val="left"/>
    </w:lvl>
    <w:lvl w:ilvl="1" w:tplc="E27C3C9E">
      <w:start w:val="1"/>
      <w:numFmt w:val="bullet"/>
      <w:lvlText w:val=""/>
      <w:lvlJc w:val="left"/>
      <w:pPr>
        <w:ind w:left="1440" w:hanging="180"/>
      </w:pPr>
      <w:rPr>
        <w:rFonts w:ascii="Symbol" w:hAnsi="Symbol" w:hint="default"/>
      </w:rPr>
    </w:lvl>
    <w:lvl w:ilvl="2" w:tplc="090EDF62">
      <w:numFmt w:val="decimal"/>
      <w:lvlText w:val=""/>
      <w:lvlJc w:val="left"/>
    </w:lvl>
    <w:lvl w:ilvl="3" w:tplc="4F44517A">
      <w:numFmt w:val="decimal"/>
      <w:lvlText w:val=""/>
      <w:lvlJc w:val="left"/>
    </w:lvl>
    <w:lvl w:ilvl="4" w:tplc="248442D6">
      <w:numFmt w:val="decimal"/>
      <w:lvlText w:val=""/>
      <w:lvlJc w:val="left"/>
    </w:lvl>
    <w:lvl w:ilvl="5" w:tplc="5A246FD0">
      <w:numFmt w:val="decimal"/>
      <w:lvlText w:val=""/>
      <w:lvlJc w:val="left"/>
    </w:lvl>
    <w:lvl w:ilvl="6" w:tplc="0A12B900">
      <w:numFmt w:val="decimal"/>
      <w:lvlText w:val=""/>
      <w:lvlJc w:val="left"/>
    </w:lvl>
    <w:lvl w:ilvl="7" w:tplc="AD645D28">
      <w:numFmt w:val="decimal"/>
      <w:lvlText w:val=""/>
      <w:lvlJc w:val="left"/>
    </w:lvl>
    <w:lvl w:ilvl="8" w:tplc="6398157A">
      <w:numFmt w:val="decimal"/>
      <w:lvlText w:val=""/>
      <w:lvlJc w:val="left"/>
    </w:lvl>
  </w:abstractNum>
  <w:abstractNum w:abstractNumId="755" w15:restartNumberingAfterBreak="0">
    <w:nsid w:val="4FF11A4E"/>
    <w:multiLevelType w:val="hybridMultilevel"/>
    <w:tmpl w:val="D458BE4A"/>
    <w:lvl w:ilvl="0" w:tplc="B73E6556">
      <w:start w:val="1"/>
      <w:numFmt w:val="bullet"/>
      <w:lvlText w:val=""/>
      <w:lvlJc w:val="left"/>
      <w:pPr>
        <w:ind w:left="720" w:hanging="180"/>
      </w:pPr>
      <w:rPr>
        <w:rFonts w:ascii="Symbol" w:hAnsi="Symbol" w:hint="default"/>
      </w:rPr>
    </w:lvl>
    <w:lvl w:ilvl="1" w:tplc="E9F04240">
      <w:numFmt w:val="decimal"/>
      <w:lvlText w:val=""/>
      <w:lvlJc w:val="left"/>
    </w:lvl>
    <w:lvl w:ilvl="2" w:tplc="0446615A">
      <w:numFmt w:val="decimal"/>
      <w:lvlText w:val=""/>
      <w:lvlJc w:val="left"/>
    </w:lvl>
    <w:lvl w:ilvl="3" w:tplc="4FBC7464">
      <w:numFmt w:val="decimal"/>
      <w:lvlText w:val=""/>
      <w:lvlJc w:val="left"/>
    </w:lvl>
    <w:lvl w:ilvl="4" w:tplc="BD7A8100">
      <w:numFmt w:val="decimal"/>
      <w:lvlText w:val=""/>
      <w:lvlJc w:val="left"/>
    </w:lvl>
    <w:lvl w:ilvl="5" w:tplc="40B6D51C">
      <w:numFmt w:val="decimal"/>
      <w:lvlText w:val=""/>
      <w:lvlJc w:val="left"/>
    </w:lvl>
    <w:lvl w:ilvl="6" w:tplc="2E5287DE">
      <w:numFmt w:val="decimal"/>
      <w:lvlText w:val=""/>
      <w:lvlJc w:val="left"/>
    </w:lvl>
    <w:lvl w:ilvl="7" w:tplc="DBB08996">
      <w:numFmt w:val="decimal"/>
      <w:lvlText w:val=""/>
      <w:lvlJc w:val="left"/>
    </w:lvl>
    <w:lvl w:ilvl="8" w:tplc="EAC4173A">
      <w:numFmt w:val="decimal"/>
      <w:lvlText w:val=""/>
      <w:lvlJc w:val="left"/>
    </w:lvl>
  </w:abstractNum>
  <w:abstractNum w:abstractNumId="756" w15:restartNumberingAfterBreak="0">
    <w:nsid w:val="50062CC2"/>
    <w:multiLevelType w:val="hybridMultilevel"/>
    <w:tmpl w:val="95AE9C2E"/>
    <w:lvl w:ilvl="0" w:tplc="0FEC1F02">
      <w:start w:val="1"/>
      <w:numFmt w:val="bullet"/>
      <w:lvlText w:val=""/>
      <w:lvlJc w:val="left"/>
      <w:pPr>
        <w:ind w:left="720" w:hanging="180"/>
      </w:pPr>
      <w:rPr>
        <w:rFonts w:ascii="Symbol" w:hAnsi="Symbol" w:hint="default"/>
      </w:rPr>
    </w:lvl>
    <w:lvl w:ilvl="1" w:tplc="FBE63FC4">
      <w:numFmt w:val="decimal"/>
      <w:lvlText w:val=""/>
      <w:lvlJc w:val="left"/>
    </w:lvl>
    <w:lvl w:ilvl="2" w:tplc="C686BF28">
      <w:numFmt w:val="decimal"/>
      <w:lvlText w:val=""/>
      <w:lvlJc w:val="left"/>
    </w:lvl>
    <w:lvl w:ilvl="3" w:tplc="DE947EA8">
      <w:numFmt w:val="decimal"/>
      <w:lvlText w:val=""/>
      <w:lvlJc w:val="left"/>
    </w:lvl>
    <w:lvl w:ilvl="4" w:tplc="73B46260">
      <w:numFmt w:val="decimal"/>
      <w:lvlText w:val=""/>
      <w:lvlJc w:val="left"/>
    </w:lvl>
    <w:lvl w:ilvl="5" w:tplc="84588B04">
      <w:numFmt w:val="decimal"/>
      <w:lvlText w:val=""/>
      <w:lvlJc w:val="left"/>
    </w:lvl>
    <w:lvl w:ilvl="6" w:tplc="C332FE94">
      <w:numFmt w:val="decimal"/>
      <w:lvlText w:val=""/>
      <w:lvlJc w:val="left"/>
    </w:lvl>
    <w:lvl w:ilvl="7" w:tplc="3C4C791E">
      <w:numFmt w:val="decimal"/>
      <w:lvlText w:val=""/>
      <w:lvlJc w:val="left"/>
    </w:lvl>
    <w:lvl w:ilvl="8" w:tplc="D7BE3A3E">
      <w:numFmt w:val="decimal"/>
      <w:lvlText w:val=""/>
      <w:lvlJc w:val="left"/>
    </w:lvl>
  </w:abstractNum>
  <w:abstractNum w:abstractNumId="757" w15:restartNumberingAfterBreak="0">
    <w:nsid w:val="502974D5"/>
    <w:multiLevelType w:val="hybridMultilevel"/>
    <w:tmpl w:val="CECE44C2"/>
    <w:lvl w:ilvl="0" w:tplc="255EDE02">
      <w:start w:val="1"/>
      <w:numFmt w:val="bullet"/>
      <w:lvlText w:val=""/>
      <w:lvlJc w:val="left"/>
      <w:pPr>
        <w:ind w:left="720" w:hanging="180"/>
      </w:pPr>
      <w:rPr>
        <w:rFonts w:ascii="Symbol" w:hAnsi="Symbol" w:hint="default"/>
      </w:rPr>
    </w:lvl>
    <w:lvl w:ilvl="1" w:tplc="A1FCC65A">
      <w:numFmt w:val="decimal"/>
      <w:lvlText w:val=""/>
      <w:lvlJc w:val="left"/>
    </w:lvl>
    <w:lvl w:ilvl="2" w:tplc="EA66E8F0">
      <w:numFmt w:val="decimal"/>
      <w:lvlText w:val=""/>
      <w:lvlJc w:val="left"/>
    </w:lvl>
    <w:lvl w:ilvl="3" w:tplc="D91ED660">
      <w:numFmt w:val="decimal"/>
      <w:lvlText w:val=""/>
      <w:lvlJc w:val="left"/>
    </w:lvl>
    <w:lvl w:ilvl="4" w:tplc="C0983C70">
      <w:numFmt w:val="decimal"/>
      <w:lvlText w:val=""/>
      <w:lvlJc w:val="left"/>
    </w:lvl>
    <w:lvl w:ilvl="5" w:tplc="DFB829B4">
      <w:numFmt w:val="decimal"/>
      <w:lvlText w:val=""/>
      <w:lvlJc w:val="left"/>
    </w:lvl>
    <w:lvl w:ilvl="6" w:tplc="5C64DDC8">
      <w:numFmt w:val="decimal"/>
      <w:lvlText w:val=""/>
      <w:lvlJc w:val="left"/>
    </w:lvl>
    <w:lvl w:ilvl="7" w:tplc="05E47A62">
      <w:numFmt w:val="decimal"/>
      <w:lvlText w:val=""/>
      <w:lvlJc w:val="left"/>
    </w:lvl>
    <w:lvl w:ilvl="8" w:tplc="6D70D320">
      <w:numFmt w:val="decimal"/>
      <w:lvlText w:val=""/>
      <w:lvlJc w:val="left"/>
    </w:lvl>
  </w:abstractNum>
  <w:abstractNum w:abstractNumId="758" w15:restartNumberingAfterBreak="0">
    <w:nsid w:val="504F34B0"/>
    <w:multiLevelType w:val="hybridMultilevel"/>
    <w:tmpl w:val="033C63E6"/>
    <w:lvl w:ilvl="0" w:tplc="EF9855F6">
      <w:start w:val="1"/>
      <w:numFmt w:val="bullet"/>
      <w:lvlText w:val=""/>
      <w:lvlJc w:val="left"/>
      <w:pPr>
        <w:ind w:left="720" w:hanging="180"/>
      </w:pPr>
      <w:rPr>
        <w:rFonts w:ascii="Symbol" w:hAnsi="Symbol" w:hint="default"/>
      </w:rPr>
    </w:lvl>
    <w:lvl w:ilvl="1" w:tplc="1D14025E">
      <w:numFmt w:val="decimal"/>
      <w:lvlText w:val=""/>
      <w:lvlJc w:val="left"/>
    </w:lvl>
    <w:lvl w:ilvl="2" w:tplc="0EA664D8">
      <w:numFmt w:val="decimal"/>
      <w:lvlText w:val=""/>
      <w:lvlJc w:val="left"/>
    </w:lvl>
    <w:lvl w:ilvl="3" w:tplc="0720B37C">
      <w:numFmt w:val="decimal"/>
      <w:lvlText w:val=""/>
      <w:lvlJc w:val="left"/>
    </w:lvl>
    <w:lvl w:ilvl="4" w:tplc="19F05734">
      <w:numFmt w:val="decimal"/>
      <w:lvlText w:val=""/>
      <w:lvlJc w:val="left"/>
    </w:lvl>
    <w:lvl w:ilvl="5" w:tplc="D8223182">
      <w:numFmt w:val="decimal"/>
      <w:lvlText w:val=""/>
      <w:lvlJc w:val="left"/>
    </w:lvl>
    <w:lvl w:ilvl="6" w:tplc="90F0DD96">
      <w:numFmt w:val="decimal"/>
      <w:lvlText w:val=""/>
      <w:lvlJc w:val="left"/>
    </w:lvl>
    <w:lvl w:ilvl="7" w:tplc="764E2940">
      <w:numFmt w:val="decimal"/>
      <w:lvlText w:val=""/>
      <w:lvlJc w:val="left"/>
    </w:lvl>
    <w:lvl w:ilvl="8" w:tplc="DB2A6C80">
      <w:numFmt w:val="decimal"/>
      <w:lvlText w:val=""/>
      <w:lvlJc w:val="left"/>
    </w:lvl>
  </w:abstractNum>
  <w:abstractNum w:abstractNumId="759" w15:restartNumberingAfterBreak="0">
    <w:nsid w:val="50B62503"/>
    <w:multiLevelType w:val="hybridMultilevel"/>
    <w:tmpl w:val="30D2702C"/>
    <w:lvl w:ilvl="0" w:tplc="C5C4756C">
      <w:start w:val="1"/>
      <w:numFmt w:val="bullet"/>
      <w:lvlText w:val=""/>
      <w:lvlJc w:val="left"/>
      <w:pPr>
        <w:ind w:left="720" w:hanging="180"/>
      </w:pPr>
      <w:rPr>
        <w:rFonts w:ascii="Symbol" w:hAnsi="Symbol" w:hint="default"/>
      </w:rPr>
    </w:lvl>
    <w:lvl w:ilvl="1" w:tplc="42786FA4">
      <w:numFmt w:val="decimal"/>
      <w:lvlText w:val=""/>
      <w:lvlJc w:val="left"/>
    </w:lvl>
    <w:lvl w:ilvl="2" w:tplc="469C4CC2">
      <w:numFmt w:val="decimal"/>
      <w:lvlText w:val=""/>
      <w:lvlJc w:val="left"/>
    </w:lvl>
    <w:lvl w:ilvl="3" w:tplc="073A997C">
      <w:numFmt w:val="decimal"/>
      <w:lvlText w:val=""/>
      <w:lvlJc w:val="left"/>
    </w:lvl>
    <w:lvl w:ilvl="4" w:tplc="D82482CE">
      <w:numFmt w:val="decimal"/>
      <w:lvlText w:val=""/>
      <w:lvlJc w:val="left"/>
    </w:lvl>
    <w:lvl w:ilvl="5" w:tplc="951AB0AA">
      <w:numFmt w:val="decimal"/>
      <w:lvlText w:val=""/>
      <w:lvlJc w:val="left"/>
    </w:lvl>
    <w:lvl w:ilvl="6" w:tplc="E00CC824">
      <w:numFmt w:val="decimal"/>
      <w:lvlText w:val=""/>
      <w:lvlJc w:val="left"/>
    </w:lvl>
    <w:lvl w:ilvl="7" w:tplc="A6C09058">
      <w:numFmt w:val="decimal"/>
      <w:lvlText w:val=""/>
      <w:lvlJc w:val="left"/>
    </w:lvl>
    <w:lvl w:ilvl="8" w:tplc="ED0CA906">
      <w:numFmt w:val="decimal"/>
      <w:lvlText w:val=""/>
      <w:lvlJc w:val="left"/>
    </w:lvl>
  </w:abstractNum>
  <w:abstractNum w:abstractNumId="760" w15:restartNumberingAfterBreak="0">
    <w:nsid w:val="50E3488A"/>
    <w:multiLevelType w:val="hybridMultilevel"/>
    <w:tmpl w:val="3300FC3A"/>
    <w:lvl w:ilvl="0" w:tplc="EB9EAAEC">
      <w:start w:val="1"/>
      <w:numFmt w:val="bullet"/>
      <w:lvlText w:val=""/>
      <w:lvlJc w:val="left"/>
      <w:pPr>
        <w:ind w:left="720" w:hanging="180"/>
      </w:pPr>
      <w:rPr>
        <w:rFonts w:ascii="Symbol" w:hAnsi="Symbol" w:hint="default"/>
      </w:rPr>
    </w:lvl>
    <w:lvl w:ilvl="1" w:tplc="8D0A25CE">
      <w:numFmt w:val="decimal"/>
      <w:lvlText w:val=""/>
      <w:lvlJc w:val="left"/>
    </w:lvl>
    <w:lvl w:ilvl="2" w:tplc="D1F67284">
      <w:numFmt w:val="decimal"/>
      <w:lvlText w:val=""/>
      <w:lvlJc w:val="left"/>
    </w:lvl>
    <w:lvl w:ilvl="3" w:tplc="98E896D2">
      <w:numFmt w:val="decimal"/>
      <w:lvlText w:val=""/>
      <w:lvlJc w:val="left"/>
    </w:lvl>
    <w:lvl w:ilvl="4" w:tplc="62746242">
      <w:numFmt w:val="decimal"/>
      <w:lvlText w:val=""/>
      <w:lvlJc w:val="left"/>
    </w:lvl>
    <w:lvl w:ilvl="5" w:tplc="D262966A">
      <w:numFmt w:val="decimal"/>
      <w:lvlText w:val=""/>
      <w:lvlJc w:val="left"/>
    </w:lvl>
    <w:lvl w:ilvl="6" w:tplc="C9BCAE88">
      <w:numFmt w:val="decimal"/>
      <w:lvlText w:val=""/>
      <w:lvlJc w:val="left"/>
    </w:lvl>
    <w:lvl w:ilvl="7" w:tplc="35045B1E">
      <w:numFmt w:val="decimal"/>
      <w:lvlText w:val=""/>
      <w:lvlJc w:val="left"/>
    </w:lvl>
    <w:lvl w:ilvl="8" w:tplc="21DE8928">
      <w:numFmt w:val="decimal"/>
      <w:lvlText w:val=""/>
      <w:lvlJc w:val="left"/>
    </w:lvl>
  </w:abstractNum>
  <w:abstractNum w:abstractNumId="761" w15:restartNumberingAfterBreak="0">
    <w:nsid w:val="50E93522"/>
    <w:multiLevelType w:val="hybridMultilevel"/>
    <w:tmpl w:val="42D443EE"/>
    <w:lvl w:ilvl="0" w:tplc="89B6881C">
      <w:start w:val="1"/>
      <w:numFmt w:val="bullet"/>
      <w:lvlText w:val=""/>
      <w:lvlJc w:val="left"/>
      <w:pPr>
        <w:ind w:left="720" w:hanging="180"/>
      </w:pPr>
      <w:rPr>
        <w:rFonts w:ascii="Symbol" w:hAnsi="Symbol" w:hint="default"/>
      </w:rPr>
    </w:lvl>
    <w:lvl w:ilvl="1" w:tplc="0DD4CADE">
      <w:numFmt w:val="decimal"/>
      <w:lvlText w:val=""/>
      <w:lvlJc w:val="left"/>
    </w:lvl>
    <w:lvl w:ilvl="2" w:tplc="45007A72">
      <w:numFmt w:val="decimal"/>
      <w:lvlText w:val=""/>
      <w:lvlJc w:val="left"/>
    </w:lvl>
    <w:lvl w:ilvl="3" w:tplc="E2A8CEEC">
      <w:numFmt w:val="decimal"/>
      <w:lvlText w:val=""/>
      <w:lvlJc w:val="left"/>
    </w:lvl>
    <w:lvl w:ilvl="4" w:tplc="E3C22CEE">
      <w:numFmt w:val="decimal"/>
      <w:lvlText w:val=""/>
      <w:lvlJc w:val="left"/>
    </w:lvl>
    <w:lvl w:ilvl="5" w:tplc="17A20A10">
      <w:numFmt w:val="decimal"/>
      <w:lvlText w:val=""/>
      <w:lvlJc w:val="left"/>
    </w:lvl>
    <w:lvl w:ilvl="6" w:tplc="4FF043E4">
      <w:numFmt w:val="decimal"/>
      <w:lvlText w:val=""/>
      <w:lvlJc w:val="left"/>
    </w:lvl>
    <w:lvl w:ilvl="7" w:tplc="17E85E2A">
      <w:numFmt w:val="decimal"/>
      <w:lvlText w:val=""/>
      <w:lvlJc w:val="left"/>
    </w:lvl>
    <w:lvl w:ilvl="8" w:tplc="F8E2BCD2">
      <w:numFmt w:val="decimal"/>
      <w:lvlText w:val=""/>
      <w:lvlJc w:val="left"/>
    </w:lvl>
  </w:abstractNum>
  <w:abstractNum w:abstractNumId="762" w15:restartNumberingAfterBreak="0">
    <w:nsid w:val="51056B1C"/>
    <w:multiLevelType w:val="hybridMultilevel"/>
    <w:tmpl w:val="E1BEE670"/>
    <w:lvl w:ilvl="0" w:tplc="1A58114E">
      <w:start w:val="1"/>
      <w:numFmt w:val="bullet"/>
      <w:lvlText w:val=""/>
      <w:lvlJc w:val="left"/>
      <w:pPr>
        <w:ind w:left="720" w:hanging="180"/>
      </w:pPr>
      <w:rPr>
        <w:rFonts w:ascii="Symbol" w:hAnsi="Symbol" w:hint="default"/>
      </w:rPr>
    </w:lvl>
    <w:lvl w:ilvl="1" w:tplc="616A8C9C">
      <w:numFmt w:val="decimal"/>
      <w:lvlText w:val=""/>
      <w:lvlJc w:val="left"/>
    </w:lvl>
    <w:lvl w:ilvl="2" w:tplc="D9AAFB16">
      <w:numFmt w:val="decimal"/>
      <w:lvlText w:val=""/>
      <w:lvlJc w:val="left"/>
    </w:lvl>
    <w:lvl w:ilvl="3" w:tplc="21DC583A">
      <w:numFmt w:val="decimal"/>
      <w:lvlText w:val=""/>
      <w:lvlJc w:val="left"/>
    </w:lvl>
    <w:lvl w:ilvl="4" w:tplc="32020452">
      <w:numFmt w:val="decimal"/>
      <w:lvlText w:val=""/>
      <w:lvlJc w:val="left"/>
    </w:lvl>
    <w:lvl w:ilvl="5" w:tplc="1D6AEEDE">
      <w:numFmt w:val="decimal"/>
      <w:lvlText w:val=""/>
      <w:lvlJc w:val="left"/>
    </w:lvl>
    <w:lvl w:ilvl="6" w:tplc="6A52564A">
      <w:numFmt w:val="decimal"/>
      <w:lvlText w:val=""/>
      <w:lvlJc w:val="left"/>
    </w:lvl>
    <w:lvl w:ilvl="7" w:tplc="EAFA372A">
      <w:numFmt w:val="decimal"/>
      <w:lvlText w:val=""/>
      <w:lvlJc w:val="left"/>
    </w:lvl>
    <w:lvl w:ilvl="8" w:tplc="D22A1BF4">
      <w:numFmt w:val="decimal"/>
      <w:lvlText w:val=""/>
      <w:lvlJc w:val="left"/>
    </w:lvl>
  </w:abstractNum>
  <w:abstractNum w:abstractNumId="763" w15:restartNumberingAfterBreak="0">
    <w:nsid w:val="511442C4"/>
    <w:multiLevelType w:val="hybridMultilevel"/>
    <w:tmpl w:val="2A7063D8"/>
    <w:lvl w:ilvl="0" w:tplc="DA2EB0CE">
      <w:start w:val="1"/>
      <w:numFmt w:val="bullet"/>
      <w:lvlText w:val=""/>
      <w:lvlJc w:val="left"/>
      <w:pPr>
        <w:ind w:left="720" w:hanging="180"/>
      </w:pPr>
      <w:rPr>
        <w:rFonts w:ascii="Symbol" w:hAnsi="Symbol" w:hint="default"/>
      </w:rPr>
    </w:lvl>
    <w:lvl w:ilvl="1" w:tplc="537638AA">
      <w:numFmt w:val="decimal"/>
      <w:lvlText w:val=""/>
      <w:lvlJc w:val="left"/>
    </w:lvl>
    <w:lvl w:ilvl="2" w:tplc="4B4036C0">
      <w:numFmt w:val="decimal"/>
      <w:lvlText w:val=""/>
      <w:lvlJc w:val="left"/>
    </w:lvl>
    <w:lvl w:ilvl="3" w:tplc="AAFE4B8C">
      <w:numFmt w:val="decimal"/>
      <w:lvlText w:val=""/>
      <w:lvlJc w:val="left"/>
    </w:lvl>
    <w:lvl w:ilvl="4" w:tplc="BE0EAB5C">
      <w:numFmt w:val="decimal"/>
      <w:lvlText w:val=""/>
      <w:lvlJc w:val="left"/>
    </w:lvl>
    <w:lvl w:ilvl="5" w:tplc="74D6BDC2">
      <w:numFmt w:val="decimal"/>
      <w:lvlText w:val=""/>
      <w:lvlJc w:val="left"/>
    </w:lvl>
    <w:lvl w:ilvl="6" w:tplc="4F78FCD8">
      <w:numFmt w:val="decimal"/>
      <w:lvlText w:val=""/>
      <w:lvlJc w:val="left"/>
    </w:lvl>
    <w:lvl w:ilvl="7" w:tplc="71B83E56">
      <w:numFmt w:val="decimal"/>
      <w:lvlText w:val=""/>
      <w:lvlJc w:val="left"/>
    </w:lvl>
    <w:lvl w:ilvl="8" w:tplc="F3D6EBDE">
      <w:numFmt w:val="decimal"/>
      <w:lvlText w:val=""/>
      <w:lvlJc w:val="left"/>
    </w:lvl>
  </w:abstractNum>
  <w:abstractNum w:abstractNumId="764" w15:restartNumberingAfterBreak="0">
    <w:nsid w:val="511D0F8C"/>
    <w:multiLevelType w:val="hybridMultilevel"/>
    <w:tmpl w:val="3810474A"/>
    <w:lvl w:ilvl="0" w:tplc="5A5AC85A">
      <w:start w:val="1"/>
      <w:numFmt w:val="bullet"/>
      <w:lvlText w:val=""/>
      <w:lvlJc w:val="left"/>
      <w:pPr>
        <w:ind w:left="720" w:hanging="180"/>
      </w:pPr>
      <w:rPr>
        <w:rFonts w:ascii="Symbol" w:hAnsi="Symbol" w:hint="default"/>
      </w:rPr>
    </w:lvl>
    <w:lvl w:ilvl="1" w:tplc="DAC2D0F4">
      <w:numFmt w:val="decimal"/>
      <w:lvlText w:val=""/>
      <w:lvlJc w:val="left"/>
    </w:lvl>
    <w:lvl w:ilvl="2" w:tplc="A0F673DA">
      <w:numFmt w:val="decimal"/>
      <w:lvlText w:val=""/>
      <w:lvlJc w:val="left"/>
    </w:lvl>
    <w:lvl w:ilvl="3" w:tplc="050CE4A4">
      <w:numFmt w:val="decimal"/>
      <w:lvlText w:val=""/>
      <w:lvlJc w:val="left"/>
    </w:lvl>
    <w:lvl w:ilvl="4" w:tplc="E750AD70">
      <w:numFmt w:val="decimal"/>
      <w:lvlText w:val=""/>
      <w:lvlJc w:val="left"/>
    </w:lvl>
    <w:lvl w:ilvl="5" w:tplc="48DA4606">
      <w:numFmt w:val="decimal"/>
      <w:lvlText w:val=""/>
      <w:lvlJc w:val="left"/>
    </w:lvl>
    <w:lvl w:ilvl="6" w:tplc="CEBE0E26">
      <w:numFmt w:val="decimal"/>
      <w:lvlText w:val=""/>
      <w:lvlJc w:val="left"/>
    </w:lvl>
    <w:lvl w:ilvl="7" w:tplc="2E8060A0">
      <w:numFmt w:val="decimal"/>
      <w:lvlText w:val=""/>
      <w:lvlJc w:val="left"/>
    </w:lvl>
    <w:lvl w:ilvl="8" w:tplc="645CA02C">
      <w:numFmt w:val="decimal"/>
      <w:lvlText w:val=""/>
      <w:lvlJc w:val="left"/>
    </w:lvl>
  </w:abstractNum>
  <w:abstractNum w:abstractNumId="765" w15:restartNumberingAfterBreak="0">
    <w:nsid w:val="511F4D38"/>
    <w:multiLevelType w:val="hybridMultilevel"/>
    <w:tmpl w:val="4E56CBAE"/>
    <w:lvl w:ilvl="0" w:tplc="65BA2E10">
      <w:numFmt w:val="decimal"/>
      <w:lvlText w:val=""/>
      <w:lvlJc w:val="left"/>
    </w:lvl>
    <w:lvl w:ilvl="1" w:tplc="A34E70AA">
      <w:start w:val="1"/>
      <w:numFmt w:val="bullet"/>
      <w:lvlText w:val=""/>
      <w:lvlJc w:val="left"/>
      <w:pPr>
        <w:ind w:left="1440" w:hanging="180"/>
      </w:pPr>
      <w:rPr>
        <w:rFonts w:ascii="Symbol" w:hAnsi="Symbol" w:hint="default"/>
      </w:rPr>
    </w:lvl>
    <w:lvl w:ilvl="2" w:tplc="8BB08618">
      <w:numFmt w:val="decimal"/>
      <w:lvlText w:val=""/>
      <w:lvlJc w:val="left"/>
    </w:lvl>
    <w:lvl w:ilvl="3" w:tplc="DBA01D5A">
      <w:numFmt w:val="decimal"/>
      <w:lvlText w:val=""/>
      <w:lvlJc w:val="left"/>
    </w:lvl>
    <w:lvl w:ilvl="4" w:tplc="52389984">
      <w:numFmt w:val="decimal"/>
      <w:lvlText w:val=""/>
      <w:lvlJc w:val="left"/>
    </w:lvl>
    <w:lvl w:ilvl="5" w:tplc="F7BA59C2">
      <w:numFmt w:val="decimal"/>
      <w:lvlText w:val=""/>
      <w:lvlJc w:val="left"/>
    </w:lvl>
    <w:lvl w:ilvl="6" w:tplc="CBDC58F4">
      <w:numFmt w:val="decimal"/>
      <w:lvlText w:val=""/>
      <w:lvlJc w:val="left"/>
    </w:lvl>
    <w:lvl w:ilvl="7" w:tplc="DC8EB1F0">
      <w:numFmt w:val="decimal"/>
      <w:lvlText w:val=""/>
      <w:lvlJc w:val="left"/>
    </w:lvl>
    <w:lvl w:ilvl="8" w:tplc="E108A644">
      <w:numFmt w:val="decimal"/>
      <w:lvlText w:val=""/>
      <w:lvlJc w:val="left"/>
    </w:lvl>
  </w:abstractNum>
  <w:abstractNum w:abstractNumId="766" w15:restartNumberingAfterBreak="0">
    <w:nsid w:val="517423E7"/>
    <w:multiLevelType w:val="hybridMultilevel"/>
    <w:tmpl w:val="07C0C902"/>
    <w:lvl w:ilvl="0" w:tplc="DA7A389C">
      <w:start w:val="1"/>
      <w:numFmt w:val="bullet"/>
      <w:lvlText w:val=""/>
      <w:lvlJc w:val="left"/>
      <w:pPr>
        <w:ind w:left="720" w:hanging="180"/>
      </w:pPr>
      <w:rPr>
        <w:rFonts w:ascii="Symbol" w:hAnsi="Symbol" w:hint="default"/>
      </w:rPr>
    </w:lvl>
    <w:lvl w:ilvl="1" w:tplc="1E528BB8">
      <w:numFmt w:val="decimal"/>
      <w:lvlText w:val=""/>
      <w:lvlJc w:val="left"/>
    </w:lvl>
    <w:lvl w:ilvl="2" w:tplc="AFD657FE">
      <w:numFmt w:val="decimal"/>
      <w:lvlText w:val=""/>
      <w:lvlJc w:val="left"/>
    </w:lvl>
    <w:lvl w:ilvl="3" w:tplc="422C1BD0">
      <w:numFmt w:val="decimal"/>
      <w:lvlText w:val=""/>
      <w:lvlJc w:val="left"/>
    </w:lvl>
    <w:lvl w:ilvl="4" w:tplc="3BF81B46">
      <w:numFmt w:val="decimal"/>
      <w:lvlText w:val=""/>
      <w:lvlJc w:val="left"/>
    </w:lvl>
    <w:lvl w:ilvl="5" w:tplc="B3545204">
      <w:numFmt w:val="decimal"/>
      <w:lvlText w:val=""/>
      <w:lvlJc w:val="left"/>
    </w:lvl>
    <w:lvl w:ilvl="6" w:tplc="F5D0C52E">
      <w:numFmt w:val="decimal"/>
      <w:lvlText w:val=""/>
      <w:lvlJc w:val="left"/>
    </w:lvl>
    <w:lvl w:ilvl="7" w:tplc="EE642A04">
      <w:numFmt w:val="decimal"/>
      <w:lvlText w:val=""/>
      <w:lvlJc w:val="left"/>
    </w:lvl>
    <w:lvl w:ilvl="8" w:tplc="25F0AD4A">
      <w:numFmt w:val="decimal"/>
      <w:lvlText w:val=""/>
      <w:lvlJc w:val="left"/>
    </w:lvl>
  </w:abstractNum>
  <w:abstractNum w:abstractNumId="767" w15:restartNumberingAfterBreak="0">
    <w:nsid w:val="51846BAD"/>
    <w:multiLevelType w:val="hybridMultilevel"/>
    <w:tmpl w:val="4D345D68"/>
    <w:lvl w:ilvl="0" w:tplc="DF520150">
      <w:start w:val="1"/>
      <w:numFmt w:val="bullet"/>
      <w:lvlText w:val=""/>
      <w:lvlJc w:val="left"/>
      <w:pPr>
        <w:ind w:left="720" w:hanging="180"/>
      </w:pPr>
      <w:rPr>
        <w:rFonts w:ascii="Symbol" w:hAnsi="Symbol" w:hint="default"/>
      </w:rPr>
    </w:lvl>
    <w:lvl w:ilvl="1" w:tplc="98A4574E">
      <w:numFmt w:val="decimal"/>
      <w:lvlText w:val=""/>
      <w:lvlJc w:val="left"/>
    </w:lvl>
    <w:lvl w:ilvl="2" w:tplc="DFEC09CA">
      <w:numFmt w:val="decimal"/>
      <w:lvlText w:val=""/>
      <w:lvlJc w:val="left"/>
    </w:lvl>
    <w:lvl w:ilvl="3" w:tplc="F74CA7F2">
      <w:numFmt w:val="decimal"/>
      <w:lvlText w:val=""/>
      <w:lvlJc w:val="left"/>
    </w:lvl>
    <w:lvl w:ilvl="4" w:tplc="5770DAFE">
      <w:numFmt w:val="decimal"/>
      <w:lvlText w:val=""/>
      <w:lvlJc w:val="left"/>
    </w:lvl>
    <w:lvl w:ilvl="5" w:tplc="F0FC9292">
      <w:numFmt w:val="decimal"/>
      <w:lvlText w:val=""/>
      <w:lvlJc w:val="left"/>
    </w:lvl>
    <w:lvl w:ilvl="6" w:tplc="748A4AF8">
      <w:numFmt w:val="decimal"/>
      <w:lvlText w:val=""/>
      <w:lvlJc w:val="left"/>
    </w:lvl>
    <w:lvl w:ilvl="7" w:tplc="844A9174">
      <w:numFmt w:val="decimal"/>
      <w:lvlText w:val=""/>
      <w:lvlJc w:val="left"/>
    </w:lvl>
    <w:lvl w:ilvl="8" w:tplc="AF46C156">
      <w:numFmt w:val="decimal"/>
      <w:lvlText w:val=""/>
      <w:lvlJc w:val="left"/>
    </w:lvl>
  </w:abstractNum>
  <w:abstractNum w:abstractNumId="768" w15:restartNumberingAfterBreak="0">
    <w:nsid w:val="51921FA7"/>
    <w:multiLevelType w:val="hybridMultilevel"/>
    <w:tmpl w:val="E8CC92FE"/>
    <w:lvl w:ilvl="0" w:tplc="824AB360">
      <w:start w:val="1"/>
      <w:numFmt w:val="bullet"/>
      <w:lvlText w:val=""/>
      <w:lvlJc w:val="left"/>
      <w:pPr>
        <w:ind w:left="720" w:hanging="180"/>
      </w:pPr>
      <w:rPr>
        <w:rFonts w:ascii="Symbol" w:hAnsi="Symbol" w:hint="default"/>
      </w:rPr>
    </w:lvl>
    <w:lvl w:ilvl="1" w:tplc="EB2A3BBA">
      <w:numFmt w:val="decimal"/>
      <w:lvlText w:val=""/>
      <w:lvlJc w:val="left"/>
    </w:lvl>
    <w:lvl w:ilvl="2" w:tplc="D7684F5E">
      <w:numFmt w:val="decimal"/>
      <w:lvlText w:val=""/>
      <w:lvlJc w:val="left"/>
    </w:lvl>
    <w:lvl w:ilvl="3" w:tplc="49D03B08">
      <w:numFmt w:val="decimal"/>
      <w:lvlText w:val=""/>
      <w:lvlJc w:val="left"/>
    </w:lvl>
    <w:lvl w:ilvl="4" w:tplc="F038242E">
      <w:numFmt w:val="decimal"/>
      <w:lvlText w:val=""/>
      <w:lvlJc w:val="left"/>
    </w:lvl>
    <w:lvl w:ilvl="5" w:tplc="7A5A51FE">
      <w:numFmt w:val="decimal"/>
      <w:lvlText w:val=""/>
      <w:lvlJc w:val="left"/>
    </w:lvl>
    <w:lvl w:ilvl="6" w:tplc="118C88E4">
      <w:numFmt w:val="decimal"/>
      <w:lvlText w:val=""/>
      <w:lvlJc w:val="left"/>
    </w:lvl>
    <w:lvl w:ilvl="7" w:tplc="28CA28DC">
      <w:numFmt w:val="decimal"/>
      <w:lvlText w:val=""/>
      <w:lvlJc w:val="left"/>
    </w:lvl>
    <w:lvl w:ilvl="8" w:tplc="CDC45E40">
      <w:numFmt w:val="decimal"/>
      <w:lvlText w:val=""/>
      <w:lvlJc w:val="left"/>
    </w:lvl>
  </w:abstractNum>
  <w:abstractNum w:abstractNumId="769" w15:restartNumberingAfterBreak="0">
    <w:nsid w:val="51962752"/>
    <w:multiLevelType w:val="hybridMultilevel"/>
    <w:tmpl w:val="6598CE78"/>
    <w:lvl w:ilvl="0" w:tplc="8AB0E3CA">
      <w:start w:val="1"/>
      <w:numFmt w:val="bullet"/>
      <w:lvlText w:val=""/>
      <w:lvlJc w:val="left"/>
      <w:pPr>
        <w:ind w:left="720" w:hanging="180"/>
      </w:pPr>
      <w:rPr>
        <w:rFonts w:ascii="Symbol" w:hAnsi="Symbol" w:hint="default"/>
      </w:rPr>
    </w:lvl>
    <w:lvl w:ilvl="1" w:tplc="5B369AB6">
      <w:numFmt w:val="decimal"/>
      <w:lvlText w:val=""/>
      <w:lvlJc w:val="left"/>
    </w:lvl>
    <w:lvl w:ilvl="2" w:tplc="E1643C14">
      <w:numFmt w:val="decimal"/>
      <w:lvlText w:val=""/>
      <w:lvlJc w:val="left"/>
    </w:lvl>
    <w:lvl w:ilvl="3" w:tplc="32843C92">
      <w:numFmt w:val="decimal"/>
      <w:lvlText w:val=""/>
      <w:lvlJc w:val="left"/>
    </w:lvl>
    <w:lvl w:ilvl="4" w:tplc="295273E0">
      <w:numFmt w:val="decimal"/>
      <w:lvlText w:val=""/>
      <w:lvlJc w:val="left"/>
    </w:lvl>
    <w:lvl w:ilvl="5" w:tplc="FAA0564C">
      <w:numFmt w:val="decimal"/>
      <w:lvlText w:val=""/>
      <w:lvlJc w:val="left"/>
    </w:lvl>
    <w:lvl w:ilvl="6" w:tplc="3904DA00">
      <w:numFmt w:val="decimal"/>
      <w:lvlText w:val=""/>
      <w:lvlJc w:val="left"/>
    </w:lvl>
    <w:lvl w:ilvl="7" w:tplc="D4F443D4">
      <w:numFmt w:val="decimal"/>
      <w:lvlText w:val=""/>
      <w:lvlJc w:val="left"/>
    </w:lvl>
    <w:lvl w:ilvl="8" w:tplc="6CB2705A">
      <w:numFmt w:val="decimal"/>
      <w:lvlText w:val=""/>
      <w:lvlJc w:val="left"/>
    </w:lvl>
  </w:abstractNum>
  <w:abstractNum w:abstractNumId="770" w15:restartNumberingAfterBreak="0">
    <w:nsid w:val="519C2560"/>
    <w:multiLevelType w:val="hybridMultilevel"/>
    <w:tmpl w:val="2012DC8E"/>
    <w:lvl w:ilvl="0" w:tplc="CE788892">
      <w:numFmt w:val="decimal"/>
      <w:lvlText w:val=""/>
      <w:lvlJc w:val="left"/>
    </w:lvl>
    <w:lvl w:ilvl="1" w:tplc="DEF627D4">
      <w:start w:val="1"/>
      <w:numFmt w:val="bullet"/>
      <w:lvlText w:val=""/>
      <w:lvlJc w:val="left"/>
      <w:pPr>
        <w:ind w:left="1440" w:hanging="180"/>
      </w:pPr>
      <w:rPr>
        <w:rFonts w:ascii="Symbol" w:hAnsi="Symbol" w:hint="default"/>
      </w:rPr>
    </w:lvl>
    <w:lvl w:ilvl="2" w:tplc="468AB020">
      <w:numFmt w:val="decimal"/>
      <w:lvlText w:val=""/>
      <w:lvlJc w:val="left"/>
    </w:lvl>
    <w:lvl w:ilvl="3" w:tplc="347AAD2E">
      <w:numFmt w:val="decimal"/>
      <w:lvlText w:val=""/>
      <w:lvlJc w:val="left"/>
    </w:lvl>
    <w:lvl w:ilvl="4" w:tplc="429CB0B0">
      <w:numFmt w:val="decimal"/>
      <w:lvlText w:val=""/>
      <w:lvlJc w:val="left"/>
    </w:lvl>
    <w:lvl w:ilvl="5" w:tplc="E66663CA">
      <w:numFmt w:val="decimal"/>
      <w:lvlText w:val=""/>
      <w:lvlJc w:val="left"/>
    </w:lvl>
    <w:lvl w:ilvl="6" w:tplc="AB1499A8">
      <w:numFmt w:val="decimal"/>
      <w:lvlText w:val=""/>
      <w:lvlJc w:val="left"/>
    </w:lvl>
    <w:lvl w:ilvl="7" w:tplc="408EF7B2">
      <w:numFmt w:val="decimal"/>
      <w:lvlText w:val=""/>
      <w:lvlJc w:val="left"/>
    </w:lvl>
    <w:lvl w:ilvl="8" w:tplc="F0B6277A">
      <w:numFmt w:val="decimal"/>
      <w:lvlText w:val=""/>
      <w:lvlJc w:val="left"/>
    </w:lvl>
  </w:abstractNum>
  <w:abstractNum w:abstractNumId="771" w15:restartNumberingAfterBreak="0">
    <w:nsid w:val="51C241CE"/>
    <w:multiLevelType w:val="hybridMultilevel"/>
    <w:tmpl w:val="7E76D460"/>
    <w:lvl w:ilvl="0" w:tplc="04ACB416">
      <w:start w:val="1"/>
      <w:numFmt w:val="bullet"/>
      <w:lvlText w:val=""/>
      <w:lvlJc w:val="left"/>
      <w:pPr>
        <w:ind w:left="720" w:hanging="180"/>
      </w:pPr>
      <w:rPr>
        <w:rFonts w:ascii="Symbol" w:hAnsi="Symbol" w:hint="default"/>
      </w:rPr>
    </w:lvl>
    <w:lvl w:ilvl="1" w:tplc="55FC0A50">
      <w:numFmt w:val="decimal"/>
      <w:lvlText w:val=""/>
      <w:lvlJc w:val="left"/>
    </w:lvl>
    <w:lvl w:ilvl="2" w:tplc="E2A0BE42">
      <w:numFmt w:val="decimal"/>
      <w:lvlText w:val=""/>
      <w:lvlJc w:val="left"/>
    </w:lvl>
    <w:lvl w:ilvl="3" w:tplc="7F069EC6">
      <w:numFmt w:val="decimal"/>
      <w:lvlText w:val=""/>
      <w:lvlJc w:val="left"/>
    </w:lvl>
    <w:lvl w:ilvl="4" w:tplc="A39887BC">
      <w:numFmt w:val="decimal"/>
      <w:lvlText w:val=""/>
      <w:lvlJc w:val="left"/>
    </w:lvl>
    <w:lvl w:ilvl="5" w:tplc="9938932C">
      <w:numFmt w:val="decimal"/>
      <w:lvlText w:val=""/>
      <w:lvlJc w:val="left"/>
    </w:lvl>
    <w:lvl w:ilvl="6" w:tplc="A90CDE4A">
      <w:numFmt w:val="decimal"/>
      <w:lvlText w:val=""/>
      <w:lvlJc w:val="left"/>
    </w:lvl>
    <w:lvl w:ilvl="7" w:tplc="3F06569E">
      <w:numFmt w:val="decimal"/>
      <w:lvlText w:val=""/>
      <w:lvlJc w:val="left"/>
    </w:lvl>
    <w:lvl w:ilvl="8" w:tplc="8428618A">
      <w:numFmt w:val="decimal"/>
      <w:lvlText w:val=""/>
      <w:lvlJc w:val="left"/>
    </w:lvl>
  </w:abstractNum>
  <w:abstractNum w:abstractNumId="772" w15:restartNumberingAfterBreak="0">
    <w:nsid w:val="51C6609E"/>
    <w:multiLevelType w:val="hybridMultilevel"/>
    <w:tmpl w:val="A44EDD3E"/>
    <w:lvl w:ilvl="0" w:tplc="52E0E6D2">
      <w:start w:val="1"/>
      <w:numFmt w:val="bullet"/>
      <w:lvlText w:val=""/>
      <w:lvlJc w:val="left"/>
      <w:pPr>
        <w:ind w:left="720" w:hanging="180"/>
      </w:pPr>
      <w:rPr>
        <w:rFonts w:ascii="Symbol" w:hAnsi="Symbol" w:hint="default"/>
      </w:rPr>
    </w:lvl>
    <w:lvl w:ilvl="1" w:tplc="9EC2DEB0">
      <w:numFmt w:val="decimal"/>
      <w:lvlText w:val=""/>
      <w:lvlJc w:val="left"/>
    </w:lvl>
    <w:lvl w:ilvl="2" w:tplc="94309AD4">
      <w:numFmt w:val="decimal"/>
      <w:lvlText w:val=""/>
      <w:lvlJc w:val="left"/>
    </w:lvl>
    <w:lvl w:ilvl="3" w:tplc="2CC6FAFE">
      <w:numFmt w:val="decimal"/>
      <w:lvlText w:val=""/>
      <w:lvlJc w:val="left"/>
    </w:lvl>
    <w:lvl w:ilvl="4" w:tplc="72A0EC26">
      <w:numFmt w:val="decimal"/>
      <w:lvlText w:val=""/>
      <w:lvlJc w:val="left"/>
    </w:lvl>
    <w:lvl w:ilvl="5" w:tplc="12EA10B0">
      <w:numFmt w:val="decimal"/>
      <w:lvlText w:val=""/>
      <w:lvlJc w:val="left"/>
    </w:lvl>
    <w:lvl w:ilvl="6" w:tplc="9730AAA8">
      <w:numFmt w:val="decimal"/>
      <w:lvlText w:val=""/>
      <w:lvlJc w:val="left"/>
    </w:lvl>
    <w:lvl w:ilvl="7" w:tplc="A468B8E2">
      <w:numFmt w:val="decimal"/>
      <w:lvlText w:val=""/>
      <w:lvlJc w:val="left"/>
    </w:lvl>
    <w:lvl w:ilvl="8" w:tplc="2946A7E6">
      <w:numFmt w:val="decimal"/>
      <w:lvlText w:val=""/>
      <w:lvlJc w:val="left"/>
    </w:lvl>
  </w:abstractNum>
  <w:abstractNum w:abstractNumId="773" w15:restartNumberingAfterBreak="0">
    <w:nsid w:val="51E457E5"/>
    <w:multiLevelType w:val="hybridMultilevel"/>
    <w:tmpl w:val="8910BCDE"/>
    <w:lvl w:ilvl="0" w:tplc="4776CCEE">
      <w:start w:val="1"/>
      <w:numFmt w:val="bullet"/>
      <w:lvlText w:val=""/>
      <w:lvlJc w:val="left"/>
      <w:pPr>
        <w:ind w:left="720" w:hanging="180"/>
      </w:pPr>
      <w:rPr>
        <w:rFonts w:ascii="Symbol" w:hAnsi="Symbol" w:hint="default"/>
      </w:rPr>
    </w:lvl>
    <w:lvl w:ilvl="1" w:tplc="448E865A">
      <w:numFmt w:val="decimal"/>
      <w:lvlText w:val=""/>
      <w:lvlJc w:val="left"/>
    </w:lvl>
    <w:lvl w:ilvl="2" w:tplc="B9E4EC06">
      <w:numFmt w:val="decimal"/>
      <w:lvlText w:val=""/>
      <w:lvlJc w:val="left"/>
    </w:lvl>
    <w:lvl w:ilvl="3" w:tplc="58D0B032">
      <w:numFmt w:val="decimal"/>
      <w:lvlText w:val=""/>
      <w:lvlJc w:val="left"/>
    </w:lvl>
    <w:lvl w:ilvl="4" w:tplc="1E5E44D0">
      <w:numFmt w:val="decimal"/>
      <w:lvlText w:val=""/>
      <w:lvlJc w:val="left"/>
    </w:lvl>
    <w:lvl w:ilvl="5" w:tplc="4E64B822">
      <w:numFmt w:val="decimal"/>
      <w:lvlText w:val=""/>
      <w:lvlJc w:val="left"/>
    </w:lvl>
    <w:lvl w:ilvl="6" w:tplc="704EE4FE">
      <w:numFmt w:val="decimal"/>
      <w:lvlText w:val=""/>
      <w:lvlJc w:val="left"/>
    </w:lvl>
    <w:lvl w:ilvl="7" w:tplc="97F4D3FC">
      <w:numFmt w:val="decimal"/>
      <w:lvlText w:val=""/>
      <w:lvlJc w:val="left"/>
    </w:lvl>
    <w:lvl w:ilvl="8" w:tplc="FD6226FE">
      <w:numFmt w:val="decimal"/>
      <w:lvlText w:val=""/>
      <w:lvlJc w:val="left"/>
    </w:lvl>
  </w:abstractNum>
  <w:abstractNum w:abstractNumId="774" w15:restartNumberingAfterBreak="0">
    <w:nsid w:val="51EE5658"/>
    <w:multiLevelType w:val="hybridMultilevel"/>
    <w:tmpl w:val="629A1D3C"/>
    <w:lvl w:ilvl="0" w:tplc="08AADACE">
      <w:start w:val="1"/>
      <w:numFmt w:val="bullet"/>
      <w:lvlText w:val=""/>
      <w:lvlJc w:val="left"/>
      <w:pPr>
        <w:ind w:left="720" w:hanging="180"/>
      </w:pPr>
      <w:rPr>
        <w:rFonts w:ascii="Symbol" w:hAnsi="Symbol" w:hint="default"/>
      </w:rPr>
    </w:lvl>
    <w:lvl w:ilvl="1" w:tplc="A912B54E">
      <w:numFmt w:val="decimal"/>
      <w:lvlText w:val=""/>
      <w:lvlJc w:val="left"/>
    </w:lvl>
    <w:lvl w:ilvl="2" w:tplc="2842ED7E">
      <w:numFmt w:val="decimal"/>
      <w:lvlText w:val=""/>
      <w:lvlJc w:val="left"/>
    </w:lvl>
    <w:lvl w:ilvl="3" w:tplc="859C2EA6">
      <w:numFmt w:val="decimal"/>
      <w:lvlText w:val=""/>
      <w:lvlJc w:val="left"/>
    </w:lvl>
    <w:lvl w:ilvl="4" w:tplc="05D039B8">
      <w:numFmt w:val="decimal"/>
      <w:lvlText w:val=""/>
      <w:lvlJc w:val="left"/>
    </w:lvl>
    <w:lvl w:ilvl="5" w:tplc="A1A82BC0">
      <w:numFmt w:val="decimal"/>
      <w:lvlText w:val=""/>
      <w:lvlJc w:val="left"/>
    </w:lvl>
    <w:lvl w:ilvl="6" w:tplc="DC36A1F6">
      <w:numFmt w:val="decimal"/>
      <w:lvlText w:val=""/>
      <w:lvlJc w:val="left"/>
    </w:lvl>
    <w:lvl w:ilvl="7" w:tplc="D0FCDC92">
      <w:numFmt w:val="decimal"/>
      <w:lvlText w:val=""/>
      <w:lvlJc w:val="left"/>
    </w:lvl>
    <w:lvl w:ilvl="8" w:tplc="74880622">
      <w:numFmt w:val="decimal"/>
      <w:lvlText w:val=""/>
      <w:lvlJc w:val="left"/>
    </w:lvl>
  </w:abstractNum>
  <w:abstractNum w:abstractNumId="775" w15:restartNumberingAfterBreak="0">
    <w:nsid w:val="52037A6E"/>
    <w:multiLevelType w:val="hybridMultilevel"/>
    <w:tmpl w:val="5666EB08"/>
    <w:lvl w:ilvl="0" w:tplc="49BE8C56">
      <w:start w:val="1"/>
      <w:numFmt w:val="bullet"/>
      <w:lvlText w:val=""/>
      <w:lvlJc w:val="left"/>
      <w:pPr>
        <w:ind w:left="720" w:hanging="180"/>
      </w:pPr>
      <w:rPr>
        <w:rFonts w:ascii="Symbol" w:hAnsi="Symbol" w:hint="default"/>
      </w:rPr>
    </w:lvl>
    <w:lvl w:ilvl="1" w:tplc="388833A6">
      <w:numFmt w:val="decimal"/>
      <w:lvlText w:val=""/>
      <w:lvlJc w:val="left"/>
    </w:lvl>
    <w:lvl w:ilvl="2" w:tplc="F5427B62">
      <w:numFmt w:val="decimal"/>
      <w:lvlText w:val=""/>
      <w:lvlJc w:val="left"/>
    </w:lvl>
    <w:lvl w:ilvl="3" w:tplc="E1BA222A">
      <w:numFmt w:val="decimal"/>
      <w:lvlText w:val=""/>
      <w:lvlJc w:val="left"/>
    </w:lvl>
    <w:lvl w:ilvl="4" w:tplc="ED84A342">
      <w:numFmt w:val="decimal"/>
      <w:lvlText w:val=""/>
      <w:lvlJc w:val="left"/>
    </w:lvl>
    <w:lvl w:ilvl="5" w:tplc="8A4AA7B6">
      <w:numFmt w:val="decimal"/>
      <w:lvlText w:val=""/>
      <w:lvlJc w:val="left"/>
    </w:lvl>
    <w:lvl w:ilvl="6" w:tplc="6A304BAE">
      <w:numFmt w:val="decimal"/>
      <w:lvlText w:val=""/>
      <w:lvlJc w:val="left"/>
    </w:lvl>
    <w:lvl w:ilvl="7" w:tplc="CF22F008">
      <w:numFmt w:val="decimal"/>
      <w:lvlText w:val=""/>
      <w:lvlJc w:val="left"/>
    </w:lvl>
    <w:lvl w:ilvl="8" w:tplc="0A605D7C">
      <w:numFmt w:val="decimal"/>
      <w:lvlText w:val=""/>
      <w:lvlJc w:val="left"/>
    </w:lvl>
  </w:abstractNum>
  <w:abstractNum w:abstractNumId="776" w15:restartNumberingAfterBreak="0">
    <w:nsid w:val="52217921"/>
    <w:multiLevelType w:val="hybridMultilevel"/>
    <w:tmpl w:val="7824626C"/>
    <w:lvl w:ilvl="0" w:tplc="3246FA2A">
      <w:start w:val="1"/>
      <w:numFmt w:val="bullet"/>
      <w:lvlText w:val=""/>
      <w:lvlJc w:val="left"/>
      <w:pPr>
        <w:ind w:left="720" w:hanging="180"/>
      </w:pPr>
      <w:rPr>
        <w:rFonts w:ascii="Symbol" w:hAnsi="Symbol" w:hint="default"/>
      </w:rPr>
    </w:lvl>
    <w:lvl w:ilvl="1" w:tplc="A8122524">
      <w:numFmt w:val="decimal"/>
      <w:lvlText w:val=""/>
      <w:lvlJc w:val="left"/>
    </w:lvl>
    <w:lvl w:ilvl="2" w:tplc="4C96976C">
      <w:numFmt w:val="decimal"/>
      <w:lvlText w:val=""/>
      <w:lvlJc w:val="left"/>
    </w:lvl>
    <w:lvl w:ilvl="3" w:tplc="8926DE22">
      <w:numFmt w:val="decimal"/>
      <w:lvlText w:val=""/>
      <w:lvlJc w:val="left"/>
    </w:lvl>
    <w:lvl w:ilvl="4" w:tplc="4926C9CE">
      <w:numFmt w:val="decimal"/>
      <w:lvlText w:val=""/>
      <w:lvlJc w:val="left"/>
    </w:lvl>
    <w:lvl w:ilvl="5" w:tplc="973C80BC">
      <w:numFmt w:val="decimal"/>
      <w:lvlText w:val=""/>
      <w:lvlJc w:val="left"/>
    </w:lvl>
    <w:lvl w:ilvl="6" w:tplc="155A661E">
      <w:numFmt w:val="decimal"/>
      <w:lvlText w:val=""/>
      <w:lvlJc w:val="left"/>
    </w:lvl>
    <w:lvl w:ilvl="7" w:tplc="1A04509E">
      <w:numFmt w:val="decimal"/>
      <w:lvlText w:val=""/>
      <w:lvlJc w:val="left"/>
    </w:lvl>
    <w:lvl w:ilvl="8" w:tplc="2E0CD186">
      <w:numFmt w:val="decimal"/>
      <w:lvlText w:val=""/>
      <w:lvlJc w:val="left"/>
    </w:lvl>
  </w:abstractNum>
  <w:abstractNum w:abstractNumId="777" w15:restartNumberingAfterBreak="0">
    <w:nsid w:val="52CB015D"/>
    <w:multiLevelType w:val="hybridMultilevel"/>
    <w:tmpl w:val="0B2CD4B8"/>
    <w:lvl w:ilvl="0" w:tplc="40D804C2">
      <w:start w:val="1"/>
      <w:numFmt w:val="bullet"/>
      <w:lvlText w:val=""/>
      <w:lvlJc w:val="left"/>
      <w:pPr>
        <w:ind w:left="720" w:hanging="180"/>
      </w:pPr>
      <w:rPr>
        <w:rFonts w:ascii="Symbol" w:hAnsi="Symbol" w:hint="default"/>
      </w:rPr>
    </w:lvl>
    <w:lvl w:ilvl="1" w:tplc="E48ED038">
      <w:numFmt w:val="decimal"/>
      <w:lvlText w:val=""/>
      <w:lvlJc w:val="left"/>
    </w:lvl>
    <w:lvl w:ilvl="2" w:tplc="6B88A7E2">
      <w:numFmt w:val="decimal"/>
      <w:lvlText w:val=""/>
      <w:lvlJc w:val="left"/>
    </w:lvl>
    <w:lvl w:ilvl="3" w:tplc="31224C22">
      <w:numFmt w:val="decimal"/>
      <w:lvlText w:val=""/>
      <w:lvlJc w:val="left"/>
    </w:lvl>
    <w:lvl w:ilvl="4" w:tplc="039E46D2">
      <w:numFmt w:val="decimal"/>
      <w:lvlText w:val=""/>
      <w:lvlJc w:val="left"/>
    </w:lvl>
    <w:lvl w:ilvl="5" w:tplc="799A705A">
      <w:numFmt w:val="decimal"/>
      <w:lvlText w:val=""/>
      <w:lvlJc w:val="left"/>
    </w:lvl>
    <w:lvl w:ilvl="6" w:tplc="C22E04DE">
      <w:numFmt w:val="decimal"/>
      <w:lvlText w:val=""/>
      <w:lvlJc w:val="left"/>
    </w:lvl>
    <w:lvl w:ilvl="7" w:tplc="2B607536">
      <w:numFmt w:val="decimal"/>
      <w:lvlText w:val=""/>
      <w:lvlJc w:val="left"/>
    </w:lvl>
    <w:lvl w:ilvl="8" w:tplc="FF8E93F8">
      <w:numFmt w:val="decimal"/>
      <w:lvlText w:val=""/>
      <w:lvlJc w:val="left"/>
    </w:lvl>
  </w:abstractNum>
  <w:abstractNum w:abstractNumId="778" w15:restartNumberingAfterBreak="0">
    <w:nsid w:val="52D739EF"/>
    <w:multiLevelType w:val="hybridMultilevel"/>
    <w:tmpl w:val="8C6236CC"/>
    <w:lvl w:ilvl="0" w:tplc="C0004C6A">
      <w:start w:val="1"/>
      <w:numFmt w:val="bullet"/>
      <w:lvlText w:val=""/>
      <w:lvlJc w:val="left"/>
      <w:pPr>
        <w:ind w:left="720" w:hanging="180"/>
      </w:pPr>
      <w:rPr>
        <w:rFonts w:ascii="Symbol" w:hAnsi="Symbol" w:hint="default"/>
      </w:rPr>
    </w:lvl>
    <w:lvl w:ilvl="1" w:tplc="0F4AD534">
      <w:numFmt w:val="decimal"/>
      <w:lvlText w:val=""/>
      <w:lvlJc w:val="left"/>
    </w:lvl>
    <w:lvl w:ilvl="2" w:tplc="DF402F9E">
      <w:numFmt w:val="decimal"/>
      <w:lvlText w:val=""/>
      <w:lvlJc w:val="left"/>
    </w:lvl>
    <w:lvl w:ilvl="3" w:tplc="19EE4484">
      <w:numFmt w:val="decimal"/>
      <w:lvlText w:val=""/>
      <w:lvlJc w:val="left"/>
    </w:lvl>
    <w:lvl w:ilvl="4" w:tplc="FAC60F94">
      <w:numFmt w:val="decimal"/>
      <w:lvlText w:val=""/>
      <w:lvlJc w:val="left"/>
    </w:lvl>
    <w:lvl w:ilvl="5" w:tplc="E932E822">
      <w:numFmt w:val="decimal"/>
      <w:lvlText w:val=""/>
      <w:lvlJc w:val="left"/>
    </w:lvl>
    <w:lvl w:ilvl="6" w:tplc="F392ED62">
      <w:numFmt w:val="decimal"/>
      <w:lvlText w:val=""/>
      <w:lvlJc w:val="left"/>
    </w:lvl>
    <w:lvl w:ilvl="7" w:tplc="8526A942">
      <w:numFmt w:val="decimal"/>
      <w:lvlText w:val=""/>
      <w:lvlJc w:val="left"/>
    </w:lvl>
    <w:lvl w:ilvl="8" w:tplc="C6985BBC">
      <w:numFmt w:val="decimal"/>
      <w:lvlText w:val=""/>
      <w:lvlJc w:val="left"/>
    </w:lvl>
  </w:abstractNum>
  <w:abstractNum w:abstractNumId="779" w15:restartNumberingAfterBreak="0">
    <w:nsid w:val="52DC0E77"/>
    <w:multiLevelType w:val="hybridMultilevel"/>
    <w:tmpl w:val="45DA1F70"/>
    <w:lvl w:ilvl="0" w:tplc="71A2DF26">
      <w:start w:val="1"/>
      <w:numFmt w:val="bullet"/>
      <w:lvlText w:val=""/>
      <w:lvlJc w:val="left"/>
      <w:pPr>
        <w:ind w:left="720" w:hanging="180"/>
      </w:pPr>
      <w:rPr>
        <w:rFonts w:ascii="Symbol" w:hAnsi="Symbol" w:hint="default"/>
      </w:rPr>
    </w:lvl>
    <w:lvl w:ilvl="1" w:tplc="470AB562">
      <w:numFmt w:val="decimal"/>
      <w:lvlText w:val=""/>
      <w:lvlJc w:val="left"/>
    </w:lvl>
    <w:lvl w:ilvl="2" w:tplc="F4A4C424">
      <w:numFmt w:val="decimal"/>
      <w:lvlText w:val=""/>
      <w:lvlJc w:val="left"/>
    </w:lvl>
    <w:lvl w:ilvl="3" w:tplc="434AE9DE">
      <w:numFmt w:val="decimal"/>
      <w:lvlText w:val=""/>
      <w:lvlJc w:val="left"/>
    </w:lvl>
    <w:lvl w:ilvl="4" w:tplc="835A9424">
      <w:numFmt w:val="decimal"/>
      <w:lvlText w:val=""/>
      <w:lvlJc w:val="left"/>
    </w:lvl>
    <w:lvl w:ilvl="5" w:tplc="AA14729C">
      <w:numFmt w:val="decimal"/>
      <w:lvlText w:val=""/>
      <w:lvlJc w:val="left"/>
    </w:lvl>
    <w:lvl w:ilvl="6" w:tplc="2EACFF9E">
      <w:numFmt w:val="decimal"/>
      <w:lvlText w:val=""/>
      <w:lvlJc w:val="left"/>
    </w:lvl>
    <w:lvl w:ilvl="7" w:tplc="E8E09C52">
      <w:numFmt w:val="decimal"/>
      <w:lvlText w:val=""/>
      <w:lvlJc w:val="left"/>
    </w:lvl>
    <w:lvl w:ilvl="8" w:tplc="7F3CA334">
      <w:numFmt w:val="decimal"/>
      <w:lvlText w:val=""/>
      <w:lvlJc w:val="left"/>
    </w:lvl>
  </w:abstractNum>
  <w:abstractNum w:abstractNumId="780" w15:restartNumberingAfterBreak="0">
    <w:nsid w:val="52DD2B2F"/>
    <w:multiLevelType w:val="hybridMultilevel"/>
    <w:tmpl w:val="EC122D82"/>
    <w:lvl w:ilvl="0" w:tplc="1B54C368">
      <w:start w:val="1"/>
      <w:numFmt w:val="bullet"/>
      <w:lvlText w:val=""/>
      <w:lvlJc w:val="left"/>
      <w:pPr>
        <w:ind w:left="720" w:hanging="180"/>
      </w:pPr>
      <w:rPr>
        <w:rFonts w:ascii="Symbol" w:hAnsi="Symbol" w:hint="default"/>
      </w:rPr>
    </w:lvl>
    <w:lvl w:ilvl="1" w:tplc="1244296C">
      <w:numFmt w:val="decimal"/>
      <w:lvlText w:val=""/>
      <w:lvlJc w:val="left"/>
    </w:lvl>
    <w:lvl w:ilvl="2" w:tplc="9CB8DC3C">
      <w:numFmt w:val="decimal"/>
      <w:lvlText w:val=""/>
      <w:lvlJc w:val="left"/>
    </w:lvl>
    <w:lvl w:ilvl="3" w:tplc="9FE8081E">
      <w:numFmt w:val="decimal"/>
      <w:lvlText w:val=""/>
      <w:lvlJc w:val="left"/>
    </w:lvl>
    <w:lvl w:ilvl="4" w:tplc="B0125084">
      <w:numFmt w:val="decimal"/>
      <w:lvlText w:val=""/>
      <w:lvlJc w:val="left"/>
    </w:lvl>
    <w:lvl w:ilvl="5" w:tplc="3EE42788">
      <w:numFmt w:val="decimal"/>
      <w:lvlText w:val=""/>
      <w:lvlJc w:val="left"/>
    </w:lvl>
    <w:lvl w:ilvl="6" w:tplc="EF9A70E8">
      <w:numFmt w:val="decimal"/>
      <w:lvlText w:val=""/>
      <w:lvlJc w:val="left"/>
    </w:lvl>
    <w:lvl w:ilvl="7" w:tplc="DCBCA65C">
      <w:numFmt w:val="decimal"/>
      <w:lvlText w:val=""/>
      <w:lvlJc w:val="left"/>
    </w:lvl>
    <w:lvl w:ilvl="8" w:tplc="C7D26CEC">
      <w:numFmt w:val="decimal"/>
      <w:lvlText w:val=""/>
      <w:lvlJc w:val="left"/>
    </w:lvl>
  </w:abstractNum>
  <w:abstractNum w:abstractNumId="781" w15:restartNumberingAfterBreak="0">
    <w:nsid w:val="52EC7CEE"/>
    <w:multiLevelType w:val="hybridMultilevel"/>
    <w:tmpl w:val="17FC915C"/>
    <w:lvl w:ilvl="0" w:tplc="0C209776">
      <w:start w:val="1"/>
      <w:numFmt w:val="bullet"/>
      <w:lvlText w:val=""/>
      <w:lvlJc w:val="left"/>
      <w:pPr>
        <w:ind w:left="720" w:hanging="180"/>
      </w:pPr>
      <w:rPr>
        <w:rFonts w:ascii="Symbol" w:hAnsi="Symbol" w:hint="default"/>
      </w:rPr>
    </w:lvl>
    <w:lvl w:ilvl="1" w:tplc="07A6D2E2">
      <w:numFmt w:val="decimal"/>
      <w:lvlText w:val=""/>
      <w:lvlJc w:val="left"/>
    </w:lvl>
    <w:lvl w:ilvl="2" w:tplc="A0C64612">
      <w:numFmt w:val="decimal"/>
      <w:lvlText w:val=""/>
      <w:lvlJc w:val="left"/>
    </w:lvl>
    <w:lvl w:ilvl="3" w:tplc="A370A468">
      <w:numFmt w:val="decimal"/>
      <w:lvlText w:val=""/>
      <w:lvlJc w:val="left"/>
    </w:lvl>
    <w:lvl w:ilvl="4" w:tplc="D04CAD60">
      <w:numFmt w:val="decimal"/>
      <w:lvlText w:val=""/>
      <w:lvlJc w:val="left"/>
    </w:lvl>
    <w:lvl w:ilvl="5" w:tplc="B944137C">
      <w:numFmt w:val="decimal"/>
      <w:lvlText w:val=""/>
      <w:lvlJc w:val="left"/>
    </w:lvl>
    <w:lvl w:ilvl="6" w:tplc="DF462F64">
      <w:numFmt w:val="decimal"/>
      <w:lvlText w:val=""/>
      <w:lvlJc w:val="left"/>
    </w:lvl>
    <w:lvl w:ilvl="7" w:tplc="78D60ABE">
      <w:numFmt w:val="decimal"/>
      <w:lvlText w:val=""/>
      <w:lvlJc w:val="left"/>
    </w:lvl>
    <w:lvl w:ilvl="8" w:tplc="6BDEA250">
      <w:numFmt w:val="decimal"/>
      <w:lvlText w:val=""/>
      <w:lvlJc w:val="left"/>
    </w:lvl>
  </w:abstractNum>
  <w:abstractNum w:abstractNumId="782" w15:restartNumberingAfterBreak="0">
    <w:nsid w:val="52F36B53"/>
    <w:multiLevelType w:val="hybridMultilevel"/>
    <w:tmpl w:val="46023B8A"/>
    <w:lvl w:ilvl="0" w:tplc="7868A3D0">
      <w:start w:val="1"/>
      <w:numFmt w:val="bullet"/>
      <w:lvlText w:val=""/>
      <w:lvlJc w:val="left"/>
      <w:pPr>
        <w:ind w:left="720" w:hanging="180"/>
      </w:pPr>
      <w:rPr>
        <w:rFonts w:ascii="Symbol" w:hAnsi="Symbol" w:hint="default"/>
      </w:rPr>
    </w:lvl>
    <w:lvl w:ilvl="1" w:tplc="F9A0FA86">
      <w:numFmt w:val="decimal"/>
      <w:lvlText w:val=""/>
      <w:lvlJc w:val="left"/>
    </w:lvl>
    <w:lvl w:ilvl="2" w:tplc="8F2C040E">
      <w:numFmt w:val="decimal"/>
      <w:lvlText w:val=""/>
      <w:lvlJc w:val="left"/>
    </w:lvl>
    <w:lvl w:ilvl="3" w:tplc="031C8E14">
      <w:numFmt w:val="decimal"/>
      <w:lvlText w:val=""/>
      <w:lvlJc w:val="left"/>
    </w:lvl>
    <w:lvl w:ilvl="4" w:tplc="1CC4167E">
      <w:numFmt w:val="decimal"/>
      <w:lvlText w:val=""/>
      <w:lvlJc w:val="left"/>
    </w:lvl>
    <w:lvl w:ilvl="5" w:tplc="421E0482">
      <w:numFmt w:val="decimal"/>
      <w:lvlText w:val=""/>
      <w:lvlJc w:val="left"/>
    </w:lvl>
    <w:lvl w:ilvl="6" w:tplc="5F14F558">
      <w:numFmt w:val="decimal"/>
      <w:lvlText w:val=""/>
      <w:lvlJc w:val="left"/>
    </w:lvl>
    <w:lvl w:ilvl="7" w:tplc="F1D2A9B4">
      <w:numFmt w:val="decimal"/>
      <w:lvlText w:val=""/>
      <w:lvlJc w:val="left"/>
    </w:lvl>
    <w:lvl w:ilvl="8" w:tplc="DDBCF154">
      <w:numFmt w:val="decimal"/>
      <w:lvlText w:val=""/>
      <w:lvlJc w:val="left"/>
    </w:lvl>
  </w:abstractNum>
  <w:abstractNum w:abstractNumId="783" w15:restartNumberingAfterBreak="0">
    <w:nsid w:val="52FA7503"/>
    <w:multiLevelType w:val="hybridMultilevel"/>
    <w:tmpl w:val="7F82247A"/>
    <w:lvl w:ilvl="0" w:tplc="E2D826D6">
      <w:start w:val="1"/>
      <w:numFmt w:val="bullet"/>
      <w:lvlText w:val=""/>
      <w:lvlJc w:val="left"/>
      <w:pPr>
        <w:ind w:left="720" w:hanging="180"/>
      </w:pPr>
      <w:rPr>
        <w:rFonts w:ascii="Symbol" w:hAnsi="Symbol" w:hint="default"/>
      </w:rPr>
    </w:lvl>
    <w:lvl w:ilvl="1" w:tplc="59DCB1E8">
      <w:numFmt w:val="decimal"/>
      <w:lvlText w:val=""/>
      <w:lvlJc w:val="left"/>
    </w:lvl>
    <w:lvl w:ilvl="2" w:tplc="97644634">
      <w:numFmt w:val="decimal"/>
      <w:lvlText w:val=""/>
      <w:lvlJc w:val="left"/>
    </w:lvl>
    <w:lvl w:ilvl="3" w:tplc="C890CBC6">
      <w:numFmt w:val="decimal"/>
      <w:lvlText w:val=""/>
      <w:lvlJc w:val="left"/>
    </w:lvl>
    <w:lvl w:ilvl="4" w:tplc="1932D0F4">
      <w:numFmt w:val="decimal"/>
      <w:lvlText w:val=""/>
      <w:lvlJc w:val="left"/>
    </w:lvl>
    <w:lvl w:ilvl="5" w:tplc="AF6A010C">
      <w:numFmt w:val="decimal"/>
      <w:lvlText w:val=""/>
      <w:lvlJc w:val="left"/>
    </w:lvl>
    <w:lvl w:ilvl="6" w:tplc="90DEFBF8">
      <w:numFmt w:val="decimal"/>
      <w:lvlText w:val=""/>
      <w:lvlJc w:val="left"/>
    </w:lvl>
    <w:lvl w:ilvl="7" w:tplc="E09A17D0">
      <w:numFmt w:val="decimal"/>
      <w:lvlText w:val=""/>
      <w:lvlJc w:val="left"/>
    </w:lvl>
    <w:lvl w:ilvl="8" w:tplc="EE527D0C">
      <w:numFmt w:val="decimal"/>
      <w:lvlText w:val=""/>
      <w:lvlJc w:val="left"/>
    </w:lvl>
  </w:abstractNum>
  <w:abstractNum w:abstractNumId="784" w15:restartNumberingAfterBreak="0">
    <w:nsid w:val="5319222A"/>
    <w:multiLevelType w:val="hybridMultilevel"/>
    <w:tmpl w:val="9E8CE75C"/>
    <w:lvl w:ilvl="0" w:tplc="72024A98">
      <w:start w:val="1"/>
      <w:numFmt w:val="bullet"/>
      <w:lvlText w:val=""/>
      <w:lvlJc w:val="left"/>
      <w:pPr>
        <w:ind w:left="720" w:hanging="180"/>
      </w:pPr>
      <w:rPr>
        <w:rFonts w:ascii="Symbol" w:hAnsi="Symbol" w:hint="default"/>
      </w:rPr>
    </w:lvl>
    <w:lvl w:ilvl="1" w:tplc="F5CC2624">
      <w:numFmt w:val="decimal"/>
      <w:lvlText w:val=""/>
      <w:lvlJc w:val="left"/>
    </w:lvl>
    <w:lvl w:ilvl="2" w:tplc="B2BA3250">
      <w:numFmt w:val="decimal"/>
      <w:lvlText w:val=""/>
      <w:lvlJc w:val="left"/>
    </w:lvl>
    <w:lvl w:ilvl="3" w:tplc="716A8792">
      <w:numFmt w:val="decimal"/>
      <w:lvlText w:val=""/>
      <w:lvlJc w:val="left"/>
    </w:lvl>
    <w:lvl w:ilvl="4" w:tplc="78C6A2F8">
      <w:numFmt w:val="decimal"/>
      <w:lvlText w:val=""/>
      <w:lvlJc w:val="left"/>
    </w:lvl>
    <w:lvl w:ilvl="5" w:tplc="A40CDAD2">
      <w:numFmt w:val="decimal"/>
      <w:lvlText w:val=""/>
      <w:lvlJc w:val="left"/>
    </w:lvl>
    <w:lvl w:ilvl="6" w:tplc="586816A8">
      <w:numFmt w:val="decimal"/>
      <w:lvlText w:val=""/>
      <w:lvlJc w:val="left"/>
    </w:lvl>
    <w:lvl w:ilvl="7" w:tplc="9B847D50">
      <w:numFmt w:val="decimal"/>
      <w:lvlText w:val=""/>
      <w:lvlJc w:val="left"/>
    </w:lvl>
    <w:lvl w:ilvl="8" w:tplc="EBE2DA7E">
      <w:numFmt w:val="decimal"/>
      <w:lvlText w:val=""/>
      <w:lvlJc w:val="left"/>
    </w:lvl>
  </w:abstractNum>
  <w:abstractNum w:abstractNumId="785" w15:restartNumberingAfterBreak="0">
    <w:nsid w:val="535B1BF6"/>
    <w:multiLevelType w:val="hybridMultilevel"/>
    <w:tmpl w:val="D7B027C6"/>
    <w:lvl w:ilvl="0" w:tplc="3FB43C68">
      <w:start w:val="1"/>
      <w:numFmt w:val="bullet"/>
      <w:lvlText w:val=""/>
      <w:lvlJc w:val="left"/>
      <w:pPr>
        <w:ind w:left="720" w:hanging="180"/>
      </w:pPr>
      <w:rPr>
        <w:rFonts w:ascii="Symbol" w:hAnsi="Symbol" w:hint="default"/>
      </w:rPr>
    </w:lvl>
    <w:lvl w:ilvl="1" w:tplc="ED5C9346">
      <w:numFmt w:val="decimal"/>
      <w:lvlText w:val=""/>
      <w:lvlJc w:val="left"/>
    </w:lvl>
    <w:lvl w:ilvl="2" w:tplc="530C800A">
      <w:numFmt w:val="decimal"/>
      <w:lvlText w:val=""/>
      <w:lvlJc w:val="left"/>
    </w:lvl>
    <w:lvl w:ilvl="3" w:tplc="9A9E2152">
      <w:numFmt w:val="decimal"/>
      <w:lvlText w:val=""/>
      <w:lvlJc w:val="left"/>
    </w:lvl>
    <w:lvl w:ilvl="4" w:tplc="9A0411F6">
      <w:numFmt w:val="decimal"/>
      <w:lvlText w:val=""/>
      <w:lvlJc w:val="left"/>
    </w:lvl>
    <w:lvl w:ilvl="5" w:tplc="56FC7410">
      <w:numFmt w:val="decimal"/>
      <w:lvlText w:val=""/>
      <w:lvlJc w:val="left"/>
    </w:lvl>
    <w:lvl w:ilvl="6" w:tplc="F47AA394">
      <w:numFmt w:val="decimal"/>
      <w:lvlText w:val=""/>
      <w:lvlJc w:val="left"/>
    </w:lvl>
    <w:lvl w:ilvl="7" w:tplc="D166D442">
      <w:numFmt w:val="decimal"/>
      <w:lvlText w:val=""/>
      <w:lvlJc w:val="left"/>
    </w:lvl>
    <w:lvl w:ilvl="8" w:tplc="A9FA6E38">
      <w:numFmt w:val="decimal"/>
      <w:lvlText w:val=""/>
      <w:lvlJc w:val="left"/>
    </w:lvl>
  </w:abstractNum>
  <w:abstractNum w:abstractNumId="786" w15:restartNumberingAfterBreak="0">
    <w:nsid w:val="53620C6E"/>
    <w:multiLevelType w:val="hybridMultilevel"/>
    <w:tmpl w:val="FB1602E2"/>
    <w:lvl w:ilvl="0" w:tplc="E0941A84">
      <w:start w:val="1"/>
      <w:numFmt w:val="bullet"/>
      <w:lvlText w:val=""/>
      <w:lvlJc w:val="left"/>
      <w:pPr>
        <w:ind w:left="720" w:hanging="180"/>
      </w:pPr>
      <w:rPr>
        <w:rFonts w:ascii="Symbol" w:hAnsi="Symbol" w:hint="default"/>
      </w:rPr>
    </w:lvl>
    <w:lvl w:ilvl="1" w:tplc="9FD2A6A8">
      <w:numFmt w:val="decimal"/>
      <w:lvlText w:val=""/>
      <w:lvlJc w:val="left"/>
    </w:lvl>
    <w:lvl w:ilvl="2" w:tplc="E53CC33A">
      <w:numFmt w:val="decimal"/>
      <w:lvlText w:val=""/>
      <w:lvlJc w:val="left"/>
    </w:lvl>
    <w:lvl w:ilvl="3" w:tplc="373C5CB2">
      <w:numFmt w:val="decimal"/>
      <w:lvlText w:val=""/>
      <w:lvlJc w:val="left"/>
    </w:lvl>
    <w:lvl w:ilvl="4" w:tplc="A00445E6">
      <w:numFmt w:val="decimal"/>
      <w:lvlText w:val=""/>
      <w:lvlJc w:val="left"/>
    </w:lvl>
    <w:lvl w:ilvl="5" w:tplc="EA50BFAA">
      <w:numFmt w:val="decimal"/>
      <w:lvlText w:val=""/>
      <w:lvlJc w:val="left"/>
    </w:lvl>
    <w:lvl w:ilvl="6" w:tplc="9050CDAC">
      <w:numFmt w:val="decimal"/>
      <w:lvlText w:val=""/>
      <w:lvlJc w:val="left"/>
    </w:lvl>
    <w:lvl w:ilvl="7" w:tplc="E148302A">
      <w:numFmt w:val="decimal"/>
      <w:lvlText w:val=""/>
      <w:lvlJc w:val="left"/>
    </w:lvl>
    <w:lvl w:ilvl="8" w:tplc="128AABC8">
      <w:numFmt w:val="decimal"/>
      <w:lvlText w:val=""/>
      <w:lvlJc w:val="left"/>
    </w:lvl>
  </w:abstractNum>
  <w:abstractNum w:abstractNumId="787" w15:restartNumberingAfterBreak="0">
    <w:nsid w:val="53633E7E"/>
    <w:multiLevelType w:val="hybridMultilevel"/>
    <w:tmpl w:val="75D84834"/>
    <w:lvl w:ilvl="0" w:tplc="857087FC">
      <w:start w:val="1"/>
      <w:numFmt w:val="bullet"/>
      <w:lvlText w:val=""/>
      <w:lvlJc w:val="left"/>
      <w:pPr>
        <w:ind w:left="720" w:hanging="180"/>
      </w:pPr>
      <w:rPr>
        <w:rFonts w:ascii="Symbol" w:hAnsi="Symbol" w:hint="default"/>
      </w:rPr>
    </w:lvl>
    <w:lvl w:ilvl="1" w:tplc="5C92B6F8">
      <w:numFmt w:val="decimal"/>
      <w:lvlText w:val=""/>
      <w:lvlJc w:val="left"/>
    </w:lvl>
    <w:lvl w:ilvl="2" w:tplc="E56CDC5A">
      <w:numFmt w:val="decimal"/>
      <w:lvlText w:val=""/>
      <w:lvlJc w:val="left"/>
    </w:lvl>
    <w:lvl w:ilvl="3" w:tplc="0EEE111A">
      <w:numFmt w:val="decimal"/>
      <w:lvlText w:val=""/>
      <w:lvlJc w:val="left"/>
    </w:lvl>
    <w:lvl w:ilvl="4" w:tplc="5FF826B2">
      <w:numFmt w:val="decimal"/>
      <w:lvlText w:val=""/>
      <w:lvlJc w:val="left"/>
    </w:lvl>
    <w:lvl w:ilvl="5" w:tplc="BEFC6E60">
      <w:numFmt w:val="decimal"/>
      <w:lvlText w:val=""/>
      <w:lvlJc w:val="left"/>
    </w:lvl>
    <w:lvl w:ilvl="6" w:tplc="E9EA61E8">
      <w:numFmt w:val="decimal"/>
      <w:lvlText w:val=""/>
      <w:lvlJc w:val="left"/>
    </w:lvl>
    <w:lvl w:ilvl="7" w:tplc="5DEECB34">
      <w:numFmt w:val="decimal"/>
      <w:lvlText w:val=""/>
      <w:lvlJc w:val="left"/>
    </w:lvl>
    <w:lvl w:ilvl="8" w:tplc="368643BC">
      <w:numFmt w:val="decimal"/>
      <w:lvlText w:val=""/>
      <w:lvlJc w:val="left"/>
    </w:lvl>
  </w:abstractNum>
  <w:abstractNum w:abstractNumId="788" w15:restartNumberingAfterBreak="0">
    <w:nsid w:val="53AB092E"/>
    <w:multiLevelType w:val="hybridMultilevel"/>
    <w:tmpl w:val="A32691C2"/>
    <w:lvl w:ilvl="0" w:tplc="26A4C9B2">
      <w:start w:val="1"/>
      <w:numFmt w:val="bullet"/>
      <w:lvlText w:val=""/>
      <w:lvlJc w:val="left"/>
      <w:pPr>
        <w:ind w:left="720" w:hanging="180"/>
      </w:pPr>
      <w:rPr>
        <w:rFonts w:ascii="Symbol" w:hAnsi="Symbol" w:hint="default"/>
      </w:rPr>
    </w:lvl>
    <w:lvl w:ilvl="1" w:tplc="29E6E370">
      <w:numFmt w:val="decimal"/>
      <w:lvlText w:val=""/>
      <w:lvlJc w:val="left"/>
    </w:lvl>
    <w:lvl w:ilvl="2" w:tplc="F2149460">
      <w:numFmt w:val="decimal"/>
      <w:lvlText w:val=""/>
      <w:lvlJc w:val="left"/>
    </w:lvl>
    <w:lvl w:ilvl="3" w:tplc="BC9E8DD6">
      <w:numFmt w:val="decimal"/>
      <w:lvlText w:val=""/>
      <w:lvlJc w:val="left"/>
    </w:lvl>
    <w:lvl w:ilvl="4" w:tplc="E8DE0FCC">
      <w:numFmt w:val="decimal"/>
      <w:lvlText w:val=""/>
      <w:lvlJc w:val="left"/>
    </w:lvl>
    <w:lvl w:ilvl="5" w:tplc="61B84798">
      <w:numFmt w:val="decimal"/>
      <w:lvlText w:val=""/>
      <w:lvlJc w:val="left"/>
    </w:lvl>
    <w:lvl w:ilvl="6" w:tplc="FE68839C">
      <w:numFmt w:val="decimal"/>
      <w:lvlText w:val=""/>
      <w:lvlJc w:val="left"/>
    </w:lvl>
    <w:lvl w:ilvl="7" w:tplc="66741190">
      <w:numFmt w:val="decimal"/>
      <w:lvlText w:val=""/>
      <w:lvlJc w:val="left"/>
    </w:lvl>
    <w:lvl w:ilvl="8" w:tplc="25A47066">
      <w:numFmt w:val="decimal"/>
      <w:lvlText w:val=""/>
      <w:lvlJc w:val="left"/>
    </w:lvl>
  </w:abstractNum>
  <w:abstractNum w:abstractNumId="789" w15:restartNumberingAfterBreak="0">
    <w:nsid w:val="53BB7C87"/>
    <w:multiLevelType w:val="hybridMultilevel"/>
    <w:tmpl w:val="1F927C36"/>
    <w:lvl w:ilvl="0" w:tplc="9392DDB6">
      <w:start w:val="1"/>
      <w:numFmt w:val="bullet"/>
      <w:lvlText w:val=""/>
      <w:lvlJc w:val="left"/>
      <w:pPr>
        <w:ind w:left="720" w:hanging="180"/>
      </w:pPr>
      <w:rPr>
        <w:rFonts w:ascii="Symbol" w:hAnsi="Symbol" w:hint="default"/>
      </w:rPr>
    </w:lvl>
    <w:lvl w:ilvl="1" w:tplc="190AE79E">
      <w:numFmt w:val="decimal"/>
      <w:lvlText w:val=""/>
      <w:lvlJc w:val="left"/>
    </w:lvl>
    <w:lvl w:ilvl="2" w:tplc="2586C752">
      <w:numFmt w:val="decimal"/>
      <w:lvlText w:val=""/>
      <w:lvlJc w:val="left"/>
    </w:lvl>
    <w:lvl w:ilvl="3" w:tplc="46F0C3BC">
      <w:numFmt w:val="decimal"/>
      <w:lvlText w:val=""/>
      <w:lvlJc w:val="left"/>
    </w:lvl>
    <w:lvl w:ilvl="4" w:tplc="8424EB84">
      <w:numFmt w:val="decimal"/>
      <w:lvlText w:val=""/>
      <w:lvlJc w:val="left"/>
    </w:lvl>
    <w:lvl w:ilvl="5" w:tplc="C1D0E2F8">
      <w:numFmt w:val="decimal"/>
      <w:lvlText w:val=""/>
      <w:lvlJc w:val="left"/>
    </w:lvl>
    <w:lvl w:ilvl="6" w:tplc="DF7C3060">
      <w:numFmt w:val="decimal"/>
      <w:lvlText w:val=""/>
      <w:lvlJc w:val="left"/>
    </w:lvl>
    <w:lvl w:ilvl="7" w:tplc="2F4CC4A4">
      <w:numFmt w:val="decimal"/>
      <w:lvlText w:val=""/>
      <w:lvlJc w:val="left"/>
    </w:lvl>
    <w:lvl w:ilvl="8" w:tplc="4F92FDB0">
      <w:numFmt w:val="decimal"/>
      <w:lvlText w:val=""/>
      <w:lvlJc w:val="left"/>
    </w:lvl>
  </w:abstractNum>
  <w:abstractNum w:abstractNumId="790" w15:restartNumberingAfterBreak="0">
    <w:nsid w:val="53E96297"/>
    <w:multiLevelType w:val="hybridMultilevel"/>
    <w:tmpl w:val="FDA09CCA"/>
    <w:lvl w:ilvl="0" w:tplc="801C3D4C">
      <w:numFmt w:val="decimal"/>
      <w:lvlText w:val=""/>
      <w:lvlJc w:val="left"/>
    </w:lvl>
    <w:lvl w:ilvl="1" w:tplc="FCF4D2E6">
      <w:start w:val="1"/>
      <w:numFmt w:val="bullet"/>
      <w:lvlText w:val=""/>
      <w:lvlJc w:val="left"/>
      <w:pPr>
        <w:ind w:left="1440" w:hanging="180"/>
      </w:pPr>
      <w:rPr>
        <w:rFonts w:ascii="Symbol" w:hAnsi="Symbol" w:hint="default"/>
      </w:rPr>
    </w:lvl>
    <w:lvl w:ilvl="2" w:tplc="3F5E7424">
      <w:numFmt w:val="decimal"/>
      <w:lvlText w:val=""/>
      <w:lvlJc w:val="left"/>
    </w:lvl>
    <w:lvl w:ilvl="3" w:tplc="179045DC">
      <w:numFmt w:val="decimal"/>
      <w:lvlText w:val=""/>
      <w:lvlJc w:val="left"/>
    </w:lvl>
    <w:lvl w:ilvl="4" w:tplc="61627B68">
      <w:numFmt w:val="decimal"/>
      <w:lvlText w:val=""/>
      <w:lvlJc w:val="left"/>
    </w:lvl>
    <w:lvl w:ilvl="5" w:tplc="D62AC458">
      <w:numFmt w:val="decimal"/>
      <w:lvlText w:val=""/>
      <w:lvlJc w:val="left"/>
    </w:lvl>
    <w:lvl w:ilvl="6" w:tplc="01068EBA">
      <w:numFmt w:val="decimal"/>
      <w:lvlText w:val=""/>
      <w:lvlJc w:val="left"/>
    </w:lvl>
    <w:lvl w:ilvl="7" w:tplc="F5A0B4F2">
      <w:numFmt w:val="decimal"/>
      <w:lvlText w:val=""/>
      <w:lvlJc w:val="left"/>
    </w:lvl>
    <w:lvl w:ilvl="8" w:tplc="37FE6C2E">
      <w:numFmt w:val="decimal"/>
      <w:lvlText w:val=""/>
      <w:lvlJc w:val="left"/>
    </w:lvl>
  </w:abstractNum>
  <w:abstractNum w:abstractNumId="791" w15:restartNumberingAfterBreak="0">
    <w:nsid w:val="541C0F1D"/>
    <w:multiLevelType w:val="hybridMultilevel"/>
    <w:tmpl w:val="DF4852B4"/>
    <w:lvl w:ilvl="0" w:tplc="4D62F7FC">
      <w:start w:val="1"/>
      <w:numFmt w:val="bullet"/>
      <w:lvlText w:val=""/>
      <w:lvlJc w:val="left"/>
      <w:pPr>
        <w:ind w:left="720" w:hanging="180"/>
      </w:pPr>
      <w:rPr>
        <w:rFonts w:ascii="Symbol" w:hAnsi="Symbol" w:hint="default"/>
      </w:rPr>
    </w:lvl>
    <w:lvl w:ilvl="1" w:tplc="05B0A7C8">
      <w:numFmt w:val="decimal"/>
      <w:lvlText w:val=""/>
      <w:lvlJc w:val="left"/>
    </w:lvl>
    <w:lvl w:ilvl="2" w:tplc="1F5C7A0E">
      <w:numFmt w:val="decimal"/>
      <w:lvlText w:val=""/>
      <w:lvlJc w:val="left"/>
    </w:lvl>
    <w:lvl w:ilvl="3" w:tplc="FC2E1EF6">
      <w:numFmt w:val="decimal"/>
      <w:lvlText w:val=""/>
      <w:lvlJc w:val="left"/>
    </w:lvl>
    <w:lvl w:ilvl="4" w:tplc="3270458C">
      <w:numFmt w:val="decimal"/>
      <w:lvlText w:val=""/>
      <w:lvlJc w:val="left"/>
    </w:lvl>
    <w:lvl w:ilvl="5" w:tplc="8F4A9518">
      <w:numFmt w:val="decimal"/>
      <w:lvlText w:val=""/>
      <w:lvlJc w:val="left"/>
    </w:lvl>
    <w:lvl w:ilvl="6" w:tplc="667658B0">
      <w:numFmt w:val="decimal"/>
      <w:lvlText w:val=""/>
      <w:lvlJc w:val="left"/>
    </w:lvl>
    <w:lvl w:ilvl="7" w:tplc="CFFCB65E">
      <w:numFmt w:val="decimal"/>
      <w:lvlText w:val=""/>
      <w:lvlJc w:val="left"/>
    </w:lvl>
    <w:lvl w:ilvl="8" w:tplc="E7EC0A1A">
      <w:numFmt w:val="decimal"/>
      <w:lvlText w:val=""/>
      <w:lvlJc w:val="left"/>
    </w:lvl>
  </w:abstractNum>
  <w:abstractNum w:abstractNumId="792" w15:restartNumberingAfterBreak="0">
    <w:nsid w:val="54284D41"/>
    <w:multiLevelType w:val="hybridMultilevel"/>
    <w:tmpl w:val="1D1C13E8"/>
    <w:lvl w:ilvl="0" w:tplc="1C5C445E">
      <w:start w:val="1"/>
      <w:numFmt w:val="bullet"/>
      <w:lvlText w:val=""/>
      <w:lvlJc w:val="left"/>
      <w:pPr>
        <w:ind w:left="720" w:hanging="180"/>
      </w:pPr>
      <w:rPr>
        <w:rFonts w:ascii="Symbol" w:hAnsi="Symbol" w:hint="default"/>
      </w:rPr>
    </w:lvl>
    <w:lvl w:ilvl="1" w:tplc="4E2409C6">
      <w:numFmt w:val="decimal"/>
      <w:lvlText w:val=""/>
      <w:lvlJc w:val="left"/>
    </w:lvl>
    <w:lvl w:ilvl="2" w:tplc="317CD700">
      <w:numFmt w:val="decimal"/>
      <w:lvlText w:val=""/>
      <w:lvlJc w:val="left"/>
    </w:lvl>
    <w:lvl w:ilvl="3" w:tplc="DC80C158">
      <w:numFmt w:val="decimal"/>
      <w:lvlText w:val=""/>
      <w:lvlJc w:val="left"/>
    </w:lvl>
    <w:lvl w:ilvl="4" w:tplc="C7885466">
      <w:numFmt w:val="decimal"/>
      <w:lvlText w:val=""/>
      <w:lvlJc w:val="left"/>
    </w:lvl>
    <w:lvl w:ilvl="5" w:tplc="487E827C">
      <w:numFmt w:val="decimal"/>
      <w:lvlText w:val=""/>
      <w:lvlJc w:val="left"/>
    </w:lvl>
    <w:lvl w:ilvl="6" w:tplc="7102B44C">
      <w:numFmt w:val="decimal"/>
      <w:lvlText w:val=""/>
      <w:lvlJc w:val="left"/>
    </w:lvl>
    <w:lvl w:ilvl="7" w:tplc="46ACAFA8">
      <w:numFmt w:val="decimal"/>
      <w:lvlText w:val=""/>
      <w:lvlJc w:val="left"/>
    </w:lvl>
    <w:lvl w:ilvl="8" w:tplc="41FCE3E4">
      <w:numFmt w:val="decimal"/>
      <w:lvlText w:val=""/>
      <w:lvlJc w:val="left"/>
    </w:lvl>
  </w:abstractNum>
  <w:abstractNum w:abstractNumId="793" w15:restartNumberingAfterBreak="0">
    <w:nsid w:val="54311AED"/>
    <w:multiLevelType w:val="hybridMultilevel"/>
    <w:tmpl w:val="4C5CF97C"/>
    <w:lvl w:ilvl="0" w:tplc="8C1EEF98">
      <w:start w:val="1"/>
      <w:numFmt w:val="bullet"/>
      <w:lvlText w:val=""/>
      <w:lvlJc w:val="left"/>
      <w:pPr>
        <w:ind w:left="720" w:hanging="180"/>
      </w:pPr>
      <w:rPr>
        <w:rFonts w:ascii="Symbol" w:hAnsi="Symbol" w:hint="default"/>
      </w:rPr>
    </w:lvl>
    <w:lvl w:ilvl="1" w:tplc="6298BB74">
      <w:numFmt w:val="decimal"/>
      <w:lvlText w:val=""/>
      <w:lvlJc w:val="left"/>
    </w:lvl>
    <w:lvl w:ilvl="2" w:tplc="DCCCFDD8">
      <w:numFmt w:val="decimal"/>
      <w:lvlText w:val=""/>
      <w:lvlJc w:val="left"/>
    </w:lvl>
    <w:lvl w:ilvl="3" w:tplc="DA2208A0">
      <w:numFmt w:val="decimal"/>
      <w:lvlText w:val=""/>
      <w:lvlJc w:val="left"/>
    </w:lvl>
    <w:lvl w:ilvl="4" w:tplc="28221C08">
      <w:numFmt w:val="decimal"/>
      <w:lvlText w:val=""/>
      <w:lvlJc w:val="left"/>
    </w:lvl>
    <w:lvl w:ilvl="5" w:tplc="A22299DA">
      <w:numFmt w:val="decimal"/>
      <w:lvlText w:val=""/>
      <w:lvlJc w:val="left"/>
    </w:lvl>
    <w:lvl w:ilvl="6" w:tplc="E0E8A872">
      <w:numFmt w:val="decimal"/>
      <w:lvlText w:val=""/>
      <w:lvlJc w:val="left"/>
    </w:lvl>
    <w:lvl w:ilvl="7" w:tplc="8746F290">
      <w:numFmt w:val="decimal"/>
      <w:lvlText w:val=""/>
      <w:lvlJc w:val="left"/>
    </w:lvl>
    <w:lvl w:ilvl="8" w:tplc="124416FE">
      <w:numFmt w:val="decimal"/>
      <w:lvlText w:val=""/>
      <w:lvlJc w:val="left"/>
    </w:lvl>
  </w:abstractNum>
  <w:abstractNum w:abstractNumId="794" w15:restartNumberingAfterBreak="0">
    <w:nsid w:val="544511D0"/>
    <w:multiLevelType w:val="hybridMultilevel"/>
    <w:tmpl w:val="09625D8A"/>
    <w:lvl w:ilvl="0" w:tplc="E0745AC0">
      <w:start w:val="1"/>
      <w:numFmt w:val="bullet"/>
      <w:lvlText w:val=""/>
      <w:lvlJc w:val="left"/>
      <w:pPr>
        <w:ind w:left="720" w:hanging="180"/>
      </w:pPr>
      <w:rPr>
        <w:rFonts w:ascii="Symbol" w:hAnsi="Symbol" w:hint="default"/>
      </w:rPr>
    </w:lvl>
    <w:lvl w:ilvl="1" w:tplc="E9089A8E">
      <w:numFmt w:val="decimal"/>
      <w:lvlText w:val=""/>
      <w:lvlJc w:val="left"/>
    </w:lvl>
    <w:lvl w:ilvl="2" w:tplc="E5906930">
      <w:numFmt w:val="decimal"/>
      <w:lvlText w:val=""/>
      <w:lvlJc w:val="left"/>
    </w:lvl>
    <w:lvl w:ilvl="3" w:tplc="F2449CBC">
      <w:numFmt w:val="decimal"/>
      <w:lvlText w:val=""/>
      <w:lvlJc w:val="left"/>
    </w:lvl>
    <w:lvl w:ilvl="4" w:tplc="6BF873BE">
      <w:numFmt w:val="decimal"/>
      <w:lvlText w:val=""/>
      <w:lvlJc w:val="left"/>
    </w:lvl>
    <w:lvl w:ilvl="5" w:tplc="D10414AE">
      <w:numFmt w:val="decimal"/>
      <w:lvlText w:val=""/>
      <w:lvlJc w:val="left"/>
    </w:lvl>
    <w:lvl w:ilvl="6" w:tplc="98E2BF4C">
      <w:numFmt w:val="decimal"/>
      <w:lvlText w:val=""/>
      <w:lvlJc w:val="left"/>
    </w:lvl>
    <w:lvl w:ilvl="7" w:tplc="6254BA26">
      <w:numFmt w:val="decimal"/>
      <w:lvlText w:val=""/>
      <w:lvlJc w:val="left"/>
    </w:lvl>
    <w:lvl w:ilvl="8" w:tplc="C3C044C0">
      <w:numFmt w:val="decimal"/>
      <w:lvlText w:val=""/>
      <w:lvlJc w:val="left"/>
    </w:lvl>
  </w:abstractNum>
  <w:abstractNum w:abstractNumId="795" w15:restartNumberingAfterBreak="0">
    <w:nsid w:val="5457433D"/>
    <w:multiLevelType w:val="hybridMultilevel"/>
    <w:tmpl w:val="581A4BB6"/>
    <w:lvl w:ilvl="0" w:tplc="DC8EB13A">
      <w:start w:val="1"/>
      <w:numFmt w:val="bullet"/>
      <w:lvlText w:val=""/>
      <w:lvlJc w:val="left"/>
      <w:pPr>
        <w:ind w:left="720" w:hanging="180"/>
      </w:pPr>
      <w:rPr>
        <w:rFonts w:ascii="Symbol" w:hAnsi="Symbol" w:hint="default"/>
      </w:rPr>
    </w:lvl>
    <w:lvl w:ilvl="1" w:tplc="85382CB6">
      <w:numFmt w:val="decimal"/>
      <w:lvlText w:val=""/>
      <w:lvlJc w:val="left"/>
    </w:lvl>
    <w:lvl w:ilvl="2" w:tplc="D1E86E0A">
      <w:numFmt w:val="decimal"/>
      <w:lvlText w:val=""/>
      <w:lvlJc w:val="left"/>
    </w:lvl>
    <w:lvl w:ilvl="3" w:tplc="17B4C826">
      <w:numFmt w:val="decimal"/>
      <w:lvlText w:val=""/>
      <w:lvlJc w:val="left"/>
    </w:lvl>
    <w:lvl w:ilvl="4" w:tplc="DA5C7ED8">
      <w:numFmt w:val="decimal"/>
      <w:lvlText w:val=""/>
      <w:lvlJc w:val="left"/>
    </w:lvl>
    <w:lvl w:ilvl="5" w:tplc="9EB2AAEE">
      <w:numFmt w:val="decimal"/>
      <w:lvlText w:val=""/>
      <w:lvlJc w:val="left"/>
    </w:lvl>
    <w:lvl w:ilvl="6" w:tplc="00923CE0">
      <w:numFmt w:val="decimal"/>
      <w:lvlText w:val=""/>
      <w:lvlJc w:val="left"/>
    </w:lvl>
    <w:lvl w:ilvl="7" w:tplc="E8CEAA7C">
      <w:numFmt w:val="decimal"/>
      <w:lvlText w:val=""/>
      <w:lvlJc w:val="left"/>
    </w:lvl>
    <w:lvl w:ilvl="8" w:tplc="082E1552">
      <w:numFmt w:val="decimal"/>
      <w:lvlText w:val=""/>
      <w:lvlJc w:val="left"/>
    </w:lvl>
  </w:abstractNum>
  <w:abstractNum w:abstractNumId="796" w15:restartNumberingAfterBreak="0">
    <w:nsid w:val="54830029"/>
    <w:multiLevelType w:val="hybridMultilevel"/>
    <w:tmpl w:val="8F589AB0"/>
    <w:lvl w:ilvl="0" w:tplc="C108F940">
      <w:start w:val="1"/>
      <w:numFmt w:val="bullet"/>
      <w:lvlText w:val=""/>
      <w:lvlJc w:val="left"/>
      <w:pPr>
        <w:ind w:left="720" w:hanging="180"/>
      </w:pPr>
      <w:rPr>
        <w:rFonts w:ascii="Symbol" w:hAnsi="Symbol" w:hint="default"/>
      </w:rPr>
    </w:lvl>
    <w:lvl w:ilvl="1" w:tplc="A2FAC2EE">
      <w:numFmt w:val="decimal"/>
      <w:lvlText w:val=""/>
      <w:lvlJc w:val="left"/>
    </w:lvl>
    <w:lvl w:ilvl="2" w:tplc="BCA2187A">
      <w:numFmt w:val="decimal"/>
      <w:lvlText w:val=""/>
      <w:lvlJc w:val="left"/>
    </w:lvl>
    <w:lvl w:ilvl="3" w:tplc="856A9DBC">
      <w:numFmt w:val="decimal"/>
      <w:lvlText w:val=""/>
      <w:lvlJc w:val="left"/>
    </w:lvl>
    <w:lvl w:ilvl="4" w:tplc="CD5497A0">
      <w:numFmt w:val="decimal"/>
      <w:lvlText w:val=""/>
      <w:lvlJc w:val="left"/>
    </w:lvl>
    <w:lvl w:ilvl="5" w:tplc="817E628A">
      <w:numFmt w:val="decimal"/>
      <w:lvlText w:val=""/>
      <w:lvlJc w:val="left"/>
    </w:lvl>
    <w:lvl w:ilvl="6" w:tplc="C39001D8">
      <w:numFmt w:val="decimal"/>
      <w:lvlText w:val=""/>
      <w:lvlJc w:val="left"/>
    </w:lvl>
    <w:lvl w:ilvl="7" w:tplc="1E8AE83A">
      <w:numFmt w:val="decimal"/>
      <w:lvlText w:val=""/>
      <w:lvlJc w:val="left"/>
    </w:lvl>
    <w:lvl w:ilvl="8" w:tplc="A104BFAE">
      <w:numFmt w:val="decimal"/>
      <w:lvlText w:val=""/>
      <w:lvlJc w:val="left"/>
    </w:lvl>
  </w:abstractNum>
  <w:abstractNum w:abstractNumId="797" w15:restartNumberingAfterBreak="0">
    <w:nsid w:val="549F0FA2"/>
    <w:multiLevelType w:val="hybridMultilevel"/>
    <w:tmpl w:val="F244DDE6"/>
    <w:lvl w:ilvl="0" w:tplc="79A080A0">
      <w:start w:val="1"/>
      <w:numFmt w:val="bullet"/>
      <w:lvlText w:val=""/>
      <w:lvlJc w:val="left"/>
      <w:pPr>
        <w:ind w:left="720" w:hanging="180"/>
      </w:pPr>
      <w:rPr>
        <w:rFonts w:ascii="Symbol" w:hAnsi="Symbol" w:hint="default"/>
      </w:rPr>
    </w:lvl>
    <w:lvl w:ilvl="1" w:tplc="211EE42C">
      <w:numFmt w:val="decimal"/>
      <w:lvlText w:val=""/>
      <w:lvlJc w:val="left"/>
    </w:lvl>
    <w:lvl w:ilvl="2" w:tplc="1362F0EC">
      <w:numFmt w:val="decimal"/>
      <w:lvlText w:val=""/>
      <w:lvlJc w:val="left"/>
    </w:lvl>
    <w:lvl w:ilvl="3" w:tplc="4D14463E">
      <w:numFmt w:val="decimal"/>
      <w:lvlText w:val=""/>
      <w:lvlJc w:val="left"/>
    </w:lvl>
    <w:lvl w:ilvl="4" w:tplc="1FD819D8">
      <w:numFmt w:val="decimal"/>
      <w:lvlText w:val=""/>
      <w:lvlJc w:val="left"/>
    </w:lvl>
    <w:lvl w:ilvl="5" w:tplc="F47A73B2">
      <w:numFmt w:val="decimal"/>
      <w:lvlText w:val=""/>
      <w:lvlJc w:val="left"/>
    </w:lvl>
    <w:lvl w:ilvl="6" w:tplc="0EC27682">
      <w:numFmt w:val="decimal"/>
      <w:lvlText w:val=""/>
      <w:lvlJc w:val="left"/>
    </w:lvl>
    <w:lvl w:ilvl="7" w:tplc="E63E8638">
      <w:numFmt w:val="decimal"/>
      <w:lvlText w:val=""/>
      <w:lvlJc w:val="left"/>
    </w:lvl>
    <w:lvl w:ilvl="8" w:tplc="9336EFC2">
      <w:numFmt w:val="decimal"/>
      <w:lvlText w:val=""/>
      <w:lvlJc w:val="left"/>
    </w:lvl>
  </w:abstractNum>
  <w:abstractNum w:abstractNumId="798" w15:restartNumberingAfterBreak="0">
    <w:nsid w:val="54CD711A"/>
    <w:multiLevelType w:val="hybridMultilevel"/>
    <w:tmpl w:val="654447BA"/>
    <w:lvl w:ilvl="0" w:tplc="1076CAA4">
      <w:start w:val="1"/>
      <w:numFmt w:val="bullet"/>
      <w:lvlText w:val=""/>
      <w:lvlJc w:val="left"/>
      <w:pPr>
        <w:ind w:left="720" w:hanging="180"/>
      </w:pPr>
      <w:rPr>
        <w:rFonts w:ascii="Symbol" w:hAnsi="Symbol" w:hint="default"/>
      </w:rPr>
    </w:lvl>
    <w:lvl w:ilvl="1" w:tplc="6BE2407E">
      <w:numFmt w:val="decimal"/>
      <w:lvlText w:val=""/>
      <w:lvlJc w:val="left"/>
    </w:lvl>
    <w:lvl w:ilvl="2" w:tplc="A6186FCA">
      <w:numFmt w:val="decimal"/>
      <w:lvlText w:val=""/>
      <w:lvlJc w:val="left"/>
    </w:lvl>
    <w:lvl w:ilvl="3" w:tplc="2B06F1CE">
      <w:numFmt w:val="decimal"/>
      <w:lvlText w:val=""/>
      <w:lvlJc w:val="left"/>
    </w:lvl>
    <w:lvl w:ilvl="4" w:tplc="2F9CDFD0">
      <w:numFmt w:val="decimal"/>
      <w:lvlText w:val=""/>
      <w:lvlJc w:val="left"/>
    </w:lvl>
    <w:lvl w:ilvl="5" w:tplc="F0905AC6">
      <w:numFmt w:val="decimal"/>
      <w:lvlText w:val=""/>
      <w:lvlJc w:val="left"/>
    </w:lvl>
    <w:lvl w:ilvl="6" w:tplc="EDFC6BE4">
      <w:numFmt w:val="decimal"/>
      <w:lvlText w:val=""/>
      <w:lvlJc w:val="left"/>
    </w:lvl>
    <w:lvl w:ilvl="7" w:tplc="8C46DA70">
      <w:numFmt w:val="decimal"/>
      <w:lvlText w:val=""/>
      <w:lvlJc w:val="left"/>
    </w:lvl>
    <w:lvl w:ilvl="8" w:tplc="A3FA2190">
      <w:numFmt w:val="decimal"/>
      <w:lvlText w:val=""/>
      <w:lvlJc w:val="left"/>
    </w:lvl>
  </w:abstractNum>
  <w:abstractNum w:abstractNumId="799" w15:restartNumberingAfterBreak="0">
    <w:nsid w:val="54D000EA"/>
    <w:multiLevelType w:val="hybridMultilevel"/>
    <w:tmpl w:val="941EDED0"/>
    <w:lvl w:ilvl="0" w:tplc="4EE4F12E">
      <w:start w:val="1"/>
      <w:numFmt w:val="bullet"/>
      <w:lvlText w:val=""/>
      <w:lvlJc w:val="left"/>
      <w:pPr>
        <w:ind w:left="720" w:hanging="180"/>
      </w:pPr>
      <w:rPr>
        <w:rFonts w:ascii="Symbol" w:hAnsi="Symbol" w:hint="default"/>
      </w:rPr>
    </w:lvl>
    <w:lvl w:ilvl="1" w:tplc="09DEDD5A">
      <w:numFmt w:val="decimal"/>
      <w:lvlText w:val=""/>
      <w:lvlJc w:val="left"/>
    </w:lvl>
    <w:lvl w:ilvl="2" w:tplc="76F281EC">
      <w:numFmt w:val="decimal"/>
      <w:lvlText w:val=""/>
      <w:lvlJc w:val="left"/>
    </w:lvl>
    <w:lvl w:ilvl="3" w:tplc="B84CAC80">
      <w:numFmt w:val="decimal"/>
      <w:lvlText w:val=""/>
      <w:lvlJc w:val="left"/>
    </w:lvl>
    <w:lvl w:ilvl="4" w:tplc="3F6EEA96">
      <w:numFmt w:val="decimal"/>
      <w:lvlText w:val=""/>
      <w:lvlJc w:val="left"/>
    </w:lvl>
    <w:lvl w:ilvl="5" w:tplc="FA26091C">
      <w:numFmt w:val="decimal"/>
      <w:lvlText w:val=""/>
      <w:lvlJc w:val="left"/>
    </w:lvl>
    <w:lvl w:ilvl="6" w:tplc="D8A84DF2">
      <w:numFmt w:val="decimal"/>
      <w:lvlText w:val=""/>
      <w:lvlJc w:val="left"/>
    </w:lvl>
    <w:lvl w:ilvl="7" w:tplc="C5B68BDE">
      <w:numFmt w:val="decimal"/>
      <w:lvlText w:val=""/>
      <w:lvlJc w:val="left"/>
    </w:lvl>
    <w:lvl w:ilvl="8" w:tplc="4E64E64C">
      <w:numFmt w:val="decimal"/>
      <w:lvlText w:val=""/>
      <w:lvlJc w:val="left"/>
    </w:lvl>
  </w:abstractNum>
  <w:abstractNum w:abstractNumId="800" w15:restartNumberingAfterBreak="0">
    <w:nsid w:val="54D36B9B"/>
    <w:multiLevelType w:val="hybridMultilevel"/>
    <w:tmpl w:val="C4EAF738"/>
    <w:lvl w:ilvl="0" w:tplc="B36E1FA2">
      <w:start w:val="1"/>
      <w:numFmt w:val="bullet"/>
      <w:lvlText w:val=""/>
      <w:lvlJc w:val="left"/>
      <w:pPr>
        <w:ind w:left="720" w:hanging="180"/>
      </w:pPr>
      <w:rPr>
        <w:rFonts w:ascii="Symbol" w:hAnsi="Symbol" w:hint="default"/>
      </w:rPr>
    </w:lvl>
    <w:lvl w:ilvl="1" w:tplc="CFDCBA32">
      <w:numFmt w:val="decimal"/>
      <w:lvlText w:val=""/>
      <w:lvlJc w:val="left"/>
    </w:lvl>
    <w:lvl w:ilvl="2" w:tplc="C16AAEF8">
      <w:numFmt w:val="decimal"/>
      <w:lvlText w:val=""/>
      <w:lvlJc w:val="left"/>
    </w:lvl>
    <w:lvl w:ilvl="3" w:tplc="DABE5118">
      <w:numFmt w:val="decimal"/>
      <w:lvlText w:val=""/>
      <w:lvlJc w:val="left"/>
    </w:lvl>
    <w:lvl w:ilvl="4" w:tplc="7BF60BC2">
      <w:numFmt w:val="decimal"/>
      <w:lvlText w:val=""/>
      <w:lvlJc w:val="left"/>
    </w:lvl>
    <w:lvl w:ilvl="5" w:tplc="84620482">
      <w:numFmt w:val="decimal"/>
      <w:lvlText w:val=""/>
      <w:lvlJc w:val="left"/>
    </w:lvl>
    <w:lvl w:ilvl="6" w:tplc="36D88824">
      <w:numFmt w:val="decimal"/>
      <w:lvlText w:val=""/>
      <w:lvlJc w:val="left"/>
    </w:lvl>
    <w:lvl w:ilvl="7" w:tplc="3D34728A">
      <w:numFmt w:val="decimal"/>
      <w:lvlText w:val=""/>
      <w:lvlJc w:val="left"/>
    </w:lvl>
    <w:lvl w:ilvl="8" w:tplc="A594B902">
      <w:numFmt w:val="decimal"/>
      <w:lvlText w:val=""/>
      <w:lvlJc w:val="left"/>
    </w:lvl>
  </w:abstractNum>
  <w:abstractNum w:abstractNumId="801" w15:restartNumberingAfterBreak="0">
    <w:nsid w:val="54E33F4B"/>
    <w:multiLevelType w:val="hybridMultilevel"/>
    <w:tmpl w:val="E4E82AB8"/>
    <w:lvl w:ilvl="0" w:tplc="1CBA9228">
      <w:start w:val="1"/>
      <w:numFmt w:val="bullet"/>
      <w:lvlText w:val=""/>
      <w:lvlJc w:val="left"/>
      <w:pPr>
        <w:ind w:left="720" w:hanging="180"/>
      </w:pPr>
      <w:rPr>
        <w:rFonts w:ascii="Symbol" w:hAnsi="Symbol" w:hint="default"/>
      </w:rPr>
    </w:lvl>
    <w:lvl w:ilvl="1" w:tplc="8682A5B0">
      <w:numFmt w:val="decimal"/>
      <w:lvlText w:val=""/>
      <w:lvlJc w:val="left"/>
    </w:lvl>
    <w:lvl w:ilvl="2" w:tplc="DD325C12">
      <w:numFmt w:val="decimal"/>
      <w:lvlText w:val=""/>
      <w:lvlJc w:val="left"/>
    </w:lvl>
    <w:lvl w:ilvl="3" w:tplc="B0FC4650">
      <w:numFmt w:val="decimal"/>
      <w:lvlText w:val=""/>
      <w:lvlJc w:val="left"/>
    </w:lvl>
    <w:lvl w:ilvl="4" w:tplc="DBBEA8BA">
      <w:numFmt w:val="decimal"/>
      <w:lvlText w:val=""/>
      <w:lvlJc w:val="left"/>
    </w:lvl>
    <w:lvl w:ilvl="5" w:tplc="66B221CA">
      <w:numFmt w:val="decimal"/>
      <w:lvlText w:val=""/>
      <w:lvlJc w:val="left"/>
    </w:lvl>
    <w:lvl w:ilvl="6" w:tplc="A8F2F728">
      <w:numFmt w:val="decimal"/>
      <w:lvlText w:val=""/>
      <w:lvlJc w:val="left"/>
    </w:lvl>
    <w:lvl w:ilvl="7" w:tplc="5966238A">
      <w:numFmt w:val="decimal"/>
      <w:lvlText w:val=""/>
      <w:lvlJc w:val="left"/>
    </w:lvl>
    <w:lvl w:ilvl="8" w:tplc="D8D0443C">
      <w:numFmt w:val="decimal"/>
      <w:lvlText w:val=""/>
      <w:lvlJc w:val="left"/>
    </w:lvl>
  </w:abstractNum>
  <w:abstractNum w:abstractNumId="802" w15:restartNumberingAfterBreak="0">
    <w:nsid w:val="54F5781F"/>
    <w:multiLevelType w:val="hybridMultilevel"/>
    <w:tmpl w:val="3B1C2B14"/>
    <w:lvl w:ilvl="0" w:tplc="EFFE9ED2">
      <w:start w:val="1"/>
      <w:numFmt w:val="bullet"/>
      <w:lvlText w:val=""/>
      <w:lvlJc w:val="left"/>
      <w:pPr>
        <w:ind w:left="720" w:hanging="180"/>
      </w:pPr>
      <w:rPr>
        <w:rFonts w:ascii="Symbol" w:hAnsi="Symbol" w:hint="default"/>
      </w:rPr>
    </w:lvl>
    <w:lvl w:ilvl="1" w:tplc="9064E9D0">
      <w:numFmt w:val="decimal"/>
      <w:lvlText w:val=""/>
      <w:lvlJc w:val="left"/>
    </w:lvl>
    <w:lvl w:ilvl="2" w:tplc="56685E1C">
      <w:numFmt w:val="decimal"/>
      <w:lvlText w:val=""/>
      <w:lvlJc w:val="left"/>
    </w:lvl>
    <w:lvl w:ilvl="3" w:tplc="D9C60098">
      <w:numFmt w:val="decimal"/>
      <w:lvlText w:val=""/>
      <w:lvlJc w:val="left"/>
    </w:lvl>
    <w:lvl w:ilvl="4" w:tplc="289C3ECC">
      <w:numFmt w:val="decimal"/>
      <w:lvlText w:val=""/>
      <w:lvlJc w:val="left"/>
    </w:lvl>
    <w:lvl w:ilvl="5" w:tplc="6D141AAE">
      <w:numFmt w:val="decimal"/>
      <w:lvlText w:val=""/>
      <w:lvlJc w:val="left"/>
    </w:lvl>
    <w:lvl w:ilvl="6" w:tplc="F66057C8">
      <w:numFmt w:val="decimal"/>
      <w:lvlText w:val=""/>
      <w:lvlJc w:val="left"/>
    </w:lvl>
    <w:lvl w:ilvl="7" w:tplc="19342A8E">
      <w:numFmt w:val="decimal"/>
      <w:lvlText w:val=""/>
      <w:lvlJc w:val="left"/>
    </w:lvl>
    <w:lvl w:ilvl="8" w:tplc="D328605C">
      <w:numFmt w:val="decimal"/>
      <w:lvlText w:val=""/>
      <w:lvlJc w:val="left"/>
    </w:lvl>
  </w:abstractNum>
  <w:abstractNum w:abstractNumId="803" w15:restartNumberingAfterBreak="0">
    <w:nsid w:val="550154E6"/>
    <w:multiLevelType w:val="hybridMultilevel"/>
    <w:tmpl w:val="7938B6EA"/>
    <w:lvl w:ilvl="0" w:tplc="B316E964">
      <w:start w:val="1"/>
      <w:numFmt w:val="bullet"/>
      <w:lvlText w:val=""/>
      <w:lvlJc w:val="left"/>
      <w:pPr>
        <w:ind w:left="720" w:hanging="180"/>
      </w:pPr>
      <w:rPr>
        <w:rFonts w:ascii="Symbol" w:hAnsi="Symbol" w:hint="default"/>
      </w:rPr>
    </w:lvl>
    <w:lvl w:ilvl="1" w:tplc="4D5C55DC">
      <w:numFmt w:val="decimal"/>
      <w:lvlText w:val=""/>
      <w:lvlJc w:val="left"/>
    </w:lvl>
    <w:lvl w:ilvl="2" w:tplc="3E244E32">
      <w:numFmt w:val="decimal"/>
      <w:lvlText w:val=""/>
      <w:lvlJc w:val="left"/>
    </w:lvl>
    <w:lvl w:ilvl="3" w:tplc="69F660C0">
      <w:numFmt w:val="decimal"/>
      <w:lvlText w:val=""/>
      <w:lvlJc w:val="left"/>
    </w:lvl>
    <w:lvl w:ilvl="4" w:tplc="1E3677DA">
      <w:numFmt w:val="decimal"/>
      <w:lvlText w:val=""/>
      <w:lvlJc w:val="left"/>
    </w:lvl>
    <w:lvl w:ilvl="5" w:tplc="70C0FD00">
      <w:numFmt w:val="decimal"/>
      <w:lvlText w:val=""/>
      <w:lvlJc w:val="left"/>
    </w:lvl>
    <w:lvl w:ilvl="6" w:tplc="778CC8C4">
      <w:numFmt w:val="decimal"/>
      <w:lvlText w:val=""/>
      <w:lvlJc w:val="left"/>
    </w:lvl>
    <w:lvl w:ilvl="7" w:tplc="BC78FC90">
      <w:numFmt w:val="decimal"/>
      <w:lvlText w:val=""/>
      <w:lvlJc w:val="left"/>
    </w:lvl>
    <w:lvl w:ilvl="8" w:tplc="BE987CA0">
      <w:numFmt w:val="decimal"/>
      <w:lvlText w:val=""/>
      <w:lvlJc w:val="left"/>
    </w:lvl>
  </w:abstractNum>
  <w:abstractNum w:abstractNumId="804" w15:restartNumberingAfterBreak="0">
    <w:nsid w:val="5548030D"/>
    <w:multiLevelType w:val="hybridMultilevel"/>
    <w:tmpl w:val="6910FE58"/>
    <w:lvl w:ilvl="0" w:tplc="076C351C">
      <w:numFmt w:val="decimal"/>
      <w:lvlText w:val=""/>
      <w:lvlJc w:val="left"/>
    </w:lvl>
    <w:lvl w:ilvl="1" w:tplc="F632812A">
      <w:start w:val="1"/>
      <w:numFmt w:val="bullet"/>
      <w:lvlText w:val=""/>
      <w:lvlJc w:val="left"/>
      <w:pPr>
        <w:ind w:left="1440" w:hanging="180"/>
      </w:pPr>
      <w:rPr>
        <w:rFonts w:ascii="Symbol" w:hAnsi="Symbol" w:hint="default"/>
      </w:rPr>
    </w:lvl>
    <w:lvl w:ilvl="2" w:tplc="B238B574">
      <w:numFmt w:val="decimal"/>
      <w:lvlText w:val=""/>
      <w:lvlJc w:val="left"/>
    </w:lvl>
    <w:lvl w:ilvl="3" w:tplc="A4F4953A">
      <w:numFmt w:val="decimal"/>
      <w:lvlText w:val=""/>
      <w:lvlJc w:val="left"/>
    </w:lvl>
    <w:lvl w:ilvl="4" w:tplc="626E919A">
      <w:numFmt w:val="decimal"/>
      <w:lvlText w:val=""/>
      <w:lvlJc w:val="left"/>
    </w:lvl>
    <w:lvl w:ilvl="5" w:tplc="3A24F1C6">
      <w:numFmt w:val="decimal"/>
      <w:lvlText w:val=""/>
      <w:lvlJc w:val="left"/>
    </w:lvl>
    <w:lvl w:ilvl="6" w:tplc="CCC64252">
      <w:numFmt w:val="decimal"/>
      <w:lvlText w:val=""/>
      <w:lvlJc w:val="left"/>
    </w:lvl>
    <w:lvl w:ilvl="7" w:tplc="A89E2F84">
      <w:numFmt w:val="decimal"/>
      <w:lvlText w:val=""/>
      <w:lvlJc w:val="left"/>
    </w:lvl>
    <w:lvl w:ilvl="8" w:tplc="4CE09D28">
      <w:numFmt w:val="decimal"/>
      <w:lvlText w:val=""/>
      <w:lvlJc w:val="left"/>
    </w:lvl>
  </w:abstractNum>
  <w:abstractNum w:abstractNumId="805" w15:restartNumberingAfterBreak="0">
    <w:nsid w:val="556C4A3F"/>
    <w:multiLevelType w:val="hybridMultilevel"/>
    <w:tmpl w:val="45F67038"/>
    <w:lvl w:ilvl="0" w:tplc="A9D4AA42">
      <w:start w:val="1"/>
      <w:numFmt w:val="bullet"/>
      <w:lvlText w:val=""/>
      <w:lvlJc w:val="left"/>
      <w:pPr>
        <w:ind w:left="720" w:hanging="180"/>
      </w:pPr>
      <w:rPr>
        <w:rFonts w:ascii="Symbol" w:hAnsi="Symbol" w:hint="default"/>
      </w:rPr>
    </w:lvl>
    <w:lvl w:ilvl="1" w:tplc="5A222D12">
      <w:numFmt w:val="decimal"/>
      <w:lvlText w:val=""/>
      <w:lvlJc w:val="left"/>
    </w:lvl>
    <w:lvl w:ilvl="2" w:tplc="7EFC2530">
      <w:numFmt w:val="decimal"/>
      <w:lvlText w:val=""/>
      <w:lvlJc w:val="left"/>
    </w:lvl>
    <w:lvl w:ilvl="3" w:tplc="0D5A9EB4">
      <w:numFmt w:val="decimal"/>
      <w:lvlText w:val=""/>
      <w:lvlJc w:val="left"/>
    </w:lvl>
    <w:lvl w:ilvl="4" w:tplc="FE269B12">
      <w:numFmt w:val="decimal"/>
      <w:lvlText w:val=""/>
      <w:lvlJc w:val="left"/>
    </w:lvl>
    <w:lvl w:ilvl="5" w:tplc="8BF0F01E">
      <w:numFmt w:val="decimal"/>
      <w:lvlText w:val=""/>
      <w:lvlJc w:val="left"/>
    </w:lvl>
    <w:lvl w:ilvl="6" w:tplc="5F8E1E92">
      <w:numFmt w:val="decimal"/>
      <w:lvlText w:val=""/>
      <w:lvlJc w:val="left"/>
    </w:lvl>
    <w:lvl w:ilvl="7" w:tplc="4A08A724">
      <w:numFmt w:val="decimal"/>
      <w:lvlText w:val=""/>
      <w:lvlJc w:val="left"/>
    </w:lvl>
    <w:lvl w:ilvl="8" w:tplc="9FE21EB6">
      <w:numFmt w:val="decimal"/>
      <w:lvlText w:val=""/>
      <w:lvlJc w:val="left"/>
    </w:lvl>
  </w:abstractNum>
  <w:abstractNum w:abstractNumId="806" w15:restartNumberingAfterBreak="0">
    <w:nsid w:val="556F3DFF"/>
    <w:multiLevelType w:val="hybridMultilevel"/>
    <w:tmpl w:val="596A8E9E"/>
    <w:lvl w:ilvl="0" w:tplc="CFD23512">
      <w:start w:val="1"/>
      <w:numFmt w:val="bullet"/>
      <w:lvlText w:val=""/>
      <w:lvlJc w:val="left"/>
      <w:pPr>
        <w:ind w:left="720" w:hanging="180"/>
      </w:pPr>
      <w:rPr>
        <w:rFonts w:ascii="Symbol" w:hAnsi="Symbol" w:hint="default"/>
      </w:rPr>
    </w:lvl>
    <w:lvl w:ilvl="1" w:tplc="56602170">
      <w:numFmt w:val="decimal"/>
      <w:lvlText w:val=""/>
      <w:lvlJc w:val="left"/>
    </w:lvl>
    <w:lvl w:ilvl="2" w:tplc="498CE7FE">
      <w:numFmt w:val="decimal"/>
      <w:lvlText w:val=""/>
      <w:lvlJc w:val="left"/>
    </w:lvl>
    <w:lvl w:ilvl="3" w:tplc="A6D231D8">
      <w:numFmt w:val="decimal"/>
      <w:lvlText w:val=""/>
      <w:lvlJc w:val="left"/>
    </w:lvl>
    <w:lvl w:ilvl="4" w:tplc="B9AA27B0">
      <w:numFmt w:val="decimal"/>
      <w:lvlText w:val=""/>
      <w:lvlJc w:val="left"/>
    </w:lvl>
    <w:lvl w:ilvl="5" w:tplc="06F4FE6A">
      <w:numFmt w:val="decimal"/>
      <w:lvlText w:val=""/>
      <w:lvlJc w:val="left"/>
    </w:lvl>
    <w:lvl w:ilvl="6" w:tplc="C5421FCC">
      <w:numFmt w:val="decimal"/>
      <w:lvlText w:val=""/>
      <w:lvlJc w:val="left"/>
    </w:lvl>
    <w:lvl w:ilvl="7" w:tplc="458A1646">
      <w:numFmt w:val="decimal"/>
      <w:lvlText w:val=""/>
      <w:lvlJc w:val="left"/>
    </w:lvl>
    <w:lvl w:ilvl="8" w:tplc="E8441A00">
      <w:numFmt w:val="decimal"/>
      <w:lvlText w:val=""/>
      <w:lvlJc w:val="left"/>
    </w:lvl>
  </w:abstractNum>
  <w:abstractNum w:abstractNumId="807" w15:restartNumberingAfterBreak="0">
    <w:nsid w:val="55765743"/>
    <w:multiLevelType w:val="hybridMultilevel"/>
    <w:tmpl w:val="CCFA477E"/>
    <w:lvl w:ilvl="0" w:tplc="303858E8">
      <w:start w:val="1"/>
      <w:numFmt w:val="bullet"/>
      <w:lvlText w:val=""/>
      <w:lvlJc w:val="left"/>
      <w:pPr>
        <w:ind w:left="720" w:hanging="180"/>
      </w:pPr>
      <w:rPr>
        <w:rFonts w:ascii="Symbol" w:hAnsi="Symbol" w:hint="default"/>
      </w:rPr>
    </w:lvl>
    <w:lvl w:ilvl="1" w:tplc="483CBC9A">
      <w:numFmt w:val="decimal"/>
      <w:lvlText w:val=""/>
      <w:lvlJc w:val="left"/>
    </w:lvl>
    <w:lvl w:ilvl="2" w:tplc="D73EFD86">
      <w:numFmt w:val="decimal"/>
      <w:lvlText w:val=""/>
      <w:lvlJc w:val="left"/>
    </w:lvl>
    <w:lvl w:ilvl="3" w:tplc="8884D9DC">
      <w:numFmt w:val="decimal"/>
      <w:lvlText w:val=""/>
      <w:lvlJc w:val="left"/>
    </w:lvl>
    <w:lvl w:ilvl="4" w:tplc="7EC0F3C8">
      <w:numFmt w:val="decimal"/>
      <w:lvlText w:val=""/>
      <w:lvlJc w:val="left"/>
    </w:lvl>
    <w:lvl w:ilvl="5" w:tplc="FE0E186C">
      <w:numFmt w:val="decimal"/>
      <w:lvlText w:val=""/>
      <w:lvlJc w:val="left"/>
    </w:lvl>
    <w:lvl w:ilvl="6" w:tplc="49361472">
      <w:numFmt w:val="decimal"/>
      <w:lvlText w:val=""/>
      <w:lvlJc w:val="left"/>
    </w:lvl>
    <w:lvl w:ilvl="7" w:tplc="D7F80600">
      <w:numFmt w:val="decimal"/>
      <w:lvlText w:val=""/>
      <w:lvlJc w:val="left"/>
    </w:lvl>
    <w:lvl w:ilvl="8" w:tplc="7FB48124">
      <w:numFmt w:val="decimal"/>
      <w:lvlText w:val=""/>
      <w:lvlJc w:val="left"/>
    </w:lvl>
  </w:abstractNum>
  <w:abstractNum w:abstractNumId="808" w15:restartNumberingAfterBreak="0">
    <w:nsid w:val="557A7081"/>
    <w:multiLevelType w:val="hybridMultilevel"/>
    <w:tmpl w:val="8E887442"/>
    <w:lvl w:ilvl="0" w:tplc="7EE203BE">
      <w:start w:val="1"/>
      <w:numFmt w:val="bullet"/>
      <w:lvlText w:val=""/>
      <w:lvlJc w:val="left"/>
      <w:pPr>
        <w:ind w:left="720" w:hanging="180"/>
      </w:pPr>
      <w:rPr>
        <w:rFonts w:ascii="Symbol" w:hAnsi="Symbol" w:hint="default"/>
      </w:rPr>
    </w:lvl>
    <w:lvl w:ilvl="1" w:tplc="D356091C">
      <w:numFmt w:val="decimal"/>
      <w:lvlText w:val=""/>
      <w:lvlJc w:val="left"/>
    </w:lvl>
    <w:lvl w:ilvl="2" w:tplc="E26CD2B2">
      <w:numFmt w:val="decimal"/>
      <w:lvlText w:val=""/>
      <w:lvlJc w:val="left"/>
    </w:lvl>
    <w:lvl w:ilvl="3" w:tplc="A3045006">
      <w:numFmt w:val="decimal"/>
      <w:lvlText w:val=""/>
      <w:lvlJc w:val="left"/>
    </w:lvl>
    <w:lvl w:ilvl="4" w:tplc="6944E0A4">
      <w:numFmt w:val="decimal"/>
      <w:lvlText w:val=""/>
      <w:lvlJc w:val="left"/>
    </w:lvl>
    <w:lvl w:ilvl="5" w:tplc="B672A222">
      <w:numFmt w:val="decimal"/>
      <w:lvlText w:val=""/>
      <w:lvlJc w:val="left"/>
    </w:lvl>
    <w:lvl w:ilvl="6" w:tplc="9076A6E4">
      <w:numFmt w:val="decimal"/>
      <w:lvlText w:val=""/>
      <w:lvlJc w:val="left"/>
    </w:lvl>
    <w:lvl w:ilvl="7" w:tplc="FB98ACC6">
      <w:numFmt w:val="decimal"/>
      <w:lvlText w:val=""/>
      <w:lvlJc w:val="left"/>
    </w:lvl>
    <w:lvl w:ilvl="8" w:tplc="C9E61BE0">
      <w:numFmt w:val="decimal"/>
      <w:lvlText w:val=""/>
      <w:lvlJc w:val="left"/>
    </w:lvl>
  </w:abstractNum>
  <w:abstractNum w:abstractNumId="809" w15:restartNumberingAfterBreak="0">
    <w:nsid w:val="55804E5D"/>
    <w:multiLevelType w:val="hybridMultilevel"/>
    <w:tmpl w:val="F970D826"/>
    <w:lvl w:ilvl="0" w:tplc="BC021DE6">
      <w:start w:val="1"/>
      <w:numFmt w:val="bullet"/>
      <w:lvlText w:val=""/>
      <w:lvlJc w:val="left"/>
      <w:pPr>
        <w:ind w:left="720" w:hanging="180"/>
      </w:pPr>
      <w:rPr>
        <w:rFonts w:ascii="Symbol" w:hAnsi="Symbol" w:hint="default"/>
      </w:rPr>
    </w:lvl>
    <w:lvl w:ilvl="1" w:tplc="62D03AA4">
      <w:numFmt w:val="decimal"/>
      <w:lvlText w:val=""/>
      <w:lvlJc w:val="left"/>
    </w:lvl>
    <w:lvl w:ilvl="2" w:tplc="01B4A060">
      <w:numFmt w:val="decimal"/>
      <w:lvlText w:val=""/>
      <w:lvlJc w:val="left"/>
    </w:lvl>
    <w:lvl w:ilvl="3" w:tplc="0F00D0F6">
      <w:numFmt w:val="decimal"/>
      <w:lvlText w:val=""/>
      <w:lvlJc w:val="left"/>
    </w:lvl>
    <w:lvl w:ilvl="4" w:tplc="EC76F2E0">
      <w:numFmt w:val="decimal"/>
      <w:lvlText w:val=""/>
      <w:lvlJc w:val="left"/>
    </w:lvl>
    <w:lvl w:ilvl="5" w:tplc="01BA8D58">
      <w:numFmt w:val="decimal"/>
      <w:lvlText w:val=""/>
      <w:lvlJc w:val="left"/>
    </w:lvl>
    <w:lvl w:ilvl="6" w:tplc="CC44F990">
      <w:numFmt w:val="decimal"/>
      <w:lvlText w:val=""/>
      <w:lvlJc w:val="left"/>
    </w:lvl>
    <w:lvl w:ilvl="7" w:tplc="9DA2C086">
      <w:numFmt w:val="decimal"/>
      <w:lvlText w:val=""/>
      <w:lvlJc w:val="left"/>
    </w:lvl>
    <w:lvl w:ilvl="8" w:tplc="5AB8B69A">
      <w:numFmt w:val="decimal"/>
      <w:lvlText w:val=""/>
      <w:lvlJc w:val="left"/>
    </w:lvl>
  </w:abstractNum>
  <w:abstractNum w:abstractNumId="810" w15:restartNumberingAfterBreak="0">
    <w:nsid w:val="55C07655"/>
    <w:multiLevelType w:val="hybridMultilevel"/>
    <w:tmpl w:val="E2903B4C"/>
    <w:lvl w:ilvl="0" w:tplc="26500CEE">
      <w:start w:val="1"/>
      <w:numFmt w:val="bullet"/>
      <w:lvlText w:val=""/>
      <w:lvlJc w:val="left"/>
      <w:pPr>
        <w:ind w:left="720" w:hanging="180"/>
      </w:pPr>
      <w:rPr>
        <w:rFonts w:ascii="Symbol" w:hAnsi="Symbol" w:hint="default"/>
      </w:rPr>
    </w:lvl>
    <w:lvl w:ilvl="1" w:tplc="408C87EA">
      <w:numFmt w:val="decimal"/>
      <w:lvlText w:val=""/>
      <w:lvlJc w:val="left"/>
    </w:lvl>
    <w:lvl w:ilvl="2" w:tplc="A5A2EB5A">
      <w:numFmt w:val="decimal"/>
      <w:lvlText w:val=""/>
      <w:lvlJc w:val="left"/>
    </w:lvl>
    <w:lvl w:ilvl="3" w:tplc="6C021F50">
      <w:numFmt w:val="decimal"/>
      <w:lvlText w:val=""/>
      <w:lvlJc w:val="left"/>
    </w:lvl>
    <w:lvl w:ilvl="4" w:tplc="7FBCB3D6">
      <w:numFmt w:val="decimal"/>
      <w:lvlText w:val=""/>
      <w:lvlJc w:val="left"/>
    </w:lvl>
    <w:lvl w:ilvl="5" w:tplc="A3243D9C">
      <w:numFmt w:val="decimal"/>
      <w:lvlText w:val=""/>
      <w:lvlJc w:val="left"/>
    </w:lvl>
    <w:lvl w:ilvl="6" w:tplc="D9369FAE">
      <w:numFmt w:val="decimal"/>
      <w:lvlText w:val=""/>
      <w:lvlJc w:val="left"/>
    </w:lvl>
    <w:lvl w:ilvl="7" w:tplc="72CEA63E">
      <w:numFmt w:val="decimal"/>
      <w:lvlText w:val=""/>
      <w:lvlJc w:val="left"/>
    </w:lvl>
    <w:lvl w:ilvl="8" w:tplc="39BAE538">
      <w:numFmt w:val="decimal"/>
      <w:lvlText w:val=""/>
      <w:lvlJc w:val="left"/>
    </w:lvl>
  </w:abstractNum>
  <w:abstractNum w:abstractNumId="811" w15:restartNumberingAfterBreak="0">
    <w:nsid w:val="55CF1BD8"/>
    <w:multiLevelType w:val="hybridMultilevel"/>
    <w:tmpl w:val="B24CC0A0"/>
    <w:lvl w:ilvl="0" w:tplc="75C45344">
      <w:start w:val="1"/>
      <w:numFmt w:val="bullet"/>
      <w:lvlText w:val=""/>
      <w:lvlJc w:val="left"/>
      <w:pPr>
        <w:ind w:left="720" w:hanging="180"/>
      </w:pPr>
      <w:rPr>
        <w:rFonts w:ascii="Symbol" w:hAnsi="Symbol" w:hint="default"/>
      </w:rPr>
    </w:lvl>
    <w:lvl w:ilvl="1" w:tplc="DE9E0E18">
      <w:numFmt w:val="decimal"/>
      <w:lvlText w:val=""/>
      <w:lvlJc w:val="left"/>
    </w:lvl>
    <w:lvl w:ilvl="2" w:tplc="2C82FC96">
      <w:numFmt w:val="decimal"/>
      <w:lvlText w:val=""/>
      <w:lvlJc w:val="left"/>
    </w:lvl>
    <w:lvl w:ilvl="3" w:tplc="B7188418">
      <w:numFmt w:val="decimal"/>
      <w:lvlText w:val=""/>
      <w:lvlJc w:val="left"/>
    </w:lvl>
    <w:lvl w:ilvl="4" w:tplc="0B5E740C">
      <w:numFmt w:val="decimal"/>
      <w:lvlText w:val=""/>
      <w:lvlJc w:val="left"/>
    </w:lvl>
    <w:lvl w:ilvl="5" w:tplc="4B18655E">
      <w:numFmt w:val="decimal"/>
      <w:lvlText w:val=""/>
      <w:lvlJc w:val="left"/>
    </w:lvl>
    <w:lvl w:ilvl="6" w:tplc="297832AA">
      <w:numFmt w:val="decimal"/>
      <w:lvlText w:val=""/>
      <w:lvlJc w:val="left"/>
    </w:lvl>
    <w:lvl w:ilvl="7" w:tplc="117E5BBE">
      <w:numFmt w:val="decimal"/>
      <w:lvlText w:val=""/>
      <w:lvlJc w:val="left"/>
    </w:lvl>
    <w:lvl w:ilvl="8" w:tplc="03FE9AF6">
      <w:numFmt w:val="decimal"/>
      <w:lvlText w:val=""/>
      <w:lvlJc w:val="left"/>
    </w:lvl>
  </w:abstractNum>
  <w:abstractNum w:abstractNumId="812" w15:restartNumberingAfterBreak="0">
    <w:nsid w:val="55D91C48"/>
    <w:multiLevelType w:val="hybridMultilevel"/>
    <w:tmpl w:val="4AAC0130"/>
    <w:lvl w:ilvl="0" w:tplc="006C886E">
      <w:start w:val="1"/>
      <w:numFmt w:val="bullet"/>
      <w:lvlText w:val=""/>
      <w:lvlJc w:val="left"/>
      <w:pPr>
        <w:ind w:left="720" w:hanging="180"/>
      </w:pPr>
      <w:rPr>
        <w:rFonts w:ascii="Symbol" w:hAnsi="Symbol" w:hint="default"/>
      </w:rPr>
    </w:lvl>
    <w:lvl w:ilvl="1" w:tplc="58EA6178">
      <w:numFmt w:val="decimal"/>
      <w:lvlText w:val=""/>
      <w:lvlJc w:val="left"/>
    </w:lvl>
    <w:lvl w:ilvl="2" w:tplc="B6EAC9AA">
      <w:numFmt w:val="decimal"/>
      <w:lvlText w:val=""/>
      <w:lvlJc w:val="left"/>
    </w:lvl>
    <w:lvl w:ilvl="3" w:tplc="0B2CEAA6">
      <w:numFmt w:val="decimal"/>
      <w:lvlText w:val=""/>
      <w:lvlJc w:val="left"/>
    </w:lvl>
    <w:lvl w:ilvl="4" w:tplc="A0B00CCA">
      <w:numFmt w:val="decimal"/>
      <w:lvlText w:val=""/>
      <w:lvlJc w:val="left"/>
    </w:lvl>
    <w:lvl w:ilvl="5" w:tplc="12DE1DAE">
      <w:numFmt w:val="decimal"/>
      <w:lvlText w:val=""/>
      <w:lvlJc w:val="left"/>
    </w:lvl>
    <w:lvl w:ilvl="6" w:tplc="1654FEE8">
      <w:numFmt w:val="decimal"/>
      <w:lvlText w:val=""/>
      <w:lvlJc w:val="left"/>
    </w:lvl>
    <w:lvl w:ilvl="7" w:tplc="CA2EEA3A">
      <w:numFmt w:val="decimal"/>
      <w:lvlText w:val=""/>
      <w:lvlJc w:val="left"/>
    </w:lvl>
    <w:lvl w:ilvl="8" w:tplc="696A7082">
      <w:numFmt w:val="decimal"/>
      <w:lvlText w:val=""/>
      <w:lvlJc w:val="left"/>
    </w:lvl>
  </w:abstractNum>
  <w:abstractNum w:abstractNumId="813" w15:restartNumberingAfterBreak="0">
    <w:nsid w:val="55DD3430"/>
    <w:multiLevelType w:val="hybridMultilevel"/>
    <w:tmpl w:val="B34883DE"/>
    <w:lvl w:ilvl="0" w:tplc="3DCAB76A">
      <w:start w:val="1"/>
      <w:numFmt w:val="bullet"/>
      <w:lvlText w:val=""/>
      <w:lvlJc w:val="left"/>
      <w:pPr>
        <w:ind w:left="720" w:hanging="180"/>
      </w:pPr>
      <w:rPr>
        <w:rFonts w:ascii="Symbol" w:hAnsi="Symbol" w:hint="default"/>
      </w:rPr>
    </w:lvl>
    <w:lvl w:ilvl="1" w:tplc="1060A02C">
      <w:numFmt w:val="decimal"/>
      <w:lvlText w:val=""/>
      <w:lvlJc w:val="left"/>
    </w:lvl>
    <w:lvl w:ilvl="2" w:tplc="2F5E97D0">
      <w:numFmt w:val="decimal"/>
      <w:lvlText w:val=""/>
      <w:lvlJc w:val="left"/>
    </w:lvl>
    <w:lvl w:ilvl="3" w:tplc="A0485356">
      <w:numFmt w:val="decimal"/>
      <w:lvlText w:val=""/>
      <w:lvlJc w:val="left"/>
    </w:lvl>
    <w:lvl w:ilvl="4" w:tplc="60C254CA">
      <w:numFmt w:val="decimal"/>
      <w:lvlText w:val=""/>
      <w:lvlJc w:val="left"/>
    </w:lvl>
    <w:lvl w:ilvl="5" w:tplc="19787652">
      <w:numFmt w:val="decimal"/>
      <w:lvlText w:val=""/>
      <w:lvlJc w:val="left"/>
    </w:lvl>
    <w:lvl w:ilvl="6" w:tplc="84B6AF48">
      <w:numFmt w:val="decimal"/>
      <w:lvlText w:val=""/>
      <w:lvlJc w:val="left"/>
    </w:lvl>
    <w:lvl w:ilvl="7" w:tplc="E7868130">
      <w:numFmt w:val="decimal"/>
      <w:lvlText w:val=""/>
      <w:lvlJc w:val="left"/>
    </w:lvl>
    <w:lvl w:ilvl="8" w:tplc="B43CE7F6">
      <w:numFmt w:val="decimal"/>
      <w:lvlText w:val=""/>
      <w:lvlJc w:val="left"/>
    </w:lvl>
  </w:abstractNum>
  <w:abstractNum w:abstractNumId="814" w15:restartNumberingAfterBreak="0">
    <w:nsid w:val="55FF6321"/>
    <w:multiLevelType w:val="hybridMultilevel"/>
    <w:tmpl w:val="45C85EF8"/>
    <w:lvl w:ilvl="0" w:tplc="C94AD866">
      <w:start w:val="1"/>
      <w:numFmt w:val="bullet"/>
      <w:lvlText w:val=""/>
      <w:lvlJc w:val="left"/>
      <w:pPr>
        <w:ind w:left="720" w:hanging="180"/>
      </w:pPr>
      <w:rPr>
        <w:rFonts w:ascii="Symbol" w:hAnsi="Symbol" w:hint="default"/>
      </w:rPr>
    </w:lvl>
    <w:lvl w:ilvl="1" w:tplc="5FF84384">
      <w:numFmt w:val="decimal"/>
      <w:lvlText w:val=""/>
      <w:lvlJc w:val="left"/>
    </w:lvl>
    <w:lvl w:ilvl="2" w:tplc="97A296C4">
      <w:numFmt w:val="decimal"/>
      <w:lvlText w:val=""/>
      <w:lvlJc w:val="left"/>
    </w:lvl>
    <w:lvl w:ilvl="3" w:tplc="7E24D0F6">
      <w:numFmt w:val="decimal"/>
      <w:lvlText w:val=""/>
      <w:lvlJc w:val="left"/>
    </w:lvl>
    <w:lvl w:ilvl="4" w:tplc="EF343CF2">
      <w:numFmt w:val="decimal"/>
      <w:lvlText w:val=""/>
      <w:lvlJc w:val="left"/>
    </w:lvl>
    <w:lvl w:ilvl="5" w:tplc="98BABF50">
      <w:numFmt w:val="decimal"/>
      <w:lvlText w:val=""/>
      <w:lvlJc w:val="left"/>
    </w:lvl>
    <w:lvl w:ilvl="6" w:tplc="F1C229EC">
      <w:numFmt w:val="decimal"/>
      <w:lvlText w:val=""/>
      <w:lvlJc w:val="left"/>
    </w:lvl>
    <w:lvl w:ilvl="7" w:tplc="D0C6DE8E">
      <w:numFmt w:val="decimal"/>
      <w:lvlText w:val=""/>
      <w:lvlJc w:val="left"/>
    </w:lvl>
    <w:lvl w:ilvl="8" w:tplc="B302C082">
      <w:numFmt w:val="decimal"/>
      <w:lvlText w:val=""/>
      <w:lvlJc w:val="left"/>
    </w:lvl>
  </w:abstractNum>
  <w:abstractNum w:abstractNumId="815" w15:restartNumberingAfterBreak="0">
    <w:nsid w:val="560B20F6"/>
    <w:multiLevelType w:val="hybridMultilevel"/>
    <w:tmpl w:val="60AC251C"/>
    <w:lvl w:ilvl="0" w:tplc="197C2D28">
      <w:start w:val="1"/>
      <w:numFmt w:val="bullet"/>
      <w:lvlText w:val=""/>
      <w:lvlJc w:val="left"/>
      <w:pPr>
        <w:ind w:left="720" w:hanging="180"/>
      </w:pPr>
      <w:rPr>
        <w:rFonts w:ascii="Symbol" w:hAnsi="Symbol" w:hint="default"/>
      </w:rPr>
    </w:lvl>
    <w:lvl w:ilvl="1" w:tplc="CB004938">
      <w:numFmt w:val="decimal"/>
      <w:lvlText w:val=""/>
      <w:lvlJc w:val="left"/>
    </w:lvl>
    <w:lvl w:ilvl="2" w:tplc="517EA70A">
      <w:numFmt w:val="decimal"/>
      <w:lvlText w:val=""/>
      <w:lvlJc w:val="left"/>
    </w:lvl>
    <w:lvl w:ilvl="3" w:tplc="D3482E28">
      <w:numFmt w:val="decimal"/>
      <w:lvlText w:val=""/>
      <w:lvlJc w:val="left"/>
    </w:lvl>
    <w:lvl w:ilvl="4" w:tplc="439C422A">
      <w:numFmt w:val="decimal"/>
      <w:lvlText w:val=""/>
      <w:lvlJc w:val="left"/>
    </w:lvl>
    <w:lvl w:ilvl="5" w:tplc="D99E1B8A">
      <w:numFmt w:val="decimal"/>
      <w:lvlText w:val=""/>
      <w:lvlJc w:val="left"/>
    </w:lvl>
    <w:lvl w:ilvl="6" w:tplc="F676AEFE">
      <w:numFmt w:val="decimal"/>
      <w:lvlText w:val=""/>
      <w:lvlJc w:val="left"/>
    </w:lvl>
    <w:lvl w:ilvl="7" w:tplc="DBBC3E88">
      <w:numFmt w:val="decimal"/>
      <w:lvlText w:val=""/>
      <w:lvlJc w:val="left"/>
    </w:lvl>
    <w:lvl w:ilvl="8" w:tplc="3A926908">
      <w:numFmt w:val="decimal"/>
      <w:lvlText w:val=""/>
      <w:lvlJc w:val="left"/>
    </w:lvl>
  </w:abstractNum>
  <w:abstractNum w:abstractNumId="816" w15:restartNumberingAfterBreak="0">
    <w:nsid w:val="560E1D0D"/>
    <w:multiLevelType w:val="hybridMultilevel"/>
    <w:tmpl w:val="4BFA1D4E"/>
    <w:lvl w:ilvl="0" w:tplc="B29227A6">
      <w:start w:val="1"/>
      <w:numFmt w:val="bullet"/>
      <w:lvlText w:val=""/>
      <w:lvlJc w:val="left"/>
      <w:pPr>
        <w:ind w:left="720" w:hanging="180"/>
      </w:pPr>
      <w:rPr>
        <w:rFonts w:ascii="Symbol" w:hAnsi="Symbol" w:hint="default"/>
      </w:rPr>
    </w:lvl>
    <w:lvl w:ilvl="1" w:tplc="776CCF5E">
      <w:numFmt w:val="decimal"/>
      <w:lvlText w:val=""/>
      <w:lvlJc w:val="left"/>
    </w:lvl>
    <w:lvl w:ilvl="2" w:tplc="FDB0CDCC">
      <w:numFmt w:val="decimal"/>
      <w:lvlText w:val=""/>
      <w:lvlJc w:val="left"/>
    </w:lvl>
    <w:lvl w:ilvl="3" w:tplc="C43A871C">
      <w:numFmt w:val="decimal"/>
      <w:lvlText w:val=""/>
      <w:lvlJc w:val="left"/>
    </w:lvl>
    <w:lvl w:ilvl="4" w:tplc="D2A49940">
      <w:numFmt w:val="decimal"/>
      <w:lvlText w:val=""/>
      <w:lvlJc w:val="left"/>
    </w:lvl>
    <w:lvl w:ilvl="5" w:tplc="B948B6EE">
      <w:numFmt w:val="decimal"/>
      <w:lvlText w:val=""/>
      <w:lvlJc w:val="left"/>
    </w:lvl>
    <w:lvl w:ilvl="6" w:tplc="4ECC6064">
      <w:numFmt w:val="decimal"/>
      <w:lvlText w:val=""/>
      <w:lvlJc w:val="left"/>
    </w:lvl>
    <w:lvl w:ilvl="7" w:tplc="31481158">
      <w:numFmt w:val="decimal"/>
      <w:lvlText w:val=""/>
      <w:lvlJc w:val="left"/>
    </w:lvl>
    <w:lvl w:ilvl="8" w:tplc="9CB672C4">
      <w:numFmt w:val="decimal"/>
      <w:lvlText w:val=""/>
      <w:lvlJc w:val="left"/>
    </w:lvl>
  </w:abstractNum>
  <w:abstractNum w:abstractNumId="817" w15:restartNumberingAfterBreak="0">
    <w:nsid w:val="562460EF"/>
    <w:multiLevelType w:val="hybridMultilevel"/>
    <w:tmpl w:val="FABEEBF4"/>
    <w:lvl w:ilvl="0" w:tplc="B56C9914">
      <w:start w:val="1"/>
      <w:numFmt w:val="bullet"/>
      <w:lvlText w:val=""/>
      <w:lvlJc w:val="left"/>
      <w:pPr>
        <w:ind w:left="720" w:hanging="180"/>
      </w:pPr>
      <w:rPr>
        <w:rFonts w:ascii="Symbol" w:hAnsi="Symbol" w:hint="default"/>
      </w:rPr>
    </w:lvl>
    <w:lvl w:ilvl="1" w:tplc="04103F9C">
      <w:numFmt w:val="decimal"/>
      <w:lvlText w:val=""/>
      <w:lvlJc w:val="left"/>
    </w:lvl>
    <w:lvl w:ilvl="2" w:tplc="AEAA3066">
      <w:numFmt w:val="decimal"/>
      <w:lvlText w:val=""/>
      <w:lvlJc w:val="left"/>
    </w:lvl>
    <w:lvl w:ilvl="3" w:tplc="0ED08F04">
      <w:numFmt w:val="decimal"/>
      <w:lvlText w:val=""/>
      <w:lvlJc w:val="left"/>
    </w:lvl>
    <w:lvl w:ilvl="4" w:tplc="F0EC32AC">
      <w:numFmt w:val="decimal"/>
      <w:lvlText w:val=""/>
      <w:lvlJc w:val="left"/>
    </w:lvl>
    <w:lvl w:ilvl="5" w:tplc="40766EAC">
      <w:numFmt w:val="decimal"/>
      <w:lvlText w:val=""/>
      <w:lvlJc w:val="left"/>
    </w:lvl>
    <w:lvl w:ilvl="6" w:tplc="3C1A37A8">
      <w:numFmt w:val="decimal"/>
      <w:lvlText w:val=""/>
      <w:lvlJc w:val="left"/>
    </w:lvl>
    <w:lvl w:ilvl="7" w:tplc="8040B604">
      <w:numFmt w:val="decimal"/>
      <w:lvlText w:val=""/>
      <w:lvlJc w:val="left"/>
    </w:lvl>
    <w:lvl w:ilvl="8" w:tplc="2DC08586">
      <w:numFmt w:val="decimal"/>
      <w:lvlText w:val=""/>
      <w:lvlJc w:val="left"/>
    </w:lvl>
  </w:abstractNum>
  <w:abstractNum w:abstractNumId="818" w15:restartNumberingAfterBreak="0">
    <w:nsid w:val="562B6F1A"/>
    <w:multiLevelType w:val="hybridMultilevel"/>
    <w:tmpl w:val="F240407A"/>
    <w:lvl w:ilvl="0" w:tplc="15F0190E">
      <w:start w:val="1"/>
      <w:numFmt w:val="bullet"/>
      <w:lvlText w:val=""/>
      <w:lvlJc w:val="left"/>
      <w:pPr>
        <w:ind w:left="720" w:hanging="180"/>
      </w:pPr>
      <w:rPr>
        <w:rFonts w:ascii="Symbol" w:hAnsi="Symbol" w:hint="default"/>
      </w:rPr>
    </w:lvl>
    <w:lvl w:ilvl="1" w:tplc="A3F6BFB0">
      <w:numFmt w:val="decimal"/>
      <w:lvlText w:val=""/>
      <w:lvlJc w:val="left"/>
    </w:lvl>
    <w:lvl w:ilvl="2" w:tplc="40161318">
      <w:numFmt w:val="decimal"/>
      <w:lvlText w:val=""/>
      <w:lvlJc w:val="left"/>
    </w:lvl>
    <w:lvl w:ilvl="3" w:tplc="E306E7C6">
      <w:numFmt w:val="decimal"/>
      <w:lvlText w:val=""/>
      <w:lvlJc w:val="left"/>
    </w:lvl>
    <w:lvl w:ilvl="4" w:tplc="5B321B86">
      <w:numFmt w:val="decimal"/>
      <w:lvlText w:val=""/>
      <w:lvlJc w:val="left"/>
    </w:lvl>
    <w:lvl w:ilvl="5" w:tplc="286E70DA">
      <w:numFmt w:val="decimal"/>
      <w:lvlText w:val=""/>
      <w:lvlJc w:val="left"/>
    </w:lvl>
    <w:lvl w:ilvl="6" w:tplc="CBE83722">
      <w:numFmt w:val="decimal"/>
      <w:lvlText w:val=""/>
      <w:lvlJc w:val="left"/>
    </w:lvl>
    <w:lvl w:ilvl="7" w:tplc="82627CA4">
      <w:numFmt w:val="decimal"/>
      <w:lvlText w:val=""/>
      <w:lvlJc w:val="left"/>
    </w:lvl>
    <w:lvl w:ilvl="8" w:tplc="3AE27E1C">
      <w:numFmt w:val="decimal"/>
      <w:lvlText w:val=""/>
      <w:lvlJc w:val="left"/>
    </w:lvl>
  </w:abstractNum>
  <w:abstractNum w:abstractNumId="819" w15:restartNumberingAfterBreak="0">
    <w:nsid w:val="568B59A9"/>
    <w:multiLevelType w:val="hybridMultilevel"/>
    <w:tmpl w:val="F48EB00C"/>
    <w:lvl w:ilvl="0" w:tplc="47EEE37E">
      <w:start w:val="1"/>
      <w:numFmt w:val="bullet"/>
      <w:lvlText w:val=""/>
      <w:lvlJc w:val="left"/>
      <w:pPr>
        <w:ind w:left="720" w:hanging="180"/>
      </w:pPr>
      <w:rPr>
        <w:rFonts w:ascii="Symbol" w:hAnsi="Symbol" w:hint="default"/>
      </w:rPr>
    </w:lvl>
    <w:lvl w:ilvl="1" w:tplc="D8F831FE">
      <w:numFmt w:val="decimal"/>
      <w:lvlText w:val=""/>
      <w:lvlJc w:val="left"/>
    </w:lvl>
    <w:lvl w:ilvl="2" w:tplc="605C090A">
      <w:numFmt w:val="decimal"/>
      <w:lvlText w:val=""/>
      <w:lvlJc w:val="left"/>
    </w:lvl>
    <w:lvl w:ilvl="3" w:tplc="1EE0BF8E">
      <w:numFmt w:val="decimal"/>
      <w:lvlText w:val=""/>
      <w:lvlJc w:val="left"/>
    </w:lvl>
    <w:lvl w:ilvl="4" w:tplc="40B838D8">
      <w:numFmt w:val="decimal"/>
      <w:lvlText w:val=""/>
      <w:lvlJc w:val="left"/>
    </w:lvl>
    <w:lvl w:ilvl="5" w:tplc="2DD835DA">
      <w:numFmt w:val="decimal"/>
      <w:lvlText w:val=""/>
      <w:lvlJc w:val="left"/>
    </w:lvl>
    <w:lvl w:ilvl="6" w:tplc="390029E4">
      <w:numFmt w:val="decimal"/>
      <w:lvlText w:val=""/>
      <w:lvlJc w:val="left"/>
    </w:lvl>
    <w:lvl w:ilvl="7" w:tplc="55E232EE">
      <w:numFmt w:val="decimal"/>
      <w:lvlText w:val=""/>
      <w:lvlJc w:val="left"/>
    </w:lvl>
    <w:lvl w:ilvl="8" w:tplc="1D1E4FC0">
      <w:numFmt w:val="decimal"/>
      <w:lvlText w:val=""/>
      <w:lvlJc w:val="left"/>
    </w:lvl>
  </w:abstractNum>
  <w:abstractNum w:abstractNumId="820" w15:restartNumberingAfterBreak="0">
    <w:nsid w:val="56BE6D88"/>
    <w:multiLevelType w:val="hybridMultilevel"/>
    <w:tmpl w:val="A17A38C4"/>
    <w:lvl w:ilvl="0" w:tplc="15D4D0BE">
      <w:start w:val="1"/>
      <w:numFmt w:val="bullet"/>
      <w:lvlText w:val=""/>
      <w:lvlJc w:val="left"/>
      <w:pPr>
        <w:ind w:left="720" w:hanging="180"/>
      </w:pPr>
      <w:rPr>
        <w:rFonts w:ascii="Symbol" w:hAnsi="Symbol" w:hint="default"/>
      </w:rPr>
    </w:lvl>
    <w:lvl w:ilvl="1" w:tplc="7DBE7054">
      <w:numFmt w:val="decimal"/>
      <w:lvlText w:val=""/>
      <w:lvlJc w:val="left"/>
    </w:lvl>
    <w:lvl w:ilvl="2" w:tplc="AE929A00">
      <w:numFmt w:val="decimal"/>
      <w:lvlText w:val=""/>
      <w:lvlJc w:val="left"/>
    </w:lvl>
    <w:lvl w:ilvl="3" w:tplc="9AC4F5E2">
      <w:numFmt w:val="decimal"/>
      <w:lvlText w:val=""/>
      <w:lvlJc w:val="left"/>
    </w:lvl>
    <w:lvl w:ilvl="4" w:tplc="67102FDA">
      <w:numFmt w:val="decimal"/>
      <w:lvlText w:val=""/>
      <w:lvlJc w:val="left"/>
    </w:lvl>
    <w:lvl w:ilvl="5" w:tplc="34A05D20">
      <w:numFmt w:val="decimal"/>
      <w:lvlText w:val=""/>
      <w:lvlJc w:val="left"/>
    </w:lvl>
    <w:lvl w:ilvl="6" w:tplc="047449C2">
      <w:numFmt w:val="decimal"/>
      <w:lvlText w:val=""/>
      <w:lvlJc w:val="left"/>
    </w:lvl>
    <w:lvl w:ilvl="7" w:tplc="2B861116">
      <w:numFmt w:val="decimal"/>
      <w:lvlText w:val=""/>
      <w:lvlJc w:val="left"/>
    </w:lvl>
    <w:lvl w:ilvl="8" w:tplc="F048A650">
      <w:numFmt w:val="decimal"/>
      <w:lvlText w:val=""/>
      <w:lvlJc w:val="left"/>
    </w:lvl>
  </w:abstractNum>
  <w:abstractNum w:abstractNumId="821" w15:restartNumberingAfterBreak="0">
    <w:nsid w:val="57286D86"/>
    <w:multiLevelType w:val="hybridMultilevel"/>
    <w:tmpl w:val="15B66E14"/>
    <w:lvl w:ilvl="0" w:tplc="79A062AA">
      <w:numFmt w:val="decimal"/>
      <w:lvlText w:val=""/>
      <w:lvlJc w:val="left"/>
    </w:lvl>
    <w:lvl w:ilvl="1" w:tplc="74DEF85C">
      <w:start w:val="1"/>
      <w:numFmt w:val="bullet"/>
      <w:lvlText w:val=""/>
      <w:lvlJc w:val="left"/>
      <w:pPr>
        <w:ind w:left="1440" w:hanging="180"/>
      </w:pPr>
      <w:rPr>
        <w:rFonts w:ascii="Symbol" w:hAnsi="Symbol" w:hint="default"/>
      </w:rPr>
    </w:lvl>
    <w:lvl w:ilvl="2" w:tplc="80744534">
      <w:numFmt w:val="decimal"/>
      <w:lvlText w:val=""/>
      <w:lvlJc w:val="left"/>
    </w:lvl>
    <w:lvl w:ilvl="3" w:tplc="55CCF4BA">
      <w:numFmt w:val="decimal"/>
      <w:lvlText w:val=""/>
      <w:lvlJc w:val="left"/>
    </w:lvl>
    <w:lvl w:ilvl="4" w:tplc="3662D710">
      <w:numFmt w:val="decimal"/>
      <w:lvlText w:val=""/>
      <w:lvlJc w:val="left"/>
    </w:lvl>
    <w:lvl w:ilvl="5" w:tplc="076AEB18">
      <w:numFmt w:val="decimal"/>
      <w:lvlText w:val=""/>
      <w:lvlJc w:val="left"/>
    </w:lvl>
    <w:lvl w:ilvl="6" w:tplc="9EF0F030">
      <w:numFmt w:val="decimal"/>
      <w:lvlText w:val=""/>
      <w:lvlJc w:val="left"/>
    </w:lvl>
    <w:lvl w:ilvl="7" w:tplc="07BADC6A">
      <w:numFmt w:val="decimal"/>
      <w:lvlText w:val=""/>
      <w:lvlJc w:val="left"/>
    </w:lvl>
    <w:lvl w:ilvl="8" w:tplc="5920A564">
      <w:numFmt w:val="decimal"/>
      <w:lvlText w:val=""/>
      <w:lvlJc w:val="left"/>
    </w:lvl>
  </w:abstractNum>
  <w:abstractNum w:abstractNumId="822" w15:restartNumberingAfterBreak="0">
    <w:nsid w:val="574412E8"/>
    <w:multiLevelType w:val="hybridMultilevel"/>
    <w:tmpl w:val="E8C0A8CC"/>
    <w:lvl w:ilvl="0" w:tplc="2C84396A">
      <w:start w:val="1"/>
      <w:numFmt w:val="bullet"/>
      <w:lvlText w:val=""/>
      <w:lvlJc w:val="left"/>
      <w:pPr>
        <w:ind w:left="720" w:hanging="180"/>
      </w:pPr>
      <w:rPr>
        <w:rFonts w:ascii="Symbol" w:hAnsi="Symbol" w:hint="default"/>
      </w:rPr>
    </w:lvl>
    <w:lvl w:ilvl="1" w:tplc="F80457B2">
      <w:numFmt w:val="decimal"/>
      <w:lvlText w:val=""/>
      <w:lvlJc w:val="left"/>
    </w:lvl>
    <w:lvl w:ilvl="2" w:tplc="D5081D78">
      <w:numFmt w:val="decimal"/>
      <w:lvlText w:val=""/>
      <w:lvlJc w:val="left"/>
    </w:lvl>
    <w:lvl w:ilvl="3" w:tplc="FD402442">
      <w:numFmt w:val="decimal"/>
      <w:lvlText w:val=""/>
      <w:lvlJc w:val="left"/>
    </w:lvl>
    <w:lvl w:ilvl="4" w:tplc="5EE4DA5C">
      <w:numFmt w:val="decimal"/>
      <w:lvlText w:val=""/>
      <w:lvlJc w:val="left"/>
    </w:lvl>
    <w:lvl w:ilvl="5" w:tplc="B5424434">
      <w:numFmt w:val="decimal"/>
      <w:lvlText w:val=""/>
      <w:lvlJc w:val="left"/>
    </w:lvl>
    <w:lvl w:ilvl="6" w:tplc="160E81D8">
      <w:numFmt w:val="decimal"/>
      <w:lvlText w:val=""/>
      <w:lvlJc w:val="left"/>
    </w:lvl>
    <w:lvl w:ilvl="7" w:tplc="9ACC2B84">
      <w:numFmt w:val="decimal"/>
      <w:lvlText w:val=""/>
      <w:lvlJc w:val="left"/>
    </w:lvl>
    <w:lvl w:ilvl="8" w:tplc="CBFAC7C2">
      <w:numFmt w:val="decimal"/>
      <w:lvlText w:val=""/>
      <w:lvlJc w:val="left"/>
    </w:lvl>
  </w:abstractNum>
  <w:abstractNum w:abstractNumId="823" w15:restartNumberingAfterBreak="0">
    <w:nsid w:val="574C4B2D"/>
    <w:multiLevelType w:val="hybridMultilevel"/>
    <w:tmpl w:val="7740635C"/>
    <w:lvl w:ilvl="0" w:tplc="1FF07E9E">
      <w:start w:val="1"/>
      <w:numFmt w:val="bullet"/>
      <w:lvlText w:val=""/>
      <w:lvlJc w:val="left"/>
      <w:pPr>
        <w:ind w:left="720" w:hanging="180"/>
      </w:pPr>
      <w:rPr>
        <w:rFonts w:ascii="Symbol" w:hAnsi="Symbol" w:hint="default"/>
      </w:rPr>
    </w:lvl>
    <w:lvl w:ilvl="1" w:tplc="D2DE3E18">
      <w:numFmt w:val="decimal"/>
      <w:lvlText w:val=""/>
      <w:lvlJc w:val="left"/>
    </w:lvl>
    <w:lvl w:ilvl="2" w:tplc="B3C8A468">
      <w:numFmt w:val="decimal"/>
      <w:lvlText w:val=""/>
      <w:lvlJc w:val="left"/>
    </w:lvl>
    <w:lvl w:ilvl="3" w:tplc="A4FA73B2">
      <w:numFmt w:val="decimal"/>
      <w:lvlText w:val=""/>
      <w:lvlJc w:val="left"/>
    </w:lvl>
    <w:lvl w:ilvl="4" w:tplc="E4AE9D58">
      <w:numFmt w:val="decimal"/>
      <w:lvlText w:val=""/>
      <w:lvlJc w:val="left"/>
    </w:lvl>
    <w:lvl w:ilvl="5" w:tplc="A8C2A356">
      <w:numFmt w:val="decimal"/>
      <w:lvlText w:val=""/>
      <w:lvlJc w:val="left"/>
    </w:lvl>
    <w:lvl w:ilvl="6" w:tplc="C38A3BF6">
      <w:numFmt w:val="decimal"/>
      <w:lvlText w:val=""/>
      <w:lvlJc w:val="left"/>
    </w:lvl>
    <w:lvl w:ilvl="7" w:tplc="DBEC82C8">
      <w:numFmt w:val="decimal"/>
      <w:lvlText w:val=""/>
      <w:lvlJc w:val="left"/>
    </w:lvl>
    <w:lvl w:ilvl="8" w:tplc="A6C08E8A">
      <w:numFmt w:val="decimal"/>
      <w:lvlText w:val=""/>
      <w:lvlJc w:val="left"/>
    </w:lvl>
  </w:abstractNum>
  <w:abstractNum w:abstractNumId="824" w15:restartNumberingAfterBreak="0">
    <w:nsid w:val="580E6923"/>
    <w:multiLevelType w:val="hybridMultilevel"/>
    <w:tmpl w:val="70D041BC"/>
    <w:lvl w:ilvl="0" w:tplc="55483812">
      <w:numFmt w:val="decimal"/>
      <w:lvlText w:val=""/>
      <w:lvlJc w:val="left"/>
    </w:lvl>
    <w:lvl w:ilvl="1" w:tplc="871827EA">
      <w:start w:val="1"/>
      <w:numFmt w:val="bullet"/>
      <w:lvlText w:val=""/>
      <w:lvlJc w:val="left"/>
      <w:pPr>
        <w:ind w:left="1440" w:hanging="180"/>
      </w:pPr>
      <w:rPr>
        <w:rFonts w:ascii="Symbol" w:hAnsi="Symbol" w:hint="default"/>
      </w:rPr>
    </w:lvl>
    <w:lvl w:ilvl="2" w:tplc="A836BD04">
      <w:numFmt w:val="decimal"/>
      <w:lvlText w:val=""/>
      <w:lvlJc w:val="left"/>
    </w:lvl>
    <w:lvl w:ilvl="3" w:tplc="E3AE4DB0">
      <w:numFmt w:val="decimal"/>
      <w:lvlText w:val=""/>
      <w:lvlJc w:val="left"/>
    </w:lvl>
    <w:lvl w:ilvl="4" w:tplc="D8A868BA">
      <w:numFmt w:val="decimal"/>
      <w:lvlText w:val=""/>
      <w:lvlJc w:val="left"/>
    </w:lvl>
    <w:lvl w:ilvl="5" w:tplc="470E616E">
      <w:numFmt w:val="decimal"/>
      <w:lvlText w:val=""/>
      <w:lvlJc w:val="left"/>
    </w:lvl>
    <w:lvl w:ilvl="6" w:tplc="19FAE23A">
      <w:numFmt w:val="decimal"/>
      <w:lvlText w:val=""/>
      <w:lvlJc w:val="left"/>
    </w:lvl>
    <w:lvl w:ilvl="7" w:tplc="6096F836">
      <w:numFmt w:val="decimal"/>
      <w:lvlText w:val=""/>
      <w:lvlJc w:val="left"/>
    </w:lvl>
    <w:lvl w:ilvl="8" w:tplc="E83CDFB2">
      <w:numFmt w:val="decimal"/>
      <w:lvlText w:val=""/>
      <w:lvlJc w:val="left"/>
    </w:lvl>
  </w:abstractNum>
  <w:abstractNum w:abstractNumId="825" w15:restartNumberingAfterBreak="0">
    <w:nsid w:val="581021D7"/>
    <w:multiLevelType w:val="hybridMultilevel"/>
    <w:tmpl w:val="C06474DE"/>
    <w:lvl w:ilvl="0" w:tplc="E13E95C8">
      <w:start w:val="1"/>
      <w:numFmt w:val="bullet"/>
      <w:lvlText w:val=""/>
      <w:lvlJc w:val="left"/>
      <w:pPr>
        <w:ind w:left="720" w:hanging="180"/>
      </w:pPr>
      <w:rPr>
        <w:rFonts w:ascii="Symbol" w:hAnsi="Symbol" w:hint="default"/>
      </w:rPr>
    </w:lvl>
    <w:lvl w:ilvl="1" w:tplc="C75207AE">
      <w:numFmt w:val="decimal"/>
      <w:lvlText w:val=""/>
      <w:lvlJc w:val="left"/>
    </w:lvl>
    <w:lvl w:ilvl="2" w:tplc="DCFA119E">
      <w:numFmt w:val="decimal"/>
      <w:lvlText w:val=""/>
      <w:lvlJc w:val="left"/>
    </w:lvl>
    <w:lvl w:ilvl="3" w:tplc="5EAA155E">
      <w:numFmt w:val="decimal"/>
      <w:lvlText w:val=""/>
      <w:lvlJc w:val="left"/>
    </w:lvl>
    <w:lvl w:ilvl="4" w:tplc="1B5CFB5E">
      <w:numFmt w:val="decimal"/>
      <w:lvlText w:val=""/>
      <w:lvlJc w:val="left"/>
    </w:lvl>
    <w:lvl w:ilvl="5" w:tplc="F0988464">
      <w:numFmt w:val="decimal"/>
      <w:lvlText w:val=""/>
      <w:lvlJc w:val="left"/>
    </w:lvl>
    <w:lvl w:ilvl="6" w:tplc="5C7EDE54">
      <w:numFmt w:val="decimal"/>
      <w:lvlText w:val=""/>
      <w:lvlJc w:val="left"/>
    </w:lvl>
    <w:lvl w:ilvl="7" w:tplc="CDF0FB6A">
      <w:numFmt w:val="decimal"/>
      <w:lvlText w:val=""/>
      <w:lvlJc w:val="left"/>
    </w:lvl>
    <w:lvl w:ilvl="8" w:tplc="D0D8644C">
      <w:numFmt w:val="decimal"/>
      <w:lvlText w:val=""/>
      <w:lvlJc w:val="left"/>
    </w:lvl>
  </w:abstractNum>
  <w:abstractNum w:abstractNumId="826" w15:restartNumberingAfterBreak="0">
    <w:nsid w:val="582E1A50"/>
    <w:multiLevelType w:val="hybridMultilevel"/>
    <w:tmpl w:val="35BE1122"/>
    <w:lvl w:ilvl="0" w:tplc="C646090E">
      <w:start w:val="1"/>
      <w:numFmt w:val="bullet"/>
      <w:lvlText w:val=""/>
      <w:lvlJc w:val="left"/>
      <w:pPr>
        <w:ind w:left="720" w:hanging="180"/>
      </w:pPr>
      <w:rPr>
        <w:rFonts w:ascii="Symbol" w:hAnsi="Symbol" w:hint="default"/>
      </w:rPr>
    </w:lvl>
    <w:lvl w:ilvl="1" w:tplc="D1B247D6">
      <w:numFmt w:val="decimal"/>
      <w:lvlText w:val=""/>
      <w:lvlJc w:val="left"/>
    </w:lvl>
    <w:lvl w:ilvl="2" w:tplc="74B493E2">
      <w:numFmt w:val="decimal"/>
      <w:lvlText w:val=""/>
      <w:lvlJc w:val="left"/>
    </w:lvl>
    <w:lvl w:ilvl="3" w:tplc="D8F23346">
      <w:numFmt w:val="decimal"/>
      <w:lvlText w:val=""/>
      <w:lvlJc w:val="left"/>
    </w:lvl>
    <w:lvl w:ilvl="4" w:tplc="64E0755C">
      <w:numFmt w:val="decimal"/>
      <w:lvlText w:val=""/>
      <w:lvlJc w:val="left"/>
    </w:lvl>
    <w:lvl w:ilvl="5" w:tplc="C91CCF60">
      <w:numFmt w:val="decimal"/>
      <w:lvlText w:val=""/>
      <w:lvlJc w:val="left"/>
    </w:lvl>
    <w:lvl w:ilvl="6" w:tplc="26C4A638">
      <w:numFmt w:val="decimal"/>
      <w:lvlText w:val=""/>
      <w:lvlJc w:val="left"/>
    </w:lvl>
    <w:lvl w:ilvl="7" w:tplc="3A38F908">
      <w:numFmt w:val="decimal"/>
      <w:lvlText w:val=""/>
      <w:lvlJc w:val="left"/>
    </w:lvl>
    <w:lvl w:ilvl="8" w:tplc="492EBE1A">
      <w:numFmt w:val="decimal"/>
      <w:lvlText w:val=""/>
      <w:lvlJc w:val="left"/>
    </w:lvl>
  </w:abstractNum>
  <w:abstractNum w:abstractNumId="827" w15:restartNumberingAfterBreak="0">
    <w:nsid w:val="583F271C"/>
    <w:multiLevelType w:val="hybridMultilevel"/>
    <w:tmpl w:val="2230DED8"/>
    <w:lvl w:ilvl="0" w:tplc="80DE603E">
      <w:start w:val="1"/>
      <w:numFmt w:val="bullet"/>
      <w:lvlText w:val=""/>
      <w:lvlJc w:val="left"/>
      <w:pPr>
        <w:ind w:left="720" w:hanging="180"/>
      </w:pPr>
      <w:rPr>
        <w:rFonts w:ascii="Symbol" w:hAnsi="Symbol" w:hint="default"/>
      </w:rPr>
    </w:lvl>
    <w:lvl w:ilvl="1" w:tplc="A97475A2">
      <w:numFmt w:val="decimal"/>
      <w:lvlText w:val=""/>
      <w:lvlJc w:val="left"/>
    </w:lvl>
    <w:lvl w:ilvl="2" w:tplc="3B6CF26C">
      <w:numFmt w:val="decimal"/>
      <w:lvlText w:val=""/>
      <w:lvlJc w:val="left"/>
    </w:lvl>
    <w:lvl w:ilvl="3" w:tplc="A9D85AE8">
      <w:numFmt w:val="decimal"/>
      <w:lvlText w:val=""/>
      <w:lvlJc w:val="left"/>
    </w:lvl>
    <w:lvl w:ilvl="4" w:tplc="F0E2D5AA">
      <w:numFmt w:val="decimal"/>
      <w:lvlText w:val=""/>
      <w:lvlJc w:val="left"/>
    </w:lvl>
    <w:lvl w:ilvl="5" w:tplc="7F3A362C">
      <w:numFmt w:val="decimal"/>
      <w:lvlText w:val=""/>
      <w:lvlJc w:val="left"/>
    </w:lvl>
    <w:lvl w:ilvl="6" w:tplc="A4A859AE">
      <w:numFmt w:val="decimal"/>
      <w:lvlText w:val=""/>
      <w:lvlJc w:val="left"/>
    </w:lvl>
    <w:lvl w:ilvl="7" w:tplc="DEAA9F86">
      <w:numFmt w:val="decimal"/>
      <w:lvlText w:val=""/>
      <w:lvlJc w:val="left"/>
    </w:lvl>
    <w:lvl w:ilvl="8" w:tplc="5EE4B728">
      <w:numFmt w:val="decimal"/>
      <w:lvlText w:val=""/>
      <w:lvlJc w:val="left"/>
    </w:lvl>
  </w:abstractNum>
  <w:abstractNum w:abstractNumId="828" w15:restartNumberingAfterBreak="0">
    <w:nsid w:val="58587494"/>
    <w:multiLevelType w:val="hybridMultilevel"/>
    <w:tmpl w:val="5E020D20"/>
    <w:lvl w:ilvl="0" w:tplc="E828DD84">
      <w:start w:val="1"/>
      <w:numFmt w:val="bullet"/>
      <w:lvlText w:val=""/>
      <w:lvlJc w:val="left"/>
      <w:pPr>
        <w:ind w:left="720" w:hanging="180"/>
      </w:pPr>
      <w:rPr>
        <w:rFonts w:ascii="Symbol" w:hAnsi="Symbol" w:hint="default"/>
      </w:rPr>
    </w:lvl>
    <w:lvl w:ilvl="1" w:tplc="B21EA306">
      <w:numFmt w:val="decimal"/>
      <w:lvlText w:val=""/>
      <w:lvlJc w:val="left"/>
    </w:lvl>
    <w:lvl w:ilvl="2" w:tplc="B67AE0B4">
      <w:numFmt w:val="decimal"/>
      <w:lvlText w:val=""/>
      <w:lvlJc w:val="left"/>
    </w:lvl>
    <w:lvl w:ilvl="3" w:tplc="01BE267E">
      <w:numFmt w:val="decimal"/>
      <w:lvlText w:val=""/>
      <w:lvlJc w:val="left"/>
    </w:lvl>
    <w:lvl w:ilvl="4" w:tplc="F46EA6B4">
      <w:numFmt w:val="decimal"/>
      <w:lvlText w:val=""/>
      <w:lvlJc w:val="left"/>
    </w:lvl>
    <w:lvl w:ilvl="5" w:tplc="C58E74CC">
      <w:numFmt w:val="decimal"/>
      <w:lvlText w:val=""/>
      <w:lvlJc w:val="left"/>
    </w:lvl>
    <w:lvl w:ilvl="6" w:tplc="116CB066">
      <w:numFmt w:val="decimal"/>
      <w:lvlText w:val=""/>
      <w:lvlJc w:val="left"/>
    </w:lvl>
    <w:lvl w:ilvl="7" w:tplc="E3D29730">
      <w:numFmt w:val="decimal"/>
      <w:lvlText w:val=""/>
      <w:lvlJc w:val="left"/>
    </w:lvl>
    <w:lvl w:ilvl="8" w:tplc="9064C69A">
      <w:numFmt w:val="decimal"/>
      <w:lvlText w:val=""/>
      <w:lvlJc w:val="left"/>
    </w:lvl>
  </w:abstractNum>
  <w:abstractNum w:abstractNumId="829" w15:restartNumberingAfterBreak="0">
    <w:nsid w:val="5885280F"/>
    <w:multiLevelType w:val="hybridMultilevel"/>
    <w:tmpl w:val="F0CECCA0"/>
    <w:lvl w:ilvl="0" w:tplc="A4CE14FE">
      <w:start w:val="1"/>
      <w:numFmt w:val="bullet"/>
      <w:lvlText w:val=""/>
      <w:lvlJc w:val="left"/>
      <w:pPr>
        <w:ind w:left="720" w:hanging="180"/>
      </w:pPr>
      <w:rPr>
        <w:rFonts w:ascii="Symbol" w:hAnsi="Symbol" w:hint="default"/>
      </w:rPr>
    </w:lvl>
    <w:lvl w:ilvl="1" w:tplc="CB5C3442">
      <w:numFmt w:val="decimal"/>
      <w:lvlText w:val=""/>
      <w:lvlJc w:val="left"/>
    </w:lvl>
    <w:lvl w:ilvl="2" w:tplc="41FE19E4">
      <w:numFmt w:val="decimal"/>
      <w:lvlText w:val=""/>
      <w:lvlJc w:val="left"/>
    </w:lvl>
    <w:lvl w:ilvl="3" w:tplc="B4000160">
      <w:numFmt w:val="decimal"/>
      <w:lvlText w:val=""/>
      <w:lvlJc w:val="left"/>
    </w:lvl>
    <w:lvl w:ilvl="4" w:tplc="1CDC8E44">
      <w:numFmt w:val="decimal"/>
      <w:lvlText w:val=""/>
      <w:lvlJc w:val="left"/>
    </w:lvl>
    <w:lvl w:ilvl="5" w:tplc="55B68792">
      <w:numFmt w:val="decimal"/>
      <w:lvlText w:val=""/>
      <w:lvlJc w:val="left"/>
    </w:lvl>
    <w:lvl w:ilvl="6" w:tplc="66E03AD0">
      <w:numFmt w:val="decimal"/>
      <w:lvlText w:val=""/>
      <w:lvlJc w:val="left"/>
    </w:lvl>
    <w:lvl w:ilvl="7" w:tplc="C2667278">
      <w:numFmt w:val="decimal"/>
      <w:lvlText w:val=""/>
      <w:lvlJc w:val="left"/>
    </w:lvl>
    <w:lvl w:ilvl="8" w:tplc="EC7880A4">
      <w:numFmt w:val="decimal"/>
      <w:lvlText w:val=""/>
      <w:lvlJc w:val="left"/>
    </w:lvl>
  </w:abstractNum>
  <w:abstractNum w:abstractNumId="830" w15:restartNumberingAfterBreak="0">
    <w:nsid w:val="58A61386"/>
    <w:multiLevelType w:val="hybridMultilevel"/>
    <w:tmpl w:val="6BDC3DF2"/>
    <w:lvl w:ilvl="0" w:tplc="D2046FB2">
      <w:start w:val="1"/>
      <w:numFmt w:val="bullet"/>
      <w:lvlText w:val=""/>
      <w:lvlJc w:val="left"/>
      <w:pPr>
        <w:ind w:left="720" w:hanging="180"/>
      </w:pPr>
      <w:rPr>
        <w:rFonts w:ascii="Symbol" w:hAnsi="Symbol" w:hint="default"/>
      </w:rPr>
    </w:lvl>
    <w:lvl w:ilvl="1" w:tplc="593A61D2">
      <w:numFmt w:val="decimal"/>
      <w:lvlText w:val=""/>
      <w:lvlJc w:val="left"/>
    </w:lvl>
    <w:lvl w:ilvl="2" w:tplc="19482922">
      <w:numFmt w:val="decimal"/>
      <w:lvlText w:val=""/>
      <w:lvlJc w:val="left"/>
    </w:lvl>
    <w:lvl w:ilvl="3" w:tplc="5D3402E2">
      <w:numFmt w:val="decimal"/>
      <w:lvlText w:val=""/>
      <w:lvlJc w:val="left"/>
    </w:lvl>
    <w:lvl w:ilvl="4" w:tplc="E08AA450">
      <w:numFmt w:val="decimal"/>
      <w:lvlText w:val=""/>
      <w:lvlJc w:val="left"/>
    </w:lvl>
    <w:lvl w:ilvl="5" w:tplc="0D664E3C">
      <w:numFmt w:val="decimal"/>
      <w:lvlText w:val=""/>
      <w:lvlJc w:val="left"/>
    </w:lvl>
    <w:lvl w:ilvl="6" w:tplc="E384D97A">
      <w:numFmt w:val="decimal"/>
      <w:lvlText w:val=""/>
      <w:lvlJc w:val="left"/>
    </w:lvl>
    <w:lvl w:ilvl="7" w:tplc="9D2E7AEA">
      <w:numFmt w:val="decimal"/>
      <w:lvlText w:val=""/>
      <w:lvlJc w:val="left"/>
    </w:lvl>
    <w:lvl w:ilvl="8" w:tplc="C1EAB66E">
      <w:numFmt w:val="decimal"/>
      <w:lvlText w:val=""/>
      <w:lvlJc w:val="left"/>
    </w:lvl>
  </w:abstractNum>
  <w:abstractNum w:abstractNumId="831" w15:restartNumberingAfterBreak="0">
    <w:nsid w:val="58F156F0"/>
    <w:multiLevelType w:val="hybridMultilevel"/>
    <w:tmpl w:val="F68AB5FA"/>
    <w:lvl w:ilvl="0" w:tplc="ACCEE3A0">
      <w:numFmt w:val="decimal"/>
      <w:lvlText w:val=""/>
      <w:lvlJc w:val="left"/>
    </w:lvl>
    <w:lvl w:ilvl="1" w:tplc="048CB49E">
      <w:start w:val="1"/>
      <w:numFmt w:val="bullet"/>
      <w:lvlText w:val=""/>
      <w:lvlJc w:val="left"/>
      <w:pPr>
        <w:ind w:left="1440" w:hanging="180"/>
      </w:pPr>
      <w:rPr>
        <w:rFonts w:ascii="Symbol" w:hAnsi="Symbol" w:hint="default"/>
      </w:rPr>
    </w:lvl>
    <w:lvl w:ilvl="2" w:tplc="93F826F0">
      <w:numFmt w:val="decimal"/>
      <w:lvlText w:val=""/>
      <w:lvlJc w:val="left"/>
    </w:lvl>
    <w:lvl w:ilvl="3" w:tplc="189442B6">
      <w:numFmt w:val="decimal"/>
      <w:lvlText w:val=""/>
      <w:lvlJc w:val="left"/>
    </w:lvl>
    <w:lvl w:ilvl="4" w:tplc="AE6AA112">
      <w:numFmt w:val="decimal"/>
      <w:lvlText w:val=""/>
      <w:lvlJc w:val="left"/>
    </w:lvl>
    <w:lvl w:ilvl="5" w:tplc="BFAA52B2">
      <w:numFmt w:val="decimal"/>
      <w:lvlText w:val=""/>
      <w:lvlJc w:val="left"/>
    </w:lvl>
    <w:lvl w:ilvl="6" w:tplc="E8D0F89E">
      <w:numFmt w:val="decimal"/>
      <w:lvlText w:val=""/>
      <w:lvlJc w:val="left"/>
    </w:lvl>
    <w:lvl w:ilvl="7" w:tplc="88664028">
      <w:numFmt w:val="decimal"/>
      <w:lvlText w:val=""/>
      <w:lvlJc w:val="left"/>
    </w:lvl>
    <w:lvl w:ilvl="8" w:tplc="B0E4880E">
      <w:numFmt w:val="decimal"/>
      <w:lvlText w:val=""/>
      <w:lvlJc w:val="left"/>
    </w:lvl>
  </w:abstractNum>
  <w:abstractNum w:abstractNumId="832" w15:restartNumberingAfterBreak="0">
    <w:nsid w:val="58F20DCF"/>
    <w:multiLevelType w:val="hybridMultilevel"/>
    <w:tmpl w:val="E80C9BB2"/>
    <w:lvl w:ilvl="0" w:tplc="A9B4FF28">
      <w:start w:val="1"/>
      <w:numFmt w:val="bullet"/>
      <w:lvlText w:val=""/>
      <w:lvlJc w:val="left"/>
      <w:pPr>
        <w:ind w:left="720" w:hanging="180"/>
      </w:pPr>
      <w:rPr>
        <w:rFonts w:ascii="Symbol" w:hAnsi="Symbol" w:hint="default"/>
      </w:rPr>
    </w:lvl>
    <w:lvl w:ilvl="1" w:tplc="363E4C4E">
      <w:numFmt w:val="decimal"/>
      <w:lvlText w:val=""/>
      <w:lvlJc w:val="left"/>
    </w:lvl>
    <w:lvl w:ilvl="2" w:tplc="D19E51EA">
      <w:numFmt w:val="decimal"/>
      <w:lvlText w:val=""/>
      <w:lvlJc w:val="left"/>
    </w:lvl>
    <w:lvl w:ilvl="3" w:tplc="0994AED4">
      <w:numFmt w:val="decimal"/>
      <w:lvlText w:val=""/>
      <w:lvlJc w:val="left"/>
    </w:lvl>
    <w:lvl w:ilvl="4" w:tplc="8E5255B2">
      <w:numFmt w:val="decimal"/>
      <w:lvlText w:val=""/>
      <w:lvlJc w:val="left"/>
    </w:lvl>
    <w:lvl w:ilvl="5" w:tplc="0AFCD98C">
      <w:numFmt w:val="decimal"/>
      <w:lvlText w:val=""/>
      <w:lvlJc w:val="left"/>
    </w:lvl>
    <w:lvl w:ilvl="6" w:tplc="863A01D8">
      <w:numFmt w:val="decimal"/>
      <w:lvlText w:val=""/>
      <w:lvlJc w:val="left"/>
    </w:lvl>
    <w:lvl w:ilvl="7" w:tplc="FD3C7D38">
      <w:numFmt w:val="decimal"/>
      <w:lvlText w:val=""/>
      <w:lvlJc w:val="left"/>
    </w:lvl>
    <w:lvl w:ilvl="8" w:tplc="36141E02">
      <w:numFmt w:val="decimal"/>
      <w:lvlText w:val=""/>
      <w:lvlJc w:val="left"/>
    </w:lvl>
  </w:abstractNum>
  <w:abstractNum w:abstractNumId="833" w15:restartNumberingAfterBreak="0">
    <w:nsid w:val="59420C95"/>
    <w:multiLevelType w:val="hybridMultilevel"/>
    <w:tmpl w:val="C29C698C"/>
    <w:lvl w:ilvl="0" w:tplc="8BEA1F6E">
      <w:start w:val="1"/>
      <w:numFmt w:val="bullet"/>
      <w:lvlText w:val=""/>
      <w:lvlJc w:val="left"/>
      <w:pPr>
        <w:ind w:left="720" w:hanging="180"/>
      </w:pPr>
      <w:rPr>
        <w:rFonts w:ascii="Symbol" w:hAnsi="Symbol" w:hint="default"/>
      </w:rPr>
    </w:lvl>
    <w:lvl w:ilvl="1" w:tplc="2EF8635A">
      <w:numFmt w:val="decimal"/>
      <w:lvlText w:val=""/>
      <w:lvlJc w:val="left"/>
    </w:lvl>
    <w:lvl w:ilvl="2" w:tplc="CA62CA1E">
      <w:numFmt w:val="decimal"/>
      <w:lvlText w:val=""/>
      <w:lvlJc w:val="left"/>
    </w:lvl>
    <w:lvl w:ilvl="3" w:tplc="5E2ACB94">
      <w:numFmt w:val="decimal"/>
      <w:lvlText w:val=""/>
      <w:lvlJc w:val="left"/>
    </w:lvl>
    <w:lvl w:ilvl="4" w:tplc="62ACCD4C">
      <w:numFmt w:val="decimal"/>
      <w:lvlText w:val=""/>
      <w:lvlJc w:val="left"/>
    </w:lvl>
    <w:lvl w:ilvl="5" w:tplc="638426E8">
      <w:numFmt w:val="decimal"/>
      <w:lvlText w:val=""/>
      <w:lvlJc w:val="left"/>
    </w:lvl>
    <w:lvl w:ilvl="6" w:tplc="205CDD7A">
      <w:numFmt w:val="decimal"/>
      <w:lvlText w:val=""/>
      <w:lvlJc w:val="left"/>
    </w:lvl>
    <w:lvl w:ilvl="7" w:tplc="207A6894">
      <w:numFmt w:val="decimal"/>
      <w:lvlText w:val=""/>
      <w:lvlJc w:val="left"/>
    </w:lvl>
    <w:lvl w:ilvl="8" w:tplc="4E5C8A68">
      <w:numFmt w:val="decimal"/>
      <w:lvlText w:val=""/>
      <w:lvlJc w:val="left"/>
    </w:lvl>
  </w:abstractNum>
  <w:abstractNum w:abstractNumId="834" w15:restartNumberingAfterBreak="0">
    <w:nsid w:val="59584250"/>
    <w:multiLevelType w:val="hybridMultilevel"/>
    <w:tmpl w:val="80A83170"/>
    <w:lvl w:ilvl="0" w:tplc="DD1AC9FC">
      <w:start w:val="1"/>
      <w:numFmt w:val="bullet"/>
      <w:lvlText w:val=""/>
      <w:lvlJc w:val="left"/>
      <w:pPr>
        <w:ind w:left="720" w:hanging="180"/>
      </w:pPr>
      <w:rPr>
        <w:rFonts w:ascii="Symbol" w:hAnsi="Symbol" w:hint="default"/>
      </w:rPr>
    </w:lvl>
    <w:lvl w:ilvl="1" w:tplc="43B63210">
      <w:numFmt w:val="decimal"/>
      <w:lvlText w:val=""/>
      <w:lvlJc w:val="left"/>
    </w:lvl>
    <w:lvl w:ilvl="2" w:tplc="FA204546">
      <w:numFmt w:val="decimal"/>
      <w:lvlText w:val=""/>
      <w:lvlJc w:val="left"/>
    </w:lvl>
    <w:lvl w:ilvl="3" w:tplc="0FDA8846">
      <w:numFmt w:val="decimal"/>
      <w:lvlText w:val=""/>
      <w:lvlJc w:val="left"/>
    </w:lvl>
    <w:lvl w:ilvl="4" w:tplc="4B4E54B8">
      <w:numFmt w:val="decimal"/>
      <w:lvlText w:val=""/>
      <w:lvlJc w:val="left"/>
    </w:lvl>
    <w:lvl w:ilvl="5" w:tplc="66DC96A2">
      <w:numFmt w:val="decimal"/>
      <w:lvlText w:val=""/>
      <w:lvlJc w:val="left"/>
    </w:lvl>
    <w:lvl w:ilvl="6" w:tplc="6A0A693A">
      <w:numFmt w:val="decimal"/>
      <w:lvlText w:val=""/>
      <w:lvlJc w:val="left"/>
    </w:lvl>
    <w:lvl w:ilvl="7" w:tplc="719832AC">
      <w:numFmt w:val="decimal"/>
      <w:lvlText w:val=""/>
      <w:lvlJc w:val="left"/>
    </w:lvl>
    <w:lvl w:ilvl="8" w:tplc="40345F5A">
      <w:numFmt w:val="decimal"/>
      <w:lvlText w:val=""/>
      <w:lvlJc w:val="left"/>
    </w:lvl>
  </w:abstractNum>
  <w:abstractNum w:abstractNumId="835" w15:restartNumberingAfterBreak="0">
    <w:nsid w:val="59654153"/>
    <w:multiLevelType w:val="hybridMultilevel"/>
    <w:tmpl w:val="BE7E7F16"/>
    <w:lvl w:ilvl="0" w:tplc="FF4EF4BC">
      <w:start w:val="1"/>
      <w:numFmt w:val="bullet"/>
      <w:lvlText w:val=""/>
      <w:lvlJc w:val="left"/>
      <w:pPr>
        <w:ind w:left="720" w:hanging="180"/>
      </w:pPr>
      <w:rPr>
        <w:rFonts w:ascii="Symbol" w:hAnsi="Symbol" w:hint="default"/>
      </w:rPr>
    </w:lvl>
    <w:lvl w:ilvl="1" w:tplc="8388832E">
      <w:numFmt w:val="decimal"/>
      <w:lvlText w:val=""/>
      <w:lvlJc w:val="left"/>
    </w:lvl>
    <w:lvl w:ilvl="2" w:tplc="2064E886">
      <w:numFmt w:val="decimal"/>
      <w:lvlText w:val=""/>
      <w:lvlJc w:val="left"/>
    </w:lvl>
    <w:lvl w:ilvl="3" w:tplc="061808A4">
      <w:numFmt w:val="decimal"/>
      <w:lvlText w:val=""/>
      <w:lvlJc w:val="left"/>
    </w:lvl>
    <w:lvl w:ilvl="4" w:tplc="DA6AABB2">
      <w:numFmt w:val="decimal"/>
      <w:lvlText w:val=""/>
      <w:lvlJc w:val="left"/>
    </w:lvl>
    <w:lvl w:ilvl="5" w:tplc="3F74920E">
      <w:numFmt w:val="decimal"/>
      <w:lvlText w:val=""/>
      <w:lvlJc w:val="left"/>
    </w:lvl>
    <w:lvl w:ilvl="6" w:tplc="C3DC860A">
      <w:numFmt w:val="decimal"/>
      <w:lvlText w:val=""/>
      <w:lvlJc w:val="left"/>
    </w:lvl>
    <w:lvl w:ilvl="7" w:tplc="D48A3DAA">
      <w:numFmt w:val="decimal"/>
      <w:lvlText w:val=""/>
      <w:lvlJc w:val="left"/>
    </w:lvl>
    <w:lvl w:ilvl="8" w:tplc="EF76159C">
      <w:numFmt w:val="decimal"/>
      <w:lvlText w:val=""/>
      <w:lvlJc w:val="left"/>
    </w:lvl>
  </w:abstractNum>
  <w:abstractNum w:abstractNumId="836" w15:restartNumberingAfterBreak="0">
    <w:nsid w:val="596D6392"/>
    <w:multiLevelType w:val="hybridMultilevel"/>
    <w:tmpl w:val="27EE32A8"/>
    <w:lvl w:ilvl="0" w:tplc="D0C6E214">
      <w:start w:val="1"/>
      <w:numFmt w:val="bullet"/>
      <w:lvlText w:val=""/>
      <w:lvlJc w:val="left"/>
      <w:pPr>
        <w:ind w:left="720" w:hanging="180"/>
      </w:pPr>
      <w:rPr>
        <w:rFonts w:ascii="Symbol" w:hAnsi="Symbol" w:hint="default"/>
      </w:rPr>
    </w:lvl>
    <w:lvl w:ilvl="1" w:tplc="B3149432">
      <w:numFmt w:val="decimal"/>
      <w:lvlText w:val=""/>
      <w:lvlJc w:val="left"/>
    </w:lvl>
    <w:lvl w:ilvl="2" w:tplc="E2789EE2">
      <w:numFmt w:val="decimal"/>
      <w:lvlText w:val=""/>
      <w:lvlJc w:val="left"/>
    </w:lvl>
    <w:lvl w:ilvl="3" w:tplc="AED6E01C">
      <w:numFmt w:val="decimal"/>
      <w:lvlText w:val=""/>
      <w:lvlJc w:val="left"/>
    </w:lvl>
    <w:lvl w:ilvl="4" w:tplc="1E562460">
      <w:numFmt w:val="decimal"/>
      <w:lvlText w:val=""/>
      <w:lvlJc w:val="left"/>
    </w:lvl>
    <w:lvl w:ilvl="5" w:tplc="E3E09778">
      <w:numFmt w:val="decimal"/>
      <w:lvlText w:val=""/>
      <w:lvlJc w:val="left"/>
    </w:lvl>
    <w:lvl w:ilvl="6" w:tplc="3FDAE2F4">
      <w:numFmt w:val="decimal"/>
      <w:lvlText w:val=""/>
      <w:lvlJc w:val="left"/>
    </w:lvl>
    <w:lvl w:ilvl="7" w:tplc="48C28AD6">
      <w:numFmt w:val="decimal"/>
      <w:lvlText w:val=""/>
      <w:lvlJc w:val="left"/>
    </w:lvl>
    <w:lvl w:ilvl="8" w:tplc="BFD2666C">
      <w:numFmt w:val="decimal"/>
      <w:lvlText w:val=""/>
      <w:lvlJc w:val="left"/>
    </w:lvl>
  </w:abstractNum>
  <w:abstractNum w:abstractNumId="837" w15:restartNumberingAfterBreak="0">
    <w:nsid w:val="5978209C"/>
    <w:multiLevelType w:val="hybridMultilevel"/>
    <w:tmpl w:val="874E54D8"/>
    <w:lvl w:ilvl="0" w:tplc="6F104382">
      <w:start w:val="1"/>
      <w:numFmt w:val="bullet"/>
      <w:lvlText w:val=""/>
      <w:lvlJc w:val="left"/>
      <w:pPr>
        <w:ind w:left="720" w:hanging="180"/>
      </w:pPr>
      <w:rPr>
        <w:rFonts w:ascii="Symbol" w:hAnsi="Symbol" w:hint="default"/>
      </w:rPr>
    </w:lvl>
    <w:lvl w:ilvl="1" w:tplc="48D2166E">
      <w:numFmt w:val="decimal"/>
      <w:lvlText w:val=""/>
      <w:lvlJc w:val="left"/>
    </w:lvl>
    <w:lvl w:ilvl="2" w:tplc="D3087700">
      <w:numFmt w:val="decimal"/>
      <w:lvlText w:val=""/>
      <w:lvlJc w:val="left"/>
    </w:lvl>
    <w:lvl w:ilvl="3" w:tplc="B386CA66">
      <w:numFmt w:val="decimal"/>
      <w:lvlText w:val=""/>
      <w:lvlJc w:val="left"/>
    </w:lvl>
    <w:lvl w:ilvl="4" w:tplc="49AA6470">
      <w:numFmt w:val="decimal"/>
      <w:lvlText w:val=""/>
      <w:lvlJc w:val="left"/>
    </w:lvl>
    <w:lvl w:ilvl="5" w:tplc="7B4EECE2">
      <w:numFmt w:val="decimal"/>
      <w:lvlText w:val=""/>
      <w:lvlJc w:val="left"/>
    </w:lvl>
    <w:lvl w:ilvl="6" w:tplc="1D9C373E">
      <w:numFmt w:val="decimal"/>
      <w:lvlText w:val=""/>
      <w:lvlJc w:val="left"/>
    </w:lvl>
    <w:lvl w:ilvl="7" w:tplc="CC16E41E">
      <w:numFmt w:val="decimal"/>
      <w:lvlText w:val=""/>
      <w:lvlJc w:val="left"/>
    </w:lvl>
    <w:lvl w:ilvl="8" w:tplc="0692670C">
      <w:numFmt w:val="decimal"/>
      <w:lvlText w:val=""/>
      <w:lvlJc w:val="left"/>
    </w:lvl>
  </w:abstractNum>
  <w:abstractNum w:abstractNumId="838" w15:restartNumberingAfterBreak="0">
    <w:nsid w:val="59803AF0"/>
    <w:multiLevelType w:val="hybridMultilevel"/>
    <w:tmpl w:val="9FA02A6A"/>
    <w:lvl w:ilvl="0" w:tplc="9F2858AA">
      <w:start w:val="1"/>
      <w:numFmt w:val="bullet"/>
      <w:lvlText w:val=""/>
      <w:lvlJc w:val="left"/>
      <w:pPr>
        <w:ind w:left="720" w:hanging="180"/>
      </w:pPr>
      <w:rPr>
        <w:rFonts w:ascii="Symbol" w:hAnsi="Symbol" w:hint="default"/>
      </w:rPr>
    </w:lvl>
    <w:lvl w:ilvl="1" w:tplc="0B5E8F56">
      <w:numFmt w:val="decimal"/>
      <w:lvlText w:val=""/>
      <w:lvlJc w:val="left"/>
    </w:lvl>
    <w:lvl w:ilvl="2" w:tplc="38C088C2">
      <w:numFmt w:val="decimal"/>
      <w:lvlText w:val=""/>
      <w:lvlJc w:val="left"/>
    </w:lvl>
    <w:lvl w:ilvl="3" w:tplc="0624D298">
      <w:numFmt w:val="decimal"/>
      <w:lvlText w:val=""/>
      <w:lvlJc w:val="left"/>
    </w:lvl>
    <w:lvl w:ilvl="4" w:tplc="AB12615C">
      <w:numFmt w:val="decimal"/>
      <w:lvlText w:val=""/>
      <w:lvlJc w:val="left"/>
    </w:lvl>
    <w:lvl w:ilvl="5" w:tplc="83942F5A">
      <w:numFmt w:val="decimal"/>
      <w:lvlText w:val=""/>
      <w:lvlJc w:val="left"/>
    </w:lvl>
    <w:lvl w:ilvl="6" w:tplc="1C786B3E">
      <w:numFmt w:val="decimal"/>
      <w:lvlText w:val=""/>
      <w:lvlJc w:val="left"/>
    </w:lvl>
    <w:lvl w:ilvl="7" w:tplc="854A0898">
      <w:numFmt w:val="decimal"/>
      <w:lvlText w:val=""/>
      <w:lvlJc w:val="left"/>
    </w:lvl>
    <w:lvl w:ilvl="8" w:tplc="FD926A68">
      <w:numFmt w:val="decimal"/>
      <w:lvlText w:val=""/>
      <w:lvlJc w:val="left"/>
    </w:lvl>
  </w:abstractNum>
  <w:abstractNum w:abstractNumId="839" w15:restartNumberingAfterBreak="0">
    <w:nsid w:val="598A3AF1"/>
    <w:multiLevelType w:val="hybridMultilevel"/>
    <w:tmpl w:val="E15E55BA"/>
    <w:lvl w:ilvl="0" w:tplc="4FFA834E">
      <w:start w:val="1"/>
      <w:numFmt w:val="bullet"/>
      <w:lvlText w:val=""/>
      <w:lvlJc w:val="left"/>
      <w:pPr>
        <w:ind w:left="720" w:hanging="180"/>
      </w:pPr>
      <w:rPr>
        <w:rFonts w:ascii="Symbol" w:hAnsi="Symbol" w:hint="default"/>
      </w:rPr>
    </w:lvl>
    <w:lvl w:ilvl="1" w:tplc="EDC65566">
      <w:numFmt w:val="decimal"/>
      <w:lvlText w:val=""/>
      <w:lvlJc w:val="left"/>
    </w:lvl>
    <w:lvl w:ilvl="2" w:tplc="992EDF28">
      <w:numFmt w:val="decimal"/>
      <w:lvlText w:val=""/>
      <w:lvlJc w:val="left"/>
    </w:lvl>
    <w:lvl w:ilvl="3" w:tplc="AB50A6D8">
      <w:numFmt w:val="decimal"/>
      <w:lvlText w:val=""/>
      <w:lvlJc w:val="left"/>
    </w:lvl>
    <w:lvl w:ilvl="4" w:tplc="60CE3E92">
      <w:numFmt w:val="decimal"/>
      <w:lvlText w:val=""/>
      <w:lvlJc w:val="left"/>
    </w:lvl>
    <w:lvl w:ilvl="5" w:tplc="F920C654">
      <w:numFmt w:val="decimal"/>
      <w:lvlText w:val=""/>
      <w:lvlJc w:val="left"/>
    </w:lvl>
    <w:lvl w:ilvl="6" w:tplc="33B28E10">
      <w:numFmt w:val="decimal"/>
      <w:lvlText w:val=""/>
      <w:lvlJc w:val="left"/>
    </w:lvl>
    <w:lvl w:ilvl="7" w:tplc="5DB66DC0">
      <w:numFmt w:val="decimal"/>
      <w:lvlText w:val=""/>
      <w:lvlJc w:val="left"/>
    </w:lvl>
    <w:lvl w:ilvl="8" w:tplc="D004CE44">
      <w:numFmt w:val="decimal"/>
      <w:lvlText w:val=""/>
      <w:lvlJc w:val="left"/>
    </w:lvl>
  </w:abstractNum>
  <w:abstractNum w:abstractNumId="840" w15:restartNumberingAfterBreak="0">
    <w:nsid w:val="59921106"/>
    <w:multiLevelType w:val="hybridMultilevel"/>
    <w:tmpl w:val="8CA4F9AA"/>
    <w:lvl w:ilvl="0" w:tplc="98BAA852">
      <w:start w:val="1"/>
      <w:numFmt w:val="bullet"/>
      <w:lvlText w:val=""/>
      <w:lvlJc w:val="left"/>
      <w:pPr>
        <w:ind w:left="720" w:hanging="180"/>
      </w:pPr>
      <w:rPr>
        <w:rFonts w:ascii="Symbol" w:hAnsi="Symbol" w:hint="default"/>
      </w:rPr>
    </w:lvl>
    <w:lvl w:ilvl="1" w:tplc="DB4ED64E">
      <w:numFmt w:val="decimal"/>
      <w:lvlText w:val=""/>
      <w:lvlJc w:val="left"/>
    </w:lvl>
    <w:lvl w:ilvl="2" w:tplc="E6283726">
      <w:numFmt w:val="decimal"/>
      <w:lvlText w:val=""/>
      <w:lvlJc w:val="left"/>
    </w:lvl>
    <w:lvl w:ilvl="3" w:tplc="0316B766">
      <w:numFmt w:val="decimal"/>
      <w:lvlText w:val=""/>
      <w:lvlJc w:val="left"/>
    </w:lvl>
    <w:lvl w:ilvl="4" w:tplc="4B322F06">
      <w:numFmt w:val="decimal"/>
      <w:lvlText w:val=""/>
      <w:lvlJc w:val="left"/>
    </w:lvl>
    <w:lvl w:ilvl="5" w:tplc="6DB8A0DA">
      <w:numFmt w:val="decimal"/>
      <w:lvlText w:val=""/>
      <w:lvlJc w:val="left"/>
    </w:lvl>
    <w:lvl w:ilvl="6" w:tplc="6E16C110">
      <w:numFmt w:val="decimal"/>
      <w:lvlText w:val=""/>
      <w:lvlJc w:val="left"/>
    </w:lvl>
    <w:lvl w:ilvl="7" w:tplc="348C2ADA">
      <w:numFmt w:val="decimal"/>
      <w:lvlText w:val=""/>
      <w:lvlJc w:val="left"/>
    </w:lvl>
    <w:lvl w:ilvl="8" w:tplc="792C31B8">
      <w:numFmt w:val="decimal"/>
      <w:lvlText w:val=""/>
      <w:lvlJc w:val="left"/>
    </w:lvl>
  </w:abstractNum>
  <w:abstractNum w:abstractNumId="841" w15:restartNumberingAfterBreak="0">
    <w:nsid w:val="59A13C0B"/>
    <w:multiLevelType w:val="hybridMultilevel"/>
    <w:tmpl w:val="40AEDC8A"/>
    <w:lvl w:ilvl="0" w:tplc="3D88F088">
      <w:start w:val="1"/>
      <w:numFmt w:val="bullet"/>
      <w:lvlText w:val=""/>
      <w:lvlJc w:val="left"/>
      <w:pPr>
        <w:ind w:left="720" w:hanging="180"/>
      </w:pPr>
      <w:rPr>
        <w:rFonts w:ascii="Symbol" w:hAnsi="Symbol" w:hint="default"/>
      </w:rPr>
    </w:lvl>
    <w:lvl w:ilvl="1" w:tplc="12F8FB3A">
      <w:numFmt w:val="decimal"/>
      <w:lvlText w:val=""/>
      <w:lvlJc w:val="left"/>
    </w:lvl>
    <w:lvl w:ilvl="2" w:tplc="86ACF090">
      <w:numFmt w:val="decimal"/>
      <w:lvlText w:val=""/>
      <w:lvlJc w:val="left"/>
    </w:lvl>
    <w:lvl w:ilvl="3" w:tplc="86EEC52A">
      <w:numFmt w:val="decimal"/>
      <w:lvlText w:val=""/>
      <w:lvlJc w:val="left"/>
    </w:lvl>
    <w:lvl w:ilvl="4" w:tplc="72E41494">
      <w:numFmt w:val="decimal"/>
      <w:lvlText w:val=""/>
      <w:lvlJc w:val="left"/>
    </w:lvl>
    <w:lvl w:ilvl="5" w:tplc="DC403DCE">
      <w:numFmt w:val="decimal"/>
      <w:lvlText w:val=""/>
      <w:lvlJc w:val="left"/>
    </w:lvl>
    <w:lvl w:ilvl="6" w:tplc="7460FF3E">
      <w:numFmt w:val="decimal"/>
      <w:lvlText w:val=""/>
      <w:lvlJc w:val="left"/>
    </w:lvl>
    <w:lvl w:ilvl="7" w:tplc="B45CDD78">
      <w:numFmt w:val="decimal"/>
      <w:lvlText w:val=""/>
      <w:lvlJc w:val="left"/>
    </w:lvl>
    <w:lvl w:ilvl="8" w:tplc="E0C68F2C">
      <w:numFmt w:val="decimal"/>
      <w:lvlText w:val=""/>
      <w:lvlJc w:val="left"/>
    </w:lvl>
  </w:abstractNum>
  <w:abstractNum w:abstractNumId="842" w15:restartNumberingAfterBreak="0">
    <w:nsid w:val="59B25CEB"/>
    <w:multiLevelType w:val="hybridMultilevel"/>
    <w:tmpl w:val="B80AE992"/>
    <w:lvl w:ilvl="0" w:tplc="16B210C6">
      <w:start w:val="1"/>
      <w:numFmt w:val="bullet"/>
      <w:lvlText w:val=""/>
      <w:lvlJc w:val="left"/>
      <w:pPr>
        <w:ind w:left="720" w:hanging="180"/>
      </w:pPr>
      <w:rPr>
        <w:rFonts w:ascii="Symbol" w:hAnsi="Symbol" w:hint="default"/>
      </w:rPr>
    </w:lvl>
    <w:lvl w:ilvl="1" w:tplc="ED34A358">
      <w:numFmt w:val="decimal"/>
      <w:lvlText w:val=""/>
      <w:lvlJc w:val="left"/>
    </w:lvl>
    <w:lvl w:ilvl="2" w:tplc="F9DABA32">
      <w:numFmt w:val="decimal"/>
      <w:lvlText w:val=""/>
      <w:lvlJc w:val="left"/>
    </w:lvl>
    <w:lvl w:ilvl="3" w:tplc="B5203162">
      <w:numFmt w:val="decimal"/>
      <w:lvlText w:val=""/>
      <w:lvlJc w:val="left"/>
    </w:lvl>
    <w:lvl w:ilvl="4" w:tplc="EC3C5ED2">
      <w:numFmt w:val="decimal"/>
      <w:lvlText w:val=""/>
      <w:lvlJc w:val="left"/>
    </w:lvl>
    <w:lvl w:ilvl="5" w:tplc="2BB2C262">
      <w:numFmt w:val="decimal"/>
      <w:lvlText w:val=""/>
      <w:lvlJc w:val="left"/>
    </w:lvl>
    <w:lvl w:ilvl="6" w:tplc="B8CE6204">
      <w:numFmt w:val="decimal"/>
      <w:lvlText w:val=""/>
      <w:lvlJc w:val="left"/>
    </w:lvl>
    <w:lvl w:ilvl="7" w:tplc="A3487E18">
      <w:numFmt w:val="decimal"/>
      <w:lvlText w:val=""/>
      <w:lvlJc w:val="left"/>
    </w:lvl>
    <w:lvl w:ilvl="8" w:tplc="EC447CA6">
      <w:numFmt w:val="decimal"/>
      <w:lvlText w:val=""/>
      <w:lvlJc w:val="left"/>
    </w:lvl>
  </w:abstractNum>
  <w:abstractNum w:abstractNumId="843" w15:restartNumberingAfterBreak="0">
    <w:nsid w:val="59B83D5B"/>
    <w:multiLevelType w:val="hybridMultilevel"/>
    <w:tmpl w:val="F3E4F622"/>
    <w:lvl w:ilvl="0" w:tplc="0AC0C668">
      <w:start w:val="1"/>
      <w:numFmt w:val="bullet"/>
      <w:lvlText w:val=""/>
      <w:lvlJc w:val="left"/>
      <w:pPr>
        <w:ind w:left="720" w:hanging="180"/>
      </w:pPr>
      <w:rPr>
        <w:rFonts w:ascii="Symbol" w:hAnsi="Symbol" w:hint="default"/>
      </w:rPr>
    </w:lvl>
    <w:lvl w:ilvl="1" w:tplc="3B545356">
      <w:numFmt w:val="decimal"/>
      <w:lvlText w:val=""/>
      <w:lvlJc w:val="left"/>
    </w:lvl>
    <w:lvl w:ilvl="2" w:tplc="884AF7EC">
      <w:numFmt w:val="decimal"/>
      <w:lvlText w:val=""/>
      <w:lvlJc w:val="left"/>
    </w:lvl>
    <w:lvl w:ilvl="3" w:tplc="9EB4F47C">
      <w:numFmt w:val="decimal"/>
      <w:lvlText w:val=""/>
      <w:lvlJc w:val="left"/>
    </w:lvl>
    <w:lvl w:ilvl="4" w:tplc="BBECD036">
      <w:numFmt w:val="decimal"/>
      <w:lvlText w:val=""/>
      <w:lvlJc w:val="left"/>
    </w:lvl>
    <w:lvl w:ilvl="5" w:tplc="5BAC339E">
      <w:numFmt w:val="decimal"/>
      <w:lvlText w:val=""/>
      <w:lvlJc w:val="left"/>
    </w:lvl>
    <w:lvl w:ilvl="6" w:tplc="AB009B0C">
      <w:numFmt w:val="decimal"/>
      <w:lvlText w:val=""/>
      <w:lvlJc w:val="left"/>
    </w:lvl>
    <w:lvl w:ilvl="7" w:tplc="CBF893DE">
      <w:numFmt w:val="decimal"/>
      <w:lvlText w:val=""/>
      <w:lvlJc w:val="left"/>
    </w:lvl>
    <w:lvl w:ilvl="8" w:tplc="1DA47926">
      <w:numFmt w:val="decimal"/>
      <w:lvlText w:val=""/>
      <w:lvlJc w:val="left"/>
    </w:lvl>
  </w:abstractNum>
  <w:abstractNum w:abstractNumId="844" w15:restartNumberingAfterBreak="0">
    <w:nsid w:val="59E31C44"/>
    <w:multiLevelType w:val="hybridMultilevel"/>
    <w:tmpl w:val="033C631E"/>
    <w:lvl w:ilvl="0" w:tplc="F35463FE">
      <w:start w:val="1"/>
      <w:numFmt w:val="bullet"/>
      <w:lvlText w:val=""/>
      <w:lvlJc w:val="left"/>
      <w:pPr>
        <w:ind w:left="720" w:hanging="180"/>
      </w:pPr>
      <w:rPr>
        <w:rFonts w:ascii="Symbol" w:hAnsi="Symbol" w:hint="default"/>
      </w:rPr>
    </w:lvl>
    <w:lvl w:ilvl="1" w:tplc="9E385374">
      <w:numFmt w:val="decimal"/>
      <w:lvlText w:val=""/>
      <w:lvlJc w:val="left"/>
    </w:lvl>
    <w:lvl w:ilvl="2" w:tplc="238E4A3E">
      <w:numFmt w:val="decimal"/>
      <w:lvlText w:val=""/>
      <w:lvlJc w:val="left"/>
    </w:lvl>
    <w:lvl w:ilvl="3" w:tplc="B6DC9E3E">
      <w:numFmt w:val="decimal"/>
      <w:lvlText w:val=""/>
      <w:lvlJc w:val="left"/>
    </w:lvl>
    <w:lvl w:ilvl="4" w:tplc="5FF813CA">
      <w:numFmt w:val="decimal"/>
      <w:lvlText w:val=""/>
      <w:lvlJc w:val="left"/>
    </w:lvl>
    <w:lvl w:ilvl="5" w:tplc="91501934">
      <w:numFmt w:val="decimal"/>
      <w:lvlText w:val=""/>
      <w:lvlJc w:val="left"/>
    </w:lvl>
    <w:lvl w:ilvl="6" w:tplc="4CC0BF4C">
      <w:numFmt w:val="decimal"/>
      <w:lvlText w:val=""/>
      <w:lvlJc w:val="left"/>
    </w:lvl>
    <w:lvl w:ilvl="7" w:tplc="47749D3E">
      <w:numFmt w:val="decimal"/>
      <w:lvlText w:val=""/>
      <w:lvlJc w:val="left"/>
    </w:lvl>
    <w:lvl w:ilvl="8" w:tplc="E682CDF2">
      <w:numFmt w:val="decimal"/>
      <w:lvlText w:val=""/>
      <w:lvlJc w:val="left"/>
    </w:lvl>
  </w:abstractNum>
  <w:abstractNum w:abstractNumId="845" w15:restartNumberingAfterBreak="0">
    <w:nsid w:val="59EF5F1F"/>
    <w:multiLevelType w:val="hybridMultilevel"/>
    <w:tmpl w:val="08226B98"/>
    <w:lvl w:ilvl="0" w:tplc="302C6E86">
      <w:start w:val="1"/>
      <w:numFmt w:val="bullet"/>
      <w:lvlText w:val=""/>
      <w:lvlJc w:val="left"/>
      <w:pPr>
        <w:ind w:left="720" w:hanging="180"/>
      </w:pPr>
      <w:rPr>
        <w:rFonts w:ascii="Symbol" w:hAnsi="Symbol" w:hint="default"/>
      </w:rPr>
    </w:lvl>
    <w:lvl w:ilvl="1" w:tplc="73D41BC2">
      <w:numFmt w:val="decimal"/>
      <w:lvlText w:val=""/>
      <w:lvlJc w:val="left"/>
    </w:lvl>
    <w:lvl w:ilvl="2" w:tplc="5FEAF38E">
      <w:numFmt w:val="decimal"/>
      <w:lvlText w:val=""/>
      <w:lvlJc w:val="left"/>
    </w:lvl>
    <w:lvl w:ilvl="3" w:tplc="33247668">
      <w:numFmt w:val="decimal"/>
      <w:lvlText w:val=""/>
      <w:lvlJc w:val="left"/>
    </w:lvl>
    <w:lvl w:ilvl="4" w:tplc="FE000382">
      <w:numFmt w:val="decimal"/>
      <w:lvlText w:val=""/>
      <w:lvlJc w:val="left"/>
    </w:lvl>
    <w:lvl w:ilvl="5" w:tplc="E7068B5C">
      <w:numFmt w:val="decimal"/>
      <w:lvlText w:val=""/>
      <w:lvlJc w:val="left"/>
    </w:lvl>
    <w:lvl w:ilvl="6" w:tplc="EE387AF6">
      <w:numFmt w:val="decimal"/>
      <w:lvlText w:val=""/>
      <w:lvlJc w:val="left"/>
    </w:lvl>
    <w:lvl w:ilvl="7" w:tplc="BE94DDFC">
      <w:numFmt w:val="decimal"/>
      <w:lvlText w:val=""/>
      <w:lvlJc w:val="left"/>
    </w:lvl>
    <w:lvl w:ilvl="8" w:tplc="A63AAA7E">
      <w:numFmt w:val="decimal"/>
      <w:lvlText w:val=""/>
      <w:lvlJc w:val="left"/>
    </w:lvl>
  </w:abstractNum>
  <w:abstractNum w:abstractNumId="846" w15:restartNumberingAfterBreak="0">
    <w:nsid w:val="5A035E09"/>
    <w:multiLevelType w:val="hybridMultilevel"/>
    <w:tmpl w:val="9112E1B0"/>
    <w:lvl w:ilvl="0" w:tplc="DB525870">
      <w:start w:val="1"/>
      <w:numFmt w:val="bullet"/>
      <w:lvlText w:val=""/>
      <w:lvlJc w:val="left"/>
      <w:pPr>
        <w:ind w:left="720" w:hanging="180"/>
      </w:pPr>
      <w:rPr>
        <w:rFonts w:ascii="Symbol" w:hAnsi="Symbol" w:hint="default"/>
      </w:rPr>
    </w:lvl>
    <w:lvl w:ilvl="1" w:tplc="2298AC4C">
      <w:numFmt w:val="decimal"/>
      <w:lvlText w:val=""/>
      <w:lvlJc w:val="left"/>
    </w:lvl>
    <w:lvl w:ilvl="2" w:tplc="8C44AFB8">
      <w:numFmt w:val="decimal"/>
      <w:lvlText w:val=""/>
      <w:lvlJc w:val="left"/>
    </w:lvl>
    <w:lvl w:ilvl="3" w:tplc="C9F07850">
      <w:numFmt w:val="decimal"/>
      <w:lvlText w:val=""/>
      <w:lvlJc w:val="left"/>
    </w:lvl>
    <w:lvl w:ilvl="4" w:tplc="04AA64F0">
      <w:numFmt w:val="decimal"/>
      <w:lvlText w:val=""/>
      <w:lvlJc w:val="left"/>
    </w:lvl>
    <w:lvl w:ilvl="5" w:tplc="AD44AF9E">
      <w:numFmt w:val="decimal"/>
      <w:lvlText w:val=""/>
      <w:lvlJc w:val="left"/>
    </w:lvl>
    <w:lvl w:ilvl="6" w:tplc="C7CC66C0">
      <w:numFmt w:val="decimal"/>
      <w:lvlText w:val=""/>
      <w:lvlJc w:val="left"/>
    </w:lvl>
    <w:lvl w:ilvl="7" w:tplc="755A63DE">
      <w:numFmt w:val="decimal"/>
      <w:lvlText w:val=""/>
      <w:lvlJc w:val="left"/>
    </w:lvl>
    <w:lvl w:ilvl="8" w:tplc="BB762C9C">
      <w:numFmt w:val="decimal"/>
      <w:lvlText w:val=""/>
      <w:lvlJc w:val="left"/>
    </w:lvl>
  </w:abstractNum>
  <w:abstractNum w:abstractNumId="847" w15:restartNumberingAfterBreak="0">
    <w:nsid w:val="5A1225D6"/>
    <w:multiLevelType w:val="hybridMultilevel"/>
    <w:tmpl w:val="6BBECC36"/>
    <w:lvl w:ilvl="0" w:tplc="CDE8C9A0">
      <w:numFmt w:val="decimal"/>
      <w:lvlText w:val=""/>
      <w:lvlJc w:val="left"/>
    </w:lvl>
    <w:lvl w:ilvl="1" w:tplc="9F62F288">
      <w:start w:val="1"/>
      <w:numFmt w:val="bullet"/>
      <w:lvlText w:val=""/>
      <w:lvlJc w:val="left"/>
      <w:pPr>
        <w:ind w:left="1440" w:hanging="180"/>
      </w:pPr>
      <w:rPr>
        <w:rFonts w:ascii="Symbol" w:hAnsi="Symbol" w:hint="default"/>
      </w:rPr>
    </w:lvl>
    <w:lvl w:ilvl="2" w:tplc="07F6D2D2">
      <w:numFmt w:val="decimal"/>
      <w:lvlText w:val=""/>
      <w:lvlJc w:val="left"/>
    </w:lvl>
    <w:lvl w:ilvl="3" w:tplc="66262F60">
      <w:numFmt w:val="decimal"/>
      <w:lvlText w:val=""/>
      <w:lvlJc w:val="left"/>
    </w:lvl>
    <w:lvl w:ilvl="4" w:tplc="F3D61AD4">
      <w:numFmt w:val="decimal"/>
      <w:lvlText w:val=""/>
      <w:lvlJc w:val="left"/>
    </w:lvl>
    <w:lvl w:ilvl="5" w:tplc="9DBE0F36">
      <w:numFmt w:val="decimal"/>
      <w:lvlText w:val=""/>
      <w:lvlJc w:val="left"/>
    </w:lvl>
    <w:lvl w:ilvl="6" w:tplc="EB98B0FA">
      <w:numFmt w:val="decimal"/>
      <w:lvlText w:val=""/>
      <w:lvlJc w:val="left"/>
    </w:lvl>
    <w:lvl w:ilvl="7" w:tplc="D2523564">
      <w:numFmt w:val="decimal"/>
      <w:lvlText w:val=""/>
      <w:lvlJc w:val="left"/>
    </w:lvl>
    <w:lvl w:ilvl="8" w:tplc="C16A720E">
      <w:numFmt w:val="decimal"/>
      <w:lvlText w:val=""/>
      <w:lvlJc w:val="left"/>
    </w:lvl>
  </w:abstractNum>
  <w:abstractNum w:abstractNumId="848" w15:restartNumberingAfterBreak="0">
    <w:nsid w:val="5A146EEF"/>
    <w:multiLevelType w:val="hybridMultilevel"/>
    <w:tmpl w:val="2DE2B672"/>
    <w:lvl w:ilvl="0" w:tplc="D8523E04">
      <w:start w:val="1"/>
      <w:numFmt w:val="bullet"/>
      <w:lvlText w:val=""/>
      <w:lvlJc w:val="left"/>
      <w:pPr>
        <w:ind w:left="720" w:hanging="180"/>
      </w:pPr>
      <w:rPr>
        <w:rFonts w:ascii="Symbol" w:hAnsi="Symbol" w:hint="default"/>
      </w:rPr>
    </w:lvl>
    <w:lvl w:ilvl="1" w:tplc="9832524C">
      <w:numFmt w:val="decimal"/>
      <w:lvlText w:val=""/>
      <w:lvlJc w:val="left"/>
    </w:lvl>
    <w:lvl w:ilvl="2" w:tplc="A330164C">
      <w:numFmt w:val="decimal"/>
      <w:lvlText w:val=""/>
      <w:lvlJc w:val="left"/>
    </w:lvl>
    <w:lvl w:ilvl="3" w:tplc="A7946326">
      <w:numFmt w:val="decimal"/>
      <w:lvlText w:val=""/>
      <w:lvlJc w:val="left"/>
    </w:lvl>
    <w:lvl w:ilvl="4" w:tplc="295AACF0">
      <w:numFmt w:val="decimal"/>
      <w:lvlText w:val=""/>
      <w:lvlJc w:val="left"/>
    </w:lvl>
    <w:lvl w:ilvl="5" w:tplc="262CB9A2">
      <w:numFmt w:val="decimal"/>
      <w:lvlText w:val=""/>
      <w:lvlJc w:val="left"/>
    </w:lvl>
    <w:lvl w:ilvl="6" w:tplc="0B2C07E4">
      <w:numFmt w:val="decimal"/>
      <w:lvlText w:val=""/>
      <w:lvlJc w:val="left"/>
    </w:lvl>
    <w:lvl w:ilvl="7" w:tplc="0C6ABCBE">
      <w:numFmt w:val="decimal"/>
      <w:lvlText w:val=""/>
      <w:lvlJc w:val="left"/>
    </w:lvl>
    <w:lvl w:ilvl="8" w:tplc="4BCC5866">
      <w:numFmt w:val="decimal"/>
      <w:lvlText w:val=""/>
      <w:lvlJc w:val="left"/>
    </w:lvl>
  </w:abstractNum>
  <w:abstractNum w:abstractNumId="849" w15:restartNumberingAfterBreak="0">
    <w:nsid w:val="5A1D5C62"/>
    <w:multiLevelType w:val="hybridMultilevel"/>
    <w:tmpl w:val="E770587C"/>
    <w:lvl w:ilvl="0" w:tplc="F4144D36">
      <w:start w:val="1"/>
      <w:numFmt w:val="bullet"/>
      <w:lvlText w:val=""/>
      <w:lvlJc w:val="left"/>
      <w:pPr>
        <w:ind w:left="720" w:hanging="180"/>
      </w:pPr>
      <w:rPr>
        <w:rFonts w:ascii="Symbol" w:hAnsi="Symbol" w:hint="default"/>
      </w:rPr>
    </w:lvl>
    <w:lvl w:ilvl="1" w:tplc="749CEC72">
      <w:numFmt w:val="decimal"/>
      <w:lvlText w:val=""/>
      <w:lvlJc w:val="left"/>
    </w:lvl>
    <w:lvl w:ilvl="2" w:tplc="54269CAC">
      <w:numFmt w:val="decimal"/>
      <w:lvlText w:val=""/>
      <w:lvlJc w:val="left"/>
    </w:lvl>
    <w:lvl w:ilvl="3" w:tplc="F39C51CA">
      <w:numFmt w:val="decimal"/>
      <w:lvlText w:val=""/>
      <w:lvlJc w:val="left"/>
    </w:lvl>
    <w:lvl w:ilvl="4" w:tplc="4052EE6E">
      <w:numFmt w:val="decimal"/>
      <w:lvlText w:val=""/>
      <w:lvlJc w:val="left"/>
    </w:lvl>
    <w:lvl w:ilvl="5" w:tplc="AA84108A">
      <w:numFmt w:val="decimal"/>
      <w:lvlText w:val=""/>
      <w:lvlJc w:val="left"/>
    </w:lvl>
    <w:lvl w:ilvl="6" w:tplc="D1985D48">
      <w:numFmt w:val="decimal"/>
      <w:lvlText w:val=""/>
      <w:lvlJc w:val="left"/>
    </w:lvl>
    <w:lvl w:ilvl="7" w:tplc="1E84F162">
      <w:numFmt w:val="decimal"/>
      <w:lvlText w:val=""/>
      <w:lvlJc w:val="left"/>
    </w:lvl>
    <w:lvl w:ilvl="8" w:tplc="F15CFCF4">
      <w:numFmt w:val="decimal"/>
      <w:lvlText w:val=""/>
      <w:lvlJc w:val="left"/>
    </w:lvl>
  </w:abstractNum>
  <w:abstractNum w:abstractNumId="850" w15:restartNumberingAfterBreak="0">
    <w:nsid w:val="5A330ED4"/>
    <w:multiLevelType w:val="hybridMultilevel"/>
    <w:tmpl w:val="201AD3C6"/>
    <w:lvl w:ilvl="0" w:tplc="D5828204">
      <w:start w:val="1"/>
      <w:numFmt w:val="bullet"/>
      <w:lvlText w:val=""/>
      <w:lvlJc w:val="left"/>
      <w:pPr>
        <w:ind w:left="720" w:hanging="180"/>
      </w:pPr>
      <w:rPr>
        <w:rFonts w:ascii="Symbol" w:hAnsi="Symbol" w:hint="default"/>
      </w:rPr>
    </w:lvl>
    <w:lvl w:ilvl="1" w:tplc="6FC0A3FE">
      <w:numFmt w:val="decimal"/>
      <w:lvlText w:val=""/>
      <w:lvlJc w:val="left"/>
    </w:lvl>
    <w:lvl w:ilvl="2" w:tplc="B34A9756">
      <w:numFmt w:val="decimal"/>
      <w:lvlText w:val=""/>
      <w:lvlJc w:val="left"/>
    </w:lvl>
    <w:lvl w:ilvl="3" w:tplc="67B89A7E">
      <w:numFmt w:val="decimal"/>
      <w:lvlText w:val=""/>
      <w:lvlJc w:val="left"/>
    </w:lvl>
    <w:lvl w:ilvl="4" w:tplc="5AF87204">
      <w:numFmt w:val="decimal"/>
      <w:lvlText w:val=""/>
      <w:lvlJc w:val="left"/>
    </w:lvl>
    <w:lvl w:ilvl="5" w:tplc="69927B70">
      <w:numFmt w:val="decimal"/>
      <w:lvlText w:val=""/>
      <w:lvlJc w:val="left"/>
    </w:lvl>
    <w:lvl w:ilvl="6" w:tplc="F854481C">
      <w:numFmt w:val="decimal"/>
      <w:lvlText w:val=""/>
      <w:lvlJc w:val="left"/>
    </w:lvl>
    <w:lvl w:ilvl="7" w:tplc="E8C09FBC">
      <w:numFmt w:val="decimal"/>
      <w:lvlText w:val=""/>
      <w:lvlJc w:val="left"/>
    </w:lvl>
    <w:lvl w:ilvl="8" w:tplc="572EEA8E">
      <w:numFmt w:val="decimal"/>
      <w:lvlText w:val=""/>
      <w:lvlJc w:val="left"/>
    </w:lvl>
  </w:abstractNum>
  <w:abstractNum w:abstractNumId="851" w15:restartNumberingAfterBreak="0">
    <w:nsid w:val="5A3F7C0B"/>
    <w:multiLevelType w:val="hybridMultilevel"/>
    <w:tmpl w:val="0C9E4DD8"/>
    <w:lvl w:ilvl="0" w:tplc="F146D58C">
      <w:start w:val="1"/>
      <w:numFmt w:val="bullet"/>
      <w:lvlText w:val=""/>
      <w:lvlJc w:val="left"/>
      <w:pPr>
        <w:ind w:left="720" w:hanging="180"/>
      </w:pPr>
      <w:rPr>
        <w:rFonts w:ascii="Symbol" w:hAnsi="Symbol" w:hint="default"/>
      </w:rPr>
    </w:lvl>
    <w:lvl w:ilvl="1" w:tplc="F094E840">
      <w:numFmt w:val="decimal"/>
      <w:lvlText w:val=""/>
      <w:lvlJc w:val="left"/>
    </w:lvl>
    <w:lvl w:ilvl="2" w:tplc="5D20060A">
      <w:numFmt w:val="decimal"/>
      <w:lvlText w:val=""/>
      <w:lvlJc w:val="left"/>
    </w:lvl>
    <w:lvl w:ilvl="3" w:tplc="FB800C2E">
      <w:numFmt w:val="decimal"/>
      <w:lvlText w:val=""/>
      <w:lvlJc w:val="left"/>
    </w:lvl>
    <w:lvl w:ilvl="4" w:tplc="8DA45D02">
      <w:numFmt w:val="decimal"/>
      <w:lvlText w:val=""/>
      <w:lvlJc w:val="left"/>
    </w:lvl>
    <w:lvl w:ilvl="5" w:tplc="70141C2E">
      <w:numFmt w:val="decimal"/>
      <w:lvlText w:val=""/>
      <w:lvlJc w:val="left"/>
    </w:lvl>
    <w:lvl w:ilvl="6" w:tplc="813A2B04">
      <w:numFmt w:val="decimal"/>
      <w:lvlText w:val=""/>
      <w:lvlJc w:val="left"/>
    </w:lvl>
    <w:lvl w:ilvl="7" w:tplc="AA9009E2">
      <w:numFmt w:val="decimal"/>
      <w:lvlText w:val=""/>
      <w:lvlJc w:val="left"/>
    </w:lvl>
    <w:lvl w:ilvl="8" w:tplc="9FCE0AF0">
      <w:numFmt w:val="decimal"/>
      <w:lvlText w:val=""/>
      <w:lvlJc w:val="left"/>
    </w:lvl>
  </w:abstractNum>
  <w:abstractNum w:abstractNumId="852" w15:restartNumberingAfterBreak="0">
    <w:nsid w:val="5A4D7472"/>
    <w:multiLevelType w:val="hybridMultilevel"/>
    <w:tmpl w:val="D5FCC482"/>
    <w:lvl w:ilvl="0" w:tplc="4398A17E">
      <w:start w:val="1"/>
      <w:numFmt w:val="bullet"/>
      <w:lvlText w:val=""/>
      <w:lvlJc w:val="left"/>
      <w:pPr>
        <w:ind w:left="720" w:hanging="180"/>
      </w:pPr>
      <w:rPr>
        <w:rFonts w:ascii="Symbol" w:hAnsi="Symbol" w:hint="default"/>
      </w:rPr>
    </w:lvl>
    <w:lvl w:ilvl="1" w:tplc="F6167354">
      <w:start w:val="1"/>
      <w:numFmt w:val="bullet"/>
      <w:lvlText w:val=""/>
      <w:lvlJc w:val="left"/>
      <w:pPr>
        <w:ind w:left="1440" w:hanging="180"/>
      </w:pPr>
      <w:rPr>
        <w:rFonts w:ascii="Symbol" w:hAnsi="Symbol" w:hint="default"/>
      </w:rPr>
    </w:lvl>
    <w:lvl w:ilvl="2" w:tplc="CC764254">
      <w:start w:val="1"/>
      <w:numFmt w:val="bullet"/>
      <w:lvlText w:val=""/>
      <w:lvlJc w:val="left"/>
      <w:pPr>
        <w:ind w:left="2160" w:hanging="180"/>
      </w:pPr>
      <w:rPr>
        <w:rFonts w:ascii="Symbol" w:hAnsi="Symbol" w:hint="default"/>
      </w:rPr>
    </w:lvl>
    <w:lvl w:ilvl="3" w:tplc="DDACBBE8">
      <w:start w:val="1"/>
      <w:numFmt w:val="bullet"/>
      <w:lvlText w:val=""/>
      <w:lvlJc w:val="left"/>
      <w:pPr>
        <w:ind w:left="2880" w:hanging="180"/>
      </w:pPr>
      <w:rPr>
        <w:rFonts w:ascii="Symbol" w:hAnsi="Symbol" w:hint="default"/>
      </w:rPr>
    </w:lvl>
    <w:lvl w:ilvl="4" w:tplc="25E8B284">
      <w:start w:val="1"/>
      <w:numFmt w:val="bullet"/>
      <w:lvlText w:val=""/>
      <w:lvlJc w:val="left"/>
      <w:pPr>
        <w:ind w:left="3600" w:hanging="180"/>
      </w:pPr>
      <w:rPr>
        <w:rFonts w:ascii="Symbol" w:hAnsi="Symbol" w:hint="default"/>
      </w:rPr>
    </w:lvl>
    <w:lvl w:ilvl="5" w:tplc="DFD0EE72">
      <w:start w:val="1"/>
      <w:numFmt w:val="bullet"/>
      <w:lvlText w:val=""/>
      <w:lvlJc w:val="left"/>
      <w:pPr>
        <w:ind w:left="4320" w:hanging="180"/>
      </w:pPr>
      <w:rPr>
        <w:rFonts w:ascii="Symbol" w:hAnsi="Symbol" w:hint="default"/>
      </w:rPr>
    </w:lvl>
    <w:lvl w:ilvl="6" w:tplc="4E44166C">
      <w:start w:val="1"/>
      <w:numFmt w:val="bullet"/>
      <w:lvlText w:val=""/>
      <w:lvlJc w:val="left"/>
      <w:pPr>
        <w:ind w:left="5040" w:hanging="180"/>
      </w:pPr>
      <w:rPr>
        <w:rFonts w:ascii="Symbol" w:hAnsi="Symbol" w:hint="default"/>
      </w:rPr>
    </w:lvl>
    <w:lvl w:ilvl="7" w:tplc="8EB89810">
      <w:start w:val="1"/>
      <w:numFmt w:val="bullet"/>
      <w:lvlText w:val=""/>
      <w:lvlJc w:val="left"/>
      <w:pPr>
        <w:ind w:left="5760" w:hanging="180"/>
      </w:pPr>
      <w:rPr>
        <w:rFonts w:ascii="Symbol" w:hAnsi="Symbol" w:hint="default"/>
      </w:rPr>
    </w:lvl>
    <w:lvl w:ilvl="8" w:tplc="470E6882">
      <w:numFmt w:val="decimal"/>
      <w:lvlText w:val=""/>
      <w:lvlJc w:val="left"/>
    </w:lvl>
  </w:abstractNum>
  <w:abstractNum w:abstractNumId="853" w15:restartNumberingAfterBreak="0">
    <w:nsid w:val="5A63624A"/>
    <w:multiLevelType w:val="hybridMultilevel"/>
    <w:tmpl w:val="EE804D0C"/>
    <w:lvl w:ilvl="0" w:tplc="2996CCD6">
      <w:numFmt w:val="decimal"/>
      <w:lvlText w:val=""/>
      <w:lvlJc w:val="left"/>
    </w:lvl>
    <w:lvl w:ilvl="1" w:tplc="A492F94C">
      <w:start w:val="1"/>
      <w:numFmt w:val="bullet"/>
      <w:lvlText w:val=""/>
      <w:lvlJc w:val="left"/>
      <w:pPr>
        <w:ind w:left="1440" w:hanging="180"/>
      </w:pPr>
      <w:rPr>
        <w:rFonts w:ascii="Symbol" w:hAnsi="Symbol" w:hint="default"/>
      </w:rPr>
    </w:lvl>
    <w:lvl w:ilvl="2" w:tplc="808296A6">
      <w:numFmt w:val="decimal"/>
      <w:lvlText w:val=""/>
      <w:lvlJc w:val="left"/>
    </w:lvl>
    <w:lvl w:ilvl="3" w:tplc="CCDE160E">
      <w:numFmt w:val="decimal"/>
      <w:lvlText w:val=""/>
      <w:lvlJc w:val="left"/>
    </w:lvl>
    <w:lvl w:ilvl="4" w:tplc="687CFEEE">
      <w:numFmt w:val="decimal"/>
      <w:lvlText w:val=""/>
      <w:lvlJc w:val="left"/>
    </w:lvl>
    <w:lvl w:ilvl="5" w:tplc="A7DE7BE0">
      <w:numFmt w:val="decimal"/>
      <w:lvlText w:val=""/>
      <w:lvlJc w:val="left"/>
    </w:lvl>
    <w:lvl w:ilvl="6" w:tplc="A4A6069A">
      <w:numFmt w:val="decimal"/>
      <w:lvlText w:val=""/>
      <w:lvlJc w:val="left"/>
    </w:lvl>
    <w:lvl w:ilvl="7" w:tplc="A0D2192E">
      <w:numFmt w:val="decimal"/>
      <w:lvlText w:val=""/>
      <w:lvlJc w:val="left"/>
    </w:lvl>
    <w:lvl w:ilvl="8" w:tplc="49941C42">
      <w:numFmt w:val="decimal"/>
      <w:lvlText w:val=""/>
      <w:lvlJc w:val="left"/>
    </w:lvl>
  </w:abstractNum>
  <w:abstractNum w:abstractNumId="854" w15:restartNumberingAfterBreak="0">
    <w:nsid w:val="5A6B1329"/>
    <w:multiLevelType w:val="hybridMultilevel"/>
    <w:tmpl w:val="913637B2"/>
    <w:lvl w:ilvl="0" w:tplc="0AFEEE46">
      <w:start w:val="1"/>
      <w:numFmt w:val="bullet"/>
      <w:lvlText w:val=""/>
      <w:lvlJc w:val="left"/>
      <w:pPr>
        <w:ind w:left="720" w:hanging="180"/>
      </w:pPr>
      <w:rPr>
        <w:rFonts w:ascii="Symbol" w:hAnsi="Symbol" w:hint="default"/>
      </w:rPr>
    </w:lvl>
    <w:lvl w:ilvl="1" w:tplc="AB6CDF94">
      <w:numFmt w:val="decimal"/>
      <w:lvlText w:val=""/>
      <w:lvlJc w:val="left"/>
    </w:lvl>
    <w:lvl w:ilvl="2" w:tplc="ACDC1494">
      <w:numFmt w:val="decimal"/>
      <w:lvlText w:val=""/>
      <w:lvlJc w:val="left"/>
    </w:lvl>
    <w:lvl w:ilvl="3" w:tplc="ECD07A9E">
      <w:numFmt w:val="decimal"/>
      <w:lvlText w:val=""/>
      <w:lvlJc w:val="left"/>
    </w:lvl>
    <w:lvl w:ilvl="4" w:tplc="947AA8C6">
      <w:numFmt w:val="decimal"/>
      <w:lvlText w:val=""/>
      <w:lvlJc w:val="left"/>
    </w:lvl>
    <w:lvl w:ilvl="5" w:tplc="677A54EA">
      <w:numFmt w:val="decimal"/>
      <w:lvlText w:val=""/>
      <w:lvlJc w:val="left"/>
    </w:lvl>
    <w:lvl w:ilvl="6" w:tplc="0F3A92A0">
      <w:numFmt w:val="decimal"/>
      <w:lvlText w:val=""/>
      <w:lvlJc w:val="left"/>
    </w:lvl>
    <w:lvl w:ilvl="7" w:tplc="91A85B3A">
      <w:numFmt w:val="decimal"/>
      <w:lvlText w:val=""/>
      <w:lvlJc w:val="left"/>
    </w:lvl>
    <w:lvl w:ilvl="8" w:tplc="344E1CC4">
      <w:numFmt w:val="decimal"/>
      <w:lvlText w:val=""/>
      <w:lvlJc w:val="left"/>
    </w:lvl>
  </w:abstractNum>
  <w:abstractNum w:abstractNumId="855" w15:restartNumberingAfterBreak="0">
    <w:nsid w:val="5A6F16DA"/>
    <w:multiLevelType w:val="hybridMultilevel"/>
    <w:tmpl w:val="BF4A1748"/>
    <w:lvl w:ilvl="0" w:tplc="67604594">
      <w:numFmt w:val="decimal"/>
      <w:lvlText w:val=""/>
      <w:lvlJc w:val="left"/>
    </w:lvl>
    <w:lvl w:ilvl="1" w:tplc="B77A5DAA">
      <w:start w:val="1"/>
      <w:numFmt w:val="bullet"/>
      <w:lvlText w:val=""/>
      <w:lvlJc w:val="left"/>
      <w:pPr>
        <w:ind w:left="1440" w:hanging="180"/>
      </w:pPr>
      <w:rPr>
        <w:rFonts w:ascii="Symbol" w:hAnsi="Symbol" w:hint="default"/>
      </w:rPr>
    </w:lvl>
    <w:lvl w:ilvl="2" w:tplc="C73C0386">
      <w:numFmt w:val="decimal"/>
      <w:lvlText w:val=""/>
      <w:lvlJc w:val="left"/>
    </w:lvl>
    <w:lvl w:ilvl="3" w:tplc="970C1A4E">
      <w:numFmt w:val="decimal"/>
      <w:lvlText w:val=""/>
      <w:lvlJc w:val="left"/>
    </w:lvl>
    <w:lvl w:ilvl="4" w:tplc="77BE1600">
      <w:numFmt w:val="decimal"/>
      <w:lvlText w:val=""/>
      <w:lvlJc w:val="left"/>
    </w:lvl>
    <w:lvl w:ilvl="5" w:tplc="7C068C68">
      <w:numFmt w:val="decimal"/>
      <w:lvlText w:val=""/>
      <w:lvlJc w:val="left"/>
    </w:lvl>
    <w:lvl w:ilvl="6" w:tplc="F27C416E">
      <w:numFmt w:val="decimal"/>
      <w:lvlText w:val=""/>
      <w:lvlJc w:val="left"/>
    </w:lvl>
    <w:lvl w:ilvl="7" w:tplc="8CA652BE">
      <w:numFmt w:val="decimal"/>
      <w:lvlText w:val=""/>
      <w:lvlJc w:val="left"/>
    </w:lvl>
    <w:lvl w:ilvl="8" w:tplc="C00E53C4">
      <w:numFmt w:val="decimal"/>
      <w:lvlText w:val=""/>
      <w:lvlJc w:val="left"/>
    </w:lvl>
  </w:abstractNum>
  <w:abstractNum w:abstractNumId="856" w15:restartNumberingAfterBreak="0">
    <w:nsid w:val="5A786EE5"/>
    <w:multiLevelType w:val="hybridMultilevel"/>
    <w:tmpl w:val="50FE99F2"/>
    <w:lvl w:ilvl="0" w:tplc="874013C6">
      <w:start w:val="1"/>
      <w:numFmt w:val="bullet"/>
      <w:lvlText w:val=""/>
      <w:lvlJc w:val="left"/>
      <w:pPr>
        <w:ind w:left="720" w:hanging="180"/>
      </w:pPr>
      <w:rPr>
        <w:rFonts w:ascii="Symbol" w:hAnsi="Symbol" w:hint="default"/>
      </w:rPr>
    </w:lvl>
    <w:lvl w:ilvl="1" w:tplc="08F2AF16">
      <w:numFmt w:val="decimal"/>
      <w:lvlText w:val=""/>
      <w:lvlJc w:val="left"/>
    </w:lvl>
    <w:lvl w:ilvl="2" w:tplc="591854DE">
      <w:numFmt w:val="decimal"/>
      <w:lvlText w:val=""/>
      <w:lvlJc w:val="left"/>
    </w:lvl>
    <w:lvl w:ilvl="3" w:tplc="2A92ABDE">
      <w:numFmt w:val="decimal"/>
      <w:lvlText w:val=""/>
      <w:lvlJc w:val="left"/>
    </w:lvl>
    <w:lvl w:ilvl="4" w:tplc="0E4A83BA">
      <w:numFmt w:val="decimal"/>
      <w:lvlText w:val=""/>
      <w:lvlJc w:val="left"/>
    </w:lvl>
    <w:lvl w:ilvl="5" w:tplc="EC46D228">
      <w:numFmt w:val="decimal"/>
      <w:lvlText w:val=""/>
      <w:lvlJc w:val="left"/>
    </w:lvl>
    <w:lvl w:ilvl="6" w:tplc="ED324CB2">
      <w:numFmt w:val="decimal"/>
      <w:lvlText w:val=""/>
      <w:lvlJc w:val="left"/>
    </w:lvl>
    <w:lvl w:ilvl="7" w:tplc="A218E122">
      <w:numFmt w:val="decimal"/>
      <w:lvlText w:val=""/>
      <w:lvlJc w:val="left"/>
    </w:lvl>
    <w:lvl w:ilvl="8" w:tplc="50206F38">
      <w:numFmt w:val="decimal"/>
      <w:lvlText w:val=""/>
      <w:lvlJc w:val="left"/>
    </w:lvl>
  </w:abstractNum>
  <w:abstractNum w:abstractNumId="857" w15:restartNumberingAfterBreak="0">
    <w:nsid w:val="5A88677C"/>
    <w:multiLevelType w:val="hybridMultilevel"/>
    <w:tmpl w:val="AF48D32E"/>
    <w:lvl w:ilvl="0" w:tplc="2942342C">
      <w:start w:val="1"/>
      <w:numFmt w:val="bullet"/>
      <w:lvlText w:val=""/>
      <w:lvlJc w:val="left"/>
      <w:pPr>
        <w:ind w:left="720" w:hanging="180"/>
      </w:pPr>
      <w:rPr>
        <w:rFonts w:ascii="Symbol" w:hAnsi="Symbol" w:hint="default"/>
      </w:rPr>
    </w:lvl>
    <w:lvl w:ilvl="1" w:tplc="E32456DA">
      <w:numFmt w:val="decimal"/>
      <w:lvlText w:val=""/>
      <w:lvlJc w:val="left"/>
    </w:lvl>
    <w:lvl w:ilvl="2" w:tplc="3F66803C">
      <w:numFmt w:val="decimal"/>
      <w:lvlText w:val=""/>
      <w:lvlJc w:val="left"/>
    </w:lvl>
    <w:lvl w:ilvl="3" w:tplc="1946E552">
      <w:numFmt w:val="decimal"/>
      <w:lvlText w:val=""/>
      <w:lvlJc w:val="left"/>
    </w:lvl>
    <w:lvl w:ilvl="4" w:tplc="334E817C">
      <w:numFmt w:val="decimal"/>
      <w:lvlText w:val=""/>
      <w:lvlJc w:val="left"/>
    </w:lvl>
    <w:lvl w:ilvl="5" w:tplc="FE3E2836">
      <w:numFmt w:val="decimal"/>
      <w:lvlText w:val=""/>
      <w:lvlJc w:val="left"/>
    </w:lvl>
    <w:lvl w:ilvl="6" w:tplc="2820B7E4">
      <w:numFmt w:val="decimal"/>
      <w:lvlText w:val=""/>
      <w:lvlJc w:val="left"/>
    </w:lvl>
    <w:lvl w:ilvl="7" w:tplc="50FADF52">
      <w:numFmt w:val="decimal"/>
      <w:lvlText w:val=""/>
      <w:lvlJc w:val="left"/>
    </w:lvl>
    <w:lvl w:ilvl="8" w:tplc="F4342226">
      <w:numFmt w:val="decimal"/>
      <w:lvlText w:val=""/>
      <w:lvlJc w:val="left"/>
    </w:lvl>
  </w:abstractNum>
  <w:abstractNum w:abstractNumId="858" w15:restartNumberingAfterBreak="0">
    <w:nsid w:val="5B1B5197"/>
    <w:multiLevelType w:val="hybridMultilevel"/>
    <w:tmpl w:val="846A805A"/>
    <w:lvl w:ilvl="0" w:tplc="6B5E9266">
      <w:start w:val="1"/>
      <w:numFmt w:val="bullet"/>
      <w:lvlText w:val=""/>
      <w:lvlJc w:val="left"/>
      <w:pPr>
        <w:ind w:left="720" w:hanging="180"/>
      </w:pPr>
      <w:rPr>
        <w:rFonts w:ascii="Symbol" w:hAnsi="Symbol" w:hint="default"/>
      </w:rPr>
    </w:lvl>
    <w:lvl w:ilvl="1" w:tplc="DE54F94C">
      <w:numFmt w:val="decimal"/>
      <w:lvlText w:val=""/>
      <w:lvlJc w:val="left"/>
    </w:lvl>
    <w:lvl w:ilvl="2" w:tplc="71124974">
      <w:numFmt w:val="decimal"/>
      <w:lvlText w:val=""/>
      <w:lvlJc w:val="left"/>
    </w:lvl>
    <w:lvl w:ilvl="3" w:tplc="3F82D6A0">
      <w:numFmt w:val="decimal"/>
      <w:lvlText w:val=""/>
      <w:lvlJc w:val="left"/>
    </w:lvl>
    <w:lvl w:ilvl="4" w:tplc="3D52BEEE">
      <w:numFmt w:val="decimal"/>
      <w:lvlText w:val=""/>
      <w:lvlJc w:val="left"/>
    </w:lvl>
    <w:lvl w:ilvl="5" w:tplc="34760876">
      <w:numFmt w:val="decimal"/>
      <w:lvlText w:val=""/>
      <w:lvlJc w:val="left"/>
    </w:lvl>
    <w:lvl w:ilvl="6" w:tplc="12CC8264">
      <w:numFmt w:val="decimal"/>
      <w:lvlText w:val=""/>
      <w:lvlJc w:val="left"/>
    </w:lvl>
    <w:lvl w:ilvl="7" w:tplc="B5E81B08">
      <w:numFmt w:val="decimal"/>
      <w:lvlText w:val=""/>
      <w:lvlJc w:val="left"/>
    </w:lvl>
    <w:lvl w:ilvl="8" w:tplc="660E80F6">
      <w:numFmt w:val="decimal"/>
      <w:lvlText w:val=""/>
      <w:lvlJc w:val="left"/>
    </w:lvl>
  </w:abstractNum>
  <w:abstractNum w:abstractNumId="859" w15:restartNumberingAfterBreak="0">
    <w:nsid w:val="5B2575D0"/>
    <w:multiLevelType w:val="hybridMultilevel"/>
    <w:tmpl w:val="E3364034"/>
    <w:lvl w:ilvl="0" w:tplc="71C063B4">
      <w:start w:val="1"/>
      <w:numFmt w:val="bullet"/>
      <w:lvlText w:val=""/>
      <w:lvlJc w:val="left"/>
      <w:pPr>
        <w:ind w:left="720" w:hanging="180"/>
      </w:pPr>
      <w:rPr>
        <w:rFonts w:ascii="Symbol" w:hAnsi="Symbol" w:hint="default"/>
      </w:rPr>
    </w:lvl>
    <w:lvl w:ilvl="1" w:tplc="6A2CB8DC">
      <w:numFmt w:val="decimal"/>
      <w:lvlText w:val=""/>
      <w:lvlJc w:val="left"/>
    </w:lvl>
    <w:lvl w:ilvl="2" w:tplc="4F8C44AC">
      <w:numFmt w:val="decimal"/>
      <w:lvlText w:val=""/>
      <w:lvlJc w:val="left"/>
    </w:lvl>
    <w:lvl w:ilvl="3" w:tplc="F16EAD00">
      <w:numFmt w:val="decimal"/>
      <w:lvlText w:val=""/>
      <w:lvlJc w:val="left"/>
    </w:lvl>
    <w:lvl w:ilvl="4" w:tplc="52807C8E">
      <w:numFmt w:val="decimal"/>
      <w:lvlText w:val=""/>
      <w:lvlJc w:val="left"/>
    </w:lvl>
    <w:lvl w:ilvl="5" w:tplc="BF34B4BE">
      <w:numFmt w:val="decimal"/>
      <w:lvlText w:val=""/>
      <w:lvlJc w:val="left"/>
    </w:lvl>
    <w:lvl w:ilvl="6" w:tplc="848A0258">
      <w:numFmt w:val="decimal"/>
      <w:lvlText w:val=""/>
      <w:lvlJc w:val="left"/>
    </w:lvl>
    <w:lvl w:ilvl="7" w:tplc="64768C2C">
      <w:numFmt w:val="decimal"/>
      <w:lvlText w:val=""/>
      <w:lvlJc w:val="left"/>
    </w:lvl>
    <w:lvl w:ilvl="8" w:tplc="DA441374">
      <w:numFmt w:val="decimal"/>
      <w:lvlText w:val=""/>
      <w:lvlJc w:val="left"/>
    </w:lvl>
  </w:abstractNum>
  <w:abstractNum w:abstractNumId="860" w15:restartNumberingAfterBreak="0">
    <w:nsid w:val="5B2609FD"/>
    <w:multiLevelType w:val="hybridMultilevel"/>
    <w:tmpl w:val="BE70538E"/>
    <w:lvl w:ilvl="0" w:tplc="C914A868">
      <w:start w:val="1"/>
      <w:numFmt w:val="bullet"/>
      <w:lvlText w:val=""/>
      <w:lvlJc w:val="left"/>
      <w:pPr>
        <w:ind w:left="720" w:hanging="180"/>
      </w:pPr>
      <w:rPr>
        <w:rFonts w:ascii="Symbol" w:hAnsi="Symbol" w:hint="default"/>
      </w:rPr>
    </w:lvl>
    <w:lvl w:ilvl="1" w:tplc="09AEBEEA">
      <w:numFmt w:val="decimal"/>
      <w:lvlText w:val=""/>
      <w:lvlJc w:val="left"/>
    </w:lvl>
    <w:lvl w:ilvl="2" w:tplc="B20AD6AC">
      <w:numFmt w:val="decimal"/>
      <w:lvlText w:val=""/>
      <w:lvlJc w:val="left"/>
    </w:lvl>
    <w:lvl w:ilvl="3" w:tplc="31C83596">
      <w:numFmt w:val="decimal"/>
      <w:lvlText w:val=""/>
      <w:lvlJc w:val="left"/>
    </w:lvl>
    <w:lvl w:ilvl="4" w:tplc="08BEAC32">
      <w:numFmt w:val="decimal"/>
      <w:lvlText w:val=""/>
      <w:lvlJc w:val="left"/>
    </w:lvl>
    <w:lvl w:ilvl="5" w:tplc="AE0CAD5E">
      <w:numFmt w:val="decimal"/>
      <w:lvlText w:val=""/>
      <w:lvlJc w:val="left"/>
    </w:lvl>
    <w:lvl w:ilvl="6" w:tplc="652E0F62">
      <w:numFmt w:val="decimal"/>
      <w:lvlText w:val=""/>
      <w:lvlJc w:val="left"/>
    </w:lvl>
    <w:lvl w:ilvl="7" w:tplc="773E0B96">
      <w:numFmt w:val="decimal"/>
      <w:lvlText w:val=""/>
      <w:lvlJc w:val="left"/>
    </w:lvl>
    <w:lvl w:ilvl="8" w:tplc="EAEACCC4">
      <w:numFmt w:val="decimal"/>
      <w:lvlText w:val=""/>
      <w:lvlJc w:val="left"/>
    </w:lvl>
  </w:abstractNum>
  <w:abstractNum w:abstractNumId="861" w15:restartNumberingAfterBreak="0">
    <w:nsid w:val="5B301B9A"/>
    <w:multiLevelType w:val="hybridMultilevel"/>
    <w:tmpl w:val="29168A8E"/>
    <w:lvl w:ilvl="0" w:tplc="F59C1EF6">
      <w:start w:val="1"/>
      <w:numFmt w:val="bullet"/>
      <w:lvlText w:val=""/>
      <w:lvlJc w:val="left"/>
      <w:pPr>
        <w:ind w:left="720" w:hanging="180"/>
      </w:pPr>
      <w:rPr>
        <w:rFonts w:ascii="Symbol" w:hAnsi="Symbol" w:hint="default"/>
      </w:rPr>
    </w:lvl>
    <w:lvl w:ilvl="1" w:tplc="2598C474">
      <w:numFmt w:val="decimal"/>
      <w:lvlText w:val=""/>
      <w:lvlJc w:val="left"/>
    </w:lvl>
    <w:lvl w:ilvl="2" w:tplc="2C6A5F7C">
      <w:numFmt w:val="decimal"/>
      <w:lvlText w:val=""/>
      <w:lvlJc w:val="left"/>
    </w:lvl>
    <w:lvl w:ilvl="3" w:tplc="82044D36">
      <w:numFmt w:val="decimal"/>
      <w:lvlText w:val=""/>
      <w:lvlJc w:val="left"/>
    </w:lvl>
    <w:lvl w:ilvl="4" w:tplc="7D06F06E">
      <w:numFmt w:val="decimal"/>
      <w:lvlText w:val=""/>
      <w:lvlJc w:val="left"/>
    </w:lvl>
    <w:lvl w:ilvl="5" w:tplc="334E9E1C">
      <w:numFmt w:val="decimal"/>
      <w:lvlText w:val=""/>
      <w:lvlJc w:val="left"/>
    </w:lvl>
    <w:lvl w:ilvl="6" w:tplc="12C69BAC">
      <w:numFmt w:val="decimal"/>
      <w:lvlText w:val=""/>
      <w:lvlJc w:val="left"/>
    </w:lvl>
    <w:lvl w:ilvl="7" w:tplc="A2FAC290">
      <w:numFmt w:val="decimal"/>
      <w:lvlText w:val=""/>
      <w:lvlJc w:val="left"/>
    </w:lvl>
    <w:lvl w:ilvl="8" w:tplc="9D986E88">
      <w:numFmt w:val="decimal"/>
      <w:lvlText w:val=""/>
      <w:lvlJc w:val="left"/>
    </w:lvl>
  </w:abstractNum>
  <w:abstractNum w:abstractNumId="862" w15:restartNumberingAfterBreak="0">
    <w:nsid w:val="5B4D69E0"/>
    <w:multiLevelType w:val="hybridMultilevel"/>
    <w:tmpl w:val="036C8576"/>
    <w:lvl w:ilvl="0" w:tplc="9632A43C">
      <w:start w:val="1"/>
      <w:numFmt w:val="bullet"/>
      <w:lvlText w:val=""/>
      <w:lvlJc w:val="left"/>
      <w:pPr>
        <w:ind w:left="720" w:hanging="180"/>
      </w:pPr>
      <w:rPr>
        <w:rFonts w:ascii="Symbol" w:hAnsi="Symbol" w:hint="default"/>
      </w:rPr>
    </w:lvl>
    <w:lvl w:ilvl="1" w:tplc="FC08415E">
      <w:numFmt w:val="decimal"/>
      <w:lvlText w:val=""/>
      <w:lvlJc w:val="left"/>
    </w:lvl>
    <w:lvl w:ilvl="2" w:tplc="28CC7140">
      <w:numFmt w:val="decimal"/>
      <w:lvlText w:val=""/>
      <w:lvlJc w:val="left"/>
    </w:lvl>
    <w:lvl w:ilvl="3" w:tplc="0A329D68">
      <w:numFmt w:val="decimal"/>
      <w:lvlText w:val=""/>
      <w:lvlJc w:val="left"/>
    </w:lvl>
    <w:lvl w:ilvl="4" w:tplc="0FBC0EFA">
      <w:numFmt w:val="decimal"/>
      <w:lvlText w:val=""/>
      <w:lvlJc w:val="left"/>
    </w:lvl>
    <w:lvl w:ilvl="5" w:tplc="0792D0C8">
      <w:numFmt w:val="decimal"/>
      <w:lvlText w:val=""/>
      <w:lvlJc w:val="left"/>
    </w:lvl>
    <w:lvl w:ilvl="6" w:tplc="3146B7BE">
      <w:numFmt w:val="decimal"/>
      <w:lvlText w:val=""/>
      <w:lvlJc w:val="left"/>
    </w:lvl>
    <w:lvl w:ilvl="7" w:tplc="623C36BE">
      <w:numFmt w:val="decimal"/>
      <w:lvlText w:val=""/>
      <w:lvlJc w:val="left"/>
    </w:lvl>
    <w:lvl w:ilvl="8" w:tplc="929E65BE">
      <w:numFmt w:val="decimal"/>
      <w:lvlText w:val=""/>
      <w:lvlJc w:val="left"/>
    </w:lvl>
  </w:abstractNum>
  <w:abstractNum w:abstractNumId="863" w15:restartNumberingAfterBreak="0">
    <w:nsid w:val="5B713AC8"/>
    <w:multiLevelType w:val="hybridMultilevel"/>
    <w:tmpl w:val="A196687C"/>
    <w:lvl w:ilvl="0" w:tplc="F79EF8A2">
      <w:start w:val="1"/>
      <w:numFmt w:val="bullet"/>
      <w:lvlText w:val=""/>
      <w:lvlJc w:val="left"/>
      <w:pPr>
        <w:ind w:left="720" w:hanging="180"/>
      </w:pPr>
      <w:rPr>
        <w:rFonts w:ascii="Symbol" w:hAnsi="Symbol" w:hint="default"/>
      </w:rPr>
    </w:lvl>
    <w:lvl w:ilvl="1" w:tplc="1DEC5DFC">
      <w:numFmt w:val="decimal"/>
      <w:lvlText w:val=""/>
      <w:lvlJc w:val="left"/>
    </w:lvl>
    <w:lvl w:ilvl="2" w:tplc="0F30F2C8">
      <w:numFmt w:val="decimal"/>
      <w:lvlText w:val=""/>
      <w:lvlJc w:val="left"/>
    </w:lvl>
    <w:lvl w:ilvl="3" w:tplc="94C0245A">
      <w:numFmt w:val="decimal"/>
      <w:lvlText w:val=""/>
      <w:lvlJc w:val="left"/>
    </w:lvl>
    <w:lvl w:ilvl="4" w:tplc="10168C6C">
      <w:numFmt w:val="decimal"/>
      <w:lvlText w:val=""/>
      <w:lvlJc w:val="left"/>
    </w:lvl>
    <w:lvl w:ilvl="5" w:tplc="A9F216E8">
      <w:numFmt w:val="decimal"/>
      <w:lvlText w:val=""/>
      <w:lvlJc w:val="left"/>
    </w:lvl>
    <w:lvl w:ilvl="6" w:tplc="2A80B716">
      <w:numFmt w:val="decimal"/>
      <w:lvlText w:val=""/>
      <w:lvlJc w:val="left"/>
    </w:lvl>
    <w:lvl w:ilvl="7" w:tplc="5204EE1E">
      <w:numFmt w:val="decimal"/>
      <w:lvlText w:val=""/>
      <w:lvlJc w:val="left"/>
    </w:lvl>
    <w:lvl w:ilvl="8" w:tplc="78FA7980">
      <w:numFmt w:val="decimal"/>
      <w:lvlText w:val=""/>
      <w:lvlJc w:val="left"/>
    </w:lvl>
  </w:abstractNum>
  <w:abstractNum w:abstractNumId="864" w15:restartNumberingAfterBreak="0">
    <w:nsid w:val="5BA3373A"/>
    <w:multiLevelType w:val="hybridMultilevel"/>
    <w:tmpl w:val="BD90D96A"/>
    <w:lvl w:ilvl="0" w:tplc="379CDCD2">
      <w:start w:val="1"/>
      <w:numFmt w:val="bullet"/>
      <w:lvlText w:val=""/>
      <w:lvlJc w:val="left"/>
      <w:pPr>
        <w:ind w:left="720" w:hanging="180"/>
      </w:pPr>
      <w:rPr>
        <w:rFonts w:ascii="Symbol" w:hAnsi="Symbol" w:hint="default"/>
      </w:rPr>
    </w:lvl>
    <w:lvl w:ilvl="1" w:tplc="EABA6F7A">
      <w:numFmt w:val="decimal"/>
      <w:lvlText w:val=""/>
      <w:lvlJc w:val="left"/>
    </w:lvl>
    <w:lvl w:ilvl="2" w:tplc="2606FD58">
      <w:numFmt w:val="decimal"/>
      <w:lvlText w:val=""/>
      <w:lvlJc w:val="left"/>
    </w:lvl>
    <w:lvl w:ilvl="3" w:tplc="DF58BAAC">
      <w:numFmt w:val="decimal"/>
      <w:lvlText w:val=""/>
      <w:lvlJc w:val="left"/>
    </w:lvl>
    <w:lvl w:ilvl="4" w:tplc="E0D03424">
      <w:numFmt w:val="decimal"/>
      <w:lvlText w:val=""/>
      <w:lvlJc w:val="left"/>
    </w:lvl>
    <w:lvl w:ilvl="5" w:tplc="DA3A86E4">
      <w:numFmt w:val="decimal"/>
      <w:lvlText w:val=""/>
      <w:lvlJc w:val="left"/>
    </w:lvl>
    <w:lvl w:ilvl="6" w:tplc="79F6518A">
      <w:numFmt w:val="decimal"/>
      <w:lvlText w:val=""/>
      <w:lvlJc w:val="left"/>
    </w:lvl>
    <w:lvl w:ilvl="7" w:tplc="6ACC9172">
      <w:numFmt w:val="decimal"/>
      <w:lvlText w:val=""/>
      <w:lvlJc w:val="left"/>
    </w:lvl>
    <w:lvl w:ilvl="8" w:tplc="362C9090">
      <w:numFmt w:val="decimal"/>
      <w:lvlText w:val=""/>
      <w:lvlJc w:val="left"/>
    </w:lvl>
  </w:abstractNum>
  <w:abstractNum w:abstractNumId="865" w15:restartNumberingAfterBreak="0">
    <w:nsid w:val="5BAD50DB"/>
    <w:multiLevelType w:val="hybridMultilevel"/>
    <w:tmpl w:val="33B2BC9A"/>
    <w:lvl w:ilvl="0" w:tplc="F0241692">
      <w:start w:val="1"/>
      <w:numFmt w:val="bullet"/>
      <w:lvlText w:val=""/>
      <w:lvlJc w:val="left"/>
      <w:pPr>
        <w:ind w:left="720" w:hanging="180"/>
      </w:pPr>
      <w:rPr>
        <w:rFonts w:ascii="Symbol" w:hAnsi="Symbol" w:hint="default"/>
      </w:rPr>
    </w:lvl>
    <w:lvl w:ilvl="1" w:tplc="6100BA2C">
      <w:numFmt w:val="decimal"/>
      <w:lvlText w:val=""/>
      <w:lvlJc w:val="left"/>
    </w:lvl>
    <w:lvl w:ilvl="2" w:tplc="DACA01BA">
      <w:numFmt w:val="decimal"/>
      <w:lvlText w:val=""/>
      <w:lvlJc w:val="left"/>
    </w:lvl>
    <w:lvl w:ilvl="3" w:tplc="BE426396">
      <w:numFmt w:val="decimal"/>
      <w:lvlText w:val=""/>
      <w:lvlJc w:val="left"/>
    </w:lvl>
    <w:lvl w:ilvl="4" w:tplc="D4D0D41E">
      <w:numFmt w:val="decimal"/>
      <w:lvlText w:val=""/>
      <w:lvlJc w:val="left"/>
    </w:lvl>
    <w:lvl w:ilvl="5" w:tplc="14765D68">
      <w:numFmt w:val="decimal"/>
      <w:lvlText w:val=""/>
      <w:lvlJc w:val="left"/>
    </w:lvl>
    <w:lvl w:ilvl="6" w:tplc="E7CE8F26">
      <w:numFmt w:val="decimal"/>
      <w:lvlText w:val=""/>
      <w:lvlJc w:val="left"/>
    </w:lvl>
    <w:lvl w:ilvl="7" w:tplc="3EC8F982">
      <w:numFmt w:val="decimal"/>
      <w:lvlText w:val=""/>
      <w:lvlJc w:val="left"/>
    </w:lvl>
    <w:lvl w:ilvl="8" w:tplc="81C83F4A">
      <w:numFmt w:val="decimal"/>
      <w:lvlText w:val=""/>
      <w:lvlJc w:val="left"/>
    </w:lvl>
  </w:abstractNum>
  <w:abstractNum w:abstractNumId="866" w15:restartNumberingAfterBreak="0">
    <w:nsid w:val="5BC13EF1"/>
    <w:multiLevelType w:val="hybridMultilevel"/>
    <w:tmpl w:val="D8467080"/>
    <w:lvl w:ilvl="0" w:tplc="4ED24E8E">
      <w:start w:val="1"/>
      <w:numFmt w:val="bullet"/>
      <w:lvlText w:val=""/>
      <w:lvlJc w:val="left"/>
      <w:pPr>
        <w:ind w:left="720" w:hanging="180"/>
      </w:pPr>
      <w:rPr>
        <w:rFonts w:ascii="Symbol" w:hAnsi="Symbol" w:hint="default"/>
      </w:rPr>
    </w:lvl>
    <w:lvl w:ilvl="1" w:tplc="26562144">
      <w:numFmt w:val="decimal"/>
      <w:lvlText w:val=""/>
      <w:lvlJc w:val="left"/>
    </w:lvl>
    <w:lvl w:ilvl="2" w:tplc="B0EE1B40">
      <w:numFmt w:val="decimal"/>
      <w:lvlText w:val=""/>
      <w:lvlJc w:val="left"/>
    </w:lvl>
    <w:lvl w:ilvl="3" w:tplc="CEBEEBD8">
      <w:numFmt w:val="decimal"/>
      <w:lvlText w:val=""/>
      <w:lvlJc w:val="left"/>
    </w:lvl>
    <w:lvl w:ilvl="4" w:tplc="4A70FF42">
      <w:numFmt w:val="decimal"/>
      <w:lvlText w:val=""/>
      <w:lvlJc w:val="left"/>
    </w:lvl>
    <w:lvl w:ilvl="5" w:tplc="49E8BDC2">
      <w:numFmt w:val="decimal"/>
      <w:lvlText w:val=""/>
      <w:lvlJc w:val="left"/>
    </w:lvl>
    <w:lvl w:ilvl="6" w:tplc="2E6C39D4">
      <w:numFmt w:val="decimal"/>
      <w:lvlText w:val=""/>
      <w:lvlJc w:val="left"/>
    </w:lvl>
    <w:lvl w:ilvl="7" w:tplc="FCDAE644">
      <w:numFmt w:val="decimal"/>
      <w:lvlText w:val=""/>
      <w:lvlJc w:val="left"/>
    </w:lvl>
    <w:lvl w:ilvl="8" w:tplc="44A257C2">
      <w:numFmt w:val="decimal"/>
      <w:lvlText w:val=""/>
      <w:lvlJc w:val="left"/>
    </w:lvl>
  </w:abstractNum>
  <w:abstractNum w:abstractNumId="867" w15:restartNumberingAfterBreak="0">
    <w:nsid w:val="5BC26AF9"/>
    <w:multiLevelType w:val="hybridMultilevel"/>
    <w:tmpl w:val="4DF03EB4"/>
    <w:lvl w:ilvl="0" w:tplc="0F769972">
      <w:start w:val="1"/>
      <w:numFmt w:val="bullet"/>
      <w:lvlText w:val=""/>
      <w:lvlJc w:val="left"/>
      <w:pPr>
        <w:ind w:left="720" w:hanging="180"/>
      </w:pPr>
      <w:rPr>
        <w:rFonts w:ascii="Symbol" w:hAnsi="Symbol" w:hint="default"/>
      </w:rPr>
    </w:lvl>
    <w:lvl w:ilvl="1" w:tplc="3CCA7EBE">
      <w:numFmt w:val="decimal"/>
      <w:lvlText w:val=""/>
      <w:lvlJc w:val="left"/>
    </w:lvl>
    <w:lvl w:ilvl="2" w:tplc="C2EA2C5C">
      <w:numFmt w:val="decimal"/>
      <w:lvlText w:val=""/>
      <w:lvlJc w:val="left"/>
    </w:lvl>
    <w:lvl w:ilvl="3" w:tplc="28C68746">
      <w:numFmt w:val="decimal"/>
      <w:lvlText w:val=""/>
      <w:lvlJc w:val="left"/>
    </w:lvl>
    <w:lvl w:ilvl="4" w:tplc="00E6E4D6">
      <w:numFmt w:val="decimal"/>
      <w:lvlText w:val=""/>
      <w:lvlJc w:val="left"/>
    </w:lvl>
    <w:lvl w:ilvl="5" w:tplc="9BAC879A">
      <w:numFmt w:val="decimal"/>
      <w:lvlText w:val=""/>
      <w:lvlJc w:val="left"/>
    </w:lvl>
    <w:lvl w:ilvl="6" w:tplc="9DBA7580">
      <w:numFmt w:val="decimal"/>
      <w:lvlText w:val=""/>
      <w:lvlJc w:val="left"/>
    </w:lvl>
    <w:lvl w:ilvl="7" w:tplc="13A4F30C">
      <w:numFmt w:val="decimal"/>
      <w:lvlText w:val=""/>
      <w:lvlJc w:val="left"/>
    </w:lvl>
    <w:lvl w:ilvl="8" w:tplc="B90812D4">
      <w:numFmt w:val="decimal"/>
      <w:lvlText w:val=""/>
      <w:lvlJc w:val="left"/>
    </w:lvl>
  </w:abstractNum>
  <w:abstractNum w:abstractNumId="868" w15:restartNumberingAfterBreak="0">
    <w:nsid w:val="5BE77C8A"/>
    <w:multiLevelType w:val="hybridMultilevel"/>
    <w:tmpl w:val="FF3AEABE"/>
    <w:lvl w:ilvl="0" w:tplc="153AC816">
      <w:start w:val="1"/>
      <w:numFmt w:val="bullet"/>
      <w:lvlText w:val=""/>
      <w:lvlJc w:val="left"/>
      <w:pPr>
        <w:ind w:left="720" w:hanging="180"/>
      </w:pPr>
      <w:rPr>
        <w:rFonts w:ascii="Symbol" w:hAnsi="Symbol" w:hint="default"/>
      </w:rPr>
    </w:lvl>
    <w:lvl w:ilvl="1" w:tplc="769A769A">
      <w:numFmt w:val="decimal"/>
      <w:lvlText w:val=""/>
      <w:lvlJc w:val="left"/>
    </w:lvl>
    <w:lvl w:ilvl="2" w:tplc="8BAA678C">
      <w:numFmt w:val="decimal"/>
      <w:lvlText w:val=""/>
      <w:lvlJc w:val="left"/>
    </w:lvl>
    <w:lvl w:ilvl="3" w:tplc="EC3AEEBE">
      <w:numFmt w:val="decimal"/>
      <w:lvlText w:val=""/>
      <w:lvlJc w:val="left"/>
    </w:lvl>
    <w:lvl w:ilvl="4" w:tplc="A49EBFCA">
      <w:numFmt w:val="decimal"/>
      <w:lvlText w:val=""/>
      <w:lvlJc w:val="left"/>
    </w:lvl>
    <w:lvl w:ilvl="5" w:tplc="6262BA14">
      <w:numFmt w:val="decimal"/>
      <w:lvlText w:val=""/>
      <w:lvlJc w:val="left"/>
    </w:lvl>
    <w:lvl w:ilvl="6" w:tplc="49744764">
      <w:numFmt w:val="decimal"/>
      <w:lvlText w:val=""/>
      <w:lvlJc w:val="left"/>
    </w:lvl>
    <w:lvl w:ilvl="7" w:tplc="5CAE0024">
      <w:numFmt w:val="decimal"/>
      <w:lvlText w:val=""/>
      <w:lvlJc w:val="left"/>
    </w:lvl>
    <w:lvl w:ilvl="8" w:tplc="BF34C186">
      <w:numFmt w:val="decimal"/>
      <w:lvlText w:val=""/>
      <w:lvlJc w:val="left"/>
    </w:lvl>
  </w:abstractNum>
  <w:abstractNum w:abstractNumId="869" w15:restartNumberingAfterBreak="0">
    <w:nsid w:val="5BEB07D5"/>
    <w:multiLevelType w:val="hybridMultilevel"/>
    <w:tmpl w:val="282A3BBA"/>
    <w:lvl w:ilvl="0" w:tplc="AD40E644">
      <w:start w:val="1"/>
      <w:numFmt w:val="bullet"/>
      <w:lvlText w:val=""/>
      <w:lvlJc w:val="left"/>
      <w:pPr>
        <w:ind w:left="720" w:hanging="180"/>
      </w:pPr>
      <w:rPr>
        <w:rFonts w:ascii="Symbol" w:hAnsi="Symbol" w:hint="default"/>
      </w:rPr>
    </w:lvl>
    <w:lvl w:ilvl="1" w:tplc="499A05B6">
      <w:numFmt w:val="decimal"/>
      <w:lvlText w:val=""/>
      <w:lvlJc w:val="left"/>
    </w:lvl>
    <w:lvl w:ilvl="2" w:tplc="94948554">
      <w:numFmt w:val="decimal"/>
      <w:lvlText w:val=""/>
      <w:lvlJc w:val="left"/>
    </w:lvl>
    <w:lvl w:ilvl="3" w:tplc="62362736">
      <w:numFmt w:val="decimal"/>
      <w:lvlText w:val=""/>
      <w:lvlJc w:val="left"/>
    </w:lvl>
    <w:lvl w:ilvl="4" w:tplc="C142A5B4">
      <w:numFmt w:val="decimal"/>
      <w:lvlText w:val=""/>
      <w:lvlJc w:val="left"/>
    </w:lvl>
    <w:lvl w:ilvl="5" w:tplc="6DCCB9D2">
      <w:numFmt w:val="decimal"/>
      <w:lvlText w:val=""/>
      <w:lvlJc w:val="left"/>
    </w:lvl>
    <w:lvl w:ilvl="6" w:tplc="4E78DB52">
      <w:numFmt w:val="decimal"/>
      <w:lvlText w:val=""/>
      <w:lvlJc w:val="left"/>
    </w:lvl>
    <w:lvl w:ilvl="7" w:tplc="812E3A04">
      <w:numFmt w:val="decimal"/>
      <w:lvlText w:val=""/>
      <w:lvlJc w:val="left"/>
    </w:lvl>
    <w:lvl w:ilvl="8" w:tplc="0ADCD7A4">
      <w:numFmt w:val="decimal"/>
      <w:lvlText w:val=""/>
      <w:lvlJc w:val="left"/>
    </w:lvl>
  </w:abstractNum>
  <w:abstractNum w:abstractNumId="870" w15:restartNumberingAfterBreak="0">
    <w:nsid w:val="5BF80464"/>
    <w:multiLevelType w:val="hybridMultilevel"/>
    <w:tmpl w:val="62B89D50"/>
    <w:lvl w:ilvl="0" w:tplc="98045514">
      <w:start w:val="1"/>
      <w:numFmt w:val="bullet"/>
      <w:lvlText w:val=""/>
      <w:lvlJc w:val="left"/>
      <w:pPr>
        <w:ind w:left="720" w:hanging="180"/>
      </w:pPr>
      <w:rPr>
        <w:rFonts w:ascii="Symbol" w:hAnsi="Symbol" w:hint="default"/>
      </w:rPr>
    </w:lvl>
    <w:lvl w:ilvl="1" w:tplc="56F4635C">
      <w:numFmt w:val="decimal"/>
      <w:lvlText w:val=""/>
      <w:lvlJc w:val="left"/>
    </w:lvl>
    <w:lvl w:ilvl="2" w:tplc="3DF40ABA">
      <w:numFmt w:val="decimal"/>
      <w:lvlText w:val=""/>
      <w:lvlJc w:val="left"/>
    </w:lvl>
    <w:lvl w:ilvl="3" w:tplc="C95C6494">
      <w:numFmt w:val="decimal"/>
      <w:lvlText w:val=""/>
      <w:lvlJc w:val="left"/>
    </w:lvl>
    <w:lvl w:ilvl="4" w:tplc="E1F4CAFA">
      <w:numFmt w:val="decimal"/>
      <w:lvlText w:val=""/>
      <w:lvlJc w:val="left"/>
    </w:lvl>
    <w:lvl w:ilvl="5" w:tplc="87A2F32A">
      <w:numFmt w:val="decimal"/>
      <w:lvlText w:val=""/>
      <w:lvlJc w:val="left"/>
    </w:lvl>
    <w:lvl w:ilvl="6" w:tplc="5614D0A6">
      <w:numFmt w:val="decimal"/>
      <w:lvlText w:val=""/>
      <w:lvlJc w:val="left"/>
    </w:lvl>
    <w:lvl w:ilvl="7" w:tplc="2990D7F0">
      <w:numFmt w:val="decimal"/>
      <w:lvlText w:val=""/>
      <w:lvlJc w:val="left"/>
    </w:lvl>
    <w:lvl w:ilvl="8" w:tplc="C07CE4FE">
      <w:numFmt w:val="decimal"/>
      <w:lvlText w:val=""/>
      <w:lvlJc w:val="left"/>
    </w:lvl>
  </w:abstractNum>
  <w:abstractNum w:abstractNumId="871" w15:restartNumberingAfterBreak="0">
    <w:nsid w:val="5BF93922"/>
    <w:multiLevelType w:val="hybridMultilevel"/>
    <w:tmpl w:val="017C5702"/>
    <w:lvl w:ilvl="0" w:tplc="57E4384A">
      <w:start w:val="1"/>
      <w:numFmt w:val="bullet"/>
      <w:lvlText w:val=""/>
      <w:lvlJc w:val="left"/>
      <w:pPr>
        <w:ind w:left="720" w:hanging="180"/>
      </w:pPr>
      <w:rPr>
        <w:rFonts w:ascii="Symbol" w:hAnsi="Symbol" w:hint="default"/>
      </w:rPr>
    </w:lvl>
    <w:lvl w:ilvl="1" w:tplc="BE2059CE">
      <w:numFmt w:val="decimal"/>
      <w:lvlText w:val=""/>
      <w:lvlJc w:val="left"/>
    </w:lvl>
    <w:lvl w:ilvl="2" w:tplc="B2E455EC">
      <w:numFmt w:val="decimal"/>
      <w:lvlText w:val=""/>
      <w:lvlJc w:val="left"/>
    </w:lvl>
    <w:lvl w:ilvl="3" w:tplc="AB0A1338">
      <w:numFmt w:val="decimal"/>
      <w:lvlText w:val=""/>
      <w:lvlJc w:val="left"/>
    </w:lvl>
    <w:lvl w:ilvl="4" w:tplc="8B2A4426">
      <w:numFmt w:val="decimal"/>
      <w:lvlText w:val=""/>
      <w:lvlJc w:val="left"/>
    </w:lvl>
    <w:lvl w:ilvl="5" w:tplc="C7FED728">
      <w:numFmt w:val="decimal"/>
      <w:lvlText w:val=""/>
      <w:lvlJc w:val="left"/>
    </w:lvl>
    <w:lvl w:ilvl="6" w:tplc="CC661ECC">
      <w:numFmt w:val="decimal"/>
      <w:lvlText w:val=""/>
      <w:lvlJc w:val="left"/>
    </w:lvl>
    <w:lvl w:ilvl="7" w:tplc="DEAE627E">
      <w:numFmt w:val="decimal"/>
      <w:lvlText w:val=""/>
      <w:lvlJc w:val="left"/>
    </w:lvl>
    <w:lvl w:ilvl="8" w:tplc="DDBE46F0">
      <w:numFmt w:val="decimal"/>
      <w:lvlText w:val=""/>
      <w:lvlJc w:val="left"/>
    </w:lvl>
  </w:abstractNum>
  <w:abstractNum w:abstractNumId="872" w15:restartNumberingAfterBreak="0">
    <w:nsid w:val="5C0337F1"/>
    <w:multiLevelType w:val="hybridMultilevel"/>
    <w:tmpl w:val="A33CC44E"/>
    <w:lvl w:ilvl="0" w:tplc="6B424FB6">
      <w:start w:val="1"/>
      <w:numFmt w:val="bullet"/>
      <w:lvlText w:val=""/>
      <w:lvlJc w:val="left"/>
      <w:pPr>
        <w:ind w:left="720" w:hanging="180"/>
      </w:pPr>
      <w:rPr>
        <w:rFonts w:ascii="Symbol" w:hAnsi="Symbol" w:hint="default"/>
      </w:rPr>
    </w:lvl>
    <w:lvl w:ilvl="1" w:tplc="7B5A9880">
      <w:numFmt w:val="decimal"/>
      <w:lvlText w:val=""/>
      <w:lvlJc w:val="left"/>
    </w:lvl>
    <w:lvl w:ilvl="2" w:tplc="EDC08764">
      <w:numFmt w:val="decimal"/>
      <w:lvlText w:val=""/>
      <w:lvlJc w:val="left"/>
    </w:lvl>
    <w:lvl w:ilvl="3" w:tplc="A6BE60F6">
      <w:numFmt w:val="decimal"/>
      <w:lvlText w:val=""/>
      <w:lvlJc w:val="left"/>
    </w:lvl>
    <w:lvl w:ilvl="4" w:tplc="3C5AD37E">
      <w:numFmt w:val="decimal"/>
      <w:lvlText w:val=""/>
      <w:lvlJc w:val="left"/>
    </w:lvl>
    <w:lvl w:ilvl="5" w:tplc="3D3ED9F2">
      <w:numFmt w:val="decimal"/>
      <w:lvlText w:val=""/>
      <w:lvlJc w:val="left"/>
    </w:lvl>
    <w:lvl w:ilvl="6" w:tplc="9FB08A4A">
      <w:numFmt w:val="decimal"/>
      <w:lvlText w:val=""/>
      <w:lvlJc w:val="left"/>
    </w:lvl>
    <w:lvl w:ilvl="7" w:tplc="C57A951A">
      <w:numFmt w:val="decimal"/>
      <w:lvlText w:val=""/>
      <w:lvlJc w:val="left"/>
    </w:lvl>
    <w:lvl w:ilvl="8" w:tplc="AE94E9C8">
      <w:numFmt w:val="decimal"/>
      <w:lvlText w:val=""/>
      <w:lvlJc w:val="left"/>
    </w:lvl>
  </w:abstractNum>
  <w:abstractNum w:abstractNumId="873" w15:restartNumberingAfterBreak="0">
    <w:nsid w:val="5C085A1D"/>
    <w:multiLevelType w:val="hybridMultilevel"/>
    <w:tmpl w:val="AB402A58"/>
    <w:lvl w:ilvl="0" w:tplc="BF4E8822">
      <w:start w:val="1"/>
      <w:numFmt w:val="bullet"/>
      <w:lvlText w:val=""/>
      <w:lvlJc w:val="left"/>
      <w:pPr>
        <w:ind w:left="720" w:hanging="180"/>
      </w:pPr>
      <w:rPr>
        <w:rFonts w:ascii="Symbol" w:hAnsi="Symbol" w:hint="default"/>
      </w:rPr>
    </w:lvl>
    <w:lvl w:ilvl="1" w:tplc="13D8AD66">
      <w:numFmt w:val="decimal"/>
      <w:lvlText w:val=""/>
      <w:lvlJc w:val="left"/>
    </w:lvl>
    <w:lvl w:ilvl="2" w:tplc="96FA6868">
      <w:numFmt w:val="decimal"/>
      <w:lvlText w:val=""/>
      <w:lvlJc w:val="left"/>
    </w:lvl>
    <w:lvl w:ilvl="3" w:tplc="EA488F1C">
      <w:numFmt w:val="decimal"/>
      <w:lvlText w:val=""/>
      <w:lvlJc w:val="left"/>
    </w:lvl>
    <w:lvl w:ilvl="4" w:tplc="AAD424FC">
      <w:numFmt w:val="decimal"/>
      <w:lvlText w:val=""/>
      <w:lvlJc w:val="left"/>
    </w:lvl>
    <w:lvl w:ilvl="5" w:tplc="31666528">
      <w:numFmt w:val="decimal"/>
      <w:lvlText w:val=""/>
      <w:lvlJc w:val="left"/>
    </w:lvl>
    <w:lvl w:ilvl="6" w:tplc="172EAA9A">
      <w:numFmt w:val="decimal"/>
      <w:lvlText w:val=""/>
      <w:lvlJc w:val="left"/>
    </w:lvl>
    <w:lvl w:ilvl="7" w:tplc="8B9EC796">
      <w:numFmt w:val="decimal"/>
      <w:lvlText w:val=""/>
      <w:lvlJc w:val="left"/>
    </w:lvl>
    <w:lvl w:ilvl="8" w:tplc="39D61E28">
      <w:numFmt w:val="decimal"/>
      <w:lvlText w:val=""/>
      <w:lvlJc w:val="left"/>
    </w:lvl>
  </w:abstractNum>
  <w:abstractNum w:abstractNumId="874" w15:restartNumberingAfterBreak="0">
    <w:nsid w:val="5C126371"/>
    <w:multiLevelType w:val="hybridMultilevel"/>
    <w:tmpl w:val="523ACDD8"/>
    <w:lvl w:ilvl="0" w:tplc="882455DC">
      <w:start w:val="1"/>
      <w:numFmt w:val="bullet"/>
      <w:lvlText w:val=""/>
      <w:lvlJc w:val="left"/>
      <w:pPr>
        <w:ind w:left="720" w:hanging="180"/>
      </w:pPr>
      <w:rPr>
        <w:rFonts w:ascii="Symbol" w:hAnsi="Symbol" w:hint="default"/>
      </w:rPr>
    </w:lvl>
    <w:lvl w:ilvl="1" w:tplc="2AD248EC">
      <w:numFmt w:val="decimal"/>
      <w:lvlText w:val=""/>
      <w:lvlJc w:val="left"/>
    </w:lvl>
    <w:lvl w:ilvl="2" w:tplc="0AD881DE">
      <w:numFmt w:val="decimal"/>
      <w:lvlText w:val=""/>
      <w:lvlJc w:val="left"/>
    </w:lvl>
    <w:lvl w:ilvl="3" w:tplc="B224A9CA">
      <w:numFmt w:val="decimal"/>
      <w:lvlText w:val=""/>
      <w:lvlJc w:val="left"/>
    </w:lvl>
    <w:lvl w:ilvl="4" w:tplc="59FA5928">
      <w:numFmt w:val="decimal"/>
      <w:lvlText w:val=""/>
      <w:lvlJc w:val="left"/>
    </w:lvl>
    <w:lvl w:ilvl="5" w:tplc="ABF2D2B8">
      <w:numFmt w:val="decimal"/>
      <w:lvlText w:val=""/>
      <w:lvlJc w:val="left"/>
    </w:lvl>
    <w:lvl w:ilvl="6" w:tplc="72525498">
      <w:numFmt w:val="decimal"/>
      <w:lvlText w:val=""/>
      <w:lvlJc w:val="left"/>
    </w:lvl>
    <w:lvl w:ilvl="7" w:tplc="A89268DA">
      <w:numFmt w:val="decimal"/>
      <w:lvlText w:val=""/>
      <w:lvlJc w:val="left"/>
    </w:lvl>
    <w:lvl w:ilvl="8" w:tplc="D3CE3038">
      <w:numFmt w:val="decimal"/>
      <w:lvlText w:val=""/>
      <w:lvlJc w:val="left"/>
    </w:lvl>
  </w:abstractNum>
  <w:abstractNum w:abstractNumId="875" w15:restartNumberingAfterBreak="0">
    <w:nsid w:val="5C12785B"/>
    <w:multiLevelType w:val="hybridMultilevel"/>
    <w:tmpl w:val="094E598C"/>
    <w:lvl w:ilvl="0" w:tplc="C6869F46">
      <w:start w:val="1"/>
      <w:numFmt w:val="bullet"/>
      <w:lvlText w:val=""/>
      <w:lvlJc w:val="left"/>
      <w:pPr>
        <w:ind w:left="720" w:hanging="180"/>
      </w:pPr>
      <w:rPr>
        <w:rFonts w:ascii="Symbol" w:hAnsi="Symbol" w:hint="default"/>
      </w:rPr>
    </w:lvl>
    <w:lvl w:ilvl="1" w:tplc="DAC8E8EE">
      <w:numFmt w:val="decimal"/>
      <w:lvlText w:val=""/>
      <w:lvlJc w:val="left"/>
    </w:lvl>
    <w:lvl w:ilvl="2" w:tplc="71A43FD8">
      <w:numFmt w:val="decimal"/>
      <w:lvlText w:val=""/>
      <w:lvlJc w:val="left"/>
    </w:lvl>
    <w:lvl w:ilvl="3" w:tplc="8D9ACF50">
      <w:numFmt w:val="decimal"/>
      <w:lvlText w:val=""/>
      <w:lvlJc w:val="left"/>
    </w:lvl>
    <w:lvl w:ilvl="4" w:tplc="E9C02610">
      <w:numFmt w:val="decimal"/>
      <w:lvlText w:val=""/>
      <w:lvlJc w:val="left"/>
    </w:lvl>
    <w:lvl w:ilvl="5" w:tplc="94446198">
      <w:numFmt w:val="decimal"/>
      <w:lvlText w:val=""/>
      <w:lvlJc w:val="left"/>
    </w:lvl>
    <w:lvl w:ilvl="6" w:tplc="9AF411A4">
      <w:numFmt w:val="decimal"/>
      <w:lvlText w:val=""/>
      <w:lvlJc w:val="left"/>
    </w:lvl>
    <w:lvl w:ilvl="7" w:tplc="45762524">
      <w:numFmt w:val="decimal"/>
      <w:lvlText w:val=""/>
      <w:lvlJc w:val="left"/>
    </w:lvl>
    <w:lvl w:ilvl="8" w:tplc="3B5A5120">
      <w:numFmt w:val="decimal"/>
      <w:lvlText w:val=""/>
      <w:lvlJc w:val="left"/>
    </w:lvl>
  </w:abstractNum>
  <w:abstractNum w:abstractNumId="876" w15:restartNumberingAfterBreak="0">
    <w:nsid w:val="5C3A5BF4"/>
    <w:multiLevelType w:val="hybridMultilevel"/>
    <w:tmpl w:val="B81C9156"/>
    <w:lvl w:ilvl="0" w:tplc="2180A57A">
      <w:start w:val="1"/>
      <w:numFmt w:val="bullet"/>
      <w:lvlText w:val=""/>
      <w:lvlJc w:val="left"/>
      <w:pPr>
        <w:ind w:left="720" w:hanging="180"/>
      </w:pPr>
      <w:rPr>
        <w:rFonts w:ascii="Symbol" w:hAnsi="Symbol" w:hint="default"/>
      </w:rPr>
    </w:lvl>
    <w:lvl w:ilvl="1" w:tplc="BFC8F9EA">
      <w:numFmt w:val="decimal"/>
      <w:lvlText w:val=""/>
      <w:lvlJc w:val="left"/>
    </w:lvl>
    <w:lvl w:ilvl="2" w:tplc="2060438C">
      <w:numFmt w:val="decimal"/>
      <w:lvlText w:val=""/>
      <w:lvlJc w:val="left"/>
    </w:lvl>
    <w:lvl w:ilvl="3" w:tplc="A0FA2EFE">
      <w:numFmt w:val="decimal"/>
      <w:lvlText w:val=""/>
      <w:lvlJc w:val="left"/>
    </w:lvl>
    <w:lvl w:ilvl="4" w:tplc="410264D8">
      <w:numFmt w:val="decimal"/>
      <w:lvlText w:val=""/>
      <w:lvlJc w:val="left"/>
    </w:lvl>
    <w:lvl w:ilvl="5" w:tplc="3A621100">
      <w:numFmt w:val="decimal"/>
      <w:lvlText w:val=""/>
      <w:lvlJc w:val="left"/>
    </w:lvl>
    <w:lvl w:ilvl="6" w:tplc="B3540FDC">
      <w:numFmt w:val="decimal"/>
      <w:lvlText w:val=""/>
      <w:lvlJc w:val="left"/>
    </w:lvl>
    <w:lvl w:ilvl="7" w:tplc="BEB0FF6C">
      <w:numFmt w:val="decimal"/>
      <w:lvlText w:val=""/>
      <w:lvlJc w:val="left"/>
    </w:lvl>
    <w:lvl w:ilvl="8" w:tplc="99EED1B4">
      <w:numFmt w:val="decimal"/>
      <w:lvlText w:val=""/>
      <w:lvlJc w:val="left"/>
    </w:lvl>
  </w:abstractNum>
  <w:abstractNum w:abstractNumId="877" w15:restartNumberingAfterBreak="0">
    <w:nsid w:val="5C445E81"/>
    <w:multiLevelType w:val="hybridMultilevel"/>
    <w:tmpl w:val="78967980"/>
    <w:lvl w:ilvl="0" w:tplc="C1D45E1E">
      <w:start w:val="1"/>
      <w:numFmt w:val="bullet"/>
      <w:lvlText w:val=""/>
      <w:lvlJc w:val="left"/>
      <w:pPr>
        <w:ind w:left="720" w:hanging="180"/>
      </w:pPr>
      <w:rPr>
        <w:rFonts w:ascii="Symbol" w:hAnsi="Symbol" w:hint="default"/>
      </w:rPr>
    </w:lvl>
    <w:lvl w:ilvl="1" w:tplc="2A5EDD98">
      <w:numFmt w:val="decimal"/>
      <w:lvlText w:val=""/>
      <w:lvlJc w:val="left"/>
    </w:lvl>
    <w:lvl w:ilvl="2" w:tplc="C81445BA">
      <w:numFmt w:val="decimal"/>
      <w:lvlText w:val=""/>
      <w:lvlJc w:val="left"/>
    </w:lvl>
    <w:lvl w:ilvl="3" w:tplc="8370F05A">
      <w:numFmt w:val="decimal"/>
      <w:lvlText w:val=""/>
      <w:lvlJc w:val="left"/>
    </w:lvl>
    <w:lvl w:ilvl="4" w:tplc="41526982">
      <w:numFmt w:val="decimal"/>
      <w:lvlText w:val=""/>
      <w:lvlJc w:val="left"/>
    </w:lvl>
    <w:lvl w:ilvl="5" w:tplc="1EFA9DDA">
      <w:numFmt w:val="decimal"/>
      <w:lvlText w:val=""/>
      <w:lvlJc w:val="left"/>
    </w:lvl>
    <w:lvl w:ilvl="6" w:tplc="340E82AC">
      <w:numFmt w:val="decimal"/>
      <w:lvlText w:val=""/>
      <w:lvlJc w:val="left"/>
    </w:lvl>
    <w:lvl w:ilvl="7" w:tplc="89481026">
      <w:numFmt w:val="decimal"/>
      <w:lvlText w:val=""/>
      <w:lvlJc w:val="left"/>
    </w:lvl>
    <w:lvl w:ilvl="8" w:tplc="D60663EC">
      <w:numFmt w:val="decimal"/>
      <w:lvlText w:val=""/>
      <w:lvlJc w:val="left"/>
    </w:lvl>
  </w:abstractNum>
  <w:abstractNum w:abstractNumId="878" w15:restartNumberingAfterBreak="0">
    <w:nsid w:val="5C492704"/>
    <w:multiLevelType w:val="hybridMultilevel"/>
    <w:tmpl w:val="F3CA3482"/>
    <w:lvl w:ilvl="0" w:tplc="D66A231E">
      <w:start w:val="1"/>
      <w:numFmt w:val="bullet"/>
      <w:lvlText w:val=""/>
      <w:lvlJc w:val="left"/>
      <w:pPr>
        <w:ind w:left="720" w:hanging="180"/>
      </w:pPr>
      <w:rPr>
        <w:rFonts w:ascii="Symbol" w:hAnsi="Symbol" w:hint="default"/>
      </w:rPr>
    </w:lvl>
    <w:lvl w:ilvl="1" w:tplc="AF1A12C0">
      <w:numFmt w:val="decimal"/>
      <w:lvlText w:val=""/>
      <w:lvlJc w:val="left"/>
    </w:lvl>
    <w:lvl w:ilvl="2" w:tplc="C2107724">
      <w:numFmt w:val="decimal"/>
      <w:lvlText w:val=""/>
      <w:lvlJc w:val="left"/>
    </w:lvl>
    <w:lvl w:ilvl="3" w:tplc="1D8256D4">
      <w:numFmt w:val="decimal"/>
      <w:lvlText w:val=""/>
      <w:lvlJc w:val="left"/>
    </w:lvl>
    <w:lvl w:ilvl="4" w:tplc="902452B0">
      <w:numFmt w:val="decimal"/>
      <w:lvlText w:val=""/>
      <w:lvlJc w:val="left"/>
    </w:lvl>
    <w:lvl w:ilvl="5" w:tplc="93A21328">
      <w:numFmt w:val="decimal"/>
      <w:lvlText w:val=""/>
      <w:lvlJc w:val="left"/>
    </w:lvl>
    <w:lvl w:ilvl="6" w:tplc="219CC4D8">
      <w:numFmt w:val="decimal"/>
      <w:lvlText w:val=""/>
      <w:lvlJc w:val="left"/>
    </w:lvl>
    <w:lvl w:ilvl="7" w:tplc="0B82D71A">
      <w:numFmt w:val="decimal"/>
      <w:lvlText w:val=""/>
      <w:lvlJc w:val="left"/>
    </w:lvl>
    <w:lvl w:ilvl="8" w:tplc="7C9026D0">
      <w:numFmt w:val="decimal"/>
      <w:lvlText w:val=""/>
      <w:lvlJc w:val="left"/>
    </w:lvl>
  </w:abstractNum>
  <w:abstractNum w:abstractNumId="879" w15:restartNumberingAfterBreak="0">
    <w:nsid w:val="5C5D13F8"/>
    <w:multiLevelType w:val="hybridMultilevel"/>
    <w:tmpl w:val="AFD2B7F6"/>
    <w:lvl w:ilvl="0" w:tplc="F9668606">
      <w:start w:val="1"/>
      <w:numFmt w:val="bullet"/>
      <w:lvlText w:val=""/>
      <w:lvlJc w:val="left"/>
      <w:pPr>
        <w:ind w:left="720" w:hanging="180"/>
      </w:pPr>
      <w:rPr>
        <w:rFonts w:ascii="Symbol" w:hAnsi="Symbol" w:hint="default"/>
      </w:rPr>
    </w:lvl>
    <w:lvl w:ilvl="1" w:tplc="0E10F74C">
      <w:numFmt w:val="decimal"/>
      <w:lvlText w:val=""/>
      <w:lvlJc w:val="left"/>
    </w:lvl>
    <w:lvl w:ilvl="2" w:tplc="B9B61CBA">
      <w:numFmt w:val="decimal"/>
      <w:lvlText w:val=""/>
      <w:lvlJc w:val="left"/>
    </w:lvl>
    <w:lvl w:ilvl="3" w:tplc="56F0B526">
      <w:numFmt w:val="decimal"/>
      <w:lvlText w:val=""/>
      <w:lvlJc w:val="left"/>
    </w:lvl>
    <w:lvl w:ilvl="4" w:tplc="28CC5DBA">
      <w:numFmt w:val="decimal"/>
      <w:lvlText w:val=""/>
      <w:lvlJc w:val="left"/>
    </w:lvl>
    <w:lvl w:ilvl="5" w:tplc="FC9EF33C">
      <w:numFmt w:val="decimal"/>
      <w:lvlText w:val=""/>
      <w:lvlJc w:val="left"/>
    </w:lvl>
    <w:lvl w:ilvl="6" w:tplc="DD6C079E">
      <w:numFmt w:val="decimal"/>
      <w:lvlText w:val=""/>
      <w:lvlJc w:val="left"/>
    </w:lvl>
    <w:lvl w:ilvl="7" w:tplc="74766D0C">
      <w:numFmt w:val="decimal"/>
      <w:lvlText w:val=""/>
      <w:lvlJc w:val="left"/>
    </w:lvl>
    <w:lvl w:ilvl="8" w:tplc="BC385996">
      <w:numFmt w:val="decimal"/>
      <w:lvlText w:val=""/>
      <w:lvlJc w:val="left"/>
    </w:lvl>
  </w:abstractNum>
  <w:abstractNum w:abstractNumId="880" w15:restartNumberingAfterBreak="0">
    <w:nsid w:val="5CA279C7"/>
    <w:multiLevelType w:val="hybridMultilevel"/>
    <w:tmpl w:val="2C841892"/>
    <w:lvl w:ilvl="0" w:tplc="FB2EDA5E">
      <w:start w:val="1"/>
      <w:numFmt w:val="bullet"/>
      <w:lvlText w:val=""/>
      <w:lvlJc w:val="left"/>
      <w:pPr>
        <w:ind w:left="720" w:hanging="180"/>
      </w:pPr>
      <w:rPr>
        <w:rFonts w:ascii="Symbol" w:hAnsi="Symbol" w:hint="default"/>
      </w:rPr>
    </w:lvl>
    <w:lvl w:ilvl="1" w:tplc="F52E9646">
      <w:numFmt w:val="decimal"/>
      <w:lvlText w:val=""/>
      <w:lvlJc w:val="left"/>
    </w:lvl>
    <w:lvl w:ilvl="2" w:tplc="93D855B4">
      <w:numFmt w:val="decimal"/>
      <w:lvlText w:val=""/>
      <w:lvlJc w:val="left"/>
    </w:lvl>
    <w:lvl w:ilvl="3" w:tplc="5650C640">
      <w:numFmt w:val="decimal"/>
      <w:lvlText w:val=""/>
      <w:lvlJc w:val="left"/>
    </w:lvl>
    <w:lvl w:ilvl="4" w:tplc="2CC86D96">
      <w:numFmt w:val="decimal"/>
      <w:lvlText w:val=""/>
      <w:lvlJc w:val="left"/>
    </w:lvl>
    <w:lvl w:ilvl="5" w:tplc="A08C9388">
      <w:numFmt w:val="decimal"/>
      <w:lvlText w:val=""/>
      <w:lvlJc w:val="left"/>
    </w:lvl>
    <w:lvl w:ilvl="6" w:tplc="61440850">
      <w:numFmt w:val="decimal"/>
      <w:lvlText w:val=""/>
      <w:lvlJc w:val="left"/>
    </w:lvl>
    <w:lvl w:ilvl="7" w:tplc="31CCE5AC">
      <w:numFmt w:val="decimal"/>
      <w:lvlText w:val=""/>
      <w:lvlJc w:val="left"/>
    </w:lvl>
    <w:lvl w:ilvl="8" w:tplc="A7E47BFC">
      <w:numFmt w:val="decimal"/>
      <w:lvlText w:val=""/>
      <w:lvlJc w:val="left"/>
    </w:lvl>
  </w:abstractNum>
  <w:abstractNum w:abstractNumId="881" w15:restartNumberingAfterBreak="0">
    <w:nsid w:val="5D00224A"/>
    <w:multiLevelType w:val="hybridMultilevel"/>
    <w:tmpl w:val="415E3790"/>
    <w:lvl w:ilvl="0" w:tplc="1AE06E46">
      <w:start w:val="1"/>
      <w:numFmt w:val="bullet"/>
      <w:lvlText w:val=""/>
      <w:lvlJc w:val="left"/>
      <w:pPr>
        <w:ind w:left="720" w:hanging="180"/>
      </w:pPr>
      <w:rPr>
        <w:rFonts w:ascii="Symbol" w:hAnsi="Symbol" w:hint="default"/>
      </w:rPr>
    </w:lvl>
    <w:lvl w:ilvl="1" w:tplc="0A6050AE">
      <w:numFmt w:val="decimal"/>
      <w:lvlText w:val=""/>
      <w:lvlJc w:val="left"/>
    </w:lvl>
    <w:lvl w:ilvl="2" w:tplc="A12A4F68">
      <w:numFmt w:val="decimal"/>
      <w:lvlText w:val=""/>
      <w:lvlJc w:val="left"/>
    </w:lvl>
    <w:lvl w:ilvl="3" w:tplc="BD12FA3C">
      <w:numFmt w:val="decimal"/>
      <w:lvlText w:val=""/>
      <w:lvlJc w:val="left"/>
    </w:lvl>
    <w:lvl w:ilvl="4" w:tplc="594E60BE">
      <w:numFmt w:val="decimal"/>
      <w:lvlText w:val=""/>
      <w:lvlJc w:val="left"/>
    </w:lvl>
    <w:lvl w:ilvl="5" w:tplc="B928B962">
      <w:numFmt w:val="decimal"/>
      <w:lvlText w:val=""/>
      <w:lvlJc w:val="left"/>
    </w:lvl>
    <w:lvl w:ilvl="6" w:tplc="949A40B6">
      <w:numFmt w:val="decimal"/>
      <w:lvlText w:val=""/>
      <w:lvlJc w:val="left"/>
    </w:lvl>
    <w:lvl w:ilvl="7" w:tplc="13EA7F76">
      <w:numFmt w:val="decimal"/>
      <w:lvlText w:val=""/>
      <w:lvlJc w:val="left"/>
    </w:lvl>
    <w:lvl w:ilvl="8" w:tplc="36CA67C2">
      <w:numFmt w:val="decimal"/>
      <w:lvlText w:val=""/>
      <w:lvlJc w:val="left"/>
    </w:lvl>
  </w:abstractNum>
  <w:abstractNum w:abstractNumId="882" w15:restartNumberingAfterBreak="0">
    <w:nsid w:val="5D123959"/>
    <w:multiLevelType w:val="hybridMultilevel"/>
    <w:tmpl w:val="BB727864"/>
    <w:lvl w:ilvl="0" w:tplc="0770C1FA">
      <w:start w:val="1"/>
      <w:numFmt w:val="bullet"/>
      <w:lvlText w:val=""/>
      <w:lvlJc w:val="left"/>
      <w:pPr>
        <w:ind w:left="720" w:hanging="180"/>
      </w:pPr>
      <w:rPr>
        <w:rFonts w:ascii="Symbol" w:hAnsi="Symbol" w:hint="default"/>
      </w:rPr>
    </w:lvl>
    <w:lvl w:ilvl="1" w:tplc="40F0A328">
      <w:numFmt w:val="decimal"/>
      <w:lvlText w:val=""/>
      <w:lvlJc w:val="left"/>
    </w:lvl>
    <w:lvl w:ilvl="2" w:tplc="ABF2FCFE">
      <w:numFmt w:val="decimal"/>
      <w:lvlText w:val=""/>
      <w:lvlJc w:val="left"/>
    </w:lvl>
    <w:lvl w:ilvl="3" w:tplc="6986D1A2">
      <w:numFmt w:val="decimal"/>
      <w:lvlText w:val=""/>
      <w:lvlJc w:val="left"/>
    </w:lvl>
    <w:lvl w:ilvl="4" w:tplc="D004D0BE">
      <w:numFmt w:val="decimal"/>
      <w:lvlText w:val=""/>
      <w:lvlJc w:val="left"/>
    </w:lvl>
    <w:lvl w:ilvl="5" w:tplc="B52CC7A2">
      <w:numFmt w:val="decimal"/>
      <w:lvlText w:val=""/>
      <w:lvlJc w:val="left"/>
    </w:lvl>
    <w:lvl w:ilvl="6" w:tplc="2236D414">
      <w:numFmt w:val="decimal"/>
      <w:lvlText w:val=""/>
      <w:lvlJc w:val="left"/>
    </w:lvl>
    <w:lvl w:ilvl="7" w:tplc="B1800E58">
      <w:numFmt w:val="decimal"/>
      <w:lvlText w:val=""/>
      <w:lvlJc w:val="left"/>
    </w:lvl>
    <w:lvl w:ilvl="8" w:tplc="CA709EE4">
      <w:numFmt w:val="decimal"/>
      <w:lvlText w:val=""/>
      <w:lvlJc w:val="left"/>
    </w:lvl>
  </w:abstractNum>
  <w:abstractNum w:abstractNumId="883" w15:restartNumberingAfterBreak="0">
    <w:nsid w:val="5D2937B1"/>
    <w:multiLevelType w:val="hybridMultilevel"/>
    <w:tmpl w:val="7B88AFE0"/>
    <w:lvl w:ilvl="0" w:tplc="A3A0D7E0">
      <w:start w:val="1"/>
      <w:numFmt w:val="bullet"/>
      <w:lvlText w:val=""/>
      <w:lvlJc w:val="left"/>
      <w:pPr>
        <w:ind w:left="720" w:hanging="180"/>
      </w:pPr>
      <w:rPr>
        <w:rFonts w:ascii="Symbol" w:hAnsi="Symbol" w:hint="default"/>
      </w:rPr>
    </w:lvl>
    <w:lvl w:ilvl="1" w:tplc="3F44A1F2">
      <w:numFmt w:val="decimal"/>
      <w:lvlText w:val=""/>
      <w:lvlJc w:val="left"/>
    </w:lvl>
    <w:lvl w:ilvl="2" w:tplc="5F3E572C">
      <w:numFmt w:val="decimal"/>
      <w:lvlText w:val=""/>
      <w:lvlJc w:val="left"/>
    </w:lvl>
    <w:lvl w:ilvl="3" w:tplc="844E4A2E">
      <w:numFmt w:val="decimal"/>
      <w:lvlText w:val=""/>
      <w:lvlJc w:val="left"/>
    </w:lvl>
    <w:lvl w:ilvl="4" w:tplc="2B56EA9A">
      <w:numFmt w:val="decimal"/>
      <w:lvlText w:val=""/>
      <w:lvlJc w:val="left"/>
    </w:lvl>
    <w:lvl w:ilvl="5" w:tplc="D6864F58">
      <w:numFmt w:val="decimal"/>
      <w:lvlText w:val=""/>
      <w:lvlJc w:val="left"/>
    </w:lvl>
    <w:lvl w:ilvl="6" w:tplc="7006167E">
      <w:numFmt w:val="decimal"/>
      <w:lvlText w:val=""/>
      <w:lvlJc w:val="left"/>
    </w:lvl>
    <w:lvl w:ilvl="7" w:tplc="45182866">
      <w:numFmt w:val="decimal"/>
      <w:lvlText w:val=""/>
      <w:lvlJc w:val="left"/>
    </w:lvl>
    <w:lvl w:ilvl="8" w:tplc="45A2E140">
      <w:numFmt w:val="decimal"/>
      <w:lvlText w:val=""/>
      <w:lvlJc w:val="left"/>
    </w:lvl>
  </w:abstractNum>
  <w:abstractNum w:abstractNumId="884" w15:restartNumberingAfterBreak="0">
    <w:nsid w:val="5D2B0B43"/>
    <w:multiLevelType w:val="hybridMultilevel"/>
    <w:tmpl w:val="8CE0E89C"/>
    <w:lvl w:ilvl="0" w:tplc="5DECA368">
      <w:start w:val="1"/>
      <w:numFmt w:val="bullet"/>
      <w:lvlText w:val=""/>
      <w:lvlJc w:val="left"/>
      <w:pPr>
        <w:ind w:left="720" w:hanging="180"/>
      </w:pPr>
      <w:rPr>
        <w:rFonts w:ascii="Symbol" w:hAnsi="Symbol" w:hint="default"/>
      </w:rPr>
    </w:lvl>
    <w:lvl w:ilvl="1" w:tplc="7BDE7496">
      <w:numFmt w:val="decimal"/>
      <w:lvlText w:val=""/>
      <w:lvlJc w:val="left"/>
    </w:lvl>
    <w:lvl w:ilvl="2" w:tplc="1144C8A4">
      <w:numFmt w:val="decimal"/>
      <w:lvlText w:val=""/>
      <w:lvlJc w:val="left"/>
    </w:lvl>
    <w:lvl w:ilvl="3" w:tplc="F5985D5E">
      <w:numFmt w:val="decimal"/>
      <w:lvlText w:val=""/>
      <w:lvlJc w:val="left"/>
    </w:lvl>
    <w:lvl w:ilvl="4" w:tplc="6EE85ACE">
      <w:numFmt w:val="decimal"/>
      <w:lvlText w:val=""/>
      <w:lvlJc w:val="left"/>
    </w:lvl>
    <w:lvl w:ilvl="5" w:tplc="E9308FA6">
      <w:numFmt w:val="decimal"/>
      <w:lvlText w:val=""/>
      <w:lvlJc w:val="left"/>
    </w:lvl>
    <w:lvl w:ilvl="6" w:tplc="74CE6C42">
      <w:numFmt w:val="decimal"/>
      <w:lvlText w:val=""/>
      <w:lvlJc w:val="left"/>
    </w:lvl>
    <w:lvl w:ilvl="7" w:tplc="B230661E">
      <w:numFmt w:val="decimal"/>
      <w:lvlText w:val=""/>
      <w:lvlJc w:val="left"/>
    </w:lvl>
    <w:lvl w:ilvl="8" w:tplc="0DD4E838">
      <w:numFmt w:val="decimal"/>
      <w:lvlText w:val=""/>
      <w:lvlJc w:val="left"/>
    </w:lvl>
  </w:abstractNum>
  <w:abstractNum w:abstractNumId="885" w15:restartNumberingAfterBreak="0">
    <w:nsid w:val="5D2B12E4"/>
    <w:multiLevelType w:val="hybridMultilevel"/>
    <w:tmpl w:val="D90ACFD2"/>
    <w:lvl w:ilvl="0" w:tplc="5924421C">
      <w:start w:val="1"/>
      <w:numFmt w:val="bullet"/>
      <w:lvlText w:val=""/>
      <w:lvlJc w:val="left"/>
      <w:pPr>
        <w:ind w:left="720" w:hanging="180"/>
      </w:pPr>
      <w:rPr>
        <w:rFonts w:ascii="Symbol" w:hAnsi="Symbol" w:hint="default"/>
      </w:rPr>
    </w:lvl>
    <w:lvl w:ilvl="1" w:tplc="99028A68">
      <w:numFmt w:val="decimal"/>
      <w:lvlText w:val=""/>
      <w:lvlJc w:val="left"/>
    </w:lvl>
    <w:lvl w:ilvl="2" w:tplc="5E0C7680">
      <w:numFmt w:val="decimal"/>
      <w:lvlText w:val=""/>
      <w:lvlJc w:val="left"/>
    </w:lvl>
    <w:lvl w:ilvl="3" w:tplc="A1EA40E2">
      <w:numFmt w:val="decimal"/>
      <w:lvlText w:val=""/>
      <w:lvlJc w:val="left"/>
    </w:lvl>
    <w:lvl w:ilvl="4" w:tplc="9A400F34">
      <w:numFmt w:val="decimal"/>
      <w:lvlText w:val=""/>
      <w:lvlJc w:val="left"/>
    </w:lvl>
    <w:lvl w:ilvl="5" w:tplc="9D9CE514">
      <w:numFmt w:val="decimal"/>
      <w:lvlText w:val=""/>
      <w:lvlJc w:val="left"/>
    </w:lvl>
    <w:lvl w:ilvl="6" w:tplc="D3D0665C">
      <w:numFmt w:val="decimal"/>
      <w:lvlText w:val=""/>
      <w:lvlJc w:val="left"/>
    </w:lvl>
    <w:lvl w:ilvl="7" w:tplc="36B8A62C">
      <w:numFmt w:val="decimal"/>
      <w:lvlText w:val=""/>
      <w:lvlJc w:val="left"/>
    </w:lvl>
    <w:lvl w:ilvl="8" w:tplc="9A10DE5E">
      <w:numFmt w:val="decimal"/>
      <w:lvlText w:val=""/>
      <w:lvlJc w:val="left"/>
    </w:lvl>
  </w:abstractNum>
  <w:abstractNum w:abstractNumId="886" w15:restartNumberingAfterBreak="0">
    <w:nsid w:val="5D3B5AF2"/>
    <w:multiLevelType w:val="hybridMultilevel"/>
    <w:tmpl w:val="7826A6CC"/>
    <w:lvl w:ilvl="0" w:tplc="784C8A0E">
      <w:start w:val="1"/>
      <w:numFmt w:val="bullet"/>
      <w:lvlText w:val=""/>
      <w:lvlJc w:val="left"/>
      <w:pPr>
        <w:ind w:left="720" w:hanging="180"/>
      </w:pPr>
      <w:rPr>
        <w:rFonts w:ascii="Symbol" w:hAnsi="Symbol" w:hint="default"/>
      </w:rPr>
    </w:lvl>
    <w:lvl w:ilvl="1" w:tplc="C7D0281A">
      <w:numFmt w:val="decimal"/>
      <w:lvlText w:val=""/>
      <w:lvlJc w:val="left"/>
    </w:lvl>
    <w:lvl w:ilvl="2" w:tplc="F9D86548">
      <w:numFmt w:val="decimal"/>
      <w:lvlText w:val=""/>
      <w:lvlJc w:val="left"/>
    </w:lvl>
    <w:lvl w:ilvl="3" w:tplc="0426721C">
      <w:numFmt w:val="decimal"/>
      <w:lvlText w:val=""/>
      <w:lvlJc w:val="left"/>
    </w:lvl>
    <w:lvl w:ilvl="4" w:tplc="0FE28CD2">
      <w:numFmt w:val="decimal"/>
      <w:lvlText w:val=""/>
      <w:lvlJc w:val="left"/>
    </w:lvl>
    <w:lvl w:ilvl="5" w:tplc="BA829316">
      <w:numFmt w:val="decimal"/>
      <w:lvlText w:val=""/>
      <w:lvlJc w:val="left"/>
    </w:lvl>
    <w:lvl w:ilvl="6" w:tplc="5F1E6004">
      <w:numFmt w:val="decimal"/>
      <w:lvlText w:val=""/>
      <w:lvlJc w:val="left"/>
    </w:lvl>
    <w:lvl w:ilvl="7" w:tplc="FA74D418">
      <w:numFmt w:val="decimal"/>
      <w:lvlText w:val=""/>
      <w:lvlJc w:val="left"/>
    </w:lvl>
    <w:lvl w:ilvl="8" w:tplc="5844A010">
      <w:numFmt w:val="decimal"/>
      <w:lvlText w:val=""/>
      <w:lvlJc w:val="left"/>
    </w:lvl>
  </w:abstractNum>
  <w:abstractNum w:abstractNumId="887" w15:restartNumberingAfterBreak="0">
    <w:nsid w:val="5D501BCC"/>
    <w:multiLevelType w:val="hybridMultilevel"/>
    <w:tmpl w:val="151E9FD4"/>
    <w:lvl w:ilvl="0" w:tplc="F288D9F4">
      <w:numFmt w:val="decimal"/>
      <w:lvlText w:val=""/>
      <w:lvlJc w:val="left"/>
    </w:lvl>
    <w:lvl w:ilvl="1" w:tplc="08BA1436">
      <w:start w:val="1"/>
      <w:numFmt w:val="bullet"/>
      <w:lvlText w:val=""/>
      <w:lvlJc w:val="left"/>
      <w:pPr>
        <w:ind w:left="1440" w:hanging="180"/>
      </w:pPr>
      <w:rPr>
        <w:rFonts w:ascii="Symbol" w:hAnsi="Symbol" w:hint="default"/>
      </w:rPr>
    </w:lvl>
    <w:lvl w:ilvl="2" w:tplc="B5E212CA">
      <w:numFmt w:val="decimal"/>
      <w:lvlText w:val=""/>
      <w:lvlJc w:val="left"/>
    </w:lvl>
    <w:lvl w:ilvl="3" w:tplc="3CBA0FA0">
      <w:numFmt w:val="decimal"/>
      <w:lvlText w:val=""/>
      <w:lvlJc w:val="left"/>
    </w:lvl>
    <w:lvl w:ilvl="4" w:tplc="EB6C458C">
      <w:numFmt w:val="decimal"/>
      <w:lvlText w:val=""/>
      <w:lvlJc w:val="left"/>
    </w:lvl>
    <w:lvl w:ilvl="5" w:tplc="614CF70E">
      <w:numFmt w:val="decimal"/>
      <w:lvlText w:val=""/>
      <w:lvlJc w:val="left"/>
    </w:lvl>
    <w:lvl w:ilvl="6" w:tplc="63CAB3D0">
      <w:numFmt w:val="decimal"/>
      <w:lvlText w:val=""/>
      <w:lvlJc w:val="left"/>
    </w:lvl>
    <w:lvl w:ilvl="7" w:tplc="9E9C5330">
      <w:numFmt w:val="decimal"/>
      <w:lvlText w:val=""/>
      <w:lvlJc w:val="left"/>
    </w:lvl>
    <w:lvl w:ilvl="8" w:tplc="CB9E02C0">
      <w:numFmt w:val="decimal"/>
      <w:lvlText w:val=""/>
      <w:lvlJc w:val="left"/>
    </w:lvl>
  </w:abstractNum>
  <w:abstractNum w:abstractNumId="888" w15:restartNumberingAfterBreak="0">
    <w:nsid w:val="5D5728E7"/>
    <w:multiLevelType w:val="hybridMultilevel"/>
    <w:tmpl w:val="E062C784"/>
    <w:lvl w:ilvl="0" w:tplc="C6808E4E">
      <w:start w:val="1"/>
      <w:numFmt w:val="bullet"/>
      <w:lvlText w:val=""/>
      <w:lvlJc w:val="left"/>
      <w:pPr>
        <w:ind w:left="720" w:hanging="180"/>
      </w:pPr>
      <w:rPr>
        <w:rFonts w:ascii="Symbol" w:hAnsi="Symbol" w:hint="default"/>
      </w:rPr>
    </w:lvl>
    <w:lvl w:ilvl="1" w:tplc="C64E490A">
      <w:numFmt w:val="decimal"/>
      <w:lvlText w:val=""/>
      <w:lvlJc w:val="left"/>
    </w:lvl>
    <w:lvl w:ilvl="2" w:tplc="5D9217B0">
      <w:numFmt w:val="decimal"/>
      <w:lvlText w:val=""/>
      <w:lvlJc w:val="left"/>
    </w:lvl>
    <w:lvl w:ilvl="3" w:tplc="22EADDA4">
      <w:numFmt w:val="decimal"/>
      <w:lvlText w:val=""/>
      <w:lvlJc w:val="left"/>
    </w:lvl>
    <w:lvl w:ilvl="4" w:tplc="98B28ADE">
      <w:numFmt w:val="decimal"/>
      <w:lvlText w:val=""/>
      <w:lvlJc w:val="left"/>
    </w:lvl>
    <w:lvl w:ilvl="5" w:tplc="05ACEFC6">
      <w:numFmt w:val="decimal"/>
      <w:lvlText w:val=""/>
      <w:lvlJc w:val="left"/>
    </w:lvl>
    <w:lvl w:ilvl="6" w:tplc="4314C2FA">
      <w:numFmt w:val="decimal"/>
      <w:lvlText w:val=""/>
      <w:lvlJc w:val="left"/>
    </w:lvl>
    <w:lvl w:ilvl="7" w:tplc="8ADA5C1A">
      <w:numFmt w:val="decimal"/>
      <w:lvlText w:val=""/>
      <w:lvlJc w:val="left"/>
    </w:lvl>
    <w:lvl w:ilvl="8" w:tplc="B0821870">
      <w:numFmt w:val="decimal"/>
      <w:lvlText w:val=""/>
      <w:lvlJc w:val="left"/>
    </w:lvl>
  </w:abstractNum>
  <w:abstractNum w:abstractNumId="889" w15:restartNumberingAfterBreak="0">
    <w:nsid w:val="5D850AC6"/>
    <w:multiLevelType w:val="hybridMultilevel"/>
    <w:tmpl w:val="F30C95E0"/>
    <w:lvl w:ilvl="0" w:tplc="561494EC">
      <w:start w:val="1"/>
      <w:numFmt w:val="bullet"/>
      <w:lvlText w:val=""/>
      <w:lvlJc w:val="left"/>
      <w:pPr>
        <w:ind w:left="720" w:hanging="180"/>
      </w:pPr>
      <w:rPr>
        <w:rFonts w:ascii="Symbol" w:hAnsi="Symbol" w:hint="default"/>
      </w:rPr>
    </w:lvl>
    <w:lvl w:ilvl="1" w:tplc="8760DEEE">
      <w:numFmt w:val="decimal"/>
      <w:lvlText w:val=""/>
      <w:lvlJc w:val="left"/>
    </w:lvl>
    <w:lvl w:ilvl="2" w:tplc="DB561920">
      <w:numFmt w:val="decimal"/>
      <w:lvlText w:val=""/>
      <w:lvlJc w:val="left"/>
    </w:lvl>
    <w:lvl w:ilvl="3" w:tplc="40FC8212">
      <w:numFmt w:val="decimal"/>
      <w:lvlText w:val=""/>
      <w:lvlJc w:val="left"/>
    </w:lvl>
    <w:lvl w:ilvl="4" w:tplc="8848C636">
      <w:numFmt w:val="decimal"/>
      <w:lvlText w:val=""/>
      <w:lvlJc w:val="left"/>
    </w:lvl>
    <w:lvl w:ilvl="5" w:tplc="9F760210">
      <w:numFmt w:val="decimal"/>
      <w:lvlText w:val=""/>
      <w:lvlJc w:val="left"/>
    </w:lvl>
    <w:lvl w:ilvl="6" w:tplc="80688D64">
      <w:numFmt w:val="decimal"/>
      <w:lvlText w:val=""/>
      <w:lvlJc w:val="left"/>
    </w:lvl>
    <w:lvl w:ilvl="7" w:tplc="B45A9704">
      <w:numFmt w:val="decimal"/>
      <w:lvlText w:val=""/>
      <w:lvlJc w:val="left"/>
    </w:lvl>
    <w:lvl w:ilvl="8" w:tplc="16F87C06">
      <w:numFmt w:val="decimal"/>
      <w:lvlText w:val=""/>
      <w:lvlJc w:val="left"/>
    </w:lvl>
  </w:abstractNum>
  <w:abstractNum w:abstractNumId="890" w15:restartNumberingAfterBreak="0">
    <w:nsid w:val="5D8B6B39"/>
    <w:multiLevelType w:val="hybridMultilevel"/>
    <w:tmpl w:val="5D5AA346"/>
    <w:lvl w:ilvl="0" w:tplc="4FBE9296">
      <w:numFmt w:val="decimal"/>
      <w:lvlText w:val=""/>
      <w:lvlJc w:val="left"/>
    </w:lvl>
    <w:lvl w:ilvl="1" w:tplc="EACAFE56">
      <w:start w:val="1"/>
      <w:numFmt w:val="bullet"/>
      <w:lvlText w:val=""/>
      <w:lvlJc w:val="left"/>
      <w:pPr>
        <w:ind w:left="1440" w:hanging="180"/>
      </w:pPr>
      <w:rPr>
        <w:rFonts w:ascii="Symbol" w:hAnsi="Symbol" w:hint="default"/>
      </w:rPr>
    </w:lvl>
    <w:lvl w:ilvl="2" w:tplc="B96A9A08">
      <w:numFmt w:val="decimal"/>
      <w:lvlText w:val=""/>
      <w:lvlJc w:val="left"/>
    </w:lvl>
    <w:lvl w:ilvl="3" w:tplc="8C68F99C">
      <w:numFmt w:val="decimal"/>
      <w:lvlText w:val=""/>
      <w:lvlJc w:val="left"/>
    </w:lvl>
    <w:lvl w:ilvl="4" w:tplc="665EA232">
      <w:numFmt w:val="decimal"/>
      <w:lvlText w:val=""/>
      <w:lvlJc w:val="left"/>
    </w:lvl>
    <w:lvl w:ilvl="5" w:tplc="D94E4074">
      <w:numFmt w:val="decimal"/>
      <w:lvlText w:val=""/>
      <w:lvlJc w:val="left"/>
    </w:lvl>
    <w:lvl w:ilvl="6" w:tplc="0340EBF8">
      <w:numFmt w:val="decimal"/>
      <w:lvlText w:val=""/>
      <w:lvlJc w:val="left"/>
    </w:lvl>
    <w:lvl w:ilvl="7" w:tplc="38F68A66">
      <w:numFmt w:val="decimal"/>
      <w:lvlText w:val=""/>
      <w:lvlJc w:val="left"/>
    </w:lvl>
    <w:lvl w:ilvl="8" w:tplc="F57E78C8">
      <w:numFmt w:val="decimal"/>
      <w:lvlText w:val=""/>
      <w:lvlJc w:val="left"/>
    </w:lvl>
  </w:abstractNum>
  <w:abstractNum w:abstractNumId="891" w15:restartNumberingAfterBreak="0">
    <w:nsid w:val="5DB544CE"/>
    <w:multiLevelType w:val="hybridMultilevel"/>
    <w:tmpl w:val="C4EE5C4E"/>
    <w:lvl w:ilvl="0" w:tplc="9D624400">
      <w:start w:val="1"/>
      <w:numFmt w:val="bullet"/>
      <w:lvlText w:val=""/>
      <w:lvlJc w:val="left"/>
      <w:pPr>
        <w:ind w:left="720" w:hanging="180"/>
      </w:pPr>
      <w:rPr>
        <w:rFonts w:ascii="Symbol" w:hAnsi="Symbol" w:hint="default"/>
      </w:rPr>
    </w:lvl>
    <w:lvl w:ilvl="1" w:tplc="2B00FA62">
      <w:numFmt w:val="decimal"/>
      <w:lvlText w:val=""/>
      <w:lvlJc w:val="left"/>
    </w:lvl>
    <w:lvl w:ilvl="2" w:tplc="1BE69C0C">
      <w:numFmt w:val="decimal"/>
      <w:lvlText w:val=""/>
      <w:lvlJc w:val="left"/>
    </w:lvl>
    <w:lvl w:ilvl="3" w:tplc="06182A42">
      <w:numFmt w:val="decimal"/>
      <w:lvlText w:val=""/>
      <w:lvlJc w:val="left"/>
    </w:lvl>
    <w:lvl w:ilvl="4" w:tplc="93CA19C8">
      <w:numFmt w:val="decimal"/>
      <w:lvlText w:val=""/>
      <w:lvlJc w:val="left"/>
    </w:lvl>
    <w:lvl w:ilvl="5" w:tplc="7E26ED88">
      <w:numFmt w:val="decimal"/>
      <w:lvlText w:val=""/>
      <w:lvlJc w:val="left"/>
    </w:lvl>
    <w:lvl w:ilvl="6" w:tplc="1780F29E">
      <w:numFmt w:val="decimal"/>
      <w:lvlText w:val=""/>
      <w:lvlJc w:val="left"/>
    </w:lvl>
    <w:lvl w:ilvl="7" w:tplc="4D8E9BB8">
      <w:numFmt w:val="decimal"/>
      <w:lvlText w:val=""/>
      <w:lvlJc w:val="left"/>
    </w:lvl>
    <w:lvl w:ilvl="8" w:tplc="6D92D41A">
      <w:numFmt w:val="decimal"/>
      <w:lvlText w:val=""/>
      <w:lvlJc w:val="left"/>
    </w:lvl>
  </w:abstractNum>
  <w:abstractNum w:abstractNumId="892" w15:restartNumberingAfterBreak="0">
    <w:nsid w:val="5DBA012F"/>
    <w:multiLevelType w:val="hybridMultilevel"/>
    <w:tmpl w:val="4D201DCE"/>
    <w:lvl w:ilvl="0" w:tplc="DEB2F0DC">
      <w:start w:val="1"/>
      <w:numFmt w:val="bullet"/>
      <w:lvlText w:val=""/>
      <w:lvlJc w:val="left"/>
      <w:pPr>
        <w:ind w:left="720" w:hanging="180"/>
      </w:pPr>
      <w:rPr>
        <w:rFonts w:ascii="Symbol" w:hAnsi="Symbol" w:hint="default"/>
      </w:rPr>
    </w:lvl>
    <w:lvl w:ilvl="1" w:tplc="E8C2DEAA">
      <w:numFmt w:val="decimal"/>
      <w:lvlText w:val=""/>
      <w:lvlJc w:val="left"/>
    </w:lvl>
    <w:lvl w:ilvl="2" w:tplc="D3085ABC">
      <w:numFmt w:val="decimal"/>
      <w:lvlText w:val=""/>
      <w:lvlJc w:val="left"/>
    </w:lvl>
    <w:lvl w:ilvl="3" w:tplc="63CE6690">
      <w:numFmt w:val="decimal"/>
      <w:lvlText w:val=""/>
      <w:lvlJc w:val="left"/>
    </w:lvl>
    <w:lvl w:ilvl="4" w:tplc="0CCC2EDC">
      <w:numFmt w:val="decimal"/>
      <w:lvlText w:val=""/>
      <w:lvlJc w:val="left"/>
    </w:lvl>
    <w:lvl w:ilvl="5" w:tplc="06869030">
      <w:numFmt w:val="decimal"/>
      <w:lvlText w:val=""/>
      <w:lvlJc w:val="left"/>
    </w:lvl>
    <w:lvl w:ilvl="6" w:tplc="EE76AB28">
      <w:numFmt w:val="decimal"/>
      <w:lvlText w:val=""/>
      <w:lvlJc w:val="left"/>
    </w:lvl>
    <w:lvl w:ilvl="7" w:tplc="C8C015FE">
      <w:numFmt w:val="decimal"/>
      <w:lvlText w:val=""/>
      <w:lvlJc w:val="left"/>
    </w:lvl>
    <w:lvl w:ilvl="8" w:tplc="1932E23C">
      <w:numFmt w:val="decimal"/>
      <w:lvlText w:val=""/>
      <w:lvlJc w:val="left"/>
    </w:lvl>
  </w:abstractNum>
  <w:abstractNum w:abstractNumId="893" w15:restartNumberingAfterBreak="0">
    <w:nsid w:val="5DD33BDB"/>
    <w:multiLevelType w:val="hybridMultilevel"/>
    <w:tmpl w:val="0B90F3D4"/>
    <w:lvl w:ilvl="0" w:tplc="CD36479E">
      <w:start w:val="1"/>
      <w:numFmt w:val="bullet"/>
      <w:lvlText w:val=""/>
      <w:lvlJc w:val="left"/>
      <w:pPr>
        <w:ind w:left="720" w:hanging="180"/>
      </w:pPr>
      <w:rPr>
        <w:rFonts w:ascii="Symbol" w:hAnsi="Symbol" w:hint="default"/>
      </w:rPr>
    </w:lvl>
    <w:lvl w:ilvl="1" w:tplc="EF286494">
      <w:numFmt w:val="decimal"/>
      <w:lvlText w:val=""/>
      <w:lvlJc w:val="left"/>
    </w:lvl>
    <w:lvl w:ilvl="2" w:tplc="092AF5C4">
      <w:numFmt w:val="decimal"/>
      <w:lvlText w:val=""/>
      <w:lvlJc w:val="left"/>
    </w:lvl>
    <w:lvl w:ilvl="3" w:tplc="FD08A56C">
      <w:numFmt w:val="decimal"/>
      <w:lvlText w:val=""/>
      <w:lvlJc w:val="left"/>
    </w:lvl>
    <w:lvl w:ilvl="4" w:tplc="99667FBE">
      <w:numFmt w:val="decimal"/>
      <w:lvlText w:val=""/>
      <w:lvlJc w:val="left"/>
    </w:lvl>
    <w:lvl w:ilvl="5" w:tplc="451A8A20">
      <w:numFmt w:val="decimal"/>
      <w:lvlText w:val=""/>
      <w:lvlJc w:val="left"/>
    </w:lvl>
    <w:lvl w:ilvl="6" w:tplc="731A0766">
      <w:numFmt w:val="decimal"/>
      <w:lvlText w:val=""/>
      <w:lvlJc w:val="left"/>
    </w:lvl>
    <w:lvl w:ilvl="7" w:tplc="2A7C45F8">
      <w:numFmt w:val="decimal"/>
      <w:lvlText w:val=""/>
      <w:lvlJc w:val="left"/>
    </w:lvl>
    <w:lvl w:ilvl="8" w:tplc="A448018E">
      <w:numFmt w:val="decimal"/>
      <w:lvlText w:val=""/>
      <w:lvlJc w:val="left"/>
    </w:lvl>
  </w:abstractNum>
  <w:abstractNum w:abstractNumId="894" w15:restartNumberingAfterBreak="0">
    <w:nsid w:val="5DF26305"/>
    <w:multiLevelType w:val="hybridMultilevel"/>
    <w:tmpl w:val="E402D624"/>
    <w:lvl w:ilvl="0" w:tplc="B7F26AE0">
      <w:start w:val="1"/>
      <w:numFmt w:val="bullet"/>
      <w:lvlText w:val=""/>
      <w:lvlJc w:val="left"/>
      <w:pPr>
        <w:ind w:left="720" w:hanging="180"/>
      </w:pPr>
      <w:rPr>
        <w:rFonts w:ascii="Symbol" w:hAnsi="Symbol" w:hint="default"/>
      </w:rPr>
    </w:lvl>
    <w:lvl w:ilvl="1" w:tplc="7A78B534">
      <w:numFmt w:val="decimal"/>
      <w:lvlText w:val=""/>
      <w:lvlJc w:val="left"/>
    </w:lvl>
    <w:lvl w:ilvl="2" w:tplc="079C54BE">
      <w:numFmt w:val="decimal"/>
      <w:lvlText w:val=""/>
      <w:lvlJc w:val="left"/>
    </w:lvl>
    <w:lvl w:ilvl="3" w:tplc="7F9CE00A">
      <w:numFmt w:val="decimal"/>
      <w:lvlText w:val=""/>
      <w:lvlJc w:val="left"/>
    </w:lvl>
    <w:lvl w:ilvl="4" w:tplc="5976801A">
      <w:numFmt w:val="decimal"/>
      <w:lvlText w:val=""/>
      <w:lvlJc w:val="left"/>
    </w:lvl>
    <w:lvl w:ilvl="5" w:tplc="D598D500">
      <w:numFmt w:val="decimal"/>
      <w:lvlText w:val=""/>
      <w:lvlJc w:val="left"/>
    </w:lvl>
    <w:lvl w:ilvl="6" w:tplc="DDE42A7E">
      <w:numFmt w:val="decimal"/>
      <w:lvlText w:val=""/>
      <w:lvlJc w:val="left"/>
    </w:lvl>
    <w:lvl w:ilvl="7" w:tplc="6B4EF4C0">
      <w:numFmt w:val="decimal"/>
      <w:lvlText w:val=""/>
      <w:lvlJc w:val="left"/>
    </w:lvl>
    <w:lvl w:ilvl="8" w:tplc="07A4902A">
      <w:numFmt w:val="decimal"/>
      <w:lvlText w:val=""/>
      <w:lvlJc w:val="left"/>
    </w:lvl>
  </w:abstractNum>
  <w:abstractNum w:abstractNumId="895" w15:restartNumberingAfterBreak="0">
    <w:nsid w:val="5E076BC6"/>
    <w:multiLevelType w:val="hybridMultilevel"/>
    <w:tmpl w:val="9C7E1178"/>
    <w:lvl w:ilvl="0" w:tplc="6CB4A220">
      <w:start w:val="1"/>
      <w:numFmt w:val="bullet"/>
      <w:lvlText w:val=""/>
      <w:lvlJc w:val="left"/>
      <w:pPr>
        <w:ind w:left="720" w:hanging="180"/>
      </w:pPr>
      <w:rPr>
        <w:rFonts w:ascii="Symbol" w:hAnsi="Symbol" w:hint="default"/>
      </w:rPr>
    </w:lvl>
    <w:lvl w:ilvl="1" w:tplc="3F647436">
      <w:numFmt w:val="decimal"/>
      <w:lvlText w:val=""/>
      <w:lvlJc w:val="left"/>
    </w:lvl>
    <w:lvl w:ilvl="2" w:tplc="D8024A5A">
      <w:numFmt w:val="decimal"/>
      <w:lvlText w:val=""/>
      <w:lvlJc w:val="left"/>
    </w:lvl>
    <w:lvl w:ilvl="3" w:tplc="BA8E64A4">
      <w:numFmt w:val="decimal"/>
      <w:lvlText w:val=""/>
      <w:lvlJc w:val="left"/>
    </w:lvl>
    <w:lvl w:ilvl="4" w:tplc="54A26308">
      <w:numFmt w:val="decimal"/>
      <w:lvlText w:val=""/>
      <w:lvlJc w:val="left"/>
    </w:lvl>
    <w:lvl w:ilvl="5" w:tplc="C0506092">
      <w:numFmt w:val="decimal"/>
      <w:lvlText w:val=""/>
      <w:lvlJc w:val="left"/>
    </w:lvl>
    <w:lvl w:ilvl="6" w:tplc="48428156">
      <w:numFmt w:val="decimal"/>
      <w:lvlText w:val=""/>
      <w:lvlJc w:val="left"/>
    </w:lvl>
    <w:lvl w:ilvl="7" w:tplc="50E6FC4C">
      <w:numFmt w:val="decimal"/>
      <w:lvlText w:val=""/>
      <w:lvlJc w:val="left"/>
    </w:lvl>
    <w:lvl w:ilvl="8" w:tplc="BAAE5688">
      <w:numFmt w:val="decimal"/>
      <w:lvlText w:val=""/>
      <w:lvlJc w:val="left"/>
    </w:lvl>
  </w:abstractNum>
  <w:abstractNum w:abstractNumId="896" w15:restartNumberingAfterBreak="0">
    <w:nsid w:val="5E1750B8"/>
    <w:multiLevelType w:val="hybridMultilevel"/>
    <w:tmpl w:val="B720DF3C"/>
    <w:lvl w:ilvl="0" w:tplc="A7145E20">
      <w:start w:val="1"/>
      <w:numFmt w:val="bullet"/>
      <w:lvlText w:val=""/>
      <w:lvlJc w:val="left"/>
      <w:pPr>
        <w:ind w:left="720" w:hanging="180"/>
      </w:pPr>
      <w:rPr>
        <w:rFonts w:ascii="Symbol" w:hAnsi="Symbol" w:hint="default"/>
      </w:rPr>
    </w:lvl>
    <w:lvl w:ilvl="1" w:tplc="71F07B40">
      <w:numFmt w:val="decimal"/>
      <w:lvlText w:val=""/>
      <w:lvlJc w:val="left"/>
    </w:lvl>
    <w:lvl w:ilvl="2" w:tplc="B97C79DC">
      <w:numFmt w:val="decimal"/>
      <w:lvlText w:val=""/>
      <w:lvlJc w:val="left"/>
    </w:lvl>
    <w:lvl w:ilvl="3" w:tplc="5004319C">
      <w:numFmt w:val="decimal"/>
      <w:lvlText w:val=""/>
      <w:lvlJc w:val="left"/>
    </w:lvl>
    <w:lvl w:ilvl="4" w:tplc="BAD62884">
      <w:numFmt w:val="decimal"/>
      <w:lvlText w:val=""/>
      <w:lvlJc w:val="left"/>
    </w:lvl>
    <w:lvl w:ilvl="5" w:tplc="AA96D3E0">
      <w:numFmt w:val="decimal"/>
      <w:lvlText w:val=""/>
      <w:lvlJc w:val="left"/>
    </w:lvl>
    <w:lvl w:ilvl="6" w:tplc="E5048EAA">
      <w:numFmt w:val="decimal"/>
      <w:lvlText w:val=""/>
      <w:lvlJc w:val="left"/>
    </w:lvl>
    <w:lvl w:ilvl="7" w:tplc="BA025986">
      <w:numFmt w:val="decimal"/>
      <w:lvlText w:val=""/>
      <w:lvlJc w:val="left"/>
    </w:lvl>
    <w:lvl w:ilvl="8" w:tplc="E848A2C8">
      <w:numFmt w:val="decimal"/>
      <w:lvlText w:val=""/>
      <w:lvlJc w:val="left"/>
    </w:lvl>
  </w:abstractNum>
  <w:abstractNum w:abstractNumId="897" w15:restartNumberingAfterBreak="0">
    <w:nsid w:val="5E1938B5"/>
    <w:multiLevelType w:val="hybridMultilevel"/>
    <w:tmpl w:val="7A824F1C"/>
    <w:lvl w:ilvl="0" w:tplc="42EE35F0">
      <w:start w:val="1"/>
      <w:numFmt w:val="bullet"/>
      <w:lvlText w:val=""/>
      <w:lvlJc w:val="left"/>
      <w:pPr>
        <w:ind w:left="720" w:hanging="180"/>
      </w:pPr>
      <w:rPr>
        <w:rFonts w:ascii="Symbol" w:hAnsi="Symbol" w:hint="default"/>
      </w:rPr>
    </w:lvl>
    <w:lvl w:ilvl="1" w:tplc="C6E4D570">
      <w:numFmt w:val="decimal"/>
      <w:lvlText w:val=""/>
      <w:lvlJc w:val="left"/>
    </w:lvl>
    <w:lvl w:ilvl="2" w:tplc="D88AD3EA">
      <w:numFmt w:val="decimal"/>
      <w:lvlText w:val=""/>
      <w:lvlJc w:val="left"/>
    </w:lvl>
    <w:lvl w:ilvl="3" w:tplc="492A4CBA">
      <w:numFmt w:val="decimal"/>
      <w:lvlText w:val=""/>
      <w:lvlJc w:val="left"/>
    </w:lvl>
    <w:lvl w:ilvl="4" w:tplc="DC344C36">
      <w:numFmt w:val="decimal"/>
      <w:lvlText w:val=""/>
      <w:lvlJc w:val="left"/>
    </w:lvl>
    <w:lvl w:ilvl="5" w:tplc="2EF02FFC">
      <w:numFmt w:val="decimal"/>
      <w:lvlText w:val=""/>
      <w:lvlJc w:val="left"/>
    </w:lvl>
    <w:lvl w:ilvl="6" w:tplc="5EA8C644">
      <w:numFmt w:val="decimal"/>
      <w:lvlText w:val=""/>
      <w:lvlJc w:val="left"/>
    </w:lvl>
    <w:lvl w:ilvl="7" w:tplc="D85859FE">
      <w:numFmt w:val="decimal"/>
      <w:lvlText w:val=""/>
      <w:lvlJc w:val="left"/>
    </w:lvl>
    <w:lvl w:ilvl="8" w:tplc="FAA6508A">
      <w:numFmt w:val="decimal"/>
      <w:lvlText w:val=""/>
      <w:lvlJc w:val="left"/>
    </w:lvl>
  </w:abstractNum>
  <w:abstractNum w:abstractNumId="898" w15:restartNumberingAfterBreak="0">
    <w:nsid w:val="5E2D35B5"/>
    <w:multiLevelType w:val="hybridMultilevel"/>
    <w:tmpl w:val="56BCC3B0"/>
    <w:lvl w:ilvl="0" w:tplc="CB02AF62">
      <w:numFmt w:val="decimal"/>
      <w:lvlText w:val=""/>
      <w:lvlJc w:val="left"/>
    </w:lvl>
    <w:lvl w:ilvl="1" w:tplc="B25C2AAC">
      <w:start w:val="1"/>
      <w:numFmt w:val="bullet"/>
      <w:lvlText w:val=""/>
      <w:lvlJc w:val="left"/>
      <w:pPr>
        <w:ind w:left="1440" w:hanging="180"/>
      </w:pPr>
      <w:rPr>
        <w:rFonts w:ascii="Symbol" w:hAnsi="Symbol" w:hint="default"/>
      </w:rPr>
    </w:lvl>
    <w:lvl w:ilvl="2" w:tplc="63F411A4">
      <w:numFmt w:val="decimal"/>
      <w:lvlText w:val=""/>
      <w:lvlJc w:val="left"/>
    </w:lvl>
    <w:lvl w:ilvl="3" w:tplc="29B0A186">
      <w:numFmt w:val="decimal"/>
      <w:lvlText w:val=""/>
      <w:lvlJc w:val="left"/>
    </w:lvl>
    <w:lvl w:ilvl="4" w:tplc="08E45412">
      <w:numFmt w:val="decimal"/>
      <w:lvlText w:val=""/>
      <w:lvlJc w:val="left"/>
    </w:lvl>
    <w:lvl w:ilvl="5" w:tplc="A96AC882">
      <w:numFmt w:val="decimal"/>
      <w:lvlText w:val=""/>
      <w:lvlJc w:val="left"/>
    </w:lvl>
    <w:lvl w:ilvl="6" w:tplc="A8C073C8">
      <w:numFmt w:val="decimal"/>
      <w:lvlText w:val=""/>
      <w:lvlJc w:val="left"/>
    </w:lvl>
    <w:lvl w:ilvl="7" w:tplc="4296FB1C">
      <w:numFmt w:val="decimal"/>
      <w:lvlText w:val=""/>
      <w:lvlJc w:val="left"/>
    </w:lvl>
    <w:lvl w:ilvl="8" w:tplc="097AD1B0">
      <w:numFmt w:val="decimal"/>
      <w:lvlText w:val=""/>
      <w:lvlJc w:val="left"/>
    </w:lvl>
  </w:abstractNum>
  <w:abstractNum w:abstractNumId="899" w15:restartNumberingAfterBreak="0">
    <w:nsid w:val="5E454946"/>
    <w:multiLevelType w:val="hybridMultilevel"/>
    <w:tmpl w:val="8230CE74"/>
    <w:lvl w:ilvl="0" w:tplc="ADC6EFB2">
      <w:start w:val="1"/>
      <w:numFmt w:val="bullet"/>
      <w:lvlText w:val=""/>
      <w:lvlJc w:val="left"/>
      <w:pPr>
        <w:ind w:left="720" w:hanging="180"/>
      </w:pPr>
      <w:rPr>
        <w:rFonts w:ascii="Symbol" w:hAnsi="Symbol" w:hint="default"/>
      </w:rPr>
    </w:lvl>
    <w:lvl w:ilvl="1" w:tplc="298A1BA0">
      <w:numFmt w:val="decimal"/>
      <w:lvlText w:val=""/>
      <w:lvlJc w:val="left"/>
    </w:lvl>
    <w:lvl w:ilvl="2" w:tplc="413CE67A">
      <w:numFmt w:val="decimal"/>
      <w:lvlText w:val=""/>
      <w:lvlJc w:val="left"/>
    </w:lvl>
    <w:lvl w:ilvl="3" w:tplc="7186C25E">
      <w:numFmt w:val="decimal"/>
      <w:lvlText w:val=""/>
      <w:lvlJc w:val="left"/>
    </w:lvl>
    <w:lvl w:ilvl="4" w:tplc="11CC016E">
      <w:numFmt w:val="decimal"/>
      <w:lvlText w:val=""/>
      <w:lvlJc w:val="left"/>
    </w:lvl>
    <w:lvl w:ilvl="5" w:tplc="3C3077E4">
      <w:numFmt w:val="decimal"/>
      <w:lvlText w:val=""/>
      <w:lvlJc w:val="left"/>
    </w:lvl>
    <w:lvl w:ilvl="6" w:tplc="F06870D2">
      <w:numFmt w:val="decimal"/>
      <w:lvlText w:val=""/>
      <w:lvlJc w:val="left"/>
    </w:lvl>
    <w:lvl w:ilvl="7" w:tplc="BCEA12BA">
      <w:numFmt w:val="decimal"/>
      <w:lvlText w:val=""/>
      <w:lvlJc w:val="left"/>
    </w:lvl>
    <w:lvl w:ilvl="8" w:tplc="E69A4BCA">
      <w:numFmt w:val="decimal"/>
      <w:lvlText w:val=""/>
      <w:lvlJc w:val="left"/>
    </w:lvl>
  </w:abstractNum>
  <w:abstractNum w:abstractNumId="900" w15:restartNumberingAfterBreak="0">
    <w:nsid w:val="5E6C254A"/>
    <w:multiLevelType w:val="hybridMultilevel"/>
    <w:tmpl w:val="7C543726"/>
    <w:lvl w:ilvl="0" w:tplc="0EDC7A2A">
      <w:start w:val="1"/>
      <w:numFmt w:val="bullet"/>
      <w:lvlText w:val=""/>
      <w:lvlJc w:val="left"/>
      <w:pPr>
        <w:ind w:left="720" w:hanging="180"/>
      </w:pPr>
      <w:rPr>
        <w:rFonts w:ascii="Symbol" w:hAnsi="Symbol" w:hint="default"/>
      </w:rPr>
    </w:lvl>
    <w:lvl w:ilvl="1" w:tplc="08B2FBE4">
      <w:numFmt w:val="decimal"/>
      <w:lvlText w:val=""/>
      <w:lvlJc w:val="left"/>
    </w:lvl>
    <w:lvl w:ilvl="2" w:tplc="0D90C4DA">
      <w:numFmt w:val="decimal"/>
      <w:lvlText w:val=""/>
      <w:lvlJc w:val="left"/>
    </w:lvl>
    <w:lvl w:ilvl="3" w:tplc="94AAEB98">
      <w:numFmt w:val="decimal"/>
      <w:lvlText w:val=""/>
      <w:lvlJc w:val="left"/>
    </w:lvl>
    <w:lvl w:ilvl="4" w:tplc="C728D46C">
      <w:numFmt w:val="decimal"/>
      <w:lvlText w:val=""/>
      <w:lvlJc w:val="left"/>
    </w:lvl>
    <w:lvl w:ilvl="5" w:tplc="AA2A8A7E">
      <w:numFmt w:val="decimal"/>
      <w:lvlText w:val=""/>
      <w:lvlJc w:val="left"/>
    </w:lvl>
    <w:lvl w:ilvl="6" w:tplc="9FCA8236">
      <w:numFmt w:val="decimal"/>
      <w:lvlText w:val=""/>
      <w:lvlJc w:val="left"/>
    </w:lvl>
    <w:lvl w:ilvl="7" w:tplc="C95669C6">
      <w:numFmt w:val="decimal"/>
      <w:lvlText w:val=""/>
      <w:lvlJc w:val="left"/>
    </w:lvl>
    <w:lvl w:ilvl="8" w:tplc="72EAFA12">
      <w:numFmt w:val="decimal"/>
      <w:lvlText w:val=""/>
      <w:lvlJc w:val="left"/>
    </w:lvl>
  </w:abstractNum>
  <w:abstractNum w:abstractNumId="901" w15:restartNumberingAfterBreak="0">
    <w:nsid w:val="5E7D1966"/>
    <w:multiLevelType w:val="hybridMultilevel"/>
    <w:tmpl w:val="05C6D958"/>
    <w:lvl w:ilvl="0" w:tplc="86888958">
      <w:start w:val="1"/>
      <w:numFmt w:val="bullet"/>
      <w:lvlText w:val=""/>
      <w:lvlJc w:val="left"/>
      <w:pPr>
        <w:ind w:left="720" w:hanging="180"/>
      </w:pPr>
      <w:rPr>
        <w:rFonts w:ascii="Symbol" w:hAnsi="Symbol" w:hint="default"/>
      </w:rPr>
    </w:lvl>
    <w:lvl w:ilvl="1" w:tplc="5DF29B50">
      <w:numFmt w:val="decimal"/>
      <w:lvlText w:val=""/>
      <w:lvlJc w:val="left"/>
    </w:lvl>
    <w:lvl w:ilvl="2" w:tplc="D43E100A">
      <w:numFmt w:val="decimal"/>
      <w:lvlText w:val=""/>
      <w:lvlJc w:val="left"/>
    </w:lvl>
    <w:lvl w:ilvl="3" w:tplc="D5E2E264">
      <w:numFmt w:val="decimal"/>
      <w:lvlText w:val=""/>
      <w:lvlJc w:val="left"/>
    </w:lvl>
    <w:lvl w:ilvl="4" w:tplc="D62C12A4">
      <w:numFmt w:val="decimal"/>
      <w:lvlText w:val=""/>
      <w:lvlJc w:val="left"/>
    </w:lvl>
    <w:lvl w:ilvl="5" w:tplc="9208CAB2">
      <w:numFmt w:val="decimal"/>
      <w:lvlText w:val=""/>
      <w:lvlJc w:val="left"/>
    </w:lvl>
    <w:lvl w:ilvl="6" w:tplc="C8D6385E">
      <w:numFmt w:val="decimal"/>
      <w:lvlText w:val=""/>
      <w:lvlJc w:val="left"/>
    </w:lvl>
    <w:lvl w:ilvl="7" w:tplc="F34E7D98">
      <w:numFmt w:val="decimal"/>
      <w:lvlText w:val=""/>
      <w:lvlJc w:val="left"/>
    </w:lvl>
    <w:lvl w:ilvl="8" w:tplc="C360CAB0">
      <w:numFmt w:val="decimal"/>
      <w:lvlText w:val=""/>
      <w:lvlJc w:val="left"/>
    </w:lvl>
  </w:abstractNum>
  <w:abstractNum w:abstractNumId="902" w15:restartNumberingAfterBreak="0">
    <w:nsid w:val="5E8C6256"/>
    <w:multiLevelType w:val="hybridMultilevel"/>
    <w:tmpl w:val="AC7A30E2"/>
    <w:lvl w:ilvl="0" w:tplc="B84A60A6">
      <w:numFmt w:val="decimal"/>
      <w:lvlText w:val=""/>
      <w:lvlJc w:val="left"/>
    </w:lvl>
    <w:lvl w:ilvl="1" w:tplc="3E20B3B2">
      <w:start w:val="1"/>
      <w:numFmt w:val="bullet"/>
      <w:lvlText w:val=""/>
      <w:lvlJc w:val="left"/>
      <w:pPr>
        <w:ind w:left="1440" w:hanging="180"/>
      </w:pPr>
      <w:rPr>
        <w:rFonts w:ascii="Symbol" w:hAnsi="Symbol" w:hint="default"/>
      </w:rPr>
    </w:lvl>
    <w:lvl w:ilvl="2" w:tplc="6568B108">
      <w:numFmt w:val="decimal"/>
      <w:lvlText w:val=""/>
      <w:lvlJc w:val="left"/>
    </w:lvl>
    <w:lvl w:ilvl="3" w:tplc="130C3642">
      <w:numFmt w:val="decimal"/>
      <w:lvlText w:val=""/>
      <w:lvlJc w:val="left"/>
    </w:lvl>
    <w:lvl w:ilvl="4" w:tplc="0EECC69E">
      <w:numFmt w:val="decimal"/>
      <w:lvlText w:val=""/>
      <w:lvlJc w:val="left"/>
    </w:lvl>
    <w:lvl w:ilvl="5" w:tplc="521A3E02">
      <w:numFmt w:val="decimal"/>
      <w:lvlText w:val=""/>
      <w:lvlJc w:val="left"/>
    </w:lvl>
    <w:lvl w:ilvl="6" w:tplc="39D8881C">
      <w:numFmt w:val="decimal"/>
      <w:lvlText w:val=""/>
      <w:lvlJc w:val="left"/>
    </w:lvl>
    <w:lvl w:ilvl="7" w:tplc="04EE6E52">
      <w:numFmt w:val="decimal"/>
      <w:lvlText w:val=""/>
      <w:lvlJc w:val="left"/>
    </w:lvl>
    <w:lvl w:ilvl="8" w:tplc="BEC2CAA0">
      <w:numFmt w:val="decimal"/>
      <w:lvlText w:val=""/>
      <w:lvlJc w:val="left"/>
    </w:lvl>
  </w:abstractNum>
  <w:abstractNum w:abstractNumId="903" w15:restartNumberingAfterBreak="0">
    <w:nsid w:val="5EAA72A3"/>
    <w:multiLevelType w:val="hybridMultilevel"/>
    <w:tmpl w:val="29700188"/>
    <w:lvl w:ilvl="0" w:tplc="1DF0F4EE">
      <w:start w:val="1"/>
      <w:numFmt w:val="bullet"/>
      <w:lvlText w:val=""/>
      <w:lvlJc w:val="left"/>
      <w:pPr>
        <w:ind w:left="720" w:hanging="180"/>
      </w:pPr>
      <w:rPr>
        <w:rFonts w:ascii="Symbol" w:hAnsi="Symbol" w:hint="default"/>
      </w:rPr>
    </w:lvl>
    <w:lvl w:ilvl="1" w:tplc="14729A4C">
      <w:numFmt w:val="decimal"/>
      <w:lvlText w:val=""/>
      <w:lvlJc w:val="left"/>
    </w:lvl>
    <w:lvl w:ilvl="2" w:tplc="F746D3C2">
      <w:numFmt w:val="decimal"/>
      <w:lvlText w:val=""/>
      <w:lvlJc w:val="left"/>
    </w:lvl>
    <w:lvl w:ilvl="3" w:tplc="5F5CD8FE">
      <w:numFmt w:val="decimal"/>
      <w:lvlText w:val=""/>
      <w:lvlJc w:val="left"/>
    </w:lvl>
    <w:lvl w:ilvl="4" w:tplc="27FC61B4">
      <w:numFmt w:val="decimal"/>
      <w:lvlText w:val=""/>
      <w:lvlJc w:val="left"/>
    </w:lvl>
    <w:lvl w:ilvl="5" w:tplc="CB3A0C12">
      <w:numFmt w:val="decimal"/>
      <w:lvlText w:val=""/>
      <w:lvlJc w:val="left"/>
    </w:lvl>
    <w:lvl w:ilvl="6" w:tplc="936047B0">
      <w:numFmt w:val="decimal"/>
      <w:lvlText w:val=""/>
      <w:lvlJc w:val="left"/>
    </w:lvl>
    <w:lvl w:ilvl="7" w:tplc="7794FA84">
      <w:numFmt w:val="decimal"/>
      <w:lvlText w:val=""/>
      <w:lvlJc w:val="left"/>
    </w:lvl>
    <w:lvl w:ilvl="8" w:tplc="50E848C4">
      <w:numFmt w:val="decimal"/>
      <w:lvlText w:val=""/>
      <w:lvlJc w:val="left"/>
    </w:lvl>
  </w:abstractNum>
  <w:abstractNum w:abstractNumId="904" w15:restartNumberingAfterBreak="0">
    <w:nsid w:val="5ED27626"/>
    <w:multiLevelType w:val="hybridMultilevel"/>
    <w:tmpl w:val="C7849E1A"/>
    <w:lvl w:ilvl="0" w:tplc="C4C2D602">
      <w:start w:val="1"/>
      <w:numFmt w:val="bullet"/>
      <w:lvlText w:val=""/>
      <w:lvlJc w:val="left"/>
      <w:pPr>
        <w:ind w:left="720" w:hanging="180"/>
      </w:pPr>
      <w:rPr>
        <w:rFonts w:ascii="Symbol" w:hAnsi="Symbol" w:hint="default"/>
      </w:rPr>
    </w:lvl>
    <w:lvl w:ilvl="1" w:tplc="C62E609E">
      <w:numFmt w:val="decimal"/>
      <w:lvlText w:val=""/>
      <w:lvlJc w:val="left"/>
    </w:lvl>
    <w:lvl w:ilvl="2" w:tplc="2354A9A6">
      <w:numFmt w:val="decimal"/>
      <w:lvlText w:val=""/>
      <w:lvlJc w:val="left"/>
    </w:lvl>
    <w:lvl w:ilvl="3" w:tplc="BA98F2C0">
      <w:numFmt w:val="decimal"/>
      <w:lvlText w:val=""/>
      <w:lvlJc w:val="left"/>
    </w:lvl>
    <w:lvl w:ilvl="4" w:tplc="51545C58">
      <w:numFmt w:val="decimal"/>
      <w:lvlText w:val=""/>
      <w:lvlJc w:val="left"/>
    </w:lvl>
    <w:lvl w:ilvl="5" w:tplc="1A28C88A">
      <w:numFmt w:val="decimal"/>
      <w:lvlText w:val=""/>
      <w:lvlJc w:val="left"/>
    </w:lvl>
    <w:lvl w:ilvl="6" w:tplc="E98AD1AA">
      <w:numFmt w:val="decimal"/>
      <w:lvlText w:val=""/>
      <w:lvlJc w:val="left"/>
    </w:lvl>
    <w:lvl w:ilvl="7" w:tplc="005066D0">
      <w:numFmt w:val="decimal"/>
      <w:lvlText w:val=""/>
      <w:lvlJc w:val="left"/>
    </w:lvl>
    <w:lvl w:ilvl="8" w:tplc="BEB83AAE">
      <w:numFmt w:val="decimal"/>
      <w:lvlText w:val=""/>
      <w:lvlJc w:val="left"/>
    </w:lvl>
  </w:abstractNum>
  <w:abstractNum w:abstractNumId="905" w15:restartNumberingAfterBreak="0">
    <w:nsid w:val="5EE0718D"/>
    <w:multiLevelType w:val="hybridMultilevel"/>
    <w:tmpl w:val="17B24844"/>
    <w:lvl w:ilvl="0" w:tplc="E438B79A">
      <w:start w:val="1"/>
      <w:numFmt w:val="bullet"/>
      <w:lvlText w:val=""/>
      <w:lvlJc w:val="left"/>
      <w:pPr>
        <w:ind w:left="720" w:hanging="180"/>
      </w:pPr>
      <w:rPr>
        <w:rFonts w:ascii="Symbol" w:hAnsi="Symbol" w:hint="default"/>
      </w:rPr>
    </w:lvl>
    <w:lvl w:ilvl="1" w:tplc="27A6885A">
      <w:numFmt w:val="decimal"/>
      <w:lvlText w:val=""/>
      <w:lvlJc w:val="left"/>
    </w:lvl>
    <w:lvl w:ilvl="2" w:tplc="8C540268">
      <w:numFmt w:val="decimal"/>
      <w:lvlText w:val=""/>
      <w:lvlJc w:val="left"/>
    </w:lvl>
    <w:lvl w:ilvl="3" w:tplc="A6CA46CA">
      <w:numFmt w:val="decimal"/>
      <w:lvlText w:val=""/>
      <w:lvlJc w:val="left"/>
    </w:lvl>
    <w:lvl w:ilvl="4" w:tplc="1B7CCD76">
      <w:numFmt w:val="decimal"/>
      <w:lvlText w:val=""/>
      <w:lvlJc w:val="left"/>
    </w:lvl>
    <w:lvl w:ilvl="5" w:tplc="CE3C69CC">
      <w:numFmt w:val="decimal"/>
      <w:lvlText w:val=""/>
      <w:lvlJc w:val="left"/>
    </w:lvl>
    <w:lvl w:ilvl="6" w:tplc="3C108E00">
      <w:numFmt w:val="decimal"/>
      <w:lvlText w:val=""/>
      <w:lvlJc w:val="left"/>
    </w:lvl>
    <w:lvl w:ilvl="7" w:tplc="251E4366">
      <w:numFmt w:val="decimal"/>
      <w:lvlText w:val=""/>
      <w:lvlJc w:val="left"/>
    </w:lvl>
    <w:lvl w:ilvl="8" w:tplc="031A53A4">
      <w:numFmt w:val="decimal"/>
      <w:lvlText w:val=""/>
      <w:lvlJc w:val="left"/>
    </w:lvl>
  </w:abstractNum>
  <w:abstractNum w:abstractNumId="906" w15:restartNumberingAfterBreak="0">
    <w:nsid w:val="5EF34E3C"/>
    <w:multiLevelType w:val="hybridMultilevel"/>
    <w:tmpl w:val="26003D08"/>
    <w:lvl w:ilvl="0" w:tplc="E7F66624">
      <w:start w:val="1"/>
      <w:numFmt w:val="bullet"/>
      <w:lvlText w:val=""/>
      <w:lvlJc w:val="left"/>
      <w:pPr>
        <w:ind w:left="720" w:hanging="180"/>
      </w:pPr>
      <w:rPr>
        <w:rFonts w:ascii="Symbol" w:hAnsi="Symbol" w:hint="default"/>
      </w:rPr>
    </w:lvl>
    <w:lvl w:ilvl="1" w:tplc="CFEE8934">
      <w:numFmt w:val="decimal"/>
      <w:lvlText w:val=""/>
      <w:lvlJc w:val="left"/>
    </w:lvl>
    <w:lvl w:ilvl="2" w:tplc="282A1BEC">
      <w:numFmt w:val="decimal"/>
      <w:lvlText w:val=""/>
      <w:lvlJc w:val="left"/>
    </w:lvl>
    <w:lvl w:ilvl="3" w:tplc="7CC622EC">
      <w:numFmt w:val="decimal"/>
      <w:lvlText w:val=""/>
      <w:lvlJc w:val="left"/>
    </w:lvl>
    <w:lvl w:ilvl="4" w:tplc="3078C818">
      <w:numFmt w:val="decimal"/>
      <w:lvlText w:val=""/>
      <w:lvlJc w:val="left"/>
    </w:lvl>
    <w:lvl w:ilvl="5" w:tplc="D58E4576">
      <w:numFmt w:val="decimal"/>
      <w:lvlText w:val=""/>
      <w:lvlJc w:val="left"/>
    </w:lvl>
    <w:lvl w:ilvl="6" w:tplc="4CC81C94">
      <w:numFmt w:val="decimal"/>
      <w:lvlText w:val=""/>
      <w:lvlJc w:val="left"/>
    </w:lvl>
    <w:lvl w:ilvl="7" w:tplc="B72A4972">
      <w:numFmt w:val="decimal"/>
      <w:lvlText w:val=""/>
      <w:lvlJc w:val="left"/>
    </w:lvl>
    <w:lvl w:ilvl="8" w:tplc="1370EC6E">
      <w:numFmt w:val="decimal"/>
      <w:lvlText w:val=""/>
      <w:lvlJc w:val="left"/>
    </w:lvl>
  </w:abstractNum>
  <w:abstractNum w:abstractNumId="907" w15:restartNumberingAfterBreak="0">
    <w:nsid w:val="5EFA5936"/>
    <w:multiLevelType w:val="hybridMultilevel"/>
    <w:tmpl w:val="5838CA50"/>
    <w:lvl w:ilvl="0" w:tplc="D234BFC4">
      <w:numFmt w:val="decimal"/>
      <w:lvlText w:val=""/>
      <w:lvlJc w:val="left"/>
    </w:lvl>
    <w:lvl w:ilvl="1" w:tplc="347E1D02">
      <w:start w:val="1"/>
      <w:numFmt w:val="bullet"/>
      <w:lvlText w:val=""/>
      <w:lvlJc w:val="left"/>
      <w:pPr>
        <w:ind w:left="1440" w:hanging="180"/>
      </w:pPr>
      <w:rPr>
        <w:rFonts w:ascii="Symbol" w:hAnsi="Symbol" w:hint="default"/>
      </w:rPr>
    </w:lvl>
    <w:lvl w:ilvl="2" w:tplc="35FC8E86">
      <w:numFmt w:val="decimal"/>
      <w:lvlText w:val=""/>
      <w:lvlJc w:val="left"/>
    </w:lvl>
    <w:lvl w:ilvl="3" w:tplc="1ABA9312">
      <w:numFmt w:val="decimal"/>
      <w:lvlText w:val=""/>
      <w:lvlJc w:val="left"/>
    </w:lvl>
    <w:lvl w:ilvl="4" w:tplc="949EDDE2">
      <w:numFmt w:val="decimal"/>
      <w:lvlText w:val=""/>
      <w:lvlJc w:val="left"/>
    </w:lvl>
    <w:lvl w:ilvl="5" w:tplc="D62A8196">
      <w:numFmt w:val="decimal"/>
      <w:lvlText w:val=""/>
      <w:lvlJc w:val="left"/>
    </w:lvl>
    <w:lvl w:ilvl="6" w:tplc="F0627F74">
      <w:numFmt w:val="decimal"/>
      <w:lvlText w:val=""/>
      <w:lvlJc w:val="left"/>
    </w:lvl>
    <w:lvl w:ilvl="7" w:tplc="F68C0842">
      <w:numFmt w:val="decimal"/>
      <w:lvlText w:val=""/>
      <w:lvlJc w:val="left"/>
    </w:lvl>
    <w:lvl w:ilvl="8" w:tplc="1D383C58">
      <w:numFmt w:val="decimal"/>
      <w:lvlText w:val=""/>
      <w:lvlJc w:val="left"/>
    </w:lvl>
  </w:abstractNum>
  <w:abstractNum w:abstractNumId="908" w15:restartNumberingAfterBreak="0">
    <w:nsid w:val="5EFE0113"/>
    <w:multiLevelType w:val="hybridMultilevel"/>
    <w:tmpl w:val="D5DC0BDE"/>
    <w:lvl w:ilvl="0" w:tplc="91922184">
      <w:start w:val="1"/>
      <w:numFmt w:val="bullet"/>
      <w:lvlText w:val=""/>
      <w:lvlJc w:val="left"/>
      <w:pPr>
        <w:ind w:left="720" w:hanging="180"/>
      </w:pPr>
      <w:rPr>
        <w:rFonts w:ascii="Symbol" w:hAnsi="Symbol" w:hint="default"/>
      </w:rPr>
    </w:lvl>
    <w:lvl w:ilvl="1" w:tplc="30F46ADA">
      <w:numFmt w:val="decimal"/>
      <w:lvlText w:val=""/>
      <w:lvlJc w:val="left"/>
    </w:lvl>
    <w:lvl w:ilvl="2" w:tplc="C6F07042">
      <w:numFmt w:val="decimal"/>
      <w:lvlText w:val=""/>
      <w:lvlJc w:val="left"/>
    </w:lvl>
    <w:lvl w:ilvl="3" w:tplc="F8A6A2A2">
      <w:numFmt w:val="decimal"/>
      <w:lvlText w:val=""/>
      <w:lvlJc w:val="left"/>
    </w:lvl>
    <w:lvl w:ilvl="4" w:tplc="BDC254CE">
      <w:numFmt w:val="decimal"/>
      <w:lvlText w:val=""/>
      <w:lvlJc w:val="left"/>
    </w:lvl>
    <w:lvl w:ilvl="5" w:tplc="BFEE8FD4">
      <w:numFmt w:val="decimal"/>
      <w:lvlText w:val=""/>
      <w:lvlJc w:val="left"/>
    </w:lvl>
    <w:lvl w:ilvl="6" w:tplc="242AEA2E">
      <w:numFmt w:val="decimal"/>
      <w:lvlText w:val=""/>
      <w:lvlJc w:val="left"/>
    </w:lvl>
    <w:lvl w:ilvl="7" w:tplc="7E2CDA64">
      <w:numFmt w:val="decimal"/>
      <w:lvlText w:val=""/>
      <w:lvlJc w:val="left"/>
    </w:lvl>
    <w:lvl w:ilvl="8" w:tplc="D1F8A6B4">
      <w:numFmt w:val="decimal"/>
      <w:lvlText w:val=""/>
      <w:lvlJc w:val="left"/>
    </w:lvl>
  </w:abstractNum>
  <w:abstractNum w:abstractNumId="909" w15:restartNumberingAfterBreak="0">
    <w:nsid w:val="5F035173"/>
    <w:multiLevelType w:val="hybridMultilevel"/>
    <w:tmpl w:val="D5326666"/>
    <w:lvl w:ilvl="0" w:tplc="E6141BAC">
      <w:start w:val="1"/>
      <w:numFmt w:val="bullet"/>
      <w:lvlText w:val=""/>
      <w:lvlJc w:val="left"/>
      <w:pPr>
        <w:ind w:left="720" w:hanging="180"/>
      </w:pPr>
      <w:rPr>
        <w:rFonts w:ascii="Symbol" w:hAnsi="Symbol" w:hint="default"/>
      </w:rPr>
    </w:lvl>
    <w:lvl w:ilvl="1" w:tplc="16343942">
      <w:numFmt w:val="decimal"/>
      <w:lvlText w:val=""/>
      <w:lvlJc w:val="left"/>
    </w:lvl>
    <w:lvl w:ilvl="2" w:tplc="FADE9BBE">
      <w:numFmt w:val="decimal"/>
      <w:lvlText w:val=""/>
      <w:lvlJc w:val="left"/>
    </w:lvl>
    <w:lvl w:ilvl="3" w:tplc="2E9EC836">
      <w:numFmt w:val="decimal"/>
      <w:lvlText w:val=""/>
      <w:lvlJc w:val="left"/>
    </w:lvl>
    <w:lvl w:ilvl="4" w:tplc="33CA31B4">
      <w:numFmt w:val="decimal"/>
      <w:lvlText w:val=""/>
      <w:lvlJc w:val="left"/>
    </w:lvl>
    <w:lvl w:ilvl="5" w:tplc="37668D1A">
      <w:numFmt w:val="decimal"/>
      <w:lvlText w:val=""/>
      <w:lvlJc w:val="left"/>
    </w:lvl>
    <w:lvl w:ilvl="6" w:tplc="AF366008">
      <w:numFmt w:val="decimal"/>
      <w:lvlText w:val=""/>
      <w:lvlJc w:val="left"/>
    </w:lvl>
    <w:lvl w:ilvl="7" w:tplc="AE8477EC">
      <w:numFmt w:val="decimal"/>
      <w:lvlText w:val=""/>
      <w:lvlJc w:val="left"/>
    </w:lvl>
    <w:lvl w:ilvl="8" w:tplc="06C2B0C4">
      <w:numFmt w:val="decimal"/>
      <w:lvlText w:val=""/>
      <w:lvlJc w:val="left"/>
    </w:lvl>
  </w:abstractNum>
  <w:abstractNum w:abstractNumId="910" w15:restartNumberingAfterBreak="0">
    <w:nsid w:val="5F08096F"/>
    <w:multiLevelType w:val="hybridMultilevel"/>
    <w:tmpl w:val="42BEF7FA"/>
    <w:lvl w:ilvl="0" w:tplc="FCD4109E">
      <w:start w:val="1"/>
      <w:numFmt w:val="bullet"/>
      <w:lvlText w:val=""/>
      <w:lvlJc w:val="left"/>
      <w:pPr>
        <w:ind w:left="720" w:hanging="180"/>
      </w:pPr>
      <w:rPr>
        <w:rFonts w:ascii="Symbol" w:hAnsi="Symbol" w:hint="default"/>
      </w:rPr>
    </w:lvl>
    <w:lvl w:ilvl="1" w:tplc="E73ED972">
      <w:numFmt w:val="decimal"/>
      <w:lvlText w:val=""/>
      <w:lvlJc w:val="left"/>
    </w:lvl>
    <w:lvl w:ilvl="2" w:tplc="63AC1328">
      <w:numFmt w:val="decimal"/>
      <w:lvlText w:val=""/>
      <w:lvlJc w:val="left"/>
    </w:lvl>
    <w:lvl w:ilvl="3" w:tplc="54F476F4">
      <w:numFmt w:val="decimal"/>
      <w:lvlText w:val=""/>
      <w:lvlJc w:val="left"/>
    </w:lvl>
    <w:lvl w:ilvl="4" w:tplc="D3F84BB2">
      <w:numFmt w:val="decimal"/>
      <w:lvlText w:val=""/>
      <w:lvlJc w:val="left"/>
    </w:lvl>
    <w:lvl w:ilvl="5" w:tplc="5F88764A">
      <w:numFmt w:val="decimal"/>
      <w:lvlText w:val=""/>
      <w:lvlJc w:val="left"/>
    </w:lvl>
    <w:lvl w:ilvl="6" w:tplc="742E9CA6">
      <w:numFmt w:val="decimal"/>
      <w:lvlText w:val=""/>
      <w:lvlJc w:val="left"/>
    </w:lvl>
    <w:lvl w:ilvl="7" w:tplc="3788E2EC">
      <w:numFmt w:val="decimal"/>
      <w:lvlText w:val=""/>
      <w:lvlJc w:val="left"/>
    </w:lvl>
    <w:lvl w:ilvl="8" w:tplc="121C13D4">
      <w:numFmt w:val="decimal"/>
      <w:lvlText w:val=""/>
      <w:lvlJc w:val="left"/>
    </w:lvl>
  </w:abstractNum>
  <w:abstractNum w:abstractNumId="911" w15:restartNumberingAfterBreak="0">
    <w:nsid w:val="5F16224B"/>
    <w:multiLevelType w:val="hybridMultilevel"/>
    <w:tmpl w:val="C5D64970"/>
    <w:lvl w:ilvl="0" w:tplc="D96A752C">
      <w:numFmt w:val="decimal"/>
      <w:lvlText w:val=""/>
      <w:lvlJc w:val="left"/>
    </w:lvl>
    <w:lvl w:ilvl="1" w:tplc="947AB220">
      <w:start w:val="1"/>
      <w:numFmt w:val="bullet"/>
      <w:lvlText w:val=""/>
      <w:lvlJc w:val="left"/>
      <w:pPr>
        <w:ind w:left="1440" w:hanging="180"/>
      </w:pPr>
      <w:rPr>
        <w:rFonts w:ascii="Symbol" w:hAnsi="Symbol" w:hint="default"/>
      </w:rPr>
    </w:lvl>
    <w:lvl w:ilvl="2" w:tplc="E9D417C6">
      <w:numFmt w:val="decimal"/>
      <w:lvlText w:val=""/>
      <w:lvlJc w:val="left"/>
    </w:lvl>
    <w:lvl w:ilvl="3" w:tplc="755CEA1C">
      <w:numFmt w:val="decimal"/>
      <w:lvlText w:val=""/>
      <w:lvlJc w:val="left"/>
    </w:lvl>
    <w:lvl w:ilvl="4" w:tplc="CEDECF30">
      <w:numFmt w:val="decimal"/>
      <w:lvlText w:val=""/>
      <w:lvlJc w:val="left"/>
    </w:lvl>
    <w:lvl w:ilvl="5" w:tplc="EF2A9D4E">
      <w:numFmt w:val="decimal"/>
      <w:lvlText w:val=""/>
      <w:lvlJc w:val="left"/>
    </w:lvl>
    <w:lvl w:ilvl="6" w:tplc="58320396">
      <w:numFmt w:val="decimal"/>
      <w:lvlText w:val=""/>
      <w:lvlJc w:val="left"/>
    </w:lvl>
    <w:lvl w:ilvl="7" w:tplc="033A2070">
      <w:numFmt w:val="decimal"/>
      <w:lvlText w:val=""/>
      <w:lvlJc w:val="left"/>
    </w:lvl>
    <w:lvl w:ilvl="8" w:tplc="F0DA5F40">
      <w:numFmt w:val="decimal"/>
      <w:lvlText w:val=""/>
      <w:lvlJc w:val="left"/>
    </w:lvl>
  </w:abstractNum>
  <w:abstractNum w:abstractNumId="912" w15:restartNumberingAfterBreak="0">
    <w:nsid w:val="5F3965FD"/>
    <w:multiLevelType w:val="hybridMultilevel"/>
    <w:tmpl w:val="C0AC07C0"/>
    <w:lvl w:ilvl="0" w:tplc="962CBCA4">
      <w:start w:val="1"/>
      <w:numFmt w:val="bullet"/>
      <w:lvlText w:val=""/>
      <w:lvlJc w:val="left"/>
      <w:pPr>
        <w:ind w:left="720" w:hanging="180"/>
      </w:pPr>
      <w:rPr>
        <w:rFonts w:ascii="Symbol" w:hAnsi="Symbol" w:hint="default"/>
      </w:rPr>
    </w:lvl>
    <w:lvl w:ilvl="1" w:tplc="649E9172">
      <w:numFmt w:val="decimal"/>
      <w:lvlText w:val=""/>
      <w:lvlJc w:val="left"/>
    </w:lvl>
    <w:lvl w:ilvl="2" w:tplc="6C2EAD40">
      <w:numFmt w:val="decimal"/>
      <w:lvlText w:val=""/>
      <w:lvlJc w:val="left"/>
    </w:lvl>
    <w:lvl w:ilvl="3" w:tplc="1442A91E">
      <w:numFmt w:val="decimal"/>
      <w:lvlText w:val=""/>
      <w:lvlJc w:val="left"/>
    </w:lvl>
    <w:lvl w:ilvl="4" w:tplc="8CE47D9E">
      <w:numFmt w:val="decimal"/>
      <w:lvlText w:val=""/>
      <w:lvlJc w:val="left"/>
    </w:lvl>
    <w:lvl w:ilvl="5" w:tplc="AFE2EB2A">
      <w:numFmt w:val="decimal"/>
      <w:lvlText w:val=""/>
      <w:lvlJc w:val="left"/>
    </w:lvl>
    <w:lvl w:ilvl="6" w:tplc="32A4333E">
      <w:numFmt w:val="decimal"/>
      <w:lvlText w:val=""/>
      <w:lvlJc w:val="left"/>
    </w:lvl>
    <w:lvl w:ilvl="7" w:tplc="5DFE59F2">
      <w:numFmt w:val="decimal"/>
      <w:lvlText w:val=""/>
      <w:lvlJc w:val="left"/>
    </w:lvl>
    <w:lvl w:ilvl="8" w:tplc="0358A80E">
      <w:numFmt w:val="decimal"/>
      <w:lvlText w:val=""/>
      <w:lvlJc w:val="left"/>
    </w:lvl>
  </w:abstractNum>
  <w:abstractNum w:abstractNumId="913" w15:restartNumberingAfterBreak="0">
    <w:nsid w:val="5F436878"/>
    <w:multiLevelType w:val="hybridMultilevel"/>
    <w:tmpl w:val="054C7F1A"/>
    <w:lvl w:ilvl="0" w:tplc="7A68512A">
      <w:start w:val="1"/>
      <w:numFmt w:val="bullet"/>
      <w:lvlText w:val=""/>
      <w:lvlJc w:val="left"/>
      <w:pPr>
        <w:ind w:left="720" w:hanging="180"/>
      </w:pPr>
      <w:rPr>
        <w:rFonts w:ascii="Symbol" w:hAnsi="Symbol" w:hint="default"/>
      </w:rPr>
    </w:lvl>
    <w:lvl w:ilvl="1" w:tplc="2F6A45C8">
      <w:numFmt w:val="decimal"/>
      <w:lvlText w:val=""/>
      <w:lvlJc w:val="left"/>
    </w:lvl>
    <w:lvl w:ilvl="2" w:tplc="5F4A2B98">
      <w:numFmt w:val="decimal"/>
      <w:lvlText w:val=""/>
      <w:lvlJc w:val="left"/>
    </w:lvl>
    <w:lvl w:ilvl="3" w:tplc="E40ADE60">
      <w:numFmt w:val="decimal"/>
      <w:lvlText w:val=""/>
      <w:lvlJc w:val="left"/>
    </w:lvl>
    <w:lvl w:ilvl="4" w:tplc="A4606852">
      <w:numFmt w:val="decimal"/>
      <w:lvlText w:val=""/>
      <w:lvlJc w:val="left"/>
    </w:lvl>
    <w:lvl w:ilvl="5" w:tplc="74C2DB46">
      <w:numFmt w:val="decimal"/>
      <w:lvlText w:val=""/>
      <w:lvlJc w:val="left"/>
    </w:lvl>
    <w:lvl w:ilvl="6" w:tplc="D0F4A5DC">
      <w:numFmt w:val="decimal"/>
      <w:lvlText w:val=""/>
      <w:lvlJc w:val="left"/>
    </w:lvl>
    <w:lvl w:ilvl="7" w:tplc="5D6C7F3C">
      <w:numFmt w:val="decimal"/>
      <w:lvlText w:val=""/>
      <w:lvlJc w:val="left"/>
    </w:lvl>
    <w:lvl w:ilvl="8" w:tplc="9B6E587E">
      <w:numFmt w:val="decimal"/>
      <w:lvlText w:val=""/>
      <w:lvlJc w:val="left"/>
    </w:lvl>
  </w:abstractNum>
  <w:abstractNum w:abstractNumId="914" w15:restartNumberingAfterBreak="0">
    <w:nsid w:val="5F60388E"/>
    <w:multiLevelType w:val="hybridMultilevel"/>
    <w:tmpl w:val="CA78ED9A"/>
    <w:lvl w:ilvl="0" w:tplc="B84E1034">
      <w:start w:val="1"/>
      <w:numFmt w:val="bullet"/>
      <w:lvlText w:val=""/>
      <w:lvlJc w:val="left"/>
      <w:pPr>
        <w:ind w:left="720" w:hanging="180"/>
      </w:pPr>
      <w:rPr>
        <w:rFonts w:ascii="Symbol" w:hAnsi="Symbol" w:hint="default"/>
      </w:rPr>
    </w:lvl>
    <w:lvl w:ilvl="1" w:tplc="E3282D10">
      <w:numFmt w:val="decimal"/>
      <w:lvlText w:val=""/>
      <w:lvlJc w:val="left"/>
    </w:lvl>
    <w:lvl w:ilvl="2" w:tplc="4C26B0E2">
      <w:numFmt w:val="decimal"/>
      <w:lvlText w:val=""/>
      <w:lvlJc w:val="left"/>
    </w:lvl>
    <w:lvl w:ilvl="3" w:tplc="5B74DE7A">
      <w:numFmt w:val="decimal"/>
      <w:lvlText w:val=""/>
      <w:lvlJc w:val="left"/>
    </w:lvl>
    <w:lvl w:ilvl="4" w:tplc="80D4D134">
      <w:numFmt w:val="decimal"/>
      <w:lvlText w:val=""/>
      <w:lvlJc w:val="left"/>
    </w:lvl>
    <w:lvl w:ilvl="5" w:tplc="42AE8D5E">
      <w:numFmt w:val="decimal"/>
      <w:lvlText w:val=""/>
      <w:lvlJc w:val="left"/>
    </w:lvl>
    <w:lvl w:ilvl="6" w:tplc="C14ACDE8">
      <w:numFmt w:val="decimal"/>
      <w:lvlText w:val=""/>
      <w:lvlJc w:val="left"/>
    </w:lvl>
    <w:lvl w:ilvl="7" w:tplc="E3D8602C">
      <w:numFmt w:val="decimal"/>
      <w:lvlText w:val=""/>
      <w:lvlJc w:val="left"/>
    </w:lvl>
    <w:lvl w:ilvl="8" w:tplc="04F0A96C">
      <w:numFmt w:val="decimal"/>
      <w:lvlText w:val=""/>
      <w:lvlJc w:val="left"/>
    </w:lvl>
  </w:abstractNum>
  <w:abstractNum w:abstractNumId="915" w15:restartNumberingAfterBreak="0">
    <w:nsid w:val="5F756717"/>
    <w:multiLevelType w:val="hybridMultilevel"/>
    <w:tmpl w:val="4ADE9006"/>
    <w:lvl w:ilvl="0" w:tplc="A89AC8D8">
      <w:start w:val="1"/>
      <w:numFmt w:val="bullet"/>
      <w:lvlText w:val=""/>
      <w:lvlJc w:val="left"/>
      <w:pPr>
        <w:ind w:left="720" w:hanging="180"/>
      </w:pPr>
      <w:rPr>
        <w:rFonts w:ascii="Symbol" w:hAnsi="Symbol" w:hint="default"/>
      </w:rPr>
    </w:lvl>
    <w:lvl w:ilvl="1" w:tplc="9538FF3E">
      <w:numFmt w:val="decimal"/>
      <w:lvlText w:val=""/>
      <w:lvlJc w:val="left"/>
    </w:lvl>
    <w:lvl w:ilvl="2" w:tplc="9DE4C412">
      <w:numFmt w:val="decimal"/>
      <w:lvlText w:val=""/>
      <w:lvlJc w:val="left"/>
    </w:lvl>
    <w:lvl w:ilvl="3" w:tplc="6074A2B2">
      <w:numFmt w:val="decimal"/>
      <w:lvlText w:val=""/>
      <w:lvlJc w:val="left"/>
    </w:lvl>
    <w:lvl w:ilvl="4" w:tplc="EE20D350">
      <w:numFmt w:val="decimal"/>
      <w:lvlText w:val=""/>
      <w:lvlJc w:val="left"/>
    </w:lvl>
    <w:lvl w:ilvl="5" w:tplc="2DB83FE6">
      <w:numFmt w:val="decimal"/>
      <w:lvlText w:val=""/>
      <w:lvlJc w:val="left"/>
    </w:lvl>
    <w:lvl w:ilvl="6" w:tplc="B0CE5560">
      <w:numFmt w:val="decimal"/>
      <w:lvlText w:val=""/>
      <w:lvlJc w:val="left"/>
    </w:lvl>
    <w:lvl w:ilvl="7" w:tplc="CD06F6D8">
      <w:numFmt w:val="decimal"/>
      <w:lvlText w:val=""/>
      <w:lvlJc w:val="left"/>
    </w:lvl>
    <w:lvl w:ilvl="8" w:tplc="6C625CA0">
      <w:numFmt w:val="decimal"/>
      <w:lvlText w:val=""/>
      <w:lvlJc w:val="left"/>
    </w:lvl>
  </w:abstractNum>
  <w:abstractNum w:abstractNumId="916" w15:restartNumberingAfterBreak="0">
    <w:nsid w:val="5F7732EC"/>
    <w:multiLevelType w:val="hybridMultilevel"/>
    <w:tmpl w:val="99362AE0"/>
    <w:lvl w:ilvl="0" w:tplc="41C4798E">
      <w:start w:val="1"/>
      <w:numFmt w:val="bullet"/>
      <w:lvlText w:val=""/>
      <w:lvlJc w:val="left"/>
      <w:pPr>
        <w:ind w:left="720" w:hanging="180"/>
      </w:pPr>
      <w:rPr>
        <w:rFonts w:ascii="Symbol" w:hAnsi="Symbol" w:hint="default"/>
      </w:rPr>
    </w:lvl>
    <w:lvl w:ilvl="1" w:tplc="CFCC4CFC">
      <w:numFmt w:val="decimal"/>
      <w:lvlText w:val=""/>
      <w:lvlJc w:val="left"/>
    </w:lvl>
    <w:lvl w:ilvl="2" w:tplc="EAE268DC">
      <w:numFmt w:val="decimal"/>
      <w:lvlText w:val=""/>
      <w:lvlJc w:val="left"/>
    </w:lvl>
    <w:lvl w:ilvl="3" w:tplc="27788A64">
      <w:numFmt w:val="decimal"/>
      <w:lvlText w:val=""/>
      <w:lvlJc w:val="left"/>
    </w:lvl>
    <w:lvl w:ilvl="4" w:tplc="8EC6A46C">
      <w:numFmt w:val="decimal"/>
      <w:lvlText w:val=""/>
      <w:lvlJc w:val="left"/>
    </w:lvl>
    <w:lvl w:ilvl="5" w:tplc="76786196">
      <w:numFmt w:val="decimal"/>
      <w:lvlText w:val=""/>
      <w:lvlJc w:val="left"/>
    </w:lvl>
    <w:lvl w:ilvl="6" w:tplc="3A9618BE">
      <w:numFmt w:val="decimal"/>
      <w:lvlText w:val=""/>
      <w:lvlJc w:val="left"/>
    </w:lvl>
    <w:lvl w:ilvl="7" w:tplc="799E0082">
      <w:numFmt w:val="decimal"/>
      <w:lvlText w:val=""/>
      <w:lvlJc w:val="left"/>
    </w:lvl>
    <w:lvl w:ilvl="8" w:tplc="C6F4FC08">
      <w:numFmt w:val="decimal"/>
      <w:lvlText w:val=""/>
      <w:lvlJc w:val="left"/>
    </w:lvl>
  </w:abstractNum>
  <w:abstractNum w:abstractNumId="917" w15:restartNumberingAfterBreak="0">
    <w:nsid w:val="5F92200C"/>
    <w:multiLevelType w:val="hybridMultilevel"/>
    <w:tmpl w:val="65889098"/>
    <w:lvl w:ilvl="0" w:tplc="B09A7CD6">
      <w:start w:val="1"/>
      <w:numFmt w:val="bullet"/>
      <w:lvlText w:val=""/>
      <w:lvlJc w:val="left"/>
      <w:pPr>
        <w:ind w:left="720" w:hanging="180"/>
      </w:pPr>
      <w:rPr>
        <w:rFonts w:ascii="Symbol" w:hAnsi="Symbol" w:hint="default"/>
      </w:rPr>
    </w:lvl>
    <w:lvl w:ilvl="1" w:tplc="A3627FA2">
      <w:numFmt w:val="decimal"/>
      <w:lvlText w:val=""/>
      <w:lvlJc w:val="left"/>
    </w:lvl>
    <w:lvl w:ilvl="2" w:tplc="D2209506">
      <w:numFmt w:val="decimal"/>
      <w:lvlText w:val=""/>
      <w:lvlJc w:val="left"/>
    </w:lvl>
    <w:lvl w:ilvl="3" w:tplc="89C4AF02">
      <w:numFmt w:val="decimal"/>
      <w:lvlText w:val=""/>
      <w:lvlJc w:val="left"/>
    </w:lvl>
    <w:lvl w:ilvl="4" w:tplc="7C7C3BD2">
      <w:numFmt w:val="decimal"/>
      <w:lvlText w:val=""/>
      <w:lvlJc w:val="left"/>
    </w:lvl>
    <w:lvl w:ilvl="5" w:tplc="4EDA5032">
      <w:numFmt w:val="decimal"/>
      <w:lvlText w:val=""/>
      <w:lvlJc w:val="left"/>
    </w:lvl>
    <w:lvl w:ilvl="6" w:tplc="E30E0D02">
      <w:numFmt w:val="decimal"/>
      <w:lvlText w:val=""/>
      <w:lvlJc w:val="left"/>
    </w:lvl>
    <w:lvl w:ilvl="7" w:tplc="4ECAFAD4">
      <w:numFmt w:val="decimal"/>
      <w:lvlText w:val=""/>
      <w:lvlJc w:val="left"/>
    </w:lvl>
    <w:lvl w:ilvl="8" w:tplc="4EEE5172">
      <w:numFmt w:val="decimal"/>
      <w:lvlText w:val=""/>
      <w:lvlJc w:val="left"/>
    </w:lvl>
  </w:abstractNum>
  <w:abstractNum w:abstractNumId="918" w15:restartNumberingAfterBreak="0">
    <w:nsid w:val="5FB55D68"/>
    <w:multiLevelType w:val="hybridMultilevel"/>
    <w:tmpl w:val="2D7C41B0"/>
    <w:lvl w:ilvl="0" w:tplc="4E6C124C">
      <w:start w:val="1"/>
      <w:numFmt w:val="bullet"/>
      <w:lvlText w:val=""/>
      <w:lvlJc w:val="left"/>
      <w:pPr>
        <w:ind w:left="720" w:hanging="180"/>
      </w:pPr>
      <w:rPr>
        <w:rFonts w:ascii="Symbol" w:hAnsi="Symbol" w:hint="default"/>
      </w:rPr>
    </w:lvl>
    <w:lvl w:ilvl="1" w:tplc="3A30C0C0">
      <w:numFmt w:val="decimal"/>
      <w:lvlText w:val=""/>
      <w:lvlJc w:val="left"/>
    </w:lvl>
    <w:lvl w:ilvl="2" w:tplc="214CBDB6">
      <w:numFmt w:val="decimal"/>
      <w:lvlText w:val=""/>
      <w:lvlJc w:val="left"/>
    </w:lvl>
    <w:lvl w:ilvl="3" w:tplc="93664D00">
      <w:numFmt w:val="decimal"/>
      <w:lvlText w:val=""/>
      <w:lvlJc w:val="left"/>
    </w:lvl>
    <w:lvl w:ilvl="4" w:tplc="828479F4">
      <w:numFmt w:val="decimal"/>
      <w:lvlText w:val=""/>
      <w:lvlJc w:val="left"/>
    </w:lvl>
    <w:lvl w:ilvl="5" w:tplc="02F82306">
      <w:numFmt w:val="decimal"/>
      <w:lvlText w:val=""/>
      <w:lvlJc w:val="left"/>
    </w:lvl>
    <w:lvl w:ilvl="6" w:tplc="FAC64B84">
      <w:numFmt w:val="decimal"/>
      <w:lvlText w:val=""/>
      <w:lvlJc w:val="left"/>
    </w:lvl>
    <w:lvl w:ilvl="7" w:tplc="90F47F60">
      <w:numFmt w:val="decimal"/>
      <w:lvlText w:val=""/>
      <w:lvlJc w:val="left"/>
    </w:lvl>
    <w:lvl w:ilvl="8" w:tplc="F8FC8D2A">
      <w:numFmt w:val="decimal"/>
      <w:lvlText w:val=""/>
      <w:lvlJc w:val="left"/>
    </w:lvl>
  </w:abstractNum>
  <w:abstractNum w:abstractNumId="919" w15:restartNumberingAfterBreak="0">
    <w:nsid w:val="60003386"/>
    <w:multiLevelType w:val="hybridMultilevel"/>
    <w:tmpl w:val="B41C3A4C"/>
    <w:lvl w:ilvl="0" w:tplc="08B42722">
      <w:start w:val="1"/>
      <w:numFmt w:val="bullet"/>
      <w:lvlText w:val=""/>
      <w:lvlJc w:val="left"/>
      <w:pPr>
        <w:ind w:left="720" w:hanging="180"/>
      </w:pPr>
      <w:rPr>
        <w:rFonts w:ascii="Symbol" w:hAnsi="Symbol" w:hint="default"/>
      </w:rPr>
    </w:lvl>
    <w:lvl w:ilvl="1" w:tplc="B21ED3A4">
      <w:numFmt w:val="decimal"/>
      <w:lvlText w:val=""/>
      <w:lvlJc w:val="left"/>
    </w:lvl>
    <w:lvl w:ilvl="2" w:tplc="C4AC7C66">
      <w:numFmt w:val="decimal"/>
      <w:lvlText w:val=""/>
      <w:lvlJc w:val="left"/>
    </w:lvl>
    <w:lvl w:ilvl="3" w:tplc="E9A4E5E0">
      <w:numFmt w:val="decimal"/>
      <w:lvlText w:val=""/>
      <w:lvlJc w:val="left"/>
    </w:lvl>
    <w:lvl w:ilvl="4" w:tplc="44BC7732">
      <w:numFmt w:val="decimal"/>
      <w:lvlText w:val=""/>
      <w:lvlJc w:val="left"/>
    </w:lvl>
    <w:lvl w:ilvl="5" w:tplc="3BA0B73E">
      <w:numFmt w:val="decimal"/>
      <w:lvlText w:val=""/>
      <w:lvlJc w:val="left"/>
    </w:lvl>
    <w:lvl w:ilvl="6" w:tplc="60D66B14">
      <w:numFmt w:val="decimal"/>
      <w:lvlText w:val=""/>
      <w:lvlJc w:val="left"/>
    </w:lvl>
    <w:lvl w:ilvl="7" w:tplc="4A889E3A">
      <w:numFmt w:val="decimal"/>
      <w:lvlText w:val=""/>
      <w:lvlJc w:val="left"/>
    </w:lvl>
    <w:lvl w:ilvl="8" w:tplc="A080E91E">
      <w:numFmt w:val="decimal"/>
      <w:lvlText w:val=""/>
      <w:lvlJc w:val="left"/>
    </w:lvl>
  </w:abstractNum>
  <w:abstractNum w:abstractNumId="920" w15:restartNumberingAfterBreak="0">
    <w:nsid w:val="60097B7D"/>
    <w:multiLevelType w:val="hybridMultilevel"/>
    <w:tmpl w:val="6792D66A"/>
    <w:lvl w:ilvl="0" w:tplc="412803D8">
      <w:start w:val="1"/>
      <w:numFmt w:val="bullet"/>
      <w:lvlText w:val=""/>
      <w:lvlJc w:val="left"/>
      <w:pPr>
        <w:ind w:left="720" w:hanging="180"/>
      </w:pPr>
      <w:rPr>
        <w:rFonts w:ascii="Symbol" w:hAnsi="Symbol" w:hint="default"/>
      </w:rPr>
    </w:lvl>
    <w:lvl w:ilvl="1" w:tplc="E3E21AFA">
      <w:numFmt w:val="decimal"/>
      <w:lvlText w:val=""/>
      <w:lvlJc w:val="left"/>
    </w:lvl>
    <w:lvl w:ilvl="2" w:tplc="47888C7E">
      <w:numFmt w:val="decimal"/>
      <w:lvlText w:val=""/>
      <w:lvlJc w:val="left"/>
    </w:lvl>
    <w:lvl w:ilvl="3" w:tplc="62B402B6">
      <w:numFmt w:val="decimal"/>
      <w:lvlText w:val=""/>
      <w:lvlJc w:val="left"/>
    </w:lvl>
    <w:lvl w:ilvl="4" w:tplc="64B63048">
      <w:numFmt w:val="decimal"/>
      <w:lvlText w:val=""/>
      <w:lvlJc w:val="left"/>
    </w:lvl>
    <w:lvl w:ilvl="5" w:tplc="C1161BD6">
      <w:numFmt w:val="decimal"/>
      <w:lvlText w:val=""/>
      <w:lvlJc w:val="left"/>
    </w:lvl>
    <w:lvl w:ilvl="6" w:tplc="4E349740">
      <w:numFmt w:val="decimal"/>
      <w:lvlText w:val=""/>
      <w:lvlJc w:val="left"/>
    </w:lvl>
    <w:lvl w:ilvl="7" w:tplc="D968FCC4">
      <w:numFmt w:val="decimal"/>
      <w:lvlText w:val=""/>
      <w:lvlJc w:val="left"/>
    </w:lvl>
    <w:lvl w:ilvl="8" w:tplc="9F98140A">
      <w:numFmt w:val="decimal"/>
      <w:lvlText w:val=""/>
      <w:lvlJc w:val="left"/>
    </w:lvl>
  </w:abstractNum>
  <w:abstractNum w:abstractNumId="921" w15:restartNumberingAfterBreak="0">
    <w:nsid w:val="60142B31"/>
    <w:multiLevelType w:val="hybridMultilevel"/>
    <w:tmpl w:val="5FEE9B88"/>
    <w:lvl w:ilvl="0" w:tplc="2C0076B0">
      <w:start w:val="1"/>
      <w:numFmt w:val="bullet"/>
      <w:lvlText w:val=""/>
      <w:lvlJc w:val="left"/>
      <w:pPr>
        <w:ind w:left="720" w:hanging="180"/>
      </w:pPr>
      <w:rPr>
        <w:rFonts w:ascii="Symbol" w:hAnsi="Symbol" w:hint="default"/>
      </w:rPr>
    </w:lvl>
    <w:lvl w:ilvl="1" w:tplc="DAF464E4">
      <w:numFmt w:val="decimal"/>
      <w:lvlText w:val=""/>
      <w:lvlJc w:val="left"/>
    </w:lvl>
    <w:lvl w:ilvl="2" w:tplc="1FD807DE">
      <w:numFmt w:val="decimal"/>
      <w:lvlText w:val=""/>
      <w:lvlJc w:val="left"/>
    </w:lvl>
    <w:lvl w:ilvl="3" w:tplc="41A0E34E">
      <w:numFmt w:val="decimal"/>
      <w:lvlText w:val=""/>
      <w:lvlJc w:val="left"/>
    </w:lvl>
    <w:lvl w:ilvl="4" w:tplc="C414DDAC">
      <w:numFmt w:val="decimal"/>
      <w:lvlText w:val=""/>
      <w:lvlJc w:val="left"/>
    </w:lvl>
    <w:lvl w:ilvl="5" w:tplc="885A51EC">
      <w:numFmt w:val="decimal"/>
      <w:lvlText w:val=""/>
      <w:lvlJc w:val="left"/>
    </w:lvl>
    <w:lvl w:ilvl="6" w:tplc="587877D4">
      <w:numFmt w:val="decimal"/>
      <w:lvlText w:val=""/>
      <w:lvlJc w:val="left"/>
    </w:lvl>
    <w:lvl w:ilvl="7" w:tplc="821E39B8">
      <w:numFmt w:val="decimal"/>
      <w:lvlText w:val=""/>
      <w:lvlJc w:val="left"/>
    </w:lvl>
    <w:lvl w:ilvl="8" w:tplc="BD32BEC0">
      <w:numFmt w:val="decimal"/>
      <w:lvlText w:val=""/>
      <w:lvlJc w:val="left"/>
    </w:lvl>
  </w:abstractNum>
  <w:abstractNum w:abstractNumId="922" w15:restartNumberingAfterBreak="0">
    <w:nsid w:val="60265E62"/>
    <w:multiLevelType w:val="hybridMultilevel"/>
    <w:tmpl w:val="43FEE9F2"/>
    <w:lvl w:ilvl="0" w:tplc="7E54F1A2">
      <w:start w:val="1"/>
      <w:numFmt w:val="bullet"/>
      <w:lvlText w:val=""/>
      <w:lvlJc w:val="left"/>
      <w:pPr>
        <w:ind w:left="720" w:hanging="180"/>
      </w:pPr>
      <w:rPr>
        <w:rFonts w:ascii="Symbol" w:hAnsi="Symbol" w:hint="default"/>
      </w:rPr>
    </w:lvl>
    <w:lvl w:ilvl="1" w:tplc="66960950">
      <w:numFmt w:val="decimal"/>
      <w:lvlText w:val=""/>
      <w:lvlJc w:val="left"/>
    </w:lvl>
    <w:lvl w:ilvl="2" w:tplc="993C11C0">
      <w:numFmt w:val="decimal"/>
      <w:lvlText w:val=""/>
      <w:lvlJc w:val="left"/>
    </w:lvl>
    <w:lvl w:ilvl="3" w:tplc="728E4B4C">
      <w:numFmt w:val="decimal"/>
      <w:lvlText w:val=""/>
      <w:lvlJc w:val="left"/>
    </w:lvl>
    <w:lvl w:ilvl="4" w:tplc="35521474">
      <w:numFmt w:val="decimal"/>
      <w:lvlText w:val=""/>
      <w:lvlJc w:val="left"/>
    </w:lvl>
    <w:lvl w:ilvl="5" w:tplc="FBA8FE50">
      <w:numFmt w:val="decimal"/>
      <w:lvlText w:val=""/>
      <w:lvlJc w:val="left"/>
    </w:lvl>
    <w:lvl w:ilvl="6" w:tplc="DEF8504A">
      <w:numFmt w:val="decimal"/>
      <w:lvlText w:val=""/>
      <w:lvlJc w:val="left"/>
    </w:lvl>
    <w:lvl w:ilvl="7" w:tplc="83722832">
      <w:numFmt w:val="decimal"/>
      <w:lvlText w:val=""/>
      <w:lvlJc w:val="left"/>
    </w:lvl>
    <w:lvl w:ilvl="8" w:tplc="86B449BE">
      <w:numFmt w:val="decimal"/>
      <w:lvlText w:val=""/>
      <w:lvlJc w:val="left"/>
    </w:lvl>
  </w:abstractNum>
  <w:abstractNum w:abstractNumId="923" w15:restartNumberingAfterBreak="0">
    <w:nsid w:val="608513DB"/>
    <w:multiLevelType w:val="hybridMultilevel"/>
    <w:tmpl w:val="C80E6832"/>
    <w:lvl w:ilvl="0" w:tplc="A9523784">
      <w:start w:val="1"/>
      <w:numFmt w:val="bullet"/>
      <w:lvlText w:val=""/>
      <w:lvlJc w:val="left"/>
      <w:pPr>
        <w:ind w:left="720" w:hanging="180"/>
      </w:pPr>
      <w:rPr>
        <w:rFonts w:ascii="Symbol" w:hAnsi="Symbol" w:hint="default"/>
      </w:rPr>
    </w:lvl>
    <w:lvl w:ilvl="1" w:tplc="24564180">
      <w:numFmt w:val="decimal"/>
      <w:lvlText w:val=""/>
      <w:lvlJc w:val="left"/>
    </w:lvl>
    <w:lvl w:ilvl="2" w:tplc="29843B0C">
      <w:numFmt w:val="decimal"/>
      <w:lvlText w:val=""/>
      <w:lvlJc w:val="left"/>
    </w:lvl>
    <w:lvl w:ilvl="3" w:tplc="A3322D26">
      <w:numFmt w:val="decimal"/>
      <w:lvlText w:val=""/>
      <w:lvlJc w:val="left"/>
    </w:lvl>
    <w:lvl w:ilvl="4" w:tplc="596CF350">
      <w:numFmt w:val="decimal"/>
      <w:lvlText w:val=""/>
      <w:lvlJc w:val="left"/>
    </w:lvl>
    <w:lvl w:ilvl="5" w:tplc="02EEC8C4">
      <w:numFmt w:val="decimal"/>
      <w:lvlText w:val=""/>
      <w:lvlJc w:val="left"/>
    </w:lvl>
    <w:lvl w:ilvl="6" w:tplc="BDC02646">
      <w:numFmt w:val="decimal"/>
      <w:lvlText w:val=""/>
      <w:lvlJc w:val="left"/>
    </w:lvl>
    <w:lvl w:ilvl="7" w:tplc="BD88B762">
      <w:numFmt w:val="decimal"/>
      <w:lvlText w:val=""/>
      <w:lvlJc w:val="left"/>
    </w:lvl>
    <w:lvl w:ilvl="8" w:tplc="D73221EE">
      <w:numFmt w:val="decimal"/>
      <w:lvlText w:val=""/>
      <w:lvlJc w:val="left"/>
    </w:lvl>
  </w:abstractNum>
  <w:abstractNum w:abstractNumId="924" w15:restartNumberingAfterBreak="0">
    <w:nsid w:val="60903CA4"/>
    <w:multiLevelType w:val="hybridMultilevel"/>
    <w:tmpl w:val="55B4618A"/>
    <w:lvl w:ilvl="0" w:tplc="77BA7C26">
      <w:start w:val="1"/>
      <w:numFmt w:val="bullet"/>
      <w:lvlText w:val=""/>
      <w:lvlJc w:val="left"/>
      <w:pPr>
        <w:ind w:left="720" w:hanging="180"/>
      </w:pPr>
      <w:rPr>
        <w:rFonts w:ascii="Symbol" w:hAnsi="Symbol" w:hint="default"/>
      </w:rPr>
    </w:lvl>
    <w:lvl w:ilvl="1" w:tplc="250EE41A">
      <w:numFmt w:val="decimal"/>
      <w:lvlText w:val=""/>
      <w:lvlJc w:val="left"/>
    </w:lvl>
    <w:lvl w:ilvl="2" w:tplc="7B0AAD90">
      <w:numFmt w:val="decimal"/>
      <w:lvlText w:val=""/>
      <w:lvlJc w:val="left"/>
    </w:lvl>
    <w:lvl w:ilvl="3" w:tplc="095418AA">
      <w:numFmt w:val="decimal"/>
      <w:lvlText w:val=""/>
      <w:lvlJc w:val="left"/>
    </w:lvl>
    <w:lvl w:ilvl="4" w:tplc="B24CAA8C">
      <w:numFmt w:val="decimal"/>
      <w:lvlText w:val=""/>
      <w:lvlJc w:val="left"/>
    </w:lvl>
    <w:lvl w:ilvl="5" w:tplc="3752B828">
      <w:numFmt w:val="decimal"/>
      <w:lvlText w:val=""/>
      <w:lvlJc w:val="left"/>
    </w:lvl>
    <w:lvl w:ilvl="6" w:tplc="78140258">
      <w:numFmt w:val="decimal"/>
      <w:lvlText w:val=""/>
      <w:lvlJc w:val="left"/>
    </w:lvl>
    <w:lvl w:ilvl="7" w:tplc="2E12DDD2">
      <w:numFmt w:val="decimal"/>
      <w:lvlText w:val=""/>
      <w:lvlJc w:val="left"/>
    </w:lvl>
    <w:lvl w:ilvl="8" w:tplc="5DA6047C">
      <w:numFmt w:val="decimal"/>
      <w:lvlText w:val=""/>
      <w:lvlJc w:val="left"/>
    </w:lvl>
  </w:abstractNum>
  <w:abstractNum w:abstractNumId="925" w15:restartNumberingAfterBreak="0">
    <w:nsid w:val="60A610A6"/>
    <w:multiLevelType w:val="hybridMultilevel"/>
    <w:tmpl w:val="D2B613A0"/>
    <w:lvl w:ilvl="0" w:tplc="3244E4A6">
      <w:start w:val="1"/>
      <w:numFmt w:val="bullet"/>
      <w:lvlText w:val=""/>
      <w:lvlJc w:val="left"/>
      <w:pPr>
        <w:ind w:left="720" w:hanging="180"/>
      </w:pPr>
      <w:rPr>
        <w:rFonts w:ascii="Symbol" w:hAnsi="Symbol" w:hint="default"/>
      </w:rPr>
    </w:lvl>
    <w:lvl w:ilvl="1" w:tplc="31E6AA6E">
      <w:numFmt w:val="decimal"/>
      <w:lvlText w:val=""/>
      <w:lvlJc w:val="left"/>
    </w:lvl>
    <w:lvl w:ilvl="2" w:tplc="ED4E930A">
      <w:numFmt w:val="decimal"/>
      <w:lvlText w:val=""/>
      <w:lvlJc w:val="left"/>
    </w:lvl>
    <w:lvl w:ilvl="3" w:tplc="52248656">
      <w:numFmt w:val="decimal"/>
      <w:lvlText w:val=""/>
      <w:lvlJc w:val="left"/>
    </w:lvl>
    <w:lvl w:ilvl="4" w:tplc="FE082C52">
      <w:numFmt w:val="decimal"/>
      <w:lvlText w:val=""/>
      <w:lvlJc w:val="left"/>
    </w:lvl>
    <w:lvl w:ilvl="5" w:tplc="94F29AD4">
      <w:numFmt w:val="decimal"/>
      <w:lvlText w:val=""/>
      <w:lvlJc w:val="left"/>
    </w:lvl>
    <w:lvl w:ilvl="6" w:tplc="4D9E3BD4">
      <w:numFmt w:val="decimal"/>
      <w:lvlText w:val=""/>
      <w:lvlJc w:val="left"/>
    </w:lvl>
    <w:lvl w:ilvl="7" w:tplc="A1ACD148">
      <w:numFmt w:val="decimal"/>
      <w:lvlText w:val=""/>
      <w:lvlJc w:val="left"/>
    </w:lvl>
    <w:lvl w:ilvl="8" w:tplc="670809CA">
      <w:numFmt w:val="decimal"/>
      <w:lvlText w:val=""/>
      <w:lvlJc w:val="left"/>
    </w:lvl>
  </w:abstractNum>
  <w:abstractNum w:abstractNumId="926" w15:restartNumberingAfterBreak="0">
    <w:nsid w:val="610309A3"/>
    <w:multiLevelType w:val="hybridMultilevel"/>
    <w:tmpl w:val="CA76A3D4"/>
    <w:lvl w:ilvl="0" w:tplc="A8740B4C">
      <w:start w:val="1"/>
      <w:numFmt w:val="bullet"/>
      <w:lvlText w:val=""/>
      <w:lvlJc w:val="left"/>
      <w:pPr>
        <w:ind w:left="720" w:hanging="180"/>
      </w:pPr>
      <w:rPr>
        <w:rFonts w:ascii="Symbol" w:hAnsi="Symbol" w:hint="default"/>
      </w:rPr>
    </w:lvl>
    <w:lvl w:ilvl="1" w:tplc="AFFE319E">
      <w:numFmt w:val="decimal"/>
      <w:lvlText w:val=""/>
      <w:lvlJc w:val="left"/>
    </w:lvl>
    <w:lvl w:ilvl="2" w:tplc="E3420288">
      <w:numFmt w:val="decimal"/>
      <w:lvlText w:val=""/>
      <w:lvlJc w:val="left"/>
    </w:lvl>
    <w:lvl w:ilvl="3" w:tplc="7954F666">
      <w:numFmt w:val="decimal"/>
      <w:lvlText w:val=""/>
      <w:lvlJc w:val="left"/>
    </w:lvl>
    <w:lvl w:ilvl="4" w:tplc="2BF833C6">
      <w:numFmt w:val="decimal"/>
      <w:lvlText w:val=""/>
      <w:lvlJc w:val="left"/>
    </w:lvl>
    <w:lvl w:ilvl="5" w:tplc="79842FEE">
      <w:numFmt w:val="decimal"/>
      <w:lvlText w:val=""/>
      <w:lvlJc w:val="left"/>
    </w:lvl>
    <w:lvl w:ilvl="6" w:tplc="1B529C98">
      <w:numFmt w:val="decimal"/>
      <w:lvlText w:val=""/>
      <w:lvlJc w:val="left"/>
    </w:lvl>
    <w:lvl w:ilvl="7" w:tplc="01849E84">
      <w:numFmt w:val="decimal"/>
      <w:lvlText w:val=""/>
      <w:lvlJc w:val="left"/>
    </w:lvl>
    <w:lvl w:ilvl="8" w:tplc="ADA28E92">
      <w:numFmt w:val="decimal"/>
      <w:lvlText w:val=""/>
      <w:lvlJc w:val="left"/>
    </w:lvl>
  </w:abstractNum>
  <w:abstractNum w:abstractNumId="927" w15:restartNumberingAfterBreak="0">
    <w:nsid w:val="611245DC"/>
    <w:multiLevelType w:val="hybridMultilevel"/>
    <w:tmpl w:val="A1B06E7C"/>
    <w:lvl w:ilvl="0" w:tplc="24B0CE5C">
      <w:start w:val="1"/>
      <w:numFmt w:val="bullet"/>
      <w:lvlText w:val=""/>
      <w:lvlJc w:val="left"/>
      <w:pPr>
        <w:ind w:left="720" w:hanging="180"/>
      </w:pPr>
      <w:rPr>
        <w:rFonts w:ascii="Symbol" w:hAnsi="Symbol" w:hint="default"/>
      </w:rPr>
    </w:lvl>
    <w:lvl w:ilvl="1" w:tplc="19C287D2">
      <w:numFmt w:val="decimal"/>
      <w:lvlText w:val=""/>
      <w:lvlJc w:val="left"/>
    </w:lvl>
    <w:lvl w:ilvl="2" w:tplc="E512906E">
      <w:numFmt w:val="decimal"/>
      <w:lvlText w:val=""/>
      <w:lvlJc w:val="left"/>
    </w:lvl>
    <w:lvl w:ilvl="3" w:tplc="6D860EEA">
      <w:numFmt w:val="decimal"/>
      <w:lvlText w:val=""/>
      <w:lvlJc w:val="left"/>
    </w:lvl>
    <w:lvl w:ilvl="4" w:tplc="895E5FA8">
      <w:numFmt w:val="decimal"/>
      <w:lvlText w:val=""/>
      <w:lvlJc w:val="left"/>
    </w:lvl>
    <w:lvl w:ilvl="5" w:tplc="263C24F2">
      <w:numFmt w:val="decimal"/>
      <w:lvlText w:val=""/>
      <w:lvlJc w:val="left"/>
    </w:lvl>
    <w:lvl w:ilvl="6" w:tplc="B6E4CBE4">
      <w:numFmt w:val="decimal"/>
      <w:lvlText w:val=""/>
      <w:lvlJc w:val="left"/>
    </w:lvl>
    <w:lvl w:ilvl="7" w:tplc="A43033C0">
      <w:numFmt w:val="decimal"/>
      <w:lvlText w:val=""/>
      <w:lvlJc w:val="left"/>
    </w:lvl>
    <w:lvl w:ilvl="8" w:tplc="CD8AAB96">
      <w:numFmt w:val="decimal"/>
      <w:lvlText w:val=""/>
      <w:lvlJc w:val="left"/>
    </w:lvl>
  </w:abstractNum>
  <w:abstractNum w:abstractNumId="928" w15:restartNumberingAfterBreak="0">
    <w:nsid w:val="6131591C"/>
    <w:multiLevelType w:val="hybridMultilevel"/>
    <w:tmpl w:val="7CE4B07A"/>
    <w:lvl w:ilvl="0" w:tplc="B3A09ED4">
      <w:start w:val="1"/>
      <w:numFmt w:val="bullet"/>
      <w:lvlText w:val=""/>
      <w:lvlJc w:val="left"/>
      <w:pPr>
        <w:ind w:left="720" w:hanging="180"/>
      </w:pPr>
      <w:rPr>
        <w:rFonts w:ascii="Symbol" w:hAnsi="Symbol" w:hint="default"/>
      </w:rPr>
    </w:lvl>
    <w:lvl w:ilvl="1" w:tplc="C422CC36">
      <w:numFmt w:val="decimal"/>
      <w:lvlText w:val=""/>
      <w:lvlJc w:val="left"/>
    </w:lvl>
    <w:lvl w:ilvl="2" w:tplc="CE841EBE">
      <w:numFmt w:val="decimal"/>
      <w:lvlText w:val=""/>
      <w:lvlJc w:val="left"/>
    </w:lvl>
    <w:lvl w:ilvl="3" w:tplc="BCB64B2C">
      <w:numFmt w:val="decimal"/>
      <w:lvlText w:val=""/>
      <w:lvlJc w:val="left"/>
    </w:lvl>
    <w:lvl w:ilvl="4" w:tplc="6720A2B8">
      <w:numFmt w:val="decimal"/>
      <w:lvlText w:val=""/>
      <w:lvlJc w:val="left"/>
    </w:lvl>
    <w:lvl w:ilvl="5" w:tplc="FD40148A">
      <w:numFmt w:val="decimal"/>
      <w:lvlText w:val=""/>
      <w:lvlJc w:val="left"/>
    </w:lvl>
    <w:lvl w:ilvl="6" w:tplc="424021C0">
      <w:numFmt w:val="decimal"/>
      <w:lvlText w:val=""/>
      <w:lvlJc w:val="left"/>
    </w:lvl>
    <w:lvl w:ilvl="7" w:tplc="0D2CB06C">
      <w:numFmt w:val="decimal"/>
      <w:lvlText w:val=""/>
      <w:lvlJc w:val="left"/>
    </w:lvl>
    <w:lvl w:ilvl="8" w:tplc="BE5C82E0">
      <w:numFmt w:val="decimal"/>
      <w:lvlText w:val=""/>
      <w:lvlJc w:val="left"/>
    </w:lvl>
  </w:abstractNum>
  <w:abstractNum w:abstractNumId="929" w15:restartNumberingAfterBreak="0">
    <w:nsid w:val="61524461"/>
    <w:multiLevelType w:val="hybridMultilevel"/>
    <w:tmpl w:val="D9AC3FE2"/>
    <w:lvl w:ilvl="0" w:tplc="458C8E96">
      <w:start w:val="1"/>
      <w:numFmt w:val="bullet"/>
      <w:lvlText w:val=""/>
      <w:lvlJc w:val="left"/>
      <w:pPr>
        <w:ind w:left="720" w:hanging="180"/>
      </w:pPr>
      <w:rPr>
        <w:rFonts w:ascii="Symbol" w:hAnsi="Symbol" w:hint="default"/>
      </w:rPr>
    </w:lvl>
    <w:lvl w:ilvl="1" w:tplc="886AEF76">
      <w:numFmt w:val="decimal"/>
      <w:lvlText w:val=""/>
      <w:lvlJc w:val="left"/>
    </w:lvl>
    <w:lvl w:ilvl="2" w:tplc="33603814">
      <w:numFmt w:val="decimal"/>
      <w:lvlText w:val=""/>
      <w:lvlJc w:val="left"/>
    </w:lvl>
    <w:lvl w:ilvl="3" w:tplc="D9FE8A1C">
      <w:numFmt w:val="decimal"/>
      <w:lvlText w:val=""/>
      <w:lvlJc w:val="left"/>
    </w:lvl>
    <w:lvl w:ilvl="4" w:tplc="F85474D2">
      <w:numFmt w:val="decimal"/>
      <w:lvlText w:val=""/>
      <w:lvlJc w:val="left"/>
    </w:lvl>
    <w:lvl w:ilvl="5" w:tplc="0DAE4DBC">
      <w:numFmt w:val="decimal"/>
      <w:lvlText w:val=""/>
      <w:lvlJc w:val="left"/>
    </w:lvl>
    <w:lvl w:ilvl="6" w:tplc="754EAC30">
      <w:numFmt w:val="decimal"/>
      <w:lvlText w:val=""/>
      <w:lvlJc w:val="left"/>
    </w:lvl>
    <w:lvl w:ilvl="7" w:tplc="50263430">
      <w:numFmt w:val="decimal"/>
      <w:lvlText w:val=""/>
      <w:lvlJc w:val="left"/>
    </w:lvl>
    <w:lvl w:ilvl="8" w:tplc="95F0B0D0">
      <w:numFmt w:val="decimal"/>
      <w:lvlText w:val=""/>
      <w:lvlJc w:val="left"/>
    </w:lvl>
  </w:abstractNum>
  <w:abstractNum w:abstractNumId="930" w15:restartNumberingAfterBreak="0">
    <w:nsid w:val="61AF553F"/>
    <w:multiLevelType w:val="hybridMultilevel"/>
    <w:tmpl w:val="1EC0F3C2"/>
    <w:lvl w:ilvl="0" w:tplc="1C5ECBD2">
      <w:start w:val="1"/>
      <w:numFmt w:val="bullet"/>
      <w:lvlText w:val=""/>
      <w:lvlJc w:val="left"/>
      <w:pPr>
        <w:ind w:left="720" w:hanging="180"/>
      </w:pPr>
      <w:rPr>
        <w:rFonts w:ascii="Symbol" w:hAnsi="Symbol" w:hint="default"/>
      </w:rPr>
    </w:lvl>
    <w:lvl w:ilvl="1" w:tplc="D2C45AD8">
      <w:numFmt w:val="decimal"/>
      <w:lvlText w:val=""/>
      <w:lvlJc w:val="left"/>
    </w:lvl>
    <w:lvl w:ilvl="2" w:tplc="A220464E">
      <w:numFmt w:val="decimal"/>
      <w:lvlText w:val=""/>
      <w:lvlJc w:val="left"/>
    </w:lvl>
    <w:lvl w:ilvl="3" w:tplc="9992E7F0">
      <w:numFmt w:val="decimal"/>
      <w:lvlText w:val=""/>
      <w:lvlJc w:val="left"/>
    </w:lvl>
    <w:lvl w:ilvl="4" w:tplc="7CCADAA0">
      <w:numFmt w:val="decimal"/>
      <w:lvlText w:val=""/>
      <w:lvlJc w:val="left"/>
    </w:lvl>
    <w:lvl w:ilvl="5" w:tplc="E1E6ECF6">
      <w:numFmt w:val="decimal"/>
      <w:lvlText w:val=""/>
      <w:lvlJc w:val="left"/>
    </w:lvl>
    <w:lvl w:ilvl="6" w:tplc="23386C8A">
      <w:numFmt w:val="decimal"/>
      <w:lvlText w:val=""/>
      <w:lvlJc w:val="left"/>
    </w:lvl>
    <w:lvl w:ilvl="7" w:tplc="868E7CF4">
      <w:numFmt w:val="decimal"/>
      <w:lvlText w:val=""/>
      <w:lvlJc w:val="left"/>
    </w:lvl>
    <w:lvl w:ilvl="8" w:tplc="FCDC0F56">
      <w:numFmt w:val="decimal"/>
      <w:lvlText w:val=""/>
      <w:lvlJc w:val="left"/>
    </w:lvl>
  </w:abstractNum>
  <w:abstractNum w:abstractNumId="931" w15:restartNumberingAfterBreak="0">
    <w:nsid w:val="61B05FFD"/>
    <w:multiLevelType w:val="hybridMultilevel"/>
    <w:tmpl w:val="7E4A814C"/>
    <w:lvl w:ilvl="0" w:tplc="CCAA0F04">
      <w:start w:val="1"/>
      <w:numFmt w:val="bullet"/>
      <w:lvlText w:val=""/>
      <w:lvlJc w:val="left"/>
      <w:pPr>
        <w:ind w:left="720" w:hanging="180"/>
      </w:pPr>
      <w:rPr>
        <w:rFonts w:ascii="Symbol" w:hAnsi="Symbol" w:hint="default"/>
      </w:rPr>
    </w:lvl>
    <w:lvl w:ilvl="1" w:tplc="6ECABB48">
      <w:numFmt w:val="decimal"/>
      <w:lvlText w:val=""/>
      <w:lvlJc w:val="left"/>
    </w:lvl>
    <w:lvl w:ilvl="2" w:tplc="3B604CEC">
      <w:numFmt w:val="decimal"/>
      <w:lvlText w:val=""/>
      <w:lvlJc w:val="left"/>
    </w:lvl>
    <w:lvl w:ilvl="3" w:tplc="817E5DC2">
      <w:numFmt w:val="decimal"/>
      <w:lvlText w:val=""/>
      <w:lvlJc w:val="left"/>
    </w:lvl>
    <w:lvl w:ilvl="4" w:tplc="736A39BC">
      <w:numFmt w:val="decimal"/>
      <w:lvlText w:val=""/>
      <w:lvlJc w:val="left"/>
    </w:lvl>
    <w:lvl w:ilvl="5" w:tplc="56627928">
      <w:numFmt w:val="decimal"/>
      <w:lvlText w:val=""/>
      <w:lvlJc w:val="left"/>
    </w:lvl>
    <w:lvl w:ilvl="6" w:tplc="9086F00A">
      <w:numFmt w:val="decimal"/>
      <w:lvlText w:val=""/>
      <w:lvlJc w:val="left"/>
    </w:lvl>
    <w:lvl w:ilvl="7" w:tplc="6908F748">
      <w:numFmt w:val="decimal"/>
      <w:lvlText w:val=""/>
      <w:lvlJc w:val="left"/>
    </w:lvl>
    <w:lvl w:ilvl="8" w:tplc="1E725F22">
      <w:numFmt w:val="decimal"/>
      <w:lvlText w:val=""/>
      <w:lvlJc w:val="left"/>
    </w:lvl>
  </w:abstractNum>
  <w:abstractNum w:abstractNumId="932" w15:restartNumberingAfterBreak="0">
    <w:nsid w:val="61F3765F"/>
    <w:multiLevelType w:val="hybridMultilevel"/>
    <w:tmpl w:val="EA961716"/>
    <w:lvl w:ilvl="0" w:tplc="F9082B40">
      <w:numFmt w:val="decimal"/>
      <w:lvlText w:val=""/>
      <w:lvlJc w:val="left"/>
    </w:lvl>
    <w:lvl w:ilvl="1" w:tplc="A3463DF0">
      <w:start w:val="1"/>
      <w:numFmt w:val="bullet"/>
      <w:lvlText w:val=""/>
      <w:lvlJc w:val="left"/>
      <w:pPr>
        <w:ind w:left="1440" w:hanging="180"/>
      </w:pPr>
      <w:rPr>
        <w:rFonts w:ascii="Symbol" w:hAnsi="Symbol" w:hint="default"/>
      </w:rPr>
    </w:lvl>
    <w:lvl w:ilvl="2" w:tplc="7BD65062">
      <w:numFmt w:val="decimal"/>
      <w:lvlText w:val=""/>
      <w:lvlJc w:val="left"/>
    </w:lvl>
    <w:lvl w:ilvl="3" w:tplc="2C90F614">
      <w:numFmt w:val="decimal"/>
      <w:lvlText w:val=""/>
      <w:lvlJc w:val="left"/>
    </w:lvl>
    <w:lvl w:ilvl="4" w:tplc="0E3A0ABA">
      <w:numFmt w:val="decimal"/>
      <w:lvlText w:val=""/>
      <w:lvlJc w:val="left"/>
    </w:lvl>
    <w:lvl w:ilvl="5" w:tplc="BBF40F16">
      <w:numFmt w:val="decimal"/>
      <w:lvlText w:val=""/>
      <w:lvlJc w:val="left"/>
    </w:lvl>
    <w:lvl w:ilvl="6" w:tplc="259EA430">
      <w:numFmt w:val="decimal"/>
      <w:lvlText w:val=""/>
      <w:lvlJc w:val="left"/>
    </w:lvl>
    <w:lvl w:ilvl="7" w:tplc="5E5EBDFE">
      <w:numFmt w:val="decimal"/>
      <w:lvlText w:val=""/>
      <w:lvlJc w:val="left"/>
    </w:lvl>
    <w:lvl w:ilvl="8" w:tplc="5E16FC4C">
      <w:numFmt w:val="decimal"/>
      <w:lvlText w:val=""/>
      <w:lvlJc w:val="left"/>
    </w:lvl>
  </w:abstractNum>
  <w:abstractNum w:abstractNumId="933" w15:restartNumberingAfterBreak="0">
    <w:nsid w:val="623E29FD"/>
    <w:multiLevelType w:val="hybridMultilevel"/>
    <w:tmpl w:val="F646701C"/>
    <w:lvl w:ilvl="0" w:tplc="712C11DC">
      <w:numFmt w:val="decimal"/>
      <w:lvlText w:val=""/>
      <w:lvlJc w:val="left"/>
    </w:lvl>
    <w:lvl w:ilvl="1" w:tplc="96DACDAA">
      <w:numFmt w:val="decimal"/>
      <w:lvlText w:val=""/>
      <w:lvlJc w:val="left"/>
    </w:lvl>
    <w:lvl w:ilvl="2" w:tplc="ABE0523C">
      <w:start w:val="1"/>
      <w:numFmt w:val="bullet"/>
      <w:lvlText w:val=""/>
      <w:lvlJc w:val="left"/>
      <w:pPr>
        <w:ind w:left="2160" w:hanging="180"/>
      </w:pPr>
      <w:rPr>
        <w:rFonts w:ascii="Symbol" w:hAnsi="Symbol" w:hint="default"/>
      </w:rPr>
    </w:lvl>
    <w:lvl w:ilvl="3" w:tplc="5D969ABA">
      <w:numFmt w:val="decimal"/>
      <w:lvlText w:val=""/>
      <w:lvlJc w:val="left"/>
    </w:lvl>
    <w:lvl w:ilvl="4" w:tplc="37C28D38">
      <w:numFmt w:val="decimal"/>
      <w:lvlText w:val=""/>
      <w:lvlJc w:val="left"/>
    </w:lvl>
    <w:lvl w:ilvl="5" w:tplc="1CB6EA06">
      <w:numFmt w:val="decimal"/>
      <w:lvlText w:val=""/>
      <w:lvlJc w:val="left"/>
    </w:lvl>
    <w:lvl w:ilvl="6" w:tplc="6AE07FA8">
      <w:numFmt w:val="decimal"/>
      <w:lvlText w:val=""/>
      <w:lvlJc w:val="left"/>
    </w:lvl>
    <w:lvl w:ilvl="7" w:tplc="BE9CEE74">
      <w:numFmt w:val="decimal"/>
      <w:lvlText w:val=""/>
      <w:lvlJc w:val="left"/>
    </w:lvl>
    <w:lvl w:ilvl="8" w:tplc="8F24C282">
      <w:numFmt w:val="decimal"/>
      <w:lvlText w:val=""/>
      <w:lvlJc w:val="left"/>
    </w:lvl>
  </w:abstractNum>
  <w:abstractNum w:abstractNumId="934" w15:restartNumberingAfterBreak="0">
    <w:nsid w:val="624C49EA"/>
    <w:multiLevelType w:val="hybridMultilevel"/>
    <w:tmpl w:val="9110A768"/>
    <w:lvl w:ilvl="0" w:tplc="DEECC872">
      <w:start w:val="1"/>
      <w:numFmt w:val="bullet"/>
      <w:lvlText w:val=""/>
      <w:lvlJc w:val="left"/>
      <w:pPr>
        <w:ind w:left="720" w:hanging="180"/>
      </w:pPr>
      <w:rPr>
        <w:rFonts w:ascii="Symbol" w:hAnsi="Symbol" w:hint="default"/>
      </w:rPr>
    </w:lvl>
    <w:lvl w:ilvl="1" w:tplc="62C23286">
      <w:numFmt w:val="decimal"/>
      <w:lvlText w:val=""/>
      <w:lvlJc w:val="left"/>
    </w:lvl>
    <w:lvl w:ilvl="2" w:tplc="CA7A294C">
      <w:numFmt w:val="decimal"/>
      <w:lvlText w:val=""/>
      <w:lvlJc w:val="left"/>
    </w:lvl>
    <w:lvl w:ilvl="3" w:tplc="CDCA3794">
      <w:numFmt w:val="decimal"/>
      <w:lvlText w:val=""/>
      <w:lvlJc w:val="left"/>
    </w:lvl>
    <w:lvl w:ilvl="4" w:tplc="9E745B0A">
      <w:numFmt w:val="decimal"/>
      <w:lvlText w:val=""/>
      <w:lvlJc w:val="left"/>
    </w:lvl>
    <w:lvl w:ilvl="5" w:tplc="F68C14D2">
      <w:numFmt w:val="decimal"/>
      <w:lvlText w:val=""/>
      <w:lvlJc w:val="left"/>
    </w:lvl>
    <w:lvl w:ilvl="6" w:tplc="11809810">
      <w:numFmt w:val="decimal"/>
      <w:lvlText w:val=""/>
      <w:lvlJc w:val="left"/>
    </w:lvl>
    <w:lvl w:ilvl="7" w:tplc="24C86AB0">
      <w:numFmt w:val="decimal"/>
      <w:lvlText w:val=""/>
      <w:lvlJc w:val="left"/>
    </w:lvl>
    <w:lvl w:ilvl="8" w:tplc="731A25D8">
      <w:numFmt w:val="decimal"/>
      <w:lvlText w:val=""/>
      <w:lvlJc w:val="left"/>
    </w:lvl>
  </w:abstractNum>
  <w:abstractNum w:abstractNumId="935" w15:restartNumberingAfterBreak="0">
    <w:nsid w:val="62604283"/>
    <w:multiLevelType w:val="hybridMultilevel"/>
    <w:tmpl w:val="CC021632"/>
    <w:lvl w:ilvl="0" w:tplc="C43E1C44">
      <w:start w:val="1"/>
      <w:numFmt w:val="bullet"/>
      <w:lvlText w:val=""/>
      <w:lvlJc w:val="left"/>
      <w:pPr>
        <w:ind w:left="720" w:hanging="180"/>
      </w:pPr>
      <w:rPr>
        <w:rFonts w:ascii="Symbol" w:hAnsi="Symbol" w:hint="default"/>
      </w:rPr>
    </w:lvl>
    <w:lvl w:ilvl="1" w:tplc="BA666130">
      <w:numFmt w:val="decimal"/>
      <w:lvlText w:val=""/>
      <w:lvlJc w:val="left"/>
    </w:lvl>
    <w:lvl w:ilvl="2" w:tplc="EED02228">
      <w:numFmt w:val="decimal"/>
      <w:lvlText w:val=""/>
      <w:lvlJc w:val="left"/>
    </w:lvl>
    <w:lvl w:ilvl="3" w:tplc="9A1C9C94">
      <w:numFmt w:val="decimal"/>
      <w:lvlText w:val=""/>
      <w:lvlJc w:val="left"/>
    </w:lvl>
    <w:lvl w:ilvl="4" w:tplc="40846DB6">
      <w:numFmt w:val="decimal"/>
      <w:lvlText w:val=""/>
      <w:lvlJc w:val="left"/>
    </w:lvl>
    <w:lvl w:ilvl="5" w:tplc="3CF4BAD4">
      <w:numFmt w:val="decimal"/>
      <w:lvlText w:val=""/>
      <w:lvlJc w:val="left"/>
    </w:lvl>
    <w:lvl w:ilvl="6" w:tplc="CA664324">
      <w:numFmt w:val="decimal"/>
      <w:lvlText w:val=""/>
      <w:lvlJc w:val="left"/>
    </w:lvl>
    <w:lvl w:ilvl="7" w:tplc="3B2A1006">
      <w:numFmt w:val="decimal"/>
      <w:lvlText w:val=""/>
      <w:lvlJc w:val="left"/>
    </w:lvl>
    <w:lvl w:ilvl="8" w:tplc="1E5297FE">
      <w:numFmt w:val="decimal"/>
      <w:lvlText w:val=""/>
      <w:lvlJc w:val="left"/>
    </w:lvl>
  </w:abstractNum>
  <w:abstractNum w:abstractNumId="936" w15:restartNumberingAfterBreak="0">
    <w:nsid w:val="62621641"/>
    <w:multiLevelType w:val="hybridMultilevel"/>
    <w:tmpl w:val="C1B2703C"/>
    <w:lvl w:ilvl="0" w:tplc="33862978">
      <w:start w:val="1"/>
      <w:numFmt w:val="bullet"/>
      <w:lvlText w:val=""/>
      <w:lvlJc w:val="left"/>
      <w:pPr>
        <w:ind w:left="720" w:hanging="180"/>
      </w:pPr>
      <w:rPr>
        <w:rFonts w:ascii="Symbol" w:hAnsi="Symbol" w:hint="default"/>
      </w:rPr>
    </w:lvl>
    <w:lvl w:ilvl="1" w:tplc="4A2CCD7E">
      <w:numFmt w:val="decimal"/>
      <w:lvlText w:val=""/>
      <w:lvlJc w:val="left"/>
    </w:lvl>
    <w:lvl w:ilvl="2" w:tplc="036CAD68">
      <w:numFmt w:val="decimal"/>
      <w:lvlText w:val=""/>
      <w:lvlJc w:val="left"/>
    </w:lvl>
    <w:lvl w:ilvl="3" w:tplc="E55ED834">
      <w:numFmt w:val="decimal"/>
      <w:lvlText w:val=""/>
      <w:lvlJc w:val="left"/>
    </w:lvl>
    <w:lvl w:ilvl="4" w:tplc="BF48CC4A">
      <w:numFmt w:val="decimal"/>
      <w:lvlText w:val=""/>
      <w:lvlJc w:val="left"/>
    </w:lvl>
    <w:lvl w:ilvl="5" w:tplc="B36E3830">
      <w:numFmt w:val="decimal"/>
      <w:lvlText w:val=""/>
      <w:lvlJc w:val="left"/>
    </w:lvl>
    <w:lvl w:ilvl="6" w:tplc="DBD2A37A">
      <w:numFmt w:val="decimal"/>
      <w:lvlText w:val=""/>
      <w:lvlJc w:val="left"/>
    </w:lvl>
    <w:lvl w:ilvl="7" w:tplc="2F44B682">
      <w:numFmt w:val="decimal"/>
      <w:lvlText w:val=""/>
      <w:lvlJc w:val="left"/>
    </w:lvl>
    <w:lvl w:ilvl="8" w:tplc="4BF08EE4">
      <w:numFmt w:val="decimal"/>
      <w:lvlText w:val=""/>
      <w:lvlJc w:val="left"/>
    </w:lvl>
  </w:abstractNum>
  <w:abstractNum w:abstractNumId="937" w15:restartNumberingAfterBreak="0">
    <w:nsid w:val="626B6676"/>
    <w:multiLevelType w:val="hybridMultilevel"/>
    <w:tmpl w:val="04FEF91C"/>
    <w:lvl w:ilvl="0" w:tplc="28465CC4">
      <w:start w:val="1"/>
      <w:numFmt w:val="bullet"/>
      <w:lvlText w:val=""/>
      <w:lvlJc w:val="left"/>
      <w:pPr>
        <w:ind w:left="720" w:hanging="180"/>
      </w:pPr>
      <w:rPr>
        <w:rFonts w:ascii="Symbol" w:hAnsi="Symbol" w:hint="default"/>
      </w:rPr>
    </w:lvl>
    <w:lvl w:ilvl="1" w:tplc="6324BAAC">
      <w:numFmt w:val="decimal"/>
      <w:lvlText w:val=""/>
      <w:lvlJc w:val="left"/>
    </w:lvl>
    <w:lvl w:ilvl="2" w:tplc="E9B08632">
      <w:numFmt w:val="decimal"/>
      <w:lvlText w:val=""/>
      <w:lvlJc w:val="left"/>
    </w:lvl>
    <w:lvl w:ilvl="3" w:tplc="AC5A71A8">
      <w:numFmt w:val="decimal"/>
      <w:lvlText w:val=""/>
      <w:lvlJc w:val="left"/>
    </w:lvl>
    <w:lvl w:ilvl="4" w:tplc="BC7A137E">
      <w:numFmt w:val="decimal"/>
      <w:lvlText w:val=""/>
      <w:lvlJc w:val="left"/>
    </w:lvl>
    <w:lvl w:ilvl="5" w:tplc="3BB295B0">
      <w:numFmt w:val="decimal"/>
      <w:lvlText w:val=""/>
      <w:lvlJc w:val="left"/>
    </w:lvl>
    <w:lvl w:ilvl="6" w:tplc="13F86196">
      <w:numFmt w:val="decimal"/>
      <w:lvlText w:val=""/>
      <w:lvlJc w:val="left"/>
    </w:lvl>
    <w:lvl w:ilvl="7" w:tplc="3E84BDFE">
      <w:numFmt w:val="decimal"/>
      <w:lvlText w:val=""/>
      <w:lvlJc w:val="left"/>
    </w:lvl>
    <w:lvl w:ilvl="8" w:tplc="38407B0E">
      <w:numFmt w:val="decimal"/>
      <w:lvlText w:val=""/>
      <w:lvlJc w:val="left"/>
    </w:lvl>
  </w:abstractNum>
  <w:abstractNum w:abstractNumId="938" w15:restartNumberingAfterBreak="0">
    <w:nsid w:val="62B631BB"/>
    <w:multiLevelType w:val="hybridMultilevel"/>
    <w:tmpl w:val="35A09436"/>
    <w:lvl w:ilvl="0" w:tplc="45C63ABE">
      <w:start w:val="1"/>
      <w:numFmt w:val="bullet"/>
      <w:lvlText w:val=""/>
      <w:lvlJc w:val="left"/>
      <w:pPr>
        <w:ind w:left="720" w:hanging="180"/>
      </w:pPr>
      <w:rPr>
        <w:rFonts w:ascii="Symbol" w:hAnsi="Symbol" w:hint="default"/>
      </w:rPr>
    </w:lvl>
    <w:lvl w:ilvl="1" w:tplc="FFDC4734">
      <w:numFmt w:val="decimal"/>
      <w:lvlText w:val=""/>
      <w:lvlJc w:val="left"/>
    </w:lvl>
    <w:lvl w:ilvl="2" w:tplc="1F600A7C">
      <w:numFmt w:val="decimal"/>
      <w:lvlText w:val=""/>
      <w:lvlJc w:val="left"/>
    </w:lvl>
    <w:lvl w:ilvl="3" w:tplc="94EEF0B8">
      <w:numFmt w:val="decimal"/>
      <w:lvlText w:val=""/>
      <w:lvlJc w:val="left"/>
    </w:lvl>
    <w:lvl w:ilvl="4" w:tplc="62EC8256">
      <w:numFmt w:val="decimal"/>
      <w:lvlText w:val=""/>
      <w:lvlJc w:val="left"/>
    </w:lvl>
    <w:lvl w:ilvl="5" w:tplc="8048B8C2">
      <w:numFmt w:val="decimal"/>
      <w:lvlText w:val=""/>
      <w:lvlJc w:val="left"/>
    </w:lvl>
    <w:lvl w:ilvl="6" w:tplc="96DA9CFA">
      <w:numFmt w:val="decimal"/>
      <w:lvlText w:val=""/>
      <w:lvlJc w:val="left"/>
    </w:lvl>
    <w:lvl w:ilvl="7" w:tplc="B95CB7BA">
      <w:numFmt w:val="decimal"/>
      <w:lvlText w:val=""/>
      <w:lvlJc w:val="left"/>
    </w:lvl>
    <w:lvl w:ilvl="8" w:tplc="0B6EC32A">
      <w:numFmt w:val="decimal"/>
      <w:lvlText w:val=""/>
      <w:lvlJc w:val="left"/>
    </w:lvl>
  </w:abstractNum>
  <w:abstractNum w:abstractNumId="939" w15:restartNumberingAfterBreak="0">
    <w:nsid w:val="63090E83"/>
    <w:multiLevelType w:val="hybridMultilevel"/>
    <w:tmpl w:val="F94EE036"/>
    <w:lvl w:ilvl="0" w:tplc="2DF0BB18">
      <w:start w:val="1"/>
      <w:numFmt w:val="bullet"/>
      <w:lvlText w:val=""/>
      <w:lvlJc w:val="left"/>
      <w:pPr>
        <w:ind w:left="720" w:hanging="180"/>
      </w:pPr>
      <w:rPr>
        <w:rFonts w:ascii="Symbol" w:hAnsi="Symbol" w:hint="default"/>
      </w:rPr>
    </w:lvl>
    <w:lvl w:ilvl="1" w:tplc="1548E5C2">
      <w:numFmt w:val="decimal"/>
      <w:lvlText w:val=""/>
      <w:lvlJc w:val="left"/>
    </w:lvl>
    <w:lvl w:ilvl="2" w:tplc="E73801AE">
      <w:numFmt w:val="decimal"/>
      <w:lvlText w:val=""/>
      <w:lvlJc w:val="left"/>
    </w:lvl>
    <w:lvl w:ilvl="3" w:tplc="E5A2F3D8">
      <w:numFmt w:val="decimal"/>
      <w:lvlText w:val=""/>
      <w:lvlJc w:val="left"/>
    </w:lvl>
    <w:lvl w:ilvl="4" w:tplc="696024B0">
      <w:numFmt w:val="decimal"/>
      <w:lvlText w:val=""/>
      <w:lvlJc w:val="left"/>
    </w:lvl>
    <w:lvl w:ilvl="5" w:tplc="BE1A94B2">
      <w:numFmt w:val="decimal"/>
      <w:lvlText w:val=""/>
      <w:lvlJc w:val="left"/>
    </w:lvl>
    <w:lvl w:ilvl="6" w:tplc="09D80E6E">
      <w:numFmt w:val="decimal"/>
      <w:lvlText w:val=""/>
      <w:lvlJc w:val="left"/>
    </w:lvl>
    <w:lvl w:ilvl="7" w:tplc="FFC273CA">
      <w:numFmt w:val="decimal"/>
      <w:lvlText w:val=""/>
      <w:lvlJc w:val="left"/>
    </w:lvl>
    <w:lvl w:ilvl="8" w:tplc="934432E2">
      <w:numFmt w:val="decimal"/>
      <w:lvlText w:val=""/>
      <w:lvlJc w:val="left"/>
    </w:lvl>
  </w:abstractNum>
  <w:abstractNum w:abstractNumId="940" w15:restartNumberingAfterBreak="0">
    <w:nsid w:val="633C336A"/>
    <w:multiLevelType w:val="hybridMultilevel"/>
    <w:tmpl w:val="393AC9AC"/>
    <w:lvl w:ilvl="0" w:tplc="8A86D33C">
      <w:start w:val="1"/>
      <w:numFmt w:val="bullet"/>
      <w:lvlText w:val=""/>
      <w:lvlJc w:val="left"/>
      <w:pPr>
        <w:ind w:left="720" w:hanging="180"/>
      </w:pPr>
      <w:rPr>
        <w:rFonts w:ascii="Symbol" w:hAnsi="Symbol" w:hint="default"/>
      </w:rPr>
    </w:lvl>
    <w:lvl w:ilvl="1" w:tplc="5C54720C">
      <w:numFmt w:val="decimal"/>
      <w:lvlText w:val=""/>
      <w:lvlJc w:val="left"/>
    </w:lvl>
    <w:lvl w:ilvl="2" w:tplc="C3425A14">
      <w:numFmt w:val="decimal"/>
      <w:lvlText w:val=""/>
      <w:lvlJc w:val="left"/>
    </w:lvl>
    <w:lvl w:ilvl="3" w:tplc="12EE915C">
      <w:numFmt w:val="decimal"/>
      <w:lvlText w:val=""/>
      <w:lvlJc w:val="left"/>
    </w:lvl>
    <w:lvl w:ilvl="4" w:tplc="1CECFC8E">
      <w:numFmt w:val="decimal"/>
      <w:lvlText w:val=""/>
      <w:lvlJc w:val="left"/>
    </w:lvl>
    <w:lvl w:ilvl="5" w:tplc="A15E3D7A">
      <w:numFmt w:val="decimal"/>
      <w:lvlText w:val=""/>
      <w:lvlJc w:val="left"/>
    </w:lvl>
    <w:lvl w:ilvl="6" w:tplc="0180E470">
      <w:numFmt w:val="decimal"/>
      <w:lvlText w:val=""/>
      <w:lvlJc w:val="left"/>
    </w:lvl>
    <w:lvl w:ilvl="7" w:tplc="31027880">
      <w:numFmt w:val="decimal"/>
      <w:lvlText w:val=""/>
      <w:lvlJc w:val="left"/>
    </w:lvl>
    <w:lvl w:ilvl="8" w:tplc="5218DE78">
      <w:numFmt w:val="decimal"/>
      <w:lvlText w:val=""/>
      <w:lvlJc w:val="left"/>
    </w:lvl>
  </w:abstractNum>
  <w:abstractNum w:abstractNumId="941" w15:restartNumberingAfterBreak="0">
    <w:nsid w:val="6348019B"/>
    <w:multiLevelType w:val="hybridMultilevel"/>
    <w:tmpl w:val="9E664F7E"/>
    <w:lvl w:ilvl="0" w:tplc="F6C6BE70">
      <w:start w:val="1"/>
      <w:numFmt w:val="bullet"/>
      <w:lvlText w:val=""/>
      <w:lvlJc w:val="left"/>
      <w:pPr>
        <w:ind w:left="720" w:hanging="180"/>
      </w:pPr>
      <w:rPr>
        <w:rFonts w:ascii="Symbol" w:hAnsi="Symbol" w:hint="default"/>
      </w:rPr>
    </w:lvl>
    <w:lvl w:ilvl="1" w:tplc="704EF3AE">
      <w:numFmt w:val="decimal"/>
      <w:lvlText w:val=""/>
      <w:lvlJc w:val="left"/>
    </w:lvl>
    <w:lvl w:ilvl="2" w:tplc="1F987AAA">
      <w:numFmt w:val="decimal"/>
      <w:lvlText w:val=""/>
      <w:lvlJc w:val="left"/>
    </w:lvl>
    <w:lvl w:ilvl="3" w:tplc="3EF8F9C2">
      <w:numFmt w:val="decimal"/>
      <w:lvlText w:val=""/>
      <w:lvlJc w:val="left"/>
    </w:lvl>
    <w:lvl w:ilvl="4" w:tplc="489C129E">
      <w:numFmt w:val="decimal"/>
      <w:lvlText w:val=""/>
      <w:lvlJc w:val="left"/>
    </w:lvl>
    <w:lvl w:ilvl="5" w:tplc="BD40E496">
      <w:numFmt w:val="decimal"/>
      <w:lvlText w:val=""/>
      <w:lvlJc w:val="left"/>
    </w:lvl>
    <w:lvl w:ilvl="6" w:tplc="0E8437D4">
      <w:numFmt w:val="decimal"/>
      <w:lvlText w:val=""/>
      <w:lvlJc w:val="left"/>
    </w:lvl>
    <w:lvl w:ilvl="7" w:tplc="198A44AE">
      <w:numFmt w:val="decimal"/>
      <w:lvlText w:val=""/>
      <w:lvlJc w:val="left"/>
    </w:lvl>
    <w:lvl w:ilvl="8" w:tplc="1A4E6D72">
      <w:numFmt w:val="decimal"/>
      <w:lvlText w:val=""/>
      <w:lvlJc w:val="left"/>
    </w:lvl>
  </w:abstractNum>
  <w:abstractNum w:abstractNumId="942" w15:restartNumberingAfterBreak="0">
    <w:nsid w:val="634D4C07"/>
    <w:multiLevelType w:val="hybridMultilevel"/>
    <w:tmpl w:val="E0F0F3E2"/>
    <w:lvl w:ilvl="0" w:tplc="B6EE4D84">
      <w:start w:val="1"/>
      <w:numFmt w:val="bullet"/>
      <w:lvlText w:val=""/>
      <w:lvlJc w:val="left"/>
      <w:pPr>
        <w:ind w:left="720" w:hanging="180"/>
      </w:pPr>
      <w:rPr>
        <w:rFonts w:ascii="Symbol" w:hAnsi="Symbol" w:hint="default"/>
      </w:rPr>
    </w:lvl>
    <w:lvl w:ilvl="1" w:tplc="2AEAC586">
      <w:numFmt w:val="decimal"/>
      <w:lvlText w:val=""/>
      <w:lvlJc w:val="left"/>
    </w:lvl>
    <w:lvl w:ilvl="2" w:tplc="265625C8">
      <w:numFmt w:val="decimal"/>
      <w:lvlText w:val=""/>
      <w:lvlJc w:val="left"/>
    </w:lvl>
    <w:lvl w:ilvl="3" w:tplc="D26281BE">
      <w:numFmt w:val="decimal"/>
      <w:lvlText w:val=""/>
      <w:lvlJc w:val="left"/>
    </w:lvl>
    <w:lvl w:ilvl="4" w:tplc="C1429642">
      <w:numFmt w:val="decimal"/>
      <w:lvlText w:val=""/>
      <w:lvlJc w:val="left"/>
    </w:lvl>
    <w:lvl w:ilvl="5" w:tplc="ECA87810">
      <w:numFmt w:val="decimal"/>
      <w:lvlText w:val=""/>
      <w:lvlJc w:val="left"/>
    </w:lvl>
    <w:lvl w:ilvl="6" w:tplc="760AE9B8">
      <w:numFmt w:val="decimal"/>
      <w:lvlText w:val=""/>
      <w:lvlJc w:val="left"/>
    </w:lvl>
    <w:lvl w:ilvl="7" w:tplc="D5D4B03A">
      <w:numFmt w:val="decimal"/>
      <w:lvlText w:val=""/>
      <w:lvlJc w:val="left"/>
    </w:lvl>
    <w:lvl w:ilvl="8" w:tplc="437097EA">
      <w:numFmt w:val="decimal"/>
      <w:lvlText w:val=""/>
      <w:lvlJc w:val="left"/>
    </w:lvl>
  </w:abstractNum>
  <w:abstractNum w:abstractNumId="943" w15:restartNumberingAfterBreak="0">
    <w:nsid w:val="63532801"/>
    <w:multiLevelType w:val="hybridMultilevel"/>
    <w:tmpl w:val="B60EBA38"/>
    <w:lvl w:ilvl="0" w:tplc="9EE8AB1C">
      <w:start w:val="1"/>
      <w:numFmt w:val="bullet"/>
      <w:lvlText w:val=""/>
      <w:lvlJc w:val="left"/>
      <w:pPr>
        <w:ind w:left="720" w:hanging="180"/>
      </w:pPr>
      <w:rPr>
        <w:rFonts w:ascii="Symbol" w:hAnsi="Symbol" w:hint="default"/>
      </w:rPr>
    </w:lvl>
    <w:lvl w:ilvl="1" w:tplc="E71E049E">
      <w:numFmt w:val="decimal"/>
      <w:lvlText w:val=""/>
      <w:lvlJc w:val="left"/>
    </w:lvl>
    <w:lvl w:ilvl="2" w:tplc="7B145510">
      <w:numFmt w:val="decimal"/>
      <w:lvlText w:val=""/>
      <w:lvlJc w:val="left"/>
    </w:lvl>
    <w:lvl w:ilvl="3" w:tplc="D4C055B8">
      <w:numFmt w:val="decimal"/>
      <w:lvlText w:val=""/>
      <w:lvlJc w:val="left"/>
    </w:lvl>
    <w:lvl w:ilvl="4" w:tplc="F21E04A0">
      <w:numFmt w:val="decimal"/>
      <w:lvlText w:val=""/>
      <w:lvlJc w:val="left"/>
    </w:lvl>
    <w:lvl w:ilvl="5" w:tplc="EDA21980">
      <w:numFmt w:val="decimal"/>
      <w:lvlText w:val=""/>
      <w:lvlJc w:val="left"/>
    </w:lvl>
    <w:lvl w:ilvl="6" w:tplc="8912E11A">
      <w:numFmt w:val="decimal"/>
      <w:lvlText w:val=""/>
      <w:lvlJc w:val="left"/>
    </w:lvl>
    <w:lvl w:ilvl="7" w:tplc="3740D9B4">
      <w:numFmt w:val="decimal"/>
      <w:lvlText w:val=""/>
      <w:lvlJc w:val="left"/>
    </w:lvl>
    <w:lvl w:ilvl="8" w:tplc="877C0E30">
      <w:numFmt w:val="decimal"/>
      <w:lvlText w:val=""/>
      <w:lvlJc w:val="left"/>
    </w:lvl>
  </w:abstractNum>
  <w:abstractNum w:abstractNumId="944" w15:restartNumberingAfterBreak="0">
    <w:nsid w:val="636F6F87"/>
    <w:multiLevelType w:val="hybridMultilevel"/>
    <w:tmpl w:val="B6B6E55A"/>
    <w:lvl w:ilvl="0" w:tplc="33ACCA16">
      <w:start w:val="1"/>
      <w:numFmt w:val="bullet"/>
      <w:lvlText w:val=""/>
      <w:lvlJc w:val="left"/>
      <w:pPr>
        <w:ind w:left="720" w:hanging="180"/>
      </w:pPr>
      <w:rPr>
        <w:rFonts w:ascii="Symbol" w:hAnsi="Symbol" w:hint="default"/>
      </w:rPr>
    </w:lvl>
    <w:lvl w:ilvl="1" w:tplc="36AA90E0">
      <w:numFmt w:val="decimal"/>
      <w:lvlText w:val=""/>
      <w:lvlJc w:val="left"/>
    </w:lvl>
    <w:lvl w:ilvl="2" w:tplc="7270C70C">
      <w:numFmt w:val="decimal"/>
      <w:lvlText w:val=""/>
      <w:lvlJc w:val="left"/>
    </w:lvl>
    <w:lvl w:ilvl="3" w:tplc="C8808FE6">
      <w:numFmt w:val="decimal"/>
      <w:lvlText w:val=""/>
      <w:lvlJc w:val="left"/>
    </w:lvl>
    <w:lvl w:ilvl="4" w:tplc="CD747344">
      <w:numFmt w:val="decimal"/>
      <w:lvlText w:val=""/>
      <w:lvlJc w:val="left"/>
    </w:lvl>
    <w:lvl w:ilvl="5" w:tplc="74CEA85A">
      <w:numFmt w:val="decimal"/>
      <w:lvlText w:val=""/>
      <w:lvlJc w:val="left"/>
    </w:lvl>
    <w:lvl w:ilvl="6" w:tplc="2520C368">
      <w:numFmt w:val="decimal"/>
      <w:lvlText w:val=""/>
      <w:lvlJc w:val="left"/>
    </w:lvl>
    <w:lvl w:ilvl="7" w:tplc="E62015B6">
      <w:numFmt w:val="decimal"/>
      <w:lvlText w:val=""/>
      <w:lvlJc w:val="left"/>
    </w:lvl>
    <w:lvl w:ilvl="8" w:tplc="49E075D0">
      <w:numFmt w:val="decimal"/>
      <w:lvlText w:val=""/>
      <w:lvlJc w:val="left"/>
    </w:lvl>
  </w:abstractNum>
  <w:abstractNum w:abstractNumId="945" w15:restartNumberingAfterBreak="0">
    <w:nsid w:val="63933F64"/>
    <w:multiLevelType w:val="hybridMultilevel"/>
    <w:tmpl w:val="3A2CF7D8"/>
    <w:lvl w:ilvl="0" w:tplc="DE40E872">
      <w:start w:val="1"/>
      <w:numFmt w:val="bullet"/>
      <w:lvlText w:val=""/>
      <w:lvlJc w:val="left"/>
      <w:pPr>
        <w:ind w:left="720" w:hanging="180"/>
      </w:pPr>
      <w:rPr>
        <w:rFonts w:ascii="Symbol" w:hAnsi="Symbol" w:hint="default"/>
      </w:rPr>
    </w:lvl>
    <w:lvl w:ilvl="1" w:tplc="E9F01B42">
      <w:numFmt w:val="decimal"/>
      <w:lvlText w:val=""/>
      <w:lvlJc w:val="left"/>
    </w:lvl>
    <w:lvl w:ilvl="2" w:tplc="36ACC66A">
      <w:numFmt w:val="decimal"/>
      <w:lvlText w:val=""/>
      <w:lvlJc w:val="left"/>
    </w:lvl>
    <w:lvl w:ilvl="3" w:tplc="5680D128">
      <w:numFmt w:val="decimal"/>
      <w:lvlText w:val=""/>
      <w:lvlJc w:val="left"/>
    </w:lvl>
    <w:lvl w:ilvl="4" w:tplc="84669E1C">
      <w:numFmt w:val="decimal"/>
      <w:lvlText w:val=""/>
      <w:lvlJc w:val="left"/>
    </w:lvl>
    <w:lvl w:ilvl="5" w:tplc="23B89674">
      <w:numFmt w:val="decimal"/>
      <w:lvlText w:val=""/>
      <w:lvlJc w:val="left"/>
    </w:lvl>
    <w:lvl w:ilvl="6" w:tplc="6E228AE4">
      <w:numFmt w:val="decimal"/>
      <w:lvlText w:val=""/>
      <w:lvlJc w:val="left"/>
    </w:lvl>
    <w:lvl w:ilvl="7" w:tplc="AF7E2A58">
      <w:numFmt w:val="decimal"/>
      <w:lvlText w:val=""/>
      <w:lvlJc w:val="left"/>
    </w:lvl>
    <w:lvl w:ilvl="8" w:tplc="C8248A46">
      <w:numFmt w:val="decimal"/>
      <w:lvlText w:val=""/>
      <w:lvlJc w:val="left"/>
    </w:lvl>
  </w:abstractNum>
  <w:abstractNum w:abstractNumId="946" w15:restartNumberingAfterBreak="0">
    <w:nsid w:val="63AE5840"/>
    <w:multiLevelType w:val="hybridMultilevel"/>
    <w:tmpl w:val="9478431E"/>
    <w:lvl w:ilvl="0" w:tplc="44585234">
      <w:start w:val="1"/>
      <w:numFmt w:val="bullet"/>
      <w:lvlText w:val=""/>
      <w:lvlJc w:val="left"/>
      <w:pPr>
        <w:ind w:left="720" w:hanging="180"/>
      </w:pPr>
      <w:rPr>
        <w:rFonts w:ascii="Symbol" w:hAnsi="Symbol" w:hint="default"/>
      </w:rPr>
    </w:lvl>
    <w:lvl w:ilvl="1" w:tplc="1F24ED06">
      <w:numFmt w:val="decimal"/>
      <w:lvlText w:val=""/>
      <w:lvlJc w:val="left"/>
    </w:lvl>
    <w:lvl w:ilvl="2" w:tplc="7ECCE022">
      <w:numFmt w:val="decimal"/>
      <w:lvlText w:val=""/>
      <w:lvlJc w:val="left"/>
    </w:lvl>
    <w:lvl w:ilvl="3" w:tplc="109EE2E2">
      <w:numFmt w:val="decimal"/>
      <w:lvlText w:val=""/>
      <w:lvlJc w:val="left"/>
    </w:lvl>
    <w:lvl w:ilvl="4" w:tplc="7E16A0A2">
      <w:numFmt w:val="decimal"/>
      <w:lvlText w:val=""/>
      <w:lvlJc w:val="left"/>
    </w:lvl>
    <w:lvl w:ilvl="5" w:tplc="0BC600DE">
      <w:numFmt w:val="decimal"/>
      <w:lvlText w:val=""/>
      <w:lvlJc w:val="left"/>
    </w:lvl>
    <w:lvl w:ilvl="6" w:tplc="9014F4C2">
      <w:numFmt w:val="decimal"/>
      <w:lvlText w:val=""/>
      <w:lvlJc w:val="left"/>
    </w:lvl>
    <w:lvl w:ilvl="7" w:tplc="60C872AA">
      <w:numFmt w:val="decimal"/>
      <w:lvlText w:val=""/>
      <w:lvlJc w:val="left"/>
    </w:lvl>
    <w:lvl w:ilvl="8" w:tplc="5FC68C4E">
      <w:numFmt w:val="decimal"/>
      <w:lvlText w:val=""/>
      <w:lvlJc w:val="left"/>
    </w:lvl>
  </w:abstractNum>
  <w:abstractNum w:abstractNumId="947" w15:restartNumberingAfterBreak="0">
    <w:nsid w:val="63B73CB7"/>
    <w:multiLevelType w:val="hybridMultilevel"/>
    <w:tmpl w:val="FC16A420"/>
    <w:lvl w:ilvl="0" w:tplc="CDC81804">
      <w:start w:val="1"/>
      <w:numFmt w:val="bullet"/>
      <w:lvlText w:val=""/>
      <w:lvlJc w:val="left"/>
      <w:pPr>
        <w:ind w:left="720" w:hanging="180"/>
      </w:pPr>
      <w:rPr>
        <w:rFonts w:ascii="Symbol" w:hAnsi="Symbol" w:hint="default"/>
      </w:rPr>
    </w:lvl>
    <w:lvl w:ilvl="1" w:tplc="D9B815D6">
      <w:numFmt w:val="decimal"/>
      <w:lvlText w:val=""/>
      <w:lvlJc w:val="left"/>
    </w:lvl>
    <w:lvl w:ilvl="2" w:tplc="0578138E">
      <w:numFmt w:val="decimal"/>
      <w:lvlText w:val=""/>
      <w:lvlJc w:val="left"/>
    </w:lvl>
    <w:lvl w:ilvl="3" w:tplc="995E22D4">
      <w:numFmt w:val="decimal"/>
      <w:lvlText w:val=""/>
      <w:lvlJc w:val="left"/>
    </w:lvl>
    <w:lvl w:ilvl="4" w:tplc="A8D0AC16">
      <w:numFmt w:val="decimal"/>
      <w:lvlText w:val=""/>
      <w:lvlJc w:val="left"/>
    </w:lvl>
    <w:lvl w:ilvl="5" w:tplc="56C2CFEC">
      <w:numFmt w:val="decimal"/>
      <w:lvlText w:val=""/>
      <w:lvlJc w:val="left"/>
    </w:lvl>
    <w:lvl w:ilvl="6" w:tplc="14DCA8C4">
      <w:numFmt w:val="decimal"/>
      <w:lvlText w:val=""/>
      <w:lvlJc w:val="left"/>
    </w:lvl>
    <w:lvl w:ilvl="7" w:tplc="E95612FC">
      <w:numFmt w:val="decimal"/>
      <w:lvlText w:val=""/>
      <w:lvlJc w:val="left"/>
    </w:lvl>
    <w:lvl w:ilvl="8" w:tplc="92CAC5DC">
      <w:numFmt w:val="decimal"/>
      <w:lvlText w:val=""/>
      <w:lvlJc w:val="left"/>
    </w:lvl>
  </w:abstractNum>
  <w:abstractNum w:abstractNumId="948" w15:restartNumberingAfterBreak="0">
    <w:nsid w:val="63CC5B7B"/>
    <w:multiLevelType w:val="hybridMultilevel"/>
    <w:tmpl w:val="A76A3014"/>
    <w:lvl w:ilvl="0" w:tplc="C79E7180">
      <w:start w:val="1"/>
      <w:numFmt w:val="bullet"/>
      <w:lvlText w:val=""/>
      <w:lvlJc w:val="left"/>
      <w:pPr>
        <w:ind w:left="720" w:hanging="180"/>
      </w:pPr>
      <w:rPr>
        <w:rFonts w:ascii="Symbol" w:hAnsi="Symbol" w:hint="default"/>
      </w:rPr>
    </w:lvl>
    <w:lvl w:ilvl="1" w:tplc="A89E2438">
      <w:numFmt w:val="decimal"/>
      <w:lvlText w:val=""/>
      <w:lvlJc w:val="left"/>
    </w:lvl>
    <w:lvl w:ilvl="2" w:tplc="FB6033DA">
      <w:numFmt w:val="decimal"/>
      <w:lvlText w:val=""/>
      <w:lvlJc w:val="left"/>
    </w:lvl>
    <w:lvl w:ilvl="3" w:tplc="C338C008">
      <w:numFmt w:val="decimal"/>
      <w:lvlText w:val=""/>
      <w:lvlJc w:val="left"/>
    </w:lvl>
    <w:lvl w:ilvl="4" w:tplc="85F20D02">
      <w:numFmt w:val="decimal"/>
      <w:lvlText w:val=""/>
      <w:lvlJc w:val="left"/>
    </w:lvl>
    <w:lvl w:ilvl="5" w:tplc="83C83024">
      <w:numFmt w:val="decimal"/>
      <w:lvlText w:val=""/>
      <w:lvlJc w:val="left"/>
    </w:lvl>
    <w:lvl w:ilvl="6" w:tplc="48C4080A">
      <w:numFmt w:val="decimal"/>
      <w:lvlText w:val=""/>
      <w:lvlJc w:val="left"/>
    </w:lvl>
    <w:lvl w:ilvl="7" w:tplc="D068A6CE">
      <w:numFmt w:val="decimal"/>
      <w:lvlText w:val=""/>
      <w:lvlJc w:val="left"/>
    </w:lvl>
    <w:lvl w:ilvl="8" w:tplc="DF58E732">
      <w:numFmt w:val="decimal"/>
      <w:lvlText w:val=""/>
      <w:lvlJc w:val="left"/>
    </w:lvl>
  </w:abstractNum>
  <w:abstractNum w:abstractNumId="949" w15:restartNumberingAfterBreak="0">
    <w:nsid w:val="63E475CA"/>
    <w:multiLevelType w:val="hybridMultilevel"/>
    <w:tmpl w:val="29E6CDAC"/>
    <w:lvl w:ilvl="0" w:tplc="C11C0B28">
      <w:start w:val="1"/>
      <w:numFmt w:val="bullet"/>
      <w:lvlText w:val=""/>
      <w:lvlJc w:val="left"/>
      <w:pPr>
        <w:ind w:left="720" w:hanging="180"/>
      </w:pPr>
      <w:rPr>
        <w:rFonts w:ascii="Symbol" w:hAnsi="Symbol" w:hint="default"/>
      </w:rPr>
    </w:lvl>
    <w:lvl w:ilvl="1" w:tplc="829893BE">
      <w:numFmt w:val="decimal"/>
      <w:lvlText w:val=""/>
      <w:lvlJc w:val="left"/>
    </w:lvl>
    <w:lvl w:ilvl="2" w:tplc="77DCD3A0">
      <w:numFmt w:val="decimal"/>
      <w:lvlText w:val=""/>
      <w:lvlJc w:val="left"/>
    </w:lvl>
    <w:lvl w:ilvl="3" w:tplc="2E8E68CA">
      <w:numFmt w:val="decimal"/>
      <w:lvlText w:val=""/>
      <w:lvlJc w:val="left"/>
    </w:lvl>
    <w:lvl w:ilvl="4" w:tplc="9938835E">
      <w:numFmt w:val="decimal"/>
      <w:lvlText w:val=""/>
      <w:lvlJc w:val="left"/>
    </w:lvl>
    <w:lvl w:ilvl="5" w:tplc="453EB944">
      <w:numFmt w:val="decimal"/>
      <w:lvlText w:val=""/>
      <w:lvlJc w:val="left"/>
    </w:lvl>
    <w:lvl w:ilvl="6" w:tplc="E3AAB0A4">
      <w:numFmt w:val="decimal"/>
      <w:lvlText w:val=""/>
      <w:lvlJc w:val="left"/>
    </w:lvl>
    <w:lvl w:ilvl="7" w:tplc="014AD7EC">
      <w:numFmt w:val="decimal"/>
      <w:lvlText w:val=""/>
      <w:lvlJc w:val="left"/>
    </w:lvl>
    <w:lvl w:ilvl="8" w:tplc="F086F9F2">
      <w:numFmt w:val="decimal"/>
      <w:lvlText w:val=""/>
      <w:lvlJc w:val="left"/>
    </w:lvl>
  </w:abstractNum>
  <w:abstractNum w:abstractNumId="950" w15:restartNumberingAfterBreak="0">
    <w:nsid w:val="63FD23C8"/>
    <w:multiLevelType w:val="hybridMultilevel"/>
    <w:tmpl w:val="CB12065A"/>
    <w:lvl w:ilvl="0" w:tplc="E83028C6">
      <w:start w:val="1"/>
      <w:numFmt w:val="bullet"/>
      <w:lvlText w:val=""/>
      <w:lvlJc w:val="left"/>
      <w:pPr>
        <w:ind w:left="720" w:hanging="180"/>
      </w:pPr>
      <w:rPr>
        <w:rFonts w:ascii="Symbol" w:hAnsi="Symbol" w:hint="default"/>
      </w:rPr>
    </w:lvl>
    <w:lvl w:ilvl="1" w:tplc="979A62FE">
      <w:numFmt w:val="decimal"/>
      <w:lvlText w:val=""/>
      <w:lvlJc w:val="left"/>
    </w:lvl>
    <w:lvl w:ilvl="2" w:tplc="3F668366">
      <w:numFmt w:val="decimal"/>
      <w:lvlText w:val=""/>
      <w:lvlJc w:val="left"/>
    </w:lvl>
    <w:lvl w:ilvl="3" w:tplc="6950923E">
      <w:numFmt w:val="decimal"/>
      <w:lvlText w:val=""/>
      <w:lvlJc w:val="left"/>
    </w:lvl>
    <w:lvl w:ilvl="4" w:tplc="DC1A82BA">
      <w:numFmt w:val="decimal"/>
      <w:lvlText w:val=""/>
      <w:lvlJc w:val="left"/>
    </w:lvl>
    <w:lvl w:ilvl="5" w:tplc="BDE2093A">
      <w:numFmt w:val="decimal"/>
      <w:lvlText w:val=""/>
      <w:lvlJc w:val="left"/>
    </w:lvl>
    <w:lvl w:ilvl="6" w:tplc="68864A00">
      <w:numFmt w:val="decimal"/>
      <w:lvlText w:val=""/>
      <w:lvlJc w:val="left"/>
    </w:lvl>
    <w:lvl w:ilvl="7" w:tplc="2FA40C82">
      <w:numFmt w:val="decimal"/>
      <w:lvlText w:val=""/>
      <w:lvlJc w:val="left"/>
    </w:lvl>
    <w:lvl w:ilvl="8" w:tplc="16005A6A">
      <w:numFmt w:val="decimal"/>
      <w:lvlText w:val=""/>
      <w:lvlJc w:val="left"/>
    </w:lvl>
  </w:abstractNum>
  <w:abstractNum w:abstractNumId="951" w15:restartNumberingAfterBreak="0">
    <w:nsid w:val="6403166A"/>
    <w:multiLevelType w:val="hybridMultilevel"/>
    <w:tmpl w:val="249CBE0C"/>
    <w:lvl w:ilvl="0" w:tplc="8B862A5E">
      <w:start w:val="1"/>
      <w:numFmt w:val="bullet"/>
      <w:lvlText w:val=""/>
      <w:lvlJc w:val="left"/>
      <w:pPr>
        <w:ind w:left="720" w:hanging="180"/>
      </w:pPr>
      <w:rPr>
        <w:rFonts w:ascii="Symbol" w:hAnsi="Symbol" w:hint="default"/>
      </w:rPr>
    </w:lvl>
    <w:lvl w:ilvl="1" w:tplc="D2BAA9E0">
      <w:numFmt w:val="decimal"/>
      <w:lvlText w:val=""/>
      <w:lvlJc w:val="left"/>
    </w:lvl>
    <w:lvl w:ilvl="2" w:tplc="807232BA">
      <w:numFmt w:val="decimal"/>
      <w:lvlText w:val=""/>
      <w:lvlJc w:val="left"/>
    </w:lvl>
    <w:lvl w:ilvl="3" w:tplc="695C4532">
      <w:numFmt w:val="decimal"/>
      <w:lvlText w:val=""/>
      <w:lvlJc w:val="left"/>
    </w:lvl>
    <w:lvl w:ilvl="4" w:tplc="0F7094D6">
      <w:numFmt w:val="decimal"/>
      <w:lvlText w:val=""/>
      <w:lvlJc w:val="left"/>
    </w:lvl>
    <w:lvl w:ilvl="5" w:tplc="56A2E092">
      <w:numFmt w:val="decimal"/>
      <w:lvlText w:val=""/>
      <w:lvlJc w:val="left"/>
    </w:lvl>
    <w:lvl w:ilvl="6" w:tplc="DBE47A50">
      <w:numFmt w:val="decimal"/>
      <w:lvlText w:val=""/>
      <w:lvlJc w:val="left"/>
    </w:lvl>
    <w:lvl w:ilvl="7" w:tplc="EA00AE38">
      <w:numFmt w:val="decimal"/>
      <w:lvlText w:val=""/>
      <w:lvlJc w:val="left"/>
    </w:lvl>
    <w:lvl w:ilvl="8" w:tplc="0C9AE44A">
      <w:numFmt w:val="decimal"/>
      <w:lvlText w:val=""/>
      <w:lvlJc w:val="left"/>
    </w:lvl>
  </w:abstractNum>
  <w:abstractNum w:abstractNumId="952" w15:restartNumberingAfterBreak="0">
    <w:nsid w:val="64165CD9"/>
    <w:multiLevelType w:val="hybridMultilevel"/>
    <w:tmpl w:val="92EAC0A6"/>
    <w:lvl w:ilvl="0" w:tplc="5BDA260E">
      <w:start w:val="1"/>
      <w:numFmt w:val="bullet"/>
      <w:lvlText w:val=""/>
      <w:lvlJc w:val="left"/>
      <w:pPr>
        <w:ind w:left="720" w:hanging="180"/>
      </w:pPr>
      <w:rPr>
        <w:rFonts w:ascii="Symbol" w:hAnsi="Symbol" w:hint="default"/>
      </w:rPr>
    </w:lvl>
    <w:lvl w:ilvl="1" w:tplc="6456D21A">
      <w:numFmt w:val="decimal"/>
      <w:lvlText w:val=""/>
      <w:lvlJc w:val="left"/>
    </w:lvl>
    <w:lvl w:ilvl="2" w:tplc="E87C69E4">
      <w:numFmt w:val="decimal"/>
      <w:lvlText w:val=""/>
      <w:lvlJc w:val="left"/>
    </w:lvl>
    <w:lvl w:ilvl="3" w:tplc="BDEED66E">
      <w:numFmt w:val="decimal"/>
      <w:lvlText w:val=""/>
      <w:lvlJc w:val="left"/>
    </w:lvl>
    <w:lvl w:ilvl="4" w:tplc="DF3C9094">
      <w:numFmt w:val="decimal"/>
      <w:lvlText w:val=""/>
      <w:lvlJc w:val="left"/>
    </w:lvl>
    <w:lvl w:ilvl="5" w:tplc="FB64B246">
      <w:numFmt w:val="decimal"/>
      <w:lvlText w:val=""/>
      <w:lvlJc w:val="left"/>
    </w:lvl>
    <w:lvl w:ilvl="6" w:tplc="D4FA0D14">
      <w:numFmt w:val="decimal"/>
      <w:lvlText w:val=""/>
      <w:lvlJc w:val="left"/>
    </w:lvl>
    <w:lvl w:ilvl="7" w:tplc="2B8884D8">
      <w:numFmt w:val="decimal"/>
      <w:lvlText w:val=""/>
      <w:lvlJc w:val="left"/>
    </w:lvl>
    <w:lvl w:ilvl="8" w:tplc="C4A8EA10">
      <w:numFmt w:val="decimal"/>
      <w:lvlText w:val=""/>
      <w:lvlJc w:val="left"/>
    </w:lvl>
  </w:abstractNum>
  <w:abstractNum w:abstractNumId="953" w15:restartNumberingAfterBreak="0">
    <w:nsid w:val="641D66F4"/>
    <w:multiLevelType w:val="hybridMultilevel"/>
    <w:tmpl w:val="F9B43252"/>
    <w:lvl w:ilvl="0" w:tplc="F75AFFAC">
      <w:start w:val="1"/>
      <w:numFmt w:val="bullet"/>
      <w:lvlText w:val=""/>
      <w:lvlJc w:val="left"/>
      <w:pPr>
        <w:ind w:left="720" w:hanging="180"/>
      </w:pPr>
      <w:rPr>
        <w:rFonts w:ascii="Symbol" w:hAnsi="Symbol" w:hint="default"/>
      </w:rPr>
    </w:lvl>
    <w:lvl w:ilvl="1" w:tplc="063699FE">
      <w:numFmt w:val="decimal"/>
      <w:lvlText w:val=""/>
      <w:lvlJc w:val="left"/>
    </w:lvl>
    <w:lvl w:ilvl="2" w:tplc="3BDA86D0">
      <w:numFmt w:val="decimal"/>
      <w:lvlText w:val=""/>
      <w:lvlJc w:val="left"/>
    </w:lvl>
    <w:lvl w:ilvl="3" w:tplc="72409924">
      <w:numFmt w:val="decimal"/>
      <w:lvlText w:val=""/>
      <w:lvlJc w:val="left"/>
    </w:lvl>
    <w:lvl w:ilvl="4" w:tplc="82E2A220">
      <w:numFmt w:val="decimal"/>
      <w:lvlText w:val=""/>
      <w:lvlJc w:val="left"/>
    </w:lvl>
    <w:lvl w:ilvl="5" w:tplc="2F3C6AC4">
      <w:numFmt w:val="decimal"/>
      <w:lvlText w:val=""/>
      <w:lvlJc w:val="left"/>
    </w:lvl>
    <w:lvl w:ilvl="6" w:tplc="6EEA7488">
      <w:numFmt w:val="decimal"/>
      <w:lvlText w:val=""/>
      <w:lvlJc w:val="left"/>
    </w:lvl>
    <w:lvl w:ilvl="7" w:tplc="1F964248">
      <w:numFmt w:val="decimal"/>
      <w:lvlText w:val=""/>
      <w:lvlJc w:val="left"/>
    </w:lvl>
    <w:lvl w:ilvl="8" w:tplc="3AE8373E">
      <w:numFmt w:val="decimal"/>
      <w:lvlText w:val=""/>
      <w:lvlJc w:val="left"/>
    </w:lvl>
  </w:abstractNum>
  <w:abstractNum w:abstractNumId="954" w15:restartNumberingAfterBreak="0">
    <w:nsid w:val="64380D42"/>
    <w:multiLevelType w:val="hybridMultilevel"/>
    <w:tmpl w:val="8EBE7C42"/>
    <w:lvl w:ilvl="0" w:tplc="88E2B8E6">
      <w:start w:val="1"/>
      <w:numFmt w:val="bullet"/>
      <w:lvlText w:val=""/>
      <w:lvlJc w:val="left"/>
      <w:pPr>
        <w:ind w:left="720" w:hanging="180"/>
      </w:pPr>
      <w:rPr>
        <w:rFonts w:ascii="Symbol" w:hAnsi="Symbol" w:hint="default"/>
      </w:rPr>
    </w:lvl>
    <w:lvl w:ilvl="1" w:tplc="CF464286">
      <w:numFmt w:val="decimal"/>
      <w:lvlText w:val=""/>
      <w:lvlJc w:val="left"/>
    </w:lvl>
    <w:lvl w:ilvl="2" w:tplc="73ECB778">
      <w:numFmt w:val="decimal"/>
      <w:lvlText w:val=""/>
      <w:lvlJc w:val="left"/>
    </w:lvl>
    <w:lvl w:ilvl="3" w:tplc="E618B880">
      <w:numFmt w:val="decimal"/>
      <w:lvlText w:val=""/>
      <w:lvlJc w:val="left"/>
    </w:lvl>
    <w:lvl w:ilvl="4" w:tplc="9F646F14">
      <w:numFmt w:val="decimal"/>
      <w:lvlText w:val=""/>
      <w:lvlJc w:val="left"/>
    </w:lvl>
    <w:lvl w:ilvl="5" w:tplc="CE984166">
      <w:numFmt w:val="decimal"/>
      <w:lvlText w:val=""/>
      <w:lvlJc w:val="left"/>
    </w:lvl>
    <w:lvl w:ilvl="6" w:tplc="75802ECA">
      <w:numFmt w:val="decimal"/>
      <w:lvlText w:val=""/>
      <w:lvlJc w:val="left"/>
    </w:lvl>
    <w:lvl w:ilvl="7" w:tplc="43707910">
      <w:numFmt w:val="decimal"/>
      <w:lvlText w:val=""/>
      <w:lvlJc w:val="left"/>
    </w:lvl>
    <w:lvl w:ilvl="8" w:tplc="DC40136E">
      <w:numFmt w:val="decimal"/>
      <w:lvlText w:val=""/>
      <w:lvlJc w:val="left"/>
    </w:lvl>
  </w:abstractNum>
  <w:abstractNum w:abstractNumId="955" w15:restartNumberingAfterBreak="0">
    <w:nsid w:val="64851DF3"/>
    <w:multiLevelType w:val="hybridMultilevel"/>
    <w:tmpl w:val="53F69972"/>
    <w:lvl w:ilvl="0" w:tplc="55EC9EC4">
      <w:start w:val="1"/>
      <w:numFmt w:val="bullet"/>
      <w:lvlText w:val=""/>
      <w:lvlJc w:val="left"/>
      <w:pPr>
        <w:ind w:left="720" w:hanging="180"/>
      </w:pPr>
      <w:rPr>
        <w:rFonts w:ascii="Symbol" w:hAnsi="Symbol" w:hint="default"/>
      </w:rPr>
    </w:lvl>
    <w:lvl w:ilvl="1" w:tplc="71369798">
      <w:numFmt w:val="decimal"/>
      <w:lvlText w:val=""/>
      <w:lvlJc w:val="left"/>
    </w:lvl>
    <w:lvl w:ilvl="2" w:tplc="437ECE7E">
      <w:numFmt w:val="decimal"/>
      <w:lvlText w:val=""/>
      <w:lvlJc w:val="left"/>
    </w:lvl>
    <w:lvl w:ilvl="3" w:tplc="31A01A8A">
      <w:numFmt w:val="decimal"/>
      <w:lvlText w:val=""/>
      <w:lvlJc w:val="left"/>
    </w:lvl>
    <w:lvl w:ilvl="4" w:tplc="7C5C70D8">
      <w:numFmt w:val="decimal"/>
      <w:lvlText w:val=""/>
      <w:lvlJc w:val="left"/>
    </w:lvl>
    <w:lvl w:ilvl="5" w:tplc="72B40444">
      <w:numFmt w:val="decimal"/>
      <w:lvlText w:val=""/>
      <w:lvlJc w:val="left"/>
    </w:lvl>
    <w:lvl w:ilvl="6" w:tplc="E1366DBC">
      <w:numFmt w:val="decimal"/>
      <w:lvlText w:val=""/>
      <w:lvlJc w:val="left"/>
    </w:lvl>
    <w:lvl w:ilvl="7" w:tplc="30A81F14">
      <w:numFmt w:val="decimal"/>
      <w:lvlText w:val=""/>
      <w:lvlJc w:val="left"/>
    </w:lvl>
    <w:lvl w:ilvl="8" w:tplc="B54CCB3A">
      <w:numFmt w:val="decimal"/>
      <w:lvlText w:val=""/>
      <w:lvlJc w:val="left"/>
    </w:lvl>
  </w:abstractNum>
  <w:abstractNum w:abstractNumId="956" w15:restartNumberingAfterBreak="0">
    <w:nsid w:val="649F68FF"/>
    <w:multiLevelType w:val="hybridMultilevel"/>
    <w:tmpl w:val="9424A894"/>
    <w:lvl w:ilvl="0" w:tplc="BB2ABB62">
      <w:start w:val="1"/>
      <w:numFmt w:val="bullet"/>
      <w:lvlText w:val=""/>
      <w:lvlJc w:val="left"/>
      <w:pPr>
        <w:ind w:left="720" w:hanging="180"/>
      </w:pPr>
      <w:rPr>
        <w:rFonts w:ascii="Symbol" w:hAnsi="Symbol" w:hint="default"/>
      </w:rPr>
    </w:lvl>
    <w:lvl w:ilvl="1" w:tplc="26FE4686">
      <w:numFmt w:val="decimal"/>
      <w:lvlText w:val=""/>
      <w:lvlJc w:val="left"/>
    </w:lvl>
    <w:lvl w:ilvl="2" w:tplc="D1CAC93E">
      <w:numFmt w:val="decimal"/>
      <w:lvlText w:val=""/>
      <w:lvlJc w:val="left"/>
    </w:lvl>
    <w:lvl w:ilvl="3" w:tplc="D444DF28">
      <w:numFmt w:val="decimal"/>
      <w:lvlText w:val=""/>
      <w:lvlJc w:val="left"/>
    </w:lvl>
    <w:lvl w:ilvl="4" w:tplc="A13CF32C">
      <w:numFmt w:val="decimal"/>
      <w:lvlText w:val=""/>
      <w:lvlJc w:val="left"/>
    </w:lvl>
    <w:lvl w:ilvl="5" w:tplc="A282F010">
      <w:numFmt w:val="decimal"/>
      <w:lvlText w:val=""/>
      <w:lvlJc w:val="left"/>
    </w:lvl>
    <w:lvl w:ilvl="6" w:tplc="3F60CB22">
      <w:numFmt w:val="decimal"/>
      <w:lvlText w:val=""/>
      <w:lvlJc w:val="left"/>
    </w:lvl>
    <w:lvl w:ilvl="7" w:tplc="5818F89E">
      <w:numFmt w:val="decimal"/>
      <w:lvlText w:val=""/>
      <w:lvlJc w:val="left"/>
    </w:lvl>
    <w:lvl w:ilvl="8" w:tplc="6B60B956">
      <w:numFmt w:val="decimal"/>
      <w:lvlText w:val=""/>
      <w:lvlJc w:val="left"/>
    </w:lvl>
  </w:abstractNum>
  <w:abstractNum w:abstractNumId="957" w15:restartNumberingAfterBreak="0">
    <w:nsid w:val="64B419B6"/>
    <w:multiLevelType w:val="hybridMultilevel"/>
    <w:tmpl w:val="22B6FF50"/>
    <w:lvl w:ilvl="0" w:tplc="23B8CD42">
      <w:start w:val="1"/>
      <w:numFmt w:val="bullet"/>
      <w:lvlText w:val=""/>
      <w:lvlJc w:val="left"/>
      <w:pPr>
        <w:ind w:left="720" w:hanging="180"/>
      </w:pPr>
      <w:rPr>
        <w:rFonts w:ascii="Symbol" w:hAnsi="Symbol" w:hint="default"/>
      </w:rPr>
    </w:lvl>
    <w:lvl w:ilvl="1" w:tplc="D988BF3A">
      <w:numFmt w:val="decimal"/>
      <w:lvlText w:val=""/>
      <w:lvlJc w:val="left"/>
    </w:lvl>
    <w:lvl w:ilvl="2" w:tplc="8B7A280C">
      <w:numFmt w:val="decimal"/>
      <w:lvlText w:val=""/>
      <w:lvlJc w:val="left"/>
    </w:lvl>
    <w:lvl w:ilvl="3" w:tplc="C8866A8C">
      <w:numFmt w:val="decimal"/>
      <w:lvlText w:val=""/>
      <w:lvlJc w:val="left"/>
    </w:lvl>
    <w:lvl w:ilvl="4" w:tplc="084219EC">
      <w:numFmt w:val="decimal"/>
      <w:lvlText w:val=""/>
      <w:lvlJc w:val="left"/>
    </w:lvl>
    <w:lvl w:ilvl="5" w:tplc="EE9C6756">
      <w:numFmt w:val="decimal"/>
      <w:lvlText w:val=""/>
      <w:lvlJc w:val="left"/>
    </w:lvl>
    <w:lvl w:ilvl="6" w:tplc="BAEA3AC6">
      <w:numFmt w:val="decimal"/>
      <w:lvlText w:val=""/>
      <w:lvlJc w:val="left"/>
    </w:lvl>
    <w:lvl w:ilvl="7" w:tplc="345C1356">
      <w:numFmt w:val="decimal"/>
      <w:lvlText w:val=""/>
      <w:lvlJc w:val="left"/>
    </w:lvl>
    <w:lvl w:ilvl="8" w:tplc="4898607A">
      <w:numFmt w:val="decimal"/>
      <w:lvlText w:val=""/>
      <w:lvlJc w:val="left"/>
    </w:lvl>
  </w:abstractNum>
  <w:abstractNum w:abstractNumId="958" w15:restartNumberingAfterBreak="0">
    <w:nsid w:val="650123A5"/>
    <w:multiLevelType w:val="hybridMultilevel"/>
    <w:tmpl w:val="4D0E877A"/>
    <w:lvl w:ilvl="0" w:tplc="C32E36E4">
      <w:start w:val="1"/>
      <w:numFmt w:val="bullet"/>
      <w:lvlText w:val=""/>
      <w:lvlJc w:val="left"/>
      <w:pPr>
        <w:ind w:left="720" w:hanging="180"/>
      </w:pPr>
      <w:rPr>
        <w:rFonts w:ascii="Symbol" w:hAnsi="Symbol" w:hint="default"/>
      </w:rPr>
    </w:lvl>
    <w:lvl w:ilvl="1" w:tplc="3A6CA91E">
      <w:numFmt w:val="decimal"/>
      <w:lvlText w:val=""/>
      <w:lvlJc w:val="left"/>
    </w:lvl>
    <w:lvl w:ilvl="2" w:tplc="5680CF74">
      <w:numFmt w:val="decimal"/>
      <w:lvlText w:val=""/>
      <w:lvlJc w:val="left"/>
    </w:lvl>
    <w:lvl w:ilvl="3" w:tplc="17A810F6">
      <w:numFmt w:val="decimal"/>
      <w:lvlText w:val=""/>
      <w:lvlJc w:val="left"/>
    </w:lvl>
    <w:lvl w:ilvl="4" w:tplc="3334BD10">
      <w:numFmt w:val="decimal"/>
      <w:lvlText w:val=""/>
      <w:lvlJc w:val="left"/>
    </w:lvl>
    <w:lvl w:ilvl="5" w:tplc="8AC89BEE">
      <w:numFmt w:val="decimal"/>
      <w:lvlText w:val=""/>
      <w:lvlJc w:val="left"/>
    </w:lvl>
    <w:lvl w:ilvl="6" w:tplc="839EA63A">
      <w:numFmt w:val="decimal"/>
      <w:lvlText w:val=""/>
      <w:lvlJc w:val="left"/>
    </w:lvl>
    <w:lvl w:ilvl="7" w:tplc="8D0CA430">
      <w:numFmt w:val="decimal"/>
      <w:lvlText w:val=""/>
      <w:lvlJc w:val="left"/>
    </w:lvl>
    <w:lvl w:ilvl="8" w:tplc="6F80FD90">
      <w:numFmt w:val="decimal"/>
      <w:lvlText w:val=""/>
      <w:lvlJc w:val="left"/>
    </w:lvl>
  </w:abstractNum>
  <w:abstractNum w:abstractNumId="959" w15:restartNumberingAfterBreak="0">
    <w:nsid w:val="65140C7A"/>
    <w:multiLevelType w:val="hybridMultilevel"/>
    <w:tmpl w:val="9E3A8C96"/>
    <w:lvl w:ilvl="0" w:tplc="F0546D06">
      <w:start w:val="1"/>
      <w:numFmt w:val="bullet"/>
      <w:lvlText w:val=""/>
      <w:lvlJc w:val="left"/>
      <w:pPr>
        <w:ind w:left="720" w:hanging="180"/>
      </w:pPr>
      <w:rPr>
        <w:rFonts w:ascii="Symbol" w:hAnsi="Symbol" w:hint="default"/>
      </w:rPr>
    </w:lvl>
    <w:lvl w:ilvl="1" w:tplc="E75EB334">
      <w:numFmt w:val="decimal"/>
      <w:lvlText w:val=""/>
      <w:lvlJc w:val="left"/>
    </w:lvl>
    <w:lvl w:ilvl="2" w:tplc="3F1C79C8">
      <w:numFmt w:val="decimal"/>
      <w:lvlText w:val=""/>
      <w:lvlJc w:val="left"/>
    </w:lvl>
    <w:lvl w:ilvl="3" w:tplc="5720FB3E">
      <w:numFmt w:val="decimal"/>
      <w:lvlText w:val=""/>
      <w:lvlJc w:val="left"/>
    </w:lvl>
    <w:lvl w:ilvl="4" w:tplc="3B0CABC6">
      <w:numFmt w:val="decimal"/>
      <w:lvlText w:val=""/>
      <w:lvlJc w:val="left"/>
    </w:lvl>
    <w:lvl w:ilvl="5" w:tplc="35E282D6">
      <w:numFmt w:val="decimal"/>
      <w:lvlText w:val=""/>
      <w:lvlJc w:val="left"/>
    </w:lvl>
    <w:lvl w:ilvl="6" w:tplc="C346F244">
      <w:numFmt w:val="decimal"/>
      <w:lvlText w:val=""/>
      <w:lvlJc w:val="left"/>
    </w:lvl>
    <w:lvl w:ilvl="7" w:tplc="BF8A88E6">
      <w:numFmt w:val="decimal"/>
      <w:lvlText w:val=""/>
      <w:lvlJc w:val="left"/>
    </w:lvl>
    <w:lvl w:ilvl="8" w:tplc="62A6F4B2">
      <w:numFmt w:val="decimal"/>
      <w:lvlText w:val=""/>
      <w:lvlJc w:val="left"/>
    </w:lvl>
  </w:abstractNum>
  <w:abstractNum w:abstractNumId="960" w15:restartNumberingAfterBreak="0">
    <w:nsid w:val="65140E83"/>
    <w:multiLevelType w:val="hybridMultilevel"/>
    <w:tmpl w:val="E9C603BE"/>
    <w:lvl w:ilvl="0" w:tplc="D9CCE88A">
      <w:start w:val="1"/>
      <w:numFmt w:val="bullet"/>
      <w:lvlText w:val=""/>
      <w:lvlJc w:val="left"/>
      <w:pPr>
        <w:ind w:left="720" w:hanging="180"/>
      </w:pPr>
      <w:rPr>
        <w:rFonts w:ascii="Symbol" w:hAnsi="Symbol" w:hint="default"/>
      </w:rPr>
    </w:lvl>
    <w:lvl w:ilvl="1" w:tplc="BB147648">
      <w:numFmt w:val="decimal"/>
      <w:lvlText w:val=""/>
      <w:lvlJc w:val="left"/>
    </w:lvl>
    <w:lvl w:ilvl="2" w:tplc="24FE90E6">
      <w:numFmt w:val="decimal"/>
      <w:lvlText w:val=""/>
      <w:lvlJc w:val="left"/>
    </w:lvl>
    <w:lvl w:ilvl="3" w:tplc="2BAA6A36">
      <w:numFmt w:val="decimal"/>
      <w:lvlText w:val=""/>
      <w:lvlJc w:val="left"/>
    </w:lvl>
    <w:lvl w:ilvl="4" w:tplc="08309344">
      <w:numFmt w:val="decimal"/>
      <w:lvlText w:val=""/>
      <w:lvlJc w:val="left"/>
    </w:lvl>
    <w:lvl w:ilvl="5" w:tplc="3E9656FE">
      <w:numFmt w:val="decimal"/>
      <w:lvlText w:val=""/>
      <w:lvlJc w:val="left"/>
    </w:lvl>
    <w:lvl w:ilvl="6" w:tplc="D434474E">
      <w:numFmt w:val="decimal"/>
      <w:lvlText w:val=""/>
      <w:lvlJc w:val="left"/>
    </w:lvl>
    <w:lvl w:ilvl="7" w:tplc="135299B8">
      <w:numFmt w:val="decimal"/>
      <w:lvlText w:val=""/>
      <w:lvlJc w:val="left"/>
    </w:lvl>
    <w:lvl w:ilvl="8" w:tplc="D89C9728">
      <w:numFmt w:val="decimal"/>
      <w:lvlText w:val=""/>
      <w:lvlJc w:val="left"/>
    </w:lvl>
  </w:abstractNum>
  <w:abstractNum w:abstractNumId="961" w15:restartNumberingAfterBreak="0">
    <w:nsid w:val="65466F2C"/>
    <w:multiLevelType w:val="hybridMultilevel"/>
    <w:tmpl w:val="54F0D554"/>
    <w:lvl w:ilvl="0" w:tplc="89389BBA">
      <w:start w:val="1"/>
      <w:numFmt w:val="bullet"/>
      <w:lvlText w:val=""/>
      <w:lvlJc w:val="left"/>
      <w:pPr>
        <w:ind w:left="720" w:hanging="180"/>
      </w:pPr>
      <w:rPr>
        <w:rFonts w:ascii="Symbol" w:hAnsi="Symbol" w:hint="default"/>
      </w:rPr>
    </w:lvl>
    <w:lvl w:ilvl="1" w:tplc="A4DADFDC">
      <w:numFmt w:val="decimal"/>
      <w:lvlText w:val=""/>
      <w:lvlJc w:val="left"/>
    </w:lvl>
    <w:lvl w:ilvl="2" w:tplc="BA447B2C">
      <w:numFmt w:val="decimal"/>
      <w:lvlText w:val=""/>
      <w:lvlJc w:val="left"/>
    </w:lvl>
    <w:lvl w:ilvl="3" w:tplc="A31631DA">
      <w:numFmt w:val="decimal"/>
      <w:lvlText w:val=""/>
      <w:lvlJc w:val="left"/>
    </w:lvl>
    <w:lvl w:ilvl="4" w:tplc="EA22DB16">
      <w:numFmt w:val="decimal"/>
      <w:lvlText w:val=""/>
      <w:lvlJc w:val="left"/>
    </w:lvl>
    <w:lvl w:ilvl="5" w:tplc="5B9617DA">
      <w:numFmt w:val="decimal"/>
      <w:lvlText w:val=""/>
      <w:lvlJc w:val="left"/>
    </w:lvl>
    <w:lvl w:ilvl="6" w:tplc="76C8449C">
      <w:numFmt w:val="decimal"/>
      <w:lvlText w:val=""/>
      <w:lvlJc w:val="left"/>
    </w:lvl>
    <w:lvl w:ilvl="7" w:tplc="A554188A">
      <w:numFmt w:val="decimal"/>
      <w:lvlText w:val=""/>
      <w:lvlJc w:val="left"/>
    </w:lvl>
    <w:lvl w:ilvl="8" w:tplc="E3A25D4C">
      <w:numFmt w:val="decimal"/>
      <w:lvlText w:val=""/>
      <w:lvlJc w:val="left"/>
    </w:lvl>
  </w:abstractNum>
  <w:abstractNum w:abstractNumId="962" w15:restartNumberingAfterBreak="0">
    <w:nsid w:val="656643F9"/>
    <w:multiLevelType w:val="hybridMultilevel"/>
    <w:tmpl w:val="C84ED9CA"/>
    <w:lvl w:ilvl="0" w:tplc="BD6C5FD6">
      <w:start w:val="1"/>
      <w:numFmt w:val="bullet"/>
      <w:lvlText w:val=""/>
      <w:lvlJc w:val="left"/>
      <w:pPr>
        <w:ind w:left="720" w:hanging="180"/>
      </w:pPr>
      <w:rPr>
        <w:rFonts w:ascii="Symbol" w:hAnsi="Symbol" w:hint="default"/>
      </w:rPr>
    </w:lvl>
    <w:lvl w:ilvl="1" w:tplc="04767E10">
      <w:numFmt w:val="decimal"/>
      <w:lvlText w:val=""/>
      <w:lvlJc w:val="left"/>
    </w:lvl>
    <w:lvl w:ilvl="2" w:tplc="A9DC03B0">
      <w:numFmt w:val="decimal"/>
      <w:lvlText w:val=""/>
      <w:lvlJc w:val="left"/>
    </w:lvl>
    <w:lvl w:ilvl="3" w:tplc="DB409F14">
      <w:numFmt w:val="decimal"/>
      <w:lvlText w:val=""/>
      <w:lvlJc w:val="left"/>
    </w:lvl>
    <w:lvl w:ilvl="4" w:tplc="3988A3A8">
      <w:numFmt w:val="decimal"/>
      <w:lvlText w:val=""/>
      <w:lvlJc w:val="left"/>
    </w:lvl>
    <w:lvl w:ilvl="5" w:tplc="03A65E3A">
      <w:numFmt w:val="decimal"/>
      <w:lvlText w:val=""/>
      <w:lvlJc w:val="left"/>
    </w:lvl>
    <w:lvl w:ilvl="6" w:tplc="6AE699E0">
      <w:numFmt w:val="decimal"/>
      <w:lvlText w:val=""/>
      <w:lvlJc w:val="left"/>
    </w:lvl>
    <w:lvl w:ilvl="7" w:tplc="C0007BB6">
      <w:numFmt w:val="decimal"/>
      <w:lvlText w:val=""/>
      <w:lvlJc w:val="left"/>
    </w:lvl>
    <w:lvl w:ilvl="8" w:tplc="66E4BF5E">
      <w:numFmt w:val="decimal"/>
      <w:lvlText w:val=""/>
      <w:lvlJc w:val="left"/>
    </w:lvl>
  </w:abstractNum>
  <w:abstractNum w:abstractNumId="963" w15:restartNumberingAfterBreak="0">
    <w:nsid w:val="65900634"/>
    <w:multiLevelType w:val="hybridMultilevel"/>
    <w:tmpl w:val="4C98EB6E"/>
    <w:lvl w:ilvl="0" w:tplc="5914B32E">
      <w:start w:val="1"/>
      <w:numFmt w:val="bullet"/>
      <w:lvlText w:val=""/>
      <w:lvlJc w:val="left"/>
      <w:pPr>
        <w:ind w:left="720" w:hanging="180"/>
      </w:pPr>
      <w:rPr>
        <w:rFonts w:ascii="Symbol" w:hAnsi="Symbol" w:hint="default"/>
      </w:rPr>
    </w:lvl>
    <w:lvl w:ilvl="1" w:tplc="62A01B2E">
      <w:numFmt w:val="decimal"/>
      <w:lvlText w:val=""/>
      <w:lvlJc w:val="left"/>
    </w:lvl>
    <w:lvl w:ilvl="2" w:tplc="3B1A9F50">
      <w:numFmt w:val="decimal"/>
      <w:lvlText w:val=""/>
      <w:lvlJc w:val="left"/>
    </w:lvl>
    <w:lvl w:ilvl="3" w:tplc="45E614DA">
      <w:numFmt w:val="decimal"/>
      <w:lvlText w:val=""/>
      <w:lvlJc w:val="left"/>
    </w:lvl>
    <w:lvl w:ilvl="4" w:tplc="61F20ACE">
      <w:numFmt w:val="decimal"/>
      <w:lvlText w:val=""/>
      <w:lvlJc w:val="left"/>
    </w:lvl>
    <w:lvl w:ilvl="5" w:tplc="C660F76A">
      <w:numFmt w:val="decimal"/>
      <w:lvlText w:val=""/>
      <w:lvlJc w:val="left"/>
    </w:lvl>
    <w:lvl w:ilvl="6" w:tplc="518E116E">
      <w:numFmt w:val="decimal"/>
      <w:lvlText w:val=""/>
      <w:lvlJc w:val="left"/>
    </w:lvl>
    <w:lvl w:ilvl="7" w:tplc="1FF20552">
      <w:numFmt w:val="decimal"/>
      <w:lvlText w:val=""/>
      <w:lvlJc w:val="left"/>
    </w:lvl>
    <w:lvl w:ilvl="8" w:tplc="61C8B082">
      <w:numFmt w:val="decimal"/>
      <w:lvlText w:val=""/>
      <w:lvlJc w:val="left"/>
    </w:lvl>
  </w:abstractNum>
  <w:abstractNum w:abstractNumId="964" w15:restartNumberingAfterBreak="0">
    <w:nsid w:val="659136B8"/>
    <w:multiLevelType w:val="hybridMultilevel"/>
    <w:tmpl w:val="DBE229A6"/>
    <w:lvl w:ilvl="0" w:tplc="3034AC36">
      <w:start w:val="1"/>
      <w:numFmt w:val="bullet"/>
      <w:lvlText w:val=""/>
      <w:lvlJc w:val="left"/>
      <w:pPr>
        <w:ind w:left="720" w:hanging="180"/>
      </w:pPr>
      <w:rPr>
        <w:rFonts w:ascii="Symbol" w:hAnsi="Symbol" w:hint="default"/>
      </w:rPr>
    </w:lvl>
    <w:lvl w:ilvl="1" w:tplc="3D1E3230">
      <w:numFmt w:val="decimal"/>
      <w:lvlText w:val=""/>
      <w:lvlJc w:val="left"/>
    </w:lvl>
    <w:lvl w:ilvl="2" w:tplc="A7F4A438">
      <w:numFmt w:val="decimal"/>
      <w:lvlText w:val=""/>
      <w:lvlJc w:val="left"/>
    </w:lvl>
    <w:lvl w:ilvl="3" w:tplc="A8F074B2">
      <w:numFmt w:val="decimal"/>
      <w:lvlText w:val=""/>
      <w:lvlJc w:val="left"/>
    </w:lvl>
    <w:lvl w:ilvl="4" w:tplc="57C47C12">
      <w:numFmt w:val="decimal"/>
      <w:lvlText w:val=""/>
      <w:lvlJc w:val="left"/>
    </w:lvl>
    <w:lvl w:ilvl="5" w:tplc="578623FC">
      <w:numFmt w:val="decimal"/>
      <w:lvlText w:val=""/>
      <w:lvlJc w:val="left"/>
    </w:lvl>
    <w:lvl w:ilvl="6" w:tplc="DA22DAF6">
      <w:numFmt w:val="decimal"/>
      <w:lvlText w:val=""/>
      <w:lvlJc w:val="left"/>
    </w:lvl>
    <w:lvl w:ilvl="7" w:tplc="BBBC9824">
      <w:numFmt w:val="decimal"/>
      <w:lvlText w:val=""/>
      <w:lvlJc w:val="left"/>
    </w:lvl>
    <w:lvl w:ilvl="8" w:tplc="3EF0CA64">
      <w:numFmt w:val="decimal"/>
      <w:lvlText w:val=""/>
      <w:lvlJc w:val="left"/>
    </w:lvl>
  </w:abstractNum>
  <w:abstractNum w:abstractNumId="965" w15:restartNumberingAfterBreak="0">
    <w:nsid w:val="65EB3C91"/>
    <w:multiLevelType w:val="hybridMultilevel"/>
    <w:tmpl w:val="A790C412"/>
    <w:lvl w:ilvl="0" w:tplc="5B1E0802">
      <w:start w:val="1"/>
      <w:numFmt w:val="bullet"/>
      <w:lvlText w:val=""/>
      <w:lvlJc w:val="left"/>
      <w:pPr>
        <w:ind w:left="720" w:hanging="180"/>
      </w:pPr>
      <w:rPr>
        <w:rFonts w:ascii="Symbol" w:hAnsi="Symbol" w:hint="default"/>
      </w:rPr>
    </w:lvl>
    <w:lvl w:ilvl="1" w:tplc="B1AA480C">
      <w:numFmt w:val="decimal"/>
      <w:lvlText w:val=""/>
      <w:lvlJc w:val="left"/>
    </w:lvl>
    <w:lvl w:ilvl="2" w:tplc="5FEC5E46">
      <w:numFmt w:val="decimal"/>
      <w:lvlText w:val=""/>
      <w:lvlJc w:val="left"/>
    </w:lvl>
    <w:lvl w:ilvl="3" w:tplc="315CEA20">
      <w:numFmt w:val="decimal"/>
      <w:lvlText w:val=""/>
      <w:lvlJc w:val="left"/>
    </w:lvl>
    <w:lvl w:ilvl="4" w:tplc="5E72AD06">
      <w:numFmt w:val="decimal"/>
      <w:lvlText w:val=""/>
      <w:lvlJc w:val="left"/>
    </w:lvl>
    <w:lvl w:ilvl="5" w:tplc="7340FDA8">
      <w:numFmt w:val="decimal"/>
      <w:lvlText w:val=""/>
      <w:lvlJc w:val="left"/>
    </w:lvl>
    <w:lvl w:ilvl="6" w:tplc="B91887D4">
      <w:numFmt w:val="decimal"/>
      <w:lvlText w:val=""/>
      <w:lvlJc w:val="left"/>
    </w:lvl>
    <w:lvl w:ilvl="7" w:tplc="578E49A2">
      <w:numFmt w:val="decimal"/>
      <w:lvlText w:val=""/>
      <w:lvlJc w:val="left"/>
    </w:lvl>
    <w:lvl w:ilvl="8" w:tplc="1DB288C4">
      <w:numFmt w:val="decimal"/>
      <w:lvlText w:val=""/>
      <w:lvlJc w:val="left"/>
    </w:lvl>
  </w:abstractNum>
  <w:abstractNum w:abstractNumId="966" w15:restartNumberingAfterBreak="0">
    <w:nsid w:val="66050D47"/>
    <w:multiLevelType w:val="hybridMultilevel"/>
    <w:tmpl w:val="01882AE8"/>
    <w:lvl w:ilvl="0" w:tplc="5686E27C">
      <w:start w:val="1"/>
      <w:numFmt w:val="bullet"/>
      <w:lvlText w:val=""/>
      <w:lvlJc w:val="left"/>
      <w:pPr>
        <w:ind w:left="720" w:hanging="180"/>
      </w:pPr>
      <w:rPr>
        <w:rFonts w:ascii="Symbol" w:hAnsi="Symbol" w:hint="default"/>
      </w:rPr>
    </w:lvl>
    <w:lvl w:ilvl="1" w:tplc="4B86C2DC">
      <w:numFmt w:val="decimal"/>
      <w:lvlText w:val=""/>
      <w:lvlJc w:val="left"/>
    </w:lvl>
    <w:lvl w:ilvl="2" w:tplc="20C2240A">
      <w:numFmt w:val="decimal"/>
      <w:lvlText w:val=""/>
      <w:lvlJc w:val="left"/>
    </w:lvl>
    <w:lvl w:ilvl="3" w:tplc="E6026B14">
      <w:numFmt w:val="decimal"/>
      <w:lvlText w:val=""/>
      <w:lvlJc w:val="left"/>
    </w:lvl>
    <w:lvl w:ilvl="4" w:tplc="40E85A16">
      <w:numFmt w:val="decimal"/>
      <w:lvlText w:val=""/>
      <w:lvlJc w:val="left"/>
    </w:lvl>
    <w:lvl w:ilvl="5" w:tplc="80D4E840">
      <w:numFmt w:val="decimal"/>
      <w:lvlText w:val=""/>
      <w:lvlJc w:val="left"/>
    </w:lvl>
    <w:lvl w:ilvl="6" w:tplc="7004A76C">
      <w:numFmt w:val="decimal"/>
      <w:lvlText w:val=""/>
      <w:lvlJc w:val="left"/>
    </w:lvl>
    <w:lvl w:ilvl="7" w:tplc="602AB2E6">
      <w:numFmt w:val="decimal"/>
      <w:lvlText w:val=""/>
      <w:lvlJc w:val="left"/>
    </w:lvl>
    <w:lvl w:ilvl="8" w:tplc="B270FDC0">
      <w:numFmt w:val="decimal"/>
      <w:lvlText w:val=""/>
      <w:lvlJc w:val="left"/>
    </w:lvl>
  </w:abstractNum>
  <w:abstractNum w:abstractNumId="967" w15:restartNumberingAfterBreak="0">
    <w:nsid w:val="660E7185"/>
    <w:multiLevelType w:val="hybridMultilevel"/>
    <w:tmpl w:val="9244B45C"/>
    <w:lvl w:ilvl="0" w:tplc="B4B40EA2">
      <w:start w:val="1"/>
      <w:numFmt w:val="bullet"/>
      <w:lvlText w:val=""/>
      <w:lvlJc w:val="left"/>
      <w:pPr>
        <w:ind w:left="720" w:hanging="180"/>
      </w:pPr>
      <w:rPr>
        <w:rFonts w:ascii="Symbol" w:hAnsi="Symbol" w:hint="default"/>
      </w:rPr>
    </w:lvl>
    <w:lvl w:ilvl="1" w:tplc="9E7CA18C">
      <w:numFmt w:val="decimal"/>
      <w:lvlText w:val=""/>
      <w:lvlJc w:val="left"/>
    </w:lvl>
    <w:lvl w:ilvl="2" w:tplc="189EB3F6">
      <w:numFmt w:val="decimal"/>
      <w:lvlText w:val=""/>
      <w:lvlJc w:val="left"/>
    </w:lvl>
    <w:lvl w:ilvl="3" w:tplc="85D48DD0">
      <w:numFmt w:val="decimal"/>
      <w:lvlText w:val=""/>
      <w:lvlJc w:val="left"/>
    </w:lvl>
    <w:lvl w:ilvl="4" w:tplc="DE588E26">
      <w:numFmt w:val="decimal"/>
      <w:lvlText w:val=""/>
      <w:lvlJc w:val="left"/>
    </w:lvl>
    <w:lvl w:ilvl="5" w:tplc="F210F376">
      <w:numFmt w:val="decimal"/>
      <w:lvlText w:val=""/>
      <w:lvlJc w:val="left"/>
    </w:lvl>
    <w:lvl w:ilvl="6" w:tplc="B61004B6">
      <w:numFmt w:val="decimal"/>
      <w:lvlText w:val=""/>
      <w:lvlJc w:val="left"/>
    </w:lvl>
    <w:lvl w:ilvl="7" w:tplc="28C8E97A">
      <w:numFmt w:val="decimal"/>
      <w:lvlText w:val=""/>
      <w:lvlJc w:val="left"/>
    </w:lvl>
    <w:lvl w:ilvl="8" w:tplc="B478E492">
      <w:numFmt w:val="decimal"/>
      <w:lvlText w:val=""/>
      <w:lvlJc w:val="left"/>
    </w:lvl>
  </w:abstractNum>
  <w:abstractNum w:abstractNumId="968" w15:restartNumberingAfterBreak="0">
    <w:nsid w:val="662866C7"/>
    <w:multiLevelType w:val="hybridMultilevel"/>
    <w:tmpl w:val="72F0FA48"/>
    <w:lvl w:ilvl="0" w:tplc="64823438">
      <w:start w:val="1"/>
      <w:numFmt w:val="bullet"/>
      <w:lvlText w:val=""/>
      <w:lvlJc w:val="left"/>
      <w:pPr>
        <w:ind w:left="720" w:hanging="180"/>
      </w:pPr>
      <w:rPr>
        <w:rFonts w:ascii="Symbol" w:hAnsi="Symbol" w:hint="default"/>
      </w:rPr>
    </w:lvl>
    <w:lvl w:ilvl="1" w:tplc="9F1EE788">
      <w:numFmt w:val="decimal"/>
      <w:lvlText w:val=""/>
      <w:lvlJc w:val="left"/>
    </w:lvl>
    <w:lvl w:ilvl="2" w:tplc="FE825850">
      <w:numFmt w:val="decimal"/>
      <w:lvlText w:val=""/>
      <w:lvlJc w:val="left"/>
    </w:lvl>
    <w:lvl w:ilvl="3" w:tplc="692E9CCC">
      <w:numFmt w:val="decimal"/>
      <w:lvlText w:val=""/>
      <w:lvlJc w:val="left"/>
    </w:lvl>
    <w:lvl w:ilvl="4" w:tplc="ECAAF0B8">
      <w:numFmt w:val="decimal"/>
      <w:lvlText w:val=""/>
      <w:lvlJc w:val="left"/>
    </w:lvl>
    <w:lvl w:ilvl="5" w:tplc="43FEEBDE">
      <w:numFmt w:val="decimal"/>
      <w:lvlText w:val=""/>
      <w:lvlJc w:val="left"/>
    </w:lvl>
    <w:lvl w:ilvl="6" w:tplc="47F0498A">
      <w:numFmt w:val="decimal"/>
      <w:lvlText w:val=""/>
      <w:lvlJc w:val="left"/>
    </w:lvl>
    <w:lvl w:ilvl="7" w:tplc="B3DA3B60">
      <w:numFmt w:val="decimal"/>
      <w:lvlText w:val=""/>
      <w:lvlJc w:val="left"/>
    </w:lvl>
    <w:lvl w:ilvl="8" w:tplc="4C12D8C6">
      <w:numFmt w:val="decimal"/>
      <w:lvlText w:val=""/>
      <w:lvlJc w:val="left"/>
    </w:lvl>
  </w:abstractNum>
  <w:abstractNum w:abstractNumId="969" w15:restartNumberingAfterBreak="0">
    <w:nsid w:val="663E33F3"/>
    <w:multiLevelType w:val="hybridMultilevel"/>
    <w:tmpl w:val="4AD2B36A"/>
    <w:lvl w:ilvl="0" w:tplc="5600B766">
      <w:start w:val="1"/>
      <w:numFmt w:val="bullet"/>
      <w:lvlText w:val=""/>
      <w:lvlJc w:val="left"/>
      <w:pPr>
        <w:ind w:left="720" w:hanging="180"/>
      </w:pPr>
      <w:rPr>
        <w:rFonts w:ascii="Symbol" w:hAnsi="Symbol" w:hint="default"/>
      </w:rPr>
    </w:lvl>
    <w:lvl w:ilvl="1" w:tplc="44889F34">
      <w:numFmt w:val="decimal"/>
      <w:lvlText w:val=""/>
      <w:lvlJc w:val="left"/>
    </w:lvl>
    <w:lvl w:ilvl="2" w:tplc="243EB9D0">
      <w:numFmt w:val="decimal"/>
      <w:lvlText w:val=""/>
      <w:lvlJc w:val="left"/>
    </w:lvl>
    <w:lvl w:ilvl="3" w:tplc="F7A03D3A">
      <w:numFmt w:val="decimal"/>
      <w:lvlText w:val=""/>
      <w:lvlJc w:val="left"/>
    </w:lvl>
    <w:lvl w:ilvl="4" w:tplc="584E3070">
      <w:numFmt w:val="decimal"/>
      <w:lvlText w:val=""/>
      <w:lvlJc w:val="left"/>
    </w:lvl>
    <w:lvl w:ilvl="5" w:tplc="A0EAB8AE">
      <w:numFmt w:val="decimal"/>
      <w:lvlText w:val=""/>
      <w:lvlJc w:val="left"/>
    </w:lvl>
    <w:lvl w:ilvl="6" w:tplc="97983524">
      <w:numFmt w:val="decimal"/>
      <w:lvlText w:val=""/>
      <w:lvlJc w:val="left"/>
    </w:lvl>
    <w:lvl w:ilvl="7" w:tplc="FF225CF0">
      <w:numFmt w:val="decimal"/>
      <w:lvlText w:val=""/>
      <w:lvlJc w:val="left"/>
    </w:lvl>
    <w:lvl w:ilvl="8" w:tplc="003A2E6A">
      <w:numFmt w:val="decimal"/>
      <w:lvlText w:val=""/>
      <w:lvlJc w:val="left"/>
    </w:lvl>
  </w:abstractNum>
  <w:abstractNum w:abstractNumId="970" w15:restartNumberingAfterBreak="0">
    <w:nsid w:val="66440A63"/>
    <w:multiLevelType w:val="hybridMultilevel"/>
    <w:tmpl w:val="618C8B4A"/>
    <w:lvl w:ilvl="0" w:tplc="015C84DA">
      <w:start w:val="1"/>
      <w:numFmt w:val="bullet"/>
      <w:lvlText w:val=""/>
      <w:lvlJc w:val="left"/>
      <w:pPr>
        <w:ind w:left="720" w:hanging="180"/>
      </w:pPr>
      <w:rPr>
        <w:rFonts w:ascii="Symbol" w:hAnsi="Symbol" w:hint="default"/>
      </w:rPr>
    </w:lvl>
    <w:lvl w:ilvl="1" w:tplc="1504B11E">
      <w:numFmt w:val="decimal"/>
      <w:lvlText w:val=""/>
      <w:lvlJc w:val="left"/>
    </w:lvl>
    <w:lvl w:ilvl="2" w:tplc="442A5210">
      <w:numFmt w:val="decimal"/>
      <w:lvlText w:val=""/>
      <w:lvlJc w:val="left"/>
    </w:lvl>
    <w:lvl w:ilvl="3" w:tplc="8D40569A">
      <w:numFmt w:val="decimal"/>
      <w:lvlText w:val=""/>
      <w:lvlJc w:val="left"/>
    </w:lvl>
    <w:lvl w:ilvl="4" w:tplc="E1E24792">
      <w:numFmt w:val="decimal"/>
      <w:lvlText w:val=""/>
      <w:lvlJc w:val="left"/>
    </w:lvl>
    <w:lvl w:ilvl="5" w:tplc="407EA942">
      <w:numFmt w:val="decimal"/>
      <w:lvlText w:val=""/>
      <w:lvlJc w:val="left"/>
    </w:lvl>
    <w:lvl w:ilvl="6" w:tplc="C6EE15C6">
      <w:numFmt w:val="decimal"/>
      <w:lvlText w:val=""/>
      <w:lvlJc w:val="left"/>
    </w:lvl>
    <w:lvl w:ilvl="7" w:tplc="BF048DEE">
      <w:numFmt w:val="decimal"/>
      <w:lvlText w:val=""/>
      <w:lvlJc w:val="left"/>
    </w:lvl>
    <w:lvl w:ilvl="8" w:tplc="5BF08944">
      <w:numFmt w:val="decimal"/>
      <w:lvlText w:val=""/>
      <w:lvlJc w:val="left"/>
    </w:lvl>
  </w:abstractNum>
  <w:abstractNum w:abstractNumId="971" w15:restartNumberingAfterBreak="0">
    <w:nsid w:val="664705BA"/>
    <w:multiLevelType w:val="hybridMultilevel"/>
    <w:tmpl w:val="C0005FC0"/>
    <w:lvl w:ilvl="0" w:tplc="A2CC18B4">
      <w:start w:val="1"/>
      <w:numFmt w:val="bullet"/>
      <w:lvlText w:val=""/>
      <w:lvlJc w:val="left"/>
      <w:pPr>
        <w:ind w:left="720" w:hanging="180"/>
      </w:pPr>
      <w:rPr>
        <w:rFonts w:ascii="Symbol" w:hAnsi="Symbol" w:hint="default"/>
      </w:rPr>
    </w:lvl>
    <w:lvl w:ilvl="1" w:tplc="F2729AD0">
      <w:numFmt w:val="decimal"/>
      <w:lvlText w:val=""/>
      <w:lvlJc w:val="left"/>
    </w:lvl>
    <w:lvl w:ilvl="2" w:tplc="8C54F218">
      <w:numFmt w:val="decimal"/>
      <w:lvlText w:val=""/>
      <w:lvlJc w:val="left"/>
    </w:lvl>
    <w:lvl w:ilvl="3" w:tplc="1DC46990">
      <w:numFmt w:val="decimal"/>
      <w:lvlText w:val=""/>
      <w:lvlJc w:val="left"/>
    </w:lvl>
    <w:lvl w:ilvl="4" w:tplc="42A04EE6">
      <w:numFmt w:val="decimal"/>
      <w:lvlText w:val=""/>
      <w:lvlJc w:val="left"/>
    </w:lvl>
    <w:lvl w:ilvl="5" w:tplc="5706FD80">
      <w:numFmt w:val="decimal"/>
      <w:lvlText w:val=""/>
      <w:lvlJc w:val="left"/>
    </w:lvl>
    <w:lvl w:ilvl="6" w:tplc="C570FCCE">
      <w:numFmt w:val="decimal"/>
      <w:lvlText w:val=""/>
      <w:lvlJc w:val="left"/>
    </w:lvl>
    <w:lvl w:ilvl="7" w:tplc="137E4B60">
      <w:numFmt w:val="decimal"/>
      <w:lvlText w:val=""/>
      <w:lvlJc w:val="left"/>
    </w:lvl>
    <w:lvl w:ilvl="8" w:tplc="1160E2C6">
      <w:numFmt w:val="decimal"/>
      <w:lvlText w:val=""/>
      <w:lvlJc w:val="left"/>
    </w:lvl>
  </w:abstractNum>
  <w:abstractNum w:abstractNumId="972" w15:restartNumberingAfterBreak="0">
    <w:nsid w:val="666E4AD1"/>
    <w:multiLevelType w:val="hybridMultilevel"/>
    <w:tmpl w:val="FCA26CB4"/>
    <w:lvl w:ilvl="0" w:tplc="9DDEBB1C">
      <w:start w:val="1"/>
      <w:numFmt w:val="bullet"/>
      <w:lvlText w:val=""/>
      <w:lvlJc w:val="left"/>
      <w:pPr>
        <w:ind w:left="720" w:hanging="180"/>
      </w:pPr>
      <w:rPr>
        <w:rFonts w:ascii="Symbol" w:hAnsi="Symbol" w:hint="default"/>
      </w:rPr>
    </w:lvl>
    <w:lvl w:ilvl="1" w:tplc="C2A4C3C4">
      <w:numFmt w:val="decimal"/>
      <w:lvlText w:val=""/>
      <w:lvlJc w:val="left"/>
    </w:lvl>
    <w:lvl w:ilvl="2" w:tplc="D6004DA0">
      <w:numFmt w:val="decimal"/>
      <w:lvlText w:val=""/>
      <w:lvlJc w:val="left"/>
    </w:lvl>
    <w:lvl w:ilvl="3" w:tplc="44B68B72">
      <w:numFmt w:val="decimal"/>
      <w:lvlText w:val=""/>
      <w:lvlJc w:val="left"/>
    </w:lvl>
    <w:lvl w:ilvl="4" w:tplc="17EE65AE">
      <w:numFmt w:val="decimal"/>
      <w:lvlText w:val=""/>
      <w:lvlJc w:val="left"/>
    </w:lvl>
    <w:lvl w:ilvl="5" w:tplc="4928FCA2">
      <w:numFmt w:val="decimal"/>
      <w:lvlText w:val=""/>
      <w:lvlJc w:val="left"/>
    </w:lvl>
    <w:lvl w:ilvl="6" w:tplc="715AF998">
      <w:numFmt w:val="decimal"/>
      <w:lvlText w:val=""/>
      <w:lvlJc w:val="left"/>
    </w:lvl>
    <w:lvl w:ilvl="7" w:tplc="EC1A345E">
      <w:numFmt w:val="decimal"/>
      <w:lvlText w:val=""/>
      <w:lvlJc w:val="left"/>
    </w:lvl>
    <w:lvl w:ilvl="8" w:tplc="5D1C821A">
      <w:numFmt w:val="decimal"/>
      <w:lvlText w:val=""/>
      <w:lvlJc w:val="left"/>
    </w:lvl>
  </w:abstractNum>
  <w:abstractNum w:abstractNumId="973" w15:restartNumberingAfterBreak="0">
    <w:nsid w:val="66970513"/>
    <w:multiLevelType w:val="hybridMultilevel"/>
    <w:tmpl w:val="D402F3BE"/>
    <w:lvl w:ilvl="0" w:tplc="5D784C32">
      <w:start w:val="1"/>
      <w:numFmt w:val="bullet"/>
      <w:lvlText w:val=""/>
      <w:lvlJc w:val="left"/>
      <w:pPr>
        <w:ind w:left="720" w:hanging="180"/>
      </w:pPr>
      <w:rPr>
        <w:rFonts w:ascii="Symbol" w:hAnsi="Symbol" w:hint="default"/>
      </w:rPr>
    </w:lvl>
    <w:lvl w:ilvl="1" w:tplc="6854E070">
      <w:numFmt w:val="decimal"/>
      <w:lvlText w:val=""/>
      <w:lvlJc w:val="left"/>
    </w:lvl>
    <w:lvl w:ilvl="2" w:tplc="A8F0A17A">
      <w:numFmt w:val="decimal"/>
      <w:lvlText w:val=""/>
      <w:lvlJc w:val="left"/>
    </w:lvl>
    <w:lvl w:ilvl="3" w:tplc="2BF260FC">
      <w:numFmt w:val="decimal"/>
      <w:lvlText w:val=""/>
      <w:lvlJc w:val="left"/>
    </w:lvl>
    <w:lvl w:ilvl="4" w:tplc="FD14A08C">
      <w:numFmt w:val="decimal"/>
      <w:lvlText w:val=""/>
      <w:lvlJc w:val="left"/>
    </w:lvl>
    <w:lvl w:ilvl="5" w:tplc="8468F542">
      <w:numFmt w:val="decimal"/>
      <w:lvlText w:val=""/>
      <w:lvlJc w:val="left"/>
    </w:lvl>
    <w:lvl w:ilvl="6" w:tplc="A0044F3E">
      <w:numFmt w:val="decimal"/>
      <w:lvlText w:val=""/>
      <w:lvlJc w:val="left"/>
    </w:lvl>
    <w:lvl w:ilvl="7" w:tplc="675A5428">
      <w:numFmt w:val="decimal"/>
      <w:lvlText w:val=""/>
      <w:lvlJc w:val="left"/>
    </w:lvl>
    <w:lvl w:ilvl="8" w:tplc="DB26DF4E">
      <w:numFmt w:val="decimal"/>
      <w:lvlText w:val=""/>
      <w:lvlJc w:val="left"/>
    </w:lvl>
  </w:abstractNum>
  <w:abstractNum w:abstractNumId="974" w15:restartNumberingAfterBreak="0">
    <w:nsid w:val="66B206A8"/>
    <w:multiLevelType w:val="hybridMultilevel"/>
    <w:tmpl w:val="0344ABAA"/>
    <w:lvl w:ilvl="0" w:tplc="16D2DE5E">
      <w:start w:val="1"/>
      <w:numFmt w:val="bullet"/>
      <w:lvlText w:val=""/>
      <w:lvlJc w:val="left"/>
      <w:pPr>
        <w:ind w:left="720" w:hanging="180"/>
      </w:pPr>
      <w:rPr>
        <w:rFonts w:ascii="Symbol" w:hAnsi="Symbol" w:hint="default"/>
      </w:rPr>
    </w:lvl>
    <w:lvl w:ilvl="1" w:tplc="535448EC">
      <w:numFmt w:val="decimal"/>
      <w:lvlText w:val=""/>
      <w:lvlJc w:val="left"/>
    </w:lvl>
    <w:lvl w:ilvl="2" w:tplc="E060510A">
      <w:numFmt w:val="decimal"/>
      <w:lvlText w:val=""/>
      <w:lvlJc w:val="left"/>
    </w:lvl>
    <w:lvl w:ilvl="3" w:tplc="84AC4FC4">
      <w:numFmt w:val="decimal"/>
      <w:lvlText w:val=""/>
      <w:lvlJc w:val="left"/>
    </w:lvl>
    <w:lvl w:ilvl="4" w:tplc="A0184BCC">
      <w:numFmt w:val="decimal"/>
      <w:lvlText w:val=""/>
      <w:lvlJc w:val="left"/>
    </w:lvl>
    <w:lvl w:ilvl="5" w:tplc="54D61286">
      <w:numFmt w:val="decimal"/>
      <w:lvlText w:val=""/>
      <w:lvlJc w:val="left"/>
    </w:lvl>
    <w:lvl w:ilvl="6" w:tplc="10E0E882">
      <w:numFmt w:val="decimal"/>
      <w:lvlText w:val=""/>
      <w:lvlJc w:val="left"/>
    </w:lvl>
    <w:lvl w:ilvl="7" w:tplc="6756BD16">
      <w:numFmt w:val="decimal"/>
      <w:lvlText w:val=""/>
      <w:lvlJc w:val="left"/>
    </w:lvl>
    <w:lvl w:ilvl="8" w:tplc="9266B9DC">
      <w:numFmt w:val="decimal"/>
      <w:lvlText w:val=""/>
      <w:lvlJc w:val="left"/>
    </w:lvl>
  </w:abstractNum>
  <w:abstractNum w:abstractNumId="975" w15:restartNumberingAfterBreak="0">
    <w:nsid w:val="66B57300"/>
    <w:multiLevelType w:val="hybridMultilevel"/>
    <w:tmpl w:val="49269698"/>
    <w:lvl w:ilvl="0" w:tplc="D94CD554">
      <w:start w:val="1"/>
      <w:numFmt w:val="bullet"/>
      <w:lvlText w:val=""/>
      <w:lvlJc w:val="left"/>
      <w:pPr>
        <w:ind w:left="720" w:hanging="180"/>
      </w:pPr>
      <w:rPr>
        <w:rFonts w:ascii="Symbol" w:hAnsi="Symbol" w:hint="default"/>
      </w:rPr>
    </w:lvl>
    <w:lvl w:ilvl="1" w:tplc="AEA0C714">
      <w:numFmt w:val="decimal"/>
      <w:lvlText w:val=""/>
      <w:lvlJc w:val="left"/>
    </w:lvl>
    <w:lvl w:ilvl="2" w:tplc="D2B623EE">
      <w:numFmt w:val="decimal"/>
      <w:lvlText w:val=""/>
      <w:lvlJc w:val="left"/>
    </w:lvl>
    <w:lvl w:ilvl="3" w:tplc="ABD22ADA">
      <w:numFmt w:val="decimal"/>
      <w:lvlText w:val=""/>
      <w:lvlJc w:val="left"/>
    </w:lvl>
    <w:lvl w:ilvl="4" w:tplc="4A005456">
      <w:numFmt w:val="decimal"/>
      <w:lvlText w:val=""/>
      <w:lvlJc w:val="left"/>
    </w:lvl>
    <w:lvl w:ilvl="5" w:tplc="E474DC92">
      <w:numFmt w:val="decimal"/>
      <w:lvlText w:val=""/>
      <w:lvlJc w:val="left"/>
    </w:lvl>
    <w:lvl w:ilvl="6" w:tplc="55BA44EA">
      <w:numFmt w:val="decimal"/>
      <w:lvlText w:val=""/>
      <w:lvlJc w:val="left"/>
    </w:lvl>
    <w:lvl w:ilvl="7" w:tplc="3CD290C0">
      <w:numFmt w:val="decimal"/>
      <w:lvlText w:val=""/>
      <w:lvlJc w:val="left"/>
    </w:lvl>
    <w:lvl w:ilvl="8" w:tplc="B658DDB8">
      <w:numFmt w:val="decimal"/>
      <w:lvlText w:val=""/>
      <w:lvlJc w:val="left"/>
    </w:lvl>
  </w:abstractNum>
  <w:abstractNum w:abstractNumId="976" w15:restartNumberingAfterBreak="0">
    <w:nsid w:val="66B87D6B"/>
    <w:multiLevelType w:val="hybridMultilevel"/>
    <w:tmpl w:val="724E95AA"/>
    <w:lvl w:ilvl="0" w:tplc="12E6778A">
      <w:start w:val="1"/>
      <w:numFmt w:val="bullet"/>
      <w:lvlText w:val=""/>
      <w:lvlJc w:val="left"/>
      <w:pPr>
        <w:ind w:left="720" w:hanging="180"/>
      </w:pPr>
      <w:rPr>
        <w:rFonts w:ascii="Symbol" w:hAnsi="Symbol" w:hint="default"/>
      </w:rPr>
    </w:lvl>
    <w:lvl w:ilvl="1" w:tplc="55E21568">
      <w:numFmt w:val="decimal"/>
      <w:lvlText w:val=""/>
      <w:lvlJc w:val="left"/>
    </w:lvl>
    <w:lvl w:ilvl="2" w:tplc="A0C07390">
      <w:numFmt w:val="decimal"/>
      <w:lvlText w:val=""/>
      <w:lvlJc w:val="left"/>
    </w:lvl>
    <w:lvl w:ilvl="3" w:tplc="C1E26C82">
      <w:numFmt w:val="decimal"/>
      <w:lvlText w:val=""/>
      <w:lvlJc w:val="left"/>
    </w:lvl>
    <w:lvl w:ilvl="4" w:tplc="2CE83B98">
      <w:numFmt w:val="decimal"/>
      <w:lvlText w:val=""/>
      <w:lvlJc w:val="left"/>
    </w:lvl>
    <w:lvl w:ilvl="5" w:tplc="81E0F3E6">
      <w:numFmt w:val="decimal"/>
      <w:lvlText w:val=""/>
      <w:lvlJc w:val="left"/>
    </w:lvl>
    <w:lvl w:ilvl="6" w:tplc="88B8828C">
      <w:numFmt w:val="decimal"/>
      <w:lvlText w:val=""/>
      <w:lvlJc w:val="left"/>
    </w:lvl>
    <w:lvl w:ilvl="7" w:tplc="9822FF50">
      <w:numFmt w:val="decimal"/>
      <w:lvlText w:val=""/>
      <w:lvlJc w:val="left"/>
    </w:lvl>
    <w:lvl w:ilvl="8" w:tplc="61545CD4">
      <w:numFmt w:val="decimal"/>
      <w:lvlText w:val=""/>
      <w:lvlJc w:val="left"/>
    </w:lvl>
  </w:abstractNum>
  <w:abstractNum w:abstractNumId="977" w15:restartNumberingAfterBreak="0">
    <w:nsid w:val="66BB57FA"/>
    <w:multiLevelType w:val="hybridMultilevel"/>
    <w:tmpl w:val="95F44A96"/>
    <w:lvl w:ilvl="0" w:tplc="D7207536">
      <w:start w:val="1"/>
      <w:numFmt w:val="bullet"/>
      <w:lvlText w:val=""/>
      <w:lvlJc w:val="left"/>
      <w:pPr>
        <w:ind w:left="720" w:hanging="180"/>
      </w:pPr>
      <w:rPr>
        <w:rFonts w:ascii="Symbol" w:hAnsi="Symbol" w:hint="default"/>
      </w:rPr>
    </w:lvl>
    <w:lvl w:ilvl="1" w:tplc="03C2A654">
      <w:numFmt w:val="decimal"/>
      <w:lvlText w:val=""/>
      <w:lvlJc w:val="left"/>
    </w:lvl>
    <w:lvl w:ilvl="2" w:tplc="79AC16DE">
      <w:numFmt w:val="decimal"/>
      <w:lvlText w:val=""/>
      <w:lvlJc w:val="left"/>
    </w:lvl>
    <w:lvl w:ilvl="3" w:tplc="99A8654A">
      <w:numFmt w:val="decimal"/>
      <w:lvlText w:val=""/>
      <w:lvlJc w:val="left"/>
    </w:lvl>
    <w:lvl w:ilvl="4" w:tplc="424271B2">
      <w:numFmt w:val="decimal"/>
      <w:lvlText w:val=""/>
      <w:lvlJc w:val="left"/>
    </w:lvl>
    <w:lvl w:ilvl="5" w:tplc="5BD6A9AE">
      <w:numFmt w:val="decimal"/>
      <w:lvlText w:val=""/>
      <w:lvlJc w:val="left"/>
    </w:lvl>
    <w:lvl w:ilvl="6" w:tplc="08EECFEC">
      <w:numFmt w:val="decimal"/>
      <w:lvlText w:val=""/>
      <w:lvlJc w:val="left"/>
    </w:lvl>
    <w:lvl w:ilvl="7" w:tplc="3A1A8468">
      <w:numFmt w:val="decimal"/>
      <w:lvlText w:val=""/>
      <w:lvlJc w:val="left"/>
    </w:lvl>
    <w:lvl w:ilvl="8" w:tplc="08B08668">
      <w:numFmt w:val="decimal"/>
      <w:lvlText w:val=""/>
      <w:lvlJc w:val="left"/>
    </w:lvl>
  </w:abstractNum>
  <w:abstractNum w:abstractNumId="978" w15:restartNumberingAfterBreak="0">
    <w:nsid w:val="66C13EA9"/>
    <w:multiLevelType w:val="hybridMultilevel"/>
    <w:tmpl w:val="335C9EA4"/>
    <w:lvl w:ilvl="0" w:tplc="603C4D48">
      <w:start w:val="1"/>
      <w:numFmt w:val="bullet"/>
      <w:lvlText w:val=""/>
      <w:lvlJc w:val="left"/>
      <w:pPr>
        <w:ind w:left="720" w:hanging="180"/>
      </w:pPr>
      <w:rPr>
        <w:rFonts w:ascii="Symbol" w:hAnsi="Symbol" w:hint="default"/>
      </w:rPr>
    </w:lvl>
    <w:lvl w:ilvl="1" w:tplc="33A49C8A">
      <w:numFmt w:val="decimal"/>
      <w:lvlText w:val=""/>
      <w:lvlJc w:val="left"/>
    </w:lvl>
    <w:lvl w:ilvl="2" w:tplc="CD167DD8">
      <w:numFmt w:val="decimal"/>
      <w:lvlText w:val=""/>
      <w:lvlJc w:val="left"/>
    </w:lvl>
    <w:lvl w:ilvl="3" w:tplc="4228502E">
      <w:numFmt w:val="decimal"/>
      <w:lvlText w:val=""/>
      <w:lvlJc w:val="left"/>
    </w:lvl>
    <w:lvl w:ilvl="4" w:tplc="7ED64188">
      <w:numFmt w:val="decimal"/>
      <w:lvlText w:val=""/>
      <w:lvlJc w:val="left"/>
    </w:lvl>
    <w:lvl w:ilvl="5" w:tplc="77488BDC">
      <w:numFmt w:val="decimal"/>
      <w:lvlText w:val=""/>
      <w:lvlJc w:val="left"/>
    </w:lvl>
    <w:lvl w:ilvl="6" w:tplc="F7400CA2">
      <w:numFmt w:val="decimal"/>
      <w:lvlText w:val=""/>
      <w:lvlJc w:val="left"/>
    </w:lvl>
    <w:lvl w:ilvl="7" w:tplc="2242C39A">
      <w:numFmt w:val="decimal"/>
      <w:lvlText w:val=""/>
      <w:lvlJc w:val="left"/>
    </w:lvl>
    <w:lvl w:ilvl="8" w:tplc="85881452">
      <w:numFmt w:val="decimal"/>
      <w:lvlText w:val=""/>
      <w:lvlJc w:val="left"/>
    </w:lvl>
  </w:abstractNum>
  <w:abstractNum w:abstractNumId="979" w15:restartNumberingAfterBreak="0">
    <w:nsid w:val="66E370A2"/>
    <w:multiLevelType w:val="hybridMultilevel"/>
    <w:tmpl w:val="A1802D12"/>
    <w:lvl w:ilvl="0" w:tplc="54EEB632">
      <w:start w:val="1"/>
      <w:numFmt w:val="bullet"/>
      <w:lvlText w:val=""/>
      <w:lvlJc w:val="left"/>
      <w:pPr>
        <w:ind w:left="720" w:hanging="180"/>
      </w:pPr>
      <w:rPr>
        <w:rFonts w:ascii="Symbol" w:hAnsi="Symbol" w:hint="default"/>
      </w:rPr>
    </w:lvl>
    <w:lvl w:ilvl="1" w:tplc="18C48EA6">
      <w:numFmt w:val="decimal"/>
      <w:lvlText w:val=""/>
      <w:lvlJc w:val="left"/>
    </w:lvl>
    <w:lvl w:ilvl="2" w:tplc="0390288E">
      <w:numFmt w:val="decimal"/>
      <w:lvlText w:val=""/>
      <w:lvlJc w:val="left"/>
    </w:lvl>
    <w:lvl w:ilvl="3" w:tplc="4D5292D2">
      <w:numFmt w:val="decimal"/>
      <w:lvlText w:val=""/>
      <w:lvlJc w:val="left"/>
    </w:lvl>
    <w:lvl w:ilvl="4" w:tplc="1F72A8AE">
      <w:numFmt w:val="decimal"/>
      <w:lvlText w:val=""/>
      <w:lvlJc w:val="left"/>
    </w:lvl>
    <w:lvl w:ilvl="5" w:tplc="AB103676">
      <w:numFmt w:val="decimal"/>
      <w:lvlText w:val=""/>
      <w:lvlJc w:val="left"/>
    </w:lvl>
    <w:lvl w:ilvl="6" w:tplc="D74E4A5E">
      <w:numFmt w:val="decimal"/>
      <w:lvlText w:val=""/>
      <w:lvlJc w:val="left"/>
    </w:lvl>
    <w:lvl w:ilvl="7" w:tplc="82D83B64">
      <w:numFmt w:val="decimal"/>
      <w:lvlText w:val=""/>
      <w:lvlJc w:val="left"/>
    </w:lvl>
    <w:lvl w:ilvl="8" w:tplc="F4DC1C9C">
      <w:numFmt w:val="decimal"/>
      <w:lvlText w:val=""/>
      <w:lvlJc w:val="left"/>
    </w:lvl>
  </w:abstractNum>
  <w:abstractNum w:abstractNumId="980" w15:restartNumberingAfterBreak="0">
    <w:nsid w:val="670507D8"/>
    <w:multiLevelType w:val="hybridMultilevel"/>
    <w:tmpl w:val="168C71F0"/>
    <w:lvl w:ilvl="0" w:tplc="691A8B7C">
      <w:start w:val="1"/>
      <w:numFmt w:val="bullet"/>
      <w:lvlText w:val=""/>
      <w:lvlJc w:val="left"/>
      <w:pPr>
        <w:ind w:left="720" w:hanging="180"/>
      </w:pPr>
      <w:rPr>
        <w:rFonts w:ascii="Symbol" w:hAnsi="Symbol" w:hint="default"/>
      </w:rPr>
    </w:lvl>
    <w:lvl w:ilvl="1" w:tplc="AB0C5FAC">
      <w:numFmt w:val="decimal"/>
      <w:lvlText w:val=""/>
      <w:lvlJc w:val="left"/>
    </w:lvl>
    <w:lvl w:ilvl="2" w:tplc="C7F498B2">
      <w:numFmt w:val="decimal"/>
      <w:lvlText w:val=""/>
      <w:lvlJc w:val="left"/>
    </w:lvl>
    <w:lvl w:ilvl="3" w:tplc="4F1C78A6">
      <w:numFmt w:val="decimal"/>
      <w:lvlText w:val=""/>
      <w:lvlJc w:val="left"/>
    </w:lvl>
    <w:lvl w:ilvl="4" w:tplc="024EED7C">
      <w:numFmt w:val="decimal"/>
      <w:lvlText w:val=""/>
      <w:lvlJc w:val="left"/>
    </w:lvl>
    <w:lvl w:ilvl="5" w:tplc="77206FCC">
      <w:numFmt w:val="decimal"/>
      <w:lvlText w:val=""/>
      <w:lvlJc w:val="left"/>
    </w:lvl>
    <w:lvl w:ilvl="6" w:tplc="49F6F6CE">
      <w:numFmt w:val="decimal"/>
      <w:lvlText w:val=""/>
      <w:lvlJc w:val="left"/>
    </w:lvl>
    <w:lvl w:ilvl="7" w:tplc="D3922188">
      <w:numFmt w:val="decimal"/>
      <w:lvlText w:val=""/>
      <w:lvlJc w:val="left"/>
    </w:lvl>
    <w:lvl w:ilvl="8" w:tplc="B46AB8A6">
      <w:numFmt w:val="decimal"/>
      <w:lvlText w:val=""/>
      <w:lvlJc w:val="left"/>
    </w:lvl>
  </w:abstractNum>
  <w:abstractNum w:abstractNumId="981" w15:restartNumberingAfterBreak="0">
    <w:nsid w:val="67090827"/>
    <w:multiLevelType w:val="hybridMultilevel"/>
    <w:tmpl w:val="D498561E"/>
    <w:lvl w:ilvl="0" w:tplc="3ED26A66">
      <w:start w:val="1"/>
      <w:numFmt w:val="bullet"/>
      <w:lvlText w:val=""/>
      <w:lvlJc w:val="left"/>
      <w:pPr>
        <w:ind w:left="720" w:hanging="180"/>
      </w:pPr>
      <w:rPr>
        <w:rFonts w:ascii="Symbol" w:hAnsi="Symbol" w:hint="default"/>
      </w:rPr>
    </w:lvl>
    <w:lvl w:ilvl="1" w:tplc="4CFA7712">
      <w:numFmt w:val="decimal"/>
      <w:lvlText w:val=""/>
      <w:lvlJc w:val="left"/>
    </w:lvl>
    <w:lvl w:ilvl="2" w:tplc="69D8F92E">
      <w:numFmt w:val="decimal"/>
      <w:lvlText w:val=""/>
      <w:lvlJc w:val="left"/>
    </w:lvl>
    <w:lvl w:ilvl="3" w:tplc="F0B27C98">
      <w:numFmt w:val="decimal"/>
      <w:lvlText w:val=""/>
      <w:lvlJc w:val="left"/>
    </w:lvl>
    <w:lvl w:ilvl="4" w:tplc="45EA7822">
      <w:numFmt w:val="decimal"/>
      <w:lvlText w:val=""/>
      <w:lvlJc w:val="left"/>
    </w:lvl>
    <w:lvl w:ilvl="5" w:tplc="38C07CA4">
      <w:numFmt w:val="decimal"/>
      <w:lvlText w:val=""/>
      <w:lvlJc w:val="left"/>
    </w:lvl>
    <w:lvl w:ilvl="6" w:tplc="13DE6E96">
      <w:numFmt w:val="decimal"/>
      <w:lvlText w:val=""/>
      <w:lvlJc w:val="left"/>
    </w:lvl>
    <w:lvl w:ilvl="7" w:tplc="EBBC2AAA">
      <w:numFmt w:val="decimal"/>
      <w:lvlText w:val=""/>
      <w:lvlJc w:val="left"/>
    </w:lvl>
    <w:lvl w:ilvl="8" w:tplc="1354E752">
      <w:numFmt w:val="decimal"/>
      <w:lvlText w:val=""/>
      <w:lvlJc w:val="left"/>
    </w:lvl>
  </w:abstractNum>
  <w:abstractNum w:abstractNumId="982" w15:restartNumberingAfterBreak="0">
    <w:nsid w:val="670B5487"/>
    <w:multiLevelType w:val="hybridMultilevel"/>
    <w:tmpl w:val="0696F348"/>
    <w:lvl w:ilvl="0" w:tplc="C9A8B460">
      <w:start w:val="1"/>
      <w:numFmt w:val="bullet"/>
      <w:lvlText w:val=""/>
      <w:lvlJc w:val="left"/>
      <w:pPr>
        <w:ind w:left="720" w:hanging="180"/>
      </w:pPr>
      <w:rPr>
        <w:rFonts w:ascii="Symbol" w:hAnsi="Symbol" w:hint="default"/>
      </w:rPr>
    </w:lvl>
    <w:lvl w:ilvl="1" w:tplc="38706CCC">
      <w:numFmt w:val="decimal"/>
      <w:lvlText w:val=""/>
      <w:lvlJc w:val="left"/>
    </w:lvl>
    <w:lvl w:ilvl="2" w:tplc="5FAE268E">
      <w:numFmt w:val="decimal"/>
      <w:lvlText w:val=""/>
      <w:lvlJc w:val="left"/>
    </w:lvl>
    <w:lvl w:ilvl="3" w:tplc="98C09FD0">
      <w:numFmt w:val="decimal"/>
      <w:lvlText w:val=""/>
      <w:lvlJc w:val="left"/>
    </w:lvl>
    <w:lvl w:ilvl="4" w:tplc="7862ECF4">
      <w:numFmt w:val="decimal"/>
      <w:lvlText w:val=""/>
      <w:lvlJc w:val="left"/>
    </w:lvl>
    <w:lvl w:ilvl="5" w:tplc="E048C6B0">
      <w:numFmt w:val="decimal"/>
      <w:lvlText w:val=""/>
      <w:lvlJc w:val="left"/>
    </w:lvl>
    <w:lvl w:ilvl="6" w:tplc="FE2EEE08">
      <w:numFmt w:val="decimal"/>
      <w:lvlText w:val=""/>
      <w:lvlJc w:val="left"/>
    </w:lvl>
    <w:lvl w:ilvl="7" w:tplc="3D00AE52">
      <w:numFmt w:val="decimal"/>
      <w:lvlText w:val=""/>
      <w:lvlJc w:val="left"/>
    </w:lvl>
    <w:lvl w:ilvl="8" w:tplc="F9804CA0">
      <w:numFmt w:val="decimal"/>
      <w:lvlText w:val=""/>
      <w:lvlJc w:val="left"/>
    </w:lvl>
  </w:abstractNum>
  <w:abstractNum w:abstractNumId="983" w15:restartNumberingAfterBreak="0">
    <w:nsid w:val="672302D6"/>
    <w:multiLevelType w:val="hybridMultilevel"/>
    <w:tmpl w:val="DEF03F38"/>
    <w:lvl w:ilvl="0" w:tplc="AD563F10">
      <w:start w:val="1"/>
      <w:numFmt w:val="bullet"/>
      <w:lvlText w:val=""/>
      <w:lvlJc w:val="left"/>
      <w:pPr>
        <w:ind w:left="720" w:hanging="180"/>
      </w:pPr>
      <w:rPr>
        <w:rFonts w:ascii="Symbol" w:hAnsi="Symbol" w:hint="default"/>
      </w:rPr>
    </w:lvl>
    <w:lvl w:ilvl="1" w:tplc="BB30985A">
      <w:numFmt w:val="decimal"/>
      <w:lvlText w:val=""/>
      <w:lvlJc w:val="left"/>
    </w:lvl>
    <w:lvl w:ilvl="2" w:tplc="3D88EDEE">
      <w:numFmt w:val="decimal"/>
      <w:lvlText w:val=""/>
      <w:lvlJc w:val="left"/>
    </w:lvl>
    <w:lvl w:ilvl="3" w:tplc="4A28759C">
      <w:numFmt w:val="decimal"/>
      <w:lvlText w:val=""/>
      <w:lvlJc w:val="left"/>
    </w:lvl>
    <w:lvl w:ilvl="4" w:tplc="467C6A02">
      <w:numFmt w:val="decimal"/>
      <w:lvlText w:val=""/>
      <w:lvlJc w:val="left"/>
    </w:lvl>
    <w:lvl w:ilvl="5" w:tplc="71343832">
      <w:numFmt w:val="decimal"/>
      <w:lvlText w:val=""/>
      <w:lvlJc w:val="left"/>
    </w:lvl>
    <w:lvl w:ilvl="6" w:tplc="5B646842">
      <w:numFmt w:val="decimal"/>
      <w:lvlText w:val=""/>
      <w:lvlJc w:val="left"/>
    </w:lvl>
    <w:lvl w:ilvl="7" w:tplc="2D8CD43E">
      <w:numFmt w:val="decimal"/>
      <w:lvlText w:val=""/>
      <w:lvlJc w:val="left"/>
    </w:lvl>
    <w:lvl w:ilvl="8" w:tplc="0732853C">
      <w:numFmt w:val="decimal"/>
      <w:lvlText w:val=""/>
      <w:lvlJc w:val="left"/>
    </w:lvl>
  </w:abstractNum>
  <w:abstractNum w:abstractNumId="984" w15:restartNumberingAfterBreak="0">
    <w:nsid w:val="677C3DA9"/>
    <w:multiLevelType w:val="hybridMultilevel"/>
    <w:tmpl w:val="990853D2"/>
    <w:lvl w:ilvl="0" w:tplc="F6C22F1A">
      <w:numFmt w:val="decimal"/>
      <w:lvlText w:val=""/>
      <w:lvlJc w:val="left"/>
    </w:lvl>
    <w:lvl w:ilvl="1" w:tplc="6388C09A">
      <w:start w:val="1"/>
      <w:numFmt w:val="bullet"/>
      <w:lvlText w:val=""/>
      <w:lvlJc w:val="left"/>
      <w:pPr>
        <w:ind w:left="1440" w:hanging="180"/>
      </w:pPr>
      <w:rPr>
        <w:rFonts w:ascii="Symbol" w:hAnsi="Symbol" w:hint="default"/>
      </w:rPr>
    </w:lvl>
    <w:lvl w:ilvl="2" w:tplc="6CAEA6D6">
      <w:numFmt w:val="decimal"/>
      <w:lvlText w:val=""/>
      <w:lvlJc w:val="left"/>
    </w:lvl>
    <w:lvl w:ilvl="3" w:tplc="029C8DC6">
      <w:numFmt w:val="decimal"/>
      <w:lvlText w:val=""/>
      <w:lvlJc w:val="left"/>
    </w:lvl>
    <w:lvl w:ilvl="4" w:tplc="62AA9ACA">
      <w:numFmt w:val="decimal"/>
      <w:lvlText w:val=""/>
      <w:lvlJc w:val="left"/>
    </w:lvl>
    <w:lvl w:ilvl="5" w:tplc="B54840C6">
      <w:numFmt w:val="decimal"/>
      <w:lvlText w:val=""/>
      <w:lvlJc w:val="left"/>
    </w:lvl>
    <w:lvl w:ilvl="6" w:tplc="5972D3F6">
      <w:numFmt w:val="decimal"/>
      <w:lvlText w:val=""/>
      <w:lvlJc w:val="left"/>
    </w:lvl>
    <w:lvl w:ilvl="7" w:tplc="34E23F8A">
      <w:numFmt w:val="decimal"/>
      <w:lvlText w:val=""/>
      <w:lvlJc w:val="left"/>
    </w:lvl>
    <w:lvl w:ilvl="8" w:tplc="01BAAAF6">
      <w:numFmt w:val="decimal"/>
      <w:lvlText w:val=""/>
      <w:lvlJc w:val="left"/>
    </w:lvl>
  </w:abstractNum>
  <w:abstractNum w:abstractNumId="985" w15:restartNumberingAfterBreak="0">
    <w:nsid w:val="67AC0021"/>
    <w:multiLevelType w:val="hybridMultilevel"/>
    <w:tmpl w:val="2F9E17A8"/>
    <w:lvl w:ilvl="0" w:tplc="CB645110">
      <w:start w:val="1"/>
      <w:numFmt w:val="bullet"/>
      <w:lvlText w:val=""/>
      <w:lvlJc w:val="left"/>
      <w:pPr>
        <w:ind w:left="720" w:hanging="180"/>
      </w:pPr>
      <w:rPr>
        <w:rFonts w:ascii="Symbol" w:hAnsi="Symbol" w:hint="default"/>
      </w:rPr>
    </w:lvl>
    <w:lvl w:ilvl="1" w:tplc="240C632E">
      <w:numFmt w:val="decimal"/>
      <w:lvlText w:val=""/>
      <w:lvlJc w:val="left"/>
    </w:lvl>
    <w:lvl w:ilvl="2" w:tplc="68841D62">
      <w:numFmt w:val="decimal"/>
      <w:lvlText w:val=""/>
      <w:lvlJc w:val="left"/>
    </w:lvl>
    <w:lvl w:ilvl="3" w:tplc="B5D66F68">
      <w:numFmt w:val="decimal"/>
      <w:lvlText w:val=""/>
      <w:lvlJc w:val="left"/>
    </w:lvl>
    <w:lvl w:ilvl="4" w:tplc="7E422158">
      <w:numFmt w:val="decimal"/>
      <w:lvlText w:val=""/>
      <w:lvlJc w:val="left"/>
    </w:lvl>
    <w:lvl w:ilvl="5" w:tplc="B5109A8C">
      <w:numFmt w:val="decimal"/>
      <w:lvlText w:val=""/>
      <w:lvlJc w:val="left"/>
    </w:lvl>
    <w:lvl w:ilvl="6" w:tplc="985EEB66">
      <w:numFmt w:val="decimal"/>
      <w:lvlText w:val=""/>
      <w:lvlJc w:val="left"/>
    </w:lvl>
    <w:lvl w:ilvl="7" w:tplc="4A503110">
      <w:numFmt w:val="decimal"/>
      <w:lvlText w:val=""/>
      <w:lvlJc w:val="left"/>
    </w:lvl>
    <w:lvl w:ilvl="8" w:tplc="8A06A4FA">
      <w:numFmt w:val="decimal"/>
      <w:lvlText w:val=""/>
      <w:lvlJc w:val="left"/>
    </w:lvl>
  </w:abstractNum>
  <w:abstractNum w:abstractNumId="986" w15:restartNumberingAfterBreak="0">
    <w:nsid w:val="67C961F9"/>
    <w:multiLevelType w:val="hybridMultilevel"/>
    <w:tmpl w:val="8CE49E94"/>
    <w:lvl w:ilvl="0" w:tplc="17962A34">
      <w:start w:val="1"/>
      <w:numFmt w:val="bullet"/>
      <w:lvlText w:val=""/>
      <w:lvlJc w:val="left"/>
      <w:pPr>
        <w:ind w:left="720" w:hanging="180"/>
      </w:pPr>
      <w:rPr>
        <w:rFonts w:ascii="Symbol" w:hAnsi="Symbol" w:hint="default"/>
      </w:rPr>
    </w:lvl>
    <w:lvl w:ilvl="1" w:tplc="973663AE">
      <w:numFmt w:val="decimal"/>
      <w:lvlText w:val=""/>
      <w:lvlJc w:val="left"/>
    </w:lvl>
    <w:lvl w:ilvl="2" w:tplc="9AFC2426">
      <w:numFmt w:val="decimal"/>
      <w:lvlText w:val=""/>
      <w:lvlJc w:val="left"/>
    </w:lvl>
    <w:lvl w:ilvl="3" w:tplc="1416F98C">
      <w:numFmt w:val="decimal"/>
      <w:lvlText w:val=""/>
      <w:lvlJc w:val="left"/>
    </w:lvl>
    <w:lvl w:ilvl="4" w:tplc="FC40A754">
      <w:numFmt w:val="decimal"/>
      <w:lvlText w:val=""/>
      <w:lvlJc w:val="left"/>
    </w:lvl>
    <w:lvl w:ilvl="5" w:tplc="F38A84B2">
      <w:numFmt w:val="decimal"/>
      <w:lvlText w:val=""/>
      <w:lvlJc w:val="left"/>
    </w:lvl>
    <w:lvl w:ilvl="6" w:tplc="18F24EF6">
      <w:numFmt w:val="decimal"/>
      <w:lvlText w:val=""/>
      <w:lvlJc w:val="left"/>
    </w:lvl>
    <w:lvl w:ilvl="7" w:tplc="9412F6CE">
      <w:numFmt w:val="decimal"/>
      <w:lvlText w:val=""/>
      <w:lvlJc w:val="left"/>
    </w:lvl>
    <w:lvl w:ilvl="8" w:tplc="D9E24CD0">
      <w:numFmt w:val="decimal"/>
      <w:lvlText w:val=""/>
      <w:lvlJc w:val="left"/>
    </w:lvl>
  </w:abstractNum>
  <w:abstractNum w:abstractNumId="987" w15:restartNumberingAfterBreak="0">
    <w:nsid w:val="68137F3F"/>
    <w:multiLevelType w:val="hybridMultilevel"/>
    <w:tmpl w:val="D5E8D38A"/>
    <w:lvl w:ilvl="0" w:tplc="E8ACC73E">
      <w:start w:val="1"/>
      <w:numFmt w:val="bullet"/>
      <w:lvlText w:val=""/>
      <w:lvlJc w:val="left"/>
      <w:pPr>
        <w:ind w:left="720" w:hanging="180"/>
      </w:pPr>
      <w:rPr>
        <w:rFonts w:ascii="Symbol" w:hAnsi="Symbol" w:hint="default"/>
      </w:rPr>
    </w:lvl>
    <w:lvl w:ilvl="1" w:tplc="2D06C220">
      <w:numFmt w:val="decimal"/>
      <w:lvlText w:val=""/>
      <w:lvlJc w:val="left"/>
    </w:lvl>
    <w:lvl w:ilvl="2" w:tplc="C0D05E8E">
      <w:numFmt w:val="decimal"/>
      <w:lvlText w:val=""/>
      <w:lvlJc w:val="left"/>
    </w:lvl>
    <w:lvl w:ilvl="3" w:tplc="F1A87C3E">
      <w:numFmt w:val="decimal"/>
      <w:lvlText w:val=""/>
      <w:lvlJc w:val="left"/>
    </w:lvl>
    <w:lvl w:ilvl="4" w:tplc="B51C68C4">
      <w:numFmt w:val="decimal"/>
      <w:lvlText w:val=""/>
      <w:lvlJc w:val="left"/>
    </w:lvl>
    <w:lvl w:ilvl="5" w:tplc="AFE8EAA4">
      <w:numFmt w:val="decimal"/>
      <w:lvlText w:val=""/>
      <w:lvlJc w:val="left"/>
    </w:lvl>
    <w:lvl w:ilvl="6" w:tplc="30AC93B2">
      <w:numFmt w:val="decimal"/>
      <w:lvlText w:val=""/>
      <w:lvlJc w:val="left"/>
    </w:lvl>
    <w:lvl w:ilvl="7" w:tplc="ACDE475E">
      <w:numFmt w:val="decimal"/>
      <w:lvlText w:val=""/>
      <w:lvlJc w:val="left"/>
    </w:lvl>
    <w:lvl w:ilvl="8" w:tplc="714A96B6">
      <w:numFmt w:val="decimal"/>
      <w:lvlText w:val=""/>
      <w:lvlJc w:val="left"/>
    </w:lvl>
  </w:abstractNum>
  <w:abstractNum w:abstractNumId="988" w15:restartNumberingAfterBreak="0">
    <w:nsid w:val="686E1A9D"/>
    <w:multiLevelType w:val="hybridMultilevel"/>
    <w:tmpl w:val="3D287CA4"/>
    <w:lvl w:ilvl="0" w:tplc="23B07D90">
      <w:start w:val="1"/>
      <w:numFmt w:val="bullet"/>
      <w:lvlText w:val=""/>
      <w:lvlJc w:val="left"/>
      <w:pPr>
        <w:ind w:left="720" w:hanging="180"/>
      </w:pPr>
      <w:rPr>
        <w:rFonts w:ascii="Symbol" w:hAnsi="Symbol" w:hint="default"/>
      </w:rPr>
    </w:lvl>
    <w:lvl w:ilvl="1" w:tplc="99ACEA3A">
      <w:numFmt w:val="decimal"/>
      <w:lvlText w:val=""/>
      <w:lvlJc w:val="left"/>
    </w:lvl>
    <w:lvl w:ilvl="2" w:tplc="6AE69384">
      <w:numFmt w:val="decimal"/>
      <w:lvlText w:val=""/>
      <w:lvlJc w:val="left"/>
    </w:lvl>
    <w:lvl w:ilvl="3" w:tplc="92404498">
      <w:numFmt w:val="decimal"/>
      <w:lvlText w:val=""/>
      <w:lvlJc w:val="left"/>
    </w:lvl>
    <w:lvl w:ilvl="4" w:tplc="CFCEC17E">
      <w:numFmt w:val="decimal"/>
      <w:lvlText w:val=""/>
      <w:lvlJc w:val="left"/>
    </w:lvl>
    <w:lvl w:ilvl="5" w:tplc="7B6C755A">
      <w:numFmt w:val="decimal"/>
      <w:lvlText w:val=""/>
      <w:lvlJc w:val="left"/>
    </w:lvl>
    <w:lvl w:ilvl="6" w:tplc="98E2804A">
      <w:numFmt w:val="decimal"/>
      <w:lvlText w:val=""/>
      <w:lvlJc w:val="left"/>
    </w:lvl>
    <w:lvl w:ilvl="7" w:tplc="262E2D84">
      <w:numFmt w:val="decimal"/>
      <w:lvlText w:val=""/>
      <w:lvlJc w:val="left"/>
    </w:lvl>
    <w:lvl w:ilvl="8" w:tplc="7DB4C5CC">
      <w:numFmt w:val="decimal"/>
      <w:lvlText w:val=""/>
      <w:lvlJc w:val="left"/>
    </w:lvl>
  </w:abstractNum>
  <w:abstractNum w:abstractNumId="989" w15:restartNumberingAfterBreak="0">
    <w:nsid w:val="689154A0"/>
    <w:multiLevelType w:val="hybridMultilevel"/>
    <w:tmpl w:val="80FA6314"/>
    <w:lvl w:ilvl="0" w:tplc="5A9A3388">
      <w:numFmt w:val="decimal"/>
      <w:lvlText w:val=""/>
      <w:lvlJc w:val="left"/>
    </w:lvl>
    <w:lvl w:ilvl="1" w:tplc="357AEBB6">
      <w:start w:val="1"/>
      <w:numFmt w:val="bullet"/>
      <w:lvlText w:val=""/>
      <w:lvlJc w:val="left"/>
      <w:pPr>
        <w:ind w:left="1440" w:hanging="180"/>
      </w:pPr>
      <w:rPr>
        <w:rFonts w:ascii="Symbol" w:hAnsi="Symbol" w:hint="default"/>
      </w:rPr>
    </w:lvl>
    <w:lvl w:ilvl="2" w:tplc="401E3C02">
      <w:numFmt w:val="decimal"/>
      <w:lvlText w:val=""/>
      <w:lvlJc w:val="left"/>
    </w:lvl>
    <w:lvl w:ilvl="3" w:tplc="8188B99C">
      <w:numFmt w:val="decimal"/>
      <w:lvlText w:val=""/>
      <w:lvlJc w:val="left"/>
    </w:lvl>
    <w:lvl w:ilvl="4" w:tplc="167A8FE4">
      <w:numFmt w:val="decimal"/>
      <w:lvlText w:val=""/>
      <w:lvlJc w:val="left"/>
    </w:lvl>
    <w:lvl w:ilvl="5" w:tplc="80A0F756">
      <w:numFmt w:val="decimal"/>
      <w:lvlText w:val=""/>
      <w:lvlJc w:val="left"/>
    </w:lvl>
    <w:lvl w:ilvl="6" w:tplc="583689C4">
      <w:numFmt w:val="decimal"/>
      <w:lvlText w:val=""/>
      <w:lvlJc w:val="left"/>
    </w:lvl>
    <w:lvl w:ilvl="7" w:tplc="9DFAE96A">
      <w:numFmt w:val="decimal"/>
      <w:lvlText w:val=""/>
      <w:lvlJc w:val="left"/>
    </w:lvl>
    <w:lvl w:ilvl="8" w:tplc="314C9E58">
      <w:numFmt w:val="decimal"/>
      <w:lvlText w:val=""/>
      <w:lvlJc w:val="left"/>
    </w:lvl>
  </w:abstractNum>
  <w:abstractNum w:abstractNumId="990" w15:restartNumberingAfterBreak="0">
    <w:nsid w:val="689449D1"/>
    <w:multiLevelType w:val="hybridMultilevel"/>
    <w:tmpl w:val="1CCC1974"/>
    <w:lvl w:ilvl="0" w:tplc="CE763B26">
      <w:start w:val="1"/>
      <w:numFmt w:val="bullet"/>
      <w:lvlText w:val=""/>
      <w:lvlJc w:val="left"/>
      <w:pPr>
        <w:ind w:left="720" w:hanging="180"/>
      </w:pPr>
      <w:rPr>
        <w:rFonts w:ascii="Symbol" w:hAnsi="Symbol" w:hint="default"/>
      </w:rPr>
    </w:lvl>
    <w:lvl w:ilvl="1" w:tplc="80E411E4">
      <w:numFmt w:val="decimal"/>
      <w:lvlText w:val=""/>
      <w:lvlJc w:val="left"/>
    </w:lvl>
    <w:lvl w:ilvl="2" w:tplc="B540DE2E">
      <w:numFmt w:val="decimal"/>
      <w:lvlText w:val=""/>
      <w:lvlJc w:val="left"/>
    </w:lvl>
    <w:lvl w:ilvl="3" w:tplc="17B4A280">
      <w:numFmt w:val="decimal"/>
      <w:lvlText w:val=""/>
      <w:lvlJc w:val="left"/>
    </w:lvl>
    <w:lvl w:ilvl="4" w:tplc="B5BEDF48">
      <w:numFmt w:val="decimal"/>
      <w:lvlText w:val=""/>
      <w:lvlJc w:val="left"/>
    </w:lvl>
    <w:lvl w:ilvl="5" w:tplc="8E027B0A">
      <w:numFmt w:val="decimal"/>
      <w:lvlText w:val=""/>
      <w:lvlJc w:val="left"/>
    </w:lvl>
    <w:lvl w:ilvl="6" w:tplc="92E4BE58">
      <w:numFmt w:val="decimal"/>
      <w:lvlText w:val=""/>
      <w:lvlJc w:val="left"/>
    </w:lvl>
    <w:lvl w:ilvl="7" w:tplc="C6AC2D88">
      <w:numFmt w:val="decimal"/>
      <w:lvlText w:val=""/>
      <w:lvlJc w:val="left"/>
    </w:lvl>
    <w:lvl w:ilvl="8" w:tplc="45FA1518">
      <w:numFmt w:val="decimal"/>
      <w:lvlText w:val=""/>
      <w:lvlJc w:val="left"/>
    </w:lvl>
  </w:abstractNum>
  <w:abstractNum w:abstractNumId="991" w15:restartNumberingAfterBreak="0">
    <w:nsid w:val="68986E43"/>
    <w:multiLevelType w:val="hybridMultilevel"/>
    <w:tmpl w:val="BBA67498"/>
    <w:lvl w:ilvl="0" w:tplc="800CD81C">
      <w:start w:val="1"/>
      <w:numFmt w:val="bullet"/>
      <w:lvlText w:val=""/>
      <w:lvlJc w:val="left"/>
      <w:pPr>
        <w:ind w:left="720" w:hanging="180"/>
      </w:pPr>
      <w:rPr>
        <w:rFonts w:ascii="Symbol" w:hAnsi="Symbol" w:hint="default"/>
      </w:rPr>
    </w:lvl>
    <w:lvl w:ilvl="1" w:tplc="5C64C390">
      <w:numFmt w:val="decimal"/>
      <w:lvlText w:val=""/>
      <w:lvlJc w:val="left"/>
    </w:lvl>
    <w:lvl w:ilvl="2" w:tplc="02746746">
      <w:numFmt w:val="decimal"/>
      <w:lvlText w:val=""/>
      <w:lvlJc w:val="left"/>
    </w:lvl>
    <w:lvl w:ilvl="3" w:tplc="5274C726">
      <w:numFmt w:val="decimal"/>
      <w:lvlText w:val=""/>
      <w:lvlJc w:val="left"/>
    </w:lvl>
    <w:lvl w:ilvl="4" w:tplc="967A346C">
      <w:numFmt w:val="decimal"/>
      <w:lvlText w:val=""/>
      <w:lvlJc w:val="left"/>
    </w:lvl>
    <w:lvl w:ilvl="5" w:tplc="5AFE178A">
      <w:numFmt w:val="decimal"/>
      <w:lvlText w:val=""/>
      <w:lvlJc w:val="left"/>
    </w:lvl>
    <w:lvl w:ilvl="6" w:tplc="5EDEDCA6">
      <w:numFmt w:val="decimal"/>
      <w:lvlText w:val=""/>
      <w:lvlJc w:val="left"/>
    </w:lvl>
    <w:lvl w:ilvl="7" w:tplc="859C3AA4">
      <w:numFmt w:val="decimal"/>
      <w:lvlText w:val=""/>
      <w:lvlJc w:val="left"/>
    </w:lvl>
    <w:lvl w:ilvl="8" w:tplc="32A6556E">
      <w:numFmt w:val="decimal"/>
      <w:lvlText w:val=""/>
      <w:lvlJc w:val="left"/>
    </w:lvl>
  </w:abstractNum>
  <w:abstractNum w:abstractNumId="992" w15:restartNumberingAfterBreak="0">
    <w:nsid w:val="68A96BEB"/>
    <w:multiLevelType w:val="hybridMultilevel"/>
    <w:tmpl w:val="BD6448D4"/>
    <w:lvl w:ilvl="0" w:tplc="48D6C834">
      <w:start w:val="1"/>
      <w:numFmt w:val="bullet"/>
      <w:lvlText w:val=""/>
      <w:lvlJc w:val="left"/>
      <w:pPr>
        <w:ind w:left="720" w:hanging="180"/>
      </w:pPr>
      <w:rPr>
        <w:rFonts w:ascii="Symbol" w:hAnsi="Symbol" w:hint="default"/>
      </w:rPr>
    </w:lvl>
    <w:lvl w:ilvl="1" w:tplc="272AFA68">
      <w:numFmt w:val="decimal"/>
      <w:lvlText w:val=""/>
      <w:lvlJc w:val="left"/>
    </w:lvl>
    <w:lvl w:ilvl="2" w:tplc="303CD406">
      <w:numFmt w:val="decimal"/>
      <w:lvlText w:val=""/>
      <w:lvlJc w:val="left"/>
    </w:lvl>
    <w:lvl w:ilvl="3" w:tplc="738E99B6">
      <w:numFmt w:val="decimal"/>
      <w:lvlText w:val=""/>
      <w:lvlJc w:val="left"/>
    </w:lvl>
    <w:lvl w:ilvl="4" w:tplc="7FC42154">
      <w:numFmt w:val="decimal"/>
      <w:lvlText w:val=""/>
      <w:lvlJc w:val="left"/>
    </w:lvl>
    <w:lvl w:ilvl="5" w:tplc="DFFA2732">
      <w:numFmt w:val="decimal"/>
      <w:lvlText w:val=""/>
      <w:lvlJc w:val="left"/>
    </w:lvl>
    <w:lvl w:ilvl="6" w:tplc="1946DE98">
      <w:numFmt w:val="decimal"/>
      <w:lvlText w:val=""/>
      <w:lvlJc w:val="left"/>
    </w:lvl>
    <w:lvl w:ilvl="7" w:tplc="31563960">
      <w:numFmt w:val="decimal"/>
      <w:lvlText w:val=""/>
      <w:lvlJc w:val="left"/>
    </w:lvl>
    <w:lvl w:ilvl="8" w:tplc="7C30CF36">
      <w:numFmt w:val="decimal"/>
      <w:lvlText w:val=""/>
      <w:lvlJc w:val="left"/>
    </w:lvl>
  </w:abstractNum>
  <w:abstractNum w:abstractNumId="993" w15:restartNumberingAfterBreak="0">
    <w:nsid w:val="68B414E2"/>
    <w:multiLevelType w:val="hybridMultilevel"/>
    <w:tmpl w:val="89B09374"/>
    <w:lvl w:ilvl="0" w:tplc="677ECE16">
      <w:start w:val="1"/>
      <w:numFmt w:val="bullet"/>
      <w:lvlText w:val=""/>
      <w:lvlJc w:val="left"/>
      <w:pPr>
        <w:ind w:left="720" w:hanging="180"/>
      </w:pPr>
      <w:rPr>
        <w:rFonts w:ascii="Symbol" w:hAnsi="Symbol" w:hint="default"/>
      </w:rPr>
    </w:lvl>
    <w:lvl w:ilvl="1" w:tplc="CA584F26">
      <w:numFmt w:val="decimal"/>
      <w:lvlText w:val=""/>
      <w:lvlJc w:val="left"/>
    </w:lvl>
    <w:lvl w:ilvl="2" w:tplc="CA5CE4CC">
      <w:numFmt w:val="decimal"/>
      <w:lvlText w:val=""/>
      <w:lvlJc w:val="left"/>
    </w:lvl>
    <w:lvl w:ilvl="3" w:tplc="1FB815F0">
      <w:numFmt w:val="decimal"/>
      <w:lvlText w:val=""/>
      <w:lvlJc w:val="left"/>
    </w:lvl>
    <w:lvl w:ilvl="4" w:tplc="DE54F554">
      <w:numFmt w:val="decimal"/>
      <w:lvlText w:val=""/>
      <w:lvlJc w:val="left"/>
    </w:lvl>
    <w:lvl w:ilvl="5" w:tplc="59EE61FC">
      <w:numFmt w:val="decimal"/>
      <w:lvlText w:val=""/>
      <w:lvlJc w:val="left"/>
    </w:lvl>
    <w:lvl w:ilvl="6" w:tplc="82706A8A">
      <w:numFmt w:val="decimal"/>
      <w:lvlText w:val=""/>
      <w:lvlJc w:val="left"/>
    </w:lvl>
    <w:lvl w:ilvl="7" w:tplc="B2087466">
      <w:numFmt w:val="decimal"/>
      <w:lvlText w:val=""/>
      <w:lvlJc w:val="left"/>
    </w:lvl>
    <w:lvl w:ilvl="8" w:tplc="EB4C4412">
      <w:numFmt w:val="decimal"/>
      <w:lvlText w:val=""/>
      <w:lvlJc w:val="left"/>
    </w:lvl>
  </w:abstractNum>
  <w:abstractNum w:abstractNumId="994" w15:restartNumberingAfterBreak="0">
    <w:nsid w:val="68DA376E"/>
    <w:multiLevelType w:val="hybridMultilevel"/>
    <w:tmpl w:val="5A920028"/>
    <w:lvl w:ilvl="0" w:tplc="62BA1888">
      <w:start w:val="1"/>
      <w:numFmt w:val="bullet"/>
      <w:lvlText w:val=""/>
      <w:lvlJc w:val="left"/>
      <w:pPr>
        <w:ind w:left="720" w:hanging="180"/>
      </w:pPr>
      <w:rPr>
        <w:rFonts w:ascii="Symbol" w:hAnsi="Symbol" w:hint="default"/>
      </w:rPr>
    </w:lvl>
    <w:lvl w:ilvl="1" w:tplc="898C469C">
      <w:numFmt w:val="decimal"/>
      <w:lvlText w:val=""/>
      <w:lvlJc w:val="left"/>
    </w:lvl>
    <w:lvl w:ilvl="2" w:tplc="650033B4">
      <w:numFmt w:val="decimal"/>
      <w:lvlText w:val=""/>
      <w:lvlJc w:val="left"/>
    </w:lvl>
    <w:lvl w:ilvl="3" w:tplc="D780DE6E">
      <w:numFmt w:val="decimal"/>
      <w:lvlText w:val=""/>
      <w:lvlJc w:val="left"/>
    </w:lvl>
    <w:lvl w:ilvl="4" w:tplc="CD0016C6">
      <w:numFmt w:val="decimal"/>
      <w:lvlText w:val=""/>
      <w:lvlJc w:val="left"/>
    </w:lvl>
    <w:lvl w:ilvl="5" w:tplc="0CC4FCB4">
      <w:numFmt w:val="decimal"/>
      <w:lvlText w:val=""/>
      <w:lvlJc w:val="left"/>
    </w:lvl>
    <w:lvl w:ilvl="6" w:tplc="295E3DD4">
      <w:numFmt w:val="decimal"/>
      <w:lvlText w:val=""/>
      <w:lvlJc w:val="left"/>
    </w:lvl>
    <w:lvl w:ilvl="7" w:tplc="62003912">
      <w:numFmt w:val="decimal"/>
      <w:lvlText w:val=""/>
      <w:lvlJc w:val="left"/>
    </w:lvl>
    <w:lvl w:ilvl="8" w:tplc="B22A98E8">
      <w:numFmt w:val="decimal"/>
      <w:lvlText w:val=""/>
      <w:lvlJc w:val="left"/>
    </w:lvl>
  </w:abstractNum>
  <w:abstractNum w:abstractNumId="995" w15:restartNumberingAfterBreak="0">
    <w:nsid w:val="690C3AD6"/>
    <w:multiLevelType w:val="hybridMultilevel"/>
    <w:tmpl w:val="AE5210F6"/>
    <w:lvl w:ilvl="0" w:tplc="346ECEC4">
      <w:start w:val="1"/>
      <w:numFmt w:val="bullet"/>
      <w:lvlText w:val=""/>
      <w:lvlJc w:val="left"/>
      <w:pPr>
        <w:ind w:left="720" w:hanging="180"/>
      </w:pPr>
      <w:rPr>
        <w:rFonts w:ascii="Symbol" w:hAnsi="Symbol" w:hint="default"/>
      </w:rPr>
    </w:lvl>
    <w:lvl w:ilvl="1" w:tplc="AC56087C">
      <w:numFmt w:val="decimal"/>
      <w:lvlText w:val=""/>
      <w:lvlJc w:val="left"/>
    </w:lvl>
    <w:lvl w:ilvl="2" w:tplc="E03AA76E">
      <w:numFmt w:val="decimal"/>
      <w:lvlText w:val=""/>
      <w:lvlJc w:val="left"/>
    </w:lvl>
    <w:lvl w:ilvl="3" w:tplc="A648A2E0">
      <w:numFmt w:val="decimal"/>
      <w:lvlText w:val=""/>
      <w:lvlJc w:val="left"/>
    </w:lvl>
    <w:lvl w:ilvl="4" w:tplc="D5BA014E">
      <w:numFmt w:val="decimal"/>
      <w:lvlText w:val=""/>
      <w:lvlJc w:val="left"/>
    </w:lvl>
    <w:lvl w:ilvl="5" w:tplc="7FDA44E2">
      <w:numFmt w:val="decimal"/>
      <w:lvlText w:val=""/>
      <w:lvlJc w:val="left"/>
    </w:lvl>
    <w:lvl w:ilvl="6" w:tplc="F17CA8C0">
      <w:numFmt w:val="decimal"/>
      <w:lvlText w:val=""/>
      <w:lvlJc w:val="left"/>
    </w:lvl>
    <w:lvl w:ilvl="7" w:tplc="3E92BF8C">
      <w:numFmt w:val="decimal"/>
      <w:lvlText w:val=""/>
      <w:lvlJc w:val="left"/>
    </w:lvl>
    <w:lvl w:ilvl="8" w:tplc="E14A5402">
      <w:numFmt w:val="decimal"/>
      <w:lvlText w:val=""/>
      <w:lvlJc w:val="left"/>
    </w:lvl>
  </w:abstractNum>
  <w:abstractNum w:abstractNumId="996" w15:restartNumberingAfterBreak="0">
    <w:nsid w:val="694C435D"/>
    <w:multiLevelType w:val="hybridMultilevel"/>
    <w:tmpl w:val="0088C2E8"/>
    <w:lvl w:ilvl="0" w:tplc="D4E2A15E">
      <w:start w:val="1"/>
      <w:numFmt w:val="bullet"/>
      <w:lvlText w:val=""/>
      <w:lvlJc w:val="left"/>
      <w:pPr>
        <w:ind w:left="720" w:hanging="180"/>
      </w:pPr>
      <w:rPr>
        <w:rFonts w:ascii="Symbol" w:hAnsi="Symbol" w:hint="default"/>
      </w:rPr>
    </w:lvl>
    <w:lvl w:ilvl="1" w:tplc="133AFFF2">
      <w:numFmt w:val="decimal"/>
      <w:lvlText w:val=""/>
      <w:lvlJc w:val="left"/>
    </w:lvl>
    <w:lvl w:ilvl="2" w:tplc="9D02E562">
      <w:numFmt w:val="decimal"/>
      <w:lvlText w:val=""/>
      <w:lvlJc w:val="left"/>
    </w:lvl>
    <w:lvl w:ilvl="3" w:tplc="62CCC738">
      <w:numFmt w:val="decimal"/>
      <w:lvlText w:val=""/>
      <w:lvlJc w:val="left"/>
    </w:lvl>
    <w:lvl w:ilvl="4" w:tplc="47029C6E">
      <w:numFmt w:val="decimal"/>
      <w:lvlText w:val=""/>
      <w:lvlJc w:val="left"/>
    </w:lvl>
    <w:lvl w:ilvl="5" w:tplc="BD32A8BE">
      <w:numFmt w:val="decimal"/>
      <w:lvlText w:val=""/>
      <w:lvlJc w:val="left"/>
    </w:lvl>
    <w:lvl w:ilvl="6" w:tplc="F7F07374">
      <w:numFmt w:val="decimal"/>
      <w:lvlText w:val=""/>
      <w:lvlJc w:val="left"/>
    </w:lvl>
    <w:lvl w:ilvl="7" w:tplc="98C8D33E">
      <w:numFmt w:val="decimal"/>
      <w:lvlText w:val=""/>
      <w:lvlJc w:val="left"/>
    </w:lvl>
    <w:lvl w:ilvl="8" w:tplc="71CC2D4E">
      <w:numFmt w:val="decimal"/>
      <w:lvlText w:val=""/>
      <w:lvlJc w:val="left"/>
    </w:lvl>
  </w:abstractNum>
  <w:abstractNum w:abstractNumId="997" w15:restartNumberingAfterBreak="0">
    <w:nsid w:val="695C352E"/>
    <w:multiLevelType w:val="hybridMultilevel"/>
    <w:tmpl w:val="DA7AF94E"/>
    <w:lvl w:ilvl="0" w:tplc="EE62E1BC">
      <w:start w:val="1"/>
      <w:numFmt w:val="bullet"/>
      <w:lvlText w:val=""/>
      <w:lvlJc w:val="left"/>
      <w:pPr>
        <w:ind w:left="720" w:hanging="180"/>
      </w:pPr>
      <w:rPr>
        <w:rFonts w:ascii="Symbol" w:hAnsi="Symbol" w:hint="default"/>
      </w:rPr>
    </w:lvl>
    <w:lvl w:ilvl="1" w:tplc="73F27D46">
      <w:numFmt w:val="decimal"/>
      <w:lvlText w:val=""/>
      <w:lvlJc w:val="left"/>
    </w:lvl>
    <w:lvl w:ilvl="2" w:tplc="7F3473DE">
      <w:numFmt w:val="decimal"/>
      <w:lvlText w:val=""/>
      <w:lvlJc w:val="left"/>
    </w:lvl>
    <w:lvl w:ilvl="3" w:tplc="AADC2398">
      <w:numFmt w:val="decimal"/>
      <w:lvlText w:val=""/>
      <w:lvlJc w:val="left"/>
    </w:lvl>
    <w:lvl w:ilvl="4" w:tplc="DD7EB872">
      <w:numFmt w:val="decimal"/>
      <w:lvlText w:val=""/>
      <w:lvlJc w:val="left"/>
    </w:lvl>
    <w:lvl w:ilvl="5" w:tplc="71F653A2">
      <w:numFmt w:val="decimal"/>
      <w:lvlText w:val=""/>
      <w:lvlJc w:val="left"/>
    </w:lvl>
    <w:lvl w:ilvl="6" w:tplc="DCF085A6">
      <w:numFmt w:val="decimal"/>
      <w:lvlText w:val=""/>
      <w:lvlJc w:val="left"/>
    </w:lvl>
    <w:lvl w:ilvl="7" w:tplc="DBA630DC">
      <w:numFmt w:val="decimal"/>
      <w:lvlText w:val=""/>
      <w:lvlJc w:val="left"/>
    </w:lvl>
    <w:lvl w:ilvl="8" w:tplc="E26840B0">
      <w:numFmt w:val="decimal"/>
      <w:lvlText w:val=""/>
      <w:lvlJc w:val="left"/>
    </w:lvl>
  </w:abstractNum>
  <w:abstractNum w:abstractNumId="998" w15:restartNumberingAfterBreak="0">
    <w:nsid w:val="697174B7"/>
    <w:multiLevelType w:val="hybridMultilevel"/>
    <w:tmpl w:val="E0E424A4"/>
    <w:lvl w:ilvl="0" w:tplc="161816EA">
      <w:start w:val="1"/>
      <w:numFmt w:val="bullet"/>
      <w:lvlText w:val=""/>
      <w:lvlJc w:val="left"/>
      <w:pPr>
        <w:ind w:left="720" w:hanging="180"/>
      </w:pPr>
      <w:rPr>
        <w:rFonts w:ascii="Symbol" w:hAnsi="Symbol" w:hint="default"/>
      </w:rPr>
    </w:lvl>
    <w:lvl w:ilvl="1" w:tplc="6E10DCDC">
      <w:numFmt w:val="decimal"/>
      <w:lvlText w:val=""/>
      <w:lvlJc w:val="left"/>
    </w:lvl>
    <w:lvl w:ilvl="2" w:tplc="67768B40">
      <w:numFmt w:val="decimal"/>
      <w:lvlText w:val=""/>
      <w:lvlJc w:val="left"/>
    </w:lvl>
    <w:lvl w:ilvl="3" w:tplc="8320C13E">
      <w:numFmt w:val="decimal"/>
      <w:lvlText w:val=""/>
      <w:lvlJc w:val="left"/>
    </w:lvl>
    <w:lvl w:ilvl="4" w:tplc="06F8D97A">
      <w:numFmt w:val="decimal"/>
      <w:lvlText w:val=""/>
      <w:lvlJc w:val="left"/>
    </w:lvl>
    <w:lvl w:ilvl="5" w:tplc="9E1ABA76">
      <w:numFmt w:val="decimal"/>
      <w:lvlText w:val=""/>
      <w:lvlJc w:val="left"/>
    </w:lvl>
    <w:lvl w:ilvl="6" w:tplc="F6FCE61C">
      <w:numFmt w:val="decimal"/>
      <w:lvlText w:val=""/>
      <w:lvlJc w:val="left"/>
    </w:lvl>
    <w:lvl w:ilvl="7" w:tplc="8606F8AC">
      <w:numFmt w:val="decimal"/>
      <w:lvlText w:val=""/>
      <w:lvlJc w:val="left"/>
    </w:lvl>
    <w:lvl w:ilvl="8" w:tplc="88187484">
      <w:numFmt w:val="decimal"/>
      <w:lvlText w:val=""/>
      <w:lvlJc w:val="left"/>
    </w:lvl>
  </w:abstractNum>
  <w:abstractNum w:abstractNumId="999" w15:restartNumberingAfterBreak="0">
    <w:nsid w:val="69970B6B"/>
    <w:multiLevelType w:val="hybridMultilevel"/>
    <w:tmpl w:val="6E2C0344"/>
    <w:lvl w:ilvl="0" w:tplc="BF4C4104">
      <w:start w:val="1"/>
      <w:numFmt w:val="bullet"/>
      <w:lvlText w:val=""/>
      <w:lvlJc w:val="left"/>
      <w:pPr>
        <w:ind w:left="720" w:hanging="180"/>
      </w:pPr>
      <w:rPr>
        <w:rFonts w:ascii="Symbol" w:hAnsi="Symbol" w:hint="default"/>
      </w:rPr>
    </w:lvl>
    <w:lvl w:ilvl="1" w:tplc="BDAE4536">
      <w:numFmt w:val="decimal"/>
      <w:lvlText w:val=""/>
      <w:lvlJc w:val="left"/>
    </w:lvl>
    <w:lvl w:ilvl="2" w:tplc="8FA2A7A8">
      <w:numFmt w:val="decimal"/>
      <w:lvlText w:val=""/>
      <w:lvlJc w:val="left"/>
    </w:lvl>
    <w:lvl w:ilvl="3" w:tplc="702EF5D0">
      <w:numFmt w:val="decimal"/>
      <w:lvlText w:val=""/>
      <w:lvlJc w:val="left"/>
    </w:lvl>
    <w:lvl w:ilvl="4" w:tplc="D7FA2F26">
      <w:numFmt w:val="decimal"/>
      <w:lvlText w:val=""/>
      <w:lvlJc w:val="left"/>
    </w:lvl>
    <w:lvl w:ilvl="5" w:tplc="2A78BDE0">
      <w:numFmt w:val="decimal"/>
      <w:lvlText w:val=""/>
      <w:lvlJc w:val="left"/>
    </w:lvl>
    <w:lvl w:ilvl="6" w:tplc="EA08EBB8">
      <w:numFmt w:val="decimal"/>
      <w:lvlText w:val=""/>
      <w:lvlJc w:val="left"/>
    </w:lvl>
    <w:lvl w:ilvl="7" w:tplc="847CEFBA">
      <w:numFmt w:val="decimal"/>
      <w:lvlText w:val=""/>
      <w:lvlJc w:val="left"/>
    </w:lvl>
    <w:lvl w:ilvl="8" w:tplc="3D80D7AE">
      <w:numFmt w:val="decimal"/>
      <w:lvlText w:val=""/>
      <w:lvlJc w:val="left"/>
    </w:lvl>
  </w:abstractNum>
  <w:abstractNum w:abstractNumId="1000" w15:restartNumberingAfterBreak="0">
    <w:nsid w:val="69D96CD4"/>
    <w:multiLevelType w:val="hybridMultilevel"/>
    <w:tmpl w:val="7C6EFEBC"/>
    <w:lvl w:ilvl="0" w:tplc="2F343D80">
      <w:start w:val="1"/>
      <w:numFmt w:val="bullet"/>
      <w:lvlText w:val=""/>
      <w:lvlJc w:val="left"/>
      <w:pPr>
        <w:ind w:left="720" w:hanging="180"/>
      </w:pPr>
      <w:rPr>
        <w:rFonts w:ascii="Symbol" w:hAnsi="Symbol" w:hint="default"/>
      </w:rPr>
    </w:lvl>
    <w:lvl w:ilvl="1" w:tplc="DAB02176">
      <w:numFmt w:val="decimal"/>
      <w:lvlText w:val=""/>
      <w:lvlJc w:val="left"/>
    </w:lvl>
    <w:lvl w:ilvl="2" w:tplc="FB50D91C">
      <w:numFmt w:val="decimal"/>
      <w:lvlText w:val=""/>
      <w:lvlJc w:val="left"/>
    </w:lvl>
    <w:lvl w:ilvl="3" w:tplc="B4D013EA">
      <w:numFmt w:val="decimal"/>
      <w:lvlText w:val=""/>
      <w:lvlJc w:val="left"/>
    </w:lvl>
    <w:lvl w:ilvl="4" w:tplc="730AA290">
      <w:numFmt w:val="decimal"/>
      <w:lvlText w:val=""/>
      <w:lvlJc w:val="left"/>
    </w:lvl>
    <w:lvl w:ilvl="5" w:tplc="EBC4667C">
      <w:numFmt w:val="decimal"/>
      <w:lvlText w:val=""/>
      <w:lvlJc w:val="left"/>
    </w:lvl>
    <w:lvl w:ilvl="6" w:tplc="1E82A166">
      <w:numFmt w:val="decimal"/>
      <w:lvlText w:val=""/>
      <w:lvlJc w:val="left"/>
    </w:lvl>
    <w:lvl w:ilvl="7" w:tplc="48DC8C0E">
      <w:numFmt w:val="decimal"/>
      <w:lvlText w:val=""/>
      <w:lvlJc w:val="left"/>
    </w:lvl>
    <w:lvl w:ilvl="8" w:tplc="90DCB508">
      <w:numFmt w:val="decimal"/>
      <w:lvlText w:val=""/>
      <w:lvlJc w:val="left"/>
    </w:lvl>
  </w:abstractNum>
  <w:abstractNum w:abstractNumId="1001" w15:restartNumberingAfterBreak="0">
    <w:nsid w:val="6A016D96"/>
    <w:multiLevelType w:val="hybridMultilevel"/>
    <w:tmpl w:val="B55C3606"/>
    <w:lvl w:ilvl="0" w:tplc="D318EF6A">
      <w:start w:val="1"/>
      <w:numFmt w:val="bullet"/>
      <w:lvlText w:val=""/>
      <w:lvlJc w:val="left"/>
      <w:pPr>
        <w:ind w:left="720" w:hanging="180"/>
      </w:pPr>
      <w:rPr>
        <w:rFonts w:ascii="Symbol" w:hAnsi="Symbol" w:hint="default"/>
      </w:rPr>
    </w:lvl>
    <w:lvl w:ilvl="1" w:tplc="4AD88FD6">
      <w:numFmt w:val="decimal"/>
      <w:lvlText w:val=""/>
      <w:lvlJc w:val="left"/>
    </w:lvl>
    <w:lvl w:ilvl="2" w:tplc="8A5C6ACC">
      <w:numFmt w:val="decimal"/>
      <w:lvlText w:val=""/>
      <w:lvlJc w:val="left"/>
    </w:lvl>
    <w:lvl w:ilvl="3" w:tplc="B6509024">
      <w:numFmt w:val="decimal"/>
      <w:lvlText w:val=""/>
      <w:lvlJc w:val="left"/>
    </w:lvl>
    <w:lvl w:ilvl="4" w:tplc="35E4FCC0">
      <w:numFmt w:val="decimal"/>
      <w:lvlText w:val=""/>
      <w:lvlJc w:val="left"/>
    </w:lvl>
    <w:lvl w:ilvl="5" w:tplc="D4AEBBB2">
      <w:numFmt w:val="decimal"/>
      <w:lvlText w:val=""/>
      <w:lvlJc w:val="left"/>
    </w:lvl>
    <w:lvl w:ilvl="6" w:tplc="49F6B11A">
      <w:numFmt w:val="decimal"/>
      <w:lvlText w:val=""/>
      <w:lvlJc w:val="left"/>
    </w:lvl>
    <w:lvl w:ilvl="7" w:tplc="C81C687C">
      <w:numFmt w:val="decimal"/>
      <w:lvlText w:val=""/>
      <w:lvlJc w:val="left"/>
    </w:lvl>
    <w:lvl w:ilvl="8" w:tplc="C362FB32">
      <w:numFmt w:val="decimal"/>
      <w:lvlText w:val=""/>
      <w:lvlJc w:val="left"/>
    </w:lvl>
  </w:abstractNum>
  <w:abstractNum w:abstractNumId="1002" w15:restartNumberingAfterBreak="0">
    <w:nsid w:val="6A050AAF"/>
    <w:multiLevelType w:val="hybridMultilevel"/>
    <w:tmpl w:val="155CBE2A"/>
    <w:lvl w:ilvl="0" w:tplc="08B45CAE">
      <w:numFmt w:val="decimal"/>
      <w:lvlText w:val=""/>
      <w:lvlJc w:val="left"/>
    </w:lvl>
    <w:lvl w:ilvl="1" w:tplc="138407E6">
      <w:start w:val="1"/>
      <w:numFmt w:val="bullet"/>
      <w:lvlText w:val=""/>
      <w:lvlJc w:val="left"/>
      <w:pPr>
        <w:ind w:left="1440" w:hanging="180"/>
      </w:pPr>
      <w:rPr>
        <w:rFonts w:ascii="Symbol" w:hAnsi="Symbol" w:hint="default"/>
      </w:rPr>
    </w:lvl>
    <w:lvl w:ilvl="2" w:tplc="4DF28B8C">
      <w:numFmt w:val="decimal"/>
      <w:lvlText w:val=""/>
      <w:lvlJc w:val="left"/>
    </w:lvl>
    <w:lvl w:ilvl="3" w:tplc="FAA88FD2">
      <w:numFmt w:val="decimal"/>
      <w:lvlText w:val=""/>
      <w:lvlJc w:val="left"/>
    </w:lvl>
    <w:lvl w:ilvl="4" w:tplc="078A9C42">
      <w:numFmt w:val="decimal"/>
      <w:lvlText w:val=""/>
      <w:lvlJc w:val="left"/>
    </w:lvl>
    <w:lvl w:ilvl="5" w:tplc="FCA283A8">
      <w:numFmt w:val="decimal"/>
      <w:lvlText w:val=""/>
      <w:lvlJc w:val="left"/>
    </w:lvl>
    <w:lvl w:ilvl="6" w:tplc="6B76E6F2">
      <w:numFmt w:val="decimal"/>
      <w:lvlText w:val=""/>
      <w:lvlJc w:val="left"/>
    </w:lvl>
    <w:lvl w:ilvl="7" w:tplc="7DFE1352">
      <w:numFmt w:val="decimal"/>
      <w:lvlText w:val=""/>
      <w:lvlJc w:val="left"/>
    </w:lvl>
    <w:lvl w:ilvl="8" w:tplc="A8D43A76">
      <w:numFmt w:val="decimal"/>
      <w:lvlText w:val=""/>
      <w:lvlJc w:val="left"/>
    </w:lvl>
  </w:abstractNum>
  <w:abstractNum w:abstractNumId="1003" w15:restartNumberingAfterBreak="0">
    <w:nsid w:val="6A225885"/>
    <w:multiLevelType w:val="hybridMultilevel"/>
    <w:tmpl w:val="3B9416DA"/>
    <w:lvl w:ilvl="0" w:tplc="0E985B40">
      <w:start w:val="1"/>
      <w:numFmt w:val="bullet"/>
      <w:lvlText w:val=""/>
      <w:lvlJc w:val="left"/>
      <w:pPr>
        <w:ind w:left="720" w:hanging="180"/>
      </w:pPr>
      <w:rPr>
        <w:rFonts w:ascii="Symbol" w:hAnsi="Symbol" w:hint="default"/>
      </w:rPr>
    </w:lvl>
    <w:lvl w:ilvl="1" w:tplc="FE6AC6C2">
      <w:numFmt w:val="decimal"/>
      <w:lvlText w:val=""/>
      <w:lvlJc w:val="left"/>
    </w:lvl>
    <w:lvl w:ilvl="2" w:tplc="9AB8EA42">
      <w:numFmt w:val="decimal"/>
      <w:lvlText w:val=""/>
      <w:lvlJc w:val="left"/>
    </w:lvl>
    <w:lvl w:ilvl="3" w:tplc="A198F592">
      <w:numFmt w:val="decimal"/>
      <w:lvlText w:val=""/>
      <w:lvlJc w:val="left"/>
    </w:lvl>
    <w:lvl w:ilvl="4" w:tplc="7E3674BA">
      <w:numFmt w:val="decimal"/>
      <w:lvlText w:val=""/>
      <w:lvlJc w:val="left"/>
    </w:lvl>
    <w:lvl w:ilvl="5" w:tplc="93F225EC">
      <w:numFmt w:val="decimal"/>
      <w:lvlText w:val=""/>
      <w:lvlJc w:val="left"/>
    </w:lvl>
    <w:lvl w:ilvl="6" w:tplc="431E4066">
      <w:numFmt w:val="decimal"/>
      <w:lvlText w:val=""/>
      <w:lvlJc w:val="left"/>
    </w:lvl>
    <w:lvl w:ilvl="7" w:tplc="19402272">
      <w:numFmt w:val="decimal"/>
      <w:lvlText w:val=""/>
      <w:lvlJc w:val="left"/>
    </w:lvl>
    <w:lvl w:ilvl="8" w:tplc="FB4671D6">
      <w:numFmt w:val="decimal"/>
      <w:lvlText w:val=""/>
      <w:lvlJc w:val="left"/>
    </w:lvl>
  </w:abstractNum>
  <w:abstractNum w:abstractNumId="1004" w15:restartNumberingAfterBreak="0">
    <w:nsid w:val="6A244236"/>
    <w:multiLevelType w:val="hybridMultilevel"/>
    <w:tmpl w:val="B566A6D8"/>
    <w:lvl w:ilvl="0" w:tplc="59661D98">
      <w:start w:val="1"/>
      <w:numFmt w:val="bullet"/>
      <w:lvlText w:val=""/>
      <w:lvlJc w:val="left"/>
      <w:pPr>
        <w:ind w:left="720" w:hanging="180"/>
      </w:pPr>
      <w:rPr>
        <w:rFonts w:ascii="Symbol" w:hAnsi="Symbol" w:hint="default"/>
      </w:rPr>
    </w:lvl>
    <w:lvl w:ilvl="1" w:tplc="BBCACE84">
      <w:numFmt w:val="decimal"/>
      <w:lvlText w:val=""/>
      <w:lvlJc w:val="left"/>
    </w:lvl>
    <w:lvl w:ilvl="2" w:tplc="49186D98">
      <w:numFmt w:val="decimal"/>
      <w:lvlText w:val=""/>
      <w:lvlJc w:val="left"/>
    </w:lvl>
    <w:lvl w:ilvl="3" w:tplc="BE600AA0">
      <w:numFmt w:val="decimal"/>
      <w:lvlText w:val=""/>
      <w:lvlJc w:val="left"/>
    </w:lvl>
    <w:lvl w:ilvl="4" w:tplc="F002FBF6">
      <w:numFmt w:val="decimal"/>
      <w:lvlText w:val=""/>
      <w:lvlJc w:val="left"/>
    </w:lvl>
    <w:lvl w:ilvl="5" w:tplc="BD18C952">
      <w:numFmt w:val="decimal"/>
      <w:lvlText w:val=""/>
      <w:lvlJc w:val="left"/>
    </w:lvl>
    <w:lvl w:ilvl="6" w:tplc="E92CC1A0">
      <w:numFmt w:val="decimal"/>
      <w:lvlText w:val=""/>
      <w:lvlJc w:val="left"/>
    </w:lvl>
    <w:lvl w:ilvl="7" w:tplc="8E10696E">
      <w:numFmt w:val="decimal"/>
      <w:lvlText w:val=""/>
      <w:lvlJc w:val="left"/>
    </w:lvl>
    <w:lvl w:ilvl="8" w:tplc="16A631EC">
      <w:numFmt w:val="decimal"/>
      <w:lvlText w:val=""/>
      <w:lvlJc w:val="left"/>
    </w:lvl>
  </w:abstractNum>
  <w:abstractNum w:abstractNumId="1005" w15:restartNumberingAfterBreak="0">
    <w:nsid w:val="6A4C2EDD"/>
    <w:multiLevelType w:val="hybridMultilevel"/>
    <w:tmpl w:val="03FC466A"/>
    <w:lvl w:ilvl="0" w:tplc="BA5E2332">
      <w:start w:val="1"/>
      <w:numFmt w:val="bullet"/>
      <w:lvlText w:val=""/>
      <w:lvlJc w:val="left"/>
      <w:pPr>
        <w:ind w:left="720" w:hanging="180"/>
      </w:pPr>
      <w:rPr>
        <w:rFonts w:ascii="Symbol" w:hAnsi="Symbol" w:hint="default"/>
      </w:rPr>
    </w:lvl>
    <w:lvl w:ilvl="1" w:tplc="A93ABA46">
      <w:numFmt w:val="decimal"/>
      <w:lvlText w:val=""/>
      <w:lvlJc w:val="left"/>
    </w:lvl>
    <w:lvl w:ilvl="2" w:tplc="B9EAE8DE">
      <w:numFmt w:val="decimal"/>
      <w:lvlText w:val=""/>
      <w:lvlJc w:val="left"/>
    </w:lvl>
    <w:lvl w:ilvl="3" w:tplc="108AF9D2">
      <w:numFmt w:val="decimal"/>
      <w:lvlText w:val=""/>
      <w:lvlJc w:val="left"/>
    </w:lvl>
    <w:lvl w:ilvl="4" w:tplc="74E4B220">
      <w:numFmt w:val="decimal"/>
      <w:lvlText w:val=""/>
      <w:lvlJc w:val="left"/>
    </w:lvl>
    <w:lvl w:ilvl="5" w:tplc="EFD8C370">
      <w:numFmt w:val="decimal"/>
      <w:lvlText w:val=""/>
      <w:lvlJc w:val="left"/>
    </w:lvl>
    <w:lvl w:ilvl="6" w:tplc="333CD088">
      <w:numFmt w:val="decimal"/>
      <w:lvlText w:val=""/>
      <w:lvlJc w:val="left"/>
    </w:lvl>
    <w:lvl w:ilvl="7" w:tplc="AD761986">
      <w:numFmt w:val="decimal"/>
      <w:lvlText w:val=""/>
      <w:lvlJc w:val="left"/>
    </w:lvl>
    <w:lvl w:ilvl="8" w:tplc="90B041FC">
      <w:numFmt w:val="decimal"/>
      <w:lvlText w:val=""/>
      <w:lvlJc w:val="left"/>
    </w:lvl>
  </w:abstractNum>
  <w:abstractNum w:abstractNumId="1006" w15:restartNumberingAfterBreak="0">
    <w:nsid w:val="6A9E79A8"/>
    <w:multiLevelType w:val="hybridMultilevel"/>
    <w:tmpl w:val="D8D868FA"/>
    <w:lvl w:ilvl="0" w:tplc="AA66A7C2">
      <w:start w:val="1"/>
      <w:numFmt w:val="bullet"/>
      <w:lvlText w:val=""/>
      <w:lvlJc w:val="left"/>
      <w:pPr>
        <w:ind w:left="720" w:hanging="180"/>
      </w:pPr>
      <w:rPr>
        <w:rFonts w:ascii="Symbol" w:hAnsi="Symbol" w:hint="default"/>
      </w:rPr>
    </w:lvl>
    <w:lvl w:ilvl="1" w:tplc="5C6E61C6">
      <w:numFmt w:val="decimal"/>
      <w:lvlText w:val=""/>
      <w:lvlJc w:val="left"/>
    </w:lvl>
    <w:lvl w:ilvl="2" w:tplc="59103C2A">
      <w:numFmt w:val="decimal"/>
      <w:lvlText w:val=""/>
      <w:lvlJc w:val="left"/>
    </w:lvl>
    <w:lvl w:ilvl="3" w:tplc="AB78B706">
      <w:numFmt w:val="decimal"/>
      <w:lvlText w:val=""/>
      <w:lvlJc w:val="left"/>
    </w:lvl>
    <w:lvl w:ilvl="4" w:tplc="CE9CEBD8">
      <w:numFmt w:val="decimal"/>
      <w:lvlText w:val=""/>
      <w:lvlJc w:val="left"/>
    </w:lvl>
    <w:lvl w:ilvl="5" w:tplc="7A3CF0E2">
      <w:numFmt w:val="decimal"/>
      <w:lvlText w:val=""/>
      <w:lvlJc w:val="left"/>
    </w:lvl>
    <w:lvl w:ilvl="6" w:tplc="B55E5CD2">
      <w:numFmt w:val="decimal"/>
      <w:lvlText w:val=""/>
      <w:lvlJc w:val="left"/>
    </w:lvl>
    <w:lvl w:ilvl="7" w:tplc="730C0B24">
      <w:numFmt w:val="decimal"/>
      <w:lvlText w:val=""/>
      <w:lvlJc w:val="left"/>
    </w:lvl>
    <w:lvl w:ilvl="8" w:tplc="CD3AC1BC">
      <w:numFmt w:val="decimal"/>
      <w:lvlText w:val=""/>
      <w:lvlJc w:val="left"/>
    </w:lvl>
  </w:abstractNum>
  <w:abstractNum w:abstractNumId="1007" w15:restartNumberingAfterBreak="0">
    <w:nsid w:val="6AA45955"/>
    <w:multiLevelType w:val="hybridMultilevel"/>
    <w:tmpl w:val="90885B7A"/>
    <w:lvl w:ilvl="0" w:tplc="E2DCCF86">
      <w:start w:val="1"/>
      <w:numFmt w:val="bullet"/>
      <w:lvlText w:val=""/>
      <w:lvlJc w:val="left"/>
      <w:pPr>
        <w:ind w:left="720" w:hanging="180"/>
      </w:pPr>
      <w:rPr>
        <w:rFonts w:ascii="Symbol" w:hAnsi="Symbol" w:hint="default"/>
      </w:rPr>
    </w:lvl>
    <w:lvl w:ilvl="1" w:tplc="ED649382">
      <w:numFmt w:val="decimal"/>
      <w:lvlText w:val=""/>
      <w:lvlJc w:val="left"/>
    </w:lvl>
    <w:lvl w:ilvl="2" w:tplc="8570896A">
      <w:numFmt w:val="decimal"/>
      <w:lvlText w:val=""/>
      <w:lvlJc w:val="left"/>
    </w:lvl>
    <w:lvl w:ilvl="3" w:tplc="0906A02A">
      <w:numFmt w:val="decimal"/>
      <w:lvlText w:val=""/>
      <w:lvlJc w:val="left"/>
    </w:lvl>
    <w:lvl w:ilvl="4" w:tplc="F5263ABC">
      <w:numFmt w:val="decimal"/>
      <w:lvlText w:val=""/>
      <w:lvlJc w:val="left"/>
    </w:lvl>
    <w:lvl w:ilvl="5" w:tplc="98A0CFAC">
      <w:numFmt w:val="decimal"/>
      <w:lvlText w:val=""/>
      <w:lvlJc w:val="left"/>
    </w:lvl>
    <w:lvl w:ilvl="6" w:tplc="96CCBA34">
      <w:numFmt w:val="decimal"/>
      <w:lvlText w:val=""/>
      <w:lvlJc w:val="left"/>
    </w:lvl>
    <w:lvl w:ilvl="7" w:tplc="E9A0569A">
      <w:numFmt w:val="decimal"/>
      <w:lvlText w:val=""/>
      <w:lvlJc w:val="left"/>
    </w:lvl>
    <w:lvl w:ilvl="8" w:tplc="DF86D6F4">
      <w:numFmt w:val="decimal"/>
      <w:lvlText w:val=""/>
      <w:lvlJc w:val="left"/>
    </w:lvl>
  </w:abstractNum>
  <w:abstractNum w:abstractNumId="1008" w15:restartNumberingAfterBreak="0">
    <w:nsid w:val="6AA46DE3"/>
    <w:multiLevelType w:val="hybridMultilevel"/>
    <w:tmpl w:val="C9EE400A"/>
    <w:lvl w:ilvl="0" w:tplc="53DEEDF6">
      <w:start w:val="1"/>
      <w:numFmt w:val="bullet"/>
      <w:lvlText w:val=""/>
      <w:lvlJc w:val="left"/>
      <w:pPr>
        <w:ind w:left="720" w:hanging="180"/>
      </w:pPr>
      <w:rPr>
        <w:rFonts w:ascii="Symbol" w:hAnsi="Symbol" w:hint="default"/>
      </w:rPr>
    </w:lvl>
    <w:lvl w:ilvl="1" w:tplc="8CCE5960">
      <w:numFmt w:val="decimal"/>
      <w:lvlText w:val=""/>
      <w:lvlJc w:val="left"/>
    </w:lvl>
    <w:lvl w:ilvl="2" w:tplc="1F22D69E">
      <w:numFmt w:val="decimal"/>
      <w:lvlText w:val=""/>
      <w:lvlJc w:val="left"/>
    </w:lvl>
    <w:lvl w:ilvl="3" w:tplc="FF0ACD7E">
      <w:numFmt w:val="decimal"/>
      <w:lvlText w:val=""/>
      <w:lvlJc w:val="left"/>
    </w:lvl>
    <w:lvl w:ilvl="4" w:tplc="056ECF18">
      <w:numFmt w:val="decimal"/>
      <w:lvlText w:val=""/>
      <w:lvlJc w:val="left"/>
    </w:lvl>
    <w:lvl w:ilvl="5" w:tplc="63E26312">
      <w:numFmt w:val="decimal"/>
      <w:lvlText w:val=""/>
      <w:lvlJc w:val="left"/>
    </w:lvl>
    <w:lvl w:ilvl="6" w:tplc="420E797C">
      <w:numFmt w:val="decimal"/>
      <w:lvlText w:val=""/>
      <w:lvlJc w:val="left"/>
    </w:lvl>
    <w:lvl w:ilvl="7" w:tplc="22FC7CCC">
      <w:numFmt w:val="decimal"/>
      <w:lvlText w:val=""/>
      <w:lvlJc w:val="left"/>
    </w:lvl>
    <w:lvl w:ilvl="8" w:tplc="209209D2">
      <w:numFmt w:val="decimal"/>
      <w:lvlText w:val=""/>
      <w:lvlJc w:val="left"/>
    </w:lvl>
  </w:abstractNum>
  <w:abstractNum w:abstractNumId="1009" w15:restartNumberingAfterBreak="0">
    <w:nsid w:val="6AD35FE5"/>
    <w:multiLevelType w:val="hybridMultilevel"/>
    <w:tmpl w:val="19C06210"/>
    <w:lvl w:ilvl="0" w:tplc="537C3374">
      <w:numFmt w:val="decimal"/>
      <w:lvlText w:val=""/>
      <w:lvlJc w:val="left"/>
    </w:lvl>
    <w:lvl w:ilvl="1" w:tplc="6C1257A2">
      <w:start w:val="1"/>
      <w:numFmt w:val="bullet"/>
      <w:lvlText w:val=""/>
      <w:lvlJc w:val="left"/>
      <w:pPr>
        <w:ind w:left="1440" w:hanging="180"/>
      </w:pPr>
      <w:rPr>
        <w:rFonts w:ascii="Symbol" w:hAnsi="Symbol" w:hint="default"/>
      </w:rPr>
    </w:lvl>
    <w:lvl w:ilvl="2" w:tplc="40729F1C">
      <w:numFmt w:val="decimal"/>
      <w:lvlText w:val=""/>
      <w:lvlJc w:val="left"/>
    </w:lvl>
    <w:lvl w:ilvl="3" w:tplc="A51EEEEC">
      <w:numFmt w:val="decimal"/>
      <w:lvlText w:val=""/>
      <w:lvlJc w:val="left"/>
    </w:lvl>
    <w:lvl w:ilvl="4" w:tplc="715C307C">
      <w:numFmt w:val="decimal"/>
      <w:lvlText w:val=""/>
      <w:lvlJc w:val="left"/>
    </w:lvl>
    <w:lvl w:ilvl="5" w:tplc="5916F84C">
      <w:numFmt w:val="decimal"/>
      <w:lvlText w:val=""/>
      <w:lvlJc w:val="left"/>
    </w:lvl>
    <w:lvl w:ilvl="6" w:tplc="362E1140">
      <w:numFmt w:val="decimal"/>
      <w:lvlText w:val=""/>
      <w:lvlJc w:val="left"/>
    </w:lvl>
    <w:lvl w:ilvl="7" w:tplc="0F405D2C">
      <w:numFmt w:val="decimal"/>
      <w:lvlText w:val=""/>
      <w:lvlJc w:val="left"/>
    </w:lvl>
    <w:lvl w:ilvl="8" w:tplc="E7C8A7BC">
      <w:numFmt w:val="decimal"/>
      <w:lvlText w:val=""/>
      <w:lvlJc w:val="left"/>
    </w:lvl>
  </w:abstractNum>
  <w:abstractNum w:abstractNumId="1010" w15:restartNumberingAfterBreak="0">
    <w:nsid w:val="6B241C77"/>
    <w:multiLevelType w:val="hybridMultilevel"/>
    <w:tmpl w:val="93E8D2E6"/>
    <w:lvl w:ilvl="0" w:tplc="7BC22218">
      <w:numFmt w:val="decimal"/>
      <w:lvlText w:val=""/>
      <w:lvlJc w:val="left"/>
    </w:lvl>
    <w:lvl w:ilvl="1" w:tplc="5322CF2A">
      <w:start w:val="1"/>
      <w:numFmt w:val="bullet"/>
      <w:lvlText w:val=""/>
      <w:lvlJc w:val="left"/>
      <w:pPr>
        <w:ind w:left="1440" w:hanging="180"/>
      </w:pPr>
      <w:rPr>
        <w:rFonts w:ascii="Symbol" w:hAnsi="Symbol" w:hint="default"/>
      </w:rPr>
    </w:lvl>
    <w:lvl w:ilvl="2" w:tplc="0910F26A">
      <w:numFmt w:val="decimal"/>
      <w:lvlText w:val=""/>
      <w:lvlJc w:val="left"/>
    </w:lvl>
    <w:lvl w:ilvl="3" w:tplc="60CE4C58">
      <w:numFmt w:val="decimal"/>
      <w:lvlText w:val=""/>
      <w:lvlJc w:val="left"/>
    </w:lvl>
    <w:lvl w:ilvl="4" w:tplc="1ABA9112">
      <w:numFmt w:val="decimal"/>
      <w:lvlText w:val=""/>
      <w:lvlJc w:val="left"/>
    </w:lvl>
    <w:lvl w:ilvl="5" w:tplc="F83A60CE">
      <w:numFmt w:val="decimal"/>
      <w:lvlText w:val=""/>
      <w:lvlJc w:val="left"/>
    </w:lvl>
    <w:lvl w:ilvl="6" w:tplc="3E5261DC">
      <w:numFmt w:val="decimal"/>
      <w:lvlText w:val=""/>
      <w:lvlJc w:val="left"/>
    </w:lvl>
    <w:lvl w:ilvl="7" w:tplc="A6161C38">
      <w:numFmt w:val="decimal"/>
      <w:lvlText w:val=""/>
      <w:lvlJc w:val="left"/>
    </w:lvl>
    <w:lvl w:ilvl="8" w:tplc="F6720DFC">
      <w:numFmt w:val="decimal"/>
      <w:lvlText w:val=""/>
      <w:lvlJc w:val="left"/>
    </w:lvl>
  </w:abstractNum>
  <w:abstractNum w:abstractNumId="1011" w15:restartNumberingAfterBreak="0">
    <w:nsid w:val="6B4A3721"/>
    <w:multiLevelType w:val="hybridMultilevel"/>
    <w:tmpl w:val="7BA61E7A"/>
    <w:lvl w:ilvl="0" w:tplc="94B8F2E0">
      <w:start w:val="1"/>
      <w:numFmt w:val="bullet"/>
      <w:lvlText w:val=""/>
      <w:lvlJc w:val="left"/>
      <w:pPr>
        <w:ind w:left="720" w:hanging="180"/>
      </w:pPr>
      <w:rPr>
        <w:rFonts w:ascii="Symbol" w:hAnsi="Symbol" w:hint="default"/>
      </w:rPr>
    </w:lvl>
    <w:lvl w:ilvl="1" w:tplc="0ED41706">
      <w:numFmt w:val="decimal"/>
      <w:lvlText w:val=""/>
      <w:lvlJc w:val="left"/>
    </w:lvl>
    <w:lvl w:ilvl="2" w:tplc="8F3A4B12">
      <w:numFmt w:val="decimal"/>
      <w:lvlText w:val=""/>
      <w:lvlJc w:val="left"/>
    </w:lvl>
    <w:lvl w:ilvl="3" w:tplc="62E68E58">
      <w:numFmt w:val="decimal"/>
      <w:lvlText w:val=""/>
      <w:lvlJc w:val="left"/>
    </w:lvl>
    <w:lvl w:ilvl="4" w:tplc="46BAC702">
      <w:numFmt w:val="decimal"/>
      <w:lvlText w:val=""/>
      <w:lvlJc w:val="left"/>
    </w:lvl>
    <w:lvl w:ilvl="5" w:tplc="0FF201E0">
      <w:numFmt w:val="decimal"/>
      <w:lvlText w:val=""/>
      <w:lvlJc w:val="left"/>
    </w:lvl>
    <w:lvl w:ilvl="6" w:tplc="3188BD9E">
      <w:numFmt w:val="decimal"/>
      <w:lvlText w:val=""/>
      <w:lvlJc w:val="left"/>
    </w:lvl>
    <w:lvl w:ilvl="7" w:tplc="F3AE0DAC">
      <w:numFmt w:val="decimal"/>
      <w:lvlText w:val=""/>
      <w:lvlJc w:val="left"/>
    </w:lvl>
    <w:lvl w:ilvl="8" w:tplc="DCB4A494">
      <w:numFmt w:val="decimal"/>
      <w:lvlText w:val=""/>
      <w:lvlJc w:val="left"/>
    </w:lvl>
  </w:abstractNum>
  <w:abstractNum w:abstractNumId="1012" w15:restartNumberingAfterBreak="0">
    <w:nsid w:val="6B4B64DE"/>
    <w:multiLevelType w:val="hybridMultilevel"/>
    <w:tmpl w:val="C39856F8"/>
    <w:lvl w:ilvl="0" w:tplc="D4208884">
      <w:start w:val="1"/>
      <w:numFmt w:val="bullet"/>
      <w:lvlText w:val=""/>
      <w:lvlJc w:val="left"/>
      <w:pPr>
        <w:ind w:left="720" w:hanging="180"/>
      </w:pPr>
      <w:rPr>
        <w:rFonts w:ascii="Symbol" w:hAnsi="Symbol" w:hint="default"/>
      </w:rPr>
    </w:lvl>
    <w:lvl w:ilvl="1" w:tplc="CF8828AC">
      <w:numFmt w:val="decimal"/>
      <w:lvlText w:val=""/>
      <w:lvlJc w:val="left"/>
    </w:lvl>
    <w:lvl w:ilvl="2" w:tplc="C464D05C">
      <w:numFmt w:val="decimal"/>
      <w:lvlText w:val=""/>
      <w:lvlJc w:val="left"/>
    </w:lvl>
    <w:lvl w:ilvl="3" w:tplc="17C8956E">
      <w:numFmt w:val="decimal"/>
      <w:lvlText w:val=""/>
      <w:lvlJc w:val="left"/>
    </w:lvl>
    <w:lvl w:ilvl="4" w:tplc="0DD2A326">
      <w:numFmt w:val="decimal"/>
      <w:lvlText w:val=""/>
      <w:lvlJc w:val="left"/>
    </w:lvl>
    <w:lvl w:ilvl="5" w:tplc="833AD202">
      <w:numFmt w:val="decimal"/>
      <w:lvlText w:val=""/>
      <w:lvlJc w:val="left"/>
    </w:lvl>
    <w:lvl w:ilvl="6" w:tplc="2A80CB08">
      <w:numFmt w:val="decimal"/>
      <w:lvlText w:val=""/>
      <w:lvlJc w:val="left"/>
    </w:lvl>
    <w:lvl w:ilvl="7" w:tplc="69F0AD76">
      <w:numFmt w:val="decimal"/>
      <w:lvlText w:val=""/>
      <w:lvlJc w:val="left"/>
    </w:lvl>
    <w:lvl w:ilvl="8" w:tplc="28665234">
      <w:numFmt w:val="decimal"/>
      <w:lvlText w:val=""/>
      <w:lvlJc w:val="left"/>
    </w:lvl>
  </w:abstractNum>
  <w:abstractNum w:abstractNumId="1013" w15:restartNumberingAfterBreak="0">
    <w:nsid w:val="6B4C1744"/>
    <w:multiLevelType w:val="hybridMultilevel"/>
    <w:tmpl w:val="9348B714"/>
    <w:lvl w:ilvl="0" w:tplc="3304811A">
      <w:numFmt w:val="decimal"/>
      <w:lvlText w:val=""/>
      <w:lvlJc w:val="left"/>
    </w:lvl>
    <w:lvl w:ilvl="1" w:tplc="5F0A6B7E">
      <w:start w:val="1"/>
      <w:numFmt w:val="bullet"/>
      <w:lvlText w:val=""/>
      <w:lvlJc w:val="left"/>
      <w:pPr>
        <w:ind w:left="1440" w:hanging="180"/>
      </w:pPr>
      <w:rPr>
        <w:rFonts w:ascii="Symbol" w:hAnsi="Symbol" w:hint="default"/>
      </w:rPr>
    </w:lvl>
    <w:lvl w:ilvl="2" w:tplc="61628674">
      <w:numFmt w:val="decimal"/>
      <w:lvlText w:val=""/>
      <w:lvlJc w:val="left"/>
    </w:lvl>
    <w:lvl w:ilvl="3" w:tplc="895888AC">
      <w:numFmt w:val="decimal"/>
      <w:lvlText w:val=""/>
      <w:lvlJc w:val="left"/>
    </w:lvl>
    <w:lvl w:ilvl="4" w:tplc="99049712">
      <w:numFmt w:val="decimal"/>
      <w:lvlText w:val=""/>
      <w:lvlJc w:val="left"/>
    </w:lvl>
    <w:lvl w:ilvl="5" w:tplc="02B29F58">
      <w:numFmt w:val="decimal"/>
      <w:lvlText w:val=""/>
      <w:lvlJc w:val="left"/>
    </w:lvl>
    <w:lvl w:ilvl="6" w:tplc="8C8AF3C4">
      <w:numFmt w:val="decimal"/>
      <w:lvlText w:val=""/>
      <w:lvlJc w:val="left"/>
    </w:lvl>
    <w:lvl w:ilvl="7" w:tplc="32B0E6BC">
      <w:numFmt w:val="decimal"/>
      <w:lvlText w:val=""/>
      <w:lvlJc w:val="left"/>
    </w:lvl>
    <w:lvl w:ilvl="8" w:tplc="665C6240">
      <w:numFmt w:val="decimal"/>
      <w:lvlText w:val=""/>
      <w:lvlJc w:val="left"/>
    </w:lvl>
  </w:abstractNum>
  <w:abstractNum w:abstractNumId="1014" w15:restartNumberingAfterBreak="0">
    <w:nsid w:val="6B8514F1"/>
    <w:multiLevelType w:val="hybridMultilevel"/>
    <w:tmpl w:val="08B8DBA8"/>
    <w:lvl w:ilvl="0" w:tplc="57CED140">
      <w:start w:val="1"/>
      <w:numFmt w:val="bullet"/>
      <w:lvlText w:val=""/>
      <w:lvlJc w:val="left"/>
      <w:pPr>
        <w:ind w:left="720" w:hanging="180"/>
      </w:pPr>
      <w:rPr>
        <w:rFonts w:ascii="Symbol" w:hAnsi="Symbol" w:hint="default"/>
      </w:rPr>
    </w:lvl>
    <w:lvl w:ilvl="1" w:tplc="07E2E9F8">
      <w:numFmt w:val="decimal"/>
      <w:lvlText w:val=""/>
      <w:lvlJc w:val="left"/>
    </w:lvl>
    <w:lvl w:ilvl="2" w:tplc="7A72D336">
      <w:numFmt w:val="decimal"/>
      <w:lvlText w:val=""/>
      <w:lvlJc w:val="left"/>
    </w:lvl>
    <w:lvl w:ilvl="3" w:tplc="7E40CD20">
      <w:numFmt w:val="decimal"/>
      <w:lvlText w:val=""/>
      <w:lvlJc w:val="left"/>
    </w:lvl>
    <w:lvl w:ilvl="4" w:tplc="EF120924">
      <w:numFmt w:val="decimal"/>
      <w:lvlText w:val=""/>
      <w:lvlJc w:val="left"/>
    </w:lvl>
    <w:lvl w:ilvl="5" w:tplc="17940B12">
      <w:numFmt w:val="decimal"/>
      <w:lvlText w:val=""/>
      <w:lvlJc w:val="left"/>
    </w:lvl>
    <w:lvl w:ilvl="6" w:tplc="2A10FB78">
      <w:numFmt w:val="decimal"/>
      <w:lvlText w:val=""/>
      <w:lvlJc w:val="left"/>
    </w:lvl>
    <w:lvl w:ilvl="7" w:tplc="C354098E">
      <w:numFmt w:val="decimal"/>
      <w:lvlText w:val=""/>
      <w:lvlJc w:val="left"/>
    </w:lvl>
    <w:lvl w:ilvl="8" w:tplc="CC964796">
      <w:numFmt w:val="decimal"/>
      <w:lvlText w:val=""/>
      <w:lvlJc w:val="left"/>
    </w:lvl>
  </w:abstractNum>
  <w:abstractNum w:abstractNumId="1015" w15:restartNumberingAfterBreak="0">
    <w:nsid w:val="6B91769D"/>
    <w:multiLevelType w:val="hybridMultilevel"/>
    <w:tmpl w:val="7FA07A38"/>
    <w:lvl w:ilvl="0" w:tplc="2D880052">
      <w:start w:val="1"/>
      <w:numFmt w:val="bullet"/>
      <w:lvlText w:val=""/>
      <w:lvlJc w:val="left"/>
      <w:pPr>
        <w:ind w:left="720" w:hanging="180"/>
      </w:pPr>
      <w:rPr>
        <w:rFonts w:ascii="Symbol" w:hAnsi="Symbol" w:hint="default"/>
      </w:rPr>
    </w:lvl>
    <w:lvl w:ilvl="1" w:tplc="88B890D0">
      <w:numFmt w:val="decimal"/>
      <w:lvlText w:val=""/>
      <w:lvlJc w:val="left"/>
    </w:lvl>
    <w:lvl w:ilvl="2" w:tplc="FB0A4AC2">
      <w:numFmt w:val="decimal"/>
      <w:lvlText w:val=""/>
      <w:lvlJc w:val="left"/>
    </w:lvl>
    <w:lvl w:ilvl="3" w:tplc="48DC9BC2">
      <w:numFmt w:val="decimal"/>
      <w:lvlText w:val=""/>
      <w:lvlJc w:val="left"/>
    </w:lvl>
    <w:lvl w:ilvl="4" w:tplc="FE1410CC">
      <w:numFmt w:val="decimal"/>
      <w:lvlText w:val=""/>
      <w:lvlJc w:val="left"/>
    </w:lvl>
    <w:lvl w:ilvl="5" w:tplc="A7001DF6">
      <w:numFmt w:val="decimal"/>
      <w:lvlText w:val=""/>
      <w:lvlJc w:val="left"/>
    </w:lvl>
    <w:lvl w:ilvl="6" w:tplc="BDCE2FD0">
      <w:numFmt w:val="decimal"/>
      <w:lvlText w:val=""/>
      <w:lvlJc w:val="left"/>
    </w:lvl>
    <w:lvl w:ilvl="7" w:tplc="996A24C6">
      <w:numFmt w:val="decimal"/>
      <w:lvlText w:val=""/>
      <w:lvlJc w:val="left"/>
    </w:lvl>
    <w:lvl w:ilvl="8" w:tplc="374021A8">
      <w:numFmt w:val="decimal"/>
      <w:lvlText w:val=""/>
      <w:lvlJc w:val="left"/>
    </w:lvl>
  </w:abstractNum>
  <w:abstractNum w:abstractNumId="1016" w15:restartNumberingAfterBreak="0">
    <w:nsid w:val="6BC23163"/>
    <w:multiLevelType w:val="hybridMultilevel"/>
    <w:tmpl w:val="DCBCDA10"/>
    <w:lvl w:ilvl="0" w:tplc="22602A38">
      <w:start w:val="1"/>
      <w:numFmt w:val="bullet"/>
      <w:lvlText w:val=""/>
      <w:lvlJc w:val="left"/>
      <w:pPr>
        <w:ind w:left="720" w:hanging="180"/>
      </w:pPr>
      <w:rPr>
        <w:rFonts w:ascii="Symbol" w:hAnsi="Symbol" w:hint="default"/>
      </w:rPr>
    </w:lvl>
    <w:lvl w:ilvl="1" w:tplc="3384DC9A">
      <w:numFmt w:val="decimal"/>
      <w:lvlText w:val=""/>
      <w:lvlJc w:val="left"/>
    </w:lvl>
    <w:lvl w:ilvl="2" w:tplc="86A4C7F2">
      <w:numFmt w:val="decimal"/>
      <w:lvlText w:val=""/>
      <w:lvlJc w:val="left"/>
    </w:lvl>
    <w:lvl w:ilvl="3" w:tplc="0380BB60">
      <w:numFmt w:val="decimal"/>
      <w:lvlText w:val=""/>
      <w:lvlJc w:val="left"/>
    </w:lvl>
    <w:lvl w:ilvl="4" w:tplc="C4C8BE72">
      <w:numFmt w:val="decimal"/>
      <w:lvlText w:val=""/>
      <w:lvlJc w:val="left"/>
    </w:lvl>
    <w:lvl w:ilvl="5" w:tplc="A5680EF0">
      <w:numFmt w:val="decimal"/>
      <w:lvlText w:val=""/>
      <w:lvlJc w:val="left"/>
    </w:lvl>
    <w:lvl w:ilvl="6" w:tplc="7F123316">
      <w:numFmt w:val="decimal"/>
      <w:lvlText w:val=""/>
      <w:lvlJc w:val="left"/>
    </w:lvl>
    <w:lvl w:ilvl="7" w:tplc="4EDA66B8">
      <w:numFmt w:val="decimal"/>
      <w:lvlText w:val=""/>
      <w:lvlJc w:val="left"/>
    </w:lvl>
    <w:lvl w:ilvl="8" w:tplc="411C1CE8">
      <w:numFmt w:val="decimal"/>
      <w:lvlText w:val=""/>
      <w:lvlJc w:val="left"/>
    </w:lvl>
  </w:abstractNum>
  <w:abstractNum w:abstractNumId="1017" w15:restartNumberingAfterBreak="0">
    <w:nsid w:val="6BD50E7B"/>
    <w:multiLevelType w:val="hybridMultilevel"/>
    <w:tmpl w:val="729092B0"/>
    <w:lvl w:ilvl="0" w:tplc="FE9AF1DC">
      <w:start w:val="1"/>
      <w:numFmt w:val="bullet"/>
      <w:lvlText w:val=""/>
      <w:lvlJc w:val="left"/>
      <w:pPr>
        <w:ind w:left="720" w:hanging="180"/>
      </w:pPr>
      <w:rPr>
        <w:rFonts w:ascii="Symbol" w:hAnsi="Symbol" w:hint="default"/>
      </w:rPr>
    </w:lvl>
    <w:lvl w:ilvl="1" w:tplc="2B6C3DC4">
      <w:numFmt w:val="decimal"/>
      <w:lvlText w:val=""/>
      <w:lvlJc w:val="left"/>
    </w:lvl>
    <w:lvl w:ilvl="2" w:tplc="DF0698E2">
      <w:numFmt w:val="decimal"/>
      <w:lvlText w:val=""/>
      <w:lvlJc w:val="left"/>
    </w:lvl>
    <w:lvl w:ilvl="3" w:tplc="C1E038C8">
      <w:numFmt w:val="decimal"/>
      <w:lvlText w:val=""/>
      <w:lvlJc w:val="left"/>
    </w:lvl>
    <w:lvl w:ilvl="4" w:tplc="AF06F1C0">
      <w:numFmt w:val="decimal"/>
      <w:lvlText w:val=""/>
      <w:lvlJc w:val="left"/>
    </w:lvl>
    <w:lvl w:ilvl="5" w:tplc="15D4D95C">
      <w:numFmt w:val="decimal"/>
      <w:lvlText w:val=""/>
      <w:lvlJc w:val="left"/>
    </w:lvl>
    <w:lvl w:ilvl="6" w:tplc="1990179C">
      <w:numFmt w:val="decimal"/>
      <w:lvlText w:val=""/>
      <w:lvlJc w:val="left"/>
    </w:lvl>
    <w:lvl w:ilvl="7" w:tplc="F9ACFF90">
      <w:numFmt w:val="decimal"/>
      <w:lvlText w:val=""/>
      <w:lvlJc w:val="left"/>
    </w:lvl>
    <w:lvl w:ilvl="8" w:tplc="E54AFCD4">
      <w:numFmt w:val="decimal"/>
      <w:lvlText w:val=""/>
      <w:lvlJc w:val="left"/>
    </w:lvl>
  </w:abstractNum>
  <w:abstractNum w:abstractNumId="1018" w15:restartNumberingAfterBreak="0">
    <w:nsid w:val="6BEC0C67"/>
    <w:multiLevelType w:val="hybridMultilevel"/>
    <w:tmpl w:val="EA86C2F8"/>
    <w:lvl w:ilvl="0" w:tplc="1C2AB89C">
      <w:numFmt w:val="decimal"/>
      <w:lvlText w:val=""/>
      <w:lvlJc w:val="left"/>
    </w:lvl>
    <w:lvl w:ilvl="1" w:tplc="BFBAC41E">
      <w:start w:val="1"/>
      <w:numFmt w:val="bullet"/>
      <w:lvlText w:val=""/>
      <w:lvlJc w:val="left"/>
      <w:pPr>
        <w:ind w:left="1440" w:hanging="180"/>
      </w:pPr>
      <w:rPr>
        <w:rFonts w:ascii="Symbol" w:hAnsi="Symbol" w:hint="default"/>
      </w:rPr>
    </w:lvl>
    <w:lvl w:ilvl="2" w:tplc="2E3629A0">
      <w:numFmt w:val="decimal"/>
      <w:lvlText w:val=""/>
      <w:lvlJc w:val="left"/>
    </w:lvl>
    <w:lvl w:ilvl="3" w:tplc="487077D6">
      <w:numFmt w:val="decimal"/>
      <w:lvlText w:val=""/>
      <w:lvlJc w:val="left"/>
    </w:lvl>
    <w:lvl w:ilvl="4" w:tplc="DA520206">
      <w:numFmt w:val="decimal"/>
      <w:lvlText w:val=""/>
      <w:lvlJc w:val="left"/>
    </w:lvl>
    <w:lvl w:ilvl="5" w:tplc="16C6F37C">
      <w:numFmt w:val="decimal"/>
      <w:lvlText w:val=""/>
      <w:lvlJc w:val="left"/>
    </w:lvl>
    <w:lvl w:ilvl="6" w:tplc="8BA6FAC2">
      <w:numFmt w:val="decimal"/>
      <w:lvlText w:val=""/>
      <w:lvlJc w:val="left"/>
    </w:lvl>
    <w:lvl w:ilvl="7" w:tplc="77E8A2C8">
      <w:numFmt w:val="decimal"/>
      <w:lvlText w:val=""/>
      <w:lvlJc w:val="left"/>
    </w:lvl>
    <w:lvl w:ilvl="8" w:tplc="6B7872E0">
      <w:numFmt w:val="decimal"/>
      <w:lvlText w:val=""/>
      <w:lvlJc w:val="left"/>
    </w:lvl>
  </w:abstractNum>
  <w:abstractNum w:abstractNumId="1019" w15:restartNumberingAfterBreak="0">
    <w:nsid w:val="6BFA3600"/>
    <w:multiLevelType w:val="hybridMultilevel"/>
    <w:tmpl w:val="B05AF152"/>
    <w:lvl w:ilvl="0" w:tplc="75A83C84">
      <w:start w:val="1"/>
      <w:numFmt w:val="bullet"/>
      <w:lvlText w:val=""/>
      <w:lvlJc w:val="left"/>
      <w:pPr>
        <w:ind w:left="720" w:hanging="180"/>
      </w:pPr>
      <w:rPr>
        <w:rFonts w:ascii="Symbol" w:hAnsi="Symbol" w:hint="default"/>
      </w:rPr>
    </w:lvl>
    <w:lvl w:ilvl="1" w:tplc="18E6717C">
      <w:numFmt w:val="decimal"/>
      <w:lvlText w:val=""/>
      <w:lvlJc w:val="left"/>
    </w:lvl>
    <w:lvl w:ilvl="2" w:tplc="0FEC2974">
      <w:numFmt w:val="decimal"/>
      <w:lvlText w:val=""/>
      <w:lvlJc w:val="left"/>
    </w:lvl>
    <w:lvl w:ilvl="3" w:tplc="BCCC77C6">
      <w:numFmt w:val="decimal"/>
      <w:lvlText w:val=""/>
      <w:lvlJc w:val="left"/>
    </w:lvl>
    <w:lvl w:ilvl="4" w:tplc="6BC24E82">
      <w:numFmt w:val="decimal"/>
      <w:lvlText w:val=""/>
      <w:lvlJc w:val="left"/>
    </w:lvl>
    <w:lvl w:ilvl="5" w:tplc="67C6B16A">
      <w:numFmt w:val="decimal"/>
      <w:lvlText w:val=""/>
      <w:lvlJc w:val="left"/>
    </w:lvl>
    <w:lvl w:ilvl="6" w:tplc="B77E15D4">
      <w:numFmt w:val="decimal"/>
      <w:lvlText w:val=""/>
      <w:lvlJc w:val="left"/>
    </w:lvl>
    <w:lvl w:ilvl="7" w:tplc="B9A8D6A4">
      <w:numFmt w:val="decimal"/>
      <w:lvlText w:val=""/>
      <w:lvlJc w:val="left"/>
    </w:lvl>
    <w:lvl w:ilvl="8" w:tplc="C8609E7C">
      <w:numFmt w:val="decimal"/>
      <w:lvlText w:val=""/>
      <w:lvlJc w:val="left"/>
    </w:lvl>
  </w:abstractNum>
  <w:abstractNum w:abstractNumId="1020" w15:restartNumberingAfterBreak="0">
    <w:nsid w:val="6BFB4DAE"/>
    <w:multiLevelType w:val="hybridMultilevel"/>
    <w:tmpl w:val="AFB652A2"/>
    <w:lvl w:ilvl="0" w:tplc="A420E49A">
      <w:numFmt w:val="decimal"/>
      <w:lvlText w:val=""/>
      <w:lvlJc w:val="left"/>
    </w:lvl>
    <w:lvl w:ilvl="1" w:tplc="AD5EA124">
      <w:numFmt w:val="decimal"/>
      <w:lvlText w:val=""/>
      <w:lvlJc w:val="left"/>
    </w:lvl>
    <w:lvl w:ilvl="2" w:tplc="86CEFF94">
      <w:start w:val="1"/>
      <w:numFmt w:val="bullet"/>
      <w:lvlText w:val=""/>
      <w:lvlJc w:val="left"/>
      <w:pPr>
        <w:ind w:left="2160" w:hanging="180"/>
      </w:pPr>
      <w:rPr>
        <w:rFonts w:ascii="Symbol" w:hAnsi="Symbol" w:hint="default"/>
      </w:rPr>
    </w:lvl>
    <w:lvl w:ilvl="3" w:tplc="6910E598">
      <w:numFmt w:val="decimal"/>
      <w:lvlText w:val=""/>
      <w:lvlJc w:val="left"/>
    </w:lvl>
    <w:lvl w:ilvl="4" w:tplc="AB2C4D74">
      <w:numFmt w:val="decimal"/>
      <w:lvlText w:val=""/>
      <w:lvlJc w:val="left"/>
    </w:lvl>
    <w:lvl w:ilvl="5" w:tplc="D94E2232">
      <w:numFmt w:val="decimal"/>
      <w:lvlText w:val=""/>
      <w:lvlJc w:val="left"/>
    </w:lvl>
    <w:lvl w:ilvl="6" w:tplc="4F20D276">
      <w:numFmt w:val="decimal"/>
      <w:lvlText w:val=""/>
      <w:lvlJc w:val="left"/>
    </w:lvl>
    <w:lvl w:ilvl="7" w:tplc="A0904DB4">
      <w:numFmt w:val="decimal"/>
      <w:lvlText w:val=""/>
      <w:lvlJc w:val="left"/>
    </w:lvl>
    <w:lvl w:ilvl="8" w:tplc="6E1A37B6">
      <w:numFmt w:val="decimal"/>
      <w:lvlText w:val=""/>
      <w:lvlJc w:val="left"/>
    </w:lvl>
  </w:abstractNum>
  <w:abstractNum w:abstractNumId="1021" w15:restartNumberingAfterBreak="0">
    <w:nsid w:val="6C036D6E"/>
    <w:multiLevelType w:val="hybridMultilevel"/>
    <w:tmpl w:val="A6A0BCAE"/>
    <w:lvl w:ilvl="0" w:tplc="D97877B2">
      <w:start w:val="1"/>
      <w:numFmt w:val="bullet"/>
      <w:lvlText w:val=""/>
      <w:lvlJc w:val="left"/>
      <w:pPr>
        <w:ind w:left="720" w:hanging="180"/>
      </w:pPr>
      <w:rPr>
        <w:rFonts w:ascii="Symbol" w:hAnsi="Symbol" w:hint="default"/>
      </w:rPr>
    </w:lvl>
    <w:lvl w:ilvl="1" w:tplc="7320FA54">
      <w:numFmt w:val="decimal"/>
      <w:lvlText w:val=""/>
      <w:lvlJc w:val="left"/>
    </w:lvl>
    <w:lvl w:ilvl="2" w:tplc="13644112">
      <w:numFmt w:val="decimal"/>
      <w:lvlText w:val=""/>
      <w:lvlJc w:val="left"/>
    </w:lvl>
    <w:lvl w:ilvl="3" w:tplc="9A4E2124">
      <w:numFmt w:val="decimal"/>
      <w:lvlText w:val=""/>
      <w:lvlJc w:val="left"/>
    </w:lvl>
    <w:lvl w:ilvl="4" w:tplc="D8FA8818">
      <w:numFmt w:val="decimal"/>
      <w:lvlText w:val=""/>
      <w:lvlJc w:val="left"/>
    </w:lvl>
    <w:lvl w:ilvl="5" w:tplc="782834E0">
      <w:numFmt w:val="decimal"/>
      <w:lvlText w:val=""/>
      <w:lvlJc w:val="left"/>
    </w:lvl>
    <w:lvl w:ilvl="6" w:tplc="C01C8D64">
      <w:numFmt w:val="decimal"/>
      <w:lvlText w:val=""/>
      <w:lvlJc w:val="left"/>
    </w:lvl>
    <w:lvl w:ilvl="7" w:tplc="CA22EDD2">
      <w:numFmt w:val="decimal"/>
      <w:lvlText w:val=""/>
      <w:lvlJc w:val="left"/>
    </w:lvl>
    <w:lvl w:ilvl="8" w:tplc="4B1E209A">
      <w:numFmt w:val="decimal"/>
      <w:lvlText w:val=""/>
      <w:lvlJc w:val="left"/>
    </w:lvl>
  </w:abstractNum>
  <w:abstractNum w:abstractNumId="1022" w15:restartNumberingAfterBreak="0">
    <w:nsid w:val="6C251835"/>
    <w:multiLevelType w:val="hybridMultilevel"/>
    <w:tmpl w:val="9D288986"/>
    <w:lvl w:ilvl="0" w:tplc="5F687F10">
      <w:start w:val="1"/>
      <w:numFmt w:val="bullet"/>
      <w:lvlText w:val=""/>
      <w:lvlJc w:val="left"/>
      <w:pPr>
        <w:ind w:left="720" w:hanging="180"/>
      </w:pPr>
      <w:rPr>
        <w:rFonts w:ascii="Symbol" w:hAnsi="Symbol" w:hint="default"/>
      </w:rPr>
    </w:lvl>
    <w:lvl w:ilvl="1" w:tplc="2CFAE632">
      <w:numFmt w:val="decimal"/>
      <w:lvlText w:val=""/>
      <w:lvlJc w:val="left"/>
    </w:lvl>
    <w:lvl w:ilvl="2" w:tplc="AE9E5856">
      <w:numFmt w:val="decimal"/>
      <w:lvlText w:val=""/>
      <w:lvlJc w:val="left"/>
    </w:lvl>
    <w:lvl w:ilvl="3" w:tplc="674E8AE0">
      <w:numFmt w:val="decimal"/>
      <w:lvlText w:val=""/>
      <w:lvlJc w:val="left"/>
    </w:lvl>
    <w:lvl w:ilvl="4" w:tplc="3B823380">
      <w:numFmt w:val="decimal"/>
      <w:lvlText w:val=""/>
      <w:lvlJc w:val="left"/>
    </w:lvl>
    <w:lvl w:ilvl="5" w:tplc="2D403CDE">
      <w:numFmt w:val="decimal"/>
      <w:lvlText w:val=""/>
      <w:lvlJc w:val="left"/>
    </w:lvl>
    <w:lvl w:ilvl="6" w:tplc="8F10E87C">
      <w:numFmt w:val="decimal"/>
      <w:lvlText w:val=""/>
      <w:lvlJc w:val="left"/>
    </w:lvl>
    <w:lvl w:ilvl="7" w:tplc="58FADEE4">
      <w:numFmt w:val="decimal"/>
      <w:lvlText w:val=""/>
      <w:lvlJc w:val="left"/>
    </w:lvl>
    <w:lvl w:ilvl="8" w:tplc="65E0A5DE">
      <w:numFmt w:val="decimal"/>
      <w:lvlText w:val=""/>
      <w:lvlJc w:val="left"/>
    </w:lvl>
  </w:abstractNum>
  <w:abstractNum w:abstractNumId="1023" w15:restartNumberingAfterBreak="0">
    <w:nsid w:val="6C4B49D2"/>
    <w:multiLevelType w:val="hybridMultilevel"/>
    <w:tmpl w:val="9C8081B8"/>
    <w:lvl w:ilvl="0" w:tplc="D47E8F4A">
      <w:start w:val="1"/>
      <w:numFmt w:val="bullet"/>
      <w:lvlText w:val=""/>
      <w:lvlJc w:val="left"/>
      <w:pPr>
        <w:ind w:left="720" w:hanging="180"/>
      </w:pPr>
      <w:rPr>
        <w:rFonts w:ascii="Symbol" w:hAnsi="Symbol" w:hint="default"/>
      </w:rPr>
    </w:lvl>
    <w:lvl w:ilvl="1" w:tplc="A2AC079C">
      <w:numFmt w:val="decimal"/>
      <w:lvlText w:val=""/>
      <w:lvlJc w:val="left"/>
    </w:lvl>
    <w:lvl w:ilvl="2" w:tplc="33F81D80">
      <w:numFmt w:val="decimal"/>
      <w:lvlText w:val=""/>
      <w:lvlJc w:val="left"/>
    </w:lvl>
    <w:lvl w:ilvl="3" w:tplc="2AD47420">
      <w:numFmt w:val="decimal"/>
      <w:lvlText w:val=""/>
      <w:lvlJc w:val="left"/>
    </w:lvl>
    <w:lvl w:ilvl="4" w:tplc="5F4446AA">
      <w:numFmt w:val="decimal"/>
      <w:lvlText w:val=""/>
      <w:lvlJc w:val="left"/>
    </w:lvl>
    <w:lvl w:ilvl="5" w:tplc="364AFEC4">
      <w:numFmt w:val="decimal"/>
      <w:lvlText w:val=""/>
      <w:lvlJc w:val="left"/>
    </w:lvl>
    <w:lvl w:ilvl="6" w:tplc="4CE0AD56">
      <w:numFmt w:val="decimal"/>
      <w:lvlText w:val=""/>
      <w:lvlJc w:val="left"/>
    </w:lvl>
    <w:lvl w:ilvl="7" w:tplc="5E565C04">
      <w:numFmt w:val="decimal"/>
      <w:lvlText w:val=""/>
      <w:lvlJc w:val="left"/>
    </w:lvl>
    <w:lvl w:ilvl="8" w:tplc="8154011A">
      <w:numFmt w:val="decimal"/>
      <w:lvlText w:val=""/>
      <w:lvlJc w:val="left"/>
    </w:lvl>
  </w:abstractNum>
  <w:abstractNum w:abstractNumId="1024" w15:restartNumberingAfterBreak="0">
    <w:nsid w:val="6C4C6B7C"/>
    <w:multiLevelType w:val="hybridMultilevel"/>
    <w:tmpl w:val="91A87D7E"/>
    <w:lvl w:ilvl="0" w:tplc="DA7E9F5C">
      <w:start w:val="1"/>
      <w:numFmt w:val="bullet"/>
      <w:lvlText w:val=""/>
      <w:lvlJc w:val="left"/>
      <w:pPr>
        <w:ind w:left="720" w:hanging="180"/>
      </w:pPr>
      <w:rPr>
        <w:rFonts w:ascii="Symbol" w:hAnsi="Symbol" w:hint="default"/>
      </w:rPr>
    </w:lvl>
    <w:lvl w:ilvl="1" w:tplc="2FA67B4C">
      <w:numFmt w:val="decimal"/>
      <w:lvlText w:val=""/>
      <w:lvlJc w:val="left"/>
    </w:lvl>
    <w:lvl w:ilvl="2" w:tplc="ADD2ED72">
      <w:numFmt w:val="decimal"/>
      <w:lvlText w:val=""/>
      <w:lvlJc w:val="left"/>
    </w:lvl>
    <w:lvl w:ilvl="3" w:tplc="D67CD5A4">
      <w:numFmt w:val="decimal"/>
      <w:lvlText w:val=""/>
      <w:lvlJc w:val="left"/>
    </w:lvl>
    <w:lvl w:ilvl="4" w:tplc="B680F57C">
      <w:numFmt w:val="decimal"/>
      <w:lvlText w:val=""/>
      <w:lvlJc w:val="left"/>
    </w:lvl>
    <w:lvl w:ilvl="5" w:tplc="4A007992">
      <w:numFmt w:val="decimal"/>
      <w:lvlText w:val=""/>
      <w:lvlJc w:val="left"/>
    </w:lvl>
    <w:lvl w:ilvl="6" w:tplc="6B02AB90">
      <w:numFmt w:val="decimal"/>
      <w:lvlText w:val=""/>
      <w:lvlJc w:val="left"/>
    </w:lvl>
    <w:lvl w:ilvl="7" w:tplc="282A56A4">
      <w:numFmt w:val="decimal"/>
      <w:lvlText w:val=""/>
      <w:lvlJc w:val="left"/>
    </w:lvl>
    <w:lvl w:ilvl="8" w:tplc="589CC80C">
      <w:numFmt w:val="decimal"/>
      <w:lvlText w:val=""/>
      <w:lvlJc w:val="left"/>
    </w:lvl>
  </w:abstractNum>
  <w:abstractNum w:abstractNumId="1025" w15:restartNumberingAfterBreak="0">
    <w:nsid w:val="6C68241B"/>
    <w:multiLevelType w:val="hybridMultilevel"/>
    <w:tmpl w:val="9AFC33D8"/>
    <w:lvl w:ilvl="0" w:tplc="413E67DC">
      <w:start w:val="1"/>
      <w:numFmt w:val="bullet"/>
      <w:lvlText w:val=""/>
      <w:lvlJc w:val="left"/>
      <w:pPr>
        <w:ind w:left="720" w:hanging="180"/>
      </w:pPr>
      <w:rPr>
        <w:rFonts w:ascii="Symbol" w:hAnsi="Symbol" w:hint="default"/>
      </w:rPr>
    </w:lvl>
    <w:lvl w:ilvl="1" w:tplc="BB0A09A0">
      <w:numFmt w:val="decimal"/>
      <w:lvlText w:val=""/>
      <w:lvlJc w:val="left"/>
    </w:lvl>
    <w:lvl w:ilvl="2" w:tplc="90D0071A">
      <w:numFmt w:val="decimal"/>
      <w:lvlText w:val=""/>
      <w:lvlJc w:val="left"/>
    </w:lvl>
    <w:lvl w:ilvl="3" w:tplc="EF86AC92">
      <w:numFmt w:val="decimal"/>
      <w:lvlText w:val=""/>
      <w:lvlJc w:val="left"/>
    </w:lvl>
    <w:lvl w:ilvl="4" w:tplc="FCE20740">
      <w:numFmt w:val="decimal"/>
      <w:lvlText w:val=""/>
      <w:lvlJc w:val="left"/>
    </w:lvl>
    <w:lvl w:ilvl="5" w:tplc="A11636A2">
      <w:numFmt w:val="decimal"/>
      <w:lvlText w:val=""/>
      <w:lvlJc w:val="left"/>
    </w:lvl>
    <w:lvl w:ilvl="6" w:tplc="5BEE49BC">
      <w:numFmt w:val="decimal"/>
      <w:lvlText w:val=""/>
      <w:lvlJc w:val="left"/>
    </w:lvl>
    <w:lvl w:ilvl="7" w:tplc="1F80E408">
      <w:numFmt w:val="decimal"/>
      <w:lvlText w:val=""/>
      <w:lvlJc w:val="left"/>
    </w:lvl>
    <w:lvl w:ilvl="8" w:tplc="CD4ECC36">
      <w:numFmt w:val="decimal"/>
      <w:lvlText w:val=""/>
      <w:lvlJc w:val="left"/>
    </w:lvl>
  </w:abstractNum>
  <w:abstractNum w:abstractNumId="1026" w15:restartNumberingAfterBreak="0">
    <w:nsid w:val="6CAA14D0"/>
    <w:multiLevelType w:val="hybridMultilevel"/>
    <w:tmpl w:val="427AB844"/>
    <w:lvl w:ilvl="0" w:tplc="AEF0BA18">
      <w:start w:val="1"/>
      <w:numFmt w:val="bullet"/>
      <w:lvlText w:val=""/>
      <w:lvlJc w:val="left"/>
      <w:pPr>
        <w:ind w:left="720" w:hanging="180"/>
      </w:pPr>
      <w:rPr>
        <w:rFonts w:ascii="Symbol" w:hAnsi="Symbol" w:hint="default"/>
      </w:rPr>
    </w:lvl>
    <w:lvl w:ilvl="1" w:tplc="D0002260">
      <w:numFmt w:val="decimal"/>
      <w:lvlText w:val=""/>
      <w:lvlJc w:val="left"/>
    </w:lvl>
    <w:lvl w:ilvl="2" w:tplc="24AA1B44">
      <w:numFmt w:val="decimal"/>
      <w:lvlText w:val=""/>
      <w:lvlJc w:val="left"/>
    </w:lvl>
    <w:lvl w:ilvl="3" w:tplc="746E1A9A">
      <w:numFmt w:val="decimal"/>
      <w:lvlText w:val=""/>
      <w:lvlJc w:val="left"/>
    </w:lvl>
    <w:lvl w:ilvl="4" w:tplc="F502D456">
      <w:numFmt w:val="decimal"/>
      <w:lvlText w:val=""/>
      <w:lvlJc w:val="left"/>
    </w:lvl>
    <w:lvl w:ilvl="5" w:tplc="95C65B10">
      <w:numFmt w:val="decimal"/>
      <w:lvlText w:val=""/>
      <w:lvlJc w:val="left"/>
    </w:lvl>
    <w:lvl w:ilvl="6" w:tplc="F1144080">
      <w:numFmt w:val="decimal"/>
      <w:lvlText w:val=""/>
      <w:lvlJc w:val="left"/>
    </w:lvl>
    <w:lvl w:ilvl="7" w:tplc="E6AE61EE">
      <w:numFmt w:val="decimal"/>
      <w:lvlText w:val=""/>
      <w:lvlJc w:val="left"/>
    </w:lvl>
    <w:lvl w:ilvl="8" w:tplc="6C489326">
      <w:numFmt w:val="decimal"/>
      <w:lvlText w:val=""/>
      <w:lvlJc w:val="left"/>
    </w:lvl>
  </w:abstractNum>
  <w:abstractNum w:abstractNumId="1027" w15:restartNumberingAfterBreak="0">
    <w:nsid w:val="6CB077C2"/>
    <w:multiLevelType w:val="hybridMultilevel"/>
    <w:tmpl w:val="223EE8B6"/>
    <w:lvl w:ilvl="0" w:tplc="4AB0CDD4">
      <w:start w:val="1"/>
      <w:numFmt w:val="bullet"/>
      <w:lvlText w:val=""/>
      <w:lvlJc w:val="left"/>
      <w:pPr>
        <w:ind w:left="720" w:hanging="180"/>
      </w:pPr>
      <w:rPr>
        <w:rFonts w:ascii="Symbol" w:hAnsi="Symbol" w:hint="default"/>
      </w:rPr>
    </w:lvl>
    <w:lvl w:ilvl="1" w:tplc="BF14D396">
      <w:numFmt w:val="decimal"/>
      <w:lvlText w:val=""/>
      <w:lvlJc w:val="left"/>
    </w:lvl>
    <w:lvl w:ilvl="2" w:tplc="A2D0B86A">
      <w:numFmt w:val="decimal"/>
      <w:lvlText w:val=""/>
      <w:lvlJc w:val="left"/>
    </w:lvl>
    <w:lvl w:ilvl="3" w:tplc="543AC596">
      <w:numFmt w:val="decimal"/>
      <w:lvlText w:val=""/>
      <w:lvlJc w:val="left"/>
    </w:lvl>
    <w:lvl w:ilvl="4" w:tplc="B78C0D0E">
      <w:numFmt w:val="decimal"/>
      <w:lvlText w:val=""/>
      <w:lvlJc w:val="left"/>
    </w:lvl>
    <w:lvl w:ilvl="5" w:tplc="198EBD0E">
      <w:numFmt w:val="decimal"/>
      <w:lvlText w:val=""/>
      <w:lvlJc w:val="left"/>
    </w:lvl>
    <w:lvl w:ilvl="6" w:tplc="635E86B2">
      <w:numFmt w:val="decimal"/>
      <w:lvlText w:val=""/>
      <w:lvlJc w:val="left"/>
    </w:lvl>
    <w:lvl w:ilvl="7" w:tplc="BA40DED8">
      <w:numFmt w:val="decimal"/>
      <w:lvlText w:val=""/>
      <w:lvlJc w:val="left"/>
    </w:lvl>
    <w:lvl w:ilvl="8" w:tplc="C750D89E">
      <w:numFmt w:val="decimal"/>
      <w:lvlText w:val=""/>
      <w:lvlJc w:val="left"/>
    </w:lvl>
  </w:abstractNum>
  <w:abstractNum w:abstractNumId="1028" w15:restartNumberingAfterBreak="0">
    <w:nsid w:val="6CF8242F"/>
    <w:multiLevelType w:val="hybridMultilevel"/>
    <w:tmpl w:val="A5A8C34A"/>
    <w:lvl w:ilvl="0" w:tplc="6A665CA2">
      <w:numFmt w:val="decimal"/>
      <w:lvlText w:val=""/>
      <w:lvlJc w:val="left"/>
    </w:lvl>
    <w:lvl w:ilvl="1" w:tplc="2EB41E3C">
      <w:numFmt w:val="decimal"/>
      <w:lvlText w:val=""/>
      <w:lvlJc w:val="left"/>
    </w:lvl>
    <w:lvl w:ilvl="2" w:tplc="256C026C">
      <w:start w:val="1"/>
      <w:numFmt w:val="bullet"/>
      <w:lvlText w:val=""/>
      <w:lvlJc w:val="left"/>
      <w:pPr>
        <w:ind w:left="2160" w:hanging="180"/>
      </w:pPr>
      <w:rPr>
        <w:rFonts w:ascii="Symbol" w:hAnsi="Symbol" w:hint="default"/>
      </w:rPr>
    </w:lvl>
    <w:lvl w:ilvl="3" w:tplc="217CF9D8">
      <w:numFmt w:val="decimal"/>
      <w:lvlText w:val=""/>
      <w:lvlJc w:val="left"/>
    </w:lvl>
    <w:lvl w:ilvl="4" w:tplc="9732DF18">
      <w:numFmt w:val="decimal"/>
      <w:lvlText w:val=""/>
      <w:lvlJc w:val="left"/>
    </w:lvl>
    <w:lvl w:ilvl="5" w:tplc="215E6458">
      <w:numFmt w:val="decimal"/>
      <w:lvlText w:val=""/>
      <w:lvlJc w:val="left"/>
    </w:lvl>
    <w:lvl w:ilvl="6" w:tplc="1D58F8E0">
      <w:numFmt w:val="decimal"/>
      <w:lvlText w:val=""/>
      <w:lvlJc w:val="left"/>
    </w:lvl>
    <w:lvl w:ilvl="7" w:tplc="42CE35A0">
      <w:numFmt w:val="decimal"/>
      <w:lvlText w:val=""/>
      <w:lvlJc w:val="left"/>
    </w:lvl>
    <w:lvl w:ilvl="8" w:tplc="893E8E06">
      <w:numFmt w:val="decimal"/>
      <w:lvlText w:val=""/>
      <w:lvlJc w:val="left"/>
    </w:lvl>
  </w:abstractNum>
  <w:abstractNum w:abstractNumId="1029" w15:restartNumberingAfterBreak="0">
    <w:nsid w:val="6D1B77C7"/>
    <w:multiLevelType w:val="hybridMultilevel"/>
    <w:tmpl w:val="E31C6168"/>
    <w:lvl w:ilvl="0" w:tplc="357E8F00">
      <w:numFmt w:val="decimal"/>
      <w:lvlText w:val=""/>
      <w:lvlJc w:val="left"/>
    </w:lvl>
    <w:lvl w:ilvl="1" w:tplc="9940D6E8">
      <w:start w:val="1"/>
      <w:numFmt w:val="bullet"/>
      <w:lvlText w:val=""/>
      <w:lvlJc w:val="left"/>
      <w:pPr>
        <w:ind w:left="1440" w:hanging="180"/>
      </w:pPr>
      <w:rPr>
        <w:rFonts w:ascii="Symbol" w:hAnsi="Symbol" w:hint="default"/>
      </w:rPr>
    </w:lvl>
    <w:lvl w:ilvl="2" w:tplc="317249A4">
      <w:numFmt w:val="decimal"/>
      <w:lvlText w:val=""/>
      <w:lvlJc w:val="left"/>
    </w:lvl>
    <w:lvl w:ilvl="3" w:tplc="73DA05BE">
      <w:numFmt w:val="decimal"/>
      <w:lvlText w:val=""/>
      <w:lvlJc w:val="left"/>
    </w:lvl>
    <w:lvl w:ilvl="4" w:tplc="9AFACF28">
      <w:numFmt w:val="decimal"/>
      <w:lvlText w:val=""/>
      <w:lvlJc w:val="left"/>
    </w:lvl>
    <w:lvl w:ilvl="5" w:tplc="C060C53E">
      <w:numFmt w:val="decimal"/>
      <w:lvlText w:val=""/>
      <w:lvlJc w:val="left"/>
    </w:lvl>
    <w:lvl w:ilvl="6" w:tplc="5290EF3C">
      <w:numFmt w:val="decimal"/>
      <w:lvlText w:val=""/>
      <w:lvlJc w:val="left"/>
    </w:lvl>
    <w:lvl w:ilvl="7" w:tplc="5B08A9D8">
      <w:numFmt w:val="decimal"/>
      <w:lvlText w:val=""/>
      <w:lvlJc w:val="left"/>
    </w:lvl>
    <w:lvl w:ilvl="8" w:tplc="462A3D46">
      <w:numFmt w:val="decimal"/>
      <w:lvlText w:val=""/>
      <w:lvlJc w:val="left"/>
    </w:lvl>
  </w:abstractNum>
  <w:abstractNum w:abstractNumId="1030" w15:restartNumberingAfterBreak="0">
    <w:nsid w:val="6D301B80"/>
    <w:multiLevelType w:val="hybridMultilevel"/>
    <w:tmpl w:val="595A542E"/>
    <w:lvl w:ilvl="0" w:tplc="F0A23A30">
      <w:start w:val="1"/>
      <w:numFmt w:val="bullet"/>
      <w:lvlText w:val=""/>
      <w:lvlJc w:val="left"/>
      <w:pPr>
        <w:ind w:left="720" w:hanging="180"/>
      </w:pPr>
      <w:rPr>
        <w:rFonts w:ascii="Symbol" w:hAnsi="Symbol" w:hint="default"/>
      </w:rPr>
    </w:lvl>
    <w:lvl w:ilvl="1" w:tplc="935E1BDA">
      <w:numFmt w:val="decimal"/>
      <w:lvlText w:val=""/>
      <w:lvlJc w:val="left"/>
    </w:lvl>
    <w:lvl w:ilvl="2" w:tplc="B970B4BC">
      <w:numFmt w:val="decimal"/>
      <w:lvlText w:val=""/>
      <w:lvlJc w:val="left"/>
    </w:lvl>
    <w:lvl w:ilvl="3" w:tplc="16C4C36A">
      <w:numFmt w:val="decimal"/>
      <w:lvlText w:val=""/>
      <w:lvlJc w:val="left"/>
    </w:lvl>
    <w:lvl w:ilvl="4" w:tplc="734E0186">
      <w:numFmt w:val="decimal"/>
      <w:lvlText w:val=""/>
      <w:lvlJc w:val="left"/>
    </w:lvl>
    <w:lvl w:ilvl="5" w:tplc="EA623C3E">
      <w:numFmt w:val="decimal"/>
      <w:lvlText w:val=""/>
      <w:lvlJc w:val="left"/>
    </w:lvl>
    <w:lvl w:ilvl="6" w:tplc="7ABAC79A">
      <w:numFmt w:val="decimal"/>
      <w:lvlText w:val=""/>
      <w:lvlJc w:val="left"/>
    </w:lvl>
    <w:lvl w:ilvl="7" w:tplc="D6BEF466">
      <w:numFmt w:val="decimal"/>
      <w:lvlText w:val=""/>
      <w:lvlJc w:val="left"/>
    </w:lvl>
    <w:lvl w:ilvl="8" w:tplc="B6D6DD44">
      <w:numFmt w:val="decimal"/>
      <w:lvlText w:val=""/>
      <w:lvlJc w:val="left"/>
    </w:lvl>
  </w:abstractNum>
  <w:abstractNum w:abstractNumId="1031" w15:restartNumberingAfterBreak="0">
    <w:nsid w:val="6D342B25"/>
    <w:multiLevelType w:val="hybridMultilevel"/>
    <w:tmpl w:val="BE623F9E"/>
    <w:lvl w:ilvl="0" w:tplc="0BB2F622">
      <w:start w:val="1"/>
      <w:numFmt w:val="bullet"/>
      <w:lvlText w:val=""/>
      <w:lvlJc w:val="left"/>
      <w:pPr>
        <w:ind w:left="720" w:hanging="180"/>
      </w:pPr>
      <w:rPr>
        <w:rFonts w:ascii="Symbol" w:hAnsi="Symbol" w:hint="default"/>
      </w:rPr>
    </w:lvl>
    <w:lvl w:ilvl="1" w:tplc="0D6E9BE4">
      <w:numFmt w:val="decimal"/>
      <w:lvlText w:val=""/>
      <w:lvlJc w:val="left"/>
    </w:lvl>
    <w:lvl w:ilvl="2" w:tplc="E84C4B20">
      <w:numFmt w:val="decimal"/>
      <w:lvlText w:val=""/>
      <w:lvlJc w:val="left"/>
    </w:lvl>
    <w:lvl w:ilvl="3" w:tplc="5888B3C6">
      <w:numFmt w:val="decimal"/>
      <w:lvlText w:val=""/>
      <w:lvlJc w:val="left"/>
    </w:lvl>
    <w:lvl w:ilvl="4" w:tplc="577207CA">
      <w:numFmt w:val="decimal"/>
      <w:lvlText w:val=""/>
      <w:lvlJc w:val="left"/>
    </w:lvl>
    <w:lvl w:ilvl="5" w:tplc="496AFB0E">
      <w:numFmt w:val="decimal"/>
      <w:lvlText w:val=""/>
      <w:lvlJc w:val="left"/>
    </w:lvl>
    <w:lvl w:ilvl="6" w:tplc="D716DEEA">
      <w:numFmt w:val="decimal"/>
      <w:lvlText w:val=""/>
      <w:lvlJc w:val="left"/>
    </w:lvl>
    <w:lvl w:ilvl="7" w:tplc="3C422524">
      <w:numFmt w:val="decimal"/>
      <w:lvlText w:val=""/>
      <w:lvlJc w:val="left"/>
    </w:lvl>
    <w:lvl w:ilvl="8" w:tplc="6352BD56">
      <w:numFmt w:val="decimal"/>
      <w:lvlText w:val=""/>
      <w:lvlJc w:val="left"/>
    </w:lvl>
  </w:abstractNum>
  <w:abstractNum w:abstractNumId="1032" w15:restartNumberingAfterBreak="0">
    <w:nsid w:val="6D3D0D24"/>
    <w:multiLevelType w:val="hybridMultilevel"/>
    <w:tmpl w:val="AF107C4C"/>
    <w:lvl w:ilvl="0" w:tplc="EEA0FBAE">
      <w:start w:val="1"/>
      <w:numFmt w:val="bullet"/>
      <w:lvlText w:val=""/>
      <w:lvlJc w:val="left"/>
      <w:pPr>
        <w:ind w:left="720" w:hanging="180"/>
      </w:pPr>
      <w:rPr>
        <w:rFonts w:ascii="Symbol" w:hAnsi="Symbol" w:hint="default"/>
      </w:rPr>
    </w:lvl>
    <w:lvl w:ilvl="1" w:tplc="D660C510">
      <w:numFmt w:val="decimal"/>
      <w:lvlText w:val=""/>
      <w:lvlJc w:val="left"/>
    </w:lvl>
    <w:lvl w:ilvl="2" w:tplc="855EF36C">
      <w:numFmt w:val="decimal"/>
      <w:lvlText w:val=""/>
      <w:lvlJc w:val="left"/>
    </w:lvl>
    <w:lvl w:ilvl="3" w:tplc="F59E7342">
      <w:numFmt w:val="decimal"/>
      <w:lvlText w:val=""/>
      <w:lvlJc w:val="left"/>
    </w:lvl>
    <w:lvl w:ilvl="4" w:tplc="460215AC">
      <w:numFmt w:val="decimal"/>
      <w:lvlText w:val=""/>
      <w:lvlJc w:val="left"/>
    </w:lvl>
    <w:lvl w:ilvl="5" w:tplc="BC4EA5BA">
      <w:numFmt w:val="decimal"/>
      <w:lvlText w:val=""/>
      <w:lvlJc w:val="left"/>
    </w:lvl>
    <w:lvl w:ilvl="6" w:tplc="4C280368">
      <w:numFmt w:val="decimal"/>
      <w:lvlText w:val=""/>
      <w:lvlJc w:val="left"/>
    </w:lvl>
    <w:lvl w:ilvl="7" w:tplc="19FC5BBA">
      <w:numFmt w:val="decimal"/>
      <w:lvlText w:val=""/>
      <w:lvlJc w:val="left"/>
    </w:lvl>
    <w:lvl w:ilvl="8" w:tplc="45F66A34">
      <w:numFmt w:val="decimal"/>
      <w:lvlText w:val=""/>
      <w:lvlJc w:val="left"/>
    </w:lvl>
  </w:abstractNum>
  <w:abstractNum w:abstractNumId="1033" w15:restartNumberingAfterBreak="0">
    <w:nsid w:val="6D535268"/>
    <w:multiLevelType w:val="hybridMultilevel"/>
    <w:tmpl w:val="612897C4"/>
    <w:lvl w:ilvl="0" w:tplc="D2EAD8F0">
      <w:start w:val="1"/>
      <w:numFmt w:val="bullet"/>
      <w:lvlText w:val=""/>
      <w:lvlJc w:val="left"/>
      <w:pPr>
        <w:ind w:left="720" w:hanging="180"/>
      </w:pPr>
      <w:rPr>
        <w:rFonts w:ascii="Symbol" w:hAnsi="Symbol" w:hint="default"/>
      </w:rPr>
    </w:lvl>
    <w:lvl w:ilvl="1" w:tplc="2A52F726">
      <w:numFmt w:val="decimal"/>
      <w:lvlText w:val=""/>
      <w:lvlJc w:val="left"/>
    </w:lvl>
    <w:lvl w:ilvl="2" w:tplc="FC6AF07E">
      <w:numFmt w:val="decimal"/>
      <w:lvlText w:val=""/>
      <w:lvlJc w:val="left"/>
    </w:lvl>
    <w:lvl w:ilvl="3" w:tplc="ABD6A210">
      <w:numFmt w:val="decimal"/>
      <w:lvlText w:val=""/>
      <w:lvlJc w:val="left"/>
    </w:lvl>
    <w:lvl w:ilvl="4" w:tplc="A9606A32">
      <w:numFmt w:val="decimal"/>
      <w:lvlText w:val=""/>
      <w:lvlJc w:val="left"/>
    </w:lvl>
    <w:lvl w:ilvl="5" w:tplc="69D6A3BC">
      <w:numFmt w:val="decimal"/>
      <w:lvlText w:val=""/>
      <w:lvlJc w:val="left"/>
    </w:lvl>
    <w:lvl w:ilvl="6" w:tplc="093EFF72">
      <w:numFmt w:val="decimal"/>
      <w:lvlText w:val=""/>
      <w:lvlJc w:val="left"/>
    </w:lvl>
    <w:lvl w:ilvl="7" w:tplc="41FE27EE">
      <w:numFmt w:val="decimal"/>
      <w:lvlText w:val=""/>
      <w:lvlJc w:val="left"/>
    </w:lvl>
    <w:lvl w:ilvl="8" w:tplc="402A0050">
      <w:numFmt w:val="decimal"/>
      <w:lvlText w:val=""/>
      <w:lvlJc w:val="left"/>
    </w:lvl>
  </w:abstractNum>
  <w:abstractNum w:abstractNumId="1034" w15:restartNumberingAfterBreak="0">
    <w:nsid w:val="6D662F39"/>
    <w:multiLevelType w:val="hybridMultilevel"/>
    <w:tmpl w:val="AE488126"/>
    <w:lvl w:ilvl="0" w:tplc="08EC80F2">
      <w:start w:val="1"/>
      <w:numFmt w:val="bullet"/>
      <w:lvlText w:val=""/>
      <w:lvlJc w:val="left"/>
      <w:pPr>
        <w:ind w:left="720" w:hanging="180"/>
      </w:pPr>
      <w:rPr>
        <w:rFonts w:ascii="Symbol" w:hAnsi="Symbol" w:hint="default"/>
      </w:rPr>
    </w:lvl>
    <w:lvl w:ilvl="1" w:tplc="6BC04498">
      <w:numFmt w:val="decimal"/>
      <w:lvlText w:val=""/>
      <w:lvlJc w:val="left"/>
    </w:lvl>
    <w:lvl w:ilvl="2" w:tplc="D3668F9A">
      <w:numFmt w:val="decimal"/>
      <w:lvlText w:val=""/>
      <w:lvlJc w:val="left"/>
    </w:lvl>
    <w:lvl w:ilvl="3" w:tplc="AC38617C">
      <w:numFmt w:val="decimal"/>
      <w:lvlText w:val=""/>
      <w:lvlJc w:val="left"/>
    </w:lvl>
    <w:lvl w:ilvl="4" w:tplc="4290E9E8">
      <w:numFmt w:val="decimal"/>
      <w:lvlText w:val=""/>
      <w:lvlJc w:val="left"/>
    </w:lvl>
    <w:lvl w:ilvl="5" w:tplc="EC4805A2">
      <w:numFmt w:val="decimal"/>
      <w:lvlText w:val=""/>
      <w:lvlJc w:val="left"/>
    </w:lvl>
    <w:lvl w:ilvl="6" w:tplc="606A1748">
      <w:numFmt w:val="decimal"/>
      <w:lvlText w:val=""/>
      <w:lvlJc w:val="left"/>
    </w:lvl>
    <w:lvl w:ilvl="7" w:tplc="8CCE4D6A">
      <w:numFmt w:val="decimal"/>
      <w:lvlText w:val=""/>
      <w:lvlJc w:val="left"/>
    </w:lvl>
    <w:lvl w:ilvl="8" w:tplc="56489B30">
      <w:numFmt w:val="decimal"/>
      <w:lvlText w:val=""/>
      <w:lvlJc w:val="left"/>
    </w:lvl>
  </w:abstractNum>
  <w:abstractNum w:abstractNumId="1035" w15:restartNumberingAfterBreak="0">
    <w:nsid w:val="6D6F7900"/>
    <w:multiLevelType w:val="hybridMultilevel"/>
    <w:tmpl w:val="9A3EB720"/>
    <w:lvl w:ilvl="0" w:tplc="F856A8A6">
      <w:start w:val="1"/>
      <w:numFmt w:val="bullet"/>
      <w:lvlText w:val=""/>
      <w:lvlJc w:val="left"/>
      <w:pPr>
        <w:ind w:left="720" w:hanging="180"/>
      </w:pPr>
      <w:rPr>
        <w:rFonts w:ascii="Symbol" w:hAnsi="Symbol" w:hint="default"/>
      </w:rPr>
    </w:lvl>
    <w:lvl w:ilvl="1" w:tplc="73423016">
      <w:numFmt w:val="decimal"/>
      <w:lvlText w:val=""/>
      <w:lvlJc w:val="left"/>
    </w:lvl>
    <w:lvl w:ilvl="2" w:tplc="0924F1B8">
      <w:numFmt w:val="decimal"/>
      <w:lvlText w:val=""/>
      <w:lvlJc w:val="left"/>
    </w:lvl>
    <w:lvl w:ilvl="3" w:tplc="DEA6338E">
      <w:numFmt w:val="decimal"/>
      <w:lvlText w:val=""/>
      <w:lvlJc w:val="left"/>
    </w:lvl>
    <w:lvl w:ilvl="4" w:tplc="287EF854">
      <w:numFmt w:val="decimal"/>
      <w:lvlText w:val=""/>
      <w:lvlJc w:val="left"/>
    </w:lvl>
    <w:lvl w:ilvl="5" w:tplc="4EFA5952">
      <w:numFmt w:val="decimal"/>
      <w:lvlText w:val=""/>
      <w:lvlJc w:val="left"/>
    </w:lvl>
    <w:lvl w:ilvl="6" w:tplc="0C128506">
      <w:numFmt w:val="decimal"/>
      <w:lvlText w:val=""/>
      <w:lvlJc w:val="left"/>
    </w:lvl>
    <w:lvl w:ilvl="7" w:tplc="D3A8742E">
      <w:numFmt w:val="decimal"/>
      <w:lvlText w:val=""/>
      <w:lvlJc w:val="left"/>
    </w:lvl>
    <w:lvl w:ilvl="8" w:tplc="AAF29D6E">
      <w:numFmt w:val="decimal"/>
      <w:lvlText w:val=""/>
      <w:lvlJc w:val="left"/>
    </w:lvl>
  </w:abstractNum>
  <w:abstractNum w:abstractNumId="1036" w15:restartNumberingAfterBreak="0">
    <w:nsid w:val="6D772CA3"/>
    <w:multiLevelType w:val="hybridMultilevel"/>
    <w:tmpl w:val="58341C7A"/>
    <w:lvl w:ilvl="0" w:tplc="D98C628E">
      <w:start w:val="1"/>
      <w:numFmt w:val="bullet"/>
      <w:lvlText w:val=""/>
      <w:lvlJc w:val="left"/>
      <w:pPr>
        <w:ind w:left="720" w:hanging="180"/>
      </w:pPr>
      <w:rPr>
        <w:rFonts w:ascii="Symbol" w:hAnsi="Symbol" w:hint="default"/>
      </w:rPr>
    </w:lvl>
    <w:lvl w:ilvl="1" w:tplc="43E2B7B2">
      <w:numFmt w:val="decimal"/>
      <w:lvlText w:val=""/>
      <w:lvlJc w:val="left"/>
    </w:lvl>
    <w:lvl w:ilvl="2" w:tplc="A59CF348">
      <w:numFmt w:val="decimal"/>
      <w:lvlText w:val=""/>
      <w:lvlJc w:val="left"/>
    </w:lvl>
    <w:lvl w:ilvl="3" w:tplc="C9020636">
      <w:numFmt w:val="decimal"/>
      <w:lvlText w:val=""/>
      <w:lvlJc w:val="left"/>
    </w:lvl>
    <w:lvl w:ilvl="4" w:tplc="C3D0B0B4">
      <w:numFmt w:val="decimal"/>
      <w:lvlText w:val=""/>
      <w:lvlJc w:val="left"/>
    </w:lvl>
    <w:lvl w:ilvl="5" w:tplc="7040B46E">
      <w:numFmt w:val="decimal"/>
      <w:lvlText w:val=""/>
      <w:lvlJc w:val="left"/>
    </w:lvl>
    <w:lvl w:ilvl="6" w:tplc="50622840">
      <w:numFmt w:val="decimal"/>
      <w:lvlText w:val=""/>
      <w:lvlJc w:val="left"/>
    </w:lvl>
    <w:lvl w:ilvl="7" w:tplc="88CEAE14">
      <w:numFmt w:val="decimal"/>
      <w:lvlText w:val=""/>
      <w:lvlJc w:val="left"/>
    </w:lvl>
    <w:lvl w:ilvl="8" w:tplc="E646B1B8">
      <w:numFmt w:val="decimal"/>
      <w:lvlText w:val=""/>
      <w:lvlJc w:val="left"/>
    </w:lvl>
  </w:abstractNum>
  <w:abstractNum w:abstractNumId="1037" w15:restartNumberingAfterBreak="0">
    <w:nsid w:val="6D787224"/>
    <w:multiLevelType w:val="hybridMultilevel"/>
    <w:tmpl w:val="3FC03174"/>
    <w:lvl w:ilvl="0" w:tplc="A17ED2EE">
      <w:start w:val="1"/>
      <w:numFmt w:val="bullet"/>
      <w:lvlText w:val=""/>
      <w:lvlJc w:val="left"/>
      <w:pPr>
        <w:ind w:left="720" w:hanging="180"/>
      </w:pPr>
      <w:rPr>
        <w:rFonts w:ascii="Symbol" w:hAnsi="Symbol" w:hint="default"/>
      </w:rPr>
    </w:lvl>
    <w:lvl w:ilvl="1" w:tplc="9B06A4FA">
      <w:numFmt w:val="decimal"/>
      <w:lvlText w:val=""/>
      <w:lvlJc w:val="left"/>
    </w:lvl>
    <w:lvl w:ilvl="2" w:tplc="B3044F0E">
      <w:numFmt w:val="decimal"/>
      <w:lvlText w:val=""/>
      <w:lvlJc w:val="left"/>
    </w:lvl>
    <w:lvl w:ilvl="3" w:tplc="55ECACA2">
      <w:numFmt w:val="decimal"/>
      <w:lvlText w:val=""/>
      <w:lvlJc w:val="left"/>
    </w:lvl>
    <w:lvl w:ilvl="4" w:tplc="6D2A3C1E">
      <w:numFmt w:val="decimal"/>
      <w:lvlText w:val=""/>
      <w:lvlJc w:val="left"/>
    </w:lvl>
    <w:lvl w:ilvl="5" w:tplc="BE381072">
      <w:numFmt w:val="decimal"/>
      <w:lvlText w:val=""/>
      <w:lvlJc w:val="left"/>
    </w:lvl>
    <w:lvl w:ilvl="6" w:tplc="20D03198">
      <w:numFmt w:val="decimal"/>
      <w:lvlText w:val=""/>
      <w:lvlJc w:val="left"/>
    </w:lvl>
    <w:lvl w:ilvl="7" w:tplc="12082DF4">
      <w:numFmt w:val="decimal"/>
      <w:lvlText w:val=""/>
      <w:lvlJc w:val="left"/>
    </w:lvl>
    <w:lvl w:ilvl="8" w:tplc="5956C90E">
      <w:numFmt w:val="decimal"/>
      <w:lvlText w:val=""/>
      <w:lvlJc w:val="left"/>
    </w:lvl>
  </w:abstractNum>
  <w:abstractNum w:abstractNumId="1038" w15:restartNumberingAfterBreak="0">
    <w:nsid w:val="6DA177FE"/>
    <w:multiLevelType w:val="hybridMultilevel"/>
    <w:tmpl w:val="53B82E88"/>
    <w:lvl w:ilvl="0" w:tplc="981605CA">
      <w:start w:val="1"/>
      <w:numFmt w:val="bullet"/>
      <w:lvlText w:val=""/>
      <w:lvlJc w:val="left"/>
      <w:pPr>
        <w:ind w:left="720" w:hanging="180"/>
      </w:pPr>
      <w:rPr>
        <w:rFonts w:ascii="Symbol" w:hAnsi="Symbol" w:hint="default"/>
      </w:rPr>
    </w:lvl>
    <w:lvl w:ilvl="1" w:tplc="5A945928">
      <w:numFmt w:val="decimal"/>
      <w:lvlText w:val=""/>
      <w:lvlJc w:val="left"/>
    </w:lvl>
    <w:lvl w:ilvl="2" w:tplc="C55CD29A">
      <w:numFmt w:val="decimal"/>
      <w:lvlText w:val=""/>
      <w:lvlJc w:val="left"/>
    </w:lvl>
    <w:lvl w:ilvl="3" w:tplc="1206DADE">
      <w:numFmt w:val="decimal"/>
      <w:lvlText w:val=""/>
      <w:lvlJc w:val="left"/>
    </w:lvl>
    <w:lvl w:ilvl="4" w:tplc="0D0E4CFE">
      <w:numFmt w:val="decimal"/>
      <w:lvlText w:val=""/>
      <w:lvlJc w:val="left"/>
    </w:lvl>
    <w:lvl w:ilvl="5" w:tplc="2CDEB7AC">
      <w:numFmt w:val="decimal"/>
      <w:lvlText w:val=""/>
      <w:lvlJc w:val="left"/>
    </w:lvl>
    <w:lvl w:ilvl="6" w:tplc="D0BAF904">
      <w:numFmt w:val="decimal"/>
      <w:lvlText w:val=""/>
      <w:lvlJc w:val="left"/>
    </w:lvl>
    <w:lvl w:ilvl="7" w:tplc="A4F0FCDC">
      <w:numFmt w:val="decimal"/>
      <w:lvlText w:val=""/>
      <w:lvlJc w:val="left"/>
    </w:lvl>
    <w:lvl w:ilvl="8" w:tplc="307080CC">
      <w:numFmt w:val="decimal"/>
      <w:lvlText w:val=""/>
      <w:lvlJc w:val="left"/>
    </w:lvl>
  </w:abstractNum>
  <w:abstractNum w:abstractNumId="1039" w15:restartNumberingAfterBreak="0">
    <w:nsid w:val="6DB164B1"/>
    <w:multiLevelType w:val="hybridMultilevel"/>
    <w:tmpl w:val="561E49F6"/>
    <w:lvl w:ilvl="0" w:tplc="BAC22096">
      <w:start w:val="1"/>
      <w:numFmt w:val="bullet"/>
      <w:lvlText w:val=""/>
      <w:lvlJc w:val="left"/>
      <w:pPr>
        <w:ind w:left="720" w:hanging="180"/>
      </w:pPr>
      <w:rPr>
        <w:rFonts w:ascii="Symbol" w:hAnsi="Symbol" w:hint="default"/>
      </w:rPr>
    </w:lvl>
    <w:lvl w:ilvl="1" w:tplc="9536D276">
      <w:numFmt w:val="decimal"/>
      <w:lvlText w:val=""/>
      <w:lvlJc w:val="left"/>
    </w:lvl>
    <w:lvl w:ilvl="2" w:tplc="7804A5E0">
      <w:numFmt w:val="decimal"/>
      <w:lvlText w:val=""/>
      <w:lvlJc w:val="left"/>
    </w:lvl>
    <w:lvl w:ilvl="3" w:tplc="FDE009A0">
      <w:numFmt w:val="decimal"/>
      <w:lvlText w:val=""/>
      <w:lvlJc w:val="left"/>
    </w:lvl>
    <w:lvl w:ilvl="4" w:tplc="7C346CCC">
      <w:numFmt w:val="decimal"/>
      <w:lvlText w:val=""/>
      <w:lvlJc w:val="left"/>
    </w:lvl>
    <w:lvl w:ilvl="5" w:tplc="5BF63FE0">
      <w:numFmt w:val="decimal"/>
      <w:lvlText w:val=""/>
      <w:lvlJc w:val="left"/>
    </w:lvl>
    <w:lvl w:ilvl="6" w:tplc="C32CE160">
      <w:numFmt w:val="decimal"/>
      <w:lvlText w:val=""/>
      <w:lvlJc w:val="left"/>
    </w:lvl>
    <w:lvl w:ilvl="7" w:tplc="99E678AA">
      <w:numFmt w:val="decimal"/>
      <w:lvlText w:val=""/>
      <w:lvlJc w:val="left"/>
    </w:lvl>
    <w:lvl w:ilvl="8" w:tplc="88ACB8E8">
      <w:numFmt w:val="decimal"/>
      <w:lvlText w:val=""/>
      <w:lvlJc w:val="left"/>
    </w:lvl>
  </w:abstractNum>
  <w:abstractNum w:abstractNumId="1040" w15:restartNumberingAfterBreak="0">
    <w:nsid w:val="6DC60A3C"/>
    <w:multiLevelType w:val="hybridMultilevel"/>
    <w:tmpl w:val="82580898"/>
    <w:lvl w:ilvl="0" w:tplc="2874510E">
      <w:start w:val="1"/>
      <w:numFmt w:val="bullet"/>
      <w:lvlText w:val=""/>
      <w:lvlJc w:val="left"/>
      <w:pPr>
        <w:ind w:left="720" w:hanging="180"/>
      </w:pPr>
      <w:rPr>
        <w:rFonts w:ascii="Symbol" w:hAnsi="Symbol" w:hint="default"/>
      </w:rPr>
    </w:lvl>
    <w:lvl w:ilvl="1" w:tplc="F88E1148">
      <w:numFmt w:val="decimal"/>
      <w:lvlText w:val=""/>
      <w:lvlJc w:val="left"/>
    </w:lvl>
    <w:lvl w:ilvl="2" w:tplc="58BC81DE">
      <w:numFmt w:val="decimal"/>
      <w:lvlText w:val=""/>
      <w:lvlJc w:val="left"/>
    </w:lvl>
    <w:lvl w:ilvl="3" w:tplc="82CADF02">
      <w:numFmt w:val="decimal"/>
      <w:lvlText w:val=""/>
      <w:lvlJc w:val="left"/>
    </w:lvl>
    <w:lvl w:ilvl="4" w:tplc="CC709FD4">
      <w:numFmt w:val="decimal"/>
      <w:lvlText w:val=""/>
      <w:lvlJc w:val="left"/>
    </w:lvl>
    <w:lvl w:ilvl="5" w:tplc="36EA2BC8">
      <w:numFmt w:val="decimal"/>
      <w:lvlText w:val=""/>
      <w:lvlJc w:val="left"/>
    </w:lvl>
    <w:lvl w:ilvl="6" w:tplc="E56ABAEA">
      <w:numFmt w:val="decimal"/>
      <w:lvlText w:val=""/>
      <w:lvlJc w:val="left"/>
    </w:lvl>
    <w:lvl w:ilvl="7" w:tplc="2F6CC9C2">
      <w:numFmt w:val="decimal"/>
      <w:lvlText w:val=""/>
      <w:lvlJc w:val="left"/>
    </w:lvl>
    <w:lvl w:ilvl="8" w:tplc="992240A8">
      <w:numFmt w:val="decimal"/>
      <w:lvlText w:val=""/>
      <w:lvlJc w:val="left"/>
    </w:lvl>
  </w:abstractNum>
  <w:abstractNum w:abstractNumId="1041" w15:restartNumberingAfterBreak="0">
    <w:nsid w:val="6DD606C4"/>
    <w:multiLevelType w:val="hybridMultilevel"/>
    <w:tmpl w:val="7A185FF0"/>
    <w:lvl w:ilvl="0" w:tplc="0DE098C0">
      <w:start w:val="1"/>
      <w:numFmt w:val="bullet"/>
      <w:lvlText w:val=""/>
      <w:lvlJc w:val="left"/>
      <w:pPr>
        <w:ind w:left="720" w:hanging="180"/>
      </w:pPr>
      <w:rPr>
        <w:rFonts w:ascii="Symbol" w:hAnsi="Symbol" w:hint="default"/>
      </w:rPr>
    </w:lvl>
    <w:lvl w:ilvl="1" w:tplc="6354FD54">
      <w:numFmt w:val="decimal"/>
      <w:lvlText w:val=""/>
      <w:lvlJc w:val="left"/>
    </w:lvl>
    <w:lvl w:ilvl="2" w:tplc="242AD48A">
      <w:numFmt w:val="decimal"/>
      <w:lvlText w:val=""/>
      <w:lvlJc w:val="left"/>
    </w:lvl>
    <w:lvl w:ilvl="3" w:tplc="3D3EE904">
      <w:numFmt w:val="decimal"/>
      <w:lvlText w:val=""/>
      <w:lvlJc w:val="left"/>
    </w:lvl>
    <w:lvl w:ilvl="4" w:tplc="E82445E2">
      <w:numFmt w:val="decimal"/>
      <w:lvlText w:val=""/>
      <w:lvlJc w:val="left"/>
    </w:lvl>
    <w:lvl w:ilvl="5" w:tplc="6B925A46">
      <w:numFmt w:val="decimal"/>
      <w:lvlText w:val=""/>
      <w:lvlJc w:val="left"/>
    </w:lvl>
    <w:lvl w:ilvl="6" w:tplc="CAD4A066">
      <w:numFmt w:val="decimal"/>
      <w:lvlText w:val=""/>
      <w:lvlJc w:val="left"/>
    </w:lvl>
    <w:lvl w:ilvl="7" w:tplc="19705DD8">
      <w:numFmt w:val="decimal"/>
      <w:lvlText w:val=""/>
      <w:lvlJc w:val="left"/>
    </w:lvl>
    <w:lvl w:ilvl="8" w:tplc="B7303032">
      <w:numFmt w:val="decimal"/>
      <w:lvlText w:val=""/>
      <w:lvlJc w:val="left"/>
    </w:lvl>
  </w:abstractNum>
  <w:abstractNum w:abstractNumId="1042" w15:restartNumberingAfterBreak="0">
    <w:nsid w:val="6E370852"/>
    <w:multiLevelType w:val="hybridMultilevel"/>
    <w:tmpl w:val="EA789B22"/>
    <w:lvl w:ilvl="0" w:tplc="FEC0AB14">
      <w:start w:val="1"/>
      <w:numFmt w:val="bullet"/>
      <w:lvlText w:val=""/>
      <w:lvlJc w:val="left"/>
      <w:pPr>
        <w:ind w:left="720" w:hanging="180"/>
      </w:pPr>
      <w:rPr>
        <w:rFonts w:ascii="Symbol" w:hAnsi="Symbol" w:hint="default"/>
      </w:rPr>
    </w:lvl>
    <w:lvl w:ilvl="1" w:tplc="8A1238A0">
      <w:numFmt w:val="decimal"/>
      <w:lvlText w:val=""/>
      <w:lvlJc w:val="left"/>
    </w:lvl>
    <w:lvl w:ilvl="2" w:tplc="B538CFD6">
      <w:numFmt w:val="decimal"/>
      <w:lvlText w:val=""/>
      <w:lvlJc w:val="left"/>
    </w:lvl>
    <w:lvl w:ilvl="3" w:tplc="D9C6281E">
      <w:numFmt w:val="decimal"/>
      <w:lvlText w:val=""/>
      <w:lvlJc w:val="left"/>
    </w:lvl>
    <w:lvl w:ilvl="4" w:tplc="63588A9C">
      <w:numFmt w:val="decimal"/>
      <w:lvlText w:val=""/>
      <w:lvlJc w:val="left"/>
    </w:lvl>
    <w:lvl w:ilvl="5" w:tplc="FE129660">
      <w:numFmt w:val="decimal"/>
      <w:lvlText w:val=""/>
      <w:lvlJc w:val="left"/>
    </w:lvl>
    <w:lvl w:ilvl="6" w:tplc="5FEA1D0E">
      <w:numFmt w:val="decimal"/>
      <w:lvlText w:val=""/>
      <w:lvlJc w:val="left"/>
    </w:lvl>
    <w:lvl w:ilvl="7" w:tplc="19C053A4">
      <w:numFmt w:val="decimal"/>
      <w:lvlText w:val=""/>
      <w:lvlJc w:val="left"/>
    </w:lvl>
    <w:lvl w:ilvl="8" w:tplc="54FE263A">
      <w:numFmt w:val="decimal"/>
      <w:lvlText w:val=""/>
      <w:lvlJc w:val="left"/>
    </w:lvl>
  </w:abstractNum>
  <w:abstractNum w:abstractNumId="1043" w15:restartNumberingAfterBreak="0">
    <w:nsid w:val="6E7267DB"/>
    <w:multiLevelType w:val="hybridMultilevel"/>
    <w:tmpl w:val="1C4878D4"/>
    <w:lvl w:ilvl="0" w:tplc="B9243BC2">
      <w:start w:val="1"/>
      <w:numFmt w:val="bullet"/>
      <w:lvlText w:val=""/>
      <w:lvlJc w:val="left"/>
      <w:pPr>
        <w:ind w:left="720" w:hanging="180"/>
      </w:pPr>
      <w:rPr>
        <w:rFonts w:ascii="Symbol" w:hAnsi="Symbol" w:hint="default"/>
      </w:rPr>
    </w:lvl>
    <w:lvl w:ilvl="1" w:tplc="061A844C">
      <w:numFmt w:val="decimal"/>
      <w:lvlText w:val=""/>
      <w:lvlJc w:val="left"/>
    </w:lvl>
    <w:lvl w:ilvl="2" w:tplc="F260F52A">
      <w:numFmt w:val="decimal"/>
      <w:lvlText w:val=""/>
      <w:lvlJc w:val="left"/>
    </w:lvl>
    <w:lvl w:ilvl="3" w:tplc="F064AE66">
      <w:numFmt w:val="decimal"/>
      <w:lvlText w:val=""/>
      <w:lvlJc w:val="left"/>
    </w:lvl>
    <w:lvl w:ilvl="4" w:tplc="272AD06A">
      <w:numFmt w:val="decimal"/>
      <w:lvlText w:val=""/>
      <w:lvlJc w:val="left"/>
    </w:lvl>
    <w:lvl w:ilvl="5" w:tplc="E9F88F36">
      <w:numFmt w:val="decimal"/>
      <w:lvlText w:val=""/>
      <w:lvlJc w:val="left"/>
    </w:lvl>
    <w:lvl w:ilvl="6" w:tplc="93AA720C">
      <w:numFmt w:val="decimal"/>
      <w:lvlText w:val=""/>
      <w:lvlJc w:val="left"/>
    </w:lvl>
    <w:lvl w:ilvl="7" w:tplc="9FCCEC4C">
      <w:numFmt w:val="decimal"/>
      <w:lvlText w:val=""/>
      <w:lvlJc w:val="left"/>
    </w:lvl>
    <w:lvl w:ilvl="8" w:tplc="D554879E">
      <w:numFmt w:val="decimal"/>
      <w:lvlText w:val=""/>
      <w:lvlJc w:val="left"/>
    </w:lvl>
  </w:abstractNum>
  <w:abstractNum w:abstractNumId="1044" w15:restartNumberingAfterBreak="0">
    <w:nsid w:val="6E8370DF"/>
    <w:multiLevelType w:val="hybridMultilevel"/>
    <w:tmpl w:val="E9C01088"/>
    <w:lvl w:ilvl="0" w:tplc="6EE24AF6">
      <w:start w:val="1"/>
      <w:numFmt w:val="bullet"/>
      <w:lvlText w:val=""/>
      <w:lvlJc w:val="left"/>
      <w:pPr>
        <w:ind w:left="720" w:hanging="180"/>
      </w:pPr>
      <w:rPr>
        <w:rFonts w:ascii="Symbol" w:hAnsi="Symbol" w:hint="default"/>
      </w:rPr>
    </w:lvl>
    <w:lvl w:ilvl="1" w:tplc="341A5060">
      <w:numFmt w:val="decimal"/>
      <w:lvlText w:val=""/>
      <w:lvlJc w:val="left"/>
    </w:lvl>
    <w:lvl w:ilvl="2" w:tplc="081C85FC">
      <w:numFmt w:val="decimal"/>
      <w:lvlText w:val=""/>
      <w:lvlJc w:val="left"/>
    </w:lvl>
    <w:lvl w:ilvl="3" w:tplc="BA9EC24E">
      <w:numFmt w:val="decimal"/>
      <w:lvlText w:val=""/>
      <w:lvlJc w:val="left"/>
    </w:lvl>
    <w:lvl w:ilvl="4" w:tplc="BA34EFB2">
      <w:numFmt w:val="decimal"/>
      <w:lvlText w:val=""/>
      <w:lvlJc w:val="left"/>
    </w:lvl>
    <w:lvl w:ilvl="5" w:tplc="4304453C">
      <w:numFmt w:val="decimal"/>
      <w:lvlText w:val=""/>
      <w:lvlJc w:val="left"/>
    </w:lvl>
    <w:lvl w:ilvl="6" w:tplc="78E2E2A6">
      <w:numFmt w:val="decimal"/>
      <w:lvlText w:val=""/>
      <w:lvlJc w:val="left"/>
    </w:lvl>
    <w:lvl w:ilvl="7" w:tplc="A2B81C26">
      <w:numFmt w:val="decimal"/>
      <w:lvlText w:val=""/>
      <w:lvlJc w:val="left"/>
    </w:lvl>
    <w:lvl w:ilvl="8" w:tplc="4D52B0E2">
      <w:numFmt w:val="decimal"/>
      <w:lvlText w:val=""/>
      <w:lvlJc w:val="left"/>
    </w:lvl>
  </w:abstractNum>
  <w:abstractNum w:abstractNumId="1045" w15:restartNumberingAfterBreak="0">
    <w:nsid w:val="6E9816F4"/>
    <w:multiLevelType w:val="hybridMultilevel"/>
    <w:tmpl w:val="651E8F94"/>
    <w:lvl w:ilvl="0" w:tplc="B07AB936">
      <w:start w:val="1"/>
      <w:numFmt w:val="bullet"/>
      <w:lvlText w:val=""/>
      <w:lvlJc w:val="left"/>
      <w:pPr>
        <w:ind w:left="720" w:hanging="180"/>
      </w:pPr>
      <w:rPr>
        <w:rFonts w:ascii="Symbol" w:hAnsi="Symbol" w:hint="default"/>
      </w:rPr>
    </w:lvl>
    <w:lvl w:ilvl="1" w:tplc="D082CA3E">
      <w:numFmt w:val="decimal"/>
      <w:lvlText w:val=""/>
      <w:lvlJc w:val="left"/>
    </w:lvl>
    <w:lvl w:ilvl="2" w:tplc="1FCE94D2">
      <w:numFmt w:val="decimal"/>
      <w:lvlText w:val=""/>
      <w:lvlJc w:val="left"/>
    </w:lvl>
    <w:lvl w:ilvl="3" w:tplc="A9EC49EE">
      <w:numFmt w:val="decimal"/>
      <w:lvlText w:val=""/>
      <w:lvlJc w:val="left"/>
    </w:lvl>
    <w:lvl w:ilvl="4" w:tplc="ABAA34DA">
      <w:numFmt w:val="decimal"/>
      <w:lvlText w:val=""/>
      <w:lvlJc w:val="left"/>
    </w:lvl>
    <w:lvl w:ilvl="5" w:tplc="D598BE64">
      <w:numFmt w:val="decimal"/>
      <w:lvlText w:val=""/>
      <w:lvlJc w:val="left"/>
    </w:lvl>
    <w:lvl w:ilvl="6" w:tplc="87181F34">
      <w:numFmt w:val="decimal"/>
      <w:lvlText w:val=""/>
      <w:lvlJc w:val="left"/>
    </w:lvl>
    <w:lvl w:ilvl="7" w:tplc="6ABE94FC">
      <w:numFmt w:val="decimal"/>
      <w:lvlText w:val=""/>
      <w:lvlJc w:val="left"/>
    </w:lvl>
    <w:lvl w:ilvl="8" w:tplc="F1C839CA">
      <w:numFmt w:val="decimal"/>
      <w:lvlText w:val=""/>
      <w:lvlJc w:val="left"/>
    </w:lvl>
  </w:abstractNum>
  <w:abstractNum w:abstractNumId="1046" w15:restartNumberingAfterBreak="0">
    <w:nsid w:val="6E9B7426"/>
    <w:multiLevelType w:val="hybridMultilevel"/>
    <w:tmpl w:val="6062EF90"/>
    <w:lvl w:ilvl="0" w:tplc="2DE62B74">
      <w:start w:val="1"/>
      <w:numFmt w:val="bullet"/>
      <w:lvlText w:val=""/>
      <w:lvlJc w:val="left"/>
      <w:pPr>
        <w:ind w:left="720" w:hanging="180"/>
      </w:pPr>
      <w:rPr>
        <w:rFonts w:ascii="Symbol" w:hAnsi="Symbol" w:hint="default"/>
      </w:rPr>
    </w:lvl>
    <w:lvl w:ilvl="1" w:tplc="78B2D702">
      <w:numFmt w:val="decimal"/>
      <w:lvlText w:val=""/>
      <w:lvlJc w:val="left"/>
    </w:lvl>
    <w:lvl w:ilvl="2" w:tplc="FF8EADAA">
      <w:numFmt w:val="decimal"/>
      <w:lvlText w:val=""/>
      <w:lvlJc w:val="left"/>
    </w:lvl>
    <w:lvl w:ilvl="3" w:tplc="C96016E8">
      <w:numFmt w:val="decimal"/>
      <w:lvlText w:val=""/>
      <w:lvlJc w:val="left"/>
    </w:lvl>
    <w:lvl w:ilvl="4" w:tplc="01D498DA">
      <w:numFmt w:val="decimal"/>
      <w:lvlText w:val=""/>
      <w:lvlJc w:val="left"/>
    </w:lvl>
    <w:lvl w:ilvl="5" w:tplc="4D54FCDC">
      <w:numFmt w:val="decimal"/>
      <w:lvlText w:val=""/>
      <w:lvlJc w:val="left"/>
    </w:lvl>
    <w:lvl w:ilvl="6" w:tplc="1CB0DF38">
      <w:numFmt w:val="decimal"/>
      <w:lvlText w:val=""/>
      <w:lvlJc w:val="left"/>
    </w:lvl>
    <w:lvl w:ilvl="7" w:tplc="0F882D54">
      <w:numFmt w:val="decimal"/>
      <w:lvlText w:val=""/>
      <w:lvlJc w:val="left"/>
    </w:lvl>
    <w:lvl w:ilvl="8" w:tplc="5ECE8CA8">
      <w:numFmt w:val="decimal"/>
      <w:lvlText w:val=""/>
      <w:lvlJc w:val="left"/>
    </w:lvl>
  </w:abstractNum>
  <w:abstractNum w:abstractNumId="1047" w15:restartNumberingAfterBreak="0">
    <w:nsid w:val="6EC000AD"/>
    <w:multiLevelType w:val="hybridMultilevel"/>
    <w:tmpl w:val="2012C818"/>
    <w:lvl w:ilvl="0" w:tplc="F83E1266">
      <w:start w:val="1"/>
      <w:numFmt w:val="bullet"/>
      <w:lvlText w:val=""/>
      <w:lvlJc w:val="left"/>
      <w:pPr>
        <w:ind w:left="720" w:hanging="180"/>
      </w:pPr>
      <w:rPr>
        <w:rFonts w:ascii="Symbol" w:hAnsi="Symbol" w:hint="default"/>
      </w:rPr>
    </w:lvl>
    <w:lvl w:ilvl="1" w:tplc="4A307E34">
      <w:numFmt w:val="decimal"/>
      <w:lvlText w:val=""/>
      <w:lvlJc w:val="left"/>
    </w:lvl>
    <w:lvl w:ilvl="2" w:tplc="00005E12">
      <w:numFmt w:val="decimal"/>
      <w:lvlText w:val=""/>
      <w:lvlJc w:val="left"/>
    </w:lvl>
    <w:lvl w:ilvl="3" w:tplc="2B7A4F10">
      <w:numFmt w:val="decimal"/>
      <w:lvlText w:val=""/>
      <w:lvlJc w:val="left"/>
    </w:lvl>
    <w:lvl w:ilvl="4" w:tplc="940E4984">
      <w:numFmt w:val="decimal"/>
      <w:lvlText w:val=""/>
      <w:lvlJc w:val="left"/>
    </w:lvl>
    <w:lvl w:ilvl="5" w:tplc="D610D0BE">
      <w:numFmt w:val="decimal"/>
      <w:lvlText w:val=""/>
      <w:lvlJc w:val="left"/>
    </w:lvl>
    <w:lvl w:ilvl="6" w:tplc="C49065D0">
      <w:numFmt w:val="decimal"/>
      <w:lvlText w:val=""/>
      <w:lvlJc w:val="left"/>
    </w:lvl>
    <w:lvl w:ilvl="7" w:tplc="75628AB0">
      <w:numFmt w:val="decimal"/>
      <w:lvlText w:val=""/>
      <w:lvlJc w:val="left"/>
    </w:lvl>
    <w:lvl w:ilvl="8" w:tplc="FB4658BE">
      <w:numFmt w:val="decimal"/>
      <w:lvlText w:val=""/>
      <w:lvlJc w:val="left"/>
    </w:lvl>
  </w:abstractNum>
  <w:abstractNum w:abstractNumId="1048" w15:restartNumberingAfterBreak="0">
    <w:nsid w:val="6ED4110B"/>
    <w:multiLevelType w:val="hybridMultilevel"/>
    <w:tmpl w:val="206428B6"/>
    <w:lvl w:ilvl="0" w:tplc="52888E4C">
      <w:start w:val="1"/>
      <w:numFmt w:val="bullet"/>
      <w:lvlText w:val=""/>
      <w:lvlJc w:val="left"/>
      <w:pPr>
        <w:ind w:left="720" w:hanging="180"/>
      </w:pPr>
      <w:rPr>
        <w:rFonts w:ascii="Symbol" w:hAnsi="Symbol" w:hint="default"/>
      </w:rPr>
    </w:lvl>
    <w:lvl w:ilvl="1" w:tplc="7AC0A780">
      <w:numFmt w:val="decimal"/>
      <w:lvlText w:val=""/>
      <w:lvlJc w:val="left"/>
    </w:lvl>
    <w:lvl w:ilvl="2" w:tplc="558061EC">
      <w:numFmt w:val="decimal"/>
      <w:lvlText w:val=""/>
      <w:lvlJc w:val="left"/>
    </w:lvl>
    <w:lvl w:ilvl="3" w:tplc="0A0A7BA2">
      <w:numFmt w:val="decimal"/>
      <w:lvlText w:val=""/>
      <w:lvlJc w:val="left"/>
    </w:lvl>
    <w:lvl w:ilvl="4" w:tplc="7DD86C96">
      <w:numFmt w:val="decimal"/>
      <w:lvlText w:val=""/>
      <w:lvlJc w:val="left"/>
    </w:lvl>
    <w:lvl w:ilvl="5" w:tplc="37F8A024">
      <w:numFmt w:val="decimal"/>
      <w:lvlText w:val=""/>
      <w:lvlJc w:val="left"/>
    </w:lvl>
    <w:lvl w:ilvl="6" w:tplc="1418526A">
      <w:numFmt w:val="decimal"/>
      <w:lvlText w:val=""/>
      <w:lvlJc w:val="left"/>
    </w:lvl>
    <w:lvl w:ilvl="7" w:tplc="26166C54">
      <w:numFmt w:val="decimal"/>
      <w:lvlText w:val=""/>
      <w:lvlJc w:val="left"/>
    </w:lvl>
    <w:lvl w:ilvl="8" w:tplc="3348AFFE">
      <w:numFmt w:val="decimal"/>
      <w:lvlText w:val=""/>
      <w:lvlJc w:val="left"/>
    </w:lvl>
  </w:abstractNum>
  <w:abstractNum w:abstractNumId="1049" w15:restartNumberingAfterBreak="0">
    <w:nsid w:val="6EDE7DFF"/>
    <w:multiLevelType w:val="hybridMultilevel"/>
    <w:tmpl w:val="D30CED98"/>
    <w:lvl w:ilvl="0" w:tplc="94A29694">
      <w:start w:val="1"/>
      <w:numFmt w:val="bullet"/>
      <w:lvlText w:val=""/>
      <w:lvlJc w:val="left"/>
      <w:pPr>
        <w:ind w:left="720" w:hanging="180"/>
      </w:pPr>
      <w:rPr>
        <w:rFonts w:ascii="Symbol" w:hAnsi="Symbol" w:hint="default"/>
      </w:rPr>
    </w:lvl>
    <w:lvl w:ilvl="1" w:tplc="3B92E122">
      <w:numFmt w:val="decimal"/>
      <w:lvlText w:val=""/>
      <w:lvlJc w:val="left"/>
    </w:lvl>
    <w:lvl w:ilvl="2" w:tplc="96828134">
      <w:numFmt w:val="decimal"/>
      <w:lvlText w:val=""/>
      <w:lvlJc w:val="left"/>
    </w:lvl>
    <w:lvl w:ilvl="3" w:tplc="1044876E">
      <w:numFmt w:val="decimal"/>
      <w:lvlText w:val=""/>
      <w:lvlJc w:val="left"/>
    </w:lvl>
    <w:lvl w:ilvl="4" w:tplc="EE7C8C48">
      <w:numFmt w:val="decimal"/>
      <w:lvlText w:val=""/>
      <w:lvlJc w:val="left"/>
    </w:lvl>
    <w:lvl w:ilvl="5" w:tplc="0E3A043C">
      <w:numFmt w:val="decimal"/>
      <w:lvlText w:val=""/>
      <w:lvlJc w:val="left"/>
    </w:lvl>
    <w:lvl w:ilvl="6" w:tplc="F3AEEEEC">
      <w:numFmt w:val="decimal"/>
      <w:lvlText w:val=""/>
      <w:lvlJc w:val="left"/>
    </w:lvl>
    <w:lvl w:ilvl="7" w:tplc="5CB02190">
      <w:numFmt w:val="decimal"/>
      <w:lvlText w:val=""/>
      <w:lvlJc w:val="left"/>
    </w:lvl>
    <w:lvl w:ilvl="8" w:tplc="FEEC4AD6">
      <w:numFmt w:val="decimal"/>
      <w:lvlText w:val=""/>
      <w:lvlJc w:val="left"/>
    </w:lvl>
  </w:abstractNum>
  <w:abstractNum w:abstractNumId="1050" w15:restartNumberingAfterBreak="0">
    <w:nsid w:val="6EF4522C"/>
    <w:multiLevelType w:val="hybridMultilevel"/>
    <w:tmpl w:val="57A858A8"/>
    <w:lvl w:ilvl="0" w:tplc="782CB104">
      <w:start w:val="1"/>
      <w:numFmt w:val="bullet"/>
      <w:lvlText w:val=""/>
      <w:lvlJc w:val="left"/>
      <w:pPr>
        <w:ind w:left="720" w:hanging="180"/>
      </w:pPr>
      <w:rPr>
        <w:rFonts w:ascii="Symbol" w:hAnsi="Symbol" w:hint="default"/>
      </w:rPr>
    </w:lvl>
    <w:lvl w:ilvl="1" w:tplc="9B569780">
      <w:numFmt w:val="decimal"/>
      <w:lvlText w:val=""/>
      <w:lvlJc w:val="left"/>
    </w:lvl>
    <w:lvl w:ilvl="2" w:tplc="93FCBF26">
      <w:numFmt w:val="decimal"/>
      <w:lvlText w:val=""/>
      <w:lvlJc w:val="left"/>
    </w:lvl>
    <w:lvl w:ilvl="3" w:tplc="85546CF4">
      <w:numFmt w:val="decimal"/>
      <w:lvlText w:val=""/>
      <w:lvlJc w:val="left"/>
    </w:lvl>
    <w:lvl w:ilvl="4" w:tplc="692AEF56">
      <w:numFmt w:val="decimal"/>
      <w:lvlText w:val=""/>
      <w:lvlJc w:val="left"/>
    </w:lvl>
    <w:lvl w:ilvl="5" w:tplc="597AFA96">
      <w:numFmt w:val="decimal"/>
      <w:lvlText w:val=""/>
      <w:lvlJc w:val="left"/>
    </w:lvl>
    <w:lvl w:ilvl="6" w:tplc="E696ADBE">
      <w:numFmt w:val="decimal"/>
      <w:lvlText w:val=""/>
      <w:lvlJc w:val="left"/>
    </w:lvl>
    <w:lvl w:ilvl="7" w:tplc="E604E500">
      <w:numFmt w:val="decimal"/>
      <w:lvlText w:val=""/>
      <w:lvlJc w:val="left"/>
    </w:lvl>
    <w:lvl w:ilvl="8" w:tplc="B7F841E0">
      <w:numFmt w:val="decimal"/>
      <w:lvlText w:val=""/>
      <w:lvlJc w:val="left"/>
    </w:lvl>
  </w:abstractNum>
  <w:abstractNum w:abstractNumId="1051" w15:restartNumberingAfterBreak="0">
    <w:nsid w:val="6F2070B8"/>
    <w:multiLevelType w:val="hybridMultilevel"/>
    <w:tmpl w:val="29EA79A0"/>
    <w:lvl w:ilvl="0" w:tplc="844E0C30">
      <w:start w:val="1"/>
      <w:numFmt w:val="bullet"/>
      <w:lvlText w:val=""/>
      <w:lvlJc w:val="left"/>
      <w:pPr>
        <w:ind w:left="720" w:hanging="180"/>
      </w:pPr>
      <w:rPr>
        <w:rFonts w:ascii="Symbol" w:hAnsi="Symbol" w:hint="default"/>
      </w:rPr>
    </w:lvl>
    <w:lvl w:ilvl="1" w:tplc="D726655E">
      <w:numFmt w:val="decimal"/>
      <w:lvlText w:val=""/>
      <w:lvlJc w:val="left"/>
    </w:lvl>
    <w:lvl w:ilvl="2" w:tplc="4BDA76AC">
      <w:numFmt w:val="decimal"/>
      <w:lvlText w:val=""/>
      <w:lvlJc w:val="left"/>
    </w:lvl>
    <w:lvl w:ilvl="3" w:tplc="2200B888">
      <w:numFmt w:val="decimal"/>
      <w:lvlText w:val=""/>
      <w:lvlJc w:val="left"/>
    </w:lvl>
    <w:lvl w:ilvl="4" w:tplc="EC8EB830">
      <w:numFmt w:val="decimal"/>
      <w:lvlText w:val=""/>
      <w:lvlJc w:val="left"/>
    </w:lvl>
    <w:lvl w:ilvl="5" w:tplc="B18A9964">
      <w:numFmt w:val="decimal"/>
      <w:lvlText w:val=""/>
      <w:lvlJc w:val="left"/>
    </w:lvl>
    <w:lvl w:ilvl="6" w:tplc="17AEEE2E">
      <w:numFmt w:val="decimal"/>
      <w:lvlText w:val=""/>
      <w:lvlJc w:val="left"/>
    </w:lvl>
    <w:lvl w:ilvl="7" w:tplc="192853FC">
      <w:numFmt w:val="decimal"/>
      <w:lvlText w:val=""/>
      <w:lvlJc w:val="left"/>
    </w:lvl>
    <w:lvl w:ilvl="8" w:tplc="852431DE">
      <w:numFmt w:val="decimal"/>
      <w:lvlText w:val=""/>
      <w:lvlJc w:val="left"/>
    </w:lvl>
  </w:abstractNum>
  <w:abstractNum w:abstractNumId="1052" w15:restartNumberingAfterBreak="0">
    <w:nsid w:val="6F282FF7"/>
    <w:multiLevelType w:val="hybridMultilevel"/>
    <w:tmpl w:val="BDA4E8FC"/>
    <w:lvl w:ilvl="0" w:tplc="C6040B46">
      <w:start w:val="1"/>
      <w:numFmt w:val="bullet"/>
      <w:lvlText w:val=""/>
      <w:lvlJc w:val="left"/>
      <w:pPr>
        <w:ind w:left="720" w:hanging="180"/>
      </w:pPr>
      <w:rPr>
        <w:rFonts w:ascii="Symbol" w:hAnsi="Symbol" w:hint="default"/>
      </w:rPr>
    </w:lvl>
    <w:lvl w:ilvl="1" w:tplc="DEBA1536">
      <w:numFmt w:val="decimal"/>
      <w:lvlText w:val=""/>
      <w:lvlJc w:val="left"/>
    </w:lvl>
    <w:lvl w:ilvl="2" w:tplc="3CD2B1EA">
      <w:numFmt w:val="decimal"/>
      <w:lvlText w:val=""/>
      <w:lvlJc w:val="left"/>
    </w:lvl>
    <w:lvl w:ilvl="3" w:tplc="0DFAA6F2">
      <w:numFmt w:val="decimal"/>
      <w:lvlText w:val=""/>
      <w:lvlJc w:val="left"/>
    </w:lvl>
    <w:lvl w:ilvl="4" w:tplc="1C5675D2">
      <w:numFmt w:val="decimal"/>
      <w:lvlText w:val=""/>
      <w:lvlJc w:val="left"/>
    </w:lvl>
    <w:lvl w:ilvl="5" w:tplc="9754D58C">
      <w:numFmt w:val="decimal"/>
      <w:lvlText w:val=""/>
      <w:lvlJc w:val="left"/>
    </w:lvl>
    <w:lvl w:ilvl="6" w:tplc="ED16FFB2">
      <w:numFmt w:val="decimal"/>
      <w:lvlText w:val=""/>
      <w:lvlJc w:val="left"/>
    </w:lvl>
    <w:lvl w:ilvl="7" w:tplc="EC9CAB98">
      <w:numFmt w:val="decimal"/>
      <w:lvlText w:val=""/>
      <w:lvlJc w:val="left"/>
    </w:lvl>
    <w:lvl w:ilvl="8" w:tplc="98081344">
      <w:numFmt w:val="decimal"/>
      <w:lvlText w:val=""/>
      <w:lvlJc w:val="left"/>
    </w:lvl>
  </w:abstractNum>
  <w:abstractNum w:abstractNumId="1053" w15:restartNumberingAfterBreak="0">
    <w:nsid w:val="6F317117"/>
    <w:multiLevelType w:val="hybridMultilevel"/>
    <w:tmpl w:val="ABE64AA0"/>
    <w:lvl w:ilvl="0" w:tplc="469A16E0">
      <w:start w:val="1"/>
      <w:numFmt w:val="bullet"/>
      <w:lvlText w:val=""/>
      <w:lvlJc w:val="left"/>
      <w:pPr>
        <w:ind w:left="720" w:hanging="180"/>
      </w:pPr>
      <w:rPr>
        <w:rFonts w:ascii="Symbol" w:hAnsi="Symbol" w:hint="default"/>
      </w:rPr>
    </w:lvl>
    <w:lvl w:ilvl="1" w:tplc="0178BF2E">
      <w:numFmt w:val="decimal"/>
      <w:lvlText w:val=""/>
      <w:lvlJc w:val="left"/>
    </w:lvl>
    <w:lvl w:ilvl="2" w:tplc="0276B9F6">
      <w:numFmt w:val="decimal"/>
      <w:lvlText w:val=""/>
      <w:lvlJc w:val="left"/>
    </w:lvl>
    <w:lvl w:ilvl="3" w:tplc="A86E07F4">
      <w:numFmt w:val="decimal"/>
      <w:lvlText w:val=""/>
      <w:lvlJc w:val="left"/>
    </w:lvl>
    <w:lvl w:ilvl="4" w:tplc="787A685E">
      <w:numFmt w:val="decimal"/>
      <w:lvlText w:val=""/>
      <w:lvlJc w:val="left"/>
    </w:lvl>
    <w:lvl w:ilvl="5" w:tplc="33ACDEF4">
      <w:numFmt w:val="decimal"/>
      <w:lvlText w:val=""/>
      <w:lvlJc w:val="left"/>
    </w:lvl>
    <w:lvl w:ilvl="6" w:tplc="DE38B6F4">
      <w:numFmt w:val="decimal"/>
      <w:lvlText w:val=""/>
      <w:lvlJc w:val="left"/>
    </w:lvl>
    <w:lvl w:ilvl="7" w:tplc="57166382">
      <w:numFmt w:val="decimal"/>
      <w:lvlText w:val=""/>
      <w:lvlJc w:val="left"/>
    </w:lvl>
    <w:lvl w:ilvl="8" w:tplc="10C48B18">
      <w:numFmt w:val="decimal"/>
      <w:lvlText w:val=""/>
      <w:lvlJc w:val="left"/>
    </w:lvl>
  </w:abstractNum>
  <w:abstractNum w:abstractNumId="1054" w15:restartNumberingAfterBreak="0">
    <w:nsid w:val="6F79360A"/>
    <w:multiLevelType w:val="hybridMultilevel"/>
    <w:tmpl w:val="A2DEBB1E"/>
    <w:lvl w:ilvl="0" w:tplc="0FB0109E">
      <w:start w:val="1"/>
      <w:numFmt w:val="bullet"/>
      <w:lvlText w:val=""/>
      <w:lvlJc w:val="left"/>
      <w:pPr>
        <w:ind w:left="720" w:hanging="180"/>
      </w:pPr>
      <w:rPr>
        <w:rFonts w:ascii="Symbol" w:hAnsi="Symbol" w:hint="default"/>
      </w:rPr>
    </w:lvl>
    <w:lvl w:ilvl="1" w:tplc="B916356A">
      <w:numFmt w:val="decimal"/>
      <w:lvlText w:val=""/>
      <w:lvlJc w:val="left"/>
    </w:lvl>
    <w:lvl w:ilvl="2" w:tplc="B47A34EC">
      <w:numFmt w:val="decimal"/>
      <w:lvlText w:val=""/>
      <w:lvlJc w:val="left"/>
    </w:lvl>
    <w:lvl w:ilvl="3" w:tplc="C12084A6">
      <w:numFmt w:val="decimal"/>
      <w:lvlText w:val=""/>
      <w:lvlJc w:val="left"/>
    </w:lvl>
    <w:lvl w:ilvl="4" w:tplc="448E5F52">
      <w:numFmt w:val="decimal"/>
      <w:lvlText w:val=""/>
      <w:lvlJc w:val="left"/>
    </w:lvl>
    <w:lvl w:ilvl="5" w:tplc="3CAAD40A">
      <w:numFmt w:val="decimal"/>
      <w:lvlText w:val=""/>
      <w:lvlJc w:val="left"/>
    </w:lvl>
    <w:lvl w:ilvl="6" w:tplc="24A8C5A4">
      <w:numFmt w:val="decimal"/>
      <w:lvlText w:val=""/>
      <w:lvlJc w:val="left"/>
    </w:lvl>
    <w:lvl w:ilvl="7" w:tplc="B0F89E6C">
      <w:numFmt w:val="decimal"/>
      <w:lvlText w:val=""/>
      <w:lvlJc w:val="left"/>
    </w:lvl>
    <w:lvl w:ilvl="8" w:tplc="2A1014D4">
      <w:numFmt w:val="decimal"/>
      <w:lvlText w:val=""/>
      <w:lvlJc w:val="left"/>
    </w:lvl>
  </w:abstractNum>
  <w:abstractNum w:abstractNumId="1055" w15:restartNumberingAfterBreak="0">
    <w:nsid w:val="6F7A60C6"/>
    <w:multiLevelType w:val="hybridMultilevel"/>
    <w:tmpl w:val="C92C22A4"/>
    <w:lvl w:ilvl="0" w:tplc="2F44D350">
      <w:start w:val="1"/>
      <w:numFmt w:val="bullet"/>
      <w:lvlText w:val=""/>
      <w:lvlJc w:val="left"/>
      <w:pPr>
        <w:ind w:left="720" w:hanging="180"/>
      </w:pPr>
      <w:rPr>
        <w:rFonts w:ascii="Symbol" w:hAnsi="Symbol" w:hint="default"/>
      </w:rPr>
    </w:lvl>
    <w:lvl w:ilvl="1" w:tplc="5C70D0BC">
      <w:numFmt w:val="decimal"/>
      <w:lvlText w:val=""/>
      <w:lvlJc w:val="left"/>
    </w:lvl>
    <w:lvl w:ilvl="2" w:tplc="336C26CE">
      <w:numFmt w:val="decimal"/>
      <w:lvlText w:val=""/>
      <w:lvlJc w:val="left"/>
    </w:lvl>
    <w:lvl w:ilvl="3" w:tplc="3672FD7C">
      <w:numFmt w:val="decimal"/>
      <w:lvlText w:val=""/>
      <w:lvlJc w:val="left"/>
    </w:lvl>
    <w:lvl w:ilvl="4" w:tplc="00D68A7A">
      <w:numFmt w:val="decimal"/>
      <w:lvlText w:val=""/>
      <w:lvlJc w:val="left"/>
    </w:lvl>
    <w:lvl w:ilvl="5" w:tplc="130CFE30">
      <w:numFmt w:val="decimal"/>
      <w:lvlText w:val=""/>
      <w:lvlJc w:val="left"/>
    </w:lvl>
    <w:lvl w:ilvl="6" w:tplc="0E702764">
      <w:numFmt w:val="decimal"/>
      <w:lvlText w:val=""/>
      <w:lvlJc w:val="left"/>
    </w:lvl>
    <w:lvl w:ilvl="7" w:tplc="91307C62">
      <w:numFmt w:val="decimal"/>
      <w:lvlText w:val=""/>
      <w:lvlJc w:val="left"/>
    </w:lvl>
    <w:lvl w:ilvl="8" w:tplc="261689FC">
      <w:numFmt w:val="decimal"/>
      <w:lvlText w:val=""/>
      <w:lvlJc w:val="left"/>
    </w:lvl>
  </w:abstractNum>
  <w:abstractNum w:abstractNumId="1056" w15:restartNumberingAfterBreak="0">
    <w:nsid w:val="6F833A12"/>
    <w:multiLevelType w:val="hybridMultilevel"/>
    <w:tmpl w:val="174AD78A"/>
    <w:lvl w:ilvl="0" w:tplc="4D52A6BE">
      <w:start w:val="1"/>
      <w:numFmt w:val="bullet"/>
      <w:lvlText w:val=""/>
      <w:lvlJc w:val="left"/>
      <w:pPr>
        <w:ind w:left="720" w:hanging="180"/>
      </w:pPr>
      <w:rPr>
        <w:rFonts w:ascii="Symbol" w:hAnsi="Symbol" w:hint="default"/>
      </w:rPr>
    </w:lvl>
    <w:lvl w:ilvl="1" w:tplc="5DAACB4A">
      <w:numFmt w:val="decimal"/>
      <w:lvlText w:val=""/>
      <w:lvlJc w:val="left"/>
    </w:lvl>
    <w:lvl w:ilvl="2" w:tplc="92F411F4">
      <w:numFmt w:val="decimal"/>
      <w:lvlText w:val=""/>
      <w:lvlJc w:val="left"/>
    </w:lvl>
    <w:lvl w:ilvl="3" w:tplc="2B6C28F6">
      <w:numFmt w:val="decimal"/>
      <w:lvlText w:val=""/>
      <w:lvlJc w:val="left"/>
    </w:lvl>
    <w:lvl w:ilvl="4" w:tplc="AE48A74C">
      <w:numFmt w:val="decimal"/>
      <w:lvlText w:val=""/>
      <w:lvlJc w:val="left"/>
    </w:lvl>
    <w:lvl w:ilvl="5" w:tplc="A476EE8A">
      <w:numFmt w:val="decimal"/>
      <w:lvlText w:val=""/>
      <w:lvlJc w:val="left"/>
    </w:lvl>
    <w:lvl w:ilvl="6" w:tplc="BD8896DA">
      <w:numFmt w:val="decimal"/>
      <w:lvlText w:val=""/>
      <w:lvlJc w:val="left"/>
    </w:lvl>
    <w:lvl w:ilvl="7" w:tplc="B7221150">
      <w:numFmt w:val="decimal"/>
      <w:lvlText w:val=""/>
      <w:lvlJc w:val="left"/>
    </w:lvl>
    <w:lvl w:ilvl="8" w:tplc="73CCEC82">
      <w:numFmt w:val="decimal"/>
      <w:lvlText w:val=""/>
      <w:lvlJc w:val="left"/>
    </w:lvl>
  </w:abstractNum>
  <w:abstractNum w:abstractNumId="1057" w15:restartNumberingAfterBreak="0">
    <w:nsid w:val="6F857E65"/>
    <w:multiLevelType w:val="hybridMultilevel"/>
    <w:tmpl w:val="6F4653D8"/>
    <w:lvl w:ilvl="0" w:tplc="0A4A3370">
      <w:start w:val="1"/>
      <w:numFmt w:val="bullet"/>
      <w:lvlText w:val=""/>
      <w:lvlJc w:val="left"/>
      <w:pPr>
        <w:ind w:left="720" w:hanging="180"/>
      </w:pPr>
      <w:rPr>
        <w:rFonts w:ascii="Symbol" w:hAnsi="Symbol" w:hint="default"/>
      </w:rPr>
    </w:lvl>
    <w:lvl w:ilvl="1" w:tplc="D7CE70E8">
      <w:numFmt w:val="decimal"/>
      <w:lvlText w:val=""/>
      <w:lvlJc w:val="left"/>
    </w:lvl>
    <w:lvl w:ilvl="2" w:tplc="D2D84448">
      <w:numFmt w:val="decimal"/>
      <w:lvlText w:val=""/>
      <w:lvlJc w:val="left"/>
    </w:lvl>
    <w:lvl w:ilvl="3" w:tplc="F8EACF22">
      <w:numFmt w:val="decimal"/>
      <w:lvlText w:val=""/>
      <w:lvlJc w:val="left"/>
    </w:lvl>
    <w:lvl w:ilvl="4" w:tplc="E4DEAB28">
      <w:numFmt w:val="decimal"/>
      <w:lvlText w:val=""/>
      <w:lvlJc w:val="left"/>
    </w:lvl>
    <w:lvl w:ilvl="5" w:tplc="B30A0AF4">
      <w:numFmt w:val="decimal"/>
      <w:lvlText w:val=""/>
      <w:lvlJc w:val="left"/>
    </w:lvl>
    <w:lvl w:ilvl="6" w:tplc="8EFA9FF2">
      <w:numFmt w:val="decimal"/>
      <w:lvlText w:val=""/>
      <w:lvlJc w:val="left"/>
    </w:lvl>
    <w:lvl w:ilvl="7" w:tplc="767CE41E">
      <w:numFmt w:val="decimal"/>
      <w:lvlText w:val=""/>
      <w:lvlJc w:val="left"/>
    </w:lvl>
    <w:lvl w:ilvl="8" w:tplc="180E1714">
      <w:numFmt w:val="decimal"/>
      <w:lvlText w:val=""/>
      <w:lvlJc w:val="left"/>
    </w:lvl>
  </w:abstractNum>
  <w:abstractNum w:abstractNumId="1058" w15:restartNumberingAfterBreak="0">
    <w:nsid w:val="6F8D4076"/>
    <w:multiLevelType w:val="hybridMultilevel"/>
    <w:tmpl w:val="3B849272"/>
    <w:lvl w:ilvl="0" w:tplc="C4185A06">
      <w:start w:val="1"/>
      <w:numFmt w:val="bullet"/>
      <w:lvlText w:val=""/>
      <w:lvlJc w:val="left"/>
      <w:pPr>
        <w:ind w:left="720" w:hanging="180"/>
      </w:pPr>
      <w:rPr>
        <w:rFonts w:ascii="Symbol" w:hAnsi="Symbol" w:hint="default"/>
      </w:rPr>
    </w:lvl>
    <w:lvl w:ilvl="1" w:tplc="012E8D88">
      <w:numFmt w:val="decimal"/>
      <w:lvlText w:val=""/>
      <w:lvlJc w:val="left"/>
    </w:lvl>
    <w:lvl w:ilvl="2" w:tplc="0B2E2566">
      <w:numFmt w:val="decimal"/>
      <w:lvlText w:val=""/>
      <w:lvlJc w:val="left"/>
    </w:lvl>
    <w:lvl w:ilvl="3" w:tplc="108AFFAA">
      <w:numFmt w:val="decimal"/>
      <w:lvlText w:val=""/>
      <w:lvlJc w:val="left"/>
    </w:lvl>
    <w:lvl w:ilvl="4" w:tplc="A2AC1676">
      <w:numFmt w:val="decimal"/>
      <w:lvlText w:val=""/>
      <w:lvlJc w:val="left"/>
    </w:lvl>
    <w:lvl w:ilvl="5" w:tplc="0BE25C72">
      <w:numFmt w:val="decimal"/>
      <w:lvlText w:val=""/>
      <w:lvlJc w:val="left"/>
    </w:lvl>
    <w:lvl w:ilvl="6" w:tplc="E1EA6064">
      <w:numFmt w:val="decimal"/>
      <w:lvlText w:val=""/>
      <w:lvlJc w:val="left"/>
    </w:lvl>
    <w:lvl w:ilvl="7" w:tplc="5A2E1CC8">
      <w:numFmt w:val="decimal"/>
      <w:lvlText w:val=""/>
      <w:lvlJc w:val="left"/>
    </w:lvl>
    <w:lvl w:ilvl="8" w:tplc="6FB25A7E">
      <w:numFmt w:val="decimal"/>
      <w:lvlText w:val=""/>
      <w:lvlJc w:val="left"/>
    </w:lvl>
  </w:abstractNum>
  <w:abstractNum w:abstractNumId="1059" w15:restartNumberingAfterBreak="0">
    <w:nsid w:val="6F92056A"/>
    <w:multiLevelType w:val="hybridMultilevel"/>
    <w:tmpl w:val="C4E40BF4"/>
    <w:lvl w:ilvl="0" w:tplc="F714571C">
      <w:numFmt w:val="decimal"/>
      <w:lvlText w:val=""/>
      <w:lvlJc w:val="left"/>
    </w:lvl>
    <w:lvl w:ilvl="1" w:tplc="5AD07016">
      <w:start w:val="1"/>
      <w:numFmt w:val="bullet"/>
      <w:lvlText w:val=""/>
      <w:lvlJc w:val="left"/>
      <w:pPr>
        <w:ind w:left="1440" w:hanging="180"/>
      </w:pPr>
      <w:rPr>
        <w:rFonts w:ascii="Symbol" w:hAnsi="Symbol" w:hint="default"/>
      </w:rPr>
    </w:lvl>
    <w:lvl w:ilvl="2" w:tplc="6C1AC394">
      <w:numFmt w:val="decimal"/>
      <w:lvlText w:val=""/>
      <w:lvlJc w:val="left"/>
    </w:lvl>
    <w:lvl w:ilvl="3" w:tplc="A79819C2">
      <w:numFmt w:val="decimal"/>
      <w:lvlText w:val=""/>
      <w:lvlJc w:val="left"/>
    </w:lvl>
    <w:lvl w:ilvl="4" w:tplc="A168832E">
      <w:numFmt w:val="decimal"/>
      <w:lvlText w:val=""/>
      <w:lvlJc w:val="left"/>
    </w:lvl>
    <w:lvl w:ilvl="5" w:tplc="21D2D8BC">
      <w:numFmt w:val="decimal"/>
      <w:lvlText w:val=""/>
      <w:lvlJc w:val="left"/>
    </w:lvl>
    <w:lvl w:ilvl="6" w:tplc="26F4D518">
      <w:numFmt w:val="decimal"/>
      <w:lvlText w:val=""/>
      <w:lvlJc w:val="left"/>
    </w:lvl>
    <w:lvl w:ilvl="7" w:tplc="73E48C48">
      <w:numFmt w:val="decimal"/>
      <w:lvlText w:val=""/>
      <w:lvlJc w:val="left"/>
    </w:lvl>
    <w:lvl w:ilvl="8" w:tplc="0CD6AC4C">
      <w:numFmt w:val="decimal"/>
      <w:lvlText w:val=""/>
      <w:lvlJc w:val="left"/>
    </w:lvl>
  </w:abstractNum>
  <w:abstractNum w:abstractNumId="1060" w15:restartNumberingAfterBreak="0">
    <w:nsid w:val="6F9730DC"/>
    <w:multiLevelType w:val="hybridMultilevel"/>
    <w:tmpl w:val="2BE2C8EA"/>
    <w:lvl w:ilvl="0" w:tplc="70D88048">
      <w:start w:val="1"/>
      <w:numFmt w:val="bullet"/>
      <w:lvlText w:val=""/>
      <w:lvlJc w:val="left"/>
      <w:pPr>
        <w:ind w:left="720" w:hanging="180"/>
      </w:pPr>
      <w:rPr>
        <w:rFonts w:ascii="Symbol" w:hAnsi="Symbol" w:hint="default"/>
      </w:rPr>
    </w:lvl>
    <w:lvl w:ilvl="1" w:tplc="D7D0DB7A">
      <w:numFmt w:val="decimal"/>
      <w:lvlText w:val=""/>
      <w:lvlJc w:val="left"/>
    </w:lvl>
    <w:lvl w:ilvl="2" w:tplc="93B4E628">
      <w:numFmt w:val="decimal"/>
      <w:lvlText w:val=""/>
      <w:lvlJc w:val="left"/>
    </w:lvl>
    <w:lvl w:ilvl="3" w:tplc="2F123148">
      <w:numFmt w:val="decimal"/>
      <w:lvlText w:val=""/>
      <w:lvlJc w:val="left"/>
    </w:lvl>
    <w:lvl w:ilvl="4" w:tplc="043E29B8">
      <w:numFmt w:val="decimal"/>
      <w:lvlText w:val=""/>
      <w:lvlJc w:val="left"/>
    </w:lvl>
    <w:lvl w:ilvl="5" w:tplc="D368F1EA">
      <w:numFmt w:val="decimal"/>
      <w:lvlText w:val=""/>
      <w:lvlJc w:val="left"/>
    </w:lvl>
    <w:lvl w:ilvl="6" w:tplc="26641002">
      <w:numFmt w:val="decimal"/>
      <w:lvlText w:val=""/>
      <w:lvlJc w:val="left"/>
    </w:lvl>
    <w:lvl w:ilvl="7" w:tplc="6C243012">
      <w:numFmt w:val="decimal"/>
      <w:lvlText w:val=""/>
      <w:lvlJc w:val="left"/>
    </w:lvl>
    <w:lvl w:ilvl="8" w:tplc="93328844">
      <w:numFmt w:val="decimal"/>
      <w:lvlText w:val=""/>
      <w:lvlJc w:val="left"/>
    </w:lvl>
  </w:abstractNum>
  <w:abstractNum w:abstractNumId="1061" w15:restartNumberingAfterBreak="0">
    <w:nsid w:val="6FA9091F"/>
    <w:multiLevelType w:val="hybridMultilevel"/>
    <w:tmpl w:val="57BC344E"/>
    <w:lvl w:ilvl="0" w:tplc="081C7AE0">
      <w:start w:val="1"/>
      <w:numFmt w:val="bullet"/>
      <w:lvlText w:val=""/>
      <w:lvlJc w:val="left"/>
      <w:pPr>
        <w:ind w:left="720" w:hanging="180"/>
      </w:pPr>
      <w:rPr>
        <w:rFonts w:ascii="Symbol" w:hAnsi="Symbol" w:hint="default"/>
      </w:rPr>
    </w:lvl>
    <w:lvl w:ilvl="1" w:tplc="84AE74D6">
      <w:numFmt w:val="decimal"/>
      <w:lvlText w:val=""/>
      <w:lvlJc w:val="left"/>
    </w:lvl>
    <w:lvl w:ilvl="2" w:tplc="A5D8C1BC">
      <w:numFmt w:val="decimal"/>
      <w:lvlText w:val=""/>
      <w:lvlJc w:val="left"/>
    </w:lvl>
    <w:lvl w:ilvl="3" w:tplc="035C46CE">
      <w:numFmt w:val="decimal"/>
      <w:lvlText w:val=""/>
      <w:lvlJc w:val="left"/>
    </w:lvl>
    <w:lvl w:ilvl="4" w:tplc="BBB0E98A">
      <w:numFmt w:val="decimal"/>
      <w:lvlText w:val=""/>
      <w:lvlJc w:val="left"/>
    </w:lvl>
    <w:lvl w:ilvl="5" w:tplc="010EE2EE">
      <w:numFmt w:val="decimal"/>
      <w:lvlText w:val=""/>
      <w:lvlJc w:val="left"/>
    </w:lvl>
    <w:lvl w:ilvl="6" w:tplc="674067D0">
      <w:numFmt w:val="decimal"/>
      <w:lvlText w:val=""/>
      <w:lvlJc w:val="left"/>
    </w:lvl>
    <w:lvl w:ilvl="7" w:tplc="FFF01FE8">
      <w:numFmt w:val="decimal"/>
      <w:lvlText w:val=""/>
      <w:lvlJc w:val="left"/>
    </w:lvl>
    <w:lvl w:ilvl="8" w:tplc="761EB6F2">
      <w:numFmt w:val="decimal"/>
      <w:lvlText w:val=""/>
      <w:lvlJc w:val="left"/>
    </w:lvl>
  </w:abstractNum>
  <w:abstractNum w:abstractNumId="1062" w15:restartNumberingAfterBreak="0">
    <w:nsid w:val="6FBE2C9C"/>
    <w:multiLevelType w:val="hybridMultilevel"/>
    <w:tmpl w:val="37FABE14"/>
    <w:lvl w:ilvl="0" w:tplc="9940D1D2">
      <w:start w:val="1"/>
      <w:numFmt w:val="bullet"/>
      <w:lvlText w:val=""/>
      <w:lvlJc w:val="left"/>
      <w:pPr>
        <w:ind w:left="720" w:hanging="180"/>
      </w:pPr>
      <w:rPr>
        <w:rFonts w:ascii="Symbol" w:hAnsi="Symbol" w:hint="default"/>
      </w:rPr>
    </w:lvl>
    <w:lvl w:ilvl="1" w:tplc="26FAA8B0">
      <w:numFmt w:val="decimal"/>
      <w:lvlText w:val=""/>
      <w:lvlJc w:val="left"/>
    </w:lvl>
    <w:lvl w:ilvl="2" w:tplc="E8D4B06C">
      <w:numFmt w:val="decimal"/>
      <w:lvlText w:val=""/>
      <w:lvlJc w:val="left"/>
    </w:lvl>
    <w:lvl w:ilvl="3" w:tplc="8B18A466">
      <w:numFmt w:val="decimal"/>
      <w:lvlText w:val=""/>
      <w:lvlJc w:val="left"/>
    </w:lvl>
    <w:lvl w:ilvl="4" w:tplc="66E26544">
      <w:numFmt w:val="decimal"/>
      <w:lvlText w:val=""/>
      <w:lvlJc w:val="left"/>
    </w:lvl>
    <w:lvl w:ilvl="5" w:tplc="8052350C">
      <w:numFmt w:val="decimal"/>
      <w:lvlText w:val=""/>
      <w:lvlJc w:val="left"/>
    </w:lvl>
    <w:lvl w:ilvl="6" w:tplc="6DC81D32">
      <w:numFmt w:val="decimal"/>
      <w:lvlText w:val=""/>
      <w:lvlJc w:val="left"/>
    </w:lvl>
    <w:lvl w:ilvl="7" w:tplc="4E78B6F4">
      <w:numFmt w:val="decimal"/>
      <w:lvlText w:val=""/>
      <w:lvlJc w:val="left"/>
    </w:lvl>
    <w:lvl w:ilvl="8" w:tplc="2A66177A">
      <w:numFmt w:val="decimal"/>
      <w:lvlText w:val=""/>
      <w:lvlJc w:val="left"/>
    </w:lvl>
  </w:abstractNum>
  <w:abstractNum w:abstractNumId="1063" w15:restartNumberingAfterBreak="0">
    <w:nsid w:val="6FBF3827"/>
    <w:multiLevelType w:val="hybridMultilevel"/>
    <w:tmpl w:val="BD96DDD2"/>
    <w:lvl w:ilvl="0" w:tplc="3E6ABEC8">
      <w:start w:val="1"/>
      <w:numFmt w:val="bullet"/>
      <w:lvlText w:val=""/>
      <w:lvlJc w:val="left"/>
      <w:pPr>
        <w:ind w:left="720" w:hanging="180"/>
      </w:pPr>
      <w:rPr>
        <w:rFonts w:ascii="Symbol" w:hAnsi="Symbol" w:hint="default"/>
      </w:rPr>
    </w:lvl>
    <w:lvl w:ilvl="1" w:tplc="7730ECEE">
      <w:numFmt w:val="decimal"/>
      <w:lvlText w:val=""/>
      <w:lvlJc w:val="left"/>
    </w:lvl>
    <w:lvl w:ilvl="2" w:tplc="E39C745A">
      <w:numFmt w:val="decimal"/>
      <w:lvlText w:val=""/>
      <w:lvlJc w:val="left"/>
    </w:lvl>
    <w:lvl w:ilvl="3" w:tplc="21E48C5E">
      <w:numFmt w:val="decimal"/>
      <w:lvlText w:val=""/>
      <w:lvlJc w:val="left"/>
    </w:lvl>
    <w:lvl w:ilvl="4" w:tplc="65B67CEE">
      <w:numFmt w:val="decimal"/>
      <w:lvlText w:val=""/>
      <w:lvlJc w:val="left"/>
    </w:lvl>
    <w:lvl w:ilvl="5" w:tplc="1F8A74C8">
      <w:numFmt w:val="decimal"/>
      <w:lvlText w:val=""/>
      <w:lvlJc w:val="left"/>
    </w:lvl>
    <w:lvl w:ilvl="6" w:tplc="8C3660A2">
      <w:numFmt w:val="decimal"/>
      <w:lvlText w:val=""/>
      <w:lvlJc w:val="left"/>
    </w:lvl>
    <w:lvl w:ilvl="7" w:tplc="B5C83A0E">
      <w:numFmt w:val="decimal"/>
      <w:lvlText w:val=""/>
      <w:lvlJc w:val="left"/>
    </w:lvl>
    <w:lvl w:ilvl="8" w:tplc="A44A2EB0">
      <w:numFmt w:val="decimal"/>
      <w:lvlText w:val=""/>
      <w:lvlJc w:val="left"/>
    </w:lvl>
  </w:abstractNum>
  <w:abstractNum w:abstractNumId="1064" w15:restartNumberingAfterBreak="0">
    <w:nsid w:val="6FC06AB1"/>
    <w:multiLevelType w:val="hybridMultilevel"/>
    <w:tmpl w:val="B7327DA4"/>
    <w:lvl w:ilvl="0" w:tplc="6BB0D67E">
      <w:start w:val="1"/>
      <w:numFmt w:val="bullet"/>
      <w:lvlText w:val=""/>
      <w:lvlJc w:val="left"/>
      <w:pPr>
        <w:ind w:left="720" w:hanging="180"/>
      </w:pPr>
      <w:rPr>
        <w:rFonts w:ascii="Symbol" w:hAnsi="Symbol" w:hint="default"/>
      </w:rPr>
    </w:lvl>
    <w:lvl w:ilvl="1" w:tplc="28F0DFC4">
      <w:numFmt w:val="decimal"/>
      <w:lvlText w:val=""/>
      <w:lvlJc w:val="left"/>
    </w:lvl>
    <w:lvl w:ilvl="2" w:tplc="DB749002">
      <w:numFmt w:val="decimal"/>
      <w:lvlText w:val=""/>
      <w:lvlJc w:val="left"/>
    </w:lvl>
    <w:lvl w:ilvl="3" w:tplc="42366EDE">
      <w:numFmt w:val="decimal"/>
      <w:lvlText w:val=""/>
      <w:lvlJc w:val="left"/>
    </w:lvl>
    <w:lvl w:ilvl="4" w:tplc="A7BED020">
      <w:numFmt w:val="decimal"/>
      <w:lvlText w:val=""/>
      <w:lvlJc w:val="left"/>
    </w:lvl>
    <w:lvl w:ilvl="5" w:tplc="D8DC1598">
      <w:numFmt w:val="decimal"/>
      <w:lvlText w:val=""/>
      <w:lvlJc w:val="left"/>
    </w:lvl>
    <w:lvl w:ilvl="6" w:tplc="E48ED594">
      <w:numFmt w:val="decimal"/>
      <w:lvlText w:val=""/>
      <w:lvlJc w:val="left"/>
    </w:lvl>
    <w:lvl w:ilvl="7" w:tplc="33F24CB6">
      <w:numFmt w:val="decimal"/>
      <w:lvlText w:val=""/>
      <w:lvlJc w:val="left"/>
    </w:lvl>
    <w:lvl w:ilvl="8" w:tplc="4E9AD756">
      <w:numFmt w:val="decimal"/>
      <w:lvlText w:val=""/>
      <w:lvlJc w:val="left"/>
    </w:lvl>
  </w:abstractNum>
  <w:abstractNum w:abstractNumId="1065" w15:restartNumberingAfterBreak="0">
    <w:nsid w:val="6FC51916"/>
    <w:multiLevelType w:val="hybridMultilevel"/>
    <w:tmpl w:val="4F6650FC"/>
    <w:lvl w:ilvl="0" w:tplc="6560686C">
      <w:start w:val="1"/>
      <w:numFmt w:val="bullet"/>
      <w:lvlText w:val=""/>
      <w:lvlJc w:val="left"/>
      <w:pPr>
        <w:ind w:left="720" w:hanging="180"/>
      </w:pPr>
      <w:rPr>
        <w:rFonts w:ascii="Symbol" w:hAnsi="Symbol" w:hint="default"/>
      </w:rPr>
    </w:lvl>
    <w:lvl w:ilvl="1" w:tplc="682CB96A">
      <w:numFmt w:val="decimal"/>
      <w:lvlText w:val=""/>
      <w:lvlJc w:val="left"/>
    </w:lvl>
    <w:lvl w:ilvl="2" w:tplc="8E9C9266">
      <w:numFmt w:val="decimal"/>
      <w:lvlText w:val=""/>
      <w:lvlJc w:val="left"/>
    </w:lvl>
    <w:lvl w:ilvl="3" w:tplc="EC8C6068">
      <w:numFmt w:val="decimal"/>
      <w:lvlText w:val=""/>
      <w:lvlJc w:val="left"/>
    </w:lvl>
    <w:lvl w:ilvl="4" w:tplc="F12E2624">
      <w:numFmt w:val="decimal"/>
      <w:lvlText w:val=""/>
      <w:lvlJc w:val="left"/>
    </w:lvl>
    <w:lvl w:ilvl="5" w:tplc="9E4EA86C">
      <w:numFmt w:val="decimal"/>
      <w:lvlText w:val=""/>
      <w:lvlJc w:val="left"/>
    </w:lvl>
    <w:lvl w:ilvl="6" w:tplc="A8D20578">
      <w:numFmt w:val="decimal"/>
      <w:lvlText w:val=""/>
      <w:lvlJc w:val="left"/>
    </w:lvl>
    <w:lvl w:ilvl="7" w:tplc="4454CC50">
      <w:numFmt w:val="decimal"/>
      <w:lvlText w:val=""/>
      <w:lvlJc w:val="left"/>
    </w:lvl>
    <w:lvl w:ilvl="8" w:tplc="B4AE16D4">
      <w:numFmt w:val="decimal"/>
      <w:lvlText w:val=""/>
      <w:lvlJc w:val="left"/>
    </w:lvl>
  </w:abstractNum>
  <w:abstractNum w:abstractNumId="1066" w15:restartNumberingAfterBreak="0">
    <w:nsid w:val="6FDF0986"/>
    <w:multiLevelType w:val="hybridMultilevel"/>
    <w:tmpl w:val="FC4A2510"/>
    <w:lvl w:ilvl="0" w:tplc="204C8B06">
      <w:start w:val="1"/>
      <w:numFmt w:val="bullet"/>
      <w:lvlText w:val=""/>
      <w:lvlJc w:val="left"/>
      <w:pPr>
        <w:ind w:left="720" w:hanging="180"/>
      </w:pPr>
      <w:rPr>
        <w:rFonts w:ascii="Symbol" w:hAnsi="Symbol" w:hint="default"/>
      </w:rPr>
    </w:lvl>
    <w:lvl w:ilvl="1" w:tplc="EED6402E">
      <w:numFmt w:val="decimal"/>
      <w:lvlText w:val=""/>
      <w:lvlJc w:val="left"/>
    </w:lvl>
    <w:lvl w:ilvl="2" w:tplc="7A56B7F6">
      <w:numFmt w:val="decimal"/>
      <w:lvlText w:val=""/>
      <w:lvlJc w:val="left"/>
    </w:lvl>
    <w:lvl w:ilvl="3" w:tplc="01661AC8">
      <w:numFmt w:val="decimal"/>
      <w:lvlText w:val=""/>
      <w:lvlJc w:val="left"/>
    </w:lvl>
    <w:lvl w:ilvl="4" w:tplc="E0F6BD80">
      <w:numFmt w:val="decimal"/>
      <w:lvlText w:val=""/>
      <w:lvlJc w:val="left"/>
    </w:lvl>
    <w:lvl w:ilvl="5" w:tplc="6E7ADB2E">
      <w:numFmt w:val="decimal"/>
      <w:lvlText w:val=""/>
      <w:lvlJc w:val="left"/>
    </w:lvl>
    <w:lvl w:ilvl="6" w:tplc="2CF077AA">
      <w:numFmt w:val="decimal"/>
      <w:lvlText w:val=""/>
      <w:lvlJc w:val="left"/>
    </w:lvl>
    <w:lvl w:ilvl="7" w:tplc="4A565D8A">
      <w:numFmt w:val="decimal"/>
      <w:lvlText w:val=""/>
      <w:lvlJc w:val="left"/>
    </w:lvl>
    <w:lvl w:ilvl="8" w:tplc="DE561D2C">
      <w:numFmt w:val="decimal"/>
      <w:lvlText w:val=""/>
      <w:lvlJc w:val="left"/>
    </w:lvl>
  </w:abstractNum>
  <w:abstractNum w:abstractNumId="1067" w15:restartNumberingAfterBreak="0">
    <w:nsid w:val="6FE8641F"/>
    <w:multiLevelType w:val="hybridMultilevel"/>
    <w:tmpl w:val="AA86522E"/>
    <w:lvl w:ilvl="0" w:tplc="3F26EC9A">
      <w:start w:val="1"/>
      <w:numFmt w:val="bullet"/>
      <w:lvlText w:val=""/>
      <w:lvlJc w:val="left"/>
      <w:pPr>
        <w:ind w:left="720" w:hanging="180"/>
      </w:pPr>
      <w:rPr>
        <w:rFonts w:ascii="Symbol" w:hAnsi="Symbol" w:hint="default"/>
      </w:rPr>
    </w:lvl>
    <w:lvl w:ilvl="1" w:tplc="5FE09722">
      <w:numFmt w:val="decimal"/>
      <w:lvlText w:val=""/>
      <w:lvlJc w:val="left"/>
    </w:lvl>
    <w:lvl w:ilvl="2" w:tplc="8140176C">
      <w:numFmt w:val="decimal"/>
      <w:lvlText w:val=""/>
      <w:lvlJc w:val="left"/>
    </w:lvl>
    <w:lvl w:ilvl="3" w:tplc="D742A658">
      <w:numFmt w:val="decimal"/>
      <w:lvlText w:val=""/>
      <w:lvlJc w:val="left"/>
    </w:lvl>
    <w:lvl w:ilvl="4" w:tplc="3050F6A2">
      <w:numFmt w:val="decimal"/>
      <w:lvlText w:val=""/>
      <w:lvlJc w:val="left"/>
    </w:lvl>
    <w:lvl w:ilvl="5" w:tplc="4C9E9DF2">
      <w:numFmt w:val="decimal"/>
      <w:lvlText w:val=""/>
      <w:lvlJc w:val="left"/>
    </w:lvl>
    <w:lvl w:ilvl="6" w:tplc="F020A150">
      <w:numFmt w:val="decimal"/>
      <w:lvlText w:val=""/>
      <w:lvlJc w:val="left"/>
    </w:lvl>
    <w:lvl w:ilvl="7" w:tplc="FB1C204A">
      <w:numFmt w:val="decimal"/>
      <w:lvlText w:val=""/>
      <w:lvlJc w:val="left"/>
    </w:lvl>
    <w:lvl w:ilvl="8" w:tplc="2AEE7610">
      <w:numFmt w:val="decimal"/>
      <w:lvlText w:val=""/>
      <w:lvlJc w:val="left"/>
    </w:lvl>
  </w:abstractNum>
  <w:abstractNum w:abstractNumId="1068" w15:restartNumberingAfterBreak="0">
    <w:nsid w:val="6FF55E68"/>
    <w:multiLevelType w:val="hybridMultilevel"/>
    <w:tmpl w:val="06F644A0"/>
    <w:lvl w:ilvl="0" w:tplc="0418539C">
      <w:start w:val="1"/>
      <w:numFmt w:val="bullet"/>
      <w:lvlText w:val=""/>
      <w:lvlJc w:val="left"/>
      <w:pPr>
        <w:ind w:left="720" w:hanging="180"/>
      </w:pPr>
      <w:rPr>
        <w:rFonts w:ascii="Symbol" w:hAnsi="Symbol" w:hint="default"/>
      </w:rPr>
    </w:lvl>
    <w:lvl w:ilvl="1" w:tplc="EFA66BF8">
      <w:numFmt w:val="decimal"/>
      <w:lvlText w:val=""/>
      <w:lvlJc w:val="left"/>
    </w:lvl>
    <w:lvl w:ilvl="2" w:tplc="66703E64">
      <w:numFmt w:val="decimal"/>
      <w:lvlText w:val=""/>
      <w:lvlJc w:val="left"/>
    </w:lvl>
    <w:lvl w:ilvl="3" w:tplc="0AB634AA">
      <w:numFmt w:val="decimal"/>
      <w:lvlText w:val=""/>
      <w:lvlJc w:val="left"/>
    </w:lvl>
    <w:lvl w:ilvl="4" w:tplc="DAD6BB8E">
      <w:numFmt w:val="decimal"/>
      <w:lvlText w:val=""/>
      <w:lvlJc w:val="left"/>
    </w:lvl>
    <w:lvl w:ilvl="5" w:tplc="CA0E2764">
      <w:numFmt w:val="decimal"/>
      <w:lvlText w:val=""/>
      <w:lvlJc w:val="left"/>
    </w:lvl>
    <w:lvl w:ilvl="6" w:tplc="B09031FA">
      <w:numFmt w:val="decimal"/>
      <w:lvlText w:val=""/>
      <w:lvlJc w:val="left"/>
    </w:lvl>
    <w:lvl w:ilvl="7" w:tplc="BBAA0876">
      <w:numFmt w:val="decimal"/>
      <w:lvlText w:val=""/>
      <w:lvlJc w:val="left"/>
    </w:lvl>
    <w:lvl w:ilvl="8" w:tplc="18AA7B86">
      <w:numFmt w:val="decimal"/>
      <w:lvlText w:val=""/>
      <w:lvlJc w:val="left"/>
    </w:lvl>
  </w:abstractNum>
  <w:abstractNum w:abstractNumId="1069" w15:restartNumberingAfterBreak="0">
    <w:nsid w:val="70023DB0"/>
    <w:multiLevelType w:val="hybridMultilevel"/>
    <w:tmpl w:val="779C023E"/>
    <w:lvl w:ilvl="0" w:tplc="448646E8">
      <w:start w:val="1"/>
      <w:numFmt w:val="bullet"/>
      <w:lvlText w:val=""/>
      <w:lvlJc w:val="left"/>
      <w:pPr>
        <w:ind w:left="720" w:hanging="180"/>
      </w:pPr>
      <w:rPr>
        <w:rFonts w:ascii="Symbol" w:hAnsi="Symbol" w:hint="default"/>
      </w:rPr>
    </w:lvl>
    <w:lvl w:ilvl="1" w:tplc="ADC027FA">
      <w:numFmt w:val="decimal"/>
      <w:lvlText w:val=""/>
      <w:lvlJc w:val="left"/>
    </w:lvl>
    <w:lvl w:ilvl="2" w:tplc="F9E6918E">
      <w:numFmt w:val="decimal"/>
      <w:lvlText w:val=""/>
      <w:lvlJc w:val="left"/>
    </w:lvl>
    <w:lvl w:ilvl="3" w:tplc="954644AE">
      <w:numFmt w:val="decimal"/>
      <w:lvlText w:val=""/>
      <w:lvlJc w:val="left"/>
    </w:lvl>
    <w:lvl w:ilvl="4" w:tplc="2A429A84">
      <w:numFmt w:val="decimal"/>
      <w:lvlText w:val=""/>
      <w:lvlJc w:val="left"/>
    </w:lvl>
    <w:lvl w:ilvl="5" w:tplc="6782876C">
      <w:numFmt w:val="decimal"/>
      <w:lvlText w:val=""/>
      <w:lvlJc w:val="left"/>
    </w:lvl>
    <w:lvl w:ilvl="6" w:tplc="E2463F24">
      <w:numFmt w:val="decimal"/>
      <w:lvlText w:val=""/>
      <w:lvlJc w:val="left"/>
    </w:lvl>
    <w:lvl w:ilvl="7" w:tplc="AF62D558">
      <w:numFmt w:val="decimal"/>
      <w:lvlText w:val=""/>
      <w:lvlJc w:val="left"/>
    </w:lvl>
    <w:lvl w:ilvl="8" w:tplc="23EC6198">
      <w:numFmt w:val="decimal"/>
      <w:lvlText w:val=""/>
      <w:lvlJc w:val="left"/>
    </w:lvl>
  </w:abstractNum>
  <w:abstractNum w:abstractNumId="1070" w15:restartNumberingAfterBreak="0">
    <w:nsid w:val="700D6A64"/>
    <w:multiLevelType w:val="hybridMultilevel"/>
    <w:tmpl w:val="A1EC6A7C"/>
    <w:lvl w:ilvl="0" w:tplc="92DCA160">
      <w:start w:val="1"/>
      <w:numFmt w:val="bullet"/>
      <w:lvlText w:val=""/>
      <w:lvlJc w:val="left"/>
      <w:pPr>
        <w:ind w:left="720" w:hanging="180"/>
      </w:pPr>
      <w:rPr>
        <w:rFonts w:ascii="Symbol" w:hAnsi="Symbol" w:hint="default"/>
      </w:rPr>
    </w:lvl>
    <w:lvl w:ilvl="1" w:tplc="8430A550">
      <w:numFmt w:val="decimal"/>
      <w:lvlText w:val=""/>
      <w:lvlJc w:val="left"/>
    </w:lvl>
    <w:lvl w:ilvl="2" w:tplc="8AC085E6">
      <w:numFmt w:val="decimal"/>
      <w:lvlText w:val=""/>
      <w:lvlJc w:val="left"/>
    </w:lvl>
    <w:lvl w:ilvl="3" w:tplc="49AA5AD2">
      <w:numFmt w:val="decimal"/>
      <w:lvlText w:val=""/>
      <w:lvlJc w:val="left"/>
    </w:lvl>
    <w:lvl w:ilvl="4" w:tplc="AB660C92">
      <w:numFmt w:val="decimal"/>
      <w:lvlText w:val=""/>
      <w:lvlJc w:val="left"/>
    </w:lvl>
    <w:lvl w:ilvl="5" w:tplc="7AA8F490">
      <w:numFmt w:val="decimal"/>
      <w:lvlText w:val=""/>
      <w:lvlJc w:val="left"/>
    </w:lvl>
    <w:lvl w:ilvl="6" w:tplc="F6D630EC">
      <w:numFmt w:val="decimal"/>
      <w:lvlText w:val=""/>
      <w:lvlJc w:val="left"/>
    </w:lvl>
    <w:lvl w:ilvl="7" w:tplc="4934DCFC">
      <w:numFmt w:val="decimal"/>
      <w:lvlText w:val=""/>
      <w:lvlJc w:val="left"/>
    </w:lvl>
    <w:lvl w:ilvl="8" w:tplc="48E02CAE">
      <w:numFmt w:val="decimal"/>
      <w:lvlText w:val=""/>
      <w:lvlJc w:val="left"/>
    </w:lvl>
  </w:abstractNum>
  <w:abstractNum w:abstractNumId="1071" w15:restartNumberingAfterBreak="0">
    <w:nsid w:val="701519C6"/>
    <w:multiLevelType w:val="hybridMultilevel"/>
    <w:tmpl w:val="0E0EA4EE"/>
    <w:lvl w:ilvl="0" w:tplc="D16CB276">
      <w:start w:val="1"/>
      <w:numFmt w:val="bullet"/>
      <w:lvlText w:val=""/>
      <w:lvlJc w:val="left"/>
      <w:pPr>
        <w:ind w:left="720" w:hanging="180"/>
      </w:pPr>
      <w:rPr>
        <w:rFonts w:ascii="Symbol" w:hAnsi="Symbol" w:hint="default"/>
      </w:rPr>
    </w:lvl>
    <w:lvl w:ilvl="1" w:tplc="0396D852">
      <w:numFmt w:val="decimal"/>
      <w:lvlText w:val=""/>
      <w:lvlJc w:val="left"/>
    </w:lvl>
    <w:lvl w:ilvl="2" w:tplc="5BF652DA">
      <w:numFmt w:val="decimal"/>
      <w:lvlText w:val=""/>
      <w:lvlJc w:val="left"/>
    </w:lvl>
    <w:lvl w:ilvl="3" w:tplc="FEEEA48E">
      <w:numFmt w:val="decimal"/>
      <w:lvlText w:val=""/>
      <w:lvlJc w:val="left"/>
    </w:lvl>
    <w:lvl w:ilvl="4" w:tplc="8E3E84B0">
      <w:numFmt w:val="decimal"/>
      <w:lvlText w:val=""/>
      <w:lvlJc w:val="left"/>
    </w:lvl>
    <w:lvl w:ilvl="5" w:tplc="CAC0BAAE">
      <w:numFmt w:val="decimal"/>
      <w:lvlText w:val=""/>
      <w:lvlJc w:val="left"/>
    </w:lvl>
    <w:lvl w:ilvl="6" w:tplc="301C2920">
      <w:numFmt w:val="decimal"/>
      <w:lvlText w:val=""/>
      <w:lvlJc w:val="left"/>
    </w:lvl>
    <w:lvl w:ilvl="7" w:tplc="140EC47C">
      <w:numFmt w:val="decimal"/>
      <w:lvlText w:val=""/>
      <w:lvlJc w:val="left"/>
    </w:lvl>
    <w:lvl w:ilvl="8" w:tplc="3AEA74F2">
      <w:numFmt w:val="decimal"/>
      <w:lvlText w:val=""/>
      <w:lvlJc w:val="left"/>
    </w:lvl>
  </w:abstractNum>
  <w:abstractNum w:abstractNumId="1072" w15:restartNumberingAfterBreak="0">
    <w:nsid w:val="70286C0F"/>
    <w:multiLevelType w:val="hybridMultilevel"/>
    <w:tmpl w:val="B6DA7292"/>
    <w:lvl w:ilvl="0" w:tplc="E75E9750">
      <w:start w:val="1"/>
      <w:numFmt w:val="bullet"/>
      <w:lvlText w:val=""/>
      <w:lvlJc w:val="left"/>
      <w:pPr>
        <w:ind w:left="720" w:hanging="180"/>
      </w:pPr>
      <w:rPr>
        <w:rFonts w:ascii="Symbol" w:hAnsi="Symbol" w:hint="default"/>
      </w:rPr>
    </w:lvl>
    <w:lvl w:ilvl="1" w:tplc="7BB8C946">
      <w:numFmt w:val="decimal"/>
      <w:lvlText w:val=""/>
      <w:lvlJc w:val="left"/>
    </w:lvl>
    <w:lvl w:ilvl="2" w:tplc="2402BA06">
      <w:numFmt w:val="decimal"/>
      <w:lvlText w:val=""/>
      <w:lvlJc w:val="left"/>
    </w:lvl>
    <w:lvl w:ilvl="3" w:tplc="1248A75C">
      <w:numFmt w:val="decimal"/>
      <w:lvlText w:val=""/>
      <w:lvlJc w:val="left"/>
    </w:lvl>
    <w:lvl w:ilvl="4" w:tplc="F4CA6B04">
      <w:numFmt w:val="decimal"/>
      <w:lvlText w:val=""/>
      <w:lvlJc w:val="left"/>
    </w:lvl>
    <w:lvl w:ilvl="5" w:tplc="031CC55A">
      <w:numFmt w:val="decimal"/>
      <w:lvlText w:val=""/>
      <w:lvlJc w:val="left"/>
    </w:lvl>
    <w:lvl w:ilvl="6" w:tplc="BDB2F0D8">
      <w:numFmt w:val="decimal"/>
      <w:lvlText w:val=""/>
      <w:lvlJc w:val="left"/>
    </w:lvl>
    <w:lvl w:ilvl="7" w:tplc="3230B58E">
      <w:numFmt w:val="decimal"/>
      <w:lvlText w:val=""/>
      <w:lvlJc w:val="left"/>
    </w:lvl>
    <w:lvl w:ilvl="8" w:tplc="9D9CD0CC">
      <w:numFmt w:val="decimal"/>
      <w:lvlText w:val=""/>
      <w:lvlJc w:val="left"/>
    </w:lvl>
  </w:abstractNum>
  <w:abstractNum w:abstractNumId="1073" w15:restartNumberingAfterBreak="0">
    <w:nsid w:val="707D3E94"/>
    <w:multiLevelType w:val="hybridMultilevel"/>
    <w:tmpl w:val="D5244644"/>
    <w:lvl w:ilvl="0" w:tplc="FB1E5804">
      <w:start w:val="1"/>
      <w:numFmt w:val="bullet"/>
      <w:lvlText w:val=""/>
      <w:lvlJc w:val="left"/>
      <w:pPr>
        <w:ind w:left="720" w:hanging="180"/>
      </w:pPr>
      <w:rPr>
        <w:rFonts w:ascii="Symbol" w:hAnsi="Symbol" w:hint="default"/>
      </w:rPr>
    </w:lvl>
    <w:lvl w:ilvl="1" w:tplc="254C38AE">
      <w:numFmt w:val="decimal"/>
      <w:lvlText w:val=""/>
      <w:lvlJc w:val="left"/>
    </w:lvl>
    <w:lvl w:ilvl="2" w:tplc="BD0020F6">
      <w:numFmt w:val="decimal"/>
      <w:lvlText w:val=""/>
      <w:lvlJc w:val="left"/>
    </w:lvl>
    <w:lvl w:ilvl="3" w:tplc="FCA4B1D4">
      <w:numFmt w:val="decimal"/>
      <w:lvlText w:val=""/>
      <w:lvlJc w:val="left"/>
    </w:lvl>
    <w:lvl w:ilvl="4" w:tplc="B10A63A6">
      <w:numFmt w:val="decimal"/>
      <w:lvlText w:val=""/>
      <w:lvlJc w:val="left"/>
    </w:lvl>
    <w:lvl w:ilvl="5" w:tplc="725482FE">
      <w:numFmt w:val="decimal"/>
      <w:lvlText w:val=""/>
      <w:lvlJc w:val="left"/>
    </w:lvl>
    <w:lvl w:ilvl="6" w:tplc="DF487810">
      <w:numFmt w:val="decimal"/>
      <w:lvlText w:val=""/>
      <w:lvlJc w:val="left"/>
    </w:lvl>
    <w:lvl w:ilvl="7" w:tplc="87D81236">
      <w:numFmt w:val="decimal"/>
      <w:lvlText w:val=""/>
      <w:lvlJc w:val="left"/>
    </w:lvl>
    <w:lvl w:ilvl="8" w:tplc="0AD4DD00">
      <w:numFmt w:val="decimal"/>
      <w:lvlText w:val=""/>
      <w:lvlJc w:val="left"/>
    </w:lvl>
  </w:abstractNum>
  <w:abstractNum w:abstractNumId="1074" w15:restartNumberingAfterBreak="0">
    <w:nsid w:val="7092705E"/>
    <w:multiLevelType w:val="hybridMultilevel"/>
    <w:tmpl w:val="141E3A6A"/>
    <w:lvl w:ilvl="0" w:tplc="4F7A6CDA">
      <w:start w:val="1"/>
      <w:numFmt w:val="bullet"/>
      <w:lvlText w:val=""/>
      <w:lvlJc w:val="left"/>
      <w:pPr>
        <w:ind w:left="720" w:hanging="180"/>
      </w:pPr>
      <w:rPr>
        <w:rFonts w:ascii="Symbol" w:hAnsi="Symbol" w:hint="default"/>
      </w:rPr>
    </w:lvl>
    <w:lvl w:ilvl="1" w:tplc="5162B606">
      <w:numFmt w:val="decimal"/>
      <w:lvlText w:val=""/>
      <w:lvlJc w:val="left"/>
    </w:lvl>
    <w:lvl w:ilvl="2" w:tplc="9D74F20C">
      <w:numFmt w:val="decimal"/>
      <w:lvlText w:val=""/>
      <w:lvlJc w:val="left"/>
    </w:lvl>
    <w:lvl w:ilvl="3" w:tplc="7D1AEF22">
      <w:numFmt w:val="decimal"/>
      <w:lvlText w:val=""/>
      <w:lvlJc w:val="left"/>
    </w:lvl>
    <w:lvl w:ilvl="4" w:tplc="A8BA829A">
      <w:numFmt w:val="decimal"/>
      <w:lvlText w:val=""/>
      <w:lvlJc w:val="left"/>
    </w:lvl>
    <w:lvl w:ilvl="5" w:tplc="C5F2577E">
      <w:numFmt w:val="decimal"/>
      <w:lvlText w:val=""/>
      <w:lvlJc w:val="left"/>
    </w:lvl>
    <w:lvl w:ilvl="6" w:tplc="EC2CEE40">
      <w:numFmt w:val="decimal"/>
      <w:lvlText w:val=""/>
      <w:lvlJc w:val="left"/>
    </w:lvl>
    <w:lvl w:ilvl="7" w:tplc="A5ECCAA0">
      <w:numFmt w:val="decimal"/>
      <w:lvlText w:val=""/>
      <w:lvlJc w:val="left"/>
    </w:lvl>
    <w:lvl w:ilvl="8" w:tplc="EB3ACFD6">
      <w:numFmt w:val="decimal"/>
      <w:lvlText w:val=""/>
      <w:lvlJc w:val="left"/>
    </w:lvl>
  </w:abstractNum>
  <w:abstractNum w:abstractNumId="1075" w15:restartNumberingAfterBreak="0">
    <w:nsid w:val="70BC3E8B"/>
    <w:multiLevelType w:val="hybridMultilevel"/>
    <w:tmpl w:val="1CAC32C0"/>
    <w:lvl w:ilvl="0" w:tplc="5CEC4AF2">
      <w:start w:val="1"/>
      <w:numFmt w:val="bullet"/>
      <w:lvlText w:val=""/>
      <w:lvlJc w:val="left"/>
      <w:pPr>
        <w:ind w:left="720" w:hanging="180"/>
      </w:pPr>
      <w:rPr>
        <w:rFonts w:ascii="Symbol" w:hAnsi="Symbol" w:hint="default"/>
      </w:rPr>
    </w:lvl>
    <w:lvl w:ilvl="1" w:tplc="8C840E0E">
      <w:numFmt w:val="decimal"/>
      <w:lvlText w:val=""/>
      <w:lvlJc w:val="left"/>
    </w:lvl>
    <w:lvl w:ilvl="2" w:tplc="88CA4078">
      <w:numFmt w:val="decimal"/>
      <w:lvlText w:val=""/>
      <w:lvlJc w:val="left"/>
    </w:lvl>
    <w:lvl w:ilvl="3" w:tplc="B7888ED4">
      <w:numFmt w:val="decimal"/>
      <w:lvlText w:val=""/>
      <w:lvlJc w:val="left"/>
    </w:lvl>
    <w:lvl w:ilvl="4" w:tplc="C28606FC">
      <w:numFmt w:val="decimal"/>
      <w:lvlText w:val=""/>
      <w:lvlJc w:val="left"/>
    </w:lvl>
    <w:lvl w:ilvl="5" w:tplc="3564C760">
      <w:numFmt w:val="decimal"/>
      <w:lvlText w:val=""/>
      <w:lvlJc w:val="left"/>
    </w:lvl>
    <w:lvl w:ilvl="6" w:tplc="664A8052">
      <w:numFmt w:val="decimal"/>
      <w:lvlText w:val=""/>
      <w:lvlJc w:val="left"/>
    </w:lvl>
    <w:lvl w:ilvl="7" w:tplc="468CE172">
      <w:numFmt w:val="decimal"/>
      <w:lvlText w:val=""/>
      <w:lvlJc w:val="left"/>
    </w:lvl>
    <w:lvl w:ilvl="8" w:tplc="8C200876">
      <w:numFmt w:val="decimal"/>
      <w:lvlText w:val=""/>
      <w:lvlJc w:val="left"/>
    </w:lvl>
  </w:abstractNum>
  <w:abstractNum w:abstractNumId="1076" w15:restartNumberingAfterBreak="0">
    <w:nsid w:val="70C32650"/>
    <w:multiLevelType w:val="hybridMultilevel"/>
    <w:tmpl w:val="279CE52A"/>
    <w:lvl w:ilvl="0" w:tplc="19E25B16">
      <w:start w:val="1"/>
      <w:numFmt w:val="bullet"/>
      <w:lvlText w:val=""/>
      <w:lvlJc w:val="left"/>
      <w:pPr>
        <w:ind w:left="720" w:hanging="180"/>
      </w:pPr>
      <w:rPr>
        <w:rFonts w:ascii="Symbol" w:hAnsi="Symbol" w:hint="default"/>
      </w:rPr>
    </w:lvl>
    <w:lvl w:ilvl="1" w:tplc="BD5CEC90">
      <w:numFmt w:val="decimal"/>
      <w:lvlText w:val=""/>
      <w:lvlJc w:val="left"/>
    </w:lvl>
    <w:lvl w:ilvl="2" w:tplc="D0A62CA2">
      <w:numFmt w:val="decimal"/>
      <w:lvlText w:val=""/>
      <w:lvlJc w:val="left"/>
    </w:lvl>
    <w:lvl w:ilvl="3" w:tplc="90D81E18">
      <w:numFmt w:val="decimal"/>
      <w:lvlText w:val=""/>
      <w:lvlJc w:val="left"/>
    </w:lvl>
    <w:lvl w:ilvl="4" w:tplc="F60831D2">
      <w:numFmt w:val="decimal"/>
      <w:lvlText w:val=""/>
      <w:lvlJc w:val="left"/>
    </w:lvl>
    <w:lvl w:ilvl="5" w:tplc="B1406E3E">
      <w:numFmt w:val="decimal"/>
      <w:lvlText w:val=""/>
      <w:lvlJc w:val="left"/>
    </w:lvl>
    <w:lvl w:ilvl="6" w:tplc="AD646CB6">
      <w:numFmt w:val="decimal"/>
      <w:lvlText w:val=""/>
      <w:lvlJc w:val="left"/>
    </w:lvl>
    <w:lvl w:ilvl="7" w:tplc="00E474D4">
      <w:numFmt w:val="decimal"/>
      <w:lvlText w:val=""/>
      <w:lvlJc w:val="left"/>
    </w:lvl>
    <w:lvl w:ilvl="8" w:tplc="42286F08">
      <w:numFmt w:val="decimal"/>
      <w:lvlText w:val=""/>
      <w:lvlJc w:val="left"/>
    </w:lvl>
  </w:abstractNum>
  <w:abstractNum w:abstractNumId="1077" w15:restartNumberingAfterBreak="0">
    <w:nsid w:val="7113272A"/>
    <w:multiLevelType w:val="hybridMultilevel"/>
    <w:tmpl w:val="7D221888"/>
    <w:lvl w:ilvl="0" w:tplc="797E3908">
      <w:start w:val="1"/>
      <w:numFmt w:val="bullet"/>
      <w:lvlText w:val=""/>
      <w:lvlJc w:val="left"/>
      <w:pPr>
        <w:ind w:left="720" w:hanging="180"/>
      </w:pPr>
      <w:rPr>
        <w:rFonts w:ascii="Symbol" w:hAnsi="Symbol" w:hint="default"/>
      </w:rPr>
    </w:lvl>
    <w:lvl w:ilvl="1" w:tplc="3A72859A">
      <w:numFmt w:val="decimal"/>
      <w:lvlText w:val=""/>
      <w:lvlJc w:val="left"/>
    </w:lvl>
    <w:lvl w:ilvl="2" w:tplc="EE84D61A">
      <w:numFmt w:val="decimal"/>
      <w:lvlText w:val=""/>
      <w:lvlJc w:val="left"/>
    </w:lvl>
    <w:lvl w:ilvl="3" w:tplc="56126F2A">
      <w:numFmt w:val="decimal"/>
      <w:lvlText w:val=""/>
      <w:lvlJc w:val="left"/>
    </w:lvl>
    <w:lvl w:ilvl="4" w:tplc="14FA2A0E">
      <w:numFmt w:val="decimal"/>
      <w:lvlText w:val=""/>
      <w:lvlJc w:val="left"/>
    </w:lvl>
    <w:lvl w:ilvl="5" w:tplc="A4024F44">
      <w:numFmt w:val="decimal"/>
      <w:lvlText w:val=""/>
      <w:lvlJc w:val="left"/>
    </w:lvl>
    <w:lvl w:ilvl="6" w:tplc="56D49154">
      <w:numFmt w:val="decimal"/>
      <w:lvlText w:val=""/>
      <w:lvlJc w:val="left"/>
    </w:lvl>
    <w:lvl w:ilvl="7" w:tplc="C6A4FE06">
      <w:numFmt w:val="decimal"/>
      <w:lvlText w:val=""/>
      <w:lvlJc w:val="left"/>
    </w:lvl>
    <w:lvl w:ilvl="8" w:tplc="C75A6F22">
      <w:numFmt w:val="decimal"/>
      <w:lvlText w:val=""/>
      <w:lvlJc w:val="left"/>
    </w:lvl>
  </w:abstractNum>
  <w:abstractNum w:abstractNumId="1078" w15:restartNumberingAfterBreak="0">
    <w:nsid w:val="711C03FA"/>
    <w:multiLevelType w:val="hybridMultilevel"/>
    <w:tmpl w:val="7B18A5A0"/>
    <w:lvl w:ilvl="0" w:tplc="9626BF00">
      <w:start w:val="1"/>
      <w:numFmt w:val="bullet"/>
      <w:lvlText w:val=""/>
      <w:lvlJc w:val="left"/>
      <w:pPr>
        <w:ind w:left="720" w:hanging="180"/>
      </w:pPr>
      <w:rPr>
        <w:rFonts w:ascii="Symbol" w:hAnsi="Symbol" w:hint="default"/>
      </w:rPr>
    </w:lvl>
    <w:lvl w:ilvl="1" w:tplc="14D2153A">
      <w:numFmt w:val="decimal"/>
      <w:lvlText w:val=""/>
      <w:lvlJc w:val="left"/>
    </w:lvl>
    <w:lvl w:ilvl="2" w:tplc="D2604AF6">
      <w:numFmt w:val="decimal"/>
      <w:lvlText w:val=""/>
      <w:lvlJc w:val="left"/>
    </w:lvl>
    <w:lvl w:ilvl="3" w:tplc="1D5E2912">
      <w:numFmt w:val="decimal"/>
      <w:lvlText w:val=""/>
      <w:lvlJc w:val="left"/>
    </w:lvl>
    <w:lvl w:ilvl="4" w:tplc="F94C85C4">
      <w:numFmt w:val="decimal"/>
      <w:lvlText w:val=""/>
      <w:lvlJc w:val="left"/>
    </w:lvl>
    <w:lvl w:ilvl="5" w:tplc="4BC8A83E">
      <w:numFmt w:val="decimal"/>
      <w:lvlText w:val=""/>
      <w:lvlJc w:val="left"/>
    </w:lvl>
    <w:lvl w:ilvl="6" w:tplc="EFBA3E68">
      <w:numFmt w:val="decimal"/>
      <w:lvlText w:val=""/>
      <w:lvlJc w:val="left"/>
    </w:lvl>
    <w:lvl w:ilvl="7" w:tplc="763EB2CC">
      <w:numFmt w:val="decimal"/>
      <w:lvlText w:val=""/>
      <w:lvlJc w:val="left"/>
    </w:lvl>
    <w:lvl w:ilvl="8" w:tplc="E0746270">
      <w:numFmt w:val="decimal"/>
      <w:lvlText w:val=""/>
      <w:lvlJc w:val="left"/>
    </w:lvl>
  </w:abstractNum>
  <w:abstractNum w:abstractNumId="1079" w15:restartNumberingAfterBreak="0">
    <w:nsid w:val="71855A27"/>
    <w:multiLevelType w:val="hybridMultilevel"/>
    <w:tmpl w:val="A7722C20"/>
    <w:lvl w:ilvl="0" w:tplc="4546DF42">
      <w:start w:val="1"/>
      <w:numFmt w:val="bullet"/>
      <w:lvlText w:val=""/>
      <w:lvlJc w:val="left"/>
      <w:pPr>
        <w:ind w:left="720" w:hanging="180"/>
      </w:pPr>
      <w:rPr>
        <w:rFonts w:ascii="Symbol" w:hAnsi="Symbol" w:hint="default"/>
      </w:rPr>
    </w:lvl>
    <w:lvl w:ilvl="1" w:tplc="978C6090">
      <w:numFmt w:val="decimal"/>
      <w:lvlText w:val=""/>
      <w:lvlJc w:val="left"/>
    </w:lvl>
    <w:lvl w:ilvl="2" w:tplc="F7B0C992">
      <w:numFmt w:val="decimal"/>
      <w:lvlText w:val=""/>
      <w:lvlJc w:val="left"/>
    </w:lvl>
    <w:lvl w:ilvl="3" w:tplc="78B66A84">
      <w:numFmt w:val="decimal"/>
      <w:lvlText w:val=""/>
      <w:lvlJc w:val="left"/>
    </w:lvl>
    <w:lvl w:ilvl="4" w:tplc="D4AA395C">
      <w:numFmt w:val="decimal"/>
      <w:lvlText w:val=""/>
      <w:lvlJc w:val="left"/>
    </w:lvl>
    <w:lvl w:ilvl="5" w:tplc="E10C06AC">
      <w:numFmt w:val="decimal"/>
      <w:lvlText w:val=""/>
      <w:lvlJc w:val="left"/>
    </w:lvl>
    <w:lvl w:ilvl="6" w:tplc="69008BEC">
      <w:numFmt w:val="decimal"/>
      <w:lvlText w:val=""/>
      <w:lvlJc w:val="left"/>
    </w:lvl>
    <w:lvl w:ilvl="7" w:tplc="88D256C0">
      <w:numFmt w:val="decimal"/>
      <w:lvlText w:val=""/>
      <w:lvlJc w:val="left"/>
    </w:lvl>
    <w:lvl w:ilvl="8" w:tplc="817CD83E">
      <w:numFmt w:val="decimal"/>
      <w:lvlText w:val=""/>
      <w:lvlJc w:val="left"/>
    </w:lvl>
  </w:abstractNum>
  <w:abstractNum w:abstractNumId="1080" w15:restartNumberingAfterBreak="0">
    <w:nsid w:val="71C44608"/>
    <w:multiLevelType w:val="hybridMultilevel"/>
    <w:tmpl w:val="BCFEF90C"/>
    <w:lvl w:ilvl="0" w:tplc="DB62D17E">
      <w:numFmt w:val="decimal"/>
      <w:lvlText w:val=""/>
      <w:lvlJc w:val="left"/>
    </w:lvl>
    <w:lvl w:ilvl="1" w:tplc="5518E29E">
      <w:start w:val="1"/>
      <w:numFmt w:val="bullet"/>
      <w:lvlText w:val=""/>
      <w:lvlJc w:val="left"/>
      <w:pPr>
        <w:ind w:left="1440" w:hanging="180"/>
      </w:pPr>
      <w:rPr>
        <w:rFonts w:ascii="Symbol" w:hAnsi="Symbol" w:hint="default"/>
      </w:rPr>
    </w:lvl>
    <w:lvl w:ilvl="2" w:tplc="4664FAAE">
      <w:numFmt w:val="decimal"/>
      <w:lvlText w:val=""/>
      <w:lvlJc w:val="left"/>
    </w:lvl>
    <w:lvl w:ilvl="3" w:tplc="A522911E">
      <w:numFmt w:val="decimal"/>
      <w:lvlText w:val=""/>
      <w:lvlJc w:val="left"/>
    </w:lvl>
    <w:lvl w:ilvl="4" w:tplc="CAE43030">
      <w:numFmt w:val="decimal"/>
      <w:lvlText w:val=""/>
      <w:lvlJc w:val="left"/>
    </w:lvl>
    <w:lvl w:ilvl="5" w:tplc="03089A16">
      <w:numFmt w:val="decimal"/>
      <w:lvlText w:val=""/>
      <w:lvlJc w:val="left"/>
    </w:lvl>
    <w:lvl w:ilvl="6" w:tplc="B05426E6">
      <w:numFmt w:val="decimal"/>
      <w:lvlText w:val=""/>
      <w:lvlJc w:val="left"/>
    </w:lvl>
    <w:lvl w:ilvl="7" w:tplc="C5E6BB80">
      <w:numFmt w:val="decimal"/>
      <w:lvlText w:val=""/>
      <w:lvlJc w:val="left"/>
    </w:lvl>
    <w:lvl w:ilvl="8" w:tplc="9A3EE532">
      <w:numFmt w:val="decimal"/>
      <w:lvlText w:val=""/>
      <w:lvlJc w:val="left"/>
    </w:lvl>
  </w:abstractNum>
  <w:abstractNum w:abstractNumId="1081" w15:restartNumberingAfterBreak="0">
    <w:nsid w:val="71FC16D7"/>
    <w:multiLevelType w:val="hybridMultilevel"/>
    <w:tmpl w:val="BB846246"/>
    <w:lvl w:ilvl="0" w:tplc="808CFE2A">
      <w:start w:val="1"/>
      <w:numFmt w:val="bullet"/>
      <w:lvlText w:val=""/>
      <w:lvlJc w:val="left"/>
      <w:pPr>
        <w:ind w:left="720" w:hanging="180"/>
      </w:pPr>
      <w:rPr>
        <w:rFonts w:ascii="Symbol" w:hAnsi="Symbol" w:hint="default"/>
      </w:rPr>
    </w:lvl>
    <w:lvl w:ilvl="1" w:tplc="4426CD60">
      <w:numFmt w:val="decimal"/>
      <w:lvlText w:val=""/>
      <w:lvlJc w:val="left"/>
    </w:lvl>
    <w:lvl w:ilvl="2" w:tplc="7F74001E">
      <w:numFmt w:val="decimal"/>
      <w:lvlText w:val=""/>
      <w:lvlJc w:val="left"/>
    </w:lvl>
    <w:lvl w:ilvl="3" w:tplc="BA10AA82">
      <w:numFmt w:val="decimal"/>
      <w:lvlText w:val=""/>
      <w:lvlJc w:val="left"/>
    </w:lvl>
    <w:lvl w:ilvl="4" w:tplc="E5A207D2">
      <w:numFmt w:val="decimal"/>
      <w:lvlText w:val=""/>
      <w:lvlJc w:val="left"/>
    </w:lvl>
    <w:lvl w:ilvl="5" w:tplc="6D76A982">
      <w:numFmt w:val="decimal"/>
      <w:lvlText w:val=""/>
      <w:lvlJc w:val="left"/>
    </w:lvl>
    <w:lvl w:ilvl="6" w:tplc="92F42DC0">
      <w:numFmt w:val="decimal"/>
      <w:lvlText w:val=""/>
      <w:lvlJc w:val="left"/>
    </w:lvl>
    <w:lvl w:ilvl="7" w:tplc="9D36ADDA">
      <w:numFmt w:val="decimal"/>
      <w:lvlText w:val=""/>
      <w:lvlJc w:val="left"/>
    </w:lvl>
    <w:lvl w:ilvl="8" w:tplc="F29CDC76">
      <w:numFmt w:val="decimal"/>
      <w:lvlText w:val=""/>
      <w:lvlJc w:val="left"/>
    </w:lvl>
  </w:abstractNum>
  <w:abstractNum w:abstractNumId="1082" w15:restartNumberingAfterBreak="0">
    <w:nsid w:val="722A76DF"/>
    <w:multiLevelType w:val="hybridMultilevel"/>
    <w:tmpl w:val="549C61E4"/>
    <w:lvl w:ilvl="0" w:tplc="F7563D26">
      <w:start w:val="1"/>
      <w:numFmt w:val="bullet"/>
      <w:lvlText w:val=""/>
      <w:lvlJc w:val="left"/>
      <w:pPr>
        <w:ind w:left="720" w:hanging="180"/>
      </w:pPr>
      <w:rPr>
        <w:rFonts w:ascii="Symbol" w:hAnsi="Symbol" w:hint="default"/>
      </w:rPr>
    </w:lvl>
    <w:lvl w:ilvl="1" w:tplc="64823F44">
      <w:numFmt w:val="decimal"/>
      <w:lvlText w:val=""/>
      <w:lvlJc w:val="left"/>
    </w:lvl>
    <w:lvl w:ilvl="2" w:tplc="A49A2800">
      <w:numFmt w:val="decimal"/>
      <w:lvlText w:val=""/>
      <w:lvlJc w:val="left"/>
    </w:lvl>
    <w:lvl w:ilvl="3" w:tplc="059229FE">
      <w:numFmt w:val="decimal"/>
      <w:lvlText w:val=""/>
      <w:lvlJc w:val="left"/>
    </w:lvl>
    <w:lvl w:ilvl="4" w:tplc="7644AF54">
      <w:numFmt w:val="decimal"/>
      <w:lvlText w:val=""/>
      <w:lvlJc w:val="left"/>
    </w:lvl>
    <w:lvl w:ilvl="5" w:tplc="A5D452B4">
      <w:numFmt w:val="decimal"/>
      <w:lvlText w:val=""/>
      <w:lvlJc w:val="left"/>
    </w:lvl>
    <w:lvl w:ilvl="6" w:tplc="2C24B816">
      <w:numFmt w:val="decimal"/>
      <w:lvlText w:val=""/>
      <w:lvlJc w:val="left"/>
    </w:lvl>
    <w:lvl w:ilvl="7" w:tplc="9CD4F178">
      <w:numFmt w:val="decimal"/>
      <w:lvlText w:val=""/>
      <w:lvlJc w:val="left"/>
    </w:lvl>
    <w:lvl w:ilvl="8" w:tplc="4DA2A3FA">
      <w:numFmt w:val="decimal"/>
      <w:lvlText w:val=""/>
      <w:lvlJc w:val="left"/>
    </w:lvl>
  </w:abstractNum>
  <w:abstractNum w:abstractNumId="1083" w15:restartNumberingAfterBreak="0">
    <w:nsid w:val="72335CA6"/>
    <w:multiLevelType w:val="hybridMultilevel"/>
    <w:tmpl w:val="0C5ED376"/>
    <w:lvl w:ilvl="0" w:tplc="059EDC7A">
      <w:start w:val="1"/>
      <w:numFmt w:val="bullet"/>
      <w:lvlText w:val=""/>
      <w:lvlJc w:val="left"/>
      <w:pPr>
        <w:ind w:left="720" w:hanging="180"/>
      </w:pPr>
      <w:rPr>
        <w:rFonts w:ascii="Symbol" w:hAnsi="Symbol" w:hint="default"/>
      </w:rPr>
    </w:lvl>
    <w:lvl w:ilvl="1" w:tplc="DCC2811E">
      <w:numFmt w:val="decimal"/>
      <w:lvlText w:val=""/>
      <w:lvlJc w:val="left"/>
    </w:lvl>
    <w:lvl w:ilvl="2" w:tplc="E1BC91F4">
      <w:numFmt w:val="decimal"/>
      <w:lvlText w:val=""/>
      <w:lvlJc w:val="left"/>
    </w:lvl>
    <w:lvl w:ilvl="3" w:tplc="D5C0D0FA">
      <w:numFmt w:val="decimal"/>
      <w:lvlText w:val=""/>
      <w:lvlJc w:val="left"/>
    </w:lvl>
    <w:lvl w:ilvl="4" w:tplc="8124C59C">
      <w:numFmt w:val="decimal"/>
      <w:lvlText w:val=""/>
      <w:lvlJc w:val="left"/>
    </w:lvl>
    <w:lvl w:ilvl="5" w:tplc="994C95DA">
      <w:numFmt w:val="decimal"/>
      <w:lvlText w:val=""/>
      <w:lvlJc w:val="left"/>
    </w:lvl>
    <w:lvl w:ilvl="6" w:tplc="30B02134">
      <w:numFmt w:val="decimal"/>
      <w:lvlText w:val=""/>
      <w:lvlJc w:val="left"/>
    </w:lvl>
    <w:lvl w:ilvl="7" w:tplc="278A36EE">
      <w:numFmt w:val="decimal"/>
      <w:lvlText w:val=""/>
      <w:lvlJc w:val="left"/>
    </w:lvl>
    <w:lvl w:ilvl="8" w:tplc="D4FED17E">
      <w:numFmt w:val="decimal"/>
      <w:lvlText w:val=""/>
      <w:lvlJc w:val="left"/>
    </w:lvl>
  </w:abstractNum>
  <w:abstractNum w:abstractNumId="1084" w15:restartNumberingAfterBreak="0">
    <w:nsid w:val="723942FF"/>
    <w:multiLevelType w:val="hybridMultilevel"/>
    <w:tmpl w:val="F0963502"/>
    <w:lvl w:ilvl="0" w:tplc="162CF2F2">
      <w:start w:val="1"/>
      <w:numFmt w:val="bullet"/>
      <w:lvlText w:val=""/>
      <w:lvlJc w:val="left"/>
      <w:pPr>
        <w:ind w:left="720" w:hanging="180"/>
      </w:pPr>
      <w:rPr>
        <w:rFonts w:ascii="Symbol" w:hAnsi="Symbol" w:hint="default"/>
      </w:rPr>
    </w:lvl>
    <w:lvl w:ilvl="1" w:tplc="EA1CC03C">
      <w:numFmt w:val="decimal"/>
      <w:lvlText w:val=""/>
      <w:lvlJc w:val="left"/>
    </w:lvl>
    <w:lvl w:ilvl="2" w:tplc="62CE0E32">
      <w:numFmt w:val="decimal"/>
      <w:lvlText w:val=""/>
      <w:lvlJc w:val="left"/>
    </w:lvl>
    <w:lvl w:ilvl="3" w:tplc="1640DC0A">
      <w:numFmt w:val="decimal"/>
      <w:lvlText w:val=""/>
      <w:lvlJc w:val="left"/>
    </w:lvl>
    <w:lvl w:ilvl="4" w:tplc="24AEAF18">
      <w:numFmt w:val="decimal"/>
      <w:lvlText w:val=""/>
      <w:lvlJc w:val="left"/>
    </w:lvl>
    <w:lvl w:ilvl="5" w:tplc="DDC6B95E">
      <w:numFmt w:val="decimal"/>
      <w:lvlText w:val=""/>
      <w:lvlJc w:val="left"/>
    </w:lvl>
    <w:lvl w:ilvl="6" w:tplc="D9064FA2">
      <w:numFmt w:val="decimal"/>
      <w:lvlText w:val=""/>
      <w:lvlJc w:val="left"/>
    </w:lvl>
    <w:lvl w:ilvl="7" w:tplc="7786C1D8">
      <w:numFmt w:val="decimal"/>
      <w:lvlText w:val=""/>
      <w:lvlJc w:val="left"/>
    </w:lvl>
    <w:lvl w:ilvl="8" w:tplc="F808037C">
      <w:numFmt w:val="decimal"/>
      <w:lvlText w:val=""/>
      <w:lvlJc w:val="left"/>
    </w:lvl>
  </w:abstractNum>
  <w:abstractNum w:abstractNumId="1085" w15:restartNumberingAfterBreak="0">
    <w:nsid w:val="72395410"/>
    <w:multiLevelType w:val="hybridMultilevel"/>
    <w:tmpl w:val="497A3732"/>
    <w:lvl w:ilvl="0" w:tplc="01D6EE70">
      <w:start w:val="1"/>
      <w:numFmt w:val="bullet"/>
      <w:lvlText w:val=""/>
      <w:lvlJc w:val="left"/>
      <w:pPr>
        <w:ind w:left="720" w:hanging="180"/>
      </w:pPr>
      <w:rPr>
        <w:rFonts w:ascii="Symbol" w:hAnsi="Symbol" w:hint="default"/>
      </w:rPr>
    </w:lvl>
    <w:lvl w:ilvl="1" w:tplc="E12AAB98">
      <w:numFmt w:val="decimal"/>
      <w:lvlText w:val=""/>
      <w:lvlJc w:val="left"/>
    </w:lvl>
    <w:lvl w:ilvl="2" w:tplc="8B163B00">
      <w:numFmt w:val="decimal"/>
      <w:lvlText w:val=""/>
      <w:lvlJc w:val="left"/>
    </w:lvl>
    <w:lvl w:ilvl="3" w:tplc="FD36911E">
      <w:numFmt w:val="decimal"/>
      <w:lvlText w:val=""/>
      <w:lvlJc w:val="left"/>
    </w:lvl>
    <w:lvl w:ilvl="4" w:tplc="D936ADE6">
      <w:numFmt w:val="decimal"/>
      <w:lvlText w:val=""/>
      <w:lvlJc w:val="left"/>
    </w:lvl>
    <w:lvl w:ilvl="5" w:tplc="D4DA4E9C">
      <w:numFmt w:val="decimal"/>
      <w:lvlText w:val=""/>
      <w:lvlJc w:val="left"/>
    </w:lvl>
    <w:lvl w:ilvl="6" w:tplc="26D2A3E8">
      <w:numFmt w:val="decimal"/>
      <w:lvlText w:val=""/>
      <w:lvlJc w:val="left"/>
    </w:lvl>
    <w:lvl w:ilvl="7" w:tplc="97503D00">
      <w:numFmt w:val="decimal"/>
      <w:lvlText w:val=""/>
      <w:lvlJc w:val="left"/>
    </w:lvl>
    <w:lvl w:ilvl="8" w:tplc="ABB0E8AA">
      <w:numFmt w:val="decimal"/>
      <w:lvlText w:val=""/>
      <w:lvlJc w:val="left"/>
    </w:lvl>
  </w:abstractNum>
  <w:abstractNum w:abstractNumId="1086" w15:restartNumberingAfterBreak="0">
    <w:nsid w:val="724814E5"/>
    <w:multiLevelType w:val="hybridMultilevel"/>
    <w:tmpl w:val="B9B00C40"/>
    <w:lvl w:ilvl="0" w:tplc="3B1AAD7E">
      <w:start w:val="1"/>
      <w:numFmt w:val="bullet"/>
      <w:lvlText w:val=""/>
      <w:lvlJc w:val="left"/>
      <w:pPr>
        <w:ind w:left="720" w:hanging="180"/>
      </w:pPr>
      <w:rPr>
        <w:rFonts w:ascii="Symbol" w:hAnsi="Symbol" w:hint="default"/>
      </w:rPr>
    </w:lvl>
    <w:lvl w:ilvl="1" w:tplc="6CCA1D00">
      <w:numFmt w:val="decimal"/>
      <w:lvlText w:val=""/>
      <w:lvlJc w:val="left"/>
    </w:lvl>
    <w:lvl w:ilvl="2" w:tplc="D7740828">
      <w:numFmt w:val="decimal"/>
      <w:lvlText w:val=""/>
      <w:lvlJc w:val="left"/>
    </w:lvl>
    <w:lvl w:ilvl="3" w:tplc="44ECA6D6">
      <w:numFmt w:val="decimal"/>
      <w:lvlText w:val=""/>
      <w:lvlJc w:val="left"/>
    </w:lvl>
    <w:lvl w:ilvl="4" w:tplc="E3EC9AEE">
      <w:numFmt w:val="decimal"/>
      <w:lvlText w:val=""/>
      <w:lvlJc w:val="left"/>
    </w:lvl>
    <w:lvl w:ilvl="5" w:tplc="21226EF4">
      <w:numFmt w:val="decimal"/>
      <w:lvlText w:val=""/>
      <w:lvlJc w:val="left"/>
    </w:lvl>
    <w:lvl w:ilvl="6" w:tplc="E182E07A">
      <w:numFmt w:val="decimal"/>
      <w:lvlText w:val=""/>
      <w:lvlJc w:val="left"/>
    </w:lvl>
    <w:lvl w:ilvl="7" w:tplc="3F2A7AEA">
      <w:numFmt w:val="decimal"/>
      <w:lvlText w:val=""/>
      <w:lvlJc w:val="left"/>
    </w:lvl>
    <w:lvl w:ilvl="8" w:tplc="C792DE5A">
      <w:numFmt w:val="decimal"/>
      <w:lvlText w:val=""/>
      <w:lvlJc w:val="left"/>
    </w:lvl>
  </w:abstractNum>
  <w:abstractNum w:abstractNumId="1087" w15:restartNumberingAfterBreak="0">
    <w:nsid w:val="724A4AD6"/>
    <w:multiLevelType w:val="hybridMultilevel"/>
    <w:tmpl w:val="60E47684"/>
    <w:lvl w:ilvl="0" w:tplc="4BE282CA">
      <w:start w:val="1"/>
      <w:numFmt w:val="bullet"/>
      <w:lvlText w:val=""/>
      <w:lvlJc w:val="left"/>
      <w:pPr>
        <w:ind w:left="720" w:hanging="180"/>
      </w:pPr>
      <w:rPr>
        <w:rFonts w:ascii="Symbol" w:hAnsi="Symbol" w:hint="default"/>
      </w:rPr>
    </w:lvl>
    <w:lvl w:ilvl="1" w:tplc="FA2AE586">
      <w:numFmt w:val="decimal"/>
      <w:lvlText w:val=""/>
      <w:lvlJc w:val="left"/>
    </w:lvl>
    <w:lvl w:ilvl="2" w:tplc="D0284696">
      <w:numFmt w:val="decimal"/>
      <w:lvlText w:val=""/>
      <w:lvlJc w:val="left"/>
    </w:lvl>
    <w:lvl w:ilvl="3" w:tplc="40600A98">
      <w:numFmt w:val="decimal"/>
      <w:lvlText w:val=""/>
      <w:lvlJc w:val="left"/>
    </w:lvl>
    <w:lvl w:ilvl="4" w:tplc="E5BCDEC6">
      <w:numFmt w:val="decimal"/>
      <w:lvlText w:val=""/>
      <w:lvlJc w:val="left"/>
    </w:lvl>
    <w:lvl w:ilvl="5" w:tplc="CCCC3D76">
      <w:numFmt w:val="decimal"/>
      <w:lvlText w:val=""/>
      <w:lvlJc w:val="left"/>
    </w:lvl>
    <w:lvl w:ilvl="6" w:tplc="2C3EAF5A">
      <w:numFmt w:val="decimal"/>
      <w:lvlText w:val=""/>
      <w:lvlJc w:val="left"/>
    </w:lvl>
    <w:lvl w:ilvl="7" w:tplc="AE7ECA26">
      <w:numFmt w:val="decimal"/>
      <w:lvlText w:val=""/>
      <w:lvlJc w:val="left"/>
    </w:lvl>
    <w:lvl w:ilvl="8" w:tplc="C6DED3B4">
      <w:numFmt w:val="decimal"/>
      <w:lvlText w:val=""/>
      <w:lvlJc w:val="left"/>
    </w:lvl>
  </w:abstractNum>
  <w:abstractNum w:abstractNumId="1088" w15:restartNumberingAfterBreak="0">
    <w:nsid w:val="724C2AD3"/>
    <w:multiLevelType w:val="hybridMultilevel"/>
    <w:tmpl w:val="1402183A"/>
    <w:lvl w:ilvl="0" w:tplc="BED8DE16">
      <w:start w:val="1"/>
      <w:numFmt w:val="bullet"/>
      <w:lvlText w:val=""/>
      <w:lvlJc w:val="left"/>
      <w:pPr>
        <w:ind w:left="720" w:hanging="180"/>
      </w:pPr>
      <w:rPr>
        <w:rFonts w:ascii="Symbol" w:hAnsi="Symbol" w:hint="default"/>
      </w:rPr>
    </w:lvl>
    <w:lvl w:ilvl="1" w:tplc="81008148">
      <w:numFmt w:val="decimal"/>
      <w:lvlText w:val=""/>
      <w:lvlJc w:val="left"/>
    </w:lvl>
    <w:lvl w:ilvl="2" w:tplc="4196A558">
      <w:numFmt w:val="decimal"/>
      <w:lvlText w:val=""/>
      <w:lvlJc w:val="left"/>
    </w:lvl>
    <w:lvl w:ilvl="3" w:tplc="CC9859BC">
      <w:numFmt w:val="decimal"/>
      <w:lvlText w:val=""/>
      <w:lvlJc w:val="left"/>
    </w:lvl>
    <w:lvl w:ilvl="4" w:tplc="FBC423B2">
      <w:numFmt w:val="decimal"/>
      <w:lvlText w:val=""/>
      <w:lvlJc w:val="left"/>
    </w:lvl>
    <w:lvl w:ilvl="5" w:tplc="DF568760">
      <w:numFmt w:val="decimal"/>
      <w:lvlText w:val=""/>
      <w:lvlJc w:val="left"/>
    </w:lvl>
    <w:lvl w:ilvl="6" w:tplc="1480E78E">
      <w:numFmt w:val="decimal"/>
      <w:lvlText w:val=""/>
      <w:lvlJc w:val="left"/>
    </w:lvl>
    <w:lvl w:ilvl="7" w:tplc="EA08CB80">
      <w:numFmt w:val="decimal"/>
      <w:lvlText w:val=""/>
      <w:lvlJc w:val="left"/>
    </w:lvl>
    <w:lvl w:ilvl="8" w:tplc="9F6A4016">
      <w:numFmt w:val="decimal"/>
      <w:lvlText w:val=""/>
      <w:lvlJc w:val="left"/>
    </w:lvl>
  </w:abstractNum>
  <w:abstractNum w:abstractNumId="1089" w15:restartNumberingAfterBreak="0">
    <w:nsid w:val="72697483"/>
    <w:multiLevelType w:val="hybridMultilevel"/>
    <w:tmpl w:val="3B8E0D70"/>
    <w:lvl w:ilvl="0" w:tplc="F6F849C0">
      <w:start w:val="1"/>
      <w:numFmt w:val="bullet"/>
      <w:lvlText w:val=""/>
      <w:lvlJc w:val="left"/>
      <w:pPr>
        <w:ind w:left="720" w:hanging="180"/>
      </w:pPr>
      <w:rPr>
        <w:rFonts w:ascii="Symbol" w:hAnsi="Symbol" w:hint="default"/>
      </w:rPr>
    </w:lvl>
    <w:lvl w:ilvl="1" w:tplc="CB981A7C">
      <w:numFmt w:val="decimal"/>
      <w:lvlText w:val=""/>
      <w:lvlJc w:val="left"/>
    </w:lvl>
    <w:lvl w:ilvl="2" w:tplc="4874FE86">
      <w:numFmt w:val="decimal"/>
      <w:lvlText w:val=""/>
      <w:lvlJc w:val="left"/>
    </w:lvl>
    <w:lvl w:ilvl="3" w:tplc="12EE9E60">
      <w:numFmt w:val="decimal"/>
      <w:lvlText w:val=""/>
      <w:lvlJc w:val="left"/>
    </w:lvl>
    <w:lvl w:ilvl="4" w:tplc="3F8AF5FC">
      <w:numFmt w:val="decimal"/>
      <w:lvlText w:val=""/>
      <w:lvlJc w:val="left"/>
    </w:lvl>
    <w:lvl w:ilvl="5" w:tplc="8590723E">
      <w:numFmt w:val="decimal"/>
      <w:lvlText w:val=""/>
      <w:lvlJc w:val="left"/>
    </w:lvl>
    <w:lvl w:ilvl="6" w:tplc="532412B6">
      <w:numFmt w:val="decimal"/>
      <w:lvlText w:val=""/>
      <w:lvlJc w:val="left"/>
    </w:lvl>
    <w:lvl w:ilvl="7" w:tplc="3140B40E">
      <w:numFmt w:val="decimal"/>
      <w:lvlText w:val=""/>
      <w:lvlJc w:val="left"/>
    </w:lvl>
    <w:lvl w:ilvl="8" w:tplc="09AE993E">
      <w:numFmt w:val="decimal"/>
      <w:lvlText w:val=""/>
      <w:lvlJc w:val="left"/>
    </w:lvl>
  </w:abstractNum>
  <w:abstractNum w:abstractNumId="1090" w15:restartNumberingAfterBreak="0">
    <w:nsid w:val="7272607D"/>
    <w:multiLevelType w:val="hybridMultilevel"/>
    <w:tmpl w:val="CB5285AE"/>
    <w:lvl w:ilvl="0" w:tplc="FF7E1854">
      <w:start w:val="1"/>
      <w:numFmt w:val="bullet"/>
      <w:lvlText w:val=""/>
      <w:lvlJc w:val="left"/>
      <w:pPr>
        <w:ind w:left="720" w:hanging="180"/>
      </w:pPr>
      <w:rPr>
        <w:rFonts w:ascii="Symbol" w:hAnsi="Symbol" w:hint="default"/>
      </w:rPr>
    </w:lvl>
    <w:lvl w:ilvl="1" w:tplc="A2EE29CC">
      <w:numFmt w:val="decimal"/>
      <w:lvlText w:val=""/>
      <w:lvlJc w:val="left"/>
    </w:lvl>
    <w:lvl w:ilvl="2" w:tplc="C04A6066">
      <w:numFmt w:val="decimal"/>
      <w:lvlText w:val=""/>
      <w:lvlJc w:val="left"/>
    </w:lvl>
    <w:lvl w:ilvl="3" w:tplc="8DA0DB90">
      <w:numFmt w:val="decimal"/>
      <w:lvlText w:val=""/>
      <w:lvlJc w:val="left"/>
    </w:lvl>
    <w:lvl w:ilvl="4" w:tplc="BEB8435A">
      <w:numFmt w:val="decimal"/>
      <w:lvlText w:val=""/>
      <w:lvlJc w:val="left"/>
    </w:lvl>
    <w:lvl w:ilvl="5" w:tplc="6AB4F2E6">
      <w:numFmt w:val="decimal"/>
      <w:lvlText w:val=""/>
      <w:lvlJc w:val="left"/>
    </w:lvl>
    <w:lvl w:ilvl="6" w:tplc="F91EBACC">
      <w:numFmt w:val="decimal"/>
      <w:lvlText w:val=""/>
      <w:lvlJc w:val="left"/>
    </w:lvl>
    <w:lvl w:ilvl="7" w:tplc="DBD291CC">
      <w:numFmt w:val="decimal"/>
      <w:lvlText w:val=""/>
      <w:lvlJc w:val="left"/>
    </w:lvl>
    <w:lvl w:ilvl="8" w:tplc="BE380F1E">
      <w:numFmt w:val="decimal"/>
      <w:lvlText w:val=""/>
      <w:lvlJc w:val="left"/>
    </w:lvl>
  </w:abstractNum>
  <w:abstractNum w:abstractNumId="1091" w15:restartNumberingAfterBreak="0">
    <w:nsid w:val="72783DCA"/>
    <w:multiLevelType w:val="hybridMultilevel"/>
    <w:tmpl w:val="69F660A8"/>
    <w:lvl w:ilvl="0" w:tplc="A7DAFBB2">
      <w:start w:val="1"/>
      <w:numFmt w:val="bullet"/>
      <w:lvlText w:val=""/>
      <w:lvlJc w:val="left"/>
      <w:pPr>
        <w:ind w:left="720" w:hanging="180"/>
      </w:pPr>
      <w:rPr>
        <w:rFonts w:ascii="Symbol" w:hAnsi="Symbol" w:hint="default"/>
      </w:rPr>
    </w:lvl>
    <w:lvl w:ilvl="1" w:tplc="776E2558">
      <w:numFmt w:val="decimal"/>
      <w:lvlText w:val=""/>
      <w:lvlJc w:val="left"/>
    </w:lvl>
    <w:lvl w:ilvl="2" w:tplc="FB1E68D8">
      <w:numFmt w:val="decimal"/>
      <w:lvlText w:val=""/>
      <w:lvlJc w:val="left"/>
    </w:lvl>
    <w:lvl w:ilvl="3" w:tplc="8378FB9C">
      <w:numFmt w:val="decimal"/>
      <w:lvlText w:val=""/>
      <w:lvlJc w:val="left"/>
    </w:lvl>
    <w:lvl w:ilvl="4" w:tplc="117ACFBC">
      <w:numFmt w:val="decimal"/>
      <w:lvlText w:val=""/>
      <w:lvlJc w:val="left"/>
    </w:lvl>
    <w:lvl w:ilvl="5" w:tplc="DA905328">
      <w:numFmt w:val="decimal"/>
      <w:lvlText w:val=""/>
      <w:lvlJc w:val="left"/>
    </w:lvl>
    <w:lvl w:ilvl="6" w:tplc="85D25A88">
      <w:numFmt w:val="decimal"/>
      <w:lvlText w:val=""/>
      <w:lvlJc w:val="left"/>
    </w:lvl>
    <w:lvl w:ilvl="7" w:tplc="91748AE6">
      <w:numFmt w:val="decimal"/>
      <w:lvlText w:val=""/>
      <w:lvlJc w:val="left"/>
    </w:lvl>
    <w:lvl w:ilvl="8" w:tplc="11401072">
      <w:numFmt w:val="decimal"/>
      <w:lvlText w:val=""/>
      <w:lvlJc w:val="left"/>
    </w:lvl>
  </w:abstractNum>
  <w:abstractNum w:abstractNumId="1092" w15:restartNumberingAfterBreak="0">
    <w:nsid w:val="72AC008E"/>
    <w:multiLevelType w:val="hybridMultilevel"/>
    <w:tmpl w:val="D34ED940"/>
    <w:lvl w:ilvl="0" w:tplc="16F27FC8">
      <w:start w:val="1"/>
      <w:numFmt w:val="bullet"/>
      <w:lvlText w:val=""/>
      <w:lvlJc w:val="left"/>
      <w:pPr>
        <w:ind w:left="720" w:hanging="180"/>
      </w:pPr>
      <w:rPr>
        <w:rFonts w:ascii="Symbol" w:hAnsi="Symbol" w:hint="default"/>
      </w:rPr>
    </w:lvl>
    <w:lvl w:ilvl="1" w:tplc="8FDE99F4">
      <w:numFmt w:val="decimal"/>
      <w:lvlText w:val=""/>
      <w:lvlJc w:val="left"/>
    </w:lvl>
    <w:lvl w:ilvl="2" w:tplc="D500E040">
      <w:numFmt w:val="decimal"/>
      <w:lvlText w:val=""/>
      <w:lvlJc w:val="left"/>
    </w:lvl>
    <w:lvl w:ilvl="3" w:tplc="8708A222">
      <w:numFmt w:val="decimal"/>
      <w:lvlText w:val=""/>
      <w:lvlJc w:val="left"/>
    </w:lvl>
    <w:lvl w:ilvl="4" w:tplc="7536FD7E">
      <w:numFmt w:val="decimal"/>
      <w:lvlText w:val=""/>
      <w:lvlJc w:val="left"/>
    </w:lvl>
    <w:lvl w:ilvl="5" w:tplc="6332DA9A">
      <w:numFmt w:val="decimal"/>
      <w:lvlText w:val=""/>
      <w:lvlJc w:val="left"/>
    </w:lvl>
    <w:lvl w:ilvl="6" w:tplc="DD9E81D4">
      <w:numFmt w:val="decimal"/>
      <w:lvlText w:val=""/>
      <w:lvlJc w:val="left"/>
    </w:lvl>
    <w:lvl w:ilvl="7" w:tplc="1A5A6258">
      <w:numFmt w:val="decimal"/>
      <w:lvlText w:val=""/>
      <w:lvlJc w:val="left"/>
    </w:lvl>
    <w:lvl w:ilvl="8" w:tplc="38D6F1E6">
      <w:numFmt w:val="decimal"/>
      <w:lvlText w:val=""/>
      <w:lvlJc w:val="left"/>
    </w:lvl>
  </w:abstractNum>
  <w:abstractNum w:abstractNumId="1093" w15:restartNumberingAfterBreak="0">
    <w:nsid w:val="72C66F61"/>
    <w:multiLevelType w:val="hybridMultilevel"/>
    <w:tmpl w:val="39D2930E"/>
    <w:lvl w:ilvl="0" w:tplc="EE2E1B58">
      <w:start w:val="1"/>
      <w:numFmt w:val="bullet"/>
      <w:lvlText w:val=""/>
      <w:lvlJc w:val="left"/>
      <w:pPr>
        <w:ind w:left="720" w:hanging="180"/>
      </w:pPr>
      <w:rPr>
        <w:rFonts w:ascii="Symbol" w:hAnsi="Symbol" w:hint="default"/>
      </w:rPr>
    </w:lvl>
    <w:lvl w:ilvl="1" w:tplc="67F0C7D6">
      <w:numFmt w:val="decimal"/>
      <w:lvlText w:val=""/>
      <w:lvlJc w:val="left"/>
    </w:lvl>
    <w:lvl w:ilvl="2" w:tplc="0CA67954">
      <w:numFmt w:val="decimal"/>
      <w:lvlText w:val=""/>
      <w:lvlJc w:val="left"/>
    </w:lvl>
    <w:lvl w:ilvl="3" w:tplc="1EC26144">
      <w:numFmt w:val="decimal"/>
      <w:lvlText w:val=""/>
      <w:lvlJc w:val="left"/>
    </w:lvl>
    <w:lvl w:ilvl="4" w:tplc="D6285A02">
      <w:numFmt w:val="decimal"/>
      <w:lvlText w:val=""/>
      <w:lvlJc w:val="left"/>
    </w:lvl>
    <w:lvl w:ilvl="5" w:tplc="5AFE58FA">
      <w:numFmt w:val="decimal"/>
      <w:lvlText w:val=""/>
      <w:lvlJc w:val="left"/>
    </w:lvl>
    <w:lvl w:ilvl="6" w:tplc="EDFEDEDE">
      <w:numFmt w:val="decimal"/>
      <w:lvlText w:val=""/>
      <w:lvlJc w:val="left"/>
    </w:lvl>
    <w:lvl w:ilvl="7" w:tplc="8174D892">
      <w:numFmt w:val="decimal"/>
      <w:lvlText w:val=""/>
      <w:lvlJc w:val="left"/>
    </w:lvl>
    <w:lvl w:ilvl="8" w:tplc="02E0B78C">
      <w:numFmt w:val="decimal"/>
      <w:lvlText w:val=""/>
      <w:lvlJc w:val="left"/>
    </w:lvl>
  </w:abstractNum>
  <w:abstractNum w:abstractNumId="1094" w15:restartNumberingAfterBreak="0">
    <w:nsid w:val="72CB1747"/>
    <w:multiLevelType w:val="hybridMultilevel"/>
    <w:tmpl w:val="73285446"/>
    <w:lvl w:ilvl="0" w:tplc="7B420818">
      <w:start w:val="1"/>
      <w:numFmt w:val="bullet"/>
      <w:lvlText w:val=""/>
      <w:lvlJc w:val="left"/>
      <w:pPr>
        <w:ind w:left="720" w:hanging="180"/>
      </w:pPr>
      <w:rPr>
        <w:rFonts w:ascii="Symbol" w:hAnsi="Symbol" w:hint="default"/>
      </w:rPr>
    </w:lvl>
    <w:lvl w:ilvl="1" w:tplc="E062B2FC">
      <w:numFmt w:val="decimal"/>
      <w:lvlText w:val=""/>
      <w:lvlJc w:val="left"/>
    </w:lvl>
    <w:lvl w:ilvl="2" w:tplc="1F1CF710">
      <w:numFmt w:val="decimal"/>
      <w:lvlText w:val=""/>
      <w:lvlJc w:val="left"/>
    </w:lvl>
    <w:lvl w:ilvl="3" w:tplc="CA48C312">
      <w:numFmt w:val="decimal"/>
      <w:lvlText w:val=""/>
      <w:lvlJc w:val="left"/>
    </w:lvl>
    <w:lvl w:ilvl="4" w:tplc="05A4AE2C">
      <w:numFmt w:val="decimal"/>
      <w:lvlText w:val=""/>
      <w:lvlJc w:val="left"/>
    </w:lvl>
    <w:lvl w:ilvl="5" w:tplc="813A0C3E">
      <w:numFmt w:val="decimal"/>
      <w:lvlText w:val=""/>
      <w:lvlJc w:val="left"/>
    </w:lvl>
    <w:lvl w:ilvl="6" w:tplc="ECFE8D70">
      <w:numFmt w:val="decimal"/>
      <w:lvlText w:val=""/>
      <w:lvlJc w:val="left"/>
    </w:lvl>
    <w:lvl w:ilvl="7" w:tplc="ACBAD60A">
      <w:numFmt w:val="decimal"/>
      <w:lvlText w:val=""/>
      <w:lvlJc w:val="left"/>
    </w:lvl>
    <w:lvl w:ilvl="8" w:tplc="B7024D92">
      <w:numFmt w:val="decimal"/>
      <w:lvlText w:val=""/>
      <w:lvlJc w:val="left"/>
    </w:lvl>
  </w:abstractNum>
  <w:abstractNum w:abstractNumId="1095" w15:restartNumberingAfterBreak="0">
    <w:nsid w:val="72CD7A21"/>
    <w:multiLevelType w:val="hybridMultilevel"/>
    <w:tmpl w:val="46B4FB42"/>
    <w:lvl w:ilvl="0" w:tplc="ACA01D96">
      <w:numFmt w:val="decimal"/>
      <w:lvlText w:val=""/>
      <w:lvlJc w:val="left"/>
    </w:lvl>
    <w:lvl w:ilvl="1" w:tplc="644044BC">
      <w:start w:val="1"/>
      <w:numFmt w:val="bullet"/>
      <w:lvlText w:val=""/>
      <w:lvlJc w:val="left"/>
      <w:pPr>
        <w:ind w:left="1440" w:hanging="180"/>
      </w:pPr>
      <w:rPr>
        <w:rFonts w:ascii="Symbol" w:hAnsi="Symbol" w:hint="default"/>
      </w:rPr>
    </w:lvl>
    <w:lvl w:ilvl="2" w:tplc="3D541878">
      <w:numFmt w:val="decimal"/>
      <w:lvlText w:val=""/>
      <w:lvlJc w:val="left"/>
    </w:lvl>
    <w:lvl w:ilvl="3" w:tplc="155CC43A">
      <w:numFmt w:val="decimal"/>
      <w:lvlText w:val=""/>
      <w:lvlJc w:val="left"/>
    </w:lvl>
    <w:lvl w:ilvl="4" w:tplc="827E8AA4">
      <w:numFmt w:val="decimal"/>
      <w:lvlText w:val=""/>
      <w:lvlJc w:val="left"/>
    </w:lvl>
    <w:lvl w:ilvl="5" w:tplc="3278A3AE">
      <w:numFmt w:val="decimal"/>
      <w:lvlText w:val=""/>
      <w:lvlJc w:val="left"/>
    </w:lvl>
    <w:lvl w:ilvl="6" w:tplc="E9C853D2">
      <w:numFmt w:val="decimal"/>
      <w:lvlText w:val=""/>
      <w:lvlJc w:val="left"/>
    </w:lvl>
    <w:lvl w:ilvl="7" w:tplc="2F2AC0BA">
      <w:numFmt w:val="decimal"/>
      <w:lvlText w:val=""/>
      <w:lvlJc w:val="left"/>
    </w:lvl>
    <w:lvl w:ilvl="8" w:tplc="31EEBF96">
      <w:numFmt w:val="decimal"/>
      <w:lvlText w:val=""/>
      <w:lvlJc w:val="left"/>
    </w:lvl>
  </w:abstractNum>
  <w:abstractNum w:abstractNumId="1096" w15:restartNumberingAfterBreak="0">
    <w:nsid w:val="72EF0985"/>
    <w:multiLevelType w:val="hybridMultilevel"/>
    <w:tmpl w:val="BBAEA44A"/>
    <w:lvl w:ilvl="0" w:tplc="5550453C">
      <w:start w:val="1"/>
      <w:numFmt w:val="bullet"/>
      <w:lvlText w:val=""/>
      <w:lvlJc w:val="left"/>
      <w:pPr>
        <w:ind w:left="720" w:hanging="180"/>
      </w:pPr>
      <w:rPr>
        <w:rFonts w:ascii="Symbol" w:hAnsi="Symbol" w:hint="default"/>
      </w:rPr>
    </w:lvl>
    <w:lvl w:ilvl="1" w:tplc="A016EBBA">
      <w:numFmt w:val="decimal"/>
      <w:lvlText w:val=""/>
      <w:lvlJc w:val="left"/>
    </w:lvl>
    <w:lvl w:ilvl="2" w:tplc="F268218E">
      <w:numFmt w:val="decimal"/>
      <w:lvlText w:val=""/>
      <w:lvlJc w:val="left"/>
    </w:lvl>
    <w:lvl w:ilvl="3" w:tplc="8F94B4E4">
      <w:numFmt w:val="decimal"/>
      <w:lvlText w:val=""/>
      <w:lvlJc w:val="left"/>
    </w:lvl>
    <w:lvl w:ilvl="4" w:tplc="331C2192">
      <w:numFmt w:val="decimal"/>
      <w:lvlText w:val=""/>
      <w:lvlJc w:val="left"/>
    </w:lvl>
    <w:lvl w:ilvl="5" w:tplc="4F2A7D68">
      <w:numFmt w:val="decimal"/>
      <w:lvlText w:val=""/>
      <w:lvlJc w:val="left"/>
    </w:lvl>
    <w:lvl w:ilvl="6" w:tplc="742C190C">
      <w:numFmt w:val="decimal"/>
      <w:lvlText w:val=""/>
      <w:lvlJc w:val="left"/>
    </w:lvl>
    <w:lvl w:ilvl="7" w:tplc="603658E2">
      <w:numFmt w:val="decimal"/>
      <w:lvlText w:val=""/>
      <w:lvlJc w:val="left"/>
    </w:lvl>
    <w:lvl w:ilvl="8" w:tplc="2CB0C298">
      <w:numFmt w:val="decimal"/>
      <w:lvlText w:val=""/>
      <w:lvlJc w:val="left"/>
    </w:lvl>
  </w:abstractNum>
  <w:abstractNum w:abstractNumId="1097" w15:restartNumberingAfterBreak="0">
    <w:nsid w:val="7300077E"/>
    <w:multiLevelType w:val="hybridMultilevel"/>
    <w:tmpl w:val="1BD8A0DC"/>
    <w:lvl w:ilvl="0" w:tplc="975066D6">
      <w:start w:val="1"/>
      <w:numFmt w:val="bullet"/>
      <w:lvlText w:val=""/>
      <w:lvlJc w:val="left"/>
      <w:pPr>
        <w:ind w:left="720" w:hanging="180"/>
      </w:pPr>
      <w:rPr>
        <w:rFonts w:ascii="Symbol" w:hAnsi="Symbol" w:hint="default"/>
      </w:rPr>
    </w:lvl>
    <w:lvl w:ilvl="1" w:tplc="93ACDA80">
      <w:numFmt w:val="decimal"/>
      <w:lvlText w:val=""/>
      <w:lvlJc w:val="left"/>
    </w:lvl>
    <w:lvl w:ilvl="2" w:tplc="DC78A71E">
      <w:numFmt w:val="decimal"/>
      <w:lvlText w:val=""/>
      <w:lvlJc w:val="left"/>
    </w:lvl>
    <w:lvl w:ilvl="3" w:tplc="BBB807E6">
      <w:numFmt w:val="decimal"/>
      <w:lvlText w:val=""/>
      <w:lvlJc w:val="left"/>
    </w:lvl>
    <w:lvl w:ilvl="4" w:tplc="7C1A7E94">
      <w:numFmt w:val="decimal"/>
      <w:lvlText w:val=""/>
      <w:lvlJc w:val="left"/>
    </w:lvl>
    <w:lvl w:ilvl="5" w:tplc="81201370">
      <w:numFmt w:val="decimal"/>
      <w:lvlText w:val=""/>
      <w:lvlJc w:val="left"/>
    </w:lvl>
    <w:lvl w:ilvl="6" w:tplc="0EDC7F5C">
      <w:numFmt w:val="decimal"/>
      <w:lvlText w:val=""/>
      <w:lvlJc w:val="left"/>
    </w:lvl>
    <w:lvl w:ilvl="7" w:tplc="802A36D2">
      <w:numFmt w:val="decimal"/>
      <w:lvlText w:val=""/>
      <w:lvlJc w:val="left"/>
    </w:lvl>
    <w:lvl w:ilvl="8" w:tplc="8FECD238">
      <w:numFmt w:val="decimal"/>
      <w:lvlText w:val=""/>
      <w:lvlJc w:val="left"/>
    </w:lvl>
  </w:abstractNum>
  <w:abstractNum w:abstractNumId="1098" w15:restartNumberingAfterBreak="0">
    <w:nsid w:val="73112246"/>
    <w:multiLevelType w:val="hybridMultilevel"/>
    <w:tmpl w:val="08A28D22"/>
    <w:lvl w:ilvl="0" w:tplc="C5EC7484">
      <w:start w:val="1"/>
      <w:numFmt w:val="bullet"/>
      <w:lvlText w:val=""/>
      <w:lvlJc w:val="left"/>
      <w:pPr>
        <w:ind w:left="720" w:hanging="180"/>
      </w:pPr>
      <w:rPr>
        <w:rFonts w:ascii="Symbol" w:hAnsi="Symbol" w:hint="default"/>
      </w:rPr>
    </w:lvl>
    <w:lvl w:ilvl="1" w:tplc="495238EC">
      <w:numFmt w:val="decimal"/>
      <w:lvlText w:val=""/>
      <w:lvlJc w:val="left"/>
    </w:lvl>
    <w:lvl w:ilvl="2" w:tplc="3F726660">
      <w:numFmt w:val="decimal"/>
      <w:lvlText w:val=""/>
      <w:lvlJc w:val="left"/>
    </w:lvl>
    <w:lvl w:ilvl="3" w:tplc="F404046A">
      <w:numFmt w:val="decimal"/>
      <w:lvlText w:val=""/>
      <w:lvlJc w:val="left"/>
    </w:lvl>
    <w:lvl w:ilvl="4" w:tplc="A4B8BFF8">
      <w:numFmt w:val="decimal"/>
      <w:lvlText w:val=""/>
      <w:lvlJc w:val="left"/>
    </w:lvl>
    <w:lvl w:ilvl="5" w:tplc="337C6A02">
      <w:numFmt w:val="decimal"/>
      <w:lvlText w:val=""/>
      <w:lvlJc w:val="left"/>
    </w:lvl>
    <w:lvl w:ilvl="6" w:tplc="62724A90">
      <w:numFmt w:val="decimal"/>
      <w:lvlText w:val=""/>
      <w:lvlJc w:val="left"/>
    </w:lvl>
    <w:lvl w:ilvl="7" w:tplc="C83EAC10">
      <w:numFmt w:val="decimal"/>
      <w:lvlText w:val=""/>
      <w:lvlJc w:val="left"/>
    </w:lvl>
    <w:lvl w:ilvl="8" w:tplc="675E11CC">
      <w:numFmt w:val="decimal"/>
      <w:lvlText w:val=""/>
      <w:lvlJc w:val="left"/>
    </w:lvl>
  </w:abstractNum>
  <w:abstractNum w:abstractNumId="1099" w15:restartNumberingAfterBreak="0">
    <w:nsid w:val="7314151B"/>
    <w:multiLevelType w:val="hybridMultilevel"/>
    <w:tmpl w:val="DA06BD2E"/>
    <w:lvl w:ilvl="0" w:tplc="31420F26">
      <w:start w:val="1"/>
      <w:numFmt w:val="bullet"/>
      <w:lvlText w:val=""/>
      <w:lvlJc w:val="left"/>
      <w:pPr>
        <w:ind w:left="720" w:hanging="180"/>
      </w:pPr>
      <w:rPr>
        <w:rFonts w:ascii="Symbol" w:hAnsi="Symbol" w:hint="default"/>
      </w:rPr>
    </w:lvl>
    <w:lvl w:ilvl="1" w:tplc="6D8C2522">
      <w:numFmt w:val="decimal"/>
      <w:lvlText w:val=""/>
      <w:lvlJc w:val="left"/>
    </w:lvl>
    <w:lvl w:ilvl="2" w:tplc="12D857D8">
      <w:numFmt w:val="decimal"/>
      <w:lvlText w:val=""/>
      <w:lvlJc w:val="left"/>
    </w:lvl>
    <w:lvl w:ilvl="3" w:tplc="59CC44D0">
      <w:numFmt w:val="decimal"/>
      <w:lvlText w:val=""/>
      <w:lvlJc w:val="left"/>
    </w:lvl>
    <w:lvl w:ilvl="4" w:tplc="5FDE3728">
      <w:numFmt w:val="decimal"/>
      <w:lvlText w:val=""/>
      <w:lvlJc w:val="left"/>
    </w:lvl>
    <w:lvl w:ilvl="5" w:tplc="6E60EC02">
      <w:numFmt w:val="decimal"/>
      <w:lvlText w:val=""/>
      <w:lvlJc w:val="left"/>
    </w:lvl>
    <w:lvl w:ilvl="6" w:tplc="C908F276">
      <w:numFmt w:val="decimal"/>
      <w:lvlText w:val=""/>
      <w:lvlJc w:val="left"/>
    </w:lvl>
    <w:lvl w:ilvl="7" w:tplc="30E2C824">
      <w:numFmt w:val="decimal"/>
      <w:lvlText w:val=""/>
      <w:lvlJc w:val="left"/>
    </w:lvl>
    <w:lvl w:ilvl="8" w:tplc="8160E5DA">
      <w:numFmt w:val="decimal"/>
      <w:lvlText w:val=""/>
      <w:lvlJc w:val="left"/>
    </w:lvl>
  </w:abstractNum>
  <w:abstractNum w:abstractNumId="1100" w15:restartNumberingAfterBreak="0">
    <w:nsid w:val="732C2173"/>
    <w:multiLevelType w:val="hybridMultilevel"/>
    <w:tmpl w:val="005C3532"/>
    <w:lvl w:ilvl="0" w:tplc="3E801128">
      <w:start w:val="1"/>
      <w:numFmt w:val="bullet"/>
      <w:lvlText w:val=""/>
      <w:lvlJc w:val="left"/>
      <w:pPr>
        <w:ind w:left="720" w:hanging="180"/>
      </w:pPr>
      <w:rPr>
        <w:rFonts w:ascii="Symbol" w:hAnsi="Symbol" w:hint="default"/>
      </w:rPr>
    </w:lvl>
    <w:lvl w:ilvl="1" w:tplc="8D7A03D4">
      <w:numFmt w:val="decimal"/>
      <w:lvlText w:val=""/>
      <w:lvlJc w:val="left"/>
    </w:lvl>
    <w:lvl w:ilvl="2" w:tplc="3732D908">
      <w:numFmt w:val="decimal"/>
      <w:lvlText w:val=""/>
      <w:lvlJc w:val="left"/>
    </w:lvl>
    <w:lvl w:ilvl="3" w:tplc="C24C77E2">
      <w:numFmt w:val="decimal"/>
      <w:lvlText w:val=""/>
      <w:lvlJc w:val="left"/>
    </w:lvl>
    <w:lvl w:ilvl="4" w:tplc="A2205186">
      <w:numFmt w:val="decimal"/>
      <w:lvlText w:val=""/>
      <w:lvlJc w:val="left"/>
    </w:lvl>
    <w:lvl w:ilvl="5" w:tplc="D4708232">
      <w:numFmt w:val="decimal"/>
      <w:lvlText w:val=""/>
      <w:lvlJc w:val="left"/>
    </w:lvl>
    <w:lvl w:ilvl="6" w:tplc="21BCA63C">
      <w:numFmt w:val="decimal"/>
      <w:lvlText w:val=""/>
      <w:lvlJc w:val="left"/>
    </w:lvl>
    <w:lvl w:ilvl="7" w:tplc="BE487208">
      <w:numFmt w:val="decimal"/>
      <w:lvlText w:val=""/>
      <w:lvlJc w:val="left"/>
    </w:lvl>
    <w:lvl w:ilvl="8" w:tplc="3A3C7A78">
      <w:numFmt w:val="decimal"/>
      <w:lvlText w:val=""/>
      <w:lvlJc w:val="left"/>
    </w:lvl>
  </w:abstractNum>
  <w:abstractNum w:abstractNumId="1101" w15:restartNumberingAfterBreak="0">
    <w:nsid w:val="732D5E51"/>
    <w:multiLevelType w:val="hybridMultilevel"/>
    <w:tmpl w:val="0EA063A8"/>
    <w:lvl w:ilvl="0" w:tplc="958CB7C0">
      <w:start w:val="1"/>
      <w:numFmt w:val="bullet"/>
      <w:lvlText w:val=""/>
      <w:lvlJc w:val="left"/>
      <w:pPr>
        <w:ind w:left="720" w:hanging="180"/>
      </w:pPr>
      <w:rPr>
        <w:rFonts w:ascii="Symbol" w:hAnsi="Symbol" w:hint="default"/>
      </w:rPr>
    </w:lvl>
    <w:lvl w:ilvl="1" w:tplc="CD6E8E94">
      <w:numFmt w:val="decimal"/>
      <w:lvlText w:val=""/>
      <w:lvlJc w:val="left"/>
    </w:lvl>
    <w:lvl w:ilvl="2" w:tplc="2B46AA9A">
      <w:numFmt w:val="decimal"/>
      <w:lvlText w:val=""/>
      <w:lvlJc w:val="left"/>
    </w:lvl>
    <w:lvl w:ilvl="3" w:tplc="53F2EBD2">
      <w:numFmt w:val="decimal"/>
      <w:lvlText w:val=""/>
      <w:lvlJc w:val="left"/>
    </w:lvl>
    <w:lvl w:ilvl="4" w:tplc="9AF06438">
      <w:numFmt w:val="decimal"/>
      <w:lvlText w:val=""/>
      <w:lvlJc w:val="left"/>
    </w:lvl>
    <w:lvl w:ilvl="5" w:tplc="1338C108">
      <w:numFmt w:val="decimal"/>
      <w:lvlText w:val=""/>
      <w:lvlJc w:val="left"/>
    </w:lvl>
    <w:lvl w:ilvl="6" w:tplc="D65C1800">
      <w:numFmt w:val="decimal"/>
      <w:lvlText w:val=""/>
      <w:lvlJc w:val="left"/>
    </w:lvl>
    <w:lvl w:ilvl="7" w:tplc="1B6A2834">
      <w:numFmt w:val="decimal"/>
      <w:lvlText w:val=""/>
      <w:lvlJc w:val="left"/>
    </w:lvl>
    <w:lvl w:ilvl="8" w:tplc="CD061604">
      <w:numFmt w:val="decimal"/>
      <w:lvlText w:val=""/>
      <w:lvlJc w:val="left"/>
    </w:lvl>
  </w:abstractNum>
  <w:abstractNum w:abstractNumId="1102" w15:restartNumberingAfterBreak="0">
    <w:nsid w:val="732E7DBA"/>
    <w:multiLevelType w:val="hybridMultilevel"/>
    <w:tmpl w:val="18C82408"/>
    <w:lvl w:ilvl="0" w:tplc="CB60C0F8">
      <w:start w:val="1"/>
      <w:numFmt w:val="bullet"/>
      <w:lvlText w:val=""/>
      <w:lvlJc w:val="left"/>
      <w:pPr>
        <w:ind w:left="720" w:hanging="180"/>
      </w:pPr>
      <w:rPr>
        <w:rFonts w:ascii="Symbol" w:hAnsi="Symbol" w:hint="default"/>
      </w:rPr>
    </w:lvl>
    <w:lvl w:ilvl="1" w:tplc="668A2284">
      <w:numFmt w:val="decimal"/>
      <w:lvlText w:val=""/>
      <w:lvlJc w:val="left"/>
    </w:lvl>
    <w:lvl w:ilvl="2" w:tplc="81785DB8">
      <w:numFmt w:val="decimal"/>
      <w:lvlText w:val=""/>
      <w:lvlJc w:val="left"/>
    </w:lvl>
    <w:lvl w:ilvl="3" w:tplc="DB82A166">
      <w:numFmt w:val="decimal"/>
      <w:lvlText w:val=""/>
      <w:lvlJc w:val="left"/>
    </w:lvl>
    <w:lvl w:ilvl="4" w:tplc="3C005D04">
      <w:numFmt w:val="decimal"/>
      <w:lvlText w:val=""/>
      <w:lvlJc w:val="left"/>
    </w:lvl>
    <w:lvl w:ilvl="5" w:tplc="D0DAE944">
      <w:numFmt w:val="decimal"/>
      <w:lvlText w:val=""/>
      <w:lvlJc w:val="left"/>
    </w:lvl>
    <w:lvl w:ilvl="6" w:tplc="6366A6BC">
      <w:numFmt w:val="decimal"/>
      <w:lvlText w:val=""/>
      <w:lvlJc w:val="left"/>
    </w:lvl>
    <w:lvl w:ilvl="7" w:tplc="0974F9AC">
      <w:numFmt w:val="decimal"/>
      <w:lvlText w:val=""/>
      <w:lvlJc w:val="left"/>
    </w:lvl>
    <w:lvl w:ilvl="8" w:tplc="BC963854">
      <w:numFmt w:val="decimal"/>
      <w:lvlText w:val=""/>
      <w:lvlJc w:val="left"/>
    </w:lvl>
  </w:abstractNum>
  <w:abstractNum w:abstractNumId="1103" w15:restartNumberingAfterBreak="0">
    <w:nsid w:val="73491358"/>
    <w:multiLevelType w:val="hybridMultilevel"/>
    <w:tmpl w:val="730C2534"/>
    <w:lvl w:ilvl="0" w:tplc="919A29F8">
      <w:start w:val="1"/>
      <w:numFmt w:val="bullet"/>
      <w:lvlText w:val=""/>
      <w:lvlJc w:val="left"/>
      <w:pPr>
        <w:ind w:left="720" w:hanging="180"/>
      </w:pPr>
      <w:rPr>
        <w:rFonts w:ascii="Symbol" w:hAnsi="Symbol" w:hint="default"/>
      </w:rPr>
    </w:lvl>
    <w:lvl w:ilvl="1" w:tplc="5F4C5EEE">
      <w:numFmt w:val="decimal"/>
      <w:lvlText w:val=""/>
      <w:lvlJc w:val="left"/>
    </w:lvl>
    <w:lvl w:ilvl="2" w:tplc="32821206">
      <w:numFmt w:val="decimal"/>
      <w:lvlText w:val=""/>
      <w:lvlJc w:val="left"/>
    </w:lvl>
    <w:lvl w:ilvl="3" w:tplc="C5A287E0">
      <w:numFmt w:val="decimal"/>
      <w:lvlText w:val=""/>
      <w:lvlJc w:val="left"/>
    </w:lvl>
    <w:lvl w:ilvl="4" w:tplc="1B6E9176">
      <w:numFmt w:val="decimal"/>
      <w:lvlText w:val=""/>
      <w:lvlJc w:val="left"/>
    </w:lvl>
    <w:lvl w:ilvl="5" w:tplc="EA28B46E">
      <w:numFmt w:val="decimal"/>
      <w:lvlText w:val=""/>
      <w:lvlJc w:val="left"/>
    </w:lvl>
    <w:lvl w:ilvl="6" w:tplc="4F6EAF92">
      <w:numFmt w:val="decimal"/>
      <w:lvlText w:val=""/>
      <w:lvlJc w:val="left"/>
    </w:lvl>
    <w:lvl w:ilvl="7" w:tplc="199E182A">
      <w:numFmt w:val="decimal"/>
      <w:lvlText w:val=""/>
      <w:lvlJc w:val="left"/>
    </w:lvl>
    <w:lvl w:ilvl="8" w:tplc="803055A8">
      <w:numFmt w:val="decimal"/>
      <w:lvlText w:val=""/>
      <w:lvlJc w:val="left"/>
    </w:lvl>
  </w:abstractNum>
  <w:abstractNum w:abstractNumId="1104" w15:restartNumberingAfterBreak="0">
    <w:nsid w:val="73704F12"/>
    <w:multiLevelType w:val="hybridMultilevel"/>
    <w:tmpl w:val="6E3EBDC2"/>
    <w:lvl w:ilvl="0" w:tplc="342CC948">
      <w:start w:val="1"/>
      <w:numFmt w:val="bullet"/>
      <w:lvlText w:val=""/>
      <w:lvlJc w:val="left"/>
      <w:pPr>
        <w:ind w:left="720" w:hanging="180"/>
      </w:pPr>
      <w:rPr>
        <w:rFonts w:ascii="Symbol" w:hAnsi="Symbol" w:hint="default"/>
      </w:rPr>
    </w:lvl>
    <w:lvl w:ilvl="1" w:tplc="61D82BB4">
      <w:numFmt w:val="decimal"/>
      <w:lvlText w:val=""/>
      <w:lvlJc w:val="left"/>
    </w:lvl>
    <w:lvl w:ilvl="2" w:tplc="202CAEB6">
      <w:numFmt w:val="decimal"/>
      <w:lvlText w:val=""/>
      <w:lvlJc w:val="left"/>
    </w:lvl>
    <w:lvl w:ilvl="3" w:tplc="F5927B0E">
      <w:numFmt w:val="decimal"/>
      <w:lvlText w:val=""/>
      <w:lvlJc w:val="left"/>
    </w:lvl>
    <w:lvl w:ilvl="4" w:tplc="64602F22">
      <w:numFmt w:val="decimal"/>
      <w:lvlText w:val=""/>
      <w:lvlJc w:val="left"/>
    </w:lvl>
    <w:lvl w:ilvl="5" w:tplc="8FEE1D84">
      <w:numFmt w:val="decimal"/>
      <w:lvlText w:val=""/>
      <w:lvlJc w:val="left"/>
    </w:lvl>
    <w:lvl w:ilvl="6" w:tplc="9A785F7C">
      <w:numFmt w:val="decimal"/>
      <w:lvlText w:val=""/>
      <w:lvlJc w:val="left"/>
    </w:lvl>
    <w:lvl w:ilvl="7" w:tplc="A7DC335C">
      <w:numFmt w:val="decimal"/>
      <w:lvlText w:val=""/>
      <w:lvlJc w:val="left"/>
    </w:lvl>
    <w:lvl w:ilvl="8" w:tplc="BE4023EE">
      <w:numFmt w:val="decimal"/>
      <w:lvlText w:val=""/>
      <w:lvlJc w:val="left"/>
    </w:lvl>
  </w:abstractNum>
  <w:abstractNum w:abstractNumId="1105" w15:restartNumberingAfterBreak="0">
    <w:nsid w:val="73816515"/>
    <w:multiLevelType w:val="hybridMultilevel"/>
    <w:tmpl w:val="532C1FFC"/>
    <w:lvl w:ilvl="0" w:tplc="729087A0">
      <w:numFmt w:val="decimal"/>
      <w:lvlText w:val=""/>
      <w:lvlJc w:val="left"/>
    </w:lvl>
    <w:lvl w:ilvl="1" w:tplc="800E37C8">
      <w:start w:val="1"/>
      <w:numFmt w:val="bullet"/>
      <w:lvlText w:val=""/>
      <w:lvlJc w:val="left"/>
      <w:pPr>
        <w:ind w:left="1440" w:hanging="180"/>
      </w:pPr>
      <w:rPr>
        <w:rFonts w:ascii="Symbol" w:hAnsi="Symbol" w:hint="default"/>
      </w:rPr>
    </w:lvl>
    <w:lvl w:ilvl="2" w:tplc="3C4241DA">
      <w:numFmt w:val="decimal"/>
      <w:lvlText w:val=""/>
      <w:lvlJc w:val="left"/>
    </w:lvl>
    <w:lvl w:ilvl="3" w:tplc="D5DAC8A4">
      <w:numFmt w:val="decimal"/>
      <w:lvlText w:val=""/>
      <w:lvlJc w:val="left"/>
    </w:lvl>
    <w:lvl w:ilvl="4" w:tplc="B3BE05AA">
      <w:numFmt w:val="decimal"/>
      <w:lvlText w:val=""/>
      <w:lvlJc w:val="left"/>
    </w:lvl>
    <w:lvl w:ilvl="5" w:tplc="BEC65A14">
      <w:numFmt w:val="decimal"/>
      <w:lvlText w:val=""/>
      <w:lvlJc w:val="left"/>
    </w:lvl>
    <w:lvl w:ilvl="6" w:tplc="49E66E9C">
      <w:numFmt w:val="decimal"/>
      <w:lvlText w:val=""/>
      <w:lvlJc w:val="left"/>
    </w:lvl>
    <w:lvl w:ilvl="7" w:tplc="E3EED362">
      <w:numFmt w:val="decimal"/>
      <w:lvlText w:val=""/>
      <w:lvlJc w:val="left"/>
    </w:lvl>
    <w:lvl w:ilvl="8" w:tplc="FFAAD75C">
      <w:numFmt w:val="decimal"/>
      <w:lvlText w:val=""/>
      <w:lvlJc w:val="left"/>
    </w:lvl>
  </w:abstractNum>
  <w:abstractNum w:abstractNumId="1106" w15:restartNumberingAfterBreak="0">
    <w:nsid w:val="738E57B8"/>
    <w:multiLevelType w:val="hybridMultilevel"/>
    <w:tmpl w:val="04A0DFBA"/>
    <w:lvl w:ilvl="0" w:tplc="A810E3BA">
      <w:start w:val="1"/>
      <w:numFmt w:val="bullet"/>
      <w:lvlText w:val=""/>
      <w:lvlJc w:val="left"/>
      <w:pPr>
        <w:ind w:left="720" w:hanging="180"/>
      </w:pPr>
      <w:rPr>
        <w:rFonts w:ascii="Symbol" w:hAnsi="Symbol" w:hint="default"/>
      </w:rPr>
    </w:lvl>
    <w:lvl w:ilvl="1" w:tplc="E0FCE2B0">
      <w:numFmt w:val="decimal"/>
      <w:lvlText w:val=""/>
      <w:lvlJc w:val="left"/>
    </w:lvl>
    <w:lvl w:ilvl="2" w:tplc="0D303A26">
      <w:numFmt w:val="decimal"/>
      <w:lvlText w:val=""/>
      <w:lvlJc w:val="left"/>
    </w:lvl>
    <w:lvl w:ilvl="3" w:tplc="463A81EA">
      <w:numFmt w:val="decimal"/>
      <w:lvlText w:val=""/>
      <w:lvlJc w:val="left"/>
    </w:lvl>
    <w:lvl w:ilvl="4" w:tplc="95E05DBA">
      <w:numFmt w:val="decimal"/>
      <w:lvlText w:val=""/>
      <w:lvlJc w:val="left"/>
    </w:lvl>
    <w:lvl w:ilvl="5" w:tplc="24367990">
      <w:numFmt w:val="decimal"/>
      <w:lvlText w:val=""/>
      <w:lvlJc w:val="left"/>
    </w:lvl>
    <w:lvl w:ilvl="6" w:tplc="EEC0E98A">
      <w:numFmt w:val="decimal"/>
      <w:lvlText w:val=""/>
      <w:lvlJc w:val="left"/>
    </w:lvl>
    <w:lvl w:ilvl="7" w:tplc="FB849052">
      <w:numFmt w:val="decimal"/>
      <w:lvlText w:val=""/>
      <w:lvlJc w:val="left"/>
    </w:lvl>
    <w:lvl w:ilvl="8" w:tplc="448AE460">
      <w:numFmt w:val="decimal"/>
      <w:lvlText w:val=""/>
      <w:lvlJc w:val="left"/>
    </w:lvl>
  </w:abstractNum>
  <w:abstractNum w:abstractNumId="1107" w15:restartNumberingAfterBreak="0">
    <w:nsid w:val="7394489F"/>
    <w:multiLevelType w:val="hybridMultilevel"/>
    <w:tmpl w:val="832A6FCA"/>
    <w:lvl w:ilvl="0" w:tplc="05FA9AC2">
      <w:start w:val="1"/>
      <w:numFmt w:val="bullet"/>
      <w:lvlText w:val=""/>
      <w:lvlJc w:val="left"/>
      <w:pPr>
        <w:ind w:left="720" w:hanging="180"/>
      </w:pPr>
      <w:rPr>
        <w:rFonts w:ascii="Symbol" w:hAnsi="Symbol" w:hint="default"/>
      </w:rPr>
    </w:lvl>
    <w:lvl w:ilvl="1" w:tplc="84F2A11E">
      <w:numFmt w:val="decimal"/>
      <w:lvlText w:val=""/>
      <w:lvlJc w:val="left"/>
    </w:lvl>
    <w:lvl w:ilvl="2" w:tplc="96026A84">
      <w:numFmt w:val="decimal"/>
      <w:lvlText w:val=""/>
      <w:lvlJc w:val="left"/>
    </w:lvl>
    <w:lvl w:ilvl="3" w:tplc="D7D6A5DA">
      <w:numFmt w:val="decimal"/>
      <w:lvlText w:val=""/>
      <w:lvlJc w:val="left"/>
    </w:lvl>
    <w:lvl w:ilvl="4" w:tplc="1AF454E2">
      <w:numFmt w:val="decimal"/>
      <w:lvlText w:val=""/>
      <w:lvlJc w:val="left"/>
    </w:lvl>
    <w:lvl w:ilvl="5" w:tplc="E2DEF668">
      <w:numFmt w:val="decimal"/>
      <w:lvlText w:val=""/>
      <w:lvlJc w:val="left"/>
    </w:lvl>
    <w:lvl w:ilvl="6" w:tplc="A2FE72A6">
      <w:numFmt w:val="decimal"/>
      <w:lvlText w:val=""/>
      <w:lvlJc w:val="left"/>
    </w:lvl>
    <w:lvl w:ilvl="7" w:tplc="EA7E7B46">
      <w:numFmt w:val="decimal"/>
      <w:lvlText w:val=""/>
      <w:lvlJc w:val="left"/>
    </w:lvl>
    <w:lvl w:ilvl="8" w:tplc="C2E8F7AC">
      <w:numFmt w:val="decimal"/>
      <w:lvlText w:val=""/>
      <w:lvlJc w:val="left"/>
    </w:lvl>
  </w:abstractNum>
  <w:abstractNum w:abstractNumId="1108" w15:restartNumberingAfterBreak="0">
    <w:nsid w:val="739E45FE"/>
    <w:multiLevelType w:val="hybridMultilevel"/>
    <w:tmpl w:val="AC222AE2"/>
    <w:lvl w:ilvl="0" w:tplc="AD3A2570">
      <w:start w:val="1"/>
      <w:numFmt w:val="bullet"/>
      <w:lvlText w:val=""/>
      <w:lvlJc w:val="left"/>
      <w:pPr>
        <w:ind w:left="720" w:hanging="180"/>
      </w:pPr>
      <w:rPr>
        <w:rFonts w:ascii="Symbol" w:hAnsi="Symbol" w:hint="default"/>
      </w:rPr>
    </w:lvl>
    <w:lvl w:ilvl="1" w:tplc="80E440F6">
      <w:numFmt w:val="decimal"/>
      <w:lvlText w:val=""/>
      <w:lvlJc w:val="left"/>
    </w:lvl>
    <w:lvl w:ilvl="2" w:tplc="8CE84A52">
      <w:numFmt w:val="decimal"/>
      <w:lvlText w:val=""/>
      <w:lvlJc w:val="left"/>
    </w:lvl>
    <w:lvl w:ilvl="3" w:tplc="9A705FA8">
      <w:numFmt w:val="decimal"/>
      <w:lvlText w:val=""/>
      <w:lvlJc w:val="left"/>
    </w:lvl>
    <w:lvl w:ilvl="4" w:tplc="4ED266D6">
      <w:numFmt w:val="decimal"/>
      <w:lvlText w:val=""/>
      <w:lvlJc w:val="left"/>
    </w:lvl>
    <w:lvl w:ilvl="5" w:tplc="940E788E">
      <w:numFmt w:val="decimal"/>
      <w:lvlText w:val=""/>
      <w:lvlJc w:val="left"/>
    </w:lvl>
    <w:lvl w:ilvl="6" w:tplc="4DD428B8">
      <w:numFmt w:val="decimal"/>
      <w:lvlText w:val=""/>
      <w:lvlJc w:val="left"/>
    </w:lvl>
    <w:lvl w:ilvl="7" w:tplc="84E4B06E">
      <w:numFmt w:val="decimal"/>
      <w:lvlText w:val=""/>
      <w:lvlJc w:val="left"/>
    </w:lvl>
    <w:lvl w:ilvl="8" w:tplc="0E5A1144">
      <w:numFmt w:val="decimal"/>
      <w:lvlText w:val=""/>
      <w:lvlJc w:val="left"/>
    </w:lvl>
  </w:abstractNum>
  <w:abstractNum w:abstractNumId="1109" w15:restartNumberingAfterBreak="0">
    <w:nsid w:val="73A13126"/>
    <w:multiLevelType w:val="hybridMultilevel"/>
    <w:tmpl w:val="51C8DDC4"/>
    <w:lvl w:ilvl="0" w:tplc="663CA172">
      <w:start w:val="1"/>
      <w:numFmt w:val="bullet"/>
      <w:lvlText w:val=""/>
      <w:lvlJc w:val="left"/>
      <w:pPr>
        <w:ind w:left="720" w:hanging="180"/>
      </w:pPr>
      <w:rPr>
        <w:rFonts w:ascii="Symbol" w:hAnsi="Symbol" w:hint="default"/>
      </w:rPr>
    </w:lvl>
    <w:lvl w:ilvl="1" w:tplc="44E21FD8">
      <w:numFmt w:val="decimal"/>
      <w:lvlText w:val=""/>
      <w:lvlJc w:val="left"/>
    </w:lvl>
    <w:lvl w:ilvl="2" w:tplc="F6026436">
      <w:numFmt w:val="decimal"/>
      <w:lvlText w:val=""/>
      <w:lvlJc w:val="left"/>
    </w:lvl>
    <w:lvl w:ilvl="3" w:tplc="DF7047B6">
      <w:numFmt w:val="decimal"/>
      <w:lvlText w:val=""/>
      <w:lvlJc w:val="left"/>
    </w:lvl>
    <w:lvl w:ilvl="4" w:tplc="8E527444">
      <w:numFmt w:val="decimal"/>
      <w:lvlText w:val=""/>
      <w:lvlJc w:val="left"/>
    </w:lvl>
    <w:lvl w:ilvl="5" w:tplc="E75AF4AC">
      <w:numFmt w:val="decimal"/>
      <w:lvlText w:val=""/>
      <w:lvlJc w:val="left"/>
    </w:lvl>
    <w:lvl w:ilvl="6" w:tplc="01DCC326">
      <w:numFmt w:val="decimal"/>
      <w:lvlText w:val=""/>
      <w:lvlJc w:val="left"/>
    </w:lvl>
    <w:lvl w:ilvl="7" w:tplc="30AA467A">
      <w:numFmt w:val="decimal"/>
      <w:lvlText w:val=""/>
      <w:lvlJc w:val="left"/>
    </w:lvl>
    <w:lvl w:ilvl="8" w:tplc="482E6F38">
      <w:numFmt w:val="decimal"/>
      <w:lvlText w:val=""/>
      <w:lvlJc w:val="left"/>
    </w:lvl>
  </w:abstractNum>
  <w:abstractNum w:abstractNumId="1110" w15:restartNumberingAfterBreak="0">
    <w:nsid w:val="73AE1818"/>
    <w:multiLevelType w:val="hybridMultilevel"/>
    <w:tmpl w:val="FF4457FE"/>
    <w:lvl w:ilvl="0" w:tplc="149ACD54">
      <w:start w:val="1"/>
      <w:numFmt w:val="bullet"/>
      <w:lvlText w:val=""/>
      <w:lvlJc w:val="left"/>
      <w:pPr>
        <w:ind w:left="720" w:hanging="180"/>
      </w:pPr>
      <w:rPr>
        <w:rFonts w:ascii="Symbol" w:hAnsi="Symbol" w:hint="default"/>
      </w:rPr>
    </w:lvl>
    <w:lvl w:ilvl="1" w:tplc="85E65CFE">
      <w:numFmt w:val="decimal"/>
      <w:lvlText w:val=""/>
      <w:lvlJc w:val="left"/>
    </w:lvl>
    <w:lvl w:ilvl="2" w:tplc="EC0055AE">
      <w:numFmt w:val="decimal"/>
      <w:lvlText w:val=""/>
      <w:lvlJc w:val="left"/>
    </w:lvl>
    <w:lvl w:ilvl="3" w:tplc="71C28336">
      <w:numFmt w:val="decimal"/>
      <w:lvlText w:val=""/>
      <w:lvlJc w:val="left"/>
    </w:lvl>
    <w:lvl w:ilvl="4" w:tplc="4CFCB0C6">
      <w:numFmt w:val="decimal"/>
      <w:lvlText w:val=""/>
      <w:lvlJc w:val="left"/>
    </w:lvl>
    <w:lvl w:ilvl="5" w:tplc="4E3EFFE2">
      <w:numFmt w:val="decimal"/>
      <w:lvlText w:val=""/>
      <w:lvlJc w:val="left"/>
    </w:lvl>
    <w:lvl w:ilvl="6" w:tplc="30CED344">
      <w:numFmt w:val="decimal"/>
      <w:lvlText w:val=""/>
      <w:lvlJc w:val="left"/>
    </w:lvl>
    <w:lvl w:ilvl="7" w:tplc="594AE218">
      <w:numFmt w:val="decimal"/>
      <w:lvlText w:val=""/>
      <w:lvlJc w:val="left"/>
    </w:lvl>
    <w:lvl w:ilvl="8" w:tplc="33EA139C">
      <w:numFmt w:val="decimal"/>
      <w:lvlText w:val=""/>
      <w:lvlJc w:val="left"/>
    </w:lvl>
  </w:abstractNum>
  <w:abstractNum w:abstractNumId="1111" w15:restartNumberingAfterBreak="0">
    <w:nsid w:val="73C75876"/>
    <w:multiLevelType w:val="hybridMultilevel"/>
    <w:tmpl w:val="BE1A64AC"/>
    <w:lvl w:ilvl="0" w:tplc="80E44C48">
      <w:start w:val="1"/>
      <w:numFmt w:val="bullet"/>
      <w:lvlText w:val=""/>
      <w:lvlJc w:val="left"/>
      <w:pPr>
        <w:ind w:left="720" w:hanging="180"/>
      </w:pPr>
      <w:rPr>
        <w:rFonts w:ascii="Symbol" w:hAnsi="Symbol" w:hint="default"/>
      </w:rPr>
    </w:lvl>
    <w:lvl w:ilvl="1" w:tplc="F216C4BA">
      <w:numFmt w:val="decimal"/>
      <w:lvlText w:val=""/>
      <w:lvlJc w:val="left"/>
    </w:lvl>
    <w:lvl w:ilvl="2" w:tplc="B00AF3E2">
      <w:numFmt w:val="decimal"/>
      <w:lvlText w:val=""/>
      <w:lvlJc w:val="left"/>
    </w:lvl>
    <w:lvl w:ilvl="3" w:tplc="B284FFB2">
      <w:numFmt w:val="decimal"/>
      <w:lvlText w:val=""/>
      <w:lvlJc w:val="left"/>
    </w:lvl>
    <w:lvl w:ilvl="4" w:tplc="05B8D4EE">
      <w:numFmt w:val="decimal"/>
      <w:lvlText w:val=""/>
      <w:lvlJc w:val="left"/>
    </w:lvl>
    <w:lvl w:ilvl="5" w:tplc="6F6296B4">
      <w:numFmt w:val="decimal"/>
      <w:lvlText w:val=""/>
      <w:lvlJc w:val="left"/>
    </w:lvl>
    <w:lvl w:ilvl="6" w:tplc="FA620ABE">
      <w:numFmt w:val="decimal"/>
      <w:lvlText w:val=""/>
      <w:lvlJc w:val="left"/>
    </w:lvl>
    <w:lvl w:ilvl="7" w:tplc="9DC0710E">
      <w:numFmt w:val="decimal"/>
      <w:lvlText w:val=""/>
      <w:lvlJc w:val="left"/>
    </w:lvl>
    <w:lvl w:ilvl="8" w:tplc="8B7EEE36">
      <w:numFmt w:val="decimal"/>
      <w:lvlText w:val=""/>
      <w:lvlJc w:val="left"/>
    </w:lvl>
  </w:abstractNum>
  <w:abstractNum w:abstractNumId="1112" w15:restartNumberingAfterBreak="0">
    <w:nsid w:val="73CB0091"/>
    <w:multiLevelType w:val="hybridMultilevel"/>
    <w:tmpl w:val="E78A1BFA"/>
    <w:lvl w:ilvl="0" w:tplc="8F985AD4">
      <w:start w:val="1"/>
      <w:numFmt w:val="bullet"/>
      <w:lvlText w:val=""/>
      <w:lvlJc w:val="left"/>
      <w:pPr>
        <w:ind w:left="720" w:hanging="180"/>
      </w:pPr>
      <w:rPr>
        <w:rFonts w:ascii="Symbol" w:hAnsi="Symbol" w:hint="default"/>
      </w:rPr>
    </w:lvl>
    <w:lvl w:ilvl="1" w:tplc="DFCC1FE0">
      <w:numFmt w:val="decimal"/>
      <w:lvlText w:val=""/>
      <w:lvlJc w:val="left"/>
    </w:lvl>
    <w:lvl w:ilvl="2" w:tplc="2B34F778">
      <w:numFmt w:val="decimal"/>
      <w:lvlText w:val=""/>
      <w:lvlJc w:val="left"/>
    </w:lvl>
    <w:lvl w:ilvl="3" w:tplc="5BFAF69A">
      <w:numFmt w:val="decimal"/>
      <w:lvlText w:val=""/>
      <w:lvlJc w:val="left"/>
    </w:lvl>
    <w:lvl w:ilvl="4" w:tplc="F22297FE">
      <w:numFmt w:val="decimal"/>
      <w:lvlText w:val=""/>
      <w:lvlJc w:val="left"/>
    </w:lvl>
    <w:lvl w:ilvl="5" w:tplc="58FE97C4">
      <w:numFmt w:val="decimal"/>
      <w:lvlText w:val=""/>
      <w:lvlJc w:val="left"/>
    </w:lvl>
    <w:lvl w:ilvl="6" w:tplc="A92A62A8">
      <w:numFmt w:val="decimal"/>
      <w:lvlText w:val=""/>
      <w:lvlJc w:val="left"/>
    </w:lvl>
    <w:lvl w:ilvl="7" w:tplc="5EC63E2E">
      <w:numFmt w:val="decimal"/>
      <w:lvlText w:val=""/>
      <w:lvlJc w:val="left"/>
    </w:lvl>
    <w:lvl w:ilvl="8" w:tplc="E640E59A">
      <w:numFmt w:val="decimal"/>
      <w:lvlText w:val=""/>
      <w:lvlJc w:val="left"/>
    </w:lvl>
  </w:abstractNum>
  <w:abstractNum w:abstractNumId="1113" w15:restartNumberingAfterBreak="0">
    <w:nsid w:val="73D80837"/>
    <w:multiLevelType w:val="hybridMultilevel"/>
    <w:tmpl w:val="8FC622AA"/>
    <w:lvl w:ilvl="0" w:tplc="1CA0B0A0">
      <w:start w:val="1"/>
      <w:numFmt w:val="bullet"/>
      <w:lvlText w:val=""/>
      <w:lvlJc w:val="left"/>
      <w:pPr>
        <w:ind w:left="720" w:hanging="180"/>
      </w:pPr>
      <w:rPr>
        <w:rFonts w:ascii="Symbol" w:hAnsi="Symbol" w:hint="default"/>
      </w:rPr>
    </w:lvl>
    <w:lvl w:ilvl="1" w:tplc="766A264C">
      <w:numFmt w:val="decimal"/>
      <w:lvlText w:val=""/>
      <w:lvlJc w:val="left"/>
    </w:lvl>
    <w:lvl w:ilvl="2" w:tplc="834ED504">
      <w:numFmt w:val="decimal"/>
      <w:lvlText w:val=""/>
      <w:lvlJc w:val="left"/>
    </w:lvl>
    <w:lvl w:ilvl="3" w:tplc="8ADEC6D6">
      <w:numFmt w:val="decimal"/>
      <w:lvlText w:val=""/>
      <w:lvlJc w:val="left"/>
    </w:lvl>
    <w:lvl w:ilvl="4" w:tplc="B53409CE">
      <w:numFmt w:val="decimal"/>
      <w:lvlText w:val=""/>
      <w:lvlJc w:val="left"/>
    </w:lvl>
    <w:lvl w:ilvl="5" w:tplc="5F70CFA8">
      <w:numFmt w:val="decimal"/>
      <w:lvlText w:val=""/>
      <w:lvlJc w:val="left"/>
    </w:lvl>
    <w:lvl w:ilvl="6" w:tplc="1D300038">
      <w:numFmt w:val="decimal"/>
      <w:lvlText w:val=""/>
      <w:lvlJc w:val="left"/>
    </w:lvl>
    <w:lvl w:ilvl="7" w:tplc="D25E1562">
      <w:numFmt w:val="decimal"/>
      <w:lvlText w:val=""/>
      <w:lvlJc w:val="left"/>
    </w:lvl>
    <w:lvl w:ilvl="8" w:tplc="B3127012">
      <w:numFmt w:val="decimal"/>
      <w:lvlText w:val=""/>
      <w:lvlJc w:val="left"/>
    </w:lvl>
  </w:abstractNum>
  <w:abstractNum w:abstractNumId="1114" w15:restartNumberingAfterBreak="0">
    <w:nsid w:val="73E72FD3"/>
    <w:multiLevelType w:val="hybridMultilevel"/>
    <w:tmpl w:val="DD1AB4DC"/>
    <w:lvl w:ilvl="0" w:tplc="E31653D8">
      <w:start w:val="1"/>
      <w:numFmt w:val="bullet"/>
      <w:lvlText w:val=""/>
      <w:lvlJc w:val="left"/>
      <w:pPr>
        <w:ind w:left="720" w:hanging="180"/>
      </w:pPr>
      <w:rPr>
        <w:rFonts w:ascii="Symbol" w:hAnsi="Symbol" w:hint="default"/>
      </w:rPr>
    </w:lvl>
    <w:lvl w:ilvl="1" w:tplc="1354E1D8">
      <w:numFmt w:val="decimal"/>
      <w:lvlText w:val=""/>
      <w:lvlJc w:val="left"/>
    </w:lvl>
    <w:lvl w:ilvl="2" w:tplc="C226ADEE">
      <w:numFmt w:val="decimal"/>
      <w:lvlText w:val=""/>
      <w:lvlJc w:val="left"/>
    </w:lvl>
    <w:lvl w:ilvl="3" w:tplc="0AEA05AE">
      <w:numFmt w:val="decimal"/>
      <w:lvlText w:val=""/>
      <w:lvlJc w:val="left"/>
    </w:lvl>
    <w:lvl w:ilvl="4" w:tplc="1E9A5A5A">
      <w:numFmt w:val="decimal"/>
      <w:lvlText w:val=""/>
      <w:lvlJc w:val="left"/>
    </w:lvl>
    <w:lvl w:ilvl="5" w:tplc="9BA0C876">
      <w:numFmt w:val="decimal"/>
      <w:lvlText w:val=""/>
      <w:lvlJc w:val="left"/>
    </w:lvl>
    <w:lvl w:ilvl="6" w:tplc="D4542906">
      <w:numFmt w:val="decimal"/>
      <w:lvlText w:val=""/>
      <w:lvlJc w:val="left"/>
    </w:lvl>
    <w:lvl w:ilvl="7" w:tplc="583092EC">
      <w:numFmt w:val="decimal"/>
      <w:lvlText w:val=""/>
      <w:lvlJc w:val="left"/>
    </w:lvl>
    <w:lvl w:ilvl="8" w:tplc="E9667DAA">
      <w:numFmt w:val="decimal"/>
      <w:lvlText w:val=""/>
      <w:lvlJc w:val="left"/>
    </w:lvl>
  </w:abstractNum>
  <w:abstractNum w:abstractNumId="1115" w15:restartNumberingAfterBreak="0">
    <w:nsid w:val="73F12CB2"/>
    <w:multiLevelType w:val="hybridMultilevel"/>
    <w:tmpl w:val="ED3461A0"/>
    <w:lvl w:ilvl="0" w:tplc="908CBDC6">
      <w:start w:val="1"/>
      <w:numFmt w:val="bullet"/>
      <w:lvlText w:val=""/>
      <w:lvlJc w:val="left"/>
      <w:pPr>
        <w:ind w:left="720" w:hanging="180"/>
      </w:pPr>
      <w:rPr>
        <w:rFonts w:ascii="Symbol" w:hAnsi="Symbol" w:hint="default"/>
      </w:rPr>
    </w:lvl>
    <w:lvl w:ilvl="1" w:tplc="FFA06A28">
      <w:numFmt w:val="decimal"/>
      <w:lvlText w:val=""/>
      <w:lvlJc w:val="left"/>
    </w:lvl>
    <w:lvl w:ilvl="2" w:tplc="ED5C9F04">
      <w:numFmt w:val="decimal"/>
      <w:lvlText w:val=""/>
      <w:lvlJc w:val="left"/>
    </w:lvl>
    <w:lvl w:ilvl="3" w:tplc="DE82CBF6">
      <w:numFmt w:val="decimal"/>
      <w:lvlText w:val=""/>
      <w:lvlJc w:val="left"/>
    </w:lvl>
    <w:lvl w:ilvl="4" w:tplc="3B00F208">
      <w:numFmt w:val="decimal"/>
      <w:lvlText w:val=""/>
      <w:lvlJc w:val="left"/>
    </w:lvl>
    <w:lvl w:ilvl="5" w:tplc="A4B2EBB2">
      <w:numFmt w:val="decimal"/>
      <w:lvlText w:val=""/>
      <w:lvlJc w:val="left"/>
    </w:lvl>
    <w:lvl w:ilvl="6" w:tplc="C6261BF0">
      <w:numFmt w:val="decimal"/>
      <w:lvlText w:val=""/>
      <w:lvlJc w:val="left"/>
    </w:lvl>
    <w:lvl w:ilvl="7" w:tplc="4300E92A">
      <w:numFmt w:val="decimal"/>
      <w:lvlText w:val=""/>
      <w:lvlJc w:val="left"/>
    </w:lvl>
    <w:lvl w:ilvl="8" w:tplc="81203A30">
      <w:numFmt w:val="decimal"/>
      <w:lvlText w:val=""/>
      <w:lvlJc w:val="left"/>
    </w:lvl>
  </w:abstractNum>
  <w:abstractNum w:abstractNumId="1116" w15:restartNumberingAfterBreak="0">
    <w:nsid w:val="73FD11CD"/>
    <w:multiLevelType w:val="hybridMultilevel"/>
    <w:tmpl w:val="0CCA000C"/>
    <w:lvl w:ilvl="0" w:tplc="17E6133C">
      <w:start w:val="1"/>
      <w:numFmt w:val="bullet"/>
      <w:lvlText w:val=""/>
      <w:lvlJc w:val="left"/>
      <w:pPr>
        <w:ind w:left="720" w:hanging="180"/>
      </w:pPr>
      <w:rPr>
        <w:rFonts w:ascii="Symbol" w:hAnsi="Symbol" w:hint="default"/>
      </w:rPr>
    </w:lvl>
    <w:lvl w:ilvl="1" w:tplc="53F414DE">
      <w:numFmt w:val="decimal"/>
      <w:lvlText w:val=""/>
      <w:lvlJc w:val="left"/>
    </w:lvl>
    <w:lvl w:ilvl="2" w:tplc="0C0EAFA2">
      <w:numFmt w:val="decimal"/>
      <w:lvlText w:val=""/>
      <w:lvlJc w:val="left"/>
    </w:lvl>
    <w:lvl w:ilvl="3" w:tplc="4C7EF010">
      <w:numFmt w:val="decimal"/>
      <w:lvlText w:val=""/>
      <w:lvlJc w:val="left"/>
    </w:lvl>
    <w:lvl w:ilvl="4" w:tplc="2D6E42C6">
      <w:numFmt w:val="decimal"/>
      <w:lvlText w:val=""/>
      <w:lvlJc w:val="left"/>
    </w:lvl>
    <w:lvl w:ilvl="5" w:tplc="27B24E10">
      <w:numFmt w:val="decimal"/>
      <w:lvlText w:val=""/>
      <w:lvlJc w:val="left"/>
    </w:lvl>
    <w:lvl w:ilvl="6" w:tplc="1A5465EA">
      <w:numFmt w:val="decimal"/>
      <w:lvlText w:val=""/>
      <w:lvlJc w:val="left"/>
    </w:lvl>
    <w:lvl w:ilvl="7" w:tplc="20C6A3E8">
      <w:numFmt w:val="decimal"/>
      <w:lvlText w:val=""/>
      <w:lvlJc w:val="left"/>
    </w:lvl>
    <w:lvl w:ilvl="8" w:tplc="8B26AE14">
      <w:numFmt w:val="decimal"/>
      <w:lvlText w:val=""/>
      <w:lvlJc w:val="left"/>
    </w:lvl>
  </w:abstractNum>
  <w:abstractNum w:abstractNumId="1117" w15:restartNumberingAfterBreak="0">
    <w:nsid w:val="73FE2D25"/>
    <w:multiLevelType w:val="hybridMultilevel"/>
    <w:tmpl w:val="64686FFA"/>
    <w:lvl w:ilvl="0" w:tplc="5B3438AE">
      <w:start w:val="1"/>
      <w:numFmt w:val="bullet"/>
      <w:lvlText w:val=""/>
      <w:lvlJc w:val="left"/>
      <w:pPr>
        <w:ind w:left="720" w:hanging="180"/>
      </w:pPr>
      <w:rPr>
        <w:rFonts w:ascii="Symbol" w:hAnsi="Symbol" w:hint="default"/>
      </w:rPr>
    </w:lvl>
    <w:lvl w:ilvl="1" w:tplc="FAEE118E">
      <w:numFmt w:val="decimal"/>
      <w:lvlText w:val=""/>
      <w:lvlJc w:val="left"/>
    </w:lvl>
    <w:lvl w:ilvl="2" w:tplc="C44883A8">
      <w:numFmt w:val="decimal"/>
      <w:lvlText w:val=""/>
      <w:lvlJc w:val="left"/>
    </w:lvl>
    <w:lvl w:ilvl="3" w:tplc="443E707C">
      <w:numFmt w:val="decimal"/>
      <w:lvlText w:val=""/>
      <w:lvlJc w:val="left"/>
    </w:lvl>
    <w:lvl w:ilvl="4" w:tplc="B2BC8BD6">
      <w:numFmt w:val="decimal"/>
      <w:lvlText w:val=""/>
      <w:lvlJc w:val="left"/>
    </w:lvl>
    <w:lvl w:ilvl="5" w:tplc="29C259DA">
      <w:numFmt w:val="decimal"/>
      <w:lvlText w:val=""/>
      <w:lvlJc w:val="left"/>
    </w:lvl>
    <w:lvl w:ilvl="6" w:tplc="5FBC25DA">
      <w:numFmt w:val="decimal"/>
      <w:lvlText w:val=""/>
      <w:lvlJc w:val="left"/>
    </w:lvl>
    <w:lvl w:ilvl="7" w:tplc="9DC2CAB2">
      <w:numFmt w:val="decimal"/>
      <w:lvlText w:val=""/>
      <w:lvlJc w:val="left"/>
    </w:lvl>
    <w:lvl w:ilvl="8" w:tplc="CAF82ACA">
      <w:numFmt w:val="decimal"/>
      <w:lvlText w:val=""/>
      <w:lvlJc w:val="left"/>
    </w:lvl>
  </w:abstractNum>
  <w:abstractNum w:abstractNumId="1118" w15:restartNumberingAfterBreak="0">
    <w:nsid w:val="74133EAE"/>
    <w:multiLevelType w:val="hybridMultilevel"/>
    <w:tmpl w:val="A3766A32"/>
    <w:lvl w:ilvl="0" w:tplc="6B88E1C8">
      <w:start w:val="1"/>
      <w:numFmt w:val="bullet"/>
      <w:lvlText w:val=""/>
      <w:lvlJc w:val="left"/>
      <w:pPr>
        <w:ind w:left="720" w:hanging="180"/>
      </w:pPr>
      <w:rPr>
        <w:rFonts w:ascii="Symbol" w:hAnsi="Symbol" w:hint="default"/>
      </w:rPr>
    </w:lvl>
    <w:lvl w:ilvl="1" w:tplc="7AB85E76">
      <w:numFmt w:val="decimal"/>
      <w:lvlText w:val=""/>
      <w:lvlJc w:val="left"/>
    </w:lvl>
    <w:lvl w:ilvl="2" w:tplc="72FEFAE0">
      <w:numFmt w:val="decimal"/>
      <w:lvlText w:val=""/>
      <w:lvlJc w:val="left"/>
    </w:lvl>
    <w:lvl w:ilvl="3" w:tplc="1AB010DA">
      <w:numFmt w:val="decimal"/>
      <w:lvlText w:val=""/>
      <w:lvlJc w:val="left"/>
    </w:lvl>
    <w:lvl w:ilvl="4" w:tplc="C896B20E">
      <w:numFmt w:val="decimal"/>
      <w:lvlText w:val=""/>
      <w:lvlJc w:val="left"/>
    </w:lvl>
    <w:lvl w:ilvl="5" w:tplc="48741CDC">
      <w:numFmt w:val="decimal"/>
      <w:lvlText w:val=""/>
      <w:lvlJc w:val="left"/>
    </w:lvl>
    <w:lvl w:ilvl="6" w:tplc="A35A2650">
      <w:numFmt w:val="decimal"/>
      <w:lvlText w:val=""/>
      <w:lvlJc w:val="left"/>
    </w:lvl>
    <w:lvl w:ilvl="7" w:tplc="0F50F1B6">
      <w:numFmt w:val="decimal"/>
      <w:lvlText w:val=""/>
      <w:lvlJc w:val="left"/>
    </w:lvl>
    <w:lvl w:ilvl="8" w:tplc="56C4F92C">
      <w:numFmt w:val="decimal"/>
      <w:lvlText w:val=""/>
      <w:lvlJc w:val="left"/>
    </w:lvl>
  </w:abstractNum>
  <w:abstractNum w:abstractNumId="1119" w15:restartNumberingAfterBreak="0">
    <w:nsid w:val="743B4A85"/>
    <w:multiLevelType w:val="hybridMultilevel"/>
    <w:tmpl w:val="1194B1EE"/>
    <w:lvl w:ilvl="0" w:tplc="ADDA0264">
      <w:start w:val="1"/>
      <w:numFmt w:val="bullet"/>
      <w:lvlText w:val=""/>
      <w:lvlJc w:val="left"/>
      <w:pPr>
        <w:ind w:left="720" w:hanging="180"/>
      </w:pPr>
      <w:rPr>
        <w:rFonts w:ascii="Symbol" w:hAnsi="Symbol" w:hint="default"/>
      </w:rPr>
    </w:lvl>
    <w:lvl w:ilvl="1" w:tplc="F99EB50A">
      <w:numFmt w:val="decimal"/>
      <w:lvlText w:val=""/>
      <w:lvlJc w:val="left"/>
    </w:lvl>
    <w:lvl w:ilvl="2" w:tplc="EDB61704">
      <w:numFmt w:val="decimal"/>
      <w:lvlText w:val=""/>
      <w:lvlJc w:val="left"/>
    </w:lvl>
    <w:lvl w:ilvl="3" w:tplc="51B4D002">
      <w:numFmt w:val="decimal"/>
      <w:lvlText w:val=""/>
      <w:lvlJc w:val="left"/>
    </w:lvl>
    <w:lvl w:ilvl="4" w:tplc="5EE278A2">
      <w:numFmt w:val="decimal"/>
      <w:lvlText w:val=""/>
      <w:lvlJc w:val="left"/>
    </w:lvl>
    <w:lvl w:ilvl="5" w:tplc="598A60D8">
      <w:numFmt w:val="decimal"/>
      <w:lvlText w:val=""/>
      <w:lvlJc w:val="left"/>
    </w:lvl>
    <w:lvl w:ilvl="6" w:tplc="D14E3B6C">
      <w:numFmt w:val="decimal"/>
      <w:lvlText w:val=""/>
      <w:lvlJc w:val="left"/>
    </w:lvl>
    <w:lvl w:ilvl="7" w:tplc="F790E14A">
      <w:numFmt w:val="decimal"/>
      <w:lvlText w:val=""/>
      <w:lvlJc w:val="left"/>
    </w:lvl>
    <w:lvl w:ilvl="8" w:tplc="7F988AC8">
      <w:numFmt w:val="decimal"/>
      <w:lvlText w:val=""/>
      <w:lvlJc w:val="left"/>
    </w:lvl>
  </w:abstractNum>
  <w:abstractNum w:abstractNumId="1120" w15:restartNumberingAfterBreak="0">
    <w:nsid w:val="743E4751"/>
    <w:multiLevelType w:val="hybridMultilevel"/>
    <w:tmpl w:val="753AD712"/>
    <w:lvl w:ilvl="0" w:tplc="8F7E3802">
      <w:start w:val="1"/>
      <w:numFmt w:val="bullet"/>
      <w:lvlText w:val=""/>
      <w:lvlJc w:val="left"/>
      <w:pPr>
        <w:ind w:left="720" w:hanging="180"/>
      </w:pPr>
      <w:rPr>
        <w:rFonts w:ascii="Symbol" w:hAnsi="Symbol" w:hint="default"/>
      </w:rPr>
    </w:lvl>
    <w:lvl w:ilvl="1" w:tplc="F246FE38">
      <w:numFmt w:val="decimal"/>
      <w:lvlText w:val=""/>
      <w:lvlJc w:val="left"/>
    </w:lvl>
    <w:lvl w:ilvl="2" w:tplc="5B4023E4">
      <w:numFmt w:val="decimal"/>
      <w:lvlText w:val=""/>
      <w:lvlJc w:val="left"/>
    </w:lvl>
    <w:lvl w:ilvl="3" w:tplc="44B07D32">
      <w:numFmt w:val="decimal"/>
      <w:lvlText w:val=""/>
      <w:lvlJc w:val="left"/>
    </w:lvl>
    <w:lvl w:ilvl="4" w:tplc="5F3ABB9C">
      <w:numFmt w:val="decimal"/>
      <w:lvlText w:val=""/>
      <w:lvlJc w:val="left"/>
    </w:lvl>
    <w:lvl w:ilvl="5" w:tplc="FEC6A3FA">
      <w:numFmt w:val="decimal"/>
      <w:lvlText w:val=""/>
      <w:lvlJc w:val="left"/>
    </w:lvl>
    <w:lvl w:ilvl="6" w:tplc="1C3EE0D2">
      <w:numFmt w:val="decimal"/>
      <w:lvlText w:val=""/>
      <w:lvlJc w:val="left"/>
    </w:lvl>
    <w:lvl w:ilvl="7" w:tplc="8092E744">
      <w:numFmt w:val="decimal"/>
      <w:lvlText w:val=""/>
      <w:lvlJc w:val="left"/>
    </w:lvl>
    <w:lvl w:ilvl="8" w:tplc="E2B85976">
      <w:numFmt w:val="decimal"/>
      <w:lvlText w:val=""/>
      <w:lvlJc w:val="left"/>
    </w:lvl>
  </w:abstractNum>
  <w:abstractNum w:abstractNumId="1121" w15:restartNumberingAfterBreak="0">
    <w:nsid w:val="744B3851"/>
    <w:multiLevelType w:val="hybridMultilevel"/>
    <w:tmpl w:val="81AAB63E"/>
    <w:lvl w:ilvl="0" w:tplc="E8A0D646">
      <w:start w:val="1"/>
      <w:numFmt w:val="bullet"/>
      <w:lvlText w:val=""/>
      <w:lvlJc w:val="left"/>
      <w:pPr>
        <w:ind w:left="720" w:hanging="180"/>
      </w:pPr>
      <w:rPr>
        <w:rFonts w:ascii="Symbol" w:hAnsi="Symbol" w:hint="default"/>
      </w:rPr>
    </w:lvl>
    <w:lvl w:ilvl="1" w:tplc="B43CF46E">
      <w:numFmt w:val="decimal"/>
      <w:lvlText w:val=""/>
      <w:lvlJc w:val="left"/>
    </w:lvl>
    <w:lvl w:ilvl="2" w:tplc="C7DE2E68">
      <w:numFmt w:val="decimal"/>
      <w:lvlText w:val=""/>
      <w:lvlJc w:val="left"/>
    </w:lvl>
    <w:lvl w:ilvl="3" w:tplc="99B082CE">
      <w:numFmt w:val="decimal"/>
      <w:lvlText w:val=""/>
      <w:lvlJc w:val="left"/>
    </w:lvl>
    <w:lvl w:ilvl="4" w:tplc="813EA2A6">
      <w:numFmt w:val="decimal"/>
      <w:lvlText w:val=""/>
      <w:lvlJc w:val="left"/>
    </w:lvl>
    <w:lvl w:ilvl="5" w:tplc="5064A500">
      <w:numFmt w:val="decimal"/>
      <w:lvlText w:val=""/>
      <w:lvlJc w:val="left"/>
    </w:lvl>
    <w:lvl w:ilvl="6" w:tplc="95B83602">
      <w:numFmt w:val="decimal"/>
      <w:lvlText w:val=""/>
      <w:lvlJc w:val="left"/>
    </w:lvl>
    <w:lvl w:ilvl="7" w:tplc="66903898">
      <w:numFmt w:val="decimal"/>
      <w:lvlText w:val=""/>
      <w:lvlJc w:val="left"/>
    </w:lvl>
    <w:lvl w:ilvl="8" w:tplc="6F6848E6">
      <w:numFmt w:val="decimal"/>
      <w:lvlText w:val=""/>
      <w:lvlJc w:val="left"/>
    </w:lvl>
  </w:abstractNum>
  <w:abstractNum w:abstractNumId="1122" w15:restartNumberingAfterBreak="0">
    <w:nsid w:val="74552E1A"/>
    <w:multiLevelType w:val="hybridMultilevel"/>
    <w:tmpl w:val="A4DACF40"/>
    <w:lvl w:ilvl="0" w:tplc="8482FDEA">
      <w:start w:val="1"/>
      <w:numFmt w:val="bullet"/>
      <w:lvlText w:val=""/>
      <w:lvlJc w:val="left"/>
      <w:pPr>
        <w:ind w:left="720" w:hanging="180"/>
      </w:pPr>
      <w:rPr>
        <w:rFonts w:ascii="Symbol" w:hAnsi="Symbol" w:hint="default"/>
      </w:rPr>
    </w:lvl>
    <w:lvl w:ilvl="1" w:tplc="9E0E24B4">
      <w:numFmt w:val="decimal"/>
      <w:lvlText w:val=""/>
      <w:lvlJc w:val="left"/>
    </w:lvl>
    <w:lvl w:ilvl="2" w:tplc="77149E06">
      <w:numFmt w:val="decimal"/>
      <w:lvlText w:val=""/>
      <w:lvlJc w:val="left"/>
    </w:lvl>
    <w:lvl w:ilvl="3" w:tplc="F2900A5E">
      <w:numFmt w:val="decimal"/>
      <w:lvlText w:val=""/>
      <w:lvlJc w:val="left"/>
    </w:lvl>
    <w:lvl w:ilvl="4" w:tplc="F20C694A">
      <w:numFmt w:val="decimal"/>
      <w:lvlText w:val=""/>
      <w:lvlJc w:val="left"/>
    </w:lvl>
    <w:lvl w:ilvl="5" w:tplc="BC78F92C">
      <w:numFmt w:val="decimal"/>
      <w:lvlText w:val=""/>
      <w:lvlJc w:val="left"/>
    </w:lvl>
    <w:lvl w:ilvl="6" w:tplc="C52CCEBC">
      <w:numFmt w:val="decimal"/>
      <w:lvlText w:val=""/>
      <w:lvlJc w:val="left"/>
    </w:lvl>
    <w:lvl w:ilvl="7" w:tplc="C2C0C682">
      <w:numFmt w:val="decimal"/>
      <w:lvlText w:val=""/>
      <w:lvlJc w:val="left"/>
    </w:lvl>
    <w:lvl w:ilvl="8" w:tplc="141E10C8">
      <w:numFmt w:val="decimal"/>
      <w:lvlText w:val=""/>
      <w:lvlJc w:val="left"/>
    </w:lvl>
  </w:abstractNum>
  <w:abstractNum w:abstractNumId="1123" w15:restartNumberingAfterBreak="0">
    <w:nsid w:val="748324B4"/>
    <w:multiLevelType w:val="hybridMultilevel"/>
    <w:tmpl w:val="872E7DFA"/>
    <w:lvl w:ilvl="0" w:tplc="5FBACFEE">
      <w:start w:val="1"/>
      <w:numFmt w:val="bullet"/>
      <w:lvlText w:val=""/>
      <w:lvlJc w:val="left"/>
      <w:pPr>
        <w:ind w:left="720" w:hanging="180"/>
      </w:pPr>
      <w:rPr>
        <w:rFonts w:ascii="Symbol" w:hAnsi="Symbol" w:hint="default"/>
      </w:rPr>
    </w:lvl>
    <w:lvl w:ilvl="1" w:tplc="91865306">
      <w:numFmt w:val="decimal"/>
      <w:lvlText w:val=""/>
      <w:lvlJc w:val="left"/>
    </w:lvl>
    <w:lvl w:ilvl="2" w:tplc="838C32D0">
      <w:numFmt w:val="decimal"/>
      <w:lvlText w:val=""/>
      <w:lvlJc w:val="left"/>
    </w:lvl>
    <w:lvl w:ilvl="3" w:tplc="AC026444">
      <w:numFmt w:val="decimal"/>
      <w:lvlText w:val=""/>
      <w:lvlJc w:val="left"/>
    </w:lvl>
    <w:lvl w:ilvl="4" w:tplc="F14A5B8C">
      <w:numFmt w:val="decimal"/>
      <w:lvlText w:val=""/>
      <w:lvlJc w:val="left"/>
    </w:lvl>
    <w:lvl w:ilvl="5" w:tplc="A80E8FF2">
      <w:numFmt w:val="decimal"/>
      <w:lvlText w:val=""/>
      <w:lvlJc w:val="left"/>
    </w:lvl>
    <w:lvl w:ilvl="6" w:tplc="A0C0794A">
      <w:numFmt w:val="decimal"/>
      <w:lvlText w:val=""/>
      <w:lvlJc w:val="left"/>
    </w:lvl>
    <w:lvl w:ilvl="7" w:tplc="9F90FEDA">
      <w:numFmt w:val="decimal"/>
      <w:lvlText w:val=""/>
      <w:lvlJc w:val="left"/>
    </w:lvl>
    <w:lvl w:ilvl="8" w:tplc="7AD82C1A">
      <w:numFmt w:val="decimal"/>
      <w:lvlText w:val=""/>
      <w:lvlJc w:val="left"/>
    </w:lvl>
  </w:abstractNum>
  <w:abstractNum w:abstractNumId="1124" w15:restartNumberingAfterBreak="0">
    <w:nsid w:val="74890A92"/>
    <w:multiLevelType w:val="hybridMultilevel"/>
    <w:tmpl w:val="508C8376"/>
    <w:lvl w:ilvl="0" w:tplc="C49E854E">
      <w:start w:val="1"/>
      <w:numFmt w:val="bullet"/>
      <w:lvlText w:val=""/>
      <w:lvlJc w:val="left"/>
      <w:pPr>
        <w:ind w:left="720" w:hanging="180"/>
      </w:pPr>
      <w:rPr>
        <w:rFonts w:ascii="Symbol" w:hAnsi="Symbol" w:hint="default"/>
      </w:rPr>
    </w:lvl>
    <w:lvl w:ilvl="1" w:tplc="9FF051F0">
      <w:numFmt w:val="decimal"/>
      <w:lvlText w:val=""/>
      <w:lvlJc w:val="left"/>
    </w:lvl>
    <w:lvl w:ilvl="2" w:tplc="C0DC469A">
      <w:numFmt w:val="decimal"/>
      <w:lvlText w:val=""/>
      <w:lvlJc w:val="left"/>
    </w:lvl>
    <w:lvl w:ilvl="3" w:tplc="0ED69396">
      <w:numFmt w:val="decimal"/>
      <w:lvlText w:val=""/>
      <w:lvlJc w:val="left"/>
    </w:lvl>
    <w:lvl w:ilvl="4" w:tplc="56A46390">
      <w:numFmt w:val="decimal"/>
      <w:lvlText w:val=""/>
      <w:lvlJc w:val="left"/>
    </w:lvl>
    <w:lvl w:ilvl="5" w:tplc="0F2EA566">
      <w:numFmt w:val="decimal"/>
      <w:lvlText w:val=""/>
      <w:lvlJc w:val="left"/>
    </w:lvl>
    <w:lvl w:ilvl="6" w:tplc="E520BEDA">
      <w:numFmt w:val="decimal"/>
      <w:lvlText w:val=""/>
      <w:lvlJc w:val="left"/>
    </w:lvl>
    <w:lvl w:ilvl="7" w:tplc="62B6507C">
      <w:numFmt w:val="decimal"/>
      <w:lvlText w:val=""/>
      <w:lvlJc w:val="left"/>
    </w:lvl>
    <w:lvl w:ilvl="8" w:tplc="3B5A763A">
      <w:numFmt w:val="decimal"/>
      <w:lvlText w:val=""/>
      <w:lvlJc w:val="left"/>
    </w:lvl>
  </w:abstractNum>
  <w:abstractNum w:abstractNumId="1125" w15:restartNumberingAfterBreak="0">
    <w:nsid w:val="749B404C"/>
    <w:multiLevelType w:val="hybridMultilevel"/>
    <w:tmpl w:val="A53A260C"/>
    <w:lvl w:ilvl="0" w:tplc="1B68B43E">
      <w:start w:val="1"/>
      <w:numFmt w:val="bullet"/>
      <w:lvlText w:val=""/>
      <w:lvlJc w:val="left"/>
      <w:pPr>
        <w:ind w:left="720" w:hanging="180"/>
      </w:pPr>
      <w:rPr>
        <w:rFonts w:ascii="Symbol" w:hAnsi="Symbol" w:hint="default"/>
      </w:rPr>
    </w:lvl>
    <w:lvl w:ilvl="1" w:tplc="237A5B40">
      <w:numFmt w:val="decimal"/>
      <w:lvlText w:val=""/>
      <w:lvlJc w:val="left"/>
    </w:lvl>
    <w:lvl w:ilvl="2" w:tplc="33000B4C">
      <w:numFmt w:val="decimal"/>
      <w:lvlText w:val=""/>
      <w:lvlJc w:val="left"/>
    </w:lvl>
    <w:lvl w:ilvl="3" w:tplc="C5F27CCA">
      <w:numFmt w:val="decimal"/>
      <w:lvlText w:val=""/>
      <w:lvlJc w:val="left"/>
    </w:lvl>
    <w:lvl w:ilvl="4" w:tplc="D74E630C">
      <w:numFmt w:val="decimal"/>
      <w:lvlText w:val=""/>
      <w:lvlJc w:val="left"/>
    </w:lvl>
    <w:lvl w:ilvl="5" w:tplc="5370692A">
      <w:numFmt w:val="decimal"/>
      <w:lvlText w:val=""/>
      <w:lvlJc w:val="left"/>
    </w:lvl>
    <w:lvl w:ilvl="6" w:tplc="E46CC7E0">
      <w:numFmt w:val="decimal"/>
      <w:lvlText w:val=""/>
      <w:lvlJc w:val="left"/>
    </w:lvl>
    <w:lvl w:ilvl="7" w:tplc="53A675F6">
      <w:numFmt w:val="decimal"/>
      <w:lvlText w:val=""/>
      <w:lvlJc w:val="left"/>
    </w:lvl>
    <w:lvl w:ilvl="8" w:tplc="C18CAD5E">
      <w:numFmt w:val="decimal"/>
      <w:lvlText w:val=""/>
      <w:lvlJc w:val="left"/>
    </w:lvl>
  </w:abstractNum>
  <w:abstractNum w:abstractNumId="1126" w15:restartNumberingAfterBreak="0">
    <w:nsid w:val="74CD346E"/>
    <w:multiLevelType w:val="hybridMultilevel"/>
    <w:tmpl w:val="31D04D1E"/>
    <w:lvl w:ilvl="0" w:tplc="CB947A86">
      <w:numFmt w:val="decimal"/>
      <w:lvlText w:val=""/>
      <w:lvlJc w:val="left"/>
    </w:lvl>
    <w:lvl w:ilvl="1" w:tplc="FE688E7C">
      <w:start w:val="1"/>
      <w:numFmt w:val="bullet"/>
      <w:lvlText w:val=""/>
      <w:lvlJc w:val="left"/>
      <w:pPr>
        <w:ind w:left="1440" w:hanging="180"/>
      </w:pPr>
      <w:rPr>
        <w:rFonts w:ascii="Symbol" w:hAnsi="Symbol" w:hint="default"/>
      </w:rPr>
    </w:lvl>
    <w:lvl w:ilvl="2" w:tplc="9C667858">
      <w:numFmt w:val="decimal"/>
      <w:lvlText w:val=""/>
      <w:lvlJc w:val="left"/>
    </w:lvl>
    <w:lvl w:ilvl="3" w:tplc="6B9EE43C">
      <w:numFmt w:val="decimal"/>
      <w:lvlText w:val=""/>
      <w:lvlJc w:val="left"/>
    </w:lvl>
    <w:lvl w:ilvl="4" w:tplc="63C60502">
      <w:numFmt w:val="decimal"/>
      <w:lvlText w:val=""/>
      <w:lvlJc w:val="left"/>
    </w:lvl>
    <w:lvl w:ilvl="5" w:tplc="9A52B6E2">
      <w:numFmt w:val="decimal"/>
      <w:lvlText w:val=""/>
      <w:lvlJc w:val="left"/>
    </w:lvl>
    <w:lvl w:ilvl="6" w:tplc="A7945F3C">
      <w:numFmt w:val="decimal"/>
      <w:lvlText w:val=""/>
      <w:lvlJc w:val="left"/>
    </w:lvl>
    <w:lvl w:ilvl="7" w:tplc="FFDEA67E">
      <w:numFmt w:val="decimal"/>
      <w:lvlText w:val=""/>
      <w:lvlJc w:val="left"/>
    </w:lvl>
    <w:lvl w:ilvl="8" w:tplc="B1DAAF60">
      <w:numFmt w:val="decimal"/>
      <w:lvlText w:val=""/>
      <w:lvlJc w:val="left"/>
    </w:lvl>
  </w:abstractNum>
  <w:abstractNum w:abstractNumId="1127" w15:restartNumberingAfterBreak="0">
    <w:nsid w:val="74F812CA"/>
    <w:multiLevelType w:val="hybridMultilevel"/>
    <w:tmpl w:val="2904EEC2"/>
    <w:lvl w:ilvl="0" w:tplc="39EED2C4">
      <w:start w:val="1"/>
      <w:numFmt w:val="bullet"/>
      <w:lvlText w:val=""/>
      <w:lvlJc w:val="left"/>
      <w:pPr>
        <w:ind w:left="720" w:hanging="180"/>
      </w:pPr>
      <w:rPr>
        <w:rFonts w:ascii="Symbol" w:hAnsi="Symbol" w:hint="default"/>
      </w:rPr>
    </w:lvl>
    <w:lvl w:ilvl="1" w:tplc="3EEAE16A">
      <w:numFmt w:val="decimal"/>
      <w:lvlText w:val=""/>
      <w:lvlJc w:val="left"/>
    </w:lvl>
    <w:lvl w:ilvl="2" w:tplc="395E2822">
      <w:numFmt w:val="decimal"/>
      <w:lvlText w:val=""/>
      <w:lvlJc w:val="left"/>
    </w:lvl>
    <w:lvl w:ilvl="3" w:tplc="2D1AB86E">
      <w:numFmt w:val="decimal"/>
      <w:lvlText w:val=""/>
      <w:lvlJc w:val="left"/>
    </w:lvl>
    <w:lvl w:ilvl="4" w:tplc="E5DCDBA4">
      <w:numFmt w:val="decimal"/>
      <w:lvlText w:val=""/>
      <w:lvlJc w:val="left"/>
    </w:lvl>
    <w:lvl w:ilvl="5" w:tplc="B7C46670">
      <w:numFmt w:val="decimal"/>
      <w:lvlText w:val=""/>
      <w:lvlJc w:val="left"/>
    </w:lvl>
    <w:lvl w:ilvl="6" w:tplc="6024AC3A">
      <w:numFmt w:val="decimal"/>
      <w:lvlText w:val=""/>
      <w:lvlJc w:val="left"/>
    </w:lvl>
    <w:lvl w:ilvl="7" w:tplc="D5825E70">
      <w:numFmt w:val="decimal"/>
      <w:lvlText w:val=""/>
      <w:lvlJc w:val="left"/>
    </w:lvl>
    <w:lvl w:ilvl="8" w:tplc="8B24737A">
      <w:numFmt w:val="decimal"/>
      <w:lvlText w:val=""/>
      <w:lvlJc w:val="left"/>
    </w:lvl>
  </w:abstractNum>
  <w:abstractNum w:abstractNumId="1128" w15:restartNumberingAfterBreak="0">
    <w:nsid w:val="7519184D"/>
    <w:multiLevelType w:val="hybridMultilevel"/>
    <w:tmpl w:val="FF448240"/>
    <w:lvl w:ilvl="0" w:tplc="3438A95A">
      <w:start w:val="1"/>
      <w:numFmt w:val="bullet"/>
      <w:lvlText w:val=""/>
      <w:lvlJc w:val="left"/>
      <w:pPr>
        <w:ind w:left="720" w:hanging="180"/>
      </w:pPr>
      <w:rPr>
        <w:rFonts w:ascii="Symbol" w:hAnsi="Symbol" w:hint="default"/>
      </w:rPr>
    </w:lvl>
    <w:lvl w:ilvl="1" w:tplc="51D4C93E">
      <w:numFmt w:val="decimal"/>
      <w:lvlText w:val=""/>
      <w:lvlJc w:val="left"/>
    </w:lvl>
    <w:lvl w:ilvl="2" w:tplc="D12ACB8C">
      <w:numFmt w:val="decimal"/>
      <w:lvlText w:val=""/>
      <w:lvlJc w:val="left"/>
    </w:lvl>
    <w:lvl w:ilvl="3" w:tplc="32881374">
      <w:numFmt w:val="decimal"/>
      <w:lvlText w:val=""/>
      <w:lvlJc w:val="left"/>
    </w:lvl>
    <w:lvl w:ilvl="4" w:tplc="97460040">
      <w:numFmt w:val="decimal"/>
      <w:lvlText w:val=""/>
      <w:lvlJc w:val="left"/>
    </w:lvl>
    <w:lvl w:ilvl="5" w:tplc="EB803482">
      <w:numFmt w:val="decimal"/>
      <w:lvlText w:val=""/>
      <w:lvlJc w:val="left"/>
    </w:lvl>
    <w:lvl w:ilvl="6" w:tplc="CB90E882">
      <w:numFmt w:val="decimal"/>
      <w:lvlText w:val=""/>
      <w:lvlJc w:val="left"/>
    </w:lvl>
    <w:lvl w:ilvl="7" w:tplc="7528E684">
      <w:numFmt w:val="decimal"/>
      <w:lvlText w:val=""/>
      <w:lvlJc w:val="left"/>
    </w:lvl>
    <w:lvl w:ilvl="8" w:tplc="EB00EF2E">
      <w:numFmt w:val="decimal"/>
      <w:lvlText w:val=""/>
      <w:lvlJc w:val="left"/>
    </w:lvl>
  </w:abstractNum>
  <w:abstractNum w:abstractNumId="1129" w15:restartNumberingAfterBreak="0">
    <w:nsid w:val="751E5478"/>
    <w:multiLevelType w:val="hybridMultilevel"/>
    <w:tmpl w:val="76B6A5D4"/>
    <w:lvl w:ilvl="0" w:tplc="599ACC7A">
      <w:start w:val="1"/>
      <w:numFmt w:val="bullet"/>
      <w:lvlText w:val=""/>
      <w:lvlJc w:val="left"/>
      <w:pPr>
        <w:ind w:left="720" w:hanging="180"/>
      </w:pPr>
      <w:rPr>
        <w:rFonts w:ascii="Symbol" w:hAnsi="Symbol" w:hint="default"/>
      </w:rPr>
    </w:lvl>
    <w:lvl w:ilvl="1" w:tplc="F9BC31FE">
      <w:numFmt w:val="decimal"/>
      <w:lvlText w:val=""/>
      <w:lvlJc w:val="left"/>
    </w:lvl>
    <w:lvl w:ilvl="2" w:tplc="5AE09EEE">
      <w:numFmt w:val="decimal"/>
      <w:lvlText w:val=""/>
      <w:lvlJc w:val="left"/>
    </w:lvl>
    <w:lvl w:ilvl="3" w:tplc="B6A697BC">
      <w:numFmt w:val="decimal"/>
      <w:lvlText w:val=""/>
      <w:lvlJc w:val="left"/>
    </w:lvl>
    <w:lvl w:ilvl="4" w:tplc="9F1803CA">
      <w:numFmt w:val="decimal"/>
      <w:lvlText w:val=""/>
      <w:lvlJc w:val="left"/>
    </w:lvl>
    <w:lvl w:ilvl="5" w:tplc="DD7A25DE">
      <w:numFmt w:val="decimal"/>
      <w:lvlText w:val=""/>
      <w:lvlJc w:val="left"/>
    </w:lvl>
    <w:lvl w:ilvl="6" w:tplc="3180543E">
      <w:numFmt w:val="decimal"/>
      <w:lvlText w:val=""/>
      <w:lvlJc w:val="left"/>
    </w:lvl>
    <w:lvl w:ilvl="7" w:tplc="364A15BE">
      <w:numFmt w:val="decimal"/>
      <w:lvlText w:val=""/>
      <w:lvlJc w:val="left"/>
    </w:lvl>
    <w:lvl w:ilvl="8" w:tplc="8990CE92">
      <w:numFmt w:val="decimal"/>
      <w:lvlText w:val=""/>
      <w:lvlJc w:val="left"/>
    </w:lvl>
  </w:abstractNum>
  <w:abstractNum w:abstractNumId="1130" w15:restartNumberingAfterBreak="0">
    <w:nsid w:val="755B7DDF"/>
    <w:multiLevelType w:val="hybridMultilevel"/>
    <w:tmpl w:val="4BC660B0"/>
    <w:lvl w:ilvl="0" w:tplc="A30EF4AC">
      <w:start w:val="1"/>
      <w:numFmt w:val="bullet"/>
      <w:lvlText w:val=""/>
      <w:lvlJc w:val="left"/>
      <w:pPr>
        <w:ind w:left="720" w:hanging="180"/>
      </w:pPr>
      <w:rPr>
        <w:rFonts w:ascii="Symbol" w:hAnsi="Symbol" w:hint="default"/>
      </w:rPr>
    </w:lvl>
    <w:lvl w:ilvl="1" w:tplc="2C02A166">
      <w:numFmt w:val="decimal"/>
      <w:lvlText w:val=""/>
      <w:lvlJc w:val="left"/>
    </w:lvl>
    <w:lvl w:ilvl="2" w:tplc="63960804">
      <w:numFmt w:val="decimal"/>
      <w:lvlText w:val=""/>
      <w:lvlJc w:val="left"/>
    </w:lvl>
    <w:lvl w:ilvl="3" w:tplc="C082DED0">
      <w:numFmt w:val="decimal"/>
      <w:lvlText w:val=""/>
      <w:lvlJc w:val="left"/>
    </w:lvl>
    <w:lvl w:ilvl="4" w:tplc="570255CC">
      <w:numFmt w:val="decimal"/>
      <w:lvlText w:val=""/>
      <w:lvlJc w:val="left"/>
    </w:lvl>
    <w:lvl w:ilvl="5" w:tplc="E458C07A">
      <w:numFmt w:val="decimal"/>
      <w:lvlText w:val=""/>
      <w:lvlJc w:val="left"/>
    </w:lvl>
    <w:lvl w:ilvl="6" w:tplc="BD70F326">
      <w:numFmt w:val="decimal"/>
      <w:lvlText w:val=""/>
      <w:lvlJc w:val="left"/>
    </w:lvl>
    <w:lvl w:ilvl="7" w:tplc="9D0A365E">
      <w:numFmt w:val="decimal"/>
      <w:lvlText w:val=""/>
      <w:lvlJc w:val="left"/>
    </w:lvl>
    <w:lvl w:ilvl="8" w:tplc="3C0616DA">
      <w:numFmt w:val="decimal"/>
      <w:lvlText w:val=""/>
      <w:lvlJc w:val="left"/>
    </w:lvl>
  </w:abstractNum>
  <w:abstractNum w:abstractNumId="1131" w15:restartNumberingAfterBreak="0">
    <w:nsid w:val="7593594B"/>
    <w:multiLevelType w:val="hybridMultilevel"/>
    <w:tmpl w:val="B704C868"/>
    <w:lvl w:ilvl="0" w:tplc="D452D15C">
      <w:start w:val="1"/>
      <w:numFmt w:val="bullet"/>
      <w:lvlText w:val=""/>
      <w:lvlJc w:val="left"/>
      <w:pPr>
        <w:ind w:left="720" w:hanging="180"/>
      </w:pPr>
      <w:rPr>
        <w:rFonts w:ascii="Symbol" w:hAnsi="Symbol" w:hint="default"/>
      </w:rPr>
    </w:lvl>
    <w:lvl w:ilvl="1" w:tplc="342CD144">
      <w:numFmt w:val="decimal"/>
      <w:lvlText w:val=""/>
      <w:lvlJc w:val="left"/>
    </w:lvl>
    <w:lvl w:ilvl="2" w:tplc="B82CF54E">
      <w:numFmt w:val="decimal"/>
      <w:lvlText w:val=""/>
      <w:lvlJc w:val="left"/>
    </w:lvl>
    <w:lvl w:ilvl="3" w:tplc="44F26AC2">
      <w:numFmt w:val="decimal"/>
      <w:lvlText w:val=""/>
      <w:lvlJc w:val="left"/>
    </w:lvl>
    <w:lvl w:ilvl="4" w:tplc="08A0202A">
      <w:numFmt w:val="decimal"/>
      <w:lvlText w:val=""/>
      <w:lvlJc w:val="left"/>
    </w:lvl>
    <w:lvl w:ilvl="5" w:tplc="576669A0">
      <w:numFmt w:val="decimal"/>
      <w:lvlText w:val=""/>
      <w:lvlJc w:val="left"/>
    </w:lvl>
    <w:lvl w:ilvl="6" w:tplc="A1361D82">
      <w:numFmt w:val="decimal"/>
      <w:lvlText w:val=""/>
      <w:lvlJc w:val="left"/>
    </w:lvl>
    <w:lvl w:ilvl="7" w:tplc="54CC6A84">
      <w:numFmt w:val="decimal"/>
      <w:lvlText w:val=""/>
      <w:lvlJc w:val="left"/>
    </w:lvl>
    <w:lvl w:ilvl="8" w:tplc="B0B0C9C6">
      <w:numFmt w:val="decimal"/>
      <w:lvlText w:val=""/>
      <w:lvlJc w:val="left"/>
    </w:lvl>
  </w:abstractNum>
  <w:abstractNum w:abstractNumId="1132" w15:restartNumberingAfterBreak="0">
    <w:nsid w:val="75A16E70"/>
    <w:multiLevelType w:val="hybridMultilevel"/>
    <w:tmpl w:val="FFD08D58"/>
    <w:lvl w:ilvl="0" w:tplc="F28C76CE">
      <w:start w:val="1"/>
      <w:numFmt w:val="bullet"/>
      <w:lvlText w:val=""/>
      <w:lvlJc w:val="left"/>
      <w:pPr>
        <w:ind w:left="720" w:hanging="180"/>
      </w:pPr>
      <w:rPr>
        <w:rFonts w:ascii="Symbol" w:hAnsi="Symbol" w:hint="default"/>
      </w:rPr>
    </w:lvl>
    <w:lvl w:ilvl="1" w:tplc="1C1E1B58">
      <w:numFmt w:val="decimal"/>
      <w:lvlText w:val=""/>
      <w:lvlJc w:val="left"/>
    </w:lvl>
    <w:lvl w:ilvl="2" w:tplc="617E7BA6">
      <w:numFmt w:val="decimal"/>
      <w:lvlText w:val=""/>
      <w:lvlJc w:val="left"/>
    </w:lvl>
    <w:lvl w:ilvl="3" w:tplc="370AC90A">
      <w:numFmt w:val="decimal"/>
      <w:lvlText w:val=""/>
      <w:lvlJc w:val="left"/>
    </w:lvl>
    <w:lvl w:ilvl="4" w:tplc="04B4CA08">
      <w:numFmt w:val="decimal"/>
      <w:lvlText w:val=""/>
      <w:lvlJc w:val="left"/>
    </w:lvl>
    <w:lvl w:ilvl="5" w:tplc="2C9A8F80">
      <w:numFmt w:val="decimal"/>
      <w:lvlText w:val=""/>
      <w:lvlJc w:val="left"/>
    </w:lvl>
    <w:lvl w:ilvl="6" w:tplc="9DEE5A8C">
      <w:numFmt w:val="decimal"/>
      <w:lvlText w:val=""/>
      <w:lvlJc w:val="left"/>
    </w:lvl>
    <w:lvl w:ilvl="7" w:tplc="0C1CDE92">
      <w:numFmt w:val="decimal"/>
      <w:lvlText w:val=""/>
      <w:lvlJc w:val="left"/>
    </w:lvl>
    <w:lvl w:ilvl="8" w:tplc="4972F75A">
      <w:numFmt w:val="decimal"/>
      <w:lvlText w:val=""/>
      <w:lvlJc w:val="left"/>
    </w:lvl>
  </w:abstractNum>
  <w:abstractNum w:abstractNumId="1133" w15:restartNumberingAfterBreak="0">
    <w:nsid w:val="75BF728A"/>
    <w:multiLevelType w:val="hybridMultilevel"/>
    <w:tmpl w:val="F2E6E91C"/>
    <w:lvl w:ilvl="0" w:tplc="8640D4AE">
      <w:start w:val="1"/>
      <w:numFmt w:val="bullet"/>
      <w:lvlText w:val=""/>
      <w:lvlJc w:val="left"/>
      <w:pPr>
        <w:ind w:left="720" w:hanging="180"/>
      </w:pPr>
      <w:rPr>
        <w:rFonts w:ascii="Symbol" w:hAnsi="Symbol" w:hint="default"/>
      </w:rPr>
    </w:lvl>
    <w:lvl w:ilvl="1" w:tplc="C5749316">
      <w:numFmt w:val="decimal"/>
      <w:lvlText w:val=""/>
      <w:lvlJc w:val="left"/>
    </w:lvl>
    <w:lvl w:ilvl="2" w:tplc="35E02368">
      <w:numFmt w:val="decimal"/>
      <w:lvlText w:val=""/>
      <w:lvlJc w:val="left"/>
    </w:lvl>
    <w:lvl w:ilvl="3" w:tplc="C04011CC">
      <w:numFmt w:val="decimal"/>
      <w:lvlText w:val=""/>
      <w:lvlJc w:val="left"/>
    </w:lvl>
    <w:lvl w:ilvl="4" w:tplc="2092E44E">
      <w:numFmt w:val="decimal"/>
      <w:lvlText w:val=""/>
      <w:lvlJc w:val="left"/>
    </w:lvl>
    <w:lvl w:ilvl="5" w:tplc="3CAE71AE">
      <w:numFmt w:val="decimal"/>
      <w:lvlText w:val=""/>
      <w:lvlJc w:val="left"/>
    </w:lvl>
    <w:lvl w:ilvl="6" w:tplc="83C6D10E">
      <w:numFmt w:val="decimal"/>
      <w:lvlText w:val=""/>
      <w:lvlJc w:val="left"/>
    </w:lvl>
    <w:lvl w:ilvl="7" w:tplc="BDE6D5AA">
      <w:numFmt w:val="decimal"/>
      <w:lvlText w:val=""/>
      <w:lvlJc w:val="left"/>
    </w:lvl>
    <w:lvl w:ilvl="8" w:tplc="7E981AA8">
      <w:numFmt w:val="decimal"/>
      <w:lvlText w:val=""/>
      <w:lvlJc w:val="left"/>
    </w:lvl>
  </w:abstractNum>
  <w:abstractNum w:abstractNumId="1134" w15:restartNumberingAfterBreak="0">
    <w:nsid w:val="75E80B1C"/>
    <w:multiLevelType w:val="hybridMultilevel"/>
    <w:tmpl w:val="B6DE1994"/>
    <w:lvl w:ilvl="0" w:tplc="ADB80C48">
      <w:start w:val="1"/>
      <w:numFmt w:val="bullet"/>
      <w:lvlText w:val=""/>
      <w:lvlJc w:val="left"/>
      <w:pPr>
        <w:ind w:left="720" w:hanging="180"/>
      </w:pPr>
      <w:rPr>
        <w:rFonts w:ascii="Symbol" w:hAnsi="Symbol" w:hint="default"/>
      </w:rPr>
    </w:lvl>
    <w:lvl w:ilvl="1" w:tplc="8B3C1EFA">
      <w:numFmt w:val="decimal"/>
      <w:lvlText w:val=""/>
      <w:lvlJc w:val="left"/>
    </w:lvl>
    <w:lvl w:ilvl="2" w:tplc="A7C4817C">
      <w:numFmt w:val="decimal"/>
      <w:lvlText w:val=""/>
      <w:lvlJc w:val="left"/>
    </w:lvl>
    <w:lvl w:ilvl="3" w:tplc="16B22F2C">
      <w:numFmt w:val="decimal"/>
      <w:lvlText w:val=""/>
      <w:lvlJc w:val="left"/>
    </w:lvl>
    <w:lvl w:ilvl="4" w:tplc="2EFA8158">
      <w:numFmt w:val="decimal"/>
      <w:lvlText w:val=""/>
      <w:lvlJc w:val="left"/>
    </w:lvl>
    <w:lvl w:ilvl="5" w:tplc="B6881E34">
      <w:numFmt w:val="decimal"/>
      <w:lvlText w:val=""/>
      <w:lvlJc w:val="left"/>
    </w:lvl>
    <w:lvl w:ilvl="6" w:tplc="FBEC1F2E">
      <w:numFmt w:val="decimal"/>
      <w:lvlText w:val=""/>
      <w:lvlJc w:val="left"/>
    </w:lvl>
    <w:lvl w:ilvl="7" w:tplc="9E906B38">
      <w:numFmt w:val="decimal"/>
      <w:lvlText w:val=""/>
      <w:lvlJc w:val="left"/>
    </w:lvl>
    <w:lvl w:ilvl="8" w:tplc="D8A01D98">
      <w:numFmt w:val="decimal"/>
      <w:lvlText w:val=""/>
      <w:lvlJc w:val="left"/>
    </w:lvl>
  </w:abstractNum>
  <w:abstractNum w:abstractNumId="1135" w15:restartNumberingAfterBreak="0">
    <w:nsid w:val="75F628AE"/>
    <w:multiLevelType w:val="hybridMultilevel"/>
    <w:tmpl w:val="BADE6F34"/>
    <w:lvl w:ilvl="0" w:tplc="96805592">
      <w:start w:val="1"/>
      <w:numFmt w:val="bullet"/>
      <w:lvlText w:val=""/>
      <w:lvlJc w:val="left"/>
      <w:pPr>
        <w:ind w:left="720" w:hanging="180"/>
      </w:pPr>
      <w:rPr>
        <w:rFonts w:ascii="Symbol" w:hAnsi="Symbol" w:hint="default"/>
      </w:rPr>
    </w:lvl>
    <w:lvl w:ilvl="1" w:tplc="4EB4D58A">
      <w:numFmt w:val="decimal"/>
      <w:lvlText w:val=""/>
      <w:lvlJc w:val="left"/>
    </w:lvl>
    <w:lvl w:ilvl="2" w:tplc="948E9A52">
      <w:numFmt w:val="decimal"/>
      <w:lvlText w:val=""/>
      <w:lvlJc w:val="left"/>
    </w:lvl>
    <w:lvl w:ilvl="3" w:tplc="EBC68A3A">
      <w:numFmt w:val="decimal"/>
      <w:lvlText w:val=""/>
      <w:lvlJc w:val="left"/>
    </w:lvl>
    <w:lvl w:ilvl="4" w:tplc="497C7B96">
      <w:numFmt w:val="decimal"/>
      <w:lvlText w:val=""/>
      <w:lvlJc w:val="left"/>
    </w:lvl>
    <w:lvl w:ilvl="5" w:tplc="ABB6D41A">
      <w:numFmt w:val="decimal"/>
      <w:lvlText w:val=""/>
      <w:lvlJc w:val="left"/>
    </w:lvl>
    <w:lvl w:ilvl="6" w:tplc="8F9CE948">
      <w:numFmt w:val="decimal"/>
      <w:lvlText w:val=""/>
      <w:lvlJc w:val="left"/>
    </w:lvl>
    <w:lvl w:ilvl="7" w:tplc="F4D8A454">
      <w:numFmt w:val="decimal"/>
      <w:lvlText w:val=""/>
      <w:lvlJc w:val="left"/>
    </w:lvl>
    <w:lvl w:ilvl="8" w:tplc="D1C02F06">
      <w:numFmt w:val="decimal"/>
      <w:lvlText w:val=""/>
      <w:lvlJc w:val="left"/>
    </w:lvl>
  </w:abstractNum>
  <w:abstractNum w:abstractNumId="1136" w15:restartNumberingAfterBreak="0">
    <w:nsid w:val="76155C79"/>
    <w:multiLevelType w:val="hybridMultilevel"/>
    <w:tmpl w:val="B3AA2B9C"/>
    <w:lvl w:ilvl="0" w:tplc="4A90F8D4">
      <w:start w:val="1"/>
      <w:numFmt w:val="bullet"/>
      <w:lvlText w:val=""/>
      <w:lvlJc w:val="left"/>
      <w:pPr>
        <w:ind w:left="720" w:hanging="180"/>
      </w:pPr>
      <w:rPr>
        <w:rFonts w:ascii="Symbol" w:hAnsi="Symbol" w:hint="default"/>
      </w:rPr>
    </w:lvl>
    <w:lvl w:ilvl="1" w:tplc="749054DE">
      <w:numFmt w:val="decimal"/>
      <w:lvlText w:val=""/>
      <w:lvlJc w:val="left"/>
    </w:lvl>
    <w:lvl w:ilvl="2" w:tplc="4912A648">
      <w:numFmt w:val="decimal"/>
      <w:lvlText w:val=""/>
      <w:lvlJc w:val="left"/>
    </w:lvl>
    <w:lvl w:ilvl="3" w:tplc="A05A49B4">
      <w:numFmt w:val="decimal"/>
      <w:lvlText w:val=""/>
      <w:lvlJc w:val="left"/>
    </w:lvl>
    <w:lvl w:ilvl="4" w:tplc="055E285C">
      <w:numFmt w:val="decimal"/>
      <w:lvlText w:val=""/>
      <w:lvlJc w:val="left"/>
    </w:lvl>
    <w:lvl w:ilvl="5" w:tplc="ACAE1E6E">
      <w:numFmt w:val="decimal"/>
      <w:lvlText w:val=""/>
      <w:lvlJc w:val="left"/>
    </w:lvl>
    <w:lvl w:ilvl="6" w:tplc="AA6A1F60">
      <w:numFmt w:val="decimal"/>
      <w:lvlText w:val=""/>
      <w:lvlJc w:val="left"/>
    </w:lvl>
    <w:lvl w:ilvl="7" w:tplc="2514D6E4">
      <w:numFmt w:val="decimal"/>
      <w:lvlText w:val=""/>
      <w:lvlJc w:val="left"/>
    </w:lvl>
    <w:lvl w:ilvl="8" w:tplc="89086342">
      <w:numFmt w:val="decimal"/>
      <w:lvlText w:val=""/>
      <w:lvlJc w:val="left"/>
    </w:lvl>
  </w:abstractNum>
  <w:abstractNum w:abstractNumId="1137" w15:restartNumberingAfterBreak="0">
    <w:nsid w:val="763225EF"/>
    <w:multiLevelType w:val="hybridMultilevel"/>
    <w:tmpl w:val="F7926740"/>
    <w:lvl w:ilvl="0" w:tplc="81D07760">
      <w:start w:val="1"/>
      <w:numFmt w:val="bullet"/>
      <w:lvlText w:val=""/>
      <w:lvlJc w:val="left"/>
      <w:pPr>
        <w:ind w:left="720" w:hanging="180"/>
      </w:pPr>
      <w:rPr>
        <w:rFonts w:ascii="Symbol" w:hAnsi="Symbol" w:hint="default"/>
      </w:rPr>
    </w:lvl>
    <w:lvl w:ilvl="1" w:tplc="11961EF2">
      <w:numFmt w:val="decimal"/>
      <w:lvlText w:val=""/>
      <w:lvlJc w:val="left"/>
    </w:lvl>
    <w:lvl w:ilvl="2" w:tplc="953A489C">
      <w:numFmt w:val="decimal"/>
      <w:lvlText w:val=""/>
      <w:lvlJc w:val="left"/>
    </w:lvl>
    <w:lvl w:ilvl="3" w:tplc="0486CB02">
      <w:numFmt w:val="decimal"/>
      <w:lvlText w:val=""/>
      <w:lvlJc w:val="left"/>
    </w:lvl>
    <w:lvl w:ilvl="4" w:tplc="86FE2DDA">
      <w:numFmt w:val="decimal"/>
      <w:lvlText w:val=""/>
      <w:lvlJc w:val="left"/>
    </w:lvl>
    <w:lvl w:ilvl="5" w:tplc="944C92B2">
      <w:numFmt w:val="decimal"/>
      <w:lvlText w:val=""/>
      <w:lvlJc w:val="left"/>
    </w:lvl>
    <w:lvl w:ilvl="6" w:tplc="2C6ED2EA">
      <w:numFmt w:val="decimal"/>
      <w:lvlText w:val=""/>
      <w:lvlJc w:val="left"/>
    </w:lvl>
    <w:lvl w:ilvl="7" w:tplc="F2C2B0DE">
      <w:numFmt w:val="decimal"/>
      <w:lvlText w:val=""/>
      <w:lvlJc w:val="left"/>
    </w:lvl>
    <w:lvl w:ilvl="8" w:tplc="B234E7B4">
      <w:numFmt w:val="decimal"/>
      <w:lvlText w:val=""/>
      <w:lvlJc w:val="left"/>
    </w:lvl>
  </w:abstractNum>
  <w:abstractNum w:abstractNumId="1138" w15:restartNumberingAfterBreak="0">
    <w:nsid w:val="76347D72"/>
    <w:multiLevelType w:val="hybridMultilevel"/>
    <w:tmpl w:val="A8DA4AC6"/>
    <w:lvl w:ilvl="0" w:tplc="23B2D0C8">
      <w:start w:val="1"/>
      <w:numFmt w:val="bullet"/>
      <w:lvlText w:val=""/>
      <w:lvlJc w:val="left"/>
      <w:pPr>
        <w:ind w:left="720" w:hanging="180"/>
      </w:pPr>
      <w:rPr>
        <w:rFonts w:ascii="Symbol" w:hAnsi="Symbol" w:hint="default"/>
      </w:rPr>
    </w:lvl>
    <w:lvl w:ilvl="1" w:tplc="40380028">
      <w:numFmt w:val="decimal"/>
      <w:lvlText w:val=""/>
      <w:lvlJc w:val="left"/>
    </w:lvl>
    <w:lvl w:ilvl="2" w:tplc="41C22D8C">
      <w:numFmt w:val="decimal"/>
      <w:lvlText w:val=""/>
      <w:lvlJc w:val="left"/>
    </w:lvl>
    <w:lvl w:ilvl="3" w:tplc="D29640AC">
      <w:numFmt w:val="decimal"/>
      <w:lvlText w:val=""/>
      <w:lvlJc w:val="left"/>
    </w:lvl>
    <w:lvl w:ilvl="4" w:tplc="7AA45832">
      <w:numFmt w:val="decimal"/>
      <w:lvlText w:val=""/>
      <w:lvlJc w:val="left"/>
    </w:lvl>
    <w:lvl w:ilvl="5" w:tplc="FC7A9092">
      <w:numFmt w:val="decimal"/>
      <w:lvlText w:val=""/>
      <w:lvlJc w:val="left"/>
    </w:lvl>
    <w:lvl w:ilvl="6" w:tplc="AE30F98A">
      <w:numFmt w:val="decimal"/>
      <w:lvlText w:val=""/>
      <w:lvlJc w:val="left"/>
    </w:lvl>
    <w:lvl w:ilvl="7" w:tplc="ACFEFE6C">
      <w:numFmt w:val="decimal"/>
      <w:lvlText w:val=""/>
      <w:lvlJc w:val="left"/>
    </w:lvl>
    <w:lvl w:ilvl="8" w:tplc="142C259C">
      <w:numFmt w:val="decimal"/>
      <w:lvlText w:val=""/>
      <w:lvlJc w:val="left"/>
    </w:lvl>
  </w:abstractNum>
  <w:abstractNum w:abstractNumId="1139" w15:restartNumberingAfterBreak="0">
    <w:nsid w:val="76700A60"/>
    <w:multiLevelType w:val="hybridMultilevel"/>
    <w:tmpl w:val="87CC453E"/>
    <w:lvl w:ilvl="0" w:tplc="D3588A40">
      <w:start w:val="1"/>
      <w:numFmt w:val="bullet"/>
      <w:lvlText w:val=""/>
      <w:lvlJc w:val="left"/>
      <w:pPr>
        <w:ind w:left="720" w:hanging="180"/>
      </w:pPr>
      <w:rPr>
        <w:rFonts w:ascii="Symbol" w:hAnsi="Symbol" w:hint="default"/>
      </w:rPr>
    </w:lvl>
    <w:lvl w:ilvl="1" w:tplc="3A16EEE4">
      <w:numFmt w:val="decimal"/>
      <w:lvlText w:val=""/>
      <w:lvlJc w:val="left"/>
    </w:lvl>
    <w:lvl w:ilvl="2" w:tplc="594644FE">
      <w:numFmt w:val="decimal"/>
      <w:lvlText w:val=""/>
      <w:lvlJc w:val="left"/>
    </w:lvl>
    <w:lvl w:ilvl="3" w:tplc="2084C67C">
      <w:numFmt w:val="decimal"/>
      <w:lvlText w:val=""/>
      <w:lvlJc w:val="left"/>
    </w:lvl>
    <w:lvl w:ilvl="4" w:tplc="1A848E7C">
      <w:numFmt w:val="decimal"/>
      <w:lvlText w:val=""/>
      <w:lvlJc w:val="left"/>
    </w:lvl>
    <w:lvl w:ilvl="5" w:tplc="D2325032">
      <w:numFmt w:val="decimal"/>
      <w:lvlText w:val=""/>
      <w:lvlJc w:val="left"/>
    </w:lvl>
    <w:lvl w:ilvl="6" w:tplc="1068DFEE">
      <w:numFmt w:val="decimal"/>
      <w:lvlText w:val=""/>
      <w:lvlJc w:val="left"/>
    </w:lvl>
    <w:lvl w:ilvl="7" w:tplc="62A829FA">
      <w:numFmt w:val="decimal"/>
      <w:lvlText w:val=""/>
      <w:lvlJc w:val="left"/>
    </w:lvl>
    <w:lvl w:ilvl="8" w:tplc="DDA6E186">
      <w:numFmt w:val="decimal"/>
      <w:lvlText w:val=""/>
      <w:lvlJc w:val="left"/>
    </w:lvl>
  </w:abstractNum>
  <w:abstractNum w:abstractNumId="1140" w15:restartNumberingAfterBreak="0">
    <w:nsid w:val="768760AC"/>
    <w:multiLevelType w:val="hybridMultilevel"/>
    <w:tmpl w:val="DAE07C3E"/>
    <w:lvl w:ilvl="0" w:tplc="E96EC59C">
      <w:start w:val="1"/>
      <w:numFmt w:val="bullet"/>
      <w:lvlText w:val=""/>
      <w:lvlJc w:val="left"/>
      <w:pPr>
        <w:ind w:left="720" w:hanging="180"/>
      </w:pPr>
      <w:rPr>
        <w:rFonts w:ascii="Symbol" w:hAnsi="Symbol" w:hint="default"/>
      </w:rPr>
    </w:lvl>
    <w:lvl w:ilvl="1" w:tplc="9CF620C8">
      <w:numFmt w:val="decimal"/>
      <w:lvlText w:val=""/>
      <w:lvlJc w:val="left"/>
    </w:lvl>
    <w:lvl w:ilvl="2" w:tplc="F4A624DE">
      <w:numFmt w:val="decimal"/>
      <w:lvlText w:val=""/>
      <w:lvlJc w:val="left"/>
    </w:lvl>
    <w:lvl w:ilvl="3" w:tplc="D312F458">
      <w:numFmt w:val="decimal"/>
      <w:lvlText w:val=""/>
      <w:lvlJc w:val="left"/>
    </w:lvl>
    <w:lvl w:ilvl="4" w:tplc="5832F15C">
      <w:numFmt w:val="decimal"/>
      <w:lvlText w:val=""/>
      <w:lvlJc w:val="left"/>
    </w:lvl>
    <w:lvl w:ilvl="5" w:tplc="F4840762">
      <w:numFmt w:val="decimal"/>
      <w:lvlText w:val=""/>
      <w:lvlJc w:val="left"/>
    </w:lvl>
    <w:lvl w:ilvl="6" w:tplc="BC3E2CDE">
      <w:numFmt w:val="decimal"/>
      <w:lvlText w:val=""/>
      <w:lvlJc w:val="left"/>
    </w:lvl>
    <w:lvl w:ilvl="7" w:tplc="B40CCBEC">
      <w:numFmt w:val="decimal"/>
      <w:lvlText w:val=""/>
      <w:lvlJc w:val="left"/>
    </w:lvl>
    <w:lvl w:ilvl="8" w:tplc="99803E6A">
      <w:numFmt w:val="decimal"/>
      <w:lvlText w:val=""/>
      <w:lvlJc w:val="left"/>
    </w:lvl>
  </w:abstractNum>
  <w:abstractNum w:abstractNumId="1141" w15:restartNumberingAfterBreak="0">
    <w:nsid w:val="76B142C7"/>
    <w:multiLevelType w:val="hybridMultilevel"/>
    <w:tmpl w:val="24064666"/>
    <w:lvl w:ilvl="0" w:tplc="18C470E8">
      <w:start w:val="1"/>
      <w:numFmt w:val="bullet"/>
      <w:lvlText w:val=""/>
      <w:lvlJc w:val="left"/>
      <w:pPr>
        <w:ind w:left="720" w:hanging="180"/>
      </w:pPr>
      <w:rPr>
        <w:rFonts w:ascii="Symbol" w:hAnsi="Symbol" w:hint="default"/>
      </w:rPr>
    </w:lvl>
    <w:lvl w:ilvl="1" w:tplc="D50A704E">
      <w:numFmt w:val="decimal"/>
      <w:lvlText w:val=""/>
      <w:lvlJc w:val="left"/>
    </w:lvl>
    <w:lvl w:ilvl="2" w:tplc="C954490A">
      <w:numFmt w:val="decimal"/>
      <w:lvlText w:val=""/>
      <w:lvlJc w:val="left"/>
    </w:lvl>
    <w:lvl w:ilvl="3" w:tplc="64625F06">
      <w:numFmt w:val="decimal"/>
      <w:lvlText w:val=""/>
      <w:lvlJc w:val="left"/>
    </w:lvl>
    <w:lvl w:ilvl="4" w:tplc="EB6626B8">
      <w:numFmt w:val="decimal"/>
      <w:lvlText w:val=""/>
      <w:lvlJc w:val="left"/>
    </w:lvl>
    <w:lvl w:ilvl="5" w:tplc="D8C6A3DE">
      <w:numFmt w:val="decimal"/>
      <w:lvlText w:val=""/>
      <w:lvlJc w:val="left"/>
    </w:lvl>
    <w:lvl w:ilvl="6" w:tplc="E89EA7F4">
      <w:numFmt w:val="decimal"/>
      <w:lvlText w:val=""/>
      <w:lvlJc w:val="left"/>
    </w:lvl>
    <w:lvl w:ilvl="7" w:tplc="F02A3A9C">
      <w:numFmt w:val="decimal"/>
      <w:lvlText w:val=""/>
      <w:lvlJc w:val="left"/>
    </w:lvl>
    <w:lvl w:ilvl="8" w:tplc="CCC2BC46">
      <w:numFmt w:val="decimal"/>
      <w:lvlText w:val=""/>
      <w:lvlJc w:val="left"/>
    </w:lvl>
  </w:abstractNum>
  <w:abstractNum w:abstractNumId="1142" w15:restartNumberingAfterBreak="0">
    <w:nsid w:val="76B669A4"/>
    <w:multiLevelType w:val="hybridMultilevel"/>
    <w:tmpl w:val="05D2B810"/>
    <w:lvl w:ilvl="0" w:tplc="DE98ED92">
      <w:start w:val="1"/>
      <w:numFmt w:val="bullet"/>
      <w:lvlText w:val=""/>
      <w:lvlJc w:val="left"/>
      <w:pPr>
        <w:ind w:left="720" w:hanging="180"/>
      </w:pPr>
      <w:rPr>
        <w:rFonts w:ascii="Symbol" w:hAnsi="Symbol" w:hint="default"/>
      </w:rPr>
    </w:lvl>
    <w:lvl w:ilvl="1" w:tplc="BB7AC346">
      <w:numFmt w:val="decimal"/>
      <w:lvlText w:val=""/>
      <w:lvlJc w:val="left"/>
    </w:lvl>
    <w:lvl w:ilvl="2" w:tplc="01DA620E">
      <w:numFmt w:val="decimal"/>
      <w:lvlText w:val=""/>
      <w:lvlJc w:val="left"/>
    </w:lvl>
    <w:lvl w:ilvl="3" w:tplc="2718270E">
      <w:numFmt w:val="decimal"/>
      <w:lvlText w:val=""/>
      <w:lvlJc w:val="left"/>
    </w:lvl>
    <w:lvl w:ilvl="4" w:tplc="B20E51D8">
      <w:numFmt w:val="decimal"/>
      <w:lvlText w:val=""/>
      <w:lvlJc w:val="left"/>
    </w:lvl>
    <w:lvl w:ilvl="5" w:tplc="384E593C">
      <w:numFmt w:val="decimal"/>
      <w:lvlText w:val=""/>
      <w:lvlJc w:val="left"/>
    </w:lvl>
    <w:lvl w:ilvl="6" w:tplc="DA5A3A74">
      <w:numFmt w:val="decimal"/>
      <w:lvlText w:val=""/>
      <w:lvlJc w:val="left"/>
    </w:lvl>
    <w:lvl w:ilvl="7" w:tplc="D706874C">
      <w:numFmt w:val="decimal"/>
      <w:lvlText w:val=""/>
      <w:lvlJc w:val="left"/>
    </w:lvl>
    <w:lvl w:ilvl="8" w:tplc="FD844E52">
      <w:numFmt w:val="decimal"/>
      <w:lvlText w:val=""/>
      <w:lvlJc w:val="left"/>
    </w:lvl>
  </w:abstractNum>
  <w:abstractNum w:abstractNumId="1143" w15:restartNumberingAfterBreak="0">
    <w:nsid w:val="76E75DF9"/>
    <w:multiLevelType w:val="hybridMultilevel"/>
    <w:tmpl w:val="B05649EE"/>
    <w:lvl w:ilvl="0" w:tplc="7C7ABDBE">
      <w:start w:val="1"/>
      <w:numFmt w:val="bullet"/>
      <w:lvlText w:val=""/>
      <w:lvlJc w:val="left"/>
      <w:pPr>
        <w:ind w:left="720" w:hanging="180"/>
      </w:pPr>
      <w:rPr>
        <w:rFonts w:ascii="Symbol" w:hAnsi="Symbol" w:hint="default"/>
      </w:rPr>
    </w:lvl>
    <w:lvl w:ilvl="1" w:tplc="D3F2653A">
      <w:numFmt w:val="decimal"/>
      <w:lvlText w:val=""/>
      <w:lvlJc w:val="left"/>
    </w:lvl>
    <w:lvl w:ilvl="2" w:tplc="E71470BC">
      <w:numFmt w:val="decimal"/>
      <w:lvlText w:val=""/>
      <w:lvlJc w:val="left"/>
    </w:lvl>
    <w:lvl w:ilvl="3" w:tplc="7276898C">
      <w:numFmt w:val="decimal"/>
      <w:lvlText w:val=""/>
      <w:lvlJc w:val="left"/>
    </w:lvl>
    <w:lvl w:ilvl="4" w:tplc="3F5AC1D4">
      <w:numFmt w:val="decimal"/>
      <w:lvlText w:val=""/>
      <w:lvlJc w:val="left"/>
    </w:lvl>
    <w:lvl w:ilvl="5" w:tplc="5B08D9A8">
      <w:numFmt w:val="decimal"/>
      <w:lvlText w:val=""/>
      <w:lvlJc w:val="left"/>
    </w:lvl>
    <w:lvl w:ilvl="6" w:tplc="994688C0">
      <w:numFmt w:val="decimal"/>
      <w:lvlText w:val=""/>
      <w:lvlJc w:val="left"/>
    </w:lvl>
    <w:lvl w:ilvl="7" w:tplc="A854527E">
      <w:numFmt w:val="decimal"/>
      <w:lvlText w:val=""/>
      <w:lvlJc w:val="left"/>
    </w:lvl>
    <w:lvl w:ilvl="8" w:tplc="4628F894">
      <w:numFmt w:val="decimal"/>
      <w:lvlText w:val=""/>
      <w:lvlJc w:val="left"/>
    </w:lvl>
  </w:abstractNum>
  <w:abstractNum w:abstractNumId="1144" w15:restartNumberingAfterBreak="0">
    <w:nsid w:val="76FB578D"/>
    <w:multiLevelType w:val="hybridMultilevel"/>
    <w:tmpl w:val="121AC2BE"/>
    <w:lvl w:ilvl="0" w:tplc="7D56BFA2">
      <w:start w:val="1"/>
      <w:numFmt w:val="bullet"/>
      <w:lvlText w:val=""/>
      <w:lvlJc w:val="left"/>
      <w:pPr>
        <w:ind w:left="720" w:hanging="180"/>
      </w:pPr>
      <w:rPr>
        <w:rFonts w:ascii="Symbol" w:hAnsi="Symbol" w:hint="default"/>
      </w:rPr>
    </w:lvl>
    <w:lvl w:ilvl="1" w:tplc="2B2ED59A">
      <w:numFmt w:val="decimal"/>
      <w:lvlText w:val=""/>
      <w:lvlJc w:val="left"/>
    </w:lvl>
    <w:lvl w:ilvl="2" w:tplc="14D21838">
      <w:numFmt w:val="decimal"/>
      <w:lvlText w:val=""/>
      <w:lvlJc w:val="left"/>
    </w:lvl>
    <w:lvl w:ilvl="3" w:tplc="668216F4">
      <w:numFmt w:val="decimal"/>
      <w:lvlText w:val=""/>
      <w:lvlJc w:val="left"/>
    </w:lvl>
    <w:lvl w:ilvl="4" w:tplc="D1100186">
      <w:numFmt w:val="decimal"/>
      <w:lvlText w:val=""/>
      <w:lvlJc w:val="left"/>
    </w:lvl>
    <w:lvl w:ilvl="5" w:tplc="D81C489A">
      <w:numFmt w:val="decimal"/>
      <w:lvlText w:val=""/>
      <w:lvlJc w:val="left"/>
    </w:lvl>
    <w:lvl w:ilvl="6" w:tplc="A2AC2CBA">
      <w:numFmt w:val="decimal"/>
      <w:lvlText w:val=""/>
      <w:lvlJc w:val="left"/>
    </w:lvl>
    <w:lvl w:ilvl="7" w:tplc="515CA494">
      <w:numFmt w:val="decimal"/>
      <w:lvlText w:val=""/>
      <w:lvlJc w:val="left"/>
    </w:lvl>
    <w:lvl w:ilvl="8" w:tplc="6DDACC2C">
      <w:numFmt w:val="decimal"/>
      <w:lvlText w:val=""/>
      <w:lvlJc w:val="left"/>
    </w:lvl>
  </w:abstractNum>
  <w:abstractNum w:abstractNumId="1145" w15:restartNumberingAfterBreak="0">
    <w:nsid w:val="770967C3"/>
    <w:multiLevelType w:val="hybridMultilevel"/>
    <w:tmpl w:val="D35C1276"/>
    <w:lvl w:ilvl="0" w:tplc="79181CB6">
      <w:numFmt w:val="decimal"/>
      <w:lvlText w:val=""/>
      <w:lvlJc w:val="left"/>
    </w:lvl>
    <w:lvl w:ilvl="1" w:tplc="F2E01F76">
      <w:start w:val="1"/>
      <w:numFmt w:val="bullet"/>
      <w:lvlText w:val=""/>
      <w:lvlJc w:val="left"/>
      <w:pPr>
        <w:ind w:left="1440" w:hanging="180"/>
      </w:pPr>
      <w:rPr>
        <w:rFonts w:ascii="Symbol" w:hAnsi="Symbol" w:hint="default"/>
      </w:rPr>
    </w:lvl>
    <w:lvl w:ilvl="2" w:tplc="506EFCD4">
      <w:numFmt w:val="decimal"/>
      <w:lvlText w:val=""/>
      <w:lvlJc w:val="left"/>
    </w:lvl>
    <w:lvl w:ilvl="3" w:tplc="15E42F24">
      <w:numFmt w:val="decimal"/>
      <w:lvlText w:val=""/>
      <w:lvlJc w:val="left"/>
    </w:lvl>
    <w:lvl w:ilvl="4" w:tplc="C3C87C0C">
      <w:numFmt w:val="decimal"/>
      <w:lvlText w:val=""/>
      <w:lvlJc w:val="left"/>
    </w:lvl>
    <w:lvl w:ilvl="5" w:tplc="57527550">
      <w:numFmt w:val="decimal"/>
      <w:lvlText w:val=""/>
      <w:lvlJc w:val="left"/>
    </w:lvl>
    <w:lvl w:ilvl="6" w:tplc="065C47EA">
      <w:numFmt w:val="decimal"/>
      <w:lvlText w:val=""/>
      <w:lvlJc w:val="left"/>
    </w:lvl>
    <w:lvl w:ilvl="7" w:tplc="479CAE44">
      <w:numFmt w:val="decimal"/>
      <w:lvlText w:val=""/>
      <w:lvlJc w:val="left"/>
    </w:lvl>
    <w:lvl w:ilvl="8" w:tplc="E8D4943E">
      <w:numFmt w:val="decimal"/>
      <w:lvlText w:val=""/>
      <w:lvlJc w:val="left"/>
    </w:lvl>
  </w:abstractNum>
  <w:abstractNum w:abstractNumId="1146" w15:restartNumberingAfterBreak="0">
    <w:nsid w:val="771114AA"/>
    <w:multiLevelType w:val="hybridMultilevel"/>
    <w:tmpl w:val="DA64B29A"/>
    <w:lvl w:ilvl="0" w:tplc="5E46294A">
      <w:start w:val="1"/>
      <w:numFmt w:val="bullet"/>
      <w:lvlText w:val=""/>
      <w:lvlJc w:val="left"/>
      <w:pPr>
        <w:ind w:left="720" w:hanging="180"/>
      </w:pPr>
      <w:rPr>
        <w:rFonts w:ascii="Symbol" w:hAnsi="Symbol" w:hint="default"/>
      </w:rPr>
    </w:lvl>
    <w:lvl w:ilvl="1" w:tplc="554CB4CC">
      <w:numFmt w:val="decimal"/>
      <w:lvlText w:val=""/>
      <w:lvlJc w:val="left"/>
    </w:lvl>
    <w:lvl w:ilvl="2" w:tplc="A3ACA898">
      <w:numFmt w:val="decimal"/>
      <w:lvlText w:val=""/>
      <w:lvlJc w:val="left"/>
    </w:lvl>
    <w:lvl w:ilvl="3" w:tplc="67FE140E">
      <w:numFmt w:val="decimal"/>
      <w:lvlText w:val=""/>
      <w:lvlJc w:val="left"/>
    </w:lvl>
    <w:lvl w:ilvl="4" w:tplc="ABE6108E">
      <w:numFmt w:val="decimal"/>
      <w:lvlText w:val=""/>
      <w:lvlJc w:val="left"/>
    </w:lvl>
    <w:lvl w:ilvl="5" w:tplc="88280026">
      <w:numFmt w:val="decimal"/>
      <w:lvlText w:val=""/>
      <w:lvlJc w:val="left"/>
    </w:lvl>
    <w:lvl w:ilvl="6" w:tplc="236096AE">
      <w:numFmt w:val="decimal"/>
      <w:lvlText w:val=""/>
      <w:lvlJc w:val="left"/>
    </w:lvl>
    <w:lvl w:ilvl="7" w:tplc="26E69910">
      <w:numFmt w:val="decimal"/>
      <w:lvlText w:val=""/>
      <w:lvlJc w:val="left"/>
    </w:lvl>
    <w:lvl w:ilvl="8" w:tplc="60449F1E">
      <w:numFmt w:val="decimal"/>
      <w:lvlText w:val=""/>
      <w:lvlJc w:val="left"/>
    </w:lvl>
  </w:abstractNum>
  <w:abstractNum w:abstractNumId="1147" w15:restartNumberingAfterBreak="0">
    <w:nsid w:val="77177AE6"/>
    <w:multiLevelType w:val="hybridMultilevel"/>
    <w:tmpl w:val="1570D42C"/>
    <w:lvl w:ilvl="0" w:tplc="3D5E9400">
      <w:start w:val="1"/>
      <w:numFmt w:val="bullet"/>
      <w:lvlText w:val=""/>
      <w:lvlJc w:val="left"/>
      <w:pPr>
        <w:ind w:left="720" w:hanging="180"/>
      </w:pPr>
      <w:rPr>
        <w:rFonts w:ascii="Symbol" w:hAnsi="Symbol" w:hint="default"/>
      </w:rPr>
    </w:lvl>
    <w:lvl w:ilvl="1" w:tplc="548026DE">
      <w:numFmt w:val="decimal"/>
      <w:lvlText w:val=""/>
      <w:lvlJc w:val="left"/>
    </w:lvl>
    <w:lvl w:ilvl="2" w:tplc="9CC6DDCE">
      <w:numFmt w:val="decimal"/>
      <w:lvlText w:val=""/>
      <w:lvlJc w:val="left"/>
    </w:lvl>
    <w:lvl w:ilvl="3" w:tplc="ECE6DD64">
      <w:numFmt w:val="decimal"/>
      <w:lvlText w:val=""/>
      <w:lvlJc w:val="left"/>
    </w:lvl>
    <w:lvl w:ilvl="4" w:tplc="C02A9B4A">
      <w:numFmt w:val="decimal"/>
      <w:lvlText w:val=""/>
      <w:lvlJc w:val="left"/>
    </w:lvl>
    <w:lvl w:ilvl="5" w:tplc="D812C698">
      <w:numFmt w:val="decimal"/>
      <w:lvlText w:val=""/>
      <w:lvlJc w:val="left"/>
    </w:lvl>
    <w:lvl w:ilvl="6" w:tplc="50263994">
      <w:numFmt w:val="decimal"/>
      <w:lvlText w:val=""/>
      <w:lvlJc w:val="left"/>
    </w:lvl>
    <w:lvl w:ilvl="7" w:tplc="4DCCEDBE">
      <w:numFmt w:val="decimal"/>
      <w:lvlText w:val=""/>
      <w:lvlJc w:val="left"/>
    </w:lvl>
    <w:lvl w:ilvl="8" w:tplc="144AABEC">
      <w:numFmt w:val="decimal"/>
      <w:lvlText w:val=""/>
      <w:lvlJc w:val="left"/>
    </w:lvl>
  </w:abstractNum>
  <w:abstractNum w:abstractNumId="1148" w15:restartNumberingAfterBreak="0">
    <w:nsid w:val="775D07F4"/>
    <w:multiLevelType w:val="hybridMultilevel"/>
    <w:tmpl w:val="A56828C0"/>
    <w:lvl w:ilvl="0" w:tplc="C30C5FA0">
      <w:start w:val="1"/>
      <w:numFmt w:val="bullet"/>
      <w:lvlText w:val=""/>
      <w:lvlJc w:val="left"/>
      <w:pPr>
        <w:ind w:left="720" w:hanging="180"/>
      </w:pPr>
      <w:rPr>
        <w:rFonts w:ascii="Symbol" w:hAnsi="Symbol" w:hint="default"/>
      </w:rPr>
    </w:lvl>
    <w:lvl w:ilvl="1" w:tplc="DB027780">
      <w:numFmt w:val="decimal"/>
      <w:lvlText w:val=""/>
      <w:lvlJc w:val="left"/>
    </w:lvl>
    <w:lvl w:ilvl="2" w:tplc="DD8CC600">
      <w:numFmt w:val="decimal"/>
      <w:lvlText w:val=""/>
      <w:lvlJc w:val="left"/>
    </w:lvl>
    <w:lvl w:ilvl="3" w:tplc="960CF856">
      <w:numFmt w:val="decimal"/>
      <w:lvlText w:val=""/>
      <w:lvlJc w:val="left"/>
    </w:lvl>
    <w:lvl w:ilvl="4" w:tplc="B978B3AC">
      <w:numFmt w:val="decimal"/>
      <w:lvlText w:val=""/>
      <w:lvlJc w:val="left"/>
    </w:lvl>
    <w:lvl w:ilvl="5" w:tplc="6E261634">
      <w:numFmt w:val="decimal"/>
      <w:lvlText w:val=""/>
      <w:lvlJc w:val="left"/>
    </w:lvl>
    <w:lvl w:ilvl="6" w:tplc="0A24573E">
      <w:numFmt w:val="decimal"/>
      <w:lvlText w:val=""/>
      <w:lvlJc w:val="left"/>
    </w:lvl>
    <w:lvl w:ilvl="7" w:tplc="7452EC8C">
      <w:numFmt w:val="decimal"/>
      <w:lvlText w:val=""/>
      <w:lvlJc w:val="left"/>
    </w:lvl>
    <w:lvl w:ilvl="8" w:tplc="69E4D62C">
      <w:numFmt w:val="decimal"/>
      <w:lvlText w:val=""/>
      <w:lvlJc w:val="left"/>
    </w:lvl>
  </w:abstractNum>
  <w:abstractNum w:abstractNumId="1149" w15:restartNumberingAfterBreak="0">
    <w:nsid w:val="776063E7"/>
    <w:multiLevelType w:val="hybridMultilevel"/>
    <w:tmpl w:val="DDCA3814"/>
    <w:lvl w:ilvl="0" w:tplc="D68A29B0">
      <w:numFmt w:val="decimal"/>
      <w:lvlText w:val=""/>
      <w:lvlJc w:val="left"/>
    </w:lvl>
    <w:lvl w:ilvl="1" w:tplc="993C029E">
      <w:start w:val="1"/>
      <w:numFmt w:val="bullet"/>
      <w:lvlText w:val=""/>
      <w:lvlJc w:val="left"/>
      <w:pPr>
        <w:ind w:left="1440" w:hanging="180"/>
      </w:pPr>
      <w:rPr>
        <w:rFonts w:ascii="Symbol" w:hAnsi="Symbol" w:hint="default"/>
      </w:rPr>
    </w:lvl>
    <w:lvl w:ilvl="2" w:tplc="B7C6A93C">
      <w:numFmt w:val="decimal"/>
      <w:lvlText w:val=""/>
      <w:lvlJc w:val="left"/>
    </w:lvl>
    <w:lvl w:ilvl="3" w:tplc="EF4CF17A">
      <w:numFmt w:val="decimal"/>
      <w:lvlText w:val=""/>
      <w:lvlJc w:val="left"/>
    </w:lvl>
    <w:lvl w:ilvl="4" w:tplc="68F0176E">
      <w:numFmt w:val="decimal"/>
      <w:lvlText w:val=""/>
      <w:lvlJc w:val="left"/>
    </w:lvl>
    <w:lvl w:ilvl="5" w:tplc="415236CC">
      <w:numFmt w:val="decimal"/>
      <w:lvlText w:val=""/>
      <w:lvlJc w:val="left"/>
    </w:lvl>
    <w:lvl w:ilvl="6" w:tplc="B0CE411C">
      <w:numFmt w:val="decimal"/>
      <w:lvlText w:val=""/>
      <w:lvlJc w:val="left"/>
    </w:lvl>
    <w:lvl w:ilvl="7" w:tplc="1EAAB684">
      <w:numFmt w:val="decimal"/>
      <w:lvlText w:val=""/>
      <w:lvlJc w:val="left"/>
    </w:lvl>
    <w:lvl w:ilvl="8" w:tplc="6A2EE54C">
      <w:numFmt w:val="decimal"/>
      <w:lvlText w:val=""/>
      <w:lvlJc w:val="left"/>
    </w:lvl>
  </w:abstractNum>
  <w:abstractNum w:abstractNumId="1150" w15:restartNumberingAfterBreak="0">
    <w:nsid w:val="7766665C"/>
    <w:multiLevelType w:val="hybridMultilevel"/>
    <w:tmpl w:val="4EBAB6B6"/>
    <w:lvl w:ilvl="0" w:tplc="0952C8FE">
      <w:start w:val="1"/>
      <w:numFmt w:val="bullet"/>
      <w:lvlText w:val=""/>
      <w:lvlJc w:val="left"/>
      <w:pPr>
        <w:ind w:left="720" w:hanging="180"/>
      </w:pPr>
      <w:rPr>
        <w:rFonts w:ascii="Symbol" w:hAnsi="Symbol" w:hint="default"/>
      </w:rPr>
    </w:lvl>
    <w:lvl w:ilvl="1" w:tplc="59186BE6">
      <w:numFmt w:val="decimal"/>
      <w:lvlText w:val=""/>
      <w:lvlJc w:val="left"/>
    </w:lvl>
    <w:lvl w:ilvl="2" w:tplc="D15685B0">
      <w:numFmt w:val="decimal"/>
      <w:lvlText w:val=""/>
      <w:lvlJc w:val="left"/>
    </w:lvl>
    <w:lvl w:ilvl="3" w:tplc="48B842C8">
      <w:numFmt w:val="decimal"/>
      <w:lvlText w:val=""/>
      <w:lvlJc w:val="left"/>
    </w:lvl>
    <w:lvl w:ilvl="4" w:tplc="812AA718">
      <w:numFmt w:val="decimal"/>
      <w:lvlText w:val=""/>
      <w:lvlJc w:val="left"/>
    </w:lvl>
    <w:lvl w:ilvl="5" w:tplc="BC127FE6">
      <w:numFmt w:val="decimal"/>
      <w:lvlText w:val=""/>
      <w:lvlJc w:val="left"/>
    </w:lvl>
    <w:lvl w:ilvl="6" w:tplc="42288884">
      <w:numFmt w:val="decimal"/>
      <w:lvlText w:val=""/>
      <w:lvlJc w:val="left"/>
    </w:lvl>
    <w:lvl w:ilvl="7" w:tplc="B8F8AED4">
      <w:numFmt w:val="decimal"/>
      <w:lvlText w:val=""/>
      <w:lvlJc w:val="left"/>
    </w:lvl>
    <w:lvl w:ilvl="8" w:tplc="A0CC33E6">
      <w:numFmt w:val="decimal"/>
      <w:lvlText w:val=""/>
      <w:lvlJc w:val="left"/>
    </w:lvl>
  </w:abstractNum>
  <w:abstractNum w:abstractNumId="1151" w15:restartNumberingAfterBreak="0">
    <w:nsid w:val="777527E3"/>
    <w:multiLevelType w:val="hybridMultilevel"/>
    <w:tmpl w:val="D7242A78"/>
    <w:lvl w:ilvl="0" w:tplc="A39AB850">
      <w:start w:val="1"/>
      <w:numFmt w:val="bullet"/>
      <w:lvlText w:val=""/>
      <w:lvlJc w:val="left"/>
      <w:pPr>
        <w:ind w:left="720" w:hanging="180"/>
      </w:pPr>
      <w:rPr>
        <w:rFonts w:ascii="Symbol" w:hAnsi="Symbol" w:hint="default"/>
      </w:rPr>
    </w:lvl>
    <w:lvl w:ilvl="1" w:tplc="5CF6DC0C">
      <w:numFmt w:val="decimal"/>
      <w:lvlText w:val=""/>
      <w:lvlJc w:val="left"/>
    </w:lvl>
    <w:lvl w:ilvl="2" w:tplc="69EA9F36">
      <w:numFmt w:val="decimal"/>
      <w:lvlText w:val=""/>
      <w:lvlJc w:val="left"/>
    </w:lvl>
    <w:lvl w:ilvl="3" w:tplc="73563942">
      <w:numFmt w:val="decimal"/>
      <w:lvlText w:val=""/>
      <w:lvlJc w:val="left"/>
    </w:lvl>
    <w:lvl w:ilvl="4" w:tplc="F556898A">
      <w:numFmt w:val="decimal"/>
      <w:lvlText w:val=""/>
      <w:lvlJc w:val="left"/>
    </w:lvl>
    <w:lvl w:ilvl="5" w:tplc="E5A2072E">
      <w:numFmt w:val="decimal"/>
      <w:lvlText w:val=""/>
      <w:lvlJc w:val="left"/>
    </w:lvl>
    <w:lvl w:ilvl="6" w:tplc="C73E368E">
      <w:numFmt w:val="decimal"/>
      <w:lvlText w:val=""/>
      <w:lvlJc w:val="left"/>
    </w:lvl>
    <w:lvl w:ilvl="7" w:tplc="4F5A82C6">
      <w:numFmt w:val="decimal"/>
      <w:lvlText w:val=""/>
      <w:lvlJc w:val="left"/>
    </w:lvl>
    <w:lvl w:ilvl="8" w:tplc="5208840C">
      <w:numFmt w:val="decimal"/>
      <w:lvlText w:val=""/>
      <w:lvlJc w:val="left"/>
    </w:lvl>
  </w:abstractNum>
  <w:abstractNum w:abstractNumId="1152" w15:restartNumberingAfterBreak="0">
    <w:nsid w:val="77A2472C"/>
    <w:multiLevelType w:val="hybridMultilevel"/>
    <w:tmpl w:val="4DD6862C"/>
    <w:lvl w:ilvl="0" w:tplc="B866C272">
      <w:start w:val="1"/>
      <w:numFmt w:val="bullet"/>
      <w:lvlText w:val=""/>
      <w:lvlJc w:val="left"/>
      <w:pPr>
        <w:ind w:left="720" w:hanging="180"/>
      </w:pPr>
      <w:rPr>
        <w:rFonts w:ascii="Symbol" w:hAnsi="Symbol" w:hint="default"/>
      </w:rPr>
    </w:lvl>
    <w:lvl w:ilvl="1" w:tplc="269801D0">
      <w:numFmt w:val="decimal"/>
      <w:lvlText w:val=""/>
      <w:lvlJc w:val="left"/>
    </w:lvl>
    <w:lvl w:ilvl="2" w:tplc="F1FE5AD6">
      <w:numFmt w:val="decimal"/>
      <w:lvlText w:val=""/>
      <w:lvlJc w:val="left"/>
    </w:lvl>
    <w:lvl w:ilvl="3" w:tplc="4894C3C8">
      <w:numFmt w:val="decimal"/>
      <w:lvlText w:val=""/>
      <w:lvlJc w:val="left"/>
    </w:lvl>
    <w:lvl w:ilvl="4" w:tplc="7AAE076A">
      <w:numFmt w:val="decimal"/>
      <w:lvlText w:val=""/>
      <w:lvlJc w:val="left"/>
    </w:lvl>
    <w:lvl w:ilvl="5" w:tplc="C4FC9844">
      <w:numFmt w:val="decimal"/>
      <w:lvlText w:val=""/>
      <w:lvlJc w:val="left"/>
    </w:lvl>
    <w:lvl w:ilvl="6" w:tplc="EC7840C0">
      <w:numFmt w:val="decimal"/>
      <w:lvlText w:val=""/>
      <w:lvlJc w:val="left"/>
    </w:lvl>
    <w:lvl w:ilvl="7" w:tplc="6BCCFBDE">
      <w:numFmt w:val="decimal"/>
      <w:lvlText w:val=""/>
      <w:lvlJc w:val="left"/>
    </w:lvl>
    <w:lvl w:ilvl="8" w:tplc="31EEEA18">
      <w:numFmt w:val="decimal"/>
      <w:lvlText w:val=""/>
      <w:lvlJc w:val="left"/>
    </w:lvl>
  </w:abstractNum>
  <w:abstractNum w:abstractNumId="1153" w15:restartNumberingAfterBreak="0">
    <w:nsid w:val="77DE48B1"/>
    <w:multiLevelType w:val="hybridMultilevel"/>
    <w:tmpl w:val="D0ECA7BA"/>
    <w:lvl w:ilvl="0" w:tplc="25E04874">
      <w:start w:val="1"/>
      <w:numFmt w:val="bullet"/>
      <w:lvlText w:val=""/>
      <w:lvlJc w:val="left"/>
      <w:pPr>
        <w:ind w:left="720" w:hanging="180"/>
      </w:pPr>
      <w:rPr>
        <w:rFonts w:ascii="Symbol" w:hAnsi="Symbol" w:hint="default"/>
      </w:rPr>
    </w:lvl>
    <w:lvl w:ilvl="1" w:tplc="09E6FFBA">
      <w:numFmt w:val="decimal"/>
      <w:lvlText w:val=""/>
      <w:lvlJc w:val="left"/>
    </w:lvl>
    <w:lvl w:ilvl="2" w:tplc="3618AC34">
      <w:numFmt w:val="decimal"/>
      <w:lvlText w:val=""/>
      <w:lvlJc w:val="left"/>
    </w:lvl>
    <w:lvl w:ilvl="3" w:tplc="BB02E26C">
      <w:numFmt w:val="decimal"/>
      <w:lvlText w:val=""/>
      <w:lvlJc w:val="left"/>
    </w:lvl>
    <w:lvl w:ilvl="4" w:tplc="CC5EA856">
      <w:numFmt w:val="decimal"/>
      <w:lvlText w:val=""/>
      <w:lvlJc w:val="left"/>
    </w:lvl>
    <w:lvl w:ilvl="5" w:tplc="931ADFB0">
      <w:numFmt w:val="decimal"/>
      <w:lvlText w:val=""/>
      <w:lvlJc w:val="left"/>
    </w:lvl>
    <w:lvl w:ilvl="6" w:tplc="06589ACE">
      <w:numFmt w:val="decimal"/>
      <w:lvlText w:val=""/>
      <w:lvlJc w:val="left"/>
    </w:lvl>
    <w:lvl w:ilvl="7" w:tplc="4EBAC6F4">
      <w:numFmt w:val="decimal"/>
      <w:lvlText w:val=""/>
      <w:lvlJc w:val="left"/>
    </w:lvl>
    <w:lvl w:ilvl="8" w:tplc="0962553E">
      <w:numFmt w:val="decimal"/>
      <w:lvlText w:val=""/>
      <w:lvlJc w:val="left"/>
    </w:lvl>
  </w:abstractNum>
  <w:abstractNum w:abstractNumId="1154" w15:restartNumberingAfterBreak="0">
    <w:nsid w:val="782157C5"/>
    <w:multiLevelType w:val="hybridMultilevel"/>
    <w:tmpl w:val="CA84C8AC"/>
    <w:lvl w:ilvl="0" w:tplc="FCC0F72E">
      <w:start w:val="1"/>
      <w:numFmt w:val="bullet"/>
      <w:lvlText w:val=""/>
      <w:lvlJc w:val="left"/>
      <w:pPr>
        <w:ind w:left="720" w:hanging="180"/>
      </w:pPr>
      <w:rPr>
        <w:rFonts w:ascii="Symbol" w:hAnsi="Symbol" w:hint="default"/>
      </w:rPr>
    </w:lvl>
    <w:lvl w:ilvl="1" w:tplc="22A0C9A2">
      <w:numFmt w:val="decimal"/>
      <w:lvlText w:val=""/>
      <w:lvlJc w:val="left"/>
    </w:lvl>
    <w:lvl w:ilvl="2" w:tplc="046E4C66">
      <w:numFmt w:val="decimal"/>
      <w:lvlText w:val=""/>
      <w:lvlJc w:val="left"/>
    </w:lvl>
    <w:lvl w:ilvl="3" w:tplc="43A22026">
      <w:numFmt w:val="decimal"/>
      <w:lvlText w:val=""/>
      <w:lvlJc w:val="left"/>
    </w:lvl>
    <w:lvl w:ilvl="4" w:tplc="D33AFA6C">
      <w:numFmt w:val="decimal"/>
      <w:lvlText w:val=""/>
      <w:lvlJc w:val="left"/>
    </w:lvl>
    <w:lvl w:ilvl="5" w:tplc="8C3EB7A8">
      <w:numFmt w:val="decimal"/>
      <w:lvlText w:val=""/>
      <w:lvlJc w:val="left"/>
    </w:lvl>
    <w:lvl w:ilvl="6" w:tplc="4D3C4526">
      <w:numFmt w:val="decimal"/>
      <w:lvlText w:val=""/>
      <w:lvlJc w:val="left"/>
    </w:lvl>
    <w:lvl w:ilvl="7" w:tplc="3744AC42">
      <w:numFmt w:val="decimal"/>
      <w:lvlText w:val=""/>
      <w:lvlJc w:val="left"/>
    </w:lvl>
    <w:lvl w:ilvl="8" w:tplc="DC8699F4">
      <w:numFmt w:val="decimal"/>
      <w:lvlText w:val=""/>
      <w:lvlJc w:val="left"/>
    </w:lvl>
  </w:abstractNum>
  <w:abstractNum w:abstractNumId="1155" w15:restartNumberingAfterBreak="0">
    <w:nsid w:val="783D1008"/>
    <w:multiLevelType w:val="hybridMultilevel"/>
    <w:tmpl w:val="5DAE742C"/>
    <w:lvl w:ilvl="0" w:tplc="37DECA30">
      <w:start w:val="1"/>
      <w:numFmt w:val="bullet"/>
      <w:lvlText w:val=""/>
      <w:lvlJc w:val="left"/>
      <w:pPr>
        <w:ind w:left="720" w:hanging="180"/>
      </w:pPr>
      <w:rPr>
        <w:rFonts w:ascii="Symbol" w:hAnsi="Symbol" w:hint="default"/>
      </w:rPr>
    </w:lvl>
    <w:lvl w:ilvl="1" w:tplc="1FB4AB6C">
      <w:numFmt w:val="decimal"/>
      <w:lvlText w:val=""/>
      <w:lvlJc w:val="left"/>
    </w:lvl>
    <w:lvl w:ilvl="2" w:tplc="D72A2630">
      <w:numFmt w:val="decimal"/>
      <w:lvlText w:val=""/>
      <w:lvlJc w:val="left"/>
    </w:lvl>
    <w:lvl w:ilvl="3" w:tplc="8304B234">
      <w:numFmt w:val="decimal"/>
      <w:lvlText w:val=""/>
      <w:lvlJc w:val="left"/>
    </w:lvl>
    <w:lvl w:ilvl="4" w:tplc="083E81BE">
      <w:numFmt w:val="decimal"/>
      <w:lvlText w:val=""/>
      <w:lvlJc w:val="left"/>
    </w:lvl>
    <w:lvl w:ilvl="5" w:tplc="F1340BBC">
      <w:numFmt w:val="decimal"/>
      <w:lvlText w:val=""/>
      <w:lvlJc w:val="left"/>
    </w:lvl>
    <w:lvl w:ilvl="6" w:tplc="7CC4FF84">
      <w:numFmt w:val="decimal"/>
      <w:lvlText w:val=""/>
      <w:lvlJc w:val="left"/>
    </w:lvl>
    <w:lvl w:ilvl="7" w:tplc="073CCB4C">
      <w:numFmt w:val="decimal"/>
      <w:lvlText w:val=""/>
      <w:lvlJc w:val="left"/>
    </w:lvl>
    <w:lvl w:ilvl="8" w:tplc="E222E47C">
      <w:numFmt w:val="decimal"/>
      <w:lvlText w:val=""/>
      <w:lvlJc w:val="left"/>
    </w:lvl>
  </w:abstractNum>
  <w:abstractNum w:abstractNumId="1156" w15:restartNumberingAfterBreak="0">
    <w:nsid w:val="78477C42"/>
    <w:multiLevelType w:val="hybridMultilevel"/>
    <w:tmpl w:val="ACA24700"/>
    <w:lvl w:ilvl="0" w:tplc="2946E676">
      <w:start w:val="1"/>
      <w:numFmt w:val="bullet"/>
      <w:lvlText w:val=""/>
      <w:lvlJc w:val="left"/>
      <w:pPr>
        <w:ind w:left="720" w:hanging="180"/>
      </w:pPr>
      <w:rPr>
        <w:rFonts w:ascii="Symbol" w:hAnsi="Symbol" w:hint="default"/>
      </w:rPr>
    </w:lvl>
    <w:lvl w:ilvl="1" w:tplc="DFA8BBA2">
      <w:numFmt w:val="decimal"/>
      <w:lvlText w:val=""/>
      <w:lvlJc w:val="left"/>
    </w:lvl>
    <w:lvl w:ilvl="2" w:tplc="BA04B332">
      <w:numFmt w:val="decimal"/>
      <w:lvlText w:val=""/>
      <w:lvlJc w:val="left"/>
    </w:lvl>
    <w:lvl w:ilvl="3" w:tplc="3864C5A6">
      <w:numFmt w:val="decimal"/>
      <w:lvlText w:val=""/>
      <w:lvlJc w:val="left"/>
    </w:lvl>
    <w:lvl w:ilvl="4" w:tplc="19B0C79C">
      <w:numFmt w:val="decimal"/>
      <w:lvlText w:val=""/>
      <w:lvlJc w:val="left"/>
    </w:lvl>
    <w:lvl w:ilvl="5" w:tplc="5D54E1D4">
      <w:numFmt w:val="decimal"/>
      <w:lvlText w:val=""/>
      <w:lvlJc w:val="left"/>
    </w:lvl>
    <w:lvl w:ilvl="6" w:tplc="2DAEDC86">
      <w:numFmt w:val="decimal"/>
      <w:lvlText w:val=""/>
      <w:lvlJc w:val="left"/>
    </w:lvl>
    <w:lvl w:ilvl="7" w:tplc="ABDA53C6">
      <w:numFmt w:val="decimal"/>
      <w:lvlText w:val=""/>
      <w:lvlJc w:val="left"/>
    </w:lvl>
    <w:lvl w:ilvl="8" w:tplc="47FE5938">
      <w:numFmt w:val="decimal"/>
      <w:lvlText w:val=""/>
      <w:lvlJc w:val="left"/>
    </w:lvl>
  </w:abstractNum>
  <w:abstractNum w:abstractNumId="1157" w15:restartNumberingAfterBreak="0">
    <w:nsid w:val="784F3AE2"/>
    <w:multiLevelType w:val="hybridMultilevel"/>
    <w:tmpl w:val="4184E3AC"/>
    <w:lvl w:ilvl="0" w:tplc="E696B388">
      <w:start w:val="1"/>
      <w:numFmt w:val="bullet"/>
      <w:lvlText w:val=""/>
      <w:lvlJc w:val="left"/>
      <w:pPr>
        <w:ind w:left="720" w:hanging="180"/>
      </w:pPr>
      <w:rPr>
        <w:rFonts w:ascii="Symbol" w:hAnsi="Symbol" w:hint="default"/>
      </w:rPr>
    </w:lvl>
    <w:lvl w:ilvl="1" w:tplc="F1782258">
      <w:numFmt w:val="decimal"/>
      <w:lvlText w:val=""/>
      <w:lvlJc w:val="left"/>
    </w:lvl>
    <w:lvl w:ilvl="2" w:tplc="FBAA57D6">
      <w:numFmt w:val="decimal"/>
      <w:lvlText w:val=""/>
      <w:lvlJc w:val="left"/>
    </w:lvl>
    <w:lvl w:ilvl="3" w:tplc="0922D3DC">
      <w:numFmt w:val="decimal"/>
      <w:lvlText w:val=""/>
      <w:lvlJc w:val="left"/>
    </w:lvl>
    <w:lvl w:ilvl="4" w:tplc="266AFDBC">
      <w:numFmt w:val="decimal"/>
      <w:lvlText w:val=""/>
      <w:lvlJc w:val="left"/>
    </w:lvl>
    <w:lvl w:ilvl="5" w:tplc="B8960238">
      <w:numFmt w:val="decimal"/>
      <w:lvlText w:val=""/>
      <w:lvlJc w:val="left"/>
    </w:lvl>
    <w:lvl w:ilvl="6" w:tplc="96EC50EC">
      <w:numFmt w:val="decimal"/>
      <w:lvlText w:val=""/>
      <w:lvlJc w:val="left"/>
    </w:lvl>
    <w:lvl w:ilvl="7" w:tplc="BCBACFCA">
      <w:numFmt w:val="decimal"/>
      <w:lvlText w:val=""/>
      <w:lvlJc w:val="left"/>
    </w:lvl>
    <w:lvl w:ilvl="8" w:tplc="172C3AA4">
      <w:numFmt w:val="decimal"/>
      <w:lvlText w:val=""/>
      <w:lvlJc w:val="left"/>
    </w:lvl>
  </w:abstractNum>
  <w:abstractNum w:abstractNumId="1158" w15:restartNumberingAfterBreak="0">
    <w:nsid w:val="786936CB"/>
    <w:multiLevelType w:val="hybridMultilevel"/>
    <w:tmpl w:val="9E34A59E"/>
    <w:lvl w:ilvl="0" w:tplc="084474C4">
      <w:start w:val="1"/>
      <w:numFmt w:val="bullet"/>
      <w:lvlText w:val=""/>
      <w:lvlJc w:val="left"/>
      <w:pPr>
        <w:ind w:left="720" w:hanging="180"/>
      </w:pPr>
      <w:rPr>
        <w:rFonts w:ascii="Symbol" w:hAnsi="Symbol" w:hint="default"/>
      </w:rPr>
    </w:lvl>
    <w:lvl w:ilvl="1" w:tplc="0AEC5F4E">
      <w:numFmt w:val="decimal"/>
      <w:lvlText w:val=""/>
      <w:lvlJc w:val="left"/>
    </w:lvl>
    <w:lvl w:ilvl="2" w:tplc="9FAABA92">
      <w:numFmt w:val="decimal"/>
      <w:lvlText w:val=""/>
      <w:lvlJc w:val="left"/>
    </w:lvl>
    <w:lvl w:ilvl="3" w:tplc="FEC20D38">
      <w:numFmt w:val="decimal"/>
      <w:lvlText w:val=""/>
      <w:lvlJc w:val="left"/>
    </w:lvl>
    <w:lvl w:ilvl="4" w:tplc="800A7708">
      <w:numFmt w:val="decimal"/>
      <w:lvlText w:val=""/>
      <w:lvlJc w:val="left"/>
    </w:lvl>
    <w:lvl w:ilvl="5" w:tplc="D6D68A38">
      <w:numFmt w:val="decimal"/>
      <w:lvlText w:val=""/>
      <w:lvlJc w:val="left"/>
    </w:lvl>
    <w:lvl w:ilvl="6" w:tplc="E75C4B04">
      <w:numFmt w:val="decimal"/>
      <w:lvlText w:val=""/>
      <w:lvlJc w:val="left"/>
    </w:lvl>
    <w:lvl w:ilvl="7" w:tplc="38BE2F1C">
      <w:numFmt w:val="decimal"/>
      <w:lvlText w:val=""/>
      <w:lvlJc w:val="left"/>
    </w:lvl>
    <w:lvl w:ilvl="8" w:tplc="BB9AB75E">
      <w:numFmt w:val="decimal"/>
      <w:lvlText w:val=""/>
      <w:lvlJc w:val="left"/>
    </w:lvl>
  </w:abstractNum>
  <w:abstractNum w:abstractNumId="1159" w15:restartNumberingAfterBreak="0">
    <w:nsid w:val="78756C56"/>
    <w:multiLevelType w:val="hybridMultilevel"/>
    <w:tmpl w:val="E8A4A34C"/>
    <w:lvl w:ilvl="0" w:tplc="04A69376">
      <w:start w:val="1"/>
      <w:numFmt w:val="bullet"/>
      <w:lvlText w:val=""/>
      <w:lvlJc w:val="left"/>
      <w:pPr>
        <w:ind w:left="720" w:hanging="180"/>
      </w:pPr>
      <w:rPr>
        <w:rFonts w:ascii="Symbol" w:hAnsi="Symbol" w:hint="default"/>
      </w:rPr>
    </w:lvl>
    <w:lvl w:ilvl="1" w:tplc="98160E40">
      <w:numFmt w:val="decimal"/>
      <w:lvlText w:val=""/>
      <w:lvlJc w:val="left"/>
    </w:lvl>
    <w:lvl w:ilvl="2" w:tplc="F1B44BD4">
      <w:numFmt w:val="decimal"/>
      <w:lvlText w:val=""/>
      <w:lvlJc w:val="left"/>
    </w:lvl>
    <w:lvl w:ilvl="3" w:tplc="55BC88E2">
      <w:numFmt w:val="decimal"/>
      <w:lvlText w:val=""/>
      <w:lvlJc w:val="left"/>
    </w:lvl>
    <w:lvl w:ilvl="4" w:tplc="C1BA795C">
      <w:numFmt w:val="decimal"/>
      <w:lvlText w:val=""/>
      <w:lvlJc w:val="left"/>
    </w:lvl>
    <w:lvl w:ilvl="5" w:tplc="5F2EED0C">
      <w:numFmt w:val="decimal"/>
      <w:lvlText w:val=""/>
      <w:lvlJc w:val="left"/>
    </w:lvl>
    <w:lvl w:ilvl="6" w:tplc="7E9A46C0">
      <w:numFmt w:val="decimal"/>
      <w:lvlText w:val=""/>
      <w:lvlJc w:val="left"/>
    </w:lvl>
    <w:lvl w:ilvl="7" w:tplc="B6B60A94">
      <w:numFmt w:val="decimal"/>
      <w:lvlText w:val=""/>
      <w:lvlJc w:val="left"/>
    </w:lvl>
    <w:lvl w:ilvl="8" w:tplc="22207F34">
      <w:numFmt w:val="decimal"/>
      <w:lvlText w:val=""/>
      <w:lvlJc w:val="left"/>
    </w:lvl>
  </w:abstractNum>
  <w:abstractNum w:abstractNumId="1160" w15:restartNumberingAfterBreak="0">
    <w:nsid w:val="787E3AA6"/>
    <w:multiLevelType w:val="hybridMultilevel"/>
    <w:tmpl w:val="492220A4"/>
    <w:lvl w:ilvl="0" w:tplc="A42808F8">
      <w:start w:val="1"/>
      <w:numFmt w:val="bullet"/>
      <w:lvlText w:val=""/>
      <w:lvlJc w:val="left"/>
      <w:pPr>
        <w:ind w:left="720" w:hanging="180"/>
      </w:pPr>
      <w:rPr>
        <w:rFonts w:ascii="Symbol" w:hAnsi="Symbol" w:hint="default"/>
      </w:rPr>
    </w:lvl>
    <w:lvl w:ilvl="1" w:tplc="75803D9C">
      <w:numFmt w:val="decimal"/>
      <w:lvlText w:val=""/>
      <w:lvlJc w:val="left"/>
    </w:lvl>
    <w:lvl w:ilvl="2" w:tplc="FFEA6D1C">
      <w:numFmt w:val="decimal"/>
      <w:lvlText w:val=""/>
      <w:lvlJc w:val="left"/>
    </w:lvl>
    <w:lvl w:ilvl="3" w:tplc="60BC708A">
      <w:numFmt w:val="decimal"/>
      <w:lvlText w:val=""/>
      <w:lvlJc w:val="left"/>
    </w:lvl>
    <w:lvl w:ilvl="4" w:tplc="EB8A9370">
      <w:numFmt w:val="decimal"/>
      <w:lvlText w:val=""/>
      <w:lvlJc w:val="left"/>
    </w:lvl>
    <w:lvl w:ilvl="5" w:tplc="B72CC2FE">
      <w:numFmt w:val="decimal"/>
      <w:lvlText w:val=""/>
      <w:lvlJc w:val="left"/>
    </w:lvl>
    <w:lvl w:ilvl="6" w:tplc="1AB04384">
      <w:numFmt w:val="decimal"/>
      <w:lvlText w:val=""/>
      <w:lvlJc w:val="left"/>
    </w:lvl>
    <w:lvl w:ilvl="7" w:tplc="7CDEDA5A">
      <w:numFmt w:val="decimal"/>
      <w:lvlText w:val=""/>
      <w:lvlJc w:val="left"/>
    </w:lvl>
    <w:lvl w:ilvl="8" w:tplc="5C78F770">
      <w:numFmt w:val="decimal"/>
      <w:lvlText w:val=""/>
      <w:lvlJc w:val="left"/>
    </w:lvl>
  </w:abstractNum>
  <w:abstractNum w:abstractNumId="1161" w15:restartNumberingAfterBreak="0">
    <w:nsid w:val="789532CB"/>
    <w:multiLevelType w:val="hybridMultilevel"/>
    <w:tmpl w:val="B46C33BA"/>
    <w:lvl w:ilvl="0" w:tplc="D3B081C6">
      <w:start w:val="1"/>
      <w:numFmt w:val="bullet"/>
      <w:lvlText w:val=""/>
      <w:lvlJc w:val="left"/>
      <w:pPr>
        <w:ind w:left="720" w:hanging="180"/>
      </w:pPr>
      <w:rPr>
        <w:rFonts w:ascii="Symbol" w:hAnsi="Symbol" w:hint="default"/>
      </w:rPr>
    </w:lvl>
    <w:lvl w:ilvl="1" w:tplc="00D2E42A">
      <w:numFmt w:val="decimal"/>
      <w:lvlText w:val=""/>
      <w:lvlJc w:val="left"/>
    </w:lvl>
    <w:lvl w:ilvl="2" w:tplc="DF2E7318">
      <w:numFmt w:val="decimal"/>
      <w:lvlText w:val=""/>
      <w:lvlJc w:val="left"/>
    </w:lvl>
    <w:lvl w:ilvl="3" w:tplc="F3361E9A">
      <w:numFmt w:val="decimal"/>
      <w:lvlText w:val=""/>
      <w:lvlJc w:val="left"/>
    </w:lvl>
    <w:lvl w:ilvl="4" w:tplc="66C03CF0">
      <w:numFmt w:val="decimal"/>
      <w:lvlText w:val=""/>
      <w:lvlJc w:val="left"/>
    </w:lvl>
    <w:lvl w:ilvl="5" w:tplc="230E2DB0">
      <w:numFmt w:val="decimal"/>
      <w:lvlText w:val=""/>
      <w:lvlJc w:val="left"/>
    </w:lvl>
    <w:lvl w:ilvl="6" w:tplc="2CAACFDA">
      <w:numFmt w:val="decimal"/>
      <w:lvlText w:val=""/>
      <w:lvlJc w:val="left"/>
    </w:lvl>
    <w:lvl w:ilvl="7" w:tplc="6CAEB282">
      <w:numFmt w:val="decimal"/>
      <w:lvlText w:val=""/>
      <w:lvlJc w:val="left"/>
    </w:lvl>
    <w:lvl w:ilvl="8" w:tplc="B46637A2">
      <w:numFmt w:val="decimal"/>
      <w:lvlText w:val=""/>
      <w:lvlJc w:val="left"/>
    </w:lvl>
  </w:abstractNum>
  <w:abstractNum w:abstractNumId="1162" w15:restartNumberingAfterBreak="0">
    <w:nsid w:val="78B173EE"/>
    <w:multiLevelType w:val="hybridMultilevel"/>
    <w:tmpl w:val="6FCAFF3C"/>
    <w:lvl w:ilvl="0" w:tplc="2C3EA19E">
      <w:start w:val="1"/>
      <w:numFmt w:val="bullet"/>
      <w:lvlText w:val=""/>
      <w:lvlJc w:val="left"/>
      <w:pPr>
        <w:ind w:left="720" w:hanging="180"/>
      </w:pPr>
      <w:rPr>
        <w:rFonts w:ascii="Symbol" w:hAnsi="Symbol" w:hint="default"/>
      </w:rPr>
    </w:lvl>
    <w:lvl w:ilvl="1" w:tplc="91169CF2">
      <w:numFmt w:val="decimal"/>
      <w:lvlText w:val=""/>
      <w:lvlJc w:val="left"/>
    </w:lvl>
    <w:lvl w:ilvl="2" w:tplc="89E0F796">
      <w:numFmt w:val="decimal"/>
      <w:lvlText w:val=""/>
      <w:lvlJc w:val="left"/>
    </w:lvl>
    <w:lvl w:ilvl="3" w:tplc="D7768952">
      <w:numFmt w:val="decimal"/>
      <w:lvlText w:val=""/>
      <w:lvlJc w:val="left"/>
    </w:lvl>
    <w:lvl w:ilvl="4" w:tplc="AB044256">
      <w:numFmt w:val="decimal"/>
      <w:lvlText w:val=""/>
      <w:lvlJc w:val="left"/>
    </w:lvl>
    <w:lvl w:ilvl="5" w:tplc="3B08132C">
      <w:numFmt w:val="decimal"/>
      <w:lvlText w:val=""/>
      <w:lvlJc w:val="left"/>
    </w:lvl>
    <w:lvl w:ilvl="6" w:tplc="FFEEEA7A">
      <w:numFmt w:val="decimal"/>
      <w:lvlText w:val=""/>
      <w:lvlJc w:val="left"/>
    </w:lvl>
    <w:lvl w:ilvl="7" w:tplc="07A460FA">
      <w:numFmt w:val="decimal"/>
      <w:lvlText w:val=""/>
      <w:lvlJc w:val="left"/>
    </w:lvl>
    <w:lvl w:ilvl="8" w:tplc="CB0627EE">
      <w:numFmt w:val="decimal"/>
      <w:lvlText w:val=""/>
      <w:lvlJc w:val="left"/>
    </w:lvl>
  </w:abstractNum>
  <w:abstractNum w:abstractNumId="1163" w15:restartNumberingAfterBreak="0">
    <w:nsid w:val="78B63A35"/>
    <w:multiLevelType w:val="hybridMultilevel"/>
    <w:tmpl w:val="96A6FF1A"/>
    <w:lvl w:ilvl="0" w:tplc="3A902B6E">
      <w:start w:val="1"/>
      <w:numFmt w:val="bullet"/>
      <w:lvlText w:val=""/>
      <w:lvlJc w:val="left"/>
      <w:pPr>
        <w:ind w:left="720" w:hanging="180"/>
      </w:pPr>
      <w:rPr>
        <w:rFonts w:ascii="Symbol" w:hAnsi="Symbol" w:hint="default"/>
      </w:rPr>
    </w:lvl>
    <w:lvl w:ilvl="1" w:tplc="81DAE862">
      <w:numFmt w:val="decimal"/>
      <w:lvlText w:val=""/>
      <w:lvlJc w:val="left"/>
    </w:lvl>
    <w:lvl w:ilvl="2" w:tplc="89C84880">
      <w:numFmt w:val="decimal"/>
      <w:lvlText w:val=""/>
      <w:lvlJc w:val="left"/>
    </w:lvl>
    <w:lvl w:ilvl="3" w:tplc="EC96E5FC">
      <w:numFmt w:val="decimal"/>
      <w:lvlText w:val=""/>
      <w:lvlJc w:val="left"/>
    </w:lvl>
    <w:lvl w:ilvl="4" w:tplc="71E280BE">
      <w:numFmt w:val="decimal"/>
      <w:lvlText w:val=""/>
      <w:lvlJc w:val="left"/>
    </w:lvl>
    <w:lvl w:ilvl="5" w:tplc="82A219BA">
      <w:numFmt w:val="decimal"/>
      <w:lvlText w:val=""/>
      <w:lvlJc w:val="left"/>
    </w:lvl>
    <w:lvl w:ilvl="6" w:tplc="58D8F178">
      <w:numFmt w:val="decimal"/>
      <w:lvlText w:val=""/>
      <w:lvlJc w:val="left"/>
    </w:lvl>
    <w:lvl w:ilvl="7" w:tplc="4B86AD7A">
      <w:numFmt w:val="decimal"/>
      <w:lvlText w:val=""/>
      <w:lvlJc w:val="left"/>
    </w:lvl>
    <w:lvl w:ilvl="8" w:tplc="9BF215A2">
      <w:numFmt w:val="decimal"/>
      <w:lvlText w:val=""/>
      <w:lvlJc w:val="left"/>
    </w:lvl>
  </w:abstractNum>
  <w:abstractNum w:abstractNumId="1164" w15:restartNumberingAfterBreak="0">
    <w:nsid w:val="78BF1781"/>
    <w:multiLevelType w:val="hybridMultilevel"/>
    <w:tmpl w:val="D31448B2"/>
    <w:lvl w:ilvl="0" w:tplc="275A2632">
      <w:start w:val="1"/>
      <w:numFmt w:val="bullet"/>
      <w:lvlText w:val=""/>
      <w:lvlJc w:val="left"/>
      <w:pPr>
        <w:ind w:left="720" w:hanging="180"/>
      </w:pPr>
      <w:rPr>
        <w:rFonts w:ascii="Symbol" w:hAnsi="Symbol" w:hint="default"/>
      </w:rPr>
    </w:lvl>
    <w:lvl w:ilvl="1" w:tplc="9A9CB9FE">
      <w:numFmt w:val="decimal"/>
      <w:lvlText w:val=""/>
      <w:lvlJc w:val="left"/>
    </w:lvl>
    <w:lvl w:ilvl="2" w:tplc="B9104A18">
      <w:numFmt w:val="decimal"/>
      <w:lvlText w:val=""/>
      <w:lvlJc w:val="left"/>
    </w:lvl>
    <w:lvl w:ilvl="3" w:tplc="E4D0A170">
      <w:numFmt w:val="decimal"/>
      <w:lvlText w:val=""/>
      <w:lvlJc w:val="left"/>
    </w:lvl>
    <w:lvl w:ilvl="4" w:tplc="B0B0CE60">
      <w:numFmt w:val="decimal"/>
      <w:lvlText w:val=""/>
      <w:lvlJc w:val="left"/>
    </w:lvl>
    <w:lvl w:ilvl="5" w:tplc="F6DAC0FC">
      <w:numFmt w:val="decimal"/>
      <w:lvlText w:val=""/>
      <w:lvlJc w:val="left"/>
    </w:lvl>
    <w:lvl w:ilvl="6" w:tplc="27BA6636">
      <w:numFmt w:val="decimal"/>
      <w:lvlText w:val=""/>
      <w:lvlJc w:val="left"/>
    </w:lvl>
    <w:lvl w:ilvl="7" w:tplc="81A4F1A4">
      <w:numFmt w:val="decimal"/>
      <w:lvlText w:val=""/>
      <w:lvlJc w:val="left"/>
    </w:lvl>
    <w:lvl w:ilvl="8" w:tplc="D8BAE4EA">
      <w:numFmt w:val="decimal"/>
      <w:lvlText w:val=""/>
      <w:lvlJc w:val="left"/>
    </w:lvl>
  </w:abstractNum>
  <w:abstractNum w:abstractNumId="1165" w15:restartNumberingAfterBreak="0">
    <w:nsid w:val="78CB5592"/>
    <w:multiLevelType w:val="hybridMultilevel"/>
    <w:tmpl w:val="279A87DC"/>
    <w:lvl w:ilvl="0" w:tplc="A45CE9F0">
      <w:start w:val="1"/>
      <w:numFmt w:val="bullet"/>
      <w:lvlText w:val=""/>
      <w:lvlJc w:val="left"/>
      <w:pPr>
        <w:ind w:left="720" w:hanging="180"/>
      </w:pPr>
      <w:rPr>
        <w:rFonts w:ascii="Symbol" w:hAnsi="Symbol" w:hint="default"/>
      </w:rPr>
    </w:lvl>
    <w:lvl w:ilvl="1" w:tplc="4300C430">
      <w:numFmt w:val="decimal"/>
      <w:lvlText w:val=""/>
      <w:lvlJc w:val="left"/>
    </w:lvl>
    <w:lvl w:ilvl="2" w:tplc="09F8D5F4">
      <w:numFmt w:val="decimal"/>
      <w:lvlText w:val=""/>
      <w:lvlJc w:val="left"/>
    </w:lvl>
    <w:lvl w:ilvl="3" w:tplc="A9F0DECA">
      <w:numFmt w:val="decimal"/>
      <w:lvlText w:val=""/>
      <w:lvlJc w:val="left"/>
    </w:lvl>
    <w:lvl w:ilvl="4" w:tplc="726AC384">
      <w:numFmt w:val="decimal"/>
      <w:lvlText w:val=""/>
      <w:lvlJc w:val="left"/>
    </w:lvl>
    <w:lvl w:ilvl="5" w:tplc="30905FA2">
      <w:numFmt w:val="decimal"/>
      <w:lvlText w:val=""/>
      <w:lvlJc w:val="left"/>
    </w:lvl>
    <w:lvl w:ilvl="6" w:tplc="6504C940">
      <w:numFmt w:val="decimal"/>
      <w:lvlText w:val=""/>
      <w:lvlJc w:val="left"/>
    </w:lvl>
    <w:lvl w:ilvl="7" w:tplc="3BFEF692">
      <w:numFmt w:val="decimal"/>
      <w:lvlText w:val=""/>
      <w:lvlJc w:val="left"/>
    </w:lvl>
    <w:lvl w:ilvl="8" w:tplc="0406C756">
      <w:numFmt w:val="decimal"/>
      <w:lvlText w:val=""/>
      <w:lvlJc w:val="left"/>
    </w:lvl>
  </w:abstractNum>
  <w:abstractNum w:abstractNumId="1166" w15:restartNumberingAfterBreak="0">
    <w:nsid w:val="78CF7532"/>
    <w:multiLevelType w:val="hybridMultilevel"/>
    <w:tmpl w:val="C43CD33C"/>
    <w:lvl w:ilvl="0" w:tplc="3ED6140A">
      <w:numFmt w:val="decimal"/>
      <w:lvlText w:val=""/>
      <w:lvlJc w:val="left"/>
    </w:lvl>
    <w:lvl w:ilvl="1" w:tplc="317A9B46">
      <w:start w:val="1"/>
      <w:numFmt w:val="bullet"/>
      <w:lvlText w:val=""/>
      <w:lvlJc w:val="left"/>
      <w:pPr>
        <w:ind w:left="1440" w:hanging="180"/>
      </w:pPr>
      <w:rPr>
        <w:rFonts w:ascii="Symbol" w:hAnsi="Symbol" w:hint="default"/>
      </w:rPr>
    </w:lvl>
    <w:lvl w:ilvl="2" w:tplc="5FBC14D0">
      <w:numFmt w:val="decimal"/>
      <w:lvlText w:val=""/>
      <w:lvlJc w:val="left"/>
    </w:lvl>
    <w:lvl w:ilvl="3" w:tplc="CFA2F166">
      <w:numFmt w:val="decimal"/>
      <w:lvlText w:val=""/>
      <w:lvlJc w:val="left"/>
    </w:lvl>
    <w:lvl w:ilvl="4" w:tplc="5678D1C2">
      <w:numFmt w:val="decimal"/>
      <w:lvlText w:val=""/>
      <w:lvlJc w:val="left"/>
    </w:lvl>
    <w:lvl w:ilvl="5" w:tplc="9E4A049E">
      <w:numFmt w:val="decimal"/>
      <w:lvlText w:val=""/>
      <w:lvlJc w:val="left"/>
    </w:lvl>
    <w:lvl w:ilvl="6" w:tplc="7520E440">
      <w:numFmt w:val="decimal"/>
      <w:lvlText w:val=""/>
      <w:lvlJc w:val="left"/>
    </w:lvl>
    <w:lvl w:ilvl="7" w:tplc="06986AA8">
      <w:numFmt w:val="decimal"/>
      <w:lvlText w:val=""/>
      <w:lvlJc w:val="left"/>
    </w:lvl>
    <w:lvl w:ilvl="8" w:tplc="462EB1E8">
      <w:numFmt w:val="decimal"/>
      <w:lvlText w:val=""/>
      <w:lvlJc w:val="left"/>
    </w:lvl>
  </w:abstractNum>
  <w:abstractNum w:abstractNumId="1167" w15:restartNumberingAfterBreak="0">
    <w:nsid w:val="79423165"/>
    <w:multiLevelType w:val="hybridMultilevel"/>
    <w:tmpl w:val="525E31A6"/>
    <w:lvl w:ilvl="0" w:tplc="FB90765E">
      <w:start w:val="1"/>
      <w:numFmt w:val="bullet"/>
      <w:lvlText w:val=""/>
      <w:lvlJc w:val="left"/>
      <w:pPr>
        <w:ind w:left="720" w:hanging="180"/>
      </w:pPr>
      <w:rPr>
        <w:rFonts w:ascii="Symbol" w:hAnsi="Symbol" w:hint="default"/>
      </w:rPr>
    </w:lvl>
    <w:lvl w:ilvl="1" w:tplc="65A8672A">
      <w:numFmt w:val="decimal"/>
      <w:lvlText w:val=""/>
      <w:lvlJc w:val="left"/>
    </w:lvl>
    <w:lvl w:ilvl="2" w:tplc="27F08022">
      <w:numFmt w:val="decimal"/>
      <w:lvlText w:val=""/>
      <w:lvlJc w:val="left"/>
    </w:lvl>
    <w:lvl w:ilvl="3" w:tplc="F6D25962">
      <w:numFmt w:val="decimal"/>
      <w:lvlText w:val=""/>
      <w:lvlJc w:val="left"/>
    </w:lvl>
    <w:lvl w:ilvl="4" w:tplc="6D90CF9C">
      <w:numFmt w:val="decimal"/>
      <w:lvlText w:val=""/>
      <w:lvlJc w:val="left"/>
    </w:lvl>
    <w:lvl w:ilvl="5" w:tplc="38F6B29E">
      <w:numFmt w:val="decimal"/>
      <w:lvlText w:val=""/>
      <w:lvlJc w:val="left"/>
    </w:lvl>
    <w:lvl w:ilvl="6" w:tplc="D24E9436">
      <w:numFmt w:val="decimal"/>
      <w:lvlText w:val=""/>
      <w:lvlJc w:val="left"/>
    </w:lvl>
    <w:lvl w:ilvl="7" w:tplc="86E8EE9A">
      <w:numFmt w:val="decimal"/>
      <w:lvlText w:val=""/>
      <w:lvlJc w:val="left"/>
    </w:lvl>
    <w:lvl w:ilvl="8" w:tplc="4E3CB394">
      <w:numFmt w:val="decimal"/>
      <w:lvlText w:val=""/>
      <w:lvlJc w:val="left"/>
    </w:lvl>
  </w:abstractNum>
  <w:abstractNum w:abstractNumId="1168" w15:restartNumberingAfterBreak="0">
    <w:nsid w:val="794C33C2"/>
    <w:multiLevelType w:val="hybridMultilevel"/>
    <w:tmpl w:val="AFC00504"/>
    <w:lvl w:ilvl="0" w:tplc="E75C5AFA">
      <w:start w:val="1"/>
      <w:numFmt w:val="bullet"/>
      <w:lvlText w:val=""/>
      <w:lvlJc w:val="left"/>
      <w:pPr>
        <w:ind w:left="720" w:hanging="180"/>
      </w:pPr>
      <w:rPr>
        <w:rFonts w:ascii="Symbol" w:hAnsi="Symbol" w:hint="default"/>
      </w:rPr>
    </w:lvl>
    <w:lvl w:ilvl="1" w:tplc="8FD46148">
      <w:numFmt w:val="decimal"/>
      <w:lvlText w:val=""/>
      <w:lvlJc w:val="left"/>
    </w:lvl>
    <w:lvl w:ilvl="2" w:tplc="79F8C65A">
      <w:numFmt w:val="decimal"/>
      <w:lvlText w:val=""/>
      <w:lvlJc w:val="left"/>
    </w:lvl>
    <w:lvl w:ilvl="3" w:tplc="1C2298EC">
      <w:numFmt w:val="decimal"/>
      <w:lvlText w:val=""/>
      <w:lvlJc w:val="left"/>
    </w:lvl>
    <w:lvl w:ilvl="4" w:tplc="FCE0D9F2">
      <w:numFmt w:val="decimal"/>
      <w:lvlText w:val=""/>
      <w:lvlJc w:val="left"/>
    </w:lvl>
    <w:lvl w:ilvl="5" w:tplc="B0147002">
      <w:numFmt w:val="decimal"/>
      <w:lvlText w:val=""/>
      <w:lvlJc w:val="left"/>
    </w:lvl>
    <w:lvl w:ilvl="6" w:tplc="6616F3DA">
      <w:numFmt w:val="decimal"/>
      <w:lvlText w:val=""/>
      <w:lvlJc w:val="left"/>
    </w:lvl>
    <w:lvl w:ilvl="7" w:tplc="ADA892B6">
      <w:numFmt w:val="decimal"/>
      <w:lvlText w:val=""/>
      <w:lvlJc w:val="left"/>
    </w:lvl>
    <w:lvl w:ilvl="8" w:tplc="E9F4D64E">
      <w:numFmt w:val="decimal"/>
      <w:lvlText w:val=""/>
      <w:lvlJc w:val="left"/>
    </w:lvl>
  </w:abstractNum>
  <w:abstractNum w:abstractNumId="1169" w15:restartNumberingAfterBreak="0">
    <w:nsid w:val="79D1218C"/>
    <w:multiLevelType w:val="hybridMultilevel"/>
    <w:tmpl w:val="753046E4"/>
    <w:lvl w:ilvl="0" w:tplc="10700218">
      <w:numFmt w:val="decimal"/>
      <w:lvlText w:val=""/>
      <w:lvlJc w:val="left"/>
    </w:lvl>
    <w:lvl w:ilvl="1" w:tplc="AE4065E6">
      <w:start w:val="1"/>
      <w:numFmt w:val="bullet"/>
      <w:lvlText w:val=""/>
      <w:lvlJc w:val="left"/>
      <w:pPr>
        <w:ind w:left="1440" w:hanging="180"/>
      </w:pPr>
      <w:rPr>
        <w:rFonts w:ascii="Symbol" w:hAnsi="Symbol" w:hint="default"/>
      </w:rPr>
    </w:lvl>
    <w:lvl w:ilvl="2" w:tplc="7D860ABA">
      <w:numFmt w:val="decimal"/>
      <w:lvlText w:val=""/>
      <w:lvlJc w:val="left"/>
    </w:lvl>
    <w:lvl w:ilvl="3" w:tplc="C138F484">
      <w:numFmt w:val="decimal"/>
      <w:lvlText w:val=""/>
      <w:lvlJc w:val="left"/>
    </w:lvl>
    <w:lvl w:ilvl="4" w:tplc="244CC6D6">
      <w:numFmt w:val="decimal"/>
      <w:lvlText w:val=""/>
      <w:lvlJc w:val="left"/>
    </w:lvl>
    <w:lvl w:ilvl="5" w:tplc="9DC4E906">
      <w:numFmt w:val="decimal"/>
      <w:lvlText w:val=""/>
      <w:lvlJc w:val="left"/>
    </w:lvl>
    <w:lvl w:ilvl="6" w:tplc="5086B878">
      <w:numFmt w:val="decimal"/>
      <w:lvlText w:val=""/>
      <w:lvlJc w:val="left"/>
    </w:lvl>
    <w:lvl w:ilvl="7" w:tplc="6A0E35A2">
      <w:numFmt w:val="decimal"/>
      <w:lvlText w:val=""/>
      <w:lvlJc w:val="left"/>
    </w:lvl>
    <w:lvl w:ilvl="8" w:tplc="E84C448E">
      <w:numFmt w:val="decimal"/>
      <w:lvlText w:val=""/>
      <w:lvlJc w:val="left"/>
    </w:lvl>
  </w:abstractNum>
  <w:abstractNum w:abstractNumId="1170" w15:restartNumberingAfterBreak="0">
    <w:nsid w:val="79E50C0E"/>
    <w:multiLevelType w:val="hybridMultilevel"/>
    <w:tmpl w:val="64FC7692"/>
    <w:lvl w:ilvl="0" w:tplc="46B88E56">
      <w:start w:val="1"/>
      <w:numFmt w:val="bullet"/>
      <w:lvlText w:val=""/>
      <w:lvlJc w:val="left"/>
      <w:pPr>
        <w:ind w:left="720" w:hanging="180"/>
      </w:pPr>
      <w:rPr>
        <w:rFonts w:ascii="Symbol" w:hAnsi="Symbol" w:hint="default"/>
      </w:rPr>
    </w:lvl>
    <w:lvl w:ilvl="1" w:tplc="00309C22">
      <w:numFmt w:val="decimal"/>
      <w:lvlText w:val=""/>
      <w:lvlJc w:val="left"/>
    </w:lvl>
    <w:lvl w:ilvl="2" w:tplc="3A24CC38">
      <w:numFmt w:val="decimal"/>
      <w:lvlText w:val=""/>
      <w:lvlJc w:val="left"/>
    </w:lvl>
    <w:lvl w:ilvl="3" w:tplc="2228B008">
      <w:numFmt w:val="decimal"/>
      <w:lvlText w:val=""/>
      <w:lvlJc w:val="left"/>
    </w:lvl>
    <w:lvl w:ilvl="4" w:tplc="BDD05E4C">
      <w:numFmt w:val="decimal"/>
      <w:lvlText w:val=""/>
      <w:lvlJc w:val="left"/>
    </w:lvl>
    <w:lvl w:ilvl="5" w:tplc="F678141E">
      <w:numFmt w:val="decimal"/>
      <w:lvlText w:val=""/>
      <w:lvlJc w:val="left"/>
    </w:lvl>
    <w:lvl w:ilvl="6" w:tplc="165E5A18">
      <w:numFmt w:val="decimal"/>
      <w:lvlText w:val=""/>
      <w:lvlJc w:val="left"/>
    </w:lvl>
    <w:lvl w:ilvl="7" w:tplc="DFF0B8CE">
      <w:numFmt w:val="decimal"/>
      <w:lvlText w:val=""/>
      <w:lvlJc w:val="left"/>
    </w:lvl>
    <w:lvl w:ilvl="8" w:tplc="5094A9E2">
      <w:numFmt w:val="decimal"/>
      <w:lvlText w:val=""/>
      <w:lvlJc w:val="left"/>
    </w:lvl>
  </w:abstractNum>
  <w:abstractNum w:abstractNumId="1171" w15:restartNumberingAfterBreak="0">
    <w:nsid w:val="7A056FDE"/>
    <w:multiLevelType w:val="hybridMultilevel"/>
    <w:tmpl w:val="BC326AD0"/>
    <w:lvl w:ilvl="0" w:tplc="295891BC">
      <w:start w:val="1"/>
      <w:numFmt w:val="bullet"/>
      <w:lvlText w:val=""/>
      <w:lvlJc w:val="left"/>
      <w:pPr>
        <w:ind w:left="720" w:hanging="180"/>
      </w:pPr>
      <w:rPr>
        <w:rFonts w:ascii="Symbol" w:hAnsi="Symbol" w:hint="default"/>
      </w:rPr>
    </w:lvl>
    <w:lvl w:ilvl="1" w:tplc="8228C722">
      <w:numFmt w:val="decimal"/>
      <w:lvlText w:val=""/>
      <w:lvlJc w:val="left"/>
    </w:lvl>
    <w:lvl w:ilvl="2" w:tplc="DACA25C8">
      <w:numFmt w:val="decimal"/>
      <w:lvlText w:val=""/>
      <w:lvlJc w:val="left"/>
    </w:lvl>
    <w:lvl w:ilvl="3" w:tplc="C8A276DC">
      <w:numFmt w:val="decimal"/>
      <w:lvlText w:val=""/>
      <w:lvlJc w:val="left"/>
    </w:lvl>
    <w:lvl w:ilvl="4" w:tplc="6164A7A0">
      <w:numFmt w:val="decimal"/>
      <w:lvlText w:val=""/>
      <w:lvlJc w:val="left"/>
    </w:lvl>
    <w:lvl w:ilvl="5" w:tplc="201A1040">
      <w:numFmt w:val="decimal"/>
      <w:lvlText w:val=""/>
      <w:lvlJc w:val="left"/>
    </w:lvl>
    <w:lvl w:ilvl="6" w:tplc="CA0CC3AC">
      <w:numFmt w:val="decimal"/>
      <w:lvlText w:val=""/>
      <w:lvlJc w:val="left"/>
    </w:lvl>
    <w:lvl w:ilvl="7" w:tplc="2446FE98">
      <w:numFmt w:val="decimal"/>
      <w:lvlText w:val=""/>
      <w:lvlJc w:val="left"/>
    </w:lvl>
    <w:lvl w:ilvl="8" w:tplc="93721BA4">
      <w:numFmt w:val="decimal"/>
      <w:lvlText w:val=""/>
      <w:lvlJc w:val="left"/>
    </w:lvl>
  </w:abstractNum>
  <w:abstractNum w:abstractNumId="1172" w15:restartNumberingAfterBreak="0">
    <w:nsid w:val="7A1D7698"/>
    <w:multiLevelType w:val="hybridMultilevel"/>
    <w:tmpl w:val="F4DAD49E"/>
    <w:lvl w:ilvl="0" w:tplc="6AB87B56">
      <w:start w:val="1"/>
      <w:numFmt w:val="bullet"/>
      <w:lvlText w:val=""/>
      <w:lvlJc w:val="left"/>
      <w:pPr>
        <w:ind w:left="720" w:hanging="180"/>
      </w:pPr>
      <w:rPr>
        <w:rFonts w:ascii="Symbol" w:hAnsi="Symbol" w:hint="default"/>
      </w:rPr>
    </w:lvl>
    <w:lvl w:ilvl="1" w:tplc="24EE3502">
      <w:numFmt w:val="decimal"/>
      <w:lvlText w:val=""/>
      <w:lvlJc w:val="left"/>
    </w:lvl>
    <w:lvl w:ilvl="2" w:tplc="F51E3418">
      <w:numFmt w:val="decimal"/>
      <w:lvlText w:val=""/>
      <w:lvlJc w:val="left"/>
    </w:lvl>
    <w:lvl w:ilvl="3" w:tplc="D7042C82">
      <w:numFmt w:val="decimal"/>
      <w:lvlText w:val=""/>
      <w:lvlJc w:val="left"/>
    </w:lvl>
    <w:lvl w:ilvl="4" w:tplc="012A2B14">
      <w:numFmt w:val="decimal"/>
      <w:lvlText w:val=""/>
      <w:lvlJc w:val="left"/>
    </w:lvl>
    <w:lvl w:ilvl="5" w:tplc="E61A2198">
      <w:numFmt w:val="decimal"/>
      <w:lvlText w:val=""/>
      <w:lvlJc w:val="left"/>
    </w:lvl>
    <w:lvl w:ilvl="6" w:tplc="2FDC63B4">
      <w:numFmt w:val="decimal"/>
      <w:lvlText w:val=""/>
      <w:lvlJc w:val="left"/>
    </w:lvl>
    <w:lvl w:ilvl="7" w:tplc="53820124">
      <w:numFmt w:val="decimal"/>
      <w:lvlText w:val=""/>
      <w:lvlJc w:val="left"/>
    </w:lvl>
    <w:lvl w:ilvl="8" w:tplc="0C1ABFAA">
      <w:numFmt w:val="decimal"/>
      <w:lvlText w:val=""/>
      <w:lvlJc w:val="left"/>
    </w:lvl>
  </w:abstractNum>
  <w:abstractNum w:abstractNumId="1173" w15:restartNumberingAfterBreak="0">
    <w:nsid w:val="7A270EC6"/>
    <w:multiLevelType w:val="hybridMultilevel"/>
    <w:tmpl w:val="D3EA50E0"/>
    <w:lvl w:ilvl="0" w:tplc="1B562F92">
      <w:start w:val="1"/>
      <w:numFmt w:val="bullet"/>
      <w:lvlText w:val=""/>
      <w:lvlJc w:val="left"/>
      <w:pPr>
        <w:ind w:left="720" w:hanging="180"/>
      </w:pPr>
      <w:rPr>
        <w:rFonts w:ascii="Symbol" w:hAnsi="Symbol" w:hint="default"/>
      </w:rPr>
    </w:lvl>
    <w:lvl w:ilvl="1" w:tplc="7806E146">
      <w:numFmt w:val="decimal"/>
      <w:lvlText w:val=""/>
      <w:lvlJc w:val="left"/>
    </w:lvl>
    <w:lvl w:ilvl="2" w:tplc="B5D42932">
      <w:numFmt w:val="decimal"/>
      <w:lvlText w:val=""/>
      <w:lvlJc w:val="left"/>
    </w:lvl>
    <w:lvl w:ilvl="3" w:tplc="EC2E424A">
      <w:numFmt w:val="decimal"/>
      <w:lvlText w:val=""/>
      <w:lvlJc w:val="left"/>
    </w:lvl>
    <w:lvl w:ilvl="4" w:tplc="86CA95AA">
      <w:numFmt w:val="decimal"/>
      <w:lvlText w:val=""/>
      <w:lvlJc w:val="left"/>
    </w:lvl>
    <w:lvl w:ilvl="5" w:tplc="2EE0A50A">
      <w:numFmt w:val="decimal"/>
      <w:lvlText w:val=""/>
      <w:lvlJc w:val="left"/>
    </w:lvl>
    <w:lvl w:ilvl="6" w:tplc="FABE137A">
      <w:numFmt w:val="decimal"/>
      <w:lvlText w:val=""/>
      <w:lvlJc w:val="left"/>
    </w:lvl>
    <w:lvl w:ilvl="7" w:tplc="8766E29E">
      <w:numFmt w:val="decimal"/>
      <w:lvlText w:val=""/>
      <w:lvlJc w:val="left"/>
    </w:lvl>
    <w:lvl w:ilvl="8" w:tplc="85384A8E">
      <w:numFmt w:val="decimal"/>
      <w:lvlText w:val=""/>
      <w:lvlJc w:val="left"/>
    </w:lvl>
  </w:abstractNum>
  <w:abstractNum w:abstractNumId="1174" w15:restartNumberingAfterBreak="0">
    <w:nsid w:val="7A2B1899"/>
    <w:multiLevelType w:val="hybridMultilevel"/>
    <w:tmpl w:val="BD260C2C"/>
    <w:lvl w:ilvl="0" w:tplc="30AC8654">
      <w:start w:val="1"/>
      <w:numFmt w:val="bullet"/>
      <w:lvlText w:val=""/>
      <w:lvlJc w:val="left"/>
      <w:pPr>
        <w:ind w:left="720" w:hanging="180"/>
      </w:pPr>
      <w:rPr>
        <w:rFonts w:ascii="Symbol" w:hAnsi="Symbol" w:hint="default"/>
      </w:rPr>
    </w:lvl>
    <w:lvl w:ilvl="1" w:tplc="B5A89798">
      <w:numFmt w:val="decimal"/>
      <w:lvlText w:val=""/>
      <w:lvlJc w:val="left"/>
    </w:lvl>
    <w:lvl w:ilvl="2" w:tplc="31FE2578">
      <w:numFmt w:val="decimal"/>
      <w:lvlText w:val=""/>
      <w:lvlJc w:val="left"/>
    </w:lvl>
    <w:lvl w:ilvl="3" w:tplc="C7A227FA">
      <w:numFmt w:val="decimal"/>
      <w:lvlText w:val=""/>
      <w:lvlJc w:val="left"/>
    </w:lvl>
    <w:lvl w:ilvl="4" w:tplc="209088BC">
      <w:numFmt w:val="decimal"/>
      <w:lvlText w:val=""/>
      <w:lvlJc w:val="left"/>
    </w:lvl>
    <w:lvl w:ilvl="5" w:tplc="33FA828C">
      <w:numFmt w:val="decimal"/>
      <w:lvlText w:val=""/>
      <w:lvlJc w:val="left"/>
    </w:lvl>
    <w:lvl w:ilvl="6" w:tplc="CA58223C">
      <w:numFmt w:val="decimal"/>
      <w:lvlText w:val=""/>
      <w:lvlJc w:val="left"/>
    </w:lvl>
    <w:lvl w:ilvl="7" w:tplc="99FE4EBC">
      <w:numFmt w:val="decimal"/>
      <w:lvlText w:val=""/>
      <w:lvlJc w:val="left"/>
    </w:lvl>
    <w:lvl w:ilvl="8" w:tplc="12B27904">
      <w:numFmt w:val="decimal"/>
      <w:lvlText w:val=""/>
      <w:lvlJc w:val="left"/>
    </w:lvl>
  </w:abstractNum>
  <w:abstractNum w:abstractNumId="1175" w15:restartNumberingAfterBreak="0">
    <w:nsid w:val="7A3056A4"/>
    <w:multiLevelType w:val="hybridMultilevel"/>
    <w:tmpl w:val="0DAA728A"/>
    <w:lvl w:ilvl="0" w:tplc="BB0C53CC">
      <w:start w:val="1"/>
      <w:numFmt w:val="bullet"/>
      <w:lvlText w:val=""/>
      <w:lvlJc w:val="left"/>
      <w:pPr>
        <w:ind w:left="720" w:hanging="180"/>
      </w:pPr>
      <w:rPr>
        <w:rFonts w:ascii="Symbol" w:hAnsi="Symbol" w:hint="default"/>
      </w:rPr>
    </w:lvl>
    <w:lvl w:ilvl="1" w:tplc="14A45DAC">
      <w:numFmt w:val="decimal"/>
      <w:lvlText w:val=""/>
      <w:lvlJc w:val="left"/>
    </w:lvl>
    <w:lvl w:ilvl="2" w:tplc="17A8DEC6">
      <w:numFmt w:val="decimal"/>
      <w:lvlText w:val=""/>
      <w:lvlJc w:val="left"/>
    </w:lvl>
    <w:lvl w:ilvl="3" w:tplc="FEC209FA">
      <w:numFmt w:val="decimal"/>
      <w:lvlText w:val=""/>
      <w:lvlJc w:val="left"/>
    </w:lvl>
    <w:lvl w:ilvl="4" w:tplc="35ECFA38">
      <w:numFmt w:val="decimal"/>
      <w:lvlText w:val=""/>
      <w:lvlJc w:val="left"/>
    </w:lvl>
    <w:lvl w:ilvl="5" w:tplc="EF843C96">
      <w:numFmt w:val="decimal"/>
      <w:lvlText w:val=""/>
      <w:lvlJc w:val="left"/>
    </w:lvl>
    <w:lvl w:ilvl="6" w:tplc="C338F1EC">
      <w:numFmt w:val="decimal"/>
      <w:lvlText w:val=""/>
      <w:lvlJc w:val="left"/>
    </w:lvl>
    <w:lvl w:ilvl="7" w:tplc="91FC15D8">
      <w:numFmt w:val="decimal"/>
      <w:lvlText w:val=""/>
      <w:lvlJc w:val="left"/>
    </w:lvl>
    <w:lvl w:ilvl="8" w:tplc="83F0FE7A">
      <w:numFmt w:val="decimal"/>
      <w:lvlText w:val=""/>
      <w:lvlJc w:val="left"/>
    </w:lvl>
  </w:abstractNum>
  <w:abstractNum w:abstractNumId="1176" w15:restartNumberingAfterBreak="0">
    <w:nsid w:val="7A4C0E22"/>
    <w:multiLevelType w:val="hybridMultilevel"/>
    <w:tmpl w:val="DF8ECF34"/>
    <w:lvl w:ilvl="0" w:tplc="B3FEA238">
      <w:start w:val="1"/>
      <w:numFmt w:val="bullet"/>
      <w:lvlText w:val=""/>
      <w:lvlJc w:val="left"/>
      <w:pPr>
        <w:ind w:left="720" w:hanging="180"/>
      </w:pPr>
      <w:rPr>
        <w:rFonts w:ascii="Symbol" w:hAnsi="Symbol" w:hint="default"/>
      </w:rPr>
    </w:lvl>
    <w:lvl w:ilvl="1" w:tplc="E7462C1C">
      <w:numFmt w:val="decimal"/>
      <w:lvlText w:val=""/>
      <w:lvlJc w:val="left"/>
    </w:lvl>
    <w:lvl w:ilvl="2" w:tplc="B0E4B2E6">
      <w:numFmt w:val="decimal"/>
      <w:lvlText w:val=""/>
      <w:lvlJc w:val="left"/>
    </w:lvl>
    <w:lvl w:ilvl="3" w:tplc="D050397C">
      <w:numFmt w:val="decimal"/>
      <w:lvlText w:val=""/>
      <w:lvlJc w:val="left"/>
    </w:lvl>
    <w:lvl w:ilvl="4" w:tplc="A1189C30">
      <w:numFmt w:val="decimal"/>
      <w:lvlText w:val=""/>
      <w:lvlJc w:val="left"/>
    </w:lvl>
    <w:lvl w:ilvl="5" w:tplc="4F946936">
      <w:numFmt w:val="decimal"/>
      <w:lvlText w:val=""/>
      <w:lvlJc w:val="left"/>
    </w:lvl>
    <w:lvl w:ilvl="6" w:tplc="AB36CACC">
      <w:numFmt w:val="decimal"/>
      <w:lvlText w:val=""/>
      <w:lvlJc w:val="left"/>
    </w:lvl>
    <w:lvl w:ilvl="7" w:tplc="6972DA5A">
      <w:numFmt w:val="decimal"/>
      <w:lvlText w:val=""/>
      <w:lvlJc w:val="left"/>
    </w:lvl>
    <w:lvl w:ilvl="8" w:tplc="6D084456">
      <w:numFmt w:val="decimal"/>
      <w:lvlText w:val=""/>
      <w:lvlJc w:val="left"/>
    </w:lvl>
  </w:abstractNum>
  <w:abstractNum w:abstractNumId="1177" w15:restartNumberingAfterBreak="0">
    <w:nsid w:val="7AA14D5D"/>
    <w:multiLevelType w:val="hybridMultilevel"/>
    <w:tmpl w:val="81369B3E"/>
    <w:lvl w:ilvl="0" w:tplc="313C5008">
      <w:start w:val="1"/>
      <w:numFmt w:val="bullet"/>
      <w:lvlText w:val=""/>
      <w:lvlJc w:val="left"/>
      <w:pPr>
        <w:ind w:left="720" w:hanging="180"/>
      </w:pPr>
      <w:rPr>
        <w:rFonts w:ascii="Symbol" w:hAnsi="Symbol" w:hint="default"/>
      </w:rPr>
    </w:lvl>
    <w:lvl w:ilvl="1" w:tplc="9F26F966">
      <w:numFmt w:val="decimal"/>
      <w:lvlText w:val=""/>
      <w:lvlJc w:val="left"/>
    </w:lvl>
    <w:lvl w:ilvl="2" w:tplc="6A244436">
      <w:numFmt w:val="decimal"/>
      <w:lvlText w:val=""/>
      <w:lvlJc w:val="left"/>
    </w:lvl>
    <w:lvl w:ilvl="3" w:tplc="285E1AE4">
      <w:numFmt w:val="decimal"/>
      <w:lvlText w:val=""/>
      <w:lvlJc w:val="left"/>
    </w:lvl>
    <w:lvl w:ilvl="4" w:tplc="F19A4810">
      <w:numFmt w:val="decimal"/>
      <w:lvlText w:val=""/>
      <w:lvlJc w:val="left"/>
    </w:lvl>
    <w:lvl w:ilvl="5" w:tplc="E580FDE0">
      <w:numFmt w:val="decimal"/>
      <w:lvlText w:val=""/>
      <w:lvlJc w:val="left"/>
    </w:lvl>
    <w:lvl w:ilvl="6" w:tplc="20BA0A4E">
      <w:numFmt w:val="decimal"/>
      <w:lvlText w:val=""/>
      <w:lvlJc w:val="left"/>
    </w:lvl>
    <w:lvl w:ilvl="7" w:tplc="B71E97FA">
      <w:numFmt w:val="decimal"/>
      <w:lvlText w:val=""/>
      <w:lvlJc w:val="left"/>
    </w:lvl>
    <w:lvl w:ilvl="8" w:tplc="00E256F4">
      <w:numFmt w:val="decimal"/>
      <w:lvlText w:val=""/>
      <w:lvlJc w:val="left"/>
    </w:lvl>
  </w:abstractNum>
  <w:abstractNum w:abstractNumId="1178" w15:restartNumberingAfterBreak="0">
    <w:nsid w:val="7AA30C40"/>
    <w:multiLevelType w:val="hybridMultilevel"/>
    <w:tmpl w:val="35846C6A"/>
    <w:lvl w:ilvl="0" w:tplc="99248210">
      <w:start w:val="1"/>
      <w:numFmt w:val="bullet"/>
      <w:lvlText w:val=""/>
      <w:lvlJc w:val="left"/>
      <w:pPr>
        <w:ind w:left="720" w:hanging="180"/>
      </w:pPr>
      <w:rPr>
        <w:rFonts w:ascii="Symbol" w:hAnsi="Symbol" w:hint="default"/>
      </w:rPr>
    </w:lvl>
    <w:lvl w:ilvl="1" w:tplc="032CFD14">
      <w:numFmt w:val="decimal"/>
      <w:lvlText w:val=""/>
      <w:lvlJc w:val="left"/>
    </w:lvl>
    <w:lvl w:ilvl="2" w:tplc="88664C7E">
      <w:numFmt w:val="decimal"/>
      <w:lvlText w:val=""/>
      <w:lvlJc w:val="left"/>
    </w:lvl>
    <w:lvl w:ilvl="3" w:tplc="FA760E66">
      <w:numFmt w:val="decimal"/>
      <w:lvlText w:val=""/>
      <w:lvlJc w:val="left"/>
    </w:lvl>
    <w:lvl w:ilvl="4" w:tplc="DA742596">
      <w:numFmt w:val="decimal"/>
      <w:lvlText w:val=""/>
      <w:lvlJc w:val="left"/>
    </w:lvl>
    <w:lvl w:ilvl="5" w:tplc="3334C1DE">
      <w:numFmt w:val="decimal"/>
      <w:lvlText w:val=""/>
      <w:lvlJc w:val="left"/>
    </w:lvl>
    <w:lvl w:ilvl="6" w:tplc="DE20195E">
      <w:numFmt w:val="decimal"/>
      <w:lvlText w:val=""/>
      <w:lvlJc w:val="left"/>
    </w:lvl>
    <w:lvl w:ilvl="7" w:tplc="B114C4A8">
      <w:numFmt w:val="decimal"/>
      <w:lvlText w:val=""/>
      <w:lvlJc w:val="left"/>
    </w:lvl>
    <w:lvl w:ilvl="8" w:tplc="02A6E380">
      <w:numFmt w:val="decimal"/>
      <w:lvlText w:val=""/>
      <w:lvlJc w:val="left"/>
    </w:lvl>
  </w:abstractNum>
  <w:abstractNum w:abstractNumId="1179" w15:restartNumberingAfterBreak="0">
    <w:nsid w:val="7AB122D9"/>
    <w:multiLevelType w:val="hybridMultilevel"/>
    <w:tmpl w:val="5060D170"/>
    <w:lvl w:ilvl="0" w:tplc="4C00037E">
      <w:start w:val="1"/>
      <w:numFmt w:val="bullet"/>
      <w:lvlText w:val=""/>
      <w:lvlJc w:val="left"/>
      <w:pPr>
        <w:ind w:left="720" w:hanging="180"/>
      </w:pPr>
      <w:rPr>
        <w:rFonts w:ascii="Symbol" w:hAnsi="Symbol" w:hint="default"/>
      </w:rPr>
    </w:lvl>
    <w:lvl w:ilvl="1" w:tplc="380A371A">
      <w:numFmt w:val="decimal"/>
      <w:lvlText w:val=""/>
      <w:lvlJc w:val="left"/>
    </w:lvl>
    <w:lvl w:ilvl="2" w:tplc="6A248110">
      <w:numFmt w:val="decimal"/>
      <w:lvlText w:val=""/>
      <w:lvlJc w:val="left"/>
    </w:lvl>
    <w:lvl w:ilvl="3" w:tplc="A6407AB2">
      <w:numFmt w:val="decimal"/>
      <w:lvlText w:val=""/>
      <w:lvlJc w:val="left"/>
    </w:lvl>
    <w:lvl w:ilvl="4" w:tplc="6608AD4C">
      <w:numFmt w:val="decimal"/>
      <w:lvlText w:val=""/>
      <w:lvlJc w:val="left"/>
    </w:lvl>
    <w:lvl w:ilvl="5" w:tplc="CA2A6616">
      <w:numFmt w:val="decimal"/>
      <w:lvlText w:val=""/>
      <w:lvlJc w:val="left"/>
    </w:lvl>
    <w:lvl w:ilvl="6" w:tplc="B6DE04FE">
      <w:numFmt w:val="decimal"/>
      <w:lvlText w:val=""/>
      <w:lvlJc w:val="left"/>
    </w:lvl>
    <w:lvl w:ilvl="7" w:tplc="DBFABDB4">
      <w:numFmt w:val="decimal"/>
      <w:lvlText w:val=""/>
      <w:lvlJc w:val="left"/>
    </w:lvl>
    <w:lvl w:ilvl="8" w:tplc="3D2E669A">
      <w:numFmt w:val="decimal"/>
      <w:lvlText w:val=""/>
      <w:lvlJc w:val="left"/>
    </w:lvl>
  </w:abstractNum>
  <w:abstractNum w:abstractNumId="1180" w15:restartNumberingAfterBreak="0">
    <w:nsid w:val="7ABA0087"/>
    <w:multiLevelType w:val="hybridMultilevel"/>
    <w:tmpl w:val="E7380C6A"/>
    <w:lvl w:ilvl="0" w:tplc="BDF289AA">
      <w:numFmt w:val="decimal"/>
      <w:lvlText w:val=""/>
      <w:lvlJc w:val="left"/>
    </w:lvl>
    <w:lvl w:ilvl="1" w:tplc="B8CC0852">
      <w:start w:val="1"/>
      <w:numFmt w:val="bullet"/>
      <w:lvlText w:val=""/>
      <w:lvlJc w:val="left"/>
      <w:pPr>
        <w:ind w:left="1440" w:hanging="180"/>
      </w:pPr>
      <w:rPr>
        <w:rFonts w:ascii="Symbol" w:hAnsi="Symbol" w:hint="default"/>
      </w:rPr>
    </w:lvl>
    <w:lvl w:ilvl="2" w:tplc="7C4292B4">
      <w:numFmt w:val="decimal"/>
      <w:lvlText w:val=""/>
      <w:lvlJc w:val="left"/>
    </w:lvl>
    <w:lvl w:ilvl="3" w:tplc="AC84E654">
      <w:numFmt w:val="decimal"/>
      <w:lvlText w:val=""/>
      <w:lvlJc w:val="left"/>
    </w:lvl>
    <w:lvl w:ilvl="4" w:tplc="AEDA8C32">
      <w:numFmt w:val="decimal"/>
      <w:lvlText w:val=""/>
      <w:lvlJc w:val="left"/>
    </w:lvl>
    <w:lvl w:ilvl="5" w:tplc="CDC800D4">
      <w:numFmt w:val="decimal"/>
      <w:lvlText w:val=""/>
      <w:lvlJc w:val="left"/>
    </w:lvl>
    <w:lvl w:ilvl="6" w:tplc="346C9622">
      <w:numFmt w:val="decimal"/>
      <w:lvlText w:val=""/>
      <w:lvlJc w:val="left"/>
    </w:lvl>
    <w:lvl w:ilvl="7" w:tplc="1FA8DFD4">
      <w:numFmt w:val="decimal"/>
      <w:lvlText w:val=""/>
      <w:lvlJc w:val="left"/>
    </w:lvl>
    <w:lvl w:ilvl="8" w:tplc="4354468E">
      <w:numFmt w:val="decimal"/>
      <w:lvlText w:val=""/>
      <w:lvlJc w:val="left"/>
    </w:lvl>
  </w:abstractNum>
  <w:abstractNum w:abstractNumId="1181" w15:restartNumberingAfterBreak="0">
    <w:nsid w:val="7B066323"/>
    <w:multiLevelType w:val="hybridMultilevel"/>
    <w:tmpl w:val="FEBC35FA"/>
    <w:lvl w:ilvl="0" w:tplc="053C164E">
      <w:start w:val="1"/>
      <w:numFmt w:val="bullet"/>
      <w:lvlText w:val=""/>
      <w:lvlJc w:val="left"/>
      <w:pPr>
        <w:ind w:left="720" w:hanging="180"/>
      </w:pPr>
      <w:rPr>
        <w:rFonts w:ascii="Symbol" w:hAnsi="Symbol" w:hint="default"/>
      </w:rPr>
    </w:lvl>
    <w:lvl w:ilvl="1" w:tplc="FF60B7D0">
      <w:numFmt w:val="decimal"/>
      <w:lvlText w:val=""/>
      <w:lvlJc w:val="left"/>
    </w:lvl>
    <w:lvl w:ilvl="2" w:tplc="2466B0EE">
      <w:numFmt w:val="decimal"/>
      <w:lvlText w:val=""/>
      <w:lvlJc w:val="left"/>
    </w:lvl>
    <w:lvl w:ilvl="3" w:tplc="38708758">
      <w:numFmt w:val="decimal"/>
      <w:lvlText w:val=""/>
      <w:lvlJc w:val="left"/>
    </w:lvl>
    <w:lvl w:ilvl="4" w:tplc="B8F04372">
      <w:numFmt w:val="decimal"/>
      <w:lvlText w:val=""/>
      <w:lvlJc w:val="left"/>
    </w:lvl>
    <w:lvl w:ilvl="5" w:tplc="DEA06570">
      <w:numFmt w:val="decimal"/>
      <w:lvlText w:val=""/>
      <w:lvlJc w:val="left"/>
    </w:lvl>
    <w:lvl w:ilvl="6" w:tplc="16120A74">
      <w:numFmt w:val="decimal"/>
      <w:lvlText w:val=""/>
      <w:lvlJc w:val="left"/>
    </w:lvl>
    <w:lvl w:ilvl="7" w:tplc="66787B90">
      <w:numFmt w:val="decimal"/>
      <w:lvlText w:val=""/>
      <w:lvlJc w:val="left"/>
    </w:lvl>
    <w:lvl w:ilvl="8" w:tplc="ABC89E82">
      <w:numFmt w:val="decimal"/>
      <w:lvlText w:val=""/>
      <w:lvlJc w:val="left"/>
    </w:lvl>
  </w:abstractNum>
  <w:abstractNum w:abstractNumId="1182" w15:restartNumberingAfterBreak="0">
    <w:nsid w:val="7B3E56C2"/>
    <w:multiLevelType w:val="hybridMultilevel"/>
    <w:tmpl w:val="263068DC"/>
    <w:lvl w:ilvl="0" w:tplc="5DB8F8E2">
      <w:start w:val="1"/>
      <w:numFmt w:val="bullet"/>
      <w:lvlText w:val=""/>
      <w:lvlJc w:val="left"/>
      <w:pPr>
        <w:ind w:left="720" w:hanging="180"/>
      </w:pPr>
      <w:rPr>
        <w:rFonts w:ascii="Symbol" w:hAnsi="Symbol" w:hint="default"/>
      </w:rPr>
    </w:lvl>
    <w:lvl w:ilvl="1" w:tplc="9878D056">
      <w:numFmt w:val="decimal"/>
      <w:lvlText w:val=""/>
      <w:lvlJc w:val="left"/>
    </w:lvl>
    <w:lvl w:ilvl="2" w:tplc="196EEABA">
      <w:numFmt w:val="decimal"/>
      <w:lvlText w:val=""/>
      <w:lvlJc w:val="left"/>
    </w:lvl>
    <w:lvl w:ilvl="3" w:tplc="6A94257A">
      <w:numFmt w:val="decimal"/>
      <w:lvlText w:val=""/>
      <w:lvlJc w:val="left"/>
    </w:lvl>
    <w:lvl w:ilvl="4" w:tplc="2C62F018">
      <w:numFmt w:val="decimal"/>
      <w:lvlText w:val=""/>
      <w:lvlJc w:val="left"/>
    </w:lvl>
    <w:lvl w:ilvl="5" w:tplc="4970A28A">
      <w:numFmt w:val="decimal"/>
      <w:lvlText w:val=""/>
      <w:lvlJc w:val="left"/>
    </w:lvl>
    <w:lvl w:ilvl="6" w:tplc="231AEB90">
      <w:numFmt w:val="decimal"/>
      <w:lvlText w:val=""/>
      <w:lvlJc w:val="left"/>
    </w:lvl>
    <w:lvl w:ilvl="7" w:tplc="B74C640A">
      <w:numFmt w:val="decimal"/>
      <w:lvlText w:val=""/>
      <w:lvlJc w:val="left"/>
    </w:lvl>
    <w:lvl w:ilvl="8" w:tplc="4EF4806A">
      <w:numFmt w:val="decimal"/>
      <w:lvlText w:val=""/>
      <w:lvlJc w:val="left"/>
    </w:lvl>
  </w:abstractNum>
  <w:abstractNum w:abstractNumId="1183" w15:restartNumberingAfterBreak="0">
    <w:nsid w:val="7B4D040F"/>
    <w:multiLevelType w:val="hybridMultilevel"/>
    <w:tmpl w:val="A42E193A"/>
    <w:lvl w:ilvl="0" w:tplc="4B22C190">
      <w:start w:val="1"/>
      <w:numFmt w:val="bullet"/>
      <w:lvlText w:val=""/>
      <w:lvlJc w:val="left"/>
      <w:pPr>
        <w:ind w:left="720" w:hanging="180"/>
      </w:pPr>
      <w:rPr>
        <w:rFonts w:ascii="Symbol" w:hAnsi="Symbol" w:hint="default"/>
      </w:rPr>
    </w:lvl>
    <w:lvl w:ilvl="1" w:tplc="5EC64E26">
      <w:numFmt w:val="decimal"/>
      <w:lvlText w:val=""/>
      <w:lvlJc w:val="left"/>
    </w:lvl>
    <w:lvl w:ilvl="2" w:tplc="79AC1E7E">
      <w:numFmt w:val="decimal"/>
      <w:lvlText w:val=""/>
      <w:lvlJc w:val="left"/>
    </w:lvl>
    <w:lvl w:ilvl="3" w:tplc="49B4EEDC">
      <w:numFmt w:val="decimal"/>
      <w:lvlText w:val=""/>
      <w:lvlJc w:val="left"/>
    </w:lvl>
    <w:lvl w:ilvl="4" w:tplc="2D4AB850">
      <w:numFmt w:val="decimal"/>
      <w:lvlText w:val=""/>
      <w:lvlJc w:val="left"/>
    </w:lvl>
    <w:lvl w:ilvl="5" w:tplc="683ADBFE">
      <w:numFmt w:val="decimal"/>
      <w:lvlText w:val=""/>
      <w:lvlJc w:val="left"/>
    </w:lvl>
    <w:lvl w:ilvl="6" w:tplc="42901A72">
      <w:numFmt w:val="decimal"/>
      <w:lvlText w:val=""/>
      <w:lvlJc w:val="left"/>
    </w:lvl>
    <w:lvl w:ilvl="7" w:tplc="FA505860">
      <w:numFmt w:val="decimal"/>
      <w:lvlText w:val=""/>
      <w:lvlJc w:val="left"/>
    </w:lvl>
    <w:lvl w:ilvl="8" w:tplc="EAC2ABCC">
      <w:numFmt w:val="decimal"/>
      <w:lvlText w:val=""/>
      <w:lvlJc w:val="left"/>
    </w:lvl>
  </w:abstractNum>
  <w:abstractNum w:abstractNumId="1184" w15:restartNumberingAfterBreak="0">
    <w:nsid w:val="7B582ED0"/>
    <w:multiLevelType w:val="hybridMultilevel"/>
    <w:tmpl w:val="61209AB8"/>
    <w:lvl w:ilvl="0" w:tplc="F6E8CED6">
      <w:start w:val="1"/>
      <w:numFmt w:val="bullet"/>
      <w:lvlText w:val=""/>
      <w:lvlJc w:val="left"/>
      <w:pPr>
        <w:ind w:left="720" w:hanging="180"/>
      </w:pPr>
      <w:rPr>
        <w:rFonts w:ascii="Symbol" w:hAnsi="Symbol" w:hint="default"/>
      </w:rPr>
    </w:lvl>
    <w:lvl w:ilvl="1" w:tplc="658068E0">
      <w:numFmt w:val="decimal"/>
      <w:lvlText w:val=""/>
      <w:lvlJc w:val="left"/>
    </w:lvl>
    <w:lvl w:ilvl="2" w:tplc="AEF6C7B2">
      <w:numFmt w:val="decimal"/>
      <w:lvlText w:val=""/>
      <w:lvlJc w:val="left"/>
    </w:lvl>
    <w:lvl w:ilvl="3" w:tplc="8E96B242">
      <w:numFmt w:val="decimal"/>
      <w:lvlText w:val=""/>
      <w:lvlJc w:val="left"/>
    </w:lvl>
    <w:lvl w:ilvl="4" w:tplc="0B7E4BCC">
      <w:numFmt w:val="decimal"/>
      <w:lvlText w:val=""/>
      <w:lvlJc w:val="left"/>
    </w:lvl>
    <w:lvl w:ilvl="5" w:tplc="485A0B24">
      <w:numFmt w:val="decimal"/>
      <w:lvlText w:val=""/>
      <w:lvlJc w:val="left"/>
    </w:lvl>
    <w:lvl w:ilvl="6" w:tplc="CE10C730">
      <w:numFmt w:val="decimal"/>
      <w:lvlText w:val=""/>
      <w:lvlJc w:val="left"/>
    </w:lvl>
    <w:lvl w:ilvl="7" w:tplc="2E06F66A">
      <w:numFmt w:val="decimal"/>
      <w:lvlText w:val=""/>
      <w:lvlJc w:val="left"/>
    </w:lvl>
    <w:lvl w:ilvl="8" w:tplc="FA66C7AA">
      <w:numFmt w:val="decimal"/>
      <w:lvlText w:val=""/>
      <w:lvlJc w:val="left"/>
    </w:lvl>
  </w:abstractNum>
  <w:abstractNum w:abstractNumId="1185" w15:restartNumberingAfterBreak="0">
    <w:nsid w:val="7B7F02A9"/>
    <w:multiLevelType w:val="hybridMultilevel"/>
    <w:tmpl w:val="93DA76C2"/>
    <w:lvl w:ilvl="0" w:tplc="51AED23A">
      <w:start w:val="1"/>
      <w:numFmt w:val="bullet"/>
      <w:lvlText w:val=""/>
      <w:lvlJc w:val="left"/>
      <w:pPr>
        <w:ind w:left="720" w:hanging="180"/>
      </w:pPr>
      <w:rPr>
        <w:rFonts w:ascii="Symbol" w:hAnsi="Symbol" w:hint="default"/>
      </w:rPr>
    </w:lvl>
    <w:lvl w:ilvl="1" w:tplc="A798F28A">
      <w:numFmt w:val="decimal"/>
      <w:lvlText w:val=""/>
      <w:lvlJc w:val="left"/>
    </w:lvl>
    <w:lvl w:ilvl="2" w:tplc="6262D224">
      <w:numFmt w:val="decimal"/>
      <w:lvlText w:val=""/>
      <w:lvlJc w:val="left"/>
    </w:lvl>
    <w:lvl w:ilvl="3" w:tplc="385A342A">
      <w:numFmt w:val="decimal"/>
      <w:lvlText w:val=""/>
      <w:lvlJc w:val="left"/>
    </w:lvl>
    <w:lvl w:ilvl="4" w:tplc="A76A2218">
      <w:numFmt w:val="decimal"/>
      <w:lvlText w:val=""/>
      <w:lvlJc w:val="left"/>
    </w:lvl>
    <w:lvl w:ilvl="5" w:tplc="7B0E2A58">
      <w:numFmt w:val="decimal"/>
      <w:lvlText w:val=""/>
      <w:lvlJc w:val="left"/>
    </w:lvl>
    <w:lvl w:ilvl="6" w:tplc="C81EC1FA">
      <w:numFmt w:val="decimal"/>
      <w:lvlText w:val=""/>
      <w:lvlJc w:val="left"/>
    </w:lvl>
    <w:lvl w:ilvl="7" w:tplc="4B125EBA">
      <w:numFmt w:val="decimal"/>
      <w:lvlText w:val=""/>
      <w:lvlJc w:val="left"/>
    </w:lvl>
    <w:lvl w:ilvl="8" w:tplc="8DC2D012">
      <w:numFmt w:val="decimal"/>
      <w:lvlText w:val=""/>
      <w:lvlJc w:val="left"/>
    </w:lvl>
  </w:abstractNum>
  <w:abstractNum w:abstractNumId="1186" w15:restartNumberingAfterBreak="0">
    <w:nsid w:val="7B983C2A"/>
    <w:multiLevelType w:val="hybridMultilevel"/>
    <w:tmpl w:val="D240637A"/>
    <w:lvl w:ilvl="0" w:tplc="9C6665AA">
      <w:start w:val="1"/>
      <w:numFmt w:val="bullet"/>
      <w:lvlText w:val=""/>
      <w:lvlJc w:val="left"/>
      <w:pPr>
        <w:ind w:left="720" w:hanging="180"/>
      </w:pPr>
      <w:rPr>
        <w:rFonts w:ascii="Symbol" w:hAnsi="Symbol" w:hint="default"/>
      </w:rPr>
    </w:lvl>
    <w:lvl w:ilvl="1" w:tplc="8B84A732">
      <w:numFmt w:val="decimal"/>
      <w:lvlText w:val=""/>
      <w:lvlJc w:val="left"/>
    </w:lvl>
    <w:lvl w:ilvl="2" w:tplc="974CBE40">
      <w:numFmt w:val="decimal"/>
      <w:lvlText w:val=""/>
      <w:lvlJc w:val="left"/>
    </w:lvl>
    <w:lvl w:ilvl="3" w:tplc="161A4EA8">
      <w:numFmt w:val="decimal"/>
      <w:lvlText w:val=""/>
      <w:lvlJc w:val="left"/>
    </w:lvl>
    <w:lvl w:ilvl="4" w:tplc="06EE4214">
      <w:numFmt w:val="decimal"/>
      <w:lvlText w:val=""/>
      <w:lvlJc w:val="left"/>
    </w:lvl>
    <w:lvl w:ilvl="5" w:tplc="8EB082C2">
      <w:numFmt w:val="decimal"/>
      <w:lvlText w:val=""/>
      <w:lvlJc w:val="left"/>
    </w:lvl>
    <w:lvl w:ilvl="6" w:tplc="BF6C2DAE">
      <w:numFmt w:val="decimal"/>
      <w:lvlText w:val=""/>
      <w:lvlJc w:val="left"/>
    </w:lvl>
    <w:lvl w:ilvl="7" w:tplc="F1700646">
      <w:numFmt w:val="decimal"/>
      <w:lvlText w:val=""/>
      <w:lvlJc w:val="left"/>
    </w:lvl>
    <w:lvl w:ilvl="8" w:tplc="061E1D5E">
      <w:numFmt w:val="decimal"/>
      <w:lvlText w:val=""/>
      <w:lvlJc w:val="left"/>
    </w:lvl>
  </w:abstractNum>
  <w:abstractNum w:abstractNumId="1187" w15:restartNumberingAfterBreak="0">
    <w:nsid w:val="7BA70FBE"/>
    <w:multiLevelType w:val="hybridMultilevel"/>
    <w:tmpl w:val="18666ADE"/>
    <w:lvl w:ilvl="0" w:tplc="45240BCC">
      <w:start w:val="1"/>
      <w:numFmt w:val="bullet"/>
      <w:lvlText w:val=""/>
      <w:lvlJc w:val="left"/>
      <w:pPr>
        <w:ind w:left="720" w:hanging="180"/>
      </w:pPr>
      <w:rPr>
        <w:rFonts w:ascii="Symbol" w:hAnsi="Symbol" w:hint="default"/>
      </w:rPr>
    </w:lvl>
    <w:lvl w:ilvl="1" w:tplc="D1E4B0F4">
      <w:numFmt w:val="decimal"/>
      <w:lvlText w:val=""/>
      <w:lvlJc w:val="left"/>
    </w:lvl>
    <w:lvl w:ilvl="2" w:tplc="25F44A92">
      <w:numFmt w:val="decimal"/>
      <w:lvlText w:val=""/>
      <w:lvlJc w:val="left"/>
    </w:lvl>
    <w:lvl w:ilvl="3" w:tplc="3DE006F2">
      <w:numFmt w:val="decimal"/>
      <w:lvlText w:val=""/>
      <w:lvlJc w:val="left"/>
    </w:lvl>
    <w:lvl w:ilvl="4" w:tplc="E56C27A0">
      <w:numFmt w:val="decimal"/>
      <w:lvlText w:val=""/>
      <w:lvlJc w:val="left"/>
    </w:lvl>
    <w:lvl w:ilvl="5" w:tplc="966415D8">
      <w:numFmt w:val="decimal"/>
      <w:lvlText w:val=""/>
      <w:lvlJc w:val="left"/>
    </w:lvl>
    <w:lvl w:ilvl="6" w:tplc="783AD306">
      <w:numFmt w:val="decimal"/>
      <w:lvlText w:val=""/>
      <w:lvlJc w:val="left"/>
    </w:lvl>
    <w:lvl w:ilvl="7" w:tplc="4C2ECDDC">
      <w:numFmt w:val="decimal"/>
      <w:lvlText w:val=""/>
      <w:lvlJc w:val="left"/>
    </w:lvl>
    <w:lvl w:ilvl="8" w:tplc="18700388">
      <w:numFmt w:val="decimal"/>
      <w:lvlText w:val=""/>
      <w:lvlJc w:val="left"/>
    </w:lvl>
  </w:abstractNum>
  <w:abstractNum w:abstractNumId="1188" w15:restartNumberingAfterBreak="0">
    <w:nsid w:val="7BBF2DDE"/>
    <w:multiLevelType w:val="hybridMultilevel"/>
    <w:tmpl w:val="B7BE83E2"/>
    <w:lvl w:ilvl="0" w:tplc="E3582AEA">
      <w:start w:val="1"/>
      <w:numFmt w:val="bullet"/>
      <w:lvlText w:val=""/>
      <w:lvlJc w:val="left"/>
      <w:pPr>
        <w:ind w:left="720" w:hanging="180"/>
      </w:pPr>
      <w:rPr>
        <w:rFonts w:ascii="Symbol" w:hAnsi="Symbol" w:hint="default"/>
      </w:rPr>
    </w:lvl>
    <w:lvl w:ilvl="1" w:tplc="B7DAB222">
      <w:numFmt w:val="decimal"/>
      <w:lvlText w:val=""/>
      <w:lvlJc w:val="left"/>
    </w:lvl>
    <w:lvl w:ilvl="2" w:tplc="6F822E74">
      <w:numFmt w:val="decimal"/>
      <w:lvlText w:val=""/>
      <w:lvlJc w:val="left"/>
    </w:lvl>
    <w:lvl w:ilvl="3" w:tplc="727ED6B0">
      <w:numFmt w:val="decimal"/>
      <w:lvlText w:val=""/>
      <w:lvlJc w:val="left"/>
    </w:lvl>
    <w:lvl w:ilvl="4" w:tplc="A766739A">
      <w:numFmt w:val="decimal"/>
      <w:lvlText w:val=""/>
      <w:lvlJc w:val="left"/>
    </w:lvl>
    <w:lvl w:ilvl="5" w:tplc="77E8A5EA">
      <w:numFmt w:val="decimal"/>
      <w:lvlText w:val=""/>
      <w:lvlJc w:val="left"/>
    </w:lvl>
    <w:lvl w:ilvl="6" w:tplc="AB567480">
      <w:numFmt w:val="decimal"/>
      <w:lvlText w:val=""/>
      <w:lvlJc w:val="left"/>
    </w:lvl>
    <w:lvl w:ilvl="7" w:tplc="E3189F0E">
      <w:numFmt w:val="decimal"/>
      <w:lvlText w:val=""/>
      <w:lvlJc w:val="left"/>
    </w:lvl>
    <w:lvl w:ilvl="8" w:tplc="4DC6FDDE">
      <w:numFmt w:val="decimal"/>
      <w:lvlText w:val=""/>
      <w:lvlJc w:val="left"/>
    </w:lvl>
  </w:abstractNum>
  <w:abstractNum w:abstractNumId="1189" w15:restartNumberingAfterBreak="0">
    <w:nsid w:val="7BD620AF"/>
    <w:multiLevelType w:val="hybridMultilevel"/>
    <w:tmpl w:val="41E8B178"/>
    <w:lvl w:ilvl="0" w:tplc="C6203EF2">
      <w:start w:val="1"/>
      <w:numFmt w:val="bullet"/>
      <w:lvlText w:val=""/>
      <w:lvlJc w:val="left"/>
      <w:pPr>
        <w:ind w:left="720" w:hanging="180"/>
      </w:pPr>
      <w:rPr>
        <w:rFonts w:ascii="Symbol" w:hAnsi="Symbol" w:hint="default"/>
      </w:rPr>
    </w:lvl>
    <w:lvl w:ilvl="1" w:tplc="17765C30">
      <w:numFmt w:val="decimal"/>
      <w:lvlText w:val=""/>
      <w:lvlJc w:val="left"/>
    </w:lvl>
    <w:lvl w:ilvl="2" w:tplc="34AACDFE">
      <w:numFmt w:val="decimal"/>
      <w:lvlText w:val=""/>
      <w:lvlJc w:val="left"/>
    </w:lvl>
    <w:lvl w:ilvl="3" w:tplc="3104B396">
      <w:numFmt w:val="decimal"/>
      <w:lvlText w:val=""/>
      <w:lvlJc w:val="left"/>
    </w:lvl>
    <w:lvl w:ilvl="4" w:tplc="18C8FF18">
      <w:numFmt w:val="decimal"/>
      <w:lvlText w:val=""/>
      <w:lvlJc w:val="left"/>
    </w:lvl>
    <w:lvl w:ilvl="5" w:tplc="06289674">
      <w:numFmt w:val="decimal"/>
      <w:lvlText w:val=""/>
      <w:lvlJc w:val="left"/>
    </w:lvl>
    <w:lvl w:ilvl="6" w:tplc="60FC1F0A">
      <w:numFmt w:val="decimal"/>
      <w:lvlText w:val=""/>
      <w:lvlJc w:val="left"/>
    </w:lvl>
    <w:lvl w:ilvl="7" w:tplc="2C181AC4">
      <w:numFmt w:val="decimal"/>
      <w:lvlText w:val=""/>
      <w:lvlJc w:val="left"/>
    </w:lvl>
    <w:lvl w:ilvl="8" w:tplc="109A6084">
      <w:numFmt w:val="decimal"/>
      <w:lvlText w:val=""/>
      <w:lvlJc w:val="left"/>
    </w:lvl>
  </w:abstractNum>
  <w:abstractNum w:abstractNumId="1190" w15:restartNumberingAfterBreak="0">
    <w:nsid w:val="7C040643"/>
    <w:multiLevelType w:val="hybridMultilevel"/>
    <w:tmpl w:val="C9AA01E2"/>
    <w:lvl w:ilvl="0" w:tplc="AF6C31E6">
      <w:start w:val="1"/>
      <w:numFmt w:val="bullet"/>
      <w:lvlText w:val=""/>
      <w:lvlJc w:val="left"/>
      <w:pPr>
        <w:ind w:left="720" w:hanging="180"/>
      </w:pPr>
      <w:rPr>
        <w:rFonts w:ascii="Symbol" w:hAnsi="Symbol" w:hint="default"/>
      </w:rPr>
    </w:lvl>
    <w:lvl w:ilvl="1" w:tplc="B3845AFA">
      <w:numFmt w:val="decimal"/>
      <w:lvlText w:val=""/>
      <w:lvlJc w:val="left"/>
    </w:lvl>
    <w:lvl w:ilvl="2" w:tplc="994EB908">
      <w:numFmt w:val="decimal"/>
      <w:lvlText w:val=""/>
      <w:lvlJc w:val="left"/>
    </w:lvl>
    <w:lvl w:ilvl="3" w:tplc="1040ED94">
      <w:numFmt w:val="decimal"/>
      <w:lvlText w:val=""/>
      <w:lvlJc w:val="left"/>
    </w:lvl>
    <w:lvl w:ilvl="4" w:tplc="C6041B42">
      <w:numFmt w:val="decimal"/>
      <w:lvlText w:val=""/>
      <w:lvlJc w:val="left"/>
    </w:lvl>
    <w:lvl w:ilvl="5" w:tplc="F38867D0">
      <w:numFmt w:val="decimal"/>
      <w:lvlText w:val=""/>
      <w:lvlJc w:val="left"/>
    </w:lvl>
    <w:lvl w:ilvl="6" w:tplc="078855FE">
      <w:numFmt w:val="decimal"/>
      <w:lvlText w:val=""/>
      <w:lvlJc w:val="left"/>
    </w:lvl>
    <w:lvl w:ilvl="7" w:tplc="8D66FBF0">
      <w:numFmt w:val="decimal"/>
      <w:lvlText w:val=""/>
      <w:lvlJc w:val="left"/>
    </w:lvl>
    <w:lvl w:ilvl="8" w:tplc="C12E9664">
      <w:numFmt w:val="decimal"/>
      <w:lvlText w:val=""/>
      <w:lvlJc w:val="left"/>
    </w:lvl>
  </w:abstractNum>
  <w:abstractNum w:abstractNumId="1191" w15:restartNumberingAfterBreak="0">
    <w:nsid w:val="7C09458E"/>
    <w:multiLevelType w:val="hybridMultilevel"/>
    <w:tmpl w:val="446097FC"/>
    <w:lvl w:ilvl="0" w:tplc="0D5E1320">
      <w:start w:val="1"/>
      <w:numFmt w:val="bullet"/>
      <w:lvlText w:val=""/>
      <w:lvlJc w:val="left"/>
      <w:pPr>
        <w:ind w:left="720" w:hanging="180"/>
      </w:pPr>
      <w:rPr>
        <w:rFonts w:ascii="Symbol" w:hAnsi="Symbol" w:hint="default"/>
      </w:rPr>
    </w:lvl>
    <w:lvl w:ilvl="1" w:tplc="27FEA6D6">
      <w:numFmt w:val="decimal"/>
      <w:lvlText w:val=""/>
      <w:lvlJc w:val="left"/>
    </w:lvl>
    <w:lvl w:ilvl="2" w:tplc="F9942638">
      <w:numFmt w:val="decimal"/>
      <w:lvlText w:val=""/>
      <w:lvlJc w:val="left"/>
    </w:lvl>
    <w:lvl w:ilvl="3" w:tplc="93E8A8C4">
      <w:numFmt w:val="decimal"/>
      <w:lvlText w:val=""/>
      <w:lvlJc w:val="left"/>
    </w:lvl>
    <w:lvl w:ilvl="4" w:tplc="DA4C1454">
      <w:numFmt w:val="decimal"/>
      <w:lvlText w:val=""/>
      <w:lvlJc w:val="left"/>
    </w:lvl>
    <w:lvl w:ilvl="5" w:tplc="2E108788">
      <w:numFmt w:val="decimal"/>
      <w:lvlText w:val=""/>
      <w:lvlJc w:val="left"/>
    </w:lvl>
    <w:lvl w:ilvl="6" w:tplc="F9364B62">
      <w:numFmt w:val="decimal"/>
      <w:lvlText w:val=""/>
      <w:lvlJc w:val="left"/>
    </w:lvl>
    <w:lvl w:ilvl="7" w:tplc="802EEEBA">
      <w:numFmt w:val="decimal"/>
      <w:lvlText w:val=""/>
      <w:lvlJc w:val="left"/>
    </w:lvl>
    <w:lvl w:ilvl="8" w:tplc="0246795A">
      <w:numFmt w:val="decimal"/>
      <w:lvlText w:val=""/>
      <w:lvlJc w:val="left"/>
    </w:lvl>
  </w:abstractNum>
  <w:abstractNum w:abstractNumId="1192" w15:restartNumberingAfterBreak="0">
    <w:nsid w:val="7C506F04"/>
    <w:multiLevelType w:val="hybridMultilevel"/>
    <w:tmpl w:val="781409EC"/>
    <w:lvl w:ilvl="0" w:tplc="F2E84AEC">
      <w:start w:val="1"/>
      <w:numFmt w:val="bullet"/>
      <w:lvlText w:val=""/>
      <w:lvlJc w:val="left"/>
      <w:pPr>
        <w:ind w:left="720" w:hanging="180"/>
      </w:pPr>
      <w:rPr>
        <w:rFonts w:ascii="Symbol" w:hAnsi="Symbol" w:hint="default"/>
      </w:rPr>
    </w:lvl>
    <w:lvl w:ilvl="1" w:tplc="B20A9EA8">
      <w:numFmt w:val="decimal"/>
      <w:lvlText w:val=""/>
      <w:lvlJc w:val="left"/>
    </w:lvl>
    <w:lvl w:ilvl="2" w:tplc="36A48326">
      <w:numFmt w:val="decimal"/>
      <w:lvlText w:val=""/>
      <w:lvlJc w:val="left"/>
    </w:lvl>
    <w:lvl w:ilvl="3" w:tplc="DC622124">
      <w:numFmt w:val="decimal"/>
      <w:lvlText w:val=""/>
      <w:lvlJc w:val="left"/>
    </w:lvl>
    <w:lvl w:ilvl="4" w:tplc="C1BE495C">
      <w:numFmt w:val="decimal"/>
      <w:lvlText w:val=""/>
      <w:lvlJc w:val="left"/>
    </w:lvl>
    <w:lvl w:ilvl="5" w:tplc="AAEC892A">
      <w:numFmt w:val="decimal"/>
      <w:lvlText w:val=""/>
      <w:lvlJc w:val="left"/>
    </w:lvl>
    <w:lvl w:ilvl="6" w:tplc="8E908C78">
      <w:numFmt w:val="decimal"/>
      <w:lvlText w:val=""/>
      <w:lvlJc w:val="left"/>
    </w:lvl>
    <w:lvl w:ilvl="7" w:tplc="7EB20D20">
      <w:numFmt w:val="decimal"/>
      <w:lvlText w:val=""/>
      <w:lvlJc w:val="left"/>
    </w:lvl>
    <w:lvl w:ilvl="8" w:tplc="F8C69018">
      <w:numFmt w:val="decimal"/>
      <w:lvlText w:val=""/>
      <w:lvlJc w:val="left"/>
    </w:lvl>
  </w:abstractNum>
  <w:abstractNum w:abstractNumId="1193" w15:restartNumberingAfterBreak="0">
    <w:nsid w:val="7C5A4D06"/>
    <w:multiLevelType w:val="hybridMultilevel"/>
    <w:tmpl w:val="4F32C594"/>
    <w:lvl w:ilvl="0" w:tplc="6A5CD828">
      <w:numFmt w:val="decimal"/>
      <w:lvlText w:val=""/>
      <w:lvlJc w:val="left"/>
    </w:lvl>
    <w:lvl w:ilvl="1" w:tplc="F33CF4AE">
      <w:start w:val="1"/>
      <w:numFmt w:val="bullet"/>
      <w:lvlText w:val=""/>
      <w:lvlJc w:val="left"/>
      <w:pPr>
        <w:ind w:left="1440" w:hanging="180"/>
      </w:pPr>
      <w:rPr>
        <w:rFonts w:ascii="Symbol" w:hAnsi="Symbol" w:hint="default"/>
      </w:rPr>
    </w:lvl>
    <w:lvl w:ilvl="2" w:tplc="5156E9EA">
      <w:numFmt w:val="decimal"/>
      <w:lvlText w:val=""/>
      <w:lvlJc w:val="left"/>
    </w:lvl>
    <w:lvl w:ilvl="3" w:tplc="6EECB89E">
      <w:numFmt w:val="decimal"/>
      <w:lvlText w:val=""/>
      <w:lvlJc w:val="left"/>
    </w:lvl>
    <w:lvl w:ilvl="4" w:tplc="FE3A94E0">
      <w:numFmt w:val="decimal"/>
      <w:lvlText w:val=""/>
      <w:lvlJc w:val="left"/>
    </w:lvl>
    <w:lvl w:ilvl="5" w:tplc="BF906D0E">
      <w:numFmt w:val="decimal"/>
      <w:lvlText w:val=""/>
      <w:lvlJc w:val="left"/>
    </w:lvl>
    <w:lvl w:ilvl="6" w:tplc="1F741798">
      <w:numFmt w:val="decimal"/>
      <w:lvlText w:val=""/>
      <w:lvlJc w:val="left"/>
    </w:lvl>
    <w:lvl w:ilvl="7" w:tplc="A9F6F23E">
      <w:numFmt w:val="decimal"/>
      <w:lvlText w:val=""/>
      <w:lvlJc w:val="left"/>
    </w:lvl>
    <w:lvl w:ilvl="8" w:tplc="DB9434AE">
      <w:numFmt w:val="decimal"/>
      <w:lvlText w:val=""/>
      <w:lvlJc w:val="left"/>
    </w:lvl>
  </w:abstractNum>
  <w:abstractNum w:abstractNumId="1194" w15:restartNumberingAfterBreak="0">
    <w:nsid w:val="7C732740"/>
    <w:multiLevelType w:val="hybridMultilevel"/>
    <w:tmpl w:val="E3F0E946"/>
    <w:lvl w:ilvl="0" w:tplc="AA9813F2">
      <w:start w:val="1"/>
      <w:numFmt w:val="bullet"/>
      <w:lvlText w:val=""/>
      <w:lvlJc w:val="left"/>
      <w:pPr>
        <w:ind w:left="720" w:hanging="180"/>
      </w:pPr>
      <w:rPr>
        <w:rFonts w:ascii="Symbol" w:hAnsi="Symbol" w:hint="default"/>
      </w:rPr>
    </w:lvl>
    <w:lvl w:ilvl="1" w:tplc="A294703E">
      <w:numFmt w:val="decimal"/>
      <w:lvlText w:val=""/>
      <w:lvlJc w:val="left"/>
    </w:lvl>
    <w:lvl w:ilvl="2" w:tplc="81529C8A">
      <w:numFmt w:val="decimal"/>
      <w:lvlText w:val=""/>
      <w:lvlJc w:val="left"/>
    </w:lvl>
    <w:lvl w:ilvl="3" w:tplc="F0269FCA">
      <w:numFmt w:val="decimal"/>
      <w:lvlText w:val=""/>
      <w:lvlJc w:val="left"/>
    </w:lvl>
    <w:lvl w:ilvl="4" w:tplc="95AC76FA">
      <w:numFmt w:val="decimal"/>
      <w:lvlText w:val=""/>
      <w:lvlJc w:val="left"/>
    </w:lvl>
    <w:lvl w:ilvl="5" w:tplc="C4021F90">
      <w:numFmt w:val="decimal"/>
      <w:lvlText w:val=""/>
      <w:lvlJc w:val="left"/>
    </w:lvl>
    <w:lvl w:ilvl="6" w:tplc="2CCAB7D4">
      <w:numFmt w:val="decimal"/>
      <w:lvlText w:val=""/>
      <w:lvlJc w:val="left"/>
    </w:lvl>
    <w:lvl w:ilvl="7" w:tplc="DB3C2F80">
      <w:numFmt w:val="decimal"/>
      <w:lvlText w:val=""/>
      <w:lvlJc w:val="left"/>
    </w:lvl>
    <w:lvl w:ilvl="8" w:tplc="CCEE836C">
      <w:numFmt w:val="decimal"/>
      <w:lvlText w:val=""/>
      <w:lvlJc w:val="left"/>
    </w:lvl>
  </w:abstractNum>
  <w:abstractNum w:abstractNumId="1195" w15:restartNumberingAfterBreak="0">
    <w:nsid w:val="7C83124C"/>
    <w:multiLevelType w:val="hybridMultilevel"/>
    <w:tmpl w:val="23E69A86"/>
    <w:lvl w:ilvl="0" w:tplc="8848A5C2">
      <w:start w:val="1"/>
      <w:numFmt w:val="bullet"/>
      <w:lvlText w:val=""/>
      <w:lvlJc w:val="left"/>
      <w:pPr>
        <w:ind w:left="720" w:hanging="180"/>
      </w:pPr>
      <w:rPr>
        <w:rFonts w:ascii="Symbol" w:hAnsi="Symbol" w:hint="default"/>
      </w:rPr>
    </w:lvl>
    <w:lvl w:ilvl="1" w:tplc="83446126">
      <w:numFmt w:val="decimal"/>
      <w:lvlText w:val=""/>
      <w:lvlJc w:val="left"/>
    </w:lvl>
    <w:lvl w:ilvl="2" w:tplc="87E2591C">
      <w:numFmt w:val="decimal"/>
      <w:lvlText w:val=""/>
      <w:lvlJc w:val="left"/>
    </w:lvl>
    <w:lvl w:ilvl="3" w:tplc="044665EC">
      <w:numFmt w:val="decimal"/>
      <w:lvlText w:val=""/>
      <w:lvlJc w:val="left"/>
    </w:lvl>
    <w:lvl w:ilvl="4" w:tplc="AD761140">
      <w:numFmt w:val="decimal"/>
      <w:lvlText w:val=""/>
      <w:lvlJc w:val="left"/>
    </w:lvl>
    <w:lvl w:ilvl="5" w:tplc="4AE6C4A6">
      <w:numFmt w:val="decimal"/>
      <w:lvlText w:val=""/>
      <w:lvlJc w:val="left"/>
    </w:lvl>
    <w:lvl w:ilvl="6" w:tplc="99BA0310">
      <w:numFmt w:val="decimal"/>
      <w:lvlText w:val=""/>
      <w:lvlJc w:val="left"/>
    </w:lvl>
    <w:lvl w:ilvl="7" w:tplc="FD3EDEFA">
      <w:numFmt w:val="decimal"/>
      <w:lvlText w:val=""/>
      <w:lvlJc w:val="left"/>
    </w:lvl>
    <w:lvl w:ilvl="8" w:tplc="9DFC52BC">
      <w:numFmt w:val="decimal"/>
      <w:lvlText w:val=""/>
      <w:lvlJc w:val="left"/>
    </w:lvl>
  </w:abstractNum>
  <w:abstractNum w:abstractNumId="1196" w15:restartNumberingAfterBreak="0">
    <w:nsid w:val="7C87216C"/>
    <w:multiLevelType w:val="hybridMultilevel"/>
    <w:tmpl w:val="DA0EFA50"/>
    <w:lvl w:ilvl="0" w:tplc="6A86233A">
      <w:start w:val="1"/>
      <w:numFmt w:val="bullet"/>
      <w:lvlText w:val=""/>
      <w:lvlJc w:val="left"/>
      <w:pPr>
        <w:ind w:left="720" w:hanging="180"/>
      </w:pPr>
      <w:rPr>
        <w:rFonts w:ascii="Symbol" w:hAnsi="Symbol" w:hint="default"/>
      </w:rPr>
    </w:lvl>
    <w:lvl w:ilvl="1" w:tplc="F2F428FC">
      <w:numFmt w:val="decimal"/>
      <w:lvlText w:val=""/>
      <w:lvlJc w:val="left"/>
    </w:lvl>
    <w:lvl w:ilvl="2" w:tplc="D0CA94B6">
      <w:numFmt w:val="decimal"/>
      <w:lvlText w:val=""/>
      <w:lvlJc w:val="left"/>
    </w:lvl>
    <w:lvl w:ilvl="3" w:tplc="AEF0A784">
      <w:numFmt w:val="decimal"/>
      <w:lvlText w:val=""/>
      <w:lvlJc w:val="left"/>
    </w:lvl>
    <w:lvl w:ilvl="4" w:tplc="0AAA98D0">
      <w:numFmt w:val="decimal"/>
      <w:lvlText w:val=""/>
      <w:lvlJc w:val="left"/>
    </w:lvl>
    <w:lvl w:ilvl="5" w:tplc="F446C788">
      <w:numFmt w:val="decimal"/>
      <w:lvlText w:val=""/>
      <w:lvlJc w:val="left"/>
    </w:lvl>
    <w:lvl w:ilvl="6" w:tplc="558C7448">
      <w:numFmt w:val="decimal"/>
      <w:lvlText w:val=""/>
      <w:lvlJc w:val="left"/>
    </w:lvl>
    <w:lvl w:ilvl="7" w:tplc="7A2E9EFA">
      <w:numFmt w:val="decimal"/>
      <w:lvlText w:val=""/>
      <w:lvlJc w:val="left"/>
    </w:lvl>
    <w:lvl w:ilvl="8" w:tplc="4B86DE0E">
      <w:numFmt w:val="decimal"/>
      <w:lvlText w:val=""/>
      <w:lvlJc w:val="left"/>
    </w:lvl>
  </w:abstractNum>
  <w:abstractNum w:abstractNumId="1197" w15:restartNumberingAfterBreak="0">
    <w:nsid w:val="7CAF2789"/>
    <w:multiLevelType w:val="hybridMultilevel"/>
    <w:tmpl w:val="D5BE581C"/>
    <w:lvl w:ilvl="0" w:tplc="C16A9424">
      <w:start w:val="1"/>
      <w:numFmt w:val="bullet"/>
      <w:lvlText w:val=""/>
      <w:lvlJc w:val="left"/>
      <w:pPr>
        <w:ind w:left="720" w:hanging="180"/>
      </w:pPr>
      <w:rPr>
        <w:rFonts w:ascii="Symbol" w:hAnsi="Symbol" w:hint="default"/>
      </w:rPr>
    </w:lvl>
    <w:lvl w:ilvl="1" w:tplc="CF382784">
      <w:numFmt w:val="decimal"/>
      <w:lvlText w:val=""/>
      <w:lvlJc w:val="left"/>
    </w:lvl>
    <w:lvl w:ilvl="2" w:tplc="69541B32">
      <w:numFmt w:val="decimal"/>
      <w:lvlText w:val=""/>
      <w:lvlJc w:val="left"/>
    </w:lvl>
    <w:lvl w:ilvl="3" w:tplc="A306B530">
      <w:numFmt w:val="decimal"/>
      <w:lvlText w:val=""/>
      <w:lvlJc w:val="left"/>
    </w:lvl>
    <w:lvl w:ilvl="4" w:tplc="9ACCF34C">
      <w:numFmt w:val="decimal"/>
      <w:lvlText w:val=""/>
      <w:lvlJc w:val="left"/>
    </w:lvl>
    <w:lvl w:ilvl="5" w:tplc="5F1295A4">
      <w:numFmt w:val="decimal"/>
      <w:lvlText w:val=""/>
      <w:lvlJc w:val="left"/>
    </w:lvl>
    <w:lvl w:ilvl="6" w:tplc="4470F748">
      <w:numFmt w:val="decimal"/>
      <w:lvlText w:val=""/>
      <w:lvlJc w:val="left"/>
    </w:lvl>
    <w:lvl w:ilvl="7" w:tplc="06F89688">
      <w:numFmt w:val="decimal"/>
      <w:lvlText w:val=""/>
      <w:lvlJc w:val="left"/>
    </w:lvl>
    <w:lvl w:ilvl="8" w:tplc="833ACB78">
      <w:numFmt w:val="decimal"/>
      <w:lvlText w:val=""/>
      <w:lvlJc w:val="left"/>
    </w:lvl>
  </w:abstractNum>
  <w:abstractNum w:abstractNumId="1198" w15:restartNumberingAfterBreak="0">
    <w:nsid w:val="7CE83249"/>
    <w:multiLevelType w:val="hybridMultilevel"/>
    <w:tmpl w:val="BAEC6FD8"/>
    <w:lvl w:ilvl="0" w:tplc="3AB6DBFE">
      <w:start w:val="1"/>
      <w:numFmt w:val="bullet"/>
      <w:lvlText w:val=""/>
      <w:lvlJc w:val="left"/>
      <w:pPr>
        <w:ind w:left="720" w:hanging="180"/>
      </w:pPr>
      <w:rPr>
        <w:rFonts w:ascii="Symbol" w:hAnsi="Symbol" w:hint="default"/>
      </w:rPr>
    </w:lvl>
    <w:lvl w:ilvl="1" w:tplc="4DE6F2D8">
      <w:numFmt w:val="decimal"/>
      <w:lvlText w:val=""/>
      <w:lvlJc w:val="left"/>
    </w:lvl>
    <w:lvl w:ilvl="2" w:tplc="EF4CC684">
      <w:numFmt w:val="decimal"/>
      <w:lvlText w:val=""/>
      <w:lvlJc w:val="left"/>
    </w:lvl>
    <w:lvl w:ilvl="3" w:tplc="2BDE357A">
      <w:numFmt w:val="decimal"/>
      <w:lvlText w:val=""/>
      <w:lvlJc w:val="left"/>
    </w:lvl>
    <w:lvl w:ilvl="4" w:tplc="10B0A76C">
      <w:numFmt w:val="decimal"/>
      <w:lvlText w:val=""/>
      <w:lvlJc w:val="left"/>
    </w:lvl>
    <w:lvl w:ilvl="5" w:tplc="63DA3884">
      <w:numFmt w:val="decimal"/>
      <w:lvlText w:val=""/>
      <w:lvlJc w:val="left"/>
    </w:lvl>
    <w:lvl w:ilvl="6" w:tplc="A73EA2C6">
      <w:numFmt w:val="decimal"/>
      <w:lvlText w:val=""/>
      <w:lvlJc w:val="left"/>
    </w:lvl>
    <w:lvl w:ilvl="7" w:tplc="ED10134C">
      <w:numFmt w:val="decimal"/>
      <w:lvlText w:val=""/>
      <w:lvlJc w:val="left"/>
    </w:lvl>
    <w:lvl w:ilvl="8" w:tplc="8BAE279C">
      <w:numFmt w:val="decimal"/>
      <w:lvlText w:val=""/>
      <w:lvlJc w:val="left"/>
    </w:lvl>
  </w:abstractNum>
  <w:abstractNum w:abstractNumId="1199" w15:restartNumberingAfterBreak="0">
    <w:nsid w:val="7D114350"/>
    <w:multiLevelType w:val="hybridMultilevel"/>
    <w:tmpl w:val="3ECC614A"/>
    <w:lvl w:ilvl="0" w:tplc="BC44373A">
      <w:start w:val="1"/>
      <w:numFmt w:val="bullet"/>
      <w:lvlText w:val=""/>
      <w:lvlJc w:val="left"/>
      <w:pPr>
        <w:ind w:left="720" w:hanging="180"/>
      </w:pPr>
      <w:rPr>
        <w:rFonts w:ascii="Symbol" w:hAnsi="Symbol" w:hint="default"/>
      </w:rPr>
    </w:lvl>
    <w:lvl w:ilvl="1" w:tplc="FF2CCE46">
      <w:numFmt w:val="decimal"/>
      <w:lvlText w:val=""/>
      <w:lvlJc w:val="left"/>
    </w:lvl>
    <w:lvl w:ilvl="2" w:tplc="05F4D29A">
      <w:numFmt w:val="decimal"/>
      <w:lvlText w:val=""/>
      <w:lvlJc w:val="left"/>
    </w:lvl>
    <w:lvl w:ilvl="3" w:tplc="0DD28238">
      <w:numFmt w:val="decimal"/>
      <w:lvlText w:val=""/>
      <w:lvlJc w:val="left"/>
    </w:lvl>
    <w:lvl w:ilvl="4" w:tplc="351E38C2">
      <w:numFmt w:val="decimal"/>
      <w:lvlText w:val=""/>
      <w:lvlJc w:val="left"/>
    </w:lvl>
    <w:lvl w:ilvl="5" w:tplc="DBA6EAC0">
      <w:numFmt w:val="decimal"/>
      <w:lvlText w:val=""/>
      <w:lvlJc w:val="left"/>
    </w:lvl>
    <w:lvl w:ilvl="6" w:tplc="7E864CF0">
      <w:numFmt w:val="decimal"/>
      <w:lvlText w:val=""/>
      <w:lvlJc w:val="left"/>
    </w:lvl>
    <w:lvl w:ilvl="7" w:tplc="F89E65B0">
      <w:numFmt w:val="decimal"/>
      <w:lvlText w:val=""/>
      <w:lvlJc w:val="left"/>
    </w:lvl>
    <w:lvl w:ilvl="8" w:tplc="82103A2E">
      <w:numFmt w:val="decimal"/>
      <w:lvlText w:val=""/>
      <w:lvlJc w:val="left"/>
    </w:lvl>
  </w:abstractNum>
  <w:abstractNum w:abstractNumId="1200" w15:restartNumberingAfterBreak="0">
    <w:nsid w:val="7D2E33E8"/>
    <w:multiLevelType w:val="hybridMultilevel"/>
    <w:tmpl w:val="FEB4F35C"/>
    <w:lvl w:ilvl="0" w:tplc="CF2C7FF6">
      <w:start w:val="1"/>
      <w:numFmt w:val="bullet"/>
      <w:lvlText w:val=""/>
      <w:lvlJc w:val="left"/>
      <w:pPr>
        <w:ind w:left="720" w:hanging="180"/>
      </w:pPr>
      <w:rPr>
        <w:rFonts w:ascii="Symbol" w:hAnsi="Symbol" w:hint="default"/>
      </w:rPr>
    </w:lvl>
    <w:lvl w:ilvl="1" w:tplc="7996EDA0">
      <w:numFmt w:val="decimal"/>
      <w:lvlText w:val=""/>
      <w:lvlJc w:val="left"/>
    </w:lvl>
    <w:lvl w:ilvl="2" w:tplc="C354EBAA">
      <w:numFmt w:val="decimal"/>
      <w:lvlText w:val=""/>
      <w:lvlJc w:val="left"/>
    </w:lvl>
    <w:lvl w:ilvl="3" w:tplc="97E48114">
      <w:numFmt w:val="decimal"/>
      <w:lvlText w:val=""/>
      <w:lvlJc w:val="left"/>
    </w:lvl>
    <w:lvl w:ilvl="4" w:tplc="70584CDC">
      <w:numFmt w:val="decimal"/>
      <w:lvlText w:val=""/>
      <w:lvlJc w:val="left"/>
    </w:lvl>
    <w:lvl w:ilvl="5" w:tplc="17543864">
      <w:numFmt w:val="decimal"/>
      <w:lvlText w:val=""/>
      <w:lvlJc w:val="left"/>
    </w:lvl>
    <w:lvl w:ilvl="6" w:tplc="CE76FDBE">
      <w:numFmt w:val="decimal"/>
      <w:lvlText w:val=""/>
      <w:lvlJc w:val="left"/>
    </w:lvl>
    <w:lvl w:ilvl="7" w:tplc="F96EA12E">
      <w:numFmt w:val="decimal"/>
      <w:lvlText w:val=""/>
      <w:lvlJc w:val="left"/>
    </w:lvl>
    <w:lvl w:ilvl="8" w:tplc="0884E980">
      <w:numFmt w:val="decimal"/>
      <w:lvlText w:val=""/>
      <w:lvlJc w:val="left"/>
    </w:lvl>
  </w:abstractNum>
  <w:abstractNum w:abstractNumId="1201" w15:restartNumberingAfterBreak="0">
    <w:nsid w:val="7D310A21"/>
    <w:multiLevelType w:val="hybridMultilevel"/>
    <w:tmpl w:val="90ACAB3A"/>
    <w:lvl w:ilvl="0" w:tplc="7480B2B0">
      <w:start w:val="1"/>
      <w:numFmt w:val="bullet"/>
      <w:lvlText w:val=""/>
      <w:lvlJc w:val="left"/>
      <w:pPr>
        <w:ind w:left="720" w:hanging="180"/>
      </w:pPr>
      <w:rPr>
        <w:rFonts w:ascii="Symbol" w:hAnsi="Symbol" w:hint="default"/>
      </w:rPr>
    </w:lvl>
    <w:lvl w:ilvl="1" w:tplc="AC386C2C">
      <w:numFmt w:val="decimal"/>
      <w:lvlText w:val=""/>
      <w:lvlJc w:val="left"/>
    </w:lvl>
    <w:lvl w:ilvl="2" w:tplc="498CD986">
      <w:numFmt w:val="decimal"/>
      <w:lvlText w:val=""/>
      <w:lvlJc w:val="left"/>
    </w:lvl>
    <w:lvl w:ilvl="3" w:tplc="83BAFA0E">
      <w:numFmt w:val="decimal"/>
      <w:lvlText w:val=""/>
      <w:lvlJc w:val="left"/>
    </w:lvl>
    <w:lvl w:ilvl="4" w:tplc="A4B2AA3A">
      <w:numFmt w:val="decimal"/>
      <w:lvlText w:val=""/>
      <w:lvlJc w:val="left"/>
    </w:lvl>
    <w:lvl w:ilvl="5" w:tplc="14B251F2">
      <w:numFmt w:val="decimal"/>
      <w:lvlText w:val=""/>
      <w:lvlJc w:val="left"/>
    </w:lvl>
    <w:lvl w:ilvl="6" w:tplc="2B84D642">
      <w:numFmt w:val="decimal"/>
      <w:lvlText w:val=""/>
      <w:lvlJc w:val="left"/>
    </w:lvl>
    <w:lvl w:ilvl="7" w:tplc="5880A840">
      <w:numFmt w:val="decimal"/>
      <w:lvlText w:val=""/>
      <w:lvlJc w:val="left"/>
    </w:lvl>
    <w:lvl w:ilvl="8" w:tplc="52108BDE">
      <w:numFmt w:val="decimal"/>
      <w:lvlText w:val=""/>
      <w:lvlJc w:val="left"/>
    </w:lvl>
  </w:abstractNum>
  <w:abstractNum w:abstractNumId="1202" w15:restartNumberingAfterBreak="0">
    <w:nsid w:val="7D3E0389"/>
    <w:multiLevelType w:val="hybridMultilevel"/>
    <w:tmpl w:val="9F004CF8"/>
    <w:lvl w:ilvl="0" w:tplc="1EE23F14">
      <w:numFmt w:val="decimal"/>
      <w:lvlText w:val=""/>
      <w:lvlJc w:val="left"/>
    </w:lvl>
    <w:lvl w:ilvl="1" w:tplc="369C7C54">
      <w:start w:val="1"/>
      <w:numFmt w:val="bullet"/>
      <w:lvlText w:val=""/>
      <w:lvlJc w:val="left"/>
      <w:pPr>
        <w:ind w:left="1440" w:hanging="180"/>
      </w:pPr>
      <w:rPr>
        <w:rFonts w:ascii="Symbol" w:hAnsi="Symbol" w:hint="default"/>
      </w:rPr>
    </w:lvl>
    <w:lvl w:ilvl="2" w:tplc="32C87130">
      <w:numFmt w:val="decimal"/>
      <w:lvlText w:val=""/>
      <w:lvlJc w:val="left"/>
    </w:lvl>
    <w:lvl w:ilvl="3" w:tplc="A2AAEABC">
      <w:numFmt w:val="decimal"/>
      <w:lvlText w:val=""/>
      <w:lvlJc w:val="left"/>
    </w:lvl>
    <w:lvl w:ilvl="4" w:tplc="BD2CBC0A">
      <w:numFmt w:val="decimal"/>
      <w:lvlText w:val=""/>
      <w:lvlJc w:val="left"/>
    </w:lvl>
    <w:lvl w:ilvl="5" w:tplc="678CE3E6">
      <w:numFmt w:val="decimal"/>
      <w:lvlText w:val=""/>
      <w:lvlJc w:val="left"/>
    </w:lvl>
    <w:lvl w:ilvl="6" w:tplc="A6F69872">
      <w:numFmt w:val="decimal"/>
      <w:lvlText w:val=""/>
      <w:lvlJc w:val="left"/>
    </w:lvl>
    <w:lvl w:ilvl="7" w:tplc="D9E0035C">
      <w:numFmt w:val="decimal"/>
      <w:lvlText w:val=""/>
      <w:lvlJc w:val="left"/>
    </w:lvl>
    <w:lvl w:ilvl="8" w:tplc="2B54A622">
      <w:numFmt w:val="decimal"/>
      <w:lvlText w:val=""/>
      <w:lvlJc w:val="left"/>
    </w:lvl>
  </w:abstractNum>
  <w:abstractNum w:abstractNumId="1203" w15:restartNumberingAfterBreak="0">
    <w:nsid w:val="7D4A611B"/>
    <w:multiLevelType w:val="hybridMultilevel"/>
    <w:tmpl w:val="16729B00"/>
    <w:lvl w:ilvl="0" w:tplc="F26A5AA6">
      <w:start w:val="1"/>
      <w:numFmt w:val="bullet"/>
      <w:lvlText w:val=""/>
      <w:lvlJc w:val="left"/>
      <w:pPr>
        <w:ind w:left="720" w:hanging="180"/>
      </w:pPr>
      <w:rPr>
        <w:rFonts w:ascii="Symbol" w:hAnsi="Symbol" w:hint="default"/>
      </w:rPr>
    </w:lvl>
    <w:lvl w:ilvl="1" w:tplc="026434B6">
      <w:numFmt w:val="decimal"/>
      <w:lvlText w:val=""/>
      <w:lvlJc w:val="left"/>
    </w:lvl>
    <w:lvl w:ilvl="2" w:tplc="920C6926">
      <w:numFmt w:val="decimal"/>
      <w:lvlText w:val=""/>
      <w:lvlJc w:val="left"/>
    </w:lvl>
    <w:lvl w:ilvl="3" w:tplc="53D694E6">
      <w:numFmt w:val="decimal"/>
      <w:lvlText w:val=""/>
      <w:lvlJc w:val="left"/>
    </w:lvl>
    <w:lvl w:ilvl="4" w:tplc="EA1CF6A6">
      <w:numFmt w:val="decimal"/>
      <w:lvlText w:val=""/>
      <w:lvlJc w:val="left"/>
    </w:lvl>
    <w:lvl w:ilvl="5" w:tplc="08CA90D8">
      <w:numFmt w:val="decimal"/>
      <w:lvlText w:val=""/>
      <w:lvlJc w:val="left"/>
    </w:lvl>
    <w:lvl w:ilvl="6" w:tplc="45842650">
      <w:numFmt w:val="decimal"/>
      <w:lvlText w:val=""/>
      <w:lvlJc w:val="left"/>
    </w:lvl>
    <w:lvl w:ilvl="7" w:tplc="41827E74">
      <w:numFmt w:val="decimal"/>
      <w:lvlText w:val=""/>
      <w:lvlJc w:val="left"/>
    </w:lvl>
    <w:lvl w:ilvl="8" w:tplc="8CDE9E4E">
      <w:numFmt w:val="decimal"/>
      <w:lvlText w:val=""/>
      <w:lvlJc w:val="left"/>
    </w:lvl>
  </w:abstractNum>
  <w:abstractNum w:abstractNumId="1204" w15:restartNumberingAfterBreak="0">
    <w:nsid w:val="7D656E0E"/>
    <w:multiLevelType w:val="hybridMultilevel"/>
    <w:tmpl w:val="BB0650C6"/>
    <w:lvl w:ilvl="0" w:tplc="52A616F4">
      <w:start w:val="1"/>
      <w:numFmt w:val="bullet"/>
      <w:lvlText w:val=""/>
      <w:lvlJc w:val="left"/>
      <w:pPr>
        <w:ind w:left="720" w:hanging="180"/>
      </w:pPr>
      <w:rPr>
        <w:rFonts w:ascii="Symbol" w:hAnsi="Symbol" w:hint="default"/>
      </w:rPr>
    </w:lvl>
    <w:lvl w:ilvl="1" w:tplc="F4D06FB2">
      <w:numFmt w:val="decimal"/>
      <w:lvlText w:val=""/>
      <w:lvlJc w:val="left"/>
    </w:lvl>
    <w:lvl w:ilvl="2" w:tplc="6038C34C">
      <w:numFmt w:val="decimal"/>
      <w:lvlText w:val=""/>
      <w:lvlJc w:val="left"/>
    </w:lvl>
    <w:lvl w:ilvl="3" w:tplc="B6F084F4">
      <w:numFmt w:val="decimal"/>
      <w:lvlText w:val=""/>
      <w:lvlJc w:val="left"/>
    </w:lvl>
    <w:lvl w:ilvl="4" w:tplc="0EA654FA">
      <w:numFmt w:val="decimal"/>
      <w:lvlText w:val=""/>
      <w:lvlJc w:val="left"/>
    </w:lvl>
    <w:lvl w:ilvl="5" w:tplc="7E7009DC">
      <w:numFmt w:val="decimal"/>
      <w:lvlText w:val=""/>
      <w:lvlJc w:val="left"/>
    </w:lvl>
    <w:lvl w:ilvl="6" w:tplc="BE7898D0">
      <w:numFmt w:val="decimal"/>
      <w:lvlText w:val=""/>
      <w:lvlJc w:val="left"/>
    </w:lvl>
    <w:lvl w:ilvl="7" w:tplc="0C128344">
      <w:numFmt w:val="decimal"/>
      <w:lvlText w:val=""/>
      <w:lvlJc w:val="left"/>
    </w:lvl>
    <w:lvl w:ilvl="8" w:tplc="6F3CC8B2">
      <w:numFmt w:val="decimal"/>
      <w:lvlText w:val=""/>
      <w:lvlJc w:val="left"/>
    </w:lvl>
  </w:abstractNum>
  <w:abstractNum w:abstractNumId="1205" w15:restartNumberingAfterBreak="0">
    <w:nsid w:val="7D796972"/>
    <w:multiLevelType w:val="hybridMultilevel"/>
    <w:tmpl w:val="EDD835B6"/>
    <w:lvl w:ilvl="0" w:tplc="157810B2">
      <w:start w:val="1"/>
      <w:numFmt w:val="bullet"/>
      <w:lvlText w:val=""/>
      <w:lvlJc w:val="left"/>
      <w:pPr>
        <w:ind w:left="720" w:hanging="180"/>
      </w:pPr>
      <w:rPr>
        <w:rFonts w:ascii="Symbol" w:hAnsi="Symbol" w:hint="default"/>
      </w:rPr>
    </w:lvl>
    <w:lvl w:ilvl="1" w:tplc="F5E299DA">
      <w:numFmt w:val="decimal"/>
      <w:lvlText w:val=""/>
      <w:lvlJc w:val="left"/>
    </w:lvl>
    <w:lvl w:ilvl="2" w:tplc="B7BC444C">
      <w:numFmt w:val="decimal"/>
      <w:lvlText w:val=""/>
      <w:lvlJc w:val="left"/>
    </w:lvl>
    <w:lvl w:ilvl="3" w:tplc="696EFFB6">
      <w:numFmt w:val="decimal"/>
      <w:lvlText w:val=""/>
      <w:lvlJc w:val="left"/>
    </w:lvl>
    <w:lvl w:ilvl="4" w:tplc="9B44F686">
      <w:numFmt w:val="decimal"/>
      <w:lvlText w:val=""/>
      <w:lvlJc w:val="left"/>
    </w:lvl>
    <w:lvl w:ilvl="5" w:tplc="0CCAE832">
      <w:numFmt w:val="decimal"/>
      <w:lvlText w:val=""/>
      <w:lvlJc w:val="left"/>
    </w:lvl>
    <w:lvl w:ilvl="6" w:tplc="6764DAB8">
      <w:numFmt w:val="decimal"/>
      <w:lvlText w:val=""/>
      <w:lvlJc w:val="left"/>
    </w:lvl>
    <w:lvl w:ilvl="7" w:tplc="6EEE0254">
      <w:numFmt w:val="decimal"/>
      <w:lvlText w:val=""/>
      <w:lvlJc w:val="left"/>
    </w:lvl>
    <w:lvl w:ilvl="8" w:tplc="9064C4F4">
      <w:numFmt w:val="decimal"/>
      <w:lvlText w:val=""/>
      <w:lvlJc w:val="left"/>
    </w:lvl>
  </w:abstractNum>
  <w:abstractNum w:abstractNumId="1206" w15:restartNumberingAfterBreak="0">
    <w:nsid w:val="7DBE2808"/>
    <w:multiLevelType w:val="hybridMultilevel"/>
    <w:tmpl w:val="F4D0751C"/>
    <w:lvl w:ilvl="0" w:tplc="16CE4410">
      <w:start w:val="1"/>
      <w:numFmt w:val="bullet"/>
      <w:lvlText w:val=""/>
      <w:lvlJc w:val="left"/>
      <w:pPr>
        <w:ind w:left="720" w:hanging="180"/>
      </w:pPr>
      <w:rPr>
        <w:rFonts w:ascii="Symbol" w:hAnsi="Symbol" w:hint="default"/>
      </w:rPr>
    </w:lvl>
    <w:lvl w:ilvl="1" w:tplc="957E8E56">
      <w:numFmt w:val="decimal"/>
      <w:lvlText w:val=""/>
      <w:lvlJc w:val="left"/>
    </w:lvl>
    <w:lvl w:ilvl="2" w:tplc="0D666E90">
      <w:numFmt w:val="decimal"/>
      <w:lvlText w:val=""/>
      <w:lvlJc w:val="left"/>
    </w:lvl>
    <w:lvl w:ilvl="3" w:tplc="17347ED4">
      <w:numFmt w:val="decimal"/>
      <w:lvlText w:val=""/>
      <w:lvlJc w:val="left"/>
    </w:lvl>
    <w:lvl w:ilvl="4" w:tplc="E7424B66">
      <w:numFmt w:val="decimal"/>
      <w:lvlText w:val=""/>
      <w:lvlJc w:val="left"/>
    </w:lvl>
    <w:lvl w:ilvl="5" w:tplc="1BE22BCA">
      <w:numFmt w:val="decimal"/>
      <w:lvlText w:val=""/>
      <w:lvlJc w:val="left"/>
    </w:lvl>
    <w:lvl w:ilvl="6" w:tplc="2AEABAA4">
      <w:numFmt w:val="decimal"/>
      <w:lvlText w:val=""/>
      <w:lvlJc w:val="left"/>
    </w:lvl>
    <w:lvl w:ilvl="7" w:tplc="CD3E761E">
      <w:numFmt w:val="decimal"/>
      <w:lvlText w:val=""/>
      <w:lvlJc w:val="left"/>
    </w:lvl>
    <w:lvl w:ilvl="8" w:tplc="F2741090">
      <w:numFmt w:val="decimal"/>
      <w:lvlText w:val=""/>
      <w:lvlJc w:val="left"/>
    </w:lvl>
  </w:abstractNum>
  <w:abstractNum w:abstractNumId="1207" w15:restartNumberingAfterBreak="0">
    <w:nsid w:val="7DC01476"/>
    <w:multiLevelType w:val="hybridMultilevel"/>
    <w:tmpl w:val="4F26DECC"/>
    <w:lvl w:ilvl="0" w:tplc="CDF85A6A">
      <w:start w:val="1"/>
      <w:numFmt w:val="bullet"/>
      <w:lvlText w:val=""/>
      <w:lvlJc w:val="left"/>
      <w:pPr>
        <w:ind w:left="720" w:hanging="180"/>
      </w:pPr>
      <w:rPr>
        <w:rFonts w:ascii="Symbol" w:hAnsi="Symbol" w:hint="default"/>
      </w:rPr>
    </w:lvl>
    <w:lvl w:ilvl="1" w:tplc="EBB8A6F0">
      <w:numFmt w:val="decimal"/>
      <w:lvlText w:val=""/>
      <w:lvlJc w:val="left"/>
    </w:lvl>
    <w:lvl w:ilvl="2" w:tplc="E3D641D4">
      <w:numFmt w:val="decimal"/>
      <w:lvlText w:val=""/>
      <w:lvlJc w:val="left"/>
    </w:lvl>
    <w:lvl w:ilvl="3" w:tplc="B6905CB6">
      <w:numFmt w:val="decimal"/>
      <w:lvlText w:val=""/>
      <w:lvlJc w:val="left"/>
    </w:lvl>
    <w:lvl w:ilvl="4" w:tplc="4B6824FC">
      <w:numFmt w:val="decimal"/>
      <w:lvlText w:val=""/>
      <w:lvlJc w:val="left"/>
    </w:lvl>
    <w:lvl w:ilvl="5" w:tplc="5D5C2050">
      <w:numFmt w:val="decimal"/>
      <w:lvlText w:val=""/>
      <w:lvlJc w:val="left"/>
    </w:lvl>
    <w:lvl w:ilvl="6" w:tplc="EAC41988">
      <w:numFmt w:val="decimal"/>
      <w:lvlText w:val=""/>
      <w:lvlJc w:val="left"/>
    </w:lvl>
    <w:lvl w:ilvl="7" w:tplc="BBF6510C">
      <w:numFmt w:val="decimal"/>
      <w:lvlText w:val=""/>
      <w:lvlJc w:val="left"/>
    </w:lvl>
    <w:lvl w:ilvl="8" w:tplc="88802208">
      <w:numFmt w:val="decimal"/>
      <w:lvlText w:val=""/>
      <w:lvlJc w:val="left"/>
    </w:lvl>
  </w:abstractNum>
  <w:abstractNum w:abstractNumId="1208" w15:restartNumberingAfterBreak="0">
    <w:nsid w:val="7DF14C94"/>
    <w:multiLevelType w:val="hybridMultilevel"/>
    <w:tmpl w:val="FFDEA36E"/>
    <w:lvl w:ilvl="0" w:tplc="357C2050">
      <w:start w:val="1"/>
      <w:numFmt w:val="bullet"/>
      <w:lvlText w:val=""/>
      <w:lvlJc w:val="left"/>
      <w:pPr>
        <w:ind w:left="720" w:hanging="180"/>
      </w:pPr>
      <w:rPr>
        <w:rFonts w:ascii="Symbol" w:hAnsi="Symbol" w:hint="default"/>
      </w:rPr>
    </w:lvl>
    <w:lvl w:ilvl="1" w:tplc="F7728362">
      <w:numFmt w:val="decimal"/>
      <w:lvlText w:val=""/>
      <w:lvlJc w:val="left"/>
    </w:lvl>
    <w:lvl w:ilvl="2" w:tplc="CBD68378">
      <w:numFmt w:val="decimal"/>
      <w:lvlText w:val=""/>
      <w:lvlJc w:val="left"/>
    </w:lvl>
    <w:lvl w:ilvl="3" w:tplc="FE9AFF1C">
      <w:numFmt w:val="decimal"/>
      <w:lvlText w:val=""/>
      <w:lvlJc w:val="left"/>
    </w:lvl>
    <w:lvl w:ilvl="4" w:tplc="A47242B0">
      <w:numFmt w:val="decimal"/>
      <w:lvlText w:val=""/>
      <w:lvlJc w:val="left"/>
    </w:lvl>
    <w:lvl w:ilvl="5" w:tplc="B7C6CB12">
      <w:numFmt w:val="decimal"/>
      <w:lvlText w:val=""/>
      <w:lvlJc w:val="left"/>
    </w:lvl>
    <w:lvl w:ilvl="6" w:tplc="E8DCFC64">
      <w:numFmt w:val="decimal"/>
      <w:lvlText w:val=""/>
      <w:lvlJc w:val="left"/>
    </w:lvl>
    <w:lvl w:ilvl="7" w:tplc="4CD4E514">
      <w:numFmt w:val="decimal"/>
      <w:lvlText w:val=""/>
      <w:lvlJc w:val="left"/>
    </w:lvl>
    <w:lvl w:ilvl="8" w:tplc="E4620BDA">
      <w:numFmt w:val="decimal"/>
      <w:lvlText w:val=""/>
      <w:lvlJc w:val="left"/>
    </w:lvl>
  </w:abstractNum>
  <w:abstractNum w:abstractNumId="1209" w15:restartNumberingAfterBreak="0">
    <w:nsid w:val="7E31040C"/>
    <w:multiLevelType w:val="hybridMultilevel"/>
    <w:tmpl w:val="C2EA254A"/>
    <w:lvl w:ilvl="0" w:tplc="0C1E3A9A">
      <w:start w:val="1"/>
      <w:numFmt w:val="bullet"/>
      <w:lvlText w:val=""/>
      <w:lvlJc w:val="left"/>
      <w:pPr>
        <w:ind w:left="720" w:hanging="180"/>
      </w:pPr>
      <w:rPr>
        <w:rFonts w:ascii="Symbol" w:hAnsi="Symbol" w:hint="default"/>
      </w:rPr>
    </w:lvl>
    <w:lvl w:ilvl="1" w:tplc="6F0EF944">
      <w:numFmt w:val="decimal"/>
      <w:lvlText w:val=""/>
      <w:lvlJc w:val="left"/>
    </w:lvl>
    <w:lvl w:ilvl="2" w:tplc="40185E72">
      <w:numFmt w:val="decimal"/>
      <w:lvlText w:val=""/>
      <w:lvlJc w:val="left"/>
    </w:lvl>
    <w:lvl w:ilvl="3" w:tplc="BBEE105A">
      <w:numFmt w:val="decimal"/>
      <w:lvlText w:val=""/>
      <w:lvlJc w:val="left"/>
    </w:lvl>
    <w:lvl w:ilvl="4" w:tplc="C9C06776">
      <w:numFmt w:val="decimal"/>
      <w:lvlText w:val=""/>
      <w:lvlJc w:val="left"/>
    </w:lvl>
    <w:lvl w:ilvl="5" w:tplc="71BA8C9C">
      <w:numFmt w:val="decimal"/>
      <w:lvlText w:val=""/>
      <w:lvlJc w:val="left"/>
    </w:lvl>
    <w:lvl w:ilvl="6" w:tplc="9F2E59E4">
      <w:numFmt w:val="decimal"/>
      <w:lvlText w:val=""/>
      <w:lvlJc w:val="left"/>
    </w:lvl>
    <w:lvl w:ilvl="7" w:tplc="D3CA6A18">
      <w:numFmt w:val="decimal"/>
      <w:lvlText w:val=""/>
      <w:lvlJc w:val="left"/>
    </w:lvl>
    <w:lvl w:ilvl="8" w:tplc="A6F470F6">
      <w:numFmt w:val="decimal"/>
      <w:lvlText w:val=""/>
      <w:lvlJc w:val="left"/>
    </w:lvl>
  </w:abstractNum>
  <w:abstractNum w:abstractNumId="1210" w15:restartNumberingAfterBreak="0">
    <w:nsid w:val="7E363714"/>
    <w:multiLevelType w:val="hybridMultilevel"/>
    <w:tmpl w:val="86784E92"/>
    <w:lvl w:ilvl="0" w:tplc="BD34FF3C">
      <w:start w:val="1"/>
      <w:numFmt w:val="bullet"/>
      <w:lvlText w:val=""/>
      <w:lvlJc w:val="left"/>
      <w:pPr>
        <w:ind w:left="720" w:hanging="180"/>
      </w:pPr>
      <w:rPr>
        <w:rFonts w:ascii="Symbol" w:hAnsi="Symbol" w:hint="default"/>
      </w:rPr>
    </w:lvl>
    <w:lvl w:ilvl="1" w:tplc="45C4FF34">
      <w:numFmt w:val="decimal"/>
      <w:lvlText w:val=""/>
      <w:lvlJc w:val="left"/>
    </w:lvl>
    <w:lvl w:ilvl="2" w:tplc="181EB206">
      <w:numFmt w:val="decimal"/>
      <w:lvlText w:val=""/>
      <w:lvlJc w:val="left"/>
    </w:lvl>
    <w:lvl w:ilvl="3" w:tplc="38B00A78">
      <w:numFmt w:val="decimal"/>
      <w:lvlText w:val=""/>
      <w:lvlJc w:val="left"/>
    </w:lvl>
    <w:lvl w:ilvl="4" w:tplc="037AD9C4">
      <w:numFmt w:val="decimal"/>
      <w:lvlText w:val=""/>
      <w:lvlJc w:val="left"/>
    </w:lvl>
    <w:lvl w:ilvl="5" w:tplc="F18C35E6">
      <w:numFmt w:val="decimal"/>
      <w:lvlText w:val=""/>
      <w:lvlJc w:val="left"/>
    </w:lvl>
    <w:lvl w:ilvl="6" w:tplc="359E60DA">
      <w:numFmt w:val="decimal"/>
      <w:lvlText w:val=""/>
      <w:lvlJc w:val="left"/>
    </w:lvl>
    <w:lvl w:ilvl="7" w:tplc="FDE01512">
      <w:numFmt w:val="decimal"/>
      <w:lvlText w:val=""/>
      <w:lvlJc w:val="left"/>
    </w:lvl>
    <w:lvl w:ilvl="8" w:tplc="AEA2FEF0">
      <w:numFmt w:val="decimal"/>
      <w:lvlText w:val=""/>
      <w:lvlJc w:val="left"/>
    </w:lvl>
  </w:abstractNum>
  <w:abstractNum w:abstractNumId="1211" w15:restartNumberingAfterBreak="0">
    <w:nsid w:val="7E3F1105"/>
    <w:multiLevelType w:val="hybridMultilevel"/>
    <w:tmpl w:val="2F2E887E"/>
    <w:lvl w:ilvl="0" w:tplc="C81ECEEC">
      <w:start w:val="1"/>
      <w:numFmt w:val="bullet"/>
      <w:lvlText w:val=""/>
      <w:lvlJc w:val="left"/>
      <w:pPr>
        <w:ind w:left="720" w:hanging="180"/>
      </w:pPr>
      <w:rPr>
        <w:rFonts w:ascii="Symbol" w:hAnsi="Symbol" w:hint="default"/>
      </w:rPr>
    </w:lvl>
    <w:lvl w:ilvl="1" w:tplc="B830A050">
      <w:numFmt w:val="decimal"/>
      <w:lvlText w:val=""/>
      <w:lvlJc w:val="left"/>
    </w:lvl>
    <w:lvl w:ilvl="2" w:tplc="C0C6E4A0">
      <w:numFmt w:val="decimal"/>
      <w:lvlText w:val=""/>
      <w:lvlJc w:val="left"/>
    </w:lvl>
    <w:lvl w:ilvl="3" w:tplc="5C7C6696">
      <w:numFmt w:val="decimal"/>
      <w:lvlText w:val=""/>
      <w:lvlJc w:val="left"/>
    </w:lvl>
    <w:lvl w:ilvl="4" w:tplc="E32CBBB6">
      <w:numFmt w:val="decimal"/>
      <w:lvlText w:val=""/>
      <w:lvlJc w:val="left"/>
    </w:lvl>
    <w:lvl w:ilvl="5" w:tplc="DB2829D4">
      <w:numFmt w:val="decimal"/>
      <w:lvlText w:val=""/>
      <w:lvlJc w:val="left"/>
    </w:lvl>
    <w:lvl w:ilvl="6" w:tplc="06B4A09E">
      <w:numFmt w:val="decimal"/>
      <w:lvlText w:val=""/>
      <w:lvlJc w:val="left"/>
    </w:lvl>
    <w:lvl w:ilvl="7" w:tplc="6FD0052E">
      <w:numFmt w:val="decimal"/>
      <w:lvlText w:val=""/>
      <w:lvlJc w:val="left"/>
    </w:lvl>
    <w:lvl w:ilvl="8" w:tplc="06DC70DC">
      <w:numFmt w:val="decimal"/>
      <w:lvlText w:val=""/>
      <w:lvlJc w:val="left"/>
    </w:lvl>
  </w:abstractNum>
  <w:abstractNum w:abstractNumId="1212" w15:restartNumberingAfterBreak="0">
    <w:nsid w:val="7E502486"/>
    <w:multiLevelType w:val="hybridMultilevel"/>
    <w:tmpl w:val="D06684B0"/>
    <w:lvl w:ilvl="0" w:tplc="B6461436">
      <w:start w:val="1"/>
      <w:numFmt w:val="bullet"/>
      <w:lvlText w:val=""/>
      <w:lvlJc w:val="left"/>
      <w:pPr>
        <w:ind w:left="720" w:hanging="180"/>
      </w:pPr>
      <w:rPr>
        <w:rFonts w:ascii="Symbol" w:hAnsi="Symbol" w:hint="default"/>
      </w:rPr>
    </w:lvl>
    <w:lvl w:ilvl="1" w:tplc="CD58675A">
      <w:numFmt w:val="decimal"/>
      <w:lvlText w:val=""/>
      <w:lvlJc w:val="left"/>
    </w:lvl>
    <w:lvl w:ilvl="2" w:tplc="57664E4E">
      <w:numFmt w:val="decimal"/>
      <w:lvlText w:val=""/>
      <w:lvlJc w:val="left"/>
    </w:lvl>
    <w:lvl w:ilvl="3" w:tplc="5D227616">
      <w:numFmt w:val="decimal"/>
      <w:lvlText w:val=""/>
      <w:lvlJc w:val="left"/>
    </w:lvl>
    <w:lvl w:ilvl="4" w:tplc="954C325C">
      <w:numFmt w:val="decimal"/>
      <w:lvlText w:val=""/>
      <w:lvlJc w:val="left"/>
    </w:lvl>
    <w:lvl w:ilvl="5" w:tplc="8138BC3E">
      <w:numFmt w:val="decimal"/>
      <w:lvlText w:val=""/>
      <w:lvlJc w:val="left"/>
    </w:lvl>
    <w:lvl w:ilvl="6" w:tplc="07861302">
      <w:numFmt w:val="decimal"/>
      <w:lvlText w:val=""/>
      <w:lvlJc w:val="left"/>
    </w:lvl>
    <w:lvl w:ilvl="7" w:tplc="A00C7A22">
      <w:numFmt w:val="decimal"/>
      <w:lvlText w:val=""/>
      <w:lvlJc w:val="left"/>
    </w:lvl>
    <w:lvl w:ilvl="8" w:tplc="D8B075DC">
      <w:numFmt w:val="decimal"/>
      <w:lvlText w:val=""/>
      <w:lvlJc w:val="left"/>
    </w:lvl>
  </w:abstractNum>
  <w:abstractNum w:abstractNumId="1213" w15:restartNumberingAfterBreak="0">
    <w:nsid w:val="7E560D62"/>
    <w:multiLevelType w:val="hybridMultilevel"/>
    <w:tmpl w:val="1640D90C"/>
    <w:lvl w:ilvl="0" w:tplc="2250AAA2">
      <w:start w:val="1"/>
      <w:numFmt w:val="bullet"/>
      <w:lvlText w:val=""/>
      <w:lvlJc w:val="left"/>
      <w:pPr>
        <w:ind w:left="720" w:hanging="180"/>
      </w:pPr>
      <w:rPr>
        <w:rFonts w:ascii="Symbol" w:hAnsi="Symbol" w:hint="default"/>
      </w:rPr>
    </w:lvl>
    <w:lvl w:ilvl="1" w:tplc="AD58AC66">
      <w:numFmt w:val="decimal"/>
      <w:lvlText w:val=""/>
      <w:lvlJc w:val="left"/>
    </w:lvl>
    <w:lvl w:ilvl="2" w:tplc="585632F6">
      <w:numFmt w:val="decimal"/>
      <w:lvlText w:val=""/>
      <w:lvlJc w:val="left"/>
    </w:lvl>
    <w:lvl w:ilvl="3" w:tplc="8CE6DF6E">
      <w:numFmt w:val="decimal"/>
      <w:lvlText w:val=""/>
      <w:lvlJc w:val="left"/>
    </w:lvl>
    <w:lvl w:ilvl="4" w:tplc="1DB29674">
      <w:numFmt w:val="decimal"/>
      <w:lvlText w:val=""/>
      <w:lvlJc w:val="left"/>
    </w:lvl>
    <w:lvl w:ilvl="5" w:tplc="64B6F746">
      <w:numFmt w:val="decimal"/>
      <w:lvlText w:val=""/>
      <w:lvlJc w:val="left"/>
    </w:lvl>
    <w:lvl w:ilvl="6" w:tplc="0512CAF6">
      <w:numFmt w:val="decimal"/>
      <w:lvlText w:val=""/>
      <w:lvlJc w:val="left"/>
    </w:lvl>
    <w:lvl w:ilvl="7" w:tplc="BA143D56">
      <w:numFmt w:val="decimal"/>
      <w:lvlText w:val=""/>
      <w:lvlJc w:val="left"/>
    </w:lvl>
    <w:lvl w:ilvl="8" w:tplc="8DC2BC0A">
      <w:numFmt w:val="decimal"/>
      <w:lvlText w:val=""/>
      <w:lvlJc w:val="left"/>
    </w:lvl>
  </w:abstractNum>
  <w:abstractNum w:abstractNumId="1214" w15:restartNumberingAfterBreak="0">
    <w:nsid w:val="7E637CB6"/>
    <w:multiLevelType w:val="hybridMultilevel"/>
    <w:tmpl w:val="5C84CEFE"/>
    <w:lvl w:ilvl="0" w:tplc="6F6AD5E0">
      <w:start w:val="1"/>
      <w:numFmt w:val="bullet"/>
      <w:lvlText w:val=""/>
      <w:lvlJc w:val="left"/>
      <w:pPr>
        <w:ind w:left="720" w:hanging="180"/>
      </w:pPr>
      <w:rPr>
        <w:rFonts w:ascii="Symbol" w:hAnsi="Symbol" w:hint="default"/>
      </w:rPr>
    </w:lvl>
    <w:lvl w:ilvl="1" w:tplc="AE322CBC">
      <w:numFmt w:val="decimal"/>
      <w:lvlText w:val=""/>
      <w:lvlJc w:val="left"/>
    </w:lvl>
    <w:lvl w:ilvl="2" w:tplc="A01E3DD0">
      <w:numFmt w:val="decimal"/>
      <w:lvlText w:val=""/>
      <w:lvlJc w:val="left"/>
    </w:lvl>
    <w:lvl w:ilvl="3" w:tplc="C89A4004">
      <w:numFmt w:val="decimal"/>
      <w:lvlText w:val=""/>
      <w:lvlJc w:val="left"/>
    </w:lvl>
    <w:lvl w:ilvl="4" w:tplc="39363BAE">
      <w:numFmt w:val="decimal"/>
      <w:lvlText w:val=""/>
      <w:lvlJc w:val="left"/>
    </w:lvl>
    <w:lvl w:ilvl="5" w:tplc="DACAEF1A">
      <w:numFmt w:val="decimal"/>
      <w:lvlText w:val=""/>
      <w:lvlJc w:val="left"/>
    </w:lvl>
    <w:lvl w:ilvl="6" w:tplc="4A2CF674">
      <w:numFmt w:val="decimal"/>
      <w:lvlText w:val=""/>
      <w:lvlJc w:val="left"/>
    </w:lvl>
    <w:lvl w:ilvl="7" w:tplc="47561DC8">
      <w:numFmt w:val="decimal"/>
      <w:lvlText w:val=""/>
      <w:lvlJc w:val="left"/>
    </w:lvl>
    <w:lvl w:ilvl="8" w:tplc="0D4A397A">
      <w:numFmt w:val="decimal"/>
      <w:lvlText w:val=""/>
      <w:lvlJc w:val="left"/>
    </w:lvl>
  </w:abstractNum>
  <w:abstractNum w:abstractNumId="1215" w15:restartNumberingAfterBreak="0">
    <w:nsid w:val="7E695532"/>
    <w:multiLevelType w:val="hybridMultilevel"/>
    <w:tmpl w:val="4C5269EA"/>
    <w:lvl w:ilvl="0" w:tplc="C51EB6CA">
      <w:start w:val="1"/>
      <w:numFmt w:val="bullet"/>
      <w:lvlText w:val=""/>
      <w:lvlJc w:val="left"/>
      <w:pPr>
        <w:ind w:left="720" w:hanging="180"/>
      </w:pPr>
      <w:rPr>
        <w:rFonts w:ascii="Symbol" w:hAnsi="Symbol" w:hint="default"/>
      </w:rPr>
    </w:lvl>
    <w:lvl w:ilvl="1" w:tplc="FE0CAABE">
      <w:numFmt w:val="decimal"/>
      <w:lvlText w:val=""/>
      <w:lvlJc w:val="left"/>
    </w:lvl>
    <w:lvl w:ilvl="2" w:tplc="EEF26D8C">
      <w:numFmt w:val="decimal"/>
      <w:lvlText w:val=""/>
      <w:lvlJc w:val="left"/>
    </w:lvl>
    <w:lvl w:ilvl="3" w:tplc="FA9E4382">
      <w:numFmt w:val="decimal"/>
      <w:lvlText w:val=""/>
      <w:lvlJc w:val="left"/>
    </w:lvl>
    <w:lvl w:ilvl="4" w:tplc="2882672C">
      <w:numFmt w:val="decimal"/>
      <w:lvlText w:val=""/>
      <w:lvlJc w:val="left"/>
    </w:lvl>
    <w:lvl w:ilvl="5" w:tplc="95AA1EB4">
      <w:numFmt w:val="decimal"/>
      <w:lvlText w:val=""/>
      <w:lvlJc w:val="left"/>
    </w:lvl>
    <w:lvl w:ilvl="6" w:tplc="41002E86">
      <w:numFmt w:val="decimal"/>
      <w:lvlText w:val=""/>
      <w:lvlJc w:val="left"/>
    </w:lvl>
    <w:lvl w:ilvl="7" w:tplc="4C9A076C">
      <w:numFmt w:val="decimal"/>
      <w:lvlText w:val=""/>
      <w:lvlJc w:val="left"/>
    </w:lvl>
    <w:lvl w:ilvl="8" w:tplc="09764E12">
      <w:numFmt w:val="decimal"/>
      <w:lvlText w:val=""/>
      <w:lvlJc w:val="left"/>
    </w:lvl>
  </w:abstractNum>
  <w:abstractNum w:abstractNumId="1216" w15:restartNumberingAfterBreak="0">
    <w:nsid w:val="7E6C4D30"/>
    <w:multiLevelType w:val="hybridMultilevel"/>
    <w:tmpl w:val="F2AA0640"/>
    <w:lvl w:ilvl="0" w:tplc="360490D2">
      <w:start w:val="1"/>
      <w:numFmt w:val="bullet"/>
      <w:lvlText w:val=""/>
      <w:lvlJc w:val="left"/>
      <w:pPr>
        <w:ind w:left="720" w:hanging="180"/>
      </w:pPr>
      <w:rPr>
        <w:rFonts w:ascii="Symbol" w:hAnsi="Symbol" w:hint="default"/>
      </w:rPr>
    </w:lvl>
    <w:lvl w:ilvl="1" w:tplc="3D5AF064">
      <w:numFmt w:val="decimal"/>
      <w:lvlText w:val=""/>
      <w:lvlJc w:val="left"/>
    </w:lvl>
    <w:lvl w:ilvl="2" w:tplc="C0A85E2A">
      <w:numFmt w:val="decimal"/>
      <w:lvlText w:val=""/>
      <w:lvlJc w:val="left"/>
    </w:lvl>
    <w:lvl w:ilvl="3" w:tplc="DB98F15C">
      <w:numFmt w:val="decimal"/>
      <w:lvlText w:val=""/>
      <w:lvlJc w:val="left"/>
    </w:lvl>
    <w:lvl w:ilvl="4" w:tplc="FC8AC076">
      <w:numFmt w:val="decimal"/>
      <w:lvlText w:val=""/>
      <w:lvlJc w:val="left"/>
    </w:lvl>
    <w:lvl w:ilvl="5" w:tplc="03E83654">
      <w:numFmt w:val="decimal"/>
      <w:lvlText w:val=""/>
      <w:lvlJc w:val="left"/>
    </w:lvl>
    <w:lvl w:ilvl="6" w:tplc="7CC408B2">
      <w:numFmt w:val="decimal"/>
      <w:lvlText w:val=""/>
      <w:lvlJc w:val="left"/>
    </w:lvl>
    <w:lvl w:ilvl="7" w:tplc="E8A83A76">
      <w:numFmt w:val="decimal"/>
      <w:lvlText w:val=""/>
      <w:lvlJc w:val="left"/>
    </w:lvl>
    <w:lvl w:ilvl="8" w:tplc="4BC6750E">
      <w:numFmt w:val="decimal"/>
      <w:lvlText w:val=""/>
      <w:lvlJc w:val="left"/>
    </w:lvl>
  </w:abstractNum>
  <w:abstractNum w:abstractNumId="1217" w15:restartNumberingAfterBreak="0">
    <w:nsid w:val="7E7051E4"/>
    <w:multiLevelType w:val="hybridMultilevel"/>
    <w:tmpl w:val="AD38F01A"/>
    <w:lvl w:ilvl="0" w:tplc="A230A5D8">
      <w:start w:val="1"/>
      <w:numFmt w:val="bullet"/>
      <w:lvlText w:val=""/>
      <w:lvlJc w:val="left"/>
      <w:pPr>
        <w:ind w:left="720" w:hanging="180"/>
      </w:pPr>
      <w:rPr>
        <w:rFonts w:ascii="Symbol" w:hAnsi="Symbol" w:hint="default"/>
      </w:rPr>
    </w:lvl>
    <w:lvl w:ilvl="1" w:tplc="C45EEB5C">
      <w:numFmt w:val="decimal"/>
      <w:lvlText w:val=""/>
      <w:lvlJc w:val="left"/>
    </w:lvl>
    <w:lvl w:ilvl="2" w:tplc="D3BC82A0">
      <w:numFmt w:val="decimal"/>
      <w:lvlText w:val=""/>
      <w:lvlJc w:val="left"/>
    </w:lvl>
    <w:lvl w:ilvl="3" w:tplc="D5E67BB2">
      <w:numFmt w:val="decimal"/>
      <w:lvlText w:val=""/>
      <w:lvlJc w:val="left"/>
    </w:lvl>
    <w:lvl w:ilvl="4" w:tplc="C122BE60">
      <w:numFmt w:val="decimal"/>
      <w:lvlText w:val=""/>
      <w:lvlJc w:val="left"/>
    </w:lvl>
    <w:lvl w:ilvl="5" w:tplc="DB6AEDB8">
      <w:numFmt w:val="decimal"/>
      <w:lvlText w:val=""/>
      <w:lvlJc w:val="left"/>
    </w:lvl>
    <w:lvl w:ilvl="6" w:tplc="40C2B0BE">
      <w:numFmt w:val="decimal"/>
      <w:lvlText w:val=""/>
      <w:lvlJc w:val="left"/>
    </w:lvl>
    <w:lvl w:ilvl="7" w:tplc="EE2C903C">
      <w:numFmt w:val="decimal"/>
      <w:lvlText w:val=""/>
      <w:lvlJc w:val="left"/>
    </w:lvl>
    <w:lvl w:ilvl="8" w:tplc="EF9E0FC4">
      <w:numFmt w:val="decimal"/>
      <w:lvlText w:val=""/>
      <w:lvlJc w:val="left"/>
    </w:lvl>
  </w:abstractNum>
  <w:abstractNum w:abstractNumId="1218" w15:restartNumberingAfterBreak="0">
    <w:nsid w:val="7E722DC8"/>
    <w:multiLevelType w:val="hybridMultilevel"/>
    <w:tmpl w:val="2A2A17EA"/>
    <w:lvl w:ilvl="0" w:tplc="E140F374">
      <w:start w:val="1"/>
      <w:numFmt w:val="bullet"/>
      <w:lvlText w:val=""/>
      <w:lvlJc w:val="left"/>
      <w:pPr>
        <w:ind w:left="720" w:hanging="180"/>
      </w:pPr>
      <w:rPr>
        <w:rFonts w:ascii="Symbol" w:hAnsi="Symbol" w:hint="default"/>
      </w:rPr>
    </w:lvl>
    <w:lvl w:ilvl="1" w:tplc="52A60CA6">
      <w:numFmt w:val="decimal"/>
      <w:lvlText w:val=""/>
      <w:lvlJc w:val="left"/>
    </w:lvl>
    <w:lvl w:ilvl="2" w:tplc="A942D0F6">
      <w:numFmt w:val="decimal"/>
      <w:lvlText w:val=""/>
      <w:lvlJc w:val="left"/>
    </w:lvl>
    <w:lvl w:ilvl="3" w:tplc="FE3253A2">
      <w:numFmt w:val="decimal"/>
      <w:lvlText w:val=""/>
      <w:lvlJc w:val="left"/>
    </w:lvl>
    <w:lvl w:ilvl="4" w:tplc="F0301CDA">
      <w:numFmt w:val="decimal"/>
      <w:lvlText w:val=""/>
      <w:lvlJc w:val="left"/>
    </w:lvl>
    <w:lvl w:ilvl="5" w:tplc="28464E84">
      <w:numFmt w:val="decimal"/>
      <w:lvlText w:val=""/>
      <w:lvlJc w:val="left"/>
    </w:lvl>
    <w:lvl w:ilvl="6" w:tplc="9342D918">
      <w:numFmt w:val="decimal"/>
      <w:lvlText w:val=""/>
      <w:lvlJc w:val="left"/>
    </w:lvl>
    <w:lvl w:ilvl="7" w:tplc="1D16408A">
      <w:numFmt w:val="decimal"/>
      <w:lvlText w:val=""/>
      <w:lvlJc w:val="left"/>
    </w:lvl>
    <w:lvl w:ilvl="8" w:tplc="4B7AF2D0">
      <w:numFmt w:val="decimal"/>
      <w:lvlText w:val=""/>
      <w:lvlJc w:val="left"/>
    </w:lvl>
  </w:abstractNum>
  <w:abstractNum w:abstractNumId="1219" w15:restartNumberingAfterBreak="0">
    <w:nsid w:val="7E8D4035"/>
    <w:multiLevelType w:val="hybridMultilevel"/>
    <w:tmpl w:val="077090A8"/>
    <w:lvl w:ilvl="0" w:tplc="FEFA8348">
      <w:start w:val="1"/>
      <w:numFmt w:val="bullet"/>
      <w:lvlText w:val=""/>
      <w:lvlJc w:val="left"/>
      <w:pPr>
        <w:ind w:left="720" w:hanging="180"/>
      </w:pPr>
      <w:rPr>
        <w:rFonts w:ascii="Symbol" w:hAnsi="Symbol" w:hint="default"/>
      </w:rPr>
    </w:lvl>
    <w:lvl w:ilvl="1" w:tplc="C9568B42">
      <w:numFmt w:val="decimal"/>
      <w:lvlText w:val=""/>
      <w:lvlJc w:val="left"/>
    </w:lvl>
    <w:lvl w:ilvl="2" w:tplc="0EAAEB98">
      <w:numFmt w:val="decimal"/>
      <w:lvlText w:val=""/>
      <w:lvlJc w:val="left"/>
    </w:lvl>
    <w:lvl w:ilvl="3" w:tplc="D3DEA752">
      <w:numFmt w:val="decimal"/>
      <w:lvlText w:val=""/>
      <w:lvlJc w:val="left"/>
    </w:lvl>
    <w:lvl w:ilvl="4" w:tplc="72161F70">
      <w:numFmt w:val="decimal"/>
      <w:lvlText w:val=""/>
      <w:lvlJc w:val="left"/>
    </w:lvl>
    <w:lvl w:ilvl="5" w:tplc="9536CE38">
      <w:numFmt w:val="decimal"/>
      <w:lvlText w:val=""/>
      <w:lvlJc w:val="left"/>
    </w:lvl>
    <w:lvl w:ilvl="6" w:tplc="EFE60174">
      <w:numFmt w:val="decimal"/>
      <w:lvlText w:val=""/>
      <w:lvlJc w:val="left"/>
    </w:lvl>
    <w:lvl w:ilvl="7" w:tplc="3E580F5A">
      <w:numFmt w:val="decimal"/>
      <w:lvlText w:val=""/>
      <w:lvlJc w:val="left"/>
    </w:lvl>
    <w:lvl w:ilvl="8" w:tplc="46DCD144">
      <w:numFmt w:val="decimal"/>
      <w:lvlText w:val=""/>
      <w:lvlJc w:val="left"/>
    </w:lvl>
  </w:abstractNum>
  <w:abstractNum w:abstractNumId="1220" w15:restartNumberingAfterBreak="0">
    <w:nsid w:val="7E955FE2"/>
    <w:multiLevelType w:val="hybridMultilevel"/>
    <w:tmpl w:val="7B54B582"/>
    <w:lvl w:ilvl="0" w:tplc="CA048900">
      <w:start w:val="1"/>
      <w:numFmt w:val="bullet"/>
      <w:lvlText w:val=""/>
      <w:lvlJc w:val="left"/>
      <w:pPr>
        <w:ind w:left="720" w:hanging="180"/>
      </w:pPr>
      <w:rPr>
        <w:rFonts w:ascii="Symbol" w:hAnsi="Symbol" w:hint="default"/>
      </w:rPr>
    </w:lvl>
    <w:lvl w:ilvl="1" w:tplc="60B0CD42">
      <w:numFmt w:val="decimal"/>
      <w:lvlText w:val=""/>
      <w:lvlJc w:val="left"/>
    </w:lvl>
    <w:lvl w:ilvl="2" w:tplc="08BC76D8">
      <w:numFmt w:val="decimal"/>
      <w:lvlText w:val=""/>
      <w:lvlJc w:val="left"/>
    </w:lvl>
    <w:lvl w:ilvl="3" w:tplc="B5948810">
      <w:numFmt w:val="decimal"/>
      <w:lvlText w:val=""/>
      <w:lvlJc w:val="left"/>
    </w:lvl>
    <w:lvl w:ilvl="4" w:tplc="522019AA">
      <w:numFmt w:val="decimal"/>
      <w:lvlText w:val=""/>
      <w:lvlJc w:val="left"/>
    </w:lvl>
    <w:lvl w:ilvl="5" w:tplc="D1EE4D40">
      <w:numFmt w:val="decimal"/>
      <w:lvlText w:val=""/>
      <w:lvlJc w:val="left"/>
    </w:lvl>
    <w:lvl w:ilvl="6" w:tplc="1E98103A">
      <w:numFmt w:val="decimal"/>
      <w:lvlText w:val=""/>
      <w:lvlJc w:val="left"/>
    </w:lvl>
    <w:lvl w:ilvl="7" w:tplc="C93CB09A">
      <w:numFmt w:val="decimal"/>
      <w:lvlText w:val=""/>
      <w:lvlJc w:val="left"/>
    </w:lvl>
    <w:lvl w:ilvl="8" w:tplc="808886E4">
      <w:numFmt w:val="decimal"/>
      <w:lvlText w:val=""/>
      <w:lvlJc w:val="left"/>
    </w:lvl>
  </w:abstractNum>
  <w:abstractNum w:abstractNumId="1221" w15:restartNumberingAfterBreak="0">
    <w:nsid w:val="7E986C66"/>
    <w:multiLevelType w:val="hybridMultilevel"/>
    <w:tmpl w:val="8D08D5D0"/>
    <w:lvl w:ilvl="0" w:tplc="47D2C95C">
      <w:start w:val="1"/>
      <w:numFmt w:val="bullet"/>
      <w:lvlText w:val=""/>
      <w:lvlJc w:val="left"/>
      <w:pPr>
        <w:ind w:left="720" w:hanging="180"/>
      </w:pPr>
      <w:rPr>
        <w:rFonts w:ascii="Symbol" w:hAnsi="Symbol" w:hint="default"/>
      </w:rPr>
    </w:lvl>
    <w:lvl w:ilvl="1" w:tplc="57048E8A">
      <w:numFmt w:val="decimal"/>
      <w:lvlText w:val=""/>
      <w:lvlJc w:val="left"/>
    </w:lvl>
    <w:lvl w:ilvl="2" w:tplc="AB9E6792">
      <w:numFmt w:val="decimal"/>
      <w:lvlText w:val=""/>
      <w:lvlJc w:val="left"/>
    </w:lvl>
    <w:lvl w:ilvl="3" w:tplc="B7AAADD6">
      <w:numFmt w:val="decimal"/>
      <w:lvlText w:val=""/>
      <w:lvlJc w:val="left"/>
    </w:lvl>
    <w:lvl w:ilvl="4" w:tplc="6D5E24EA">
      <w:numFmt w:val="decimal"/>
      <w:lvlText w:val=""/>
      <w:lvlJc w:val="left"/>
    </w:lvl>
    <w:lvl w:ilvl="5" w:tplc="A29233D6">
      <w:numFmt w:val="decimal"/>
      <w:lvlText w:val=""/>
      <w:lvlJc w:val="left"/>
    </w:lvl>
    <w:lvl w:ilvl="6" w:tplc="20083FD0">
      <w:numFmt w:val="decimal"/>
      <w:lvlText w:val=""/>
      <w:lvlJc w:val="left"/>
    </w:lvl>
    <w:lvl w:ilvl="7" w:tplc="A19C6D22">
      <w:numFmt w:val="decimal"/>
      <w:lvlText w:val=""/>
      <w:lvlJc w:val="left"/>
    </w:lvl>
    <w:lvl w:ilvl="8" w:tplc="1284D1AC">
      <w:numFmt w:val="decimal"/>
      <w:lvlText w:val=""/>
      <w:lvlJc w:val="left"/>
    </w:lvl>
  </w:abstractNum>
  <w:abstractNum w:abstractNumId="1222" w15:restartNumberingAfterBreak="0">
    <w:nsid w:val="7EC10924"/>
    <w:multiLevelType w:val="hybridMultilevel"/>
    <w:tmpl w:val="C75A620A"/>
    <w:lvl w:ilvl="0" w:tplc="7BCEEA54">
      <w:start w:val="1"/>
      <w:numFmt w:val="bullet"/>
      <w:lvlText w:val=""/>
      <w:lvlJc w:val="left"/>
      <w:pPr>
        <w:ind w:left="720" w:hanging="180"/>
      </w:pPr>
      <w:rPr>
        <w:rFonts w:ascii="Symbol" w:hAnsi="Symbol" w:hint="default"/>
      </w:rPr>
    </w:lvl>
    <w:lvl w:ilvl="1" w:tplc="4DEE2CA2">
      <w:numFmt w:val="decimal"/>
      <w:lvlText w:val=""/>
      <w:lvlJc w:val="left"/>
    </w:lvl>
    <w:lvl w:ilvl="2" w:tplc="BFE41152">
      <w:numFmt w:val="decimal"/>
      <w:lvlText w:val=""/>
      <w:lvlJc w:val="left"/>
    </w:lvl>
    <w:lvl w:ilvl="3" w:tplc="F67C9C0A">
      <w:numFmt w:val="decimal"/>
      <w:lvlText w:val=""/>
      <w:lvlJc w:val="left"/>
    </w:lvl>
    <w:lvl w:ilvl="4" w:tplc="B08C88C2">
      <w:numFmt w:val="decimal"/>
      <w:lvlText w:val=""/>
      <w:lvlJc w:val="left"/>
    </w:lvl>
    <w:lvl w:ilvl="5" w:tplc="F87673A4">
      <w:numFmt w:val="decimal"/>
      <w:lvlText w:val=""/>
      <w:lvlJc w:val="left"/>
    </w:lvl>
    <w:lvl w:ilvl="6" w:tplc="F5321D6E">
      <w:numFmt w:val="decimal"/>
      <w:lvlText w:val=""/>
      <w:lvlJc w:val="left"/>
    </w:lvl>
    <w:lvl w:ilvl="7" w:tplc="6A28DBB8">
      <w:numFmt w:val="decimal"/>
      <w:lvlText w:val=""/>
      <w:lvlJc w:val="left"/>
    </w:lvl>
    <w:lvl w:ilvl="8" w:tplc="A308D976">
      <w:numFmt w:val="decimal"/>
      <w:lvlText w:val=""/>
      <w:lvlJc w:val="left"/>
    </w:lvl>
  </w:abstractNum>
  <w:abstractNum w:abstractNumId="1223" w15:restartNumberingAfterBreak="0">
    <w:nsid w:val="7EDA53CD"/>
    <w:multiLevelType w:val="hybridMultilevel"/>
    <w:tmpl w:val="4FB08F66"/>
    <w:lvl w:ilvl="0" w:tplc="C15A2770">
      <w:numFmt w:val="decimal"/>
      <w:lvlText w:val=""/>
      <w:lvlJc w:val="left"/>
    </w:lvl>
    <w:lvl w:ilvl="1" w:tplc="74B84050">
      <w:start w:val="1"/>
      <w:numFmt w:val="bullet"/>
      <w:lvlText w:val=""/>
      <w:lvlJc w:val="left"/>
      <w:pPr>
        <w:ind w:left="1440" w:hanging="180"/>
      </w:pPr>
      <w:rPr>
        <w:rFonts w:ascii="Symbol" w:hAnsi="Symbol" w:hint="default"/>
      </w:rPr>
    </w:lvl>
    <w:lvl w:ilvl="2" w:tplc="D078380E">
      <w:numFmt w:val="decimal"/>
      <w:lvlText w:val=""/>
      <w:lvlJc w:val="left"/>
    </w:lvl>
    <w:lvl w:ilvl="3" w:tplc="D8248AAA">
      <w:numFmt w:val="decimal"/>
      <w:lvlText w:val=""/>
      <w:lvlJc w:val="left"/>
    </w:lvl>
    <w:lvl w:ilvl="4" w:tplc="122C7840">
      <w:numFmt w:val="decimal"/>
      <w:lvlText w:val=""/>
      <w:lvlJc w:val="left"/>
    </w:lvl>
    <w:lvl w:ilvl="5" w:tplc="B1BE5040">
      <w:numFmt w:val="decimal"/>
      <w:lvlText w:val=""/>
      <w:lvlJc w:val="left"/>
    </w:lvl>
    <w:lvl w:ilvl="6" w:tplc="3880032A">
      <w:numFmt w:val="decimal"/>
      <w:lvlText w:val=""/>
      <w:lvlJc w:val="left"/>
    </w:lvl>
    <w:lvl w:ilvl="7" w:tplc="D8A6094C">
      <w:numFmt w:val="decimal"/>
      <w:lvlText w:val=""/>
      <w:lvlJc w:val="left"/>
    </w:lvl>
    <w:lvl w:ilvl="8" w:tplc="FC1431D4">
      <w:numFmt w:val="decimal"/>
      <w:lvlText w:val=""/>
      <w:lvlJc w:val="left"/>
    </w:lvl>
  </w:abstractNum>
  <w:abstractNum w:abstractNumId="1224" w15:restartNumberingAfterBreak="0">
    <w:nsid w:val="7EE4527D"/>
    <w:multiLevelType w:val="hybridMultilevel"/>
    <w:tmpl w:val="A0FA3EF0"/>
    <w:lvl w:ilvl="0" w:tplc="FB0EED3E">
      <w:start w:val="1"/>
      <w:numFmt w:val="bullet"/>
      <w:lvlText w:val=""/>
      <w:lvlJc w:val="left"/>
      <w:pPr>
        <w:ind w:left="720" w:hanging="180"/>
      </w:pPr>
      <w:rPr>
        <w:rFonts w:ascii="Symbol" w:hAnsi="Symbol" w:hint="default"/>
      </w:rPr>
    </w:lvl>
    <w:lvl w:ilvl="1" w:tplc="29341E58">
      <w:numFmt w:val="decimal"/>
      <w:lvlText w:val=""/>
      <w:lvlJc w:val="left"/>
    </w:lvl>
    <w:lvl w:ilvl="2" w:tplc="72B2A432">
      <w:numFmt w:val="decimal"/>
      <w:lvlText w:val=""/>
      <w:lvlJc w:val="left"/>
    </w:lvl>
    <w:lvl w:ilvl="3" w:tplc="912836C0">
      <w:numFmt w:val="decimal"/>
      <w:lvlText w:val=""/>
      <w:lvlJc w:val="left"/>
    </w:lvl>
    <w:lvl w:ilvl="4" w:tplc="C30663DE">
      <w:numFmt w:val="decimal"/>
      <w:lvlText w:val=""/>
      <w:lvlJc w:val="left"/>
    </w:lvl>
    <w:lvl w:ilvl="5" w:tplc="CE8EC36E">
      <w:numFmt w:val="decimal"/>
      <w:lvlText w:val=""/>
      <w:lvlJc w:val="left"/>
    </w:lvl>
    <w:lvl w:ilvl="6" w:tplc="CC3EF7F4">
      <w:numFmt w:val="decimal"/>
      <w:lvlText w:val=""/>
      <w:lvlJc w:val="left"/>
    </w:lvl>
    <w:lvl w:ilvl="7" w:tplc="E946B0A4">
      <w:numFmt w:val="decimal"/>
      <w:lvlText w:val=""/>
      <w:lvlJc w:val="left"/>
    </w:lvl>
    <w:lvl w:ilvl="8" w:tplc="0F4892E2">
      <w:numFmt w:val="decimal"/>
      <w:lvlText w:val=""/>
      <w:lvlJc w:val="left"/>
    </w:lvl>
  </w:abstractNum>
  <w:abstractNum w:abstractNumId="1225" w15:restartNumberingAfterBreak="0">
    <w:nsid w:val="7EE84DC1"/>
    <w:multiLevelType w:val="hybridMultilevel"/>
    <w:tmpl w:val="3B48873E"/>
    <w:lvl w:ilvl="0" w:tplc="E8A49ED0">
      <w:start w:val="1"/>
      <w:numFmt w:val="bullet"/>
      <w:lvlText w:val=""/>
      <w:lvlJc w:val="left"/>
      <w:pPr>
        <w:ind w:left="720" w:hanging="180"/>
      </w:pPr>
      <w:rPr>
        <w:rFonts w:ascii="Symbol" w:hAnsi="Symbol" w:hint="default"/>
      </w:rPr>
    </w:lvl>
    <w:lvl w:ilvl="1" w:tplc="137019CA">
      <w:numFmt w:val="decimal"/>
      <w:lvlText w:val=""/>
      <w:lvlJc w:val="left"/>
    </w:lvl>
    <w:lvl w:ilvl="2" w:tplc="DE4EED46">
      <w:numFmt w:val="decimal"/>
      <w:lvlText w:val=""/>
      <w:lvlJc w:val="left"/>
    </w:lvl>
    <w:lvl w:ilvl="3" w:tplc="431021AC">
      <w:numFmt w:val="decimal"/>
      <w:lvlText w:val=""/>
      <w:lvlJc w:val="left"/>
    </w:lvl>
    <w:lvl w:ilvl="4" w:tplc="0D9089AA">
      <w:numFmt w:val="decimal"/>
      <w:lvlText w:val=""/>
      <w:lvlJc w:val="left"/>
    </w:lvl>
    <w:lvl w:ilvl="5" w:tplc="ACA4AA4E">
      <w:numFmt w:val="decimal"/>
      <w:lvlText w:val=""/>
      <w:lvlJc w:val="left"/>
    </w:lvl>
    <w:lvl w:ilvl="6" w:tplc="FE2C7CC2">
      <w:numFmt w:val="decimal"/>
      <w:lvlText w:val=""/>
      <w:lvlJc w:val="left"/>
    </w:lvl>
    <w:lvl w:ilvl="7" w:tplc="B91C20F2">
      <w:numFmt w:val="decimal"/>
      <w:lvlText w:val=""/>
      <w:lvlJc w:val="left"/>
    </w:lvl>
    <w:lvl w:ilvl="8" w:tplc="3080FF52">
      <w:numFmt w:val="decimal"/>
      <w:lvlText w:val=""/>
      <w:lvlJc w:val="left"/>
    </w:lvl>
  </w:abstractNum>
  <w:abstractNum w:abstractNumId="1226" w15:restartNumberingAfterBreak="0">
    <w:nsid w:val="7F0129C5"/>
    <w:multiLevelType w:val="hybridMultilevel"/>
    <w:tmpl w:val="38847674"/>
    <w:lvl w:ilvl="0" w:tplc="C41E251A">
      <w:start w:val="1"/>
      <w:numFmt w:val="bullet"/>
      <w:lvlText w:val=""/>
      <w:lvlJc w:val="left"/>
      <w:pPr>
        <w:ind w:left="720" w:hanging="180"/>
      </w:pPr>
      <w:rPr>
        <w:rFonts w:ascii="Symbol" w:hAnsi="Symbol" w:hint="default"/>
      </w:rPr>
    </w:lvl>
    <w:lvl w:ilvl="1" w:tplc="A2C041BE">
      <w:numFmt w:val="decimal"/>
      <w:lvlText w:val=""/>
      <w:lvlJc w:val="left"/>
    </w:lvl>
    <w:lvl w:ilvl="2" w:tplc="6B5AE194">
      <w:numFmt w:val="decimal"/>
      <w:lvlText w:val=""/>
      <w:lvlJc w:val="left"/>
    </w:lvl>
    <w:lvl w:ilvl="3" w:tplc="81E4AC7A">
      <w:numFmt w:val="decimal"/>
      <w:lvlText w:val=""/>
      <w:lvlJc w:val="left"/>
    </w:lvl>
    <w:lvl w:ilvl="4" w:tplc="46686598">
      <w:numFmt w:val="decimal"/>
      <w:lvlText w:val=""/>
      <w:lvlJc w:val="left"/>
    </w:lvl>
    <w:lvl w:ilvl="5" w:tplc="E5DCDF1A">
      <w:numFmt w:val="decimal"/>
      <w:lvlText w:val=""/>
      <w:lvlJc w:val="left"/>
    </w:lvl>
    <w:lvl w:ilvl="6" w:tplc="921242F8">
      <w:numFmt w:val="decimal"/>
      <w:lvlText w:val=""/>
      <w:lvlJc w:val="left"/>
    </w:lvl>
    <w:lvl w:ilvl="7" w:tplc="A7EEE61A">
      <w:numFmt w:val="decimal"/>
      <w:lvlText w:val=""/>
      <w:lvlJc w:val="left"/>
    </w:lvl>
    <w:lvl w:ilvl="8" w:tplc="2048AA64">
      <w:numFmt w:val="decimal"/>
      <w:lvlText w:val=""/>
      <w:lvlJc w:val="left"/>
    </w:lvl>
  </w:abstractNum>
  <w:abstractNum w:abstractNumId="1227" w15:restartNumberingAfterBreak="0">
    <w:nsid w:val="7F110FE4"/>
    <w:multiLevelType w:val="hybridMultilevel"/>
    <w:tmpl w:val="A8AEAF72"/>
    <w:lvl w:ilvl="0" w:tplc="5172FC64">
      <w:start w:val="1"/>
      <w:numFmt w:val="bullet"/>
      <w:lvlText w:val=""/>
      <w:lvlJc w:val="left"/>
      <w:pPr>
        <w:ind w:left="720" w:hanging="180"/>
      </w:pPr>
      <w:rPr>
        <w:rFonts w:ascii="Symbol" w:hAnsi="Symbol" w:hint="default"/>
      </w:rPr>
    </w:lvl>
    <w:lvl w:ilvl="1" w:tplc="2F1CB53E">
      <w:numFmt w:val="decimal"/>
      <w:lvlText w:val=""/>
      <w:lvlJc w:val="left"/>
    </w:lvl>
    <w:lvl w:ilvl="2" w:tplc="B6E4BF56">
      <w:numFmt w:val="decimal"/>
      <w:lvlText w:val=""/>
      <w:lvlJc w:val="left"/>
    </w:lvl>
    <w:lvl w:ilvl="3" w:tplc="E3D88C62">
      <w:numFmt w:val="decimal"/>
      <w:lvlText w:val=""/>
      <w:lvlJc w:val="left"/>
    </w:lvl>
    <w:lvl w:ilvl="4" w:tplc="033C5892">
      <w:numFmt w:val="decimal"/>
      <w:lvlText w:val=""/>
      <w:lvlJc w:val="left"/>
    </w:lvl>
    <w:lvl w:ilvl="5" w:tplc="2E54BF8E">
      <w:numFmt w:val="decimal"/>
      <w:lvlText w:val=""/>
      <w:lvlJc w:val="left"/>
    </w:lvl>
    <w:lvl w:ilvl="6" w:tplc="5C7A10F2">
      <w:numFmt w:val="decimal"/>
      <w:lvlText w:val=""/>
      <w:lvlJc w:val="left"/>
    </w:lvl>
    <w:lvl w:ilvl="7" w:tplc="7CE256B8">
      <w:numFmt w:val="decimal"/>
      <w:lvlText w:val=""/>
      <w:lvlJc w:val="left"/>
    </w:lvl>
    <w:lvl w:ilvl="8" w:tplc="3B30EEE0">
      <w:numFmt w:val="decimal"/>
      <w:lvlText w:val=""/>
      <w:lvlJc w:val="left"/>
    </w:lvl>
  </w:abstractNum>
  <w:abstractNum w:abstractNumId="1228" w15:restartNumberingAfterBreak="0">
    <w:nsid w:val="7F2051E9"/>
    <w:multiLevelType w:val="hybridMultilevel"/>
    <w:tmpl w:val="1C90313A"/>
    <w:lvl w:ilvl="0" w:tplc="CC04579E">
      <w:start w:val="1"/>
      <w:numFmt w:val="decimal"/>
      <w:lvlText w:val="%1."/>
      <w:lvlJc w:val="left"/>
      <w:pPr>
        <w:ind w:left="720" w:hanging="270"/>
      </w:pPr>
    </w:lvl>
    <w:lvl w:ilvl="1" w:tplc="DA1CE3E6">
      <w:numFmt w:val="decimal"/>
      <w:lvlText w:val=""/>
      <w:lvlJc w:val="left"/>
    </w:lvl>
    <w:lvl w:ilvl="2" w:tplc="92C65DAC">
      <w:numFmt w:val="decimal"/>
      <w:lvlText w:val=""/>
      <w:lvlJc w:val="left"/>
    </w:lvl>
    <w:lvl w:ilvl="3" w:tplc="1E04F296">
      <w:numFmt w:val="decimal"/>
      <w:lvlText w:val=""/>
      <w:lvlJc w:val="left"/>
    </w:lvl>
    <w:lvl w:ilvl="4" w:tplc="2684DE72">
      <w:numFmt w:val="decimal"/>
      <w:lvlText w:val=""/>
      <w:lvlJc w:val="left"/>
    </w:lvl>
    <w:lvl w:ilvl="5" w:tplc="646E5572">
      <w:numFmt w:val="decimal"/>
      <w:lvlText w:val=""/>
      <w:lvlJc w:val="left"/>
    </w:lvl>
    <w:lvl w:ilvl="6" w:tplc="68EEEEC8">
      <w:numFmt w:val="decimal"/>
      <w:lvlText w:val=""/>
      <w:lvlJc w:val="left"/>
    </w:lvl>
    <w:lvl w:ilvl="7" w:tplc="F4424A5A">
      <w:numFmt w:val="decimal"/>
      <w:lvlText w:val=""/>
      <w:lvlJc w:val="left"/>
    </w:lvl>
    <w:lvl w:ilvl="8" w:tplc="C3203E60">
      <w:numFmt w:val="decimal"/>
      <w:lvlText w:val=""/>
      <w:lvlJc w:val="left"/>
    </w:lvl>
  </w:abstractNum>
  <w:abstractNum w:abstractNumId="1229" w15:restartNumberingAfterBreak="0">
    <w:nsid w:val="7F6400A4"/>
    <w:multiLevelType w:val="hybridMultilevel"/>
    <w:tmpl w:val="7F742DA8"/>
    <w:lvl w:ilvl="0" w:tplc="D78E0906">
      <w:start w:val="1"/>
      <w:numFmt w:val="bullet"/>
      <w:lvlText w:val=""/>
      <w:lvlJc w:val="left"/>
      <w:pPr>
        <w:ind w:left="720" w:hanging="180"/>
      </w:pPr>
      <w:rPr>
        <w:rFonts w:ascii="Symbol" w:hAnsi="Symbol" w:hint="default"/>
      </w:rPr>
    </w:lvl>
    <w:lvl w:ilvl="1" w:tplc="851E76CA">
      <w:numFmt w:val="decimal"/>
      <w:lvlText w:val=""/>
      <w:lvlJc w:val="left"/>
    </w:lvl>
    <w:lvl w:ilvl="2" w:tplc="B464F632">
      <w:numFmt w:val="decimal"/>
      <w:lvlText w:val=""/>
      <w:lvlJc w:val="left"/>
    </w:lvl>
    <w:lvl w:ilvl="3" w:tplc="9A96E936">
      <w:numFmt w:val="decimal"/>
      <w:lvlText w:val=""/>
      <w:lvlJc w:val="left"/>
    </w:lvl>
    <w:lvl w:ilvl="4" w:tplc="831C664C">
      <w:numFmt w:val="decimal"/>
      <w:lvlText w:val=""/>
      <w:lvlJc w:val="left"/>
    </w:lvl>
    <w:lvl w:ilvl="5" w:tplc="0D584F1E">
      <w:numFmt w:val="decimal"/>
      <w:lvlText w:val=""/>
      <w:lvlJc w:val="left"/>
    </w:lvl>
    <w:lvl w:ilvl="6" w:tplc="9C76F592">
      <w:numFmt w:val="decimal"/>
      <w:lvlText w:val=""/>
      <w:lvlJc w:val="left"/>
    </w:lvl>
    <w:lvl w:ilvl="7" w:tplc="97F61C2C">
      <w:numFmt w:val="decimal"/>
      <w:lvlText w:val=""/>
      <w:lvlJc w:val="left"/>
    </w:lvl>
    <w:lvl w:ilvl="8" w:tplc="2FDC5A62">
      <w:numFmt w:val="decimal"/>
      <w:lvlText w:val=""/>
      <w:lvlJc w:val="left"/>
    </w:lvl>
  </w:abstractNum>
  <w:abstractNum w:abstractNumId="1230" w15:restartNumberingAfterBreak="0">
    <w:nsid w:val="7FC50462"/>
    <w:multiLevelType w:val="hybridMultilevel"/>
    <w:tmpl w:val="A8BA6B0C"/>
    <w:lvl w:ilvl="0" w:tplc="447012F6">
      <w:start w:val="1"/>
      <w:numFmt w:val="bullet"/>
      <w:lvlText w:val=""/>
      <w:lvlJc w:val="left"/>
      <w:pPr>
        <w:ind w:left="720" w:hanging="180"/>
      </w:pPr>
      <w:rPr>
        <w:rFonts w:ascii="Symbol" w:hAnsi="Symbol" w:hint="default"/>
      </w:rPr>
    </w:lvl>
    <w:lvl w:ilvl="1" w:tplc="EF24EC9E">
      <w:numFmt w:val="decimal"/>
      <w:lvlText w:val=""/>
      <w:lvlJc w:val="left"/>
    </w:lvl>
    <w:lvl w:ilvl="2" w:tplc="FC96BA1C">
      <w:numFmt w:val="decimal"/>
      <w:lvlText w:val=""/>
      <w:lvlJc w:val="left"/>
    </w:lvl>
    <w:lvl w:ilvl="3" w:tplc="4B3CBBDC">
      <w:numFmt w:val="decimal"/>
      <w:lvlText w:val=""/>
      <w:lvlJc w:val="left"/>
    </w:lvl>
    <w:lvl w:ilvl="4" w:tplc="685C1228">
      <w:numFmt w:val="decimal"/>
      <w:lvlText w:val=""/>
      <w:lvlJc w:val="left"/>
    </w:lvl>
    <w:lvl w:ilvl="5" w:tplc="DE2A8E8E">
      <w:numFmt w:val="decimal"/>
      <w:lvlText w:val=""/>
      <w:lvlJc w:val="left"/>
    </w:lvl>
    <w:lvl w:ilvl="6" w:tplc="6DC6A470">
      <w:numFmt w:val="decimal"/>
      <w:lvlText w:val=""/>
      <w:lvlJc w:val="left"/>
    </w:lvl>
    <w:lvl w:ilvl="7" w:tplc="CABC4720">
      <w:numFmt w:val="decimal"/>
      <w:lvlText w:val=""/>
      <w:lvlJc w:val="left"/>
    </w:lvl>
    <w:lvl w:ilvl="8" w:tplc="1EC83FE6">
      <w:numFmt w:val="decimal"/>
      <w:lvlText w:val=""/>
      <w:lvlJc w:val="left"/>
    </w:lvl>
  </w:abstractNum>
  <w:abstractNum w:abstractNumId="1231" w15:restartNumberingAfterBreak="0">
    <w:nsid w:val="7FC57641"/>
    <w:multiLevelType w:val="hybridMultilevel"/>
    <w:tmpl w:val="E6FA94FC"/>
    <w:lvl w:ilvl="0" w:tplc="ECC01A02">
      <w:start w:val="1"/>
      <w:numFmt w:val="bullet"/>
      <w:lvlText w:val=""/>
      <w:lvlJc w:val="left"/>
      <w:pPr>
        <w:ind w:left="720" w:hanging="180"/>
      </w:pPr>
      <w:rPr>
        <w:rFonts w:ascii="Symbol" w:hAnsi="Symbol" w:hint="default"/>
      </w:rPr>
    </w:lvl>
    <w:lvl w:ilvl="1" w:tplc="3842B0B4">
      <w:numFmt w:val="decimal"/>
      <w:lvlText w:val=""/>
      <w:lvlJc w:val="left"/>
    </w:lvl>
    <w:lvl w:ilvl="2" w:tplc="76D40E6A">
      <w:numFmt w:val="decimal"/>
      <w:lvlText w:val=""/>
      <w:lvlJc w:val="left"/>
    </w:lvl>
    <w:lvl w:ilvl="3" w:tplc="42BA4CAE">
      <w:numFmt w:val="decimal"/>
      <w:lvlText w:val=""/>
      <w:lvlJc w:val="left"/>
    </w:lvl>
    <w:lvl w:ilvl="4" w:tplc="FC82D082">
      <w:numFmt w:val="decimal"/>
      <w:lvlText w:val=""/>
      <w:lvlJc w:val="left"/>
    </w:lvl>
    <w:lvl w:ilvl="5" w:tplc="938E13AA">
      <w:numFmt w:val="decimal"/>
      <w:lvlText w:val=""/>
      <w:lvlJc w:val="left"/>
    </w:lvl>
    <w:lvl w:ilvl="6" w:tplc="B9CA0070">
      <w:numFmt w:val="decimal"/>
      <w:lvlText w:val=""/>
      <w:lvlJc w:val="left"/>
    </w:lvl>
    <w:lvl w:ilvl="7" w:tplc="2FD211D8">
      <w:numFmt w:val="decimal"/>
      <w:lvlText w:val=""/>
      <w:lvlJc w:val="left"/>
    </w:lvl>
    <w:lvl w:ilvl="8" w:tplc="0AF01004">
      <w:numFmt w:val="decimal"/>
      <w:lvlText w:val=""/>
      <w:lvlJc w:val="left"/>
    </w:lvl>
  </w:abstractNum>
  <w:abstractNum w:abstractNumId="1232" w15:restartNumberingAfterBreak="0">
    <w:nsid w:val="7FFA5F60"/>
    <w:multiLevelType w:val="hybridMultilevel"/>
    <w:tmpl w:val="6248DE70"/>
    <w:lvl w:ilvl="0" w:tplc="20FCA7AC">
      <w:start w:val="1"/>
      <w:numFmt w:val="bullet"/>
      <w:lvlText w:val=""/>
      <w:lvlJc w:val="left"/>
      <w:pPr>
        <w:ind w:left="720" w:hanging="180"/>
      </w:pPr>
      <w:rPr>
        <w:rFonts w:ascii="Symbol" w:hAnsi="Symbol" w:hint="default"/>
      </w:rPr>
    </w:lvl>
    <w:lvl w:ilvl="1" w:tplc="12FE0C9A">
      <w:numFmt w:val="decimal"/>
      <w:lvlText w:val=""/>
      <w:lvlJc w:val="left"/>
    </w:lvl>
    <w:lvl w:ilvl="2" w:tplc="D7DCAC50">
      <w:numFmt w:val="decimal"/>
      <w:lvlText w:val=""/>
      <w:lvlJc w:val="left"/>
    </w:lvl>
    <w:lvl w:ilvl="3" w:tplc="26B2D718">
      <w:numFmt w:val="decimal"/>
      <w:lvlText w:val=""/>
      <w:lvlJc w:val="left"/>
    </w:lvl>
    <w:lvl w:ilvl="4" w:tplc="71C64AD0">
      <w:numFmt w:val="decimal"/>
      <w:lvlText w:val=""/>
      <w:lvlJc w:val="left"/>
    </w:lvl>
    <w:lvl w:ilvl="5" w:tplc="A5B24048">
      <w:numFmt w:val="decimal"/>
      <w:lvlText w:val=""/>
      <w:lvlJc w:val="left"/>
    </w:lvl>
    <w:lvl w:ilvl="6" w:tplc="8D8A9418">
      <w:numFmt w:val="decimal"/>
      <w:lvlText w:val=""/>
      <w:lvlJc w:val="left"/>
    </w:lvl>
    <w:lvl w:ilvl="7" w:tplc="CDC23436">
      <w:numFmt w:val="decimal"/>
      <w:lvlText w:val=""/>
      <w:lvlJc w:val="left"/>
    </w:lvl>
    <w:lvl w:ilvl="8" w:tplc="44EED9B4">
      <w:numFmt w:val="decimal"/>
      <w:lvlText w:val=""/>
      <w:lvlJc w:val="left"/>
    </w:lvl>
  </w:abstractNum>
  <w:num w:numId="1" w16cid:durableId="680863434">
    <w:abstractNumId w:val="62"/>
  </w:num>
  <w:num w:numId="2" w16cid:durableId="910458683">
    <w:abstractNumId w:val="406"/>
  </w:num>
  <w:num w:numId="3" w16cid:durableId="249509888">
    <w:abstractNumId w:val="830"/>
  </w:num>
  <w:num w:numId="4" w16cid:durableId="130482482">
    <w:abstractNumId w:val="653"/>
  </w:num>
  <w:num w:numId="5" w16cid:durableId="1764640475">
    <w:abstractNumId w:val="714"/>
  </w:num>
  <w:num w:numId="6" w16cid:durableId="1627462978">
    <w:abstractNumId w:val="474"/>
  </w:num>
  <w:num w:numId="7" w16cid:durableId="219830220">
    <w:abstractNumId w:val="1025"/>
  </w:num>
  <w:num w:numId="8" w16cid:durableId="1042823822">
    <w:abstractNumId w:val="285"/>
  </w:num>
  <w:num w:numId="9" w16cid:durableId="966737997">
    <w:abstractNumId w:val="1173"/>
  </w:num>
  <w:num w:numId="10" w16cid:durableId="91320534">
    <w:abstractNumId w:val="709"/>
  </w:num>
  <w:num w:numId="11" w16cid:durableId="287660493">
    <w:abstractNumId w:val="403"/>
  </w:num>
  <w:num w:numId="12" w16cid:durableId="705255015">
    <w:abstractNumId w:val="742"/>
  </w:num>
  <w:num w:numId="13" w16cid:durableId="1167210872">
    <w:abstractNumId w:val="1037"/>
  </w:num>
  <w:num w:numId="14" w16cid:durableId="32772747">
    <w:abstractNumId w:val="669"/>
  </w:num>
  <w:num w:numId="15" w16cid:durableId="501505124">
    <w:abstractNumId w:val="684"/>
  </w:num>
  <w:num w:numId="16" w16cid:durableId="1887063722">
    <w:abstractNumId w:val="978"/>
  </w:num>
  <w:num w:numId="17" w16cid:durableId="18046089">
    <w:abstractNumId w:val="888"/>
  </w:num>
  <w:num w:numId="18" w16cid:durableId="568924374">
    <w:abstractNumId w:val="678"/>
  </w:num>
  <w:num w:numId="19" w16cid:durableId="2077360414">
    <w:abstractNumId w:val="761"/>
  </w:num>
  <w:num w:numId="20" w16cid:durableId="2064794181">
    <w:abstractNumId w:val="918"/>
  </w:num>
  <w:num w:numId="21" w16cid:durableId="148250684">
    <w:abstractNumId w:val="535"/>
  </w:num>
  <w:num w:numId="22" w16cid:durableId="1877885312">
    <w:abstractNumId w:val="590"/>
  </w:num>
  <w:num w:numId="23" w16cid:durableId="1371960003">
    <w:abstractNumId w:val="166"/>
  </w:num>
  <w:num w:numId="24" w16cid:durableId="284967513">
    <w:abstractNumId w:val="508"/>
  </w:num>
  <w:num w:numId="25" w16cid:durableId="409422340">
    <w:abstractNumId w:val="582"/>
  </w:num>
  <w:num w:numId="26" w16cid:durableId="681317615">
    <w:abstractNumId w:val="1009"/>
  </w:num>
  <w:num w:numId="27" w16cid:durableId="389576790">
    <w:abstractNumId w:val="221"/>
  </w:num>
  <w:num w:numId="28" w16cid:durableId="1372680954">
    <w:abstractNumId w:val="11"/>
  </w:num>
  <w:num w:numId="29" w16cid:durableId="334383667">
    <w:abstractNumId w:val="963"/>
  </w:num>
  <w:num w:numId="30" w16cid:durableId="1399860415">
    <w:abstractNumId w:val="576"/>
  </w:num>
  <w:num w:numId="31" w16cid:durableId="1594819659">
    <w:abstractNumId w:val="974"/>
  </w:num>
  <w:num w:numId="32" w16cid:durableId="645862810">
    <w:abstractNumId w:val="519"/>
  </w:num>
  <w:num w:numId="33" w16cid:durableId="408118245">
    <w:abstractNumId w:val="516"/>
  </w:num>
  <w:num w:numId="34" w16cid:durableId="522666009">
    <w:abstractNumId w:val="261"/>
  </w:num>
  <w:num w:numId="35" w16cid:durableId="1780760472">
    <w:abstractNumId w:val="380"/>
  </w:num>
  <w:num w:numId="36" w16cid:durableId="817186721">
    <w:abstractNumId w:val="91"/>
  </w:num>
  <w:num w:numId="37" w16cid:durableId="492600791">
    <w:abstractNumId w:val="1193"/>
  </w:num>
  <w:num w:numId="38" w16cid:durableId="261227815">
    <w:abstractNumId w:val="1020"/>
  </w:num>
  <w:num w:numId="39" w16cid:durableId="415713059">
    <w:abstractNumId w:val="72"/>
  </w:num>
  <w:num w:numId="40" w16cid:durableId="923419959">
    <w:abstractNumId w:val="606"/>
  </w:num>
  <w:num w:numId="41" w16cid:durableId="1797260569">
    <w:abstractNumId w:val="1029"/>
  </w:num>
  <w:num w:numId="42" w16cid:durableId="2013952377">
    <w:abstractNumId w:val="73"/>
  </w:num>
  <w:num w:numId="43" w16cid:durableId="441728831">
    <w:abstractNumId w:val="1131"/>
  </w:num>
  <w:num w:numId="44" w16cid:durableId="713507158">
    <w:abstractNumId w:val="160"/>
  </w:num>
  <w:num w:numId="45" w16cid:durableId="686063376">
    <w:abstractNumId w:val="287"/>
  </w:num>
  <w:num w:numId="46" w16cid:durableId="1325090155">
    <w:abstractNumId w:val="926"/>
  </w:num>
  <w:num w:numId="47" w16cid:durableId="378362663">
    <w:abstractNumId w:val="318"/>
  </w:num>
  <w:num w:numId="48" w16cid:durableId="186141509">
    <w:abstractNumId w:val="27"/>
  </w:num>
  <w:num w:numId="49" w16cid:durableId="2080134457">
    <w:abstractNumId w:val="598"/>
  </w:num>
  <w:num w:numId="50" w16cid:durableId="931625768">
    <w:abstractNumId w:val="267"/>
  </w:num>
  <w:num w:numId="51" w16cid:durableId="1172448818">
    <w:abstractNumId w:val="1106"/>
  </w:num>
  <w:num w:numId="52" w16cid:durableId="1111320520">
    <w:abstractNumId w:val="745"/>
  </w:num>
  <w:num w:numId="53" w16cid:durableId="1682048754">
    <w:abstractNumId w:val="67"/>
  </w:num>
  <w:num w:numId="54" w16cid:durableId="503981420">
    <w:abstractNumId w:val="420"/>
  </w:num>
  <w:num w:numId="55" w16cid:durableId="687365845">
    <w:abstractNumId w:val="591"/>
  </w:num>
  <w:num w:numId="56" w16cid:durableId="1945570851">
    <w:abstractNumId w:val="494"/>
  </w:num>
  <w:num w:numId="57" w16cid:durableId="2091847490">
    <w:abstractNumId w:val="314"/>
  </w:num>
  <w:num w:numId="58" w16cid:durableId="1157068209">
    <w:abstractNumId w:val="710"/>
  </w:num>
  <w:num w:numId="59" w16cid:durableId="806708447">
    <w:abstractNumId w:val="752"/>
  </w:num>
  <w:num w:numId="60" w16cid:durableId="1512185992">
    <w:abstractNumId w:val="865"/>
  </w:num>
  <w:num w:numId="61" w16cid:durableId="1185709747">
    <w:abstractNumId w:val="366"/>
  </w:num>
  <w:num w:numId="62" w16cid:durableId="1835759587">
    <w:abstractNumId w:val="292"/>
  </w:num>
  <w:num w:numId="63" w16cid:durableId="1498618827">
    <w:abstractNumId w:val="148"/>
  </w:num>
  <w:num w:numId="64" w16cid:durableId="1393701044">
    <w:abstractNumId w:val="388"/>
  </w:num>
  <w:num w:numId="65" w16cid:durableId="896404672">
    <w:abstractNumId w:val="787"/>
  </w:num>
  <w:num w:numId="66" w16cid:durableId="27536802">
    <w:abstractNumId w:val="968"/>
  </w:num>
  <w:num w:numId="67" w16cid:durableId="10033033">
    <w:abstractNumId w:val="341"/>
  </w:num>
  <w:num w:numId="68" w16cid:durableId="1257516734">
    <w:abstractNumId w:val="801"/>
  </w:num>
  <w:num w:numId="69" w16cid:durableId="784156984">
    <w:abstractNumId w:val="546"/>
  </w:num>
  <w:num w:numId="70" w16cid:durableId="1812552544">
    <w:abstractNumId w:val="1030"/>
  </w:num>
  <w:num w:numId="71" w16cid:durableId="1647664035">
    <w:abstractNumId w:val="1019"/>
  </w:num>
  <w:num w:numId="72" w16cid:durableId="1344437931">
    <w:abstractNumId w:val="1032"/>
  </w:num>
  <w:num w:numId="73" w16cid:durableId="185099997">
    <w:abstractNumId w:val="1081"/>
  </w:num>
  <w:num w:numId="74" w16cid:durableId="2047218275">
    <w:abstractNumId w:val="464"/>
  </w:num>
  <w:num w:numId="75" w16cid:durableId="910122359">
    <w:abstractNumId w:val="969"/>
  </w:num>
  <w:num w:numId="76" w16cid:durableId="2140606737">
    <w:abstractNumId w:val="85"/>
  </w:num>
  <w:num w:numId="77" w16cid:durableId="1087768404">
    <w:abstractNumId w:val="1187"/>
  </w:num>
  <w:num w:numId="78" w16cid:durableId="213200397">
    <w:abstractNumId w:val="1213"/>
  </w:num>
  <w:num w:numId="79" w16cid:durableId="66803149">
    <w:abstractNumId w:val="1014"/>
  </w:num>
  <w:num w:numId="80" w16cid:durableId="198206991">
    <w:abstractNumId w:val="641"/>
  </w:num>
  <w:num w:numId="81" w16cid:durableId="662665888">
    <w:abstractNumId w:val="451"/>
  </w:num>
  <w:num w:numId="82" w16cid:durableId="768475225">
    <w:abstractNumId w:val="806"/>
  </w:num>
  <w:num w:numId="83" w16cid:durableId="1819568127">
    <w:abstractNumId w:val="870"/>
  </w:num>
  <w:num w:numId="84" w16cid:durableId="312417621">
    <w:abstractNumId w:val="1058"/>
  </w:num>
  <w:num w:numId="85" w16cid:durableId="1954364122">
    <w:abstractNumId w:val="1089"/>
  </w:num>
  <w:num w:numId="86" w16cid:durableId="1758289445">
    <w:abstractNumId w:val="940"/>
  </w:num>
  <w:num w:numId="87" w16cid:durableId="799038491">
    <w:abstractNumId w:val="674"/>
  </w:num>
  <w:num w:numId="88" w16cid:durableId="1253129987">
    <w:abstractNumId w:val="503"/>
  </w:num>
  <w:num w:numId="89" w16cid:durableId="2051225553">
    <w:abstractNumId w:val="747"/>
  </w:num>
  <w:num w:numId="90" w16cid:durableId="1257522267">
    <w:abstractNumId w:val="80"/>
  </w:num>
  <w:num w:numId="91" w16cid:durableId="884558883">
    <w:abstractNumId w:val="51"/>
  </w:num>
  <w:num w:numId="92" w16cid:durableId="1232041786">
    <w:abstractNumId w:val="395"/>
  </w:num>
  <w:num w:numId="93" w16cid:durableId="1691957264">
    <w:abstractNumId w:val="96"/>
  </w:num>
  <w:num w:numId="94" w16cid:durableId="2010670452">
    <w:abstractNumId w:val="807"/>
  </w:num>
  <w:num w:numId="95" w16cid:durableId="982586073">
    <w:abstractNumId w:val="31"/>
  </w:num>
  <w:num w:numId="96" w16cid:durableId="816150585">
    <w:abstractNumId w:val="981"/>
  </w:num>
  <w:num w:numId="97" w16cid:durableId="715811244">
    <w:abstractNumId w:val="607"/>
  </w:num>
  <w:num w:numId="98" w16cid:durableId="936450709">
    <w:abstractNumId w:val="382"/>
  </w:num>
  <w:num w:numId="99" w16cid:durableId="1568416044">
    <w:abstractNumId w:val="332"/>
  </w:num>
  <w:num w:numId="100" w16cid:durableId="205723804">
    <w:abstractNumId w:val="992"/>
  </w:num>
  <w:num w:numId="101" w16cid:durableId="1197616721">
    <w:abstractNumId w:val="155"/>
  </w:num>
  <w:num w:numId="102" w16cid:durableId="274675497">
    <w:abstractNumId w:val="924"/>
  </w:num>
  <w:num w:numId="103" w16cid:durableId="1132477449">
    <w:abstractNumId w:val="916"/>
  </w:num>
  <w:num w:numId="104" w16cid:durableId="1329480771">
    <w:abstractNumId w:val="831"/>
  </w:num>
  <w:num w:numId="105" w16cid:durableId="765072996">
    <w:abstractNumId w:val="524"/>
  </w:num>
  <w:num w:numId="106" w16cid:durableId="1265914783">
    <w:abstractNumId w:val="707"/>
  </w:num>
  <w:num w:numId="107" w16cid:durableId="1113330150">
    <w:abstractNumId w:val="599"/>
  </w:num>
  <w:num w:numId="108" w16cid:durableId="638847668">
    <w:abstractNumId w:val="232"/>
  </w:num>
  <w:num w:numId="109" w16cid:durableId="85000554">
    <w:abstractNumId w:val="475"/>
  </w:num>
  <w:num w:numId="110" w16cid:durableId="1675909984">
    <w:abstractNumId w:val="513"/>
  </w:num>
  <w:num w:numId="111" w16cid:durableId="338701122">
    <w:abstractNumId w:val="1018"/>
  </w:num>
  <w:num w:numId="112" w16cid:durableId="2094204956">
    <w:abstractNumId w:val="1073"/>
  </w:num>
  <w:num w:numId="113" w16cid:durableId="811289129">
    <w:abstractNumId w:val="1223"/>
  </w:num>
  <w:num w:numId="114" w16cid:durableId="1222641595">
    <w:abstractNumId w:val="1028"/>
  </w:num>
  <w:num w:numId="115" w16cid:durableId="999849595">
    <w:abstractNumId w:val="756"/>
  </w:num>
  <w:num w:numId="116" w16cid:durableId="1252662797">
    <w:abstractNumId w:val="316"/>
  </w:num>
  <w:num w:numId="117" w16cid:durableId="52198671">
    <w:abstractNumId w:val="592"/>
  </w:num>
  <w:num w:numId="118" w16cid:durableId="20402182">
    <w:abstractNumId w:val="686"/>
  </w:num>
  <w:num w:numId="119" w16cid:durableId="1892232387">
    <w:abstractNumId w:val="625"/>
  </w:num>
  <w:num w:numId="120" w16cid:durableId="1011642412">
    <w:abstractNumId w:val="1022"/>
  </w:num>
  <w:num w:numId="121" w16cid:durableId="1620990775">
    <w:abstractNumId w:val="354"/>
  </w:num>
  <w:num w:numId="122" w16cid:durableId="630288248">
    <w:abstractNumId w:val="1227"/>
  </w:num>
  <w:num w:numId="123" w16cid:durableId="1572499236">
    <w:abstractNumId w:val="716"/>
  </w:num>
  <w:num w:numId="124" w16cid:durableId="944000359">
    <w:abstractNumId w:val="219"/>
  </w:num>
  <w:num w:numId="125" w16cid:durableId="910968691">
    <w:abstractNumId w:val="203"/>
  </w:num>
  <w:num w:numId="126" w16cid:durableId="628898296">
    <w:abstractNumId w:val="434"/>
  </w:num>
  <w:num w:numId="127" w16cid:durableId="1093084300">
    <w:abstractNumId w:val="728"/>
  </w:num>
  <w:num w:numId="128" w16cid:durableId="571505488">
    <w:abstractNumId w:val="1139"/>
  </w:num>
  <w:num w:numId="129" w16cid:durableId="1855415914">
    <w:abstractNumId w:val="468"/>
  </w:num>
  <w:num w:numId="130" w16cid:durableId="467666617">
    <w:abstractNumId w:val="677"/>
  </w:num>
  <w:num w:numId="131" w16cid:durableId="1395854548">
    <w:abstractNumId w:val="571"/>
  </w:num>
  <w:num w:numId="132" w16cid:durableId="567957886">
    <w:abstractNumId w:val="43"/>
  </w:num>
  <w:num w:numId="133" w16cid:durableId="543837217">
    <w:abstractNumId w:val="1231"/>
  </w:num>
  <w:num w:numId="134" w16cid:durableId="2032607033">
    <w:abstractNumId w:val="44"/>
  </w:num>
  <w:num w:numId="135" w16cid:durableId="1773284622">
    <w:abstractNumId w:val="1121"/>
  </w:num>
  <w:num w:numId="136" w16cid:durableId="812136698">
    <w:abstractNumId w:val="161"/>
  </w:num>
  <w:num w:numId="137" w16cid:durableId="52969454">
    <w:abstractNumId w:val="554"/>
  </w:num>
  <w:num w:numId="138" w16cid:durableId="359624562">
    <w:abstractNumId w:val="34"/>
  </w:num>
  <w:num w:numId="139" w16cid:durableId="511602367">
    <w:abstractNumId w:val="333"/>
  </w:num>
  <w:num w:numId="140" w16cid:durableId="1802916581">
    <w:abstractNumId w:val="39"/>
  </w:num>
  <w:num w:numId="141" w16cid:durableId="1035232212">
    <w:abstractNumId w:val="399"/>
  </w:num>
  <w:num w:numId="142" w16cid:durableId="1580603598">
    <w:abstractNumId w:val="785"/>
  </w:num>
  <w:num w:numId="143" w16cid:durableId="1465928735">
    <w:abstractNumId w:val="338"/>
  </w:num>
  <w:num w:numId="144" w16cid:durableId="1954047147">
    <w:abstractNumId w:val="540"/>
  </w:num>
  <w:num w:numId="145" w16cid:durableId="1545099650">
    <w:abstractNumId w:val="251"/>
  </w:num>
  <w:num w:numId="146" w16cid:durableId="814760881">
    <w:abstractNumId w:val="143"/>
  </w:num>
  <w:num w:numId="147" w16cid:durableId="1013608441">
    <w:abstractNumId w:val="1156"/>
  </w:num>
  <w:num w:numId="148" w16cid:durableId="527647450">
    <w:abstractNumId w:val="837"/>
  </w:num>
  <w:num w:numId="149" w16cid:durableId="1492284544">
    <w:abstractNumId w:val="309"/>
  </w:num>
  <w:num w:numId="150" w16cid:durableId="1565990482">
    <w:abstractNumId w:val="620"/>
  </w:num>
  <w:num w:numId="151" w16cid:durableId="1833448431">
    <w:abstractNumId w:val="47"/>
  </w:num>
  <w:num w:numId="152" w16cid:durableId="1189178428">
    <w:abstractNumId w:val="102"/>
  </w:num>
  <w:num w:numId="153" w16cid:durableId="861548383">
    <w:abstractNumId w:val="150"/>
  </w:num>
  <w:num w:numId="154" w16cid:durableId="1339580740">
    <w:abstractNumId w:val="1181"/>
  </w:num>
  <w:num w:numId="155" w16cid:durableId="617951125">
    <w:abstractNumId w:val="945"/>
  </w:num>
  <w:num w:numId="156" w16cid:durableId="328559441">
    <w:abstractNumId w:val="491"/>
  </w:num>
  <w:num w:numId="157" w16cid:durableId="2106875486">
    <w:abstractNumId w:val="1109"/>
  </w:num>
  <w:num w:numId="158" w16cid:durableId="1467505483">
    <w:abstractNumId w:val="280"/>
  </w:num>
  <w:num w:numId="159" w16cid:durableId="907888472">
    <w:abstractNumId w:val="727"/>
  </w:num>
  <w:num w:numId="160" w16cid:durableId="2116249355">
    <w:abstractNumId w:val="796"/>
  </w:num>
  <w:num w:numId="161" w16cid:durableId="2132819711">
    <w:abstractNumId w:val="300"/>
  </w:num>
  <w:num w:numId="162" w16cid:durableId="339115250">
    <w:abstractNumId w:val="337"/>
  </w:num>
  <w:num w:numId="163" w16cid:durableId="1921140283">
    <w:abstractNumId w:val="23"/>
  </w:num>
  <w:num w:numId="164" w16cid:durableId="324288658">
    <w:abstractNumId w:val="93"/>
  </w:num>
  <w:num w:numId="165" w16cid:durableId="1509175942">
    <w:abstractNumId w:val="455"/>
  </w:num>
  <w:num w:numId="166" w16cid:durableId="1434088228">
    <w:abstractNumId w:val="530"/>
  </w:num>
  <w:num w:numId="167" w16cid:durableId="902368338">
    <w:abstractNumId w:val="874"/>
  </w:num>
  <w:num w:numId="168" w16cid:durableId="1263536735">
    <w:abstractNumId w:val="839"/>
  </w:num>
  <w:num w:numId="169" w16cid:durableId="1158960732">
    <w:abstractNumId w:val="169"/>
  </w:num>
  <w:num w:numId="170" w16cid:durableId="513150350">
    <w:abstractNumId w:val="179"/>
  </w:num>
  <w:num w:numId="171" w16cid:durableId="1042679116">
    <w:abstractNumId w:val="274"/>
  </w:num>
  <w:num w:numId="172" w16cid:durableId="1582838525">
    <w:abstractNumId w:val="995"/>
  </w:num>
  <w:num w:numId="173" w16cid:durableId="1661343936">
    <w:abstractNumId w:val="1100"/>
  </w:num>
  <w:num w:numId="174" w16cid:durableId="285703415">
    <w:abstractNumId w:val="407"/>
  </w:num>
  <w:num w:numId="175" w16cid:durableId="909577821">
    <w:abstractNumId w:val="357"/>
  </w:num>
  <w:num w:numId="176" w16cid:durableId="1095328136">
    <w:abstractNumId w:val="1132"/>
  </w:num>
  <w:num w:numId="177" w16cid:durableId="857812966">
    <w:abstractNumId w:val="411"/>
  </w:num>
  <w:num w:numId="178" w16cid:durableId="138376941">
    <w:abstractNumId w:val="644"/>
  </w:num>
  <w:num w:numId="179" w16cid:durableId="1212500878">
    <w:abstractNumId w:val="439"/>
  </w:num>
  <w:num w:numId="180" w16cid:durableId="2050035185">
    <w:abstractNumId w:val="942"/>
  </w:num>
  <w:num w:numId="181" w16cid:durableId="2067020481">
    <w:abstractNumId w:val="656"/>
  </w:num>
  <w:num w:numId="182" w16cid:durableId="229266218">
    <w:abstractNumId w:val="241"/>
  </w:num>
  <w:num w:numId="183" w16cid:durableId="992368592">
    <w:abstractNumId w:val="89"/>
  </w:num>
  <w:num w:numId="184" w16cid:durableId="196357129">
    <w:abstractNumId w:val="510"/>
  </w:num>
  <w:num w:numId="185" w16cid:durableId="888611897">
    <w:abstractNumId w:val="679"/>
  </w:num>
  <w:num w:numId="186" w16cid:durableId="46733519">
    <w:abstractNumId w:val="928"/>
  </w:num>
  <w:num w:numId="187" w16cid:durableId="1752774118">
    <w:abstractNumId w:val="935"/>
  </w:num>
  <w:num w:numId="188" w16cid:durableId="936329587">
    <w:abstractNumId w:val="496"/>
  </w:num>
  <w:num w:numId="189" w16cid:durableId="1359283729">
    <w:abstractNumId w:val="819"/>
  </w:num>
  <w:num w:numId="190" w16cid:durableId="83042346">
    <w:abstractNumId w:val="1084"/>
  </w:num>
  <w:num w:numId="191" w16cid:durableId="325792836">
    <w:abstractNumId w:val="648"/>
  </w:num>
  <w:num w:numId="192" w16cid:durableId="2095782965">
    <w:abstractNumId w:val="200"/>
  </w:num>
  <w:num w:numId="193" w16cid:durableId="1833174618">
    <w:abstractNumId w:val="573"/>
  </w:num>
  <w:num w:numId="194" w16cid:durableId="972179972">
    <w:abstractNumId w:val="131"/>
  </w:num>
  <w:num w:numId="195" w16cid:durableId="378551088">
    <w:abstractNumId w:val="640"/>
  </w:num>
  <w:num w:numId="196" w16cid:durableId="2083093789">
    <w:abstractNumId w:val="512"/>
  </w:num>
  <w:num w:numId="197" w16cid:durableId="163671460">
    <w:abstractNumId w:val="1079"/>
  </w:num>
  <w:num w:numId="198" w16cid:durableId="1280454929">
    <w:abstractNumId w:val="425"/>
  </w:num>
  <w:num w:numId="199" w16cid:durableId="94982430">
    <w:abstractNumId w:val="770"/>
  </w:num>
  <w:num w:numId="200" w16cid:durableId="1345938553">
    <w:abstractNumId w:val="549"/>
  </w:num>
  <w:num w:numId="201" w16cid:durableId="836728528">
    <w:abstractNumId w:val="177"/>
  </w:num>
  <w:num w:numId="202" w16cid:durableId="348143486">
    <w:abstractNumId w:val="521"/>
  </w:num>
  <w:num w:numId="203" w16cid:durableId="1486968843">
    <w:abstractNumId w:val="850"/>
  </w:num>
  <w:num w:numId="204" w16cid:durableId="109131247">
    <w:abstractNumId w:val="913"/>
  </w:num>
  <w:num w:numId="205" w16cid:durableId="53967227">
    <w:abstractNumId w:val="1186"/>
  </w:num>
  <w:num w:numId="206" w16cid:durableId="1492528108">
    <w:abstractNumId w:val="776"/>
  </w:num>
  <w:num w:numId="207" w16cid:durableId="1669937118">
    <w:abstractNumId w:val="953"/>
  </w:num>
  <w:num w:numId="208" w16cid:durableId="174613573">
    <w:abstractNumId w:val="733"/>
  </w:num>
  <w:num w:numId="209" w16cid:durableId="1241675710">
    <w:abstractNumId w:val="106"/>
  </w:num>
  <w:num w:numId="210" w16cid:durableId="901718045">
    <w:abstractNumId w:val="574"/>
  </w:num>
  <w:num w:numId="211" w16cid:durableId="979309693">
    <w:abstractNumId w:val="263"/>
  </w:num>
  <w:num w:numId="212" w16cid:durableId="1758862049">
    <w:abstractNumId w:val="1041"/>
  </w:num>
  <w:num w:numId="213" w16cid:durableId="945111732">
    <w:abstractNumId w:val="637"/>
  </w:num>
  <w:num w:numId="214" w16cid:durableId="1022782762">
    <w:abstractNumId w:val="13"/>
  </w:num>
  <w:num w:numId="215" w16cid:durableId="673067957">
    <w:abstractNumId w:val="526"/>
  </w:num>
  <w:num w:numId="216" w16cid:durableId="1643848046">
    <w:abstractNumId w:val="141"/>
  </w:num>
  <w:num w:numId="217" w16cid:durableId="13310983">
    <w:abstractNumId w:val="822"/>
  </w:num>
  <w:num w:numId="218" w16cid:durableId="48191250">
    <w:abstractNumId w:val="194"/>
  </w:num>
  <w:num w:numId="219" w16cid:durableId="1274359054">
    <w:abstractNumId w:val="442"/>
  </w:num>
  <w:num w:numId="220" w16cid:durableId="2133936720">
    <w:abstractNumId w:val="367"/>
  </w:num>
  <w:num w:numId="221" w16cid:durableId="757559327">
    <w:abstractNumId w:val="303"/>
  </w:num>
  <w:num w:numId="222" w16cid:durableId="1619723992">
    <w:abstractNumId w:val="834"/>
  </w:num>
  <w:num w:numId="223" w16cid:durableId="698118476">
    <w:abstractNumId w:val="78"/>
  </w:num>
  <w:num w:numId="224" w16cid:durableId="619070762">
    <w:abstractNumId w:val="355"/>
  </w:num>
  <w:num w:numId="225" w16cid:durableId="1954749448">
    <w:abstractNumId w:val="20"/>
  </w:num>
  <w:num w:numId="226" w16cid:durableId="870190576">
    <w:abstractNumId w:val="352"/>
  </w:num>
  <w:num w:numId="227" w16cid:durableId="77555605">
    <w:abstractNumId w:val="604"/>
  </w:num>
  <w:num w:numId="228" w16cid:durableId="1405881593">
    <w:abstractNumId w:val="616"/>
  </w:num>
  <w:num w:numId="229" w16cid:durableId="1518155334">
    <w:abstractNumId w:val="452"/>
  </w:num>
  <w:num w:numId="230" w16cid:durableId="1182011714">
    <w:abstractNumId w:val="556"/>
  </w:num>
  <w:num w:numId="231" w16cid:durableId="178397639">
    <w:abstractNumId w:val="860"/>
  </w:num>
  <w:num w:numId="232" w16cid:durableId="772163190">
    <w:abstractNumId w:val="81"/>
  </w:num>
  <w:num w:numId="233" w16cid:durableId="382752852">
    <w:abstractNumId w:val="1183"/>
  </w:num>
  <w:num w:numId="234" w16cid:durableId="423459145">
    <w:abstractNumId w:val="1051"/>
  </w:num>
  <w:num w:numId="235" w16cid:durableId="152334624">
    <w:abstractNumId w:val="1184"/>
  </w:num>
  <w:num w:numId="236" w16cid:durableId="1314676992">
    <w:abstractNumId w:val="37"/>
  </w:num>
  <w:num w:numId="237" w16cid:durableId="1827696848">
    <w:abstractNumId w:val="253"/>
  </w:num>
  <w:num w:numId="238" w16cid:durableId="1977180772">
    <w:abstractNumId w:val="435"/>
  </w:num>
  <w:num w:numId="239" w16cid:durableId="470833">
    <w:abstractNumId w:val="692"/>
  </w:num>
  <w:num w:numId="240" w16cid:durableId="1221819401">
    <w:abstractNumId w:val="1002"/>
  </w:num>
  <w:num w:numId="241" w16cid:durableId="369769711">
    <w:abstractNumId w:val="774"/>
  </w:num>
  <w:num w:numId="242" w16cid:durableId="977295389">
    <w:abstractNumId w:val="773"/>
  </w:num>
  <w:num w:numId="243" w16cid:durableId="289092241">
    <w:abstractNumId w:val="225"/>
  </w:num>
  <w:num w:numId="244" w16cid:durableId="1061709585">
    <w:abstractNumId w:val="658"/>
  </w:num>
  <w:num w:numId="245" w16cid:durableId="705568736">
    <w:abstractNumId w:val="246"/>
  </w:num>
  <w:num w:numId="246" w16cid:durableId="2024821801">
    <w:abstractNumId w:val="339"/>
  </w:num>
  <w:num w:numId="247" w16cid:durableId="431364007">
    <w:abstractNumId w:val="191"/>
  </w:num>
  <w:num w:numId="248" w16cid:durableId="1256862594">
    <w:abstractNumId w:val="105"/>
  </w:num>
  <w:num w:numId="249" w16cid:durableId="749425299">
    <w:abstractNumId w:val="1013"/>
  </w:num>
  <w:num w:numId="250" w16cid:durableId="1566647692">
    <w:abstractNumId w:val="532"/>
  </w:num>
  <w:num w:numId="251" w16cid:durableId="1919173503">
    <w:abstractNumId w:val="1059"/>
  </w:num>
  <w:num w:numId="252" w16cid:durableId="1365906967">
    <w:abstractNumId w:val="205"/>
  </w:num>
  <w:num w:numId="253" w16cid:durableId="1414887712">
    <w:abstractNumId w:val="1169"/>
  </w:num>
  <w:num w:numId="254" w16cid:durableId="460614355">
    <w:abstractNumId w:val="505"/>
  </w:num>
  <w:num w:numId="255" w16cid:durableId="1848862340">
    <w:abstractNumId w:val="596"/>
  </w:num>
  <w:num w:numId="256" w16cid:durableId="591161394">
    <w:abstractNumId w:val="61"/>
  </w:num>
  <w:num w:numId="257" w16cid:durableId="1344942362">
    <w:abstractNumId w:val="887"/>
  </w:num>
  <w:num w:numId="258" w16cid:durableId="1112483043">
    <w:abstractNumId w:val="863"/>
  </w:num>
  <w:num w:numId="259" w16cid:durableId="242300289">
    <w:abstractNumId w:val="932"/>
  </w:num>
  <w:num w:numId="260" w16cid:durableId="388306752">
    <w:abstractNumId w:val="1194"/>
  </w:num>
  <w:num w:numId="261" w16cid:durableId="1093819658">
    <w:abstractNumId w:val="1166"/>
  </w:num>
  <w:num w:numId="262" w16cid:durableId="293482354">
    <w:abstractNumId w:val="1219"/>
  </w:num>
  <w:num w:numId="263" w16cid:durableId="1454325515">
    <w:abstractNumId w:val="25"/>
  </w:num>
  <w:num w:numId="264" w16cid:durableId="41100840">
    <w:abstractNumId w:val="1148"/>
  </w:num>
  <w:num w:numId="265" w16cid:durableId="1245144885">
    <w:abstractNumId w:val="1218"/>
  </w:num>
  <w:num w:numId="266" w16cid:durableId="1668360783">
    <w:abstractNumId w:val="751"/>
  </w:num>
  <w:num w:numId="267" w16cid:durableId="1958412663">
    <w:abstractNumId w:val="129"/>
  </w:num>
  <w:num w:numId="268" w16cid:durableId="237180680">
    <w:abstractNumId w:val="186"/>
  </w:num>
  <w:num w:numId="269" w16cid:durableId="1999259676">
    <w:abstractNumId w:val="390"/>
  </w:num>
  <w:num w:numId="270" w16cid:durableId="1186600923">
    <w:abstractNumId w:val="1047"/>
  </w:num>
  <w:num w:numId="271" w16cid:durableId="269169758">
    <w:abstractNumId w:val="172"/>
  </w:num>
  <w:num w:numId="272" w16cid:durableId="700401203">
    <w:abstractNumId w:val="903"/>
  </w:num>
  <w:num w:numId="273" w16cid:durableId="96944297">
    <w:abstractNumId w:val="460"/>
  </w:num>
  <w:num w:numId="274" w16cid:durableId="497577960">
    <w:abstractNumId w:val="77"/>
  </w:num>
  <w:num w:numId="275" w16cid:durableId="1810592866">
    <w:abstractNumId w:val="922"/>
  </w:num>
  <w:num w:numId="276" w16cid:durableId="80563964">
    <w:abstractNumId w:val="236"/>
  </w:num>
  <w:num w:numId="277" w16cid:durableId="1803882615">
    <w:abstractNumId w:val="1214"/>
  </w:num>
  <w:num w:numId="278" w16cid:durableId="2003582466">
    <w:abstractNumId w:val="193"/>
  </w:num>
  <w:num w:numId="279" w16cid:durableId="1455322058">
    <w:abstractNumId w:val="182"/>
  </w:num>
  <w:num w:numId="280" w16cid:durableId="1701781318">
    <w:abstractNumId w:val="142"/>
  </w:num>
  <w:num w:numId="281" w16cid:durableId="961497069">
    <w:abstractNumId w:val="861"/>
  </w:num>
  <w:num w:numId="282" w16cid:durableId="1453016636">
    <w:abstractNumId w:val="515"/>
  </w:num>
  <w:num w:numId="283" w16cid:durableId="1860004173">
    <w:abstractNumId w:val="552"/>
  </w:num>
  <w:num w:numId="284" w16cid:durableId="2126534740">
    <w:abstractNumId w:val="252"/>
  </w:num>
  <w:num w:numId="285" w16cid:durableId="1210453478">
    <w:abstractNumId w:val="262"/>
  </w:num>
  <w:num w:numId="286" w16cid:durableId="654262703">
    <w:abstractNumId w:val="317"/>
  </w:num>
  <w:num w:numId="287" w16cid:durableId="926888219">
    <w:abstractNumId w:val="120"/>
  </w:num>
  <w:num w:numId="288" w16cid:durableId="737477962">
    <w:abstractNumId w:val="417"/>
  </w:num>
  <w:num w:numId="289" w16cid:durableId="922378056">
    <w:abstractNumId w:val="227"/>
  </w:num>
  <w:num w:numId="290" w16cid:durableId="225069904">
    <w:abstractNumId w:val="737"/>
  </w:num>
  <w:num w:numId="291" w16cid:durableId="39667846">
    <w:abstractNumId w:val="853"/>
  </w:num>
  <w:num w:numId="292" w16cid:durableId="631907317">
    <w:abstractNumId w:val="1221"/>
  </w:num>
  <w:num w:numId="293" w16cid:durableId="996347912">
    <w:abstractNumId w:val="898"/>
  </w:num>
  <w:num w:numId="294" w16cid:durableId="760486200">
    <w:abstractNumId w:val="113"/>
  </w:num>
  <w:num w:numId="295" w16cid:durableId="693655608">
    <w:abstractNumId w:val="187"/>
  </w:num>
  <w:num w:numId="296" w16cid:durableId="1881437805">
    <w:abstractNumId w:val="1198"/>
  </w:num>
  <w:num w:numId="297" w16cid:durableId="634796624">
    <w:abstractNumId w:val="917"/>
  </w:num>
  <w:num w:numId="298" w16cid:durableId="1376736513">
    <w:abstractNumId w:val="202"/>
  </w:num>
  <w:num w:numId="299" w16cid:durableId="73741589">
    <w:abstractNumId w:val="729"/>
  </w:num>
  <w:num w:numId="300" w16cid:durableId="598947456">
    <w:abstractNumId w:val="998"/>
  </w:num>
  <w:num w:numId="301" w16cid:durableId="1150517226">
    <w:abstractNumId w:val="195"/>
  </w:num>
  <w:num w:numId="302" w16cid:durableId="1151411696">
    <w:abstractNumId w:val="675"/>
  </w:num>
  <w:num w:numId="303" w16cid:durableId="1559592670">
    <w:abstractNumId w:val="659"/>
  </w:num>
  <w:num w:numId="304" w16cid:durableId="1458841273">
    <w:abstractNumId w:val="754"/>
  </w:num>
  <w:num w:numId="305" w16cid:durableId="514417632">
    <w:abstractNumId w:val="140"/>
  </w:num>
  <w:num w:numId="306" w16cid:durableId="1960183727">
    <w:abstractNumId w:val="1149"/>
  </w:num>
  <w:num w:numId="307" w16cid:durableId="37244141">
    <w:abstractNumId w:val="725"/>
  </w:num>
  <w:num w:numId="308" w16cid:durableId="1669283516">
    <w:abstractNumId w:val="587"/>
  </w:num>
  <w:num w:numId="309" w16cid:durableId="618415770">
    <w:abstractNumId w:val="711"/>
  </w:num>
  <w:num w:numId="310" w16cid:durableId="2048481573">
    <w:abstractNumId w:val="643"/>
  </w:num>
  <w:num w:numId="311" w16cid:durableId="763578311">
    <w:abstractNumId w:val="256"/>
  </w:num>
  <w:num w:numId="312" w16cid:durableId="914974655">
    <w:abstractNumId w:val="130"/>
  </w:num>
  <w:num w:numId="313" w16cid:durableId="1425414998">
    <w:abstractNumId w:val="482"/>
  </w:num>
  <w:num w:numId="314" w16cid:durableId="1182361063">
    <w:abstractNumId w:val="699"/>
  </w:num>
  <w:num w:numId="315" w16cid:durableId="1176192817">
    <w:abstractNumId w:val="1052"/>
  </w:num>
  <w:num w:numId="316" w16cid:durableId="778338140">
    <w:abstractNumId w:val="1217"/>
  </w:num>
  <w:num w:numId="317" w16cid:durableId="1584879325">
    <w:abstractNumId w:val="104"/>
  </w:num>
  <w:num w:numId="318" w16cid:durableId="1565601338">
    <w:abstractNumId w:val="1016"/>
  </w:num>
  <w:num w:numId="319" w16cid:durableId="141391789">
    <w:abstractNumId w:val="744"/>
  </w:num>
  <w:num w:numId="320" w16cid:durableId="1676346809">
    <w:abstractNumId w:val="326"/>
  </w:num>
  <w:num w:numId="321" w16cid:durableId="983388521">
    <w:abstractNumId w:val="426"/>
  </w:num>
  <w:num w:numId="322" w16cid:durableId="348528404">
    <w:abstractNumId w:val="1204"/>
  </w:num>
  <w:num w:numId="323" w16cid:durableId="1667633541">
    <w:abstractNumId w:val="1136"/>
  </w:num>
  <w:num w:numId="324" w16cid:durableId="1756701736">
    <w:abstractNumId w:val="849"/>
  </w:num>
  <w:num w:numId="325" w16cid:durableId="150566772">
    <w:abstractNumId w:val="908"/>
  </w:num>
  <w:num w:numId="326" w16cid:durableId="863903688">
    <w:abstractNumId w:val="1056"/>
  </w:num>
  <w:num w:numId="327" w16cid:durableId="1198467365">
    <w:abstractNumId w:val="456"/>
  </w:num>
  <w:num w:numId="328" w16cid:durableId="1805388051">
    <w:abstractNumId w:val="617"/>
  </w:num>
  <w:num w:numId="329" w16cid:durableId="55976199">
    <w:abstractNumId w:val="1126"/>
  </w:num>
  <w:num w:numId="330" w16cid:durableId="2026978975">
    <w:abstractNumId w:val="1111"/>
  </w:num>
  <w:num w:numId="331" w16cid:durableId="112211907">
    <w:abstractNumId w:val="934"/>
  </w:num>
  <w:num w:numId="332" w16cid:durableId="114908001">
    <w:abstractNumId w:val="29"/>
  </w:num>
  <w:num w:numId="333" w16cid:durableId="484319746">
    <w:abstractNumId w:val="523"/>
  </w:num>
  <w:num w:numId="334" w16cid:durableId="347952934">
    <w:abstractNumId w:val="736"/>
  </w:num>
  <w:num w:numId="335" w16cid:durableId="1714695713">
    <w:abstractNumId w:val="915"/>
  </w:num>
  <w:num w:numId="336" w16cid:durableId="1967930636">
    <w:abstractNumId w:val="817"/>
  </w:num>
  <w:num w:numId="337" w16cid:durableId="103228942">
    <w:abstractNumId w:val="792"/>
  </w:num>
  <w:num w:numId="338" w16cid:durableId="1068769398">
    <w:abstractNumId w:val="1133"/>
  </w:num>
  <w:num w:numId="339" w16cid:durableId="197814228">
    <w:abstractNumId w:val="24"/>
  </w:num>
  <w:num w:numId="340" w16cid:durableId="588081787">
    <w:abstractNumId w:val="960"/>
  </w:num>
  <w:num w:numId="341" w16cid:durableId="715274064">
    <w:abstractNumId w:val="88"/>
  </w:num>
  <w:num w:numId="342" w16cid:durableId="1900551487">
    <w:abstractNumId w:val="373"/>
  </w:num>
  <w:num w:numId="343" w16cid:durableId="990019231">
    <w:abstractNumId w:val="1179"/>
  </w:num>
  <w:num w:numId="344" w16cid:durableId="400056382">
    <w:abstractNumId w:val="693"/>
  </w:num>
  <w:num w:numId="345" w16cid:durableId="969897484">
    <w:abstractNumId w:val="772"/>
  </w:num>
  <w:num w:numId="346" w16cid:durableId="1908491553">
    <w:abstractNumId w:val="176"/>
  </w:num>
  <w:num w:numId="347" w16cid:durableId="834033058">
    <w:abstractNumId w:val="553"/>
  </w:num>
  <w:num w:numId="348" w16cid:durableId="807942738">
    <w:abstractNumId w:val="977"/>
  </w:num>
  <w:num w:numId="349" w16cid:durableId="1083604431">
    <w:abstractNumId w:val="1124"/>
  </w:num>
  <w:num w:numId="350" w16cid:durableId="1089739886">
    <w:abstractNumId w:val="895"/>
  </w:num>
  <w:num w:numId="351" w16cid:durableId="864102100">
    <w:abstractNumId w:val="204"/>
  </w:num>
  <w:num w:numId="352" w16cid:durableId="58484191">
    <w:abstractNumId w:val="297"/>
  </w:num>
  <w:num w:numId="353" w16cid:durableId="224610624">
    <w:abstractNumId w:val="276"/>
  </w:num>
  <w:num w:numId="354" w16cid:durableId="85804643">
    <w:abstractNumId w:val="657"/>
  </w:num>
  <w:num w:numId="355" w16cid:durableId="2033408450">
    <w:abstractNumId w:val="694"/>
  </w:num>
  <w:num w:numId="356" w16cid:durableId="1178959172">
    <w:abstractNumId w:val="1160"/>
  </w:num>
  <w:num w:numId="357" w16cid:durableId="2063826620">
    <w:abstractNumId w:val="979"/>
  </w:num>
  <w:num w:numId="358" w16cid:durableId="1688872044">
    <w:abstractNumId w:val="1225"/>
  </w:num>
  <w:num w:numId="359" w16cid:durableId="149373738">
    <w:abstractNumId w:val="324"/>
  </w:num>
  <w:num w:numId="360" w16cid:durableId="1810970734">
    <w:abstractNumId w:val="372"/>
  </w:num>
  <w:num w:numId="361" w16cid:durableId="1599748773">
    <w:abstractNumId w:val="1145"/>
  </w:num>
  <w:num w:numId="362" w16cid:durableId="1322545212">
    <w:abstractNumId w:val="199"/>
  </w:num>
  <w:num w:numId="363" w16cid:durableId="305286480">
    <w:abstractNumId w:val="724"/>
  </w:num>
  <w:num w:numId="364" w16cid:durableId="1852597731">
    <w:abstractNumId w:val="1099"/>
  </w:num>
  <w:num w:numId="365" w16cid:durableId="1958903324">
    <w:abstractNumId w:val="334"/>
  </w:num>
  <w:num w:numId="366" w16cid:durableId="1302534932">
    <w:abstractNumId w:val="1088"/>
  </w:num>
  <w:num w:numId="367" w16cid:durableId="273486051">
    <w:abstractNumId w:val="127"/>
  </w:num>
  <w:num w:numId="368" w16cid:durableId="838154585">
    <w:abstractNumId w:val="336"/>
  </w:num>
  <w:num w:numId="369" w16cid:durableId="1678001907">
    <w:abstractNumId w:val="816"/>
  </w:num>
  <w:num w:numId="370" w16cid:durableId="1672946874">
    <w:abstractNumId w:val="1128"/>
  </w:num>
  <w:num w:numId="371" w16cid:durableId="1535770991">
    <w:abstractNumId w:val="873"/>
  </w:num>
  <w:num w:numId="372" w16cid:durableId="228660340">
    <w:abstractNumId w:val="1040"/>
  </w:num>
  <w:num w:numId="373" w16cid:durableId="1821579589">
    <w:abstractNumId w:val="1090"/>
  </w:num>
  <w:num w:numId="374" w16cid:durableId="350297565">
    <w:abstractNumId w:val="784"/>
  </w:num>
  <w:num w:numId="375" w16cid:durableId="1171917594">
    <w:abstractNumId w:val="889"/>
  </w:num>
  <w:num w:numId="376" w16cid:durableId="1942374770">
    <w:abstractNumId w:val="472"/>
  </w:num>
  <w:num w:numId="377" w16cid:durableId="624967176">
    <w:abstractNumId w:val="1031"/>
  </w:num>
  <w:num w:numId="378" w16cid:durableId="298804729">
    <w:abstractNumId w:val="603"/>
  </w:num>
  <w:num w:numId="379" w16cid:durableId="1460421286">
    <w:abstractNumId w:val="224"/>
  </w:num>
  <w:num w:numId="380" w16cid:durableId="1110473234">
    <w:abstractNumId w:val="1071"/>
  </w:num>
  <w:num w:numId="381" w16cid:durableId="691339902">
    <w:abstractNumId w:val="629"/>
  </w:num>
  <w:num w:numId="382" w16cid:durableId="767309663">
    <w:abstractNumId w:val="810"/>
  </w:num>
  <w:num w:numId="383" w16cid:durableId="608854982">
    <w:abstractNumId w:val="446"/>
  </w:num>
  <w:num w:numId="384" w16cid:durableId="458230453">
    <w:abstractNumId w:val="68"/>
  </w:num>
  <w:num w:numId="385" w16cid:durableId="2019232816">
    <w:abstractNumId w:val="69"/>
  </w:num>
  <w:num w:numId="386" w16cid:durableId="1655375638">
    <w:abstractNumId w:val="594"/>
  </w:num>
  <w:num w:numId="387" w16cid:durableId="1935166898">
    <w:abstractNumId w:val="973"/>
  </w:num>
  <w:num w:numId="388" w16cid:durableId="842625813">
    <w:abstractNumId w:val="697"/>
  </w:num>
  <w:num w:numId="389" w16cid:durableId="105079548">
    <w:abstractNumId w:val="128"/>
  </w:num>
  <w:num w:numId="390" w16cid:durableId="146287859">
    <w:abstractNumId w:val="912"/>
  </w:num>
  <w:num w:numId="391" w16cid:durableId="1443963643">
    <w:abstractNumId w:val="433"/>
  </w:num>
  <w:num w:numId="392" w16cid:durableId="455027773">
    <w:abstractNumId w:val="379"/>
  </w:num>
  <w:num w:numId="393" w16cid:durableId="2124568594">
    <w:abstractNumId w:val="890"/>
  </w:num>
  <w:num w:numId="394" w16cid:durableId="1398823679">
    <w:abstractNumId w:val="920"/>
  </w:num>
  <w:num w:numId="395" w16cid:durableId="513224320">
    <w:abstractNumId w:val="959"/>
  </w:num>
  <w:num w:numId="396" w16cid:durableId="34038850">
    <w:abstractNumId w:val="923"/>
  </w:num>
  <w:num w:numId="397" w16cid:durableId="1212764423">
    <w:abstractNumId w:val="260"/>
  </w:num>
  <w:num w:numId="398" w16cid:durableId="686909868">
    <w:abstractNumId w:val="269"/>
  </w:num>
  <w:num w:numId="399" w16cid:durableId="1417943720">
    <w:abstractNumId w:val="892"/>
  </w:num>
  <w:num w:numId="400" w16cid:durableId="1447849871">
    <w:abstractNumId w:val="298"/>
  </w:num>
  <w:num w:numId="401" w16cid:durableId="1225918982">
    <w:abstractNumId w:val="1144"/>
  </w:num>
  <w:num w:numId="402" w16cid:durableId="200826130">
    <w:abstractNumId w:val="1199"/>
  </w:num>
  <w:num w:numId="403" w16cid:durableId="1060518234">
    <w:abstractNumId w:val="264"/>
  </w:num>
  <w:num w:numId="404" w16cid:durableId="971983097">
    <w:abstractNumId w:val="308"/>
  </w:num>
  <w:num w:numId="405" w16cid:durableId="1324354228">
    <w:abstractNumId w:val="1142"/>
  </w:num>
  <w:num w:numId="406" w16cid:durableId="294458591">
    <w:abstractNumId w:val="1015"/>
  </w:num>
  <w:num w:numId="407" w16cid:durableId="1370689964">
    <w:abstractNumId w:val="396"/>
  </w:num>
  <w:num w:numId="408" w16cid:durableId="404887721">
    <w:abstractNumId w:val="962"/>
  </w:num>
  <w:num w:numId="409" w16cid:durableId="828447012">
    <w:abstractNumId w:val="1178"/>
  </w:num>
  <w:num w:numId="410" w16cid:durableId="46229454">
    <w:abstractNumId w:val="162"/>
  </w:num>
  <w:num w:numId="411" w16cid:durableId="61098879">
    <w:abstractNumId w:val="234"/>
  </w:num>
  <w:num w:numId="412" w16cid:durableId="4215280">
    <w:abstractNumId w:val="828"/>
  </w:num>
  <w:num w:numId="413" w16cid:durableId="1852329554">
    <w:abstractNumId w:val="782"/>
  </w:num>
  <w:num w:numId="414" w16cid:durableId="263877295">
    <w:abstractNumId w:val="781"/>
  </w:num>
  <w:num w:numId="415" w16cid:durableId="1138651070">
    <w:abstractNumId w:val="769"/>
  </w:num>
  <w:num w:numId="416" w16cid:durableId="1890611231">
    <w:abstractNumId w:val="46"/>
  </w:num>
  <w:num w:numId="417" w16cid:durableId="1729839085">
    <w:abstractNumId w:val="559"/>
  </w:num>
  <w:num w:numId="418" w16cid:durableId="759450404">
    <w:abstractNumId w:val="871"/>
  </w:num>
  <w:num w:numId="419" w16cid:durableId="1798178730">
    <w:abstractNumId w:val="633"/>
  </w:num>
  <w:num w:numId="420" w16cid:durableId="1701587094">
    <w:abstractNumId w:val="99"/>
  </w:num>
  <w:num w:numId="421" w16cid:durableId="1340890465">
    <w:abstractNumId w:val="670"/>
  </w:num>
  <w:num w:numId="422" w16cid:durableId="605698069">
    <w:abstractNumId w:val="750"/>
  </w:num>
  <w:num w:numId="423" w16cid:durableId="1347054934">
    <w:abstractNumId w:val="988"/>
  </w:num>
  <w:num w:numId="424" w16cid:durableId="404642974">
    <w:abstractNumId w:val="925"/>
  </w:num>
  <w:num w:numId="425" w16cid:durableId="1996713833">
    <w:abstractNumId w:val="777"/>
  </w:num>
  <w:num w:numId="426" w16cid:durableId="2107845483">
    <w:abstractNumId w:val="159"/>
  </w:num>
  <w:num w:numId="427" w16cid:durableId="1272589971">
    <w:abstractNumId w:val="829"/>
  </w:num>
  <w:num w:numId="428" w16cid:durableId="768082632">
    <w:abstractNumId w:val="310"/>
  </w:num>
  <w:num w:numId="429" w16cid:durableId="573466324">
    <w:abstractNumId w:val="170"/>
  </w:num>
  <w:num w:numId="430" w16cid:durableId="2075079050">
    <w:abstractNumId w:val="222"/>
  </w:num>
  <w:num w:numId="431" w16cid:durableId="1894081248">
    <w:abstractNumId w:val="384"/>
  </w:num>
  <w:num w:numId="432" w16cid:durableId="1257666430">
    <w:abstractNumId w:val="149"/>
  </w:num>
  <w:num w:numId="433" w16cid:durableId="1147817093">
    <w:abstractNumId w:val="566"/>
  </w:num>
  <w:num w:numId="434" w16cid:durableId="986738131">
    <w:abstractNumId w:val="1208"/>
  </w:num>
  <w:num w:numId="435" w16cid:durableId="1565987181">
    <w:abstractNumId w:val="655"/>
  </w:num>
  <w:num w:numId="436" w16cid:durableId="1022243745">
    <w:abstractNumId w:val="906"/>
  </w:num>
  <w:num w:numId="437" w16cid:durableId="1497502986">
    <w:abstractNumId w:val="364"/>
  </w:num>
  <w:num w:numId="438" w16cid:durableId="1055934442">
    <w:abstractNumId w:val="50"/>
  </w:num>
  <w:num w:numId="439" w16cid:durableId="1282151232">
    <w:abstractNumId w:val="911"/>
  </w:num>
  <w:num w:numId="440" w16cid:durableId="1545411624">
    <w:abstractNumId w:val="74"/>
  </w:num>
  <w:num w:numId="441" w16cid:durableId="291256255">
    <w:abstractNumId w:val="92"/>
  </w:num>
  <w:num w:numId="442" w16cid:durableId="1827088845">
    <w:abstractNumId w:val="312"/>
  </w:num>
  <w:num w:numId="443" w16cid:durableId="1694377488">
    <w:abstractNumId w:val="118"/>
  </w:num>
  <w:num w:numId="444" w16cid:durableId="287981150">
    <w:abstractNumId w:val="1230"/>
  </w:num>
  <w:num w:numId="445" w16cid:durableId="1942949316">
    <w:abstractNumId w:val="1054"/>
  </w:num>
  <w:num w:numId="446" w16cid:durableId="1087994427">
    <w:abstractNumId w:val="628"/>
  </w:num>
  <w:num w:numId="447" w16cid:durableId="891573012">
    <w:abstractNumId w:val="812"/>
  </w:num>
  <w:num w:numId="448" w16cid:durableId="460878174">
    <w:abstractNumId w:val="610"/>
  </w:num>
  <w:num w:numId="449" w16cid:durableId="243152642">
    <w:abstractNumId w:val="1080"/>
  </w:num>
  <w:num w:numId="450" w16cid:durableId="571426731">
    <w:abstractNumId w:val="766"/>
  </w:num>
  <w:num w:numId="451" w16cid:durableId="371464648">
    <w:abstractNumId w:val="650"/>
  </w:num>
  <w:num w:numId="452" w16cid:durableId="437725175">
    <w:abstractNumId w:val="662"/>
  </w:num>
  <w:num w:numId="453" w16cid:durableId="1233395595">
    <w:abstractNumId w:val="763"/>
  </w:num>
  <w:num w:numId="454" w16cid:durableId="1336688153">
    <w:abstractNumId w:val="507"/>
  </w:num>
  <w:num w:numId="455" w16cid:durableId="384329855">
    <w:abstractNumId w:val="702"/>
  </w:num>
  <w:num w:numId="456" w16cid:durableId="1420055657">
    <w:abstractNumId w:val="790"/>
  </w:num>
  <w:num w:numId="457" w16cid:durableId="164563596">
    <w:abstractNumId w:val="481"/>
  </w:num>
  <w:num w:numId="458" w16cid:durableId="1492678541">
    <w:abstractNumId w:val="444"/>
  </w:num>
  <w:num w:numId="459" w16cid:durableId="1903901905">
    <w:abstractNumId w:val="196"/>
  </w:num>
  <w:num w:numId="460" w16cid:durableId="773936096">
    <w:abstractNumId w:val="167"/>
  </w:num>
  <w:num w:numId="461" w16cid:durableId="195194414">
    <w:abstractNumId w:val="1023"/>
  </w:num>
  <w:num w:numId="462" w16cid:durableId="947081199">
    <w:abstractNumId w:val="233"/>
  </w:num>
  <w:num w:numId="463" w16cid:durableId="2005157489">
    <w:abstractNumId w:val="480"/>
  </w:num>
  <w:num w:numId="464" w16cid:durableId="1405103354">
    <w:abstractNumId w:val="886"/>
  </w:num>
  <w:num w:numId="465" w16cid:durableId="694112344">
    <w:abstractNumId w:val="147"/>
  </w:num>
  <w:num w:numId="466" w16cid:durableId="1793204025">
    <w:abstractNumId w:val="173"/>
  </w:num>
  <w:num w:numId="467" w16cid:durableId="1037043393">
    <w:abstractNumId w:val="896"/>
  </w:num>
  <w:num w:numId="468" w16cid:durableId="624776515">
    <w:abstractNumId w:val="467"/>
  </w:num>
  <w:num w:numId="469" w16cid:durableId="1198393673">
    <w:abstractNumId w:val="302"/>
  </w:num>
  <w:num w:numId="470" w16cid:durableId="525563214">
    <w:abstractNumId w:val="847"/>
  </w:num>
  <w:num w:numId="471" w16cid:durableId="1951274318">
    <w:abstractNumId w:val="184"/>
  </w:num>
  <w:num w:numId="472" w16cid:durableId="1066029470">
    <w:abstractNumId w:val="5"/>
  </w:num>
  <w:num w:numId="473" w16cid:durableId="80109858">
    <w:abstractNumId w:val="476"/>
  </w:num>
  <w:num w:numId="474" w16cid:durableId="1126587853">
    <w:abstractNumId w:val="152"/>
  </w:num>
  <w:num w:numId="475" w16cid:durableId="1014724983">
    <w:abstractNumId w:val="144"/>
  </w:num>
  <w:num w:numId="476" w16cid:durableId="1403795212">
    <w:abstractNumId w:val="294"/>
  </w:num>
  <w:num w:numId="477" w16cid:durableId="1627662813">
    <w:abstractNumId w:val="75"/>
  </w:num>
  <w:num w:numId="478" w16cid:durableId="516963971">
    <w:abstractNumId w:val="815"/>
  </w:num>
  <w:num w:numId="479" w16cid:durableId="1613434495">
    <w:abstractNumId w:val="223"/>
  </w:num>
  <w:num w:numId="480" w16cid:durableId="133448352">
    <w:abstractNumId w:val="271"/>
  </w:num>
  <w:num w:numId="481" w16cid:durableId="797844743">
    <w:abstractNumId w:val="1202"/>
  </w:num>
  <w:num w:numId="482" w16cid:durableId="561722497">
    <w:abstractNumId w:val="79"/>
  </w:num>
  <w:num w:numId="483" w16cid:durableId="1738163946">
    <w:abstractNumId w:val="905"/>
  </w:num>
  <w:num w:numId="484" w16cid:durableId="1000815449">
    <w:abstractNumId w:val="165"/>
  </w:num>
  <w:num w:numId="485" w16cid:durableId="1297951721">
    <w:abstractNumId w:val="538"/>
  </w:num>
  <w:num w:numId="486" w16cid:durableId="1908413498">
    <w:abstractNumId w:val="445"/>
  </w:num>
  <w:num w:numId="487" w16cid:durableId="1442191170">
    <w:abstractNumId w:val="38"/>
  </w:num>
  <w:num w:numId="488" w16cid:durableId="1997957739">
    <w:abstractNumId w:val="412"/>
  </w:num>
  <w:num w:numId="489" w16cid:durableId="1843425496">
    <w:abstractNumId w:val="649"/>
  </w:num>
  <w:num w:numId="490" w16cid:durableId="2145078042">
    <w:abstractNumId w:val="1038"/>
  </w:num>
  <w:num w:numId="491" w16cid:durableId="1791632987">
    <w:abstractNumId w:val="158"/>
  </w:num>
  <w:num w:numId="492" w16cid:durableId="760177188">
    <w:abstractNumId w:val="188"/>
  </w:num>
  <w:num w:numId="493" w16cid:durableId="918055338">
    <w:abstractNumId w:val="520"/>
  </w:num>
  <w:num w:numId="494" w16cid:durableId="1608535647">
    <w:abstractNumId w:val="719"/>
  </w:num>
  <w:num w:numId="495" w16cid:durableId="237328490">
    <w:abstractNumId w:val="930"/>
  </w:num>
  <w:num w:numId="496" w16cid:durableId="1568152916">
    <w:abstractNumId w:val="823"/>
  </w:num>
  <w:num w:numId="497" w16cid:durableId="7873881">
    <w:abstractNumId w:val="1095"/>
  </w:num>
  <w:num w:numId="498" w16cid:durableId="1440953205">
    <w:abstractNumId w:val="855"/>
  </w:num>
  <w:num w:numId="499" w16cid:durableId="1081289873">
    <w:abstractNumId w:val="346"/>
  </w:num>
  <w:num w:numId="500" w16cid:durableId="382751075">
    <w:abstractNumId w:val="948"/>
  </w:num>
  <w:num w:numId="501" w16cid:durableId="1649047702">
    <w:abstractNumId w:val="938"/>
  </w:num>
  <w:num w:numId="502" w16cid:durableId="975598674">
    <w:abstractNumId w:val="972"/>
  </w:num>
  <w:num w:numId="503" w16cid:durableId="853226803">
    <w:abstractNumId w:val="313"/>
  </w:num>
  <w:num w:numId="504" w16cid:durableId="785852307">
    <w:abstractNumId w:val="21"/>
  </w:num>
  <w:num w:numId="505" w16cid:durableId="1444496686">
    <w:abstractNumId w:val="385"/>
  </w:num>
  <w:num w:numId="506" w16cid:durableId="1980961647">
    <w:abstractNumId w:val="970"/>
  </w:num>
  <w:num w:numId="507" w16cid:durableId="604271701">
    <w:abstractNumId w:val="374"/>
  </w:num>
  <w:num w:numId="508" w16cid:durableId="791754525">
    <w:abstractNumId w:val="1086"/>
  </w:num>
  <w:num w:numId="509" w16cid:durableId="1511791501">
    <w:abstractNumId w:val="910"/>
  </w:num>
  <w:num w:numId="510" w16cid:durableId="158860062">
    <w:abstractNumId w:val="427"/>
  </w:num>
  <w:num w:numId="511" w16cid:durableId="466775988">
    <w:abstractNumId w:val="358"/>
  </w:num>
  <w:num w:numId="512" w16cid:durableId="877814248">
    <w:abstractNumId w:val="835"/>
  </w:num>
  <w:num w:numId="513" w16cid:durableId="749280360">
    <w:abstractNumId w:val="1175"/>
  </w:num>
  <w:num w:numId="514" w16cid:durableId="2146195845">
    <w:abstractNumId w:val="238"/>
  </w:num>
  <w:num w:numId="515" w16cid:durableId="1824194798">
    <w:abstractNumId w:val="989"/>
  </w:num>
  <w:num w:numId="516" w16cid:durableId="723915353">
    <w:abstractNumId w:val="1026"/>
  </w:num>
  <w:num w:numId="517" w16cid:durableId="566918844">
    <w:abstractNumId w:val="630"/>
  </w:num>
  <w:num w:numId="518" w16cid:durableId="1509784451">
    <w:abstractNumId w:val="133"/>
  </w:num>
  <w:num w:numId="519" w16cid:durableId="1473408592">
    <w:abstractNumId w:val="132"/>
  </w:num>
  <w:num w:numId="520" w16cid:durableId="1383094248">
    <w:abstractNumId w:val="688"/>
  </w:num>
  <w:num w:numId="521" w16cid:durableId="970282014">
    <w:abstractNumId w:val="765"/>
  </w:num>
  <w:num w:numId="522" w16cid:durableId="441191911">
    <w:abstractNumId w:val="1061"/>
  </w:num>
  <w:num w:numId="523" w16cid:durableId="1597521659">
    <w:abstractNumId w:val="1042"/>
  </w:num>
  <w:num w:numId="524" w16cid:durableId="529495374">
    <w:abstractNumId w:val="1075"/>
  </w:num>
  <w:num w:numId="525" w16cid:durableId="266623994">
    <w:abstractNumId w:val="811"/>
  </w:num>
  <w:num w:numId="526" w16cid:durableId="1165391479">
    <w:abstractNumId w:val="1150"/>
  </w:num>
  <w:num w:numId="527" w16cid:durableId="1150051651">
    <w:abstractNumId w:val="1170"/>
  </w:num>
  <w:num w:numId="528" w16cid:durableId="1654291945">
    <w:abstractNumId w:val="902"/>
  </w:num>
  <w:num w:numId="529" w16cid:durableId="964852122">
    <w:abstractNumId w:val="422"/>
  </w:num>
  <w:num w:numId="530" w16cid:durableId="1646425696">
    <w:abstractNumId w:val="712"/>
  </w:num>
  <w:num w:numId="531" w16cid:durableId="1252736729">
    <w:abstractNumId w:val="560"/>
  </w:num>
  <w:num w:numId="532" w16cid:durableId="428619644">
    <w:abstractNumId w:val="55"/>
  </w:num>
  <w:num w:numId="533" w16cid:durableId="1972132421">
    <w:abstractNumId w:val="1224"/>
  </w:num>
  <w:num w:numId="534" w16cid:durableId="1090275850">
    <w:abstractNumId w:val="243"/>
  </w:num>
  <w:num w:numId="535" w16cid:durableId="1161779118">
    <w:abstractNumId w:val="955"/>
  </w:num>
  <w:num w:numId="536" w16cid:durableId="153647496">
    <w:abstractNumId w:val="1072"/>
  </w:num>
  <w:num w:numId="537" w16cid:durableId="1588533236">
    <w:abstractNumId w:val="514"/>
  </w:num>
  <w:num w:numId="538" w16cid:durableId="1016886826">
    <w:abstractNumId w:val="473"/>
  </w:num>
  <w:num w:numId="539" w16cid:durableId="1781413242">
    <w:abstractNumId w:val="872"/>
  </w:num>
  <w:num w:numId="540" w16cid:durableId="1958413643">
    <w:abstractNumId w:val="305"/>
  </w:num>
  <w:num w:numId="541" w16cid:durableId="908615285">
    <w:abstractNumId w:val="899"/>
  </w:num>
  <w:num w:numId="542" w16cid:durableId="872693055">
    <w:abstractNumId w:val="1008"/>
  </w:num>
  <w:num w:numId="543" w16cid:durableId="1175147801">
    <w:abstractNumId w:val="1003"/>
  </w:num>
  <w:num w:numId="544" w16cid:durableId="1980956983">
    <w:abstractNumId w:val="838"/>
  </w:num>
  <w:num w:numId="545" w16cid:durableId="1981811401">
    <w:abstractNumId w:val="864"/>
  </w:num>
  <w:num w:numId="546" w16cid:durableId="1593974981">
    <w:abstractNumId w:val="401"/>
  </w:num>
  <w:num w:numId="547" w16cid:durableId="698895409">
    <w:abstractNumId w:val="1205"/>
  </w:num>
  <w:num w:numId="548" w16cid:durableId="1445340827">
    <w:abstractNumId w:val="98"/>
  </w:num>
  <w:num w:numId="549" w16cid:durableId="137504425">
    <w:abstractNumId w:val="325"/>
  </w:num>
  <w:num w:numId="550" w16cid:durableId="2110663049">
    <w:abstractNumId w:val="192"/>
  </w:num>
  <w:num w:numId="551" w16cid:durableId="1269965373">
    <w:abstractNumId w:val="32"/>
  </w:num>
  <w:num w:numId="552" w16cid:durableId="1574193456">
    <w:abstractNumId w:val="293"/>
  </w:num>
  <w:num w:numId="553" w16cid:durableId="1329211938">
    <w:abstractNumId w:val="416"/>
  </w:num>
  <w:num w:numId="554" w16cid:durableId="603225316">
    <w:abstractNumId w:val="1078"/>
  </w:num>
  <w:num w:numId="555" w16cid:durableId="983195889">
    <w:abstractNumId w:val="197"/>
  </w:num>
  <w:num w:numId="556" w16cid:durableId="1266574955">
    <w:abstractNumId w:val="400"/>
  </w:num>
  <w:num w:numId="557" w16cid:durableId="425002109">
    <w:abstractNumId w:val="10"/>
  </w:num>
  <w:num w:numId="558" w16cid:durableId="368917606">
    <w:abstractNumId w:val="1206"/>
  </w:num>
  <w:num w:numId="559" w16cid:durableId="1012801187">
    <w:abstractNumId w:val="438"/>
  </w:num>
  <w:num w:numId="560" w16cid:durableId="136538583">
    <w:abstractNumId w:val="270"/>
  </w:num>
  <w:num w:numId="561" w16cid:durableId="389303742">
    <w:abstractNumId w:val="758"/>
  </w:num>
  <w:num w:numId="562" w16cid:durableId="1238635938">
    <w:abstractNumId w:val="635"/>
  </w:num>
  <w:num w:numId="563" w16cid:durableId="1324309304">
    <w:abstractNumId w:val="826"/>
  </w:num>
  <w:num w:numId="564" w16cid:durableId="1748720115">
    <w:abstractNumId w:val="393"/>
  </w:num>
  <w:num w:numId="565" w16cid:durableId="2016102950">
    <w:abstractNumId w:val="429"/>
  </w:num>
  <w:num w:numId="566" w16cid:durableId="586887370">
    <w:abstractNumId w:val="402"/>
  </w:num>
  <w:num w:numId="567" w16cid:durableId="2023823406">
    <w:abstractNumId w:val="331"/>
  </w:num>
  <w:num w:numId="568" w16cid:durableId="1394351789">
    <w:abstractNumId w:val="156"/>
  </w:num>
  <w:num w:numId="569" w16cid:durableId="1979216455">
    <w:abstractNumId w:val="701"/>
  </w:num>
  <w:num w:numId="570" w16cid:durableId="1223058985">
    <w:abstractNumId w:val="578"/>
  </w:num>
  <w:num w:numId="571" w16cid:durableId="244650110">
    <w:abstractNumId w:val="1134"/>
  </w:num>
  <w:num w:numId="572" w16cid:durableId="1434937221">
    <w:abstractNumId w:val="612"/>
  </w:num>
  <w:num w:numId="573" w16cid:durableId="513492349">
    <w:abstractNumId w:val="1188"/>
  </w:num>
  <w:num w:numId="574" w16cid:durableId="1051423270">
    <w:abstractNumId w:val="3"/>
  </w:num>
  <w:num w:numId="575" w16cid:durableId="248973476">
    <w:abstractNumId w:val="383"/>
  </w:num>
  <w:num w:numId="576" w16cid:durableId="566647572">
    <w:abstractNumId w:val="985"/>
  </w:num>
  <w:num w:numId="577" w16cid:durableId="1784110991">
    <w:abstractNumId w:val="533"/>
  </w:num>
  <w:num w:numId="578" w16cid:durableId="529343961">
    <w:abstractNumId w:val="585"/>
  </w:num>
  <w:num w:numId="579" w16cid:durableId="1725182714">
    <w:abstractNumId w:val="1116"/>
  </w:num>
  <w:num w:numId="580" w16cid:durableId="800149639">
    <w:abstractNumId w:val="931"/>
  </w:num>
  <w:num w:numId="581" w16cid:durableId="243808818">
    <w:abstractNumId w:val="342"/>
  </w:num>
  <w:num w:numId="582" w16cid:durableId="352536869">
    <w:abstractNumId w:val="543"/>
  </w:num>
  <w:num w:numId="583" w16cid:durableId="1378775449">
    <w:abstractNumId w:val="866"/>
  </w:num>
  <w:num w:numId="584" w16cid:durableId="623997782">
    <w:abstractNumId w:val="570"/>
  </w:num>
  <w:num w:numId="585" w16cid:durableId="1994523245">
    <w:abstractNumId w:val="1129"/>
  </w:num>
  <w:num w:numId="586" w16cid:durableId="501552826">
    <w:abstractNumId w:val="568"/>
  </w:num>
  <w:num w:numId="587" w16cid:durableId="1756588052">
    <w:abstractNumId w:val="340"/>
  </w:num>
  <w:num w:numId="588" w16cid:durableId="694893057">
    <w:abstractNumId w:val="272"/>
  </w:num>
  <w:num w:numId="589" w16cid:durableId="1409185688">
    <w:abstractNumId w:val="939"/>
  </w:num>
  <w:num w:numId="590" w16cid:durableId="2069569007">
    <w:abstractNumId w:val="136"/>
  </w:num>
  <w:num w:numId="591" w16cid:durableId="13191926">
    <w:abstractNumId w:val="1021"/>
  </w:num>
  <w:num w:numId="592" w16cid:durableId="2030644743">
    <w:abstractNumId w:val="944"/>
  </w:num>
  <w:num w:numId="593" w16cid:durableId="618412915">
    <w:abstractNumId w:val="525"/>
  </w:num>
  <w:num w:numId="594" w16cid:durableId="794718078">
    <w:abstractNumId w:val="961"/>
  </w:num>
  <w:num w:numId="595" w16cid:durableId="1109810614">
    <w:abstractNumId w:val="304"/>
  </w:num>
  <w:num w:numId="596" w16cid:durableId="516505808">
    <w:abstractNumId w:val="799"/>
  </w:num>
  <w:num w:numId="597" w16cid:durableId="1047492055">
    <w:abstractNumId w:val="857"/>
  </w:num>
  <w:num w:numId="598" w16cid:durableId="60757437">
    <w:abstractNumId w:val="389"/>
  </w:num>
  <w:num w:numId="599" w16cid:durableId="213933016">
    <w:abstractNumId w:val="53"/>
  </w:num>
  <w:num w:numId="600" w16cid:durableId="686449574">
    <w:abstractNumId w:val="1069"/>
  </w:num>
  <w:num w:numId="601" w16cid:durableId="359626225">
    <w:abstractNumId w:val="1107"/>
  </w:num>
  <w:num w:numId="602" w16cid:durableId="2010712243">
    <w:abstractNumId w:val="71"/>
  </w:num>
  <w:num w:numId="603" w16cid:durableId="389504465">
    <w:abstractNumId w:val="836"/>
  </w:num>
  <w:num w:numId="604" w16cid:durableId="430514314">
    <w:abstractNumId w:val="489"/>
  </w:num>
  <w:num w:numId="605" w16cid:durableId="1244415837">
    <w:abstractNumId w:val="1114"/>
  </w:num>
  <w:num w:numId="606" w16cid:durableId="468131438">
    <w:abstractNumId w:val="441"/>
  </w:num>
  <w:num w:numId="607" w16cid:durableId="754742557">
    <w:abstractNumId w:val="880"/>
  </w:num>
  <w:num w:numId="608" w16cid:durableId="867596932">
    <w:abstractNumId w:val="183"/>
  </w:num>
  <w:num w:numId="609" w16cid:durableId="704597702">
    <w:abstractNumId w:val="927"/>
  </w:num>
  <w:num w:numId="610" w16cid:durableId="495458776">
    <w:abstractNumId w:val="967"/>
  </w:num>
  <w:num w:numId="611" w16cid:durableId="790392935">
    <w:abstractNumId w:val="846"/>
  </w:num>
  <w:num w:numId="612" w16cid:durableId="2034722410">
    <w:abstractNumId w:val="795"/>
  </w:num>
  <w:num w:numId="613" w16cid:durableId="216824459">
    <w:abstractNumId w:val="311"/>
  </w:num>
  <w:num w:numId="614" w16cid:durableId="614023546">
    <w:abstractNumId w:val="58"/>
  </w:num>
  <w:num w:numId="615" w16cid:durableId="1596130113">
    <w:abstractNumId w:val="771"/>
  </w:num>
  <w:num w:numId="616" w16cid:durableId="1687058408">
    <w:abstractNumId w:val="1082"/>
  </w:num>
  <w:num w:numId="617" w16cid:durableId="1372806378">
    <w:abstractNumId w:val="681"/>
  </w:num>
  <w:num w:numId="618" w16cid:durableId="223412356">
    <w:abstractNumId w:val="584"/>
  </w:num>
  <w:num w:numId="619" w16cid:durableId="1144466763">
    <w:abstractNumId w:val="18"/>
  </w:num>
  <w:num w:numId="620" w16cid:durableId="86704310">
    <w:abstractNumId w:val="780"/>
  </w:num>
  <w:num w:numId="621" w16cid:durableId="525412331">
    <w:abstractNumId w:val="1046"/>
  </w:num>
  <w:num w:numId="622" w16cid:durableId="1006981102">
    <w:abstractNumId w:val="851"/>
  </w:num>
  <w:num w:numId="623" w16cid:durableId="1646856543">
    <w:abstractNumId w:val="1172"/>
  </w:num>
  <w:num w:numId="624" w16cid:durableId="1872572325">
    <w:abstractNumId w:val="749"/>
  </w:num>
  <w:num w:numId="625" w16cid:durableId="254439671">
    <w:abstractNumId w:val="541"/>
  </w:num>
  <w:num w:numId="626" w16cid:durableId="650447112">
    <w:abstractNumId w:val="517"/>
  </w:num>
  <w:num w:numId="627" w16cid:durableId="32077896">
    <w:abstractNumId w:val="1122"/>
  </w:num>
  <w:num w:numId="628" w16cid:durableId="1722826479">
    <w:abstractNumId w:val="1117"/>
  </w:num>
  <w:num w:numId="629" w16cid:durableId="1736125552">
    <w:abstractNumId w:val="999"/>
  </w:num>
  <w:num w:numId="630" w16cid:durableId="502358197">
    <w:abstractNumId w:val="347"/>
  </w:num>
  <w:num w:numId="631" w16cid:durableId="613296077">
    <w:abstractNumId w:val="213"/>
  </w:num>
  <w:num w:numId="632" w16cid:durableId="556205019">
    <w:abstractNumId w:val="1012"/>
  </w:num>
  <w:num w:numId="633" w16cid:durableId="587927811">
    <w:abstractNumId w:val="723"/>
  </w:num>
  <w:num w:numId="634" w16cid:durableId="303043852">
    <w:abstractNumId w:val="348"/>
  </w:num>
  <w:num w:numId="635" w16cid:durableId="1891188851">
    <w:abstractNumId w:val="60"/>
  </w:num>
  <w:num w:numId="636" w16cid:durableId="417142531">
    <w:abstractNumId w:val="15"/>
  </w:num>
  <w:num w:numId="637" w16cid:durableId="1086152621">
    <w:abstractNumId w:val="840"/>
  </w:num>
  <w:num w:numId="638" w16cid:durableId="99566124">
    <w:abstractNumId w:val="597"/>
  </w:num>
  <w:num w:numId="639" w16cid:durableId="2045402066">
    <w:abstractNumId w:val="1070"/>
  </w:num>
  <w:num w:numId="640" w16cid:durableId="1538352675">
    <w:abstractNumId w:val="791"/>
  </w:num>
  <w:num w:numId="641" w16cid:durableId="542134539">
    <w:abstractNumId w:val="632"/>
  </w:num>
  <w:num w:numId="642" w16cid:durableId="388725754">
    <w:abstractNumId w:val="84"/>
  </w:num>
  <w:num w:numId="643" w16cid:durableId="975987363">
    <w:abstractNumId w:val="580"/>
  </w:num>
  <w:num w:numId="644" w16cid:durableId="876551367">
    <w:abstractNumId w:val="1161"/>
  </w:num>
  <w:num w:numId="645" w16cid:durableId="82071234">
    <w:abstractNumId w:val="1044"/>
  </w:num>
  <w:num w:numId="646" w16cid:durableId="1708795946">
    <w:abstractNumId w:val="577"/>
  </w:num>
  <w:num w:numId="647" w16cid:durableId="1351368760">
    <w:abstractNumId w:val="371"/>
  </w:num>
  <w:num w:numId="648" w16cid:durableId="1511488578">
    <w:abstractNumId w:val="36"/>
  </w:num>
  <w:num w:numId="649" w16cid:durableId="660084695">
    <w:abstractNumId w:val="228"/>
  </w:num>
  <w:num w:numId="650" w16cid:durableId="1546529934">
    <w:abstractNumId w:val="561"/>
  </w:num>
  <w:num w:numId="651" w16cid:durableId="1836267217">
    <w:abstractNumId w:val="1104"/>
  </w:num>
  <w:num w:numId="652" w16cid:durableId="135605071">
    <w:abstractNumId w:val="1024"/>
  </w:num>
  <w:num w:numId="653" w16cid:durableId="1360207342">
    <w:abstractNumId w:val="957"/>
  </w:num>
  <w:num w:numId="654" w16cid:durableId="22441025">
    <w:abstractNumId w:val="676"/>
  </w:num>
  <w:num w:numId="655" w16cid:durableId="1258169524">
    <w:abstractNumId w:val="214"/>
  </w:num>
  <w:num w:numId="656" w16cid:durableId="1770421348">
    <w:abstractNumId w:val="900"/>
  </w:num>
  <w:num w:numId="657" w16cid:durableId="1738671763">
    <w:abstractNumId w:val="788"/>
  </w:num>
  <w:num w:numId="658" w16cid:durableId="749539881">
    <w:abstractNumId w:val="1045"/>
  </w:num>
  <w:num w:numId="659" w16cid:durableId="1291595917">
    <w:abstractNumId w:val="555"/>
  </w:num>
  <w:num w:numId="660" w16cid:durableId="1066300032">
    <w:abstractNumId w:val="56"/>
  </w:num>
  <w:num w:numId="661" w16cid:durableId="373962773">
    <w:abstractNumId w:val="296"/>
  </w:num>
  <w:num w:numId="662" w16cid:durableId="1796562164">
    <w:abstractNumId w:val="755"/>
  </w:num>
  <w:num w:numId="663" w16cid:durableId="259218959">
    <w:abstractNumId w:val="715"/>
  </w:num>
  <w:num w:numId="664" w16cid:durableId="1646396256">
    <w:abstractNumId w:val="458"/>
  </w:num>
  <w:num w:numId="665" w16cid:durableId="1843932738">
    <w:abstractNumId w:val="295"/>
  </w:num>
  <w:num w:numId="666" w16cid:durableId="1504737555">
    <w:abstractNumId w:val="443"/>
  </w:num>
  <w:num w:numId="667" w16cid:durableId="220751641">
    <w:abstractNumId w:val="1177"/>
  </w:num>
  <w:num w:numId="668" w16cid:durableId="452595025">
    <w:abstractNumId w:val="209"/>
  </w:num>
  <w:num w:numId="669" w16cid:durableId="1774587192">
    <w:abstractNumId w:val="126"/>
  </w:num>
  <w:num w:numId="670" w16cid:durableId="1937711771">
    <w:abstractNumId w:val="110"/>
  </w:num>
  <w:num w:numId="671" w16cid:durableId="1981879879">
    <w:abstractNumId w:val="652"/>
  </w:num>
  <w:num w:numId="672" w16cid:durableId="1810629998">
    <w:abstractNumId w:val="1118"/>
  </w:num>
  <w:num w:numId="673" w16cid:durableId="2146388933">
    <w:abstractNumId w:val="12"/>
  </w:num>
  <w:num w:numId="674" w16cid:durableId="1108083027">
    <w:abstractNumId w:val="1153"/>
  </w:num>
  <w:num w:numId="675" w16cid:durableId="1911697159">
    <w:abstractNumId w:val="207"/>
  </w:num>
  <w:num w:numId="676" w16cid:durableId="2032098358">
    <w:abstractNumId w:val="1135"/>
  </w:num>
  <w:num w:numId="677" w16cid:durableId="166093377">
    <w:abstractNumId w:val="328"/>
  </w:num>
  <w:num w:numId="678" w16cid:durableId="1325276328">
    <w:abstractNumId w:val="958"/>
  </w:num>
  <w:num w:numId="679" w16cid:durableId="561450569">
    <w:abstractNumId w:val="621"/>
  </w:num>
  <w:num w:numId="680" w16cid:durableId="1115707426">
    <w:abstractNumId w:val="178"/>
  </w:num>
  <w:num w:numId="681" w16cid:durableId="888611838">
    <w:abstractNumId w:val="511"/>
  </w:num>
  <w:num w:numId="682" w16cid:durableId="1863742976">
    <w:abstractNumId w:val="82"/>
  </w:num>
  <w:num w:numId="683" w16cid:durableId="1689059712">
    <w:abstractNumId w:val="1163"/>
  </w:num>
  <w:num w:numId="684" w16cid:durableId="925454655">
    <w:abstractNumId w:val="539"/>
  </w:num>
  <w:num w:numId="685" w16cid:durableId="1678921271">
    <w:abstractNumId w:val="897"/>
  </w:num>
  <w:num w:numId="686" w16cid:durableId="780417856">
    <w:abstractNumId w:val="321"/>
  </w:num>
  <w:num w:numId="687" w16cid:durableId="661927603">
    <w:abstractNumId w:val="210"/>
  </w:num>
  <w:num w:numId="688" w16cid:durableId="38826542">
    <w:abstractNumId w:val="1151"/>
  </w:num>
  <w:num w:numId="689" w16cid:durableId="1289972649">
    <w:abstractNumId w:val="216"/>
  </w:num>
  <w:num w:numId="690" w16cid:durableId="1832091304">
    <w:abstractNumId w:val="854"/>
  </w:num>
  <w:num w:numId="691" w16cid:durableId="1215893283">
    <w:abstractNumId w:val="63"/>
  </w:num>
  <w:num w:numId="692" w16cid:durableId="1232159254">
    <w:abstractNumId w:val="502"/>
  </w:num>
  <w:num w:numId="693" w16cid:durableId="1698239578">
    <w:abstractNumId w:val="827"/>
  </w:num>
  <w:num w:numId="694" w16cid:durableId="319315559">
    <w:abstractNumId w:val="735"/>
  </w:num>
  <w:num w:numId="695" w16cid:durableId="751589619">
    <w:abstractNumId w:val="138"/>
  </w:num>
  <w:num w:numId="696" w16cid:durableId="809401635">
    <w:abstractNumId w:val="1159"/>
  </w:num>
  <w:num w:numId="697" w16cid:durableId="1122384735">
    <w:abstractNumId w:val="329"/>
  </w:num>
  <w:num w:numId="698" w16cid:durableId="1309751251">
    <w:abstractNumId w:val="185"/>
  </w:num>
  <w:num w:numId="699" w16cid:durableId="963192505">
    <w:abstractNumId w:val="1174"/>
  </w:num>
  <w:num w:numId="700" w16cid:durableId="1705981896">
    <w:abstractNumId w:val="622"/>
  </w:num>
  <w:num w:numId="701" w16cid:durableId="608509748">
    <w:abstractNumId w:val="690"/>
  </w:num>
  <w:num w:numId="702" w16cid:durableId="2095281742">
    <w:abstractNumId w:val="638"/>
  </w:num>
  <w:num w:numId="703" w16cid:durableId="678579341">
    <w:abstractNumId w:val="1207"/>
  </w:num>
  <w:num w:numId="704" w16cid:durableId="882983398">
    <w:abstractNumId w:val="423"/>
  </w:num>
  <w:num w:numId="705" w16cid:durableId="68893813">
    <w:abstractNumId w:val="349"/>
  </w:num>
  <w:num w:numId="706" w16cid:durableId="1392775518">
    <w:abstractNumId w:val="1226"/>
  </w:num>
  <w:num w:numId="707" w16cid:durableId="764886950">
    <w:abstractNumId w:val="315"/>
  </w:num>
  <w:num w:numId="708" w16cid:durableId="1483306669">
    <w:abstractNumId w:val="1110"/>
  </w:num>
  <w:num w:numId="709" w16cid:durableId="194200389">
    <w:abstractNumId w:val="572"/>
  </w:num>
  <w:num w:numId="710" w16cid:durableId="1744253538">
    <w:abstractNumId w:val="1094"/>
  </w:num>
  <w:num w:numId="711" w16cid:durableId="25983363">
    <w:abstractNumId w:val="257"/>
  </w:num>
  <w:num w:numId="712" w16cid:durableId="551622241">
    <w:abstractNumId w:val="705"/>
  </w:num>
  <w:num w:numId="713" w16cid:durableId="360326203">
    <w:abstractNumId w:val="821"/>
  </w:num>
  <w:num w:numId="714" w16cid:durableId="311646019">
    <w:abstractNumId w:val="343"/>
  </w:num>
  <w:num w:numId="715" w16cid:durableId="204295621">
    <w:abstractNumId w:val="636"/>
  </w:num>
  <w:num w:numId="716" w16cid:durableId="11302573">
    <w:abstractNumId w:val="941"/>
  </w:num>
  <w:num w:numId="717" w16cid:durableId="1912302102">
    <w:abstractNumId w:val="721"/>
  </w:num>
  <w:num w:numId="718" w16cid:durableId="2040012477">
    <w:abstractNumId w:val="581"/>
  </w:num>
  <w:num w:numId="719" w16cid:durableId="695735012">
    <w:abstractNumId w:val="122"/>
  </w:num>
  <w:num w:numId="720" w16cid:durableId="1607427585">
    <w:abstractNumId w:val="1102"/>
  </w:num>
  <w:num w:numId="721" w16cid:durableId="30040370">
    <w:abstractNumId w:val="421"/>
  </w:num>
  <w:num w:numId="722" w16cid:durableId="1308433245">
    <w:abstractNumId w:val="984"/>
  </w:num>
  <w:num w:numId="723" w16cid:durableId="1321929651">
    <w:abstractNumId w:val="996"/>
  </w:num>
  <w:num w:numId="724" w16cid:durableId="1325548635">
    <w:abstractNumId w:val="579"/>
  </w:num>
  <w:num w:numId="725" w16cid:durableId="249704533">
    <w:abstractNumId w:val="449"/>
  </w:num>
  <w:num w:numId="726" w16cid:durableId="1180436848">
    <w:abstractNumId w:val="833"/>
  </w:num>
  <w:num w:numId="727" w16cid:durableId="342980760">
    <w:abstractNumId w:val="436"/>
  </w:num>
  <w:num w:numId="728" w16cid:durableId="936864640">
    <w:abstractNumId w:val="569"/>
  </w:num>
  <w:num w:numId="729" w16cid:durableId="540439109">
    <w:abstractNumId w:val="117"/>
  </w:num>
  <w:num w:numId="730" w16cid:durableId="485320572">
    <w:abstractNumId w:val="1027"/>
  </w:num>
  <w:num w:numId="731" w16cid:durableId="2047949079">
    <w:abstractNumId w:val="901"/>
  </w:num>
  <w:num w:numId="732" w16cid:durableId="1758866890">
    <w:abstractNumId w:val="463"/>
  </w:num>
  <w:num w:numId="733" w16cid:durableId="1718164420">
    <w:abstractNumId w:val="30"/>
  </w:num>
  <w:num w:numId="734" w16cid:durableId="1867402432">
    <w:abstractNumId w:val="534"/>
  </w:num>
  <w:num w:numId="735" w16cid:durableId="893732234">
    <w:abstractNumId w:val="778"/>
  </w:num>
  <w:num w:numId="736" w16cid:durableId="1914896890">
    <w:abstractNumId w:val="800"/>
  </w:num>
  <w:num w:numId="737" w16cid:durableId="1878200263">
    <w:abstractNumId w:val="666"/>
  </w:num>
  <w:num w:numId="738" w16cid:durableId="1985232991">
    <w:abstractNumId w:val="290"/>
  </w:num>
  <w:num w:numId="739" w16cid:durableId="89476037">
    <w:abstractNumId w:val="1005"/>
  </w:num>
  <w:num w:numId="740" w16cid:durableId="740641205">
    <w:abstractNumId w:val="954"/>
  </w:num>
  <w:num w:numId="741" w16cid:durableId="703408606">
    <w:abstractNumId w:val="486"/>
  </w:num>
  <w:num w:numId="742" w16cid:durableId="1249580718">
    <w:abstractNumId w:val="497"/>
  </w:num>
  <w:num w:numId="743" w16cid:durableId="305940131">
    <w:abstractNumId w:val="97"/>
  </w:num>
  <w:num w:numId="744" w16cid:durableId="1872835351">
    <w:abstractNumId w:val="843"/>
  </w:num>
  <w:num w:numId="745" w16cid:durableId="6324066">
    <w:abstractNumId w:val="949"/>
  </w:num>
  <w:num w:numId="746" w16cid:durableId="456339208">
    <w:abstractNumId w:val="798"/>
  </w:num>
  <w:num w:numId="747" w16cid:durableId="712268783">
    <w:abstractNumId w:val="175"/>
  </w:num>
  <w:num w:numId="748" w16cid:durableId="1527983889">
    <w:abstractNumId w:val="1098"/>
  </w:num>
  <w:num w:numId="749" w16cid:durableId="1013729730">
    <w:abstractNumId w:val="432"/>
  </w:num>
  <w:num w:numId="750" w16cid:durableId="1390543211">
    <w:abstractNumId w:val="818"/>
  </w:num>
  <w:num w:numId="751" w16cid:durableId="1501965789">
    <w:abstractNumId w:val="33"/>
  </w:num>
  <w:num w:numId="752" w16cid:durableId="74136961">
    <w:abstractNumId w:val="779"/>
  </w:num>
  <w:num w:numId="753" w16cid:durableId="1159034009">
    <w:abstractNumId w:val="378"/>
  </w:num>
  <w:num w:numId="754" w16cid:durableId="363680470">
    <w:abstractNumId w:val="743"/>
  </w:num>
  <w:num w:numId="755" w16cid:durableId="416023366">
    <w:abstractNumId w:val="286"/>
  </w:num>
  <w:num w:numId="756" w16cid:durableId="1847478060">
    <w:abstractNumId w:val="418"/>
  </w:num>
  <w:num w:numId="757" w16cid:durableId="1605068207">
    <w:abstractNumId w:val="369"/>
  </w:num>
  <w:num w:numId="758" w16cid:durableId="1524781572">
    <w:abstractNumId w:val="703"/>
  </w:num>
  <w:num w:numId="759" w16cid:durableId="1429229866">
    <w:abstractNumId w:val="618"/>
  </w:num>
  <w:num w:numId="760" w16cid:durableId="2057390723">
    <w:abstractNumId w:val="740"/>
  </w:num>
  <w:num w:numId="761" w16cid:durableId="290206422">
    <w:abstractNumId w:val="987"/>
  </w:num>
  <w:num w:numId="762" w16cid:durableId="1098016048">
    <w:abstractNumId w:val="1222"/>
  </w:num>
  <w:num w:numId="763" w16cid:durableId="1256327933">
    <w:abstractNumId w:val="430"/>
  </w:num>
  <w:num w:numId="764" w16cid:durableId="1338457748">
    <w:abstractNumId w:val="28"/>
  </w:num>
  <w:num w:numId="765" w16cid:durableId="1898317458">
    <w:abstractNumId w:val="706"/>
  </w:num>
  <w:num w:numId="766" w16cid:durableId="385878810">
    <w:abstractNumId w:val="1097"/>
  </w:num>
  <w:num w:numId="767" w16cid:durableId="1868791363">
    <w:abstractNumId w:val="121"/>
  </w:num>
  <w:num w:numId="768" w16cid:durableId="300497786">
    <w:abstractNumId w:val="842"/>
  </w:num>
  <w:num w:numId="769" w16cid:durableId="205875573">
    <w:abstractNumId w:val="952"/>
  </w:num>
  <w:num w:numId="770" w16cid:durableId="1033572697">
    <w:abstractNumId w:val="86"/>
  </w:num>
  <w:num w:numId="771" w16cid:durableId="403646286">
    <w:abstractNumId w:val="1197"/>
  </w:num>
  <w:num w:numId="772" w16cid:durableId="318268272">
    <w:abstractNumId w:val="680"/>
  </w:num>
  <w:num w:numId="773" w16cid:durableId="1439788376">
    <w:abstractNumId w:val="964"/>
  </w:num>
  <w:num w:numId="774" w16cid:durableId="753480690">
    <w:abstractNumId w:val="1036"/>
  </w:num>
  <w:num w:numId="775" w16cid:durableId="62487554">
    <w:abstractNumId w:val="547"/>
  </w:num>
  <w:num w:numId="776" w16cid:durableId="232591386">
    <w:abstractNumId w:val="609"/>
  </w:num>
  <w:num w:numId="777" w16cid:durableId="563029128">
    <w:abstractNumId w:val="856"/>
  </w:num>
  <w:num w:numId="778" w16cid:durableId="11609721">
    <w:abstractNumId w:val="151"/>
  </w:num>
  <w:num w:numId="779" w16cid:durableId="1453211995">
    <w:abstractNumId w:val="813"/>
  </w:num>
  <w:num w:numId="780" w16cid:durableId="38945452">
    <w:abstractNumId w:val="226"/>
  </w:num>
  <w:num w:numId="781" w16cid:durableId="98910119">
    <w:abstractNumId w:val="275"/>
  </w:num>
  <w:num w:numId="782" w16cid:durableId="168328489">
    <w:abstractNumId w:val="921"/>
  </w:num>
  <w:num w:numId="783" w16cid:durableId="28459050">
    <w:abstractNumId w:val="713"/>
  </w:num>
  <w:num w:numId="784" w16cid:durableId="1570311081">
    <w:abstractNumId w:val="608"/>
  </w:num>
  <w:num w:numId="785" w16cid:durableId="1427000101">
    <w:abstractNumId w:val="201"/>
  </w:num>
  <w:num w:numId="786" w16cid:durableId="1838420483">
    <w:abstractNumId w:val="563"/>
  </w:num>
  <w:num w:numId="787" w16cid:durableId="1388337330">
    <w:abstractNumId w:val="322"/>
  </w:num>
  <w:num w:numId="788" w16cid:durableId="407457811">
    <w:abstractNumId w:val="415"/>
  </w:num>
  <w:num w:numId="789" w16cid:durableId="788476774">
    <w:abstractNumId w:val="1108"/>
  </w:num>
  <w:num w:numId="790" w16cid:durableId="939488273">
    <w:abstractNumId w:val="370"/>
  </w:num>
  <w:num w:numId="791" w16cid:durableId="1843423460">
    <w:abstractNumId w:val="1066"/>
  </w:num>
  <w:num w:numId="792" w16cid:durableId="1619213218">
    <w:abstractNumId w:val="1209"/>
  </w:num>
  <w:num w:numId="793" w16cid:durableId="1355418183">
    <w:abstractNumId w:val="726"/>
  </w:num>
  <w:num w:numId="794" w16cid:durableId="1641303980">
    <w:abstractNumId w:val="111"/>
  </w:num>
  <w:num w:numId="795" w16cid:durableId="1094279323">
    <w:abstractNumId w:val="634"/>
  </w:num>
  <w:num w:numId="796" w16cid:durableId="1337264385">
    <w:abstractNumId w:val="651"/>
  </w:num>
  <w:num w:numId="797" w16cid:durableId="304899288">
    <w:abstractNumId w:val="868"/>
  </w:num>
  <w:num w:numId="798" w16cid:durableId="1364329478">
    <w:abstractNumId w:val="1195"/>
  </w:num>
  <w:num w:numId="799" w16cid:durableId="306664992">
    <w:abstractNumId w:val="307"/>
  </w:num>
  <w:num w:numId="800" w16cid:durableId="1143156282">
    <w:abstractNumId w:val="730"/>
  </w:num>
  <w:num w:numId="801" w16cid:durableId="1264610973">
    <w:abstractNumId w:val="809"/>
  </w:num>
  <w:num w:numId="802" w16cid:durableId="1204708847">
    <w:abstractNumId w:val="1232"/>
  </w:num>
  <w:num w:numId="803" w16cid:durableId="184946873">
    <w:abstractNumId w:val="35"/>
  </w:num>
  <w:num w:numId="804" w16cid:durableId="1478912417">
    <w:abstractNumId w:val="614"/>
  </w:num>
  <w:num w:numId="805" w16cid:durableId="788939003">
    <w:abstractNumId w:val="90"/>
  </w:num>
  <w:num w:numId="806" w16cid:durableId="54276876">
    <w:abstractNumId w:val="904"/>
  </w:num>
  <w:num w:numId="807" w16cid:durableId="540361459">
    <w:abstractNumId w:val="914"/>
  </w:num>
  <w:num w:numId="808" w16cid:durableId="45767428">
    <w:abstractNumId w:val="237"/>
  </w:num>
  <w:num w:numId="809" w16cid:durableId="1907521312">
    <w:abstractNumId w:val="469"/>
  </w:num>
  <w:num w:numId="810" w16cid:durableId="784736951">
    <w:abstractNumId w:val="994"/>
  </w:num>
  <w:num w:numId="811" w16cid:durableId="1176191870">
    <w:abstractNumId w:val="490"/>
  </w:num>
  <w:num w:numId="812" w16cid:durableId="1220896369">
    <w:abstractNumId w:val="700"/>
  </w:num>
  <w:num w:numId="813" w16cid:durableId="749693808">
    <w:abstractNumId w:val="950"/>
  </w:num>
  <w:num w:numId="814" w16cid:durableId="2142915975">
    <w:abstractNumId w:val="247"/>
  </w:num>
  <w:num w:numId="815" w16cid:durableId="533075079">
    <w:abstractNumId w:val="1125"/>
  </w:num>
  <w:num w:numId="816" w16cid:durableId="2019458298">
    <w:abstractNumId w:val="94"/>
  </w:num>
  <w:num w:numId="817" w16cid:durableId="1946116281">
    <w:abstractNumId w:val="983"/>
  </w:num>
  <w:num w:numId="818" w16cid:durableId="1151604790">
    <w:abstractNumId w:val="249"/>
  </w:num>
  <w:num w:numId="819" w16cid:durableId="444466954">
    <w:abstractNumId w:val="1212"/>
  </w:num>
  <w:num w:numId="820" w16cid:durableId="217715906">
    <w:abstractNumId w:val="465"/>
  </w:num>
  <w:num w:numId="821" w16cid:durableId="456410785">
    <w:abstractNumId w:val="682"/>
  </w:num>
  <w:num w:numId="822" w16cid:durableId="1868834715">
    <w:abstractNumId w:val="859"/>
  </w:num>
  <w:num w:numId="823" w16cid:durableId="820535851">
    <w:abstractNumId w:val="1211"/>
  </w:num>
  <w:num w:numId="824" w16cid:durableId="880173103">
    <w:abstractNumId w:val="1034"/>
  </w:num>
  <w:num w:numId="825" w16cid:durableId="1805196702">
    <w:abstractNumId w:val="1165"/>
  </w:num>
  <w:num w:numId="826" w16cid:durableId="384186721">
    <w:abstractNumId w:val="877"/>
  </w:num>
  <w:num w:numId="827" w16cid:durableId="972901265">
    <w:abstractNumId w:val="1060"/>
  </w:num>
  <w:num w:numId="828" w16cid:durableId="1802840435">
    <w:abstractNumId w:val="350"/>
  </w:num>
  <w:num w:numId="829" w16cid:durableId="1110782669">
    <w:abstractNumId w:val="1039"/>
  </w:num>
  <w:num w:numId="830" w16cid:durableId="890386230">
    <w:abstractNumId w:val="1147"/>
  </w:num>
  <w:num w:numId="831" w16cid:durableId="96100128">
    <w:abstractNumId w:val="615"/>
  </w:num>
  <w:num w:numId="832" w16cid:durableId="524712710">
    <w:abstractNumId w:val="1064"/>
  </w:num>
  <w:num w:numId="833" w16cid:durableId="873661209">
    <w:abstractNumId w:val="327"/>
  </w:num>
  <w:num w:numId="834" w16cid:durableId="1888449677">
    <w:abstractNumId w:val="114"/>
  </w:num>
  <w:num w:numId="835" w16cid:durableId="392121462">
    <w:abstractNumId w:val="867"/>
  </w:num>
  <w:num w:numId="836" w16cid:durableId="2066372879">
    <w:abstractNumId w:val="145"/>
  </w:num>
  <w:num w:numId="837" w16cid:durableId="694113148">
    <w:abstractNumId w:val="1200"/>
  </w:num>
  <w:num w:numId="838" w16cid:durableId="1790930867">
    <w:abstractNumId w:val="991"/>
  </w:num>
  <w:num w:numId="839" w16cid:durableId="1825392828">
    <w:abstractNumId w:val="137"/>
  </w:num>
  <w:num w:numId="840" w16cid:durableId="1450975052">
    <w:abstractNumId w:val="306"/>
  </w:num>
  <w:num w:numId="841" w16cid:durableId="2123762921">
    <w:abstractNumId w:val="0"/>
  </w:num>
  <w:num w:numId="842" w16cid:durableId="1824157624">
    <w:abstractNumId w:val="919"/>
  </w:num>
  <w:num w:numId="843" w16cid:durableId="1559626149">
    <w:abstractNumId w:val="527"/>
  </w:num>
  <w:num w:numId="844" w16cid:durableId="1473136265">
    <w:abstractNumId w:val="101"/>
  </w:num>
  <w:num w:numId="845" w16cid:durableId="1063411226">
    <w:abstractNumId w:val="844"/>
  </w:num>
  <w:num w:numId="846" w16cid:durableId="584916464">
    <w:abstractNumId w:val="1185"/>
  </w:num>
  <w:num w:numId="847" w16cid:durableId="1794251630">
    <w:abstractNumId w:val="49"/>
  </w:num>
  <w:num w:numId="848" w16cid:durableId="79110474">
    <w:abstractNumId w:val="500"/>
  </w:num>
  <w:num w:numId="849" w16cid:durableId="2049914637">
    <w:abstractNumId w:val="1101"/>
  </w:num>
  <w:num w:numId="850" w16cid:durableId="274991784">
    <w:abstractNumId w:val="808"/>
  </w:num>
  <w:num w:numId="851" w16cid:durableId="289868208">
    <w:abstractNumId w:val="240"/>
  </w:num>
  <w:num w:numId="852" w16cid:durableId="2104035259">
    <w:abstractNumId w:val="990"/>
  </w:num>
  <w:num w:numId="853" w16cid:durableId="1022050030">
    <w:abstractNumId w:val="775"/>
  </w:num>
  <w:num w:numId="854" w16cid:durableId="953318995">
    <w:abstractNumId w:val="48"/>
  </w:num>
  <w:num w:numId="855" w16cid:durableId="753476261">
    <w:abstractNumId w:val="1050"/>
  </w:num>
  <w:num w:numId="856" w16cid:durableId="780148285">
    <w:abstractNumId w:val="564"/>
  </w:num>
  <w:num w:numId="857" w16cid:durableId="673531443">
    <w:abstractNumId w:val="1067"/>
  </w:num>
  <w:num w:numId="858" w16cid:durableId="620260438">
    <w:abstractNumId w:val="971"/>
  </w:num>
  <w:num w:numId="859" w16cid:durableId="1422943670">
    <w:abstractNumId w:val="299"/>
  </w:num>
  <w:num w:numId="860" w16cid:durableId="1932153832">
    <w:abstractNumId w:val="1113"/>
  </w:num>
  <w:num w:numId="861" w16cid:durableId="889607566">
    <w:abstractNumId w:val="116"/>
  </w:num>
  <w:num w:numId="862" w16cid:durableId="1135759995">
    <w:abstractNumId w:val="217"/>
  </w:num>
  <w:num w:numId="863" w16cid:durableId="2360248">
    <w:abstractNumId w:val="376"/>
  </w:num>
  <w:num w:numId="864" w16cid:durableId="2038196090">
    <w:abstractNumId w:val="1057"/>
  </w:num>
  <w:num w:numId="865" w16cid:durableId="1979532686">
    <w:abstractNumId w:val="528"/>
  </w:num>
  <w:num w:numId="866" w16cid:durableId="1383824614">
    <w:abstractNumId w:val="1162"/>
  </w:num>
  <w:num w:numId="867" w16cid:durableId="154077187">
    <w:abstractNumId w:val="739"/>
  </w:num>
  <w:num w:numId="868" w16cid:durableId="1115825475">
    <w:abstractNumId w:val="139"/>
  </w:num>
  <w:num w:numId="869" w16cid:durableId="805010016">
    <w:abstractNumId w:val="2"/>
  </w:num>
  <w:num w:numId="870" w16cid:durableId="1318650370">
    <w:abstractNumId w:val="704"/>
  </w:num>
  <w:num w:numId="871" w16cid:durableId="901141606">
    <w:abstractNumId w:val="112"/>
  </w:num>
  <w:num w:numId="872" w16cid:durableId="1181121394">
    <w:abstractNumId w:val="163"/>
  </w:num>
  <w:num w:numId="873" w16cid:durableId="1917015479">
    <w:abstractNumId w:val="595"/>
  </w:num>
  <w:num w:numId="874" w16cid:durableId="984435301">
    <w:abstractNumId w:val="1140"/>
  </w:num>
  <w:num w:numId="875" w16cid:durableId="474178438">
    <w:abstractNumId w:val="471"/>
  </w:num>
  <w:num w:numId="876" w16cid:durableId="1437826272">
    <w:abstractNumId w:val="797"/>
  </w:num>
  <w:num w:numId="877" w16cid:durableId="372273192">
    <w:abstractNumId w:val="1192"/>
  </w:num>
  <w:num w:numId="878" w16cid:durableId="949817325">
    <w:abstractNumId w:val="518"/>
  </w:num>
  <w:num w:numId="879" w16cid:durableId="1470395318">
    <w:abstractNumId w:val="936"/>
  </w:num>
  <w:num w:numId="880" w16cid:durableId="527181643">
    <w:abstractNumId w:val="544"/>
  </w:num>
  <w:num w:numId="881" w16cid:durableId="1176456665">
    <w:abstractNumId w:val="602"/>
  </w:num>
  <w:num w:numId="882" w16cid:durableId="1208301531">
    <w:abstractNumId w:val="997"/>
  </w:num>
  <w:num w:numId="883" w16cid:durableId="275065444">
    <w:abstractNumId w:val="1063"/>
  </w:num>
  <w:num w:numId="884" w16cid:durableId="1394935004">
    <w:abstractNumId w:val="862"/>
  </w:num>
  <w:num w:numId="885" w16cid:durableId="1732193224">
    <w:abstractNumId w:val="691"/>
  </w:num>
  <w:num w:numId="886" w16cid:durableId="1904872708">
    <w:abstractNumId w:val="696"/>
  </w:num>
  <w:num w:numId="887" w16cid:durableId="1918174763">
    <w:abstractNumId w:val="1119"/>
  </w:num>
  <w:num w:numId="888" w16cid:durableId="691734165">
    <w:abstractNumId w:val="265"/>
  </w:num>
  <w:num w:numId="889" w16cid:durableId="393432130">
    <w:abstractNumId w:val="1048"/>
  </w:num>
  <w:num w:numId="890" w16cid:durableId="163018037">
    <w:abstractNumId w:val="951"/>
  </w:num>
  <w:num w:numId="891" w16cid:durableId="1923442191">
    <w:abstractNumId w:val="575"/>
  </w:num>
  <w:num w:numId="892" w16cid:durableId="1250652530">
    <w:abstractNumId w:val="1229"/>
  </w:num>
  <w:num w:numId="893" w16cid:durableId="902252713">
    <w:abstractNumId w:val="1143"/>
  </w:num>
  <w:num w:numId="894" w16cid:durableId="317419410">
    <w:abstractNumId w:val="753"/>
  </w:num>
  <w:num w:numId="895" w16cid:durableId="1200778662">
    <w:abstractNumId w:val="404"/>
  </w:num>
  <w:num w:numId="896" w16cid:durableId="230311846">
    <w:abstractNumId w:val="255"/>
  </w:num>
  <w:num w:numId="897" w16cid:durableId="1761832358">
    <w:abstractNumId w:val="254"/>
  </w:num>
  <w:num w:numId="898" w16cid:durableId="1393578990">
    <w:abstractNumId w:val="394"/>
  </w:num>
  <w:num w:numId="899" w16cid:durableId="1871144542">
    <w:abstractNumId w:val="845"/>
  </w:num>
  <w:num w:numId="900" w16cid:durableId="632633184">
    <w:abstractNumId w:val="646"/>
  </w:num>
  <w:num w:numId="901" w16cid:durableId="1935941609">
    <w:abstractNumId w:val="377"/>
  </w:num>
  <w:num w:numId="902" w16cid:durableId="2059738516">
    <w:abstractNumId w:val="6"/>
  </w:num>
  <w:num w:numId="903" w16cid:durableId="981235685">
    <w:abstractNumId w:val="661"/>
  </w:num>
  <w:num w:numId="904" w16cid:durableId="1996301917">
    <w:abstractNumId w:val="1196"/>
  </w:num>
  <w:num w:numId="905" w16cid:durableId="1346514235">
    <w:abstractNumId w:val="557"/>
  </w:num>
  <w:num w:numId="906" w16cid:durableId="1630816468">
    <w:abstractNumId w:val="419"/>
  </w:num>
  <w:num w:numId="907" w16cid:durableId="1896773444">
    <w:abstractNumId w:val="154"/>
  </w:num>
  <w:num w:numId="908" w16cid:durableId="2055427103">
    <w:abstractNumId w:val="244"/>
  </w:num>
  <w:num w:numId="909" w16cid:durableId="850145304">
    <w:abstractNumId w:val="1112"/>
  </w:num>
  <w:num w:numId="910" w16cid:durableId="1497841186">
    <w:abstractNumId w:val="956"/>
  </w:num>
  <w:num w:numId="911" w16cid:durableId="276643389">
    <w:abstractNumId w:val="1068"/>
  </w:num>
  <w:num w:numId="912" w16cid:durableId="1094477912">
    <w:abstractNumId w:val="189"/>
  </w:num>
  <w:num w:numId="913" w16cid:durableId="838932795">
    <w:abstractNumId w:val="537"/>
  </w:num>
  <w:num w:numId="914" w16cid:durableId="1974557288">
    <w:abstractNumId w:val="66"/>
  </w:num>
  <w:num w:numId="915" w16cid:durableId="1999378267">
    <w:abstractNumId w:val="218"/>
  </w:num>
  <w:num w:numId="916" w16cid:durableId="72439245">
    <w:abstractNumId w:val="1043"/>
  </w:num>
  <w:num w:numId="917" w16cid:durableId="780956320">
    <w:abstractNumId w:val="1115"/>
  </w:num>
  <w:num w:numId="918" w16cid:durableId="1932464120">
    <w:abstractNumId w:val="387"/>
  </w:num>
  <w:num w:numId="919" w16cid:durableId="172452534">
    <w:abstractNumId w:val="119"/>
  </w:num>
  <w:num w:numId="920" w16cid:durableId="1652563281">
    <w:abstractNumId w:val="824"/>
  </w:num>
  <w:num w:numId="921" w16cid:durableId="2001889146">
    <w:abstractNumId w:val="1053"/>
  </w:num>
  <w:num w:numId="922" w16cid:durableId="689600071">
    <w:abstractNumId w:val="663"/>
  </w:num>
  <w:num w:numId="923" w16cid:durableId="1087775242">
    <w:abstractNumId w:val="757"/>
  </w:num>
  <w:num w:numId="924" w16cid:durableId="1637635643">
    <w:abstractNumId w:val="531"/>
  </w:num>
  <w:num w:numId="925" w16cid:durableId="1224439788">
    <w:abstractNumId w:val="283"/>
  </w:num>
  <w:num w:numId="926" w16cid:durableId="767500996">
    <w:abstractNumId w:val="453"/>
  </w:num>
  <w:num w:numId="927" w16cid:durableId="1879657220">
    <w:abstractNumId w:val="738"/>
  </w:num>
  <w:num w:numId="928" w16cid:durableId="1525904126">
    <w:abstractNumId w:val="623"/>
  </w:num>
  <w:num w:numId="929" w16cid:durableId="376852737">
    <w:abstractNumId w:val="363"/>
  </w:num>
  <w:num w:numId="930" w16cid:durableId="2052344657">
    <w:abstractNumId w:val="583"/>
  </w:num>
  <w:num w:numId="931" w16cid:durableId="1056661018">
    <w:abstractNumId w:val="487"/>
  </w:num>
  <w:num w:numId="932" w16cid:durableId="1651710431">
    <w:abstractNumId w:val="509"/>
  </w:num>
  <w:num w:numId="933" w16cid:durableId="180167811">
    <w:abstractNumId w:val="1189"/>
  </w:num>
  <w:num w:numId="934" w16cid:durableId="590428643">
    <w:abstractNumId w:val="1127"/>
  </w:num>
  <w:num w:numId="935" w16cid:durableId="1617327172">
    <w:abstractNumId w:val="1004"/>
  </w:num>
  <w:num w:numId="936" w16cid:durableId="1633288476">
    <w:abstractNumId w:val="457"/>
  </w:num>
  <w:num w:numId="937" w16cid:durableId="535309312">
    <w:abstractNumId w:val="291"/>
  </w:num>
  <w:num w:numId="938" w16cid:durableId="1998415045">
    <w:abstractNumId w:val="1138"/>
  </w:num>
  <w:num w:numId="939" w16cid:durableId="416706621">
    <w:abstractNumId w:val="1007"/>
  </w:num>
  <w:num w:numId="940" w16cid:durableId="726225204">
    <w:abstractNumId w:val="282"/>
  </w:num>
  <w:num w:numId="941" w16cid:durableId="1847089870">
    <w:abstractNumId w:val="16"/>
  </w:num>
  <w:num w:numId="942" w16cid:durableId="1341348905">
    <w:abstractNumId w:val="1077"/>
  </w:num>
  <w:num w:numId="943" w16cid:durableId="1905871493">
    <w:abstractNumId w:val="929"/>
  </w:num>
  <w:num w:numId="944" w16cid:durableId="749424171">
    <w:abstractNumId w:val="965"/>
  </w:num>
  <w:num w:numId="945" w16cid:durableId="2094084594">
    <w:abstractNumId w:val="52"/>
  </w:num>
  <w:num w:numId="946" w16cid:durableId="313724822">
    <w:abstractNumId w:val="1146"/>
  </w:num>
  <w:num w:numId="947" w16cid:durableId="1862234011">
    <w:abstractNumId w:val="65"/>
  </w:num>
  <w:num w:numId="948" w16cid:durableId="129906864">
    <w:abstractNumId w:val="281"/>
  </w:num>
  <w:num w:numId="949" w16cid:durableId="488717627">
    <w:abstractNumId w:val="893"/>
  </w:num>
  <w:num w:numId="950" w16cid:durableId="348334318">
    <w:abstractNumId w:val="356"/>
  </w:num>
  <w:num w:numId="951" w16cid:durableId="1360398880">
    <w:abstractNumId w:val="408"/>
  </w:num>
  <w:num w:numId="952" w16cid:durableId="1649246168">
    <w:abstractNumId w:val="198"/>
  </w:num>
  <w:num w:numId="953" w16cid:durableId="100078694">
    <w:abstractNumId w:val="722"/>
  </w:num>
  <w:num w:numId="954" w16cid:durableId="1019425679">
    <w:abstractNumId w:val="1137"/>
  </w:num>
  <w:num w:numId="955" w16cid:durableId="1581139482">
    <w:abstractNumId w:val="804"/>
  </w:num>
  <w:num w:numId="956" w16cid:durableId="874924965">
    <w:abstractNumId w:val="933"/>
  </w:num>
  <w:num w:numId="957" w16cid:durableId="96483848">
    <w:abstractNumId w:val="1010"/>
  </w:num>
  <w:num w:numId="958" w16cid:durableId="1129932022">
    <w:abstractNumId w:val="301"/>
  </w:num>
  <w:num w:numId="959" w16cid:durableId="1538274158">
    <w:abstractNumId w:val="1190"/>
  </w:num>
  <w:num w:numId="960" w16cid:durableId="1040132561">
    <w:abstractNumId w:val="171"/>
  </w:num>
  <w:num w:numId="961" w16cid:durableId="2124418372">
    <w:abstractNumId w:val="786"/>
  </w:num>
  <w:num w:numId="962" w16cid:durableId="2022852429">
    <w:abstractNumId w:val="135"/>
  </w:num>
  <w:num w:numId="963" w16cid:durableId="642733982">
    <w:abstractNumId w:val="345"/>
  </w:num>
  <w:num w:numId="964" w16cid:durableId="1824354019">
    <w:abstractNumId w:val="466"/>
  </w:num>
  <w:num w:numId="965" w16cid:durableId="872304337">
    <w:abstractNumId w:val="483"/>
  </w:num>
  <w:num w:numId="966" w16cid:durableId="609550832">
    <w:abstractNumId w:val="279"/>
  </w:num>
  <w:num w:numId="967" w16cid:durableId="75591730">
    <w:abstractNumId w:val="881"/>
  </w:num>
  <w:num w:numId="968" w16cid:durableId="1170558337">
    <w:abstractNumId w:val="375"/>
  </w:num>
  <w:num w:numId="969" w16cid:durableId="2040932485">
    <w:abstractNumId w:val="1096"/>
  </w:num>
  <w:num w:numId="970" w16cid:durableId="1255480768">
    <w:abstractNumId w:val="976"/>
  </w:num>
  <w:num w:numId="971" w16cid:durableId="1628583358">
    <w:abstractNumId w:val="805"/>
  </w:num>
  <w:num w:numId="972" w16cid:durableId="1045986791">
    <w:abstractNumId w:val="231"/>
  </w:num>
  <w:num w:numId="973" w16cid:durableId="59140099">
    <w:abstractNumId w:val="220"/>
  </w:num>
  <w:num w:numId="974" w16cid:durableId="1344628831">
    <w:abstractNumId w:val="1191"/>
  </w:num>
  <w:num w:numId="975" w16cid:durableId="81610174">
    <w:abstractNumId w:val="1216"/>
  </w:num>
  <w:num w:numId="976" w16cid:durableId="1025210185">
    <w:abstractNumId w:val="783"/>
  </w:num>
  <w:num w:numId="977" w16cid:durableId="1502236366">
    <w:abstractNumId w:val="685"/>
  </w:num>
  <w:num w:numId="978" w16cid:durableId="2116241759">
    <w:abstractNumId w:val="485"/>
  </w:num>
  <w:num w:numId="979" w16cid:durableId="69743898">
    <w:abstractNumId w:val="1017"/>
  </w:num>
  <w:num w:numId="980" w16cid:durableId="960962252">
    <w:abstractNumId w:val="413"/>
  </w:num>
  <w:num w:numId="981" w16cid:durableId="1249657901">
    <w:abstractNumId w:val="103"/>
  </w:num>
  <w:num w:numId="982" w16cid:durableId="1732727417">
    <w:abstractNumId w:val="665"/>
  </w:num>
  <w:num w:numId="983" w16cid:durableId="489828790">
    <w:abstractNumId w:val="330"/>
  </w:num>
  <w:num w:numId="984" w16cid:durableId="1770931077">
    <w:abstractNumId w:val="180"/>
  </w:num>
  <w:num w:numId="985" w16cid:durableId="609431738">
    <w:abstractNumId w:val="493"/>
  </w:num>
  <w:num w:numId="986" w16cid:durableId="793866836">
    <w:abstractNumId w:val="1120"/>
  </w:num>
  <w:num w:numId="987" w16cid:durableId="907689617">
    <w:abstractNumId w:val="720"/>
  </w:num>
  <w:num w:numId="988" w16cid:durableId="988748436">
    <w:abstractNumId w:val="848"/>
  </w:num>
  <w:num w:numId="989" w16cid:durableId="195429224">
    <w:abstractNumId w:val="70"/>
  </w:num>
  <w:num w:numId="990" w16cid:durableId="1458640838">
    <w:abstractNumId w:val="437"/>
  </w:num>
  <w:num w:numId="991" w16cid:durableId="636033045">
    <w:abstractNumId w:val="732"/>
  </w:num>
  <w:num w:numId="992" w16cid:durableId="833255693">
    <w:abstractNumId w:val="239"/>
  </w:num>
  <w:num w:numId="993" w16cid:durableId="724570139">
    <w:abstractNumId w:val="734"/>
  </w:num>
  <w:num w:numId="994" w16cid:durableId="125006608">
    <w:abstractNumId w:val="841"/>
  </w:num>
  <w:num w:numId="995" w16cid:durableId="1657803346">
    <w:abstractNumId w:val="1006"/>
  </w:num>
  <w:num w:numId="996" w16cid:durableId="1517764247">
    <w:abstractNumId w:val="601"/>
  </w:num>
  <w:num w:numId="997" w16cid:durableId="550965215">
    <w:abstractNumId w:val="803"/>
  </w:num>
  <w:num w:numId="998" w16cid:durableId="274404329">
    <w:abstractNumId w:val="759"/>
  </w:num>
  <w:num w:numId="999" w16cid:durableId="862405971">
    <w:abstractNumId w:val="1182"/>
  </w:num>
  <w:num w:numId="1000" w16cid:durableId="1430201412">
    <w:abstractNumId w:val="683"/>
  </w:num>
  <w:num w:numId="1001" w16cid:durableId="1918857886">
    <w:abstractNumId w:val="289"/>
  </w:num>
  <w:num w:numId="1002" w16cid:durableId="1950238838">
    <w:abstractNumId w:val="7"/>
  </w:num>
  <w:num w:numId="1003" w16cid:durableId="791172040">
    <w:abstractNumId w:val="611"/>
  </w:num>
  <w:num w:numId="1004" w16cid:durableId="1682196093">
    <w:abstractNumId w:val="1033"/>
  </w:num>
  <w:num w:numId="1005" w16cid:durableId="1178931164">
    <w:abstractNumId w:val="536"/>
  </w:num>
  <w:num w:numId="1006" w16cid:durableId="1518351079">
    <w:abstractNumId w:val="212"/>
  </w:num>
  <w:num w:numId="1007" w16cid:durableId="2026708848">
    <w:abstractNumId w:val="909"/>
  </w:num>
  <w:num w:numId="1008" w16cid:durableId="1897348894">
    <w:abstractNumId w:val="627"/>
  </w:num>
  <w:num w:numId="1009" w16cid:durableId="1250890010">
    <w:abstractNumId w:val="488"/>
  </w:num>
  <w:num w:numId="1010" w16cid:durableId="172498964">
    <w:abstractNumId w:val="793"/>
  </w:num>
  <w:num w:numId="1011" w16cid:durableId="2079936711">
    <w:abstractNumId w:val="1085"/>
  </w:num>
  <w:num w:numId="1012" w16cid:durableId="1157915786">
    <w:abstractNumId w:val="157"/>
  </w:num>
  <w:num w:numId="1013" w16cid:durableId="1396200804">
    <w:abstractNumId w:val="181"/>
  </w:num>
  <w:num w:numId="1014" w16cid:durableId="1123428193">
    <w:abstractNumId w:val="9"/>
  </w:num>
  <w:num w:numId="1015" w16cid:durableId="1684476293">
    <w:abstractNumId w:val="368"/>
  </w:num>
  <w:num w:numId="1016" w16cid:durableId="1731230395">
    <w:abstractNumId w:val="764"/>
  </w:num>
  <w:num w:numId="1017" w16cid:durableId="64039495">
    <w:abstractNumId w:val="477"/>
  </w:num>
  <w:num w:numId="1018" w16cid:durableId="780757359">
    <w:abstractNumId w:val="461"/>
  </w:num>
  <w:num w:numId="1019" w16cid:durableId="828668119">
    <w:abstractNumId w:val="440"/>
  </w:num>
  <w:num w:numId="1020" w16cid:durableId="95642509">
    <w:abstractNumId w:val="1154"/>
  </w:num>
  <w:num w:numId="1021" w16cid:durableId="9533021">
    <w:abstractNumId w:val="284"/>
  </w:num>
  <w:num w:numId="1022" w16cid:durableId="1041444835">
    <w:abstractNumId w:val="397"/>
  </w:num>
  <w:num w:numId="1023" w16cid:durableId="1003320713">
    <w:abstractNumId w:val="565"/>
  </w:num>
  <w:num w:numId="1024" w16cid:durableId="346059153">
    <w:abstractNumId w:val="235"/>
  </w:num>
  <w:num w:numId="1025" w16cid:durableId="125897378">
    <w:abstractNumId w:val="1092"/>
  </w:num>
  <w:num w:numId="1026" w16cid:durableId="1997419447">
    <w:abstractNumId w:val="789"/>
  </w:num>
  <w:num w:numId="1027" w16cid:durableId="659382486">
    <w:abstractNumId w:val="19"/>
  </w:num>
  <w:num w:numId="1028" w16cid:durableId="967708709">
    <w:abstractNumId w:val="562"/>
  </w:num>
  <w:num w:numId="1029" w16cid:durableId="887105365">
    <w:abstractNumId w:val="365"/>
  </w:num>
  <w:num w:numId="1030" w16cid:durableId="710377264">
    <w:abstractNumId w:val="966"/>
  </w:num>
  <w:num w:numId="1031" w16cid:durableId="1767460866">
    <w:abstractNumId w:val="26"/>
  </w:num>
  <w:num w:numId="1032" w16cid:durableId="1468545070">
    <w:abstractNumId w:val="40"/>
  </w:num>
  <w:num w:numId="1033" w16cid:durableId="2010597047">
    <w:abstractNumId w:val="470"/>
  </w:num>
  <w:num w:numId="1034" w16cid:durableId="2027175244">
    <w:abstractNumId w:val="937"/>
  </w:num>
  <w:num w:numId="1035" w16cid:durableId="1330711844">
    <w:abstractNumId w:val="17"/>
  </w:num>
  <w:num w:numId="1036" w16cid:durableId="83843369">
    <w:abstractNumId w:val="250"/>
  </w:num>
  <w:num w:numId="1037" w16cid:durableId="1950430484">
    <w:abstractNumId w:val="529"/>
  </w:num>
  <w:num w:numId="1038" w16cid:durableId="600532117">
    <w:abstractNumId w:val="668"/>
  </w:num>
  <w:num w:numId="1039" w16cid:durableId="138037418">
    <w:abstractNumId w:val="146"/>
  </w:num>
  <w:num w:numId="1040" w16cid:durableId="282538271">
    <w:abstractNumId w:val="1141"/>
  </w:num>
  <w:num w:numId="1041" w16cid:durableId="644701217">
    <w:abstractNumId w:val="414"/>
  </w:num>
  <w:num w:numId="1042" w16cid:durableId="1839148081">
    <w:abstractNumId w:val="545"/>
  </w:num>
  <w:num w:numId="1043" w16cid:durableId="1313145658">
    <w:abstractNumId w:val="409"/>
  </w:num>
  <w:num w:numId="1044" w16cid:durableId="122503459">
    <w:abstractNumId w:val="882"/>
  </w:num>
  <w:num w:numId="1045" w16cid:durableId="1312179171">
    <w:abstractNumId w:val="320"/>
  </w:num>
  <w:num w:numId="1046" w16cid:durableId="1054545453">
    <w:abstractNumId w:val="1167"/>
  </w:num>
  <w:num w:numId="1047" w16cid:durableId="1735860060">
    <w:abstractNumId w:val="208"/>
  </w:num>
  <w:num w:numId="1048" w16cid:durableId="1735355414">
    <w:abstractNumId w:val="586"/>
  </w:num>
  <w:num w:numId="1049" w16cid:durableId="600919761">
    <w:abstractNumId w:val="879"/>
  </w:num>
  <w:num w:numId="1050" w16cid:durableId="1332568086">
    <w:abstractNumId w:val="190"/>
  </w:num>
  <w:num w:numId="1051" w16cid:durableId="1956134261">
    <w:abstractNumId w:val="645"/>
  </w:num>
  <w:num w:numId="1052" w16cid:durableId="1593317349">
    <w:abstractNumId w:val="593"/>
  </w:num>
  <w:num w:numId="1053" w16cid:durableId="1312639934">
    <w:abstractNumId w:val="288"/>
  </w:num>
  <w:num w:numId="1054" w16cid:durableId="1380326479">
    <w:abstractNumId w:val="631"/>
  </w:num>
  <w:num w:numId="1055" w16cid:durableId="863710551">
    <w:abstractNumId w:val="319"/>
  </w:num>
  <w:num w:numId="1056" w16cid:durableId="2123374393">
    <w:abstractNumId w:val="1000"/>
  </w:num>
  <w:num w:numId="1057" w16cid:durableId="1479960206">
    <w:abstractNumId w:val="825"/>
  </w:num>
  <w:num w:numId="1058" w16cid:durableId="28655215">
    <w:abstractNumId w:val="125"/>
  </w:num>
  <w:num w:numId="1059" w16cid:durableId="773020487">
    <w:abstractNumId w:val="386"/>
  </w:num>
  <w:num w:numId="1060" w16cid:durableId="1252591966">
    <w:abstractNumId w:val="1228"/>
  </w:num>
  <w:num w:numId="1061" w16cid:durableId="184708807">
    <w:abstractNumId w:val="361"/>
  </w:num>
  <w:num w:numId="1062" w16cid:durableId="1943369870">
    <w:abstractNumId w:val="664"/>
  </w:num>
  <w:num w:numId="1063" w16cid:durableId="1046641623">
    <w:abstractNumId w:val="832"/>
  </w:num>
  <w:num w:numId="1064" w16cid:durableId="729958520">
    <w:abstractNumId w:val="1201"/>
  </w:num>
  <w:num w:numId="1065" w16cid:durableId="2055998654">
    <w:abstractNumId w:val="613"/>
  </w:num>
  <w:num w:numId="1066" w16cid:durableId="772943064">
    <w:abstractNumId w:val="975"/>
  </w:num>
  <w:num w:numId="1067" w16cid:durableId="158159352">
    <w:abstractNumId w:val="501"/>
  </w:num>
  <w:num w:numId="1068" w16cid:durableId="1156845333">
    <w:abstractNumId w:val="762"/>
  </w:num>
  <w:num w:numId="1069" w16cid:durableId="223880700">
    <w:abstractNumId w:val="76"/>
  </w:num>
  <w:num w:numId="1070" w16cid:durableId="1473136027">
    <w:abstractNumId w:val="45"/>
  </w:num>
  <w:num w:numId="1071" w16cid:durableId="1027565530">
    <w:abstractNumId w:val="54"/>
  </w:num>
  <w:num w:numId="1072" w16cid:durableId="1176117136">
    <w:abstractNumId w:val="95"/>
  </w:num>
  <w:num w:numId="1073" w16cid:durableId="771780865">
    <w:abstractNumId w:val="64"/>
  </w:num>
  <w:num w:numId="1074" w16cid:durableId="1984581588">
    <w:abstractNumId w:val="278"/>
  </w:num>
  <w:num w:numId="1075" w16cid:durableId="2587372">
    <w:abstractNumId w:val="268"/>
  </w:num>
  <w:num w:numId="1076" w16cid:durableId="182019270">
    <w:abstractNumId w:val="642"/>
  </w:num>
  <w:num w:numId="1077" w16cid:durableId="215093814">
    <w:abstractNumId w:val="108"/>
  </w:num>
  <w:num w:numId="1078" w16cid:durableId="1367633000">
    <w:abstractNumId w:val="87"/>
  </w:num>
  <w:num w:numId="1079" w16cid:durableId="410078488">
    <w:abstractNumId w:val="124"/>
  </w:num>
  <w:num w:numId="1080" w16cid:durableId="1842348251">
    <w:abstractNumId w:val="672"/>
  </w:num>
  <w:num w:numId="1081" w16cid:durableId="402413287">
    <w:abstractNumId w:val="1055"/>
  </w:num>
  <w:num w:numId="1082" w16cid:durableId="2006273581">
    <w:abstractNumId w:val="362"/>
  </w:num>
  <w:num w:numId="1083" w16cid:durableId="1963606288">
    <w:abstractNumId w:val="211"/>
  </w:num>
  <w:num w:numId="1084" w16cid:durableId="492111040">
    <w:abstractNumId w:val="4"/>
  </w:num>
  <w:num w:numId="1085" w16cid:durableId="1764764340">
    <w:abstractNumId w:val="506"/>
  </w:num>
  <w:num w:numId="1086" w16cid:durableId="2093966560">
    <w:abstractNumId w:val="353"/>
  </w:num>
  <w:num w:numId="1087" w16cid:durableId="1141846676">
    <w:abstractNumId w:val="558"/>
  </w:num>
  <w:num w:numId="1088" w16cid:durableId="1477184195">
    <w:abstractNumId w:val="687"/>
  </w:num>
  <w:num w:numId="1089" w16cid:durableId="2124565979">
    <w:abstractNumId w:val="1164"/>
  </w:num>
  <w:num w:numId="1090" w16cid:durableId="971637894">
    <w:abstractNumId w:val="206"/>
  </w:num>
  <w:num w:numId="1091" w16cid:durableId="1706520207">
    <w:abstractNumId w:val="1011"/>
  </w:num>
  <w:num w:numId="1092" w16cid:durableId="799880098">
    <w:abstractNumId w:val="498"/>
  </w:num>
  <w:num w:numId="1093" w16cid:durableId="1314798534">
    <w:abstractNumId w:val="323"/>
  </w:num>
  <w:num w:numId="1094" w16cid:durableId="2062359697">
    <w:abstractNumId w:val="1203"/>
  </w:num>
  <w:num w:numId="1095" w16cid:durableId="361053105">
    <w:abstractNumId w:val="405"/>
  </w:num>
  <w:num w:numId="1096" w16cid:durableId="704059226">
    <w:abstractNumId w:val="459"/>
  </w:num>
  <w:num w:numId="1097" w16cid:durableId="611713591">
    <w:abstractNumId w:val="504"/>
  </w:num>
  <w:num w:numId="1098" w16cid:durableId="724722605">
    <w:abstractNumId w:val="589"/>
  </w:num>
  <w:num w:numId="1099" w16cid:durableId="1042556091">
    <w:abstractNumId w:val="1062"/>
  </w:num>
  <w:num w:numId="1100" w16cid:durableId="2117208430">
    <w:abstractNumId w:val="100"/>
  </w:num>
  <w:num w:numId="1101" w16cid:durableId="444882183">
    <w:abstractNumId w:val="1076"/>
  </w:num>
  <w:num w:numId="1102" w16cid:durableId="637151433">
    <w:abstractNumId w:val="1035"/>
  </w:num>
  <w:num w:numId="1103" w16cid:durableId="2078093865">
    <w:abstractNumId w:val="717"/>
  </w:num>
  <w:num w:numId="1104" w16cid:durableId="1716272440">
    <w:abstractNumId w:val="986"/>
  </w:num>
  <w:num w:numId="1105" w16cid:durableId="575625075">
    <w:abstractNumId w:val="946"/>
  </w:num>
  <w:num w:numId="1106" w16cid:durableId="1668628148">
    <w:abstractNumId w:val="624"/>
  </w:num>
  <w:num w:numId="1107" w16cid:durableId="900406917">
    <w:abstractNumId w:val="499"/>
  </w:num>
  <w:num w:numId="1108" w16cid:durableId="185171756">
    <w:abstractNumId w:val="1176"/>
  </w:num>
  <w:num w:numId="1109" w16cid:durableId="335883862">
    <w:abstractNumId w:val="698"/>
  </w:num>
  <w:num w:numId="1110" w16cid:durableId="1818644994">
    <w:abstractNumId w:val="1155"/>
  </w:num>
  <w:num w:numId="1111" w16cid:durableId="2043169759">
    <w:abstractNumId w:val="767"/>
  </w:num>
  <w:num w:numId="1112" w16cid:durableId="676737050">
    <w:abstractNumId w:val="259"/>
  </w:num>
  <w:num w:numId="1113" w16cid:durableId="657656190">
    <w:abstractNumId w:val="1087"/>
  </w:num>
  <w:num w:numId="1114" w16cid:durableId="1819032273">
    <w:abstractNumId w:val="567"/>
  </w:num>
  <w:num w:numId="1115" w16cid:durableId="827015526">
    <w:abstractNumId w:val="1130"/>
  </w:num>
  <w:num w:numId="1116" w16cid:durableId="148137984">
    <w:abstractNumId w:val="647"/>
  </w:num>
  <w:num w:numId="1117" w16cid:durableId="1966352734">
    <w:abstractNumId w:val="1049"/>
  </w:num>
  <w:num w:numId="1118" w16cid:durableId="193465738">
    <w:abstractNumId w:val="391"/>
  </w:num>
  <w:num w:numId="1119" w16cid:durableId="976951745">
    <w:abstractNumId w:val="14"/>
  </w:num>
  <w:num w:numId="1120" w16cid:durableId="1870869356">
    <w:abstractNumId w:val="1065"/>
  </w:num>
  <w:num w:numId="1121" w16cid:durableId="921380602">
    <w:abstractNumId w:val="768"/>
  </w:num>
  <w:num w:numId="1122" w16cid:durableId="1326474106">
    <w:abstractNumId w:val="1168"/>
  </w:num>
  <w:num w:numId="1123" w16cid:durableId="526407264">
    <w:abstractNumId w:val="1171"/>
  </w:num>
  <w:num w:numId="1124" w16cid:durableId="238907191">
    <w:abstractNumId w:val="858"/>
  </w:num>
  <w:num w:numId="1125" w16cid:durableId="2127309368">
    <w:abstractNumId w:val="134"/>
  </w:num>
  <w:num w:numId="1126" w16cid:durableId="1483618056">
    <w:abstractNumId w:val="689"/>
  </w:num>
  <w:num w:numId="1127" w16cid:durableId="154692602">
    <w:abstractNumId w:val="884"/>
  </w:num>
  <w:num w:numId="1128" w16cid:durableId="1825703343">
    <w:abstractNumId w:val="660"/>
  </w:num>
  <w:num w:numId="1129" w16cid:durableId="1380740064">
    <w:abstractNumId w:val="878"/>
  </w:num>
  <w:num w:numId="1130" w16cid:durableId="215774623">
    <w:abstractNumId w:val="748"/>
  </w:num>
  <w:num w:numId="1131" w16cid:durableId="831331914">
    <w:abstractNumId w:val="1157"/>
  </w:num>
  <w:num w:numId="1132" w16cid:durableId="296835528">
    <w:abstractNumId w:val="671"/>
  </w:num>
  <w:num w:numId="1133" w16cid:durableId="1011644026">
    <w:abstractNumId w:val="42"/>
  </w:num>
  <w:num w:numId="1134" w16cid:durableId="1598516564">
    <w:abstractNumId w:val="794"/>
  </w:num>
  <w:num w:numId="1135" w16cid:durableId="311906859">
    <w:abstractNumId w:val="428"/>
  </w:num>
  <w:num w:numId="1136" w16cid:durableId="1860579551">
    <w:abstractNumId w:val="731"/>
  </w:num>
  <w:num w:numId="1137" w16cid:durableId="410852727">
    <w:abstractNumId w:val="277"/>
  </w:num>
  <w:num w:numId="1138" w16cid:durableId="873421399">
    <w:abstractNumId w:val="410"/>
  </w:num>
  <w:num w:numId="1139" w16cid:durableId="475145716">
    <w:abstractNumId w:val="1215"/>
  </w:num>
  <w:num w:numId="1140" w16cid:durableId="18355489">
    <w:abstractNumId w:val="109"/>
  </w:num>
  <w:num w:numId="1141" w16cid:durableId="354312138">
    <w:abstractNumId w:val="1083"/>
  </w:num>
  <w:num w:numId="1142" w16cid:durableId="1058747533">
    <w:abstractNumId w:val="479"/>
  </w:num>
  <w:num w:numId="1143" w16cid:durableId="1677415772">
    <w:abstractNumId w:val="667"/>
  </w:num>
  <w:num w:numId="1144" w16cid:durableId="1639141552">
    <w:abstractNumId w:val="718"/>
  </w:num>
  <w:num w:numId="1145" w16cid:durableId="1638609014">
    <w:abstractNumId w:val="1123"/>
  </w:num>
  <w:num w:numId="1146" w16cid:durableId="1057358343">
    <w:abstractNumId w:val="1001"/>
  </w:num>
  <w:num w:numId="1147" w16cid:durableId="1315717915">
    <w:abstractNumId w:val="245"/>
  </w:num>
  <w:num w:numId="1148" w16cid:durableId="1593080338">
    <w:abstractNumId w:val="448"/>
  </w:num>
  <w:num w:numId="1149" w16cid:durableId="1802533306">
    <w:abstractNumId w:val="478"/>
  </w:num>
  <w:num w:numId="1150" w16cid:durableId="1136992069">
    <w:abstractNumId w:val="1152"/>
  </w:num>
  <w:num w:numId="1151" w16cid:durableId="1374387400">
    <w:abstractNumId w:val="891"/>
  </w:num>
  <w:num w:numId="1152" w16cid:durableId="22556585">
    <w:abstractNumId w:val="359"/>
  </w:num>
  <w:num w:numId="1153" w16cid:durableId="1017854075">
    <w:abstractNumId w:val="600"/>
  </w:num>
  <w:num w:numId="1154" w16cid:durableId="1636137551">
    <w:abstractNumId w:val="392"/>
  </w:num>
  <w:num w:numId="1155" w16cid:durableId="1303539290">
    <w:abstractNumId w:val="1103"/>
  </w:num>
  <w:num w:numId="1156" w16cid:durableId="863901093">
    <w:abstractNumId w:val="168"/>
  </w:num>
  <w:num w:numId="1157" w16cid:durableId="1640770919">
    <w:abstractNumId w:val="229"/>
  </w:num>
  <w:num w:numId="1158" w16cid:durableId="2130277287">
    <w:abstractNumId w:val="551"/>
  </w:num>
  <w:num w:numId="1159" w16cid:durableId="1692604000">
    <w:abstractNumId w:val="869"/>
  </w:num>
  <w:num w:numId="1160" w16cid:durableId="143664221">
    <w:abstractNumId w:val="492"/>
  </w:num>
  <w:num w:numId="1161" w16cid:durableId="1212612939">
    <w:abstractNumId w:val="59"/>
  </w:num>
  <w:num w:numId="1162" w16cid:durableId="890923747">
    <w:abstractNumId w:val="1105"/>
  </w:num>
  <w:num w:numId="1163" w16cid:durableId="267853228">
    <w:abstractNumId w:val="802"/>
  </w:num>
  <w:num w:numId="1164" w16cid:durableId="1620718035">
    <w:abstractNumId w:val="980"/>
  </w:num>
  <w:num w:numId="1165" w16cid:durableId="1031951688">
    <w:abstractNumId w:val="741"/>
  </w:num>
  <w:num w:numId="1166" w16cid:durableId="515537323">
    <w:abstractNumId w:val="462"/>
  </w:num>
  <w:num w:numId="1167" w16cid:durableId="155153728">
    <w:abstractNumId w:val="115"/>
  </w:num>
  <w:num w:numId="1168" w16cid:durableId="1896700144">
    <w:abstractNumId w:val="1210"/>
  </w:num>
  <w:num w:numId="1169" w16cid:durableId="94055008">
    <w:abstractNumId w:val="447"/>
  </w:num>
  <w:num w:numId="1170" w16cid:durableId="1426917937">
    <w:abstractNumId w:val="708"/>
  </w:num>
  <w:num w:numId="1171" w16cid:durableId="1241794732">
    <w:abstractNumId w:val="360"/>
  </w:num>
  <w:num w:numId="1172" w16cid:durableId="543444788">
    <w:abstractNumId w:val="1220"/>
  </w:num>
  <w:num w:numId="1173" w16cid:durableId="1573001305">
    <w:abstractNumId w:val="993"/>
  </w:num>
  <w:num w:numId="1174" w16cid:durableId="1590237141">
    <w:abstractNumId w:val="548"/>
  </w:num>
  <w:num w:numId="1175" w16cid:durableId="38095825">
    <w:abstractNumId w:val="907"/>
  </w:num>
  <w:num w:numId="1176" w16cid:durableId="423183148">
    <w:abstractNumId w:val="542"/>
  </w:num>
  <w:num w:numId="1177" w16cid:durableId="1601376815">
    <w:abstractNumId w:val="344"/>
  </w:num>
  <w:num w:numId="1178" w16cid:durableId="277638052">
    <w:abstractNumId w:val="258"/>
  </w:num>
  <w:num w:numId="1179" w16cid:durableId="1096755101">
    <w:abstractNumId w:val="746"/>
  </w:num>
  <w:num w:numId="1180" w16cid:durableId="22097993">
    <w:abstractNumId w:val="335"/>
  </w:num>
  <w:num w:numId="1181" w16cid:durableId="508373372">
    <w:abstractNumId w:val="588"/>
  </w:num>
  <w:num w:numId="1182" w16cid:durableId="987171116">
    <w:abstractNumId w:val="57"/>
  </w:num>
  <w:num w:numId="1183" w16cid:durableId="1082407028">
    <w:abstractNumId w:val="164"/>
  </w:num>
  <w:num w:numId="1184" w16cid:durableId="1701197511">
    <w:abstractNumId w:val="894"/>
  </w:num>
  <w:num w:numId="1185" w16cid:durableId="391931314">
    <w:abstractNumId w:val="1158"/>
  </w:num>
  <w:num w:numId="1186" w16cid:durableId="628780715">
    <w:abstractNumId w:val="153"/>
  </w:num>
  <w:num w:numId="1187" w16cid:durableId="1199587722">
    <w:abstractNumId w:val="522"/>
  </w:num>
  <w:num w:numId="1188" w16cid:durableId="1187985233">
    <w:abstractNumId w:val="398"/>
  </w:num>
  <w:num w:numId="1189" w16cid:durableId="1861551645">
    <w:abstractNumId w:val="695"/>
  </w:num>
  <w:num w:numId="1190" w16cid:durableId="1555193116">
    <w:abstractNumId w:val="1091"/>
  </w:num>
  <w:num w:numId="1191" w16cid:durableId="199361607">
    <w:abstractNumId w:val="885"/>
  </w:num>
  <w:num w:numId="1192" w16cid:durableId="1375305064">
    <w:abstractNumId w:val="619"/>
  </w:num>
  <w:num w:numId="1193" w16cid:durableId="705787364">
    <w:abstractNumId w:val="266"/>
  </w:num>
  <w:num w:numId="1194" w16cid:durableId="1287278623">
    <w:abstractNumId w:val="639"/>
  </w:num>
  <w:num w:numId="1195" w16cid:durableId="988552405">
    <w:abstractNumId w:val="1"/>
  </w:num>
  <w:num w:numId="1196" w16cid:durableId="1844785293">
    <w:abstractNumId w:val="982"/>
  </w:num>
  <w:num w:numId="1197" w16cid:durableId="1258908010">
    <w:abstractNumId w:val="273"/>
  </w:num>
  <w:num w:numId="1198" w16cid:durableId="1890604395">
    <w:abstractNumId w:val="22"/>
  </w:num>
  <w:num w:numId="1199" w16cid:durableId="1805348089">
    <w:abstractNumId w:val="875"/>
  </w:num>
  <w:num w:numId="1200" w16cid:durableId="391589038">
    <w:abstractNumId w:val="820"/>
  </w:num>
  <w:num w:numId="1201" w16cid:durableId="421030088">
    <w:abstractNumId w:val="215"/>
  </w:num>
  <w:num w:numId="1202" w16cid:durableId="631836716">
    <w:abstractNumId w:val="654"/>
  </w:num>
  <w:num w:numId="1203" w16cid:durableId="96602772">
    <w:abstractNumId w:val="174"/>
  </w:num>
  <w:num w:numId="1204" w16cid:durableId="1780950602">
    <w:abstractNumId w:val="605"/>
  </w:num>
  <w:num w:numId="1205" w16cid:durableId="222640691">
    <w:abstractNumId w:val="450"/>
  </w:num>
  <w:num w:numId="1206" w16cid:durableId="1739938663">
    <w:abstractNumId w:val="8"/>
  </w:num>
  <w:num w:numId="1207" w16cid:durableId="2080399831">
    <w:abstractNumId w:val="626"/>
  </w:num>
  <w:num w:numId="1208" w16cid:durableId="1197934862">
    <w:abstractNumId w:val="947"/>
  </w:num>
  <w:num w:numId="1209" w16cid:durableId="1983265995">
    <w:abstractNumId w:val="673"/>
  </w:num>
  <w:num w:numId="1210" w16cid:durableId="1563180598">
    <w:abstractNumId w:val="943"/>
  </w:num>
  <w:num w:numId="1211" w16cid:durableId="262689684">
    <w:abstractNumId w:val="876"/>
  </w:num>
  <w:num w:numId="1212" w16cid:durableId="913663874">
    <w:abstractNumId w:val="1180"/>
  </w:num>
  <w:num w:numId="1213" w16cid:durableId="1976638247">
    <w:abstractNumId w:val="424"/>
  </w:num>
  <w:num w:numId="1214" w16cid:durableId="2125612184">
    <w:abstractNumId w:val="351"/>
  </w:num>
  <w:num w:numId="1215" w16cid:durableId="2038893061">
    <w:abstractNumId w:val="431"/>
  </w:num>
  <w:num w:numId="1216" w16cid:durableId="1611888283">
    <w:abstractNumId w:val="248"/>
  </w:num>
  <w:num w:numId="1217" w16cid:durableId="1584726033">
    <w:abstractNumId w:val="814"/>
  </w:num>
  <w:num w:numId="1218" w16cid:durableId="1105811857">
    <w:abstractNumId w:val="484"/>
  </w:num>
  <w:num w:numId="1219" w16cid:durableId="200674870">
    <w:abstractNumId w:val="883"/>
  </w:num>
  <w:num w:numId="1220" w16cid:durableId="602222678">
    <w:abstractNumId w:val="242"/>
  </w:num>
  <w:num w:numId="1221" w16cid:durableId="2001470267">
    <w:abstractNumId w:val="381"/>
  </w:num>
  <w:num w:numId="1222" w16cid:durableId="1259749811">
    <w:abstractNumId w:val="41"/>
  </w:num>
  <w:num w:numId="1223" w16cid:durableId="142048654">
    <w:abstractNumId w:val="454"/>
  </w:num>
  <w:num w:numId="1224" w16cid:durableId="532228861">
    <w:abstractNumId w:val="230"/>
  </w:num>
  <w:num w:numId="1225" w16cid:durableId="852768461">
    <w:abstractNumId w:val="123"/>
  </w:num>
  <w:num w:numId="1226" w16cid:durableId="1725829331">
    <w:abstractNumId w:val="1093"/>
  </w:num>
  <w:num w:numId="1227" w16cid:durableId="326328696">
    <w:abstractNumId w:val="760"/>
  </w:num>
  <w:num w:numId="1228" w16cid:durableId="1469937261">
    <w:abstractNumId w:val="1074"/>
  </w:num>
  <w:num w:numId="1229" w16cid:durableId="1018657277">
    <w:abstractNumId w:val="495"/>
  </w:num>
  <w:num w:numId="1230" w16cid:durableId="1656034324">
    <w:abstractNumId w:val="550"/>
  </w:num>
  <w:num w:numId="1231" w16cid:durableId="1915970186">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2179"/>
    <w:rsid w:val="00121824"/>
    <w:rsid w:val="00772179"/>
    <w:rsid w:val="008F41B2"/>
    <w:rsid w:val="00FA36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22553"/>
  <w15:docId w15:val="{E40B74B0-F5CF-4255-858F-6AE865352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keepLines/>
      <w:numPr>
        <w:numId w:val="1"/>
      </w:numPr>
      <w:outlineLvl w:val="0"/>
    </w:pPr>
    <w:rPr>
      <w:color w:val="3366FF"/>
      <w:sz w:val="40"/>
    </w:rPr>
  </w:style>
  <w:style w:type="paragraph" w:customStyle="1" w:styleId="Author-eSectionHeading2">
    <w:name w:val="Author-e Section Heading 2"/>
    <w:uiPriority w:val="40"/>
    <w:qFormat/>
    <w:pPr>
      <w:keepLines/>
      <w:numPr>
        <w:ilvl w:val="1"/>
        <w:numId w:val="1"/>
      </w:numPr>
      <w:outlineLvl w:val="1"/>
    </w:pPr>
    <w:rPr>
      <w:color w:val="3366FF"/>
      <w:sz w:val="36"/>
    </w:rPr>
  </w:style>
  <w:style w:type="paragraph" w:customStyle="1" w:styleId="Author-eSectionHeading3">
    <w:name w:val="Author-e Section Heading 3"/>
    <w:uiPriority w:val="40"/>
    <w:qFormat/>
    <w:pPr>
      <w:keepLines/>
      <w:numPr>
        <w:ilvl w:val="2"/>
        <w:numId w:val="1"/>
      </w:numPr>
      <w:outlineLvl w:val="2"/>
    </w:pPr>
    <w:rPr>
      <w:color w:val="3366FF"/>
      <w:sz w:val="32"/>
    </w:rPr>
  </w:style>
  <w:style w:type="paragraph" w:customStyle="1" w:styleId="Author-eSectionHeading4">
    <w:name w:val="Author-e Section Heading 4"/>
    <w:uiPriority w:val="40"/>
    <w:qFormat/>
    <w:pPr>
      <w:keepLines/>
      <w:numPr>
        <w:ilvl w:val="3"/>
        <w:numId w:val="1"/>
      </w:numPr>
      <w:outlineLvl w:val="3"/>
    </w:pPr>
    <w:rPr>
      <w:color w:val="3366FF"/>
      <w:sz w:val="30"/>
    </w:rPr>
  </w:style>
  <w:style w:type="paragraph" w:customStyle="1" w:styleId="Author-eSectionHeading5">
    <w:name w:val="Author-e Section Heading 5"/>
    <w:uiPriority w:val="40"/>
    <w:qFormat/>
    <w:pPr>
      <w:keepLines/>
      <w:numPr>
        <w:ilvl w:val="4"/>
        <w:numId w:val="1"/>
      </w:numPr>
      <w:outlineLvl w:val="4"/>
    </w:pPr>
    <w:rPr>
      <w:color w:val="3366FF"/>
      <w:sz w:val="28"/>
    </w:rPr>
  </w:style>
  <w:style w:type="paragraph" w:customStyle="1" w:styleId="Author-eSectionHeading6">
    <w:name w:val="Author-e Section Heading 6"/>
    <w:uiPriority w:val="40"/>
    <w:qFormat/>
    <w:pPr>
      <w:keepLines/>
      <w:numPr>
        <w:ilvl w:val="5"/>
        <w:numId w:val="1"/>
      </w:numPr>
      <w:outlineLvl w:val="5"/>
    </w:pPr>
    <w:rPr>
      <w:color w:val="3366FF"/>
      <w:sz w:val="24"/>
    </w:rPr>
  </w:style>
  <w:style w:type="paragraph" w:customStyle="1" w:styleId="Author-eSectionHeading1Numberless">
    <w:name w:val="Author-e Section Heading 1_Numberless"/>
    <w:uiPriority w:val="40"/>
    <w:qFormat/>
    <w:pPr>
      <w:outlineLvl w:val="0"/>
    </w:pPr>
    <w:rPr>
      <w:color w:val="3366FF"/>
      <w:sz w:val="40"/>
    </w:rPr>
  </w:style>
  <w:style w:type="paragraph" w:customStyle="1" w:styleId="Author-eSectionHeading2Numberless">
    <w:name w:val="Author-e Section Heading 2_Numberless"/>
    <w:uiPriority w:val="40"/>
    <w:qFormat/>
    <w:pPr>
      <w:outlineLvl w:val="1"/>
    </w:pPr>
    <w:rPr>
      <w:color w:val="3366FF"/>
      <w:sz w:val="36"/>
    </w:rPr>
  </w:style>
  <w:style w:type="paragraph" w:customStyle="1" w:styleId="Author-eSectionHeading3Numberless">
    <w:name w:val="Author-e Section Heading 3_Numberless"/>
    <w:uiPriority w:val="40"/>
    <w:qFormat/>
    <w:pPr>
      <w:outlineLvl w:val="2"/>
    </w:pPr>
    <w:rPr>
      <w:color w:val="3366FF"/>
      <w:sz w:val="32"/>
    </w:rPr>
  </w:style>
  <w:style w:type="paragraph" w:customStyle="1" w:styleId="Author-eSectionHeading4Numberless">
    <w:name w:val="Author-e Section Heading 4_Numberless"/>
    <w:uiPriority w:val="40"/>
    <w:qFormat/>
    <w:pPr>
      <w:outlineLvl w:val="3"/>
    </w:pPr>
    <w:rPr>
      <w:color w:val="3366FF"/>
      <w:sz w:val="30"/>
    </w:rPr>
  </w:style>
  <w:style w:type="paragraph" w:customStyle="1" w:styleId="Author-eSectionHeading5Numberless">
    <w:name w:val="Author-e Section Heading 5_Numberless"/>
    <w:uiPriority w:val="40"/>
    <w:qFormat/>
    <w:pPr>
      <w:outlineLvl w:val="4"/>
    </w:pPr>
    <w:rPr>
      <w:color w:val="3366FF"/>
      <w:sz w:val="28"/>
    </w:rPr>
  </w:style>
  <w:style w:type="paragraph" w:customStyle="1" w:styleId="Author-eSectionHeading6Numberless">
    <w:name w:val="Author-e Section Heading 6_Numberless"/>
    <w:uiPriority w:val="40"/>
    <w:qFormat/>
    <w:pPr>
      <w:outlineLvl w:val="5"/>
    </w:pPr>
    <w:rPr>
      <w:color w:val="3366FF"/>
      <w:sz w:val="24"/>
    </w:rPr>
  </w:style>
  <w:style w:type="paragraph" w:customStyle="1" w:styleId="SystemDefault">
    <w:name w:val="SystemDefault"/>
    <w:link w:val="SystemDefaultChar"/>
    <w:uiPriority w:val="40"/>
    <w:qFormat/>
  </w:style>
  <w:style w:type="character" w:customStyle="1" w:styleId="SystemDefaultChar">
    <w:name w:val="SystemDefault Char"/>
    <w:link w:val="SystemDefault"/>
    <w:rPr>
      <w:rFonts w:ascii="Arial" w:hAnsi="Arial" w:cs="Arial"/>
      <w:sz w:val="20"/>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character" w:customStyle="1" w:styleId="Titre2Car">
    <w:name w:val="Titre 2 Car"/>
    <w:link w:val="Titre2"/>
    <w:rPr>
      <w:rFonts w:ascii="Arial" w:hAnsi="Arial" w:cs="Arial"/>
      <w:sz w:val="22"/>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FA36CF"/>
    <w:pPr>
      <w:spacing w:before="0" w:line="278" w:lineRule="auto"/>
      <w:ind w:left="1680"/>
    </w:pPr>
    <w:rPr>
      <w:rFonts w:asciiTheme="minorHAnsi" w:eastAsiaTheme="minorEastAsia" w:hAnsiTheme="minorHAnsi" w:cstheme="minorBidi"/>
      <w:kern w:val="2"/>
      <w:sz w:val="24"/>
      <w:szCs w:val="24"/>
      <w14:ligatures w14:val="standardContextual"/>
    </w:rPr>
  </w:style>
  <w:style w:type="paragraph" w:styleId="TM9">
    <w:name w:val="toc 9"/>
    <w:basedOn w:val="Normal"/>
    <w:next w:val="Normal"/>
    <w:autoRedefine/>
    <w:uiPriority w:val="39"/>
    <w:unhideWhenUsed/>
    <w:rsid w:val="00FA36CF"/>
    <w:pPr>
      <w:spacing w:before="0" w:line="278" w:lineRule="auto"/>
      <w:ind w:left="1920"/>
    </w:pPr>
    <w:rPr>
      <w:rFonts w:asciiTheme="minorHAnsi" w:eastAsiaTheme="minorEastAsia" w:hAnsiTheme="minorHAnsi" w:cstheme="minorBidi"/>
      <w:kern w:val="2"/>
      <w:sz w:val="24"/>
      <w:szCs w:val="24"/>
      <w14:ligatures w14:val="standardContextual"/>
    </w:rPr>
  </w:style>
  <w:style w:type="character" w:styleId="Lienhypertexte">
    <w:name w:val="Hyperlink"/>
    <w:basedOn w:val="Policepardfaut"/>
    <w:uiPriority w:val="99"/>
    <w:unhideWhenUsed/>
    <w:rsid w:val="00FA36CF"/>
    <w:rPr>
      <w:color w:val="467886" w:themeColor="hyperlink"/>
      <w:u w:val="single"/>
    </w:rPr>
  </w:style>
  <w:style w:type="character" w:styleId="Mentionnonrsolue">
    <w:name w:val="Unresolved Mention"/>
    <w:basedOn w:val="Policepardfaut"/>
    <w:uiPriority w:val="99"/>
    <w:semiHidden/>
    <w:unhideWhenUsed/>
    <w:rsid w:val="00FA36CF"/>
    <w:rPr>
      <w:color w:val="605E5C"/>
      <w:shd w:val="clear" w:color="auto" w:fill="E1DFDD"/>
    </w:rPr>
  </w:style>
  <w:style w:type="paragraph" w:styleId="En-tte">
    <w:name w:val="header"/>
    <w:basedOn w:val="Normal"/>
    <w:link w:val="En-tteCar"/>
    <w:uiPriority w:val="99"/>
    <w:unhideWhenUsed/>
    <w:rsid w:val="00FA36CF"/>
    <w:pPr>
      <w:tabs>
        <w:tab w:val="center" w:pos="4536"/>
        <w:tab w:val="right" w:pos="9072"/>
      </w:tabs>
      <w:spacing w:before="0" w:after="0" w:line="240" w:lineRule="auto"/>
    </w:pPr>
  </w:style>
  <w:style w:type="character" w:customStyle="1" w:styleId="En-tteCar">
    <w:name w:val="En-tête Car"/>
    <w:basedOn w:val="Policepardfaut"/>
    <w:link w:val="En-tte"/>
    <w:uiPriority w:val="99"/>
    <w:rsid w:val="00FA36CF"/>
  </w:style>
  <w:style w:type="paragraph" w:styleId="Pieddepage">
    <w:name w:val="footer"/>
    <w:basedOn w:val="Normal"/>
    <w:link w:val="PieddepageCar"/>
    <w:uiPriority w:val="99"/>
    <w:unhideWhenUsed/>
    <w:rsid w:val="00FA36CF"/>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FA3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786265">
      <w:bodyDiv w:val="1"/>
      <w:marLeft w:val="0"/>
      <w:marRight w:val="0"/>
      <w:marTop w:val="0"/>
      <w:marBottom w:val="0"/>
      <w:divBdr>
        <w:top w:val="none" w:sz="0" w:space="0" w:color="auto"/>
        <w:left w:val="none" w:sz="0" w:space="0" w:color="auto"/>
        <w:bottom w:val="none" w:sz="0" w:space="0" w:color="auto"/>
        <w:right w:val="none" w:sz="0" w:space="0" w:color="auto"/>
      </w:divBdr>
    </w:div>
    <w:div w:id="1176001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ormes.be/feu" TargetMode="External"/><Relationship Id="rId13" Type="http://schemas.openxmlformats.org/officeDocument/2006/relationships/hyperlink" Target="http://www.sowaer.b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esafe.be" TargetMode="Externa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guidebatimentdurable.brussel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684</Pages>
  <Words>280617</Words>
  <Characters>1543399</Characters>
  <Application>Microsoft Office Word</Application>
  <DocSecurity>0</DocSecurity>
  <Lines>12861</Lines>
  <Paragraphs>3640</Paragraphs>
  <ScaleCrop>false</ScaleCrop>
  <Company>SPW</Company>
  <LinksUpToDate>false</LinksUpToDate>
  <CharactersWithSpaces>1820376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T4 Fermetures / Finitions extérieures CCTB 01.13</dc:title>
  <dc:creator/>
  <cp:lastModifiedBy>TASSIN Thierry</cp:lastModifiedBy>
  <cp:revision>2</cp:revision>
  <dcterms:created xsi:type="dcterms:W3CDTF">2026-01-26T11:47:00Z</dcterms:created>
  <dcterms:modified xsi:type="dcterms:W3CDTF">2026-01-28T09:53:00Z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2026-01-28T09:53:32Z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599dfa32-d355-4cb8-ba0c-b0a394e443ff</vt:lpwstr>
  </property>
  <property fmtid="{D5CDD505-2E9C-101B-9397-08002B2CF9AE}" pid="8" name="MSIP_Label_97a477d1-147d-4e34-b5e3-7b26d2f44870_ContentBits">
    <vt:lpwstr>0</vt:lpwstr>
  </property>
  <property fmtid="{D5CDD505-2E9C-101B-9397-08002B2CF9AE}" pid="9" name="MSIP_Label_97a477d1-147d-4e34-b5e3-7b26d2f44870_Tag">
    <vt:lpwstr>10, 3, 0, 1</vt:lpwstr>
  </property>
</Properties>
</file>